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3F14" w14:textId="4E91523A" w:rsidR="009816A2" w:rsidRPr="00A51520" w:rsidRDefault="002411DE" w:rsidP="008B6649">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A51520">
        <w:rPr>
          <w:rFonts w:ascii="Arial" w:hAnsi="Arial" w:cs="Arial"/>
          <w:b/>
          <w:color w:val="000000" w:themeColor="text1"/>
          <w:sz w:val="16"/>
          <w:szCs w:val="16"/>
          <w:lang w:val="es-ES_tradnl" w:eastAsia="es-ES"/>
        </w:rPr>
        <w:t>CCE-DES-FM-17</w:t>
      </w:r>
      <w:bookmarkStart w:id="2" w:name="_Hlk50481752"/>
      <w:bookmarkEnd w:id="0"/>
      <w:bookmarkEnd w:id="1"/>
    </w:p>
    <w:bookmarkEnd w:id="2"/>
    <w:p w14:paraId="7CB42B01" w14:textId="77777777" w:rsidR="00B23C80" w:rsidRPr="003362CD" w:rsidRDefault="00B23C80" w:rsidP="00B23C80">
      <w:pPr>
        <w:jc w:val="both"/>
        <w:rPr>
          <w:rFonts w:ascii="Arial" w:eastAsia="Calibri" w:hAnsi="Arial" w:cs="Arial"/>
          <w:b/>
          <w:sz w:val="22"/>
        </w:rPr>
      </w:pPr>
      <w:r w:rsidRPr="003362CD">
        <w:rPr>
          <w:rFonts w:ascii="Arial" w:eastAsia="Calibri" w:hAnsi="Arial" w:cs="Arial"/>
          <w:b/>
          <w:sz w:val="22"/>
        </w:rPr>
        <w:t>LEY DE EMPRENDIMIENTO – Ley 2069 de 2020</w:t>
      </w:r>
      <w:r>
        <w:rPr>
          <w:rFonts w:ascii="Arial" w:eastAsia="Calibri" w:hAnsi="Arial" w:cs="Arial"/>
          <w:b/>
          <w:sz w:val="22"/>
        </w:rPr>
        <w:t xml:space="preserve"> </w:t>
      </w:r>
      <w:r w:rsidRPr="003362CD">
        <w:rPr>
          <w:rFonts w:ascii="Arial" w:eastAsia="Calibri" w:hAnsi="Arial" w:cs="Arial"/>
          <w:b/>
          <w:sz w:val="22"/>
        </w:rPr>
        <w:t xml:space="preserve">– Finalidad </w:t>
      </w:r>
    </w:p>
    <w:p w14:paraId="26E2ADAA" w14:textId="77777777" w:rsidR="00B23C80" w:rsidRPr="003362CD" w:rsidRDefault="00B23C80" w:rsidP="00B23C80">
      <w:pPr>
        <w:jc w:val="both"/>
        <w:rPr>
          <w:rFonts w:ascii="Arial" w:eastAsia="Calibri" w:hAnsi="Arial" w:cs="Arial"/>
          <w:sz w:val="20"/>
          <w:szCs w:val="20"/>
        </w:rPr>
      </w:pPr>
    </w:p>
    <w:p w14:paraId="612D269A" w14:textId="77777777" w:rsidR="00B23C80" w:rsidRPr="00CF67EB" w:rsidRDefault="00B23C80" w:rsidP="00B23C80">
      <w:pPr>
        <w:jc w:val="both"/>
        <w:rPr>
          <w:rFonts w:ascii="Arial" w:eastAsia="Calibri" w:hAnsi="Arial" w:cs="Arial"/>
          <w:bCs/>
          <w:sz w:val="20"/>
          <w:szCs w:val="20"/>
        </w:rPr>
      </w:pPr>
      <w:r w:rsidRPr="003362CD">
        <w:rPr>
          <w:rFonts w:ascii="Arial" w:eastAsia="Calibri" w:hAnsi="Arial" w:cs="Arial"/>
          <w:bCs/>
          <w:sz w:val="20"/>
          <w:szCs w:val="20"/>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 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3362CD">
        <w:rPr>
          <w:rFonts w:ascii="Arial" w:eastAsia="Calibri" w:hAnsi="Arial" w:cs="Arial"/>
          <w:bCs/>
          <w:sz w:val="20"/>
          <w:szCs w:val="20"/>
        </w:rPr>
        <w:t>mipymes</w:t>
      </w:r>
      <w:proofErr w:type="spellEnd"/>
      <w:r w:rsidRPr="003362CD">
        <w:rPr>
          <w:rFonts w:ascii="Arial" w:eastAsia="Calibri" w:hAnsi="Arial" w:cs="Arial"/>
          <w:bCs/>
          <w:sz w:val="20"/>
          <w:szCs w:val="20"/>
        </w:rPr>
        <w:t>–, mediante la racionalización y simplificación de los trámites y tarifas, así como incentivos a favor de aquellas dentro del sistema de compras y contratación pública . También se consagran mecanismos de acceso al financiamiento , se unifican las fuentes de emprendimiento y de desarrollo empresarial, para fortalecer y promover los distintos sectores de la economía  y se prevén medidas de educación para el emprendimiento y la innovación .</w:t>
      </w:r>
    </w:p>
    <w:p w14:paraId="1C2EC59A" w14:textId="77777777" w:rsidR="00B23C80" w:rsidRDefault="00B23C80" w:rsidP="00B23C80">
      <w:pPr>
        <w:tabs>
          <w:tab w:val="left" w:pos="6551"/>
        </w:tabs>
        <w:jc w:val="both"/>
        <w:rPr>
          <w:rFonts w:ascii="Arial" w:eastAsia="Calibri" w:hAnsi="Arial" w:cs="Arial"/>
          <w:b/>
          <w:color w:val="000000" w:themeColor="text1"/>
          <w:sz w:val="22"/>
          <w:lang w:val="es-ES_tradnl"/>
        </w:rPr>
      </w:pPr>
    </w:p>
    <w:p w14:paraId="495F6EC0" w14:textId="77777777" w:rsidR="00B23C80" w:rsidRDefault="00B23C80" w:rsidP="00B23C80">
      <w:pPr>
        <w:tabs>
          <w:tab w:val="left" w:pos="6551"/>
        </w:tabs>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LEY 2069 DE 2020 – Artículos 31 y 32 – Criterios diferenciales - reglamentación </w:t>
      </w:r>
    </w:p>
    <w:p w14:paraId="6D28925D" w14:textId="77777777" w:rsidR="00B23C80" w:rsidRDefault="00B23C80" w:rsidP="00B23C80">
      <w:pPr>
        <w:tabs>
          <w:tab w:val="left" w:pos="6551"/>
        </w:tabs>
        <w:jc w:val="both"/>
        <w:rPr>
          <w:rFonts w:ascii="Arial" w:eastAsia="Calibri" w:hAnsi="Arial" w:cs="Arial"/>
          <w:b/>
          <w:color w:val="000000" w:themeColor="text1"/>
          <w:sz w:val="22"/>
          <w:lang w:val="es-ES_tradnl"/>
        </w:rPr>
      </w:pPr>
    </w:p>
    <w:p w14:paraId="4883F917" w14:textId="77777777" w:rsidR="00B23C80" w:rsidRPr="00493BA6" w:rsidRDefault="00B23C80" w:rsidP="00B23C80">
      <w:pPr>
        <w:jc w:val="both"/>
        <w:rPr>
          <w:rFonts w:ascii="Arial" w:eastAsia="Calibri" w:hAnsi="Arial" w:cs="Arial"/>
          <w:bCs/>
          <w:sz w:val="20"/>
          <w:szCs w:val="20"/>
        </w:rPr>
      </w:pPr>
      <w:r>
        <w:rPr>
          <w:rFonts w:ascii="Arial" w:eastAsia="Calibri" w:hAnsi="Arial" w:cs="Arial"/>
          <w:bCs/>
          <w:sz w:val="20"/>
          <w:szCs w:val="20"/>
        </w:rPr>
        <w:t>L</w:t>
      </w:r>
      <w:r w:rsidRPr="00493BA6">
        <w:rPr>
          <w:rFonts w:ascii="Arial" w:eastAsia="Calibri" w:hAnsi="Arial" w:cs="Arial"/>
          <w:bCs/>
          <w:sz w:val="20"/>
          <w:szCs w:val="20"/>
        </w:rPr>
        <w:t xml:space="preserve">os artículos 31 y 32 de la Ley 2069 de 2020, los cuales crean una serie de incentivos para las personas interesadas en celebrar contratos con el Estado. Por un lado, el artículo 31 introduce criterios diferenciales para el acceso de las </w:t>
      </w:r>
      <w:proofErr w:type="spellStart"/>
      <w:r w:rsidRPr="00493BA6">
        <w:rPr>
          <w:rFonts w:ascii="Arial" w:eastAsia="Calibri" w:hAnsi="Arial" w:cs="Arial"/>
          <w:bCs/>
          <w:sz w:val="20"/>
          <w:szCs w:val="20"/>
        </w:rPr>
        <w:t>mipymes</w:t>
      </w:r>
      <w:proofErr w:type="spellEnd"/>
      <w:r w:rsidRPr="00493BA6">
        <w:rPr>
          <w:rFonts w:ascii="Arial" w:eastAsia="Calibri" w:hAnsi="Arial" w:cs="Arial"/>
          <w:bCs/>
          <w:sz w:val="20"/>
          <w:szCs w:val="20"/>
        </w:rPr>
        <w:t xml:space="preserve"> al sistema de compras y contratación pública, estableciendo que «Las Entidades Estatales de acuerdo con el análisis de Sector podrán incluir, en los Documentos del Proceso, requisitos diferenciales y puntajes adicionales, en función del tamaño empresarial para la promoción del acceso de las MIPYMES al mercado de Compras Públicas».  </w:t>
      </w:r>
    </w:p>
    <w:p w14:paraId="09F7B236" w14:textId="77777777" w:rsidR="00B23C80" w:rsidRDefault="00B23C80" w:rsidP="00B23C80">
      <w:pPr>
        <w:jc w:val="both"/>
        <w:rPr>
          <w:rFonts w:ascii="Arial" w:eastAsia="Calibri" w:hAnsi="Arial" w:cs="Arial"/>
          <w:bCs/>
          <w:sz w:val="20"/>
          <w:szCs w:val="20"/>
        </w:rPr>
      </w:pPr>
    </w:p>
    <w:p w14:paraId="7E7C86B3" w14:textId="77777777" w:rsidR="00B23C80" w:rsidRDefault="00B23C80" w:rsidP="00B23C80">
      <w:pPr>
        <w:jc w:val="both"/>
        <w:rPr>
          <w:rFonts w:ascii="Arial" w:eastAsia="Calibri" w:hAnsi="Arial" w:cs="Arial"/>
          <w:bCs/>
          <w:sz w:val="20"/>
          <w:szCs w:val="20"/>
        </w:rPr>
      </w:pPr>
      <w:r w:rsidRPr="00493BA6">
        <w:rPr>
          <w:rFonts w:ascii="Arial" w:eastAsia="Calibri" w:hAnsi="Arial" w:cs="Arial"/>
          <w:bCs/>
          <w:sz w:val="20"/>
          <w:szCs w:val="20"/>
        </w:rPr>
        <w:t>Además, el inciso segundo y el parágrafo del artículo 31 de la Ley 2069 de 2020 disponen, respectivamente,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 norma requiere el desarrollo reglamentario como una condición previa para su aplicación.</w:t>
      </w:r>
      <w:r>
        <w:rPr>
          <w:rFonts w:ascii="Arial" w:eastAsia="Calibri" w:hAnsi="Arial" w:cs="Arial"/>
          <w:bCs/>
          <w:sz w:val="20"/>
          <w:szCs w:val="20"/>
        </w:rPr>
        <w:t xml:space="preserve"> </w:t>
      </w:r>
      <w:r w:rsidRPr="00493BA6">
        <w:rPr>
          <w:rFonts w:ascii="Arial" w:eastAsia="Calibri" w:hAnsi="Arial" w:cs="Arial"/>
          <w:bCs/>
          <w:sz w:val="20"/>
          <w:szCs w:val="20"/>
        </w:rPr>
        <w:t>Por otra parte, el artículo 32 de la Ley 2069 de 2020  regula criterios diferenciales para los «emprendimientos y empresas de mujeres» en el sistema de compras y contratación pública.</w:t>
      </w:r>
      <w:r>
        <w:rPr>
          <w:rFonts w:ascii="Arial" w:eastAsia="Calibri" w:hAnsi="Arial" w:cs="Arial"/>
          <w:bCs/>
          <w:sz w:val="20"/>
          <w:szCs w:val="20"/>
        </w:rPr>
        <w:t xml:space="preserve"> </w:t>
      </w:r>
    </w:p>
    <w:p w14:paraId="0A486D01" w14:textId="77777777" w:rsidR="00B23C80" w:rsidRDefault="00B23C80" w:rsidP="00B23C80">
      <w:pPr>
        <w:jc w:val="both"/>
        <w:rPr>
          <w:rFonts w:ascii="Arial" w:eastAsia="Calibri" w:hAnsi="Arial" w:cs="Arial"/>
          <w:bCs/>
          <w:sz w:val="20"/>
          <w:szCs w:val="20"/>
        </w:rPr>
      </w:pPr>
    </w:p>
    <w:p w14:paraId="178A691A" w14:textId="77777777" w:rsidR="00B23C80" w:rsidRPr="00493BA6" w:rsidRDefault="00B23C80" w:rsidP="00B23C80">
      <w:pPr>
        <w:jc w:val="both"/>
        <w:rPr>
          <w:rFonts w:ascii="Arial" w:eastAsia="Calibri" w:hAnsi="Arial" w:cs="Arial"/>
          <w:bCs/>
          <w:sz w:val="20"/>
          <w:szCs w:val="20"/>
        </w:rPr>
      </w:pPr>
      <w:r w:rsidRPr="003362CD">
        <w:rPr>
          <w:rFonts w:ascii="Arial" w:eastAsia="Calibri" w:hAnsi="Arial" w:cs="Arial"/>
          <w:bCs/>
          <w:sz w:val="20"/>
          <w:szCs w:val="20"/>
        </w:rPr>
        <w:t>[…]</w:t>
      </w:r>
      <w:r>
        <w:rPr>
          <w:rFonts w:ascii="Arial" w:eastAsia="Calibri" w:hAnsi="Arial" w:cs="Arial"/>
          <w:bCs/>
          <w:sz w:val="20"/>
          <w:szCs w:val="20"/>
        </w:rPr>
        <w:t xml:space="preserve"> </w:t>
      </w:r>
      <w:r w:rsidRPr="00493BA6">
        <w:rPr>
          <w:rFonts w:ascii="Arial" w:eastAsia="Calibri" w:hAnsi="Arial" w:cs="Arial"/>
          <w:bCs/>
          <w:sz w:val="20"/>
          <w:szCs w:val="20"/>
        </w:rPr>
        <w:t>el pasado 24 de diciembre, el gobierno nacional expidió el Decreto 1860 de 2021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w:t>
      </w:r>
      <w:r>
        <w:rPr>
          <w:rFonts w:ascii="Arial" w:eastAsia="Calibri" w:hAnsi="Arial" w:cs="Arial"/>
          <w:bCs/>
          <w:sz w:val="20"/>
          <w:szCs w:val="20"/>
        </w:rPr>
        <w:t>.</w:t>
      </w:r>
    </w:p>
    <w:p w14:paraId="33EEC497" w14:textId="77777777" w:rsidR="00B23C80" w:rsidRDefault="00B23C80" w:rsidP="00B23C80">
      <w:pPr>
        <w:jc w:val="both"/>
        <w:rPr>
          <w:rFonts w:ascii="Arial" w:eastAsia="Calibri" w:hAnsi="Arial" w:cs="Arial"/>
          <w:bCs/>
          <w:sz w:val="20"/>
          <w:szCs w:val="20"/>
        </w:rPr>
      </w:pPr>
    </w:p>
    <w:p w14:paraId="69F8ACE5" w14:textId="77777777" w:rsidR="00B23C80" w:rsidRPr="00620E8C" w:rsidRDefault="00B23C80" w:rsidP="00B23C80">
      <w:pPr>
        <w:jc w:val="both"/>
        <w:rPr>
          <w:rFonts w:ascii="Arial" w:eastAsia="Calibri" w:hAnsi="Arial" w:cs="Arial"/>
          <w:b/>
          <w:sz w:val="20"/>
          <w:szCs w:val="20"/>
        </w:rPr>
      </w:pPr>
      <w:r w:rsidRPr="00620E8C">
        <w:rPr>
          <w:rFonts w:ascii="Arial" w:eastAsia="Calibri" w:hAnsi="Arial" w:cs="Arial"/>
          <w:b/>
          <w:sz w:val="20"/>
          <w:szCs w:val="20"/>
        </w:rPr>
        <w:t>REQUISITOS HABILITANTES – Concepto</w:t>
      </w:r>
      <w:r>
        <w:rPr>
          <w:rFonts w:ascii="Arial" w:eastAsia="Calibri" w:hAnsi="Arial" w:cs="Arial"/>
          <w:b/>
          <w:sz w:val="20"/>
          <w:szCs w:val="20"/>
        </w:rPr>
        <w:t xml:space="preserve"> – incentivos para emprendimientos y empresas de mujeres y </w:t>
      </w:r>
      <w:proofErr w:type="spellStart"/>
      <w:r>
        <w:rPr>
          <w:rFonts w:ascii="Arial" w:eastAsia="Calibri" w:hAnsi="Arial" w:cs="Arial"/>
          <w:b/>
          <w:sz w:val="20"/>
          <w:szCs w:val="20"/>
        </w:rPr>
        <w:t>mipymes</w:t>
      </w:r>
      <w:proofErr w:type="spellEnd"/>
      <w:r>
        <w:rPr>
          <w:rFonts w:ascii="Arial" w:eastAsia="Calibri" w:hAnsi="Arial" w:cs="Arial"/>
          <w:b/>
          <w:sz w:val="20"/>
          <w:szCs w:val="20"/>
        </w:rPr>
        <w:t xml:space="preserve">. </w:t>
      </w:r>
      <w:r w:rsidRPr="00620E8C">
        <w:rPr>
          <w:rFonts w:ascii="Arial" w:eastAsia="Calibri" w:hAnsi="Arial" w:cs="Arial"/>
          <w:b/>
          <w:sz w:val="20"/>
          <w:szCs w:val="20"/>
        </w:rPr>
        <w:t xml:space="preserve"> </w:t>
      </w:r>
    </w:p>
    <w:p w14:paraId="040DB772" w14:textId="77777777" w:rsidR="00B23C80" w:rsidRPr="00620E8C" w:rsidRDefault="00B23C80" w:rsidP="00B23C80">
      <w:pPr>
        <w:jc w:val="both"/>
        <w:rPr>
          <w:rFonts w:ascii="Arial" w:eastAsia="Calibri" w:hAnsi="Arial" w:cs="Arial"/>
          <w:bCs/>
          <w:sz w:val="20"/>
          <w:szCs w:val="20"/>
        </w:rPr>
      </w:pPr>
    </w:p>
    <w:p w14:paraId="1D433342" w14:textId="77777777" w:rsidR="00B23C80" w:rsidRDefault="00B23C80" w:rsidP="00B23C80">
      <w:pPr>
        <w:jc w:val="both"/>
        <w:rPr>
          <w:rFonts w:ascii="Arial" w:eastAsia="Calibri" w:hAnsi="Arial" w:cs="Arial"/>
          <w:bCs/>
          <w:sz w:val="20"/>
          <w:szCs w:val="20"/>
        </w:rPr>
      </w:pPr>
      <w:r w:rsidRPr="00620E8C">
        <w:rPr>
          <w:rFonts w:ascii="Arial" w:eastAsia="Calibri" w:hAnsi="Arial" w:cs="Arial"/>
          <w:bCs/>
          <w:sz w:val="20"/>
          <w:szCs w:val="20"/>
        </w:rPr>
        <w:lastRenderedPageBreak/>
        <w:t>Los requisitos habilitantes se definen como aquellas exigencias de participación en los procedimientos de selección, establecidas en disposiciones normativas, de carácter legal o reglamentario, o contenidas en el acto administrativo que regula las reglas de la convocatoria–es decir, en el pliego de condiciones o el documento equivalente a este–. Se diferencian de los criterios de evaluación –también conocidos como criterios de calificación– en que estos son los factores definidos por la entidad estatal para la asignación de puntaje en el momento de la comparación de las ofertas, y que, a partir de su ponderación, permiten establecer el orden de elegibilidad y, por ende, la propuesta ganadora.</w:t>
      </w:r>
    </w:p>
    <w:p w14:paraId="36123036" w14:textId="77777777" w:rsidR="00B23C80" w:rsidRDefault="00B23C80" w:rsidP="00B23C80">
      <w:pPr>
        <w:jc w:val="both"/>
        <w:rPr>
          <w:rFonts w:ascii="Arial" w:eastAsia="Calibri" w:hAnsi="Arial" w:cs="Arial"/>
          <w:bCs/>
          <w:sz w:val="20"/>
          <w:szCs w:val="20"/>
        </w:rPr>
      </w:pPr>
    </w:p>
    <w:p w14:paraId="72D05B29" w14:textId="77777777" w:rsidR="00B23C80" w:rsidRPr="00493BA6" w:rsidRDefault="00B23C80" w:rsidP="00B23C80">
      <w:pPr>
        <w:jc w:val="both"/>
        <w:rPr>
          <w:rFonts w:ascii="Arial" w:eastAsia="Calibri" w:hAnsi="Arial" w:cs="Arial"/>
          <w:bCs/>
          <w:sz w:val="20"/>
          <w:szCs w:val="20"/>
        </w:rPr>
      </w:pPr>
      <w:r w:rsidRPr="004F1F23">
        <w:rPr>
          <w:rFonts w:ascii="Arial" w:eastAsia="Calibri" w:hAnsi="Arial" w:cs="Arial"/>
          <w:bCs/>
          <w:sz w:val="20"/>
          <w:szCs w:val="20"/>
        </w:rPr>
        <w:t xml:space="preserve">No obstante, en virtud de los incentivos previstos en los artículos 31 y 32 de la Ley 2069 de 2020 y su reglamentación contenida en el Decreto 1860 de 2021, es posible que la selección objetiva del contratista del Estado se escoja por las entidades contratantes acudiendo a factores habilitantes y de calificación de los participantes fijados en los pliegos de condiciones de forma diferencial, con el objeto de fomentar o facilitar el acceso a las compras públicas de sujetos de menor capacidad en el mercado, como es el caso de los emprendimientos y empresas de mujeres y las </w:t>
      </w:r>
      <w:proofErr w:type="spellStart"/>
      <w:r w:rsidRPr="004F1F23">
        <w:rPr>
          <w:rFonts w:ascii="Arial" w:eastAsia="Calibri" w:hAnsi="Arial" w:cs="Arial"/>
          <w:bCs/>
          <w:sz w:val="20"/>
          <w:szCs w:val="20"/>
        </w:rPr>
        <w:t>mipymes</w:t>
      </w:r>
      <w:proofErr w:type="spellEnd"/>
      <w:r w:rsidRPr="004F1F23">
        <w:rPr>
          <w:rFonts w:ascii="Arial" w:eastAsia="Calibri" w:hAnsi="Arial" w:cs="Arial"/>
          <w:bCs/>
          <w:sz w:val="20"/>
          <w:szCs w:val="20"/>
        </w:rPr>
        <w:t>, por razones de equidad, siempre y cuando el uso de estas medidas afirmativas resulte justificado y no ponga en riesgo el adecuado cumplimiento del contrato, según el análisis del sector y los estudios previos que soporten el proceso contractual.</w:t>
      </w:r>
    </w:p>
    <w:p w14:paraId="3E46220A" w14:textId="77777777" w:rsidR="00B23C80" w:rsidRDefault="00B23C80" w:rsidP="00B23C80">
      <w:pPr>
        <w:jc w:val="both"/>
        <w:rPr>
          <w:rFonts w:ascii="Arial" w:eastAsia="Calibri" w:hAnsi="Arial" w:cs="Arial"/>
          <w:bCs/>
          <w:sz w:val="20"/>
          <w:szCs w:val="20"/>
        </w:rPr>
      </w:pPr>
    </w:p>
    <w:p w14:paraId="2394B413" w14:textId="77777777" w:rsidR="00B23C80" w:rsidRDefault="00B23C80" w:rsidP="00B23C80">
      <w:pPr>
        <w:jc w:val="both"/>
        <w:rPr>
          <w:rFonts w:ascii="Arial" w:eastAsia="Calibri" w:hAnsi="Arial" w:cs="Arial"/>
          <w:b/>
          <w:bCs/>
          <w:color w:val="000000" w:themeColor="text1"/>
          <w:sz w:val="22"/>
          <w:lang w:val="es-ES_tradnl"/>
        </w:rPr>
      </w:pPr>
      <w:r w:rsidRPr="00A7180C">
        <w:rPr>
          <w:rFonts w:ascii="Arial" w:eastAsia="Calibri" w:hAnsi="Arial" w:cs="Arial"/>
          <w:b/>
          <w:bCs/>
          <w:color w:val="000000" w:themeColor="text1"/>
          <w:sz w:val="22"/>
          <w:lang w:val="es-ES_tradnl"/>
        </w:rPr>
        <w:t>GARANTÍA DE SERIEDAD DE LA OFERTA – Valor – criterio diferencial</w:t>
      </w:r>
    </w:p>
    <w:p w14:paraId="1ACCF999" w14:textId="77777777" w:rsidR="00B23C80" w:rsidRDefault="00B23C80" w:rsidP="00B23C80">
      <w:pPr>
        <w:jc w:val="both"/>
        <w:rPr>
          <w:rFonts w:ascii="Arial" w:eastAsia="Calibri" w:hAnsi="Arial" w:cs="Arial"/>
          <w:b/>
          <w:bCs/>
          <w:color w:val="000000" w:themeColor="text1"/>
          <w:sz w:val="22"/>
          <w:lang w:val="es-ES_tradnl"/>
        </w:rPr>
      </w:pPr>
    </w:p>
    <w:p w14:paraId="44901B01" w14:textId="77777777" w:rsidR="00B23C80" w:rsidRPr="00911E12" w:rsidRDefault="00B23C80" w:rsidP="00B23C80">
      <w:pPr>
        <w:tabs>
          <w:tab w:val="left" w:pos="6551"/>
        </w:tabs>
        <w:jc w:val="both"/>
        <w:rPr>
          <w:rFonts w:ascii="Arial" w:eastAsia="Calibri" w:hAnsi="Arial" w:cs="Arial"/>
          <w:bCs/>
          <w:color w:val="000000" w:themeColor="text1"/>
          <w:sz w:val="20"/>
          <w:szCs w:val="20"/>
          <w:lang w:val="es-ES_tradnl"/>
        </w:rPr>
      </w:pPr>
      <w:r>
        <w:rPr>
          <w:rFonts w:ascii="Arial" w:eastAsia="Calibri" w:hAnsi="Arial" w:cs="Arial"/>
          <w:bCs/>
          <w:color w:val="000000" w:themeColor="text1"/>
          <w:sz w:val="20"/>
          <w:szCs w:val="20"/>
          <w:lang w:val="es-ES_tradnl"/>
        </w:rPr>
        <w:t>E</w:t>
      </w:r>
      <w:r w:rsidRPr="00911E12">
        <w:rPr>
          <w:rFonts w:ascii="Arial" w:eastAsia="Calibri" w:hAnsi="Arial" w:cs="Arial"/>
          <w:bCs/>
          <w:color w:val="000000" w:themeColor="text1"/>
          <w:sz w:val="20"/>
          <w:szCs w:val="20"/>
          <w:lang w:val="es-ES_tradnl"/>
        </w:rPr>
        <w:t xml:space="preserve">l artículo 2.2.1.2.3.1.9 del Decreto 1082 de 2015 define la cobertura en términos de monto y tiempo, disponiendo que «La garantía de seriedad de la oferta debe estar vigente desde la presentación de la oferta y hasta la aprobación de la garantía de cumplimiento del contrato y su valor debe ser de por lo menos el diez por ciento (10%) del valor de la oferta». </w:t>
      </w:r>
    </w:p>
    <w:p w14:paraId="6768C695" w14:textId="77777777" w:rsidR="00B23C80" w:rsidRDefault="00B23C80" w:rsidP="00B23C80">
      <w:pPr>
        <w:tabs>
          <w:tab w:val="left" w:pos="6551"/>
        </w:tabs>
        <w:jc w:val="both"/>
        <w:rPr>
          <w:rFonts w:ascii="Arial" w:eastAsia="Calibri" w:hAnsi="Arial" w:cs="Arial"/>
          <w:bCs/>
          <w:color w:val="000000" w:themeColor="text1"/>
          <w:sz w:val="20"/>
          <w:szCs w:val="20"/>
          <w:lang w:val="es-ES_tradnl"/>
        </w:rPr>
      </w:pPr>
      <w:r w:rsidRPr="00911E12">
        <w:rPr>
          <w:rFonts w:ascii="Arial" w:eastAsia="Calibri" w:hAnsi="Arial" w:cs="Arial"/>
          <w:bCs/>
          <w:color w:val="000000" w:themeColor="text1"/>
          <w:sz w:val="20"/>
          <w:szCs w:val="20"/>
          <w:lang w:val="es-ES_tradnl"/>
        </w:rPr>
        <w:t xml:space="preserve">Respecto al valor, dispone que tendrá un monto igual o superior al diez por ciento (10%) de la oferta, constituyendo la suma mínima que la entidad puede establecer para cumplir la exigencia, sin perjuicio de que requiera un valor superior. En todo caso, conforme a la norma citada, este principio tiene excepciones para los acuerdos marco de precios, los contratos derivados de la selección abreviada por subasta inversa y el concurso de méritos, así como para los contratos que superan un millón –1’000.000– de </w:t>
      </w:r>
      <w:proofErr w:type="spellStart"/>
      <w:r w:rsidRPr="00911E12">
        <w:rPr>
          <w:rFonts w:ascii="Arial" w:eastAsia="Calibri" w:hAnsi="Arial" w:cs="Arial"/>
          <w:bCs/>
          <w:color w:val="000000" w:themeColor="text1"/>
          <w:sz w:val="20"/>
          <w:szCs w:val="20"/>
          <w:lang w:val="es-ES_tradnl"/>
        </w:rPr>
        <w:t>smlmv</w:t>
      </w:r>
      <w:proofErr w:type="spellEnd"/>
      <w:r w:rsidRPr="00911E12">
        <w:rPr>
          <w:rFonts w:ascii="Arial" w:eastAsia="Calibri" w:hAnsi="Arial" w:cs="Arial"/>
          <w:bCs/>
          <w:color w:val="000000" w:themeColor="text1"/>
          <w:sz w:val="20"/>
          <w:szCs w:val="20"/>
          <w:lang w:val="es-ES_tradnl"/>
        </w:rPr>
        <w:t>.</w:t>
      </w:r>
    </w:p>
    <w:p w14:paraId="39973E70" w14:textId="77777777" w:rsidR="00B23C80" w:rsidRPr="00911E12" w:rsidRDefault="00B23C80" w:rsidP="00B23C80">
      <w:pPr>
        <w:tabs>
          <w:tab w:val="left" w:pos="6551"/>
        </w:tabs>
        <w:jc w:val="both"/>
        <w:rPr>
          <w:rFonts w:ascii="Arial" w:eastAsia="Calibri" w:hAnsi="Arial" w:cs="Arial"/>
          <w:bCs/>
          <w:color w:val="000000" w:themeColor="text1"/>
          <w:sz w:val="20"/>
          <w:szCs w:val="20"/>
          <w:lang w:val="es-ES_tradnl"/>
        </w:rPr>
      </w:pPr>
      <w:r>
        <w:rPr>
          <w:rFonts w:ascii="Arial" w:eastAsia="Calibri" w:hAnsi="Arial" w:cs="Arial"/>
          <w:bCs/>
          <w:color w:val="000000" w:themeColor="text1"/>
          <w:sz w:val="20"/>
          <w:szCs w:val="20"/>
          <w:lang w:val="es-ES_tradnl"/>
        </w:rPr>
        <w:t>[…]</w:t>
      </w:r>
    </w:p>
    <w:p w14:paraId="7A430F46" w14:textId="77777777" w:rsidR="00B23C80" w:rsidRDefault="00B23C80" w:rsidP="00B23C80">
      <w:pPr>
        <w:jc w:val="both"/>
        <w:rPr>
          <w:rFonts w:ascii="Arial" w:eastAsia="Calibri" w:hAnsi="Arial" w:cs="Arial"/>
          <w:bCs/>
          <w:color w:val="000000" w:themeColor="text1"/>
          <w:sz w:val="20"/>
          <w:szCs w:val="20"/>
          <w:lang w:val="es-ES_tradnl"/>
        </w:rPr>
      </w:pPr>
      <w:r w:rsidRPr="00825234">
        <w:rPr>
          <w:rFonts w:ascii="Arial" w:eastAsia="Calibri" w:hAnsi="Arial" w:cs="Arial"/>
          <w:bCs/>
          <w:color w:val="000000" w:themeColor="text1"/>
          <w:sz w:val="20"/>
          <w:szCs w:val="20"/>
          <w:lang w:val="es-ES_tradnl"/>
        </w:rPr>
        <w:t xml:space="preserve">Conforme a esto, si bien el artículo 2.2.1.2.3.1.9 del Decreto 1082 de 2015 establece los parámetros mínimos posibles respecto del valor y la duración de la garantía de seriedad de la oferta exigibles a oferentes no cualificados, es decir, que están en igualdad de condiciones en el mercado para competir en los procesos de selección y por ende no son beneficiarios de los incentivos previstos en los artículos 31 y 32 de la Ley 2069 de 2020 y su reglamentación. De la misma manera, se estima que el valor exigido en el proceso de selección para presentar oferta puede ser ajustado en el pliego de condiciones de los procesos de selección competitivos, de forma diferencial, para incentivar la participación y beneficiar el acceso a las compras públicas de los emprendimientos y empresas de mujeres y de </w:t>
      </w:r>
      <w:proofErr w:type="spellStart"/>
      <w:r w:rsidRPr="00825234">
        <w:rPr>
          <w:rFonts w:ascii="Arial" w:eastAsia="Calibri" w:hAnsi="Arial" w:cs="Arial"/>
          <w:bCs/>
          <w:color w:val="000000" w:themeColor="text1"/>
          <w:sz w:val="20"/>
          <w:szCs w:val="20"/>
          <w:lang w:val="es-ES_tradnl"/>
        </w:rPr>
        <w:t>mipymes</w:t>
      </w:r>
      <w:proofErr w:type="spellEnd"/>
      <w:r w:rsidRPr="00825234">
        <w:rPr>
          <w:rFonts w:ascii="Arial" w:eastAsia="Calibri" w:hAnsi="Arial" w:cs="Arial"/>
          <w:bCs/>
          <w:color w:val="000000" w:themeColor="text1"/>
          <w:sz w:val="20"/>
          <w:szCs w:val="20"/>
          <w:lang w:val="es-ES_tradnl"/>
        </w:rPr>
        <w:t xml:space="preserve">, en los términos de los artículos 2.2.1.2.4.2.15 y 2.2.1.2.4.2.18, respectivamente. Esto significa </w:t>
      </w:r>
      <w:proofErr w:type="gramStart"/>
      <w:r w:rsidRPr="00825234">
        <w:rPr>
          <w:rFonts w:ascii="Arial" w:eastAsia="Calibri" w:hAnsi="Arial" w:cs="Arial"/>
          <w:bCs/>
          <w:color w:val="000000" w:themeColor="text1"/>
          <w:sz w:val="20"/>
          <w:szCs w:val="20"/>
          <w:lang w:val="es-ES_tradnl"/>
        </w:rPr>
        <w:t>que  la</w:t>
      </w:r>
      <w:proofErr w:type="gramEnd"/>
      <w:r w:rsidRPr="00825234">
        <w:rPr>
          <w:rFonts w:ascii="Arial" w:eastAsia="Calibri" w:hAnsi="Arial" w:cs="Arial"/>
          <w:bCs/>
          <w:color w:val="000000" w:themeColor="text1"/>
          <w:sz w:val="20"/>
          <w:szCs w:val="20"/>
          <w:lang w:val="es-ES_tradnl"/>
        </w:rPr>
        <w:t xml:space="preserve"> entidad estatal podría optar por fijar en el pliego de condiciones o su equivalente,  un porcentaje menor o menos exigente por concepto del valor de la garantía de seriedad de la oferta exigida a los interesados en la convocatoria pública, aun por debajo del mínimo del 10% del valor de la oferta, para los proponentes que acredite que cumple con las condición de ser emprendimiento o empresa de mujeres o </w:t>
      </w:r>
      <w:proofErr w:type="spellStart"/>
      <w:r w:rsidRPr="00825234">
        <w:rPr>
          <w:rFonts w:ascii="Arial" w:eastAsia="Calibri" w:hAnsi="Arial" w:cs="Arial"/>
          <w:bCs/>
          <w:color w:val="000000" w:themeColor="text1"/>
          <w:sz w:val="20"/>
          <w:szCs w:val="20"/>
          <w:lang w:val="es-ES_tradnl"/>
        </w:rPr>
        <w:t>mipymes</w:t>
      </w:r>
      <w:proofErr w:type="spellEnd"/>
      <w:r w:rsidRPr="00825234">
        <w:rPr>
          <w:rFonts w:ascii="Arial" w:eastAsia="Calibri" w:hAnsi="Arial" w:cs="Arial"/>
          <w:bCs/>
          <w:color w:val="000000" w:themeColor="text1"/>
          <w:sz w:val="20"/>
          <w:szCs w:val="20"/>
          <w:lang w:val="es-ES_tradnl"/>
        </w:rPr>
        <w:t>, según el caso.</w:t>
      </w:r>
    </w:p>
    <w:p w14:paraId="79ADE04B" w14:textId="77777777" w:rsidR="00B23C80" w:rsidRPr="004F1F23" w:rsidRDefault="00B23C80" w:rsidP="00B23C80">
      <w:pPr>
        <w:jc w:val="both"/>
        <w:rPr>
          <w:rFonts w:ascii="Arial" w:eastAsia="Calibri" w:hAnsi="Arial" w:cs="Arial"/>
          <w:bCs/>
          <w:sz w:val="20"/>
          <w:szCs w:val="20"/>
        </w:rPr>
      </w:pPr>
    </w:p>
    <w:p w14:paraId="1E82A4CB" w14:textId="77777777" w:rsidR="00B23C80" w:rsidRPr="00A7133F" w:rsidRDefault="00B23C80" w:rsidP="00B23C80">
      <w:pPr>
        <w:tabs>
          <w:tab w:val="left" w:pos="6551"/>
        </w:tabs>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ACREDITACIÓN </w:t>
      </w:r>
      <w:r w:rsidRPr="00A7133F">
        <w:rPr>
          <w:rFonts w:ascii="Arial" w:eastAsia="Calibri" w:hAnsi="Arial" w:cs="Arial"/>
          <w:b/>
          <w:color w:val="000000" w:themeColor="text1"/>
          <w:sz w:val="22"/>
          <w:lang w:val="es-ES_tradnl"/>
        </w:rPr>
        <w:t xml:space="preserve">FACTORES DE DESEMPATE – </w:t>
      </w:r>
      <w:r>
        <w:rPr>
          <w:rFonts w:ascii="Arial" w:eastAsia="Calibri" w:hAnsi="Arial" w:cs="Arial"/>
          <w:b/>
          <w:color w:val="000000" w:themeColor="text1"/>
          <w:sz w:val="22"/>
          <w:lang w:val="es-ES_tradnl"/>
        </w:rPr>
        <w:t xml:space="preserve">Ley 2069 de 2020 – Decreto 1860 de 2021 </w:t>
      </w:r>
    </w:p>
    <w:p w14:paraId="14F8C9DA" w14:textId="77777777" w:rsidR="00B23C80" w:rsidRPr="00A7133F" w:rsidRDefault="00B23C80" w:rsidP="00B23C80">
      <w:pPr>
        <w:tabs>
          <w:tab w:val="left" w:pos="6551"/>
        </w:tabs>
        <w:spacing w:line="276" w:lineRule="auto"/>
        <w:jc w:val="both"/>
        <w:rPr>
          <w:rFonts w:ascii="Arial" w:hAnsi="Arial" w:cs="Arial"/>
          <w:noProof/>
          <w:color w:val="000000" w:themeColor="text1"/>
          <w:sz w:val="22"/>
          <w:lang w:val="es-ES_tradnl"/>
        </w:rPr>
      </w:pPr>
    </w:p>
    <w:p w14:paraId="27647C53" w14:textId="77777777" w:rsidR="00B23C80" w:rsidRDefault="00B23C80" w:rsidP="00B23C80">
      <w:pPr>
        <w:tabs>
          <w:tab w:val="left" w:pos="6551"/>
        </w:tabs>
        <w:jc w:val="both"/>
        <w:rPr>
          <w:rFonts w:ascii="Arial" w:eastAsia="Calibri" w:hAnsi="Arial" w:cs="Arial"/>
          <w:color w:val="000000" w:themeColor="text1"/>
          <w:sz w:val="20"/>
          <w:szCs w:val="20"/>
          <w:lang w:val="es-ES_tradnl"/>
        </w:rPr>
      </w:pPr>
      <w:r w:rsidRPr="002521BB">
        <w:rPr>
          <w:rFonts w:ascii="Arial" w:eastAsia="Calibri" w:hAnsi="Arial" w:cs="Arial"/>
          <w:color w:val="000000" w:themeColor="text1"/>
          <w:sz w:val="20"/>
          <w:szCs w:val="20"/>
          <w:lang w:val="es-ES_tradnl"/>
        </w:rPr>
        <w:lastRenderedPageBreak/>
        <w:t xml:space="preserve">Antes de la expedición del Decreto 1860 de 2021, esta Agencia había considerado que si bien los factores de desempate previstos en el artículo 35 de la Ley 2069 de 2020 tenían aplicación directa, la forma de acreditación de los supuestos fácticos para su utilización no estaba establecida de manera específica en la norma, por lo que le correspondía a la entidad contratante analizar si el ordenamiento jurídico, esto es, en otras disposiciones legales o reglamentarias, se exigía algún documento en especial para acreditar las circunstancias de un supuesto de hecho previsto en los criterios de desempate o si, por el contrario, habría libertad probatoria para acreditar el hecho. Este análisis debía realizarse de manera independiente frente a cada numeral en el pliego de condiciones o documento equivalente. En caso de que no existiera un medio probatorio cuya conducencia fuera definida por la ley, es decir, en el evento en que la ley o el reglamento no definieran un medio probatorio para acreditar la circunstancia correspondiente, la entidad estatal contratante tenía discrecionalidad para establecer en el pliego de condiciones o en el documento equivalente de qué manera el proponente podría probar que se encuentra bajo la condición que permite aplicar la regla de desempate. Sin embargo, actualmente artículo 2.2.1.2.4.2.17 del Decreto 1082 de 2015, adicionado por el Decreto 1860 de 2021, reglamentó in extenso la forma de acreditar las circunstancias o los supuestos de hecho previstos en los criterios de desempate del artículo 35 de la Ley 2069 de 2020, los medios de prueba requeridos en cada evento y las autoridades que pueden emitir estos documentos, por lo que las entidades contratantes deberán acudir a su contenido detallado para la aplicación de cada criterio de desempate en sus procesos de contratación. </w:t>
      </w:r>
    </w:p>
    <w:p w14:paraId="5502449B" w14:textId="77777777" w:rsidR="00B23C80" w:rsidRDefault="00B23C80" w:rsidP="00B23C80">
      <w:pPr>
        <w:tabs>
          <w:tab w:val="left" w:pos="6551"/>
        </w:tabs>
        <w:jc w:val="both"/>
        <w:rPr>
          <w:rFonts w:ascii="Arial" w:eastAsia="Calibri" w:hAnsi="Arial" w:cs="Arial"/>
          <w:color w:val="000000" w:themeColor="text1"/>
          <w:sz w:val="20"/>
          <w:szCs w:val="20"/>
          <w:lang w:val="es-ES_tradnl"/>
        </w:rPr>
      </w:pPr>
    </w:p>
    <w:p w14:paraId="530EE0F3" w14:textId="77777777" w:rsidR="00B23C80" w:rsidRPr="00565E3E" w:rsidRDefault="00B23C80" w:rsidP="00B23C80">
      <w:pPr>
        <w:tabs>
          <w:tab w:val="left" w:pos="6551"/>
        </w:tabs>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PARÁGRAFO 3 </w:t>
      </w:r>
      <w:r w:rsidRPr="00565E3E">
        <w:rPr>
          <w:rFonts w:ascii="Arial" w:eastAsia="Calibri" w:hAnsi="Arial" w:cs="Arial"/>
          <w:b/>
          <w:color w:val="000000" w:themeColor="text1"/>
          <w:sz w:val="22"/>
          <w:lang w:val="es-ES_tradnl"/>
        </w:rPr>
        <w:t xml:space="preserve">ARTÍCULO </w:t>
      </w:r>
      <w:r w:rsidRPr="00565E3E">
        <w:rPr>
          <w:rFonts w:ascii="Arial" w:hAnsi="Arial" w:cs="Arial"/>
          <w:b/>
          <w:sz w:val="22"/>
          <w:szCs w:val="22"/>
          <w:lang w:val="es-ES_tradnl"/>
        </w:rPr>
        <w:t>2.2.1.2.4.2.17</w:t>
      </w:r>
      <w:r>
        <w:rPr>
          <w:rFonts w:ascii="Arial" w:hAnsi="Arial" w:cs="Arial"/>
          <w:b/>
          <w:sz w:val="22"/>
          <w:szCs w:val="22"/>
          <w:lang w:val="es-ES_tradnl"/>
        </w:rPr>
        <w:t xml:space="preserve"> DECRETO 1860 de 2021</w:t>
      </w:r>
      <w:r w:rsidRPr="00565E3E">
        <w:rPr>
          <w:rFonts w:ascii="Arial" w:hAnsi="Arial" w:cs="Arial"/>
          <w:b/>
          <w:sz w:val="22"/>
          <w:szCs w:val="22"/>
          <w:lang w:val="es-ES_tradnl"/>
        </w:rPr>
        <w:t xml:space="preserve"> – Sujetos de especial protección</w:t>
      </w:r>
      <w:r>
        <w:rPr>
          <w:rFonts w:ascii="Arial" w:hAnsi="Arial" w:cs="Arial"/>
          <w:b/>
          <w:sz w:val="22"/>
          <w:szCs w:val="22"/>
          <w:lang w:val="es-ES_tradnl"/>
        </w:rPr>
        <w:t xml:space="preserve"> constitucional artículo </w:t>
      </w:r>
      <w:r w:rsidRPr="00565E3E">
        <w:rPr>
          <w:rFonts w:ascii="Arial" w:hAnsi="Arial" w:cs="Arial"/>
          <w:b/>
          <w:sz w:val="22"/>
          <w:szCs w:val="22"/>
          <w:lang w:val="es-ES_tradnl"/>
        </w:rPr>
        <w:t>2.2.1.2.4.2.1</w:t>
      </w:r>
      <w:r>
        <w:rPr>
          <w:rFonts w:ascii="Arial" w:hAnsi="Arial" w:cs="Arial"/>
          <w:b/>
          <w:sz w:val="22"/>
          <w:szCs w:val="22"/>
          <w:lang w:val="es-ES_tradnl"/>
        </w:rPr>
        <w:t>6</w:t>
      </w:r>
      <w:r w:rsidRPr="00565E3E">
        <w:rPr>
          <w:rFonts w:ascii="Arial" w:hAnsi="Arial" w:cs="Arial"/>
          <w:b/>
          <w:sz w:val="22"/>
          <w:szCs w:val="22"/>
          <w:lang w:val="es-ES_tradnl"/>
        </w:rPr>
        <w:t xml:space="preserve"> </w:t>
      </w:r>
      <w:r>
        <w:rPr>
          <w:rFonts w:ascii="Arial" w:hAnsi="Arial" w:cs="Arial"/>
          <w:b/>
          <w:sz w:val="22"/>
          <w:szCs w:val="22"/>
          <w:lang w:val="es-ES_tradnl"/>
        </w:rPr>
        <w:t xml:space="preserve"> </w:t>
      </w:r>
      <w:r w:rsidRPr="00565E3E">
        <w:rPr>
          <w:rFonts w:ascii="Arial" w:hAnsi="Arial" w:cs="Arial"/>
          <w:b/>
          <w:sz w:val="22"/>
          <w:szCs w:val="22"/>
          <w:lang w:val="es-ES_tradnl"/>
        </w:rPr>
        <w:t xml:space="preserve"> – factores de desempate – reserva de datos sensibles </w:t>
      </w:r>
    </w:p>
    <w:p w14:paraId="7CD8A0AB" w14:textId="77777777" w:rsidR="00B23C80" w:rsidRPr="00A7133F" w:rsidRDefault="00B23C80" w:rsidP="00B23C80">
      <w:pPr>
        <w:tabs>
          <w:tab w:val="left" w:pos="6551"/>
        </w:tabs>
        <w:spacing w:line="276" w:lineRule="auto"/>
        <w:jc w:val="both"/>
        <w:rPr>
          <w:rFonts w:ascii="Arial" w:hAnsi="Arial" w:cs="Arial"/>
          <w:noProof/>
          <w:color w:val="000000" w:themeColor="text1"/>
          <w:sz w:val="22"/>
          <w:lang w:val="es-ES_tradnl"/>
        </w:rPr>
      </w:pPr>
    </w:p>
    <w:p w14:paraId="1D98AA86" w14:textId="77777777" w:rsidR="00B23C80" w:rsidRPr="006357D3" w:rsidRDefault="00B23C80" w:rsidP="00B23C80">
      <w:pPr>
        <w:tabs>
          <w:tab w:val="left" w:pos="6551"/>
        </w:tabs>
        <w:jc w:val="both"/>
        <w:rPr>
          <w:rFonts w:ascii="Arial" w:eastAsia="Calibri" w:hAnsi="Arial" w:cs="Arial"/>
          <w:color w:val="000000" w:themeColor="text1"/>
          <w:sz w:val="20"/>
          <w:szCs w:val="20"/>
          <w:lang w:val="es-ES_tradnl"/>
        </w:rPr>
      </w:pPr>
      <w:r w:rsidRPr="006357D3">
        <w:rPr>
          <w:rFonts w:ascii="Arial" w:eastAsia="Calibri" w:hAnsi="Arial" w:cs="Arial"/>
          <w:color w:val="000000" w:themeColor="text1"/>
          <w:sz w:val="20"/>
          <w:szCs w:val="20"/>
          <w:lang w:val="es-ES_tradnl"/>
        </w:rPr>
        <w:t xml:space="preserve">El parágrafo 3 del artículo 2.2.1.2.4.2.17 del Decreto 1082 de 2015, adicionado por el Decreto 1860 de 2021, establece el deber de garantizar la reserva de los documentos relativos a la acreditación  de los factores de desempate previstos en los numerales 2, 5 y 6 del artículo  2.2.1.2.4.2.17 del decreto, aplicables a mujeres víctimas de violencia intrafamiliar; población indígena, negra, afrocolombiana, raizal, palenquera, </w:t>
      </w:r>
      <w:proofErr w:type="spellStart"/>
      <w:r w:rsidRPr="006357D3">
        <w:rPr>
          <w:rFonts w:ascii="Arial" w:eastAsia="Calibri" w:hAnsi="Arial" w:cs="Arial"/>
          <w:color w:val="000000" w:themeColor="text1"/>
          <w:sz w:val="20"/>
          <w:szCs w:val="20"/>
          <w:lang w:val="es-ES_tradnl"/>
        </w:rPr>
        <w:t>Rrom</w:t>
      </w:r>
      <w:proofErr w:type="spellEnd"/>
      <w:r w:rsidRPr="006357D3">
        <w:rPr>
          <w:rFonts w:ascii="Arial" w:eastAsia="Calibri" w:hAnsi="Arial" w:cs="Arial"/>
          <w:color w:val="000000" w:themeColor="text1"/>
          <w:sz w:val="20"/>
          <w:szCs w:val="20"/>
          <w:lang w:val="es-ES_tradnl"/>
        </w:rPr>
        <w:t xml:space="preserve"> o gitana y personas en procesos de reincorporación o reintegración. Esto en consideración a que, mediante estos documentos se acreditan circunstancias que implican el suministro de datos sensibles de la esfera personal de los titulares de la información, la cual goza de protección por guardar relación con el derecho fundamental </w:t>
      </w:r>
      <w:proofErr w:type="spellStart"/>
      <w:proofErr w:type="gramStart"/>
      <w:r w:rsidRPr="006357D3">
        <w:rPr>
          <w:rFonts w:ascii="Arial" w:eastAsia="Calibri" w:hAnsi="Arial" w:cs="Arial"/>
          <w:color w:val="000000" w:themeColor="text1"/>
          <w:sz w:val="20"/>
          <w:szCs w:val="20"/>
          <w:lang w:val="es-ES_tradnl"/>
        </w:rPr>
        <w:t>al</w:t>
      </w:r>
      <w:proofErr w:type="spellEnd"/>
      <w:r w:rsidRPr="006357D3">
        <w:rPr>
          <w:rFonts w:ascii="Arial" w:eastAsia="Calibri" w:hAnsi="Arial" w:cs="Arial"/>
          <w:color w:val="000000" w:themeColor="text1"/>
          <w:sz w:val="20"/>
          <w:szCs w:val="20"/>
          <w:lang w:val="es-ES_tradnl"/>
        </w:rPr>
        <w:t xml:space="preserve"> la intimidad</w:t>
      </w:r>
      <w:proofErr w:type="gramEnd"/>
      <w:r w:rsidRPr="006357D3">
        <w:rPr>
          <w:rFonts w:ascii="Arial" w:eastAsia="Calibri" w:hAnsi="Arial" w:cs="Arial"/>
          <w:color w:val="000000" w:themeColor="text1"/>
          <w:sz w:val="20"/>
          <w:szCs w:val="20"/>
          <w:lang w:val="es-ES_tradnl"/>
        </w:rPr>
        <w:t xml:space="preserve"> de las personas, de conformidad con el artículo 18 de la Ley 1712 de 2014 y los artículos 5 y 6 de la Ley 1581 de 2012.  </w:t>
      </w:r>
    </w:p>
    <w:p w14:paraId="04D28776" w14:textId="77777777" w:rsidR="00B23C80" w:rsidRDefault="00B23C80" w:rsidP="00B23C80">
      <w:pPr>
        <w:tabs>
          <w:tab w:val="left" w:pos="6551"/>
        </w:tabs>
        <w:jc w:val="both"/>
        <w:rPr>
          <w:rFonts w:ascii="Arial" w:eastAsia="Calibri" w:hAnsi="Arial" w:cs="Arial"/>
          <w:color w:val="000000" w:themeColor="text1"/>
          <w:sz w:val="20"/>
          <w:szCs w:val="20"/>
          <w:lang w:val="es-ES_tradnl"/>
        </w:rPr>
      </w:pPr>
      <w:r w:rsidRPr="006357D3">
        <w:rPr>
          <w:rFonts w:ascii="Arial" w:eastAsia="Calibri" w:hAnsi="Arial" w:cs="Arial"/>
          <w:color w:val="000000" w:themeColor="text1"/>
          <w:sz w:val="20"/>
          <w:szCs w:val="20"/>
          <w:lang w:val="es-ES_tradnl"/>
        </w:rPr>
        <w:t xml:space="preserve">Esta misma regla se aplica para la </w:t>
      </w:r>
      <w:proofErr w:type="gramStart"/>
      <w:r w:rsidRPr="006357D3">
        <w:rPr>
          <w:rFonts w:ascii="Arial" w:eastAsia="Calibri" w:hAnsi="Arial" w:cs="Arial"/>
          <w:color w:val="000000" w:themeColor="text1"/>
          <w:sz w:val="20"/>
          <w:szCs w:val="20"/>
          <w:lang w:val="es-ES_tradnl"/>
        </w:rPr>
        <w:t>documentación  referida</w:t>
      </w:r>
      <w:proofErr w:type="gramEnd"/>
      <w:r w:rsidRPr="006357D3">
        <w:rPr>
          <w:rFonts w:ascii="Arial" w:eastAsia="Calibri" w:hAnsi="Arial" w:cs="Arial"/>
          <w:color w:val="000000" w:themeColor="text1"/>
          <w:sz w:val="20"/>
          <w:szCs w:val="20"/>
          <w:lang w:val="es-ES_tradnl"/>
        </w:rPr>
        <w:t xml:space="preserve"> a la acreditación de la calidad de sujeto de especial protección constitucional, a efectos de aplicar lo dispuesto en el artículo 2.2.1.2.4.2.16 del Decreto 1082 de 2015, adicionado por el Decreto 1860 de 2021. Esto por </w:t>
      </w:r>
      <w:proofErr w:type="gramStart"/>
      <w:r w:rsidRPr="006357D3">
        <w:rPr>
          <w:rFonts w:ascii="Arial" w:eastAsia="Calibri" w:hAnsi="Arial" w:cs="Arial"/>
          <w:color w:val="000000" w:themeColor="text1"/>
          <w:sz w:val="20"/>
          <w:szCs w:val="20"/>
          <w:lang w:val="es-ES_tradnl"/>
        </w:rPr>
        <w:t>cuanto,  el</w:t>
      </w:r>
      <w:proofErr w:type="gramEnd"/>
      <w:r w:rsidRPr="006357D3">
        <w:rPr>
          <w:rFonts w:ascii="Arial" w:eastAsia="Calibri" w:hAnsi="Arial" w:cs="Arial"/>
          <w:color w:val="000000" w:themeColor="text1"/>
          <w:sz w:val="20"/>
          <w:szCs w:val="20"/>
          <w:lang w:val="es-ES_tradnl"/>
        </w:rPr>
        <w:t xml:space="preserve"> artículo define lo que se entiende por sujetos de especial protección constitucional y, a su vez, remite la acreditación de esa condición a las mismas reglas previstas en el artículo 2.2.1.2.4.17, definidas para los criterios de desempate, cuando éstos versan sobre este tipo de personas de especial protección.</w:t>
      </w:r>
    </w:p>
    <w:p w14:paraId="1BA376DD" w14:textId="77777777" w:rsidR="00B23C80" w:rsidRDefault="00B23C80" w:rsidP="00B23C80">
      <w:pPr>
        <w:tabs>
          <w:tab w:val="left" w:pos="6551"/>
        </w:tabs>
        <w:jc w:val="both"/>
        <w:rPr>
          <w:rFonts w:ascii="Arial" w:eastAsia="Calibri" w:hAnsi="Arial" w:cs="Arial"/>
          <w:b/>
          <w:color w:val="000000" w:themeColor="text1"/>
          <w:sz w:val="22"/>
          <w:szCs w:val="22"/>
          <w:lang w:val="es-MX" w:eastAsia="en-US"/>
        </w:rPr>
      </w:pPr>
    </w:p>
    <w:p w14:paraId="6913AA37" w14:textId="77777777" w:rsidR="00B23C80" w:rsidRDefault="00B23C80" w:rsidP="00B23C80">
      <w:pPr>
        <w:tabs>
          <w:tab w:val="left" w:pos="6551"/>
        </w:tabs>
        <w:spacing w:line="276" w:lineRule="auto"/>
        <w:jc w:val="both"/>
        <w:rPr>
          <w:rFonts w:ascii="Arial" w:hAnsi="Arial" w:cs="Arial"/>
          <w:noProof/>
          <w:color w:val="000000" w:themeColor="text1"/>
          <w:sz w:val="22"/>
          <w:lang w:val="pt-BR"/>
        </w:rPr>
      </w:pPr>
      <w:r>
        <w:rPr>
          <w:rFonts w:ascii="Arial" w:eastAsia="Calibri" w:hAnsi="Arial" w:cs="Arial"/>
          <w:b/>
          <w:color w:val="000000" w:themeColor="text1"/>
          <w:sz w:val="22"/>
          <w:lang w:val="es-MX"/>
        </w:rPr>
        <w:t xml:space="preserve">PUBLICIDAD DE INFORMACIÓN – Secop – Reserva </w:t>
      </w:r>
    </w:p>
    <w:p w14:paraId="3275E715" w14:textId="77777777" w:rsidR="00B23C80" w:rsidRDefault="00B23C80" w:rsidP="00B23C80">
      <w:pPr>
        <w:tabs>
          <w:tab w:val="left" w:pos="6551"/>
        </w:tabs>
        <w:spacing w:line="276" w:lineRule="auto"/>
        <w:jc w:val="both"/>
        <w:rPr>
          <w:rFonts w:ascii="Arial" w:hAnsi="Arial" w:cs="Arial"/>
          <w:noProof/>
          <w:color w:val="000000" w:themeColor="text1"/>
          <w:sz w:val="22"/>
          <w:lang w:val="pt-BR"/>
        </w:rPr>
      </w:pPr>
    </w:p>
    <w:p w14:paraId="702EE811" w14:textId="77777777" w:rsidR="00B23C80" w:rsidRDefault="00B23C80" w:rsidP="00B23C80">
      <w:pPr>
        <w:tabs>
          <w:tab w:val="left" w:pos="6551"/>
        </w:tabs>
        <w:jc w:val="both"/>
        <w:rPr>
          <w:rFonts w:ascii="Arial" w:eastAsia="Calibri" w:hAnsi="Arial" w:cs="Arial"/>
          <w:bCs/>
          <w:color w:val="000000" w:themeColor="text1"/>
          <w:sz w:val="20"/>
          <w:szCs w:val="20"/>
          <w:lang w:val="es-ES_tradnl"/>
        </w:rPr>
      </w:pPr>
      <w:r w:rsidRPr="00634AB5">
        <w:rPr>
          <w:rFonts w:ascii="Arial" w:eastAsia="Calibri" w:hAnsi="Arial" w:cs="Arial"/>
          <w:bCs/>
          <w:color w:val="000000" w:themeColor="text1"/>
          <w:sz w:val="20"/>
          <w:szCs w:val="20"/>
          <w:lang w:val="es-ES_tradnl"/>
        </w:rPr>
        <w:t xml:space="preserve">Cuando el documento contractual tenga información sensible, clasificada o reservada, para proteger la reserva de información, las autoridades deben abstenerse de publicar en el SECOP la información que tiene protección especial o está sometida a reserva. Sin embargo, de acuerdo con el segundo inciso del artículo 25 de la Ley 1437 de 2011 «La restricción por reserva legal no se extenderá a otras piezas del respectivo expediente o actuación que no estén cubiertas por ella». Por ello, la </w:t>
      </w:r>
      <w:r w:rsidRPr="00634AB5">
        <w:rPr>
          <w:rFonts w:ascii="Arial" w:eastAsia="Calibri" w:hAnsi="Arial" w:cs="Arial"/>
          <w:bCs/>
          <w:color w:val="000000" w:themeColor="text1"/>
          <w:sz w:val="20"/>
          <w:szCs w:val="20"/>
          <w:lang w:val="es-ES_tradnl"/>
        </w:rPr>
        <w:lastRenderedPageBreak/>
        <w:t xml:space="preserve">entidad estatal puede dejar de publicar algún documento del proceso o aparte del mismo que contenga datos sensibles, clasificados o reservados, para no divulgarla, pero debe publicar los demás documentos o los apartados de </w:t>
      </w:r>
      <w:proofErr w:type="gramStart"/>
      <w:r w:rsidRPr="00634AB5">
        <w:rPr>
          <w:rFonts w:ascii="Arial" w:eastAsia="Calibri" w:hAnsi="Arial" w:cs="Arial"/>
          <w:bCs/>
          <w:color w:val="000000" w:themeColor="text1"/>
          <w:sz w:val="20"/>
          <w:szCs w:val="20"/>
          <w:lang w:val="es-ES_tradnl"/>
        </w:rPr>
        <w:t>los mismos</w:t>
      </w:r>
      <w:proofErr w:type="gramEnd"/>
      <w:r w:rsidRPr="00634AB5">
        <w:rPr>
          <w:rFonts w:ascii="Arial" w:eastAsia="Calibri" w:hAnsi="Arial" w:cs="Arial"/>
          <w:bCs/>
          <w:color w:val="000000" w:themeColor="text1"/>
          <w:sz w:val="20"/>
          <w:szCs w:val="20"/>
          <w:lang w:val="es-ES_tradnl"/>
        </w:rPr>
        <w:t>, en caso de que estos no gocen de reserva. Lo anterior, sin perjuicio de que dependiendo de la información en específico todo el documento o expediente deba dejar de publicarse, por ampararse en su integridad en alguna causal de reserva, dada la conexión de su contenido con la información que el constituyente o el legislador decidió limitar en cuanto a su publicidad.</w:t>
      </w:r>
    </w:p>
    <w:p w14:paraId="5289D367" w14:textId="77777777" w:rsidR="00B23C80" w:rsidRDefault="00B23C80" w:rsidP="00B23C80">
      <w:pPr>
        <w:tabs>
          <w:tab w:val="left" w:pos="6551"/>
        </w:tabs>
        <w:jc w:val="both"/>
        <w:rPr>
          <w:rFonts w:ascii="Arial" w:eastAsia="Calibri" w:hAnsi="Arial" w:cs="Arial"/>
          <w:bCs/>
          <w:color w:val="000000" w:themeColor="text1"/>
          <w:sz w:val="20"/>
          <w:szCs w:val="20"/>
          <w:lang w:val="es-ES_tradnl"/>
        </w:rPr>
      </w:pPr>
    </w:p>
    <w:p w14:paraId="0C8000BF" w14:textId="77777777" w:rsidR="00B23C80" w:rsidRPr="004336AD" w:rsidRDefault="00B23C80" w:rsidP="00B23C80">
      <w:pPr>
        <w:tabs>
          <w:tab w:val="left" w:pos="6551"/>
        </w:tabs>
        <w:jc w:val="both"/>
        <w:rPr>
          <w:rFonts w:ascii="Arial" w:eastAsia="Calibri" w:hAnsi="Arial" w:cs="Arial"/>
          <w:b/>
          <w:color w:val="000000" w:themeColor="text1"/>
          <w:sz w:val="20"/>
          <w:szCs w:val="20"/>
          <w:lang w:val="es-ES_tradnl"/>
        </w:rPr>
      </w:pPr>
      <w:r w:rsidRPr="004336AD">
        <w:rPr>
          <w:rFonts w:ascii="Arial" w:eastAsia="Calibri" w:hAnsi="Arial" w:cs="Arial"/>
          <w:b/>
          <w:color w:val="000000" w:themeColor="text1"/>
          <w:sz w:val="20"/>
          <w:szCs w:val="20"/>
          <w:lang w:val="es-ES_tradnl"/>
        </w:rPr>
        <w:t xml:space="preserve">ACREDITACIÓN FACTORES DE DESEMPATE O CONDICIÓN DE SUJETO DE ESPECIAL PROTECCIÓN CONSTITUCIONAL – Datos sensibles - </w:t>
      </w:r>
      <w:proofErr w:type="spellStart"/>
      <w:r w:rsidRPr="004336AD">
        <w:rPr>
          <w:rFonts w:ascii="Arial" w:eastAsia="Calibri" w:hAnsi="Arial" w:cs="Arial"/>
          <w:b/>
          <w:color w:val="000000" w:themeColor="text1"/>
          <w:sz w:val="20"/>
          <w:szCs w:val="20"/>
          <w:lang w:val="es-ES_tradnl"/>
        </w:rPr>
        <w:t>Secop</w:t>
      </w:r>
      <w:proofErr w:type="spellEnd"/>
    </w:p>
    <w:p w14:paraId="25A94933" w14:textId="77777777" w:rsidR="00B23C80" w:rsidRDefault="00B23C80" w:rsidP="00B23C80">
      <w:pPr>
        <w:tabs>
          <w:tab w:val="left" w:pos="6551"/>
        </w:tabs>
        <w:jc w:val="both"/>
        <w:rPr>
          <w:rFonts w:ascii="Arial" w:eastAsia="Calibri" w:hAnsi="Arial" w:cs="Arial"/>
          <w:bCs/>
          <w:color w:val="000000" w:themeColor="text1"/>
          <w:sz w:val="20"/>
          <w:szCs w:val="20"/>
          <w:lang w:val="es-ES_tradnl"/>
        </w:rPr>
      </w:pPr>
    </w:p>
    <w:p w14:paraId="6A69EAA3" w14:textId="77777777" w:rsidR="00B23C80" w:rsidRPr="00634AB5" w:rsidRDefault="00B23C80" w:rsidP="00B23C80">
      <w:pPr>
        <w:tabs>
          <w:tab w:val="left" w:pos="6551"/>
        </w:tabs>
        <w:jc w:val="both"/>
        <w:rPr>
          <w:rFonts w:ascii="Arial" w:eastAsia="Calibri" w:hAnsi="Arial" w:cs="Arial"/>
          <w:bCs/>
          <w:color w:val="000000" w:themeColor="text1"/>
          <w:sz w:val="20"/>
          <w:szCs w:val="20"/>
          <w:lang w:val="es-ES_tradnl"/>
        </w:rPr>
      </w:pPr>
      <w:r>
        <w:rPr>
          <w:rFonts w:ascii="Arial" w:eastAsia="Calibri" w:hAnsi="Arial" w:cs="Arial"/>
          <w:bCs/>
          <w:color w:val="000000" w:themeColor="text1"/>
          <w:sz w:val="20"/>
          <w:szCs w:val="20"/>
          <w:lang w:val="es-ES_tradnl"/>
        </w:rPr>
        <w:t>[…] l</w:t>
      </w:r>
      <w:r w:rsidRPr="00634AB5">
        <w:rPr>
          <w:rFonts w:ascii="Arial" w:eastAsia="Calibri" w:hAnsi="Arial" w:cs="Arial"/>
          <w:bCs/>
          <w:color w:val="000000" w:themeColor="text1"/>
          <w:sz w:val="20"/>
          <w:szCs w:val="20"/>
          <w:lang w:val="es-ES_tradnl"/>
        </w:rPr>
        <w:t xml:space="preserve">a acreditación de algunos factores de desempate o de la condición de sujeto de especial protección constitucional podría implicar el suministro de datos sensibles, resulta indispensable que las entidades obtengan autorización de los titulares con relación a los mismos. Esta autorización, de conformidad con el artículo 6 del Decreto 1377 de 2013, implica: i) informar al titular que por tratarse de datos sensibles no está obligado a autorizar su tratamiento; y </w:t>
      </w:r>
      <w:proofErr w:type="spellStart"/>
      <w:r w:rsidRPr="00634AB5">
        <w:rPr>
          <w:rFonts w:ascii="Arial" w:eastAsia="Calibri" w:hAnsi="Arial" w:cs="Arial"/>
          <w:bCs/>
          <w:color w:val="000000" w:themeColor="text1"/>
          <w:sz w:val="20"/>
          <w:szCs w:val="20"/>
          <w:lang w:val="es-ES_tradnl"/>
        </w:rPr>
        <w:t>ii</w:t>
      </w:r>
      <w:proofErr w:type="spellEnd"/>
      <w:r w:rsidRPr="00634AB5">
        <w:rPr>
          <w:rFonts w:ascii="Arial" w:eastAsia="Calibri" w:hAnsi="Arial" w:cs="Arial"/>
          <w:bCs/>
          <w:color w:val="000000" w:themeColor="text1"/>
          <w:sz w:val="20"/>
          <w:szCs w:val="20"/>
          <w:lang w:val="es-ES_tradnl"/>
        </w:rPr>
        <w:t>) informar de manera explícita, previa, además de los requisitos generales de la autorización para la recolección de cualquier dato personal, cuáles de los datos a suministrarse son sensibles, así como la finalidad del tratamiento, que en este caso será la aplicación  de los mencionados factores de desempate.</w:t>
      </w:r>
    </w:p>
    <w:p w14:paraId="7C5B697F" w14:textId="77777777" w:rsidR="00B23C80" w:rsidRDefault="00B23C80" w:rsidP="00B23C80">
      <w:pPr>
        <w:tabs>
          <w:tab w:val="left" w:pos="6551"/>
        </w:tabs>
        <w:jc w:val="both"/>
        <w:rPr>
          <w:rFonts w:ascii="Arial" w:eastAsia="Calibri" w:hAnsi="Arial" w:cs="Arial"/>
          <w:bCs/>
          <w:color w:val="000000" w:themeColor="text1"/>
          <w:sz w:val="20"/>
          <w:szCs w:val="20"/>
          <w:lang w:val="es-ES_tradnl"/>
        </w:rPr>
      </w:pPr>
    </w:p>
    <w:p w14:paraId="59EB17C2" w14:textId="77777777" w:rsidR="00B23C80" w:rsidRPr="00634AB5" w:rsidRDefault="00B23C80" w:rsidP="00B23C80">
      <w:pPr>
        <w:tabs>
          <w:tab w:val="left" w:pos="6551"/>
        </w:tabs>
        <w:jc w:val="both"/>
        <w:rPr>
          <w:rFonts w:ascii="Arial" w:eastAsia="Calibri" w:hAnsi="Arial" w:cs="Arial"/>
          <w:bCs/>
          <w:color w:val="000000" w:themeColor="text1"/>
          <w:sz w:val="20"/>
          <w:szCs w:val="20"/>
          <w:lang w:val="es-ES_tradnl"/>
        </w:rPr>
      </w:pPr>
      <w:r w:rsidRPr="00634AB5">
        <w:rPr>
          <w:rFonts w:ascii="Arial" w:eastAsia="Calibri" w:hAnsi="Arial" w:cs="Arial"/>
          <w:bCs/>
          <w:color w:val="000000" w:themeColor="text1"/>
          <w:sz w:val="20"/>
          <w:szCs w:val="20"/>
          <w:lang w:val="es-ES_tradnl"/>
        </w:rPr>
        <w:t>El inciso final del artículo 6 del Decreto 1377 de 2013, compilado en el artículo 2.2.2.25.2.3 del Decreto 1074 de 2015, al reglamentar la autorización para el tratamiento de datos sensibles, señala que: «Ninguna actividad podrá condicionarse a que el Titular suministre datos personales sensibles». De esta manera, el suministro de información sensible para la acreditación de los factores de desempate o la condición de sujeto de especial protección no constituye un condicionamiento para el ejercicio de la actividad económica del proponente, no es un requisito para que presentación de la oferta ni constituye una causal de rechazo. No obstante, es necesario aclarar que la aplicación del artículo 35 de la Ley 2069 de 2020 y los artículos 2.2.1.2.4.2.16 y 2.2.1.2.4.2.17 supone la acreditación de algunos supuestos de hecho, lo cual no puede entenderse como un condicionamiento en los términos de la norma citada, ya que ello no es otra cosa que la aplicación de la ley.    Sin perjuicio de lo anterior, tratándose datos sensibles, la entidad no puede divulgarlos por las razones expuestas en el presente concepto. En ese sentido, al cumplir con el deber de publicidad en el SECOP conforme a los artículos 3, literal c), de la Ley 1150 de 2007 y 2.2.1.1.1.7.1 del Decreto 1082 de 2015, la entidad debe abstenerse de publicar los documentos que contengan datos sensibles relacionados con la acreditación de los factores de desempate, y debe tomar las medidas necesarias para que la publicación de los Documentos del Proceso no conduzca la divulgación de estos</w:t>
      </w:r>
    </w:p>
    <w:p w14:paraId="4781E13B" w14:textId="4C972B30" w:rsidR="00B91691" w:rsidRDefault="00B91691" w:rsidP="00DF7960">
      <w:pPr>
        <w:spacing w:line="276" w:lineRule="auto"/>
        <w:jc w:val="both"/>
        <w:rPr>
          <w:rFonts w:ascii="Arial" w:eastAsia="Calibri" w:hAnsi="Arial" w:cs="Arial"/>
          <w:color w:val="000000" w:themeColor="text1"/>
          <w:sz w:val="20"/>
          <w:szCs w:val="20"/>
          <w:lang w:val="es-ES_tradnl"/>
        </w:rPr>
      </w:pPr>
    </w:p>
    <w:p w14:paraId="5E60BBCF" w14:textId="77777777" w:rsidR="00B23C80" w:rsidRDefault="00B23C80" w:rsidP="00DF7960">
      <w:pPr>
        <w:spacing w:line="276" w:lineRule="auto"/>
        <w:jc w:val="both"/>
        <w:rPr>
          <w:rFonts w:ascii="Arial" w:eastAsia="Calibri" w:hAnsi="Arial" w:cs="Arial"/>
          <w:color w:val="000000" w:themeColor="text1"/>
          <w:sz w:val="20"/>
          <w:szCs w:val="20"/>
          <w:lang w:val="es-ES_tradnl"/>
        </w:rPr>
      </w:pPr>
    </w:p>
    <w:p w14:paraId="0F878686" w14:textId="77777777" w:rsidR="004336AD" w:rsidRDefault="004336AD" w:rsidP="00DF7960">
      <w:pPr>
        <w:spacing w:line="276" w:lineRule="auto"/>
        <w:jc w:val="both"/>
        <w:rPr>
          <w:rFonts w:ascii="Arial" w:hAnsi="Arial" w:cs="Arial"/>
          <w:noProof/>
          <w:color w:val="000000" w:themeColor="text1"/>
          <w:sz w:val="22"/>
        </w:rPr>
      </w:pPr>
    </w:p>
    <w:p w14:paraId="0F11267A" w14:textId="77777777" w:rsidR="004336AD" w:rsidRDefault="004336AD" w:rsidP="00DF7960">
      <w:pPr>
        <w:spacing w:line="276" w:lineRule="auto"/>
        <w:jc w:val="both"/>
        <w:rPr>
          <w:rFonts w:ascii="Arial" w:hAnsi="Arial" w:cs="Arial"/>
          <w:noProof/>
          <w:color w:val="000000" w:themeColor="text1"/>
          <w:sz w:val="22"/>
        </w:rPr>
      </w:pPr>
    </w:p>
    <w:p w14:paraId="64E8D7A7" w14:textId="77777777" w:rsidR="004336AD" w:rsidRDefault="004336AD" w:rsidP="00DF7960">
      <w:pPr>
        <w:spacing w:line="276" w:lineRule="auto"/>
        <w:jc w:val="both"/>
        <w:rPr>
          <w:rFonts w:ascii="Arial" w:hAnsi="Arial" w:cs="Arial"/>
          <w:noProof/>
          <w:color w:val="000000" w:themeColor="text1"/>
          <w:sz w:val="22"/>
        </w:rPr>
      </w:pPr>
    </w:p>
    <w:p w14:paraId="23A58545" w14:textId="77777777" w:rsidR="004336AD" w:rsidRDefault="004336AD" w:rsidP="00DF7960">
      <w:pPr>
        <w:spacing w:line="276" w:lineRule="auto"/>
        <w:jc w:val="both"/>
        <w:rPr>
          <w:rFonts w:ascii="Arial" w:hAnsi="Arial" w:cs="Arial"/>
          <w:noProof/>
          <w:color w:val="000000" w:themeColor="text1"/>
          <w:sz w:val="22"/>
        </w:rPr>
      </w:pPr>
    </w:p>
    <w:p w14:paraId="4A39889F" w14:textId="77777777" w:rsidR="004336AD" w:rsidRDefault="004336AD" w:rsidP="00DF7960">
      <w:pPr>
        <w:spacing w:line="276" w:lineRule="auto"/>
        <w:jc w:val="both"/>
        <w:rPr>
          <w:rFonts w:ascii="Arial" w:hAnsi="Arial" w:cs="Arial"/>
          <w:noProof/>
          <w:color w:val="000000" w:themeColor="text1"/>
          <w:sz w:val="22"/>
        </w:rPr>
      </w:pPr>
    </w:p>
    <w:p w14:paraId="24FD00FC" w14:textId="77777777" w:rsidR="004336AD" w:rsidRDefault="004336AD" w:rsidP="00DF7960">
      <w:pPr>
        <w:spacing w:line="276" w:lineRule="auto"/>
        <w:jc w:val="both"/>
        <w:rPr>
          <w:rFonts w:ascii="Arial" w:hAnsi="Arial" w:cs="Arial"/>
          <w:noProof/>
          <w:color w:val="000000" w:themeColor="text1"/>
          <w:sz w:val="22"/>
        </w:rPr>
      </w:pPr>
    </w:p>
    <w:p w14:paraId="51E2229D" w14:textId="77777777" w:rsidR="004336AD" w:rsidRDefault="004336AD" w:rsidP="00DF7960">
      <w:pPr>
        <w:spacing w:line="276" w:lineRule="auto"/>
        <w:jc w:val="both"/>
        <w:rPr>
          <w:rFonts w:ascii="Arial" w:hAnsi="Arial" w:cs="Arial"/>
          <w:noProof/>
          <w:color w:val="000000" w:themeColor="text1"/>
          <w:sz w:val="22"/>
        </w:rPr>
      </w:pPr>
    </w:p>
    <w:p w14:paraId="78D61A59" w14:textId="77777777" w:rsidR="004336AD" w:rsidRDefault="004336AD" w:rsidP="00DF7960">
      <w:pPr>
        <w:spacing w:line="276" w:lineRule="auto"/>
        <w:jc w:val="both"/>
        <w:rPr>
          <w:rFonts w:ascii="Arial" w:hAnsi="Arial" w:cs="Arial"/>
          <w:noProof/>
          <w:color w:val="000000" w:themeColor="text1"/>
          <w:sz w:val="22"/>
        </w:rPr>
      </w:pPr>
    </w:p>
    <w:p w14:paraId="3047E99C" w14:textId="77777777" w:rsidR="004336AD" w:rsidRDefault="004336AD" w:rsidP="00DF7960">
      <w:pPr>
        <w:spacing w:line="276" w:lineRule="auto"/>
        <w:jc w:val="both"/>
        <w:rPr>
          <w:rFonts w:ascii="Arial" w:hAnsi="Arial" w:cs="Arial"/>
          <w:noProof/>
          <w:color w:val="000000" w:themeColor="text1"/>
          <w:sz w:val="22"/>
        </w:rPr>
      </w:pPr>
    </w:p>
    <w:p w14:paraId="23BD16AB" w14:textId="77777777" w:rsidR="00697E41" w:rsidRDefault="00697E41" w:rsidP="00B95C30">
      <w:pPr>
        <w:jc w:val="both"/>
        <w:rPr>
          <w:rFonts w:ascii="_=ó≤ò" w:eastAsiaTheme="minorHAnsi" w:hAnsi="_=ó≤ò" w:cs="_=ó≤ò"/>
          <w:color w:val="4E4D4D"/>
          <w:sz w:val="22"/>
          <w:szCs w:val="22"/>
          <w:lang w:val="es-ES_tradnl" w:eastAsia="en-US"/>
        </w:rPr>
      </w:pPr>
    </w:p>
    <w:p w14:paraId="3DDF0C2E" w14:textId="77777777" w:rsidR="00697E41" w:rsidRDefault="00697E41" w:rsidP="00B95C30">
      <w:pPr>
        <w:jc w:val="both"/>
        <w:rPr>
          <w:rFonts w:ascii="_=ó≤ò" w:eastAsiaTheme="minorHAnsi" w:hAnsi="_=ó≤ò" w:cs="_=ó≤ò"/>
          <w:color w:val="4E4D4D"/>
          <w:sz w:val="22"/>
          <w:szCs w:val="22"/>
          <w:lang w:val="es-ES_tradnl" w:eastAsia="en-US"/>
        </w:rPr>
      </w:pPr>
    </w:p>
    <w:p w14:paraId="5FDF9495" w14:textId="3F051F52" w:rsidR="00631A31" w:rsidRPr="00A51520" w:rsidRDefault="00697E41" w:rsidP="00B95C30">
      <w:pPr>
        <w:jc w:val="both"/>
        <w:rPr>
          <w:rFonts w:ascii="Arial" w:hAnsi="Arial" w:cs="Arial"/>
          <w:b/>
          <w:color w:val="000000" w:themeColor="text1"/>
          <w:sz w:val="22"/>
          <w:lang w:val="pt-BR"/>
        </w:rPr>
      </w:pPr>
      <w:r>
        <w:rPr>
          <w:rFonts w:ascii="_=ó≤ò" w:eastAsiaTheme="minorHAnsi" w:hAnsi="_=ó≤ò" w:cs="_=ó≤ò"/>
          <w:color w:val="4E4D4D"/>
          <w:sz w:val="22"/>
          <w:szCs w:val="22"/>
          <w:lang w:val="es-ES_tradnl" w:eastAsia="en-US"/>
        </w:rPr>
        <w:t xml:space="preserve">Bogotá, 18 </w:t>
      </w:r>
      <w:proofErr w:type="gramStart"/>
      <w:r>
        <w:rPr>
          <w:rFonts w:ascii="_=ó≤ò" w:eastAsiaTheme="minorHAnsi" w:hAnsi="_=ó≤ò" w:cs="_=ó≤ò"/>
          <w:color w:val="4E4D4D"/>
          <w:sz w:val="22"/>
          <w:szCs w:val="22"/>
          <w:lang w:val="es-ES_tradnl" w:eastAsia="en-US"/>
        </w:rPr>
        <w:t>Mayo</w:t>
      </w:r>
      <w:proofErr w:type="gramEnd"/>
      <w:r>
        <w:rPr>
          <w:rFonts w:ascii="_=ó≤ò" w:eastAsiaTheme="minorHAnsi" w:hAnsi="_=ó≤ò" w:cs="_=ó≤ò"/>
          <w:color w:val="4E4D4D"/>
          <w:sz w:val="22"/>
          <w:szCs w:val="22"/>
          <w:lang w:val="es-ES_tradnl" w:eastAsia="en-US"/>
        </w:rPr>
        <w:t xml:space="preserve"> 2022</w:t>
      </w:r>
      <w:r>
        <w:rPr>
          <w:rFonts w:ascii="_=ó≤ò" w:eastAsiaTheme="minorHAnsi" w:hAnsi="_=ó≤ò" w:cs="_=ó≤ò"/>
          <w:color w:val="4E4D4D"/>
          <w:sz w:val="22"/>
          <w:szCs w:val="22"/>
          <w:lang w:val="es-ES_tradnl" w:eastAsia="en-US"/>
        </w:rPr>
        <w:tab/>
      </w:r>
      <w:r>
        <w:rPr>
          <w:rFonts w:ascii="_=ó≤ò" w:eastAsiaTheme="minorHAnsi" w:hAnsi="_=ó≤ò" w:cs="_=ó≤ò"/>
          <w:color w:val="4E4D4D"/>
          <w:sz w:val="22"/>
          <w:szCs w:val="22"/>
          <w:lang w:val="es-ES_tradnl" w:eastAsia="en-US"/>
        </w:rPr>
        <w:tab/>
      </w:r>
      <w:r>
        <w:rPr>
          <w:rFonts w:ascii="_=ó≤ò" w:eastAsiaTheme="minorHAnsi" w:hAnsi="_=ó≤ò" w:cs="_=ó≤ò"/>
          <w:color w:val="4E4D4D"/>
          <w:sz w:val="22"/>
          <w:szCs w:val="22"/>
          <w:lang w:val="es-ES_tradnl" w:eastAsia="en-US"/>
        </w:rPr>
        <w:tab/>
      </w:r>
      <w:r w:rsidRPr="00697E41">
        <w:rPr>
          <w:rFonts w:ascii="_=ó≤ò" w:eastAsiaTheme="minorHAnsi" w:hAnsi="_=ó≤ò" w:cs="_=ó≤ò"/>
          <w:noProof/>
          <w:color w:val="4E4D4D"/>
          <w:sz w:val="22"/>
          <w:szCs w:val="22"/>
          <w:lang w:val="es-ES_tradnl" w:eastAsia="en-US"/>
        </w:rPr>
        <w:drawing>
          <wp:inline distT="0" distB="0" distL="0" distR="0" wp14:anchorId="428F6009" wp14:editId="0736708E">
            <wp:extent cx="3112135" cy="641009"/>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1"/>
                    <a:stretch>
                      <a:fillRect/>
                    </a:stretch>
                  </pic:blipFill>
                  <pic:spPr>
                    <a:xfrm>
                      <a:off x="0" y="0"/>
                      <a:ext cx="3149138" cy="648630"/>
                    </a:xfrm>
                    <a:prstGeom prst="rect">
                      <a:avLst/>
                    </a:prstGeom>
                  </pic:spPr>
                </pic:pic>
              </a:graphicData>
            </a:graphic>
          </wp:inline>
        </w:drawing>
      </w:r>
    </w:p>
    <w:p w14:paraId="78C3A93A" w14:textId="77777777" w:rsidR="00697E41" w:rsidRDefault="00697E41" w:rsidP="00B95C30">
      <w:pPr>
        <w:jc w:val="both"/>
        <w:rPr>
          <w:rFonts w:ascii="Arial" w:eastAsia="Calibri" w:hAnsi="Arial" w:cs="Arial"/>
          <w:color w:val="000000" w:themeColor="text1"/>
          <w:sz w:val="22"/>
        </w:rPr>
      </w:pPr>
      <w:bookmarkStart w:id="3" w:name="_Hlk100758287"/>
    </w:p>
    <w:p w14:paraId="046D06BC" w14:textId="77777777" w:rsidR="00697E41" w:rsidRDefault="00697E41" w:rsidP="00B95C30">
      <w:pPr>
        <w:jc w:val="both"/>
        <w:rPr>
          <w:rFonts w:ascii="Arial" w:eastAsia="Calibri" w:hAnsi="Arial" w:cs="Arial"/>
          <w:color w:val="000000" w:themeColor="text1"/>
          <w:sz w:val="22"/>
        </w:rPr>
      </w:pPr>
    </w:p>
    <w:p w14:paraId="785976CD" w14:textId="77777777" w:rsidR="00697E41" w:rsidRDefault="00697E41" w:rsidP="00B95C30">
      <w:pPr>
        <w:jc w:val="both"/>
        <w:rPr>
          <w:rFonts w:ascii="Arial" w:eastAsia="Calibri" w:hAnsi="Arial" w:cs="Arial"/>
          <w:color w:val="000000" w:themeColor="text1"/>
          <w:sz w:val="22"/>
        </w:rPr>
      </w:pPr>
    </w:p>
    <w:p w14:paraId="0A302DFB" w14:textId="77777777" w:rsidR="00697E41" w:rsidRDefault="00697E41" w:rsidP="00B95C30">
      <w:pPr>
        <w:jc w:val="both"/>
        <w:rPr>
          <w:rFonts w:ascii="Arial" w:eastAsia="Calibri" w:hAnsi="Arial" w:cs="Arial"/>
          <w:color w:val="000000" w:themeColor="text1"/>
          <w:sz w:val="22"/>
        </w:rPr>
      </w:pPr>
    </w:p>
    <w:p w14:paraId="1B2B099C" w14:textId="77777777" w:rsidR="00697E41" w:rsidRDefault="00697E41" w:rsidP="00B95C30">
      <w:pPr>
        <w:jc w:val="both"/>
        <w:rPr>
          <w:rFonts w:ascii="Arial" w:eastAsia="Calibri" w:hAnsi="Arial" w:cs="Arial"/>
          <w:color w:val="000000" w:themeColor="text1"/>
          <w:sz w:val="22"/>
        </w:rPr>
      </w:pPr>
    </w:p>
    <w:p w14:paraId="5F5AE9EF" w14:textId="7560BC77" w:rsidR="00B95C30" w:rsidRPr="00A51520" w:rsidRDefault="00B95C30" w:rsidP="00B95C30">
      <w:pPr>
        <w:jc w:val="both"/>
        <w:rPr>
          <w:rFonts w:ascii="Arial" w:eastAsia="Calibri" w:hAnsi="Arial" w:cs="Arial"/>
          <w:color w:val="000000" w:themeColor="text1"/>
          <w:sz w:val="22"/>
        </w:rPr>
      </w:pPr>
      <w:r w:rsidRPr="00A51520">
        <w:rPr>
          <w:rFonts w:ascii="Arial" w:eastAsia="Calibri" w:hAnsi="Arial" w:cs="Arial"/>
          <w:color w:val="000000" w:themeColor="text1"/>
          <w:sz w:val="22"/>
        </w:rPr>
        <w:t>Señor</w:t>
      </w:r>
    </w:p>
    <w:p w14:paraId="798A20AC" w14:textId="430FFA8E" w:rsidR="005F5F37" w:rsidRPr="00C26B44" w:rsidRDefault="00F508BE" w:rsidP="00BF4EC5">
      <w:pPr>
        <w:jc w:val="both"/>
        <w:rPr>
          <w:rFonts w:ascii="Arial" w:eastAsia="Calibri" w:hAnsi="Arial" w:cs="Arial"/>
          <w:b/>
          <w:color w:val="000000" w:themeColor="text1"/>
          <w:sz w:val="22"/>
        </w:rPr>
      </w:pPr>
      <w:proofErr w:type="spellStart"/>
      <w:r w:rsidRPr="00C26B44">
        <w:rPr>
          <w:rFonts w:ascii="Arial" w:eastAsia="Calibri" w:hAnsi="Arial" w:cs="Arial"/>
          <w:b/>
          <w:color w:val="000000" w:themeColor="text1"/>
          <w:sz w:val="22"/>
        </w:rPr>
        <w:t>Faiver</w:t>
      </w:r>
      <w:proofErr w:type="spellEnd"/>
      <w:r w:rsidRPr="00C26B44">
        <w:rPr>
          <w:rFonts w:ascii="Arial" w:eastAsia="Calibri" w:hAnsi="Arial" w:cs="Arial"/>
          <w:b/>
          <w:color w:val="000000" w:themeColor="text1"/>
          <w:sz w:val="22"/>
        </w:rPr>
        <w:t xml:space="preserve"> Hernán García Romero</w:t>
      </w:r>
    </w:p>
    <w:p w14:paraId="411CBCE1" w14:textId="3C5A69C0" w:rsidR="00BF4EC5" w:rsidRPr="00C26B44" w:rsidRDefault="00E803A6" w:rsidP="00BF4EC5">
      <w:pPr>
        <w:jc w:val="both"/>
        <w:rPr>
          <w:rFonts w:ascii="Arial" w:eastAsia="Calibri" w:hAnsi="Arial" w:cs="Arial"/>
          <w:bCs/>
          <w:color w:val="000000" w:themeColor="text1"/>
          <w:sz w:val="22"/>
        </w:rPr>
      </w:pPr>
      <w:r w:rsidRPr="00C26B44">
        <w:rPr>
          <w:rFonts w:ascii="Arial" w:eastAsia="Calibri" w:hAnsi="Arial" w:cs="Arial"/>
          <w:bCs/>
          <w:color w:val="000000" w:themeColor="text1"/>
          <w:sz w:val="22"/>
        </w:rPr>
        <w:t>Bogotá D.C.</w:t>
      </w:r>
      <w:r w:rsidR="00BF4EC5" w:rsidRPr="00C26B44">
        <w:rPr>
          <w:rFonts w:ascii="Arial" w:eastAsia="Calibri" w:hAnsi="Arial" w:cs="Arial"/>
          <w:bCs/>
          <w:color w:val="000000" w:themeColor="text1"/>
          <w:sz w:val="22"/>
        </w:rPr>
        <w:t xml:space="preserve"> </w:t>
      </w:r>
    </w:p>
    <w:p w14:paraId="294EADE9" w14:textId="77777777" w:rsidR="008E6428" w:rsidRPr="00C26B44" w:rsidRDefault="008E6428" w:rsidP="003C0791">
      <w:pPr>
        <w:rPr>
          <w:rFonts w:ascii="Arial" w:eastAsia="Calibri" w:hAnsi="Arial" w:cs="Arial"/>
          <w:b/>
          <w:bCs/>
          <w:color w:val="000000" w:themeColor="text1"/>
          <w:sz w:val="22"/>
        </w:rPr>
      </w:pPr>
    </w:p>
    <w:p w14:paraId="1BD594F9" w14:textId="68B3FFA9" w:rsidR="00B95C30" w:rsidRPr="00A51520" w:rsidRDefault="005B1504" w:rsidP="003C0791">
      <w:pPr>
        <w:rPr>
          <w:rFonts w:ascii="Arial" w:eastAsia="Calibri" w:hAnsi="Arial" w:cs="Arial"/>
          <w:b/>
          <w:bCs/>
          <w:color w:val="000000" w:themeColor="text1"/>
          <w:sz w:val="22"/>
          <w:lang w:val="pt-BR"/>
        </w:rPr>
      </w:pPr>
      <w:r w:rsidRPr="00C26B44">
        <w:rPr>
          <w:rFonts w:ascii="Arial" w:eastAsia="Calibri" w:hAnsi="Arial" w:cs="Arial"/>
          <w:b/>
          <w:bCs/>
          <w:color w:val="000000" w:themeColor="text1"/>
          <w:sz w:val="22"/>
        </w:rPr>
        <w:t xml:space="preserve">                     </w:t>
      </w:r>
      <w:r w:rsidR="00923FA6" w:rsidRPr="00C26B44">
        <w:rPr>
          <w:rFonts w:ascii="Arial" w:eastAsia="Calibri" w:hAnsi="Arial" w:cs="Arial"/>
          <w:b/>
          <w:bCs/>
          <w:color w:val="000000" w:themeColor="text1"/>
          <w:sz w:val="22"/>
        </w:rPr>
        <w:t xml:space="preserve">                      </w:t>
      </w:r>
      <w:r w:rsidRPr="00C26B44">
        <w:rPr>
          <w:rFonts w:ascii="Arial" w:eastAsia="Calibri" w:hAnsi="Arial" w:cs="Arial"/>
          <w:b/>
          <w:bCs/>
          <w:color w:val="000000" w:themeColor="text1"/>
          <w:sz w:val="22"/>
        </w:rPr>
        <w:t xml:space="preserve"> </w:t>
      </w:r>
      <w:r w:rsidR="00023FA5" w:rsidRPr="00A51520">
        <w:rPr>
          <w:rFonts w:ascii="Arial" w:eastAsia="Calibri" w:hAnsi="Arial" w:cs="Arial"/>
          <w:b/>
          <w:bCs/>
          <w:color w:val="000000" w:themeColor="text1"/>
          <w:sz w:val="22"/>
          <w:lang w:val="pt-BR"/>
        </w:rPr>
        <w:t xml:space="preserve">Concepto C ‒ </w:t>
      </w:r>
      <w:r w:rsidR="008B1973">
        <w:rPr>
          <w:rFonts w:ascii="Arial" w:eastAsia="Calibri" w:hAnsi="Arial" w:cs="Arial"/>
          <w:b/>
          <w:bCs/>
          <w:color w:val="000000" w:themeColor="text1"/>
          <w:sz w:val="22"/>
          <w:lang w:val="pt-BR"/>
        </w:rPr>
        <w:t>326</w:t>
      </w:r>
      <w:r w:rsidR="003A3247">
        <w:rPr>
          <w:rFonts w:ascii="Arial" w:eastAsia="Calibri" w:hAnsi="Arial" w:cs="Arial"/>
          <w:b/>
          <w:bCs/>
          <w:color w:val="000000" w:themeColor="text1"/>
          <w:sz w:val="22"/>
          <w:lang w:val="pt-BR"/>
        </w:rPr>
        <w:t xml:space="preserve"> </w:t>
      </w:r>
      <w:r w:rsidR="00275FBF" w:rsidRPr="00A51520">
        <w:rPr>
          <w:rFonts w:ascii="Arial" w:eastAsia="Calibri" w:hAnsi="Arial" w:cs="Arial"/>
          <w:b/>
          <w:bCs/>
          <w:color w:val="000000" w:themeColor="text1"/>
          <w:sz w:val="22"/>
          <w:lang w:val="pt-BR"/>
        </w:rPr>
        <w:t>de 202</w:t>
      </w:r>
      <w:r w:rsidR="00BF4EC5" w:rsidRPr="00A51520">
        <w:rPr>
          <w:rFonts w:ascii="Arial" w:eastAsia="Calibri" w:hAnsi="Arial" w:cs="Arial"/>
          <w:b/>
          <w:bCs/>
          <w:color w:val="000000" w:themeColor="text1"/>
          <w:sz w:val="22"/>
          <w:lang w:val="pt-BR"/>
        </w:rPr>
        <w:t>2</w:t>
      </w:r>
    </w:p>
    <w:p w14:paraId="7063750E" w14:textId="77777777" w:rsidR="005F5F37" w:rsidRPr="00A51520" w:rsidRDefault="005F5F37" w:rsidP="003C0791">
      <w:pPr>
        <w:rPr>
          <w:rFonts w:ascii="Arial" w:eastAsia="Calibri" w:hAnsi="Arial" w:cs="Arial"/>
          <w:b/>
          <w:bCs/>
          <w:color w:val="000000" w:themeColor="text1"/>
          <w:sz w:val="22"/>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A51520" w14:paraId="19DFC051" w14:textId="77777777" w:rsidTr="00254E86">
        <w:tc>
          <w:tcPr>
            <w:tcW w:w="2689" w:type="dxa"/>
          </w:tcPr>
          <w:p w14:paraId="6BC0D1AC" w14:textId="569BAEB9" w:rsidR="00B95C30" w:rsidRPr="00A51520" w:rsidRDefault="00B95C30" w:rsidP="00D15356">
            <w:pPr>
              <w:jc w:val="both"/>
              <w:rPr>
                <w:rFonts w:ascii="Arial" w:eastAsia="Calibri" w:hAnsi="Arial" w:cs="Arial"/>
                <w:color w:val="000000" w:themeColor="text1"/>
                <w:sz w:val="22"/>
                <w:lang w:val="es-ES_tradnl"/>
              </w:rPr>
            </w:pPr>
            <w:r w:rsidRPr="00A51520">
              <w:rPr>
                <w:rFonts w:ascii="Arial" w:eastAsia="Calibri" w:hAnsi="Arial" w:cs="Arial"/>
                <w:b/>
                <w:color w:val="000000" w:themeColor="text1"/>
                <w:sz w:val="22"/>
                <w:lang w:val="es-ES_tradnl"/>
              </w:rPr>
              <w:t>Temas:</w:t>
            </w:r>
            <w:r w:rsidR="005B1504" w:rsidRPr="00A51520">
              <w:rPr>
                <w:rFonts w:ascii="Arial" w:eastAsia="Calibri" w:hAnsi="Arial" w:cs="Arial"/>
                <w:color w:val="000000" w:themeColor="text1"/>
                <w:sz w:val="22"/>
                <w:lang w:val="es-ES_tradnl"/>
              </w:rPr>
              <w:t xml:space="preserve">                   </w:t>
            </w:r>
          </w:p>
        </w:tc>
        <w:tc>
          <w:tcPr>
            <w:tcW w:w="6237" w:type="dxa"/>
          </w:tcPr>
          <w:p w14:paraId="5F389CAF" w14:textId="011B3BCA" w:rsidR="00337178" w:rsidRPr="00337178" w:rsidRDefault="004F1F23" w:rsidP="00993CD6">
            <w:pPr>
              <w:tabs>
                <w:tab w:val="left" w:pos="6551"/>
              </w:tabs>
              <w:jc w:val="both"/>
              <w:rPr>
                <w:rFonts w:ascii="Arial" w:eastAsia="Calibri" w:hAnsi="Arial" w:cs="Arial"/>
                <w:bCs/>
                <w:color w:val="000000" w:themeColor="text1"/>
                <w:sz w:val="22"/>
                <w:lang w:val="es-ES_tradnl"/>
              </w:rPr>
            </w:pPr>
            <w:r w:rsidRPr="004F1F23">
              <w:rPr>
                <w:rFonts w:ascii="Arial" w:eastAsia="Calibri" w:hAnsi="Arial" w:cs="Arial"/>
                <w:color w:val="000000" w:themeColor="text1"/>
                <w:sz w:val="22"/>
                <w:lang w:val="es-ES_tradnl"/>
              </w:rPr>
              <w:t>LEY DE EMPRENDIMIENTO – Ley 2069 de 2020 – Finalidad</w:t>
            </w:r>
            <w:r>
              <w:rPr>
                <w:rFonts w:ascii="Arial" w:eastAsia="Calibri" w:hAnsi="Arial" w:cs="Arial"/>
                <w:color w:val="000000" w:themeColor="text1"/>
                <w:sz w:val="22"/>
                <w:lang w:val="es-ES_tradnl"/>
              </w:rPr>
              <w:t xml:space="preserve"> /</w:t>
            </w:r>
            <w:r w:rsidRPr="004F1F23">
              <w:rPr>
                <w:rFonts w:ascii="Arial" w:eastAsia="Calibri" w:hAnsi="Arial" w:cs="Arial"/>
                <w:color w:val="000000" w:themeColor="text1"/>
                <w:sz w:val="22"/>
                <w:lang w:val="es-ES_tradnl"/>
              </w:rPr>
              <w:t xml:space="preserve"> LEY 2069 DE 2020 – Artículos 31 y 32 – Criterios diferenciales </w:t>
            </w:r>
            <w:r>
              <w:rPr>
                <w:rFonts w:ascii="Arial" w:eastAsia="Calibri" w:hAnsi="Arial" w:cs="Arial"/>
                <w:color w:val="000000" w:themeColor="text1"/>
                <w:sz w:val="22"/>
                <w:lang w:val="es-ES_tradnl"/>
              </w:rPr>
              <w:t>–</w:t>
            </w:r>
            <w:r w:rsidRPr="004F1F23">
              <w:rPr>
                <w:rFonts w:ascii="Arial" w:eastAsia="Calibri" w:hAnsi="Arial" w:cs="Arial"/>
                <w:color w:val="000000" w:themeColor="text1"/>
                <w:sz w:val="22"/>
                <w:lang w:val="es-ES_tradnl"/>
              </w:rPr>
              <w:t xml:space="preserve"> reglamentación</w:t>
            </w:r>
            <w:r>
              <w:rPr>
                <w:rFonts w:ascii="Arial" w:eastAsia="Calibri" w:hAnsi="Arial" w:cs="Arial"/>
                <w:color w:val="000000" w:themeColor="text1"/>
                <w:sz w:val="22"/>
                <w:lang w:val="es-ES_tradnl"/>
              </w:rPr>
              <w:t xml:space="preserve"> </w:t>
            </w:r>
            <w:r w:rsidR="00993CD6" w:rsidRPr="00A7133F">
              <w:rPr>
                <w:rFonts w:ascii="Arial" w:eastAsia="Calibri" w:hAnsi="Arial" w:cs="Arial"/>
                <w:color w:val="000000" w:themeColor="text1"/>
                <w:sz w:val="22"/>
                <w:lang w:val="es-ES_tradnl"/>
              </w:rPr>
              <w:t>/</w:t>
            </w:r>
            <w:r>
              <w:rPr>
                <w:rFonts w:ascii="Arial" w:eastAsia="Calibri" w:hAnsi="Arial" w:cs="Arial"/>
                <w:color w:val="000000" w:themeColor="text1"/>
                <w:sz w:val="22"/>
                <w:lang w:val="es-ES_tradnl"/>
              </w:rPr>
              <w:t xml:space="preserve"> </w:t>
            </w:r>
            <w:r w:rsidRPr="004F1F23">
              <w:rPr>
                <w:rFonts w:ascii="Arial" w:eastAsia="Calibri" w:hAnsi="Arial" w:cs="Arial"/>
                <w:color w:val="000000" w:themeColor="text1"/>
                <w:sz w:val="22"/>
                <w:lang w:val="es-ES_tradnl"/>
              </w:rPr>
              <w:t xml:space="preserve">REQUISITOS HABILITANTES – Concepto – incentivos para emprendimientos y empresas de mujeres y </w:t>
            </w:r>
            <w:proofErr w:type="spellStart"/>
            <w:r w:rsidRPr="004F1F23">
              <w:rPr>
                <w:rFonts w:ascii="Arial" w:eastAsia="Calibri" w:hAnsi="Arial" w:cs="Arial"/>
                <w:color w:val="000000" w:themeColor="text1"/>
                <w:sz w:val="22"/>
                <w:lang w:val="es-ES_tradnl"/>
              </w:rPr>
              <w:t>mipymes</w:t>
            </w:r>
            <w:proofErr w:type="spellEnd"/>
            <w:r w:rsidR="00A7180C">
              <w:rPr>
                <w:rFonts w:ascii="Arial" w:eastAsia="Calibri" w:hAnsi="Arial" w:cs="Arial"/>
                <w:color w:val="000000" w:themeColor="text1"/>
                <w:sz w:val="22"/>
                <w:lang w:val="es-ES_tradnl"/>
              </w:rPr>
              <w:t xml:space="preserve"> / GARANTÍA DE SERIEDAD DE LA OFERTA – Valor – criterio diferencial</w:t>
            </w:r>
            <w:r w:rsidR="004336AD">
              <w:rPr>
                <w:rFonts w:ascii="Arial" w:eastAsia="Calibri" w:hAnsi="Arial" w:cs="Arial"/>
                <w:color w:val="000000" w:themeColor="text1"/>
                <w:sz w:val="22"/>
                <w:lang w:val="es-ES_tradnl"/>
              </w:rPr>
              <w:t xml:space="preserve"> /</w:t>
            </w:r>
            <w:r w:rsidR="00993CD6" w:rsidRPr="00A7133F">
              <w:rPr>
                <w:rFonts w:ascii="Arial" w:eastAsia="Calibri" w:hAnsi="Arial" w:cs="Arial"/>
                <w:color w:val="000000" w:themeColor="text1"/>
                <w:sz w:val="22"/>
                <w:lang w:val="es-ES_tradnl"/>
              </w:rPr>
              <w:t xml:space="preserve"> </w:t>
            </w:r>
            <w:r w:rsidR="004336AD" w:rsidRPr="004336AD">
              <w:rPr>
                <w:rFonts w:ascii="Arial" w:eastAsia="Calibri" w:hAnsi="Arial" w:cs="Arial"/>
                <w:color w:val="000000" w:themeColor="text1"/>
                <w:sz w:val="22"/>
                <w:lang w:val="es-ES_tradnl"/>
              </w:rPr>
              <w:t xml:space="preserve">ACREDITACIÓN FACTORES DE DESEMPATE – Ley 2069 de 2020 – Decreto 1860 de 2021 </w:t>
            </w:r>
            <w:r w:rsidR="00993CD6" w:rsidRPr="00A7133F">
              <w:rPr>
                <w:rFonts w:ascii="Arial" w:eastAsia="Calibri" w:hAnsi="Arial" w:cs="Arial"/>
                <w:color w:val="000000" w:themeColor="text1"/>
                <w:sz w:val="22"/>
                <w:lang w:val="es-ES_tradnl"/>
              </w:rPr>
              <w:t xml:space="preserve"> / </w:t>
            </w:r>
            <w:r w:rsidR="004336AD" w:rsidRPr="004336AD">
              <w:rPr>
                <w:rFonts w:ascii="Arial" w:eastAsia="Calibri" w:hAnsi="Arial" w:cs="Arial"/>
                <w:color w:val="000000" w:themeColor="text1"/>
                <w:sz w:val="22"/>
                <w:lang w:val="es-ES_tradnl"/>
              </w:rPr>
              <w:t xml:space="preserve">PARÁGRAFO 3 ARTÍCULO 2.2.1.2.4.2.17 DECRETO 1860 de 2021 – Sujetos de especial protección constitucional artículo 2.2.1.2.4.2.16   – factores de desempate – reserva de datos sensibles </w:t>
            </w:r>
            <w:r w:rsidR="00993CD6" w:rsidRPr="00A7133F">
              <w:rPr>
                <w:rFonts w:ascii="Arial" w:eastAsia="Calibri" w:hAnsi="Arial" w:cs="Arial"/>
                <w:color w:val="000000" w:themeColor="text1"/>
                <w:sz w:val="22"/>
                <w:lang w:val="es-ES_tradnl"/>
              </w:rPr>
              <w:t xml:space="preserve">/ </w:t>
            </w:r>
            <w:r w:rsidR="004336AD" w:rsidRPr="004336AD">
              <w:rPr>
                <w:rFonts w:ascii="Arial" w:eastAsia="Calibri" w:hAnsi="Arial" w:cs="Arial"/>
                <w:color w:val="000000" w:themeColor="text1"/>
                <w:sz w:val="22"/>
                <w:lang w:val="es-ES_tradnl"/>
              </w:rPr>
              <w:t xml:space="preserve">PUBLICIDAD DE INFORMACIÓN – </w:t>
            </w:r>
            <w:proofErr w:type="spellStart"/>
            <w:r w:rsidR="004336AD" w:rsidRPr="004336AD">
              <w:rPr>
                <w:rFonts w:ascii="Arial" w:eastAsia="Calibri" w:hAnsi="Arial" w:cs="Arial"/>
                <w:color w:val="000000" w:themeColor="text1"/>
                <w:sz w:val="22"/>
                <w:lang w:val="es-ES_tradnl"/>
              </w:rPr>
              <w:t>Secop</w:t>
            </w:r>
            <w:proofErr w:type="spellEnd"/>
            <w:r w:rsidR="004336AD" w:rsidRPr="004336AD">
              <w:rPr>
                <w:rFonts w:ascii="Arial" w:eastAsia="Calibri" w:hAnsi="Arial" w:cs="Arial"/>
                <w:color w:val="000000" w:themeColor="text1"/>
                <w:sz w:val="22"/>
                <w:lang w:val="es-ES_tradnl"/>
              </w:rPr>
              <w:t xml:space="preserve"> – Reserva </w:t>
            </w:r>
            <w:r w:rsidR="00337178">
              <w:rPr>
                <w:rFonts w:ascii="Arial" w:eastAsia="Calibri" w:hAnsi="Arial" w:cs="Arial"/>
                <w:color w:val="000000" w:themeColor="text1"/>
                <w:sz w:val="22"/>
                <w:lang w:val="es-ES_tradnl"/>
              </w:rPr>
              <w:t xml:space="preserve"> </w:t>
            </w:r>
            <w:r w:rsidR="00993CD6">
              <w:rPr>
                <w:rFonts w:ascii="Arial" w:eastAsia="Calibri" w:hAnsi="Arial" w:cs="Arial"/>
                <w:color w:val="000000" w:themeColor="text1"/>
                <w:sz w:val="22"/>
                <w:lang w:val="es-ES_tradnl"/>
              </w:rPr>
              <w:t>/</w:t>
            </w:r>
            <w:r w:rsidR="00337178">
              <w:rPr>
                <w:rFonts w:ascii="Arial" w:eastAsia="Calibri" w:hAnsi="Arial" w:cs="Arial"/>
                <w:color w:val="000000" w:themeColor="text1"/>
                <w:sz w:val="22"/>
                <w:lang w:val="es-ES_tradnl"/>
              </w:rPr>
              <w:t xml:space="preserve"> </w:t>
            </w:r>
            <w:r w:rsidR="004336AD" w:rsidRPr="004336AD">
              <w:rPr>
                <w:rFonts w:ascii="Arial" w:eastAsia="Calibri" w:hAnsi="Arial" w:cs="Arial"/>
                <w:bCs/>
                <w:color w:val="000000" w:themeColor="text1"/>
                <w:sz w:val="22"/>
                <w:lang w:val="es-ES_tradnl"/>
              </w:rPr>
              <w:t xml:space="preserve">ACREDITACIÓN FACTORES DE DESEMPATE O CONDICIÓN DE SUJETO DE ESPECIAL PROTECCIÓN CONSTITUCIONAL – Datos sensibles - </w:t>
            </w:r>
            <w:proofErr w:type="spellStart"/>
            <w:r w:rsidR="004336AD" w:rsidRPr="004336AD">
              <w:rPr>
                <w:rFonts w:ascii="Arial" w:eastAsia="Calibri" w:hAnsi="Arial" w:cs="Arial"/>
                <w:bCs/>
                <w:color w:val="000000" w:themeColor="text1"/>
                <w:sz w:val="22"/>
                <w:lang w:val="es-ES_tradnl"/>
              </w:rPr>
              <w:t>Secop</w:t>
            </w:r>
            <w:proofErr w:type="spellEnd"/>
          </w:p>
        </w:tc>
      </w:tr>
      <w:tr w:rsidR="00B95C30" w:rsidRPr="00A51520" w14:paraId="27CD52AB" w14:textId="77777777" w:rsidTr="00254E86">
        <w:tc>
          <w:tcPr>
            <w:tcW w:w="2689" w:type="dxa"/>
          </w:tcPr>
          <w:p w14:paraId="37E195A1" w14:textId="017D9507" w:rsidR="00B95C30" w:rsidRPr="00A51520" w:rsidRDefault="00B95C30" w:rsidP="00D15356">
            <w:pPr>
              <w:spacing w:before="12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Radicación:</w:t>
            </w:r>
            <w:r w:rsidR="005B1504" w:rsidRPr="00A51520">
              <w:rPr>
                <w:rFonts w:ascii="Arial" w:eastAsia="Calibri" w:hAnsi="Arial" w:cs="Arial"/>
                <w:color w:val="000000" w:themeColor="text1"/>
                <w:sz w:val="22"/>
                <w:lang w:val="es-ES_tradnl"/>
              </w:rPr>
              <w:t xml:space="preserve">               </w:t>
            </w:r>
          </w:p>
        </w:tc>
        <w:tc>
          <w:tcPr>
            <w:tcW w:w="6237" w:type="dxa"/>
          </w:tcPr>
          <w:p w14:paraId="09088B1B" w14:textId="51EBB4BB" w:rsidR="00B95C30" w:rsidRPr="00A51520" w:rsidRDefault="00B95C30" w:rsidP="00FF7134">
            <w:pPr>
              <w:spacing w:before="120"/>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Respuesta a consulta</w:t>
            </w:r>
            <w:r w:rsidR="00F21D6D" w:rsidRPr="00A51520">
              <w:rPr>
                <w:rFonts w:ascii="Arial" w:eastAsia="Calibri" w:hAnsi="Arial" w:cs="Arial"/>
                <w:color w:val="000000" w:themeColor="text1"/>
                <w:sz w:val="22"/>
                <w:lang w:val="es-ES_tradnl"/>
              </w:rPr>
              <w:t xml:space="preserve"> </w:t>
            </w:r>
            <w:r w:rsidR="008B1973" w:rsidRPr="008B1973">
              <w:rPr>
                <w:rFonts w:ascii="Arial" w:eastAsia="Calibri" w:hAnsi="Arial" w:cs="Arial"/>
                <w:color w:val="000000" w:themeColor="text1"/>
                <w:sz w:val="22"/>
                <w:lang w:val="es-ES_tradnl"/>
              </w:rPr>
              <w:t>P20220406003501</w:t>
            </w:r>
          </w:p>
        </w:tc>
      </w:tr>
    </w:tbl>
    <w:p w14:paraId="234C0002" w14:textId="77777777" w:rsidR="005F5F37" w:rsidRPr="00A51520" w:rsidRDefault="005F5F37" w:rsidP="003C3339">
      <w:pPr>
        <w:jc w:val="both"/>
        <w:rPr>
          <w:rFonts w:ascii="Arial" w:eastAsia="Calibri" w:hAnsi="Arial" w:cs="Arial"/>
          <w:color w:val="000000" w:themeColor="text1"/>
          <w:sz w:val="22"/>
          <w:lang w:val="es-ES_tradnl"/>
        </w:rPr>
      </w:pPr>
    </w:p>
    <w:p w14:paraId="1CF4AEA0" w14:textId="592580BD" w:rsidR="003C3339" w:rsidRPr="00A51520" w:rsidRDefault="003C3339" w:rsidP="003C3339">
      <w:pPr>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Estimad</w:t>
      </w:r>
      <w:r w:rsidR="00BF4EC5" w:rsidRPr="00A51520">
        <w:rPr>
          <w:rFonts w:ascii="Arial" w:eastAsia="Calibri" w:hAnsi="Arial" w:cs="Arial"/>
          <w:color w:val="000000" w:themeColor="text1"/>
          <w:sz w:val="22"/>
          <w:lang w:val="es-ES_tradnl"/>
        </w:rPr>
        <w:t>o</w:t>
      </w:r>
      <w:r w:rsidRPr="00A51520">
        <w:rPr>
          <w:rFonts w:ascii="Arial" w:eastAsia="Calibri" w:hAnsi="Arial" w:cs="Arial"/>
          <w:color w:val="000000" w:themeColor="text1"/>
          <w:sz w:val="22"/>
          <w:lang w:val="es-ES_tradnl"/>
        </w:rPr>
        <w:t xml:space="preserve"> señor</w:t>
      </w:r>
      <w:r w:rsidR="00BF4EC5" w:rsidRPr="00A51520">
        <w:rPr>
          <w:rFonts w:ascii="Arial" w:eastAsia="Calibri" w:hAnsi="Arial" w:cs="Arial"/>
          <w:color w:val="000000" w:themeColor="text1"/>
          <w:sz w:val="22"/>
          <w:lang w:val="es-ES_tradnl"/>
        </w:rPr>
        <w:t xml:space="preserve"> </w:t>
      </w:r>
      <w:r w:rsidR="008B1973">
        <w:rPr>
          <w:rFonts w:ascii="Arial" w:eastAsia="Calibri" w:hAnsi="Arial" w:cs="Arial"/>
          <w:color w:val="000000" w:themeColor="text1"/>
          <w:sz w:val="22"/>
          <w:lang w:val="es-ES_tradnl"/>
        </w:rPr>
        <w:t>García</w:t>
      </w:r>
      <w:r w:rsidR="008C3FFC">
        <w:rPr>
          <w:rFonts w:ascii="Arial" w:eastAsia="Calibri" w:hAnsi="Arial" w:cs="Arial"/>
          <w:color w:val="000000" w:themeColor="text1"/>
          <w:sz w:val="22"/>
          <w:lang w:val="es-ES_tradnl"/>
        </w:rPr>
        <w:t xml:space="preserve">: </w:t>
      </w:r>
    </w:p>
    <w:p w14:paraId="1EAE5543" w14:textId="37990AD8" w:rsidR="00DD5B04" w:rsidRPr="00A51520" w:rsidRDefault="00DD5B04" w:rsidP="00DF76A2">
      <w:pPr>
        <w:jc w:val="both"/>
        <w:rPr>
          <w:rFonts w:ascii="Arial" w:eastAsia="Calibri" w:hAnsi="Arial" w:cs="Arial"/>
          <w:color w:val="000000" w:themeColor="text1"/>
          <w:sz w:val="22"/>
          <w:lang w:val="es-ES_tradnl"/>
        </w:rPr>
      </w:pPr>
    </w:p>
    <w:p w14:paraId="2109B2D3" w14:textId="215A531F" w:rsidR="00DD5B04" w:rsidRPr="00A51520" w:rsidRDefault="00DD5B04" w:rsidP="00DF76A2">
      <w:pPr>
        <w:spacing w:line="276" w:lineRule="auto"/>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CE69CC" w:rsidRPr="00A51520">
        <w:rPr>
          <w:rFonts w:ascii="Arial" w:eastAsia="Calibri" w:hAnsi="Arial" w:cs="Arial"/>
          <w:color w:val="000000" w:themeColor="text1"/>
          <w:sz w:val="22"/>
          <w:lang w:val="es-ES_tradnl"/>
        </w:rPr>
        <w:t xml:space="preserve">, </w:t>
      </w:r>
      <w:r w:rsidRPr="00A51520">
        <w:rPr>
          <w:rFonts w:ascii="Arial" w:eastAsia="Calibri" w:hAnsi="Arial" w:cs="Arial"/>
          <w:color w:val="000000" w:themeColor="text1"/>
          <w:sz w:val="22"/>
          <w:lang w:val="es-ES_tradnl"/>
        </w:rPr>
        <w:t>responde su consulta</w:t>
      </w:r>
      <w:r w:rsidR="00E8414B" w:rsidRPr="00A51520">
        <w:rPr>
          <w:rFonts w:ascii="Arial" w:eastAsia="Calibri" w:hAnsi="Arial" w:cs="Arial"/>
          <w:color w:val="000000" w:themeColor="text1"/>
          <w:sz w:val="22"/>
          <w:lang w:val="es-ES_tradnl"/>
        </w:rPr>
        <w:t xml:space="preserve"> </w:t>
      </w:r>
      <w:r w:rsidRPr="00A51520">
        <w:rPr>
          <w:rFonts w:ascii="Arial" w:eastAsia="Calibri" w:hAnsi="Arial" w:cs="Arial"/>
          <w:color w:val="000000" w:themeColor="text1"/>
          <w:sz w:val="22"/>
          <w:lang w:val="es-ES_tradnl"/>
        </w:rPr>
        <w:t xml:space="preserve">del </w:t>
      </w:r>
      <w:r w:rsidR="008B1973">
        <w:rPr>
          <w:rFonts w:ascii="Arial" w:eastAsia="Calibri" w:hAnsi="Arial" w:cs="Arial"/>
          <w:color w:val="000000" w:themeColor="text1"/>
          <w:sz w:val="22"/>
          <w:lang w:val="es-ES_tradnl"/>
        </w:rPr>
        <w:t>4</w:t>
      </w:r>
      <w:r w:rsidR="008C3FFC">
        <w:rPr>
          <w:rFonts w:ascii="Arial" w:eastAsia="Calibri" w:hAnsi="Arial" w:cs="Arial"/>
          <w:color w:val="000000" w:themeColor="text1"/>
          <w:sz w:val="22"/>
          <w:lang w:val="es-ES_tradnl"/>
        </w:rPr>
        <w:t xml:space="preserve"> </w:t>
      </w:r>
      <w:r w:rsidR="00F21D6D" w:rsidRPr="00A51520">
        <w:rPr>
          <w:rFonts w:ascii="Arial" w:eastAsia="Calibri" w:hAnsi="Arial" w:cs="Arial"/>
          <w:color w:val="000000" w:themeColor="text1"/>
          <w:sz w:val="22"/>
          <w:lang w:val="es-ES_tradnl"/>
        </w:rPr>
        <w:t xml:space="preserve">de </w:t>
      </w:r>
      <w:r w:rsidR="008B1973">
        <w:rPr>
          <w:rFonts w:ascii="Arial" w:eastAsia="Calibri" w:hAnsi="Arial" w:cs="Arial"/>
          <w:color w:val="000000" w:themeColor="text1"/>
          <w:sz w:val="22"/>
          <w:lang w:val="es-ES_tradnl"/>
        </w:rPr>
        <w:t>abril</w:t>
      </w:r>
      <w:r w:rsidR="00F21D6D" w:rsidRPr="00A51520">
        <w:rPr>
          <w:rFonts w:ascii="Arial" w:eastAsia="Calibri" w:hAnsi="Arial" w:cs="Arial"/>
          <w:color w:val="000000" w:themeColor="text1"/>
          <w:sz w:val="22"/>
          <w:lang w:val="es-ES_tradnl"/>
        </w:rPr>
        <w:t xml:space="preserve"> </w:t>
      </w:r>
      <w:r w:rsidR="00990BC7" w:rsidRPr="00A51520">
        <w:rPr>
          <w:rFonts w:ascii="Arial" w:eastAsia="Calibri" w:hAnsi="Arial" w:cs="Arial"/>
          <w:color w:val="000000" w:themeColor="text1"/>
          <w:sz w:val="22"/>
          <w:lang w:val="es-ES_tradnl"/>
        </w:rPr>
        <w:t xml:space="preserve">de </w:t>
      </w:r>
      <w:r w:rsidR="00F21D6D" w:rsidRPr="00A51520">
        <w:rPr>
          <w:rFonts w:ascii="Arial" w:eastAsia="Calibri" w:hAnsi="Arial" w:cs="Arial"/>
          <w:color w:val="000000" w:themeColor="text1"/>
          <w:sz w:val="22"/>
          <w:lang w:val="es-ES_tradnl"/>
        </w:rPr>
        <w:t>202</w:t>
      </w:r>
      <w:r w:rsidR="00BF4EC5" w:rsidRPr="00A51520">
        <w:rPr>
          <w:rFonts w:ascii="Arial" w:eastAsia="Calibri" w:hAnsi="Arial" w:cs="Arial"/>
          <w:color w:val="000000" w:themeColor="text1"/>
          <w:sz w:val="22"/>
          <w:lang w:val="es-ES_tradnl"/>
        </w:rPr>
        <w:t>2</w:t>
      </w:r>
      <w:r w:rsidR="00F21D6D" w:rsidRPr="00A51520">
        <w:rPr>
          <w:rFonts w:ascii="Arial" w:eastAsia="Calibri" w:hAnsi="Arial" w:cs="Arial"/>
          <w:color w:val="000000" w:themeColor="text1"/>
          <w:sz w:val="22"/>
          <w:lang w:val="es-ES_tradnl"/>
        </w:rPr>
        <w:t>.</w:t>
      </w:r>
    </w:p>
    <w:p w14:paraId="0C1E0712" w14:textId="77777777" w:rsidR="00DD5B04" w:rsidRPr="00A5152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A5152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 xml:space="preserve">Problema planteado </w:t>
      </w:r>
    </w:p>
    <w:p w14:paraId="224B43D3" w14:textId="77777777" w:rsidR="00DD5B04" w:rsidRPr="00A5152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70102F2D" w14:textId="269A93CE" w:rsidR="00BF4EC5" w:rsidRPr="00A51520" w:rsidRDefault="00827203" w:rsidP="00BF4EC5">
      <w:pPr>
        <w:spacing w:line="276" w:lineRule="auto"/>
        <w:jc w:val="both"/>
        <w:rPr>
          <w:rFonts w:ascii="Arial" w:hAnsi="Arial" w:cs="Arial"/>
          <w:color w:val="000000" w:themeColor="text1"/>
          <w:sz w:val="22"/>
          <w:szCs w:val="22"/>
          <w:lang w:val="es-ES"/>
        </w:rPr>
      </w:pPr>
      <w:r w:rsidRPr="00A51520">
        <w:rPr>
          <w:rFonts w:ascii="Arial" w:hAnsi="Arial" w:cs="Arial"/>
          <w:color w:val="000000" w:themeColor="text1"/>
          <w:sz w:val="22"/>
          <w:szCs w:val="22"/>
          <w:lang w:val="es-ES_tradnl"/>
        </w:rPr>
        <w:t xml:space="preserve">Usted formula </w:t>
      </w:r>
      <w:r w:rsidR="00026092" w:rsidRPr="00A51520">
        <w:rPr>
          <w:rFonts w:ascii="Arial" w:hAnsi="Arial" w:cs="Arial"/>
          <w:color w:val="000000" w:themeColor="text1"/>
          <w:sz w:val="22"/>
          <w:szCs w:val="22"/>
          <w:lang w:val="es-ES_tradnl"/>
        </w:rPr>
        <w:t>la</w:t>
      </w:r>
      <w:r w:rsidR="00F508BE">
        <w:rPr>
          <w:rFonts w:ascii="Arial" w:hAnsi="Arial" w:cs="Arial"/>
          <w:color w:val="000000" w:themeColor="text1"/>
          <w:sz w:val="22"/>
          <w:szCs w:val="22"/>
          <w:lang w:val="es-ES_tradnl"/>
        </w:rPr>
        <w:t>s</w:t>
      </w:r>
      <w:r w:rsidR="00026092" w:rsidRPr="00A51520">
        <w:rPr>
          <w:rFonts w:ascii="Arial" w:hAnsi="Arial" w:cs="Arial"/>
          <w:color w:val="000000" w:themeColor="text1"/>
          <w:sz w:val="22"/>
          <w:szCs w:val="22"/>
          <w:lang w:val="es-ES_tradnl"/>
        </w:rPr>
        <w:t xml:space="preserve"> siguiente</w:t>
      </w:r>
      <w:r w:rsidR="00F508BE">
        <w:rPr>
          <w:rFonts w:ascii="Arial" w:hAnsi="Arial" w:cs="Arial"/>
          <w:color w:val="000000" w:themeColor="text1"/>
          <w:sz w:val="22"/>
          <w:szCs w:val="22"/>
          <w:lang w:val="es-ES_tradnl"/>
        </w:rPr>
        <w:t>s</w:t>
      </w:r>
      <w:r w:rsidR="00AC4D8F" w:rsidRPr="00A51520">
        <w:rPr>
          <w:rFonts w:ascii="Arial" w:hAnsi="Arial" w:cs="Arial"/>
          <w:color w:val="000000" w:themeColor="text1"/>
          <w:sz w:val="22"/>
          <w:szCs w:val="22"/>
          <w:lang w:val="es-ES_tradnl"/>
        </w:rPr>
        <w:t xml:space="preserve"> </w:t>
      </w:r>
      <w:r w:rsidR="00F508BE">
        <w:rPr>
          <w:rFonts w:ascii="Arial" w:hAnsi="Arial" w:cs="Arial"/>
          <w:color w:val="000000" w:themeColor="text1"/>
          <w:sz w:val="22"/>
          <w:szCs w:val="22"/>
          <w:lang w:val="es-ES_tradnl"/>
        </w:rPr>
        <w:t>preguntas</w:t>
      </w:r>
      <w:r w:rsidR="00853973" w:rsidRPr="0094085F">
        <w:rPr>
          <w:rFonts w:ascii="Arial" w:hAnsi="Arial" w:cs="Arial"/>
          <w:color w:val="000000" w:themeColor="text1"/>
          <w:sz w:val="22"/>
          <w:szCs w:val="22"/>
          <w:lang w:val="es-ES_tradnl"/>
        </w:rPr>
        <w:t xml:space="preserve"> relacionada</w:t>
      </w:r>
      <w:r w:rsidR="00F508BE" w:rsidRPr="0094085F">
        <w:rPr>
          <w:rFonts w:ascii="Arial" w:hAnsi="Arial" w:cs="Arial"/>
          <w:color w:val="000000" w:themeColor="text1"/>
          <w:sz w:val="22"/>
          <w:szCs w:val="22"/>
          <w:lang w:val="es-ES_tradnl"/>
        </w:rPr>
        <w:t>s</w:t>
      </w:r>
      <w:r w:rsidR="00853973" w:rsidRPr="0094085F">
        <w:rPr>
          <w:rFonts w:ascii="Arial" w:hAnsi="Arial" w:cs="Arial"/>
          <w:color w:val="000000" w:themeColor="text1"/>
          <w:sz w:val="22"/>
          <w:szCs w:val="22"/>
          <w:lang w:val="es-ES_tradnl"/>
        </w:rPr>
        <w:t xml:space="preserve"> con </w:t>
      </w:r>
      <w:r w:rsidR="00F508BE" w:rsidRPr="0094085F">
        <w:rPr>
          <w:rFonts w:ascii="Arial" w:hAnsi="Arial" w:cs="Arial"/>
          <w:color w:val="000000" w:themeColor="text1"/>
          <w:sz w:val="22"/>
          <w:szCs w:val="22"/>
          <w:lang w:val="es-ES_tradnl"/>
        </w:rPr>
        <w:t xml:space="preserve">la aplicación de </w:t>
      </w:r>
      <w:r w:rsidR="0094085F" w:rsidRPr="0094085F">
        <w:rPr>
          <w:rFonts w:ascii="Arial" w:hAnsi="Arial" w:cs="Arial"/>
          <w:color w:val="000000" w:themeColor="text1"/>
          <w:sz w:val="22"/>
          <w:szCs w:val="22"/>
          <w:lang w:val="es-ES_tradnl"/>
        </w:rPr>
        <w:t>los artículos 2.2.1.2.3.1.9., 2.2.1.2.4.1.17, 2.2.1.2.4.2.16</w:t>
      </w:r>
      <w:r w:rsidR="004933B1">
        <w:rPr>
          <w:rFonts w:ascii="Arial" w:hAnsi="Arial" w:cs="Arial"/>
          <w:color w:val="000000" w:themeColor="text1"/>
          <w:sz w:val="22"/>
          <w:szCs w:val="22"/>
          <w:lang w:val="es-ES_tradnl"/>
        </w:rPr>
        <w:t xml:space="preserve"> y </w:t>
      </w:r>
      <w:r w:rsidR="004933B1" w:rsidRPr="004933B1">
        <w:rPr>
          <w:rFonts w:ascii="Arial" w:hAnsi="Arial" w:cs="Arial"/>
          <w:color w:val="000000" w:themeColor="text1"/>
          <w:sz w:val="22"/>
          <w:szCs w:val="22"/>
          <w:lang w:val="es-ES_tradnl"/>
        </w:rPr>
        <w:t>2.2.1.2.4.2.18</w:t>
      </w:r>
      <w:r w:rsidR="0094085F" w:rsidRPr="0094085F">
        <w:rPr>
          <w:rFonts w:ascii="Arial" w:hAnsi="Arial" w:cs="Arial"/>
          <w:color w:val="000000" w:themeColor="text1"/>
          <w:sz w:val="22"/>
          <w:szCs w:val="22"/>
          <w:lang w:val="es-ES_tradnl"/>
        </w:rPr>
        <w:t xml:space="preserve"> del</w:t>
      </w:r>
      <w:r w:rsidR="0094085F" w:rsidRPr="004933B1">
        <w:rPr>
          <w:rFonts w:ascii="Arial" w:hAnsi="Arial" w:cs="Arial"/>
          <w:color w:val="000000" w:themeColor="text1"/>
          <w:sz w:val="22"/>
          <w:szCs w:val="22"/>
          <w:lang w:val="es-ES_tradnl"/>
        </w:rPr>
        <w:t xml:space="preserve"> Decreto</w:t>
      </w:r>
      <w:r w:rsidR="0094085F">
        <w:rPr>
          <w:rFonts w:ascii="Arial" w:hAnsi="Arial" w:cs="Arial"/>
          <w:sz w:val="22"/>
          <w:lang w:val="es-ES_tradnl"/>
        </w:rPr>
        <w:t xml:space="preserve"> 1082 de 2015, modificados por </w:t>
      </w:r>
      <w:r w:rsidR="00F508BE">
        <w:rPr>
          <w:rFonts w:ascii="Arial" w:hAnsi="Arial" w:cs="Arial"/>
          <w:sz w:val="22"/>
          <w:lang w:val="es-ES_tradnl"/>
        </w:rPr>
        <w:t>el Decreto 1860 de 2021</w:t>
      </w:r>
      <w:r w:rsidR="00BA79B8">
        <w:rPr>
          <w:rFonts w:ascii="Arial" w:hAnsi="Arial" w:cs="Arial"/>
          <w:bCs/>
          <w:sz w:val="22"/>
          <w:lang w:val="es-ES_tradnl"/>
        </w:rPr>
        <w:t xml:space="preserve">: </w:t>
      </w:r>
    </w:p>
    <w:p w14:paraId="0B7FAA28" w14:textId="77777777" w:rsidR="00BF4EC5" w:rsidRPr="00A51520" w:rsidRDefault="00BF4EC5" w:rsidP="00BF4EC5">
      <w:pPr>
        <w:spacing w:line="276" w:lineRule="auto"/>
        <w:jc w:val="both"/>
        <w:rPr>
          <w:rFonts w:ascii="Arial" w:hAnsi="Arial" w:cs="Arial"/>
          <w:color w:val="000000" w:themeColor="text1"/>
          <w:sz w:val="22"/>
          <w:szCs w:val="22"/>
        </w:rPr>
      </w:pPr>
    </w:p>
    <w:p w14:paraId="31F80943" w14:textId="77777777" w:rsidR="0094085F" w:rsidRPr="00D21641" w:rsidRDefault="00BF4EC5" w:rsidP="00BA79B8">
      <w:pPr>
        <w:ind w:left="709" w:right="618"/>
        <w:jc w:val="both"/>
        <w:rPr>
          <w:rFonts w:ascii="Arial" w:eastAsia="Calibri" w:hAnsi="Arial" w:cs="Arial"/>
          <w:color w:val="000000" w:themeColor="text1"/>
          <w:sz w:val="21"/>
          <w:szCs w:val="21"/>
        </w:rPr>
      </w:pPr>
      <w:r w:rsidRPr="00D21641">
        <w:rPr>
          <w:rFonts w:ascii="Arial" w:eastAsia="Calibri" w:hAnsi="Arial" w:cs="Arial"/>
          <w:sz w:val="21"/>
          <w:szCs w:val="21"/>
          <w:lang w:val="es-ES"/>
        </w:rPr>
        <w:t>«</w:t>
      </w:r>
      <w:r w:rsidR="00F508BE" w:rsidRPr="00D21641">
        <w:rPr>
          <w:rFonts w:ascii="Arial" w:eastAsia="Calibri" w:hAnsi="Arial" w:cs="Arial"/>
          <w:color w:val="000000" w:themeColor="text1"/>
          <w:sz w:val="21"/>
          <w:szCs w:val="21"/>
        </w:rPr>
        <w:t xml:space="preserve">De conformidad con los criterios diferenciales para emprendimientos y empresas de mujeres y para MIPYMES, se establece la posibilidad de incorporar requisitos habilitantes diferenciales, entre ellos, en el aspecto del valor de la garantía de seriedad de la oferta. Por ende, conforme lo dispuesto en el Articulo 2.2.1.2.3.1.9., del Decreto 1082 de 2015 a efectos prácticos. ¿cómo sería posible establecer este diferencial de acuerdo con los valores y porcentajes para la suficiencia de esta garantía? </w:t>
      </w:r>
    </w:p>
    <w:p w14:paraId="5AF57476" w14:textId="77777777" w:rsidR="0094085F" w:rsidRPr="00D21641" w:rsidRDefault="0094085F" w:rsidP="00BA79B8">
      <w:pPr>
        <w:ind w:left="709" w:right="618"/>
        <w:jc w:val="both"/>
        <w:rPr>
          <w:rFonts w:ascii="Arial" w:eastAsia="Calibri" w:hAnsi="Arial" w:cs="Arial"/>
          <w:color w:val="000000" w:themeColor="text1"/>
          <w:sz w:val="21"/>
          <w:szCs w:val="21"/>
        </w:rPr>
      </w:pPr>
    </w:p>
    <w:p w14:paraId="6A94F063" w14:textId="31851EA5" w:rsidR="0094085F" w:rsidRPr="00D21641" w:rsidRDefault="00F508BE" w:rsidP="00BA79B8">
      <w:pPr>
        <w:ind w:left="709" w:right="618"/>
        <w:jc w:val="both"/>
        <w:rPr>
          <w:rFonts w:ascii="Arial" w:eastAsia="Calibri" w:hAnsi="Arial" w:cs="Arial"/>
          <w:color w:val="000000" w:themeColor="text1"/>
          <w:sz w:val="21"/>
          <w:szCs w:val="21"/>
        </w:rPr>
      </w:pPr>
      <w:r w:rsidRPr="00D21641">
        <w:rPr>
          <w:rFonts w:ascii="Arial" w:eastAsia="Calibri" w:hAnsi="Arial" w:cs="Arial"/>
          <w:color w:val="000000" w:themeColor="text1"/>
          <w:sz w:val="21"/>
          <w:szCs w:val="21"/>
        </w:rPr>
        <w:t xml:space="preserve">Teniendo en cuenta lo dispuesto en el inciso del parágrafo 3 del Artículo 2.2.1.2.4.2.17. “Factores de desempate y acreditación” NO se podrán publicar en el SECOP para conocimiento de terceros la información relacionada con los factores de desempate de personas en procesos de reincorporación o reintegración o mujeres víctimas de violencia intrafamiliar o la población indígena, negra, afrocolombiana, raizal, palenquera, Rom o gitana, puesto que su público conocimiento puede afectar el derecho a la intimidad de los oferentes o de sus trabajadores o socios o accionistas. Así las cosas, ¿En caso de presentarse observaciones en el proceso de selección por la aplicación del criterio de desempate que documento deberá publicar la Entidad para demostrar que efectivamente el oferente dio cumplimiento a los requisitos establecidos en la Ley para obtener esta acreditación? ¿Sí los oferentes solicitan la publicación de esta información, como deberá proceder la Entidad para emitir la respectiva respuesta? ¿Se establece alguna excepción para la publicación de esta información en SECOP II, si existe autorización de la persona para publicarla? </w:t>
      </w:r>
    </w:p>
    <w:p w14:paraId="2A2A74AB" w14:textId="77777777" w:rsidR="0094085F" w:rsidRPr="00D21641" w:rsidRDefault="0094085F" w:rsidP="00BA79B8">
      <w:pPr>
        <w:ind w:left="709" w:right="618"/>
        <w:jc w:val="both"/>
        <w:rPr>
          <w:rFonts w:ascii="Arial" w:eastAsia="Calibri" w:hAnsi="Arial" w:cs="Arial"/>
          <w:color w:val="000000" w:themeColor="text1"/>
          <w:sz w:val="21"/>
          <w:szCs w:val="21"/>
        </w:rPr>
      </w:pPr>
    </w:p>
    <w:p w14:paraId="4959E495" w14:textId="77777777" w:rsidR="004933B1" w:rsidRPr="00D21641" w:rsidRDefault="00F508BE" w:rsidP="00BA79B8">
      <w:pPr>
        <w:ind w:left="709" w:right="618"/>
        <w:jc w:val="both"/>
        <w:rPr>
          <w:rFonts w:ascii="Arial" w:eastAsia="Calibri" w:hAnsi="Arial" w:cs="Arial"/>
          <w:color w:val="000000" w:themeColor="text1"/>
          <w:sz w:val="21"/>
          <w:szCs w:val="21"/>
        </w:rPr>
      </w:pPr>
      <w:r w:rsidRPr="00D21641">
        <w:rPr>
          <w:rFonts w:ascii="Arial" w:eastAsia="Calibri" w:hAnsi="Arial" w:cs="Arial"/>
          <w:color w:val="000000" w:themeColor="text1"/>
          <w:sz w:val="21"/>
          <w:szCs w:val="21"/>
        </w:rPr>
        <w:t>El Decreto 1860 de 2021, incorpora en el Artículo 2.2.1.2.4.2.16., del Decreto 1082 de 2015, el fomento a la ejecución de contratos estatales por parte de población en pobreza extrema, desplazados por la violencia, personas en proceso de reintegración o reincorporación y sujetos de especial protección constitucional, estableciendo un porcentaje que no será superior al diez por ciento (10%) ni inferior al cinco por ciento (5%) de los bienes o servicios requeridos para la ejecución del contrato, de manera que no se ponga en riesgo su cumplimiento adecuado. Para ello, indica que el supervisor o el interventor, según el caso, realizará el seguimiento y verificará que las personas vinculadas al inicio y durante la ejecución del contrato pertenezcan a los grupos poblacionales enunciados anteriormente. De acuerdo con ello. ¿Qué documento público y que Entidad de orden Nacional y/o Distrital emitirá la acreditación de los sujetos de especial protección constitucional? ¿Qué documentos adicionales se deberán presentar para acreditar la condición especial? ¿La documentación para acreditar la condición especial de protección constitucional podrá ser publicada en SECOP para conocimiento de terceros o afectaría el derecho a la intimidad de los sujetos?</w:t>
      </w:r>
      <w:r w:rsidR="004933B1" w:rsidRPr="00D21641">
        <w:rPr>
          <w:rFonts w:ascii="Arial" w:eastAsia="Calibri" w:hAnsi="Arial" w:cs="Arial"/>
          <w:color w:val="000000" w:themeColor="text1"/>
          <w:sz w:val="21"/>
          <w:szCs w:val="21"/>
        </w:rPr>
        <w:t xml:space="preserve"> </w:t>
      </w:r>
    </w:p>
    <w:p w14:paraId="3EC92D33" w14:textId="77777777" w:rsidR="004933B1" w:rsidRPr="00D21641" w:rsidRDefault="004933B1" w:rsidP="00BA79B8">
      <w:pPr>
        <w:ind w:left="709" w:right="618"/>
        <w:jc w:val="both"/>
        <w:rPr>
          <w:rFonts w:ascii="Arial" w:eastAsia="Calibri" w:hAnsi="Arial" w:cs="Arial"/>
          <w:color w:val="000000" w:themeColor="text1"/>
          <w:sz w:val="21"/>
          <w:szCs w:val="21"/>
        </w:rPr>
      </w:pPr>
    </w:p>
    <w:p w14:paraId="4A7E3C68" w14:textId="081188CA" w:rsidR="00BF4EC5" w:rsidRPr="008C3FFC" w:rsidRDefault="00F508BE" w:rsidP="00BA79B8">
      <w:pPr>
        <w:ind w:left="709" w:right="618"/>
        <w:jc w:val="both"/>
        <w:rPr>
          <w:rFonts w:ascii="Arial" w:eastAsia="Calibri" w:hAnsi="Arial" w:cs="Arial"/>
          <w:sz w:val="21"/>
          <w:szCs w:val="21"/>
        </w:rPr>
      </w:pPr>
      <w:r w:rsidRPr="00D21641">
        <w:rPr>
          <w:rFonts w:ascii="Arial" w:eastAsia="Calibri" w:hAnsi="Arial" w:cs="Arial"/>
          <w:color w:val="000000" w:themeColor="text1"/>
          <w:sz w:val="21"/>
          <w:szCs w:val="21"/>
        </w:rPr>
        <w:t xml:space="preserve">El requisito diferencia habilitante incorporado en el Artículo 2.2.1.2.4.2.18., del Decreto 1082 de 2015, para promover y facilitar la participación en los procedimientos de selección competitivos de las </w:t>
      </w:r>
      <w:proofErr w:type="spellStart"/>
      <w:r w:rsidRPr="00D21641">
        <w:rPr>
          <w:rFonts w:ascii="Arial" w:eastAsia="Calibri" w:hAnsi="Arial" w:cs="Arial"/>
          <w:color w:val="000000" w:themeColor="text1"/>
          <w:sz w:val="21"/>
          <w:szCs w:val="21"/>
        </w:rPr>
        <w:t>Mipyme</w:t>
      </w:r>
      <w:proofErr w:type="spellEnd"/>
      <w:r w:rsidRPr="00D21641">
        <w:rPr>
          <w:rFonts w:ascii="Arial" w:eastAsia="Calibri" w:hAnsi="Arial" w:cs="Arial"/>
          <w:color w:val="000000" w:themeColor="text1"/>
          <w:sz w:val="21"/>
          <w:szCs w:val="21"/>
        </w:rPr>
        <w:t xml:space="preserve"> domiciliadas en Colombia ¿también se aplicará a los procesos de selección que no se encuentren </w:t>
      </w:r>
      <w:r w:rsidRPr="00D21641">
        <w:rPr>
          <w:rFonts w:ascii="Arial" w:eastAsia="Calibri" w:hAnsi="Arial" w:cs="Arial"/>
          <w:color w:val="000000" w:themeColor="text1"/>
          <w:sz w:val="21"/>
          <w:szCs w:val="21"/>
        </w:rPr>
        <w:lastRenderedPageBreak/>
        <w:t xml:space="preserve">limitados a MIPYMES conforme los valores y umbrales dispuestos en la página de Colombia Compra Eficiente para beneficio de las </w:t>
      </w:r>
      <w:proofErr w:type="spellStart"/>
      <w:r w:rsidRPr="00D21641">
        <w:rPr>
          <w:rFonts w:ascii="Arial" w:eastAsia="Calibri" w:hAnsi="Arial" w:cs="Arial"/>
          <w:color w:val="000000" w:themeColor="text1"/>
          <w:sz w:val="21"/>
          <w:szCs w:val="21"/>
        </w:rPr>
        <w:t>Mipymes</w:t>
      </w:r>
      <w:proofErr w:type="spellEnd"/>
      <w:r w:rsidRPr="00D21641">
        <w:rPr>
          <w:rFonts w:ascii="Arial" w:eastAsia="Calibri" w:hAnsi="Arial" w:cs="Arial"/>
          <w:color w:val="000000" w:themeColor="text1"/>
          <w:sz w:val="21"/>
          <w:szCs w:val="21"/>
        </w:rPr>
        <w:t>?</w:t>
      </w:r>
      <w:r w:rsidR="00BF4EC5" w:rsidRPr="00D21641">
        <w:rPr>
          <w:rFonts w:ascii="Arial" w:eastAsia="Calibri" w:hAnsi="Arial" w:cs="Arial"/>
          <w:sz w:val="21"/>
          <w:szCs w:val="21"/>
          <w:lang w:val="es-ES"/>
        </w:rPr>
        <w:t>»</w:t>
      </w:r>
      <w:r w:rsidR="00D21641">
        <w:rPr>
          <w:rFonts w:ascii="Arial" w:eastAsia="Calibri" w:hAnsi="Arial" w:cs="Arial"/>
          <w:sz w:val="21"/>
          <w:szCs w:val="21"/>
          <w:lang w:val="es-ES"/>
        </w:rPr>
        <w:t>.</w:t>
      </w:r>
    </w:p>
    <w:p w14:paraId="5A9E4F83" w14:textId="77777777" w:rsidR="00991805" w:rsidRPr="00A51520" w:rsidRDefault="00991805" w:rsidP="007D7503">
      <w:pPr>
        <w:spacing w:line="276" w:lineRule="auto"/>
        <w:ind w:right="709"/>
        <w:jc w:val="both"/>
        <w:rPr>
          <w:rFonts w:ascii="Arial" w:hAnsi="Arial" w:cs="Arial"/>
          <w:color w:val="000000" w:themeColor="text1"/>
          <w:sz w:val="21"/>
          <w:szCs w:val="21"/>
        </w:rPr>
      </w:pPr>
    </w:p>
    <w:p w14:paraId="124D2DCA" w14:textId="77777777" w:rsidR="00DD5B04" w:rsidRPr="00A5152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Consideraciones</w:t>
      </w:r>
    </w:p>
    <w:p w14:paraId="7FB25649" w14:textId="77777777" w:rsidR="00E07AAA" w:rsidRPr="00A51520" w:rsidRDefault="00E07AAA" w:rsidP="00D40F8B">
      <w:pPr>
        <w:spacing w:line="276" w:lineRule="auto"/>
        <w:jc w:val="both"/>
        <w:rPr>
          <w:rFonts w:ascii="Arial" w:hAnsi="Arial" w:cs="Arial"/>
          <w:color w:val="000000" w:themeColor="text1"/>
          <w:sz w:val="22"/>
          <w:lang w:val="es-ES_tradnl"/>
        </w:rPr>
      </w:pPr>
    </w:p>
    <w:p w14:paraId="6FE9C8FD" w14:textId="77777777" w:rsidR="00D21641" w:rsidRDefault="00EE471B" w:rsidP="00256A3D">
      <w:pPr>
        <w:tabs>
          <w:tab w:val="left" w:pos="426"/>
        </w:tabs>
        <w:spacing w:after="120" w:line="276" w:lineRule="auto"/>
        <w:jc w:val="both"/>
        <w:rPr>
          <w:rFonts w:ascii="Arial" w:eastAsia="Calibri" w:hAnsi="Arial" w:cs="Arial"/>
          <w:bCs/>
          <w:sz w:val="22"/>
          <w:szCs w:val="22"/>
          <w:lang w:eastAsia="en-US"/>
        </w:rPr>
      </w:pPr>
      <w:r w:rsidRPr="00EE471B">
        <w:rPr>
          <w:rFonts w:ascii="Arial" w:eastAsia="Calibri" w:hAnsi="Arial" w:cs="Arial"/>
          <w:bCs/>
          <w:sz w:val="22"/>
          <w:szCs w:val="22"/>
          <w:lang w:eastAsia="en-US"/>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EE471B">
        <w:rPr>
          <w:rFonts w:ascii="Arial" w:eastAsia="Calibri" w:hAnsi="Arial" w:cs="Arial"/>
          <w:bCs/>
          <w:sz w:val="22"/>
          <w:szCs w:val="22"/>
          <w:vertAlign w:val="superscript"/>
          <w:lang w:eastAsia="en-US"/>
        </w:rPr>
        <w:footnoteReference w:id="2"/>
      </w:r>
      <w:r w:rsidRPr="00EE471B">
        <w:rPr>
          <w:rFonts w:ascii="Arial" w:eastAsia="Calibri" w:hAnsi="Arial" w:cs="Arial"/>
          <w:bCs/>
          <w:sz w:val="22"/>
          <w:szCs w:val="22"/>
          <w:lang w:eastAsia="en-US"/>
        </w:rPr>
        <w:t xml:space="preserve">. En tal sentido, sus preguntas serán resueltas partiendo de una interpretación en abstracto de las normas en materia de </w:t>
      </w:r>
      <w:r w:rsidRPr="00131EF9">
        <w:rPr>
          <w:rFonts w:ascii="Arial" w:eastAsia="Calibri" w:hAnsi="Arial" w:cs="Arial"/>
          <w:bCs/>
          <w:sz w:val="22"/>
          <w:szCs w:val="22"/>
          <w:lang w:eastAsia="en-US"/>
        </w:rPr>
        <w:t xml:space="preserve">contratación estatal, sin referencia a un caso concreto. </w:t>
      </w:r>
    </w:p>
    <w:p w14:paraId="1B28B1EE" w14:textId="194F0C20" w:rsidR="00131EF9" w:rsidRDefault="00256A3D" w:rsidP="00C26B44">
      <w:pPr>
        <w:tabs>
          <w:tab w:val="left" w:pos="426"/>
        </w:tabs>
        <w:spacing w:after="120" w:line="276" w:lineRule="auto"/>
        <w:jc w:val="both"/>
        <w:rPr>
          <w:rFonts w:ascii="Arial" w:eastAsia="Calibri" w:hAnsi="Arial" w:cs="Arial"/>
          <w:sz w:val="22"/>
          <w:szCs w:val="22"/>
          <w:lang w:val="es-ES_tradnl"/>
        </w:rPr>
      </w:pPr>
      <w:r>
        <w:rPr>
          <w:rFonts w:ascii="Arial" w:eastAsia="Calibri" w:hAnsi="Arial" w:cs="Arial"/>
          <w:bCs/>
          <w:sz w:val="22"/>
          <w:szCs w:val="22"/>
          <w:lang w:eastAsia="en-US"/>
        </w:rPr>
        <w:tab/>
      </w:r>
      <w:r>
        <w:rPr>
          <w:rFonts w:ascii="Arial" w:eastAsia="Calibri" w:hAnsi="Arial" w:cs="Arial"/>
          <w:bCs/>
          <w:sz w:val="22"/>
          <w:szCs w:val="22"/>
          <w:lang w:eastAsia="en-US"/>
        </w:rPr>
        <w:tab/>
        <w:t xml:space="preserve">Conforme a lo anterior, </w:t>
      </w:r>
      <w:r>
        <w:rPr>
          <w:rFonts w:ascii="Arial" w:eastAsiaTheme="minorHAnsi" w:hAnsi="Arial" w:cs="Arial"/>
          <w:bCs/>
          <w:sz w:val="22"/>
          <w:szCs w:val="22"/>
          <w:lang w:val="es-MX" w:eastAsia="en-US"/>
        </w:rPr>
        <w:t>e</w:t>
      </w:r>
      <w:r w:rsidR="00EE471B" w:rsidRPr="00131EF9">
        <w:rPr>
          <w:rFonts w:ascii="Arial" w:eastAsiaTheme="minorHAnsi" w:hAnsi="Arial" w:cs="Arial"/>
          <w:bCs/>
          <w:sz w:val="22"/>
          <w:szCs w:val="22"/>
          <w:lang w:val="es-MX" w:eastAsia="en-US"/>
        </w:rPr>
        <w:t>sta Subdirección –dentro de los límites de sus atribuciones–</w:t>
      </w:r>
      <w:r w:rsidR="00EE471B" w:rsidRPr="00131EF9">
        <w:rPr>
          <w:rFonts w:ascii="Arial" w:eastAsiaTheme="minorHAnsi" w:hAnsi="Arial" w:cs="Arial"/>
          <w:bCs/>
          <w:sz w:val="22"/>
          <w:szCs w:val="22"/>
          <w:vertAlign w:val="superscript"/>
          <w:lang w:val="es-MX" w:eastAsia="en-US"/>
        </w:rPr>
        <w:footnoteReference w:id="3"/>
      </w:r>
      <w:r w:rsidR="00EE471B" w:rsidRPr="00131EF9">
        <w:rPr>
          <w:rFonts w:ascii="Arial" w:eastAsiaTheme="minorHAnsi" w:hAnsi="Arial" w:cs="Arial"/>
          <w:bCs/>
          <w:sz w:val="22"/>
          <w:szCs w:val="22"/>
          <w:lang w:val="es-MX" w:eastAsia="en-US"/>
        </w:rPr>
        <w:t xml:space="preserve"> resolverá los problemas planteados, conforme a las normas generales en materia de contratación estatal, previo análisis de</w:t>
      </w:r>
      <w:r w:rsidR="00EE471B" w:rsidRPr="00131EF9">
        <w:rPr>
          <w:rFonts w:ascii="Arial" w:eastAsia="Calibri" w:hAnsi="Arial" w:cs="Arial"/>
          <w:color w:val="000000" w:themeColor="text1"/>
          <w:sz w:val="22"/>
          <w:szCs w:val="22"/>
          <w:lang w:val="es-ES" w:eastAsia="en-US"/>
        </w:rPr>
        <w:t xml:space="preserve"> los siguientes temas</w:t>
      </w:r>
      <w:r w:rsidR="00C3543E" w:rsidRPr="00131EF9">
        <w:rPr>
          <w:rFonts w:ascii="Arial" w:eastAsia="Calibri" w:hAnsi="Arial" w:cs="Arial"/>
          <w:bCs/>
          <w:color w:val="000000" w:themeColor="text1"/>
          <w:sz w:val="22"/>
          <w:szCs w:val="22"/>
        </w:rPr>
        <w:t xml:space="preserve">: </w:t>
      </w:r>
      <w:r w:rsidR="003305FB" w:rsidRPr="00131EF9">
        <w:rPr>
          <w:rFonts w:ascii="Arial" w:eastAsia="Calibri" w:hAnsi="Arial" w:cs="Arial"/>
          <w:bCs/>
          <w:color w:val="000000" w:themeColor="text1"/>
          <w:sz w:val="22"/>
          <w:szCs w:val="22"/>
        </w:rPr>
        <w:t xml:space="preserve">i) </w:t>
      </w:r>
      <w:r w:rsidR="0088684A" w:rsidRPr="00131EF9">
        <w:rPr>
          <w:rFonts w:ascii="Arial" w:eastAsia="Calibri" w:hAnsi="Arial" w:cs="Arial"/>
          <w:color w:val="000000" w:themeColor="text1"/>
          <w:sz w:val="22"/>
          <w:szCs w:val="22"/>
          <w:lang w:val="es-ES_tradnl"/>
        </w:rPr>
        <w:t xml:space="preserve"> </w:t>
      </w:r>
      <w:r w:rsidR="0088684A" w:rsidRPr="00131EF9">
        <w:rPr>
          <w:rFonts w:ascii="Arial" w:eastAsia="Calibri" w:hAnsi="Arial" w:cs="Arial"/>
          <w:sz w:val="22"/>
          <w:szCs w:val="22"/>
          <w:lang w:val="es-ES_tradnl"/>
        </w:rPr>
        <w:t>vigencia y reglamentación de los criterios diferenciales de la Ley 2069 de 2020</w:t>
      </w:r>
      <w:r w:rsidR="00BA79B8" w:rsidRPr="00131EF9">
        <w:rPr>
          <w:rFonts w:ascii="Arial" w:eastAsia="Calibri" w:hAnsi="Arial" w:cs="Arial"/>
          <w:color w:val="000000" w:themeColor="text1"/>
          <w:sz w:val="22"/>
          <w:szCs w:val="22"/>
          <w:lang w:val="es-ES_tradnl"/>
        </w:rPr>
        <w:t xml:space="preserve">, </w:t>
      </w:r>
      <w:proofErr w:type="spellStart"/>
      <w:r w:rsidR="00BA79B8" w:rsidRPr="00131EF9">
        <w:rPr>
          <w:rFonts w:ascii="Arial" w:eastAsia="Calibri" w:hAnsi="Arial" w:cs="Arial"/>
          <w:color w:val="000000" w:themeColor="text1"/>
          <w:sz w:val="22"/>
          <w:szCs w:val="22"/>
          <w:lang w:val="es-ES_tradnl"/>
        </w:rPr>
        <w:t>ii</w:t>
      </w:r>
      <w:proofErr w:type="spellEnd"/>
      <w:r w:rsidR="00BA79B8" w:rsidRPr="00131EF9">
        <w:rPr>
          <w:rFonts w:ascii="Arial" w:eastAsia="Calibri" w:hAnsi="Arial" w:cs="Arial"/>
          <w:color w:val="000000" w:themeColor="text1"/>
          <w:sz w:val="22"/>
          <w:szCs w:val="22"/>
          <w:lang w:val="es-ES_tradnl"/>
        </w:rPr>
        <w:t>)</w:t>
      </w:r>
      <w:r w:rsidR="00E4154E" w:rsidRPr="00131EF9">
        <w:rPr>
          <w:rFonts w:ascii="Arial" w:eastAsia="Calibri" w:hAnsi="Arial" w:cs="Arial"/>
          <w:color w:val="000000" w:themeColor="text1"/>
          <w:sz w:val="22"/>
          <w:szCs w:val="22"/>
          <w:lang w:val="es-ES_tradnl"/>
        </w:rPr>
        <w:t xml:space="preserve"> </w:t>
      </w:r>
      <w:r w:rsidR="00B91691" w:rsidRPr="00131EF9">
        <w:rPr>
          <w:rFonts w:ascii="Arial" w:eastAsia="Calibri" w:hAnsi="Arial" w:cs="Arial"/>
          <w:color w:val="000000" w:themeColor="text1"/>
          <w:sz w:val="22"/>
          <w:szCs w:val="22"/>
          <w:lang w:val="es-ES_tradnl"/>
        </w:rPr>
        <w:t xml:space="preserve">requisitos habilitantes diferenciales para emprendimientos y empresas de mujeres y </w:t>
      </w:r>
      <w:proofErr w:type="spellStart"/>
      <w:r w:rsidR="00B91691" w:rsidRPr="00131EF9">
        <w:rPr>
          <w:rFonts w:ascii="Arial" w:eastAsia="Calibri" w:hAnsi="Arial" w:cs="Arial"/>
          <w:color w:val="000000" w:themeColor="text1"/>
          <w:sz w:val="22"/>
          <w:szCs w:val="22"/>
          <w:lang w:val="es-ES_tradnl"/>
        </w:rPr>
        <w:t>mipymes</w:t>
      </w:r>
      <w:proofErr w:type="spellEnd"/>
      <w:r w:rsidR="00B91691" w:rsidRPr="00131EF9">
        <w:rPr>
          <w:rFonts w:ascii="Arial" w:eastAsia="Calibri" w:hAnsi="Arial" w:cs="Arial"/>
          <w:color w:val="000000" w:themeColor="text1"/>
          <w:sz w:val="22"/>
          <w:szCs w:val="22"/>
          <w:lang w:val="es-ES_tradnl"/>
        </w:rPr>
        <w:t xml:space="preserve"> en el Decreto 1860 de 2021</w:t>
      </w:r>
      <w:r w:rsidR="00B14D0D" w:rsidRPr="00131EF9">
        <w:rPr>
          <w:rFonts w:ascii="Arial" w:eastAsia="Calibri" w:hAnsi="Arial" w:cs="Arial"/>
          <w:color w:val="000000" w:themeColor="text1"/>
          <w:sz w:val="22"/>
          <w:szCs w:val="22"/>
          <w:lang w:val="es-ES_tradnl"/>
        </w:rPr>
        <w:t xml:space="preserve">, </w:t>
      </w:r>
      <w:proofErr w:type="spellStart"/>
      <w:r w:rsidR="00B14D0D" w:rsidRPr="00131EF9">
        <w:rPr>
          <w:rFonts w:ascii="Arial" w:eastAsia="Calibri" w:hAnsi="Arial" w:cs="Arial"/>
          <w:color w:val="000000" w:themeColor="text1"/>
          <w:sz w:val="22"/>
          <w:szCs w:val="22"/>
          <w:lang w:val="es-ES_tradnl"/>
        </w:rPr>
        <w:t>i</w:t>
      </w:r>
      <w:r w:rsidR="0027391B" w:rsidRPr="00131EF9">
        <w:rPr>
          <w:rFonts w:ascii="Arial" w:eastAsia="Calibri" w:hAnsi="Arial" w:cs="Arial"/>
          <w:color w:val="000000" w:themeColor="text1"/>
          <w:sz w:val="22"/>
          <w:szCs w:val="22"/>
          <w:lang w:val="es-ES_tradnl"/>
        </w:rPr>
        <w:t>ii</w:t>
      </w:r>
      <w:proofErr w:type="spellEnd"/>
      <w:r w:rsidR="00B14D0D" w:rsidRPr="00131EF9">
        <w:rPr>
          <w:rFonts w:ascii="Arial" w:eastAsia="Calibri" w:hAnsi="Arial" w:cs="Arial"/>
          <w:color w:val="000000" w:themeColor="text1"/>
          <w:sz w:val="22"/>
          <w:szCs w:val="22"/>
          <w:lang w:val="es-ES_tradnl"/>
        </w:rPr>
        <w:t xml:space="preserve">) </w:t>
      </w:r>
      <w:r w:rsidR="00131EF9" w:rsidRPr="00131EF9">
        <w:rPr>
          <w:rFonts w:ascii="Arial" w:eastAsia="Calibri" w:hAnsi="Arial" w:cs="Arial"/>
          <w:color w:val="000000" w:themeColor="text1"/>
          <w:sz w:val="22"/>
          <w:szCs w:val="22"/>
          <w:lang w:val="es-ES_tradnl"/>
        </w:rPr>
        <w:t xml:space="preserve">alcance de los requisitos habilitantes diferenciales relacionados con el valor de la garantía de seriedad de la oferta; </w:t>
      </w:r>
      <w:proofErr w:type="spellStart"/>
      <w:r w:rsidR="00131EF9" w:rsidRPr="00131EF9">
        <w:rPr>
          <w:rFonts w:ascii="Arial" w:eastAsia="Calibri" w:hAnsi="Arial" w:cs="Arial"/>
          <w:color w:val="000000" w:themeColor="text1"/>
          <w:sz w:val="22"/>
          <w:szCs w:val="22"/>
          <w:lang w:val="es-ES_tradnl"/>
        </w:rPr>
        <w:t>iv</w:t>
      </w:r>
      <w:proofErr w:type="spellEnd"/>
      <w:r w:rsidR="00131EF9" w:rsidRPr="00131EF9">
        <w:rPr>
          <w:rFonts w:ascii="Arial" w:eastAsia="Calibri" w:hAnsi="Arial" w:cs="Arial"/>
          <w:color w:val="000000" w:themeColor="text1"/>
          <w:sz w:val="22"/>
          <w:szCs w:val="22"/>
          <w:lang w:val="es-ES_tradnl"/>
        </w:rPr>
        <w:t>) promoción del desarrollo en el sistema de compras públicas: acciones de fomento a favor de población en pobreza extrema, desplazados por la violencia, personas en proceso de reintegración o reincorporación y, sujetos de especial protección constitucional</w:t>
      </w:r>
      <w:r w:rsidR="00131EF9">
        <w:rPr>
          <w:rFonts w:ascii="Arial" w:eastAsia="Calibri" w:hAnsi="Arial" w:cs="Arial"/>
          <w:color w:val="000000" w:themeColor="text1"/>
          <w:sz w:val="22"/>
          <w:szCs w:val="22"/>
          <w:lang w:val="es-ES_tradnl"/>
        </w:rPr>
        <w:t>;</w:t>
      </w:r>
      <w:r w:rsidR="00131EF9" w:rsidRPr="00131EF9">
        <w:rPr>
          <w:rFonts w:ascii="Arial" w:eastAsia="Calibri" w:hAnsi="Arial" w:cs="Arial"/>
          <w:color w:val="000000" w:themeColor="text1"/>
          <w:sz w:val="22"/>
          <w:szCs w:val="22"/>
          <w:lang w:val="es-ES_tradnl"/>
        </w:rPr>
        <w:t xml:space="preserve"> </w:t>
      </w:r>
      <w:r w:rsidR="00B91691">
        <w:rPr>
          <w:rFonts w:ascii="Arial" w:eastAsia="Calibri" w:hAnsi="Arial" w:cs="Arial"/>
          <w:color w:val="000000" w:themeColor="text1"/>
          <w:sz w:val="22"/>
          <w:szCs w:val="22"/>
          <w:lang w:val="es-ES_tradnl"/>
        </w:rPr>
        <w:t>y</w:t>
      </w:r>
      <w:r w:rsidR="0027391B">
        <w:rPr>
          <w:rFonts w:ascii="Arial" w:eastAsia="Calibri" w:hAnsi="Arial" w:cs="Arial"/>
          <w:color w:val="000000" w:themeColor="text1"/>
          <w:sz w:val="22"/>
          <w:szCs w:val="22"/>
          <w:lang w:val="es-ES_tradnl"/>
        </w:rPr>
        <w:t xml:space="preserve"> v) </w:t>
      </w:r>
      <w:r w:rsidR="00131EF9">
        <w:rPr>
          <w:rFonts w:ascii="Arial" w:eastAsia="Calibri" w:hAnsi="Arial" w:cs="Arial"/>
          <w:color w:val="000000" w:themeColor="text1"/>
          <w:sz w:val="22"/>
          <w:szCs w:val="22"/>
          <w:lang w:val="es-ES_tradnl"/>
        </w:rPr>
        <w:t>f</w:t>
      </w:r>
      <w:r w:rsidR="00131EF9" w:rsidRPr="00131EF9">
        <w:rPr>
          <w:rFonts w:ascii="Arial" w:eastAsia="Calibri" w:hAnsi="Arial" w:cs="Arial"/>
          <w:color w:val="000000" w:themeColor="text1"/>
          <w:sz w:val="22"/>
          <w:szCs w:val="22"/>
          <w:lang w:val="es-ES_tradnl"/>
        </w:rPr>
        <w:t>orma de acreditación de los factores de desempate y tratamiento de información clasificada o reservada</w:t>
      </w:r>
      <w:r w:rsidR="00131EF9">
        <w:rPr>
          <w:rFonts w:ascii="Arial" w:eastAsia="Calibri" w:hAnsi="Arial" w:cs="Arial"/>
          <w:color w:val="000000" w:themeColor="text1"/>
          <w:sz w:val="22"/>
          <w:szCs w:val="22"/>
          <w:lang w:val="es-ES_tradnl"/>
        </w:rPr>
        <w:t>.</w:t>
      </w:r>
    </w:p>
    <w:p w14:paraId="06D8ED16" w14:textId="29E8531E" w:rsidR="00BA79B8" w:rsidRPr="00C56B92" w:rsidRDefault="00131EF9" w:rsidP="00C26B44">
      <w:pPr>
        <w:tabs>
          <w:tab w:val="left" w:pos="426"/>
        </w:tabs>
        <w:spacing w:line="276" w:lineRule="auto"/>
        <w:jc w:val="both"/>
        <w:rPr>
          <w:rFonts w:ascii="Arial" w:eastAsia="Calibri" w:hAnsi="Arial" w:cs="Arial"/>
          <w:color w:val="000000" w:themeColor="text1"/>
          <w:sz w:val="22"/>
          <w:szCs w:val="22"/>
          <w:lang w:val="es-ES_tradnl"/>
        </w:rPr>
      </w:pPr>
      <w:r>
        <w:rPr>
          <w:rFonts w:ascii="Arial" w:eastAsia="Calibri" w:hAnsi="Arial" w:cs="Arial"/>
          <w:sz w:val="22"/>
          <w:szCs w:val="22"/>
          <w:lang w:val="es-ES_tradnl"/>
        </w:rPr>
        <w:tab/>
      </w:r>
      <w:r>
        <w:rPr>
          <w:rFonts w:ascii="Arial" w:eastAsia="Calibri" w:hAnsi="Arial" w:cs="Arial"/>
          <w:sz w:val="22"/>
          <w:szCs w:val="22"/>
          <w:lang w:val="es-ES_tradnl"/>
        </w:rPr>
        <w:tab/>
      </w:r>
      <w:r w:rsidR="0088684A" w:rsidRPr="00C56B92">
        <w:rPr>
          <w:rFonts w:ascii="Arial" w:eastAsia="Calibri" w:hAnsi="Arial" w:cs="Arial"/>
          <w:sz w:val="22"/>
          <w:szCs w:val="22"/>
          <w:lang w:val="es-ES_tradnl"/>
        </w:rPr>
        <w:t>La Agencia Nacional de Contratación Pública – Colombia Compra Eficiente se ha pronunciado, en términos generales, sobre el contenido de la Ley de Emprendimiento en diferentes conceptos</w:t>
      </w:r>
      <w:r w:rsidR="0088684A" w:rsidRPr="00C56B92">
        <w:rPr>
          <w:rStyle w:val="Refdenotaalpie"/>
          <w:rFonts w:ascii="Arial" w:eastAsia="Calibri" w:hAnsi="Arial" w:cs="Arial"/>
          <w:sz w:val="22"/>
          <w:szCs w:val="22"/>
          <w:lang w:val="es-ES_tradnl"/>
        </w:rPr>
        <w:footnoteReference w:id="4"/>
      </w:r>
      <w:r w:rsidR="0088684A" w:rsidRPr="00C56B92">
        <w:rPr>
          <w:rFonts w:ascii="Arial" w:eastAsia="Calibri" w:hAnsi="Arial" w:cs="Arial"/>
          <w:sz w:val="22"/>
          <w:szCs w:val="22"/>
          <w:lang w:val="es-ES_tradnl"/>
        </w:rPr>
        <w:t xml:space="preserve">, refiriéndose, especialmente, a lo dispuesto en el artículo 32 de dicha </w:t>
      </w:r>
      <w:r w:rsidR="0088684A" w:rsidRPr="00C56B92">
        <w:rPr>
          <w:rFonts w:ascii="Arial" w:eastAsia="Calibri" w:hAnsi="Arial" w:cs="Arial"/>
          <w:sz w:val="22"/>
          <w:szCs w:val="22"/>
          <w:lang w:val="es-ES_tradnl"/>
        </w:rPr>
        <w:lastRenderedPageBreak/>
        <w:t xml:space="preserve">ley, alusivo a los criterios diferenciales para emprendimientos y empresas de mujeres, en los conceptos </w:t>
      </w:r>
      <w:r w:rsidR="0088684A" w:rsidRPr="00C56B92">
        <w:rPr>
          <w:rStyle w:val="normaltextrun"/>
          <w:rFonts w:ascii="Arial" w:hAnsi="Arial" w:cs="Arial"/>
          <w:sz w:val="22"/>
          <w:szCs w:val="22"/>
          <w:shd w:val="clear" w:color="auto" w:fill="FFFFFF"/>
        </w:rPr>
        <w:t>C-029 de 21 de febrero de 2021, C-037 del 26 de febrero de 2021, C-141 del 8 de abril de 2021, C-114 del 13 de abril de 20</w:t>
      </w:r>
      <w:r w:rsidR="008D1CE3" w:rsidRPr="00C56B92">
        <w:rPr>
          <w:rStyle w:val="normaltextrun"/>
          <w:rFonts w:ascii="Arial" w:hAnsi="Arial" w:cs="Arial"/>
          <w:sz w:val="22"/>
          <w:szCs w:val="22"/>
          <w:shd w:val="clear" w:color="auto" w:fill="FFFFFF"/>
        </w:rPr>
        <w:t>21</w:t>
      </w:r>
      <w:r w:rsidR="003460DA">
        <w:rPr>
          <w:rStyle w:val="normaltextrun"/>
          <w:rFonts w:ascii="Arial" w:hAnsi="Arial" w:cs="Arial"/>
          <w:sz w:val="22"/>
          <w:szCs w:val="22"/>
          <w:shd w:val="clear" w:color="auto" w:fill="FFFFFF"/>
        </w:rPr>
        <w:t>,</w:t>
      </w:r>
      <w:r w:rsidR="008D1CE3" w:rsidRPr="00C56B92">
        <w:rPr>
          <w:rStyle w:val="normaltextrun"/>
          <w:rFonts w:ascii="Arial" w:hAnsi="Arial" w:cs="Arial"/>
          <w:sz w:val="22"/>
          <w:szCs w:val="22"/>
          <w:shd w:val="clear" w:color="auto" w:fill="FFFFFF"/>
        </w:rPr>
        <w:t xml:space="preserve"> C-031 de 1 de marzo de 2022</w:t>
      </w:r>
      <w:r w:rsidR="003460DA">
        <w:rPr>
          <w:rStyle w:val="normaltextrun"/>
          <w:rFonts w:ascii="Arial" w:hAnsi="Arial" w:cs="Arial"/>
          <w:sz w:val="22"/>
          <w:szCs w:val="22"/>
          <w:shd w:val="clear" w:color="auto" w:fill="FFFFFF"/>
        </w:rPr>
        <w:t xml:space="preserve"> y C-217 de 21 de abril de 2022</w:t>
      </w:r>
      <w:r w:rsidR="0088684A" w:rsidRPr="00C56B92">
        <w:rPr>
          <w:rStyle w:val="normaltextrun"/>
          <w:rFonts w:ascii="Arial" w:hAnsi="Arial" w:cs="Arial"/>
          <w:sz w:val="22"/>
          <w:szCs w:val="22"/>
          <w:shd w:val="clear" w:color="auto" w:fill="FFFFFF"/>
        </w:rPr>
        <w:t>, entre otros.</w:t>
      </w:r>
      <w:r w:rsidR="008D1CE3" w:rsidRPr="00C56B92">
        <w:rPr>
          <w:rStyle w:val="normaltextrun"/>
          <w:rFonts w:ascii="Arial" w:hAnsi="Arial" w:cs="Arial"/>
          <w:sz w:val="22"/>
          <w:szCs w:val="22"/>
          <w:shd w:val="clear" w:color="auto" w:fill="FFFFFF"/>
        </w:rPr>
        <w:t xml:space="preserve"> Igualmente, respecto de</w:t>
      </w:r>
      <w:r w:rsidR="00A650F7" w:rsidRPr="00C56B92">
        <w:rPr>
          <w:rStyle w:val="normaltextrun"/>
          <w:rFonts w:ascii="Arial" w:hAnsi="Arial" w:cs="Arial"/>
          <w:sz w:val="22"/>
          <w:szCs w:val="22"/>
          <w:shd w:val="clear" w:color="auto" w:fill="FFFFFF"/>
        </w:rPr>
        <w:t xml:space="preserve"> los requisitos habilitantes se ha pronunciado, entre otros,  en los conceptos </w:t>
      </w:r>
      <w:r w:rsidR="00A650F7" w:rsidRPr="00C56B92">
        <w:rPr>
          <w:rFonts w:ascii="Arial" w:eastAsia="Calibri" w:hAnsi="Arial" w:cs="Arial"/>
          <w:sz w:val="22"/>
          <w:szCs w:val="22"/>
          <w:lang w:val="es-ES_tradnl" w:eastAsia="es-MX"/>
        </w:rPr>
        <w:t xml:space="preserve">C-330 del 27 de mayo de 2020 y C-396 de 16 de julio de 2020 y C-142 de 30 de marzo de 2022. </w:t>
      </w:r>
      <w:r w:rsidR="00C56B92" w:rsidRPr="00C56B92">
        <w:rPr>
          <w:rFonts w:ascii="Arial" w:eastAsia="Calibri" w:hAnsi="Arial" w:cs="Arial"/>
          <w:sz w:val="22"/>
          <w:szCs w:val="22"/>
          <w:lang w:val="es-ES_tradnl" w:eastAsia="es-MX"/>
        </w:rPr>
        <w:t xml:space="preserve">También lo ha hecho, respecto de la garantía de seriedad de la oferta, en los conceptos 2201913000008068 del 28 de octubre del 2019, 2201913000008484 del 14 de noviembre del 2019, C-218 del 2 de abril de 2020, C-307 del 21 de mayo de 2020, C-391 del 10 de agosto de 2020, C-675 del 25 de noviembre de 2020, C-683 del 21 de noviembre de 2020 y C-010 de 16 de febrero de 2021.  </w:t>
      </w:r>
      <w:r w:rsidR="00A650F7" w:rsidRPr="00C56B92">
        <w:rPr>
          <w:rFonts w:ascii="Arial" w:eastAsia="Calibri" w:hAnsi="Arial" w:cs="Arial"/>
          <w:sz w:val="22"/>
          <w:szCs w:val="22"/>
          <w:lang w:val="es-ES_tradnl" w:eastAsia="es-MX"/>
        </w:rPr>
        <w:t xml:space="preserve">De igual manera, esta </w:t>
      </w:r>
      <w:r w:rsidR="00A650F7" w:rsidRPr="00C56B92">
        <w:rPr>
          <w:rFonts w:ascii="Arial" w:eastAsia="Calibri" w:hAnsi="Arial" w:cs="Arial"/>
          <w:color w:val="000000" w:themeColor="text1"/>
          <w:sz w:val="22"/>
          <w:szCs w:val="22"/>
          <w:lang w:val="es-ES_tradnl"/>
        </w:rPr>
        <w:t>Agencia</w:t>
      </w:r>
      <w:r w:rsidR="00BA79B8" w:rsidRPr="00C56B92">
        <w:rPr>
          <w:rFonts w:ascii="Arial" w:eastAsia="Calibri" w:hAnsi="Arial" w:cs="Arial"/>
          <w:color w:val="000000" w:themeColor="text1"/>
          <w:sz w:val="22"/>
          <w:szCs w:val="22"/>
          <w:lang w:val="es-ES_tradnl"/>
        </w:rPr>
        <w:t>, estudió los factores de desempate del artículo 35 de la Ley 2069 de 2020 en los conceptos: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w:t>
      </w:r>
      <w:r w:rsidR="008D1CE3" w:rsidRPr="00C56B92">
        <w:rPr>
          <w:rFonts w:ascii="Arial" w:eastAsia="Calibri" w:hAnsi="Arial" w:cs="Arial"/>
          <w:color w:val="000000" w:themeColor="text1"/>
          <w:sz w:val="22"/>
          <w:szCs w:val="22"/>
          <w:lang w:val="es-ES_tradnl"/>
        </w:rPr>
        <w:t>,</w:t>
      </w:r>
      <w:r w:rsidR="005E22FE">
        <w:rPr>
          <w:rFonts w:ascii="Arial" w:eastAsia="Calibri" w:hAnsi="Arial" w:cs="Arial"/>
          <w:color w:val="000000" w:themeColor="text1"/>
          <w:sz w:val="22"/>
          <w:szCs w:val="22"/>
          <w:lang w:val="es-ES_tradnl"/>
        </w:rPr>
        <w:t xml:space="preserve"> C-390 de 3 de agosto de 2021 y </w:t>
      </w:r>
      <w:r w:rsidR="008D1CE3" w:rsidRPr="00C56B92">
        <w:rPr>
          <w:rFonts w:ascii="Arial" w:eastAsia="Calibri" w:hAnsi="Arial" w:cs="Arial"/>
          <w:color w:val="000000" w:themeColor="text1"/>
          <w:sz w:val="22"/>
          <w:szCs w:val="22"/>
          <w:lang w:val="es-ES_tradnl"/>
        </w:rPr>
        <w:t xml:space="preserve"> C-199 de 13 de abril de 2022,</w:t>
      </w:r>
      <w:r w:rsidR="00BA79B8" w:rsidRPr="00C56B92">
        <w:rPr>
          <w:rFonts w:ascii="Arial" w:eastAsia="Calibri" w:hAnsi="Arial" w:cs="Arial"/>
          <w:color w:val="000000" w:themeColor="text1"/>
          <w:sz w:val="22"/>
          <w:szCs w:val="22"/>
          <w:lang w:val="es-ES_tradnl"/>
        </w:rPr>
        <w:t xml:space="preserve"> entre otros</w:t>
      </w:r>
      <w:r w:rsidR="00BA79B8" w:rsidRPr="00C56B92">
        <w:rPr>
          <w:rStyle w:val="Refdenotaalpie"/>
          <w:rFonts w:ascii="Arial" w:eastAsia="Calibri" w:hAnsi="Arial" w:cs="Arial"/>
          <w:sz w:val="22"/>
          <w:szCs w:val="22"/>
        </w:rPr>
        <w:footnoteReference w:id="5"/>
      </w:r>
      <w:r w:rsidR="00BA79B8" w:rsidRPr="00C56B92">
        <w:rPr>
          <w:rFonts w:ascii="Arial" w:eastAsia="Calibri" w:hAnsi="Arial" w:cs="Arial"/>
          <w:color w:val="000000" w:themeColor="text1"/>
          <w:sz w:val="22"/>
          <w:szCs w:val="22"/>
          <w:lang w:val="es-ES_tradnl"/>
        </w:rPr>
        <w:t xml:space="preserve">. </w:t>
      </w:r>
      <w:r w:rsidR="00834374">
        <w:rPr>
          <w:rFonts w:ascii="Arial" w:eastAsia="Calibri" w:hAnsi="Arial" w:cs="Arial"/>
          <w:color w:val="000000" w:themeColor="text1"/>
          <w:sz w:val="22"/>
          <w:szCs w:val="22"/>
          <w:lang w:val="es-ES_tradnl"/>
        </w:rPr>
        <w:t xml:space="preserve">Finalmente, sobre </w:t>
      </w:r>
      <w:r w:rsidR="005231A5">
        <w:rPr>
          <w:rFonts w:ascii="Arial" w:eastAsia="Calibri" w:hAnsi="Arial" w:cs="Arial"/>
          <w:color w:val="000000" w:themeColor="text1"/>
          <w:sz w:val="22"/>
          <w:szCs w:val="22"/>
          <w:lang w:val="es-ES_tradnl"/>
        </w:rPr>
        <w:t xml:space="preserve">datos sensibles y sobre </w:t>
      </w:r>
      <w:r w:rsidR="00C862B5">
        <w:rPr>
          <w:rFonts w:ascii="Arial" w:eastAsia="Calibri" w:hAnsi="Arial" w:cs="Arial"/>
          <w:color w:val="000000" w:themeColor="text1"/>
          <w:sz w:val="22"/>
          <w:szCs w:val="22"/>
          <w:lang w:val="es-ES_tradnl"/>
        </w:rPr>
        <w:t xml:space="preserve">la existencia de reserva como excepción al deber de publicar la información contractual en el SECOP </w:t>
      </w:r>
      <w:r w:rsidR="00D95ED9">
        <w:rPr>
          <w:rFonts w:ascii="Arial" w:eastAsia="Calibri" w:hAnsi="Arial" w:cs="Arial"/>
          <w:color w:val="000000" w:themeColor="text1"/>
          <w:sz w:val="22"/>
          <w:szCs w:val="22"/>
          <w:lang w:val="es-ES_tradnl"/>
        </w:rPr>
        <w:t xml:space="preserve">la Agencia emitió los conceptos C-104 de 6 de abril </w:t>
      </w:r>
      <w:r w:rsidR="00D95ED9">
        <w:rPr>
          <w:rFonts w:ascii="Arial" w:eastAsia="Calibri" w:hAnsi="Arial" w:cs="Arial"/>
          <w:color w:val="000000" w:themeColor="text1"/>
          <w:sz w:val="22"/>
          <w:szCs w:val="22"/>
          <w:lang w:val="es-ES_tradnl"/>
        </w:rPr>
        <w:lastRenderedPageBreak/>
        <w:t>de 2021</w:t>
      </w:r>
      <w:r w:rsidR="005231A5">
        <w:rPr>
          <w:rFonts w:ascii="Arial" w:eastAsia="Calibri" w:hAnsi="Arial" w:cs="Arial"/>
          <w:color w:val="000000" w:themeColor="text1"/>
          <w:sz w:val="22"/>
          <w:szCs w:val="22"/>
          <w:lang w:val="es-ES_tradnl"/>
        </w:rPr>
        <w:t>, C-187 de 28 de abril de 2021</w:t>
      </w:r>
      <w:r w:rsidR="00D95ED9">
        <w:rPr>
          <w:rFonts w:ascii="Arial" w:eastAsia="Calibri" w:hAnsi="Arial" w:cs="Arial"/>
          <w:color w:val="000000" w:themeColor="text1"/>
          <w:sz w:val="22"/>
          <w:szCs w:val="22"/>
          <w:lang w:val="es-ES_tradnl"/>
        </w:rPr>
        <w:t xml:space="preserve"> y C-300 de 12 de mayo de 2021</w:t>
      </w:r>
      <w:r w:rsidR="005231A5">
        <w:rPr>
          <w:rFonts w:ascii="Arial" w:eastAsia="Calibri" w:hAnsi="Arial" w:cs="Arial"/>
          <w:color w:val="000000" w:themeColor="text1"/>
          <w:sz w:val="22"/>
          <w:szCs w:val="22"/>
          <w:lang w:val="es-ES_tradnl"/>
        </w:rPr>
        <w:t>, entre otros</w:t>
      </w:r>
      <w:r w:rsidR="00D95ED9">
        <w:rPr>
          <w:rFonts w:ascii="Arial" w:eastAsia="Calibri" w:hAnsi="Arial" w:cs="Arial"/>
          <w:color w:val="000000" w:themeColor="text1"/>
          <w:sz w:val="22"/>
          <w:szCs w:val="22"/>
          <w:lang w:val="es-ES_tradnl"/>
        </w:rPr>
        <w:t xml:space="preserve">. </w:t>
      </w:r>
      <w:r w:rsidR="00BA79B8" w:rsidRPr="00C56B92">
        <w:rPr>
          <w:rFonts w:ascii="Arial" w:eastAsia="Calibri" w:hAnsi="Arial" w:cs="Arial"/>
          <w:color w:val="000000" w:themeColor="text1"/>
          <w:sz w:val="22"/>
          <w:szCs w:val="22"/>
          <w:lang w:val="es-ES_tradnl"/>
        </w:rPr>
        <w:t>Algunas de las consideraciones de estos conceptos se reiteran a continuación.</w:t>
      </w:r>
    </w:p>
    <w:p w14:paraId="27DA9246" w14:textId="77777777" w:rsidR="00BA79B8" w:rsidRPr="001C75C1" w:rsidRDefault="00BA79B8" w:rsidP="00C26B44">
      <w:pPr>
        <w:ind w:firstLine="709"/>
        <w:jc w:val="both"/>
        <w:rPr>
          <w:rFonts w:ascii="Arial" w:eastAsia="Calibri" w:hAnsi="Arial" w:cs="Arial"/>
          <w:color w:val="000000" w:themeColor="text1"/>
          <w:sz w:val="22"/>
          <w:szCs w:val="22"/>
          <w:lang w:val="es-ES_tradnl"/>
        </w:rPr>
      </w:pPr>
    </w:p>
    <w:p w14:paraId="0953F27A" w14:textId="6587811E" w:rsidR="008378BE" w:rsidRPr="006D7F4F" w:rsidRDefault="008378BE" w:rsidP="008378BE">
      <w:pPr>
        <w:spacing w:line="276" w:lineRule="auto"/>
        <w:jc w:val="both"/>
        <w:rPr>
          <w:rFonts w:ascii="Arial" w:eastAsia="Calibri" w:hAnsi="Arial" w:cs="Arial"/>
          <w:b/>
          <w:bCs/>
          <w:sz w:val="22"/>
          <w:szCs w:val="22"/>
          <w:lang w:val="es-ES_tradnl"/>
        </w:rPr>
      </w:pPr>
      <w:r w:rsidRPr="006D7F4F">
        <w:rPr>
          <w:rFonts w:ascii="Arial" w:eastAsia="Calibri" w:hAnsi="Arial" w:cs="Arial"/>
          <w:b/>
          <w:bCs/>
          <w:sz w:val="22"/>
          <w:szCs w:val="22"/>
          <w:lang w:val="es-ES_tradnl"/>
        </w:rPr>
        <w:t>2.</w:t>
      </w:r>
      <w:r w:rsidR="00C66D75">
        <w:rPr>
          <w:rFonts w:ascii="Arial" w:eastAsia="Calibri" w:hAnsi="Arial" w:cs="Arial"/>
          <w:b/>
          <w:bCs/>
          <w:sz w:val="22"/>
          <w:szCs w:val="22"/>
          <w:lang w:val="es-ES_tradnl"/>
        </w:rPr>
        <w:t>1</w:t>
      </w:r>
      <w:r w:rsidRPr="006D7F4F">
        <w:rPr>
          <w:rFonts w:ascii="Arial" w:eastAsia="Calibri" w:hAnsi="Arial" w:cs="Arial"/>
          <w:b/>
          <w:bCs/>
          <w:sz w:val="22"/>
          <w:szCs w:val="22"/>
          <w:lang w:val="es-ES_tradnl"/>
        </w:rPr>
        <w:t xml:space="preserve">. </w:t>
      </w:r>
      <w:bookmarkStart w:id="4" w:name="_Hlk94018153"/>
      <w:r w:rsidRPr="006D7F4F">
        <w:rPr>
          <w:rFonts w:ascii="Arial" w:eastAsia="Calibri" w:hAnsi="Arial" w:cs="Arial"/>
          <w:b/>
          <w:bCs/>
          <w:sz w:val="22"/>
          <w:szCs w:val="22"/>
          <w:lang w:val="es-ES_tradnl"/>
        </w:rPr>
        <w:t xml:space="preserve">Vigencia y reglamentación de los criterios diferenciales de la Ley 2069 de 2020 </w:t>
      </w:r>
      <w:bookmarkEnd w:id="4"/>
    </w:p>
    <w:p w14:paraId="7489F6BA" w14:textId="77777777" w:rsidR="008378BE" w:rsidRPr="006D7F4F" w:rsidRDefault="008378BE" w:rsidP="008378BE">
      <w:pPr>
        <w:spacing w:line="276" w:lineRule="auto"/>
        <w:jc w:val="both"/>
        <w:rPr>
          <w:rFonts w:ascii="Arial" w:eastAsia="Calibri" w:hAnsi="Arial" w:cs="Arial"/>
          <w:sz w:val="22"/>
          <w:szCs w:val="22"/>
          <w:lang w:val="es-ES_tradnl"/>
        </w:rPr>
      </w:pPr>
    </w:p>
    <w:p w14:paraId="6BCB378D" w14:textId="0040AF99" w:rsidR="008378BE" w:rsidRPr="006D7F4F" w:rsidRDefault="008378BE" w:rsidP="008378BE">
      <w:pPr>
        <w:spacing w:line="276" w:lineRule="auto"/>
        <w:jc w:val="both"/>
        <w:rPr>
          <w:rFonts w:ascii="Arial" w:eastAsia="Calibri" w:hAnsi="Arial" w:cs="Arial"/>
          <w:sz w:val="22"/>
          <w:szCs w:val="22"/>
          <w:lang w:val="es-ES_tradnl"/>
        </w:rPr>
      </w:pPr>
      <w:r w:rsidRPr="006D7F4F">
        <w:rPr>
          <w:rFonts w:ascii="Arial" w:eastAsia="Calibri" w:hAnsi="Arial" w:cs="Arial"/>
          <w:sz w:val="22"/>
          <w:szCs w:val="22"/>
          <w:lang w:val="es-ES_tradnl"/>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w:t>
      </w:r>
      <w:r w:rsidR="00E634D9" w:rsidRPr="006D7F4F">
        <w:rPr>
          <w:rFonts w:ascii="Arial" w:eastAsia="Calibri" w:hAnsi="Arial" w:cs="Arial"/>
          <w:sz w:val="22"/>
          <w:szCs w:val="22"/>
          <w:lang w:val="es-ES_tradnl"/>
        </w:rPr>
        <w:t>G</w:t>
      </w:r>
      <w:r w:rsidRPr="006D7F4F">
        <w:rPr>
          <w:rFonts w:ascii="Arial" w:eastAsia="Calibri" w:hAnsi="Arial" w:cs="Arial"/>
          <w:sz w:val="22"/>
          <w:szCs w:val="22"/>
          <w:lang w:val="es-ES_tradnl"/>
        </w:rPr>
        <w:t xml:space="preserve">obierno </w:t>
      </w:r>
      <w:r w:rsidR="00E634D9" w:rsidRPr="006D7F4F">
        <w:rPr>
          <w:rFonts w:ascii="Arial" w:eastAsia="Calibri" w:hAnsi="Arial" w:cs="Arial"/>
          <w:sz w:val="22"/>
          <w:szCs w:val="22"/>
          <w:lang w:val="es-ES_tradnl"/>
        </w:rPr>
        <w:t>N</w:t>
      </w:r>
      <w:r w:rsidRPr="006D7F4F">
        <w:rPr>
          <w:rFonts w:ascii="Arial" w:eastAsia="Calibri" w:hAnsi="Arial" w:cs="Arial"/>
          <w:sz w:val="22"/>
          <w:szCs w:val="22"/>
          <w:lang w:val="es-ES_tradnl"/>
        </w:rPr>
        <w:t xml:space="preserve">acional, en ejercicio de la potestad reglamentaria que le confiere el </w:t>
      </w:r>
      <w:r w:rsidR="00E634D9" w:rsidRPr="006D7F4F">
        <w:rPr>
          <w:rFonts w:ascii="Arial" w:eastAsia="Calibri" w:hAnsi="Arial" w:cs="Arial"/>
          <w:sz w:val="22"/>
          <w:szCs w:val="22"/>
          <w:lang w:val="es-ES_tradnl"/>
        </w:rPr>
        <w:t xml:space="preserve">numeral 11 del </w:t>
      </w:r>
      <w:r w:rsidRPr="006D7F4F">
        <w:rPr>
          <w:rFonts w:ascii="Arial" w:eastAsia="Calibri" w:hAnsi="Arial" w:cs="Arial"/>
          <w:sz w:val="22"/>
          <w:szCs w:val="22"/>
          <w:lang w:val="es-ES_tradnl"/>
        </w:rPr>
        <w:t>artículo 189 de la Constitución Política, expida los decretos correspondientes que permitan la cumplida ejecución de esta Ley.</w:t>
      </w:r>
    </w:p>
    <w:p w14:paraId="6E1F1155" w14:textId="77777777" w:rsidR="008378BE" w:rsidRPr="006D7F4F" w:rsidRDefault="008378BE" w:rsidP="008378BE">
      <w:pPr>
        <w:spacing w:before="120" w:line="276" w:lineRule="auto"/>
        <w:ind w:firstLine="709"/>
        <w:jc w:val="both"/>
        <w:rPr>
          <w:rFonts w:ascii="Arial" w:eastAsia="Calibri" w:hAnsi="Arial" w:cs="Arial"/>
          <w:sz w:val="22"/>
          <w:szCs w:val="22"/>
          <w:lang w:val="es-ES_tradnl"/>
        </w:rPr>
      </w:pPr>
      <w:r w:rsidRPr="006D7F4F">
        <w:rPr>
          <w:rFonts w:ascii="Arial" w:eastAsia="Calibri" w:hAnsi="Arial" w:cs="Arial"/>
          <w:sz w:val="22"/>
          <w:szCs w:val="22"/>
          <w:lang w:val="es-ES_tradnl"/>
        </w:rPr>
        <w:t>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w:t>
      </w:r>
      <w:r w:rsidRPr="006D7F4F">
        <w:rPr>
          <w:rFonts w:ascii="Arial" w:eastAsia="Calibri" w:hAnsi="Arial" w:cs="Arial"/>
          <w:sz w:val="22"/>
          <w:szCs w:val="22"/>
          <w:vertAlign w:val="superscript"/>
          <w:lang w:val="es-ES_tradnl"/>
        </w:rPr>
        <w:footnoteReference w:id="6"/>
      </w:r>
      <w:r w:rsidRPr="006D7F4F">
        <w:rPr>
          <w:rFonts w:ascii="Arial" w:eastAsia="Calibri" w:hAnsi="Arial" w:cs="Arial"/>
          <w:sz w:val="22"/>
          <w:szCs w:val="22"/>
          <w:lang w:val="es-ES_tradnl"/>
        </w:rPr>
        <w:t xml:space="preserve">. Esto, a partir de «[…] un enfoque regionalizado </w:t>
      </w:r>
      <w:proofErr w:type="gramStart"/>
      <w:r w:rsidRPr="006D7F4F">
        <w:rPr>
          <w:rFonts w:ascii="Arial" w:eastAsia="Calibri" w:hAnsi="Arial" w:cs="Arial"/>
          <w:sz w:val="22"/>
          <w:szCs w:val="22"/>
          <w:lang w:val="es-ES_tradnl"/>
        </w:rPr>
        <w:t>de acuerdo a</w:t>
      </w:r>
      <w:proofErr w:type="gramEnd"/>
      <w:r w:rsidRPr="006D7F4F">
        <w:rPr>
          <w:rFonts w:ascii="Arial" w:eastAsia="Calibri" w:hAnsi="Arial" w:cs="Arial"/>
          <w:sz w:val="22"/>
          <w:szCs w:val="22"/>
          <w:lang w:val="es-ES_tradnl"/>
        </w:rPr>
        <w:t xml:space="preserve"> las realidades socioeconómicas de cada región». En desarrollo de esta finalidad, se establecen medidas de apoyo para las micro, pequeñas y medianas empresas –</w:t>
      </w:r>
      <w:proofErr w:type="spellStart"/>
      <w:r w:rsidRPr="006D7F4F">
        <w:rPr>
          <w:rFonts w:ascii="Arial" w:eastAsia="Calibri" w:hAnsi="Arial" w:cs="Arial"/>
          <w:sz w:val="22"/>
          <w:szCs w:val="22"/>
          <w:lang w:val="es-ES_tradnl"/>
        </w:rPr>
        <w:t>mipymes</w:t>
      </w:r>
      <w:proofErr w:type="spellEnd"/>
      <w:r w:rsidRPr="006D7F4F">
        <w:rPr>
          <w:rFonts w:ascii="Arial" w:eastAsia="Calibri" w:hAnsi="Arial" w:cs="Arial"/>
          <w:sz w:val="22"/>
          <w:szCs w:val="22"/>
          <w:lang w:val="es-ES_tradnl"/>
        </w:rPr>
        <w:t>–, mediante la racionalización y simplificación de los trámites y tarifas</w:t>
      </w:r>
      <w:r w:rsidRPr="006D7F4F">
        <w:rPr>
          <w:rStyle w:val="Refdenotaalpie"/>
          <w:rFonts w:ascii="Arial" w:eastAsia="Calibri" w:hAnsi="Arial" w:cs="Arial"/>
          <w:sz w:val="22"/>
          <w:szCs w:val="22"/>
          <w:lang w:val="es-ES_tradnl"/>
        </w:rPr>
        <w:footnoteReference w:id="7"/>
      </w:r>
      <w:r w:rsidRPr="006D7F4F">
        <w:rPr>
          <w:rFonts w:ascii="Arial" w:eastAsia="Calibri" w:hAnsi="Arial" w:cs="Arial"/>
          <w:sz w:val="22"/>
          <w:szCs w:val="22"/>
          <w:lang w:val="es-ES_tradnl"/>
        </w:rPr>
        <w:t>, así como incentivos a favor de aquellas dentro del sistema de compras y contratación pública</w:t>
      </w:r>
      <w:r w:rsidRPr="006D7F4F">
        <w:rPr>
          <w:rStyle w:val="Refdenotaalpie"/>
          <w:rFonts w:ascii="Arial" w:eastAsia="Calibri" w:hAnsi="Arial" w:cs="Arial"/>
          <w:sz w:val="22"/>
          <w:szCs w:val="22"/>
          <w:lang w:val="es-ES_tradnl"/>
        </w:rPr>
        <w:footnoteReference w:id="8"/>
      </w:r>
      <w:r w:rsidRPr="006D7F4F">
        <w:rPr>
          <w:rFonts w:ascii="Arial" w:eastAsia="Calibri" w:hAnsi="Arial" w:cs="Arial"/>
          <w:sz w:val="22"/>
          <w:szCs w:val="22"/>
          <w:lang w:val="es-ES_tradnl"/>
        </w:rPr>
        <w:t>. También se consagran mecanismos de acceso al financiamiento</w:t>
      </w:r>
      <w:r w:rsidRPr="006D7F4F">
        <w:rPr>
          <w:rStyle w:val="Refdenotaalpie"/>
          <w:rFonts w:ascii="Arial" w:eastAsia="Calibri" w:hAnsi="Arial" w:cs="Arial"/>
          <w:sz w:val="22"/>
          <w:szCs w:val="22"/>
          <w:lang w:val="es-ES_tradnl"/>
        </w:rPr>
        <w:footnoteReference w:id="9"/>
      </w:r>
      <w:r w:rsidRPr="006D7F4F">
        <w:rPr>
          <w:rFonts w:ascii="Arial" w:eastAsia="Calibri" w:hAnsi="Arial" w:cs="Arial"/>
          <w:sz w:val="22"/>
          <w:szCs w:val="22"/>
          <w:lang w:val="es-ES_tradnl"/>
        </w:rPr>
        <w:t>, se unifican las fuentes de emprendimiento y de desarrollo empresarial, para fortalecer y promover los distintos sectores de la economía</w:t>
      </w:r>
      <w:r w:rsidRPr="006D7F4F">
        <w:rPr>
          <w:rStyle w:val="Refdenotaalpie"/>
          <w:rFonts w:ascii="Arial" w:eastAsia="Calibri" w:hAnsi="Arial" w:cs="Arial"/>
          <w:sz w:val="22"/>
          <w:szCs w:val="22"/>
          <w:lang w:val="es-ES_tradnl"/>
        </w:rPr>
        <w:footnoteReference w:id="10"/>
      </w:r>
      <w:r w:rsidRPr="006D7F4F">
        <w:rPr>
          <w:rFonts w:ascii="Arial" w:eastAsia="Calibri" w:hAnsi="Arial" w:cs="Arial"/>
          <w:sz w:val="22"/>
          <w:szCs w:val="22"/>
          <w:lang w:val="es-ES_tradnl"/>
        </w:rPr>
        <w:t xml:space="preserve"> y se prevén medidas de educación para el emprendimiento y la innovación</w:t>
      </w:r>
      <w:r w:rsidRPr="006D7F4F">
        <w:rPr>
          <w:rStyle w:val="Refdenotaalpie"/>
          <w:rFonts w:ascii="Arial" w:eastAsia="Calibri" w:hAnsi="Arial" w:cs="Arial"/>
          <w:sz w:val="22"/>
          <w:szCs w:val="22"/>
          <w:lang w:val="es-ES_tradnl"/>
        </w:rPr>
        <w:footnoteReference w:id="11"/>
      </w:r>
      <w:r w:rsidRPr="006D7F4F">
        <w:rPr>
          <w:rFonts w:ascii="Arial" w:eastAsia="Calibri" w:hAnsi="Arial" w:cs="Arial"/>
          <w:sz w:val="22"/>
          <w:szCs w:val="22"/>
          <w:lang w:val="es-ES_tradnl"/>
        </w:rPr>
        <w:t>.</w:t>
      </w:r>
    </w:p>
    <w:p w14:paraId="38E8E67C" w14:textId="38AA7CC4" w:rsidR="008378BE" w:rsidRPr="006D7F4F" w:rsidRDefault="008378BE" w:rsidP="008378BE">
      <w:pPr>
        <w:spacing w:before="120" w:after="120" w:line="276" w:lineRule="auto"/>
        <w:ind w:firstLine="709"/>
        <w:jc w:val="both"/>
        <w:rPr>
          <w:rFonts w:ascii="Arial" w:eastAsia="Calibri" w:hAnsi="Arial" w:cs="Arial"/>
          <w:sz w:val="22"/>
          <w:szCs w:val="22"/>
          <w:lang w:val="es-ES_tradnl"/>
        </w:rPr>
      </w:pPr>
      <w:r w:rsidRPr="006D7F4F">
        <w:rPr>
          <w:rFonts w:ascii="Arial" w:eastAsia="Calibri" w:hAnsi="Arial" w:cs="Arial"/>
          <w:sz w:val="22"/>
          <w:szCs w:val="22"/>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6D7F4F">
        <w:rPr>
          <w:rFonts w:ascii="Arial" w:eastAsia="Calibri" w:hAnsi="Arial" w:cs="Arial"/>
          <w:sz w:val="22"/>
          <w:szCs w:val="22"/>
          <w:lang w:val="es-ES_tradnl"/>
        </w:rPr>
        <w:t>mipymes</w:t>
      </w:r>
      <w:proofErr w:type="spellEnd"/>
      <w:r w:rsidRPr="006D7F4F">
        <w:rPr>
          <w:rFonts w:ascii="Arial" w:eastAsia="Calibri" w:hAnsi="Arial" w:cs="Arial"/>
          <w:sz w:val="22"/>
          <w:szCs w:val="22"/>
          <w:lang w:val="es-ES_tradnl"/>
        </w:rPr>
        <w:t xml:space="preserve"> en el procedimiento de mínima </w:t>
      </w:r>
      <w:r w:rsidRPr="006D7F4F">
        <w:rPr>
          <w:rFonts w:ascii="Arial" w:eastAsia="Calibri" w:hAnsi="Arial" w:cs="Arial"/>
          <w:sz w:val="22"/>
          <w:szCs w:val="22"/>
          <w:lang w:val="es-ES_tradnl"/>
        </w:rPr>
        <w:lastRenderedPageBreak/>
        <w:t xml:space="preserve">cuantía, </w:t>
      </w:r>
      <w:proofErr w:type="spellStart"/>
      <w:r w:rsidRPr="006D7F4F">
        <w:rPr>
          <w:rFonts w:ascii="Arial" w:eastAsia="Calibri" w:hAnsi="Arial" w:cs="Arial"/>
          <w:sz w:val="22"/>
          <w:szCs w:val="22"/>
          <w:lang w:val="es-ES_tradnl"/>
        </w:rPr>
        <w:t>ii</w:t>
      </w:r>
      <w:proofErr w:type="spellEnd"/>
      <w:r w:rsidRPr="006D7F4F">
        <w:rPr>
          <w:rFonts w:ascii="Arial" w:eastAsia="Calibri" w:hAnsi="Arial" w:cs="Arial"/>
          <w:sz w:val="22"/>
          <w:szCs w:val="22"/>
          <w:lang w:val="es-ES_tradnl"/>
        </w:rPr>
        <w:t xml:space="preserve">) criterios diferenciales para </w:t>
      </w:r>
      <w:proofErr w:type="spellStart"/>
      <w:r w:rsidRPr="006D7F4F">
        <w:rPr>
          <w:rFonts w:ascii="Arial" w:eastAsia="Calibri" w:hAnsi="Arial" w:cs="Arial"/>
          <w:sz w:val="22"/>
          <w:szCs w:val="22"/>
          <w:lang w:val="es-ES_tradnl"/>
        </w:rPr>
        <w:t>mipymes</w:t>
      </w:r>
      <w:proofErr w:type="spellEnd"/>
      <w:r w:rsidRPr="006D7F4F">
        <w:rPr>
          <w:rFonts w:ascii="Arial" w:eastAsia="Calibri" w:hAnsi="Arial" w:cs="Arial"/>
          <w:sz w:val="22"/>
          <w:szCs w:val="22"/>
          <w:lang w:val="es-ES_tradnl"/>
        </w:rPr>
        <w:t xml:space="preserve"> en el sistema de compras públicas, </w:t>
      </w:r>
      <w:proofErr w:type="spellStart"/>
      <w:r w:rsidRPr="006D7F4F">
        <w:rPr>
          <w:rFonts w:ascii="Arial" w:eastAsia="Calibri" w:hAnsi="Arial" w:cs="Arial"/>
          <w:sz w:val="22"/>
          <w:szCs w:val="22"/>
          <w:lang w:val="es-ES_tradnl"/>
        </w:rPr>
        <w:t>iii</w:t>
      </w:r>
      <w:proofErr w:type="spellEnd"/>
      <w:r w:rsidRPr="006D7F4F">
        <w:rPr>
          <w:rFonts w:ascii="Arial" w:eastAsia="Calibri" w:hAnsi="Arial" w:cs="Arial"/>
          <w:sz w:val="22"/>
          <w:szCs w:val="22"/>
          <w:lang w:val="es-ES_tradnl"/>
        </w:rPr>
        <w:t xml:space="preserve">) criterios diferenciales para emprendimientos y empresas de mujeres en el sistema de compras públicas, </w:t>
      </w:r>
      <w:proofErr w:type="spellStart"/>
      <w:r w:rsidRPr="006D7F4F">
        <w:rPr>
          <w:rFonts w:ascii="Arial" w:eastAsia="Calibri" w:hAnsi="Arial" w:cs="Arial"/>
          <w:sz w:val="22"/>
          <w:szCs w:val="22"/>
          <w:lang w:val="es-ES_tradnl"/>
        </w:rPr>
        <w:t>iv</w:t>
      </w:r>
      <w:proofErr w:type="spellEnd"/>
      <w:r w:rsidRPr="006D7F4F">
        <w:rPr>
          <w:rFonts w:ascii="Arial" w:eastAsia="Calibri" w:hAnsi="Arial" w:cs="Arial"/>
          <w:sz w:val="22"/>
          <w:szCs w:val="22"/>
          <w:lang w:val="es-ES_tradnl"/>
        </w:rPr>
        <w:t xml:space="preserve">) promoción del acceso de las </w:t>
      </w:r>
      <w:proofErr w:type="spellStart"/>
      <w:r w:rsidRPr="006D7F4F">
        <w:rPr>
          <w:rFonts w:ascii="Arial" w:eastAsia="Calibri" w:hAnsi="Arial" w:cs="Arial"/>
          <w:sz w:val="22"/>
          <w:szCs w:val="22"/>
          <w:lang w:val="es-ES_tradnl"/>
        </w:rPr>
        <w:t>mipymes</w:t>
      </w:r>
      <w:proofErr w:type="spellEnd"/>
      <w:r w:rsidRPr="006D7F4F">
        <w:rPr>
          <w:rFonts w:ascii="Arial" w:eastAsia="Calibri" w:hAnsi="Arial" w:cs="Arial"/>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w:t>
      </w:r>
      <w:r w:rsidRPr="006D7F4F">
        <w:rPr>
          <w:rFonts w:ascii="Arial" w:eastAsia="Calibri" w:hAnsi="Arial" w:cs="Arial"/>
          <w:bCs/>
          <w:sz w:val="22"/>
          <w:szCs w:val="22"/>
          <w:vertAlign w:val="superscript"/>
          <w:lang w:val="es-MX"/>
        </w:rPr>
        <w:footnoteReference w:id="12"/>
      </w:r>
      <w:r w:rsidRPr="006D7F4F">
        <w:rPr>
          <w:rFonts w:ascii="Arial" w:eastAsia="Calibri" w:hAnsi="Arial" w:cs="Arial"/>
          <w:sz w:val="22"/>
          <w:szCs w:val="22"/>
          <w:lang w:val="es-ES_tradnl"/>
        </w:rPr>
        <w:t xml:space="preserve">.  </w:t>
      </w:r>
    </w:p>
    <w:p w14:paraId="59DEFF95" w14:textId="77777777" w:rsidR="008378BE" w:rsidRPr="006D7F4F" w:rsidRDefault="008378BE" w:rsidP="008378BE">
      <w:pPr>
        <w:tabs>
          <w:tab w:val="left" w:pos="709"/>
        </w:tabs>
        <w:spacing w:after="120" w:line="276" w:lineRule="auto"/>
        <w:jc w:val="both"/>
        <w:rPr>
          <w:rFonts w:ascii="Arial" w:eastAsia="Calibri" w:hAnsi="Arial" w:cs="Arial"/>
          <w:bCs/>
          <w:sz w:val="22"/>
          <w:szCs w:val="22"/>
        </w:rPr>
      </w:pPr>
      <w:r w:rsidRPr="006D7F4F">
        <w:rPr>
          <w:rFonts w:ascii="Arial" w:eastAsia="Calibri" w:hAnsi="Arial" w:cs="Arial"/>
          <w:bCs/>
          <w:sz w:val="22"/>
          <w:szCs w:val="22"/>
        </w:rPr>
        <w:tab/>
        <w:t xml:space="preserve">Dentro del referido capítulo se encuentran </w:t>
      </w:r>
      <w:bookmarkStart w:id="6" w:name="_Hlk63848566"/>
      <w:r w:rsidRPr="006D7F4F">
        <w:rPr>
          <w:rFonts w:ascii="Arial" w:eastAsia="Calibri" w:hAnsi="Arial" w:cs="Arial"/>
          <w:bCs/>
          <w:sz w:val="22"/>
          <w:szCs w:val="22"/>
        </w:rPr>
        <w:t>los artículos 31 y 32 de la Ley 2069 de 2020</w:t>
      </w:r>
      <w:bookmarkEnd w:id="6"/>
      <w:r w:rsidRPr="006D7F4F">
        <w:rPr>
          <w:rFonts w:ascii="Arial" w:eastAsia="Calibri" w:hAnsi="Arial" w:cs="Arial"/>
          <w:bCs/>
          <w:sz w:val="22"/>
          <w:szCs w:val="22"/>
        </w:rPr>
        <w:t xml:space="preserve">, los cuales crean una serie de incentivos para las personas interesadas en celebrar contratos con el Estado. </w:t>
      </w:r>
      <w:r w:rsidRPr="006D7F4F">
        <w:rPr>
          <w:rFonts w:ascii="Arial" w:eastAsia="Calibri" w:hAnsi="Arial" w:cs="Arial"/>
          <w:bCs/>
          <w:sz w:val="22"/>
          <w:szCs w:val="22"/>
          <w:lang w:val="es-ES_tradnl"/>
        </w:rPr>
        <w:t xml:space="preserve">Por un lado, el artículo 31 </w:t>
      </w:r>
      <w:r w:rsidRPr="006D7F4F">
        <w:rPr>
          <w:rFonts w:ascii="Arial" w:eastAsia="Calibri" w:hAnsi="Arial" w:cs="Arial"/>
          <w:bCs/>
          <w:sz w:val="22"/>
          <w:szCs w:val="22"/>
        </w:rPr>
        <w:t xml:space="preserve">introduce criterios diferenciales para el acceso de las </w:t>
      </w:r>
      <w:proofErr w:type="spellStart"/>
      <w:r w:rsidRPr="006D7F4F">
        <w:rPr>
          <w:rFonts w:ascii="Arial" w:eastAsia="Calibri" w:hAnsi="Arial" w:cs="Arial"/>
          <w:bCs/>
          <w:sz w:val="22"/>
          <w:szCs w:val="22"/>
        </w:rPr>
        <w:t>mipymes</w:t>
      </w:r>
      <w:proofErr w:type="spellEnd"/>
      <w:r w:rsidRPr="006D7F4F">
        <w:rPr>
          <w:rFonts w:ascii="Arial" w:eastAsia="Calibri" w:hAnsi="Arial" w:cs="Arial"/>
          <w:bCs/>
          <w:sz w:val="22"/>
          <w:szCs w:val="22"/>
        </w:rPr>
        <w:t xml:space="preserve"> al sistema de compras y contratación pública, estableciendo que «Las Entidades Estatales de acuerdo con el análisis de Sector </w:t>
      </w:r>
      <w:bookmarkStart w:id="7" w:name="_Hlk63767562"/>
      <w:r w:rsidRPr="006D7F4F">
        <w:rPr>
          <w:rFonts w:ascii="Arial" w:eastAsia="Calibri" w:hAnsi="Arial" w:cs="Arial"/>
          <w:bCs/>
          <w:sz w:val="22"/>
          <w:szCs w:val="22"/>
        </w:rPr>
        <w:t>podrán incluir, en los Documentos del Proceso, requisitos diferenciales y puntajes adicionales</w:t>
      </w:r>
      <w:bookmarkEnd w:id="7"/>
      <w:r w:rsidRPr="006D7F4F">
        <w:rPr>
          <w:rFonts w:ascii="Arial" w:eastAsia="Calibri" w:hAnsi="Arial" w:cs="Arial"/>
          <w:bCs/>
          <w:sz w:val="22"/>
          <w:szCs w:val="22"/>
        </w:rPr>
        <w:t xml:space="preserve">, en función del tamaño empresarial para la promoción del acceso de las MIPYMES al mercado de Compras Públicas».  </w:t>
      </w:r>
    </w:p>
    <w:p w14:paraId="5AFFDD7B" w14:textId="77777777" w:rsidR="008378BE" w:rsidRPr="006D7F4F" w:rsidRDefault="008378BE" w:rsidP="008378BE">
      <w:pPr>
        <w:tabs>
          <w:tab w:val="left" w:pos="709"/>
        </w:tabs>
        <w:spacing w:after="120" w:line="276" w:lineRule="auto"/>
        <w:jc w:val="both"/>
        <w:rPr>
          <w:rFonts w:ascii="Arial" w:eastAsia="Calibri" w:hAnsi="Arial" w:cs="Arial"/>
          <w:bCs/>
          <w:sz w:val="22"/>
          <w:szCs w:val="22"/>
        </w:rPr>
      </w:pPr>
      <w:r w:rsidRPr="006D7F4F">
        <w:rPr>
          <w:rFonts w:ascii="Arial" w:eastAsia="Calibri" w:hAnsi="Arial" w:cs="Arial"/>
          <w:bCs/>
          <w:sz w:val="22"/>
          <w:szCs w:val="22"/>
        </w:rPr>
        <w:tab/>
        <w:t xml:space="preserve">Además, el inciso segundo y el parágrafo del </w:t>
      </w:r>
      <w:r w:rsidRPr="006D7F4F">
        <w:rPr>
          <w:rFonts w:ascii="Arial" w:eastAsia="Calibri" w:hAnsi="Arial" w:cs="Arial"/>
          <w:bCs/>
          <w:sz w:val="22"/>
          <w:szCs w:val="22"/>
          <w:lang w:val="es-ES_tradnl"/>
        </w:rPr>
        <w:t xml:space="preserve">artículo 31 </w:t>
      </w:r>
      <w:r w:rsidRPr="006D7F4F">
        <w:rPr>
          <w:rFonts w:ascii="Arial" w:eastAsia="Calibri" w:hAnsi="Arial" w:cs="Arial"/>
          <w:bCs/>
          <w:sz w:val="22"/>
          <w:szCs w:val="22"/>
        </w:rPr>
        <w:t>de la Ley 2069 de 2020 disponen, respectivamente,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 norma requiere el desarrollo reglamentario como una condición previa para su aplicación.</w:t>
      </w:r>
    </w:p>
    <w:p w14:paraId="24E0962C" w14:textId="77777777" w:rsidR="008378BE" w:rsidRPr="006D7F4F" w:rsidRDefault="008378BE" w:rsidP="008378BE">
      <w:pPr>
        <w:tabs>
          <w:tab w:val="left" w:pos="709"/>
        </w:tabs>
        <w:spacing w:line="276" w:lineRule="auto"/>
        <w:jc w:val="both"/>
        <w:rPr>
          <w:rFonts w:ascii="Arial" w:eastAsia="Calibri" w:hAnsi="Arial" w:cs="Arial"/>
          <w:bCs/>
          <w:sz w:val="22"/>
          <w:szCs w:val="22"/>
        </w:rPr>
      </w:pPr>
      <w:r w:rsidRPr="006D7F4F">
        <w:rPr>
          <w:rFonts w:ascii="Arial" w:eastAsia="Calibri" w:hAnsi="Arial" w:cs="Arial"/>
          <w:bCs/>
          <w:sz w:val="22"/>
          <w:szCs w:val="22"/>
        </w:rPr>
        <w:tab/>
        <w:t>Por otra parte, el artículo 32 de la Ley 2069 de 2020</w:t>
      </w:r>
      <w:r w:rsidRPr="006D7F4F">
        <w:rPr>
          <w:rStyle w:val="Refdenotaalpie"/>
          <w:rFonts w:ascii="Arial" w:eastAsia="Calibri" w:hAnsi="Arial" w:cs="Arial"/>
          <w:bCs/>
          <w:sz w:val="22"/>
          <w:szCs w:val="22"/>
        </w:rPr>
        <w:footnoteReference w:id="13"/>
      </w:r>
      <w:r w:rsidRPr="006D7F4F">
        <w:rPr>
          <w:rFonts w:ascii="Arial" w:eastAsia="Calibri" w:hAnsi="Arial" w:cs="Arial"/>
          <w:bCs/>
          <w:sz w:val="22"/>
          <w:szCs w:val="22"/>
        </w:rPr>
        <w:t xml:space="preserve"> regula criterios diferenciales para los «emprendimientos y empresas de mujeres» en el sistema de compras y contratación pública. En relación con este aspecto, el inciso primero de la norma citada prescribe lo siguiente: </w:t>
      </w:r>
    </w:p>
    <w:p w14:paraId="56EDCB55" w14:textId="77777777" w:rsidR="008378BE" w:rsidRPr="006D7F4F" w:rsidRDefault="008378BE" w:rsidP="008378BE">
      <w:pPr>
        <w:tabs>
          <w:tab w:val="left" w:pos="709"/>
        </w:tabs>
        <w:spacing w:line="276" w:lineRule="auto"/>
        <w:jc w:val="both"/>
        <w:rPr>
          <w:rFonts w:ascii="Arial" w:eastAsia="Calibri" w:hAnsi="Arial" w:cs="Arial"/>
          <w:bCs/>
          <w:sz w:val="22"/>
          <w:szCs w:val="22"/>
        </w:rPr>
      </w:pPr>
    </w:p>
    <w:p w14:paraId="7B9E624D" w14:textId="77777777" w:rsidR="008378BE" w:rsidRDefault="008378BE" w:rsidP="008378BE">
      <w:pPr>
        <w:tabs>
          <w:tab w:val="left" w:pos="709"/>
        </w:tabs>
        <w:ind w:left="709" w:right="709"/>
        <w:jc w:val="both"/>
        <w:rPr>
          <w:rFonts w:ascii="Arial" w:eastAsia="Calibri" w:hAnsi="Arial" w:cs="Arial"/>
          <w:bCs/>
          <w:sz w:val="22"/>
        </w:rPr>
      </w:pPr>
      <w:r w:rsidRPr="003362CD">
        <w:rPr>
          <w:rFonts w:ascii="Arial" w:eastAsia="Calibri" w:hAnsi="Arial" w:cs="Arial"/>
          <w:bCs/>
          <w:sz w:val="22"/>
        </w:rPr>
        <w:t xml:space="preserve">«De acuerdo con el resultado del análisis del sector, las entidades estatales incluirán requisitos diferenciales y puntajes adicionales en los procesos de </w:t>
      </w:r>
      <w:bookmarkStart w:id="8" w:name="_Hlk63770487"/>
      <w:r w:rsidRPr="003362CD">
        <w:rPr>
          <w:rFonts w:ascii="Arial" w:eastAsia="Calibri" w:hAnsi="Arial" w:cs="Arial"/>
          <w:bCs/>
          <w:sz w:val="22"/>
        </w:rPr>
        <w:lastRenderedPageBreak/>
        <w:t>licitación pública, selección abreviada de menor cuantía y concurso de méritos</w:t>
      </w:r>
      <w:bookmarkEnd w:id="8"/>
      <w:r w:rsidRPr="003362CD">
        <w:rPr>
          <w:rFonts w:ascii="Arial" w:eastAsia="Calibri" w:hAnsi="Arial" w:cs="Arial"/>
          <w:bCs/>
          <w:sz w:val="22"/>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p>
    <w:p w14:paraId="062E2FCB" w14:textId="77777777" w:rsidR="008378BE" w:rsidRPr="003362CD" w:rsidRDefault="008378BE" w:rsidP="008378BE">
      <w:pPr>
        <w:tabs>
          <w:tab w:val="left" w:pos="709"/>
        </w:tabs>
        <w:ind w:left="709" w:right="709"/>
        <w:jc w:val="both"/>
        <w:rPr>
          <w:rFonts w:ascii="Arial" w:eastAsia="Calibri" w:hAnsi="Arial" w:cs="Arial"/>
          <w:bCs/>
          <w:sz w:val="22"/>
        </w:rPr>
      </w:pPr>
    </w:p>
    <w:p w14:paraId="34EC3020" w14:textId="77777777" w:rsidR="008378BE" w:rsidRPr="003362CD" w:rsidRDefault="008378BE" w:rsidP="008378BE">
      <w:pPr>
        <w:tabs>
          <w:tab w:val="left" w:pos="709"/>
        </w:tabs>
        <w:spacing w:after="120" w:line="276" w:lineRule="auto"/>
        <w:jc w:val="both"/>
        <w:rPr>
          <w:rFonts w:ascii="Arial" w:eastAsia="Calibri" w:hAnsi="Arial" w:cs="Arial"/>
          <w:bCs/>
          <w:sz w:val="22"/>
        </w:rPr>
      </w:pPr>
      <w:r w:rsidRPr="003362CD">
        <w:rPr>
          <w:rFonts w:ascii="Arial" w:eastAsia="Calibri" w:hAnsi="Arial" w:cs="Arial"/>
          <w:bCs/>
          <w:sz w:val="22"/>
        </w:rPr>
        <w:tab/>
        <w:t xml:space="preserve">El contraste con la norma analizada anteriormente salta a la vista. Por un lado, a diferencia del artículo 31 de la Ley de Emprendimiento, los «criterios diferenciales» </w:t>
      </w:r>
      <w:r>
        <w:rPr>
          <w:rFonts w:ascii="Arial" w:eastAsia="Calibri" w:hAnsi="Arial" w:cs="Arial"/>
          <w:bCs/>
          <w:sz w:val="22"/>
        </w:rPr>
        <w:t xml:space="preserve">del </w:t>
      </w:r>
      <w:r w:rsidRPr="003362CD">
        <w:rPr>
          <w:rFonts w:ascii="Arial" w:eastAsia="Calibri" w:hAnsi="Arial" w:cs="Arial"/>
          <w:bCs/>
          <w:sz w:val="22"/>
        </w:rPr>
        <w:t xml:space="preserve">artículo 32 </w:t>
      </w:r>
      <w:r w:rsidRPr="003362CD">
        <w:rPr>
          <w:rFonts w:ascii="Arial" w:eastAsia="Calibri" w:hAnsi="Arial" w:cs="Arial"/>
          <w:bCs/>
          <w:i/>
          <w:iCs/>
          <w:sz w:val="22"/>
        </w:rPr>
        <w:t>ibidem</w:t>
      </w:r>
      <w:r w:rsidRPr="003362CD">
        <w:rPr>
          <w:rFonts w:ascii="Arial" w:eastAsia="Calibri" w:hAnsi="Arial" w:cs="Arial"/>
          <w:bCs/>
          <w:sz w:val="22"/>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Por otra parte, sin distinciones ulteriores, la norma en comento también se extiende a todos los procedimientos </w:t>
      </w:r>
      <w:r>
        <w:rPr>
          <w:rFonts w:ascii="Arial" w:eastAsia="Calibri" w:hAnsi="Arial" w:cs="Arial"/>
          <w:bCs/>
          <w:sz w:val="22"/>
        </w:rPr>
        <w:t>que realicen</w:t>
      </w:r>
      <w:r w:rsidRPr="003362CD">
        <w:rPr>
          <w:rFonts w:ascii="Arial" w:eastAsia="Calibri" w:hAnsi="Arial" w:cs="Arial"/>
          <w:bCs/>
          <w:sz w:val="22"/>
        </w:rPr>
        <w:t xml:space="preserve"> las entidades</w:t>
      </w:r>
      <w:r>
        <w:rPr>
          <w:rFonts w:ascii="Arial" w:eastAsia="Calibri" w:hAnsi="Arial" w:cs="Arial"/>
          <w:bCs/>
          <w:sz w:val="22"/>
        </w:rPr>
        <w:t xml:space="preserve"> estatales</w:t>
      </w:r>
      <w:r w:rsidRPr="003362CD">
        <w:rPr>
          <w:rFonts w:ascii="Arial" w:eastAsia="Calibri" w:hAnsi="Arial" w:cs="Arial"/>
          <w:bCs/>
          <w:sz w:val="22"/>
        </w:rPr>
        <w:t xml:space="preserve"> excluidas de la Ley 80 de 1993.     </w:t>
      </w:r>
    </w:p>
    <w:p w14:paraId="63FF0A00" w14:textId="77777777" w:rsidR="008378BE" w:rsidRPr="003362CD" w:rsidRDefault="008378BE" w:rsidP="008378BE">
      <w:pPr>
        <w:spacing w:before="120" w:after="120" w:line="276" w:lineRule="auto"/>
        <w:ind w:firstLine="709"/>
        <w:jc w:val="both"/>
        <w:rPr>
          <w:rFonts w:ascii="Arial" w:eastAsia="Calibri" w:hAnsi="Arial" w:cs="Arial"/>
          <w:sz w:val="22"/>
          <w:szCs w:val="22"/>
          <w:lang w:val="es-ES_tradnl"/>
        </w:rPr>
      </w:pPr>
      <w:r w:rsidRPr="003362CD">
        <w:rPr>
          <w:rFonts w:ascii="Arial" w:eastAsia="Calibri" w:hAnsi="Arial" w:cs="Arial"/>
          <w:bCs/>
          <w:sz w:val="22"/>
        </w:rPr>
        <w:t xml:space="preserve">No obstante, el artículo 32 de la Ley 2069 de 2020 –al igual que el artículo 31– también alude a la necesidad del desarrollo normativo posterior. Al respecto, el parágrafo dispone que «La definición de emprendimientos y empresas de mujeres se reglamentará por el gobierno nacional». En ese sentido, la aplicación de criterios diferenciales en favor de mujeres y emprendimientos de mujeres está condicionada por el ejercicio de potestad reglamentaria, en orden de establecer la regulación en marco de la cual las Entidades Estatales deben aplicar los criterios diferenciales del artículo 32 de la Ley 2069 de 2020. </w:t>
      </w:r>
    </w:p>
    <w:p w14:paraId="4A2F7BB0" w14:textId="77777777" w:rsidR="008378BE" w:rsidRPr="003362CD" w:rsidRDefault="008378BE" w:rsidP="008378BE">
      <w:pPr>
        <w:spacing w:after="120" w:line="276" w:lineRule="auto"/>
        <w:jc w:val="both"/>
        <w:rPr>
          <w:rFonts w:ascii="Arial" w:eastAsia="Calibri" w:hAnsi="Arial" w:cs="Arial"/>
          <w:sz w:val="22"/>
          <w:szCs w:val="22"/>
          <w:lang w:val="es-ES_tradnl"/>
        </w:rPr>
      </w:pPr>
      <w:r w:rsidRPr="003362CD">
        <w:rPr>
          <w:rFonts w:ascii="Arial" w:eastAsia="Calibri" w:hAnsi="Arial" w:cs="Arial"/>
          <w:b/>
          <w:bCs/>
          <w:sz w:val="22"/>
          <w:szCs w:val="22"/>
          <w:lang w:val="es-ES_tradnl"/>
        </w:rPr>
        <w:tab/>
      </w:r>
      <w:r w:rsidRPr="003362CD">
        <w:rPr>
          <w:rFonts w:ascii="Arial" w:eastAsia="Calibri" w:hAnsi="Arial" w:cs="Arial"/>
          <w:sz w:val="22"/>
          <w:szCs w:val="22"/>
          <w:lang w:val="es-ES_tradnl"/>
        </w:rPr>
        <w:t>En este contexto, el pasado 24 de diciembre, el gobierno nacional expidió el Decreto 1860 de 2021</w:t>
      </w:r>
      <w:r w:rsidRPr="003362CD">
        <w:t xml:space="preserve"> </w:t>
      </w:r>
      <w:r w:rsidRPr="003362CD">
        <w:rPr>
          <w:rFonts w:ascii="Arial" w:eastAsia="Calibri" w:hAnsi="Arial" w:cs="Arial"/>
          <w:sz w:val="22"/>
          <w:szCs w:val="22"/>
          <w:lang w:val="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r w:rsidRPr="003362CD">
        <w:rPr>
          <w:rStyle w:val="Refdenotaalpie"/>
          <w:rFonts w:ascii="Arial" w:eastAsia="Calibri" w:hAnsi="Arial" w:cs="Arial"/>
          <w:sz w:val="22"/>
          <w:szCs w:val="22"/>
          <w:lang w:val="es-ES_tradnl"/>
        </w:rPr>
        <w:footnoteReference w:id="14"/>
      </w:r>
      <w:r w:rsidRPr="003362CD">
        <w:rPr>
          <w:rFonts w:ascii="Arial" w:eastAsia="Calibri" w:hAnsi="Arial" w:cs="Arial"/>
          <w:sz w:val="22"/>
          <w:szCs w:val="22"/>
          <w:lang w:val="es-ES_tradnl"/>
        </w:rPr>
        <w:t xml:space="preserve">.  </w:t>
      </w:r>
    </w:p>
    <w:p w14:paraId="1AA8F90A" w14:textId="488B7071" w:rsidR="008378BE" w:rsidRPr="006D7F4F" w:rsidRDefault="008378BE" w:rsidP="008378BE">
      <w:pPr>
        <w:spacing w:after="120" w:line="276" w:lineRule="auto"/>
        <w:jc w:val="both"/>
        <w:rPr>
          <w:rFonts w:ascii="Arial" w:hAnsi="Arial" w:cs="Arial"/>
          <w:sz w:val="22"/>
          <w:szCs w:val="22"/>
          <w:lang w:eastAsia="es-CO"/>
        </w:rPr>
      </w:pPr>
      <w:r w:rsidRPr="003362CD">
        <w:rPr>
          <w:rFonts w:ascii="Arial" w:eastAsia="Calibri" w:hAnsi="Arial" w:cs="Arial"/>
          <w:sz w:val="22"/>
          <w:szCs w:val="22"/>
          <w:lang w:val="es-ES_tradnl"/>
        </w:rPr>
        <w:lastRenderedPageBreak/>
        <w:tab/>
      </w:r>
      <w:r w:rsidRPr="006D7F4F">
        <w:rPr>
          <w:rFonts w:ascii="Arial" w:eastAsia="Calibri" w:hAnsi="Arial" w:cs="Arial"/>
          <w:sz w:val="22"/>
          <w:szCs w:val="22"/>
          <w:lang w:val="es-ES_tradnl"/>
        </w:rPr>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r w:rsidR="007E7390" w:rsidRPr="006D7F4F">
        <w:rPr>
          <w:rFonts w:ascii="Arial" w:eastAsia="Calibri" w:hAnsi="Arial" w:cs="Arial"/>
          <w:sz w:val="22"/>
          <w:szCs w:val="22"/>
          <w:lang w:val="es-ES_tradnl"/>
        </w:rPr>
        <w:t xml:space="preserve">A su turno los criterios diferenciales para las </w:t>
      </w:r>
      <w:proofErr w:type="spellStart"/>
      <w:r w:rsidR="007E7390" w:rsidRPr="006D7F4F">
        <w:rPr>
          <w:rFonts w:ascii="Arial" w:eastAsia="Calibri" w:hAnsi="Arial" w:cs="Arial"/>
          <w:sz w:val="22"/>
          <w:szCs w:val="22"/>
          <w:lang w:val="es-ES_tradnl"/>
        </w:rPr>
        <w:t>mipymes</w:t>
      </w:r>
      <w:proofErr w:type="spellEnd"/>
      <w:r w:rsidR="007E7390" w:rsidRPr="006D7F4F">
        <w:rPr>
          <w:rFonts w:ascii="Arial" w:eastAsia="Calibri" w:hAnsi="Arial" w:cs="Arial"/>
          <w:sz w:val="22"/>
          <w:szCs w:val="22"/>
          <w:lang w:val="es-ES_tradnl"/>
        </w:rPr>
        <w:t xml:space="preserve">, quedaron en el artículo 2.2.1.2.4.2.18. adicionado por </w:t>
      </w:r>
      <w:r w:rsidR="00620E8C" w:rsidRPr="006D7F4F">
        <w:rPr>
          <w:rFonts w:ascii="Arial" w:eastAsia="Calibri" w:hAnsi="Arial" w:cs="Arial"/>
          <w:sz w:val="22"/>
          <w:szCs w:val="22"/>
          <w:lang w:val="es-ES_tradnl"/>
        </w:rPr>
        <w:t>el mismo artículo del referido reglamento.</w:t>
      </w:r>
      <w:r w:rsidR="007E7390" w:rsidRPr="006D7F4F">
        <w:rPr>
          <w:rFonts w:ascii="Arial" w:eastAsia="Calibri" w:hAnsi="Arial" w:cs="Arial"/>
          <w:sz w:val="22"/>
          <w:szCs w:val="22"/>
          <w:lang w:val="es-ES_tradnl"/>
        </w:rPr>
        <w:t xml:space="preserve"> </w:t>
      </w:r>
    </w:p>
    <w:p w14:paraId="5F66AFE6" w14:textId="77777777" w:rsidR="008378BE" w:rsidRPr="006D7F4F" w:rsidRDefault="008378BE" w:rsidP="008378BE">
      <w:pPr>
        <w:spacing w:line="276" w:lineRule="auto"/>
        <w:ind w:firstLine="708"/>
        <w:jc w:val="both"/>
        <w:rPr>
          <w:rFonts w:ascii="Arial" w:hAnsi="Arial" w:cs="Arial"/>
          <w:sz w:val="22"/>
          <w:szCs w:val="22"/>
          <w:lang w:eastAsia="es-CO"/>
        </w:rPr>
      </w:pPr>
      <w:r w:rsidRPr="006D7F4F">
        <w:rPr>
          <w:rFonts w:ascii="Arial" w:hAnsi="Arial" w:cs="Arial"/>
          <w:sz w:val="22"/>
          <w:szCs w:val="22"/>
          <w:lang w:eastAsia="es-CO"/>
        </w:rPr>
        <w:t>Debe precisarse que la vigencia del Decreto 1860 de 2021 está regida por lo establecido en su artículo 8, el cual señala que «Las disposiciones contenidas en el presente Decreto se aplicarán a los procedimientos de selección cuya invitación, aviso de convocatoria o documento equivalente se publique a los tres (3) meses contados a partir de su expedición». De acuerdo con esto, habiéndose expedido el referido decreto el 24 de diciembre de 2021, la aplicación de su contenido deberá comenzar una vez transcurridos tres meses contados a partir de entonces, en los procesos cuyos avisos de convocatorias, invitaciones o documentos equivalentes se publiquen con posterioridad a dicho momento</w:t>
      </w:r>
      <w:r w:rsidRPr="006D7F4F">
        <w:rPr>
          <w:rStyle w:val="Refdenotaalpie"/>
          <w:rFonts w:ascii="Arial" w:hAnsi="Arial" w:cs="Arial"/>
          <w:sz w:val="22"/>
          <w:szCs w:val="22"/>
          <w:lang w:eastAsia="es-CO"/>
        </w:rPr>
        <w:footnoteReference w:id="15"/>
      </w:r>
      <w:r w:rsidRPr="006D7F4F">
        <w:rPr>
          <w:rFonts w:ascii="Arial" w:hAnsi="Arial" w:cs="Arial"/>
          <w:sz w:val="22"/>
          <w:szCs w:val="22"/>
          <w:lang w:eastAsia="es-CO"/>
        </w:rPr>
        <w:t xml:space="preserve">. </w:t>
      </w:r>
    </w:p>
    <w:p w14:paraId="0176FE66" w14:textId="77777777" w:rsidR="008378BE" w:rsidRPr="006D7F4F" w:rsidRDefault="008378BE" w:rsidP="008378BE">
      <w:pPr>
        <w:jc w:val="both"/>
        <w:rPr>
          <w:rFonts w:ascii="Arial" w:hAnsi="Arial" w:cs="Arial"/>
          <w:sz w:val="22"/>
          <w:szCs w:val="22"/>
          <w:lang w:eastAsia="es-CO"/>
        </w:rPr>
      </w:pPr>
    </w:p>
    <w:p w14:paraId="4D0A3B7D" w14:textId="1A71367D" w:rsidR="008378BE" w:rsidRPr="006D7F4F" w:rsidRDefault="008378BE" w:rsidP="008378BE">
      <w:pPr>
        <w:spacing w:line="276" w:lineRule="auto"/>
        <w:jc w:val="both"/>
        <w:rPr>
          <w:rFonts w:ascii="Arial" w:eastAsia="Calibri" w:hAnsi="Arial" w:cs="Arial"/>
          <w:b/>
          <w:bCs/>
          <w:sz w:val="22"/>
          <w:szCs w:val="22"/>
          <w:lang w:val="es-ES_tradnl"/>
        </w:rPr>
      </w:pPr>
      <w:r w:rsidRPr="006D7F4F">
        <w:rPr>
          <w:rFonts w:ascii="Arial" w:eastAsia="Calibri" w:hAnsi="Arial" w:cs="Arial"/>
          <w:b/>
          <w:bCs/>
          <w:sz w:val="22"/>
          <w:szCs w:val="22"/>
          <w:lang w:val="es-ES_tradnl"/>
        </w:rPr>
        <w:t>2.</w:t>
      </w:r>
      <w:r w:rsidR="00A02F01">
        <w:rPr>
          <w:rFonts w:ascii="Arial" w:eastAsia="Calibri" w:hAnsi="Arial" w:cs="Arial"/>
          <w:b/>
          <w:bCs/>
          <w:sz w:val="22"/>
          <w:szCs w:val="22"/>
          <w:lang w:val="es-ES_tradnl"/>
        </w:rPr>
        <w:t>2</w:t>
      </w:r>
      <w:r w:rsidRPr="006D7F4F">
        <w:rPr>
          <w:rFonts w:ascii="Arial" w:eastAsia="Calibri" w:hAnsi="Arial" w:cs="Arial"/>
          <w:b/>
          <w:bCs/>
          <w:sz w:val="22"/>
          <w:szCs w:val="22"/>
          <w:lang w:val="es-ES_tradnl"/>
        </w:rPr>
        <w:t xml:space="preserve">. </w:t>
      </w:r>
      <w:r w:rsidR="00C90344" w:rsidRPr="006D7F4F">
        <w:rPr>
          <w:rFonts w:ascii="Arial" w:eastAsia="Calibri" w:hAnsi="Arial" w:cs="Arial"/>
          <w:b/>
          <w:bCs/>
          <w:sz w:val="22"/>
          <w:szCs w:val="22"/>
          <w:lang w:val="es-ES_tradnl"/>
        </w:rPr>
        <w:t>Requisitos habilitantes diferenciales para e</w:t>
      </w:r>
      <w:r w:rsidRPr="006D7F4F">
        <w:rPr>
          <w:rFonts w:ascii="Arial" w:eastAsia="Calibri" w:hAnsi="Arial" w:cs="Arial"/>
          <w:b/>
          <w:bCs/>
          <w:sz w:val="22"/>
          <w:szCs w:val="22"/>
          <w:lang w:val="es-ES_tradnl"/>
        </w:rPr>
        <w:t>mprendimientos y empresas de mujeres</w:t>
      </w:r>
      <w:r w:rsidR="001C26D7" w:rsidRPr="006D7F4F">
        <w:rPr>
          <w:rFonts w:ascii="Arial" w:eastAsia="Calibri" w:hAnsi="Arial" w:cs="Arial"/>
          <w:b/>
          <w:bCs/>
          <w:sz w:val="22"/>
          <w:szCs w:val="22"/>
          <w:lang w:val="es-ES_tradnl"/>
        </w:rPr>
        <w:t xml:space="preserve"> y </w:t>
      </w:r>
      <w:proofErr w:type="spellStart"/>
      <w:r w:rsidR="00C90344" w:rsidRPr="006D7F4F">
        <w:rPr>
          <w:rFonts w:ascii="Arial" w:eastAsia="Calibri" w:hAnsi="Arial" w:cs="Arial"/>
          <w:b/>
          <w:bCs/>
          <w:sz w:val="22"/>
          <w:szCs w:val="22"/>
          <w:lang w:val="es-ES_tradnl"/>
        </w:rPr>
        <w:t>m</w:t>
      </w:r>
      <w:r w:rsidR="001C26D7" w:rsidRPr="006D7F4F">
        <w:rPr>
          <w:rFonts w:ascii="Arial" w:eastAsia="Calibri" w:hAnsi="Arial" w:cs="Arial"/>
          <w:b/>
          <w:bCs/>
          <w:sz w:val="22"/>
          <w:szCs w:val="22"/>
          <w:lang w:val="es-ES_tradnl"/>
        </w:rPr>
        <w:t>ipymes</w:t>
      </w:r>
      <w:proofErr w:type="spellEnd"/>
      <w:r w:rsidRPr="006D7F4F">
        <w:rPr>
          <w:rFonts w:ascii="Arial" w:eastAsia="Calibri" w:hAnsi="Arial" w:cs="Arial"/>
          <w:b/>
          <w:bCs/>
          <w:sz w:val="22"/>
          <w:szCs w:val="22"/>
          <w:lang w:val="es-ES_tradnl"/>
        </w:rPr>
        <w:t xml:space="preserve"> en el Decreto 1860 de 2021 </w:t>
      </w:r>
    </w:p>
    <w:p w14:paraId="1C98F93D" w14:textId="77777777" w:rsidR="008378BE" w:rsidRPr="006D7F4F" w:rsidRDefault="008378BE" w:rsidP="008378BE">
      <w:pPr>
        <w:jc w:val="both"/>
        <w:rPr>
          <w:rFonts w:ascii="Arial" w:eastAsia="Calibri" w:hAnsi="Arial" w:cs="Arial"/>
          <w:b/>
          <w:bCs/>
          <w:sz w:val="22"/>
          <w:szCs w:val="22"/>
          <w:lang w:val="es-ES_tradnl"/>
        </w:rPr>
      </w:pPr>
    </w:p>
    <w:p w14:paraId="3F9CAB27" w14:textId="77777777" w:rsidR="00C90344" w:rsidRPr="00C90344" w:rsidRDefault="00C90344" w:rsidP="00C90344">
      <w:pPr>
        <w:spacing w:after="120" w:line="276" w:lineRule="auto"/>
        <w:jc w:val="both"/>
        <w:rPr>
          <w:rFonts w:ascii="Arial" w:eastAsia="Calibri" w:hAnsi="Arial" w:cs="Arial"/>
          <w:sz w:val="22"/>
          <w:szCs w:val="22"/>
          <w:lang w:val="es-ES_tradnl" w:eastAsia="es-MX"/>
        </w:rPr>
      </w:pPr>
      <w:bookmarkStart w:id="9" w:name="_Hlk99546562"/>
      <w:r w:rsidRPr="00C90344">
        <w:rPr>
          <w:rFonts w:ascii="Arial" w:eastAsia="Calibri" w:hAnsi="Arial" w:cs="Arial"/>
          <w:sz w:val="22"/>
          <w:szCs w:val="22"/>
          <w:lang w:val="es-ES_tradnl" w:eastAsia="es-MX"/>
        </w:rPr>
        <w:t xml:space="preserve">Los </w:t>
      </w:r>
      <w:r w:rsidRPr="00C90344">
        <w:rPr>
          <w:rFonts w:ascii="Arial" w:eastAsia="Calibri" w:hAnsi="Arial" w:cs="Arial"/>
          <w:i/>
          <w:iCs/>
          <w:sz w:val="22"/>
          <w:szCs w:val="22"/>
          <w:lang w:val="es-ES_tradnl" w:eastAsia="es-MX"/>
        </w:rPr>
        <w:t>requisitos habilitantes</w:t>
      </w:r>
      <w:r w:rsidRPr="00C90344">
        <w:rPr>
          <w:rFonts w:ascii="Arial" w:eastAsia="Calibri" w:hAnsi="Arial" w:cs="Arial"/>
          <w:sz w:val="22"/>
          <w:szCs w:val="22"/>
          <w:lang w:val="es-ES_tradnl" w:eastAsia="es-MX"/>
        </w:rPr>
        <w:t xml:space="preserve"> se definen como aquellas exigencias de participación en los procedimientos de selección, establecidas en disposiciones normativas, de carácter legal o reglamentario, o contenidas en el acto administrativo que regula las reglas de la convocatoria–es decir, en el pliego de condiciones o el documento equivalente a este–. Se diferencian de los </w:t>
      </w:r>
      <w:r w:rsidRPr="00C90344">
        <w:rPr>
          <w:rFonts w:ascii="Arial" w:eastAsia="Calibri" w:hAnsi="Arial" w:cs="Arial"/>
          <w:i/>
          <w:iCs/>
          <w:sz w:val="22"/>
          <w:szCs w:val="22"/>
          <w:lang w:val="es-ES_tradnl" w:eastAsia="es-MX"/>
        </w:rPr>
        <w:t>criterios de evaluación</w:t>
      </w:r>
      <w:r w:rsidRPr="00C90344">
        <w:rPr>
          <w:rFonts w:ascii="Arial" w:eastAsia="Calibri" w:hAnsi="Arial" w:cs="Arial"/>
          <w:sz w:val="22"/>
          <w:szCs w:val="22"/>
          <w:lang w:val="es-ES_tradnl" w:eastAsia="es-MX"/>
        </w:rPr>
        <w:t xml:space="preserve"> –también conocidos como criterios de calificación– en que estos son los factores definidos por la entidad estatal para la asignación de puntaje en el momento de la comparación de las ofertas, y que, a partir de </w:t>
      </w:r>
      <w:r w:rsidRPr="00C90344">
        <w:rPr>
          <w:rFonts w:ascii="Arial" w:eastAsia="Calibri" w:hAnsi="Arial" w:cs="Arial"/>
          <w:sz w:val="22"/>
          <w:szCs w:val="22"/>
          <w:lang w:val="es-ES_tradnl" w:eastAsia="es-MX"/>
        </w:rPr>
        <w:lastRenderedPageBreak/>
        <w:t xml:space="preserve">su ponderación, permiten establecer el orden de elegibilidad y, por ende, la propuesta ganadora. </w:t>
      </w:r>
    </w:p>
    <w:bookmarkEnd w:id="9"/>
    <w:p w14:paraId="785ED580" w14:textId="77777777" w:rsidR="00C90344" w:rsidRPr="00C90344" w:rsidRDefault="00C90344" w:rsidP="00C90344">
      <w:pPr>
        <w:spacing w:after="120" w:line="276" w:lineRule="auto"/>
        <w:ind w:firstLine="708"/>
        <w:jc w:val="both"/>
        <w:rPr>
          <w:rFonts w:ascii="Arial" w:eastAsia="Calibri" w:hAnsi="Arial" w:cs="Arial"/>
          <w:sz w:val="22"/>
          <w:szCs w:val="22"/>
          <w:lang w:val="es-ES_tradnl" w:eastAsia="es-MX"/>
        </w:rPr>
      </w:pPr>
      <w:r w:rsidRPr="00C90344">
        <w:rPr>
          <w:rFonts w:ascii="Arial" w:eastAsia="Calibri" w:hAnsi="Arial" w:cs="Arial"/>
          <w:sz w:val="22"/>
          <w:szCs w:val="22"/>
          <w:lang w:val="es-ES_tradnl" w:eastAsia="es-MX"/>
        </w:rPr>
        <w:t>Los requisitos habilitantes constituyen los requerimientos mínimos con los que deben cumplir los proponentes para poder participar en el procedimiento de selección, razón por la que los mismos no se valoran con un puntaje tendiente a determinar el orden de escogencia, sino que se analizan como criterios previos a la evaluación en sentido estricto, de manera que quienes no los reúnan no pueden continuar en el procedimiento de selección, es decir, incurren en causal de rechazo. Esto sin perjuicio del derecho que tienen los oferentes de subsanar los defectos que se presenten en la prueba de tales requisitos, de conformidad con el artículo 5, parágrafos 1º al 4º, de la Ley 1150 de 2007.</w:t>
      </w:r>
    </w:p>
    <w:p w14:paraId="3D21233C" w14:textId="42EE9C0E" w:rsidR="00C90344" w:rsidRPr="006D7F4F" w:rsidRDefault="00C90344" w:rsidP="00476D28">
      <w:pPr>
        <w:spacing w:after="120" w:line="276" w:lineRule="auto"/>
        <w:ind w:firstLine="708"/>
        <w:jc w:val="both"/>
        <w:rPr>
          <w:rFonts w:ascii="Arial" w:eastAsia="Calibri" w:hAnsi="Arial" w:cs="Arial"/>
          <w:sz w:val="22"/>
          <w:szCs w:val="22"/>
          <w:lang w:val="es-ES_tradnl" w:eastAsia="es-MX"/>
        </w:rPr>
      </w:pPr>
      <w:r w:rsidRPr="006D7F4F">
        <w:rPr>
          <w:rFonts w:ascii="Arial" w:eastAsia="Calibri" w:hAnsi="Arial" w:cs="Arial"/>
          <w:sz w:val="22"/>
          <w:szCs w:val="22"/>
          <w:lang w:val="es-ES_tradnl" w:eastAsia="es-MX"/>
        </w:rPr>
        <w:t>El mencionado artículo dispone que se considera «[…] objetiva la selección en la cual la escogencia se haga al ofrecimiento más favorable a la entidad y a los fines que ella busca, sin tener en consideración factores de afecto o de interés y, en general, cualquier clase de motivación subjetiva». En ese contexto, los factores de escogencia y calificación que establezcan las entidades en los pliegos de condiciones o sus documentos equivalentes deberán tener en cuenta, entre otras cuestiones, los criterios establecidos en dicha disposición.</w:t>
      </w:r>
    </w:p>
    <w:p w14:paraId="43556F53" w14:textId="1B44ABFF" w:rsidR="00C90344" w:rsidRPr="006D7F4F" w:rsidRDefault="00476D28" w:rsidP="00476D28">
      <w:pPr>
        <w:spacing w:after="120" w:line="276" w:lineRule="auto"/>
        <w:ind w:firstLine="708"/>
        <w:jc w:val="both"/>
        <w:rPr>
          <w:rFonts w:ascii="Arial" w:hAnsi="Arial" w:cs="Arial"/>
          <w:sz w:val="22"/>
          <w:szCs w:val="22"/>
          <w:lang w:val="es-ES_tradnl" w:eastAsia="es-MX"/>
        </w:rPr>
      </w:pPr>
      <w:r w:rsidRPr="006D7F4F">
        <w:rPr>
          <w:rFonts w:ascii="Arial" w:hAnsi="Arial" w:cs="Arial"/>
          <w:sz w:val="22"/>
          <w:szCs w:val="22"/>
          <w:lang w:val="es-ES_tradnl" w:eastAsia="es-MX"/>
        </w:rPr>
        <w:t xml:space="preserve">En ese sentido, si bien </w:t>
      </w:r>
      <w:r w:rsidRPr="006D7F4F">
        <w:rPr>
          <w:rFonts w:ascii="Arial" w:eastAsia="Calibri" w:hAnsi="Arial" w:cs="Arial"/>
          <w:sz w:val="22"/>
          <w:szCs w:val="22"/>
          <w:lang w:val="es-ES_tradnl" w:eastAsia="es-MX"/>
        </w:rPr>
        <w:t xml:space="preserve">la Ley 1150 de 2007 estableció unos requisitos habilitantes para los proponentes –la capacidad jurídica, las condiciones de experiencia, la capacidad financiera y la capacidad de organización–, estos no son taxativos. </w:t>
      </w:r>
      <w:r w:rsidRPr="006D7F4F">
        <w:rPr>
          <w:rFonts w:ascii="Arial" w:hAnsi="Arial" w:cs="Arial"/>
          <w:sz w:val="22"/>
          <w:szCs w:val="22"/>
          <w:lang w:val="es-ES_tradnl" w:eastAsia="es-MX"/>
        </w:rPr>
        <w:t xml:space="preserve">En consecuencia, corresponde a las entidades estatales, durante la etapa de planeación del contrato estatal, estudiar y </w:t>
      </w:r>
      <w:r w:rsidRPr="006D7F4F">
        <w:rPr>
          <w:rFonts w:ascii="Arial" w:hAnsi="Arial" w:cs="Arial"/>
          <w:bCs/>
          <w:iCs/>
          <w:sz w:val="22"/>
          <w:szCs w:val="22"/>
          <w:lang w:val="es-ES_tradnl" w:eastAsia="es-MX"/>
        </w:rPr>
        <w:t>determinar</w:t>
      </w:r>
      <w:r w:rsidRPr="006D7F4F">
        <w:rPr>
          <w:rFonts w:ascii="Arial" w:hAnsi="Arial" w:cs="Arial"/>
          <w:sz w:val="22"/>
          <w:szCs w:val="22"/>
          <w:lang w:val="es-ES_tradnl" w:eastAsia="es-MX"/>
        </w:rPr>
        <w:t xml:space="preserve"> los requisitos habilitantes que establecerán en los pliegos de condiciones, los cuales deben fijarse de forma adecuada y proporcional.</w:t>
      </w:r>
    </w:p>
    <w:p w14:paraId="34870F7B" w14:textId="383E5FF9" w:rsidR="00476D28" w:rsidRPr="006D7F4F" w:rsidRDefault="00476D28" w:rsidP="00476D28">
      <w:pPr>
        <w:spacing w:after="120" w:line="276" w:lineRule="auto"/>
        <w:ind w:firstLine="708"/>
        <w:jc w:val="both"/>
        <w:rPr>
          <w:rFonts w:ascii="Arial" w:eastAsia="Calibri" w:hAnsi="Arial" w:cs="Arial"/>
          <w:sz w:val="22"/>
          <w:szCs w:val="22"/>
          <w:lang w:val="es-ES_tradnl"/>
        </w:rPr>
      </w:pPr>
      <w:r w:rsidRPr="006D7F4F">
        <w:rPr>
          <w:rFonts w:ascii="Arial" w:hAnsi="Arial" w:cs="Arial"/>
          <w:sz w:val="22"/>
          <w:szCs w:val="22"/>
          <w:lang w:val="es-ES_tradnl" w:eastAsia="es-MX"/>
        </w:rPr>
        <w:t>El Decreto 1082 de 2015 en su artículo 2.2.1.1.1.6.2 reglamenta los requisitos habilitantes, estableciendo que estos deben ser señalados en los pliegos de condiciones o en la invitación</w:t>
      </w:r>
      <w:r w:rsidRPr="006D7F4F">
        <w:rPr>
          <w:rStyle w:val="Refdenotaalpie"/>
          <w:rFonts w:ascii="Arial" w:hAnsi="Arial" w:cs="Arial"/>
          <w:sz w:val="22"/>
          <w:szCs w:val="22"/>
          <w:lang w:val="es-ES_tradnl" w:eastAsia="es-MX"/>
        </w:rPr>
        <w:footnoteReference w:id="16"/>
      </w:r>
      <w:r w:rsidRPr="006D7F4F">
        <w:rPr>
          <w:rFonts w:ascii="Arial" w:hAnsi="Arial" w:cs="Arial"/>
          <w:sz w:val="22"/>
          <w:szCs w:val="22"/>
          <w:lang w:val="es-ES_tradnl" w:eastAsia="es-MX"/>
        </w:rPr>
        <w:t xml:space="preserve">, lo cual es concordante con el numeral 5 del artículo 2.2.1.1.2.1.3, en el </w:t>
      </w:r>
      <w:r w:rsidRPr="006D7F4F">
        <w:rPr>
          <w:rFonts w:ascii="Arial" w:hAnsi="Arial" w:cs="Arial"/>
          <w:sz w:val="22"/>
          <w:szCs w:val="22"/>
          <w:lang w:val="es-ES_tradnl" w:eastAsia="es-MX"/>
        </w:rPr>
        <w:lastRenderedPageBreak/>
        <w:t>que se establece como uno de los componentes mínimos de los pliegos de condiciones</w:t>
      </w:r>
      <w:r w:rsidRPr="006D7F4F">
        <w:rPr>
          <w:rFonts w:ascii="Arial" w:hAnsi="Arial" w:cs="Arial"/>
          <w:color w:val="000000"/>
          <w:sz w:val="22"/>
          <w:szCs w:val="22"/>
        </w:rPr>
        <w:t xml:space="preserve"> a las reglas aplicables a la presentación y evaluación de las ofertas, entre las que se inscriben las relativas a la acreditación de las condiciones habilitantes. </w:t>
      </w:r>
      <w:r w:rsidRPr="006D7F4F">
        <w:rPr>
          <w:rFonts w:ascii="Arial" w:hAnsi="Arial" w:cs="Arial"/>
          <w:sz w:val="22"/>
          <w:szCs w:val="22"/>
          <w:lang w:val="es-ES_tradnl" w:eastAsia="es-MX"/>
        </w:rPr>
        <w:t xml:space="preserve"> Establece además el artículo 2.2.1.1.1.6.2 que la determinación de los requisitos habilitantes debe ser realizada en función de criterios como el riesgo del proceso de contratación, el valor del contrato, el análisis del sector económico respectivo y el conocimiento de fondo de los posibles oferentes desde la perspectiva comercial.</w:t>
      </w:r>
      <w:r w:rsidR="009379B2" w:rsidRPr="006D7F4F">
        <w:rPr>
          <w:rFonts w:ascii="Arial" w:hAnsi="Arial" w:cs="Arial"/>
          <w:sz w:val="22"/>
          <w:szCs w:val="22"/>
          <w:lang w:val="es-ES_tradnl" w:eastAsia="es-MX"/>
        </w:rPr>
        <w:t xml:space="preserve"> En ese sentido, las entidades estatales son autónomas para definir los requisitos habilitantes, pero tal facultad debe ser ejercida procurando diseñar condiciones habilitantes de manera objetiva, de suerte que estas sirvan para determinar si los participantes del proceso de contratación cuentan con las capacidades que los hacen aptos para ejecutar el objeto contractual</w:t>
      </w:r>
      <w:r w:rsidR="00534F3A">
        <w:rPr>
          <w:rFonts w:ascii="Arial" w:hAnsi="Arial" w:cs="Arial"/>
          <w:sz w:val="22"/>
          <w:szCs w:val="22"/>
          <w:lang w:val="es-ES_tradnl" w:eastAsia="es-MX"/>
        </w:rPr>
        <w:t>.</w:t>
      </w:r>
    </w:p>
    <w:p w14:paraId="339E5B66" w14:textId="3939C88C" w:rsidR="008378BE" w:rsidRPr="006D7F4F" w:rsidRDefault="00476D28" w:rsidP="00476D28">
      <w:pPr>
        <w:spacing w:after="120" w:line="276" w:lineRule="auto"/>
        <w:ind w:firstLine="708"/>
        <w:jc w:val="both"/>
        <w:rPr>
          <w:rFonts w:ascii="Arial" w:eastAsia="Calibri" w:hAnsi="Arial" w:cs="Arial"/>
          <w:sz w:val="22"/>
          <w:szCs w:val="22"/>
          <w:lang w:val="es-ES_tradnl"/>
        </w:rPr>
      </w:pPr>
      <w:r w:rsidRPr="006D7F4F">
        <w:rPr>
          <w:rFonts w:ascii="Arial" w:eastAsia="Calibri" w:hAnsi="Arial" w:cs="Arial"/>
          <w:sz w:val="22"/>
          <w:szCs w:val="22"/>
          <w:lang w:val="es-ES_tradnl"/>
        </w:rPr>
        <w:t>Ahora bien, c</w:t>
      </w:r>
      <w:r w:rsidR="008378BE" w:rsidRPr="006D7F4F">
        <w:rPr>
          <w:rFonts w:ascii="Arial" w:eastAsia="Calibri" w:hAnsi="Arial" w:cs="Arial"/>
          <w:sz w:val="22"/>
          <w:szCs w:val="22"/>
          <w:lang w:val="es-ES_tradnl"/>
        </w:rPr>
        <w:t xml:space="preserve">onforme </w:t>
      </w:r>
      <w:r w:rsidRPr="006D7F4F">
        <w:rPr>
          <w:rFonts w:ascii="Arial" w:eastAsia="Calibri" w:hAnsi="Arial" w:cs="Arial"/>
          <w:sz w:val="22"/>
          <w:szCs w:val="22"/>
          <w:lang w:val="es-ES_tradnl"/>
        </w:rPr>
        <w:t xml:space="preserve">a lo expuesto en el </w:t>
      </w:r>
      <w:r w:rsidR="009379B2" w:rsidRPr="006D7F4F">
        <w:rPr>
          <w:rFonts w:ascii="Arial" w:eastAsia="Calibri" w:hAnsi="Arial" w:cs="Arial"/>
          <w:sz w:val="22"/>
          <w:szCs w:val="22"/>
          <w:lang w:val="es-ES_tradnl"/>
        </w:rPr>
        <w:t>acápite que antecede, los</w:t>
      </w:r>
      <w:r w:rsidR="008378BE" w:rsidRPr="006D7F4F">
        <w:rPr>
          <w:rFonts w:ascii="Arial" w:eastAsia="Calibri" w:hAnsi="Arial" w:cs="Arial"/>
          <w:sz w:val="22"/>
          <w:szCs w:val="22"/>
          <w:lang w:val="es-ES_tradnl"/>
        </w:rPr>
        <w:t xml:space="preserve"> artículo</w:t>
      </w:r>
      <w:r w:rsidR="009379B2" w:rsidRPr="006D7F4F">
        <w:rPr>
          <w:rFonts w:ascii="Arial" w:eastAsia="Calibri" w:hAnsi="Arial" w:cs="Arial"/>
          <w:sz w:val="22"/>
          <w:szCs w:val="22"/>
          <w:lang w:val="es-ES_tradnl"/>
        </w:rPr>
        <w:t>s 31 y</w:t>
      </w:r>
      <w:r w:rsidR="008378BE" w:rsidRPr="006D7F4F">
        <w:rPr>
          <w:rFonts w:ascii="Arial" w:eastAsia="Calibri" w:hAnsi="Arial" w:cs="Arial"/>
          <w:sz w:val="22"/>
          <w:szCs w:val="22"/>
          <w:lang w:val="es-ES_tradnl"/>
        </w:rPr>
        <w:t xml:space="preserve"> 32 de la Ley 2069 de 2021 introduce</w:t>
      </w:r>
      <w:r w:rsidR="009379B2" w:rsidRPr="006D7F4F">
        <w:rPr>
          <w:rFonts w:ascii="Arial" w:eastAsia="Calibri" w:hAnsi="Arial" w:cs="Arial"/>
          <w:sz w:val="22"/>
          <w:szCs w:val="22"/>
          <w:lang w:val="es-ES_tradnl"/>
        </w:rPr>
        <w:t>n</w:t>
      </w:r>
      <w:r w:rsidR="008378BE" w:rsidRPr="006D7F4F">
        <w:rPr>
          <w:rFonts w:ascii="Arial" w:eastAsia="Calibri" w:hAnsi="Arial" w:cs="Arial"/>
          <w:sz w:val="22"/>
          <w:szCs w:val="22"/>
          <w:lang w:val="es-ES_tradnl"/>
        </w:rPr>
        <w:t xml:space="preserve"> </w:t>
      </w:r>
      <w:r w:rsidR="009379B2" w:rsidRPr="006D7F4F">
        <w:rPr>
          <w:rFonts w:ascii="Arial" w:eastAsia="Calibri" w:hAnsi="Arial" w:cs="Arial"/>
          <w:sz w:val="22"/>
          <w:szCs w:val="22"/>
          <w:lang w:val="es-ES_tradnl"/>
        </w:rPr>
        <w:t>la posibilidad</w:t>
      </w:r>
      <w:r w:rsidR="008378BE" w:rsidRPr="006D7F4F">
        <w:rPr>
          <w:rFonts w:ascii="Arial" w:eastAsia="Calibri" w:hAnsi="Arial" w:cs="Arial"/>
          <w:sz w:val="22"/>
          <w:szCs w:val="22"/>
          <w:lang w:val="es-ES_tradnl"/>
        </w:rPr>
        <w:t xml:space="preserve"> de las Entidades Estatales de incluir </w:t>
      </w:r>
      <w:r w:rsidR="008378BE" w:rsidRPr="006D7F4F">
        <w:rPr>
          <w:rStyle w:val="normaltextrun"/>
          <w:rFonts w:ascii="Arial" w:hAnsi="Arial" w:cs="Arial"/>
          <w:sz w:val="22"/>
          <w:szCs w:val="22"/>
          <w:shd w:val="clear" w:color="auto" w:fill="FFFFFF"/>
          <w:lang w:val="es-ES"/>
        </w:rPr>
        <w:t xml:space="preserve">en los procesos de licitación pública, selección abreviada de menor cuantía y concurso de méritos, así como en los procesos competitivos que adelanten las entidades estatales exceptuadas de aplicar el Estatuto General de Contratación de la Administración Pública, requisitos diferenciales y puntajes adicionales para </w:t>
      </w:r>
      <w:proofErr w:type="spellStart"/>
      <w:r w:rsidR="004B20EC" w:rsidRPr="006D7F4F">
        <w:rPr>
          <w:rStyle w:val="normaltextrun"/>
          <w:rFonts w:ascii="Arial" w:hAnsi="Arial" w:cs="Arial"/>
          <w:sz w:val="22"/>
          <w:szCs w:val="22"/>
          <w:shd w:val="clear" w:color="auto" w:fill="FFFFFF"/>
          <w:lang w:val="es-ES"/>
        </w:rPr>
        <w:t>mipymes</w:t>
      </w:r>
      <w:proofErr w:type="spellEnd"/>
      <w:r w:rsidR="004B20EC" w:rsidRPr="006D7F4F">
        <w:rPr>
          <w:rStyle w:val="normaltextrun"/>
          <w:rFonts w:ascii="Arial" w:hAnsi="Arial" w:cs="Arial"/>
          <w:sz w:val="22"/>
          <w:szCs w:val="22"/>
          <w:shd w:val="clear" w:color="auto" w:fill="FFFFFF"/>
          <w:lang w:val="es-ES"/>
        </w:rPr>
        <w:t xml:space="preserve"> y para </w:t>
      </w:r>
      <w:r w:rsidR="008378BE" w:rsidRPr="006D7F4F">
        <w:rPr>
          <w:rStyle w:val="normaltextrun"/>
          <w:rFonts w:ascii="Arial" w:hAnsi="Arial" w:cs="Arial"/>
          <w:sz w:val="22"/>
          <w:szCs w:val="22"/>
          <w:shd w:val="clear" w:color="auto" w:fill="FFFFFF"/>
          <w:lang w:val="es-ES"/>
        </w:rPr>
        <w:t>emprendimientos y empresas de mujeres. Esto a título de medidas de acción afirmativa para incentivar la participación de</w:t>
      </w:r>
      <w:r w:rsidR="004B20EC" w:rsidRPr="006D7F4F">
        <w:rPr>
          <w:rStyle w:val="normaltextrun"/>
          <w:rFonts w:ascii="Arial" w:hAnsi="Arial" w:cs="Arial"/>
          <w:sz w:val="22"/>
          <w:szCs w:val="22"/>
          <w:shd w:val="clear" w:color="auto" w:fill="FFFFFF"/>
          <w:lang w:val="es-ES"/>
        </w:rPr>
        <w:t xml:space="preserve"> estos sujetos </w:t>
      </w:r>
      <w:r w:rsidR="008378BE" w:rsidRPr="006D7F4F">
        <w:rPr>
          <w:rStyle w:val="normaltextrun"/>
          <w:rFonts w:ascii="Arial" w:hAnsi="Arial" w:cs="Arial"/>
          <w:sz w:val="22"/>
          <w:szCs w:val="22"/>
          <w:shd w:val="clear" w:color="auto" w:fill="FFFFFF"/>
          <w:lang w:val="es-ES"/>
        </w:rPr>
        <w:t>en el sistema de compras públicas, sin perjuicio de los compromisos adquiridos por Colombia en los acuerdos comerciales en vigor.</w:t>
      </w:r>
      <w:r w:rsidR="008378BE" w:rsidRPr="006D7F4F">
        <w:rPr>
          <w:rStyle w:val="eop"/>
          <w:rFonts w:ascii="Arial" w:hAnsi="Arial" w:cs="Arial"/>
          <w:sz w:val="22"/>
          <w:szCs w:val="22"/>
          <w:shd w:val="clear" w:color="auto" w:fill="FFFFFF"/>
        </w:rPr>
        <w:t> </w:t>
      </w:r>
    </w:p>
    <w:p w14:paraId="4514136B" w14:textId="142B23D8" w:rsidR="008378BE" w:rsidRPr="006D7F4F" w:rsidRDefault="008378BE" w:rsidP="00BD4570">
      <w:pPr>
        <w:spacing w:line="276" w:lineRule="auto"/>
        <w:jc w:val="both"/>
        <w:rPr>
          <w:rFonts w:ascii="Arial" w:eastAsia="Calibri" w:hAnsi="Arial" w:cs="Arial"/>
          <w:sz w:val="22"/>
          <w:szCs w:val="22"/>
          <w:lang w:val="es-ES_tradnl"/>
        </w:rPr>
      </w:pPr>
      <w:r w:rsidRPr="006D7F4F">
        <w:rPr>
          <w:rFonts w:ascii="Arial" w:eastAsia="Calibri" w:hAnsi="Arial" w:cs="Arial"/>
          <w:sz w:val="22"/>
          <w:szCs w:val="22"/>
          <w:lang w:val="es-ES_tradnl"/>
        </w:rPr>
        <w:tab/>
      </w:r>
      <w:r w:rsidR="004B20EC" w:rsidRPr="006D7F4F">
        <w:rPr>
          <w:rFonts w:ascii="Arial" w:eastAsia="Calibri" w:hAnsi="Arial" w:cs="Arial"/>
          <w:sz w:val="22"/>
          <w:szCs w:val="22"/>
          <w:lang w:val="es-ES_tradnl"/>
        </w:rPr>
        <w:t xml:space="preserve">En relación con el significado de emprendimientos y empresas de mujeres y conforme a lo dicho en </w:t>
      </w:r>
      <w:r w:rsidRPr="006D7F4F">
        <w:rPr>
          <w:rFonts w:ascii="Arial" w:eastAsia="Calibri" w:hAnsi="Arial" w:cs="Arial"/>
          <w:sz w:val="22"/>
          <w:szCs w:val="22"/>
          <w:lang w:val="es-ES_tradnl"/>
        </w:rPr>
        <w:t>el parágrafo del artículo 32 de la Ley 2069 de 2020, el Decreto 1860 de 2021 adicionó el artículo 2.2.1.2.4.2.14</w:t>
      </w:r>
      <w:r w:rsidR="00AE3664" w:rsidRPr="006D7F4F">
        <w:rPr>
          <w:rStyle w:val="Refdenotaalpie"/>
          <w:rFonts w:ascii="Arial" w:eastAsia="Calibri" w:hAnsi="Arial" w:cs="Arial"/>
          <w:sz w:val="22"/>
          <w:szCs w:val="22"/>
          <w:lang w:val="es-ES_tradnl"/>
        </w:rPr>
        <w:footnoteReference w:id="17"/>
      </w:r>
      <w:r w:rsidRPr="006D7F4F">
        <w:rPr>
          <w:rFonts w:ascii="Arial" w:eastAsia="Calibri" w:hAnsi="Arial" w:cs="Arial"/>
          <w:sz w:val="22"/>
          <w:szCs w:val="22"/>
          <w:lang w:val="es-ES_tradnl"/>
        </w:rPr>
        <w:t xml:space="preserve"> al Decreto 1082 de 2015. Esta norma establece </w:t>
      </w:r>
      <w:r w:rsidRPr="006D7F4F">
        <w:rPr>
          <w:rFonts w:ascii="Arial" w:eastAsia="Calibri" w:hAnsi="Arial" w:cs="Arial"/>
          <w:sz w:val="22"/>
          <w:szCs w:val="22"/>
          <w:lang w:val="es-ES_tradnl"/>
        </w:rPr>
        <w:lastRenderedPageBreak/>
        <w:t xml:space="preserve">las condiciones y requisitos en atención a los cuales se definen los empresas y emprendimientos de mujeres, a las que les aplican los criterios diferenciales. </w:t>
      </w:r>
    </w:p>
    <w:p w14:paraId="11C89E7E" w14:textId="77777777" w:rsidR="00BD4570" w:rsidRPr="006D7F4F" w:rsidRDefault="00BD4570" w:rsidP="00BD4570">
      <w:pPr>
        <w:spacing w:line="276" w:lineRule="auto"/>
        <w:jc w:val="both"/>
        <w:rPr>
          <w:rFonts w:ascii="Arial" w:hAnsi="Arial" w:cs="Arial"/>
          <w:sz w:val="22"/>
          <w:szCs w:val="22"/>
          <w:lang w:eastAsia="es-CO"/>
        </w:rPr>
      </w:pPr>
    </w:p>
    <w:p w14:paraId="04E32DF3" w14:textId="5D9E02C7" w:rsidR="008377B4" w:rsidRPr="006D7F4F" w:rsidRDefault="008378BE" w:rsidP="008378BE">
      <w:pPr>
        <w:spacing w:after="120" w:line="276" w:lineRule="auto"/>
        <w:jc w:val="both"/>
        <w:rPr>
          <w:rFonts w:ascii="Arial" w:hAnsi="Arial" w:cs="Arial"/>
          <w:sz w:val="22"/>
          <w:szCs w:val="22"/>
          <w:lang w:eastAsia="es-CO"/>
        </w:rPr>
      </w:pPr>
      <w:r w:rsidRPr="006D7F4F">
        <w:rPr>
          <w:rFonts w:ascii="Arial" w:hAnsi="Arial" w:cs="Arial"/>
          <w:sz w:val="22"/>
          <w:szCs w:val="22"/>
          <w:lang w:eastAsia="es-CO"/>
        </w:rPr>
        <w:tab/>
      </w:r>
      <w:r w:rsidR="007F2236" w:rsidRPr="006D7F4F">
        <w:rPr>
          <w:rFonts w:ascii="Arial" w:hAnsi="Arial" w:cs="Arial"/>
          <w:sz w:val="22"/>
          <w:szCs w:val="22"/>
          <w:lang w:eastAsia="es-CO"/>
        </w:rPr>
        <w:t>Por su parte</w:t>
      </w:r>
      <w:r w:rsidR="00BF5332" w:rsidRPr="006D7F4F">
        <w:rPr>
          <w:rFonts w:ascii="Arial" w:hAnsi="Arial" w:cs="Arial"/>
          <w:sz w:val="22"/>
          <w:szCs w:val="22"/>
          <w:lang w:eastAsia="es-CO"/>
        </w:rPr>
        <w:t xml:space="preserve"> </w:t>
      </w:r>
      <w:r w:rsidRPr="006D7F4F">
        <w:rPr>
          <w:rFonts w:ascii="Arial" w:hAnsi="Arial" w:cs="Arial"/>
          <w:sz w:val="22"/>
          <w:szCs w:val="22"/>
          <w:lang w:eastAsia="es-CO"/>
        </w:rPr>
        <w:t>el artículo 2.2.1.2.4.2.15 del Decreto 1082 de 2015</w:t>
      </w:r>
      <w:r w:rsidRPr="006D7F4F">
        <w:rPr>
          <w:rStyle w:val="Refdenotaalpie"/>
          <w:rFonts w:ascii="Arial" w:hAnsi="Arial" w:cs="Arial"/>
          <w:sz w:val="22"/>
          <w:szCs w:val="22"/>
          <w:lang w:eastAsia="es-CO"/>
        </w:rPr>
        <w:footnoteReference w:id="18"/>
      </w:r>
      <w:r w:rsidRPr="006D7F4F">
        <w:rPr>
          <w:rFonts w:ascii="Arial" w:hAnsi="Arial" w:cs="Arial"/>
          <w:sz w:val="22"/>
          <w:szCs w:val="22"/>
          <w:lang w:eastAsia="es-CO"/>
        </w:rPr>
        <w:t xml:space="preserve">, adicionado por el Decreto 1860 de 2021, complementa la regulación de criterios diferenciales </w:t>
      </w:r>
      <w:r w:rsidRPr="006D7F4F">
        <w:rPr>
          <w:rFonts w:ascii="Arial" w:hAnsi="Arial" w:cs="Arial"/>
          <w:sz w:val="22"/>
          <w:szCs w:val="22"/>
          <w:lang w:eastAsia="es-CO"/>
        </w:rPr>
        <w:lastRenderedPageBreak/>
        <w:t xml:space="preserve">estableciendo </w:t>
      </w:r>
      <w:r w:rsidR="00BF5332" w:rsidRPr="006D7F4F">
        <w:rPr>
          <w:rFonts w:ascii="Arial" w:hAnsi="Arial" w:cs="Arial"/>
          <w:sz w:val="22"/>
          <w:szCs w:val="22"/>
          <w:lang w:eastAsia="es-CO"/>
        </w:rPr>
        <w:t xml:space="preserve">la posibilidad de </w:t>
      </w:r>
      <w:r w:rsidRPr="006D7F4F">
        <w:rPr>
          <w:rFonts w:ascii="Arial" w:hAnsi="Arial" w:cs="Arial"/>
          <w:sz w:val="22"/>
          <w:szCs w:val="22"/>
          <w:lang w:eastAsia="es-CO"/>
        </w:rPr>
        <w:t xml:space="preserve">unos requisitos habilitantes diferenciales para incentivar emprendimientos y empresas de mujeres, que deben ser menos rigurosos respecto a los contemplados para </w:t>
      </w:r>
      <w:r w:rsidR="00BF5332" w:rsidRPr="006D7F4F">
        <w:rPr>
          <w:rFonts w:ascii="Arial" w:hAnsi="Arial" w:cs="Arial"/>
          <w:sz w:val="22"/>
          <w:szCs w:val="22"/>
          <w:lang w:eastAsia="es-CO"/>
        </w:rPr>
        <w:t xml:space="preserve">los otros </w:t>
      </w:r>
      <w:r w:rsidRPr="006D7F4F">
        <w:rPr>
          <w:rFonts w:ascii="Arial" w:hAnsi="Arial" w:cs="Arial"/>
          <w:sz w:val="22"/>
          <w:szCs w:val="22"/>
          <w:lang w:eastAsia="es-CO"/>
        </w:rPr>
        <w:t>proponentes que no cumplan con algun</w:t>
      </w:r>
      <w:r w:rsidR="00BF5332" w:rsidRPr="006D7F4F">
        <w:rPr>
          <w:rFonts w:ascii="Arial" w:hAnsi="Arial" w:cs="Arial"/>
          <w:sz w:val="22"/>
          <w:szCs w:val="22"/>
          <w:lang w:eastAsia="es-CO"/>
        </w:rPr>
        <w:t>o</w:t>
      </w:r>
      <w:r w:rsidRPr="006D7F4F">
        <w:rPr>
          <w:rFonts w:ascii="Arial" w:hAnsi="Arial" w:cs="Arial"/>
          <w:sz w:val="22"/>
          <w:szCs w:val="22"/>
          <w:lang w:eastAsia="es-CO"/>
        </w:rPr>
        <w:t xml:space="preserve"> de los criterios del artículo 2.2.1.2.4.2.14.</w:t>
      </w:r>
      <w:r w:rsidR="00BF5332" w:rsidRPr="006D7F4F">
        <w:rPr>
          <w:rFonts w:ascii="Arial" w:hAnsi="Arial" w:cs="Arial"/>
          <w:sz w:val="22"/>
          <w:szCs w:val="22"/>
          <w:lang w:eastAsia="es-CO"/>
        </w:rPr>
        <w:t xml:space="preserve"> los mismos requisitos habilitantes diferenciales podrán ser utilizados para fomentar la participación de </w:t>
      </w:r>
      <w:proofErr w:type="spellStart"/>
      <w:r w:rsidR="00BF5332" w:rsidRPr="006D7F4F">
        <w:rPr>
          <w:rFonts w:ascii="Arial" w:hAnsi="Arial" w:cs="Arial"/>
          <w:sz w:val="22"/>
          <w:szCs w:val="22"/>
          <w:lang w:eastAsia="es-CO"/>
        </w:rPr>
        <w:t>mipymes</w:t>
      </w:r>
      <w:proofErr w:type="spellEnd"/>
      <w:r w:rsidR="00BF5332" w:rsidRPr="006D7F4F">
        <w:rPr>
          <w:rFonts w:ascii="Arial" w:hAnsi="Arial" w:cs="Arial"/>
          <w:sz w:val="22"/>
          <w:szCs w:val="22"/>
          <w:lang w:eastAsia="es-CO"/>
        </w:rPr>
        <w:t xml:space="preserve">, en los términos previstos en el artículo </w:t>
      </w:r>
      <w:r w:rsidR="008377B4" w:rsidRPr="006D7F4F">
        <w:rPr>
          <w:rFonts w:ascii="Arial" w:hAnsi="Arial" w:cs="Arial"/>
          <w:sz w:val="22"/>
          <w:szCs w:val="22"/>
          <w:lang w:eastAsia="es-CO"/>
        </w:rPr>
        <w:t>2.2.1.2.4.2.18</w:t>
      </w:r>
      <w:r w:rsidR="008377B4" w:rsidRPr="006D7F4F">
        <w:rPr>
          <w:rStyle w:val="Refdenotaalpie"/>
          <w:rFonts w:ascii="Arial" w:hAnsi="Arial" w:cs="Arial"/>
          <w:sz w:val="22"/>
          <w:szCs w:val="22"/>
          <w:lang w:eastAsia="es-CO"/>
        </w:rPr>
        <w:footnoteReference w:id="19"/>
      </w:r>
      <w:r w:rsidR="008377B4" w:rsidRPr="006D7F4F">
        <w:rPr>
          <w:rFonts w:ascii="Arial" w:hAnsi="Arial" w:cs="Arial"/>
          <w:sz w:val="22"/>
          <w:szCs w:val="22"/>
          <w:lang w:eastAsia="es-CO"/>
        </w:rPr>
        <w:t>.</w:t>
      </w:r>
    </w:p>
    <w:p w14:paraId="2E39B867" w14:textId="4C481890" w:rsidR="008378BE" w:rsidRPr="006D7F4F" w:rsidRDefault="008378BE" w:rsidP="008378BE">
      <w:pPr>
        <w:spacing w:after="120" w:line="276" w:lineRule="auto"/>
        <w:jc w:val="both"/>
        <w:rPr>
          <w:rFonts w:ascii="Arial" w:hAnsi="Arial" w:cs="Arial"/>
          <w:sz w:val="22"/>
          <w:szCs w:val="22"/>
          <w:lang w:eastAsia="es-CO"/>
        </w:rPr>
      </w:pPr>
      <w:r w:rsidRPr="006D7F4F">
        <w:rPr>
          <w:rFonts w:ascii="Arial" w:hAnsi="Arial" w:cs="Arial"/>
          <w:sz w:val="22"/>
          <w:szCs w:val="22"/>
          <w:lang w:eastAsia="es-CO"/>
        </w:rPr>
        <w:lastRenderedPageBreak/>
        <w:t>Del mismo modo, el artículo 2.2.1.2.4.2.15 también regula un puntaje adicional</w:t>
      </w:r>
      <w:r w:rsidRPr="006D7F4F">
        <w:rPr>
          <w:sz w:val="22"/>
          <w:szCs w:val="22"/>
        </w:rPr>
        <w:t xml:space="preserve"> </w:t>
      </w:r>
      <w:r w:rsidRPr="006D7F4F">
        <w:rPr>
          <w:rFonts w:ascii="Arial" w:hAnsi="Arial" w:cs="Arial"/>
          <w:sz w:val="22"/>
          <w:szCs w:val="22"/>
          <w:lang w:eastAsia="es-CO"/>
        </w:rPr>
        <w:t xml:space="preserve">de hasta el 0,25% del valor total de los puntos establecidos en los pliegos de condiciones o documentos equivalentes, para los proponentes que acrediten alguno de los supuestos del artículo 2.2.1.2.4.2.14. </w:t>
      </w:r>
    </w:p>
    <w:p w14:paraId="1AA293A2" w14:textId="77777777" w:rsidR="00DF53E0" w:rsidRPr="006D7F4F" w:rsidRDefault="008378BE" w:rsidP="00C26B44">
      <w:pPr>
        <w:spacing w:after="120" w:line="276" w:lineRule="auto"/>
        <w:jc w:val="both"/>
        <w:rPr>
          <w:rFonts w:ascii="Arial" w:hAnsi="Arial" w:cs="Arial"/>
          <w:sz w:val="22"/>
          <w:szCs w:val="22"/>
          <w:lang w:eastAsia="es-CO"/>
        </w:rPr>
      </w:pPr>
      <w:r w:rsidRPr="006D7F4F">
        <w:rPr>
          <w:rFonts w:ascii="Arial" w:hAnsi="Arial" w:cs="Arial"/>
          <w:sz w:val="22"/>
          <w:szCs w:val="22"/>
          <w:lang w:eastAsia="es-CO"/>
        </w:rPr>
        <w:tab/>
        <w:t xml:space="preserve">De acuerdo con lo anterior, </w:t>
      </w:r>
      <w:r w:rsidR="00B71BB2" w:rsidRPr="006D7F4F">
        <w:rPr>
          <w:rFonts w:ascii="Arial" w:hAnsi="Arial" w:cs="Arial"/>
          <w:sz w:val="22"/>
          <w:szCs w:val="22"/>
          <w:lang w:eastAsia="es-CO"/>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 </w:t>
      </w:r>
    </w:p>
    <w:p w14:paraId="5B8BBDFA" w14:textId="42762E1F" w:rsidR="003305FB" w:rsidRPr="006D7F4F" w:rsidRDefault="00B71BB2" w:rsidP="00772BA3">
      <w:pPr>
        <w:spacing w:line="276" w:lineRule="auto"/>
        <w:ind w:firstLine="708"/>
        <w:jc w:val="both"/>
        <w:rPr>
          <w:rFonts w:ascii="Arial" w:hAnsi="Arial" w:cs="Arial"/>
          <w:sz w:val="22"/>
          <w:szCs w:val="22"/>
          <w:lang w:eastAsia="es-CO"/>
        </w:rPr>
      </w:pPr>
      <w:r w:rsidRPr="006D7F4F">
        <w:rPr>
          <w:rFonts w:ascii="Arial" w:hAnsi="Arial" w:cs="Arial"/>
          <w:sz w:val="22"/>
          <w:szCs w:val="22"/>
          <w:lang w:eastAsia="es-CO"/>
        </w:rPr>
        <w:t xml:space="preserve">No obstante, en virtud de los incentivos previstos en los artículos 31 y 32 de la Ley 2069 de 2020 y su reglamentación contenida en el Decreto 1860 de 2021, es posible que la selección objetiva del contratista </w:t>
      </w:r>
      <w:r w:rsidR="003D565C" w:rsidRPr="006D7F4F">
        <w:rPr>
          <w:rFonts w:ascii="Arial" w:hAnsi="Arial" w:cs="Arial"/>
          <w:sz w:val="22"/>
          <w:szCs w:val="22"/>
          <w:lang w:eastAsia="es-CO"/>
        </w:rPr>
        <w:t xml:space="preserve">del Estado se </w:t>
      </w:r>
      <w:r w:rsidR="007F2236" w:rsidRPr="006D7F4F">
        <w:rPr>
          <w:rFonts w:ascii="Arial" w:hAnsi="Arial" w:cs="Arial"/>
          <w:sz w:val="22"/>
          <w:szCs w:val="22"/>
          <w:lang w:eastAsia="es-CO"/>
        </w:rPr>
        <w:t>escoja</w:t>
      </w:r>
      <w:r w:rsidR="003D565C" w:rsidRPr="006D7F4F">
        <w:rPr>
          <w:rFonts w:ascii="Arial" w:hAnsi="Arial" w:cs="Arial"/>
          <w:sz w:val="22"/>
          <w:szCs w:val="22"/>
          <w:lang w:eastAsia="es-CO"/>
        </w:rPr>
        <w:t xml:space="preserve"> </w:t>
      </w:r>
      <w:r w:rsidR="00DF53E0" w:rsidRPr="006D7F4F">
        <w:rPr>
          <w:rFonts w:ascii="Arial" w:hAnsi="Arial" w:cs="Arial"/>
          <w:sz w:val="22"/>
          <w:szCs w:val="22"/>
          <w:lang w:eastAsia="es-CO"/>
        </w:rPr>
        <w:t xml:space="preserve">por las entidades contratantes </w:t>
      </w:r>
      <w:r w:rsidR="003D565C" w:rsidRPr="006D7F4F">
        <w:rPr>
          <w:rFonts w:ascii="Arial" w:hAnsi="Arial" w:cs="Arial"/>
          <w:sz w:val="22"/>
          <w:szCs w:val="22"/>
          <w:lang w:eastAsia="es-CO"/>
        </w:rPr>
        <w:t>acudiendo a factores habilitantes y de calificación de los participantes fijados</w:t>
      </w:r>
      <w:r w:rsidR="00DF53E0" w:rsidRPr="006D7F4F">
        <w:rPr>
          <w:rFonts w:ascii="Arial" w:hAnsi="Arial" w:cs="Arial"/>
          <w:sz w:val="22"/>
          <w:szCs w:val="22"/>
          <w:lang w:eastAsia="es-CO"/>
        </w:rPr>
        <w:t xml:space="preserve"> en los pliegos de condiciones</w:t>
      </w:r>
      <w:r w:rsidR="003D565C" w:rsidRPr="006D7F4F">
        <w:rPr>
          <w:rFonts w:ascii="Arial" w:hAnsi="Arial" w:cs="Arial"/>
          <w:sz w:val="22"/>
          <w:szCs w:val="22"/>
          <w:lang w:eastAsia="es-CO"/>
        </w:rPr>
        <w:t xml:space="preserve"> de forma </w:t>
      </w:r>
      <w:r w:rsidR="003D565C" w:rsidRPr="006D7F4F">
        <w:rPr>
          <w:rFonts w:ascii="Arial" w:hAnsi="Arial" w:cs="Arial"/>
          <w:i/>
          <w:iCs/>
          <w:sz w:val="22"/>
          <w:szCs w:val="22"/>
          <w:lang w:eastAsia="es-CO"/>
        </w:rPr>
        <w:t>diferencial</w:t>
      </w:r>
      <w:r w:rsidR="003D565C" w:rsidRPr="006D7F4F">
        <w:rPr>
          <w:rFonts w:ascii="Arial" w:hAnsi="Arial" w:cs="Arial"/>
          <w:sz w:val="22"/>
          <w:szCs w:val="22"/>
          <w:lang w:eastAsia="es-CO"/>
        </w:rPr>
        <w:t>, con el objeto de fomentar</w:t>
      </w:r>
      <w:r w:rsidR="00DF53E0" w:rsidRPr="006D7F4F">
        <w:rPr>
          <w:rFonts w:ascii="Arial" w:hAnsi="Arial" w:cs="Arial"/>
          <w:sz w:val="22"/>
          <w:szCs w:val="22"/>
          <w:lang w:eastAsia="es-CO"/>
        </w:rPr>
        <w:t xml:space="preserve"> o facilitar</w:t>
      </w:r>
      <w:r w:rsidR="003D565C" w:rsidRPr="006D7F4F">
        <w:rPr>
          <w:rFonts w:ascii="Arial" w:hAnsi="Arial" w:cs="Arial"/>
          <w:sz w:val="22"/>
          <w:szCs w:val="22"/>
          <w:lang w:eastAsia="es-CO"/>
        </w:rPr>
        <w:t xml:space="preserve"> el acceso a las compras públicas de sujetos de menor capacidad en el mercado, como es el caso de los emprendimientos y empresas de mujeres y las </w:t>
      </w:r>
      <w:proofErr w:type="spellStart"/>
      <w:r w:rsidR="003D565C" w:rsidRPr="006D7F4F">
        <w:rPr>
          <w:rFonts w:ascii="Arial" w:hAnsi="Arial" w:cs="Arial"/>
          <w:sz w:val="22"/>
          <w:szCs w:val="22"/>
          <w:lang w:eastAsia="es-CO"/>
        </w:rPr>
        <w:t>mipymes</w:t>
      </w:r>
      <w:proofErr w:type="spellEnd"/>
      <w:r w:rsidR="003D565C" w:rsidRPr="006D7F4F">
        <w:rPr>
          <w:rFonts w:ascii="Arial" w:hAnsi="Arial" w:cs="Arial"/>
          <w:sz w:val="22"/>
          <w:szCs w:val="22"/>
          <w:lang w:eastAsia="es-CO"/>
        </w:rPr>
        <w:t xml:space="preserve">, </w:t>
      </w:r>
      <w:r w:rsidR="00DF53E0" w:rsidRPr="006D7F4F">
        <w:rPr>
          <w:rFonts w:ascii="Arial" w:hAnsi="Arial" w:cs="Arial"/>
          <w:sz w:val="22"/>
          <w:szCs w:val="22"/>
          <w:lang w:eastAsia="es-CO"/>
        </w:rPr>
        <w:t>por razones de equidad, siempre y cuando el uso de estas medidas afirmativas resulte justificado y no ponga en riesgo el adecuado cumplimiento del contrato, según el análisis del sector</w:t>
      </w:r>
      <w:r w:rsidR="00772BA3" w:rsidRPr="006D7F4F">
        <w:rPr>
          <w:rFonts w:ascii="Arial" w:hAnsi="Arial" w:cs="Arial"/>
          <w:sz w:val="22"/>
          <w:szCs w:val="22"/>
          <w:lang w:eastAsia="es-CO"/>
        </w:rPr>
        <w:t xml:space="preserve"> y los estudios previos que soporten el proceso contractual.</w:t>
      </w:r>
      <w:r w:rsidRPr="006D7F4F">
        <w:rPr>
          <w:rFonts w:ascii="Arial" w:hAnsi="Arial" w:cs="Arial"/>
          <w:sz w:val="22"/>
          <w:szCs w:val="22"/>
          <w:lang w:eastAsia="es-CO"/>
        </w:rPr>
        <w:t xml:space="preserve"> </w:t>
      </w:r>
      <w:r w:rsidR="007F2236" w:rsidRPr="006D7F4F">
        <w:rPr>
          <w:rFonts w:ascii="Arial" w:hAnsi="Arial" w:cs="Arial"/>
          <w:sz w:val="22"/>
          <w:szCs w:val="22"/>
          <w:lang w:eastAsia="es-CO"/>
        </w:rPr>
        <w:t xml:space="preserve">Para el efecto dichos requisitos habilitantes </w:t>
      </w:r>
      <w:r w:rsidR="00B52C63" w:rsidRPr="006D7F4F">
        <w:rPr>
          <w:rFonts w:ascii="Arial" w:hAnsi="Arial" w:cs="Arial"/>
          <w:sz w:val="22"/>
          <w:szCs w:val="22"/>
          <w:lang w:eastAsia="es-CO"/>
        </w:rPr>
        <w:t>contemplados en el pliego de condiciones</w:t>
      </w:r>
      <w:r w:rsidR="007F2236" w:rsidRPr="006D7F4F">
        <w:rPr>
          <w:rFonts w:ascii="Arial" w:hAnsi="Arial" w:cs="Arial"/>
          <w:sz w:val="22"/>
          <w:szCs w:val="22"/>
          <w:lang w:eastAsia="es-CO"/>
        </w:rPr>
        <w:t xml:space="preserve"> podrán </w:t>
      </w:r>
      <w:r w:rsidR="00B52C63" w:rsidRPr="006D7F4F">
        <w:rPr>
          <w:rFonts w:ascii="Arial" w:hAnsi="Arial" w:cs="Arial"/>
          <w:sz w:val="22"/>
          <w:szCs w:val="22"/>
          <w:lang w:eastAsia="es-CO"/>
        </w:rPr>
        <w:t>ser</w:t>
      </w:r>
      <w:r w:rsidR="007F2236" w:rsidRPr="006D7F4F">
        <w:rPr>
          <w:rFonts w:ascii="Arial" w:hAnsi="Arial" w:cs="Arial"/>
          <w:sz w:val="22"/>
          <w:szCs w:val="22"/>
          <w:lang w:eastAsia="es-CO"/>
        </w:rPr>
        <w:t xml:space="preserve"> menos exigentes</w:t>
      </w:r>
      <w:r w:rsidR="00B52C63" w:rsidRPr="006D7F4F">
        <w:rPr>
          <w:rFonts w:ascii="Arial" w:hAnsi="Arial" w:cs="Arial"/>
          <w:sz w:val="22"/>
          <w:szCs w:val="22"/>
          <w:lang w:eastAsia="es-CO"/>
        </w:rPr>
        <w:t xml:space="preserve"> para los emprendimientos y empresas de mujeres y para las </w:t>
      </w:r>
      <w:proofErr w:type="spellStart"/>
      <w:r w:rsidR="00B52C63" w:rsidRPr="006D7F4F">
        <w:rPr>
          <w:rFonts w:ascii="Arial" w:hAnsi="Arial" w:cs="Arial"/>
          <w:sz w:val="22"/>
          <w:szCs w:val="22"/>
          <w:lang w:eastAsia="es-CO"/>
        </w:rPr>
        <w:t>mipymes</w:t>
      </w:r>
      <w:proofErr w:type="spellEnd"/>
      <w:r w:rsidR="00B52C63" w:rsidRPr="006D7F4F">
        <w:rPr>
          <w:rFonts w:ascii="Arial" w:hAnsi="Arial" w:cs="Arial"/>
          <w:sz w:val="22"/>
          <w:szCs w:val="22"/>
          <w:lang w:eastAsia="es-CO"/>
        </w:rPr>
        <w:t>, según lo justifique</w:t>
      </w:r>
      <w:r w:rsidR="00620E8C" w:rsidRPr="006D7F4F">
        <w:rPr>
          <w:rFonts w:ascii="Arial" w:hAnsi="Arial" w:cs="Arial"/>
          <w:sz w:val="22"/>
          <w:szCs w:val="22"/>
          <w:lang w:eastAsia="es-CO"/>
        </w:rPr>
        <w:t xml:space="preserve">n los instrumentos de planeación precontractual necesarios para cada contratación. </w:t>
      </w:r>
    </w:p>
    <w:p w14:paraId="167875A1" w14:textId="26456454" w:rsidR="00BF5788" w:rsidRPr="006D7F4F" w:rsidRDefault="00BF5788" w:rsidP="00772BA3">
      <w:pPr>
        <w:spacing w:line="276" w:lineRule="auto"/>
        <w:ind w:firstLine="708"/>
        <w:jc w:val="both"/>
        <w:rPr>
          <w:rFonts w:ascii="Arial" w:hAnsi="Arial" w:cs="Arial"/>
          <w:sz w:val="22"/>
          <w:szCs w:val="22"/>
          <w:lang w:eastAsia="es-CO"/>
        </w:rPr>
      </w:pPr>
    </w:p>
    <w:p w14:paraId="4F269EE4" w14:textId="53161E0A" w:rsidR="00BF5788" w:rsidRPr="006D7F4F" w:rsidRDefault="00BF5788" w:rsidP="00772BA3">
      <w:pPr>
        <w:spacing w:line="276" w:lineRule="auto"/>
        <w:ind w:firstLine="708"/>
        <w:jc w:val="both"/>
        <w:rPr>
          <w:rFonts w:ascii="Arial" w:hAnsi="Arial" w:cs="Arial"/>
          <w:sz w:val="22"/>
          <w:szCs w:val="22"/>
          <w:lang w:eastAsia="es-CO"/>
        </w:rPr>
      </w:pPr>
      <w:r w:rsidRPr="006D7F4F">
        <w:rPr>
          <w:rFonts w:ascii="Arial" w:hAnsi="Arial" w:cs="Arial"/>
          <w:sz w:val="22"/>
          <w:szCs w:val="22"/>
          <w:lang w:eastAsia="es-CO"/>
        </w:rPr>
        <w:t xml:space="preserve">Ahora bien, como la consulta en concreto </w:t>
      </w:r>
      <w:r w:rsidR="001C26D7" w:rsidRPr="006D7F4F">
        <w:rPr>
          <w:rFonts w:ascii="Arial" w:hAnsi="Arial" w:cs="Arial"/>
          <w:sz w:val="22"/>
          <w:szCs w:val="22"/>
          <w:lang w:eastAsia="es-CO"/>
        </w:rPr>
        <w:t xml:space="preserve">se refiere </w:t>
      </w:r>
      <w:r w:rsidR="00A755C1">
        <w:rPr>
          <w:rFonts w:ascii="Arial" w:hAnsi="Arial" w:cs="Arial"/>
          <w:sz w:val="22"/>
          <w:szCs w:val="22"/>
          <w:lang w:eastAsia="es-CO"/>
        </w:rPr>
        <w:t>a</w:t>
      </w:r>
      <w:r w:rsidR="001C26D7" w:rsidRPr="006D7F4F">
        <w:rPr>
          <w:rFonts w:ascii="Arial" w:hAnsi="Arial" w:cs="Arial"/>
          <w:sz w:val="22"/>
          <w:szCs w:val="22"/>
          <w:lang w:eastAsia="es-CO"/>
        </w:rPr>
        <w:t>l requisito habilitante diferencial relacionado con el v</w:t>
      </w:r>
      <w:r w:rsidRPr="006D7F4F">
        <w:rPr>
          <w:rFonts w:ascii="Arial" w:hAnsi="Arial" w:cs="Arial"/>
          <w:sz w:val="22"/>
          <w:szCs w:val="22"/>
          <w:lang w:eastAsia="es-CO"/>
        </w:rPr>
        <w:t>alor de la garantía de seriedad de la oferta</w:t>
      </w:r>
      <w:r w:rsidR="001C26D7" w:rsidRPr="006D7F4F">
        <w:rPr>
          <w:rFonts w:ascii="Arial" w:hAnsi="Arial" w:cs="Arial"/>
          <w:sz w:val="22"/>
          <w:szCs w:val="22"/>
          <w:lang w:eastAsia="es-CO"/>
        </w:rPr>
        <w:t xml:space="preserve">, a </w:t>
      </w:r>
      <w:r w:rsidR="008B707A" w:rsidRPr="006D7F4F">
        <w:rPr>
          <w:rFonts w:ascii="Arial" w:hAnsi="Arial" w:cs="Arial"/>
          <w:sz w:val="22"/>
          <w:szCs w:val="22"/>
          <w:lang w:eastAsia="es-CO"/>
        </w:rPr>
        <w:t>continuación,</w:t>
      </w:r>
      <w:r w:rsidR="001C26D7" w:rsidRPr="006D7F4F">
        <w:rPr>
          <w:rFonts w:ascii="Arial" w:hAnsi="Arial" w:cs="Arial"/>
          <w:sz w:val="22"/>
          <w:szCs w:val="22"/>
          <w:lang w:eastAsia="es-CO"/>
        </w:rPr>
        <w:t xml:space="preserve"> se</w:t>
      </w:r>
      <w:r w:rsidR="00A755C1">
        <w:rPr>
          <w:rFonts w:ascii="Arial" w:hAnsi="Arial" w:cs="Arial"/>
          <w:sz w:val="22"/>
          <w:szCs w:val="22"/>
          <w:lang w:eastAsia="es-CO"/>
        </w:rPr>
        <w:t xml:space="preserve"> realiza el </w:t>
      </w:r>
      <w:r w:rsidR="008B707A">
        <w:rPr>
          <w:rFonts w:ascii="Arial" w:hAnsi="Arial" w:cs="Arial"/>
          <w:sz w:val="22"/>
          <w:szCs w:val="22"/>
          <w:lang w:eastAsia="es-CO"/>
        </w:rPr>
        <w:t>análisis pertinente.</w:t>
      </w:r>
    </w:p>
    <w:p w14:paraId="02B5D843" w14:textId="77777777" w:rsidR="003305FB" w:rsidRPr="006D7F4F" w:rsidRDefault="003305FB" w:rsidP="00C26B44">
      <w:pPr>
        <w:jc w:val="both"/>
        <w:rPr>
          <w:rFonts w:ascii="Arial" w:eastAsia="Calibri" w:hAnsi="Arial" w:cs="Arial"/>
          <w:b/>
          <w:bCs/>
          <w:color w:val="000000" w:themeColor="text1"/>
          <w:sz w:val="22"/>
          <w:szCs w:val="22"/>
          <w:lang w:val="es-ES_tradnl"/>
        </w:rPr>
      </w:pPr>
    </w:p>
    <w:p w14:paraId="1BEE797D" w14:textId="67C2C6B7" w:rsidR="00DE29F5" w:rsidRPr="006D7F4F" w:rsidRDefault="00BA79B8" w:rsidP="00C26B44">
      <w:pPr>
        <w:spacing w:line="276" w:lineRule="auto"/>
        <w:ind w:firstLine="708"/>
        <w:jc w:val="both"/>
        <w:rPr>
          <w:rFonts w:ascii="Arial" w:eastAsia="Calibri" w:hAnsi="Arial" w:cs="Arial"/>
          <w:b/>
          <w:bCs/>
          <w:color w:val="000000" w:themeColor="text1"/>
          <w:sz w:val="22"/>
          <w:szCs w:val="22"/>
          <w:lang w:val="es-ES_tradnl"/>
        </w:rPr>
      </w:pPr>
      <w:r w:rsidRPr="00C26B44">
        <w:rPr>
          <w:rFonts w:ascii="Arial" w:eastAsia="Calibri" w:hAnsi="Arial" w:cs="Arial"/>
          <w:b/>
          <w:bCs/>
          <w:i/>
          <w:iCs/>
          <w:color w:val="000000" w:themeColor="text1"/>
          <w:sz w:val="22"/>
          <w:szCs w:val="22"/>
          <w:lang w:val="es-ES_tradnl"/>
        </w:rPr>
        <w:t>2.</w:t>
      </w:r>
      <w:r w:rsidR="008B707A" w:rsidRPr="00C26B44">
        <w:rPr>
          <w:rFonts w:ascii="Arial" w:eastAsia="Calibri" w:hAnsi="Arial" w:cs="Arial"/>
          <w:b/>
          <w:bCs/>
          <w:i/>
          <w:iCs/>
          <w:color w:val="000000" w:themeColor="text1"/>
          <w:sz w:val="22"/>
          <w:szCs w:val="22"/>
          <w:lang w:val="es-ES_tradnl"/>
        </w:rPr>
        <w:t>2.1</w:t>
      </w:r>
      <w:r w:rsidR="008B707A">
        <w:rPr>
          <w:rFonts w:ascii="Arial" w:eastAsia="Calibri" w:hAnsi="Arial" w:cs="Arial"/>
          <w:b/>
          <w:bCs/>
          <w:i/>
          <w:iCs/>
          <w:color w:val="000000" w:themeColor="text1"/>
          <w:sz w:val="22"/>
          <w:szCs w:val="22"/>
          <w:lang w:val="es-ES_tradnl"/>
        </w:rPr>
        <w:t xml:space="preserve">. </w:t>
      </w:r>
      <w:r w:rsidRPr="006D7F4F">
        <w:rPr>
          <w:rFonts w:ascii="Arial" w:eastAsia="Calibri" w:hAnsi="Arial" w:cs="Arial"/>
          <w:b/>
          <w:bCs/>
          <w:color w:val="000000" w:themeColor="text1"/>
          <w:sz w:val="22"/>
          <w:szCs w:val="22"/>
          <w:lang w:val="es-ES_tradnl"/>
        </w:rPr>
        <w:t xml:space="preserve"> </w:t>
      </w:r>
      <w:r w:rsidR="0009389B">
        <w:rPr>
          <w:rFonts w:ascii="Arial" w:eastAsia="Calibri" w:hAnsi="Arial" w:cs="Arial"/>
          <w:b/>
          <w:bCs/>
          <w:color w:val="000000" w:themeColor="text1"/>
          <w:sz w:val="22"/>
          <w:szCs w:val="22"/>
          <w:lang w:val="es-ES_tradnl"/>
        </w:rPr>
        <w:t xml:space="preserve">Alcance de los </w:t>
      </w:r>
      <w:r w:rsidR="008B707A">
        <w:rPr>
          <w:rFonts w:ascii="Arial" w:eastAsia="Calibri" w:hAnsi="Arial" w:cs="Arial"/>
          <w:b/>
          <w:bCs/>
          <w:color w:val="000000" w:themeColor="text1"/>
          <w:sz w:val="22"/>
          <w:szCs w:val="22"/>
          <w:lang w:val="es-ES_tradnl"/>
        </w:rPr>
        <w:t>requisito</w:t>
      </w:r>
      <w:r w:rsidR="0009389B">
        <w:rPr>
          <w:rFonts w:ascii="Arial" w:eastAsia="Calibri" w:hAnsi="Arial" w:cs="Arial"/>
          <w:b/>
          <w:bCs/>
          <w:color w:val="000000" w:themeColor="text1"/>
          <w:sz w:val="22"/>
          <w:szCs w:val="22"/>
          <w:lang w:val="es-ES_tradnl"/>
        </w:rPr>
        <w:t>s</w:t>
      </w:r>
      <w:r w:rsidR="008B707A">
        <w:rPr>
          <w:rFonts w:ascii="Arial" w:eastAsia="Calibri" w:hAnsi="Arial" w:cs="Arial"/>
          <w:b/>
          <w:bCs/>
          <w:color w:val="000000" w:themeColor="text1"/>
          <w:sz w:val="22"/>
          <w:szCs w:val="22"/>
          <w:lang w:val="es-ES_tradnl"/>
        </w:rPr>
        <w:t xml:space="preserve"> habilitante</w:t>
      </w:r>
      <w:r w:rsidR="0009389B">
        <w:rPr>
          <w:rFonts w:ascii="Arial" w:eastAsia="Calibri" w:hAnsi="Arial" w:cs="Arial"/>
          <w:b/>
          <w:bCs/>
          <w:color w:val="000000" w:themeColor="text1"/>
          <w:sz w:val="22"/>
          <w:szCs w:val="22"/>
          <w:lang w:val="es-ES_tradnl"/>
        </w:rPr>
        <w:t xml:space="preserve">s </w:t>
      </w:r>
      <w:r w:rsidR="008B707A">
        <w:rPr>
          <w:rFonts w:ascii="Arial" w:eastAsia="Calibri" w:hAnsi="Arial" w:cs="Arial"/>
          <w:b/>
          <w:bCs/>
          <w:color w:val="000000" w:themeColor="text1"/>
          <w:sz w:val="22"/>
          <w:szCs w:val="22"/>
          <w:lang w:val="es-ES_tradnl"/>
        </w:rPr>
        <w:t>diferencial</w:t>
      </w:r>
      <w:r w:rsidR="0009389B">
        <w:rPr>
          <w:rFonts w:ascii="Arial" w:eastAsia="Calibri" w:hAnsi="Arial" w:cs="Arial"/>
          <w:b/>
          <w:bCs/>
          <w:color w:val="000000" w:themeColor="text1"/>
          <w:sz w:val="22"/>
          <w:szCs w:val="22"/>
          <w:lang w:val="es-ES_tradnl"/>
        </w:rPr>
        <w:t xml:space="preserve">es </w:t>
      </w:r>
      <w:r w:rsidR="008B707A">
        <w:rPr>
          <w:rFonts w:ascii="Arial" w:eastAsia="Calibri" w:hAnsi="Arial" w:cs="Arial"/>
          <w:b/>
          <w:bCs/>
          <w:color w:val="000000" w:themeColor="text1"/>
          <w:sz w:val="22"/>
          <w:szCs w:val="22"/>
          <w:lang w:val="es-ES_tradnl"/>
        </w:rPr>
        <w:t>relacionado</w:t>
      </w:r>
      <w:r w:rsidR="0009389B">
        <w:rPr>
          <w:rFonts w:ascii="Arial" w:eastAsia="Calibri" w:hAnsi="Arial" w:cs="Arial"/>
          <w:b/>
          <w:bCs/>
          <w:color w:val="000000" w:themeColor="text1"/>
          <w:sz w:val="22"/>
          <w:szCs w:val="22"/>
          <w:lang w:val="es-ES_tradnl"/>
        </w:rPr>
        <w:t>s</w:t>
      </w:r>
      <w:r w:rsidR="008B707A">
        <w:rPr>
          <w:rFonts w:ascii="Arial" w:eastAsia="Calibri" w:hAnsi="Arial" w:cs="Arial"/>
          <w:b/>
          <w:bCs/>
          <w:color w:val="000000" w:themeColor="text1"/>
          <w:sz w:val="22"/>
          <w:szCs w:val="22"/>
          <w:lang w:val="es-ES_tradnl"/>
        </w:rPr>
        <w:t xml:space="preserve"> con el valor</w:t>
      </w:r>
      <w:r w:rsidR="006D7F4F">
        <w:rPr>
          <w:rFonts w:ascii="Arial" w:eastAsia="Calibri" w:hAnsi="Arial" w:cs="Arial"/>
          <w:b/>
          <w:bCs/>
          <w:color w:val="000000" w:themeColor="text1"/>
          <w:sz w:val="22"/>
          <w:szCs w:val="22"/>
          <w:lang w:val="es-ES_tradnl"/>
        </w:rPr>
        <w:t xml:space="preserve"> de l</w:t>
      </w:r>
      <w:r w:rsidR="00DE29F5" w:rsidRPr="006D7F4F">
        <w:rPr>
          <w:rFonts w:ascii="Arial" w:eastAsia="Calibri" w:hAnsi="Arial" w:cs="Arial"/>
          <w:b/>
          <w:bCs/>
          <w:color w:val="000000" w:themeColor="text1"/>
          <w:sz w:val="22"/>
          <w:szCs w:val="22"/>
          <w:lang w:val="es-ES_tradnl"/>
        </w:rPr>
        <w:t xml:space="preserve">a garantía de seriedad de la oferta </w:t>
      </w:r>
    </w:p>
    <w:p w14:paraId="10B77E93" w14:textId="77777777" w:rsidR="008B707A" w:rsidRDefault="008B707A" w:rsidP="00C26B44">
      <w:pPr>
        <w:jc w:val="both"/>
        <w:rPr>
          <w:rFonts w:ascii="Arial" w:eastAsia="Calibri" w:hAnsi="Arial" w:cs="Arial"/>
          <w:sz w:val="22"/>
          <w:szCs w:val="22"/>
          <w:lang w:val="es-ES" w:eastAsia="en-US"/>
        </w:rPr>
      </w:pPr>
    </w:p>
    <w:p w14:paraId="4EEE5C2F" w14:textId="6287D9B2" w:rsidR="00DE29F5" w:rsidRPr="00DE29F5" w:rsidRDefault="00DE29F5" w:rsidP="00DE29F5">
      <w:pPr>
        <w:spacing w:after="120" w:line="276" w:lineRule="auto"/>
        <w:jc w:val="both"/>
        <w:rPr>
          <w:rFonts w:ascii="Arial" w:eastAsia="Calibri" w:hAnsi="Arial" w:cs="Arial"/>
          <w:sz w:val="22"/>
          <w:szCs w:val="22"/>
          <w:lang w:val="es-ES" w:eastAsia="en-US"/>
        </w:rPr>
      </w:pPr>
      <w:r w:rsidRPr="00DE29F5">
        <w:rPr>
          <w:rFonts w:ascii="Arial" w:eastAsia="Calibri" w:hAnsi="Arial" w:cs="Arial"/>
          <w:sz w:val="22"/>
          <w:szCs w:val="22"/>
          <w:lang w:val="es-ES" w:eastAsia="en-US"/>
        </w:rPr>
        <w:lastRenderedPageBreak/>
        <w:t>En los contratos estatales, por regla general, en la etapa precontractual y en la contractual se requiere la constitución de garantías. Mientras las garantías en la primera etapa implican una caución provisional que avala la propuesta y es una garantía precontractual –y parcialmente contractual– destinada a asegurar la suscripción del acuerdo, entre otras obligaciones; las garantías en la segunda etapa son un mecanismo de cobertura del riesgo derivado del incumplimiento de las obligaciones del contrato. Desde esta perspectiva, ambas constituyen una obligación de seguridad, es decir, aquella donde el interés del acreedor no consiste en una utilidad específica y tangible, sino en la tranquilidad frente a ciertos riesgos por la cobertura de sus consecuencias nocivas.</w:t>
      </w:r>
    </w:p>
    <w:p w14:paraId="2953643F" w14:textId="77777777" w:rsidR="00DE29F5" w:rsidRPr="00DE29F5" w:rsidRDefault="00DE29F5" w:rsidP="00DE29F5">
      <w:pPr>
        <w:spacing w:line="276" w:lineRule="auto"/>
        <w:ind w:firstLine="708"/>
        <w:jc w:val="both"/>
        <w:rPr>
          <w:rFonts w:ascii="Arial" w:eastAsia="Calibri" w:hAnsi="Arial" w:cs="Arial"/>
          <w:sz w:val="22"/>
          <w:szCs w:val="22"/>
          <w:lang w:val="es-ES" w:eastAsia="en-US"/>
        </w:rPr>
      </w:pPr>
      <w:r w:rsidRPr="00DE29F5">
        <w:rPr>
          <w:rFonts w:ascii="Arial" w:eastAsia="Calibri" w:hAnsi="Arial" w:cs="Arial"/>
          <w:sz w:val="22"/>
          <w:szCs w:val="22"/>
          <w:lang w:val="es-ES" w:eastAsia="en-US"/>
        </w:rPr>
        <w:t>Los artículos 2.2.1.2.3.1.6 y 2.2.1.2.3.1.9 del Decreto 1082 de 2015 establecen las condiciones que debe cumplir la garantía de seriedad de la oferta</w:t>
      </w:r>
      <w:r w:rsidRPr="00DE29F5">
        <w:rPr>
          <w:rFonts w:ascii="Arial" w:eastAsia="Calibri" w:hAnsi="Arial" w:cs="Arial"/>
          <w:sz w:val="22"/>
          <w:szCs w:val="22"/>
          <w:vertAlign w:val="superscript"/>
          <w:lang w:val="es-ES" w:eastAsia="en-US"/>
        </w:rPr>
        <w:footnoteReference w:id="20"/>
      </w:r>
      <w:r w:rsidRPr="00DE29F5">
        <w:rPr>
          <w:rFonts w:ascii="Arial" w:eastAsia="Calibri" w:hAnsi="Arial" w:cs="Arial"/>
          <w:sz w:val="22"/>
          <w:szCs w:val="22"/>
          <w:lang w:val="es-ES" w:eastAsia="en-US"/>
        </w:rPr>
        <w:t xml:space="preserve">. Esta puede otorgarse a través de: i) un contrato de seguro contenido en una póliza, </w:t>
      </w:r>
      <w:proofErr w:type="spellStart"/>
      <w:r w:rsidRPr="00DE29F5">
        <w:rPr>
          <w:rFonts w:ascii="Arial" w:eastAsia="Calibri" w:hAnsi="Arial" w:cs="Arial"/>
          <w:sz w:val="22"/>
          <w:szCs w:val="22"/>
          <w:lang w:val="es-ES" w:eastAsia="en-US"/>
        </w:rPr>
        <w:t>ii</w:t>
      </w:r>
      <w:proofErr w:type="spellEnd"/>
      <w:r w:rsidRPr="00DE29F5">
        <w:rPr>
          <w:rFonts w:ascii="Arial" w:eastAsia="Calibri" w:hAnsi="Arial" w:cs="Arial"/>
          <w:sz w:val="22"/>
          <w:szCs w:val="22"/>
          <w:lang w:val="es-ES" w:eastAsia="en-US"/>
        </w:rPr>
        <w:t xml:space="preserve">) la constitución de un patrimonio autónomo, o </w:t>
      </w:r>
      <w:proofErr w:type="spellStart"/>
      <w:r w:rsidRPr="00DE29F5">
        <w:rPr>
          <w:rFonts w:ascii="Arial" w:eastAsia="Calibri" w:hAnsi="Arial" w:cs="Arial"/>
          <w:sz w:val="22"/>
          <w:szCs w:val="22"/>
          <w:lang w:val="es-ES" w:eastAsia="en-US"/>
        </w:rPr>
        <w:t>iii</w:t>
      </w:r>
      <w:proofErr w:type="spellEnd"/>
      <w:r w:rsidRPr="00DE29F5">
        <w:rPr>
          <w:rFonts w:ascii="Arial" w:eastAsia="Calibri" w:hAnsi="Arial" w:cs="Arial"/>
          <w:sz w:val="22"/>
          <w:szCs w:val="22"/>
          <w:lang w:val="es-ES" w:eastAsia="en-US"/>
        </w:rPr>
        <w:t xml:space="preserve">) una garantía bancaria. Allí se indica que el proponente debe presentar una garantía que cumpla con los parámetros, condiciones y requisitos señalados en ese numeral, y no requiere necesariamente que se aporten documentos adicionales, concretamente el recibo de pago de la prima, porque el artículo 7 de la Ley 1150 de 2007 establece que «[…] tratándose de pólizas, las mismas no expirarán por falta de pago de la </w:t>
      </w:r>
      <w:r w:rsidRPr="00DE29F5">
        <w:rPr>
          <w:rFonts w:ascii="Arial" w:eastAsia="Calibri" w:hAnsi="Arial" w:cs="Arial"/>
          <w:sz w:val="22"/>
          <w:szCs w:val="22"/>
          <w:lang w:val="es-ES" w:eastAsia="en-US"/>
        </w:rPr>
        <w:lastRenderedPageBreak/>
        <w:t>prima o por revocatoria unilateral […]»</w:t>
      </w:r>
      <w:r w:rsidRPr="00DE29F5">
        <w:rPr>
          <w:rFonts w:ascii="Arial" w:eastAsia="Calibri" w:hAnsi="Arial" w:cs="Arial"/>
          <w:sz w:val="22"/>
          <w:szCs w:val="22"/>
          <w:vertAlign w:val="superscript"/>
          <w:lang w:val="es-ES" w:eastAsia="en-US"/>
        </w:rPr>
        <w:footnoteReference w:id="21"/>
      </w:r>
      <w:r w:rsidRPr="00DE29F5">
        <w:rPr>
          <w:rFonts w:ascii="Arial" w:eastAsia="Calibri" w:hAnsi="Arial" w:cs="Arial"/>
          <w:sz w:val="22"/>
          <w:szCs w:val="22"/>
          <w:lang w:val="es-ES" w:eastAsia="en-US"/>
        </w:rPr>
        <w:t>. Esta disposición excepciona la terminación automática del contrato de seguro por falta de pago, prevista en el artículo 1068 del Código de Comercio</w:t>
      </w:r>
      <w:r w:rsidRPr="00DE29F5">
        <w:rPr>
          <w:rFonts w:ascii="Arial" w:eastAsia="Calibri" w:hAnsi="Arial" w:cs="Arial"/>
          <w:sz w:val="22"/>
          <w:szCs w:val="22"/>
          <w:vertAlign w:val="superscript"/>
          <w:lang w:val="es-ES" w:eastAsia="en-US"/>
        </w:rPr>
        <w:footnoteReference w:id="22"/>
      </w:r>
      <w:r w:rsidRPr="00DE29F5">
        <w:rPr>
          <w:rFonts w:ascii="Arial" w:eastAsia="Calibri" w:hAnsi="Arial" w:cs="Arial"/>
          <w:sz w:val="22"/>
          <w:szCs w:val="22"/>
          <w:lang w:val="es-ES" w:eastAsia="en-US"/>
        </w:rPr>
        <w:t>.</w:t>
      </w:r>
    </w:p>
    <w:p w14:paraId="04901815" w14:textId="4FDF5880" w:rsidR="00B14D0D" w:rsidRDefault="00DE29F5" w:rsidP="00C26B44">
      <w:pPr>
        <w:spacing w:before="120" w:after="120" w:line="276" w:lineRule="auto"/>
        <w:jc w:val="both"/>
        <w:rPr>
          <w:rFonts w:ascii="Arial" w:eastAsia="Calibri" w:hAnsi="Arial" w:cs="Arial"/>
          <w:sz w:val="22"/>
          <w:szCs w:val="22"/>
          <w:lang w:val="es-ES" w:eastAsia="en-US"/>
        </w:rPr>
      </w:pPr>
      <w:r w:rsidRPr="00DE29F5">
        <w:rPr>
          <w:rFonts w:ascii="Arial" w:eastAsia="Calibri" w:hAnsi="Arial" w:cs="Arial"/>
          <w:sz w:val="22"/>
          <w:szCs w:val="22"/>
          <w:lang w:val="es-ES" w:eastAsia="en-US"/>
        </w:rPr>
        <w:tab/>
      </w:r>
      <w:bookmarkStart w:id="13" w:name="_Hlk47893233"/>
      <w:r w:rsidRPr="00DE29F5">
        <w:rPr>
          <w:rFonts w:ascii="Arial" w:eastAsia="Calibri" w:hAnsi="Arial" w:cs="Arial"/>
          <w:sz w:val="22"/>
          <w:szCs w:val="22"/>
          <w:lang w:val="es-ES" w:eastAsia="en-US"/>
        </w:rPr>
        <w:t>Esta garantía tiene su fundamento en el principio de irrevocabilidad de la oferta, razón por la cual los proponentes que pierdan interés en la adjudicación resarcirán los perjuicios causados por su retiro del proceso de selección. Naturalmente, esta garantía solo la constituyen quienes presenten oferta, motivo por el cual sus efectos no se extienden a personas ajenas a la actividad precontractual; sin perjuicio de que la póliza sea un mecanismo conminatorio, en la medida en que obliga a celebrar el contrato, so pena de hacerla efectiva. De esta manera, la exigencia permite que solo se presenten personas con la capacidad técnica y financiera suficiente para ejecutarlo en caso de adjudicación, desestimulando la presentación de ofertas que no son serias, cuya evaluación entorpece la buena marcha de la Administración, y en especial la celeridad y eficiencia de los procedimientos contractuales</w:t>
      </w:r>
      <w:bookmarkEnd w:id="13"/>
      <w:r w:rsidRPr="00DE29F5">
        <w:rPr>
          <w:rFonts w:ascii="Arial" w:eastAsia="Calibri" w:hAnsi="Arial" w:cs="Arial"/>
          <w:sz w:val="22"/>
          <w:szCs w:val="22"/>
          <w:vertAlign w:val="superscript"/>
          <w:lang w:val="es-ES" w:eastAsia="en-US"/>
        </w:rPr>
        <w:footnoteReference w:id="23"/>
      </w:r>
      <w:r w:rsidRPr="00DE29F5">
        <w:rPr>
          <w:rFonts w:ascii="Arial" w:eastAsia="Calibri" w:hAnsi="Arial" w:cs="Arial"/>
          <w:sz w:val="22"/>
          <w:szCs w:val="22"/>
          <w:lang w:val="es-ES" w:eastAsia="en-US"/>
        </w:rPr>
        <w:t xml:space="preserve"> </w:t>
      </w:r>
      <w:r w:rsidRPr="00DE29F5">
        <w:rPr>
          <w:rFonts w:ascii="Arial" w:eastAsia="Calibri" w:hAnsi="Arial" w:cs="Arial"/>
          <w:sz w:val="22"/>
          <w:szCs w:val="22"/>
          <w:vertAlign w:val="superscript"/>
          <w:lang w:val="es-ES" w:eastAsia="en-US"/>
        </w:rPr>
        <w:t xml:space="preserve">- </w:t>
      </w:r>
      <w:r w:rsidRPr="00DE29F5">
        <w:rPr>
          <w:rFonts w:ascii="Arial" w:eastAsia="Calibri" w:hAnsi="Arial" w:cs="Arial"/>
          <w:sz w:val="22"/>
          <w:szCs w:val="22"/>
          <w:vertAlign w:val="superscript"/>
          <w:lang w:val="es-ES" w:eastAsia="en-US"/>
        </w:rPr>
        <w:footnoteReference w:id="24"/>
      </w:r>
      <w:r w:rsidRPr="00DE29F5">
        <w:rPr>
          <w:rFonts w:ascii="Arial" w:eastAsia="Calibri" w:hAnsi="Arial" w:cs="Arial"/>
          <w:sz w:val="22"/>
          <w:szCs w:val="22"/>
          <w:lang w:val="es-ES" w:eastAsia="en-US"/>
        </w:rPr>
        <w:t xml:space="preserve">. </w:t>
      </w:r>
      <w:bookmarkStart w:id="14" w:name="_Hlk36669819"/>
      <w:bookmarkStart w:id="15" w:name="_Hlk36672441"/>
    </w:p>
    <w:p w14:paraId="32B2CB39" w14:textId="364E366B" w:rsidR="00B14D0D" w:rsidRPr="00B14D0D" w:rsidRDefault="00B14D0D" w:rsidP="00B14D0D">
      <w:pPr>
        <w:spacing w:after="120" w:line="276" w:lineRule="auto"/>
        <w:ind w:firstLine="709"/>
        <w:jc w:val="both"/>
        <w:rPr>
          <w:rFonts w:ascii="Arial" w:eastAsia="Calibri" w:hAnsi="Arial" w:cs="Arial"/>
          <w:sz w:val="22"/>
          <w:szCs w:val="22"/>
          <w:lang w:val="es-ES" w:eastAsia="en-US"/>
        </w:rPr>
      </w:pPr>
      <w:r w:rsidRPr="00B14D0D">
        <w:rPr>
          <w:rFonts w:ascii="Arial" w:eastAsia="Calibri" w:hAnsi="Arial" w:cs="Arial"/>
          <w:sz w:val="22"/>
          <w:szCs w:val="22"/>
          <w:lang w:val="es-ES" w:eastAsia="en-US"/>
        </w:rPr>
        <w:t>Conforme a lo anterior, para que la garantía de seriedad respalde el principio de irrevocabilidad de la oferta, y que esta sirva al célere y eficiente desarrollo de los procesos de contratación, el Decreto 1082 de 2015 reglamenta varios aspectos con los que debe cumplir la garantía de seriedad</w:t>
      </w:r>
      <w:r w:rsidR="00FF03C7">
        <w:rPr>
          <w:rFonts w:ascii="Arial" w:eastAsia="Calibri" w:hAnsi="Arial" w:cs="Arial"/>
          <w:sz w:val="22"/>
          <w:szCs w:val="22"/>
          <w:lang w:val="es-ES" w:eastAsia="en-US"/>
        </w:rPr>
        <w:t>:</w:t>
      </w:r>
      <w:r w:rsidRPr="00B14D0D">
        <w:rPr>
          <w:rFonts w:ascii="Arial" w:eastAsia="Calibri" w:hAnsi="Arial" w:cs="Arial"/>
          <w:sz w:val="22"/>
          <w:szCs w:val="22"/>
          <w:lang w:val="es-ES" w:eastAsia="en-US"/>
        </w:rPr>
        <w:t xml:space="preserve"> </w:t>
      </w:r>
    </w:p>
    <w:bookmarkEnd w:id="14"/>
    <w:bookmarkEnd w:id="15"/>
    <w:p w14:paraId="6FAB5DEA" w14:textId="7DCDCF24" w:rsidR="006D1B68" w:rsidRDefault="00FF03C7" w:rsidP="005C7CAB">
      <w:pPr>
        <w:spacing w:after="120" w:line="276" w:lineRule="auto"/>
        <w:ind w:firstLine="709"/>
        <w:jc w:val="both"/>
        <w:rPr>
          <w:rFonts w:ascii="Arial" w:eastAsia="Calibri" w:hAnsi="Arial" w:cs="Arial"/>
          <w:sz w:val="22"/>
          <w:szCs w:val="22"/>
          <w:lang w:val="es-ES" w:eastAsia="en-US"/>
        </w:rPr>
      </w:pPr>
      <w:r>
        <w:rPr>
          <w:rFonts w:ascii="Arial" w:eastAsia="Calibri" w:hAnsi="Arial" w:cs="Arial"/>
          <w:sz w:val="22"/>
          <w:szCs w:val="22"/>
          <w:lang w:val="es-ES" w:eastAsia="en-US"/>
        </w:rPr>
        <w:t>i)</w:t>
      </w:r>
      <w:r w:rsidR="000C6034">
        <w:rPr>
          <w:rFonts w:ascii="Arial" w:eastAsia="Calibri" w:hAnsi="Arial" w:cs="Arial"/>
          <w:sz w:val="22"/>
          <w:szCs w:val="22"/>
          <w:lang w:val="es-ES" w:eastAsia="en-US"/>
        </w:rPr>
        <w:t xml:space="preserve"> E</w:t>
      </w:r>
      <w:r w:rsidR="00B14D0D" w:rsidRPr="00B14D0D">
        <w:rPr>
          <w:rFonts w:ascii="Arial" w:eastAsia="Calibri" w:hAnsi="Arial" w:cs="Arial"/>
          <w:sz w:val="22"/>
          <w:szCs w:val="22"/>
          <w:lang w:val="es-ES" w:eastAsia="en-US"/>
        </w:rPr>
        <w:t xml:space="preserve">l </w:t>
      </w:r>
      <w:r w:rsidR="008B6726">
        <w:rPr>
          <w:rFonts w:ascii="Arial" w:eastAsia="Calibri" w:hAnsi="Arial" w:cs="Arial"/>
          <w:sz w:val="22"/>
          <w:szCs w:val="22"/>
          <w:lang w:val="es-ES" w:eastAsia="en-US"/>
        </w:rPr>
        <w:t xml:space="preserve">primer inciso del </w:t>
      </w:r>
      <w:r w:rsidR="00B14D0D" w:rsidRPr="00B14D0D">
        <w:rPr>
          <w:rFonts w:ascii="Arial" w:eastAsia="Calibri" w:hAnsi="Arial" w:cs="Arial"/>
          <w:sz w:val="22"/>
          <w:szCs w:val="22"/>
          <w:lang w:val="es-ES" w:eastAsia="en-US"/>
        </w:rPr>
        <w:t xml:space="preserve">artículo </w:t>
      </w:r>
      <w:bookmarkStart w:id="16" w:name="_Hlk47457215"/>
      <w:r w:rsidR="00B14D0D" w:rsidRPr="00B14D0D">
        <w:rPr>
          <w:rFonts w:ascii="Arial" w:eastAsia="Calibri" w:hAnsi="Arial" w:cs="Arial"/>
          <w:sz w:val="22"/>
          <w:szCs w:val="22"/>
          <w:lang w:val="es-ES" w:eastAsia="en-US"/>
        </w:rPr>
        <w:t>2.2.1.2.3.1.9</w:t>
      </w:r>
      <w:bookmarkEnd w:id="16"/>
      <w:r w:rsidR="00B14D0D" w:rsidRPr="00B14D0D">
        <w:rPr>
          <w:rFonts w:ascii="Arial" w:eastAsia="Calibri" w:hAnsi="Arial" w:cs="Arial"/>
          <w:sz w:val="22"/>
          <w:szCs w:val="22"/>
          <w:lang w:val="es-ES" w:eastAsia="en-US"/>
        </w:rPr>
        <w:t xml:space="preserve"> del Decreto 1082 de 2015 define</w:t>
      </w:r>
      <w:r w:rsidR="008B6726">
        <w:rPr>
          <w:rFonts w:ascii="Arial" w:eastAsia="Calibri" w:hAnsi="Arial" w:cs="Arial"/>
          <w:sz w:val="22"/>
          <w:szCs w:val="22"/>
          <w:lang w:val="es-ES" w:eastAsia="en-US"/>
        </w:rPr>
        <w:t xml:space="preserve"> una regla general para</w:t>
      </w:r>
      <w:r w:rsidR="00B14D0D" w:rsidRPr="00B14D0D">
        <w:rPr>
          <w:rFonts w:ascii="Arial" w:eastAsia="Calibri" w:hAnsi="Arial" w:cs="Arial"/>
          <w:sz w:val="22"/>
          <w:szCs w:val="22"/>
          <w:lang w:val="es-ES" w:eastAsia="en-US"/>
        </w:rPr>
        <w:t xml:space="preserve"> la cobertura en términos de monto y tiempo, disponiendo que «La </w:t>
      </w:r>
      <w:r w:rsidR="00B14D0D" w:rsidRPr="00B14D0D">
        <w:rPr>
          <w:rFonts w:ascii="Arial" w:eastAsia="Calibri" w:hAnsi="Arial" w:cs="Arial"/>
          <w:sz w:val="22"/>
          <w:szCs w:val="22"/>
          <w:lang w:val="es-ES" w:eastAsia="en-US"/>
        </w:rPr>
        <w:lastRenderedPageBreak/>
        <w:t xml:space="preserve">garantía de seriedad de la oferta debe estar vigente desde la presentación de la oferta y hasta la aprobación de la garantía de cumplimiento del contrato y su valor debe ser de por lo menos el diez por ciento (10%) del valor de la oferta». </w:t>
      </w:r>
      <w:r w:rsidR="005C7CAB">
        <w:rPr>
          <w:rFonts w:ascii="Arial" w:eastAsia="Calibri" w:hAnsi="Arial" w:cs="Arial"/>
          <w:sz w:val="22"/>
          <w:szCs w:val="22"/>
          <w:lang w:val="es-ES" w:eastAsia="en-US"/>
        </w:rPr>
        <w:t>Conforme a esto, en cuanto al valor</w:t>
      </w:r>
      <w:r w:rsidR="006D1B68">
        <w:rPr>
          <w:rFonts w:ascii="Arial" w:eastAsia="Calibri" w:hAnsi="Arial" w:cs="Arial"/>
          <w:sz w:val="22"/>
          <w:szCs w:val="22"/>
          <w:lang w:val="es-ES" w:eastAsia="en-US"/>
        </w:rPr>
        <w:t xml:space="preserve"> mínimo que debe ser</w:t>
      </w:r>
      <w:r w:rsidR="005C7CAB">
        <w:rPr>
          <w:rFonts w:ascii="Arial" w:eastAsia="Calibri" w:hAnsi="Arial" w:cs="Arial"/>
          <w:sz w:val="22"/>
          <w:szCs w:val="22"/>
          <w:lang w:val="es-ES" w:eastAsia="en-US"/>
        </w:rPr>
        <w:t xml:space="preserve"> amparado por la garantía, la norma establece </w:t>
      </w:r>
      <w:r w:rsidR="00BD442D">
        <w:rPr>
          <w:rFonts w:ascii="Arial" w:eastAsia="Calibri" w:hAnsi="Arial" w:cs="Arial"/>
          <w:sz w:val="22"/>
          <w:szCs w:val="22"/>
          <w:lang w:val="es-ES" w:eastAsia="en-US"/>
        </w:rPr>
        <w:t xml:space="preserve">el equivalente </w:t>
      </w:r>
      <w:r w:rsidR="00B14D0D" w:rsidRPr="006D7F4F">
        <w:rPr>
          <w:rFonts w:ascii="Arial" w:eastAsia="Calibri" w:hAnsi="Arial" w:cs="Arial"/>
          <w:sz w:val="22"/>
          <w:szCs w:val="22"/>
          <w:lang w:val="es-ES" w:eastAsia="en-US"/>
        </w:rPr>
        <w:t xml:space="preserve">al diez por ciento (10%) de la oferta, constituyendo </w:t>
      </w:r>
      <w:r w:rsidR="006D1B68">
        <w:rPr>
          <w:rFonts w:ascii="Arial" w:eastAsia="Calibri" w:hAnsi="Arial" w:cs="Arial"/>
          <w:sz w:val="22"/>
          <w:szCs w:val="22"/>
          <w:lang w:val="es-ES" w:eastAsia="en-US"/>
        </w:rPr>
        <w:t xml:space="preserve">esta </w:t>
      </w:r>
      <w:r w:rsidR="00B14D0D" w:rsidRPr="006D7F4F">
        <w:rPr>
          <w:rFonts w:ascii="Arial" w:eastAsia="Calibri" w:hAnsi="Arial" w:cs="Arial"/>
          <w:sz w:val="22"/>
          <w:szCs w:val="22"/>
          <w:lang w:val="es-ES" w:eastAsia="en-US"/>
        </w:rPr>
        <w:t xml:space="preserve">la suma mínima que la entidad puede establecer para cumplir la exigencia, sin perjuicio de </w:t>
      </w:r>
      <w:r w:rsidR="006D1B68">
        <w:rPr>
          <w:rFonts w:ascii="Arial" w:eastAsia="Calibri" w:hAnsi="Arial" w:cs="Arial"/>
          <w:sz w:val="22"/>
          <w:szCs w:val="22"/>
          <w:lang w:val="es-ES" w:eastAsia="en-US"/>
        </w:rPr>
        <w:t xml:space="preserve">la posibilidad </w:t>
      </w:r>
      <w:r w:rsidR="00B14D0D" w:rsidRPr="006D7F4F">
        <w:rPr>
          <w:rFonts w:ascii="Arial" w:eastAsia="Calibri" w:hAnsi="Arial" w:cs="Arial"/>
          <w:sz w:val="22"/>
          <w:szCs w:val="22"/>
          <w:lang w:val="es-ES" w:eastAsia="en-US"/>
        </w:rPr>
        <w:t xml:space="preserve">que </w:t>
      </w:r>
      <w:r w:rsidR="006D1B68">
        <w:rPr>
          <w:rFonts w:ascii="Arial" w:eastAsia="Calibri" w:hAnsi="Arial" w:cs="Arial"/>
          <w:sz w:val="22"/>
          <w:szCs w:val="22"/>
          <w:lang w:val="es-ES" w:eastAsia="en-US"/>
        </w:rPr>
        <w:t xml:space="preserve">la entidad </w:t>
      </w:r>
      <w:r w:rsidR="00B14D0D" w:rsidRPr="006D7F4F">
        <w:rPr>
          <w:rFonts w:ascii="Arial" w:eastAsia="Calibri" w:hAnsi="Arial" w:cs="Arial"/>
          <w:sz w:val="22"/>
          <w:szCs w:val="22"/>
          <w:lang w:val="es-ES" w:eastAsia="en-US"/>
        </w:rPr>
        <w:t xml:space="preserve">requiera un valor superior. </w:t>
      </w:r>
    </w:p>
    <w:p w14:paraId="69AC52E0" w14:textId="77777777" w:rsidR="00FF03C7" w:rsidRDefault="00FF03C7" w:rsidP="007753B7">
      <w:pPr>
        <w:spacing w:after="120" w:line="276" w:lineRule="auto"/>
        <w:ind w:firstLine="709"/>
        <w:jc w:val="both"/>
        <w:rPr>
          <w:rFonts w:ascii="Arial" w:eastAsia="Calibri" w:hAnsi="Arial" w:cs="Arial"/>
          <w:sz w:val="22"/>
          <w:szCs w:val="22"/>
          <w:lang w:val="es-ES" w:eastAsia="en-US"/>
        </w:rPr>
      </w:pPr>
      <w:proofErr w:type="spellStart"/>
      <w:r>
        <w:rPr>
          <w:rFonts w:ascii="Arial" w:eastAsia="Calibri" w:hAnsi="Arial" w:cs="Arial"/>
          <w:sz w:val="22"/>
          <w:szCs w:val="22"/>
          <w:lang w:val="es-ES" w:eastAsia="en-US"/>
        </w:rPr>
        <w:t>ii</w:t>
      </w:r>
      <w:proofErr w:type="spellEnd"/>
      <w:r>
        <w:rPr>
          <w:rFonts w:ascii="Arial" w:eastAsia="Calibri" w:hAnsi="Arial" w:cs="Arial"/>
          <w:sz w:val="22"/>
          <w:szCs w:val="22"/>
          <w:lang w:val="es-ES" w:eastAsia="en-US"/>
        </w:rPr>
        <w:t xml:space="preserve">) </w:t>
      </w:r>
      <w:r w:rsidR="00E724F6" w:rsidRPr="00100CB6">
        <w:rPr>
          <w:rFonts w:ascii="Arial" w:eastAsia="Calibri" w:hAnsi="Arial" w:cs="Arial"/>
          <w:sz w:val="22"/>
          <w:szCs w:val="22"/>
          <w:lang w:val="es-ES" w:eastAsia="en-US"/>
        </w:rPr>
        <w:t xml:space="preserve">En segundo </w:t>
      </w:r>
      <w:r w:rsidR="008B6726" w:rsidRPr="00100CB6">
        <w:rPr>
          <w:rFonts w:ascii="Arial" w:eastAsia="Calibri" w:hAnsi="Arial" w:cs="Arial"/>
          <w:sz w:val="22"/>
          <w:szCs w:val="22"/>
          <w:lang w:val="es-ES" w:eastAsia="en-US"/>
        </w:rPr>
        <w:t xml:space="preserve">inciso de la norma establece </w:t>
      </w:r>
      <w:r w:rsidR="0020575F" w:rsidRPr="00100CB6">
        <w:rPr>
          <w:rFonts w:ascii="Arial" w:eastAsia="Calibri" w:hAnsi="Arial" w:cs="Arial"/>
          <w:sz w:val="22"/>
          <w:szCs w:val="22"/>
          <w:lang w:val="es-ES" w:eastAsia="en-US"/>
        </w:rPr>
        <w:t>una regla especial para</w:t>
      </w:r>
      <w:r w:rsidR="00D27595" w:rsidRPr="00100CB6">
        <w:rPr>
          <w:rFonts w:ascii="Arial" w:eastAsia="Calibri" w:hAnsi="Arial" w:cs="Arial"/>
          <w:sz w:val="22"/>
          <w:szCs w:val="22"/>
          <w:lang w:val="es-ES" w:eastAsia="en-US"/>
        </w:rPr>
        <w:t xml:space="preserve"> </w:t>
      </w:r>
      <w:proofErr w:type="gramStart"/>
      <w:r w:rsidR="00D27595" w:rsidRPr="00100CB6">
        <w:rPr>
          <w:rFonts w:ascii="Arial" w:eastAsia="Calibri" w:hAnsi="Arial" w:cs="Arial"/>
          <w:sz w:val="22"/>
          <w:szCs w:val="22"/>
          <w:lang w:val="es-ES" w:eastAsia="en-US"/>
        </w:rPr>
        <w:t>las garantía</w:t>
      </w:r>
      <w:proofErr w:type="gramEnd"/>
      <w:r w:rsidR="00D27595" w:rsidRPr="00100CB6">
        <w:rPr>
          <w:rFonts w:ascii="Arial" w:eastAsia="Calibri" w:hAnsi="Arial" w:cs="Arial"/>
          <w:sz w:val="22"/>
          <w:szCs w:val="22"/>
          <w:lang w:val="es-ES" w:eastAsia="en-US"/>
        </w:rPr>
        <w:t xml:space="preserve"> de seriedad para los proponentes que participen en Acuerdos Marco de Precios, estableciendo que debe </w:t>
      </w:r>
      <w:r w:rsidR="00561670" w:rsidRPr="00100CB6">
        <w:rPr>
          <w:rFonts w:ascii="Arial" w:eastAsia="Calibri" w:hAnsi="Arial" w:cs="Arial"/>
          <w:sz w:val="22"/>
          <w:szCs w:val="22"/>
          <w:lang w:val="es-ES" w:eastAsia="en-US"/>
        </w:rPr>
        <w:t xml:space="preserve">constituirse por un valor de mil (1000) SMMLV. </w:t>
      </w:r>
    </w:p>
    <w:p w14:paraId="19198ED6" w14:textId="12EC8F8A" w:rsidR="00E724F6" w:rsidRPr="00100CB6" w:rsidRDefault="00FF03C7" w:rsidP="007753B7">
      <w:pPr>
        <w:spacing w:after="120" w:line="276" w:lineRule="auto"/>
        <w:ind w:firstLine="709"/>
        <w:jc w:val="both"/>
        <w:rPr>
          <w:rFonts w:ascii="Arial" w:eastAsia="Calibri" w:hAnsi="Arial" w:cs="Arial"/>
          <w:sz w:val="22"/>
          <w:szCs w:val="22"/>
          <w:lang w:val="es-ES" w:eastAsia="en-US"/>
        </w:rPr>
      </w:pPr>
      <w:proofErr w:type="spellStart"/>
      <w:r>
        <w:rPr>
          <w:rFonts w:ascii="Arial" w:eastAsia="Calibri" w:hAnsi="Arial" w:cs="Arial"/>
          <w:sz w:val="22"/>
          <w:szCs w:val="22"/>
          <w:lang w:val="es-ES" w:eastAsia="en-US"/>
        </w:rPr>
        <w:t>iii</w:t>
      </w:r>
      <w:proofErr w:type="spellEnd"/>
      <w:r>
        <w:rPr>
          <w:rFonts w:ascii="Arial" w:eastAsia="Calibri" w:hAnsi="Arial" w:cs="Arial"/>
          <w:sz w:val="22"/>
          <w:szCs w:val="22"/>
          <w:lang w:val="es-ES" w:eastAsia="en-US"/>
        </w:rPr>
        <w:t xml:space="preserve">) </w:t>
      </w:r>
      <w:r w:rsidR="007753B7" w:rsidRPr="00100CB6">
        <w:rPr>
          <w:rFonts w:ascii="Arial" w:eastAsia="Calibri" w:hAnsi="Arial" w:cs="Arial"/>
          <w:sz w:val="22"/>
          <w:szCs w:val="22"/>
          <w:lang w:val="es-ES" w:eastAsia="en-US"/>
        </w:rPr>
        <w:t>Por su parte, el tercer inciso establece</w:t>
      </w:r>
      <w:r w:rsidR="0009707E">
        <w:rPr>
          <w:rFonts w:ascii="Arial" w:eastAsia="Calibri" w:hAnsi="Arial" w:cs="Arial"/>
          <w:sz w:val="22"/>
          <w:szCs w:val="22"/>
          <w:lang w:val="es-ES" w:eastAsia="en-US"/>
        </w:rPr>
        <w:t xml:space="preserve"> una regla</w:t>
      </w:r>
      <w:r w:rsidR="007753B7" w:rsidRPr="00100CB6">
        <w:rPr>
          <w:rFonts w:ascii="Arial" w:eastAsia="Calibri" w:hAnsi="Arial" w:cs="Arial"/>
          <w:sz w:val="22"/>
          <w:szCs w:val="22"/>
          <w:lang w:val="es-ES" w:eastAsia="en-US"/>
        </w:rPr>
        <w:t xml:space="preserve"> </w:t>
      </w:r>
      <w:r w:rsidR="005A013B" w:rsidRPr="00100CB6">
        <w:rPr>
          <w:rFonts w:ascii="Arial" w:eastAsia="Calibri" w:hAnsi="Arial" w:cs="Arial"/>
          <w:sz w:val="22"/>
          <w:szCs w:val="22"/>
          <w:lang w:val="es-ES" w:eastAsia="en-US"/>
        </w:rPr>
        <w:t xml:space="preserve">para los procedimientos de </w:t>
      </w:r>
      <w:r w:rsidR="008B6726" w:rsidRPr="00100CB6">
        <w:rPr>
          <w:rFonts w:ascii="Arial" w:eastAsia="Calibri" w:hAnsi="Arial" w:cs="Arial"/>
          <w:sz w:val="22"/>
          <w:szCs w:val="22"/>
          <w:lang w:val="es-ES" w:eastAsia="en-US"/>
        </w:rPr>
        <w:t>subasta inversa y en concurso de méritos</w:t>
      </w:r>
      <w:r w:rsidR="005A013B" w:rsidRPr="00100CB6">
        <w:rPr>
          <w:rFonts w:ascii="Arial" w:eastAsia="Calibri" w:hAnsi="Arial" w:cs="Arial"/>
          <w:sz w:val="22"/>
          <w:szCs w:val="22"/>
          <w:lang w:val="es-ES" w:eastAsia="en-US"/>
        </w:rPr>
        <w:t xml:space="preserve">, al indicar que en estos casos el valor de la garantía de seriedad </w:t>
      </w:r>
      <w:r w:rsidR="008B6726" w:rsidRPr="00100CB6">
        <w:rPr>
          <w:rFonts w:ascii="Arial" w:eastAsia="Calibri" w:hAnsi="Arial" w:cs="Arial"/>
          <w:sz w:val="22"/>
          <w:szCs w:val="22"/>
          <w:lang w:val="es-ES" w:eastAsia="en-US"/>
        </w:rPr>
        <w:t>debe ser equivalente al diez por ciento (10%) del presupuesto oficial estimado</w:t>
      </w:r>
      <w:r w:rsidR="005A013B" w:rsidRPr="00100CB6">
        <w:rPr>
          <w:rFonts w:ascii="Arial" w:eastAsia="Calibri" w:hAnsi="Arial" w:cs="Arial"/>
          <w:sz w:val="22"/>
          <w:szCs w:val="22"/>
          <w:lang w:val="es-ES" w:eastAsia="en-US"/>
        </w:rPr>
        <w:t xml:space="preserve">. </w:t>
      </w:r>
    </w:p>
    <w:p w14:paraId="31C8ABD5" w14:textId="222E1E7F" w:rsidR="00051724" w:rsidRPr="00C26B44" w:rsidRDefault="00FF03C7" w:rsidP="00C26B44">
      <w:pPr>
        <w:spacing w:after="120" w:line="276" w:lineRule="auto"/>
        <w:ind w:firstLine="709"/>
        <w:jc w:val="both"/>
        <w:rPr>
          <w:rFonts w:ascii="Arial" w:hAnsi="Arial" w:cs="Arial"/>
          <w:sz w:val="22"/>
          <w:szCs w:val="22"/>
          <w:lang w:eastAsia="es-CO"/>
        </w:rPr>
      </w:pPr>
      <w:proofErr w:type="spellStart"/>
      <w:r>
        <w:rPr>
          <w:rFonts w:ascii="Arial" w:eastAsia="Calibri" w:hAnsi="Arial" w:cs="Arial"/>
          <w:sz w:val="22"/>
          <w:szCs w:val="22"/>
          <w:lang w:val="es-ES" w:eastAsia="en-US"/>
        </w:rPr>
        <w:t>iv</w:t>
      </w:r>
      <w:proofErr w:type="spellEnd"/>
      <w:r>
        <w:rPr>
          <w:rFonts w:ascii="Arial" w:eastAsia="Calibri" w:hAnsi="Arial" w:cs="Arial"/>
          <w:sz w:val="22"/>
          <w:szCs w:val="22"/>
          <w:lang w:val="es-ES" w:eastAsia="en-US"/>
        </w:rPr>
        <w:t xml:space="preserve">) </w:t>
      </w:r>
      <w:r w:rsidR="00051724" w:rsidRPr="00FF03C7">
        <w:rPr>
          <w:rFonts w:ascii="Arial" w:eastAsia="Calibri" w:hAnsi="Arial" w:cs="Arial"/>
          <w:sz w:val="22"/>
          <w:szCs w:val="22"/>
          <w:lang w:val="es-ES" w:eastAsia="en-US"/>
        </w:rPr>
        <w:t>El cuarto inciso del artículo en mención y sus re</w:t>
      </w:r>
      <w:r w:rsidR="00AE0743" w:rsidRPr="00FF03C7">
        <w:rPr>
          <w:rFonts w:ascii="Arial" w:eastAsia="Calibri" w:hAnsi="Arial" w:cs="Arial"/>
          <w:sz w:val="22"/>
          <w:szCs w:val="22"/>
          <w:lang w:val="es-ES" w:eastAsia="en-US"/>
        </w:rPr>
        <w:t>spectivos numerales, establecen una</w:t>
      </w:r>
      <w:r w:rsidR="00053C29" w:rsidRPr="00FF03C7">
        <w:rPr>
          <w:rFonts w:ascii="Arial" w:eastAsia="Calibri" w:hAnsi="Arial" w:cs="Arial"/>
          <w:sz w:val="22"/>
          <w:szCs w:val="22"/>
          <w:lang w:val="es-ES" w:eastAsia="en-US"/>
        </w:rPr>
        <w:t>s</w:t>
      </w:r>
      <w:r w:rsidR="00AE0743" w:rsidRPr="00FF03C7">
        <w:rPr>
          <w:rFonts w:ascii="Arial" w:eastAsia="Calibri" w:hAnsi="Arial" w:cs="Arial"/>
          <w:sz w:val="22"/>
          <w:szCs w:val="22"/>
          <w:lang w:val="es-ES" w:eastAsia="en-US"/>
        </w:rPr>
        <w:t xml:space="preserve"> </w:t>
      </w:r>
      <w:proofErr w:type="gramStart"/>
      <w:r w:rsidR="00AE0743" w:rsidRPr="00FF03C7">
        <w:rPr>
          <w:rFonts w:ascii="Arial" w:eastAsia="Calibri" w:hAnsi="Arial" w:cs="Arial"/>
          <w:sz w:val="22"/>
          <w:szCs w:val="22"/>
          <w:lang w:val="es-ES" w:eastAsia="en-US"/>
        </w:rPr>
        <w:t>regla aplicables</w:t>
      </w:r>
      <w:proofErr w:type="gramEnd"/>
      <w:r w:rsidR="00AE0743" w:rsidRPr="00FF03C7">
        <w:rPr>
          <w:rFonts w:ascii="Arial" w:eastAsia="Calibri" w:hAnsi="Arial" w:cs="Arial"/>
          <w:sz w:val="22"/>
          <w:szCs w:val="22"/>
          <w:lang w:val="es-ES" w:eastAsia="en-US"/>
        </w:rPr>
        <w:t xml:space="preserve"> a </w:t>
      </w:r>
      <w:r w:rsidR="00053C29" w:rsidRPr="00FF03C7">
        <w:rPr>
          <w:rFonts w:ascii="Arial" w:eastAsia="Calibri" w:hAnsi="Arial" w:cs="Arial"/>
          <w:sz w:val="22"/>
          <w:szCs w:val="22"/>
          <w:lang w:val="es-ES" w:eastAsia="en-US"/>
        </w:rPr>
        <w:t>cuando</w:t>
      </w:r>
      <w:r w:rsidR="00051724" w:rsidRPr="00C26B44">
        <w:rPr>
          <w:rFonts w:ascii="Arial" w:hAnsi="Arial" w:cs="Arial"/>
          <w:sz w:val="22"/>
          <w:szCs w:val="22"/>
          <w:lang w:eastAsia="es-CO"/>
        </w:rPr>
        <w:t xml:space="preserve"> el valor de la oferta o el presupuesto estimado de la contratación sea superior a un millón (1.000.000) de SMMLV</w:t>
      </w:r>
      <w:r w:rsidR="00053C29" w:rsidRPr="00C26B44">
        <w:rPr>
          <w:rFonts w:ascii="Arial" w:hAnsi="Arial" w:cs="Arial"/>
          <w:sz w:val="22"/>
          <w:szCs w:val="22"/>
          <w:lang w:eastAsia="es-CO"/>
        </w:rPr>
        <w:t xml:space="preserve">. </w:t>
      </w:r>
      <w:r w:rsidR="00051724" w:rsidRPr="00C26B44">
        <w:rPr>
          <w:rFonts w:ascii="Arial" w:hAnsi="Arial" w:cs="Arial"/>
          <w:sz w:val="22"/>
          <w:szCs w:val="22"/>
          <w:lang w:eastAsia="es-CO"/>
        </w:rPr>
        <w:t xml:space="preserve"> </w:t>
      </w:r>
      <w:r w:rsidR="00D4355E" w:rsidRPr="00C26B44">
        <w:rPr>
          <w:rFonts w:ascii="Arial" w:hAnsi="Arial" w:cs="Arial"/>
          <w:sz w:val="22"/>
          <w:szCs w:val="22"/>
          <w:lang w:eastAsia="es-CO"/>
        </w:rPr>
        <w:t xml:space="preserve">Estas reglas operan de acuerdo a unos rangos establecidos en </w:t>
      </w:r>
      <w:r w:rsidR="00717052" w:rsidRPr="00C26B44">
        <w:rPr>
          <w:rFonts w:ascii="Arial" w:hAnsi="Arial" w:cs="Arial"/>
          <w:sz w:val="22"/>
          <w:szCs w:val="22"/>
          <w:lang w:eastAsia="es-CO"/>
        </w:rPr>
        <w:t>los respectivos numerales, que indican lo siguiente: i)</w:t>
      </w:r>
      <w:r w:rsidR="00053C29" w:rsidRPr="00C26B44">
        <w:rPr>
          <w:rFonts w:ascii="Arial" w:hAnsi="Arial" w:cs="Arial"/>
          <w:sz w:val="22"/>
          <w:szCs w:val="22"/>
          <w:lang w:eastAsia="es-CO"/>
        </w:rPr>
        <w:t xml:space="preserve"> </w:t>
      </w:r>
      <w:bookmarkStart w:id="17" w:name="2.2.1.2.3.1.9.1"/>
      <w:bookmarkEnd w:id="17"/>
      <w:r w:rsidR="000B285A" w:rsidRPr="00C26B44">
        <w:rPr>
          <w:rFonts w:ascii="Arial" w:hAnsi="Arial" w:cs="Arial"/>
          <w:sz w:val="22"/>
          <w:szCs w:val="22"/>
          <w:lang w:eastAsia="es-CO"/>
        </w:rPr>
        <w:t>s</w:t>
      </w:r>
      <w:r w:rsidR="00051724" w:rsidRPr="00C26B44">
        <w:rPr>
          <w:rFonts w:ascii="Arial" w:hAnsi="Arial" w:cs="Arial"/>
          <w:sz w:val="22"/>
          <w:szCs w:val="22"/>
          <w:lang w:eastAsia="es-CO"/>
        </w:rPr>
        <w:t xml:space="preserve">i el valor de la oferta es superior a un millón (1.000.000) de SMMLV y hasta cinco millones (5.000.000) de SMMLV, </w:t>
      </w:r>
      <w:r w:rsidR="000B285A" w:rsidRPr="00C26B44">
        <w:rPr>
          <w:rFonts w:ascii="Arial" w:hAnsi="Arial" w:cs="Arial"/>
          <w:sz w:val="22"/>
          <w:szCs w:val="22"/>
          <w:lang w:eastAsia="es-CO"/>
        </w:rPr>
        <w:t xml:space="preserve">la </w:t>
      </w:r>
      <w:r w:rsidR="00051724" w:rsidRPr="00C26B44">
        <w:rPr>
          <w:rFonts w:ascii="Arial" w:hAnsi="Arial" w:cs="Arial"/>
          <w:sz w:val="22"/>
          <w:szCs w:val="22"/>
          <w:lang w:eastAsia="es-CO"/>
        </w:rPr>
        <w:t xml:space="preserve">garantía </w:t>
      </w:r>
      <w:r w:rsidR="000B285A" w:rsidRPr="00C26B44">
        <w:rPr>
          <w:rFonts w:ascii="Arial" w:hAnsi="Arial" w:cs="Arial"/>
          <w:sz w:val="22"/>
          <w:szCs w:val="22"/>
          <w:lang w:eastAsia="es-CO"/>
        </w:rPr>
        <w:t>debe cubrir a</w:t>
      </w:r>
      <w:r w:rsidR="00051724" w:rsidRPr="00C26B44">
        <w:rPr>
          <w:rFonts w:ascii="Arial" w:hAnsi="Arial" w:cs="Arial"/>
          <w:sz w:val="22"/>
          <w:szCs w:val="22"/>
          <w:lang w:eastAsia="es-CO"/>
        </w:rPr>
        <w:t>l</w:t>
      </w:r>
      <w:r w:rsidR="000B285A" w:rsidRPr="00C26B44">
        <w:rPr>
          <w:rFonts w:ascii="Arial" w:hAnsi="Arial" w:cs="Arial"/>
          <w:sz w:val="22"/>
          <w:szCs w:val="22"/>
          <w:lang w:eastAsia="es-CO"/>
        </w:rPr>
        <w:t xml:space="preserve"> menos el</w:t>
      </w:r>
      <w:r w:rsidR="00051724" w:rsidRPr="00C26B44">
        <w:rPr>
          <w:rFonts w:ascii="Arial" w:hAnsi="Arial" w:cs="Arial"/>
          <w:sz w:val="22"/>
          <w:szCs w:val="22"/>
          <w:lang w:eastAsia="es-CO"/>
        </w:rPr>
        <w:t xml:space="preserve"> dos punto cinco por ciento (2,5%) del valor de la oferta</w:t>
      </w:r>
      <w:r w:rsidR="00D4355E" w:rsidRPr="00C26B44">
        <w:rPr>
          <w:rFonts w:ascii="Arial" w:hAnsi="Arial" w:cs="Arial"/>
          <w:sz w:val="22"/>
          <w:szCs w:val="22"/>
          <w:lang w:eastAsia="es-CO"/>
        </w:rPr>
        <w:t xml:space="preserve">; </w:t>
      </w:r>
      <w:bookmarkStart w:id="18" w:name="2.2.1.2.3.1.9.2"/>
      <w:bookmarkEnd w:id="18"/>
      <w:proofErr w:type="spellStart"/>
      <w:r w:rsidR="00717052" w:rsidRPr="00C26B44">
        <w:rPr>
          <w:rFonts w:ascii="Arial" w:hAnsi="Arial" w:cs="Arial"/>
          <w:sz w:val="22"/>
          <w:szCs w:val="22"/>
          <w:lang w:eastAsia="es-CO"/>
        </w:rPr>
        <w:t>ii</w:t>
      </w:r>
      <w:proofErr w:type="spellEnd"/>
      <w:r w:rsidR="00717052" w:rsidRPr="00C26B44">
        <w:rPr>
          <w:rFonts w:ascii="Arial" w:hAnsi="Arial" w:cs="Arial"/>
          <w:sz w:val="22"/>
          <w:szCs w:val="22"/>
          <w:lang w:eastAsia="es-CO"/>
        </w:rPr>
        <w:t>)</w:t>
      </w:r>
      <w:r w:rsidR="00D4355E" w:rsidRPr="00C26B44">
        <w:rPr>
          <w:rFonts w:ascii="Arial" w:hAnsi="Arial" w:cs="Arial"/>
          <w:sz w:val="22"/>
          <w:szCs w:val="22"/>
          <w:lang w:eastAsia="es-CO"/>
        </w:rPr>
        <w:t xml:space="preserve"> s</w:t>
      </w:r>
      <w:r w:rsidR="00051724" w:rsidRPr="00C26B44">
        <w:rPr>
          <w:rFonts w:ascii="Arial" w:hAnsi="Arial" w:cs="Arial"/>
          <w:sz w:val="22"/>
          <w:szCs w:val="22"/>
          <w:lang w:eastAsia="es-CO"/>
        </w:rPr>
        <w:t xml:space="preserve">i el valor de la oferta es superior a cinco millones (5.000.000) de SMMLV y hasta diez millones (10.000.000) de SMMLV, </w:t>
      </w:r>
      <w:r w:rsidR="000E17F7" w:rsidRPr="00C26B44">
        <w:rPr>
          <w:rFonts w:ascii="Arial" w:hAnsi="Arial" w:cs="Arial"/>
          <w:sz w:val="22"/>
          <w:szCs w:val="22"/>
          <w:lang w:eastAsia="es-CO"/>
        </w:rPr>
        <w:t xml:space="preserve">la </w:t>
      </w:r>
      <w:r w:rsidR="00051724" w:rsidRPr="00C26B44">
        <w:rPr>
          <w:rFonts w:ascii="Arial" w:hAnsi="Arial" w:cs="Arial"/>
          <w:sz w:val="22"/>
          <w:szCs w:val="22"/>
          <w:lang w:eastAsia="es-CO"/>
        </w:rPr>
        <w:t xml:space="preserve">garantía </w:t>
      </w:r>
      <w:r w:rsidR="000E17F7" w:rsidRPr="00C26B44">
        <w:rPr>
          <w:rFonts w:ascii="Arial" w:hAnsi="Arial" w:cs="Arial"/>
          <w:sz w:val="22"/>
          <w:szCs w:val="22"/>
          <w:lang w:eastAsia="es-CO"/>
        </w:rPr>
        <w:t>debe</w:t>
      </w:r>
      <w:r w:rsidR="00051724" w:rsidRPr="00C26B44">
        <w:rPr>
          <w:rFonts w:ascii="Arial" w:hAnsi="Arial" w:cs="Arial"/>
          <w:sz w:val="22"/>
          <w:szCs w:val="22"/>
          <w:lang w:eastAsia="es-CO"/>
        </w:rPr>
        <w:t xml:space="preserve"> </w:t>
      </w:r>
      <w:r w:rsidR="000E17F7" w:rsidRPr="00C26B44">
        <w:rPr>
          <w:rFonts w:ascii="Arial" w:hAnsi="Arial" w:cs="Arial"/>
          <w:sz w:val="22"/>
          <w:szCs w:val="22"/>
          <w:lang w:eastAsia="es-CO"/>
        </w:rPr>
        <w:t>cubrir</w:t>
      </w:r>
      <w:r w:rsidR="00051724" w:rsidRPr="00C26B44">
        <w:rPr>
          <w:rFonts w:ascii="Arial" w:hAnsi="Arial" w:cs="Arial"/>
          <w:sz w:val="22"/>
          <w:szCs w:val="22"/>
          <w:lang w:eastAsia="es-CO"/>
        </w:rPr>
        <w:t xml:space="preserve"> al menos el uno por ciento (1%) del valor de la oferta</w:t>
      </w:r>
      <w:r w:rsidR="0072340F" w:rsidRPr="00C26B44">
        <w:rPr>
          <w:rFonts w:ascii="Arial" w:hAnsi="Arial" w:cs="Arial"/>
          <w:sz w:val="22"/>
          <w:szCs w:val="22"/>
          <w:lang w:eastAsia="es-CO"/>
        </w:rPr>
        <w:t xml:space="preserve">; y </w:t>
      </w:r>
      <w:proofErr w:type="spellStart"/>
      <w:r w:rsidR="0072340F" w:rsidRPr="00C26B44">
        <w:rPr>
          <w:rFonts w:ascii="Arial" w:hAnsi="Arial" w:cs="Arial"/>
          <w:sz w:val="22"/>
          <w:szCs w:val="22"/>
          <w:lang w:eastAsia="es-CO"/>
        </w:rPr>
        <w:t>iii</w:t>
      </w:r>
      <w:proofErr w:type="spellEnd"/>
      <w:r w:rsidR="0072340F" w:rsidRPr="00C26B44">
        <w:rPr>
          <w:rFonts w:ascii="Arial" w:hAnsi="Arial" w:cs="Arial"/>
          <w:sz w:val="22"/>
          <w:szCs w:val="22"/>
          <w:lang w:eastAsia="es-CO"/>
        </w:rPr>
        <w:t>)</w:t>
      </w:r>
      <w:bookmarkStart w:id="19" w:name="2.2.1.2.3.1.9.3"/>
      <w:bookmarkEnd w:id="19"/>
      <w:r w:rsidR="0072340F" w:rsidRPr="00C26B44">
        <w:rPr>
          <w:rFonts w:ascii="Arial" w:hAnsi="Arial" w:cs="Arial"/>
          <w:sz w:val="22"/>
          <w:szCs w:val="22"/>
          <w:lang w:eastAsia="es-CO"/>
        </w:rPr>
        <w:t xml:space="preserve"> s</w:t>
      </w:r>
      <w:r w:rsidR="00051724" w:rsidRPr="00C26B44">
        <w:rPr>
          <w:rFonts w:ascii="Arial" w:hAnsi="Arial" w:cs="Arial"/>
          <w:sz w:val="22"/>
          <w:szCs w:val="22"/>
          <w:lang w:eastAsia="es-CO"/>
        </w:rPr>
        <w:t xml:space="preserve">i el valor de la oferta es superior a diez millones (10.000.000) de SMMLV, </w:t>
      </w:r>
      <w:r w:rsidR="0072340F" w:rsidRPr="00C26B44">
        <w:rPr>
          <w:rFonts w:ascii="Arial" w:hAnsi="Arial" w:cs="Arial"/>
          <w:sz w:val="22"/>
          <w:szCs w:val="22"/>
          <w:lang w:eastAsia="es-CO"/>
        </w:rPr>
        <w:t xml:space="preserve">es posible aceptar garantías que cubran </w:t>
      </w:r>
      <w:r w:rsidR="00100CB6" w:rsidRPr="00C26B44">
        <w:rPr>
          <w:rFonts w:ascii="Arial" w:hAnsi="Arial" w:cs="Arial"/>
          <w:sz w:val="22"/>
          <w:szCs w:val="22"/>
          <w:lang w:eastAsia="es-CO"/>
        </w:rPr>
        <w:t>un mínimo d</w:t>
      </w:r>
      <w:r w:rsidR="00051724" w:rsidRPr="00C26B44">
        <w:rPr>
          <w:rFonts w:ascii="Arial" w:hAnsi="Arial" w:cs="Arial"/>
          <w:sz w:val="22"/>
          <w:szCs w:val="22"/>
          <w:lang w:eastAsia="es-CO"/>
        </w:rPr>
        <w:t>el cero punto cinco por ciento (0,5%) del valor de la oferta.</w:t>
      </w:r>
    </w:p>
    <w:p w14:paraId="30890EC3" w14:textId="17C1C7FD" w:rsidR="0085104E" w:rsidRDefault="00FF03C7" w:rsidP="005C7CAB">
      <w:pPr>
        <w:spacing w:after="120" w:line="276" w:lineRule="auto"/>
        <w:ind w:firstLine="709"/>
        <w:jc w:val="both"/>
        <w:rPr>
          <w:rFonts w:ascii="Arial" w:eastAsia="Calibri" w:hAnsi="Arial" w:cs="Arial"/>
          <w:sz w:val="22"/>
          <w:szCs w:val="22"/>
          <w:lang w:val="es-ES" w:eastAsia="en-US"/>
        </w:rPr>
      </w:pPr>
      <w:r>
        <w:rPr>
          <w:rFonts w:ascii="Arial" w:eastAsia="Calibri" w:hAnsi="Arial" w:cs="Arial"/>
          <w:sz w:val="22"/>
          <w:szCs w:val="22"/>
          <w:lang w:val="es-ES" w:eastAsia="en-US"/>
        </w:rPr>
        <w:t xml:space="preserve">v) </w:t>
      </w:r>
      <w:r w:rsidR="00100CB6">
        <w:rPr>
          <w:rFonts w:ascii="Arial" w:eastAsia="Calibri" w:hAnsi="Arial" w:cs="Arial"/>
          <w:sz w:val="22"/>
          <w:szCs w:val="22"/>
          <w:lang w:val="es-ES" w:eastAsia="en-US"/>
        </w:rPr>
        <w:t xml:space="preserve">Adicionalmente, </w:t>
      </w:r>
      <w:r w:rsidR="00516807">
        <w:rPr>
          <w:rFonts w:ascii="Arial" w:eastAsia="Calibri" w:hAnsi="Arial" w:cs="Arial"/>
          <w:sz w:val="22"/>
          <w:szCs w:val="22"/>
          <w:lang w:val="es-ES" w:eastAsia="en-US"/>
        </w:rPr>
        <w:t>el parágrafo de la norma, recientemente adicionado por el</w:t>
      </w:r>
      <w:r w:rsidR="00235493">
        <w:rPr>
          <w:rFonts w:ascii="Arial" w:eastAsia="Calibri" w:hAnsi="Arial" w:cs="Arial"/>
          <w:sz w:val="22"/>
          <w:szCs w:val="22"/>
          <w:lang w:val="es-ES" w:eastAsia="en-US"/>
        </w:rPr>
        <w:t xml:space="preserve"> artículo 4 del Decreto 1860 de 2021, faculta a Colombia Compra Eficiente </w:t>
      </w:r>
      <w:r w:rsidR="00FD05C2">
        <w:rPr>
          <w:rFonts w:ascii="Arial" w:eastAsia="Calibri" w:hAnsi="Arial" w:cs="Arial"/>
          <w:sz w:val="22"/>
          <w:szCs w:val="22"/>
          <w:lang w:val="es-ES" w:eastAsia="en-US"/>
        </w:rPr>
        <w:t xml:space="preserve">para definir un valor diferencial </w:t>
      </w:r>
      <w:r w:rsidR="00235493">
        <w:rPr>
          <w:rFonts w:ascii="Arial" w:eastAsia="Calibri" w:hAnsi="Arial" w:cs="Arial"/>
          <w:sz w:val="22"/>
          <w:szCs w:val="22"/>
          <w:lang w:val="es-ES" w:eastAsia="en-US"/>
        </w:rPr>
        <w:t>para</w:t>
      </w:r>
      <w:r w:rsidR="0085104E">
        <w:rPr>
          <w:rFonts w:ascii="Arial" w:eastAsia="Calibri" w:hAnsi="Arial" w:cs="Arial"/>
          <w:sz w:val="22"/>
          <w:szCs w:val="22"/>
          <w:lang w:val="es-ES" w:eastAsia="en-US"/>
        </w:rPr>
        <w:t xml:space="preserve"> la garantía de seriedad de ofertas</w:t>
      </w:r>
      <w:r w:rsidR="00235493">
        <w:rPr>
          <w:rFonts w:ascii="Arial" w:eastAsia="Calibri" w:hAnsi="Arial" w:cs="Arial"/>
          <w:sz w:val="22"/>
          <w:szCs w:val="22"/>
          <w:lang w:val="es-ES" w:eastAsia="en-US"/>
        </w:rPr>
        <w:t xml:space="preserve"> </w:t>
      </w:r>
      <w:r w:rsidR="00585126" w:rsidRPr="00585126">
        <w:rPr>
          <w:rFonts w:ascii="Arial" w:eastAsia="Calibri" w:hAnsi="Arial" w:cs="Arial"/>
          <w:sz w:val="22"/>
          <w:szCs w:val="22"/>
          <w:lang w:val="es-ES" w:eastAsia="en-US"/>
        </w:rPr>
        <w:t xml:space="preserve">presentadas por los emprendimientos y las empresas de mujeres, y las </w:t>
      </w:r>
      <w:proofErr w:type="spellStart"/>
      <w:r w:rsidR="00B731AF">
        <w:rPr>
          <w:rFonts w:ascii="Arial" w:eastAsia="Calibri" w:hAnsi="Arial" w:cs="Arial"/>
          <w:sz w:val="22"/>
          <w:szCs w:val="22"/>
          <w:lang w:val="es-ES" w:eastAsia="en-US"/>
        </w:rPr>
        <w:t>m</w:t>
      </w:r>
      <w:r w:rsidR="00585126" w:rsidRPr="00585126">
        <w:rPr>
          <w:rFonts w:ascii="Arial" w:eastAsia="Calibri" w:hAnsi="Arial" w:cs="Arial"/>
          <w:sz w:val="22"/>
          <w:szCs w:val="22"/>
          <w:lang w:val="es-ES" w:eastAsia="en-US"/>
        </w:rPr>
        <w:t>ipyme</w:t>
      </w:r>
      <w:proofErr w:type="spellEnd"/>
      <w:r w:rsidR="00585126" w:rsidRPr="00585126">
        <w:rPr>
          <w:rFonts w:ascii="Arial" w:eastAsia="Calibri" w:hAnsi="Arial" w:cs="Arial"/>
          <w:sz w:val="22"/>
          <w:szCs w:val="22"/>
          <w:lang w:val="es-ES" w:eastAsia="en-US"/>
        </w:rPr>
        <w:t xml:space="preserve"> en los Acuerdos Marco de Precio. </w:t>
      </w:r>
    </w:p>
    <w:p w14:paraId="28F7B04A" w14:textId="12409B42" w:rsidR="00385913" w:rsidRPr="00767300" w:rsidRDefault="00D819C0" w:rsidP="00750BBB">
      <w:pPr>
        <w:spacing w:after="120" w:line="276" w:lineRule="auto"/>
        <w:ind w:firstLine="709"/>
        <w:jc w:val="both"/>
        <w:rPr>
          <w:rFonts w:ascii="Arial" w:eastAsia="Calibri" w:hAnsi="Arial" w:cs="Arial"/>
          <w:sz w:val="22"/>
          <w:szCs w:val="22"/>
          <w:lang w:val="es-ES" w:eastAsia="en-US"/>
        </w:rPr>
      </w:pPr>
      <w:r w:rsidRPr="00767300">
        <w:rPr>
          <w:rFonts w:ascii="Arial" w:eastAsia="Calibri" w:hAnsi="Arial" w:cs="Arial"/>
          <w:sz w:val="22"/>
          <w:szCs w:val="22"/>
          <w:lang w:val="es-ES" w:eastAsia="en-US"/>
        </w:rPr>
        <w:lastRenderedPageBreak/>
        <w:t>Ahora bien, l</w:t>
      </w:r>
      <w:r w:rsidR="00610641" w:rsidRPr="00767300">
        <w:rPr>
          <w:rFonts w:ascii="Arial" w:eastAsia="Calibri" w:hAnsi="Arial" w:cs="Arial"/>
          <w:sz w:val="22"/>
          <w:szCs w:val="22"/>
          <w:lang w:val="es-ES" w:eastAsia="en-US"/>
        </w:rPr>
        <w:t>os</w:t>
      </w:r>
      <w:r w:rsidRPr="00767300">
        <w:rPr>
          <w:rFonts w:ascii="Arial" w:eastAsia="Calibri" w:hAnsi="Arial" w:cs="Arial"/>
          <w:sz w:val="22"/>
          <w:szCs w:val="22"/>
          <w:lang w:val="es-ES" w:eastAsia="en-US"/>
        </w:rPr>
        <w:t xml:space="preserve"> artículo</w:t>
      </w:r>
      <w:r w:rsidR="00610641" w:rsidRPr="00767300">
        <w:rPr>
          <w:rFonts w:ascii="Arial" w:eastAsia="Calibri" w:hAnsi="Arial" w:cs="Arial"/>
          <w:sz w:val="22"/>
          <w:szCs w:val="22"/>
          <w:lang w:val="es-ES" w:eastAsia="en-US"/>
        </w:rPr>
        <w:t>s</w:t>
      </w:r>
      <w:r w:rsidRPr="00767300">
        <w:rPr>
          <w:rFonts w:ascii="Arial" w:eastAsia="Calibri" w:hAnsi="Arial" w:cs="Arial"/>
          <w:sz w:val="22"/>
          <w:szCs w:val="22"/>
          <w:lang w:val="es-ES" w:eastAsia="en-US"/>
        </w:rPr>
        <w:t xml:space="preserve"> 2.2.1.2.4.2.15</w:t>
      </w:r>
      <w:r w:rsidR="00B24AAA" w:rsidRPr="00767300">
        <w:rPr>
          <w:rStyle w:val="Refdenotaalpie"/>
          <w:rFonts w:ascii="Arial" w:eastAsia="Calibri" w:hAnsi="Arial" w:cs="Arial"/>
          <w:sz w:val="22"/>
          <w:szCs w:val="22"/>
          <w:lang w:val="es-ES" w:eastAsia="en-US"/>
        </w:rPr>
        <w:footnoteReference w:id="25"/>
      </w:r>
      <w:r w:rsidRPr="00767300">
        <w:rPr>
          <w:rFonts w:ascii="Arial" w:eastAsia="Calibri" w:hAnsi="Arial" w:cs="Arial"/>
          <w:sz w:val="22"/>
          <w:szCs w:val="22"/>
          <w:lang w:val="es-ES" w:eastAsia="en-US"/>
        </w:rPr>
        <w:t xml:space="preserve"> </w:t>
      </w:r>
      <w:r w:rsidR="005D31CD" w:rsidRPr="00767300">
        <w:rPr>
          <w:rFonts w:ascii="Arial" w:eastAsia="Calibri" w:hAnsi="Arial" w:cs="Arial"/>
          <w:sz w:val="22"/>
          <w:szCs w:val="22"/>
          <w:lang w:val="es-ES" w:eastAsia="en-US"/>
        </w:rPr>
        <w:t>y 2.2.1.2.4.2.18</w:t>
      </w:r>
      <w:r w:rsidR="005D1A87" w:rsidRPr="00767300">
        <w:rPr>
          <w:rStyle w:val="Refdenotaalpie"/>
          <w:rFonts w:ascii="Arial" w:eastAsia="Calibri" w:hAnsi="Arial" w:cs="Arial"/>
          <w:sz w:val="22"/>
          <w:szCs w:val="22"/>
          <w:lang w:val="es-ES" w:eastAsia="en-US"/>
        </w:rPr>
        <w:footnoteReference w:id="26"/>
      </w:r>
      <w:r w:rsidR="005D31CD" w:rsidRPr="00767300">
        <w:rPr>
          <w:rFonts w:ascii="Arial" w:eastAsia="Calibri" w:hAnsi="Arial" w:cs="Arial"/>
          <w:sz w:val="22"/>
          <w:szCs w:val="22"/>
          <w:lang w:val="es-ES" w:eastAsia="en-US"/>
        </w:rPr>
        <w:t xml:space="preserve"> del Decreto 1082 de 2015, mediante los que se reglamentaron los criterios diferenciales </w:t>
      </w:r>
      <w:r w:rsidR="00BB760E" w:rsidRPr="00767300">
        <w:rPr>
          <w:rFonts w:ascii="Arial" w:eastAsia="Calibri" w:hAnsi="Arial" w:cs="Arial"/>
          <w:sz w:val="22"/>
          <w:szCs w:val="22"/>
          <w:lang w:val="es-ES" w:eastAsia="en-US"/>
        </w:rPr>
        <w:t>que,</w:t>
      </w:r>
      <w:r w:rsidR="00E032FD" w:rsidRPr="00767300">
        <w:rPr>
          <w:rFonts w:ascii="Arial" w:eastAsia="Calibri" w:hAnsi="Arial" w:cs="Arial"/>
          <w:sz w:val="22"/>
          <w:szCs w:val="22"/>
          <w:lang w:val="es-ES" w:eastAsia="en-US"/>
        </w:rPr>
        <w:t xml:space="preserve"> en favor de </w:t>
      </w:r>
      <w:r w:rsidR="005D31CD" w:rsidRPr="00767300">
        <w:rPr>
          <w:rFonts w:ascii="Arial" w:eastAsia="Calibri" w:hAnsi="Arial" w:cs="Arial"/>
          <w:sz w:val="22"/>
          <w:szCs w:val="22"/>
          <w:lang w:val="es-ES" w:eastAsia="en-US"/>
        </w:rPr>
        <w:lastRenderedPageBreak/>
        <w:t>empresas</w:t>
      </w:r>
      <w:r w:rsidR="00E032FD" w:rsidRPr="00767300">
        <w:rPr>
          <w:rFonts w:ascii="Arial" w:eastAsia="Calibri" w:hAnsi="Arial" w:cs="Arial"/>
          <w:sz w:val="22"/>
          <w:szCs w:val="22"/>
          <w:lang w:val="es-ES" w:eastAsia="en-US"/>
        </w:rPr>
        <w:t xml:space="preserve">, </w:t>
      </w:r>
      <w:r w:rsidR="005D31CD" w:rsidRPr="00767300">
        <w:rPr>
          <w:rFonts w:ascii="Arial" w:eastAsia="Calibri" w:hAnsi="Arial" w:cs="Arial"/>
          <w:sz w:val="22"/>
          <w:szCs w:val="22"/>
          <w:lang w:val="es-ES" w:eastAsia="en-US"/>
        </w:rPr>
        <w:t xml:space="preserve">emprendimientos de mujeres </w:t>
      </w:r>
      <w:r w:rsidR="00E032FD" w:rsidRPr="00767300">
        <w:rPr>
          <w:rFonts w:ascii="Arial" w:eastAsia="Calibri" w:hAnsi="Arial" w:cs="Arial"/>
          <w:sz w:val="22"/>
          <w:szCs w:val="22"/>
          <w:lang w:val="es-ES" w:eastAsia="en-US"/>
        </w:rPr>
        <w:t xml:space="preserve">y </w:t>
      </w:r>
      <w:proofErr w:type="spellStart"/>
      <w:r w:rsidR="00F62820" w:rsidRPr="00767300">
        <w:rPr>
          <w:rFonts w:ascii="Arial" w:eastAsia="Calibri" w:hAnsi="Arial" w:cs="Arial"/>
          <w:sz w:val="22"/>
          <w:szCs w:val="22"/>
          <w:lang w:val="es-ES" w:eastAsia="en-US"/>
        </w:rPr>
        <w:t>mipymes</w:t>
      </w:r>
      <w:proofErr w:type="spellEnd"/>
      <w:r w:rsidR="005D31CD" w:rsidRPr="00767300">
        <w:rPr>
          <w:rFonts w:ascii="Arial" w:eastAsia="Calibri" w:hAnsi="Arial" w:cs="Arial"/>
          <w:sz w:val="22"/>
          <w:szCs w:val="22"/>
          <w:lang w:val="es-ES" w:eastAsia="en-US"/>
        </w:rPr>
        <w:t xml:space="preserve"> </w:t>
      </w:r>
      <w:r w:rsidR="0048288C" w:rsidRPr="00767300">
        <w:rPr>
          <w:rFonts w:ascii="Arial" w:eastAsia="Calibri" w:hAnsi="Arial" w:cs="Arial"/>
          <w:sz w:val="22"/>
          <w:szCs w:val="22"/>
          <w:lang w:val="es-ES" w:eastAsia="en-US"/>
        </w:rPr>
        <w:t xml:space="preserve">establecieron los artículos 31 y 32 de la Ley 2069 de 2020, </w:t>
      </w:r>
      <w:r w:rsidR="00610641" w:rsidRPr="00767300">
        <w:rPr>
          <w:rFonts w:ascii="Arial" w:eastAsia="Calibri" w:hAnsi="Arial" w:cs="Arial"/>
          <w:sz w:val="22"/>
          <w:szCs w:val="22"/>
          <w:lang w:val="es-ES" w:eastAsia="en-US"/>
        </w:rPr>
        <w:t>in</w:t>
      </w:r>
      <w:r w:rsidR="00F62820" w:rsidRPr="00767300">
        <w:rPr>
          <w:rFonts w:ascii="Arial" w:eastAsia="Calibri" w:hAnsi="Arial" w:cs="Arial"/>
          <w:sz w:val="22"/>
          <w:szCs w:val="22"/>
          <w:lang w:val="es-ES" w:eastAsia="en-US"/>
        </w:rPr>
        <w:t>cluyeron al valor de la garantía de seriedad de la oferta</w:t>
      </w:r>
      <w:r w:rsidR="002E6CAE" w:rsidRPr="00767300">
        <w:rPr>
          <w:rFonts w:ascii="Arial" w:eastAsia="Calibri" w:hAnsi="Arial" w:cs="Arial"/>
          <w:sz w:val="22"/>
          <w:szCs w:val="22"/>
          <w:lang w:val="es-ES" w:eastAsia="en-US"/>
        </w:rPr>
        <w:t xml:space="preserve"> como uno de los requisitos habilitantes</w:t>
      </w:r>
      <w:r w:rsidR="00BB760E" w:rsidRPr="00767300">
        <w:rPr>
          <w:rFonts w:ascii="Arial" w:eastAsia="Calibri" w:hAnsi="Arial" w:cs="Arial"/>
          <w:sz w:val="22"/>
          <w:szCs w:val="22"/>
          <w:lang w:val="es-ES" w:eastAsia="en-US"/>
        </w:rPr>
        <w:t xml:space="preserve"> diferenciales</w:t>
      </w:r>
      <w:r w:rsidR="002E6CAE" w:rsidRPr="00767300">
        <w:rPr>
          <w:rFonts w:ascii="Arial" w:eastAsia="Calibri" w:hAnsi="Arial" w:cs="Arial"/>
          <w:sz w:val="22"/>
          <w:szCs w:val="22"/>
          <w:lang w:val="es-ES" w:eastAsia="en-US"/>
        </w:rPr>
        <w:t xml:space="preserve"> aplicables en favor de este tipo d</w:t>
      </w:r>
      <w:r w:rsidR="00BB760E" w:rsidRPr="00767300">
        <w:rPr>
          <w:rFonts w:ascii="Arial" w:eastAsia="Calibri" w:hAnsi="Arial" w:cs="Arial"/>
          <w:sz w:val="22"/>
          <w:szCs w:val="22"/>
          <w:lang w:val="es-ES" w:eastAsia="en-US"/>
        </w:rPr>
        <w:t>e proponentes</w:t>
      </w:r>
      <w:r w:rsidR="002E6CAE" w:rsidRPr="00767300">
        <w:rPr>
          <w:rFonts w:ascii="Arial" w:eastAsia="Calibri" w:hAnsi="Arial" w:cs="Arial"/>
          <w:sz w:val="22"/>
          <w:szCs w:val="22"/>
          <w:lang w:val="es-ES" w:eastAsia="en-US"/>
        </w:rPr>
        <w:t>.</w:t>
      </w:r>
      <w:r w:rsidR="00BB760E" w:rsidRPr="00767300">
        <w:rPr>
          <w:rFonts w:ascii="Arial" w:eastAsia="Calibri" w:hAnsi="Arial" w:cs="Arial"/>
          <w:sz w:val="22"/>
          <w:szCs w:val="22"/>
          <w:lang w:val="es-ES" w:eastAsia="en-US"/>
        </w:rPr>
        <w:t xml:space="preserve"> </w:t>
      </w:r>
      <w:r w:rsidR="00FF03C7" w:rsidRPr="00767300">
        <w:rPr>
          <w:rFonts w:ascii="Arial" w:eastAsia="Calibri" w:hAnsi="Arial" w:cs="Arial"/>
          <w:sz w:val="22"/>
          <w:szCs w:val="22"/>
          <w:lang w:val="es-ES" w:eastAsia="en-US"/>
        </w:rPr>
        <w:t>E</w:t>
      </w:r>
      <w:r w:rsidR="00796EB1" w:rsidRPr="00767300">
        <w:rPr>
          <w:rFonts w:ascii="Arial" w:eastAsia="Calibri" w:hAnsi="Arial" w:cs="Arial"/>
          <w:sz w:val="22"/>
          <w:szCs w:val="22"/>
          <w:lang w:val="es-ES" w:eastAsia="en-US"/>
        </w:rPr>
        <w:t>l propósito de est</w:t>
      </w:r>
      <w:r w:rsidR="0009707E" w:rsidRPr="00767300">
        <w:rPr>
          <w:rFonts w:ascii="Arial" w:eastAsia="Calibri" w:hAnsi="Arial" w:cs="Arial"/>
          <w:sz w:val="22"/>
          <w:szCs w:val="22"/>
          <w:lang w:val="es-ES" w:eastAsia="en-US"/>
        </w:rPr>
        <w:t xml:space="preserve">e y los demás requisitos habilitantes establecidos en </w:t>
      </w:r>
      <w:proofErr w:type="gramStart"/>
      <w:r w:rsidR="0009707E" w:rsidRPr="00767300">
        <w:rPr>
          <w:rFonts w:ascii="Arial" w:eastAsia="Calibri" w:hAnsi="Arial" w:cs="Arial"/>
          <w:sz w:val="22"/>
          <w:szCs w:val="22"/>
          <w:lang w:val="es-ES" w:eastAsia="en-US"/>
        </w:rPr>
        <w:t>estos artículo</w:t>
      </w:r>
      <w:proofErr w:type="gramEnd"/>
      <w:r w:rsidR="0009707E" w:rsidRPr="00767300">
        <w:rPr>
          <w:rFonts w:ascii="Arial" w:eastAsia="Calibri" w:hAnsi="Arial" w:cs="Arial"/>
          <w:sz w:val="22"/>
          <w:szCs w:val="22"/>
          <w:lang w:val="es-ES" w:eastAsia="en-US"/>
        </w:rPr>
        <w:t xml:space="preserve"> </w:t>
      </w:r>
      <w:r w:rsidR="00796EB1" w:rsidRPr="00767300">
        <w:rPr>
          <w:rFonts w:ascii="Arial" w:eastAsia="Calibri" w:hAnsi="Arial" w:cs="Arial"/>
          <w:sz w:val="22"/>
          <w:szCs w:val="22"/>
          <w:lang w:val="es-ES" w:eastAsia="en-US"/>
        </w:rPr>
        <w:t xml:space="preserve">es </w:t>
      </w:r>
      <w:r w:rsidR="0009707E" w:rsidRPr="00767300">
        <w:rPr>
          <w:rFonts w:ascii="Arial" w:eastAsia="Calibri" w:hAnsi="Arial" w:cs="Arial"/>
          <w:sz w:val="22"/>
          <w:szCs w:val="22"/>
          <w:lang w:val="es-ES" w:eastAsia="en-US"/>
        </w:rPr>
        <w:t>que,</w:t>
      </w:r>
      <w:r w:rsidR="00796EB1" w:rsidRPr="00767300">
        <w:rPr>
          <w:rFonts w:ascii="Arial" w:eastAsia="Calibri" w:hAnsi="Arial" w:cs="Arial"/>
          <w:sz w:val="22"/>
          <w:szCs w:val="22"/>
          <w:lang w:val="es-ES" w:eastAsia="en-US"/>
        </w:rPr>
        <w:t xml:space="preserve"> a través de </w:t>
      </w:r>
      <w:r w:rsidR="0009707E" w:rsidRPr="00767300">
        <w:rPr>
          <w:rFonts w:ascii="Arial" w:eastAsia="Calibri" w:hAnsi="Arial" w:cs="Arial"/>
          <w:sz w:val="22"/>
          <w:szCs w:val="22"/>
          <w:lang w:val="es-ES" w:eastAsia="en-US"/>
        </w:rPr>
        <w:t>requerimientos</w:t>
      </w:r>
      <w:r w:rsidR="00796EB1" w:rsidRPr="00767300">
        <w:rPr>
          <w:rFonts w:ascii="Arial" w:eastAsia="Calibri" w:hAnsi="Arial" w:cs="Arial"/>
          <w:sz w:val="22"/>
          <w:szCs w:val="22"/>
          <w:lang w:val="es-ES" w:eastAsia="en-US"/>
        </w:rPr>
        <w:t xml:space="preserve"> menos exigente</w:t>
      </w:r>
      <w:r w:rsidR="0009707E" w:rsidRPr="00767300">
        <w:rPr>
          <w:rFonts w:ascii="Arial" w:eastAsia="Calibri" w:hAnsi="Arial" w:cs="Arial"/>
          <w:sz w:val="22"/>
          <w:szCs w:val="22"/>
          <w:lang w:val="es-ES" w:eastAsia="en-US"/>
        </w:rPr>
        <w:t xml:space="preserve">s, </w:t>
      </w:r>
      <w:r w:rsidR="00796EB1" w:rsidRPr="00767300">
        <w:rPr>
          <w:rFonts w:ascii="Arial" w:eastAsia="Calibri" w:hAnsi="Arial" w:cs="Arial"/>
          <w:sz w:val="22"/>
          <w:szCs w:val="22"/>
          <w:lang w:val="es-ES" w:eastAsia="en-US"/>
        </w:rPr>
        <w:t xml:space="preserve">en comparación con los exigibles al resto de participantes del </w:t>
      </w:r>
      <w:r w:rsidR="00556C87" w:rsidRPr="00767300">
        <w:rPr>
          <w:rFonts w:ascii="Arial" w:eastAsia="Calibri" w:hAnsi="Arial" w:cs="Arial"/>
          <w:sz w:val="22"/>
          <w:szCs w:val="22"/>
          <w:lang w:val="es-ES" w:eastAsia="en-US"/>
        </w:rPr>
        <w:t xml:space="preserve">mercado, se pueda incentivar la participación </w:t>
      </w:r>
      <w:r w:rsidR="0009707E" w:rsidRPr="00767300">
        <w:rPr>
          <w:rFonts w:ascii="Arial" w:eastAsia="Calibri" w:hAnsi="Arial" w:cs="Arial"/>
          <w:sz w:val="22"/>
          <w:szCs w:val="22"/>
          <w:lang w:val="es-ES" w:eastAsia="en-US"/>
        </w:rPr>
        <w:t xml:space="preserve">de </w:t>
      </w:r>
      <w:r w:rsidR="004A7225" w:rsidRPr="00767300">
        <w:rPr>
          <w:rFonts w:ascii="Arial" w:eastAsia="Calibri" w:hAnsi="Arial" w:cs="Arial"/>
          <w:sz w:val="22"/>
          <w:szCs w:val="22"/>
          <w:lang w:val="es-ES" w:eastAsia="en-US"/>
        </w:rPr>
        <w:t xml:space="preserve">empresas, emprendimientos de mujeres y </w:t>
      </w:r>
      <w:proofErr w:type="spellStart"/>
      <w:r w:rsidR="004A7225" w:rsidRPr="00767300">
        <w:rPr>
          <w:rFonts w:ascii="Arial" w:eastAsia="Calibri" w:hAnsi="Arial" w:cs="Arial"/>
          <w:sz w:val="22"/>
          <w:szCs w:val="22"/>
          <w:lang w:val="es-ES" w:eastAsia="en-US"/>
        </w:rPr>
        <w:t>mipymes</w:t>
      </w:r>
      <w:proofErr w:type="spellEnd"/>
      <w:r w:rsidR="004A7225" w:rsidRPr="00767300">
        <w:rPr>
          <w:rFonts w:ascii="Arial" w:eastAsia="Calibri" w:hAnsi="Arial" w:cs="Arial"/>
          <w:sz w:val="22"/>
          <w:szCs w:val="22"/>
          <w:lang w:val="es-ES" w:eastAsia="en-US"/>
        </w:rPr>
        <w:t xml:space="preserve"> en los procesos de contratación pública. </w:t>
      </w:r>
      <w:r w:rsidR="00515E21" w:rsidRPr="00767300">
        <w:rPr>
          <w:rFonts w:ascii="Arial" w:eastAsia="Calibri" w:hAnsi="Arial" w:cs="Arial"/>
          <w:sz w:val="22"/>
          <w:szCs w:val="22"/>
          <w:lang w:val="es-ES" w:eastAsia="en-US"/>
        </w:rPr>
        <w:t>En ese sentido, cuando los</w:t>
      </w:r>
      <w:r w:rsidR="0021767B" w:rsidRPr="00767300">
        <w:rPr>
          <w:rFonts w:ascii="Arial" w:eastAsia="Calibri" w:hAnsi="Arial" w:cs="Arial"/>
          <w:sz w:val="22"/>
          <w:szCs w:val="22"/>
          <w:lang w:val="es-ES" w:eastAsia="en-US"/>
        </w:rPr>
        <w:t xml:space="preserve"> artículos 2.2.1.2.4.2.15 y 2.2.1.2.4.2.18 </w:t>
      </w:r>
      <w:r w:rsidR="00CF0A7C" w:rsidRPr="00767300">
        <w:rPr>
          <w:rFonts w:ascii="Arial" w:eastAsia="Calibri" w:hAnsi="Arial" w:cs="Arial"/>
          <w:sz w:val="22"/>
          <w:szCs w:val="22"/>
          <w:lang w:val="es-ES" w:eastAsia="en-US"/>
        </w:rPr>
        <w:t>hacen referencia al valor de la garantía de seriedad de la oferta como</w:t>
      </w:r>
      <w:r w:rsidR="00111007" w:rsidRPr="00767300">
        <w:rPr>
          <w:rFonts w:ascii="Arial" w:eastAsia="Calibri" w:hAnsi="Arial" w:cs="Arial"/>
          <w:sz w:val="22"/>
          <w:szCs w:val="22"/>
          <w:lang w:val="es-ES" w:eastAsia="en-US"/>
        </w:rPr>
        <w:t xml:space="preserve"> </w:t>
      </w:r>
      <w:r w:rsidR="00111007" w:rsidRPr="00767300">
        <w:rPr>
          <w:rFonts w:ascii="Arial" w:eastAsia="Calibri" w:hAnsi="Arial" w:cs="Arial"/>
          <w:i/>
          <w:iCs/>
          <w:sz w:val="22"/>
          <w:szCs w:val="22"/>
          <w:lang w:val="es-ES" w:eastAsia="en-US"/>
        </w:rPr>
        <w:t>requisito habilitante diferencial</w:t>
      </w:r>
      <w:r w:rsidR="00111007" w:rsidRPr="00767300">
        <w:rPr>
          <w:rFonts w:ascii="Arial" w:eastAsia="Calibri" w:hAnsi="Arial" w:cs="Arial"/>
          <w:sz w:val="22"/>
          <w:szCs w:val="22"/>
          <w:lang w:val="es-ES" w:eastAsia="en-US"/>
        </w:rPr>
        <w:t xml:space="preserve"> está</w:t>
      </w:r>
      <w:r w:rsidR="00D25EA4" w:rsidRPr="00767300">
        <w:rPr>
          <w:rFonts w:ascii="Arial" w:eastAsia="Calibri" w:hAnsi="Arial" w:cs="Arial"/>
          <w:sz w:val="22"/>
          <w:szCs w:val="22"/>
          <w:lang w:val="es-ES" w:eastAsia="en-US"/>
        </w:rPr>
        <w:t>n</w:t>
      </w:r>
      <w:r w:rsidR="00111007" w:rsidRPr="00767300">
        <w:rPr>
          <w:rFonts w:ascii="Arial" w:eastAsia="Calibri" w:hAnsi="Arial" w:cs="Arial"/>
          <w:sz w:val="22"/>
          <w:szCs w:val="22"/>
          <w:lang w:val="es-ES" w:eastAsia="en-US"/>
        </w:rPr>
        <w:t xml:space="preserve"> abriendo la puerta a la posibilidad de que </w:t>
      </w:r>
      <w:r w:rsidR="00053AF4" w:rsidRPr="00767300">
        <w:rPr>
          <w:rFonts w:ascii="Arial" w:eastAsia="Calibri" w:hAnsi="Arial" w:cs="Arial"/>
          <w:sz w:val="22"/>
          <w:szCs w:val="22"/>
          <w:lang w:val="es-ES" w:eastAsia="en-US"/>
        </w:rPr>
        <w:t>se permita</w:t>
      </w:r>
      <w:r w:rsidR="00224ED1" w:rsidRPr="00767300">
        <w:rPr>
          <w:rFonts w:ascii="Arial" w:eastAsia="Calibri" w:hAnsi="Arial" w:cs="Arial"/>
          <w:sz w:val="22"/>
          <w:szCs w:val="22"/>
          <w:lang w:val="es-ES" w:eastAsia="en-US"/>
        </w:rPr>
        <w:t xml:space="preserve"> a los mencionados sujetos</w:t>
      </w:r>
      <w:r w:rsidR="00053AF4" w:rsidRPr="00767300">
        <w:rPr>
          <w:rFonts w:ascii="Arial" w:eastAsia="Calibri" w:hAnsi="Arial" w:cs="Arial"/>
          <w:sz w:val="22"/>
          <w:szCs w:val="22"/>
          <w:lang w:val="es-ES" w:eastAsia="en-US"/>
        </w:rPr>
        <w:t xml:space="preserve"> cumplir </w:t>
      </w:r>
      <w:r w:rsidR="00224ED1" w:rsidRPr="00767300">
        <w:rPr>
          <w:rFonts w:ascii="Arial" w:eastAsia="Calibri" w:hAnsi="Arial" w:cs="Arial"/>
          <w:sz w:val="22"/>
          <w:szCs w:val="22"/>
          <w:lang w:val="es-ES" w:eastAsia="en-US"/>
        </w:rPr>
        <w:t>el requisito de la garantía de seriedad</w:t>
      </w:r>
      <w:r w:rsidR="002E2581" w:rsidRPr="00767300">
        <w:rPr>
          <w:rFonts w:ascii="Arial" w:eastAsia="Calibri" w:hAnsi="Arial" w:cs="Arial"/>
          <w:sz w:val="22"/>
          <w:szCs w:val="22"/>
          <w:lang w:val="es-ES" w:eastAsia="en-US"/>
        </w:rPr>
        <w:t xml:space="preserve"> asegurando</w:t>
      </w:r>
      <w:r w:rsidR="00053AF4" w:rsidRPr="00767300">
        <w:rPr>
          <w:rFonts w:ascii="Arial" w:eastAsia="Calibri" w:hAnsi="Arial" w:cs="Arial"/>
          <w:sz w:val="22"/>
          <w:szCs w:val="22"/>
          <w:lang w:val="es-ES" w:eastAsia="en-US"/>
        </w:rPr>
        <w:t xml:space="preserve"> valores</w:t>
      </w:r>
      <w:r w:rsidR="002E2581" w:rsidRPr="00767300">
        <w:rPr>
          <w:rFonts w:ascii="Arial" w:eastAsia="Calibri" w:hAnsi="Arial" w:cs="Arial"/>
          <w:sz w:val="22"/>
          <w:szCs w:val="22"/>
          <w:lang w:val="es-ES" w:eastAsia="en-US"/>
        </w:rPr>
        <w:t xml:space="preserve"> menores a los que normalmente se les exigiría a proponentes que no ostenten ninguna de las referidas condiciones. </w:t>
      </w:r>
      <w:r w:rsidR="00053AF4" w:rsidRPr="00767300">
        <w:rPr>
          <w:rFonts w:ascii="Arial" w:eastAsia="Calibri" w:hAnsi="Arial" w:cs="Arial"/>
          <w:sz w:val="22"/>
          <w:szCs w:val="22"/>
          <w:lang w:val="es-ES" w:eastAsia="en-US"/>
        </w:rPr>
        <w:t xml:space="preserve"> </w:t>
      </w:r>
      <w:r w:rsidR="002E6CAE" w:rsidRPr="00767300">
        <w:rPr>
          <w:rFonts w:ascii="Arial" w:eastAsia="Calibri" w:hAnsi="Arial" w:cs="Arial"/>
          <w:sz w:val="22"/>
          <w:szCs w:val="22"/>
          <w:lang w:val="es-ES" w:eastAsia="en-US"/>
        </w:rPr>
        <w:t xml:space="preserve"> </w:t>
      </w:r>
    </w:p>
    <w:p w14:paraId="765FD51E" w14:textId="1C97C2B2" w:rsidR="00166EB1" w:rsidRPr="00767300" w:rsidRDefault="008E7127" w:rsidP="00D84FA5">
      <w:pPr>
        <w:spacing w:after="120" w:line="276" w:lineRule="auto"/>
        <w:ind w:firstLine="709"/>
        <w:jc w:val="both"/>
        <w:rPr>
          <w:rFonts w:ascii="Arial" w:eastAsia="Calibri" w:hAnsi="Arial" w:cs="Arial"/>
          <w:sz w:val="22"/>
          <w:szCs w:val="22"/>
          <w:lang w:val="es-ES" w:eastAsia="en-US"/>
        </w:rPr>
      </w:pPr>
      <w:r w:rsidRPr="00767300">
        <w:rPr>
          <w:rFonts w:ascii="Arial" w:eastAsia="Calibri" w:hAnsi="Arial" w:cs="Arial"/>
          <w:sz w:val="22"/>
          <w:szCs w:val="22"/>
          <w:lang w:val="es-ES" w:eastAsia="en-US"/>
        </w:rPr>
        <w:t>Conforme a esto</w:t>
      </w:r>
      <w:r w:rsidR="006D7F4F" w:rsidRPr="00767300">
        <w:rPr>
          <w:rFonts w:ascii="Arial" w:eastAsia="Calibri" w:hAnsi="Arial" w:cs="Arial"/>
          <w:sz w:val="22"/>
          <w:szCs w:val="22"/>
          <w:lang w:val="es-ES" w:eastAsia="en-US"/>
        </w:rPr>
        <w:t xml:space="preserve">, </w:t>
      </w:r>
      <w:r w:rsidRPr="00767300">
        <w:rPr>
          <w:rFonts w:ascii="Arial" w:eastAsia="Calibri" w:hAnsi="Arial" w:cs="Arial"/>
          <w:sz w:val="22"/>
          <w:szCs w:val="22"/>
          <w:lang w:val="es-ES" w:eastAsia="en-US"/>
        </w:rPr>
        <w:t>si bien</w:t>
      </w:r>
      <w:r w:rsidR="000E1925" w:rsidRPr="00767300">
        <w:rPr>
          <w:rFonts w:ascii="Arial" w:eastAsia="Calibri" w:hAnsi="Arial" w:cs="Arial"/>
          <w:sz w:val="22"/>
          <w:szCs w:val="22"/>
          <w:lang w:val="es-ES" w:eastAsia="en-US"/>
        </w:rPr>
        <w:t xml:space="preserve"> el </w:t>
      </w:r>
      <w:r w:rsidR="006D7F4F" w:rsidRPr="00767300">
        <w:rPr>
          <w:rFonts w:ascii="Arial" w:eastAsia="Calibri" w:hAnsi="Arial" w:cs="Arial"/>
          <w:sz w:val="22"/>
          <w:szCs w:val="22"/>
          <w:lang w:val="es-ES" w:eastAsia="en-US"/>
        </w:rPr>
        <w:t xml:space="preserve">artículo 2.2.1.2.3.1.9 del Decreto 1082 de 2015 establece los </w:t>
      </w:r>
      <w:r w:rsidR="003B1F7E" w:rsidRPr="00767300">
        <w:rPr>
          <w:rFonts w:ascii="Arial" w:eastAsia="Calibri" w:hAnsi="Arial" w:cs="Arial"/>
          <w:sz w:val="22"/>
          <w:szCs w:val="22"/>
          <w:lang w:val="es-ES" w:eastAsia="en-US"/>
        </w:rPr>
        <w:t>parámetros</w:t>
      </w:r>
      <w:r w:rsidR="006D7F4F" w:rsidRPr="00767300">
        <w:rPr>
          <w:rFonts w:ascii="Arial" w:eastAsia="Calibri" w:hAnsi="Arial" w:cs="Arial"/>
          <w:sz w:val="22"/>
          <w:szCs w:val="22"/>
          <w:lang w:val="es-ES" w:eastAsia="en-US"/>
        </w:rPr>
        <w:t xml:space="preserve"> mínimos</w:t>
      </w:r>
      <w:r w:rsidR="00735874" w:rsidRPr="00767300">
        <w:rPr>
          <w:rFonts w:ascii="Arial" w:eastAsia="Calibri" w:hAnsi="Arial" w:cs="Arial"/>
          <w:sz w:val="22"/>
          <w:szCs w:val="22"/>
          <w:lang w:val="es-ES" w:eastAsia="en-US"/>
        </w:rPr>
        <w:t xml:space="preserve"> posibles</w:t>
      </w:r>
      <w:r w:rsidR="006D7F4F" w:rsidRPr="00767300">
        <w:rPr>
          <w:rFonts w:ascii="Arial" w:eastAsia="Calibri" w:hAnsi="Arial" w:cs="Arial"/>
          <w:sz w:val="22"/>
          <w:szCs w:val="22"/>
          <w:lang w:val="es-ES" w:eastAsia="en-US"/>
        </w:rPr>
        <w:t xml:space="preserve"> respecto del valor y la duración de la </w:t>
      </w:r>
      <w:r w:rsidR="003B1F7E" w:rsidRPr="00767300">
        <w:rPr>
          <w:rFonts w:ascii="Arial" w:eastAsia="Calibri" w:hAnsi="Arial" w:cs="Arial"/>
          <w:sz w:val="22"/>
          <w:szCs w:val="22"/>
          <w:lang w:val="es-ES" w:eastAsia="en-US"/>
        </w:rPr>
        <w:t>garantía de seriedad de la oferta</w:t>
      </w:r>
      <w:r w:rsidR="000E1925" w:rsidRPr="00767300">
        <w:rPr>
          <w:rFonts w:ascii="Arial" w:eastAsia="Calibri" w:hAnsi="Arial" w:cs="Arial"/>
          <w:sz w:val="22"/>
          <w:szCs w:val="22"/>
          <w:lang w:val="es-ES" w:eastAsia="en-US"/>
        </w:rPr>
        <w:t xml:space="preserve"> exigibles a oferentes no cualificados, es decir, que están en igualdad de condiciones en el mercado para competir en los procesos de selección y por en</w:t>
      </w:r>
      <w:r w:rsidR="0094647D" w:rsidRPr="00767300">
        <w:rPr>
          <w:rFonts w:ascii="Arial" w:eastAsia="Calibri" w:hAnsi="Arial" w:cs="Arial"/>
          <w:sz w:val="22"/>
          <w:szCs w:val="22"/>
          <w:lang w:val="es-ES" w:eastAsia="en-US"/>
        </w:rPr>
        <w:t>d</w:t>
      </w:r>
      <w:r w:rsidR="000E1925" w:rsidRPr="00767300">
        <w:rPr>
          <w:rFonts w:ascii="Arial" w:eastAsia="Calibri" w:hAnsi="Arial" w:cs="Arial"/>
          <w:sz w:val="22"/>
          <w:szCs w:val="22"/>
          <w:lang w:val="es-ES" w:eastAsia="en-US"/>
        </w:rPr>
        <w:t>e no son beneficiarios de los incentivos previstos en los artículos 31 y 32 de la Ley 2069 de 2020 y su reglamentación</w:t>
      </w:r>
      <w:r w:rsidR="0094647D" w:rsidRPr="00767300">
        <w:rPr>
          <w:rFonts w:ascii="Arial" w:eastAsia="Calibri" w:hAnsi="Arial" w:cs="Arial"/>
          <w:sz w:val="22"/>
          <w:szCs w:val="22"/>
          <w:lang w:val="es-ES" w:eastAsia="en-US"/>
        </w:rPr>
        <w:t xml:space="preserve">. De la misma manera, se estima </w:t>
      </w:r>
      <w:r w:rsidR="003B1F7E" w:rsidRPr="00767300">
        <w:rPr>
          <w:rFonts w:ascii="Arial" w:eastAsia="Calibri" w:hAnsi="Arial" w:cs="Arial"/>
          <w:sz w:val="22"/>
          <w:szCs w:val="22"/>
          <w:lang w:val="es-ES" w:eastAsia="en-US"/>
        </w:rPr>
        <w:t>que el valor exigido</w:t>
      </w:r>
      <w:r w:rsidR="008B6AF6" w:rsidRPr="00767300">
        <w:rPr>
          <w:rFonts w:ascii="Arial" w:eastAsia="Calibri" w:hAnsi="Arial" w:cs="Arial"/>
          <w:sz w:val="22"/>
          <w:szCs w:val="22"/>
          <w:lang w:val="es-ES" w:eastAsia="en-US"/>
        </w:rPr>
        <w:t xml:space="preserve"> en el proceso de selección para presentar oferta</w:t>
      </w:r>
      <w:r w:rsidR="003B1F7E" w:rsidRPr="00767300">
        <w:rPr>
          <w:rFonts w:ascii="Arial" w:eastAsia="Calibri" w:hAnsi="Arial" w:cs="Arial"/>
          <w:sz w:val="22"/>
          <w:szCs w:val="22"/>
          <w:lang w:val="es-ES" w:eastAsia="en-US"/>
        </w:rPr>
        <w:t xml:space="preserve"> puede ser ajustado en el pliego de condiciones de los procesos de selección competitivos, de forma diferencial, para incentivar la participación</w:t>
      </w:r>
      <w:r w:rsidR="0094647D" w:rsidRPr="00767300">
        <w:rPr>
          <w:rFonts w:ascii="Arial" w:eastAsia="Calibri" w:hAnsi="Arial" w:cs="Arial"/>
          <w:sz w:val="22"/>
          <w:szCs w:val="22"/>
          <w:lang w:val="es-ES" w:eastAsia="en-US"/>
        </w:rPr>
        <w:t xml:space="preserve"> y beneficiar el acceso a las compras públicas de </w:t>
      </w:r>
      <w:r w:rsidR="003B1F7E" w:rsidRPr="00767300">
        <w:rPr>
          <w:rFonts w:ascii="Arial" w:eastAsia="Calibri" w:hAnsi="Arial" w:cs="Arial"/>
          <w:sz w:val="22"/>
          <w:szCs w:val="22"/>
          <w:lang w:val="es-ES" w:eastAsia="en-US"/>
        </w:rPr>
        <w:t xml:space="preserve">los emprendimientos </w:t>
      </w:r>
      <w:r w:rsidR="00077045" w:rsidRPr="00767300">
        <w:rPr>
          <w:rFonts w:ascii="Arial" w:eastAsia="Calibri" w:hAnsi="Arial" w:cs="Arial"/>
          <w:sz w:val="22"/>
          <w:szCs w:val="22"/>
          <w:lang w:val="es-ES" w:eastAsia="en-US"/>
        </w:rPr>
        <w:t>y</w:t>
      </w:r>
      <w:r w:rsidR="003B1F7E" w:rsidRPr="00767300">
        <w:rPr>
          <w:rFonts w:ascii="Arial" w:eastAsia="Calibri" w:hAnsi="Arial" w:cs="Arial"/>
          <w:sz w:val="22"/>
          <w:szCs w:val="22"/>
          <w:lang w:val="es-ES" w:eastAsia="en-US"/>
        </w:rPr>
        <w:t xml:space="preserve"> empresas de mujeres y de </w:t>
      </w:r>
      <w:proofErr w:type="spellStart"/>
      <w:r w:rsidR="003B1F7E" w:rsidRPr="00767300">
        <w:rPr>
          <w:rFonts w:ascii="Arial" w:eastAsia="Calibri" w:hAnsi="Arial" w:cs="Arial"/>
          <w:sz w:val="22"/>
          <w:szCs w:val="22"/>
          <w:lang w:val="es-ES" w:eastAsia="en-US"/>
        </w:rPr>
        <w:t>mipymes</w:t>
      </w:r>
      <w:proofErr w:type="spellEnd"/>
      <w:r w:rsidR="003B1F7E" w:rsidRPr="00767300">
        <w:rPr>
          <w:rFonts w:ascii="Arial" w:eastAsia="Calibri" w:hAnsi="Arial" w:cs="Arial"/>
          <w:sz w:val="22"/>
          <w:szCs w:val="22"/>
          <w:lang w:val="es-ES" w:eastAsia="en-US"/>
        </w:rPr>
        <w:t xml:space="preserve">, </w:t>
      </w:r>
      <w:r w:rsidR="00077045" w:rsidRPr="00767300">
        <w:rPr>
          <w:rFonts w:ascii="Arial" w:eastAsia="Calibri" w:hAnsi="Arial" w:cs="Arial"/>
          <w:sz w:val="22"/>
          <w:szCs w:val="22"/>
          <w:lang w:val="es-ES" w:eastAsia="en-US"/>
        </w:rPr>
        <w:t>en</w:t>
      </w:r>
      <w:r w:rsidR="003B1F7E" w:rsidRPr="00767300">
        <w:rPr>
          <w:rFonts w:ascii="Arial" w:eastAsia="Calibri" w:hAnsi="Arial" w:cs="Arial"/>
          <w:sz w:val="22"/>
          <w:szCs w:val="22"/>
          <w:lang w:val="es-ES" w:eastAsia="en-US"/>
        </w:rPr>
        <w:t xml:space="preserve"> los términos de los artículos 2.2.1.2.4.2.15 y 2.2.1.2.4.2.18, respectivamente</w:t>
      </w:r>
      <w:r w:rsidR="00077045" w:rsidRPr="00767300">
        <w:rPr>
          <w:rFonts w:ascii="Arial" w:eastAsia="Calibri" w:hAnsi="Arial" w:cs="Arial"/>
          <w:sz w:val="22"/>
          <w:szCs w:val="22"/>
          <w:lang w:val="es-ES" w:eastAsia="en-US"/>
        </w:rPr>
        <w:t>.</w:t>
      </w:r>
      <w:r w:rsidR="00D84FA5" w:rsidRPr="00767300">
        <w:rPr>
          <w:rFonts w:ascii="Arial" w:eastAsia="Calibri" w:hAnsi="Arial" w:cs="Arial"/>
          <w:sz w:val="22"/>
          <w:szCs w:val="22"/>
          <w:lang w:val="es-ES" w:eastAsia="en-US"/>
        </w:rPr>
        <w:t xml:space="preserve"> Esto significa </w:t>
      </w:r>
      <w:proofErr w:type="gramStart"/>
      <w:r w:rsidR="00D84FA5" w:rsidRPr="00767300">
        <w:rPr>
          <w:rFonts w:ascii="Arial" w:eastAsia="Calibri" w:hAnsi="Arial" w:cs="Arial"/>
          <w:sz w:val="22"/>
          <w:szCs w:val="22"/>
          <w:lang w:val="es-ES" w:eastAsia="en-US"/>
        </w:rPr>
        <w:t xml:space="preserve">que </w:t>
      </w:r>
      <w:r w:rsidR="008B6AF6" w:rsidRPr="00767300">
        <w:rPr>
          <w:rFonts w:ascii="Arial" w:eastAsia="Calibri" w:hAnsi="Arial" w:cs="Arial"/>
          <w:sz w:val="22"/>
          <w:szCs w:val="22"/>
          <w:lang w:val="es-ES" w:eastAsia="en-US"/>
        </w:rPr>
        <w:t xml:space="preserve"> la</w:t>
      </w:r>
      <w:proofErr w:type="gramEnd"/>
      <w:r w:rsidR="008B6AF6" w:rsidRPr="00767300">
        <w:rPr>
          <w:rFonts w:ascii="Arial" w:eastAsia="Calibri" w:hAnsi="Arial" w:cs="Arial"/>
          <w:sz w:val="22"/>
          <w:szCs w:val="22"/>
          <w:lang w:val="es-ES" w:eastAsia="en-US"/>
        </w:rPr>
        <w:t xml:space="preserve"> entidad estatal </w:t>
      </w:r>
      <w:r w:rsidR="00D84FA5" w:rsidRPr="00767300">
        <w:rPr>
          <w:rFonts w:ascii="Arial" w:eastAsia="Calibri" w:hAnsi="Arial" w:cs="Arial"/>
          <w:sz w:val="22"/>
          <w:szCs w:val="22"/>
          <w:lang w:val="es-ES" w:eastAsia="en-US"/>
        </w:rPr>
        <w:t xml:space="preserve">podría optar por </w:t>
      </w:r>
      <w:r w:rsidR="008B6AF6" w:rsidRPr="00767300">
        <w:rPr>
          <w:rFonts w:ascii="Arial" w:eastAsia="Calibri" w:hAnsi="Arial" w:cs="Arial"/>
          <w:sz w:val="22"/>
          <w:szCs w:val="22"/>
          <w:lang w:val="es-ES" w:eastAsia="en-US"/>
        </w:rPr>
        <w:t>fij</w:t>
      </w:r>
      <w:r w:rsidR="00D84FA5" w:rsidRPr="00767300">
        <w:rPr>
          <w:rFonts w:ascii="Arial" w:eastAsia="Calibri" w:hAnsi="Arial" w:cs="Arial"/>
          <w:sz w:val="22"/>
          <w:szCs w:val="22"/>
          <w:lang w:val="es-ES" w:eastAsia="en-US"/>
        </w:rPr>
        <w:t>ar</w:t>
      </w:r>
      <w:r w:rsidR="0094647D" w:rsidRPr="00767300">
        <w:rPr>
          <w:rFonts w:ascii="Arial" w:eastAsia="Calibri" w:hAnsi="Arial" w:cs="Arial"/>
          <w:sz w:val="22"/>
          <w:szCs w:val="22"/>
          <w:lang w:val="es-ES" w:eastAsia="en-US"/>
        </w:rPr>
        <w:t xml:space="preserve"> en el pliego de condiciones o su equivalente</w:t>
      </w:r>
      <w:r w:rsidR="00D84FA5" w:rsidRPr="00767300">
        <w:rPr>
          <w:rFonts w:ascii="Arial" w:eastAsia="Calibri" w:hAnsi="Arial" w:cs="Arial"/>
          <w:sz w:val="22"/>
          <w:szCs w:val="22"/>
          <w:lang w:val="es-ES" w:eastAsia="en-US"/>
        </w:rPr>
        <w:t xml:space="preserve">, </w:t>
      </w:r>
      <w:r w:rsidR="008B6AF6" w:rsidRPr="00767300">
        <w:rPr>
          <w:rFonts w:ascii="Arial" w:eastAsia="Calibri" w:hAnsi="Arial" w:cs="Arial"/>
          <w:sz w:val="22"/>
          <w:szCs w:val="22"/>
          <w:lang w:val="es-ES" w:eastAsia="en-US"/>
        </w:rPr>
        <w:t xml:space="preserve"> un porcentaje menor o menos exigente por concepto de</w:t>
      </w:r>
      <w:r w:rsidR="008B0A60" w:rsidRPr="00767300">
        <w:rPr>
          <w:rFonts w:ascii="Arial" w:eastAsia="Calibri" w:hAnsi="Arial" w:cs="Arial"/>
          <w:sz w:val="22"/>
          <w:szCs w:val="22"/>
          <w:lang w:val="es-ES" w:eastAsia="en-US"/>
        </w:rPr>
        <w:t>l</w:t>
      </w:r>
      <w:r w:rsidR="008B6AF6" w:rsidRPr="00767300">
        <w:rPr>
          <w:rFonts w:ascii="Arial" w:eastAsia="Calibri" w:hAnsi="Arial" w:cs="Arial"/>
          <w:sz w:val="22"/>
          <w:szCs w:val="22"/>
          <w:lang w:val="es-ES" w:eastAsia="en-US"/>
        </w:rPr>
        <w:t xml:space="preserve"> valor de la garantía de seriedad de la oferta</w:t>
      </w:r>
      <w:r w:rsidR="008B0A60" w:rsidRPr="00767300">
        <w:rPr>
          <w:rFonts w:ascii="Arial" w:eastAsia="Calibri" w:hAnsi="Arial" w:cs="Arial"/>
          <w:sz w:val="22"/>
          <w:szCs w:val="22"/>
          <w:lang w:val="es-ES" w:eastAsia="en-US"/>
        </w:rPr>
        <w:t xml:space="preserve"> exigida a los interesados en </w:t>
      </w:r>
      <w:r w:rsidR="0094647D" w:rsidRPr="00767300">
        <w:rPr>
          <w:rFonts w:ascii="Arial" w:eastAsia="Calibri" w:hAnsi="Arial" w:cs="Arial"/>
          <w:sz w:val="22"/>
          <w:szCs w:val="22"/>
          <w:lang w:val="es-ES" w:eastAsia="en-US"/>
        </w:rPr>
        <w:t>la convocatoria pública</w:t>
      </w:r>
      <w:r w:rsidR="008B0A60" w:rsidRPr="00767300">
        <w:rPr>
          <w:rFonts w:ascii="Arial" w:eastAsia="Calibri" w:hAnsi="Arial" w:cs="Arial"/>
          <w:sz w:val="22"/>
          <w:szCs w:val="22"/>
          <w:lang w:val="es-ES" w:eastAsia="en-US"/>
        </w:rPr>
        <w:t xml:space="preserve">, </w:t>
      </w:r>
      <w:r w:rsidR="00735874" w:rsidRPr="00767300">
        <w:rPr>
          <w:rFonts w:ascii="Arial" w:eastAsia="Calibri" w:hAnsi="Arial" w:cs="Arial"/>
          <w:sz w:val="22"/>
          <w:szCs w:val="22"/>
          <w:lang w:val="es-ES" w:eastAsia="en-US"/>
        </w:rPr>
        <w:t xml:space="preserve">aun por debajo del mínimo del 10% del valor de la oferta, </w:t>
      </w:r>
      <w:r w:rsidR="0094647D" w:rsidRPr="00767300">
        <w:rPr>
          <w:rFonts w:ascii="Arial" w:eastAsia="Calibri" w:hAnsi="Arial" w:cs="Arial"/>
          <w:sz w:val="22"/>
          <w:szCs w:val="22"/>
          <w:lang w:val="es-ES" w:eastAsia="en-US"/>
        </w:rPr>
        <w:t xml:space="preserve">para </w:t>
      </w:r>
      <w:r w:rsidR="00166EB1" w:rsidRPr="00767300">
        <w:rPr>
          <w:rFonts w:ascii="Arial" w:eastAsia="Calibri" w:hAnsi="Arial" w:cs="Arial"/>
          <w:sz w:val="22"/>
          <w:szCs w:val="22"/>
          <w:lang w:val="es-ES" w:eastAsia="en-US"/>
        </w:rPr>
        <w:t>los</w:t>
      </w:r>
      <w:r w:rsidR="008B0A60" w:rsidRPr="00767300">
        <w:rPr>
          <w:rFonts w:ascii="Arial" w:eastAsia="Calibri" w:hAnsi="Arial" w:cs="Arial"/>
          <w:sz w:val="22"/>
          <w:szCs w:val="22"/>
          <w:lang w:val="es-ES" w:eastAsia="en-US"/>
        </w:rPr>
        <w:t xml:space="preserve"> proponente</w:t>
      </w:r>
      <w:r w:rsidR="00166EB1" w:rsidRPr="00767300">
        <w:rPr>
          <w:rFonts w:ascii="Arial" w:eastAsia="Calibri" w:hAnsi="Arial" w:cs="Arial"/>
          <w:sz w:val="22"/>
          <w:szCs w:val="22"/>
          <w:lang w:val="es-ES" w:eastAsia="en-US"/>
        </w:rPr>
        <w:t>s que</w:t>
      </w:r>
      <w:r w:rsidR="008B0A60" w:rsidRPr="00767300">
        <w:rPr>
          <w:rFonts w:ascii="Arial" w:eastAsia="Calibri" w:hAnsi="Arial" w:cs="Arial"/>
          <w:sz w:val="22"/>
          <w:szCs w:val="22"/>
          <w:lang w:val="es-ES" w:eastAsia="en-US"/>
        </w:rPr>
        <w:t xml:space="preserve"> acredite que cumple con la</w:t>
      </w:r>
      <w:r w:rsidR="00166EB1" w:rsidRPr="00767300">
        <w:rPr>
          <w:rFonts w:ascii="Arial" w:eastAsia="Calibri" w:hAnsi="Arial" w:cs="Arial"/>
          <w:sz w:val="22"/>
          <w:szCs w:val="22"/>
          <w:lang w:val="es-ES" w:eastAsia="en-US"/>
        </w:rPr>
        <w:t>s</w:t>
      </w:r>
      <w:r w:rsidR="008B0A60" w:rsidRPr="00767300">
        <w:rPr>
          <w:rFonts w:ascii="Arial" w:eastAsia="Calibri" w:hAnsi="Arial" w:cs="Arial"/>
          <w:sz w:val="22"/>
          <w:szCs w:val="22"/>
          <w:lang w:val="es-ES" w:eastAsia="en-US"/>
        </w:rPr>
        <w:t xml:space="preserve"> condición de ser emprendimiento</w:t>
      </w:r>
      <w:r w:rsidR="00166EB1" w:rsidRPr="00767300">
        <w:rPr>
          <w:rFonts w:ascii="Arial" w:eastAsia="Calibri" w:hAnsi="Arial" w:cs="Arial"/>
          <w:sz w:val="22"/>
          <w:szCs w:val="22"/>
          <w:lang w:val="es-ES" w:eastAsia="en-US"/>
        </w:rPr>
        <w:t xml:space="preserve"> o</w:t>
      </w:r>
      <w:r w:rsidR="008B0A60" w:rsidRPr="00767300">
        <w:rPr>
          <w:rFonts w:ascii="Arial" w:eastAsia="Calibri" w:hAnsi="Arial" w:cs="Arial"/>
          <w:sz w:val="22"/>
          <w:szCs w:val="22"/>
          <w:lang w:val="es-ES" w:eastAsia="en-US"/>
        </w:rPr>
        <w:t xml:space="preserve"> empresa de mujeres o </w:t>
      </w:r>
      <w:proofErr w:type="spellStart"/>
      <w:r w:rsidR="008B0A60" w:rsidRPr="00767300">
        <w:rPr>
          <w:rFonts w:ascii="Arial" w:eastAsia="Calibri" w:hAnsi="Arial" w:cs="Arial"/>
          <w:sz w:val="22"/>
          <w:szCs w:val="22"/>
          <w:lang w:val="es-ES" w:eastAsia="en-US"/>
        </w:rPr>
        <w:t>mipymes</w:t>
      </w:r>
      <w:proofErr w:type="spellEnd"/>
      <w:r w:rsidR="008B0A60" w:rsidRPr="00767300">
        <w:rPr>
          <w:rFonts w:ascii="Arial" w:eastAsia="Calibri" w:hAnsi="Arial" w:cs="Arial"/>
          <w:sz w:val="22"/>
          <w:szCs w:val="22"/>
          <w:lang w:val="es-ES" w:eastAsia="en-US"/>
        </w:rPr>
        <w:t xml:space="preserve">, según </w:t>
      </w:r>
      <w:r w:rsidR="00735874" w:rsidRPr="00767300">
        <w:rPr>
          <w:rFonts w:ascii="Arial" w:eastAsia="Calibri" w:hAnsi="Arial" w:cs="Arial"/>
          <w:sz w:val="22"/>
          <w:szCs w:val="22"/>
          <w:lang w:val="es-ES" w:eastAsia="en-US"/>
        </w:rPr>
        <w:t>el caso</w:t>
      </w:r>
      <w:r w:rsidR="008B0A60" w:rsidRPr="00767300">
        <w:rPr>
          <w:rFonts w:ascii="Arial" w:eastAsia="Calibri" w:hAnsi="Arial" w:cs="Arial"/>
          <w:sz w:val="22"/>
          <w:szCs w:val="22"/>
          <w:lang w:val="es-ES" w:eastAsia="en-US"/>
        </w:rPr>
        <w:t xml:space="preserve">. </w:t>
      </w:r>
    </w:p>
    <w:p w14:paraId="745ABEA2" w14:textId="4232EADD" w:rsidR="00A12D39" w:rsidRPr="00767300" w:rsidRDefault="0099167D" w:rsidP="00814353">
      <w:pPr>
        <w:spacing w:after="120" w:line="276" w:lineRule="auto"/>
        <w:ind w:firstLine="709"/>
        <w:jc w:val="both"/>
        <w:rPr>
          <w:rFonts w:ascii="Arial" w:eastAsia="Calibri" w:hAnsi="Arial" w:cs="Arial"/>
          <w:sz w:val="22"/>
          <w:szCs w:val="22"/>
          <w:lang w:val="es-ES" w:eastAsia="en-US"/>
        </w:rPr>
      </w:pPr>
      <w:r w:rsidRPr="00767300">
        <w:rPr>
          <w:rFonts w:ascii="Arial" w:eastAsia="Calibri" w:hAnsi="Arial" w:cs="Arial"/>
          <w:sz w:val="22"/>
          <w:szCs w:val="22"/>
          <w:lang w:val="es-ES" w:eastAsia="en-US"/>
        </w:rPr>
        <w:lastRenderedPageBreak/>
        <w:t xml:space="preserve">En todo caso, </w:t>
      </w:r>
      <w:r w:rsidR="008C45B5" w:rsidRPr="00767300">
        <w:rPr>
          <w:rFonts w:ascii="Arial" w:eastAsia="Calibri" w:hAnsi="Arial" w:cs="Arial"/>
          <w:sz w:val="22"/>
          <w:szCs w:val="22"/>
          <w:lang w:val="es-ES" w:eastAsia="en-US"/>
        </w:rPr>
        <w:t xml:space="preserve">debe advertirse </w:t>
      </w:r>
      <w:r w:rsidRPr="00767300">
        <w:rPr>
          <w:rFonts w:ascii="Arial" w:eastAsia="Calibri" w:hAnsi="Arial" w:cs="Arial"/>
          <w:sz w:val="22"/>
          <w:szCs w:val="22"/>
          <w:lang w:val="es-ES" w:eastAsia="en-US"/>
        </w:rPr>
        <w:t xml:space="preserve">debe advertirse que </w:t>
      </w:r>
      <w:r w:rsidR="003F294B" w:rsidRPr="00767300">
        <w:rPr>
          <w:rFonts w:ascii="Arial" w:eastAsia="Calibri" w:hAnsi="Arial" w:cs="Arial"/>
          <w:sz w:val="22"/>
          <w:szCs w:val="22"/>
          <w:lang w:val="es-ES" w:eastAsia="en-US"/>
        </w:rPr>
        <w:t xml:space="preserve">tanto en el caso en que pretenda dar aplicación al artículo </w:t>
      </w:r>
      <w:r w:rsidRPr="00767300">
        <w:rPr>
          <w:rFonts w:ascii="Arial" w:eastAsia="Calibri" w:hAnsi="Arial" w:cs="Arial"/>
          <w:sz w:val="22"/>
          <w:szCs w:val="22"/>
          <w:lang w:val="es-ES" w:eastAsia="en-US"/>
        </w:rPr>
        <w:t>2.2.1.2.4.2.15</w:t>
      </w:r>
      <w:r w:rsidR="00814353" w:rsidRPr="00767300">
        <w:rPr>
          <w:rFonts w:ascii="Arial" w:eastAsia="Calibri" w:hAnsi="Arial" w:cs="Arial"/>
          <w:sz w:val="22"/>
          <w:szCs w:val="22"/>
          <w:lang w:val="es-ES" w:eastAsia="en-US"/>
        </w:rPr>
        <w:t xml:space="preserve">, como al </w:t>
      </w:r>
      <w:r w:rsidRPr="00767300">
        <w:rPr>
          <w:rFonts w:ascii="Arial" w:eastAsia="Calibri" w:hAnsi="Arial" w:cs="Arial"/>
          <w:sz w:val="22"/>
          <w:szCs w:val="22"/>
          <w:lang w:val="es-ES" w:eastAsia="en-US"/>
        </w:rPr>
        <w:t>2.2.1.2.4.2.18,</w:t>
      </w:r>
      <w:r w:rsidR="00814353" w:rsidRPr="00767300">
        <w:rPr>
          <w:rFonts w:ascii="Arial" w:eastAsia="Calibri" w:hAnsi="Arial" w:cs="Arial"/>
          <w:sz w:val="22"/>
          <w:szCs w:val="22"/>
          <w:lang w:val="es-ES" w:eastAsia="en-US"/>
        </w:rPr>
        <w:t xml:space="preserve"> los requisitos habilitantes que se incluyan deberán ser establecidos </w:t>
      </w:r>
      <w:r w:rsidR="00E96E38" w:rsidRPr="00767300">
        <w:rPr>
          <w:rFonts w:ascii="Arial" w:eastAsia="Calibri" w:hAnsi="Arial" w:cs="Arial"/>
          <w:sz w:val="22"/>
          <w:szCs w:val="22"/>
          <w:lang w:val="es-ES" w:eastAsia="en-US"/>
        </w:rPr>
        <w:t>en atención a la información y</w:t>
      </w:r>
      <w:r w:rsidR="00814353" w:rsidRPr="00767300">
        <w:rPr>
          <w:rFonts w:ascii="Arial" w:eastAsia="Calibri" w:hAnsi="Arial" w:cs="Arial"/>
          <w:sz w:val="22"/>
          <w:szCs w:val="22"/>
          <w:lang w:val="es-ES" w:eastAsia="en-US"/>
        </w:rPr>
        <w:t xml:space="preserve"> </w:t>
      </w:r>
      <w:r w:rsidR="008B0A60" w:rsidRPr="00767300">
        <w:rPr>
          <w:rFonts w:ascii="Arial" w:eastAsia="Calibri" w:hAnsi="Arial" w:cs="Arial"/>
          <w:sz w:val="22"/>
          <w:szCs w:val="22"/>
          <w:lang w:val="es-ES" w:eastAsia="en-US"/>
        </w:rPr>
        <w:t>los resultados del análisis del sector</w:t>
      </w:r>
      <w:r w:rsidR="00E96E38" w:rsidRPr="00767300">
        <w:rPr>
          <w:rFonts w:ascii="Arial" w:eastAsia="Calibri" w:hAnsi="Arial" w:cs="Arial"/>
          <w:sz w:val="22"/>
          <w:szCs w:val="22"/>
          <w:lang w:val="es-ES" w:eastAsia="en-US"/>
        </w:rPr>
        <w:t xml:space="preserve">, </w:t>
      </w:r>
      <w:r w:rsidR="008B0A60" w:rsidRPr="00767300">
        <w:rPr>
          <w:rFonts w:ascii="Arial" w:eastAsia="Calibri" w:hAnsi="Arial" w:cs="Arial"/>
          <w:sz w:val="22"/>
          <w:szCs w:val="22"/>
          <w:lang w:val="es-ES" w:eastAsia="en-US"/>
        </w:rPr>
        <w:t xml:space="preserve"> </w:t>
      </w:r>
      <w:r w:rsidR="00FB56A0" w:rsidRPr="00767300">
        <w:rPr>
          <w:rFonts w:ascii="Arial" w:eastAsia="Calibri" w:hAnsi="Arial" w:cs="Arial"/>
          <w:sz w:val="22"/>
          <w:szCs w:val="22"/>
          <w:lang w:val="es-ES" w:eastAsia="en-US"/>
        </w:rPr>
        <w:t xml:space="preserve">de tal manera que se </w:t>
      </w:r>
      <w:r w:rsidR="008B0A60" w:rsidRPr="00767300">
        <w:rPr>
          <w:rFonts w:ascii="Arial" w:eastAsia="Calibri" w:hAnsi="Arial" w:cs="Arial"/>
          <w:sz w:val="22"/>
          <w:szCs w:val="22"/>
          <w:lang w:val="es-ES" w:eastAsia="en-US"/>
        </w:rPr>
        <w:t>justifique</w:t>
      </w:r>
      <w:r w:rsidR="00FB56A0" w:rsidRPr="00767300">
        <w:rPr>
          <w:rFonts w:ascii="Arial" w:eastAsia="Calibri" w:hAnsi="Arial" w:cs="Arial"/>
          <w:sz w:val="22"/>
          <w:szCs w:val="22"/>
          <w:lang w:val="es-ES" w:eastAsia="en-US"/>
        </w:rPr>
        <w:t xml:space="preserve"> su necesidad, </w:t>
      </w:r>
      <w:r w:rsidR="008B0A60" w:rsidRPr="00767300">
        <w:rPr>
          <w:rFonts w:ascii="Arial" w:eastAsia="Calibri" w:hAnsi="Arial" w:cs="Arial"/>
          <w:sz w:val="22"/>
          <w:szCs w:val="22"/>
          <w:lang w:val="es-ES" w:eastAsia="en-US"/>
        </w:rPr>
        <w:t xml:space="preserve"> </w:t>
      </w:r>
      <w:r w:rsidR="00FB56A0" w:rsidRPr="00767300">
        <w:rPr>
          <w:rFonts w:ascii="Arial" w:eastAsia="Calibri" w:hAnsi="Arial" w:cs="Arial"/>
          <w:sz w:val="22"/>
          <w:szCs w:val="22"/>
          <w:lang w:val="es-ES" w:eastAsia="en-US"/>
        </w:rPr>
        <w:t xml:space="preserve">procurando que </w:t>
      </w:r>
      <w:r w:rsidR="008B0A60" w:rsidRPr="00767300">
        <w:rPr>
          <w:rFonts w:ascii="Arial" w:eastAsia="Calibri" w:hAnsi="Arial" w:cs="Arial"/>
          <w:sz w:val="22"/>
          <w:szCs w:val="22"/>
          <w:lang w:val="es-ES" w:eastAsia="en-US"/>
        </w:rPr>
        <w:t>los requisitos or</w:t>
      </w:r>
      <w:r w:rsidR="00735874" w:rsidRPr="00767300">
        <w:rPr>
          <w:rFonts w:ascii="Arial" w:eastAsia="Calibri" w:hAnsi="Arial" w:cs="Arial"/>
          <w:sz w:val="22"/>
          <w:szCs w:val="22"/>
          <w:lang w:val="es-ES" w:eastAsia="en-US"/>
        </w:rPr>
        <w:t>dinarios y diferenciales respeten «las condiciones habilitantes requeridas para el cumplimiento adecuado del contrato, teniendo en cuenta el alcance de las obligaciones».</w:t>
      </w:r>
      <w:r w:rsidR="00A12D39" w:rsidRPr="00767300">
        <w:rPr>
          <w:rFonts w:ascii="Arial" w:eastAsia="Calibri" w:hAnsi="Arial" w:cs="Arial"/>
          <w:sz w:val="22"/>
          <w:szCs w:val="22"/>
          <w:lang w:val="es-ES" w:eastAsia="en-US"/>
        </w:rPr>
        <w:t xml:space="preserve"> Asimismo, debe destacarse que</w:t>
      </w:r>
      <w:r w:rsidR="009935CE" w:rsidRPr="00767300">
        <w:rPr>
          <w:rFonts w:ascii="Arial" w:eastAsia="Calibri" w:hAnsi="Arial" w:cs="Arial"/>
          <w:sz w:val="22"/>
          <w:szCs w:val="22"/>
          <w:lang w:val="es-ES" w:eastAsia="en-US"/>
        </w:rPr>
        <w:t>,</w:t>
      </w:r>
      <w:r w:rsidR="00A12D39" w:rsidRPr="00767300">
        <w:rPr>
          <w:rFonts w:ascii="Arial" w:eastAsia="Calibri" w:hAnsi="Arial" w:cs="Arial"/>
          <w:sz w:val="22"/>
          <w:szCs w:val="22"/>
          <w:lang w:val="es-ES" w:eastAsia="en-US"/>
        </w:rPr>
        <w:t xml:space="preserve"> </w:t>
      </w:r>
      <w:r w:rsidR="00915DE1" w:rsidRPr="00767300">
        <w:rPr>
          <w:rFonts w:ascii="Arial" w:eastAsia="Calibri" w:hAnsi="Arial" w:cs="Arial"/>
          <w:sz w:val="22"/>
          <w:szCs w:val="22"/>
          <w:lang w:val="es-ES" w:eastAsia="en-US"/>
        </w:rPr>
        <w:t>de lo regulado en estos artículo</w:t>
      </w:r>
      <w:r w:rsidR="00812182" w:rsidRPr="00767300">
        <w:rPr>
          <w:rFonts w:ascii="Arial" w:eastAsia="Calibri" w:hAnsi="Arial" w:cs="Arial"/>
          <w:sz w:val="22"/>
          <w:szCs w:val="22"/>
          <w:lang w:val="es-ES" w:eastAsia="en-US"/>
        </w:rPr>
        <w:t>s</w:t>
      </w:r>
      <w:r w:rsidR="00915DE1" w:rsidRPr="00767300">
        <w:rPr>
          <w:rFonts w:ascii="Arial" w:eastAsia="Calibri" w:hAnsi="Arial" w:cs="Arial"/>
          <w:sz w:val="22"/>
          <w:szCs w:val="22"/>
          <w:lang w:val="es-ES" w:eastAsia="en-US"/>
        </w:rPr>
        <w:t xml:space="preserve"> no se desprende que la inclusión </w:t>
      </w:r>
      <w:r w:rsidR="009935CE" w:rsidRPr="00767300">
        <w:rPr>
          <w:rFonts w:ascii="Arial" w:eastAsia="Calibri" w:hAnsi="Arial" w:cs="Arial"/>
          <w:sz w:val="22"/>
          <w:szCs w:val="22"/>
          <w:lang w:val="es-ES" w:eastAsia="en-US"/>
        </w:rPr>
        <w:t>de</w:t>
      </w:r>
      <w:r w:rsidR="00A51328" w:rsidRPr="00767300">
        <w:rPr>
          <w:rFonts w:ascii="Arial" w:eastAsia="Calibri" w:hAnsi="Arial" w:cs="Arial"/>
          <w:sz w:val="22"/>
          <w:szCs w:val="22"/>
          <w:lang w:val="es-ES" w:eastAsia="en-US"/>
        </w:rPr>
        <w:t xml:space="preserve"> </w:t>
      </w:r>
      <w:r w:rsidR="00812182" w:rsidRPr="00767300">
        <w:rPr>
          <w:rFonts w:ascii="Arial" w:eastAsia="Calibri" w:hAnsi="Arial" w:cs="Arial"/>
          <w:sz w:val="22"/>
          <w:szCs w:val="22"/>
          <w:lang w:val="es-ES" w:eastAsia="en-US"/>
        </w:rPr>
        <w:t>requisitos habilitante</w:t>
      </w:r>
      <w:r w:rsidR="009935CE" w:rsidRPr="00767300">
        <w:rPr>
          <w:rFonts w:ascii="Arial" w:eastAsia="Calibri" w:hAnsi="Arial" w:cs="Arial"/>
          <w:sz w:val="22"/>
          <w:szCs w:val="22"/>
          <w:lang w:val="es-ES" w:eastAsia="en-US"/>
        </w:rPr>
        <w:t>s</w:t>
      </w:r>
      <w:r w:rsidR="00812182" w:rsidRPr="00767300">
        <w:rPr>
          <w:rFonts w:ascii="Arial" w:eastAsia="Calibri" w:hAnsi="Arial" w:cs="Arial"/>
          <w:sz w:val="22"/>
          <w:szCs w:val="22"/>
          <w:lang w:val="es-ES" w:eastAsia="en-US"/>
        </w:rPr>
        <w:t xml:space="preserve"> diferenciales </w:t>
      </w:r>
      <w:r w:rsidR="009935CE" w:rsidRPr="00767300">
        <w:rPr>
          <w:rFonts w:ascii="Arial" w:eastAsia="Calibri" w:hAnsi="Arial" w:cs="Arial"/>
          <w:sz w:val="22"/>
          <w:szCs w:val="22"/>
          <w:lang w:val="es-ES" w:eastAsia="en-US"/>
        </w:rPr>
        <w:t xml:space="preserve">relacionados </w:t>
      </w:r>
      <w:r w:rsidR="00A51328" w:rsidRPr="00767300">
        <w:rPr>
          <w:rFonts w:ascii="Arial" w:eastAsia="Calibri" w:hAnsi="Arial" w:cs="Arial"/>
          <w:sz w:val="22"/>
          <w:szCs w:val="22"/>
          <w:lang w:val="es-ES" w:eastAsia="en-US"/>
        </w:rPr>
        <w:t xml:space="preserve">todos los aspectos establecidos en </w:t>
      </w:r>
      <w:r w:rsidR="0001138B" w:rsidRPr="00767300">
        <w:rPr>
          <w:rFonts w:ascii="Arial" w:eastAsia="Calibri" w:hAnsi="Arial" w:cs="Arial"/>
          <w:sz w:val="22"/>
          <w:szCs w:val="22"/>
          <w:lang w:val="es-ES" w:eastAsia="en-US"/>
        </w:rPr>
        <w:t xml:space="preserve">estas normas sea </w:t>
      </w:r>
      <w:r w:rsidR="00812182" w:rsidRPr="00767300">
        <w:rPr>
          <w:rFonts w:ascii="Arial" w:eastAsia="Calibri" w:hAnsi="Arial" w:cs="Arial"/>
          <w:sz w:val="22"/>
          <w:szCs w:val="22"/>
          <w:lang w:val="es-ES" w:eastAsia="en-US"/>
        </w:rPr>
        <w:t>una obligación que rija en todos los procesos de contrat</w:t>
      </w:r>
      <w:r w:rsidR="009935CE" w:rsidRPr="00767300">
        <w:rPr>
          <w:rFonts w:ascii="Arial" w:eastAsia="Calibri" w:hAnsi="Arial" w:cs="Arial"/>
          <w:sz w:val="22"/>
          <w:szCs w:val="22"/>
          <w:lang w:val="es-ES" w:eastAsia="en-US"/>
        </w:rPr>
        <w:t>a</w:t>
      </w:r>
      <w:r w:rsidR="00812182" w:rsidRPr="00767300">
        <w:rPr>
          <w:rFonts w:ascii="Arial" w:eastAsia="Calibri" w:hAnsi="Arial" w:cs="Arial"/>
          <w:sz w:val="22"/>
          <w:szCs w:val="22"/>
          <w:lang w:val="es-ES" w:eastAsia="en-US"/>
        </w:rPr>
        <w:t>ción</w:t>
      </w:r>
      <w:r w:rsidR="0001138B" w:rsidRPr="00767300">
        <w:rPr>
          <w:rFonts w:ascii="Arial" w:eastAsia="Calibri" w:hAnsi="Arial" w:cs="Arial"/>
          <w:sz w:val="22"/>
          <w:szCs w:val="22"/>
          <w:lang w:val="es-ES" w:eastAsia="en-US"/>
        </w:rPr>
        <w:t>, ya que en ambos caso</w:t>
      </w:r>
      <w:r w:rsidR="000E236D" w:rsidRPr="00767300">
        <w:rPr>
          <w:rFonts w:ascii="Arial" w:eastAsia="Calibri" w:hAnsi="Arial" w:cs="Arial"/>
          <w:sz w:val="22"/>
          <w:szCs w:val="22"/>
          <w:lang w:val="es-ES" w:eastAsia="en-US"/>
        </w:rPr>
        <w:t>s</w:t>
      </w:r>
      <w:r w:rsidR="0001138B" w:rsidRPr="00767300">
        <w:rPr>
          <w:rFonts w:ascii="Arial" w:eastAsia="Calibri" w:hAnsi="Arial" w:cs="Arial"/>
          <w:sz w:val="22"/>
          <w:szCs w:val="22"/>
          <w:lang w:val="es-ES" w:eastAsia="en-US"/>
        </w:rPr>
        <w:t xml:space="preserve"> se habla se la inclusión de «alguno o algunos»</w:t>
      </w:r>
      <w:r w:rsidR="00AE53D8" w:rsidRPr="00767300">
        <w:rPr>
          <w:rFonts w:ascii="Arial" w:eastAsia="Calibri" w:hAnsi="Arial" w:cs="Arial"/>
          <w:sz w:val="22"/>
          <w:szCs w:val="22"/>
          <w:lang w:val="es-ES" w:eastAsia="en-US"/>
        </w:rPr>
        <w:t xml:space="preserve">, por lo que una entidad estatal, </w:t>
      </w:r>
      <w:r w:rsidR="005A4310" w:rsidRPr="00767300">
        <w:rPr>
          <w:rFonts w:ascii="Arial" w:eastAsia="Calibri" w:hAnsi="Arial" w:cs="Arial"/>
          <w:sz w:val="22"/>
          <w:szCs w:val="22"/>
          <w:lang w:val="es-ES" w:eastAsia="en-US"/>
        </w:rPr>
        <w:t xml:space="preserve">debe determinar o cuales son los requisitos habilitantes diferenciales que, de conformidad </w:t>
      </w:r>
      <w:r w:rsidR="004E303D" w:rsidRPr="00767300">
        <w:rPr>
          <w:rFonts w:ascii="Arial" w:eastAsia="Calibri" w:hAnsi="Arial" w:cs="Arial"/>
          <w:sz w:val="22"/>
          <w:szCs w:val="22"/>
          <w:lang w:val="es-ES" w:eastAsia="en-US"/>
        </w:rPr>
        <w:t xml:space="preserve">con lo indicado por el estudio del sector, </w:t>
      </w:r>
      <w:r w:rsidR="005A4310" w:rsidRPr="00767300">
        <w:rPr>
          <w:rFonts w:ascii="Arial" w:eastAsia="Calibri" w:hAnsi="Arial" w:cs="Arial"/>
          <w:sz w:val="22"/>
          <w:szCs w:val="22"/>
          <w:lang w:val="es-ES" w:eastAsia="en-US"/>
        </w:rPr>
        <w:t>se tornan más adecuados para</w:t>
      </w:r>
      <w:r w:rsidR="004E303D" w:rsidRPr="00767300">
        <w:rPr>
          <w:rFonts w:ascii="Arial" w:eastAsia="Calibri" w:hAnsi="Arial" w:cs="Arial"/>
          <w:sz w:val="22"/>
          <w:szCs w:val="22"/>
          <w:lang w:val="es-ES" w:eastAsia="en-US"/>
        </w:rPr>
        <w:t xml:space="preserve"> el respectivo proceso de contratación. </w:t>
      </w:r>
    </w:p>
    <w:p w14:paraId="3033EDAB" w14:textId="439A84A9" w:rsidR="004E303D" w:rsidRPr="00767300" w:rsidRDefault="004E303D" w:rsidP="00814353">
      <w:pPr>
        <w:spacing w:after="120" w:line="276" w:lineRule="auto"/>
        <w:ind w:firstLine="709"/>
        <w:jc w:val="both"/>
        <w:rPr>
          <w:rFonts w:ascii="Arial" w:eastAsia="Calibri" w:hAnsi="Arial" w:cs="Arial"/>
          <w:sz w:val="22"/>
          <w:szCs w:val="22"/>
          <w:lang w:val="es-ES" w:eastAsia="en-US"/>
        </w:rPr>
      </w:pPr>
      <w:r w:rsidRPr="00767300">
        <w:rPr>
          <w:rFonts w:ascii="Arial" w:eastAsia="Calibri" w:hAnsi="Arial" w:cs="Arial"/>
          <w:sz w:val="22"/>
          <w:szCs w:val="22"/>
          <w:lang w:val="es-ES" w:eastAsia="en-US"/>
        </w:rPr>
        <w:t xml:space="preserve">En ese sentido, con relación al valor de la garantía </w:t>
      </w:r>
      <w:r w:rsidR="005B6688" w:rsidRPr="00767300">
        <w:rPr>
          <w:rFonts w:ascii="Arial" w:eastAsia="Calibri" w:hAnsi="Arial" w:cs="Arial"/>
          <w:sz w:val="22"/>
          <w:szCs w:val="22"/>
          <w:lang w:val="es-ES" w:eastAsia="en-US"/>
        </w:rPr>
        <w:t>de seriedad</w:t>
      </w:r>
      <w:r w:rsidRPr="00767300">
        <w:rPr>
          <w:rFonts w:ascii="Arial" w:eastAsia="Calibri" w:hAnsi="Arial" w:cs="Arial"/>
          <w:sz w:val="22"/>
          <w:szCs w:val="22"/>
          <w:lang w:val="es-ES" w:eastAsia="en-US"/>
        </w:rPr>
        <w:t xml:space="preserve">, </w:t>
      </w:r>
      <w:r w:rsidR="005B6688" w:rsidRPr="00767300">
        <w:rPr>
          <w:rFonts w:ascii="Arial" w:eastAsia="Calibri" w:hAnsi="Arial" w:cs="Arial"/>
          <w:sz w:val="22"/>
          <w:szCs w:val="22"/>
          <w:lang w:val="es-ES" w:eastAsia="en-US"/>
        </w:rPr>
        <w:t>p</w:t>
      </w:r>
      <w:r w:rsidR="00A4755C" w:rsidRPr="00767300">
        <w:rPr>
          <w:rFonts w:ascii="Arial" w:eastAsia="Calibri" w:hAnsi="Arial" w:cs="Arial"/>
          <w:sz w:val="22"/>
          <w:szCs w:val="22"/>
          <w:lang w:val="es-ES" w:eastAsia="en-US"/>
        </w:rPr>
        <w:t>odría</w:t>
      </w:r>
      <w:r w:rsidR="005B6688" w:rsidRPr="00767300">
        <w:rPr>
          <w:rFonts w:ascii="Arial" w:eastAsia="Calibri" w:hAnsi="Arial" w:cs="Arial"/>
          <w:sz w:val="22"/>
          <w:szCs w:val="22"/>
          <w:lang w:val="es-ES" w:eastAsia="en-US"/>
        </w:rPr>
        <w:t xml:space="preserve"> una entidad establecer un requisito habilitante menos exigente que el establecido para </w:t>
      </w:r>
      <w:r w:rsidR="00557F8A" w:rsidRPr="00767300">
        <w:rPr>
          <w:rFonts w:ascii="Arial" w:eastAsia="Calibri" w:hAnsi="Arial" w:cs="Arial"/>
          <w:sz w:val="22"/>
          <w:szCs w:val="22"/>
          <w:lang w:val="es-ES" w:eastAsia="en-US"/>
        </w:rPr>
        <w:t xml:space="preserve">los proponentes que acrediten las referidas condiciones, </w:t>
      </w:r>
      <w:r w:rsidR="0049561F" w:rsidRPr="00767300">
        <w:rPr>
          <w:rFonts w:ascii="Arial" w:eastAsia="Calibri" w:hAnsi="Arial" w:cs="Arial"/>
          <w:sz w:val="22"/>
          <w:szCs w:val="22"/>
          <w:lang w:val="es-ES" w:eastAsia="en-US"/>
        </w:rPr>
        <w:t xml:space="preserve">para lo cual, con sustento en su análisis del sector deberá establecer el margen del valor diferencial que resulte más conveniente, de tal manera que no se ponga en riesgo el cumplimiento de los fines del contrato. Del mismo modo, podría una entidad optar por </w:t>
      </w:r>
      <w:r w:rsidR="00935CA7" w:rsidRPr="00767300">
        <w:rPr>
          <w:rFonts w:ascii="Arial" w:eastAsia="Calibri" w:hAnsi="Arial" w:cs="Arial"/>
          <w:sz w:val="22"/>
          <w:szCs w:val="22"/>
          <w:lang w:val="es-ES" w:eastAsia="en-US"/>
        </w:rPr>
        <w:t xml:space="preserve">no </w:t>
      </w:r>
      <w:r w:rsidR="0049561F" w:rsidRPr="00767300">
        <w:rPr>
          <w:rFonts w:ascii="Arial" w:eastAsia="Calibri" w:hAnsi="Arial" w:cs="Arial"/>
          <w:sz w:val="22"/>
          <w:szCs w:val="22"/>
          <w:lang w:val="es-ES" w:eastAsia="en-US"/>
        </w:rPr>
        <w:t>dar aplicación a</w:t>
      </w:r>
      <w:r w:rsidR="00935CA7" w:rsidRPr="00767300">
        <w:rPr>
          <w:rFonts w:ascii="Arial" w:eastAsia="Calibri" w:hAnsi="Arial" w:cs="Arial"/>
          <w:sz w:val="22"/>
          <w:szCs w:val="22"/>
          <w:lang w:val="es-ES" w:eastAsia="en-US"/>
        </w:rPr>
        <w:t xml:space="preserve"> un requisito diferencial relacionado con el valor de la garantía de seriedad, </w:t>
      </w:r>
      <w:r w:rsidR="00BA2514" w:rsidRPr="00767300">
        <w:rPr>
          <w:rFonts w:ascii="Arial" w:eastAsia="Calibri" w:hAnsi="Arial" w:cs="Arial"/>
          <w:sz w:val="22"/>
          <w:szCs w:val="22"/>
          <w:lang w:val="es-ES" w:eastAsia="en-US"/>
        </w:rPr>
        <w:t xml:space="preserve">para dar aplicación a alguno de los otros aspectos establecidos en los mencionados artículos, como el tiempo de experiencia, </w:t>
      </w:r>
      <w:proofErr w:type="spellStart"/>
      <w:r w:rsidR="00BA2514" w:rsidRPr="00767300">
        <w:rPr>
          <w:rFonts w:ascii="Arial" w:eastAsia="Calibri" w:hAnsi="Arial" w:cs="Arial"/>
          <w:sz w:val="22"/>
          <w:szCs w:val="22"/>
          <w:lang w:val="es-ES" w:eastAsia="en-US"/>
        </w:rPr>
        <w:t>numero</w:t>
      </w:r>
      <w:proofErr w:type="spellEnd"/>
      <w:r w:rsidR="00BA2514" w:rsidRPr="00767300">
        <w:rPr>
          <w:rFonts w:ascii="Arial" w:eastAsia="Calibri" w:hAnsi="Arial" w:cs="Arial"/>
          <w:sz w:val="22"/>
          <w:szCs w:val="22"/>
          <w:lang w:val="es-ES" w:eastAsia="en-US"/>
        </w:rPr>
        <w:t xml:space="preserve"> de contratos </w:t>
      </w:r>
      <w:r w:rsidR="00590B50" w:rsidRPr="00767300">
        <w:rPr>
          <w:rFonts w:ascii="Arial" w:eastAsia="Calibri" w:hAnsi="Arial" w:cs="Arial"/>
          <w:sz w:val="22"/>
          <w:szCs w:val="22"/>
          <w:lang w:val="es-ES" w:eastAsia="en-US"/>
        </w:rPr>
        <w:t xml:space="preserve">para la acreditación de experiencia o los índices de capacidad financiera y organizacional. </w:t>
      </w:r>
    </w:p>
    <w:p w14:paraId="059CF2E2" w14:textId="75D47DD6" w:rsidR="007542C2" w:rsidRDefault="00C03D26" w:rsidP="00D7439E">
      <w:pPr>
        <w:spacing w:line="276" w:lineRule="auto"/>
        <w:ind w:firstLine="709"/>
        <w:jc w:val="both"/>
        <w:rPr>
          <w:rFonts w:ascii="Arial" w:eastAsia="Calibri" w:hAnsi="Arial" w:cs="Arial"/>
          <w:sz w:val="22"/>
          <w:szCs w:val="22"/>
          <w:lang w:val="es-ES" w:eastAsia="en-US"/>
        </w:rPr>
      </w:pPr>
      <w:r w:rsidRPr="00767300">
        <w:rPr>
          <w:rFonts w:ascii="Arial" w:eastAsia="Calibri" w:hAnsi="Arial" w:cs="Arial"/>
          <w:sz w:val="22"/>
          <w:szCs w:val="22"/>
          <w:lang w:val="es-ES" w:eastAsia="en-US"/>
        </w:rPr>
        <w:t>Por último,</w:t>
      </w:r>
      <w:r w:rsidR="00D7439E" w:rsidRPr="00767300">
        <w:rPr>
          <w:rFonts w:ascii="Arial" w:eastAsia="Calibri" w:hAnsi="Arial" w:cs="Arial"/>
          <w:sz w:val="22"/>
          <w:szCs w:val="22"/>
          <w:lang w:val="es-ES" w:eastAsia="en-US"/>
        </w:rPr>
        <w:t xml:space="preserve"> </w:t>
      </w:r>
      <w:r w:rsidR="00524AC0" w:rsidRPr="00767300">
        <w:rPr>
          <w:rFonts w:ascii="Arial" w:eastAsia="Calibri" w:hAnsi="Arial" w:cs="Arial"/>
          <w:sz w:val="22"/>
          <w:szCs w:val="22"/>
          <w:lang w:val="es-ES" w:eastAsia="en-US"/>
        </w:rPr>
        <w:t xml:space="preserve">debe aclararse que, </w:t>
      </w:r>
      <w:r w:rsidR="005D4B1E" w:rsidRPr="00767300">
        <w:rPr>
          <w:rFonts w:ascii="Arial" w:eastAsia="Calibri" w:hAnsi="Arial" w:cs="Arial"/>
          <w:sz w:val="22"/>
          <w:szCs w:val="22"/>
          <w:lang w:val="es-ES" w:eastAsia="en-US"/>
        </w:rPr>
        <w:t>según el parágrafo tercero de</w:t>
      </w:r>
      <w:r w:rsidR="00376788" w:rsidRPr="00767300">
        <w:rPr>
          <w:rFonts w:ascii="Arial" w:eastAsia="Calibri" w:hAnsi="Arial" w:cs="Arial"/>
          <w:sz w:val="22"/>
          <w:szCs w:val="22"/>
          <w:lang w:val="es-ES" w:eastAsia="en-US"/>
        </w:rPr>
        <w:t>l</w:t>
      </w:r>
      <w:r w:rsidR="005D4B1E" w:rsidRPr="00767300">
        <w:rPr>
          <w:rFonts w:ascii="Arial" w:eastAsia="Calibri" w:hAnsi="Arial" w:cs="Arial"/>
          <w:sz w:val="22"/>
          <w:szCs w:val="22"/>
          <w:lang w:val="es-ES" w:eastAsia="en-US"/>
        </w:rPr>
        <w:t xml:space="preserve"> artículo </w:t>
      </w:r>
      <w:r w:rsidR="00376788" w:rsidRPr="00767300">
        <w:rPr>
          <w:rFonts w:ascii="Arial" w:eastAsia="Calibri" w:hAnsi="Arial" w:cs="Arial"/>
          <w:sz w:val="22"/>
          <w:szCs w:val="22"/>
          <w:lang w:val="es-ES" w:eastAsia="en-US"/>
        </w:rPr>
        <w:t xml:space="preserve">2.2.1.2.4.2.18, </w:t>
      </w:r>
      <w:r w:rsidR="00524AC0" w:rsidRPr="00767300">
        <w:rPr>
          <w:rFonts w:ascii="Arial" w:eastAsia="Calibri" w:hAnsi="Arial" w:cs="Arial"/>
          <w:sz w:val="22"/>
          <w:szCs w:val="22"/>
          <w:lang w:val="es-ES" w:eastAsia="en-US"/>
        </w:rPr>
        <w:t xml:space="preserve">los criterios diferenciales </w:t>
      </w:r>
      <w:r w:rsidR="005D4B1E" w:rsidRPr="00767300">
        <w:rPr>
          <w:rFonts w:ascii="Arial" w:eastAsia="Calibri" w:hAnsi="Arial" w:cs="Arial"/>
          <w:sz w:val="22"/>
          <w:szCs w:val="22"/>
          <w:lang w:val="es-ES" w:eastAsia="en-US"/>
        </w:rPr>
        <w:t xml:space="preserve">para </w:t>
      </w:r>
      <w:proofErr w:type="spellStart"/>
      <w:r w:rsidR="005D4B1E" w:rsidRPr="00767300">
        <w:rPr>
          <w:rFonts w:ascii="Arial" w:eastAsia="Calibri" w:hAnsi="Arial" w:cs="Arial"/>
          <w:sz w:val="22"/>
          <w:szCs w:val="22"/>
          <w:lang w:val="es-ES" w:eastAsia="en-US"/>
        </w:rPr>
        <w:t>mipymes</w:t>
      </w:r>
      <w:proofErr w:type="spellEnd"/>
      <w:r w:rsidR="0026638E" w:rsidRPr="00767300">
        <w:rPr>
          <w:rFonts w:ascii="Arial" w:eastAsia="Calibri" w:hAnsi="Arial" w:cs="Arial"/>
          <w:sz w:val="22"/>
          <w:szCs w:val="22"/>
          <w:lang w:val="es-ES" w:eastAsia="en-US"/>
        </w:rPr>
        <w:t>: «[…]</w:t>
      </w:r>
      <w:r w:rsidR="00BC6FF9" w:rsidRPr="00767300">
        <w:rPr>
          <w:rFonts w:ascii="Arial" w:hAnsi="Arial" w:cs="Arial"/>
          <w:color w:val="333333"/>
          <w:sz w:val="22"/>
          <w:szCs w:val="22"/>
          <w:shd w:val="clear" w:color="auto" w:fill="FFFFFF"/>
        </w:rPr>
        <w:t xml:space="preserve"> aplica</w:t>
      </w:r>
      <w:r w:rsidR="0026638E" w:rsidRPr="00767300">
        <w:rPr>
          <w:rFonts w:ascii="Arial" w:hAnsi="Arial" w:cs="Arial"/>
          <w:color w:val="333333"/>
          <w:sz w:val="22"/>
          <w:szCs w:val="22"/>
          <w:shd w:val="clear" w:color="auto" w:fill="FFFFFF"/>
        </w:rPr>
        <w:t>[n]</w:t>
      </w:r>
      <w:r w:rsidR="00BC6FF9" w:rsidRPr="00767300">
        <w:rPr>
          <w:rFonts w:ascii="Arial" w:hAnsi="Arial" w:cs="Arial"/>
          <w:color w:val="333333"/>
          <w:sz w:val="22"/>
          <w:szCs w:val="22"/>
          <w:shd w:val="clear" w:color="auto" w:fill="FFFFFF"/>
        </w:rPr>
        <w:t xml:space="preserve"> sin perjuicio de lo dispuesto en los Acuerdos Comerciales suscritos por el Estado colombiano, pero no rige en las convocatorias limitadas que se realicen conforme a los artículos 2.2.1.2.4.2.2 y 2.2.1.2.4.2.3 de este Decreto</w:t>
      </w:r>
      <w:r w:rsidR="0026638E" w:rsidRPr="00767300">
        <w:rPr>
          <w:rFonts w:ascii="Arial" w:hAnsi="Arial" w:cs="Arial"/>
          <w:color w:val="333333"/>
          <w:sz w:val="22"/>
          <w:szCs w:val="22"/>
          <w:shd w:val="clear" w:color="auto" w:fill="FFFFFF"/>
        </w:rPr>
        <w:t>»</w:t>
      </w:r>
      <w:r w:rsidR="00BC6FF9" w:rsidRPr="00767300">
        <w:rPr>
          <w:rFonts w:ascii="Arial" w:hAnsi="Arial" w:cs="Arial"/>
          <w:color w:val="333333"/>
          <w:sz w:val="22"/>
          <w:szCs w:val="22"/>
          <w:shd w:val="clear" w:color="auto" w:fill="FFFFFF"/>
        </w:rPr>
        <w:t>.</w:t>
      </w:r>
      <w:r w:rsidR="00571DC2" w:rsidRPr="00767300">
        <w:rPr>
          <w:rFonts w:ascii="Arial" w:hAnsi="Arial" w:cs="Arial"/>
          <w:color w:val="333333"/>
          <w:sz w:val="22"/>
          <w:szCs w:val="22"/>
          <w:shd w:val="clear" w:color="auto" w:fill="FFFFFF"/>
        </w:rPr>
        <w:t xml:space="preserve"> En ese sentido, en los procesos </w:t>
      </w:r>
      <w:r w:rsidR="00E52C8F" w:rsidRPr="00767300">
        <w:rPr>
          <w:rFonts w:ascii="Arial" w:hAnsi="Arial" w:cs="Arial"/>
          <w:color w:val="333333"/>
          <w:sz w:val="22"/>
          <w:szCs w:val="22"/>
          <w:shd w:val="clear" w:color="auto" w:fill="FFFFFF"/>
        </w:rPr>
        <w:t xml:space="preserve">que </w:t>
      </w:r>
      <w:r w:rsidR="00571DC2" w:rsidRPr="00767300">
        <w:rPr>
          <w:rFonts w:ascii="Arial" w:hAnsi="Arial" w:cs="Arial"/>
          <w:color w:val="333333"/>
          <w:sz w:val="22"/>
          <w:szCs w:val="22"/>
          <w:shd w:val="clear" w:color="auto" w:fill="FFFFFF"/>
        </w:rPr>
        <w:t xml:space="preserve">estén </w:t>
      </w:r>
      <w:r w:rsidR="00605574" w:rsidRPr="00767300">
        <w:rPr>
          <w:rFonts w:ascii="Arial" w:hAnsi="Arial" w:cs="Arial"/>
          <w:color w:val="333333"/>
          <w:sz w:val="22"/>
          <w:szCs w:val="22"/>
          <w:shd w:val="clear" w:color="auto" w:fill="FFFFFF"/>
        </w:rPr>
        <w:t xml:space="preserve">limitados a la participación </w:t>
      </w:r>
      <w:r w:rsidR="00E52C8F" w:rsidRPr="00767300">
        <w:rPr>
          <w:rFonts w:ascii="Arial" w:hAnsi="Arial" w:cs="Arial"/>
          <w:color w:val="333333"/>
          <w:sz w:val="22"/>
          <w:szCs w:val="22"/>
          <w:shd w:val="clear" w:color="auto" w:fill="FFFFFF"/>
        </w:rPr>
        <w:t xml:space="preserve">exclusiva </w:t>
      </w:r>
      <w:r w:rsidR="00605574" w:rsidRPr="00767300">
        <w:rPr>
          <w:rFonts w:ascii="Arial" w:hAnsi="Arial" w:cs="Arial"/>
          <w:color w:val="333333"/>
          <w:sz w:val="22"/>
          <w:szCs w:val="22"/>
          <w:shd w:val="clear" w:color="auto" w:fill="FFFFFF"/>
        </w:rPr>
        <w:t xml:space="preserve">de </w:t>
      </w:r>
      <w:proofErr w:type="spellStart"/>
      <w:r w:rsidR="00605574" w:rsidRPr="00767300">
        <w:rPr>
          <w:rFonts w:ascii="Arial" w:hAnsi="Arial" w:cs="Arial"/>
          <w:color w:val="333333"/>
          <w:sz w:val="22"/>
          <w:szCs w:val="22"/>
          <w:shd w:val="clear" w:color="auto" w:fill="FFFFFF"/>
        </w:rPr>
        <w:t>mipymes</w:t>
      </w:r>
      <w:proofErr w:type="spellEnd"/>
      <w:r w:rsidR="00E52C8F" w:rsidRPr="00767300">
        <w:rPr>
          <w:rFonts w:ascii="Arial" w:hAnsi="Arial" w:cs="Arial"/>
          <w:color w:val="333333"/>
          <w:sz w:val="22"/>
          <w:szCs w:val="22"/>
          <w:shd w:val="clear" w:color="auto" w:fill="FFFFFF"/>
        </w:rPr>
        <w:t xml:space="preserve"> no será</w:t>
      </w:r>
      <w:r w:rsidR="007703C8" w:rsidRPr="00767300">
        <w:rPr>
          <w:rFonts w:ascii="Arial" w:hAnsi="Arial" w:cs="Arial"/>
          <w:color w:val="333333"/>
          <w:sz w:val="22"/>
          <w:szCs w:val="22"/>
          <w:shd w:val="clear" w:color="auto" w:fill="FFFFFF"/>
        </w:rPr>
        <w:t>n</w:t>
      </w:r>
      <w:r w:rsidR="00E52C8F" w:rsidRPr="00767300">
        <w:rPr>
          <w:rFonts w:ascii="Arial" w:hAnsi="Arial" w:cs="Arial"/>
          <w:color w:val="333333"/>
          <w:sz w:val="22"/>
          <w:szCs w:val="22"/>
          <w:shd w:val="clear" w:color="auto" w:fill="FFFFFF"/>
        </w:rPr>
        <w:t xml:space="preserve"> aplicable</w:t>
      </w:r>
      <w:r w:rsidR="007703C8" w:rsidRPr="00767300">
        <w:rPr>
          <w:rFonts w:ascii="Arial" w:hAnsi="Arial" w:cs="Arial"/>
          <w:color w:val="333333"/>
          <w:sz w:val="22"/>
          <w:szCs w:val="22"/>
          <w:shd w:val="clear" w:color="auto" w:fill="FFFFFF"/>
        </w:rPr>
        <w:t xml:space="preserve">s requisitos habilitantes </w:t>
      </w:r>
      <w:r w:rsidR="003870F0" w:rsidRPr="00767300">
        <w:rPr>
          <w:rFonts w:ascii="Arial" w:hAnsi="Arial" w:cs="Arial"/>
          <w:color w:val="333333"/>
          <w:sz w:val="22"/>
          <w:szCs w:val="22"/>
          <w:shd w:val="clear" w:color="auto" w:fill="FFFFFF"/>
        </w:rPr>
        <w:t>diferenciales relacionados con el valor de la garantía de seriedad</w:t>
      </w:r>
      <w:r w:rsidR="00D7439E" w:rsidRPr="00767300">
        <w:rPr>
          <w:rFonts w:ascii="Arial" w:hAnsi="Arial" w:cs="Arial"/>
          <w:color w:val="333333"/>
          <w:sz w:val="22"/>
          <w:szCs w:val="22"/>
          <w:shd w:val="clear" w:color="auto" w:fill="FFFFFF"/>
        </w:rPr>
        <w:t xml:space="preserve">, ni ninguno de los otros aspectos referidos en el artículo </w:t>
      </w:r>
      <w:r w:rsidR="00D7439E" w:rsidRPr="00767300">
        <w:rPr>
          <w:rFonts w:ascii="Arial" w:eastAsia="Calibri" w:hAnsi="Arial" w:cs="Arial"/>
          <w:sz w:val="22"/>
          <w:szCs w:val="22"/>
          <w:lang w:val="es-ES" w:eastAsia="en-US"/>
        </w:rPr>
        <w:t>2.2.1.2.4.2.18 del Decreto 1082 de 2015.</w:t>
      </w:r>
    </w:p>
    <w:p w14:paraId="58CB9E61" w14:textId="727A4935" w:rsidR="007542C2" w:rsidRDefault="007542C2" w:rsidP="00D7439E">
      <w:pPr>
        <w:spacing w:line="276" w:lineRule="auto"/>
        <w:ind w:firstLine="709"/>
        <w:jc w:val="both"/>
        <w:rPr>
          <w:rFonts w:ascii="Arial" w:eastAsia="Calibri" w:hAnsi="Arial" w:cs="Arial"/>
          <w:sz w:val="22"/>
          <w:szCs w:val="22"/>
          <w:lang w:val="es-ES" w:eastAsia="en-US"/>
        </w:rPr>
      </w:pPr>
    </w:p>
    <w:p w14:paraId="29C66B21" w14:textId="7B0A7959" w:rsidR="007542C2" w:rsidRPr="005D75C1" w:rsidRDefault="007542C2" w:rsidP="007542C2">
      <w:pPr>
        <w:tabs>
          <w:tab w:val="left" w:pos="709"/>
        </w:tabs>
        <w:spacing w:line="276" w:lineRule="auto"/>
        <w:jc w:val="both"/>
        <w:outlineLvl w:val="0"/>
        <w:rPr>
          <w:rFonts w:ascii="Arial" w:eastAsia="Calibri" w:hAnsi="Arial" w:cs="Arial"/>
          <w:b/>
          <w:color w:val="000000" w:themeColor="text1"/>
          <w:sz w:val="22"/>
          <w:lang w:val="es-ES_tradnl"/>
        </w:rPr>
      </w:pPr>
      <w:r w:rsidRPr="005D75C1">
        <w:rPr>
          <w:rFonts w:ascii="Arial" w:eastAsia="Calibri" w:hAnsi="Arial" w:cs="Arial"/>
          <w:b/>
          <w:color w:val="000000" w:themeColor="text1"/>
          <w:sz w:val="22"/>
          <w:lang w:val="es-ES_tradnl"/>
        </w:rPr>
        <w:t>2.</w:t>
      </w:r>
      <w:r>
        <w:rPr>
          <w:rFonts w:ascii="Arial" w:eastAsia="Calibri" w:hAnsi="Arial" w:cs="Arial"/>
          <w:b/>
          <w:color w:val="000000" w:themeColor="text1"/>
          <w:sz w:val="22"/>
          <w:lang w:val="es-ES_tradnl"/>
        </w:rPr>
        <w:t>3</w:t>
      </w:r>
      <w:r w:rsidRPr="005D75C1">
        <w:rPr>
          <w:rFonts w:ascii="Arial" w:eastAsia="Calibri" w:hAnsi="Arial" w:cs="Arial"/>
          <w:b/>
          <w:color w:val="000000" w:themeColor="text1"/>
          <w:sz w:val="22"/>
          <w:lang w:val="es-ES_tradnl"/>
        </w:rPr>
        <w:t xml:space="preserve">. Promoción del desarrollo en el sistema de compras públicas: acciones de fomento a favor de población en pobreza extrema, desplazados por la violencia, personas en proceso de reintegración o reincorporación y, sujetos de especial protección constitucional </w:t>
      </w:r>
    </w:p>
    <w:p w14:paraId="3C088776" w14:textId="77777777" w:rsidR="007542C2" w:rsidRPr="005D75C1" w:rsidRDefault="007542C2" w:rsidP="007542C2">
      <w:pPr>
        <w:rPr>
          <w:rFonts w:ascii="Arial" w:eastAsia="Calibri" w:hAnsi="Arial" w:cs="Arial"/>
          <w:lang w:val="es-ES_tradnl"/>
        </w:rPr>
      </w:pPr>
    </w:p>
    <w:p w14:paraId="2E4195BB" w14:textId="77777777" w:rsidR="007542C2" w:rsidRPr="005D75C1" w:rsidRDefault="007542C2" w:rsidP="007542C2">
      <w:pPr>
        <w:tabs>
          <w:tab w:val="left" w:pos="709"/>
        </w:tabs>
        <w:spacing w:after="120" w:line="276" w:lineRule="auto"/>
        <w:jc w:val="both"/>
        <w:rPr>
          <w:rFonts w:ascii="Arial" w:eastAsia="Calibri" w:hAnsi="Arial" w:cs="Arial"/>
          <w:bCs/>
          <w:color w:val="000000" w:themeColor="text1"/>
          <w:sz w:val="22"/>
          <w:lang w:val="es-ES_tradnl"/>
        </w:rPr>
      </w:pPr>
      <w:r w:rsidRPr="005D75C1">
        <w:rPr>
          <w:rFonts w:ascii="Arial" w:eastAsia="Calibri" w:hAnsi="Arial" w:cs="Arial"/>
          <w:bCs/>
          <w:color w:val="000000" w:themeColor="text1"/>
          <w:sz w:val="22"/>
          <w:lang w:val="es-ES_tradnl"/>
        </w:rPr>
        <w:t xml:space="preserve">El cuarto inciso del artículo 12 de la Ley 1150 de 2007, modificado por el artículo 34 de la Ley 2069 de 2020, establece que «las Entidades Estatales indistintamente de su régimen </w:t>
      </w:r>
      <w:r w:rsidRPr="005D75C1">
        <w:rPr>
          <w:rFonts w:ascii="Arial" w:eastAsia="Calibri" w:hAnsi="Arial" w:cs="Arial"/>
          <w:bCs/>
          <w:color w:val="000000" w:themeColor="text1"/>
          <w:sz w:val="22"/>
          <w:lang w:val="es-ES_tradnl"/>
        </w:rPr>
        <w:lastRenderedPageBreak/>
        <w:t xml:space="preserve">de contratación, los patrimonios autónomos constituidos por Entidades Estatales y los particulares que ejecuten recursos públicos» «[…],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 Reglamentando este tema, </w:t>
      </w:r>
      <w:r w:rsidRPr="005D75C1">
        <w:rPr>
          <w:rFonts w:ascii="Arial" w:eastAsia="Arial" w:hAnsi="Arial" w:cs="Arial"/>
          <w:color w:val="000000"/>
          <w:sz w:val="22"/>
          <w:szCs w:val="22"/>
          <w:lang w:val="es-ES_tradnl" w:eastAsia="en-US"/>
        </w:rPr>
        <w:t>el</w:t>
      </w:r>
      <w:r w:rsidRPr="005D75C1">
        <w:rPr>
          <w:rFonts w:ascii="Arial" w:hAnsi="Arial" w:cs="Arial"/>
          <w:sz w:val="22"/>
          <w:szCs w:val="22"/>
          <w:lang w:val="es-ES_tradnl" w:eastAsia="es-CO"/>
        </w:rPr>
        <w:t xml:space="preserve"> artículo 3 del Decreto 1860 de 2021 adiciona el artículo 2.2.1.2.4.2.16, indicando lo siguiente:</w:t>
      </w:r>
    </w:p>
    <w:p w14:paraId="2519F4F0" w14:textId="77777777" w:rsidR="007542C2" w:rsidRPr="005D75C1" w:rsidRDefault="007542C2" w:rsidP="007542C2">
      <w:pPr>
        <w:ind w:left="709" w:right="709"/>
        <w:jc w:val="both"/>
        <w:rPr>
          <w:rFonts w:ascii="Arial" w:hAnsi="Arial" w:cs="Arial"/>
          <w:sz w:val="21"/>
          <w:szCs w:val="21"/>
          <w:lang w:val="es-ES_tradnl"/>
        </w:rPr>
      </w:pPr>
      <w:r w:rsidRPr="005D75C1">
        <w:rPr>
          <w:rFonts w:ascii="Arial" w:hAnsi="Arial" w:cs="Arial"/>
          <w:sz w:val="21"/>
          <w:szCs w:val="21"/>
          <w:lang w:val="es-ES_tradnl"/>
        </w:rPr>
        <w:t>Fomento a la ejecución de contratos estatales por parte de población en pobreza extrema, desplazados por la violencia, personas en proceso de reintegración o reincorporación y sujetos de especial protección constitucional. En los Procesos de Contratación, las Entidades Estatales indistintamente de su régimen de contratación, los patrimonios autónomos constituidos por Entidades Estatales y los particulares que ejecuten recursos públicos fomentarán en los pliegos de condiciones o documento equivalente que los contratistas destinen al cumplimiento del objeto contractual la provisión de bienes o servicios por parte de población en pobreza extrema, desplazados por la violencia, personas en proceso de reintegración o reincorporación y sujetos de especial protección constitucional, garantizando las condiciones de calidad y sin perjuicio de los Acuerdos Comerciales vigentes.</w:t>
      </w:r>
    </w:p>
    <w:p w14:paraId="6FD65208" w14:textId="77777777" w:rsidR="007542C2" w:rsidRPr="005D75C1" w:rsidRDefault="007542C2" w:rsidP="007542C2">
      <w:pPr>
        <w:spacing w:before="120"/>
        <w:ind w:left="709" w:right="709"/>
        <w:jc w:val="both"/>
        <w:rPr>
          <w:rFonts w:ascii="Arial" w:hAnsi="Arial" w:cs="Arial"/>
          <w:sz w:val="21"/>
          <w:szCs w:val="21"/>
          <w:lang w:val="es-ES_tradnl"/>
        </w:rPr>
      </w:pPr>
      <w:r w:rsidRPr="005D75C1">
        <w:rPr>
          <w:rFonts w:ascii="Arial" w:hAnsi="Arial" w:cs="Arial"/>
          <w:sz w:val="21"/>
          <w:szCs w:val="21"/>
          <w:lang w:val="es-ES_tradnl"/>
        </w:rPr>
        <w:t>La participación de los sujetos anteriormente mencionados en la ejecución del contrato se fomentará previo análisis de su oportunidad y conveniencia en los Documentos del Proceso, teniendo en cuenta el objeto contractual y el alcance de las obligaciones.</w:t>
      </w:r>
    </w:p>
    <w:p w14:paraId="0C15FB9D" w14:textId="77777777" w:rsidR="007542C2" w:rsidRPr="005D75C1" w:rsidRDefault="007542C2" w:rsidP="007542C2">
      <w:pPr>
        <w:spacing w:before="120"/>
        <w:ind w:left="709" w:right="709"/>
        <w:jc w:val="both"/>
        <w:rPr>
          <w:rFonts w:ascii="Arial" w:hAnsi="Arial" w:cs="Arial"/>
          <w:sz w:val="21"/>
          <w:szCs w:val="21"/>
          <w:lang w:val="es-ES_tradnl"/>
        </w:rPr>
      </w:pPr>
      <w:r w:rsidRPr="005D75C1">
        <w:rPr>
          <w:rFonts w:ascii="Arial" w:hAnsi="Arial" w:cs="Arial"/>
          <w:sz w:val="21"/>
          <w:szCs w:val="21"/>
          <w:lang w:val="es-ES_tradnl"/>
        </w:rPr>
        <w:t>Esta provisión se establecerá en un porcentaje que no será superior al diez por ciento (10%) ni inferior al cinco por ciento (5%) de los bienes o servicios requeridos para la ejecución del contrato, de manera que no se ponga en riesgo su cumplimiento adecuado.</w:t>
      </w:r>
    </w:p>
    <w:p w14:paraId="42626F81" w14:textId="77777777" w:rsidR="007542C2" w:rsidRPr="005D75C1" w:rsidRDefault="007542C2" w:rsidP="007542C2">
      <w:pPr>
        <w:spacing w:before="120"/>
        <w:ind w:left="709" w:right="709"/>
        <w:jc w:val="both"/>
        <w:rPr>
          <w:rFonts w:ascii="Arial" w:hAnsi="Arial" w:cs="Arial"/>
          <w:sz w:val="21"/>
          <w:szCs w:val="21"/>
          <w:lang w:val="es-ES_tradnl"/>
        </w:rPr>
      </w:pPr>
      <w:r w:rsidRPr="005D75C1">
        <w:rPr>
          <w:rFonts w:ascii="Arial" w:hAnsi="Arial" w:cs="Arial"/>
          <w:sz w:val="21"/>
          <w:szCs w:val="21"/>
          <w:lang w:val="es-ES_tradnl"/>
        </w:rPr>
        <w:t>Previo análisis de oportunidad y conveniencia, la Entidad Estatal incorporará esta obligación en la minuta del contrato del pliego de condiciones o documento equivalente, precisando las sanciones pecuniarias producto del incumplimiento injustificado de esta a través de las causales de multa que estime pertinentes.</w:t>
      </w:r>
    </w:p>
    <w:p w14:paraId="555C8DEA" w14:textId="77777777" w:rsidR="007542C2" w:rsidRPr="005D75C1" w:rsidRDefault="007542C2" w:rsidP="007542C2">
      <w:pPr>
        <w:spacing w:before="120"/>
        <w:ind w:left="709" w:right="709"/>
        <w:jc w:val="both"/>
        <w:rPr>
          <w:rFonts w:ascii="Arial" w:hAnsi="Arial" w:cs="Arial"/>
          <w:sz w:val="21"/>
          <w:szCs w:val="21"/>
          <w:lang w:val="es-ES_tradnl"/>
        </w:rPr>
      </w:pPr>
      <w:r w:rsidRPr="005D75C1">
        <w:rPr>
          <w:rFonts w:ascii="Arial" w:hAnsi="Arial" w:cs="Arial"/>
          <w:sz w:val="21"/>
          <w:szCs w:val="21"/>
          <w:lang w:val="es-ES_tradnl"/>
        </w:rPr>
        <w:t>El supervisor o el interventor, según el caso, realizará el seguimiento y verificará que las personas vinculadas al inicio y durante la ejecución del contrato pertenezcan a los grupos poblacionales enunciados anteriormente.</w:t>
      </w:r>
    </w:p>
    <w:p w14:paraId="5ABD32FB" w14:textId="77777777" w:rsidR="007542C2" w:rsidRPr="005D75C1" w:rsidRDefault="007542C2" w:rsidP="007542C2">
      <w:pPr>
        <w:spacing w:before="120"/>
        <w:ind w:left="709" w:right="709"/>
        <w:jc w:val="both"/>
        <w:rPr>
          <w:rFonts w:ascii="Arial" w:hAnsi="Arial" w:cs="Arial"/>
          <w:sz w:val="21"/>
          <w:szCs w:val="21"/>
          <w:lang w:val="es-ES_tradnl"/>
        </w:rPr>
      </w:pPr>
      <w:r w:rsidRPr="005D75C1">
        <w:rPr>
          <w:rFonts w:ascii="Arial" w:hAnsi="Arial" w:cs="Arial"/>
          <w:sz w:val="21"/>
          <w:szCs w:val="21"/>
          <w:lang w:val="es-ES_tradnl"/>
        </w:rPr>
        <w:t xml:space="preserve">PARÁGRAFO 1. Para los efectos previstos en el presente artículo, los sujetos de especial protección constitucional son aquellas personas que debido a su particular condición física, psicológica o social merecen una acción positiva estatal para efectos de lograr una igualdad real y efectiva. Dentro de esta categoría se encuentran, entre otros, las víctimas del conflicto armado interno, las mujeres cabeza de familia, los adultos mayores, las personas en condición </w:t>
      </w:r>
      <w:r w:rsidRPr="005D75C1">
        <w:rPr>
          <w:rFonts w:ascii="Arial" w:hAnsi="Arial" w:cs="Arial"/>
          <w:sz w:val="21"/>
          <w:szCs w:val="21"/>
          <w:lang w:val="es-ES_tradnl"/>
        </w:rPr>
        <w:lastRenderedPageBreak/>
        <w:t xml:space="preserve">de discapacidad, así como la población de las comunidades indígena, negra, afrocolombiana, raizal, palanquera, </w:t>
      </w:r>
      <w:proofErr w:type="spellStart"/>
      <w:r w:rsidRPr="005D75C1">
        <w:rPr>
          <w:rFonts w:ascii="Arial" w:hAnsi="Arial" w:cs="Arial"/>
          <w:sz w:val="21"/>
          <w:szCs w:val="21"/>
          <w:lang w:val="es-ES_tradnl"/>
        </w:rPr>
        <w:t>Rrom</w:t>
      </w:r>
      <w:proofErr w:type="spellEnd"/>
      <w:r w:rsidRPr="005D75C1">
        <w:rPr>
          <w:rFonts w:ascii="Arial" w:hAnsi="Arial" w:cs="Arial"/>
          <w:sz w:val="21"/>
          <w:szCs w:val="21"/>
          <w:lang w:val="es-ES_tradnl"/>
        </w:rPr>
        <w:t xml:space="preserve"> o gitanas.</w:t>
      </w:r>
    </w:p>
    <w:p w14:paraId="2759B362" w14:textId="77777777" w:rsidR="007542C2" w:rsidRPr="005D75C1" w:rsidRDefault="007542C2" w:rsidP="007542C2">
      <w:pPr>
        <w:spacing w:before="120"/>
        <w:ind w:left="709" w:right="709"/>
        <w:jc w:val="both"/>
        <w:rPr>
          <w:rFonts w:ascii="Arial" w:hAnsi="Arial" w:cs="Arial"/>
          <w:sz w:val="21"/>
          <w:szCs w:val="21"/>
          <w:lang w:val="es-ES_tradnl"/>
        </w:rPr>
      </w:pPr>
      <w:r w:rsidRPr="005D75C1">
        <w:rPr>
          <w:rFonts w:ascii="Arial" w:hAnsi="Arial" w:cs="Arial"/>
          <w:sz w:val="21"/>
          <w:szCs w:val="21"/>
          <w:lang w:val="es-ES_tradnl"/>
        </w:rPr>
        <w:t>Estas circunstancias se acreditarán en las condiciones que disponga la ley o el reglamento, aplicando en lo pertinente lo definido en el artículo 2.2.1.2.4.2.17 del presente Decreto. En ausencia de una condición especial prevista en la normativa vigente, se acreditarán en los términos que defina el pliego de condiciones o documento equivalente.</w:t>
      </w:r>
    </w:p>
    <w:p w14:paraId="3743752B" w14:textId="77777777" w:rsidR="007542C2" w:rsidRPr="005D75C1" w:rsidRDefault="007542C2" w:rsidP="007542C2">
      <w:pPr>
        <w:spacing w:before="120"/>
        <w:ind w:left="709" w:right="709"/>
        <w:jc w:val="both"/>
        <w:rPr>
          <w:rFonts w:ascii="Arial" w:hAnsi="Arial" w:cs="Arial"/>
          <w:sz w:val="21"/>
          <w:szCs w:val="21"/>
          <w:lang w:val="es-ES_tradnl"/>
        </w:rPr>
      </w:pPr>
      <w:r w:rsidRPr="005D75C1">
        <w:rPr>
          <w:rFonts w:ascii="Arial" w:hAnsi="Arial" w:cs="Arial"/>
          <w:sz w:val="21"/>
          <w:szCs w:val="21"/>
          <w:lang w:val="es-ES_tradnl"/>
        </w:rPr>
        <w:t>PARÁGRAFO 2. Para efectos de los Procesos de Contratación regidos por documentos tipo, con sujeción a la potestad prevista en este artículo, la Agencia Nacional de Contratación Pública - Colombia Compra Eficiente regulará el porcentaje de sujetos de especial protección constitucional que el contratista destinará al cumplimiento de las obligaciones, las condiciones para incorporarlos a la ejecución del contrato y las sanciones pecuniarias producto del incumplimiento injustificado de la obligación.</w:t>
      </w:r>
    </w:p>
    <w:p w14:paraId="31F2BFCC" w14:textId="77777777" w:rsidR="007542C2" w:rsidRPr="005D75C1" w:rsidRDefault="007542C2" w:rsidP="007542C2">
      <w:pPr>
        <w:tabs>
          <w:tab w:val="left" w:pos="709"/>
        </w:tabs>
        <w:spacing w:line="276" w:lineRule="auto"/>
        <w:jc w:val="both"/>
        <w:rPr>
          <w:rFonts w:ascii="Arial" w:eastAsia="Calibri" w:hAnsi="Arial" w:cs="Arial"/>
          <w:bCs/>
          <w:color w:val="000000" w:themeColor="text1"/>
          <w:sz w:val="22"/>
          <w:lang w:val="es-ES_tradnl"/>
        </w:rPr>
      </w:pPr>
    </w:p>
    <w:p w14:paraId="48B4D265" w14:textId="77777777" w:rsidR="007542C2" w:rsidRPr="00767300" w:rsidRDefault="007542C2" w:rsidP="007542C2">
      <w:pPr>
        <w:spacing w:line="276" w:lineRule="auto"/>
        <w:ind w:firstLine="709"/>
        <w:jc w:val="both"/>
        <w:rPr>
          <w:rFonts w:ascii="Arial" w:eastAsia="Calibri" w:hAnsi="Arial" w:cs="Arial"/>
          <w:bCs/>
          <w:color w:val="000000"/>
          <w:sz w:val="22"/>
          <w:szCs w:val="22"/>
          <w:lang w:val="es-ES_tradnl" w:eastAsia="en-US"/>
        </w:rPr>
      </w:pPr>
      <w:r w:rsidRPr="00767300">
        <w:rPr>
          <w:rFonts w:ascii="Arial" w:eastAsia="Calibri" w:hAnsi="Arial" w:cs="Arial"/>
          <w:bCs/>
          <w:color w:val="000000"/>
          <w:sz w:val="22"/>
          <w:szCs w:val="22"/>
          <w:lang w:val="es-ES_tradnl" w:eastAsia="en-US"/>
        </w:rPr>
        <w:t xml:space="preserve">Frente a la demostración de las circunstancias reguladas por la norma bajo análisis, como se puede observar, el segundo inciso del parágrafo 1 del artículo 2.2.1.2.4.2.16. establece que «Estas circunstancias se acreditarán en las condiciones que disponga la ley o el reglamento, aplicando en lo pertinente lo definido en el artículo 2.2.1.2.4.2.17 del presente Decreto. En ausencia de una condición especial prevista en la normativa vigente, se acreditarán en los términos que defina el pliego de condiciones o documento equivalente». En efecto, el artículo 2.2.1.2.4.2.17 establece la forma como se debe acreditar el carácter de sujeto de especial protección constitucional, en ciertos eventos. Por ejemplo, a título enunciativo: </w:t>
      </w:r>
    </w:p>
    <w:p w14:paraId="5BF84C00" w14:textId="77777777" w:rsidR="007542C2" w:rsidRPr="00767300" w:rsidRDefault="007542C2" w:rsidP="007542C2">
      <w:pPr>
        <w:spacing w:before="120" w:line="276" w:lineRule="auto"/>
        <w:ind w:firstLine="709"/>
        <w:jc w:val="both"/>
        <w:rPr>
          <w:rFonts w:ascii="Arial" w:eastAsia="Calibri" w:hAnsi="Arial" w:cs="Arial"/>
          <w:bCs/>
          <w:color w:val="000000"/>
          <w:sz w:val="22"/>
          <w:szCs w:val="22"/>
          <w:lang w:val="es-ES_tradnl" w:eastAsia="en-US"/>
        </w:rPr>
      </w:pPr>
      <w:r w:rsidRPr="00767300">
        <w:rPr>
          <w:rFonts w:ascii="Arial" w:eastAsia="Calibri" w:hAnsi="Arial" w:cs="Arial"/>
          <w:bCs/>
          <w:color w:val="000000"/>
          <w:sz w:val="22"/>
          <w:szCs w:val="22"/>
          <w:lang w:val="es-ES_tradnl" w:eastAsia="en-US"/>
        </w:rPr>
        <w:t>i) De acuerdo con el numeral 2, para las mujeres cabeza de familia, «Su acreditación se realizará en los términos del parágrafo del artículo 2 de la Ley 82 de 1993, modificado por el artículo 1 de la Ley 1232 de 2008, o la norma que lo modifique, aclare, adicione o sustituya. Es decir, la condición de mujer cabeza de familia y la cesación de esta se otorgará desde el momento en que ocurra el respectivo evento y se declare ante un notario».</w:t>
      </w:r>
    </w:p>
    <w:p w14:paraId="5F8877A3" w14:textId="77777777" w:rsidR="007542C2" w:rsidRPr="00767300" w:rsidRDefault="007542C2" w:rsidP="007542C2">
      <w:pPr>
        <w:spacing w:before="120" w:line="276" w:lineRule="auto"/>
        <w:ind w:firstLine="709"/>
        <w:jc w:val="both"/>
        <w:rPr>
          <w:rFonts w:ascii="Arial" w:eastAsia="Calibri" w:hAnsi="Arial" w:cs="Arial"/>
          <w:bCs/>
          <w:color w:val="000000"/>
          <w:sz w:val="22"/>
          <w:szCs w:val="22"/>
          <w:lang w:val="es-ES_tradnl" w:eastAsia="en-US"/>
        </w:rPr>
      </w:pPr>
      <w:proofErr w:type="spellStart"/>
      <w:r w:rsidRPr="00767300">
        <w:rPr>
          <w:rFonts w:ascii="Arial" w:eastAsia="Calibri" w:hAnsi="Arial" w:cs="Arial"/>
          <w:bCs/>
          <w:color w:val="000000"/>
          <w:sz w:val="22"/>
          <w:szCs w:val="22"/>
          <w:lang w:val="es-ES_tradnl" w:eastAsia="en-US"/>
        </w:rPr>
        <w:t>ii</w:t>
      </w:r>
      <w:proofErr w:type="spellEnd"/>
      <w:r w:rsidRPr="00767300">
        <w:rPr>
          <w:rFonts w:ascii="Arial" w:eastAsia="Calibri" w:hAnsi="Arial" w:cs="Arial"/>
          <w:bCs/>
          <w:color w:val="000000"/>
          <w:sz w:val="22"/>
          <w:szCs w:val="22"/>
          <w:lang w:val="es-ES_tradnl" w:eastAsia="en-US"/>
        </w:rPr>
        <w:t xml:space="preserve">) Según el numeral 5, la acreditación de la pertenencia a la población indígena, negra, afrocolombiana, raizal, palenquera, </w:t>
      </w:r>
      <w:proofErr w:type="spellStart"/>
      <w:r w:rsidRPr="00767300">
        <w:rPr>
          <w:rFonts w:ascii="Arial" w:eastAsia="Calibri" w:hAnsi="Arial" w:cs="Arial"/>
          <w:bCs/>
          <w:color w:val="000000"/>
          <w:sz w:val="22"/>
          <w:szCs w:val="22"/>
          <w:lang w:val="es-ES_tradnl" w:eastAsia="en-US"/>
        </w:rPr>
        <w:t>Rrom</w:t>
      </w:r>
      <w:proofErr w:type="spellEnd"/>
      <w:r w:rsidRPr="00767300">
        <w:rPr>
          <w:rFonts w:ascii="Arial" w:eastAsia="Calibri" w:hAnsi="Arial" w:cs="Arial"/>
          <w:bCs/>
          <w:color w:val="000000"/>
          <w:sz w:val="22"/>
          <w:szCs w:val="22"/>
          <w:lang w:val="es-ES_tradnl" w:eastAsia="en-US"/>
        </w:rPr>
        <w:t xml:space="preserve"> o gitana, en los términos del Decreto Ley 2893 de 2011, o la norma que lo modifique, sustituya o complemente, se certifica por el Ministerio del Interior. </w:t>
      </w:r>
    </w:p>
    <w:p w14:paraId="116287AD" w14:textId="77777777" w:rsidR="007542C2" w:rsidRPr="00767300" w:rsidRDefault="007542C2" w:rsidP="007542C2">
      <w:pPr>
        <w:spacing w:before="120" w:line="276" w:lineRule="auto"/>
        <w:ind w:firstLine="709"/>
        <w:jc w:val="both"/>
        <w:rPr>
          <w:rFonts w:ascii="Arial" w:eastAsia="Calibri" w:hAnsi="Arial" w:cs="Arial"/>
          <w:bCs/>
          <w:color w:val="000000"/>
          <w:sz w:val="22"/>
          <w:szCs w:val="22"/>
          <w:lang w:val="es-ES_tradnl" w:eastAsia="en-US"/>
        </w:rPr>
      </w:pPr>
      <w:proofErr w:type="spellStart"/>
      <w:r w:rsidRPr="00767300">
        <w:rPr>
          <w:rFonts w:ascii="Arial" w:eastAsia="Calibri" w:hAnsi="Arial" w:cs="Arial"/>
          <w:bCs/>
          <w:color w:val="000000"/>
          <w:sz w:val="22"/>
          <w:szCs w:val="22"/>
          <w:lang w:val="es-ES_tradnl" w:eastAsia="en-US"/>
        </w:rPr>
        <w:t>iii</w:t>
      </w:r>
      <w:proofErr w:type="spellEnd"/>
      <w:r w:rsidRPr="00767300">
        <w:rPr>
          <w:rFonts w:ascii="Arial" w:eastAsia="Calibri" w:hAnsi="Arial" w:cs="Arial"/>
          <w:bCs/>
          <w:color w:val="000000"/>
          <w:sz w:val="22"/>
          <w:szCs w:val="22"/>
          <w:lang w:val="es-ES_tradnl" w:eastAsia="en-US"/>
        </w:rPr>
        <w:t xml:space="preserve">) De conformidad con el numeral 6, la situación de encontrarse en un proceso de reintegración o reincorporación, se demuestra con: «i) la certificación en las desmovilizaciones colectivas que expida la Oficina de Alto Comisionado para la Paz, </w:t>
      </w:r>
      <w:proofErr w:type="spellStart"/>
      <w:r w:rsidRPr="00767300">
        <w:rPr>
          <w:rFonts w:ascii="Arial" w:eastAsia="Calibri" w:hAnsi="Arial" w:cs="Arial"/>
          <w:bCs/>
          <w:color w:val="000000"/>
          <w:sz w:val="22"/>
          <w:szCs w:val="22"/>
          <w:lang w:val="es-ES_tradnl" w:eastAsia="en-US"/>
        </w:rPr>
        <w:t>ii</w:t>
      </w:r>
      <w:proofErr w:type="spellEnd"/>
      <w:r w:rsidRPr="00767300">
        <w:rPr>
          <w:rFonts w:ascii="Arial" w:eastAsia="Calibri" w:hAnsi="Arial" w:cs="Arial"/>
          <w:bCs/>
          <w:color w:val="000000"/>
          <w:sz w:val="22"/>
          <w:szCs w:val="22"/>
          <w:lang w:val="es-ES_tradnl" w:eastAsia="en-US"/>
        </w:rPr>
        <w:t xml:space="preserve">) el certificado que emita el Comité Operativo para la Dejación de las Armas respecto de las personas desmovilizadas en forma individual, </w:t>
      </w:r>
      <w:proofErr w:type="spellStart"/>
      <w:r w:rsidRPr="00767300">
        <w:rPr>
          <w:rFonts w:ascii="Arial" w:eastAsia="Calibri" w:hAnsi="Arial" w:cs="Arial"/>
          <w:bCs/>
          <w:color w:val="000000"/>
          <w:sz w:val="22"/>
          <w:szCs w:val="22"/>
          <w:lang w:val="es-ES_tradnl" w:eastAsia="en-US"/>
        </w:rPr>
        <w:t>iii</w:t>
      </w:r>
      <w:proofErr w:type="spellEnd"/>
      <w:r w:rsidRPr="00767300">
        <w:rPr>
          <w:rFonts w:ascii="Arial" w:eastAsia="Calibri" w:hAnsi="Arial" w:cs="Arial"/>
          <w:bCs/>
          <w:color w:val="000000"/>
          <w:sz w:val="22"/>
          <w:szCs w:val="22"/>
          <w:lang w:val="es-ES_tradnl" w:eastAsia="en-US"/>
        </w:rPr>
        <w:t xml:space="preserve">) el certificado que emita la Agencia para la Reincorporación y la Normalización que acredite que la persona se encuentra en proceso </w:t>
      </w:r>
      <w:r w:rsidRPr="00767300">
        <w:rPr>
          <w:rFonts w:ascii="Arial" w:eastAsia="Calibri" w:hAnsi="Arial" w:cs="Arial"/>
          <w:bCs/>
          <w:color w:val="000000"/>
          <w:sz w:val="22"/>
          <w:szCs w:val="22"/>
          <w:lang w:val="es-ES_tradnl" w:eastAsia="en-US"/>
        </w:rPr>
        <w:lastRenderedPageBreak/>
        <w:t xml:space="preserve">de reincorporación o reintegración o </w:t>
      </w:r>
      <w:proofErr w:type="spellStart"/>
      <w:r w:rsidRPr="00767300">
        <w:rPr>
          <w:rFonts w:ascii="Arial" w:eastAsia="Calibri" w:hAnsi="Arial" w:cs="Arial"/>
          <w:bCs/>
          <w:color w:val="000000"/>
          <w:sz w:val="22"/>
          <w:szCs w:val="22"/>
          <w:lang w:val="es-ES_tradnl" w:eastAsia="en-US"/>
        </w:rPr>
        <w:t>iv</w:t>
      </w:r>
      <w:proofErr w:type="spellEnd"/>
      <w:r w:rsidRPr="00767300">
        <w:rPr>
          <w:rFonts w:ascii="Arial" w:eastAsia="Calibri" w:hAnsi="Arial" w:cs="Arial"/>
          <w:bCs/>
          <w:color w:val="000000"/>
          <w:sz w:val="22"/>
          <w:szCs w:val="22"/>
          <w:lang w:val="es-ES_tradnl" w:eastAsia="en-US"/>
        </w:rPr>
        <w:t>) cualquier otro certificado que para el efecto determine la Ley. Además, se entregará copia del documento de identificación de la persona en proceso de reintegración o reincorporación».</w:t>
      </w:r>
    </w:p>
    <w:p w14:paraId="534405AA" w14:textId="77777777" w:rsidR="007542C2" w:rsidRPr="00767300" w:rsidRDefault="007542C2" w:rsidP="007542C2">
      <w:pPr>
        <w:spacing w:before="120" w:line="276" w:lineRule="auto"/>
        <w:ind w:firstLine="709"/>
        <w:jc w:val="both"/>
        <w:rPr>
          <w:rFonts w:ascii="Arial" w:eastAsia="Calibri" w:hAnsi="Arial" w:cs="Arial"/>
          <w:bCs/>
          <w:color w:val="000000"/>
          <w:sz w:val="22"/>
          <w:szCs w:val="22"/>
          <w:lang w:val="es-ES_tradnl" w:eastAsia="en-US"/>
        </w:rPr>
      </w:pPr>
      <w:r w:rsidRPr="00767300">
        <w:rPr>
          <w:rFonts w:ascii="Arial" w:eastAsia="Calibri" w:hAnsi="Arial" w:cs="Arial"/>
          <w:bCs/>
          <w:color w:val="000000"/>
          <w:sz w:val="22"/>
          <w:szCs w:val="22"/>
          <w:lang w:val="es-ES_tradnl" w:eastAsia="en-US"/>
        </w:rPr>
        <w:t>Por otra parte, el Decreto 1860 de 2021 no define fuentes de información específicas que las entidades públicas puedan consultar para «identificar bienes, servicios y la participación en la economía y en los sectores de la población en pobreza extrema, desplazados por la violencia, personas en proceso de reintegración o reincorporación y sujetos de especial protección constitucional». Este es un aspecto que debe analizar cada entidad pública en el estudio del sector económico. Así se desprende del artículo 2.2.1.2.4.2.16., cuyo segundo inciso dispone que «La participación de los sujetos anteriormente mencionados en la ejecución del contrato se fomentará previo análisis de su oportunidad y conveniencia en los Documentos del Proceso, teniendo en cuenta el objeto contractual y el alcance de las obligaciones». Como lo indicó Colombia Compra Eficiente en la Guía para la Elaboración de Estudios del Sector, las entidades estatales están habilitadas para consultar «cualquier […] sistema de información empresarial o sectorial disponible en el mercado»</w:t>
      </w:r>
      <w:r w:rsidRPr="00767300">
        <w:rPr>
          <w:rStyle w:val="Refdenotaalpie"/>
          <w:rFonts w:ascii="Arial" w:eastAsia="Calibri" w:hAnsi="Arial" w:cs="Arial"/>
          <w:bCs/>
          <w:color w:val="000000"/>
          <w:sz w:val="22"/>
          <w:szCs w:val="22"/>
          <w:lang w:val="es-ES_tradnl" w:eastAsia="en-US"/>
        </w:rPr>
        <w:footnoteReference w:id="27"/>
      </w:r>
      <w:r w:rsidRPr="00767300">
        <w:rPr>
          <w:rFonts w:ascii="Arial" w:eastAsia="Calibri" w:hAnsi="Arial" w:cs="Arial"/>
          <w:bCs/>
          <w:color w:val="000000"/>
          <w:sz w:val="22"/>
          <w:szCs w:val="22"/>
          <w:lang w:val="es-ES_tradnl" w:eastAsia="en-US"/>
        </w:rPr>
        <w:t xml:space="preserve">. </w:t>
      </w:r>
    </w:p>
    <w:p w14:paraId="739A3514" w14:textId="77777777" w:rsidR="007542C2" w:rsidRPr="00767300" w:rsidRDefault="007542C2" w:rsidP="007542C2">
      <w:pPr>
        <w:spacing w:before="120" w:line="276" w:lineRule="auto"/>
        <w:ind w:firstLine="709"/>
        <w:jc w:val="both"/>
        <w:rPr>
          <w:rFonts w:ascii="Arial" w:eastAsia="Calibri" w:hAnsi="Arial" w:cs="Arial"/>
          <w:bCs/>
          <w:color w:val="000000"/>
          <w:sz w:val="22"/>
          <w:szCs w:val="22"/>
          <w:lang w:val="es-ES_tradnl" w:eastAsia="en-US"/>
        </w:rPr>
      </w:pPr>
      <w:r w:rsidRPr="00767300">
        <w:rPr>
          <w:rFonts w:ascii="Arial" w:eastAsia="Calibri" w:hAnsi="Arial" w:cs="Arial"/>
          <w:bCs/>
          <w:color w:val="000000"/>
          <w:sz w:val="22"/>
          <w:szCs w:val="22"/>
          <w:lang w:val="es-ES_tradnl" w:eastAsia="en-US"/>
        </w:rPr>
        <w:t xml:space="preserve">De otro lado, la interpretación razonable del tercer inciso del artículo 2.2.1.2.4.2.16., acorde con su tenor literal, es que el porcentaje se aplica sobre la cantidad de bienes o servicios. En efecto, el tercer inciso de dicho artículo establece: «Esta provisión se establecerá en un porcentaje que no será superior al diez por ciento (10%) ni inferior al cinco por ciento (5%) </w:t>
      </w:r>
      <w:r w:rsidRPr="00767300">
        <w:rPr>
          <w:rFonts w:ascii="Arial" w:eastAsia="Calibri" w:hAnsi="Arial" w:cs="Arial"/>
          <w:bCs/>
          <w:i/>
          <w:iCs/>
          <w:color w:val="000000"/>
          <w:sz w:val="22"/>
          <w:szCs w:val="22"/>
          <w:lang w:val="es-ES_tradnl" w:eastAsia="en-US"/>
        </w:rPr>
        <w:t>de los bienes o servicios requeridos</w:t>
      </w:r>
      <w:r w:rsidRPr="00767300">
        <w:rPr>
          <w:rFonts w:ascii="Arial" w:eastAsia="Calibri" w:hAnsi="Arial" w:cs="Arial"/>
          <w:bCs/>
          <w:color w:val="000000"/>
          <w:sz w:val="22"/>
          <w:szCs w:val="22"/>
          <w:lang w:val="es-ES_tradnl" w:eastAsia="en-US"/>
        </w:rPr>
        <w:t xml:space="preserve"> para la ejecución del contrato, de manera que no se ponga en riesgo su cumplimiento adecuado» (énfasis fuera de texto). Obsérvese que la norma hace referencia a los bienes o servicios requeridos, mas no al presupuesto oficial, ni al valor del contrato. Así pues, en los estudios previos la entidad estatal debe analizar el objeto contractual y el alcance de las obligaciones, y, con fundamento en ello, definir el porcentaje de provisión de bienes o servicios requeridos por parte de la población en pobreza extrema, de las personas desplazadas por la violencia, de las personas en proceso de reintegración o reincorporación y, en general, de los sujetos de especial protección constitucional.</w:t>
      </w:r>
    </w:p>
    <w:p w14:paraId="7DF336CC" w14:textId="77777777" w:rsidR="007542C2" w:rsidRPr="00767300" w:rsidRDefault="007542C2" w:rsidP="007542C2">
      <w:pPr>
        <w:spacing w:before="120" w:line="276" w:lineRule="auto"/>
        <w:ind w:firstLine="709"/>
        <w:jc w:val="both"/>
        <w:rPr>
          <w:rFonts w:ascii="Arial" w:eastAsia="Calibri" w:hAnsi="Arial" w:cs="Arial"/>
          <w:bCs/>
          <w:color w:val="000000"/>
          <w:sz w:val="22"/>
          <w:szCs w:val="22"/>
          <w:lang w:val="es-ES_tradnl" w:eastAsia="en-US"/>
        </w:rPr>
      </w:pPr>
      <w:r w:rsidRPr="00767300">
        <w:rPr>
          <w:rFonts w:ascii="Arial" w:eastAsia="Calibri" w:hAnsi="Arial" w:cs="Arial"/>
          <w:bCs/>
          <w:color w:val="000000"/>
          <w:sz w:val="22"/>
          <w:szCs w:val="22"/>
          <w:lang w:val="es-ES_tradnl" w:eastAsia="en-US"/>
        </w:rPr>
        <w:t xml:space="preserve">Adicionalmente, el inciso quinto del artículo 2.2.1.2.4.2.16. establece que «El supervisor o el interventor, según el caso, realizará el seguimiento y verificará que las personas </w:t>
      </w:r>
      <w:r w:rsidRPr="00767300">
        <w:rPr>
          <w:rFonts w:ascii="Arial" w:eastAsia="Calibri" w:hAnsi="Arial" w:cs="Arial"/>
          <w:bCs/>
          <w:i/>
          <w:iCs/>
          <w:color w:val="000000"/>
          <w:sz w:val="22"/>
          <w:szCs w:val="22"/>
          <w:lang w:val="es-ES_tradnl" w:eastAsia="en-US"/>
        </w:rPr>
        <w:t>vinculadas</w:t>
      </w:r>
      <w:r w:rsidRPr="00767300">
        <w:rPr>
          <w:rFonts w:ascii="Arial" w:eastAsia="Calibri" w:hAnsi="Arial" w:cs="Arial"/>
          <w:bCs/>
          <w:color w:val="000000"/>
          <w:sz w:val="22"/>
          <w:szCs w:val="22"/>
          <w:lang w:val="es-ES_tradnl" w:eastAsia="en-US"/>
        </w:rPr>
        <w:t xml:space="preserve"> al inicio y durante la ejecución del contrato pertenezcan a los grupos poblacionales enunciados anteriormente» (énfasis fuera de texto). La norma no exige que la vinculación sea, necesariamente, laboral, pues de acuerdo con el primer inciso del artículo en comento, lo importante es «que los contratistas destinen al cumplimiento del </w:t>
      </w:r>
      <w:r w:rsidRPr="00767300">
        <w:rPr>
          <w:rFonts w:ascii="Arial" w:eastAsia="Calibri" w:hAnsi="Arial" w:cs="Arial"/>
          <w:bCs/>
          <w:color w:val="000000"/>
          <w:sz w:val="22"/>
          <w:szCs w:val="22"/>
          <w:lang w:val="es-ES_tradnl" w:eastAsia="en-US"/>
        </w:rPr>
        <w:lastRenderedPageBreak/>
        <w:t>objeto contractual la provisión de bienes o servicios por parte de población en pobreza extrema, desplazados por la violencia, personas en proceso de reintegración o reincorporación y sujetos de especial protección constitucional, garantizando las condiciones de calidad y sin perjuicio de los Acuerdos Comerciales vigentes». El concepto de «provisión de bienes o servicios» es amplio, pues enmarca las actividades que se desarrollan en el mercado, para vender, suministrar o prestar bienes o servicios</w:t>
      </w:r>
      <w:r w:rsidRPr="00767300">
        <w:rPr>
          <w:rStyle w:val="Refdenotaalpie"/>
          <w:rFonts w:ascii="Arial" w:eastAsia="Calibri" w:hAnsi="Arial" w:cs="Arial"/>
          <w:bCs/>
          <w:color w:val="000000"/>
          <w:sz w:val="22"/>
          <w:szCs w:val="22"/>
          <w:lang w:val="es-ES_tradnl" w:eastAsia="en-US"/>
        </w:rPr>
        <w:footnoteReference w:id="28"/>
      </w:r>
      <w:r w:rsidRPr="00767300">
        <w:rPr>
          <w:rFonts w:ascii="Arial" w:eastAsia="Calibri" w:hAnsi="Arial" w:cs="Arial"/>
          <w:bCs/>
          <w:color w:val="000000"/>
          <w:sz w:val="22"/>
          <w:szCs w:val="22"/>
          <w:lang w:val="es-ES_tradnl" w:eastAsia="en-US"/>
        </w:rPr>
        <w:t>. Esto significa que se puede ser proveedor de bienes o servicios, en calidad de trabajador o como contratista independiente. El supervisor o interventor, según el caso, debe constatar, entonces, durante la ejecución del contrato, que la provisión de los bienes o servicios, en el porcentaje indicado por la entidad estatal, se realice por parte de los sujetos de especial protección constitucional, independientemente de la naturaleza del contrato suscrito entre ellos y el contratista.</w:t>
      </w:r>
    </w:p>
    <w:p w14:paraId="768A3E18" w14:textId="77777777" w:rsidR="007542C2" w:rsidRPr="005D75C1" w:rsidRDefault="007542C2" w:rsidP="007542C2">
      <w:pPr>
        <w:spacing w:before="120" w:line="276" w:lineRule="auto"/>
        <w:ind w:firstLine="709"/>
        <w:jc w:val="both"/>
        <w:rPr>
          <w:rFonts w:ascii="Arial" w:eastAsia="Calibri" w:hAnsi="Arial" w:cs="Arial"/>
          <w:bCs/>
          <w:color w:val="000000"/>
          <w:sz w:val="22"/>
          <w:szCs w:val="22"/>
          <w:lang w:val="es-ES_tradnl" w:eastAsia="en-US"/>
        </w:rPr>
      </w:pPr>
      <w:r w:rsidRPr="00767300">
        <w:rPr>
          <w:rFonts w:ascii="Arial" w:eastAsia="Calibri" w:hAnsi="Arial" w:cs="Arial"/>
          <w:bCs/>
          <w:color w:val="000000"/>
          <w:sz w:val="22"/>
          <w:szCs w:val="22"/>
          <w:lang w:val="es-ES_tradnl" w:eastAsia="en-US"/>
        </w:rPr>
        <w:t xml:space="preserve"> Con todo, la provisión de los bienes o servicios se debe realizar directamente por la población en pobreza extrema, los desplazados por la violencia, las personas en proceso de reintegración o reincorporación y los sujetos de especial protección constitucional. Por tanto, esta Agencia no considera procedente interpretar que se satisface la exigencia del porcentaje de provisión de bienes o servicios, por contratar con un particular que, a su vez, adquirirá los bienes o servicios de parte de los grupos poblacionales enunciados en el artículo 2.2.1.2.4.2.16. En armonía con el artículo 34 de la Ley 2069 de 2020, el espíritu de la norma es promover el desarrollo para las personas que necesiten estas acciones de fomento por parte del Estado; finalidad que se desnaturalizaría si se entendiera que esto puede ser fuente de ganancia económica para sujetos que no caben en los grupos poblacionales beneficiados con esta medida, encareciendo con la intermediación el coste de los bienes o servicios requeridos para cumplir con el objeto contractual.</w:t>
      </w:r>
    </w:p>
    <w:p w14:paraId="06C0C344" w14:textId="77777777" w:rsidR="005E22FE" w:rsidRPr="00DE29F5" w:rsidRDefault="005E22FE" w:rsidP="00C26B44">
      <w:pPr>
        <w:spacing w:line="276" w:lineRule="auto"/>
        <w:ind w:firstLine="709"/>
        <w:jc w:val="both"/>
        <w:rPr>
          <w:rFonts w:ascii="Arial" w:eastAsia="Calibri" w:hAnsi="Arial" w:cs="Arial"/>
          <w:sz w:val="22"/>
          <w:szCs w:val="22"/>
          <w:lang w:val="es-ES" w:eastAsia="en-US"/>
        </w:rPr>
      </w:pPr>
    </w:p>
    <w:p w14:paraId="00C499AD" w14:textId="73EC673C" w:rsidR="00DE29F5" w:rsidRPr="005E22FE" w:rsidRDefault="005E22FE" w:rsidP="00BA79B8">
      <w:pPr>
        <w:spacing w:line="276" w:lineRule="auto"/>
        <w:jc w:val="both"/>
        <w:rPr>
          <w:rFonts w:ascii="Arial" w:eastAsia="Calibri" w:hAnsi="Arial" w:cs="Arial"/>
          <w:b/>
          <w:bCs/>
          <w:color w:val="000000" w:themeColor="text1"/>
          <w:sz w:val="22"/>
          <w:szCs w:val="22"/>
          <w:lang w:val="es-ES"/>
        </w:rPr>
      </w:pPr>
      <w:r w:rsidRPr="005E22FE">
        <w:rPr>
          <w:rFonts w:ascii="Arial" w:eastAsia="Calibri" w:hAnsi="Arial" w:cs="Arial"/>
          <w:b/>
          <w:bCs/>
          <w:color w:val="000000" w:themeColor="text1"/>
          <w:sz w:val="22"/>
          <w:szCs w:val="22"/>
          <w:lang w:val="es-ES_tradnl"/>
        </w:rPr>
        <w:t>2.</w:t>
      </w:r>
      <w:r w:rsidR="0073076C">
        <w:rPr>
          <w:rFonts w:ascii="Arial" w:eastAsia="Calibri" w:hAnsi="Arial" w:cs="Arial"/>
          <w:b/>
          <w:bCs/>
          <w:color w:val="000000" w:themeColor="text1"/>
          <w:sz w:val="22"/>
          <w:szCs w:val="22"/>
          <w:lang w:val="es-ES_tradnl"/>
        </w:rPr>
        <w:t>4</w:t>
      </w:r>
      <w:r w:rsidR="000C515F">
        <w:rPr>
          <w:rFonts w:ascii="Arial" w:eastAsia="Calibri" w:hAnsi="Arial" w:cs="Arial"/>
          <w:b/>
          <w:bCs/>
          <w:color w:val="000000" w:themeColor="text1"/>
          <w:sz w:val="22"/>
          <w:szCs w:val="22"/>
          <w:lang w:val="es-ES_tradnl"/>
        </w:rPr>
        <w:t>.</w:t>
      </w:r>
      <w:r w:rsidRPr="005E22FE">
        <w:rPr>
          <w:rFonts w:ascii="Arial" w:eastAsia="Calibri" w:hAnsi="Arial" w:cs="Arial"/>
          <w:b/>
          <w:bCs/>
          <w:color w:val="000000" w:themeColor="text1"/>
          <w:sz w:val="22"/>
          <w:szCs w:val="22"/>
          <w:lang w:val="es-ES_tradnl"/>
        </w:rPr>
        <w:t xml:space="preserve"> Forma de acreditación de los factores de desempate</w:t>
      </w:r>
      <w:r w:rsidR="00730778">
        <w:rPr>
          <w:rFonts w:ascii="Arial" w:eastAsia="Calibri" w:hAnsi="Arial" w:cs="Arial"/>
          <w:b/>
          <w:bCs/>
          <w:color w:val="000000" w:themeColor="text1"/>
          <w:sz w:val="22"/>
          <w:szCs w:val="22"/>
          <w:lang w:val="es-ES_tradnl"/>
        </w:rPr>
        <w:t xml:space="preserve"> y de sujetos de especial protección constitucional</w:t>
      </w:r>
      <w:r w:rsidR="00A1655C">
        <w:rPr>
          <w:rFonts w:ascii="Arial" w:eastAsia="Calibri" w:hAnsi="Arial" w:cs="Arial"/>
          <w:b/>
          <w:bCs/>
          <w:color w:val="000000" w:themeColor="text1"/>
          <w:sz w:val="22"/>
          <w:szCs w:val="22"/>
          <w:lang w:val="es-ES_tradnl"/>
        </w:rPr>
        <w:t xml:space="preserve"> </w:t>
      </w:r>
      <w:r w:rsidR="00336CF8">
        <w:rPr>
          <w:rFonts w:ascii="Arial" w:eastAsia="Calibri" w:hAnsi="Arial" w:cs="Arial"/>
          <w:b/>
          <w:bCs/>
          <w:color w:val="000000" w:themeColor="text1"/>
          <w:sz w:val="22"/>
          <w:szCs w:val="22"/>
          <w:lang w:val="es-ES_tradnl"/>
        </w:rPr>
        <w:t>y tratamiento de</w:t>
      </w:r>
      <w:r w:rsidR="00A1655C">
        <w:rPr>
          <w:rFonts w:ascii="Arial" w:eastAsia="Calibri" w:hAnsi="Arial" w:cs="Arial"/>
          <w:b/>
          <w:bCs/>
          <w:color w:val="000000" w:themeColor="text1"/>
          <w:sz w:val="22"/>
          <w:szCs w:val="22"/>
          <w:lang w:val="es-ES_tradnl"/>
        </w:rPr>
        <w:t xml:space="preserve"> información </w:t>
      </w:r>
      <w:r w:rsidR="005231A5">
        <w:rPr>
          <w:rFonts w:ascii="Arial" w:eastAsia="Calibri" w:hAnsi="Arial" w:cs="Arial"/>
          <w:b/>
          <w:bCs/>
          <w:color w:val="000000" w:themeColor="text1"/>
          <w:sz w:val="22"/>
          <w:szCs w:val="22"/>
          <w:lang w:val="es-ES_tradnl"/>
        </w:rPr>
        <w:t xml:space="preserve">clasificada o </w:t>
      </w:r>
      <w:r w:rsidR="00A1655C">
        <w:rPr>
          <w:rFonts w:ascii="Arial" w:eastAsia="Calibri" w:hAnsi="Arial" w:cs="Arial"/>
          <w:b/>
          <w:bCs/>
          <w:color w:val="000000" w:themeColor="text1"/>
          <w:sz w:val="22"/>
          <w:szCs w:val="22"/>
          <w:lang w:val="es-ES_tradnl"/>
        </w:rPr>
        <w:t>reservada</w:t>
      </w:r>
      <w:r w:rsidR="00730778">
        <w:rPr>
          <w:rFonts w:ascii="Arial" w:eastAsia="Calibri" w:hAnsi="Arial" w:cs="Arial"/>
          <w:b/>
          <w:bCs/>
          <w:color w:val="000000" w:themeColor="text1"/>
          <w:sz w:val="22"/>
          <w:szCs w:val="22"/>
          <w:lang w:val="es-ES_tradnl"/>
        </w:rPr>
        <w:t xml:space="preserve"> </w:t>
      </w:r>
    </w:p>
    <w:p w14:paraId="6DF898B7" w14:textId="77777777" w:rsidR="007542C2" w:rsidRDefault="007542C2" w:rsidP="00C26B44">
      <w:pPr>
        <w:spacing w:line="276" w:lineRule="auto"/>
        <w:jc w:val="both"/>
        <w:rPr>
          <w:rFonts w:ascii="Arial" w:eastAsia="Calibri" w:hAnsi="Arial" w:cs="Arial"/>
          <w:color w:val="000000" w:themeColor="text1"/>
          <w:sz w:val="22"/>
          <w:szCs w:val="22"/>
          <w:lang w:val="es-ES_tradnl"/>
        </w:rPr>
      </w:pPr>
    </w:p>
    <w:p w14:paraId="577AAFDE" w14:textId="1951B0CE" w:rsidR="005E22FE" w:rsidRPr="005E22FE" w:rsidRDefault="005E22FE" w:rsidP="00C26B44">
      <w:pPr>
        <w:spacing w:line="276" w:lineRule="auto"/>
        <w:jc w:val="both"/>
        <w:rPr>
          <w:rFonts w:ascii="Arial" w:eastAsia="Calibri" w:hAnsi="Arial" w:cs="Arial"/>
          <w:color w:val="000000" w:themeColor="text1"/>
          <w:sz w:val="22"/>
          <w:szCs w:val="22"/>
          <w:lang w:val="es-ES_tradnl"/>
        </w:rPr>
      </w:pPr>
      <w:r w:rsidRPr="005E22FE">
        <w:rPr>
          <w:rFonts w:ascii="Arial" w:eastAsia="Calibri" w:hAnsi="Arial" w:cs="Arial"/>
          <w:color w:val="000000" w:themeColor="text1"/>
          <w:sz w:val="22"/>
          <w:szCs w:val="22"/>
          <w:lang w:val="es-ES_tradnl"/>
        </w:rPr>
        <w:t xml:space="preserve">El artículo 35 de la Ley 2069 de 2020 modifica la regulación de los factores de desempate en la contratación estatal. </w:t>
      </w:r>
      <w:r>
        <w:rPr>
          <w:rFonts w:ascii="Arial" w:eastAsia="Calibri" w:hAnsi="Arial" w:cs="Arial"/>
          <w:sz w:val="22"/>
          <w:szCs w:val="22"/>
          <w:lang w:val="es-ES_tradnl"/>
        </w:rPr>
        <w:t>P</w:t>
      </w:r>
      <w:r w:rsidRPr="005E22FE">
        <w:rPr>
          <w:rFonts w:ascii="Arial" w:eastAsia="Calibri" w:hAnsi="Arial" w:cs="Arial"/>
          <w:sz w:val="22"/>
          <w:szCs w:val="22"/>
          <w:lang w:val="es-ES_tradnl"/>
        </w:rPr>
        <w:t>ese a que el parágrafo 3 disp</w:t>
      </w:r>
      <w:r>
        <w:rPr>
          <w:rFonts w:ascii="Arial" w:eastAsia="Calibri" w:hAnsi="Arial" w:cs="Arial"/>
          <w:sz w:val="22"/>
          <w:szCs w:val="22"/>
          <w:lang w:val="es-ES_tradnl"/>
        </w:rPr>
        <w:t>uso</w:t>
      </w:r>
      <w:r w:rsidRPr="005E22FE">
        <w:rPr>
          <w:rFonts w:ascii="Arial" w:eastAsia="Calibri" w:hAnsi="Arial" w:cs="Arial"/>
          <w:sz w:val="22"/>
          <w:szCs w:val="22"/>
          <w:lang w:val="es-ES_tradnl"/>
        </w:rPr>
        <w:t xml:space="preserve"> que el Gobierno Nacional podr</w:t>
      </w:r>
      <w:r>
        <w:rPr>
          <w:rFonts w:ascii="Arial" w:eastAsia="Calibri" w:hAnsi="Arial" w:cs="Arial"/>
          <w:sz w:val="22"/>
          <w:szCs w:val="22"/>
          <w:lang w:val="es-ES_tradnl"/>
        </w:rPr>
        <w:t>ía</w:t>
      </w:r>
      <w:r w:rsidRPr="005E22FE">
        <w:rPr>
          <w:rFonts w:ascii="Arial" w:eastAsia="Calibri" w:hAnsi="Arial" w:cs="Arial"/>
          <w:sz w:val="22"/>
          <w:szCs w:val="22"/>
          <w:lang w:val="es-ES_tradnl"/>
        </w:rPr>
        <w:t xml:space="preserve"> regular los supuestos en que concurran dos o más factores de desempate,</w:t>
      </w:r>
      <w:r w:rsidRPr="005E22FE">
        <w:rPr>
          <w:rFonts w:ascii="Arial" w:eastAsia="Calibri" w:hAnsi="Arial" w:cs="Arial"/>
          <w:color w:val="000000" w:themeColor="text1"/>
          <w:sz w:val="22"/>
          <w:szCs w:val="22"/>
          <w:lang w:val="es-ES_tradnl"/>
        </w:rPr>
        <w:t xml:space="preserve"> </w:t>
      </w:r>
      <w:r w:rsidR="00730778">
        <w:rPr>
          <w:rFonts w:ascii="Arial" w:eastAsia="Calibri" w:hAnsi="Arial" w:cs="Arial"/>
          <w:color w:val="000000" w:themeColor="text1"/>
          <w:sz w:val="22"/>
          <w:szCs w:val="22"/>
          <w:lang w:val="es-ES_tradnl"/>
        </w:rPr>
        <w:t xml:space="preserve">esta Agencia consideró que </w:t>
      </w:r>
      <w:r w:rsidRPr="005E22FE">
        <w:rPr>
          <w:rFonts w:ascii="Arial" w:eastAsia="Calibri" w:hAnsi="Arial" w:cs="Arial"/>
          <w:color w:val="000000" w:themeColor="text1"/>
          <w:sz w:val="22"/>
          <w:szCs w:val="22"/>
          <w:lang w:val="es-ES_tradnl"/>
        </w:rPr>
        <w:t>el artículo 35 de la Ley 2069 de 2020 goz</w:t>
      </w:r>
      <w:r w:rsidR="00730778">
        <w:rPr>
          <w:rFonts w:ascii="Arial" w:eastAsia="Calibri" w:hAnsi="Arial" w:cs="Arial"/>
          <w:color w:val="000000" w:themeColor="text1"/>
          <w:sz w:val="22"/>
          <w:szCs w:val="22"/>
          <w:lang w:val="es-ES_tradnl"/>
        </w:rPr>
        <w:t>ó</w:t>
      </w:r>
      <w:r w:rsidRPr="005E22FE">
        <w:rPr>
          <w:rFonts w:ascii="Arial" w:eastAsia="Calibri" w:hAnsi="Arial" w:cs="Arial"/>
          <w:color w:val="000000" w:themeColor="text1"/>
          <w:sz w:val="22"/>
          <w:szCs w:val="22"/>
          <w:lang w:val="es-ES_tradnl"/>
        </w:rPr>
        <w:t xml:space="preserve"> de aplicación directa desde la fecha de su promulgación, es decir, </w:t>
      </w:r>
      <w:r w:rsidR="00730778">
        <w:rPr>
          <w:rFonts w:ascii="Arial" w:eastAsia="Calibri" w:hAnsi="Arial" w:cs="Arial"/>
          <w:color w:val="000000" w:themeColor="text1"/>
          <w:sz w:val="22"/>
          <w:szCs w:val="22"/>
          <w:lang w:val="es-ES_tradnl"/>
        </w:rPr>
        <w:t xml:space="preserve">que dicha norma </w:t>
      </w:r>
      <w:r w:rsidRPr="005E22FE">
        <w:rPr>
          <w:rFonts w:ascii="Arial" w:eastAsia="Calibri" w:hAnsi="Arial" w:cs="Arial"/>
          <w:color w:val="000000" w:themeColor="text1"/>
          <w:sz w:val="22"/>
          <w:szCs w:val="22"/>
          <w:lang w:val="es-ES_tradnl"/>
        </w:rPr>
        <w:t>no requ</w:t>
      </w:r>
      <w:r w:rsidR="00730778">
        <w:rPr>
          <w:rFonts w:ascii="Arial" w:eastAsia="Calibri" w:hAnsi="Arial" w:cs="Arial"/>
          <w:color w:val="000000" w:themeColor="text1"/>
          <w:sz w:val="22"/>
          <w:szCs w:val="22"/>
          <w:lang w:val="es-ES_tradnl"/>
        </w:rPr>
        <w:t>ería</w:t>
      </w:r>
      <w:r w:rsidRPr="005E22FE">
        <w:rPr>
          <w:rFonts w:ascii="Arial" w:eastAsia="Calibri" w:hAnsi="Arial" w:cs="Arial"/>
          <w:color w:val="000000" w:themeColor="text1"/>
          <w:sz w:val="22"/>
          <w:szCs w:val="22"/>
          <w:lang w:val="es-ES_tradnl"/>
        </w:rPr>
        <w:t xml:space="preserve"> de una reglamentación previa como presupuesto para su eficacia. Esta precisión</w:t>
      </w:r>
      <w:r w:rsidR="00730778">
        <w:rPr>
          <w:rFonts w:ascii="Arial" w:eastAsia="Calibri" w:hAnsi="Arial" w:cs="Arial"/>
          <w:color w:val="000000" w:themeColor="text1"/>
          <w:sz w:val="22"/>
          <w:szCs w:val="22"/>
          <w:lang w:val="es-ES_tradnl"/>
        </w:rPr>
        <w:t xml:space="preserve"> se hace porque otros artículos de esa misma ley si requerían expresamente de reglamentación por parte del Gobierno Nacional para su aplicación. </w:t>
      </w:r>
      <w:r w:rsidR="00BE426A" w:rsidRPr="005E22FE">
        <w:rPr>
          <w:rFonts w:ascii="Arial" w:eastAsia="Calibri" w:hAnsi="Arial" w:cs="Arial"/>
          <w:color w:val="000000" w:themeColor="text1"/>
          <w:sz w:val="22"/>
          <w:szCs w:val="22"/>
          <w:lang w:val="es-ES_tradnl"/>
        </w:rPr>
        <w:t xml:space="preserve">Por ejemplo, el inciso cuarto del artículo 12 de la Ley 1150 de 2007, modificado por el artículo 34 de la Ley 2069 de 2020, indica que en </w:t>
      </w:r>
      <w:r w:rsidR="00BE426A" w:rsidRPr="005E22FE">
        <w:rPr>
          <w:rFonts w:ascii="Arial" w:eastAsia="Calibri" w:hAnsi="Arial" w:cs="Arial"/>
          <w:color w:val="000000" w:themeColor="text1"/>
          <w:sz w:val="22"/>
          <w:szCs w:val="22"/>
          <w:lang w:val="es-ES_tradnl"/>
        </w:rPr>
        <w:lastRenderedPageBreak/>
        <w:t>los pliegos de condiciones las entidades estatales deben prever mecanismos que garanticen la provisión de bienes y servicios por parte de sujetos de especial protección constitucional «[…] en las condiciones que señale el reglamento».</w:t>
      </w:r>
      <w:r w:rsidR="00BE426A">
        <w:rPr>
          <w:rFonts w:ascii="Arial" w:eastAsia="Calibri" w:hAnsi="Arial" w:cs="Arial"/>
          <w:color w:val="000000" w:themeColor="text1"/>
          <w:sz w:val="22"/>
          <w:szCs w:val="22"/>
          <w:lang w:val="es-ES_tradnl"/>
        </w:rPr>
        <w:t xml:space="preserve"> No obstante,</w:t>
      </w:r>
      <w:r w:rsidR="00BA0B64">
        <w:rPr>
          <w:rFonts w:ascii="Arial" w:eastAsia="Calibri" w:hAnsi="Arial" w:cs="Arial"/>
          <w:color w:val="000000" w:themeColor="text1"/>
          <w:sz w:val="22"/>
          <w:szCs w:val="22"/>
          <w:lang w:val="es-ES_tradnl"/>
        </w:rPr>
        <w:t xml:space="preserve"> l</w:t>
      </w:r>
      <w:r w:rsidR="00730778">
        <w:rPr>
          <w:rFonts w:ascii="Arial" w:eastAsia="Calibri" w:hAnsi="Arial" w:cs="Arial"/>
          <w:color w:val="000000" w:themeColor="text1"/>
          <w:sz w:val="22"/>
          <w:szCs w:val="22"/>
          <w:lang w:val="es-ES_tradnl"/>
        </w:rPr>
        <w:t xml:space="preserve">o anterior quedó superado con la expedición del Decreto 1860 de 2021, que reglamentó los artículos 30, 31, 32, 34 y 35 de la Ley 2069 de 2020 y que </w:t>
      </w:r>
      <w:r w:rsidR="00BE426A">
        <w:rPr>
          <w:rFonts w:ascii="Arial" w:eastAsia="Calibri" w:hAnsi="Arial" w:cs="Arial"/>
          <w:color w:val="000000" w:themeColor="text1"/>
          <w:sz w:val="22"/>
          <w:szCs w:val="22"/>
          <w:lang w:val="es-ES_tradnl"/>
        </w:rPr>
        <w:t>actualmente rige para el sistema de compras públicas</w:t>
      </w:r>
      <w:r w:rsidR="00730778">
        <w:rPr>
          <w:rFonts w:ascii="Arial" w:eastAsia="Calibri" w:hAnsi="Arial" w:cs="Arial"/>
          <w:color w:val="000000" w:themeColor="text1"/>
          <w:sz w:val="22"/>
          <w:szCs w:val="22"/>
          <w:lang w:val="es-ES_tradnl"/>
        </w:rPr>
        <w:t xml:space="preserve">. </w:t>
      </w:r>
      <w:r w:rsidRPr="005E22FE">
        <w:rPr>
          <w:rFonts w:ascii="Arial" w:eastAsia="Calibri" w:hAnsi="Arial" w:cs="Arial"/>
          <w:color w:val="000000" w:themeColor="text1"/>
          <w:sz w:val="22"/>
          <w:szCs w:val="22"/>
          <w:lang w:val="es-ES_tradnl"/>
        </w:rPr>
        <w:t xml:space="preserve"> </w:t>
      </w:r>
    </w:p>
    <w:p w14:paraId="2849CD73" w14:textId="77777777" w:rsidR="00EB580A" w:rsidRPr="00EB580A" w:rsidRDefault="00BE426A" w:rsidP="00EB580A">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C</w:t>
      </w:r>
      <w:r w:rsidR="005E22FE" w:rsidRPr="005E22FE">
        <w:rPr>
          <w:rFonts w:ascii="Arial" w:eastAsia="Calibri" w:hAnsi="Arial" w:cs="Arial"/>
          <w:color w:val="000000" w:themeColor="text1"/>
          <w:sz w:val="22"/>
          <w:szCs w:val="22"/>
          <w:lang w:val="es-ES_tradnl"/>
        </w:rPr>
        <w:t>onviene destacar –según lo señala su inciso primero</w:t>
      </w:r>
      <w:r w:rsidR="005E22FE" w:rsidRPr="005E22FE">
        <w:rPr>
          <w:rFonts w:ascii="Arial" w:eastAsia="Calibri" w:hAnsi="Arial" w:cs="Arial"/>
          <w:color w:val="000000" w:themeColor="text1"/>
          <w:sz w:val="22"/>
          <w:szCs w:val="22"/>
          <w:lang w:val="es-ES_tradnl"/>
        </w:rPr>
        <w:softHyphen/>
        <w:t xml:space="preserve">– que los factores de desempate previstos en el artículo 35 de la Ley 2069 de 2020 son obligatorios «[…] en los Procesos de Contratación realizados con cargo a recursos públicos, los Procesos de Contratación realizados por las Entidades Estatales </w:t>
      </w:r>
      <w:r w:rsidR="005E22FE" w:rsidRPr="005E22FE">
        <w:rPr>
          <w:rFonts w:ascii="Arial" w:eastAsia="Calibri" w:hAnsi="Arial" w:cs="Arial"/>
          <w:i/>
          <w:iCs/>
          <w:color w:val="000000" w:themeColor="text1"/>
          <w:sz w:val="22"/>
          <w:szCs w:val="22"/>
          <w:lang w:val="es-ES_tradnl"/>
        </w:rPr>
        <w:t>indistintamente de su régimen de contratación</w:t>
      </w:r>
      <w:r w:rsidR="005E22FE" w:rsidRPr="005E22FE">
        <w:rPr>
          <w:rFonts w:ascii="Arial" w:eastAsia="Calibri" w:hAnsi="Arial" w:cs="Arial"/>
          <w:color w:val="000000" w:themeColor="text1"/>
          <w:sz w:val="22"/>
          <w:szCs w:val="22"/>
          <w:lang w:val="es-ES_tradnl"/>
        </w:rPr>
        <w:t xml:space="preserve">, así como los celebrados por los Procesos de Contratación de los patrimonios autónomos constituidos por Entidades Estatales» (cursiva fuera de texto). En consecuencia, bien sea que la entidad estatal contratante se rija por el Estatuto General de Contratación de la Administración Pública o por el derecho privado, </w:t>
      </w:r>
      <w:r w:rsidR="005E22FE" w:rsidRPr="005E22FE">
        <w:rPr>
          <w:rFonts w:ascii="Arial" w:eastAsia="Calibri" w:hAnsi="Arial" w:cs="Arial"/>
          <w:i/>
          <w:iCs/>
          <w:color w:val="000000" w:themeColor="text1"/>
          <w:sz w:val="22"/>
          <w:szCs w:val="22"/>
          <w:lang w:val="es-ES_tradnl"/>
        </w:rPr>
        <w:t>debe</w:t>
      </w:r>
      <w:r w:rsidR="005E22FE" w:rsidRPr="005E22FE">
        <w:rPr>
          <w:rFonts w:ascii="Arial" w:eastAsia="Calibri" w:hAnsi="Arial" w:cs="Arial"/>
          <w:color w:val="000000" w:themeColor="text1"/>
          <w:sz w:val="22"/>
          <w:szCs w:val="22"/>
          <w:lang w:val="es-ES_tradnl"/>
        </w:rPr>
        <w:t xml:space="preserve"> aplicar los criterios de desempate establecidos en el referido artículo 35. </w:t>
      </w:r>
      <w:r w:rsidR="00EB580A" w:rsidRPr="00EB580A">
        <w:rPr>
          <w:rFonts w:ascii="Arial" w:eastAsia="Calibri" w:hAnsi="Arial" w:cs="Arial"/>
          <w:color w:val="000000" w:themeColor="text1"/>
          <w:sz w:val="22"/>
          <w:szCs w:val="22"/>
          <w:lang w:val="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w:t>
      </w:r>
      <w:r w:rsidR="00EB580A" w:rsidRPr="00EB580A">
        <w:rPr>
          <w:rFonts w:ascii="Arial" w:eastAsia="Calibri" w:hAnsi="Arial" w:cs="Arial"/>
          <w:vertAlign w:val="superscript"/>
        </w:rPr>
        <w:footnoteReference w:id="29"/>
      </w:r>
      <w:r w:rsidR="00EB580A" w:rsidRPr="00EB580A">
        <w:rPr>
          <w:rFonts w:ascii="Arial" w:eastAsia="Calibri" w:hAnsi="Arial" w:cs="Arial"/>
          <w:color w:val="000000" w:themeColor="text1"/>
          <w:sz w:val="22"/>
          <w:szCs w:val="22"/>
          <w:lang w:val="es-ES_tradnl"/>
        </w:rPr>
        <w:t>. Más aún, el Consejo de Estado ha señalado que contrariar los factores de desempate genera la nulidad del contrato, conforme al artículo 44, inciso 1º de la Ley 80 de 1993</w:t>
      </w:r>
      <w:r w:rsidR="00EB580A" w:rsidRPr="00EB580A">
        <w:rPr>
          <w:rFonts w:ascii="Arial" w:eastAsia="Calibri" w:hAnsi="Arial" w:cs="Arial"/>
          <w:vertAlign w:val="superscript"/>
        </w:rPr>
        <w:footnoteReference w:id="30"/>
      </w:r>
      <w:r w:rsidR="00EB580A" w:rsidRPr="00EB580A">
        <w:rPr>
          <w:rFonts w:ascii="Arial" w:eastAsia="Calibri" w:hAnsi="Arial" w:cs="Arial"/>
          <w:color w:val="000000" w:themeColor="text1"/>
          <w:sz w:val="22"/>
          <w:szCs w:val="22"/>
          <w:lang w:val="es-ES_tradnl"/>
        </w:rPr>
        <w:t>.</w:t>
      </w:r>
    </w:p>
    <w:p w14:paraId="325B8387" w14:textId="77777777" w:rsidR="00EB580A" w:rsidRPr="00EB580A" w:rsidRDefault="00EB580A" w:rsidP="00EB580A">
      <w:pPr>
        <w:spacing w:before="120" w:line="276" w:lineRule="auto"/>
        <w:ind w:firstLine="709"/>
        <w:jc w:val="both"/>
        <w:rPr>
          <w:rFonts w:ascii="Arial" w:eastAsia="Calibri" w:hAnsi="Arial" w:cs="Arial"/>
          <w:color w:val="000000" w:themeColor="text1"/>
          <w:sz w:val="22"/>
          <w:szCs w:val="22"/>
          <w:lang w:val="es-ES_tradnl"/>
        </w:rPr>
      </w:pPr>
      <w:r w:rsidRPr="00EB580A">
        <w:rPr>
          <w:rFonts w:ascii="Arial" w:eastAsia="Calibri" w:hAnsi="Arial" w:cs="Arial"/>
          <w:color w:val="000000" w:themeColor="text1"/>
          <w:sz w:val="22"/>
          <w:szCs w:val="22"/>
          <w:lang w:val="es-ES_tradnl"/>
        </w:rPr>
        <w:t xml:space="preserve">Ahora bien, en cumplimiento de los principios de reciprocidad y de </w:t>
      </w:r>
      <w:r w:rsidRPr="00EB580A">
        <w:rPr>
          <w:rFonts w:ascii="Arial" w:eastAsia="Calibri" w:hAnsi="Arial" w:cs="Arial"/>
          <w:i/>
          <w:iCs/>
          <w:color w:val="000000" w:themeColor="text1"/>
          <w:sz w:val="22"/>
          <w:szCs w:val="22"/>
          <w:lang w:val="es-ES_tradnl"/>
        </w:rPr>
        <w:t xml:space="preserve">pacta sunt </w:t>
      </w:r>
      <w:proofErr w:type="spellStart"/>
      <w:r w:rsidRPr="00EB580A">
        <w:rPr>
          <w:rFonts w:ascii="Arial" w:eastAsia="Calibri" w:hAnsi="Arial" w:cs="Arial"/>
          <w:i/>
          <w:iCs/>
          <w:color w:val="000000" w:themeColor="text1"/>
          <w:sz w:val="22"/>
          <w:szCs w:val="22"/>
          <w:lang w:val="es-ES_tradnl"/>
        </w:rPr>
        <w:t>servanda</w:t>
      </w:r>
      <w:proofErr w:type="spellEnd"/>
      <w:r w:rsidRPr="00EB580A">
        <w:rPr>
          <w:rFonts w:ascii="Arial" w:eastAsia="Calibri" w:hAnsi="Arial" w:cs="Arial"/>
          <w:color w:val="000000" w:themeColor="text1"/>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2FB09353" w14:textId="77777777" w:rsidR="005E22FE" w:rsidRPr="005E22FE" w:rsidRDefault="005E22FE" w:rsidP="005E22FE">
      <w:pPr>
        <w:ind w:right="709"/>
        <w:jc w:val="both"/>
        <w:rPr>
          <w:rFonts w:ascii="Arial" w:eastAsia="Calibri" w:hAnsi="Arial" w:cs="Arial"/>
          <w:color w:val="000000" w:themeColor="text1"/>
          <w:sz w:val="21"/>
          <w:szCs w:val="21"/>
          <w:lang w:val="es-ES_tradnl"/>
        </w:rPr>
      </w:pPr>
    </w:p>
    <w:p w14:paraId="241091E6" w14:textId="64842481" w:rsidR="005E22FE" w:rsidRDefault="00EB580A" w:rsidP="005E22FE">
      <w:pPr>
        <w:spacing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 xml:space="preserve">Antes de la expedición del Decreto 1860 de 2021, </w:t>
      </w:r>
      <w:r w:rsidR="00991174">
        <w:rPr>
          <w:rFonts w:ascii="Arial" w:eastAsia="Calibri" w:hAnsi="Arial" w:cs="Arial"/>
          <w:color w:val="000000" w:themeColor="text1"/>
          <w:sz w:val="22"/>
          <w:szCs w:val="22"/>
          <w:lang w:val="es-ES_tradnl"/>
        </w:rPr>
        <w:t xml:space="preserve">esta Agencia había considerado que si bien los factores de desempate previstos en el artículo 35 de la Ley 2069 de 2020 tenían aplicación directa, la forma de acreditación de los supuestos fácticos para su </w:t>
      </w:r>
      <w:r w:rsidR="00991174">
        <w:rPr>
          <w:rFonts w:ascii="Arial" w:eastAsia="Calibri" w:hAnsi="Arial" w:cs="Arial"/>
          <w:color w:val="000000" w:themeColor="text1"/>
          <w:sz w:val="22"/>
          <w:szCs w:val="22"/>
          <w:lang w:val="es-ES_tradnl"/>
        </w:rPr>
        <w:lastRenderedPageBreak/>
        <w:t xml:space="preserve">utilización no estaba establecida </w:t>
      </w:r>
      <w:bookmarkStart w:id="20" w:name="_Hlk62459524"/>
      <w:r w:rsidR="00991174">
        <w:rPr>
          <w:rFonts w:ascii="Arial" w:eastAsia="Calibri" w:hAnsi="Arial" w:cs="Arial"/>
          <w:color w:val="000000" w:themeColor="text1"/>
          <w:sz w:val="22"/>
          <w:szCs w:val="22"/>
          <w:lang w:val="es-ES_tradnl"/>
        </w:rPr>
        <w:t xml:space="preserve">de manera específica en la norma, por lo que le </w:t>
      </w:r>
      <w:r w:rsidR="005E22FE" w:rsidRPr="005E22FE">
        <w:rPr>
          <w:rFonts w:ascii="Arial" w:eastAsia="Calibri" w:hAnsi="Arial" w:cs="Arial"/>
          <w:color w:val="000000" w:themeColor="text1"/>
          <w:sz w:val="22"/>
          <w:szCs w:val="22"/>
          <w:lang w:val="es-ES_tradnl"/>
        </w:rPr>
        <w:t>correspond</w:t>
      </w:r>
      <w:r w:rsidR="00991174">
        <w:rPr>
          <w:rFonts w:ascii="Arial" w:eastAsia="Calibri" w:hAnsi="Arial" w:cs="Arial"/>
          <w:color w:val="000000" w:themeColor="text1"/>
          <w:sz w:val="22"/>
          <w:szCs w:val="22"/>
          <w:lang w:val="es-ES_tradnl"/>
        </w:rPr>
        <w:t>ía</w:t>
      </w:r>
      <w:r w:rsidR="005E22FE" w:rsidRPr="005E22FE">
        <w:rPr>
          <w:rFonts w:ascii="Arial" w:eastAsia="Calibri" w:hAnsi="Arial" w:cs="Arial"/>
          <w:color w:val="000000" w:themeColor="text1"/>
          <w:sz w:val="22"/>
          <w:szCs w:val="22"/>
          <w:lang w:val="es-ES_tradnl"/>
        </w:rPr>
        <w:t xml:space="preserve"> a la entidad contratante analizar si el ordenamiento jurídico, </w:t>
      </w:r>
      <w:r w:rsidR="00991174">
        <w:rPr>
          <w:rFonts w:ascii="Arial" w:eastAsia="Calibri" w:hAnsi="Arial" w:cs="Arial"/>
          <w:color w:val="000000" w:themeColor="text1"/>
          <w:sz w:val="22"/>
          <w:szCs w:val="22"/>
          <w:lang w:val="es-ES_tradnl"/>
        </w:rPr>
        <w:t xml:space="preserve">esto es, </w:t>
      </w:r>
      <w:r w:rsidR="005E22FE" w:rsidRPr="005E22FE">
        <w:rPr>
          <w:rFonts w:ascii="Arial" w:eastAsia="Calibri" w:hAnsi="Arial" w:cs="Arial"/>
          <w:color w:val="000000" w:themeColor="text1"/>
          <w:sz w:val="22"/>
          <w:szCs w:val="22"/>
          <w:lang w:val="es-ES_tradnl"/>
        </w:rPr>
        <w:t xml:space="preserve">en otras disposiciones legales o reglamentarias, </w:t>
      </w:r>
      <w:r w:rsidR="00991174">
        <w:rPr>
          <w:rFonts w:ascii="Arial" w:eastAsia="Calibri" w:hAnsi="Arial" w:cs="Arial"/>
          <w:color w:val="000000" w:themeColor="text1"/>
          <w:sz w:val="22"/>
          <w:szCs w:val="22"/>
          <w:lang w:val="es-ES_tradnl"/>
        </w:rPr>
        <w:t>se exigía</w:t>
      </w:r>
      <w:r w:rsidR="005E22FE" w:rsidRPr="005E22FE">
        <w:rPr>
          <w:rFonts w:ascii="Arial" w:eastAsia="Calibri" w:hAnsi="Arial" w:cs="Arial"/>
          <w:color w:val="000000" w:themeColor="text1"/>
          <w:sz w:val="22"/>
          <w:szCs w:val="22"/>
          <w:lang w:val="es-ES_tradnl"/>
        </w:rPr>
        <w:t xml:space="preserve"> </w:t>
      </w:r>
      <w:r w:rsidR="00991174">
        <w:rPr>
          <w:rFonts w:ascii="Arial" w:eastAsia="Calibri" w:hAnsi="Arial" w:cs="Arial"/>
          <w:color w:val="000000" w:themeColor="text1"/>
          <w:sz w:val="22"/>
          <w:szCs w:val="22"/>
          <w:lang w:val="es-ES_tradnl"/>
        </w:rPr>
        <w:t>algún</w:t>
      </w:r>
      <w:r w:rsidR="005E22FE" w:rsidRPr="005E22FE">
        <w:rPr>
          <w:rFonts w:ascii="Arial" w:eastAsia="Calibri" w:hAnsi="Arial" w:cs="Arial"/>
          <w:color w:val="000000" w:themeColor="text1"/>
          <w:sz w:val="22"/>
          <w:szCs w:val="22"/>
          <w:lang w:val="es-ES_tradnl"/>
        </w:rPr>
        <w:t xml:space="preserve"> documento </w:t>
      </w:r>
      <w:r w:rsidR="00991174">
        <w:rPr>
          <w:rFonts w:ascii="Arial" w:eastAsia="Calibri" w:hAnsi="Arial" w:cs="Arial"/>
          <w:color w:val="000000" w:themeColor="text1"/>
          <w:sz w:val="22"/>
          <w:szCs w:val="22"/>
          <w:lang w:val="es-ES_tradnl"/>
        </w:rPr>
        <w:t xml:space="preserve">en </w:t>
      </w:r>
      <w:r w:rsidR="005E22FE" w:rsidRPr="005E22FE">
        <w:rPr>
          <w:rFonts w:ascii="Arial" w:eastAsia="Calibri" w:hAnsi="Arial" w:cs="Arial"/>
          <w:color w:val="000000" w:themeColor="text1"/>
          <w:sz w:val="22"/>
          <w:szCs w:val="22"/>
          <w:lang w:val="es-ES_tradnl"/>
        </w:rPr>
        <w:t>especial</w:t>
      </w:r>
      <w:r w:rsidR="00991174">
        <w:rPr>
          <w:rFonts w:ascii="Arial" w:eastAsia="Calibri" w:hAnsi="Arial" w:cs="Arial"/>
          <w:color w:val="000000" w:themeColor="text1"/>
          <w:sz w:val="22"/>
          <w:szCs w:val="22"/>
          <w:lang w:val="es-ES_tradnl"/>
        </w:rPr>
        <w:t xml:space="preserve"> para acreditar las circunstancias de un supuesto de hecho previsto en los criterios de desempate</w:t>
      </w:r>
      <w:r w:rsidR="005E22FE" w:rsidRPr="005E22FE">
        <w:rPr>
          <w:rFonts w:ascii="Arial" w:eastAsia="Calibri" w:hAnsi="Arial" w:cs="Arial"/>
          <w:color w:val="000000" w:themeColor="text1"/>
          <w:sz w:val="22"/>
          <w:szCs w:val="22"/>
          <w:lang w:val="es-ES_tradnl"/>
        </w:rPr>
        <w:t xml:space="preserve"> o si, por el contrario, </w:t>
      </w:r>
      <w:r w:rsidR="00991174">
        <w:rPr>
          <w:rFonts w:ascii="Arial" w:eastAsia="Calibri" w:hAnsi="Arial" w:cs="Arial"/>
          <w:color w:val="000000" w:themeColor="text1"/>
          <w:sz w:val="22"/>
          <w:szCs w:val="22"/>
          <w:lang w:val="es-ES_tradnl"/>
        </w:rPr>
        <w:t>habría</w:t>
      </w:r>
      <w:r w:rsidR="005E22FE" w:rsidRPr="005E22FE">
        <w:rPr>
          <w:rFonts w:ascii="Arial" w:eastAsia="Calibri" w:hAnsi="Arial" w:cs="Arial"/>
          <w:color w:val="000000" w:themeColor="text1"/>
          <w:sz w:val="22"/>
          <w:szCs w:val="22"/>
          <w:lang w:val="es-ES_tradnl"/>
        </w:rPr>
        <w:t xml:space="preserve"> libertad probatoria</w:t>
      </w:r>
      <w:r w:rsidR="00991174">
        <w:rPr>
          <w:rFonts w:ascii="Arial" w:eastAsia="Calibri" w:hAnsi="Arial" w:cs="Arial"/>
          <w:color w:val="000000" w:themeColor="text1"/>
          <w:sz w:val="22"/>
          <w:szCs w:val="22"/>
          <w:lang w:val="es-ES_tradnl"/>
        </w:rPr>
        <w:t xml:space="preserve"> para acreditar el hecho</w:t>
      </w:r>
      <w:r w:rsidR="005E22FE" w:rsidRPr="005E22FE">
        <w:rPr>
          <w:rFonts w:ascii="Arial" w:eastAsia="Calibri" w:hAnsi="Arial" w:cs="Arial"/>
          <w:color w:val="000000" w:themeColor="text1"/>
          <w:sz w:val="22"/>
          <w:szCs w:val="22"/>
          <w:lang w:val="es-ES_tradnl"/>
        </w:rPr>
        <w:t>. Este análisis deb</w:t>
      </w:r>
      <w:r w:rsidR="00991174">
        <w:rPr>
          <w:rFonts w:ascii="Arial" w:eastAsia="Calibri" w:hAnsi="Arial" w:cs="Arial"/>
          <w:color w:val="000000" w:themeColor="text1"/>
          <w:sz w:val="22"/>
          <w:szCs w:val="22"/>
          <w:lang w:val="es-ES_tradnl"/>
        </w:rPr>
        <w:t>ía</w:t>
      </w:r>
      <w:r w:rsidR="005E22FE" w:rsidRPr="005E22FE">
        <w:rPr>
          <w:rFonts w:ascii="Arial" w:eastAsia="Calibri" w:hAnsi="Arial" w:cs="Arial"/>
          <w:color w:val="000000" w:themeColor="text1"/>
          <w:sz w:val="22"/>
          <w:szCs w:val="22"/>
          <w:lang w:val="es-ES_tradnl"/>
        </w:rPr>
        <w:t xml:space="preserve"> realizarse de manera independiente frente a cada numeral</w:t>
      </w:r>
      <w:r w:rsidR="00991174">
        <w:rPr>
          <w:rFonts w:ascii="Arial" w:eastAsia="Calibri" w:hAnsi="Arial" w:cs="Arial"/>
          <w:color w:val="000000" w:themeColor="text1"/>
          <w:sz w:val="22"/>
          <w:szCs w:val="22"/>
          <w:lang w:val="es-ES_tradnl"/>
        </w:rPr>
        <w:t xml:space="preserve"> en el pliego de condiciones o documento equivalente</w:t>
      </w:r>
      <w:r w:rsidR="005E22FE" w:rsidRPr="005E22FE">
        <w:rPr>
          <w:rFonts w:ascii="Arial" w:eastAsia="Calibri" w:hAnsi="Arial" w:cs="Arial"/>
          <w:color w:val="000000" w:themeColor="text1"/>
          <w:sz w:val="22"/>
          <w:szCs w:val="22"/>
          <w:lang w:val="es-ES_tradnl"/>
        </w:rPr>
        <w:t>. En caso de que no exist</w:t>
      </w:r>
      <w:r w:rsidR="00991174">
        <w:rPr>
          <w:rFonts w:ascii="Arial" w:eastAsia="Calibri" w:hAnsi="Arial" w:cs="Arial"/>
          <w:color w:val="000000" w:themeColor="text1"/>
          <w:sz w:val="22"/>
          <w:szCs w:val="22"/>
          <w:lang w:val="es-ES_tradnl"/>
        </w:rPr>
        <w:t>iera un medio probatorio cuya conducencia fuera definida por la ley</w:t>
      </w:r>
      <w:r w:rsidR="005E22FE" w:rsidRPr="005E22FE">
        <w:rPr>
          <w:rFonts w:ascii="Arial" w:eastAsia="Calibri" w:hAnsi="Arial" w:cs="Arial"/>
          <w:color w:val="000000" w:themeColor="text1"/>
          <w:sz w:val="22"/>
          <w:szCs w:val="22"/>
          <w:lang w:val="es-ES_tradnl"/>
        </w:rPr>
        <w:t>, es decir, en el evento en que la ley o el reglamento no defin</w:t>
      </w:r>
      <w:r w:rsidR="00991174">
        <w:rPr>
          <w:rFonts w:ascii="Arial" w:eastAsia="Calibri" w:hAnsi="Arial" w:cs="Arial"/>
          <w:color w:val="000000" w:themeColor="text1"/>
          <w:sz w:val="22"/>
          <w:szCs w:val="22"/>
          <w:lang w:val="es-ES_tradnl"/>
        </w:rPr>
        <w:t>ieran</w:t>
      </w:r>
      <w:r w:rsidR="005E22FE" w:rsidRPr="005E22FE">
        <w:rPr>
          <w:rFonts w:ascii="Arial" w:eastAsia="Calibri" w:hAnsi="Arial" w:cs="Arial"/>
          <w:color w:val="000000" w:themeColor="text1"/>
          <w:sz w:val="22"/>
          <w:szCs w:val="22"/>
          <w:lang w:val="es-ES_tradnl"/>
        </w:rPr>
        <w:t xml:space="preserve"> un medio probatorio para acreditar la circunstancia correspondiente, la entidad estatal contratante t</w:t>
      </w:r>
      <w:r w:rsidR="00991174">
        <w:rPr>
          <w:rFonts w:ascii="Arial" w:eastAsia="Calibri" w:hAnsi="Arial" w:cs="Arial"/>
          <w:color w:val="000000" w:themeColor="text1"/>
          <w:sz w:val="22"/>
          <w:szCs w:val="22"/>
          <w:lang w:val="es-ES_tradnl"/>
        </w:rPr>
        <w:t>enía</w:t>
      </w:r>
      <w:r w:rsidR="005E22FE" w:rsidRPr="005E22FE">
        <w:rPr>
          <w:rFonts w:ascii="Arial" w:eastAsia="Calibri" w:hAnsi="Arial" w:cs="Arial"/>
          <w:color w:val="000000" w:themeColor="text1"/>
          <w:sz w:val="22"/>
          <w:szCs w:val="22"/>
          <w:lang w:val="es-ES_tradnl"/>
        </w:rPr>
        <w:t xml:space="preserve"> discrecionalidad para establecer en el pliego de condiciones o en el documento equivalente de qué manera el proponente podr</w:t>
      </w:r>
      <w:r w:rsidR="00991174">
        <w:rPr>
          <w:rFonts w:ascii="Arial" w:eastAsia="Calibri" w:hAnsi="Arial" w:cs="Arial"/>
          <w:color w:val="000000" w:themeColor="text1"/>
          <w:sz w:val="22"/>
          <w:szCs w:val="22"/>
          <w:lang w:val="es-ES_tradnl"/>
        </w:rPr>
        <w:t>ía</w:t>
      </w:r>
      <w:r w:rsidR="005E22FE" w:rsidRPr="005E22FE">
        <w:rPr>
          <w:rFonts w:ascii="Arial" w:eastAsia="Calibri" w:hAnsi="Arial" w:cs="Arial"/>
          <w:color w:val="000000" w:themeColor="text1"/>
          <w:sz w:val="22"/>
          <w:szCs w:val="22"/>
          <w:lang w:val="es-ES_tradnl"/>
        </w:rPr>
        <w:t xml:space="preserve"> probar que se encuentra bajo la condición que permite aplicar la regla de desempate. </w:t>
      </w:r>
      <w:r w:rsidR="003A5439">
        <w:rPr>
          <w:rFonts w:ascii="Arial" w:eastAsia="Calibri" w:hAnsi="Arial" w:cs="Arial"/>
          <w:color w:val="000000" w:themeColor="text1"/>
          <w:sz w:val="22"/>
          <w:szCs w:val="22"/>
          <w:lang w:val="es-ES_tradnl"/>
        </w:rPr>
        <w:t xml:space="preserve">Sin embargo, actualmente </w:t>
      </w:r>
      <w:r w:rsidR="003A5439" w:rsidRPr="00911106">
        <w:rPr>
          <w:rFonts w:ascii="Arial" w:hAnsi="Arial" w:cs="Arial"/>
          <w:bCs/>
          <w:sz w:val="22"/>
          <w:szCs w:val="22"/>
          <w:lang w:val="es-ES_tradnl"/>
        </w:rPr>
        <w:t>artículo 2.2.1.2.4.2.17</w:t>
      </w:r>
      <w:r w:rsidR="003A5439">
        <w:rPr>
          <w:rFonts w:ascii="Arial" w:hAnsi="Arial" w:cs="Arial"/>
          <w:bCs/>
          <w:sz w:val="22"/>
          <w:szCs w:val="22"/>
          <w:lang w:val="es-ES_tradnl"/>
        </w:rPr>
        <w:t xml:space="preserve"> del Decreto 1082</w:t>
      </w:r>
      <w:r w:rsidR="00CF1DD5">
        <w:rPr>
          <w:rFonts w:ascii="Arial" w:hAnsi="Arial" w:cs="Arial"/>
          <w:bCs/>
          <w:sz w:val="22"/>
          <w:szCs w:val="22"/>
          <w:lang w:val="es-ES_tradnl"/>
        </w:rPr>
        <w:t xml:space="preserve"> de 2015</w:t>
      </w:r>
      <w:r w:rsidR="003A5439">
        <w:rPr>
          <w:rFonts w:ascii="Arial" w:hAnsi="Arial" w:cs="Arial"/>
          <w:bCs/>
          <w:sz w:val="22"/>
          <w:szCs w:val="22"/>
          <w:lang w:val="es-ES_tradnl"/>
        </w:rPr>
        <w:t xml:space="preserve">, adicionado por el Decreto 1860 de 2021, </w:t>
      </w:r>
      <w:r w:rsidR="003A5439">
        <w:rPr>
          <w:rFonts w:ascii="Arial" w:eastAsia="Calibri" w:hAnsi="Arial" w:cs="Arial"/>
          <w:color w:val="000000" w:themeColor="text1"/>
          <w:sz w:val="22"/>
          <w:szCs w:val="22"/>
          <w:lang w:val="es-ES_tradnl"/>
        </w:rPr>
        <w:t>reglamentó</w:t>
      </w:r>
      <w:r w:rsidR="00586232">
        <w:rPr>
          <w:rFonts w:ascii="Arial" w:eastAsia="Calibri" w:hAnsi="Arial" w:cs="Arial"/>
          <w:color w:val="000000" w:themeColor="text1"/>
          <w:sz w:val="22"/>
          <w:szCs w:val="22"/>
          <w:lang w:val="es-ES_tradnl"/>
        </w:rPr>
        <w:t xml:space="preserve"> </w:t>
      </w:r>
      <w:r w:rsidR="00586232" w:rsidRPr="00CF1DD5">
        <w:rPr>
          <w:rFonts w:ascii="Arial" w:eastAsia="Calibri" w:hAnsi="Arial" w:cs="Arial"/>
          <w:i/>
          <w:iCs/>
          <w:color w:val="000000" w:themeColor="text1"/>
          <w:sz w:val="22"/>
          <w:szCs w:val="22"/>
          <w:lang w:val="es-ES_tradnl"/>
        </w:rPr>
        <w:t xml:space="preserve">in </w:t>
      </w:r>
      <w:r w:rsidR="00CF1DD5" w:rsidRPr="00CF1DD5">
        <w:rPr>
          <w:rFonts w:ascii="Arial" w:eastAsia="Calibri" w:hAnsi="Arial" w:cs="Arial"/>
          <w:i/>
          <w:iCs/>
          <w:color w:val="000000" w:themeColor="text1"/>
          <w:sz w:val="22"/>
          <w:szCs w:val="22"/>
          <w:lang w:val="es-ES_tradnl"/>
        </w:rPr>
        <w:t>extenso</w:t>
      </w:r>
      <w:r w:rsidR="003A5439" w:rsidRPr="00CF1DD5">
        <w:rPr>
          <w:rFonts w:ascii="Arial" w:eastAsia="Calibri" w:hAnsi="Arial" w:cs="Arial"/>
          <w:i/>
          <w:iCs/>
          <w:color w:val="000000" w:themeColor="text1"/>
          <w:sz w:val="22"/>
          <w:szCs w:val="22"/>
          <w:lang w:val="es-ES_tradnl"/>
        </w:rPr>
        <w:t xml:space="preserve"> </w:t>
      </w:r>
      <w:r w:rsidR="003A5439">
        <w:rPr>
          <w:rFonts w:ascii="Arial" w:eastAsia="Calibri" w:hAnsi="Arial" w:cs="Arial"/>
          <w:color w:val="000000" w:themeColor="text1"/>
          <w:sz w:val="22"/>
          <w:szCs w:val="22"/>
          <w:lang w:val="es-ES_tradnl"/>
        </w:rPr>
        <w:t xml:space="preserve">la forma </w:t>
      </w:r>
      <w:r w:rsidR="00BA0B64">
        <w:rPr>
          <w:rFonts w:ascii="Arial" w:eastAsia="Calibri" w:hAnsi="Arial" w:cs="Arial"/>
          <w:color w:val="000000" w:themeColor="text1"/>
          <w:sz w:val="22"/>
          <w:szCs w:val="22"/>
          <w:lang w:val="es-ES_tradnl"/>
        </w:rPr>
        <w:t>de</w:t>
      </w:r>
      <w:r w:rsidR="003A5439">
        <w:rPr>
          <w:rFonts w:ascii="Arial" w:eastAsia="Calibri" w:hAnsi="Arial" w:cs="Arial"/>
          <w:color w:val="000000" w:themeColor="text1"/>
          <w:sz w:val="22"/>
          <w:szCs w:val="22"/>
          <w:lang w:val="es-ES_tradnl"/>
        </w:rPr>
        <w:t xml:space="preserve"> acreditar las circunstancias o </w:t>
      </w:r>
      <w:r w:rsidR="00BA0B64">
        <w:rPr>
          <w:rFonts w:ascii="Arial" w:eastAsia="Calibri" w:hAnsi="Arial" w:cs="Arial"/>
          <w:color w:val="000000" w:themeColor="text1"/>
          <w:sz w:val="22"/>
          <w:szCs w:val="22"/>
          <w:lang w:val="es-ES_tradnl"/>
        </w:rPr>
        <w:t xml:space="preserve">los </w:t>
      </w:r>
      <w:r w:rsidR="003A5439">
        <w:rPr>
          <w:rFonts w:ascii="Arial" w:eastAsia="Calibri" w:hAnsi="Arial" w:cs="Arial"/>
          <w:color w:val="000000" w:themeColor="text1"/>
          <w:sz w:val="22"/>
          <w:szCs w:val="22"/>
          <w:lang w:val="es-ES_tradnl"/>
        </w:rPr>
        <w:t>supuesto</w:t>
      </w:r>
      <w:r w:rsidR="00BA0B64">
        <w:rPr>
          <w:rFonts w:ascii="Arial" w:eastAsia="Calibri" w:hAnsi="Arial" w:cs="Arial"/>
          <w:color w:val="000000" w:themeColor="text1"/>
          <w:sz w:val="22"/>
          <w:szCs w:val="22"/>
          <w:lang w:val="es-ES_tradnl"/>
        </w:rPr>
        <w:t>s</w:t>
      </w:r>
      <w:r w:rsidR="003A5439">
        <w:rPr>
          <w:rFonts w:ascii="Arial" w:eastAsia="Calibri" w:hAnsi="Arial" w:cs="Arial"/>
          <w:color w:val="000000" w:themeColor="text1"/>
          <w:sz w:val="22"/>
          <w:szCs w:val="22"/>
          <w:lang w:val="es-ES_tradnl"/>
        </w:rPr>
        <w:t xml:space="preserve"> de hecho previst</w:t>
      </w:r>
      <w:r w:rsidR="00BA0B64">
        <w:rPr>
          <w:rFonts w:ascii="Arial" w:eastAsia="Calibri" w:hAnsi="Arial" w:cs="Arial"/>
          <w:color w:val="000000" w:themeColor="text1"/>
          <w:sz w:val="22"/>
          <w:szCs w:val="22"/>
          <w:lang w:val="es-ES_tradnl"/>
        </w:rPr>
        <w:t>o</w:t>
      </w:r>
      <w:r w:rsidR="003A5439">
        <w:rPr>
          <w:rFonts w:ascii="Arial" w:eastAsia="Calibri" w:hAnsi="Arial" w:cs="Arial"/>
          <w:color w:val="000000" w:themeColor="text1"/>
          <w:sz w:val="22"/>
          <w:szCs w:val="22"/>
          <w:lang w:val="es-ES_tradnl"/>
        </w:rPr>
        <w:t xml:space="preserve">s en los criterios de desempate </w:t>
      </w:r>
      <w:r w:rsidR="005E22FE" w:rsidRPr="005E22FE">
        <w:rPr>
          <w:rFonts w:ascii="Arial" w:eastAsia="Calibri" w:hAnsi="Arial" w:cs="Arial"/>
          <w:color w:val="000000" w:themeColor="text1"/>
          <w:sz w:val="22"/>
          <w:szCs w:val="22"/>
          <w:lang w:val="es-ES_tradnl"/>
        </w:rPr>
        <w:t>del artículo 35</w:t>
      </w:r>
      <w:r w:rsidR="003A5439">
        <w:rPr>
          <w:rFonts w:ascii="Arial" w:eastAsia="Calibri" w:hAnsi="Arial" w:cs="Arial"/>
          <w:color w:val="000000" w:themeColor="text1"/>
          <w:sz w:val="22"/>
          <w:szCs w:val="22"/>
          <w:lang w:val="es-ES_tradnl"/>
        </w:rPr>
        <w:t xml:space="preserve"> de la Ley 2069 de 2020,</w:t>
      </w:r>
      <w:r w:rsidR="00EF660E">
        <w:rPr>
          <w:rFonts w:ascii="Arial" w:eastAsia="Calibri" w:hAnsi="Arial" w:cs="Arial"/>
          <w:color w:val="000000" w:themeColor="text1"/>
          <w:sz w:val="22"/>
          <w:szCs w:val="22"/>
          <w:lang w:val="es-ES_tradnl"/>
        </w:rPr>
        <w:t xml:space="preserve"> los medios de prueba requeridos en cada evento y las autoridades que pueden emitir </w:t>
      </w:r>
      <w:r w:rsidR="00BA0B64">
        <w:rPr>
          <w:rFonts w:ascii="Arial" w:eastAsia="Calibri" w:hAnsi="Arial" w:cs="Arial"/>
          <w:color w:val="000000" w:themeColor="text1"/>
          <w:sz w:val="22"/>
          <w:szCs w:val="22"/>
          <w:lang w:val="es-ES_tradnl"/>
        </w:rPr>
        <w:t>estos</w:t>
      </w:r>
      <w:r w:rsidR="00EF660E">
        <w:rPr>
          <w:rFonts w:ascii="Arial" w:eastAsia="Calibri" w:hAnsi="Arial" w:cs="Arial"/>
          <w:color w:val="000000" w:themeColor="text1"/>
          <w:sz w:val="22"/>
          <w:szCs w:val="22"/>
          <w:lang w:val="es-ES_tradnl"/>
        </w:rPr>
        <w:t xml:space="preserve"> documentos,</w:t>
      </w:r>
      <w:r w:rsidR="003A5439">
        <w:rPr>
          <w:rFonts w:ascii="Arial" w:eastAsia="Calibri" w:hAnsi="Arial" w:cs="Arial"/>
          <w:color w:val="000000" w:themeColor="text1"/>
          <w:sz w:val="22"/>
          <w:szCs w:val="22"/>
          <w:lang w:val="es-ES_tradnl"/>
        </w:rPr>
        <w:t xml:space="preserve"> por lo que las entidades contratantes debe</w:t>
      </w:r>
      <w:r w:rsidR="00EF660E">
        <w:rPr>
          <w:rFonts w:ascii="Arial" w:eastAsia="Calibri" w:hAnsi="Arial" w:cs="Arial"/>
          <w:color w:val="000000" w:themeColor="text1"/>
          <w:sz w:val="22"/>
          <w:szCs w:val="22"/>
          <w:lang w:val="es-ES_tradnl"/>
        </w:rPr>
        <w:t>rán</w:t>
      </w:r>
      <w:r w:rsidR="003A5439">
        <w:rPr>
          <w:rFonts w:ascii="Arial" w:eastAsia="Calibri" w:hAnsi="Arial" w:cs="Arial"/>
          <w:color w:val="000000" w:themeColor="text1"/>
          <w:sz w:val="22"/>
          <w:szCs w:val="22"/>
          <w:lang w:val="es-ES_tradnl"/>
        </w:rPr>
        <w:t xml:space="preserve"> acudir a su contenido</w:t>
      </w:r>
      <w:r w:rsidR="00EF660E">
        <w:rPr>
          <w:rFonts w:ascii="Arial" w:eastAsia="Calibri" w:hAnsi="Arial" w:cs="Arial"/>
          <w:color w:val="000000" w:themeColor="text1"/>
          <w:sz w:val="22"/>
          <w:szCs w:val="22"/>
          <w:lang w:val="es-ES_tradnl"/>
        </w:rPr>
        <w:t xml:space="preserve"> detallado</w:t>
      </w:r>
      <w:r w:rsidR="003A5439">
        <w:rPr>
          <w:rFonts w:ascii="Arial" w:eastAsia="Calibri" w:hAnsi="Arial" w:cs="Arial"/>
          <w:color w:val="000000" w:themeColor="text1"/>
          <w:sz w:val="22"/>
          <w:szCs w:val="22"/>
          <w:lang w:val="es-ES_tradnl"/>
        </w:rPr>
        <w:t xml:space="preserve"> para </w:t>
      </w:r>
      <w:r w:rsidR="00EF660E">
        <w:rPr>
          <w:rFonts w:ascii="Arial" w:eastAsia="Calibri" w:hAnsi="Arial" w:cs="Arial"/>
          <w:color w:val="000000" w:themeColor="text1"/>
          <w:sz w:val="22"/>
          <w:szCs w:val="22"/>
          <w:lang w:val="es-ES_tradnl"/>
        </w:rPr>
        <w:t>la aplicación de cada criterio de desempate en sus procesos de contratación</w:t>
      </w:r>
      <w:r w:rsidR="003A5439">
        <w:rPr>
          <w:rFonts w:ascii="Arial" w:eastAsia="Calibri" w:hAnsi="Arial" w:cs="Arial"/>
          <w:color w:val="000000" w:themeColor="text1"/>
          <w:sz w:val="22"/>
          <w:szCs w:val="22"/>
          <w:lang w:val="es-ES_tradnl"/>
        </w:rPr>
        <w:t xml:space="preserve">. </w:t>
      </w:r>
    </w:p>
    <w:p w14:paraId="4221531D" w14:textId="6E891CA5" w:rsidR="00CF1DD5" w:rsidRDefault="00CF1DD5" w:rsidP="005E22FE">
      <w:pPr>
        <w:spacing w:line="276" w:lineRule="auto"/>
        <w:ind w:firstLine="709"/>
        <w:jc w:val="both"/>
        <w:rPr>
          <w:rFonts w:ascii="Arial" w:eastAsia="Calibri" w:hAnsi="Arial" w:cs="Arial"/>
          <w:color w:val="000000" w:themeColor="text1"/>
          <w:sz w:val="22"/>
          <w:szCs w:val="22"/>
          <w:lang w:val="es-ES_tradnl"/>
        </w:rPr>
      </w:pPr>
    </w:p>
    <w:p w14:paraId="1D1CD01E" w14:textId="53D3D434" w:rsidR="00CF1DD5" w:rsidRDefault="00CF1DD5" w:rsidP="005E22FE">
      <w:pPr>
        <w:spacing w:line="276" w:lineRule="auto"/>
        <w:ind w:firstLine="709"/>
        <w:jc w:val="both"/>
        <w:rPr>
          <w:rFonts w:ascii="Arial" w:hAnsi="Arial" w:cs="Arial"/>
          <w:bCs/>
          <w:sz w:val="22"/>
          <w:szCs w:val="22"/>
          <w:lang w:val="es-ES_tradnl"/>
        </w:rPr>
      </w:pPr>
      <w:r>
        <w:rPr>
          <w:rFonts w:ascii="Arial" w:eastAsia="Calibri" w:hAnsi="Arial" w:cs="Arial"/>
          <w:color w:val="000000" w:themeColor="text1"/>
          <w:sz w:val="22"/>
          <w:szCs w:val="22"/>
          <w:lang w:val="es-ES_tradnl"/>
        </w:rPr>
        <w:t xml:space="preserve">Ahora bien, la consulta se refiere a la aplicación del parágrafo 3 del </w:t>
      </w:r>
      <w:r w:rsidRPr="00911106">
        <w:rPr>
          <w:rFonts w:ascii="Arial" w:hAnsi="Arial" w:cs="Arial"/>
          <w:bCs/>
          <w:sz w:val="22"/>
          <w:szCs w:val="22"/>
          <w:lang w:val="es-ES_tradnl"/>
        </w:rPr>
        <w:t>artículo 2.2.1.2.4.2.17</w:t>
      </w:r>
      <w:r>
        <w:rPr>
          <w:rFonts w:ascii="Arial" w:hAnsi="Arial" w:cs="Arial"/>
          <w:bCs/>
          <w:sz w:val="22"/>
          <w:szCs w:val="22"/>
          <w:lang w:val="es-ES_tradnl"/>
        </w:rPr>
        <w:t xml:space="preserve"> del Decreto 1082</w:t>
      </w:r>
      <w:r w:rsidR="00EF660E">
        <w:rPr>
          <w:rFonts w:ascii="Arial" w:hAnsi="Arial" w:cs="Arial"/>
          <w:bCs/>
          <w:sz w:val="22"/>
          <w:szCs w:val="22"/>
          <w:lang w:val="es-ES_tradnl"/>
        </w:rPr>
        <w:t xml:space="preserve"> de 2015</w:t>
      </w:r>
      <w:r>
        <w:rPr>
          <w:rFonts w:ascii="Arial" w:hAnsi="Arial" w:cs="Arial"/>
          <w:bCs/>
          <w:sz w:val="22"/>
          <w:szCs w:val="22"/>
          <w:lang w:val="es-ES_tradnl"/>
        </w:rPr>
        <w:t>, adicionado por el Decreto 1860 de 2021</w:t>
      </w:r>
      <w:r w:rsidR="00EF660E">
        <w:rPr>
          <w:rFonts w:ascii="Arial" w:hAnsi="Arial" w:cs="Arial"/>
          <w:bCs/>
          <w:sz w:val="22"/>
          <w:szCs w:val="22"/>
          <w:lang w:val="es-ES_tradnl"/>
        </w:rPr>
        <w:t xml:space="preserve">, que dice lo siguiente: </w:t>
      </w:r>
    </w:p>
    <w:p w14:paraId="00809E65" w14:textId="1C94A72D" w:rsidR="00EF660E" w:rsidRDefault="00EF660E" w:rsidP="005E22FE">
      <w:pPr>
        <w:spacing w:line="276" w:lineRule="auto"/>
        <w:ind w:firstLine="709"/>
        <w:jc w:val="both"/>
        <w:rPr>
          <w:rFonts w:ascii="Arial" w:hAnsi="Arial" w:cs="Arial"/>
          <w:bCs/>
          <w:sz w:val="22"/>
          <w:szCs w:val="22"/>
          <w:lang w:val="es-ES_tradnl"/>
        </w:rPr>
      </w:pPr>
    </w:p>
    <w:p w14:paraId="351EC2C3" w14:textId="2D421ED9" w:rsidR="00EF660E" w:rsidRPr="00EF660E" w:rsidRDefault="00EF660E" w:rsidP="00EF660E">
      <w:pPr>
        <w:tabs>
          <w:tab w:val="left" w:pos="709"/>
        </w:tabs>
        <w:ind w:left="709" w:right="709"/>
        <w:jc w:val="both"/>
        <w:rPr>
          <w:rFonts w:ascii="Arial" w:eastAsia="Calibri" w:hAnsi="Arial" w:cs="Arial"/>
          <w:bCs/>
          <w:sz w:val="21"/>
          <w:szCs w:val="21"/>
        </w:rPr>
      </w:pPr>
      <w:r w:rsidRPr="00EF660E">
        <w:rPr>
          <w:rFonts w:ascii="Arial" w:eastAsia="Calibri" w:hAnsi="Arial" w:cs="Arial"/>
          <w:bCs/>
          <w:sz w:val="21"/>
          <w:szCs w:val="21"/>
        </w:rPr>
        <w:t xml:space="preserve">PARÁGRAFO 3. Conforme con el artículo 18 de la Ley 1712 de 2014 y los artículos 5 y 6 de la Ley 1581 de 2012, la Entidad Estatal garantizará el derecho a la reserva legal de toda aquella información que acredita el cumplimiento de los factores de desempate de: i) las mujeres víctimas de violencia intrafamiliar, </w:t>
      </w:r>
      <w:proofErr w:type="spellStart"/>
      <w:r w:rsidRPr="00EF660E">
        <w:rPr>
          <w:rFonts w:ascii="Arial" w:eastAsia="Calibri" w:hAnsi="Arial" w:cs="Arial"/>
          <w:bCs/>
          <w:sz w:val="21"/>
          <w:szCs w:val="21"/>
        </w:rPr>
        <w:t>ii</w:t>
      </w:r>
      <w:proofErr w:type="spellEnd"/>
      <w:r w:rsidRPr="00EF660E">
        <w:rPr>
          <w:rFonts w:ascii="Arial" w:eastAsia="Calibri" w:hAnsi="Arial" w:cs="Arial"/>
          <w:bCs/>
          <w:sz w:val="21"/>
          <w:szCs w:val="21"/>
        </w:rPr>
        <w:t xml:space="preserve">) las personas en proceso de reincorporación y/o reintegración y </w:t>
      </w:r>
      <w:proofErr w:type="spellStart"/>
      <w:r w:rsidRPr="00EF660E">
        <w:rPr>
          <w:rFonts w:ascii="Arial" w:eastAsia="Calibri" w:hAnsi="Arial" w:cs="Arial"/>
          <w:bCs/>
          <w:sz w:val="21"/>
          <w:szCs w:val="21"/>
        </w:rPr>
        <w:t>iii</w:t>
      </w:r>
      <w:proofErr w:type="spellEnd"/>
      <w:r w:rsidRPr="00EF660E">
        <w:rPr>
          <w:rFonts w:ascii="Arial" w:eastAsia="Calibri" w:hAnsi="Arial" w:cs="Arial"/>
          <w:bCs/>
          <w:sz w:val="21"/>
          <w:szCs w:val="21"/>
        </w:rPr>
        <w:t xml:space="preserve">) la población indígena, negra, afrocolombiana, raizal, palenquera, </w:t>
      </w:r>
      <w:proofErr w:type="spellStart"/>
      <w:r w:rsidRPr="00EF660E">
        <w:rPr>
          <w:rFonts w:ascii="Arial" w:eastAsia="Calibri" w:hAnsi="Arial" w:cs="Arial"/>
          <w:bCs/>
          <w:sz w:val="21"/>
          <w:szCs w:val="21"/>
        </w:rPr>
        <w:t>Rrom</w:t>
      </w:r>
      <w:proofErr w:type="spellEnd"/>
      <w:r w:rsidRPr="00EF660E">
        <w:rPr>
          <w:rFonts w:ascii="Arial" w:eastAsia="Calibri" w:hAnsi="Arial" w:cs="Arial"/>
          <w:bCs/>
          <w:sz w:val="21"/>
          <w:szCs w:val="21"/>
        </w:rPr>
        <w:t xml:space="preserve"> o gitana. </w:t>
      </w:r>
    </w:p>
    <w:p w14:paraId="43AC4DA6" w14:textId="77777777" w:rsidR="00EF660E" w:rsidRPr="00EF660E" w:rsidRDefault="00EF660E" w:rsidP="00EF660E">
      <w:pPr>
        <w:tabs>
          <w:tab w:val="left" w:pos="709"/>
        </w:tabs>
        <w:ind w:left="709" w:right="709"/>
        <w:jc w:val="both"/>
        <w:rPr>
          <w:rFonts w:ascii="Arial" w:eastAsia="Calibri" w:hAnsi="Arial" w:cs="Arial"/>
          <w:bCs/>
          <w:sz w:val="21"/>
          <w:szCs w:val="21"/>
        </w:rPr>
      </w:pPr>
    </w:p>
    <w:p w14:paraId="0DDE3148" w14:textId="21AB4CC1" w:rsidR="00EF660E" w:rsidRPr="005E22FE" w:rsidRDefault="00EF660E" w:rsidP="00EF660E">
      <w:pPr>
        <w:tabs>
          <w:tab w:val="left" w:pos="709"/>
        </w:tabs>
        <w:ind w:left="709" w:right="709"/>
        <w:jc w:val="both"/>
        <w:rPr>
          <w:rFonts w:ascii="Arial" w:eastAsia="Calibri" w:hAnsi="Arial" w:cs="Arial"/>
          <w:bCs/>
          <w:sz w:val="21"/>
          <w:szCs w:val="21"/>
        </w:rPr>
      </w:pPr>
      <w:r w:rsidRPr="00EF660E">
        <w:rPr>
          <w:rFonts w:ascii="Arial" w:eastAsia="Calibri" w:hAnsi="Arial" w:cs="Arial"/>
          <w:bCs/>
          <w:sz w:val="21"/>
          <w:szCs w:val="21"/>
        </w:rPr>
        <w:t xml:space="preserve">En armonía con lo anterior, en la plataforma del SECOP no se publicará para conocimiento de terceros la información relacionada con los factores de desempate de personas en procesos de reincorporación o reintegración o mujeres víctimas de violencia intrafamiliar o la población indígena, negra, afrocolombiana, raizal, palenquera, </w:t>
      </w:r>
      <w:proofErr w:type="spellStart"/>
      <w:r w:rsidRPr="00EF660E">
        <w:rPr>
          <w:rFonts w:ascii="Arial" w:eastAsia="Calibri" w:hAnsi="Arial" w:cs="Arial"/>
          <w:bCs/>
          <w:sz w:val="21"/>
          <w:szCs w:val="21"/>
        </w:rPr>
        <w:t>Rrom</w:t>
      </w:r>
      <w:proofErr w:type="spellEnd"/>
      <w:r w:rsidRPr="00EF660E">
        <w:rPr>
          <w:rFonts w:ascii="Arial" w:eastAsia="Calibri" w:hAnsi="Arial" w:cs="Arial"/>
          <w:bCs/>
          <w:sz w:val="21"/>
          <w:szCs w:val="21"/>
        </w:rPr>
        <w:t xml:space="preserve"> o gitana, puesto que su público conocimiento puede afectar el derecho a la intimidad de los oferentes o de sus trabajadores o socios o accionistas.</w:t>
      </w:r>
    </w:p>
    <w:p w14:paraId="231ADAC9" w14:textId="77777777" w:rsidR="00532D95" w:rsidRPr="00911106" w:rsidRDefault="00532D95" w:rsidP="00EF660E">
      <w:pPr>
        <w:ind w:right="709"/>
        <w:jc w:val="both"/>
        <w:rPr>
          <w:rFonts w:ascii="Arial" w:hAnsi="Arial" w:cs="Arial"/>
          <w:color w:val="000000" w:themeColor="text1"/>
          <w:sz w:val="22"/>
          <w:szCs w:val="22"/>
        </w:rPr>
      </w:pPr>
      <w:bookmarkStart w:id="21" w:name="_Hlk97102875"/>
      <w:bookmarkEnd w:id="20"/>
    </w:p>
    <w:p w14:paraId="795AC3C6" w14:textId="1025341E" w:rsidR="00E77810" w:rsidRPr="00633216" w:rsidRDefault="00BA79B8" w:rsidP="00C26B44">
      <w:pPr>
        <w:spacing w:after="120" w:line="276" w:lineRule="auto"/>
        <w:ind w:firstLine="709"/>
        <w:jc w:val="both"/>
        <w:rPr>
          <w:rFonts w:ascii="Arial" w:eastAsia="Calibri" w:hAnsi="Arial" w:cs="Arial"/>
          <w:color w:val="000000" w:themeColor="text1"/>
          <w:sz w:val="22"/>
          <w:szCs w:val="22"/>
          <w:lang w:val="es-ES_tradnl"/>
        </w:rPr>
      </w:pPr>
      <w:r w:rsidRPr="00633216">
        <w:rPr>
          <w:rFonts w:ascii="Arial" w:eastAsia="Calibri" w:hAnsi="Arial" w:cs="Arial"/>
          <w:color w:val="000000" w:themeColor="text1"/>
          <w:sz w:val="22"/>
          <w:szCs w:val="22"/>
          <w:lang w:val="es-ES_tradnl"/>
        </w:rPr>
        <w:t xml:space="preserve">Como se observa, </w:t>
      </w:r>
      <w:r w:rsidR="0078600A" w:rsidRPr="00633216">
        <w:rPr>
          <w:rFonts w:ascii="Arial" w:eastAsia="Calibri" w:hAnsi="Arial" w:cs="Arial"/>
          <w:color w:val="000000" w:themeColor="text1"/>
          <w:sz w:val="22"/>
          <w:szCs w:val="22"/>
          <w:lang w:val="es-ES_tradnl"/>
        </w:rPr>
        <w:t xml:space="preserve">la norma </w:t>
      </w:r>
      <w:r w:rsidR="0073076C" w:rsidRPr="00633216">
        <w:rPr>
          <w:rFonts w:ascii="Arial" w:eastAsia="Calibri" w:hAnsi="Arial" w:cs="Arial"/>
          <w:color w:val="000000" w:themeColor="text1"/>
          <w:sz w:val="22"/>
          <w:szCs w:val="22"/>
          <w:lang w:val="es-ES_tradnl"/>
        </w:rPr>
        <w:t xml:space="preserve">establece el deber de garantizar el derecho  </w:t>
      </w:r>
      <w:r w:rsidR="0078600A" w:rsidRPr="00633216">
        <w:rPr>
          <w:rFonts w:ascii="Arial" w:eastAsia="Calibri" w:hAnsi="Arial" w:cs="Arial"/>
          <w:color w:val="000000" w:themeColor="text1"/>
          <w:sz w:val="22"/>
          <w:szCs w:val="22"/>
          <w:lang w:val="es-ES_tradnl"/>
        </w:rPr>
        <w:t>a</w:t>
      </w:r>
      <w:r w:rsidR="0073076C" w:rsidRPr="00633216">
        <w:rPr>
          <w:rFonts w:ascii="Arial" w:eastAsia="Calibri" w:hAnsi="Arial" w:cs="Arial"/>
          <w:color w:val="000000" w:themeColor="text1"/>
          <w:sz w:val="22"/>
          <w:szCs w:val="22"/>
          <w:lang w:val="es-ES_tradnl"/>
        </w:rPr>
        <w:t xml:space="preserve"> la</w:t>
      </w:r>
      <w:r w:rsidR="0078600A" w:rsidRPr="00633216">
        <w:rPr>
          <w:rFonts w:ascii="Arial" w:eastAsia="Calibri" w:hAnsi="Arial" w:cs="Arial"/>
          <w:color w:val="000000" w:themeColor="text1"/>
          <w:sz w:val="22"/>
          <w:szCs w:val="22"/>
          <w:lang w:val="es-ES_tradnl"/>
        </w:rPr>
        <w:t xml:space="preserve"> reserva</w:t>
      </w:r>
      <w:r w:rsidR="0073076C" w:rsidRPr="00633216">
        <w:rPr>
          <w:rFonts w:ascii="Arial" w:eastAsia="Calibri" w:hAnsi="Arial" w:cs="Arial"/>
          <w:color w:val="000000" w:themeColor="text1"/>
          <w:sz w:val="22"/>
          <w:szCs w:val="22"/>
          <w:lang w:val="es-ES_tradnl"/>
        </w:rPr>
        <w:t xml:space="preserve"> legal de </w:t>
      </w:r>
      <w:r w:rsidR="0078600A" w:rsidRPr="00633216">
        <w:rPr>
          <w:rFonts w:ascii="Arial" w:eastAsia="Calibri" w:hAnsi="Arial" w:cs="Arial"/>
          <w:color w:val="000000" w:themeColor="text1"/>
          <w:sz w:val="22"/>
          <w:szCs w:val="22"/>
          <w:lang w:val="es-ES_tradnl"/>
        </w:rPr>
        <w:t>los documentos referidos</w:t>
      </w:r>
      <w:r w:rsidR="00431907" w:rsidRPr="00633216">
        <w:rPr>
          <w:rFonts w:ascii="Arial" w:eastAsia="Calibri" w:hAnsi="Arial" w:cs="Arial"/>
          <w:color w:val="000000" w:themeColor="text1"/>
          <w:sz w:val="22"/>
          <w:szCs w:val="22"/>
          <w:lang w:val="es-ES_tradnl"/>
        </w:rPr>
        <w:t xml:space="preserve"> para acreditar </w:t>
      </w:r>
      <w:r w:rsidR="004A65BD" w:rsidRPr="00633216">
        <w:rPr>
          <w:rFonts w:ascii="Arial" w:eastAsia="Calibri" w:hAnsi="Arial" w:cs="Arial"/>
          <w:color w:val="000000" w:themeColor="text1"/>
          <w:sz w:val="22"/>
          <w:szCs w:val="22"/>
          <w:lang w:val="es-ES_tradnl"/>
        </w:rPr>
        <w:t xml:space="preserve">las condiciones de  i) las mujer víctima de violencia intrafamiliar, </w:t>
      </w:r>
      <w:proofErr w:type="spellStart"/>
      <w:r w:rsidR="004A65BD" w:rsidRPr="00633216">
        <w:rPr>
          <w:rFonts w:ascii="Arial" w:eastAsia="Calibri" w:hAnsi="Arial" w:cs="Arial"/>
          <w:color w:val="000000" w:themeColor="text1"/>
          <w:sz w:val="22"/>
          <w:szCs w:val="22"/>
          <w:lang w:val="es-ES_tradnl"/>
        </w:rPr>
        <w:t>ii</w:t>
      </w:r>
      <w:proofErr w:type="spellEnd"/>
      <w:r w:rsidR="004A65BD" w:rsidRPr="00633216">
        <w:rPr>
          <w:rFonts w:ascii="Arial" w:eastAsia="Calibri" w:hAnsi="Arial" w:cs="Arial"/>
          <w:color w:val="000000" w:themeColor="text1"/>
          <w:sz w:val="22"/>
          <w:szCs w:val="22"/>
          <w:lang w:val="es-ES_tradnl"/>
        </w:rPr>
        <w:t xml:space="preserve">) personas en proceso de reincorporación y/o reintegración y </w:t>
      </w:r>
      <w:proofErr w:type="spellStart"/>
      <w:r w:rsidR="004A65BD" w:rsidRPr="00633216">
        <w:rPr>
          <w:rFonts w:ascii="Arial" w:eastAsia="Calibri" w:hAnsi="Arial" w:cs="Arial"/>
          <w:color w:val="000000" w:themeColor="text1"/>
          <w:sz w:val="22"/>
          <w:szCs w:val="22"/>
          <w:lang w:val="es-ES_tradnl"/>
        </w:rPr>
        <w:t>iii</w:t>
      </w:r>
      <w:proofErr w:type="spellEnd"/>
      <w:r w:rsidR="004A65BD" w:rsidRPr="00633216">
        <w:rPr>
          <w:rFonts w:ascii="Arial" w:eastAsia="Calibri" w:hAnsi="Arial" w:cs="Arial"/>
          <w:color w:val="000000" w:themeColor="text1"/>
          <w:sz w:val="22"/>
          <w:szCs w:val="22"/>
          <w:lang w:val="es-ES_tradnl"/>
        </w:rPr>
        <w:t xml:space="preserve">) la población indígena, negra, afrocolombiana, raizal, palenquera, </w:t>
      </w:r>
      <w:proofErr w:type="spellStart"/>
      <w:r w:rsidR="004A65BD" w:rsidRPr="00633216">
        <w:rPr>
          <w:rFonts w:ascii="Arial" w:eastAsia="Calibri" w:hAnsi="Arial" w:cs="Arial"/>
          <w:color w:val="000000" w:themeColor="text1"/>
          <w:sz w:val="22"/>
          <w:szCs w:val="22"/>
          <w:lang w:val="es-ES_tradnl"/>
        </w:rPr>
        <w:t>Rrom</w:t>
      </w:r>
      <w:proofErr w:type="spellEnd"/>
      <w:r w:rsidR="004A65BD" w:rsidRPr="00633216">
        <w:rPr>
          <w:rFonts w:ascii="Arial" w:eastAsia="Calibri" w:hAnsi="Arial" w:cs="Arial"/>
          <w:color w:val="000000" w:themeColor="text1"/>
          <w:sz w:val="22"/>
          <w:szCs w:val="22"/>
          <w:lang w:val="es-ES_tradnl"/>
        </w:rPr>
        <w:t xml:space="preserve"> o gitana, asociadas a </w:t>
      </w:r>
      <w:r w:rsidR="00431907" w:rsidRPr="00633216">
        <w:rPr>
          <w:rFonts w:ascii="Arial" w:eastAsia="Calibri" w:hAnsi="Arial" w:cs="Arial"/>
          <w:color w:val="000000" w:themeColor="text1"/>
          <w:sz w:val="22"/>
          <w:szCs w:val="22"/>
          <w:lang w:val="es-ES_tradnl"/>
        </w:rPr>
        <w:lastRenderedPageBreak/>
        <w:t>los factores de desempate previstos</w:t>
      </w:r>
      <w:r w:rsidR="0078600A" w:rsidRPr="00633216">
        <w:rPr>
          <w:rFonts w:ascii="Arial" w:eastAsia="Calibri" w:hAnsi="Arial" w:cs="Arial"/>
          <w:color w:val="000000" w:themeColor="text1"/>
          <w:sz w:val="22"/>
          <w:szCs w:val="22"/>
          <w:lang w:val="es-ES_tradnl"/>
        </w:rPr>
        <w:t xml:space="preserve"> en los numerales 2, </w:t>
      </w:r>
      <w:r w:rsidR="00D964B2" w:rsidRPr="00633216">
        <w:rPr>
          <w:rFonts w:ascii="Arial" w:eastAsia="Calibri" w:hAnsi="Arial" w:cs="Arial"/>
          <w:color w:val="000000" w:themeColor="text1"/>
          <w:sz w:val="22"/>
          <w:szCs w:val="22"/>
          <w:lang w:val="es-ES_tradnl"/>
        </w:rPr>
        <w:t>5</w:t>
      </w:r>
      <w:r w:rsidR="00431907" w:rsidRPr="00633216">
        <w:rPr>
          <w:rFonts w:ascii="Arial" w:eastAsia="Calibri" w:hAnsi="Arial" w:cs="Arial"/>
          <w:color w:val="000000" w:themeColor="text1"/>
          <w:sz w:val="22"/>
          <w:szCs w:val="22"/>
          <w:lang w:val="es-ES_tradnl"/>
        </w:rPr>
        <w:t xml:space="preserve"> y 6 del </w:t>
      </w:r>
      <w:r w:rsidRPr="00633216">
        <w:rPr>
          <w:rFonts w:ascii="Arial" w:eastAsia="Calibri" w:hAnsi="Arial" w:cs="Arial"/>
          <w:color w:val="000000" w:themeColor="text1"/>
          <w:sz w:val="22"/>
          <w:szCs w:val="22"/>
          <w:lang w:val="es-ES_tradnl"/>
        </w:rPr>
        <w:t>artículo</w:t>
      </w:r>
      <w:r w:rsidR="00431907" w:rsidRPr="00633216">
        <w:rPr>
          <w:rFonts w:ascii="Arial" w:eastAsia="Calibri" w:hAnsi="Arial" w:cs="Arial"/>
          <w:color w:val="000000" w:themeColor="text1"/>
          <w:sz w:val="22"/>
          <w:szCs w:val="22"/>
          <w:lang w:val="es-ES_tradnl"/>
        </w:rPr>
        <w:t xml:space="preserve"> </w:t>
      </w:r>
      <w:r w:rsidRPr="00633216">
        <w:rPr>
          <w:rFonts w:ascii="Arial" w:eastAsia="Calibri" w:hAnsi="Arial" w:cs="Arial"/>
          <w:color w:val="000000" w:themeColor="text1"/>
          <w:sz w:val="22"/>
          <w:szCs w:val="22"/>
          <w:lang w:val="es-ES_tradnl"/>
        </w:rPr>
        <w:t xml:space="preserve"> </w:t>
      </w:r>
      <w:r w:rsidR="00431907" w:rsidRPr="00633216">
        <w:rPr>
          <w:rFonts w:ascii="Arial" w:eastAsia="Calibri" w:hAnsi="Arial" w:cs="Arial"/>
          <w:color w:val="000000" w:themeColor="text1"/>
          <w:sz w:val="22"/>
          <w:szCs w:val="22"/>
          <w:lang w:val="es-ES_tradnl"/>
        </w:rPr>
        <w:t>2.2.1.2.4.2.17 del Decreto 1082 de 2015</w:t>
      </w:r>
      <w:r w:rsidR="00431907" w:rsidRPr="00633216">
        <w:rPr>
          <w:rStyle w:val="Refdenotaalpie"/>
          <w:rFonts w:ascii="Arial" w:eastAsia="Calibri" w:hAnsi="Arial" w:cs="Arial"/>
          <w:color w:val="000000" w:themeColor="text1"/>
          <w:sz w:val="22"/>
          <w:szCs w:val="22"/>
          <w:lang w:val="es-ES_tradnl"/>
        </w:rPr>
        <w:footnoteReference w:id="31"/>
      </w:r>
      <w:r w:rsidR="00431907" w:rsidRPr="00633216">
        <w:rPr>
          <w:rFonts w:ascii="Arial" w:eastAsia="Calibri" w:hAnsi="Arial" w:cs="Arial"/>
          <w:color w:val="000000" w:themeColor="text1"/>
          <w:sz w:val="22"/>
          <w:szCs w:val="22"/>
          <w:lang w:val="es-ES_tradnl"/>
        </w:rPr>
        <w:t xml:space="preserve">, </w:t>
      </w:r>
      <w:r w:rsidR="00E77810" w:rsidRPr="00633216">
        <w:rPr>
          <w:rFonts w:ascii="Arial" w:eastAsia="Calibri" w:hAnsi="Arial" w:cs="Arial"/>
          <w:color w:val="000000" w:themeColor="text1"/>
          <w:sz w:val="22"/>
          <w:szCs w:val="22"/>
          <w:lang w:val="es-ES_tradnl"/>
        </w:rPr>
        <w:t xml:space="preserve"> en vista de que los documentos que acreditan dichas </w:t>
      </w:r>
      <w:r w:rsidR="00E77810" w:rsidRPr="00633216">
        <w:rPr>
          <w:rFonts w:ascii="Arial" w:eastAsia="Calibri" w:hAnsi="Arial" w:cs="Arial"/>
          <w:color w:val="000000" w:themeColor="text1"/>
          <w:sz w:val="22"/>
          <w:szCs w:val="22"/>
          <w:lang w:val="es-ES_tradnl"/>
        </w:rPr>
        <w:lastRenderedPageBreak/>
        <w:t xml:space="preserve">circunstancias contienen datos sensibles de la esfera personal de los titulares de dicha información, la cual goza de protección por guardar relación con el derecho fundamental </w:t>
      </w:r>
      <w:proofErr w:type="spellStart"/>
      <w:r w:rsidR="00E77810" w:rsidRPr="00633216">
        <w:rPr>
          <w:rFonts w:ascii="Arial" w:eastAsia="Calibri" w:hAnsi="Arial" w:cs="Arial"/>
          <w:color w:val="000000" w:themeColor="text1"/>
          <w:sz w:val="22"/>
          <w:szCs w:val="22"/>
          <w:lang w:val="es-ES_tradnl"/>
        </w:rPr>
        <w:t>al</w:t>
      </w:r>
      <w:proofErr w:type="spellEnd"/>
      <w:r w:rsidR="00E77810" w:rsidRPr="00633216">
        <w:rPr>
          <w:rFonts w:ascii="Arial" w:eastAsia="Calibri" w:hAnsi="Arial" w:cs="Arial"/>
          <w:color w:val="000000" w:themeColor="text1"/>
          <w:sz w:val="22"/>
          <w:szCs w:val="22"/>
          <w:lang w:val="es-ES_tradnl"/>
        </w:rPr>
        <w:t xml:space="preserve"> la intimidad de las personas.</w:t>
      </w:r>
      <w:r w:rsidR="005630C5" w:rsidRPr="00633216">
        <w:rPr>
          <w:rFonts w:ascii="Arial" w:eastAsia="Calibri" w:hAnsi="Arial" w:cs="Arial"/>
          <w:color w:val="000000" w:themeColor="text1"/>
          <w:sz w:val="22"/>
          <w:szCs w:val="22"/>
          <w:lang w:val="es-ES_tradnl"/>
        </w:rPr>
        <w:t xml:space="preserve"> Lo anterior de conformidad con el</w:t>
      </w:r>
      <w:r w:rsidR="005630C5" w:rsidRPr="00C26B44">
        <w:rPr>
          <w:rFonts w:ascii="Arial" w:eastAsia="Calibri" w:hAnsi="Arial" w:cs="Arial"/>
          <w:bCs/>
          <w:sz w:val="22"/>
          <w:szCs w:val="22"/>
        </w:rPr>
        <w:t xml:space="preserve"> artículo 18 de la Ley 1712 de 2014 y los artículos 5 y 6 de la Ley 1581 de 2012.</w:t>
      </w:r>
      <w:r w:rsidR="005630C5" w:rsidRPr="00633216">
        <w:rPr>
          <w:rFonts w:ascii="Arial" w:eastAsia="Calibri" w:hAnsi="Arial" w:cs="Arial"/>
          <w:color w:val="000000" w:themeColor="text1"/>
          <w:sz w:val="22"/>
          <w:szCs w:val="22"/>
          <w:lang w:val="es-ES_tradnl"/>
        </w:rPr>
        <w:t xml:space="preserve"> </w:t>
      </w:r>
      <w:r w:rsidR="00E77810" w:rsidRPr="00633216">
        <w:rPr>
          <w:rFonts w:ascii="Arial" w:eastAsia="Calibri" w:hAnsi="Arial" w:cs="Arial"/>
          <w:color w:val="000000" w:themeColor="text1"/>
          <w:sz w:val="22"/>
          <w:szCs w:val="22"/>
          <w:lang w:val="es-ES_tradnl"/>
        </w:rPr>
        <w:t xml:space="preserve"> </w:t>
      </w:r>
    </w:p>
    <w:p w14:paraId="28CEE087" w14:textId="61B442A6" w:rsidR="00336CF8" w:rsidRPr="00336CF8" w:rsidRDefault="00633216" w:rsidP="00336CF8">
      <w:pPr>
        <w:tabs>
          <w:tab w:val="left" w:pos="426"/>
        </w:tabs>
        <w:spacing w:line="276" w:lineRule="auto"/>
        <w:jc w:val="both"/>
        <w:rPr>
          <w:rFonts w:ascii="Arial" w:eastAsia="Calibri" w:hAnsi="Arial" w:cs="Arial"/>
          <w:color w:val="000000"/>
          <w:sz w:val="22"/>
          <w:lang w:val="es-ES_tradnl" w:eastAsia="en-GB"/>
        </w:rPr>
      </w:pPr>
      <w:r>
        <w:rPr>
          <w:rFonts w:ascii="Arial" w:eastAsia="Calibri" w:hAnsi="Arial" w:cs="Arial"/>
          <w:color w:val="000000" w:themeColor="text1"/>
          <w:sz w:val="22"/>
          <w:lang w:val="es-ES_tradnl"/>
        </w:rPr>
        <w:tab/>
      </w:r>
      <w:r w:rsidR="00C67C79">
        <w:rPr>
          <w:rFonts w:ascii="Arial" w:eastAsia="Calibri" w:hAnsi="Arial" w:cs="Arial"/>
          <w:color w:val="000000" w:themeColor="text1"/>
          <w:sz w:val="22"/>
          <w:lang w:val="es-ES_tradnl"/>
        </w:rPr>
        <w:tab/>
      </w:r>
      <w:r w:rsidR="003F556E">
        <w:rPr>
          <w:rFonts w:ascii="Arial" w:eastAsia="Calibri" w:hAnsi="Arial" w:cs="Arial"/>
          <w:color w:val="000000" w:themeColor="text1"/>
          <w:sz w:val="22"/>
          <w:lang w:val="es-ES_tradnl"/>
        </w:rPr>
        <w:t xml:space="preserve">Por lo anterior, </w:t>
      </w:r>
      <w:r w:rsidR="00936489">
        <w:rPr>
          <w:rFonts w:ascii="Arial" w:eastAsia="Calibri" w:hAnsi="Arial" w:cs="Arial"/>
          <w:color w:val="000000" w:themeColor="text1"/>
          <w:sz w:val="22"/>
          <w:lang w:val="es-ES_tradnl"/>
        </w:rPr>
        <w:t xml:space="preserve">aun cuando </w:t>
      </w:r>
      <w:r w:rsidR="00936489">
        <w:rPr>
          <w:rFonts w:ascii="Arial" w:hAnsi="Arial" w:cs="Arial"/>
          <w:sz w:val="22"/>
          <w:lang w:val="es-ES"/>
        </w:rPr>
        <w:t>d</w:t>
      </w:r>
      <w:r w:rsidR="00936489" w:rsidRPr="003253B1">
        <w:rPr>
          <w:rFonts w:ascii="Arial" w:hAnsi="Arial" w:cs="Arial"/>
          <w:sz w:val="22"/>
          <w:lang w:val="es-ES"/>
        </w:rPr>
        <w:t>el artículo 3 de la Ley 1150 de 2007 se desprende un deber de publicar las actuaciones contractuales, el cual implica que todas las entidades estatales publiquen los documentos en los que se evidencia el desarrollo de sus procesos de contratación</w:t>
      </w:r>
      <w:r w:rsidR="00936489">
        <w:rPr>
          <w:rFonts w:ascii="Arial" w:hAnsi="Arial" w:cs="Arial"/>
          <w:sz w:val="22"/>
          <w:lang w:val="es-ES"/>
        </w:rPr>
        <w:t xml:space="preserve"> en el SECOP, en los términos de</w:t>
      </w:r>
      <w:r w:rsidR="00483158">
        <w:rPr>
          <w:rFonts w:ascii="Arial" w:hAnsi="Arial" w:cs="Arial"/>
          <w:sz w:val="22"/>
          <w:lang w:val="es-ES"/>
        </w:rPr>
        <w:t xml:space="preserve"> </w:t>
      </w:r>
      <w:r w:rsidR="00936489">
        <w:rPr>
          <w:rFonts w:ascii="Arial" w:hAnsi="Arial" w:cs="Arial"/>
          <w:sz w:val="22"/>
          <w:lang w:val="es-ES"/>
        </w:rPr>
        <w:t>l</w:t>
      </w:r>
      <w:r w:rsidR="00483158">
        <w:rPr>
          <w:rFonts w:ascii="Arial" w:hAnsi="Arial" w:cs="Arial"/>
          <w:sz w:val="22"/>
          <w:lang w:val="es-ES"/>
        </w:rPr>
        <w:t>os</w:t>
      </w:r>
      <w:r w:rsidR="00936489">
        <w:rPr>
          <w:rFonts w:ascii="Arial" w:hAnsi="Arial" w:cs="Arial"/>
          <w:sz w:val="22"/>
          <w:lang w:val="es-ES"/>
        </w:rPr>
        <w:t xml:space="preserve"> </w:t>
      </w:r>
      <w:r w:rsidR="00936489" w:rsidRPr="003253B1">
        <w:rPr>
          <w:rFonts w:ascii="Arial" w:eastAsia="Arial" w:hAnsi="Arial" w:cs="Arial"/>
          <w:sz w:val="22"/>
          <w:lang w:val="es-ES"/>
        </w:rPr>
        <w:t>artículo</w:t>
      </w:r>
      <w:r w:rsidR="00483158">
        <w:rPr>
          <w:rFonts w:ascii="Arial" w:eastAsia="Arial" w:hAnsi="Arial" w:cs="Arial"/>
          <w:sz w:val="22"/>
          <w:lang w:val="es-ES"/>
        </w:rPr>
        <w:t>s</w:t>
      </w:r>
      <w:r w:rsidR="00936489" w:rsidRPr="003253B1">
        <w:rPr>
          <w:rFonts w:ascii="Arial" w:eastAsia="Arial" w:hAnsi="Arial" w:cs="Arial"/>
          <w:sz w:val="22"/>
          <w:lang w:val="es-ES"/>
        </w:rPr>
        <w:t xml:space="preserve"> 2.2.1.1.1.7.1.</w:t>
      </w:r>
      <w:r w:rsidR="00483158">
        <w:rPr>
          <w:rFonts w:ascii="Arial" w:eastAsia="Arial" w:hAnsi="Arial" w:cs="Arial"/>
          <w:sz w:val="22"/>
          <w:lang w:val="es-ES"/>
        </w:rPr>
        <w:t xml:space="preserve"> y </w:t>
      </w:r>
      <w:r w:rsidR="00483158" w:rsidRPr="003253B1">
        <w:rPr>
          <w:rFonts w:ascii="Arial" w:eastAsia="Arial" w:hAnsi="Arial" w:cs="Arial"/>
          <w:sz w:val="22"/>
          <w:lang w:val="es-ES"/>
        </w:rPr>
        <w:t xml:space="preserve">2.2.1.1.1.3.1. </w:t>
      </w:r>
      <w:r w:rsidR="00936489" w:rsidRPr="003253B1">
        <w:rPr>
          <w:rFonts w:ascii="Arial" w:eastAsia="Arial" w:hAnsi="Arial" w:cs="Arial"/>
          <w:sz w:val="22"/>
          <w:lang w:val="es-ES"/>
        </w:rPr>
        <w:t xml:space="preserve"> del Decreto 1082 de 2015</w:t>
      </w:r>
      <w:r w:rsidR="00936489">
        <w:rPr>
          <w:rFonts w:ascii="Arial" w:hAnsi="Arial" w:cs="Arial"/>
          <w:sz w:val="22"/>
          <w:lang w:val="es-ES"/>
        </w:rPr>
        <w:t xml:space="preserve">, existen excepciones </w:t>
      </w:r>
      <w:r w:rsidR="00483158">
        <w:rPr>
          <w:rFonts w:ascii="Arial" w:hAnsi="Arial" w:cs="Arial"/>
          <w:sz w:val="22"/>
          <w:lang w:val="es-ES"/>
        </w:rPr>
        <w:t xml:space="preserve">tanto </w:t>
      </w:r>
      <w:r w:rsidR="001163FF">
        <w:rPr>
          <w:rFonts w:ascii="Arial" w:hAnsi="Arial" w:cs="Arial"/>
          <w:sz w:val="22"/>
          <w:lang w:val="es-ES"/>
        </w:rPr>
        <w:t xml:space="preserve">a la connotación pública de la información </w:t>
      </w:r>
      <w:r w:rsidR="00083E1A">
        <w:rPr>
          <w:rFonts w:ascii="Arial" w:hAnsi="Arial" w:cs="Arial"/>
          <w:sz w:val="22"/>
          <w:lang w:val="es-ES"/>
        </w:rPr>
        <w:t xml:space="preserve">utilizada en </w:t>
      </w:r>
      <w:r w:rsidR="001163FF">
        <w:rPr>
          <w:rFonts w:ascii="Arial" w:hAnsi="Arial" w:cs="Arial"/>
          <w:sz w:val="22"/>
          <w:lang w:val="es-ES"/>
        </w:rPr>
        <w:t>la actividad contractual de las entidades estatales, como al deber de publicar los documentos del proceso contractual en el SECOP, según lo dispone la ley y el reglamento, ante la presencia o utilización de información de carácter reservada</w:t>
      </w:r>
      <w:r w:rsidR="0009609E" w:rsidRPr="003253B1">
        <w:rPr>
          <w:rFonts w:ascii="Arial" w:hAnsi="Arial" w:cs="Arial"/>
          <w:sz w:val="22"/>
          <w:vertAlign w:val="superscript"/>
          <w:lang w:val="es-ES"/>
        </w:rPr>
        <w:footnoteReference w:id="32"/>
      </w:r>
      <w:r w:rsidR="001163FF">
        <w:rPr>
          <w:rFonts w:ascii="Arial" w:hAnsi="Arial" w:cs="Arial"/>
          <w:sz w:val="22"/>
          <w:lang w:val="es-ES"/>
        </w:rPr>
        <w:t xml:space="preserve">, cuyo </w:t>
      </w:r>
      <w:r w:rsidR="001163FF">
        <w:rPr>
          <w:rFonts w:ascii="Arial" w:hAnsi="Arial" w:cs="Arial"/>
          <w:sz w:val="22"/>
          <w:lang w:val="es-ES"/>
        </w:rPr>
        <w:lastRenderedPageBreak/>
        <w:t xml:space="preserve">tratamiento es distinto, pues </w:t>
      </w:r>
      <w:r w:rsidR="0009609E">
        <w:rPr>
          <w:rFonts w:ascii="Arial" w:hAnsi="Arial" w:cs="Arial"/>
          <w:sz w:val="22"/>
          <w:lang w:val="es-ES"/>
        </w:rPr>
        <w:t>se hace de forma separada</w:t>
      </w:r>
      <w:r w:rsidR="0009609E" w:rsidRPr="003253B1">
        <w:rPr>
          <w:rFonts w:ascii="Arial" w:hAnsi="Arial" w:cs="Arial"/>
          <w:sz w:val="22"/>
          <w:vertAlign w:val="superscript"/>
          <w:lang w:val="es-ES"/>
        </w:rPr>
        <w:footnoteReference w:id="33"/>
      </w:r>
      <w:r w:rsidR="001163FF">
        <w:rPr>
          <w:rFonts w:ascii="Arial" w:hAnsi="Arial" w:cs="Arial"/>
          <w:sz w:val="22"/>
          <w:lang w:val="es-ES"/>
        </w:rPr>
        <w:t>.</w:t>
      </w:r>
      <w:r w:rsidR="00336CF8">
        <w:rPr>
          <w:rFonts w:ascii="Arial" w:hAnsi="Arial" w:cs="Arial"/>
          <w:sz w:val="22"/>
          <w:lang w:val="es-ES"/>
        </w:rPr>
        <w:t xml:space="preserve"> En consecuencia, </w:t>
      </w:r>
      <w:r w:rsidR="00336CF8" w:rsidRPr="00336CF8">
        <w:rPr>
          <w:rFonts w:ascii="Arial" w:eastAsia="Calibri" w:hAnsi="Arial" w:cs="Arial"/>
          <w:sz w:val="22"/>
          <w:lang w:val="es-ES"/>
        </w:rPr>
        <w:t xml:space="preserve">el cumplimiento del deber de publicación de la documentación contractual debe armonizarse con las normas aplicables al tipo de información que estas contienen. Lo anterior significa que respecto de la información sometida a reserva o de la cual proceda un tratamiento especial que impida su publicidad, las entidades deberán proceder de conformidad con el tratamiento que impongan tales normas, absteniéndose, de ser el caso, de publicar los documentos del proceso, algunos de ellos o algunos apartes de dichos documentos en los que se evidencie este tipo de información. </w:t>
      </w:r>
    </w:p>
    <w:p w14:paraId="23887256" w14:textId="77777777" w:rsidR="00336CF8" w:rsidRPr="00336CF8" w:rsidRDefault="00336CF8" w:rsidP="00336CF8">
      <w:pPr>
        <w:spacing w:before="120" w:line="276" w:lineRule="auto"/>
        <w:ind w:firstLine="709"/>
        <w:jc w:val="both"/>
        <w:rPr>
          <w:rFonts w:ascii="Arial" w:eastAsia="Calibri" w:hAnsi="Arial" w:cs="Arial"/>
          <w:color w:val="000000"/>
          <w:sz w:val="22"/>
          <w:lang w:val="es-ES_tradnl" w:eastAsia="en-GB"/>
        </w:rPr>
      </w:pPr>
      <w:r w:rsidRPr="00336CF8">
        <w:rPr>
          <w:rFonts w:ascii="Arial" w:eastAsia="Calibri" w:hAnsi="Arial" w:cs="Arial"/>
          <w:color w:val="000000"/>
          <w:sz w:val="22"/>
          <w:lang w:val="es-ES_tradnl" w:eastAsia="en-GB"/>
        </w:rPr>
        <w:t xml:space="preserve">En otras palabras, aunque el artículo 74 de la Constitución establezca que la información pública debe ser dada a conocer a la ciudadanía y así los documentos que hagan parte de la actividad contractual puedan catalogarse, </w:t>
      </w:r>
      <w:r w:rsidRPr="00336CF8">
        <w:rPr>
          <w:rFonts w:ascii="Arial" w:eastAsia="Calibri" w:hAnsi="Arial" w:cs="Arial"/>
          <w:i/>
          <w:iCs/>
          <w:color w:val="000000"/>
          <w:sz w:val="22"/>
          <w:lang w:val="es-ES_tradnl" w:eastAsia="en-GB"/>
        </w:rPr>
        <w:t>prima facie,</w:t>
      </w:r>
      <w:r w:rsidRPr="00336CF8">
        <w:rPr>
          <w:rFonts w:ascii="Arial" w:eastAsia="Calibri" w:hAnsi="Arial" w:cs="Arial"/>
          <w:color w:val="000000"/>
          <w:sz w:val="22"/>
          <w:lang w:val="es-ES_tradnl" w:eastAsia="en-GB"/>
        </w:rPr>
        <w:t xml:space="preserve"> como información pública, cuando dicha documentación contenga información sometida a alguna reserva, que establezca la Constitución o la ley, operan algunas restricciones a su publicidad. Sin embargo, esto no necesariamente convierte el documento completo en reservado, es decir, en un documento que no puede publicarse. En efecto, el principio o regla general consiste en la máxima publicidad de la información pública y lo excepcional es la reserva, razón por la cual el artículo 21 de la Ley 1712 de 2014 incluso exige la divulgación parcial de la información contenida en un documento, cuando este contenga parte de información sometida a reserva, pero también incluya información que no esté afectada por la reserva. Además, dicha disposición establece que la reserva de acceso a la información opera respecto al contenido de un documento público, pero no respecto de su existencia</w:t>
      </w:r>
      <w:r w:rsidRPr="00336CF8">
        <w:rPr>
          <w:rFonts w:ascii="Arial" w:eastAsia="Calibri" w:hAnsi="Arial" w:cs="Arial"/>
          <w:color w:val="000000"/>
          <w:sz w:val="22"/>
          <w:vertAlign w:val="superscript"/>
          <w:lang w:val="es-ES_tradnl" w:eastAsia="en-GB"/>
        </w:rPr>
        <w:footnoteReference w:id="34"/>
      </w:r>
      <w:r w:rsidRPr="00336CF8">
        <w:rPr>
          <w:rFonts w:ascii="Arial" w:eastAsia="Calibri" w:hAnsi="Arial" w:cs="Arial"/>
          <w:color w:val="000000"/>
          <w:sz w:val="22"/>
          <w:lang w:val="es-ES_tradnl" w:eastAsia="en-GB"/>
        </w:rPr>
        <w:t xml:space="preserve">. Sin </w:t>
      </w:r>
      <w:r w:rsidRPr="00336CF8">
        <w:rPr>
          <w:rFonts w:ascii="Arial" w:eastAsia="Calibri" w:hAnsi="Arial" w:cs="Arial"/>
          <w:color w:val="000000"/>
          <w:sz w:val="22"/>
          <w:lang w:val="es-ES_tradnl" w:eastAsia="en-GB"/>
        </w:rPr>
        <w:lastRenderedPageBreak/>
        <w:t>perjuicio de lo anterior, es posible que el contenido de todo el documento o expediente no deba ser objeto de publicidad por estar amparado de forma íntegra por la reserva, dada su conexión con las causales establecidas en la Constitución o la ley.</w:t>
      </w:r>
    </w:p>
    <w:p w14:paraId="4497182C" w14:textId="77777777" w:rsidR="00336CF8" w:rsidRPr="00336CF8" w:rsidRDefault="00336CF8" w:rsidP="00336CF8">
      <w:pPr>
        <w:tabs>
          <w:tab w:val="left" w:pos="426"/>
        </w:tabs>
        <w:spacing w:before="120" w:line="276" w:lineRule="auto"/>
        <w:ind w:firstLine="709"/>
        <w:jc w:val="both"/>
        <w:rPr>
          <w:rFonts w:ascii="Arial" w:eastAsia="Calibri" w:hAnsi="Arial" w:cs="Arial"/>
          <w:color w:val="000000"/>
          <w:sz w:val="22"/>
          <w:lang w:val="es-ES_tradnl" w:eastAsia="en-GB"/>
        </w:rPr>
      </w:pPr>
      <w:r w:rsidRPr="00336CF8">
        <w:rPr>
          <w:rFonts w:ascii="Arial" w:eastAsia="Calibri" w:hAnsi="Arial" w:cs="Arial"/>
          <w:color w:val="000000"/>
          <w:sz w:val="22"/>
          <w:lang w:val="es-ES_tradnl" w:eastAsia="en-GB"/>
        </w:rPr>
        <w:t>Por ello, el artículo 74 de la Constitución, en armonía con los artículos 18 y 19 de la Ley 1712 de 2014 y los artículos 24 y 25 de la Ley 1437 de 2011 –de acuerdo con la modificación realizada por la Ley 1755 de 2015–, establecen que el derecho de acceso a la información o documentación pública no es absoluto, sino que puede exceptuarse cuando se configuren causales de reserva. Así mismo, hay información que goza de protección especial y no puede divulgarse. La información pública que contiene datos semiprivados o privados, definidos en los literales g) y h) del artículo 3° de la Ley 1266 de 2008; clasificados o reservados, según los artículos 18 y 19 de la Ley 1712 de 2014; o datos personales o sensibles, según lo previsto en los artículos 3° y 5° de la Ley 1581 de 2012 y en el artículo 2.2.2.25.1.3., numeral 3 –que compiló al Decreto 1377 de 2013 (art. 3)–, solo podrá divulgarse según las reglas establecidas en dichas normas. </w:t>
      </w:r>
    </w:p>
    <w:p w14:paraId="73871C09" w14:textId="77777777" w:rsidR="00336CF8" w:rsidRPr="00336CF8" w:rsidRDefault="00336CF8" w:rsidP="00336CF8">
      <w:pPr>
        <w:tabs>
          <w:tab w:val="left" w:pos="426"/>
        </w:tabs>
        <w:spacing w:before="120" w:after="120" w:line="276" w:lineRule="auto"/>
        <w:ind w:firstLine="709"/>
        <w:jc w:val="both"/>
        <w:rPr>
          <w:rFonts w:ascii="Arial" w:eastAsia="Calibri" w:hAnsi="Arial" w:cs="Arial"/>
          <w:color w:val="000000"/>
          <w:sz w:val="22"/>
          <w:lang w:val="es-ES_tradnl" w:eastAsia="en-GB"/>
        </w:rPr>
      </w:pPr>
      <w:r w:rsidRPr="00336CF8">
        <w:rPr>
          <w:rFonts w:ascii="Arial" w:eastAsia="Calibri" w:hAnsi="Arial" w:cs="Arial"/>
          <w:color w:val="000000"/>
          <w:sz w:val="22"/>
          <w:lang w:val="es-ES_tradnl" w:eastAsia="en-GB"/>
        </w:rPr>
        <w:t xml:space="preserve">Cuando el documento contractual tenga información sensible, clasificada o reservada, para proteger la reserva de información, las autoridades deben abstenerse de publicar en el SECOP la información que tiene protección especial o está sometida a reserva. Sin embargo, de acuerdo con el segundo inciso del artículo 25 de la Ley 1437 de 2011 «La restricción por reserva legal no se extenderá a otras piezas del respectivo expediente o actuación que no estén cubiertas por ella». Por ello, la entidad estatal puede dejar de publicar algún documento del proceso o aparte del mismo que contenga datos sensibles, clasificados o reservados, para no divulgarla, pero debe publicar los demás documentos o los apartados de </w:t>
      </w:r>
      <w:proofErr w:type="gramStart"/>
      <w:r w:rsidRPr="00336CF8">
        <w:rPr>
          <w:rFonts w:ascii="Arial" w:eastAsia="Calibri" w:hAnsi="Arial" w:cs="Arial"/>
          <w:color w:val="000000"/>
          <w:sz w:val="22"/>
          <w:lang w:val="es-ES_tradnl" w:eastAsia="en-GB"/>
        </w:rPr>
        <w:t>los mismos</w:t>
      </w:r>
      <w:proofErr w:type="gramEnd"/>
      <w:r w:rsidRPr="00336CF8">
        <w:rPr>
          <w:rFonts w:ascii="Arial" w:eastAsia="Calibri" w:hAnsi="Arial" w:cs="Arial"/>
          <w:color w:val="000000"/>
          <w:sz w:val="22"/>
          <w:lang w:val="es-ES_tradnl" w:eastAsia="en-GB"/>
        </w:rPr>
        <w:t>, en caso de que estos no gocen de reserva. Lo anterior, sin perjuicio de que dependiendo de la información en específico todo el documento o expediente deba dejar de publicarse, por ampararse en su integridad en alguna causal de reserva, dada la conexión de su contenido con la información que el constituyente o el legislador decidió limitar en cuanto a su publicidad.</w:t>
      </w:r>
    </w:p>
    <w:p w14:paraId="585360D8" w14:textId="7D87C001" w:rsidR="00336CF8" w:rsidRPr="00336CF8" w:rsidRDefault="00336CF8" w:rsidP="007A7EA6">
      <w:pPr>
        <w:tabs>
          <w:tab w:val="left" w:pos="426"/>
        </w:tabs>
        <w:spacing w:line="276" w:lineRule="auto"/>
        <w:ind w:firstLine="709"/>
        <w:jc w:val="both"/>
        <w:rPr>
          <w:rFonts w:ascii="Arial" w:eastAsia="Calibri" w:hAnsi="Arial" w:cs="Arial"/>
          <w:color w:val="000000"/>
          <w:sz w:val="22"/>
          <w:lang w:val="es-ES_tradnl" w:eastAsia="en-GB"/>
        </w:rPr>
      </w:pPr>
      <w:r w:rsidRPr="00336CF8">
        <w:rPr>
          <w:rFonts w:ascii="Arial" w:eastAsia="Calibri" w:hAnsi="Arial" w:cs="Arial"/>
          <w:color w:val="000000"/>
          <w:sz w:val="22"/>
          <w:lang w:val="es-ES_tradnl" w:eastAsia="en-GB"/>
        </w:rPr>
        <w:t xml:space="preserve">En efecto, de conformidad con la Constitución, la reserva de información pública solo puede crearla el constituyente o el legislador. Además, las Leyes estatutarias 1712 de 2014 y la 1755 de 2015 –que sustituyó los artículos 13 a 33 de la Ley 1437 de 2011– establecen </w:t>
      </w:r>
      <w:r w:rsidR="00B9117A">
        <w:rPr>
          <w:rFonts w:ascii="Arial" w:eastAsia="Calibri" w:hAnsi="Arial" w:cs="Arial"/>
          <w:color w:val="000000"/>
          <w:sz w:val="22"/>
          <w:lang w:val="es-ES_tradnl" w:eastAsia="en-GB"/>
        </w:rPr>
        <w:t xml:space="preserve">clasificaciones o </w:t>
      </w:r>
      <w:r w:rsidRPr="00336CF8">
        <w:rPr>
          <w:rFonts w:ascii="Arial" w:eastAsia="Calibri" w:hAnsi="Arial" w:cs="Arial"/>
          <w:color w:val="000000"/>
          <w:sz w:val="22"/>
          <w:lang w:val="es-ES_tradnl" w:eastAsia="en-GB"/>
        </w:rPr>
        <w:t xml:space="preserve">reservas particulares de información pública, coincidiendo </w:t>
      </w:r>
      <w:r w:rsidRPr="00336CF8">
        <w:rPr>
          <w:rFonts w:ascii="Arial" w:eastAsia="Calibri" w:hAnsi="Arial" w:cs="Arial"/>
          <w:color w:val="000000"/>
          <w:sz w:val="22"/>
          <w:lang w:val="es-ES_tradnl" w:eastAsia="en-GB"/>
        </w:rPr>
        <w:lastRenderedPageBreak/>
        <w:t xml:space="preserve">ambas en establecer la </w:t>
      </w:r>
      <w:r w:rsidR="00B9117A">
        <w:rPr>
          <w:rFonts w:ascii="Arial" w:eastAsia="Calibri" w:hAnsi="Arial" w:cs="Arial"/>
          <w:color w:val="000000"/>
          <w:sz w:val="22"/>
          <w:lang w:val="es-ES_tradnl" w:eastAsia="en-GB"/>
        </w:rPr>
        <w:t>clasificación</w:t>
      </w:r>
      <w:r w:rsidRPr="00336CF8">
        <w:rPr>
          <w:rFonts w:ascii="Arial" w:eastAsia="Calibri" w:hAnsi="Arial" w:cs="Arial"/>
          <w:color w:val="000000"/>
          <w:sz w:val="22"/>
          <w:lang w:val="es-ES_tradnl" w:eastAsia="en-GB"/>
        </w:rPr>
        <w:t xml:space="preserve"> relacionada con la «</w:t>
      </w:r>
      <w:r w:rsidR="00B9117A">
        <w:rPr>
          <w:rFonts w:ascii="Arial" w:eastAsia="Calibri" w:hAnsi="Arial" w:cs="Arial"/>
          <w:color w:val="000000"/>
          <w:sz w:val="22"/>
          <w:lang w:val="es-ES_tradnl" w:eastAsia="en-GB"/>
        </w:rPr>
        <w:t>información exceptuada por daño de derechos a personas naturales o jurídicas</w:t>
      </w:r>
      <w:r w:rsidRPr="00336CF8">
        <w:rPr>
          <w:rFonts w:ascii="Arial" w:eastAsia="Calibri" w:hAnsi="Arial" w:cs="Arial"/>
          <w:color w:val="000000"/>
          <w:sz w:val="22"/>
          <w:lang w:val="es-ES_tradnl" w:eastAsia="en-GB"/>
        </w:rPr>
        <w:t>»</w:t>
      </w:r>
      <w:r w:rsidRPr="00336CF8">
        <w:rPr>
          <w:rFonts w:ascii="Arial" w:eastAsia="Calibri" w:hAnsi="Arial" w:cs="Arial"/>
          <w:color w:val="000000"/>
          <w:sz w:val="22"/>
          <w:vertAlign w:val="superscript"/>
          <w:lang w:val="es-ES_tradnl" w:eastAsia="en-GB"/>
        </w:rPr>
        <w:footnoteReference w:id="35"/>
      </w:r>
      <w:r w:rsidRPr="00336CF8">
        <w:rPr>
          <w:rFonts w:ascii="Arial" w:eastAsia="Calibri" w:hAnsi="Arial" w:cs="Arial"/>
          <w:color w:val="000000"/>
          <w:sz w:val="22"/>
          <w:lang w:val="es-ES_tradnl" w:eastAsia="en-GB"/>
        </w:rPr>
        <w:t xml:space="preserve">. </w:t>
      </w:r>
    </w:p>
    <w:p w14:paraId="4965DD7F" w14:textId="5FFF87A0" w:rsidR="00336CF8" w:rsidRPr="00336CF8" w:rsidRDefault="00336CF8" w:rsidP="007A7EA6">
      <w:pPr>
        <w:tabs>
          <w:tab w:val="left" w:pos="709"/>
        </w:tabs>
        <w:spacing w:line="276" w:lineRule="auto"/>
        <w:jc w:val="both"/>
        <w:rPr>
          <w:rFonts w:ascii="Arial" w:hAnsi="Arial" w:cs="Arial"/>
          <w:sz w:val="22"/>
        </w:rPr>
      </w:pPr>
      <w:r w:rsidRPr="00336CF8">
        <w:rPr>
          <w:rFonts w:ascii="Arial" w:eastAsia="Calibri" w:hAnsi="Arial" w:cs="Arial"/>
          <w:color w:val="000000"/>
          <w:sz w:val="22"/>
          <w:lang w:val="es-ES_tradnl" w:eastAsia="en-GB"/>
        </w:rPr>
        <w:tab/>
      </w:r>
    </w:p>
    <w:p w14:paraId="7AC77B5B" w14:textId="462BC3DE" w:rsidR="00336CF8" w:rsidRDefault="00336CF8" w:rsidP="00336CF8">
      <w:pPr>
        <w:tabs>
          <w:tab w:val="left" w:pos="426"/>
        </w:tabs>
        <w:spacing w:after="120" w:line="276" w:lineRule="auto"/>
        <w:ind w:firstLine="709"/>
        <w:jc w:val="both"/>
        <w:rPr>
          <w:rFonts w:ascii="Arial" w:hAnsi="Arial" w:cs="Arial"/>
          <w:sz w:val="22"/>
        </w:rPr>
      </w:pPr>
      <w:r w:rsidRPr="00336CF8">
        <w:rPr>
          <w:rFonts w:ascii="Arial" w:hAnsi="Arial" w:cs="Arial"/>
          <w:sz w:val="22"/>
        </w:rPr>
        <w:t>En tal sentido, es posible que en cualquier procedimiento de selección se prescinda de publicar determinada información que esté</w:t>
      </w:r>
      <w:r w:rsidR="009F23A9">
        <w:rPr>
          <w:rFonts w:ascii="Arial" w:hAnsi="Arial" w:cs="Arial"/>
          <w:sz w:val="22"/>
        </w:rPr>
        <w:t xml:space="preserve"> clasificada o</w:t>
      </w:r>
      <w:r w:rsidRPr="00336CF8">
        <w:rPr>
          <w:rFonts w:ascii="Arial" w:hAnsi="Arial" w:cs="Arial"/>
          <w:sz w:val="22"/>
        </w:rPr>
        <w:t xml:space="preserve"> reservada de acuerdo con la Constitución o la ley, por lo que frente a ella debe procederse como lo establece la Ley 1712 de 2014, esto es, cumpliendo todos los deberes establecidos en dicha ley, absteniéndose de publicar la información que esté sometida a alguna de las reservas indicadas, particularmente en los supuestos previstos en las causales de</w:t>
      </w:r>
      <w:r w:rsidR="009F23A9">
        <w:rPr>
          <w:rFonts w:ascii="Arial" w:hAnsi="Arial" w:cs="Arial"/>
          <w:sz w:val="22"/>
        </w:rPr>
        <w:t xml:space="preserve"> </w:t>
      </w:r>
      <w:r w:rsidRPr="00336CF8">
        <w:rPr>
          <w:rFonts w:ascii="Arial" w:hAnsi="Arial" w:cs="Arial"/>
          <w:sz w:val="22"/>
        </w:rPr>
        <w:t>l</w:t>
      </w:r>
      <w:r w:rsidR="009F23A9">
        <w:rPr>
          <w:rFonts w:ascii="Arial" w:hAnsi="Arial" w:cs="Arial"/>
          <w:sz w:val="22"/>
        </w:rPr>
        <w:t>os</w:t>
      </w:r>
      <w:r w:rsidRPr="00336CF8">
        <w:rPr>
          <w:rFonts w:ascii="Arial" w:hAnsi="Arial" w:cs="Arial"/>
          <w:sz w:val="22"/>
        </w:rPr>
        <w:t xml:space="preserve"> artículo</w:t>
      </w:r>
      <w:r w:rsidR="009F23A9">
        <w:rPr>
          <w:rFonts w:ascii="Arial" w:hAnsi="Arial" w:cs="Arial"/>
          <w:sz w:val="22"/>
        </w:rPr>
        <w:t>s</w:t>
      </w:r>
      <w:r w:rsidRPr="00336CF8">
        <w:rPr>
          <w:rFonts w:ascii="Arial" w:hAnsi="Arial" w:cs="Arial"/>
          <w:sz w:val="22"/>
        </w:rPr>
        <w:t xml:space="preserve"> </w:t>
      </w:r>
      <w:r w:rsidR="009F23A9">
        <w:rPr>
          <w:rFonts w:ascii="Arial" w:hAnsi="Arial" w:cs="Arial"/>
          <w:sz w:val="22"/>
        </w:rPr>
        <w:t xml:space="preserve">18 y </w:t>
      </w:r>
      <w:r w:rsidRPr="00336CF8">
        <w:rPr>
          <w:rFonts w:ascii="Arial" w:hAnsi="Arial" w:cs="Arial"/>
          <w:sz w:val="22"/>
        </w:rPr>
        <w:t xml:space="preserve">19 de la Ley mencionada. </w:t>
      </w:r>
    </w:p>
    <w:p w14:paraId="4487D579" w14:textId="01734A9A" w:rsidR="00C45457" w:rsidRDefault="00C45457" w:rsidP="00C45457">
      <w:pPr>
        <w:spacing w:before="120" w:line="276" w:lineRule="auto"/>
        <w:ind w:firstLine="709"/>
        <w:jc w:val="both"/>
        <w:rPr>
          <w:rFonts w:ascii="Arial" w:eastAsia="Calibri" w:hAnsi="Arial" w:cs="Arial"/>
          <w:sz w:val="22"/>
          <w:szCs w:val="22"/>
          <w:lang w:val="es-ES_tradnl"/>
        </w:rPr>
      </w:pPr>
      <w:r>
        <w:rPr>
          <w:rFonts w:ascii="Arial" w:hAnsi="Arial" w:cs="Arial"/>
          <w:sz w:val="22"/>
        </w:rPr>
        <w:t xml:space="preserve">Finalmente, </w:t>
      </w:r>
      <w:r w:rsidRPr="008A10A6">
        <w:rPr>
          <w:rFonts w:ascii="Arial" w:eastAsia="Calibri" w:hAnsi="Arial" w:cs="Arial"/>
          <w:sz w:val="22"/>
          <w:szCs w:val="22"/>
          <w:lang w:val="es-ES_tradnl"/>
        </w:rPr>
        <w:t>como lo</w:t>
      </w:r>
      <w:r>
        <w:rPr>
          <w:rFonts w:ascii="Arial" w:eastAsia="Calibri" w:hAnsi="Arial" w:cs="Arial"/>
          <w:sz w:val="22"/>
          <w:szCs w:val="22"/>
          <w:lang w:val="es-ES_tradnl"/>
        </w:rPr>
        <w:t xml:space="preserve"> ha</w:t>
      </w:r>
      <w:r w:rsidRPr="008A10A6">
        <w:rPr>
          <w:rFonts w:ascii="Arial" w:eastAsia="Calibri" w:hAnsi="Arial" w:cs="Arial"/>
          <w:sz w:val="22"/>
          <w:szCs w:val="22"/>
          <w:lang w:val="es-ES_tradnl"/>
        </w:rPr>
        <w:t xml:space="preserve"> indic</w:t>
      </w:r>
      <w:r>
        <w:rPr>
          <w:rFonts w:ascii="Arial" w:eastAsia="Calibri" w:hAnsi="Arial" w:cs="Arial"/>
          <w:sz w:val="22"/>
          <w:szCs w:val="22"/>
          <w:lang w:val="es-ES_tradnl"/>
        </w:rPr>
        <w:t>ado</w:t>
      </w:r>
      <w:r w:rsidRPr="008A10A6">
        <w:rPr>
          <w:rFonts w:ascii="Arial" w:eastAsia="Calibri" w:hAnsi="Arial" w:cs="Arial"/>
          <w:sz w:val="22"/>
          <w:szCs w:val="22"/>
          <w:lang w:val="es-ES_tradnl"/>
        </w:rPr>
        <w:t xml:space="preserve"> la Agencia Nacional de Contratación Pública – Colombia Compra Eficiente en su «Política de tratamiento y protección de datos personales», «Las Entidades Públicas son las Responsables del Tratamiento de los Datos Personales asociada a sus procesos de contratación en el SECOP.</w:t>
      </w:r>
      <w:r>
        <w:rPr>
          <w:rFonts w:ascii="Arial" w:eastAsia="Calibri" w:hAnsi="Arial" w:cs="Arial"/>
          <w:sz w:val="22"/>
          <w:szCs w:val="22"/>
          <w:lang w:val="es-ES_tradnl"/>
        </w:rPr>
        <w:t xml:space="preserve"> Es así como, según </w:t>
      </w:r>
      <w:r w:rsidRPr="00C45457">
        <w:rPr>
          <w:rFonts w:ascii="Arial" w:eastAsia="Calibri" w:hAnsi="Arial" w:cs="Arial"/>
          <w:sz w:val="22"/>
          <w:szCs w:val="22"/>
          <w:lang w:val="es-ES_tradnl"/>
        </w:rPr>
        <w:t>el artículo 3, literal e), de la Ley 1581 de 2012</w:t>
      </w:r>
      <w:r>
        <w:rPr>
          <w:rFonts w:ascii="Arial" w:eastAsia="Calibri" w:hAnsi="Arial" w:cs="Arial"/>
          <w:sz w:val="22"/>
          <w:szCs w:val="22"/>
          <w:lang w:val="es-ES_tradnl"/>
        </w:rPr>
        <w:t xml:space="preserve">, el </w:t>
      </w:r>
      <w:r w:rsidRPr="00C45457">
        <w:rPr>
          <w:rFonts w:ascii="Arial" w:eastAsia="Calibri" w:hAnsi="Arial" w:cs="Arial"/>
          <w:sz w:val="22"/>
          <w:szCs w:val="22"/>
          <w:lang w:val="es-ES_tradnl"/>
        </w:rPr>
        <w:t>«responsable del tratamiento» es la «Persona natural o jurídica, pública o privada, que por sí misma o en asocio con otros, decida sobre la base de datos y/o el Tratamiento de los datos». En tal sentido, son responsables del tratamiento de los datos en los procesos de contratación tanto los proponentes –en especial, cuando aportan con la oferta datos de personas naturales cuyos datos son objeto de tratamiento–, como las entidades estatales que reciben tales datos.</w:t>
      </w:r>
    </w:p>
    <w:p w14:paraId="019E09FC" w14:textId="77777777" w:rsidR="00ED0786" w:rsidRPr="00ED0786" w:rsidRDefault="00C45457" w:rsidP="00ED0786">
      <w:pPr>
        <w:spacing w:before="120" w:line="276" w:lineRule="auto"/>
        <w:ind w:firstLine="709"/>
        <w:jc w:val="both"/>
        <w:rPr>
          <w:rFonts w:ascii="Arial" w:eastAsia="Calibri" w:hAnsi="Arial" w:cs="Arial"/>
          <w:bCs/>
          <w:sz w:val="22"/>
          <w:szCs w:val="22"/>
          <w:lang w:val="es-ES_tradnl"/>
        </w:rPr>
      </w:pPr>
      <w:r w:rsidRPr="008A10A6">
        <w:rPr>
          <w:rFonts w:ascii="Arial" w:eastAsia="Calibri" w:hAnsi="Arial" w:cs="Arial"/>
          <w:bCs/>
          <w:sz w:val="22"/>
          <w:lang w:val="es-ES_tradnl"/>
        </w:rPr>
        <w:t xml:space="preserve">Para el tratamiento de los datos personales debe garantizarse el «principio de libertad». </w:t>
      </w:r>
      <w:r>
        <w:rPr>
          <w:rFonts w:ascii="Arial" w:eastAsia="Calibri" w:hAnsi="Arial" w:cs="Arial"/>
          <w:bCs/>
          <w:sz w:val="22"/>
          <w:lang w:val="es-ES_tradnl"/>
        </w:rPr>
        <w:t>S</w:t>
      </w:r>
      <w:r w:rsidRPr="008A10A6">
        <w:rPr>
          <w:rFonts w:ascii="Arial" w:eastAsia="Calibri" w:hAnsi="Arial" w:cs="Arial"/>
          <w:bCs/>
          <w:sz w:val="22"/>
          <w:lang w:val="es-ES_tradnl"/>
        </w:rPr>
        <w:t xml:space="preserve">egún el artículo 4, literal c), de la Ley 1581 de 2012, </w:t>
      </w:r>
      <w:r>
        <w:rPr>
          <w:rFonts w:ascii="Arial" w:eastAsia="Calibri" w:hAnsi="Arial" w:cs="Arial"/>
          <w:bCs/>
          <w:sz w:val="22"/>
          <w:lang w:val="es-ES_tradnl"/>
        </w:rPr>
        <w:t xml:space="preserve">esto significa </w:t>
      </w:r>
      <w:r w:rsidRPr="008A10A6">
        <w:rPr>
          <w:rFonts w:ascii="Arial" w:eastAsia="Calibri" w:hAnsi="Arial" w:cs="Arial"/>
          <w:bCs/>
          <w:sz w:val="22"/>
          <w:lang w:val="es-ES_tradnl"/>
        </w:rPr>
        <w:t>que: «El Tratamiento sólo puede ejercerse con el consentimiento, previo, expreso e informado del Titular. Los datos personales no podrán ser obtenidos o divulgados sin previa autorización, o en ausencia de mandato legal o judicial que releve el consentimiento».</w:t>
      </w:r>
      <w:r w:rsidR="00ED0786">
        <w:rPr>
          <w:rFonts w:ascii="Arial" w:eastAsia="Calibri" w:hAnsi="Arial" w:cs="Arial"/>
          <w:bCs/>
          <w:sz w:val="22"/>
          <w:lang w:val="es-ES_tradnl"/>
        </w:rPr>
        <w:t xml:space="preserve"> </w:t>
      </w:r>
      <w:r w:rsidR="00ED0786" w:rsidRPr="00ED0786">
        <w:rPr>
          <w:rFonts w:ascii="Arial" w:eastAsia="Calibri" w:hAnsi="Arial" w:cs="Arial"/>
          <w:bCs/>
          <w:sz w:val="22"/>
          <w:szCs w:val="22"/>
          <w:lang w:val="es-ES_tradnl"/>
        </w:rPr>
        <w:t xml:space="preserve">Los procedimientos contractuales no están exentos de la autorización previa del titular para el </w:t>
      </w:r>
      <w:r w:rsidR="00ED0786" w:rsidRPr="00ED0786">
        <w:rPr>
          <w:rFonts w:ascii="Arial" w:eastAsia="Calibri" w:hAnsi="Arial" w:cs="Arial"/>
          <w:bCs/>
          <w:sz w:val="22"/>
          <w:szCs w:val="22"/>
          <w:lang w:val="es-ES_tradnl"/>
        </w:rPr>
        <w:lastRenderedPageBreak/>
        <w:t>tratamiento de los datos personales</w:t>
      </w:r>
      <w:r w:rsidR="00ED0786" w:rsidRPr="00ED0786">
        <w:rPr>
          <w:rFonts w:ascii="Arial" w:eastAsia="Calibri" w:hAnsi="Arial" w:cs="Arial"/>
          <w:sz w:val="22"/>
          <w:szCs w:val="22"/>
          <w:vertAlign w:val="superscript"/>
          <w:lang w:val="es-ES_tradnl"/>
        </w:rPr>
        <w:footnoteReference w:id="36"/>
      </w:r>
      <w:r w:rsidR="00ED0786" w:rsidRPr="00ED0786">
        <w:rPr>
          <w:rFonts w:ascii="Arial" w:eastAsia="Calibri" w:hAnsi="Arial" w:cs="Arial"/>
          <w:bCs/>
          <w:sz w:val="22"/>
          <w:szCs w:val="22"/>
          <w:lang w:val="es-ES_tradnl"/>
        </w:rPr>
        <w:t xml:space="preserve">. Por lo tanto, las entidades estatales deben cerciorarse de que exista la constancia a la que se refiere el artículo 9 de la Ley 1581 de 2012, como responsables que son –junto a los oferentes y contratistas que recolectan información de personas naturales– del tratamiento de los datos personales en los procedimientos de selección, a fin de evitar una vulneración al derecho fundamental de </w:t>
      </w:r>
      <w:r w:rsidR="00ED0786" w:rsidRPr="00ED0786">
        <w:rPr>
          <w:rFonts w:ascii="Arial" w:eastAsia="Calibri" w:hAnsi="Arial" w:cs="Arial"/>
          <w:bCs/>
          <w:i/>
          <w:iCs/>
          <w:sz w:val="22"/>
          <w:szCs w:val="22"/>
          <w:lang w:val="es-ES_tradnl"/>
        </w:rPr>
        <w:t>habeas data</w:t>
      </w:r>
      <w:r w:rsidR="00ED0786" w:rsidRPr="00ED0786">
        <w:rPr>
          <w:rFonts w:ascii="Arial" w:eastAsia="Calibri" w:hAnsi="Arial" w:cs="Arial"/>
          <w:bCs/>
          <w:sz w:val="22"/>
          <w:szCs w:val="22"/>
          <w:lang w:val="es-ES_tradnl"/>
        </w:rPr>
        <w:t xml:space="preserve">. Así se deduce del artículo 17, literal b), de la Ley 1581 de 2012, que establece, como deber de los responsables del tratamiento, «Solicitar y conservar […] copia de la respectiva autorización otorgada por el Titular». </w:t>
      </w:r>
    </w:p>
    <w:p w14:paraId="06645401" w14:textId="77777777" w:rsidR="00ED0786" w:rsidRPr="00ED0786" w:rsidRDefault="00ED0786" w:rsidP="00ED0786">
      <w:pPr>
        <w:spacing w:before="120" w:line="276" w:lineRule="auto"/>
        <w:ind w:firstLine="709"/>
        <w:jc w:val="both"/>
        <w:rPr>
          <w:rFonts w:ascii="Arial" w:eastAsia="Calibri" w:hAnsi="Arial" w:cs="Arial"/>
          <w:sz w:val="22"/>
          <w:szCs w:val="22"/>
          <w:lang w:val="es-ES_tradnl"/>
        </w:rPr>
      </w:pPr>
      <w:r w:rsidRPr="00ED0786">
        <w:rPr>
          <w:rFonts w:ascii="Arial" w:eastAsia="Calibri" w:hAnsi="Arial" w:cs="Arial"/>
          <w:sz w:val="22"/>
          <w:szCs w:val="22"/>
          <w:lang w:val="es-ES_tradnl"/>
        </w:rPr>
        <w:t xml:space="preserve">Por otra parte, el artículo 5 de la Ley 1581 de 2012 define los «datos sensibles» como «[…]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 </w:t>
      </w:r>
    </w:p>
    <w:p w14:paraId="51F756F2" w14:textId="0B5E0709" w:rsidR="00ED0786" w:rsidRPr="00ED0786" w:rsidRDefault="00ED0786" w:rsidP="00ED0786">
      <w:pPr>
        <w:spacing w:before="120" w:line="276" w:lineRule="auto"/>
        <w:ind w:firstLine="709"/>
        <w:jc w:val="both"/>
        <w:rPr>
          <w:rFonts w:ascii="Arial" w:eastAsia="Calibri" w:hAnsi="Arial" w:cs="Arial"/>
          <w:sz w:val="22"/>
          <w:szCs w:val="22"/>
          <w:lang w:val="es-ES_tradnl"/>
        </w:rPr>
      </w:pPr>
      <w:r w:rsidRPr="00ED0786">
        <w:rPr>
          <w:rFonts w:ascii="Arial" w:eastAsia="Calibri" w:hAnsi="Arial" w:cs="Arial"/>
          <w:sz w:val="22"/>
          <w:szCs w:val="22"/>
          <w:lang w:val="es-ES_tradnl"/>
        </w:rPr>
        <w:t>En principio, el tratamiento de estos datos está prohibido, salvo que se reúnan las circunstancias del artículo 6 de la Ley 1581 de 2012, una de las cuales consiste en que «El Titular haya dado su autorización explícita a dicho Tratamiento […]</w:t>
      </w:r>
      <w:proofErr w:type="gramStart"/>
      <w:r w:rsidRPr="00ED0786">
        <w:rPr>
          <w:rFonts w:ascii="Arial" w:eastAsia="Calibri" w:hAnsi="Arial" w:cs="Arial"/>
          <w:sz w:val="22"/>
          <w:szCs w:val="22"/>
          <w:lang w:val="es-ES_tradnl"/>
        </w:rPr>
        <w:t>» .</w:t>
      </w:r>
      <w:proofErr w:type="gramEnd"/>
      <w:r w:rsidRPr="00ED0786">
        <w:rPr>
          <w:rFonts w:ascii="Arial" w:eastAsia="Calibri" w:hAnsi="Arial" w:cs="Arial"/>
          <w:sz w:val="22"/>
          <w:szCs w:val="22"/>
          <w:lang w:val="es-ES_tradnl"/>
        </w:rPr>
        <w:t xml:space="preserve"> Para obtener dicha autorización debe observarse el procedimiento establecido en el artículo 2.2.2.25.2.3</w:t>
      </w:r>
      <w:r>
        <w:rPr>
          <w:rFonts w:ascii="Arial" w:eastAsia="Calibri" w:hAnsi="Arial" w:cs="Arial"/>
          <w:sz w:val="22"/>
          <w:szCs w:val="22"/>
          <w:lang w:val="es-ES_tradnl"/>
        </w:rPr>
        <w:t xml:space="preserve"> del Decreto 1074 de 2015</w:t>
      </w:r>
      <w:r w:rsidRPr="00ED0786">
        <w:rPr>
          <w:rFonts w:ascii="Arial" w:eastAsia="Calibri" w:hAnsi="Arial" w:cs="Arial"/>
          <w:sz w:val="22"/>
          <w:szCs w:val="22"/>
          <w:lang w:val="es-ES_tradnl"/>
        </w:rPr>
        <w:t>, según el cual:</w:t>
      </w:r>
    </w:p>
    <w:p w14:paraId="18CF5EAE" w14:textId="77777777" w:rsidR="00ED0786" w:rsidRPr="00ED0786" w:rsidRDefault="00ED0786" w:rsidP="00ED0786">
      <w:pPr>
        <w:spacing w:before="120" w:line="276" w:lineRule="auto"/>
        <w:ind w:firstLine="709"/>
        <w:jc w:val="both"/>
        <w:rPr>
          <w:rFonts w:ascii="Arial" w:eastAsia="Calibri" w:hAnsi="Arial" w:cs="Arial"/>
          <w:sz w:val="22"/>
          <w:szCs w:val="22"/>
          <w:lang w:val="es-ES_tradnl"/>
        </w:rPr>
      </w:pPr>
    </w:p>
    <w:p w14:paraId="666FE7BD" w14:textId="77777777" w:rsidR="00ED0786" w:rsidRPr="00ED0786" w:rsidRDefault="00ED0786" w:rsidP="00ED0786">
      <w:pPr>
        <w:tabs>
          <w:tab w:val="left" w:pos="0"/>
        </w:tabs>
        <w:ind w:left="709" w:right="709"/>
        <w:jc w:val="both"/>
        <w:rPr>
          <w:rFonts w:ascii="Arial" w:eastAsia="Calibri" w:hAnsi="Arial" w:cs="Arial"/>
          <w:bCs/>
          <w:sz w:val="21"/>
          <w:szCs w:val="21"/>
          <w:lang w:val="es-ES_tradnl"/>
        </w:rPr>
      </w:pPr>
      <w:r w:rsidRPr="00ED0786">
        <w:rPr>
          <w:rFonts w:ascii="Arial" w:eastAsia="Calibri" w:hAnsi="Arial" w:cs="Arial"/>
          <w:bCs/>
          <w:sz w:val="21"/>
          <w:szCs w:val="21"/>
          <w:lang w:val="es-ES_tradnl"/>
        </w:rPr>
        <w:t>El Tratamiento de los datos sensibles a que se refiere el artículo 5 de la Ley 1581 de 2012 está prohibido, a excepción de los casos expresamente señalados en el artículo 6 de la citada ley.</w:t>
      </w:r>
    </w:p>
    <w:p w14:paraId="6E1A3624" w14:textId="77777777" w:rsidR="00ED0786" w:rsidRPr="00ED0786" w:rsidRDefault="00ED0786" w:rsidP="00ED0786">
      <w:pPr>
        <w:tabs>
          <w:tab w:val="left" w:pos="0"/>
        </w:tabs>
        <w:ind w:left="709" w:right="709"/>
        <w:jc w:val="both"/>
        <w:rPr>
          <w:rFonts w:ascii="Arial" w:eastAsia="Calibri" w:hAnsi="Arial" w:cs="Arial"/>
          <w:bCs/>
          <w:sz w:val="21"/>
          <w:szCs w:val="21"/>
          <w:lang w:val="es-ES_tradnl"/>
        </w:rPr>
      </w:pPr>
      <w:r w:rsidRPr="00ED0786">
        <w:rPr>
          <w:rFonts w:ascii="Arial" w:eastAsia="Calibri" w:hAnsi="Arial" w:cs="Arial"/>
          <w:bCs/>
          <w:sz w:val="21"/>
          <w:szCs w:val="21"/>
          <w:lang w:val="es-ES_tradnl"/>
        </w:rPr>
        <w:t>En el Tratamiento de datos personales sensibles, cuando dicho Tratamiento sea posible conforme a lo establecido en el artículo 6 de la Ley 1581 de 2012, deberán cumplirse las siguientes obligaciones:</w:t>
      </w:r>
    </w:p>
    <w:p w14:paraId="7E9C0646" w14:textId="77777777" w:rsidR="00ED0786" w:rsidRPr="00ED0786" w:rsidRDefault="00ED0786" w:rsidP="00ED0786">
      <w:pPr>
        <w:tabs>
          <w:tab w:val="left" w:pos="0"/>
        </w:tabs>
        <w:ind w:left="709" w:right="709"/>
        <w:jc w:val="both"/>
        <w:rPr>
          <w:rFonts w:ascii="Arial" w:eastAsia="Calibri" w:hAnsi="Arial" w:cs="Arial"/>
          <w:bCs/>
          <w:sz w:val="21"/>
          <w:szCs w:val="21"/>
          <w:lang w:val="es-ES_tradnl"/>
        </w:rPr>
      </w:pPr>
      <w:r w:rsidRPr="00ED0786">
        <w:rPr>
          <w:rFonts w:ascii="Arial" w:eastAsia="Calibri" w:hAnsi="Arial" w:cs="Arial"/>
          <w:bCs/>
          <w:sz w:val="21"/>
          <w:szCs w:val="21"/>
          <w:lang w:val="es-ES_tradnl"/>
        </w:rPr>
        <w:t>1. Informar al titular que por tratarse de datos sensibles no está obligado a autorizar su Tratamiento.</w:t>
      </w:r>
    </w:p>
    <w:p w14:paraId="42A9ADBB" w14:textId="77777777" w:rsidR="00ED0786" w:rsidRPr="00ED0786" w:rsidRDefault="00ED0786" w:rsidP="00ED0786">
      <w:pPr>
        <w:tabs>
          <w:tab w:val="left" w:pos="0"/>
        </w:tabs>
        <w:ind w:left="709" w:right="709"/>
        <w:jc w:val="both"/>
        <w:rPr>
          <w:rFonts w:ascii="Arial" w:eastAsia="Calibri" w:hAnsi="Arial" w:cs="Arial"/>
          <w:bCs/>
          <w:sz w:val="21"/>
          <w:szCs w:val="21"/>
          <w:lang w:val="es-ES_tradnl"/>
        </w:rPr>
      </w:pPr>
      <w:r w:rsidRPr="00ED0786">
        <w:rPr>
          <w:rFonts w:ascii="Arial" w:eastAsia="Calibri" w:hAnsi="Arial" w:cs="Arial"/>
          <w:bCs/>
          <w:sz w:val="21"/>
          <w:szCs w:val="21"/>
          <w:lang w:val="es-ES_tradnl"/>
        </w:rPr>
        <w:t xml:space="preserve">2. Informar al titular de forma explícita y previa, además de los requisitos generales de la autorización para la recolección de cualquier tipo de dato </w:t>
      </w:r>
      <w:r w:rsidRPr="00ED0786">
        <w:rPr>
          <w:rFonts w:ascii="Arial" w:eastAsia="Calibri" w:hAnsi="Arial" w:cs="Arial"/>
          <w:bCs/>
          <w:sz w:val="21"/>
          <w:szCs w:val="21"/>
          <w:lang w:val="es-ES_tradnl"/>
        </w:rPr>
        <w:lastRenderedPageBreak/>
        <w:t>personal, cuáles de los datos que serán objeto de Tratamiento son sensibles y la finalidad del Tratamiento, así como obtener su consentimiento expreso.</w:t>
      </w:r>
    </w:p>
    <w:p w14:paraId="38575DE1" w14:textId="030B917F" w:rsidR="00ED0786" w:rsidRPr="00ED0786" w:rsidRDefault="00ED0786" w:rsidP="00ED0786">
      <w:pPr>
        <w:tabs>
          <w:tab w:val="left" w:pos="0"/>
        </w:tabs>
        <w:ind w:left="709" w:right="709"/>
        <w:jc w:val="both"/>
        <w:rPr>
          <w:rFonts w:ascii="Arial" w:eastAsia="Calibri" w:hAnsi="Arial" w:cs="Arial"/>
          <w:bCs/>
          <w:sz w:val="21"/>
          <w:szCs w:val="21"/>
          <w:lang w:val="es-ES_tradnl"/>
        </w:rPr>
      </w:pPr>
      <w:r w:rsidRPr="00ED0786">
        <w:rPr>
          <w:rFonts w:ascii="Arial" w:eastAsia="Calibri" w:hAnsi="Arial" w:cs="Arial"/>
          <w:bCs/>
          <w:sz w:val="21"/>
          <w:szCs w:val="21"/>
          <w:lang w:val="es-ES_tradnl"/>
        </w:rPr>
        <w:t>Ninguna actividad podrá condicionarse a que el Titular suministre datos personales sensibles.</w:t>
      </w:r>
    </w:p>
    <w:p w14:paraId="3F01B915" w14:textId="15A2D0B8" w:rsidR="00C45457" w:rsidRDefault="00ED0786" w:rsidP="00ED0786">
      <w:pPr>
        <w:spacing w:before="120" w:line="276" w:lineRule="auto"/>
        <w:ind w:firstLine="709"/>
        <w:jc w:val="both"/>
        <w:rPr>
          <w:rFonts w:ascii="Arial" w:eastAsia="Calibri" w:hAnsi="Arial" w:cs="Arial"/>
          <w:sz w:val="22"/>
          <w:szCs w:val="22"/>
          <w:lang w:val="es-ES_tradnl"/>
        </w:rPr>
      </w:pPr>
      <w:r w:rsidRPr="00ED0786">
        <w:rPr>
          <w:rFonts w:ascii="Arial" w:eastAsia="Calibri" w:hAnsi="Arial" w:cs="Arial"/>
          <w:sz w:val="22"/>
          <w:szCs w:val="22"/>
          <w:lang w:val="es-ES_tradnl"/>
        </w:rPr>
        <w:t>De lo anterior puede concluirse que los datos personales contenidos en las ofertas, incluidos lo de naturaleza sensible, deben respetar las normas sobre tratamiento de datos contenidas en la Ley 1581 de 2012, en el Decreto 1074 de 2015 y en las que los modifiquen o complementen. En estas disposiciones se encuentra el deber de los responsables y encargados del tratamiento de obtener la autorización por parte del titular, consentimiento que debe ser expreso. Además, debe quedar constancia de él para su consulta posterior. Los particulares que participan en la actividad contractual del Estado, presentando ofertas o en calidad de contratistas, son responsables del tratamiento de los datos personales y son los primeros obligados a contar con la autorización previa del titular de los datos, para hacer uso de documentos como hojas de vida, certificados o, en general, datos personales. Las entidades estatales interesadas en contratar bienes o servicios son también responsables y deben cerciorarse de que exista la constancia de la autorización de las personas naturales titulares de los datos, tal como lo indicó la Agencia Nacional de Contratación Pública –Colombia Compra Eficiente en su «Política de tratamiento y protección de datos personales».</w:t>
      </w:r>
    </w:p>
    <w:p w14:paraId="2FB4E41A" w14:textId="4747D757" w:rsidR="003E305B" w:rsidRDefault="00ED0786" w:rsidP="00C26B44">
      <w:pPr>
        <w:spacing w:before="120" w:after="120" w:line="276" w:lineRule="auto"/>
        <w:ind w:firstLine="709"/>
        <w:jc w:val="both"/>
        <w:rPr>
          <w:rFonts w:ascii="Arial" w:hAnsi="Arial" w:cs="Arial"/>
          <w:sz w:val="22"/>
          <w:lang w:val="es-ES_tradnl"/>
        </w:rPr>
      </w:pPr>
      <w:r>
        <w:rPr>
          <w:rFonts w:ascii="Arial" w:eastAsia="Calibri" w:hAnsi="Arial" w:cs="Arial"/>
          <w:sz w:val="22"/>
          <w:lang w:val="es-ES_tradnl"/>
        </w:rPr>
        <w:t xml:space="preserve">En consecuencia, </w:t>
      </w:r>
      <w:r w:rsidRPr="008A10A6">
        <w:rPr>
          <w:rFonts w:ascii="Arial" w:eastAsia="Calibri" w:hAnsi="Arial" w:cs="Arial"/>
          <w:sz w:val="22"/>
          <w:lang w:val="es-ES_tradnl"/>
        </w:rPr>
        <w:t xml:space="preserve">el deber de publicación de la documentación contractual debe armonizarse con las normas aplicables al tipo de información que estas contienen. </w:t>
      </w:r>
      <w:r>
        <w:rPr>
          <w:rFonts w:ascii="Arial" w:eastAsia="Calibri" w:hAnsi="Arial" w:cs="Arial"/>
          <w:sz w:val="22"/>
          <w:lang w:val="es-ES_tradnl"/>
        </w:rPr>
        <w:t>R</w:t>
      </w:r>
      <w:r w:rsidRPr="008A10A6">
        <w:rPr>
          <w:rFonts w:ascii="Arial" w:eastAsia="Calibri" w:hAnsi="Arial" w:cs="Arial"/>
          <w:sz w:val="22"/>
          <w:lang w:val="es-ES_tradnl"/>
        </w:rPr>
        <w:t xml:space="preserve">especto de datos sensibles, </w:t>
      </w:r>
      <w:r>
        <w:rPr>
          <w:rFonts w:ascii="Arial" w:eastAsia="Calibri" w:hAnsi="Arial" w:cs="Arial"/>
          <w:sz w:val="22"/>
          <w:lang w:val="es-ES_tradnl"/>
        </w:rPr>
        <w:t xml:space="preserve">esto significa que la </w:t>
      </w:r>
      <w:r w:rsidRPr="008A10A6">
        <w:rPr>
          <w:rFonts w:ascii="Arial" w:eastAsia="Calibri" w:hAnsi="Arial" w:cs="Arial"/>
          <w:sz w:val="22"/>
          <w:lang w:val="es-ES_tradnl"/>
        </w:rPr>
        <w:t>información sometida a reserva o de la cual proceda un tratamiento especial que impida su publicidad, las entidades deberán proceder de conformidad con el tratamiento que impongan tales normas, absteniéndose</w:t>
      </w:r>
      <w:r>
        <w:rPr>
          <w:rFonts w:ascii="Arial" w:eastAsia="Calibri" w:hAnsi="Arial" w:cs="Arial"/>
          <w:sz w:val="22"/>
          <w:lang w:val="es-ES_tradnl"/>
        </w:rPr>
        <w:t xml:space="preserve"> </w:t>
      </w:r>
      <w:r w:rsidRPr="008A10A6">
        <w:rPr>
          <w:rFonts w:ascii="Arial" w:eastAsia="Calibri" w:hAnsi="Arial" w:cs="Arial"/>
          <w:sz w:val="22"/>
          <w:lang w:val="es-ES_tradnl"/>
        </w:rPr>
        <w:t xml:space="preserve">de publicar las partes pertinentes en las que se evidencie este tipo de información. Para dichos eventos, la plataforma SECOP II, </w:t>
      </w:r>
      <w:r w:rsidRPr="008A10A6">
        <w:rPr>
          <w:rFonts w:ascii="Arial" w:hAnsi="Arial" w:cs="Arial"/>
          <w:sz w:val="22"/>
          <w:lang w:val="es-ES_tradnl"/>
        </w:rPr>
        <w:t>antes de publicar las ofertas, brinda a las entidades la opción de calificar dicha información como confidencial, lo cual impide que los documentos se publiquen.</w:t>
      </w:r>
    </w:p>
    <w:p w14:paraId="70B5287F" w14:textId="3783B95E" w:rsidR="003E305B" w:rsidRPr="003E305B" w:rsidRDefault="003E305B" w:rsidP="00C26B44">
      <w:pPr>
        <w:shd w:val="clear" w:color="auto" w:fill="FFFFFF"/>
        <w:spacing w:after="120" w:line="276" w:lineRule="auto"/>
        <w:ind w:firstLine="708"/>
        <w:jc w:val="both"/>
        <w:rPr>
          <w:rFonts w:ascii="Arial" w:hAnsi="Arial" w:cs="Arial"/>
          <w:sz w:val="22"/>
          <w:szCs w:val="22"/>
          <w:lang w:val="es-ES_tradnl" w:eastAsia="es-CO"/>
        </w:rPr>
      </w:pPr>
      <w:r w:rsidRPr="003E305B">
        <w:rPr>
          <w:rFonts w:ascii="Arial" w:hAnsi="Arial" w:cs="Arial"/>
          <w:sz w:val="22"/>
          <w:szCs w:val="22"/>
          <w:lang w:val="es-ES_tradnl" w:eastAsia="es-CO"/>
        </w:rPr>
        <w:t xml:space="preserve">En </w:t>
      </w:r>
      <w:r>
        <w:rPr>
          <w:rFonts w:ascii="Arial" w:hAnsi="Arial" w:cs="Arial"/>
          <w:sz w:val="22"/>
          <w:szCs w:val="22"/>
          <w:lang w:val="es-ES_tradnl" w:eastAsia="es-CO"/>
        </w:rPr>
        <w:t>conclusión</w:t>
      </w:r>
      <w:r w:rsidRPr="003E305B">
        <w:rPr>
          <w:rFonts w:ascii="Arial" w:hAnsi="Arial" w:cs="Arial"/>
          <w:sz w:val="22"/>
          <w:szCs w:val="22"/>
          <w:lang w:val="es-ES_tradnl" w:eastAsia="es-CO"/>
        </w:rPr>
        <w:t xml:space="preserve">, considerando que la acreditación de algunos factores de desempate </w:t>
      </w:r>
      <w:r>
        <w:rPr>
          <w:rFonts w:ascii="Arial" w:hAnsi="Arial" w:cs="Arial"/>
          <w:sz w:val="22"/>
          <w:szCs w:val="22"/>
          <w:lang w:val="es-ES_tradnl" w:eastAsia="es-CO"/>
        </w:rPr>
        <w:t xml:space="preserve">o de la condición de sujeto de especial protección constitucional </w:t>
      </w:r>
      <w:r w:rsidRPr="003E305B">
        <w:rPr>
          <w:rFonts w:ascii="Arial" w:hAnsi="Arial" w:cs="Arial"/>
          <w:sz w:val="22"/>
          <w:szCs w:val="22"/>
          <w:lang w:val="es-ES_tradnl" w:eastAsia="es-CO"/>
        </w:rPr>
        <w:t xml:space="preserve">podría implicar el suministro de datos sensibles, resulta indispensable que las entidades obtengan autorización de los titulares con relación a los mismos. Esta autorización, de conformidad con el artículo 6 del Decreto 1377 de 2013, implica: i) informar al titular que por tratarse de datos sensibles no está obligado a autorizar su tratamiento; y </w:t>
      </w:r>
      <w:proofErr w:type="spellStart"/>
      <w:r w:rsidRPr="003E305B">
        <w:rPr>
          <w:rFonts w:ascii="Arial" w:hAnsi="Arial" w:cs="Arial"/>
          <w:sz w:val="22"/>
          <w:szCs w:val="22"/>
          <w:lang w:val="es-ES_tradnl" w:eastAsia="es-CO"/>
        </w:rPr>
        <w:t>ii</w:t>
      </w:r>
      <w:proofErr w:type="spellEnd"/>
      <w:r w:rsidRPr="003E305B">
        <w:rPr>
          <w:rFonts w:ascii="Arial" w:hAnsi="Arial" w:cs="Arial"/>
          <w:sz w:val="22"/>
          <w:szCs w:val="22"/>
          <w:lang w:val="es-ES_tradnl" w:eastAsia="es-CO"/>
        </w:rPr>
        <w:t>) informar de manera explícita, previa, además de los requisitos generales de la autorización para la recolección de cualquier dato personal, cuáles de los datos a suministrarse son sensibles, así como la finalidad del tratamiento, que en este caso será la aplicación  de los mencionados factores de desempate.</w:t>
      </w:r>
    </w:p>
    <w:p w14:paraId="70DF8F96" w14:textId="71E1CFA4" w:rsidR="003E305B" w:rsidRPr="003E305B" w:rsidRDefault="003E305B" w:rsidP="003E305B">
      <w:pPr>
        <w:shd w:val="clear" w:color="auto" w:fill="FFFFFF"/>
        <w:spacing w:after="120" w:line="276" w:lineRule="auto"/>
        <w:jc w:val="both"/>
        <w:rPr>
          <w:rFonts w:ascii="Arial" w:hAnsi="Arial" w:cs="Arial"/>
          <w:sz w:val="22"/>
          <w:szCs w:val="22"/>
          <w:lang w:eastAsia="es-CO"/>
        </w:rPr>
      </w:pPr>
      <w:r w:rsidRPr="003E305B">
        <w:rPr>
          <w:rFonts w:ascii="Arial" w:hAnsi="Arial" w:cs="Arial"/>
          <w:sz w:val="22"/>
          <w:szCs w:val="22"/>
          <w:lang w:val="es-ES_tradnl" w:eastAsia="es-CO"/>
        </w:rPr>
        <w:lastRenderedPageBreak/>
        <w:tab/>
        <w:t>El inciso final del artículo 6 del Decreto 1377 de 2013, compilado en el artículo 2.2.2.25.2.3 del Decreto 1074 de 2015, al reglamentar la autorización para el tratamiento de datos sensibles, señala que: «</w:t>
      </w:r>
      <w:r w:rsidRPr="003E305B">
        <w:rPr>
          <w:rFonts w:ascii="Arial" w:hAnsi="Arial" w:cs="Arial"/>
          <w:sz w:val="22"/>
          <w:szCs w:val="22"/>
          <w:lang w:eastAsia="es-CO"/>
        </w:rPr>
        <w:t>Ninguna actividad podrá condicionarse a que el Titular suministre datos personales sensibles». De esta manera, el suministro de información sensible para la acreditación de los factores de desempate</w:t>
      </w:r>
      <w:r w:rsidR="002F74FE">
        <w:rPr>
          <w:rFonts w:ascii="Arial" w:hAnsi="Arial" w:cs="Arial"/>
          <w:sz w:val="22"/>
          <w:szCs w:val="22"/>
          <w:lang w:eastAsia="es-CO"/>
        </w:rPr>
        <w:t xml:space="preserve"> o la condición de sujeto de especial protección</w:t>
      </w:r>
      <w:r w:rsidRPr="003E305B">
        <w:rPr>
          <w:rFonts w:ascii="Arial" w:hAnsi="Arial" w:cs="Arial"/>
          <w:sz w:val="22"/>
          <w:szCs w:val="22"/>
          <w:lang w:eastAsia="es-CO"/>
        </w:rPr>
        <w:t xml:space="preserve"> no constituye un condicionamiento para el ejercicio de la actividad económica del proponente, no es un requisito para que presentación de la oferta ni constituye una causal de rechazo. No obstante, es necesario aclarar que la aplicación del artículo 35 de la Ley 2069 de 2020</w:t>
      </w:r>
      <w:r w:rsidR="002F74FE">
        <w:rPr>
          <w:rFonts w:ascii="Arial" w:hAnsi="Arial" w:cs="Arial"/>
          <w:sz w:val="22"/>
          <w:szCs w:val="22"/>
          <w:lang w:eastAsia="es-CO"/>
        </w:rPr>
        <w:t xml:space="preserve"> y los artículos </w:t>
      </w:r>
      <w:r w:rsidR="002F74FE">
        <w:rPr>
          <w:rFonts w:ascii="Arial" w:eastAsia="Calibri" w:hAnsi="Arial" w:cs="Arial"/>
          <w:color w:val="000000" w:themeColor="text1"/>
          <w:sz w:val="22"/>
          <w:lang w:val="es-ES_tradnl"/>
        </w:rPr>
        <w:t>2.2.1.2.4.2.16 y 2.2.1.2.4.2.17</w:t>
      </w:r>
      <w:r w:rsidRPr="003E305B">
        <w:rPr>
          <w:rFonts w:ascii="Arial" w:hAnsi="Arial" w:cs="Arial"/>
          <w:sz w:val="22"/>
          <w:szCs w:val="22"/>
          <w:lang w:eastAsia="es-CO"/>
        </w:rPr>
        <w:t xml:space="preserve"> supone la acreditación de algun</w:t>
      </w:r>
      <w:r w:rsidR="002F74FE">
        <w:rPr>
          <w:rFonts w:ascii="Arial" w:hAnsi="Arial" w:cs="Arial"/>
          <w:sz w:val="22"/>
          <w:szCs w:val="22"/>
          <w:lang w:eastAsia="es-CO"/>
        </w:rPr>
        <w:t>os supuestos de hecho,</w:t>
      </w:r>
      <w:r w:rsidRPr="003E305B">
        <w:rPr>
          <w:rFonts w:ascii="Arial" w:hAnsi="Arial" w:cs="Arial"/>
          <w:sz w:val="22"/>
          <w:szCs w:val="22"/>
          <w:lang w:eastAsia="es-CO"/>
        </w:rPr>
        <w:t xml:space="preserve"> lo cual no puede entenderse como un condicionamiento en los términos de la norma citada, ya que ello no es otra cosa que la aplicación de la ley.    </w:t>
      </w:r>
    </w:p>
    <w:p w14:paraId="180605D3" w14:textId="2C3887B7" w:rsidR="00C45457" w:rsidRPr="00336CF8" w:rsidRDefault="003E305B" w:rsidP="002F74FE">
      <w:pPr>
        <w:spacing w:before="120" w:line="276" w:lineRule="auto"/>
        <w:ind w:firstLine="709"/>
        <w:jc w:val="both"/>
        <w:rPr>
          <w:rFonts w:ascii="Arial" w:eastAsia="Calibri" w:hAnsi="Arial" w:cs="Arial"/>
          <w:sz w:val="22"/>
          <w:szCs w:val="22"/>
          <w:lang w:val="es-ES_tradnl"/>
        </w:rPr>
      </w:pPr>
      <w:r w:rsidRPr="003E305B">
        <w:rPr>
          <w:rFonts w:ascii="Arial" w:hAnsi="Arial" w:cs="Arial"/>
          <w:sz w:val="22"/>
          <w:szCs w:val="22"/>
        </w:rPr>
        <w:t>Sin perjuicio de lo anterior, tratándose datos sensibles, la entidad no puede divulgarlos por las razones</w:t>
      </w:r>
      <w:r w:rsidR="002F74FE">
        <w:rPr>
          <w:rFonts w:ascii="Arial" w:hAnsi="Arial" w:cs="Arial"/>
          <w:sz w:val="22"/>
          <w:szCs w:val="22"/>
        </w:rPr>
        <w:t xml:space="preserve"> </w:t>
      </w:r>
      <w:r w:rsidRPr="003E305B">
        <w:rPr>
          <w:rFonts w:ascii="Arial" w:hAnsi="Arial" w:cs="Arial"/>
          <w:sz w:val="22"/>
          <w:szCs w:val="22"/>
        </w:rPr>
        <w:t>expuestas</w:t>
      </w:r>
      <w:r w:rsidR="002F74FE">
        <w:rPr>
          <w:rFonts w:ascii="Arial" w:hAnsi="Arial" w:cs="Arial"/>
          <w:sz w:val="22"/>
          <w:szCs w:val="22"/>
        </w:rPr>
        <w:t xml:space="preserve"> en el presente </w:t>
      </w:r>
      <w:r w:rsidRPr="003E305B">
        <w:rPr>
          <w:rFonts w:ascii="Arial" w:hAnsi="Arial" w:cs="Arial"/>
          <w:sz w:val="22"/>
          <w:szCs w:val="22"/>
        </w:rPr>
        <w:t>concepto. En ese sentido, al cumplir con el deber de publicidad en el SECOP conforme a los artículos 3, literal c), de la Ley 1150 de 2007 y 2.2.1.1.1.7.1 del Decreto 1082 de 2015, la entidad debe abstenerse de publicar los documentos que contengan datos sensibles relacionados con la acreditación de los factores de desempate, y debe tomar las medidas necesarias para que la publicación de los Documentos del Proceso no conduzca la divulgación de estos.</w:t>
      </w:r>
    </w:p>
    <w:bookmarkEnd w:id="21"/>
    <w:p w14:paraId="5DBF6E9A" w14:textId="5372686D" w:rsidR="008F4B91" w:rsidRPr="00C26B44" w:rsidRDefault="008F4B91" w:rsidP="0076105F">
      <w:pPr>
        <w:spacing w:line="276" w:lineRule="auto"/>
        <w:ind w:firstLine="709"/>
        <w:jc w:val="both"/>
        <w:rPr>
          <w:rFonts w:ascii="Arial" w:hAnsi="Arial" w:cs="Arial"/>
          <w:sz w:val="18"/>
          <w:szCs w:val="20"/>
          <w:lang w:eastAsia="es-MX"/>
        </w:rPr>
      </w:pPr>
    </w:p>
    <w:p w14:paraId="37CA9805" w14:textId="7D32B119" w:rsidR="00DD5B04" w:rsidRPr="00A51520" w:rsidRDefault="004177A6" w:rsidP="00510DE9">
      <w:pPr>
        <w:tabs>
          <w:tab w:val="left" w:pos="0"/>
        </w:tabs>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3</w:t>
      </w:r>
      <w:r w:rsidR="00B011A9" w:rsidRPr="00A51520">
        <w:rPr>
          <w:rFonts w:ascii="Arial" w:eastAsia="Calibri" w:hAnsi="Arial" w:cs="Arial"/>
          <w:b/>
          <w:color w:val="000000" w:themeColor="text1"/>
          <w:sz w:val="22"/>
          <w:lang w:val="es-ES_tradnl"/>
        </w:rPr>
        <w:t xml:space="preserve">. </w:t>
      </w:r>
      <w:r w:rsidR="00DD5B04" w:rsidRPr="00A51520">
        <w:rPr>
          <w:rFonts w:ascii="Arial" w:eastAsia="Calibri" w:hAnsi="Arial" w:cs="Arial"/>
          <w:b/>
          <w:color w:val="000000" w:themeColor="text1"/>
          <w:sz w:val="22"/>
          <w:lang w:val="es-ES_tradnl"/>
        </w:rPr>
        <w:t>Respuesta</w:t>
      </w:r>
    </w:p>
    <w:p w14:paraId="49375CFA" w14:textId="77777777" w:rsidR="00D633AC" w:rsidRPr="00A51520" w:rsidRDefault="00D633AC" w:rsidP="00B90E5C">
      <w:pPr>
        <w:spacing w:line="276" w:lineRule="auto"/>
        <w:jc w:val="both"/>
        <w:rPr>
          <w:rFonts w:ascii="Arial" w:hAnsi="Arial" w:cs="Arial"/>
          <w:color w:val="000000" w:themeColor="text1"/>
          <w:sz w:val="22"/>
          <w:lang w:val="es-ES_tradnl"/>
        </w:rPr>
      </w:pPr>
    </w:p>
    <w:p w14:paraId="5835DE46" w14:textId="3345A64A" w:rsidR="003D1E4F" w:rsidRDefault="004166CB" w:rsidP="003D1E4F">
      <w:pPr>
        <w:ind w:left="709" w:right="618"/>
        <w:jc w:val="both"/>
        <w:rPr>
          <w:rFonts w:ascii="Arial" w:eastAsia="Calibri" w:hAnsi="Arial" w:cs="Arial"/>
          <w:sz w:val="21"/>
          <w:szCs w:val="21"/>
          <w:lang w:val="es-ES"/>
        </w:rPr>
      </w:pPr>
      <w:r w:rsidRPr="00E92E8B">
        <w:rPr>
          <w:rFonts w:ascii="Arial" w:eastAsia="Calibri" w:hAnsi="Arial" w:cs="Arial"/>
          <w:sz w:val="21"/>
          <w:szCs w:val="21"/>
          <w:lang w:val="es-ES"/>
        </w:rPr>
        <w:t>«</w:t>
      </w:r>
      <w:r w:rsidR="00911E12" w:rsidRPr="00911E12">
        <w:rPr>
          <w:rFonts w:ascii="Arial" w:eastAsia="Calibri" w:hAnsi="Arial" w:cs="Arial"/>
          <w:color w:val="000000" w:themeColor="text1"/>
          <w:sz w:val="21"/>
          <w:szCs w:val="21"/>
        </w:rPr>
        <w:t>De conformidad con los criterios diferenciales para emprendimientos y empresas de mujeres y para MIPYMES, se establece la posibilidad de incorporar requisitos habilitantes diferenciales, entre ellos, en el aspecto del valor de la garantía de seriedad de la oferta. Por ende, conforme lo dispuesto en el Articulo 2.2.1.2.3.1.9., del Decreto 1082 de 2015 a efectos prácticos. ¿cómo sería posible establecer este diferencial de acuerdo con los valores y porcentajes para la suficiencia de esta garantía?</w:t>
      </w:r>
      <w:r w:rsidR="003D1E4F" w:rsidRPr="00A51520">
        <w:rPr>
          <w:rFonts w:ascii="Arial" w:eastAsia="Calibri" w:hAnsi="Arial" w:cs="Arial"/>
          <w:sz w:val="21"/>
          <w:szCs w:val="21"/>
          <w:lang w:val="es-ES"/>
        </w:rPr>
        <w:t>»</w:t>
      </w:r>
    </w:p>
    <w:p w14:paraId="120930F0" w14:textId="75C16A87" w:rsidR="009F4CE9" w:rsidRDefault="009F4CE9" w:rsidP="00C26B44">
      <w:pPr>
        <w:ind w:right="618"/>
        <w:jc w:val="both"/>
        <w:rPr>
          <w:rFonts w:ascii="Arial" w:eastAsia="Calibri" w:hAnsi="Arial" w:cs="Arial"/>
          <w:sz w:val="21"/>
          <w:szCs w:val="21"/>
          <w:lang w:val="es-ES"/>
        </w:rPr>
      </w:pPr>
    </w:p>
    <w:p w14:paraId="39EBE4F4" w14:textId="131BAD20" w:rsidR="00B23E5D" w:rsidRPr="00C00F3D" w:rsidRDefault="00B90E5C" w:rsidP="004E4951">
      <w:pPr>
        <w:spacing w:after="120" w:line="276" w:lineRule="auto"/>
        <w:jc w:val="both"/>
        <w:rPr>
          <w:rFonts w:ascii="Arial" w:eastAsia="Calibri" w:hAnsi="Arial" w:cs="Arial"/>
          <w:sz w:val="22"/>
          <w:szCs w:val="22"/>
          <w:lang w:val="es-ES" w:eastAsia="en-US"/>
        </w:rPr>
      </w:pPr>
      <w:r w:rsidRPr="00C26B44">
        <w:rPr>
          <w:rFonts w:ascii="Arial" w:eastAsia="Calibri" w:hAnsi="Arial" w:cs="Arial"/>
          <w:sz w:val="22"/>
          <w:szCs w:val="22"/>
          <w:highlight w:val="yellow"/>
        </w:rPr>
        <w:t xml:space="preserve"> </w:t>
      </w:r>
      <w:r w:rsidR="0069061E" w:rsidRPr="00C00F3D">
        <w:rPr>
          <w:rFonts w:ascii="Arial" w:eastAsia="Calibri" w:hAnsi="Arial" w:cs="Arial"/>
          <w:sz w:val="22"/>
          <w:szCs w:val="22"/>
          <w:lang w:eastAsia="en-US"/>
        </w:rPr>
        <w:t>Conforme a lo expuesto, e</w:t>
      </w:r>
      <w:r w:rsidR="00B23E5D" w:rsidRPr="00C00F3D">
        <w:rPr>
          <w:rFonts w:ascii="Arial" w:eastAsia="Calibri" w:hAnsi="Arial" w:cs="Arial"/>
          <w:sz w:val="22"/>
          <w:szCs w:val="22"/>
          <w:lang w:eastAsia="en-US"/>
        </w:rPr>
        <w:t>l</w:t>
      </w:r>
      <w:r w:rsidR="00B23E5D" w:rsidRPr="00C00F3D">
        <w:rPr>
          <w:rFonts w:ascii="Arial" w:eastAsia="Calibri" w:hAnsi="Arial" w:cs="Arial"/>
          <w:sz w:val="22"/>
          <w:szCs w:val="22"/>
          <w:lang w:val="es-ES" w:eastAsia="en-US"/>
        </w:rPr>
        <w:t xml:space="preserve"> artículo 2.2.1.2.3.1.9 del Decreto 1082 de 2015 define la cobertura en términos de monto y tiempo, disponiendo que «La garantía de seriedad de la oferta debe estar vigente desde la presentación de la oferta y hasta la aprobación de la garantía de cumplimiento del contrato y su valor debe ser de por lo menos el diez por ciento (10%) del valor de la oferta». </w:t>
      </w:r>
      <w:r w:rsidR="004E4951" w:rsidRPr="00C00F3D">
        <w:rPr>
          <w:rFonts w:ascii="Arial" w:eastAsia="Calibri" w:hAnsi="Arial" w:cs="Arial"/>
          <w:sz w:val="22"/>
          <w:szCs w:val="22"/>
          <w:lang w:val="es-ES" w:eastAsia="en-US"/>
        </w:rPr>
        <w:t xml:space="preserve"> </w:t>
      </w:r>
      <w:r w:rsidR="00B23E5D" w:rsidRPr="00C00F3D">
        <w:rPr>
          <w:rFonts w:ascii="Arial" w:eastAsia="Calibri" w:hAnsi="Arial" w:cs="Arial"/>
          <w:sz w:val="22"/>
          <w:szCs w:val="22"/>
          <w:lang w:val="es-ES" w:eastAsia="en-US"/>
        </w:rPr>
        <w:t xml:space="preserve">Respecto al valor, dispone que tendrá un monto igual o superior al diez por ciento (10%) de la oferta, constituyendo la suma mínima que la entidad puede establecer para cumplir la exigencia, sin perjuicio de que requiera un valor superior. En todo caso, conforme a la norma citada, este principio tiene excepciones para los acuerdos marco de precios, los contratos derivados de la selección abreviada por subasta inversa y el concurso de méritos, así como para los contratos que superan un millón –1’000.000– de </w:t>
      </w:r>
      <w:proofErr w:type="spellStart"/>
      <w:r w:rsidR="00B23E5D" w:rsidRPr="00C00F3D">
        <w:rPr>
          <w:rFonts w:ascii="Arial" w:eastAsia="Calibri" w:hAnsi="Arial" w:cs="Arial"/>
          <w:sz w:val="22"/>
          <w:szCs w:val="22"/>
          <w:lang w:val="es-ES" w:eastAsia="en-US"/>
        </w:rPr>
        <w:t>smlmv</w:t>
      </w:r>
      <w:proofErr w:type="spellEnd"/>
      <w:r w:rsidR="00B23E5D" w:rsidRPr="00C00F3D">
        <w:rPr>
          <w:rFonts w:ascii="Arial" w:eastAsia="Calibri" w:hAnsi="Arial" w:cs="Arial"/>
          <w:sz w:val="22"/>
          <w:szCs w:val="22"/>
          <w:lang w:val="es-ES" w:eastAsia="en-US"/>
        </w:rPr>
        <w:t>.</w:t>
      </w:r>
    </w:p>
    <w:p w14:paraId="3B2FB31F" w14:textId="181C1DB3" w:rsidR="00A20831" w:rsidRPr="00C00F3D" w:rsidRDefault="00515E21" w:rsidP="00515E21">
      <w:pPr>
        <w:spacing w:after="120" w:line="276" w:lineRule="auto"/>
        <w:ind w:firstLine="709"/>
        <w:jc w:val="both"/>
        <w:rPr>
          <w:rFonts w:ascii="Arial" w:eastAsia="Calibri" w:hAnsi="Arial" w:cs="Arial"/>
          <w:sz w:val="22"/>
          <w:szCs w:val="22"/>
          <w:lang w:val="es-ES" w:eastAsia="en-US"/>
        </w:rPr>
      </w:pPr>
      <w:r w:rsidRPr="00C00F3D">
        <w:rPr>
          <w:rFonts w:ascii="Arial" w:eastAsia="Calibri" w:hAnsi="Arial" w:cs="Arial"/>
          <w:sz w:val="22"/>
          <w:szCs w:val="22"/>
          <w:lang w:val="es-ES" w:eastAsia="en-US"/>
        </w:rPr>
        <w:lastRenderedPageBreak/>
        <w:t>Sin perjuicio de lo establecido por el artículo 2.2.1.2.3.1.9, los artículos 2.2.1.2.4.2.15 y 2.2.1.2.4.2.18 del Decreto 1082 de 2015, mediante los que, en desarrollo de los artículos 31 y 32 de la Ley 2069 de 2020, se reglament</w:t>
      </w:r>
      <w:r w:rsidR="00A20831" w:rsidRPr="00C00F3D">
        <w:rPr>
          <w:rFonts w:ascii="Arial" w:eastAsia="Calibri" w:hAnsi="Arial" w:cs="Arial"/>
          <w:sz w:val="22"/>
          <w:szCs w:val="22"/>
          <w:lang w:val="es-ES" w:eastAsia="en-US"/>
        </w:rPr>
        <w:t>ó</w:t>
      </w:r>
      <w:r w:rsidRPr="00C00F3D">
        <w:rPr>
          <w:rFonts w:ascii="Arial" w:eastAsia="Calibri" w:hAnsi="Arial" w:cs="Arial"/>
          <w:sz w:val="22"/>
          <w:szCs w:val="22"/>
          <w:lang w:val="es-ES" w:eastAsia="en-US"/>
        </w:rPr>
        <w:t xml:space="preserve"> </w:t>
      </w:r>
      <w:r w:rsidR="00A20831" w:rsidRPr="00C00F3D">
        <w:rPr>
          <w:rFonts w:ascii="Arial" w:eastAsia="Calibri" w:hAnsi="Arial" w:cs="Arial"/>
          <w:sz w:val="22"/>
          <w:szCs w:val="22"/>
          <w:lang w:val="es-ES" w:eastAsia="en-US"/>
        </w:rPr>
        <w:t xml:space="preserve">la aplicación de </w:t>
      </w:r>
      <w:r w:rsidRPr="00C00F3D">
        <w:rPr>
          <w:rFonts w:ascii="Arial" w:eastAsia="Calibri" w:hAnsi="Arial" w:cs="Arial"/>
          <w:sz w:val="22"/>
          <w:szCs w:val="22"/>
          <w:lang w:val="es-ES" w:eastAsia="en-US"/>
        </w:rPr>
        <w:t>criterios diferenciales</w:t>
      </w:r>
      <w:r w:rsidR="00A20831" w:rsidRPr="00C00F3D">
        <w:rPr>
          <w:rFonts w:ascii="Arial" w:eastAsia="Calibri" w:hAnsi="Arial" w:cs="Arial"/>
          <w:sz w:val="22"/>
          <w:szCs w:val="22"/>
          <w:lang w:val="es-ES" w:eastAsia="en-US"/>
        </w:rPr>
        <w:t xml:space="preserve"> en los procesos de contratación púbica</w:t>
      </w:r>
      <w:r w:rsidR="00EC79D3" w:rsidRPr="00C00F3D">
        <w:rPr>
          <w:rFonts w:ascii="Arial" w:eastAsia="Calibri" w:hAnsi="Arial" w:cs="Arial"/>
          <w:sz w:val="22"/>
          <w:szCs w:val="22"/>
          <w:lang w:val="es-ES" w:eastAsia="en-US"/>
        </w:rPr>
        <w:t xml:space="preserve">, </w:t>
      </w:r>
      <w:r w:rsidRPr="00C00F3D">
        <w:rPr>
          <w:rFonts w:ascii="Arial" w:eastAsia="Calibri" w:hAnsi="Arial" w:cs="Arial"/>
          <w:sz w:val="22"/>
          <w:szCs w:val="22"/>
          <w:lang w:val="es-ES" w:eastAsia="en-US"/>
        </w:rPr>
        <w:t xml:space="preserve"> </w:t>
      </w:r>
      <w:r w:rsidR="00EC79D3" w:rsidRPr="00C00F3D">
        <w:rPr>
          <w:rFonts w:ascii="Arial" w:eastAsia="Calibri" w:hAnsi="Arial" w:cs="Arial"/>
          <w:sz w:val="22"/>
          <w:szCs w:val="22"/>
          <w:lang w:val="es-ES" w:eastAsia="en-US"/>
        </w:rPr>
        <w:t xml:space="preserve">entre los que se </w:t>
      </w:r>
      <w:r w:rsidRPr="00C00F3D">
        <w:rPr>
          <w:rFonts w:ascii="Arial" w:eastAsia="Calibri" w:hAnsi="Arial" w:cs="Arial"/>
          <w:sz w:val="22"/>
          <w:szCs w:val="22"/>
          <w:lang w:val="es-ES" w:eastAsia="en-US"/>
        </w:rPr>
        <w:t>incluy</w:t>
      </w:r>
      <w:r w:rsidR="00EC79D3" w:rsidRPr="00C00F3D">
        <w:rPr>
          <w:rFonts w:ascii="Arial" w:eastAsia="Calibri" w:hAnsi="Arial" w:cs="Arial"/>
          <w:sz w:val="22"/>
          <w:szCs w:val="22"/>
          <w:lang w:val="es-ES" w:eastAsia="en-US"/>
        </w:rPr>
        <w:t>ó</w:t>
      </w:r>
      <w:r w:rsidRPr="00C00F3D">
        <w:rPr>
          <w:rFonts w:ascii="Arial" w:eastAsia="Calibri" w:hAnsi="Arial" w:cs="Arial"/>
          <w:sz w:val="22"/>
          <w:szCs w:val="22"/>
          <w:lang w:val="es-ES" w:eastAsia="en-US"/>
        </w:rPr>
        <w:t xml:space="preserve"> </w:t>
      </w:r>
      <w:r w:rsidR="00EC79D3" w:rsidRPr="00C00F3D">
        <w:rPr>
          <w:rFonts w:ascii="Arial" w:eastAsia="Calibri" w:hAnsi="Arial" w:cs="Arial"/>
          <w:sz w:val="22"/>
          <w:szCs w:val="22"/>
          <w:lang w:val="es-ES" w:eastAsia="en-US"/>
        </w:rPr>
        <w:t>e</w:t>
      </w:r>
      <w:r w:rsidRPr="00C00F3D">
        <w:rPr>
          <w:rFonts w:ascii="Arial" w:eastAsia="Calibri" w:hAnsi="Arial" w:cs="Arial"/>
          <w:sz w:val="22"/>
          <w:szCs w:val="22"/>
          <w:lang w:val="es-ES" w:eastAsia="en-US"/>
        </w:rPr>
        <w:t xml:space="preserve">l valor de la garantía de seriedad de la oferta como uno de los aspectos respecto de los cuales </w:t>
      </w:r>
      <w:r w:rsidR="00A20831" w:rsidRPr="00C00F3D">
        <w:rPr>
          <w:rFonts w:ascii="Arial" w:eastAsia="Calibri" w:hAnsi="Arial" w:cs="Arial"/>
          <w:sz w:val="22"/>
          <w:szCs w:val="22"/>
          <w:lang w:val="es-ES" w:eastAsia="en-US"/>
        </w:rPr>
        <w:t xml:space="preserve">es posible incluir </w:t>
      </w:r>
      <w:r w:rsidRPr="00C00F3D">
        <w:rPr>
          <w:rFonts w:ascii="Arial" w:eastAsia="Calibri" w:hAnsi="Arial" w:cs="Arial"/>
          <w:sz w:val="22"/>
          <w:szCs w:val="22"/>
          <w:lang w:val="es-ES" w:eastAsia="en-US"/>
        </w:rPr>
        <w:t xml:space="preserve">requisitos habilitantes diferenciales </w:t>
      </w:r>
      <w:r w:rsidR="00EC79D3" w:rsidRPr="00C00F3D">
        <w:rPr>
          <w:rFonts w:ascii="Arial" w:eastAsia="Calibri" w:hAnsi="Arial" w:cs="Arial"/>
          <w:sz w:val="22"/>
          <w:szCs w:val="22"/>
          <w:lang w:val="es-ES" w:eastAsia="en-US"/>
        </w:rPr>
        <w:t xml:space="preserve">en favor de proponentes que acrediten las condiciones de emprendimientos y empresas de mujeres y </w:t>
      </w:r>
      <w:proofErr w:type="spellStart"/>
      <w:r w:rsidR="00EC79D3" w:rsidRPr="00C00F3D">
        <w:rPr>
          <w:rFonts w:ascii="Arial" w:eastAsia="Calibri" w:hAnsi="Arial" w:cs="Arial"/>
          <w:sz w:val="22"/>
          <w:szCs w:val="22"/>
          <w:lang w:val="es-ES" w:eastAsia="en-US"/>
        </w:rPr>
        <w:t>mi</w:t>
      </w:r>
      <w:r w:rsidR="001C719C" w:rsidRPr="00C00F3D">
        <w:rPr>
          <w:rFonts w:ascii="Arial" w:eastAsia="Calibri" w:hAnsi="Arial" w:cs="Arial"/>
          <w:sz w:val="22"/>
          <w:szCs w:val="22"/>
          <w:lang w:val="es-ES" w:eastAsia="en-US"/>
        </w:rPr>
        <w:t>pymes</w:t>
      </w:r>
      <w:proofErr w:type="spellEnd"/>
      <w:r w:rsidR="001C719C" w:rsidRPr="00C00F3D">
        <w:rPr>
          <w:rFonts w:ascii="Arial" w:eastAsia="Calibri" w:hAnsi="Arial" w:cs="Arial"/>
          <w:sz w:val="22"/>
          <w:szCs w:val="22"/>
          <w:lang w:val="es-ES" w:eastAsia="en-US"/>
        </w:rPr>
        <w:t xml:space="preserve">. De acuerdo con los referidos artículos, con apoyo en la información y resultados del análisis del sector económico, </w:t>
      </w:r>
      <w:r w:rsidR="003B4A9C" w:rsidRPr="00C00F3D">
        <w:rPr>
          <w:rFonts w:ascii="Arial" w:eastAsia="Calibri" w:hAnsi="Arial" w:cs="Arial"/>
          <w:sz w:val="22"/>
          <w:szCs w:val="22"/>
          <w:lang w:val="es-ES" w:eastAsia="en-US"/>
        </w:rPr>
        <w:t xml:space="preserve">las entidades estatales podrán optar por </w:t>
      </w:r>
      <w:r w:rsidR="004A2CE3" w:rsidRPr="00C00F3D">
        <w:rPr>
          <w:rFonts w:ascii="Arial" w:eastAsia="Calibri" w:hAnsi="Arial" w:cs="Arial"/>
          <w:sz w:val="22"/>
          <w:szCs w:val="22"/>
          <w:lang w:val="es-ES" w:eastAsia="en-US"/>
        </w:rPr>
        <w:t>incluir en los pliegos de condiciones</w:t>
      </w:r>
      <w:r w:rsidR="003B4A9C" w:rsidRPr="00C00F3D">
        <w:rPr>
          <w:rFonts w:ascii="Arial" w:eastAsia="Calibri" w:hAnsi="Arial" w:cs="Arial"/>
          <w:sz w:val="22"/>
          <w:szCs w:val="22"/>
          <w:lang w:val="es-ES" w:eastAsia="en-US"/>
        </w:rPr>
        <w:t xml:space="preserve"> requisito</w:t>
      </w:r>
      <w:r w:rsidR="004A2CE3" w:rsidRPr="00C00F3D">
        <w:rPr>
          <w:rFonts w:ascii="Arial" w:eastAsia="Calibri" w:hAnsi="Arial" w:cs="Arial"/>
          <w:sz w:val="22"/>
          <w:szCs w:val="22"/>
          <w:lang w:val="es-ES" w:eastAsia="en-US"/>
        </w:rPr>
        <w:t>s</w:t>
      </w:r>
      <w:r w:rsidR="003B4A9C" w:rsidRPr="00C00F3D">
        <w:rPr>
          <w:rFonts w:ascii="Arial" w:eastAsia="Calibri" w:hAnsi="Arial" w:cs="Arial"/>
          <w:sz w:val="22"/>
          <w:szCs w:val="22"/>
          <w:lang w:val="es-ES" w:eastAsia="en-US"/>
        </w:rPr>
        <w:t xml:space="preserve"> habilitante</w:t>
      </w:r>
      <w:r w:rsidR="004A2CE3" w:rsidRPr="00C00F3D">
        <w:rPr>
          <w:rFonts w:ascii="Arial" w:eastAsia="Calibri" w:hAnsi="Arial" w:cs="Arial"/>
          <w:sz w:val="22"/>
          <w:szCs w:val="22"/>
          <w:lang w:val="es-ES" w:eastAsia="en-US"/>
        </w:rPr>
        <w:t>s</w:t>
      </w:r>
      <w:r w:rsidR="003B4A9C" w:rsidRPr="00C00F3D">
        <w:rPr>
          <w:rFonts w:ascii="Arial" w:eastAsia="Calibri" w:hAnsi="Arial" w:cs="Arial"/>
          <w:sz w:val="22"/>
          <w:szCs w:val="22"/>
          <w:lang w:val="es-ES" w:eastAsia="en-US"/>
        </w:rPr>
        <w:t xml:space="preserve"> diferencial</w:t>
      </w:r>
      <w:r w:rsidR="004A2CE3" w:rsidRPr="00C00F3D">
        <w:rPr>
          <w:rFonts w:ascii="Arial" w:eastAsia="Calibri" w:hAnsi="Arial" w:cs="Arial"/>
          <w:sz w:val="22"/>
          <w:szCs w:val="22"/>
          <w:lang w:val="es-ES" w:eastAsia="en-US"/>
        </w:rPr>
        <w:t>es</w:t>
      </w:r>
      <w:r w:rsidR="003B4A9C" w:rsidRPr="00C00F3D">
        <w:rPr>
          <w:rFonts w:ascii="Arial" w:eastAsia="Calibri" w:hAnsi="Arial" w:cs="Arial"/>
          <w:sz w:val="22"/>
          <w:szCs w:val="22"/>
          <w:lang w:val="es-ES" w:eastAsia="en-US"/>
        </w:rPr>
        <w:t xml:space="preserve"> relacionado</w:t>
      </w:r>
      <w:r w:rsidR="009853BE" w:rsidRPr="00C00F3D">
        <w:rPr>
          <w:rFonts w:ascii="Arial" w:eastAsia="Calibri" w:hAnsi="Arial" w:cs="Arial"/>
          <w:sz w:val="22"/>
          <w:szCs w:val="22"/>
          <w:lang w:val="es-ES" w:eastAsia="en-US"/>
        </w:rPr>
        <w:t>s</w:t>
      </w:r>
      <w:r w:rsidR="003B4A9C" w:rsidRPr="00C00F3D">
        <w:rPr>
          <w:rFonts w:ascii="Arial" w:eastAsia="Calibri" w:hAnsi="Arial" w:cs="Arial"/>
          <w:sz w:val="22"/>
          <w:szCs w:val="22"/>
          <w:lang w:val="es-ES" w:eastAsia="en-US"/>
        </w:rPr>
        <w:t xml:space="preserve"> con el v</w:t>
      </w:r>
      <w:r w:rsidR="004A2CE3" w:rsidRPr="00C00F3D">
        <w:rPr>
          <w:rFonts w:ascii="Arial" w:eastAsia="Calibri" w:hAnsi="Arial" w:cs="Arial"/>
          <w:sz w:val="22"/>
          <w:szCs w:val="22"/>
          <w:lang w:val="es-ES" w:eastAsia="en-US"/>
        </w:rPr>
        <w:t>alor de la garantía de seriedad</w:t>
      </w:r>
      <w:r w:rsidR="009853BE" w:rsidRPr="00C00F3D">
        <w:rPr>
          <w:rFonts w:ascii="Arial" w:eastAsia="Calibri" w:hAnsi="Arial" w:cs="Arial"/>
          <w:sz w:val="22"/>
          <w:szCs w:val="22"/>
          <w:lang w:val="es-ES" w:eastAsia="en-US"/>
        </w:rPr>
        <w:t>,</w:t>
      </w:r>
      <w:r w:rsidR="00FA4565" w:rsidRPr="00C00F3D">
        <w:rPr>
          <w:rFonts w:ascii="Arial" w:eastAsia="Calibri" w:hAnsi="Arial" w:cs="Arial"/>
          <w:sz w:val="22"/>
          <w:szCs w:val="22"/>
          <w:lang w:val="es-ES" w:eastAsia="en-US"/>
        </w:rPr>
        <w:t xml:space="preserve"> de tal manera que </w:t>
      </w:r>
      <w:r w:rsidR="004A1982" w:rsidRPr="00C00F3D">
        <w:rPr>
          <w:rFonts w:ascii="Arial" w:eastAsia="Calibri" w:hAnsi="Arial" w:cs="Arial"/>
          <w:sz w:val="22"/>
          <w:szCs w:val="22"/>
          <w:lang w:val="es-ES" w:eastAsia="en-US"/>
        </w:rPr>
        <w:t>a los proponentes que acrediten estas condiciones se les permita cumplir con el requisito de garantía de seriedad</w:t>
      </w:r>
      <w:r w:rsidR="005D7276" w:rsidRPr="00C00F3D">
        <w:rPr>
          <w:rFonts w:ascii="Arial" w:eastAsia="Calibri" w:hAnsi="Arial" w:cs="Arial"/>
          <w:sz w:val="22"/>
          <w:szCs w:val="22"/>
          <w:lang w:val="es-ES" w:eastAsia="en-US"/>
        </w:rPr>
        <w:t xml:space="preserve">, </w:t>
      </w:r>
      <w:r w:rsidR="004A1982" w:rsidRPr="00C00F3D">
        <w:rPr>
          <w:rFonts w:ascii="Arial" w:eastAsia="Calibri" w:hAnsi="Arial" w:cs="Arial"/>
          <w:sz w:val="22"/>
          <w:szCs w:val="22"/>
          <w:lang w:val="es-ES" w:eastAsia="en-US"/>
        </w:rPr>
        <w:t xml:space="preserve">asegurando un valor menor al exigible para los demás oferentes. </w:t>
      </w:r>
      <w:r w:rsidR="009853BE" w:rsidRPr="00C00F3D">
        <w:rPr>
          <w:rFonts w:ascii="Arial" w:eastAsia="Calibri" w:hAnsi="Arial" w:cs="Arial"/>
          <w:sz w:val="22"/>
          <w:szCs w:val="22"/>
          <w:lang w:val="es-ES" w:eastAsia="en-US"/>
        </w:rPr>
        <w:t xml:space="preserve"> </w:t>
      </w:r>
    </w:p>
    <w:p w14:paraId="2F19D8D1" w14:textId="354BC28C" w:rsidR="00515E21" w:rsidRPr="00C00F3D" w:rsidRDefault="00515E21" w:rsidP="00C26B44">
      <w:pPr>
        <w:spacing w:line="276" w:lineRule="auto"/>
        <w:ind w:firstLine="709"/>
        <w:jc w:val="both"/>
        <w:rPr>
          <w:rFonts w:ascii="Arial" w:eastAsia="Calibri" w:hAnsi="Arial" w:cs="Arial"/>
          <w:sz w:val="22"/>
          <w:szCs w:val="22"/>
          <w:lang w:val="es-ES" w:eastAsia="en-US"/>
        </w:rPr>
      </w:pPr>
      <w:r w:rsidRPr="00C00F3D">
        <w:rPr>
          <w:rFonts w:ascii="Arial" w:eastAsia="Calibri" w:hAnsi="Arial" w:cs="Arial"/>
          <w:sz w:val="22"/>
          <w:szCs w:val="22"/>
          <w:lang w:val="es-ES" w:eastAsia="en-US"/>
        </w:rPr>
        <w:t xml:space="preserve">Conforme a esto, si bien el artículo 2.2.1.2.3.1.9 del Decreto 1082 de 2015 </w:t>
      </w:r>
      <w:r w:rsidR="005D7276" w:rsidRPr="00C00F3D">
        <w:rPr>
          <w:rFonts w:ascii="Arial" w:eastAsia="Calibri" w:hAnsi="Arial" w:cs="Arial"/>
          <w:sz w:val="22"/>
          <w:szCs w:val="22"/>
          <w:lang w:val="es-ES" w:eastAsia="en-US"/>
        </w:rPr>
        <w:t>regula de manera general la suficiencia de</w:t>
      </w:r>
      <w:r w:rsidR="00F05D3C" w:rsidRPr="00C00F3D">
        <w:rPr>
          <w:rFonts w:ascii="Arial" w:eastAsia="Calibri" w:hAnsi="Arial" w:cs="Arial"/>
          <w:sz w:val="22"/>
          <w:szCs w:val="22"/>
          <w:lang w:val="es-ES" w:eastAsia="en-US"/>
        </w:rPr>
        <w:t>l valor de</w:t>
      </w:r>
      <w:r w:rsidR="005D7276" w:rsidRPr="00C00F3D">
        <w:rPr>
          <w:rFonts w:ascii="Arial" w:eastAsia="Calibri" w:hAnsi="Arial" w:cs="Arial"/>
          <w:sz w:val="22"/>
          <w:szCs w:val="22"/>
          <w:lang w:val="es-ES" w:eastAsia="en-US"/>
        </w:rPr>
        <w:t xml:space="preserve"> la garantía de seriedad</w:t>
      </w:r>
      <w:r w:rsidR="005A5EEC" w:rsidRPr="00C00F3D">
        <w:rPr>
          <w:rFonts w:ascii="Arial" w:eastAsia="Calibri" w:hAnsi="Arial" w:cs="Arial"/>
          <w:sz w:val="22"/>
          <w:szCs w:val="22"/>
          <w:lang w:val="es-ES" w:eastAsia="en-US"/>
        </w:rPr>
        <w:t xml:space="preserve">, aplicable </w:t>
      </w:r>
      <w:r w:rsidRPr="00C00F3D">
        <w:rPr>
          <w:rFonts w:ascii="Arial" w:eastAsia="Calibri" w:hAnsi="Arial" w:cs="Arial"/>
          <w:sz w:val="22"/>
          <w:szCs w:val="22"/>
          <w:lang w:val="es-ES" w:eastAsia="en-US"/>
        </w:rPr>
        <w:t>a oferentes no cualificados</w:t>
      </w:r>
      <w:r w:rsidR="00F05D3C" w:rsidRPr="00C00F3D">
        <w:rPr>
          <w:rFonts w:ascii="Arial" w:eastAsia="Calibri" w:hAnsi="Arial" w:cs="Arial"/>
          <w:sz w:val="22"/>
          <w:szCs w:val="22"/>
          <w:lang w:val="es-ES" w:eastAsia="en-US"/>
        </w:rPr>
        <w:t xml:space="preserve"> </w:t>
      </w:r>
      <w:r w:rsidR="006E286A" w:rsidRPr="00C00F3D">
        <w:rPr>
          <w:rFonts w:ascii="Arial" w:eastAsia="Calibri" w:hAnsi="Arial" w:cs="Arial"/>
          <w:sz w:val="22"/>
          <w:szCs w:val="22"/>
          <w:lang w:val="es-ES" w:eastAsia="en-US"/>
        </w:rPr>
        <w:t>–</w:t>
      </w:r>
      <w:r w:rsidRPr="00C00F3D">
        <w:rPr>
          <w:rFonts w:ascii="Arial" w:eastAsia="Calibri" w:hAnsi="Arial" w:cs="Arial"/>
          <w:sz w:val="22"/>
          <w:szCs w:val="22"/>
          <w:lang w:val="es-ES" w:eastAsia="en-US"/>
        </w:rPr>
        <w:t>es decir,</w:t>
      </w:r>
      <w:r w:rsidR="006E286A" w:rsidRPr="00C00F3D">
        <w:rPr>
          <w:rFonts w:ascii="Arial" w:eastAsia="Calibri" w:hAnsi="Arial" w:cs="Arial"/>
          <w:sz w:val="22"/>
          <w:szCs w:val="22"/>
          <w:lang w:val="es-ES" w:eastAsia="en-US"/>
        </w:rPr>
        <w:t xml:space="preserve"> aquellos que </w:t>
      </w:r>
      <w:r w:rsidRPr="00C00F3D">
        <w:rPr>
          <w:rFonts w:ascii="Arial" w:eastAsia="Calibri" w:hAnsi="Arial" w:cs="Arial"/>
          <w:sz w:val="22"/>
          <w:szCs w:val="22"/>
          <w:lang w:val="es-ES" w:eastAsia="en-US"/>
        </w:rPr>
        <w:t>no son beneficiarios de los incentivos previstos en los artículos 31 y 32 de la Ley 2069 de 2020 y su reglamentación</w:t>
      </w:r>
      <w:r w:rsidR="006E286A" w:rsidRPr="00C00F3D">
        <w:rPr>
          <w:rFonts w:ascii="Arial" w:eastAsia="Calibri" w:hAnsi="Arial" w:cs="Arial"/>
          <w:sz w:val="22"/>
          <w:szCs w:val="22"/>
          <w:lang w:val="es-ES" w:eastAsia="en-US"/>
        </w:rPr>
        <w:t xml:space="preserve">–, </w:t>
      </w:r>
      <w:r w:rsidR="006327DA" w:rsidRPr="00C00F3D">
        <w:rPr>
          <w:rFonts w:ascii="Arial" w:eastAsia="Calibri" w:hAnsi="Arial" w:cs="Arial"/>
          <w:sz w:val="22"/>
          <w:szCs w:val="22"/>
          <w:lang w:val="es-ES" w:eastAsia="en-US"/>
        </w:rPr>
        <w:t>nada obsta para que</w:t>
      </w:r>
      <w:r w:rsidR="00F05D3C" w:rsidRPr="00C00F3D">
        <w:rPr>
          <w:rFonts w:ascii="Arial" w:eastAsia="Calibri" w:hAnsi="Arial" w:cs="Arial"/>
          <w:sz w:val="22"/>
          <w:szCs w:val="22"/>
          <w:lang w:val="es-ES" w:eastAsia="en-US"/>
        </w:rPr>
        <w:t>,</w:t>
      </w:r>
      <w:r w:rsidR="006327DA" w:rsidRPr="00C00F3D">
        <w:rPr>
          <w:rFonts w:ascii="Arial" w:eastAsia="Calibri" w:hAnsi="Arial" w:cs="Arial"/>
          <w:sz w:val="22"/>
          <w:szCs w:val="22"/>
          <w:lang w:val="es-ES" w:eastAsia="en-US"/>
        </w:rPr>
        <w:t xml:space="preserve"> en aplicación de los artículos 2.2.1.2.4.2.15 y 2.2.1.2.4.2.18 del Decreto 1082 de 2015</w:t>
      </w:r>
      <w:r w:rsidR="00F05D3C" w:rsidRPr="00C00F3D">
        <w:rPr>
          <w:rFonts w:ascii="Arial" w:eastAsia="Calibri" w:hAnsi="Arial" w:cs="Arial"/>
          <w:sz w:val="22"/>
          <w:szCs w:val="22"/>
          <w:lang w:val="es-ES" w:eastAsia="en-US"/>
        </w:rPr>
        <w:t>,</w:t>
      </w:r>
      <w:r w:rsidR="006327DA" w:rsidRPr="00C00F3D">
        <w:rPr>
          <w:rFonts w:ascii="Arial" w:eastAsia="Calibri" w:hAnsi="Arial" w:cs="Arial"/>
          <w:sz w:val="22"/>
          <w:szCs w:val="22"/>
          <w:lang w:val="es-ES" w:eastAsia="en-US"/>
        </w:rPr>
        <w:t xml:space="preserve"> </w:t>
      </w:r>
      <w:r w:rsidR="00F05D3C" w:rsidRPr="00C00F3D">
        <w:rPr>
          <w:rFonts w:ascii="Arial" w:eastAsia="Calibri" w:hAnsi="Arial" w:cs="Arial"/>
          <w:sz w:val="22"/>
          <w:szCs w:val="22"/>
          <w:lang w:val="es-ES" w:eastAsia="en-US"/>
        </w:rPr>
        <w:t xml:space="preserve">las entidades estatales exijan valores diferenciales </w:t>
      </w:r>
      <w:r w:rsidRPr="00C00F3D">
        <w:rPr>
          <w:rFonts w:ascii="Arial" w:eastAsia="Calibri" w:hAnsi="Arial" w:cs="Arial"/>
          <w:sz w:val="22"/>
          <w:szCs w:val="22"/>
          <w:lang w:val="es-ES" w:eastAsia="en-US"/>
        </w:rPr>
        <w:t xml:space="preserve">en los procesos de selección competitivos, para incentivar la participación y beneficiar el acceso a las compras públicas de los emprendimientos y empresas de mujeres y de </w:t>
      </w:r>
      <w:proofErr w:type="spellStart"/>
      <w:r w:rsidRPr="00C00F3D">
        <w:rPr>
          <w:rFonts w:ascii="Arial" w:eastAsia="Calibri" w:hAnsi="Arial" w:cs="Arial"/>
          <w:sz w:val="22"/>
          <w:szCs w:val="22"/>
          <w:lang w:val="es-ES" w:eastAsia="en-US"/>
        </w:rPr>
        <w:t>mipymes</w:t>
      </w:r>
      <w:proofErr w:type="spellEnd"/>
      <w:r w:rsidR="00F05D3C" w:rsidRPr="00C00F3D">
        <w:rPr>
          <w:rFonts w:ascii="Arial" w:eastAsia="Calibri" w:hAnsi="Arial" w:cs="Arial"/>
          <w:sz w:val="22"/>
          <w:szCs w:val="22"/>
          <w:lang w:val="es-ES" w:eastAsia="en-US"/>
        </w:rPr>
        <w:t>.</w:t>
      </w:r>
      <w:r w:rsidRPr="00C00F3D">
        <w:rPr>
          <w:rFonts w:ascii="Arial" w:eastAsia="Calibri" w:hAnsi="Arial" w:cs="Arial"/>
          <w:sz w:val="22"/>
          <w:szCs w:val="22"/>
          <w:lang w:val="es-ES" w:eastAsia="en-US"/>
        </w:rPr>
        <w:t xml:space="preserve"> Esto significa que</w:t>
      </w:r>
      <w:r w:rsidR="00F05D3C" w:rsidRPr="00C00F3D">
        <w:rPr>
          <w:rFonts w:ascii="Arial" w:eastAsia="Calibri" w:hAnsi="Arial" w:cs="Arial"/>
          <w:sz w:val="22"/>
          <w:szCs w:val="22"/>
          <w:lang w:val="es-ES" w:eastAsia="en-US"/>
        </w:rPr>
        <w:t>,</w:t>
      </w:r>
      <w:r w:rsidRPr="00C00F3D">
        <w:rPr>
          <w:rFonts w:ascii="Arial" w:eastAsia="Calibri" w:hAnsi="Arial" w:cs="Arial"/>
          <w:sz w:val="22"/>
          <w:szCs w:val="22"/>
          <w:lang w:val="es-ES" w:eastAsia="en-US"/>
        </w:rPr>
        <w:t xml:space="preserve"> la entidad estatal podría optar por fijar en el pliego de condiciones o su equivalente, un porcentaje menor o menos exigente por concepto del valor de la garantía de seriedad de la oferta exigida a los interesados en la convocatoria pública, aun por debajo del mínimo del 10% del valor de la oferta, para los proponentes que acredite</w:t>
      </w:r>
      <w:r w:rsidR="00C26B44" w:rsidRPr="00C00F3D">
        <w:rPr>
          <w:rFonts w:ascii="Arial" w:eastAsia="Calibri" w:hAnsi="Arial" w:cs="Arial"/>
          <w:sz w:val="22"/>
          <w:szCs w:val="22"/>
          <w:lang w:val="es-ES" w:eastAsia="en-US"/>
        </w:rPr>
        <w:t>n</w:t>
      </w:r>
      <w:r w:rsidRPr="00C00F3D">
        <w:rPr>
          <w:rFonts w:ascii="Arial" w:eastAsia="Calibri" w:hAnsi="Arial" w:cs="Arial"/>
          <w:sz w:val="22"/>
          <w:szCs w:val="22"/>
          <w:lang w:val="es-ES" w:eastAsia="en-US"/>
        </w:rPr>
        <w:t xml:space="preserve"> que cumple</w:t>
      </w:r>
      <w:r w:rsidR="00C26B44" w:rsidRPr="00C00F3D">
        <w:rPr>
          <w:rFonts w:ascii="Arial" w:eastAsia="Calibri" w:hAnsi="Arial" w:cs="Arial"/>
          <w:sz w:val="22"/>
          <w:szCs w:val="22"/>
          <w:lang w:val="es-ES" w:eastAsia="en-US"/>
        </w:rPr>
        <w:t>n</w:t>
      </w:r>
      <w:r w:rsidRPr="00C00F3D">
        <w:rPr>
          <w:rFonts w:ascii="Arial" w:eastAsia="Calibri" w:hAnsi="Arial" w:cs="Arial"/>
          <w:sz w:val="22"/>
          <w:szCs w:val="22"/>
          <w:lang w:val="es-ES" w:eastAsia="en-US"/>
        </w:rPr>
        <w:t xml:space="preserve"> con </w:t>
      </w:r>
      <w:proofErr w:type="gramStart"/>
      <w:r w:rsidRPr="00C00F3D">
        <w:rPr>
          <w:rFonts w:ascii="Arial" w:eastAsia="Calibri" w:hAnsi="Arial" w:cs="Arial"/>
          <w:sz w:val="22"/>
          <w:szCs w:val="22"/>
          <w:lang w:val="es-ES" w:eastAsia="en-US"/>
        </w:rPr>
        <w:t>las condición</w:t>
      </w:r>
      <w:proofErr w:type="gramEnd"/>
      <w:r w:rsidRPr="00C00F3D">
        <w:rPr>
          <w:rFonts w:ascii="Arial" w:eastAsia="Calibri" w:hAnsi="Arial" w:cs="Arial"/>
          <w:sz w:val="22"/>
          <w:szCs w:val="22"/>
          <w:lang w:val="es-ES" w:eastAsia="en-US"/>
        </w:rPr>
        <w:t xml:space="preserve"> de ser emprendimiento o empresa de mujeres o </w:t>
      </w:r>
      <w:proofErr w:type="spellStart"/>
      <w:r w:rsidRPr="00C00F3D">
        <w:rPr>
          <w:rFonts w:ascii="Arial" w:eastAsia="Calibri" w:hAnsi="Arial" w:cs="Arial"/>
          <w:sz w:val="22"/>
          <w:szCs w:val="22"/>
          <w:lang w:val="es-ES" w:eastAsia="en-US"/>
        </w:rPr>
        <w:t>mipymes</w:t>
      </w:r>
      <w:proofErr w:type="spellEnd"/>
      <w:r w:rsidRPr="00C00F3D">
        <w:rPr>
          <w:rFonts w:ascii="Arial" w:eastAsia="Calibri" w:hAnsi="Arial" w:cs="Arial"/>
          <w:sz w:val="22"/>
          <w:szCs w:val="22"/>
          <w:lang w:val="es-ES" w:eastAsia="en-US"/>
        </w:rPr>
        <w:t xml:space="preserve">, según el caso. </w:t>
      </w:r>
    </w:p>
    <w:p w14:paraId="1E29F6A7" w14:textId="77777777" w:rsidR="00A442C4" w:rsidRDefault="00A442C4" w:rsidP="009F4CE9">
      <w:pPr>
        <w:ind w:left="709" w:right="618"/>
        <w:jc w:val="both"/>
        <w:rPr>
          <w:rFonts w:ascii="Arial" w:eastAsia="Calibri" w:hAnsi="Arial" w:cs="Arial"/>
          <w:sz w:val="21"/>
          <w:szCs w:val="21"/>
          <w:lang w:val="es-ES"/>
        </w:rPr>
      </w:pPr>
    </w:p>
    <w:p w14:paraId="44B0855E" w14:textId="766BBC76" w:rsidR="00B23E5D" w:rsidRDefault="0021489D" w:rsidP="009F4CE9">
      <w:pPr>
        <w:ind w:left="709" w:right="618"/>
        <w:jc w:val="both"/>
        <w:rPr>
          <w:rFonts w:ascii="Arial" w:eastAsia="Calibri" w:hAnsi="Arial" w:cs="Arial"/>
          <w:color w:val="000000" w:themeColor="text1"/>
          <w:sz w:val="21"/>
          <w:szCs w:val="21"/>
        </w:rPr>
      </w:pPr>
      <w:r w:rsidRPr="00E92E8B">
        <w:rPr>
          <w:rFonts w:ascii="Arial" w:eastAsia="Calibri" w:hAnsi="Arial" w:cs="Arial"/>
          <w:sz w:val="21"/>
          <w:szCs w:val="21"/>
          <w:lang w:val="es-ES"/>
        </w:rPr>
        <w:t>«</w:t>
      </w:r>
      <w:r w:rsidR="0084092A" w:rsidRPr="00F508BE">
        <w:rPr>
          <w:rFonts w:ascii="Arial" w:eastAsia="Calibri" w:hAnsi="Arial" w:cs="Arial"/>
          <w:color w:val="000000" w:themeColor="text1"/>
          <w:sz w:val="21"/>
          <w:szCs w:val="21"/>
        </w:rPr>
        <w:t xml:space="preserve">Teniendo en cuenta lo dispuesto en el inciso del parágrafo 3 del Artículo 2.2.1.2.4.2.17. “Factores de desempate y acreditación” </w:t>
      </w:r>
      <w:r w:rsidR="009F4CE9">
        <w:rPr>
          <w:rFonts w:ascii="Arial" w:eastAsia="Calibri" w:hAnsi="Arial" w:cs="Arial"/>
          <w:color w:val="000000" w:themeColor="text1"/>
          <w:sz w:val="21"/>
          <w:szCs w:val="21"/>
        </w:rPr>
        <w:t>[…]</w:t>
      </w:r>
      <w:r w:rsidR="0084092A" w:rsidRPr="00F508BE">
        <w:rPr>
          <w:rFonts w:ascii="Arial" w:eastAsia="Calibri" w:hAnsi="Arial" w:cs="Arial"/>
          <w:color w:val="000000" w:themeColor="text1"/>
          <w:sz w:val="21"/>
          <w:szCs w:val="21"/>
        </w:rPr>
        <w:t>¿En caso de presentarse observaciones en el proceso de selección por la aplicación del criterio de desempate que documento deberá publicar la Entidad para demostrar que efectivamente el oferente dio cumplimiento a los requisitos establecidos en la Ley para obtener esta acreditación? ¿Sí los oferentes solicitan la publicación de esta información, como deberá proceder la Entidad para emitir la respectiva respuesta? ¿Se establece alguna excepción para la publicación de esta información en SECOP II, si existe autorización de la persona para publicarla?</w:t>
      </w:r>
      <w:r w:rsidRPr="0021489D">
        <w:rPr>
          <w:rFonts w:ascii="Arial" w:eastAsia="Calibri" w:hAnsi="Arial" w:cs="Arial"/>
          <w:sz w:val="21"/>
          <w:szCs w:val="21"/>
        </w:rPr>
        <w:t xml:space="preserve"> </w:t>
      </w:r>
      <w:r w:rsidRPr="009F4CE9">
        <w:rPr>
          <w:rFonts w:ascii="Arial" w:eastAsia="Calibri" w:hAnsi="Arial" w:cs="Arial"/>
          <w:sz w:val="21"/>
          <w:szCs w:val="21"/>
        </w:rPr>
        <w:t>»</w:t>
      </w:r>
      <w:r w:rsidR="0084092A" w:rsidRPr="00F508BE">
        <w:rPr>
          <w:rFonts w:ascii="Arial" w:eastAsia="Calibri" w:hAnsi="Arial" w:cs="Arial"/>
          <w:color w:val="000000" w:themeColor="text1"/>
          <w:sz w:val="21"/>
          <w:szCs w:val="21"/>
        </w:rPr>
        <w:t xml:space="preserve"> </w:t>
      </w:r>
    </w:p>
    <w:p w14:paraId="3A81823B" w14:textId="156DD5C5" w:rsidR="00D607DF" w:rsidRDefault="00D607DF" w:rsidP="009F4CE9">
      <w:pPr>
        <w:ind w:left="709" w:right="618"/>
        <w:jc w:val="both"/>
        <w:rPr>
          <w:rFonts w:ascii="Arial" w:eastAsia="Calibri" w:hAnsi="Arial" w:cs="Arial"/>
          <w:color w:val="000000" w:themeColor="text1"/>
          <w:sz w:val="21"/>
          <w:szCs w:val="21"/>
        </w:rPr>
      </w:pPr>
    </w:p>
    <w:p w14:paraId="3DD70D6B" w14:textId="7AF7D6CE" w:rsidR="00A25B9A" w:rsidRPr="00A25B9A" w:rsidRDefault="00F91FBF" w:rsidP="00C26B44">
      <w:pPr>
        <w:widowControl w:val="0"/>
        <w:autoSpaceDE w:val="0"/>
        <w:autoSpaceDN w:val="0"/>
        <w:spacing w:line="276" w:lineRule="auto"/>
        <w:jc w:val="both"/>
        <w:rPr>
          <w:rFonts w:ascii="Arial" w:hAnsi="Arial" w:cs="Arial"/>
          <w:bCs/>
          <w:sz w:val="22"/>
          <w:szCs w:val="22"/>
          <w:lang w:val="es-ES_tradnl"/>
        </w:rPr>
      </w:pPr>
      <w:r w:rsidRPr="00C26B44">
        <w:rPr>
          <w:rFonts w:ascii="Arial" w:eastAsia="Calibri" w:hAnsi="Arial" w:cs="Arial"/>
          <w:sz w:val="21"/>
          <w:szCs w:val="21"/>
          <w:lang w:val="es-ES"/>
        </w:rPr>
        <w:tab/>
      </w:r>
      <w:r w:rsidR="00A25B9A">
        <w:rPr>
          <w:rFonts w:ascii="Arial" w:eastAsia="Calibri" w:hAnsi="Arial" w:cs="Arial"/>
          <w:color w:val="000000" w:themeColor="text1"/>
          <w:sz w:val="22"/>
          <w:szCs w:val="22"/>
          <w:lang w:val="es-ES_tradnl"/>
        </w:rPr>
        <w:t xml:space="preserve">El parágrafo 3 del </w:t>
      </w:r>
      <w:r w:rsidR="00A25B9A" w:rsidRPr="00911106">
        <w:rPr>
          <w:rFonts w:ascii="Arial" w:hAnsi="Arial" w:cs="Arial"/>
          <w:bCs/>
          <w:sz w:val="22"/>
          <w:szCs w:val="22"/>
          <w:lang w:val="es-ES_tradnl"/>
        </w:rPr>
        <w:t>artículo 2.2.1.2.4.2.17</w:t>
      </w:r>
      <w:r w:rsidR="00A25B9A">
        <w:rPr>
          <w:rFonts w:ascii="Arial" w:hAnsi="Arial" w:cs="Arial"/>
          <w:bCs/>
          <w:sz w:val="22"/>
          <w:szCs w:val="22"/>
          <w:lang w:val="es-ES_tradnl"/>
        </w:rPr>
        <w:t xml:space="preserve"> del Decreto 1082 de 2015, adicionado por el Decreto 1860 de 2021</w:t>
      </w:r>
      <w:r w:rsidR="000B62CA">
        <w:rPr>
          <w:rFonts w:ascii="Arial" w:hAnsi="Arial" w:cs="Arial"/>
          <w:bCs/>
          <w:sz w:val="22"/>
          <w:szCs w:val="22"/>
          <w:lang w:val="es-ES_tradnl"/>
        </w:rPr>
        <w:t>,</w:t>
      </w:r>
      <w:r w:rsidR="00A25B9A">
        <w:rPr>
          <w:rFonts w:ascii="Arial" w:hAnsi="Arial" w:cs="Arial"/>
          <w:bCs/>
          <w:sz w:val="22"/>
          <w:szCs w:val="22"/>
          <w:lang w:val="es-ES_tradnl"/>
        </w:rPr>
        <w:t xml:space="preserve"> </w:t>
      </w:r>
      <w:r w:rsidR="0073786A">
        <w:rPr>
          <w:rFonts w:ascii="Arial" w:hAnsi="Arial" w:cs="Arial"/>
          <w:bCs/>
          <w:sz w:val="22"/>
          <w:szCs w:val="22"/>
          <w:lang w:val="es-ES_tradnl"/>
        </w:rPr>
        <w:t>establece el deber de garantizar l</w:t>
      </w:r>
      <w:r w:rsidR="00A25B9A" w:rsidRPr="00A25B9A">
        <w:rPr>
          <w:rFonts w:ascii="Arial" w:hAnsi="Arial" w:cs="Arial"/>
          <w:bCs/>
          <w:sz w:val="22"/>
          <w:szCs w:val="22"/>
          <w:lang w:val="es-ES_tradnl"/>
        </w:rPr>
        <w:t xml:space="preserve">a reserva </w:t>
      </w:r>
      <w:r w:rsidR="0073786A">
        <w:rPr>
          <w:rFonts w:ascii="Arial" w:hAnsi="Arial" w:cs="Arial"/>
          <w:bCs/>
          <w:sz w:val="22"/>
          <w:szCs w:val="22"/>
          <w:lang w:val="es-ES_tradnl"/>
        </w:rPr>
        <w:t xml:space="preserve">de </w:t>
      </w:r>
      <w:r w:rsidR="00A25B9A" w:rsidRPr="00A25B9A">
        <w:rPr>
          <w:rFonts w:ascii="Arial" w:hAnsi="Arial" w:cs="Arial"/>
          <w:bCs/>
          <w:sz w:val="22"/>
          <w:szCs w:val="22"/>
          <w:lang w:val="es-ES_tradnl"/>
        </w:rPr>
        <w:t xml:space="preserve">los documentos </w:t>
      </w:r>
      <w:r w:rsidR="0073786A">
        <w:rPr>
          <w:rFonts w:ascii="Arial" w:hAnsi="Arial" w:cs="Arial"/>
          <w:bCs/>
          <w:sz w:val="22"/>
          <w:szCs w:val="22"/>
          <w:lang w:val="es-ES_tradnl"/>
        </w:rPr>
        <w:t>relativos a la</w:t>
      </w:r>
      <w:r w:rsidR="000B62CA">
        <w:rPr>
          <w:rFonts w:ascii="Arial" w:hAnsi="Arial" w:cs="Arial"/>
          <w:bCs/>
          <w:sz w:val="22"/>
          <w:szCs w:val="22"/>
          <w:lang w:val="es-ES_tradnl"/>
        </w:rPr>
        <w:t xml:space="preserve"> acreditación</w:t>
      </w:r>
      <w:r w:rsidR="006640BF">
        <w:rPr>
          <w:rFonts w:ascii="Arial" w:hAnsi="Arial" w:cs="Arial"/>
          <w:bCs/>
          <w:sz w:val="22"/>
          <w:szCs w:val="22"/>
          <w:lang w:val="es-ES_tradnl"/>
        </w:rPr>
        <w:t xml:space="preserve"> </w:t>
      </w:r>
      <w:r w:rsidR="000B62CA">
        <w:rPr>
          <w:rFonts w:ascii="Arial" w:hAnsi="Arial" w:cs="Arial"/>
          <w:bCs/>
          <w:sz w:val="22"/>
          <w:szCs w:val="22"/>
          <w:lang w:val="es-ES_tradnl"/>
        </w:rPr>
        <w:t xml:space="preserve"> de </w:t>
      </w:r>
      <w:r w:rsidR="00A25B9A" w:rsidRPr="00A25B9A">
        <w:rPr>
          <w:rFonts w:ascii="Arial" w:hAnsi="Arial" w:cs="Arial"/>
          <w:bCs/>
          <w:sz w:val="22"/>
          <w:szCs w:val="22"/>
          <w:lang w:val="es-ES_tradnl"/>
        </w:rPr>
        <w:t>los factores de desempate previstos en los numerales 2, 5 y 6 del artículo  2.2.1.2.4.2.17 de</w:t>
      </w:r>
      <w:r w:rsidR="000B62CA">
        <w:rPr>
          <w:rFonts w:ascii="Arial" w:hAnsi="Arial" w:cs="Arial"/>
          <w:bCs/>
          <w:sz w:val="22"/>
          <w:szCs w:val="22"/>
          <w:lang w:val="es-ES_tradnl"/>
        </w:rPr>
        <w:t>l d</w:t>
      </w:r>
      <w:r w:rsidR="00A25B9A" w:rsidRPr="00A25B9A">
        <w:rPr>
          <w:rFonts w:ascii="Arial" w:hAnsi="Arial" w:cs="Arial"/>
          <w:bCs/>
          <w:sz w:val="22"/>
          <w:szCs w:val="22"/>
          <w:lang w:val="es-ES_tradnl"/>
        </w:rPr>
        <w:t xml:space="preserve">ecreto, aplicables a mujeres víctimas de violencia </w:t>
      </w:r>
      <w:r w:rsidR="00A25B9A" w:rsidRPr="00A25B9A">
        <w:rPr>
          <w:rFonts w:ascii="Arial" w:hAnsi="Arial" w:cs="Arial"/>
          <w:bCs/>
          <w:sz w:val="22"/>
          <w:szCs w:val="22"/>
          <w:lang w:val="es-ES_tradnl"/>
        </w:rPr>
        <w:lastRenderedPageBreak/>
        <w:t xml:space="preserve">intrafamiliar; población indígena, negra, afrocolombiana, raizal, palenquera, </w:t>
      </w:r>
      <w:proofErr w:type="spellStart"/>
      <w:r w:rsidR="00A25B9A" w:rsidRPr="00A25B9A">
        <w:rPr>
          <w:rFonts w:ascii="Arial" w:hAnsi="Arial" w:cs="Arial"/>
          <w:bCs/>
          <w:sz w:val="22"/>
          <w:szCs w:val="22"/>
          <w:lang w:val="es-ES_tradnl"/>
        </w:rPr>
        <w:t>Rrom</w:t>
      </w:r>
      <w:proofErr w:type="spellEnd"/>
      <w:r w:rsidR="00A25B9A" w:rsidRPr="00A25B9A">
        <w:rPr>
          <w:rFonts w:ascii="Arial" w:hAnsi="Arial" w:cs="Arial"/>
          <w:bCs/>
          <w:sz w:val="22"/>
          <w:szCs w:val="22"/>
          <w:lang w:val="es-ES_tradnl"/>
        </w:rPr>
        <w:t xml:space="preserve"> o gitana y personas en procesos de reincorporación o reintegración</w:t>
      </w:r>
      <w:r w:rsidR="006640BF">
        <w:rPr>
          <w:rFonts w:ascii="Arial" w:hAnsi="Arial" w:cs="Arial"/>
          <w:bCs/>
          <w:sz w:val="22"/>
          <w:szCs w:val="22"/>
          <w:lang w:val="es-ES_tradnl"/>
        </w:rPr>
        <w:t>. Esto en consideración a que,</w:t>
      </w:r>
      <w:r w:rsidR="00810F0C">
        <w:rPr>
          <w:rFonts w:ascii="Arial" w:hAnsi="Arial" w:cs="Arial"/>
          <w:bCs/>
          <w:sz w:val="22"/>
          <w:szCs w:val="22"/>
          <w:lang w:val="es-ES_tradnl"/>
        </w:rPr>
        <w:t xml:space="preserve"> mediante</w:t>
      </w:r>
      <w:r w:rsidR="00A25B9A" w:rsidRPr="00A25B9A">
        <w:rPr>
          <w:rFonts w:ascii="Arial" w:hAnsi="Arial" w:cs="Arial"/>
          <w:bCs/>
          <w:sz w:val="22"/>
          <w:szCs w:val="22"/>
          <w:lang w:val="es-ES_tradnl"/>
        </w:rPr>
        <w:t xml:space="preserve"> </w:t>
      </w:r>
      <w:r w:rsidR="000B62CA">
        <w:rPr>
          <w:rFonts w:ascii="Arial" w:hAnsi="Arial" w:cs="Arial"/>
          <w:bCs/>
          <w:sz w:val="22"/>
          <w:szCs w:val="22"/>
          <w:lang w:val="es-ES_tradnl"/>
        </w:rPr>
        <w:t>es</w:t>
      </w:r>
      <w:r w:rsidR="00810F0C">
        <w:rPr>
          <w:rFonts w:ascii="Arial" w:hAnsi="Arial" w:cs="Arial"/>
          <w:bCs/>
          <w:sz w:val="22"/>
          <w:szCs w:val="22"/>
          <w:lang w:val="es-ES_tradnl"/>
        </w:rPr>
        <w:t>tos</w:t>
      </w:r>
      <w:r w:rsidR="00A25B9A" w:rsidRPr="00A25B9A">
        <w:rPr>
          <w:rFonts w:ascii="Arial" w:hAnsi="Arial" w:cs="Arial"/>
          <w:bCs/>
          <w:sz w:val="22"/>
          <w:szCs w:val="22"/>
          <w:lang w:val="es-ES_tradnl"/>
        </w:rPr>
        <w:t xml:space="preserve"> documentos </w:t>
      </w:r>
      <w:r w:rsidR="00810F0C">
        <w:rPr>
          <w:rFonts w:ascii="Arial" w:hAnsi="Arial" w:cs="Arial"/>
          <w:bCs/>
          <w:sz w:val="22"/>
          <w:szCs w:val="22"/>
          <w:lang w:val="es-ES_tradnl"/>
        </w:rPr>
        <w:t>se</w:t>
      </w:r>
      <w:r w:rsidR="00A25B9A" w:rsidRPr="00A25B9A">
        <w:rPr>
          <w:rFonts w:ascii="Arial" w:hAnsi="Arial" w:cs="Arial"/>
          <w:bCs/>
          <w:sz w:val="22"/>
          <w:szCs w:val="22"/>
          <w:lang w:val="es-ES_tradnl"/>
        </w:rPr>
        <w:t xml:space="preserve"> acreditan circunstancias </w:t>
      </w:r>
      <w:r w:rsidR="00810F0C">
        <w:rPr>
          <w:rFonts w:ascii="Arial" w:hAnsi="Arial" w:cs="Arial"/>
          <w:bCs/>
          <w:sz w:val="22"/>
          <w:szCs w:val="22"/>
          <w:lang w:val="es-ES_tradnl"/>
        </w:rPr>
        <w:t xml:space="preserve">que implican el suministro de </w:t>
      </w:r>
      <w:r w:rsidR="00A25B9A" w:rsidRPr="00A25B9A">
        <w:rPr>
          <w:rFonts w:ascii="Arial" w:hAnsi="Arial" w:cs="Arial"/>
          <w:bCs/>
          <w:sz w:val="22"/>
          <w:szCs w:val="22"/>
          <w:lang w:val="es-ES_tradnl"/>
        </w:rPr>
        <w:t xml:space="preserve">datos sensibles de la esfera personal de los titulares de </w:t>
      </w:r>
      <w:r w:rsidR="000B62CA">
        <w:rPr>
          <w:rFonts w:ascii="Arial" w:hAnsi="Arial" w:cs="Arial"/>
          <w:bCs/>
          <w:sz w:val="22"/>
          <w:szCs w:val="22"/>
          <w:lang w:val="es-ES_tradnl"/>
        </w:rPr>
        <w:t xml:space="preserve">la </w:t>
      </w:r>
      <w:r w:rsidR="00A25B9A" w:rsidRPr="00A25B9A">
        <w:rPr>
          <w:rFonts w:ascii="Arial" w:hAnsi="Arial" w:cs="Arial"/>
          <w:bCs/>
          <w:sz w:val="22"/>
          <w:szCs w:val="22"/>
          <w:lang w:val="es-ES_tradnl"/>
        </w:rPr>
        <w:t xml:space="preserve">información, la cual goza de protección por guardar relación con el derecho fundamental </w:t>
      </w:r>
      <w:proofErr w:type="spellStart"/>
      <w:proofErr w:type="gramStart"/>
      <w:r w:rsidR="00A25B9A" w:rsidRPr="00A25B9A">
        <w:rPr>
          <w:rFonts w:ascii="Arial" w:hAnsi="Arial" w:cs="Arial"/>
          <w:bCs/>
          <w:sz w:val="22"/>
          <w:szCs w:val="22"/>
          <w:lang w:val="es-ES_tradnl"/>
        </w:rPr>
        <w:t>al</w:t>
      </w:r>
      <w:proofErr w:type="spellEnd"/>
      <w:r w:rsidR="00A25B9A" w:rsidRPr="00A25B9A">
        <w:rPr>
          <w:rFonts w:ascii="Arial" w:hAnsi="Arial" w:cs="Arial"/>
          <w:bCs/>
          <w:sz w:val="22"/>
          <w:szCs w:val="22"/>
          <w:lang w:val="es-ES_tradnl"/>
        </w:rPr>
        <w:t xml:space="preserve"> la intimidad</w:t>
      </w:r>
      <w:proofErr w:type="gramEnd"/>
      <w:r w:rsidR="00A25B9A" w:rsidRPr="00A25B9A">
        <w:rPr>
          <w:rFonts w:ascii="Arial" w:hAnsi="Arial" w:cs="Arial"/>
          <w:bCs/>
          <w:sz w:val="22"/>
          <w:szCs w:val="22"/>
          <w:lang w:val="es-ES_tradnl"/>
        </w:rPr>
        <w:t xml:space="preserve"> de las personas</w:t>
      </w:r>
      <w:r w:rsidR="000B62CA">
        <w:rPr>
          <w:rFonts w:ascii="Arial" w:hAnsi="Arial" w:cs="Arial"/>
          <w:bCs/>
          <w:sz w:val="22"/>
          <w:szCs w:val="22"/>
          <w:lang w:val="es-ES_tradnl"/>
        </w:rPr>
        <w:t xml:space="preserve">, </w:t>
      </w:r>
      <w:r w:rsidR="00A25B9A" w:rsidRPr="00A25B9A">
        <w:rPr>
          <w:rFonts w:ascii="Arial" w:hAnsi="Arial" w:cs="Arial"/>
          <w:bCs/>
          <w:sz w:val="22"/>
          <w:szCs w:val="22"/>
          <w:lang w:val="es-ES_tradnl"/>
        </w:rPr>
        <w:t xml:space="preserve">de conformidad con el artículo 18 de la Ley 1712 de 2014 y los artículos 5 y 6 de la Ley 1581 de 2012.  </w:t>
      </w:r>
    </w:p>
    <w:p w14:paraId="206C8E5D" w14:textId="4E6D4562" w:rsidR="00D7638A" w:rsidRDefault="00D7638A" w:rsidP="00D7638A">
      <w:pPr>
        <w:widowControl w:val="0"/>
        <w:autoSpaceDE w:val="0"/>
        <w:autoSpaceDN w:val="0"/>
        <w:spacing w:before="120" w:line="276" w:lineRule="auto"/>
        <w:ind w:firstLine="708"/>
        <w:jc w:val="both"/>
        <w:rPr>
          <w:rFonts w:ascii="Arial" w:hAnsi="Arial" w:cs="Arial"/>
          <w:bCs/>
          <w:sz w:val="22"/>
          <w:szCs w:val="22"/>
          <w:lang w:val="es-ES_tradnl"/>
        </w:rPr>
      </w:pPr>
      <w:r w:rsidRPr="00C26B44">
        <w:rPr>
          <w:rFonts w:ascii="Arial" w:hAnsi="Arial" w:cs="Arial"/>
          <w:bCs/>
          <w:sz w:val="22"/>
          <w:szCs w:val="22"/>
          <w:lang w:val="es-ES_tradnl"/>
        </w:rPr>
        <w:t xml:space="preserve">Esta misma regla se aplica para la </w:t>
      </w:r>
      <w:proofErr w:type="gramStart"/>
      <w:r w:rsidRPr="00C26B44">
        <w:rPr>
          <w:rFonts w:ascii="Arial" w:hAnsi="Arial" w:cs="Arial"/>
          <w:bCs/>
          <w:sz w:val="22"/>
          <w:szCs w:val="22"/>
          <w:lang w:val="es-ES_tradnl"/>
        </w:rPr>
        <w:t>documentación  referida</w:t>
      </w:r>
      <w:proofErr w:type="gramEnd"/>
      <w:r w:rsidRPr="00C26B44">
        <w:rPr>
          <w:rFonts w:ascii="Arial" w:hAnsi="Arial" w:cs="Arial"/>
          <w:bCs/>
          <w:sz w:val="22"/>
          <w:szCs w:val="22"/>
          <w:lang w:val="es-ES_tradnl"/>
        </w:rPr>
        <w:t xml:space="preserve"> a la acreditación de la calidad de sujeto de especial protección constitucional, a efectos de </w:t>
      </w:r>
      <w:r w:rsidR="0073786A" w:rsidRPr="00C26B44">
        <w:rPr>
          <w:rFonts w:ascii="Arial" w:hAnsi="Arial" w:cs="Arial"/>
          <w:bCs/>
          <w:sz w:val="22"/>
          <w:szCs w:val="22"/>
          <w:lang w:val="es-ES_tradnl"/>
        </w:rPr>
        <w:t xml:space="preserve">aplicar lo dispuesto en </w:t>
      </w:r>
      <w:r w:rsidRPr="00C26B44">
        <w:rPr>
          <w:rFonts w:ascii="Arial" w:hAnsi="Arial" w:cs="Arial"/>
          <w:bCs/>
          <w:sz w:val="22"/>
          <w:szCs w:val="22"/>
          <w:lang w:val="es-ES_tradnl"/>
        </w:rPr>
        <w:t xml:space="preserve">el artículo 2.2.1.2.4.2.16 del Decreto 1082 de 2015, adicionado por el Decreto 1860 de 2021. </w:t>
      </w:r>
      <w:r w:rsidR="0073786A" w:rsidRPr="00C26B44">
        <w:rPr>
          <w:rFonts w:ascii="Arial" w:hAnsi="Arial" w:cs="Arial"/>
          <w:bCs/>
          <w:sz w:val="22"/>
          <w:szCs w:val="22"/>
          <w:lang w:val="es-ES_tradnl"/>
        </w:rPr>
        <w:t xml:space="preserve">Esto por </w:t>
      </w:r>
      <w:proofErr w:type="gramStart"/>
      <w:r w:rsidR="0073786A" w:rsidRPr="00C26B44">
        <w:rPr>
          <w:rFonts w:ascii="Arial" w:hAnsi="Arial" w:cs="Arial"/>
          <w:bCs/>
          <w:sz w:val="22"/>
          <w:szCs w:val="22"/>
          <w:lang w:val="es-ES_tradnl"/>
        </w:rPr>
        <w:t>cuanto,  el</w:t>
      </w:r>
      <w:proofErr w:type="gramEnd"/>
      <w:r w:rsidR="0073786A" w:rsidRPr="00C26B44">
        <w:rPr>
          <w:rFonts w:ascii="Arial" w:hAnsi="Arial" w:cs="Arial"/>
          <w:bCs/>
          <w:sz w:val="22"/>
          <w:szCs w:val="22"/>
          <w:lang w:val="es-ES_tradnl"/>
        </w:rPr>
        <w:t xml:space="preserve"> </w:t>
      </w:r>
      <w:r w:rsidRPr="00C26B44">
        <w:rPr>
          <w:rFonts w:ascii="Arial" w:hAnsi="Arial" w:cs="Arial"/>
          <w:bCs/>
          <w:sz w:val="22"/>
          <w:szCs w:val="22"/>
          <w:lang w:val="es-ES_tradnl"/>
        </w:rPr>
        <w:t>artículo define lo que se entiende por sujetos de especial protección constitucional y, a su vez, remite la acreditación de esa condición a las mismas reglas previstas en el artículo 2.2.1.2.4.17, definidas para los criterios de desempate, cuando éstos versan sobre este tipo de personas de especial protección.</w:t>
      </w:r>
      <w:r w:rsidRPr="00A25B9A">
        <w:rPr>
          <w:rFonts w:ascii="Arial" w:hAnsi="Arial" w:cs="Arial"/>
          <w:bCs/>
          <w:sz w:val="22"/>
          <w:szCs w:val="22"/>
          <w:lang w:val="es-ES_tradnl"/>
        </w:rPr>
        <w:t xml:space="preserve"> </w:t>
      </w:r>
    </w:p>
    <w:p w14:paraId="0CDA5CDC" w14:textId="37FC93EE" w:rsidR="00A25B9A" w:rsidRPr="00A25B9A" w:rsidRDefault="000B62CA" w:rsidP="000B62CA">
      <w:pPr>
        <w:widowControl w:val="0"/>
        <w:autoSpaceDE w:val="0"/>
        <w:autoSpaceDN w:val="0"/>
        <w:spacing w:before="120" w:line="276" w:lineRule="auto"/>
        <w:ind w:firstLine="708"/>
        <w:jc w:val="both"/>
        <w:rPr>
          <w:rFonts w:ascii="Arial" w:hAnsi="Arial" w:cs="Arial"/>
          <w:color w:val="000000" w:themeColor="text1"/>
          <w:sz w:val="22"/>
          <w:lang w:val="es-ES_tradnl"/>
        </w:rPr>
      </w:pPr>
      <w:r>
        <w:rPr>
          <w:rFonts w:ascii="Arial" w:hAnsi="Arial" w:cs="Arial"/>
          <w:bCs/>
          <w:sz w:val="22"/>
          <w:szCs w:val="22"/>
          <w:lang w:val="es-ES_tradnl"/>
        </w:rPr>
        <w:t xml:space="preserve">Dado que </w:t>
      </w:r>
      <w:r>
        <w:rPr>
          <w:rFonts w:ascii="Arial" w:hAnsi="Arial" w:cs="Arial"/>
          <w:color w:val="000000" w:themeColor="text1"/>
          <w:sz w:val="22"/>
          <w:lang w:val="es-ES_tradnl"/>
        </w:rPr>
        <w:t>e</w:t>
      </w:r>
      <w:r w:rsidR="00A25B9A" w:rsidRPr="00A25B9A">
        <w:rPr>
          <w:rFonts w:ascii="Arial" w:hAnsi="Arial" w:cs="Arial"/>
          <w:color w:val="000000" w:themeColor="text1"/>
          <w:sz w:val="22"/>
          <w:lang w:val="es-ES_tradnl"/>
        </w:rPr>
        <w:t xml:space="preserve">l artículo 74 de la Constitución, en armonía con los artículos 18 y 19 de la Ley 1712 de 2014 y los artículos 24 y 25 de la Ley 1437 de 2011 –de acuerdo con la modificación realizada por la Ley 1755 de 2015–, establecen que el derecho de acceso a la información o documentación pública no es absoluto, sino que puede exceptuarse cuando se configuren causales de reserva. Así mismo, hay información que goza de protección especial y no puede divulgarse. La información pública que contiene datos semiprivados o privados, definidos en los literales g) y h) del artículo 3° de la Ley 1266 de 2008; clasificados o reservados, según los artículos 18 y 19 de la Ley 1712 de 2014; o datos personales o sensibles, según lo previsto en los artículos 3° y 5° de la Ley 1581 de 2012 y en el artículo 2.2.2.25.1.3., numeral 3 –que compiló al Decreto 1377 de 2013 (art. 3)–, solo podrá divulgarse según las reglas establecidas en dichas normas. </w:t>
      </w:r>
    </w:p>
    <w:p w14:paraId="2A685B96" w14:textId="1AD9BAF4" w:rsidR="00FE3845" w:rsidRDefault="00A25B9A" w:rsidP="000B62CA">
      <w:pPr>
        <w:widowControl w:val="0"/>
        <w:autoSpaceDE w:val="0"/>
        <w:autoSpaceDN w:val="0"/>
        <w:spacing w:before="120" w:line="276" w:lineRule="auto"/>
        <w:ind w:firstLine="709"/>
        <w:jc w:val="both"/>
        <w:rPr>
          <w:rFonts w:ascii="Arial" w:hAnsi="Arial" w:cs="Arial"/>
          <w:color w:val="000000" w:themeColor="text1"/>
          <w:sz w:val="22"/>
          <w:lang w:val="es-ES_tradnl"/>
        </w:rPr>
      </w:pPr>
      <w:r w:rsidRPr="00A25B9A">
        <w:rPr>
          <w:rFonts w:ascii="Arial" w:hAnsi="Arial" w:cs="Arial"/>
          <w:color w:val="000000" w:themeColor="text1"/>
          <w:sz w:val="22"/>
          <w:lang w:val="es-ES_tradnl"/>
        </w:rPr>
        <w:t xml:space="preserve">Cuando el documento contractual tenga información sensible, clasificada o reservada, para proteger la reserva de información, las autoridades deben abstenerse de publicar en el SECOP la información que tiene protección especial o está sometida a reserva. Sin embargo, de acuerdo con el segundo inciso del artículo 25 de la Ley 1437 de 2011 «La restricción por reserva legal no se extenderá a otras piezas del respectivo expediente o actuación que no estén cubiertas por ella». Por ello, la entidad estatal puede dejar de publicar algún documento del proceso o aparte del mismo que contenga datos sensibles, clasificados o reservados, para no divulgarla, pero debe publicar los demás documentos o los apartados de </w:t>
      </w:r>
      <w:proofErr w:type="gramStart"/>
      <w:r w:rsidRPr="00A25B9A">
        <w:rPr>
          <w:rFonts w:ascii="Arial" w:hAnsi="Arial" w:cs="Arial"/>
          <w:color w:val="000000" w:themeColor="text1"/>
          <w:sz w:val="22"/>
          <w:lang w:val="es-ES_tradnl"/>
        </w:rPr>
        <w:t>los mismos</w:t>
      </w:r>
      <w:proofErr w:type="gramEnd"/>
      <w:r w:rsidRPr="00A25B9A">
        <w:rPr>
          <w:rFonts w:ascii="Arial" w:hAnsi="Arial" w:cs="Arial"/>
          <w:color w:val="000000" w:themeColor="text1"/>
          <w:sz w:val="22"/>
          <w:lang w:val="es-ES_tradnl"/>
        </w:rPr>
        <w:t>, en caso de que estos no gocen de reserva. Lo anterior, sin perjuicio de que dependiendo de la información en específico todo el documento o expediente deba dejar de publicarse, por ampararse en su integridad en alguna causal de reserva, dada la conexión de su contenido con la información que el constituyente o el legislador decidió limitar en cuanto a su publicidad.</w:t>
      </w:r>
    </w:p>
    <w:p w14:paraId="69D1DAD6" w14:textId="51659FB6" w:rsidR="00ED0786" w:rsidRDefault="00ED0786" w:rsidP="00C26B44">
      <w:pPr>
        <w:spacing w:before="120" w:after="120" w:line="276" w:lineRule="auto"/>
        <w:ind w:firstLine="709"/>
        <w:jc w:val="both"/>
        <w:rPr>
          <w:rFonts w:ascii="Arial" w:hAnsi="Arial" w:cs="Arial"/>
          <w:sz w:val="22"/>
          <w:lang w:val="es-ES_tradnl"/>
        </w:rPr>
      </w:pPr>
      <w:r>
        <w:rPr>
          <w:rFonts w:ascii="Arial" w:eastAsia="Calibri" w:hAnsi="Arial" w:cs="Arial"/>
          <w:sz w:val="22"/>
          <w:lang w:val="es-ES_tradnl"/>
        </w:rPr>
        <w:lastRenderedPageBreak/>
        <w:t xml:space="preserve">En consecuencia, </w:t>
      </w:r>
      <w:r w:rsidRPr="008A10A6">
        <w:rPr>
          <w:rFonts w:ascii="Arial" w:eastAsia="Calibri" w:hAnsi="Arial" w:cs="Arial"/>
          <w:sz w:val="22"/>
          <w:lang w:val="es-ES_tradnl"/>
        </w:rPr>
        <w:t xml:space="preserve">el deber de publicación de la documentación contractual debe armonizarse con las normas aplicables al tipo de información que estas contienen. </w:t>
      </w:r>
      <w:r>
        <w:rPr>
          <w:rFonts w:ascii="Arial" w:eastAsia="Calibri" w:hAnsi="Arial" w:cs="Arial"/>
          <w:sz w:val="22"/>
          <w:lang w:val="es-ES_tradnl"/>
        </w:rPr>
        <w:t>R</w:t>
      </w:r>
      <w:r w:rsidRPr="008A10A6">
        <w:rPr>
          <w:rFonts w:ascii="Arial" w:eastAsia="Calibri" w:hAnsi="Arial" w:cs="Arial"/>
          <w:sz w:val="22"/>
          <w:lang w:val="es-ES_tradnl"/>
        </w:rPr>
        <w:t xml:space="preserve">especto de datos sensibles, </w:t>
      </w:r>
      <w:r>
        <w:rPr>
          <w:rFonts w:ascii="Arial" w:eastAsia="Calibri" w:hAnsi="Arial" w:cs="Arial"/>
          <w:sz w:val="22"/>
          <w:lang w:val="es-ES_tradnl"/>
        </w:rPr>
        <w:t xml:space="preserve">esto significa que la </w:t>
      </w:r>
      <w:r w:rsidRPr="008A10A6">
        <w:rPr>
          <w:rFonts w:ascii="Arial" w:eastAsia="Calibri" w:hAnsi="Arial" w:cs="Arial"/>
          <w:sz w:val="22"/>
          <w:lang w:val="es-ES_tradnl"/>
        </w:rPr>
        <w:t>información sometida a reserva o de la cual proceda un tratamiento especial que impida su publicidad, las entidades deberán proceder de conformidad con el tratamiento que impongan tales normas, absteniéndose</w:t>
      </w:r>
      <w:r>
        <w:rPr>
          <w:rFonts w:ascii="Arial" w:eastAsia="Calibri" w:hAnsi="Arial" w:cs="Arial"/>
          <w:sz w:val="22"/>
          <w:lang w:val="es-ES_tradnl"/>
        </w:rPr>
        <w:t xml:space="preserve"> </w:t>
      </w:r>
      <w:r w:rsidRPr="008A10A6">
        <w:rPr>
          <w:rFonts w:ascii="Arial" w:eastAsia="Calibri" w:hAnsi="Arial" w:cs="Arial"/>
          <w:sz w:val="22"/>
          <w:lang w:val="es-ES_tradnl"/>
        </w:rPr>
        <w:t xml:space="preserve">de publicar las partes pertinentes en las que se evidencie este tipo de información. Para dichos eventos, la plataforma SECOP II, </w:t>
      </w:r>
      <w:r w:rsidRPr="008A10A6">
        <w:rPr>
          <w:rFonts w:ascii="Arial" w:hAnsi="Arial" w:cs="Arial"/>
          <w:sz w:val="22"/>
          <w:lang w:val="es-ES_tradnl"/>
        </w:rPr>
        <w:t>antes de publicar las ofertas, brinda a las entidades la opción de calificar dicha información como confidencial, lo cual impide que los documentos se publiquen.</w:t>
      </w:r>
    </w:p>
    <w:p w14:paraId="619BFBD3" w14:textId="77777777" w:rsidR="002F74FE" w:rsidRPr="003E305B" w:rsidRDefault="002F74FE" w:rsidP="002F74FE">
      <w:pPr>
        <w:shd w:val="clear" w:color="auto" w:fill="FFFFFF"/>
        <w:spacing w:after="120" w:line="276" w:lineRule="auto"/>
        <w:ind w:firstLine="708"/>
        <w:jc w:val="both"/>
        <w:rPr>
          <w:rFonts w:ascii="Arial" w:hAnsi="Arial" w:cs="Arial"/>
          <w:sz w:val="22"/>
          <w:szCs w:val="22"/>
          <w:lang w:val="es-ES_tradnl" w:eastAsia="es-CO"/>
        </w:rPr>
      </w:pPr>
      <w:r w:rsidRPr="003E305B">
        <w:rPr>
          <w:rFonts w:ascii="Arial" w:hAnsi="Arial" w:cs="Arial"/>
          <w:sz w:val="22"/>
          <w:szCs w:val="22"/>
          <w:lang w:val="es-ES_tradnl" w:eastAsia="es-CO"/>
        </w:rPr>
        <w:t xml:space="preserve">En </w:t>
      </w:r>
      <w:r>
        <w:rPr>
          <w:rFonts w:ascii="Arial" w:hAnsi="Arial" w:cs="Arial"/>
          <w:sz w:val="22"/>
          <w:szCs w:val="22"/>
          <w:lang w:val="es-ES_tradnl" w:eastAsia="es-CO"/>
        </w:rPr>
        <w:t>conclusión</w:t>
      </w:r>
      <w:r w:rsidRPr="003E305B">
        <w:rPr>
          <w:rFonts w:ascii="Arial" w:hAnsi="Arial" w:cs="Arial"/>
          <w:sz w:val="22"/>
          <w:szCs w:val="22"/>
          <w:lang w:val="es-ES_tradnl" w:eastAsia="es-CO"/>
        </w:rPr>
        <w:t xml:space="preserve">, considerando que la acreditación de algunos factores de desempate </w:t>
      </w:r>
      <w:r>
        <w:rPr>
          <w:rFonts w:ascii="Arial" w:hAnsi="Arial" w:cs="Arial"/>
          <w:sz w:val="22"/>
          <w:szCs w:val="22"/>
          <w:lang w:val="es-ES_tradnl" w:eastAsia="es-CO"/>
        </w:rPr>
        <w:t xml:space="preserve">o de la condición de sujeto de especial protección constitucional </w:t>
      </w:r>
      <w:r w:rsidRPr="003E305B">
        <w:rPr>
          <w:rFonts w:ascii="Arial" w:hAnsi="Arial" w:cs="Arial"/>
          <w:sz w:val="22"/>
          <w:szCs w:val="22"/>
          <w:lang w:val="es-ES_tradnl" w:eastAsia="es-CO"/>
        </w:rPr>
        <w:t xml:space="preserve">podría implicar el suministro de datos sensibles, resulta indispensable que las entidades obtengan autorización de los titulares con relación a los mismos. Esta autorización, de conformidad con el artículo 6 del Decreto 1377 de 2013, implica: i) informar al titular que por tratarse de datos sensibles no está obligado a autorizar su tratamiento; y </w:t>
      </w:r>
      <w:proofErr w:type="spellStart"/>
      <w:r w:rsidRPr="003E305B">
        <w:rPr>
          <w:rFonts w:ascii="Arial" w:hAnsi="Arial" w:cs="Arial"/>
          <w:sz w:val="22"/>
          <w:szCs w:val="22"/>
          <w:lang w:val="es-ES_tradnl" w:eastAsia="es-CO"/>
        </w:rPr>
        <w:t>ii</w:t>
      </w:r>
      <w:proofErr w:type="spellEnd"/>
      <w:r w:rsidRPr="003E305B">
        <w:rPr>
          <w:rFonts w:ascii="Arial" w:hAnsi="Arial" w:cs="Arial"/>
          <w:sz w:val="22"/>
          <w:szCs w:val="22"/>
          <w:lang w:val="es-ES_tradnl" w:eastAsia="es-CO"/>
        </w:rPr>
        <w:t>) informar de manera explícita, previa, además de los requisitos generales de la autorización para la recolección de cualquier dato personal, cuáles de los datos a suministrarse son sensibles, así como la finalidad del tratamiento, que en este caso será la aplicación  de los mencionados factores de desempate.</w:t>
      </w:r>
    </w:p>
    <w:p w14:paraId="3818AADD" w14:textId="77777777" w:rsidR="002F74FE" w:rsidRPr="003E305B" w:rsidRDefault="002F74FE" w:rsidP="002F74FE">
      <w:pPr>
        <w:shd w:val="clear" w:color="auto" w:fill="FFFFFF"/>
        <w:spacing w:after="120" w:line="276" w:lineRule="auto"/>
        <w:jc w:val="both"/>
        <w:rPr>
          <w:rFonts w:ascii="Arial" w:hAnsi="Arial" w:cs="Arial"/>
          <w:sz w:val="22"/>
          <w:szCs w:val="22"/>
          <w:lang w:eastAsia="es-CO"/>
        </w:rPr>
      </w:pPr>
      <w:r w:rsidRPr="003E305B">
        <w:rPr>
          <w:rFonts w:ascii="Arial" w:hAnsi="Arial" w:cs="Arial"/>
          <w:sz w:val="22"/>
          <w:szCs w:val="22"/>
          <w:lang w:val="es-ES_tradnl" w:eastAsia="es-CO"/>
        </w:rPr>
        <w:tab/>
        <w:t>El inciso final del artículo 6 del Decreto 1377 de 2013, compilado en el artículo 2.2.2.25.2.3 del Decreto 1074 de 2015, al reglamentar la autorización para el tratamiento de datos sensibles, señala que: «</w:t>
      </w:r>
      <w:r w:rsidRPr="003E305B">
        <w:rPr>
          <w:rFonts w:ascii="Arial" w:hAnsi="Arial" w:cs="Arial"/>
          <w:sz w:val="22"/>
          <w:szCs w:val="22"/>
          <w:lang w:eastAsia="es-CO"/>
        </w:rPr>
        <w:t>Ninguna actividad podrá condicionarse a que el Titular suministre datos personales sensibles». De esta manera, el suministro de información sensible para la acreditación de los factores de desempate</w:t>
      </w:r>
      <w:r>
        <w:rPr>
          <w:rFonts w:ascii="Arial" w:hAnsi="Arial" w:cs="Arial"/>
          <w:sz w:val="22"/>
          <w:szCs w:val="22"/>
          <w:lang w:eastAsia="es-CO"/>
        </w:rPr>
        <w:t xml:space="preserve"> o la condición de sujeto de especial protección</w:t>
      </w:r>
      <w:r w:rsidRPr="003E305B">
        <w:rPr>
          <w:rFonts w:ascii="Arial" w:hAnsi="Arial" w:cs="Arial"/>
          <w:sz w:val="22"/>
          <w:szCs w:val="22"/>
          <w:lang w:eastAsia="es-CO"/>
        </w:rPr>
        <w:t xml:space="preserve"> no constituye un condicionamiento para el ejercicio de la actividad económica del proponente, no es un requisito para que presentación de la oferta ni constituye una causal de rechazo. No obstante, es necesario aclarar que la aplicación del artículo 35 de la Ley 2069 de 2020</w:t>
      </w:r>
      <w:r>
        <w:rPr>
          <w:rFonts w:ascii="Arial" w:hAnsi="Arial" w:cs="Arial"/>
          <w:sz w:val="22"/>
          <w:szCs w:val="22"/>
          <w:lang w:eastAsia="es-CO"/>
        </w:rPr>
        <w:t xml:space="preserve"> y los artículos </w:t>
      </w:r>
      <w:r>
        <w:rPr>
          <w:rFonts w:ascii="Arial" w:eastAsia="Calibri" w:hAnsi="Arial" w:cs="Arial"/>
          <w:color w:val="000000" w:themeColor="text1"/>
          <w:sz w:val="22"/>
          <w:lang w:val="es-ES_tradnl"/>
        </w:rPr>
        <w:t>2.2.1.2.4.2.16 y 2.2.1.2.4.2.17</w:t>
      </w:r>
      <w:r w:rsidRPr="003E305B">
        <w:rPr>
          <w:rFonts w:ascii="Arial" w:hAnsi="Arial" w:cs="Arial"/>
          <w:sz w:val="22"/>
          <w:szCs w:val="22"/>
          <w:lang w:eastAsia="es-CO"/>
        </w:rPr>
        <w:t xml:space="preserve"> supone la acreditación de algun</w:t>
      </w:r>
      <w:r>
        <w:rPr>
          <w:rFonts w:ascii="Arial" w:hAnsi="Arial" w:cs="Arial"/>
          <w:sz w:val="22"/>
          <w:szCs w:val="22"/>
          <w:lang w:eastAsia="es-CO"/>
        </w:rPr>
        <w:t>os supuestos de hecho,</w:t>
      </w:r>
      <w:r w:rsidRPr="003E305B">
        <w:rPr>
          <w:rFonts w:ascii="Arial" w:hAnsi="Arial" w:cs="Arial"/>
          <w:sz w:val="22"/>
          <w:szCs w:val="22"/>
          <w:lang w:eastAsia="es-CO"/>
        </w:rPr>
        <w:t xml:space="preserve"> lo cual no puede entenderse como un condicionamiento en los términos de la norma citada, ya que ello no es otra cosa que la aplicación de la ley.    </w:t>
      </w:r>
    </w:p>
    <w:p w14:paraId="510901EF" w14:textId="2092E4E7" w:rsidR="002F74FE" w:rsidRDefault="002F74FE" w:rsidP="002F74FE">
      <w:pPr>
        <w:spacing w:before="120" w:line="276" w:lineRule="auto"/>
        <w:ind w:firstLine="709"/>
        <w:jc w:val="both"/>
        <w:rPr>
          <w:rFonts w:ascii="Arial" w:hAnsi="Arial" w:cs="Arial"/>
          <w:sz w:val="22"/>
          <w:szCs w:val="22"/>
        </w:rPr>
      </w:pPr>
      <w:r w:rsidRPr="003E305B">
        <w:rPr>
          <w:rFonts w:ascii="Arial" w:hAnsi="Arial" w:cs="Arial"/>
          <w:sz w:val="22"/>
          <w:szCs w:val="22"/>
        </w:rPr>
        <w:t>Sin perjuicio de lo anterior, tratándose datos sensibles, la entidad no puede divulgarlos por las razones</w:t>
      </w:r>
      <w:r>
        <w:rPr>
          <w:rFonts w:ascii="Arial" w:hAnsi="Arial" w:cs="Arial"/>
          <w:sz w:val="22"/>
          <w:szCs w:val="22"/>
        </w:rPr>
        <w:t xml:space="preserve"> </w:t>
      </w:r>
      <w:r w:rsidRPr="003E305B">
        <w:rPr>
          <w:rFonts w:ascii="Arial" w:hAnsi="Arial" w:cs="Arial"/>
          <w:sz w:val="22"/>
          <w:szCs w:val="22"/>
        </w:rPr>
        <w:t>expuestas</w:t>
      </w:r>
      <w:r>
        <w:rPr>
          <w:rFonts w:ascii="Arial" w:hAnsi="Arial" w:cs="Arial"/>
          <w:sz w:val="22"/>
          <w:szCs w:val="22"/>
        </w:rPr>
        <w:t xml:space="preserve"> en el presente </w:t>
      </w:r>
      <w:r w:rsidRPr="003E305B">
        <w:rPr>
          <w:rFonts w:ascii="Arial" w:hAnsi="Arial" w:cs="Arial"/>
          <w:sz w:val="22"/>
          <w:szCs w:val="22"/>
        </w:rPr>
        <w:t>concepto. En ese sentido, al cumplir con el deber de publicidad en el SECOP conforme a los artículos 3, literal c), de la Ley 1150 de 2007 y 2.2.1.1.1.7.1 del Decreto 1082 de 2015, la entidad debe abstenerse de publicar los documentos que contengan datos sensibles relacionados con la acreditación de los factores de desempate, y debe tomar las medidas necesarias para que la publicación de los Documentos del Proceso no conduzca la divulgación de estos</w:t>
      </w:r>
      <w:r w:rsidR="00C839F2">
        <w:rPr>
          <w:rFonts w:ascii="Arial" w:hAnsi="Arial" w:cs="Arial"/>
          <w:sz w:val="22"/>
          <w:szCs w:val="22"/>
        </w:rPr>
        <w:t>.</w:t>
      </w:r>
    </w:p>
    <w:p w14:paraId="713DFB7A" w14:textId="77777777" w:rsidR="00C839F2" w:rsidRDefault="00C839F2" w:rsidP="002F74FE">
      <w:pPr>
        <w:spacing w:before="120" w:line="276" w:lineRule="auto"/>
        <w:ind w:firstLine="709"/>
        <w:jc w:val="both"/>
        <w:rPr>
          <w:rFonts w:ascii="Arial" w:hAnsi="Arial" w:cs="Arial"/>
          <w:sz w:val="22"/>
          <w:szCs w:val="22"/>
        </w:rPr>
      </w:pPr>
    </w:p>
    <w:p w14:paraId="6B449234" w14:textId="510BAD19" w:rsidR="00C839F2" w:rsidRPr="00605DB6" w:rsidRDefault="00C839F2" w:rsidP="00C839F2">
      <w:pPr>
        <w:ind w:left="709" w:right="618"/>
        <w:jc w:val="both"/>
        <w:rPr>
          <w:rFonts w:ascii="Arial" w:eastAsia="Calibri" w:hAnsi="Arial" w:cs="Arial"/>
          <w:color w:val="000000" w:themeColor="text1"/>
          <w:sz w:val="21"/>
          <w:szCs w:val="21"/>
        </w:rPr>
      </w:pPr>
      <w:r w:rsidRPr="00C26B44">
        <w:rPr>
          <w:rFonts w:ascii="Arial" w:eastAsia="Calibri" w:hAnsi="Arial" w:cs="Arial"/>
          <w:sz w:val="21"/>
          <w:szCs w:val="21"/>
          <w:lang w:val="es-ES"/>
        </w:rPr>
        <w:t>«</w:t>
      </w:r>
      <w:r w:rsidRPr="00C26B44">
        <w:rPr>
          <w:rFonts w:ascii="Arial" w:eastAsia="Calibri" w:hAnsi="Arial" w:cs="Arial"/>
          <w:color w:val="000000" w:themeColor="text1"/>
          <w:sz w:val="21"/>
          <w:szCs w:val="21"/>
        </w:rPr>
        <w:t>El Decreto 1860 de 2021, incorpora en el Artículo 2.2.1.2.4.2.16., del Decreto 1082 de 2015, el fomento a la ejecución de contratos estatales por parte de población en pobreza extrema, desplazados por la violencia, personas en proceso de reintegración o reincorporación y sujetos de especial protección constitucional, […] ¿Qué documento público y que Entidad de orden Nacional y/o Distrital emitirá la acreditación de los sujetos de especial protección constitucional? ¿Qué documentos adicionales se deberán presentar para acreditar la condición especial? ¿La documentación para acreditar la condición especial de protección constitucional podrá ser publicada en SECOP para conocimiento de terceros o afectaría el derecho a la intimidad de los sujetos?</w:t>
      </w:r>
      <w:r w:rsidR="0004013D" w:rsidRPr="00C26B44">
        <w:rPr>
          <w:rFonts w:ascii="Arial" w:eastAsia="Calibri" w:hAnsi="Arial" w:cs="Arial"/>
          <w:color w:val="000000" w:themeColor="text1"/>
          <w:sz w:val="21"/>
          <w:szCs w:val="21"/>
        </w:rPr>
        <w:t>»</w:t>
      </w:r>
      <w:r w:rsidRPr="00C26B44">
        <w:rPr>
          <w:rFonts w:ascii="Arial" w:eastAsia="Calibri" w:hAnsi="Arial" w:cs="Arial"/>
          <w:sz w:val="21"/>
          <w:szCs w:val="21"/>
        </w:rPr>
        <w:t xml:space="preserve"> </w:t>
      </w:r>
      <w:r w:rsidRPr="00605DB6">
        <w:rPr>
          <w:rFonts w:ascii="Arial" w:eastAsia="Calibri" w:hAnsi="Arial" w:cs="Arial"/>
          <w:color w:val="000000" w:themeColor="text1"/>
          <w:sz w:val="21"/>
          <w:szCs w:val="21"/>
        </w:rPr>
        <w:t xml:space="preserve"> </w:t>
      </w:r>
    </w:p>
    <w:p w14:paraId="6E0F8839" w14:textId="3D88F7ED" w:rsidR="0027391B" w:rsidRPr="00605DB6" w:rsidRDefault="0027391B" w:rsidP="00C839F2">
      <w:pPr>
        <w:ind w:left="709" w:right="618"/>
        <w:jc w:val="both"/>
        <w:rPr>
          <w:rFonts w:ascii="Arial" w:eastAsia="Calibri" w:hAnsi="Arial" w:cs="Arial"/>
          <w:color w:val="000000" w:themeColor="text1"/>
          <w:sz w:val="21"/>
          <w:szCs w:val="21"/>
        </w:rPr>
      </w:pPr>
      <w:r w:rsidRPr="00605DB6">
        <w:rPr>
          <w:rFonts w:ascii="Arial" w:eastAsia="Calibri" w:hAnsi="Arial" w:cs="Arial"/>
          <w:bCs/>
          <w:color w:val="000000"/>
          <w:sz w:val="22"/>
          <w:szCs w:val="22"/>
          <w:lang w:val="es-ES_tradnl" w:eastAsia="en-US"/>
        </w:rPr>
        <w:tab/>
      </w:r>
    </w:p>
    <w:p w14:paraId="23281FA2" w14:textId="66A70B3A" w:rsidR="00001A45" w:rsidRPr="00C26B44" w:rsidRDefault="00001A45" w:rsidP="00C26B44">
      <w:pPr>
        <w:spacing w:line="276" w:lineRule="auto"/>
        <w:ind w:firstLine="708"/>
        <w:jc w:val="both"/>
        <w:rPr>
          <w:rFonts w:ascii="Arial" w:eastAsia="Calibri" w:hAnsi="Arial" w:cs="Arial"/>
          <w:bCs/>
          <w:color w:val="000000"/>
          <w:sz w:val="22"/>
          <w:szCs w:val="22"/>
          <w:lang w:val="es-ES_tradnl" w:eastAsia="en-US"/>
        </w:rPr>
      </w:pPr>
      <w:r w:rsidRPr="00C26B44">
        <w:rPr>
          <w:rFonts w:ascii="Arial" w:eastAsia="Calibri" w:hAnsi="Arial" w:cs="Arial"/>
          <w:bCs/>
          <w:color w:val="000000"/>
          <w:sz w:val="22"/>
          <w:szCs w:val="22"/>
          <w:lang w:val="es-ES_tradnl" w:eastAsia="en-US"/>
        </w:rPr>
        <w:t xml:space="preserve">Frente a la demostración de las circunstancias reguladas por la norma bajo análisis, como se puede observar, el segundo inciso del parágrafo 1 del artículo 2.2.1.2.4.2.16 establece que «Estas circunstancias se acreditarán en las condiciones que disponga la ley o el reglamento, aplicando en lo pertinente lo definido en el artículo 2.2.1.2.4.2.17 del presente Decreto. En ausencia de una condición especial prevista en la normativa vigente, se acreditarán en los términos que defina el pliego de condiciones o documento equivalente». En efecto, el artículo 2.2.1.2.4.2.17 establece la forma como se debe acreditar el carácter de sujeto de especial protección constitucional, en ciertos eventos. Por ejemplo, a título enunciativo: </w:t>
      </w:r>
    </w:p>
    <w:p w14:paraId="5552445F" w14:textId="77777777" w:rsidR="00001A45" w:rsidRPr="00C26B44" w:rsidRDefault="00001A45" w:rsidP="00001A45">
      <w:pPr>
        <w:spacing w:before="120" w:line="276" w:lineRule="auto"/>
        <w:ind w:firstLine="709"/>
        <w:jc w:val="both"/>
        <w:rPr>
          <w:rFonts w:ascii="Arial" w:eastAsia="Calibri" w:hAnsi="Arial" w:cs="Arial"/>
          <w:bCs/>
          <w:color w:val="000000"/>
          <w:sz w:val="22"/>
          <w:szCs w:val="22"/>
          <w:lang w:val="es-ES_tradnl" w:eastAsia="en-US"/>
        </w:rPr>
      </w:pPr>
      <w:r w:rsidRPr="00C26B44">
        <w:rPr>
          <w:rFonts w:ascii="Arial" w:eastAsia="Calibri" w:hAnsi="Arial" w:cs="Arial"/>
          <w:bCs/>
          <w:color w:val="000000"/>
          <w:sz w:val="22"/>
          <w:szCs w:val="22"/>
          <w:lang w:val="es-ES_tradnl" w:eastAsia="en-US"/>
        </w:rPr>
        <w:t>i) De acuerdo con el numeral 2, para las mujeres cabeza de familia, «Su acreditación se realizará en los términos del parágrafo del artículo 2 de la Ley 82 de 1993, modificado por el artículo 1 de la Ley 1232 de 2008, o la norma que lo modifique, aclare, adicione o sustituya. Es decir, la condición de mujer cabeza de familia y la cesación de esta se otorgará desde el momento en que ocurra el respectivo evento y se declare ante un notario».</w:t>
      </w:r>
    </w:p>
    <w:p w14:paraId="5015C508" w14:textId="77777777" w:rsidR="00001A45" w:rsidRPr="00C26B44" w:rsidRDefault="00001A45" w:rsidP="00001A45">
      <w:pPr>
        <w:spacing w:before="120" w:line="276" w:lineRule="auto"/>
        <w:ind w:firstLine="709"/>
        <w:jc w:val="both"/>
        <w:rPr>
          <w:rFonts w:ascii="Arial" w:eastAsia="Calibri" w:hAnsi="Arial" w:cs="Arial"/>
          <w:bCs/>
          <w:color w:val="000000"/>
          <w:sz w:val="22"/>
          <w:szCs w:val="22"/>
          <w:lang w:val="es-ES_tradnl" w:eastAsia="en-US"/>
        </w:rPr>
      </w:pPr>
      <w:proofErr w:type="spellStart"/>
      <w:r w:rsidRPr="00C26B44">
        <w:rPr>
          <w:rFonts w:ascii="Arial" w:eastAsia="Calibri" w:hAnsi="Arial" w:cs="Arial"/>
          <w:bCs/>
          <w:color w:val="000000"/>
          <w:sz w:val="22"/>
          <w:szCs w:val="22"/>
          <w:lang w:val="es-ES_tradnl" w:eastAsia="en-US"/>
        </w:rPr>
        <w:t>ii</w:t>
      </w:r>
      <w:proofErr w:type="spellEnd"/>
      <w:r w:rsidRPr="00C26B44">
        <w:rPr>
          <w:rFonts w:ascii="Arial" w:eastAsia="Calibri" w:hAnsi="Arial" w:cs="Arial"/>
          <w:bCs/>
          <w:color w:val="000000"/>
          <w:sz w:val="22"/>
          <w:szCs w:val="22"/>
          <w:lang w:val="es-ES_tradnl" w:eastAsia="en-US"/>
        </w:rPr>
        <w:t xml:space="preserve">) Según el numeral 5, la acreditación de la pertenencia a la población indígena, negra, afrocolombiana, raizal, palenquera, </w:t>
      </w:r>
      <w:proofErr w:type="spellStart"/>
      <w:r w:rsidRPr="00C26B44">
        <w:rPr>
          <w:rFonts w:ascii="Arial" w:eastAsia="Calibri" w:hAnsi="Arial" w:cs="Arial"/>
          <w:bCs/>
          <w:color w:val="000000"/>
          <w:sz w:val="22"/>
          <w:szCs w:val="22"/>
          <w:lang w:val="es-ES_tradnl" w:eastAsia="en-US"/>
        </w:rPr>
        <w:t>Rrom</w:t>
      </w:r>
      <w:proofErr w:type="spellEnd"/>
      <w:r w:rsidRPr="00C26B44">
        <w:rPr>
          <w:rFonts w:ascii="Arial" w:eastAsia="Calibri" w:hAnsi="Arial" w:cs="Arial"/>
          <w:bCs/>
          <w:color w:val="000000"/>
          <w:sz w:val="22"/>
          <w:szCs w:val="22"/>
          <w:lang w:val="es-ES_tradnl" w:eastAsia="en-US"/>
        </w:rPr>
        <w:t xml:space="preserve"> o gitana, en los términos del Decreto Ley 2893 de 2011, o la norma que lo modifique, sustituya o complemente, se certifica por el Ministerio del Interior. </w:t>
      </w:r>
    </w:p>
    <w:p w14:paraId="6E34998C" w14:textId="77777777" w:rsidR="00001A45" w:rsidRPr="00C26B44" w:rsidRDefault="00001A45" w:rsidP="00001A45">
      <w:pPr>
        <w:spacing w:before="120" w:line="276" w:lineRule="auto"/>
        <w:ind w:firstLine="709"/>
        <w:jc w:val="both"/>
        <w:rPr>
          <w:rFonts w:ascii="Arial" w:eastAsia="Calibri" w:hAnsi="Arial" w:cs="Arial"/>
          <w:bCs/>
          <w:color w:val="000000"/>
          <w:sz w:val="22"/>
          <w:szCs w:val="22"/>
          <w:lang w:val="es-ES_tradnl" w:eastAsia="en-US"/>
        </w:rPr>
      </w:pPr>
      <w:proofErr w:type="spellStart"/>
      <w:r w:rsidRPr="00C26B44">
        <w:rPr>
          <w:rFonts w:ascii="Arial" w:eastAsia="Calibri" w:hAnsi="Arial" w:cs="Arial"/>
          <w:bCs/>
          <w:color w:val="000000"/>
          <w:sz w:val="22"/>
          <w:szCs w:val="22"/>
          <w:lang w:val="es-ES_tradnl" w:eastAsia="en-US"/>
        </w:rPr>
        <w:t>iii</w:t>
      </w:r>
      <w:proofErr w:type="spellEnd"/>
      <w:r w:rsidRPr="00C26B44">
        <w:rPr>
          <w:rFonts w:ascii="Arial" w:eastAsia="Calibri" w:hAnsi="Arial" w:cs="Arial"/>
          <w:bCs/>
          <w:color w:val="000000"/>
          <w:sz w:val="22"/>
          <w:szCs w:val="22"/>
          <w:lang w:val="es-ES_tradnl" w:eastAsia="en-US"/>
        </w:rPr>
        <w:t xml:space="preserve">) De conformidad con el numeral 6, la situación de encontrarse en un proceso de reintegración o reincorporación, se demuestra con: «i) la certificación en las desmovilizaciones colectivas que expida la Oficina de Alto Comisionado para la Paz, </w:t>
      </w:r>
      <w:proofErr w:type="spellStart"/>
      <w:r w:rsidRPr="00C26B44">
        <w:rPr>
          <w:rFonts w:ascii="Arial" w:eastAsia="Calibri" w:hAnsi="Arial" w:cs="Arial"/>
          <w:bCs/>
          <w:color w:val="000000"/>
          <w:sz w:val="22"/>
          <w:szCs w:val="22"/>
          <w:lang w:val="es-ES_tradnl" w:eastAsia="en-US"/>
        </w:rPr>
        <w:t>ii</w:t>
      </w:r>
      <w:proofErr w:type="spellEnd"/>
      <w:r w:rsidRPr="00C26B44">
        <w:rPr>
          <w:rFonts w:ascii="Arial" w:eastAsia="Calibri" w:hAnsi="Arial" w:cs="Arial"/>
          <w:bCs/>
          <w:color w:val="000000"/>
          <w:sz w:val="22"/>
          <w:szCs w:val="22"/>
          <w:lang w:val="es-ES_tradnl" w:eastAsia="en-US"/>
        </w:rPr>
        <w:t xml:space="preserve">) el certificado que emita el Comité Operativo para la Dejación de las Armas respecto de las personas desmovilizadas en forma individual, </w:t>
      </w:r>
      <w:proofErr w:type="spellStart"/>
      <w:r w:rsidRPr="00C26B44">
        <w:rPr>
          <w:rFonts w:ascii="Arial" w:eastAsia="Calibri" w:hAnsi="Arial" w:cs="Arial"/>
          <w:bCs/>
          <w:color w:val="000000"/>
          <w:sz w:val="22"/>
          <w:szCs w:val="22"/>
          <w:lang w:val="es-ES_tradnl" w:eastAsia="en-US"/>
        </w:rPr>
        <w:t>iii</w:t>
      </w:r>
      <w:proofErr w:type="spellEnd"/>
      <w:r w:rsidRPr="00C26B44">
        <w:rPr>
          <w:rFonts w:ascii="Arial" w:eastAsia="Calibri" w:hAnsi="Arial" w:cs="Arial"/>
          <w:bCs/>
          <w:color w:val="000000"/>
          <w:sz w:val="22"/>
          <w:szCs w:val="22"/>
          <w:lang w:val="es-ES_tradnl" w:eastAsia="en-US"/>
        </w:rPr>
        <w:t xml:space="preserve">) el certificado que emita la Agencia para la Reincorporación y la Normalización que acredite que la persona se encuentra en proceso de reincorporación o reintegración o </w:t>
      </w:r>
      <w:proofErr w:type="spellStart"/>
      <w:r w:rsidRPr="00C26B44">
        <w:rPr>
          <w:rFonts w:ascii="Arial" w:eastAsia="Calibri" w:hAnsi="Arial" w:cs="Arial"/>
          <w:bCs/>
          <w:color w:val="000000"/>
          <w:sz w:val="22"/>
          <w:szCs w:val="22"/>
          <w:lang w:val="es-ES_tradnl" w:eastAsia="en-US"/>
        </w:rPr>
        <w:t>iv</w:t>
      </w:r>
      <w:proofErr w:type="spellEnd"/>
      <w:r w:rsidRPr="00C26B44">
        <w:rPr>
          <w:rFonts w:ascii="Arial" w:eastAsia="Calibri" w:hAnsi="Arial" w:cs="Arial"/>
          <w:bCs/>
          <w:color w:val="000000"/>
          <w:sz w:val="22"/>
          <w:szCs w:val="22"/>
          <w:lang w:val="es-ES_tradnl" w:eastAsia="en-US"/>
        </w:rPr>
        <w:t>) cualquier otro certificado que para el efecto determine la Ley. Además, se entregará copia del documento de identificación de la persona en proceso de reintegración o reincorporación».</w:t>
      </w:r>
    </w:p>
    <w:p w14:paraId="72F3814C" w14:textId="77777777" w:rsidR="00001A45" w:rsidRPr="00C26B44" w:rsidRDefault="00001A45" w:rsidP="00001A45">
      <w:pPr>
        <w:spacing w:before="120" w:line="276" w:lineRule="auto"/>
        <w:ind w:firstLine="709"/>
        <w:jc w:val="both"/>
        <w:rPr>
          <w:rFonts w:ascii="Arial" w:eastAsia="Calibri" w:hAnsi="Arial" w:cs="Arial"/>
          <w:bCs/>
          <w:color w:val="000000"/>
          <w:sz w:val="22"/>
          <w:szCs w:val="22"/>
          <w:lang w:val="es-ES_tradnl" w:eastAsia="en-US"/>
        </w:rPr>
      </w:pPr>
      <w:r w:rsidRPr="00C26B44">
        <w:rPr>
          <w:rFonts w:ascii="Arial" w:eastAsia="Calibri" w:hAnsi="Arial" w:cs="Arial"/>
          <w:bCs/>
          <w:color w:val="000000"/>
          <w:sz w:val="22"/>
          <w:szCs w:val="22"/>
          <w:lang w:val="es-ES_tradnl" w:eastAsia="en-US"/>
        </w:rPr>
        <w:lastRenderedPageBreak/>
        <w:t>En todo caso, el parágrafo 1 del artículo 2.2.1.2.4.2.16. dispone que si no existe una condición especial para demostrar las circunstancias que hacen a las personas sujetos de especial protección constitucional «se acreditarán en los términos que defina el pliego de condiciones o documento equivalente». Esto significa que si bien, en principio, existiría libertad probatoria, las entidades estatales podrían definir en el pliego de condiciones o documento equivalente de qué manera se deben acreditar tales situaciones. Al configurar estos requisitos, las entidades públicas deben tener en cuenta el principio de proporcionalidad, de manera que no impongan requisitos probatorios irrazonables.</w:t>
      </w:r>
    </w:p>
    <w:p w14:paraId="36F163D9" w14:textId="77777777" w:rsidR="00C839F2" w:rsidRDefault="00C839F2" w:rsidP="00C26B44">
      <w:pPr>
        <w:ind w:firstLine="709"/>
        <w:jc w:val="both"/>
        <w:rPr>
          <w:rFonts w:ascii="Arial" w:hAnsi="Arial" w:cs="Arial"/>
          <w:sz w:val="22"/>
          <w:szCs w:val="22"/>
        </w:rPr>
      </w:pPr>
    </w:p>
    <w:p w14:paraId="20FB4C63" w14:textId="77777777" w:rsidR="0009389B" w:rsidRDefault="0009389B" w:rsidP="0009389B">
      <w:pPr>
        <w:ind w:left="709" w:right="618"/>
        <w:jc w:val="both"/>
        <w:rPr>
          <w:rFonts w:ascii="Arial" w:eastAsia="Calibri" w:hAnsi="Arial" w:cs="Arial"/>
          <w:sz w:val="21"/>
          <w:szCs w:val="21"/>
        </w:rPr>
      </w:pPr>
      <w:r w:rsidRPr="00605DB6">
        <w:rPr>
          <w:rFonts w:ascii="Arial" w:eastAsia="Calibri" w:hAnsi="Arial" w:cs="Arial"/>
          <w:sz w:val="21"/>
          <w:szCs w:val="21"/>
          <w:lang w:val="es-ES"/>
        </w:rPr>
        <w:t>«</w:t>
      </w:r>
      <w:r w:rsidRPr="00605DB6">
        <w:rPr>
          <w:rFonts w:ascii="Arial" w:eastAsia="Calibri" w:hAnsi="Arial" w:cs="Arial"/>
          <w:sz w:val="21"/>
          <w:szCs w:val="21"/>
        </w:rPr>
        <w:t xml:space="preserve">El requisito diferencial habilitante incorporado en el Artículo 2.2.1.2.4.2.18., del Decreto 1082 de 2015, para promover y facilitar la participación en los procedimientos de selección competitivos de las </w:t>
      </w:r>
      <w:proofErr w:type="spellStart"/>
      <w:r w:rsidRPr="00605DB6">
        <w:rPr>
          <w:rFonts w:ascii="Arial" w:eastAsia="Calibri" w:hAnsi="Arial" w:cs="Arial"/>
          <w:sz w:val="21"/>
          <w:szCs w:val="21"/>
        </w:rPr>
        <w:t>Mipyme</w:t>
      </w:r>
      <w:proofErr w:type="spellEnd"/>
      <w:r w:rsidRPr="00605DB6">
        <w:rPr>
          <w:rFonts w:ascii="Arial" w:eastAsia="Calibri" w:hAnsi="Arial" w:cs="Arial"/>
          <w:sz w:val="21"/>
          <w:szCs w:val="21"/>
        </w:rPr>
        <w:t xml:space="preserve"> domiciliadas en Colombia ¿también se aplicará a los procesos de selección que no se encuentren limitados a MIPYMES conforme los valores y umbrales dispuestos en la página de Colombia Compra Eficiente para beneficio de las </w:t>
      </w:r>
      <w:proofErr w:type="spellStart"/>
      <w:r w:rsidRPr="00605DB6">
        <w:rPr>
          <w:rFonts w:ascii="Arial" w:eastAsia="Calibri" w:hAnsi="Arial" w:cs="Arial"/>
          <w:sz w:val="21"/>
          <w:szCs w:val="21"/>
        </w:rPr>
        <w:t>Mipymes</w:t>
      </w:r>
      <w:proofErr w:type="spellEnd"/>
      <w:r w:rsidRPr="00605DB6">
        <w:rPr>
          <w:rFonts w:ascii="Arial" w:eastAsia="Calibri" w:hAnsi="Arial" w:cs="Arial"/>
          <w:sz w:val="21"/>
          <w:szCs w:val="21"/>
        </w:rPr>
        <w:t>?»</w:t>
      </w:r>
    </w:p>
    <w:p w14:paraId="707B838C" w14:textId="780284E7" w:rsidR="0009389B" w:rsidRDefault="0009389B" w:rsidP="00C26B44">
      <w:pPr>
        <w:spacing w:line="276" w:lineRule="auto"/>
        <w:ind w:firstLine="709"/>
        <w:jc w:val="both"/>
        <w:rPr>
          <w:rFonts w:ascii="Arial" w:hAnsi="Arial" w:cs="Arial"/>
          <w:sz w:val="22"/>
          <w:szCs w:val="22"/>
        </w:rPr>
      </w:pPr>
    </w:p>
    <w:p w14:paraId="32459F23" w14:textId="2B596C70" w:rsidR="00563D62" w:rsidRPr="00563D62" w:rsidRDefault="00563D62" w:rsidP="00563D62">
      <w:pPr>
        <w:spacing w:line="276" w:lineRule="auto"/>
        <w:ind w:firstLine="709"/>
        <w:jc w:val="both"/>
        <w:rPr>
          <w:rFonts w:ascii="Arial" w:eastAsia="Calibri" w:hAnsi="Arial" w:cs="Arial"/>
          <w:sz w:val="22"/>
          <w:szCs w:val="22"/>
          <w:lang w:val="es-ES" w:eastAsia="en-US"/>
        </w:rPr>
      </w:pPr>
      <w:r w:rsidRPr="00C26B44">
        <w:rPr>
          <w:rFonts w:ascii="Arial" w:eastAsia="Calibri" w:hAnsi="Arial" w:cs="Arial"/>
          <w:sz w:val="22"/>
          <w:szCs w:val="22"/>
          <w:lang w:val="es-ES" w:eastAsia="en-US"/>
        </w:rPr>
        <w:t xml:space="preserve">De conformidad con el parágrafo tercero del artículo 2.2.1.2.4.2.18, los criterios diferenciales para </w:t>
      </w:r>
      <w:proofErr w:type="spellStart"/>
      <w:r w:rsidRPr="00C26B44">
        <w:rPr>
          <w:rFonts w:ascii="Arial" w:eastAsia="Calibri" w:hAnsi="Arial" w:cs="Arial"/>
          <w:sz w:val="22"/>
          <w:szCs w:val="22"/>
          <w:lang w:val="es-ES" w:eastAsia="en-US"/>
        </w:rPr>
        <w:t>mipymes</w:t>
      </w:r>
      <w:proofErr w:type="spellEnd"/>
      <w:r w:rsidRPr="00C26B44">
        <w:rPr>
          <w:rFonts w:ascii="Arial" w:eastAsia="Calibri" w:hAnsi="Arial" w:cs="Arial"/>
          <w:sz w:val="22"/>
          <w:szCs w:val="22"/>
          <w:lang w:val="es-ES" w:eastAsia="en-US"/>
        </w:rPr>
        <w:t>: «[…]</w:t>
      </w:r>
      <w:r w:rsidRPr="00C26B44">
        <w:rPr>
          <w:rFonts w:ascii="Arial" w:hAnsi="Arial" w:cs="Arial"/>
          <w:color w:val="333333"/>
          <w:sz w:val="22"/>
          <w:szCs w:val="22"/>
          <w:shd w:val="clear" w:color="auto" w:fill="FFFFFF"/>
        </w:rPr>
        <w:t xml:space="preserve"> aplica[n] sin perjuicio de lo dispuesto en los Acuerdos Comerciales suscritos por el Estado colombiano, pero no rige en las convocatorias limitadas que se realicen conforme a los artículos 2.2.1.2.4.2.2 y 2.2.1.2.4.2.3 de este Decreto». En ese sentido, en los procesos que estén limitados a la participación exclusiva de </w:t>
      </w:r>
      <w:proofErr w:type="spellStart"/>
      <w:r w:rsidRPr="00C26B44">
        <w:rPr>
          <w:rFonts w:ascii="Arial" w:hAnsi="Arial" w:cs="Arial"/>
          <w:color w:val="333333"/>
          <w:sz w:val="22"/>
          <w:szCs w:val="22"/>
          <w:shd w:val="clear" w:color="auto" w:fill="FFFFFF"/>
        </w:rPr>
        <w:t>mipymes</w:t>
      </w:r>
      <w:proofErr w:type="spellEnd"/>
      <w:r w:rsidRPr="00C26B44">
        <w:rPr>
          <w:rFonts w:ascii="Arial" w:hAnsi="Arial" w:cs="Arial"/>
          <w:color w:val="333333"/>
          <w:sz w:val="22"/>
          <w:szCs w:val="22"/>
          <w:shd w:val="clear" w:color="auto" w:fill="FFFFFF"/>
        </w:rPr>
        <w:t xml:space="preserve"> no serán aplicables requisitos habilitantes diferenciales relacionados con el valor de la garantía de seriedad, ni ninguno de los otros aspectos referidos en el artículo </w:t>
      </w:r>
      <w:r w:rsidRPr="00C26B44">
        <w:rPr>
          <w:rFonts w:ascii="Arial" w:eastAsia="Calibri" w:hAnsi="Arial" w:cs="Arial"/>
          <w:sz w:val="22"/>
          <w:szCs w:val="22"/>
          <w:lang w:val="es-ES" w:eastAsia="en-US"/>
        </w:rPr>
        <w:t>2.2.1.2.4.2.18 del Decreto 1082 de 2015.</w:t>
      </w:r>
    </w:p>
    <w:p w14:paraId="1759A27B" w14:textId="77777777" w:rsidR="007A74FD" w:rsidRDefault="007A74FD" w:rsidP="00911106">
      <w:pPr>
        <w:widowControl w:val="0"/>
        <w:autoSpaceDE w:val="0"/>
        <w:autoSpaceDN w:val="0"/>
        <w:spacing w:line="276" w:lineRule="auto"/>
        <w:jc w:val="both"/>
        <w:rPr>
          <w:rFonts w:ascii="Arial" w:hAnsi="Arial" w:cs="Arial"/>
          <w:color w:val="000000" w:themeColor="text1"/>
          <w:sz w:val="22"/>
          <w:szCs w:val="22"/>
          <w:lang w:val="es-ES_tradnl"/>
        </w:rPr>
      </w:pPr>
    </w:p>
    <w:p w14:paraId="056816F7" w14:textId="14C4B60E" w:rsidR="00D40F8B" w:rsidRPr="00A51520" w:rsidRDefault="00DD5B04" w:rsidP="00911106">
      <w:pPr>
        <w:widowControl w:val="0"/>
        <w:autoSpaceDE w:val="0"/>
        <w:autoSpaceDN w:val="0"/>
        <w:spacing w:line="276" w:lineRule="auto"/>
        <w:jc w:val="both"/>
        <w:rPr>
          <w:rFonts w:ascii="Arial" w:hAnsi="Arial" w:cs="Arial"/>
          <w:sz w:val="22"/>
          <w:szCs w:val="22"/>
          <w:lang w:val="es-ES_tradnl" w:bidi="es-ES"/>
        </w:rPr>
      </w:pPr>
      <w:r w:rsidRPr="00A51520">
        <w:rPr>
          <w:rFonts w:ascii="Arial" w:hAnsi="Arial" w:cs="Arial"/>
          <w:color w:val="000000" w:themeColor="text1"/>
          <w:sz w:val="22"/>
          <w:szCs w:val="22"/>
          <w:lang w:val="es-ES_tradnl"/>
        </w:rPr>
        <w:t>Este concepto tiene el alcance previsto en el artículo 28 del</w:t>
      </w:r>
      <w:r w:rsidRPr="00A51520">
        <w:rPr>
          <w:rFonts w:ascii="Arial" w:hAnsi="Arial" w:cs="Arial"/>
          <w:color w:val="000000" w:themeColor="text1"/>
          <w:sz w:val="22"/>
          <w:lang w:val="es-ES_tradnl"/>
        </w:rPr>
        <w:t xml:space="preserve"> Código de Procedimiento Administrativo y de</w:t>
      </w:r>
      <w:r w:rsidR="00D40F8B" w:rsidRPr="00A51520">
        <w:rPr>
          <w:rFonts w:ascii="Arial" w:hAnsi="Arial" w:cs="Arial"/>
          <w:color w:val="000000" w:themeColor="text1"/>
          <w:sz w:val="22"/>
          <w:lang w:val="es-ES_tradnl"/>
        </w:rPr>
        <w:t xml:space="preserve"> lo Contencioso Administrativo.</w:t>
      </w:r>
    </w:p>
    <w:p w14:paraId="60C2F6E9" w14:textId="77777777" w:rsidR="00F91FBF" w:rsidRPr="00A51520" w:rsidRDefault="00F91FBF" w:rsidP="00C26B44">
      <w:pPr>
        <w:spacing w:line="276" w:lineRule="auto"/>
        <w:jc w:val="both"/>
        <w:rPr>
          <w:rFonts w:ascii="Arial" w:hAnsi="Arial" w:cs="Arial"/>
          <w:color w:val="000000" w:themeColor="text1"/>
          <w:sz w:val="22"/>
          <w:lang w:val="es-ES_tradnl"/>
        </w:rPr>
      </w:pPr>
    </w:p>
    <w:p w14:paraId="75A121EA" w14:textId="51431A76" w:rsidR="00917505" w:rsidRPr="00B9642A" w:rsidRDefault="00697E41" w:rsidP="00917505">
      <w:pPr>
        <w:spacing w:line="276" w:lineRule="auto"/>
        <w:rPr>
          <w:rFonts w:ascii="Arial" w:hAnsi="Arial" w:cs="Arial"/>
          <w:sz w:val="22"/>
          <w:szCs w:val="22"/>
        </w:rPr>
      </w:pPr>
      <w:r w:rsidRPr="00570FD2">
        <w:rPr>
          <w:rFonts w:ascii="Arial" w:hAnsi="Arial" w:cs="Arial"/>
          <w:noProof/>
          <w:color w:val="000000" w:themeColor="text1"/>
          <w:sz w:val="22"/>
        </w:rPr>
        <w:drawing>
          <wp:anchor distT="0" distB="0" distL="114300" distR="114300" simplePos="0" relativeHeight="251659264" behindDoc="0" locked="0" layoutInCell="1" allowOverlap="1" wp14:anchorId="165AF816" wp14:editId="4248A174">
            <wp:simplePos x="0" y="0"/>
            <wp:positionH relativeFrom="margin">
              <wp:posOffset>2305685</wp:posOffset>
            </wp:positionH>
            <wp:positionV relativeFrom="paragraph">
              <wp:posOffset>74295</wp:posOffset>
            </wp:positionV>
            <wp:extent cx="2270760" cy="954405"/>
            <wp:effectExtent l="0" t="0" r="2540" b="0"/>
            <wp:wrapSquare wrapText="bothSides"/>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270760" cy="954405"/>
                    </a:xfrm>
                    <a:prstGeom prst="rect">
                      <a:avLst/>
                    </a:prstGeom>
                  </pic:spPr>
                </pic:pic>
              </a:graphicData>
            </a:graphic>
            <wp14:sizeRelH relativeFrom="page">
              <wp14:pctWidth>0</wp14:pctWidth>
            </wp14:sizeRelH>
            <wp14:sizeRelV relativeFrom="page">
              <wp14:pctHeight>0</wp14:pctHeight>
            </wp14:sizeRelV>
          </wp:anchor>
        </w:drawing>
      </w:r>
      <w:r w:rsidR="00917505" w:rsidRPr="00B9642A">
        <w:rPr>
          <w:rFonts w:ascii="Arial" w:hAnsi="Arial" w:cs="Arial"/>
          <w:sz w:val="22"/>
          <w:szCs w:val="22"/>
          <w:lang w:eastAsia="es-CO"/>
        </w:rPr>
        <w:t>Atentamente,</w:t>
      </w:r>
    </w:p>
    <w:p w14:paraId="419F05D2" w14:textId="2EBF1440" w:rsidR="00917505" w:rsidRPr="00B9642A" w:rsidRDefault="00917505" w:rsidP="00917505">
      <w:pPr>
        <w:jc w:val="both"/>
        <w:rPr>
          <w:rFonts w:ascii="Arial" w:hAnsi="Arial" w:cs="Arial"/>
          <w:lang w:eastAsia="es-CO"/>
        </w:rPr>
      </w:pPr>
    </w:p>
    <w:p w14:paraId="0CAF0DDA" w14:textId="4C3D9D27" w:rsidR="00917505" w:rsidRPr="00B9642A" w:rsidRDefault="00917505" w:rsidP="00917505">
      <w:pPr>
        <w:spacing w:after="18"/>
        <w:jc w:val="center"/>
        <w:rPr>
          <w:rFonts w:ascii="Arial" w:hAnsi="Arial" w:cs="Arial"/>
          <w:lang w:eastAsia="es-CO"/>
        </w:rPr>
      </w:pPr>
    </w:p>
    <w:p w14:paraId="32B31F64" w14:textId="594296E1" w:rsidR="00917505" w:rsidRPr="00B9642A" w:rsidRDefault="00917505" w:rsidP="00917505">
      <w:pPr>
        <w:spacing w:after="18"/>
        <w:jc w:val="center"/>
        <w:rPr>
          <w:rFonts w:ascii="Arial" w:hAnsi="Arial" w:cs="Arial"/>
          <w:lang w:eastAsia="es-CO"/>
        </w:rPr>
      </w:pPr>
    </w:p>
    <w:p w14:paraId="1CC805D7" w14:textId="77777777" w:rsidR="00917505" w:rsidRPr="00B9642A" w:rsidRDefault="00917505" w:rsidP="00917505">
      <w:pPr>
        <w:spacing w:after="18"/>
        <w:jc w:val="center"/>
        <w:rPr>
          <w:rFonts w:ascii="Arial" w:hAnsi="Arial" w:cs="Arial"/>
          <w:lang w:eastAsia="es-CO"/>
        </w:rPr>
      </w:pPr>
    </w:p>
    <w:p w14:paraId="4094B9A9" w14:textId="77777777" w:rsidR="00917505" w:rsidRPr="00B9642A" w:rsidRDefault="00917505" w:rsidP="00917505">
      <w:pPr>
        <w:spacing w:after="18"/>
        <w:jc w:val="center"/>
        <w:rPr>
          <w:rFonts w:ascii="Arial" w:hAnsi="Arial" w:cs="Arial"/>
          <w:lang w:eastAsia="es-CO"/>
        </w:rPr>
      </w:pPr>
    </w:p>
    <w:tbl>
      <w:tblPr>
        <w:tblStyle w:val="Tablaconcuadrcula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03"/>
      </w:tblGrid>
      <w:tr w:rsidR="00917505" w:rsidRPr="00B9642A" w14:paraId="044167F5" w14:textId="77777777" w:rsidTr="00D22C43">
        <w:trPr>
          <w:trHeight w:val="286"/>
        </w:trPr>
        <w:tc>
          <w:tcPr>
            <w:tcW w:w="886" w:type="dxa"/>
            <w:vAlign w:val="center"/>
            <w:hideMark/>
          </w:tcPr>
          <w:p w14:paraId="24A356D9" w14:textId="77777777" w:rsidR="00917505" w:rsidRPr="00B9642A" w:rsidRDefault="00917505" w:rsidP="00D22C43">
            <w:pPr>
              <w:rPr>
                <w:rFonts w:ascii="Arial" w:hAnsi="Arial" w:cs="Arial"/>
                <w:sz w:val="14"/>
                <w:szCs w:val="14"/>
                <w:lang w:eastAsia="es-ES"/>
              </w:rPr>
            </w:pPr>
            <w:r w:rsidRPr="00B9642A">
              <w:rPr>
                <w:rFonts w:ascii="Arial" w:hAnsi="Arial" w:cs="Arial"/>
                <w:sz w:val="14"/>
                <w:szCs w:val="14"/>
                <w:lang w:eastAsia="es-ES"/>
              </w:rPr>
              <w:t>Elaboró:</w:t>
            </w:r>
          </w:p>
        </w:tc>
        <w:tc>
          <w:tcPr>
            <w:tcW w:w="4003" w:type="dxa"/>
            <w:tcBorders>
              <w:top w:val="nil"/>
              <w:left w:val="nil"/>
              <w:bottom w:val="dotted" w:sz="4" w:space="0" w:color="7F7F7F"/>
              <w:right w:val="nil"/>
            </w:tcBorders>
            <w:vAlign w:val="center"/>
            <w:hideMark/>
          </w:tcPr>
          <w:p w14:paraId="29477D21" w14:textId="77777777" w:rsidR="00917505" w:rsidRPr="00B9642A" w:rsidRDefault="00917505" w:rsidP="00D22C43">
            <w:pPr>
              <w:rPr>
                <w:rFonts w:ascii="Arial" w:hAnsi="Arial" w:cs="Arial"/>
                <w:sz w:val="14"/>
                <w:szCs w:val="14"/>
                <w:lang w:eastAsia="es-ES"/>
              </w:rPr>
            </w:pPr>
            <w:r>
              <w:rPr>
                <w:rFonts w:ascii="Arial" w:hAnsi="Arial" w:cs="Arial"/>
                <w:sz w:val="14"/>
                <w:szCs w:val="14"/>
                <w:lang w:eastAsia="es-ES"/>
              </w:rPr>
              <w:t>Felipe Bastidas Paredes</w:t>
            </w:r>
          </w:p>
          <w:p w14:paraId="36981A9A" w14:textId="77777777" w:rsidR="00917505" w:rsidRPr="00B9642A" w:rsidRDefault="00917505" w:rsidP="00D22C43">
            <w:pPr>
              <w:rPr>
                <w:rFonts w:ascii="Arial" w:hAnsi="Arial" w:cs="Arial"/>
                <w:sz w:val="14"/>
                <w:szCs w:val="14"/>
                <w:lang w:eastAsia="es-ES"/>
              </w:rPr>
            </w:pPr>
            <w:r>
              <w:rPr>
                <w:rFonts w:ascii="Arial" w:hAnsi="Arial" w:cs="Arial"/>
                <w:sz w:val="14"/>
                <w:szCs w:val="14"/>
                <w:lang w:eastAsia="es-ES"/>
              </w:rPr>
              <w:t xml:space="preserve">Contratista </w:t>
            </w:r>
            <w:r w:rsidRPr="00B9642A">
              <w:rPr>
                <w:rFonts w:ascii="Arial" w:hAnsi="Arial" w:cs="Arial"/>
                <w:sz w:val="14"/>
                <w:szCs w:val="14"/>
                <w:lang w:eastAsia="es-ES"/>
              </w:rPr>
              <w:t xml:space="preserve"> de la Subdirección de Gestión Contractual</w:t>
            </w:r>
          </w:p>
        </w:tc>
      </w:tr>
      <w:tr w:rsidR="00917505" w:rsidRPr="00B9642A" w14:paraId="6F591403" w14:textId="77777777" w:rsidTr="00D22C43">
        <w:trPr>
          <w:trHeight w:val="299"/>
        </w:trPr>
        <w:tc>
          <w:tcPr>
            <w:tcW w:w="886" w:type="dxa"/>
            <w:vAlign w:val="center"/>
          </w:tcPr>
          <w:p w14:paraId="5C3DC598" w14:textId="77777777" w:rsidR="00917505" w:rsidRPr="00B9642A" w:rsidRDefault="00917505" w:rsidP="00D22C43">
            <w:pPr>
              <w:rPr>
                <w:rFonts w:ascii="Arial" w:hAnsi="Arial" w:cs="Arial"/>
                <w:sz w:val="14"/>
                <w:szCs w:val="14"/>
                <w:lang w:eastAsia="es-ES"/>
              </w:rPr>
            </w:pPr>
            <w:r w:rsidRPr="00B9642A">
              <w:rPr>
                <w:rFonts w:ascii="Arial" w:hAnsi="Arial" w:cs="Arial"/>
                <w:sz w:val="14"/>
                <w:szCs w:val="14"/>
                <w:lang w:eastAsia="es-ES"/>
              </w:rPr>
              <w:t>Revisó:</w:t>
            </w:r>
          </w:p>
        </w:tc>
        <w:tc>
          <w:tcPr>
            <w:tcW w:w="4003" w:type="dxa"/>
            <w:tcBorders>
              <w:top w:val="dotted" w:sz="4" w:space="0" w:color="7F7F7F"/>
              <w:left w:val="nil"/>
              <w:bottom w:val="dotted" w:sz="4" w:space="0" w:color="7F7F7F"/>
              <w:right w:val="nil"/>
            </w:tcBorders>
            <w:vAlign w:val="center"/>
          </w:tcPr>
          <w:p w14:paraId="48D23CC6" w14:textId="2C04B829" w:rsidR="00917505" w:rsidRPr="00B9642A" w:rsidRDefault="00917505" w:rsidP="00D22C43">
            <w:pPr>
              <w:rPr>
                <w:rFonts w:ascii="Arial" w:hAnsi="Arial" w:cs="Arial"/>
                <w:sz w:val="14"/>
                <w:szCs w:val="14"/>
                <w:lang w:eastAsia="es-ES"/>
              </w:rPr>
            </w:pPr>
            <w:r>
              <w:rPr>
                <w:rFonts w:ascii="Arial" w:hAnsi="Arial" w:cs="Arial"/>
                <w:sz w:val="14"/>
                <w:szCs w:val="14"/>
                <w:lang w:eastAsia="es-ES"/>
              </w:rPr>
              <w:t>Alejandro Sarmiento Cantillo</w:t>
            </w:r>
          </w:p>
          <w:p w14:paraId="447248A1" w14:textId="77777777" w:rsidR="00917505" w:rsidRPr="00B9642A" w:rsidRDefault="00917505" w:rsidP="00D22C43">
            <w:pPr>
              <w:rPr>
                <w:rFonts w:ascii="Arial" w:hAnsi="Arial" w:cs="Arial"/>
                <w:sz w:val="14"/>
                <w:szCs w:val="14"/>
                <w:lang w:eastAsia="es-ES"/>
              </w:rPr>
            </w:pPr>
            <w:r w:rsidRPr="00B9642A">
              <w:rPr>
                <w:rFonts w:ascii="Arial" w:hAnsi="Arial" w:cs="Arial"/>
                <w:sz w:val="14"/>
                <w:szCs w:val="14"/>
                <w:lang w:eastAsia="es-ES"/>
              </w:rPr>
              <w:t xml:space="preserve">Gestor T1-15 de la Subdirección de Gestión Contractual  </w:t>
            </w:r>
          </w:p>
        </w:tc>
      </w:tr>
      <w:tr w:rsidR="00917505" w:rsidRPr="009F0084" w14:paraId="35AEDBB0" w14:textId="77777777" w:rsidTr="00D22C43">
        <w:trPr>
          <w:trHeight w:val="272"/>
        </w:trPr>
        <w:tc>
          <w:tcPr>
            <w:tcW w:w="886" w:type="dxa"/>
            <w:vAlign w:val="center"/>
            <w:hideMark/>
          </w:tcPr>
          <w:p w14:paraId="4761BAE3" w14:textId="77777777" w:rsidR="00917505" w:rsidRPr="00B9642A" w:rsidRDefault="00917505" w:rsidP="00D22C43">
            <w:pPr>
              <w:rPr>
                <w:rFonts w:ascii="Arial" w:hAnsi="Arial" w:cs="Arial"/>
                <w:sz w:val="14"/>
                <w:szCs w:val="14"/>
                <w:lang w:eastAsia="es-ES"/>
              </w:rPr>
            </w:pPr>
            <w:r w:rsidRPr="00B9642A">
              <w:rPr>
                <w:rFonts w:ascii="Arial" w:hAnsi="Arial" w:cs="Arial"/>
                <w:sz w:val="14"/>
                <w:szCs w:val="14"/>
                <w:lang w:eastAsia="es-ES"/>
              </w:rPr>
              <w:t>Aprobó:</w:t>
            </w:r>
          </w:p>
        </w:tc>
        <w:tc>
          <w:tcPr>
            <w:tcW w:w="4003" w:type="dxa"/>
            <w:tcBorders>
              <w:top w:val="dotted" w:sz="4" w:space="0" w:color="7F7F7F"/>
              <w:left w:val="nil"/>
              <w:bottom w:val="dotted" w:sz="4" w:space="0" w:color="7F7F7F"/>
              <w:right w:val="nil"/>
            </w:tcBorders>
            <w:vAlign w:val="center"/>
            <w:hideMark/>
          </w:tcPr>
          <w:p w14:paraId="0B4B83CA" w14:textId="77777777" w:rsidR="00917505" w:rsidRPr="00B9642A" w:rsidRDefault="00917505" w:rsidP="00D22C43">
            <w:pPr>
              <w:rPr>
                <w:rFonts w:ascii="Arial" w:hAnsi="Arial" w:cs="Arial"/>
                <w:sz w:val="14"/>
                <w:szCs w:val="14"/>
                <w:lang w:eastAsia="es-ES"/>
              </w:rPr>
            </w:pPr>
            <w:r w:rsidRPr="00B9642A">
              <w:rPr>
                <w:rFonts w:ascii="Arial" w:hAnsi="Arial" w:cs="Arial"/>
                <w:sz w:val="14"/>
                <w:szCs w:val="14"/>
                <w:lang w:eastAsia="es-ES"/>
              </w:rPr>
              <w:t>Jorge Augusto Tirado Navarro</w:t>
            </w:r>
          </w:p>
          <w:p w14:paraId="6B0B9061" w14:textId="77777777" w:rsidR="00917505" w:rsidRPr="009F0084" w:rsidRDefault="00917505" w:rsidP="00D22C43">
            <w:pPr>
              <w:rPr>
                <w:rFonts w:ascii="Arial" w:hAnsi="Arial" w:cs="Arial"/>
                <w:sz w:val="14"/>
                <w:szCs w:val="14"/>
                <w:lang w:eastAsia="es-ES"/>
              </w:rPr>
            </w:pPr>
            <w:r w:rsidRPr="00B9642A">
              <w:rPr>
                <w:rFonts w:ascii="Arial" w:hAnsi="Arial" w:cs="Arial"/>
                <w:sz w:val="14"/>
                <w:szCs w:val="14"/>
                <w:lang w:eastAsia="es-ES"/>
              </w:rPr>
              <w:t>Subdirector de Gestión Contractual ANCP – CCE</w:t>
            </w:r>
          </w:p>
        </w:tc>
      </w:tr>
    </w:tbl>
    <w:p w14:paraId="62A9C657" w14:textId="77777777" w:rsidR="00453A53" w:rsidRPr="00917505" w:rsidRDefault="00453A53" w:rsidP="00215B8E">
      <w:pPr>
        <w:jc w:val="both"/>
        <w:rPr>
          <w:rFonts w:ascii="Arial" w:hAnsi="Arial" w:cs="Arial"/>
        </w:rPr>
      </w:pPr>
    </w:p>
    <w:p w14:paraId="3F7284BE" w14:textId="3AD023D9" w:rsidR="008351F8" w:rsidRPr="009D3964" w:rsidRDefault="008351F8" w:rsidP="00215B8E">
      <w:pPr>
        <w:jc w:val="both"/>
        <w:rPr>
          <w:rFonts w:ascii="Arial" w:hAnsi="Arial" w:cs="Arial"/>
          <w:lang w:val="es-ES_tradnl"/>
        </w:rPr>
      </w:pPr>
    </w:p>
    <w:bookmarkEnd w:id="3"/>
    <w:p w14:paraId="4D3D318F" w14:textId="77777777" w:rsidR="00FC710F" w:rsidRPr="009D3964" w:rsidRDefault="00FC710F">
      <w:pPr>
        <w:jc w:val="both"/>
        <w:rPr>
          <w:rFonts w:ascii="Arial" w:hAnsi="Arial" w:cs="Arial"/>
          <w:lang w:val="es-ES_tradnl"/>
        </w:rPr>
      </w:pPr>
    </w:p>
    <w:sectPr w:rsidR="00FC710F" w:rsidRPr="009D3964" w:rsidSect="00026B36">
      <w:headerReference w:type="default" r:id="rId13"/>
      <w:footerReference w:type="default" r:id="rId14"/>
      <w:pgSz w:w="12240" w:h="15840"/>
      <w:pgMar w:top="2041"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71838" w14:textId="77777777" w:rsidR="00FC6C5A" w:rsidRDefault="00FC6C5A">
      <w:r>
        <w:separator/>
      </w:r>
    </w:p>
  </w:endnote>
  <w:endnote w:type="continuationSeparator" w:id="0">
    <w:p w14:paraId="16DF6C77" w14:textId="77777777" w:rsidR="00FC6C5A" w:rsidRDefault="00FC6C5A">
      <w:r>
        <w:continuationSeparator/>
      </w:r>
    </w:p>
  </w:endnote>
  <w:endnote w:type="continuationNotice" w:id="1">
    <w:p w14:paraId="7DA4D6BC" w14:textId="77777777" w:rsidR="00FC6C5A" w:rsidRDefault="00FC6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_=ó≤ò">
    <w:altName w:val="Calibri"/>
    <w:panose1 w:val="020B0604020202020204"/>
    <w:charset w:val="4D"/>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0D3E0" w14:textId="77777777" w:rsidR="00FC6C5A" w:rsidRDefault="00FC6C5A">
      <w:r>
        <w:separator/>
      </w:r>
    </w:p>
  </w:footnote>
  <w:footnote w:type="continuationSeparator" w:id="0">
    <w:p w14:paraId="3EC2F711" w14:textId="77777777" w:rsidR="00FC6C5A" w:rsidRDefault="00FC6C5A">
      <w:r>
        <w:continuationSeparator/>
      </w:r>
    </w:p>
  </w:footnote>
  <w:footnote w:type="continuationNotice" w:id="1">
    <w:p w14:paraId="3B68EEE8" w14:textId="77777777" w:rsidR="00FC6C5A" w:rsidRDefault="00FC6C5A"/>
  </w:footnote>
  <w:footnote w:id="2">
    <w:p w14:paraId="1F579675" w14:textId="77777777" w:rsidR="00EE471B" w:rsidRPr="00C26B44" w:rsidRDefault="00EE471B" w:rsidP="006B4DCA">
      <w:pPr>
        <w:pStyle w:val="Textonotapie"/>
        <w:ind w:firstLine="709"/>
        <w:jc w:val="both"/>
        <w:rPr>
          <w:rFonts w:ascii="Arial" w:hAnsi="Arial" w:cs="Arial"/>
          <w:sz w:val="18"/>
          <w:szCs w:val="18"/>
        </w:rPr>
      </w:pPr>
      <w:r w:rsidRPr="00C26B44">
        <w:rPr>
          <w:rStyle w:val="Refdenotaalpie"/>
          <w:rFonts w:ascii="Arial" w:hAnsi="Arial" w:cs="Arial"/>
          <w:sz w:val="18"/>
          <w:szCs w:val="18"/>
        </w:rPr>
        <w:footnoteRef/>
      </w:r>
      <w:r w:rsidRPr="00C26B44">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p>
  </w:footnote>
  <w:footnote w:id="3">
    <w:p w14:paraId="7E33C9F0" w14:textId="77777777" w:rsidR="00EE471B" w:rsidRPr="00C26B44" w:rsidRDefault="00EE471B" w:rsidP="006B4DCA">
      <w:pPr>
        <w:pStyle w:val="Textonotapie"/>
        <w:ind w:firstLine="709"/>
        <w:jc w:val="both"/>
        <w:rPr>
          <w:rFonts w:ascii="Arial" w:hAnsi="Arial" w:cs="Arial"/>
          <w:sz w:val="18"/>
          <w:szCs w:val="18"/>
          <w:lang w:val="es-ES"/>
        </w:rPr>
      </w:pPr>
      <w:r w:rsidRPr="00C26B44">
        <w:rPr>
          <w:rStyle w:val="Refdenotaalpie"/>
          <w:rFonts w:ascii="Arial" w:hAnsi="Arial" w:cs="Arial"/>
          <w:sz w:val="18"/>
          <w:szCs w:val="18"/>
        </w:rPr>
        <w:footnoteRef/>
      </w:r>
      <w:r w:rsidRPr="00C26B44">
        <w:rPr>
          <w:rFonts w:ascii="Arial" w:hAnsi="Arial" w:cs="Arial"/>
          <w:sz w:val="18"/>
          <w:szCs w:val="18"/>
        </w:rPr>
        <w:t xml:space="preserve"> </w:t>
      </w:r>
      <w:r w:rsidRPr="00C26B44">
        <w:rPr>
          <w:rFonts w:ascii="Arial" w:hAnsi="Arial" w:cs="Arial"/>
          <w:sz w:val="18"/>
          <w:szCs w:val="18"/>
          <w:lang w:val="es-ES"/>
        </w:rPr>
        <w:t xml:space="preserve">Decreto Ley 4170 de 2011. </w:t>
      </w:r>
      <w:r w:rsidRPr="00C26B44">
        <w:rPr>
          <w:rFonts w:ascii="Arial" w:hAnsi="Arial" w:cs="Arial"/>
          <w:sz w:val="18"/>
          <w:szCs w:val="18"/>
        </w:rPr>
        <w:t>«</w:t>
      </w:r>
      <w:r w:rsidRPr="00C26B44">
        <w:rPr>
          <w:rFonts w:ascii="Arial" w:hAnsi="Arial" w:cs="Arial"/>
          <w:sz w:val="18"/>
          <w:szCs w:val="18"/>
          <w:lang w:val="es-ES"/>
        </w:rPr>
        <w:t xml:space="preserve">Artículo 11. Subdirección de Gestión Contractual. Son funciones de la Subdirección de Gestión Contractual las siguientes: </w:t>
      </w:r>
    </w:p>
    <w:p w14:paraId="23D6E850" w14:textId="77777777" w:rsidR="00EE471B" w:rsidRPr="00C26B44" w:rsidRDefault="00EE471B" w:rsidP="006B4DCA">
      <w:pPr>
        <w:pStyle w:val="Textonotapie"/>
        <w:ind w:firstLine="709"/>
        <w:jc w:val="both"/>
        <w:rPr>
          <w:rFonts w:ascii="Arial" w:hAnsi="Arial" w:cs="Arial"/>
          <w:sz w:val="18"/>
          <w:szCs w:val="18"/>
          <w:lang w:val="es-ES"/>
        </w:rPr>
      </w:pPr>
      <w:r w:rsidRPr="00C26B44">
        <w:rPr>
          <w:rFonts w:ascii="Arial" w:hAnsi="Arial" w:cs="Arial"/>
          <w:sz w:val="18"/>
          <w:szCs w:val="18"/>
          <w:lang w:val="es-ES"/>
        </w:rPr>
        <w:t xml:space="preserve">»[...] </w:t>
      </w:r>
    </w:p>
    <w:p w14:paraId="069AFCBD" w14:textId="1EF31CDF" w:rsidR="00EE471B" w:rsidRPr="00C26B44" w:rsidRDefault="00EE471B" w:rsidP="006B4DCA">
      <w:pPr>
        <w:pStyle w:val="Textonotapie"/>
        <w:ind w:firstLine="708"/>
        <w:jc w:val="both"/>
        <w:rPr>
          <w:rFonts w:ascii="Arial" w:hAnsi="Arial" w:cs="Arial"/>
          <w:sz w:val="18"/>
          <w:szCs w:val="18"/>
          <w:lang w:val="es-ES"/>
        </w:rPr>
      </w:pPr>
      <w:r w:rsidRPr="00C26B44">
        <w:rPr>
          <w:rFonts w:ascii="Arial" w:eastAsia="Times New Roman" w:hAnsi="Arial" w:cs="Arial"/>
          <w:sz w:val="18"/>
          <w:szCs w:val="18"/>
          <w:lang w:val="es-CO" w:eastAsia="es-ES_tradnl"/>
        </w:rPr>
        <w:t>»</w:t>
      </w:r>
      <w:r w:rsidRPr="00C26B44">
        <w:rPr>
          <w:rFonts w:ascii="Arial" w:hAnsi="Arial" w:cs="Arial"/>
          <w:sz w:val="18"/>
          <w:szCs w:val="18"/>
          <w:lang w:val="es-ES"/>
        </w:rPr>
        <w:t>8. Absolver consultas sobre la aplicación de normas de carácter general».</w:t>
      </w:r>
    </w:p>
    <w:p w14:paraId="6FA746F7" w14:textId="77777777" w:rsidR="00B91691" w:rsidRPr="00C26B44" w:rsidRDefault="00B91691" w:rsidP="006B4DCA">
      <w:pPr>
        <w:pStyle w:val="Textonotapie"/>
        <w:jc w:val="both"/>
        <w:rPr>
          <w:rFonts w:ascii="Arial" w:hAnsi="Arial" w:cs="Arial"/>
          <w:sz w:val="18"/>
          <w:szCs w:val="18"/>
        </w:rPr>
      </w:pPr>
    </w:p>
  </w:footnote>
  <w:footnote w:id="4">
    <w:p w14:paraId="7D95EC66" w14:textId="1DF0CE99" w:rsidR="0088684A" w:rsidRPr="00C26B44" w:rsidRDefault="0088684A" w:rsidP="006B4DCA">
      <w:pPr>
        <w:pStyle w:val="Textonotapie"/>
        <w:ind w:firstLine="708"/>
        <w:jc w:val="both"/>
        <w:rPr>
          <w:rFonts w:ascii="Arial" w:hAnsi="Arial" w:cs="Arial"/>
          <w:sz w:val="18"/>
          <w:szCs w:val="18"/>
          <w:lang w:val="es-CO"/>
        </w:rPr>
      </w:pPr>
      <w:r w:rsidRPr="00C26B44">
        <w:rPr>
          <w:rStyle w:val="Refdenotaalpie"/>
          <w:rFonts w:ascii="Arial" w:hAnsi="Arial" w:cs="Arial"/>
          <w:sz w:val="18"/>
          <w:szCs w:val="18"/>
        </w:rPr>
        <w:footnoteRef/>
      </w:r>
      <w:r w:rsidRPr="00C26B44">
        <w:rPr>
          <w:rFonts w:ascii="Arial" w:hAnsi="Arial" w:cs="Arial"/>
          <w:sz w:val="18"/>
          <w:szCs w:val="18"/>
        </w:rPr>
        <w:t xml:space="preserve"> </w:t>
      </w:r>
      <w:r w:rsidRPr="00C26B44">
        <w:rPr>
          <w:rFonts w:ascii="Arial" w:hAnsi="Arial" w:cs="Arial"/>
          <w:sz w:val="18"/>
          <w:szCs w:val="18"/>
          <w:lang w:val="es-CO"/>
        </w:rPr>
        <w:t>La Agencia también se ha pronunciado sobre las diferentes disposiciones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C-102 del 25 de marzo de 2020,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C-338 del 12 de julio de 2021, C-422 del 18 de agosto de 2021, C-437 del 24 de agosto de 2021, C-518 el 20 de septiembre de 2021, C-438 del 28 de septiembre de 2021, C-586 del 14 de octubre de 2021 y C-617 del 12 de diciembre de 2021, C-689 del 05 de enero de 2022, entre otros.</w:t>
      </w:r>
    </w:p>
    <w:p w14:paraId="3A327A48" w14:textId="77777777" w:rsidR="004B1FFB" w:rsidRPr="00C26B44" w:rsidRDefault="004B1FFB" w:rsidP="006B4DCA">
      <w:pPr>
        <w:pStyle w:val="Textonotapie"/>
        <w:ind w:firstLine="708"/>
        <w:jc w:val="both"/>
        <w:rPr>
          <w:rFonts w:ascii="Arial" w:hAnsi="Arial" w:cs="Arial"/>
          <w:sz w:val="18"/>
          <w:szCs w:val="18"/>
        </w:rPr>
      </w:pPr>
    </w:p>
  </w:footnote>
  <w:footnote w:id="5">
    <w:p w14:paraId="2C5DEAE2" w14:textId="3B58EF90" w:rsidR="00BA79B8" w:rsidRPr="00C26B44" w:rsidRDefault="00BA79B8" w:rsidP="006B4DCA">
      <w:pPr>
        <w:pStyle w:val="Textonotapie"/>
        <w:ind w:firstLine="708"/>
        <w:jc w:val="both"/>
        <w:rPr>
          <w:rFonts w:ascii="Arial" w:hAnsi="Arial" w:cs="Arial"/>
          <w:sz w:val="18"/>
          <w:szCs w:val="18"/>
          <w:lang w:val="es-CO"/>
        </w:rPr>
      </w:pPr>
      <w:r w:rsidRPr="00C26B44">
        <w:rPr>
          <w:rStyle w:val="Refdenotaalpie"/>
          <w:rFonts w:ascii="Arial" w:hAnsi="Arial" w:cs="Arial"/>
          <w:sz w:val="18"/>
          <w:szCs w:val="18"/>
        </w:rPr>
        <w:footnoteRef/>
      </w:r>
      <w:r w:rsidRPr="00C26B44">
        <w:rPr>
          <w:rFonts w:ascii="Arial" w:hAnsi="Arial" w:cs="Arial"/>
          <w:sz w:val="18"/>
          <w:szCs w:val="18"/>
        </w:rPr>
        <w:t xml:space="preserve"> </w:t>
      </w:r>
      <w:r w:rsidRPr="00C26B44">
        <w:rPr>
          <w:rFonts w:ascii="Arial" w:hAnsi="Arial" w:cs="Arial"/>
          <w:sz w:val="18"/>
          <w:szCs w:val="18"/>
          <w:lang w:val="es-CO"/>
        </w:rPr>
        <w:t>La Agencia también se ha pronunciado sobre los factores de desempate introducidos por el artículo 35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y C-102 del 25 de marzo de 2020.</w:t>
      </w:r>
    </w:p>
    <w:p w14:paraId="5DEB493E" w14:textId="77777777" w:rsidR="00077CA2" w:rsidRPr="00C26B44" w:rsidRDefault="00077CA2" w:rsidP="006B4DCA">
      <w:pPr>
        <w:pStyle w:val="Textonotapie"/>
        <w:ind w:firstLine="708"/>
        <w:jc w:val="both"/>
        <w:rPr>
          <w:rFonts w:ascii="Arial" w:hAnsi="Arial" w:cs="Arial"/>
          <w:sz w:val="18"/>
          <w:szCs w:val="18"/>
          <w:lang w:val="es-CO"/>
        </w:rPr>
      </w:pPr>
    </w:p>
  </w:footnote>
  <w:footnote w:id="6">
    <w:p w14:paraId="565FBE07" w14:textId="6E5EE3F2" w:rsidR="008378BE" w:rsidRPr="00C26B44" w:rsidRDefault="008378BE" w:rsidP="006B4DCA">
      <w:pPr>
        <w:pStyle w:val="Textonotapie"/>
        <w:ind w:firstLine="708"/>
        <w:jc w:val="both"/>
        <w:rPr>
          <w:rStyle w:val="Hipervnculo1"/>
          <w:rFonts w:ascii="Arial" w:hAnsi="Arial" w:cs="Arial"/>
          <w:sz w:val="18"/>
          <w:szCs w:val="18"/>
        </w:rPr>
      </w:pPr>
      <w:r w:rsidRPr="00C26B44">
        <w:rPr>
          <w:rStyle w:val="Refdenotaalpie"/>
          <w:rFonts w:ascii="Arial" w:hAnsi="Arial" w:cs="Arial"/>
          <w:sz w:val="18"/>
          <w:szCs w:val="18"/>
        </w:rPr>
        <w:footnoteRef/>
      </w:r>
      <w:r w:rsidRPr="00C26B44">
        <w:rPr>
          <w:rFonts w:ascii="Arial" w:hAnsi="Arial" w:cs="Arial"/>
          <w:sz w:val="18"/>
          <w:szCs w:val="18"/>
        </w:rPr>
        <w:t xml:space="preserve"> Texto del Proyecto de Ley 122 de 2020 Cámara. Exposición de motivos. Consultado el 29 de diciembre de 2021 en la página web: </w:t>
      </w:r>
      <w:r w:rsidRPr="00C26B44">
        <w:rPr>
          <w:rStyle w:val="Hipervnculo1"/>
          <w:rFonts w:ascii="Arial" w:hAnsi="Arial" w:cs="Arial"/>
          <w:color w:val="auto"/>
          <w:sz w:val="18"/>
          <w:szCs w:val="18"/>
        </w:rPr>
        <w:t>http://leyes.senado.gov.co/proyectos/index.php/textos-radicados-senado/p-ley-2020-2021/1957-proyecto-de-ley-161-de-2020</w:t>
      </w:r>
    </w:p>
    <w:p w14:paraId="3209FD78" w14:textId="77777777" w:rsidR="008378BE" w:rsidRPr="00C26B44" w:rsidRDefault="008378BE" w:rsidP="006B4DCA">
      <w:pPr>
        <w:pStyle w:val="Textonotapie"/>
        <w:ind w:firstLine="708"/>
        <w:jc w:val="both"/>
        <w:rPr>
          <w:rFonts w:ascii="Arial" w:hAnsi="Arial" w:cs="Arial"/>
          <w:sz w:val="18"/>
          <w:szCs w:val="18"/>
        </w:rPr>
      </w:pPr>
    </w:p>
  </w:footnote>
  <w:footnote w:id="7">
    <w:p w14:paraId="444D9FCA" w14:textId="77777777" w:rsidR="008378BE" w:rsidRPr="00C26B44" w:rsidRDefault="008378BE" w:rsidP="006B4DCA">
      <w:pPr>
        <w:pStyle w:val="Textonotapie"/>
        <w:ind w:firstLine="709"/>
        <w:jc w:val="both"/>
        <w:rPr>
          <w:rFonts w:ascii="Arial" w:hAnsi="Arial" w:cs="Arial"/>
          <w:sz w:val="18"/>
          <w:szCs w:val="18"/>
          <w:lang w:val="es-ES"/>
        </w:rPr>
      </w:pPr>
      <w:r w:rsidRPr="00C26B44">
        <w:rPr>
          <w:rStyle w:val="Refdenotaalpie"/>
          <w:rFonts w:ascii="Arial" w:hAnsi="Arial" w:cs="Arial"/>
          <w:sz w:val="18"/>
          <w:szCs w:val="18"/>
        </w:rPr>
        <w:footnoteRef/>
      </w:r>
      <w:r w:rsidRPr="00C26B44">
        <w:rPr>
          <w:rFonts w:ascii="Arial" w:hAnsi="Arial" w:cs="Arial"/>
          <w:sz w:val="18"/>
          <w:szCs w:val="18"/>
        </w:rPr>
        <w:t xml:space="preserve"> </w:t>
      </w:r>
      <w:r w:rsidRPr="00C26B44">
        <w:rPr>
          <w:rFonts w:ascii="Arial" w:hAnsi="Arial" w:cs="Arial"/>
          <w:sz w:val="18"/>
          <w:szCs w:val="18"/>
          <w:lang w:val="es-ES"/>
        </w:rPr>
        <w:t>Artículos 2 al 29.</w:t>
      </w:r>
    </w:p>
    <w:p w14:paraId="70F7CEE3" w14:textId="77777777" w:rsidR="008378BE" w:rsidRPr="00C26B44" w:rsidRDefault="008378BE" w:rsidP="006B4DCA">
      <w:pPr>
        <w:pStyle w:val="Textonotapie"/>
        <w:ind w:firstLine="709"/>
        <w:jc w:val="both"/>
        <w:rPr>
          <w:rFonts w:ascii="Arial" w:hAnsi="Arial" w:cs="Arial"/>
          <w:sz w:val="18"/>
          <w:szCs w:val="18"/>
          <w:lang w:val="es-ES"/>
        </w:rPr>
      </w:pPr>
    </w:p>
  </w:footnote>
  <w:footnote w:id="8">
    <w:p w14:paraId="6DC8D7BE" w14:textId="77777777" w:rsidR="008378BE" w:rsidRPr="00C26B44" w:rsidRDefault="008378BE" w:rsidP="006B4DCA">
      <w:pPr>
        <w:pStyle w:val="Textonotapie"/>
        <w:ind w:firstLine="709"/>
        <w:jc w:val="both"/>
        <w:rPr>
          <w:rFonts w:ascii="Arial" w:hAnsi="Arial" w:cs="Arial"/>
          <w:sz w:val="18"/>
          <w:szCs w:val="18"/>
          <w:lang w:val="es-ES"/>
        </w:rPr>
      </w:pPr>
      <w:r w:rsidRPr="00C26B44">
        <w:rPr>
          <w:rStyle w:val="Refdenotaalpie"/>
          <w:rFonts w:ascii="Arial" w:hAnsi="Arial" w:cs="Arial"/>
          <w:sz w:val="18"/>
          <w:szCs w:val="18"/>
        </w:rPr>
        <w:footnoteRef/>
      </w:r>
      <w:r w:rsidRPr="00C26B44">
        <w:rPr>
          <w:rFonts w:ascii="Arial" w:hAnsi="Arial" w:cs="Arial"/>
          <w:sz w:val="18"/>
          <w:szCs w:val="18"/>
        </w:rPr>
        <w:t xml:space="preserve"> </w:t>
      </w:r>
      <w:r w:rsidRPr="00C26B44">
        <w:rPr>
          <w:rFonts w:ascii="Arial" w:hAnsi="Arial" w:cs="Arial"/>
          <w:sz w:val="18"/>
          <w:szCs w:val="18"/>
          <w:lang w:val="es-ES"/>
        </w:rPr>
        <w:t>Artículos 30 al 36.</w:t>
      </w:r>
    </w:p>
    <w:p w14:paraId="4D0988D6" w14:textId="77777777" w:rsidR="008378BE" w:rsidRPr="00C26B44" w:rsidRDefault="008378BE" w:rsidP="006B4DCA">
      <w:pPr>
        <w:pStyle w:val="Textonotapie"/>
        <w:ind w:firstLine="709"/>
        <w:jc w:val="both"/>
        <w:rPr>
          <w:rFonts w:ascii="Arial" w:hAnsi="Arial" w:cs="Arial"/>
          <w:sz w:val="18"/>
          <w:szCs w:val="18"/>
          <w:lang w:val="es-ES"/>
        </w:rPr>
      </w:pPr>
    </w:p>
  </w:footnote>
  <w:footnote w:id="9">
    <w:p w14:paraId="01D35A7B" w14:textId="77777777" w:rsidR="008378BE" w:rsidRPr="00C26B44" w:rsidRDefault="008378BE" w:rsidP="006B4DCA">
      <w:pPr>
        <w:pStyle w:val="Textonotapie"/>
        <w:ind w:firstLine="709"/>
        <w:jc w:val="both"/>
        <w:rPr>
          <w:rFonts w:ascii="Arial" w:hAnsi="Arial" w:cs="Arial"/>
          <w:sz w:val="18"/>
          <w:szCs w:val="18"/>
          <w:lang w:val="es-ES"/>
        </w:rPr>
      </w:pPr>
      <w:r w:rsidRPr="00C26B44">
        <w:rPr>
          <w:rStyle w:val="Refdenotaalpie"/>
          <w:rFonts w:ascii="Arial" w:hAnsi="Arial" w:cs="Arial"/>
          <w:sz w:val="18"/>
          <w:szCs w:val="18"/>
        </w:rPr>
        <w:footnoteRef/>
      </w:r>
      <w:r w:rsidRPr="00C26B44">
        <w:rPr>
          <w:rFonts w:ascii="Arial" w:hAnsi="Arial" w:cs="Arial"/>
          <w:sz w:val="18"/>
          <w:szCs w:val="18"/>
        </w:rPr>
        <w:t xml:space="preserve"> </w:t>
      </w:r>
      <w:r w:rsidRPr="00C26B44">
        <w:rPr>
          <w:rFonts w:ascii="Arial" w:hAnsi="Arial" w:cs="Arial"/>
          <w:sz w:val="18"/>
          <w:szCs w:val="18"/>
          <w:lang w:val="es-ES"/>
        </w:rPr>
        <w:t>Artículos 37 al 45.</w:t>
      </w:r>
    </w:p>
    <w:p w14:paraId="2442C0E8" w14:textId="77777777" w:rsidR="008378BE" w:rsidRPr="00C26B44" w:rsidRDefault="008378BE" w:rsidP="006B4DCA">
      <w:pPr>
        <w:pStyle w:val="Textonotapie"/>
        <w:ind w:firstLine="709"/>
        <w:jc w:val="both"/>
        <w:rPr>
          <w:rFonts w:ascii="Arial" w:hAnsi="Arial" w:cs="Arial"/>
          <w:sz w:val="18"/>
          <w:szCs w:val="18"/>
          <w:lang w:val="es-ES"/>
        </w:rPr>
      </w:pPr>
    </w:p>
  </w:footnote>
  <w:footnote w:id="10">
    <w:p w14:paraId="2FEF3BCF" w14:textId="77777777" w:rsidR="008378BE" w:rsidRPr="00C26B44" w:rsidRDefault="008378BE" w:rsidP="006B4DCA">
      <w:pPr>
        <w:pStyle w:val="Textonotapie"/>
        <w:ind w:firstLine="709"/>
        <w:jc w:val="both"/>
        <w:rPr>
          <w:rFonts w:ascii="Arial" w:hAnsi="Arial" w:cs="Arial"/>
          <w:sz w:val="18"/>
          <w:szCs w:val="18"/>
          <w:lang w:val="es-ES"/>
        </w:rPr>
      </w:pPr>
      <w:r w:rsidRPr="00C26B44">
        <w:rPr>
          <w:rStyle w:val="Refdenotaalpie"/>
          <w:rFonts w:ascii="Arial" w:hAnsi="Arial" w:cs="Arial"/>
          <w:sz w:val="18"/>
          <w:szCs w:val="18"/>
        </w:rPr>
        <w:footnoteRef/>
      </w:r>
      <w:r w:rsidRPr="00C26B44">
        <w:rPr>
          <w:rFonts w:ascii="Arial" w:hAnsi="Arial" w:cs="Arial"/>
          <w:sz w:val="18"/>
          <w:szCs w:val="18"/>
        </w:rPr>
        <w:t xml:space="preserve"> </w:t>
      </w:r>
      <w:r w:rsidRPr="00C26B44">
        <w:rPr>
          <w:rFonts w:ascii="Arial" w:hAnsi="Arial" w:cs="Arial"/>
          <w:sz w:val="18"/>
          <w:szCs w:val="18"/>
          <w:lang w:val="es-ES"/>
        </w:rPr>
        <w:t>Artículos 46 al 73.</w:t>
      </w:r>
    </w:p>
    <w:p w14:paraId="07D62F2C" w14:textId="77777777" w:rsidR="008378BE" w:rsidRPr="00C26B44" w:rsidRDefault="008378BE" w:rsidP="006B4DCA">
      <w:pPr>
        <w:pStyle w:val="Textonotapie"/>
        <w:ind w:firstLine="709"/>
        <w:jc w:val="both"/>
        <w:rPr>
          <w:rFonts w:ascii="Arial" w:hAnsi="Arial" w:cs="Arial"/>
          <w:sz w:val="18"/>
          <w:szCs w:val="18"/>
          <w:lang w:val="es-ES"/>
        </w:rPr>
      </w:pPr>
    </w:p>
  </w:footnote>
  <w:footnote w:id="11">
    <w:p w14:paraId="3EDC5C96" w14:textId="77777777" w:rsidR="008378BE" w:rsidRPr="00C26B44" w:rsidRDefault="008378BE" w:rsidP="006B4DCA">
      <w:pPr>
        <w:pStyle w:val="Textonotapie"/>
        <w:ind w:firstLine="709"/>
        <w:jc w:val="both"/>
        <w:rPr>
          <w:rFonts w:ascii="Arial" w:hAnsi="Arial" w:cs="Arial"/>
          <w:sz w:val="18"/>
          <w:szCs w:val="18"/>
          <w:lang w:val="es-ES"/>
        </w:rPr>
      </w:pPr>
      <w:r w:rsidRPr="00C26B44">
        <w:rPr>
          <w:rStyle w:val="Refdenotaalpie"/>
          <w:rFonts w:ascii="Arial" w:hAnsi="Arial" w:cs="Arial"/>
          <w:sz w:val="18"/>
          <w:szCs w:val="18"/>
        </w:rPr>
        <w:footnoteRef/>
      </w:r>
      <w:r w:rsidRPr="00C26B44">
        <w:rPr>
          <w:rFonts w:ascii="Arial" w:hAnsi="Arial" w:cs="Arial"/>
          <w:sz w:val="18"/>
          <w:szCs w:val="18"/>
        </w:rPr>
        <w:t xml:space="preserve"> </w:t>
      </w:r>
      <w:r w:rsidRPr="00C26B44">
        <w:rPr>
          <w:rFonts w:ascii="Arial" w:hAnsi="Arial" w:cs="Arial"/>
          <w:sz w:val="18"/>
          <w:szCs w:val="18"/>
          <w:lang w:val="es-ES"/>
        </w:rPr>
        <w:t>Artículos 74 al 83.</w:t>
      </w:r>
    </w:p>
    <w:p w14:paraId="26D8C9C6" w14:textId="77777777" w:rsidR="008378BE" w:rsidRPr="00C26B44" w:rsidRDefault="008378BE" w:rsidP="006B4DCA">
      <w:pPr>
        <w:pStyle w:val="Textonotapie"/>
        <w:ind w:firstLine="709"/>
        <w:jc w:val="both"/>
        <w:rPr>
          <w:rFonts w:ascii="Arial" w:hAnsi="Arial" w:cs="Arial"/>
          <w:sz w:val="18"/>
          <w:szCs w:val="18"/>
          <w:lang w:val="es-ES"/>
        </w:rPr>
      </w:pPr>
    </w:p>
  </w:footnote>
  <w:footnote w:id="12">
    <w:p w14:paraId="65C17E41" w14:textId="3E1716FA" w:rsidR="008378BE" w:rsidRPr="00C26B44" w:rsidRDefault="008378BE" w:rsidP="006B4DCA">
      <w:pPr>
        <w:pStyle w:val="Textonotapie"/>
        <w:ind w:firstLine="708"/>
        <w:jc w:val="both"/>
        <w:rPr>
          <w:rFonts w:ascii="Arial" w:hAnsi="Arial" w:cs="Arial"/>
          <w:sz w:val="18"/>
          <w:szCs w:val="18"/>
        </w:rPr>
      </w:pPr>
      <w:r w:rsidRPr="00C26B44">
        <w:rPr>
          <w:rStyle w:val="Refdenotaalpie"/>
          <w:rFonts w:ascii="Arial" w:hAnsi="Arial" w:cs="Arial"/>
          <w:sz w:val="18"/>
          <w:szCs w:val="18"/>
        </w:rPr>
        <w:footnoteRef/>
      </w:r>
      <w:r w:rsidRPr="00C26B44">
        <w:rPr>
          <w:rFonts w:ascii="Arial" w:hAnsi="Arial" w:cs="Arial"/>
          <w:sz w:val="18"/>
          <w:szCs w:val="18"/>
        </w:rPr>
        <w:t xml:space="preserve"> </w:t>
      </w:r>
      <w:bookmarkStart w:id="5" w:name="_Hlk63862868"/>
      <w:r w:rsidRPr="00C26B44">
        <w:rPr>
          <w:rFonts w:ascii="Arial" w:hAnsi="Arial" w:cs="Arial"/>
          <w:sz w:val="18"/>
          <w:szCs w:val="18"/>
        </w:rPr>
        <w:t xml:space="preserve">CONGRESO DE LA REPÚBLICA. Gaceta No. 670 del 11 de agosto de 2020. Exposición de motivos del Proyecto de Ley No. 122 de 2020 Cámara. p. 13. </w:t>
      </w:r>
      <w:bookmarkEnd w:id="5"/>
    </w:p>
    <w:p w14:paraId="16D9478B" w14:textId="77777777" w:rsidR="00A02F01" w:rsidRPr="00C26B44" w:rsidRDefault="00A02F01" w:rsidP="006B4DCA">
      <w:pPr>
        <w:pStyle w:val="Textonotapie"/>
        <w:ind w:firstLine="708"/>
        <w:jc w:val="both"/>
        <w:rPr>
          <w:rFonts w:ascii="Arial" w:hAnsi="Arial" w:cs="Arial"/>
          <w:sz w:val="18"/>
          <w:szCs w:val="18"/>
          <w:lang w:val="es-ES"/>
        </w:rPr>
      </w:pPr>
    </w:p>
  </w:footnote>
  <w:footnote w:id="13">
    <w:p w14:paraId="4B156ED6" w14:textId="77777777" w:rsidR="008378BE" w:rsidRPr="00C26B44" w:rsidRDefault="008378BE" w:rsidP="006B4DCA">
      <w:pPr>
        <w:pStyle w:val="Textonotapie"/>
        <w:ind w:firstLine="709"/>
        <w:jc w:val="both"/>
        <w:rPr>
          <w:rFonts w:ascii="Arial" w:hAnsi="Arial" w:cs="Arial"/>
          <w:sz w:val="18"/>
          <w:szCs w:val="18"/>
        </w:rPr>
      </w:pPr>
      <w:r w:rsidRPr="00C26B44">
        <w:rPr>
          <w:rStyle w:val="Refdenotaalpie"/>
          <w:rFonts w:ascii="Arial" w:hAnsi="Arial" w:cs="Arial"/>
          <w:sz w:val="18"/>
          <w:szCs w:val="18"/>
        </w:rPr>
        <w:footnoteRef/>
      </w:r>
      <w:r w:rsidRPr="00C26B44">
        <w:rPr>
          <w:rFonts w:ascii="Arial" w:hAnsi="Arial" w:cs="Arial"/>
          <w:sz w:val="18"/>
          <w:szCs w:val="18"/>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14:paraId="1049DED0" w14:textId="77777777" w:rsidR="008378BE" w:rsidRPr="00C26B44" w:rsidRDefault="008378BE" w:rsidP="006B4DCA">
      <w:pPr>
        <w:pStyle w:val="Textonotapie"/>
        <w:ind w:firstLine="708"/>
        <w:jc w:val="both"/>
        <w:rPr>
          <w:rFonts w:ascii="Arial" w:hAnsi="Arial" w:cs="Arial"/>
          <w:sz w:val="18"/>
          <w:szCs w:val="18"/>
        </w:rPr>
      </w:pPr>
      <w:r w:rsidRPr="00C26B44">
        <w:rPr>
          <w:rFonts w:ascii="Arial" w:hAnsi="Arial" w:cs="Arial"/>
          <w:sz w:val="18"/>
          <w:szCs w:val="18"/>
        </w:rPr>
        <w:t xml:space="preserve">»Parágrafo primero. La definición de emprendimientos y empresas de mujeres se reglamentará por el gobierno nacional».  </w:t>
      </w:r>
    </w:p>
  </w:footnote>
  <w:footnote w:id="14">
    <w:p w14:paraId="7CF58795" w14:textId="77777777" w:rsidR="008378BE" w:rsidRPr="00C26B44" w:rsidRDefault="008378BE" w:rsidP="006B4DCA">
      <w:pPr>
        <w:pStyle w:val="Textonotapie"/>
        <w:ind w:firstLine="709"/>
        <w:jc w:val="both"/>
        <w:rPr>
          <w:rFonts w:ascii="Arial" w:hAnsi="Arial" w:cs="Arial"/>
          <w:sz w:val="18"/>
          <w:szCs w:val="18"/>
        </w:rPr>
      </w:pPr>
      <w:r w:rsidRPr="00C26B44">
        <w:rPr>
          <w:rStyle w:val="Refdenotaalpie"/>
          <w:rFonts w:ascii="Arial" w:hAnsi="Arial" w:cs="Arial"/>
          <w:sz w:val="18"/>
          <w:szCs w:val="18"/>
        </w:rPr>
        <w:footnoteRef/>
      </w:r>
      <w:r w:rsidRPr="00C26B44">
        <w:rPr>
          <w:rFonts w:ascii="Arial" w:hAnsi="Arial" w:cs="Arial"/>
          <w:sz w:val="18"/>
          <w:szCs w:val="18"/>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footnote>
  <w:footnote w:id="15">
    <w:p w14:paraId="725F5DE8" w14:textId="77777777" w:rsidR="008378BE" w:rsidRPr="00C26B44" w:rsidRDefault="008378BE" w:rsidP="006B4DCA">
      <w:pPr>
        <w:pStyle w:val="NormalWeb"/>
        <w:shd w:val="clear" w:color="auto" w:fill="FFFFFF"/>
        <w:spacing w:before="0" w:beforeAutospacing="0" w:after="0" w:afterAutospacing="0"/>
        <w:ind w:firstLine="709"/>
        <w:jc w:val="both"/>
        <w:rPr>
          <w:rFonts w:ascii="Arial" w:hAnsi="Arial" w:cs="Arial"/>
          <w:sz w:val="18"/>
          <w:szCs w:val="18"/>
        </w:rPr>
      </w:pPr>
      <w:r w:rsidRPr="00C26B44">
        <w:rPr>
          <w:rStyle w:val="Refdenotaalpie"/>
          <w:rFonts w:ascii="Arial" w:hAnsi="Arial" w:cs="Arial"/>
          <w:sz w:val="18"/>
          <w:szCs w:val="18"/>
        </w:rPr>
        <w:footnoteRef/>
      </w:r>
      <w:r w:rsidRPr="00C26B44">
        <w:rPr>
          <w:rFonts w:ascii="Arial" w:hAnsi="Arial" w:cs="Arial"/>
          <w:sz w:val="18"/>
          <w:szCs w:val="18"/>
        </w:rPr>
        <w:t xml:space="preserve"> Decreto 1860 de 2021.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1" w:anchor="2.2.1.2.1.5.1" w:history="1">
        <w:r w:rsidRPr="00C26B44">
          <w:rPr>
            <w:rStyle w:val="Hipervnculo"/>
            <w:rFonts w:ascii="Arial" w:hAnsi="Arial" w:cs="Arial"/>
            <w:color w:val="auto"/>
            <w:sz w:val="18"/>
            <w:szCs w:val="18"/>
          </w:rPr>
          <w:t>5 </w:t>
        </w:r>
      </w:hyperlink>
      <w:r w:rsidRPr="00C26B44">
        <w:rPr>
          <w:rFonts w:ascii="Arial" w:hAnsi="Arial" w:cs="Arial"/>
          <w:sz w:val="18"/>
          <w:szCs w:val="18"/>
        </w:rPr>
        <w:t>de la Sección 1 del Capítulo 2 del Título 1 de la Parte 2 del Libro 2, así como los artículos </w:t>
      </w:r>
      <w:hyperlink r:id="rId2" w:anchor="2.2.1.2.4.2.2" w:history="1">
        <w:r w:rsidRPr="00C26B44">
          <w:rPr>
            <w:rStyle w:val="Hipervnculo"/>
            <w:rFonts w:ascii="Arial" w:hAnsi="Arial" w:cs="Arial"/>
            <w:color w:val="auto"/>
            <w:sz w:val="18"/>
            <w:szCs w:val="18"/>
            <w:u w:val="none"/>
          </w:rPr>
          <w:t>2.2.1.2.4.2.2</w:t>
        </w:r>
      </w:hyperlink>
      <w:r w:rsidRPr="00C26B44">
        <w:rPr>
          <w:rFonts w:ascii="Arial" w:hAnsi="Arial" w:cs="Arial"/>
          <w:sz w:val="18"/>
          <w:szCs w:val="18"/>
        </w:rPr>
        <w:t>., </w:t>
      </w:r>
      <w:hyperlink r:id="rId3" w:anchor="2.2.1.2.4.2.3" w:history="1">
        <w:r w:rsidRPr="00C26B44">
          <w:rPr>
            <w:rStyle w:val="Hipervnculo"/>
            <w:rFonts w:ascii="Arial" w:hAnsi="Arial" w:cs="Arial"/>
            <w:color w:val="auto"/>
            <w:sz w:val="18"/>
            <w:szCs w:val="18"/>
            <w:u w:val="none"/>
          </w:rPr>
          <w:t>2.2.1.2.4.2.3</w:t>
        </w:r>
      </w:hyperlink>
      <w:r w:rsidRPr="00C26B44">
        <w:rPr>
          <w:rFonts w:ascii="Arial" w:hAnsi="Arial" w:cs="Arial"/>
          <w:sz w:val="18"/>
          <w:szCs w:val="18"/>
        </w:rPr>
        <w:t>., </w:t>
      </w:r>
      <w:hyperlink r:id="rId4" w:anchor="2.2.1.2.4.2.4" w:history="1">
        <w:r w:rsidRPr="00C26B44">
          <w:rPr>
            <w:rStyle w:val="Hipervnculo"/>
            <w:rFonts w:ascii="Arial" w:hAnsi="Arial" w:cs="Arial"/>
            <w:color w:val="auto"/>
            <w:sz w:val="18"/>
            <w:szCs w:val="18"/>
            <w:u w:val="none"/>
          </w:rPr>
          <w:t>2.2.1.2.4.2.4</w:t>
        </w:r>
      </w:hyperlink>
      <w:r w:rsidRPr="00C26B44">
        <w:rPr>
          <w:rFonts w:ascii="Arial" w:hAnsi="Arial" w:cs="Arial"/>
          <w:sz w:val="18"/>
          <w:szCs w:val="18"/>
        </w:rPr>
        <w:t>., </w:t>
      </w:r>
      <w:hyperlink r:id="rId5" w:anchor="2.2.1.2.1.2.2" w:history="1">
        <w:r w:rsidRPr="00C26B44">
          <w:rPr>
            <w:rStyle w:val="Hipervnculo"/>
            <w:rFonts w:ascii="Arial" w:hAnsi="Arial" w:cs="Arial"/>
            <w:color w:val="auto"/>
            <w:sz w:val="18"/>
            <w:szCs w:val="18"/>
            <w:u w:val="none"/>
          </w:rPr>
          <w:t>2.2.1.2.1.2.2</w:t>
        </w:r>
      </w:hyperlink>
      <w:r w:rsidRPr="00C26B44">
        <w:rPr>
          <w:rFonts w:ascii="Arial" w:hAnsi="Arial" w:cs="Arial"/>
          <w:sz w:val="18"/>
          <w:szCs w:val="18"/>
        </w:rPr>
        <w:t xml:space="preserve"> y </w:t>
      </w:r>
      <w:hyperlink r:id="rId6" w:anchor="2.2.1.2.4.2.8" w:history="1">
        <w:r w:rsidRPr="00C26B44">
          <w:rPr>
            <w:rStyle w:val="Hipervnculo"/>
            <w:rFonts w:ascii="Arial" w:hAnsi="Arial" w:cs="Arial"/>
            <w:color w:val="auto"/>
            <w:sz w:val="18"/>
            <w:szCs w:val="18"/>
            <w:u w:val="none"/>
          </w:rPr>
          <w:t>2.2.1.2.4.2.8</w:t>
        </w:r>
      </w:hyperlink>
      <w:r w:rsidRPr="00C26B44">
        <w:rPr>
          <w:rFonts w:ascii="Arial" w:hAnsi="Arial" w:cs="Arial"/>
          <w:sz w:val="18"/>
          <w:szCs w:val="18"/>
        </w:rPr>
        <w:t>.; adiciona los artículos </w:t>
      </w:r>
      <w:hyperlink r:id="rId7" w:anchor="2.2.1.2.4.2.14" w:history="1">
        <w:r w:rsidRPr="00C26B44">
          <w:rPr>
            <w:rStyle w:val="Hipervnculo"/>
            <w:rFonts w:ascii="Arial" w:hAnsi="Arial" w:cs="Arial"/>
            <w:color w:val="auto"/>
            <w:sz w:val="18"/>
            <w:szCs w:val="18"/>
            <w:u w:val="none"/>
          </w:rPr>
          <w:t>2.2.1.2.4.2.14</w:t>
        </w:r>
      </w:hyperlink>
      <w:r w:rsidRPr="00C26B44">
        <w:rPr>
          <w:rFonts w:ascii="Arial" w:hAnsi="Arial" w:cs="Arial"/>
          <w:sz w:val="18"/>
          <w:szCs w:val="18"/>
        </w:rPr>
        <w:t>., </w:t>
      </w:r>
      <w:hyperlink r:id="rId8" w:anchor="2.2.1.2.4.2.15" w:history="1">
        <w:r w:rsidRPr="00C26B44">
          <w:rPr>
            <w:rStyle w:val="Hipervnculo"/>
            <w:rFonts w:ascii="Arial" w:hAnsi="Arial" w:cs="Arial"/>
            <w:color w:val="auto"/>
            <w:sz w:val="18"/>
            <w:szCs w:val="18"/>
            <w:u w:val="none"/>
          </w:rPr>
          <w:t>2.2.1.2.4.2.15</w:t>
        </w:r>
      </w:hyperlink>
      <w:r w:rsidRPr="00C26B44">
        <w:rPr>
          <w:rFonts w:ascii="Arial" w:hAnsi="Arial" w:cs="Arial"/>
          <w:sz w:val="18"/>
          <w:szCs w:val="18"/>
        </w:rPr>
        <w:t>., </w:t>
      </w:r>
      <w:hyperlink r:id="rId9" w:anchor="2.2.1.2.4.2.16" w:history="1">
        <w:r w:rsidRPr="00C26B44">
          <w:rPr>
            <w:rStyle w:val="Hipervnculo"/>
            <w:rFonts w:ascii="Arial" w:hAnsi="Arial" w:cs="Arial"/>
            <w:color w:val="auto"/>
            <w:sz w:val="18"/>
            <w:szCs w:val="18"/>
            <w:u w:val="none"/>
          </w:rPr>
          <w:t>2.2.1.2.4.2.16</w:t>
        </w:r>
      </w:hyperlink>
      <w:r w:rsidRPr="00C26B44">
        <w:rPr>
          <w:rFonts w:ascii="Arial" w:hAnsi="Arial" w:cs="Arial"/>
          <w:sz w:val="18"/>
          <w:szCs w:val="18"/>
        </w:rPr>
        <w:t>., </w:t>
      </w:r>
      <w:hyperlink r:id="rId10" w:anchor="2.2.1.2.4.2.17" w:history="1">
        <w:r w:rsidRPr="00C26B44">
          <w:rPr>
            <w:rStyle w:val="Hipervnculo"/>
            <w:rFonts w:ascii="Arial" w:hAnsi="Arial" w:cs="Arial"/>
            <w:color w:val="auto"/>
            <w:sz w:val="18"/>
            <w:szCs w:val="18"/>
            <w:u w:val="none"/>
          </w:rPr>
          <w:t>2.2.1.2.4.2.17</w:t>
        </w:r>
      </w:hyperlink>
      <w:r w:rsidRPr="00C26B44">
        <w:rPr>
          <w:rFonts w:ascii="Arial" w:hAnsi="Arial" w:cs="Arial"/>
          <w:sz w:val="18"/>
          <w:szCs w:val="18"/>
        </w:rPr>
        <w:t>. y </w:t>
      </w:r>
      <w:hyperlink r:id="rId11" w:anchor="2.2.1.2.4.2.18" w:history="1">
        <w:r w:rsidRPr="00C26B44">
          <w:rPr>
            <w:rStyle w:val="Hipervnculo"/>
            <w:rFonts w:ascii="Arial" w:hAnsi="Arial" w:cs="Arial"/>
            <w:color w:val="auto"/>
            <w:sz w:val="18"/>
            <w:szCs w:val="18"/>
            <w:u w:val="none"/>
          </w:rPr>
          <w:t>2.2.1.2.4.2.18</w:t>
        </w:r>
      </w:hyperlink>
      <w:r w:rsidRPr="00C26B44">
        <w:rPr>
          <w:rFonts w:ascii="Arial" w:hAnsi="Arial" w:cs="Arial"/>
          <w:sz w:val="18"/>
          <w:szCs w:val="18"/>
        </w:rPr>
        <w:t>.; adiciona un </w:t>
      </w:r>
      <w:hyperlink r:id="rId12" w:anchor="2.2.1.2.3.1.9.p" w:history="1">
        <w:r w:rsidRPr="00C26B44">
          <w:rPr>
            <w:rStyle w:val="Hipervnculo"/>
            <w:rFonts w:ascii="Arial" w:hAnsi="Arial" w:cs="Arial"/>
            <w:color w:val="auto"/>
            <w:sz w:val="18"/>
            <w:szCs w:val="18"/>
            <w:u w:val="none"/>
          </w:rPr>
          <w:t>parágrafo </w:t>
        </w:r>
      </w:hyperlink>
      <w:r w:rsidRPr="00C26B44">
        <w:rPr>
          <w:rFonts w:ascii="Arial" w:hAnsi="Arial" w:cs="Arial"/>
          <w:sz w:val="18"/>
          <w:szCs w:val="18"/>
        </w:rPr>
        <w:t>al artículo </w:t>
      </w:r>
      <w:hyperlink r:id="rId13" w:anchor="2.2.1.2.3.1.9" w:history="1">
        <w:r w:rsidRPr="00C26B44">
          <w:rPr>
            <w:rStyle w:val="Hipervnculo"/>
            <w:rFonts w:ascii="Arial" w:hAnsi="Arial" w:cs="Arial"/>
            <w:color w:val="auto"/>
            <w:sz w:val="18"/>
            <w:szCs w:val="18"/>
            <w:u w:val="none"/>
          </w:rPr>
          <w:t>2.2.1.2.3.1.9</w:t>
        </w:r>
      </w:hyperlink>
      <w:r w:rsidRPr="00C26B44">
        <w:rPr>
          <w:rFonts w:ascii="Arial" w:hAnsi="Arial" w:cs="Arial"/>
          <w:sz w:val="18"/>
          <w:szCs w:val="18"/>
        </w:rPr>
        <w:t>; y deroga el artículo </w:t>
      </w:r>
      <w:hyperlink r:id="rId14" w:anchor="2.2.1.1.2.2.9" w:history="1">
        <w:r w:rsidRPr="00C26B44">
          <w:rPr>
            <w:rStyle w:val="Hipervnculo"/>
            <w:rFonts w:ascii="Arial" w:hAnsi="Arial" w:cs="Arial"/>
            <w:color w:val="auto"/>
            <w:sz w:val="18"/>
            <w:szCs w:val="18"/>
            <w:u w:val="none"/>
          </w:rPr>
          <w:t>2.2.1.1.2.2.9</w:t>
        </w:r>
      </w:hyperlink>
      <w:r w:rsidRPr="00C26B44">
        <w:rPr>
          <w:rFonts w:ascii="Arial" w:hAnsi="Arial" w:cs="Arial"/>
          <w:sz w:val="18"/>
          <w:szCs w:val="18"/>
        </w:rPr>
        <w:t>. del Decreto 1082 de 2015, Único Reglamentario del Sector Administrativo de Planeación Nacional.</w:t>
      </w:r>
    </w:p>
    <w:p w14:paraId="4FA27402" w14:textId="77777777" w:rsidR="008378BE" w:rsidRPr="00C26B44" w:rsidRDefault="008378BE" w:rsidP="006B4DCA">
      <w:pPr>
        <w:pStyle w:val="NormalWeb"/>
        <w:shd w:val="clear" w:color="auto" w:fill="FFFFFF"/>
        <w:spacing w:before="0" w:beforeAutospacing="0" w:after="0" w:afterAutospacing="0"/>
        <w:jc w:val="both"/>
        <w:rPr>
          <w:rFonts w:ascii="Arial" w:hAnsi="Arial" w:cs="Arial"/>
          <w:sz w:val="18"/>
          <w:szCs w:val="18"/>
        </w:rPr>
      </w:pPr>
      <w:r w:rsidRPr="00C26B44">
        <w:rPr>
          <w:rFonts w:ascii="Arial" w:hAnsi="Arial" w:cs="Arial"/>
          <w:b/>
          <w:bCs/>
          <w:sz w:val="18"/>
          <w:szCs w:val="18"/>
        </w:rPr>
        <w:t> </w:t>
      </w:r>
      <w:r w:rsidRPr="00C26B44">
        <w:rPr>
          <w:rFonts w:ascii="Arial" w:hAnsi="Arial" w:cs="Arial"/>
          <w:b/>
          <w:bCs/>
          <w:sz w:val="18"/>
          <w:szCs w:val="18"/>
        </w:rPr>
        <w:tab/>
        <w:t>»</w:t>
      </w:r>
      <w:r w:rsidRPr="00C26B44">
        <w:rPr>
          <w:rFonts w:ascii="Arial" w:hAnsi="Arial" w:cs="Arial"/>
          <w:sz w:val="18"/>
          <w:szCs w:val="18"/>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26494BC4" w14:textId="77777777" w:rsidR="008378BE" w:rsidRPr="00C26B44" w:rsidRDefault="008378BE" w:rsidP="006B4DCA">
      <w:pPr>
        <w:pStyle w:val="NormalWeb"/>
        <w:shd w:val="clear" w:color="auto" w:fill="FFFFFF"/>
        <w:spacing w:before="0" w:beforeAutospacing="0" w:after="0" w:afterAutospacing="0"/>
        <w:jc w:val="both"/>
        <w:rPr>
          <w:rFonts w:ascii="Arial" w:hAnsi="Arial" w:cs="Arial"/>
          <w:sz w:val="18"/>
          <w:szCs w:val="18"/>
        </w:rPr>
      </w:pPr>
      <w:r w:rsidRPr="00C26B44">
        <w:rPr>
          <w:rFonts w:ascii="Arial" w:hAnsi="Arial" w:cs="Arial"/>
          <w:sz w:val="18"/>
          <w:szCs w:val="18"/>
        </w:rPr>
        <w:t> </w:t>
      </w:r>
      <w:r w:rsidRPr="00C26B44">
        <w:rPr>
          <w:rFonts w:ascii="Arial" w:hAnsi="Arial" w:cs="Arial"/>
          <w:sz w:val="18"/>
          <w:szCs w:val="18"/>
        </w:rPr>
        <w:tab/>
        <w:t>»La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footnote>
  <w:footnote w:id="16">
    <w:p w14:paraId="28F38426" w14:textId="77777777" w:rsidR="00476D28" w:rsidRPr="00C26B44" w:rsidRDefault="00476D28" w:rsidP="006B4DCA">
      <w:pPr>
        <w:pStyle w:val="NormalWeb"/>
        <w:spacing w:before="0" w:beforeAutospacing="0" w:after="0" w:afterAutospacing="0"/>
        <w:ind w:firstLine="709"/>
        <w:contextualSpacing/>
        <w:jc w:val="both"/>
        <w:rPr>
          <w:rFonts w:ascii="Arial" w:hAnsi="Arial" w:cs="Arial"/>
          <w:sz w:val="18"/>
          <w:szCs w:val="18"/>
          <w:lang w:val="es-ES"/>
        </w:rPr>
      </w:pPr>
      <w:r w:rsidRPr="00C26B44">
        <w:rPr>
          <w:rStyle w:val="Refdenotaalpie"/>
          <w:rFonts w:ascii="Arial" w:hAnsi="Arial" w:cs="Arial"/>
          <w:sz w:val="18"/>
          <w:szCs w:val="18"/>
        </w:rPr>
        <w:footnoteRef/>
      </w:r>
      <w:r w:rsidRPr="00C26B44">
        <w:rPr>
          <w:rStyle w:val="Refdenotaalpie"/>
          <w:rFonts w:ascii="Arial" w:hAnsi="Arial" w:cs="Arial"/>
          <w:sz w:val="18"/>
          <w:szCs w:val="18"/>
        </w:rPr>
        <w:t xml:space="preserve"> «</w:t>
      </w:r>
      <w:r w:rsidRPr="00C26B44">
        <w:rPr>
          <w:rFonts w:ascii="Arial" w:hAnsi="Arial" w:cs="Arial"/>
          <w:sz w:val="18"/>
          <w:szCs w:val="18"/>
          <w:lang w:val="es-ES"/>
        </w:rPr>
        <w:t>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212173A8" w14:textId="77777777" w:rsidR="00476D28" w:rsidRPr="00C26B44" w:rsidRDefault="00476D28" w:rsidP="006B4DCA">
      <w:pPr>
        <w:pStyle w:val="NormalWeb"/>
        <w:spacing w:before="0" w:beforeAutospacing="0" w:after="0" w:afterAutospacing="0"/>
        <w:ind w:firstLine="709"/>
        <w:contextualSpacing/>
        <w:jc w:val="both"/>
        <w:rPr>
          <w:rFonts w:ascii="Arial" w:hAnsi="Arial" w:cs="Arial"/>
          <w:sz w:val="18"/>
          <w:szCs w:val="18"/>
          <w:lang w:val="es-ES"/>
        </w:rPr>
      </w:pPr>
      <w:r w:rsidRPr="00C26B44">
        <w:rPr>
          <w:rFonts w:ascii="Arial" w:hAnsi="Arial" w:cs="Arial"/>
          <w:sz w:val="18"/>
          <w:szCs w:val="18"/>
          <w:lang w:val="es-ES"/>
        </w:rPr>
        <w:t>»Parágrafo Transitorio. </w:t>
      </w:r>
      <w:hyperlink r:id="rId15" w:tgtFrame="_blank" w:history="1">
        <w:r w:rsidR="003E792E">
          <w:rPr>
            <w:rStyle w:val="Hipervnculo"/>
            <w:lang w:eastAsia="es-ES_tradnl"/>
          </w:rPr>
          <w:t>https://colaboracion.dnp.gov.co/CDT/Normatividad/DECRETO 579 DEL 31 DE MAYO DE 2021.pdf</w:t>
        </w:r>
      </w:hyperlink>
      <w:r w:rsidRPr="00C26B44">
        <w:rPr>
          <w:rFonts w:ascii="Arial" w:hAnsi="Arial" w:cs="Arial"/>
          <w:sz w:val="18"/>
          <w:szCs w:val="18"/>
          <w:lang w:val="es-ES"/>
        </w:rPr>
        <w:t>De conformidad con los parágrafos transitorios de los artículos 2.2.1.1.1.5.2. y 2.2.1.1.1.5.6., yen desarrollo del deber de análisis de las Entidades Estatales, de que trata el artículo 2.2.1.1.1.6.1. de este Decreto, a partir del 1 de julio de 2021 las Entidades Estatales establecerán y evaluarán los requisitos habilitantes de capacidad financiera y organizacional teniendo en cuenta la información que conste en el Registro Único de Proponentes. En todo caso, se establecerán indicadores proporcionales al procedimiento de contratación.  </w:t>
      </w:r>
    </w:p>
    <w:p w14:paraId="1B5EC34F" w14:textId="77777777" w:rsidR="00476D28" w:rsidRPr="00C26B44" w:rsidRDefault="00476D28" w:rsidP="006B4DCA">
      <w:pPr>
        <w:pStyle w:val="NormalWeb"/>
        <w:spacing w:before="0" w:beforeAutospacing="0" w:after="0" w:afterAutospacing="0"/>
        <w:ind w:firstLine="709"/>
        <w:contextualSpacing/>
        <w:jc w:val="both"/>
        <w:rPr>
          <w:rFonts w:ascii="Arial" w:hAnsi="Arial" w:cs="Arial"/>
          <w:sz w:val="18"/>
          <w:szCs w:val="18"/>
          <w:lang w:val="es-ES"/>
        </w:rPr>
      </w:pPr>
      <w:r w:rsidRPr="00C26B44">
        <w:rPr>
          <w:rFonts w:ascii="Arial" w:hAnsi="Arial" w:cs="Arial"/>
          <w:sz w:val="18"/>
          <w:szCs w:val="18"/>
          <w:lang w:val="es-ES"/>
        </w:rPr>
        <w:t>»Para ello, atendiendo a las condiciones aludidas, en relación con los indicadores de la capacidad financiera y organizacional, de los procesos de selección cuyo acto administrativo de apertura o invitación se publique a partir del 1 de julio de 2021, se tendrá en cuenta la información vigente y en firme en el RUP, por lo que las Entidades Estatales evaluarán estos índicadores, teniendo en cuenta el mejor año fiscal que se refleje en el regístro de cada proponente​».</w:t>
      </w:r>
    </w:p>
    <w:p w14:paraId="1D7767EC" w14:textId="77777777" w:rsidR="00476D28" w:rsidRPr="00C26B44" w:rsidRDefault="00476D28" w:rsidP="006B4DCA">
      <w:pPr>
        <w:pStyle w:val="NormalWeb"/>
        <w:spacing w:before="0" w:beforeAutospacing="0" w:after="0" w:afterAutospacing="0"/>
        <w:ind w:firstLine="709"/>
        <w:contextualSpacing/>
        <w:jc w:val="both"/>
        <w:rPr>
          <w:rStyle w:val="Refdenotaalpie"/>
          <w:rFonts w:ascii="Arial" w:hAnsi="Arial" w:cs="Arial"/>
          <w:sz w:val="18"/>
          <w:szCs w:val="18"/>
        </w:rPr>
      </w:pPr>
    </w:p>
  </w:footnote>
  <w:footnote w:id="17">
    <w:p w14:paraId="3AFDD4B1" w14:textId="2A979FE6" w:rsidR="00AE3664" w:rsidRPr="00C26B44" w:rsidRDefault="00AE3664" w:rsidP="006B4DCA">
      <w:pPr>
        <w:pStyle w:val="Textonotapie"/>
        <w:ind w:firstLine="708"/>
        <w:jc w:val="both"/>
        <w:rPr>
          <w:rFonts w:ascii="Arial" w:hAnsi="Arial" w:cs="Arial"/>
          <w:color w:val="000000"/>
          <w:sz w:val="18"/>
          <w:szCs w:val="18"/>
        </w:rPr>
      </w:pPr>
      <w:r w:rsidRPr="00C26B44">
        <w:rPr>
          <w:rStyle w:val="Refdenotaalpie"/>
          <w:rFonts w:ascii="Arial" w:hAnsi="Arial" w:cs="Arial"/>
          <w:sz w:val="18"/>
          <w:szCs w:val="18"/>
        </w:rPr>
        <w:footnoteRef/>
      </w:r>
      <w:r w:rsidRPr="00C26B44">
        <w:rPr>
          <w:rFonts w:ascii="Arial" w:hAnsi="Arial" w:cs="Arial"/>
          <w:sz w:val="18"/>
          <w:szCs w:val="18"/>
        </w:rPr>
        <w:t xml:space="preserve"> </w:t>
      </w:r>
      <w:r w:rsidRPr="00C26B44">
        <w:rPr>
          <w:rFonts w:ascii="Arial" w:hAnsi="Arial" w:cs="Arial"/>
          <w:color w:val="000000"/>
          <w:sz w:val="18"/>
          <w:szCs w:val="18"/>
        </w:rPr>
        <w:t xml:space="preserve">ARTÍCULO 2.2.1.2.4.2.14. Definición de emprendimientos y empresas de mujeres. Con el propósito de adoptar medidas afirmativas que incentiven la participación de las mujeres en el sistema de compras públicas, se entenderán como emprendimientos y empresas de mujeres aquellas que cumplan con alguna de las siguientes condiciones: </w:t>
      </w:r>
    </w:p>
    <w:p w14:paraId="1CE2ACA8" w14:textId="5F5A5340" w:rsidR="00AE3664" w:rsidRPr="00C26B44" w:rsidRDefault="00AE3664" w:rsidP="006B4DCA">
      <w:pPr>
        <w:pStyle w:val="Textonotapie"/>
        <w:ind w:firstLine="708"/>
        <w:jc w:val="both"/>
        <w:rPr>
          <w:rFonts w:ascii="Arial" w:hAnsi="Arial" w:cs="Arial"/>
          <w:color w:val="000000"/>
          <w:sz w:val="18"/>
          <w:szCs w:val="18"/>
        </w:rPr>
      </w:pPr>
      <w:r w:rsidRPr="00C26B44">
        <w:rPr>
          <w:rFonts w:ascii="Arial" w:hAnsi="Arial" w:cs="Arial"/>
          <w:color w:val="000000"/>
          <w:sz w:val="18"/>
          <w:szCs w:val="18"/>
        </w:rPr>
        <w:t xml:space="preserve">1. 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 </w:t>
      </w:r>
    </w:p>
    <w:p w14:paraId="423E57D1" w14:textId="1AFC4940" w:rsidR="00AE3664" w:rsidRPr="00C26B44" w:rsidRDefault="00AE3664" w:rsidP="006B4DCA">
      <w:pPr>
        <w:pStyle w:val="Textonotapie"/>
        <w:ind w:firstLine="708"/>
        <w:jc w:val="both"/>
        <w:rPr>
          <w:rFonts w:ascii="Arial" w:hAnsi="Arial" w:cs="Arial"/>
          <w:color w:val="000000"/>
          <w:sz w:val="18"/>
          <w:szCs w:val="18"/>
        </w:rPr>
      </w:pPr>
      <w:r w:rsidRPr="00C26B44">
        <w:rPr>
          <w:rFonts w:ascii="Arial" w:hAnsi="Arial" w:cs="Arial"/>
          <w:color w:val="000000"/>
          <w:sz w:val="18"/>
          <w:szCs w:val="18"/>
        </w:rPr>
        <w:t xml:space="preserve">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 </w:t>
      </w:r>
    </w:p>
    <w:p w14:paraId="67E5683B" w14:textId="7BD50537" w:rsidR="00AE3664" w:rsidRPr="00C26B44" w:rsidRDefault="00AE3664" w:rsidP="006B4DCA">
      <w:pPr>
        <w:pStyle w:val="Textonotapie"/>
        <w:ind w:firstLine="708"/>
        <w:jc w:val="both"/>
        <w:rPr>
          <w:rFonts w:ascii="Arial" w:hAnsi="Arial" w:cs="Arial"/>
          <w:color w:val="000000"/>
          <w:sz w:val="18"/>
          <w:szCs w:val="18"/>
        </w:rPr>
      </w:pPr>
      <w:r w:rsidRPr="00C26B44">
        <w:rPr>
          <w:rFonts w:ascii="Arial" w:hAnsi="Arial" w:cs="Arial"/>
          <w:color w:val="000000"/>
          <w:sz w:val="18"/>
          <w:szCs w:val="18"/>
        </w:rPr>
        <w:t xml:space="preserve">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 </w:t>
      </w:r>
    </w:p>
    <w:p w14:paraId="3E16885D" w14:textId="69573B40" w:rsidR="00AE3664" w:rsidRPr="00C26B44" w:rsidRDefault="00AE3664" w:rsidP="006B4DCA">
      <w:pPr>
        <w:pStyle w:val="Textonotapie"/>
        <w:ind w:firstLine="708"/>
        <w:jc w:val="both"/>
        <w:rPr>
          <w:rFonts w:ascii="Arial" w:hAnsi="Arial" w:cs="Arial"/>
          <w:color w:val="000000"/>
          <w:sz w:val="18"/>
          <w:szCs w:val="18"/>
        </w:rPr>
      </w:pPr>
      <w:r w:rsidRPr="00C26B44">
        <w:rPr>
          <w:rFonts w:ascii="Arial" w:hAnsi="Arial" w:cs="Arial"/>
          <w:color w:val="000000"/>
          <w:sz w:val="18"/>
          <w:szCs w:val="18"/>
        </w:rPr>
        <w:t xml:space="preserve">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 </w:t>
      </w:r>
    </w:p>
    <w:p w14:paraId="7DCBBB26" w14:textId="408475E4" w:rsidR="00AE3664" w:rsidRPr="00C26B44" w:rsidRDefault="00AE3664" w:rsidP="006B4DCA">
      <w:pPr>
        <w:pStyle w:val="Textonotapie"/>
        <w:ind w:firstLine="708"/>
        <w:jc w:val="both"/>
        <w:rPr>
          <w:rFonts w:ascii="Arial" w:hAnsi="Arial" w:cs="Arial"/>
          <w:color w:val="000000"/>
          <w:sz w:val="18"/>
          <w:szCs w:val="18"/>
        </w:rPr>
      </w:pPr>
      <w:r w:rsidRPr="00C26B44">
        <w:rPr>
          <w:rFonts w:ascii="Arial" w:hAnsi="Arial" w:cs="Arial"/>
          <w:color w:val="000000"/>
          <w:sz w:val="18"/>
          <w:szCs w:val="18"/>
        </w:rPr>
        <w:t xml:space="preserve">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 </w:t>
      </w:r>
    </w:p>
    <w:p w14:paraId="4F4A9B57" w14:textId="4B242D0A" w:rsidR="00AE3664" w:rsidRPr="00C26B44" w:rsidRDefault="00AE3664" w:rsidP="006B4DCA">
      <w:pPr>
        <w:pStyle w:val="Textonotapie"/>
        <w:ind w:firstLine="708"/>
        <w:jc w:val="both"/>
        <w:rPr>
          <w:rFonts w:ascii="Arial" w:hAnsi="Arial" w:cs="Arial"/>
          <w:color w:val="000000"/>
          <w:sz w:val="18"/>
          <w:szCs w:val="18"/>
        </w:rPr>
      </w:pPr>
      <w:r w:rsidRPr="00C26B44">
        <w:rPr>
          <w:rFonts w:ascii="Arial" w:hAnsi="Arial" w:cs="Arial"/>
          <w:color w:val="000000"/>
          <w:sz w:val="18"/>
          <w:szCs w:val="18"/>
        </w:rPr>
        <w:t xml:space="preserve">3. 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 </w:t>
      </w:r>
    </w:p>
    <w:p w14:paraId="57A65449" w14:textId="2AE259EB" w:rsidR="00AE3664" w:rsidRPr="00C26B44" w:rsidRDefault="00AE3664" w:rsidP="006B4DCA">
      <w:pPr>
        <w:pStyle w:val="Textonotapie"/>
        <w:ind w:firstLine="708"/>
        <w:jc w:val="both"/>
        <w:rPr>
          <w:rFonts w:ascii="Arial" w:hAnsi="Arial" w:cs="Arial"/>
          <w:color w:val="000000"/>
          <w:sz w:val="18"/>
          <w:szCs w:val="18"/>
        </w:rPr>
      </w:pPr>
      <w:r w:rsidRPr="00C26B44">
        <w:rPr>
          <w:rFonts w:ascii="Arial" w:hAnsi="Arial" w:cs="Arial"/>
          <w:color w:val="000000"/>
          <w:sz w:val="18"/>
          <w:szCs w:val="18"/>
        </w:rPr>
        <w:t xml:space="preserve">4. Para las asociaciones y cooperativas, cuando más del cincuenta por ciento (50%) de los asociados sean mujeres y la participación haya correspondido a estas durante al menos el último año anterior a la fecha de cierre del Proceso de Selección. Esta circunstancia se acreditará mediante certificación expedida por el representante legal. </w:t>
      </w:r>
    </w:p>
    <w:p w14:paraId="4618F660" w14:textId="48A061B7" w:rsidR="00AE3664" w:rsidRPr="00C26B44" w:rsidRDefault="00AE3664" w:rsidP="006B4DCA">
      <w:pPr>
        <w:pStyle w:val="Textonotapie"/>
        <w:ind w:firstLine="708"/>
        <w:jc w:val="both"/>
        <w:rPr>
          <w:rFonts w:ascii="Arial" w:hAnsi="Arial" w:cs="Arial"/>
          <w:color w:val="000000"/>
          <w:sz w:val="18"/>
          <w:szCs w:val="18"/>
        </w:rPr>
      </w:pPr>
      <w:r w:rsidRPr="00C26B44">
        <w:rPr>
          <w:rFonts w:ascii="Arial" w:hAnsi="Arial" w:cs="Arial"/>
          <w:color w:val="000000"/>
          <w:sz w:val="18"/>
          <w:szCs w:val="18"/>
        </w:rPr>
        <w:t>PARÁGRAFO.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w:t>
      </w:r>
    </w:p>
    <w:p w14:paraId="4BD17F0C" w14:textId="77777777" w:rsidR="00BD4570" w:rsidRPr="00C26B44" w:rsidRDefault="00BD4570" w:rsidP="006B4DCA">
      <w:pPr>
        <w:pStyle w:val="Textonotapie"/>
        <w:ind w:firstLine="708"/>
        <w:jc w:val="both"/>
        <w:rPr>
          <w:rFonts w:ascii="Arial" w:hAnsi="Arial" w:cs="Arial"/>
          <w:color w:val="000000"/>
          <w:sz w:val="18"/>
          <w:szCs w:val="18"/>
        </w:rPr>
      </w:pPr>
    </w:p>
  </w:footnote>
  <w:footnote w:id="18">
    <w:p w14:paraId="70322306" w14:textId="77777777" w:rsidR="008378BE" w:rsidRPr="00C26B44" w:rsidRDefault="008378BE" w:rsidP="006B4DCA">
      <w:pPr>
        <w:pStyle w:val="Textonotapie"/>
        <w:ind w:firstLine="709"/>
        <w:jc w:val="both"/>
        <w:rPr>
          <w:rFonts w:ascii="Arial" w:hAnsi="Arial" w:cs="Arial"/>
          <w:sz w:val="18"/>
          <w:szCs w:val="18"/>
        </w:rPr>
      </w:pPr>
      <w:r w:rsidRPr="00C26B44">
        <w:rPr>
          <w:rStyle w:val="Refdenotaalpie"/>
          <w:rFonts w:ascii="Arial" w:hAnsi="Arial" w:cs="Arial"/>
          <w:sz w:val="18"/>
          <w:szCs w:val="18"/>
        </w:rPr>
        <w:footnoteRef/>
      </w:r>
      <w:r w:rsidRPr="00C26B44">
        <w:rPr>
          <w:rFonts w:ascii="Arial" w:hAnsi="Arial" w:cs="Arial"/>
          <w:sz w:val="18"/>
          <w:szCs w:val="18"/>
        </w:rPr>
        <w:t xml:space="preserve"> Decreto 1082 de 2015, adicionado por el Decreto 1860 de 2021: «Artículo 2.2.1.2.4.2.15. Criterios diferenciales para emprendimientos y empresas de mujeres en el sistema de compras públicas. En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 </w:t>
      </w:r>
    </w:p>
    <w:p w14:paraId="4E7698D0" w14:textId="77777777" w:rsidR="008378BE" w:rsidRPr="00C26B44" w:rsidRDefault="008378BE" w:rsidP="006B4DCA">
      <w:pPr>
        <w:pStyle w:val="Textonotapie"/>
        <w:ind w:firstLine="709"/>
        <w:jc w:val="both"/>
        <w:rPr>
          <w:rFonts w:ascii="Arial" w:hAnsi="Arial" w:cs="Arial"/>
          <w:sz w:val="18"/>
          <w:szCs w:val="18"/>
        </w:rPr>
      </w:pPr>
      <w:r w:rsidRPr="00C26B44">
        <w:rPr>
          <w:rFonts w:ascii="Arial" w:hAnsi="Arial" w:cs="Arial"/>
          <w:sz w:val="18"/>
          <w:szCs w:val="18"/>
        </w:rPr>
        <w:t xml:space="preserve">»1. Tiempo de experiencia. </w:t>
      </w:r>
    </w:p>
    <w:p w14:paraId="36D13250" w14:textId="77777777" w:rsidR="008378BE" w:rsidRPr="00C26B44" w:rsidRDefault="008378BE" w:rsidP="006B4DCA">
      <w:pPr>
        <w:pStyle w:val="Textonotapie"/>
        <w:ind w:firstLine="709"/>
        <w:jc w:val="both"/>
        <w:rPr>
          <w:rFonts w:ascii="Arial" w:hAnsi="Arial" w:cs="Arial"/>
          <w:sz w:val="18"/>
          <w:szCs w:val="18"/>
        </w:rPr>
      </w:pPr>
      <w:r w:rsidRPr="00C26B44">
        <w:rPr>
          <w:rFonts w:ascii="Arial" w:hAnsi="Arial" w:cs="Arial"/>
          <w:sz w:val="18"/>
          <w:szCs w:val="18"/>
        </w:rPr>
        <w:t xml:space="preserve">»2. Número de contratos para la acreditación de la experiencia. </w:t>
      </w:r>
    </w:p>
    <w:p w14:paraId="1283FD3C" w14:textId="77777777" w:rsidR="008378BE" w:rsidRPr="00C26B44" w:rsidRDefault="008378BE" w:rsidP="006B4DCA">
      <w:pPr>
        <w:pStyle w:val="Textonotapie"/>
        <w:ind w:firstLine="709"/>
        <w:jc w:val="both"/>
        <w:rPr>
          <w:rFonts w:ascii="Arial" w:hAnsi="Arial" w:cs="Arial"/>
          <w:sz w:val="18"/>
          <w:szCs w:val="18"/>
        </w:rPr>
      </w:pPr>
      <w:r w:rsidRPr="00C26B44">
        <w:rPr>
          <w:rFonts w:ascii="Arial" w:hAnsi="Arial" w:cs="Arial"/>
          <w:sz w:val="18"/>
          <w:szCs w:val="18"/>
        </w:rPr>
        <w:t xml:space="preserve">»3. Índices de capacidad financiera. </w:t>
      </w:r>
    </w:p>
    <w:p w14:paraId="6C9695ED" w14:textId="77777777" w:rsidR="008378BE" w:rsidRPr="00C26B44" w:rsidRDefault="008378BE" w:rsidP="006B4DCA">
      <w:pPr>
        <w:pStyle w:val="Textonotapie"/>
        <w:ind w:firstLine="709"/>
        <w:jc w:val="both"/>
        <w:rPr>
          <w:rFonts w:ascii="Arial" w:hAnsi="Arial" w:cs="Arial"/>
          <w:sz w:val="18"/>
          <w:szCs w:val="18"/>
        </w:rPr>
      </w:pPr>
      <w:r w:rsidRPr="00C26B44">
        <w:rPr>
          <w:rFonts w:ascii="Arial" w:hAnsi="Arial" w:cs="Arial"/>
          <w:sz w:val="18"/>
          <w:szCs w:val="18"/>
        </w:rPr>
        <w:t xml:space="preserve">»4. Índices de capacidad organizacional. </w:t>
      </w:r>
    </w:p>
    <w:p w14:paraId="6802889A" w14:textId="77777777" w:rsidR="008378BE" w:rsidRPr="00C26B44" w:rsidRDefault="008378BE" w:rsidP="006B4DCA">
      <w:pPr>
        <w:pStyle w:val="Textonotapie"/>
        <w:ind w:firstLine="709"/>
        <w:jc w:val="both"/>
        <w:rPr>
          <w:rFonts w:ascii="Arial" w:hAnsi="Arial" w:cs="Arial"/>
          <w:sz w:val="18"/>
          <w:szCs w:val="18"/>
        </w:rPr>
      </w:pPr>
      <w:r w:rsidRPr="00C26B44">
        <w:rPr>
          <w:rFonts w:ascii="Arial" w:hAnsi="Arial" w:cs="Arial"/>
          <w:sz w:val="18"/>
          <w:szCs w:val="18"/>
        </w:rPr>
        <w:t xml:space="preserve">»5. Valor de la garantía de seriedad de la oferta. </w:t>
      </w:r>
    </w:p>
    <w:p w14:paraId="443F5E2D" w14:textId="77777777" w:rsidR="008378BE" w:rsidRPr="00C26B44" w:rsidRDefault="008378BE" w:rsidP="006B4DCA">
      <w:pPr>
        <w:pStyle w:val="Textonotapie"/>
        <w:ind w:firstLine="709"/>
        <w:jc w:val="both"/>
        <w:rPr>
          <w:rFonts w:ascii="Arial" w:hAnsi="Arial" w:cs="Arial"/>
          <w:sz w:val="18"/>
          <w:szCs w:val="18"/>
        </w:rPr>
      </w:pPr>
      <w:r w:rsidRPr="00C26B44">
        <w:rPr>
          <w:rFonts w:ascii="Arial" w:hAnsi="Arial" w:cs="Arial"/>
          <w:sz w:val="18"/>
          <w:szCs w:val="18"/>
        </w:rPr>
        <w:t xml:space="preserve"> » Los requisitos mencionados deberán fijarse respetando las condiciones habilitantes requeridas para el cumplimiento adecuado del contrato, teniendo en cuenta el alcance de las obligaciones. En desarrollo de lo anterior, con la finalidad de beneficiar a las empresas y emprendimientos de mujeres, se establecerán condiciones más exigentes respecto a alguno o algunos de los criterios de participación antes enunciados frente a los demás proponentes que concurran al procedimiento de selección que no sean empresas o emprendimientos de mujeres. </w:t>
      </w:r>
    </w:p>
    <w:p w14:paraId="4E0CC335" w14:textId="77777777" w:rsidR="008378BE" w:rsidRPr="00C26B44" w:rsidRDefault="008378BE" w:rsidP="006B4DCA">
      <w:pPr>
        <w:pStyle w:val="Textonotapie"/>
        <w:ind w:firstLine="709"/>
        <w:jc w:val="both"/>
        <w:rPr>
          <w:rFonts w:ascii="Arial" w:hAnsi="Arial" w:cs="Arial"/>
          <w:sz w:val="18"/>
          <w:szCs w:val="18"/>
        </w:rPr>
      </w:pPr>
      <w:r w:rsidRPr="00C26B44">
        <w:rPr>
          <w:rFonts w:ascii="Arial" w:hAnsi="Arial" w:cs="Arial"/>
          <w:sz w:val="18"/>
          <w:szCs w:val="18"/>
        </w:rPr>
        <w:t xml:space="preserve">»De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 </w:t>
      </w:r>
    </w:p>
    <w:p w14:paraId="5AA9A071" w14:textId="77777777" w:rsidR="008378BE" w:rsidRPr="00C26B44" w:rsidRDefault="008378BE" w:rsidP="006B4DCA">
      <w:pPr>
        <w:pStyle w:val="Textonotapie"/>
        <w:ind w:firstLine="709"/>
        <w:jc w:val="both"/>
        <w:rPr>
          <w:rFonts w:ascii="Arial" w:hAnsi="Arial" w:cs="Arial"/>
          <w:sz w:val="18"/>
          <w:szCs w:val="18"/>
        </w:rPr>
      </w:pPr>
      <w:r w:rsidRPr="00C26B44">
        <w:rPr>
          <w:rFonts w:ascii="Arial" w:hAnsi="Arial" w:cs="Arial"/>
          <w:sz w:val="18"/>
          <w:szCs w:val="18"/>
        </w:rPr>
        <w:t xml:space="preserve">»Las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w:t>
      </w:r>
    </w:p>
    <w:p w14:paraId="387D073D" w14:textId="77777777" w:rsidR="008378BE" w:rsidRPr="00C26B44" w:rsidRDefault="008378BE" w:rsidP="006B4DCA">
      <w:pPr>
        <w:pStyle w:val="Textonotapie"/>
        <w:ind w:firstLine="709"/>
        <w:jc w:val="both"/>
        <w:rPr>
          <w:rFonts w:ascii="Arial" w:hAnsi="Arial" w:cs="Arial"/>
          <w:sz w:val="18"/>
          <w:szCs w:val="18"/>
        </w:rPr>
      </w:pPr>
      <w:r w:rsidRPr="00C26B44">
        <w:rPr>
          <w:rFonts w:ascii="Arial" w:hAnsi="Arial" w:cs="Arial"/>
          <w:sz w:val="18"/>
          <w:szCs w:val="18"/>
        </w:rPr>
        <w:t xml:space="preserve">»Parágrafo 1.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 </w:t>
      </w:r>
    </w:p>
    <w:p w14:paraId="2F8B7020" w14:textId="77777777" w:rsidR="008378BE" w:rsidRPr="00C26B44" w:rsidRDefault="008378BE" w:rsidP="006B4DCA">
      <w:pPr>
        <w:pStyle w:val="Textonotapie"/>
        <w:ind w:firstLine="709"/>
        <w:jc w:val="both"/>
        <w:rPr>
          <w:rFonts w:ascii="Arial" w:hAnsi="Arial" w:cs="Arial"/>
          <w:sz w:val="18"/>
          <w:szCs w:val="18"/>
        </w:rPr>
      </w:pPr>
      <w:r w:rsidRPr="00C26B44">
        <w:rPr>
          <w:rFonts w:ascii="Arial" w:hAnsi="Arial" w:cs="Arial"/>
          <w:sz w:val="18"/>
          <w:szCs w:val="18"/>
        </w:rPr>
        <w:t xml:space="preserve">»Parágrafo 2. Los incentivos contractuales para las empresas y emprendimientos de mujeres no excluyen la aplicación de los criterios diferenciales para Mipyme en el sistema de compras públicas».  </w:t>
      </w:r>
    </w:p>
  </w:footnote>
  <w:footnote w:id="19">
    <w:p w14:paraId="148F1E95" w14:textId="77777777" w:rsidR="008377B4" w:rsidRPr="00C26B44" w:rsidRDefault="008377B4" w:rsidP="006B4DCA">
      <w:pPr>
        <w:pStyle w:val="Textonotapie"/>
        <w:ind w:firstLine="708"/>
        <w:jc w:val="both"/>
        <w:rPr>
          <w:rFonts w:ascii="Arial" w:hAnsi="Arial" w:cs="Arial"/>
          <w:sz w:val="18"/>
          <w:szCs w:val="18"/>
        </w:rPr>
      </w:pPr>
    </w:p>
    <w:p w14:paraId="24F93C23" w14:textId="294D37B2" w:rsidR="008377B4" w:rsidRPr="00C26B44" w:rsidRDefault="008377B4" w:rsidP="006B4DCA">
      <w:pPr>
        <w:pStyle w:val="Textonotapie"/>
        <w:ind w:firstLine="708"/>
        <w:jc w:val="both"/>
        <w:rPr>
          <w:rFonts w:ascii="Arial" w:hAnsi="Arial" w:cs="Arial"/>
          <w:color w:val="000000"/>
          <w:sz w:val="18"/>
          <w:szCs w:val="18"/>
        </w:rPr>
      </w:pPr>
      <w:r w:rsidRPr="00C26B44">
        <w:rPr>
          <w:rStyle w:val="Refdenotaalpie"/>
          <w:rFonts w:ascii="Arial" w:hAnsi="Arial" w:cs="Arial"/>
          <w:sz w:val="18"/>
          <w:szCs w:val="18"/>
        </w:rPr>
        <w:footnoteRef/>
      </w:r>
      <w:r w:rsidRPr="00C26B44">
        <w:rPr>
          <w:rFonts w:ascii="Arial" w:hAnsi="Arial" w:cs="Arial"/>
          <w:sz w:val="18"/>
          <w:szCs w:val="18"/>
        </w:rPr>
        <w:t xml:space="preserve"> </w:t>
      </w:r>
      <w:r w:rsidRPr="00C26B44">
        <w:rPr>
          <w:rFonts w:ascii="Arial" w:hAnsi="Arial" w:cs="Arial"/>
          <w:color w:val="000000"/>
          <w:sz w:val="18"/>
          <w:szCs w:val="18"/>
        </w:rPr>
        <w:t xml:space="preserve">ARTÍCULO 2.2.1.2.4.2.18. Criterios diferenciales para Mipyme en el sistema de compras públicas. De acuerdo con el numeral 1 del artículo 12 de la Ley 590 de 2000, según los resultados del análisis del sector, las Entidades Estatales indistintamente de su régimen de contratación, los patrimonios autónomos constituidos por Entidades Estatales y los particulares que ejecuten recursos públicos establecerán condiciones habilitantes diferenciales que promuevan y faciliten la participación en los procedimientos de selección competitivos de las Mipyme domiciliadas en Colombia. Para el efecto, en función de los criterios de clasificación empresarial, los Documentos del Proceso deberán incorporar requisitos habilitantes diferenciales relacionados con alguno o algunos de los siguientes aspectos: </w:t>
      </w:r>
    </w:p>
    <w:p w14:paraId="75ABECD7" w14:textId="6299FD46" w:rsidR="008377B4" w:rsidRPr="00C26B44" w:rsidRDefault="008377B4" w:rsidP="006B4DCA">
      <w:pPr>
        <w:pStyle w:val="Textonotapie"/>
        <w:ind w:firstLine="708"/>
        <w:jc w:val="both"/>
        <w:rPr>
          <w:rFonts w:ascii="Arial" w:hAnsi="Arial" w:cs="Arial"/>
          <w:color w:val="000000"/>
          <w:sz w:val="18"/>
          <w:szCs w:val="18"/>
        </w:rPr>
      </w:pPr>
      <w:r w:rsidRPr="00C26B44">
        <w:rPr>
          <w:rFonts w:ascii="Arial" w:hAnsi="Arial" w:cs="Arial"/>
          <w:color w:val="000000"/>
          <w:sz w:val="18"/>
          <w:szCs w:val="18"/>
        </w:rPr>
        <w:t xml:space="preserve">1. Tiempo de experiencia. </w:t>
      </w:r>
    </w:p>
    <w:p w14:paraId="1A7AD540" w14:textId="017A9672" w:rsidR="008377B4" w:rsidRPr="00C26B44" w:rsidRDefault="008377B4" w:rsidP="006B4DCA">
      <w:pPr>
        <w:pStyle w:val="Textonotapie"/>
        <w:ind w:firstLine="708"/>
        <w:jc w:val="both"/>
        <w:rPr>
          <w:rFonts w:ascii="Arial" w:hAnsi="Arial" w:cs="Arial"/>
          <w:color w:val="000000"/>
          <w:sz w:val="18"/>
          <w:szCs w:val="18"/>
        </w:rPr>
      </w:pPr>
      <w:r w:rsidRPr="00C26B44">
        <w:rPr>
          <w:rFonts w:ascii="Arial" w:hAnsi="Arial" w:cs="Arial"/>
          <w:color w:val="000000"/>
          <w:sz w:val="18"/>
          <w:szCs w:val="18"/>
        </w:rPr>
        <w:t xml:space="preserve">2. Número de contratos para la acreditación de la experiencia. </w:t>
      </w:r>
    </w:p>
    <w:p w14:paraId="01FCBA7A" w14:textId="1217B885" w:rsidR="008377B4" w:rsidRPr="00C26B44" w:rsidRDefault="008377B4" w:rsidP="006B4DCA">
      <w:pPr>
        <w:pStyle w:val="Textonotapie"/>
        <w:ind w:firstLine="708"/>
        <w:jc w:val="both"/>
        <w:rPr>
          <w:rFonts w:ascii="Arial" w:hAnsi="Arial" w:cs="Arial"/>
          <w:color w:val="000000"/>
          <w:sz w:val="18"/>
          <w:szCs w:val="18"/>
        </w:rPr>
      </w:pPr>
      <w:r w:rsidRPr="00C26B44">
        <w:rPr>
          <w:rFonts w:ascii="Arial" w:hAnsi="Arial" w:cs="Arial"/>
          <w:color w:val="000000"/>
          <w:sz w:val="18"/>
          <w:szCs w:val="18"/>
        </w:rPr>
        <w:t xml:space="preserve">3. Índices de capacidad financiera. </w:t>
      </w:r>
    </w:p>
    <w:p w14:paraId="14D18DA6" w14:textId="23AB164B" w:rsidR="008377B4" w:rsidRPr="00C26B44" w:rsidRDefault="008377B4" w:rsidP="006B4DCA">
      <w:pPr>
        <w:pStyle w:val="Textonotapie"/>
        <w:ind w:firstLine="708"/>
        <w:jc w:val="both"/>
        <w:rPr>
          <w:rFonts w:ascii="Arial" w:hAnsi="Arial" w:cs="Arial"/>
          <w:color w:val="000000"/>
          <w:sz w:val="18"/>
          <w:szCs w:val="18"/>
        </w:rPr>
      </w:pPr>
      <w:r w:rsidRPr="00C26B44">
        <w:rPr>
          <w:rFonts w:ascii="Arial" w:hAnsi="Arial" w:cs="Arial"/>
          <w:color w:val="000000"/>
          <w:sz w:val="18"/>
          <w:szCs w:val="18"/>
        </w:rPr>
        <w:t xml:space="preserve">4. Índices de capacidad organizacional. </w:t>
      </w:r>
    </w:p>
    <w:p w14:paraId="1B1BD71B" w14:textId="4D8BEC25" w:rsidR="008377B4" w:rsidRPr="00C26B44" w:rsidRDefault="008377B4" w:rsidP="006B4DCA">
      <w:pPr>
        <w:pStyle w:val="Textonotapie"/>
        <w:ind w:firstLine="708"/>
        <w:jc w:val="both"/>
        <w:rPr>
          <w:rFonts w:ascii="Arial" w:hAnsi="Arial" w:cs="Arial"/>
          <w:color w:val="000000"/>
          <w:sz w:val="18"/>
          <w:szCs w:val="18"/>
        </w:rPr>
      </w:pPr>
      <w:r w:rsidRPr="00C26B44">
        <w:rPr>
          <w:rFonts w:ascii="Arial" w:hAnsi="Arial" w:cs="Arial"/>
          <w:color w:val="000000"/>
          <w:sz w:val="18"/>
          <w:szCs w:val="18"/>
        </w:rPr>
        <w:t xml:space="preserve">5. Valor de la garantía de seriedad de la oferta. </w:t>
      </w:r>
    </w:p>
    <w:p w14:paraId="2DC46A7F" w14:textId="4766ABC7" w:rsidR="008377B4" w:rsidRPr="00C26B44" w:rsidRDefault="008377B4" w:rsidP="006B4DCA">
      <w:pPr>
        <w:pStyle w:val="Textonotapie"/>
        <w:ind w:firstLine="708"/>
        <w:jc w:val="both"/>
        <w:rPr>
          <w:rFonts w:ascii="Arial" w:hAnsi="Arial" w:cs="Arial"/>
          <w:color w:val="000000"/>
          <w:sz w:val="18"/>
          <w:szCs w:val="18"/>
        </w:rPr>
      </w:pPr>
      <w:r w:rsidRPr="00C26B44">
        <w:rPr>
          <w:rFonts w:ascii="Arial" w:hAnsi="Arial" w:cs="Arial"/>
          <w:color w:val="000000"/>
          <w:sz w:val="18"/>
          <w:szCs w:val="18"/>
        </w:rPr>
        <w:t xml:space="preserve">Los requisitos mencionados deberán fijarse respetando las condiciones habilitantes requeridas para el cumplimiento adecuado del contrato, teniendo en cuenta el alcance de las obligaciones. En desarrollo de lo anterior, con la finalidad de beneficiar a las Mipyme, se establecerán condiciones más exigentes respecto a alguno o algunos de los criterios de participación antes enunciados frente a los demás proponentes que concurran al procedimiento de selección que no sean Mipyme. </w:t>
      </w:r>
    </w:p>
    <w:p w14:paraId="601A2F47" w14:textId="11B7AA25" w:rsidR="008377B4" w:rsidRPr="00C26B44" w:rsidRDefault="008377B4" w:rsidP="006B4DCA">
      <w:pPr>
        <w:pStyle w:val="Textonotapie"/>
        <w:ind w:firstLine="708"/>
        <w:jc w:val="both"/>
        <w:rPr>
          <w:rFonts w:ascii="Arial" w:hAnsi="Arial" w:cs="Arial"/>
          <w:color w:val="000000"/>
          <w:sz w:val="18"/>
          <w:szCs w:val="18"/>
        </w:rPr>
      </w:pPr>
      <w:r w:rsidRPr="00C26B44">
        <w:rPr>
          <w:rFonts w:ascii="Arial" w:hAnsi="Arial" w:cs="Arial"/>
          <w:color w:val="000000"/>
          <w:sz w:val="18"/>
          <w:szCs w:val="18"/>
        </w:rPr>
        <w:t xml:space="preserve">Con excepción de los procedimientos de selección abreviada por subasta inversa y de mínima cuantía, las entidades sometidas al Estatuto General de Contratación de la Administración Pública, teniendo en cuenta los criterios de clasificación empresarial, podrán establecer puntajes adicionales para Mipyme. En ningún caso, estos podrán superar el cero punto veinticinco por ciento (0.25%) del total de los puntos establecidos en el pliego de condiciones. </w:t>
      </w:r>
    </w:p>
    <w:p w14:paraId="057D2A32" w14:textId="0EF33FF0" w:rsidR="008377B4" w:rsidRPr="00C26B44" w:rsidRDefault="008377B4" w:rsidP="006B4DCA">
      <w:pPr>
        <w:pStyle w:val="Textonotapie"/>
        <w:ind w:firstLine="708"/>
        <w:jc w:val="both"/>
        <w:rPr>
          <w:rFonts w:ascii="Arial" w:hAnsi="Arial" w:cs="Arial"/>
          <w:color w:val="000000"/>
          <w:sz w:val="18"/>
          <w:szCs w:val="18"/>
        </w:rPr>
      </w:pPr>
      <w:r w:rsidRPr="00C26B44">
        <w:rPr>
          <w:rFonts w:ascii="Arial" w:hAnsi="Arial" w:cs="Arial"/>
          <w:color w:val="000000"/>
          <w:sz w:val="18"/>
          <w:szCs w:val="18"/>
        </w:rPr>
        <w:t xml:space="preserve">PARÁGRAFO 1. Para los efectos de este artículo, los criterios de clasificación empresarial son los definidos en el artículo 2.2.1.13.2.2 del Decreto 1074 de 2015, Único Reglamentario del Sector Comercio, Industria y Turismo, o la norma que lo modifique, derogue o sustituya. </w:t>
      </w:r>
    </w:p>
    <w:p w14:paraId="07895018" w14:textId="59938E47" w:rsidR="008377B4" w:rsidRPr="00C26B44" w:rsidRDefault="008377B4" w:rsidP="006B4DCA">
      <w:pPr>
        <w:pStyle w:val="Textonotapie"/>
        <w:ind w:firstLine="708"/>
        <w:jc w:val="both"/>
        <w:rPr>
          <w:rFonts w:ascii="Arial" w:hAnsi="Arial" w:cs="Arial"/>
          <w:color w:val="000000"/>
          <w:sz w:val="18"/>
          <w:szCs w:val="18"/>
        </w:rPr>
      </w:pPr>
      <w:r w:rsidRPr="00C26B44">
        <w:rPr>
          <w:rFonts w:ascii="Arial" w:hAnsi="Arial" w:cs="Arial"/>
          <w:color w:val="000000"/>
          <w:sz w:val="18"/>
          <w:szCs w:val="18"/>
        </w:rPr>
        <w:t xml:space="preserve">PARÁGRAFO 2. Tratándose de proponentes plurales, los criterios diferenciales y los puntajes adicionales solo se aplicarán si por lo menos uno de los integrantes acredita la calidad de Mipyme y tiene una participación igual o superior al diez por ciento (10%) en el consorcio o la unión temporal. </w:t>
      </w:r>
    </w:p>
    <w:p w14:paraId="48AA3EFD" w14:textId="39D2629A" w:rsidR="008377B4" w:rsidRPr="00C26B44" w:rsidRDefault="008377B4" w:rsidP="006B4DCA">
      <w:pPr>
        <w:pStyle w:val="Textonotapie"/>
        <w:ind w:firstLine="708"/>
        <w:jc w:val="both"/>
        <w:rPr>
          <w:rFonts w:ascii="Arial" w:hAnsi="Arial" w:cs="Arial"/>
          <w:color w:val="000000"/>
          <w:sz w:val="18"/>
          <w:szCs w:val="18"/>
        </w:rPr>
      </w:pPr>
      <w:r w:rsidRPr="00C26B44">
        <w:rPr>
          <w:rFonts w:ascii="Arial" w:hAnsi="Arial" w:cs="Arial"/>
          <w:color w:val="000000"/>
          <w:sz w:val="18"/>
          <w:szCs w:val="18"/>
        </w:rPr>
        <w:t xml:space="preserve">PARÁGRAFO 3. Lo previsto en esta norma aplica sin perjuicio de lo dispuesto en los Acuerdos Comerciales suscritos por el Estado colombiano, pero no rige en las convocatorias limitadas que se realicen conforme a los artículos 2.2.1.2.4.2.2 y 2.2.1.2.4.2.3 de este Decreto </w:t>
      </w:r>
    </w:p>
  </w:footnote>
  <w:footnote w:id="20">
    <w:p w14:paraId="5E888E64" w14:textId="77777777" w:rsidR="00DE29F5" w:rsidRPr="00C26B44" w:rsidRDefault="00DE29F5" w:rsidP="006B4DCA">
      <w:pPr>
        <w:pStyle w:val="Textonotapie"/>
        <w:ind w:firstLine="708"/>
        <w:jc w:val="both"/>
        <w:rPr>
          <w:rFonts w:ascii="Arial" w:hAnsi="Arial" w:cs="Arial"/>
          <w:color w:val="000000" w:themeColor="text1"/>
          <w:sz w:val="18"/>
          <w:szCs w:val="18"/>
        </w:rPr>
      </w:pPr>
      <w:r w:rsidRPr="00C26B44">
        <w:rPr>
          <w:rStyle w:val="Refdenotaalpie"/>
          <w:rFonts w:ascii="Arial" w:hAnsi="Arial" w:cs="Arial"/>
          <w:color w:val="000000" w:themeColor="text1"/>
          <w:sz w:val="18"/>
          <w:szCs w:val="18"/>
        </w:rPr>
        <w:footnoteRef/>
      </w:r>
      <w:r w:rsidRPr="00C26B44">
        <w:rPr>
          <w:rFonts w:ascii="Arial" w:hAnsi="Arial" w:cs="Arial"/>
          <w:color w:val="000000" w:themeColor="text1"/>
          <w:sz w:val="18"/>
          <w:szCs w:val="18"/>
        </w:rPr>
        <w:t xml:space="preserve"> «Artículo 2.2.1.2.3.1.6. Garantía de los Riesgos derivados del incumplimiento de la oferta. La garantía de seriedad de la oferta debe cubrir la sanción derivada del incumplimiento de la oferta, en los siguientes eventos:</w:t>
      </w:r>
    </w:p>
    <w:p w14:paraId="37CB748F" w14:textId="77777777" w:rsidR="00DE29F5" w:rsidRPr="00C26B44" w:rsidRDefault="00DE29F5" w:rsidP="006B4DCA">
      <w:pPr>
        <w:pStyle w:val="Textonotapie"/>
        <w:ind w:firstLine="708"/>
        <w:jc w:val="both"/>
        <w:rPr>
          <w:rFonts w:ascii="Arial" w:hAnsi="Arial" w:cs="Arial"/>
          <w:color w:val="000000" w:themeColor="text1"/>
          <w:sz w:val="18"/>
          <w:szCs w:val="18"/>
        </w:rPr>
      </w:pPr>
      <w:r w:rsidRPr="00C26B44">
        <w:rPr>
          <w:rFonts w:ascii="Arial" w:hAnsi="Arial" w:cs="Arial"/>
          <w:color w:val="000000" w:themeColor="text1"/>
          <w:sz w:val="18"/>
          <w:szCs w:val="18"/>
        </w:rPr>
        <w:t xml:space="preserve">»1.    </w:t>
      </w:r>
      <w:bookmarkStart w:id="10" w:name="_Hlk36666279"/>
      <w:r w:rsidRPr="00C26B44">
        <w:rPr>
          <w:rFonts w:ascii="Arial" w:hAnsi="Arial" w:cs="Arial"/>
          <w:color w:val="000000" w:themeColor="text1"/>
          <w:sz w:val="18"/>
          <w:szCs w:val="18"/>
        </w:rPr>
        <w:t>La no ampliación de la vigencia de la garantía de seriedad de la oferta cuando el plazo para la adjudicación o para suscribir el contrato es prorrogado, siempre que tal prórroga sea inferior a tres (3) meses.</w:t>
      </w:r>
    </w:p>
    <w:bookmarkEnd w:id="10"/>
    <w:p w14:paraId="134370D0" w14:textId="77777777" w:rsidR="00DE29F5" w:rsidRPr="00C26B44" w:rsidRDefault="00DE29F5" w:rsidP="006B4DCA">
      <w:pPr>
        <w:pStyle w:val="Textonotapie"/>
        <w:ind w:firstLine="708"/>
        <w:jc w:val="both"/>
        <w:rPr>
          <w:rFonts w:ascii="Arial" w:hAnsi="Arial" w:cs="Arial"/>
          <w:color w:val="000000" w:themeColor="text1"/>
          <w:sz w:val="18"/>
          <w:szCs w:val="18"/>
        </w:rPr>
      </w:pPr>
      <w:r w:rsidRPr="00C26B44">
        <w:rPr>
          <w:rFonts w:ascii="Arial" w:hAnsi="Arial" w:cs="Arial"/>
          <w:color w:val="000000" w:themeColor="text1"/>
          <w:sz w:val="18"/>
          <w:szCs w:val="18"/>
        </w:rPr>
        <w:t>»2.    El retiro de la oferta después de vencido el plazo fijado para la presentación de las ofertas.</w:t>
      </w:r>
    </w:p>
    <w:p w14:paraId="1D4B8D64" w14:textId="77777777" w:rsidR="00DE29F5" w:rsidRPr="00C26B44" w:rsidRDefault="00DE29F5" w:rsidP="006B4DCA">
      <w:pPr>
        <w:pStyle w:val="Textonotapie"/>
        <w:ind w:firstLine="708"/>
        <w:jc w:val="both"/>
        <w:rPr>
          <w:rFonts w:ascii="Arial" w:hAnsi="Arial" w:cs="Arial"/>
          <w:color w:val="000000" w:themeColor="text1"/>
          <w:sz w:val="18"/>
          <w:szCs w:val="18"/>
        </w:rPr>
      </w:pPr>
      <w:r w:rsidRPr="00C26B44">
        <w:rPr>
          <w:rFonts w:ascii="Arial" w:hAnsi="Arial" w:cs="Arial"/>
          <w:color w:val="000000" w:themeColor="text1"/>
          <w:sz w:val="18"/>
          <w:szCs w:val="18"/>
        </w:rPr>
        <w:t>»3.    La no suscripción del contrato sin justa causa por parte del adjudicatario.</w:t>
      </w:r>
    </w:p>
    <w:p w14:paraId="767C0726" w14:textId="77777777" w:rsidR="00DE29F5" w:rsidRPr="00C26B44" w:rsidRDefault="00DE29F5" w:rsidP="006B4DCA">
      <w:pPr>
        <w:pStyle w:val="Textonotapie"/>
        <w:ind w:firstLine="708"/>
        <w:jc w:val="both"/>
        <w:rPr>
          <w:rFonts w:ascii="Arial" w:hAnsi="Arial" w:cs="Arial"/>
          <w:color w:val="000000" w:themeColor="text1"/>
          <w:sz w:val="18"/>
          <w:szCs w:val="18"/>
        </w:rPr>
      </w:pPr>
      <w:r w:rsidRPr="00C26B44">
        <w:rPr>
          <w:rFonts w:ascii="Arial" w:hAnsi="Arial" w:cs="Arial"/>
          <w:color w:val="000000" w:themeColor="text1"/>
          <w:sz w:val="18"/>
          <w:szCs w:val="18"/>
        </w:rPr>
        <w:t>»4.  La falta de otorgamiento por parte del proponente seleccionado de la garantía de cumplimiento del contrato».</w:t>
      </w:r>
    </w:p>
    <w:p w14:paraId="0F2B2422" w14:textId="77777777" w:rsidR="00DE29F5" w:rsidRPr="00C26B44" w:rsidRDefault="00DE29F5" w:rsidP="006B4DCA">
      <w:pPr>
        <w:pStyle w:val="Textonotapie"/>
        <w:ind w:firstLine="708"/>
        <w:jc w:val="both"/>
        <w:rPr>
          <w:rFonts w:ascii="Arial" w:hAnsi="Arial" w:cs="Arial"/>
          <w:color w:val="000000" w:themeColor="text1"/>
          <w:sz w:val="18"/>
          <w:szCs w:val="18"/>
        </w:rPr>
      </w:pPr>
      <w:r w:rsidRPr="00C26B44">
        <w:rPr>
          <w:rFonts w:ascii="Arial" w:hAnsi="Arial" w:cs="Arial"/>
          <w:color w:val="000000" w:themeColor="text1"/>
          <w:sz w:val="18"/>
          <w:szCs w:val="18"/>
        </w:rPr>
        <w:t xml:space="preserve">[…] </w:t>
      </w:r>
    </w:p>
    <w:p w14:paraId="0515F26A" w14:textId="77777777" w:rsidR="00DE29F5" w:rsidRPr="00C26B44" w:rsidRDefault="00DE29F5" w:rsidP="006B4DCA">
      <w:pPr>
        <w:pStyle w:val="Textonotapie"/>
        <w:ind w:firstLine="708"/>
        <w:jc w:val="both"/>
        <w:rPr>
          <w:rFonts w:ascii="Arial" w:hAnsi="Arial" w:cs="Arial"/>
          <w:color w:val="000000" w:themeColor="text1"/>
          <w:sz w:val="18"/>
          <w:szCs w:val="18"/>
        </w:rPr>
      </w:pPr>
      <w:r w:rsidRPr="00C26B44">
        <w:rPr>
          <w:rFonts w:ascii="Arial" w:hAnsi="Arial" w:cs="Arial"/>
          <w:color w:val="000000" w:themeColor="text1"/>
          <w:sz w:val="18"/>
          <w:szCs w:val="18"/>
        </w:rPr>
        <w:t>«</w:t>
      </w:r>
      <w:bookmarkStart w:id="11" w:name="_Hlk47443404"/>
      <w:r w:rsidRPr="00C26B44">
        <w:rPr>
          <w:rFonts w:ascii="Arial" w:hAnsi="Arial" w:cs="Arial"/>
          <w:color w:val="000000" w:themeColor="text1"/>
          <w:sz w:val="18"/>
          <w:szCs w:val="18"/>
        </w:rPr>
        <w:t>Artículo 2.2.1.2.3.1.9</w:t>
      </w:r>
      <w:bookmarkEnd w:id="11"/>
      <w:r w:rsidRPr="00C26B44">
        <w:rPr>
          <w:rFonts w:ascii="Arial" w:hAnsi="Arial" w:cs="Arial"/>
          <w:color w:val="000000" w:themeColor="text1"/>
          <w:sz w:val="18"/>
          <w:szCs w:val="18"/>
        </w:rPr>
        <w:t xml:space="preserve">. Suficiencia de la garantía de seriedad de la oferta. </w:t>
      </w:r>
      <w:bookmarkStart w:id="12" w:name="_Hlk47443462"/>
      <w:r w:rsidRPr="00C26B44">
        <w:rPr>
          <w:rFonts w:ascii="Arial" w:hAnsi="Arial" w:cs="Arial"/>
          <w:color w:val="000000" w:themeColor="text1"/>
          <w:sz w:val="18"/>
          <w:szCs w:val="18"/>
        </w:rPr>
        <w:t>La garantía de seriedad de la oferta debe estar vigente desde la presentación de la oferta y hasta la aprobación de la garantía de cumplimiento del contrato y su valor debe ser de por lo menos el diez por ciento (10%) del valor de la oferta.</w:t>
      </w:r>
      <w:bookmarkEnd w:id="12"/>
    </w:p>
    <w:p w14:paraId="3601799E" w14:textId="77777777" w:rsidR="00DE29F5" w:rsidRPr="00C26B44" w:rsidRDefault="00DE29F5" w:rsidP="006B4DCA">
      <w:pPr>
        <w:pStyle w:val="Textonotapie"/>
        <w:ind w:firstLine="708"/>
        <w:jc w:val="both"/>
        <w:rPr>
          <w:rFonts w:ascii="Arial" w:hAnsi="Arial" w:cs="Arial"/>
          <w:color w:val="000000" w:themeColor="text1"/>
          <w:sz w:val="18"/>
          <w:szCs w:val="18"/>
        </w:rPr>
      </w:pPr>
      <w:r w:rsidRPr="00C26B44">
        <w:rPr>
          <w:rFonts w:ascii="Arial" w:hAnsi="Arial" w:cs="Arial"/>
          <w:color w:val="000000" w:themeColor="text1"/>
          <w:sz w:val="18"/>
          <w:szCs w:val="18"/>
        </w:rPr>
        <w:t>»El valor de la garantía de seriedad de la oferta que presenten los proponentes en el Proceso de Contratación de un Acuerdo Marco de Precio debe ser de mil (1.000) SMMLV.</w:t>
      </w:r>
    </w:p>
    <w:p w14:paraId="71A36335" w14:textId="77777777" w:rsidR="00DE29F5" w:rsidRPr="00C26B44" w:rsidRDefault="00DE29F5" w:rsidP="006B4DCA">
      <w:pPr>
        <w:pStyle w:val="Textonotapie"/>
        <w:ind w:firstLine="708"/>
        <w:jc w:val="both"/>
        <w:rPr>
          <w:rFonts w:ascii="Arial" w:hAnsi="Arial" w:cs="Arial"/>
          <w:color w:val="000000" w:themeColor="text1"/>
          <w:sz w:val="18"/>
          <w:szCs w:val="18"/>
        </w:rPr>
      </w:pPr>
      <w:r w:rsidRPr="00C26B44">
        <w:rPr>
          <w:rFonts w:ascii="Arial" w:hAnsi="Arial" w:cs="Arial"/>
          <w:color w:val="000000" w:themeColor="text1"/>
          <w:sz w:val="18"/>
          <w:szCs w:val="18"/>
        </w:rPr>
        <w:t>»El valor de la garantía de seriedad de la oferta que presenten los proponentes en la subasta inversa y en el concurso de méritos debe ser equivalente al diez por ciento (10%) del presupuesto oficial estimado del Proceso de Contratación.</w:t>
      </w:r>
    </w:p>
    <w:p w14:paraId="2421ED07" w14:textId="77777777" w:rsidR="00DE29F5" w:rsidRPr="00C26B44" w:rsidRDefault="00DE29F5" w:rsidP="006B4DCA">
      <w:pPr>
        <w:pStyle w:val="Textonotapie"/>
        <w:ind w:firstLine="708"/>
        <w:jc w:val="both"/>
        <w:rPr>
          <w:rFonts w:ascii="Arial" w:hAnsi="Arial" w:cs="Arial"/>
          <w:color w:val="000000" w:themeColor="text1"/>
          <w:sz w:val="18"/>
          <w:szCs w:val="18"/>
        </w:rPr>
      </w:pPr>
      <w:r w:rsidRPr="00C26B44">
        <w:rPr>
          <w:rFonts w:ascii="Arial" w:hAnsi="Arial" w:cs="Arial"/>
          <w:color w:val="000000" w:themeColor="text1"/>
          <w:sz w:val="18"/>
          <w:szCs w:val="18"/>
        </w:rPr>
        <w:t>»Cuando el valor de la oferta o el presupuesto estimado de la contratación sea superior a un millón (1.000.000) de SMMLV se aplicarán las siguientes reglas:</w:t>
      </w:r>
    </w:p>
    <w:p w14:paraId="448EFA49" w14:textId="77777777" w:rsidR="00DE29F5" w:rsidRPr="00C26B44" w:rsidRDefault="00DE29F5" w:rsidP="006B4DCA">
      <w:pPr>
        <w:pStyle w:val="Textonotapie"/>
        <w:ind w:firstLine="708"/>
        <w:jc w:val="both"/>
        <w:rPr>
          <w:rFonts w:ascii="Arial" w:hAnsi="Arial" w:cs="Arial"/>
          <w:color w:val="000000" w:themeColor="text1"/>
          <w:sz w:val="18"/>
          <w:szCs w:val="18"/>
        </w:rPr>
      </w:pPr>
      <w:r w:rsidRPr="00C26B44">
        <w:rPr>
          <w:rFonts w:ascii="Arial" w:hAnsi="Arial" w:cs="Arial"/>
          <w:color w:val="000000" w:themeColor="text1"/>
          <w:sz w:val="18"/>
          <w:szCs w:val="18"/>
        </w:rPr>
        <w:t>»1.    Si el valor de la oferta es superior a un millón (1.000.000) de SMMLV y hasta cinco millones (5.000.000) de SMMLV, la Entidad Estatal puede aceptar garantías que cubran al menos el dos punto cinco por ciento (2,5%) del valor de la oferta.</w:t>
      </w:r>
    </w:p>
    <w:p w14:paraId="3C24AD11" w14:textId="77777777" w:rsidR="00DE29F5" w:rsidRPr="00C26B44" w:rsidRDefault="00DE29F5" w:rsidP="006B4DCA">
      <w:pPr>
        <w:pStyle w:val="Textonotapie"/>
        <w:ind w:firstLine="708"/>
        <w:jc w:val="both"/>
        <w:rPr>
          <w:rFonts w:ascii="Arial" w:hAnsi="Arial" w:cs="Arial"/>
          <w:color w:val="000000" w:themeColor="text1"/>
          <w:sz w:val="18"/>
          <w:szCs w:val="18"/>
        </w:rPr>
      </w:pPr>
      <w:r w:rsidRPr="00C26B44">
        <w:rPr>
          <w:rFonts w:ascii="Arial" w:hAnsi="Arial" w:cs="Arial"/>
          <w:color w:val="000000" w:themeColor="text1"/>
          <w:sz w:val="18"/>
          <w:szCs w:val="18"/>
        </w:rPr>
        <w:t>»2.  Si el valor de la oferta es superior a cinco millones (5.000.000) de SMMLV y hasta diez millones (10.000.000) de SMMLV, la Entidad Estatal puede aceptar garantías que cubran al menos el uno por ciento (1%) del valor de la oferta.</w:t>
      </w:r>
    </w:p>
    <w:p w14:paraId="66104A41" w14:textId="77777777" w:rsidR="00DE29F5" w:rsidRPr="00C26B44" w:rsidRDefault="00DE29F5" w:rsidP="006B4DCA">
      <w:pPr>
        <w:pStyle w:val="Textonotapie"/>
        <w:ind w:firstLine="708"/>
        <w:jc w:val="both"/>
        <w:rPr>
          <w:rFonts w:ascii="Arial" w:hAnsi="Arial" w:cs="Arial"/>
          <w:color w:val="000000" w:themeColor="text1"/>
          <w:sz w:val="18"/>
          <w:szCs w:val="18"/>
        </w:rPr>
      </w:pPr>
      <w:r w:rsidRPr="00C26B44">
        <w:rPr>
          <w:rFonts w:ascii="Arial" w:hAnsi="Arial" w:cs="Arial"/>
          <w:color w:val="000000" w:themeColor="text1"/>
          <w:sz w:val="18"/>
          <w:szCs w:val="18"/>
        </w:rPr>
        <w:t>»3.    Si el valor de la oferta es superior a diez millones (10.000.000) de SMMLV, la Entidad Estatal puede aceptar garantías que cubran al menos el cero punto cinco por ciento (0,5%) del valor de la oferta».</w:t>
      </w:r>
    </w:p>
  </w:footnote>
  <w:footnote w:id="21">
    <w:p w14:paraId="19FD7ABB" w14:textId="77777777" w:rsidR="00DE29F5" w:rsidRPr="00C26B44" w:rsidRDefault="00DE29F5" w:rsidP="006B4DCA">
      <w:pPr>
        <w:pStyle w:val="Textonotapie"/>
        <w:jc w:val="both"/>
        <w:rPr>
          <w:rFonts w:ascii="Arial" w:hAnsi="Arial" w:cs="Arial"/>
          <w:sz w:val="18"/>
          <w:szCs w:val="18"/>
        </w:rPr>
      </w:pPr>
    </w:p>
    <w:p w14:paraId="2C5A069E" w14:textId="77777777" w:rsidR="00DE29F5" w:rsidRPr="00C26B44" w:rsidRDefault="00DE29F5" w:rsidP="006B4DCA">
      <w:pPr>
        <w:pStyle w:val="Textonotapie"/>
        <w:ind w:firstLine="708"/>
        <w:jc w:val="both"/>
        <w:rPr>
          <w:rFonts w:ascii="Arial" w:hAnsi="Arial" w:cs="Arial"/>
          <w:sz w:val="18"/>
          <w:szCs w:val="18"/>
        </w:rPr>
      </w:pPr>
      <w:r w:rsidRPr="00C26B44">
        <w:rPr>
          <w:rStyle w:val="Refdenotaalpie"/>
          <w:rFonts w:ascii="Arial" w:hAnsi="Arial" w:cs="Arial"/>
          <w:sz w:val="18"/>
          <w:szCs w:val="18"/>
        </w:rPr>
        <w:footnoteRef/>
      </w:r>
      <w:r w:rsidRPr="00C26B44">
        <w:rPr>
          <w:rFonts w:ascii="Arial" w:hAnsi="Arial" w:cs="Arial"/>
          <w:sz w:val="18"/>
          <w:szCs w:val="18"/>
        </w:rPr>
        <w:t xml:space="preserve"> Al respecto esta Agencia ha expedido los conceptos C-675 de 25 de noviembre de 2020 –Radicado de entrada No. 4202013000009300. Radicado de salida No. 2202013000011706– y C-683 del 25 de noviembre de 2020–Radicado de entrada No. 4202012000009307. Radicado de salida No. 2202013000011701–. </w:t>
      </w:r>
    </w:p>
  </w:footnote>
  <w:footnote w:id="22">
    <w:p w14:paraId="14BC9519" w14:textId="77777777" w:rsidR="00DE29F5" w:rsidRPr="00C26B44" w:rsidRDefault="00DE29F5" w:rsidP="006B4DCA">
      <w:pPr>
        <w:pStyle w:val="Textonotapie"/>
        <w:ind w:firstLine="708"/>
        <w:jc w:val="both"/>
        <w:rPr>
          <w:rFonts w:ascii="Arial" w:hAnsi="Arial" w:cs="Arial"/>
          <w:color w:val="000000" w:themeColor="text1"/>
          <w:sz w:val="18"/>
          <w:szCs w:val="18"/>
        </w:rPr>
      </w:pPr>
    </w:p>
    <w:p w14:paraId="21B08E51" w14:textId="77777777" w:rsidR="00DE29F5" w:rsidRPr="00C26B44" w:rsidRDefault="00DE29F5" w:rsidP="006B4DCA">
      <w:pPr>
        <w:pStyle w:val="Textonotapie"/>
        <w:ind w:firstLine="708"/>
        <w:jc w:val="both"/>
        <w:rPr>
          <w:rFonts w:ascii="Arial" w:hAnsi="Arial" w:cs="Arial"/>
          <w:color w:val="000000" w:themeColor="text1"/>
          <w:sz w:val="18"/>
          <w:szCs w:val="18"/>
        </w:rPr>
      </w:pPr>
      <w:r w:rsidRPr="00C26B44">
        <w:rPr>
          <w:rStyle w:val="Refdenotaalpie"/>
          <w:rFonts w:ascii="Arial" w:hAnsi="Arial" w:cs="Arial"/>
          <w:color w:val="000000" w:themeColor="text1"/>
          <w:sz w:val="18"/>
          <w:szCs w:val="18"/>
        </w:rPr>
        <w:footnoteRef/>
      </w:r>
      <w:r w:rsidRPr="00C26B44">
        <w:rPr>
          <w:rFonts w:ascii="Arial" w:hAnsi="Arial" w:cs="Arial"/>
          <w:color w:val="000000" w:themeColor="text1"/>
          <w:sz w:val="18"/>
          <w:szCs w:val="18"/>
        </w:rPr>
        <w:t xml:space="preserve"> «Artículo 1068. Mora en el pago de la prima: La mora en el pago de la prima de la póliza o de los certificados o anexos que se expidan con fundamento en ella, producirá la terminación automática del contrato y dará derecho al asegurador para exigir el pago de la prima devengada y de los gastos causados con ocasión de la expedición del contrato.</w:t>
      </w:r>
    </w:p>
    <w:p w14:paraId="0D506FAD" w14:textId="77777777" w:rsidR="00DE29F5" w:rsidRPr="00C26B44" w:rsidRDefault="00DE29F5" w:rsidP="006B4DCA">
      <w:pPr>
        <w:pStyle w:val="Textonotapie"/>
        <w:ind w:firstLine="708"/>
        <w:jc w:val="both"/>
        <w:rPr>
          <w:rFonts w:ascii="Arial" w:hAnsi="Arial" w:cs="Arial"/>
          <w:color w:val="000000" w:themeColor="text1"/>
          <w:sz w:val="18"/>
          <w:szCs w:val="18"/>
        </w:rPr>
      </w:pPr>
      <w:r w:rsidRPr="00C26B44">
        <w:rPr>
          <w:rFonts w:ascii="Arial" w:hAnsi="Arial" w:cs="Arial"/>
          <w:color w:val="000000" w:themeColor="text1"/>
          <w:sz w:val="18"/>
          <w:szCs w:val="18"/>
        </w:rPr>
        <w:t>»Lo dispuesto en el inciso anterior deberá consignarse por parte del asegurador en la carátula de la póliza, en caracteres destacados.</w:t>
      </w:r>
    </w:p>
    <w:p w14:paraId="61D906CE" w14:textId="77777777" w:rsidR="00DE29F5" w:rsidRPr="00C26B44" w:rsidRDefault="00DE29F5" w:rsidP="006B4DCA">
      <w:pPr>
        <w:pStyle w:val="Textonotapie"/>
        <w:ind w:firstLine="708"/>
        <w:jc w:val="both"/>
        <w:rPr>
          <w:rFonts w:ascii="Arial" w:hAnsi="Arial" w:cs="Arial"/>
          <w:color w:val="000000" w:themeColor="text1"/>
          <w:sz w:val="18"/>
          <w:szCs w:val="18"/>
        </w:rPr>
      </w:pPr>
      <w:r w:rsidRPr="00C26B44">
        <w:rPr>
          <w:rFonts w:ascii="Arial" w:hAnsi="Arial" w:cs="Arial"/>
          <w:color w:val="000000" w:themeColor="text1"/>
          <w:sz w:val="18"/>
          <w:szCs w:val="18"/>
        </w:rPr>
        <w:t>»Lo dispuesto en este artículo no podrá ser modificado por las partes».</w:t>
      </w:r>
    </w:p>
    <w:p w14:paraId="5DE6E733" w14:textId="77777777" w:rsidR="00DE29F5" w:rsidRPr="00C26B44" w:rsidRDefault="00DE29F5" w:rsidP="006B4DCA">
      <w:pPr>
        <w:pStyle w:val="Textonotapie"/>
        <w:ind w:firstLine="708"/>
        <w:jc w:val="both"/>
        <w:rPr>
          <w:rFonts w:ascii="Arial" w:hAnsi="Arial" w:cs="Arial"/>
          <w:color w:val="000000" w:themeColor="text1"/>
          <w:sz w:val="18"/>
          <w:szCs w:val="18"/>
        </w:rPr>
      </w:pPr>
    </w:p>
  </w:footnote>
  <w:footnote w:id="23">
    <w:p w14:paraId="7E406B9C" w14:textId="77777777" w:rsidR="00DE29F5" w:rsidRPr="00C26B44" w:rsidRDefault="00DE29F5" w:rsidP="006B4DCA">
      <w:pPr>
        <w:pStyle w:val="Textonotapie"/>
        <w:ind w:firstLine="708"/>
        <w:jc w:val="both"/>
        <w:rPr>
          <w:rFonts w:ascii="Arial" w:hAnsi="Arial" w:cs="Arial"/>
          <w:color w:val="000000" w:themeColor="text1"/>
          <w:sz w:val="18"/>
          <w:szCs w:val="18"/>
        </w:rPr>
      </w:pPr>
      <w:r w:rsidRPr="00C26B44">
        <w:rPr>
          <w:rStyle w:val="Refdenotaalpie"/>
          <w:rFonts w:ascii="Arial" w:hAnsi="Arial" w:cs="Arial"/>
          <w:color w:val="000000" w:themeColor="text1"/>
          <w:sz w:val="18"/>
          <w:szCs w:val="18"/>
        </w:rPr>
        <w:footnoteRef/>
      </w:r>
      <w:r w:rsidRPr="00C26B44">
        <w:rPr>
          <w:rFonts w:ascii="Arial" w:hAnsi="Arial" w:cs="Arial"/>
          <w:color w:val="000000" w:themeColor="text1"/>
          <w:sz w:val="18"/>
          <w:szCs w:val="18"/>
        </w:rPr>
        <w:t xml:space="preserve"> CORTE CONSTITUCIONAL. Sentencia C-452 de 1999. M.P. Eduardo Cifuentes Muñoz. </w:t>
      </w:r>
    </w:p>
    <w:p w14:paraId="086D48F2" w14:textId="77777777" w:rsidR="00DE29F5" w:rsidRPr="00C26B44" w:rsidRDefault="00DE29F5" w:rsidP="006B4DCA">
      <w:pPr>
        <w:pStyle w:val="Textonotapie"/>
        <w:ind w:firstLine="708"/>
        <w:jc w:val="both"/>
        <w:rPr>
          <w:rFonts w:ascii="Arial" w:hAnsi="Arial" w:cs="Arial"/>
          <w:color w:val="000000" w:themeColor="text1"/>
          <w:sz w:val="18"/>
          <w:szCs w:val="18"/>
        </w:rPr>
      </w:pPr>
    </w:p>
  </w:footnote>
  <w:footnote w:id="24">
    <w:p w14:paraId="63941666" w14:textId="77777777" w:rsidR="00DE29F5" w:rsidRPr="00C26B44" w:rsidRDefault="00DE29F5" w:rsidP="006B4DCA">
      <w:pPr>
        <w:pStyle w:val="Textonotapie"/>
        <w:ind w:firstLine="708"/>
        <w:jc w:val="both"/>
        <w:rPr>
          <w:rFonts w:ascii="Arial" w:hAnsi="Arial" w:cs="Arial"/>
          <w:color w:val="000000" w:themeColor="text1"/>
          <w:sz w:val="18"/>
          <w:szCs w:val="18"/>
        </w:rPr>
      </w:pPr>
      <w:r w:rsidRPr="00C26B44">
        <w:rPr>
          <w:rStyle w:val="Refdenotaalpie"/>
          <w:rFonts w:ascii="Arial" w:hAnsi="Arial" w:cs="Arial"/>
          <w:sz w:val="18"/>
          <w:szCs w:val="18"/>
        </w:rPr>
        <w:footnoteRef/>
      </w:r>
      <w:r w:rsidRPr="00C26B44">
        <w:rPr>
          <w:rFonts w:ascii="Arial" w:hAnsi="Arial" w:cs="Arial"/>
          <w:sz w:val="18"/>
          <w:szCs w:val="18"/>
        </w:rPr>
        <w:t xml:space="preserve"> Sobre este aspecto, la doctrina explica que: «Las garantías provisionales “avalan la solemnidad de la oferta por parte del contratista”; constituyen una seña pre-contractual destinada a asegurar la celebración del contrato, no su cumplimiento. La administración procede a devolver a los oferentes no adjudicatarios, y a transformar en definitiva respecto al adjudicatario, las garantías provisionales, deduciéndose entonces que las arras no forman parte del precio, ni son por tanto arras confirmatorias […], sino puramente penitenciales […] como garantías y compensación del ius poenitendi del licitante. Son, en consecuencia, “la medida de la responsabilidad pre-contractual del oferente”; o, más bien, la garantía de oferta representa en definitiva la medida de la responsabilidad» (Cursivas dentro del texto). </w:t>
      </w:r>
      <w:r w:rsidRPr="00C26B44">
        <w:rPr>
          <w:rFonts w:ascii="Arial" w:hAnsi="Arial" w:cs="Arial"/>
          <w:color w:val="000000" w:themeColor="text1"/>
          <w:sz w:val="18"/>
          <w:szCs w:val="18"/>
        </w:rPr>
        <w:t>DROMI, José Roberto. La licitación pública. Buenos Aires: Ciudad Argentina, 1980. pp. 288-289.</w:t>
      </w:r>
    </w:p>
    <w:p w14:paraId="432C2085" w14:textId="77777777" w:rsidR="00DE29F5" w:rsidRPr="00C26B44" w:rsidRDefault="00DE29F5" w:rsidP="006B4DCA">
      <w:pPr>
        <w:pStyle w:val="Textonotapie"/>
        <w:ind w:firstLine="708"/>
        <w:jc w:val="both"/>
        <w:rPr>
          <w:rFonts w:ascii="Arial" w:hAnsi="Arial" w:cs="Arial"/>
          <w:sz w:val="18"/>
          <w:szCs w:val="18"/>
        </w:rPr>
      </w:pPr>
    </w:p>
  </w:footnote>
  <w:footnote w:id="25">
    <w:p w14:paraId="30536F75" w14:textId="6683561C" w:rsidR="006B4DCA" w:rsidRPr="00C26B44" w:rsidRDefault="00B24AAA" w:rsidP="00C26B44">
      <w:pPr>
        <w:pStyle w:val="Textonotapie"/>
        <w:ind w:firstLine="708"/>
        <w:jc w:val="both"/>
        <w:rPr>
          <w:rFonts w:ascii="Arial" w:hAnsi="Arial" w:cs="Arial"/>
          <w:sz w:val="18"/>
          <w:szCs w:val="18"/>
        </w:rPr>
      </w:pPr>
      <w:r w:rsidRPr="00C26B44">
        <w:rPr>
          <w:rStyle w:val="Refdenotaalpie"/>
          <w:rFonts w:ascii="Arial" w:hAnsi="Arial" w:cs="Arial"/>
          <w:sz w:val="18"/>
          <w:szCs w:val="18"/>
        </w:rPr>
        <w:footnoteRef/>
      </w:r>
      <w:r w:rsidRPr="00C26B44">
        <w:rPr>
          <w:rFonts w:ascii="Arial" w:hAnsi="Arial" w:cs="Arial"/>
          <w:sz w:val="18"/>
          <w:szCs w:val="18"/>
        </w:rPr>
        <w:t xml:space="preserve"> </w:t>
      </w:r>
      <w:r w:rsidR="006B4DCA" w:rsidRPr="00C26B44">
        <w:rPr>
          <w:rFonts w:ascii="Arial" w:hAnsi="Arial" w:cs="Arial"/>
          <w:sz w:val="18"/>
          <w:szCs w:val="18"/>
        </w:rPr>
        <w:t>Decreto 1082 de 2015: «Artículo 2.2.1.2.4.2.15. Criterios diferenciales para emprendimientos y empresas de mujeres en el sistema de compras públicas. En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w:t>
      </w:r>
    </w:p>
    <w:p w14:paraId="089533B5" w14:textId="47DBF504" w:rsidR="006B4DCA" w:rsidRPr="00C26B44" w:rsidRDefault="006B4DCA" w:rsidP="00C26B44">
      <w:pPr>
        <w:pStyle w:val="Textonotapie"/>
        <w:ind w:firstLine="708"/>
        <w:jc w:val="both"/>
        <w:rPr>
          <w:rFonts w:ascii="Arial" w:hAnsi="Arial" w:cs="Arial"/>
          <w:sz w:val="18"/>
          <w:szCs w:val="18"/>
        </w:rPr>
      </w:pPr>
      <w:r w:rsidRPr="00C26B44">
        <w:rPr>
          <w:rFonts w:ascii="Arial" w:hAnsi="Arial" w:cs="Arial"/>
          <w:sz w:val="18"/>
          <w:szCs w:val="18"/>
        </w:rPr>
        <w:t>»1. Tiempo de experiencia.</w:t>
      </w:r>
    </w:p>
    <w:p w14:paraId="72F2CA8C" w14:textId="39039B8F" w:rsidR="006B4DCA" w:rsidRPr="00C26B44" w:rsidRDefault="006B4DCA" w:rsidP="00C26B44">
      <w:pPr>
        <w:pStyle w:val="Textonotapie"/>
        <w:ind w:firstLine="708"/>
        <w:jc w:val="both"/>
        <w:rPr>
          <w:rFonts w:ascii="Arial" w:hAnsi="Arial" w:cs="Arial"/>
          <w:sz w:val="18"/>
          <w:szCs w:val="18"/>
        </w:rPr>
      </w:pPr>
      <w:r w:rsidRPr="00C26B44">
        <w:rPr>
          <w:rFonts w:ascii="Arial" w:hAnsi="Arial" w:cs="Arial"/>
          <w:sz w:val="18"/>
          <w:szCs w:val="18"/>
        </w:rPr>
        <w:t>»2. Número de contratos para la acreditación de la experiencia.</w:t>
      </w:r>
    </w:p>
    <w:p w14:paraId="75ADF1E6" w14:textId="0DDFED50" w:rsidR="006B4DCA" w:rsidRPr="00C26B44" w:rsidRDefault="006B4DCA" w:rsidP="00C26B44">
      <w:pPr>
        <w:pStyle w:val="Textonotapie"/>
        <w:ind w:firstLine="708"/>
        <w:jc w:val="both"/>
        <w:rPr>
          <w:rFonts w:ascii="Arial" w:hAnsi="Arial" w:cs="Arial"/>
          <w:sz w:val="18"/>
          <w:szCs w:val="18"/>
        </w:rPr>
      </w:pPr>
      <w:r w:rsidRPr="00C26B44">
        <w:rPr>
          <w:rFonts w:ascii="Arial" w:hAnsi="Arial" w:cs="Arial"/>
          <w:sz w:val="18"/>
          <w:szCs w:val="18"/>
        </w:rPr>
        <w:t>»3. Índices de capacidad financiera.</w:t>
      </w:r>
    </w:p>
    <w:p w14:paraId="01D163A7" w14:textId="4EEAAEEB" w:rsidR="006B4DCA" w:rsidRPr="00C26B44" w:rsidRDefault="006B4DCA" w:rsidP="00C26B44">
      <w:pPr>
        <w:pStyle w:val="Textonotapie"/>
        <w:ind w:firstLine="708"/>
        <w:jc w:val="both"/>
        <w:rPr>
          <w:rFonts w:ascii="Arial" w:hAnsi="Arial" w:cs="Arial"/>
          <w:sz w:val="18"/>
          <w:szCs w:val="18"/>
        </w:rPr>
      </w:pPr>
      <w:r w:rsidRPr="00C26B44">
        <w:rPr>
          <w:rFonts w:ascii="Arial" w:hAnsi="Arial" w:cs="Arial"/>
          <w:sz w:val="18"/>
          <w:szCs w:val="18"/>
        </w:rPr>
        <w:t>»4. Índices de capacidad organizacional.</w:t>
      </w:r>
    </w:p>
    <w:p w14:paraId="12BE789C" w14:textId="04A13EDC" w:rsidR="006B4DCA" w:rsidRPr="00C26B44" w:rsidRDefault="006B4DCA" w:rsidP="00C26B44">
      <w:pPr>
        <w:pStyle w:val="Textonotapie"/>
        <w:ind w:firstLine="708"/>
        <w:jc w:val="both"/>
        <w:rPr>
          <w:rFonts w:ascii="Arial" w:hAnsi="Arial" w:cs="Arial"/>
          <w:sz w:val="18"/>
          <w:szCs w:val="18"/>
        </w:rPr>
      </w:pPr>
      <w:r w:rsidRPr="00C26B44">
        <w:rPr>
          <w:rFonts w:ascii="Arial" w:hAnsi="Arial" w:cs="Arial"/>
          <w:sz w:val="18"/>
          <w:szCs w:val="18"/>
        </w:rPr>
        <w:t>»5. Valor de la garantía de seriedad de la oferta.</w:t>
      </w:r>
    </w:p>
    <w:p w14:paraId="71ABD899" w14:textId="4E866A0E" w:rsidR="006B4DCA" w:rsidRPr="00C26B44" w:rsidRDefault="006B4DCA" w:rsidP="00C26B44">
      <w:pPr>
        <w:pStyle w:val="Textonotapie"/>
        <w:ind w:firstLine="708"/>
        <w:jc w:val="both"/>
        <w:rPr>
          <w:rFonts w:ascii="Arial" w:hAnsi="Arial" w:cs="Arial"/>
          <w:sz w:val="18"/>
          <w:szCs w:val="18"/>
        </w:rPr>
      </w:pPr>
      <w:r w:rsidRPr="00C26B44">
        <w:rPr>
          <w:rFonts w:ascii="Arial" w:hAnsi="Arial" w:cs="Arial"/>
          <w:sz w:val="18"/>
          <w:szCs w:val="18"/>
        </w:rPr>
        <w:t>»Los requisitos mencionados deberán fijarse respetando las condiciones habilitantes requeridas para el cumplimiento adecuado del contrato, teniendo en cuenta el alcance de las obligaciones. En desarrollo de lo anterior, con la finalidad de beneficiar a las empresas y emprendimientos de mujeres, se establecerán condiciones más exigentes respecto a alguno o algunos de los criterios de participación antes enunciados frente a los demás proponentes que concurran al procedimiento de selección que no sean empresas o emprendimientos de mujeres.</w:t>
      </w:r>
    </w:p>
    <w:p w14:paraId="4D00341D" w14:textId="6FABFDC2" w:rsidR="006B4DCA" w:rsidRPr="00C26B44" w:rsidRDefault="006B4DCA" w:rsidP="00C26B44">
      <w:pPr>
        <w:pStyle w:val="Textonotapie"/>
        <w:ind w:firstLine="708"/>
        <w:jc w:val="both"/>
        <w:rPr>
          <w:rFonts w:ascii="Arial" w:hAnsi="Arial" w:cs="Arial"/>
          <w:sz w:val="18"/>
          <w:szCs w:val="18"/>
        </w:rPr>
      </w:pPr>
      <w:r w:rsidRPr="00C26B44">
        <w:rPr>
          <w:rFonts w:ascii="Arial" w:hAnsi="Arial" w:cs="Arial"/>
          <w:sz w:val="18"/>
          <w:szCs w:val="18"/>
        </w:rPr>
        <w:t>»De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w:t>
      </w:r>
    </w:p>
    <w:p w14:paraId="0D6F0083" w14:textId="215715D3" w:rsidR="006B4DCA" w:rsidRPr="00C26B44" w:rsidRDefault="006B4DCA" w:rsidP="00C26B44">
      <w:pPr>
        <w:pStyle w:val="Textonotapie"/>
        <w:ind w:firstLine="708"/>
        <w:jc w:val="both"/>
        <w:rPr>
          <w:rFonts w:ascii="Arial" w:hAnsi="Arial" w:cs="Arial"/>
          <w:sz w:val="18"/>
          <w:szCs w:val="18"/>
        </w:rPr>
      </w:pPr>
      <w:r w:rsidRPr="00C26B44">
        <w:rPr>
          <w:rFonts w:ascii="Arial" w:hAnsi="Arial" w:cs="Arial"/>
          <w:sz w:val="18"/>
          <w:szCs w:val="18"/>
        </w:rPr>
        <w:t>»Las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w:t>
      </w:r>
    </w:p>
    <w:p w14:paraId="2212DC74" w14:textId="77777777" w:rsidR="006B4DCA" w:rsidRPr="00C26B44" w:rsidRDefault="006B4DCA" w:rsidP="00C26B44">
      <w:pPr>
        <w:pStyle w:val="Textonotapie"/>
        <w:ind w:firstLine="708"/>
        <w:jc w:val="both"/>
        <w:rPr>
          <w:rFonts w:ascii="Arial" w:hAnsi="Arial" w:cs="Arial"/>
          <w:sz w:val="18"/>
          <w:szCs w:val="18"/>
        </w:rPr>
      </w:pPr>
      <w:r w:rsidRPr="00C26B44">
        <w:rPr>
          <w:rFonts w:ascii="Arial" w:hAnsi="Arial" w:cs="Arial"/>
          <w:sz w:val="18"/>
          <w:szCs w:val="18"/>
        </w:rPr>
        <w:t>PARÁGRAFO 1.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w:t>
      </w:r>
    </w:p>
    <w:p w14:paraId="060CE2C5" w14:textId="415C1B5E" w:rsidR="006B4DCA" w:rsidRPr="00C26B44" w:rsidRDefault="006B4DCA" w:rsidP="00C26B44">
      <w:pPr>
        <w:pStyle w:val="Textonotapie"/>
        <w:ind w:firstLine="708"/>
        <w:jc w:val="both"/>
        <w:rPr>
          <w:rFonts w:ascii="Arial" w:hAnsi="Arial" w:cs="Arial"/>
          <w:sz w:val="18"/>
          <w:szCs w:val="18"/>
        </w:rPr>
      </w:pPr>
      <w:r w:rsidRPr="00C26B44">
        <w:rPr>
          <w:rFonts w:ascii="Arial" w:hAnsi="Arial" w:cs="Arial"/>
          <w:sz w:val="18"/>
          <w:szCs w:val="18"/>
        </w:rPr>
        <w:t>»PARÁGRAFO 2. Los incentivos contractuales para las empresas y emprendimientos de mujeres no excluyen la aplicación de los criterios diferenciales para Mipyme en el sistema de compras públicas».</w:t>
      </w:r>
    </w:p>
    <w:p w14:paraId="4326532D" w14:textId="1DDB69CB" w:rsidR="00B24AAA" w:rsidRPr="00C26B44" w:rsidRDefault="00B24AAA" w:rsidP="00C26B44">
      <w:pPr>
        <w:pStyle w:val="Textonotapie"/>
        <w:ind w:firstLine="708"/>
        <w:jc w:val="both"/>
        <w:rPr>
          <w:rFonts w:ascii="Arial" w:hAnsi="Arial" w:cs="Arial"/>
          <w:sz w:val="18"/>
          <w:szCs w:val="18"/>
        </w:rPr>
      </w:pPr>
    </w:p>
  </w:footnote>
  <w:footnote w:id="26">
    <w:p w14:paraId="31B6BAFF" w14:textId="5777F014" w:rsidR="005D1A87" w:rsidRPr="00C26B44" w:rsidRDefault="005D1A87" w:rsidP="00C26B44">
      <w:pPr>
        <w:pStyle w:val="Textonotapie"/>
        <w:ind w:firstLine="708"/>
        <w:jc w:val="both"/>
        <w:rPr>
          <w:rFonts w:ascii="Arial" w:hAnsi="Arial" w:cs="Arial"/>
          <w:sz w:val="18"/>
          <w:szCs w:val="18"/>
        </w:rPr>
      </w:pPr>
      <w:r w:rsidRPr="00C26B44">
        <w:rPr>
          <w:rStyle w:val="Refdenotaalpie"/>
          <w:rFonts w:ascii="Arial" w:hAnsi="Arial" w:cs="Arial"/>
          <w:sz w:val="18"/>
          <w:szCs w:val="18"/>
        </w:rPr>
        <w:footnoteRef/>
      </w:r>
      <w:r w:rsidRPr="00C26B44">
        <w:rPr>
          <w:rFonts w:ascii="Arial" w:hAnsi="Arial" w:cs="Arial"/>
          <w:sz w:val="18"/>
          <w:szCs w:val="18"/>
        </w:rPr>
        <w:t xml:space="preserve"> </w:t>
      </w:r>
      <w:r w:rsidRPr="00256A3D">
        <w:rPr>
          <w:rFonts w:ascii="Arial" w:hAnsi="Arial" w:cs="Arial"/>
          <w:sz w:val="18"/>
          <w:szCs w:val="18"/>
        </w:rPr>
        <w:t>Decreto 1082 de 2015</w:t>
      </w:r>
      <w:r w:rsidR="00D21641" w:rsidRPr="00256A3D">
        <w:rPr>
          <w:rFonts w:ascii="Arial" w:hAnsi="Arial" w:cs="Arial"/>
          <w:sz w:val="18"/>
          <w:szCs w:val="18"/>
        </w:rPr>
        <w:t xml:space="preserve">: </w:t>
      </w:r>
      <w:r w:rsidRPr="00256A3D">
        <w:rPr>
          <w:rFonts w:ascii="Arial" w:hAnsi="Arial" w:cs="Arial"/>
          <w:sz w:val="18"/>
          <w:szCs w:val="18"/>
        </w:rPr>
        <w:t xml:space="preserve">«Artículo </w:t>
      </w:r>
      <w:r w:rsidRPr="00C26B44">
        <w:rPr>
          <w:rFonts w:ascii="Arial" w:hAnsi="Arial" w:cs="Arial"/>
          <w:sz w:val="18"/>
          <w:szCs w:val="18"/>
        </w:rPr>
        <w:t>2.2.1.2.4.2.18. Criterios diferenciales para Mipyme en el sistema de compras públicas. De acuerdo con el numeral 1 del artículo 12 de la Ley 590 de 2000, según los resultados del análisis del sector, las Entidades Estatales indistintamente de su régimen de contratación, los patrimonios autónomos constituidos por Entidades Estatales y los particulares que ejecuten recursos públicos establecerán condiciones habilitantes diferenciales que promuevan y faciliten la participación en los procedimientos de selección competitivos de las Mipyme domiciliadas en Colombia. Para el efecto, en función de los criterios de clasificación empresarial, los Documentos del Proceso deberán incorporar requisitos habilitantes diferenciales relacionados con alguno o algunos de los siguientes aspectos:</w:t>
      </w:r>
    </w:p>
    <w:p w14:paraId="13EBCEEB" w14:textId="5E120C46" w:rsidR="005D1A87" w:rsidRPr="00C26B44" w:rsidRDefault="00D21641" w:rsidP="00C26B44">
      <w:pPr>
        <w:pStyle w:val="Textonotapie"/>
        <w:ind w:firstLine="708"/>
        <w:jc w:val="both"/>
        <w:rPr>
          <w:rFonts w:ascii="Arial" w:hAnsi="Arial" w:cs="Arial"/>
          <w:sz w:val="18"/>
          <w:szCs w:val="18"/>
        </w:rPr>
      </w:pPr>
      <w:r w:rsidRPr="00256A3D">
        <w:rPr>
          <w:rFonts w:ascii="Arial" w:hAnsi="Arial" w:cs="Arial"/>
          <w:sz w:val="18"/>
          <w:szCs w:val="18"/>
        </w:rPr>
        <w:t>»</w:t>
      </w:r>
      <w:r w:rsidR="005D1A87" w:rsidRPr="00C26B44">
        <w:rPr>
          <w:rFonts w:ascii="Arial" w:hAnsi="Arial" w:cs="Arial"/>
          <w:sz w:val="18"/>
          <w:szCs w:val="18"/>
        </w:rPr>
        <w:t>1. Tiempo de experiencia.</w:t>
      </w:r>
    </w:p>
    <w:p w14:paraId="0E3171F6" w14:textId="7C15B4CC" w:rsidR="005D1A87" w:rsidRPr="00C26B44" w:rsidRDefault="00D21641" w:rsidP="00C26B44">
      <w:pPr>
        <w:pStyle w:val="Textonotapie"/>
        <w:ind w:firstLine="708"/>
        <w:jc w:val="both"/>
        <w:rPr>
          <w:rFonts w:ascii="Arial" w:hAnsi="Arial" w:cs="Arial"/>
          <w:sz w:val="18"/>
          <w:szCs w:val="18"/>
        </w:rPr>
      </w:pPr>
      <w:r w:rsidRPr="00256A3D">
        <w:rPr>
          <w:rFonts w:ascii="Arial" w:hAnsi="Arial" w:cs="Arial"/>
          <w:sz w:val="18"/>
          <w:szCs w:val="18"/>
        </w:rPr>
        <w:t>»</w:t>
      </w:r>
      <w:r w:rsidR="005D1A87" w:rsidRPr="00C26B44">
        <w:rPr>
          <w:rFonts w:ascii="Arial" w:hAnsi="Arial" w:cs="Arial"/>
          <w:sz w:val="18"/>
          <w:szCs w:val="18"/>
        </w:rPr>
        <w:t>2. Número de contratos para la acreditación de la experiencia.</w:t>
      </w:r>
    </w:p>
    <w:p w14:paraId="2979AFA4" w14:textId="4C96F206" w:rsidR="005D1A87" w:rsidRPr="00C26B44" w:rsidRDefault="00D21641" w:rsidP="00C26B44">
      <w:pPr>
        <w:pStyle w:val="Textonotapie"/>
        <w:ind w:firstLine="708"/>
        <w:jc w:val="both"/>
        <w:rPr>
          <w:rFonts w:ascii="Arial" w:hAnsi="Arial" w:cs="Arial"/>
          <w:sz w:val="18"/>
          <w:szCs w:val="18"/>
        </w:rPr>
      </w:pPr>
      <w:r w:rsidRPr="00256A3D">
        <w:rPr>
          <w:rFonts w:ascii="Arial" w:hAnsi="Arial" w:cs="Arial"/>
          <w:sz w:val="18"/>
          <w:szCs w:val="18"/>
        </w:rPr>
        <w:t>»</w:t>
      </w:r>
      <w:r w:rsidR="005D1A87" w:rsidRPr="00C26B44">
        <w:rPr>
          <w:rFonts w:ascii="Arial" w:hAnsi="Arial" w:cs="Arial"/>
          <w:sz w:val="18"/>
          <w:szCs w:val="18"/>
        </w:rPr>
        <w:t>3. Índices de capacidad financiera.</w:t>
      </w:r>
    </w:p>
    <w:p w14:paraId="63727482" w14:textId="3EA7213E" w:rsidR="005D1A87" w:rsidRPr="00C26B44" w:rsidRDefault="00D21641" w:rsidP="00C26B44">
      <w:pPr>
        <w:pStyle w:val="Textonotapie"/>
        <w:ind w:firstLine="708"/>
        <w:jc w:val="both"/>
        <w:rPr>
          <w:rFonts w:ascii="Arial" w:hAnsi="Arial" w:cs="Arial"/>
          <w:sz w:val="18"/>
          <w:szCs w:val="18"/>
        </w:rPr>
      </w:pPr>
      <w:r w:rsidRPr="00256A3D">
        <w:rPr>
          <w:rFonts w:ascii="Arial" w:hAnsi="Arial" w:cs="Arial"/>
          <w:sz w:val="18"/>
          <w:szCs w:val="18"/>
        </w:rPr>
        <w:t>»</w:t>
      </w:r>
      <w:r w:rsidR="005D1A87" w:rsidRPr="00C26B44">
        <w:rPr>
          <w:rFonts w:ascii="Arial" w:hAnsi="Arial" w:cs="Arial"/>
          <w:sz w:val="18"/>
          <w:szCs w:val="18"/>
        </w:rPr>
        <w:t>4. Índices de capacidad organizacional.</w:t>
      </w:r>
    </w:p>
    <w:p w14:paraId="05579B5F" w14:textId="32A7EE29" w:rsidR="005D1A87" w:rsidRPr="00C26B44" w:rsidRDefault="00D21641" w:rsidP="00C26B44">
      <w:pPr>
        <w:pStyle w:val="Textonotapie"/>
        <w:ind w:firstLine="708"/>
        <w:jc w:val="both"/>
        <w:rPr>
          <w:rFonts w:ascii="Arial" w:hAnsi="Arial" w:cs="Arial"/>
          <w:sz w:val="18"/>
          <w:szCs w:val="18"/>
        </w:rPr>
      </w:pPr>
      <w:r w:rsidRPr="00256A3D">
        <w:rPr>
          <w:rFonts w:ascii="Arial" w:hAnsi="Arial" w:cs="Arial"/>
          <w:sz w:val="18"/>
          <w:szCs w:val="18"/>
        </w:rPr>
        <w:t>»</w:t>
      </w:r>
      <w:r w:rsidR="005D1A87" w:rsidRPr="00C26B44">
        <w:rPr>
          <w:rFonts w:ascii="Arial" w:hAnsi="Arial" w:cs="Arial"/>
          <w:sz w:val="18"/>
          <w:szCs w:val="18"/>
        </w:rPr>
        <w:t>5. Valor de la garantía de seriedad de la oferta.</w:t>
      </w:r>
    </w:p>
    <w:p w14:paraId="05819E95" w14:textId="3CBFF142" w:rsidR="005D1A87" w:rsidRPr="00C26B44" w:rsidRDefault="00D21641" w:rsidP="00C26B44">
      <w:pPr>
        <w:pStyle w:val="Textonotapie"/>
        <w:ind w:firstLine="708"/>
        <w:jc w:val="both"/>
        <w:rPr>
          <w:rFonts w:ascii="Arial" w:hAnsi="Arial" w:cs="Arial"/>
          <w:sz w:val="18"/>
          <w:szCs w:val="18"/>
        </w:rPr>
      </w:pPr>
      <w:r w:rsidRPr="00256A3D">
        <w:rPr>
          <w:rFonts w:ascii="Arial" w:hAnsi="Arial" w:cs="Arial"/>
          <w:sz w:val="18"/>
          <w:szCs w:val="18"/>
        </w:rPr>
        <w:t>»</w:t>
      </w:r>
      <w:r w:rsidR="005D1A87" w:rsidRPr="00C26B44">
        <w:rPr>
          <w:rFonts w:ascii="Arial" w:hAnsi="Arial" w:cs="Arial"/>
          <w:sz w:val="18"/>
          <w:szCs w:val="18"/>
        </w:rPr>
        <w:t>Los requisitos mencionados deberán fijarse respetando las condiciones habilitantes requeridas para el cumplimiento adecuado del contrato, teniendo en cuenta el alcance de las obligaciones. En desarrollo de lo anterior, con la finalidad de beneficiar a las Mipyme, se establecerán condiciones más exigentes respecto a alguno o algunos de los criterios de participación antes enunciados frente a los demás proponentes que concurran al procedimiento de selección que no sean Mipyme.</w:t>
      </w:r>
    </w:p>
    <w:p w14:paraId="438988AE" w14:textId="17AB7976" w:rsidR="005D1A87" w:rsidRPr="00C26B44" w:rsidRDefault="00D21641" w:rsidP="00C26B44">
      <w:pPr>
        <w:pStyle w:val="Textonotapie"/>
        <w:ind w:firstLine="708"/>
        <w:jc w:val="both"/>
        <w:rPr>
          <w:rFonts w:ascii="Arial" w:hAnsi="Arial" w:cs="Arial"/>
          <w:sz w:val="18"/>
          <w:szCs w:val="18"/>
        </w:rPr>
      </w:pPr>
      <w:r w:rsidRPr="00256A3D">
        <w:rPr>
          <w:rFonts w:ascii="Arial" w:hAnsi="Arial" w:cs="Arial"/>
          <w:sz w:val="18"/>
          <w:szCs w:val="18"/>
        </w:rPr>
        <w:t>»</w:t>
      </w:r>
      <w:r w:rsidR="005D1A87" w:rsidRPr="00C26B44">
        <w:rPr>
          <w:rFonts w:ascii="Arial" w:hAnsi="Arial" w:cs="Arial"/>
          <w:sz w:val="18"/>
          <w:szCs w:val="18"/>
        </w:rPr>
        <w:t>Con excepción de los procedimientos de selección abreviada por subasta inversa y de mínima cuantía, las entidades sometidas al Estatuto General de Contratación de la Administración Pública, teniendo en cuenta los criterios de clasificación empresarial, podrán establecer puntajes adicionales para Mipyme. En ningún caso, estos podrán superar el cero punto veinticinco por ciento (0.25%) del total de los puntos establecidos en el pliego de condiciones.</w:t>
      </w:r>
    </w:p>
    <w:p w14:paraId="10781A97" w14:textId="13247EA0" w:rsidR="005D1A87" w:rsidRPr="00C26B44" w:rsidRDefault="00D21641" w:rsidP="00C26B44">
      <w:pPr>
        <w:pStyle w:val="Textonotapie"/>
        <w:ind w:firstLine="708"/>
        <w:jc w:val="both"/>
        <w:rPr>
          <w:rFonts w:ascii="Arial" w:hAnsi="Arial" w:cs="Arial"/>
          <w:sz w:val="18"/>
          <w:szCs w:val="18"/>
        </w:rPr>
      </w:pPr>
      <w:r w:rsidRPr="00256A3D">
        <w:rPr>
          <w:rFonts w:ascii="Arial" w:hAnsi="Arial" w:cs="Arial"/>
          <w:sz w:val="18"/>
          <w:szCs w:val="18"/>
        </w:rPr>
        <w:t xml:space="preserve">»Parágrafo </w:t>
      </w:r>
      <w:r w:rsidR="005D1A87" w:rsidRPr="00C26B44">
        <w:rPr>
          <w:rFonts w:ascii="Arial" w:hAnsi="Arial" w:cs="Arial"/>
          <w:sz w:val="18"/>
          <w:szCs w:val="18"/>
        </w:rPr>
        <w:t>1. Para los efectos de este artículo, los criterios de clasificación empresarial son los definidos en el artículo 2.2.1.13.2.2 del Decreto 1074 de 2015, Único Reglamentario del Sector Comercio, Industria y Turismo, o la norma que lo modifique, derogue o sustituya.</w:t>
      </w:r>
    </w:p>
    <w:p w14:paraId="71AE0277" w14:textId="778144E5" w:rsidR="005D1A87" w:rsidRPr="00C26B44" w:rsidRDefault="00D21641" w:rsidP="00C26B44">
      <w:pPr>
        <w:pStyle w:val="Textonotapie"/>
        <w:ind w:firstLine="708"/>
        <w:jc w:val="both"/>
        <w:rPr>
          <w:rFonts w:ascii="Arial" w:hAnsi="Arial" w:cs="Arial"/>
          <w:sz w:val="18"/>
          <w:szCs w:val="18"/>
        </w:rPr>
      </w:pPr>
      <w:r w:rsidRPr="00256A3D">
        <w:rPr>
          <w:rFonts w:ascii="Arial" w:hAnsi="Arial" w:cs="Arial"/>
          <w:sz w:val="18"/>
          <w:szCs w:val="18"/>
        </w:rPr>
        <w:t>»Parágrafo</w:t>
      </w:r>
      <w:r w:rsidR="005D1A87" w:rsidRPr="00C26B44">
        <w:rPr>
          <w:rFonts w:ascii="Arial" w:hAnsi="Arial" w:cs="Arial"/>
          <w:sz w:val="18"/>
          <w:szCs w:val="18"/>
        </w:rPr>
        <w:t xml:space="preserve"> 2. Tratándose de proponentes plurales, los criterios diferenciales y los puntajes adicionales solo se aplicarán si por lo menos uno de los integrantes acredita la calidad de Mipyme y tiene una participación igual o superior al diez por ciento (10%) en el consorcio o la unión temporal.</w:t>
      </w:r>
    </w:p>
    <w:p w14:paraId="43A7547E" w14:textId="4F2C4734" w:rsidR="005D1A87" w:rsidRPr="00C26B44" w:rsidRDefault="00D21641" w:rsidP="00C26B44">
      <w:pPr>
        <w:pStyle w:val="Textonotapie"/>
        <w:ind w:firstLine="708"/>
        <w:jc w:val="both"/>
        <w:rPr>
          <w:rFonts w:ascii="Arial" w:hAnsi="Arial" w:cs="Arial"/>
          <w:sz w:val="18"/>
          <w:szCs w:val="18"/>
        </w:rPr>
      </w:pPr>
      <w:r w:rsidRPr="00256A3D">
        <w:rPr>
          <w:rFonts w:ascii="Arial" w:hAnsi="Arial" w:cs="Arial"/>
          <w:sz w:val="18"/>
          <w:szCs w:val="18"/>
        </w:rPr>
        <w:t>»Parágrafo</w:t>
      </w:r>
      <w:r w:rsidR="005D1A87" w:rsidRPr="00C26B44">
        <w:rPr>
          <w:rFonts w:ascii="Arial" w:hAnsi="Arial" w:cs="Arial"/>
          <w:sz w:val="18"/>
          <w:szCs w:val="18"/>
        </w:rPr>
        <w:t xml:space="preserve"> 3. Lo previsto en esta norma aplica sin perjuicio de lo dispuesto en los Acuerdos Comerciales suscritos por el Estado colombiano, pero no rige en las convocatorias limitadas que se realicen conforme a los artículos 2.2.1.2.4.2.2 y 2.2.1.2.4.2.3 de este Decreto</w:t>
      </w:r>
      <w:r w:rsidRPr="00256A3D">
        <w:rPr>
          <w:rFonts w:ascii="Arial" w:hAnsi="Arial" w:cs="Arial"/>
          <w:sz w:val="18"/>
          <w:szCs w:val="18"/>
        </w:rPr>
        <w:t xml:space="preserve">». </w:t>
      </w:r>
    </w:p>
  </w:footnote>
  <w:footnote w:id="27">
    <w:p w14:paraId="307D2704" w14:textId="77777777" w:rsidR="007542C2" w:rsidRPr="00254E86" w:rsidRDefault="007542C2" w:rsidP="006B4DCA">
      <w:pPr>
        <w:pStyle w:val="Textonotapie"/>
        <w:ind w:firstLine="709"/>
        <w:jc w:val="both"/>
        <w:rPr>
          <w:rFonts w:ascii="Arial" w:hAnsi="Arial" w:cs="Arial"/>
          <w:sz w:val="18"/>
          <w:szCs w:val="18"/>
          <w:lang w:val="es-ES"/>
        </w:rPr>
      </w:pPr>
      <w:r w:rsidRPr="00254E86">
        <w:rPr>
          <w:rStyle w:val="Refdenotaalpie"/>
          <w:rFonts w:ascii="Arial" w:hAnsi="Arial" w:cs="Arial"/>
          <w:sz w:val="18"/>
          <w:szCs w:val="18"/>
        </w:rPr>
        <w:footnoteRef/>
      </w:r>
      <w:r w:rsidRPr="00254E86">
        <w:rPr>
          <w:rFonts w:ascii="Arial" w:hAnsi="Arial" w:cs="Arial"/>
          <w:sz w:val="18"/>
          <w:szCs w:val="18"/>
        </w:rPr>
        <w:t xml:space="preserve"> </w:t>
      </w:r>
      <w:r w:rsidRPr="00254E86">
        <w:rPr>
          <w:rFonts w:ascii="Arial" w:hAnsi="Arial" w:cs="Arial"/>
          <w:sz w:val="18"/>
          <w:szCs w:val="18"/>
          <w:lang w:val="es-ES"/>
        </w:rPr>
        <w:t>En:</w:t>
      </w:r>
    </w:p>
    <w:p w14:paraId="4C4E8783" w14:textId="77777777" w:rsidR="007542C2" w:rsidRPr="00C26B44" w:rsidRDefault="007542C2" w:rsidP="006B4DCA">
      <w:pPr>
        <w:pStyle w:val="Textonotapie"/>
        <w:ind w:firstLine="709"/>
        <w:jc w:val="both"/>
        <w:rPr>
          <w:rFonts w:ascii="Arial" w:hAnsi="Arial" w:cs="Arial"/>
          <w:sz w:val="18"/>
          <w:szCs w:val="18"/>
          <w:lang w:val="es-ES"/>
        </w:rPr>
      </w:pPr>
      <w:r w:rsidRPr="00254E86">
        <w:rPr>
          <w:rFonts w:ascii="Arial" w:hAnsi="Arial" w:cs="Arial"/>
          <w:sz w:val="18"/>
          <w:szCs w:val="18"/>
          <w:lang w:val="es-ES"/>
        </w:rPr>
        <w:t xml:space="preserve"> https://colombiacompra.gov.co/sites/cce_public/files/cce_documents/cce_guia_elaboracion_estudios.pdf</w:t>
      </w:r>
    </w:p>
  </w:footnote>
  <w:footnote w:id="28">
    <w:p w14:paraId="7BB19C3B" w14:textId="77777777" w:rsidR="007542C2" w:rsidRPr="00C26B44" w:rsidRDefault="007542C2" w:rsidP="006B4DCA">
      <w:pPr>
        <w:pStyle w:val="Textonotapie"/>
        <w:ind w:firstLine="709"/>
        <w:jc w:val="both"/>
        <w:rPr>
          <w:rFonts w:ascii="Arial" w:hAnsi="Arial" w:cs="Arial"/>
          <w:sz w:val="18"/>
          <w:szCs w:val="18"/>
          <w:lang w:val="es-CO"/>
        </w:rPr>
      </w:pPr>
      <w:r w:rsidRPr="00C26B44">
        <w:rPr>
          <w:rStyle w:val="Refdenotaalpie"/>
          <w:rFonts w:ascii="Arial" w:hAnsi="Arial" w:cs="Arial"/>
          <w:sz w:val="18"/>
          <w:szCs w:val="18"/>
        </w:rPr>
        <w:footnoteRef/>
      </w:r>
      <w:r w:rsidRPr="00C26B44">
        <w:rPr>
          <w:rFonts w:ascii="Arial" w:hAnsi="Arial" w:cs="Arial"/>
          <w:sz w:val="18"/>
          <w:szCs w:val="18"/>
        </w:rPr>
        <w:t xml:space="preserve"> </w:t>
      </w:r>
      <w:r w:rsidRPr="00C26B44">
        <w:rPr>
          <w:rFonts w:ascii="Arial" w:hAnsi="Arial" w:cs="Arial"/>
          <w:sz w:val="18"/>
          <w:szCs w:val="18"/>
          <w:lang w:val="es-ES"/>
        </w:rPr>
        <w:t>La RAE define el verbo «proveer», entre otras acepciones, como «Suministrar o facilitar lo necesario o conveniente para un fin». En: https://dle.rae.es/proveer?m=form</w:t>
      </w:r>
    </w:p>
  </w:footnote>
  <w:footnote w:id="29">
    <w:p w14:paraId="352EF51D" w14:textId="77777777" w:rsidR="00EB580A" w:rsidRPr="00C26B44" w:rsidRDefault="00EB580A" w:rsidP="006B4DCA">
      <w:pPr>
        <w:pStyle w:val="Textonotapie"/>
        <w:ind w:firstLine="709"/>
        <w:jc w:val="both"/>
        <w:rPr>
          <w:rFonts w:ascii="Arial" w:hAnsi="Arial" w:cs="Arial"/>
          <w:sz w:val="18"/>
          <w:szCs w:val="18"/>
          <w:lang w:val="es-ES"/>
        </w:rPr>
      </w:pPr>
      <w:r w:rsidRPr="00C26B44">
        <w:rPr>
          <w:rStyle w:val="Refdenotaalpie"/>
          <w:rFonts w:ascii="Arial" w:hAnsi="Arial" w:cs="Arial"/>
          <w:sz w:val="18"/>
          <w:szCs w:val="18"/>
        </w:rPr>
        <w:footnoteRef/>
      </w:r>
      <w:r w:rsidRPr="00C26B44">
        <w:rPr>
          <w:rFonts w:ascii="Arial" w:hAnsi="Arial" w:cs="Arial"/>
          <w:sz w:val="18"/>
          <w:szCs w:val="18"/>
        </w:rPr>
        <w:t xml:space="preserve"> </w:t>
      </w:r>
      <w:r w:rsidRPr="00C26B44">
        <w:rPr>
          <w:rFonts w:ascii="Arial" w:hAnsi="Arial" w:cs="Arial"/>
          <w:sz w:val="18"/>
          <w:szCs w:val="18"/>
          <w:lang w:val="es-ES"/>
        </w:rPr>
        <w:t>Corte Constitucional. Sentencia T-684A del 14 de septiembre de 2011. Magistrado Ponente: Mauricio González Cuervo.</w:t>
      </w:r>
    </w:p>
    <w:p w14:paraId="657E16C0" w14:textId="77777777" w:rsidR="00EB580A" w:rsidRPr="00C26B44" w:rsidRDefault="00EB580A" w:rsidP="006B4DCA">
      <w:pPr>
        <w:pStyle w:val="Textonotapie"/>
        <w:ind w:firstLine="709"/>
        <w:jc w:val="both"/>
        <w:rPr>
          <w:rFonts w:ascii="Arial" w:hAnsi="Arial" w:cs="Arial"/>
          <w:sz w:val="18"/>
          <w:szCs w:val="18"/>
          <w:lang w:val="es-ES"/>
        </w:rPr>
      </w:pPr>
    </w:p>
  </w:footnote>
  <w:footnote w:id="30">
    <w:p w14:paraId="313BACF3" w14:textId="77777777" w:rsidR="00EB580A" w:rsidRPr="00C26B44" w:rsidRDefault="00EB580A" w:rsidP="006B4DCA">
      <w:pPr>
        <w:pStyle w:val="Textonotapie"/>
        <w:ind w:firstLine="709"/>
        <w:jc w:val="both"/>
        <w:rPr>
          <w:rFonts w:ascii="Arial" w:hAnsi="Arial" w:cs="Arial"/>
          <w:sz w:val="18"/>
          <w:szCs w:val="18"/>
          <w:lang w:val="es-ES"/>
        </w:rPr>
      </w:pPr>
      <w:r w:rsidRPr="00C26B44">
        <w:rPr>
          <w:rStyle w:val="Refdenotaalpie"/>
          <w:rFonts w:ascii="Arial" w:hAnsi="Arial" w:cs="Arial"/>
          <w:sz w:val="18"/>
          <w:szCs w:val="18"/>
        </w:rPr>
        <w:footnoteRef/>
      </w:r>
      <w:r w:rsidRPr="00C26B44">
        <w:rPr>
          <w:rFonts w:ascii="Arial" w:hAnsi="Arial" w:cs="Arial"/>
          <w:sz w:val="18"/>
          <w:szCs w:val="18"/>
        </w:rPr>
        <w:t xml:space="preserve"> </w:t>
      </w:r>
      <w:r w:rsidRPr="00C26B44">
        <w:rPr>
          <w:rFonts w:ascii="Arial" w:hAnsi="Arial" w:cs="Arial"/>
          <w:sz w:val="18"/>
          <w:szCs w:val="18"/>
          <w:lang w:val="es-ES"/>
        </w:rPr>
        <w:t xml:space="preserve">Consejo de Estado. Sección Tercera. Sentencia del 6 de diciembre de 2.013. Consejera </w:t>
      </w:r>
      <w:r w:rsidRPr="00C26B44">
        <w:rPr>
          <w:rFonts w:ascii="Arial" w:hAnsi="Arial" w:cs="Arial"/>
          <w:sz w:val="18"/>
          <w:szCs w:val="18"/>
          <w:lang w:val="es-ES"/>
        </w:rPr>
        <w:t xml:space="preserve">Ponentge: Stella Conto Díaz Del Castillo. Expediente: 27.506. En efecto, el artículo 44, inciso 1º,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5966C104" w14:textId="77777777" w:rsidR="00EB580A" w:rsidRPr="00C26B44" w:rsidRDefault="00EB580A" w:rsidP="006B4DCA">
      <w:pPr>
        <w:pStyle w:val="Textonotapie"/>
        <w:ind w:firstLine="709"/>
        <w:jc w:val="both"/>
        <w:rPr>
          <w:rFonts w:ascii="Arial" w:hAnsi="Arial" w:cs="Arial"/>
          <w:sz w:val="18"/>
          <w:szCs w:val="18"/>
          <w:lang w:val="es-CO"/>
        </w:rPr>
      </w:pPr>
    </w:p>
  </w:footnote>
  <w:footnote w:id="31">
    <w:p w14:paraId="570E1CB9" w14:textId="48E1850D" w:rsidR="00C959FE" w:rsidRPr="00C26B44" w:rsidRDefault="00431907" w:rsidP="006B4DCA">
      <w:pPr>
        <w:pStyle w:val="Textonotapie"/>
        <w:ind w:firstLine="708"/>
        <w:jc w:val="both"/>
        <w:rPr>
          <w:rFonts w:ascii="Arial" w:hAnsi="Arial" w:cs="Arial"/>
          <w:color w:val="000000" w:themeColor="text1"/>
          <w:sz w:val="18"/>
          <w:szCs w:val="18"/>
        </w:rPr>
      </w:pPr>
      <w:r w:rsidRPr="00C26B44">
        <w:rPr>
          <w:rStyle w:val="Refdenotaalpie"/>
          <w:rFonts w:ascii="Arial" w:hAnsi="Arial" w:cs="Arial"/>
          <w:sz w:val="18"/>
          <w:szCs w:val="18"/>
        </w:rPr>
        <w:footnoteRef/>
      </w:r>
      <w:r w:rsidRPr="00C26B44">
        <w:rPr>
          <w:rFonts w:ascii="Arial" w:hAnsi="Arial" w:cs="Arial"/>
          <w:sz w:val="18"/>
          <w:szCs w:val="18"/>
        </w:rPr>
        <w:t xml:space="preserve"> </w:t>
      </w:r>
      <w:r w:rsidR="00936489" w:rsidRPr="00C26B44">
        <w:rPr>
          <w:rFonts w:ascii="Arial" w:hAnsi="Arial" w:cs="Arial"/>
          <w:color w:val="000000" w:themeColor="text1"/>
          <w:sz w:val="18"/>
          <w:szCs w:val="18"/>
          <w:lang w:val="es-ES_tradnl"/>
        </w:rPr>
        <w:t>«</w:t>
      </w:r>
      <w:r w:rsidR="00C959FE" w:rsidRPr="00C26B44">
        <w:rPr>
          <w:rFonts w:ascii="Arial" w:hAnsi="Arial" w:cs="Arial"/>
          <w:sz w:val="18"/>
          <w:szCs w:val="18"/>
          <w:lang w:val="es-CO"/>
        </w:rPr>
        <w:t>2</w:t>
      </w:r>
      <w:r w:rsidR="00C959FE" w:rsidRPr="00C26B44">
        <w:rPr>
          <w:rFonts w:ascii="Arial" w:hAnsi="Arial" w:cs="Arial"/>
          <w:color w:val="000000" w:themeColor="text1"/>
          <w:sz w:val="18"/>
          <w:szCs w:val="18"/>
        </w:rPr>
        <w:t>. […]   Igualmente, se preferirá la propuesta de la mujer víctima de violencia intrafamiliar, la cual acreditará dicha condición de conformidad con el artículo </w:t>
      </w:r>
      <w:hyperlink r:id="rId16" w:anchor="21" w:tgtFrame="_blank" w:history="1">
        <w:r w:rsidR="00C959FE" w:rsidRPr="00C26B44">
          <w:rPr>
            <w:rFonts w:ascii="Arial" w:hAnsi="Arial" w:cs="Arial"/>
            <w:color w:val="000000" w:themeColor="text1"/>
            <w:sz w:val="18"/>
            <w:szCs w:val="18"/>
          </w:rPr>
          <w:t>21 </w:t>
        </w:r>
      </w:hyperlink>
      <w:r w:rsidR="00C959FE" w:rsidRPr="00C26B44">
        <w:rPr>
          <w:rFonts w:ascii="Arial" w:hAnsi="Arial" w:cs="Arial"/>
          <w:color w:val="000000" w:themeColor="text1"/>
          <w:sz w:val="18"/>
          <w:szCs w:val="18"/>
        </w:rPr>
        <w:t>de la Ley 1257 de 2008, esto es, cuando se profiera una medida de protección expedida por la autoridad competente. En virtud del artículo </w:t>
      </w:r>
      <w:hyperlink r:id="rId17" w:anchor="16" w:tgtFrame="_blank" w:history="1">
        <w:r w:rsidR="00C959FE" w:rsidRPr="00C26B44">
          <w:rPr>
            <w:rFonts w:ascii="Arial" w:hAnsi="Arial" w:cs="Arial"/>
            <w:color w:val="000000" w:themeColor="text1"/>
            <w:sz w:val="18"/>
            <w:szCs w:val="18"/>
          </w:rPr>
          <w:t>16 </w:t>
        </w:r>
      </w:hyperlink>
      <w:r w:rsidR="00C959FE" w:rsidRPr="00C26B44">
        <w:rPr>
          <w:rFonts w:ascii="Arial" w:hAnsi="Arial" w:cs="Arial"/>
          <w:color w:val="000000" w:themeColor="text1"/>
          <w:sz w:val="18"/>
          <w:szCs w:val="18"/>
        </w:rPr>
        <w:t>de la Ley 1257 de 2008, la medida de protección la debe impartir el comisario de familia del lugar donde ocurrieron los hechos y, a falta de este, del juez civil municipal o promiscuo municipal, o la autoridad indígena en los casos de violencia intrafamiliar en las comunidades de esta naturaleza.   </w:t>
      </w:r>
    </w:p>
    <w:p w14:paraId="2860B565" w14:textId="3C91D457" w:rsidR="00C959FE" w:rsidRPr="00C26B44" w:rsidRDefault="00C959FE" w:rsidP="006B4DCA">
      <w:pPr>
        <w:pStyle w:val="Textonotapie"/>
        <w:ind w:firstLine="708"/>
        <w:jc w:val="both"/>
        <w:rPr>
          <w:rFonts w:ascii="Arial" w:hAnsi="Arial" w:cs="Arial"/>
          <w:color w:val="000000" w:themeColor="text1"/>
          <w:sz w:val="18"/>
          <w:szCs w:val="18"/>
        </w:rPr>
      </w:pPr>
      <w:r w:rsidRPr="00C26B44">
        <w:rPr>
          <w:rFonts w:ascii="Arial" w:hAnsi="Arial" w:cs="Arial"/>
          <w:color w:val="000000" w:themeColor="text1"/>
          <w:sz w:val="18"/>
          <w:szCs w:val="18"/>
        </w:rPr>
        <w:t>En el caso de las personas jurídicas se preferirá a aquellas en las que participen mayoritariamente mujeres cabeza de familia y/o mujeres víctimas de violencia intrafamiliar, para lo cual el representante legal o el revisor fiscal, según corresponda, presentará un certificado, mediante el cual acredita, bajo la gravedad de juramento, que más del cincuenta por ciento (50 %) de la composición accionaria o cuota parte de la persona jurídica está constituida por mujeres cabeza de familia y/o mujeres víctimas de violencia intrafamiliar. Además, deberá acreditar la condición indicada de cada una de las mujeres que participen en la sociedad, aportando los documentos de cada una de ellas, de acuerdo con los dos incisos anteriores.   </w:t>
      </w:r>
    </w:p>
    <w:p w14:paraId="3C5A8916" w14:textId="418BD35D" w:rsidR="00C959FE" w:rsidRPr="00C26B44" w:rsidRDefault="00C959FE" w:rsidP="006B4DCA">
      <w:pPr>
        <w:pStyle w:val="Textonotapie"/>
        <w:ind w:firstLine="708"/>
        <w:jc w:val="both"/>
        <w:rPr>
          <w:rFonts w:ascii="Arial" w:hAnsi="Arial" w:cs="Arial"/>
          <w:color w:val="000000" w:themeColor="text1"/>
          <w:sz w:val="18"/>
          <w:szCs w:val="18"/>
        </w:rPr>
      </w:pPr>
      <w:r w:rsidRPr="00C26B44">
        <w:rPr>
          <w:rFonts w:ascii="Arial" w:hAnsi="Arial" w:cs="Arial"/>
          <w:color w:val="000000" w:themeColor="text1"/>
          <w:sz w:val="18"/>
          <w:szCs w:val="18"/>
        </w:rPr>
        <w:t>Finalmente, en el caso de los proponentes plurales, se preferirá la oferta cuando cada uno de los integrantes acredite alguna de las condiciones señaladas en los incisos anteriores de este numeral.   </w:t>
      </w:r>
    </w:p>
    <w:p w14:paraId="7849D2B4" w14:textId="755D2D4D" w:rsidR="00C959FE" w:rsidRPr="00C26B44" w:rsidRDefault="00C959FE" w:rsidP="006B4DCA">
      <w:pPr>
        <w:pStyle w:val="Textonotapie"/>
        <w:ind w:firstLine="708"/>
        <w:jc w:val="both"/>
        <w:rPr>
          <w:rFonts w:ascii="Arial" w:hAnsi="Arial" w:cs="Arial"/>
          <w:color w:val="000000" w:themeColor="text1"/>
          <w:sz w:val="18"/>
          <w:szCs w:val="18"/>
        </w:rPr>
      </w:pPr>
      <w:r w:rsidRPr="00C26B44">
        <w:rPr>
          <w:rFonts w:ascii="Arial" w:hAnsi="Arial" w:cs="Arial"/>
          <w:color w:val="000000" w:themeColor="text1"/>
          <w:sz w:val="18"/>
          <w:szCs w:val="18"/>
        </w:rPr>
        <w:t>De acuerdo con el artículo </w:t>
      </w:r>
      <w:hyperlink r:id="rId18" w:anchor="5" w:tgtFrame="_blank" w:history="1">
        <w:r w:rsidRPr="00C26B44">
          <w:rPr>
            <w:rFonts w:ascii="Arial" w:hAnsi="Arial" w:cs="Arial"/>
            <w:color w:val="000000" w:themeColor="text1"/>
            <w:sz w:val="18"/>
            <w:szCs w:val="18"/>
          </w:rPr>
          <w:t>5 </w:t>
        </w:r>
      </w:hyperlink>
      <w:r w:rsidRPr="00C26B44">
        <w:rPr>
          <w:rFonts w:ascii="Arial" w:hAnsi="Arial" w:cs="Arial"/>
          <w:color w:val="000000" w:themeColor="text1"/>
          <w:sz w:val="18"/>
          <w:szCs w:val="18"/>
        </w:rPr>
        <w:t>de la Ley 1581 de 2012, el titular de la información de estos datos sensibles, como es el caso de las mujeres víctimas de violencia intrafamiliar, deberá autorizar de manera previa y expresa el tratamiento de esta información, en los términos del literal </w:t>
      </w:r>
      <w:hyperlink r:id="rId19" w:anchor="6.a" w:tgtFrame="_blank" w:history="1">
        <w:r w:rsidRPr="00C26B44">
          <w:rPr>
            <w:rFonts w:ascii="Arial" w:hAnsi="Arial" w:cs="Arial"/>
            <w:color w:val="000000" w:themeColor="text1"/>
            <w:sz w:val="18"/>
            <w:szCs w:val="18"/>
          </w:rPr>
          <w:t>a</w:t>
        </w:r>
      </w:hyperlink>
      <w:r w:rsidRPr="00C26B44">
        <w:rPr>
          <w:rFonts w:ascii="Arial" w:hAnsi="Arial" w:cs="Arial"/>
          <w:color w:val="000000" w:themeColor="text1"/>
          <w:sz w:val="18"/>
          <w:szCs w:val="18"/>
        </w:rPr>
        <w:t>) del artículo </w:t>
      </w:r>
      <w:hyperlink r:id="rId20" w:anchor="6" w:tgtFrame="_blank" w:history="1">
        <w:r w:rsidRPr="00C26B44">
          <w:rPr>
            <w:rFonts w:ascii="Arial" w:hAnsi="Arial" w:cs="Arial"/>
            <w:color w:val="000000" w:themeColor="text1"/>
            <w:sz w:val="18"/>
            <w:szCs w:val="18"/>
          </w:rPr>
          <w:t>6 </w:t>
        </w:r>
      </w:hyperlink>
      <w:r w:rsidRPr="00C26B44">
        <w:rPr>
          <w:rFonts w:ascii="Arial" w:hAnsi="Arial" w:cs="Arial"/>
          <w:color w:val="000000" w:themeColor="text1"/>
          <w:sz w:val="18"/>
          <w:szCs w:val="18"/>
        </w:rPr>
        <w:t>de la precitada Ley, como requisito para el otorgamiento del criterio de desempate</w:t>
      </w:r>
      <w:r w:rsidR="00936489" w:rsidRPr="00C26B44">
        <w:rPr>
          <w:rFonts w:ascii="Arial" w:hAnsi="Arial" w:cs="Arial"/>
          <w:color w:val="000000" w:themeColor="text1"/>
          <w:sz w:val="18"/>
          <w:szCs w:val="18"/>
        </w:rPr>
        <w:t>»</w:t>
      </w:r>
      <w:r w:rsidRPr="00C26B44">
        <w:rPr>
          <w:rFonts w:ascii="Arial" w:hAnsi="Arial" w:cs="Arial"/>
          <w:color w:val="000000" w:themeColor="text1"/>
          <w:sz w:val="18"/>
          <w:szCs w:val="18"/>
        </w:rPr>
        <w:t>. </w:t>
      </w:r>
    </w:p>
    <w:p w14:paraId="7C2E88F4" w14:textId="6BE9AF69" w:rsidR="00C959FE" w:rsidRPr="00C26B44" w:rsidRDefault="00C959FE" w:rsidP="006B4DCA">
      <w:pPr>
        <w:pStyle w:val="Textonotapie"/>
        <w:ind w:firstLine="708"/>
        <w:jc w:val="both"/>
        <w:rPr>
          <w:rFonts w:ascii="Arial" w:hAnsi="Arial" w:cs="Arial"/>
          <w:color w:val="000000" w:themeColor="text1"/>
          <w:sz w:val="18"/>
          <w:szCs w:val="18"/>
        </w:rPr>
      </w:pPr>
      <w:r w:rsidRPr="00C26B44">
        <w:rPr>
          <w:rFonts w:ascii="Arial" w:hAnsi="Arial" w:cs="Arial"/>
          <w:color w:val="000000" w:themeColor="text1"/>
          <w:sz w:val="18"/>
          <w:szCs w:val="18"/>
        </w:rPr>
        <w:t>[…]</w:t>
      </w:r>
    </w:p>
    <w:p w14:paraId="54A80A76" w14:textId="0EBA1088" w:rsidR="00C959FE" w:rsidRPr="00C26B44" w:rsidRDefault="00431907" w:rsidP="006B4DCA">
      <w:pPr>
        <w:pStyle w:val="Textonotapie"/>
        <w:ind w:firstLine="708"/>
        <w:jc w:val="both"/>
        <w:rPr>
          <w:rFonts w:ascii="Arial" w:hAnsi="Arial" w:cs="Arial"/>
          <w:color w:val="000000" w:themeColor="text1"/>
          <w:sz w:val="18"/>
          <w:szCs w:val="18"/>
        </w:rPr>
      </w:pPr>
      <w:r w:rsidRPr="00C26B44">
        <w:rPr>
          <w:rFonts w:ascii="Arial" w:hAnsi="Arial" w:cs="Arial"/>
          <w:sz w:val="18"/>
          <w:szCs w:val="18"/>
        </w:rPr>
        <w:t xml:space="preserve"> </w:t>
      </w:r>
      <w:r w:rsidR="00936489" w:rsidRPr="00C26B44">
        <w:rPr>
          <w:rFonts w:ascii="Arial" w:hAnsi="Arial" w:cs="Arial"/>
          <w:color w:val="000000" w:themeColor="text1"/>
          <w:sz w:val="18"/>
          <w:szCs w:val="18"/>
          <w:lang w:val="es-ES_tradnl"/>
        </w:rPr>
        <w:t>«</w:t>
      </w:r>
      <w:r w:rsidR="00C959FE" w:rsidRPr="00C26B44">
        <w:rPr>
          <w:rFonts w:ascii="Arial" w:hAnsi="Arial" w:cs="Arial"/>
          <w:sz w:val="18"/>
          <w:szCs w:val="18"/>
        </w:rPr>
        <w:t>5</w:t>
      </w:r>
      <w:r w:rsidR="00C959FE" w:rsidRPr="00C26B44">
        <w:rPr>
          <w:rFonts w:ascii="Arial" w:hAnsi="Arial" w:cs="Arial"/>
          <w:color w:val="000000" w:themeColor="text1"/>
          <w:sz w:val="18"/>
          <w:szCs w:val="18"/>
        </w:rPr>
        <w:t xml:space="preserve">. Preferir la propuesta presentada por el oferente que acredite que por lo menos el diez por ciento (10%) de su nómina pertenece a población indígena, negra, afrocolombiana, raizal, palanquera, Rrom o gitana, para lo cual, la persona natural, el representante legal o el revisor fiscal, según corresponda, bajo la gravedad de juramento señalará las personas vinculadas a su nómina, y el número de identificación y nombre de las personas que pertenecen a la población indígena, negra, afrocolombiana, raizal, palanquera, Rrom o gitana. Solo se tendrá en cuenta la vinculación de aquellas personas que hayan estado vinculadas con una anterioridad igual o mayor a un (1) año contado a partir de la fecha del cierre del proceso. Para los casos de constitución inferior a un (1) año, se tendrá en cuenta a aquellos que hayan estado vinculados desde el momento de constitución de la persona jurídica. </w:t>
      </w:r>
    </w:p>
    <w:p w14:paraId="03CCAB77" w14:textId="2386F592" w:rsidR="00C959FE" w:rsidRPr="00C26B44" w:rsidRDefault="00C959FE" w:rsidP="006B4DCA">
      <w:pPr>
        <w:pStyle w:val="Textonotapie"/>
        <w:ind w:firstLine="708"/>
        <w:jc w:val="both"/>
        <w:rPr>
          <w:rFonts w:ascii="Arial" w:hAnsi="Arial" w:cs="Arial"/>
          <w:color w:val="000000" w:themeColor="text1"/>
          <w:sz w:val="18"/>
          <w:szCs w:val="18"/>
        </w:rPr>
      </w:pPr>
      <w:r w:rsidRPr="00C26B44">
        <w:rPr>
          <w:rFonts w:ascii="Arial" w:hAnsi="Arial" w:cs="Arial"/>
          <w:color w:val="000000" w:themeColor="text1"/>
          <w:sz w:val="18"/>
          <w:szCs w:val="18"/>
        </w:rPr>
        <w:t xml:space="preserve"> El tiempo de vinculación en la planta referida, de que trata el inciso anterior, se acreditará con el certificado de aportes a seguridad social del último año o del tiempo de su constitución cuando su conformación es inferior a un (1) año, en el que se demuestren los pagos realizados por el empleador. </w:t>
      </w:r>
    </w:p>
    <w:p w14:paraId="41632BB4" w14:textId="4DE08CF8" w:rsidR="00C959FE" w:rsidRPr="00C26B44" w:rsidRDefault="00C959FE" w:rsidP="006B4DCA">
      <w:pPr>
        <w:pStyle w:val="Textonotapie"/>
        <w:ind w:firstLine="708"/>
        <w:jc w:val="both"/>
        <w:rPr>
          <w:rFonts w:ascii="Arial" w:hAnsi="Arial" w:cs="Arial"/>
          <w:color w:val="000000" w:themeColor="text1"/>
          <w:sz w:val="18"/>
          <w:szCs w:val="18"/>
        </w:rPr>
      </w:pPr>
      <w:r w:rsidRPr="00C26B44">
        <w:rPr>
          <w:rFonts w:ascii="Arial" w:hAnsi="Arial" w:cs="Arial"/>
          <w:color w:val="000000" w:themeColor="text1"/>
          <w:sz w:val="18"/>
          <w:szCs w:val="18"/>
        </w:rPr>
        <w:t xml:space="preserve">Además, deberá aportar la copia de la certificación expedida por el Ministerio del Interior, en la cual acredite que el trabajador pertenece a la población indígena, negra, afrocolombiana, raizal, palenquera, Rrom o gitana, en los términos del Decreto Ley 2893 de 2011, o la norma que lo modifique, sustituya o complemente. </w:t>
      </w:r>
    </w:p>
    <w:p w14:paraId="3C676B12" w14:textId="1937A84E" w:rsidR="00C959FE" w:rsidRPr="00C26B44" w:rsidRDefault="00C959FE" w:rsidP="006B4DCA">
      <w:pPr>
        <w:pStyle w:val="Textonotapie"/>
        <w:ind w:firstLine="708"/>
        <w:jc w:val="both"/>
        <w:rPr>
          <w:rFonts w:ascii="Arial" w:hAnsi="Arial" w:cs="Arial"/>
          <w:color w:val="000000" w:themeColor="text1"/>
          <w:sz w:val="18"/>
          <w:szCs w:val="18"/>
        </w:rPr>
      </w:pPr>
      <w:r w:rsidRPr="00C26B44">
        <w:rPr>
          <w:rFonts w:ascii="Arial" w:hAnsi="Arial" w:cs="Arial"/>
          <w:color w:val="000000" w:themeColor="text1"/>
          <w:sz w:val="18"/>
          <w:szCs w:val="18"/>
        </w:rPr>
        <w:t xml:space="preserve">En el caso de los proponentes plurales, su representante legal presentará un certificado, mediante el cual acredita que por lo menos diez por ciento (10%) del total de la nómina de sus integrantes pertenece a población indígena, negra, afrocolombiana, raizal, palanquera, Rrom o gitana. Este porcentaje se definirá de acuerdo con la sumatoria de la nómina de cada uno de los integrantes del proponente plural. Las personas enunciadas anteriormente podrán estar vinculadas a cualquiera de sus integrantes. En todo caso, deberá aportar la copia de la certificación expedida por el Ministerio del Interior, en la cual acredite que el trabajador pertenece a la población indígena, negra, afrocolombiana, raizal, palenquera, Rrom o gitana en los términos del Decreto Ley 2893 de 2011, o la norma que lo modifique, sustituya o complemente. </w:t>
      </w:r>
    </w:p>
    <w:p w14:paraId="07470D08" w14:textId="1B580AEA" w:rsidR="00C959FE" w:rsidRPr="00C26B44" w:rsidRDefault="00C959FE" w:rsidP="006B4DCA">
      <w:pPr>
        <w:pStyle w:val="Textonotapie"/>
        <w:ind w:firstLine="708"/>
        <w:jc w:val="both"/>
        <w:rPr>
          <w:rFonts w:ascii="Arial" w:hAnsi="Arial" w:cs="Arial"/>
          <w:color w:val="000000" w:themeColor="text1"/>
          <w:sz w:val="18"/>
          <w:szCs w:val="18"/>
        </w:rPr>
      </w:pPr>
      <w:r w:rsidRPr="00C26B44">
        <w:rPr>
          <w:rFonts w:ascii="Arial" w:hAnsi="Arial" w:cs="Arial"/>
          <w:color w:val="000000" w:themeColor="text1"/>
          <w:sz w:val="18"/>
          <w:szCs w:val="18"/>
        </w:rPr>
        <w:t>Debido a que para el otorgamiento de este criterio de desempate se entregan certificados que contienen datos sensibles, de acuerdo con el artículo 5 de la Ley 1581 de 2012, se requiere que el titular de la información de estos, como es el caso de las personas que pertenece a la población indígena, negra, afrocolombiana, raizal, palenquera, Rrom o gitana autoricen de manera previa y expresa el tratamiento de la información, en los términos del literal a) del artículo 6 de la Ley 1581 de 2012, como requisito para el otorgamiento del criterio de desempate</w:t>
      </w:r>
      <w:r w:rsidR="00936489" w:rsidRPr="00C26B44">
        <w:rPr>
          <w:rFonts w:ascii="Arial" w:hAnsi="Arial" w:cs="Arial"/>
          <w:color w:val="000000" w:themeColor="text1"/>
          <w:sz w:val="18"/>
          <w:szCs w:val="18"/>
        </w:rPr>
        <w:t>.»</w:t>
      </w:r>
      <w:r w:rsidRPr="00C26B44">
        <w:rPr>
          <w:rFonts w:ascii="Arial" w:hAnsi="Arial" w:cs="Arial"/>
          <w:color w:val="000000" w:themeColor="text1"/>
          <w:sz w:val="18"/>
          <w:szCs w:val="18"/>
        </w:rPr>
        <w:t xml:space="preserve"> </w:t>
      </w:r>
    </w:p>
    <w:p w14:paraId="44307E6E" w14:textId="1318DC7E" w:rsidR="00C959FE" w:rsidRPr="00C26B44" w:rsidRDefault="00936489" w:rsidP="006B4DCA">
      <w:pPr>
        <w:pStyle w:val="Textonotapie"/>
        <w:ind w:firstLine="708"/>
        <w:jc w:val="both"/>
        <w:rPr>
          <w:rFonts w:ascii="Arial" w:hAnsi="Arial" w:cs="Arial"/>
          <w:color w:val="000000" w:themeColor="text1"/>
          <w:sz w:val="18"/>
          <w:szCs w:val="18"/>
        </w:rPr>
      </w:pPr>
      <w:r w:rsidRPr="00C26B44">
        <w:rPr>
          <w:rFonts w:ascii="Arial" w:hAnsi="Arial" w:cs="Arial"/>
          <w:color w:val="000000" w:themeColor="text1"/>
          <w:sz w:val="18"/>
          <w:szCs w:val="18"/>
          <w:lang w:val="es-ES_tradnl"/>
        </w:rPr>
        <w:t>«</w:t>
      </w:r>
      <w:r w:rsidR="00C959FE" w:rsidRPr="00C26B44">
        <w:rPr>
          <w:rFonts w:ascii="Arial" w:hAnsi="Arial" w:cs="Arial"/>
          <w:color w:val="000000" w:themeColor="text1"/>
          <w:sz w:val="18"/>
          <w:szCs w:val="18"/>
        </w:rPr>
        <w:t xml:space="preserve">6. Preferir la propuesta de personas naturales en proceso de reintegración o reincorporación, para lo cual presentará copia de alguno de los siguientes documentos: i) la certificación en las desmovilizaciones colectivas que expida la Oficina de Alto Comisionado para la Paz, ii) el certificado que emita el Comité Operativo para la Dejación de las Armas respecto de las personas desmovilizadas en forma individual, iii) el certificado que emita la Agencia para la Reincorporación y la Normalización que acredite que la persona se encuentra en proceso de reincorporación o reintegración o iv) cualquier otro certificado que para el efecto determine la Ley. Además, se entregará copia del documento de identificación de la persona en proceso de reintegración o reincorporación. </w:t>
      </w:r>
    </w:p>
    <w:p w14:paraId="1F46CF11" w14:textId="4192DDB7" w:rsidR="00C959FE" w:rsidRPr="00C26B44" w:rsidRDefault="00C959FE" w:rsidP="006B4DCA">
      <w:pPr>
        <w:pStyle w:val="Textonotapie"/>
        <w:ind w:firstLine="708"/>
        <w:jc w:val="both"/>
        <w:rPr>
          <w:rFonts w:ascii="Arial" w:hAnsi="Arial" w:cs="Arial"/>
          <w:color w:val="000000" w:themeColor="text1"/>
          <w:sz w:val="18"/>
          <w:szCs w:val="18"/>
        </w:rPr>
      </w:pPr>
      <w:r w:rsidRPr="00C26B44">
        <w:rPr>
          <w:rFonts w:ascii="Arial" w:hAnsi="Arial" w:cs="Arial"/>
          <w:color w:val="000000" w:themeColor="text1"/>
          <w:sz w:val="18"/>
          <w:szCs w:val="18"/>
        </w:rPr>
        <w:t xml:space="preserve">En el caso de las personas jurídicas, el representante legal o el revisor fiscal, si están obligados a tenerlo, entregará un certificado, mediante el cual acredite bajo la gravedad de juramento que más del cincuenta por ciento (50 %) de la composición accionaria o cuotas partes de la persona jurídica está constituida por personas en proceso de reintegración o reincorporación. Además, deberá aportar alguno de los certificados del inciso anterior, junto con los documentos de identificación de cada una de las personas que está en proceso de reincorporación o reintegración. </w:t>
      </w:r>
    </w:p>
    <w:p w14:paraId="0AC708CB" w14:textId="33817D75" w:rsidR="00C959FE" w:rsidRPr="00C26B44" w:rsidRDefault="00C959FE" w:rsidP="006B4DCA">
      <w:pPr>
        <w:pStyle w:val="Textonotapie"/>
        <w:ind w:firstLine="708"/>
        <w:jc w:val="both"/>
        <w:rPr>
          <w:rFonts w:ascii="Arial" w:hAnsi="Arial" w:cs="Arial"/>
          <w:color w:val="000000" w:themeColor="text1"/>
          <w:sz w:val="18"/>
          <w:szCs w:val="18"/>
        </w:rPr>
      </w:pPr>
      <w:r w:rsidRPr="00C26B44">
        <w:rPr>
          <w:rFonts w:ascii="Arial" w:hAnsi="Arial" w:cs="Arial"/>
          <w:color w:val="000000" w:themeColor="text1"/>
          <w:sz w:val="18"/>
          <w:szCs w:val="18"/>
        </w:rPr>
        <w:t xml:space="preserve">Tratándose de proponentes plurales, se preferirá la oferta cuando todos los integrantes sean personas en proceso de reincorporación, para lo cual se entregará alguno de los certificados del inciso primero de este numeral, y/o personas jurídicas donde más del cincuenta por ciento (50 %) de la composición accionaria o cuotas parte esté constituida por personas en proceso de reincorporación, para lo cual el representante legal, o el revisor fiscal, si está obligado a tenerlo, acreditará tal situación aportando los documentos de identificación de cada una de las personas en proceso de reincorporación. </w:t>
      </w:r>
    </w:p>
    <w:p w14:paraId="17BE601B" w14:textId="70DC8905" w:rsidR="00431907" w:rsidRPr="00C26B44" w:rsidRDefault="00C959FE" w:rsidP="006B4DCA">
      <w:pPr>
        <w:pStyle w:val="Textonotapie"/>
        <w:ind w:firstLine="708"/>
        <w:jc w:val="both"/>
        <w:rPr>
          <w:rFonts w:ascii="Arial" w:hAnsi="Arial" w:cs="Arial"/>
          <w:color w:val="000000" w:themeColor="text1"/>
          <w:sz w:val="18"/>
          <w:szCs w:val="18"/>
        </w:rPr>
      </w:pPr>
      <w:r w:rsidRPr="00C26B44">
        <w:rPr>
          <w:rFonts w:ascii="Arial" w:hAnsi="Arial" w:cs="Arial"/>
          <w:color w:val="000000" w:themeColor="text1"/>
          <w:sz w:val="18"/>
          <w:szCs w:val="18"/>
        </w:rPr>
        <w:t>Debido a que para el otorgamiento de este criterio de desempate se entregan certificados que contienen datos sensibles, de acuerdo con el artículo 5 de la Ley 1581 de 2012, se requiere que el titular de la información de estos, como son las personas en proceso de reincorporación o reintegración, autoricen a la entidad de manera previa y expresa el manejo de esta información, en los términos del literal a) del artículo 6 de la Ley 1581 de 2012 como requisito para el otorgamiento de este criterio de desempate.</w:t>
      </w:r>
      <w:r w:rsidR="00936489" w:rsidRPr="00C26B44">
        <w:rPr>
          <w:rFonts w:ascii="Arial" w:hAnsi="Arial" w:cs="Arial"/>
          <w:color w:val="000000" w:themeColor="text1"/>
          <w:sz w:val="18"/>
          <w:szCs w:val="18"/>
        </w:rPr>
        <w:t>»</w:t>
      </w:r>
    </w:p>
  </w:footnote>
  <w:footnote w:id="32">
    <w:p w14:paraId="15FE7DD7" w14:textId="77777777" w:rsidR="0009609E" w:rsidRPr="00C26B44" w:rsidRDefault="0009609E" w:rsidP="006B4DCA">
      <w:pPr>
        <w:pStyle w:val="Textonotapie"/>
        <w:ind w:firstLine="708"/>
        <w:jc w:val="both"/>
        <w:rPr>
          <w:rFonts w:ascii="Arial" w:hAnsi="Arial" w:cs="Arial"/>
          <w:sz w:val="18"/>
          <w:szCs w:val="18"/>
        </w:rPr>
      </w:pPr>
      <w:r w:rsidRPr="00C26B44">
        <w:rPr>
          <w:rStyle w:val="Refdenotaalpie"/>
          <w:rFonts w:ascii="Arial" w:hAnsi="Arial" w:cs="Arial"/>
          <w:sz w:val="18"/>
          <w:szCs w:val="18"/>
        </w:rPr>
        <w:footnoteRef/>
      </w:r>
      <w:r w:rsidRPr="00C26B44">
        <w:rPr>
          <w:rFonts w:ascii="Arial" w:hAnsi="Arial" w:cs="Arial"/>
          <w:sz w:val="18"/>
          <w:szCs w:val="18"/>
        </w:rPr>
        <w:t xml:space="preserve"> Ley 1437 de 2011 «Artículo 24. Informaciones y documentos reservados. Solo tendrán carácter reservado las informaciones y documentos expresamente sometidos a reserva por la Constitución Política o la ley, y en especial:  </w:t>
      </w:r>
    </w:p>
    <w:p w14:paraId="5F2E5FD2" w14:textId="77777777" w:rsidR="0009609E" w:rsidRPr="00C26B44" w:rsidRDefault="0009609E" w:rsidP="006B4DCA">
      <w:pPr>
        <w:pStyle w:val="Textonotapie"/>
        <w:ind w:firstLine="708"/>
        <w:jc w:val="both"/>
        <w:rPr>
          <w:rFonts w:ascii="Arial" w:hAnsi="Arial" w:cs="Arial"/>
          <w:sz w:val="18"/>
          <w:szCs w:val="18"/>
        </w:rPr>
      </w:pPr>
      <w:r w:rsidRPr="00C26B44">
        <w:rPr>
          <w:rFonts w:ascii="Arial" w:hAnsi="Arial" w:cs="Arial"/>
          <w:sz w:val="18"/>
          <w:szCs w:val="18"/>
        </w:rPr>
        <w:t xml:space="preserve">»1. Los relacionados con la defensa o seguridad nacionales.  </w:t>
      </w:r>
    </w:p>
    <w:p w14:paraId="111ED668" w14:textId="77777777" w:rsidR="0009609E" w:rsidRPr="00C26B44" w:rsidRDefault="0009609E" w:rsidP="006B4DCA">
      <w:pPr>
        <w:pStyle w:val="Textonotapie"/>
        <w:ind w:firstLine="708"/>
        <w:jc w:val="both"/>
        <w:rPr>
          <w:rFonts w:ascii="Arial" w:hAnsi="Arial" w:cs="Arial"/>
          <w:sz w:val="18"/>
          <w:szCs w:val="18"/>
        </w:rPr>
      </w:pPr>
      <w:r w:rsidRPr="00C26B44">
        <w:rPr>
          <w:rFonts w:ascii="Arial" w:hAnsi="Arial" w:cs="Arial"/>
          <w:sz w:val="18"/>
          <w:szCs w:val="18"/>
        </w:rPr>
        <w:t xml:space="preserve">»2. Las instrucciones en materia diplomática o sobre negociaciones reservadas.  </w:t>
      </w:r>
    </w:p>
    <w:p w14:paraId="67140276" w14:textId="77777777" w:rsidR="0009609E" w:rsidRPr="00C26B44" w:rsidRDefault="0009609E" w:rsidP="006B4DCA">
      <w:pPr>
        <w:pStyle w:val="Textonotapie"/>
        <w:ind w:firstLine="708"/>
        <w:jc w:val="both"/>
        <w:rPr>
          <w:rFonts w:ascii="Arial" w:hAnsi="Arial" w:cs="Arial"/>
          <w:sz w:val="18"/>
          <w:szCs w:val="18"/>
        </w:rPr>
      </w:pPr>
      <w:r w:rsidRPr="00C26B44">
        <w:rPr>
          <w:rFonts w:ascii="Arial" w:hAnsi="Arial" w:cs="Arial"/>
          <w:sz w:val="18"/>
          <w:szCs w:val="18"/>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05AF48EE" w14:textId="77777777" w:rsidR="0009609E" w:rsidRPr="00C26B44" w:rsidRDefault="0009609E" w:rsidP="006B4DCA">
      <w:pPr>
        <w:pStyle w:val="Textonotapie"/>
        <w:ind w:firstLine="708"/>
        <w:jc w:val="both"/>
        <w:rPr>
          <w:rFonts w:ascii="Arial" w:hAnsi="Arial" w:cs="Arial"/>
          <w:sz w:val="18"/>
          <w:szCs w:val="18"/>
        </w:rPr>
      </w:pPr>
      <w:r w:rsidRPr="00C26B44">
        <w:rPr>
          <w:rFonts w:ascii="Arial" w:hAnsi="Arial" w:cs="Arial"/>
          <w:sz w:val="18"/>
          <w:szCs w:val="18"/>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308D80B1" w14:textId="77777777" w:rsidR="0009609E" w:rsidRPr="00C26B44" w:rsidRDefault="0009609E" w:rsidP="006B4DCA">
      <w:pPr>
        <w:pStyle w:val="Textonotapie"/>
        <w:ind w:firstLine="708"/>
        <w:jc w:val="both"/>
        <w:rPr>
          <w:rFonts w:ascii="Arial" w:hAnsi="Arial" w:cs="Arial"/>
          <w:sz w:val="18"/>
          <w:szCs w:val="18"/>
        </w:rPr>
      </w:pPr>
      <w:r w:rsidRPr="00C26B44">
        <w:rPr>
          <w:rFonts w:ascii="Arial" w:hAnsi="Arial" w:cs="Arial"/>
          <w:sz w:val="18"/>
          <w:szCs w:val="18"/>
        </w:rPr>
        <w:t xml:space="preserve">»5. Los datos referentes a la información financiera y comercial, en los términos de la Ley Estatutaria 1266 de 2008.  </w:t>
      </w:r>
    </w:p>
    <w:p w14:paraId="3F8EE2EA" w14:textId="77777777" w:rsidR="0009609E" w:rsidRPr="00C26B44" w:rsidRDefault="0009609E" w:rsidP="006B4DCA">
      <w:pPr>
        <w:pStyle w:val="Textonotapie"/>
        <w:ind w:firstLine="708"/>
        <w:jc w:val="both"/>
        <w:rPr>
          <w:rFonts w:ascii="Arial" w:hAnsi="Arial" w:cs="Arial"/>
          <w:sz w:val="18"/>
          <w:szCs w:val="18"/>
        </w:rPr>
      </w:pPr>
      <w:r w:rsidRPr="00C26B44">
        <w:rPr>
          <w:rFonts w:ascii="Arial" w:hAnsi="Arial" w:cs="Arial"/>
          <w:sz w:val="18"/>
          <w:szCs w:val="18"/>
        </w:rPr>
        <w:t xml:space="preserve">»6. Los protegidos por el secreto comercial o industrial, así como los planes estratégicos de las empresas públicas de servicios públicos.  </w:t>
      </w:r>
    </w:p>
    <w:p w14:paraId="67A3F1F6" w14:textId="77777777" w:rsidR="0009609E" w:rsidRPr="00C26B44" w:rsidRDefault="0009609E" w:rsidP="006B4DCA">
      <w:pPr>
        <w:pStyle w:val="Textonotapie"/>
        <w:ind w:firstLine="708"/>
        <w:jc w:val="both"/>
        <w:rPr>
          <w:rFonts w:ascii="Arial" w:hAnsi="Arial" w:cs="Arial"/>
          <w:sz w:val="18"/>
          <w:szCs w:val="18"/>
        </w:rPr>
      </w:pPr>
      <w:r w:rsidRPr="00C26B44">
        <w:rPr>
          <w:rFonts w:ascii="Arial" w:hAnsi="Arial" w:cs="Arial"/>
          <w:sz w:val="18"/>
          <w:szCs w:val="18"/>
        </w:rPr>
        <w:t xml:space="preserve">»7. Los amparados por el secreto profesional.  </w:t>
      </w:r>
    </w:p>
    <w:p w14:paraId="17866B19" w14:textId="77777777" w:rsidR="0009609E" w:rsidRPr="00C26B44" w:rsidRDefault="0009609E" w:rsidP="006B4DCA">
      <w:pPr>
        <w:pStyle w:val="Textonotapie"/>
        <w:ind w:firstLine="708"/>
        <w:jc w:val="both"/>
        <w:rPr>
          <w:rFonts w:ascii="Arial" w:hAnsi="Arial" w:cs="Arial"/>
          <w:sz w:val="18"/>
          <w:szCs w:val="18"/>
        </w:rPr>
      </w:pPr>
      <w:r w:rsidRPr="00C26B44">
        <w:rPr>
          <w:rFonts w:ascii="Arial" w:hAnsi="Arial" w:cs="Arial"/>
          <w:sz w:val="18"/>
          <w:szCs w:val="18"/>
        </w:rPr>
        <w:t xml:space="preserve">»8. Los datos genéticos humanos.  </w:t>
      </w:r>
    </w:p>
    <w:p w14:paraId="1AC753CF" w14:textId="77777777" w:rsidR="0009609E" w:rsidRPr="00C26B44" w:rsidRDefault="0009609E" w:rsidP="006B4DCA">
      <w:pPr>
        <w:pStyle w:val="Textonotapie"/>
        <w:ind w:firstLine="708"/>
        <w:jc w:val="both"/>
        <w:rPr>
          <w:rFonts w:ascii="Arial" w:hAnsi="Arial" w:cs="Arial"/>
          <w:sz w:val="18"/>
          <w:szCs w:val="18"/>
        </w:rPr>
      </w:pPr>
      <w:r w:rsidRPr="00C26B44">
        <w:rPr>
          <w:rFonts w:ascii="Arial" w:hAnsi="Arial" w:cs="Arial"/>
          <w:sz w:val="18"/>
          <w:szCs w:val="18"/>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p w14:paraId="6BE6E8BD" w14:textId="77777777" w:rsidR="0009609E" w:rsidRPr="00C26B44" w:rsidRDefault="0009609E" w:rsidP="006B4DCA">
      <w:pPr>
        <w:pStyle w:val="Textonotapie"/>
        <w:ind w:firstLine="708"/>
        <w:jc w:val="both"/>
        <w:rPr>
          <w:rFonts w:ascii="Arial" w:hAnsi="Arial" w:cs="Arial"/>
          <w:sz w:val="18"/>
          <w:szCs w:val="18"/>
        </w:rPr>
      </w:pPr>
    </w:p>
  </w:footnote>
  <w:footnote w:id="33">
    <w:p w14:paraId="28A065E4" w14:textId="77777777" w:rsidR="0009609E" w:rsidRPr="00C26B44" w:rsidRDefault="0009609E" w:rsidP="006B4DCA">
      <w:pPr>
        <w:pStyle w:val="Textonotapie"/>
        <w:ind w:firstLine="708"/>
        <w:jc w:val="both"/>
        <w:rPr>
          <w:rFonts w:ascii="Arial" w:eastAsia="Calibri" w:hAnsi="Arial" w:cs="Arial"/>
          <w:sz w:val="18"/>
          <w:szCs w:val="18"/>
        </w:rPr>
      </w:pPr>
      <w:r w:rsidRPr="00C26B44">
        <w:rPr>
          <w:rStyle w:val="Refdenotaalpie"/>
          <w:rFonts w:ascii="Arial" w:hAnsi="Arial" w:cs="Arial"/>
          <w:sz w:val="18"/>
          <w:szCs w:val="18"/>
        </w:rPr>
        <w:footnoteRef/>
      </w:r>
      <w:r w:rsidRPr="00C26B44">
        <w:rPr>
          <w:rFonts w:ascii="Arial" w:hAnsi="Arial" w:cs="Arial"/>
          <w:sz w:val="18"/>
          <w:szCs w:val="18"/>
        </w:rPr>
        <w:t xml:space="preserve"> Resultan relevantes las consideraciones expuestas en el concepto C- 322 del 16 de junio de 2020 –radicado No. 2202013000005088–, sobre la aplicación del artículo 36 del CPACA en torno al manejo de información reservada en cuadernos separados: «</w:t>
      </w:r>
      <w:r w:rsidRPr="00C26B44">
        <w:rPr>
          <w:rFonts w:ascii="Arial" w:eastAsia="Calibri" w:hAnsi="Arial" w:cs="Arial"/>
          <w:sz w:val="18"/>
          <w:szCs w:val="18"/>
        </w:rPr>
        <w:t>tratándose de información sometida a reserva, considera esta Agencia que el tratamiento que corresponde a esta información es el procedente a partir de lo dispuesto en el artículo 36 del CPACA sobre la formación y examen de expedientes, en el que se establece que los documentos sometidos a reserva deberán insertarse en un cuaderno separado del expediente principal, el cual no podrá ser consultado por la ciudadanía o interesados en general. El manejo de estos documentos conforme lo indica esta norma, permite guardar la reserva a la que están sometidos dichos documentos en el marco de procesos de contratación, sin que se vean lesionados los intereses de los titulares de la información o contrariadas las normas del régimen de protección de datos personales».</w:t>
      </w:r>
    </w:p>
    <w:p w14:paraId="2C71A6E8" w14:textId="77777777" w:rsidR="0009609E" w:rsidRPr="00C26B44" w:rsidRDefault="0009609E" w:rsidP="006B4DCA">
      <w:pPr>
        <w:pStyle w:val="Textonotapie"/>
        <w:ind w:firstLine="708"/>
        <w:jc w:val="both"/>
        <w:rPr>
          <w:rFonts w:ascii="Arial" w:hAnsi="Arial" w:cs="Arial"/>
          <w:sz w:val="18"/>
          <w:szCs w:val="18"/>
        </w:rPr>
      </w:pPr>
    </w:p>
  </w:footnote>
  <w:footnote w:id="34">
    <w:p w14:paraId="61D14E21" w14:textId="77777777" w:rsidR="00336CF8" w:rsidRPr="00C26B44" w:rsidRDefault="00336CF8" w:rsidP="006B4DCA">
      <w:pPr>
        <w:pStyle w:val="Textonotapie"/>
        <w:ind w:firstLine="708"/>
        <w:jc w:val="both"/>
        <w:rPr>
          <w:rFonts w:ascii="Arial" w:hAnsi="Arial" w:cs="Arial"/>
          <w:sz w:val="18"/>
          <w:szCs w:val="18"/>
        </w:rPr>
      </w:pPr>
      <w:r w:rsidRPr="00C26B44">
        <w:rPr>
          <w:rStyle w:val="Refdenotaalpie"/>
          <w:rFonts w:ascii="Arial" w:hAnsi="Arial" w:cs="Arial"/>
          <w:sz w:val="18"/>
          <w:szCs w:val="18"/>
        </w:rPr>
        <w:footnoteRef/>
      </w:r>
      <w:r w:rsidRPr="00C26B44">
        <w:rPr>
          <w:rFonts w:ascii="Arial" w:hAnsi="Arial" w:cs="Arial"/>
          <w:sz w:val="18"/>
          <w:szCs w:val="18"/>
        </w:rPr>
        <w:t xml:space="preserve"> «Artículo 21. DIVULGACIÓN PARCIAL Y OTRAS REGLAS. En aquellas circunstancias en que la totalidad de la información contenida en un documento no esté protegida por una excepción contenida en la presente ley, debe hacerse una versión pública que mantenga la reserva únicamente de la parte indispensable. La información pública que no cae en ningún supuesto de excepción deberá ser entregada a la parte solicitante, así como ser de conocimiento público. La reserva de acceso a la información opera respecto del contenido de un documento público pero no de su existencia.</w:t>
      </w:r>
    </w:p>
    <w:p w14:paraId="35AF3935" w14:textId="77777777" w:rsidR="00336CF8" w:rsidRPr="00C26B44" w:rsidRDefault="00336CF8" w:rsidP="006B4DCA">
      <w:pPr>
        <w:pStyle w:val="Textonotapie"/>
        <w:ind w:firstLine="708"/>
        <w:jc w:val="both"/>
        <w:rPr>
          <w:rFonts w:ascii="Arial" w:hAnsi="Arial" w:cs="Arial"/>
          <w:sz w:val="18"/>
          <w:szCs w:val="18"/>
        </w:rPr>
      </w:pPr>
      <w:r w:rsidRPr="00C26B44">
        <w:rPr>
          <w:rFonts w:ascii="Arial" w:hAnsi="Arial" w:cs="Arial"/>
          <w:sz w:val="18"/>
          <w:szCs w:val="18"/>
        </w:rPr>
        <w:t>»Ninguna autoridad pública puede negarse a indicar si un documento obra o no en su poder o negar la divulgación de un documento, salvo que el daño causado al interés protegido sea mayor al interés público de obtener acceso a la información.</w:t>
      </w:r>
    </w:p>
    <w:p w14:paraId="1E326B57" w14:textId="77777777" w:rsidR="00336CF8" w:rsidRPr="00C26B44" w:rsidRDefault="00336CF8" w:rsidP="006B4DCA">
      <w:pPr>
        <w:pStyle w:val="Textonotapie"/>
        <w:ind w:firstLine="708"/>
        <w:jc w:val="both"/>
        <w:rPr>
          <w:rFonts w:ascii="Arial" w:hAnsi="Arial" w:cs="Arial"/>
          <w:sz w:val="18"/>
          <w:szCs w:val="18"/>
          <w:lang w:val="es-CO"/>
        </w:rPr>
      </w:pPr>
      <w:r w:rsidRPr="00C26B44">
        <w:rPr>
          <w:rFonts w:ascii="Arial" w:hAnsi="Arial" w:cs="Arial"/>
          <w:sz w:val="18"/>
          <w:szCs w:val="18"/>
        </w:rPr>
        <w:t>»Las excepciones de acceso a la información contenidas en la presente ley no aplican en casos de violación de derechos humanos o delitos de lesa humanidad, y en todo caso deberán protegerse los derechos de las víctimas de dichas violaciones».</w:t>
      </w:r>
    </w:p>
  </w:footnote>
  <w:footnote w:id="35">
    <w:p w14:paraId="0F4CAE38" w14:textId="3CE25B8A" w:rsidR="00336CF8" w:rsidRPr="00C26B44" w:rsidRDefault="00336CF8" w:rsidP="006B4DCA">
      <w:pPr>
        <w:pStyle w:val="Textonotapie"/>
        <w:ind w:firstLine="708"/>
        <w:jc w:val="both"/>
        <w:rPr>
          <w:rFonts w:ascii="Arial" w:hAnsi="Arial" w:cs="Arial"/>
          <w:sz w:val="18"/>
          <w:szCs w:val="18"/>
        </w:rPr>
      </w:pPr>
      <w:r w:rsidRPr="00C26B44">
        <w:rPr>
          <w:rStyle w:val="Refdenotaalpie"/>
          <w:rFonts w:ascii="Arial" w:hAnsi="Arial" w:cs="Arial"/>
          <w:sz w:val="18"/>
          <w:szCs w:val="18"/>
        </w:rPr>
        <w:footnoteRef/>
      </w:r>
      <w:r w:rsidRPr="00C26B44">
        <w:rPr>
          <w:rFonts w:ascii="Arial" w:hAnsi="Arial" w:cs="Arial"/>
          <w:sz w:val="18"/>
          <w:szCs w:val="18"/>
        </w:rPr>
        <w:t xml:space="preserve"> Ley 1712 de 2014. «Art. 1</w:t>
      </w:r>
      <w:r w:rsidR="00B9117A" w:rsidRPr="00C26B44">
        <w:rPr>
          <w:rFonts w:ascii="Arial" w:hAnsi="Arial" w:cs="Arial"/>
          <w:sz w:val="18"/>
          <w:szCs w:val="18"/>
        </w:rPr>
        <w:t>8</w:t>
      </w:r>
      <w:r w:rsidRPr="00C26B44">
        <w:rPr>
          <w:rFonts w:ascii="Arial" w:hAnsi="Arial" w:cs="Arial"/>
          <w:sz w:val="18"/>
          <w:szCs w:val="18"/>
        </w:rPr>
        <w:t xml:space="preserve"> </w:t>
      </w:r>
      <w:r w:rsidR="00B9117A" w:rsidRPr="00C26B44">
        <w:rPr>
          <w:rFonts w:ascii="Arial" w:hAnsi="Arial" w:cs="Arial"/>
          <w:sz w:val="18"/>
          <w:szCs w:val="18"/>
        </w:rPr>
        <w:t>Información exceptuada por daño de derechos a personas naturales o jurídicas. Es toda aquella información pública clasificada, cuyo acceso podrá ser rechazado o denegado de manera motivada y por escrito, siempre que el acceso pudiere causar un daño a los siguientes derechos</w:t>
      </w:r>
      <w:r w:rsidRPr="00C26B44">
        <w:rPr>
          <w:rFonts w:ascii="Arial" w:hAnsi="Arial" w:cs="Arial"/>
          <w:sz w:val="18"/>
          <w:szCs w:val="18"/>
        </w:rPr>
        <w:t>:</w:t>
      </w:r>
    </w:p>
    <w:p w14:paraId="0BC44402" w14:textId="45F021CE" w:rsidR="00336CF8" w:rsidRPr="00C26B44" w:rsidRDefault="00336CF8" w:rsidP="006B4DCA">
      <w:pPr>
        <w:pStyle w:val="Textonotapie"/>
        <w:ind w:firstLine="708"/>
        <w:jc w:val="both"/>
        <w:rPr>
          <w:rFonts w:ascii="Arial" w:hAnsi="Arial" w:cs="Arial"/>
          <w:sz w:val="18"/>
          <w:szCs w:val="18"/>
        </w:rPr>
      </w:pPr>
      <w:r w:rsidRPr="00C26B44">
        <w:rPr>
          <w:rFonts w:ascii="Arial" w:hAnsi="Arial" w:cs="Arial"/>
          <w:sz w:val="18"/>
          <w:szCs w:val="18"/>
        </w:rPr>
        <w:t xml:space="preserve">«a) </w:t>
      </w:r>
      <w:r w:rsidR="007A7EA6" w:rsidRPr="00C26B44">
        <w:rPr>
          <w:rFonts w:ascii="Arial" w:hAnsi="Arial" w:cs="Arial"/>
          <w:sz w:val="18"/>
          <w:szCs w:val="18"/>
        </w:rPr>
        <w:t>El derecho de toda persona a la intimidad, bajo las limitaciones propias que impone la condición de servidor público, en concordancia con lo estipulado por el artículo 24 de la Ley 1437 de 2011.</w:t>
      </w:r>
      <w:r w:rsidRPr="00C26B44">
        <w:rPr>
          <w:rFonts w:ascii="Arial" w:hAnsi="Arial" w:cs="Arial"/>
          <w:sz w:val="18"/>
          <w:szCs w:val="18"/>
        </w:rPr>
        <w:t>».</w:t>
      </w:r>
    </w:p>
    <w:p w14:paraId="0371B3E8" w14:textId="77777777" w:rsidR="00336CF8" w:rsidRPr="00C26B44" w:rsidRDefault="00336CF8" w:rsidP="006B4DCA">
      <w:pPr>
        <w:pStyle w:val="Textonotapie"/>
        <w:ind w:firstLine="708"/>
        <w:jc w:val="both"/>
        <w:rPr>
          <w:rFonts w:ascii="Arial" w:hAnsi="Arial" w:cs="Arial"/>
          <w:sz w:val="18"/>
          <w:szCs w:val="18"/>
        </w:rPr>
      </w:pPr>
      <w:r w:rsidRPr="00C26B44">
        <w:rPr>
          <w:rFonts w:ascii="Arial" w:hAnsi="Arial" w:cs="Arial"/>
          <w:sz w:val="18"/>
          <w:szCs w:val="18"/>
        </w:rPr>
        <w:t>De otro lado, el artículo 24 de la Ley 1437 de 2011, sustituido por la Ley 1755 de 2015 establece: «Artículo 24. Informaciones y documentos reservados. Solo tendrán carácter reservado las informaciones y documentos expresamente sometidos a reserva por la Constitución Política o la ley, y en especial:</w:t>
      </w:r>
    </w:p>
    <w:p w14:paraId="3C0F8115" w14:textId="7FA28AC1" w:rsidR="00336CF8" w:rsidRPr="00C26B44" w:rsidRDefault="00336CF8" w:rsidP="006B4DCA">
      <w:pPr>
        <w:pStyle w:val="Textonotapie"/>
        <w:ind w:firstLine="708"/>
        <w:jc w:val="both"/>
        <w:rPr>
          <w:rFonts w:ascii="Arial" w:hAnsi="Arial" w:cs="Arial"/>
          <w:sz w:val="18"/>
          <w:szCs w:val="18"/>
        </w:rPr>
      </w:pPr>
      <w:r w:rsidRPr="00C26B44">
        <w:rPr>
          <w:rFonts w:ascii="Arial" w:hAnsi="Arial" w:cs="Arial"/>
          <w:sz w:val="18"/>
          <w:szCs w:val="18"/>
        </w:rPr>
        <w:t>»</w:t>
      </w:r>
      <w:r w:rsidR="007A7EA6" w:rsidRPr="00C26B44">
        <w:rPr>
          <w:rFonts w:ascii="Arial" w:hAnsi="Arial" w:cs="Arial"/>
          <w:sz w:val="18"/>
          <w:szCs w:val="18"/>
        </w:rPr>
        <w:t>4.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salvo que sean solicitados por los propios interesados o por sus apoderados con facultad expresa para acceder a esa información.</w:t>
      </w:r>
      <w:r w:rsidRPr="00C26B44">
        <w:rPr>
          <w:rFonts w:ascii="Arial" w:hAnsi="Arial" w:cs="Arial"/>
          <w:sz w:val="18"/>
          <w:szCs w:val="18"/>
        </w:rPr>
        <w:t>».</w:t>
      </w:r>
    </w:p>
    <w:p w14:paraId="39D7C624" w14:textId="77777777" w:rsidR="00336CF8" w:rsidRPr="00C26B44" w:rsidRDefault="00336CF8" w:rsidP="006B4DCA">
      <w:pPr>
        <w:pStyle w:val="Textonotapie"/>
        <w:ind w:firstLine="708"/>
        <w:jc w:val="both"/>
        <w:rPr>
          <w:rFonts w:ascii="Arial" w:hAnsi="Arial" w:cs="Arial"/>
          <w:sz w:val="18"/>
          <w:szCs w:val="18"/>
          <w:lang w:val="es-CO"/>
        </w:rPr>
      </w:pPr>
    </w:p>
  </w:footnote>
  <w:footnote w:id="36">
    <w:p w14:paraId="24DACBEE" w14:textId="77777777" w:rsidR="00ED0786" w:rsidRPr="00C26B44" w:rsidRDefault="00ED0786" w:rsidP="006B4DCA">
      <w:pPr>
        <w:pStyle w:val="NormalWeb"/>
        <w:spacing w:before="0" w:beforeAutospacing="0" w:after="0" w:afterAutospacing="0"/>
        <w:ind w:firstLine="709"/>
        <w:jc w:val="both"/>
        <w:rPr>
          <w:rFonts w:ascii="Arial" w:hAnsi="Arial" w:cs="Arial"/>
          <w:color w:val="000000" w:themeColor="text1"/>
          <w:sz w:val="18"/>
          <w:szCs w:val="18"/>
        </w:rPr>
      </w:pPr>
      <w:r w:rsidRPr="00C26B44">
        <w:rPr>
          <w:rStyle w:val="Refdenotaalpie"/>
          <w:rFonts w:ascii="Arial" w:hAnsi="Arial" w:cs="Arial"/>
          <w:color w:val="000000" w:themeColor="text1"/>
          <w:sz w:val="18"/>
          <w:szCs w:val="18"/>
        </w:rPr>
        <w:footnoteRef/>
      </w:r>
      <w:r w:rsidRPr="00C26B44">
        <w:rPr>
          <w:rFonts w:ascii="Arial" w:hAnsi="Arial" w:cs="Arial"/>
          <w:color w:val="000000" w:themeColor="text1"/>
          <w:sz w:val="18"/>
          <w:szCs w:val="18"/>
        </w:rPr>
        <w:t xml:space="preserve"> </w:t>
      </w:r>
      <w:r w:rsidRPr="00C26B44">
        <w:rPr>
          <w:rFonts w:ascii="Arial" w:hAnsi="Arial" w:cs="Arial"/>
          <w:color w:val="000000" w:themeColor="text1"/>
          <w:sz w:val="18"/>
          <w:szCs w:val="18"/>
          <w:lang w:val="es-ES"/>
        </w:rPr>
        <w:t>En efecto, el artículo 10 de la Ley 1581 de 2012 establece las siguientes excepciones, entre las cuales no se encuentra la actividad contractual del Estado: «</w:t>
      </w:r>
      <w:r w:rsidRPr="00C26B44">
        <w:rPr>
          <w:rFonts w:ascii="Arial" w:hAnsi="Arial" w:cs="Arial"/>
          <w:color w:val="000000" w:themeColor="text1"/>
          <w:sz w:val="18"/>
          <w:szCs w:val="18"/>
        </w:rPr>
        <w:t>La autorización del Titular no será necesaria cuando se trate de:</w:t>
      </w:r>
    </w:p>
    <w:p w14:paraId="78CE2CDB" w14:textId="77777777" w:rsidR="00ED0786" w:rsidRPr="00C26B44" w:rsidRDefault="00ED0786" w:rsidP="006B4DCA">
      <w:pPr>
        <w:pStyle w:val="NormalWeb"/>
        <w:spacing w:before="0" w:beforeAutospacing="0" w:after="0" w:afterAutospacing="0"/>
        <w:ind w:firstLine="709"/>
        <w:jc w:val="both"/>
        <w:rPr>
          <w:rFonts w:ascii="Arial" w:hAnsi="Arial" w:cs="Arial"/>
          <w:color w:val="000000" w:themeColor="text1"/>
          <w:sz w:val="18"/>
          <w:szCs w:val="18"/>
        </w:rPr>
      </w:pPr>
      <w:r w:rsidRPr="00C26B44">
        <w:rPr>
          <w:rFonts w:ascii="Arial" w:hAnsi="Arial" w:cs="Arial"/>
          <w:color w:val="000000" w:themeColor="text1"/>
          <w:sz w:val="18"/>
          <w:szCs w:val="18"/>
        </w:rPr>
        <w:t>»a) Información requerida por una entidad pública o administrativa en ejercicio de sus funciones legales o por orden judicial;</w:t>
      </w:r>
    </w:p>
    <w:p w14:paraId="189BC961" w14:textId="77777777" w:rsidR="00ED0786" w:rsidRPr="00C26B44" w:rsidRDefault="00ED0786" w:rsidP="006B4DCA">
      <w:pPr>
        <w:pStyle w:val="NormalWeb"/>
        <w:spacing w:before="0" w:beforeAutospacing="0" w:after="0" w:afterAutospacing="0"/>
        <w:ind w:firstLine="709"/>
        <w:jc w:val="both"/>
        <w:rPr>
          <w:rFonts w:ascii="Arial" w:hAnsi="Arial" w:cs="Arial"/>
          <w:color w:val="000000" w:themeColor="text1"/>
          <w:sz w:val="18"/>
          <w:szCs w:val="18"/>
        </w:rPr>
      </w:pPr>
      <w:r w:rsidRPr="00C26B44">
        <w:rPr>
          <w:rFonts w:ascii="Arial" w:hAnsi="Arial" w:cs="Arial"/>
          <w:color w:val="000000" w:themeColor="text1"/>
          <w:sz w:val="18"/>
          <w:szCs w:val="18"/>
        </w:rPr>
        <w:t>»b) Datos de naturaleza pública;</w:t>
      </w:r>
    </w:p>
    <w:p w14:paraId="2B895B31" w14:textId="77777777" w:rsidR="00ED0786" w:rsidRPr="00C26B44" w:rsidRDefault="00ED0786" w:rsidP="006B4DCA">
      <w:pPr>
        <w:pStyle w:val="NormalWeb"/>
        <w:spacing w:before="0" w:beforeAutospacing="0" w:after="0" w:afterAutospacing="0"/>
        <w:ind w:firstLine="709"/>
        <w:jc w:val="both"/>
        <w:rPr>
          <w:rFonts w:ascii="Arial" w:hAnsi="Arial" w:cs="Arial"/>
          <w:color w:val="000000" w:themeColor="text1"/>
          <w:sz w:val="18"/>
          <w:szCs w:val="18"/>
        </w:rPr>
      </w:pPr>
      <w:r w:rsidRPr="00C26B44">
        <w:rPr>
          <w:rFonts w:ascii="Arial" w:hAnsi="Arial" w:cs="Arial"/>
          <w:color w:val="000000" w:themeColor="text1"/>
          <w:sz w:val="18"/>
          <w:szCs w:val="18"/>
        </w:rPr>
        <w:t>»c) Casos de urgencia médica o sanitaria;</w:t>
      </w:r>
    </w:p>
    <w:p w14:paraId="4F7C2F2E" w14:textId="77777777" w:rsidR="00ED0786" w:rsidRPr="00C26B44" w:rsidRDefault="00ED0786" w:rsidP="006B4DCA">
      <w:pPr>
        <w:pStyle w:val="NormalWeb"/>
        <w:spacing w:before="0" w:beforeAutospacing="0" w:after="0" w:afterAutospacing="0"/>
        <w:ind w:firstLine="709"/>
        <w:jc w:val="both"/>
        <w:rPr>
          <w:rFonts w:ascii="Arial" w:hAnsi="Arial" w:cs="Arial"/>
          <w:color w:val="000000" w:themeColor="text1"/>
          <w:sz w:val="18"/>
          <w:szCs w:val="18"/>
        </w:rPr>
      </w:pPr>
      <w:r w:rsidRPr="00C26B44">
        <w:rPr>
          <w:rFonts w:ascii="Arial" w:hAnsi="Arial" w:cs="Arial"/>
          <w:color w:val="000000" w:themeColor="text1"/>
          <w:sz w:val="18"/>
          <w:szCs w:val="18"/>
        </w:rPr>
        <w:t>»d) Tratamiento de información autorizado por la ley para fines históricos, estadísticos o científicos;</w:t>
      </w:r>
    </w:p>
    <w:p w14:paraId="6A2AE361" w14:textId="77777777" w:rsidR="00ED0786" w:rsidRPr="00C26B44" w:rsidRDefault="00ED0786" w:rsidP="006B4DCA">
      <w:pPr>
        <w:pStyle w:val="NormalWeb"/>
        <w:spacing w:before="0" w:beforeAutospacing="0" w:after="0" w:afterAutospacing="0"/>
        <w:ind w:firstLine="709"/>
        <w:jc w:val="both"/>
        <w:rPr>
          <w:rFonts w:ascii="Arial" w:hAnsi="Arial" w:cs="Arial"/>
          <w:color w:val="000000" w:themeColor="text1"/>
          <w:sz w:val="18"/>
          <w:szCs w:val="18"/>
        </w:rPr>
      </w:pPr>
      <w:r w:rsidRPr="00C26B44">
        <w:rPr>
          <w:rFonts w:ascii="Arial" w:hAnsi="Arial" w:cs="Arial"/>
          <w:color w:val="000000" w:themeColor="text1"/>
          <w:sz w:val="18"/>
          <w:szCs w:val="18"/>
        </w:rPr>
        <w:t>»e) Datos relacionados con el Registro Civil de las Personas.</w:t>
      </w:r>
    </w:p>
    <w:p w14:paraId="0A62011E" w14:textId="77777777" w:rsidR="00ED0786" w:rsidRPr="00C26B44" w:rsidRDefault="00ED0786" w:rsidP="006B4DCA">
      <w:pPr>
        <w:pStyle w:val="NormalWeb"/>
        <w:spacing w:before="0" w:beforeAutospacing="0" w:after="0" w:afterAutospacing="0"/>
        <w:ind w:firstLine="709"/>
        <w:jc w:val="both"/>
        <w:rPr>
          <w:rFonts w:ascii="Arial" w:hAnsi="Arial" w:cs="Arial"/>
          <w:color w:val="000000" w:themeColor="text1"/>
          <w:sz w:val="18"/>
          <w:szCs w:val="18"/>
        </w:rPr>
      </w:pPr>
      <w:r w:rsidRPr="00C26B44">
        <w:rPr>
          <w:rFonts w:ascii="Arial" w:hAnsi="Arial" w:cs="Arial"/>
          <w:color w:val="000000" w:themeColor="text1"/>
          <w:sz w:val="18"/>
          <w:szCs w:val="18"/>
        </w:rPr>
        <w:t>»Quien acceda a los datos personales sin que medie autorización previa deberá en todo caso cumplir con las disposiciones contenidas en la presente ley».</w:t>
      </w:r>
    </w:p>
    <w:p w14:paraId="6CD19F8E" w14:textId="77777777" w:rsidR="00ED0786" w:rsidRPr="00C26B44" w:rsidRDefault="00ED0786" w:rsidP="006B4DCA">
      <w:pPr>
        <w:pStyle w:val="Textonotapie"/>
        <w:ind w:firstLine="709"/>
        <w:jc w:val="both"/>
        <w:rPr>
          <w:rFonts w:ascii="Arial" w:hAnsi="Arial" w:cs="Arial"/>
          <w:color w:val="000000" w:themeColor="text1"/>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7847B1C0" w:rsidR="00E2520A" w:rsidRDefault="00E2520A">
    <w:pPr>
      <w:pStyle w:val="Encabezado"/>
    </w:pPr>
  </w:p>
  <w:p w14:paraId="2A80E31D" w14:textId="3F4DC003" w:rsidR="00E2520A" w:rsidRDefault="0089572F">
    <w:r>
      <w:rPr>
        <w:noProof/>
      </w:rPr>
      <w:drawing>
        <wp:anchor distT="0" distB="0" distL="114300" distR="114300" simplePos="0" relativeHeight="251659264" behindDoc="0" locked="0" layoutInCell="1" allowOverlap="1" wp14:anchorId="161214BD" wp14:editId="2F96D3A4">
          <wp:simplePos x="0" y="0"/>
          <wp:positionH relativeFrom="column">
            <wp:posOffset>2390775</wp:posOffset>
          </wp:positionH>
          <wp:positionV relativeFrom="paragraph">
            <wp:posOffset>117475</wp:posOffset>
          </wp:positionV>
          <wp:extent cx="3157855" cy="713105"/>
          <wp:effectExtent l="0" t="0" r="4445" b="0"/>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713105"/>
                  </a:xfrm>
                  <a:prstGeom prst="rect">
                    <a:avLst/>
                  </a:prstGeom>
                  <a:noFill/>
                </pic:spPr>
              </pic:pic>
            </a:graphicData>
          </a:graphic>
        </wp:anchor>
      </w:drawing>
    </w:r>
  </w:p>
  <w:p w14:paraId="5DBE9C96" w14:textId="3CBD2553"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2"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176964578">
    <w:abstractNumId w:val="15"/>
  </w:num>
  <w:num w:numId="2" w16cid:durableId="1469782659">
    <w:abstractNumId w:val="13"/>
  </w:num>
  <w:num w:numId="3" w16cid:durableId="1320813537">
    <w:abstractNumId w:val="22"/>
  </w:num>
  <w:num w:numId="4" w16cid:durableId="631636320">
    <w:abstractNumId w:val="27"/>
  </w:num>
  <w:num w:numId="5" w16cid:durableId="1386761993">
    <w:abstractNumId w:val="31"/>
  </w:num>
  <w:num w:numId="6" w16cid:durableId="96589021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3042850">
    <w:abstractNumId w:val="28"/>
  </w:num>
  <w:num w:numId="8" w16cid:durableId="1434549175">
    <w:abstractNumId w:val="3"/>
  </w:num>
  <w:num w:numId="9" w16cid:durableId="2035493728">
    <w:abstractNumId w:val="8"/>
  </w:num>
  <w:num w:numId="10" w16cid:durableId="3769043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68710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1772740">
    <w:abstractNumId w:val="14"/>
  </w:num>
  <w:num w:numId="13" w16cid:durableId="1222522399">
    <w:abstractNumId w:val="20"/>
  </w:num>
  <w:num w:numId="14" w16cid:durableId="1259604106">
    <w:abstractNumId w:val="11"/>
  </w:num>
  <w:num w:numId="15" w16cid:durableId="513350228">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666786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9325049">
    <w:abstractNumId w:val="33"/>
  </w:num>
  <w:num w:numId="18" w16cid:durableId="99490310">
    <w:abstractNumId w:val="23"/>
  </w:num>
  <w:num w:numId="19" w16cid:durableId="333264497">
    <w:abstractNumId w:val="7"/>
  </w:num>
  <w:num w:numId="20" w16cid:durableId="1996448527">
    <w:abstractNumId w:val="34"/>
  </w:num>
  <w:num w:numId="21" w16cid:durableId="54355829">
    <w:abstractNumId w:val="25"/>
  </w:num>
  <w:num w:numId="22" w16cid:durableId="995765520">
    <w:abstractNumId w:val="10"/>
  </w:num>
  <w:num w:numId="23" w16cid:durableId="331299271">
    <w:abstractNumId w:val="9"/>
  </w:num>
  <w:num w:numId="24" w16cid:durableId="758214833">
    <w:abstractNumId w:val="29"/>
  </w:num>
  <w:num w:numId="25" w16cid:durableId="665285793">
    <w:abstractNumId w:val="17"/>
  </w:num>
  <w:num w:numId="26" w16cid:durableId="488787593">
    <w:abstractNumId w:val="32"/>
  </w:num>
  <w:num w:numId="27" w16cid:durableId="1185439515">
    <w:abstractNumId w:val="36"/>
  </w:num>
  <w:num w:numId="28" w16cid:durableId="459883469">
    <w:abstractNumId w:val="21"/>
  </w:num>
  <w:num w:numId="29" w16cid:durableId="700403372">
    <w:abstractNumId w:val="2"/>
  </w:num>
  <w:num w:numId="30" w16cid:durableId="1011761750">
    <w:abstractNumId w:val="24"/>
  </w:num>
  <w:num w:numId="31" w16cid:durableId="2119713790">
    <w:abstractNumId w:val="18"/>
  </w:num>
  <w:num w:numId="32" w16cid:durableId="1937244444">
    <w:abstractNumId w:val="26"/>
  </w:num>
  <w:num w:numId="33" w16cid:durableId="227810790">
    <w:abstractNumId w:val="35"/>
  </w:num>
  <w:num w:numId="34" w16cid:durableId="1571189899">
    <w:abstractNumId w:val="16"/>
  </w:num>
  <w:num w:numId="35" w16cid:durableId="164900623">
    <w:abstractNumId w:val="1"/>
  </w:num>
  <w:num w:numId="36" w16cid:durableId="3490705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96412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54679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223789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ctiveWritingStyle w:appName="MSWord" w:lang="en-US"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B1"/>
    <w:rsid w:val="00000559"/>
    <w:rsid w:val="0000162E"/>
    <w:rsid w:val="00001A1C"/>
    <w:rsid w:val="00001A45"/>
    <w:rsid w:val="00001FFD"/>
    <w:rsid w:val="00002027"/>
    <w:rsid w:val="000020FE"/>
    <w:rsid w:val="000031A8"/>
    <w:rsid w:val="00003233"/>
    <w:rsid w:val="00003C5C"/>
    <w:rsid w:val="000040D7"/>
    <w:rsid w:val="00004556"/>
    <w:rsid w:val="000051AF"/>
    <w:rsid w:val="00005958"/>
    <w:rsid w:val="000059D3"/>
    <w:rsid w:val="0000600A"/>
    <w:rsid w:val="00006081"/>
    <w:rsid w:val="000060D0"/>
    <w:rsid w:val="00006D78"/>
    <w:rsid w:val="000075EA"/>
    <w:rsid w:val="00007750"/>
    <w:rsid w:val="000077FD"/>
    <w:rsid w:val="00007E37"/>
    <w:rsid w:val="00010408"/>
    <w:rsid w:val="00010C40"/>
    <w:rsid w:val="000112B4"/>
    <w:rsid w:val="0001138B"/>
    <w:rsid w:val="00011DCC"/>
    <w:rsid w:val="00012532"/>
    <w:rsid w:val="00012B9E"/>
    <w:rsid w:val="00012FBA"/>
    <w:rsid w:val="00013C6B"/>
    <w:rsid w:val="0001406B"/>
    <w:rsid w:val="000143F8"/>
    <w:rsid w:val="00014624"/>
    <w:rsid w:val="000147ED"/>
    <w:rsid w:val="00015B44"/>
    <w:rsid w:val="00016081"/>
    <w:rsid w:val="000165AC"/>
    <w:rsid w:val="00016651"/>
    <w:rsid w:val="00016881"/>
    <w:rsid w:val="000171A2"/>
    <w:rsid w:val="00017B65"/>
    <w:rsid w:val="00020158"/>
    <w:rsid w:val="000207E0"/>
    <w:rsid w:val="00020D87"/>
    <w:rsid w:val="00020F8F"/>
    <w:rsid w:val="00021A95"/>
    <w:rsid w:val="00021C0A"/>
    <w:rsid w:val="00021F62"/>
    <w:rsid w:val="0002256F"/>
    <w:rsid w:val="0002296A"/>
    <w:rsid w:val="00023DAE"/>
    <w:rsid w:val="00023FA5"/>
    <w:rsid w:val="00024592"/>
    <w:rsid w:val="00024896"/>
    <w:rsid w:val="000258A6"/>
    <w:rsid w:val="00026092"/>
    <w:rsid w:val="000263F0"/>
    <w:rsid w:val="00026407"/>
    <w:rsid w:val="000264F6"/>
    <w:rsid w:val="00026608"/>
    <w:rsid w:val="00026B36"/>
    <w:rsid w:val="0002738B"/>
    <w:rsid w:val="00027545"/>
    <w:rsid w:val="00027787"/>
    <w:rsid w:val="000278D2"/>
    <w:rsid w:val="0002794A"/>
    <w:rsid w:val="00031384"/>
    <w:rsid w:val="000315E1"/>
    <w:rsid w:val="0003236E"/>
    <w:rsid w:val="00033295"/>
    <w:rsid w:val="0003339A"/>
    <w:rsid w:val="00034134"/>
    <w:rsid w:val="000341F2"/>
    <w:rsid w:val="00034651"/>
    <w:rsid w:val="000351F2"/>
    <w:rsid w:val="00035224"/>
    <w:rsid w:val="00036E03"/>
    <w:rsid w:val="0004013D"/>
    <w:rsid w:val="000406DB"/>
    <w:rsid w:val="0004094D"/>
    <w:rsid w:val="00040A5E"/>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5DEF"/>
    <w:rsid w:val="000466E8"/>
    <w:rsid w:val="00046717"/>
    <w:rsid w:val="00046A63"/>
    <w:rsid w:val="00046C09"/>
    <w:rsid w:val="0004716A"/>
    <w:rsid w:val="00047316"/>
    <w:rsid w:val="00047385"/>
    <w:rsid w:val="000473E8"/>
    <w:rsid w:val="000504DE"/>
    <w:rsid w:val="00051074"/>
    <w:rsid w:val="00051724"/>
    <w:rsid w:val="0005211A"/>
    <w:rsid w:val="00052B79"/>
    <w:rsid w:val="00052EA0"/>
    <w:rsid w:val="000536E3"/>
    <w:rsid w:val="00053AF4"/>
    <w:rsid w:val="00053C29"/>
    <w:rsid w:val="00054252"/>
    <w:rsid w:val="0005474D"/>
    <w:rsid w:val="00055CB9"/>
    <w:rsid w:val="00056F22"/>
    <w:rsid w:val="00056F66"/>
    <w:rsid w:val="0005702F"/>
    <w:rsid w:val="00057661"/>
    <w:rsid w:val="0005779C"/>
    <w:rsid w:val="00061D06"/>
    <w:rsid w:val="0006294B"/>
    <w:rsid w:val="00062CDD"/>
    <w:rsid w:val="00063FA5"/>
    <w:rsid w:val="000640AF"/>
    <w:rsid w:val="00064940"/>
    <w:rsid w:val="00064CAE"/>
    <w:rsid w:val="00064DB7"/>
    <w:rsid w:val="00064FA7"/>
    <w:rsid w:val="00065195"/>
    <w:rsid w:val="00070AF1"/>
    <w:rsid w:val="000714DE"/>
    <w:rsid w:val="0007254F"/>
    <w:rsid w:val="00073C30"/>
    <w:rsid w:val="00074305"/>
    <w:rsid w:val="00074B2A"/>
    <w:rsid w:val="00075108"/>
    <w:rsid w:val="00075B3E"/>
    <w:rsid w:val="00076456"/>
    <w:rsid w:val="00076604"/>
    <w:rsid w:val="00077045"/>
    <w:rsid w:val="0007779B"/>
    <w:rsid w:val="000777E7"/>
    <w:rsid w:val="0007790A"/>
    <w:rsid w:val="00077CA2"/>
    <w:rsid w:val="0008017B"/>
    <w:rsid w:val="00080287"/>
    <w:rsid w:val="00080ACD"/>
    <w:rsid w:val="000811ED"/>
    <w:rsid w:val="00081284"/>
    <w:rsid w:val="00081D62"/>
    <w:rsid w:val="00081E36"/>
    <w:rsid w:val="000820A1"/>
    <w:rsid w:val="000820CE"/>
    <w:rsid w:val="00082B74"/>
    <w:rsid w:val="00083099"/>
    <w:rsid w:val="00083E1A"/>
    <w:rsid w:val="00083EDC"/>
    <w:rsid w:val="00083EE6"/>
    <w:rsid w:val="000847C0"/>
    <w:rsid w:val="00084873"/>
    <w:rsid w:val="00084B97"/>
    <w:rsid w:val="0008510E"/>
    <w:rsid w:val="000856DE"/>
    <w:rsid w:val="00085F17"/>
    <w:rsid w:val="00085FB3"/>
    <w:rsid w:val="0008686B"/>
    <w:rsid w:val="00086B2A"/>
    <w:rsid w:val="00086ED2"/>
    <w:rsid w:val="000914D6"/>
    <w:rsid w:val="00091569"/>
    <w:rsid w:val="00092DCA"/>
    <w:rsid w:val="000935F8"/>
    <w:rsid w:val="0009389B"/>
    <w:rsid w:val="00093C51"/>
    <w:rsid w:val="00094093"/>
    <w:rsid w:val="000942EB"/>
    <w:rsid w:val="00095B70"/>
    <w:rsid w:val="00095C0D"/>
    <w:rsid w:val="0009609E"/>
    <w:rsid w:val="0009617E"/>
    <w:rsid w:val="00096489"/>
    <w:rsid w:val="0009707E"/>
    <w:rsid w:val="000979CF"/>
    <w:rsid w:val="00097A00"/>
    <w:rsid w:val="00097B0C"/>
    <w:rsid w:val="000A03C8"/>
    <w:rsid w:val="000A05F2"/>
    <w:rsid w:val="000A06C4"/>
    <w:rsid w:val="000A0861"/>
    <w:rsid w:val="000A0ED1"/>
    <w:rsid w:val="000A12DB"/>
    <w:rsid w:val="000A17C8"/>
    <w:rsid w:val="000A1AEE"/>
    <w:rsid w:val="000A20D7"/>
    <w:rsid w:val="000A2128"/>
    <w:rsid w:val="000A362F"/>
    <w:rsid w:val="000A3B49"/>
    <w:rsid w:val="000A41BA"/>
    <w:rsid w:val="000A446A"/>
    <w:rsid w:val="000A5AAF"/>
    <w:rsid w:val="000A5F97"/>
    <w:rsid w:val="000A648E"/>
    <w:rsid w:val="000A73BB"/>
    <w:rsid w:val="000A7EF4"/>
    <w:rsid w:val="000B09AF"/>
    <w:rsid w:val="000B0A15"/>
    <w:rsid w:val="000B0DF3"/>
    <w:rsid w:val="000B103F"/>
    <w:rsid w:val="000B1437"/>
    <w:rsid w:val="000B1470"/>
    <w:rsid w:val="000B285A"/>
    <w:rsid w:val="000B2B86"/>
    <w:rsid w:val="000B3051"/>
    <w:rsid w:val="000B419B"/>
    <w:rsid w:val="000B4716"/>
    <w:rsid w:val="000B5781"/>
    <w:rsid w:val="000B5891"/>
    <w:rsid w:val="000B62CA"/>
    <w:rsid w:val="000B6E4B"/>
    <w:rsid w:val="000C0185"/>
    <w:rsid w:val="000C0444"/>
    <w:rsid w:val="000C0960"/>
    <w:rsid w:val="000C0F81"/>
    <w:rsid w:val="000C128D"/>
    <w:rsid w:val="000C17A3"/>
    <w:rsid w:val="000C1D4B"/>
    <w:rsid w:val="000C3260"/>
    <w:rsid w:val="000C3616"/>
    <w:rsid w:val="000C3803"/>
    <w:rsid w:val="000C3B77"/>
    <w:rsid w:val="000C4F49"/>
    <w:rsid w:val="000C515F"/>
    <w:rsid w:val="000C5861"/>
    <w:rsid w:val="000C5A63"/>
    <w:rsid w:val="000C6034"/>
    <w:rsid w:val="000C639D"/>
    <w:rsid w:val="000C67BB"/>
    <w:rsid w:val="000C6C31"/>
    <w:rsid w:val="000C6DBC"/>
    <w:rsid w:val="000C6F79"/>
    <w:rsid w:val="000C7211"/>
    <w:rsid w:val="000C7476"/>
    <w:rsid w:val="000C7711"/>
    <w:rsid w:val="000C7AA2"/>
    <w:rsid w:val="000D0462"/>
    <w:rsid w:val="000D053D"/>
    <w:rsid w:val="000D0CD9"/>
    <w:rsid w:val="000D0ED2"/>
    <w:rsid w:val="000D1CEB"/>
    <w:rsid w:val="000D23E4"/>
    <w:rsid w:val="000D2563"/>
    <w:rsid w:val="000D25BF"/>
    <w:rsid w:val="000D3FDC"/>
    <w:rsid w:val="000D4E38"/>
    <w:rsid w:val="000D50DB"/>
    <w:rsid w:val="000D5ABA"/>
    <w:rsid w:val="000D6288"/>
    <w:rsid w:val="000D6CAF"/>
    <w:rsid w:val="000D7541"/>
    <w:rsid w:val="000D75E1"/>
    <w:rsid w:val="000D776B"/>
    <w:rsid w:val="000E0B3C"/>
    <w:rsid w:val="000E17F7"/>
    <w:rsid w:val="000E1925"/>
    <w:rsid w:val="000E2109"/>
    <w:rsid w:val="000E22CF"/>
    <w:rsid w:val="000E236D"/>
    <w:rsid w:val="000E2977"/>
    <w:rsid w:val="000E2B36"/>
    <w:rsid w:val="000E30AC"/>
    <w:rsid w:val="000E3B46"/>
    <w:rsid w:val="000E3E11"/>
    <w:rsid w:val="000E4596"/>
    <w:rsid w:val="000E5768"/>
    <w:rsid w:val="000E5843"/>
    <w:rsid w:val="000E6139"/>
    <w:rsid w:val="000E6B73"/>
    <w:rsid w:val="000E6BE1"/>
    <w:rsid w:val="000E7E0B"/>
    <w:rsid w:val="000F078A"/>
    <w:rsid w:val="000F122D"/>
    <w:rsid w:val="000F1450"/>
    <w:rsid w:val="000F14E8"/>
    <w:rsid w:val="000F16F5"/>
    <w:rsid w:val="000F1BBD"/>
    <w:rsid w:val="000F2739"/>
    <w:rsid w:val="000F3138"/>
    <w:rsid w:val="000F3D39"/>
    <w:rsid w:val="000F4403"/>
    <w:rsid w:val="000F4C3F"/>
    <w:rsid w:val="000F4E17"/>
    <w:rsid w:val="000F636A"/>
    <w:rsid w:val="000F6578"/>
    <w:rsid w:val="000F70CD"/>
    <w:rsid w:val="000F79F9"/>
    <w:rsid w:val="000F7ABD"/>
    <w:rsid w:val="000F7E8F"/>
    <w:rsid w:val="000F7FBB"/>
    <w:rsid w:val="001000FB"/>
    <w:rsid w:val="00100CB6"/>
    <w:rsid w:val="00101134"/>
    <w:rsid w:val="001015D2"/>
    <w:rsid w:val="00102605"/>
    <w:rsid w:val="00102686"/>
    <w:rsid w:val="00102745"/>
    <w:rsid w:val="001032E3"/>
    <w:rsid w:val="00103361"/>
    <w:rsid w:val="00103855"/>
    <w:rsid w:val="00103915"/>
    <w:rsid w:val="00103EA0"/>
    <w:rsid w:val="001046B8"/>
    <w:rsid w:val="00104F1C"/>
    <w:rsid w:val="001051E5"/>
    <w:rsid w:val="00105A74"/>
    <w:rsid w:val="00105ACB"/>
    <w:rsid w:val="00105AEF"/>
    <w:rsid w:val="00106259"/>
    <w:rsid w:val="001065E4"/>
    <w:rsid w:val="001068EB"/>
    <w:rsid w:val="001078CE"/>
    <w:rsid w:val="00110CEB"/>
    <w:rsid w:val="00110F61"/>
    <w:rsid w:val="00111007"/>
    <w:rsid w:val="001111BD"/>
    <w:rsid w:val="0011165A"/>
    <w:rsid w:val="00111B2B"/>
    <w:rsid w:val="00111DFA"/>
    <w:rsid w:val="00111ED9"/>
    <w:rsid w:val="00112609"/>
    <w:rsid w:val="00112774"/>
    <w:rsid w:val="00112B2E"/>
    <w:rsid w:val="00113003"/>
    <w:rsid w:val="00113062"/>
    <w:rsid w:val="00113705"/>
    <w:rsid w:val="00113975"/>
    <w:rsid w:val="00113CFC"/>
    <w:rsid w:val="00113FEA"/>
    <w:rsid w:val="00114324"/>
    <w:rsid w:val="00114A22"/>
    <w:rsid w:val="00114E9D"/>
    <w:rsid w:val="0011507B"/>
    <w:rsid w:val="00115D13"/>
    <w:rsid w:val="00116328"/>
    <w:rsid w:val="001163FF"/>
    <w:rsid w:val="001169FD"/>
    <w:rsid w:val="001174C9"/>
    <w:rsid w:val="00117C82"/>
    <w:rsid w:val="00117E69"/>
    <w:rsid w:val="00121103"/>
    <w:rsid w:val="0012156A"/>
    <w:rsid w:val="00121BAB"/>
    <w:rsid w:val="00121E3C"/>
    <w:rsid w:val="00122B23"/>
    <w:rsid w:val="00122B7E"/>
    <w:rsid w:val="00123D64"/>
    <w:rsid w:val="00123FB5"/>
    <w:rsid w:val="0012400F"/>
    <w:rsid w:val="001246C9"/>
    <w:rsid w:val="001249DC"/>
    <w:rsid w:val="00125340"/>
    <w:rsid w:val="0012572D"/>
    <w:rsid w:val="00125BED"/>
    <w:rsid w:val="00125C59"/>
    <w:rsid w:val="00125D4F"/>
    <w:rsid w:val="00126F9B"/>
    <w:rsid w:val="00127004"/>
    <w:rsid w:val="00127AF2"/>
    <w:rsid w:val="00127EDC"/>
    <w:rsid w:val="00127F6D"/>
    <w:rsid w:val="00130355"/>
    <w:rsid w:val="00131B5A"/>
    <w:rsid w:val="00131EF9"/>
    <w:rsid w:val="00132C30"/>
    <w:rsid w:val="00132EFD"/>
    <w:rsid w:val="00133AED"/>
    <w:rsid w:val="00134FF9"/>
    <w:rsid w:val="00135CD0"/>
    <w:rsid w:val="00135E88"/>
    <w:rsid w:val="0013695C"/>
    <w:rsid w:val="00136BF7"/>
    <w:rsid w:val="001378B9"/>
    <w:rsid w:val="00137FD1"/>
    <w:rsid w:val="00137FFA"/>
    <w:rsid w:val="00140109"/>
    <w:rsid w:val="0014029B"/>
    <w:rsid w:val="00140421"/>
    <w:rsid w:val="00140A4F"/>
    <w:rsid w:val="001413AB"/>
    <w:rsid w:val="001432AF"/>
    <w:rsid w:val="00144335"/>
    <w:rsid w:val="0014502F"/>
    <w:rsid w:val="00145282"/>
    <w:rsid w:val="001453B0"/>
    <w:rsid w:val="001454D9"/>
    <w:rsid w:val="00145D8E"/>
    <w:rsid w:val="00146083"/>
    <w:rsid w:val="001462F7"/>
    <w:rsid w:val="001466F0"/>
    <w:rsid w:val="00146B60"/>
    <w:rsid w:val="00147798"/>
    <w:rsid w:val="00150005"/>
    <w:rsid w:val="00151B99"/>
    <w:rsid w:val="001521B2"/>
    <w:rsid w:val="00152288"/>
    <w:rsid w:val="00152EDD"/>
    <w:rsid w:val="00153491"/>
    <w:rsid w:val="0015361C"/>
    <w:rsid w:val="0015372F"/>
    <w:rsid w:val="00153A05"/>
    <w:rsid w:val="00153A18"/>
    <w:rsid w:val="00153BFB"/>
    <w:rsid w:val="0015407E"/>
    <w:rsid w:val="001542E6"/>
    <w:rsid w:val="0015448E"/>
    <w:rsid w:val="00154A6F"/>
    <w:rsid w:val="00155D08"/>
    <w:rsid w:val="00156BE5"/>
    <w:rsid w:val="00156FDB"/>
    <w:rsid w:val="00157232"/>
    <w:rsid w:val="00160401"/>
    <w:rsid w:val="00160D4E"/>
    <w:rsid w:val="00161E62"/>
    <w:rsid w:val="00161F1C"/>
    <w:rsid w:val="0016200B"/>
    <w:rsid w:val="00163D7A"/>
    <w:rsid w:val="00164281"/>
    <w:rsid w:val="00164AF1"/>
    <w:rsid w:val="001654DF"/>
    <w:rsid w:val="00166476"/>
    <w:rsid w:val="00166EB1"/>
    <w:rsid w:val="00167503"/>
    <w:rsid w:val="001676A9"/>
    <w:rsid w:val="00167A15"/>
    <w:rsid w:val="00167A50"/>
    <w:rsid w:val="00167D66"/>
    <w:rsid w:val="00167DF5"/>
    <w:rsid w:val="00170001"/>
    <w:rsid w:val="0017145A"/>
    <w:rsid w:val="00172198"/>
    <w:rsid w:val="00172612"/>
    <w:rsid w:val="00172817"/>
    <w:rsid w:val="001734E3"/>
    <w:rsid w:val="0017350E"/>
    <w:rsid w:val="0017391B"/>
    <w:rsid w:val="001742BF"/>
    <w:rsid w:val="001749DF"/>
    <w:rsid w:val="00175E49"/>
    <w:rsid w:val="00176470"/>
    <w:rsid w:val="0017659F"/>
    <w:rsid w:val="00177076"/>
    <w:rsid w:val="001805C1"/>
    <w:rsid w:val="00180A2E"/>
    <w:rsid w:val="001813AF"/>
    <w:rsid w:val="00182831"/>
    <w:rsid w:val="001829CD"/>
    <w:rsid w:val="00182F01"/>
    <w:rsid w:val="00184F27"/>
    <w:rsid w:val="001850E6"/>
    <w:rsid w:val="0018519B"/>
    <w:rsid w:val="001856BA"/>
    <w:rsid w:val="00185AFE"/>
    <w:rsid w:val="00185E78"/>
    <w:rsid w:val="00187177"/>
    <w:rsid w:val="00187443"/>
    <w:rsid w:val="00187ABD"/>
    <w:rsid w:val="001904E3"/>
    <w:rsid w:val="0019087A"/>
    <w:rsid w:val="00191395"/>
    <w:rsid w:val="00191C5A"/>
    <w:rsid w:val="00191CEB"/>
    <w:rsid w:val="00191E63"/>
    <w:rsid w:val="00192D68"/>
    <w:rsid w:val="0019388B"/>
    <w:rsid w:val="00193B9A"/>
    <w:rsid w:val="001946AE"/>
    <w:rsid w:val="001946D5"/>
    <w:rsid w:val="00194A13"/>
    <w:rsid w:val="00194E8C"/>
    <w:rsid w:val="001962EC"/>
    <w:rsid w:val="001963DD"/>
    <w:rsid w:val="001965DB"/>
    <w:rsid w:val="00196DC9"/>
    <w:rsid w:val="001A0236"/>
    <w:rsid w:val="001A0AF8"/>
    <w:rsid w:val="001A18D5"/>
    <w:rsid w:val="001A1D4A"/>
    <w:rsid w:val="001A3011"/>
    <w:rsid w:val="001A325B"/>
    <w:rsid w:val="001A3FC3"/>
    <w:rsid w:val="001A4A08"/>
    <w:rsid w:val="001A4DAF"/>
    <w:rsid w:val="001A66DF"/>
    <w:rsid w:val="001A67D0"/>
    <w:rsid w:val="001A6BF1"/>
    <w:rsid w:val="001A7591"/>
    <w:rsid w:val="001A75B1"/>
    <w:rsid w:val="001B0366"/>
    <w:rsid w:val="001B0444"/>
    <w:rsid w:val="001B096B"/>
    <w:rsid w:val="001B0F9F"/>
    <w:rsid w:val="001B123C"/>
    <w:rsid w:val="001B1A0D"/>
    <w:rsid w:val="001B1BF1"/>
    <w:rsid w:val="001B2456"/>
    <w:rsid w:val="001B40C7"/>
    <w:rsid w:val="001B449C"/>
    <w:rsid w:val="001B4AA2"/>
    <w:rsid w:val="001B4ADE"/>
    <w:rsid w:val="001B5C86"/>
    <w:rsid w:val="001B5EF8"/>
    <w:rsid w:val="001B6BD3"/>
    <w:rsid w:val="001B6EBB"/>
    <w:rsid w:val="001C037A"/>
    <w:rsid w:val="001C07C6"/>
    <w:rsid w:val="001C0838"/>
    <w:rsid w:val="001C08B2"/>
    <w:rsid w:val="001C19CD"/>
    <w:rsid w:val="001C22D5"/>
    <w:rsid w:val="001C2515"/>
    <w:rsid w:val="001C2550"/>
    <w:rsid w:val="001C26D7"/>
    <w:rsid w:val="001C26FB"/>
    <w:rsid w:val="001C33C1"/>
    <w:rsid w:val="001C3E30"/>
    <w:rsid w:val="001C3E5C"/>
    <w:rsid w:val="001C5072"/>
    <w:rsid w:val="001C52CB"/>
    <w:rsid w:val="001C5B2A"/>
    <w:rsid w:val="001C600B"/>
    <w:rsid w:val="001C6407"/>
    <w:rsid w:val="001C6898"/>
    <w:rsid w:val="001C6DD8"/>
    <w:rsid w:val="001C719C"/>
    <w:rsid w:val="001C7C7B"/>
    <w:rsid w:val="001D068D"/>
    <w:rsid w:val="001D0A71"/>
    <w:rsid w:val="001D12D1"/>
    <w:rsid w:val="001D15DF"/>
    <w:rsid w:val="001D2970"/>
    <w:rsid w:val="001D30F3"/>
    <w:rsid w:val="001D31A0"/>
    <w:rsid w:val="001D338E"/>
    <w:rsid w:val="001D399D"/>
    <w:rsid w:val="001D3D3F"/>
    <w:rsid w:val="001D408D"/>
    <w:rsid w:val="001D4141"/>
    <w:rsid w:val="001D5024"/>
    <w:rsid w:val="001D56E9"/>
    <w:rsid w:val="001D7923"/>
    <w:rsid w:val="001D796A"/>
    <w:rsid w:val="001D7A84"/>
    <w:rsid w:val="001D7C79"/>
    <w:rsid w:val="001E0E15"/>
    <w:rsid w:val="001E15F0"/>
    <w:rsid w:val="001E1CC4"/>
    <w:rsid w:val="001E1D38"/>
    <w:rsid w:val="001E1DEE"/>
    <w:rsid w:val="001E250D"/>
    <w:rsid w:val="001E27AC"/>
    <w:rsid w:val="001E4258"/>
    <w:rsid w:val="001E442F"/>
    <w:rsid w:val="001E4587"/>
    <w:rsid w:val="001E56FF"/>
    <w:rsid w:val="001E5A69"/>
    <w:rsid w:val="001E5B84"/>
    <w:rsid w:val="001E5D6A"/>
    <w:rsid w:val="001E70FB"/>
    <w:rsid w:val="001E780A"/>
    <w:rsid w:val="001E7849"/>
    <w:rsid w:val="001F07D6"/>
    <w:rsid w:val="001F0DEE"/>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4AC"/>
    <w:rsid w:val="0020054E"/>
    <w:rsid w:val="00200B51"/>
    <w:rsid w:val="00201F1E"/>
    <w:rsid w:val="0020299B"/>
    <w:rsid w:val="00202E44"/>
    <w:rsid w:val="002037AA"/>
    <w:rsid w:val="00203FE3"/>
    <w:rsid w:val="002042D8"/>
    <w:rsid w:val="00204515"/>
    <w:rsid w:val="00204BF5"/>
    <w:rsid w:val="00204D91"/>
    <w:rsid w:val="00204E6B"/>
    <w:rsid w:val="0020575F"/>
    <w:rsid w:val="002058D4"/>
    <w:rsid w:val="00205BAA"/>
    <w:rsid w:val="0020632A"/>
    <w:rsid w:val="0020697F"/>
    <w:rsid w:val="00210430"/>
    <w:rsid w:val="002110EB"/>
    <w:rsid w:val="00211338"/>
    <w:rsid w:val="00211342"/>
    <w:rsid w:val="00211388"/>
    <w:rsid w:val="0021148C"/>
    <w:rsid w:val="00211694"/>
    <w:rsid w:val="0021201A"/>
    <w:rsid w:val="00213A1F"/>
    <w:rsid w:val="00213C63"/>
    <w:rsid w:val="00214502"/>
    <w:rsid w:val="00214741"/>
    <w:rsid w:val="0021489D"/>
    <w:rsid w:val="0021539A"/>
    <w:rsid w:val="00215793"/>
    <w:rsid w:val="00215852"/>
    <w:rsid w:val="00215B8E"/>
    <w:rsid w:val="00216264"/>
    <w:rsid w:val="002168B8"/>
    <w:rsid w:val="0021767B"/>
    <w:rsid w:val="002176B6"/>
    <w:rsid w:val="0021792D"/>
    <w:rsid w:val="00217DB8"/>
    <w:rsid w:val="0022032A"/>
    <w:rsid w:val="002221CE"/>
    <w:rsid w:val="00222740"/>
    <w:rsid w:val="00222BE8"/>
    <w:rsid w:val="00223102"/>
    <w:rsid w:val="002232CB"/>
    <w:rsid w:val="00223AA2"/>
    <w:rsid w:val="00224022"/>
    <w:rsid w:val="00224ED1"/>
    <w:rsid w:val="00226055"/>
    <w:rsid w:val="0022613F"/>
    <w:rsid w:val="00226236"/>
    <w:rsid w:val="00226DF9"/>
    <w:rsid w:val="002270C9"/>
    <w:rsid w:val="00227710"/>
    <w:rsid w:val="00227A8B"/>
    <w:rsid w:val="0023146B"/>
    <w:rsid w:val="002315A0"/>
    <w:rsid w:val="00231CE0"/>
    <w:rsid w:val="00231DBA"/>
    <w:rsid w:val="00231EC7"/>
    <w:rsid w:val="00232A6C"/>
    <w:rsid w:val="00232E15"/>
    <w:rsid w:val="00233079"/>
    <w:rsid w:val="0023382C"/>
    <w:rsid w:val="00233977"/>
    <w:rsid w:val="00233C58"/>
    <w:rsid w:val="00233C71"/>
    <w:rsid w:val="002345B6"/>
    <w:rsid w:val="00234B84"/>
    <w:rsid w:val="00235493"/>
    <w:rsid w:val="00236016"/>
    <w:rsid w:val="00237065"/>
    <w:rsid w:val="002374EF"/>
    <w:rsid w:val="00237589"/>
    <w:rsid w:val="0023758D"/>
    <w:rsid w:val="002375A7"/>
    <w:rsid w:val="0024019A"/>
    <w:rsid w:val="002411DE"/>
    <w:rsid w:val="0024131D"/>
    <w:rsid w:val="002413B5"/>
    <w:rsid w:val="002415B8"/>
    <w:rsid w:val="00241618"/>
    <w:rsid w:val="00242D62"/>
    <w:rsid w:val="00243057"/>
    <w:rsid w:val="002431D7"/>
    <w:rsid w:val="00243257"/>
    <w:rsid w:val="00243434"/>
    <w:rsid w:val="00244058"/>
    <w:rsid w:val="00244F9A"/>
    <w:rsid w:val="00245718"/>
    <w:rsid w:val="00245E07"/>
    <w:rsid w:val="0024729C"/>
    <w:rsid w:val="00247712"/>
    <w:rsid w:val="00250EC6"/>
    <w:rsid w:val="00251866"/>
    <w:rsid w:val="00251A9F"/>
    <w:rsid w:val="002521BB"/>
    <w:rsid w:val="00252492"/>
    <w:rsid w:val="00252B35"/>
    <w:rsid w:val="0025316D"/>
    <w:rsid w:val="002532F4"/>
    <w:rsid w:val="00253A02"/>
    <w:rsid w:val="00253B81"/>
    <w:rsid w:val="00254E86"/>
    <w:rsid w:val="002554DE"/>
    <w:rsid w:val="00255E11"/>
    <w:rsid w:val="00256835"/>
    <w:rsid w:val="002569F0"/>
    <w:rsid w:val="00256A3D"/>
    <w:rsid w:val="00256ECF"/>
    <w:rsid w:val="00257730"/>
    <w:rsid w:val="00257999"/>
    <w:rsid w:val="00257C83"/>
    <w:rsid w:val="002604AA"/>
    <w:rsid w:val="0026129B"/>
    <w:rsid w:val="00261560"/>
    <w:rsid w:val="00261715"/>
    <w:rsid w:val="00261CF9"/>
    <w:rsid w:val="00261EC0"/>
    <w:rsid w:val="0026231B"/>
    <w:rsid w:val="00263101"/>
    <w:rsid w:val="00263201"/>
    <w:rsid w:val="00263A37"/>
    <w:rsid w:val="002653A6"/>
    <w:rsid w:val="0026608D"/>
    <w:rsid w:val="002661F1"/>
    <w:rsid w:val="0026638E"/>
    <w:rsid w:val="002663BA"/>
    <w:rsid w:val="002664B7"/>
    <w:rsid w:val="00266CB5"/>
    <w:rsid w:val="002711A4"/>
    <w:rsid w:val="00271F13"/>
    <w:rsid w:val="002721E2"/>
    <w:rsid w:val="0027391B"/>
    <w:rsid w:val="00274DB5"/>
    <w:rsid w:val="00275BB1"/>
    <w:rsid w:val="00275FBF"/>
    <w:rsid w:val="00276373"/>
    <w:rsid w:val="00277933"/>
    <w:rsid w:val="00277F13"/>
    <w:rsid w:val="00277F8D"/>
    <w:rsid w:val="00277FA7"/>
    <w:rsid w:val="002805E0"/>
    <w:rsid w:val="00280F3D"/>
    <w:rsid w:val="0028106A"/>
    <w:rsid w:val="00281EB4"/>
    <w:rsid w:val="00282C21"/>
    <w:rsid w:val="0028308E"/>
    <w:rsid w:val="002834E9"/>
    <w:rsid w:val="0028396F"/>
    <w:rsid w:val="00283A52"/>
    <w:rsid w:val="00283C5E"/>
    <w:rsid w:val="00283E26"/>
    <w:rsid w:val="0028428F"/>
    <w:rsid w:val="00284CFC"/>
    <w:rsid w:val="0028565E"/>
    <w:rsid w:val="00285832"/>
    <w:rsid w:val="00285969"/>
    <w:rsid w:val="0028663B"/>
    <w:rsid w:val="00286CEC"/>
    <w:rsid w:val="002871A9"/>
    <w:rsid w:val="00287B7E"/>
    <w:rsid w:val="00290781"/>
    <w:rsid w:val="002912D3"/>
    <w:rsid w:val="00291784"/>
    <w:rsid w:val="002929BB"/>
    <w:rsid w:val="00292E64"/>
    <w:rsid w:val="002932BA"/>
    <w:rsid w:val="00293669"/>
    <w:rsid w:val="00294368"/>
    <w:rsid w:val="00294A0C"/>
    <w:rsid w:val="00294B78"/>
    <w:rsid w:val="00295646"/>
    <w:rsid w:val="00295949"/>
    <w:rsid w:val="0029624A"/>
    <w:rsid w:val="00296922"/>
    <w:rsid w:val="0029697C"/>
    <w:rsid w:val="00297098"/>
    <w:rsid w:val="00297C41"/>
    <w:rsid w:val="002A05D4"/>
    <w:rsid w:val="002A09FF"/>
    <w:rsid w:val="002A0E60"/>
    <w:rsid w:val="002A1A58"/>
    <w:rsid w:val="002A1B02"/>
    <w:rsid w:val="002A1C53"/>
    <w:rsid w:val="002A28FC"/>
    <w:rsid w:val="002A2B44"/>
    <w:rsid w:val="002A2EA5"/>
    <w:rsid w:val="002A3842"/>
    <w:rsid w:val="002A3D94"/>
    <w:rsid w:val="002A4736"/>
    <w:rsid w:val="002A4B1C"/>
    <w:rsid w:val="002A4BDD"/>
    <w:rsid w:val="002A4CC8"/>
    <w:rsid w:val="002A4DBB"/>
    <w:rsid w:val="002A6AFB"/>
    <w:rsid w:val="002A6E3A"/>
    <w:rsid w:val="002A733D"/>
    <w:rsid w:val="002A774A"/>
    <w:rsid w:val="002A7E5C"/>
    <w:rsid w:val="002A7F6D"/>
    <w:rsid w:val="002B020D"/>
    <w:rsid w:val="002B1342"/>
    <w:rsid w:val="002B27C8"/>
    <w:rsid w:val="002B2A7F"/>
    <w:rsid w:val="002B330B"/>
    <w:rsid w:val="002B39BE"/>
    <w:rsid w:val="002B4039"/>
    <w:rsid w:val="002B438C"/>
    <w:rsid w:val="002B48DB"/>
    <w:rsid w:val="002B4B34"/>
    <w:rsid w:val="002B508E"/>
    <w:rsid w:val="002B541A"/>
    <w:rsid w:val="002B6407"/>
    <w:rsid w:val="002B6416"/>
    <w:rsid w:val="002B6459"/>
    <w:rsid w:val="002B64D2"/>
    <w:rsid w:val="002B68FE"/>
    <w:rsid w:val="002B73B0"/>
    <w:rsid w:val="002C1143"/>
    <w:rsid w:val="002C24B4"/>
    <w:rsid w:val="002C2739"/>
    <w:rsid w:val="002C2B3A"/>
    <w:rsid w:val="002C2B87"/>
    <w:rsid w:val="002C3CF4"/>
    <w:rsid w:val="002C441A"/>
    <w:rsid w:val="002C4A73"/>
    <w:rsid w:val="002C4B84"/>
    <w:rsid w:val="002C4C0C"/>
    <w:rsid w:val="002C5016"/>
    <w:rsid w:val="002C5570"/>
    <w:rsid w:val="002C5C2F"/>
    <w:rsid w:val="002C5D0F"/>
    <w:rsid w:val="002C5E87"/>
    <w:rsid w:val="002C60B9"/>
    <w:rsid w:val="002C6A1D"/>
    <w:rsid w:val="002C6F77"/>
    <w:rsid w:val="002C704D"/>
    <w:rsid w:val="002D0845"/>
    <w:rsid w:val="002D0933"/>
    <w:rsid w:val="002D0F58"/>
    <w:rsid w:val="002D19BB"/>
    <w:rsid w:val="002D1A9B"/>
    <w:rsid w:val="002D1FB0"/>
    <w:rsid w:val="002D21C7"/>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581"/>
    <w:rsid w:val="002E2D7D"/>
    <w:rsid w:val="002E3AB5"/>
    <w:rsid w:val="002E3D76"/>
    <w:rsid w:val="002E40A1"/>
    <w:rsid w:val="002E48EC"/>
    <w:rsid w:val="002E4B44"/>
    <w:rsid w:val="002E4ECB"/>
    <w:rsid w:val="002E4F23"/>
    <w:rsid w:val="002E5B53"/>
    <w:rsid w:val="002E6CAE"/>
    <w:rsid w:val="002E74C4"/>
    <w:rsid w:val="002E7847"/>
    <w:rsid w:val="002E7FCF"/>
    <w:rsid w:val="002F0073"/>
    <w:rsid w:val="002F0618"/>
    <w:rsid w:val="002F1D41"/>
    <w:rsid w:val="002F240B"/>
    <w:rsid w:val="002F2F50"/>
    <w:rsid w:val="002F3601"/>
    <w:rsid w:val="002F37DD"/>
    <w:rsid w:val="002F45F6"/>
    <w:rsid w:val="002F692F"/>
    <w:rsid w:val="002F69BE"/>
    <w:rsid w:val="002F74FE"/>
    <w:rsid w:val="002F7B66"/>
    <w:rsid w:val="00300CB4"/>
    <w:rsid w:val="00300DE7"/>
    <w:rsid w:val="00300E24"/>
    <w:rsid w:val="0030101C"/>
    <w:rsid w:val="003033BA"/>
    <w:rsid w:val="003043A3"/>
    <w:rsid w:val="00304BD4"/>
    <w:rsid w:val="0030500A"/>
    <w:rsid w:val="0030517B"/>
    <w:rsid w:val="003052EB"/>
    <w:rsid w:val="00305FCB"/>
    <w:rsid w:val="0030600C"/>
    <w:rsid w:val="003063C3"/>
    <w:rsid w:val="00306B44"/>
    <w:rsid w:val="00307C44"/>
    <w:rsid w:val="0031088E"/>
    <w:rsid w:val="00310A35"/>
    <w:rsid w:val="00310CAF"/>
    <w:rsid w:val="00310D01"/>
    <w:rsid w:val="00311376"/>
    <w:rsid w:val="00311A1F"/>
    <w:rsid w:val="00311B47"/>
    <w:rsid w:val="00311D52"/>
    <w:rsid w:val="00312190"/>
    <w:rsid w:val="003125E0"/>
    <w:rsid w:val="00312606"/>
    <w:rsid w:val="0031271D"/>
    <w:rsid w:val="0031336A"/>
    <w:rsid w:val="00313447"/>
    <w:rsid w:val="00313748"/>
    <w:rsid w:val="00313EA3"/>
    <w:rsid w:val="00315457"/>
    <w:rsid w:val="003161A4"/>
    <w:rsid w:val="00316955"/>
    <w:rsid w:val="0031720A"/>
    <w:rsid w:val="0031749B"/>
    <w:rsid w:val="003174E5"/>
    <w:rsid w:val="00317C9D"/>
    <w:rsid w:val="00317CD2"/>
    <w:rsid w:val="00317D99"/>
    <w:rsid w:val="0032078D"/>
    <w:rsid w:val="003208F4"/>
    <w:rsid w:val="00320A6E"/>
    <w:rsid w:val="00320F34"/>
    <w:rsid w:val="0032137B"/>
    <w:rsid w:val="003214F7"/>
    <w:rsid w:val="00321BD6"/>
    <w:rsid w:val="00321FA3"/>
    <w:rsid w:val="003227D3"/>
    <w:rsid w:val="00322937"/>
    <w:rsid w:val="00322A46"/>
    <w:rsid w:val="00322A84"/>
    <w:rsid w:val="00323881"/>
    <w:rsid w:val="00323B73"/>
    <w:rsid w:val="003254F5"/>
    <w:rsid w:val="00325D98"/>
    <w:rsid w:val="0032682A"/>
    <w:rsid w:val="00327A5C"/>
    <w:rsid w:val="003305FB"/>
    <w:rsid w:val="0033092C"/>
    <w:rsid w:val="0033122A"/>
    <w:rsid w:val="003315AC"/>
    <w:rsid w:val="00331932"/>
    <w:rsid w:val="00333A88"/>
    <w:rsid w:val="00333FFB"/>
    <w:rsid w:val="00335B15"/>
    <w:rsid w:val="00335B21"/>
    <w:rsid w:val="00335D3F"/>
    <w:rsid w:val="00336019"/>
    <w:rsid w:val="00336104"/>
    <w:rsid w:val="00336729"/>
    <w:rsid w:val="00336859"/>
    <w:rsid w:val="00336AB1"/>
    <w:rsid w:val="00336CF8"/>
    <w:rsid w:val="00337178"/>
    <w:rsid w:val="0033726D"/>
    <w:rsid w:val="00337362"/>
    <w:rsid w:val="00337CA8"/>
    <w:rsid w:val="00337EAD"/>
    <w:rsid w:val="0034125B"/>
    <w:rsid w:val="0034177C"/>
    <w:rsid w:val="00342345"/>
    <w:rsid w:val="00342C27"/>
    <w:rsid w:val="003430C8"/>
    <w:rsid w:val="003432C8"/>
    <w:rsid w:val="003434B3"/>
    <w:rsid w:val="00343536"/>
    <w:rsid w:val="00343EFB"/>
    <w:rsid w:val="003443DF"/>
    <w:rsid w:val="00344760"/>
    <w:rsid w:val="00344A64"/>
    <w:rsid w:val="00344BF8"/>
    <w:rsid w:val="003460DA"/>
    <w:rsid w:val="0034680A"/>
    <w:rsid w:val="00346C62"/>
    <w:rsid w:val="0034778E"/>
    <w:rsid w:val="003501E2"/>
    <w:rsid w:val="00350A59"/>
    <w:rsid w:val="00351E10"/>
    <w:rsid w:val="0035273A"/>
    <w:rsid w:val="00352D59"/>
    <w:rsid w:val="003533F4"/>
    <w:rsid w:val="003536F6"/>
    <w:rsid w:val="00353DD5"/>
    <w:rsid w:val="00355131"/>
    <w:rsid w:val="00355462"/>
    <w:rsid w:val="00356438"/>
    <w:rsid w:val="00356687"/>
    <w:rsid w:val="003609C4"/>
    <w:rsid w:val="003618D9"/>
    <w:rsid w:val="00361A59"/>
    <w:rsid w:val="003631CC"/>
    <w:rsid w:val="00363348"/>
    <w:rsid w:val="00363857"/>
    <w:rsid w:val="00363D59"/>
    <w:rsid w:val="003640F7"/>
    <w:rsid w:val="00364300"/>
    <w:rsid w:val="00365D3A"/>
    <w:rsid w:val="003661DD"/>
    <w:rsid w:val="003664FF"/>
    <w:rsid w:val="00366B70"/>
    <w:rsid w:val="00366BD2"/>
    <w:rsid w:val="003670B8"/>
    <w:rsid w:val="0036776E"/>
    <w:rsid w:val="003704A3"/>
    <w:rsid w:val="003706F2"/>
    <w:rsid w:val="0037124F"/>
    <w:rsid w:val="00373827"/>
    <w:rsid w:val="00373F04"/>
    <w:rsid w:val="0037401C"/>
    <w:rsid w:val="00374A1E"/>
    <w:rsid w:val="0037507B"/>
    <w:rsid w:val="003759D1"/>
    <w:rsid w:val="00375C7C"/>
    <w:rsid w:val="003762F6"/>
    <w:rsid w:val="00376788"/>
    <w:rsid w:val="00377027"/>
    <w:rsid w:val="00377135"/>
    <w:rsid w:val="00380272"/>
    <w:rsid w:val="00380355"/>
    <w:rsid w:val="00380576"/>
    <w:rsid w:val="003805DB"/>
    <w:rsid w:val="003813F4"/>
    <w:rsid w:val="0038152A"/>
    <w:rsid w:val="00382BAD"/>
    <w:rsid w:val="00383A8D"/>
    <w:rsid w:val="00384CD6"/>
    <w:rsid w:val="00384DF1"/>
    <w:rsid w:val="00384FF3"/>
    <w:rsid w:val="00385913"/>
    <w:rsid w:val="00386456"/>
    <w:rsid w:val="003865A9"/>
    <w:rsid w:val="003870F0"/>
    <w:rsid w:val="00387642"/>
    <w:rsid w:val="003903B6"/>
    <w:rsid w:val="00390F32"/>
    <w:rsid w:val="0039135E"/>
    <w:rsid w:val="0039200F"/>
    <w:rsid w:val="0039319C"/>
    <w:rsid w:val="003938CD"/>
    <w:rsid w:val="00393CAE"/>
    <w:rsid w:val="003945DC"/>
    <w:rsid w:val="003945F4"/>
    <w:rsid w:val="00394EB5"/>
    <w:rsid w:val="003953B4"/>
    <w:rsid w:val="0039615F"/>
    <w:rsid w:val="00396A29"/>
    <w:rsid w:val="00397FF0"/>
    <w:rsid w:val="003A0878"/>
    <w:rsid w:val="003A1561"/>
    <w:rsid w:val="003A1D25"/>
    <w:rsid w:val="003A22A2"/>
    <w:rsid w:val="003A2447"/>
    <w:rsid w:val="003A2AA1"/>
    <w:rsid w:val="003A31A5"/>
    <w:rsid w:val="003A3247"/>
    <w:rsid w:val="003A3851"/>
    <w:rsid w:val="003A39DD"/>
    <w:rsid w:val="003A4A8E"/>
    <w:rsid w:val="003A5439"/>
    <w:rsid w:val="003A563C"/>
    <w:rsid w:val="003A581E"/>
    <w:rsid w:val="003A6160"/>
    <w:rsid w:val="003A65A5"/>
    <w:rsid w:val="003A72F5"/>
    <w:rsid w:val="003A78E5"/>
    <w:rsid w:val="003B0341"/>
    <w:rsid w:val="003B120F"/>
    <w:rsid w:val="003B1E57"/>
    <w:rsid w:val="003B1F7E"/>
    <w:rsid w:val="003B2885"/>
    <w:rsid w:val="003B2EF3"/>
    <w:rsid w:val="003B3676"/>
    <w:rsid w:val="003B4A9C"/>
    <w:rsid w:val="003B4B1C"/>
    <w:rsid w:val="003B4CB2"/>
    <w:rsid w:val="003B534F"/>
    <w:rsid w:val="003B5391"/>
    <w:rsid w:val="003B5952"/>
    <w:rsid w:val="003B65D7"/>
    <w:rsid w:val="003B65E0"/>
    <w:rsid w:val="003B6BD4"/>
    <w:rsid w:val="003B6F4D"/>
    <w:rsid w:val="003B6FE7"/>
    <w:rsid w:val="003C0791"/>
    <w:rsid w:val="003C0D1F"/>
    <w:rsid w:val="003C116A"/>
    <w:rsid w:val="003C1AF4"/>
    <w:rsid w:val="003C1B63"/>
    <w:rsid w:val="003C1CB8"/>
    <w:rsid w:val="003C2550"/>
    <w:rsid w:val="003C287F"/>
    <w:rsid w:val="003C3339"/>
    <w:rsid w:val="003C375A"/>
    <w:rsid w:val="003C43F6"/>
    <w:rsid w:val="003C4D9F"/>
    <w:rsid w:val="003C5118"/>
    <w:rsid w:val="003C622C"/>
    <w:rsid w:val="003C6D53"/>
    <w:rsid w:val="003C73C7"/>
    <w:rsid w:val="003D03F3"/>
    <w:rsid w:val="003D050B"/>
    <w:rsid w:val="003D0B98"/>
    <w:rsid w:val="003D0C3C"/>
    <w:rsid w:val="003D0DE5"/>
    <w:rsid w:val="003D1351"/>
    <w:rsid w:val="003D1E4F"/>
    <w:rsid w:val="003D21C1"/>
    <w:rsid w:val="003D2924"/>
    <w:rsid w:val="003D3707"/>
    <w:rsid w:val="003D386F"/>
    <w:rsid w:val="003D3B15"/>
    <w:rsid w:val="003D3B2E"/>
    <w:rsid w:val="003D484D"/>
    <w:rsid w:val="003D49CB"/>
    <w:rsid w:val="003D4BD6"/>
    <w:rsid w:val="003D508C"/>
    <w:rsid w:val="003D565C"/>
    <w:rsid w:val="003D6412"/>
    <w:rsid w:val="003D6B8F"/>
    <w:rsid w:val="003D7566"/>
    <w:rsid w:val="003E08B3"/>
    <w:rsid w:val="003E09BB"/>
    <w:rsid w:val="003E159D"/>
    <w:rsid w:val="003E20EA"/>
    <w:rsid w:val="003E210C"/>
    <w:rsid w:val="003E2913"/>
    <w:rsid w:val="003E2F55"/>
    <w:rsid w:val="003E305B"/>
    <w:rsid w:val="003E317C"/>
    <w:rsid w:val="003E34DB"/>
    <w:rsid w:val="003E3833"/>
    <w:rsid w:val="003E3902"/>
    <w:rsid w:val="003E3AF9"/>
    <w:rsid w:val="003E4A70"/>
    <w:rsid w:val="003E4C48"/>
    <w:rsid w:val="003E4CD9"/>
    <w:rsid w:val="003E54B3"/>
    <w:rsid w:val="003E5780"/>
    <w:rsid w:val="003E5B9F"/>
    <w:rsid w:val="003E6072"/>
    <w:rsid w:val="003E643F"/>
    <w:rsid w:val="003E6AB6"/>
    <w:rsid w:val="003E6E0B"/>
    <w:rsid w:val="003E71CD"/>
    <w:rsid w:val="003E74E5"/>
    <w:rsid w:val="003E76DF"/>
    <w:rsid w:val="003E78DA"/>
    <w:rsid w:val="003E792E"/>
    <w:rsid w:val="003E7A8B"/>
    <w:rsid w:val="003F04B0"/>
    <w:rsid w:val="003F0F7F"/>
    <w:rsid w:val="003F294B"/>
    <w:rsid w:val="003F300D"/>
    <w:rsid w:val="003F391F"/>
    <w:rsid w:val="003F4599"/>
    <w:rsid w:val="003F45E1"/>
    <w:rsid w:val="003F4F6C"/>
    <w:rsid w:val="003F516A"/>
    <w:rsid w:val="003F556E"/>
    <w:rsid w:val="003F559E"/>
    <w:rsid w:val="003F5DB7"/>
    <w:rsid w:val="003F6181"/>
    <w:rsid w:val="003F7343"/>
    <w:rsid w:val="00400002"/>
    <w:rsid w:val="00400054"/>
    <w:rsid w:val="004016A3"/>
    <w:rsid w:val="00401B31"/>
    <w:rsid w:val="0040202B"/>
    <w:rsid w:val="00402307"/>
    <w:rsid w:val="00402DE1"/>
    <w:rsid w:val="00402EEB"/>
    <w:rsid w:val="004037C2"/>
    <w:rsid w:val="00404041"/>
    <w:rsid w:val="00404B43"/>
    <w:rsid w:val="00404C61"/>
    <w:rsid w:val="00405487"/>
    <w:rsid w:val="004054B1"/>
    <w:rsid w:val="00405792"/>
    <w:rsid w:val="0040602B"/>
    <w:rsid w:val="00407A7A"/>
    <w:rsid w:val="00407ABC"/>
    <w:rsid w:val="00407F1E"/>
    <w:rsid w:val="00410A88"/>
    <w:rsid w:val="00411317"/>
    <w:rsid w:val="00411A9E"/>
    <w:rsid w:val="00411D88"/>
    <w:rsid w:val="0041214C"/>
    <w:rsid w:val="0041259F"/>
    <w:rsid w:val="00412B4D"/>
    <w:rsid w:val="00412BBF"/>
    <w:rsid w:val="00412C51"/>
    <w:rsid w:val="00413262"/>
    <w:rsid w:val="0041329C"/>
    <w:rsid w:val="004139F4"/>
    <w:rsid w:val="00413FFA"/>
    <w:rsid w:val="00414246"/>
    <w:rsid w:val="0041475B"/>
    <w:rsid w:val="00414760"/>
    <w:rsid w:val="00414C2F"/>
    <w:rsid w:val="00414D9A"/>
    <w:rsid w:val="00415194"/>
    <w:rsid w:val="00415816"/>
    <w:rsid w:val="00415B88"/>
    <w:rsid w:val="00415D32"/>
    <w:rsid w:val="004160A2"/>
    <w:rsid w:val="004166CB"/>
    <w:rsid w:val="00417089"/>
    <w:rsid w:val="004170D7"/>
    <w:rsid w:val="004177A6"/>
    <w:rsid w:val="00417EFD"/>
    <w:rsid w:val="004200EE"/>
    <w:rsid w:val="004209D2"/>
    <w:rsid w:val="00420D6E"/>
    <w:rsid w:val="00421BD2"/>
    <w:rsid w:val="00421E00"/>
    <w:rsid w:val="00421FCB"/>
    <w:rsid w:val="00421FF6"/>
    <w:rsid w:val="00422DCA"/>
    <w:rsid w:val="00423F9F"/>
    <w:rsid w:val="0042499B"/>
    <w:rsid w:val="00424FEC"/>
    <w:rsid w:val="00425C43"/>
    <w:rsid w:val="00426C69"/>
    <w:rsid w:val="00426D3B"/>
    <w:rsid w:val="004273FA"/>
    <w:rsid w:val="004276C2"/>
    <w:rsid w:val="00430186"/>
    <w:rsid w:val="00430730"/>
    <w:rsid w:val="00431907"/>
    <w:rsid w:val="0043269A"/>
    <w:rsid w:val="00432E14"/>
    <w:rsid w:val="004333C2"/>
    <w:rsid w:val="004336AD"/>
    <w:rsid w:val="00433ACB"/>
    <w:rsid w:val="00434787"/>
    <w:rsid w:val="004347DA"/>
    <w:rsid w:val="00434C13"/>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5AC2"/>
    <w:rsid w:val="00446037"/>
    <w:rsid w:val="0044642F"/>
    <w:rsid w:val="00446D80"/>
    <w:rsid w:val="0044772C"/>
    <w:rsid w:val="004502AA"/>
    <w:rsid w:val="004507BD"/>
    <w:rsid w:val="00450846"/>
    <w:rsid w:val="004510BD"/>
    <w:rsid w:val="0045159C"/>
    <w:rsid w:val="00451A52"/>
    <w:rsid w:val="00451FC8"/>
    <w:rsid w:val="0045271D"/>
    <w:rsid w:val="00452755"/>
    <w:rsid w:val="00452803"/>
    <w:rsid w:val="004529C6"/>
    <w:rsid w:val="00452EAD"/>
    <w:rsid w:val="004531D5"/>
    <w:rsid w:val="004533D1"/>
    <w:rsid w:val="004534D1"/>
    <w:rsid w:val="00453A53"/>
    <w:rsid w:val="00453DEB"/>
    <w:rsid w:val="00454548"/>
    <w:rsid w:val="00454582"/>
    <w:rsid w:val="00454717"/>
    <w:rsid w:val="00455047"/>
    <w:rsid w:val="00455354"/>
    <w:rsid w:val="0045558D"/>
    <w:rsid w:val="00455811"/>
    <w:rsid w:val="00455DEE"/>
    <w:rsid w:val="00456970"/>
    <w:rsid w:val="00456BB1"/>
    <w:rsid w:val="00456DDB"/>
    <w:rsid w:val="0046080F"/>
    <w:rsid w:val="00460915"/>
    <w:rsid w:val="00460946"/>
    <w:rsid w:val="004613D2"/>
    <w:rsid w:val="004614A9"/>
    <w:rsid w:val="00461B6F"/>
    <w:rsid w:val="00461E97"/>
    <w:rsid w:val="00462452"/>
    <w:rsid w:val="0046268F"/>
    <w:rsid w:val="0046284F"/>
    <w:rsid w:val="00462B10"/>
    <w:rsid w:val="00462C04"/>
    <w:rsid w:val="0046320A"/>
    <w:rsid w:val="0046361D"/>
    <w:rsid w:val="004638E2"/>
    <w:rsid w:val="00464030"/>
    <w:rsid w:val="004647F8"/>
    <w:rsid w:val="004647FB"/>
    <w:rsid w:val="004648B1"/>
    <w:rsid w:val="00465456"/>
    <w:rsid w:val="00465677"/>
    <w:rsid w:val="00465AC3"/>
    <w:rsid w:val="00466616"/>
    <w:rsid w:val="00466A0C"/>
    <w:rsid w:val="00470A6A"/>
    <w:rsid w:val="00470D92"/>
    <w:rsid w:val="004712D1"/>
    <w:rsid w:val="00471DF7"/>
    <w:rsid w:val="00471F6B"/>
    <w:rsid w:val="0047295C"/>
    <w:rsid w:val="00472D8E"/>
    <w:rsid w:val="004734CF"/>
    <w:rsid w:val="00474344"/>
    <w:rsid w:val="00474889"/>
    <w:rsid w:val="00475C5A"/>
    <w:rsid w:val="00475C9C"/>
    <w:rsid w:val="0047676B"/>
    <w:rsid w:val="00476D28"/>
    <w:rsid w:val="0047773C"/>
    <w:rsid w:val="00477C5F"/>
    <w:rsid w:val="00480050"/>
    <w:rsid w:val="004808DE"/>
    <w:rsid w:val="004814BB"/>
    <w:rsid w:val="00481AC4"/>
    <w:rsid w:val="00481DC1"/>
    <w:rsid w:val="00482507"/>
    <w:rsid w:val="0048268A"/>
    <w:rsid w:val="0048288C"/>
    <w:rsid w:val="00482BB3"/>
    <w:rsid w:val="00483158"/>
    <w:rsid w:val="00483356"/>
    <w:rsid w:val="004835CA"/>
    <w:rsid w:val="004836F8"/>
    <w:rsid w:val="004836FE"/>
    <w:rsid w:val="00484074"/>
    <w:rsid w:val="004843F9"/>
    <w:rsid w:val="00484F0F"/>
    <w:rsid w:val="00484F40"/>
    <w:rsid w:val="0048540C"/>
    <w:rsid w:val="0048592F"/>
    <w:rsid w:val="0048605E"/>
    <w:rsid w:val="004861B4"/>
    <w:rsid w:val="00486A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3B1"/>
    <w:rsid w:val="00493B2C"/>
    <w:rsid w:val="00493BA6"/>
    <w:rsid w:val="00493E04"/>
    <w:rsid w:val="004940E3"/>
    <w:rsid w:val="004942DE"/>
    <w:rsid w:val="0049530F"/>
    <w:rsid w:val="0049561F"/>
    <w:rsid w:val="00496664"/>
    <w:rsid w:val="00496786"/>
    <w:rsid w:val="0049695B"/>
    <w:rsid w:val="00496D8F"/>
    <w:rsid w:val="00497463"/>
    <w:rsid w:val="00497B15"/>
    <w:rsid w:val="00497BA8"/>
    <w:rsid w:val="004A054C"/>
    <w:rsid w:val="004A08D1"/>
    <w:rsid w:val="004A16C1"/>
    <w:rsid w:val="004A1982"/>
    <w:rsid w:val="004A1CE2"/>
    <w:rsid w:val="004A2069"/>
    <w:rsid w:val="004A2800"/>
    <w:rsid w:val="004A2CE3"/>
    <w:rsid w:val="004A34D2"/>
    <w:rsid w:val="004A41BA"/>
    <w:rsid w:val="004A4301"/>
    <w:rsid w:val="004A4E65"/>
    <w:rsid w:val="004A58EE"/>
    <w:rsid w:val="004A59B7"/>
    <w:rsid w:val="004A623B"/>
    <w:rsid w:val="004A65BD"/>
    <w:rsid w:val="004A6A04"/>
    <w:rsid w:val="004A6A52"/>
    <w:rsid w:val="004A6C78"/>
    <w:rsid w:val="004A7225"/>
    <w:rsid w:val="004B0F0B"/>
    <w:rsid w:val="004B163F"/>
    <w:rsid w:val="004B1FFB"/>
    <w:rsid w:val="004B20EC"/>
    <w:rsid w:val="004B2197"/>
    <w:rsid w:val="004B298A"/>
    <w:rsid w:val="004B578D"/>
    <w:rsid w:val="004B5BE7"/>
    <w:rsid w:val="004B5E2D"/>
    <w:rsid w:val="004B5ED5"/>
    <w:rsid w:val="004B6793"/>
    <w:rsid w:val="004B6C07"/>
    <w:rsid w:val="004B74D3"/>
    <w:rsid w:val="004B76D3"/>
    <w:rsid w:val="004B788E"/>
    <w:rsid w:val="004B79B3"/>
    <w:rsid w:val="004B7E5D"/>
    <w:rsid w:val="004C0DD8"/>
    <w:rsid w:val="004C22F7"/>
    <w:rsid w:val="004C2B27"/>
    <w:rsid w:val="004C2CA7"/>
    <w:rsid w:val="004C3929"/>
    <w:rsid w:val="004C4DCB"/>
    <w:rsid w:val="004C5212"/>
    <w:rsid w:val="004C5B3B"/>
    <w:rsid w:val="004C5EF0"/>
    <w:rsid w:val="004C7226"/>
    <w:rsid w:val="004C74C9"/>
    <w:rsid w:val="004C7D70"/>
    <w:rsid w:val="004D02F9"/>
    <w:rsid w:val="004D03FE"/>
    <w:rsid w:val="004D0446"/>
    <w:rsid w:val="004D0A4F"/>
    <w:rsid w:val="004D0F95"/>
    <w:rsid w:val="004D106A"/>
    <w:rsid w:val="004D31EE"/>
    <w:rsid w:val="004D36AF"/>
    <w:rsid w:val="004D3BD1"/>
    <w:rsid w:val="004D4222"/>
    <w:rsid w:val="004D4BA1"/>
    <w:rsid w:val="004D5451"/>
    <w:rsid w:val="004D584D"/>
    <w:rsid w:val="004D58DE"/>
    <w:rsid w:val="004D61E1"/>
    <w:rsid w:val="004D6826"/>
    <w:rsid w:val="004E023F"/>
    <w:rsid w:val="004E0742"/>
    <w:rsid w:val="004E0C64"/>
    <w:rsid w:val="004E0F6B"/>
    <w:rsid w:val="004E1545"/>
    <w:rsid w:val="004E1F1C"/>
    <w:rsid w:val="004E2A35"/>
    <w:rsid w:val="004E303D"/>
    <w:rsid w:val="004E40CE"/>
    <w:rsid w:val="004E4465"/>
    <w:rsid w:val="004E4951"/>
    <w:rsid w:val="004E518D"/>
    <w:rsid w:val="004E5736"/>
    <w:rsid w:val="004E5B36"/>
    <w:rsid w:val="004E6045"/>
    <w:rsid w:val="004E6F43"/>
    <w:rsid w:val="004E7200"/>
    <w:rsid w:val="004F034D"/>
    <w:rsid w:val="004F091D"/>
    <w:rsid w:val="004F0960"/>
    <w:rsid w:val="004F0A5C"/>
    <w:rsid w:val="004F0CD9"/>
    <w:rsid w:val="004F163F"/>
    <w:rsid w:val="004F18A0"/>
    <w:rsid w:val="004F1A08"/>
    <w:rsid w:val="004F1F23"/>
    <w:rsid w:val="004F2B64"/>
    <w:rsid w:val="004F3764"/>
    <w:rsid w:val="004F3EEF"/>
    <w:rsid w:val="004F47D0"/>
    <w:rsid w:val="004F4B65"/>
    <w:rsid w:val="004F548C"/>
    <w:rsid w:val="004F5930"/>
    <w:rsid w:val="004F5970"/>
    <w:rsid w:val="004F5F0C"/>
    <w:rsid w:val="004F6121"/>
    <w:rsid w:val="004F6161"/>
    <w:rsid w:val="004F66BC"/>
    <w:rsid w:val="004F67B2"/>
    <w:rsid w:val="004F6C26"/>
    <w:rsid w:val="004F7AC9"/>
    <w:rsid w:val="0050062F"/>
    <w:rsid w:val="005012E2"/>
    <w:rsid w:val="00501481"/>
    <w:rsid w:val="0050160F"/>
    <w:rsid w:val="0050208C"/>
    <w:rsid w:val="0050284E"/>
    <w:rsid w:val="005057AE"/>
    <w:rsid w:val="00505DCB"/>
    <w:rsid w:val="005075CA"/>
    <w:rsid w:val="0051074C"/>
    <w:rsid w:val="00510DE9"/>
    <w:rsid w:val="005111E2"/>
    <w:rsid w:val="00511231"/>
    <w:rsid w:val="00512779"/>
    <w:rsid w:val="00512986"/>
    <w:rsid w:val="00512C4F"/>
    <w:rsid w:val="00513042"/>
    <w:rsid w:val="0051334F"/>
    <w:rsid w:val="00513399"/>
    <w:rsid w:val="00513AA0"/>
    <w:rsid w:val="00513AF2"/>
    <w:rsid w:val="00514575"/>
    <w:rsid w:val="00514C03"/>
    <w:rsid w:val="00514D67"/>
    <w:rsid w:val="00515515"/>
    <w:rsid w:val="00515E21"/>
    <w:rsid w:val="00515F54"/>
    <w:rsid w:val="00516338"/>
    <w:rsid w:val="0051635C"/>
    <w:rsid w:val="00516807"/>
    <w:rsid w:val="00516C5B"/>
    <w:rsid w:val="00517612"/>
    <w:rsid w:val="00517CFB"/>
    <w:rsid w:val="00517F85"/>
    <w:rsid w:val="00520899"/>
    <w:rsid w:val="00520922"/>
    <w:rsid w:val="005209FC"/>
    <w:rsid w:val="00520E50"/>
    <w:rsid w:val="005224E5"/>
    <w:rsid w:val="005226BE"/>
    <w:rsid w:val="005231A5"/>
    <w:rsid w:val="005235ED"/>
    <w:rsid w:val="00523903"/>
    <w:rsid w:val="005239B6"/>
    <w:rsid w:val="00523C45"/>
    <w:rsid w:val="00524165"/>
    <w:rsid w:val="005242BA"/>
    <w:rsid w:val="005246E7"/>
    <w:rsid w:val="00524AC0"/>
    <w:rsid w:val="00524FD2"/>
    <w:rsid w:val="00525621"/>
    <w:rsid w:val="00525B2E"/>
    <w:rsid w:val="00526431"/>
    <w:rsid w:val="005265D8"/>
    <w:rsid w:val="00526709"/>
    <w:rsid w:val="00527C6B"/>
    <w:rsid w:val="00527E57"/>
    <w:rsid w:val="00530405"/>
    <w:rsid w:val="00530522"/>
    <w:rsid w:val="005305E5"/>
    <w:rsid w:val="00530F38"/>
    <w:rsid w:val="00531F26"/>
    <w:rsid w:val="0053277C"/>
    <w:rsid w:val="005327C0"/>
    <w:rsid w:val="00532D95"/>
    <w:rsid w:val="00533101"/>
    <w:rsid w:val="00533CA9"/>
    <w:rsid w:val="00533DA7"/>
    <w:rsid w:val="005342A3"/>
    <w:rsid w:val="005346AD"/>
    <w:rsid w:val="00534C25"/>
    <w:rsid w:val="00534EFB"/>
    <w:rsid w:val="00534F3A"/>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C9B"/>
    <w:rsid w:val="00547BF6"/>
    <w:rsid w:val="005502F9"/>
    <w:rsid w:val="00551098"/>
    <w:rsid w:val="00551581"/>
    <w:rsid w:val="00551598"/>
    <w:rsid w:val="00551610"/>
    <w:rsid w:val="0055162B"/>
    <w:rsid w:val="00551BFF"/>
    <w:rsid w:val="00551D68"/>
    <w:rsid w:val="00552B3E"/>
    <w:rsid w:val="00554F3F"/>
    <w:rsid w:val="005551AA"/>
    <w:rsid w:val="005564CA"/>
    <w:rsid w:val="005568EA"/>
    <w:rsid w:val="00556C87"/>
    <w:rsid w:val="00557140"/>
    <w:rsid w:val="00557DE4"/>
    <w:rsid w:val="00557F8A"/>
    <w:rsid w:val="0056058C"/>
    <w:rsid w:val="00560C87"/>
    <w:rsid w:val="00560EF9"/>
    <w:rsid w:val="00560F51"/>
    <w:rsid w:val="00561249"/>
    <w:rsid w:val="00561670"/>
    <w:rsid w:val="0056182B"/>
    <w:rsid w:val="00561AF3"/>
    <w:rsid w:val="00561CC1"/>
    <w:rsid w:val="00561E0B"/>
    <w:rsid w:val="00562141"/>
    <w:rsid w:val="00562D86"/>
    <w:rsid w:val="005630C5"/>
    <w:rsid w:val="00563D62"/>
    <w:rsid w:val="005642EC"/>
    <w:rsid w:val="00564704"/>
    <w:rsid w:val="00564712"/>
    <w:rsid w:val="005657A8"/>
    <w:rsid w:val="00565952"/>
    <w:rsid w:val="00565E3E"/>
    <w:rsid w:val="00566866"/>
    <w:rsid w:val="005670A5"/>
    <w:rsid w:val="00567106"/>
    <w:rsid w:val="00567723"/>
    <w:rsid w:val="00567AB8"/>
    <w:rsid w:val="00567C02"/>
    <w:rsid w:val="0057045E"/>
    <w:rsid w:val="005707F7"/>
    <w:rsid w:val="00570A26"/>
    <w:rsid w:val="0057170B"/>
    <w:rsid w:val="00571DC2"/>
    <w:rsid w:val="0057221F"/>
    <w:rsid w:val="00572539"/>
    <w:rsid w:val="0057337D"/>
    <w:rsid w:val="00573504"/>
    <w:rsid w:val="00574708"/>
    <w:rsid w:val="00574D81"/>
    <w:rsid w:val="005756AA"/>
    <w:rsid w:val="00575FB1"/>
    <w:rsid w:val="00576233"/>
    <w:rsid w:val="0057696F"/>
    <w:rsid w:val="005771B1"/>
    <w:rsid w:val="005774FE"/>
    <w:rsid w:val="0058040C"/>
    <w:rsid w:val="00580918"/>
    <w:rsid w:val="00580D6D"/>
    <w:rsid w:val="005813DE"/>
    <w:rsid w:val="00581796"/>
    <w:rsid w:val="00581B45"/>
    <w:rsid w:val="00581D1A"/>
    <w:rsid w:val="00582480"/>
    <w:rsid w:val="00582763"/>
    <w:rsid w:val="0058290E"/>
    <w:rsid w:val="00582CAB"/>
    <w:rsid w:val="00583121"/>
    <w:rsid w:val="0058375E"/>
    <w:rsid w:val="005841BF"/>
    <w:rsid w:val="00584233"/>
    <w:rsid w:val="005842D0"/>
    <w:rsid w:val="00585126"/>
    <w:rsid w:val="005855AE"/>
    <w:rsid w:val="00585829"/>
    <w:rsid w:val="00585CA8"/>
    <w:rsid w:val="00586232"/>
    <w:rsid w:val="00586412"/>
    <w:rsid w:val="005864B9"/>
    <w:rsid w:val="00586511"/>
    <w:rsid w:val="005866C4"/>
    <w:rsid w:val="00586BDB"/>
    <w:rsid w:val="00590B50"/>
    <w:rsid w:val="00590F1A"/>
    <w:rsid w:val="00591C03"/>
    <w:rsid w:val="00591E2A"/>
    <w:rsid w:val="005923C4"/>
    <w:rsid w:val="00593F75"/>
    <w:rsid w:val="005940A0"/>
    <w:rsid w:val="0059429A"/>
    <w:rsid w:val="00595FDD"/>
    <w:rsid w:val="00596AF7"/>
    <w:rsid w:val="00596CCE"/>
    <w:rsid w:val="00597E38"/>
    <w:rsid w:val="005A013B"/>
    <w:rsid w:val="005A1976"/>
    <w:rsid w:val="005A1D75"/>
    <w:rsid w:val="005A2120"/>
    <w:rsid w:val="005A2501"/>
    <w:rsid w:val="005A2C80"/>
    <w:rsid w:val="005A3066"/>
    <w:rsid w:val="005A3457"/>
    <w:rsid w:val="005A3B35"/>
    <w:rsid w:val="005A3C4B"/>
    <w:rsid w:val="005A3E5A"/>
    <w:rsid w:val="005A4310"/>
    <w:rsid w:val="005A43F3"/>
    <w:rsid w:val="005A496F"/>
    <w:rsid w:val="005A4A56"/>
    <w:rsid w:val="005A5A3D"/>
    <w:rsid w:val="005A5EEC"/>
    <w:rsid w:val="005A6035"/>
    <w:rsid w:val="005A6B75"/>
    <w:rsid w:val="005A6E00"/>
    <w:rsid w:val="005A718A"/>
    <w:rsid w:val="005A73C2"/>
    <w:rsid w:val="005B09BE"/>
    <w:rsid w:val="005B12B2"/>
    <w:rsid w:val="005B143B"/>
    <w:rsid w:val="005B1504"/>
    <w:rsid w:val="005B1E45"/>
    <w:rsid w:val="005B21C4"/>
    <w:rsid w:val="005B2A28"/>
    <w:rsid w:val="005B3621"/>
    <w:rsid w:val="005B4948"/>
    <w:rsid w:val="005B501D"/>
    <w:rsid w:val="005B54CC"/>
    <w:rsid w:val="005B6688"/>
    <w:rsid w:val="005B6AE8"/>
    <w:rsid w:val="005B74AD"/>
    <w:rsid w:val="005B7E96"/>
    <w:rsid w:val="005C0429"/>
    <w:rsid w:val="005C084F"/>
    <w:rsid w:val="005C0EE9"/>
    <w:rsid w:val="005C1716"/>
    <w:rsid w:val="005C1954"/>
    <w:rsid w:val="005C1C0B"/>
    <w:rsid w:val="005C1D53"/>
    <w:rsid w:val="005C2011"/>
    <w:rsid w:val="005C36CF"/>
    <w:rsid w:val="005C3EA3"/>
    <w:rsid w:val="005C5011"/>
    <w:rsid w:val="005C529E"/>
    <w:rsid w:val="005C57BA"/>
    <w:rsid w:val="005C5C52"/>
    <w:rsid w:val="005C5D3D"/>
    <w:rsid w:val="005C5F05"/>
    <w:rsid w:val="005C7497"/>
    <w:rsid w:val="005C7CAB"/>
    <w:rsid w:val="005C7F3E"/>
    <w:rsid w:val="005D0E1C"/>
    <w:rsid w:val="005D1051"/>
    <w:rsid w:val="005D1A87"/>
    <w:rsid w:val="005D2044"/>
    <w:rsid w:val="005D27DC"/>
    <w:rsid w:val="005D2917"/>
    <w:rsid w:val="005D2EB2"/>
    <w:rsid w:val="005D2F48"/>
    <w:rsid w:val="005D31CD"/>
    <w:rsid w:val="005D41F2"/>
    <w:rsid w:val="005D4613"/>
    <w:rsid w:val="005D464B"/>
    <w:rsid w:val="005D466F"/>
    <w:rsid w:val="005D49F0"/>
    <w:rsid w:val="005D4B1E"/>
    <w:rsid w:val="005D51FA"/>
    <w:rsid w:val="005D53E8"/>
    <w:rsid w:val="005D5A26"/>
    <w:rsid w:val="005D5A9D"/>
    <w:rsid w:val="005D6651"/>
    <w:rsid w:val="005D691D"/>
    <w:rsid w:val="005D6A72"/>
    <w:rsid w:val="005D7035"/>
    <w:rsid w:val="005D7276"/>
    <w:rsid w:val="005D749F"/>
    <w:rsid w:val="005D791B"/>
    <w:rsid w:val="005D7CF2"/>
    <w:rsid w:val="005D7F92"/>
    <w:rsid w:val="005E0D7B"/>
    <w:rsid w:val="005E1595"/>
    <w:rsid w:val="005E181F"/>
    <w:rsid w:val="005E1F1D"/>
    <w:rsid w:val="005E22FE"/>
    <w:rsid w:val="005E273D"/>
    <w:rsid w:val="005E3278"/>
    <w:rsid w:val="005E363B"/>
    <w:rsid w:val="005E3760"/>
    <w:rsid w:val="005E3B0D"/>
    <w:rsid w:val="005E6EA5"/>
    <w:rsid w:val="005F041F"/>
    <w:rsid w:val="005F1216"/>
    <w:rsid w:val="005F1819"/>
    <w:rsid w:val="005F1D7D"/>
    <w:rsid w:val="005F1D89"/>
    <w:rsid w:val="005F305B"/>
    <w:rsid w:val="005F3361"/>
    <w:rsid w:val="005F3B47"/>
    <w:rsid w:val="005F4481"/>
    <w:rsid w:val="005F49AF"/>
    <w:rsid w:val="005F4A58"/>
    <w:rsid w:val="005F54DF"/>
    <w:rsid w:val="005F5888"/>
    <w:rsid w:val="005F5984"/>
    <w:rsid w:val="005F5F37"/>
    <w:rsid w:val="005F63B1"/>
    <w:rsid w:val="005F6CE2"/>
    <w:rsid w:val="005F7111"/>
    <w:rsid w:val="005F72E9"/>
    <w:rsid w:val="005F730E"/>
    <w:rsid w:val="005F780B"/>
    <w:rsid w:val="005F7B0D"/>
    <w:rsid w:val="00600195"/>
    <w:rsid w:val="00600473"/>
    <w:rsid w:val="006013C9"/>
    <w:rsid w:val="006016EA"/>
    <w:rsid w:val="00602B45"/>
    <w:rsid w:val="00603499"/>
    <w:rsid w:val="006035F5"/>
    <w:rsid w:val="00603CC2"/>
    <w:rsid w:val="006047D1"/>
    <w:rsid w:val="00604A55"/>
    <w:rsid w:val="00604D3F"/>
    <w:rsid w:val="00605574"/>
    <w:rsid w:val="00605AC3"/>
    <w:rsid w:val="00605DB6"/>
    <w:rsid w:val="00606908"/>
    <w:rsid w:val="00607996"/>
    <w:rsid w:val="00607A37"/>
    <w:rsid w:val="00607E9F"/>
    <w:rsid w:val="00610641"/>
    <w:rsid w:val="0061085E"/>
    <w:rsid w:val="00611398"/>
    <w:rsid w:val="00612180"/>
    <w:rsid w:val="00612322"/>
    <w:rsid w:val="006123C0"/>
    <w:rsid w:val="00613191"/>
    <w:rsid w:val="006133F9"/>
    <w:rsid w:val="006134B3"/>
    <w:rsid w:val="00613DE1"/>
    <w:rsid w:val="0061401F"/>
    <w:rsid w:val="00614166"/>
    <w:rsid w:val="00614817"/>
    <w:rsid w:val="006149CC"/>
    <w:rsid w:val="006157A9"/>
    <w:rsid w:val="0061591D"/>
    <w:rsid w:val="00615CAF"/>
    <w:rsid w:val="00615ED0"/>
    <w:rsid w:val="0061604C"/>
    <w:rsid w:val="0061610B"/>
    <w:rsid w:val="00616C2B"/>
    <w:rsid w:val="006174FA"/>
    <w:rsid w:val="006178D1"/>
    <w:rsid w:val="00617E70"/>
    <w:rsid w:val="00620719"/>
    <w:rsid w:val="00620E8C"/>
    <w:rsid w:val="006212C9"/>
    <w:rsid w:val="00621D0C"/>
    <w:rsid w:val="00622470"/>
    <w:rsid w:val="00622725"/>
    <w:rsid w:val="006231AA"/>
    <w:rsid w:val="00623482"/>
    <w:rsid w:val="00623AC2"/>
    <w:rsid w:val="00623FF7"/>
    <w:rsid w:val="0062471F"/>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27DA"/>
    <w:rsid w:val="0063295C"/>
    <w:rsid w:val="00633216"/>
    <w:rsid w:val="00633367"/>
    <w:rsid w:val="00633DBF"/>
    <w:rsid w:val="00634122"/>
    <w:rsid w:val="00634AB5"/>
    <w:rsid w:val="00634C03"/>
    <w:rsid w:val="006355B6"/>
    <w:rsid w:val="00635E32"/>
    <w:rsid w:val="006365DE"/>
    <w:rsid w:val="00636BE4"/>
    <w:rsid w:val="0063746C"/>
    <w:rsid w:val="00637802"/>
    <w:rsid w:val="00637836"/>
    <w:rsid w:val="00637C26"/>
    <w:rsid w:val="00637F44"/>
    <w:rsid w:val="00640659"/>
    <w:rsid w:val="00641078"/>
    <w:rsid w:val="00641242"/>
    <w:rsid w:val="00642A32"/>
    <w:rsid w:val="00642D53"/>
    <w:rsid w:val="006433D5"/>
    <w:rsid w:val="00646B20"/>
    <w:rsid w:val="00646D0F"/>
    <w:rsid w:val="0064708F"/>
    <w:rsid w:val="00647936"/>
    <w:rsid w:val="00647A36"/>
    <w:rsid w:val="00647DCC"/>
    <w:rsid w:val="00647EFA"/>
    <w:rsid w:val="00647F14"/>
    <w:rsid w:val="00650027"/>
    <w:rsid w:val="00651B9C"/>
    <w:rsid w:val="00651C47"/>
    <w:rsid w:val="00651D98"/>
    <w:rsid w:val="00652854"/>
    <w:rsid w:val="00652D2C"/>
    <w:rsid w:val="00652E70"/>
    <w:rsid w:val="0065303A"/>
    <w:rsid w:val="00653091"/>
    <w:rsid w:val="0065339A"/>
    <w:rsid w:val="00653469"/>
    <w:rsid w:val="00654A38"/>
    <w:rsid w:val="00654B4B"/>
    <w:rsid w:val="00655301"/>
    <w:rsid w:val="00655371"/>
    <w:rsid w:val="00655876"/>
    <w:rsid w:val="00656C4B"/>
    <w:rsid w:val="006573EA"/>
    <w:rsid w:val="00657659"/>
    <w:rsid w:val="00661029"/>
    <w:rsid w:val="00661042"/>
    <w:rsid w:val="0066135A"/>
    <w:rsid w:val="00661639"/>
    <w:rsid w:val="0066272D"/>
    <w:rsid w:val="00662E58"/>
    <w:rsid w:val="00662F39"/>
    <w:rsid w:val="006635A0"/>
    <w:rsid w:val="006640BF"/>
    <w:rsid w:val="00664351"/>
    <w:rsid w:val="00665968"/>
    <w:rsid w:val="00665BF7"/>
    <w:rsid w:val="00666178"/>
    <w:rsid w:val="0066639E"/>
    <w:rsid w:val="00666473"/>
    <w:rsid w:val="00666C72"/>
    <w:rsid w:val="00666E6C"/>
    <w:rsid w:val="0066707F"/>
    <w:rsid w:val="00667ED8"/>
    <w:rsid w:val="0067064C"/>
    <w:rsid w:val="00670B20"/>
    <w:rsid w:val="00670E12"/>
    <w:rsid w:val="00672DE7"/>
    <w:rsid w:val="00672E80"/>
    <w:rsid w:val="006739E4"/>
    <w:rsid w:val="00673ECF"/>
    <w:rsid w:val="0067426B"/>
    <w:rsid w:val="00674A1B"/>
    <w:rsid w:val="006754F8"/>
    <w:rsid w:val="00676127"/>
    <w:rsid w:val="00676AED"/>
    <w:rsid w:val="006776AC"/>
    <w:rsid w:val="00677981"/>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1E"/>
    <w:rsid w:val="006906FA"/>
    <w:rsid w:val="00690839"/>
    <w:rsid w:val="006908DB"/>
    <w:rsid w:val="00690DE9"/>
    <w:rsid w:val="00691DE9"/>
    <w:rsid w:val="00691EAA"/>
    <w:rsid w:val="00692245"/>
    <w:rsid w:val="00692FFA"/>
    <w:rsid w:val="006932E0"/>
    <w:rsid w:val="00693772"/>
    <w:rsid w:val="00694160"/>
    <w:rsid w:val="006959A5"/>
    <w:rsid w:val="00695C0C"/>
    <w:rsid w:val="00696A05"/>
    <w:rsid w:val="00697665"/>
    <w:rsid w:val="00697C9A"/>
    <w:rsid w:val="00697E41"/>
    <w:rsid w:val="00697E68"/>
    <w:rsid w:val="006A0274"/>
    <w:rsid w:val="006A24B9"/>
    <w:rsid w:val="006A2A43"/>
    <w:rsid w:val="006A2BF1"/>
    <w:rsid w:val="006A2F9A"/>
    <w:rsid w:val="006A34E4"/>
    <w:rsid w:val="006A3A5A"/>
    <w:rsid w:val="006A44CF"/>
    <w:rsid w:val="006A457D"/>
    <w:rsid w:val="006A4749"/>
    <w:rsid w:val="006A55EE"/>
    <w:rsid w:val="006A575B"/>
    <w:rsid w:val="006A59DE"/>
    <w:rsid w:val="006A63EB"/>
    <w:rsid w:val="006A6655"/>
    <w:rsid w:val="006A6B0B"/>
    <w:rsid w:val="006A6BF9"/>
    <w:rsid w:val="006A6F85"/>
    <w:rsid w:val="006A7CB5"/>
    <w:rsid w:val="006A7FD0"/>
    <w:rsid w:val="006B025C"/>
    <w:rsid w:val="006B16D3"/>
    <w:rsid w:val="006B2534"/>
    <w:rsid w:val="006B2CB2"/>
    <w:rsid w:val="006B347D"/>
    <w:rsid w:val="006B3E19"/>
    <w:rsid w:val="006B4488"/>
    <w:rsid w:val="006B4DCA"/>
    <w:rsid w:val="006B6576"/>
    <w:rsid w:val="006B671C"/>
    <w:rsid w:val="006B67AC"/>
    <w:rsid w:val="006B6A25"/>
    <w:rsid w:val="006B7285"/>
    <w:rsid w:val="006B7423"/>
    <w:rsid w:val="006B786A"/>
    <w:rsid w:val="006B7E4E"/>
    <w:rsid w:val="006C003A"/>
    <w:rsid w:val="006C067D"/>
    <w:rsid w:val="006C2454"/>
    <w:rsid w:val="006C2551"/>
    <w:rsid w:val="006C3746"/>
    <w:rsid w:val="006C37CA"/>
    <w:rsid w:val="006C40B7"/>
    <w:rsid w:val="006C40D2"/>
    <w:rsid w:val="006C5B15"/>
    <w:rsid w:val="006C5D32"/>
    <w:rsid w:val="006C5DCB"/>
    <w:rsid w:val="006C70C4"/>
    <w:rsid w:val="006C775C"/>
    <w:rsid w:val="006D04DA"/>
    <w:rsid w:val="006D10F6"/>
    <w:rsid w:val="006D1475"/>
    <w:rsid w:val="006D1544"/>
    <w:rsid w:val="006D1688"/>
    <w:rsid w:val="006D181A"/>
    <w:rsid w:val="006D1B68"/>
    <w:rsid w:val="006D1FF3"/>
    <w:rsid w:val="006D2C65"/>
    <w:rsid w:val="006D32C6"/>
    <w:rsid w:val="006D360E"/>
    <w:rsid w:val="006D3697"/>
    <w:rsid w:val="006D39D2"/>
    <w:rsid w:val="006D3F2A"/>
    <w:rsid w:val="006D4370"/>
    <w:rsid w:val="006D46A3"/>
    <w:rsid w:val="006D6421"/>
    <w:rsid w:val="006D658F"/>
    <w:rsid w:val="006D69FA"/>
    <w:rsid w:val="006D6A12"/>
    <w:rsid w:val="006D6CEF"/>
    <w:rsid w:val="006D712D"/>
    <w:rsid w:val="006D7687"/>
    <w:rsid w:val="006D7CC2"/>
    <w:rsid w:val="006D7D1F"/>
    <w:rsid w:val="006D7D8A"/>
    <w:rsid w:val="006D7F4F"/>
    <w:rsid w:val="006E0572"/>
    <w:rsid w:val="006E05D8"/>
    <w:rsid w:val="006E08EE"/>
    <w:rsid w:val="006E1130"/>
    <w:rsid w:val="006E155A"/>
    <w:rsid w:val="006E286A"/>
    <w:rsid w:val="006E3452"/>
    <w:rsid w:val="006E39D1"/>
    <w:rsid w:val="006E437F"/>
    <w:rsid w:val="006E4D5B"/>
    <w:rsid w:val="006E602F"/>
    <w:rsid w:val="006E6720"/>
    <w:rsid w:val="006E68FA"/>
    <w:rsid w:val="006E7275"/>
    <w:rsid w:val="006E77B8"/>
    <w:rsid w:val="006F15CC"/>
    <w:rsid w:val="006F3BDD"/>
    <w:rsid w:val="006F4147"/>
    <w:rsid w:val="006F4315"/>
    <w:rsid w:val="006F4478"/>
    <w:rsid w:val="006F458D"/>
    <w:rsid w:val="006F4A6D"/>
    <w:rsid w:val="006F4CB0"/>
    <w:rsid w:val="006F4F78"/>
    <w:rsid w:val="006F547E"/>
    <w:rsid w:val="006F5656"/>
    <w:rsid w:val="006F5CA8"/>
    <w:rsid w:val="006F5CCF"/>
    <w:rsid w:val="006F772B"/>
    <w:rsid w:val="006F78DC"/>
    <w:rsid w:val="00700D5F"/>
    <w:rsid w:val="0070138A"/>
    <w:rsid w:val="0070157E"/>
    <w:rsid w:val="007030D4"/>
    <w:rsid w:val="0070317C"/>
    <w:rsid w:val="00703279"/>
    <w:rsid w:val="00703B61"/>
    <w:rsid w:val="00703B97"/>
    <w:rsid w:val="00703E11"/>
    <w:rsid w:val="00704102"/>
    <w:rsid w:val="0070461C"/>
    <w:rsid w:val="00705631"/>
    <w:rsid w:val="00705818"/>
    <w:rsid w:val="00705F62"/>
    <w:rsid w:val="0070773F"/>
    <w:rsid w:val="00707903"/>
    <w:rsid w:val="00707ED3"/>
    <w:rsid w:val="007101B7"/>
    <w:rsid w:val="00710668"/>
    <w:rsid w:val="007110F4"/>
    <w:rsid w:val="007112B1"/>
    <w:rsid w:val="0071130F"/>
    <w:rsid w:val="00712714"/>
    <w:rsid w:val="007128E3"/>
    <w:rsid w:val="007129AB"/>
    <w:rsid w:val="00712B63"/>
    <w:rsid w:val="007130E7"/>
    <w:rsid w:val="00713526"/>
    <w:rsid w:val="00713FC5"/>
    <w:rsid w:val="00715BBF"/>
    <w:rsid w:val="00715C29"/>
    <w:rsid w:val="00715CBD"/>
    <w:rsid w:val="00715E86"/>
    <w:rsid w:val="00715EAA"/>
    <w:rsid w:val="00716CAD"/>
    <w:rsid w:val="00716F18"/>
    <w:rsid w:val="00717052"/>
    <w:rsid w:val="0071716D"/>
    <w:rsid w:val="0071718F"/>
    <w:rsid w:val="00717363"/>
    <w:rsid w:val="0071745E"/>
    <w:rsid w:val="00717786"/>
    <w:rsid w:val="00717ACB"/>
    <w:rsid w:val="00721BFF"/>
    <w:rsid w:val="00722FD8"/>
    <w:rsid w:val="0072340F"/>
    <w:rsid w:val="007236C4"/>
    <w:rsid w:val="00723B59"/>
    <w:rsid w:val="00724635"/>
    <w:rsid w:val="0072554B"/>
    <w:rsid w:val="00725AFD"/>
    <w:rsid w:val="00725F81"/>
    <w:rsid w:val="00726603"/>
    <w:rsid w:val="00727DDC"/>
    <w:rsid w:val="0073076C"/>
    <w:rsid w:val="00730778"/>
    <w:rsid w:val="00730CD6"/>
    <w:rsid w:val="00730F74"/>
    <w:rsid w:val="0073114B"/>
    <w:rsid w:val="00734414"/>
    <w:rsid w:val="00734952"/>
    <w:rsid w:val="00734990"/>
    <w:rsid w:val="00734FF5"/>
    <w:rsid w:val="00735761"/>
    <w:rsid w:val="00735874"/>
    <w:rsid w:val="00735A66"/>
    <w:rsid w:val="00735B78"/>
    <w:rsid w:val="00735DA7"/>
    <w:rsid w:val="007368B4"/>
    <w:rsid w:val="0073786A"/>
    <w:rsid w:val="007378E0"/>
    <w:rsid w:val="00737C5C"/>
    <w:rsid w:val="0074026F"/>
    <w:rsid w:val="00740529"/>
    <w:rsid w:val="00740A6C"/>
    <w:rsid w:val="00741358"/>
    <w:rsid w:val="00741626"/>
    <w:rsid w:val="00742332"/>
    <w:rsid w:val="00742886"/>
    <w:rsid w:val="00742DD2"/>
    <w:rsid w:val="007437C6"/>
    <w:rsid w:val="007439EE"/>
    <w:rsid w:val="007441A2"/>
    <w:rsid w:val="00744B15"/>
    <w:rsid w:val="00744E80"/>
    <w:rsid w:val="00745035"/>
    <w:rsid w:val="0074531C"/>
    <w:rsid w:val="00745547"/>
    <w:rsid w:val="007459D0"/>
    <w:rsid w:val="0074623A"/>
    <w:rsid w:val="00746420"/>
    <w:rsid w:val="0074664B"/>
    <w:rsid w:val="00746E04"/>
    <w:rsid w:val="00746E08"/>
    <w:rsid w:val="00746E3D"/>
    <w:rsid w:val="007472B2"/>
    <w:rsid w:val="007473B9"/>
    <w:rsid w:val="007474ED"/>
    <w:rsid w:val="00747529"/>
    <w:rsid w:val="007476EE"/>
    <w:rsid w:val="00747C96"/>
    <w:rsid w:val="00750075"/>
    <w:rsid w:val="007502EC"/>
    <w:rsid w:val="00750382"/>
    <w:rsid w:val="0075094E"/>
    <w:rsid w:val="00750BBB"/>
    <w:rsid w:val="00750FA8"/>
    <w:rsid w:val="00750FB5"/>
    <w:rsid w:val="00751B4C"/>
    <w:rsid w:val="007522E8"/>
    <w:rsid w:val="00753BAC"/>
    <w:rsid w:val="007542C2"/>
    <w:rsid w:val="00754A0B"/>
    <w:rsid w:val="007552DB"/>
    <w:rsid w:val="00755B08"/>
    <w:rsid w:val="00755DD0"/>
    <w:rsid w:val="007562EC"/>
    <w:rsid w:val="0075647A"/>
    <w:rsid w:val="007566BE"/>
    <w:rsid w:val="00756A2F"/>
    <w:rsid w:val="007573E1"/>
    <w:rsid w:val="0075749E"/>
    <w:rsid w:val="007577DA"/>
    <w:rsid w:val="00757B2D"/>
    <w:rsid w:val="00757BAD"/>
    <w:rsid w:val="00757D62"/>
    <w:rsid w:val="00760844"/>
    <w:rsid w:val="00760867"/>
    <w:rsid w:val="00760EB6"/>
    <w:rsid w:val="0076105F"/>
    <w:rsid w:val="007616DB"/>
    <w:rsid w:val="0076228A"/>
    <w:rsid w:val="00762440"/>
    <w:rsid w:val="007629B7"/>
    <w:rsid w:val="00762E60"/>
    <w:rsid w:val="007634AD"/>
    <w:rsid w:val="00766ECC"/>
    <w:rsid w:val="007672F3"/>
    <w:rsid w:val="00767300"/>
    <w:rsid w:val="007676A9"/>
    <w:rsid w:val="007677B5"/>
    <w:rsid w:val="007678B1"/>
    <w:rsid w:val="00770317"/>
    <w:rsid w:val="007703C8"/>
    <w:rsid w:val="007708A8"/>
    <w:rsid w:val="00772275"/>
    <w:rsid w:val="00772BA3"/>
    <w:rsid w:val="007734E4"/>
    <w:rsid w:val="0077380D"/>
    <w:rsid w:val="0077393F"/>
    <w:rsid w:val="00773BC8"/>
    <w:rsid w:val="0077466F"/>
    <w:rsid w:val="007752B7"/>
    <w:rsid w:val="007753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BBB"/>
    <w:rsid w:val="0078600A"/>
    <w:rsid w:val="00786FAD"/>
    <w:rsid w:val="007873C9"/>
    <w:rsid w:val="00787D90"/>
    <w:rsid w:val="00787F5E"/>
    <w:rsid w:val="00790164"/>
    <w:rsid w:val="007906E2"/>
    <w:rsid w:val="00790A24"/>
    <w:rsid w:val="00790A37"/>
    <w:rsid w:val="00790A60"/>
    <w:rsid w:val="0079146D"/>
    <w:rsid w:val="00791C32"/>
    <w:rsid w:val="00791E08"/>
    <w:rsid w:val="00791FF0"/>
    <w:rsid w:val="00792292"/>
    <w:rsid w:val="007923D0"/>
    <w:rsid w:val="0079302C"/>
    <w:rsid w:val="007930D3"/>
    <w:rsid w:val="0079381F"/>
    <w:rsid w:val="00793B2E"/>
    <w:rsid w:val="007943FC"/>
    <w:rsid w:val="007948F5"/>
    <w:rsid w:val="00795647"/>
    <w:rsid w:val="007963F6"/>
    <w:rsid w:val="00796418"/>
    <w:rsid w:val="00796485"/>
    <w:rsid w:val="00796576"/>
    <w:rsid w:val="00796E80"/>
    <w:rsid w:val="00796EB1"/>
    <w:rsid w:val="007979AD"/>
    <w:rsid w:val="00797A9C"/>
    <w:rsid w:val="007A0EAB"/>
    <w:rsid w:val="007A2341"/>
    <w:rsid w:val="007A38A1"/>
    <w:rsid w:val="007A3967"/>
    <w:rsid w:val="007A3BBE"/>
    <w:rsid w:val="007A4766"/>
    <w:rsid w:val="007A5816"/>
    <w:rsid w:val="007A5947"/>
    <w:rsid w:val="007A74FD"/>
    <w:rsid w:val="007A7EA6"/>
    <w:rsid w:val="007B00D8"/>
    <w:rsid w:val="007B0313"/>
    <w:rsid w:val="007B05FB"/>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4FE"/>
    <w:rsid w:val="007B57A5"/>
    <w:rsid w:val="007B699E"/>
    <w:rsid w:val="007B6C64"/>
    <w:rsid w:val="007B6EC8"/>
    <w:rsid w:val="007B6F81"/>
    <w:rsid w:val="007B7992"/>
    <w:rsid w:val="007B7EA2"/>
    <w:rsid w:val="007C025A"/>
    <w:rsid w:val="007C081B"/>
    <w:rsid w:val="007C097D"/>
    <w:rsid w:val="007C13FA"/>
    <w:rsid w:val="007C1672"/>
    <w:rsid w:val="007C312A"/>
    <w:rsid w:val="007C3570"/>
    <w:rsid w:val="007C3F3B"/>
    <w:rsid w:val="007C4241"/>
    <w:rsid w:val="007C55FF"/>
    <w:rsid w:val="007C6339"/>
    <w:rsid w:val="007C6EC5"/>
    <w:rsid w:val="007C7C43"/>
    <w:rsid w:val="007C7F0D"/>
    <w:rsid w:val="007D0D03"/>
    <w:rsid w:val="007D1134"/>
    <w:rsid w:val="007D20CF"/>
    <w:rsid w:val="007D23F7"/>
    <w:rsid w:val="007D2566"/>
    <w:rsid w:val="007D2C18"/>
    <w:rsid w:val="007D2D74"/>
    <w:rsid w:val="007D333D"/>
    <w:rsid w:val="007D3395"/>
    <w:rsid w:val="007D3693"/>
    <w:rsid w:val="007D3C6D"/>
    <w:rsid w:val="007D409B"/>
    <w:rsid w:val="007D481A"/>
    <w:rsid w:val="007D5402"/>
    <w:rsid w:val="007D5648"/>
    <w:rsid w:val="007D58C5"/>
    <w:rsid w:val="007D5DE8"/>
    <w:rsid w:val="007D7503"/>
    <w:rsid w:val="007D7CFC"/>
    <w:rsid w:val="007D7FFC"/>
    <w:rsid w:val="007E0812"/>
    <w:rsid w:val="007E16A4"/>
    <w:rsid w:val="007E18DF"/>
    <w:rsid w:val="007E2A04"/>
    <w:rsid w:val="007E2C36"/>
    <w:rsid w:val="007E342A"/>
    <w:rsid w:val="007E350D"/>
    <w:rsid w:val="007E5C4A"/>
    <w:rsid w:val="007E64D4"/>
    <w:rsid w:val="007E66E9"/>
    <w:rsid w:val="007E69F2"/>
    <w:rsid w:val="007E7390"/>
    <w:rsid w:val="007E7432"/>
    <w:rsid w:val="007E74BF"/>
    <w:rsid w:val="007F14D3"/>
    <w:rsid w:val="007F1C42"/>
    <w:rsid w:val="007F1D9D"/>
    <w:rsid w:val="007F1E28"/>
    <w:rsid w:val="007F1F63"/>
    <w:rsid w:val="007F21D8"/>
    <w:rsid w:val="007F2236"/>
    <w:rsid w:val="007F22A0"/>
    <w:rsid w:val="007F2F90"/>
    <w:rsid w:val="007F3320"/>
    <w:rsid w:val="007F392A"/>
    <w:rsid w:val="007F3AC1"/>
    <w:rsid w:val="007F48FA"/>
    <w:rsid w:val="007F4976"/>
    <w:rsid w:val="007F5A56"/>
    <w:rsid w:val="007F5F90"/>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D9D"/>
    <w:rsid w:val="008059C6"/>
    <w:rsid w:val="00805AD7"/>
    <w:rsid w:val="00805BD6"/>
    <w:rsid w:val="00805DE3"/>
    <w:rsid w:val="00807666"/>
    <w:rsid w:val="00807C35"/>
    <w:rsid w:val="00807F69"/>
    <w:rsid w:val="008100EC"/>
    <w:rsid w:val="008100F7"/>
    <w:rsid w:val="00810206"/>
    <w:rsid w:val="00810F0C"/>
    <w:rsid w:val="00811898"/>
    <w:rsid w:val="008120C4"/>
    <w:rsid w:val="00812182"/>
    <w:rsid w:val="008124D8"/>
    <w:rsid w:val="0081323E"/>
    <w:rsid w:val="00813A7B"/>
    <w:rsid w:val="00813F04"/>
    <w:rsid w:val="00814353"/>
    <w:rsid w:val="00814B72"/>
    <w:rsid w:val="00814D88"/>
    <w:rsid w:val="00815A07"/>
    <w:rsid w:val="00815DA5"/>
    <w:rsid w:val="00816221"/>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3A46"/>
    <w:rsid w:val="008241CE"/>
    <w:rsid w:val="00825240"/>
    <w:rsid w:val="00825B43"/>
    <w:rsid w:val="0082629D"/>
    <w:rsid w:val="00827203"/>
    <w:rsid w:val="0082767A"/>
    <w:rsid w:val="00827CC0"/>
    <w:rsid w:val="00831026"/>
    <w:rsid w:val="0083119B"/>
    <w:rsid w:val="00831654"/>
    <w:rsid w:val="00831BAE"/>
    <w:rsid w:val="00832216"/>
    <w:rsid w:val="00832CD0"/>
    <w:rsid w:val="00833430"/>
    <w:rsid w:val="00834128"/>
    <w:rsid w:val="0083417F"/>
    <w:rsid w:val="00834374"/>
    <w:rsid w:val="00835143"/>
    <w:rsid w:val="008351F8"/>
    <w:rsid w:val="00835741"/>
    <w:rsid w:val="00836E74"/>
    <w:rsid w:val="00836EAB"/>
    <w:rsid w:val="00837673"/>
    <w:rsid w:val="008377B4"/>
    <w:rsid w:val="008378BE"/>
    <w:rsid w:val="00837937"/>
    <w:rsid w:val="00837D82"/>
    <w:rsid w:val="00840893"/>
    <w:rsid w:val="0084092A"/>
    <w:rsid w:val="00840E88"/>
    <w:rsid w:val="0084195A"/>
    <w:rsid w:val="008423EC"/>
    <w:rsid w:val="0084332E"/>
    <w:rsid w:val="008435ED"/>
    <w:rsid w:val="00843615"/>
    <w:rsid w:val="00843698"/>
    <w:rsid w:val="00843A4B"/>
    <w:rsid w:val="00843B57"/>
    <w:rsid w:val="00843B60"/>
    <w:rsid w:val="00843D33"/>
    <w:rsid w:val="00844D4F"/>
    <w:rsid w:val="00845AE3"/>
    <w:rsid w:val="008466A0"/>
    <w:rsid w:val="00846D1D"/>
    <w:rsid w:val="00847535"/>
    <w:rsid w:val="00847744"/>
    <w:rsid w:val="00847B6D"/>
    <w:rsid w:val="00847FFA"/>
    <w:rsid w:val="0085092D"/>
    <w:rsid w:val="00850D82"/>
    <w:rsid w:val="00850F79"/>
    <w:rsid w:val="0085100B"/>
    <w:rsid w:val="0085104E"/>
    <w:rsid w:val="0085304C"/>
    <w:rsid w:val="00853973"/>
    <w:rsid w:val="00853B5D"/>
    <w:rsid w:val="008548CA"/>
    <w:rsid w:val="00856C06"/>
    <w:rsid w:val="0085790B"/>
    <w:rsid w:val="00857C95"/>
    <w:rsid w:val="00857E78"/>
    <w:rsid w:val="00860AEF"/>
    <w:rsid w:val="0086122C"/>
    <w:rsid w:val="00861310"/>
    <w:rsid w:val="00861B7B"/>
    <w:rsid w:val="00861F0F"/>
    <w:rsid w:val="00861F53"/>
    <w:rsid w:val="0086289E"/>
    <w:rsid w:val="00863413"/>
    <w:rsid w:val="0086394E"/>
    <w:rsid w:val="00863F8A"/>
    <w:rsid w:val="00863FE3"/>
    <w:rsid w:val="00864241"/>
    <w:rsid w:val="0086468A"/>
    <w:rsid w:val="00864CD5"/>
    <w:rsid w:val="008650BE"/>
    <w:rsid w:val="0086633B"/>
    <w:rsid w:val="00866495"/>
    <w:rsid w:val="00866931"/>
    <w:rsid w:val="00866FEF"/>
    <w:rsid w:val="00867512"/>
    <w:rsid w:val="0087033C"/>
    <w:rsid w:val="00870B44"/>
    <w:rsid w:val="008712E8"/>
    <w:rsid w:val="008715ED"/>
    <w:rsid w:val="008717D8"/>
    <w:rsid w:val="00871E3C"/>
    <w:rsid w:val="0087213A"/>
    <w:rsid w:val="00872F97"/>
    <w:rsid w:val="00873863"/>
    <w:rsid w:val="0087392A"/>
    <w:rsid w:val="00874607"/>
    <w:rsid w:val="00874915"/>
    <w:rsid w:val="00874B89"/>
    <w:rsid w:val="008752DA"/>
    <w:rsid w:val="00875403"/>
    <w:rsid w:val="00875434"/>
    <w:rsid w:val="00876215"/>
    <w:rsid w:val="0087646C"/>
    <w:rsid w:val="00876815"/>
    <w:rsid w:val="00877932"/>
    <w:rsid w:val="008808C7"/>
    <w:rsid w:val="0088106B"/>
    <w:rsid w:val="0088107D"/>
    <w:rsid w:val="008812E2"/>
    <w:rsid w:val="0088168A"/>
    <w:rsid w:val="00881E64"/>
    <w:rsid w:val="00882A3F"/>
    <w:rsid w:val="00882E39"/>
    <w:rsid w:val="008850E3"/>
    <w:rsid w:val="008850EB"/>
    <w:rsid w:val="0088684A"/>
    <w:rsid w:val="00886DF2"/>
    <w:rsid w:val="00886FB9"/>
    <w:rsid w:val="00887080"/>
    <w:rsid w:val="00887BC5"/>
    <w:rsid w:val="00887C79"/>
    <w:rsid w:val="008907CC"/>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72F"/>
    <w:rsid w:val="0089582D"/>
    <w:rsid w:val="008959C6"/>
    <w:rsid w:val="0089606D"/>
    <w:rsid w:val="00896129"/>
    <w:rsid w:val="008965DF"/>
    <w:rsid w:val="0089774F"/>
    <w:rsid w:val="00897875"/>
    <w:rsid w:val="00897B8F"/>
    <w:rsid w:val="008A00D8"/>
    <w:rsid w:val="008A00D9"/>
    <w:rsid w:val="008A059D"/>
    <w:rsid w:val="008A07D5"/>
    <w:rsid w:val="008A2527"/>
    <w:rsid w:val="008A295B"/>
    <w:rsid w:val="008A2A23"/>
    <w:rsid w:val="008A2AF5"/>
    <w:rsid w:val="008A2B5A"/>
    <w:rsid w:val="008A2DD1"/>
    <w:rsid w:val="008A3F9D"/>
    <w:rsid w:val="008A5474"/>
    <w:rsid w:val="008A5C9A"/>
    <w:rsid w:val="008A6A55"/>
    <w:rsid w:val="008A6C5C"/>
    <w:rsid w:val="008A6DF0"/>
    <w:rsid w:val="008A6F6E"/>
    <w:rsid w:val="008A7888"/>
    <w:rsid w:val="008A796E"/>
    <w:rsid w:val="008B03D8"/>
    <w:rsid w:val="008B0862"/>
    <w:rsid w:val="008B088C"/>
    <w:rsid w:val="008B0A60"/>
    <w:rsid w:val="008B1973"/>
    <w:rsid w:val="008B1BF5"/>
    <w:rsid w:val="008B2268"/>
    <w:rsid w:val="008B263F"/>
    <w:rsid w:val="008B47A6"/>
    <w:rsid w:val="008B5626"/>
    <w:rsid w:val="008B6649"/>
    <w:rsid w:val="008B6726"/>
    <w:rsid w:val="008B672C"/>
    <w:rsid w:val="008B6AF6"/>
    <w:rsid w:val="008B707A"/>
    <w:rsid w:val="008B7611"/>
    <w:rsid w:val="008C036D"/>
    <w:rsid w:val="008C0743"/>
    <w:rsid w:val="008C0B4C"/>
    <w:rsid w:val="008C11F0"/>
    <w:rsid w:val="008C1DBA"/>
    <w:rsid w:val="008C20B8"/>
    <w:rsid w:val="008C24E7"/>
    <w:rsid w:val="008C2500"/>
    <w:rsid w:val="008C2792"/>
    <w:rsid w:val="008C2CAC"/>
    <w:rsid w:val="008C3E2A"/>
    <w:rsid w:val="008C3FFC"/>
    <w:rsid w:val="008C45B5"/>
    <w:rsid w:val="008C45BD"/>
    <w:rsid w:val="008C4B19"/>
    <w:rsid w:val="008C5295"/>
    <w:rsid w:val="008C568F"/>
    <w:rsid w:val="008C62D4"/>
    <w:rsid w:val="008C6B89"/>
    <w:rsid w:val="008D18AA"/>
    <w:rsid w:val="008D1A16"/>
    <w:rsid w:val="008D1A2A"/>
    <w:rsid w:val="008D1CE3"/>
    <w:rsid w:val="008D29B1"/>
    <w:rsid w:val="008D2EB5"/>
    <w:rsid w:val="008D35D9"/>
    <w:rsid w:val="008D3B85"/>
    <w:rsid w:val="008D4527"/>
    <w:rsid w:val="008D462D"/>
    <w:rsid w:val="008D51F2"/>
    <w:rsid w:val="008D66CA"/>
    <w:rsid w:val="008D69B1"/>
    <w:rsid w:val="008D7338"/>
    <w:rsid w:val="008E0012"/>
    <w:rsid w:val="008E0DF7"/>
    <w:rsid w:val="008E0FAD"/>
    <w:rsid w:val="008E1347"/>
    <w:rsid w:val="008E16E0"/>
    <w:rsid w:val="008E1C15"/>
    <w:rsid w:val="008E1C9A"/>
    <w:rsid w:val="008E28BD"/>
    <w:rsid w:val="008E38B4"/>
    <w:rsid w:val="008E3BA4"/>
    <w:rsid w:val="008E41C4"/>
    <w:rsid w:val="008E44AB"/>
    <w:rsid w:val="008E5179"/>
    <w:rsid w:val="008E6428"/>
    <w:rsid w:val="008E6598"/>
    <w:rsid w:val="008E6A17"/>
    <w:rsid w:val="008E7127"/>
    <w:rsid w:val="008E7214"/>
    <w:rsid w:val="008E7348"/>
    <w:rsid w:val="008E7884"/>
    <w:rsid w:val="008E7D6E"/>
    <w:rsid w:val="008F0737"/>
    <w:rsid w:val="008F1056"/>
    <w:rsid w:val="008F2E8D"/>
    <w:rsid w:val="008F3374"/>
    <w:rsid w:val="008F387B"/>
    <w:rsid w:val="008F3DD9"/>
    <w:rsid w:val="008F4814"/>
    <w:rsid w:val="008F4B91"/>
    <w:rsid w:val="008F4DA6"/>
    <w:rsid w:val="008F538E"/>
    <w:rsid w:val="008F59B4"/>
    <w:rsid w:val="008F5A20"/>
    <w:rsid w:val="008F5ABA"/>
    <w:rsid w:val="008F5CC9"/>
    <w:rsid w:val="008F6CF9"/>
    <w:rsid w:val="008F7905"/>
    <w:rsid w:val="008F7989"/>
    <w:rsid w:val="009026AF"/>
    <w:rsid w:val="009028E8"/>
    <w:rsid w:val="00902E5C"/>
    <w:rsid w:val="0090350D"/>
    <w:rsid w:val="009039EB"/>
    <w:rsid w:val="009046E5"/>
    <w:rsid w:val="0090475D"/>
    <w:rsid w:val="009047C5"/>
    <w:rsid w:val="00910683"/>
    <w:rsid w:val="00910E00"/>
    <w:rsid w:val="00911106"/>
    <w:rsid w:val="009116CE"/>
    <w:rsid w:val="00911714"/>
    <w:rsid w:val="00911A5B"/>
    <w:rsid w:val="00911E12"/>
    <w:rsid w:val="009136D4"/>
    <w:rsid w:val="00914B9A"/>
    <w:rsid w:val="00914C3F"/>
    <w:rsid w:val="00914F33"/>
    <w:rsid w:val="009153F6"/>
    <w:rsid w:val="00915DE1"/>
    <w:rsid w:val="00915FCE"/>
    <w:rsid w:val="00916AFE"/>
    <w:rsid w:val="00916FC8"/>
    <w:rsid w:val="009170D3"/>
    <w:rsid w:val="00917505"/>
    <w:rsid w:val="0091759C"/>
    <w:rsid w:val="00917910"/>
    <w:rsid w:val="00920026"/>
    <w:rsid w:val="0092021E"/>
    <w:rsid w:val="0092032F"/>
    <w:rsid w:val="009203E2"/>
    <w:rsid w:val="00921304"/>
    <w:rsid w:val="0092177A"/>
    <w:rsid w:val="00921805"/>
    <w:rsid w:val="00921BA7"/>
    <w:rsid w:val="00921DC3"/>
    <w:rsid w:val="00923396"/>
    <w:rsid w:val="00923F56"/>
    <w:rsid w:val="00923FA6"/>
    <w:rsid w:val="009246C4"/>
    <w:rsid w:val="00925743"/>
    <w:rsid w:val="0092579F"/>
    <w:rsid w:val="00927E8D"/>
    <w:rsid w:val="00927F23"/>
    <w:rsid w:val="00930698"/>
    <w:rsid w:val="009307CD"/>
    <w:rsid w:val="00931451"/>
    <w:rsid w:val="009314FA"/>
    <w:rsid w:val="0093194F"/>
    <w:rsid w:val="00931BF3"/>
    <w:rsid w:val="00931C55"/>
    <w:rsid w:val="00933333"/>
    <w:rsid w:val="0093349A"/>
    <w:rsid w:val="009337B2"/>
    <w:rsid w:val="009338F0"/>
    <w:rsid w:val="00933FCB"/>
    <w:rsid w:val="00934E69"/>
    <w:rsid w:val="00935CA7"/>
    <w:rsid w:val="00936489"/>
    <w:rsid w:val="009367D5"/>
    <w:rsid w:val="00937401"/>
    <w:rsid w:val="00937561"/>
    <w:rsid w:val="009376FB"/>
    <w:rsid w:val="009379B2"/>
    <w:rsid w:val="00937D6B"/>
    <w:rsid w:val="00940477"/>
    <w:rsid w:val="0094085F"/>
    <w:rsid w:val="00940876"/>
    <w:rsid w:val="00940A53"/>
    <w:rsid w:val="00940F3C"/>
    <w:rsid w:val="00940FC1"/>
    <w:rsid w:val="009410E0"/>
    <w:rsid w:val="009444B4"/>
    <w:rsid w:val="00944644"/>
    <w:rsid w:val="009449F9"/>
    <w:rsid w:val="009451CE"/>
    <w:rsid w:val="009460F9"/>
    <w:rsid w:val="0094647D"/>
    <w:rsid w:val="00946A24"/>
    <w:rsid w:val="009470D4"/>
    <w:rsid w:val="00947337"/>
    <w:rsid w:val="009512FA"/>
    <w:rsid w:val="00951E57"/>
    <w:rsid w:val="00953018"/>
    <w:rsid w:val="009533E2"/>
    <w:rsid w:val="00953554"/>
    <w:rsid w:val="0095385A"/>
    <w:rsid w:val="00953928"/>
    <w:rsid w:val="009540F0"/>
    <w:rsid w:val="00955906"/>
    <w:rsid w:val="00955978"/>
    <w:rsid w:val="00957010"/>
    <w:rsid w:val="009574F8"/>
    <w:rsid w:val="0095780A"/>
    <w:rsid w:val="009579E4"/>
    <w:rsid w:val="00957AA4"/>
    <w:rsid w:val="00957ACB"/>
    <w:rsid w:val="00957E21"/>
    <w:rsid w:val="00957F27"/>
    <w:rsid w:val="009609F0"/>
    <w:rsid w:val="00960BDB"/>
    <w:rsid w:val="0096147D"/>
    <w:rsid w:val="00961E5F"/>
    <w:rsid w:val="009625C6"/>
    <w:rsid w:val="009629B5"/>
    <w:rsid w:val="00962A50"/>
    <w:rsid w:val="00962E25"/>
    <w:rsid w:val="00962E33"/>
    <w:rsid w:val="00962F47"/>
    <w:rsid w:val="009631BD"/>
    <w:rsid w:val="00964138"/>
    <w:rsid w:val="00964B3F"/>
    <w:rsid w:val="00964C98"/>
    <w:rsid w:val="00964E0A"/>
    <w:rsid w:val="00966214"/>
    <w:rsid w:val="00971441"/>
    <w:rsid w:val="009715D4"/>
    <w:rsid w:val="00972470"/>
    <w:rsid w:val="009739A9"/>
    <w:rsid w:val="00973AA2"/>
    <w:rsid w:val="0097494E"/>
    <w:rsid w:val="00974B58"/>
    <w:rsid w:val="00975DA3"/>
    <w:rsid w:val="009761ED"/>
    <w:rsid w:val="009801E7"/>
    <w:rsid w:val="0098022F"/>
    <w:rsid w:val="009810CC"/>
    <w:rsid w:val="009810DE"/>
    <w:rsid w:val="009816A2"/>
    <w:rsid w:val="00981D3C"/>
    <w:rsid w:val="009822D7"/>
    <w:rsid w:val="009827E6"/>
    <w:rsid w:val="00982E70"/>
    <w:rsid w:val="00982F84"/>
    <w:rsid w:val="0098427D"/>
    <w:rsid w:val="00984567"/>
    <w:rsid w:val="00985102"/>
    <w:rsid w:val="009853BE"/>
    <w:rsid w:val="009865D5"/>
    <w:rsid w:val="009876F2"/>
    <w:rsid w:val="00987C77"/>
    <w:rsid w:val="00990345"/>
    <w:rsid w:val="00990701"/>
    <w:rsid w:val="0099090B"/>
    <w:rsid w:val="00990BC7"/>
    <w:rsid w:val="00991174"/>
    <w:rsid w:val="0099119C"/>
    <w:rsid w:val="0099137A"/>
    <w:rsid w:val="0099167D"/>
    <w:rsid w:val="00991805"/>
    <w:rsid w:val="0099211C"/>
    <w:rsid w:val="009935CE"/>
    <w:rsid w:val="00993B78"/>
    <w:rsid w:val="00993CD6"/>
    <w:rsid w:val="0099483A"/>
    <w:rsid w:val="00995119"/>
    <w:rsid w:val="009953AD"/>
    <w:rsid w:val="0099583D"/>
    <w:rsid w:val="00995B7C"/>
    <w:rsid w:val="00996992"/>
    <w:rsid w:val="00996E1E"/>
    <w:rsid w:val="00997392"/>
    <w:rsid w:val="0099747C"/>
    <w:rsid w:val="0099771C"/>
    <w:rsid w:val="009A01E4"/>
    <w:rsid w:val="009A0917"/>
    <w:rsid w:val="009A0A33"/>
    <w:rsid w:val="009A0A35"/>
    <w:rsid w:val="009A1351"/>
    <w:rsid w:val="009A2435"/>
    <w:rsid w:val="009A3253"/>
    <w:rsid w:val="009A35DC"/>
    <w:rsid w:val="009A38AB"/>
    <w:rsid w:val="009A3CFB"/>
    <w:rsid w:val="009A3D47"/>
    <w:rsid w:val="009A4378"/>
    <w:rsid w:val="009A4D63"/>
    <w:rsid w:val="009A5356"/>
    <w:rsid w:val="009A5468"/>
    <w:rsid w:val="009A5D99"/>
    <w:rsid w:val="009A608C"/>
    <w:rsid w:val="009A6CA7"/>
    <w:rsid w:val="009A6FDF"/>
    <w:rsid w:val="009A76D6"/>
    <w:rsid w:val="009B199E"/>
    <w:rsid w:val="009B2E29"/>
    <w:rsid w:val="009B3163"/>
    <w:rsid w:val="009B422F"/>
    <w:rsid w:val="009B46BC"/>
    <w:rsid w:val="009B4D1A"/>
    <w:rsid w:val="009B558B"/>
    <w:rsid w:val="009B6801"/>
    <w:rsid w:val="009B68DD"/>
    <w:rsid w:val="009B6D21"/>
    <w:rsid w:val="009B7266"/>
    <w:rsid w:val="009B78ED"/>
    <w:rsid w:val="009C181C"/>
    <w:rsid w:val="009C1C7F"/>
    <w:rsid w:val="009C28A2"/>
    <w:rsid w:val="009C3239"/>
    <w:rsid w:val="009C3828"/>
    <w:rsid w:val="009C3D2C"/>
    <w:rsid w:val="009C4987"/>
    <w:rsid w:val="009C523F"/>
    <w:rsid w:val="009C59BF"/>
    <w:rsid w:val="009C5E4F"/>
    <w:rsid w:val="009C5F64"/>
    <w:rsid w:val="009C5F82"/>
    <w:rsid w:val="009C70F8"/>
    <w:rsid w:val="009C756F"/>
    <w:rsid w:val="009C78A3"/>
    <w:rsid w:val="009D0156"/>
    <w:rsid w:val="009D05DA"/>
    <w:rsid w:val="009D0872"/>
    <w:rsid w:val="009D11F6"/>
    <w:rsid w:val="009D13B9"/>
    <w:rsid w:val="009D1A14"/>
    <w:rsid w:val="009D1E2A"/>
    <w:rsid w:val="009D1FA0"/>
    <w:rsid w:val="009D2BDF"/>
    <w:rsid w:val="009D3736"/>
    <w:rsid w:val="009D3964"/>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E0703"/>
    <w:rsid w:val="009E0E95"/>
    <w:rsid w:val="009E16DA"/>
    <w:rsid w:val="009E1CD4"/>
    <w:rsid w:val="009E20DC"/>
    <w:rsid w:val="009E2391"/>
    <w:rsid w:val="009E476A"/>
    <w:rsid w:val="009E4E05"/>
    <w:rsid w:val="009E56FF"/>
    <w:rsid w:val="009E5CB1"/>
    <w:rsid w:val="009E5E56"/>
    <w:rsid w:val="009E61EA"/>
    <w:rsid w:val="009E6990"/>
    <w:rsid w:val="009E6FEE"/>
    <w:rsid w:val="009F060F"/>
    <w:rsid w:val="009F0781"/>
    <w:rsid w:val="009F0850"/>
    <w:rsid w:val="009F11B2"/>
    <w:rsid w:val="009F1BDF"/>
    <w:rsid w:val="009F1EAE"/>
    <w:rsid w:val="009F23A9"/>
    <w:rsid w:val="009F287C"/>
    <w:rsid w:val="009F29A5"/>
    <w:rsid w:val="009F369D"/>
    <w:rsid w:val="009F36FE"/>
    <w:rsid w:val="009F46A9"/>
    <w:rsid w:val="009F4CE9"/>
    <w:rsid w:val="009F4F25"/>
    <w:rsid w:val="009F59C2"/>
    <w:rsid w:val="009F61DE"/>
    <w:rsid w:val="009F7263"/>
    <w:rsid w:val="009F76EA"/>
    <w:rsid w:val="009F78EB"/>
    <w:rsid w:val="009F7F32"/>
    <w:rsid w:val="009F7FEB"/>
    <w:rsid w:val="00A01852"/>
    <w:rsid w:val="00A0188B"/>
    <w:rsid w:val="00A01E73"/>
    <w:rsid w:val="00A023E7"/>
    <w:rsid w:val="00A02B88"/>
    <w:rsid w:val="00A02F01"/>
    <w:rsid w:val="00A03160"/>
    <w:rsid w:val="00A036AC"/>
    <w:rsid w:val="00A03C54"/>
    <w:rsid w:val="00A040F8"/>
    <w:rsid w:val="00A041BC"/>
    <w:rsid w:val="00A0447F"/>
    <w:rsid w:val="00A046D2"/>
    <w:rsid w:val="00A04A54"/>
    <w:rsid w:val="00A05B4B"/>
    <w:rsid w:val="00A066C3"/>
    <w:rsid w:val="00A06754"/>
    <w:rsid w:val="00A06942"/>
    <w:rsid w:val="00A069E0"/>
    <w:rsid w:val="00A06E4A"/>
    <w:rsid w:val="00A078FB"/>
    <w:rsid w:val="00A1036D"/>
    <w:rsid w:val="00A1069F"/>
    <w:rsid w:val="00A10830"/>
    <w:rsid w:val="00A10919"/>
    <w:rsid w:val="00A10ACA"/>
    <w:rsid w:val="00A10D04"/>
    <w:rsid w:val="00A10D08"/>
    <w:rsid w:val="00A12355"/>
    <w:rsid w:val="00A12384"/>
    <w:rsid w:val="00A127A3"/>
    <w:rsid w:val="00A127D2"/>
    <w:rsid w:val="00A12ADA"/>
    <w:rsid w:val="00A12D39"/>
    <w:rsid w:val="00A143EC"/>
    <w:rsid w:val="00A14A60"/>
    <w:rsid w:val="00A1500F"/>
    <w:rsid w:val="00A15621"/>
    <w:rsid w:val="00A15670"/>
    <w:rsid w:val="00A157A0"/>
    <w:rsid w:val="00A1585B"/>
    <w:rsid w:val="00A15C19"/>
    <w:rsid w:val="00A1655C"/>
    <w:rsid w:val="00A16809"/>
    <w:rsid w:val="00A17769"/>
    <w:rsid w:val="00A17EA2"/>
    <w:rsid w:val="00A20264"/>
    <w:rsid w:val="00A20831"/>
    <w:rsid w:val="00A20997"/>
    <w:rsid w:val="00A21454"/>
    <w:rsid w:val="00A22025"/>
    <w:rsid w:val="00A22498"/>
    <w:rsid w:val="00A22571"/>
    <w:rsid w:val="00A23023"/>
    <w:rsid w:val="00A23A08"/>
    <w:rsid w:val="00A24560"/>
    <w:rsid w:val="00A25B0F"/>
    <w:rsid w:val="00A25B9A"/>
    <w:rsid w:val="00A25BBB"/>
    <w:rsid w:val="00A25F8E"/>
    <w:rsid w:val="00A27F18"/>
    <w:rsid w:val="00A27FB6"/>
    <w:rsid w:val="00A30121"/>
    <w:rsid w:val="00A30368"/>
    <w:rsid w:val="00A3043A"/>
    <w:rsid w:val="00A30E02"/>
    <w:rsid w:val="00A30F6A"/>
    <w:rsid w:val="00A31BA2"/>
    <w:rsid w:val="00A31C3E"/>
    <w:rsid w:val="00A34538"/>
    <w:rsid w:val="00A34677"/>
    <w:rsid w:val="00A34BA0"/>
    <w:rsid w:val="00A35304"/>
    <w:rsid w:val="00A3540F"/>
    <w:rsid w:val="00A35630"/>
    <w:rsid w:val="00A35914"/>
    <w:rsid w:val="00A36189"/>
    <w:rsid w:val="00A3622F"/>
    <w:rsid w:val="00A37E73"/>
    <w:rsid w:val="00A37FB6"/>
    <w:rsid w:val="00A4006F"/>
    <w:rsid w:val="00A4104A"/>
    <w:rsid w:val="00A41081"/>
    <w:rsid w:val="00A411CA"/>
    <w:rsid w:val="00A413AD"/>
    <w:rsid w:val="00A4169F"/>
    <w:rsid w:val="00A42096"/>
    <w:rsid w:val="00A421E7"/>
    <w:rsid w:val="00A426F3"/>
    <w:rsid w:val="00A42FDF"/>
    <w:rsid w:val="00A430A9"/>
    <w:rsid w:val="00A431FE"/>
    <w:rsid w:val="00A439E5"/>
    <w:rsid w:val="00A43D1B"/>
    <w:rsid w:val="00A442C4"/>
    <w:rsid w:val="00A4497A"/>
    <w:rsid w:val="00A44BE8"/>
    <w:rsid w:val="00A44C96"/>
    <w:rsid w:val="00A44F54"/>
    <w:rsid w:val="00A45F9B"/>
    <w:rsid w:val="00A461BF"/>
    <w:rsid w:val="00A46574"/>
    <w:rsid w:val="00A4657A"/>
    <w:rsid w:val="00A467C4"/>
    <w:rsid w:val="00A4755C"/>
    <w:rsid w:val="00A4777D"/>
    <w:rsid w:val="00A500B1"/>
    <w:rsid w:val="00A51328"/>
    <w:rsid w:val="00A51520"/>
    <w:rsid w:val="00A5292D"/>
    <w:rsid w:val="00A52D3F"/>
    <w:rsid w:val="00A52EE5"/>
    <w:rsid w:val="00A53037"/>
    <w:rsid w:val="00A532B9"/>
    <w:rsid w:val="00A5351D"/>
    <w:rsid w:val="00A53D84"/>
    <w:rsid w:val="00A53E79"/>
    <w:rsid w:val="00A54031"/>
    <w:rsid w:val="00A5426D"/>
    <w:rsid w:val="00A54FC2"/>
    <w:rsid w:val="00A55122"/>
    <w:rsid w:val="00A5696C"/>
    <w:rsid w:val="00A56DE7"/>
    <w:rsid w:val="00A57EB2"/>
    <w:rsid w:val="00A6009E"/>
    <w:rsid w:val="00A602A1"/>
    <w:rsid w:val="00A60762"/>
    <w:rsid w:val="00A60B1F"/>
    <w:rsid w:val="00A61C60"/>
    <w:rsid w:val="00A62589"/>
    <w:rsid w:val="00A62C3A"/>
    <w:rsid w:val="00A63812"/>
    <w:rsid w:val="00A63DF7"/>
    <w:rsid w:val="00A64505"/>
    <w:rsid w:val="00A650F7"/>
    <w:rsid w:val="00A668BA"/>
    <w:rsid w:val="00A66FA7"/>
    <w:rsid w:val="00A677F6"/>
    <w:rsid w:val="00A67E16"/>
    <w:rsid w:val="00A703CC"/>
    <w:rsid w:val="00A70C5C"/>
    <w:rsid w:val="00A7180C"/>
    <w:rsid w:val="00A71EA7"/>
    <w:rsid w:val="00A730AD"/>
    <w:rsid w:val="00A733D2"/>
    <w:rsid w:val="00A73855"/>
    <w:rsid w:val="00A73D64"/>
    <w:rsid w:val="00A73FEA"/>
    <w:rsid w:val="00A74216"/>
    <w:rsid w:val="00A744B4"/>
    <w:rsid w:val="00A74D61"/>
    <w:rsid w:val="00A751E3"/>
    <w:rsid w:val="00A75504"/>
    <w:rsid w:val="00A755C1"/>
    <w:rsid w:val="00A75CD9"/>
    <w:rsid w:val="00A76438"/>
    <w:rsid w:val="00A77168"/>
    <w:rsid w:val="00A7723B"/>
    <w:rsid w:val="00A77525"/>
    <w:rsid w:val="00A7793C"/>
    <w:rsid w:val="00A77D21"/>
    <w:rsid w:val="00A80085"/>
    <w:rsid w:val="00A8043B"/>
    <w:rsid w:val="00A81323"/>
    <w:rsid w:val="00A81AC0"/>
    <w:rsid w:val="00A820CB"/>
    <w:rsid w:val="00A82342"/>
    <w:rsid w:val="00A83BEF"/>
    <w:rsid w:val="00A841E1"/>
    <w:rsid w:val="00A84443"/>
    <w:rsid w:val="00A8487F"/>
    <w:rsid w:val="00A848FC"/>
    <w:rsid w:val="00A849A3"/>
    <w:rsid w:val="00A84A0E"/>
    <w:rsid w:val="00A84D7C"/>
    <w:rsid w:val="00A851FD"/>
    <w:rsid w:val="00A86E0B"/>
    <w:rsid w:val="00A9069B"/>
    <w:rsid w:val="00A90F12"/>
    <w:rsid w:val="00A93101"/>
    <w:rsid w:val="00A94293"/>
    <w:rsid w:val="00A94760"/>
    <w:rsid w:val="00A9496E"/>
    <w:rsid w:val="00A949F0"/>
    <w:rsid w:val="00A94BDE"/>
    <w:rsid w:val="00A94FCA"/>
    <w:rsid w:val="00A95E4C"/>
    <w:rsid w:val="00A96C60"/>
    <w:rsid w:val="00A97223"/>
    <w:rsid w:val="00A9740B"/>
    <w:rsid w:val="00A9766C"/>
    <w:rsid w:val="00A977F8"/>
    <w:rsid w:val="00A97C93"/>
    <w:rsid w:val="00AA08C0"/>
    <w:rsid w:val="00AA08E7"/>
    <w:rsid w:val="00AA0A06"/>
    <w:rsid w:val="00AA1351"/>
    <w:rsid w:val="00AA1859"/>
    <w:rsid w:val="00AA1C84"/>
    <w:rsid w:val="00AA3D7B"/>
    <w:rsid w:val="00AA42A0"/>
    <w:rsid w:val="00AA442B"/>
    <w:rsid w:val="00AA46A4"/>
    <w:rsid w:val="00AA5687"/>
    <w:rsid w:val="00AA5779"/>
    <w:rsid w:val="00AA58A1"/>
    <w:rsid w:val="00AA61C7"/>
    <w:rsid w:val="00AA669D"/>
    <w:rsid w:val="00AA66ED"/>
    <w:rsid w:val="00AA6BE1"/>
    <w:rsid w:val="00AA7416"/>
    <w:rsid w:val="00AA7A60"/>
    <w:rsid w:val="00AA7B42"/>
    <w:rsid w:val="00AB041C"/>
    <w:rsid w:val="00AB14E8"/>
    <w:rsid w:val="00AB17EC"/>
    <w:rsid w:val="00AB19AF"/>
    <w:rsid w:val="00AB1B1D"/>
    <w:rsid w:val="00AB2080"/>
    <w:rsid w:val="00AB2216"/>
    <w:rsid w:val="00AB2C0A"/>
    <w:rsid w:val="00AB33A8"/>
    <w:rsid w:val="00AB358D"/>
    <w:rsid w:val="00AB37A1"/>
    <w:rsid w:val="00AB3BAD"/>
    <w:rsid w:val="00AB3CFD"/>
    <w:rsid w:val="00AB40C6"/>
    <w:rsid w:val="00AB49BC"/>
    <w:rsid w:val="00AB4DEE"/>
    <w:rsid w:val="00AB4E32"/>
    <w:rsid w:val="00AB579A"/>
    <w:rsid w:val="00AB5DB2"/>
    <w:rsid w:val="00AB724B"/>
    <w:rsid w:val="00AB726C"/>
    <w:rsid w:val="00AB72B4"/>
    <w:rsid w:val="00AC01FD"/>
    <w:rsid w:val="00AC02AA"/>
    <w:rsid w:val="00AC0537"/>
    <w:rsid w:val="00AC0A84"/>
    <w:rsid w:val="00AC2A0B"/>
    <w:rsid w:val="00AC2BEC"/>
    <w:rsid w:val="00AC2BEE"/>
    <w:rsid w:val="00AC2E53"/>
    <w:rsid w:val="00AC484F"/>
    <w:rsid w:val="00AC4A42"/>
    <w:rsid w:val="00AC4B20"/>
    <w:rsid w:val="00AC4D8F"/>
    <w:rsid w:val="00AC56F2"/>
    <w:rsid w:val="00AC5B83"/>
    <w:rsid w:val="00AC6886"/>
    <w:rsid w:val="00AC71C3"/>
    <w:rsid w:val="00AD0DA5"/>
    <w:rsid w:val="00AD1499"/>
    <w:rsid w:val="00AD1C45"/>
    <w:rsid w:val="00AD1EFA"/>
    <w:rsid w:val="00AD2072"/>
    <w:rsid w:val="00AD2165"/>
    <w:rsid w:val="00AD2808"/>
    <w:rsid w:val="00AD2DBD"/>
    <w:rsid w:val="00AD2FBF"/>
    <w:rsid w:val="00AD416B"/>
    <w:rsid w:val="00AD455D"/>
    <w:rsid w:val="00AD463C"/>
    <w:rsid w:val="00AD46A2"/>
    <w:rsid w:val="00AD47E8"/>
    <w:rsid w:val="00AD4F60"/>
    <w:rsid w:val="00AD5044"/>
    <w:rsid w:val="00AD5114"/>
    <w:rsid w:val="00AD6236"/>
    <w:rsid w:val="00AD7619"/>
    <w:rsid w:val="00AD7770"/>
    <w:rsid w:val="00AE0743"/>
    <w:rsid w:val="00AE0D1C"/>
    <w:rsid w:val="00AE1772"/>
    <w:rsid w:val="00AE1990"/>
    <w:rsid w:val="00AE2523"/>
    <w:rsid w:val="00AE25E8"/>
    <w:rsid w:val="00AE2AD4"/>
    <w:rsid w:val="00AE2CA7"/>
    <w:rsid w:val="00AE2F1D"/>
    <w:rsid w:val="00AE3664"/>
    <w:rsid w:val="00AE4B2B"/>
    <w:rsid w:val="00AE53D8"/>
    <w:rsid w:val="00AE586F"/>
    <w:rsid w:val="00AE5A78"/>
    <w:rsid w:val="00AE6582"/>
    <w:rsid w:val="00AE6DC5"/>
    <w:rsid w:val="00AE7686"/>
    <w:rsid w:val="00AE799A"/>
    <w:rsid w:val="00AF078E"/>
    <w:rsid w:val="00AF0E81"/>
    <w:rsid w:val="00AF0EDD"/>
    <w:rsid w:val="00AF117A"/>
    <w:rsid w:val="00AF186E"/>
    <w:rsid w:val="00AF19DF"/>
    <w:rsid w:val="00AF1F4F"/>
    <w:rsid w:val="00AF26CF"/>
    <w:rsid w:val="00AF4E92"/>
    <w:rsid w:val="00AF554B"/>
    <w:rsid w:val="00AF5C9B"/>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10109"/>
    <w:rsid w:val="00B1085E"/>
    <w:rsid w:val="00B10FD0"/>
    <w:rsid w:val="00B10FD1"/>
    <w:rsid w:val="00B11896"/>
    <w:rsid w:val="00B11AC7"/>
    <w:rsid w:val="00B11CE3"/>
    <w:rsid w:val="00B12735"/>
    <w:rsid w:val="00B129C6"/>
    <w:rsid w:val="00B131C4"/>
    <w:rsid w:val="00B13386"/>
    <w:rsid w:val="00B13533"/>
    <w:rsid w:val="00B13C48"/>
    <w:rsid w:val="00B13E35"/>
    <w:rsid w:val="00B13EC0"/>
    <w:rsid w:val="00B14102"/>
    <w:rsid w:val="00B14BFB"/>
    <w:rsid w:val="00B14D0D"/>
    <w:rsid w:val="00B14D32"/>
    <w:rsid w:val="00B14DEB"/>
    <w:rsid w:val="00B1557C"/>
    <w:rsid w:val="00B155DC"/>
    <w:rsid w:val="00B15766"/>
    <w:rsid w:val="00B158F6"/>
    <w:rsid w:val="00B159AA"/>
    <w:rsid w:val="00B1666A"/>
    <w:rsid w:val="00B1686D"/>
    <w:rsid w:val="00B17037"/>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813"/>
    <w:rsid w:val="00B23C80"/>
    <w:rsid w:val="00B23E5D"/>
    <w:rsid w:val="00B23FD9"/>
    <w:rsid w:val="00B24591"/>
    <w:rsid w:val="00B245D5"/>
    <w:rsid w:val="00B24AAA"/>
    <w:rsid w:val="00B24C36"/>
    <w:rsid w:val="00B24F94"/>
    <w:rsid w:val="00B25126"/>
    <w:rsid w:val="00B25A52"/>
    <w:rsid w:val="00B25B0A"/>
    <w:rsid w:val="00B25FC3"/>
    <w:rsid w:val="00B26CC4"/>
    <w:rsid w:val="00B27026"/>
    <w:rsid w:val="00B27875"/>
    <w:rsid w:val="00B3008D"/>
    <w:rsid w:val="00B309C9"/>
    <w:rsid w:val="00B30E11"/>
    <w:rsid w:val="00B30EEB"/>
    <w:rsid w:val="00B30FD0"/>
    <w:rsid w:val="00B31423"/>
    <w:rsid w:val="00B31710"/>
    <w:rsid w:val="00B323E0"/>
    <w:rsid w:val="00B32DC0"/>
    <w:rsid w:val="00B3346C"/>
    <w:rsid w:val="00B335E4"/>
    <w:rsid w:val="00B33C23"/>
    <w:rsid w:val="00B345B4"/>
    <w:rsid w:val="00B348B1"/>
    <w:rsid w:val="00B34A28"/>
    <w:rsid w:val="00B34C35"/>
    <w:rsid w:val="00B34EB2"/>
    <w:rsid w:val="00B35046"/>
    <w:rsid w:val="00B35B6A"/>
    <w:rsid w:val="00B36D46"/>
    <w:rsid w:val="00B37657"/>
    <w:rsid w:val="00B37AFD"/>
    <w:rsid w:val="00B37B07"/>
    <w:rsid w:val="00B4046F"/>
    <w:rsid w:val="00B40B47"/>
    <w:rsid w:val="00B41D39"/>
    <w:rsid w:val="00B422C0"/>
    <w:rsid w:val="00B426CA"/>
    <w:rsid w:val="00B426E1"/>
    <w:rsid w:val="00B4298E"/>
    <w:rsid w:val="00B437F8"/>
    <w:rsid w:val="00B4387A"/>
    <w:rsid w:val="00B44260"/>
    <w:rsid w:val="00B44746"/>
    <w:rsid w:val="00B44854"/>
    <w:rsid w:val="00B458D0"/>
    <w:rsid w:val="00B46120"/>
    <w:rsid w:val="00B4792C"/>
    <w:rsid w:val="00B50CAE"/>
    <w:rsid w:val="00B512AD"/>
    <w:rsid w:val="00B5196C"/>
    <w:rsid w:val="00B525CB"/>
    <w:rsid w:val="00B52697"/>
    <w:rsid w:val="00B52C63"/>
    <w:rsid w:val="00B53E7C"/>
    <w:rsid w:val="00B54D8F"/>
    <w:rsid w:val="00B55857"/>
    <w:rsid w:val="00B55B0D"/>
    <w:rsid w:val="00B55C69"/>
    <w:rsid w:val="00B56851"/>
    <w:rsid w:val="00B56D6E"/>
    <w:rsid w:val="00B572F7"/>
    <w:rsid w:val="00B57B9D"/>
    <w:rsid w:val="00B57DAF"/>
    <w:rsid w:val="00B60021"/>
    <w:rsid w:val="00B60094"/>
    <w:rsid w:val="00B6022C"/>
    <w:rsid w:val="00B614F8"/>
    <w:rsid w:val="00B61994"/>
    <w:rsid w:val="00B61FD4"/>
    <w:rsid w:val="00B62880"/>
    <w:rsid w:val="00B63872"/>
    <w:rsid w:val="00B63CB2"/>
    <w:rsid w:val="00B63F51"/>
    <w:rsid w:val="00B6416D"/>
    <w:rsid w:val="00B64246"/>
    <w:rsid w:val="00B64EDB"/>
    <w:rsid w:val="00B65379"/>
    <w:rsid w:val="00B654D3"/>
    <w:rsid w:val="00B65938"/>
    <w:rsid w:val="00B65C8A"/>
    <w:rsid w:val="00B65CE2"/>
    <w:rsid w:val="00B65CED"/>
    <w:rsid w:val="00B660AD"/>
    <w:rsid w:val="00B66109"/>
    <w:rsid w:val="00B66349"/>
    <w:rsid w:val="00B67630"/>
    <w:rsid w:val="00B67FBF"/>
    <w:rsid w:val="00B7024E"/>
    <w:rsid w:val="00B71BB2"/>
    <w:rsid w:val="00B71FA7"/>
    <w:rsid w:val="00B72110"/>
    <w:rsid w:val="00B72B91"/>
    <w:rsid w:val="00B73019"/>
    <w:rsid w:val="00B7315F"/>
    <w:rsid w:val="00B731AF"/>
    <w:rsid w:val="00B7323A"/>
    <w:rsid w:val="00B73356"/>
    <w:rsid w:val="00B7353B"/>
    <w:rsid w:val="00B7358A"/>
    <w:rsid w:val="00B737FB"/>
    <w:rsid w:val="00B7423D"/>
    <w:rsid w:val="00B74605"/>
    <w:rsid w:val="00B74A8A"/>
    <w:rsid w:val="00B74D05"/>
    <w:rsid w:val="00B777FA"/>
    <w:rsid w:val="00B77850"/>
    <w:rsid w:val="00B7796B"/>
    <w:rsid w:val="00B77A14"/>
    <w:rsid w:val="00B80C72"/>
    <w:rsid w:val="00B81964"/>
    <w:rsid w:val="00B81E6F"/>
    <w:rsid w:val="00B82123"/>
    <w:rsid w:val="00B8225B"/>
    <w:rsid w:val="00B82BB5"/>
    <w:rsid w:val="00B83182"/>
    <w:rsid w:val="00B84684"/>
    <w:rsid w:val="00B848DF"/>
    <w:rsid w:val="00B851E4"/>
    <w:rsid w:val="00B854CE"/>
    <w:rsid w:val="00B85681"/>
    <w:rsid w:val="00B857EB"/>
    <w:rsid w:val="00B86162"/>
    <w:rsid w:val="00B86877"/>
    <w:rsid w:val="00B8695D"/>
    <w:rsid w:val="00B86D58"/>
    <w:rsid w:val="00B86E66"/>
    <w:rsid w:val="00B873BA"/>
    <w:rsid w:val="00B8746F"/>
    <w:rsid w:val="00B8760D"/>
    <w:rsid w:val="00B87706"/>
    <w:rsid w:val="00B87F98"/>
    <w:rsid w:val="00B90A49"/>
    <w:rsid w:val="00B90C2B"/>
    <w:rsid w:val="00B90E5C"/>
    <w:rsid w:val="00B910A5"/>
    <w:rsid w:val="00B9117A"/>
    <w:rsid w:val="00B91691"/>
    <w:rsid w:val="00B91B8E"/>
    <w:rsid w:val="00B91D4E"/>
    <w:rsid w:val="00B91E13"/>
    <w:rsid w:val="00B92531"/>
    <w:rsid w:val="00B92618"/>
    <w:rsid w:val="00B92751"/>
    <w:rsid w:val="00B92B69"/>
    <w:rsid w:val="00B92CC6"/>
    <w:rsid w:val="00B935C9"/>
    <w:rsid w:val="00B93E3D"/>
    <w:rsid w:val="00B94033"/>
    <w:rsid w:val="00B95018"/>
    <w:rsid w:val="00B95464"/>
    <w:rsid w:val="00B956DC"/>
    <w:rsid w:val="00B95C30"/>
    <w:rsid w:val="00B95D38"/>
    <w:rsid w:val="00B95E3D"/>
    <w:rsid w:val="00B95F7F"/>
    <w:rsid w:val="00B9691F"/>
    <w:rsid w:val="00B969E0"/>
    <w:rsid w:val="00B96EEC"/>
    <w:rsid w:val="00B97392"/>
    <w:rsid w:val="00B973C6"/>
    <w:rsid w:val="00B97691"/>
    <w:rsid w:val="00B976C7"/>
    <w:rsid w:val="00BA0B64"/>
    <w:rsid w:val="00BA0C54"/>
    <w:rsid w:val="00BA1382"/>
    <w:rsid w:val="00BA1EFD"/>
    <w:rsid w:val="00BA20D8"/>
    <w:rsid w:val="00BA22FC"/>
    <w:rsid w:val="00BA2514"/>
    <w:rsid w:val="00BA2F30"/>
    <w:rsid w:val="00BA4771"/>
    <w:rsid w:val="00BA4DA4"/>
    <w:rsid w:val="00BA5027"/>
    <w:rsid w:val="00BA665B"/>
    <w:rsid w:val="00BA7370"/>
    <w:rsid w:val="00BA778B"/>
    <w:rsid w:val="00BA79B8"/>
    <w:rsid w:val="00BB0888"/>
    <w:rsid w:val="00BB0DF1"/>
    <w:rsid w:val="00BB0E9B"/>
    <w:rsid w:val="00BB2729"/>
    <w:rsid w:val="00BB2841"/>
    <w:rsid w:val="00BB300F"/>
    <w:rsid w:val="00BB32C9"/>
    <w:rsid w:val="00BB35C5"/>
    <w:rsid w:val="00BB43A7"/>
    <w:rsid w:val="00BB47D0"/>
    <w:rsid w:val="00BB4C8E"/>
    <w:rsid w:val="00BB57ED"/>
    <w:rsid w:val="00BB65C3"/>
    <w:rsid w:val="00BB662E"/>
    <w:rsid w:val="00BB67A9"/>
    <w:rsid w:val="00BB6C01"/>
    <w:rsid w:val="00BB760E"/>
    <w:rsid w:val="00BB7942"/>
    <w:rsid w:val="00BB7CD1"/>
    <w:rsid w:val="00BC0F33"/>
    <w:rsid w:val="00BC14A7"/>
    <w:rsid w:val="00BC1611"/>
    <w:rsid w:val="00BC1632"/>
    <w:rsid w:val="00BC17CC"/>
    <w:rsid w:val="00BC229E"/>
    <w:rsid w:val="00BC2898"/>
    <w:rsid w:val="00BC2928"/>
    <w:rsid w:val="00BC2AA9"/>
    <w:rsid w:val="00BC2BB1"/>
    <w:rsid w:val="00BC34A3"/>
    <w:rsid w:val="00BC3FF9"/>
    <w:rsid w:val="00BC4834"/>
    <w:rsid w:val="00BC4A97"/>
    <w:rsid w:val="00BC5A25"/>
    <w:rsid w:val="00BC5FDD"/>
    <w:rsid w:val="00BC68B4"/>
    <w:rsid w:val="00BC6C2D"/>
    <w:rsid w:val="00BC6FF9"/>
    <w:rsid w:val="00BC7B9A"/>
    <w:rsid w:val="00BD00A9"/>
    <w:rsid w:val="00BD0140"/>
    <w:rsid w:val="00BD02CC"/>
    <w:rsid w:val="00BD09A7"/>
    <w:rsid w:val="00BD1675"/>
    <w:rsid w:val="00BD2063"/>
    <w:rsid w:val="00BD33D9"/>
    <w:rsid w:val="00BD38C5"/>
    <w:rsid w:val="00BD3A59"/>
    <w:rsid w:val="00BD3CF1"/>
    <w:rsid w:val="00BD3DEA"/>
    <w:rsid w:val="00BD3E97"/>
    <w:rsid w:val="00BD40E4"/>
    <w:rsid w:val="00BD442D"/>
    <w:rsid w:val="00BD4563"/>
    <w:rsid w:val="00BD4570"/>
    <w:rsid w:val="00BD4BF5"/>
    <w:rsid w:val="00BD52FE"/>
    <w:rsid w:val="00BD62CF"/>
    <w:rsid w:val="00BD67B2"/>
    <w:rsid w:val="00BD6A07"/>
    <w:rsid w:val="00BD78AB"/>
    <w:rsid w:val="00BD78FE"/>
    <w:rsid w:val="00BD7A91"/>
    <w:rsid w:val="00BE0149"/>
    <w:rsid w:val="00BE0767"/>
    <w:rsid w:val="00BE12D7"/>
    <w:rsid w:val="00BE1372"/>
    <w:rsid w:val="00BE1775"/>
    <w:rsid w:val="00BE17A2"/>
    <w:rsid w:val="00BE18DA"/>
    <w:rsid w:val="00BE26C0"/>
    <w:rsid w:val="00BE3442"/>
    <w:rsid w:val="00BE39F5"/>
    <w:rsid w:val="00BE426A"/>
    <w:rsid w:val="00BE45DF"/>
    <w:rsid w:val="00BE47B2"/>
    <w:rsid w:val="00BE48C7"/>
    <w:rsid w:val="00BE4F66"/>
    <w:rsid w:val="00BE4F8C"/>
    <w:rsid w:val="00BE5238"/>
    <w:rsid w:val="00BE5D35"/>
    <w:rsid w:val="00BE6074"/>
    <w:rsid w:val="00BE67A2"/>
    <w:rsid w:val="00BE7257"/>
    <w:rsid w:val="00BF020D"/>
    <w:rsid w:val="00BF1DD2"/>
    <w:rsid w:val="00BF23A3"/>
    <w:rsid w:val="00BF28DB"/>
    <w:rsid w:val="00BF2A7E"/>
    <w:rsid w:val="00BF3331"/>
    <w:rsid w:val="00BF3A45"/>
    <w:rsid w:val="00BF436F"/>
    <w:rsid w:val="00BF4EC5"/>
    <w:rsid w:val="00BF5332"/>
    <w:rsid w:val="00BF5723"/>
    <w:rsid w:val="00BF5788"/>
    <w:rsid w:val="00BF5C05"/>
    <w:rsid w:val="00BF60C8"/>
    <w:rsid w:val="00BF6877"/>
    <w:rsid w:val="00BF6FC6"/>
    <w:rsid w:val="00BF73E1"/>
    <w:rsid w:val="00BF7C52"/>
    <w:rsid w:val="00BF7F99"/>
    <w:rsid w:val="00C00713"/>
    <w:rsid w:val="00C009A0"/>
    <w:rsid w:val="00C00F3D"/>
    <w:rsid w:val="00C01F74"/>
    <w:rsid w:val="00C02558"/>
    <w:rsid w:val="00C0285F"/>
    <w:rsid w:val="00C02F35"/>
    <w:rsid w:val="00C03305"/>
    <w:rsid w:val="00C03515"/>
    <w:rsid w:val="00C03738"/>
    <w:rsid w:val="00C03787"/>
    <w:rsid w:val="00C037A6"/>
    <w:rsid w:val="00C03D26"/>
    <w:rsid w:val="00C043F5"/>
    <w:rsid w:val="00C044E3"/>
    <w:rsid w:val="00C047A8"/>
    <w:rsid w:val="00C04BDB"/>
    <w:rsid w:val="00C052C6"/>
    <w:rsid w:val="00C059D4"/>
    <w:rsid w:val="00C05A61"/>
    <w:rsid w:val="00C06CCF"/>
    <w:rsid w:val="00C108B8"/>
    <w:rsid w:val="00C11503"/>
    <w:rsid w:val="00C1159D"/>
    <w:rsid w:val="00C11683"/>
    <w:rsid w:val="00C11798"/>
    <w:rsid w:val="00C118DB"/>
    <w:rsid w:val="00C1233E"/>
    <w:rsid w:val="00C125C1"/>
    <w:rsid w:val="00C12F05"/>
    <w:rsid w:val="00C12FB3"/>
    <w:rsid w:val="00C138BC"/>
    <w:rsid w:val="00C13D85"/>
    <w:rsid w:val="00C14173"/>
    <w:rsid w:val="00C14639"/>
    <w:rsid w:val="00C14E82"/>
    <w:rsid w:val="00C14FF6"/>
    <w:rsid w:val="00C150A6"/>
    <w:rsid w:val="00C15A85"/>
    <w:rsid w:val="00C1641B"/>
    <w:rsid w:val="00C165FC"/>
    <w:rsid w:val="00C176D5"/>
    <w:rsid w:val="00C2082C"/>
    <w:rsid w:val="00C20832"/>
    <w:rsid w:val="00C20EB0"/>
    <w:rsid w:val="00C21005"/>
    <w:rsid w:val="00C2183B"/>
    <w:rsid w:val="00C220B6"/>
    <w:rsid w:val="00C22D7C"/>
    <w:rsid w:val="00C22DDE"/>
    <w:rsid w:val="00C2338B"/>
    <w:rsid w:val="00C233CE"/>
    <w:rsid w:val="00C23661"/>
    <w:rsid w:val="00C236AE"/>
    <w:rsid w:val="00C237DD"/>
    <w:rsid w:val="00C238F4"/>
    <w:rsid w:val="00C23A99"/>
    <w:rsid w:val="00C23B96"/>
    <w:rsid w:val="00C245EE"/>
    <w:rsid w:val="00C24AE1"/>
    <w:rsid w:val="00C24B8D"/>
    <w:rsid w:val="00C24BD7"/>
    <w:rsid w:val="00C252CC"/>
    <w:rsid w:val="00C25813"/>
    <w:rsid w:val="00C26B44"/>
    <w:rsid w:val="00C27143"/>
    <w:rsid w:val="00C27490"/>
    <w:rsid w:val="00C27A55"/>
    <w:rsid w:val="00C27AFC"/>
    <w:rsid w:val="00C27D37"/>
    <w:rsid w:val="00C27FB2"/>
    <w:rsid w:val="00C302E5"/>
    <w:rsid w:val="00C309E8"/>
    <w:rsid w:val="00C30E37"/>
    <w:rsid w:val="00C32017"/>
    <w:rsid w:val="00C325CD"/>
    <w:rsid w:val="00C3322E"/>
    <w:rsid w:val="00C337F5"/>
    <w:rsid w:val="00C33B90"/>
    <w:rsid w:val="00C34350"/>
    <w:rsid w:val="00C34B5F"/>
    <w:rsid w:val="00C3543E"/>
    <w:rsid w:val="00C357B4"/>
    <w:rsid w:val="00C358D4"/>
    <w:rsid w:val="00C36785"/>
    <w:rsid w:val="00C36845"/>
    <w:rsid w:val="00C3711C"/>
    <w:rsid w:val="00C37256"/>
    <w:rsid w:val="00C37A7B"/>
    <w:rsid w:val="00C37CFF"/>
    <w:rsid w:val="00C37FFE"/>
    <w:rsid w:val="00C40B50"/>
    <w:rsid w:val="00C41457"/>
    <w:rsid w:val="00C41858"/>
    <w:rsid w:val="00C419E3"/>
    <w:rsid w:val="00C419F4"/>
    <w:rsid w:val="00C41E6A"/>
    <w:rsid w:val="00C421A3"/>
    <w:rsid w:val="00C42247"/>
    <w:rsid w:val="00C439BE"/>
    <w:rsid w:val="00C44E61"/>
    <w:rsid w:val="00C4539B"/>
    <w:rsid w:val="00C45457"/>
    <w:rsid w:val="00C45466"/>
    <w:rsid w:val="00C455C1"/>
    <w:rsid w:val="00C4581D"/>
    <w:rsid w:val="00C47472"/>
    <w:rsid w:val="00C47EA5"/>
    <w:rsid w:val="00C500F0"/>
    <w:rsid w:val="00C502BB"/>
    <w:rsid w:val="00C504A7"/>
    <w:rsid w:val="00C506C9"/>
    <w:rsid w:val="00C50A16"/>
    <w:rsid w:val="00C5122B"/>
    <w:rsid w:val="00C51C9A"/>
    <w:rsid w:val="00C51E32"/>
    <w:rsid w:val="00C52428"/>
    <w:rsid w:val="00C52C68"/>
    <w:rsid w:val="00C52D98"/>
    <w:rsid w:val="00C5325C"/>
    <w:rsid w:val="00C53D24"/>
    <w:rsid w:val="00C54640"/>
    <w:rsid w:val="00C547A6"/>
    <w:rsid w:val="00C54A3A"/>
    <w:rsid w:val="00C5503F"/>
    <w:rsid w:val="00C55C32"/>
    <w:rsid w:val="00C56A67"/>
    <w:rsid w:val="00C56B92"/>
    <w:rsid w:val="00C56CC2"/>
    <w:rsid w:val="00C56EB3"/>
    <w:rsid w:val="00C57498"/>
    <w:rsid w:val="00C5763C"/>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5151"/>
    <w:rsid w:val="00C657F4"/>
    <w:rsid w:val="00C66119"/>
    <w:rsid w:val="00C66292"/>
    <w:rsid w:val="00C66D75"/>
    <w:rsid w:val="00C672A3"/>
    <w:rsid w:val="00C672F1"/>
    <w:rsid w:val="00C673D0"/>
    <w:rsid w:val="00C6742E"/>
    <w:rsid w:val="00C677BE"/>
    <w:rsid w:val="00C67C79"/>
    <w:rsid w:val="00C70012"/>
    <w:rsid w:val="00C71CBB"/>
    <w:rsid w:val="00C71E2A"/>
    <w:rsid w:val="00C733BA"/>
    <w:rsid w:val="00C74F3F"/>
    <w:rsid w:val="00C760DC"/>
    <w:rsid w:val="00C8082B"/>
    <w:rsid w:val="00C81A88"/>
    <w:rsid w:val="00C81AEC"/>
    <w:rsid w:val="00C81D46"/>
    <w:rsid w:val="00C820AD"/>
    <w:rsid w:val="00C82298"/>
    <w:rsid w:val="00C82F91"/>
    <w:rsid w:val="00C833B4"/>
    <w:rsid w:val="00C839F2"/>
    <w:rsid w:val="00C84284"/>
    <w:rsid w:val="00C84E33"/>
    <w:rsid w:val="00C853E0"/>
    <w:rsid w:val="00C85FFC"/>
    <w:rsid w:val="00C86123"/>
    <w:rsid w:val="00C861FC"/>
    <w:rsid w:val="00C862B5"/>
    <w:rsid w:val="00C86C87"/>
    <w:rsid w:val="00C8705B"/>
    <w:rsid w:val="00C87090"/>
    <w:rsid w:val="00C9005E"/>
    <w:rsid w:val="00C90111"/>
    <w:rsid w:val="00C90344"/>
    <w:rsid w:val="00C90CA9"/>
    <w:rsid w:val="00C915F2"/>
    <w:rsid w:val="00C917B1"/>
    <w:rsid w:val="00C9193C"/>
    <w:rsid w:val="00C91B77"/>
    <w:rsid w:val="00C920E2"/>
    <w:rsid w:val="00C923AA"/>
    <w:rsid w:val="00C92B77"/>
    <w:rsid w:val="00C93154"/>
    <w:rsid w:val="00C93765"/>
    <w:rsid w:val="00C937BF"/>
    <w:rsid w:val="00C93877"/>
    <w:rsid w:val="00C93D8C"/>
    <w:rsid w:val="00C946CC"/>
    <w:rsid w:val="00C959BD"/>
    <w:rsid w:val="00C959FE"/>
    <w:rsid w:val="00C95F44"/>
    <w:rsid w:val="00C96D1B"/>
    <w:rsid w:val="00C97106"/>
    <w:rsid w:val="00C97684"/>
    <w:rsid w:val="00CA0031"/>
    <w:rsid w:val="00CA0413"/>
    <w:rsid w:val="00CA043A"/>
    <w:rsid w:val="00CA04F8"/>
    <w:rsid w:val="00CA05B7"/>
    <w:rsid w:val="00CA10BC"/>
    <w:rsid w:val="00CA1691"/>
    <w:rsid w:val="00CA2E65"/>
    <w:rsid w:val="00CA2EA1"/>
    <w:rsid w:val="00CA41E7"/>
    <w:rsid w:val="00CA4B2B"/>
    <w:rsid w:val="00CA5520"/>
    <w:rsid w:val="00CA5812"/>
    <w:rsid w:val="00CA5BD4"/>
    <w:rsid w:val="00CA5C14"/>
    <w:rsid w:val="00CA76FC"/>
    <w:rsid w:val="00CA7E7B"/>
    <w:rsid w:val="00CB0236"/>
    <w:rsid w:val="00CB1324"/>
    <w:rsid w:val="00CB19E3"/>
    <w:rsid w:val="00CB2C3A"/>
    <w:rsid w:val="00CB2D38"/>
    <w:rsid w:val="00CB353F"/>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5864"/>
    <w:rsid w:val="00CC61B7"/>
    <w:rsid w:val="00CC61CA"/>
    <w:rsid w:val="00CC6668"/>
    <w:rsid w:val="00CC69EC"/>
    <w:rsid w:val="00CC71D3"/>
    <w:rsid w:val="00CC743D"/>
    <w:rsid w:val="00CC7E86"/>
    <w:rsid w:val="00CD050A"/>
    <w:rsid w:val="00CD205D"/>
    <w:rsid w:val="00CD2A22"/>
    <w:rsid w:val="00CD2B50"/>
    <w:rsid w:val="00CD3AD3"/>
    <w:rsid w:val="00CD41FE"/>
    <w:rsid w:val="00CD4506"/>
    <w:rsid w:val="00CD520B"/>
    <w:rsid w:val="00CD592E"/>
    <w:rsid w:val="00CD5982"/>
    <w:rsid w:val="00CD5A1A"/>
    <w:rsid w:val="00CD6054"/>
    <w:rsid w:val="00CD7EFA"/>
    <w:rsid w:val="00CE020E"/>
    <w:rsid w:val="00CE0566"/>
    <w:rsid w:val="00CE16A9"/>
    <w:rsid w:val="00CE1CD4"/>
    <w:rsid w:val="00CE23FE"/>
    <w:rsid w:val="00CE2761"/>
    <w:rsid w:val="00CE2B49"/>
    <w:rsid w:val="00CE314E"/>
    <w:rsid w:val="00CE3D5C"/>
    <w:rsid w:val="00CE3E14"/>
    <w:rsid w:val="00CE44C7"/>
    <w:rsid w:val="00CE53CC"/>
    <w:rsid w:val="00CE65A7"/>
    <w:rsid w:val="00CE68FE"/>
    <w:rsid w:val="00CE69CC"/>
    <w:rsid w:val="00CE6EC4"/>
    <w:rsid w:val="00CE7A77"/>
    <w:rsid w:val="00CE7F26"/>
    <w:rsid w:val="00CE7FBF"/>
    <w:rsid w:val="00CF0A7C"/>
    <w:rsid w:val="00CF1226"/>
    <w:rsid w:val="00CF16C0"/>
    <w:rsid w:val="00CF1980"/>
    <w:rsid w:val="00CF1ABB"/>
    <w:rsid w:val="00CF1DD5"/>
    <w:rsid w:val="00CF1E1D"/>
    <w:rsid w:val="00CF24FE"/>
    <w:rsid w:val="00CF35D0"/>
    <w:rsid w:val="00CF3DD5"/>
    <w:rsid w:val="00CF41D5"/>
    <w:rsid w:val="00CF4897"/>
    <w:rsid w:val="00CF4AF7"/>
    <w:rsid w:val="00CF4D20"/>
    <w:rsid w:val="00CF55DF"/>
    <w:rsid w:val="00CF6180"/>
    <w:rsid w:val="00CF64F6"/>
    <w:rsid w:val="00CF67EB"/>
    <w:rsid w:val="00CF73F8"/>
    <w:rsid w:val="00CF7928"/>
    <w:rsid w:val="00CF7CA2"/>
    <w:rsid w:val="00D00A8E"/>
    <w:rsid w:val="00D00DE0"/>
    <w:rsid w:val="00D00F79"/>
    <w:rsid w:val="00D012BF"/>
    <w:rsid w:val="00D01760"/>
    <w:rsid w:val="00D0368E"/>
    <w:rsid w:val="00D03D2D"/>
    <w:rsid w:val="00D03E7B"/>
    <w:rsid w:val="00D0401A"/>
    <w:rsid w:val="00D047E0"/>
    <w:rsid w:val="00D04B9F"/>
    <w:rsid w:val="00D04FFB"/>
    <w:rsid w:val="00D05153"/>
    <w:rsid w:val="00D058E9"/>
    <w:rsid w:val="00D0612A"/>
    <w:rsid w:val="00D06A0E"/>
    <w:rsid w:val="00D1060D"/>
    <w:rsid w:val="00D10E7C"/>
    <w:rsid w:val="00D11182"/>
    <w:rsid w:val="00D1137B"/>
    <w:rsid w:val="00D11773"/>
    <w:rsid w:val="00D11807"/>
    <w:rsid w:val="00D11DB3"/>
    <w:rsid w:val="00D12D82"/>
    <w:rsid w:val="00D1306E"/>
    <w:rsid w:val="00D134CD"/>
    <w:rsid w:val="00D13CE5"/>
    <w:rsid w:val="00D14B5F"/>
    <w:rsid w:val="00D14E13"/>
    <w:rsid w:val="00D14F23"/>
    <w:rsid w:val="00D15356"/>
    <w:rsid w:val="00D16054"/>
    <w:rsid w:val="00D160AA"/>
    <w:rsid w:val="00D16740"/>
    <w:rsid w:val="00D16A8B"/>
    <w:rsid w:val="00D16E39"/>
    <w:rsid w:val="00D17951"/>
    <w:rsid w:val="00D17AD8"/>
    <w:rsid w:val="00D17B53"/>
    <w:rsid w:val="00D2104A"/>
    <w:rsid w:val="00D21302"/>
    <w:rsid w:val="00D213F1"/>
    <w:rsid w:val="00D21641"/>
    <w:rsid w:val="00D21BB5"/>
    <w:rsid w:val="00D21FFC"/>
    <w:rsid w:val="00D223A3"/>
    <w:rsid w:val="00D223B6"/>
    <w:rsid w:val="00D223E8"/>
    <w:rsid w:val="00D22DC8"/>
    <w:rsid w:val="00D24ECD"/>
    <w:rsid w:val="00D2522A"/>
    <w:rsid w:val="00D2531C"/>
    <w:rsid w:val="00D255F3"/>
    <w:rsid w:val="00D25EA4"/>
    <w:rsid w:val="00D26C21"/>
    <w:rsid w:val="00D2742F"/>
    <w:rsid w:val="00D27483"/>
    <w:rsid w:val="00D2754F"/>
    <w:rsid w:val="00D27595"/>
    <w:rsid w:val="00D27912"/>
    <w:rsid w:val="00D279D9"/>
    <w:rsid w:val="00D27C74"/>
    <w:rsid w:val="00D312DC"/>
    <w:rsid w:val="00D31B84"/>
    <w:rsid w:val="00D31C6A"/>
    <w:rsid w:val="00D31EDF"/>
    <w:rsid w:val="00D31FF9"/>
    <w:rsid w:val="00D32149"/>
    <w:rsid w:val="00D32256"/>
    <w:rsid w:val="00D32A27"/>
    <w:rsid w:val="00D32ABC"/>
    <w:rsid w:val="00D33010"/>
    <w:rsid w:val="00D34B25"/>
    <w:rsid w:val="00D34F4E"/>
    <w:rsid w:val="00D35753"/>
    <w:rsid w:val="00D357F3"/>
    <w:rsid w:val="00D35C0E"/>
    <w:rsid w:val="00D373A8"/>
    <w:rsid w:val="00D375FF"/>
    <w:rsid w:val="00D379A5"/>
    <w:rsid w:val="00D401BE"/>
    <w:rsid w:val="00D4043A"/>
    <w:rsid w:val="00D40A8E"/>
    <w:rsid w:val="00D40AB0"/>
    <w:rsid w:val="00D40DB0"/>
    <w:rsid w:val="00D40F8B"/>
    <w:rsid w:val="00D41858"/>
    <w:rsid w:val="00D422DB"/>
    <w:rsid w:val="00D42A83"/>
    <w:rsid w:val="00D42AC2"/>
    <w:rsid w:val="00D4355E"/>
    <w:rsid w:val="00D4498E"/>
    <w:rsid w:val="00D4515F"/>
    <w:rsid w:val="00D451E8"/>
    <w:rsid w:val="00D4636B"/>
    <w:rsid w:val="00D466C9"/>
    <w:rsid w:val="00D467D8"/>
    <w:rsid w:val="00D47275"/>
    <w:rsid w:val="00D4767B"/>
    <w:rsid w:val="00D50AEF"/>
    <w:rsid w:val="00D50C39"/>
    <w:rsid w:val="00D51E15"/>
    <w:rsid w:val="00D52B7E"/>
    <w:rsid w:val="00D52E2F"/>
    <w:rsid w:val="00D52F59"/>
    <w:rsid w:val="00D53E3E"/>
    <w:rsid w:val="00D55904"/>
    <w:rsid w:val="00D5616F"/>
    <w:rsid w:val="00D57940"/>
    <w:rsid w:val="00D60327"/>
    <w:rsid w:val="00D607DF"/>
    <w:rsid w:val="00D61526"/>
    <w:rsid w:val="00D61F81"/>
    <w:rsid w:val="00D623A9"/>
    <w:rsid w:val="00D62BE6"/>
    <w:rsid w:val="00D633AC"/>
    <w:rsid w:val="00D63766"/>
    <w:rsid w:val="00D63912"/>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39E"/>
    <w:rsid w:val="00D7481A"/>
    <w:rsid w:val="00D751B7"/>
    <w:rsid w:val="00D7524B"/>
    <w:rsid w:val="00D75396"/>
    <w:rsid w:val="00D759C0"/>
    <w:rsid w:val="00D75C05"/>
    <w:rsid w:val="00D75E99"/>
    <w:rsid w:val="00D7638A"/>
    <w:rsid w:val="00D766C7"/>
    <w:rsid w:val="00D7692B"/>
    <w:rsid w:val="00D76A19"/>
    <w:rsid w:val="00D76CBD"/>
    <w:rsid w:val="00D76F03"/>
    <w:rsid w:val="00D7734F"/>
    <w:rsid w:val="00D8044C"/>
    <w:rsid w:val="00D805D6"/>
    <w:rsid w:val="00D8075E"/>
    <w:rsid w:val="00D80860"/>
    <w:rsid w:val="00D80D4C"/>
    <w:rsid w:val="00D8166D"/>
    <w:rsid w:val="00D8184D"/>
    <w:rsid w:val="00D819C0"/>
    <w:rsid w:val="00D81A7B"/>
    <w:rsid w:val="00D8223C"/>
    <w:rsid w:val="00D82B57"/>
    <w:rsid w:val="00D82CE5"/>
    <w:rsid w:val="00D8342C"/>
    <w:rsid w:val="00D84FA5"/>
    <w:rsid w:val="00D85494"/>
    <w:rsid w:val="00D8582C"/>
    <w:rsid w:val="00D85D61"/>
    <w:rsid w:val="00D8616D"/>
    <w:rsid w:val="00D8711B"/>
    <w:rsid w:val="00D87384"/>
    <w:rsid w:val="00D90683"/>
    <w:rsid w:val="00D915C8"/>
    <w:rsid w:val="00D9261C"/>
    <w:rsid w:val="00D9310B"/>
    <w:rsid w:val="00D93299"/>
    <w:rsid w:val="00D93726"/>
    <w:rsid w:val="00D93DD3"/>
    <w:rsid w:val="00D93F3E"/>
    <w:rsid w:val="00D9405B"/>
    <w:rsid w:val="00D94942"/>
    <w:rsid w:val="00D95145"/>
    <w:rsid w:val="00D95ED9"/>
    <w:rsid w:val="00D964B2"/>
    <w:rsid w:val="00D967CB"/>
    <w:rsid w:val="00D96EE0"/>
    <w:rsid w:val="00D97BD1"/>
    <w:rsid w:val="00DA06B8"/>
    <w:rsid w:val="00DA286D"/>
    <w:rsid w:val="00DA2969"/>
    <w:rsid w:val="00DA29B7"/>
    <w:rsid w:val="00DA4842"/>
    <w:rsid w:val="00DA5989"/>
    <w:rsid w:val="00DA5AB1"/>
    <w:rsid w:val="00DA5F9D"/>
    <w:rsid w:val="00DA69B2"/>
    <w:rsid w:val="00DA6A7B"/>
    <w:rsid w:val="00DA7462"/>
    <w:rsid w:val="00DA777E"/>
    <w:rsid w:val="00DA7AD0"/>
    <w:rsid w:val="00DB02D7"/>
    <w:rsid w:val="00DB03CC"/>
    <w:rsid w:val="00DB12D4"/>
    <w:rsid w:val="00DB14F0"/>
    <w:rsid w:val="00DB1745"/>
    <w:rsid w:val="00DB1AFF"/>
    <w:rsid w:val="00DB219A"/>
    <w:rsid w:val="00DB3165"/>
    <w:rsid w:val="00DB4292"/>
    <w:rsid w:val="00DB5196"/>
    <w:rsid w:val="00DB5C03"/>
    <w:rsid w:val="00DB68BB"/>
    <w:rsid w:val="00DB6E46"/>
    <w:rsid w:val="00DB70E2"/>
    <w:rsid w:val="00DB7117"/>
    <w:rsid w:val="00DB7760"/>
    <w:rsid w:val="00DB7DD4"/>
    <w:rsid w:val="00DB7E44"/>
    <w:rsid w:val="00DC00B4"/>
    <w:rsid w:val="00DC037A"/>
    <w:rsid w:val="00DC0954"/>
    <w:rsid w:val="00DC15BA"/>
    <w:rsid w:val="00DC18CD"/>
    <w:rsid w:val="00DC1A68"/>
    <w:rsid w:val="00DC30B8"/>
    <w:rsid w:val="00DC32C6"/>
    <w:rsid w:val="00DC3720"/>
    <w:rsid w:val="00DC478F"/>
    <w:rsid w:val="00DC62E5"/>
    <w:rsid w:val="00DC6AB9"/>
    <w:rsid w:val="00DC6F33"/>
    <w:rsid w:val="00DC729E"/>
    <w:rsid w:val="00DC7349"/>
    <w:rsid w:val="00DD005B"/>
    <w:rsid w:val="00DD118B"/>
    <w:rsid w:val="00DD14D8"/>
    <w:rsid w:val="00DD1599"/>
    <w:rsid w:val="00DD177F"/>
    <w:rsid w:val="00DD1B03"/>
    <w:rsid w:val="00DD2772"/>
    <w:rsid w:val="00DD2A62"/>
    <w:rsid w:val="00DD2F2F"/>
    <w:rsid w:val="00DD2F7A"/>
    <w:rsid w:val="00DD3885"/>
    <w:rsid w:val="00DD5056"/>
    <w:rsid w:val="00DD5808"/>
    <w:rsid w:val="00DD5946"/>
    <w:rsid w:val="00DD5B04"/>
    <w:rsid w:val="00DD5DAE"/>
    <w:rsid w:val="00DD5EC6"/>
    <w:rsid w:val="00DD605F"/>
    <w:rsid w:val="00DD6657"/>
    <w:rsid w:val="00DD6D71"/>
    <w:rsid w:val="00DD7236"/>
    <w:rsid w:val="00DD72A0"/>
    <w:rsid w:val="00DD735D"/>
    <w:rsid w:val="00DE0159"/>
    <w:rsid w:val="00DE064A"/>
    <w:rsid w:val="00DE0755"/>
    <w:rsid w:val="00DE082D"/>
    <w:rsid w:val="00DE1410"/>
    <w:rsid w:val="00DE1ED0"/>
    <w:rsid w:val="00DE29F5"/>
    <w:rsid w:val="00DE3119"/>
    <w:rsid w:val="00DE3FF0"/>
    <w:rsid w:val="00DE4105"/>
    <w:rsid w:val="00DE5189"/>
    <w:rsid w:val="00DE6230"/>
    <w:rsid w:val="00DE7108"/>
    <w:rsid w:val="00DE78D1"/>
    <w:rsid w:val="00DF0263"/>
    <w:rsid w:val="00DF0EB4"/>
    <w:rsid w:val="00DF1E36"/>
    <w:rsid w:val="00DF1FDB"/>
    <w:rsid w:val="00DF236B"/>
    <w:rsid w:val="00DF2A91"/>
    <w:rsid w:val="00DF2F82"/>
    <w:rsid w:val="00DF3889"/>
    <w:rsid w:val="00DF3CC9"/>
    <w:rsid w:val="00DF4451"/>
    <w:rsid w:val="00DF4750"/>
    <w:rsid w:val="00DF49FF"/>
    <w:rsid w:val="00DF4A8A"/>
    <w:rsid w:val="00DF4FFB"/>
    <w:rsid w:val="00DF5236"/>
    <w:rsid w:val="00DF53E0"/>
    <w:rsid w:val="00DF5C4F"/>
    <w:rsid w:val="00DF651F"/>
    <w:rsid w:val="00DF6E10"/>
    <w:rsid w:val="00DF6F43"/>
    <w:rsid w:val="00DF752F"/>
    <w:rsid w:val="00DF76A2"/>
    <w:rsid w:val="00DF7960"/>
    <w:rsid w:val="00DF7B33"/>
    <w:rsid w:val="00E00B7A"/>
    <w:rsid w:val="00E02186"/>
    <w:rsid w:val="00E026BB"/>
    <w:rsid w:val="00E027C5"/>
    <w:rsid w:val="00E03124"/>
    <w:rsid w:val="00E031EB"/>
    <w:rsid w:val="00E032FD"/>
    <w:rsid w:val="00E03951"/>
    <w:rsid w:val="00E03DB8"/>
    <w:rsid w:val="00E057BA"/>
    <w:rsid w:val="00E05E70"/>
    <w:rsid w:val="00E0631A"/>
    <w:rsid w:val="00E064BC"/>
    <w:rsid w:val="00E07225"/>
    <w:rsid w:val="00E07AAA"/>
    <w:rsid w:val="00E1079C"/>
    <w:rsid w:val="00E109DD"/>
    <w:rsid w:val="00E11229"/>
    <w:rsid w:val="00E114CA"/>
    <w:rsid w:val="00E11CF0"/>
    <w:rsid w:val="00E12E62"/>
    <w:rsid w:val="00E132D5"/>
    <w:rsid w:val="00E1397F"/>
    <w:rsid w:val="00E13AB8"/>
    <w:rsid w:val="00E13D8F"/>
    <w:rsid w:val="00E1482E"/>
    <w:rsid w:val="00E155D3"/>
    <w:rsid w:val="00E16382"/>
    <w:rsid w:val="00E16572"/>
    <w:rsid w:val="00E1699C"/>
    <w:rsid w:val="00E16E75"/>
    <w:rsid w:val="00E1746D"/>
    <w:rsid w:val="00E2012A"/>
    <w:rsid w:val="00E205A2"/>
    <w:rsid w:val="00E20BA4"/>
    <w:rsid w:val="00E20C24"/>
    <w:rsid w:val="00E220DE"/>
    <w:rsid w:val="00E23137"/>
    <w:rsid w:val="00E231B0"/>
    <w:rsid w:val="00E23980"/>
    <w:rsid w:val="00E241E9"/>
    <w:rsid w:val="00E2510E"/>
    <w:rsid w:val="00E2520A"/>
    <w:rsid w:val="00E253EB"/>
    <w:rsid w:val="00E257C3"/>
    <w:rsid w:val="00E25CB3"/>
    <w:rsid w:val="00E25DA4"/>
    <w:rsid w:val="00E26CB8"/>
    <w:rsid w:val="00E26FCF"/>
    <w:rsid w:val="00E27165"/>
    <w:rsid w:val="00E27226"/>
    <w:rsid w:val="00E3044A"/>
    <w:rsid w:val="00E31A4A"/>
    <w:rsid w:val="00E31C43"/>
    <w:rsid w:val="00E32206"/>
    <w:rsid w:val="00E32DD5"/>
    <w:rsid w:val="00E32FA8"/>
    <w:rsid w:val="00E3344A"/>
    <w:rsid w:val="00E33B29"/>
    <w:rsid w:val="00E33B62"/>
    <w:rsid w:val="00E3403D"/>
    <w:rsid w:val="00E34E6C"/>
    <w:rsid w:val="00E350D8"/>
    <w:rsid w:val="00E353E2"/>
    <w:rsid w:val="00E36345"/>
    <w:rsid w:val="00E367A6"/>
    <w:rsid w:val="00E36C86"/>
    <w:rsid w:val="00E36CEB"/>
    <w:rsid w:val="00E37A28"/>
    <w:rsid w:val="00E40430"/>
    <w:rsid w:val="00E40690"/>
    <w:rsid w:val="00E40AEB"/>
    <w:rsid w:val="00E4143A"/>
    <w:rsid w:val="00E4154E"/>
    <w:rsid w:val="00E41A5D"/>
    <w:rsid w:val="00E424C8"/>
    <w:rsid w:val="00E4251D"/>
    <w:rsid w:val="00E42F41"/>
    <w:rsid w:val="00E43D00"/>
    <w:rsid w:val="00E44128"/>
    <w:rsid w:val="00E445E4"/>
    <w:rsid w:val="00E457CB"/>
    <w:rsid w:val="00E45D47"/>
    <w:rsid w:val="00E45DE4"/>
    <w:rsid w:val="00E45E63"/>
    <w:rsid w:val="00E46D10"/>
    <w:rsid w:val="00E50A7B"/>
    <w:rsid w:val="00E50B0B"/>
    <w:rsid w:val="00E510FE"/>
    <w:rsid w:val="00E51E25"/>
    <w:rsid w:val="00E5205B"/>
    <w:rsid w:val="00E521AE"/>
    <w:rsid w:val="00E52C8F"/>
    <w:rsid w:val="00E52C99"/>
    <w:rsid w:val="00E53BCA"/>
    <w:rsid w:val="00E53F02"/>
    <w:rsid w:val="00E54534"/>
    <w:rsid w:val="00E548C3"/>
    <w:rsid w:val="00E54DA0"/>
    <w:rsid w:val="00E54F27"/>
    <w:rsid w:val="00E556F5"/>
    <w:rsid w:val="00E55FF1"/>
    <w:rsid w:val="00E56090"/>
    <w:rsid w:val="00E565B9"/>
    <w:rsid w:val="00E5733B"/>
    <w:rsid w:val="00E5756C"/>
    <w:rsid w:val="00E601BE"/>
    <w:rsid w:val="00E60B5F"/>
    <w:rsid w:val="00E613AE"/>
    <w:rsid w:val="00E61429"/>
    <w:rsid w:val="00E61ABB"/>
    <w:rsid w:val="00E61FD7"/>
    <w:rsid w:val="00E623E6"/>
    <w:rsid w:val="00E630C0"/>
    <w:rsid w:val="00E63107"/>
    <w:rsid w:val="00E634D9"/>
    <w:rsid w:val="00E634E6"/>
    <w:rsid w:val="00E63DCE"/>
    <w:rsid w:val="00E64700"/>
    <w:rsid w:val="00E64E0B"/>
    <w:rsid w:val="00E65074"/>
    <w:rsid w:val="00E65E70"/>
    <w:rsid w:val="00E65EE9"/>
    <w:rsid w:val="00E66087"/>
    <w:rsid w:val="00E66D79"/>
    <w:rsid w:val="00E66FF9"/>
    <w:rsid w:val="00E67856"/>
    <w:rsid w:val="00E679C8"/>
    <w:rsid w:val="00E70314"/>
    <w:rsid w:val="00E70FCD"/>
    <w:rsid w:val="00E724E7"/>
    <w:rsid w:val="00E724F6"/>
    <w:rsid w:val="00E72B41"/>
    <w:rsid w:val="00E7347B"/>
    <w:rsid w:val="00E73D03"/>
    <w:rsid w:val="00E7471C"/>
    <w:rsid w:val="00E7498A"/>
    <w:rsid w:val="00E7514E"/>
    <w:rsid w:val="00E75B34"/>
    <w:rsid w:val="00E77810"/>
    <w:rsid w:val="00E77AF5"/>
    <w:rsid w:val="00E8029A"/>
    <w:rsid w:val="00E803A6"/>
    <w:rsid w:val="00E81653"/>
    <w:rsid w:val="00E823F9"/>
    <w:rsid w:val="00E82C1F"/>
    <w:rsid w:val="00E82EEA"/>
    <w:rsid w:val="00E83671"/>
    <w:rsid w:val="00E8414B"/>
    <w:rsid w:val="00E84A71"/>
    <w:rsid w:val="00E8544B"/>
    <w:rsid w:val="00E86556"/>
    <w:rsid w:val="00E86798"/>
    <w:rsid w:val="00E86D35"/>
    <w:rsid w:val="00E86DC2"/>
    <w:rsid w:val="00E86E32"/>
    <w:rsid w:val="00E8732E"/>
    <w:rsid w:val="00E9011F"/>
    <w:rsid w:val="00E906EB"/>
    <w:rsid w:val="00E913F9"/>
    <w:rsid w:val="00E9241E"/>
    <w:rsid w:val="00E92460"/>
    <w:rsid w:val="00E92E62"/>
    <w:rsid w:val="00E92E8B"/>
    <w:rsid w:val="00E93804"/>
    <w:rsid w:val="00E93A86"/>
    <w:rsid w:val="00E941AA"/>
    <w:rsid w:val="00E95434"/>
    <w:rsid w:val="00E96467"/>
    <w:rsid w:val="00E966DA"/>
    <w:rsid w:val="00E96948"/>
    <w:rsid w:val="00E96E38"/>
    <w:rsid w:val="00E9737B"/>
    <w:rsid w:val="00E97A3F"/>
    <w:rsid w:val="00E97F0A"/>
    <w:rsid w:val="00EA0100"/>
    <w:rsid w:val="00EA010D"/>
    <w:rsid w:val="00EA04DC"/>
    <w:rsid w:val="00EA0886"/>
    <w:rsid w:val="00EA0BCE"/>
    <w:rsid w:val="00EA2726"/>
    <w:rsid w:val="00EA2744"/>
    <w:rsid w:val="00EA2937"/>
    <w:rsid w:val="00EA37B9"/>
    <w:rsid w:val="00EA39F7"/>
    <w:rsid w:val="00EA3B27"/>
    <w:rsid w:val="00EA3DC2"/>
    <w:rsid w:val="00EA434E"/>
    <w:rsid w:val="00EA4757"/>
    <w:rsid w:val="00EA51FF"/>
    <w:rsid w:val="00EA53D3"/>
    <w:rsid w:val="00EA560B"/>
    <w:rsid w:val="00EA5669"/>
    <w:rsid w:val="00EA5C05"/>
    <w:rsid w:val="00EA63EF"/>
    <w:rsid w:val="00EA644F"/>
    <w:rsid w:val="00EA6750"/>
    <w:rsid w:val="00EB0A89"/>
    <w:rsid w:val="00EB0B22"/>
    <w:rsid w:val="00EB1573"/>
    <w:rsid w:val="00EB1650"/>
    <w:rsid w:val="00EB1910"/>
    <w:rsid w:val="00EB1D24"/>
    <w:rsid w:val="00EB209B"/>
    <w:rsid w:val="00EB2E97"/>
    <w:rsid w:val="00EB3416"/>
    <w:rsid w:val="00EB4AE1"/>
    <w:rsid w:val="00EB52F4"/>
    <w:rsid w:val="00EB5694"/>
    <w:rsid w:val="00EB5779"/>
    <w:rsid w:val="00EB580A"/>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2B4"/>
    <w:rsid w:val="00EC346B"/>
    <w:rsid w:val="00EC36B1"/>
    <w:rsid w:val="00EC3C94"/>
    <w:rsid w:val="00EC44DF"/>
    <w:rsid w:val="00EC4AB1"/>
    <w:rsid w:val="00EC4EFB"/>
    <w:rsid w:val="00EC4FB9"/>
    <w:rsid w:val="00EC5310"/>
    <w:rsid w:val="00EC5393"/>
    <w:rsid w:val="00EC5741"/>
    <w:rsid w:val="00EC5ACE"/>
    <w:rsid w:val="00EC5DA3"/>
    <w:rsid w:val="00EC6014"/>
    <w:rsid w:val="00EC6B3E"/>
    <w:rsid w:val="00EC6D8D"/>
    <w:rsid w:val="00EC71C7"/>
    <w:rsid w:val="00EC73DE"/>
    <w:rsid w:val="00EC7637"/>
    <w:rsid w:val="00EC79D3"/>
    <w:rsid w:val="00EC7B63"/>
    <w:rsid w:val="00EC7CF2"/>
    <w:rsid w:val="00ED046B"/>
    <w:rsid w:val="00ED046C"/>
    <w:rsid w:val="00ED053A"/>
    <w:rsid w:val="00ED0786"/>
    <w:rsid w:val="00ED1F03"/>
    <w:rsid w:val="00ED2D27"/>
    <w:rsid w:val="00ED3347"/>
    <w:rsid w:val="00ED38FD"/>
    <w:rsid w:val="00ED3954"/>
    <w:rsid w:val="00ED4048"/>
    <w:rsid w:val="00ED43A2"/>
    <w:rsid w:val="00ED4967"/>
    <w:rsid w:val="00ED4EC8"/>
    <w:rsid w:val="00ED510D"/>
    <w:rsid w:val="00ED5140"/>
    <w:rsid w:val="00ED522A"/>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0"/>
    <w:rsid w:val="00EE1258"/>
    <w:rsid w:val="00EE13DA"/>
    <w:rsid w:val="00EE162F"/>
    <w:rsid w:val="00EE1668"/>
    <w:rsid w:val="00EE1CE5"/>
    <w:rsid w:val="00EE366D"/>
    <w:rsid w:val="00EE471B"/>
    <w:rsid w:val="00EE5350"/>
    <w:rsid w:val="00EE5454"/>
    <w:rsid w:val="00EE58B8"/>
    <w:rsid w:val="00EE59B5"/>
    <w:rsid w:val="00EE5CF6"/>
    <w:rsid w:val="00EE5D1D"/>
    <w:rsid w:val="00EE5FB7"/>
    <w:rsid w:val="00EE666A"/>
    <w:rsid w:val="00EE6A1A"/>
    <w:rsid w:val="00EE7B54"/>
    <w:rsid w:val="00EE7C88"/>
    <w:rsid w:val="00EE7C8B"/>
    <w:rsid w:val="00EF0004"/>
    <w:rsid w:val="00EF0209"/>
    <w:rsid w:val="00EF0EA4"/>
    <w:rsid w:val="00EF1E97"/>
    <w:rsid w:val="00EF2436"/>
    <w:rsid w:val="00EF2441"/>
    <w:rsid w:val="00EF2547"/>
    <w:rsid w:val="00EF2B2B"/>
    <w:rsid w:val="00EF2E1C"/>
    <w:rsid w:val="00EF2FD6"/>
    <w:rsid w:val="00EF326A"/>
    <w:rsid w:val="00EF427A"/>
    <w:rsid w:val="00EF45DF"/>
    <w:rsid w:val="00EF4952"/>
    <w:rsid w:val="00EF498F"/>
    <w:rsid w:val="00EF4A42"/>
    <w:rsid w:val="00EF510C"/>
    <w:rsid w:val="00EF54B9"/>
    <w:rsid w:val="00EF55C4"/>
    <w:rsid w:val="00EF57BC"/>
    <w:rsid w:val="00EF5FD2"/>
    <w:rsid w:val="00EF660E"/>
    <w:rsid w:val="00EF6784"/>
    <w:rsid w:val="00EF688A"/>
    <w:rsid w:val="00EF6A03"/>
    <w:rsid w:val="00EF6DC2"/>
    <w:rsid w:val="00EF7BF4"/>
    <w:rsid w:val="00F0030F"/>
    <w:rsid w:val="00F00674"/>
    <w:rsid w:val="00F00929"/>
    <w:rsid w:val="00F01657"/>
    <w:rsid w:val="00F01E67"/>
    <w:rsid w:val="00F021B7"/>
    <w:rsid w:val="00F02744"/>
    <w:rsid w:val="00F02BFD"/>
    <w:rsid w:val="00F02D25"/>
    <w:rsid w:val="00F0435D"/>
    <w:rsid w:val="00F04580"/>
    <w:rsid w:val="00F04ECA"/>
    <w:rsid w:val="00F05D3C"/>
    <w:rsid w:val="00F05DC2"/>
    <w:rsid w:val="00F06E19"/>
    <w:rsid w:val="00F06F84"/>
    <w:rsid w:val="00F076E7"/>
    <w:rsid w:val="00F07AA1"/>
    <w:rsid w:val="00F105AE"/>
    <w:rsid w:val="00F10618"/>
    <w:rsid w:val="00F107FD"/>
    <w:rsid w:val="00F1108B"/>
    <w:rsid w:val="00F11768"/>
    <w:rsid w:val="00F11951"/>
    <w:rsid w:val="00F11BA8"/>
    <w:rsid w:val="00F12259"/>
    <w:rsid w:val="00F12262"/>
    <w:rsid w:val="00F12AF8"/>
    <w:rsid w:val="00F12C52"/>
    <w:rsid w:val="00F14352"/>
    <w:rsid w:val="00F148B7"/>
    <w:rsid w:val="00F14BE9"/>
    <w:rsid w:val="00F14EA9"/>
    <w:rsid w:val="00F15505"/>
    <w:rsid w:val="00F15BFF"/>
    <w:rsid w:val="00F17105"/>
    <w:rsid w:val="00F20A0B"/>
    <w:rsid w:val="00F213A0"/>
    <w:rsid w:val="00F217AB"/>
    <w:rsid w:val="00F21A51"/>
    <w:rsid w:val="00F21D54"/>
    <w:rsid w:val="00F21D6D"/>
    <w:rsid w:val="00F21EF4"/>
    <w:rsid w:val="00F23113"/>
    <w:rsid w:val="00F23255"/>
    <w:rsid w:val="00F23393"/>
    <w:rsid w:val="00F23759"/>
    <w:rsid w:val="00F23CB5"/>
    <w:rsid w:val="00F245A1"/>
    <w:rsid w:val="00F24644"/>
    <w:rsid w:val="00F256FD"/>
    <w:rsid w:val="00F259F1"/>
    <w:rsid w:val="00F26F33"/>
    <w:rsid w:val="00F27E74"/>
    <w:rsid w:val="00F300A8"/>
    <w:rsid w:val="00F30265"/>
    <w:rsid w:val="00F30400"/>
    <w:rsid w:val="00F3079E"/>
    <w:rsid w:val="00F32C50"/>
    <w:rsid w:val="00F33980"/>
    <w:rsid w:val="00F3399B"/>
    <w:rsid w:val="00F33C1A"/>
    <w:rsid w:val="00F3461B"/>
    <w:rsid w:val="00F346ED"/>
    <w:rsid w:val="00F34945"/>
    <w:rsid w:val="00F34E1E"/>
    <w:rsid w:val="00F351E8"/>
    <w:rsid w:val="00F3570C"/>
    <w:rsid w:val="00F368FF"/>
    <w:rsid w:val="00F37068"/>
    <w:rsid w:val="00F37F3F"/>
    <w:rsid w:val="00F40201"/>
    <w:rsid w:val="00F404A9"/>
    <w:rsid w:val="00F40992"/>
    <w:rsid w:val="00F40A99"/>
    <w:rsid w:val="00F40AEC"/>
    <w:rsid w:val="00F412DF"/>
    <w:rsid w:val="00F41596"/>
    <w:rsid w:val="00F41D8B"/>
    <w:rsid w:val="00F42121"/>
    <w:rsid w:val="00F424B3"/>
    <w:rsid w:val="00F428B1"/>
    <w:rsid w:val="00F428B4"/>
    <w:rsid w:val="00F4345D"/>
    <w:rsid w:val="00F4387B"/>
    <w:rsid w:val="00F4518D"/>
    <w:rsid w:val="00F45B91"/>
    <w:rsid w:val="00F46639"/>
    <w:rsid w:val="00F46692"/>
    <w:rsid w:val="00F47AAA"/>
    <w:rsid w:val="00F47B3B"/>
    <w:rsid w:val="00F50183"/>
    <w:rsid w:val="00F508BE"/>
    <w:rsid w:val="00F50D92"/>
    <w:rsid w:val="00F51765"/>
    <w:rsid w:val="00F51A51"/>
    <w:rsid w:val="00F51CB4"/>
    <w:rsid w:val="00F52324"/>
    <w:rsid w:val="00F52950"/>
    <w:rsid w:val="00F52C9D"/>
    <w:rsid w:val="00F52E39"/>
    <w:rsid w:val="00F533F1"/>
    <w:rsid w:val="00F55679"/>
    <w:rsid w:val="00F561E3"/>
    <w:rsid w:val="00F565E6"/>
    <w:rsid w:val="00F56AFA"/>
    <w:rsid w:val="00F575E2"/>
    <w:rsid w:val="00F57715"/>
    <w:rsid w:val="00F579FF"/>
    <w:rsid w:val="00F600E0"/>
    <w:rsid w:val="00F600FD"/>
    <w:rsid w:val="00F605EC"/>
    <w:rsid w:val="00F60F60"/>
    <w:rsid w:val="00F612CE"/>
    <w:rsid w:val="00F624A7"/>
    <w:rsid w:val="00F62820"/>
    <w:rsid w:val="00F62AB6"/>
    <w:rsid w:val="00F63984"/>
    <w:rsid w:val="00F65A3C"/>
    <w:rsid w:val="00F66282"/>
    <w:rsid w:val="00F67D8B"/>
    <w:rsid w:val="00F70961"/>
    <w:rsid w:val="00F70A8F"/>
    <w:rsid w:val="00F70F18"/>
    <w:rsid w:val="00F71397"/>
    <w:rsid w:val="00F72389"/>
    <w:rsid w:val="00F72516"/>
    <w:rsid w:val="00F72FB4"/>
    <w:rsid w:val="00F73317"/>
    <w:rsid w:val="00F735E5"/>
    <w:rsid w:val="00F73DD9"/>
    <w:rsid w:val="00F73E80"/>
    <w:rsid w:val="00F7469C"/>
    <w:rsid w:val="00F747E9"/>
    <w:rsid w:val="00F7492E"/>
    <w:rsid w:val="00F74945"/>
    <w:rsid w:val="00F749A3"/>
    <w:rsid w:val="00F74A04"/>
    <w:rsid w:val="00F74AE8"/>
    <w:rsid w:val="00F75A86"/>
    <w:rsid w:val="00F76C11"/>
    <w:rsid w:val="00F77021"/>
    <w:rsid w:val="00F775CB"/>
    <w:rsid w:val="00F77E61"/>
    <w:rsid w:val="00F814B2"/>
    <w:rsid w:val="00F815AC"/>
    <w:rsid w:val="00F83200"/>
    <w:rsid w:val="00F83B33"/>
    <w:rsid w:val="00F83CAE"/>
    <w:rsid w:val="00F840BF"/>
    <w:rsid w:val="00F8415D"/>
    <w:rsid w:val="00F8427A"/>
    <w:rsid w:val="00F843DF"/>
    <w:rsid w:val="00F84899"/>
    <w:rsid w:val="00F848AB"/>
    <w:rsid w:val="00F84A0A"/>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0F7A"/>
    <w:rsid w:val="00F9167D"/>
    <w:rsid w:val="00F91CB2"/>
    <w:rsid w:val="00F91FBF"/>
    <w:rsid w:val="00F9289C"/>
    <w:rsid w:val="00F92EC5"/>
    <w:rsid w:val="00F93DBC"/>
    <w:rsid w:val="00F93E41"/>
    <w:rsid w:val="00F94644"/>
    <w:rsid w:val="00F95075"/>
    <w:rsid w:val="00F9537B"/>
    <w:rsid w:val="00F95567"/>
    <w:rsid w:val="00F963FC"/>
    <w:rsid w:val="00FA015F"/>
    <w:rsid w:val="00FA0FAC"/>
    <w:rsid w:val="00FA1DA2"/>
    <w:rsid w:val="00FA3414"/>
    <w:rsid w:val="00FA347A"/>
    <w:rsid w:val="00FA39D7"/>
    <w:rsid w:val="00FA3CDE"/>
    <w:rsid w:val="00FA4565"/>
    <w:rsid w:val="00FA49B7"/>
    <w:rsid w:val="00FA5043"/>
    <w:rsid w:val="00FA6F8B"/>
    <w:rsid w:val="00FA7A30"/>
    <w:rsid w:val="00FB033F"/>
    <w:rsid w:val="00FB0F29"/>
    <w:rsid w:val="00FB12E3"/>
    <w:rsid w:val="00FB1570"/>
    <w:rsid w:val="00FB193B"/>
    <w:rsid w:val="00FB1FBC"/>
    <w:rsid w:val="00FB27B7"/>
    <w:rsid w:val="00FB2C36"/>
    <w:rsid w:val="00FB3483"/>
    <w:rsid w:val="00FB35E3"/>
    <w:rsid w:val="00FB4D3F"/>
    <w:rsid w:val="00FB56A0"/>
    <w:rsid w:val="00FB583C"/>
    <w:rsid w:val="00FB630E"/>
    <w:rsid w:val="00FB6738"/>
    <w:rsid w:val="00FB691B"/>
    <w:rsid w:val="00FB731C"/>
    <w:rsid w:val="00FB7DF8"/>
    <w:rsid w:val="00FC05A0"/>
    <w:rsid w:val="00FC0811"/>
    <w:rsid w:val="00FC1196"/>
    <w:rsid w:val="00FC15EB"/>
    <w:rsid w:val="00FC18DC"/>
    <w:rsid w:val="00FC2AC4"/>
    <w:rsid w:val="00FC2D6D"/>
    <w:rsid w:val="00FC2F73"/>
    <w:rsid w:val="00FC3A9B"/>
    <w:rsid w:val="00FC3AE1"/>
    <w:rsid w:val="00FC3DFC"/>
    <w:rsid w:val="00FC3EF4"/>
    <w:rsid w:val="00FC431B"/>
    <w:rsid w:val="00FC434C"/>
    <w:rsid w:val="00FC4FDF"/>
    <w:rsid w:val="00FC5CF4"/>
    <w:rsid w:val="00FC6A39"/>
    <w:rsid w:val="00FC6C5A"/>
    <w:rsid w:val="00FC6E50"/>
    <w:rsid w:val="00FC710F"/>
    <w:rsid w:val="00FC79AB"/>
    <w:rsid w:val="00FC7BE7"/>
    <w:rsid w:val="00FC7DAC"/>
    <w:rsid w:val="00FD04AE"/>
    <w:rsid w:val="00FD05C2"/>
    <w:rsid w:val="00FD086B"/>
    <w:rsid w:val="00FD1890"/>
    <w:rsid w:val="00FD1994"/>
    <w:rsid w:val="00FD21A9"/>
    <w:rsid w:val="00FD2AC8"/>
    <w:rsid w:val="00FD2CA6"/>
    <w:rsid w:val="00FD3508"/>
    <w:rsid w:val="00FD393C"/>
    <w:rsid w:val="00FD43BB"/>
    <w:rsid w:val="00FD4AF3"/>
    <w:rsid w:val="00FD556A"/>
    <w:rsid w:val="00FD5A69"/>
    <w:rsid w:val="00FD6F3C"/>
    <w:rsid w:val="00FD798D"/>
    <w:rsid w:val="00FD7BD8"/>
    <w:rsid w:val="00FD7FB9"/>
    <w:rsid w:val="00FE100E"/>
    <w:rsid w:val="00FE141E"/>
    <w:rsid w:val="00FE144E"/>
    <w:rsid w:val="00FE1689"/>
    <w:rsid w:val="00FE1768"/>
    <w:rsid w:val="00FE24F4"/>
    <w:rsid w:val="00FE2560"/>
    <w:rsid w:val="00FE35D0"/>
    <w:rsid w:val="00FE3845"/>
    <w:rsid w:val="00FE41AC"/>
    <w:rsid w:val="00FE42ED"/>
    <w:rsid w:val="00FE4C6D"/>
    <w:rsid w:val="00FE55A7"/>
    <w:rsid w:val="00FE55E6"/>
    <w:rsid w:val="00FE56D5"/>
    <w:rsid w:val="00FE5C5A"/>
    <w:rsid w:val="00FE6432"/>
    <w:rsid w:val="00FE6517"/>
    <w:rsid w:val="00FE72A0"/>
    <w:rsid w:val="00FF0050"/>
    <w:rsid w:val="00FF03C7"/>
    <w:rsid w:val="00FF045F"/>
    <w:rsid w:val="00FF0712"/>
    <w:rsid w:val="00FF0976"/>
    <w:rsid w:val="00FF13D4"/>
    <w:rsid w:val="00FF2053"/>
    <w:rsid w:val="00FF2F4E"/>
    <w:rsid w:val="00FF3B37"/>
    <w:rsid w:val="00FF3D6F"/>
    <w:rsid w:val="00FF4BD8"/>
    <w:rsid w:val="00FF4D11"/>
    <w:rsid w:val="00FF5214"/>
    <w:rsid w:val="00FF53A5"/>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746"/>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E100E"/>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2B4039"/>
    <w:rPr>
      <w:color w:val="605E5C"/>
      <w:shd w:val="clear" w:color="auto" w:fill="E1DFDD"/>
    </w:rPr>
  </w:style>
  <w:style w:type="character" w:customStyle="1" w:styleId="Hipervnculo1">
    <w:name w:val="Hipervínculo1"/>
    <w:basedOn w:val="Fuentedeprrafopredeter"/>
    <w:uiPriority w:val="99"/>
    <w:unhideWhenUsed/>
    <w:rsid w:val="008378BE"/>
    <w:rPr>
      <w:color w:val="F2F2F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150232">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069707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73847752">
      <w:bodyDiv w:val="1"/>
      <w:marLeft w:val="0"/>
      <w:marRight w:val="0"/>
      <w:marTop w:val="0"/>
      <w:marBottom w:val="0"/>
      <w:divBdr>
        <w:top w:val="none" w:sz="0" w:space="0" w:color="auto"/>
        <w:left w:val="none" w:sz="0" w:space="0" w:color="auto"/>
        <w:bottom w:val="none" w:sz="0" w:space="0" w:color="auto"/>
        <w:right w:val="none" w:sz="0" w:space="0" w:color="auto"/>
      </w:divBdr>
      <w:divsChild>
        <w:div w:id="250747312">
          <w:marLeft w:val="0"/>
          <w:marRight w:val="0"/>
          <w:marTop w:val="0"/>
          <w:marBottom w:val="0"/>
          <w:divBdr>
            <w:top w:val="none" w:sz="0" w:space="0" w:color="auto"/>
            <w:left w:val="none" w:sz="0" w:space="0" w:color="auto"/>
            <w:bottom w:val="none" w:sz="0" w:space="0" w:color="auto"/>
            <w:right w:val="none" w:sz="0" w:space="0" w:color="auto"/>
          </w:divBdr>
        </w:div>
        <w:div w:id="2067101779">
          <w:marLeft w:val="0"/>
          <w:marRight w:val="0"/>
          <w:marTop w:val="0"/>
          <w:marBottom w:val="0"/>
          <w:divBdr>
            <w:top w:val="none" w:sz="0" w:space="0" w:color="auto"/>
            <w:left w:val="none" w:sz="0" w:space="0" w:color="auto"/>
            <w:bottom w:val="none" w:sz="0" w:space="0" w:color="auto"/>
            <w:right w:val="none" w:sz="0" w:space="0" w:color="auto"/>
          </w:divBdr>
        </w:div>
        <w:div w:id="856118546">
          <w:marLeft w:val="0"/>
          <w:marRight w:val="0"/>
          <w:marTop w:val="0"/>
          <w:marBottom w:val="0"/>
          <w:divBdr>
            <w:top w:val="none" w:sz="0" w:space="0" w:color="auto"/>
            <w:left w:val="none" w:sz="0" w:space="0" w:color="auto"/>
            <w:bottom w:val="none" w:sz="0" w:space="0" w:color="auto"/>
            <w:right w:val="none" w:sz="0" w:space="0" w:color="auto"/>
          </w:divBdr>
        </w:div>
        <w:div w:id="701177010">
          <w:marLeft w:val="0"/>
          <w:marRight w:val="0"/>
          <w:marTop w:val="0"/>
          <w:marBottom w:val="0"/>
          <w:divBdr>
            <w:top w:val="none" w:sz="0" w:space="0" w:color="auto"/>
            <w:left w:val="none" w:sz="0" w:space="0" w:color="auto"/>
            <w:bottom w:val="none" w:sz="0" w:space="0" w:color="auto"/>
            <w:right w:val="none" w:sz="0" w:space="0" w:color="auto"/>
          </w:divBdr>
        </w:div>
        <w:div w:id="1979995553">
          <w:marLeft w:val="0"/>
          <w:marRight w:val="0"/>
          <w:marTop w:val="0"/>
          <w:marBottom w:val="0"/>
          <w:divBdr>
            <w:top w:val="none" w:sz="0" w:space="0" w:color="auto"/>
            <w:left w:val="none" w:sz="0" w:space="0" w:color="auto"/>
            <w:bottom w:val="none" w:sz="0" w:space="0" w:color="auto"/>
            <w:right w:val="none" w:sz="0" w:space="0" w:color="auto"/>
          </w:divBdr>
        </w:div>
        <w:div w:id="386532194">
          <w:marLeft w:val="0"/>
          <w:marRight w:val="0"/>
          <w:marTop w:val="0"/>
          <w:marBottom w:val="0"/>
          <w:divBdr>
            <w:top w:val="none" w:sz="0" w:space="0" w:color="auto"/>
            <w:left w:val="none" w:sz="0" w:space="0" w:color="auto"/>
            <w:bottom w:val="none" w:sz="0" w:space="0" w:color="auto"/>
            <w:right w:val="none" w:sz="0" w:space="0" w:color="auto"/>
          </w:divBdr>
        </w:div>
        <w:div w:id="1443916966">
          <w:marLeft w:val="0"/>
          <w:marRight w:val="0"/>
          <w:marTop w:val="0"/>
          <w:marBottom w:val="0"/>
          <w:divBdr>
            <w:top w:val="none" w:sz="0" w:space="0" w:color="auto"/>
            <w:left w:val="none" w:sz="0" w:space="0" w:color="auto"/>
            <w:bottom w:val="none" w:sz="0" w:space="0" w:color="auto"/>
            <w:right w:val="none" w:sz="0" w:space="0" w:color="auto"/>
          </w:divBdr>
        </w:div>
        <w:div w:id="1463428840">
          <w:marLeft w:val="0"/>
          <w:marRight w:val="0"/>
          <w:marTop w:val="0"/>
          <w:marBottom w:val="0"/>
          <w:divBdr>
            <w:top w:val="none" w:sz="0" w:space="0" w:color="auto"/>
            <w:left w:val="none" w:sz="0" w:space="0" w:color="auto"/>
            <w:bottom w:val="none" w:sz="0" w:space="0" w:color="auto"/>
            <w:right w:val="none" w:sz="0" w:space="0" w:color="auto"/>
          </w:divBdr>
        </w:div>
        <w:div w:id="340739953">
          <w:marLeft w:val="0"/>
          <w:marRight w:val="0"/>
          <w:marTop w:val="0"/>
          <w:marBottom w:val="0"/>
          <w:divBdr>
            <w:top w:val="none" w:sz="0" w:space="0" w:color="auto"/>
            <w:left w:val="none" w:sz="0" w:space="0" w:color="auto"/>
            <w:bottom w:val="none" w:sz="0" w:space="0" w:color="auto"/>
            <w:right w:val="none" w:sz="0" w:space="0" w:color="auto"/>
          </w:divBdr>
        </w:div>
        <w:div w:id="1214005837">
          <w:marLeft w:val="0"/>
          <w:marRight w:val="0"/>
          <w:marTop w:val="0"/>
          <w:marBottom w:val="0"/>
          <w:divBdr>
            <w:top w:val="none" w:sz="0" w:space="0" w:color="auto"/>
            <w:left w:val="none" w:sz="0" w:space="0" w:color="auto"/>
            <w:bottom w:val="none" w:sz="0" w:space="0" w:color="auto"/>
            <w:right w:val="none" w:sz="0" w:space="0" w:color="auto"/>
          </w:divBdr>
        </w:div>
        <w:div w:id="689572277">
          <w:marLeft w:val="0"/>
          <w:marRight w:val="0"/>
          <w:marTop w:val="0"/>
          <w:marBottom w:val="0"/>
          <w:divBdr>
            <w:top w:val="none" w:sz="0" w:space="0" w:color="auto"/>
            <w:left w:val="none" w:sz="0" w:space="0" w:color="auto"/>
            <w:bottom w:val="none" w:sz="0" w:space="0" w:color="auto"/>
            <w:right w:val="none" w:sz="0" w:space="0" w:color="auto"/>
          </w:divBdr>
        </w:div>
        <w:div w:id="1848668085">
          <w:marLeft w:val="0"/>
          <w:marRight w:val="0"/>
          <w:marTop w:val="0"/>
          <w:marBottom w:val="0"/>
          <w:divBdr>
            <w:top w:val="none" w:sz="0" w:space="0" w:color="auto"/>
            <w:left w:val="none" w:sz="0" w:space="0" w:color="auto"/>
            <w:bottom w:val="none" w:sz="0" w:space="0" w:color="auto"/>
            <w:right w:val="none" w:sz="0" w:space="0" w:color="auto"/>
          </w:divBdr>
        </w:div>
        <w:div w:id="355351056">
          <w:marLeft w:val="0"/>
          <w:marRight w:val="0"/>
          <w:marTop w:val="0"/>
          <w:marBottom w:val="0"/>
          <w:divBdr>
            <w:top w:val="none" w:sz="0" w:space="0" w:color="auto"/>
            <w:left w:val="none" w:sz="0" w:space="0" w:color="auto"/>
            <w:bottom w:val="none" w:sz="0" w:space="0" w:color="auto"/>
            <w:right w:val="none" w:sz="0" w:space="0" w:color="auto"/>
          </w:divBdr>
        </w:div>
        <w:div w:id="185019911">
          <w:marLeft w:val="0"/>
          <w:marRight w:val="0"/>
          <w:marTop w:val="0"/>
          <w:marBottom w:val="0"/>
          <w:divBdr>
            <w:top w:val="none" w:sz="0" w:space="0" w:color="auto"/>
            <w:left w:val="none" w:sz="0" w:space="0" w:color="auto"/>
            <w:bottom w:val="none" w:sz="0" w:space="0" w:color="auto"/>
            <w:right w:val="none" w:sz="0" w:space="0" w:color="auto"/>
          </w:divBdr>
        </w:div>
        <w:div w:id="1409376571">
          <w:marLeft w:val="0"/>
          <w:marRight w:val="0"/>
          <w:marTop w:val="0"/>
          <w:marBottom w:val="0"/>
          <w:divBdr>
            <w:top w:val="none" w:sz="0" w:space="0" w:color="auto"/>
            <w:left w:val="none" w:sz="0" w:space="0" w:color="auto"/>
            <w:bottom w:val="none" w:sz="0" w:space="0" w:color="auto"/>
            <w:right w:val="none" w:sz="0" w:space="0" w:color="auto"/>
          </w:divBdr>
        </w:div>
        <w:div w:id="1153715860">
          <w:marLeft w:val="0"/>
          <w:marRight w:val="0"/>
          <w:marTop w:val="0"/>
          <w:marBottom w:val="0"/>
          <w:divBdr>
            <w:top w:val="none" w:sz="0" w:space="0" w:color="auto"/>
            <w:left w:val="none" w:sz="0" w:space="0" w:color="auto"/>
            <w:bottom w:val="none" w:sz="0" w:space="0" w:color="auto"/>
            <w:right w:val="none" w:sz="0" w:space="0" w:color="auto"/>
          </w:divBdr>
        </w:div>
        <w:div w:id="878051417">
          <w:marLeft w:val="0"/>
          <w:marRight w:val="0"/>
          <w:marTop w:val="0"/>
          <w:marBottom w:val="0"/>
          <w:divBdr>
            <w:top w:val="none" w:sz="0" w:space="0" w:color="auto"/>
            <w:left w:val="none" w:sz="0" w:space="0" w:color="auto"/>
            <w:bottom w:val="none" w:sz="0" w:space="0" w:color="auto"/>
            <w:right w:val="none" w:sz="0" w:space="0" w:color="auto"/>
          </w:divBdr>
        </w:div>
        <w:div w:id="1340767783">
          <w:marLeft w:val="0"/>
          <w:marRight w:val="0"/>
          <w:marTop w:val="0"/>
          <w:marBottom w:val="0"/>
          <w:divBdr>
            <w:top w:val="none" w:sz="0" w:space="0" w:color="auto"/>
            <w:left w:val="none" w:sz="0" w:space="0" w:color="auto"/>
            <w:bottom w:val="none" w:sz="0" w:space="0" w:color="auto"/>
            <w:right w:val="none" w:sz="0" w:space="0" w:color="auto"/>
          </w:divBdr>
        </w:div>
        <w:div w:id="1389064509">
          <w:marLeft w:val="0"/>
          <w:marRight w:val="0"/>
          <w:marTop w:val="0"/>
          <w:marBottom w:val="0"/>
          <w:divBdr>
            <w:top w:val="none" w:sz="0" w:space="0" w:color="auto"/>
            <w:left w:val="none" w:sz="0" w:space="0" w:color="auto"/>
            <w:bottom w:val="none" w:sz="0" w:space="0" w:color="auto"/>
            <w:right w:val="none" w:sz="0" w:space="0" w:color="auto"/>
          </w:divBdr>
        </w:div>
        <w:div w:id="1237981306">
          <w:marLeft w:val="0"/>
          <w:marRight w:val="0"/>
          <w:marTop w:val="0"/>
          <w:marBottom w:val="0"/>
          <w:divBdr>
            <w:top w:val="none" w:sz="0" w:space="0" w:color="auto"/>
            <w:left w:val="none" w:sz="0" w:space="0" w:color="auto"/>
            <w:bottom w:val="none" w:sz="0" w:space="0" w:color="auto"/>
            <w:right w:val="none" w:sz="0" w:space="0" w:color="auto"/>
          </w:divBdr>
        </w:div>
        <w:div w:id="497230276">
          <w:marLeft w:val="0"/>
          <w:marRight w:val="0"/>
          <w:marTop w:val="0"/>
          <w:marBottom w:val="0"/>
          <w:divBdr>
            <w:top w:val="none" w:sz="0" w:space="0" w:color="auto"/>
            <w:left w:val="none" w:sz="0" w:space="0" w:color="auto"/>
            <w:bottom w:val="none" w:sz="0" w:space="0" w:color="auto"/>
            <w:right w:val="none" w:sz="0" w:space="0" w:color="auto"/>
          </w:divBdr>
        </w:div>
        <w:div w:id="1948077385">
          <w:marLeft w:val="0"/>
          <w:marRight w:val="0"/>
          <w:marTop w:val="0"/>
          <w:marBottom w:val="0"/>
          <w:divBdr>
            <w:top w:val="none" w:sz="0" w:space="0" w:color="auto"/>
            <w:left w:val="none" w:sz="0" w:space="0" w:color="auto"/>
            <w:bottom w:val="none" w:sz="0" w:space="0" w:color="auto"/>
            <w:right w:val="none" w:sz="0" w:space="0" w:color="auto"/>
          </w:divBdr>
        </w:div>
        <w:div w:id="2077436875">
          <w:marLeft w:val="0"/>
          <w:marRight w:val="0"/>
          <w:marTop w:val="0"/>
          <w:marBottom w:val="0"/>
          <w:divBdr>
            <w:top w:val="none" w:sz="0" w:space="0" w:color="auto"/>
            <w:left w:val="none" w:sz="0" w:space="0" w:color="auto"/>
            <w:bottom w:val="none" w:sz="0" w:space="0" w:color="auto"/>
            <w:right w:val="none" w:sz="0" w:space="0" w:color="auto"/>
          </w:divBdr>
        </w:div>
        <w:div w:id="375393709">
          <w:marLeft w:val="0"/>
          <w:marRight w:val="0"/>
          <w:marTop w:val="0"/>
          <w:marBottom w:val="0"/>
          <w:divBdr>
            <w:top w:val="none" w:sz="0" w:space="0" w:color="auto"/>
            <w:left w:val="none" w:sz="0" w:space="0" w:color="auto"/>
            <w:bottom w:val="none" w:sz="0" w:space="0" w:color="auto"/>
            <w:right w:val="none" w:sz="0" w:space="0" w:color="auto"/>
          </w:divBdr>
        </w:div>
        <w:div w:id="1116949506">
          <w:marLeft w:val="0"/>
          <w:marRight w:val="0"/>
          <w:marTop w:val="0"/>
          <w:marBottom w:val="0"/>
          <w:divBdr>
            <w:top w:val="none" w:sz="0" w:space="0" w:color="auto"/>
            <w:left w:val="none" w:sz="0" w:space="0" w:color="auto"/>
            <w:bottom w:val="none" w:sz="0" w:space="0" w:color="auto"/>
            <w:right w:val="none" w:sz="0" w:space="0" w:color="auto"/>
          </w:divBdr>
        </w:div>
        <w:div w:id="2063670069">
          <w:marLeft w:val="0"/>
          <w:marRight w:val="0"/>
          <w:marTop w:val="0"/>
          <w:marBottom w:val="0"/>
          <w:divBdr>
            <w:top w:val="none" w:sz="0" w:space="0" w:color="auto"/>
            <w:left w:val="none" w:sz="0" w:space="0" w:color="auto"/>
            <w:bottom w:val="none" w:sz="0" w:space="0" w:color="auto"/>
            <w:right w:val="none" w:sz="0" w:space="0" w:color="auto"/>
          </w:divBdr>
        </w:div>
        <w:div w:id="1385788235">
          <w:marLeft w:val="0"/>
          <w:marRight w:val="0"/>
          <w:marTop w:val="0"/>
          <w:marBottom w:val="0"/>
          <w:divBdr>
            <w:top w:val="none" w:sz="0" w:space="0" w:color="auto"/>
            <w:left w:val="none" w:sz="0" w:space="0" w:color="auto"/>
            <w:bottom w:val="none" w:sz="0" w:space="0" w:color="auto"/>
            <w:right w:val="none" w:sz="0" w:space="0" w:color="auto"/>
          </w:divBdr>
        </w:div>
        <w:div w:id="774130227">
          <w:marLeft w:val="0"/>
          <w:marRight w:val="0"/>
          <w:marTop w:val="0"/>
          <w:marBottom w:val="0"/>
          <w:divBdr>
            <w:top w:val="none" w:sz="0" w:space="0" w:color="auto"/>
            <w:left w:val="none" w:sz="0" w:space="0" w:color="auto"/>
            <w:bottom w:val="none" w:sz="0" w:space="0" w:color="auto"/>
            <w:right w:val="none" w:sz="0" w:space="0" w:color="auto"/>
          </w:divBdr>
        </w:div>
        <w:div w:id="356153059">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009">
      <w:bodyDiv w:val="1"/>
      <w:marLeft w:val="0"/>
      <w:marRight w:val="0"/>
      <w:marTop w:val="0"/>
      <w:marBottom w:val="0"/>
      <w:divBdr>
        <w:top w:val="none" w:sz="0" w:space="0" w:color="auto"/>
        <w:left w:val="none" w:sz="0" w:space="0" w:color="auto"/>
        <w:bottom w:val="none" w:sz="0" w:space="0" w:color="auto"/>
        <w:right w:val="none" w:sz="0" w:space="0" w:color="auto"/>
      </w:divBdr>
      <w:divsChild>
        <w:div w:id="137571566">
          <w:marLeft w:val="0"/>
          <w:marRight w:val="0"/>
          <w:marTop w:val="0"/>
          <w:marBottom w:val="0"/>
          <w:divBdr>
            <w:top w:val="none" w:sz="0" w:space="0" w:color="auto"/>
            <w:left w:val="none" w:sz="0" w:space="0" w:color="auto"/>
            <w:bottom w:val="none" w:sz="0" w:space="0" w:color="auto"/>
            <w:right w:val="none" w:sz="0" w:space="0" w:color="auto"/>
          </w:divBdr>
        </w:div>
        <w:div w:id="776950387">
          <w:marLeft w:val="0"/>
          <w:marRight w:val="0"/>
          <w:marTop w:val="0"/>
          <w:marBottom w:val="0"/>
          <w:divBdr>
            <w:top w:val="none" w:sz="0" w:space="0" w:color="auto"/>
            <w:left w:val="none" w:sz="0" w:space="0" w:color="auto"/>
            <w:bottom w:val="none" w:sz="0" w:space="0" w:color="auto"/>
            <w:right w:val="none" w:sz="0" w:space="0" w:color="auto"/>
          </w:divBdr>
        </w:div>
        <w:div w:id="910965516">
          <w:marLeft w:val="0"/>
          <w:marRight w:val="0"/>
          <w:marTop w:val="0"/>
          <w:marBottom w:val="0"/>
          <w:divBdr>
            <w:top w:val="none" w:sz="0" w:space="0" w:color="auto"/>
            <w:left w:val="none" w:sz="0" w:space="0" w:color="auto"/>
            <w:bottom w:val="none" w:sz="0" w:space="0" w:color="auto"/>
            <w:right w:val="none" w:sz="0" w:space="0" w:color="auto"/>
          </w:divBdr>
        </w:div>
        <w:div w:id="1321274061">
          <w:marLeft w:val="0"/>
          <w:marRight w:val="0"/>
          <w:marTop w:val="0"/>
          <w:marBottom w:val="0"/>
          <w:divBdr>
            <w:top w:val="none" w:sz="0" w:space="0" w:color="auto"/>
            <w:left w:val="none" w:sz="0" w:space="0" w:color="auto"/>
            <w:bottom w:val="none" w:sz="0" w:space="0" w:color="auto"/>
            <w:right w:val="none" w:sz="0" w:space="0" w:color="auto"/>
          </w:divBdr>
        </w:div>
        <w:div w:id="1897934208">
          <w:marLeft w:val="0"/>
          <w:marRight w:val="0"/>
          <w:marTop w:val="0"/>
          <w:marBottom w:val="0"/>
          <w:divBdr>
            <w:top w:val="none" w:sz="0" w:space="0" w:color="auto"/>
            <w:left w:val="none" w:sz="0" w:space="0" w:color="auto"/>
            <w:bottom w:val="none" w:sz="0" w:space="0" w:color="auto"/>
            <w:right w:val="none" w:sz="0" w:space="0" w:color="auto"/>
          </w:divBdr>
        </w:div>
        <w:div w:id="326787748">
          <w:marLeft w:val="0"/>
          <w:marRight w:val="0"/>
          <w:marTop w:val="0"/>
          <w:marBottom w:val="0"/>
          <w:divBdr>
            <w:top w:val="none" w:sz="0" w:space="0" w:color="auto"/>
            <w:left w:val="none" w:sz="0" w:space="0" w:color="auto"/>
            <w:bottom w:val="none" w:sz="0" w:space="0" w:color="auto"/>
            <w:right w:val="none" w:sz="0" w:space="0" w:color="auto"/>
          </w:divBdr>
        </w:div>
        <w:div w:id="1145732085">
          <w:marLeft w:val="0"/>
          <w:marRight w:val="0"/>
          <w:marTop w:val="0"/>
          <w:marBottom w:val="0"/>
          <w:divBdr>
            <w:top w:val="none" w:sz="0" w:space="0" w:color="auto"/>
            <w:left w:val="none" w:sz="0" w:space="0" w:color="auto"/>
            <w:bottom w:val="none" w:sz="0" w:space="0" w:color="auto"/>
            <w:right w:val="none" w:sz="0" w:space="0" w:color="auto"/>
          </w:divBdr>
        </w:div>
        <w:div w:id="469977109">
          <w:marLeft w:val="0"/>
          <w:marRight w:val="0"/>
          <w:marTop w:val="0"/>
          <w:marBottom w:val="0"/>
          <w:divBdr>
            <w:top w:val="none" w:sz="0" w:space="0" w:color="auto"/>
            <w:left w:val="none" w:sz="0" w:space="0" w:color="auto"/>
            <w:bottom w:val="none" w:sz="0" w:space="0" w:color="auto"/>
            <w:right w:val="none" w:sz="0" w:space="0" w:color="auto"/>
          </w:divBdr>
        </w:div>
        <w:div w:id="1847742798">
          <w:marLeft w:val="0"/>
          <w:marRight w:val="0"/>
          <w:marTop w:val="0"/>
          <w:marBottom w:val="0"/>
          <w:divBdr>
            <w:top w:val="none" w:sz="0" w:space="0" w:color="auto"/>
            <w:left w:val="none" w:sz="0" w:space="0" w:color="auto"/>
            <w:bottom w:val="none" w:sz="0" w:space="0" w:color="auto"/>
            <w:right w:val="none" w:sz="0" w:space="0" w:color="auto"/>
          </w:divBdr>
        </w:div>
        <w:div w:id="754977389">
          <w:marLeft w:val="0"/>
          <w:marRight w:val="0"/>
          <w:marTop w:val="0"/>
          <w:marBottom w:val="0"/>
          <w:divBdr>
            <w:top w:val="none" w:sz="0" w:space="0" w:color="auto"/>
            <w:left w:val="none" w:sz="0" w:space="0" w:color="auto"/>
            <w:bottom w:val="none" w:sz="0" w:space="0" w:color="auto"/>
            <w:right w:val="none" w:sz="0" w:space="0" w:color="auto"/>
          </w:divBdr>
        </w:div>
        <w:div w:id="237255211">
          <w:marLeft w:val="0"/>
          <w:marRight w:val="0"/>
          <w:marTop w:val="0"/>
          <w:marBottom w:val="0"/>
          <w:divBdr>
            <w:top w:val="none" w:sz="0" w:space="0" w:color="auto"/>
            <w:left w:val="none" w:sz="0" w:space="0" w:color="auto"/>
            <w:bottom w:val="none" w:sz="0" w:space="0" w:color="auto"/>
            <w:right w:val="none" w:sz="0" w:space="0" w:color="auto"/>
          </w:divBdr>
        </w:div>
        <w:div w:id="218594642">
          <w:marLeft w:val="0"/>
          <w:marRight w:val="0"/>
          <w:marTop w:val="0"/>
          <w:marBottom w:val="0"/>
          <w:divBdr>
            <w:top w:val="none" w:sz="0" w:space="0" w:color="auto"/>
            <w:left w:val="none" w:sz="0" w:space="0" w:color="auto"/>
            <w:bottom w:val="none" w:sz="0" w:space="0" w:color="auto"/>
            <w:right w:val="none" w:sz="0" w:space="0" w:color="auto"/>
          </w:divBdr>
        </w:div>
        <w:div w:id="1396783654">
          <w:marLeft w:val="0"/>
          <w:marRight w:val="0"/>
          <w:marTop w:val="0"/>
          <w:marBottom w:val="0"/>
          <w:divBdr>
            <w:top w:val="none" w:sz="0" w:space="0" w:color="auto"/>
            <w:left w:val="none" w:sz="0" w:space="0" w:color="auto"/>
            <w:bottom w:val="none" w:sz="0" w:space="0" w:color="auto"/>
            <w:right w:val="none" w:sz="0" w:space="0" w:color="auto"/>
          </w:divBdr>
        </w:div>
        <w:div w:id="1592926720">
          <w:marLeft w:val="0"/>
          <w:marRight w:val="0"/>
          <w:marTop w:val="0"/>
          <w:marBottom w:val="0"/>
          <w:divBdr>
            <w:top w:val="none" w:sz="0" w:space="0" w:color="auto"/>
            <w:left w:val="none" w:sz="0" w:space="0" w:color="auto"/>
            <w:bottom w:val="none" w:sz="0" w:space="0" w:color="auto"/>
            <w:right w:val="none" w:sz="0" w:space="0" w:color="auto"/>
          </w:divBdr>
        </w:div>
        <w:div w:id="1953172906">
          <w:marLeft w:val="0"/>
          <w:marRight w:val="0"/>
          <w:marTop w:val="0"/>
          <w:marBottom w:val="0"/>
          <w:divBdr>
            <w:top w:val="none" w:sz="0" w:space="0" w:color="auto"/>
            <w:left w:val="none" w:sz="0" w:space="0" w:color="auto"/>
            <w:bottom w:val="none" w:sz="0" w:space="0" w:color="auto"/>
            <w:right w:val="none" w:sz="0" w:space="0" w:color="auto"/>
          </w:divBdr>
        </w:div>
        <w:div w:id="797845415">
          <w:marLeft w:val="0"/>
          <w:marRight w:val="0"/>
          <w:marTop w:val="0"/>
          <w:marBottom w:val="0"/>
          <w:divBdr>
            <w:top w:val="none" w:sz="0" w:space="0" w:color="auto"/>
            <w:left w:val="none" w:sz="0" w:space="0" w:color="auto"/>
            <w:bottom w:val="none" w:sz="0" w:space="0" w:color="auto"/>
            <w:right w:val="none" w:sz="0" w:space="0" w:color="auto"/>
          </w:divBdr>
        </w:div>
        <w:div w:id="1252548912">
          <w:marLeft w:val="0"/>
          <w:marRight w:val="0"/>
          <w:marTop w:val="0"/>
          <w:marBottom w:val="0"/>
          <w:divBdr>
            <w:top w:val="none" w:sz="0" w:space="0" w:color="auto"/>
            <w:left w:val="none" w:sz="0" w:space="0" w:color="auto"/>
            <w:bottom w:val="none" w:sz="0" w:space="0" w:color="auto"/>
            <w:right w:val="none" w:sz="0" w:space="0" w:color="auto"/>
          </w:divBdr>
        </w:div>
        <w:div w:id="132909867">
          <w:marLeft w:val="0"/>
          <w:marRight w:val="0"/>
          <w:marTop w:val="0"/>
          <w:marBottom w:val="0"/>
          <w:divBdr>
            <w:top w:val="none" w:sz="0" w:space="0" w:color="auto"/>
            <w:left w:val="none" w:sz="0" w:space="0" w:color="auto"/>
            <w:bottom w:val="none" w:sz="0" w:space="0" w:color="auto"/>
            <w:right w:val="none" w:sz="0" w:space="0" w:color="auto"/>
          </w:divBdr>
        </w:div>
        <w:div w:id="2121073037">
          <w:marLeft w:val="0"/>
          <w:marRight w:val="0"/>
          <w:marTop w:val="0"/>
          <w:marBottom w:val="0"/>
          <w:divBdr>
            <w:top w:val="none" w:sz="0" w:space="0" w:color="auto"/>
            <w:left w:val="none" w:sz="0" w:space="0" w:color="auto"/>
            <w:bottom w:val="none" w:sz="0" w:space="0" w:color="auto"/>
            <w:right w:val="none" w:sz="0" w:space="0" w:color="auto"/>
          </w:divBdr>
        </w:div>
        <w:div w:id="1987784308">
          <w:marLeft w:val="0"/>
          <w:marRight w:val="0"/>
          <w:marTop w:val="0"/>
          <w:marBottom w:val="0"/>
          <w:divBdr>
            <w:top w:val="none" w:sz="0" w:space="0" w:color="auto"/>
            <w:left w:val="none" w:sz="0" w:space="0" w:color="auto"/>
            <w:bottom w:val="none" w:sz="0" w:space="0" w:color="auto"/>
            <w:right w:val="none" w:sz="0" w:space="0" w:color="auto"/>
          </w:divBdr>
        </w:div>
        <w:div w:id="454369506">
          <w:marLeft w:val="0"/>
          <w:marRight w:val="0"/>
          <w:marTop w:val="0"/>
          <w:marBottom w:val="0"/>
          <w:divBdr>
            <w:top w:val="none" w:sz="0" w:space="0" w:color="auto"/>
            <w:left w:val="none" w:sz="0" w:space="0" w:color="auto"/>
            <w:bottom w:val="none" w:sz="0" w:space="0" w:color="auto"/>
            <w:right w:val="none" w:sz="0" w:space="0" w:color="auto"/>
          </w:divBdr>
        </w:div>
        <w:div w:id="217324288">
          <w:marLeft w:val="0"/>
          <w:marRight w:val="0"/>
          <w:marTop w:val="0"/>
          <w:marBottom w:val="0"/>
          <w:divBdr>
            <w:top w:val="none" w:sz="0" w:space="0" w:color="auto"/>
            <w:left w:val="none" w:sz="0" w:space="0" w:color="auto"/>
            <w:bottom w:val="none" w:sz="0" w:space="0" w:color="auto"/>
            <w:right w:val="none" w:sz="0" w:space="0" w:color="auto"/>
          </w:divBdr>
        </w:div>
        <w:div w:id="1636056527">
          <w:marLeft w:val="0"/>
          <w:marRight w:val="0"/>
          <w:marTop w:val="0"/>
          <w:marBottom w:val="0"/>
          <w:divBdr>
            <w:top w:val="none" w:sz="0" w:space="0" w:color="auto"/>
            <w:left w:val="none" w:sz="0" w:space="0" w:color="auto"/>
            <w:bottom w:val="none" w:sz="0" w:space="0" w:color="auto"/>
            <w:right w:val="none" w:sz="0" w:space="0" w:color="auto"/>
          </w:divBdr>
        </w:div>
        <w:div w:id="1275019623">
          <w:marLeft w:val="0"/>
          <w:marRight w:val="0"/>
          <w:marTop w:val="0"/>
          <w:marBottom w:val="0"/>
          <w:divBdr>
            <w:top w:val="none" w:sz="0" w:space="0" w:color="auto"/>
            <w:left w:val="none" w:sz="0" w:space="0" w:color="auto"/>
            <w:bottom w:val="none" w:sz="0" w:space="0" w:color="auto"/>
            <w:right w:val="none" w:sz="0" w:space="0" w:color="auto"/>
          </w:divBdr>
        </w:div>
        <w:div w:id="852885648">
          <w:marLeft w:val="0"/>
          <w:marRight w:val="0"/>
          <w:marTop w:val="0"/>
          <w:marBottom w:val="0"/>
          <w:divBdr>
            <w:top w:val="none" w:sz="0" w:space="0" w:color="auto"/>
            <w:left w:val="none" w:sz="0" w:space="0" w:color="auto"/>
            <w:bottom w:val="none" w:sz="0" w:space="0" w:color="auto"/>
            <w:right w:val="none" w:sz="0" w:space="0" w:color="auto"/>
          </w:divBdr>
        </w:div>
        <w:div w:id="207229013">
          <w:marLeft w:val="0"/>
          <w:marRight w:val="0"/>
          <w:marTop w:val="0"/>
          <w:marBottom w:val="0"/>
          <w:divBdr>
            <w:top w:val="none" w:sz="0" w:space="0" w:color="auto"/>
            <w:left w:val="none" w:sz="0" w:space="0" w:color="auto"/>
            <w:bottom w:val="none" w:sz="0" w:space="0" w:color="auto"/>
            <w:right w:val="none" w:sz="0" w:space="0" w:color="auto"/>
          </w:divBdr>
        </w:div>
        <w:div w:id="137576350">
          <w:marLeft w:val="0"/>
          <w:marRight w:val="0"/>
          <w:marTop w:val="0"/>
          <w:marBottom w:val="0"/>
          <w:divBdr>
            <w:top w:val="none" w:sz="0" w:space="0" w:color="auto"/>
            <w:left w:val="none" w:sz="0" w:space="0" w:color="auto"/>
            <w:bottom w:val="none" w:sz="0" w:space="0" w:color="auto"/>
            <w:right w:val="none" w:sz="0" w:space="0" w:color="auto"/>
          </w:divBdr>
        </w:div>
        <w:div w:id="473987455">
          <w:marLeft w:val="0"/>
          <w:marRight w:val="0"/>
          <w:marTop w:val="0"/>
          <w:marBottom w:val="0"/>
          <w:divBdr>
            <w:top w:val="none" w:sz="0" w:space="0" w:color="auto"/>
            <w:left w:val="none" w:sz="0" w:space="0" w:color="auto"/>
            <w:bottom w:val="none" w:sz="0" w:space="0" w:color="auto"/>
            <w:right w:val="none" w:sz="0" w:space="0" w:color="auto"/>
          </w:divBdr>
        </w:div>
        <w:div w:id="598680142">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2413895">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69859655">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9578892">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6827543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4824306">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89364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266555">
      <w:bodyDiv w:val="1"/>
      <w:marLeft w:val="0"/>
      <w:marRight w:val="0"/>
      <w:marTop w:val="0"/>
      <w:marBottom w:val="0"/>
      <w:divBdr>
        <w:top w:val="none" w:sz="0" w:space="0" w:color="auto"/>
        <w:left w:val="none" w:sz="0" w:space="0" w:color="auto"/>
        <w:bottom w:val="none" w:sz="0" w:space="0" w:color="auto"/>
        <w:right w:val="none" w:sz="0" w:space="0" w:color="auto"/>
      </w:divBdr>
      <w:divsChild>
        <w:div w:id="537353173">
          <w:marLeft w:val="0"/>
          <w:marRight w:val="0"/>
          <w:marTop w:val="0"/>
          <w:marBottom w:val="0"/>
          <w:divBdr>
            <w:top w:val="none" w:sz="0" w:space="0" w:color="auto"/>
            <w:left w:val="none" w:sz="0" w:space="0" w:color="auto"/>
            <w:bottom w:val="none" w:sz="0" w:space="0" w:color="auto"/>
            <w:right w:val="none" w:sz="0" w:space="0" w:color="auto"/>
          </w:divBdr>
        </w:div>
        <w:div w:id="756094220">
          <w:marLeft w:val="0"/>
          <w:marRight w:val="0"/>
          <w:marTop w:val="0"/>
          <w:marBottom w:val="0"/>
          <w:divBdr>
            <w:top w:val="none" w:sz="0" w:space="0" w:color="auto"/>
            <w:left w:val="none" w:sz="0" w:space="0" w:color="auto"/>
            <w:bottom w:val="none" w:sz="0" w:space="0" w:color="auto"/>
            <w:right w:val="none" w:sz="0" w:space="0" w:color="auto"/>
          </w:divBdr>
        </w:div>
        <w:div w:id="1759867300">
          <w:marLeft w:val="0"/>
          <w:marRight w:val="0"/>
          <w:marTop w:val="0"/>
          <w:marBottom w:val="0"/>
          <w:divBdr>
            <w:top w:val="none" w:sz="0" w:space="0" w:color="auto"/>
            <w:left w:val="none" w:sz="0" w:space="0" w:color="auto"/>
            <w:bottom w:val="none" w:sz="0" w:space="0" w:color="auto"/>
            <w:right w:val="none" w:sz="0" w:space="0" w:color="auto"/>
          </w:divBdr>
        </w:div>
        <w:div w:id="1277525494">
          <w:marLeft w:val="0"/>
          <w:marRight w:val="0"/>
          <w:marTop w:val="0"/>
          <w:marBottom w:val="0"/>
          <w:divBdr>
            <w:top w:val="none" w:sz="0" w:space="0" w:color="auto"/>
            <w:left w:val="none" w:sz="0" w:space="0" w:color="auto"/>
            <w:bottom w:val="none" w:sz="0" w:space="0" w:color="auto"/>
            <w:right w:val="none" w:sz="0" w:space="0" w:color="auto"/>
          </w:divBdr>
        </w:div>
        <w:div w:id="1910655984">
          <w:marLeft w:val="0"/>
          <w:marRight w:val="0"/>
          <w:marTop w:val="0"/>
          <w:marBottom w:val="0"/>
          <w:divBdr>
            <w:top w:val="none" w:sz="0" w:space="0" w:color="auto"/>
            <w:left w:val="none" w:sz="0" w:space="0" w:color="auto"/>
            <w:bottom w:val="none" w:sz="0" w:space="0" w:color="auto"/>
            <w:right w:val="none" w:sz="0" w:space="0" w:color="auto"/>
          </w:divBdr>
        </w:div>
        <w:div w:id="1703044548">
          <w:marLeft w:val="0"/>
          <w:marRight w:val="0"/>
          <w:marTop w:val="0"/>
          <w:marBottom w:val="0"/>
          <w:divBdr>
            <w:top w:val="none" w:sz="0" w:space="0" w:color="auto"/>
            <w:left w:val="none" w:sz="0" w:space="0" w:color="auto"/>
            <w:bottom w:val="none" w:sz="0" w:space="0" w:color="auto"/>
            <w:right w:val="none" w:sz="0" w:space="0" w:color="auto"/>
          </w:divBdr>
        </w:div>
        <w:div w:id="1080524773">
          <w:marLeft w:val="0"/>
          <w:marRight w:val="0"/>
          <w:marTop w:val="0"/>
          <w:marBottom w:val="0"/>
          <w:divBdr>
            <w:top w:val="none" w:sz="0" w:space="0" w:color="auto"/>
            <w:left w:val="none" w:sz="0" w:space="0" w:color="auto"/>
            <w:bottom w:val="none" w:sz="0" w:space="0" w:color="auto"/>
            <w:right w:val="none" w:sz="0" w:space="0" w:color="auto"/>
          </w:divBdr>
        </w:div>
        <w:div w:id="848132088">
          <w:marLeft w:val="0"/>
          <w:marRight w:val="0"/>
          <w:marTop w:val="0"/>
          <w:marBottom w:val="0"/>
          <w:divBdr>
            <w:top w:val="none" w:sz="0" w:space="0" w:color="auto"/>
            <w:left w:val="none" w:sz="0" w:space="0" w:color="auto"/>
            <w:bottom w:val="none" w:sz="0" w:space="0" w:color="auto"/>
            <w:right w:val="none" w:sz="0" w:space="0" w:color="auto"/>
          </w:divBdr>
        </w:div>
        <w:div w:id="353382836">
          <w:marLeft w:val="0"/>
          <w:marRight w:val="0"/>
          <w:marTop w:val="0"/>
          <w:marBottom w:val="0"/>
          <w:divBdr>
            <w:top w:val="none" w:sz="0" w:space="0" w:color="auto"/>
            <w:left w:val="none" w:sz="0" w:space="0" w:color="auto"/>
            <w:bottom w:val="none" w:sz="0" w:space="0" w:color="auto"/>
            <w:right w:val="none" w:sz="0" w:space="0" w:color="auto"/>
          </w:divBdr>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5001383">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5110901">
      <w:bodyDiv w:val="1"/>
      <w:marLeft w:val="0"/>
      <w:marRight w:val="0"/>
      <w:marTop w:val="0"/>
      <w:marBottom w:val="0"/>
      <w:divBdr>
        <w:top w:val="none" w:sz="0" w:space="0" w:color="auto"/>
        <w:left w:val="none" w:sz="0" w:space="0" w:color="auto"/>
        <w:bottom w:val="none" w:sz="0" w:space="0" w:color="auto"/>
        <w:right w:val="none" w:sz="0" w:space="0" w:color="auto"/>
      </w:divBdr>
    </w:div>
    <w:div w:id="19713233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0222526">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18" Type="http://schemas.openxmlformats.org/officeDocument/2006/relationships/hyperlink" Target="https://www.funcionpublica.gov.co/eva/gestornormativo/norma.php?i=49981" TargetMode="External"/><Relationship Id="rId3"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17" Type="http://schemas.openxmlformats.org/officeDocument/2006/relationships/hyperlink" Target="https://www.funcionpublica.gov.co/eva/gestornormativo/norma.php?i=34054" TargetMode="External"/><Relationship Id="rId2" Type="http://schemas.openxmlformats.org/officeDocument/2006/relationships/hyperlink" Target="https://www.funcionpublica.gov.co/eva/gestornormativo/norma.php?i=77653" TargetMode="External"/><Relationship Id="rId16" Type="http://schemas.openxmlformats.org/officeDocument/2006/relationships/hyperlink" Target="https://www.funcionpublica.gov.co/eva/gestornormativo/norma.php?i=34054" TargetMode="External"/><Relationship Id="rId20" Type="http://schemas.openxmlformats.org/officeDocument/2006/relationships/hyperlink" Target="https://www.funcionpublica.gov.co/eva/gestornormativo/norma.php?i=49981" TargetMode="External"/><Relationship Id="rId1" Type="http://schemas.openxmlformats.org/officeDocument/2006/relationships/hyperlink" Target="https://www.funcionpublica.gov.co/eva/gestornormativo/norma.php?i=77653"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colaboracion.dnp.gov.co/CDT/Normatividad/DECRETO%20579%20DEL%2031%20DE%20MAYO%20DE%202021.pdf" TargetMode="External"/><Relationship Id="rId10" Type="http://schemas.openxmlformats.org/officeDocument/2006/relationships/hyperlink" Target="https://www.funcionpublica.gov.co/eva/gestornormativo/norma.php?i=77653" TargetMode="External"/><Relationship Id="rId19" Type="http://schemas.openxmlformats.org/officeDocument/2006/relationships/hyperlink" Target="https://www.funcionpublica.gov.co/eva/gestornormativo/norma.php?i=49981"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9F1BE-8629-4BB5-B292-C16FC37F2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TotalTime>
  <Pages>42</Pages>
  <Words>15246</Words>
  <Characters>83854</Characters>
  <Application>Microsoft Office Word</Application>
  <DocSecurity>0</DocSecurity>
  <Lines>698</Lines>
  <Paragraphs>197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98903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MARIA CLAUDIA DE LA OSSA BOBADILLA</cp:lastModifiedBy>
  <cp:revision>2</cp:revision>
  <cp:lastPrinted>2020-01-30T15:05:00Z</cp:lastPrinted>
  <dcterms:created xsi:type="dcterms:W3CDTF">2022-07-05T00:21:00Z</dcterms:created>
  <dcterms:modified xsi:type="dcterms:W3CDTF">2022-07-05T00:21:00Z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