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93C8" w14:textId="77777777" w:rsidR="005F1A16" w:rsidRPr="0048570B" w:rsidRDefault="005F1A16" w:rsidP="005F1A16">
      <w:pPr>
        <w:spacing w:after="0" w:line="240" w:lineRule="auto"/>
        <w:contextualSpacing/>
        <w:jc w:val="both"/>
        <w:rPr>
          <w:rFonts w:ascii="Arial" w:eastAsia="Calibri" w:hAnsi="Arial" w:cs="Arial"/>
          <w:b/>
          <w:bCs/>
          <w:lang w:eastAsia="es-MX"/>
        </w:rPr>
      </w:pPr>
      <w:r w:rsidRPr="0048570B">
        <w:rPr>
          <w:rFonts w:ascii="Arial" w:eastAsia="Calibri" w:hAnsi="Arial" w:cs="Arial"/>
          <w:b/>
          <w:bCs/>
          <w:lang w:eastAsia="es-MX"/>
        </w:rPr>
        <w:t>DOCUMENTOS TIPO – Fundamento jurídico</w:t>
      </w:r>
    </w:p>
    <w:p w14:paraId="1BB8317B" w14:textId="77777777" w:rsidR="005F1A16" w:rsidRPr="0048570B" w:rsidRDefault="005F1A16" w:rsidP="005F1A16">
      <w:pPr>
        <w:spacing w:after="0" w:line="240" w:lineRule="auto"/>
        <w:contextualSpacing/>
        <w:jc w:val="both"/>
        <w:rPr>
          <w:rFonts w:ascii="Arial" w:eastAsia="Times New Roman" w:hAnsi="Arial" w:cs="Arial"/>
          <w:sz w:val="20"/>
          <w:szCs w:val="20"/>
          <w:lang w:val="es-ES_tradnl" w:eastAsia="es-ES"/>
        </w:rPr>
      </w:pPr>
    </w:p>
    <w:p w14:paraId="044EFCA7" w14:textId="77777777" w:rsidR="005F1A16" w:rsidRPr="0048570B" w:rsidRDefault="005F1A16" w:rsidP="005F1A16">
      <w:pPr>
        <w:spacing w:after="0" w:line="240" w:lineRule="auto"/>
        <w:contextualSpacing/>
        <w:jc w:val="both"/>
        <w:rPr>
          <w:rFonts w:ascii="Arial" w:eastAsia="Times New Roman" w:hAnsi="Arial" w:cs="Arial"/>
          <w:sz w:val="20"/>
          <w:szCs w:val="20"/>
          <w:lang w:val="es-ES" w:eastAsia="es-MX"/>
        </w:rPr>
      </w:pPr>
      <w:r w:rsidRPr="0048570B">
        <w:rPr>
          <w:rFonts w:ascii="Arial" w:eastAsia="Times New Roman" w:hAnsi="Arial" w:cs="Arial"/>
          <w:sz w:val="20"/>
          <w:szCs w:val="20"/>
          <w:lang w:val="es-ES" w:eastAsia="es-MX"/>
        </w:rPr>
        <w:t xml:space="preserve">De la norma descrita se concluía lo siguiente: i) la adopción de los documentos tipo estaba en cabeza del gobierno nacional; </w:t>
      </w:r>
      <w:proofErr w:type="spellStart"/>
      <w:r w:rsidRPr="0048570B">
        <w:rPr>
          <w:rFonts w:ascii="Arial" w:eastAsia="Times New Roman" w:hAnsi="Arial" w:cs="Arial"/>
          <w:sz w:val="20"/>
          <w:szCs w:val="20"/>
          <w:lang w:val="es-ES" w:eastAsia="es-MX"/>
        </w:rPr>
        <w:t>ii</w:t>
      </w:r>
      <w:proofErr w:type="spellEnd"/>
      <w:r w:rsidRPr="0048570B">
        <w:rPr>
          <w:rFonts w:ascii="Arial" w:eastAsia="Times New Roman" w:hAnsi="Arial" w:cs="Arial"/>
          <w:sz w:val="20"/>
          <w:szCs w:val="20"/>
          <w:lang w:val="es-ES" w:eastAsia="es-MX"/>
        </w:rPr>
        <w:t xml:space="preserve">) estos debían relacionarse con procesos de obras públicas, interventoría para las obras públicas, interventoría para consultoría de estudios y diseños y, finalmente, consultoría en ingeniería para obras; </w:t>
      </w:r>
      <w:proofErr w:type="spellStart"/>
      <w:r w:rsidRPr="0048570B">
        <w:rPr>
          <w:rFonts w:ascii="Arial" w:eastAsia="Times New Roman" w:hAnsi="Arial" w:cs="Arial"/>
          <w:sz w:val="20"/>
          <w:szCs w:val="20"/>
          <w:lang w:val="es-ES" w:eastAsia="es-MX"/>
        </w:rPr>
        <w:t>iii</w:t>
      </w:r>
      <w:proofErr w:type="spellEnd"/>
      <w:r w:rsidRPr="0048570B">
        <w:rPr>
          <w:rFonts w:ascii="Arial" w:eastAsia="Times New Roman" w:hAnsi="Arial" w:cs="Arial"/>
          <w:sz w:val="20"/>
          <w:szCs w:val="20"/>
          <w:lang w:val="es-ES" w:eastAsia="es-MX"/>
        </w:rPr>
        <w:t xml:space="preserve">) eran de obligatorio cumplimiento por parte de todas las entidades sometidas al Estatuto General de Contratación de la Administración Pública; </w:t>
      </w:r>
      <w:proofErr w:type="spellStart"/>
      <w:r w:rsidRPr="0048570B">
        <w:rPr>
          <w:rFonts w:ascii="Arial" w:eastAsia="Times New Roman" w:hAnsi="Arial" w:cs="Arial"/>
          <w:sz w:val="20"/>
          <w:szCs w:val="20"/>
          <w:lang w:val="es-ES" w:eastAsia="es-MX"/>
        </w:rPr>
        <w:t>iv</w:t>
      </w:r>
      <w:proofErr w:type="spellEnd"/>
      <w:r w:rsidRPr="0048570B">
        <w:rPr>
          <w:rFonts w:ascii="Arial" w:eastAsia="Times New Roman" w:hAnsi="Arial" w:cs="Arial"/>
          <w:sz w:val="20"/>
          <w:szCs w:val="20"/>
          <w:lang w:val="es-ES" w:eastAsia="es-MX"/>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653F3249" w14:textId="77777777" w:rsidR="005F1A16" w:rsidRPr="0048570B" w:rsidRDefault="005F1A16" w:rsidP="005F1A16">
      <w:pPr>
        <w:spacing w:after="0" w:line="240" w:lineRule="auto"/>
        <w:contextualSpacing/>
        <w:jc w:val="both"/>
        <w:rPr>
          <w:rFonts w:ascii="Arial" w:eastAsia="Times New Roman" w:hAnsi="Arial" w:cs="Arial"/>
          <w:sz w:val="20"/>
          <w:szCs w:val="20"/>
          <w:lang w:val="es-ES" w:eastAsia="es-MX"/>
        </w:rPr>
      </w:pPr>
    </w:p>
    <w:p w14:paraId="44790D62" w14:textId="77777777" w:rsidR="005F1A16" w:rsidRPr="0048570B" w:rsidRDefault="005F1A16" w:rsidP="005F1A16">
      <w:pPr>
        <w:spacing w:after="0" w:line="240" w:lineRule="auto"/>
        <w:contextualSpacing/>
        <w:jc w:val="both"/>
        <w:rPr>
          <w:rFonts w:ascii="Arial" w:eastAsia="Times New Roman" w:hAnsi="Arial" w:cs="Arial"/>
          <w:sz w:val="20"/>
          <w:szCs w:val="20"/>
          <w:lang w:val="es-ES" w:eastAsia="es-MX"/>
        </w:rPr>
      </w:pPr>
      <w:r w:rsidRPr="0048570B">
        <w:rPr>
          <w:rFonts w:ascii="Arial" w:eastAsia="Times New Roman" w:hAnsi="Arial" w:cs="Arial"/>
          <w:sz w:val="20"/>
          <w:szCs w:val="20"/>
          <w:lang w:val="es-ES" w:eastAsia="es-MX"/>
        </w:rPr>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p>
    <w:p w14:paraId="730353E5" w14:textId="77777777" w:rsidR="005F1A16" w:rsidRPr="0048570B" w:rsidRDefault="005F1A16" w:rsidP="005F1A16">
      <w:pPr>
        <w:spacing w:after="0" w:line="240" w:lineRule="auto"/>
        <w:contextualSpacing/>
        <w:jc w:val="both"/>
        <w:rPr>
          <w:rFonts w:ascii="Arial" w:eastAsia="Calibri" w:hAnsi="Arial" w:cs="Arial"/>
          <w:b/>
          <w:bCs/>
          <w:sz w:val="20"/>
          <w:szCs w:val="20"/>
          <w:lang w:eastAsia="es-MX"/>
        </w:rPr>
      </w:pPr>
    </w:p>
    <w:p w14:paraId="61B67C97" w14:textId="77777777" w:rsidR="005F1A16" w:rsidRPr="0048570B" w:rsidRDefault="005F1A16" w:rsidP="005F1A16">
      <w:pPr>
        <w:spacing w:after="0" w:line="240" w:lineRule="auto"/>
        <w:contextualSpacing/>
        <w:jc w:val="both"/>
        <w:rPr>
          <w:rFonts w:ascii="Arial" w:eastAsia="Calibri" w:hAnsi="Arial" w:cs="Arial"/>
          <w:b/>
          <w:bCs/>
          <w:lang w:eastAsia="es-MX"/>
        </w:rPr>
      </w:pPr>
      <w:r w:rsidRPr="0048570B">
        <w:rPr>
          <w:rFonts w:ascii="Arial" w:eastAsia="Calibri" w:hAnsi="Arial" w:cs="Arial"/>
          <w:b/>
          <w:bCs/>
          <w:lang w:eastAsia="es-MX"/>
        </w:rPr>
        <w:t xml:space="preserve">DOCUMENTO TIPO DE INFRAESTRUCTURA SOCIAL – Generalidades </w:t>
      </w:r>
    </w:p>
    <w:p w14:paraId="30D68532" w14:textId="77777777" w:rsidR="005F1A16" w:rsidRPr="0048570B" w:rsidRDefault="005F1A16" w:rsidP="005F1A16">
      <w:pPr>
        <w:spacing w:after="0" w:line="240" w:lineRule="auto"/>
        <w:contextualSpacing/>
        <w:jc w:val="both"/>
        <w:rPr>
          <w:rFonts w:ascii="Arial" w:eastAsia="Calibri" w:hAnsi="Arial" w:cs="Arial"/>
          <w:sz w:val="20"/>
          <w:szCs w:val="20"/>
          <w:lang w:val="es-ES" w:eastAsia="es-ES"/>
        </w:rPr>
      </w:pPr>
    </w:p>
    <w:p w14:paraId="30C0AEEC" w14:textId="77777777" w:rsidR="005F1A16" w:rsidRPr="0048570B" w:rsidRDefault="005F1A16" w:rsidP="005F1A16">
      <w:pPr>
        <w:spacing w:after="0" w:line="240" w:lineRule="auto"/>
        <w:contextualSpacing/>
        <w:jc w:val="both"/>
        <w:rPr>
          <w:rFonts w:ascii="Arial" w:eastAsia="Calibri" w:hAnsi="Arial" w:cs="Arial"/>
          <w:sz w:val="20"/>
          <w:szCs w:val="20"/>
          <w:lang w:val="es-ES" w:eastAsia="es-ES"/>
        </w:rPr>
      </w:pPr>
      <w:r w:rsidRPr="0048570B">
        <w:rPr>
          <w:rFonts w:ascii="Arial" w:eastAsia="Calibri" w:hAnsi="Arial" w:cs="Arial"/>
          <w:sz w:val="20"/>
          <w:szCs w:val="20"/>
        </w:rPr>
        <w:t xml:space="preserve">En desarrollo de la Ley 2022 de 2020, la Agencia Nacional de Contratación Pública – Colombia Compra Eficiente expidió la Resolución 219 </w:t>
      </w:r>
      <w:r w:rsidRPr="0048570B">
        <w:rPr>
          <w:rFonts w:ascii="Arial" w:hAnsi="Arial" w:cs="Arial"/>
          <w:bCs/>
          <w:sz w:val="20"/>
          <w:szCs w:val="20"/>
          <w:lang w:eastAsia="es-ES_tradnl"/>
        </w:rPr>
        <w:t xml:space="preserve">del 6 de agosto </w:t>
      </w:r>
      <w:r w:rsidRPr="0048570B">
        <w:rPr>
          <w:rFonts w:ascii="Arial" w:eastAsia="Calibri" w:hAnsi="Arial" w:cs="Arial"/>
          <w:sz w:val="20"/>
          <w:szCs w:val="20"/>
        </w:rPr>
        <w:t xml:space="preserve">de 2021, </w:t>
      </w:r>
      <w:r w:rsidRPr="0048570B">
        <w:rPr>
          <w:rFonts w:ascii="Arial" w:eastAsia="Calibri" w:hAnsi="Arial" w:cs="Arial"/>
          <w:i/>
          <w:iCs/>
          <w:sz w:val="20"/>
          <w:szCs w:val="20"/>
        </w:rPr>
        <w:t>«Por la cual se adoptan los documentos tipo para los procesos de licitación de obra pública de infraestructura social»</w:t>
      </w:r>
      <w:r w:rsidRPr="0048570B">
        <w:rPr>
          <w:rFonts w:ascii="Arial" w:eastAsia="Calibri" w:hAnsi="Arial" w:cs="Arial"/>
          <w:sz w:val="20"/>
          <w:szCs w:val="20"/>
        </w:rPr>
        <w:t>. Dentro de esta categoría fue incluida la infraestructura asociada a los sectores de la salud, el educativo y el de cultura, recreación y deporte,</w:t>
      </w:r>
      <w:r w:rsidRPr="0048570B">
        <w:rPr>
          <w:rFonts w:ascii="Arial" w:hAnsi="Arial" w:cs="Arial"/>
          <w:sz w:val="20"/>
          <w:szCs w:val="20"/>
          <w:lang w:val="es-ES"/>
        </w:rPr>
        <w:t xml:space="preserve"> tal como lo establece el parágrafo 2 del artículo 2 de la resolución indicada</w:t>
      </w:r>
      <w:r w:rsidRPr="0048570B">
        <w:rPr>
          <w:rFonts w:ascii="Arial" w:eastAsia="Calibri" w:hAnsi="Arial" w:cs="Arial"/>
          <w:sz w:val="20"/>
          <w:szCs w:val="20"/>
          <w:lang w:val="es-ES" w:eastAsia="es-ES"/>
        </w:rPr>
        <w:t xml:space="preserve"> […]</w:t>
      </w:r>
    </w:p>
    <w:p w14:paraId="6B0372D1" w14:textId="77777777" w:rsidR="005F1A16" w:rsidRPr="0048570B" w:rsidRDefault="005F1A16" w:rsidP="005F1A16">
      <w:pPr>
        <w:spacing w:after="0" w:line="240" w:lineRule="auto"/>
        <w:contextualSpacing/>
        <w:jc w:val="both"/>
        <w:rPr>
          <w:rFonts w:ascii="Arial" w:hAnsi="Arial" w:cs="Arial"/>
          <w:bCs/>
          <w:sz w:val="20"/>
          <w:szCs w:val="20"/>
          <w:lang w:val="es-ES" w:eastAsia="es-ES_tradnl"/>
        </w:rPr>
      </w:pPr>
    </w:p>
    <w:p w14:paraId="7E58A905" w14:textId="77777777" w:rsidR="005F1A16" w:rsidRPr="0048570B" w:rsidRDefault="005F1A16" w:rsidP="005F1A16">
      <w:pPr>
        <w:spacing w:after="0" w:line="240" w:lineRule="auto"/>
        <w:contextualSpacing/>
        <w:jc w:val="both"/>
        <w:rPr>
          <w:rFonts w:ascii="Arial" w:hAnsi="Arial" w:cs="Arial"/>
          <w:sz w:val="20"/>
          <w:szCs w:val="20"/>
          <w:lang w:val="es-ES"/>
        </w:rPr>
      </w:pPr>
      <w:r w:rsidRPr="0048570B">
        <w:rPr>
          <w:rFonts w:ascii="Arial" w:hAnsi="Arial" w:cs="Arial"/>
          <w:bCs/>
          <w:sz w:val="20"/>
          <w:szCs w:val="20"/>
          <w:lang w:val="es-ES" w:eastAsia="es-ES_tradnl"/>
        </w:rPr>
        <w:t xml:space="preserve">Cabe anotar que </w:t>
      </w:r>
      <w:r w:rsidRPr="0048570B">
        <w:rPr>
          <w:rFonts w:ascii="Arial" w:hAnsi="Arial" w:cs="Arial"/>
          <w:bCs/>
          <w:sz w:val="20"/>
          <w:szCs w:val="20"/>
          <w:lang w:eastAsia="es-ES_tradnl"/>
        </w:rPr>
        <w:t xml:space="preserve">la Resolución 219 del 6 de agosto de 2021 contiene los documentos tipo que aplican </w:t>
      </w:r>
      <w:r w:rsidRPr="0048570B">
        <w:rPr>
          <w:rFonts w:ascii="Arial" w:hAnsi="Arial" w:cs="Arial"/>
          <w:sz w:val="20"/>
          <w:szCs w:val="20"/>
          <w:lang w:val="es-ES"/>
        </w:rPr>
        <w:t>de forma transversal a los proyectos de infraestructura social en los sectores educativo, salud,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2A5910A4" w14:textId="77777777" w:rsidR="005F1A16" w:rsidRPr="0048570B" w:rsidRDefault="005F1A16" w:rsidP="005F1A16">
      <w:pPr>
        <w:spacing w:after="0" w:line="240" w:lineRule="auto"/>
        <w:contextualSpacing/>
        <w:jc w:val="both"/>
        <w:rPr>
          <w:rFonts w:ascii="Arial" w:hAnsi="Arial" w:cs="Arial"/>
          <w:sz w:val="20"/>
          <w:szCs w:val="20"/>
          <w:lang w:val="es-ES"/>
        </w:rPr>
      </w:pPr>
    </w:p>
    <w:p w14:paraId="35E025BE" w14:textId="77777777" w:rsidR="005F1A16" w:rsidRPr="0048570B" w:rsidRDefault="005F1A16" w:rsidP="005F1A16">
      <w:pPr>
        <w:spacing w:after="0" w:line="240" w:lineRule="auto"/>
        <w:contextualSpacing/>
        <w:jc w:val="both"/>
        <w:rPr>
          <w:rFonts w:ascii="Arial" w:hAnsi="Arial" w:cs="Arial"/>
          <w:sz w:val="20"/>
          <w:szCs w:val="20"/>
          <w:lang w:val="es-ES"/>
        </w:rPr>
      </w:pPr>
      <w:r w:rsidRPr="0048570B">
        <w:rPr>
          <w:rFonts w:ascii="Arial" w:hAnsi="Arial" w:cs="Arial"/>
          <w:sz w:val="20"/>
          <w:szCs w:val="20"/>
          <w:lang w:val="es-ES"/>
        </w:rPr>
        <w:t xml:space="preserve">En consecuencia, en materia de infraestructura social debe tenerse en cuenta que existen dos (2) clases de documentos tipo que se integran en cada proceso: i) los documentos </w:t>
      </w:r>
      <w:r w:rsidRPr="0048570B">
        <w:rPr>
          <w:rFonts w:ascii="Arial" w:hAnsi="Arial" w:cs="Arial"/>
          <w:i/>
          <w:sz w:val="20"/>
          <w:szCs w:val="20"/>
          <w:lang w:val="es-ES"/>
        </w:rPr>
        <w:t>transversales</w:t>
      </w:r>
      <w:r w:rsidRPr="0048570B">
        <w:rPr>
          <w:rFonts w:ascii="Arial" w:hAnsi="Arial" w:cs="Arial"/>
          <w:sz w:val="20"/>
          <w:szCs w:val="20"/>
          <w:lang w:val="es-ES"/>
        </w:rPr>
        <w:t xml:space="preserve"> a todos los sectores de infraestructura social, es decir, el documento base, los anexos, los formatos, los formularios y las matrices adoptados mediante la Resolución No. 219 de 2021; y </w:t>
      </w:r>
      <w:proofErr w:type="spellStart"/>
      <w:r w:rsidRPr="0048570B">
        <w:rPr>
          <w:rFonts w:ascii="Arial" w:hAnsi="Arial" w:cs="Arial"/>
          <w:sz w:val="20"/>
          <w:szCs w:val="20"/>
          <w:lang w:val="es-ES"/>
        </w:rPr>
        <w:t>ii</w:t>
      </w:r>
      <w:proofErr w:type="spellEnd"/>
      <w:r w:rsidRPr="0048570B">
        <w:rPr>
          <w:rFonts w:ascii="Arial" w:hAnsi="Arial" w:cs="Arial"/>
          <w:sz w:val="20"/>
          <w:szCs w:val="20"/>
          <w:lang w:val="es-ES"/>
        </w:rPr>
        <w:t xml:space="preserve">) los documentos tipo </w:t>
      </w:r>
      <w:r w:rsidRPr="0048570B">
        <w:rPr>
          <w:rFonts w:ascii="Arial" w:hAnsi="Arial" w:cs="Arial"/>
          <w:i/>
          <w:sz w:val="20"/>
          <w:szCs w:val="20"/>
          <w:lang w:val="es-ES"/>
        </w:rPr>
        <w:t>complementarios</w:t>
      </w:r>
      <w:r w:rsidRPr="0048570B">
        <w:rPr>
          <w:rFonts w:ascii="Arial" w:hAnsi="Arial" w:cs="Arial"/>
          <w:iCs/>
          <w:sz w:val="20"/>
          <w:szCs w:val="20"/>
          <w:lang w:val="es-ES"/>
        </w:rPr>
        <w:t>,</w:t>
      </w:r>
      <w:r w:rsidRPr="0048570B">
        <w:rPr>
          <w:rFonts w:ascii="Arial" w:hAnsi="Arial" w:cs="Arial"/>
          <w:i/>
          <w:sz w:val="20"/>
          <w:szCs w:val="20"/>
          <w:lang w:val="es-ES"/>
        </w:rPr>
        <w:t xml:space="preserve"> </w:t>
      </w:r>
      <w:r w:rsidRPr="0048570B">
        <w:rPr>
          <w:rFonts w:ascii="Arial" w:hAnsi="Arial" w:cs="Arial"/>
          <w:sz w:val="20"/>
          <w:szCs w:val="20"/>
          <w:lang w:val="es-ES"/>
        </w:rPr>
        <w:t>referentes a la matriz de experiencia y el glosario, los cuales han sido adoptados en la resolución para cada sector específico.</w:t>
      </w:r>
      <w:r w:rsidRPr="0048570B">
        <w:rPr>
          <w:rFonts w:ascii="Arial" w:eastAsia="Calibri" w:hAnsi="Arial" w:cs="Arial"/>
          <w:sz w:val="20"/>
          <w:szCs w:val="20"/>
          <w:lang w:val="es-ES" w:eastAsia="es-ES"/>
        </w:rPr>
        <w:t xml:space="preserve"> En este orden de ideas, la Agencia ha expedido tres documentos tipo complementarios de infraestructura social: la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w:t>
      </w:r>
      <w:r w:rsidRPr="0048570B">
        <w:rPr>
          <w:rFonts w:ascii="Arial" w:eastAsia="Calibri" w:hAnsi="Arial" w:cs="Arial"/>
          <w:sz w:val="20"/>
          <w:szCs w:val="20"/>
          <w:lang w:val="es-ES" w:eastAsia="es-ES"/>
        </w:rPr>
        <w:lastRenderedPageBreak/>
        <w:t>cual se adoptan los documentos tipo complementarios para los procesos de licitación de obra pública de infraestructura social relacionados con el Sector cultura, recreación y deporte».</w:t>
      </w:r>
    </w:p>
    <w:p w14:paraId="7314AC68" w14:textId="77777777" w:rsidR="005F1A16" w:rsidRPr="0048570B" w:rsidRDefault="005F1A16" w:rsidP="005F1A16">
      <w:pPr>
        <w:spacing w:after="0" w:line="240" w:lineRule="auto"/>
        <w:contextualSpacing/>
        <w:jc w:val="both"/>
        <w:rPr>
          <w:rFonts w:ascii="Arial" w:eastAsia="Calibri" w:hAnsi="Arial" w:cs="Arial"/>
          <w:sz w:val="20"/>
          <w:szCs w:val="20"/>
          <w:lang w:val="es-ES" w:eastAsia="es-ES"/>
        </w:rPr>
      </w:pPr>
    </w:p>
    <w:p w14:paraId="7B270F6F" w14:textId="77777777" w:rsidR="005F1A16" w:rsidRPr="0048570B" w:rsidRDefault="005F1A16" w:rsidP="005F1A16">
      <w:pPr>
        <w:spacing w:after="0" w:line="240" w:lineRule="auto"/>
        <w:contextualSpacing/>
        <w:jc w:val="both"/>
        <w:rPr>
          <w:rFonts w:ascii="Arial" w:hAnsi="Arial" w:cs="Arial"/>
          <w:b/>
          <w:lang w:val="es-ES" w:eastAsia="es-ES_tradnl"/>
        </w:rPr>
      </w:pPr>
      <w:r w:rsidRPr="0048570B">
        <w:rPr>
          <w:rFonts w:ascii="Arial" w:hAnsi="Arial" w:cs="Arial"/>
          <w:b/>
          <w:lang w:val="es-ES" w:eastAsia="es-ES_tradnl"/>
        </w:rPr>
        <w:t>PLAZAS DE MERCADO</w:t>
      </w:r>
      <w:r w:rsidRPr="0048570B">
        <w:rPr>
          <w:rFonts w:ascii="Arial" w:eastAsia="Times New Roman" w:hAnsi="Arial" w:cs="Arial"/>
          <w:lang w:val="es-ES"/>
        </w:rPr>
        <w:t xml:space="preserve"> </w:t>
      </w:r>
      <w:r w:rsidRPr="0048570B">
        <w:rPr>
          <w:rFonts w:ascii="Arial" w:eastAsia="Calibri" w:hAnsi="Arial" w:cs="Arial"/>
          <w:b/>
          <w:bCs/>
          <w:lang w:eastAsia="es-MX"/>
        </w:rPr>
        <w:t>–</w:t>
      </w:r>
      <w:r w:rsidRPr="0048570B">
        <w:rPr>
          <w:rFonts w:ascii="Arial" w:hAnsi="Arial" w:cs="Arial"/>
          <w:b/>
          <w:lang w:val="es-ES" w:eastAsia="es-ES_tradnl"/>
        </w:rPr>
        <w:t xml:space="preserve"> Definición</w:t>
      </w:r>
    </w:p>
    <w:p w14:paraId="248806B1" w14:textId="77777777" w:rsidR="005F1A16" w:rsidRPr="0048570B" w:rsidRDefault="005F1A16" w:rsidP="005F1A16">
      <w:pPr>
        <w:spacing w:after="0" w:line="240" w:lineRule="auto"/>
        <w:ind w:firstLine="709"/>
        <w:contextualSpacing/>
        <w:jc w:val="both"/>
        <w:rPr>
          <w:rFonts w:ascii="Arial" w:hAnsi="Arial" w:cs="Arial"/>
          <w:sz w:val="20"/>
          <w:szCs w:val="20"/>
          <w:lang w:val="es-ES" w:eastAsia="en-GB"/>
        </w:rPr>
      </w:pPr>
    </w:p>
    <w:p w14:paraId="11758766" w14:textId="77777777" w:rsidR="005F1A16" w:rsidRPr="0048570B" w:rsidRDefault="005F1A16" w:rsidP="005F1A16">
      <w:pPr>
        <w:spacing w:after="0" w:line="240" w:lineRule="auto"/>
        <w:contextualSpacing/>
        <w:jc w:val="both"/>
        <w:rPr>
          <w:rFonts w:ascii="Arial" w:hAnsi="Arial" w:cs="Arial"/>
          <w:sz w:val="20"/>
          <w:szCs w:val="20"/>
        </w:rPr>
      </w:pPr>
      <w:r w:rsidRPr="0048570B">
        <w:rPr>
          <w:rFonts w:ascii="Arial" w:hAnsi="Arial" w:cs="Arial"/>
          <w:sz w:val="20"/>
          <w:szCs w:val="20"/>
          <w:lang w:val="es-ES"/>
        </w:rPr>
        <w:t xml:space="preserve">A efectos de resolver la consulta objeto del presente concepto, es pertinente señalar qué se entiende por </w:t>
      </w:r>
      <w:r w:rsidRPr="0048570B">
        <w:rPr>
          <w:rFonts w:ascii="Arial" w:eastAsia="Times New Roman" w:hAnsi="Arial" w:cs="Arial"/>
          <w:sz w:val="20"/>
          <w:szCs w:val="20"/>
          <w:lang w:val="es-ES"/>
        </w:rPr>
        <w:t>«</w:t>
      </w:r>
      <w:r w:rsidRPr="0048570B">
        <w:rPr>
          <w:rFonts w:ascii="Arial" w:hAnsi="Arial" w:cs="Arial"/>
          <w:sz w:val="20"/>
          <w:szCs w:val="20"/>
          <w:lang w:val="es-ES" w:eastAsia="es-ES_tradnl"/>
        </w:rPr>
        <w:t>Plazas de Mercado</w:t>
      </w:r>
      <w:r w:rsidRPr="0048570B">
        <w:rPr>
          <w:rFonts w:ascii="Arial" w:eastAsia="Times New Roman" w:hAnsi="Arial" w:cs="Arial"/>
          <w:sz w:val="20"/>
          <w:szCs w:val="20"/>
          <w:lang w:val="es-ES"/>
        </w:rPr>
        <w:t>»</w:t>
      </w:r>
      <w:r w:rsidRPr="0048570B">
        <w:rPr>
          <w:rFonts w:ascii="Arial" w:hAnsi="Arial" w:cs="Arial"/>
          <w:sz w:val="20"/>
          <w:szCs w:val="20"/>
          <w:lang w:val="es-ES"/>
        </w:rPr>
        <w:t xml:space="preserve">. Si bien no hay un concepto unificado, las plazas de mercado se pueden definir como aquel espacio en el que tiene lugar el mercado de verduras, frutas, quesos, carnes, panes, etc., ya sea en un sitio abierto o cubierto, a través de las cuales el Estado ejerce la función de garantizar el suministro de los productos básicos de consumo doméstico a la comunidad. También es posible entenderlas como </w:t>
      </w:r>
      <w:r w:rsidRPr="0048570B">
        <w:rPr>
          <w:rFonts w:ascii="Arial" w:hAnsi="Arial" w:cs="Arial"/>
          <w:sz w:val="20"/>
          <w:szCs w:val="20"/>
        </w:rPr>
        <w:t xml:space="preserve">actividades, de carácter permanente o itinerante, que reúnen a comerciantes en espacios públicos construidos para comercializar bienes y servicios primordialmente de abastecimiento alimentario.  </w:t>
      </w:r>
    </w:p>
    <w:p w14:paraId="64D81863" w14:textId="77777777" w:rsidR="005F1A16" w:rsidRPr="0048570B" w:rsidRDefault="005F1A16" w:rsidP="005F1A16">
      <w:pPr>
        <w:spacing w:after="0" w:line="240" w:lineRule="auto"/>
        <w:contextualSpacing/>
        <w:jc w:val="both"/>
        <w:rPr>
          <w:rFonts w:ascii="Arial" w:eastAsia="Calibri" w:hAnsi="Arial" w:cs="Arial"/>
          <w:sz w:val="20"/>
          <w:szCs w:val="20"/>
          <w:lang w:val="es-ES" w:eastAsia="es-ES"/>
        </w:rPr>
      </w:pPr>
    </w:p>
    <w:p w14:paraId="512C80FB" w14:textId="77777777" w:rsidR="005F1A16" w:rsidRPr="0048570B" w:rsidRDefault="005F1A16" w:rsidP="005F1A16">
      <w:pPr>
        <w:spacing w:after="0" w:line="240" w:lineRule="auto"/>
        <w:contextualSpacing/>
        <w:jc w:val="both"/>
        <w:rPr>
          <w:rFonts w:ascii="Arial" w:eastAsia="Calibri" w:hAnsi="Arial" w:cs="Arial"/>
          <w:b/>
          <w:bCs/>
          <w:lang w:eastAsia="es-MX"/>
        </w:rPr>
      </w:pPr>
      <w:r w:rsidRPr="0048570B">
        <w:rPr>
          <w:rFonts w:ascii="Arial" w:eastAsia="Calibri" w:hAnsi="Arial" w:cs="Arial"/>
          <w:b/>
          <w:bCs/>
          <w:lang w:eastAsia="es-MX"/>
        </w:rPr>
        <w:t>DOCUMENTO TIPO DE INFRAESTRUCTURA SOCIAL – Aplicación – Construcción y remodelación de plazas de mercado</w:t>
      </w:r>
    </w:p>
    <w:p w14:paraId="335CF00E" w14:textId="77777777" w:rsidR="005F1A16" w:rsidRPr="0048570B" w:rsidRDefault="005F1A16" w:rsidP="005F1A16">
      <w:pPr>
        <w:spacing w:after="0" w:line="240" w:lineRule="auto"/>
        <w:contextualSpacing/>
        <w:jc w:val="both"/>
        <w:rPr>
          <w:rFonts w:ascii="Arial" w:eastAsia="Calibri" w:hAnsi="Arial" w:cs="Arial"/>
          <w:b/>
          <w:bCs/>
          <w:sz w:val="20"/>
          <w:szCs w:val="20"/>
          <w:lang w:eastAsia="es-MX"/>
        </w:rPr>
      </w:pPr>
    </w:p>
    <w:p w14:paraId="0F721EE2" w14:textId="77777777" w:rsidR="005F1A16" w:rsidRPr="0048570B" w:rsidRDefault="005F1A16" w:rsidP="005F1A16">
      <w:pPr>
        <w:spacing w:after="0" w:line="240" w:lineRule="auto"/>
        <w:contextualSpacing/>
        <w:jc w:val="both"/>
        <w:rPr>
          <w:rFonts w:ascii="Arial" w:eastAsia="Times New Roman" w:hAnsi="Arial" w:cs="Arial"/>
          <w:sz w:val="20"/>
          <w:szCs w:val="20"/>
          <w:lang w:val="es-ES_tradnl" w:eastAsia="es-ES"/>
        </w:rPr>
      </w:pPr>
      <w:r w:rsidRPr="0048570B">
        <w:rPr>
          <w:rFonts w:ascii="Arial" w:eastAsia="Calibri" w:hAnsi="Arial" w:cs="Arial"/>
          <w:sz w:val="20"/>
          <w:szCs w:val="20"/>
          <w:lang w:val="es-ES" w:eastAsia="es-ES"/>
        </w:rPr>
        <w:t xml:space="preserve">[…] </w:t>
      </w:r>
      <w:r w:rsidRPr="0048570B">
        <w:rPr>
          <w:rFonts w:ascii="Arial" w:hAnsi="Arial" w:cs="Arial"/>
          <w:sz w:val="20"/>
          <w:szCs w:val="20"/>
        </w:rPr>
        <w:t xml:space="preserve">Teniendo en cuenta el concepto de </w:t>
      </w:r>
      <w:r w:rsidRPr="0048570B">
        <w:rPr>
          <w:rFonts w:ascii="Arial" w:eastAsia="Times New Roman" w:hAnsi="Arial" w:cs="Arial"/>
          <w:sz w:val="20"/>
          <w:szCs w:val="20"/>
          <w:lang w:val="es-ES"/>
        </w:rPr>
        <w:t>«</w:t>
      </w:r>
      <w:r w:rsidRPr="0048570B">
        <w:rPr>
          <w:rFonts w:ascii="Arial" w:hAnsi="Arial" w:cs="Arial"/>
          <w:sz w:val="20"/>
          <w:szCs w:val="20"/>
          <w:lang w:val="es-ES" w:eastAsia="es-ES_tradnl"/>
        </w:rPr>
        <w:t>Plazas de Mercado</w:t>
      </w:r>
      <w:r w:rsidRPr="0048570B">
        <w:rPr>
          <w:rFonts w:ascii="Arial" w:eastAsia="Times New Roman" w:hAnsi="Arial" w:cs="Arial"/>
          <w:sz w:val="20"/>
          <w:szCs w:val="20"/>
          <w:lang w:val="es-ES"/>
        </w:rPr>
        <w:t>»</w:t>
      </w:r>
      <w:r w:rsidRPr="0048570B">
        <w:rPr>
          <w:rFonts w:ascii="Arial" w:hAnsi="Arial" w:cs="Arial"/>
          <w:sz w:val="20"/>
          <w:szCs w:val="20"/>
          <w:lang w:val="es-ES"/>
        </w:rPr>
        <w:t xml:space="preserve"> antes descrito</w:t>
      </w:r>
      <w:r w:rsidRPr="0048570B">
        <w:rPr>
          <w:rFonts w:ascii="Arial" w:hAnsi="Arial" w:cs="Arial"/>
          <w:sz w:val="20"/>
          <w:szCs w:val="20"/>
        </w:rPr>
        <w:t xml:space="preserve"> y el ámbito de aplicación de los documentos tipo trasversales de obra pública de infraestructura social y sus documentos tipo complementarios relacionados con los sectores de educación, salud, recreación y deporte, </w:t>
      </w:r>
      <w:r w:rsidRPr="0048570B">
        <w:rPr>
          <w:rFonts w:ascii="Arial" w:eastAsia="Times New Roman" w:hAnsi="Arial" w:cs="Arial"/>
          <w:sz w:val="20"/>
          <w:szCs w:val="20"/>
          <w:lang w:val="es-ES_tradnl" w:eastAsia="es-ES"/>
        </w:rPr>
        <w:t xml:space="preserve">es posible concluir que las </w:t>
      </w:r>
      <w:r w:rsidRPr="0048570B">
        <w:rPr>
          <w:rFonts w:ascii="Arial" w:eastAsia="Times New Roman" w:hAnsi="Arial" w:cs="Arial"/>
          <w:sz w:val="20"/>
          <w:szCs w:val="20"/>
          <w:lang w:val="es-ES"/>
        </w:rPr>
        <w:t>«</w:t>
      </w:r>
      <w:r w:rsidRPr="0048570B">
        <w:rPr>
          <w:rFonts w:ascii="Arial" w:hAnsi="Arial" w:cs="Arial"/>
          <w:sz w:val="20"/>
          <w:szCs w:val="20"/>
          <w:lang w:val="es-ES" w:eastAsia="es-ES_tradnl"/>
        </w:rPr>
        <w:t>Plazas de Mercado</w:t>
      </w:r>
      <w:r w:rsidRPr="0048570B">
        <w:rPr>
          <w:rFonts w:ascii="Arial" w:eastAsia="Times New Roman" w:hAnsi="Arial" w:cs="Arial"/>
          <w:sz w:val="20"/>
          <w:szCs w:val="20"/>
          <w:lang w:val="es-ES"/>
        </w:rPr>
        <w:t>»</w:t>
      </w:r>
      <w:r w:rsidRPr="0048570B">
        <w:rPr>
          <w:rFonts w:ascii="Arial" w:hAnsi="Arial" w:cs="Arial"/>
          <w:sz w:val="20"/>
          <w:szCs w:val="20"/>
          <w:lang w:val="es-ES"/>
        </w:rPr>
        <w:t xml:space="preserve"> </w:t>
      </w:r>
      <w:r w:rsidRPr="0048570B">
        <w:rPr>
          <w:rFonts w:ascii="Arial" w:eastAsia="Times New Roman" w:hAnsi="Arial" w:cs="Arial"/>
          <w:sz w:val="20"/>
          <w:szCs w:val="20"/>
          <w:lang w:val="es-ES_tradnl" w:eastAsia="es-ES"/>
        </w:rPr>
        <w:t xml:space="preserve">no se encuentran incluidas en ninguno de los tres sectores de infraestructura social que cobija el documento tipo transversal ni los documentos tipo complementarios expedidos para cada sector y, por tanto, la construcción o remodelación de una </w:t>
      </w:r>
      <w:r w:rsidRPr="0048570B">
        <w:rPr>
          <w:rFonts w:ascii="Arial" w:eastAsia="Times New Roman" w:hAnsi="Arial" w:cs="Arial"/>
          <w:sz w:val="20"/>
          <w:szCs w:val="20"/>
          <w:lang w:val="es-ES"/>
        </w:rPr>
        <w:t>«</w:t>
      </w:r>
      <w:r w:rsidRPr="0048570B">
        <w:rPr>
          <w:rFonts w:ascii="Arial" w:hAnsi="Arial" w:cs="Arial"/>
          <w:sz w:val="20"/>
          <w:szCs w:val="20"/>
          <w:lang w:val="es-ES" w:eastAsia="es-ES_tradnl"/>
        </w:rPr>
        <w:t>Plazas de Mercado</w:t>
      </w:r>
      <w:r w:rsidRPr="0048570B">
        <w:rPr>
          <w:rFonts w:ascii="Arial" w:eastAsia="Times New Roman" w:hAnsi="Arial" w:cs="Arial"/>
          <w:sz w:val="20"/>
          <w:szCs w:val="20"/>
          <w:lang w:val="es-ES"/>
        </w:rPr>
        <w:t>»</w:t>
      </w:r>
      <w:r w:rsidRPr="0048570B">
        <w:rPr>
          <w:rFonts w:ascii="Arial" w:hAnsi="Arial" w:cs="Arial"/>
          <w:sz w:val="20"/>
          <w:szCs w:val="20"/>
          <w:lang w:val="es-ES"/>
        </w:rPr>
        <w:t xml:space="preserve"> </w:t>
      </w:r>
      <w:r w:rsidRPr="0048570B">
        <w:rPr>
          <w:rFonts w:ascii="Arial" w:eastAsia="Times New Roman" w:hAnsi="Arial" w:cs="Arial"/>
          <w:sz w:val="20"/>
          <w:szCs w:val="20"/>
          <w:lang w:val="es-ES_tradnl" w:eastAsia="es-ES"/>
        </w:rPr>
        <w:t>no se encuentra cobijada por estos documentos tipo.</w:t>
      </w:r>
    </w:p>
    <w:p w14:paraId="281776C1" w14:textId="77777777" w:rsidR="005F1A16" w:rsidRPr="0059453C" w:rsidRDefault="005F1A16" w:rsidP="005F1A16">
      <w:pPr>
        <w:rPr>
          <w:color w:val="FF0000"/>
        </w:rPr>
      </w:pPr>
    </w:p>
    <w:p w14:paraId="38C06408" w14:textId="77777777" w:rsidR="003C1782" w:rsidRPr="00B808E1" w:rsidRDefault="003C1782" w:rsidP="003C1782">
      <w:pPr>
        <w:spacing w:after="0" w:line="240" w:lineRule="auto"/>
        <w:contextualSpacing/>
        <w:jc w:val="both"/>
        <w:rPr>
          <w:rFonts w:ascii="Arial" w:eastAsia="Calibri" w:hAnsi="Arial" w:cs="Arial"/>
          <w:b/>
          <w:lang w:val="es-MX" w:eastAsia="es-MX"/>
        </w:rPr>
      </w:pPr>
    </w:p>
    <w:p w14:paraId="559C6E98" w14:textId="77777777" w:rsidR="003949B2" w:rsidRPr="00B808E1" w:rsidRDefault="003949B2" w:rsidP="003949B2">
      <w:pPr>
        <w:spacing w:after="0" w:line="240" w:lineRule="auto"/>
        <w:jc w:val="both"/>
        <w:rPr>
          <w:rFonts w:ascii="Arial" w:eastAsia="Calibri" w:hAnsi="Arial" w:cs="Arial"/>
          <w:b/>
          <w:sz w:val="24"/>
          <w:szCs w:val="24"/>
          <w:lang w:val="es-MX" w:eastAsia="es-MX"/>
        </w:rPr>
      </w:pPr>
    </w:p>
    <w:p w14:paraId="6D4BAF08" w14:textId="77777777" w:rsidR="003949B2" w:rsidRPr="00B808E1" w:rsidRDefault="003949B2" w:rsidP="003949B2">
      <w:pPr>
        <w:spacing w:after="0" w:line="240" w:lineRule="auto"/>
        <w:rPr>
          <w:rFonts w:ascii="Arial" w:eastAsia="Calibri" w:hAnsi="Arial" w:cs="Arial"/>
          <w:b/>
          <w:bCs/>
          <w:szCs w:val="24"/>
          <w:lang w:eastAsia="es-MX"/>
        </w:rPr>
      </w:pPr>
    </w:p>
    <w:p w14:paraId="0B86C2BE" w14:textId="77777777" w:rsidR="003949B2" w:rsidRPr="00B808E1" w:rsidRDefault="003949B2" w:rsidP="003949B2">
      <w:pPr>
        <w:spacing w:after="0" w:line="240" w:lineRule="auto"/>
        <w:rPr>
          <w:rFonts w:ascii="Arial" w:eastAsia="Calibri" w:hAnsi="Arial" w:cs="Arial"/>
          <w:b/>
          <w:bCs/>
          <w:szCs w:val="24"/>
          <w:lang w:eastAsia="es-MX"/>
        </w:rPr>
      </w:pPr>
    </w:p>
    <w:p w14:paraId="4BE997D0" w14:textId="77777777" w:rsidR="003949B2" w:rsidRPr="00B808E1" w:rsidRDefault="003949B2" w:rsidP="003949B2">
      <w:pPr>
        <w:spacing w:after="0" w:line="240" w:lineRule="auto"/>
        <w:rPr>
          <w:rFonts w:ascii="Arial" w:eastAsia="Calibri" w:hAnsi="Arial" w:cs="Arial"/>
          <w:b/>
          <w:bCs/>
          <w:szCs w:val="24"/>
          <w:lang w:eastAsia="es-MX"/>
        </w:rPr>
      </w:pPr>
    </w:p>
    <w:p w14:paraId="5B71E785" w14:textId="77777777" w:rsidR="003949B2" w:rsidRPr="00B808E1" w:rsidRDefault="003949B2" w:rsidP="003949B2">
      <w:pPr>
        <w:spacing w:after="0" w:line="240" w:lineRule="auto"/>
        <w:rPr>
          <w:rFonts w:ascii="Arial" w:eastAsia="Calibri" w:hAnsi="Arial" w:cs="Arial"/>
          <w:b/>
          <w:bCs/>
          <w:szCs w:val="24"/>
          <w:lang w:eastAsia="es-MX"/>
        </w:rPr>
      </w:pPr>
    </w:p>
    <w:p w14:paraId="3BCBB4CE" w14:textId="77777777" w:rsidR="003949B2" w:rsidRPr="00B808E1" w:rsidRDefault="003949B2" w:rsidP="003949B2">
      <w:pPr>
        <w:spacing w:after="0" w:line="240" w:lineRule="auto"/>
        <w:rPr>
          <w:rFonts w:ascii="Arial" w:eastAsia="Calibri" w:hAnsi="Arial" w:cs="Arial"/>
          <w:b/>
          <w:bCs/>
          <w:szCs w:val="24"/>
          <w:lang w:eastAsia="es-MX"/>
        </w:rPr>
      </w:pPr>
    </w:p>
    <w:p w14:paraId="10E4145C" w14:textId="77777777" w:rsidR="003949B2" w:rsidRPr="00B808E1" w:rsidRDefault="003949B2" w:rsidP="003949B2">
      <w:pPr>
        <w:spacing w:after="0" w:line="240" w:lineRule="auto"/>
        <w:rPr>
          <w:rFonts w:ascii="Arial" w:eastAsia="Calibri" w:hAnsi="Arial" w:cs="Arial"/>
          <w:b/>
          <w:bCs/>
          <w:szCs w:val="24"/>
          <w:lang w:eastAsia="es-MX"/>
        </w:rPr>
      </w:pPr>
    </w:p>
    <w:p w14:paraId="18EDD8E1" w14:textId="77777777" w:rsidR="003949B2" w:rsidRPr="00B808E1" w:rsidRDefault="003949B2" w:rsidP="003949B2">
      <w:pPr>
        <w:spacing w:after="0" w:line="240" w:lineRule="auto"/>
        <w:rPr>
          <w:rFonts w:ascii="Arial" w:eastAsia="Calibri" w:hAnsi="Arial" w:cs="Arial"/>
          <w:b/>
          <w:bCs/>
          <w:szCs w:val="24"/>
          <w:lang w:eastAsia="es-MX"/>
        </w:rPr>
      </w:pPr>
    </w:p>
    <w:p w14:paraId="77A5DFD7" w14:textId="77777777" w:rsidR="003949B2" w:rsidRPr="00B808E1" w:rsidRDefault="003949B2" w:rsidP="003949B2">
      <w:pPr>
        <w:spacing w:after="0" w:line="240" w:lineRule="auto"/>
        <w:rPr>
          <w:rFonts w:ascii="Arial" w:eastAsia="Calibri" w:hAnsi="Arial" w:cs="Arial"/>
          <w:b/>
          <w:bCs/>
          <w:szCs w:val="24"/>
          <w:lang w:eastAsia="es-MX"/>
        </w:rPr>
      </w:pPr>
    </w:p>
    <w:p w14:paraId="31892C79" w14:textId="77777777" w:rsidR="003949B2" w:rsidRPr="00B808E1" w:rsidRDefault="003949B2" w:rsidP="003949B2">
      <w:pPr>
        <w:spacing w:after="0" w:line="240" w:lineRule="auto"/>
        <w:rPr>
          <w:rFonts w:ascii="Arial" w:eastAsia="Calibri" w:hAnsi="Arial" w:cs="Arial"/>
          <w:b/>
          <w:bCs/>
          <w:szCs w:val="24"/>
          <w:lang w:eastAsia="es-MX"/>
        </w:rPr>
      </w:pPr>
    </w:p>
    <w:p w14:paraId="767BF10D" w14:textId="77777777" w:rsidR="003949B2" w:rsidRPr="00B808E1" w:rsidRDefault="003949B2" w:rsidP="003949B2">
      <w:pPr>
        <w:spacing w:after="0" w:line="240" w:lineRule="auto"/>
        <w:rPr>
          <w:rFonts w:ascii="Arial" w:eastAsia="Calibri" w:hAnsi="Arial" w:cs="Arial"/>
          <w:b/>
          <w:bCs/>
          <w:szCs w:val="24"/>
          <w:lang w:eastAsia="es-MX"/>
        </w:rPr>
      </w:pPr>
    </w:p>
    <w:p w14:paraId="0BDB6A6D" w14:textId="532A4FB7" w:rsidR="003949B2" w:rsidRPr="00B808E1" w:rsidRDefault="003949B2" w:rsidP="003949B2">
      <w:pPr>
        <w:spacing w:after="0" w:line="240" w:lineRule="auto"/>
        <w:rPr>
          <w:rFonts w:ascii="Arial" w:eastAsia="Calibri" w:hAnsi="Arial" w:cs="Arial"/>
          <w:lang w:val="es-ES" w:eastAsia="es-MX"/>
        </w:rPr>
      </w:pPr>
    </w:p>
    <w:p w14:paraId="1940EE9C" w14:textId="6B0E82F4" w:rsidR="00137674" w:rsidRPr="00B808E1" w:rsidRDefault="00137674" w:rsidP="003949B2">
      <w:pPr>
        <w:spacing w:after="0" w:line="240" w:lineRule="auto"/>
        <w:rPr>
          <w:rFonts w:ascii="Arial" w:eastAsia="Calibri" w:hAnsi="Arial" w:cs="Arial"/>
          <w:lang w:val="es-ES" w:eastAsia="es-MX"/>
        </w:rPr>
      </w:pPr>
    </w:p>
    <w:p w14:paraId="26C2B1E5" w14:textId="162F5D5C" w:rsidR="00137674" w:rsidRPr="00B808E1" w:rsidRDefault="00137674" w:rsidP="003949B2">
      <w:pPr>
        <w:spacing w:after="0" w:line="240" w:lineRule="auto"/>
        <w:rPr>
          <w:rFonts w:ascii="Arial" w:eastAsia="Calibri" w:hAnsi="Arial" w:cs="Arial"/>
          <w:lang w:val="es-ES" w:eastAsia="es-MX"/>
        </w:rPr>
      </w:pPr>
    </w:p>
    <w:p w14:paraId="321D4A9F" w14:textId="28C47215" w:rsidR="00137674" w:rsidRPr="00B808E1" w:rsidRDefault="00137674" w:rsidP="003949B2">
      <w:pPr>
        <w:spacing w:after="0" w:line="240" w:lineRule="auto"/>
        <w:rPr>
          <w:rFonts w:ascii="Arial" w:eastAsia="Calibri" w:hAnsi="Arial" w:cs="Arial"/>
          <w:lang w:val="es-ES" w:eastAsia="es-MX"/>
        </w:rPr>
      </w:pPr>
    </w:p>
    <w:p w14:paraId="13594B93" w14:textId="63B505DD" w:rsidR="00137674" w:rsidRPr="00B808E1" w:rsidRDefault="00137674" w:rsidP="003949B2">
      <w:pPr>
        <w:spacing w:after="0" w:line="240" w:lineRule="auto"/>
        <w:rPr>
          <w:rFonts w:ascii="Arial" w:eastAsia="Calibri" w:hAnsi="Arial" w:cs="Arial"/>
          <w:lang w:val="es-ES" w:eastAsia="es-MX"/>
        </w:rPr>
      </w:pPr>
    </w:p>
    <w:p w14:paraId="32AEE9B8" w14:textId="7B490A09" w:rsidR="00137674" w:rsidRPr="00B808E1" w:rsidRDefault="00137674" w:rsidP="003949B2">
      <w:pPr>
        <w:spacing w:after="0" w:line="240" w:lineRule="auto"/>
        <w:rPr>
          <w:rFonts w:ascii="Arial" w:eastAsia="Calibri" w:hAnsi="Arial" w:cs="Arial"/>
          <w:lang w:val="es-ES" w:eastAsia="es-MX"/>
        </w:rPr>
      </w:pPr>
    </w:p>
    <w:p w14:paraId="3C130570" w14:textId="40C4716E" w:rsidR="00137674" w:rsidRPr="00B808E1" w:rsidRDefault="00137674" w:rsidP="003949B2">
      <w:pPr>
        <w:spacing w:after="0" w:line="240" w:lineRule="auto"/>
        <w:rPr>
          <w:rFonts w:ascii="Arial" w:eastAsia="Calibri" w:hAnsi="Arial" w:cs="Arial"/>
          <w:lang w:val="es-ES" w:eastAsia="es-MX"/>
        </w:rPr>
      </w:pPr>
    </w:p>
    <w:p w14:paraId="4B405756" w14:textId="7E6357EE" w:rsidR="00137674" w:rsidRPr="00B808E1" w:rsidRDefault="00137674" w:rsidP="003949B2">
      <w:pPr>
        <w:spacing w:after="0" w:line="240" w:lineRule="auto"/>
        <w:rPr>
          <w:rFonts w:ascii="Arial" w:eastAsia="Calibri" w:hAnsi="Arial" w:cs="Arial"/>
          <w:lang w:val="es-ES" w:eastAsia="es-MX"/>
        </w:rPr>
      </w:pPr>
    </w:p>
    <w:p w14:paraId="44312F8F" w14:textId="2DFA6295" w:rsidR="00137674" w:rsidRPr="00B808E1" w:rsidRDefault="00137674" w:rsidP="003949B2">
      <w:pPr>
        <w:spacing w:after="0" w:line="240" w:lineRule="auto"/>
        <w:rPr>
          <w:rFonts w:ascii="Arial" w:eastAsia="Calibri" w:hAnsi="Arial" w:cs="Arial"/>
          <w:lang w:val="es-ES" w:eastAsia="es-MX"/>
        </w:rPr>
      </w:pPr>
    </w:p>
    <w:p w14:paraId="79A4BB9A" w14:textId="3FBDFC1B" w:rsidR="00137674" w:rsidRPr="00B808E1" w:rsidRDefault="00137674" w:rsidP="003949B2">
      <w:pPr>
        <w:spacing w:after="0" w:line="240" w:lineRule="auto"/>
        <w:rPr>
          <w:rFonts w:ascii="Arial" w:eastAsia="Calibri" w:hAnsi="Arial" w:cs="Arial"/>
          <w:lang w:val="es-ES" w:eastAsia="es-MX"/>
        </w:rPr>
      </w:pPr>
    </w:p>
    <w:p w14:paraId="6B360A39" w14:textId="79088AD2" w:rsidR="003949B2" w:rsidRPr="00B808E1" w:rsidRDefault="003949B2" w:rsidP="003949B2">
      <w:pPr>
        <w:spacing w:after="0" w:line="240" w:lineRule="auto"/>
        <w:contextualSpacing/>
        <w:jc w:val="right"/>
        <w:rPr>
          <w:rFonts w:ascii="Arial" w:eastAsia="Times New Roman" w:hAnsi="Arial" w:cs="Arial"/>
          <w:b/>
          <w:sz w:val="16"/>
          <w:szCs w:val="16"/>
          <w:lang w:val="es-ES" w:eastAsia="es-ES"/>
        </w:rPr>
      </w:pPr>
      <w:r w:rsidRPr="00B808E1">
        <w:rPr>
          <w:rFonts w:ascii="Arial" w:eastAsia="Times New Roman" w:hAnsi="Arial" w:cs="Arial"/>
          <w:b/>
          <w:sz w:val="16"/>
          <w:szCs w:val="16"/>
          <w:lang w:val="es-ES" w:eastAsia="es-ES"/>
        </w:rPr>
        <w:lastRenderedPageBreak/>
        <w:t>CCE-DES-FM-17</w:t>
      </w:r>
    </w:p>
    <w:p w14:paraId="7519900D" w14:textId="3BBA9A5F" w:rsidR="005F1A16" w:rsidRDefault="001B0685" w:rsidP="001B0685">
      <w:pPr>
        <w:spacing w:after="0" w:line="240" w:lineRule="auto"/>
        <w:contextualSpacing/>
        <w:jc w:val="right"/>
        <w:rPr>
          <w:rFonts w:ascii="Times New Roman" w:eastAsia="Times New Roman" w:hAnsi="Times New Roman" w:cs="Times New Roman"/>
          <w:noProof/>
          <w:sz w:val="24"/>
          <w:szCs w:val="24"/>
          <w:lang w:eastAsia="es-MX"/>
        </w:rPr>
      </w:pPr>
      <w:r w:rsidRPr="008C065A">
        <w:rPr>
          <w:rFonts w:ascii="Arial" w:eastAsia="Calibri" w:hAnsi="Arial" w:cs="Arial"/>
          <w:b/>
          <w:bCs/>
          <w:noProof/>
        </w:rPr>
        <w:drawing>
          <wp:inline distT="0" distB="0" distL="0" distR="0" wp14:anchorId="00C10236" wp14:editId="220B7BF7">
            <wp:extent cx="318351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828" cy="671423"/>
                    </a:xfrm>
                    <a:prstGeom prst="rect">
                      <a:avLst/>
                    </a:prstGeom>
                  </pic:spPr>
                </pic:pic>
              </a:graphicData>
            </a:graphic>
          </wp:inline>
        </w:drawing>
      </w:r>
    </w:p>
    <w:p w14:paraId="3C47E29F" w14:textId="2378B9AA" w:rsidR="003949B2" w:rsidRPr="00B808E1" w:rsidRDefault="009B5C7D" w:rsidP="009B5C7D">
      <w:pPr>
        <w:spacing w:after="0" w:line="240" w:lineRule="auto"/>
        <w:contextualSpacing/>
        <w:jc w:val="right"/>
        <w:rPr>
          <w:rFonts w:ascii="Arial" w:eastAsia="Calibri" w:hAnsi="Arial" w:cs="Arial"/>
          <w:lang w:val="es-ES" w:eastAsia="es-MX"/>
        </w:rPr>
      </w:pPr>
      <w:r w:rsidRPr="009B5C7D">
        <w:rPr>
          <w:rFonts w:ascii="Arial" w:eastAsia="Calibri" w:hAnsi="Arial" w:cs="Arial"/>
          <w:noProof/>
          <w:lang w:val="es-ES" w:eastAsia="es-MX"/>
        </w:rPr>
        <w:drawing>
          <wp:inline distT="0" distB="0" distL="0" distR="0" wp14:anchorId="697768AD" wp14:editId="43276A24">
            <wp:extent cx="3192780" cy="8601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4370" cy="865966"/>
                    </a:xfrm>
                    <a:prstGeom prst="rect">
                      <a:avLst/>
                    </a:prstGeom>
                  </pic:spPr>
                </pic:pic>
              </a:graphicData>
            </a:graphic>
          </wp:inline>
        </w:drawing>
      </w:r>
    </w:p>
    <w:p w14:paraId="168914F7" w14:textId="77777777" w:rsidR="003949B2" w:rsidRPr="00B808E1" w:rsidRDefault="003949B2" w:rsidP="003949B2">
      <w:pPr>
        <w:spacing w:after="0" w:line="240" w:lineRule="auto"/>
        <w:contextualSpacing/>
        <w:rPr>
          <w:rFonts w:ascii="Arial" w:eastAsia="Calibri" w:hAnsi="Arial" w:cs="Arial"/>
          <w:lang w:val="es-ES" w:eastAsia="es-MX"/>
        </w:rPr>
      </w:pPr>
    </w:p>
    <w:p w14:paraId="2B321B26" w14:textId="7D39DB47" w:rsidR="006C337E" w:rsidRDefault="006C337E" w:rsidP="003949B2">
      <w:pPr>
        <w:spacing w:after="0" w:line="240" w:lineRule="auto"/>
        <w:contextualSpacing/>
        <w:rPr>
          <w:rFonts w:ascii="Arial" w:eastAsia="Calibri" w:hAnsi="Arial" w:cs="Arial"/>
          <w:lang w:val="es-ES" w:eastAsia="es-MX"/>
        </w:rPr>
      </w:pPr>
      <w:r>
        <w:rPr>
          <w:rFonts w:ascii="Arial" w:eastAsia="Calibri" w:hAnsi="Arial" w:cs="Arial"/>
          <w:lang w:val="es-ES" w:eastAsia="es-MX"/>
        </w:rPr>
        <w:t>Bogotá, 25 Mayo 2022</w:t>
      </w:r>
    </w:p>
    <w:p w14:paraId="3F26397A" w14:textId="77777777" w:rsidR="006C337E" w:rsidRDefault="006C337E" w:rsidP="003949B2">
      <w:pPr>
        <w:spacing w:after="0" w:line="240" w:lineRule="auto"/>
        <w:contextualSpacing/>
        <w:rPr>
          <w:rFonts w:ascii="Arial" w:eastAsia="Calibri" w:hAnsi="Arial" w:cs="Arial"/>
          <w:lang w:val="es-ES" w:eastAsia="es-MX"/>
        </w:rPr>
      </w:pPr>
    </w:p>
    <w:p w14:paraId="23F60087" w14:textId="3C485D0B" w:rsidR="003949B2" w:rsidRPr="00B808E1" w:rsidRDefault="003949B2" w:rsidP="003949B2">
      <w:pPr>
        <w:spacing w:after="0" w:line="240" w:lineRule="auto"/>
        <w:contextualSpacing/>
        <w:rPr>
          <w:rFonts w:ascii="Arial" w:eastAsia="Calibri" w:hAnsi="Arial" w:cs="Arial"/>
          <w:lang w:val="es-ES" w:eastAsia="es-MX"/>
        </w:rPr>
      </w:pPr>
      <w:r w:rsidRPr="00B808E1">
        <w:rPr>
          <w:rFonts w:ascii="Arial" w:eastAsia="Calibri" w:hAnsi="Arial" w:cs="Arial"/>
          <w:lang w:val="es-ES" w:eastAsia="es-MX"/>
        </w:rPr>
        <w:t>Señor</w:t>
      </w:r>
    </w:p>
    <w:p w14:paraId="1558F97E" w14:textId="0CDF18FE" w:rsidR="003949B2" w:rsidRPr="00B808E1" w:rsidRDefault="003949B2" w:rsidP="003949B2">
      <w:pPr>
        <w:spacing w:after="0" w:line="240" w:lineRule="auto"/>
        <w:contextualSpacing/>
        <w:rPr>
          <w:rFonts w:ascii="Arial" w:hAnsi="Arial" w:cs="Arial"/>
          <w:b/>
          <w:bCs/>
        </w:rPr>
      </w:pPr>
      <w:r w:rsidRPr="00B808E1">
        <w:rPr>
          <w:rFonts w:ascii="Arial" w:hAnsi="Arial" w:cs="Arial"/>
          <w:b/>
          <w:bCs/>
        </w:rPr>
        <w:t>Gustavo Adolfo Patarroyo Cubides</w:t>
      </w:r>
    </w:p>
    <w:p w14:paraId="377F48BA" w14:textId="0797BF03" w:rsidR="003949B2" w:rsidRPr="00B808E1" w:rsidRDefault="003949B2" w:rsidP="003949B2">
      <w:pPr>
        <w:spacing w:after="0" w:line="240" w:lineRule="auto"/>
        <w:contextualSpacing/>
        <w:rPr>
          <w:rFonts w:ascii="Arial" w:eastAsia="Calibri" w:hAnsi="Arial" w:cs="Arial"/>
          <w:lang w:val="es-ES" w:eastAsia="es-MX"/>
        </w:rPr>
      </w:pPr>
      <w:r w:rsidRPr="00B808E1">
        <w:rPr>
          <w:rFonts w:ascii="Arial" w:eastAsia="Calibri" w:hAnsi="Arial" w:cs="Arial"/>
          <w:lang w:val="es-ES" w:eastAsia="es-MX"/>
        </w:rPr>
        <w:t xml:space="preserve">Ibagué, Tolima </w:t>
      </w:r>
    </w:p>
    <w:p w14:paraId="2915CA09" w14:textId="77777777" w:rsidR="003949B2" w:rsidRPr="00B808E1" w:rsidRDefault="003949B2" w:rsidP="003949B2">
      <w:pPr>
        <w:spacing w:after="0" w:line="240" w:lineRule="auto"/>
        <w:contextualSpacing/>
        <w:rPr>
          <w:rFonts w:ascii="Arial" w:eastAsia="Calibri" w:hAnsi="Arial" w:cs="Arial"/>
          <w:lang w:val="es-ES" w:eastAsia="es-MX"/>
        </w:rPr>
      </w:pPr>
    </w:p>
    <w:p w14:paraId="43F4732B" w14:textId="77777777" w:rsidR="003949B2" w:rsidRPr="00B808E1" w:rsidRDefault="003949B2" w:rsidP="003949B2">
      <w:pPr>
        <w:spacing w:after="0" w:line="240" w:lineRule="auto"/>
        <w:contextualSpacing/>
        <w:rPr>
          <w:rFonts w:ascii="Arial" w:eastAsia="Calibri" w:hAnsi="Arial" w:cs="Arial"/>
          <w:b/>
          <w:lang w:val="es-ES" w:eastAsia="es-MX"/>
        </w:rPr>
      </w:pPr>
    </w:p>
    <w:p w14:paraId="13F2FF6E" w14:textId="678CDC3D" w:rsidR="003949B2" w:rsidRPr="00B808E1" w:rsidRDefault="003949B2" w:rsidP="003949B2">
      <w:pPr>
        <w:spacing w:after="0" w:line="240" w:lineRule="auto"/>
        <w:contextualSpacing/>
        <w:rPr>
          <w:rFonts w:ascii="Arial" w:eastAsia="Calibri" w:hAnsi="Arial" w:cs="Arial"/>
          <w:b/>
          <w:lang w:val="es-ES" w:eastAsia="es-MX"/>
        </w:rPr>
      </w:pPr>
      <w:r w:rsidRPr="00B808E1">
        <w:rPr>
          <w:rFonts w:ascii="Arial" w:eastAsia="Calibri" w:hAnsi="Arial" w:cs="Arial"/>
          <w:b/>
          <w:lang w:val="es-ES" w:eastAsia="es-MX"/>
        </w:rPr>
        <w:t xml:space="preserve">                                            Concepto C – 334 de 2022</w:t>
      </w:r>
    </w:p>
    <w:p w14:paraId="6C3DEB63" w14:textId="77777777" w:rsidR="003949B2" w:rsidRPr="00B808E1" w:rsidRDefault="003949B2" w:rsidP="003949B2">
      <w:pPr>
        <w:spacing w:after="0" w:line="240" w:lineRule="auto"/>
        <w:contextualSpacing/>
        <w:rPr>
          <w:rFonts w:ascii="Arial" w:eastAsia="Calibri" w:hAnsi="Arial" w:cs="Arial"/>
          <w:b/>
          <w:lang w:val="es-ES"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F45E9F" w:rsidRPr="00B808E1" w14:paraId="71F6BBE6" w14:textId="77777777" w:rsidTr="00937A26">
        <w:trPr>
          <w:trHeight w:val="550"/>
        </w:trPr>
        <w:tc>
          <w:tcPr>
            <w:tcW w:w="2552" w:type="dxa"/>
          </w:tcPr>
          <w:p w14:paraId="1E7C194C" w14:textId="77777777" w:rsidR="003949B2" w:rsidRPr="00B808E1" w:rsidRDefault="003949B2" w:rsidP="003949B2">
            <w:pPr>
              <w:contextualSpacing/>
              <w:rPr>
                <w:rFonts w:ascii="Arial" w:eastAsia="Calibri" w:hAnsi="Arial" w:cs="Arial"/>
                <w:lang w:val="es-ES" w:eastAsia="es-MX"/>
              </w:rPr>
            </w:pPr>
            <w:r w:rsidRPr="00B808E1">
              <w:rPr>
                <w:rFonts w:ascii="Arial" w:eastAsia="Calibri" w:hAnsi="Arial" w:cs="Arial"/>
                <w:b/>
                <w:lang w:val="es-ES" w:eastAsia="es-MX"/>
              </w:rPr>
              <w:t>Temas:</w:t>
            </w:r>
            <w:r w:rsidRPr="00B808E1">
              <w:rPr>
                <w:rFonts w:ascii="Arial" w:eastAsia="Calibri" w:hAnsi="Arial" w:cs="Arial"/>
                <w:lang w:val="es-ES" w:eastAsia="es-MX"/>
              </w:rPr>
              <w:t xml:space="preserve">                                    </w:t>
            </w:r>
          </w:p>
        </w:tc>
        <w:tc>
          <w:tcPr>
            <w:tcW w:w="6374" w:type="dxa"/>
          </w:tcPr>
          <w:p w14:paraId="469D4EEB" w14:textId="6F3C5F0B" w:rsidR="00D50FD4" w:rsidRPr="00B808E1" w:rsidRDefault="00D50FD4" w:rsidP="00D50FD4">
            <w:pPr>
              <w:contextualSpacing/>
              <w:jc w:val="both"/>
              <w:rPr>
                <w:rFonts w:ascii="Arial" w:eastAsia="Calibri" w:hAnsi="Arial" w:cs="Arial"/>
                <w:lang w:val="es-MX" w:eastAsia="es-MX"/>
              </w:rPr>
            </w:pPr>
            <w:r w:rsidRPr="00B808E1">
              <w:rPr>
                <w:rFonts w:ascii="Arial" w:eastAsia="Calibri" w:hAnsi="Arial" w:cs="Arial"/>
                <w:lang w:eastAsia="es-MX"/>
              </w:rPr>
              <w:t xml:space="preserve">DOCUMENTOS TIPO – Fundamento jurídico / DOCUMENTO TIPO DE INFRAESTRUCTURA SOCIAL – Generalidades / DOCUMENTO TIPO DE INFRAESTRUCTURA SOCIAL – Aplicación – Construcción y remodelación de plazas de mercado  </w:t>
            </w:r>
            <w:r w:rsidRPr="00B808E1">
              <w:rPr>
                <w:rFonts w:ascii="Arial" w:eastAsia="Calibri" w:hAnsi="Arial" w:cs="Arial"/>
                <w:lang w:val="es-MX" w:eastAsia="es-MX"/>
              </w:rPr>
              <w:t xml:space="preserve"> </w:t>
            </w:r>
          </w:p>
          <w:p w14:paraId="3C610B2E" w14:textId="77777777" w:rsidR="003949B2" w:rsidRPr="00B808E1" w:rsidRDefault="003949B2" w:rsidP="003949B2">
            <w:pPr>
              <w:contextualSpacing/>
              <w:jc w:val="both"/>
              <w:rPr>
                <w:rFonts w:ascii="Arial" w:eastAsia="Calibri" w:hAnsi="Arial" w:cs="Arial"/>
                <w:lang w:eastAsia="es-MX"/>
              </w:rPr>
            </w:pPr>
          </w:p>
        </w:tc>
      </w:tr>
      <w:tr w:rsidR="00F45E9F" w:rsidRPr="00B808E1" w14:paraId="62BD32E4" w14:textId="77777777" w:rsidTr="00937A26">
        <w:tc>
          <w:tcPr>
            <w:tcW w:w="2552" w:type="dxa"/>
          </w:tcPr>
          <w:p w14:paraId="21935EBE" w14:textId="77777777" w:rsidR="003949B2" w:rsidRPr="00B808E1" w:rsidRDefault="003949B2" w:rsidP="003949B2">
            <w:pPr>
              <w:contextualSpacing/>
              <w:rPr>
                <w:rFonts w:ascii="Arial" w:eastAsia="Calibri" w:hAnsi="Arial" w:cs="Arial"/>
                <w:b/>
                <w:bCs/>
                <w:lang w:val="es-ES" w:eastAsia="es-MX"/>
              </w:rPr>
            </w:pPr>
            <w:r w:rsidRPr="00B808E1">
              <w:rPr>
                <w:rFonts w:ascii="Arial" w:eastAsia="Calibri" w:hAnsi="Arial" w:cs="Arial"/>
                <w:b/>
                <w:bCs/>
                <w:lang w:val="es-ES" w:eastAsia="es-MX"/>
              </w:rPr>
              <w:t xml:space="preserve">Radicación:                              </w:t>
            </w:r>
          </w:p>
        </w:tc>
        <w:tc>
          <w:tcPr>
            <w:tcW w:w="6374" w:type="dxa"/>
          </w:tcPr>
          <w:p w14:paraId="2DA65FFD" w14:textId="099210CC" w:rsidR="003949B2" w:rsidRPr="00B808E1" w:rsidRDefault="003949B2" w:rsidP="003949B2">
            <w:pPr>
              <w:contextualSpacing/>
              <w:rPr>
                <w:rFonts w:ascii="Arial" w:eastAsia="Calibri" w:hAnsi="Arial" w:cs="Arial"/>
                <w:lang w:val="es-ES" w:eastAsia="es-MX"/>
              </w:rPr>
            </w:pPr>
            <w:r w:rsidRPr="00B808E1">
              <w:rPr>
                <w:rFonts w:ascii="Arial" w:eastAsia="Calibri" w:hAnsi="Arial" w:cs="Arial"/>
                <w:lang w:val="es-ES" w:eastAsia="es-MX"/>
              </w:rPr>
              <w:t xml:space="preserve">Respuesta a consulta </w:t>
            </w:r>
            <w:r w:rsidR="00745654" w:rsidRPr="00B808E1">
              <w:rPr>
                <w:rFonts w:ascii="Arial" w:eastAsia="Calibri" w:hAnsi="Arial" w:cs="Arial"/>
                <w:lang w:val="es-ES" w:eastAsia="es-MX"/>
              </w:rPr>
              <w:t>P20220411003632</w:t>
            </w:r>
          </w:p>
        </w:tc>
      </w:tr>
    </w:tbl>
    <w:p w14:paraId="0F5647B2" w14:textId="77777777" w:rsidR="003949B2" w:rsidRPr="00B808E1" w:rsidRDefault="003949B2" w:rsidP="003949B2">
      <w:pPr>
        <w:spacing w:after="0" w:line="240" w:lineRule="auto"/>
        <w:contextualSpacing/>
        <w:rPr>
          <w:rFonts w:ascii="Arial" w:eastAsia="Calibri" w:hAnsi="Arial" w:cs="Arial"/>
          <w:lang w:val="es-ES" w:eastAsia="es-MX"/>
        </w:rPr>
      </w:pPr>
    </w:p>
    <w:p w14:paraId="7C093C98" w14:textId="77777777" w:rsidR="003949B2" w:rsidRPr="00B808E1" w:rsidRDefault="003949B2" w:rsidP="003949B2">
      <w:pPr>
        <w:spacing w:after="0" w:line="240" w:lineRule="auto"/>
        <w:contextualSpacing/>
        <w:rPr>
          <w:rFonts w:ascii="Arial" w:eastAsia="Calibri" w:hAnsi="Arial" w:cs="Arial"/>
          <w:lang w:val="es-ES" w:eastAsia="es-MX"/>
        </w:rPr>
      </w:pPr>
    </w:p>
    <w:p w14:paraId="0966979F" w14:textId="03CD521C" w:rsidR="003949B2" w:rsidRPr="00B808E1" w:rsidRDefault="003949B2" w:rsidP="00A51B32">
      <w:pPr>
        <w:tabs>
          <w:tab w:val="left" w:pos="3736"/>
        </w:tabs>
        <w:spacing w:after="0" w:line="276" w:lineRule="auto"/>
        <w:contextualSpacing/>
        <w:rPr>
          <w:rFonts w:ascii="Arial" w:eastAsia="Calibri" w:hAnsi="Arial" w:cs="Arial"/>
          <w:lang w:val="es-ES" w:eastAsia="es-MX"/>
        </w:rPr>
      </w:pPr>
      <w:r w:rsidRPr="00B808E1">
        <w:rPr>
          <w:rFonts w:ascii="Arial" w:eastAsia="Calibri" w:hAnsi="Arial" w:cs="Arial"/>
          <w:lang w:val="es-ES" w:eastAsia="es-MX"/>
        </w:rPr>
        <w:t xml:space="preserve">Estimado señor </w:t>
      </w:r>
      <w:r w:rsidR="00745654" w:rsidRPr="00B808E1">
        <w:rPr>
          <w:rFonts w:ascii="Arial" w:eastAsia="Calibri" w:hAnsi="Arial" w:cs="Arial"/>
          <w:lang w:val="es-ES" w:eastAsia="es-MX"/>
        </w:rPr>
        <w:t>Patarroyo</w:t>
      </w:r>
      <w:r w:rsidRPr="00B808E1">
        <w:rPr>
          <w:rFonts w:ascii="Arial" w:eastAsia="Calibri" w:hAnsi="Arial" w:cs="Arial"/>
          <w:lang w:val="es-ES" w:eastAsia="es-MX"/>
        </w:rPr>
        <w:t>:</w:t>
      </w:r>
      <w:r w:rsidRPr="00B808E1">
        <w:rPr>
          <w:rFonts w:ascii="Arial" w:eastAsia="Calibri" w:hAnsi="Arial" w:cs="Arial"/>
          <w:lang w:val="es-ES" w:eastAsia="es-MX"/>
        </w:rPr>
        <w:tab/>
      </w:r>
    </w:p>
    <w:p w14:paraId="3FD360BD" w14:textId="77777777" w:rsidR="003949B2" w:rsidRPr="00B808E1" w:rsidRDefault="003949B2" w:rsidP="00A51B32">
      <w:pPr>
        <w:spacing w:after="0" w:line="276" w:lineRule="auto"/>
        <w:contextualSpacing/>
        <w:rPr>
          <w:rFonts w:ascii="Arial" w:eastAsia="Calibri" w:hAnsi="Arial" w:cs="Arial"/>
          <w:lang w:val="es-ES" w:eastAsia="es-MX"/>
        </w:rPr>
      </w:pPr>
    </w:p>
    <w:p w14:paraId="2B33126C" w14:textId="5AA64A13" w:rsidR="003949B2" w:rsidRPr="00B808E1" w:rsidRDefault="003949B2" w:rsidP="00A51B32">
      <w:pPr>
        <w:spacing w:after="0" w:line="276" w:lineRule="auto"/>
        <w:contextualSpacing/>
        <w:jc w:val="both"/>
        <w:rPr>
          <w:rFonts w:ascii="Arial" w:eastAsia="Calibri" w:hAnsi="Arial" w:cs="Arial"/>
          <w:lang w:val="es-ES" w:eastAsia="es-MX"/>
        </w:rPr>
      </w:pPr>
      <w:r w:rsidRPr="00B808E1">
        <w:rPr>
          <w:rFonts w:ascii="Arial" w:eastAsia="Calibri" w:hAnsi="Arial" w:cs="Arial"/>
          <w:lang w:val="es-ES" w:eastAsia="es-MX"/>
        </w:rPr>
        <w:t xml:space="preserve">La Agencia Nacional de Contratación Pública – Colombia Compra Eficiente, en ejercicio de la competencia otorgada por el numeral 8 del artículo 11 y el numeral 5 del artículo 3 del Decreto Ley 4170 de 2011, responde a su consulta del 11 </w:t>
      </w:r>
      <w:r w:rsidR="007476AC" w:rsidRPr="00B808E1">
        <w:rPr>
          <w:rFonts w:ascii="Arial" w:eastAsia="Calibri" w:hAnsi="Arial" w:cs="Arial"/>
          <w:lang w:val="es-ES" w:eastAsia="es-MX"/>
        </w:rPr>
        <w:t>de abril</w:t>
      </w:r>
      <w:r w:rsidRPr="00B808E1">
        <w:rPr>
          <w:rFonts w:ascii="Arial" w:eastAsia="Calibri" w:hAnsi="Arial" w:cs="Arial"/>
          <w:lang w:val="es-ES" w:eastAsia="es-MX"/>
        </w:rPr>
        <w:t xml:space="preserve"> de 2022.</w:t>
      </w:r>
    </w:p>
    <w:p w14:paraId="615671F4" w14:textId="77777777" w:rsidR="003949B2" w:rsidRPr="00B808E1" w:rsidRDefault="003949B2" w:rsidP="00A51B32">
      <w:pPr>
        <w:spacing w:after="0" w:line="276" w:lineRule="auto"/>
        <w:contextualSpacing/>
        <w:rPr>
          <w:rFonts w:ascii="Arial" w:eastAsia="Calibri" w:hAnsi="Arial" w:cs="Arial"/>
          <w:lang w:val="es-ES"/>
        </w:rPr>
      </w:pPr>
    </w:p>
    <w:p w14:paraId="4C5E8ABC" w14:textId="77777777" w:rsidR="003949B2" w:rsidRPr="00B808E1" w:rsidRDefault="003949B2" w:rsidP="00A51B32">
      <w:pPr>
        <w:tabs>
          <w:tab w:val="left" w:pos="0"/>
        </w:tabs>
        <w:spacing w:after="0" w:line="276" w:lineRule="auto"/>
        <w:contextualSpacing/>
        <w:jc w:val="both"/>
        <w:rPr>
          <w:rFonts w:ascii="Arial" w:eastAsia="Calibri" w:hAnsi="Arial" w:cs="Arial"/>
          <w:b/>
          <w:lang w:val="es-ES" w:eastAsia="es-MX"/>
        </w:rPr>
      </w:pPr>
      <w:r w:rsidRPr="00B808E1">
        <w:rPr>
          <w:rFonts w:ascii="Arial" w:eastAsia="Calibri" w:hAnsi="Arial" w:cs="Arial"/>
          <w:b/>
          <w:lang w:val="es-ES" w:eastAsia="es-MX"/>
        </w:rPr>
        <w:t>1. Problema planteado</w:t>
      </w:r>
    </w:p>
    <w:p w14:paraId="61FD3A1E" w14:textId="77777777" w:rsidR="003949B2" w:rsidRPr="00B808E1" w:rsidRDefault="003949B2" w:rsidP="00A51B32">
      <w:pPr>
        <w:spacing w:after="0" w:line="276" w:lineRule="auto"/>
        <w:contextualSpacing/>
        <w:rPr>
          <w:rFonts w:ascii="Arial" w:eastAsia="Calibri" w:hAnsi="Arial" w:cs="Arial"/>
          <w:lang w:val="es-ES" w:eastAsia="es-MX"/>
        </w:rPr>
      </w:pPr>
    </w:p>
    <w:p w14:paraId="7322C6E3" w14:textId="6C708159" w:rsidR="00A51B32" w:rsidRPr="00B808E1" w:rsidRDefault="00A51B32" w:rsidP="00A51B32">
      <w:pPr>
        <w:spacing w:after="0" w:line="276" w:lineRule="auto"/>
        <w:contextualSpacing/>
        <w:jc w:val="both"/>
        <w:rPr>
          <w:rFonts w:ascii="Arial" w:eastAsia="Calibri" w:hAnsi="Arial" w:cs="Arial"/>
          <w:lang w:val="es-ES" w:eastAsia="es-MX"/>
        </w:rPr>
      </w:pPr>
      <w:r w:rsidRPr="00B808E1">
        <w:rPr>
          <w:rFonts w:ascii="Arial" w:eastAsia="Calibri" w:hAnsi="Arial" w:cs="Arial"/>
          <w:lang w:val="es-ES" w:eastAsia="es-MX"/>
        </w:rPr>
        <w:t>Respecto de los Documentos Tipo de Obra Pública de Infraestructura Social, u</w:t>
      </w:r>
      <w:r w:rsidR="003949B2" w:rsidRPr="00B808E1">
        <w:rPr>
          <w:rFonts w:ascii="Arial" w:eastAsia="Calibri" w:hAnsi="Arial" w:cs="Arial"/>
          <w:lang w:val="es-ES" w:eastAsia="es-MX"/>
        </w:rPr>
        <w:t xml:space="preserve">sted realiza la siguiente pregunta: </w:t>
      </w:r>
    </w:p>
    <w:p w14:paraId="3ED06404" w14:textId="77777777" w:rsidR="00A51B32" w:rsidRPr="00B808E1" w:rsidRDefault="00A51B32" w:rsidP="00A51B32">
      <w:pPr>
        <w:spacing w:after="0" w:line="276" w:lineRule="auto"/>
        <w:contextualSpacing/>
        <w:jc w:val="both"/>
        <w:rPr>
          <w:rFonts w:ascii="Arial" w:eastAsia="Calibri" w:hAnsi="Arial" w:cs="Arial"/>
          <w:lang w:val="es-ES" w:eastAsia="es-MX"/>
        </w:rPr>
      </w:pPr>
    </w:p>
    <w:p w14:paraId="4C03A361" w14:textId="77777777" w:rsidR="00A51B32" w:rsidRPr="00B808E1" w:rsidRDefault="003949B2" w:rsidP="00A51B32">
      <w:pPr>
        <w:spacing w:after="0" w:line="240" w:lineRule="auto"/>
        <w:ind w:left="709" w:right="709"/>
        <w:contextualSpacing/>
        <w:jc w:val="both"/>
        <w:rPr>
          <w:rFonts w:ascii="Arial" w:hAnsi="Arial" w:cs="Arial"/>
          <w:sz w:val="21"/>
          <w:szCs w:val="21"/>
        </w:rPr>
      </w:pPr>
      <w:r w:rsidRPr="00B808E1">
        <w:rPr>
          <w:rFonts w:ascii="Arial" w:eastAsia="Times New Roman" w:hAnsi="Arial" w:cs="Arial"/>
          <w:sz w:val="21"/>
          <w:szCs w:val="21"/>
          <w:lang w:eastAsia="es-MX"/>
        </w:rPr>
        <w:t>«</w:t>
      </w:r>
      <w:r w:rsidR="00A51B32" w:rsidRPr="00B808E1">
        <w:rPr>
          <w:rFonts w:ascii="Arial" w:hAnsi="Arial" w:cs="Arial"/>
          <w:sz w:val="21"/>
          <w:szCs w:val="21"/>
        </w:rPr>
        <w:t xml:space="preserve">Las denominadas plazas de mercado o galerías para realizar construcción o mejoramiento de </w:t>
      </w:r>
      <w:proofErr w:type="gramStart"/>
      <w:r w:rsidR="00A51B32" w:rsidRPr="00B808E1">
        <w:rPr>
          <w:rFonts w:ascii="Arial" w:hAnsi="Arial" w:cs="Arial"/>
          <w:sz w:val="21"/>
          <w:szCs w:val="21"/>
        </w:rPr>
        <w:t>las mismas</w:t>
      </w:r>
      <w:proofErr w:type="gramEnd"/>
      <w:r w:rsidR="00A51B32" w:rsidRPr="00B808E1">
        <w:rPr>
          <w:rFonts w:ascii="Arial" w:hAnsi="Arial" w:cs="Arial"/>
          <w:sz w:val="21"/>
          <w:szCs w:val="21"/>
        </w:rPr>
        <w:t xml:space="preserve"> se aplica documentos tipo de infraestructura social </w:t>
      </w:r>
    </w:p>
    <w:p w14:paraId="0153D284" w14:textId="77777777" w:rsidR="00A51B32" w:rsidRPr="00B808E1" w:rsidRDefault="00A51B32" w:rsidP="00A51B32">
      <w:pPr>
        <w:spacing w:after="0" w:line="240" w:lineRule="auto"/>
        <w:ind w:left="709" w:right="709"/>
        <w:contextualSpacing/>
        <w:jc w:val="both"/>
        <w:rPr>
          <w:rFonts w:ascii="Arial" w:hAnsi="Arial" w:cs="Arial"/>
          <w:sz w:val="21"/>
          <w:szCs w:val="21"/>
        </w:rPr>
      </w:pPr>
    </w:p>
    <w:p w14:paraId="4AAB7959" w14:textId="074B028F" w:rsidR="003949B2" w:rsidRPr="00B808E1" w:rsidRDefault="00A51B32" w:rsidP="00A51B32">
      <w:pPr>
        <w:spacing w:after="0" w:line="240" w:lineRule="auto"/>
        <w:ind w:left="709" w:right="709"/>
        <w:contextualSpacing/>
        <w:jc w:val="both"/>
        <w:rPr>
          <w:rFonts w:ascii="Arial" w:eastAsia="Times New Roman" w:hAnsi="Arial" w:cs="Arial"/>
          <w:sz w:val="21"/>
          <w:szCs w:val="21"/>
          <w:lang w:eastAsia="es-MX"/>
        </w:rPr>
      </w:pPr>
      <w:r w:rsidRPr="00B808E1">
        <w:rPr>
          <w:rFonts w:ascii="Arial" w:hAnsi="Arial" w:cs="Arial"/>
          <w:sz w:val="21"/>
          <w:szCs w:val="21"/>
        </w:rPr>
        <w:t xml:space="preserve">En </w:t>
      </w:r>
      <w:proofErr w:type="spellStart"/>
      <w:r w:rsidRPr="00B808E1">
        <w:rPr>
          <w:rFonts w:ascii="Arial" w:hAnsi="Arial" w:cs="Arial"/>
          <w:sz w:val="21"/>
          <w:szCs w:val="21"/>
        </w:rPr>
        <w:t>que</w:t>
      </w:r>
      <w:proofErr w:type="spellEnd"/>
      <w:r w:rsidRPr="00B808E1">
        <w:rPr>
          <w:rFonts w:ascii="Arial" w:hAnsi="Arial" w:cs="Arial"/>
          <w:sz w:val="21"/>
          <w:szCs w:val="21"/>
        </w:rPr>
        <w:t xml:space="preserve"> tipo de obras se aplica los documentos tipo de infraestructura social, se solicita enumerar las misma de manera taxativa</w:t>
      </w:r>
      <w:r w:rsidR="003949B2" w:rsidRPr="00B808E1">
        <w:rPr>
          <w:rFonts w:ascii="Arial" w:eastAsia="Times New Roman" w:hAnsi="Arial" w:cs="Arial"/>
          <w:sz w:val="21"/>
          <w:szCs w:val="21"/>
          <w:lang w:eastAsia="es-MX"/>
        </w:rPr>
        <w:t>»</w:t>
      </w:r>
      <w:r w:rsidRPr="00B808E1">
        <w:rPr>
          <w:rFonts w:ascii="Arial" w:eastAsia="Times New Roman" w:hAnsi="Arial" w:cs="Arial"/>
          <w:sz w:val="21"/>
          <w:szCs w:val="21"/>
          <w:lang w:eastAsia="es-MX"/>
        </w:rPr>
        <w:t xml:space="preserve"> (SIC)</w:t>
      </w:r>
      <w:r w:rsidR="003949B2" w:rsidRPr="00B808E1">
        <w:rPr>
          <w:rFonts w:ascii="Arial" w:eastAsia="Times New Roman" w:hAnsi="Arial" w:cs="Arial"/>
          <w:sz w:val="21"/>
          <w:szCs w:val="21"/>
          <w:lang w:eastAsia="es-MX"/>
        </w:rPr>
        <w:t xml:space="preserve">. </w:t>
      </w:r>
    </w:p>
    <w:p w14:paraId="25F07701" w14:textId="77777777" w:rsidR="00A50131" w:rsidRPr="00B808E1" w:rsidRDefault="00A50131" w:rsidP="003949B2">
      <w:pPr>
        <w:spacing w:after="0" w:line="276" w:lineRule="auto"/>
        <w:jc w:val="both"/>
        <w:rPr>
          <w:rFonts w:ascii="Arial" w:eastAsia="Calibri" w:hAnsi="Arial" w:cs="Arial"/>
          <w:b/>
          <w:lang w:val="es-ES" w:eastAsia="es-MX"/>
        </w:rPr>
      </w:pPr>
    </w:p>
    <w:p w14:paraId="57DE8CF2" w14:textId="111D23BB" w:rsidR="003949B2" w:rsidRPr="00B808E1" w:rsidRDefault="003949B2" w:rsidP="003949B2">
      <w:pPr>
        <w:spacing w:after="0" w:line="276" w:lineRule="auto"/>
        <w:jc w:val="both"/>
        <w:rPr>
          <w:rFonts w:ascii="Arial" w:eastAsia="Calibri" w:hAnsi="Arial" w:cs="Arial"/>
          <w:b/>
          <w:lang w:val="es-ES" w:eastAsia="es-MX"/>
        </w:rPr>
      </w:pPr>
      <w:r w:rsidRPr="00B808E1">
        <w:rPr>
          <w:rFonts w:ascii="Arial" w:eastAsia="Calibri" w:hAnsi="Arial" w:cs="Arial"/>
          <w:b/>
          <w:lang w:val="es-ES" w:eastAsia="es-MX"/>
        </w:rPr>
        <w:t>2. Consideraciones</w:t>
      </w:r>
    </w:p>
    <w:p w14:paraId="0FD210D6" w14:textId="77777777" w:rsidR="003949B2" w:rsidRPr="00B808E1" w:rsidRDefault="003949B2" w:rsidP="003949B2">
      <w:pPr>
        <w:spacing w:after="0" w:line="240" w:lineRule="auto"/>
        <w:rPr>
          <w:rFonts w:ascii="Arial" w:eastAsia="Times New Roman" w:hAnsi="Arial" w:cs="Arial"/>
          <w:bCs/>
          <w:szCs w:val="24"/>
          <w:lang w:eastAsia="es-MX"/>
        </w:rPr>
      </w:pPr>
    </w:p>
    <w:p w14:paraId="08DC8AF5" w14:textId="080158E7" w:rsidR="003949B2" w:rsidRPr="00B808E1" w:rsidRDefault="003949B2" w:rsidP="00102EBB">
      <w:pPr>
        <w:spacing w:after="120" w:line="276" w:lineRule="auto"/>
        <w:jc w:val="both"/>
        <w:rPr>
          <w:rFonts w:ascii="Arial" w:eastAsia="Times New Roman" w:hAnsi="Arial" w:cs="Arial"/>
          <w:szCs w:val="24"/>
          <w:lang w:val="es-ES" w:eastAsia="es-MX"/>
        </w:rPr>
      </w:pPr>
      <w:r w:rsidRPr="00B808E1">
        <w:rPr>
          <w:rFonts w:ascii="Arial" w:eastAsia="Times New Roman" w:hAnsi="Arial" w:cs="Arial"/>
          <w:bCs/>
          <w:szCs w:val="24"/>
          <w:lang w:eastAsia="es-MX"/>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0" w:name="_Hlk61701014"/>
      <w:r w:rsidRPr="00B808E1">
        <w:rPr>
          <w:rFonts w:ascii="Arial" w:eastAsia="Times New Roman" w:hAnsi="Arial" w:cs="Arial"/>
          <w:szCs w:val="24"/>
          <w:lang w:val="es-ES" w:eastAsia="es-MX"/>
        </w:rPr>
        <w:t xml:space="preserve">Es necesario tener en cuenta que </w:t>
      </w:r>
      <w:bookmarkStart w:id="1" w:name="_Hlk61026958"/>
      <w:r w:rsidRPr="00B808E1">
        <w:rPr>
          <w:rFonts w:ascii="Arial" w:eastAsia="Times New Roman" w:hAnsi="Arial" w:cs="Arial"/>
          <w:szCs w:val="24"/>
          <w:lang w:val="es-ES" w:eastAsia="es-MX"/>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808E1">
        <w:rPr>
          <w:rFonts w:ascii="Arial" w:eastAsia="Times New Roman" w:hAnsi="Arial" w:cs="Arial"/>
          <w:bCs/>
          <w:szCs w:val="24"/>
          <w:lang w:eastAsia="es-MX"/>
        </w:rPr>
        <w:t xml:space="preserve"> de todos los partícipes de la contratación estatal.</w:t>
      </w:r>
    </w:p>
    <w:p w14:paraId="0FCB88BD" w14:textId="77777777" w:rsidR="003949B2" w:rsidRPr="00B808E1" w:rsidRDefault="003949B2" w:rsidP="00102EBB">
      <w:pPr>
        <w:spacing w:after="120" w:line="276" w:lineRule="auto"/>
        <w:ind w:firstLine="708"/>
        <w:jc w:val="both"/>
        <w:rPr>
          <w:rFonts w:ascii="Arial" w:eastAsia="Times New Roman" w:hAnsi="Arial" w:cs="Arial"/>
          <w:szCs w:val="24"/>
          <w:lang w:val="es-ES" w:eastAsia="es-MX"/>
        </w:rPr>
      </w:pPr>
      <w:r w:rsidRPr="00B808E1">
        <w:rPr>
          <w:rFonts w:ascii="Arial" w:eastAsia="Times New Roman" w:hAnsi="Arial" w:cs="Arial"/>
          <w:szCs w:val="24"/>
          <w:lang w:val="es-ES" w:eastAsia="es-MX"/>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808E1">
        <w:rPr>
          <w:rFonts w:ascii="Arial" w:eastAsia="Times New Roman" w:hAnsi="Arial" w:cs="Arial"/>
          <w:szCs w:val="24"/>
          <w:vertAlign w:val="superscript"/>
          <w:lang w:val="es-ES" w:eastAsia="es-MX"/>
        </w:rPr>
        <w:footnoteReference w:id="1"/>
      </w:r>
      <w:r w:rsidRPr="00B808E1">
        <w:rPr>
          <w:rFonts w:ascii="Arial" w:eastAsia="Times New Roman" w:hAnsi="Arial" w:cs="Arial"/>
          <w:szCs w:val="24"/>
          <w:lang w:val="es-ES" w:eastAsia="es-MX"/>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1"/>
      <w:r w:rsidRPr="00B808E1">
        <w:rPr>
          <w:rFonts w:ascii="Arial" w:eastAsia="Times New Roman" w:hAnsi="Arial" w:cs="Arial"/>
          <w:szCs w:val="24"/>
          <w:lang w:val="es-ES" w:eastAsia="es-MX"/>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p w14:paraId="0E4962D3" w14:textId="6A7AD2FE" w:rsidR="003949B2" w:rsidRPr="00B808E1" w:rsidRDefault="003949B2" w:rsidP="00102EBB">
      <w:pPr>
        <w:spacing w:after="120" w:line="276" w:lineRule="auto"/>
        <w:ind w:firstLine="708"/>
        <w:jc w:val="both"/>
        <w:rPr>
          <w:rFonts w:ascii="Arial" w:eastAsia="Calibri" w:hAnsi="Arial" w:cs="Arial"/>
          <w:lang w:val="es-ES" w:eastAsia="es-ES"/>
        </w:rPr>
      </w:pPr>
      <w:r w:rsidRPr="00B808E1">
        <w:rPr>
          <w:rFonts w:ascii="Arial" w:eastAsia="Calibri" w:hAnsi="Arial" w:cs="Arial"/>
          <w:lang w:val="es-ES_tradnl" w:eastAsia="es-ES"/>
        </w:rPr>
        <w:t>Sin perjuicio de lo anterior, dentro de los límites de las atribuciones de la función consultiva atribuida a esta entidad, esto es, interpretando de manera general las normas relevantes, la Agencia absolverá los interrogantes formulados, previo análisis de los siguientes temas: i) fundamentos jurídicos y evolución normativa de los documentos tipo</w:t>
      </w:r>
      <w:r w:rsidR="00D12769" w:rsidRPr="00B808E1">
        <w:rPr>
          <w:rFonts w:ascii="Arial" w:eastAsia="Calibri" w:hAnsi="Arial" w:cs="Arial"/>
          <w:lang w:val="es-ES_tradnl" w:eastAsia="es-ES"/>
        </w:rPr>
        <w:t xml:space="preserve">; </w:t>
      </w:r>
      <w:proofErr w:type="spellStart"/>
      <w:r w:rsidRPr="00B808E1">
        <w:rPr>
          <w:rFonts w:ascii="Arial" w:eastAsia="Calibri" w:hAnsi="Arial" w:cs="Arial"/>
          <w:lang w:val="es-ES_tradnl" w:eastAsia="es-ES"/>
        </w:rPr>
        <w:t>ii</w:t>
      </w:r>
      <w:proofErr w:type="spellEnd"/>
      <w:r w:rsidRPr="00B808E1">
        <w:rPr>
          <w:rFonts w:ascii="Arial" w:eastAsia="Calibri" w:hAnsi="Arial" w:cs="Arial"/>
          <w:lang w:val="es-ES_tradnl" w:eastAsia="es-ES"/>
        </w:rPr>
        <w:t xml:space="preserve">) </w:t>
      </w:r>
      <w:r w:rsidR="00527703" w:rsidRPr="00B808E1">
        <w:rPr>
          <w:rFonts w:ascii="Arial" w:eastAsia="Calibri" w:hAnsi="Arial" w:cs="Arial"/>
          <w:lang w:val="es-ES" w:eastAsia="es-ES"/>
        </w:rPr>
        <w:t>i</w:t>
      </w:r>
      <w:r w:rsidRPr="00B808E1">
        <w:rPr>
          <w:rFonts w:ascii="Arial" w:eastAsia="Calibri" w:hAnsi="Arial" w:cs="Arial"/>
          <w:lang w:val="es-ES" w:eastAsia="es-ES"/>
        </w:rPr>
        <w:t xml:space="preserve">mplementación y ámbito de aplicación de los documentos tipo de licitación de obra pública </w:t>
      </w:r>
      <w:r w:rsidRPr="00B808E1">
        <w:rPr>
          <w:rFonts w:ascii="Arial" w:eastAsia="Calibri" w:hAnsi="Arial" w:cs="Arial"/>
          <w:lang w:val="es-ES" w:eastAsia="es-ES"/>
        </w:rPr>
        <w:lastRenderedPageBreak/>
        <w:t>de infraestructura social y</w:t>
      </w:r>
      <w:r w:rsidR="00D12769" w:rsidRPr="00B808E1">
        <w:rPr>
          <w:rFonts w:ascii="Arial" w:eastAsia="Calibri" w:hAnsi="Arial" w:cs="Arial"/>
          <w:lang w:val="es-ES" w:eastAsia="es-ES"/>
        </w:rPr>
        <w:t>;</w:t>
      </w:r>
      <w:r w:rsidRPr="00B808E1">
        <w:rPr>
          <w:rFonts w:ascii="Arial" w:eastAsia="Calibri" w:hAnsi="Arial" w:cs="Arial"/>
          <w:lang w:val="es-ES" w:eastAsia="es-ES"/>
        </w:rPr>
        <w:t xml:space="preserve"> </w:t>
      </w:r>
      <w:proofErr w:type="spellStart"/>
      <w:r w:rsidRPr="00B808E1">
        <w:rPr>
          <w:rFonts w:ascii="Arial" w:eastAsia="Calibri" w:hAnsi="Arial" w:cs="Arial"/>
          <w:lang w:val="es-ES" w:eastAsia="es-ES"/>
        </w:rPr>
        <w:t>iii</w:t>
      </w:r>
      <w:proofErr w:type="spellEnd"/>
      <w:r w:rsidRPr="00B808E1">
        <w:rPr>
          <w:rFonts w:ascii="Arial" w:eastAsia="Calibri" w:hAnsi="Arial" w:cs="Arial"/>
          <w:lang w:val="es-ES" w:eastAsia="es-ES"/>
        </w:rPr>
        <w:t xml:space="preserve">) </w:t>
      </w:r>
      <w:r w:rsidR="00D12769" w:rsidRPr="00B808E1">
        <w:rPr>
          <w:rFonts w:ascii="Arial" w:eastAsia="Calibri" w:hAnsi="Arial" w:cs="Arial"/>
          <w:lang w:val="es-ES" w:eastAsia="es-ES"/>
        </w:rPr>
        <w:t xml:space="preserve">ámbito de aplicación de los documentos tipo complementarios para el Sector Educativo, el Sector de Salud y el Sector de Cultura, Recreación y Deportes.   </w:t>
      </w:r>
    </w:p>
    <w:p w14:paraId="3060F9EB" w14:textId="7327AD66" w:rsidR="003949B2" w:rsidRPr="00B808E1" w:rsidRDefault="003949B2" w:rsidP="00102EBB">
      <w:pPr>
        <w:spacing w:after="0" w:line="276" w:lineRule="auto"/>
        <w:ind w:firstLine="708"/>
        <w:contextualSpacing/>
        <w:jc w:val="both"/>
        <w:rPr>
          <w:rFonts w:ascii="Arial" w:hAnsi="Arial" w:cs="Arial"/>
          <w:shd w:val="clear" w:color="auto" w:fill="FFFFFF"/>
          <w:lang w:val="es-MX"/>
        </w:rPr>
      </w:pPr>
      <w:r w:rsidRPr="00B808E1">
        <w:rPr>
          <w:rFonts w:ascii="Arial" w:hAnsi="Arial" w:cs="Arial"/>
          <w:lang w:val="es-ES_tradnl"/>
        </w:rPr>
        <w:t xml:space="preserve">La Agencia Nacional de Contratación Pública – Colombia Compra Eficiente se pronunció sobre la definición y el alcance de los documentos tipo en las siguientes consultas </w:t>
      </w:r>
      <w:r w:rsidRPr="00B808E1">
        <w:rPr>
          <w:rFonts w:ascii="Arial" w:hAnsi="Arial" w:cs="Arial"/>
          <w:shd w:val="clear" w:color="auto" w:fill="FFFFFF"/>
          <w:lang w:val="es-MX"/>
        </w:rPr>
        <w:t>C-144 del 2 de marzo de 2020, C-143 del 18 de marzo de 2020, C-286 del 26 de mayo de 2020, C-450 del 3 de agosto de 2020, C-643 del 26 de octubre de 2020,</w:t>
      </w:r>
      <w:r w:rsidRPr="00B808E1">
        <w:rPr>
          <w:rFonts w:ascii="Arial" w:hAnsi="Arial" w:cs="Arial"/>
          <w:lang w:val="es-MX"/>
        </w:rPr>
        <w:t xml:space="preserve"> C-773 del 14 de enero de 2021, C-789 del 19 de enero de 2021,</w:t>
      </w:r>
      <w:r w:rsidRPr="00B808E1">
        <w:rPr>
          <w:rFonts w:ascii="Arial" w:hAnsi="Arial" w:cs="Arial"/>
          <w:shd w:val="clear" w:color="auto" w:fill="FFFFFF"/>
          <w:lang w:val="es-MX"/>
        </w:rPr>
        <w:t xml:space="preserve"> C-064 del 8 de marzo de 2021 y C-157 del 13 de abril del 2021, C-244 del 4 de mayo de 2021, C-224 del 20 de mayo de 2020, C-233 del 24 de mayo de 2021, C-251 del 2 de junio de 2021 y C-273 del 11 de junio de 2021</w:t>
      </w:r>
      <w:r w:rsidR="00237CB2" w:rsidRPr="00B808E1">
        <w:rPr>
          <w:rFonts w:ascii="Arial" w:hAnsi="Arial" w:cs="Arial"/>
          <w:shd w:val="clear" w:color="auto" w:fill="FFFFFF"/>
          <w:lang w:val="es-MX"/>
        </w:rPr>
        <w:t xml:space="preserve">, </w:t>
      </w:r>
      <w:r w:rsidR="00237CB2" w:rsidRPr="00B808E1">
        <w:rPr>
          <w:rFonts w:ascii="Arial" w:eastAsia="Calibri" w:hAnsi="Arial" w:cs="Arial"/>
        </w:rPr>
        <w:t>C-375 de 27 de septiembre de 2021, C-536 de 29 de septiembre de 2021, C-719 de 24 de enero de 2022</w:t>
      </w:r>
      <w:r w:rsidR="00DA0A88" w:rsidRPr="00B808E1">
        <w:rPr>
          <w:rFonts w:ascii="Arial" w:eastAsia="Calibri" w:hAnsi="Arial" w:cs="Arial"/>
        </w:rPr>
        <w:t xml:space="preserve"> y</w:t>
      </w:r>
      <w:r w:rsidR="00237CB2" w:rsidRPr="00B808E1">
        <w:rPr>
          <w:rFonts w:ascii="Arial" w:eastAsia="Calibri" w:hAnsi="Arial" w:cs="Arial"/>
        </w:rPr>
        <w:t xml:space="preserve"> C-090 de 16 de marzo de 2022.</w:t>
      </w:r>
      <w:r w:rsidRPr="00B808E1">
        <w:rPr>
          <w:rFonts w:ascii="Arial" w:hAnsi="Arial" w:cs="Arial"/>
          <w:shd w:val="clear" w:color="auto" w:fill="FFFFFF"/>
          <w:lang w:val="es-MX"/>
        </w:rPr>
        <w:t xml:space="preserve"> </w:t>
      </w:r>
      <w:r w:rsidR="00237CB2" w:rsidRPr="00B808E1">
        <w:rPr>
          <w:rFonts w:ascii="Arial" w:hAnsi="Arial" w:cs="Arial"/>
          <w:shd w:val="clear" w:color="auto" w:fill="FFFFFF"/>
          <w:lang w:val="es-MX"/>
        </w:rPr>
        <w:t>R</w:t>
      </w:r>
      <w:r w:rsidR="00237CB2" w:rsidRPr="00B808E1">
        <w:rPr>
          <w:rFonts w:ascii="Arial" w:hAnsi="Arial" w:cs="Arial"/>
          <w:bCs/>
          <w:lang w:val="es-MX"/>
        </w:rPr>
        <w:t xml:space="preserve">especto a los documentos tipo de infraestructura social se </w:t>
      </w:r>
      <w:r w:rsidR="00DA0A88" w:rsidRPr="00B808E1">
        <w:rPr>
          <w:rFonts w:ascii="Arial" w:hAnsi="Arial" w:cs="Arial"/>
          <w:bCs/>
          <w:lang w:val="es-MX"/>
        </w:rPr>
        <w:t xml:space="preserve">pronunció </w:t>
      </w:r>
      <w:r w:rsidR="00237CB2" w:rsidRPr="00B808E1">
        <w:rPr>
          <w:rFonts w:ascii="Arial" w:hAnsi="Arial" w:cs="Arial"/>
          <w:bCs/>
          <w:lang w:val="es-MX"/>
        </w:rPr>
        <w:t xml:space="preserve">en </w:t>
      </w:r>
      <w:r w:rsidR="00DA0A88" w:rsidRPr="00B808E1">
        <w:rPr>
          <w:rFonts w:ascii="Arial" w:hAnsi="Arial" w:cs="Arial"/>
          <w:bCs/>
          <w:lang w:val="es-MX"/>
        </w:rPr>
        <w:t xml:space="preserve">los </w:t>
      </w:r>
      <w:r w:rsidR="00237CB2" w:rsidRPr="00B808E1">
        <w:rPr>
          <w:rFonts w:ascii="Arial" w:hAnsi="Arial" w:cs="Arial"/>
          <w:bCs/>
          <w:lang w:val="es-MX"/>
        </w:rPr>
        <w:t>concepto</w:t>
      </w:r>
      <w:r w:rsidR="00DA0A88" w:rsidRPr="00B808E1">
        <w:rPr>
          <w:rFonts w:ascii="Arial" w:hAnsi="Arial" w:cs="Arial"/>
          <w:bCs/>
          <w:lang w:val="es-MX"/>
        </w:rPr>
        <w:t>s</w:t>
      </w:r>
      <w:r w:rsidR="00237CB2" w:rsidRPr="00B808E1">
        <w:rPr>
          <w:rFonts w:ascii="Arial" w:hAnsi="Arial" w:cs="Arial"/>
          <w:bCs/>
          <w:lang w:val="es-MX"/>
        </w:rPr>
        <w:t xml:space="preserve"> C-375 de 27 de septiembre de 2021, C-228 del </w:t>
      </w:r>
      <w:r w:rsidR="00102EBB" w:rsidRPr="00B808E1">
        <w:rPr>
          <w:rFonts w:ascii="Arial" w:hAnsi="Arial" w:cs="Arial"/>
          <w:bCs/>
          <w:lang w:val="es-MX"/>
        </w:rPr>
        <w:t xml:space="preserve">27 de abril </w:t>
      </w:r>
      <w:r w:rsidR="00237CB2" w:rsidRPr="00B808E1">
        <w:rPr>
          <w:rFonts w:ascii="Arial" w:hAnsi="Arial" w:cs="Arial"/>
          <w:bCs/>
          <w:lang w:val="es-MX"/>
        </w:rPr>
        <w:t>de 2022 y C-242 del 2 de mayo de 2022.</w:t>
      </w:r>
      <w:r w:rsidR="00DA0A88" w:rsidRPr="00B808E1">
        <w:rPr>
          <w:rFonts w:ascii="Arial" w:hAnsi="Arial" w:cs="Arial"/>
          <w:bCs/>
          <w:lang w:val="es-MX"/>
        </w:rPr>
        <w:t xml:space="preserve"> </w:t>
      </w:r>
      <w:r w:rsidRPr="00B808E1">
        <w:rPr>
          <w:rFonts w:ascii="Arial" w:eastAsia="Calibri" w:hAnsi="Arial" w:cs="Arial"/>
          <w:lang w:val="es-MX"/>
        </w:rPr>
        <w:t xml:space="preserve">Las tesis desarrolladas en estos conceptos se reiteran a continuación </w:t>
      </w:r>
      <w:r w:rsidRPr="00B808E1">
        <w:rPr>
          <w:rFonts w:ascii="Arial" w:hAnsi="Arial" w:cs="Arial"/>
          <w:bCs/>
          <w:lang w:val="es-MX"/>
        </w:rPr>
        <w:t>y se complementan en lo pertinente</w:t>
      </w:r>
      <w:r w:rsidR="00102EBB" w:rsidRPr="00B808E1">
        <w:rPr>
          <w:rFonts w:ascii="Arial" w:hAnsi="Arial" w:cs="Arial"/>
          <w:bCs/>
          <w:lang w:val="es-MX"/>
        </w:rPr>
        <w:t xml:space="preserve">. </w:t>
      </w:r>
    </w:p>
    <w:p w14:paraId="136067DE" w14:textId="77777777" w:rsidR="003949B2" w:rsidRPr="00B808E1" w:rsidRDefault="003949B2" w:rsidP="00082DBB">
      <w:pPr>
        <w:widowControl w:val="0"/>
        <w:autoSpaceDE w:val="0"/>
        <w:autoSpaceDN w:val="0"/>
        <w:spacing w:after="0" w:line="276" w:lineRule="auto"/>
        <w:ind w:right="112"/>
        <w:contextualSpacing/>
        <w:jc w:val="both"/>
        <w:rPr>
          <w:rFonts w:ascii="Arial" w:eastAsia="Arial" w:hAnsi="Arial" w:cs="Arial"/>
          <w:lang w:val="es-ES"/>
        </w:rPr>
      </w:pPr>
    </w:p>
    <w:p w14:paraId="747D6BAA" w14:textId="77777777" w:rsidR="003949B2" w:rsidRPr="00B808E1" w:rsidRDefault="003949B2" w:rsidP="00082DBB">
      <w:pPr>
        <w:spacing w:after="0" w:line="276" w:lineRule="auto"/>
        <w:contextualSpacing/>
        <w:jc w:val="both"/>
        <w:rPr>
          <w:rFonts w:ascii="Arial" w:eastAsia="Times New Roman" w:hAnsi="Arial" w:cs="Arial"/>
          <w:b/>
          <w:bCs/>
          <w:lang w:val="es-ES" w:eastAsia="es-MX"/>
        </w:rPr>
      </w:pPr>
      <w:r w:rsidRPr="00B808E1">
        <w:rPr>
          <w:rFonts w:ascii="Arial" w:eastAsia="Calibri" w:hAnsi="Arial" w:cs="Arial"/>
          <w:b/>
          <w:bCs/>
          <w:lang w:val="es-ES" w:eastAsia="es-MX"/>
        </w:rPr>
        <w:t>2.1.</w:t>
      </w:r>
      <w:r w:rsidRPr="00B808E1">
        <w:rPr>
          <w:rFonts w:ascii="Arial" w:eastAsia="Times New Roman" w:hAnsi="Arial" w:cs="Arial"/>
          <w:b/>
          <w:bCs/>
          <w:lang w:val="es-ES" w:eastAsia="es-MX"/>
        </w:rPr>
        <w:t xml:space="preserve"> Fundamentos jurídicos y evolución normativa de los documentos tipo</w:t>
      </w:r>
      <w:r w:rsidRPr="00B808E1" w:rsidDel="00E82F6A">
        <w:rPr>
          <w:rFonts w:ascii="Arial" w:eastAsia="Times New Roman" w:hAnsi="Arial" w:cs="Arial"/>
          <w:b/>
          <w:bCs/>
          <w:lang w:val="es-ES" w:eastAsia="es-MX"/>
        </w:rPr>
        <w:t xml:space="preserve"> </w:t>
      </w:r>
    </w:p>
    <w:p w14:paraId="0A98458F" w14:textId="77777777" w:rsidR="003949B2" w:rsidRPr="00B808E1" w:rsidRDefault="003949B2" w:rsidP="00082DBB">
      <w:pPr>
        <w:spacing w:after="0" w:line="276" w:lineRule="auto"/>
        <w:contextualSpacing/>
        <w:jc w:val="both"/>
        <w:rPr>
          <w:rFonts w:ascii="Arial" w:eastAsia="Times New Roman" w:hAnsi="Arial" w:cs="Arial"/>
          <w:lang w:val="es-ES" w:eastAsia="es-MX"/>
        </w:rPr>
      </w:pPr>
    </w:p>
    <w:p w14:paraId="0EB1288A" w14:textId="77777777" w:rsidR="003949B2" w:rsidRPr="00B808E1" w:rsidRDefault="003949B2" w:rsidP="00CA6CF6">
      <w:pPr>
        <w:spacing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La adopción de los documentos tipo obligatorios en el ordenamiento jurídico colombiano se incluyó por primera vez en el parágrafo 3 del artículo 2 de la Ley 1150 de 2007</w:t>
      </w:r>
      <w:r w:rsidRPr="00B808E1">
        <w:rPr>
          <w:rFonts w:ascii="Arial" w:eastAsia="Times New Roman" w:hAnsi="Arial" w:cs="Arial"/>
          <w:vertAlign w:val="superscript"/>
          <w:lang w:val="es-ES" w:eastAsia="es-MX"/>
        </w:rPr>
        <w:footnoteReference w:id="2"/>
      </w:r>
      <w:r w:rsidRPr="00B808E1">
        <w:rPr>
          <w:rFonts w:ascii="Arial" w:eastAsia="Times New Roman" w:hAnsi="Arial" w:cs="Arial"/>
          <w:lang w:val="es-ES" w:eastAsia="es-MX"/>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D6CE257" w14:textId="77777777" w:rsidR="003949B2" w:rsidRPr="00B808E1" w:rsidRDefault="003949B2" w:rsidP="00CA6CF6">
      <w:pPr>
        <w:spacing w:after="120" w:line="276" w:lineRule="auto"/>
        <w:ind w:firstLine="708"/>
        <w:jc w:val="both"/>
        <w:rPr>
          <w:rFonts w:ascii="Arial" w:eastAsia="Times New Roman" w:hAnsi="Arial" w:cs="Arial"/>
          <w:lang w:val="es-ES" w:eastAsia="es-MX"/>
        </w:rPr>
      </w:pPr>
      <w:r w:rsidRPr="00B808E1">
        <w:rPr>
          <w:rFonts w:ascii="Arial" w:eastAsia="Times New Roman" w:hAnsi="Arial" w:cs="Arial"/>
          <w:lang w:val="es-ES" w:eastAsia="es-MX"/>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153403E4" w14:textId="77777777" w:rsidR="003949B2" w:rsidRPr="00B808E1" w:rsidRDefault="003949B2" w:rsidP="00CA6CF6">
      <w:pPr>
        <w:spacing w:before="120" w:after="120" w:line="276" w:lineRule="auto"/>
        <w:ind w:firstLine="709"/>
        <w:jc w:val="both"/>
        <w:rPr>
          <w:rFonts w:ascii="Arial" w:eastAsia="Times New Roman" w:hAnsi="Arial" w:cs="Arial"/>
          <w:lang w:val="es-ES" w:eastAsia="es-MX"/>
        </w:rPr>
      </w:pPr>
      <w:r w:rsidRPr="00B808E1">
        <w:rPr>
          <w:rFonts w:ascii="Arial" w:eastAsia="Times New Roman" w:hAnsi="Arial" w:cs="Arial"/>
          <w:lang w:val="es-ES" w:eastAsia="es-MX"/>
        </w:rPr>
        <w:t xml:space="preserve">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w:t>
      </w:r>
      <w:r w:rsidRPr="00B808E1">
        <w:rPr>
          <w:rFonts w:ascii="Arial" w:eastAsia="Times New Roman" w:hAnsi="Arial" w:cs="Arial"/>
          <w:lang w:val="es-ES" w:eastAsia="es-MX"/>
        </w:rPr>
        <w:lastRenderedPageBreak/>
        <w:t>utilizados por todas las entidades sometidas al Estatuto General de Contratación de la Administración Pública en los procesos de selección que adelantaran</w:t>
      </w:r>
      <w:r w:rsidRPr="00B808E1">
        <w:rPr>
          <w:rFonts w:ascii="Arial" w:eastAsia="Times New Roman" w:hAnsi="Arial" w:cs="Arial"/>
          <w:vertAlign w:val="superscript"/>
          <w:lang w:val="es-ES" w:eastAsia="es-MX"/>
        </w:rPr>
        <w:footnoteReference w:id="3"/>
      </w:r>
      <w:r w:rsidRPr="00B808E1">
        <w:rPr>
          <w:rFonts w:ascii="Arial" w:eastAsia="Times New Roman" w:hAnsi="Arial" w:cs="Arial"/>
          <w:lang w:val="es-ES" w:eastAsia="es-MX"/>
        </w:rPr>
        <w:t>.</w:t>
      </w:r>
    </w:p>
    <w:p w14:paraId="078604F8" w14:textId="77777777" w:rsidR="003949B2" w:rsidRPr="00B808E1" w:rsidRDefault="003949B2" w:rsidP="00CA6CF6">
      <w:pPr>
        <w:spacing w:before="120"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3B7947FB" w14:textId="70CDB8CC" w:rsidR="003949B2" w:rsidRPr="00B808E1" w:rsidRDefault="003949B2" w:rsidP="00CA6CF6">
      <w:pPr>
        <w:spacing w:before="120"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ab/>
      </w:r>
      <w:bookmarkStart w:id="2" w:name="_Hlk103952996"/>
      <w:r w:rsidRPr="00B808E1">
        <w:rPr>
          <w:rFonts w:ascii="Arial" w:eastAsia="Times New Roman" w:hAnsi="Arial" w:cs="Arial"/>
          <w:lang w:val="es-ES" w:eastAsia="es-MX"/>
        </w:rPr>
        <w:t xml:space="preserve">De la norma descrita se concluía lo siguiente: i) la adopción de los documentos tipo estaba en cabeza del gobierno nacional; </w:t>
      </w:r>
      <w:proofErr w:type="spellStart"/>
      <w:r w:rsidRPr="00B808E1">
        <w:rPr>
          <w:rFonts w:ascii="Arial" w:eastAsia="Times New Roman" w:hAnsi="Arial" w:cs="Arial"/>
          <w:lang w:val="es-ES" w:eastAsia="es-MX"/>
        </w:rPr>
        <w:t>ii</w:t>
      </w:r>
      <w:proofErr w:type="spellEnd"/>
      <w:r w:rsidRPr="00B808E1">
        <w:rPr>
          <w:rFonts w:ascii="Arial" w:eastAsia="Times New Roman" w:hAnsi="Arial" w:cs="Arial"/>
          <w:lang w:val="es-ES" w:eastAsia="es-MX"/>
        </w:rPr>
        <w:t>) estos debían relacionarse con procesos de obra</w:t>
      </w:r>
      <w:r w:rsidR="002A4FC8" w:rsidRPr="00B808E1">
        <w:rPr>
          <w:rFonts w:ascii="Arial" w:eastAsia="Times New Roman" w:hAnsi="Arial" w:cs="Arial"/>
          <w:lang w:val="es-ES" w:eastAsia="es-MX"/>
        </w:rPr>
        <w:t>s</w:t>
      </w:r>
      <w:r w:rsidRPr="00B808E1">
        <w:rPr>
          <w:rFonts w:ascii="Arial" w:eastAsia="Times New Roman" w:hAnsi="Arial" w:cs="Arial"/>
          <w:lang w:val="es-ES" w:eastAsia="es-MX"/>
        </w:rPr>
        <w:t xml:space="preserve"> públicas, interventoría para las obras públicas, interventoría para consultoría de estudios y diseños y, finalmente, consultoría en ingeniería para obras; </w:t>
      </w:r>
      <w:proofErr w:type="spellStart"/>
      <w:r w:rsidRPr="00B808E1">
        <w:rPr>
          <w:rFonts w:ascii="Arial" w:eastAsia="Times New Roman" w:hAnsi="Arial" w:cs="Arial"/>
          <w:lang w:val="es-ES" w:eastAsia="es-MX"/>
        </w:rPr>
        <w:t>iii</w:t>
      </w:r>
      <w:proofErr w:type="spellEnd"/>
      <w:r w:rsidRPr="00B808E1">
        <w:rPr>
          <w:rFonts w:ascii="Arial" w:eastAsia="Times New Roman" w:hAnsi="Arial" w:cs="Arial"/>
          <w:lang w:val="es-ES" w:eastAsia="es-MX"/>
        </w:rPr>
        <w:t xml:space="preserve">) eran de obligatorio cumplimiento por parte de todas las entidades sometidas al Estatuto General de Contratación de la Administración Pública; </w:t>
      </w:r>
      <w:proofErr w:type="spellStart"/>
      <w:r w:rsidRPr="00B808E1">
        <w:rPr>
          <w:rFonts w:ascii="Arial" w:eastAsia="Times New Roman" w:hAnsi="Arial" w:cs="Arial"/>
          <w:lang w:val="es-ES" w:eastAsia="es-MX"/>
        </w:rPr>
        <w:t>iv</w:t>
      </w:r>
      <w:proofErr w:type="spellEnd"/>
      <w:r w:rsidRPr="00B808E1">
        <w:rPr>
          <w:rFonts w:ascii="Arial" w:eastAsia="Times New Roman" w:hAnsi="Arial" w:cs="Arial"/>
          <w:lang w:val="es-ES" w:eastAsia="es-MX"/>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36CB3044" w14:textId="77777777" w:rsidR="003949B2" w:rsidRPr="00B808E1" w:rsidRDefault="003949B2" w:rsidP="00CA6CF6">
      <w:pPr>
        <w:spacing w:before="120"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B808E1">
        <w:rPr>
          <w:rFonts w:ascii="Arial" w:eastAsia="Times New Roman" w:hAnsi="Arial" w:cs="Arial"/>
          <w:lang w:val="es-ES" w:eastAsia="es-MX"/>
        </w:rPr>
        <w:t xml:space="preserve">y los criterios de escogencia, elementos propios del procedimiento </w:t>
      </w:r>
      <w:r w:rsidRPr="00B808E1">
        <w:rPr>
          <w:rFonts w:ascii="Arial" w:eastAsia="Times New Roman" w:hAnsi="Arial" w:cs="Arial"/>
          <w:lang w:val="es-ES" w:eastAsia="es-MX"/>
        </w:rPr>
        <w:lastRenderedPageBreak/>
        <w:t>de selección del contratista, materia en la que existe reserva de ley y que no se encuentra atribuida a la regulación de las entidades territoriales</w:t>
      </w:r>
      <w:bookmarkEnd w:id="3"/>
      <w:r w:rsidRPr="00B808E1">
        <w:rPr>
          <w:rFonts w:ascii="Arial" w:eastAsia="Times New Roman" w:hAnsi="Arial" w:cs="Arial"/>
          <w:lang w:val="es-ES" w:eastAsia="es-MX"/>
        </w:rPr>
        <w:t>. De igual manera, se establece que esta autonomía se garantiza con la identificación autónoma de sus necesidades y la configuración de los elementos del contrato</w:t>
      </w:r>
      <w:bookmarkEnd w:id="2"/>
      <w:r w:rsidRPr="00B808E1">
        <w:rPr>
          <w:rFonts w:ascii="Arial" w:eastAsia="Times New Roman" w:hAnsi="Arial" w:cs="Arial"/>
          <w:vertAlign w:val="superscript"/>
          <w:lang w:val="es-ES" w:eastAsia="es-MX"/>
        </w:rPr>
        <w:footnoteReference w:id="4"/>
      </w:r>
      <w:r w:rsidRPr="00B808E1">
        <w:rPr>
          <w:rFonts w:ascii="Arial" w:eastAsia="Times New Roman" w:hAnsi="Arial" w:cs="Arial"/>
          <w:lang w:val="es-ES" w:eastAsia="es-MX"/>
        </w:rPr>
        <w:t>.</w:t>
      </w:r>
    </w:p>
    <w:p w14:paraId="2C077081" w14:textId="40E80C89" w:rsidR="003949B2" w:rsidRPr="00B808E1" w:rsidRDefault="003949B2" w:rsidP="00CA6CF6">
      <w:pPr>
        <w:spacing w:before="120"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w:t>
      </w:r>
      <w:r w:rsidR="00F106AF" w:rsidRPr="00B808E1">
        <w:rPr>
          <w:rFonts w:ascii="Arial" w:eastAsia="Times New Roman" w:hAnsi="Arial" w:cs="Arial"/>
          <w:lang w:val="es-ES" w:eastAsia="es-MX"/>
        </w:rPr>
        <w:t>,</w:t>
      </w:r>
      <w:r w:rsidRPr="00B808E1">
        <w:rPr>
          <w:rFonts w:ascii="Arial" w:eastAsia="Times New Roman" w:hAnsi="Arial" w:cs="Arial"/>
          <w:lang w:val="es-ES" w:eastAsia="es-MX"/>
        </w:rPr>
        <w:t xml:space="preserve"> además</w:t>
      </w:r>
      <w:r w:rsidR="00F106AF" w:rsidRPr="00B808E1">
        <w:rPr>
          <w:rFonts w:ascii="Arial" w:eastAsia="Times New Roman" w:hAnsi="Arial" w:cs="Arial"/>
          <w:lang w:val="es-ES" w:eastAsia="es-MX"/>
        </w:rPr>
        <w:t>,</w:t>
      </w:r>
      <w:r w:rsidRPr="00B808E1">
        <w:rPr>
          <w:rFonts w:ascii="Arial" w:eastAsia="Times New Roman" w:hAnsi="Arial" w:cs="Arial"/>
          <w:lang w:val="es-ES" w:eastAsia="es-MX"/>
        </w:rPr>
        <w:t xml:space="preserve"> se incluyen en la minuta del contrato las condiciones particulares del negocio jurídico a celebrar.</w:t>
      </w:r>
    </w:p>
    <w:p w14:paraId="3473C980" w14:textId="77777777" w:rsidR="003949B2" w:rsidRPr="00B808E1" w:rsidRDefault="003949B2" w:rsidP="00CA6CF6">
      <w:pPr>
        <w:spacing w:before="120" w:after="120" w:line="276" w:lineRule="auto"/>
        <w:jc w:val="both"/>
        <w:rPr>
          <w:rFonts w:ascii="Arial" w:eastAsia="Times New Roman" w:hAnsi="Arial" w:cs="Arial"/>
          <w:lang w:val="es-ES" w:eastAsia="es-MX"/>
        </w:rPr>
      </w:pPr>
      <w:r w:rsidRPr="00B808E1">
        <w:rPr>
          <w:rFonts w:ascii="Arial" w:eastAsia="Times New Roman" w:hAnsi="Arial" w:cs="Arial"/>
          <w:lang w:val="es-ES" w:eastAsia="es-MX"/>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5905F5A9" w14:textId="77777777" w:rsidR="003949B2" w:rsidRPr="00B808E1" w:rsidRDefault="003949B2" w:rsidP="00CA6CF6">
      <w:pPr>
        <w:spacing w:before="120" w:after="120" w:line="276" w:lineRule="auto"/>
        <w:ind w:firstLine="709"/>
        <w:jc w:val="both"/>
        <w:rPr>
          <w:rFonts w:ascii="Arial" w:eastAsia="Times New Roman" w:hAnsi="Arial" w:cs="Arial"/>
          <w:lang w:val="es-ES" w:eastAsia="es-MX"/>
        </w:rPr>
      </w:pPr>
      <w:r w:rsidRPr="00B808E1">
        <w:rPr>
          <w:rFonts w:ascii="Arial" w:eastAsia="Times New Roman" w:hAnsi="Arial" w:cs="Arial"/>
          <w:lang w:val="es-ES" w:eastAsia="es-MX"/>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B808E1" w:rsidDel="00A434AB">
        <w:rPr>
          <w:rFonts w:ascii="Arial" w:eastAsia="Times New Roman" w:hAnsi="Arial" w:cs="Arial"/>
          <w:lang w:val="es-ES" w:eastAsia="es-MX"/>
        </w:rPr>
        <w:t xml:space="preserve"> </w:t>
      </w:r>
      <w:r w:rsidRPr="00B808E1">
        <w:rPr>
          <w:rFonts w:ascii="Arial" w:eastAsia="Times New Roman" w:hAnsi="Arial" w:cs="Arial"/>
          <w:lang w:val="es-ES" w:eastAsia="es-MX"/>
        </w:rPr>
        <w:t xml:space="preserve">de infraestructura de transporte que se surtieran por la modalidad de mínima cuantía. Estos documentos fueron implementados y desarrollados por la Agencia Nacional de Contratación Pública </w:t>
      </w:r>
      <w:bookmarkStart w:id="4" w:name="_Hlk37841850"/>
      <w:r w:rsidRPr="00B808E1">
        <w:rPr>
          <w:rFonts w:ascii="Arial" w:eastAsia="Times New Roman" w:hAnsi="Arial" w:cs="Arial"/>
          <w:lang w:val="es-ES" w:eastAsia="es-MX"/>
        </w:rPr>
        <w:t xml:space="preserve">– Colombia Compra Eficiente, </w:t>
      </w:r>
      <w:bookmarkEnd w:id="4"/>
      <w:r w:rsidRPr="00B808E1">
        <w:rPr>
          <w:rFonts w:ascii="Arial" w:eastAsia="Times New Roman" w:hAnsi="Arial" w:cs="Arial"/>
          <w:lang w:val="es-ES" w:eastAsia="es-MX"/>
        </w:rPr>
        <w:t xml:space="preserve">por medio de la Resolución 1798 de 1 de abril de 2019 –derogada por la </w:t>
      </w:r>
      <w:r w:rsidRPr="00B808E1">
        <w:rPr>
          <w:rFonts w:ascii="Arial" w:eastAsia="Times New Roman" w:hAnsi="Arial" w:cs="Arial"/>
          <w:lang w:val="es-ES" w:eastAsia="es-MX"/>
        </w:rPr>
        <w:lastRenderedPageBreak/>
        <w:t>Resolución 045 del 14 de febrero de 2020–, la Resolución 044 del 14 de febrero de 2020 y la Resolución 094 del 21 de mayo de 2020.</w:t>
      </w:r>
    </w:p>
    <w:p w14:paraId="54AE3D25" w14:textId="77777777" w:rsidR="003949B2" w:rsidRPr="00B808E1" w:rsidRDefault="003949B2" w:rsidP="00CA6CF6">
      <w:pPr>
        <w:spacing w:before="120" w:after="120" w:line="276" w:lineRule="auto"/>
        <w:ind w:firstLine="709"/>
        <w:jc w:val="both"/>
        <w:rPr>
          <w:rFonts w:ascii="Arial" w:eastAsia="Calibri" w:hAnsi="Arial" w:cs="Arial"/>
          <w:lang w:val="es-ES" w:eastAsia="es-ES"/>
        </w:rPr>
      </w:pPr>
      <w:r w:rsidRPr="00B808E1">
        <w:rPr>
          <w:rFonts w:ascii="Arial" w:eastAsia="Calibri" w:hAnsi="Arial" w:cs="Arial"/>
          <w:lang w:val="es-ES" w:eastAsia="es-ES"/>
        </w:rPr>
        <w:t>Por otra parte</w:t>
      </w:r>
      <w:r w:rsidRPr="00B808E1">
        <w:rPr>
          <w:rFonts w:ascii="Arial" w:eastAsia="Calibri" w:hAnsi="Arial" w:cs="Arial"/>
          <w:i/>
          <w:iCs/>
          <w:lang w:val="es-ES" w:eastAsia="es-ES"/>
        </w:rPr>
        <w:t>,</w:t>
      </w:r>
      <w:r w:rsidRPr="00B808E1">
        <w:rPr>
          <w:rFonts w:ascii="Arial" w:eastAsia="Calibri" w:hAnsi="Arial" w:cs="Arial"/>
          <w:lang w:val="es-ES" w:eastAsia="es-ES"/>
        </w:rPr>
        <w:t xml:space="preserve"> debe tenerse en cuenta que </w:t>
      </w:r>
      <w:r w:rsidRPr="00B808E1">
        <w:rPr>
          <w:rFonts w:ascii="Arial" w:eastAsia="Times New Roman" w:hAnsi="Arial" w:cs="Arial"/>
          <w:lang w:val="es-ES_tradnl" w:eastAsia="es-ES"/>
        </w:rPr>
        <w:t>posteriormente fue expedida la Ley 2022 de 2020 «Por la cual modifica el artículo 4 de la ley 1882 de 2018 y se dictan otras disposiciones». En su artículo 1, esta norma modificó el Articulo 4 de la Ley 1882 de 2018</w:t>
      </w:r>
      <w:r w:rsidRPr="00B808E1">
        <w:rPr>
          <w:rFonts w:ascii="Arial" w:eastAsia="Times New Roman" w:hAnsi="Arial" w:cs="Arial"/>
          <w:vertAlign w:val="superscript"/>
          <w:lang w:val="es-ES_tradnl" w:eastAsia="es-ES"/>
        </w:rPr>
        <w:footnoteReference w:id="5"/>
      </w:r>
      <w:r w:rsidRPr="00B808E1">
        <w:rPr>
          <w:rFonts w:ascii="Arial" w:eastAsia="Times New Roman" w:hAnsi="Arial" w:cs="Arial"/>
          <w:lang w:val="es-ES_tradnl" w:eastAsia="es-ES"/>
        </w:rPr>
        <w:t xml:space="preserve"> , estableciendo a cargo de esta Agencia la adopción de documentos tipo que serán de obligatorio cumplimiento en la actividad contractual de todas las entidades sometidas al Estatuto General de Contratación de la Administración Pública. </w:t>
      </w:r>
      <w:r w:rsidRPr="00B808E1">
        <w:rPr>
          <w:rFonts w:ascii="Arial" w:eastAsia="Calibri" w:hAnsi="Arial" w:cs="Arial"/>
          <w:lang w:val="es-ES" w:eastAsia="es-ES"/>
        </w:rPr>
        <w:t xml:space="preserve">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3B6C8BBC" w14:textId="77777777" w:rsidR="003949B2" w:rsidRPr="00B808E1" w:rsidRDefault="003949B2" w:rsidP="00CA6CF6">
      <w:pPr>
        <w:spacing w:before="120" w:after="120" w:line="276" w:lineRule="auto"/>
        <w:ind w:firstLine="709"/>
        <w:jc w:val="both"/>
        <w:rPr>
          <w:rFonts w:ascii="Arial" w:eastAsia="Calibri" w:hAnsi="Arial" w:cs="Arial"/>
          <w:lang w:val="es-ES" w:eastAsia="es-ES"/>
        </w:rPr>
      </w:pPr>
      <w:r w:rsidRPr="00B808E1">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4E39763A" w14:textId="77777777" w:rsidR="003949B2" w:rsidRPr="00B808E1" w:rsidRDefault="003949B2" w:rsidP="00CA6CF6">
      <w:pPr>
        <w:spacing w:before="120" w:after="120" w:line="276" w:lineRule="auto"/>
        <w:ind w:firstLine="709"/>
        <w:jc w:val="both"/>
        <w:rPr>
          <w:rFonts w:ascii="Arial" w:eastAsia="Calibri" w:hAnsi="Arial" w:cs="Arial"/>
          <w:lang w:val="es-ES" w:eastAsia="es-ES"/>
        </w:rPr>
      </w:pPr>
      <w:r w:rsidRPr="00B808E1">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0D795B20" w14:textId="77777777" w:rsidR="003949B2" w:rsidRPr="00B808E1" w:rsidRDefault="003949B2" w:rsidP="00CA6CF6">
      <w:pPr>
        <w:spacing w:before="120" w:after="120" w:line="276" w:lineRule="auto"/>
        <w:ind w:firstLine="709"/>
        <w:jc w:val="both"/>
        <w:rPr>
          <w:rFonts w:ascii="Arial" w:eastAsia="Times New Roman" w:hAnsi="Arial" w:cs="Arial"/>
          <w:lang w:val="es-ES_tradnl" w:eastAsia="es-ES"/>
        </w:rPr>
      </w:pPr>
      <w:r w:rsidRPr="00B808E1">
        <w:rPr>
          <w:rFonts w:ascii="Arial" w:eastAsia="Calibri" w:hAnsi="Arial" w:cs="Arial"/>
          <w:lang w:val="es-ES" w:eastAsia="es-ES"/>
        </w:rPr>
        <w:lastRenderedPageBreak/>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expidió la Resolución 219 del 6 de agosto de 2021 «</w:t>
      </w:r>
      <w:r w:rsidRPr="00B808E1">
        <w:rPr>
          <w:rFonts w:ascii="Arial" w:eastAsia="Times New Roman" w:hAnsi="Arial" w:cs="Arial"/>
          <w:lang w:val="es-ES_tradnl" w:eastAsia="es-ES"/>
        </w:rPr>
        <w:t xml:space="preserve">Por la cual se adoptan los documentos tipo para los procesos de licitación de obra pública de infraestructura social» y la Resolución 220 del 6 de agosto de 2021 «Por la cual se adoptan los documentos tipo complementarios para los procesos de licitación de obra pública de infraestructura social relacionados con el sector educativo». </w:t>
      </w:r>
    </w:p>
    <w:p w14:paraId="03A99C1E" w14:textId="77777777" w:rsidR="003949B2" w:rsidRPr="00B808E1" w:rsidRDefault="003949B2" w:rsidP="00CA6CF6">
      <w:pPr>
        <w:spacing w:before="120" w:after="120" w:line="276" w:lineRule="auto"/>
        <w:ind w:firstLine="709"/>
        <w:jc w:val="both"/>
        <w:rPr>
          <w:rFonts w:ascii="Arial" w:eastAsia="Calibri" w:hAnsi="Arial" w:cs="Arial"/>
          <w:lang w:val="es-ES" w:eastAsia="es-ES"/>
        </w:rPr>
      </w:pPr>
      <w:r w:rsidRPr="00B808E1">
        <w:rPr>
          <w:rFonts w:ascii="Arial" w:eastAsia="Calibri" w:hAnsi="Arial" w:cs="Arial"/>
          <w:lang w:val="es-ES_tradnl" w:eastAsia="es-ES"/>
        </w:rPr>
        <w:t>Finalmente, 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1CD6D4F0" w14:textId="77777777" w:rsidR="003949B2" w:rsidRPr="00B808E1" w:rsidRDefault="003949B2" w:rsidP="00CA6CF6">
      <w:pPr>
        <w:spacing w:before="120" w:after="120" w:line="276" w:lineRule="auto"/>
        <w:ind w:firstLine="709"/>
        <w:jc w:val="both"/>
        <w:rPr>
          <w:rFonts w:ascii="Arial" w:eastAsia="Calibri" w:hAnsi="Arial" w:cs="Arial"/>
          <w:lang w:val="es-ES" w:eastAsia="es-ES"/>
        </w:rPr>
      </w:pPr>
      <w:r w:rsidRPr="00B808E1">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78B3AAD7"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r w:rsidRPr="00B808E1">
        <w:rPr>
          <w:rFonts w:ascii="Arial" w:eastAsia="Calibri" w:hAnsi="Arial" w:cs="Arial"/>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1FADE807"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ii</w:t>
      </w:r>
      <w:proofErr w:type="spellEnd"/>
      <w:r w:rsidRPr="00B808E1">
        <w:rPr>
          <w:rFonts w:ascii="Arial" w:eastAsia="Calibri" w:hAnsi="Arial" w:cs="Arial"/>
          <w:lang w:val="es-ES_tradnl" w:eastAsia="es-ES"/>
        </w:rPr>
        <w:t>) Documentos tipo para licitación de obra pública de infraestructura de transporte –versión 2–, obligatorios para los procesos cuyo aviso de convocatoria se haya publicado desde el 10 de marzo de 2020.</w:t>
      </w:r>
    </w:p>
    <w:p w14:paraId="6DAB1A00"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iii</w:t>
      </w:r>
      <w:proofErr w:type="spellEnd"/>
      <w:r w:rsidRPr="00B808E1">
        <w:rPr>
          <w:rFonts w:ascii="Arial" w:eastAsia="Calibri" w:hAnsi="Arial" w:cs="Arial"/>
          <w:lang w:val="es-ES_tradnl" w:eastAsia="es-ES"/>
        </w:rPr>
        <w:t>) Documentos tipo para licitación de obra pública de infraestructura de transporte –versión 3–, obligatorios para los procesos cuyo aviso de convocatoria se haya publicado desde el 1 de enero de 2021.</w:t>
      </w:r>
    </w:p>
    <w:p w14:paraId="58115A73"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iv</w:t>
      </w:r>
      <w:proofErr w:type="spellEnd"/>
      <w:r w:rsidRPr="00B808E1">
        <w:rPr>
          <w:rFonts w:ascii="Arial" w:eastAsia="Calibri" w:hAnsi="Arial" w:cs="Arial"/>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2CC7CFB6"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r w:rsidRPr="00B808E1">
        <w:rPr>
          <w:rFonts w:ascii="Arial" w:eastAsia="Calibri" w:hAnsi="Arial" w:cs="Arial"/>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08783C1B"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r w:rsidRPr="00B808E1">
        <w:rPr>
          <w:rFonts w:ascii="Arial" w:eastAsia="Calibri" w:hAnsi="Arial" w:cs="Arial"/>
          <w:lang w:val="es-ES_tradnl" w:eastAsia="es-ES"/>
        </w:rPr>
        <w:lastRenderedPageBreak/>
        <w:t>vi) Documentos tipo para procesos de mínima cuantía de infraestructura de transporte, obligatorios para los procesos cuya invitación pública se haya publicado a partir del 10 de junio de 2020.</w:t>
      </w:r>
    </w:p>
    <w:p w14:paraId="07A69A20"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vii</w:t>
      </w:r>
      <w:proofErr w:type="spellEnd"/>
      <w:r w:rsidRPr="00B808E1">
        <w:rPr>
          <w:rFonts w:ascii="Arial" w:eastAsia="Calibri" w:hAnsi="Arial" w:cs="Arial"/>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1D736796"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viii</w:t>
      </w:r>
      <w:proofErr w:type="spellEnd"/>
      <w:r w:rsidRPr="00B808E1">
        <w:rPr>
          <w:rFonts w:ascii="Arial" w:eastAsia="Calibri" w:hAnsi="Arial" w:cs="Arial"/>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6F59B48A"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ix</w:t>
      </w:r>
      <w:proofErr w:type="spellEnd"/>
      <w:r w:rsidRPr="00B808E1">
        <w:rPr>
          <w:rFonts w:ascii="Arial" w:eastAsia="Calibri" w:hAnsi="Arial" w:cs="Arial"/>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5F70042C"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r w:rsidRPr="00B808E1">
        <w:rPr>
          <w:rFonts w:ascii="Arial" w:eastAsia="Calibri" w:hAnsi="Arial" w:cs="Arial"/>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675CF781" w14:textId="77777777" w:rsidR="003949B2" w:rsidRPr="00B808E1" w:rsidRDefault="003949B2" w:rsidP="00CA6CF6">
      <w:pPr>
        <w:spacing w:before="120" w:after="120" w:line="276" w:lineRule="auto"/>
        <w:ind w:firstLine="709"/>
        <w:jc w:val="both"/>
        <w:rPr>
          <w:rFonts w:ascii="Arial" w:eastAsia="Calibri" w:hAnsi="Arial" w:cs="Arial"/>
          <w:lang w:val="es-ES_tradnl" w:eastAsia="es-ES"/>
        </w:rPr>
      </w:pPr>
      <w:r w:rsidRPr="00B808E1">
        <w:rPr>
          <w:rFonts w:ascii="Arial" w:eastAsia="Calibri" w:hAnsi="Arial" w:cs="Arial"/>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749002CD" w14:textId="77777777" w:rsidR="003949B2" w:rsidRPr="00B808E1" w:rsidRDefault="003949B2" w:rsidP="00CA6CF6">
      <w:pPr>
        <w:spacing w:after="120" w:line="276" w:lineRule="auto"/>
        <w:ind w:firstLine="709"/>
        <w:jc w:val="both"/>
        <w:rPr>
          <w:rFonts w:ascii="Arial" w:eastAsia="Calibri" w:hAnsi="Arial" w:cs="Arial"/>
          <w:lang w:val="es-ES_tradnl" w:eastAsia="es-ES"/>
        </w:rPr>
      </w:pPr>
      <w:proofErr w:type="spellStart"/>
      <w:r w:rsidRPr="00B808E1">
        <w:rPr>
          <w:rFonts w:ascii="Arial" w:eastAsia="Calibri" w:hAnsi="Arial" w:cs="Arial"/>
          <w:lang w:val="es-ES_tradnl" w:eastAsia="es-ES"/>
        </w:rPr>
        <w:t>xii</w:t>
      </w:r>
      <w:proofErr w:type="spellEnd"/>
      <w:r w:rsidRPr="00B808E1">
        <w:rPr>
          <w:rFonts w:ascii="Arial" w:eastAsia="Calibri" w:hAnsi="Arial" w:cs="Arial"/>
          <w:lang w:val="es-ES_tradnl" w:eastAsia="es-ES"/>
        </w:rPr>
        <w:t>) Documentos tipo para los procesos de licitación de obra pública de infraestructura social, concretamente, para infraestructura en el sector educativo, obligatorios para los procesos cuyo aviso de convocatoria se publiquen desde el 2 de noviembre de 2021.</w:t>
      </w:r>
    </w:p>
    <w:p w14:paraId="53C864BD" w14:textId="77777777" w:rsidR="003949B2" w:rsidRPr="00B808E1" w:rsidRDefault="003949B2" w:rsidP="003949B2">
      <w:pPr>
        <w:spacing w:before="120" w:after="0" w:line="276" w:lineRule="auto"/>
        <w:ind w:firstLine="709"/>
        <w:jc w:val="both"/>
        <w:rPr>
          <w:rFonts w:ascii="Arial" w:eastAsia="Calibri" w:hAnsi="Arial" w:cs="Arial"/>
          <w:lang w:val="es-ES" w:eastAsia="es-ES"/>
        </w:rPr>
      </w:pPr>
      <w:r w:rsidRPr="00B808E1">
        <w:rPr>
          <w:rFonts w:ascii="Arial" w:eastAsia="Calibri" w:hAnsi="Arial" w:cs="Arial"/>
          <w:lang w:val="es-ES" w:eastAsia="es-ES"/>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49CD80A6" w14:textId="77777777" w:rsidR="003949B2" w:rsidRPr="00B808E1" w:rsidRDefault="003949B2" w:rsidP="00CA6CF6">
      <w:pPr>
        <w:spacing w:after="0" w:line="276" w:lineRule="auto"/>
        <w:contextualSpacing/>
        <w:rPr>
          <w:rFonts w:ascii="Arial" w:eastAsia="Times New Roman" w:hAnsi="Arial" w:cs="Arial"/>
          <w:lang w:eastAsia="es-MX"/>
        </w:rPr>
      </w:pPr>
    </w:p>
    <w:p w14:paraId="6BCD3FE9" w14:textId="44C11542" w:rsidR="003949B2" w:rsidRPr="00B808E1" w:rsidRDefault="003949B2" w:rsidP="00CA6CF6">
      <w:pPr>
        <w:spacing w:after="0" w:line="276" w:lineRule="auto"/>
        <w:contextualSpacing/>
        <w:jc w:val="both"/>
        <w:rPr>
          <w:rFonts w:ascii="Arial" w:eastAsia="Calibri" w:hAnsi="Arial" w:cs="Arial"/>
          <w:b/>
          <w:bCs/>
          <w:lang w:val="es-ES_tradnl"/>
        </w:rPr>
      </w:pPr>
      <w:r w:rsidRPr="00B808E1">
        <w:rPr>
          <w:rFonts w:ascii="Arial" w:eastAsia="Calibri" w:hAnsi="Arial" w:cs="Arial"/>
          <w:b/>
          <w:bCs/>
          <w:lang w:val="es-ES" w:eastAsia="es-ES"/>
        </w:rPr>
        <w:t xml:space="preserve">2.2. </w:t>
      </w:r>
      <w:r w:rsidR="00CA6CF6" w:rsidRPr="00B808E1">
        <w:rPr>
          <w:rFonts w:ascii="Arial" w:eastAsia="Calibri" w:hAnsi="Arial" w:cs="Arial"/>
          <w:b/>
          <w:bCs/>
        </w:rPr>
        <w:t xml:space="preserve">Documentos tipo para </w:t>
      </w:r>
      <w:r w:rsidR="00CA6CF6" w:rsidRPr="00B808E1">
        <w:rPr>
          <w:rFonts w:ascii="Arial" w:eastAsia="Calibri" w:hAnsi="Arial" w:cs="Arial"/>
          <w:b/>
          <w:lang w:val="es-ES_tradnl"/>
        </w:rPr>
        <w:t>obra pública de infraestructura s</w:t>
      </w:r>
      <w:r w:rsidR="00CA6CF6" w:rsidRPr="00B808E1">
        <w:rPr>
          <w:rFonts w:ascii="Arial" w:eastAsia="Calibri" w:hAnsi="Arial" w:cs="Arial"/>
          <w:b/>
          <w:bCs/>
          <w:lang w:val="es-ES_tradnl"/>
        </w:rPr>
        <w:t>ocial</w:t>
      </w:r>
    </w:p>
    <w:p w14:paraId="671B9907" w14:textId="77777777" w:rsidR="00CA6CF6" w:rsidRPr="00B808E1" w:rsidRDefault="00CA6CF6" w:rsidP="00CA6CF6">
      <w:pPr>
        <w:spacing w:after="0" w:line="276" w:lineRule="auto"/>
        <w:contextualSpacing/>
        <w:jc w:val="both"/>
        <w:rPr>
          <w:rFonts w:ascii="Arial" w:eastAsia="Calibri" w:hAnsi="Arial" w:cs="Arial"/>
          <w:b/>
          <w:bCs/>
          <w:lang w:val="es-ES" w:eastAsia="es-ES"/>
        </w:rPr>
      </w:pPr>
    </w:p>
    <w:p w14:paraId="2C27B78F" w14:textId="77777777" w:rsidR="00CA6CF6" w:rsidRPr="00B808E1" w:rsidRDefault="00CA6CF6" w:rsidP="00CA6CF6">
      <w:pPr>
        <w:spacing w:after="0" w:line="276" w:lineRule="auto"/>
        <w:contextualSpacing/>
        <w:jc w:val="both"/>
        <w:rPr>
          <w:rFonts w:ascii="Arial" w:hAnsi="Arial" w:cs="Arial"/>
          <w:lang w:val="es-ES"/>
        </w:rPr>
      </w:pPr>
      <w:r w:rsidRPr="00B808E1">
        <w:rPr>
          <w:rFonts w:ascii="Arial" w:eastAsia="Calibri" w:hAnsi="Arial" w:cs="Arial"/>
        </w:rPr>
        <w:t xml:space="preserve">En desarrollo de la Ley 2022 de 2020, la Agencia Nacional de Contratación Pública – Colombia Compra Eficiente expidió la Resolución 219 </w:t>
      </w:r>
      <w:r w:rsidRPr="00B808E1">
        <w:rPr>
          <w:rFonts w:ascii="Arial" w:hAnsi="Arial" w:cs="Arial"/>
          <w:bCs/>
          <w:lang w:eastAsia="es-ES_tradnl"/>
        </w:rPr>
        <w:t xml:space="preserve">del 6 de agosto </w:t>
      </w:r>
      <w:r w:rsidRPr="00B808E1">
        <w:rPr>
          <w:rFonts w:ascii="Arial" w:eastAsia="Calibri" w:hAnsi="Arial" w:cs="Arial"/>
        </w:rPr>
        <w:t xml:space="preserve">de 2021, </w:t>
      </w:r>
      <w:r w:rsidRPr="00B808E1">
        <w:rPr>
          <w:rFonts w:ascii="Arial" w:eastAsia="Calibri" w:hAnsi="Arial" w:cs="Arial"/>
          <w:i/>
          <w:iCs/>
        </w:rPr>
        <w:t>«Por la cual se adoptan los documentos tipo para los procesos de licitación de obra pública de infraestructura social»</w:t>
      </w:r>
      <w:r w:rsidRPr="00B808E1">
        <w:rPr>
          <w:rFonts w:ascii="Arial" w:eastAsia="Calibri" w:hAnsi="Arial" w:cs="Arial"/>
        </w:rPr>
        <w:t xml:space="preserve">. Dentro de esta categoría fue incluida la infraestructura asociada a </w:t>
      </w:r>
      <w:r w:rsidRPr="00B808E1">
        <w:rPr>
          <w:rFonts w:ascii="Arial" w:eastAsia="Calibri" w:hAnsi="Arial" w:cs="Arial"/>
        </w:rPr>
        <w:lastRenderedPageBreak/>
        <w:t>los sectores de la salud, el educativo y el de cultura, recreación y deporte,</w:t>
      </w:r>
      <w:r w:rsidRPr="00B808E1">
        <w:rPr>
          <w:rFonts w:ascii="Arial" w:hAnsi="Arial" w:cs="Arial"/>
          <w:lang w:val="es-ES"/>
        </w:rPr>
        <w:t xml:space="preserve"> tal como lo establece el parágrafo 2 del artículo 2 de la resolución indicada, de la siguiente manera: </w:t>
      </w:r>
    </w:p>
    <w:p w14:paraId="080B7C28" w14:textId="77777777" w:rsidR="00CA6CF6" w:rsidRPr="00B808E1" w:rsidRDefault="00CA6CF6" w:rsidP="00CA6CF6">
      <w:pPr>
        <w:spacing w:after="0" w:line="276" w:lineRule="auto"/>
        <w:ind w:left="709" w:right="709"/>
        <w:contextualSpacing/>
        <w:jc w:val="both"/>
        <w:rPr>
          <w:rFonts w:ascii="Arial" w:hAnsi="Arial" w:cs="Arial"/>
          <w:sz w:val="21"/>
          <w:szCs w:val="21"/>
          <w:lang w:val="es-ES"/>
        </w:rPr>
      </w:pPr>
    </w:p>
    <w:p w14:paraId="0AB9AC2A" w14:textId="05F7A1EC" w:rsidR="00CA6CF6" w:rsidRPr="00B808E1" w:rsidRDefault="00CA6CF6" w:rsidP="00CA6CF6">
      <w:pPr>
        <w:spacing w:after="0" w:line="240" w:lineRule="auto"/>
        <w:ind w:left="709" w:right="709"/>
        <w:contextualSpacing/>
        <w:jc w:val="both"/>
        <w:rPr>
          <w:rFonts w:ascii="Arial" w:hAnsi="Arial" w:cs="Arial"/>
          <w:sz w:val="21"/>
          <w:szCs w:val="21"/>
          <w:lang w:val="es-ES"/>
        </w:rPr>
      </w:pPr>
      <w:r w:rsidRPr="00B808E1">
        <w:rPr>
          <w:rFonts w:ascii="Arial" w:hAnsi="Arial" w:cs="Arial"/>
          <w:sz w:val="21"/>
          <w:szCs w:val="21"/>
          <w:lang w:val="es-ES"/>
        </w:rPr>
        <w:t xml:space="preserve">Estos documentos tipo aplicarán a los proyectos de infraestructura social, tales como, </w:t>
      </w:r>
      <w:r w:rsidRPr="00B808E1">
        <w:rPr>
          <w:rFonts w:ascii="Arial" w:hAnsi="Arial" w:cs="Arial"/>
          <w:i/>
          <w:iCs/>
          <w:sz w:val="21"/>
          <w:szCs w:val="21"/>
          <w:lang w:val="es-ES"/>
        </w:rPr>
        <w:t>sector educativo, sector salud y sector cultural, recreación y deporte, de conformidad con cada una de las resoluciones que expida la Agencia Nacional de Contratación Pública -Colombia Compra Eficiente-</w:t>
      </w:r>
      <w:r w:rsidRPr="00B808E1">
        <w:rPr>
          <w:rFonts w:ascii="Arial" w:hAnsi="Arial" w:cs="Arial"/>
          <w:sz w:val="21"/>
          <w:szCs w:val="21"/>
          <w:lang w:val="es-ES"/>
        </w:rPr>
        <w:t>, donde se precisará el alcance concreto de estos documentos tipo; sin perjuicio de que se incluyan otros tipos de infraestructura social. (Énfasis fuera del texto)</w:t>
      </w:r>
    </w:p>
    <w:p w14:paraId="6404E64B" w14:textId="77777777" w:rsidR="00CA6CF6" w:rsidRPr="00B808E1" w:rsidRDefault="00CA6CF6" w:rsidP="00CA6CF6">
      <w:pPr>
        <w:spacing w:after="0" w:line="276" w:lineRule="auto"/>
        <w:ind w:firstLine="709"/>
        <w:contextualSpacing/>
        <w:jc w:val="both"/>
        <w:rPr>
          <w:rFonts w:ascii="Arial" w:hAnsi="Arial" w:cs="Arial"/>
          <w:lang w:val="es-ES"/>
        </w:rPr>
      </w:pPr>
    </w:p>
    <w:p w14:paraId="100E781D" w14:textId="02ED488C" w:rsidR="00CA6CF6" w:rsidRPr="00B808E1" w:rsidRDefault="00CA6CF6" w:rsidP="00BF0282">
      <w:pPr>
        <w:spacing w:after="120" w:line="276" w:lineRule="auto"/>
        <w:ind w:firstLine="709"/>
        <w:jc w:val="both"/>
        <w:rPr>
          <w:rFonts w:ascii="Arial" w:hAnsi="Arial" w:cs="Arial"/>
          <w:lang w:val="es-ES"/>
        </w:rPr>
      </w:pPr>
      <w:r w:rsidRPr="00B808E1">
        <w:rPr>
          <w:rFonts w:ascii="Arial" w:hAnsi="Arial" w:cs="Arial"/>
          <w:lang w:val="es-ES"/>
        </w:rPr>
        <w:t xml:space="preserve">Como puede observarse, la Resolución 219 de 2021 contiene un listado enunciativo de </w:t>
      </w:r>
      <w:bookmarkStart w:id="5" w:name="_Hlk104227355"/>
      <w:r w:rsidRPr="00B808E1">
        <w:rPr>
          <w:rFonts w:ascii="Arial" w:hAnsi="Arial" w:cs="Arial"/>
          <w:lang w:val="es-ES"/>
        </w:rPr>
        <w:t xml:space="preserve">los sectores relacionados con los proyectos de infraestructura social a los cuales aplican los documentos tipo –educativo; salud; cultura, recreación y deporte–. </w:t>
      </w:r>
      <w:bookmarkEnd w:id="5"/>
      <w:r w:rsidRPr="00B808E1">
        <w:rPr>
          <w:rFonts w:ascii="Arial" w:hAnsi="Arial" w:cs="Arial"/>
          <w:lang w:val="es-ES"/>
        </w:rPr>
        <w:t xml:space="preserve">También precisa que el alcance de cada sector estará dado por las resoluciones posteriores que expida la Agencia. A su vez, esas resoluciones desarrollarán las matrices de experiencia y los glosarios que definirán concretamente cada sector, mediante los cuales se precisará de forma detallada su ámbito de aplicación.  </w:t>
      </w:r>
    </w:p>
    <w:p w14:paraId="1622B47F" w14:textId="4A24A07C" w:rsidR="00CA6CF6" w:rsidRPr="00B808E1" w:rsidRDefault="00CA6CF6" w:rsidP="00BF0282">
      <w:pPr>
        <w:spacing w:after="120" w:line="276" w:lineRule="auto"/>
        <w:ind w:firstLine="709"/>
        <w:jc w:val="both"/>
        <w:rPr>
          <w:rFonts w:ascii="Arial" w:hAnsi="Arial" w:cs="Arial"/>
          <w:bCs/>
          <w:lang w:val="es-ES" w:eastAsia="es-ES_tradnl"/>
        </w:rPr>
      </w:pPr>
      <w:r w:rsidRPr="00B808E1">
        <w:rPr>
          <w:rFonts w:ascii="Arial" w:hAnsi="Arial" w:cs="Arial"/>
          <w:lang w:val="es-ES"/>
        </w:rPr>
        <w:t>Así lo señala el parágrafo 3 del artículo 2</w:t>
      </w:r>
      <w:r w:rsidR="00FC41C8" w:rsidRPr="00B808E1">
        <w:rPr>
          <w:rFonts w:ascii="Arial" w:hAnsi="Arial" w:cs="Arial"/>
          <w:lang w:val="es-ES"/>
        </w:rPr>
        <w:t>,</w:t>
      </w:r>
      <w:r w:rsidRPr="00B808E1">
        <w:rPr>
          <w:rFonts w:ascii="Arial" w:hAnsi="Arial" w:cs="Arial"/>
          <w:lang w:val="es-ES"/>
        </w:rPr>
        <w:t xml:space="preserve"> que dispone lo siguiente:</w:t>
      </w:r>
      <w:r w:rsidRPr="00B808E1">
        <w:rPr>
          <w:rFonts w:ascii="Arial" w:eastAsia="Calibri" w:hAnsi="Arial" w:cs="Arial"/>
        </w:rPr>
        <w:t xml:space="preserve"> «</w:t>
      </w:r>
      <w:r w:rsidRPr="00B808E1">
        <w:rPr>
          <w:rFonts w:ascii="Arial" w:hAnsi="Arial" w:cs="Arial"/>
          <w:lang w:val="es-ES"/>
        </w:rPr>
        <w:t>Los documentos tipo de infraestructura social empezarán a regir para cada sector, esto es, educativo, salud y cultura, recreación y deporte, de acuerdo con lo dispuesto en las resoluciones mediante las cuales se adopten cada una de las matrices de experiencia y glosarios aplicables a cada sector</w:t>
      </w:r>
      <w:r w:rsidRPr="00B808E1">
        <w:rPr>
          <w:rFonts w:ascii="Arial" w:eastAsia="Calibri" w:hAnsi="Arial" w:cs="Arial"/>
        </w:rPr>
        <w:t>».</w:t>
      </w:r>
      <w:r w:rsidRPr="00B808E1">
        <w:rPr>
          <w:rFonts w:ascii="Arial" w:hAnsi="Arial" w:cs="Arial"/>
          <w:lang w:val="es-ES"/>
        </w:rPr>
        <w:t xml:space="preserve"> En concordancia, el «Documento Base» de </w:t>
      </w:r>
      <w:r w:rsidRPr="00B808E1">
        <w:rPr>
          <w:rFonts w:ascii="Arial" w:eastAsia="Calibri" w:hAnsi="Arial" w:cs="Arial"/>
        </w:rPr>
        <w:t>licitación de obra pública de infraestructura social</w:t>
      </w:r>
      <w:r w:rsidRPr="00B808E1">
        <w:rPr>
          <w:rStyle w:val="Refdenotaalpie"/>
          <w:rFonts w:ascii="Arial" w:hAnsi="Arial" w:cs="Arial"/>
          <w:lang w:val="es-ES"/>
        </w:rPr>
        <w:footnoteReference w:id="6"/>
      </w:r>
      <w:r w:rsidRPr="00B808E1">
        <w:rPr>
          <w:rFonts w:ascii="Arial" w:eastAsia="Calibri" w:hAnsi="Arial" w:cs="Arial"/>
        </w:rPr>
        <w:t xml:space="preserve"> prescribe en la parte introductoria que «</w:t>
      </w:r>
      <w:r w:rsidRPr="00B808E1">
        <w:rPr>
          <w:rFonts w:ascii="Arial" w:hAnsi="Arial" w:cs="Arial"/>
          <w:bCs/>
          <w:lang w:eastAsia="es-CO"/>
        </w:rPr>
        <w:t>Este Documento Tipo de “infraestructura social” aplica a los procesos que correspondan a las actividades definidas en las matrices de experiencia, expedidas por la Agencia Nacional de Contratación Pública – Colombia Compra Eficiente para los sectores educativo, salud y cultura, recreación y deporte, sin perjuicio de que dicha Agencia incluya otros tipos de “infraestructura social”</w:t>
      </w:r>
      <w:r w:rsidRPr="00B808E1">
        <w:rPr>
          <w:rFonts w:ascii="Arial" w:eastAsia="Calibri" w:hAnsi="Arial" w:cs="Arial"/>
        </w:rPr>
        <w:t>».</w:t>
      </w:r>
    </w:p>
    <w:p w14:paraId="42F621B2" w14:textId="6BB7AD64" w:rsidR="009C1504" w:rsidRPr="00B808E1" w:rsidRDefault="00CA6CF6" w:rsidP="00BF0282">
      <w:pPr>
        <w:spacing w:after="120" w:line="276" w:lineRule="auto"/>
        <w:ind w:firstLine="709"/>
        <w:jc w:val="both"/>
        <w:rPr>
          <w:rFonts w:ascii="Arial" w:hAnsi="Arial" w:cs="Arial"/>
          <w:lang w:val="es-ES"/>
        </w:rPr>
      </w:pPr>
      <w:bookmarkStart w:id="6" w:name="_Hlk103955412"/>
      <w:r w:rsidRPr="00B808E1">
        <w:rPr>
          <w:rFonts w:ascii="Arial" w:hAnsi="Arial" w:cs="Arial"/>
          <w:bCs/>
          <w:lang w:val="es-ES" w:eastAsia="es-ES_tradnl"/>
        </w:rPr>
        <w:t xml:space="preserve">Cabe anotar que </w:t>
      </w:r>
      <w:r w:rsidRPr="00B808E1">
        <w:rPr>
          <w:rFonts w:ascii="Arial" w:hAnsi="Arial" w:cs="Arial"/>
          <w:bCs/>
          <w:lang w:eastAsia="es-ES_tradnl"/>
        </w:rPr>
        <w:t xml:space="preserve">la Resolución 219 del 6 de agosto de 2021 contiene los documentos tipo que aplican </w:t>
      </w:r>
      <w:r w:rsidRPr="00B808E1">
        <w:rPr>
          <w:rFonts w:ascii="Arial" w:hAnsi="Arial" w:cs="Arial"/>
          <w:lang w:val="es-ES"/>
        </w:rPr>
        <w:t>de forma transversal a los proyectos de infraestructura social en los sectores educativo</w:t>
      </w:r>
      <w:r w:rsidR="007807CB" w:rsidRPr="00B808E1">
        <w:rPr>
          <w:rFonts w:ascii="Arial" w:hAnsi="Arial" w:cs="Arial"/>
          <w:lang w:val="es-ES"/>
        </w:rPr>
        <w:t>,</w:t>
      </w:r>
      <w:r w:rsidRPr="00B808E1">
        <w:rPr>
          <w:rFonts w:ascii="Arial" w:hAnsi="Arial" w:cs="Arial"/>
          <w:lang w:val="es-ES"/>
        </w:rPr>
        <w:t xml:space="preserve"> salud</w:t>
      </w:r>
      <w:r w:rsidR="007807CB" w:rsidRPr="00B808E1">
        <w:rPr>
          <w:rFonts w:ascii="Arial" w:hAnsi="Arial" w:cs="Arial"/>
          <w:lang w:val="es-ES"/>
        </w:rPr>
        <w:t>,</w:t>
      </w:r>
      <w:r w:rsidRPr="00B808E1">
        <w:rPr>
          <w:rFonts w:ascii="Arial" w:hAnsi="Arial" w:cs="Arial"/>
          <w:lang w:val="es-ES"/>
        </w:rPr>
        <w:t xml:space="preserve"> cultura, recreación y deporte. Estos documentos son el documento base, los anexos, los formatos, los formularios y las matrices, los cuales se complementarán con cada una de las resoluciones que adoptan las matrices de experiencia y los anexos de glosario para cada uno de los sectores, definiendo así su alcance y vigencia.</w:t>
      </w:r>
    </w:p>
    <w:p w14:paraId="7C6FFC8A" w14:textId="5CF130BC" w:rsidR="009C1504" w:rsidRPr="00B808E1" w:rsidRDefault="00CA6CF6" w:rsidP="00BF0282">
      <w:pPr>
        <w:spacing w:after="120" w:line="276" w:lineRule="auto"/>
        <w:ind w:firstLine="709"/>
        <w:jc w:val="both"/>
        <w:rPr>
          <w:rFonts w:ascii="Arial" w:hAnsi="Arial" w:cs="Arial"/>
          <w:lang w:val="es-ES"/>
        </w:rPr>
      </w:pPr>
      <w:r w:rsidRPr="00B808E1">
        <w:rPr>
          <w:rFonts w:ascii="Arial" w:hAnsi="Arial" w:cs="Arial"/>
          <w:lang w:val="es-ES"/>
        </w:rPr>
        <w:t xml:space="preserve">En consecuencia, en materia de infraestructura social debe tenerse en cuenta que existen dos (2) clases de documentos tipo que se integran en cada proceso: i) los documentos </w:t>
      </w:r>
      <w:r w:rsidRPr="00B808E1">
        <w:rPr>
          <w:rFonts w:ascii="Arial" w:hAnsi="Arial" w:cs="Arial"/>
          <w:i/>
          <w:lang w:val="es-ES"/>
        </w:rPr>
        <w:t>transversales</w:t>
      </w:r>
      <w:r w:rsidRPr="00B808E1">
        <w:rPr>
          <w:rFonts w:ascii="Arial" w:hAnsi="Arial" w:cs="Arial"/>
          <w:lang w:val="es-ES"/>
        </w:rPr>
        <w:t xml:space="preserve"> a todos los sectores de infraestructura social, es decir, el documento base, los anexos, los formatos, los formularios y las matrices adoptados </w:t>
      </w:r>
      <w:r w:rsidRPr="00B808E1">
        <w:rPr>
          <w:rFonts w:ascii="Arial" w:hAnsi="Arial" w:cs="Arial"/>
          <w:lang w:val="es-ES"/>
        </w:rPr>
        <w:lastRenderedPageBreak/>
        <w:t xml:space="preserve">mediante la Resolución No. 219 de 2021; y </w:t>
      </w:r>
      <w:proofErr w:type="spellStart"/>
      <w:r w:rsidRPr="00B808E1">
        <w:rPr>
          <w:rFonts w:ascii="Arial" w:hAnsi="Arial" w:cs="Arial"/>
          <w:lang w:val="es-ES"/>
        </w:rPr>
        <w:t>ii</w:t>
      </w:r>
      <w:proofErr w:type="spellEnd"/>
      <w:r w:rsidRPr="00B808E1">
        <w:rPr>
          <w:rFonts w:ascii="Arial" w:hAnsi="Arial" w:cs="Arial"/>
          <w:lang w:val="es-ES"/>
        </w:rPr>
        <w:t xml:space="preserve">) los documentos tipo </w:t>
      </w:r>
      <w:r w:rsidRPr="00B808E1">
        <w:rPr>
          <w:rFonts w:ascii="Arial" w:hAnsi="Arial" w:cs="Arial"/>
          <w:i/>
          <w:lang w:val="es-ES"/>
        </w:rPr>
        <w:t>complementarios</w:t>
      </w:r>
      <w:r w:rsidRPr="00B808E1">
        <w:rPr>
          <w:rFonts w:ascii="Arial" w:hAnsi="Arial" w:cs="Arial"/>
          <w:iCs/>
          <w:lang w:val="es-ES"/>
        </w:rPr>
        <w:t>,</w:t>
      </w:r>
      <w:r w:rsidRPr="00B808E1">
        <w:rPr>
          <w:rFonts w:ascii="Arial" w:hAnsi="Arial" w:cs="Arial"/>
          <w:i/>
          <w:lang w:val="es-ES"/>
        </w:rPr>
        <w:t xml:space="preserve"> </w:t>
      </w:r>
      <w:r w:rsidRPr="00B808E1">
        <w:rPr>
          <w:rFonts w:ascii="Arial" w:hAnsi="Arial" w:cs="Arial"/>
          <w:lang w:val="es-ES"/>
        </w:rPr>
        <w:t>referentes a la matriz de experiencia y el glosario, los cuales han sido adoptados en la resolución para cada sector específico.</w:t>
      </w:r>
      <w:r w:rsidR="009C1504" w:rsidRPr="00B808E1">
        <w:rPr>
          <w:rFonts w:ascii="Arial" w:eastAsia="Calibri" w:hAnsi="Arial" w:cs="Arial"/>
          <w:lang w:val="es-ES" w:eastAsia="es-ES"/>
        </w:rPr>
        <w:t xml:space="preserve"> En este orden de ideas, la Agencia ha expedido tres documentos tipo complementarios de infraestructura social</w:t>
      </w:r>
      <w:r w:rsidR="00CF79FB" w:rsidRPr="00B808E1">
        <w:rPr>
          <w:rFonts w:ascii="Arial" w:eastAsia="Calibri" w:hAnsi="Arial" w:cs="Arial"/>
          <w:lang w:val="es-ES" w:eastAsia="es-ES"/>
        </w:rPr>
        <w:t>:</w:t>
      </w:r>
      <w:r w:rsidR="009C1504" w:rsidRPr="00B808E1">
        <w:rPr>
          <w:rFonts w:ascii="Arial" w:eastAsia="Calibri" w:hAnsi="Arial" w:cs="Arial"/>
          <w:lang w:val="es-ES" w:eastAsia="es-ES"/>
        </w:rPr>
        <w:t xml:space="preserve"> </w:t>
      </w:r>
      <w:r w:rsidR="00CF79FB" w:rsidRPr="00B808E1">
        <w:rPr>
          <w:rFonts w:ascii="Arial" w:eastAsia="Calibri" w:hAnsi="Arial" w:cs="Arial"/>
          <w:lang w:val="es-ES" w:eastAsia="es-ES"/>
        </w:rPr>
        <w:t>l</w:t>
      </w:r>
      <w:r w:rsidR="009C1504" w:rsidRPr="00B808E1">
        <w:rPr>
          <w:rFonts w:ascii="Arial" w:eastAsia="Calibri" w:hAnsi="Arial" w:cs="Arial"/>
          <w:lang w:val="es-ES" w:eastAsia="es-ES"/>
        </w:rPr>
        <w:t>a Resolución 220 del 6 de agosto 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cultura, recreación y deporte».</w:t>
      </w:r>
    </w:p>
    <w:bookmarkEnd w:id="6"/>
    <w:p w14:paraId="753F4102" w14:textId="2927E509" w:rsidR="002D51F0" w:rsidRPr="00B808E1" w:rsidRDefault="002D51F0" w:rsidP="00BF0282">
      <w:pPr>
        <w:spacing w:after="120" w:line="276" w:lineRule="auto"/>
        <w:ind w:firstLine="709"/>
        <w:jc w:val="both"/>
        <w:rPr>
          <w:rFonts w:ascii="Arial" w:eastAsia="Calibri" w:hAnsi="Arial" w:cs="Arial"/>
          <w:lang w:val="es-ES" w:eastAsia="es-ES"/>
        </w:rPr>
      </w:pPr>
      <w:r w:rsidRPr="00B808E1">
        <w:rPr>
          <w:rFonts w:ascii="Arial" w:eastAsia="Calibri" w:hAnsi="Arial" w:cs="Arial"/>
          <w:lang w:val="es-ES" w:eastAsia="es-ES"/>
        </w:rPr>
        <w:t>Debe destacarse que, en principio, las Resoluciones 219 y 220 del 6 de agosto de 2021 señalaban como fecha de inicio de implementación de estos documentos tipo el 30 de agosto de 2021. Sin embargo, diferentes entidades de los sectores involucrados, solicitaron a esta Agencia el aplazamiento de dicha fecha de aplicación, con el propósito de generar un</w:t>
      </w:r>
      <w:r w:rsidR="00B85D5B" w:rsidRPr="00B808E1">
        <w:rPr>
          <w:rFonts w:ascii="Arial" w:eastAsia="Calibri" w:hAnsi="Arial" w:cs="Arial"/>
          <w:lang w:val="es-ES" w:eastAsia="es-ES"/>
        </w:rPr>
        <w:t>a</w:t>
      </w:r>
      <w:r w:rsidRPr="00B808E1">
        <w:rPr>
          <w:rFonts w:ascii="Arial" w:eastAsia="Calibri" w:hAnsi="Arial" w:cs="Arial"/>
          <w:lang w:val="es-ES" w:eastAsia="es-ES"/>
        </w:rPr>
        <w:t xml:space="preserve"> mejor aproximación, apropiación y capacitación sobre el contenido de estos documentos, motivo por el cual se expidió la Resolución 261 del 27 de agosto de 2021, la cual aplazó la aplicación obligatoria de los documentos tipo de obra pública de infraestructura social y los complementarios del sector educativo para aquellos procesos «[…] cuyo aviso de convocatoria sea publicado a partir del 2 de noviembre del 2021».</w:t>
      </w:r>
    </w:p>
    <w:p w14:paraId="16ADDBC5" w14:textId="117BF80E" w:rsidR="002D51F0" w:rsidRPr="00B808E1" w:rsidRDefault="002D51F0" w:rsidP="00BF0282">
      <w:pPr>
        <w:spacing w:before="120" w:after="0" w:line="276" w:lineRule="auto"/>
        <w:ind w:firstLine="709"/>
        <w:contextualSpacing/>
        <w:jc w:val="both"/>
        <w:rPr>
          <w:rFonts w:ascii="Arial" w:eastAsia="Calibri" w:hAnsi="Arial" w:cs="Arial"/>
          <w:lang w:val="es-ES" w:eastAsia="es-ES"/>
        </w:rPr>
      </w:pPr>
      <w:r w:rsidRPr="00B808E1">
        <w:rPr>
          <w:rFonts w:ascii="Arial" w:eastAsia="Calibri" w:hAnsi="Arial" w:cs="Arial"/>
          <w:lang w:val="es-ES" w:eastAsia="es-ES"/>
        </w:rPr>
        <w:t>Sin embargo, el 2 de noviembre de 2021 se expidió la Resolución 336 de 2021, “Por la cual se aplaza y se dispone la implementación gradual y progresiva de los Documentos tipo de obra pública de infraestructura social”, aplicable para los tres documentos tipo complementarios que se han expedido. En su artículo 1 se establece:</w:t>
      </w:r>
    </w:p>
    <w:p w14:paraId="5BE7F126" w14:textId="77777777" w:rsidR="002D51F0" w:rsidRPr="00B808E1" w:rsidRDefault="002D51F0" w:rsidP="002D51F0">
      <w:pPr>
        <w:spacing w:after="0" w:line="276" w:lineRule="auto"/>
        <w:ind w:firstLine="708"/>
        <w:contextualSpacing/>
        <w:jc w:val="both"/>
        <w:rPr>
          <w:rFonts w:ascii="Arial" w:eastAsia="Calibri" w:hAnsi="Arial" w:cs="Arial"/>
          <w:lang w:val="es-ES" w:eastAsia="es-ES"/>
        </w:rPr>
      </w:pPr>
    </w:p>
    <w:p w14:paraId="26D4D9BA" w14:textId="6321D517" w:rsidR="002D51F0" w:rsidRPr="00B808E1" w:rsidRDefault="002D51F0" w:rsidP="00D96082">
      <w:pPr>
        <w:spacing w:after="0" w:line="240" w:lineRule="auto"/>
        <w:ind w:left="709" w:right="1327"/>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«Artículo 1.  Modifíquese el artículo 6 de la Resolución 219 del 6 de agosto de 2021.  Modifíquese el artículo 6 de la Resolución 219 del 6 de agosto de 2021, modificado por la Resolución 261 del 27 de agosto de 2021, por medio de la cual se expidieron los documentos tipo para procesos de licitación de obra pública de infraestructura social, en los siguientes términos:</w:t>
      </w:r>
    </w:p>
    <w:p w14:paraId="23F8ACBF"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4EB18125" w14:textId="77777777"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“Artículo 6: Vigencia: La presente resolución rige a partir de su publicación y comenzará a aplicarse, de manera gradual y progresiva, en los procedimientos de selección de licitación de obra pública de infraestructura social de acuerdo con el siguiente cronograma:</w:t>
      </w:r>
    </w:p>
    <w:p w14:paraId="4899F7CA"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0AB45AB6" w14:textId="1607E99D"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 xml:space="preserve">1. Las entidades de los sectores central y descentralizado de la Rama Ejecutiva del orden nacional deberán aplicar lo dispuesto en esta resolución en los procedimientos de selección de licitación de obra pública </w:t>
      </w:r>
      <w:r w:rsidRPr="00B808E1">
        <w:rPr>
          <w:rFonts w:ascii="Arial" w:eastAsia="Calibri" w:hAnsi="Arial" w:cs="Arial"/>
          <w:sz w:val="21"/>
          <w:szCs w:val="21"/>
          <w:lang w:val="es-ES" w:eastAsia="es-ES"/>
        </w:rPr>
        <w:lastRenderedPageBreak/>
        <w:t>de infraestructura social, cuyo aviso de convocatoria sea publicado a partir del 2 de noviembre de 2021.</w:t>
      </w:r>
    </w:p>
    <w:p w14:paraId="5383C64E"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4408ABAB" w14:textId="55C3CC5C"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 xml:space="preserve">2.Las entidades del sector central y sector descentralizado de los niveles municipal y distrital de los municipios y distritos que sean capitales de departamentos deberán aplicar lo dispuesto en esta resolución en los procedimientos de selección de licitación de obra pública de infraestructura social, cuyo aviso de convocatoria sea publicado a partir del 1 de febrero de 2022. </w:t>
      </w:r>
    </w:p>
    <w:p w14:paraId="2C521134"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1BAE97C4" w14:textId="015B72DC"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 xml:space="preserve">3. Las entidades del sector central y del sector descentralizado del nivel departamental, así como las de los municipios de categorías especial 1, 2 y 3, no cobijadas por los anteriores numerales del presente artículo, deberán aplicar lo dispuesto en esta resolución en los procedimientos de selección de licitación de obra pública de infraestructura social, cuyo aviso de convocatoria sea publicado a partir del 1 de marzo de 2022. </w:t>
      </w:r>
    </w:p>
    <w:p w14:paraId="11C68996"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1400E91C" w14:textId="636AC2F8"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 xml:space="preserve">4. Las entidades del sector central y del sector descentralizado del nivel municipal, en las categorías  4,  5  y 6,  al  igual  que  las demás  entidades  estatales  regidas  por el  Estatuto General  de  Contratación  de  la  Administración  Pública  no  cobijadas  por  los  anteriores numerales  del  presente  artículo,  deberán  aplicar lo dispuesto en esta resolución en los procedimientos de selección de licitación de obra  pública de infraestructura social, cuyo aviso de convocatoria sea publicado a partir del 1 de abril de 2022. </w:t>
      </w:r>
    </w:p>
    <w:p w14:paraId="71BEA275" w14:textId="77777777" w:rsidR="00BF0282" w:rsidRPr="00B808E1" w:rsidRDefault="00BF0282" w:rsidP="00BF0282">
      <w:pPr>
        <w:spacing w:after="0" w:line="240" w:lineRule="auto"/>
        <w:ind w:left="708" w:right="1325"/>
        <w:contextualSpacing/>
        <w:jc w:val="both"/>
        <w:rPr>
          <w:rFonts w:ascii="Arial" w:eastAsia="Calibri" w:hAnsi="Arial" w:cs="Arial"/>
          <w:sz w:val="21"/>
          <w:szCs w:val="21"/>
          <w:lang w:val="es-ES" w:eastAsia="es-ES"/>
        </w:rPr>
      </w:pPr>
    </w:p>
    <w:p w14:paraId="01FBA5C7" w14:textId="0899076D" w:rsidR="002D51F0" w:rsidRPr="00B808E1" w:rsidRDefault="002D51F0" w:rsidP="00BF0282">
      <w:pPr>
        <w:spacing w:after="0" w:line="240" w:lineRule="auto"/>
        <w:ind w:left="708" w:right="1325"/>
        <w:contextualSpacing/>
        <w:jc w:val="both"/>
        <w:rPr>
          <w:rFonts w:ascii="Arial" w:eastAsia="Calibri" w:hAnsi="Arial" w:cs="Arial"/>
          <w:sz w:val="21"/>
          <w:szCs w:val="21"/>
          <w:lang w:val="es-ES" w:eastAsia="es-ES"/>
        </w:rPr>
      </w:pPr>
      <w:r w:rsidRPr="00B808E1">
        <w:rPr>
          <w:rFonts w:ascii="Arial" w:eastAsia="Calibri" w:hAnsi="Arial" w:cs="Arial"/>
          <w:sz w:val="21"/>
          <w:szCs w:val="21"/>
          <w:lang w:val="es-ES" w:eastAsia="es-ES"/>
        </w:rPr>
        <w:t>Parágrafo. La aplicación de los documentos tipo de licitación de obra pública de infraestructura social en los procesos de selección comienza a ser obligatoria para las entidades estatales de acuerdo con lo dispuesto en este artículo. Esto sin perjuicio de que las entidades estatales, en el marco de la autonomía y discrecionalidad que les asiste, a modo de buena práctica contractual, decidan acoger el contenido de los documentos tipo en los procesos de selección que adelanten antes de las fechas señaladas.»</w:t>
      </w:r>
    </w:p>
    <w:p w14:paraId="2E136529" w14:textId="77777777" w:rsidR="002D51F0" w:rsidRPr="00B808E1" w:rsidRDefault="002D51F0" w:rsidP="002D51F0">
      <w:pPr>
        <w:spacing w:after="0" w:line="276" w:lineRule="auto"/>
        <w:contextualSpacing/>
        <w:jc w:val="both"/>
        <w:rPr>
          <w:rFonts w:ascii="Arial" w:eastAsia="Calibri" w:hAnsi="Arial" w:cs="Arial"/>
          <w:lang w:val="es-ES" w:eastAsia="es-ES"/>
        </w:rPr>
      </w:pPr>
    </w:p>
    <w:p w14:paraId="391CB3A2" w14:textId="061E7FD6" w:rsidR="002D51F0" w:rsidRPr="00B808E1" w:rsidRDefault="002D51F0" w:rsidP="00E14B21">
      <w:pPr>
        <w:spacing w:after="0" w:line="276" w:lineRule="auto"/>
        <w:ind w:firstLine="708"/>
        <w:contextualSpacing/>
        <w:jc w:val="both"/>
        <w:rPr>
          <w:rFonts w:ascii="Arial" w:eastAsia="Times New Roman" w:hAnsi="Arial" w:cs="Arial"/>
          <w:lang w:val="es-ES_tradnl" w:eastAsia="es-ES"/>
        </w:rPr>
      </w:pPr>
      <w:r w:rsidRPr="00B808E1">
        <w:rPr>
          <w:rFonts w:ascii="Arial" w:eastAsia="Times New Roman" w:hAnsi="Arial" w:cs="Arial"/>
          <w:lang w:val="es-ES_tradnl" w:eastAsia="es-ES"/>
        </w:rPr>
        <w:t>En este contexto, sobre la base de las reglas de vigencia de los documentos tipo de infraestructura social transversales y los tres documentos tipo complementarios expedidos, es importante resaltar que, de conformidad con el parágrafo 2 de la Resolución 219 de 2021 los documentos tipo de infraestructura social «[…]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w:t>
      </w:r>
    </w:p>
    <w:p w14:paraId="5B1AE66B" w14:textId="77777777" w:rsidR="00E14B21" w:rsidRPr="00B808E1" w:rsidRDefault="00E14B21" w:rsidP="00D96082">
      <w:pPr>
        <w:spacing w:after="0" w:line="276" w:lineRule="auto"/>
        <w:ind w:firstLine="708"/>
        <w:contextualSpacing/>
        <w:jc w:val="both"/>
        <w:rPr>
          <w:rFonts w:ascii="Arial" w:eastAsia="Times New Roman" w:hAnsi="Arial" w:cs="Arial"/>
          <w:lang w:val="es-ES_tradnl" w:eastAsia="es-ES"/>
        </w:rPr>
      </w:pPr>
    </w:p>
    <w:p w14:paraId="53C0B1A9" w14:textId="77777777" w:rsidR="0057499C" w:rsidRPr="00B808E1" w:rsidRDefault="0057499C" w:rsidP="00E14B21">
      <w:pPr>
        <w:spacing w:after="0" w:line="276" w:lineRule="auto"/>
        <w:contextualSpacing/>
        <w:jc w:val="both"/>
        <w:rPr>
          <w:rFonts w:ascii="Arial" w:hAnsi="Arial" w:cs="Arial"/>
          <w:b/>
          <w:lang w:val="es-ES"/>
        </w:rPr>
      </w:pPr>
      <w:r w:rsidRPr="00B808E1">
        <w:rPr>
          <w:rFonts w:ascii="Arial" w:hAnsi="Arial" w:cs="Arial"/>
          <w:b/>
          <w:color w:val="000000" w:themeColor="text1"/>
          <w:lang w:val="es-ES" w:eastAsia="es-ES_tradnl"/>
        </w:rPr>
        <w:lastRenderedPageBreak/>
        <w:t xml:space="preserve">2.3. Documentos tipo complementarios expedidos para los sectores </w:t>
      </w:r>
      <w:r w:rsidRPr="00B808E1">
        <w:rPr>
          <w:rFonts w:ascii="Arial" w:hAnsi="Arial" w:cs="Arial"/>
          <w:b/>
          <w:lang w:val="es-ES"/>
        </w:rPr>
        <w:t>educativo; salud; cultura, recreación y deporte</w:t>
      </w:r>
    </w:p>
    <w:p w14:paraId="226C7AC3" w14:textId="77777777" w:rsidR="0057499C" w:rsidRPr="00B808E1" w:rsidRDefault="0057499C" w:rsidP="00E14B21">
      <w:pPr>
        <w:spacing w:after="0" w:line="276" w:lineRule="auto"/>
        <w:contextualSpacing/>
        <w:jc w:val="both"/>
        <w:rPr>
          <w:rFonts w:ascii="Arial" w:hAnsi="Arial" w:cs="Arial"/>
          <w:b/>
          <w:color w:val="000000" w:themeColor="text1"/>
          <w:lang w:val="es-ES" w:eastAsia="es-ES_tradnl"/>
        </w:rPr>
      </w:pPr>
    </w:p>
    <w:p w14:paraId="36AE4090" w14:textId="2DAAFF89" w:rsidR="0057499C" w:rsidRPr="00B808E1" w:rsidRDefault="0057499C" w:rsidP="0057499C">
      <w:pPr>
        <w:spacing w:after="120" w:line="276" w:lineRule="auto"/>
        <w:jc w:val="both"/>
        <w:rPr>
          <w:rFonts w:ascii="Arial" w:hAnsi="Arial" w:cs="Arial"/>
          <w:bCs/>
          <w:color w:val="000000"/>
          <w:lang w:eastAsia="es-CO"/>
        </w:rPr>
      </w:pPr>
      <w:r w:rsidRPr="00B808E1">
        <w:rPr>
          <w:rFonts w:ascii="Arial" w:hAnsi="Arial" w:cs="Arial"/>
          <w:bCs/>
          <w:color w:val="000000" w:themeColor="text1"/>
          <w:lang w:val="es-ES" w:eastAsia="es-ES_tradnl"/>
        </w:rPr>
        <w:t xml:space="preserve">Tal y como se señaló en el numeral anterior de este concepto, la Agencia Nacional de Contratación </w:t>
      </w:r>
      <w:r w:rsidR="00E14B21" w:rsidRPr="00B808E1">
        <w:rPr>
          <w:rFonts w:ascii="Arial" w:hAnsi="Arial" w:cs="Arial"/>
          <w:bCs/>
          <w:color w:val="000000" w:themeColor="text1"/>
          <w:lang w:val="es-ES" w:eastAsia="es-ES_tradnl"/>
        </w:rPr>
        <w:t>Pública</w:t>
      </w:r>
      <w:r w:rsidRPr="00B808E1">
        <w:rPr>
          <w:rFonts w:ascii="Arial" w:hAnsi="Arial" w:cs="Arial"/>
          <w:bCs/>
          <w:color w:val="000000" w:themeColor="text1"/>
          <w:lang w:val="es-ES" w:eastAsia="es-ES_tradnl"/>
        </w:rPr>
        <w:t xml:space="preserve"> </w:t>
      </w:r>
      <w:r w:rsidR="00E14B21" w:rsidRPr="00B808E1">
        <w:rPr>
          <w:rFonts w:ascii="Arial" w:hAnsi="Arial" w:cs="Arial"/>
          <w:bCs/>
          <w:color w:val="000000" w:themeColor="text1"/>
          <w:lang w:val="es-ES" w:eastAsia="es-ES_tradnl"/>
        </w:rPr>
        <w:t xml:space="preserve">- </w:t>
      </w:r>
      <w:r w:rsidRPr="00B808E1">
        <w:rPr>
          <w:rFonts w:ascii="Arial" w:hAnsi="Arial" w:cs="Arial"/>
          <w:bCs/>
          <w:color w:val="000000" w:themeColor="text1"/>
          <w:lang w:val="es-ES" w:eastAsia="es-ES_tradnl"/>
        </w:rPr>
        <w:t>Colombia Compra Eficiente ha expedido tres (3) documentos tipo complementarios para los proyectos de infraestructura social relacionad</w:t>
      </w:r>
      <w:r w:rsidR="00E14B21" w:rsidRPr="00B808E1">
        <w:rPr>
          <w:rFonts w:ascii="Arial" w:hAnsi="Arial" w:cs="Arial"/>
          <w:bCs/>
          <w:color w:val="000000" w:themeColor="text1"/>
          <w:lang w:val="es-ES" w:eastAsia="es-ES_tradnl"/>
        </w:rPr>
        <w:t>os</w:t>
      </w:r>
      <w:r w:rsidRPr="00B808E1">
        <w:rPr>
          <w:rFonts w:ascii="Arial" w:hAnsi="Arial" w:cs="Arial"/>
          <w:bCs/>
          <w:color w:val="000000" w:themeColor="text1"/>
          <w:lang w:val="es-ES" w:eastAsia="es-ES_tradnl"/>
        </w:rPr>
        <w:t xml:space="preserve"> con los siguientes sectores: i) sector educativo; </w:t>
      </w:r>
      <w:proofErr w:type="spellStart"/>
      <w:r w:rsidRPr="00B808E1">
        <w:rPr>
          <w:rFonts w:ascii="Arial" w:hAnsi="Arial" w:cs="Arial"/>
          <w:bCs/>
          <w:color w:val="000000" w:themeColor="text1"/>
          <w:lang w:val="es-ES" w:eastAsia="es-ES_tradnl"/>
        </w:rPr>
        <w:t>ii</w:t>
      </w:r>
      <w:proofErr w:type="spellEnd"/>
      <w:r w:rsidRPr="00B808E1">
        <w:rPr>
          <w:rFonts w:ascii="Arial" w:hAnsi="Arial" w:cs="Arial"/>
          <w:bCs/>
          <w:color w:val="000000" w:themeColor="text1"/>
          <w:lang w:val="es-ES" w:eastAsia="es-ES_tradnl"/>
        </w:rPr>
        <w:t xml:space="preserve">) sector </w:t>
      </w:r>
      <w:r w:rsidR="00E04B0F" w:rsidRPr="00D96082">
        <w:rPr>
          <w:rFonts w:ascii="Arial" w:hAnsi="Arial" w:cs="Arial"/>
          <w:bCs/>
          <w:color w:val="000000" w:themeColor="text1"/>
          <w:lang w:val="es-ES" w:eastAsia="es-ES_tradnl"/>
        </w:rPr>
        <w:t xml:space="preserve">salud </w:t>
      </w:r>
      <w:r w:rsidRPr="00B808E1">
        <w:rPr>
          <w:rFonts w:ascii="Arial" w:hAnsi="Arial" w:cs="Arial"/>
          <w:bCs/>
          <w:color w:val="000000" w:themeColor="text1"/>
          <w:lang w:val="es-ES" w:eastAsia="es-ES_tradnl"/>
        </w:rPr>
        <w:t xml:space="preserve">y; </w:t>
      </w:r>
      <w:proofErr w:type="spellStart"/>
      <w:r w:rsidRPr="00B808E1">
        <w:rPr>
          <w:rFonts w:ascii="Arial" w:hAnsi="Arial" w:cs="Arial"/>
          <w:bCs/>
          <w:color w:val="000000" w:themeColor="text1"/>
          <w:lang w:val="es-ES" w:eastAsia="es-ES_tradnl"/>
        </w:rPr>
        <w:t>iii</w:t>
      </w:r>
      <w:proofErr w:type="spellEnd"/>
      <w:r w:rsidRPr="00B808E1">
        <w:rPr>
          <w:rFonts w:ascii="Arial" w:hAnsi="Arial" w:cs="Arial"/>
          <w:bCs/>
          <w:color w:val="000000" w:themeColor="text1"/>
          <w:lang w:val="es-ES" w:eastAsia="es-ES_tradnl"/>
        </w:rPr>
        <w:t xml:space="preserve">) sector cultural, recreación y deportes. El ámbito de aplicación de cada uno de ellos está dado por las resoluciones mediante las cuales se implementan los documentos complementarios y que desarrollan las matrices de experiencia y los glosarios que definirán concretamente cada sector y que precisan de forma detallada su ámbito de aplicación. </w:t>
      </w:r>
    </w:p>
    <w:p w14:paraId="523701EF" w14:textId="77777777" w:rsidR="00E14B21" w:rsidRPr="00B808E1" w:rsidRDefault="0057499C" w:rsidP="00E14B21">
      <w:pPr>
        <w:spacing w:after="120" w:line="276" w:lineRule="auto"/>
        <w:ind w:firstLine="709"/>
        <w:jc w:val="both"/>
        <w:rPr>
          <w:rFonts w:ascii="Arial" w:hAnsi="Arial" w:cs="Arial"/>
          <w:lang w:val="es-ES"/>
        </w:rPr>
      </w:pPr>
      <w:r w:rsidRPr="00B808E1">
        <w:rPr>
          <w:rFonts w:ascii="Arial" w:hAnsi="Arial" w:cs="Arial"/>
          <w:bCs/>
          <w:color w:val="000000" w:themeColor="text1"/>
          <w:lang w:val="es-ES" w:eastAsia="es-ES_tradnl"/>
        </w:rPr>
        <w:t xml:space="preserve">La </w:t>
      </w:r>
      <w:r w:rsidRPr="00B808E1">
        <w:rPr>
          <w:rFonts w:ascii="Arial" w:hAnsi="Arial" w:cs="Arial"/>
          <w:lang w:val="es-ES"/>
        </w:rPr>
        <w:t>Matriz de experiencia de cada sector, además de estandarizar el requisito habilitante de experiencia, señala los proyectos o contratos concretos a los cuales aplican los documentos tipo, en el entendido de que aplicarán a los procesos contractuales cuyo objeto se relacione con alguna de las actividades establecidas de forma detallada en la Matriz de experiencia respectiva.</w:t>
      </w:r>
      <w:r w:rsidR="00E14B21" w:rsidRPr="00B808E1">
        <w:rPr>
          <w:rFonts w:ascii="Arial" w:hAnsi="Arial" w:cs="Arial"/>
          <w:lang w:val="es-ES"/>
        </w:rPr>
        <w:t xml:space="preserve"> Asimismo, en el Glosario de cada uno de los documentos se consagran las definiciones que guían la interpretación de los documentos. </w:t>
      </w:r>
    </w:p>
    <w:p w14:paraId="456B2906" w14:textId="2BE78772" w:rsidR="00E14B21" w:rsidRPr="00D96082" w:rsidRDefault="00E14B21" w:rsidP="00D96082">
      <w:pPr>
        <w:spacing w:after="0" w:line="276" w:lineRule="auto"/>
        <w:ind w:firstLine="709"/>
        <w:contextualSpacing/>
        <w:jc w:val="both"/>
        <w:rPr>
          <w:rFonts w:ascii="Arial" w:hAnsi="Arial" w:cs="Arial"/>
          <w:lang w:val="es-ES"/>
        </w:rPr>
      </w:pPr>
      <w:r w:rsidRPr="00B808E1">
        <w:rPr>
          <w:rFonts w:ascii="Arial" w:hAnsi="Arial" w:cs="Arial"/>
          <w:lang w:val="es-ES"/>
        </w:rPr>
        <w:t xml:space="preserve">Teniendo en cuenta el objeto de la consulta, a </w:t>
      </w:r>
      <w:proofErr w:type="gramStart"/>
      <w:r w:rsidRPr="00B808E1">
        <w:rPr>
          <w:rFonts w:ascii="Arial" w:hAnsi="Arial" w:cs="Arial"/>
          <w:lang w:val="es-ES"/>
        </w:rPr>
        <w:t>continuación</w:t>
      </w:r>
      <w:proofErr w:type="gramEnd"/>
      <w:r w:rsidRPr="00B808E1">
        <w:rPr>
          <w:rFonts w:ascii="Arial" w:hAnsi="Arial" w:cs="Arial"/>
          <w:lang w:val="es-ES"/>
        </w:rPr>
        <w:t xml:space="preserve"> se procede a realizar un breve análisis del ámbito de aplicación de los documentos </w:t>
      </w:r>
      <w:r w:rsidRPr="00B808E1">
        <w:rPr>
          <w:rFonts w:ascii="Arial" w:hAnsi="Arial" w:cs="Arial"/>
          <w:bCs/>
          <w:color w:val="000000" w:themeColor="text1"/>
          <w:lang w:val="es-ES" w:eastAsia="es-ES_tradnl"/>
        </w:rPr>
        <w:t xml:space="preserve">tipo complementarios para los proyectos de infraestructura social relacionados con el sector educativo; el sector salud y </w:t>
      </w:r>
      <w:r w:rsidR="00DB6B45" w:rsidRPr="00B808E1">
        <w:rPr>
          <w:rFonts w:ascii="Arial" w:hAnsi="Arial" w:cs="Arial"/>
          <w:bCs/>
          <w:color w:val="000000" w:themeColor="text1"/>
          <w:lang w:val="es-ES" w:eastAsia="es-ES_tradnl"/>
        </w:rPr>
        <w:t>el sector</w:t>
      </w:r>
      <w:r w:rsidRPr="00B808E1">
        <w:rPr>
          <w:rFonts w:ascii="Arial" w:hAnsi="Arial" w:cs="Arial"/>
          <w:bCs/>
          <w:color w:val="000000" w:themeColor="text1"/>
          <w:lang w:val="es-ES" w:eastAsia="es-ES_tradnl"/>
        </w:rPr>
        <w:t xml:space="preserve"> cultural, recreación y deportes</w:t>
      </w:r>
      <w:r w:rsidR="00DE693D" w:rsidRPr="00D96082">
        <w:rPr>
          <w:rFonts w:ascii="Arial" w:hAnsi="Arial" w:cs="Arial"/>
          <w:bCs/>
          <w:color w:val="000000" w:themeColor="text1"/>
          <w:lang w:val="es-ES" w:eastAsia="es-ES_tradnl"/>
        </w:rPr>
        <w:t>:</w:t>
      </w:r>
    </w:p>
    <w:p w14:paraId="6854B030" w14:textId="77777777" w:rsidR="0057499C" w:rsidRPr="00B808E1" w:rsidRDefault="0057499C" w:rsidP="00E14B21">
      <w:pPr>
        <w:spacing w:after="0" w:line="276" w:lineRule="auto"/>
        <w:ind w:firstLine="709"/>
        <w:contextualSpacing/>
        <w:jc w:val="both"/>
        <w:rPr>
          <w:rFonts w:ascii="Arial" w:hAnsi="Arial" w:cs="Arial"/>
          <w:bCs/>
          <w:color w:val="000000"/>
          <w:lang w:eastAsia="es-CO"/>
        </w:rPr>
      </w:pPr>
    </w:p>
    <w:p w14:paraId="13F82145" w14:textId="77777777" w:rsidR="0057499C" w:rsidRPr="00B808E1" w:rsidRDefault="0057499C" w:rsidP="00925046">
      <w:pPr>
        <w:spacing w:after="0" w:line="276" w:lineRule="auto"/>
        <w:contextualSpacing/>
        <w:jc w:val="both"/>
        <w:rPr>
          <w:rFonts w:ascii="Arial" w:hAnsi="Arial" w:cs="Arial"/>
          <w:bCs/>
          <w:i/>
          <w:iCs/>
          <w:color w:val="000000" w:themeColor="text1"/>
          <w:lang w:val="es-ES" w:eastAsia="es-ES_tradnl"/>
        </w:rPr>
      </w:pPr>
      <w:r w:rsidRPr="00B808E1">
        <w:rPr>
          <w:rFonts w:ascii="Arial" w:hAnsi="Arial" w:cs="Arial"/>
          <w:bCs/>
          <w:i/>
          <w:iCs/>
          <w:color w:val="000000" w:themeColor="text1"/>
          <w:lang w:val="es-ES" w:eastAsia="es-ES_tradnl"/>
        </w:rPr>
        <w:t xml:space="preserve">2.3.1. Documentos tipo complementarios para el Sector Educativo: </w:t>
      </w:r>
    </w:p>
    <w:p w14:paraId="312102E6" w14:textId="77777777" w:rsidR="0057499C" w:rsidRPr="00B808E1" w:rsidRDefault="0057499C">
      <w:pPr>
        <w:spacing w:after="0" w:line="276" w:lineRule="auto"/>
        <w:contextualSpacing/>
        <w:jc w:val="both"/>
        <w:rPr>
          <w:rFonts w:ascii="Arial" w:hAnsi="Arial" w:cs="Arial"/>
          <w:bCs/>
          <w:color w:val="000000" w:themeColor="text1"/>
          <w:lang w:val="es-ES" w:eastAsia="es-ES_tradnl"/>
        </w:rPr>
      </w:pPr>
    </w:p>
    <w:p w14:paraId="5A78F92F" w14:textId="77777777" w:rsidR="0057499C" w:rsidRPr="00B808E1" w:rsidRDefault="0057499C" w:rsidP="0057499C">
      <w:pPr>
        <w:spacing w:after="120" w:line="276" w:lineRule="auto"/>
        <w:jc w:val="both"/>
        <w:rPr>
          <w:rFonts w:ascii="Arial" w:hAnsi="Arial" w:cs="Arial"/>
          <w:lang w:val="es-ES"/>
        </w:rPr>
      </w:pPr>
      <w:r w:rsidRPr="00B808E1">
        <w:rPr>
          <w:rFonts w:ascii="Arial" w:hAnsi="Arial" w:cs="Arial"/>
          <w:bCs/>
          <w:color w:val="000000" w:themeColor="text1"/>
          <w:lang w:val="es-ES" w:eastAsia="es-ES_tradnl"/>
        </w:rPr>
        <w:t xml:space="preserve">Los documentos tipo complementarios para los procesos de licitación de obra pública de infraestructura social relacionados con el </w:t>
      </w:r>
      <w:r w:rsidRPr="00B808E1">
        <w:rPr>
          <w:rFonts w:ascii="Arial" w:hAnsi="Arial" w:cs="Arial"/>
          <w:bCs/>
          <w:i/>
          <w:iCs/>
          <w:color w:val="000000" w:themeColor="text1"/>
          <w:lang w:val="es-ES" w:eastAsia="es-ES_tradnl"/>
        </w:rPr>
        <w:t>sector educativo</w:t>
      </w:r>
      <w:r w:rsidRPr="00B808E1">
        <w:rPr>
          <w:rFonts w:ascii="Arial" w:hAnsi="Arial" w:cs="Arial"/>
          <w:bCs/>
          <w:color w:val="000000" w:themeColor="text1"/>
          <w:lang w:val="es-ES" w:eastAsia="es-ES_tradnl"/>
        </w:rPr>
        <w:t xml:space="preserve"> fueron adoptados mediante la Resolución No. 2020 del 6 de agosto de 2020. </w:t>
      </w:r>
      <w:r w:rsidRPr="00B808E1">
        <w:rPr>
          <w:rFonts w:ascii="Arial" w:hAnsi="Arial" w:cs="Arial"/>
          <w:lang w:val="es-ES"/>
        </w:rPr>
        <w:t xml:space="preserve">Esta Resolución, en el artículo 2, desarrolla el «Anexo -Glosario Sector Educativo» y la «Matriz -Experiencia Sector Educativo», lo que significa que estos documentos definen el alcance para ese sector específicamente. </w:t>
      </w:r>
    </w:p>
    <w:p w14:paraId="6DFC72C9" w14:textId="77777777" w:rsidR="0057499C" w:rsidRPr="00B808E1" w:rsidRDefault="0057499C" w:rsidP="0057499C">
      <w:pPr>
        <w:spacing w:after="120" w:line="276" w:lineRule="auto"/>
        <w:ind w:firstLine="708"/>
        <w:jc w:val="both"/>
        <w:rPr>
          <w:rFonts w:ascii="Arial" w:hAnsi="Arial" w:cs="Arial"/>
          <w:lang w:val="es-ES"/>
        </w:rPr>
      </w:pPr>
      <w:r w:rsidRPr="00B808E1">
        <w:rPr>
          <w:rFonts w:ascii="Arial" w:hAnsi="Arial" w:cs="Arial"/>
          <w:lang w:val="es-ES"/>
        </w:rPr>
        <w:t xml:space="preserve">La «Matriz -Experiencia Sector Educativo», de los documentos tipo complementarios que se adoptaron con la Resolución 220 del 6 de agosto de 2021 aplica a cuatro (4) tipos de obras: i) obras en infraestructura vertical en instituciones educativas, </w:t>
      </w:r>
      <w:proofErr w:type="spellStart"/>
      <w:r w:rsidRPr="00B808E1">
        <w:rPr>
          <w:rFonts w:ascii="Arial" w:hAnsi="Arial" w:cs="Arial"/>
          <w:lang w:val="es-ES"/>
        </w:rPr>
        <w:t>ii</w:t>
      </w:r>
      <w:proofErr w:type="spellEnd"/>
      <w:r w:rsidRPr="00B808E1">
        <w:rPr>
          <w:rFonts w:ascii="Arial" w:hAnsi="Arial" w:cs="Arial"/>
          <w:lang w:val="es-ES"/>
        </w:rPr>
        <w:t xml:space="preserve">) obras en infraestructura recreo-deportiva y cultural en instituciones educativas, </w:t>
      </w:r>
      <w:proofErr w:type="spellStart"/>
      <w:r w:rsidRPr="00B808E1">
        <w:rPr>
          <w:rFonts w:ascii="Arial" w:hAnsi="Arial" w:cs="Arial"/>
          <w:lang w:val="es-ES"/>
        </w:rPr>
        <w:t>iii</w:t>
      </w:r>
      <w:proofErr w:type="spellEnd"/>
      <w:r w:rsidRPr="00B808E1">
        <w:rPr>
          <w:rFonts w:ascii="Arial" w:hAnsi="Arial" w:cs="Arial"/>
          <w:lang w:val="es-ES"/>
        </w:rPr>
        <w:t xml:space="preserve">) obras en vías de acceso y/o parqueaderos y/o zonas de circulación –vehicular y/o peatonal– en instituciones educativas y </w:t>
      </w:r>
      <w:proofErr w:type="spellStart"/>
      <w:r w:rsidRPr="00B808E1">
        <w:rPr>
          <w:rFonts w:ascii="Arial" w:hAnsi="Arial" w:cs="Arial"/>
          <w:lang w:val="es-ES"/>
        </w:rPr>
        <w:t>iv</w:t>
      </w:r>
      <w:proofErr w:type="spellEnd"/>
      <w:r w:rsidRPr="00B808E1">
        <w:rPr>
          <w:rFonts w:ascii="Arial" w:hAnsi="Arial" w:cs="Arial"/>
          <w:lang w:val="es-ES"/>
        </w:rPr>
        <w:t xml:space="preserve">) obras en bibliotecas públicas. </w:t>
      </w:r>
    </w:p>
    <w:p w14:paraId="08CC8CBF" w14:textId="77777777" w:rsidR="0057499C" w:rsidRPr="00B808E1" w:rsidRDefault="0057499C" w:rsidP="0057499C">
      <w:pPr>
        <w:spacing w:after="120" w:line="276" w:lineRule="auto"/>
        <w:ind w:firstLine="709"/>
        <w:jc w:val="both"/>
        <w:rPr>
          <w:rFonts w:ascii="Arial" w:eastAsia="Calibri" w:hAnsi="Arial" w:cs="Arial"/>
          <w:lang w:val="es-ES_tradnl"/>
        </w:rPr>
      </w:pPr>
      <w:r w:rsidRPr="00B808E1">
        <w:rPr>
          <w:rFonts w:ascii="Arial" w:hAnsi="Arial" w:cs="Arial"/>
        </w:rPr>
        <w:t xml:space="preserve">De las referidas actividades, </w:t>
      </w:r>
      <w:r w:rsidRPr="00B808E1">
        <w:rPr>
          <w:rFonts w:ascii="Arial" w:eastAsia="Calibri" w:hAnsi="Arial" w:cs="Arial"/>
          <w:lang w:val="es-ES_tradnl"/>
        </w:rPr>
        <w:t xml:space="preserve">las correspondientes a los numerales 1, 2 y 3 de la matriz de experiencia solo aplican a las obras en </w:t>
      </w:r>
      <w:r w:rsidRPr="00B808E1">
        <w:rPr>
          <w:rFonts w:ascii="Arial" w:eastAsia="Calibri" w:hAnsi="Arial" w:cs="Arial"/>
          <w:i/>
          <w:iCs/>
          <w:lang w:val="es-ES_tradnl"/>
        </w:rPr>
        <w:t xml:space="preserve">instituciones educativas, </w:t>
      </w:r>
      <w:r w:rsidRPr="00B808E1">
        <w:rPr>
          <w:rFonts w:ascii="Arial" w:eastAsia="Calibri" w:hAnsi="Arial" w:cs="Arial"/>
          <w:lang w:val="es-ES_tradnl"/>
        </w:rPr>
        <w:t xml:space="preserve">término definido en el numeral 2.61 del «Anexo – Glosario Sector Educativo» como «Conjunto de personas </w:t>
      </w:r>
      <w:r w:rsidRPr="00B808E1">
        <w:rPr>
          <w:rFonts w:ascii="Arial" w:eastAsia="Calibri" w:hAnsi="Arial" w:cs="Arial"/>
          <w:lang w:val="es-ES_tradnl"/>
        </w:rPr>
        <w:lastRenderedPageBreak/>
        <w:t xml:space="preserve">y bienes promovida por las </w:t>
      </w:r>
      <w:proofErr w:type="gramStart"/>
      <w:r w:rsidRPr="00B808E1">
        <w:rPr>
          <w:rFonts w:ascii="Arial" w:eastAsia="Calibri" w:hAnsi="Arial" w:cs="Arial"/>
          <w:lang w:val="es-ES_tradnl"/>
        </w:rPr>
        <w:t>autoridades públicas</w:t>
      </w:r>
      <w:proofErr w:type="gramEnd"/>
      <w:r w:rsidRPr="00B808E1">
        <w:rPr>
          <w:rFonts w:ascii="Arial" w:eastAsia="Calibri" w:hAnsi="Arial" w:cs="Arial"/>
          <w:lang w:val="es-ES_tradnl"/>
        </w:rPr>
        <w:t xml:space="preserve"> o por particulares, cuya finalidad es prestar un año de educación preescolar y nueve (9) grados de educación básica como mínimo y la media. Deben contar con licencia de funcionamiento o reconocimiento de carácter oficial, disponer de la infraestructura administrativa, soportes pedagógicos, planta física y medios educativos adecuados […]». </w:t>
      </w:r>
    </w:p>
    <w:p w14:paraId="2A403B74" w14:textId="14842BDE" w:rsidR="0057499C" w:rsidRPr="00B808E1" w:rsidRDefault="0057499C" w:rsidP="0057499C">
      <w:pPr>
        <w:spacing w:after="0" w:line="276" w:lineRule="auto"/>
        <w:ind w:firstLine="709"/>
        <w:contextualSpacing/>
        <w:jc w:val="both"/>
        <w:rPr>
          <w:rFonts w:ascii="Arial" w:eastAsia="Calibri" w:hAnsi="Arial" w:cs="Arial"/>
        </w:rPr>
      </w:pPr>
      <w:r w:rsidRPr="00B808E1">
        <w:rPr>
          <w:rFonts w:ascii="Arial" w:hAnsi="Arial" w:cs="Arial"/>
          <w:lang w:val="es-ES"/>
        </w:rPr>
        <w:t>En este contexto</w:t>
      </w:r>
      <w:r w:rsidRPr="00B808E1">
        <w:rPr>
          <w:rFonts w:ascii="Arial" w:hAnsi="Arial" w:cs="Arial"/>
        </w:rPr>
        <w:t xml:space="preserve">, </w:t>
      </w:r>
      <w:r w:rsidRPr="00B808E1">
        <w:rPr>
          <w:rFonts w:ascii="Arial" w:eastAsia="Calibri" w:hAnsi="Arial" w:cs="Arial"/>
          <w:lang w:val="es-ES_tradnl"/>
        </w:rPr>
        <w:t xml:space="preserve">los documentos tipo adoptados mediante las </w:t>
      </w:r>
      <w:r w:rsidRPr="00B808E1">
        <w:rPr>
          <w:rFonts w:ascii="Arial" w:hAnsi="Arial" w:cs="Arial"/>
          <w:lang w:val="es-ES"/>
        </w:rPr>
        <w:t>Resoluciones 219 y 220 del 6 de agosto de 2021</w:t>
      </w:r>
      <w:r w:rsidRPr="00B808E1">
        <w:rPr>
          <w:rFonts w:ascii="Arial" w:eastAsia="Calibri" w:hAnsi="Arial" w:cs="Arial"/>
          <w:lang w:val="es-ES_tradnl"/>
        </w:rPr>
        <w:t xml:space="preserve"> </w:t>
      </w:r>
      <w:r w:rsidRPr="00B808E1">
        <w:rPr>
          <w:rFonts w:ascii="Arial" w:hAnsi="Arial" w:cs="Arial"/>
          <w:color w:val="0D0D0D"/>
          <w:bdr w:val="none" w:sz="0" w:space="0" w:color="auto" w:frame="1"/>
          <w:lang w:eastAsia="es-CO"/>
        </w:rPr>
        <w:t>son</w:t>
      </w:r>
      <w:r w:rsidRPr="00B808E1">
        <w:rPr>
          <w:rFonts w:ascii="Arial" w:eastAsia="Calibri" w:hAnsi="Arial" w:cs="Arial"/>
          <w:lang w:val="es-ES_tradnl"/>
        </w:rPr>
        <w:t xml:space="preserve"> obligatorios para las entidades sometidas a la Ley 80 de 1993 que contraten la ejecución de obras públicas de infraestructura social del sector educativo a través de licitación pública</w:t>
      </w:r>
      <w:r w:rsidR="00FD7EBF" w:rsidRPr="00D96082">
        <w:rPr>
          <w:rFonts w:ascii="Arial" w:eastAsia="Calibri" w:hAnsi="Arial" w:cs="Arial"/>
          <w:lang w:val="es-ES_tradnl"/>
        </w:rPr>
        <w:t>, sin perjuicio de lo establecido en el artículo 56 de la Ley 2195 de 2022</w:t>
      </w:r>
      <w:r w:rsidRPr="00B808E1">
        <w:rPr>
          <w:rFonts w:ascii="Arial" w:eastAsia="Calibri" w:hAnsi="Arial" w:cs="Arial"/>
          <w:lang w:val="es-ES_tradnl"/>
        </w:rPr>
        <w:t xml:space="preserve">. </w:t>
      </w:r>
    </w:p>
    <w:p w14:paraId="7D35903A" w14:textId="77777777" w:rsidR="0057499C" w:rsidRPr="00B808E1" w:rsidRDefault="0057499C" w:rsidP="0057499C">
      <w:pPr>
        <w:spacing w:after="0" w:line="276" w:lineRule="auto"/>
        <w:ind w:firstLine="708"/>
        <w:contextualSpacing/>
        <w:jc w:val="both"/>
        <w:rPr>
          <w:rFonts w:ascii="Arial" w:eastAsia="Calibri" w:hAnsi="Arial" w:cs="Arial"/>
        </w:rPr>
      </w:pPr>
    </w:p>
    <w:p w14:paraId="0AEAFF07" w14:textId="77777777" w:rsidR="0057499C" w:rsidRPr="00B808E1" w:rsidRDefault="0057499C" w:rsidP="0057499C">
      <w:pPr>
        <w:spacing w:after="0" w:line="276" w:lineRule="auto"/>
        <w:contextualSpacing/>
        <w:jc w:val="both"/>
        <w:rPr>
          <w:rFonts w:ascii="Arial" w:hAnsi="Arial" w:cs="Arial"/>
          <w:bCs/>
          <w:i/>
          <w:iCs/>
          <w:color w:val="000000" w:themeColor="text1"/>
          <w:lang w:val="es-ES" w:eastAsia="es-ES_tradnl"/>
        </w:rPr>
      </w:pPr>
      <w:r w:rsidRPr="00B808E1">
        <w:rPr>
          <w:rFonts w:ascii="Arial" w:hAnsi="Arial" w:cs="Arial"/>
          <w:bCs/>
          <w:i/>
          <w:iCs/>
          <w:color w:val="000000" w:themeColor="text1"/>
          <w:lang w:val="es-ES" w:eastAsia="es-ES_tradnl"/>
        </w:rPr>
        <w:t>2.3.2. Documentos tipo complementarios para el Sector Salud</w:t>
      </w:r>
    </w:p>
    <w:p w14:paraId="7446700E" w14:textId="77777777" w:rsidR="0057499C" w:rsidRPr="00B808E1" w:rsidRDefault="0057499C" w:rsidP="0057499C">
      <w:pPr>
        <w:spacing w:after="0" w:line="276" w:lineRule="auto"/>
        <w:contextualSpacing/>
        <w:jc w:val="both"/>
        <w:rPr>
          <w:rFonts w:ascii="Arial" w:hAnsi="Arial" w:cs="Arial"/>
          <w:bCs/>
          <w:i/>
          <w:iCs/>
          <w:color w:val="000000" w:themeColor="text1"/>
          <w:lang w:val="es-ES" w:eastAsia="es-ES_tradnl"/>
        </w:rPr>
      </w:pPr>
    </w:p>
    <w:p w14:paraId="4D45B1FC" w14:textId="55333386" w:rsidR="0057499C" w:rsidRPr="00B808E1" w:rsidRDefault="0057499C" w:rsidP="0057499C">
      <w:pPr>
        <w:spacing w:after="120" w:line="276" w:lineRule="auto"/>
        <w:jc w:val="both"/>
        <w:rPr>
          <w:rFonts w:ascii="Arial" w:hAnsi="Arial" w:cs="Arial"/>
          <w:lang w:val="es-ES"/>
        </w:rPr>
      </w:pPr>
      <w:r w:rsidRPr="00B808E1">
        <w:rPr>
          <w:rFonts w:ascii="Arial" w:hAnsi="Arial" w:cs="Arial"/>
          <w:bCs/>
          <w:color w:val="000000" w:themeColor="text1"/>
          <w:lang w:val="es-ES" w:eastAsia="es-ES_tradnl"/>
        </w:rPr>
        <w:t xml:space="preserve">Por otro lado, los documentos tipo complementarios para los procesos de licitación de obra pública de infraestructura social relacionados con el </w:t>
      </w:r>
      <w:r w:rsidRPr="00B808E1">
        <w:rPr>
          <w:rFonts w:ascii="Arial" w:hAnsi="Arial" w:cs="Arial"/>
          <w:bCs/>
          <w:i/>
          <w:iCs/>
          <w:color w:val="000000" w:themeColor="text1"/>
          <w:lang w:val="es-ES" w:eastAsia="es-ES_tradnl"/>
        </w:rPr>
        <w:t>sector salud</w:t>
      </w:r>
      <w:r w:rsidRPr="00B808E1">
        <w:rPr>
          <w:rFonts w:ascii="Arial" w:hAnsi="Arial" w:cs="Arial"/>
          <w:bCs/>
          <w:color w:val="000000" w:themeColor="text1"/>
          <w:lang w:val="es-ES" w:eastAsia="es-ES_tradnl"/>
        </w:rPr>
        <w:t xml:space="preserve"> fueron adoptados mediante la Resolución No. 392 del 18 de noviembre de 2021. El artículo</w:t>
      </w:r>
      <w:r w:rsidR="00DB6B45" w:rsidRPr="00B808E1">
        <w:rPr>
          <w:rFonts w:ascii="Arial" w:hAnsi="Arial" w:cs="Arial"/>
          <w:bCs/>
          <w:color w:val="000000" w:themeColor="text1"/>
          <w:lang w:val="es-ES" w:eastAsia="es-ES_tradnl"/>
        </w:rPr>
        <w:t xml:space="preserve"> 2</w:t>
      </w:r>
      <w:r w:rsidRPr="00B808E1">
        <w:rPr>
          <w:rFonts w:ascii="Arial" w:hAnsi="Arial" w:cs="Arial"/>
          <w:bCs/>
          <w:color w:val="000000" w:themeColor="text1"/>
          <w:lang w:val="es-ES" w:eastAsia="es-ES_tradnl"/>
        </w:rPr>
        <w:t xml:space="preserve"> de la mencionada </w:t>
      </w:r>
      <w:r w:rsidRPr="00B808E1">
        <w:rPr>
          <w:rFonts w:ascii="Arial" w:hAnsi="Arial" w:cs="Arial"/>
          <w:lang w:val="es-ES"/>
        </w:rPr>
        <w:t>Resolución incorpora el «Anexo -Glosario Sector Educativo» y la «Matriz -Experiencia Sector Educativo», documentos a través de los cuales se define, entre otros aspectos, el ámbito de aplicación para es</w:t>
      </w:r>
      <w:r w:rsidR="00DB6B45" w:rsidRPr="00B808E1">
        <w:rPr>
          <w:rFonts w:ascii="Arial" w:hAnsi="Arial" w:cs="Arial"/>
          <w:lang w:val="es-ES"/>
        </w:rPr>
        <w:t>t</w:t>
      </w:r>
      <w:r w:rsidRPr="00B808E1">
        <w:rPr>
          <w:rFonts w:ascii="Arial" w:hAnsi="Arial" w:cs="Arial"/>
          <w:lang w:val="es-ES"/>
        </w:rPr>
        <w:t xml:space="preserve">e sector específicamente. </w:t>
      </w:r>
    </w:p>
    <w:p w14:paraId="05C9F5C7" w14:textId="7CF692C5" w:rsidR="0057499C" w:rsidRPr="00B808E1" w:rsidRDefault="0057499C" w:rsidP="0057499C">
      <w:pPr>
        <w:spacing w:after="120" w:line="276" w:lineRule="auto"/>
        <w:ind w:firstLine="708"/>
        <w:jc w:val="both"/>
        <w:rPr>
          <w:rFonts w:ascii="Arial" w:hAnsi="Arial" w:cs="Arial"/>
          <w:color w:val="000000" w:themeColor="text1"/>
          <w:lang w:val="es-ES" w:eastAsia="es-ES_tradnl"/>
        </w:rPr>
      </w:pPr>
      <w:r w:rsidRPr="00B808E1">
        <w:rPr>
          <w:rFonts w:ascii="Arial" w:hAnsi="Arial" w:cs="Arial"/>
          <w:lang w:val="es-ES"/>
        </w:rPr>
        <w:t>La «Matriz -Experiencia Sector Salud»,</w:t>
      </w:r>
      <w:r w:rsidR="00DB6B45" w:rsidRPr="00B808E1">
        <w:rPr>
          <w:rFonts w:ascii="Arial" w:hAnsi="Arial" w:cs="Arial"/>
          <w:lang w:val="es-ES"/>
        </w:rPr>
        <w:t xml:space="preserve"> consagra</w:t>
      </w:r>
      <w:r w:rsidRPr="00B808E1">
        <w:rPr>
          <w:rFonts w:ascii="Arial" w:eastAsia="Calibri" w:hAnsi="Arial" w:cs="Arial"/>
          <w:lang w:val="es-ES_tradnl"/>
        </w:rPr>
        <w:t xml:space="preserve"> trece (13) tipos de obras de infraestructura social relacionados con el </w:t>
      </w:r>
      <w:r w:rsidR="00DB6B45" w:rsidRPr="00B808E1">
        <w:rPr>
          <w:rFonts w:ascii="Arial" w:eastAsia="Calibri" w:hAnsi="Arial" w:cs="Arial"/>
          <w:lang w:val="es-ES_tradnl"/>
        </w:rPr>
        <w:t>sector salud</w:t>
      </w:r>
      <w:r w:rsidRPr="00B808E1">
        <w:rPr>
          <w:rFonts w:ascii="Arial" w:eastAsia="Calibri" w:hAnsi="Arial" w:cs="Arial"/>
          <w:lang w:val="es-ES_tradnl"/>
        </w:rPr>
        <w:t xml:space="preserve">, </w:t>
      </w:r>
      <w:r w:rsidRPr="00B808E1">
        <w:rPr>
          <w:rFonts w:ascii="Arial" w:eastAsia="Calibri" w:hAnsi="Arial" w:cs="Arial"/>
        </w:rPr>
        <w:t xml:space="preserve">los cuales </w:t>
      </w:r>
      <w:r w:rsidRPr="00B808E1">
        <w:rPr>
          <w:rFonts w:ascii="Arial" w:eastAsia="Calibri" w:hAnsi="Arial" w:cs="Arial"/>
          <w:lang w:val="es-ES_tradnl"/>
        </w:rPr>
        <w:t>se relacionan a continuación:</w:t>
      </w:r>
      <w:r w:rsidRPr="00B808E1">
        <w:rPr>
          <w:rFonts w:ascii="Arial" w:hAnsi="Arial" w:cs="Arial"/>
          <w:lang w:val="es-ES"/>
        </w:rPr>
        <w:t xml:space="preserve"> </w:t>
      </w:r>
      <w:r w:rsidRPr="00B808E1">
        <w:rPr>
          <w:rFonts w:ascii="Arial" w:hAnsi="Arial" w:cs="Arial"/>
          <w:color w:val="000000"/>
          <w:lang w:eastAsia="es-CO"/>
        </w:rPr>
        <w:t>1.1. Proyectos de construcción y/o ampliación y/o reconstrucción de hospitales y/o centros de salud y/o edificaciones destinadas a prestación y/o atención de salud y/o cuidado de adulto mayor</w:t>
      </w:r>
      <w:r w:rsidRPr="00B808E1">
        <w:rPr>
          <w:rFonts w:ascii="Arial" w:hAnsi="Arial" w:cs="Arial"/>
          <w:lang w:val="es-ES"/>
        </w:rPr>
        <w:t xml:space="preserve">; </w:t>
      </w:r>
      <w:r w:rsidRPr="00B808E1">
        <w:rPr>
          <w:rFonts w:ascii="Arial" w:hAnsi="Arial" w:cs="Arial"/>
          <w:color w:val="000000"/>
          <w:lang w:eastAsia="es-CO"/>
        </w:rPr>
        <w:t>1.2. Proyectos de terminación y/o mejoramiento y/o remodelación y/o adecuación y/o modificación y/o mantenimiento y/o intervención de hospitales y/o centros de salud y/o edificaciones destinadas a prestación y/o atención de salud y/o cuidado de adulto mayor; 1.3. Proyectos de demolición de hospitales y/o centros de salud y/o edificaciones destinadas a prestación y/o atención de salud y/o cuidado de adulto mayor; 1.4. Proyectos de cerramiento de hospitales y/o centros de salud y/o edificaciones destinadas a prestación y/o atención de salud y/o cuidado de adulto mayor; 1.5. Proyectos de demolición, construcción y cerramiento de hospitales y/o centros de salud y/o edificaciones destinadas a prestación y/o atención de salud y/o cuidado de adulto mayor; 1.6. Proyectos de reforzamiento y/o actualización sísmica y/o repotenciación de hospitales y/o centros de salud y/o edificaciones destinadas a prestación y/o atención de salud y/o cuidado de adulto mayor; 1.7. Proyectos de construcción y/o mantenimiento y/o adecuación y/</w:t>
      </w:r>
      <w:proofErr w:type="spellStart"/>
      <w:r w:rsidRPr="00B808E1">
        <w:rPr>
          <w:rFonts w:ascii="Arial" w:hAnsi="Arial" w:cs="Arial"/>
          <w:color w:val="000000"/>
          <w:lang w:eastAsia="es-CO"/>
        </w:rPr>
        <w:t>o</w:t>
      </w:r>
      <w:proofErr w:type="spellEnd"/>
      <w:r w:rsidRPr="00B808E1">
        <w:rPr>
          <w:rFonts w:ascii="Arial" w:hAnsi="Arial" w:cs="Arial"/>
          <w:color w:val="000000"/>
          <w:lang w:eastAsia="es-CO"/>
        </w:rPr>
        <w:t xml:space="preserve"> optimización y/o mejoramiento y/o intervención de baterías sanitarias y/o redes hidrosanitarias y/o tanques de almacenamiento y/o sistemas de bombeo y/o redes contra incendios de hospitales y/o centros de salud y/o edificaciones destinadas a prestación y/o atención de salud y/o cuidado de adulto mayor; 1.8. Proyectos de </w:t>
      </w:r>
      <w:r w:rsidRPr="00B808E1">
        <w:rPr>
          <w:rFonts w:ascii="Arial" w:hAnsi="Arial" w:cs="Arial"/>
          <w:color w:val="000000"/>
          <w:lang w:eastAsia="es-CO"/>
        </w:rPr>
        <w:lastRenderedPageBreak/>
        <w:t>mantenimiento y/o adecuaciones y/o reparaciones locativas de hospitales y/o centros de salud y/o edificaciones destinadas a prestación y/o atención de salud y/o cuidado de adulto mayor; 1.9. Proyectos de mantenimiento o intervención de cubiertas de hospitales y/o centros de salud y/o edificaciones destinadas a prestación y/o atención de salud; 1.10. Proyectos de construcción y/o mejoramiento y/o adecuación y/o mantenimiento y/o remodelación y/o restauración y/o modificación y/o reforzamiento y/o actualización sísmica y/o intervención de hospitales y/o centros de salud y/o edificaciones destinadas a prestación y/o atención de salud y/o cuidado de adulto mayor en bienes de interés cultural y/o patrimonial; 1.11. Proyectos de construcción y/o mantenimiento y/o adecuación y/</w:t>
      </w:r>
      <w:proofErr w:type="spellStart"/>
      <w:r w:rsidRPr="00B808E1">
        <w:rPr>
          <w:rFonts w:ascii="Arial" w:hAnsi="Arial" w:cs="Arial"/>
          <w:color w:val="000000"/>
          <w:lang w:eastAsia="es-CO"/>
        </w:rPr>
        <w:t>o</w:t>
      </w:r>
      <w:proofErr w:type="spellEnd"/>
      <w:r w:rsidRPr="00B808E1">
        <w:rPr>
          <w:rFonts w:ascii="Arial" w:hAnsi="Arial" w:cs="Arial"/>
          <w:color w:val="000000"/>
          <w:lang w:eastAsia="es-CO"/>
        </w:rPr>
        <w:t xml:space="preserve"> optimización y/o mejoramiento y/o intervención de redes eléctricas y/o de datos y/o voz en hospitales y/o centros de salud y/o edificaciones destinadas a prestación y/o atención de salud y/o cuidado de adulto mayor; 1.12. Proyectos de construcción y/o ampliación y/o mantenimiento y/o mejoramiento y/o rehabilitación y/o reconstrucción y/o intervención de parqueaderos y/o sótanos de hospitales y/o centros de salud y/o edificaciones destinadas a prestación y/o atención de salud y/o cuidado de adulto mayor; </w:t>
      </w:r>
      <w:r w:rsidRPr="00B808E1">
        <w:rPr>
          <w:rFonts w:ascii="Arial" w:hAnsi="Arial" w:cs="Arial"/>
          <w:color w:val="000000" w:themeColor="text1"/>
          <w:lang w:val="es-ES" w:eastAsia="es-ES_tradnl"/>
        </w:rPr>
        <w:t xml:space="preserve">1.13. Proyectos de construcción y/o mejoramiento y/o rehabilitación y/o mantenimiento y/o adecuación y/o reforzamiento y/o intervención de zonas verdes, o actividades de urbanismo y paisajismo de hospitales y/o centros de salud y/o edificaciones destinadas a prestación y/o atención de salud y/o cuidado de adulto mayor. </w:t>
      </w:r>
    </w:p>
    <w:p w14:paraId="2FE695FB" w14:textId="74C49BD0" w:rsidR="0057499C" w:rsidRPr="00B808E1" w:rsidRDefault="00DB6B45" w:rsidP="00D96082">
      <w:pPr>
        <w:spacing w:after="120" w:line="276" w:lineRule="auto"/>
        <w:ind w:firstLine="709"/>
        <w:jc w:val="both"/>
        <w:rPr>
          <w:rFonts w:ascii="Arial" w:hAnsi="Arial" w:cs="Arial"/>
          <w:lang w:val="es-ES"/>
        </w:rPr>
      </w:pPr>
      <w:r w:rsidRPr="00B808E1">
        <w:rPr>
          <w:rFonts w:ascii="Arial" w:hAnsi="Arial" w:cs="Arial"/>
          <w:lang w:val="es-ES"/>
        </w:rPr>
        <w:t>Conforme el tipo de obras incorporadas en la «Matriz -Experiencia Sector Salud», e</w:t>
      </w:r>
      <w:r w:rsidR="0057499C" w:rsidRPr="00B808E1">
        <w:rPr>
          <w:rFonts w:ascii="Arial" w:hAnsi="Arial" w:cs="Arial"/>
          <w:lang w:val="es-ES"/>
        </w:rPr>
        <w:t xml:space="preserve">l </w:t>
      </w:r>
      <w:r w:rsidR="0057499C" w:rsidRPr="00B808E1">
        <w:rPr>
          <w:rFonts w:ascii="Arial" w:eastAsia="Times New Roman" w:hAnsi="Arial" w:cs="Arial"/>
          <w:lang w:val="es-ES"/>
        </w:rPr>
        <w:t xml:space="preserve">«Anexo – Glosario </w:t>
      </w:r>
      <w:r w:rsidR="0057499C" w:rsidRPr="00B808E1">
        <w:rPr>
          <w:rFonts w:ascii="Arial" w:hAnsi="Arial" w:cs="Arial"/>
          <w:lang w:val="es-ES"/>
        </w:rPr>
        <w:t>sector salud</w:t>
      </w:r>
      <w:r w:rsidR="0057499C" w:rsidRPr="00B808E1">
        <w:rPr>
          <w:rFonts w:ascii="Arial" w:eastAsia="Times New Roman" w:hAnsi="Arial" w:cs="Arial"/>
          <w:lang w:val="es-ES"/>
        </w:rPr>
        <w:t>», en su numeral 2.28</w:t>
      </w:r>
      <w:r w:rsidR="00A7621D" w:rsidRPr="00D96082">
        <w:rPr>
          <w:rFonts w:ascii="Arial" w:eastAsia="Times New Roman" w:hAnsi="Arial" w:cs="Arial"/>
          <w:lang w:val="es-ES"/>
        </w:rPr>
        <w:t>,</w:t>
      </w:r>
      <w:r w:rsidR="0057499C" w:rsidRPr="00B808E1">
        <w:rPr>
          <w:rFonts w:ascii="Arial" w:eastAsia="Times New Roman" w:hAnsi="Arial" w:cs="Arial"/>
          <w:lang w:val="es-ES"/>
        </w:rPr>
        <w:t xml:space="preserve"> define </w:t>
      </w:r>
      <w:r w:rsidR="0057499C" w:rsidRPr="00D96082">
        <w:rPr>
          <w:rFonts w:ascii="Arial" w:hAnsi="Arial" w:cs="Arial"/>
          <w:i/>
          <w:iCs/>
          <w:lang w:val="es-ES"/>
        </w:rPr>
        <w:t>Edificación de Atención a la Comunidad</w:t>
      </w:r>
      <w:r w:rsidR="0057499C" w:rsidRPr="00B808E1">
        <w:rPr>
          <w:rFonts w:ascii="Arial" w:hAnsi="Arial" w:cs="Arial"/>
          <w:lang w:val="es-ES"/>
        </w:rPr>
        <w:t xml:space="preserve"> como: </w:t>
      </w:r>
      <w:r w:rsidR="0057499C" w:rsidRPr="00B808E1">
        <w:rPr>
          <w:rFonts w:ascii="Arial" w:eastAsia="Times New Roman" w:hAnsi="Arial" w:cs="Arial"/>
          <w:lang w:val="es-ES"/>
        </w:rPr>
        <w:t>«</w:t>
      </w:r>
      <w:r w:rsidR="0057499C" w:rsidRPr="00B808E1">
        <w:rPr>
          <w:rFonts w:ascii="Arial" w:hAnsi="Arial" w:cs="Arial"/>
          <w:lang w:val="es-ES"/>
        </w:rPr>
        <w:t>Equipamientos necesarios para atender emergencias, preservar la salud y la seguridad de las personas y animales, tales como estaciones de bomberos, cuarteles de policía y fuerzas militares, instalaciones de salud, sedes de organismos operativos de emergencias, entre otros</w:t>
      </w:r>
      <w:r w:rsidR="0057499C" w:rsidRPr="00B808E1">
        <w:rPr>
          <w:rFonts w:ascii="Arial" w:eastAsia="Times New Roman" w:hAnsi="Arial" w:cs="Arial"/>
          <w:lang w:val="es-ES"/>
        </w:rPr>
        <w:t>»</w:t>
      </w:r>
      <w:r w:rsidRPr="00B808E1">
        <w:rPr>
          <w:rFonts w:ascii="Arial" w:eastAsia="Times New Roman" w:hAnsi="Arial" w:cs="Arial"/>
          <w:lang w:val="es-ES"/>
        </w:rPr>
        <w:t>.</w:t>
      </w:r>
      <w:r w:rsidR="0057499C" w:rsidRPr="00B808E1">
        <w:rPr>
          <w:rFonts w:ascii="Arial" w:hAnsi="Arial" w:cs="Arial"/>
          <w:lang w:val="es-ES"/>
        </w:rPr>
        <w:t xml:space="preserve"> En el numeral 2.29 define </w:t>
      </w:r>
      <w:r w:rsidR="0057499C" w:rsidRPr="00B808E1">
        <w:rPr>
          <w:rFonts w:ascii="Arial" w:hAnsi="Arial" w:cs="Arial"/>
          <w:i/>
          <w:iCs/>
        </w:rPr>
        <w:t>Grupo de ocupación de Institucional de salud o incapacidad</w:t>
      </w:r>
      <w:r w:rsidR="0057499C" w:rsidRPr="00B808E1">
        <w:rPr>
          <w:rFonts w:ascii="Arial" w:hAnsi="Arial" w:cs="Arial"/>
        </w:rPr>
        <w:t xml:space="preserve"> como: </w:t>
      </w:r>
      <w:r w:rsidR="0057499C" w:rsidRPr="00B808E1">
        <w:rPr>
          <w:rFonts w:ascii="Arial" w:eastAsia="Times New Roman" w:hAnsi="Arial" w:cs="Arial"/>
          <w:lang w:val="es-ES"/>
        </w:rPr>
        <w:t>«</w:t>
      </w:r>
      <w:r w:rsidR="0057499C" w:rsidRPr="00B808E1">
        <w:rPr>
          <w:rFonts w:ascii="Arial" w:hAnsi="Arial" w:cs="Arial"/>
        </w:rPr>
        <w:t>En este grupo se clasifican las edificaciones o espacios empleados en el cuidado o tratamiento de personas con limitaciones físicas por edad avanzada o deficiencias de salud. Entre los cuales se encuentran, entre otros, hospitales, sanatorios, clínicas, centros de salud, centros para discapacitados, puestos de primeros auxilios, orfanatos, ancianatos, guarderías, dispensarios, laboratorios clínicos, hospicios, otros similares</w:t>
      </w:r>
      <w:r w:rsidR="0057499C" w:rsidRPr="00B808E1">
        <w:rPr>
          <w:rFonts w:ascii="Arial" w:eastAsia="Times New Roman" w:hAnsi="Arial" w:cs="Arial"/>
          <w:lang w:val="es-ES"/>
        </w:rPr>
        <w:t>»</w:t>
      </w:r>
      <w:r w:rsidR="0057499C" w:rsidRPr="00B808E1">
        <w:rPr>
          <w:rFonts w:ascii="Arial" w:hAnsi="Arial" w:cs="Arial"/>
          <w:lang w:val="es-ES"/>
        </w:rPr>
        <w:t xml:space="preserve">. Y finalmente, el numeral </w:t>
      </w:r>
      <w:r w:rsidR="0057499C" w:rsidRPr="00B808E1">
        <w:rPr>
          <w:rFonts w:ascii="Arial" w:eastAsia="Times New Roman" w:hAnsi="Arial" w:cs="Arial"/>
          <w:lang w:val="es-ES"/>
        </w:rPr>
        <w:t xml:space="preserve">2.39 consagra la definición de </w:t>
      </w:r>
      <w:r w:rsidR="0057499C" w:rsidRPr="00D96082">
        <w:rPr>
          <w:rFonts w:ascii="Arial" w:eastAsia="Times New Roman" w:hAnsi="Arial" w:cs="Arial"/>
          <w:i/>
          <w:iCs/>
          <w:lang w:val="es-ES"/>
        </w:rPr>
        <w:t>Hospital</w:t>
      </w:r>
      <w:r w:rsidR="0057499C" w:rsidRPr="00B808E1">
        <w:rPr>
          <w:rFonts w:ascii="Arial" w:hAnsi="Arial" w:cs="Arial"/>
          <w:lang w:val="es-ES"/>
        </w:rPr>
        <w:t xml:space="preserve"> así: </w:t>
      </w:r>
      <w:r w:rsidR="0057499C" w:rsidRPr="00B808E1">
        <w:rPr>
          <w:rFonts w:ascii="Arial" w:eastAsia="Times New Roman" w:hAnsi="Arial" w:cs="Arial"/>
          <w:lang w:val="es-ES"/>
        </w:rPr>
        <w:t>«</w:t>
      </w:r>
      <w:r w:rsidR="0057499C" w:rsidRPr="00B808E1">
        <w:rPr>
          <w:rFonts w:ascii="Arial" w:hAnsi="Arial" w:cs="Arial"/>
          <w:lang w:val="es-ES"/>
        </w:rPr>
        <w:t>Establecimiento destinado al diagnóstico y tratamiento de enfermos, donde a menudo se practican la investigación y la docencia</w:t>
      </w:r>
      <w:r w:rsidR="0057499C" w:rsidRPr="00B808E1">
        <w:rPr>
          <w:rFonts w:ascii="Arial" w:eastAsia="Times New Roman" w:hAnsi="Arial" w:cs="Arial"/>
          <w:lang w:val="es-ES"/>
        </w:rPr>
        <w:t>»</w:t>
      </w:r>
      <w:r w:rsidR="0057499C" w:rsidRPr="00B808E1">
        <w:rPr>
          <w:rFonts w:ascii="Arial" w:hAnsi="Arial" w:cs="Arial"/>
          <w:lang w:val="es-ES"/>
        </w:rPr>
        <w:t xml:space="preserve">. </w:t>
      </w:r>
    </w:p>
    <w:p w14:paraId="1AD7ABE5" w14:textId="3578D9FC" w:rsidR="00DB6B45" w:rsidRPr="00B808E1" w:rsidRDefault="00DB6B45" w:rsidP="0057499C">
      <w:pPr>
        <w:spacing w:line="276" w:lineRule="auto"/>
        <w:ind w:firstLine="709"/>
        <w:contextualSpacing/>
        <w:jc w:val="both"/>
        <w:rPr>
          <w:rFonts w:ascii="Arial" w:hAnsi="Arial" w:cs="Arial"/>
          <w:lang w:val="es-ES"/>
        </w:rPr>
      </w:pPr>
      <w:r w:rsidRPr="00B808E1">
        <w:rPr>
          <w:rFonts w:ascii="Arial" w:hAnsi="Arial" w:cs="Arial"/>
          <w:lang w:val="es-ES"/>
        </w:rPr>
        <w:t xml:space="preserve">Conforme lo anterior, la aplicación de los documentos tipo de obra pública de infraestructura social expedidos para el sector salud dependerán </w:t>
      </w:r>
      <w:r w:rsidR="002D668A" w:rsidRPr="00B808E1">
        <w:rPr>
          <w:rFonts w:ascii="Arial" w:hAnsi="Arial" w:cs="Arial"/>
          <w:lang w:val="es-ES"/>
        </w:rPr>
        <w:t xml:space="preserve">de la correspondencia del objeto a contratar con las actividades descritas en la «Matriz -Experiencia Sector Salud» y la interpretación que se realice de las definiciones contenidas en el </w:t>
      </w:r>
      <w:r w:rsidR="002D668A" w:rsidRPr="00B808E1">
        <w:rPr>
          <w:rFonts w:ascii="Arial" w:eastAsia="Times New Roman" w:hAnsi="Arial" w:cs="Arial"/>
          <w:lang w:val="es-ES"/>
        </w:rPr>
        <w:t xml:space="preserve">«Anexo – Glosario </w:t>
      </w:r>
      <w:r w:rsidR="002D668A" w:rsidRPr="00B808E1">
        <w:rPr>
          <w:rFonts w:ascii="Arial" w:hAnsi="Arial" w:cs="Arial"/>
          <w:lang w:val="es-ES"/>
        </w:rPr>
        <w:t>sector salud</w:t>
      </w:r>
      <w:r w:rsidR="002D668A" w:rsidRPr="00B808E1">
        <w:rPr>
          <w:rFonts w:ascii="Arial" w:eastAsia="Times New Roman" w:hAnsi="Arial" w:cs="Arial"/>
          <w:lang w:val="es-ES"/>
        </w:rPr>
        <w:t xml:space="preserve">». </w:t>
      </w:r>
    </w:p>
    <w:p w14:paraId="3C148AFC" w14:textId="77777777" w:rsidR="0057499C" w:rsidRPr="00B808E1" w:rsidRDefault="0057499C" w:rsidP="0057499C">
      <w:pPr>
        <w:spacing w:after="0" w:line="276" w:lineRule="auto"/>
        <w:ind w:firstLine="709"/>
        <w:contextualSpacing/>
        <w:jc w:val="both"/>
        <w:rPr>
          <w:rFonts w:ascii="Arial" w:hAnsi="Arial" w:cs="Arial"/>
          <w:lang w:val="es-ES"/>
        </w:rPr>
      </w:pPr>
    </w:p>
    <w:p w14:paraId="7B24C65A" w14:textId="77777777" w:rsidR="0057499C" w:rsidRPr="00B808E1" w:rsidRDefault="0057499C" w:rsidP="0057499C">
      <w:pPr>
        <w:spacing w:after="0" w:line="276" w:lineRule="auto"/>
        <w:contextualSpacing/>
        <w:jc w:val="both"/>
        <w:rPr>
          <w:rFonts w:ascii="Arial" w:hAnsi="Arial" w:cs="Arial"/>
          <w:bCs/>
          <w:i/>
          <w:iCs/>
          <w:color w:val="000000" w:themeColor="text1"/>
          <w:lang w:val="es-ES" w:eastAsia="es-ES_tradnl"/>
        </w:rPr>
      </w:pPr>
      <w:r w:rsidRPr="00B808E1">
        <w:rPr>
          <w:rFonts w:ascii="Arial" w:hAnsi="Arial" w:cs="Arial"/>
          <w:bCs/>
          <w:i/>
          <w:iCs/>
          <w:color w:val="000000" w:themeColor="text1"/>
          <w:lang w:val="es-ES" w:eastAsia="es-ES_tradnl"/>
        </w:rPr>
        <w:lastRenderedPageBreak/>
        <w:t>2.3.3. Documentos tipo complementarios para el Sector de cultura, recreación y deporte</w:t>
      </w:r>
    </w:p>
    <w:p w14:paraId="4CDA5E9C" w14:textId="77777777" w:rsidR="0057499C" w:rsidRPr="00B808E1" w:rsidRDefault="0057499C" w:rsidP="0057499C">
      <w:pPr>
        <w:spacing w:after="0" w:line="276" w:lineRule="auto"/>
        <w:contextualSpacing/>
        <w:jc w:val="both"/>
        <w:rPr>
          <w:rFonts w:ascii="Arial" w:hAnsi="Arial" w:cs="Arial"/>
          <w:b/>
          <w:color w:val="000000" w:themeColor="text1"/>
          <w:lang w:val="es-ES" w:eastAsia="es-ES_tradnl"/>
        </w:rPr>
      </w:pPr>
    </w:p>
    <w:p w14:paraId="706C6082" w14:textId="6C43FBF9" w:rsidR="0057499C" w:rsidRPr="00B808E1" w:rsidRDefault="0057499C" w:rsidP="0057499C">
      <w:pPr>
        <w:spacing w:after="120" w:line="276" w:lineRule="auto"/>
        <w:jc w:val="both"/>
        <w:rPr>
          <w:rFonts w:ascii="Arial" w:hAnsi="Arial" w:cs="Arial"/>
          <w:lang w:val="es-ES"/>
        </w:rPr>
      </w:pPr>
      <w:r w:rsidRPr="00B808E1">
        <w:rPr>
          <w:rFonts w:ascii="Arial" w:hAnsi="Arial" w:cs="Arial"/>
          <w:bCs/>
          <w:color w:val="000000" w:themeColor="text1"/>
          <w:lang w:val="es-ES" w:eastAsia="es-ES_tradnl"/>
        </w:rPr>
        <w:t xml:space="preserve">Finalmente, el pasado 16 de diciembre de 2021 se adoptaron los documentos tipo complementarios para los procesos de licitación de obra pública de infraestructura social relacionados con el sector cultura, recreación y deporte, a través de la </w:t>
      </w:r>
      <w:r w:rsidRPr="00B808E1">
        <w:rPr>
          <w:rFonts w:ascii="Arial" w:hAnsi="Arial" w:cs="Arial"/>
          <w:lang w:val="es-ES"/>
        </w:rPr>
        <w:t>Resolución No. 454 de 2021. Dicha Resolución, desarrolla el «Anexo: Glosario cultura, recreación y deporte» y la «Matriz: Experiencia cultura, recreación y deporte», lo que significa que tales documentos definen el alcance para es</w:t>
      </w:r>
      <w:r w:rsidR="001C6A5A" w:rsidRPr="00B808E1">
        <w:rPr>
          <w:rFonts w:ascii="Arial" w:hAnsi="Arial" w:cs="Arial"/>
          <w:lang w:val="es-ES"/>
        </w:rPr>
        <w:t>t</w:t>
      </w:r>
      <w:r w:rsidRPr="00B808E1">
        <w:rPr>
          <w:rFonts w:ascii="Arial" w:hAnsi="Arial" w:cs="Arial"/>
          <w:lang w:val="es-ES"/>
        </w:rPr>
        <w:t>e sector</w:t>
      </w:r>
      <w:r w:rsidR="001C6A5A" w:rsidRPr="00B808E1">
        <w:rPr>
          <w:rFonts w:ascii="Arial" w:hAnsi="Arial" w:cs="Arial"/>
          <w:lang w:val="es-ES"/>
        </w:rPr>
        <w:t xml:space="preserve">. </w:t>
      </w:r>
    </w:p>
    <w:p w14:paraId="08BF5344" w14:textId="07267E50" w:rsidR="0057499C" w:rsidRPr="00B808E1" w:rsidRDefault="0057499C" w:rsidP="0057499C">
      <w:pPr>
        <w:spacing w:after="120" w:line="276" w:lineRule="auto"/>
        <w:ind w:firstLine="709"/>
        <w:jc w:val="both"/>
        <w:rPr>
          <w:rFonts w:ascii="Arial" w:hAnsi="Arial" w:cs="Arial"/>
          <w:lang w:val="es-ES"/>
        </w:rPr>
      </w:pPr>
      <w:r w:rsidRPr="00B808E1">
        <w:rPr>
          <w:rFonts w:ascii="Arial" w:hAnsi="Arial" w:cs="Arial"/>
          <w:lang w:val="es-ES"/>
        </w:rPr>
        <w:t>Así las cosas, la matriz de experiencia de los documentos tipo complementarios que se adoptaron con la Resolución 454 del 16 de diciembre de 2021 aplica a dos (2) tipos de obras: (i) Obras en infraestructura cultural (</w:t>
      </w:r>
      <w:proofErr w:type="spellStart"/>
      <w:r w:rsidRPr="00B808E1">
        <w:rPr>
          <w:rFonts w:ascii="Arial" w:hAnsi="Arial" w:cs="Arial"/>
          <w:lang w:val="es-ES"/>
        </w:rPr>
        <w:t>ii</w:t>
      </w:r>
      <w:proofErr w:type="spellEnd"/>
      <w:r w:rsidRPr="00B808E1">
        <w:rPr>
          <w:rFonts w:ascii="Arial" w:hAnsi="Arial" w:cs="Arial"/>
          <w:lang w:val="es-ES"/>
        </w:rPr>
        <w:t>) Obras en infraestructura recreo</w:t>
      </w:r>
      <w:r w:rsidR="00B95BB7" w:rsidRPr="00D96082">
        <w:rPr>
          <w:rFonts w:ascii="Arial" w:hAnsi="Arial" w:cs="Arial"/>
          <w:lang w:val="es-ES"/>
        </w:rPr>
        <w:t>-</w:t>
      </w:r>
      <w:r w:rsidRPr="00B808E1">
        <w:rPr>
          <w:rFonts w:ascii="Arial" w:hAnsi="Arial" w:cs="Arial"/>
          <w:lang w:val="es-ES"/>
        </w:rPr>
        <w:t>deportiva.</w:t>
      </w:r>
    </w:p>
    <w:p w14:paraId="2EEA0AE1" w14:textId="49C47EFE" w:rsidR="0057499C" w:rsidRPr="00B808E1" w:rsidRDefault="0057499C" w:rsidP="0057499C">
      <w:pPr>
        <w:spacing w:after="120" w:line="276" w:lineRule="auto"/>
        <w:ind w:firstLine="709"/>
        <w:jc w:val="both"/>
        <w:rPr>
          <w:rFonts w:ascii="Arial" w:eastAsia="Calibri" w:hAnsi="Arial" w:cs="Arial"/>
          <w:lang w:val="es-ES_tradnl"/>
        </w:rPr>
      </w:pPr>
      <w:r w:rsidRPr="00B808E1">
        <w:rPr>
          <w:rFonts w:ascii="Arial" w:eastAsia="Calibri" w:hAnsi="Arial" w:cs="Arial"/>
          <w:lang w:val="es-ES_tradnl"/>
        </w:rPr>
        <w:t xml:space="preserve">Bajo este panorama, para determinar si la contratación corresponde a una obra pública de infraestructura social relacionada con el sector cultura, recreación y deporte, y si en consecuencia procede la aplicación de los Documentos Tipo, se debe acudir a la </w:t>
      </w:r>
      <w:r w:rsidR="001C6A5A" w:rsidRPr="00B808E1">
        <w:rPr>
          <w:rFonts w:ascii="Arial" w:eastAsia="Times New Roman" w:hAnsi="Arial" w:cs="Arial"/>
          <w:lang w:val="es-ES"/>
        </w:rPr>
        <w:t>«</w:t>
      </w:r>
      <w:r w:rsidRPr="00B808E1">
        <w:rPr>
          <w:rFonts w:ascii="Arial" w:eastAsia="Calibri" w:hAnsi="Arial" w:cs="Arial"/>
          <w:lang w:val="es-ES_tradnl"/>
        </w:rPr>
        <w:t>Matriz 1 –</w:t>
      </w:r>
      <w:r w:rsidRPr="00B808E1">
        <w:rPr>
          <w:rFonts w:ascii="Arial" w:eastAsia="Calibri" w:hAnsi="Arial" w:cs="Arial"/>
          <w:b/>
          <w:bCs/>
          <w:lang w:val="es-ES_tradnl"/>
        </w:rPr>
        <w:t xml:space="preserve"> </w:t>
      </w:r>
      <w:r w:rsidRPr="00B808E1">
        <w:rPr>
          <w:rFonts w:ascii="Arial" w:eastAsia="Calibri" w:hAnsi="Arial" w:cs="Arial"/>
          <w:lang w:val="es-ES_tradnl"/>
        </w:rPr>
        <w:t>Experiencia</w:t>
      </w:r>
      <w:r w:rsidR="001C6A5A" w:rsidRPr="00B808E1">
        <w:rPr>
          <w:rFonts w:ascii="Arial" w:eastAsia="Times New Roman" w:hAnsi="Arial" w:cs="Arial"/>
          <w:lang w:val="es-ES"/>
        </w:rPr>
        <w:t>»</w:t>
      </w:r>
      <w:r w:rsidRPr="00B808E1">
        <w:rPr>
          <w:rFonts w:ascii="Arial" w:eastAsia="Calibri" w:hAnsi="Arial" w:cs="Arial"/>
          <w:lang w:val="es-ES_tradnl"/>
        </w:rPr>
        <w:t xml:space="preserve">, constituida por trece (13) tipos de obras de infraestructura social relacionados con el Sector cultura, recreación y deporte, </w:t>
      </w:r>
      <w:r w:rsidRPr="00B808E1">
        <w:rPr>
          <w:rFonts w:ascii="Arial" w:eastAsia="Calibri" w:hAnsi="Arial" w:cs="Arial"/>
        </w:rPr>
        <w:t xml:space="preserve">identificadas con un número y su descripción, los cuales </w:t>
      </w:r>
      <w:r w:rsidRPr="00B808E1">
        <w:rPr>
          <w:rFonts w:ascii="Arial" w:eastAsia="Calibri" w:hAnsi="Arial" w:cs="Arial"/>
          <w:lang w:val="es-ES_tradnl"/>
        </w:rPr>
        <w:t>se relacionan a continuación: 2.1. Proyectos de construcción y/o reconstrucción de parques. 2.2. Proyectos de ampliación y/o terminación y/o rehabilitación y/o mejoramiento y/o mantenimiento y/o adecuación y/o intervención de parques. 2.3. Proyectos de construcción y/o reconstrucción de senderos en parques. 2.4. Proyectos de ampliación y/o terminación y/o rehabilitación y/o mejoramiento y/o mantenimiento y/o adecuación y/o intervención de senderos en parques. 2.5. Proyectos de construcción y/o mejoramiento y/o rehabilitación y/o mantenimiento y/o adecuación y/o ampliación y/o intervención de canchas deportivas. 2.6. proyectos de construcción y/o mejoramiento y/o rehabilitación y/o mantenimiento y/o adecuación y/o reforzamiento y/o intervención de polideportivos y/o placas polideportivas. 2.7. proyectos de construcción y/o mejoramiento y/o rehabilitación y/o mantenimiento y/o adecuación y/o reforzamiento y/o intervención de coliseos. 2.8. proyectos de construcción y/o mejoramiento y/o rehabilitación y/o mantenimiento y/o adecuación y/o reforzamiento y/o intervención de conchas acústicas. 2.9. proyectos de construcción y/o mejoramiento y/o rehabilitación y/o mantenimiento y/o adecuación y/o reforzamiento y/o intervención de piscinas. 2.10. proyectos de construcción y/o mejoramiento y/o rehabilitación y/o mantenimiento y/o adecuación y/o reforzamiento y/o intervención de pistas. 2.11. proyectos de construcción y/o mejoramiento y/o rehabilitación y/o mantenimiento y/o adecuación y/o reforzamiento y/o intervención de zonas verdes, o actividades de urbanismo y paisajismo. 2.12. proyectos de construcción y/o ampliación y/o terminación y/o reconstrucción de instalaciones deportivas. 2.13. proyectos de mejoramiento y/o remodelación y/o adecuación y/o modificación y/o mantenimiento y/o reparación y/o intervención de instalaciones deportivas.</w:t>
      </w:r>
    </w:p>
    <w:p w14:paraId="63B035E6" w14:textId="1DC2BB0B" w:rsidR="0057499C" w:rsidRPr="00B808E1" w:rsidRDefault="001C6A5A" w:rsidP="0057499C">
      <w:pPr>
        <w:spacing w:after="120" w:line="276" w:lineRule="auto"/>
        <w:ind w:firstLine="709"/>
        <w:jc w:val="both"/>
        <w:rPr>
          <w:rFonts w:ascii="Arial" w:eastAsia="Arial" w:hAnsi="Arial" w:cs="Arial"/>
        </w:rPr>
      </w:pPr>
      <w:r w:rsidRPr="00B808E1">
        <w:rPr>
          <w:rFonts w:ascii="Arial" w:hAnsi="Arial" w:cs="Arial"/>
          <w:lang w:val="es-ES"/>
        </w:rPr>
        <w:lastRenderedPageBreak/>
        <w:t>Conforme a los proyectos antes enunciados, resulta pertinente señalar que e</w:t>
      </w:r>
      <w:r w:rsidR="0057499C" w:rsidRPr="00B808E1">
        <w:rPr>
          <w:rFonts w:ascii="Arial" w:hAnsi="Arial" w:cs="Arial"/>
          <w:lang w:val="es-ES"/>
        </w:rPr>
        <w:t xml:space="preserve">l </w:t>
      </w:r>
      <w:r w:rsidR="0057499C" w:rsidRPr="00B808E1">
        <w:rPr>
          <w:rFonts w:ascii="Arial" w:eastAsia="Calibri" w:hAnsi="Arial" w:cs="Arial"/>
          <w:lang w:val="es-ES_tradnl"/>
        </w:rPr>
        <w:t xml:space="preserve">«Anexo – Glosario </w:t>
      </w:r>
      <w:r w:rsidR="0057499C" w:rsidRPr="00B808E1">
        <w:rPr>
          <w:rFonts w:ascii="Arial" w:hAnsi="Arial" w:cs="Arial"/>
          <w:lang w:val="es-ES"/>
        </w:rPr>
        <w:t>sector cultura, recreación y deporte</w:t>
      </w:r>
      <w:r w:rsidR="0057499C" w:rsidRPr="00B808E1">
        <w:rPr>
          <w:rFonts w:ascii="Arial" w:eastAsia="Calibri" w:hAnsi="Arial" w:cs="Arial"/>
          <w:lang w:val="es-ES_tradnl"/>
        </w:rPr>
        <w:t xml:space="preserve">», en su numeral 2.42, define el término </w:t>
      </w:r>
      <w:r w:rsidR="0057499C" w:rsidRPr="00D96082">
        <w:rPr>
          <w:rFonts w:ascii="Arial" w:eastAsia="Calibri" w:hAnsi="Arial" w:cs="Arial"/>
          <w:i/>
          <w:iCs/>
          <w:lang w:val="es-ES_tradnl"/>
        </w:rPr>
        <w:t>Equipamiento Cultural</w:t>
      </w:r>
      <w:r w:rsidR="0057499C" w:rsidRPr="00B808E1">
        <w:rPr>
          <w:rFonts w:ascii="Arial" w:eastAsia="Calibri" w:hAnsi="Arial" w:cs="Arial"/>
          <w:lang w:val="es-ES_tradnl"/>
        </w:rPr>
        <w:t xml:space="preserve"> de la siguiente forma: «</w:t>
      </w:r>
      <w:r w:rsidR="0057499C" w:rsidRPr="00B808E1">
        <w:rPr>
          <w:rFonts w:ascii="Arial" w:eastAsia="Arial" w:hAnsi="Arial" w:cs="Arial"/>
        </w:rPr>
        <w:t>Infraestructura, edificación, dotación y espacio destinado a la actividad cultural, de creación, circulación, memoria, custodia, transmisión y conservación del conocimiento, fomento y difusión de la cultura y fortalecimiento y desarrollo de las relaciones y las creencias de los diversos pueblos y grupos sociales que habitan la ciudad.</w:t>
      </w:r>
    </w:p>
    <w:p w14:paraId="7A10A26D" w14:textId="77777777" w:rsidR="0057499C" w:rsidRPr="00B808E1" w:rsidRDefault="0057499C" w:rsidP="0057499C">
      <w:pPr>
        <w:spacing w:after="120" w:line="276" w:lineRule="auto"/>
        <w:ind w:firstLine="709"/>
        <w:jc w:val="both"/>
        <w:rPr>
          <w:rFonts w:ascii="Arial" w:eastAsia="Calibri" w:hAnsi="Arial" w:cs="Arial"/>
          <w:lang w:val="es-ES_tradnl"/>
        </w:rPr>
      </w:pPr>
      <w:r w:rsidRPr="00B808E1">
        <w:rPr>
          <w:rFonts w:ascii="Arial" w:eastAsia="Arial" w:hAnsi="Arial" w:cs="Arial"/>
        </w:rPr>
        <w:t xml:space="preserve">Asimismo, el refreído </w:t>
      </w:r>
      <w:r w:rsidRPr="00B808E1">
        <w:rPr>
          <w:rFonts w:ascii="Arial" w:eastAsia="Calibri" w:hAnsi="Arial" w:cs="Arial"/>
          <w:lang w:val="es-ES_tradnl"/>
        </w:rPr>
        <w:t xml:space="preserve">«Anexo – Glosario </w:t>
      </w:r>
      <w:r w:rsidRPr="00B808E1">
        <w:rPr>
          <w:rFonts w:ascii="Arial" w:hAnsi="Arial" w:cs="Arial"/>
          <w:lang w:val="es-ES"/>
        </w:rPr>
        <w:t>sector cultura, recreación y deporte</w:t>
      </w:r>
      <w:r w:rsidRPr="00B808E1">
        <w:rPr>
          <w:rFonts w:ascii="Arial" w:eastAsia="Calibri" w:hAnsi="Arial" w:cs="Arial"/>
          <w:lang w:val="es-ES_tradnl"/>
        </w:rPr>
        <w:t xml:space="preserve">» </w:t>
      </w:r>
      <w:r w:rsidRPr="00B808E1">
        <w:rPr>
          <w:rFonts w:ascii="Arial" w:hAnsi="Arial" w:cs="Arial"/>
          <w:lang w:val="es-ES"/>
        </w:rPr>
        <w:t xml:space="preserve">en el numeral 2.60 </w:t>
      </w:r>
      <w:r w:rsidRPr="00B808E1">
        <w:rPr>
          <w:rFonts w:ascii="Arial" w:eastAsia="Calibri" w:hAnsi="Arial" w:cs="Arial"/>
          <w:lang w:val="es-ES_tradnl"/>
        </w:rPr>
        <w:t xml:space="preserve">define el término </w:t>
      </w:r>
      <w:r w:rsidRPr="00B808E1">
        <w:rPr>
          <w:rFonts w:ascii="Arial" w:eastAsia="Calibri" w:hAnsi="Arial" w:cs="Arial"/>
          <w:i/>
          <w:iCs/>
          <w:lang w:val="es-ES_tradnl"/>
        </w:rPr>
        <w:t xml:space="preserve">Infraestructura Cultural </w:t>
      </w:r>
      <w:r w:rsidRPr="00B808E1">
        <w:rPr>
          <w:rFonts w:ascii="Arial" w:eastAsia="Calibri" w:hAnsi="Arial" w:cs="Arial"/>
          <w:lang w:val="es-ES_tradnl"/>
        </w:rPr>
        <w:t>como «</w:t>
      </w:r>
      <w:r w:rsidRPr="00B808E1">
        <w:rPr>
          <w:rFonts w:ascii="Arial" w:eastAsia="Arial" w:hAnsi="Arial" w:cs="Arial"/>
        </w:rPr>
        <w:t>Todos aquellos espacios físicos donde tienen lugar las diversas prácticas y manifestaciones artísticas y culturales de las comunidades, como casas de cultura, salas de música, escuelas de música, escuelas de baile, salones de baile, bibliotecas, teatros, auditorios, centros de convenciones, escuelas de artes y oficios, talleres de artes y oficios, museos, fonotecas, fototecas, salas de conciertos, archivos, plazas de conciertos, conchas acústicas, coliseos de uso múltiple, aulas múltiples, malocas, centros ceremoniales, cinematecas, catedrales, teatros, centros culturales, escuelas de formación artística, maloca, etc.</w:t>
      </w:r>
      <w:r w:rsidRPr="00B808E1">
        <w:rPr>
          <w:rFonts w:ascii="Arial" w:eastAsia="Arial" w:hAnsi="Arial" w:cs="Arial"/>
          <w:vertAlign w:val="superscript"/>
        </w:rPr>
        <w:footnoteReference w:id="7"/>
      </w:r>
      <w:r w:rsidRPr="00B808E1">
        <w:rPr>
          <w:rFonts w:ascii="Arial" w:eastAsia="Calibri" w:hAnsi="Arial" w:cs="Arial"/>
          <w:lang w:val="es-ES_tradnl"/>
        </w:rPr>
        <w:t>»</w:t>
      </w:r>
      <w:r w:rsidRPr="00B808E1">
        <w:rPr>
          <w:rFonts w:ascii="Arial" w:hAnsi="Arial" w:cs="Arial"/>
          <w:lang w:val="es-ES"/>
        </w:rPr>
        <w:t xml:space="preserve"> </w:t>
      </w:r>
    </w:p>
    <w:p w14:paraId="6B3422AF" w14:textId="77777777" w:rsidR="0057499C" w:rsidRPr="00B808E1" w:rsidRDefault="0057499C" w:rsidP="0057499C">
      <w:pPr>
        <w:spacing w:after="120" w:line="276" w:lineRule="auto"/>
        <w:ind w:firstLine="709"/>
        <w:jc w:val="both"/>
        <w:rPr>
          <w:rFonts w:ascii="Arial" w:eastAsia="Calibri" w:hAnsi="Arial" w:cs="Arial"/>
          <w:lang w:val="es-ES_tradnl"/>
        </w:rPr>
      </w:pPr>
      <w:r w:rsidRPr="00B808E1">
        <w:rPr>
          <w:rFonts w:ascii="Arial" w:hAnsi="Arial" w:cs="Arial"/>
          <w:lang w:val="es-ES"/>
        </w:rPr>
        <w:t xml:space="preserve">Ahora bien, el </w:t>
      </w:r>
      <w:r w:rsidRPr="00B808E1">
        <w:rPr>
          <w:rFonts w:ascii="Arial" w:eastAsia="Calibri" w:hAnsi="Arial" w:cs="Arial"/>
          <w:lang w:val="es-ES_tradnl"/>
        </w:rPr>
        <w:t xml:space="preserve">numeral 2.43 del «Anexo – Glosario </w:t>
      </w:r>
      <w:r w:rsidRPr="00B808E1">
        <w:rPr>
          <w:rFonts w:ascii="Arial" w:hAnsi="Arial" w:cs="Arial"/>
          <w:lang w:val="es-ES"/>
        </w:rPr>
        <w:t>sector cultura, recreación y deporte</w:t>
      </w:r>
      <w:r w:rsidRPr="00B808E1">
        <w:rPr>
          <w:rFonts w:ascii="Arial" w:eastAsia="Calibri" w:hAnsi="Arial" w:cs="Arial"/>
          <w:lang w:val="es-ES_tradnl"/>
        </w:rPr>
        <w:t xml:space="preserve">» consagra el concepto de </w:t>
      </w:r>
      <w:r w:rsidRPr="00D96082">
        <w:rPr>
          <w:rFonts w:ascii="Arial" w:eastAsia="Calibri" w:hAnsi="Arial" w:cs="Arial"/>
          <w:i/>
          <w:iCs/>
          <w:lang w:val="es-ES_tradnl"/>
        </w:rPr>
        <w:t>Equipamiento Deportivo</w:t>
      </w:r>
      <w:r w:rsidRPr="00B808E1">
        <w:rPr>
          <w:rFonts w:ascii="Arial" w:eastAsia="Calibri" w:hAnsi="Arial" w:cs="Arial"/>
          <w:lang w:val="es-ES_tradnl"/>
        </w:rPr>
        <w:t xml:space="preserve"> así: «</w:t>
      </w:r>
      <w:r w:rsidRPr="00B808E1">
        <w:rPr>
          <w:rFonts w:ascii="Arial" w:eastAsia="Arial" w:hAnsi="Arial" w:cs="Arial"/>
        </w:rPr>
        <w:t xml:space="preserve">Conjunto formado por uno o varios espacios deportivos susceptibles de alojar cualquier actividad deportiva junto con los servicios auxiliares imprescindibles para su buen funcionamiento. Dadas las características físicas y funcionales, se definen cuatro tipos de equipamientos: espacio deportivo, instalación deportiva, </w:t>
      </w:r>
      <w:proofErr w:type="gramStart"/>
      <w:r w:rsidRPr="00B808E1">
        <w:rPr>
          <w:rFonts w:ascii="Arial" w:eastAsia="Arial" w:hAnsi="Arial" w:cs="Arial"/>
        </w:rPr>
        <w:t>complejo deportivo y escenario deportivo</w:t>
      </w:r>
      <w:proofErr w:type="gramEnd"/>
      <w:r w:rsidRPr="00B808E1">
        <w:rPr>
          <w:rFonts w:ascii="Arial" w:eastAsia="Arial" w:hAnsi="Arial" w:cs="Arial"/>
        </w:rPr>
        <w:t>.</w:t>
      </w:r>
      <w:r w:rsidRPr="00B808E1">
        <w:rPr>
          <w:rFonts w:ascii="Arial" w:eastAsia="Calibri" w:hAnsi="Arial" w:cs="Arial"/>
          <w:lang w:val="es-ES_tradnl"/>
        </w:rPr>
        <w:t xml:space="preserve">» Y finalmente, el 2.61 señala que el concepto de </w:t>
      </w:r>
      <w:r w:rsidRPr="00B808E1">
        <w:rPr>
          <w:rFonts w:ascii="Arial" w:eastAsia="Calibri" w:hAnsi="Arial" w:cs="Arial"/>
          <w:i/>
          <w:iCs/>
          <w:lang w:val="es-ES_tradnl"/>
        </w:rPr>
        <w:t>instalación deportiva</w:t>
      </w:r>
      <w:r w:rsidRPr="00B808E1">
        <w:rPr>
          <w:rFonts w:ascii="Arial" w:eastAsia="Calibri" w:hAnsi="Arial" w:cs="Arial"/>
          <w:lang w:val="es-ES_tradnl"/>
        </w:rPr>
        <w:t xml:space="preserve"> alude al «Equipamiento deportivo destinado a la práctica del deporte de competición a nivel aficionado, el deporte asociado, el deporte competitivo y el deporte formativo. Su espacio deportivo es reglado y cuenta con los servicios auxiliares mínimos […]».</w:t>
      </w:r>
    </w:p>
    <w:p w14:paraId="4A2393C7" w14:textId="0F627E01" w:rsidR="0057499C" w:rsidRPr="00B808E1" w:rsidRDefault="0057499C" w:rsidP="0057499C">
      <w:pPr>
        <w:spacing w:after="0" w:line="276" w:lineRule="auto"/>
        <w:ind w:firstLine="709"/>
        <w:contextualSpacing/>
        <w:jc w:val="both"/>
        <w:rPr>
          <w:rFonts w:ascii="Arial" w:hAnsi="Arial" w:cs="Arial"/>
          <w:lang w:val="es-ES"/>
        </w:rPr>
      </w:pPr>
      <w:r w:rsidRPr="00B808E1">
        <w:rPr>
          <w:rFonts w:ascii="Arial" w:hAnsi="Arial" w:cs="Arial"/>
          <w:lang w:val="es-ES"/>
        </w:rPr>
        <w:t xml:space="preserve">Así las cosas, la </w:t>
      </w:r>
      <w:r w:rsidR="001C6A5A" w:rsidRPr="00B808E1">
        <w:rPr>
          <w:rFonts w:ascii="Arial" w:hAnsi="Arial" w:cs="Arial"/>
          <w:lang w:val="es-ES"/>
        </w:rPr>
        <w:t xml:space="preserve">entidad estatal </w:t>
      </w:r>
      <w:r w:rsidRPr="00B808E1">
        <w:rPr>
          <w:rFonts w:ascii="Arial" w:hAnsi="Arial" w:cs="Arial"/>
          <w:lang w:val="es-ES"/>
        </w:rPr>
        <w:t xml:space="preserve">interesada en adelantar un proceso de contratación deberá verificar la </w:t>
      </w:r>
      <w:r w:rsidR="001C6A5A" w:rsidRPr="00B808E1">
        <w:rPr>
          <w:rFonts w:ascii="Arial" w:eastAsia="Times New Roman" w:hAnsi="Arial" w:cs="Arial"/>
          <w:lang w:val="es-ES"/>
        </w:rPr>
        <w:t>«</w:t>
      </w:r>
      <w:r w:rsidR="001C6A5A" w:rsidRPr="00B808E1">
        <w:rPr>
          <w:rFonts w:ascii="Arial" w:eastAsia="Calibri" w:hAnsi="Arial" w:cs="Arial"/>
          <w:lang w:val="es-ES_tradnl"/>
        </w:rPr>
        <w:t>Matriz 1 –</w:t>
      </w:r>
      <w:r w:rsidR="001C6A5A" w:rsidRPr="00B808E1">
        <w:rPr>
          <w:rFonts w:ascii="Arial" w:eastAsia="Calibri" w:hAnsi="Arial" w:cs="Arial"/>
          <w:b/>
          <w:bCs/>
          <w:lang w:val="es-ES_tradnl"/>
        </w:rPr>
        <w:t xml:space="preserve"> </w:t>
      </w:r>
      <w:r w:rsidR="001C6A5A" w:rsidRPr="00B808E1">
        <w:rPr>
          <w:rFonts w:ascii="Arial" w:eastAsia="Calibri" w:hAnsi="Arial" w:cs="Arial"/>
          <w:lang w:val="es-ES_tradnl"/>
        </w:rPr>
        <w:t>Experiencia</w:t>
      </w:r>
      <w:r w:rsidR="001C6A5A" w:rsidRPr="00B808E1">
        <w:rPr>
          <w:rFonts w:ascii="Arial" w:eastAsia="Times New Roman" w:hAnsi="Arial" w:cs="Arial"/>
          <w:lang w:val="es-ES"/>
        </w:rPr>
        <w:t>»</w:t>
      </w:r>
      <w:r w:rsidRPr="00B808E1">
        <w:rPr>
          <w:rFonts w:ascii="Arial" w:hAnsi="Arial" w:cs="Arial"/>
          <w:lang w:val="es-ES"/>
        </w:rPr>
        <w:t>, la cual además de estandarizar el requisito habilitante de experiencia, señala las actividades a las cuales aplican estos documentos tipo complementarios, en el entendido de que aplicarán a los procesos contractuales cuyo objeto se relacione con alguna de las actividades establecidas de forma detallada en la Matriz de experiencia respectiva.</w:t>
      </w:r>
    </w:p>
    <w:p w14:paraId="51E90B0A" w14:textId="77777777" w:rsidR="0057499C" w:rsidRPr="00B808E1" w:rsidRDefault="0057499C" w:rsidP="00D96082">
      <w:pPr>
        <w:spacing w:after="0" w:line="276" w:lineRule="auto"/>
        <w:contextualSpacing/>
        <w:jc w:val="both"/>
        <w:rPr>
          <w:rFonts w:ascii="Arial" w:hAnsi="Arial" w:cs="Arial"/>
          <w:b/>
          <w:color w:val="000000" w:themeColor="text1"/>
          <w:lang w:val="es-ES" w:eastAsia="es-ES_tradnl"/>
        </w:rPr>
      </w:pPr>
    </w:p>
    <w:p w14:paraId="74595EFD" w14:textId="26B5C2E7" w:rsidR="0057499C" w:rsidRPr="00B808E1" w:rsidRDefault="0057499C" w:rsidP="00D96082">
      <w:pPr>
        <w:spacing w:after="0" w:line="276" w:lineRule="auto"/>
        <w:contextualSpacing/>
        <w:jc w:val="both"/>
        <w:rPr>
          <w:rFonts w:ascii="Arial" w:hAnsi="Arial" w:cs="Arial"/>
          <w:b/>
          <w:color w:val="000000" w:themeColor="text1"/>
          <w:lang w:val="es-ES" w:eastAsia="es-ES_tradnl"/>
        </w:rPr>
      </w:pPr>
      <w:r w:rsidRPr="00B808E1">
        <w:rPr>
          <w:rFonts w:ascii="Arial" w:hAnsi="Arial" w:cs="Arial"/>
          <w:b/>
          <w:color w:val="000000" w:themeColor="text1"/>
          <w:lang w:val="es-ES" w:eastAsia="es-ES_tradnl"/>
        </w:rPr>
        <w:t xml:space="preserve">2.4. </w:t>
      </w:r>
      <w:r w:rsidR="005F6457" w:rsidRPr="00B808E1">
        <w:rPr>
          <w:rFonts w:ascii="Arial" w:hAnsi="Arial" w:cs="Arial"/>
          <w:b/>
          <w:color w:val="000000" w:themeColor="text1"/>
          <w:lang w:val="es-ES" w:eastAsia="es-ES_tradnl"/>
        </w:rPr>
        <w:t>Definición de</w:t>
      </w:r>
      <w:r w:rsidRPr="00B808E1">
        <w:rPr>
          <w:rFonts w:ascii="Arial" w:hAnsi="Arial" w:cs="Arial"/>
          <w:b/>
          <w:color w:val="000000" w:themeColor="text1"/>
          <w:lang w:val="es-ES" w:eastAsia="es-ES_tradnl"/>
        </w:rPr>
        <w:t xml:space="preserve"> </w:t>
      </w:r>
      <w:r w:rsidR="005F6457" w:rsidRPr="00B808E1">
        <w:rPr>
          <w:rFonts w:ascii="Arial" w:eastAsia="Times New Roman" w:hAnsi="Arial" w:cs="Arial"/>
          <w:lang w:val="es-ES"/>
        </w:rPr>
        <w:t>«</w:t>
      </w:r>
      <w:r w:rsidR="005F6457" w:rsidRPr="00B808E1">
        <w:rPr>
          <w:rFonts w:ascii="Arial" w:hAnsi="Arial" w:cs="Arial"/>
          <w:b/>
          <w:color w:val="000000" w:themeColor="text1"/>
          <w:lang w:val="es-ES" w:eastAsia="es-ES_tradnl"/>
        </w:rPr>
        <w:t xml:space="preserve">Plazas </w:t>
      </w:r>
      <w:r w:rsidRPr="00B808E1">
        <w:rPr>
          <w:rFonts w:ascii="Arial" w:hAnsi="Arial" w:cs="Arial"/>
          <w:b/>
          <w:color w:val="000000" w:themeColor="text1"/>
          <w:lang w:val="es-ES" w:eastAsia="es-ES_tradnl"/>
        </w:rPr>
        <w:t xml:space="preserve">de </w:t>
      </w:r>
      <w:r w:rsidR="005F6457" w:rsidRPr="00B808E1">
        <w:rPr>
          <w:rFonts w:ascii="Arial" w:hAnsi="Arial" w:cs="Arial"/>
          <w:b/>
          <w:color w:val="000000" w:themeColor="text1"/>
          <w:lang w:val="es-ES" w:eastAsia="es-ES_tradnl"/>
        </w:rPr>
        <w:t>Mercado</w:t>
      </w:r>
      <w:r w:rsidR="005F6457" w:rsidRPr="00B808E1">
        <w:rPr>
          <w:rFonts w:ascii="Arial" w:eastAsia="Times New Roman" w:hAnsi="Arial" w:cs="Arial"/>
          <w:lang w:val="es-ES"/>
        </w:rPr>
        <w:t>»</w:t>
      </w:r>
    </w:p>
    <w:p w14:paraId="239E0061" w14:textId="77777777" w:rsidR="0057499C" w:rsidRPr="00B808E1" w:rsidRDefault="0057499C" w:rsidP="00D96082">
      <w:pPr>
        <w:spacing w:after="0" w:line="276" w:lineRule="auto"/>
        <w:ind w:firstLine="709"/>
        <w:contextualSpacing/>
        <w:jc w:val="both"/>
        <w:rPr>
          <w:rFonts w:ascii="Arial" w:hAnsi="Arial" w:cs="Arial"/>
          <w:lang w:val="es-ES" w:eastAsia="en-GB"/>
        </w:rPr>
      </w:pPr>
    </w:p>
    <w:p w14:paraId="7F815570" w14:textId="0DF2C936" w:rsidR="0057499C" w:rsidRPr="00B808E1" w:rsidRDefault="0057499C" w:rsidP="0057499C">
      <w:pPr>
        <w:spacing w:after="120" w:line="276" w:lineRule="auto"/>
        <w:jc w:val="both"/>
        <w:rPr>
          <w:rFonts w:ascii="Arial" w:hAnsi="Arial" w:cs="Arial"/>
        </w:rPr>
      </w:pPr>
      <w:r w:rsidRPr="00B808E1">
        <w:rPr>
          <w:rFonts w:ascii="Arial" w:hAnsi="Arial" w:cs="Arial"/>
          <w:lang w:val="es-ES"/>
        </w:rPr>
        <w:lastRenderedPageBreak/>
        <w:t>A efectos de resolver la consulta objeto del presente concepto, es pertinente señalar qu</w:t>
      </w:r>
      <w:r w:rsidR="00113AAB" w:rsidRPr="00D96082">
        <w:rPr>
          <w:rFonts w:ascii="Arial" w:hAnsi="Arial" w:cs="Arial"/>
          <w:lang w:val="es-ES"/>
        </w:rPr>
        <w:t>é</w:t>
      </w:r>
      <w:r w:rsidRPr="00B808E1">
        <w:rPr>
          <w:rFonts w:ascii="Arial" w:hAnsi="Arial" w:cs="Arial"/>
          <w:lang w:val="es-ES"/>
        </w:rPr>
        <w:t xml:space="preserve"> se entiende por </w:t>
      </w:r>
      <w:r w:rsidR="005F6457" w:rsidRPr="00B808E1">
        <w:rPr>
          <w:rFonts w:ascii="Arial" w:eastAsia="Times New Roman" w:hAnsi="Arial" w:cs="Arial"/>
          <w:lang w:val="es-ES"/>
        </w:rPr>
        <w:t>«</w:t>
      </w:r>
      <w:r w:rsidR="005F6457" w:rsidRPr="00D96082">
        <w:rPr>
          <w:rFonts w:ascii="Arial" w:hAnsi="Arial" w:cs="Arial"/>
          <w:color w:val="000000" w:themeColor="text1"/>
          <w:lang w:val="es-ES" w:eastAsia="es-ES_tradnl"/>
        </w:rPr>
        <w:t>Plazas de Mercado</w:t>
      </w:r>
      <w:r w:rsidR="005F6457" w:rsidRPr="00B808E1">
        <w:rPr>
          <w:rFonts w:ascii="Arial" w:eastAsia="Times New Roman" w:hAnsi="Arial" w:cs="Arial"/>
          <w:lang w:val="es-ES"/>
        </w:rPr>
        <w:t>»</w:t>
      </w:r>
      <w:r w:rsidRPr="00B808E1">
        <w:rPr>
          <w:rFonts w:ascii="Arial" w:hAnsi="Arial" w:cs="Arial"/>
          <w:lang w:val="es-ES"/>
        </w:rPr>
        <w:t>. Si bien no hay un concepto unificado, las plazas de mercado se pueden definir como aquel espacio en el que tiene lugar el mercado de verduras, frutas, quesos, carnes, panes, etc</w:t>
      </w:r>
      <w:r w:rsidR="009035F6" w:rsidRPr="00D96082">
        <w:rPr>
          <w:rFonts w:ascii="Arial" w:hAnsi="Arial" w:cs="Arial"/>
          <w:lang w:val="es-ES"/>
        </w:rPr>
        <w:t>.</w:t>
      </w:r>
      <w:r w:rsidRPr="00B808E1">
        <w:rPr>
          <w:rFonts w:ascii="Arial" w:hAnsi="Arial" w:cs="Arial"/>
          <w:lang w:val="es-ES"/>
        </w:rPr>
        <w:t>, ya sea en un sitio abierto o cubierto</w:t>
      </w:r>
      <w:r w:rsidRPr="00B808E1">
        <w:rPr>
          <w:rStyle w:val="Refdenotaalpie"/>
          <w:rFonts w:ascii="Arial" w:hAnsi="Arial" w:cs="Arial"/>
          <w:lang w:val="es-ES"/>
        </w:rPr>
        <w:footnoteReference w:id="8"/>
      </w:r>
      <w:r w:rsidRPr="00B808E1">
        <w:rPr>
          <w:rFonts w:ascii="Arial" w:hAnsi="Arial" w:cs="Arial"/>
          <w:lang w:val="es-ES"/>
        </w:rPr>
        <w:t>, a través de las cual</w:t>
      </w:r>
      <w:r w:rsidR="009035F6" w:rsidRPr="00D96082">
        <w:rPr>
          <w:rFonts w:ascii="Arial" w:hAnsi="Arial" w:cs="Arial"/>
          <w:lang w:val="es-ES"/>
        </w:rPr>
        <w:t>es</w:t>
      </w:r>
      <w:r w:rsidRPr="00B808E1">
        <w:rPr>
          <w:rFonts w:ascii="Arial" w:hAnsi="Arial" w:cs="Arial"/>
          <w:lang w:val="es-ES"/>
        </w:rPr>
        <w:t xml:space="preserve"> el Estado ejerce la función de garantizar el suministro de los productos básicos de consumo doméstico a la comunidad</w:t>
      </w:r>
      <w:r w:rsidRPr="00B808E1">
        <w:rPr>
          <w:rStyle w:val="Refdenotaalpie"/>
          <w:rFonts w:ascii="Arial" w:hAnsi="Arial" w:cs="Arial"/>
          <w:lang w:val="es-ES"/>
        </w:rPr>
        <w:footnoteReference w:id="9"/>
      </w:r>
      <w:r w:rsidRPr="00B808E1">
        <w:rPr>
          <w:rFonts w:ascii="Arial" w:hAnsi="Arial" w:cs="Arial"/>
          <w:lang w:val="es-ES"/>
        </w:rPr>
        <w:t xml:space="preserve">. También </w:t>
      </w:r>
      <w:r w:rsidR="005F6457" w:rsidRPr="00B808E1">
        <w:rPr>
          <w:rFonts w:ascii="Arial" w:hAnsi="Arial" w:cs="Arial"/>
          <w:lang w:val="es-ES"/>
        </w:rPr>
        <w:t>es posible entenderlas</w:t>
      </w:r>
      <w:r w:rsidRPr="00B808E1">
        <w:rPr>
          <w:rFonts w:ascii="Arial" w:hAnsi="Arial" w:cs="Arial"/>
          <w:lang w:val="es-ES"/>
        </w:rPr>
        <w:t xml:space="preserve"> como </w:t>
      </w:r>
      <w:r w:rsidRPr="00B808E1">
        <w:rPr>
          <w:rFonts w:ascii="Arial" w:hAnsi="Arial" w:cs="Arial"/>
        </w:rPr>
        <w:t xml:space="preserve">actividades, de carácter permanente o itinerante, que reúnen a comerciantes en espacios públicos construidos </w:t>
      </w:r>
      <w:r w:rsidR="009035F6" w:rsidRPr="00D96082">
        <w:rPr>
          <w:rFonts w:ascii="Arial" w:hAnsi="Arial" w:cs="Arial"/>
        </w:rPr>
        <w:t>para</w:t>
      </w:r>
      <w:r w:rsidRPr="00B808E1">
        <w:rPr>
          <w:rFonts w:ascii="Arial" w:hAnsi="Arial" w:cs="Arial"/>
        </w:rPr>
        <w:t xml:space="preserve"> comercializar bienes y servicios primordialmente de abastecimiento alimentario</w:t>
      </w:r>
      <w:r w:rsidRPr="00B808E1">
        <w:rPr>
          <w:rStyle w:val="Refdenotaalpie"/>
          <w:rFonts w:ascii="Arial" w:hAnsi="Arial" w:cs="Arial"/>
        </w:rPr>
        <w:footnoteReference w:id="10"/>
      </w:r>
      <w:r w:rsidRPr="00B808E1">
        <w:rPr>
          <w:rFonts w:ascii="Arial" w:hAnsi="Arial" w:cs="Arial"/>
        </w:rPr>
        <w:t xml:space="preserve">. </w:t>
      </w:r>
    </w:p>
    <w:p w14:paraId="1FB79F7A" w14:textId="1214C66D" w:rsidR="0057499C" w:rsidRPr="00B808E1" w:rsidRDefault="0057499C" w:rsidP="0057499C">
      <w:pPr>
        <w:spacing w:after="120" w:line="276" w:lineRule="auto"/>
        <w:ind w:firstLine="708"/>
        <w:jc w:val="both"/>
        <w:rPr>
          <w:rFonts w:ascii="Arial" w:hAnsi="Arial" w:cs="Arial"/>
          <w:lang w:val="es-ES_tradnl" w:eastAsia="es-ES"/>
        </w:rPr>
      </w:pPr>
      <w:r w:rsidRPr="00B808E1">
        <w:rPr>
          <w:rFonts w:ascii="Arial" w:hAnsi="Arial" w:cs="Arial"/>
        </w:rPr>
        <w:t xml:space="preserve">Teniendo en cuenta el concepto de </w:t>
      </w:r>
      <w:r w:rsidR="005F6457" w:rsidRPr="00B808E1">
        <w:rPr>
          <w:rFonts w:ascii="Arial" w:eastAsia="Times New Roman" w:hAnsi="Arial" w:cs="Arial"/>
          <w:lang w:val="es-ES"/>
        </w:rPr>
        <w:t>«</w:t>
      </w:r>
      <w:r w:rsidR="005F6457" w:rsidRPr="00B808E1">
        <w:rPr>
          <w:rFonts w:ascii="Arial" w:hAnsi="Arial" w:cs="Arial"/>
          <w:color w:val="000000" w:themeColor="text1"/>
          <w:lang w:val="es-ES" w:eastAsia="es-ES_tradnl"/>
        </w:rPr>
        <w:t>Plazas de Mercado</w:t>
      </w:r>
      <w:r w:rsidR="005F6457" w:rsidRPr="00B808E1">
        <w:rPr>
          <w:rFonts w:ascii="Arial" w:eastAsia="Times New Roman" w:hAnsi="Arial" w:cs="Arial"/>
          <w:lang w:val="es-ES"/>
        </w:rPr>
        <w:t>»</w:t>
      </w:r>
      <w:r w:rsidR="005F6457" w:rsidRPr="00B808E1">
        <w:rPr>
          <w:rFonts w:ascii="Arial" w:hAnsi="Arial" w:cs="Arial"/>
          <w:lang w:val="es-ES"/>
        </w:rPr>
        <w:t xml:space="preserve"> antes descrito</w:t>
      </w:r>
      <w:r w:rsidRPr="00B808E1">
        <w:rPr>
          <w:rFonts w:ascii="Arial" w:hAnsi="Arial" w:cs="Arial"/>
        </w:rPr>
        <w:t xml:space="preserve"> y el ámbito de aplicación de los documentos tipo</w:t>
      </w:r>
      <w:r w:rsidR="005F6457" w:rsidRPr="00B808E1">
        <w:rPr>
          <w:rFonts w:ascii="Arial" w:hAnsi="Arial" w:cs="Arial"/>
        </w:rPr>
        <w:t xml:space="preserve"> trasversales</w:t>
      </w:r>
      <w:r w:rsidRPr="00B808E1">
        <w:rPr>
          <w:rFonts w:ascii="Arial" w:hAnsi="Arial" w:cs="Arial"/>
        </w:rPr>
        <w:t xml:space="preserve"> de obra pública de infraestructura social y sus documentos tipo complementarios relacionados con los sectores de educación</w:t>
      </w:r>
      <w:r w:rsidR="004F2BC9" w:rsidRPr="00D96082">
        <w:rPr>
          <w:rFonts w:ascii="Arial" w:hAnsi="Arial" w:cs="Arial"/>
        </w:rPr>
        <w:t>,</w:t>
      </w:r>
      <w:r w:rsidRPr="00B808E1">
        <w:rPr>
          <w:rFonts w:ascii="Arial" w:hAnsi="Arial" w:cs="Arial"/>
        </w:rPr>
        <w:t xml:space="preserve"> salud</w:t>
      </w:r>
      <w:r w:rsidR="004F2BC9" w:rsidRPr="00D96082">
        <w:rPr>
          <w:rFonts w:ascii="Arial" w:hAnsi="Arial" w:cs="Arial"/>
        </w:rPr>
        <w:t>,</w:t>
      </w:r>
      <w:r w:rsidRPr="00B808E1">
        <w:rPr>
          <w:rFonts w:ascii="Arial" w:hAnsi="Arial" w:cs="Arial"/>
        </w:rPr>
        <w:t xml:space="preserve"> recreación y deporte, </w:t>
      </w:r>
      <w:r w:rsidRPr="00B808E1">
        <w:rPr>
          <w:rFonts w:ascii="Arial" w:eastAsia="Times New Roman" w:hAnsi="Arial" w:cs="Arial"/>
          <w:lang w:val="es-ES_tradnl" w:eastAsia="es-ES"/>
        </w:rPr>
        <w:t xml:space="preserve">es posible concluir que las </w:t>
      </w:r>
      <w:r w:rsidR="005F6457" w:rsidRPr="00B808E1">
        <w:rPr>
          <w:rFonts w:ascii="Arial" w:eastAsia="Times New Roman" w:hAnsi="Arial" w:cs="Arial"/>
          <w:lang w:val="es-ES"/>
        </w:rPr>
        <w:t>«</w:t>
      </w:r>
      <w:r w:rsidR="005F6457" w:rsidRPr="00B808E1">
        <w:rPr>
          <w:rFonts w:ascii="Arial" w:hAnsi="Arial" w:cs="Arial"/>
          <w:color w:val="000000" w:themeColor="text1"/>
          <w:lang w:val="es-ES" w:eastAsia="es-ES_tradnl"/>
        </w:rPr>
        <w:t>Plazas de Mercado</w:t>
      </w:r>
      <w:r w:rsidR="005F6457" w:rsidRPr="00B808E1">
        <w:rPr>
          <w:rFonts w:ascii="Arial" w:eastAsia="Times New Roman" w:hAnsi="Arial" w:cs="Arial"/>
          <w:lang w:val="es-ES"/>
        </w:rPr>
        <w:t>»</w:t>
      </w:r>
      <w:r w:rsidR="005F6457" w:rsidRPr="00B808E1">
        <w:rPr>
          <w:rFonts w:ascii="Arial" w:hAnsi="Arial" w:cs="Arial"/>
          <w:lang w:val="es-ES"/>
        </w:rPr>
        <w:t xml:space="preserve"> </w:t>
      </w:r>
      <w:r w:rsidRPr="00B808E1">
        <w:rPr>
          <w:rFonts w:ascii="Arial" w:eastAsia="Times New Roman" w:hAnsi="Arial" w:cs="Arial"/>
          <w:lang w:val="es-ES_tradnl" w:eastAsia="es-ES"/>
        </w:rPr>
        <w:t xml:space="preserve">no se encuentran incluidas en </w:t>
      </w:r>
      <w:r w:rsidR="005F6457" w:rsidRPr="00B808E1">
        <w:rPr>
          <w:rFonts w:ascii="Arial" w:eastAsia="Times New Roman" w:hAnsi="Arial" w:cs="Arial"/>
          <w:lang w:val="es-ES_tradnl" w:eastAsia="es-ES"/>
        </w:rPr>
        <w:t xml:space="preserve">ninguno de </w:t>
      </w:r>
      <w:r w:rsidRPr="00B808E1">
        <w:rPr>
          <w:rFonts w:ascii="Arial" w:eastAsia="Times New Roman" w:hAnsi="Arial" w:cs="Arial"/>
          <w:lang w:val="es-ES_tradnl" w:eastAsia="es-ES"/>
        </w:rPr>
        <w:t xml:space="preserve">los tres sectores de infraestructura social que cobija el documento tipo transversal </w:t>
      </w:r>
      <w:r w:rsidR="005F6457" w:rsidRPr="00B808E1">
        <w:rPr>
          <w:rFonts w:ascii="Arial" w:eastAsia="Times New Roman" w:hAnsi="Arial" w:cs="Arial"/>
          <w:lang w:val="es-ES_tradnl" w:eastAsia="es-ES"/>
        </w:rPr>
        <w:t xml:space="preserve">ni los documentos tipo complementarios expedidos para cada sector </w:t>
      </w:r>
      <w:r w:rsidRPr="00B808E1">
        <w:rPr>
          <w:rFonts w:ascii="Arial" w:eastAsia="Times New Roman" w:hAnsi="Arial" w:cs="Arial"/>
          <w:lang w:val="es-ES_tradnl" w:eastAsia="es-ES"/>
        </w:rPr>
        <w:t xml:space="preserve">y, por tanto, la construcción o remodelación de una </w:t>
      </w:r>
      <w:r w:rsidR="005F6457" w:rsidRPr="00B808E1">
        <w:rPr>
          <w:rFonts w:ascii="Arial" w:eastAsia="Times New Roman" w:hAnsi="Arial" w:cs="Arial"/>
          <w:lang w:val="es-ES"/>
        </w:rPr>
        <w:t>«</w:t>
      </w:r>
      <w:r w:rsidR="005F6457" w:rsidRPr="00B808E1">
        <w:rPr>
          <w:rFonts w:ascii="Arial" w:hAnsi="Arial" w:cs="Arial"/>
          <w:color w:val="000000" w:themeColor="text1"/>
          <w:lang w:val="es-ES" w:eastAsia="es-ES_tradnl"/>
        </w:rPr>
        <w:t>Plazas de Mercado</w:t>
      </w:r>
      <w:r w:rsidR="005F6457" w:rsidRPr="00B808E1">
        <w:rPr>
          <w:rFonts w:ascii="Arial" w:eastAsia="Times New Roman" w:hAnsi="Arial" w:cs="Arial"/>
          <w:lang w:val="es-ES"/>
        </w:rPr>
        <w:t>»</w:t>
      </w:r>
      <w:r w:rsidR="005F6457" w:rsidRPr="00B808E1">
        <w:rPr>
          <w:rFonts w:ascii="Arial" w:hAnsi="Arial" w:cs="Arial"/>
          <w:lang w:val="es-ES"/>
        </w:rPr>
        <w:t xml:space="preserve"> </w:t>
      </w:r>
      <w:r w:rsidRPr="00B808E1">
        <w:rPr>
          <w:rFonts w:ascii="Arial" w:eastAsia="Times New Roman" w:hAnsi="Arial" w:cs="Arial"/>
          <w:lang w:val="es-ES_tradnl" w:eastAsia="es-ES"/>
        </w:rPr>
        <w:t>no se encuentra cobijada por estos documentos tipo.</w:t>
      </w:r>
    </w:p>
    <w:p w14:paraId="57C551F7" w14:textId="39B1E472" w:rsidR="003949B2" w:rsidRPr="00B808E1" w:rsidRDefault="002D51F0" w:rsidP="003949B2">
      <w:pPr>
        <w:spacing w:after="0" w:line="276" w:lineRule="auto"/>
        <w:jc w:val="both"/>
        <w:rPr>
          <w:rFonts w:ascii="Arial" w:eastAsia="Calibri" w:hAnsi="Arial" w:cs="Arial"/>
          <w:lang w:val="es-ES_tradnl" w:eastAsia="es-ES"/>
        </w:rPr>
      </w:pPr>
      <w:r w:rsidRPr="00B808E1">
        <w:rPr>
          <w:rFonts w:ascii="Arial" w:eastAsia="Times New Roman" w:hAnsi="Arial" w:cs="Arial"/>
          <w:lang w:val="es-ES_tradnl" w:eastAsia="es-ES"/>
        </w:rPr>
        <w:tab/>
      </w:r>
    </w:p>
    <w:p w14:paraId="47E64865" w14:textId="77777777" w:rsidR="003949B2" w:rsidRPr="00B808E1" w:rsidRDefault="003949B2" w:rsidP="003949B2">
      <w:pPr>
        <w:tabs>
          <w:tab w:val="left" w:pos="709"/>
        </w:tabs>
        <w:spacing w:after="0" w:line="276" w:lineRule="auto"/>
        <w:jc w:val="both"/>
        <w:rPr>
          <w:rFonts w:ascii="Arial" w:eastAsia="Calibri" w:hAnsi="Arial" w:cs="Arial"/>
          <w:b/>
          <w:lang w:val="es-ES" w:eastAsia="es-MX"/>
        </w:rPr>
      </w:pPr>
      <w:r w:rsidRPr="00B808E1">
        <w:rPr>
          <w:rFonts w:ascii="Arial" w:eastAsia="Calibri" w:hAnsi="Arial" w:cs="Arial"/>
          <w:b/>
          <w:lang w:val="es-ES" w:eastAsia="es-MX"/>
        </w:rPr>
        <w:t>3. Respuesta</w:t>
      </w:r>
    </w:p>
    <w:p w14:paraId="68743876" w14:textId="0EB66048" w:rsidR="003949B2" w:rsidRPr="00B808E1" w:rsidRDefault="003949B2" w:rsidP="003949B2">
      <w:pPr>
        <w:tabs>
          <w:tab w:val="left" w:pos="709"/>
        </w:tabs>
        <w:spacing w:after="0" w:line="276" w:lineRule="auto"/>
        <w:jc w:val="both"/>
        <w:rPr>
          <w:rFonts w:ascii="Arial" w:eastAsia="Calibri" w:hAnsi="Arial" w:cs="Arial"/>
          <w:b/>
          <w:lang w:val="es-ES" w:eastAsia="es-MX"/>
        </w:rPr>
      </w:pPr>
    </w:p>
    <w:p w14:paraId="452BD05B" w14:textId="77777777" w:rsidR="008450F7" w:rsidRPr="00B808E1" w:rsidRDefault="008450F7" w:rsidP="008450F7">
      <w:pPr>
        <w:spacing w:after="0" w:line="240" w:lineRule="auto"/>
        <w:ind w:left="709" w:right="709"/>
        <w:contextualSpacing/>
        <w:jc w:val="both"/>
        <w:rPr>
          <w:rFonts w:ascii="Arial" w:hAnsi="Arial" w:cs="Arial"/>
          <w:sz w:val="21"/>
          <w:szCs w:val="21"/>
        </w:rPr>
      </w:pPr>
      <w:r w:rsidRPr="00B808E1">
        <w:rPr>
          <w:rFonts w:ascii="Arial" w:eastAsia="Times New Roman" w:hAnsi="Arial" w:cs="Arial"/>
          <w:sz w:val="21"/>
          <w:szCs w:val="21"/>
          <w:lang w:eastAsia="es-MX"/>
        </w:rPr>
        <w:t>«</w:t>
      </w:r>
      <w:r w:rsidRPr="00B808E1">
        <w:rPr>
          <w:rFonts w:ascii="Arial" w:hAnsi="Arial" w:cs="Arial"/>
          <w:sz w:val="21"/>
          <w:szCs w:val="21"/>
        </w:rPr>
        <w:t xml:space="preserve">Las denominadas plazas de mercado o galerías para realizar construcción o mejoramiento de </w:t>
      </w:r>
      <w:proofErr w:type="gramStart"/>
      <w:r w:rsidRPr="00B808E1">
        <w:rPr>
          <w:rFonts w:ascii="Arial" w:hAnsi="Arial" w:cs="Arial"/>
          <w:sz w:val="21"/>
          <w:szCs w:val="21"/>
        </w:rPr>
        <w:t>las mismas</w:t>
      </w:r>
      <w:proofErr w:type="gramEnd"/>
      <w:r w:rsidRPr="00B808E1">
        <w:rPr>
          <w:rFonts w:ascii="Arial" w:hAnsi="Arial" w:cs="Arial"/>
          <w:sz w:val="21"/>
          <w:szCs w:val="21"/>
        </w:rPr>
        <w:t xml:space="preserve"> se aplica documentos tipo de infraestructura social </w:t>
      </w:r>
    </w:p>
    <w:p w14:paraId="3CE4FDEA" w14:textId="77777777" w:rsidR="008450F7" w:rsidRPr="00B808E1" w:rsidRDefault="008450F7" w:rsidP="008450F7">
      <w:pPr>
        <w:spacing w:after="0" w:line="240" w:lineRule="auto"/>
        <w:ind w:left="709" w:right="709"/>
        <w:contextualSpacing/>
        <w:jc w:val="both"/>
        <w:rPr>
          <w:rFonts w:ascii="Arial" w:hAnsi="Arial" w:cs="Arial"/>
          <w:sz w:val="21"/>
          <w:szCs w:val="21"/>
        </w:rPr>
      </w:pPr>
    </w:p>
    <w:p w14:paraId="4DA6E4AD" w14:textId="7205EE2C" w:rsidR="003949B2" w:rsidRPr="00B808E1" w:rsidRDefault="003949B2" w:rsidP="00D96082">
      <w:pPr>
        <w:spacing w:after="0" w:line="276" w:lineRule="auto"/>
        <w:contextualSpacing/>
        <w:jc w:val="both"/>
        <w:rPr>
          <w:rFonts w:ascii="Arial" w:eastAsia="Times New Roman" w:hAnsi="Arial" w:cs="Arial"/>
          <w:lang w:val="es-ES_tradnl" w:eastAsia="es-ES"/>
        </w:rPr>
      </w:pPr>
      <w:r w:rsidRPr="00B808E1">
        <w:rPr>
          <w:rFonts w:ascii="Arial" w:eastAsia="Times New Roman" w:hAnsi="Arial" w:cs="Arial"/>
          <w:lang w:val="es-ES_tradnl" w:eastAsia="es-ES"/>
        </w:rPr>
        <w:t xml:space="preserve">Con base en las anteriores consideraciones, es posible concluir que la construcción o remodelación de </w:t>
      </w:r>
      <w:r w:rsidR="0057113B" w:rsidRPr="00B808E1">
        <w:rPr>
          <w:rFonts w:ascii="Arial" w:eastAsia="Times New Roman" w:hAnsi="Arial" w:cs="Arial"/>
          <w:lang w:val="es-ES_tradnl" w:eastAsia="es-ES"/>
        </w:rPr>
        <w:t xml:space="preserve">las </w:t>
      </w:r>
      <w:r w:rsidR="0057113B" w:rsidRPr="00B808E1">
        <w:rPr>
          <w:rFonts w:ascii="Arial" w:eastAsia="Times New Roman" w:hAnsi="Arial" w:cs="Arial"/>
          <w:lang w:val="es-ES"/>
        </w:rPr>
        <w:t>«</w:t>
      </w:r>
      <w:r w:rsidR="0057113B" w:rsidRPr="00B808E1">
        <w:rPr>
          <w:rFonts w:ascii="Arial" w:hAnsi="Arial" w:cs="Arial"/>
          <w:color w:val="000000" w:themeColor="text1"/>
          <w:lang w:val="es-ES" w:eastAsia="es-ES_tradnl"/>
        </w:rPr>
        <w:t>Plazas de Mercado</w:t>
      </w:r>
      <w:r w:rsidR="0057113B" w:rsidRPr="00B808E1">
        <w:rPr>
          <w:rFonts w:ascii="Arial" w:eastAsia="Times New Roman" w:hAnsi="Arial" w:cs="Arial"/>
          <w:lang w:val="es-ES"/>
        </w:rPr>
        <w:t>»</w:t>
      </w:r>
      <w:r w:rsidR="0057113B" w:rsidRPr="00B808E1">
        <w:rPr>
          <w:rFonts w:ascii="Arial" w:hAnsi="Arial" w:cs="Arial"/>
          <w:lang w:val="es-ES"/>
        </w:rPr>
        <w:t xml:space="preserve"> </w:t>
      </w:r>
      <w:r w:rsidRPr="00B808E1">
        <w:rPr>
          <w:rFonts w:ascii="Arial" w:eastAsia="Times New Roman" w:hAnsi="Arial" w:cs="Arial"/>
          <w:lang w:val="es-ES_tradnl" w:eastAsia="es-ES"/>
        </w:rPr>
        <w:t xml:space="preserve">no se encuentra dentro del ámbito de aplicación de los documentos tipo de infraestructura social adoptados por esta Agencia. Lo anterior </w:t>
      </w:r>
      <w:r w:rsidRPr="00B808E1">
        <w:rPr>
          <w:rFonts w:ascii="Arial" w:eastAsia="Times New Roman" w:hAnsi="Arial" w:cs="Arial"/>
          <w:lang w:val="es-ES_tradnl" w:eastAsia="es-ES"/>
        </w:rPr>
        <w:lastRenderedPageBreak/>
        <w:t>por cuanto los tres</w:t>
      </w:r>
      <w:r w:rsidR="0057113B" w:rsidRPr="00B808E1">
        <w:rPr>
          <w:rFonts w:ascii="Arial" w:eastAsia="Times New Roman" w:hAnsi="Arial" w:cs="Arial"/>
          <w:lang w:val="es-ES_tradnl" w:eastAsia="es-ES"/>
        </w:rPr>
        <w:t xml:space="preserve"> (3)</w:t>
      </w:r>
      <w:r w:rsidRPr="00B808E1">
        <w:rPr>
          <w:rFonts w:ascii="Arial" w:eastAsia="Times New Roman" w:hAnsi="Arial" w:cs="Arial"/>
          <w:lang w:val="es-ES_tradnl" w:eastAsia="es-ES"/>
        </w:rPr>
        <w:t xml:space="preserve"> documentos tipo complementarios expedidos, de conformidad con el parágrafo 2 de la Resolución 219 de 2021 los documentos tipo de infraestructura social, «[…] aplicarán  a  los  proyectos  de  infraestructura  social,  tales como, sector educativo, sector salud y sector cultural,  recreación y deporte, de conformidad con cada una de las resoluciones que expida la Agencia Nacional de Contratación Pública -Colombia Compra Eficiente-, donde se precisará el alcance concreto de estos  documentos tipo; sin perjuicio de que se incluyan otros tipos de infraestructura social».</w:t>
      </w:r>
    </w:p>
    <w:p w14:paraId="065F8832" w14:textId="36C2CCD0" w:rsidR="003949B2" w:rsidRPr="00B808E1" w:rsidRDefault="003949B2" w:rsidP="00D96082">
      <w:pPr>
        <w:widowControl w:val="0"/>
        <w:autoSpaceDE w:val="0"/>
        <w:autoSpaceDN w:val="0"/>
        <w:spacing w:after="0" w:line="276" w:lineRule="auto"/>
        <w:ind w:right="51"/>
        <w:contextualSpacing/>
        <w:jc w:val="both"/>
        <w:rPr>
          <w:rFonts w:ascii="Arial" w:eastAsia="Arial" w:hAnsi="Arial" w:cs="Arial"/>
          <w:sz w:val="20"/>
          <w:szCs w:val="20"/>
          <w:lang w:val="es-ES"/>
        </w:rPr>
      </w:pPr>
    </w:p>
    <w:p w14:paraId="65CDC8F7" w14:textId="783F0D13" w:rsidR="008450F7" w:rsidRPr="00B808E1" w:rsidRDefault="008450F7" w:rsidP="00925046">
      <w:pPr>
        <w:spacing w:after="0" w:line="240" w:lineRule="auto"/>
        <w:ind w:left="709" w:right="709"/>
        <w:contextualSpacing/>
        <w:jc w:val="both"/>
        <w:rPr>
          <w:rFonts w:ascii="Arial" w:eastAsia="Times New Roman" w:hAnsi="Arial" w:cs="Arial"/>
          <w:sz w:val="21"/>
          <w:szCs w:val="21"/>
          <w:lang w:eastAsia="es-MX"/>
        </w:rPr>
      </w:pPr>
      <w:r w:rsidRPr="00B808E1">
        <w:rPr>
          <w:rFonts w:ascii="Arial" w:eastAsia="Times New Roman" w:hAnsi="Arial" w:cs="Arial"/>
          <w:sz w:val="21"/>
          <w:szCs w:val="21"/>
          <w:lang w:eastAsia="es-MX"/>
        </w:rPr>
        <w:t>«</w:t>
      </w:r>
      <w:r w:rsidRPr="00B808E1">
        <w:rPr>
          <w:rFonts w:ascii="Arial" w:hAnsi="Arial" w:cs="Arial"/>
          <w:sz w:val="21"/>
          <w:szCs w:val="21"/>
        </w:rPr>
        <w:t xml:space="preserve">En </w:t>
      </w:r>
      <w:proofErr w:type="spellStart"/>
      <w:r w:rsidRPr="00B808E1">
        <w:rPr>
          <w:rFonts w:ascii="Arial" w:hAnsi="Arial" w:cs="Arial"/>
          <w:sz w:val="21"/>
          <w:szCs w:val="21"/>
        </w:rPr>
        <w:t>que</w:t>
      </w:r>
      <w:proofErr w:type="spellEnd"/>
      <w:r w:rsidRPr="00B808E1">
        <w:rPr>
          <w:rFonts w:ascii="Arial" w:hAnsi="Arial" w:cs="Arial"/>
          <w:sz w:val="21"/>
          <w:szCs w:val="21"/>
        </w:rPr>
        <w:t xml:space="preserve"> tipo de obras se aplica los documentos tipo de infraestructura social, se solicita enumerar las misma de manera taxativa</w:t>
      </w:r>
      <w:r w:rsidRPr="00B808E1">
        <w:rPr>
          <w:rFonts w:ascii="Arial" w:eastAsia="Times New Roman" w:hAnsi="Arial" w:cs="Arial"/>
          <w:sz w:val="21"/>
          <w:szCs w:val="21"/>
          <w:lang w:eastAsia="es-MX"/>
        </w:rPr>
        <w:t xml:space="preserve">» (SIC). </w:t>
      </w:r>
    </w:p>
    <w:p w14:paraId="6A380DB1" w14:textId="0372401B" w:rsidR="008450F7" w:rsidRPr="00B808E1" w:rsidRDefault="008450F7" w:rsidP="00D96082">
      <w:pPr>
        <w:widowControl w:val="0"/>
        <w:autoSpaceDE w:val="0"/>
        <w:autoSpaceDN w:val="0"/>
        <w:spacing w:after="0" w:line="276" w:lineRule="auto"/>
        <w:ind w:right="51"/>
        <w:contextualSpacing/>
        <w:jc w:val="both"/>
        <w:rPr>
          <w:rFonts w:ascii="Arial" w:eastAsia="Arial" w:hAnsi="Arial" w:cs="Arial"/>
          <w:sz w:val="20"/>
          <w:szCs w:val="20"/>
          <w:lang w:val="es-ES"/>
        </w:rPr>
      </w:pPr>
    </w:p>
    <w:p w14:paraId="4B8C10C3" w14:textId="6C7443D1" w:rsidR="00073C97" w:rsidRPr="00B808E1" w:rsidRDefault="00E519C7" w:rsidP="00D96082">
      <w:pPr>
        <w:spacing w:after="120" w:line="276" w:lineRule="auto"/>
        <w:ind w:right="51"/>
        <w:jc w:val="both"/>
        <w:rPr>
          <w:rFonts w:ascii="Arial" w:eastAsia="Calibri" w:hAnsi="Arial" w:cs="Arial"/>
          <w:lang w:val="es-ES_tradnl"/>
        </w:rPr>
      </w:pPr>
      <w:r w:rsidRPr="00B808E1">
        <w:rPr>
          <w:rFonts w:ascii="Arial" w:eastAsia="Calibri" w:hAnsi="Arial" w:cs="Arial"/>
          <w:lang w:val="es-ES" w:eastAsia="es-ES" w:bidi="es-ES"/>
        </w:rPr>
        <w:t xml:space="preserve">Por otra parte, se precisa que los diferentes documentos tipo expedidos por esta Agencia y de obligatorio cumplimiento para las entidades sometidas al Estatuto General de Contratación de la Administración Pública se deberán adoptar </w:t>
      </w:r>
      <w:r w:rsidRPr="00B808E1">
        <w:rPr>
          <w:rFonts w:ascii="Arial" w:eastAsia="Calibri" w:hAnsi="Arial" w:cs="Arial"/>
          <w:shd w:val="clear" w:color="auto" w:fill="FFFFFF"/>
          <w:lang w:val="es-MX"/>
        </w:rPr>
        <w:t xml:space="preserve">siempre que el objeto esté relacionado con alguna de las actividades mencionadas en la «Matriz 1 – Experiencia». Por tanto, </w:t>
      </w:r>
      <w:r w:rsidRPr="00B808E1">
        <w:rPr>
          <w:rFonts w:ascii="Arial" w:eastAsia="Arial" w:hAnsi="Arial" w:cs="Arial"/>
          <w:lang w:val="es-ES" w:eastAsia="es-ES" w:bidi="es-ES"/>
        </w:rPr>
        <w:t xml:space="preserve">le corresponde a la entidad identificar de manera preliminar, el tipo de infraestructura sobre la cual recae el objeto a contratar, acorde con lo señalado en la </w:t>
      </w:r>
      <w:r w:rsidRPr="00B808E1">
        <w:rPr>
          <w:rFonts w:ascii="Arial" w:eastAsia="Calibri" w:hAnsi="Arial" w:cs="Arial"/>
          <w:lang w:val="es-MX"/>
        </w:rPr>
        <w:t>«Matriz 1 – Experiencia», en la que se contemplan las clases de obra aplicables al sector</w:t>
      </w:r>
      <w:r w:rsidR="004D5CB3" w:rsidRPr="00B808E1">
        <w:rPr>
          <w:rFonts w:ascii="Arial" w:eastAsia="Calibri" w:hAnsi="Arial" w:cs="Arial"/>
          <w:lang w:val="es-MX"/>
        </w:rPr>
        <w:t xml:space="preserve"> de</w:t>
      </w:r>
      <w:r w:rsidRPr="00B808E1">
        <w:rPr>
          <w:rFonts w:ascii="Arial" w:eastAsia="Calibri" w:hAnsi="Arial" w:cs="Arial"/>
          <w:lang w:val="es-MX"/>
        </w:rPr>
        <w:t xml:space="preserve"> infraestructura social</w:t>
      </w:r>
      <w:r w:rsidRPr="00B808E1">
        <w:rPr>
          <w:rFonts w:ascii="Arial" w:eastAsia="Calibri" w:hAnsi="Arial" w:cs="Arial"/>
          <w:lang w:val="es-ES_tradnl" w:eastAsia="es-ES"/>
        </w:rPr>
        <w:t>.</w:t>
      </w:r>
      <w:r w:rsidR="00073C97" w:rsidRPr="00B808E1">
        <w:rPr>
          <w:rFonts w:ascii="Arial" w:eastAsia="Calibri" w:hAnsi="Arial" w:cs="Arial"/>
          <w:lang w:val="es-ES_tradnl"/>
        </w:rPr>
        <w:t xml:space="preserve"> Asimismo, las actividades contempladas en la </w:t>
      </w:r>
      <w:r w:rsidR="00073C97" w:rsidRPr="00B808E1">
        <w:rPr>
          <w:rFonts w:ascii="Arial" w:eastAsia="Calibri" w:hAnsi="Arial" w:cs="Arial"/>
          <w:lang w:val="es-MX"/>
        </w:rPr>
        <w:t>«Matriz 1 – Experiencia»</w:t>
      </w:r>
      <w:r w:rsidR="00073C97" w:rsidRPr="00B808E1">
        <w:rPr>
          <w:rFonts w:ascii="Arial" w:eastAsia="Calibri" w:hAnsi="Arial" w:cs="Arial"/>
          <w:lang w:val="es-ES_tradnl"/>
        </w:rPr>
        <w:t xml:space="preserve"> de cada sector deben interpretarse de acuerdo con las definiciones que consagran los anexos denominados </w:t>
      </w:r>
      <w:r w:rsidR="00073C97" w:rsidRPr="00B808E1">
        <w:rPr>
          <w:rFonts w:ascii="Arial" w:eastAsia="Times New Roman" w:hAnsi="Arial" w:cs="Arial"/>
          <w:lang w:val="es-ES"/>
        </w:rPr>
        <w:t>«Anexo – Glosario», pues en est</w:t>
      </w:r>
      <w:r w:rsidR="00811480" w:rsidRPr="00B808E1">
        <w:rPr>
          <w:rFonts w:ascii="Arial" w:eastAsia="Times New Roman" w:hAnsi="Arial" w:cs="Arial"/>
          <w:lang w:val="es-ES"/>
        </w:rPr>
        <w:t>a</w:t>
      </w:r>
      <w:r w:rsidR="00073C97" w:rsidRPr="00B808E1">
        <w:rPr>
          <w:rFonts w:ascii="Arial" w:eastAsia="Times New Roman" w:hAnsi="Arial" w:cs="Arial"/>
          <w:lang w:val="es-ES"/>
        </w:rPr>
        <w:t xml:space="preserve">s se </w:t>
      </w:r>
      <w:r w:rsidR="00811480" w:rsidRPr="00B808E1">
        <w:rPr>
          <w:rFonts w:ascii="Arial" w:eastAsia="Times New Roman" w:hAnsi="Arial" w:cs="Arial"/>
          <w:lang w:val="es-ES"/>
        </w:rPr>
        <w:t>determinan</w:t>
      </w:r>
      <w:r w:rsidR="00073C97" w:rsidRPr="00B808E1">
        <w:rPr>
          <w:rFonts w:ascii="Arial" w:eastAsia="Times New Roman" w:hAnsi="Arial" w:cs="Arial"/>
          <w:lang w:val="es-ES"/>
        </w:rPr>
        <w:t xml:space="preserve"> las nociones necesarias para entender que se </w:t>
      </w:r>
      <w:r w:rsidR="00811480" w:rsidRPr="00B808E1">
        <w:rPr>
          <w:rFonts w:ascii="Arial" w:eastAsia="Times New Roman" w:hAnsi="Arial" w:cs="Arial"/>
          <w:lang w:val="es-ES"/>
        </w:rPr>
        <w:t>incluyen</w:t>
      </w:r>
      <w:r w:rsidR="00073C97" w:rsidRPr="00B808E1">
        <w:rPr>
          <w:rFonts w:ascii="Arial" w:eastAsia="Times New Roman" w:hAnsi="Arial" w:cs="Arial"/>
          <w:lang w:val="es-ES"/>
        </w:rPr>
        <w:t xml:space="preserve"> las actividades de </w:t>
      </w:r>
      <w:r w:rsidR="00925046" w:rsidRPr="00B808E1">
        <w:rPr>
          <w:rFonts w:ascii="Arial" w:eastAsia="Times New Roman" w:hAnsi="Arial" w:cs="Arial"/>
          <w:lang w:val="es-ES"/>
        </w:rPr>
        <w:t xml:space="preserve">obra pública respecto de la infraestructura educativa, en salud y de cultura, recreación y deporte.   </w:t>
      </w:r>
      <w:r w:rsidR="00073C97" w:rsidRPr="00B808E1">
        <w:rPr>
          <w:rFonts w:ascii="Arial" w:eastAsia="Times New Roman" w:hAnsi="Arial" w:cs="Arial"/>
          <w:lang w:val="es-ES"/>
        </w:rPr>
        <w:t xml:space="preserve"> </w:t>
      </w:r>
      <w:r w:rsidR="00073C97" w:rsidRPr="00B808E1">
        <w:rPr>
          <w:rFonts w:ascii="Arial" w:eastAsia="Calibri" w:hAnsi="Arial" w:cs="Arial"/>
          <w:lang w:val="es-ES_tradnl"/>
        </w:rPr>
        <w:t xml:space="preserve"> </w:t>
      </w:r>
    </w:p>
    <w:p w14:paraId="60639F35" w14:textId="42B8B077" w:rsidR="00073C97" w:rsidRPr="00B808E1" w:rsidRDefault="00073C97" w:rsidP="00925046">
      <w:pPr>
        <w:spacing w:before="120" w:after="120" w:line="276" w:lineRule="auto"/>
        <w:ind w:right="51" w:firstLine="709"/>
        <w:jc w:val="both"/>
        <w:rPr>
          <w:rFonts w:ascii="Arial" w:hAnsi="Arial" w:cs="Arial"/>
          <w:lang w:val="es-ES"/>
        </w:rPr>
      </w:pPr>
      <w:r w:rsidRPr="00B808E1">
        <w:rPr>
          <w:rFonts w:ascii="Arial" w:eastAsia="Calibri" w:hAnsi="Arial" w:cs="Arial"/>
          <w:lang w:val="es-ES_tradnl"/>
        </w:rPr>
        <w:t xml:space="preserve">Es pertinente resaltar que </w:t>
      </w:r>
      <w:r w:rsidRPr="00B808E1">
        <w:rPr>
          <w:rFonts w:ascii="Arial" w:hAnsi="Arial" w:cs="Arial"/>
          <w:lang w:val="es-ES"/>
        </w:rPr>
        <w:t xml:space="preserve">los documentos tipo </w:t>
      </w:r>
      <w:r w:rsidRPr="00B808E1">
        <w:rPr>
          <w:rFonts w:ascii="Arial" w:hAnsi="Arial" w:cs="Arial"/>
          <w:i/>
          <w:lang w:val="es-ES"/>
        </w:rPr>
        <w:t>complementarios</w:t>
      </w:r>
      <w:r w:rsidRPr="00B808E1">
        <w:rPr>
          <w:rFonts w:ascii="Arial" w:hAnsi="Arial" w:cs="Arial"/>
          <w:iCs/>
          <w:lang w:val="es-ES"/>
        </w:rPr>
        <w:t>,</w:t>
      </w:r>
      <w:r w:rsidRPr="00B808E1">
        <w:rPr>
          <w:rFonts w:ascii="Arial" w:hAnsi="Arial" w:cs="Arial"/>
          <w:i/>
          <w:lang w:val="es-ES"/>
        </w:rPr>
        <w:t xml:space="preserve"> </w:t>
      </w:r>
      <w:r w:rsidRPr="00B808E1">
        <w:rPr>
          <w:rFonts w:ascii="Arial" w:hAnsi="Arial" w:cs="Arial"/>
          <w:lang w:val="es-ES"/>
        </w:rPr>
        <w:t xml:space="preserve">referentes a la matriz de experiencia y el glosario, han sido adoptados para cada sector específico, mediante las siguientes resoluciones: i) </w:t>
      </w:r>
      <w:r w:rsidRPr="00B808E1">
        <w:rPr>
          <w:rFonts w:ascii="Arial" w:eastAsia="Calibri" w:hAnsi="Arial" w:cs="Arial"/>
          <w:lang w:val="es-ES" w:eastAsia="es-ES"/>
        </w:rPr>
        <w:t xml:space="preserve">Resolución 220 del 6 de agosto de 2021, «Por la cual se adoptan los documentos tipo complementarios para los procesos de licitación de obra pública de infraestructura social relacionados con el sector educativo»; </w:t>
      </w:r>
      <w:proofErr w:type="spellStart"/>
      <w:r w:rsidRPr="00B808E1">
        <w:rPr>
          <w:rFonts w:ascii="Arial" w:eastAsia="Calibri" w:hAnsi="Arial" w:cs="Arial"/>
          <w:lang w:val="es-ES" w:eastAsia="es-ES"/>
        </w:rPr>
        <w:t>ii</w:t>
      </w:r>
      <w:proofErr w:type="spellEnd"/>
      <w:r w:rsidRPr="00B808E1">
        <w:rPr>
          <w:rFonts w:ascii="Arial" w:eastAsia="Calibri" w:hAnsi="Arial" w:cs="Arial"/>
          <w:lang w:val="es-ES" w:eastAsia="es-ES"/>
        </w:rPr>
        <w:t xml:space="preserve">) Resolución 392 de 2021 del 18 de noviembre de 2021, «Por la cual se adoptan los documentos tipo complementarios para los procesos de licitación de obra pública de infraestructura social relacionados con el sector salud» y; </w:t>
      </w:r>
      <w:proofErr w:type="spellStart"/>
      <w:r w:rsidRPr="00B808E1">
        <w:rPr>
          <w:rFonts w:ascii="Arial" w:eastAsia="Calibri" w:hAnsi="Arial" w:cs="Arial"/>
          <w:lang w:val="es-ES" w:eastAsia="es-ES"/>
        </w:rPr>
        <w:t>iii</w:t>
      </w:r>
      <w:proofErr w:type="spellEnd"/>
      <w:r w:rsidRPr="00B808E1">
        <w:rPr>
          <w:rFonts w:ascii="Arial" w:eastAsia="Calibri" w:hAnsi="Arial" w:cs="Arial"/>
          <w:lang w:val="es-ES" w:eastAsia="es-ES"/>
        </w:rPr>
        <w:t>) Resolución 454 de 2021 del 16 de diciembre de 2021, «Por la cual se adoptan los documentos tipo complementarios para los procesos de licitación de obra pública de infraestructura social relacionados con el Sector cultura, recreación y deporte».</w:t>
      </w:r>
    </w:p>
    <w:p w14:paraId="43405B0D" w14:textId="3B06C253" w:rsidR="00073C97" w:rsidRPr="00B808E1" w:rsidRDefault="004D5CB3">
      <w:pPr>
        <w:spacing w:before="120" w:after="120" w:line="276" w:lineRule="auto"/>
        <w:ind w:right="51" w:firstLine="709"/>
        <w:jc w:val="both"/>
        <w:rPr>
          <w:rFonts w:ascii="Arial" w:eastAsia="Calibri" w:hAnsi="Arial" w:cs="Arial"/>
          <w:lang w:val="es-ES_tradnl"/>
        </w:rPr>
      </w:pPr>
      <w:r w:rsidRPr="00B808E1">
        <w:rPr>
          <w:rFonts w:ascii="Arial" w:hAnsi="Arial" w:cs="Arial"/>
        </w:rPr>
        <w:t xml:space="preserve">Así las cosas, </w:t>
      </w:r>
      <w:r w:rsidRPr="00B808E1">
        <w:rPr>
          <w:rFonts w:ascii="Arial" w:eastAsia="Calibri" w:hAnsi="Arial" w:cs="Arial"/>
        </w:rPr>
        <w:t xml:space="preserve">la subsunción del objeto a contratar dentro de los tipos de obra y actividades definidas en la Matriz 1, es lo que determina si procede o no la aplicación obligatoria de los documentos tipo. </w:t>
      </w:r>
      <w:r w:rsidRPr="00B808E1">
        <w:rPr>
          <w:rFonts w:ascii="Arial" w:hAnsi="Arial" w:cs="Arial"/>
        </w:rPr>
        <w:t xml:space="preserve">Para </w:t>
      </w:r>
      <w:r w:rsidRPr="00B808E1">
        <w:rPr>
          <w:rFonts w:ascii="Arial" w:eastAsia="Calibri" w:hAnsi="Arial" w:cs="Arial"/>
          <w:lang w:val="es-ES_tradnl"/>
        </w:rPr>
        <w:t>obras diferentes a las previstas en la «Matriz 1 – Experiencia» no existe obligación de aplicar los documentos tipo mencionados</w:t>
      </w:r>
      <w:r w:rsidR="003201C0" w:rsidRPr="00B808E1">
        <w:rPr>
          <w:rFonts w:ascii="Arial" w:eastAsia="Calibri" w:hAnsi="Arial" w:cs="Arial"/>
          <w:lang w:val="es-ES_tradnl"/>
        </w:rPr>
        <w:t xml:space="preserve">. </w:t>
      </w:r>
      <w:r w:rsidRPr="00B808E1">
        <w:rPr>
          <w:rFonts w:ascii="Arial" w:eastAsia="Calibri" w:hAnsi="Arial" w:cs="Arial"/>
          <w:lang w:val="es-ES_tradnl"/>
        </w:rPr>
        <w:t xml:space="preserve">Por lo anterior, debe advertirse que es la entidad contratante, al momento de adelantar sus actividades de planeación de cada proceso contractual, quien debe determinar si de </w:t>
      </w:r>
      <w:r w:rsidRPr="00B808E1">
        <w:rPr>
          <w:rFonts w:ascii="Arial" w:eastAsia="Calibri" w:hAnsi="Arial" w:cs="Arial"/>
          <w:lang w:val="es-ES_tradnl"/>
        </w:rPr>
        <w:lastRenderedPageBreak/>
        <w:t xml:space="preserve">acuerdo con las particularidades del contrato a ejecutar, este se encuadra o no dentro de alguna de las actividades descritas en la </w:t>
      </w:r>
      <w:r w:rsidR="00073C97" w:rsidRPr="00B808E1">
        <w:rPr>
          <w:rFonts w:ascii="Arial" w:eastAsia="Calibri" w:hAnsi="Arial" w:cs="Arial"/>
          <w:lang w:val="es-ES_tradnl"/>
        </w:rPr>
        <w:t xml:space="preserve">«Matriz 1 – </w:t>
      </w:r>
      <w:r w:rsidR="00D96082" w:rsidRPr="00B808E1">
        <w:rPr>
          <w:rFonts w:ascii="Arial" w:eastAsia="Calibri" w:hAnsi="Arial" w:cs="Arial"/>
          <w:lang w:val="es-ES_tradnl"/>
        </w:rPr>
        <w:t>Experiencia» de</w:t>
      </w:r>
      <w:r w:rsidRPr="00B808E1">
        <w:rPr>
          <w:rFonts w:ascii="Arial" w:eastAsia="Calibri" w:hAnsi="Arial" w:cs="Arial"/>
          <w:lang w:val="es-ES_tradnl"/>
        </w:rPr>
        <w:t xml:space="preserve"> cada documento tipo, y si en consecuencia deben aplicarse o no determinados documentos tipo de los adoptados por esta Agencia. </w:t>
      </w:r>
    </w:p>
    <w:p w14:paraId="26BAC2BE" w14:textId="77777777" w:rsidR="008450F7" w:rsidRPr="00B808E1" w:rsidRDefault="008450F7" w:rsidP="003949B2">
      <w:pPr>
        <w:widowControl w:val="0"/>
        <w:autoSpaceDE w:val="0"/>
        <w:autoSpaceDN w:val="0"/>
        <w:spacing w:after="0" w:line="276" w:lineRule="auto"/>
        <w:ind w:right="51"/>
        <w:jc w:val="both"/>
        <w:rPr>
          <w:rFonts w:ascii="Arial" w:eastAsia="Arial" w:hAnsi="Arial" w:cs="Arial"/>
          <w:sz w:val="20"/>
          <w:szCs w:val="20"/>
          <w:lang w:val="es-ES"/>
        </w:rPr>
      </w:pPr>
    </w:p>
    <w:p w14:paraId="19F8A1E2" w14:textId="77777777" w:rsidR="003949B2" w:rsidRPr="00B808E1" w:rsidRDefault="003949B2" w:rsidP="003949B2">
      <w:pPr>
        <w:spacing w:after="0" w:line="276" w:lineRule="auto"/>
        <w:jc w:val="both"/>
        <w:rPr>
          <w:rFonts w:ascii="Arial" w:eastAsia="Calibri" w:hAnsi="Arial" w:cs="Arial"/>
          <w:lang w:val="es-ES" w:eastAsia="es-MX"/>
        </w:rPr>
      </w:pPr>
      <w:r w:rsidRPr="00B808E1">
        <w:rPr>
          <w:rFonts w:ascii="Arial" w:eastAsia="Calibri" w:hAnsi="Arial" w:cs="Arial"/>
          <w:lang w:val="es-ES" w:eastAsia="es-MX"/>
        </w:rPr>
        <w:t>Este concepto tiene el alcance previsto en el artículo 28 del Código de Procedimiento Administrativo y de lo Contencioso Administrativo.</w:t>
      </w:r>
    </w:p>
    <w:p w14:paraId="72672C05" w14:textId="77777777" w:rsidR="003949B2" w:rsidRPr="00B808E1" w:rsidRDefault="003949B2" w:rsidP="003949B2">
      <w:pPr>
        <w:spacing w:after="0" w:line="240" w:lineRule="auto"/>
        <w:jc w:val="both"/>
        <w:rPr>
          <w:rFonts w:ascii="Arial" w:eastAsia="Calibri" w:hAnsi="Arial" w:cs="Arial"/>
          <w:lang w:val="es-ES" w:eastAsia="es-MX"/>
        </w:rPr>
      </w:pPr>
    </w:p>
    <w:p w14:paraId="7B10C29C" w14:textId="77777777" w:rsidR="003949B2" w:rsidRPr="00B808E1" w:rsidRDefault="003949B2" w:rsidP="003949B2">
      <w:pPr>
        <w:spacing w:after="0" w:line="240" w:lineRule="auto"/>
        <w:jc w:val="both"/>
        <w:rPr>
          <w:rFonts w:ascii="Arial" w:eastAsia="Times New Roman" w:hAnsi="Arial" w:cs="Arial"/>
          <w:lang w:val="es-ES" w:eastAsia="es-CO"/>
        </w:rPr>
      </w:pPr>
      <w:r w:rsidRPr="00B808E1">
        <w:rPr>
          <w:rFonts w:ascii="Arial" w:eastAsia="Times New Roman" w:hAnsi="Arial" w:cs="Arial"/>
          <w:lang w:val="es-ES" w:eastAsia="es-CO"/>
        </w:rPr>
        <w:t>Atentamente,</w:t>
      </w:r>
    </w:p>
    <w:p w14:paraId="4D06D22F" w14:textId="2A2AA998" w:rsidR="003949B2" w:rsidRPr="00B808E1" w:rsidRDefault="009337AA" w:rsidP="00F45E9F">
      <w:pPr>
        <w:spacing w:after="0" w:line="240" w:lineRule="auto"/>
        <w:jc w:val="center"/>
        <w:rPr>
          <w:rFonts w:ascii="Arial" w:eastAsia="Times New Roman" w:hAnsi="Arial" w:cs="Arial"/>
          <w:lang w:val="es-ES" w:eastAsia="es-CO"/>
        </w:rPr>
      </w:pPr>
      <w:r>
        <w:rPr>
          <w:rFonts w:ascii="Arial" w:eastAsia="Calibri" w:hAnsi="Arial" w:cs="Arial"/>
          <w:b/>
          <w:bCs/>
          <w:noProof/>
          <w:color w:val="FF0000"/>
          <w:sz w:val="20"/>
          <w:szCs w:val="20"/>
          <w:lang w:val="es-MX"/>
        </w:rPr>
        <w:drawing>
          <wp:inline distT="0" distB="0" distL="0" distR="0" wp14:anchorId="41B8FC78" wp14:editId="70BA4FAC">
            <wp:extent cx="2426074" cy="10743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7274" cy="1079338"/>
                    </a:xfrm>
                    <a:prstGeom prst="rect">
                      <a:avLst/>
                    </a:prstGeom>
                    <a:noFill/>
                    <a:ln>
                      <a:noFill/>
                    </a:ln>
                  </pic:spPr>
                </pic:pic>
              </a:graphicData>
            </a:graphic>
          </wp:inline>
        </w:drawing>
      </w:r>
      <w:r w:rsidR="00F45E9F" w:rsidRPr="00B808E1">
        <w:rPr>
          <w:rFonts w:ascii="Arial" w:hAnsi="Arial" w:cs="Arial"/>
          <w:shd w:val="clear" w:color="auto" w:fill="FFFFFF"/>
          <w:lang w:val="es-ES"/>
        </w:rPr>
        <w:br/>
      </w:r>
    </w:p>
    <w:tbl>
      <w:tblPr>
        <w:tblW w:w="56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4770"/>
      </w:tblGrid>
      <w:tr w:rsidR="00F45E9F" w:rsidRPr="00B808E1" w14:paraId="26468658" w14:textId="77777777" w:rsidTr="00F45E9F">
        <w:trPr>
          <w:trHeight w:val="315"/>
        </w:trPr>
        <w:tc>
          <w:tcPr>
            <w:tcW w:w="885" w:type="dxa"/>
            <w:tcBorders>
              <w:top w:val="nil"/>
              <w:left w:val="nil"/>
              <w:bottom w:val="nil"/>
              <w:right w:val="nil"/>
            </w:tcBorders>
            <w:shd w:val="clear" w:color="auto" w:fill="auto"/>
            <w:vAlign w:val="center"/>
            <w:hideMark/>
          </w:tcPr>
          <w:p w14:paraId="2E97E9B8"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Elaboró:</w:t>
            </w:r>
            <w:r w:rsidRPr="00B808E1">
              <w:rPr>
                <w:rFonts w:ascii="Arial" w:eastAsia="Times New Roman" w:hAnsi="Arial" w:cs="Arial"/>
                <w:sz w:val="17"/>
                <w:szCs w:val="17"/>
                <w:lang w:eastAsia="es-CO"/>
              </w:rPr>
              <w:t> </w:t>
            </w:r>
          </w:p>
        </w:tc>
        <w:tc>
          <w:tcPr>
            <w:tcW w:w="4770" w:type="dxa"/>
            <w:tcBorders>
              <w:top w:val="nil"/>
              <w:left w:val="nil"/>
              <w:bottom w:val="dotted" w:sz="6" w:space="0" w:color="7F7F7F"/>
              <w:right w:val="nil"/>
            </w:tcBorders>
            <w:shd w:val="clear" w:color="auto" w:fill="auto"/>
            <w:vAlign w:val="center"/>
            <w:hideMark/>
          </w:tcPr>
          <w:p w14:paraId="14EE1462"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Diana Lucia Saavedra Castañeda </w:t>
            </w:r>
            <w:r w:rsidRPr="00B808E1">
              <w:rPr>
                <w:rFonts w:ascii="Arial" w:eastAsia="Times New Roman" w:hAnsi="Arial" w:cs="Arial"/>
                <w:sz w:val="17"/>
                <w:szCs w:val="17"/>
                <w:lang w:eastAsia="es-CO"/>
              </w:rPr>
              <w:t> </w:t>
            </w:r>
          </w:p>
          <w:p w14:paraId="0C90B398"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Contratista de la Subdirección de Gestión Contractual</w:t>
            </w:r>
            <w:r w:rsidRPr="00B808E1">
              <w:rPr>
                <w:rFonts w:ascii="Arial" w:eastAsia="Times New Roman" w:hAnsi="Arial" w:cs="Arial"/>
                <w:sz w:val="17"/>
                <w:szCs w:val="17"/>
                <w:lang w:eastAsia="es-CO"/>
              </w:rPr>
              <w:t> </w:t>
            </w:r>
          </w:p>
        </w:tc>
      </w:tr>
      <w:tr w:rsidR="00F45E9F" w:rsidRPr="00B808E1" w14:paraId="1849D7C5" w14:textId="77777777" w:rsidTr="00F45E9F">
        <w:trPr>
          <w:trHeight w:val="315"/>
        </w:trPr>
        <w:tc>
          <w:tcPr>
            <w:tcW w:w="885" w:type="dxa"/>
            <w:tcBorders>
              <w:top w:val="nil"/>
              <w:left w:val="nil"/>
              <w:bottom w:val="nil"/>
              <w:right w:val="nil"/>
            </w:tcBorders>
            <w:shd w:val="clear" w:color="auto" w:fill="auto"/>
            <w:vAlign w:val="center"/>
            <w:hideMark/>
          </w:tcPr>
          <w:p w14:paraId="7A9C9350"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Revisó:</w:t>
            </w:r>
            <w:r w:rsidRPr="00B808E1">
              <w:rPr>
                <w:rFonts w:ascii="Arial" w:eastAsia="Times New Roman" w:hAnsi="Arial" w:cs="Arial"/>
                <w:sz w:val="17"/>
                <w:szCs w:val="17"/>
                <w:lang w:eastAsia="es-CO"/>
              </w:rPr>
              <w:t> </w:t>
            </w:r>
          </w:p>
        </w:tc>
        <w:tc>
          <w:tcPr>
            <w:tcW w:w="4770" w:type="dxa"/>
            <w:tcBorders>
              <w:top w:val="dotted" w:sz="6" w:space="0" w:color="7F7F7F"/>
              <w:left w:val="nil"/>
              <w:bottom w:val="dotted" w:sz="6" w:space="0" w:color="7F7F7F"/>
              <w:right w:val="nil"/>
            </w:tcBorders>
            <w:shd w:val="clear" w:color="auto" w:fill="auto"/>
            <w:vAlign w:val="center"/>
            <w:hideMark/>
          </w:tcPr>
          <w:p w14:paraId="63CC70DA"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Cristian Andrés Díaz Díez</w:t>
            </w:r>
            <w:r w:rsidRPr="00B808E1">
              <w:rPr>
                <w:rFonts w:ascii="Arial" w:eastAsia="Times New Roman" w:hAnsi="Arial" w:cs="Arial"/>
                <w:sz w:val="17"/>
                <w:szCs w:val="17"/>
                <w:lang w:eastAsia="es-CO"/>
              </w:rPr>
              <w:t> </w:t>
            </w:r>
          </w:p>
          <w:p w14:paraId="4B275D48" w14:textId="77777777" w:rsidR="00F45E9F" w:rsidRPr="00B808E1" w:rsidRDefault="00F45E9F" w:rsidP="00F45E9F">
            <w:pPr>
              <w:spacing w:after="0" w:line="240" w:lineRule="auto"/>
              <w:textAlignment w:val="baseline"/>
              <w:rPr>
                <w:rFonts w:ascii="Arial" w:eastAsia="Times New Roman" w:hAnsi="Arial" w:cs="Arial"/>
                <w:sz w:val="17"/>
                <w:szCs w:val="17"/>
                <w:lang w:eastAsia="es-CO"/>
              </w:rPr>
            </w:pPr>
            <w:r w:rsidRPr="00B808E1">
              <w:rPr>
                <w:rFonts w:ascii="Arial" w:eastAsia="Times New Roman" w:hAnsi="Arial" w:cs="Arial"/>
                <w:sz w:val="17"/>
                <w:szCs w:val="17"/>
                <w:lang w:val="es-ES" w:eastAsia="es-CO"/>
              </w:rPr>
              <w:t>Contratista de la Subdirección de Gestión Contractual</w:t>
            </w:r>
            <w:r w:rsidRPr="00B808E1">
              <w:rPr>
                <w:rFonts w:ascii="Arial" w:eastAsia="Times New Roman" w:hAnsi="Arial" w:cs="Arial"/>
                <w:sz w:val="17"/>
                <w:szCs w:val="17"/>
                <w:lang w:eastAsia="es-CO"/>
              </w:rPr>
              <w:t> </w:t>
            </w:r>
          </w:p>
          <w:p w14:paraId="0B1891BE" w14:textId="77777777" w:rsidR="007E65AB" w:rsidRPr="00B808E1" w:rsidRDefault="007E65AB" w:rsidP="00F45E9F">
            <w:pPr>
              <w:spacing w:after="0" w:line="240" w:lineRule="auto"/>
              <w:textAlignment w:val="baseline"/>
              <w:rPr>
                <w:rFonts w:ascii="Arial" w:eastAsia="Times New Roman" w:hAnsi="Arial" w:cs="Arial"/>
                <w:sz w:val="17"/>
                <w:szCs w:val="17"/>
                <w:lang w:eastAsia="es-CO"/>
              </w:rPr>
            </w:pPr>
            <w:proofErr w:type="spellStart"/>
            <w:r w:rsidRPr="00B808E1">
              <w:rPr>
                <w:rFonts w:ascii="Arial" w:eastAsia="Times New Roman" w:hAnsi="Arial" w:cs="Arial"/>
                <w:sz w:val="17"/>
                <w:szCs w:val="17"/>
                <w:lang w:eastAsia="es-CO"/>
              </w:rPr>
              <w:t>Karlo</w:t>
            </w:r>
            <w:proofErr w:type="spellEnd"/>
            <w:r w:rsidRPr="00B808E1">
              <w:rPr>
                <w:rFonts w:ascii="Arial" w:eastAsia="Times New Roman" w:hAnsi="Arial" w:cs="Arial"/>
                <w:sz w:val="17"/>
                <w:szCs w:val="17"/>
                <w:lang w:eastAsia="es-CO"/>
              </w:rPr>
              <w:t xml:space="preserve"> Fernández Cala</w:t>
            </w:r>
          </w:p>
          <w:p w14:paraId="351240B9" w14:textId="0B043CB9" w:rsidR="007E65AB" w:rsidRPr="00B808E1" w:rsidRDefault="007E65AB"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eastAsia="es-CO"/>
              </w:rPr>
              <w:t>Gestor T1-15 de la Dirección General</w:t>
            </w:r>
          </w:p>
        </w:tc>
      </w:tr>
      <w:tr w:rsidR="00F45E9F" w:rsidRPr="00F45E9F" w14:paraId="51986FBE" w14:textId="77777777" w:rsidTr="00F45E9F">
        <w:trPr>
          <w:trHeight w:val="300"/>
        </w:trPr>
        <w:tc>
          <w:tcPr>
            <w:tcW w:w="885" w:type="dxa"/>
            <w:tcBorders>
              <w:top w:val="nil"/>
              <w:left w:val="nil"/>
              <w:bottom w:val="nil"/>
              <w:right w:val="nil"/>
            </w:tcBorders>
            <w:shd w:val="clear" w:color="auto" w:fill="auto"/>
            <w:vAlign w:val="center"/>
            <w:hideMark/>
          </w:tcPr>
          <w:p w14:paraId="63E75CE2"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Aprobó:</w:t>
            </w:r>
            <w:r w:rsidRPr="00B808E1">
              <w:rPr>
                <w:rFonts w:ascii="Arial" w:eastAsia="Times New Roman" w:hAnsi="Arial" w:cs="Arial"/>
                <w:sz w:val="17"/>
                <w:szCs w:val="17"/>
                <w:lang w:eastAsia="es-CO"/>
              </w:rPr>
              <w:t> </w:t>
            </w:r>
          </w:p>
        </w:tc>
        <w:tc>
          <w:tcPr>
            <w:tcW w:w="4770" w:type="dxa"/>
            <w:tcBorders>
              <w:top w:val="dotted" w:sz="6" w:space="0" w:color="7F7F7F"/>
              <w:left w:val="nil"/>
              <w:bottom w:val="dotted" w:sz="6" w:space="0" w:color="7F7F7F"/>
              <w:right w:val="nil"/>
            </w:tcBorders>
            <w:shd w:val="clear" w:color="auto" w:fill="auto"/>
            <w:vAlign w:val="center"/>
            <w:hideMark/>
          </w:tcPr>
          <w:p w14:paraId="3DE32C68" w14:textId="77777777" w:rsidR="00F45E9F" w:rsidRPr="00B808E1"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Jorge Augusto Tirado Navarro</w:t>
            </w:r>
            <w:r w:rsidRPr="00B808E1">
              <w:rPr>
                <w:rFonts w:ascii="Arial" w:eastAsia="Times New Roman" w:hAnsi="Arial" w:cs="Arial"/>
                <w:sz w:val="17"/>
                <w:szCs w:val="17"/>
                <w:lang w:eastAsia="es-CO"/>
              </w:rPr>
              <w:t> </w:t>
            </w:r>
          </w:p>
          <w:p w14:paraId="4F2B779C" w14:textId="77777777" w:rsidR="00F45E9F" w:rsidRPr="00F45E9F" w:rsidRDefault="00F45E9F" w:rsidP="00F45E9F">
            <w:pPr>
              <w:spacing w:after="0" w:line="240" w:lineRule="auto"/>
              <w:textAlignment w:val="baseline"/>
              <w:rPr>
                <w:rFonts w:ascii="Segoe UI" w:eastAsia="Times New Roman" w:hAnsi="Segoe UI" w:cs="Segoe UI"/>
                <w:sz w:val="18"/>
                <w:szCs w:val="18"/>
                <w:lang w:eastAsia="es-CO"/>
              </w:rPr>
            </w:pPr>
            <w:r w:rsidRPr="00B808E1">
              <w:rPr>
                <w:rFonts w:ascii="Arial" w:eastAsia="Times New Roman" w:hAnsi="Arial" w:cs="Arial"/>
                <w:sz w:val="17"/>
                <w:szCs w:val="17"/>
                <w:lang w:val="es-ES" w:eastAsia="es-CO"/>
              </w:rPr>
              <w:t>Subdirector de Gestión Contractual ANCP – CCE</w:t>
            </w:r>
            <w:r w:rsidRPr="00F45E9F">
              <w:rPr>
                <w:rFonts w:ascii="Arial" w:eastAsia="Times New Roman" w:hAnsi="Arial" w:cs="Arial"/>
                <w:sz w:val="17"/>
                <w:szCs w:val="17"/>
                <w:lang w:eastAsia="es-CO"/>
              </w:rPr>
              <w:t> </w:t>
            </w:r>
          </w:p>
        </w:tc>
      </w:tr>
    </w:tbl>
    <w:p w14:paraId="1367D8FA" w14:textId="77777777" w:rsidR="003949B2" w:rsidRPr="003949B2" w:rsidRDefault="003949B2" w:rsidP="003949B2">
      <w:pPr>
        <w:spacing w:after="0" w:line="240" w:lineRule="auto"/>
        <w:jc w:val="center"/>
        <w:rPr>
          <w:rFonts w:ascii="Arial" w:eastAsia="Times New Roman" w:hAnsi="Arial" w:cs="Arial"/>
          <w:sz w:val="18"/>
          <w:szCs w:val="20"/>
          <w:lang w:val="es-ES" w:eastAsia="es-CO"/>
        </w:rPr>
      </w:pPr>
    </w:p>
    <w:p w14:paraId="0411191A" w14:textId="77777777" w:rsidR="003949B2" w:rsidRPr="003949B2" w:rsidRDefault="003949B2" w:rsidP="003949B2">
      <w:pPr>
        <w:spacing w:after="0" w:line="276" w:lineRule="auto"/>
        <w:rPr>
          <w:rFonts w:ascii="Times New Roman" w:eastAsia="Times New Roman" w:hAnsi="Times New Roman" w:cs="Times New Roman"/>
          <w:sz w:val="24"/>
          <w:szCs w:val="24"/>
          <w:lang w:eastAsia="es-MX"/>
        </w:rPr>
      </w:pPr>
    </w:p>
    <w:p w14:paraId="1EFCA169" w14:textId="77777777" w:rsidR="003949B2" w:rsidRPr="003949B2" w:rsidRDefault="003949B2" w:rsidP="003949B2">
      <w:pPr>
        <w:spacing w:after="0" w:line="240" w:lineRule="auto"/>
        <w:rPr>
          <w:rFonts w:ascii="Times New Roman" w:eastAsia="Times New Roman" w:hAnsi="Times New Roman" w:cs="Times New Roman"/>
          <w:sz w:val="24"/>
          <w:szCs w:val="24"/>
          <w:lang w:eastAsia="es-MX"/>
        </w:rPr>
      </w:pPr>
    </w:p>
    <w:p w14:paraId="538F90FD" w14:textId="77777777" w:rsidR="00C810E3" w:rsidRPr="00F45E9F" w:rsidRDefault="00C810E3"/>
    <w:sectPr w:rsidR="00C810E3" w:rsidRPr="00F45E9F" w:rsidSect="007F1895">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25E7" w14:textId="77777777" w:rsidR="007649D4" w:rsidRDefault="007649D4" w:rsidP="003949B2">
      <w:pPr>
        <w:spacing w:after="0" w:line="240" w:lineRule="auto"/>
      </w:pPr>
      <w:r>
        <w:separator/>
      </w:r>
    </w:p>
  </w:endnote>
  <w:endnote w:type="continuationSeparator" w:id="0">
    <w:p w14:paraId="024F4C65" w14:textId="77777777" w:rsidR="007649D4" w:rsidRDefault="007649D4" w:rsidP="0039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CA20" w14:textId="77777777" w:rsidR="00387886" w:rsidRDefault="00000000" w:rsidP="007F1895">
    <w:pPr>
      <w:pStyle w:val="Sinespaciado"/>
      <w:jc w:val="right"/>
      <w:rPr>
        <w:rFonts w:ascii="Arial" w:hAnsi="Arial" w:cs="Arial"/>
        <w:sz w:val="18"/>
        <w:szCs w:val="18"/>
      </w:rPr>
    </w:pPr>
  </w:p>
  <w:p w14:paraId="29A41AA6" w14:textId="77777777" w:rsidR="00387886" w:rsidRDefault="00000000" w:rsidP="007F1895">
    <w:pPr>
      <w:pStyle w:val="Sinespaciado"/>
      <w:jc w:val="right"/>
      <w:rPr>
        <w:rFonts w:ascii="Arial" w:hAnsi="Arial" w:cs="Arial"/>
        <w:sz w:val="18"/>
        <w:szCs w:val="18"/>
      </w:rPr>
    </w:pPr>
  </w:p>
  <w:p w14:paraId="179F10DF" w14:textId="77777777" w:rsidR="00387886" w:rsidRPr="008217B7" w:rsidRDefault="00C66203" w:rsidP="007F189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C570830" w14:textId="77777777" w:rsidR="00387886" w:rsidRDefault="00C66203" w:rsidP="007F1895">
    <w:pPr>
      <w:pStyle w:val="Piedepgina"/>
      <w:jc w:val="center"/>
      <w:rPr>
        <w:lang w:val="es-ES"/>
      </w:rPr>
    </w:pPr>
    <w:r>
      <w:rPr>
        <w:noProof/>
      </w:rPr>
      <w:drawing>
        <wp:inline distT="0" distB="0" distL="0" distR="0" wp14:anchorId="2DD4576F" wp14:editId="462B014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1E1F6B9" w14:textId="77777777" w:rsidR="00387886" w:rsidRPr="00E756AC" w:rsidRDefault="00000000" w:rsidP="007F1895">
    <w:pPr>
      <w:pStyle w:val="Piedepgina"/>
      <w:jc w:val="center"/>
      <w:rPr>
        <w:sz w:val="18"/>
        <w:szCs w:val="18"/>
        <w:lang w:val="es-ES"/>
      </w:rPr>
    </w:pPr>
  </w:p>
  <w:p w14:paraId="14C2F685" w14:textId="77777777" w:rsidR="00387886" w:rsidRPr="00E756AC" w:rsidRDefault="00000000" w:rsidP="007F1895">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5B20" w14:textId="77777777" w:rsidR="007649D4" w:rsidRDefault="007649D4" w:rsidP="003949B2">
      <w:pPr>
        <w:spacing w:after="0" w:line="240" w:lineRule="auto"/>
      </w:pPr>
      <w:r>
        <w:separator/>
      </w:r>
    </w:p>
  </w:footnote>
  <w:footnote w:type="continuationSeparator" w:id="0">
    <w:p w14:paraId="769DEAA8" w14:textId="77777777" w:rsidR="007649D4" w:rsidRDefault="007649D4" w:rsidP="003949B2">
      <w:pPr>
        <w:spacing w:after="0" w:line="240" w:lineRule="auto"/>
      </w:pPr>
      <w:r>
        <w:continuationSeparator/>
      </w:r>
    </w:p>
  </w:footnote>
  <w:footnote w:id="1">
    <w:p w14:paraId="04B4A31E" w14:textId="77777777" w:rsidR="003949B2" w:rsidRPr="003C1782" w:rsidRDefault="003949B2" w:rsidP="003949B2">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C1782">
        <w:rPr>
          <w:rFonts w:ascii="Arial" w:hAnsi="Arial" w:cs="Arial"/>
          <w:i/>
          <w:iCs/>
          <w:sz w:val="18"/>
          <w:szCs w:val="18"/>
        </w:rPr>
        <w:t xml:space="preserve">ibidem </w:t>
      </w:r>
      <w:r w:rsidRPr="003C1782">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3C1782">
        <w:rPr>
          <w:rFonts w:ascii="Arial" w:hAnsi="Arial" w:cs="Arial"/>
          <w:sz w:val="18"/>
          <w:szCs w:val="18"/>
        </w:rPr>
        <w:t>bsolver</w:t>
      </w:r>
      <w:proofErr w:type="spellEnd"/>
      <w:r w:rsidRPr="003C1782">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3C1782">
        <w:rPr>
          <w:rFonts w:ascii="Arial" w:hAnsi="Arial" w:cs="Arial"/>
          <w:sz w:val="18"/>
          <w:szCs w:val="18"/>
        </w:rPr>
        <w:t>bsolver</w:t>
      </w:r>
      <w:proofErr w:type="spellEnd"/>
      <w:r w:rsidRPr="003C1782">
        <w:rPr>
          <w:rFonts w:ascii="Arial" w:hAnsi="Arial" w:cs="Arial"/>
          <w:sz w:val="18"/>
          <w:szCs w:val="18"/>
        </w:rPr>
        <w:t xml:space="preserve"> consultas sobre la aplicación de normas de carácter general».</w:t>
      </w:r>
    </w:p>
    <w:p w14:paraId="20E26A80" w14:textId="77777777" w:rsidR="003949B2" w:rsidRPr="003C1782" w:rsidRDefault="003949B2" w:rsidP="003949B2">
      <w:pPr>
        <w:pStyle w:val="Textonotapie"/>
        <w:ind w:firstLine="709"/>
        <w:jc w:val="both"/>
        <w:rPr>
          <w:rFonts w:ascii="Arial" w:hAnsi="Arial" w:cs="Arial"/>
          <w:sz w:val="18"/>
          <w:szCs w:val="18"/>
          <w:lang w:val="es-ES"/>
        </w:rPr>
      </w:pPr>
    </w:p>
  </w:footnote>
  <w:footnote w:id="2">
    <w:p w14:paraId="291C779C" w14:textId="77777777" w:rsidR="003949B2" w:rsidRPr="003C1782" w:rsidRDefault="003949B2" w:rsidP="003949B2">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44255D9C" w14:textId="77777777" w:rsidR="003949B2" w:rsidRPr="003C1782" w:rsidRDefault="003949B2" w:rsidP="003949B2">
      <w:pPr>
        <w:pStyle w:val="Textonotapie"/>
        <w:ind w:firstLine="709"/>
        <w:jc w:val="both"/>
        <w:rPr>
          <w:rFonts w:ascii="Arial" w:hAnsi="Arial" w:cs="Arial"/>
          <w:sz w:val="18"/>
          <w:szCs w:val="18"/>
          <w:lang w:val="es-CO"/>
        </w:rPr>
      </w:pPr>
    </w:p>
  </w:footnote>
  <w:footnote w:id="3">
    <w:p w14:paraId="6884FD84" w14:textId="77777777" w:rsidR="003949B2" w:rsidRPr="003C1782" w:rsidRDefault="003949B2" w:rsidP="003949B2">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w:t>
      </w:r>
      <w:r w:rsidRPr="003C1782">
        <w:rPr>
          <w:rFonts w:ascii="Arial" w:hAnsi="Arial" w:cs="Arial"/>
          <w:sz w:val="18"/>
          <w:szCs w:val="18"/>
          <w:lang w:val="es-CO"/>
        </w:rPr>
        <w:t xml:space="preserve">Ley 1882 de 2018: «Artículo 4. </w:t>
      </w:r>
      <w:r w:rsidRPr="003C1782">
        <w:rPr>
          <w:rFonts w:ascii="Arial" w:hAnsi="Arial" w:cs="Arial"/>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0FE949B" w14:textId="77777777" w:rsidR="003949B2" w:rsidRPr="003C1782" w:rsidRDefault="003949B2" w:rsidP="003949B2">
      <w:pPr>
        <w:pStyle w:val="Textonotapie"/>
        <w:ind w:firstLine="709"/>
        <w:jc w:val="both"/>
        <w:rPr>
          <w:rFonts w:ascii="Arial" w:hAnsi="Arial" w:cs="Arial"/>
          <w:sz w:val="18"/>
          <w:szCs w:val="18"/>
          <w:lang w:val="es-CO"/>
        </w:rPr>
      </w:pPr>
      <w:proofErr w:type="gramStart"/>
      <w:r w:rsidRPr="003C1782">
        <w:rPr>
          <w:rFonts w:ascii="Arial" w:hAnsi="Arial" w:cs="Arial"/>
          <w:sz w:val="18"/>
          <w:szCs w:val="18"/>
          <w:lang w:val="es-CO"/>
        </w:rPr>
        <w:t>»La</w:t>
      </w:r>
      <w:proofErr w:type="gramEnd"/>
      <w:r w:rsidRPr="003C1782">
        <w:rPr>
          <w:rFonts w:ascii="Arial" w:hAnsi="Arial" w:cs="Arial"/>
          <w:sz w:val="18"/>
          <w:szCs w:val="18"/>
          <w:lang w:val="es-CO"/>
        </w:rPr>
        <w:t xml:space="preserve"> facultad de adoptar documentos tipo la tendrá el Gobierno nacional, cuando lo considere necesario, en relación con otros contratos o procesos de selección.</w:t>
      </w:r>
    </w:p>
    <w:p w14:paraId="5197EE7A" w14:textId="77777777" w:rsidR="003949B2" w:rsidRPr="003C1782" w:rsidRDefault="003949B2" w:rsidP="003949B2">
      <w:pPr>
        <w:pStyle w:val="Textonotapie"/>
        <w:ind w:firstLine="709"/>
        <w:jc w:val="both"/>
        <w:rPr>
          <w:rFonts w:ascii="Arial" w:hAnsi="Arial" w:cs="Arial"/>
          <w:sz w:val="18"/>
          <w:szCs w:val="18"/>
          <w:lang w:val="es-CO"/>
        </w:rPr>
      </w:pPr>
      <w:proofErr w:type="gramStart"/>
      <w:r w:rsidRPr="003C1782">
        <w:rPr>
          <w:rFonts w:ascii="Arial" w:hAnsi="Arial" w:cs="Arial"/>
          <w:sz w:val="18"/>
          <w:szCs w:val="18"/>
          <w:lang w:val="es-CO"/>
        </w:rPr>
        <w:t>»Los</w:t>
      </w:r>
      <w:proofErr w:type="gramEnd"/>
      <w:r w:rsidRPr="003C1782">
        <w:rPr>
          <w:rFonts w:ascii="Arial" w:hAnsi="Arial" w:cs="Arial"/>
          <w:sz w:val="18"/>
          <w:szCs w:val="18"/>
          <w:lang w:val="es-CO"/>
        </w:rPr>
        <w:t xml:space="preserve"> pliegos tipo se adoptarán por categorías de acuerdo con la cuantía de la contratación, según la reglamentación que expida el Gobierno nacional».</w:t>
      </w:r>
    </w:p>
    <w:p w14:paraId="4CA494F0" w14:textId="77777777" w:rsidR="003949B2" w:rsidRPr="003C1782" w:rsidRDefault="003949B2" w:rsidP="003949B2">
      <w:pPr>
        <w:pStyle w:val="Textonotapie"/>
        <w:ind w:firstLine="709"/>
        <w:jc w:val="both"/>
        <w:rPr>
          <w:rFonts w:ascii="Arial" w:hAnsi="Arial" w:cs="Arial"/>
          <w:sz w:val="18"/>
          <w:szCs w:val="18"/>
          <w:lang w:val="es-CO"/>
        </w:rPr>
      </w:pPr>
    </w:p>
  </w:footnote>
  <w:footnote w:id="4">
    <w:p w14:paraId="60F29420" w14:textId="77777777" w:rsidR="003949B2" w:rsidRPr="003C1782" w:rsidRDefault="003949B2" w:rsidP="003949B2">
      <w:pPr>
        <w:pStyle w:val="Textonotapie"/>
        <w:ind w:firstLine="709"/>
        <w:jc w:val="both"/>
        <w:rPr>
          <w:rFonts w:ascii="Arial" w:hAnsi="Arial" w:cs="Arial"/>
          <w:sz w:val="18"/>
          <w:szCs w:val="18"/>
        </w:rPr>
      </w:pPr>
      <w:r w:rsidRPr="003C1782">
        <w:rPr>
          <w:rStyle w:val="Refdenotaalpie"/>
          <w:rFonts w:ascii="Arial" w:hAnsi="Arial" w:cs="Arial"/>
          <w:sz w:val="18"/>
          <w:szCs w:val="18"/>
        </w:rPr>
        <w:footnoteRef/>
      </w:r>
      <w:r w:rsidRPr="003C1782">
        <w:rPr>
          <w:rFonts w:ascii="Arial" w:hAnsi="Arial" w:cs="Arial"/>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52980C4" w14:textId="77777777" w:rsidR="003949B2" w:rsidRPr="003C1782" w:rsidRDefault="003949B2" w:rsidP="003949B2">
      <w:pPr>
        <w:pStyle w:val="Textonotapie"/>
        <w:ind w:firstLine="709"/>
        <w:jc w:val="both"/>
        <w:rPr>
          <w:rFonts w:ascii="Arial" w:hAnsi="Arial" w:cs="Arial"/>
          <w:sz w:val="18"/>
          <w:szCs w:val="18"/>
        </w:rPr>
      </w:pPr>
    </w:p>
  </w:footnote>
  <w:footnote w:id="5">
    <w:p w14:paraId="343DC3AF" w14:textId="77777777" w:rsidR="003949B2" w:rsidRPr="003C1782" w:rsidRDefault="003949B2" w:rsidP="003949B2">
      <w:pPr>
        <w:pStyle w:val="Normal11pt"/>
        <w:ind w:firstLine="709"/>
        <w:rPr>
          <w:rFonts w:eastAsia="Calibri"/>
          <w:color w:val="000000" w:themeColor="text1"/>
          <w:sz w:val="18"/>
          <w:szCs w:val="18"/>
        </w:rPr>
      </w:pPr>
      <w:r w:rsidRPr="003C1782">
        <w:rPr>
          <w:rStyle w:val="Refdenotaalpie"/>
          <w:sz w:val="18"/>
          <w:szCs w:val="18"/>
        </w:rPr>
        <w:footnoteRef/>
      </w:r>
      <w:r w:rsidRPr="003C1782">
        <w:rPr>
          <w:sz w:val="18"/>
          <w:szCs w:val="18"/>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4088DA4E" w14:textId="77777777" w:rsidR="003949B2" w:rsidRPr="003C1782" w:rsidRDefault="003949B2" w:rsidP="003949B2">
      <w:pPr>
        <w:pStyle w:val="Textonotapie"/>
        <w:jc w:val="both"/>
        <w:rPr>
          <w:rFonts w:ascii="Arial" w:hAnsi="Arial" w:cs="Arial"/>
          <w:sz w:val="18"/>
          <w:szCs w:val="18"/>
        </w:rPr>
      </w:pPr>
    </w:p>
  </w:footnote>
  <w:footnote w:id="6">
    <w:p w14:paraId="3EF30F7A" w14:textId="77777777" w:rsidR="00CA6CF6" w:rsidRPr="003C1782" w:rsidRDefault="00CA6CF6" w:rsidP="00CA6CF6">
      <w:pPr>
        <w:pStyle w:val="Textonotapie"/>
        <w:ind w:firstLine="708"/>
        <w:rPr>
          <w:rFonts w:ascii="Arial" w:hAnsi="Arial" w:cs="Arial"/>
          <w:sz w:val="18"/>
          <w:szCs w:val="18"/>
          <w:lang w:val="es-ES"/>
        </w:rPr>
      </w:pPr>
      <w:r w:rsidRPr="003C1782">
        <w:rPr>
          <w:rStyle w:val="Refdenotaalpie"/>
          <w:rFonts w:ascii="Arial" w:hAnsi="Arial" w:cs="Arial"/>
          <w:sz w:val="18"/>
          <w:szCs w:val="18"/>
        </w:rPr>
        <w:footnoteRef/>
      </w:r>
      <w:r w:rsidRPr="003C1782">
        <w:rPr>
          <w:rFonts w:ascii="Arial" w:hAnsi="Arial" w:cs="Arial"/>
          <w:sz w:val="18"/>
          <w:szCs w:val="18"/>
        </w:rPr>
        <w:t xml:space="preserve"> Código: CCE-EICP-GI-14. Versión 1</w:t>
      </w:r>
    </w:p>
  </w:footnote>
  <w:footnote w:id="7">
    <w:p w14:paraId="2A56C617" w14:textId="77777777" w:rsidR="0057499C" w:rsidRPr="00D35ADA" w:rsidRDefault="0057499C" w:rsidP="0057499C">
      <w:pPr>
        <w:pStyle w:val="Textonotapie1"/>
        <w:ind w:firstLine="708"/>
        <w:contextualSpacing/>
        <w:rPr>
          <w:rFonts w:cs="Arial"/>
          <w:sz w:val="18"/>
          <w:szCs w:val="18"/>
          <w:lang w:val="es-CO"/>
        </w:rPr>
      </w:pPr>
      <w:r w:rsidRPr="00D35ADA">
        <w:rPr>
          <w:rStyle w:val="Refdenotaalpie"/>
          <w:rFonts w:cs="Arial"/>
          <w:sz w:val="18"/>
          <w:szCs w:val="18"/>
        </w:rPr>
        <w:footnoteRef/>
      </w:r>
      <w:r w:rsidRPr="00D35ADA">
        <w:rPr>
          <w:rFonts w:cs="Arial"/>
          <w:sz w:val="18"/>
          <w:szCs w:val="18"/>
        </w:rPr>
        <w:t xml:space="preserve"> Definición tomada de la «Guía general para la planeación, formulación, ejecución, y operación de proyectos de infraestructura cultural», Ministerio de Cultura, Primera Edición, Año 2011.</w:t>
      </w:r>
      <w:r w:rsidRPr="00D35ADA">
        <w:rPr>
          <w:rFonts w:cs="Arial"/>
          <w:sz w:val="18"/>
          <w:szCs w:val="18"/>
          <w:lang w:val="es-CO"/>
        </w:rPr>
        <w:t xml:space="preserve"> </w:t>
      </w:r>
    </w:p>
  </w:footnote>
  <w:footnote w:id="8">
    <w:p w14:paraId="5DFA20DE" w14:textId="77777777" w:rsidR="0057499C" w:rsidRPr="00D35ADA" w:rsidRDefault="0057499C" w:rsidP="00D96082">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w:t>
      </w:r>
      <w:r>
        <w:rPr>
          <w:rFonts w:ascii="Arial" w:hAnsi="Arial" w:cs="Arial"/>
          <w:sz w:val="18"/>
          <w:szCs w:val="18"/>
        </w:rPr>
        <w:t xml:space="preserve">Definición tomada </w:t>
      </w:r>
      <w:hyperlink r:id="rId1" w:anchor=":~:text=Muchos%20tienen%20diferentes%20conceptos%20sobre,en%20un%20sitio%20abierto%20o" w:history="1">
        <w:r w:rsidRPr="00FB4479">
          <w:rPr>
            <w:rStyle w:val="Hipervnculo"/>
            <w:rFonts w:ascii="Arial" w:hAnsi="Arial" w:cs="Arial"/>
            <w:sz w:val="18"/>
            <w:szCs w:val="18"/>
          </w:rPr>
          <w:t>https://www.culturarecreacionydeporte.gov.co/es/bogotanitos/bogodatos/las-plazas-de-mercado-de-bogota#:~:text=Muchos%20tienen%20diferentes%20conceptos%20sobre,en%20un%20sitio%20abierto%20o</w:t>
        </w:r>
      </w:hyperlink>
      <w:r w:rsidRPr="00D35ADA">
        <w:rPr>
          <w:rFonts w:ascii="Arial" w:hAnsi="Arial" w:cs="Arial"/>
          <w:sz w:val="18"/>
          <w:szCs w:val="18"/>
        </w:rPr>
        <w:t xml:space="preserve"> </w:t>
      </w:r>
    </w:p>
  </w:footnote>
  <w:footnote w:id="9">
    <w:p w14:paraId="5FCBCD8C" w14:textId="77777777" w:rsidR="0057499C" w:rsidRPr="00D35ADA" w:rsidRDefault="0057499C" w:rsidP="0057499C">
      <w:pPr>
        <w:pStyle w:val="Textonotapie"/>
        <w:ind w:firstLine="708"/>
        <w:contextualSpacing/>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290 de 2014. </w:t>
      </w:r>
      <w:r w:rsidRPr="00D35ADA">
        <w:rPr>
          <w:rFonts w:ascii="Arial" w:hAnsi="Arial" w:cs="Arial"/>
          <w:i/>
          <w:iCs/>
          <w:sz w:val="18"/>
          <w:szCs w:val="18"/>
        </w:rPr>
        <w:t>“Por la cual se expide el Reglamento Administrativo, Operativo y de Mantenimiento de las Plazas de Mercado del Distrito Capital”.</w:t>
      </w:r>
      <w:r w:rsidRPr="00D35ADA">
        <w:rPr>
          <w:rFonts w:ascii="Arial" w:hAnsi="Arial" w:cs="Arial"/>
          <w:sz w:val="18"/>
          <w:szCs w:val="18"/>
        </w:rPr>
        <w:t xml:space="preserve"> Artículo 3. </w:t>
      </w:r>
    </w:p>
  </w:footnote>
  <w:footnote w:id="10">
    <w:p w14:paraId="28995917" w14:textId="77777777" w:rsidR="0057499C" w:rsidRPr="00D35ADA" w:rsidRDefault="0057499C" w:rsidP="0057499C">
      <w:pPr>
        <w:pStyle w:val="Textonotapie"/>
        <w:ind w:firstLine="708"/>
        <w:contextualSpacing/>
        <w:jc w:val="both"/>
        <w:rPr>
          <w:rFonts w:ascii="Arial" w:hAnsi="Arial" w:cs="Arial"/>
          <w:sz w:val="18"/>
          <w:szCs w:val="18"/>
        </w:rPr>
      </w:pPr>
      <w:r w:rsidRPr="00D35ADA">
        <w:rPr>
          <w:rStyle w:val="Refdenotaalpie"/>
          <w:rFonts w:ascii="Arial" w:hAnsi="Arial" w:cs="Arial"/>
          <w:sz w:val="18"/>
          <w:szCs w:val="18"/>
        </w:rPr>
        <w:footnoteRef/>
      </w:r>
      <w:r w:rsidRPr="00D35ADA">
        <w:rPr>
          <w:rFonts w:ascii="Arial" w:hAnsi="Arial" w:cs="Arial"/>
          <w:sz w:val="18"/>
          <w:szCs w:val="18"/>
        </w:rPr>
        <w:t xml:space="preserve"> Instituto para la Economía Social de la Alcaldía Mayor de Bogotá D.C. Resolución No. 267 de 2020. </w:t>
      </w:r>
      <w:r w:rsidRPr="00D35ADA">
        <w:rPr>
          <w:rFonts w:ascii="Arial" w:eastAsia="Calibri" w:hAnsi="Arial" w:cs="Arial"/>
          <w:sz w:val="18"/>
          <w:szCs w:val="18"/>
          <w:lang w:val="es-ES_tradnl"/>
        </w:rPr>
        <w:t>«</w:t>
      </w:r>
      <w:r w:rsidRPr="00D35ADA">
        <w:rPr>
          <w:rFonts w:ascii="Arial" w:hAnsi="Arial" w:cs="Arial"/>
          <w:sz w:val="18"/>
          <w:szCs w:val="18"/>
        </w:rPr>
        <w:t>Artículo 3. Plazas de Mercado Distritales, Definición, función y misión. Las plazas de mercado son actividades, de carácter permanente o itinerante, que reúnen a comerciantes en espacios públicos construidos a efectos de comercializar bienes y servicios primordialmente de abastecimiento alimentario, para el cumplimiento de la misión y función del Sistema Distrital de Plazas de Mercado. El Sistema de Plazas de Mercado de propiedad del Distrito Capital, es el conjunto de medidas y acciones operativas, técnicas, económicas y jurídicas, que favorecen la prestación del servicio de suministro de alimentos. La misión de las plazas de mercado distritales es implementar el Plan Maestro de Abastecimiento y seguridad Alimentaria para Bogotá - PMASAB - conforme a la Política Pública de Seguridad Alimentaria y Nutricional - CONPES 09 de 2019, y en aquellas plazas reconocidas como atractivo turístico de la ciudad coordinará con el Instituto Distrital de Turismo - IDT- su aprovechamiento turístico</w:t>
      </w:r>
      <w:r w:rsidRPr="00D35ADA">
        <w:rPr>
          <w:rFonts w:ascii="Arial" w:eastAsia="Calibri" w:hAnsi="Arial"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527" w14:textId="77777777" w:rsidR="00387886" w:rsidRDefault="00C66203">
    <w:pPr>
      <w:pStyle w:val="Encabezado"/>
    </w:pPr>
    <w:r>
      <w:rPr>
        <w:noProof/>
        <w:lang w:eastAsia="es-CO"/>
      </w:rPr>
      <w:drawing>
        <wp:anchor distT="0" distB="0" distL="114300" distR="114300" simplePos="0" relativeHeight="251659264" behindDoc="1" locked="0" layoutInCell="1" allowOverlap="1" wp14:anchorId="14E1DD51" wp14:editId="37F42FA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571E"/>
    <w:multiLevelType w:val="hybridMultilevel"/>
    <w:tmpl w:val="21D06F08"/>
    <w:lvl w:ilvl="0" w:tplc="0E7057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EE097A"/>
    <w:multiLevelType w:val="hybridMultilevel"/>
    <w:tmpl w:val="F1E6C93C"/>
    <w:lvl w:ilvl="0" w:tplc="1020E43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6343671">
    <w:abstractNumId w:val="1"/>
  </w:num>
  <w:num w:numId="2" w16cid:durableId="177019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B2"/>
    <w:rsid w:val="00046933"/>
    <w:rsid w:val="00073C97"/>
    <w:rsid w:val="00082DBB"/>
    <w:rsid w:val="000C6220"/>
    <w:rsid w:val="00102EBB"/>
    <w:rsid w:val="00113AAB"/>
    <w:rsid w:val="00137674"/>
    <w:rsid w:val="001B0685"/>
    <w:rsid w:val="001C6A5A"/>
    <w:rsid w:val="0021671B"/>
    <w:rsid w:val="00237CB2"/>
    <w:rsid w:val="00250070"/>
    <w:rsid w:val="00251237"/>
    <w:rsid w:val="002853A4"/>
    <w:rsid w:val="00291A3C"/>
    <w:rsid w:val="00294DB3"/>
    <w:rsid w:val="002A4FC8"/>
    <w:rsid w:val="002D36B3"/>
    <w:rsid w:val="002D51F0"/>
    <w:rsid w:val="002D668A"/>
    <w:rsid w:val="003201C0"/>
    <w:rsid w:val="00325639"/>
    <w:rsid w:val="0036329B"/>
    <w:rsid w:val="003949B2"/>
    <w:rsid w:val="003B11F5"/>
    <w:rsid w:val="003B18D2"/>
    <w:rsid w:val="003C1782"/>
    <w:rsid w:val="004033FC"/>
    <w:rsid w:val="00416F6A"/>
    <w:rsid w:val="004D5CB3"/>
    <w:rsid w:val="004F2BC9"/>
    <w:rsid w:val="005239CE"/>
    <w:rsid w:val="00527703"/>
    <w:rsid w:val="005361F0"/>
    <w:rsid w:val="0057113B"/>
    <w:rsid w:val="0057499C"/>
    <w:rsid w:val="00583D41"/>
    <w:rsid w:val="005F1A16"/>
    <w:rsid w:val="005F6457"/>
    <w:rsid w:val="00647220"/>
    <w:rsid w:val="00651FD7"/>
    <w:rsid w:val="006C337E"/>
    <w:rsid w:val="00745654"/>
    <w:rsid w:val="007476AC"/>
    <w:rsid w:val="007649D4"/>
    <w:rsid w:val="007807CB"/>
    <w:rsid w:val="007E65AB"/>
    <w:rsid w:val="00811480"/>
    <w:rsid w:val="008450F7"/>
    <w:rsid w:val="00876514"/>
    <w:rsid w:val="008976D5"/>
    <w:rsid w:val="008C0E5E"/>
    <w:rsid w:val="009035F6"/>
    <w:rsid w:val="00925046"/>
    <w:rsid w:val="009337AA"/>
    <w:rsid w:val="0097648F"/>
    <w:rsid w:val="00982F8E"/>
    <w:rsid w:val="009B5C7D"/>
    <w:rsid w:val="009C1504"/>
    <w:rsid w:val="00A37736"/>
    <w:rsid w:val="00A50131"/>
    <w:rsid w:val="00A51B32"/>
    <w:rsid w:val="00A7621D"/>
    <w:rsid w:val="00AA081B"/>
    <w:rsid w:val="00AE2F30"/>
    <w:rsid w:val="00AE479F"/>
    <w:rsid w:val="00B808E1"/>
    <w:rsid w:val="00B85D5B"/>
    <w:rsid w:val="00B95BB7"/>
    <w:rsid w:val="00BA500E"/>
    <w:rsid w:val="00BF0282"/>
    <w:rsid w:val="00BF3BDD"/>
    <w:rsid w:val="00C66203"/>
    <w:rsid w:val="00C77CCA"/>
    <w:rsid w:val="00C810E3"/>
    <w:rsid w:val="00CA6CF6"/>
    <w:rsid w:val="00CF79FB"/>
    <w:rsid w:val="00D12769"/>
    <w:rsid w:val="00D50FD4"/>
    <w:rsid w:val="00D96082"/>
    <w:rsid w:val="00DA0A88"/>
    <w:rsid w:val="00DB6B45"/>
    <w:rsid w:val="00DE693D"/>
    <w:rsid w:val="00E04B0F"/>
    <w:rsid w:val="00E14B21"/>
    <w:rsid w:val="00E519C7"/>
    <w:rsid w:val="00F106AF"/>
    <w:rsid w:val="00F33366"/>
    <w:rsid w:val="00F45E9F"/>
    <w:rsid w:val="00F649F8"/>
    <w:rsid w:val="00FC41C8"/>
    <w:rsid w:val="00FD7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BFB8"/>
  <w15:chartTrackingRefBased/>
  <w15:docId w15:val="{5DEA4F37-317A-4E2B-9965-DFF40646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949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949B2"/>
  </w:style>
  <w:style w:type="paragraph" w:styleId="Encabezado">
    <w:name w:val="header"/>
    <w:basedOn w:val="Normal"/>
    <w:link w:val="EncabezadoCar"/>
    <w:uiPriority w:val="99"/>
    <w:semiHidden/>
    <w:unhideWhenUsed/>
    <w:rsid w:val="003949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949B2"/>
  </w:style>
  <w:style w:type="paragraph" w:styleId="Sinespaciado">
    <w:name w:val="No Spacing"/>
    <w:uiPriority w:val="1"/>
    <w:qFormat/>
    <w:rsid w:val="003949B2"/>
    <w:pPr>
      <w:spacing w:after="0" w:line="240" w:lineRule="auto"/>
    </w:pPr>
  </w:style>
  <w:style w:type="table" w:styleId="Tablaconcuadrcula">
    <w:name w:val="Table Grid"/>
    <w:basedOn w:val="Tablanormal"/>
    <w:uiPriority w:val="39"/>
    <w:qFormat/>
    <w:rsid w:val="0039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949B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949B2"/>
    <w:pPr>
      <w:spacing w:after="0" w:line="240" w:lineRule="auto"/>
    </w:pPr>
    <w:rPr>
      <w:sz w:val="20"/>
      <w:szCs w:val="20"/>
      <w:lang w:val="es-MX"/>
    </w:rPr>
  </w:style>
  <w:style w:type="character" w:customStyle="1" w:styleId="TextonotapieCar1">
    <w:name w:val="Texto nota pie Car1"/>
    <w:basedOn w:val="Fuentedeprrafopredeter"/>
    <w:uiPriority w:val="99"/>
    <w:semiHidden/>
    <w:rsid w:val="003949B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949B2"/>
    <w:rPr>
      <w:vertAlign w:val="superscript"/>
    </w:rPr>
  </w:style>
  <w:style w:type="paragraph" w:customStyle="1" w:styleId="Appelnotedebasde">
    <w:name w:val="Appel note de bas de..."/>
    <w:basedOn w:val="Normal"/>
    <w:link w:val="Refdenotaalpie"/>
    <w:uiPriority w:val="99"/>
    <w:rsid w:val="003949B2"/>
    <w:pPr>
      <w:spacing w:line="240" w:lineRule="exact"/>
    </w:pPr>
    <w:rPr>
      <w:vertAlign w:val="superscript"/>
    </w:rPr>
  </w:style>
  <w:style w:type="paragraph" w:customStyle="1" w:styleId="Normal11pt">
    <w:name w:val="Normal + 11 pt"/>
    <w:aliases w:val="Negro,Justificado,Izquierda:  -0,95 cm,Derecha:  0,04 cm"/>
    <w:basedOn w:val="Normal"/>
    <w:uiPriority w:val="99"/>
    <w:rsid w:val="003949B2"/>
    <w:pPr>
      <w:spacing w:after="0" w:line="240" w:lineRule="auto"/>
      <w:ind w:left="-540"/>
      <w:jc w:val="both"/>
    </w:pPr>
    <w:rPr>
      <w:rFonts w:ascii="Arial" w:eastAsia="Times New Roman" w:hAnsi="Arial" w:cs="Arial"/>
      <w:color w:val="000000"/>
      <w:lang w:val="es-ES_tradnl"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A6CF6"/>
    <w:pPr>
      <w:spacing w:before="120" w:after="120" w:line="276" w:lineRule="auto"/>
      <w:ind w:left="720"/>
      <w:contextualSpacing/>
      <w:jc w:val="both"/>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A6CF6"/>
    <w:rPr>
      <w:sz w:val="24"/>
      <w:lang w:val="es-MX"/>
    </w:rPr>
  </w:style>
  <w:style w:type="character" w:styleId="Refdecomentario">
    <w:name w:val="annotation reference"/>
    <w:basedOn w:val="Fuentedeprrafopredeter"/>
    <w:uiPriority w:val="99"/>
    <w:semiHidden/>
    <w:unhideWhenUsed/>
    <w:rsid w:val="00416F6A"/>
    <w:rPr>
      <w:sz w:val="16"/>
      <w:szCs w:val="16"/>
    </w:rPr>
  </w:style>
  <w:style w:type="paragraph" w:styleId="Textocomentario">
    <w:name w:val="annotation text"/>
    <w:basedOn w:val="Normal"/>
    <w:link w:val="TextocomentarioCar"/>
    <w:uiPriority w:val="99"/>
    <w:semiHidden/>
    <w:unhideWhenUsed/>
    <w:rsid w:val="00416F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6F6A"/>
    <w:rPr>
      <w:sz w:val="20"/>
      <w:szCs w:val="20"/>
    </w:rPr>
  </w:style>
  <w:style w:type="paragraph" w:styleId="Asuntodelcomentario">
    <w:name w:val="annotation subject"/>
    <w:basedOn w:val="Textocomentario"/>
    <w:next w:val="Textocomentario"/>
    <w:link w:val="AsuntodelcomentarioCar"/>
    <w:uiPriority w:val="99"/>
    <w:semiHidden/>
    <w:unhideWhenUsed/>
    <w:rsid w:val="00416F6A"/>
    <w:rPr>
      <w:b/>
      <w:bCs/>
    </w:rPr>
  </w:style>
  <w:style w:type="character" w:customStyle="1" w:styleId="AsuntodelcomentarioCar">
    <w:name w:val="Asunto del comentario Car"/>
    <w:basedOn w:val="TextocomentarioCar"/>
    <w:link w:val="Asuntodelcomentario"/>
    <w:uiPriority w:val="99"/>
    <w:semiHidden/>
    <w:rsid w:val="00416F6A"/>
    <w:rPr>
      <w:b/>
      <w:bCs/>
      <w:sz w:val="20"/>
      <w:szCs w:val="20"/>
    </w:rPr>
  </w:style>
  <w:style w:type="paragraph" w:styleId="Revisin">
    <w:name w:val="Revision"/>
    <w:hidden/>
    <w:uiPriority w:val="99"/>
    <w:semiHidden/>
    <w:rsid w:val="003B11F5"/>
    <w:pPr>
      <w:spacing w:after="0" w:line="240" w:lineRule="auto"/>
    </w:pPr>
  </w:style>
  <w:style w:type="paragraph" w:customStyle="1" w:styleId="Textonotapie1">
    <w:name w:val="Texto nota pie1"/>
    <w:basedOn w:val="Normal"/>
    <w:next w:val="Textonotapie"/>
    <w:uiPriority w:val="99"/>
    <w:semiHidden/>
    <w:unhideWhenUsed/>
    <w:rsid w:val="0057499C"/>
    <w:pPr>
      <w:spacing w:after="0" w:line="240" w:lineRule="auto"/>
      <w:jc w:val="both"/>
    </w:pPr>
    <w:rPr>
      <w:rFonts w:ascii="Arial" w:hAnsi="Arial"/>
      <w:sz w:val="20"/>
      <w:szCs w:val="20"/>
      <w:lang w:val="es-ES"/>
    </w:rPr>
  </w:style>
  <w:style w:type="character" w:styleId="Hipervnculo">
    <w:name w:val="Hyperlink"/>
    <w:basedOn w:val="Fuentedeprrafopredeter"/>
    <w:uiPriority w:val="99"/>
    <w:unhideWhenUsed/>
    <w:rsid w:val="00574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12690">
      <w:bodyDiv w:val="1"/>
      <w:marLeft w:val="0"/>
      <w:marRight w:val="0"/>
      <w:marTop w:val="0"/>
      <w:marBottom w:val="0"/>
      <w:divBdr>
        <w:top w:val="none" w:sz="0" w:space="0" w:color="auto"/>
        <w:left w:val="none" w:sz="0" w:space="0" w:color="auto"/>
        <w:bottom w:val="none" w:sz="0" w:space="0" w:color="auto"/>
        <w:right w:val="none" w:sz="0" w:space="0" w:color="auto"/>
      </w:divBdr>
      <w:divsChild>
        <w:div w:id="215893973">
          <w:marLeft w:val="0"/>
          <w:marRight w:val="0"/>
          <w:marTop w:val="0"/>
          <w:marBottom w:val="0"/>
          <w:divBdr>
            <w:top w:val="none" w:sz="0" w:space="0" w:color="auto"/>
            <w:left w:val="none" w:sz="0" w:space="0" w:color="auto"/>
            <w:bottom w:val="none" w:sz="0" w:space="0" w:color="auto"/>
            <w:right w:val="none" w:sz="0" w:space="0" w:color="auto"/>
          </w:divBdr>
          <w:divsChild>
            <w:div w:id="1908105680">
              <w:marLeft w:val="0"/>
              <w:marRight w:val="0"/>
              <w:marTop w:val="0"/>
              <w:marBottom w:val="0"/>
              <w:divBdr>
                <w:top w:val="none" w:sz="0" w:space="0" w:color="auto"/>
                <w:left w:val="none" w:sz="0" w:space="0" w:color="auto"/>
                <w:bottom w:val="none" w:sz="0" w:space="0" w:color="auto"/>
                <w:right w:val="none" w:sz="0" w:space="0" w:color="auto"/>
              </w:divBdr>
            </w:div>
          </w:divsChild>
        </w:div>
        <w:div w:id="846165753">
          <w:marLeft w:val="0"/>
          <w:marRight w:val="0"/>
          <w:marTop w:val="0"/>
          <w:marBottom w:val="0"/>
          <w:divBdr>
            <w:top w:val="none" w:sz="0" w:space="0" w:color="auto"/>
            <w:left w:val="none" w:sz="0" w:space="0" w:color="auto"/>
            <w:bottom w:val="none" w:sz="0" w:space="0" w:color="auto"/>
            <w:right w:val="none" w:sz="0" w:space="0" w:color="auto"/>
          </w:divBdr>
          <w:divsChild>
            <w:div w:id="1162819127">
              <w:marLeft w:val="0"/>
              <w:marRight w:val="0"/>
              <w:marTop w:val="0"/>
              <w:marBottom w:val="0"/>
              <w:divBdr>
                <w:top w:val="none" w:sz="0" w:space="0" w:color="auto"/>
                <w:left w:val="none" w:sz="0" w:space="0" w:color="auto"/>
                <w:bottom w:val="none" w:sz="0" w:space="0" w:color="auto"/>
                <w:right w:val="none" w:sz="0" w:space="0" w:color="auto"/>
              </w:divBdr>
            </w:div>
            <w:div w:id="49547940">
              <w:marLeft w:val="0"/>
              <w:marRight w:val="0"/>
              <w:marTop w:val="0"/>
              <w:marBottom w:val="0"/>
              <w:divBdr>
                <w:top w:val="none" w:sz="0" w:space="0" w:color="auto"/>
                <w:left w:val="none" w:sz="0" w:space="0" w:color="auto"/>
                <w:bottom w:val="none" w:sz="0" w:space="0" w:color="auto"/>
                <w:right w:val="none" w:sz="0" w:space="0" w:color="auto"/>
              </w:divBdr>
            </w:div>
          </w:divsChild>
        </w:div>
        <w:div w:id="379475703">
          <w:marLeft w:val="0"/>
          <w:marRight w:val="0"/>
          <w:marTop w:val="0"/>
          <w:marBottom w:val="0"/>
          <w:divBdr>
            <w:top w:val="none" w:sz="0" w:space="0" w:color="auto"/>
            <w:left w:val="none" w:sz="0" w:space="0" w:color="auto"/>
            <w:bottom w:val="none" w:sz="0" w:space="0" w:color="auto"/>
            <w:right w:val="none" w:sz="0" w:space="0" w:color="auto"/>
          </w:divBdr>
          <w:divsChild>
            <w:div w:id="1680307082">
              <w:marLeft w:val="0"/>
              <w:marRight w:val="0"/>
              <w:marTop w:val="0"/>
              <w:marBottom w:val="0"/>
              <w:divBdr>
                <w:top w:val="none" w:sz="0" w:space="0" w:color="auto"/>
                <w:left w:val="none" w:sz="0" w:space="0" w:color="auto"/>
                <w:bottom w:val="none" w:sz="0" w:space="0" w:color="auto"/>
                <w:right w:val="none" w:sz="0" w:space="0" w:color="auto"/>
              </w:divBdr>
            </w:div>
          </w:divsChild>
        </w:div>
        <w:div w:id="1694528716">
          <w:marLeft w:val="0"/>
          <w:marRight w:val="0"/>
          <w:marTop w:val="0"/>
          <w:marBottom w:val="0"/>
          <w:divBdr>
            <w:top w:val="none" w:sz="0" w:space="0" w:color="auto"/>
            <w:left w:val="none" w:sz="0" w:space="0" w:color="auto"/>
            <w:bottom w:val="none" w:sz="0" w:space="0" w:color="auto"/>
            <w:right w:val="none" w:sz="0" w:space="0" w:color="auto"/>
          </w:divBdr>
          <w:divsChild>
            <w:div w:id="1576236719">
              <w:marLeft w:val="0"/>
              <w:marRight w:val="0"/>
              <w:marTop w:val="0"/>
              <w:marBottom w:val="0"/>
              <w:divBdr>
                <w:top w:val="none" w:sz="0" w:space="0" w:color="auto"/>
                <w:left w:val="none" w:sz="0" w:space="0" w:color="auto"/>
                <w:bottom w:val="none" w:sz="0" w:space="0" w:color="auto"/>
                <w:right w:val="none" w:sz="0" w:space="0" w:color="auto"/>
              </w:divBdr>
            </w:div>
            <w:div w:id="1074349971">
              <w:marLeft w:val="0"/>
              <w:marRight w:val="0"/>
              <w:marTop w:val="0"/>
              <w:marBottom w:val="0"/>
              <w:divBdr>
                <w:top w:val="none" w:sz="0" w:space="0" w:color="auto"/>
                <w:left w:val="none" w:sz="0" w:space="0" w:color="auto"/>
                <w:bottom w:val="none" w:sz="0" w:space="0" w:color="auto"/>
                <w:right w:val="none" w:sz="0" w:space="0" w:color="auto"/>
              </w:divBdr>
            </w:div>
          </w:divsChild>
        </w:div>
        <w:div w:id="1472863419">
          <w:marLeft w:val="0"/>
          <w:marRight w:val="0"/>
          <w:marTop w:val="0"/>
          <w:marBottom w:val="0"/>
          <w:divBdr>
            <w:top w:val="none" w:sz="0" w:space="0" w:color="auto"/>
            <w:left w:val="none" w:sz="0" w:space="0" w:color="auto"/>
            <w:bottom w:val="none" w:sz="0" w:space="0" w:color="auto"/>
            <w:right w:val="none" w:sz="0" w:space="0" w:color="auto"/>
          </w:divBdr>
          <w:divsChild>
            <w:div w:id="1334915598">
              <w:marLeft w:val="0"/>
              <w:marRight w:val="0"/>
              <w:marTop w:val="0"/>
              <w:marBottom w:val="0"/>
              <w:divBdr>
                <w:top w:val="none" w:sz="0" w:space="0" w:color="auto"/>
                <w:left w:val="none" w:sz="0" w:space="0" w:color="auto"/>
                <w:bottom w:val="none" w:sz="0" w:space="0" w:color="auto"/>
                <w:right w:val="none" w:sz="0" w:space="0" w:color="auto"/>
              </w:divBdr>
            </w:div>
          </w:divsChild>
        </w:div>
        <w:div w:id="114566091">
          <w:marLeft w:val="0"/>
          <w:marRight w:val="0"/>
          <w:marTop w:val="0"/>
          <w:marBottom w:val="0"/>
          <w:divBdr>
            <w:top w:val="none" w:sz="0" w:space="0" w:color="auto"/>
            <w:left w:val="none" w:sz="0" w:space="0" w:color="auto"/>
            <w:bottom w:val="none" w:sz="0" w:space="0" w:color="auto"/>
            <w:right w:val="none" w:sz="0" w:space="0" w:color="auto"/>
          </w:divBdr>
          <w:divsChild>
            <w:div w:id="958338759">
              <w:marLeft w:val="0"/>
              <w:marRight w:val="0"/>
              <w:marTop w:val="0"/>
              <w:marBottom w:val="0"/>
              <w:divBdr>
                <w:top w:val="none" w:sz="0" w:space="0" w:color="auto"/>
                <w:left w:val="none" w:sz="0" w:space="0" w:color="auto"/>
                <w:bottom w:val="none" w:sz="0" w:space="0" w:color="auto"/>
                <w:right w:val="none" w:sz="0" w:space="0" w:color="auto"/>
              </w:divBdr>
            </w:div>
            <w:div w:id="19092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ulturarecreacionydeporte.gov.co/es/bogotanitos/bogodatos/las-plazas-de-mercado-de-bog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E76097-3E2D-43C1-B9B8-A8F25BA3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BCC5-4058-46B9-AC49-C7B8CAB7CEA5}">
  <ds:schemaRefs>
    <ds:schemaRef ds:uri="http://schemas.microsoft.com/sharepoint/v3/contenttype/forms"/>
  </ds:schemaRefs>
</ds:datastoreItem>
</file>

<file path=customXml/itemProps3.xml><?xml version="1.0" encoding="utf-8"?>
<ds:datastoreItem xmlns:ds="http://schemas.openxmlformats.org/officeDocument/2006/customXml" ds:itemID="{F2859124-59B2-4EBD-A674-604195100C62}">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8200</Words>
  <Characters>45106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Nina María Padrón</cp:lastModifiedBy>
  <cp:revision>2</cp:revision>
  <dcterms:created xsi:type="dcterms:W3CDTF">2022-07-14T15:05:00Z</dcterms:created>
  <dcterms:modified xsi:type="dcterms:W3CDTF">2022-07-14T15:05:00Z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