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BC39" w14:textId="77777777" w:rsidR="00DD3396" w:rsidRPr="0008465D" w:rsidRDefault="00DD3396" w:rsidP="00DD3396">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5A070154" w14:textId="77777777" w:rsidR="008B685E" w:rsidRPr="00F35189" w:rsidRDefault="008B685E" w:rsidP="008B685E">
      <w:pPr>
        <w:jc w:val="both"/>
        <w:rPr>
          <w:rFonts w:ascii="Arial" w:eastAsia="Calibri" w:hAnsi="Arial" w:cs="Arial"/>
          <w:b/>
          <w:bCs/>
          <w:sz w:val="20"/>
          <w:szCs w:val="20"/>
        </w:rPr>
      </w:pPr>
      <w:r w:rsidRPr="00F35189">
        <w:rPr>
          <w:rFonts w:ascii="Arial" w:eastAsia="Calibri" w:hAnsi="Arial" w:cs="Arial"/>
          <w:b/>
          <w:bCs/>
          <w:sz w:val="20"/>
          <w:szCs w:val="20"/>
        </w:rPr>
        <w:t xml:space="preserve">DOCUMENTOS TIPO – Obligatoriedad </w:t>
      </w:r>
    </w:p>
    <w:p w14:paraId="59CAC9C2" w14:textId="77777777" w:rsidR="008B685E" w:rsidRPr="00F35189" w:rsidRDefault="008B685E" w:rsidP="008B685E">
      <w:pPr>
        <w:pStyle w:val="Normal11pt"/>
        <w:spacing w:line="276" w:lineRule="auto"/>
        <w:ind w:left="0"/>
        <w:rPr>
          <w:sz w:val="20"/>
          <w:szCs w:val="20"/>
        </w:rPr>
      </w:pPr>
    </w:p>
    <w:p w14:paraId="53AAF3F0" w14:textId="77777777" w:rsidR="008B685E" w:rsidRPr="00F35189" w:rsidRDefault="008B685E" w:rsidP="008B685E">
      <w:pPr>
        <w:pStyle w:val="Normal11pt"/>
        <w:ind w:left="0"/>
        <w:rPr>
          <w:rFonts w:eastAsia="Calibri"/>
          <w:color w:val="auto"/>
          <w:sz w:val="20"/>
          <w:szCs w:val="20"/>
          <w:lang w:val="es-ES"/>
        </w:rPr>
      </w:pPr>
      <w:r w:rsidRPr="00F35189">
        <w:rPr>
          <w:sz w:val="20"/>
          <w:szCs w:val="20"/>
        </w:rPr>
        <w:t xml:space="preserve">La Ley 2022 de 2020 «Por la cual modifica el artículo 4 de la ley 1882 de 2018 y se dictan otras disposiciones». En su artículo 1, esta norma modificó el Articulo 4 de la Ley 1882 de 2018, estableciendo a cargo de esta Agencia la adopción de documentos tipo que serán de obligatorio cumplimiento en la actividad contractual de todas las entidades sometidas al Estatuto General de Contratación de la Administración Pública. </w:t>
      </w:r>
      <w:r w:rsidRPr="00F35189">
        <w:rPr>
          <w:rFonts w:eastAsia="Calibri"/>
          <w:color w:val="auto"/>
          <w:sz w:val="20"/>
          <w:szCs w:val="20"/>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605D1D92" w14:textId="77777777" w:rsidR="008B685E" w:rsidRPr="00F35189" w:rsidRDefault="008B685E" w:rsidP="008B685E">
      <w:pPr>
        <w:jc w:val="both"/>
        <w:rPr>
          <w:rFonts w:ascii="Arial" w:eastAsia="Calibri" w:hAnsi="Arial" w:cs="Arial"/>
          <w:b/>
          <w:bCs/>
          <w:sz w:val="20"/>
          <w:szCs w:val="20"/>
        </w:rPr>
      </w:pPr>
    </w:p>
    <w:p w14:paraId="6F444CA4" w14:textId="77777777" w:rsidR="008B685E" w:rsidRPr="00F35189" w:rsidRDefault="008B685E" w:rsidP="008B685E">
      <w:pPr>
        <w:jc w:val="both"/>
        <w:rPr>
          <w:rFonts w:ascii="Arial" w:eastAsia="Calibri" w:hAnsi="Arial" w:cs="Arial"/>
          <w:b/>
          <w:bCs/>
          <w:sz w:val="20"/>
          <w:szCs w:val="20"/>
        </w:rPr>
      </w:pPr>
      <w:r w:rsidRPr="00F35189">
        <w:rPr>
          <w:rFonts w:ascii="Arial" w:eastAsia="Calibri" w:hAnsi="Arial" w:cs="Arial"/>
          <w:b/>
          <w:bCs/>
          <w:sz w:val="20"/>
          <w:szCs w:val="20"/>
        </w:rPr>
        <w:t xml:space="preserve">DOCUMENTO TIPO DE INFRAESTRUCTURA SOCIAL – Generalidades </w:t>
      </w:r>
    </w:p>
    <w:p w14:paraId="2A3D3148" w14:textId="77777777" w:rsidR="008B685E" w:rsidRPr="00F35189" w:rsidRDefault="008B685E" w:rsidP="008B685E">
      <w:pPr>
        <w:jc w:val="both"/>
        <w:rPr>
          <w:rFonts w:ascii="Arial" w:eastAsia="Calibri" w:hAnsi="Arial" w:cs="Arial"/>
          <w:b/>
          <w:bCs/>
          <w:color w:val="000000" w:themeColor="text1"/>
          <w:sz w:val="20"/>
          <w:szCs w:val="20"/>
        </w:rPr>
      </w:pPr>
    </w:p>
    <w:p w14:paraId="27E2921E" w14:textId="514F3CCB" w:rsidR="002A64A3" w:rsidRPr="00F35189" w:rsidRDefault="008B685E" w:rsidP="002A64A3">
      <w:pPr>
        <w:pStyle w:val="Normal11pt"/>
        <w:spacing w:after="120"/>
        <w:ind w:left="0"/>
        <w:rPr>
          <w:rFonts w:eastAsia="Calibri"/>
          <w:color w:val="auto"/>
          <w:sz w:val="20"/>
          <w:szCs w:val="20"/>
          <w:lang w:val="es-ES"/>
        </w:rPr>
      </w:pPr>
      <w:r w:rsidRPr="00F35189">
        <w:rPr>
          <w:rFonts w:eastAsia="Calibri"/>
          <w:color w:val="000000" w:themeColor="text1"/>
          <w:sz w:val="20"/>
          <w:szCs w:val="20"/>
          <w:lang w:val="es-ES"/>
        </w:rPr>
        <w:t xml:space="preserve">[…] </w:t>
      </w:r>
      <w:r w:rsidR="002A64A3" w:rsidRPr="00F35189">
        <w:rPr>
          <w:rFonts w:eastAsia="Calibri"/>
          <w:color w:val="auto"/>
          <w:sz w:val="20"/>
          <w:szCs w:val="20"/>
          <w:lang w:val="es-ES"/>
        </w:rPr>
        <w:t xml:space="preserve">mediante la Resolución 219 del 6 de agosto de 2021, fueron concebidos como unos </w:t>
      </w:r>
      <w:r w:rsidR="002A64A3" w:rsidRPr="00F35189">
        <w:rPr>
          <w:rFonts w:eastAsia="Calibri"/>
          <w:i/>
          <w:iCs/>
          <w:color w:val="auto"/>
          <w:sz w:val="20"/>
          <w:szCs w:val="20"/>
          <w:lang w:val="es-ES"/>
        </w:rPr>
        <w:t>documentos tipo marco o transversales</w:t>
      </w:r>
      <w:r w:rsidR="002A64A3" w:rsidRPr="00F35189">
        <w:rPr>
          <w:rFonts w:eastAsia="Calibri"/>
          <w:color w:val="auto"/>
          <w:sz w:val="20"/>
          <w:szCs w:val="20"/>
          <w:lang w:val="es-ES"/>
        </w:rPr>
        <w:t xml:space="preserve">, en la medida que el documento base, formatos, matrices y anexos implementados mediante la misma, serán aplicables a la contratación de obras en la modalidad de licitación pública, relacionadas con tres sectores que se integran el concepto de infraestructura social, a saber: i) educación, </w:t>
      </w:r>
      <w:proofErr w:type="spellStart"/>
      <w:r w:rsidR="002A64A3" w:rsidRPr="00F35189">
        <w:rPr>
          <w:rFonts w:eastAsia="Calibri"/>
          <w:color w:val="auto"/>
          <w:sz w:val="20"/>
          <w:szCs w:val="20"/>
          <w:lang w:val="es-ES"/>
        </w:rPr>
        <w:t>ii</w:t>
      </w:r>
      <w:proofErr w:type="spellEnd"/>
      <w:r w:rsidR="002A64A3" w:rsidRPr="00F35189">
        <w:rPr>
          <w:rFonts w:eastAsia="Calibri"/>
          <w:color w:val="auto"/>
          <w:sz w:val="20"/>
          <w:szCs w:val="20"/>
          <w:lang w:val="es-ES"/>
        </w:rPr>
        <w:t xml:space="preserve">) salud </w:t>
      </w:r>
      <w:proofErr w:type="gramStart"/>
      <w:r w:rsidR="002A64A3" w:rsidRPr="00F35189">
        <w:rPr>
          <w:rFonts w:eastAsia="Calibri"/>
          <w:color w:val="auto"/>
          <w:sz w:val="20"/>
          <w:szCs w:val="20"/>
          <w:lang w:val="es-ES"/>
        </w:rPr>
        <w:t xml:space="preserve">y  </w:t>
      </w:r>
      <w:proofErr w:type="spellStart"/>
      <w:r w:rsidR="002A64A3" w:rsidRPr="00F35189">
        <w:rPr>
          <w:rFonts w:eastAsia="Calibri"/>
          <w:color w:val="auto"/>
          <w:sz w:val="20"/>
          <w:szCs w:val="20"/>
          <w:lang w:val="es-ES"/>
        </w:rPr>
        <w:t>iii</w:t>
      </w:r>
      <w:proofErr w:type="spellEnd"/>
      <w:proofErr w:type="gramEnd"/>
      <w:r w:rsidR="002A64A3" w:rsidRPr="00F35189">
        <w:rPr>
          <w:rFonts w:eastAsia="Calibri"/>
          <w:color w:val="auto"/>
          <w:sz w:val="20"/>
          <w:szCs w:val="20"/>
          <w:lang w:val="es-ES"/>
        </w:rPr>
        <w:t xml:space="preserve">) recreación, cultura y deporte. La aplicación de estos documentos tipo debe ser complementada con los </w:t>
      </w:r>
      <w:r w:rsidR="002A64A3" w:rsidRPr="00F35189">
        <w:rPr>
          <w:rFonts w:eastAsia="Calibri"/>
          <w:i/>
          <w:iCs/>
          <w:color w:val="auto"/>
          <w:sz w:val="20"/>
          <w:szCs w:val="20"/>
          <w:lang w:val="es-ES"/>
        </w:rPr>
        <w:t>documentos tipo complementarios</w:t>
      </w:r>
      <w:r w:rsidR="002A64A3" w:rsidRPr="00F35189">
        <w:rPr>
          <w:rFonts w:eastAsia="Calibri"/>
          <w:color w:val="auto"/>
          <w:sz w:val="20"/>
          <w:szCs w:val="20"/>
          <w:lang w:val="es-ES"/>
        </w:rPr>
        <w:t xml:space="preserve"> que deben expedir para cada sector, consistentes en las matrices de experiencia y anexos técnicos de cada </w:t>
      </w:r>
      <w:r w:rsidR="001E528E">
        <w:rPr>
          <w:rFonts w:eastAsia="Calibri"/>
          <w:color w:val="auto"/>
          <w:sz w:val="20"/>
          <w:szCs w:val="20"/>
          <w:lang w:val="es-ES"/>
        </w:rPr>
        <w:t>uno de ellos.</w:t>
      </w:r>
      <w:r w:rsidR="002A64A3" w:rsidRPr="00F35189">
        <w:rPr>
          <w:rFonts w:eastAsia="Calibri"/>
          <w:color w:val="auto"/>
          <w:sz w:val="20"/>
          <w:szCs w:val="20"/>
          <w:lang w:val="es-ES"/>
        </w:rPr>
        <w:t xml:space="preserve"> </w:t>
      </w:r>
    </w:p>
    <w:p w14:paraId="3A0C6151" w14:textId="24ABDD71" w:rsidR="002A64A3" w:rsidRPr="00F35189" w:rsidRDefault="002A64A3" w:rsidP="002A64A3">
      <w:pPr>
        <w:pStyle w:val="Normal11pt"/>
        <w:ind w:left="0"/>
        <w:rPr>
          <w:rFonts w:eastAsia="Calibri"/>
          <w:color w:val="auto"/>
          <w:sz w:val="20"/>
          <w:szCs w:val="20"/>
          <w:lang w:val="es-ES"/>
        </w:rPr>
      </w:pPr>
      <w:r w:rsidRPr="00F35189">
        <w:rPr>
          <w:rFonts w:eastAsia="Calibri"/>
          <w:color w:val="auto"/>
          <w:sz w:val="20"/>
          <w:szCs w:val="20"/>
          <w:lang w:val="es-ES"/>
        </w:rPr>
        <w:t>En este orden de ideas, la Agencia ha expedido tres documentos tipo complementarios de infraestructura social. A saber,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la Resolución 454 de 2021 del 16 de diciembre de 2021, “Por la cual se adoptan los documentos tipo complementarios para los procesos de licitación de obra pública de infraestructura social relacionados con el Sector cultura, recreación y deporte”.</w:t>
      </w:r>
    </w:p>
    <w:p w14:paraId="705AF9FC" w14:textId="77777777" w:rsidR="002A64A3" w:rsidRPr="00F35189" w:rsidRDefault="002A64A3" w:rsidP="002A64A3">
      <w:pPr>
        <w:pStyle w:val="Normal11pt"/>
        <w:ind w:left="0"/>
        <w:rPr>
          <w:rFonts w:eastAsia="Calibri"/>
          <w:color w:val="auto"/>
          <w:sz w:val="20"/>
          <w:szCs w:val="20"/>
          <w:lang w:val="es-ES"/>
        </w:rPr>
      </w:pPr>
    </w:p>
    <w:p w14:paraId="78045FD0" w14:textId="7D67918A" w:rsidR="008B685E" w:rsidRPr="00F35189" w:rsidRDefault="008B685E" w:rsidP="002A64A3">
      <w:pPr>
        <w:jc w:val="both"/>
        <w:rPr>
          <w:rFonts w:ascii="Arial" w:eastAsia="Calibri" w:hAnsi="Arial" w:cs="Arial"/>
          <w:b/>
          <w:sz w:val="20"/>
          <w:szCs w:val="20"/>
          <w:lang w:val="es-MX"/>
        </w:rPr>
      </w:pPr>
      <w:r w:rsidRPr="00F35189">
        <w:rPr>
          <w:rFonts w:ascii="Arial" w:eastAsia="Calibri" w:hAnsi="Arial" w:cs="Arial"/>
          <w:b/>
          <w:sz w:val="20"/>
          <w:szCs w:val="20"/>
          <w:lang w:val="es-MX"/>
        </w:rPr>
        <w:t xml:space="preserve">OBRA PÚBLICA – </w:t>
      </w:r>
      <w:r w:rsidR="002A64A3" w:rsidRPr="00F35189">
        <w:rPr>
          <w:rFonts w:ascii="Arial" w:eastAsia="Calibri" w:hAnsi="Arial" w:cs="Arial"/>
          <w:b/>
          <w:sz w:val="20"/>
          <w:szCs w:val="20"/>
          <w:lang w:val="es-MX"/>
        </w:rPr>
        <w:t xml:space="preserve">Definición – Objeto </w:t>
      </w:r>
    </w:p>
    <w:p w14:paraId="16E75821" w14:textId="7C8F4FC0" w:rsidR="002A64A3" w:rsidRPr="00F35189" w:rsidRDefault="002A64A3" w:rsidP="002A64A3">
      <w:pPr>
        <w:spacing w:before="120" w:after="120"/>
        <w:jc w:val="both"/>
        <w:rPr>
          <w:rFonts w:ascii="Arial" w:eastAsia="Calibri" w:hAnsi="Arial" w:cs="Arial"/>
          <w:sz w:val="20"/>
          <w:szCs w:val="20"/>
          <w:lang w:val="es-ES_tradnl"/>
        </w:rPr>
      </w:pPr>
      <w:r w:rsidRPr="00F35189">
        <w:rPr>
          <w:rFonts w:ascii="Arial" w:eastAsia="Calibri" w:hAnsi="Arial" w:cs="Arial"/>
          <w:sz w:val="20"/>
          <w:szCs w:val="20"/>
          <w:lang w:val="es-ES_tradnl"/>
        </w:rPr>
        <w:t xml:space="preserve">En efecto, 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 «Puede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 Así como en el arrendamiento de cosas, el arrendador es obligado a suministrar el goce de la cosa, en el arrendamiento de obras es obligado a la ejecución de una obra material; mediante este contrato, el arrendador va a poner su trabajo al </w:t>
      </w:r>
      <w:r w:rsidRPr="00F35189">
        <w:rPr>
          <w:rFonts w:ascii="Arial" w:eastAsia="Calibri" w:hAnsi="Arial" w:cs="Arial"/>
          <w:sz w:val="20"/>
          <w:szCs w:val="20"/>
          <w:lang w:val="es-ES_tradnl"/>
        </w:rPr>
        <w:lastRenderedPageBreak/>
        <w:t xml:space="preserve">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  </w:t>
      </w:r>
    </w:p>
    <w:p w14:paraId="442CAC26" w14:textId="77777777" w:rsidR="002A64A3" w:rsidRPr="0008465D" w:rsidRDefault="002A64A3" w:rsidP="002A64A3">
      <w:pPr>
        <w:spacing w:line="276" w:lineRule="auto"/>
        <w:ind w:left="709" w:right="709"/>
        <w:jc w:val="both"/>
        <w:rPr>
          <w:rFonts w:ascii="Arial" w:eastAsia="Calibri" w:hAnsi="Arial" w:cs="Arial"/>
          <w:sz w:val="21"/>
          <w:szCs w:val="21"/>
          <w:lang w:val="es-ES_tradnl"/>
        </w:rPr>
      </w:pPr>
      <w:r w:rsidRPr="0008465D">
        <w:rPr>
          <w:rFonts w:ascii="Arial" w:eastAsia="Calibri" w:hAnsi="Arial" w:cs="Arial"/>
          <w:sz w:val="21"/>
          <w:szCs w:val="21"/>
          <w:lang w:val="es-ES_tradnl"/>
        </w:rPr>
        <w:t xml:space="preserve">    </w:t>
      </w:r>
    </w:p>
    <w:p w14:paraId="45B47450" w14:textId="77777777" w:rsidR="002A64A3" w:rsidRPr="008B685E" w:rsidRDefault="002A64A3" w:rsidP="002A64A3">
      <w:pPr>
        <w:jc w:val="both"/>
        <w:rPr>
          <w:rFonts w:ascii="Arial" w:eastAsia="Calibri" w:hAnsi="Arial" w:cs="Arial"/>
          <w:b/>
          <w:lang w:val="es-MX"/>
        </w:rPr>
      </w:pPr>
    </w:p>
    <w:p w14:paraId="24469663" w14:textId="6C9BCDD8" w:rsidR="00DD3396" w:rsidRDefault="00DD3396" w:rsidP="00DD3396">
      <w:pPr>
        <w:rPr>
          <w:rFonts w:ascii="Arial" w:eastAsia="Calibri" w:hAnsi="Arial" w:cs="Arial"/>
          <w:b/>
          <w:bCs/>
          <w:sz w:val="22"/>
        </w:rPr>
      </w:pPr>
    </w:p>
    <w:p w14:paraId="3034C038" w14:textId="72BEFBC8" w:rsidR="00E24028" w:rsidRDefault="00E24028" w:rsidP="00DD3396">
      <w:pPr>
        <w:rPr>
          <w:rFonts w:ascii="Arial" w:eastAsia="Calibri" w:hAnsi="Arial" w:cs="Arial"/>
          <w:b/>
          <w:bCs/>
          <w:sz w:val="22"/>
        </w:rPr>
      </w:pPr>
    </w:p>
    <w:p w14:paraId="23CE26E3" w14:textId="36B6966D" w:rsidR="00E24028" w:rsidRDefault="00E24028" w:rsidP="00DD3396">
      <w:pPr>
        <w:rPr>
          <w:rFonts w:ascii="Arial" w:eastAsia="Calibri" w:hAnsi="Arial" w:cs="Arial"/>
          <w:b/>
          <w:bCs/>
          <w:sz w:val="22"/>
        </w:rPr>
      </w:pPr>
    </w:p>
    <w:p w14:paraId="15B5A3C6" w14:textId="7458A40A" w:rsidR="00E24028" w:rsidRDefault="00E24028" w:rsidP="00DD3396">
      <w:pPr>
        <w:rPr>
          <w:rFonts w:ascii="Arial" w:eastAsia="Calibri" w:hAnsi="Arial" w:cs="Arial"/>
          <w:b/>
          <w:bCs/>
          <w:sz w:val="22"/>
        </w:rPr>
      </w:pPr>
    </w:p>
    <w:p w14:paraId="079A0DEB" w14:textId="3C14B4A2" w:rsidR="00E24028" w:rsidRDefault="00E24028" w:rsidP="00DD3396">
      <w:pPr>
        <w:rPr>
          <w:rFonts w:ascii="Arial" w:eastAsia="Calibri" w:hAnsi="Arial" w:cs="Arial"/>
          <w:b/>
          <w:bCs/>
          <w:sz w:val="22"/>
        </w:rPr>
      </w:pPr>
    </w:p>
    <w:p w14:paraId="0162708A" w14:textId="38840EC3" w:rsidR="00E24028" w:rsidRDefault="00E24028" w:rsidP="00DD3396">
      <w:pPr>
        <w:rPr>
          <w:rFonts w:ascii="Arial" w:eastAsia="Calibri" w:hAnsi="Arial" w:cs="Arial"/>
          <w:b/>
          <w:bCs/>
          <w:sz w:val="22"/>
        </w:rPr>
      </w:pPr>
    </w:p>
    <w:p w14:paraId="3D372442" w14:textId="0776DFFB" w:rsidR="00E24028" w:rsidRDefault="00E24028" w:rsidP="00DD3396">
      <w:pPr>
        <w:rPr>
          <w:rFonts w:ascii="Arial" w:eastAsia="Calibri" w:hAnsi="Arial" w:cs="Arial"/>
          <w:b/>
          <w:bCs/>
          <w:sz w:val="22"/>
        </w:rPr>
      </w:pPr>
    </w:p>
    <w:p w14:paraId="767B5827" w14:textId="74F1C44E" w:rsidR="00E24028" w:rsidRDefault="00E24028" w:rsidP="00DD3396">
      <w:pPr>
        <w:rPr>
          <w:rFonts w:ascii="Arial" w:eastAsia="Calibri" w:hAnsi="Arial" w:cs="Arial"/>
          <w:b/>
          <w:bCs/>
          <w:sz w:val="22"/>
        </w:rPr>
      </w:pPr>
    </w:p>
    <w:p w14:paraId="7A04D327" w14:textId="262571E3" w:rsidR="00E24028" w:rsidRDefault="00E24028" w:rsidP="00DD3396">
      <w:pPr>
        <w:rPr>
          <w:rFonts w:ascii="Arial" w:eastAsia="Calibri" w:hAnsi="Arial" w:cs="Arial"/>
          <w:b/>
          <w:bCs/>
          <w:sz w:val="22"/>
        </w:rPr>
      </w:pPr>
    </w:p>
    <w:p w14:paraId="058EC88B" w14:textId="51B01D04" w:rsidR="00E24028" w:rsidRDefault="00E24028" w:rsidP="00DD3396">
      <w:pPr>
        <w:rPr>
          <w:rFonts w:ascii="Arial" w:eastAsia="Calibri" w:hAnsi="Arial" w:cs="Arial"/>
          <w:b/>
          <w:bCs/>
          <w:sz w:val="22"/>
        </w:rPr>
      </w:pPr>
    </w:p>
    <w:p w14:paraId="6C55F5D9" w14:textId="77777777" w:rsidR="00E24028" w:rsidRDefault="00E24028" w:rsidP="00DD3396">
      <w:pPr>
        <w:rPr>
          <w:rFonts w:ascii="Arial" w:eastAsia="Calibri" w:hAnsi="Arial" w:cs="Arial"/>
          <w:sz w:val="22"/>
          <w:szCs w:val="22"/>
          <w:lang w:val="es-ES"/>
        </w:rPr>
      </w:pPr>
    </w:p>
    <w:p w14:paraId="0944B97F" w14:textId="20F360AE" w:rsidR="005939DC" w:rsidRDefault="005939DC" w:rsidP="00DD3396">
      <w:pPr>
        <w:rPr>
          <w:rFonts w:ascii="Arial" w:eastAsia="Calibri" w:hAnsi="Arial" w:cs="Arial"/>
          <w:sz w:val="22"/>
          <w:szCs w:val="22"/>
          <w:lang w:val="es-ES"/>
        </w:rPr>
      </w:pPr>
    </w:p>
    <w:p w14:paraId="33D0A44A" w14:textId="663B83BF" w:rsidR="002A64A3" w:rsidRDefault="002A64A3" w:rsidP="00DD3396">
      <w:pPr>
        <w:rPr>
          <w:rFonts w:ascii="Arial" w:eastAsia="Calibri" w:hAnsi="Arial" w:cs="Arial"/>
          <w:sz w:val="22"/>
          <w:szCs w:val="22"/>
          <w:lang w:val="es-ES"/>
        </w:rPr>
      </w:pPr>
    </w:p>
    <w:p w14:paraId="143A2090" w14:textId="14FFF68D" w:rsidR="002A64A3" w:rsidRDefault="002A64A3" w:rsidP="00DD3396">
      <w:pPr>
        <w:rPr>
          <w:rFonts w:ascii="Arial" w:eastAsia="Calibri" w:hAnsi="Arial" w:cs="Arial"/>
          <w:sz w:val="22"/>
          <w:szCs w:val="22"/>
          <w:lang w:val="es-ES"/>
        </w:rPr>
      </w:pPr>
    </w:p>
    <w:p w14:paraId="3AA24894" w14:textId="7EC728EF" w:rsidR="002A64A3" w:rsidRDefault="002A64A3" w:rsidP="00DD3396">
      <w:pPr>
        <w:rPr>
          <w:rFonts w:ascii="Arial" w:eastAsia="Calibri" w:hAnsi="Arial" w:cs="Arial"/>
          <w:sz w:val="22"/>
          <w:szCs w:val="22"/>
          <w:lang w:val="es-ES"/>
        </w:rPr>
      </w:pPr>
    </w:p>
    <w:p w14:paraId="397A4A7E" w14:textId="23888C62" w:rsidR="002A64A3" w:rsidRDefault="002A64A3" w:rsidP="00DD3396">
      <w:pPr>
        <w:rPr>
          <w:rFonts w:ascii="Arial" w:eastAsia="Calibri" w:hAnsi="Arial" w:cs="Arial"/>
          <w:sz w:val="22"/>
          <w:szCs w:val="22"/>
          <w:lang w:val="es-ES"/>
        </w:rPr>
      </w:pPr>
    </w:p>
    <w:p w14:paraId="487E3F74" w14:textId="2E55134B" w:rsidR="002A64A3" w:rsidRDefault="002A64A3" w:rsidP="00DD3396">
      <w:pPr>
        <w:rPr>
          <w:rFonts w:ascii="Arial" w:eastAsia="Calibri" w:hAnsi="Arial" w:cs="Arial"/>
          <w:sz w:val="22"/>
          <w:szCs w:val="22"/>
          <w:lang w:val="es-ES"/>
        </w:rPr>
      </w:pPr>
    </w:p>
    <w:p w14:paraId="10D1E909" w14:textId="5FE5A801" w:rsidR="002A64A3" w:rsidRDefault="002A64A3" w:rsidP="00DD3396">
      <w:pPr>
        <w:rPr>
          <w:rFonts w:ascii="Arial" w:eastAsia="Calibri" w:hAnsi="Arial" w:cs="Arial"/>
          <w:sz w:val="22"/>
          <w:szCs w:val="22"/>
          <w:lang w:val="es-ES"/>
        </w:rPr>
      </w:pPr>
    </w:p>
    <w:p w14:paraId="086B0EE0" w14:textId="0E26590E" w:rsidR="002A64A3" w:rsidRDefault="002A64A3" w:rsidP="00DD3396">
      <w:pPr>
        <w:rPr>
          <w:rFonts w:ascii="Arial" w:eastAsia="Calibri" w:hAnsi="Arial" w:cs="Arial"/>
          <w:sz w:val="22"/>
          <w:szCs w:val="22"/>
          <w:lang w:val="es-ES"/>
        </w:rPr>
      </w:pPr>
    </w:p>
    <w:p w14:paraId="703331F8" w14:textId="7710E6A9" w:rsidR="002A64A3" w:rsidRDefault="002A64A3" w:rsidP="00DD3396">
      <w:pPr>
        <w:rPr>
          <w:rFonts w:ascii="Arial" w:eastAsia="Calibri" w:hAnsi="Arial" w:cs="Arial"/>
          <w:sz w:val="22"/>
          <w:szCs w:val="22"/>
          <w:lang w:val="es-ES"/>
        </w:rPr>
      </w:pPr>
    </w:p>
    <w:p w14:paraId="5E6DCD11" w14:textId="3560DFC4" w:rsidR="002A64A3" w:rsidRDefault="002A64A3" w:rsidP="00DD3396">
      <w:pPr>
        <w:rPr>
          <w:rFonts w:ascii="Arial" w:eastAsia="Calibri" w:hAnsi="Arial" w:cs="Arial"/>
          <w:sz w:val="22"/>
          <w:szCs w:val="22"/>
          <w:lang w:val="es-ES"/>
        </w:rPr>
      </w:pPr>
    </w:p>
    <w:p w14:paraId="60752CD4" w14:textId="0A45BDED" w:rsidR="002A64A3" w:rsidRDefault="002A64A3" w:rsidP="00DD3396">
      <w:pPr>
        <w:rPr>
          <w:rFonts w:ascii="Arial" w:eastAsia="Calibri" w:hAnsi="Arial" w:cs="Arial"/>
          <w:sz w:val="22"/>
          <w:szCs w:val="22"/>
          <w:lang w:val="es-ES"/>
        </w:rPr>
      </w:pPr>
    </w:p>
    <w:p w14:paraId="3093D8B5" w14:textId="32ED66A8" w:rsidR="002A64A3" w:rsidRDefault="002A64A3" w:rsidP="00DD3396">
      <w:pPr>
        <w:rPr>
          <w:rFonts w:ascii="Arial" w:eastAsia="Calibri" w:hAnsi="Arial" w:cs="Arial"/>
          <w:sz w:val="22"/>
          <w:szCs w:val="22"/>
          <w:lang w:val="es-ES"/>
        </w:rPr>
      </w:pPr>
    </w:p>
    <w:p w14:paraId="5887F8C5" w14:textId="735F912E" w:rsidR="002A64A3" w:rsidRDefault="002A64A3" w:rsidP="00DD3396">
      <w:pPr>
        <w:rPr>
          <w:rFonts w:ascii="Arial" w:eastAsia="Calibri" w:hAnsi="Arial" w:cs="Arial"/>
          <w:sz w:val="22"/>
          <w:szCs w:val="22"/>
          <w:lang w:val="es-ES"/>
        </w:rPr>
      </w:pPr>
    </w:p>
    <w:p w14:paraId="345175F7" w14:textId="34276012" w:rsidR="002A64A3" w:rsidRDefault="002A64A3" w:rsidP="00DD3396">
      <w:pPr>
        <w:rPr>
          <w:rFonts w:ascii="Arial" w:eastAsia="Calibri" w:hAnsi="Arial" w:cs="Arial"/>
          <w:sz w:val="22"/>
          <w:szCs w:val="22"/>
          <w:lang w:val="es-ES"/>
        </w:rPr>
      </w:pPr>
    </w:p>
    <w:p w14:paraId="659D561F" w14:textId="5FFDDD51" w:rsidR="002A64A3" w:rsidRDefault="002A64A3" w:rsidP="00DD3396">
      <w:pPr>
        <w:rPr>
          <w:rFonts w:ascii="Arial" w:eastAsia="Calibri" w:hAnsi="Arial" w:cs="Arial"/>
          <w:sz w:val="22"/>
          <w:szCs w:val="22"/>
          <w:lang w:val="es-ES"/>
        </w:rPr>
      </w:pPr>
    </w:p>
    <w:p w14:paraId="29206882" w14:textId="5B561546" w:rsidR="002A64A3" w:rsidRDefault="002A64A3" w:rsidP="00DD3396">
      <w:pPr>
        <w:rPr>
          <w:rFonts w:ascii="Arial" w:eastAsia="Calibri" w:hAnsi="Arial" w:cs="Arial"/>
          <w:sz w:val="22"/>
          <w:szCs w:val="22"/>
          <w:lang w:val="es-ES"/>
        </w:rPr>
      </w:pPr>
    </w:p>
    <w:p w14:paraId="107AF44D" w14:textId="57FAE797" w:rsidR="002A64A3" w:rsidRDefault="002A64A3" w:rsidP="00DD3396">
      <w:pPr>
        <w:rPr>
          <w:rFonts w:ascii="Arial" w:eastAsia="Calibri" w:hAnsi="Arial" w:cs="Arial"/>
          <w:sz w:val="22"/>
          <w:szCs w:val="22"/>
          <w:lang w:val="es-ES"/>
        </w:rPr>
      </w:pPr>
    </w:p>
    <w:p w14:paraId="4F937FD8" w14:textId="689C6233" w:rsidR="002A64A3" w:rsidRDefault="002A64A3" w:rsidP="00DD3396">
      <w:pPr>
        <w:rPr>
          <w:rFonts w:ascii="Arial" w:eastAsia="Calibri" w:hAnsi="Arial" w:cs="Arial"/>
          <w:sz w:val="22"/>
          <w:szCs w:val="22"/>
          <w:lang w:val="es-ES"/>
        </w:rPr>
      </w:pPr>
    </w:p>
    <w:p w14:paraId="52702B79" w14:textId="34409ED8" w:rsidR="002A64A3" w:rsidRDefault="002A64A3" w:rsidP="00DD3396">
      <w:pPr>
        <w:rPr>
          <w:rFonts w:ascii="Arial" w:eastAsia="Calibri" w:hAnsi="Arial" w:cs="Arial"/>
          <w:sz w:val="22"/>
          <w:szCs w:val="22"/>
          <w:lang w:val="es-ES"/>
        </w:rPr>
      </w:pPr>
    </w:p>
    <w:p w14:paraId="2E1A8ECD" w14:textId="4BE50924" w:rsidR="002A64A3" w:rsidRDefault="002A64A3" w:rsidP="00DD3396">
      <w:pPr>
        <w:rPr>
          <w:rFonts w:ascii="Arial" w:eastAsia="Calibri" w:hAnsi="Arial" w:cs="Arial"/>
          <w:sz w:val="22"/>
          <w:szCs w:val="22"/>
          <w:lang w:val="es-ES"/>
        </w:rPr>
      </w:pPr>
    </w:p>
    <w:p w14:paraId="2C9C8C89" w14:textId="0CC8312D" w:rsidR="002A64A3" w:rsidRDefault="002A64A3" w:rsidP="00DD3396">
      <w:pPr>
        <w:rPr>
          <w:rFonts w:ascii="Arial" w:eastAsia="Calibri" w:hAnsi="Arial" w:cs="Arial"/>
          <w:sz w:val="22"/>
          <w:szCs w:val="22"/>
          <w:lang w:val="es-ES"/>
        </w:rPr>
      </w:pPr>
    </w:p>
    <w:p w14:paraId="771330CF" w14:textId="36446E82" w:rsidR="002A64A3" w:rsidRDefault="002A64A3" w:rsidP="00DD3396">
      <w:pPr>
        <w:rPr>
          <w:rFonts w:ascii="Arial" w:eastAsia="Calibri" w:hAnsi="Arial" w:cs="Arial"/>
          <w:sz w:val="22"/>
          <w:szCs w:val="22"/>
          <w:lang w:val="es-ES"/>
        </w:rPr>
      </w:pPr>
    </w:p>
    <w:p w14:paraId="7A504E0F" w14:textId="75CF97AC" w:rsidR="002A64A3" w:rsidRDefault="002A64A3" w:rsidP="00DD3396">
      <w:pPr>
        <w:rPr>
          <w:rFonts w:ascii="Arial" w:eastAsia="Calibri" w:hAnsi="Arial" w:cs="Arial"/>
          <w:sz w:val="22"/>
          <w:szCs w:val="22"/>
          <w:lang w:val="es-ES"/>
        </w:rPr>
      </w:pPr>
    </w:p>
    <w:p w14:paraId="37FA9600" w14:textId="235942DC" w:rsidR="002A64A3" w:rsidRDefault="002A64A3" w:rsidP="00DD3396">
      <w:pPr>
        <w:rPr>
          <w:rFonts w:ascii="Arial" w:eastAsia="Calibri" w:hAnsi="Arial" w:cs="Arial"/>
          <w:sz w:val="22"/>
          <w:szCs w:val="22"/>
          <w:lang w:val="es-ES"/>
        </w:rPr>
      </w:pPr>
    </w:p>
    <w:p w14:paraId="3266C8FD" w14:textId="2C396E4C" w:rsidR="002A64A3" w:rsidRDefault="002A64A3" w:rsidP="00DD3396">
      <w:pPr>
        <w:rPr>
          <w:rFonts w:ascii="Arial" w:eastAsia="Calibri" w:hAnsi="Arial" w:cs="Arial"/>
          <w:sz w:val="22"/>
          <w:szCs w:val="22"/>
          <w:lang w:val="es-ES"/>
        </w:rPr>
      </w:pPr>
    </w:p>
    <w:p w14:paraId="32493207" w14:textId="3D10F6E8" w:rsidR="002A64A3" w:rsidRDefault="002A64A3" w:rsidP="00DD3396">
      <w:pPr>
        <w:rPr>
          <w:rFonts w:ascii="Arial" w:eastAsia="Calibri" w:hAnsi="Arial" w:cs="Arial"/>
          <w:sz w:val="22"/>
          <w:szCs w:val="22"/>
          <w:lang w:val="es-ES"/>
        </w:rPr>
      </w:pPr>
    </w:p>
    <w:p w14:paraId="4EDCFD3E" w14:textId="77777777" w:rsidR="002A64A3" w:rsidRDefault="002A64A3" w:rsidP="00DD3396">
      <w:pPr>
        <w:rPr>
          <w:rFonts w:ascii="Arial" w:eastAsia="Calibri" w:hAnsi="Arial" w:cs="Arial"/>
          <w:sz w:val="22"/>
          <w:szCs w:val="22"/>
          <w:lang w:val="es-ES"/>
        </w:rPr>
      </w:pPr>
    </w:p>
    <w:p w14:paraId="574ED424" w14:textId="77777777" w:rsidR="00A56086" w:rsidRDefault="00A56086" w:rsidP="00DD3396">
      <w:pPr>
        <w:rPr>
          <w:rFonts w:ascii="Arial" w:eastAsia="Calibri" w:hAnsi="Arial" w:cs="Arial"/>
          <w:sz w:val="22"/>
          <w:szCs w:val="22"/>
          <w:lang w:val="es-ES"/>
        </w:rPr>
      </w:pPr>
    </w:p>
    <w:p w14:paraId="64291AD5" w14:textId="77777777" w:rsidR="00A56086" w:rsidRDefault="00A56086" w:rsidP="00DD3396">
      <w:pPr>
        <w:rPr>
          <w:rFonts w:ascii="Arial" w:eastAsia="Calibri" w:hAnsi="Arial" w:cs="Arial"/>
          <w:sz w:val="22"/>
          <w:szCs w:val="22"/>
          <w:lang w:val="es-ES"/>
        </w:rPr>
      </w:pPr>
    </w:p>
    <w:p w14:paraId="0FC4D2D9" w14:textId="77777777" w:rsidR="00A56086" w:rsidRDefault="00A56086" w:rsidP="00DD3396">
      <w:pPr>
        <w:rPr>
          <w:rFonts w:ascii="Arial" w:eastAsia="Calibri" w:hAnsi="Arial" w:cs="Arial"/>
          <w:sz w:val="22"/>
          <w:szCs w:val="22"/>
          <w:lang w:val="es-ES"/>
        </w:rPr>
      </w:pPr>
    </w:p>
    <w:p w14:paraId="45E49B4D" w14:textId="36FC3F3A" w:rsidR="002A2D9A" w:rsidRDefault="002A2D9A" w:rsidP="002A2D9A">
      <w:pPr>
        <w:jc w:val="right"/>
      </w:pPr>
      <w:r>
        <w:fldChar w:fldCharType="begin"/>
      </w:r>
      <w:r>
        <w:instrText xml:space="preserve"> INCLUDEPICTURE "/var/folders/tb/0fmk9b510f57pz5rwhv8lnpw0000gp/T/com.microsoft.Word/WebArchiveCopyPasteTempFiles/page1image23801424" \* MERGEFORMATINET </w:instrText>
      </w:r>
      <w:r>
        <w:fldChar w:fldCharType="separate"/>
      </w:r>
      <w:r>
        <w:rPr>
          <w:noProof/>
        </w:rPr>
        <w:drawing>
          <wp:inline distT="0" distB="0" distL="0" distR="0" wp14:anchorId="37835F1D" wp14:editId="17ABDAF9">
            <wp:extent cx="2403475" cy="614045"/>
            <wp:effectExtent l="0" t="0" r="0" b="0"/>
            <wp:docPr id="1" name="Imagen 1" descr="page1image2380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80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3475" cy="614045"/>
                    </a:xfrm>
                    <a:prstGeom prst="rect">
                      <a:avLst/>
                    </a:prstGeom>
                    <a:noFill/>
                    <a:ln>
                      <a:noFill/>
                    </a:ln>
                  </pic:spPr>
                </pic:pic>
              </a:graphicData>
            </a:graphic>
          </wp:inline>
        </w:drawing>
      </w:r>
      <w:r>
        <w:fldChar w:fldCharType="end"/>
      </w:r>
    </w:p>
    <w:p w14:paraId="7ED9F97C" w14:textId="77777777" w:rsidR="00A56086" w:rsidRDefault="00A56086" w:rsidP="00DD3396">
      <w:pPr>
        <w:rPr>
          <w:rFonts w:ascii="Arial" w:eastAsia="Calibri" w:hAnsi="Arial" w:cs="Arial"/>
          <w:sz w:val="22"/>
          <w:szCs w:val="22"/>
          <w:lang w:val="es-ES"/>
        </w:rPr>
      </w:pPr>
    </w:p>
    <w:p w14:paraId="69FE747F" w14:textId="77777777" w:rsidR="00A56086" w:rsidRDefault="00A56086" w:rsidP="00DD3396">
      <w:pPr>
        <w:rPr>
          <w:rFonts w:ascii="Arial" w:eastAsia="Calibri" w:hAnsi="Arial" w:cs="Arial"/>
          <w:sz w:val="22"/>
          <w:szCs w:val="22"/>
          <w:lang w:val="es-ES"/>
        </w:rPr>
      </w:pPr>
    </w:p>
    <w:p w14:paraId="43041A3F" w14:textId="56A74492" w:rsidR="00DD3396" w:rsidRPr="00924DEF" w:rsidRDefault="00DD3396" w:rsidP="00DD3396">
      <w:pPr>
        <w:rPr>
          <w:rFonts w:ascii="Arial" w:eastAsia="Calibri" w:hAnsi="Arial" w:cs="Arial"/>
          <w:sz w:val="22"/>
          <w:szCs w:val="22"/>
          <w:lang w:val="es-ES"/>
        </w:rPr>
      </w:pPr>
      <w:r w:rsidRPr="006244FD">
        <w:rPr>
          <w:rFonts w:ascii="Arial" w:eastAsia="Calibri" w:hAnsi="Arial" w:cs="Arial"/>
          <w:sz w:val="22"/>
          <w:szCs w:val="22"/>
          <w:lang w:val="es-ES"/>
        </w:rPr>
        <w:t>Señor</w:t>
      </w:r>
      <w:r w:rsidR="008E4B35">
        <w:rPr>
          <w:rFonts w:ascii="Arial" w:eastAsia="Calibri" w:hAnsi="Arial" w:cs="Arial"/>
          <w:sz w:val="22"/>
          <w:szCs w:val="22"/>
          <w:lang w:val="es-ES"/>
        </w:rPr>
        <w:t>a</w:t>
      </w:r>
    </w:p>
    <w:p w14:paraId="0F6FCB44" w14:textId="533FB09F" w:rsidR="00DD3396" w:rsidRDefault="008E4B35" w:rsidP="00DD3396">
      <w:pPr>
        <w:rPr>
          <w:rFonts w:ascii="Arial" w:eastAsia="Calibri" w:hAnsi="Arial" w:cs="Arial"/>
          <w:b/>
          <w:bCs/>
          <w:sz w:val="22"/>
          <w:szCs w:val="22"/>
          <w:lang w:val="es-ES"/>
        </w:rPr>
      </w:pPr>
      <w:r>
        <w:rPr>
          <w:rFonts w:ascii="Arial" w:eastAsia="Calibri" w:hAnsi="Arial" w:cs="Arial"/>
          <w:b/>
          <w:bCs/>
          <w:sz w:val="22"/>
          <w:szCs w:val="22"/>
          <w:lang w:val="es-ES"/>
        </w:rPr>
        <w:t>Jessika Alexandra Ramos Molano</w:t>
      </w:r>
    </w:p>
    <w:p w14:paraId="4ED5A427" w14:textId="77777777" w:rsidR="00DD3396" w:rsidRPr="00924DEF" w:rsidRDefault="00DD3396" w:rsidP="00DD3396">
      <w:pPr>
        <w:rPr>
          <w:rFonts w:ascii="Arial" w:eastAsia="Calibri" w:hAnsi="Arial" w:cs="Arial"/>
          <w:sz w:val="22"/>
          <w:szCs w:val="22"/>
          <w:lang w:val="es-ES"/>
        </w:rPr>
      </w:pPr>
      <w:r>
        <w:rPr>
          <w:rFonts w:ascii="Arial" w:eastAsia="Calibri" w:hAnsi="Arial" w:cs="Arial"/>
          <w:sz w:val="22"/>
          <w:szCs w:val="22"/>
          <w:lang w:val="es-ES"/>
        </w:rPr>
        <w:t xml:space="preserve">Bogotá, D.C. </w:t>
      </w:r>
    </w:p>
    <w:p w14:paraId="75074BB3" w14:textId="77777777" w:rsidR="00DD3396" w:rsidRPr="00924DEF" w:rsidRDefault="00DD3396" w:rsidP="00DD3396">
      <w:pPr>
        <w:rPr>
          <w:rFonts w:ascii="Arial" w:eastAsia="Calibri" w:hAnsi="Arial" w:cs="Arial"/>
          <w:sz w:val="22"/>
          <w:szCs w:val="22"/>
          <w:lang w:val="es-ES"/>
        </w:rPr>
      </w:pPr>
    </w:p>
    <w:p w14:paraId="199F6E49" w14:textId="231F9DBB" w:rsidR="00DD3396" w:rsidRPr="00F35189" w:rsidRDefault="00DD3396" w:rsidP="00DD3396">
      <w:pPr>
        <w:rPr>
          <w:rFonts w:ascii="Arial" w:eastAsia="Calibri" w:hAnsi="Arial" w:cs="Arial"/>
          <w:b/>
          <w:sz w:val="22"/>
          <w:szCs w:val="22"/>
          <w:lang w:val="es-ES"/>
        </w:rPr>
      </w:pPr>
      <w:r w:rsidRPr="00924DEF">
        <w:rPr>
          <w:rFonts w:ascii="Arial" w:eastAsia="Calibri" w:hAnsi="Arial" w:cs="Arial"/>
          <w:b/>
          <w:sz w:val="22"/>
          <w:szCs w:val="22"/>
          <w:lang w:val="es-ES"/>
        </w:rPr>
        <w:t xml:space="preserve"> </w:t>
      </w:r>
      <w:r w:rsidRPr="00F35189">
        <w:rPr>
          <w:rFonts w:ascii="Arial" w:eastAsia="Calibri" w:hAnsi="Arial" w:cs="Arial"/>
          <w:b/>
          <w:sz w:val="22"/>
          <w:szCs w:val="22"/>
          <w:lang w:val="es-ES"/>
        </w:rPr>
        <w:t xml:space="preserve">                                        Concepto C – </w:t>
      </w:r>
      <w:r w:rsidR="00B2736A">
        <w:rPr>
          <w:rFonts w:ascii="Arial" w:eastAsia="Calibri" w:hAnsi="Arial" w:cs="Arial"/>
          <w:b/>
          <w:sz w:val="22"/>
          <w:szCs w:val="22"/>
          <w:lang w:val="es-ES"/>
        </w:rPr>
        <w:t>336</w:t>
      </w:r>
      <w:r w:rsidRPr="00F35189">
        <w:rPr>
          <w:rFonts w:ascii="Arial" w:eastAsia="Calibri" w:hAnsi="Arial" w:cs="Arial"/>
          <w:b/>
          <w:sz w:val="22"/>
          <w:szCs w:val="22"/>
          <w:lang w:val="es-ES"/>
        </w:rPr>
        <w:t xml:space="preserve"> de 2022</w:t>
      </w:r>
    </w:p>
    <w:p w14:paraId="1456B8CB" w14:textId="77777777" w:rsidR="00DD3396" w:rsidRPr="00F35189" w:rsidRDefault="00DD3396" w:rsidP="00DD3396">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D3396" w:rsidRPr="00F35189" w14:paraId="5E976589" w14:textId="77777777" w:rsidTr="008A5DF2">
        <w:trPr>
          <w:trHeight w:val="550"/>
        </w:trPr>
        <w:tc>
          <w:tcPr>
            <w:tcW w:w="2552" w:type="dxa"/>
          </w:tcPr>
          <w:p w14:paraId="5DFC0827" w14:textId="77777777" w:rsidR="00DD3396" w:rsidRPr="00F35189" w:rsidRDefault="00DD3396" w:rsidP="008A5DF2">
            <w:pPr>
              <w:rPr>
                <w:rFonts w:ascii="Arial" w:eastAsia="Calibri" w:hAnsi="Arial" w:cs="Arial"/>
                <w:sz w:val="22"/>
                <w:szCs w:val="22"/>
                <w:lang w:val="es-ES"/>
              </w:rPr>
            </w:pPr>
            <w:r w:rsidRPr="00F35189">
              <w:rPr>
                <w:rFonts w:ascii="Arial" w:eastAsia="Calibri" w:hAnsi="Arial" w:cs="Arial"/>
                <w:b/>
                <w:sz w:val="22"/>
                <w:szCs w:val="22"/>
                <w:lang w:val="es-ES"/>
              </w:rPr>
              <w:t>Temas:</w:t>
            </w:r>
            <w:r w:rsidRPr="00F35189">
              <w:rPr>
                <w:rFonts w:ascii="Arial" w:eastAsia="Calibri" w:hAnsi="Arial" w:cs="Arial"/>
                <w:sz w:val="22"/>
                <w:szCs w:val="22"/>
                <w:lang w:val="es-ES"/>
              </w:rPr>
              <w:t xml:space="preserve">                                    </w:t>
            </w:r>
          </w:p>
        </w:tc>
        <w:tc>
          <w:tcPr>
            <w:tcW w:w="6374" w:type="dxa"/>
          </w:tcPr>
          <w:p w14:paraId="10DF38EC" w14:textId="0EF2CBEE" w:rsidR="001E528E" w:rsidRPr="00582B8C" w:rsidRDefault="002A64A3" w:rsidP="00F35189">
            <w:pPr>
              <w:jc w:val="both"/>
              <w:rPr>
                <w:rFonts w:ascii="Arial" w:eastAsia="Calibri" w:hAnsi="Arial" w:cs="Arial"/>
                <w:sz w:val="22"/>
                <w:szCs w:val="22"/>
                <w:lang w:val="es-MX"/>
              </w:rPr>
            </w:pPr>
            <w:r w:rsidRPr="00F35189">
              <w:rPr>
                <w:rFonts w:ascii="Arial" w:eastAsia="Calibri" w:hAnsi="Arial" w:cs="Arial"/>
                <w:sz w:val="22"/>
                <w:szCs w:val="22"/>
              </w:rPr>
              <w:t xml:space="preserve">DOCUMENTOS TIPO – Obligatoriedad / DOCUMENTO TIPO DE INFRAESTRUCTURA SOCIAL – Generalidades / </w:t>
            </w:r>
            <w:r w:rsidRPr="00F35189">
              <w:rPr>
                <w:rFonts w:ascii="Arial" w:eastAsia="Calibri" w:hAnsi="Arial" w:cs="Arial"/>
                <w:sz w:val="22"/>
                <w:szCs w:val="22"/>
                <w:lang w:val="es-MX"/>
              </w:rPr>
              <w:t>OBRA PÚBLICA – Definición – Objeto</w:t>
            </w:r>
          </w:p>
        </w:tc>
      </w:tr>
      <w:tr w:rsidR="00DD3396" w:rsidRPr="00F35189" w14:paraId="173B1FB9" w14:textId="77777777" w:rsidTr="008A5DF2">
        <w:tc>
          <w:tcPr>
            <w:tcW w:w="2552" w:type="dxa"/>
          </w:tcPr>
          <w:p w14:paraId="711F34A0" w14:textId="77777777" w:rsidR="00DD3396" w:rsidRPr="00F35189" w:rsidRDefault="00DD3396" w:rsidP="008A5DF2">
            <w:pPr>
              <w:rPr>
                <w:rFonts w:ascii="Arial" w:eastAsia="Calibri" w:hAnsi="Arial" w:cs="Arial"/>
                <w:sz w:val="22"/>
                <w:szCs w:val="22"/>
                <w:lang w:val="es-ES"/>
              </w:rPr>
            </w:pPr>
            <w:r w:rsidRPr="00F35189">
              <w:rPr>
                <w:rFonts w:ascii="Arial" w:eastAsia="Calibri" w:hAnsi="Arial" w:cs="Arial"/>
                <w:b/>
                <w:sz w:val="22"/>
                <w:szCs w:val="22"/>
                <w:lang w:val="es-ES"/>
              </w:rPr>
              <w:t>Radicación:</w:t>
            </w:r>
            <w:r w:rsidRPr="00F35189">
              <w:rPr>
                <w:rFonts w:ascii="Arial" w:eastAsia="Calibri" w:hAnsi="Arial" w:cs="Arial"/>
                <w:sz w:val="22"/>
                <w:szCs w:val="22"/>
                <w:lang w:val="es-ES"/>
              </w:rPr>
              <w:t xml:space="preserve">                              </w:t>
            </w:r>
          </w:p>
        </w:tc>
        <w:tc>
          <w:tcPr>
            <w:tcW w:w="6374" w:type="dxa"/>
          </w:tcPr>
          <w:p w14:paraId="5532C1A1" w14:textId="33404B41" w:rsidR="00DD3396" w:rsidRPr="00F35189" w:rsidRDefault="00DD3396" w:rsidP="008A5DF2">
            <w:pPr>
              <w:rPr>
                <w:rFonts w:ascii="Arial" w:eastAsia="Calibri" w:hAnsi="Arial" w:cs="Arial"/>
                <w:sz w:val="22"/>
                <w:szCs w:val="22"/>
                <w:lang w:val="es-ES"/>
              </w:rPr>
            </w:pPr>
            <w:r w:rsidRPr="00F35189">
              <w:rPr>
                <w:rFonts w:ascii="Arial" w:eastAsia="Calibri" w:hAnsi="Arial" w:cs="Arial"/>
                <w:sz w:val="22"/>
                <w:szCs w:val="22"/>
                <w:lang w:val="es-ES"/>
              </w:rPr>
              <w:t xml:space="preserve">Respuesta a consulta </w:t>
            </w:r>
            <w:r w:rsidR="00B2736A" w:rsidRPr="00B2736A">
              <w:rPr>
                <w:rFonts w:ascii="Arial" w:hAnsi="Arial" w:cs="Arial"/>
                <w:sz w:val="22"/>
                <w:szCs w:val="22"/>
              </w:rPr>
              <w:t>P20220411003644</w:t>
            </w:r>
          </w:p>
        </w:tc>
      </w:tr>
    </w:tbl>
    <w:p w14:paraId="523CB4B4" w14:textId="77777777" w:rsidR="00DD3396" w:rsidRPr="00924DEF" w:rsidRDefault="00DD3396" w:rsidP="00DD3396">
      <w:pPr>
        <w:spacing w:line="276" w:lineRule="auto"/>
        <w:rPr>
          <w:rFonts w:ascii="Arial" w:eastAsia="Calibri" w:hAnsi="Arial" w:cs="Arial"/>
          <w:sz w:val="22"/>
          <w:szCs w:val="22"/>
          <w:lang w:val="es-ES"/>
        </w:rPr>
      </w:pPr>
    </w:p>
    <w:p w14:paraId="7DED3594" w14:textId="77777777" w:rsidR="00DD3396" w:rsidRPr="00924DEF" w:rsidRDefault="00DD3396" w:rsidP="00DD3396">
      <w:pPr>
        <w:spacing w:line="276" w:lineRule="auto"/>
        <w:rPr>
          <w:rFonts w:ascii="Arial" w:eastAsia="Calibri" w:hAnsi="Arial" w:cs="Arial"/>
          <w:sz w:val="22"/>
          <w:szCs w:val="22"/>
          <w:lang w:val="es-ES"/>
        </w:rPr>
      </w:pPr>
    </w:p>
    <w:p w14:paraId="102D66F4" w14:textId="1985DB4B" w:rsidR="00DD3396" w:rsidRPr="00924DEF" w:rsidRDefault="00DD3396" w:rsidP="00DD3396">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Estimad</w:t>
      </w:r>
      <w:r w:rsidR="008E4B35">
        <w:rPr>
          <w:rFonts w:ascii="Arial" w:eastAsia="Calibri" w:hAnsi="Arial" w:cs="Arial"/>
          <w:sz w:val="22"/>
          <w:szCs w:val="22"/>
          <w:lang w:val="es-ES"/>
        </w:rPr>
        <w:t>a</w:t>
      </w:r>
      <w:r w:rsidRPr="00924DEF">
        <w:rPr>
          <w:rFonts w:ascii="Arial" w:eastAsia="Calibri" w:hAnsi="Arial" w:cs="Arial"/>
          <w:sz w:val="22"/>
          <w:szCs w:val="22"/>
          <w:lang w:val="es-ES"/>
        </w:rPr>
        <w:t xml:space="preserve"> señor</w:t>
      </w:r>
      <w:r w:rsidR="008E4B35">
        <w:rPr>
          <w:rFonts w:ascii="Arial" w:eastAsia="Calibri" w:hAnsi="Arial" w:cs="Arial"/>
          <w:sz w:val="22"/>
          <w:szCs w:val="22"/>
          <w:lang w:val="es-ES"/>
        </w:rPr>
        <w:t>a</w:t>
      </w:r>
      <w:r w:rsidRPr="00924DEF">
        <w:rPr>
          <w:rFonts w:ascii="Arial" w:eastAsia="Calibri" w:hAnsi="Arial" w:cs="Arial"/>
          <w:sz w:val="22"/>
          <w:szCs w:val="22"/>
          <w:lang w:val="es-ES"/>
        </w:rPr>
        <w:t xml:space="preserve"> </w:t>
      </w:r>
      <w:r w:rsidR="008E4B35">
        <w:rPr>
          <w:rFonts w:ascii="Arial" w:eastAsia="Calibri" w:hAnsi="Arial" w:cs="Arial"/>
          <w:sz w:val="22"/>
          <w:szCs w:val="22"/>
          <w:lang w:val="es-ES"/>
        </w:rPr>
        <w:t>Ramos</w:t>
      </w:r>
      <w:r w:rsidR="002A64A3">
        <w:rPr>
          <w:rFonts w:ascii="Arial" w:eastAsia="Calibri" w:hAnsi="Arial" w:cs="Arial"/>
          <w:sz w:val="22"/>
          <w:szCs w:val="22"/>
          <w:lang w:val="es-ES"/>
        </w:rPr>
        <w:t>:</w:t>
      </w:r>
      <w:r w:rsidRPr="00924DEF">
        <w:rPr>
          <w:rFonts w:ascii="Arial" w:eastAsia="Calibri" w:hAnsi="Arial" w:cs="Arial"/>
          <w:sz w:val="22"/>
          <w:szCs w:val="22"/>
          <w:lang w:val="es-ES"/>
        </w:rPr>
        <w:tab/>
      </w:r>
    </w:p>
    <w:p w14:paraId="38D35F9B" w14:textId="77777777" w:rsidR="00DD3396" w:rsidRPr="00924DEF" w:rsidRDefault="00DD3396" w:rsidP="00DD3396">
      <w:pPr>
        <w:spacing w:line="276" w:lineRule="auto"/>
        <w:rPr>
          <w:rFonts w:ascii="Arial" w:eastAsia="Calibri" w:hAnsi="Arial" w:cs="Arial"/>
          <w:sz w:val="22"/>
          <w:szCs w:val="22"/>
          <w:lang w:val="es-ES"/>
        </w:rPr>
      </w:pPr>
    </w:p>
    <w:p w14:paraId="2007834B" w14:textId="71787AFC"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sidR="00862E0E">
        <w:rPr>
          <w:rFonts w:ascii="Arial" w:eastAsia="Calibri" w:hAnsi="Arial" w:cs="Arial"/>
          <w:sz w:val="22"/>
          <w:szCs w:val="22"/>
          <w:lang w:val="es-ES"/>
        </w:rPr>
        <w:t xml:space="preserve">11 de </w:t>
      </w:r>
      <w:r w:rsidR="008E4B35">
        <w:rPr>
          <w:rFonts w:ascii="Arial" w:eastAsia="Calibri" w:hAnsi="Arial" w:cs="Arial"/>
          <w:sz w:val="22"/>
          <w:szCs w:val="22"/>
          <w:lang w:val="es-ES"/>
        </w:rPr>
        <w:t>abril</w:t>
      </w:r>
      <w:r>
        <w:rPr>
          <w:rFonts w:ascii="Arial" w:eastAsia="Calibri" w:hAnsi="Arial" w:cs="Arial"/>
          <w:sz w:val="22"/>
          <w:szCs w:val="22"/>
          <w:lang w:val="es-ES"/>
        </w:rPr>
        <w:t xml:space="preserve"> de 2022.</w:t>
      </w:r>
    </w:p>
    <w:p w14:paraId="5B44A0BF" w14:textId="77777777" w:rsidR="00DD3396" w:rsidRPr="00924DEF" w:rsidRDefault="00DD3396" w:rsidP="00DD3396">
      <w:pPr>
        <w:pStyle w:val="Prrafodelista"/>
        <w:spacing w:line="276" w:lineRule="auto"/>
        <w:ind w:left="0"/>
        <w:rPr>
          <w:rFonts w:ascii="Arial" w:eastAsia="Calibri" w:hAnsi="Arial" w:cs="Arial"/>
          <w:sz w:val="22"/>
          <w:lang w:val="es-ES"/>
        </w:rPr>
      </w:pPr>
    </w:p>
    <w:p w14:paraId="72D7AAAE" w14:textId="77777777" w:rsidR="00DD3396" w:rsidRPr="00924DEF" w:rsidRDefault="00DD3396" w:rsidP="00DD3396">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313C2844" w14:textId="77777777" w:rsidR="00A56086" w:rsidRDefault="00A56086" w:rsidP="00A56086">
      <w:pPr>
        <w:pStyle w:val="NormalWeb"/>
        <w:spacing w:before="0" w:beforeAutospacing="0" w:after="0" w:afterAutospacing="0" w:line="276" w:lineRule="auto"/>
        <w:jc w:val="both"/>
        <w:rPr>
          <w:rFonts w:ascii="Arial" w:eastAsia="Calibri" w:hAnsi="Arial" w:cs="Arial"/>
          <w:sz w:val="22"/>
          <w:szCs w:val="22"/>
          <w:lang w:val="es-ES"/>
        </w:rPr>
      </w:pPr>
    </w:p>
    <w:p w14:paraId="48C8B6F7" w14:textId="64C9EAA8" w:rsidR="00582B8C" w:rsidRDefault="00DD3396" w:rsidP="00256BF9">
      <w:pPr>
        <w:pStyle w:val="NormalWeb"/>
        <w:spacing w:before="0" w:beforeAutospacing="0" w:after="0" w:afterAutospacing="0" w:line="276" w:lineRule="auto"/>
        <w:jc w:val="both"/>
        <w:rPr>
          <w:rFonts w:ascii="Arial" w:eastAsia="Calibri" w:hAnsi="Arial" w:cs="Arial"/>
          <w:sz w:val="22"/>
          <w:szCs w:val="22"/>
          <w:lang w:val="es-ES"/>
        </w:rPr>
      </w:pPr>
      <w:r w:rsidRPr="00B2736A">
        <w:rPr>
          <w:rFonts w:ascii="Arial" w:eastAsia="Calibri" w:hAnsi="Arial" w:cs="Arial"/>
          <w:sz w:val="22"/>
          <w:szCs w:val="22"/>
          <w:lang w:val="es-ES"/>
        </w:rPr>
        <w:t xml:space="preserve">Usted realiza la siguiente pregunta: </w:t>
      </w:r>
    </w:p>
    <w:p w14:paraId="038D1665" w14:textId="77777777" w:rsidR="00A56086" w:rsidRDefault="00A56086" w:rsidP="00A56086">
      <w:pPr>
        <w:pStyle w:val="NormalWeb"/>
        <w:spacing w:before="0" w:beforeAutospacing="0" w:after="0" w:afterAutospacing="0"/>
        <w:ind w:left="1134" w:right="900"/>
        <w:jc w:val="both"/>
        <w:rPr>
          <w:rFonts w:ascii="Arial" w:hAnsi="Arial" w:cs="Arial"/>
          <w:sz w:val="21"/>
          <w:szCs w:val="21"/>
        </w:rPr>
      </w:pPr>
    </w:p>
    <w:p w14:paraId="0FCE11AD" w14:textId="2C0EF29A" w:rsidR="001032B4" w:rsidRDefault="00DD3396" w:rsidP="00A56086">
      <w:pPr>
        <w:pStyle w:val="NormalWeb"/>
        <w:spacing w:before="0" w:beforeAutospacing="0" w:after="0" w:afterAutospacing="0"/>
        <w:ind w:left="709" w:right="709"/>
        <w:jc w:val="both"/>
        <w:rPr>
          <w:rFonts w:ascii="Arial" w:hAnsi="Arial" w:cs="Arial"/>
          <w:sz w:val="22"/>
          <w:szCs w:val="22"/>
        </w:rPr>
      </w:pPr>
      <w:r w:rsidRPr="00582B8C">
        <w:rPr>
          <w:rFonts w:ascii="Arial" w:hAnsi="Arial" w:cs="Arial"/>
          <w:sz w:val="21"/>
          <w:szCs w:val="21"/>
        </w:rPr>
        <w:t>«</w:t>
      </w:r>
      <w:r w:rsidR="00582B8C" w:rsidRPr="00582B8C">
        <w:rPr>
          <w:rFonts w:ascii="Arial" w:hAnsi="Arial" w:cs="Arial"/>
          <w:sz w:val="21"/>
          <w:szCs w:val="21"/>
        </w:rPr>
        <w:t xml:space="preserve">[…] </w:t>
      </w:r>
      <w:r w:rsidR="00B2736A" w:rsidRPr="00582B8C">
        <w:rPr>
          <w:rFonts w:ascii="Arial" w:hAnsi="Arial" w:cs="Arial"/>
          <w:sz w:val="21"/>
          <w:szCs w:val="21"/>
        </w:rPr>
        <w:t>solicito aclarar de manera formal si las plazas de mercado van incluidas dentro de las infraestructuras culturales de los pliegos tipo, ya que estos no se detallan inmersos en dichos documentos, solo habla de las plazas, plazoletas y plazuelas, pero como tal una plaza de mercado no se evidencia inmersa en estos, bien sea como una de las infraestructuras culturales que tienen que solicitarse por pliegos tipo o como una de las que se pueden acreditar en experiencia</w:t>
      </w:r>
      <w:r w:rsidRPr="00582B8C">
        <w:rPr>
          <w:rFonts w:ascii="Arial" w:hAnsi="Arial" w:cs="Arial"/>
          <w:sz w:val="21"/>
          <w:szCs w:val="21"/>
        </w:rPr>
        <w:t>».</w:t>
      </w:r>
      <w:r w:rsidRPr="00B2736A">
        <w:rPr>
          <w:rFonts w:ascii="Arial" w:hAnsi="Arial" w:cs="Arial"/>
          <w:sz w:val="22"/>
          <w:szCs w:val="22"/>
        </w:rPr>
        <w:t xml:space="preserve"> </w:t>
      </w:r>
    </w:p>
    <w:p w14:paraId="547DCBCB" w14:textId="77777777" w:rsidR="00A56086" w:rsidRPr="00B2736A" w:rsidRDefault="00A56086" w:rsidP="00256BF9">
      <w:pPr>
        <w:pStyle w:val="NormalWeb"/>
        <w:spacing w:before="0" w:beforeAutospacing="0" w:after="0" w:afterAutospacing="0"/>
        <w:ind w:left="709" w:right="709"/>
        <w:jc w:val="both"/>
        <w:rPr>
          <w:rFonts w:ascii="Arial" w:hAnsi="Arial" w:cs="Arial"/>
          <w:sz w:val="22"/>
          <w:szCs w:val="22"/>
        </w:rPr>
      </w:pPr>
    </w:p>
    <w:p w14:paraId="0439D80B" w14:textId="0543A999" w:rsidR="00DD3396" w:rsidRDefault="00DD3396" w:rsidP="00DD3396">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3A21D8E4" w14:textId="77777777" w:rsidR="00DD3396" w:rsidRDefault="00DD3396" w:rsidP="00DD3396">
      <w:pPr>
        <w:rPr>
          <w:rFonts w:ascii="Arial" w:hAnsi="Arial" w:cs="Arial"/>
          <w:bCs/>
          <w:sz w:val="22"/>
        </w:rPr>
      </w:pPr>
    </w:p>
    <w:p w14:paraId="3F8A73D3" w14:textId="77777777" w:rsidR="00DD3396" w:rsidRPr="00162BC5" w:rsidRDefault="00DD3396" w:rsidP="00DD3396">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bookmarkStart w:id="0" w:name="_Hlk61701014"/>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1"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 xml:space="preserve">ntidad solo tiene competencia para responder </w:t>
      </w:r>
      <w:r w:rsidRPr="00162BC5">
        <w:rPr>
          <w:rFonts w:ascii="Arial" w:hAnsi="Arial" w:cs="Arial"/>
          <w:sz w:val="22"/>
          <w:lang w:val="es-ES"/>
        </w:rPr>
        <w:lastRenderedPageBreak/>
        <w:t>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3D8A4D0E" w14:textId="03D78C7A" w:rsidR="00DD3396" w:rsidRDefault="00DD3396" w:rsidP="00DD3396">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r w:rsidR="00F35189" w:rsidRPr="00162BC5">
        <w:rPr>
          <w:rFonts w:ascii="Arial" w:hAnsi="Arial" w:cs="Arial"/>
          <w:sz w:val="22"/>
          <w:lang w:val="es-ES"/>
        </w:rPr>
        <w:t>que,</w:t>
      </w:r>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1"/>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7C4EE89D" w14:textId="366CA2A8" w:rsidR="00A10A6F" w:rsidRDefault="00DD3396" w:rsidP="00A10A6F">
      <w:pPr>
        <w:pStyle w:val="Normal11pt"/>
        <w:spacing w:after="120" w:line="276" w:lineRule="auto"/>
        <w:ind w:left="0" w:firstLine="708"/>
        <w:rPr>
          <w:rFonts w:eastAsia="Calibri"/>
          <w:color w:val="auto"/>
          <w:lang w:val="es-ES"/>
        </w:rPr>
      </w:pPr>
      <w:r>
        <w:rPr>
          <w:rFonts w:eastAsia="Calibri"/>
        </w:rPr>
        <w:t xml:space="preserve">Sin perjuicio de lo anterior, dentro de los límites de las atribuciones de la función consultiva atribuida a esta entidad, esto es, interpretando de manera general las normas relevantes, la Agencia </w:t>
      </w:r>
      <w:r w:rsidRPr="00DA403A">
        <w:rPr>
          <w:rFonts w:eastAsia="Calibri"/>
        </w:rPr>
        <w:t>absolver</w:t>
      </w:r>
      <w:r>
        <w:rPr>
          <w:rFonts w:eastAsia="Calibri"/>
        </w:rPr>
        <w:t>á</w:t>
      </w:r>
      <w:r w:rsidRPr="00DA403A">
        <w:rPr>
          <w:rFonts w:eastAsia="Calibri"/>
        </w:rPr>
        <w:t xml:space="preserve"> los interrogantes formulados, </w:t>
      </w:r>
      <w:r>
        <w:rPr>
          <w:rFonts w:eastAsia="Calibri"/>
        </w:rPr>
        <w:t>previo análisis</w:t>
      </w:r>
      <w:r w:rsidRPr="00DA403A">
        <w:rPr>
          <w:rFonts w:eastAsia="Calibri"/>
        </w:rPr>
        <w:t xml:space="preserve"> </w:t>
      </w:r>
      <w:r>
        <w:rPr>
          <w:rFonts w:eastAsia="Calibri"/>
        </w:rPr>
        <w:t xml:space="preserve">de </w:t>
      </w:r>
      <w:r w:rsidRPr="00DA403A">
        <w:rPr>
          <w:rFonts w:eastAsia="Calibri"/>
        </w:rPr>
        <w:t>los siguientes temas:</w:t>
      </w:r>
      <w:r>
        <w:rPr>
          <w:rFonts w:eastAsia="Calibri"/>
        </w:rPr>
        <w:t xml:space="preserve"> </w:t>
      </w:r>
      <w:r w:rsidRPr="00DA403A">
        <w:rPr>
          <w:rFonts w:eastAsia="Calibri"/>
        </w:rPr>
        <w:t xml:space="preserve">i) </w:t>
      </w:r>
      <w:r w:rsidR="00052A18">
        <w:rPr>
          <w:rFonts w:eastAsia="Calibri"/>
        </w:rPr>
        <w:t xml:space="preserve">fundamentos jurídicos y evolución normativa de los documentos tipo, </w:t>
      </w:r>
      <w:proofErr w:type="spellStart"/>
      <w:r w:rsidR="00052A18">
        <w:rPr>
          <w:rFonts w:eastAsia="Calibri"/>
        </w:rPr>
        <w:t>ii</w:t>
      </w:r>
      <w:proofErr w:type="spellEnd"/>
      <w:r w:rsidR="00052A18" w:rsidRPr="00052A18">
        <w:rPr>
          <w:rFonts w:eastAsia="Calibri"/>
        </w:rPr>
        <w:t xml:space="preserve">) </w:t>
      </w:r>
      <w:r w:rsidR="00F11318">
        <w:rPr>
          <w:rFonts w:eastAsia="Calibri"/>
        </w:rPr>
        <w:t>i</w:t>
      </w:r>
      <w:r w:rsidR="00F11318" w:rsidRPr="00F11318">
        <w:rPr>
          <w:rFonts w:eastAsia="Calibri"/>
        </w:rPr>
        <w:t>mplementación y ámbito de aplicación de los documentos tipo de licitación de obra pública de infraestructura social</w:t>
      </w:r>
      <w:r w:rsidR="00F11318">
        <w:rPr>
          <w:rFonts w:eastAsia="Calibri"/>
        </w:rPr>
        <w:t xml:space="preserve"> y</w:t>
      </w:r>
      <w:r w:rsidR="00F11318" w:rsidRPr="00F11318">
        <w:rPr>
          <w:rFonts w:eastAsia="Calibri"/>
        </w:rPr>
        <w:t xml:space="preserve"> </w:t>
      </w:r>
      <w:r w:rsidR="00F11318">
        <w:rPr>
          <w:rFonts w:eastAsia="Calibri"/>
        </w:rPr>
        <w:t>n</w:t>
      </w:r>
      <w:r w:rsidR="00F11318" w:rsidRPr="00F11318">
        <w:rPr>
          <w:rFonts w:eastAsia="Calibri"/>
        </w:rPr>
        <w:t xml:space="preserve">ociones de infraestructura cultural, plazas, plazuelas y plazoletas.  </w:t>
      </w:r>
    </w:p>
    <w:p w14:paraId="05DC4D56" w14:textId="40DEB5C4" w:rsidR="00A10A6F" w:rsidRPr="0008465D" w:rsidRDefault="00A10A6F" w:rsidP="00A10A6F">
      <w:pPr>
        <w:pStyle w:val="Prrafodelista"/>
        <w:spacing w:line="276" w:lineRule="auto"/>
        <w:ind w:left="0" w:firstLine="708"/>
        <w:jc w:val="both"/>
        <w:rPr>
          <w:rFonts w:ascii="Arial" w:eastAsia="Calibri" w:hAnsi="Arial" w:cs="Arial"/>
          <w:sz w:val="22"/>
          <w:lang w:val="es-ES"/>
        </w:rPr>
      </w:pPr>
      <w:r w:rsidRPr="00B60E43">
        <w:rPr>
          <w:rFonts w:ascii="Arial" w:hAnsi="Arial" w:cs="Arial"/>
          <w:sz w:val="22"/>
          <w:lang w:val="es-ES_tradnl"/>
        </w:rPr>
        <w:t>La Agencia Nacional de Contratación Pública – Colombia Compra Eficiente se pronunció sobre</w:t>
      </w:r>
      <w:r>
        <w:rPr>
          <w:rFonts w:ascii="Arial" w:hAnsi="Arial" w:cs="Arial"/>
          <w:sz w:val="22"/>
          <w:lang w:val="es-ES_tradnl"/>
        </w:rPr>
        <w:t xml:space="preserve"> la definición y el alcance de</w:t>
      </w:r>
      <w:r w:rsidRPr="00B60E43">
        <w:rPr>
          <w:rFonts w:ascii="Arial" w:hAnsi="Arial" w:cs="Arial"/>
          <w:sz w:val="22"/>
          <w:lang w:val="es-ES_tradnl"/>
        </w:rPr>
        <w:t xml:space="preserve"> </w:t>
      </w:r>
      <w:r>
        <w:rPr>
          <w:rFonts w:ascii="Arial" w:hAnsi="Arial" w:cs="Arial"/>
          <w:sz w:val="22"/>
          <w:lang w:val="es-ES_tradnl"/>
        </w:rPr>
        <w:t xml:space="preserve">los documentos tipo en las siguientes consultas </w:t>
      </w:r>
      <w:r w:rsidRPr="00B7578A">
        <w:rPr>
          <w:rFonts w:ascii="Arial" w:hAnsi="Arial" w:cs="Arial"/>
          <w:color w:val="000000"/>
          <w:sz w:val="22"/>
          <w:shd w:val="clear" w:color="auto" w:fill="FFFFFF"/>
        </w:rPr>
        <w:t xml:space="preserve">C-144 </w:t>
      </w:r>
      <w:r w:rsidRPr="003501B8">
        <w:rPr>
          <w:rFonts w:ascii="Arial" w:hAnsi="Arial" w:cs="Arial"/>
          <w:color w:val="000000"/>
          <w:sz w:val="22"/>
          <w:shd w:val="clear" w:color="auto" w:fill="FFFFFF"/>
        </w:rPr>
        <w:t>del 2 de marzo de 2020, C-143 del 18 de marzo de 2020, C-286 del 26 de mayo de 2020, C-450 del 3 de agosto de 2020, C-643 del 26 de octubre de 2020,</w:t>
      </w:r>
      <w:r w:rsidRPr="003501B8">
        <w:rPr>
          <w:rFonts w:ascii="Arial" w:hAnsi="Arial" w:cs="Arial"/>
          <w:sz w:val="22"/>
        </w:rPr>
        <w:t xml:space="preserve"> C-773 del 14 de enero de 2021, C-789 del 19 de enero de 2021,</w:t>
      </w:r>
      <w:r w:rsidRPr="003501B8">
        <w:rPr>
          <w:rFonts w:ascii="Arial" w:hAnsi="Arial" w:cs="Arial"/>
          <w:color w:val="000000"/>
          <w:sz w:val="22"/>
          <w:shd w:val="clear" w:color="auto" w:fill="FFFFFF"/>
        </w:rPr>
        <w:t xml:space="preserve"> C-064 del 8 de marzo de 2021 y C-157 del 13 de abril del 2021, C-244 del 4 de mayo de 2021, C-224 del 20 de mayo de 2020, C-233 </w:t>
      </w:r>
      <w:r w:rsidRPr="003501B8">
        <w:rPr>
          <w:rFonts w:ascii="Arial" w:hAnsi="Arial" w:cs="Arial"/>
          <w:color w:val="000000"/>
          <w:sz w:val="22"/>
          <w:shd w:val="clear" w:color="auto" w:fill="FFFFFF"/>
        </w:rPr>
        <w:lastRenderedPageBreak/>
        <w:t>del 24 de mayo de 2021</w:t>
      </w:r>
      <w:r>
        <w:rPr>
          <w:rFonts w:ascii="Arial" w:hAnsi="Arial" w:cs="Arial"/>
          <w:color w:val="000000"/>
          <w:sz w:val="22"/>
          <w:shd w:val="clear" w:color="auto" w:fill="FFFFFF"/>
        </w:rPr>
        <w:t xml:space="preserve">, C-251 del 2 de junio de 2021 y C-273 del 11 de junio de 2021. </w:t>
      </w:r>
      <w:r w:rsidRPr="0016149E">
        <w:rPr>
          <w:rFonts w:ascii="Arial" w:eastAsia="Calibri" w:hAnsi="Arial" w:cs="Arial"/>
          <w:sz w:val="22"/>
        </w:rPr>
        <w:t xml:space="preserve">Las tesis 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rPr>
        <w:t xml:space="preserve">y se complementan en lo pertinente, respecto a </w:t>
      </w:r>
      <w:r w:rsidR="00AC415E">
        <w:rPr>
          <w:rFonts w:ascii="Arial" w:hAnsi="Arial" w:cs="Arial"/>
          <w:bCs/>
          <w:color w:val="000000" w:themeColor="text1"/>
          <w:sz w:val="22"/>
        </w:rPr>
        <w:t xml:space="preserve">los documentos tipo de infraestructura social se ha pronunciado la agencia en concepto C-375 de 27 de septiembre de 2021. </w:t>
      </w:r>
    </w:p>
    <w:p w14:paraId="28AD0635" w14:textId="77777777" w:rsidR="00F35189" w:rsidRPr="00293834" w:rsidRDefault="00F35189" w:rsidP="00052A18">
      <w:pPr>
        <w:widowControl w:val="0"/>
        <w:autoSpaceDE w:val="0"/>
        <w:autoSpaceDN w:val="0"/>
        <w:spacing w:line="276" w:lineRule="auto"/>
        <w:ind w:right="112"/>
        <w:jc w:val="both"/>
        <w:rPr>
          <w:rFonts w:ascii="Arial" w:eastAsia="Arial" w:hAnsi="Arial" w:cs="Arial"/>
          <w:sz w:val="22"/>
          <w:szCs w:val="22"/>
          <w:lang w:val="es-ES" w:eastAsia="en-US"/>
        </w:rPr>
      </w:pPr>
    </w:p>
    <w:p w14:paraId="4D920D23" w14:textId="77777777" w:rsidR="00862E0E" w:rsidRPr="00AB6A5E" w:rsidRDefault="00862E0E" w:rsidP="00862E0E">
      <w:pPr>
        <w:spacing w:line="276" w:lineRule="auto"/>
        <w:jc w:val="both"/>
        <w:rPr>
          <w:rFonts w:ascii="Arial" w:hAnsi="Arial" w:cs="Arial"/>
          <w:b/>
          <w:bCs/>
          <w:sz w:val="22"/>
          <w:szCs w:val="22"/>
          <w:lang w:val="es-ES"/>
        </w:rPr>
      </w:pPr>
      <w:r w:rsidRPr="00AB6A5E">
        <w:rPr>
          <w:rFonts w:ascii="Arial" w:eastAsia="Calibri" w:hAnsi="Arial" w:cs="Arial"/>
          <w:b/>
          <w:bCs/>
          <w:sz w:val="22"/>
          <w:szCs w:val="22"/>
          <w:lang w:val="es-ES"/>
        </w:rPr>
        <w:t>2.1.</w:t>
      </w:r>
      <w:r w:rsidRPr="00AB6A5E">
        <w:rPr>
          <w:rFonts w:ascii="Arial" w:hAnsi="Arial" w:cs="Arial"/>
          <w:b/>
          <w:bCs/>
          <w:sz w:val="22"/>
          <w:szCs w:val="22"/>
          <w:lang w:val="es-ES"/>
        </w:rPr>
        <w:t xml:space="preserve"> Fundamentos jurídicos y evolución normativa de los documentos tipo</w:t>
      </w:r>
      <w:r w:rsidRPr="00AB6A5E" w:rsidDel="00E82F6A">
        <w:rPr>
          <w:rFonts w:ascii="Arial" w:hAnsi="Arial" w:cs="Arial"/>
          <w:b/>
          <w:bCs/>
          <w:sz w:val="22"/>
          <w:szCs w:val="22"/>
          <w:lang w:val="es-ES"/>
        </w:rPr>
        <w:t xml:space="preserve"> </w:t>
      </w:r>
    </w:p>
    <w:p w14:paraId="770ED991" w14:textId="77777777" w:rsidR="00862E0E" w:rsidRPr="00AB6A5E" w:rsidRDefault="00862E0E" w:rsidP="00862E0E">
      <w:pPr>
        <w:spacing w:line="276" w:lineRule="auto"/>
        <w:jc w:val="both"/>
        <w:rPr>
          <w:rFonts w:ascii="Arial" w:hAnsi="Arial" w:cs="Arial"/>
          <w:sz w:val="22"/>
          <w:szCs w:val="22"/>
          <w:lang w:val="es-ES"/>
        </w:rPr>
      </w:pPr>
    </w:p>
    <w:p w14:paraId="0FBD986C" w14:textId="77777777" w:rsidR="00862E0E" w:rsidRPr="00AB6A5E" w:rsidRDefault="00862E0E" w:rsidP="00862E0E">
      <w:pPr>
        <w:spacing w:after="120" w:line="276" w:lineRule="auto"/>
        <w:jc w:val="both"/>
        <w:rPr>
          <w:rFonts w:ascii="Arial" w:hAnsi="Arial" w:cs="Arial"/>
          <w:sz w:val="22"/>
          <w:szCs w:val="22"/>
          <w:lang w:val="es-ES"/>
        </w:rPr>
      </w:pPr>
      <w:r w:rsidRPr="00AB6A5E">
        <w:rPr>
          <w:rFonts w:ascii="Arial" w:hAnsi="Arial" w:cs="Arial"/>
          <w:sz w:val="22"/>
          <w:szCs w:val="22"/>
          <w:lang w:val="es-ES"/>
        </w:rPr>
        <w:t>La adopción de los documentos tipo obligatorios en el ordenamiento jurídico colombiano se incluyó por primera vez en el parágrafo 3 del artículo 2 de la Ley 1150 de 2007</w:t>
      </w:r>
      <w:r w:rsidRPr="00AB6A5E">
        <w:rPr>
          <w:rStyle w:val="Refdenotaalpie"/>
          <w:rFonts w:ascii="Arial" w:hAnsi="Arial" w:cs="Arial"/>
          <w:sz w:val="22"/>
          <w:szCs w:val="22"/>
          <w:lang w:val="es-ES"/>
        </w:rPr>
        <w:footnoteReference w:id="2"/>
      </w:r>
      <w:r w:rsidRPr="00AB6A5E">
        <w:rPr>
          <w:rFonts w:ascii="Arial" w:hAnsi="Arial" w:cs="Arial"/>
          <w:sz w:val="22"/>
          <w:szCs w:val="22"/>
          <w:lang w:val="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78D2DBD" w14:textId="77777777" w:rsidR="00862E0E" w:rsidRPr="00AB6A5E" w:rsidRDefault="00862E0E" w:rsidP="00862E0E">
      <w:pPr>
        <w:spacing w:line="276" w:lineRule="auto"/>
        <w:ind w:firstLine="708"/>
        <w:jc w:val="both"/>
        <w:rPr>
          <w:rFonts w:ascii="Arial" w:hAnsi="Arial" w:cs="Arial"/>
          <w:sz w:val="22"/>
          <w:szCs w:val="22"/>
          <w:lang w:val="es-ES"/>
        </w:rPr>
      </w:pPr>
      <w:r w:rsidRPr="00AB6A5E">
        <w:rPr>
          <w:rFonts w:ascii="Arial" w:hAnsi="Arial" w:cs="Arial"/>
          <w:sz w:val="22"/>
          <w:szCs w:val="22"/>
          <w:lang w:val="es-ES"/>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7E20A8F0" w14:textId="77777777" w:rsidR="00862E0E" w:rsidRPr="00AB6A5E" w:rsidRDefault="00862E0E" w:rsidP="00862E0E">
      <w:pPr>
        <w:spacing w:before="120" w:after="120" w:line="276" w:lineRule="auto"/>
        <w:ind w:firstLine="709"/>
        <w:jc w:val="both"/>
        <w:rPr>
          <w:rFonts w:ascii="Arial" w:hAnsi="Arial" w:cs="Arial"/>
          <w:sz w:val="22"/>
          <w:szCs w:val="22"/>
          <w:lang w:val="es-ES"/>
        </w:rPr>
      </w:pPr>
      <w:r w:rsidRPr="00AB6A5E">
        <w:rPr>
          <w:rFonts w:ascii="Arial" w:hAnsi="Arial" w:cs="Arial"/>
          <w:sz w:val="22"/>
          <w:szCs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AB6A5E">
        <w:rPr>
          <w:rStyle w:val="Refdenotaalpie"/>
          <w:rFonts w:ascii="Arial" w:hAnsi="Arial" w:cs="Arial"/>
          <w:sz w:val="22"/>
          <w:szCs w:val="22"/>
          <w:lang w:val="es-ES"/>
        </w:rPr>
        <w:footnoteReference w:id="3"/>
      </w:r>
      <w:r w:rsidRPr="00AB6A5E">
        <w:rPr>
          <w:rFonts w:ascii="Arial" w:hAnsi="Arial" w:cs="Arial"/>
          <w:sz w:val="22"/>
          <w:szCs w:val="22"/>
          <w:lang w:val="es-ES"/>
        </w:rPr>
        <w:t>.</w:t>
      </w:r>
    </w:p>
    <w:p w14:paraId="45FDF400"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A8684BC"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tab/>
        <w:t xml:space="preserve">De la norma descrita se concluía lo siguiente: i) la adopción de los documentos tipo estaba en cabeza del gobierno nacional; </w:t>
      </w:r>
      <w:proofErr w:type="spellStart"/>
      <w:r w:rsidRPr="00AB6A5E">
        <w:rPr>
          <w:rFonts w:ascii="Arial" w:hAnsi="Arial" w:cs="Arial"/>
          <w:sz w:val="22"/>
          <w:szCs w:val="22"/>
          <w:lang w:val="es-ES"/>
        </w:rPr>
        <w:t>ii</w:t>
      </w:r>
      <w:proofErr w:type="spellEnd"/>
      <w:r w:rsidRPr="00AB6A5E">
        <w:rPr>
          <w:rFonts w:ascii="Arial" w:hAnsi="Arial" w:cs="Arial"/>
          <w:sz w:val="22"/>
          <w:szCs w:val="22"/>
          <w:lang w:val="es-ES"/>
        </w:rPr>
        <w:t xml:space="preserve">) estos debían relacionarse con procesos de obra públicas, interventoría para las obras públicas, interventoría para consultoría de estudios y diseños y, finalmente, consultoría en ingeniería para obras; </w:t>
      </w:r>
      <w:proofErr w:type="spellStart"/>
      <w:r w:rsidRPr="00AB6A5E">
        <w:rPr>
          <w:rFonts w:ascii="Arial" w:hAnsi="Arial" w:cs="Arial"/>
          <w:sz w:val="22"/>
          <w:szCs w:val="22"/>
          <w:lang w:val="es-ES"/>
        </w:rPr>
        <w:t>iii</w:t>
      </w:r>
      <w:proofErr w:type="spellEnd"/>
      <w:r w:rsidRPr="00AB6A5E">
        <w:rPr>
          <w:rFonts w:ascii="Arial" w:hAnsi="Arial" w:cs="Arial"/>
          <w:sz w:val="22"/>
          <w:szCs w:val="22"/>
          <w:lang w:val="es-ES"/>
        </w:rPr>
        <w:t xml:space="preserve">) eran de obligatorio cumplimiento por parte de todas las entidades sometidas al Estatuto General de Contratación de la Administración Pública; </w:t>
      </w:r>
      <w:proofErr w:type="spellStart"/>
      <w:r w:rsidRPr="00AB6A5E">
        <w:rPr>
          <w:rFonts w:ascii="Arial" w:hAnsi="Arial" w:cs="Arial"/>
          <w:sz w:val="22"/>
          <w:szCs w:val="22"/>
          <w:lang w:val="es-ES"/>
        </w:rPr>
        <w:t>iv</w:t>
      </w:r>
      <w:proofErr w:type="spellEnd"/>
      <w:r w:rsidRPr="00AB6A5E">
        <w:rPr>
          <w:rFonts w:ascii="Arial" w:hAnsi="Arial" w:cs="Arial"/>
          <w:sz w:val="22"/>
          <w:szCs w:val="22"/>
          <w:lang w:val="es-ES"/>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559EE6E1"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AB6A5E">
        <w:rPr>
          <w:rFonts w:ascii="Arial" w:hAnsi="Arial" w:cs="Arial"/>
          <w:sz w:val="22"/>
          <w:szCs w:val="22"/>
          <w:lang w:val="es-ES"/>
        </w:rPr>
        <w:t>y los criterios de escogencia, elementos propios del procedimiento de selección del contratista, materia en la que existe reserva de ley y que no se encuentra atribuida a la regulación de las entidades territoriales</w:t>
      </w:r>
      <w:bookmarkEnd w:id="2"/>
      <w:r w:rsidRPr="00AB6A5E">
        <w:rPr>
          <w:rFonts w:ascii="Arial" w:hAnsi="Arial" w:cs="Arial"/>
          <w:sz w:val="22"/>
          <w:szCs w:val="22"/>
          <w:lang w:val="es-ES"/>
        </w:rPr>
        <w:t>. De igual manera, se establece que esta autonomía se garantiza con la identificación autónoma de sus necesidades y la configuración de los elementos del contrato</w:t>
      </w:r>
      <w:r w:rsidRPr="00AB6A5E">
        <w:rPr>
          <w:rStyle w:val="Refdenotaalpie"/>
          <w:rFonts w:ascii="Arial" w:hAnsi="Arial" w:cs="Arial"/>
          <w:sz w:val="22"/>
          <w:szCs w:val="22"/>
          <w:lang w:val="es-ES"/>
        </w:rPr>
        <w:footnoteReference w:id="4"/>
      </w:r>
      <w:r w:rsidRPr="00AB6A5E">
        <w:rPr>
          <w:rFonts w:ascii="Arial" w:hAnsi="Arial" w:cs="Arial"/>
          <w:sz w:val="22"/>
          <w:szCs w:val="22"/>
          <w:lang w:val="es-ES"/>
        </w:rPr>
        <w:t>.</w:t>
      </w:r>
    </w:p>
    <w:p w14:paraId="4C0C239F"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8BF7B75" w14:textId="77777777" w:rsidR="00862E0E" w:rsidRPr="00AB6A5E" w:rsidRDefault="00862E0E" w:rsidP="00862E0E">
      <w:pPr>
        <w:spacing w:before="120" w:after="120" w:line="276" w:lineRule="auto"/>
        <w:jc w:val="both"/>
        <w:rPr>
          <w:rFonts w:ascii="Arial" w:hAnsi="Arial" w:cs="Arial"/>
          <w:sz w:val="22"/>
          <w:szCs w:val="22"/>
          <w:lang w:val="es-ES"/>
        </w:rPr>
      </w:pPr>
      <w:r w:rsidRPr="00AB6A5E">
        <w:rPr>
          <w:rFonts w:ascii="Arial" w:hAnsi="Arial"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34EFF22C" w14:textId="77777777" w:rsidR="00862E0E" w:rsidRPr="00AB6A5E" w:rsidRDefault="00862E0E" w:rsidP="00862E0E">
      <w:pPr>
        <w:spacing w:before="120" w:after="120" w:line="276" w:lineRule="auto"/>
        <w:ind w:firstLine="709"/>
        <w:jc w:val="both"/>
        <w:rPr>
          <w:rFonts w:ascii="Arial" w:hAnsi="Arial" w:cs="Arial"/>
          <w:sz w:val="22"/>
          <w:szCs w:val="22"/>
          <w:lang w:val="es-ES"/>
        </w:rPr>
      </w:pPr>
      <w:r w:rsidRPr="00AB6A5E">
        <w:rPr>
          <w:rFonts w:ascii="Arial" w:hAnsi="Arial" w:cs="Arial"/>
          <w:sz w:val="22"/>
          <w:szCs w:val="22"/>
          <w:lang w:val="es-ES"/>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AB6A5E" w:rsidDel="00A434AB">
        <w:rPr>
          <w:rFonts w:ascii="Arial" w:hAnsi="Arial" w:cs="Arial"/>
          <w:sz w:val="22"/>
          <w:szCs w:val="22"/>
          <w:lang w:val="es-ES"/>
        </w:rPr>
        <w:t xml:space="preserve"> </w:t>
      </w:r>
      <w:r w:rsidRPr="00AB6A5E">
        <w:rPr>
          <w:rFonts w:ascii="Arial" w:hAnsi="Arial" w:cs="Arial"/>
          <w:sz w:val="22"/>
          <w:szCs w:val="22"/>
          <w:lang w:val="es-ES"/>
        </w:rPr>
        <w:t xml:space="preserve">de infraestructura de transporte que se surtieran por la modalidad de mínima cuantía. Estos documentos fueron implementados y desarrollados por la Agencia Nacional de Contratación Pública </w:t>
      </w:r>
      <w:bookmarkStart w:id="3" w:name="_Hlk37841850"/>
      <w:r w:rsidRPr="00AB6A5E">
        <w:rPr>
          <w:rFonts w:ascii="Arial" w:hAnsi="Arial" w:cs="Arial"/>
          <w:sz w:val="22"/>
          <w:szCs w:val="22"/>
          <w:lang w:val="es-ES"/>
        </w:rPr>
        <w:t xml:space="preserve">– Colombia Compra Eficiente, </w:t>
      </w:r>
      <w:bookmarkEnd w:id="3"/>
      <w:r w:rsidRPr="00AB6A5E">
        <w:rPr>
          <w:rFonts w:ascii="Arial" w:hAnsi="Arial" w:cs="Arial"/>
          <w:sz w:val="22"/>
          <w:szCs w:val="22"/>
          <w:lang w:val="es-ES"/>
        </w:rPr>
        <w:t>por medio de la Resolución 1798 de 1 de abril de 2019 –derogada por la Resolución 045 del 14 de febrero de 2020–, la Resolución 044 del 14 de febrero de 2020 y la Resolución 094 del 21 de mayo de 2020.</w:t>
      </w:r>
    </w:p>
    <w:p w14:paraId="742A6470" w14:textId="5DE78C2C"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Por otra parte</w:t>
      </w:r>
      <w:r w:rsidRPr="00AB6A5E">
        <w:rPr>
          <w:rFonts w:eastAsia="Calibri"/>
          <w:i/>
          <w:iCs/>
          <w:color w:val="auto"/>
          <w:lang w:val="es-ES"/>
        </w:rPr>
        <w:t>,</w:t>
      </w:r>
      <w:r w:rsidRPr="00AB6A5E">
        <w:rPr>
          <w:rFonts w:eastAsia="Calibri"/>
          <w:color w:val="auto"/>
          <w:lang w:val="es-ES"/>
        </w:rPr>
        <w:t xml:space="preserve"> debe tenerse en cuenta que </w:t>
      </w:r>
      <w:r w:rsidRPr="00AB6A5E">
        <w:t>posteriormente fue expedida la Ley 2022 de 2020 «Por la cual modifica el artículo 4 de la ley 1882 de 2018 y se dictan otras disposiciones». En su artículo 1, esta norma modificó el Articulo 4 de la Ley 1882 de 2018</w:t>
      </w:r>
      <w:r w:rsidRPr="00AB6A5E">
        <w:rPr>
          <w:rStyle w:val="Refdenotaalpie"/>
        </w:rPr>
        <w:footnoteReference w:id="5"/>
      </w:r>
      <w:r w:rsidRPr="00AB6A5E">
        <w:t xml:space="preserve">, </w:t>
      </w:r>
      <w:r w:rsidRPr="00AB6A5E">
        <w:lastRenderedPageBreak/>
        <w:t xml:space="preserve">estableciendo a cargo de esta Agencia la adopción de documentos tipo que serán de obligatorio cumplimiento en la actividad contractual de todas las entidades sometidas al Estatuto General de Contratación de la Administración Pública. </w:t>
      </w:r>
      <w:r w:rsidRPr="00AB6A5E">
        <w:rPr>
          <w:rFonts w:eastAsia="Calibri"/>
          <w:color w:val="auto"/>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195C1074"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7BEFFE0A"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40F1C5E9" w14:textId="77777777" w:rsidR="00862E0E" w:rsidRDefault="00862E0E" w:rsidP="00862E0E">
      <w:pPr>
        <w:pStyle w:val="Normal11pt"/>
        <w:spacing w:before="120" w:line="276" w:lineRule="auto"/>
        <w:ind w:left="0" w:firstLine="709"/>
      </w:pPr>
      <w:r w:rsidRPr="00AB6A5E">
        <w:rPr>
          <w:rFonts w:eastAsia="Calibri"/>
          <w:color w:val="auto"/>
          <w:lang w:val="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expidió la Resolución 219 del 6 de agosto de 2021 «</w:t>
      </w:r>
      <w:r w:rsidRPr="00AB6A5E">
        <w:t xml:space="preserve">Por la cual se adoptan los documentos tipo para los procesos de licitación de obra pública de infraestructura social» y la Resolución 220 del 6 de agosto de 2021 «Por la cual se adoptan los documentos tipo complementarios </w:t>
      </w:r>
      <w:r w:rsidRPr="00AB6A5E">
        <w:lastRenderedPageBreak/>
        <w:t xml:space="preserve">para los procesos de licitación de obra pública de infraestructura social relacionados con el sector educativo». </w:t>
      </w:r>
    </w:p>
    <w:p w14:paraId="1642544A" w14:textId="77777777" w:rsidR="00862E0E" w:rsidRPr="00AB6A5E" w:rsidRDefault="00862E0E" w:rsidP="00862E0E">
      <w:pPr>
        <w:pStyle w:val="Normal11pt"/>
        <w:spacing w:before="120" w:line="276" w:lineRule="auto"/>
        <w:ind w:left="0" w:firstLine="709"/>
        <w:rPr>
          <w:rFonts w:eastAsia="Calibri"/>
          <w:color w:val="auto"/>
          <w:lang w:val="es-ES"/>
        </w:rPr>
      </w:pPr>
      <w:r>
        <w:rPr>
          <w:rFonts w:eastAsia="Calibri"/>
          <w:color w:val="000000" w:themeColor="text1"/>
        </w:rPr>
        <w:t>Finalmente, 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09A849CB"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 xml:space="preserve">En síntesis, hasta el momento se han expedido los siguientes documentos tipo que son obligatorios para todas las entidades sometidas al Estatuto General de Contratación de la Administración Pública: </w:t>
      </w:r>
    </w:p>
    <w:p w14:paraId="182398FC"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28B0C3C8"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ii</w:t>
      </w:r>
      <w:proofErr w:type="spellEnd"/>
      <w:r w:rsidRPr="00AB6A5E">
        <w:rPr>
          <w:rFonts w:ascii="Arial" w:eastAsia="Calibri" w:hAnsi="Arial" w:cs="Arial"/>
          <w:color w:val="000000"/>
          <w:sz w:val="22"/>
          <w:szCs w:val="22"/>
          <w:lang w:val="es-ES_tradnl" w:eastAsia="es-ES"/>
        </w:rPr>
        <w:t>) Documentos tipo para licitación de obra pública de infraestructura de transporte –versión 2–, obligatorios para los procesos cuyo aviso de convocatoria se haya publicado desde el 10 de marzo de 2020.</w:t>
      </w:r>
    </w:p>
    <w:p w14:paraId="20538708"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iii</w:t>
      </w:r>
      <w:proofErr w:type="spellEnd"/>
      <w:r w:rsidRPr="00AB6A5E">
        <w:rPr>
          <w:rFonts w:ascii="Arial" w:eastAsia="Calibri" w:hAnsi="Arial" w:cs="Arial"/>
          <w:color w:val="000000"/>
          <w:sz w:val="22"/>
          <w:szCs w:val="22"/>
          <w:lang w:val="es-ES_tradnl" w:eastAsia="es-ES"/>
        </w:rPr>
        <w:t>) Documentos tipo para licitación de obra pública de infraestructura de transporte –versión 3–, obligatorios para los procesos cuyo aviso de convocatoria se haya publicado desde el 1 de enero de 2021.</w:t>
      </w:r>
    </w:p>
    <w:p w14:paraId="3F6FFA4C"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iv</w:t>
      </w:r>
      <w:proofErr w:type="spellEnd"/>
      <w:r w:rsidRPr="00AB6A5E">
        <w:rPr>
          <w:rFonts w:ascii="Arial" w:eastAsia="Calibri" w:hAnsi="Arial" w:cs="Arial"/>
          <w:color w:val="000000"/>
          <w:sz w:val="22"/>
          <w:szCs w:val="22"/>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45E21EE2"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EC7A5D0"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1C30CAA5"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vii</w:t>
      </w:r>
      <w:proofErr w:type="spellEnd"/>
      <w:r w:rsidRPr="00AB6A5E">
        <w:rPr>
          <w:rFonts w:ascii="Arial" w:eastAsia="Calibri" w:hAnsi="Arial" w:cs="Arial"/>
          <w:color w:val="000000"/>
          <w:sz w:val="22"/>
          <w:szCs w:val="22"/>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16DAEA9E"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viii</w:t>
      </w:r>
      <w:proofErr w:type="spellEnd"/>
      <w:r w:rsidRPr="00AB6A5E">
        <w:rPr>
          <w:rFonts w:ascii="Arial" w:eastAsia="Calibri" w:hAnsi="Arial" w:cs="Arial"/>
          <w:color w:val="000000"/>
          <w:sz w:val="22"/>
          <w:szCs w:val="22"/>
          <w:lang w:val="es-ES_tradnl"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67677E98" w14:textId="77777777" w:rsidR="00862E0E" w:rsidRPr="00AB6A5E" w:rsidRDefault="00862E0E" w:rsidP="00862E0E">
      <w:pPr>
        <w:spacing w:before="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lastRenderedPageBreak/>
        <w:t>ix</w:t>
      </w:r>
      <w:proofErr w:type="spellEnd"/>
      <w:r w:rsidRPr="00AB6A5E">
        <w:rPr>
          <w:rFonts w:ascii="Arial" w:eastAsia="Calibri" w:hAnsi="Arial" w:cs="Arial"/>
          <w:color w:val="000000"/>
          <w:sz w:val="22"/>
          <w:szCs w:val="22"/>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08708D33" w14:textId="77777777" w:rsidR="00862E0E" w:rsidRPr="00AB6A5E" w:rsidRDefault="00862E0E" w:rsidP="00862E0E">
      <w:pPr>
        <w:spacing w:before="120" w:after="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0E59A4B" w14:textId="77777777" w:rsidR="00862E0E" w:rsidRPr="00AB6A5E" w:rsidRDefault="00862E0E" w:rsidP="00862E0E">
      <w:pPr>
        <w:spacing w:before="120" w:after="120" w:line="276" w:lineRule="auto"/>
        <w:ind w:firstLine="709"/>
        <w:jc w:val="both"/>
        <w:rPr>
          <w:rFonts w:ascii="Arial" w:eastAsia="Calibri" w:hAnsi="Arial" w:cs="Arial"/>
          <w:color w:val="000000"/>
          <w:sz w:val="22"/>
          <w:szCs w:val="22"/>
          <w:lang w:val="es-ES_tradnl" w:eastAsia="es-ES"/>
        </w:rPr>
      </w:pPr>
      <w:r w:rsidRPr="00AB6A5E">
        <w:rPr>
          <w:rFonts w:ascii="Arial" w:eastAsia="Calibri" w:hAnsi="Arial" w:cs="Arial"/>
          <w:color w:val="000000"/>
          <w:sz w:val="22"/>
          <w:szCs w:val="22"/>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635D14FF" w14:textId="77777777" w:rsidR="00862E0E" w:rsidRPr="00AB6A5E" w:rsidRDefault="00862E0E" w:rsidP="00862E0E">
      <w:pPr>
        <w:spacing w:after="120" w:line="276" w:lineRule="auto"/>
        <w:ind w:firstLine="709"/>
        <w:jc w:val="both"/>
        <w:rPr>
          <w:rFonts w:ascii="Arial" w:eastAsia="Calibri" w:hAnsi="Arial" w:cs="Arial"/>
          <w:color w:val="000000"/>
          <w:sz w:val="22"/>
          <w:szCs w:val="22"/>
          <w:lang w:val="es-ES_tradnl" w:eastAsia="es-ES"/>
        </w:rPr>
      </w:pPr>
      <w:proofErr w:type="spellStart"/>
      <w:r w:rsidRPr="00AB6A5E">
        <w:rPr>
          <w:rFonts w:ascii="Arial" w:eastAsia="Calibri" w:hAnsi="Arial" w:cs="Arial"/>
          <w:color w:val="000000"/>
          <w:sz w:val="22"/>
          <w:szCs w:val="22"/>
          <w:lang w:val="es-ES_tradnl" w:eastAsia="es-ES"/>
        </w:rPr>
        <w:t>xii</w:t>
      </w:r>
      <w:proofErr w:type="spellEnd"/>
      <w:r w:rsidRPr="00AB6A5E">
        <w:rPr>
          <w:rFonts w:ascii="Arial" w:eastAsia="Calibri" w:hAnsi="Arial" w:cs="Arial"/>
          <w:color w:val="000000"/>
          <w:sz w:val="22"/>
          <w:szCs w:val="22"/>
          <w:lang w:val="es-ES_tradnl" w:eastAsia="es-ES"/>
        </w:rPr>
        <w:t>) Documentos tipo para los procesos de licitación de obra pública de infraestructura social, concretamente, para infraestructura en el sector educativo, obligatorios para los procesos cuyo aviso de convocatoria se publiquen desde el 2 de noviembre de 2021.</w:t>
      </w:r>
    </w:p>
    <w:p w14:paraId="04FB6E1B" w14:textId="77777777" w:rsidR="00862E0E" w:rsidRPr="00AB6A5E" w:rsidRDefault="00862E0E" w:rsidP="00862E0E">
      <w:pPr>
        <w:pStyle w:val="Normal11pt"/>
        <w:spacing w:before="120" w:line="276" w:lineRule="auto"/>
        <w:ind w:left="0" w:firstLine="709"/>
        <w:rPr>
          <w:rFonts w:eastAsia="Calibri"/>
          <w:color w:val="auto"/>
          <w:lang w:val="es-ES"/>
        </w:rPr>
      </w:pPr>
      <w:r w:rsidRPr="00AB6A5E">
        <w:rPr>
          <w:rFonts w:eastAsia="Calibri"/>
          <w:color w:val="auto"/>
          <w:lang w:val="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3CBBB1C3" w14:textId="77777777" w:rsidR="00862E0E" w:rsidRDefault="00862E0E" w:rsidP="00862E0E">
      <w:pPr>
        <w:rPr>
          <w:rFonts w:ascii="Arial" w:hAnsi="Arial" w:cs="Arial"/>
          <w:sz w:val="22"/>
          <w:szCs w:val="22"/>
        </w:rPr>
      </w:pPr>
    </w:p>
    <w:p w14:paraId="079F6946" w14:textId="1B444D9C" w:rsidR="00862E0E" w:rsidRDefault="00862E0E" w:rsidP="00862E0E">
      <w:pPr>
        <w:pStyle w:val="Normal11pt"/>
        <w:spacing w:line="276" w:lineRule="auto"/>
        <w:ind w:left="0"/>
        <w:rPr>
          <w:rFonts w:eastAsia="Calibri"/>
          <w:b/>
          <w:bCs/>
          <w:color w:val="auto"/>
          <w:lang w:val="es-ES"/>
        </w:rPr>
      </w:pPr>
      <w:r>
        <w:rPr>
          <w:rFonts w:eastAsia="Calibri"/>
          <w:b/>
          <w:bCs/>
          <w:color w:val="auto"/>
          <w:lang w:val="es-ES"/>
        </w:rPr>
        <w:t>2.2. Implementación y ámbito de aplicación de los documentos tipo de licitación de obra pública de infraestructura social</w:t>
      </w:r>
      <w:r w:rsidR="00E11B55">
        <w:rPr>
          <w:rFonts w:eastAsia="Calibri"/>
          <w:b/>
          <w:bCs/>
          <w:color w:val="auto"/>
          <w:lang w:val="es-ES"/>
        </w:rPr>
        <w:t>. Noc</w:t>
      </w:r>
      <w:r w:rsidR="00F11318">
        <w:rPr>
          <w:rFonts w:eastAsia="Calibri"/>
          <w:b/>
          <w:bCs/>
          <w:color w:val="auto"/>
          <w:lang w:val="es-ES"/>
        </w:rPr>
        <w:t>iones</w:t>
      </w:r>
      <w:r w:rsidR="00E11B55">
        <w:rPr>
          <w:rFonts w:eastAsia="Calibri"/>
          <w:b/>
          <w:bCs/>
          <w:color w:val="auto"/>
          <w:lang w:val="es-ES"/>
        </w:rPr>
        <w:t xml:space="preserve"> de infraestructura cultural</w:t>
      </w:r>
      <w:r w:rsidR="00F11318">
        <w:rPr>
          <w:rFonts w:eastAsia="Calibri"/>
          <w:b/>
          <w:bCs/>
          <w:color w:val="auto"/>
          <w:lang w:val="es-ES"/>
        </w:rPr>
        <w:t xml:space="preserve">, plazas, plazuelas y plazoletas. </w:t>
      </w:r>
      <w:r>
        <w:rPr>
          <w:rFonts w:eastAsia="Calibri"/>
          <w:b/>
          <w:bCs/>
          <w:color w:val="auto"/>
          <w:lang w:val="es-ES"/>
        </w:rPr>
        <w:t xml:space="preserve"> </w:t>
      </w:r>
    </w:p>
    <w:p w14:paraId="09965755" w14:textId="77777777" w:rsidR="00862E0E" w:rsidRDefault="00862E0E" w:rsidP="00862E0E">
      <w:pPr>
        <w:pStyle w:val="Normal11pt"/>
        <w:ind w:left="0"/>
        <w:rPr>
          <w:rFonts w:eastAsia="Calibri"/>
          <w:b/>
          <w:bCs/>
          <w:color w:val="auto"/>
          <w:lang w:val="es-ES"/>
        </w:rPr>
      </w:pPr>
    </w:p>
    <w:p w14:paraId="67A1147E" w14:textId="7DE440EA" w:rsidR="00862E0E" w:rsidRDefault="00862E0E" w:rsidP="00862E0E">
      <w:pPr>
        <w:pStyle w:val="Normal11pt"/>
        <w:spacing w:after="120" w:line="276" w:lineRule="auto"/>
        <w:ind w:left="0"/>
        <w:rPr>
          <w:rFonts w:eastAsia="Calibri"/>
          <w:color w:val="auto"/>
          <w:lang w:val="es-ES"/>
        </w:rPr>
      </w:pPr>
      <w:r>
        <w:rPr>
          <w:rFonts w:eastAsia="Calibri"/>
          <w:color w:val="auto"/>
          <w:lang w:val="es-ES"/>
        </w:rPr>
        <w:t xml:space="preserve">Los documentos tipo para la contratación de obra pública de infraestructura social, adoptados por esta Agencia mediante la Resolución 219 del 6 de agosto de 2021, fueron concebidos como unos </w:t>
      </w:r>
      <w:r w:rsidRPr="00615D22">
        <w:rPr>
          <w:rFonts w:eastAsia="Calibri"/>
          <w:i/>
          <w:iCs/>
          <w:color w:val="auto"/>
          <w:lang w:val="es-ES"/>
        </w:rPr>
        <w:t>documentos tipo marco</w:t>
      </w:r>
      <w:r>
        <w:rPr>
          <w:rFonts w:eastAsia="Calibri"/>
          <w:i/>
          <w:iCs/>
          <w:color w:val="auto"/>
          <w:lang w:val="es-ES"/>
        </w:rPr>
        <w:t xml:space="preserve"> o transversales</w:t>
      </w:r>
      <w:r>
        <w:rPr>
          <w:rFonts w:eastAsia="Calibri"/>
          <w:color w:val="auto"/>
          <w:lang w:val="es-ES"/>
        </w:rPr>
        <w:t xml:space="preserve">, en la medida que el documento base, formatos, matrices y anexos implementados mediante la misma, </w:t>
      </w:r>
      <w:r w:rsidR="00E31965">
        <w:rPr>
          <w:rFonts w:eastAsia="Calibri"/>
          <w:color w:val="auto"/>
          <w:lang w:val="es-ES"/>
        </w:rPr>
        <w:t xml:space="preserve">son </w:t>
      </w:r>
      <w:r>
        <w:rPr>
          <w:rFonts w:eastAsia="Calibri"/>
          <w:color w:val="auto"/>
          <w:lang w:val="es-ES"/>
        </w:rPr>
        <w:t xml:space="preserve">aplicables a la contratación de obras en la modalidad de licitación pública, relacionadas con tres sectores que se integran el concepto de infraestructura social, a saber: i) educación, </w:t>
      </w:r>
      <w:proofErr w:type="spellStart"/>
      <w:r>
        <w:rPr>
          <w:rFonts w:eastAsia="Calibri"/>
          <w:color w:val="auto"/>
          <w:lang w:val="es-ES"/>
        </w:rPr>
        <w:t>ii</w:t>
      </w:r>
      <w:proofErr w:type="spellEnd"/>
      <w:r>
        <w:rPr>
          <w:rFonts w:eastAsia="Calibri"/>
          <w:color w:val="auto"/>
          <w:lang w:val="es-ES"/>
        </w:rPr>
        <w:t xml:space="preserve">) salud y  </w:t>
      </w:r>
      <w:proofErr w:type="spellStart"/>
      <w:r>
        <w:rPr>
          <w:rFonts w:eastAsia="Calibri"/>
          <w:color w:val="auto"/>
          <w:lang w:val="es-ES"/>
        </w:rPr>
        <w:t>iii</w:t>
      </w:r>
      <w:proofErr w:type="spellEnd"/>
      <w:r>
        <w:rPr>
          <w:rFonts w:eastAsia="Calibri"/>
          <w:color w:val="auto"/>
          <w:lang w:val="es-ES"/>
        </w:rPr>
        <w:t xml:space="preserve">) recreación, cultura y deporte. La aplicación de estos documentos tipo debe ser complementada con los </w:t>
      </w:r>
      <w:r w:rsidRPr="00615D22">
        <w:rPr>
          <w:rFonts w:eastAsia="Calibri"/>
          <w:i/>
          <w:iCs/>
          <w:color w:val="auto"/>
          <w:lang w:val="es-ES"/>
        </w:rPr>
        <w:t>documentos tipo complementarios</w:t>
      </w:r>
      <w:r>
        <w:rPr>
          <w:rFonts w:eastAsia="Calibri"/>
          <w:color w:val="auto"/>
          <w:lang w:val="es-ES"/>
        </w:rPr>
        <w:t xml:space="preserve"> </w:t>
      </w:r>
      <w:r w:rsidR="00E31965">
        <w:rPr>
          <w:rFonts w:eastAsia="Calibri"/>
          <w:color w:val="auto"/>
          <w:lang w:val="es-ES"/>
        </w:rPr>
        <w:t>expedidos</w:t>
      </w:r>
      <w:r>
        <w:rPr>
          <w:rFonts w:eastAsia="Calibri"/>
          <w:color w:val="auto"/>
          <w:lang w:val="es-ES"/>
        </w:rPr>
        <w:t xml:space="preserve"> para cada sector, consistentes en las matrices de experiencia y anexos técnicos de cada</w:t>
      </w:r>
      <w:r w:rsidR="00E31965">
        <w:rPr>
          <w:rFonts w:eastAsia="Calibri"/>
          <w:color w:val="auto"/>
          <w:lang w:val="es-ES"/>
        </w:rPr>
        <w:t xml:space="preserve"> uno de ellos</w:t>
      </w:r>
      <w:r>
        <w:rPr>
          <w:rFonts w:eastAsia="Calibri"/>
          <w:color w:val="auto"/>
          <w:lang w:val="es-ES"/>
        </w:rPr>
        <w:t xml:space="preserve">. </w:t>
      </w:r>
    </w:p>
    <w:p w14:paraId="299C23F4" w14:textId="66A9389B" w:rsidR="00862E0E" w:rsidRDefault="00862E0E" w:rsidP="00862E0E">
      <w:pPr>
        <w:pStyle w:val="Normal11pt"/>
        <w:spacing w:after="120" w:line="276" w:lineRule="auto"/>
        <w:ind w:left="0"/>
        <w:rPr>
          <w:rFonts w:eastAsia="Calibri"/>
          <w:color w:val="auto"/>
          <w:lang w:val="es-ES"/>
        </w:rPr>
      </w:pPr>
      <w:r>
        <w:rPr>
          <w:rFonts w:eastAsia="Calibri"/>
          <w:color w:val="auto"/>
          <w:lang w:val="es-ES"/>
        </w:rPr>
        <w:tab/>
        <w:t>En este orden de ideas, la Agencia ha expedido tres documentos tipo complementarios de infraestructura social.</w:t>
      </w:r>
      <w:r w:rsidR="00E31965">
        <w:rPr>
          <w:rFonts w:eastAsia="Calibri"/>
          <w:color w:val="auto"/>
          <w:lang w:val="es-ES"/>
        </w:rPr>
        <w:t xml:space="preserve"> </w:t>
      </w:r>
      <w:r>
        <w:rPr>
          <w:rFonts w:eastAsia="Calibri"/>
          <w:color w:val="auto"/>
          <w:lang w:val="es-ES"/>
        </w:rPr>
        <w:t xml:space="preserve"> </w:t>
      </w:r>
      <w:r w:rsidR="00E31965">
        <w:rPr>
          <w:rFonts w:eastAsia="Calibri"/>
          <w:color w:val="auto"/>
          <w:lang w:val="es-ES"/>
        </w:rPr>
        <w:t>L</w:t>
      </w:r>
      <w:r w:rsidRPr="00303CC5">
        <w:rPr>
          <w:rFonts w:eastAsia="Calibri"/>
          <w:color w:val="auto"/>
          <w:lang w:val="es-ES"/>
        </w:rPr>
        <w:t xml:space="preserve">a Resolución 220 del 6 de agosto de 2021, </w:t>
      </w:r>
      <w:r w:rsidR="00D02A03">
        <w:rPr>
          <w:rFonts w:eastAsia="Calibri"/>
          <w:color w:val="auto"/>
          <w:lang w:val="es-ES"/>
        </w:rPr>
        <w:t>«</w:t>
      </w:r>
      <w:r w:rsidRPr="006B0686">
        <w:rPr>
          <w:rFonts w:eastAsia="Calibri"/>
          <w:color w:val="auto"/>
          <w:lang w:val="es-ES"/>
        </w:rPr>
        <w:t>Por la cual se adoptan los documentos tipo complementarios para los procesos de licitación de obra pública de infraestructura social relacionados con el sector educativo</w:t>
      </w:r>
      <w:r w:rsidR="00D02A03">
        <w:rPr>
          <w:rFonts w:eastAsia="Calibri"/>
          <w:color w:val="auto"/>
          <w:lang w:val="es-ES"/>
        </w:rPr>
        <w:t>»</w:t>
      </w:r>
      <w:r>
        <w:rPr>
          <w:rFonts w:eastAsia="Calibri"/>
          <w:color w:val="auto"/>
          <w:lang w:val="es-ES"/>
        </w:rPr>
        <w:t xml:space="preserve">; la Resolución </w:t>
      </w:r>
      <w:r w:rsidRPr="006B0686">
        <w:rPr>
          <w:rFonts w:eastAsia="Calibri"/>
          <w:color w:val="auto"/>
          <w:lang w:val="es-ES"/>
        </w:rPr>
        <w:t xml:space="preserve">392 de 2021 </w:t>
      </w:r>
      <w:r>
        <w:rPr>
          <w:rFonts w:eastAsia="Calibri"/>
          <w:color w:val="auto"/>
          <w:lang w:val="es-ES"/>
        </w:rPr>
        <w:t xml:space="preserve">del 18 de noviembre de 2021, </w:t>
      </w:r>
      <w:r w:rsidR="00D02A03">
        <w:rPr>
          <w:rFonts w:eastAsia="Calibri"/>
          <w:color w:val="auto"/>
          <w:lang w:val="es-ES"/>
        </w:rPr>
        <w:t>«</w:t>
      </w:r>
      <w:r w:rsidRPr="006B0686">
        <w:rPr>
          <w:rFonts w:eastAsia="Calibri"/>
          <w:color w:val="auto"/>
          <w:lang w:val="es-ES"/>
        </w:rPr>
        <w:t xml:space="preserve">Por la cual se adoptan los </w:t>
      </w:r>
      <w:r w:rsidRPr="006B0686">
        <w:rPr>
          <w:rFonts w:eastAsia="Calibri"/>
          <w:color w:val="auto"/>
          <w:lang w:val="es-ES"/>
        </w:rPr>
        <w:lastRenderedPageBreak/>
        <w:t>documentos tipo complementarios para los procesos de licitación de obra pública de infraestructura social relacionados con el sector salud</w:t>
      </w:r>
      <w:r w:rsidR="00D02A03">
        <w:rPr>
          <w:rFonts w:eastAsia="Calibri"/>
          <w:color w:val="auto"/>
          <w:lang w:val="es-ES"/>
        </w:rPr>
        <w:t>» y</w:t>
      </w:r>
      <w:r>
        <w:rPr>
          <w:rFonts w:eastAsia="Calibri"/>
          <w:color w:val="auto"/>
          <w:lang w:val="es-ES"/>
        </w:rPr>
        <w:t xml:space="preserve"> la Resolución </w:t>
      </w:r>
      <w:r w:rsidRPr="006B0686">
        <w:rPr>
          <w:rFonts w:eastAsia="Calibri"/>
          <w:color w:val="auto"/>
          <w:lang w:val="es-ES"/>
        </w:rPr>
        <w:t>454 de 2021</w:t>
      </w:r>
      <w:r>
        <w:rPr>
          <w:rFonts w:eastAsia="Calibri"/>
          <w:color w:val="auto"/>
          <w:lang w:val="es-ES"/>
        </w:rPr>
        <w:t xml:space="preserve"> del 16 de diciembre de 2021,</w:t>
      </w:r>
      <w:r w:rsidRPr="006B0686">
        <w:rPr>
          <w:rFonts w:eastAsia="Calibri"/>
          <w:color w:val="auto"/>
          <w:lang w:val="es-ES"/>
        </w:rPr>
        <w:t xml:space="preserve"> </w:t>
      </w:r>
      <w:r w:rsidR="00D02A03">
        <w:rPr>
          <w:rFonts w:eastAsia="Calibri"/>
          <w:color w:val="auto"/>
          <w:lang w:val="es-ES"/>
        </w:rPr>
        <w:t>«</w:t>
      </w:r>
      <w:r w:rsidRPr="006B0686">
        <w:rPr>
          <w:rFonts w:eastAsia="Calibri"/>
          <w:color w:val="auto"/>
          <w:lang w:val="es-ES"/>
        </w:rPr>
        <w:t>Por la cual se adoptan los documentos tipo complementarios para los procesos de licitación de obra pública de infraestructura social relacionados con el Sector cultura, recreación y deporte</w:t>
      </w:r>
      <w:r w:rsidR="00D02A03">
        <w:rPr>
          <w:rFonts w:eastAsia="Calibri"/>
          <w:color w:val="auto"/>
          <w:lang w:val="es-ES"/>
        </w:rPr>
        <w:t>»</w:t>
      </w:r>
      <w:r w:rsidRPr="006B0686">
        <w:rPr>
          <w:rFonts w:eastAsia="Calibri"/>
          <w:color w:val="auto"/>
          <w:lang w:val="es-ES"/>
        </w:rPr>
        <w:t>.</w:t>
      </w:r>
    </w:p>
    <w:p w14:paraId="661C1CFB" w14:textId="77777777" w:rsidR="00862E0E" w:rsidRDefault="00862E0E" w:rsidP="00862E0E">
      <w:pPr>
        <w:pStyle w:val="Normal11pt"/>
        <w:spacing w:after="120" w:line="276" w:lineRule="auto"/>
        <w:ind w:left="0" w:firstLine="708"/>
        <w:rPr>
          <w:rFonts w:eastAsia="Calibri"/>
          <w:color w:val="auto"/>
          <w:lang w:val="es-ES"/>
        </w:rPr>
      </w:pPr>
      <w:r>
        <w:rPr>
          <w:rFonts w:eastAsia="Calibri"/>
          <w:color w:val="auto"/>
          <w:lang w:val="es-ES"/>
        </w:rPr>
        <w:t xml:space="preserve">Debe destacarse que, en principio, las Resoluciones 219 y 220 del 6 de agosto de 2021 señalaban como fecha de inicio de implementación de estos documentos tipo el 30 de agosto de 2021. Sin embargo, diferentes entidades de los sectores involucrados, solicitaron a esta Agencia el aplazamiento de dicha fecha de aplicación, con el propósito de generar un mejor aproximación, apropiación y capacitación sobre el contenido de estos documentos, motivo por el cual se expidió la Resolución 261 del 27 de agosto de 2021, la cual aplazó la aplicación obligatoria de los documentos tipo de obra pública de infraestructura social y los complementarios del sector educativo para aquellos procesos «[…] </w:t>
      </w:r>
      <w:r w:rsidRPr="00EA6992">
        <w:rPr>
          <w:rFonts w:eastAsia="Calibri"/>
          <w:color w:val="auto"/>
          <w:lang w:val="es-ES"/>
        </w:rPr>
        <w:t>cuyo aviso de convocatoria sea publicado a partir del 2 de noviembre</w:t>
      </w:r>
      <w:r>
        <w:rPr>
          <w:rFonts w:eastAsia="Calibri"/>
          <w:color w:val="auto"/>
          <w:lang w:val="es-ES"/>
        </w:rPr>
        <w:t xml:space="preserve"> </w:t>
      </w:r>
      <w:r w:rsidRPr="00EA6992">
        <w:rPr>
          <w:rFonts w:eastAsia="Calibri"/>
          <w:color w:val="auto"/>
          <w:lang w:val="es-ES"/>
        </w:rPr>
        <w:t>del 2021</w:t>
      </w:r>
      <w:r>
        <w:rPr>
          <w:rFonts w:eastAsia="Calibri"/>
          <w:color w:val="auto"/>
          <w:lang w:val="es-ES"/>
        </w:rPr>
        <w:t>».</w:t>
      </w:r>
    </w:p>
    <w:p w14:paraId="5F90C51D" w14:textId="77777777" w:rsidR="00862E0E" w:rsidRDefault="00862E0E" w:rsidP="00862E0E">
      <w:pPr>
        <w:pStyle w:val="Normal11pt"/>
        <w:spacing w:after="120" w:line="276" w:lineRule="auto"/>
        <w:ind w:left="0" w:firstLine="708"/>
        <w:rPr>
          <w:rFonts w:eastAsia="Calibri"/>
          <w:color w:val="auto"/>
          <w:lang w:val="es-ES"/>
        </w:rPr>
      </w:pPr>
      <w:r>
        <w:rPr>
          <w:rFonts w:eastAsia="Calibri"/>
          <w:color w:val="auto"/>
          <w:lang w:val="es-ES"/>
        </w:rPr>
        <w:t>Sin embargo, el 2 de noviembre de 2021 se expidió la Resolución 336 de 2021, “</w:t>
      </w:r>
      <w:r w:rsidRPr="005B5C06">
        <w:rPr>
          <w:rFonts w:eastAsia="Calibri"/>
          <w:color w:val="auto"/>
          <w:lang w:val="es-ES"/>
        </w:rPr>
        <w:t>Por la cual se aplaza y se dispone la implementación gradual y progresiva de los Documentos tipo de obra pública de infraestructura social</w:t>
      </w:r>
      <w:r>
        <w:rPr>
          <w:rFonts w:eastAsia="Calibri"/>
          <w:color w:val="auto"/>
          <w:lang w:val="es-ES"/>
        </w:rPr>
        <w:t>”, aplicable para los tres documentos tipo complementarios que se han expedido. En su artículo 1 se establece:</w:t>
      </w:r>
    </w:p>
    <w:p w14:paraId="4FE6D402" w14:textId="77777777" w:rsidR="00862E0E" w:rsidRPr="00463923" w:rsidRDefault="00862E0E" w:rsidP="00862E0E">
      <w:pPr>
        <w:pStyle w:val="Normal11pt"/>
        <w:ind w:left="708" w:right="1325"/>
        <w:rPr>
          <w:rFonts w:eastAsia="Calibri"/>
          <w:color w:val="auto"/>
          <w:sz w:val="21"/>
          <w:szCs w:val="21"/>
          <w:lang w:val="es-ES"/>
        </w:rPr>
      </w:pPr>
      <w:r w:rsidRPr="00322087">
        <w:rPr>
          <w:rFonts w:eastAsia="Calibri"/>
          <w:color w:val="auto"/>
          <w:sz w:val="21"/>
          <w:szCs w:val="21"/>
          <w:lang w:val="es-ES"/>
        </w:rPr>
        <w:t>«</w:t>
      </w:r>
      <w:r w:rsidRPr="00463923">
        <w:rPr>
          <w:rFonts w:eastAsia="Calibri"/>
          <w:color w:val="auto"/>
          <w:sz w:val="21"/>
          <w:szCs w:val="21"/>
          <w:lang w:val="es-ES"/>
        </w:rPr>
        <w:t>Artículo 1.  Modifíquese el artículo 6 de la Resolución 219 del 6 de agosto de 2021.  Modifíquese el artículo 6 de la Resolución 219 del 6 de agosto de 2021, modificado por la Resolución 261 del 27 de agosto de 2021, por medio de la cual se expidieron los documentos tipo para procesos de licitación de obra pública de infraestructura social, en los siguientes términos:</w:t>
      </w:r>
    </w:p>
    <w:p w14:paraId="65602ED6" w14:textId="77777777" w:rsidR="00862E0E" w:rsidRDefault="00862E0E" w:rsidP="00862E0E">
      <w:pPr>
        <w:pStyle w:val="Normal11pt"/>
        <w:ind w:left="708" w:right="1325"/>
        <w:rPr>
          <w:rFonts w:eastAsia="Calibri"/>
          <w:color w:val="auto"/>
          <w:sz w:val="21"/>
          <w:szCs w:val="21"/>
          <w:lang w:val="es-ES"/>
        </w:rPr>
      </w:pPr>
      <w:r w:rsidRPr="00463923">
        <w:rPr>
          <w:rFonts w:eastAsia="Calibri"/>
          <w:color w:val="auto"/>
          <w:sz w:val="21"/>
          <w:szCs w:val="21"/>
          <w:lang w:val="es-ES"/>
        </w:rPr>
        <w:t>“Artículo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35F1A6FA" w14:textId="77777777" w:rsidR="00862E0E" w:rsidRDefault="00862E0E" w:rsidP="00862E0E">
      <w:pPr>
        <w:pStyle w:val="Normal11pt"/>
        <w:ind w:left="708" w:right="1325"/>
        <w:rPr>
          <w:rFonts w:eastAsia="Calibri"/>
          <w:color w:val="auto"/>
          <w:sz w:val="21"/>
          <w:szCs w:val="21"/>
          <w:lang w:val="es-ES"/>
        </w:rPr>
      </w:pPr>
      <w:r>
        <w:rPr>
          <w:rFonts w:eastAsia="Calibri"/>
          <w:color w:val="auto"/>
          <w:sz w:val="21"/>
          <w:szCs w:val="21"/>
          <w:lang w:val="es-ES"/>
        </w:rPr>
        <w:t xml:space="preserve">1. Las </w:t>
      </w:r>
      <w:r w:rsidRPr="004D1AA9">
        <w:rPr>
          <w:rFonts w:eastAsia="Calibri"/>
          <w:color w:val="auto"/>
          <w:sz w:val="21"/>
          <w:szCs w:val="21"/>
          <w:lang w:val="es-ES"/>
        </w:rPr>
        <w:t>entidades</w:t>
      </w:r>
      <w:r>
        <w:rPr>
          <w:rFonts w:eastAsia="Calibri"/>
          <w:color w:val="auto"/>
          <w:sz w:val="21"/>
          <w:szCs w:val="21"/>
          <w:lang w:val="es-ES"/>
        </w:rPr>
        <w:t xml:space="preserve"> </w:t>
      </w:r>
      <w:r w:rsidRPr="004D1AA9">
        <w:rPr>
          <w:rFonts w:eastAsia="Calibri"/>
          <w:color w:val="auto"/>
          <w:sz w:val="21"/>
          <w:szCs w:val="21"/>
          <w:lang w:val="es-ES"/>
        </w:rPr>
        <w:t>de</w:t>
      </w:r>
      <w:r>
        <w:rPr>
          <w:rFonts w:eastAsia="Calibri"/>
          <w:color w:val="auto"/>
          <w:sz w:val="21"/>
          <w:szCs w:val="21"/>
          <w:lang w:val="es-ES"/>
        </w:rPr>
        <w:t xml:space="preserve"> </w:t>
      </w:r>
      <w:r w:rsidRPr="004D1AA9">
        <w:rPr>
          <w:rFonts w:eastAsia="Calibri"/>
          <w:color w:val="auto"/>
          <w:sz w:val="21"/>
          <w:szCs w:val="21"/>
          <w:lang w:val="es-ES"/>
        </w:rPr>
        <w:t>los</w:t>
      </w:r>
      <w:r>
        <w:rPr>
          <w:rFonts w:eastAsia="Calibri"/>
          <w:color w:val="auto"/>
          <w:sz w:val="21"/>
          <w:szCs w:val="21"/>
          <w:lang w:val="es-ES"/>
        </w:rPr>
        <w:t xml:space="preserve"> </w:t>
      </w:r>
      <w:r w:rsidRPr="004D1AA9">
        <w:rPr>
          <w:rFonts w:eastAsia="Calibri"/>
          <w:color w:val="auto"/>
          <w:sz w:val="21"/>
          <w:szCs w:val="21"/>
          <w:lang w:val="es-ES"/>
        </w:rPr>
        <w:t>sectores</w:t>
      </w:r>
      <w:r>
        <w:rPr>
          <w:rFonts w:eastAsia="Calibri"/>
          <w:color w:val="auto"/>
          <w:sz w:val="21"/>
          <w:szCs w:val="21"/>
          <w:lang w:val="es-ES"/>
        </w:rPr>
        <w:t xml:space="preserve"> </w:t>
      </w:r>
      <w:r w:rsidRPr="004D1AA9">
        <w:rPr>
          <w:rFonts w:eastAsia="Calibri"/>
          <w:color w:val="auto"/>
          <w:sz w:val="21"/>
          <w:szCs w:val="21"/>
          <w:lang w:val="es-ES"/>
        </w:rPr>
        <w:t>ce</w:t>
      </w:r>
      <w:r>
        <w:rPr>
          <w:rFonts w:eastAsia="Calibri"/>
          <w:color w:val="auto"/>
          <w:sz w:val="21"/>
          <w:szCs w:val="21"/>
          <w:lang w:val="es-ES"/>
        </w:rPr>
        <w:t xml:space="preserve">ntral y descentralizado de la Rama </w:t>
      </w:r>
      <w:r w:rsidRPr="004D1AA9">
        <w:rPr>
          <w:rFonts w:eastAsia="Calibri"/>
          <w:color w:val="auto"/>
          <w:sz w:val="21"/>
          <w:szCs w:val="21"/>
          <w:lang w:val="es-ES"/>
        </w:rPr>
        <w:t>Ejecutiva</w:t>
      </w:r>
      <w:r>
        <w:rPr>
          <w:rFonts w:eastAsia="Calibri"/>
          <w:color w:val="auto"/>
          <w:sz w:val="21"/>
          <w:szCs w:val="21"/>
          <w:lang w:val="es-ES"/>
        </w:rPr>
        <w:t xml:space="preserve"> </w:t>
      </w:r>
      <w:r w:rsidRPr="004D1AA9">
        <w:rPr>
          <w:rFonts w:eastAsia="Calibri"/>
          <w:color w:val="auto"/>
          <w:sz w:val="21"/>
          <w:szCs w:val="21"/>
          <w:lang w:val="es-ES"/>
        </w:rPr>
        <w:t>del</w:t>
      </w:r>
      <w:r>
        <w:rPr>
          <w:rFonts w:eastAsia="Calibri"/>
          <w:color w:val="auto"/>
          <w:sz w:val="21"/>
          <w:szCs w:val="21"/>
          <w:lang w:val="es-ES"/>
        </w:rPr>
        <w:t xml:space="preserve"> </w:t>
      </w:r>
      <w:r w:rsidRPr="004D1AA9">
        <w:rPr>
          <w:rFonts w:eastAsia="Calibri"/>
          <w:color w:val="auto"/>
          <w:sz w:val="21"/>
          <w:szCs w:val="21"/>
          <w:lang w:val="es-ES"/>
        </w:rPr>
        <w:t>orden nacional deberán</w:t>
      </w:r>
      <w:r>
        <w:rPr>
          <w:rFonts w:eastAsia="Calibri"/>
          <w:color w:val="auto"/>
          <w:sz w:val="21"/>
          <w:szCs w:val="21"/>
          <w:lang w:val="es-ES"/>
        </w:rPr>
        <w:t xml:space="preserve"> </w:t>
      </w:r>
      <w:r w:rsidRPr="004D1AA9">
        <w:rPr>
          <w:rFonts w:eastAsia="Calibri"/>
          <w:color w:val="auto"/>
          <w:sz w:val="21"/>
          <w:szCs w:val="21"/>
          <w:lang w:val="es-ES"/>
        </w:rPr>
        <w:t>aplicar lo dispuesto</w:t>
      </w:r>
      <w:r>
        <w:rPr>
          <w:rFonts w:eastAsia="Calibri"/>
          <w:color w:val="auto"/>
          <w:sz w:val="21"/>
          <w:szCs w:val="21"/>
          <w:lang w:val="es-ES"/>
        </w:rPr>
        <w:t xml:space="preserve"> </w:t>
      </w:r>
      <w:r w:rsidRPr="004D1AA9">
        <w:rPr>
          <w:rFonts w:eastAsia="Calibri"/>
          <w:color w:val="auto"/>
          <w:sz w:val="21"/>
          <w:szCs w:val="21"/>
          <w:lang w:val="es-ES"/>
        </w:rPr>
        <w:t>en esta</w:t>
      </w:r>
      <w:r>
        <w:rPr>
          <w:rFonts w:eastAsia="Calibri"/>
          <w:color w:val="auto"/>
          <w:sz w:val="21"/>
          <w:szCs w:val="21"/>
          <w:lang w:val="es-ES"/>
        </w:rPr>
        <w:t xml:space="preserve"> </w:t>
      </w:r>
      <w:r w:rsidRPr="004D1AA9">
        <w:rPr>
          <w:rFonts w:eastAsia="Calibri"/>
          <w:color w:val="auto"/>
          <w:sz w:val="21"/>
          <w:szCs w:val="21"/>
          <w:lang w:val="es-ES"/>
        </w:rPr>
        <w:t xml:space="preserve">resolución </w:t>
      </w:r>
      <w:r>
        <w:rPr>
          <w:rFonts w:eastAsia="Calibri"/>
          <w:color w:val="auto"/>
          <w:sz w:val="21"/>
          <w:szCs w:val="21"/>
          <w:lang w:val="es-ES"/>
        </w:rPr>
        <w:t>en</w:t>
      </w:r>
      <w:r w:rsidRPr="004D1AA9">
        <w:rPr>
          <w:rFonts w:eastAsia="Calibri"/>
          <w:color w:val="auto"/>
          <w:sz w:val="21"/>
          <w:szCs w:val="21"/>
          <w:lang w:val="es-ES"/>
        </w:rPr>
        <w:t xml:space="preserve"> los </w:t>
      </w:r>
      <w:r>
        <w:rPr>
          <w:rFonts w:eastAsia="Calibri"/>
          <w:color w:val="auto"/>
          <w:sz w:val="21"/>
          <w:szCs w:val="21"/>
          <w:lang w:val="es-ES"/>
        </w:rPr>
        <w:t>p</w:t>
      </w:r>
      <w:r w:rsidRPr="004D1AA9">
        <w:rPr>
          <w:rFonts w:eastAsia="Calibri"/>
          <w:color w:val="auto"/>
          <w:sz w:val="21"/>
          <w:szCs w:val="21"/>
          <w:lang w:val="es-ES"/>
        </w:rPr>
        <w:t>rocedimientos de selección de licitación de obra pública de infraestructura social, cuyo aviso de convocatoria sea publicado a partir del 2 de noviembre de 2021.</w:t>
      </w:r>
    </w:p>
    <w:p w14:paraId="129F997E" w14:textId="77777777" w:rsidR="00862E0E" w:rsidRDefault="00862E0E" w:rsidP="00862E0E">
      <w:pPr>
        <w:pStyle w:val="Normal11pt"/>
        <w:ind w:left="708" w:right="1325"/>
        <w:rPr>
          <w:rFonts w:eastAsia="Calibri"/>
          <w:color w:val="auto"/>
          <w:sz w:val="21"/>
          <w:szCs w:val="21"/>
          <w:lang w:val="es-ES"/>
        </w:rPr>
      </w:pPr>
      <w:r w:rsidRPr="004D1AA9">
        <w:rPr>
          <w:rFonts w:eastAsia="Calibri"/>
          <w:color w:val="auto"/>
          <w:sz w:val="21"/>
          <w:szCs w:val="21"/>
          <w:lang w:val="es-ES"/>
        </w:rPr>
        <w:t>2</w:t>
      </w:r>
      <w:r>
        <w:rPr>
          <w:rFonts w:eastAsia="Calibri"/>
          <w:color w:val="auto"/>
          <w:sz w:val="21"/>
          <w:szCs w:val="21"/>
          <w:lang w:val="es-ES"/>
        </w:rPr>
        <w:t xml:space="preserve">.Las entidades del sector central y sector descentralizado de los niveles municipal y distrital de los municipios y distritos que sean capitales de departamentos deberán aplicar lo dispuesto en </w:t>
      </w:r>
      <w:r w:rsidRPr="004D1AA9">
        <w:rPr>
          <w:rFonts w:eastAsia="Calibri"/>
          <w:color w:val="auto"/>
          <w:sz w:val="21"/>
          <w:szCs w:val="21"/>
          <w:lang w:val="es-ES"/>
        </w:rPr>
        <w:t>esta resolución en</w:t>
      </w:r>
      <w:r>
        <w:rPr>
          <w:rFonts w:eastAsia="Calibri"/>
          <w:color w:val="auto"/>
          <w:sz w:val="21"/>
          <w:szCs w:val="21"/>
          <w:lang w:val="es-ES"/>
        </w:rPr>
        <w:t xml:space="preserve"> </w:t>
      </w:r>
      <w:r w:rsidRPr="004D1AA9">
        <w:rPr>
          <w:rFonts w:eastAsia="Calibri"/>
          <w:color w:val="auto"/>
          <w:sz w:val="21"/>
          <w:szCs w:val="21"/>
          <w:lang w:val="es-ES"/>
        </w:rPr>
        <w:t xml:space="preserve">los procedimientos de selección de licitación de obra pública de infraestructura social, cuyo aviso de convocatoria sea publicado a partir del 1 de febrero de 2022. </w:t>
      </w:r>
    </w:p>
    <w:p w14:paraId="0FD033FE" w14:textId="072A6CC4" w:rsidR="00862E0E" w:rsidRDefault="00862E0E" w:rsidP="00862E0E">
      <w:pPr>
        <w:pStyle w:val="Normal11pt"/>
        <w:ind w:left="708" w:right="1325"/>
        <w:rPr>
          <w:rFonts w:eastAsia="Calibri"/>
          <w:color w:val="auto"/>
          <w:sz w:val="21"/>
          <w:szCs w:val="21"/>
          <w:lang w:val="es-ES"/>
        </w:rPr>
      </w:pPr>
      <w:r w:rsidRPr="004D1AA9">
        <w:rPr>
          <w:rFonts w:eastAsia="Calibri"/>
          <w:color w:val="auto"/>
          <w:sz w:val="21"/>
          <w:szCs w:val="21"/>
          <w:lang w:val="es-ES"/>
        </w:rPr>
        <w:t>3. Las entidades del sec</w:t>
      </w:r>
      <w:r>
        <w:rPr>
          <w:rFonts w:eastAsia="Calibri"/>
          <w:color w:val="auto"/>
          <w:sz w:val="21"/>
          <w:szCs w:val="21"/>
          <w:lang w:val="es-ES"/>
        </w:rPr>
        <w:t>t</w:t>
      </w:r>
      <w:r w:rsidRPr="004D1AA9">
        <w:rPr>
          <w:rFonts w:eastAsia="Calibri"/>
          <w:color w:val="auto"/>
          <w:sz w:val="21"/>
          <w:szCs w:val="21"/>
          <w:lang w:val="es-ES"/>
        </w:rPr>
        <w:t>or central y del sector descentralizado del nivel depar</w:t>
      </w:r>
      <w:r>
        <w:rPr>
          <w:rFonts w:eastAsia="Calibri"/>
          <w:color w:val="auto"/>
          <w:sz w:val="21"/>
          <w:szCs w:val="21"/>
          <w:lang w:val="es-ES"/>
        </w:rPr>
        <w:t>t</w:t>
      </w:r>
      <w:r w:rsidRPr="004D1AA9">
        <w:rPr>
          <w:rFonts w:eastAsia="Calibri"/>
          <w:color w:val="auto"/>
          <w:sz w:val="21"/>
          <w:szCs w:val="21"/>
          <w:lang w:val="es-ES"/>
        </w:rPr>
        <w:t>amental, así como las de los municipios de categorías especial 1, 2 y 3, no cob</w:t>
      </w:r>
      <w:r>
        <w:rPr>
          <w:rFonts w:eastAsia="Calibri"/>
          <w:color w:val="auto"/>
          <w:sz w:val="21"/>
          <w:szCs w:val="21"/>
          <w:lang w:val="es-ES"/>
        </w:rPr>
        <w:t xml:space="preserve">ijadas </w:t>
      </w:r>
      <w:r w:rsidRPr="004D1AA9">
        <w:rPr>
          <w:rFonts w:eastAsia="Calibri"/>
          <w:color w:val="auto"/>
          <w:sz w:val="21"/>
          <w:szCs w:val="21"/>
          <w:lang w:val="es-ES"/>
        </w:rPr>
        <w:t xml:space="preserve">por los anteriores numerales del presente artículo, deberán aplicar lo dispuesto en esta resolución en los procedimientos de </w:t>
      </w:r>
      <w:r w:rsidRPr="004D1AA9">
        <w:rPr>
          <w:rFonts w:eastAsia="Calibri"/>
          <w:color w:val="auto"/>
          <w:sz w:val="21"/>
          <w:szCs w:val="21"/>
          <w:lang w:val="es-ES"/>
        </w:rPr>
        <w:lastRenderedPageBreak/>
        <w:t>selección de licitación de obra pública de infraestructura social, cuyo aviso de convocatoria sea publicado a par</w:t>
      </w:r>
      <w:r>
        <w:rPr>
          <w:rFonts w:eastAsia="Calibri"/>
          <w:color w:val="auto"/>
          <w:sz w:val="21"/>
          <w:szCs w:val="21"/>
          <w:lang w:val="es-ES"/>
        </w:rPr>
        <w:t>tir</w:t>
      </w:r>
      <w:r w:rsidRPr="004D1AA9">
        <w:rPr>
          <w:rFonts w:eastAsia="Calibri"/>
          <w:color w:val="auto"/>
          <w:sz w:val="21"/>
          <w:szCs w:val="21"/>
          <w:lang w:val="es-ES"/>
        </w:rPr>
        <w:t xml:space="preserve"> del 1 de marzo de 2022. </w:t>
      </w:r>
    </w:p>
    <w:p w14:paraId="019B4FCF" w14:textId="77777777" w:rsidR="00482E22" w:rsidRDefault="00482E22" w:rsidP="00862E0E">
      <w:pPr>
        <w:pStyle w:val="Normal11pt"/>
        <w:ind w:left="708" w:right="1325"/>
        <w:rPr>
          <w:rFonts w:eastAsia="Calibri"/>
          <w:color w:val="auto"/>
          <w:sz w:val="21"/>
          <w:szCs w:val="21"/>
          <w:lang w:val="es-ES"/>
        </w:rPr>
      </w:pPr>
    </w:p>
    <w:p w14:paraId="41675A1C" w14:textId="77777777" w:rsidR="00862E0E" w:rsidRDefault="00862E0E" w:rsidP="00862E0E">
      <w:pPr>
        <w:pStyle w:val="Normal11pt"/>
        <w:ind w:left="708" w:right="1325"/>
        <w:rPr>
          <w:rFonts w:eastAsia="Calibri"/>
          <w:color w:val="auto"/>
          <w:sz w:val="21"/>
          <w:szCs w:val="21"/>
          <w:lang w:val="es-ES"/>
        </w:rPr>
      </w:pPr>
      <w:r w:rsidRPr="004D1AA9">
        <w:rPr>
          <w:rFonts w:eastAsia="Calibri"/>
          <w:color w:val="auto"/>
          <w:sz w:val="21"/>
          <w:szCs w:val="21"/>
          <w:lang w:val="es-ES"/>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34F8BEE9" w14:textId="77777777" w:rsidR="00862E0E" w:rsidRPr="00463923" w:rsidRDefault="00862E0E" w:rsidP="00862E0E">
      <w:pPr>
        <w:pStyle w:val="Normal11pt"/>
        <w:ind w:left="708" w:right="1325"/>
        <w:rPr>
          <w:rFonts w:eastAsia="Calibri"/>
          <w:color w:val="auto"/>
          <w:sz w:val="21"/>
          <w:szCs w:val="21"/>
          <w:lang w:val="es-ES"/>
        </w:rPr>
      </w:pPr>
      <w:r w:rsidRPr="004D1AA9">
        <w:rPr>
          <w:rFonts w:eastAsia="Calibri"/>
          <w:color w:val="auto"/>
          <w:sz w:val="21"/>
          <w:szCs w:val="21"/>
          <w:lang w:val="es-ES"/>
        </w:rPr>
        <w:t>Parágrafo. La aplicación de los documentos t</w:t>
      </w:r>
      <w:r>
        <w:rPr>
          <w:rFonts w:eastAsia="Calibri"/>
          <w:color w:val="auto"/>
          <w:sz w:val="21"/>
          <w:szCs w:val="21"/>
          <w:lang w:val="es-ES"/>
        </w:rPr>
        <w:t>i</w:t>
      </w:r>
      <w:r w:rsidRPr="004D1AA9">
        <w:rPr>
          <w:rFonts w:eastAsia="Calibri"/>
          <w:color w:val="auto"/>
          <w:sz w:val="21"/>
          <w:szCs w:val="21"/>
          <w:lang w:val="es-ES"/>
        </w:rPr>
        <w:t>po</w:t>
      </w:r>
      <w:r>
        <w:rPr>
          <w:rFonts w:eastAsia="Calibri"/>
          <w:color w:val="auto"/>
          <w:sz w:val="21"/>
          <w:szCs w:val="21"/>
          <w:lang w:val="es-ES"/>
        </w:rPr>
        <w:t xml:space="preserve"> </w:t>
      </w:r>
      <w:r w:rsidRPr="004D1AA9">
        <w:rPr>
          <w:rFonts w:eastAsia="Calibri"/>
          <w:color w:val="auto"/>
          <w:sz w:val="21"/>
          <w:szCs w:val="21"/>
          <w:lang w:val="es-ES"/>
        </w:rPr>
        <w:t>de licitación de</w:t>
      </w:r>
      <w:r>
        <w:rPr>
          <w:rFonts w:eastAsia="Calibri"/>
          <w:color w:val="auto"/>
          <w:sz w:val="21"/>
          <w:szCs w:val="21"/>
          <w:lang w:val="es-ES"/>
        </w:rPr>
        <w:t xml:space="preserve"> </w:t>
      </w:r>
      <w:r w:rsidRPr="004D1AA9">
        <w:rPr>
          <w:rFonts w:eastAsia="Calibri"/>
          <w:color w:val="auto"/>
          <w:sz w:val="21"/>
          <w:szCs w:val="21"/>
          <w:lang w:val="es-ES"/>
        </w:rPr>
        <w:t>obra pública de infraestructura</w:t>
      </w:r>
      <w:r>
        <w:rPr>
          <w:rFonts w:eastAsia="Calibri"/>
          <w:color w:val="auto"/>
          <w:sz w:val="21"/>
          <w:szCs w:val="21"/>
          <w:lang w:val="es-ES"/>
        </w:rPr>
        <w:t xml:space="preserve"> </w:t>
      </w:r>
      <w:r w:rsidRPr="004D1AA9">
        <w:rPr>
          <w:rFonts w:eastAsia="Calibri"/>
          <w:color w:val="auto"/>
          <w:sz w:val="21"/>
          <w:szCs w:val="21"/>
          <w:lang w:val="es-ES"/>
        </w:rPr>
        <w:t>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r w:rsidRPr="00322087">
        <w:rPr>
          <w:rFonts w:eastAsia="Calibri"/>
          <w:color w:val="auto"/>
          <w:sz w:val="21"/>
          <w:szCs w:val="21"/>
          <w:lang w:val="es-ES"/>
        </w:rPr>
        <w:t>»</w:t>
      </w:r>
    </w:p>
    <w:p w14:paraId="45C0C936" w14:textId="77777777" w:rsidR="00862E0E" w:rsidRDefault="00862E0E" w:rsidP="001E528E">
      <w:pPr>
        <w:pStyle w:val="Normal11pt"/>
        <w:spacing w:line="276" w:lineRule="auto"/>
        <w:ind w:left="0"/>
        <w:rPr>
          <w:rFonts w:eastAsia="Calibri"/>
          <w:color w:val="auto"/>
          <w:lang w:val="es-ES"/>
        </w:rPr>
      </w:pPr>
    </w:p>
    <w:p w14:paraId="0FF3EAEC" w14:textId="5774AC76" w:rsidR="00862E0E" w:rsidRDefault="00862E0E" w:rsidP="00862E0E">
      <w:pPr>
        <w:pStyle w:val="Normal11pt"/>
        <w:spacing w:after="120" w:line="276" w:lineRule="auto"/>
        <w:ind w:left="0" w:firstLine="708"/>
      </w:pPr>
      <w:r>
        <w:t>En este contexto, sobre la base de las reglas de vigencia de los documentos tipo de infraestructura social transversales y los tres documentos tipo complementarios expedidos, es importante resaltar que</w:t>
      </w:r>
      <w:r w:rsidRPr="003E5B79">
        <w:t>,</w:t>
      </w:r>
      <w:r>
        <w:t xml:space="preserve"> de conformidad con el parágrafo 2 de la Resolución 219 de 2021</w:t>
      </w:r>
      <w:r w:rsidRPr="0046195E">
        <w:t xml:space="preserve"> </w:t>
      </w:r>
      <w:r>
        <w:t>los</w:t>
      </w:r>
      <w:r w:rsidRPr="0046195E">
        <w:t xml:space="preserve"> documentos tipo</w:t>
      </w:r>
      <w:r>
        <w:t xml:space="preserve"> de infraestructura social </w:t>
      </w:r>
      <w:r w:rsidRPr="0046195E">
        <w:t>«</w:t>
      </w:r>
      <w:r>
        <w:t xml:space="preserve">[…] </w:t>
      </w:r>
      <w:r w:rsidRPr="0046195E">
        <w:t>aplicarán  a  los  proyectos  de  infraestructura  social,  tales como, sector educativo, sector salud y sector cultural,  recreación y deporte, de conformidad con cada una de las resoluciones que expida la Agencia Nacional de Contratación Pública -Colombia Compra Eficiente-,</w:t>
      </w:r>
      <w:r>
        <w:t xml:space="preserve"> </w:t>
      </w:r>
      <w:r w:rsidRPr="0046195E">
        <w:t>donde</w:t>
      </w:r>
      <w:r>
        <w:t xml:space="preserve"> </w:t>
      </w:r>
      <w:r w:rsidRPr="0046195E">
        <w:t>se precisará el alcance concreto de estos  documen</w:t>
      </w:r>
      <w:r>
        <w:t>t</w:t>
      </w:r>
      <w:r w:rsidRPr="0046195E">
        <w:t>os tipo; sin perjuicio de que se inc</w:t>
      </w:r>
      <w:r>
        <w:t>l</w:t>
      </w:r>
      <w:r w:rsidRPr="0046195E">
        <w:t>uyan otros tipos de infraestructura social</w:t>
      </w:r>
      <w:r w:rsidRPr="006A1E6E">
        <w:t>»</w:t>
      </w:r>
      <w:r w:rsidR="0042053C">
        <w:t>.</w:t>
      </w:r>
    </w:p>
    <w:p w14:paraId="6CF96F67" w14:textId="77777777" w:rsidR="007F7EF6" w:rsidRDefault="00F61104" w:rsidP="00256BF9">
      <w:pPr>
        <w:pStyle w:val="Normal11pt"/>
        <w:spacing w:line="276" w:lineRule="auto"/>
        <w:ind w:left="0" w:firstLine="708"/>
      </w:pPr>
      <w:r>
        <w:t xml:space="preserve">Ahora bien, </w:t>
      </w:r>
      <w:r w:rsidR="00EF55BE">
        <w:t>la consulta apunta a determinar si las plazas de mercado son considera</w:t>
      </w:r>
      <w:r w:rsidR="003B7A1B">
        <w:t>das infraestructura cultural, a efectos de aplicar de manera obligatoria los documentos tipo de infraestructura social</w:t>
      </w:r>
      <w:r w:rsidR="00BC6673">
        <w:t xml:space="preserve">. A tales efectos, es preciso traer a colación la noción de </w:t>
      </w:r>
      <w:r w:rsidR="00BC6673" w:rsidRPr="00256BF9">
        <w:rPr>
          <w:i/>
          <w:iCs/>
        </w:rPr>
        <w:t>infraestructura cultural</w:t>
      </w:r>
      <w:r w:rsidR="00BC6673">
        <w:t xml:space="preserve"> establecida en el «Anexo - </w:t>
      </w:r>
      <w:r w:rsidR="007F7EF6">
        <w:t>Sector Cultura, Recreación y Deporte» adoptado por la Resolución 454 de 2021, el cual dispone lo siguiente:</w:t>
      </w:r>
    </w:p>
    <w:p w14:paraId="484E1275" w14:textId="77777777" w:rsidR="007F7EF6" w:rsidRDefault="007F7EF6" w:rsidP="00256BF9">
      <w:pPr>
        <w:pStyle w:val="Normal11pt"/>
        <w:spacing w:line="276" w:lineRule="auto"/>
        <w:ind w:left="0" w:firstLine="708"/>
      </w:pPr>
    </w:p>
    <w:p w14:paraId="7113DD61" w14:textId="4EB386B7" w:rsidR="004F27D9" w:rsidRPr="00256BF9" w:rsidRDefault="00482E22" w:rsidP="00256BF9">
      <w:pPr>
        <w:ind w:left="709" w:right="709"/>
        <w:contextualSpacing/>
        <w:jc w:val="both"/>
        <w:rPr>
          <w:rFonts w:ascii="Arial" w:eastAsia="Arial" w:hAnsi="Arial" w:cs="Arial"/>
          <w:b/>
          <w:bCs/>
          <w:sz w:val="21"/>
          <w:szCs w:val="21"/>
        </w:rPr>
      </w:pPr>
      <w:r>
        <w:rPr>
          <w:rFonts w:ascii="Arial" w:eastAsia="Arial" w:hAnsi="Arial" w:cs="Arial"/>
          <w:b/>
          <w:bCs/>
          <w:sz w:val="21"/>
          <w:szCs w:val="21"/>
        </w:rPr>
        <w:t>«</w:t>
      </w:r>
      <w:r w:rsidR="004F27D9" w:rsidRPr="00256BF9">
        <w:rPr>
          <w:rFonts w:ascii="Arial" w:eastAsia="Arial" w:hAnsi="Arial" w:cs="Arial"/>
          <w:b/>
          <w:bCs/>
          <w:sz w:val="21"/>
          <w:szCs w:val="21"/>
        </w:rPr>
        <w:t>2.60. Infraestructura Cultural:</w:t>
      </w:r>
      <w:r w:rsidR="004F27D9" w:rsidRPr="00256BF9">
        <w:rPr>
          <w:rFonts w:ascii="Arial" w:eastAsia="Arial" w:hAnsi="Arial" w:cs="Arial"/>
          <w:sz w:val="21"/>
          <w:szCs w:val="21"/>
        </w:rPr>
        <w:t xml:space="preserve"> Todos aquellos espacios físicos donde tienen </w:t>
      </w:r>
      <w:bookmarkStart w:id="4" w:name="_Hlk103933144"/>
      <w:r w:rsidR="004F27D9" w:rsidRPr="00256BF9">
        <w:rPr>
          <w:rFonts w:ascii="Arial" w:eastAsia="Arial" w:hAnsi="Arial" w:cs="Arial"/>
          <w:sz w:val="21"/>
          <w:szCs w:val="21"/>
        </w:rPr>
        <w:t>lugar las diversas prácticas y manifestaciones artísticas y culturales de las comunidades, c</w:t>
      </w:r>
      <w:bookmarkEnd w:id="4"/>
      <w:r w:rsidR="004F27D9" w:rsidRPr="00256BF9">
        <w:rPr>
          <w:rFonts w:ascii="Arial" w:eastAsia="Arial" w:hAnsi="Arial" w:cs="Arial"/>
          <w:sz w:val="21"/>
          <w:szCs w:val="21"/>
        </w:rPr>
        <w:t>omo casas de cultura, salas de música, escuelas de música, escuelas de baile, salones de baile, bibliotecas, teatros, auditorios, centros de convenciones, escuelas de artes y oficios, talleres de artes y oficios, museos, fonotecas, fototecas, salas de conciertos, archivos, plazas de conciertos, conchas acústicas, coliseos de uso múltiple, aulas múltiples, malocas, centros ceremoniales, cinematecas, catedrales, teatros, centros culturales, escuelas de formación artística, maloca, etc.</w:t>
      </w:r>
      <w:r>
        <w:rPr>
          <w:rFonts w:ascii="Arial" w:eastAsia="Arial" w:hAnsi="Arial" w:cs="Arial"/>
          <w:sz w:val="21"/>
          <w:szCs w:val="21"/>
        </w:rPr>
        <w:t>»</w:t>
      </w:r>
      <w:r w:rsidR="004F27D9" w:rsidRPr="00256BF9">
        <w:rPr>
          <w:rFonts w:ascii="Arial" w:eastAsia="Arial" w:hAnsi="Arial" w:cs="Arial"/>
          <w:sz w:val="21"/>
          <w:szCs w:val="21"/>
        </w:rPr>
        <w:t>.</w:t>
      </w:r>
    </w:p>
    <w:p w14:paraId="0408459A" w14:textId="77777777" w:rsidR="004F27D9" w:rsidRDefault="003B7A1B" w:rsidP="00256BF9">
      <w:pPr>
        <w:pStyle w:val="Normal11pt"/>
        <w:spacing w:line="276" w:lineRule="auto"/>
        <w:ind w:left="0" w:firstLine="708"/>
      </w:pPr>
      <w:r>
        <w:lastRenderedPageBreak/>
        <w:t xml:space="preserve"> </w:t>
      </w:r>
    </w:p>
    <w:p w14:paraId="73DDCBA8" w14:textId="238C4F6D" w:rsidR="00EE22D2" w:rsidRDefault="004F27D9" w:rsidP="00862E0E">
      <w:pPr>
        <w:pStyle w:val="Normal11pt"/>
        <w:spacing w:after="120" w:line="276" w:lineRule="auto"/>
        <w:ind w:left="0" w:firstLine="708"/>
      </w:pPr>
      <w:r>
        <w:t xml:space="preserve">Conforme se aprecia, </w:t>
      </w:r>
      <w:r w:rsidR="00A82514">
        <w:t>la noción de infraestructura cultural</w:t>
      </w:r>
      <w:r w:rsidR="006072DF">
        <w:t xml:space="preserve"> está asociada a espacios físicos destinados a la </w:t>
      </w:r>
      <w:r w:rsidR="00F3556C">
        <w:t xml:space="preserve">realización de </w:t>
      </w:r>
      <w:r w:rsidR="006072DF" w:rsidRPr="006072DF">
        <w:t xml:space="preserve">prácticas y manifestaciones artísticas </w:t>
      </w:r>
      <w:r w:rsidR="00F3556C">
        <w:t>o</w:t>
      </w:r>
      <w:r w:rsidR="006072DF" w:rsidRPr="006072DF">
        <w:t xml:space="preserve"> culturales</w:t>
      </w:r>
      <w:r w:rsidR="00F3556C">
        <w:t xml:space="preserve">, tales como los diferentes </w:t>
      </w:r>
      <w:proofErr w:type="gramStart"/>
      <w:r w:rsidR="009E5CD6">
        <w:t>tipologías referidos</w:t>
      </w:r>
      <w:proofErr w:type="gramEnd"/>
      <w:r w:rsidR="009E5CD6">
        <w:t xml:space="preserve"> de manera enunciativa en la noción citada. </w:t>
      </w:r>
      <w:r w:rsidR="006072DF" w:rsidRPr="006072DF">
        <w:t xml:space="preserve"> </w:t>
      </w:r>
      <w:r w:rsidR="009E5CD6">
        <w:t xml:space="preserve">Estos fines artísticos y culturales se echan de menos en </w:t>
      </w:r>
      <w:r w:rsidR="004A0C86">
        <w:t xml:space="preserve">espacios </w:t>
      </w:r>
      <w:r w:rsidR="00EA50D0">
        <w:t>como las plazas de mercado a las que se hace referencia en la consulta, los cuales son concebidos con fines comerciales</w:t>
      </w:r>
      <w:r w:rsidR="00EE22D2">
        <w:t>, razón por la que no encajan dentro de la noción de infraestructura cultural a la que se hace referencia.</w:t>
      </w:r>
    </w:p>
    <w:p w14:paraId="31438A13" w14:textId="3A3F24F5" w:rsidR="00203299" w:rsidRDefault="00EE22D2" w:rsidP="00862E0E">
      <w:pPr>
        <w:pStyle w:val="Normal11pt"/>
        <w:spacing w:after="120" w:line="276" w:lineRule="auto"/>
        <w:ind w:left="0" w:firstLine="708"/>
      </w:pPr>
      <w:r>
        <w:t xml:space="preserve">Tal consideración significa que la contratación de obras públicas respecto de plazas de mercado, </w:t>
      </w:r>
      <w:r w:rsidR="00EB4336">
        <w:t>no se encuentra cobijada por el ámbito de aplicación de los documentos tipo expedidos mediante las resoluciones 219 y 4</w:t>
      </w:r>
      <w:r w:rsidR="00CD08A2">
        <w:t>54 de 2021, por lo que las entidades no se encuentran obligadas a aplicar los documentos tipo pa</w:t>
      </w:r>
      <w:r w:rsidR="00952C86">
        <w:t xml:space="preserve">ra el adelantamiento de procesos dirigidos a la contratación de </w:t>
      </w:r>
      <w:r w:rsidR="00865DD6">
        <w:t xml:space="preserve">plazas de mercado. Esto sin perjuicio de que, de manera autónoma, y en caso de considerarlo pertinente, </w:t>
      </w:r>
      <w:proofErr w:type="gramStart"/>
      <w:r w:rsidR="00865DD6">
        <w:t>las respectiva entidad estatal</w:t>
      </w:r>
      <w:proofErr w:type="gramEnd"/>
      <w:r w:rsidR="00865DD6">
        <w:t xml:space="preserve"> decida retomar o replicar componentes de los documentos tipo, a modo de buena practica contractual. </w:t>
      </w:r>
    </w:p>
    <w:p w14:paraId="2379A691" w14:textId="034BC98C" w:rsidR="0079522B" w:rsidRDefault="0079522B" w:rsidP="00256BF9">
      <w:pPr>
        <w:pStyle w:val="Normal11pt"/>
        <w:spacing w:line="276" w:lineRule="auto"/>
        <w:ind w:left="0" w:firstLine="708"/>
      </w:pPr>
      <w:r>
        <w:t xml:space="preserve">De otra parte, </w:t>
      </w:r>
      <w:r w:rsidR="008321F5">
        <w:t>ciertamente, la</w:t>
      </w:r>
      <w:r w:rsidR="008B5FE6" w:rsidRPr="008B5FE6">
        <w:t xml:space="preserve"> </w:t>
      </w:r>
      <w:r w:rsidR="008B5FE6">
        <w:t xml:space="preserve">«Matriz </w:t>
      </w:r>
      <w:r w:rsidR="00482E22">
        <w:t>–</w:t>
      </w:r>
      <w:r w:rsidR="008B5FE6">
        <w:t xml:space="preserve"> Experiencia Sector Cultura, Recreación y Deporte» adoptada por la Resolución 454 de 2021</w:t>
      </w:r>
      <w:r w:rsidR="00A74CD8">
        <w:t>, particularmente</w:t>
      </w:r>
      <w:r w:rsidR="005A6A02">
        <w:t>,</w:t>
      </w:r>
      <w:r w:rsidR="00A74CD8">
        <w:t xml:space="preserve"> para </w:t>
      </w:r>
      <w:r w:rsidR="005A6A02">
        <w:t xml:space="preserve">algunas de </w:t>
      </w:r>
      <w:r w:rsidR="00A74CD8">
        <w:t>las obras en infraestructura cultural, establece requisitos de experiencia en l</w:t>
      </w:r>
      <w:r w:rsidR="005A6A02">
        <w:t>o</w:t>
      </w:r>
      <w:r w:rsidR="00A74CD8">
        <w:t xml:space="preserve">s que se </w:t>
      </w:r>
      <w:r w:rsidR="00021873">
        <w:t>contemplan</w:t>
      </w:r>
      <w:r w:rsidR="00A74CD8">
        <w:t xml:space="preserve"> </w:t>
      </w:r>
      <w:r w:rsidR="00021873">
        <w:t xml:space="preserve">la posibilidad de cumplir la condición habilitante acreditando </w:t>
      </w:r>
      <w:r w:rsidR="004654BF">
        <w:t xml:space="preserve">intervenciones </w:t>
      </w:r>
      <w:r w:rsidR="00021873">
        <w:t>realizadas</w:t>
      </w:r>
      <w:r w:rsidR="005A6A02">
        <w:t xml:space="preserve"> </w:t>
      </w:r>
      <w:r w:rsidR="004654BF">
        <w:t>sobre</w:t>
      </w:r>
      <w:r w:rsidR="00A74CD8">
        <w:t xml:space="preserve"> </w:t>
      </w:r>
      <w:r w:rsidR="00A74CD8" w:rsidRPr="00256BF9">
        <w:rPr>
          <w:i/>
          <w:iCs/>
        </w:rPr>
        <w:t>plazas</w:t>
      </w:r>
      <w:r w:rsidR="00A74CD8">
        <w:t xml:space="preserve">, </w:t>
      </w:r>
      <w:r w:rsidR="00A74CD8" w:rsidRPr="00256BF9">
        <w:rPr>
          <w:i/>
          <w:iCs/>
        </w:rPr>
        <w:t>plazoletas</w:t>
      </w:r>
      <w:r w:rsidR="00A74CD8">
        <w:t xml:space="preserve"> o </w:t>
      </w:r>
      <w:r w:rsidR="00A74CD8" w:rsidRPr="00256BF9">
        <w:rPr>
          <w:i/>
          <w:iCs/>
        </w:rPr>
        <w:t>plazuelas</w:t>
      </w:r>
      <w:r w:rsidR="004654BF">
        <w:t xml:space="preserve">. </w:t>
      </w:r>
      <w:r w:rsidR="00AA0D4E">
        <w:t xml:space="preserve">Estos tipos de espacios también son definidos en el </w:t>
      </w:r>
      <w:r w:rsidR="00265E99">
        <w:t xml:space="preserve">«Anexo </w:t>
      </w:r>
      <w:r w:rsidR="00482E22">
        <w:t>–</w:t>
      </w:r>
      <w:r w:rsidR="00265E99">
        <w:t xml:space="preserve"> Sector Cultura, Recreación y Deporte», el cual indica lo siguiente: </w:t>
      </w:r>
      <w:r w:rsidR="00A74CD8">
        <w:t xml:space="preserve"> </w:t>
      </w:r>
    </w:p>
    <w:p w14:paraId="0DCCED68" w14:textId="090612F3" w:rsidR="008321F5" w:rsidRDefault="008321F5" w:rsidP="00256BF9">
      <w:pPr>
        <w:pStyle w:val="Normal11pt"/>
        <w:spacing w:line="276" w:lineRule="auto"/>
        <w:ind w:left="0" w:firstLine="708"/>
      </w:pPr>
    </w:p>
    <w:p w14:paraId="7A7688E3" w14:textId="4BE8F62B" w:rsidR="008321F5" w:rsidRPr="00256BF9" w:rsidRDefault="00482E22" w:rsidP="00256BF9">
      <w:pPr>
        <w:ind w:left="709" w:right="709"/>
        <w:contextualSpacing/>
        <w:jc w:val="both"/>
        <w:rPr>
          <w:rFonts w:ascii="Arial" w:eastAsia="Arial" w:hAnsi="Arial" w:cs="Arial"/>
          <w:b/>
          <w:bCs/>
          <w:sz w:val="21"/>
          <w:szCs w:val="21"/>
        </w:rPr>
      </w:pPr>
      <w:r w:rsidRPr="00256BF9">
        <w:rPr>
          <w:rFonts w:ascii="Arial" w:eastAsia="Arial" w:hAnsi="Arial" w:cs="Arial"/>
          <w:b/>
          <w:bCs/>
          <w:sz w:val="21"/>
          <w:szCs w:val="21"/>
        </w:rPr>
        <w:t>«</w:t>
      </w:r>
      <w:r w:rsidR="003359F2" w:rsidRPr="00256BF9">
        <w:rPr>
          <w:rFonts w:ascii="Arial" w:eastAsia="Arial" w:hAnsi="Arial" w:cs="Arial"/>
          <w:b/>
          <w:bCs/>
          <w:sz w:val="21"/>
          <w:szCs w:val="21"/>
        </w:rPr>
        <w:t xml:space="preserve">2.81. </w:t>
      </w:r>
      <w:r w:rsidR="008321F5" w:rsidRPr="00256BF9">
        <w:rPr>
          <w:rFonts w:ascii="Arial" w:eastAsia="Arial" w:hAnsi="Arial" w:cs="Arial"/>
          <w:b/>
          <w:bCs/>
          <w:sz w:val="21"/>
          <w:szCs w:val="21"/>
        </w:rPr>
        <w:t>Plaza:</w:t>
      </w:r>
      <w:r w:rsidR="008321F5" w:rsidRPr="00256BF9">
        <w:rPr>
          <w:rFonts w:ascii="Arial" w:eastAsia="Arial" w:hAnsi="Arial" w:cs="Arial"/>
          <w:sz w:val="21"/>
          <w:szCs w:val="21"/>
        </w:rPr>
        <w:t xml:space="preserve"> Espacio libre, tratado como zona dura, que se destina al uso cotidiano al servir de soporte a eventos cívicos. Es lugar de encuentro y relaciones entre los ciudadanos, en este, predominan los elementos arquitectónicos sobre los paisajísticos naturales y el peatón tiene una condición prioritaria que ocupan una manzana completa. </w:t>
      </w:r>
    </w:p>
    <w:p w14:paraId="306E73DD" w14:textId="77777777" w:rsidR="008321F5" w:rsidRPr="00256BF9" w:rsidRDefault="008321F5" w:rsidP="00256BF9">
      <w:pPr>
        <w:ind w:left="709" w:right="709"/>
        <w:contextualSpacing/>
        <w:jc w:val="both"/>
        <w:rPr>
          <w:rFonts w:ascii="Arial" w:eastAsia="Arial" w:hAnsi="Arial" w:cs="Arial"/>
          <w:sz w:val="21"/>
          <w:szCs w:val="21"/>
        </w:rPr>
      </w:pPr>
    </w:p>
    <w:p w14:paraId="185FA175" w14:textId="250E4EDE" w:rsidR="008321F5" w:rsidRPr="00256BF9" w:rsidRDefault="003359F2" w:rsidP="00256BF9">
      <w:pPr>
        <w:ind w:left="709" w:right="709"/>
        <w:contextualSpacing/>
        <w:jc w:val="both"/>
        <w:rPr>
          <w:rFonts w:ascii="Arial" w:eastAsia="Arial" w:hAnsi="Arial" w:cs="Arial"/>
          <w:b/>
          <w:bCs/>
          <w:sz w:val="21"/>
          <w:szCs w:val="21"/>
        </w:rPr>
      </w:pPr>
      <w:r w:rsidRPr="00256BF9">
        <w:rPr>
          <w:rFonts w:ascii="Arial" w:eastAsia="Arial" w:hAnsi="Arial" w:cs="Arial"/>
          <w:b/>
          <w:bCs/>
          <w:sz w:val="21"/>
          <w:szCs w:val="21"/>
        </w:rPr>
        <w:t xml:space="preserve">2.82. </w:t>
      </w:r>
      <w:r w:rsidR="008321F5" w:rsidRPr="00256BF9">
        <w:rPr>
          <w:rFonts w:ascii="Arial" w:eastAsia="Arial" w:hAnsi="Arial" w:cs="Arial"/>
          <w:b/>
          <w:bCs/>
          <w:sz w:val="21"/>
          <w:szCs w:val="21"/>
        </w:rPr>
        <w:t>Plazoletas:</w:t>
      </w:r>
      <w:r w:rsidR="008321F5" w:rsidRPr="00256BF9">
        <w:rPr>
          <w:rFonts w:ascii="Arial" w:eastAsia="Arial" w:hAnsi="Arial" w:cs="Arial"/>
          <w:sz w:val="21"/>
          <w:szCs w:val="21"/>
        </w:rPr>
        <w:t xml:space="preserve"> Áreas de espacio público abiertas, tratadas como zonas duras y destinadas al disfrute de los ciudadanos y las actividades de convivencia, ocupan media manzana. </w:t>
      </w:r>
    </w:p>
    <w:p w14:paraId="27C1B383" w14:textId="77777777" w:rsidR="008321F5" w:rsidRPr="00256BF9" w:rsidRDefault="008321F5" w:rsidP="00256BF9">
      <w:pPr>
        <w:ind w:left="709" w:right="709"/>
        <w:contextualSpacing/>
        <w:jc w:val="both"/>
        <w:rPr>
          <w:rFonts w:ascii="Arial" w:eastAsia="Arial" w:hAnsi="Arial" w:cs="Arial"/>
          <w:sz w:val="21"/>
          <w:szCs w:val="21"/>
        </w:rPr>
      </w:pPr>
    </w:p>
    <w:p w14:paraId="4D10704C" w14:textId="55F374EB" w:rsidR="008321F5" w:rsidRPr="00256BF9" w:rsidRDefault="003359F2" w:rsidP="00256BF9">
      <w:pPr>
        <w:ind w:left="709" w:right="709"/>
        <w:contextualSpacing/>
        <w:jc w:val="both"/>
        <w:rPr>
          <w:rFonts w:ascii="Arial" w:eastAsia="Arial" w:hAnsi="Arial" w:cs="Arial"/>
          <w:b/>
          <w:bCs/>
          <w:sz w:val="21"/>
          <w:szCs w:val="21"/>
        </w:rPr>
      </w:pPr>
      <w:r w:rsidRPr="00256BF9">
        <w:rPr>
          <w:rFonts w:ascii="Arial" w:eastAsia="Arial" w:hAnsi="Arial" w:cs="Arial"/>
          <w:b/>
          <w:bCs/>
          <w:sz w:val="21"/>
          <w:szCs w:val="21"/>
        </w:rPr>
        <w:t xml:space="preserve">2.83. </w:t>
      </w:r>
      <w:r w:rsidR="008321F5" w:rsidRPr="00256BF9">
        <w:rPr>
          <w:rFonts w:ascii="Arial" w:eastAsia="Arial" w:hAnsi="Arial" w:cs="Arial"/>
          <w:b/>
          <w:bCs/>
          <w:sz w:val="21"/>
          <w:szCs w:val="21"/>
        </w:rPr>
        <w:t>Plazuelas:</w:t>
      </w:r>
      <w:r w:rsidR="008321F5" w:rsidRPr="00256BF9">
        <w:rPr>
          <w:rFonts w:ascii="Arial" w:eastAsia="Arial" w:hAnsi="Arial" w:cs="Arial"/>
          <w:sz w:val="21"/>
          <w:szCs w:val="21"/>
        </w:rPr>
        <w:t xml:space="preserve"> Áreas de espacio público abiertas, tratadas como zonas duras y destinadas al disfrute de los ciudadanos y las actividades de convivencia que ocupan un cuarto de manzana</w:t>
      </w:r>
      <w:r w:rsidR="00482E22" w:rsidRPr="00256BF9">
        <w:rPr>
          <w:rFonts w:ascii="Arial" w:eastAsia="Arial" w:hAnsi="Arial" w:cs="Arial"/>
          <w:sz w:val="21"/>
          <w:szCs w:val="21"/>
        </w:rPr>
        <w:t>»</w:t>
      </w:r>
      <w:r w:rsidR="008321F5" w:rsidRPr="00256BF9">
        <w:rPr>
          <w:rFonts w:ascii="Arial" w:eastAsia="Arial" w:hAnsi="Arial" w:cs="Arial"/>
          <w:sz w:val="21"/>
          <w:szCs w:val="21"/>
        </w:rPr>
        <w:t>.</w:t>
      </w:r>
    </w:p>
    <w:p w14:paraId="49119A4E" w14:textId="77777777" w:rsidR="008321F5" w:rsidRDefault="008321F5" w:rsidP="00256BF9">
      <w:pPr>
        <w:pStyle w:val="Normal11pt"/>
        <w:spacing w:line="276" w:lineRule="auto"/>
        <w:ind w:left="0" w:firstLine="708"/>
      </w:pPr>
    </w:p>
    <w:p w14:paraId="7D845C0E" w14:textId="1D395D24" w:rsidR="008321F5" w:rsidRPr="007529F3" w:rsidRDefault="00E71166" w:rsidP="00256BF9">
      <w:pPr>
        <w:pStyle w:val="Normal11pt"/>
        <w:spacing w:line="276" w:lineRule="auto"/>
        <w:ind w:left="0" w:firstLine="708"/>
      </w:pPr>
      <w:r>
        <w:t xml:space="preserve">Como se aprecia, las </w:t>
      </w:r>
      <w:r w:rsidRPr="00256BF9">
        <w:rPr>
          <w:i/>
          <w:iCs/>
        </w:rPr>
        <w:t>plazas</w:t>
      </w:r>
      <w:r>
        <w:t xml:space="preserve">, </w:t>
      </w:r>
      <w:r w:rsidRPr="00256BF9">
        <w:rPr>
          <w:i/>
          <w:iCs/>
        </w:rPr>
        <w:t xml:space="preserve">plazoletas </w:t>
      </w:r>
      <w:r w:rsidR="007529F3" w:rsidRPr="00256BF9">
        <w:t>y</w:t>
      </w:r>
      <w:r w:rsidR="007529F3">
        <w:rPr>
          <w:i/>
          <w:iCs/>
        </w:rPr>
        <w:t xml:space="preserve"> plazuelas </w:t>
      </w:r>
      <w:r w:rsidR="007529F3">
        <w:t xml:space="preserve">son tipologías de espacios </w:t>
      </w:r>
      <w:r w:rsidR="00EB371C">
        <w:t xml:space="preserve">definidas en función de ciertas especificaciones técnicas, funcionalidades y </w:t>
      </w:r>
      <w:r w:rsidR="00C65B87">
        <w:t>condiciones</w:t>
      </w:r>
      <w:r w:rsidR="000D53B2">
        <w:t xml:space="preserve"> arquitectónicas, las que cuales determinando cuando una infraestructura se ubica dentro de alguna de estas tres categorías</w:t>
      </w:r>
      <w:r w:rsidR="00C65B87">
        <w:t xml:space="preserve">. Esto es relevante para la aplicación de los referidos </w:t>
      </w:r>
      <w:r w:rsidR="00C65B87">
        <w:lastRenderedPageBreak/>
        <w:t xml:space="preserve">requisitos de experiencia, dado que, son estas características las que determinan </w:t>
      </w:r>
      <w:r w:rsidR="00A54152">
        <w:t xml:space="preserve">si alguna de las obras realizadas acreditadas por el proponente pueden ser tenida en cuenta </w:t>
      </w:r>
      <w:r w:rsidR="004C719C">
        <w:t>para efectos de cumplir el requisito habilitante, ya que, independientemente de la nominación que tenga la infraestructura inter</w:t>
      </w:r>
      <w:r w:rsidR="002A59E3">
        <w:t>venida, habrá que verificar si en efecto la misma cumple con estas características,</w:t>
      </w:r>
      <w:r w:rsidR="00CA3064">
        <w:t xml:space="preserve"> para que efecto pueda ser tenida en cuenta</w:t>
      </w:r>
      <w:r w:rsidR="00F4450B">
        <w:t xml:space="preserve"> por la entidad.</w:t>
      </w:r>
      <w:r w:rsidR="00CA3064">
        <w:t xml:space="preserve"> </w:t>
      </w:r>
      <w:r w:rsidR="002A59E3">
        <w:t xml:space="preserve"> </w:t>
      </w:r>
      <w:r w:rsidR="00A54152">
        <w:t xml:space="preserve"> </w:t>
      </w:r>
      <w:r w:rsidR="00C65B87">
        <w:t xml:space="preserve"> </w:t>
      </w:r>
      <w:r w:rsidR="000D53B2">
        <w:t xml:space="preserve"> </w:t>
      </w:r>
    </w:p>
    <w:p w14:paraId="112E3569" w14:textId="49B06EB3" w:rsidR="00862E0E" w:rsidRPr="00862E0E" w:rsidRDefault="00862E0E" w:rsidP="00862E0E">
      <w:pPr>
        <w:pStyle w:val="Normal11pt"/>
        <w:spacing w:line="276" w:lineRule="auto"/>
        <w:ind w:left="0"/>
        <w:rPr>
          <w:rFonts w:eastAsia="Calibri"/>
        </w:rPr>
      </w:pPr>
      <w:r>
        <w:tab/>
      </w:r>
    </w:p>
    <w:p w14:paraId="51F2BE74" w14:textId="77777777" w:rsidR="00DD3396" w:rsidRDefault="00DD3396" w:rsidP="00DD3396">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68813DDB" w14:textId="46B9BB15" w:rsidR="00DD3396" w:rsidRDefault="00DD3396" w:rsidP="00256BF9">
      <w:pPr>
        <w:tabs>
          <w:tab w:val="left" w:pos="709"/>
        </w:tabs>
        <w:jc w:val="both"/>
        <w:rPr>
          <w:rFonts w:ascii="Arial" w:eastAsia="Calibri" w:hAnsi="Arial" w:cs="Arial"/>
          <w:b/>
          <w:sz w:val="22"/>
          <w:szCs w:val="22"/>
          <w:lang w:val="es-ES"/>
        </w:rPr>
      </w:pPr>
    </w:p>
    <w:p w14:paraId="7BD65DF1" w14:textId="77777777" w:rsidR="00D63B20" w:rsidRDefault="00D63B20" w:rsidP="00D63B20">
      <w:pPr>
        <w:pStyle w:val="NormalWeb"/>
        <w:spacing w:before="0" w:beforeAutospacing="0" w:after="0" w:afterAutospacing="0"/>
        <w:ind w:left="709" w:right="709"/>
        <w:jc w:val="both"/>
        <w:rPr>
          <w:rFonts w:ascii="Arial" w:hAnsi="Arial" w:cs="Arial"/>
          <w:sz w:val="22"/>
          <w:szCs w:val="22"/>
        </w:rPr>
      </w:pPr>
      <w:r w:rsidRPr="00582B8C">
        <w:rPr>
          <w:rFonts w:ascii="Arial" w:hAnsi="Arial" w:cs="Arial"/>
          <w:sz w:val="21"/>
          <w:szCs w:val="21"/>
        </w:rPr>
        <w:t>«[…] solicito aclarar de manera formal si las plazas de mercado van incluidas dentro de las infraestructuras culturales de los pliegos tipo, ya que estos no se detallan inmersos en dichos documentos, solo habla de las plazas, plazoletas y plazuelas, pero como tal una plaza de mercado no se evidencia inmersa en estos, bien sea como una de las infraestructuras culturales que tienen que solicitarse por pliegos tipo o como una de las que se pueden acreditar en experiencia».</w:t>
      </w:r>
      <w:r w:rsidRPr="00B2736A">
        <w:rPr>
          <w:rFonts w:ascii="Arial" w:hAnsi="Arial" w:cs="Arial"/>
          <w:sz w:val="22"/>
          <w:szCs w:val="22"/>
        </w:rPr>
        <w:t xml:space="preserve"> </w:t>
      </w:r>
    </w:p>
    <w:p w14:paraId="5E4AE16E" w14:textId="77777777" w:rsidR="00D63B20" w:rsidRDefault="00D63B20" w:rsidP="00256BF9">
      <w:pPr>
        <w:tabs>
          <w:tab w:val="left" w:pos="709"/>
        </w:tabs>
        <w:jc w:val="both"/>
        <w:rPr>
          <w:rFonts w:ascii="Arial" w:eastAsia="Calibri" w:hAnsi="Arial" w:cs="Arial"/>
          <w:b/>
          <w:sz w:val="22"/>
          <w:szCs w:val="22"/>
          <w:lang w:val="es-ES"/>
        </w:rPr>
      </w:pPr>
    </w:p>
    <w:p w14:paraId="4FDC47D1" w14:textId="1470A614" w:rsidR="00862E0E" w:rsidRDefault="00862E0E" w:rsidP="00A17363">
      <w:pPr>
        <w:pStyle w:val="Normal11pt"/>
        <w:spacing w:after="120" w:line="276" w:lineRule="auto"/>
        <w:ind w:left="0"/>
      </w:pPr>
      <w:r w:rsidRPr="00AB6A5E">
        <w:t>Con base en l</w:t>
      </w:r>
      <w:r>
        <w:t xml:space="preserve">as anteriores consideraciones, es posible concluir </w:t>
      </w:r>
      <w:r w:rsidR="00F4450B">
        <w:t xml:space="preserve">que las </w:t>
      </w:r>
      <w:r w:rsidR="00D033BF">
        <w:t>plazas de mercado</w:t>
      </w:r>
      <w:r w:rsidR="00F4450B">
        <w:t xml:space="preserve"> </w:t>
      </w:r>
      <w:r w:rsidR="00A17363">
        <w:t xml:space="preserve">no </w:t>
      </w:r>
      <w:r w:rsidR="00A76F6D">
        <w:t xml:space="preserve">encajan dentro de la noción de infraestructura cultural establecida en </w:t>
      </w:r>
      <w:r w:rsidR="00A17363">
        <w:t xml:space="preserve">el </w:t>
      </w:r>
      <w:r w:rsidR="00A76F6D">
        <w:t>«Anexo - Sector Cultura, Recreación y Deporte» adoptado por la Resolución 454 de 2021,</w:t>
      </w:r>
      <w:r w:rsidR="00D033BF">
        <w:t xml:space="preserve"> </w:t>
      </w:r>
      <w:r w:rsidR="00A17363">
        <w:t xml:space="preserve">por lo que no </w:t>
      </w:r>
      <w:r w:rsidR="00D033BF">
        <w:t>se encuentran dentro del ámbito de aplicación de</w:t>
      </w:r>
      <w:r>
        <w:t xml:space="preserve"> los documentos tipo de infraestructura social </w:t>
      </w:r>
      <w:r w:rsidR="00A17363">
        <w:t xml:space="preserve">expedidos </w:t>
      </w:r>
      <w:r>
        <w:t xml:space="preserve">por esta Agencia. </w:t>
      </w:r>
      <w:r w:rsidR="00A17363">
        <w:t xml:space="preserve">La referida noción de infraestructura cultural está asociada a espacios físicos destinados a la realización de </w:t>
      </w:r>
      <w:r w:rsidR="00A17363" w:rsidRPr="006072DF">
        <w:t xml:space="preserve">prácticas y manifestaciones artísticas </w:t>
      </w:r>
      <w:r w:rsidR="00A17363">
        <w:t>o</w:t>
      </w:r>
      <w:r w:rsidR="00A17363" w:rsidRPr="006072DF">
        <w:t xml:space="preserve"> culturales</w:t>
      </w:r>
      <w:r w:rsidR="00A17363">
        <w:t xml:space="preserve">, fines que en estricto sentido no se cumplen en espacios como las plazas de mercado a las que se hace referencia en la consulta, los cuales son concebidas con fines comerciales. </w:t>
      </w:r>
    </w:p>
    <w:p w14:paraId="19A48307" w14:textId="32B7FE21" w:rsidR="00862E0E" w:rsidRDefault="006227F2" w:rsidP="0050747C">
      <w:pPr>
        <w:pStyle w:val="Normal11pt"/>
        <w:spacing w:after="120" w:line="276" w:lineRule="auto"/>
        <w:ind w:left="0"/>
        <w:rPr>
          <w:color w:val="000000" w:themeColor="text1"/>
        </w:rPr>
      </w:pPr>
      <w:r>
        <w:tab/>
      </w:r>
      <w:r w:rsidR="0050747C">
        <w:t>Lo anterior significa que las entidades estatales no se encuentran obligadas</w:t>
      </w:r>
      <w:r w:rsidR="009E27BA">
        <w:t xml:space="preserve"> a aplicar documentos tipo en el</w:t>
      </w:r>
      <w:r w:rsidR="0050747C">
        <w:t xml:space="preserve"> </w:t>
      </w:r>
      <w:r w:rsidR="00304D65">
        <w:t>desarroll</w:t>
      </w:r>
      <w:r w:rsidR="009E27BA">
        <w:t>o</w:t>
      </w:r>
      <w:r w:rsidR="00304D65">
        <w:t xml:space="preserve"> </w:t>
      </w:r>
      <w:r w:rsidR="009E27BA">
        <w:t>de</w:t>
      </w:r>
      <w:r w:rsidR="00304D65">
        <w:t xml:space="preserve"> procesos d</w:t>
      </w:r>
      <w:r w:rsidR="009E27BA">
        <w:t>irigidos a la contratación de</w:t>
      </w:r>
      <w:r w:rsidR="00304D65">
        <w:t xml:space="preserve"> obras en plazas de mercado</w:t>
      </w:r>
      <w:r w:rsidR="009E27BA">
        <w:t>.</w:t>
      </w:r>
      <w:r w:rsidR="00304D65">
        <w:t xml:space="preserve"> </w:t>
      </w:r>
      <w:r w:rsidR="00862E0E">
        <w:rPr>
          <w:color w:val="000000" w:themeColor="text1"/>
        </w:rPr>
        <w:t>Con todo, los parámetros contenidos en los pliegos tipo adoptados y vigentes por esta Agencia pueden servir como criterio de buena práctica contractual, sin que sea obligatoria su aplicación para objetos contractuales diversos a los para los cuales fueron expedidos.</w:t>
      </w:r>
    </w:p>
    <w:p w14:paraId="1EA4268A" w14:textId="235E08C1" w:rsidR="0050747C" w:rsidRDefault="0050747C" w:rsidP="00256BF9">
      <w:pPr>
        <w:pStyle w:val="Normal11pt"/>
        <w:spacing w:after="120" w:line="276" w:lineRule="auto"/>
        <w:ind w:left="0"/>
      </w:pPr>
      <w:r>
        <w:rPr>
          <w:color w:val="000000" w:themeColor="text1"/>
        </w:rPr>
        <w:tab/>
      </w:r>
      <w:r>
        <w:t xml:space="preserve">En cuanto a la posibilidad de tener en cuenta a las intervenciones en plazas de mercado para el cumplimiento de requisitos de experiencia contemplados en la «Matriz – Experiencia Sector Cultura, Recreación y Deporte», debe advertirse que ello dependerá de que las obras </w:t>
      </w:r>
      <w:r w:rsidR="00E11B55">
        <w:t>acreditas</w:t>
      </w:r>
      <w:r>
        <w:t xml:space="preserve"> se ajusten a las definiciones </w:t>
      </w:r>
      <w:r w:rsidRPr="008D65C2">
        <w:t>de</w:t>
      </w:r>
      <w:r w:rsidRPr="006E2C60">
        <w:rPr>
          <w:i/>
          <w:iCs/>
        </w:rPr>
        <w:t xml:space="preserve"> plazas</w:t>
      </w:r>
      <w:r>
        <w:t xml:space="preserve">, </w:t>
      </w:r>
      <w:r w:rsidRPr="006E2C60">
        <w:rPr>
          <w:i/>
          <w:iCs/>
        </w:rPr>
        <w:t>plazoletas</w:t>
      </w:r>
      <w:r>
        <w:t xml:space="preserve"> o </w:t>
      </w:r>
      <w:r w:rsidRPr="008D65C2">
        <w:rPr>
          <w:i/>
          <w:iCs/>
        </w:rPr>
        <w:t>plazuelas</w:t>
      </w:r>
      <w:r>
        <w:t xml:space="preserve"> establecidas en el «Anexo – Sector Cultura, Recreación y Deporte». En este orden de ideas, el cumplimiento de las especificaciones técnicas que definen estos espacios serán el factor determinante para establecer si determinada experiencia puede ser tenida en cuenta o no para efectos del respectivo requisito</w:t>
      </w:r>
      <w:r w:rsidR="00E11B55">
        <w:t xml:space="preserve">. </w:t>
      </w:r>
    </w:p>
    <w:p w14:paraId="5D775A2C" w14:textId="77777777" w:rsidR="00DD3396" w:rsidRPr="00924DEF" w:rsidRDefault="00DD3396" w:rsidP="00DD3396">
      <w:pPr>
        <w:pStyle w:val="Textoindependiente"/>
        <w:spacing w:line="276" w:lineRule="auto"/>
        <w:ind w:right="51"/>
        <w:jc w:val="both"/>
      </w:pPr>
    </w:p>
    <w:p w14:paraId="46CB3F9F" w14:textId="77777777" w:rsidR="00DD3396" w:rsidRPr="00924DEF" w:rsidRDefault="00DD3396" w:rsidP="00DD3396">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lastRenderedPageBreak/>
        <w:t>Este concepto tiene el alcance previsto en el artículo 28 del Código de Procedimiento Administrativo y de lo Contencioso Administrativo.</w:t>
      </w:r>
    </w:p>
    <w:p w14:paraId="7E549757" w14:textId="77777777" w:rsidR="00DD3396" w:rsidRPr="00924DEF" w:rsidRDefault="00DD3396" w:rsidP="00DD3396">
      <w:pPr>
        <w:jc w:val="both"/>
        <w:rPr>
          <w:rFonts w:ascii="Arial" w:eastAsia="Calibri" w:hAnsi="Arial" w:cs="Arial"/>
          <w:sz w:val="22"/>
          <w:szCs w:val="22"/>
          <w:lang w:val="es-ES"/>
        </w:rPr>
      </w:pPr>
    </w:p>
    <w:p w14:paraId="0E3EE9FB" w14:textId="656FCFAA" w:rsidR="00DD3396" w:rsidRDefault="00DD3396" w:rsidP="00DD3396">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1B7EA7A3" w14:textId="517747FC" w:rsidR="00BA40B0" w:rsidRDefault="00BA40B0" w:rsidP="00DD3396">
      <w:pPr>
        <w:jc w:val="both"/>
        <w:rPr>
          <w:rFonts w:ascii="Arial" w:hAnsi="Arial" w:cs="Arial"/>
          <w:sz w:val="22"/>
          <w:szCs w:val="22"/>
          <w:lang w:val="es-ES" w:eastAsia="es-CO"/>
        </w:rPr>
      </w:pPr>
    </w:p>
    <w:p w14:paraId="1EA301F3" w14:textId="0F5031D7" w:rsidR="00DD3396" w:rsidRPr="0008465D" w:rsidRDefault="002A2D9A" w:rsidP="00DD3396">
      <w:pPr>
        <w:jc w:val="center"/>
        <w:rPr>
          <w:rFonts w:ascii="Arial" w:hAnsi="Arial" w:cs="Arial"/>
          <w:sz w:val="18"/>
          <w:szCs w:val="20"/>
          <w:lang w:val="es-ES" w:eastAsia="es-CO"/>
        </w:rPr>
      </w:pPr>
      <w:r>
        <w:rPr>
          <w:rFonts w:ascii="Arial" w:hAnsi="Arial" w:cs="Arial"/>
          <w:noProof/>
          <w:color w:val="000000" w:themeColor="text1"/>
          <w:sz w:val="18"/>
          <w:szCs w:val="20"/>
        </w:rPr>
        <w:drawing>
          <wp:inline distT="0" distB="0" distL="0" distR="0" wp14:anchorId="1294C1CD" wp14:editId="6FDB8DE4">
            <wp:extent cx="2514600" cy="11125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6E8E90DB" w14:textId="244A04A6" w:rsidR="00DD3396" w:rsidRDefault="00DD3396" w:rsidP="00DD3396">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3396" w:rsidRPr="0008465D" w14:paraId="184BA4E2" w14:textId="77777777" w:rsidTr="008A5DF2">
        <w:trPr>
          <w:trHeight w:val="315"/>
        </w:trPr>
        <w:tc>
          <w:tcPr>
            <w:tcW w:w="812" w:type="dxa"/>
            <w:vAlign w:val="center"/>
            <w:hideMark/>
          </w:tcPr>
          <w:p w14:paraId="6E5809A2"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276713B"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54E2B521"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DD3396" w:rsidRPr="0008465D" w14:paraId="0FD9A13A" w14:textId="77777777" w:rsidTr="008A5DF2">
        <w:trPr>
          <w:trHeight w:val="330"/>
        </w:trPr>
        <w:tc>
          <w:tcPr>
            <w:tcW w:w="812" w:type="dxa"/>
            <w:vAlign w:val="center"/>
            <w:hideMark/>
          </w:tcPr>
          <w:p w14:paraId="2901292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956A3B" w14:textId="77777777" w:rsidR="00DD3396" w:rsidRPr="009F5860" w:rsidRDefault="00DD3396" w:rsidP="008A5DF2">
            <w:pPr>
              <w:rPr>
                <w:rFonts w:ascii="Arial" w:hAnsi="Arial" w:cs="Arial"/>
                <w:sz w:val="16"/>
                <w:szCs w:val="16"/>
                <w:lang w:val="es-ES" w:eastAsia="es-ES"/>
              </w:rPr>
            </w:pPr>
            <w:r w:rsidRPr="009F5860">
              <w:rPr>
                <w:rFonts w:ascii="Arial" w:hAnsi="Arial" w:cs="Arial"/>
                <w:sz w:val="16"/>
                <w:szCs w:val="16"/>
                <w:lang w:val="es-ES" w:eastAsia="es-ES"/>
              </w:rPr>
              <w:t>Alejandro Sarmiento Cantillo</w:t>
            </w:r>
          </w:p>
          <w:p w14:paraId="7B192CD3" w14:textId="77777777" w:rsidR="00DD3396" w:rsidRPr="0008465D" w:rsidRDefault="00DD3396" w:rsidP="008A5DF2">
            <w:pPr>
              <w:rPr>
                <w:rFonts w:ascii="Arial" w:hAnsi="Arial" w:cs="Arial"/>
                <w:sz w:val="16"/>
                <w:szCs w:val="16"/>
                <w:lang w:val="es-ES" w:eastAsia="es-ES"/>
              </w:rPr>
            </w:pPr>
            <w:r w:rsidRPr="009F5860">
              <w:rPr>
                <w:rFonts w:ascii="Arial" w:hAnsi="Arial" w:cs="Arial"/>
                <w:sz w:val="16"/>
                <w:szCs w:val="16"/>
                <w:lang w:val="es-ES" w:eastAsia="es-ES"/>
              </w:rPr>
              <w:t>Gestor T1-1</w:t>
            </w:r>
            <w:r>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p>
        </w:tc>
      </w:tr>
      <w:tr w:rsidR="00DD3396" w:rsidRPr="0008465D" w14:paraId="22915ADC" w14:textId="77777777" w:rsidTr="008A5DF2">
        <w:trPr>
          <w:trHeight w:val="300"/>
        </w:trPr>
        <w:tc>
          <w:tcPr>
            <w:tcW w:w="812" w:type="dxa"/>
            <w:vAlign w:val="center"/>
            <w:hideMark/>
          </w:tcPr>
          <w:p w14:paraId="2B0AEA3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C8FA87"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253FFB1D" w14:textId="77777777" w:rsidR="00DD3396" w:rsidRPr="0008465D" w:rsidRDefault="00DD3396" w:rsidP="008A5DF2">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3D575CCC" w14:textId="77777777" w:rsidR="00DD3396" w:rsidRDefault="00DD3396" w:rsidP="00DD3396">
      <w:pPr>
        <w:spacing w:line="276" w:lineRule="auto"/>
      </w:pPr>
    </w:p>
    <w:p w14:paraId="79C38D80" w14:textId="77777777" w:rsidR="00B55C9B" w:rsidRDefault="00B55C9B"/>
    <w:sectPr w:rsidR="00B55C9B" w:rsidSect="007F1895">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D6A2" w14:textId="77777777" w:rsidR="00977137" w:rsidRDefault="00977137" w:rsidP="00DD3396">
      <w:r>
        <w:separator/>
      </w:r>
    </w:p>
  </w:endnote>
  <w:endnote w:type="continuationSeparator" w:id="0">
    <w:p w14:paraId="3E508AE8" w14:textId="77777777" w:rsidR="00977137" w:rsidRDefault="00977137" w:rsidP="00DD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34E8" w14:textId="77777777" w:rsidR="00387886" w:rsidRDefault="00977137" w:rsidP="007F1895">
    <w:pPr>
      <w:pStyle w:val="Sinespaciado"/>
      <w:jc w:val="right"/>
      <w:rPr>
        <w:rFonts w:ascii="Arial" w:hAnsi="Arial" w:cs="Arial"/>
        <w:sz w:val="18"/>
        <w:szCs w:val="18"/>
      </w:rPr>
    </w:pPr>
  </w:p>
  <w:p w14:paraId="05CFB081" w14:textId="77777777" w:rsidR="00387886" w:rsidRDefault="00977137" w:rsidP="007F1895">
    <w:pPr>
      <w:pStyle w:val="Sinespaciado"/>
      <w:jc w:val="right"/>
      <w:rPr>
        <w:rFonts w:ascii="Arial" w:hAnsi="Arial" w:cs="Arial"/>
        <w:sz w:val="18"/>
        <w:szCs w:val="18"/>
      </w:rPr>
    </w:pPr>
  </w:p>
  <w:p w14:paraId="0BB30109" w14:textId="77777777" w:rsidR="00387886" w:rsidRPr="008217B7" w:rsidRDefault="00AB6FA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D3B6446" w14:textId="77777777" w:rsidR="00387886" w:rsidRDefault="00AB6FA6" w:rsidP="007F1895">
    <w:pPr>
      <w:pStyle w:val="Piedepgina"/>
      <w:jc w:val="center"/>
      <w:rPr>
        <w:lang w:val="es-ES"/>
      </w:rPr>
    </w:pPr>
    <w:r>
      <w:rPr>
        <w:noProof/>
      </w:rPr>
      <w:drawing>
        <wp:inline distT="0" distB="0" distL="0" distR="0" wp14:anchorId="2E7C97FE" wp14:editId="7CDFBE9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A82BF81" w14:textId="77777777" w:rsidR="00387886" w:rsidRPr="00E756AC" w:rsidRDefault="00977137" w:rsidP="007F1895">
    <w:pPr>
      <w:pStyle w:val="Piedepgina"/>
      <w:jc w:val="center"/>
      <w:rPr>
        <w:sz w:val="18"/>
        <w:szCs w:val="18"/>
        <w:lang w:val="es-ES"/>
      </w:rPr>
    </w:pPr>
  </w:p>
  <w:p w14:paraId="24F964E6" w14:textId="77777777" w:rsidR="00387886" w:rsidRPr="00E756AC" w:rsidRDefault="00977137"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B0BA" w14:textId="77777777" w:rsidR="00977137" w:rsidRDefault="00977137" w:rsidP="00DD3396">
      <w:r>
        <w:separator/>
      </w:r>
    </w:p>
  </w:footnote>
  <w:footnote w:type="continuationSeparator" w:id="0">
    <w:p w14:paraId="618B1918" w14:textId="77777777" w:rsidR="00977137" w:rsidRDefault="00977137" w:rsidP="00DD3396">
      <w:r>
        <w:continuationSeparator/>
      </w:r>
    </w:p>
  </w:footnote>
  <w:footnote w:id="1">
    <w:p w14:paraId="72893CF8" w14:textId="0EA9F744" w:rsidR="00DD3396" w:rsidRDefault="00DD3396" w:rsidP="007439E0">
      <w:pPr>
        <w:pStyle w:val="Textonotapie"/>
        <w:ind w:firstLine="709"/>
        <w:jc w:val="both"/>
        <w:rPr>
          <w:rFonts w:ascii="Arial" w:hAnsi="Arial" w:cs="Arial"/>
          <w:sz w:val="19"/>
          <w:szCs w:val="19"/>
        </w:rPr>
      </w:pPr>
      <w:r w:rsidRPr="001F6332">
        <w:rPr>
          <w:rStyle w:val="Refdenotaalpie"/>
          <w:rFonts w:ascii="Arial" w:hAnsi="Arial" w:cs="Arial"/>
          <w:sz w:val="19"/>
          <w:szCs w:val="19"/>
        </w:rPr>
        <w:footnoteRef/>
      </w:r>
      <w:r w:rsidRPr="001F633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1F6332">
        <w:rPr>
          <w:rFonts w:ascii="Arial" w:hAnsi="Arial" w:cs="Arial"/>
          <w:i/>
          <w:iCs/>
          <w:sz w:val="19"/>
          <w:szCs w:val="19"/>
        </w:rPr>
        <w:t xml:space="preserve">ibidem </w:t>
      </w:r>
      <w:r w:rsidRPr="001F6332">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97F918B" w14:textId="77777777" w:rsidR="001032B4" w:rsidRPr="001F6332" w:rsidRDefault="001032B4" w:rsidP="007439E0">
      <w:pPr>
        <w:pStyle w:val="Textonotapie"/>
        <w:ind w:firstLine="709"/>
        <w:jc w:val="both"/>
        <w:rPr>
          <w:rFonts w:ascii="Arial" w:hAnsi="Arial" w:cs="Arial"/>
          <w:sz w:val="19"/>
          <w:szCs w:val="19"/>
          <w:lang w:val="es-ES"/>
        </w:rPr>
      </w:pPr>
    </w:p>
  </w:footnote>
  <w:footnote w:id="2">
    <w:p w14:paraId="2EBA8981" w14:textId="77777777" w:rsidR="00862E0E" w:rsidRPr="009F3352" w:rsidRDefault="00862E0E" w:rsidP="00862E0E">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4539EC0F" w14:textId="77777777" w:rsidR="00862E0E" w:rsidRPr="009F3352" w:rsidRDefault="00862E0E" w:rsidP="00862E0E">
      <w:pPr>
        <w:pStyle w:val="Textonotapie"/>
        <w:ind w:firstLine="709"/>
        <w:jc w:val="both"/>
        <w:rPr>
          <w:rFonts w:ascii="Arial" w:hAnsi="Arial" w:cs="Arial"/>
          <w:sz w:val="19"/>
          <w:szCs w:val="19"/>
          <w:lang w:val="es-CO"/>
        </w:rPr>
      </w:pPr>
    </w:p>
  </w:footnote>
  <w:footnote w:id="3">
    <w:p w14:paraId="5A21DF41" w14:textId="77777777" w:rsidR="00862E0E" w:rsidRPr="009F3352" w:rsidRDefault="00862E0E" w:rsidP="00862E0E">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w:t>
      </w:r>
      <w:r w:rsidRPr="009F3352">
        <w:rPr>
          <w:rFonts w:ascii="Arial" w:hAnsi="Arial" w:cs="Arial"/>
          <w:sz w:val="19"/>
          <w:szCs w:val="19"/>
          <w:lang w:val="es-CO"/>
        </w:rPr>
        <w:t xml:space="preserve">Ley 1882 de 2018: «Artículo 4. </w:t>
      </w:r>
      <w:r w:rsidRPr="009F3352">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07E985A" w14:textId="77777777" w:rsidR="00862E0E" w:rsidRPr="009F3352" w:rsidRDefault="00862E0E" w:rsidP="00862E0E">
      <w:pPr>
        <w:pStyle w:val="Textonotapie"/>
        <w:ind w:firstLine="709"/>
        <w:jc w:val="both"/>
        <w:rPr>
          <w:rFonts w:ascii="Arial" w:hAnsi="Arial" w:cs="Arial"/>
          <w:sz w:val="19"/>
          <w:szCs w:val="19"/>
          <w:lang w:val="es-CO"/>
        </w:rPr>
      </w:pPr>
      <w:r w:rsidRPr="009F3352">
        <w:rPr>
          <w:rFonts w:ascii="Arial" w:hAnsi="Arial" w:cs="Arial"/>
          <w:sz w:val="19"/>
          <w:szCs w:val="19"/>
          <w:lang w:val="es-CO"/>
        </w:rPr>
        <w:t>»La facultad de adoptar documentos tipo la tendrá el Gobierno nacional, cuando lo considere necesario, en relación con otros contratos o procesos de selección.</w:t>
      </w:r>
    </w:p>
    <w:p w14:paraId="73A7A96E" w14:textId="77777777" w:rsidR="00862E0E" w:rsidRPr="009F3352" w:rsidRDefault="00862E0E" w:rsidP="00862E0E">
      <w:pPr>
        <w:pStyle w:val="Textonotapie"/>
        <w:ind w:firstLine="709"/>
        <w:jc w:val="both"/>
        <w:rPr>
          <w:rFonts w:ascii="Arial" w:hAnsi="Arial" w:cs="Arial"/>
          <w:sz w:val="19"/>
          <w:szCs w:val="19"/>
          <w:lang w:val="es-CO"/>
        </w:rPr>
      </w:pPr>
      <w:r w:rsidRPr="009F3352">
        <w:rPr>
          <w:rFonts w:ascii="Arial" w:hAnsi="Arial" w:cs="Arial"/>
          <w:sz w:val="19"/>
          <w:szCs w:val="19"/>
          <w:lang w:val="es-CO"/>
        </w:rPr>
        <w:t>»Los pliegos tipo se adoptarán por categorías de acuerdo con la cuantía de la contratación, según la reglamentación que expida el Gobierno nacional».</w:t>
      </w:r>
    </w:p>
    <w:p w14:paraId="021BE104" w14:textId="77777777" w:rsidR="00862E0E" w:rsidRPr="009F3352" w:rsidRDefault="00862E0E" w:rsidP="00862E0E">
      <w:pPr>
        <w:pStyle w:val="Textonotapie"/>
        <w:ind w:firstLine="709"/>
        <w:jc w:val="both"/>
        <w:rPr>
          <w:rFonts w:ascii="Arial" w:hAnsi="Arial" w:cs="Arial"/>
          <w:sz w:val="19"/>
          <w:szCs w:val="19"/>
          <w:lang w:val="es-CO"/>
        </w:rPr>
      </w:pPr>
    </w:p>
  </w:footnote>
  <w:footnote w:id="4">
    <w:p w14:paraId="02941A44" w14:textId="77777777" w:rsidR="00862E0E" w:rsidRPr="009F3352" w:rsidRDefault="00862E0E" w:rsidP="00862E0E">
      <w:pPr>
        <w:pStyle w:val="Textonotapie"/>
        <w:ind w:firstLine="709"/>
        <w:jc w:val="both"/>
        <w:rPr>
          <w:rFonts w:ascii="Arial" w:hAnsi="Arial" w:cs="Arial"/>
          <w:sz w:val="19"/>
          <w:szCs w:val="19"/>
        </w:rPr>
      </w:pPr>
      <w:r w:rsidRPr="009F3352">
        <w:rPr>
          <w:rStyle w:val="Refdenotaalpie"/>
          <w:rFonts w:ascii="Arial" w:hAnsi="Arial" w:cs="Arial"/>
          <w:sz w:val="19"/>
          <w:szCs w:val="19"/>
        </w:rPr>
        <w:footnoteRef/>
      </w:r>
      <w:r w:rsidRPr="009F3352">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6C064F2" w14:textId="77777777" w:rsidR="00862E0E" w:rsidRPr="009F3352" w:rsidRDefault="00862E0E" w:rsidP="00862E0E">
      <w:pPr>
        <w:pStyle w:val="Textonotapie"/>
        <w:ind w:firstLine="709"/>
        <w:jc w:val="both"/>
        <w:rPr>
          <w:rFonts w:ascii="Arial" w:hAnsi="Arial" w:cs="Arial"/>
          <w:sz w:val="19"/>
          <w:szCs w:val="19"/>
        </w:rPr>
      </w:pPr>
    </w:p>
  </w:footnote>
  <w:footnote w:id="5">
    <w:p w14:paraId="1DED51E8" w14:textId="2E7E2DE5" w:rsidR="00862E0E" w:rsidRPr="009F3352" w:rsidRDefault="00862E0E" w:rsidP="00C33ED4">
      <w:pPr>
        <w:pStyle w:val="Normal11pt"/>
        <w:ind w:left="0" w:firstLine="709"/>
        <w:rPr>
          <w:rFonts w:eastAsia="Calibri"/>
          <w:color w:val="000000" w:themeColor="text1"/>
          <w:sz w:val="19"/>
          <w:szCs w:val="19"/>
        </w:rPr>
      </w:pPr>
      <w:r w:rsidRPr="009F3352">
        <w:rPr>
          <w:rStyle w:val="Refdenotaalpie"/>
          <w:sz w:val="19"/>
          <w:szCs w:val="19"/>
        </w:rPr>
        <w:footnoteRef/>
      </w:r>
      <w:r w:rsidRPr="00BE51B6">
        <w:rPr>
          <w:sz w:val="19"/>
          <w:szCs w:val="19"/>
        </w:rPr>
        <w:t xml:space="preserve"> A</w:t>
      </w:r>
      <w:r w:rsidR="00C33ED4">
        <w:rPr>
          <w:sz w:val="19"/>
          <w:szCs w:val="19"/>
        </w:rPr>
        <w:t>rtículo 4</w:t>
      </w:r>
      <w:r w:rsidRPr="00BE51B6">
        <w:rPr>
          <w:sz w:val="19"/>
          <w:szCs w:val="19"/>
        </w:rPr>
        <w:t xml:space="preserve">º. Adiciónese el siguiente parágrafo al artículo 2º de la Ley 1150 de 2007. </w:t>
      </w:r>
      <w:r w:rsidR="00C33ED4">
        <w:rPr>
          <w:sz w:val="19"/>
          <w:szCs w:val="19"/>
        </w:rPr>
        <w:t xml:space="preserve">Parágrafo </w:t>
      </w:r>
      <w:r w:rsidRPr="00BE51B6">
        <w:rPr>
          <w:sz w:val="19"/>
          <w:szCs w:val="19"/>
        </w:rPr>
        <w:t>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r w:rsidRPr="00C74E58">
        <w:rPr>
          <w:sz w:val="19"/>
          <w:szCs w:val="19"/>
        </w:rPr>
        <w:t>. Dentro de estos documentos tipo, se establecerán los requisitos habilitantes, factores técnicos, económicos y otros factores de escogencia, así como aquellos requisitos que, previa justificación, representen buenas prácticas contractuales que procuren el</w:t>
      </w:r>
      <w:r w:rsidRPr="009F3352">
        <w:rPr>
          <w:sz w:val="19"/>
          <w:szCs w:val="19"/>
        </w:rPr>
        <w:t xml:space="preserve">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346BF3C3" w14:textId="77777777" w:rsidR="00862E0E" w:rsidRPr="009F3352" w:rsidRDefault="00862E0E" w:rsidP="00862E0E">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F42" w14:textId="77777777" w:rsidR="00387886" w:rsidRDefault="00AB6FA6">
    <w:pPr>
      <w:pStyle w:val="Encabezado"/>
    </w:pPr>
    <w:r>
      <w:rPr>
        <w:noProof/>
        <w:lang w:val="es-CO" w:eastAsia="es-CO"/>
      </w:rPr>
      <w:drawing>
        <wp:anchor distT="0" distB="0" distL="114300" distR="114300" simplePos="0" relativeHeight="251659264" behindDoc="1" locked="0" layoutInCell="1" allowOverlap="1" wp14:anchorId="3F2A7C96" wp14:editId="5BFA5AD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35"/>
    <w:multiLevelType w:val="multilevel"/>
    <w:tmpl w:val="8ED88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185F2F"/>
    <w:multiLevelType w:val="multilevel"/>
    <w:tmpl w:val="BCA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136D2"/>
    <w:multiLevelType w:val="hybridMultilevel"/>
    <w:tmpl w:val="B6BA718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 w15:restartNumberingAfterBreak="0">
    <w:nsid w:val="377F3431"/>
    <w:multiLevelType w:val="hybridMultilevel"/>
    <w:tmpl w:val="346A0E58"/>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num w:numId="1" w16cid:durableId="2083017203">
    <w:abstractNumId w:val="3"/>
  </w:num>
  <w:num w:numId="2" w16cid:durableId="936672831">
    <w:abstractNumId w:val="2"/>
  </w:num>
  <w:num w:numId="3" w16cid:durableId="1703359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06237">
    <w:abstractNumId w:val="1"/>
  </w:num>
  <w:num w:numId="5" w16cid:durableId="4784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6"/>
    <w:rsid w:val="00021873"/>
    <w:rsid w:val="00030D2F"/>
    <w:rsid w:val="0005227E"/>
    <w:rsid w:val="00052A18"/>
    <w:rsid w:val="00060385"/>
    <w:rsid w:val="00060AEB"/>
    <w:rsid w:val="000738B3"/>
    <w:rsid w:val="0008579C"/>
    <w:rsid w:val="000B67A9"/>
    <w:rsid w:val="000D53B2"/>
    <w:rsid w:val="000E7C88"/>
    <w:rsid w:val="001032B4"/>
    <w:rsid w:val="0013042F"/>
    <w:rsid w:val="001751BF"/>
    <w:rsid w:val="001E528E"/>
    <w:rsid w:val="001F6332"/>
    <w:rsid w:val="00203299"/>
    <w:rsid w:val="00205342"/>
    <w:rsid w:val="0020534C"/>
    <w:rsid w:val="00221626"/>
    <w:rsid w:val="00222FAB"/>
    <w:rsid w:val="00245D5A"/>
    <w:rsid w:val="00256BF9"/>
    <w:rsid w:val="00265E99"/>
    <w:rsid w:val="0029181B"/>
    <w:rsid w:val="002A2D9A"/>
    <w:rsid w:val="002A59E3"/>
    <w:rsid w:val="002A64A3"/>
    <w:rsid w:val="002B6EC2"/>
    <w:rsid w:val="002D0632"/>
    <w:rsid w:val="002D7F6C"/>
    <w:rsid w:val="00304D65"/>
    <w:rsid w:val="00323D7F"/>
    <w:rsid w:val="003273E3"/>
    <w:rsid w:val="003359F2"/>
    <w:rsid w:val="00345D2B"/>
    <w:rsid w:val="00355E65"/>
    <w:rsid w:val="003A3DEA"/>
    <w:rsid w:val="003A76EE"/>
    <w:rsid w:val="003B7388"/>
    <w:rsid w:val="003B7A1B"/>
    <w:rsid w:val="003E0750"/>
    <w:rsid w:val="003E6E26"/>
    <w:rsid w:val="003F6D7E"/>
    <w:rsid w:val="00417909"/>
    <w:rsid w:val="0042053C"/>
    <w:rsid w:val="004370CB"/>
    <w:rsid w:val="00442240"/>
    <w:rsid w:val="004654BF"/>
    <w:rsid w:val="00482E22"/>
    <w:rsid w:val="004A0C86"/>
    <w:rsid w:val="004C719C"/>
    <w:rsid w:val="004F27D9"/>
    <w:rsid w:val="0050747C"/>
    <w:rsid w:val="00514396"/>
    <w:rsid w:val="00553174"/>
    <w:rsid w:val="005777B9"/>
    <w:rsid w:val="00582B8C"/>
    <w:rsid w:val="005939DC"/>
    <w:rsid w:val="005A3408"/>
    <w:rsid w:val="005A6A02"/>
    <w:rsid w:val="005C5284"/>
    <w:rsid w:val="006072DF"/>
    <w:rsid w:val="006227F2"/>
    <w:rsid w:val="00663ABA"/>
    <w:rsid w:val="006B47E5"/>
    <w:rsid w:val="006D2290"/>
    <w:rsid w:val="006F24BC"/>
    <w:rsid w:val="007162F0"/>
    <w:rsid w:val="007275BC"/>
    <w:rsid w:val="00737B31"/>
    <w:rsid w:val="007439E0"/>
    <w:rsid w:val="007472C6"/>
    <w:rsid w:val="007529F3"/>
    <w:rsid w:val="0079522B"/>
    <w:rsid w:val="007D145E"/>
    <w:rsid w:val="007F460D"/>
    <w:rsid w:val="007F7EF6"/>
    <w:rsid w:val="008321F5"/>
    <w:rsid w:val="00836E8F"/>
    <w:rsid w:val="00862E0E"/>
    <w:rsid w:val="0086520C"/>
    <w:rsid w:val="00865DD6"/>
    <w:rsid w:val="008702D2"/>
    <w:rsid w:val="008926F4"/>
    <w:rsid w:val="008A18BF"/>
    <w:rsid w:val="008B34F2"/>
    <w:rsid w:val="008B5FE6"/>
    <w:rsid w:val="008B685E"/>
    <w:rsid w:val="008D65C2"/>
    <w:rsid w:val="008E4B35"/>
    <w:rsid w:val="008F659E"/>
    <w:rsid w:val="00916C1F"/>
    <w:rsid w:val="00933CE1"/>
    <w:rsid w:val="00937E5E"/>
    <w:rsid w:val="00952C86"/>
    <w:rsid w:val="00977137"/>
    <w:rsid w:val="00991481"/>
    <w:rsid w:val="009A0499"/>
    <w:rsid w:val="009D0E01"/>
    <w:rsid w:val="009E27BA"/>
    <w:rsid w:val="009E4E53"/>
    <w:rsid w:val="009E5CD6"/>
    <w:rsid w:val="00A10A6F"/>
    <w:rsid w:val="00A16EF0"/>
    <w:rsid w:val="00A17363"/>
    <w:rsid w:val="00A2082D"/>
    <w:rsid w:val="00A32742"/>
    <w:rsid w:val="00A54152"/>
    <w:rsid w:val="00A56086"/>
    <w:rsid w:val="00A7208C"/>
    <w:rsid w:val="00A74CD8"/>
    <w:rsid w:val="00A76F6D"/>
    <w:rsid w:val="00A82514"/>
    <w:rsid w:val="00A92EDF"/>
    <w:rsid w:val="00A940E1"/>
    <w:rsid w:val="00AA0D4E"/>
    <w:rsid w:val="00AA7EFB"/>
    <w:rsid w:val="00AB4B53"/>
    <w:rsid w:val="00AB6FA6"/>
    <w:rsid w:val="00AC415E"/>
    <w:rsid w:val="00AE0B71"/>
    <w:rsid w:val="00AE7FAB"/>
    <w:rsid w:val="00B05DFA"/>
    <w:rsid w:val="00B172D2"/>
    <w:rsid w:val="00B2736A"/>
    <w:rsid w:val="00B3205D"/>
    <w:rsid w:val="00B47A38"/>
    <w:rsid w:val="00B55C9B"/>
    <w:rsid w:val="00B64D5C"/>
    <w:rsid w:val="00B76175"/>
    <w:rsid w:val="00B77E78"/>
    <w:rsid w:val="00BA1A16"/>
    <w:rsid w:val="00BA40B0"/>
    <w:rsid w:val="00BC6673"/>
    <w:rsid w:val="00C33ED4"/>
    <w:rsid w:val="00C60F04"/>
    <w:rsid w:val="00C65B87"/>
    <w:rsid w:val="00C667C0"/>
    <w:rsid w:val="00C770B0"/>
    <w:rsid w:val="00CA3064"/>
    <w:rsid w:val="00CA5B29"/>
    <w:rsid w:val="00CB7C3C"/>
    <w:rsid w:val="00CD08A2"/>
    <w:rsid w:val="00CD47EC"/>
    <w:rsid w:val="00CE56FB"/>
    <w:rsid w:val="00D02A03"/>
    <w:rsid w:val="00D033BF"/>
    <w:rsid w:val="00D45A94"/>
    <w:rsid w:val="00D57F71"/>
    <w:rsid w:val="00D63B20"/>
    <w:rsid w:val="00DD3396"/>
    <w:rsid w:val="00DF6F53"/>
    <w:rsid w:val="00E11007"/>
    <w:rsid w:val="00E11B55"/>
    <w:rsid w:val="00E13EE2"/>
    <w:rsid w:val="00E2395A"/>
    <w:rsid w:val="00E24028"/>
    <w:rsid w:val="00E31965"/>
    <w:rsid w:val="00E431A3"/>
    <w:rsid w:val="00E71166"/>
    <w:rsid w:val="00EA3503"/>
    <w:rsid w:val="00EA50D0"/>
    <w:rsid w:val="00EA6F48"/>
    <w:rsid w:val="00EB1F75"/>
    <w:rsid w:val="00EB371C"/>
    <w:rsid w:val="00EB4336"/>
    <w:rsid w:val="00EC4D8E"/>
    <w:rsid w:val="00ED2901"/>
    <w:rsid w:val="00EE22D2"/>
    <w:rsid w:val="00EE2B40"/>
    <w:rsid w:val="00EF55BE"/>
    <w:rsid w:val="00F03EF6"/>
    <w:rsid w:val="00F11318"/>
    <w:rsid w:val="00F23C0C"/>
    <w:rsid w:val="00F35189"/>
    <w:rsid w:val="00F3556C"/>
    <w:rsid w:val="00F4450B"/>
    <w:rsid w:val="00F61104"/>
    <w:rsid w:val="00F658FF"/>
    <w:rsid w:val="00FB72AF"/>
    <w:rsid w:val="00FD5C7B"/>
    <w:rsid w:val="00FF3BCC"/>
    <w:rsid w:val="00FF6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85EA"/>
  <w15:chartTrackingRefBased/>
  <w15:docId w15:val="{41C741D8-2EDD-4579-8F21-E3570F7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9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D339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D3396"/>
    <w:rPr>
      <w:sz w:val="24"/>
      <w:lang w:val="es-MX"/>
    </w:rPr>
  </w:style>
  <w:style w:type="paragraph" w:styleId="Encabezado">
    <w:name w:val="header"/>
    <w:basedOn w:val="Normal"/>
    <w:link w:val="EncabezadoCar"/>
    <w:uiPriority w:val="99"/>
    <w:unhideWhenUsed/>
    <w:rsid w:val="00DD339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D3396"/>
    <w:rPr>
      <w:sz w:val="24"/>
      <w:lang w:val="es-MX"/>
    </w:rPr>
  </w:style>
  <w:style w:type="table" w:styleId="Tablaconcuadrcula">
    <w:name w:val="Table Grid"/>
    <w:basedOn w:val="Tablanormal"/>
    <w:uiPriority w:val="39"/>
    <w:qFormat/>
    <w:rsid w:val="00DD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DD3396"/>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DD339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339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D339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D3396"/>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D339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3396"/>
    <w:rPr>
      <w:vertAlign w:val="superscript"/>
    </w:rPr>
  </w:style>
  <w:style w:type="paragraph" w:customStyle="1" w:styleId="Appelnotedebasde">
    <w:name w:val="Appel note de bas de..."/>
    <w:basedOn w:val="Normal"/>
    <w:link w:val="Refdenotaalpie"/>
    <w:uiPriority w:val="99"/>
    <w:rsid w:val="00DD3396"/>
    <w:pPr>
      <w:spacing w:after="160" w:line="240" w:lineRule="exact"/>
    </w:pPr>
    <w:rPr>
      <w:rFonts w:asciiTheme="minorHAnsi" w:eastAsiaTheme="minorHAnsi" w:hAnsiTheme="minorHAnsi" w:cstheme="minorBidi"/>
      <w:sz w:val="22"/>
      <w:szCs w:val="22"/>
      <w:vertAlign w:val="superscript"/>
      <w:lang w:eastAsia="en-US"/>
    </w:rPr>
  </w:style>
  <w:style w:type="paragraph" w:styleId="NormalWeb">
    <w:name w:val="Normal (Web)"/>
    <w:basedOn w:val="Normal"/>
    <w:link w:val="NormalWebCar"/>
    <w:uiPriority w:val="99"/>
    <w:unhideWhenUsed/>
    <w:rsid w:val="00DD3396"/>
    <w:pPr>
      <w:spacing w:before="100" w:beforeAutospacing="1" w:after="100" w:afterAutospacing="1"/>
    </w:pPr>
  </w:style>
  <w:style w:type="character" w:customStyle="1" w:styleId="NormalWebCar">
    <w:name w:val="Normal (Web) Car"/>
    <w:link w:val="NormalWeb"/>
    <w:uiPriority w:val="99"/>
    <w:rsid w:val="00DD339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D3396"/>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DD3396"/>
    <w:rPr>
      <w:rFonts w:ascii="Arial" w:eastAsia="Arial" w:hAnsi="Arial" w:cs="Arial"/>
      <w:sz w:val="20"/>
      <w:szCs w:val="20"/>
      <w:lang w:val="es-ES"/>
    </w:rPr>
  </w:style>
  <w:style w:type="character" w:customStyle="1" w:styleId="baj">
    <w:name w:val="b_aj"/>
    <w:basedOn w:val="Fuentedeprrafopredeter"/>
    <w:rsid w:val="00DD3396"/>
  </w:style>
  <w:style w:type="paragraph" w:styleId="Revisin">
    <w:name w:val="Revision"/>
    <w:hidden/>
    <w:uiPriority w:val="99"/>
    <w:semiHidden/>
    <w:rsid w:val="00DD3396"/>
    <w:pPr>
      <w:spacing w:after="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3396"/>
    <w:rPr>
      <w:b/>
      <w:bCs/>
    </w:rPr>
  </w:style>
  <w:style w:type="character" w:styleId="nfasis">
    <w:name w:val="Emphasis"/>
    <w:basedOn w:val="Fuentedeprrafopredeter"/>
    <w:uiPriority w:val="20"/>
    <w:qFormat/>
    <w:rsid w:val="00DD3396"/>
    <w:rPr>
      <w:i/>
      <w:iCs/>
    </w:rPr>
  </w:style>
  <w:style w:type="character" w:styleId="Hipervnculo">
    <w:name w:val="Hyperlink"/>
    <w:basedOn w:val="Fuentedeprrafopredeter"/>
    <w:uiPriority w:val="99"/>
    <w:unhideWhenUsed/>
    <w:rsid w:val="00DD3396"/>
    <w:rPr>
      <w:color w:val="0563C1" w:themeColor="hyperlink"/>
      <w:u w:val="single"/>
    </w:rPr>
  </w:style>
  <w:style w:type="character" w:styleId="Mencinsinresolver">
    <w:name w:val="Unresolved Mention"/>
    <w:basedOn w:val="Fuentedeprrafopredeter"/>
    <w:uiPriority w:val="99"/>
    <w:semiHidden/>
    <w:unhideWhenUsed/>
    <w:rsid w:val="00DD3396"/>
    <w:rPr>
      <w:color w:val="605E5C"/>
      <w:shd w:val="clear" w:color="auto" w:fill="E1DFDD"/>
    </w:rPr>
  </w:style>
  <w:style w:type="character" w:styleId="Refdecomentario">
    <w:name w:val="annotation reference"/>
    <w:basedOn w:val="Fuentedeprrafopredeter"/>
    <w:uiPriority w:val="99"/>
    <w:semiHidden/>
    <w:unhideWhenUsed/>
    <w:rsid w:val="00DD3396"/>
    <w:rPr>
      <w:sz w:val="16"/>
      <w:szCs w:val="16"/>
    </w:rPr>
  </w:style>
  <w:style w:type="paragraph" w:styleId="Textocomentario">
    <w:name w:val="annotation text"/>
    <w:basedOn w:val="Normal"/>
    <w:link w:val="TextocomentarioCar"/>
    <w:uiPriority w:val="99"/>
    <w:semiHidden/>
    <w:unhideWhenUsed/>
    <w:rsid w:val="00DD3396"/>
    <w:rPr>
      <w:sz w:val="20"/>
      <w:szCs w:val="20"/>
    </w:rPr>
  </w:style>
  <w:style w:type="character" w:customStyle="1" w:styleId="TextocomentarioCar">
    <w:name w:val="Texto comentario Car"/>
    <w:basedOn w:val="Fuentedeprrafopredeter"/>
    <w:link w:val="Textocomentario"/>
    <w:uiPriority w:val="99"/>
    <w:semiHidden/>
    <w:rsid w:val="00DD339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D3396"/>
    <w:rPr>
      <w:b/>
      <w:bCs/>
    </w:rPr>
  </w:style>
  <w:style w:type="character" w:customStyle="1" w:styleId="AsuntodelcomentarioCar">
    <w:name w:val="Asunto del comentario Car"/>
    <w:basedOn w:val="TextocomentarioCar"/>
    <w:link w:val="Asuntodelcomentario"/>
    <w:uiPriority w:val="99"/>
    <w:semiHidden/>
    <w:rsid w:val="00DD3396"/>
    <w:rPr>
      <w:rFonts w:ascii="Times New Roman" w:eastAsia="Times New Roman" w:hAnsi="Times New Roman" w:cs="Times New Roman"/>
      <w:b/>
      <w:bCs/>
      <w:sz w:val="20"/>
      <w:szCs w:val="20"/>
      <w:lang w:eastAsia="es-MX"/>
    </w:rPr>
  </w:style>
  <w:style w:type="paragraph" w:customStyle="1" w:styleId="Normal11pt">
    <w:name w:val="Normal + 11 pt"/>
    <w:aliases w:val="Negro,Justificado,Izquierda:  -0,95 cm,Derecha:  0,04 cm"/>
    <w:basedOn w:val="Normal"/>
    <w:uiPriority w:val="99"/>
    <w:rsid w:val="00862E0E"/>
    <w:pPr>
      <w:ind w:left="-540"/>
      <w:jc w:val="both"/>
    </w:pPr>
    <w:rPr>
      <w:rFonts w:ascii="Arial" w:hAnsi="Arial" w:cs="Arial"/>
      <w:color w:val="000000"/>
      <w:sz w:val="22"/>
      <w:szCs w:val="22"/>
      <w:lang w:val="es-ES_tradnl" w:eastAsia="es-ES"/>
    </w:rPr>
  </w:style>
  <w:style w:type="paragraph" w:customStyle="1" w:styleId="Textonotapie1">
    <w:name w:val="Texto nota pie1"/>
    <w:basedOn w:val="Normal"/>
    <w:next w:val="Textonotapie"/>
    <w:uiPriority w:val="99"/>
    <w:semiHidden/>
    <w:unhideWhenUsed/>
    <w:rsid w:val="004F27D9"/>
    <w:pPr>
      <w:jc w:val="both"/>
    </w:pPr>
    <w:rPr>
      <w:rFonts w:ascii="Arial" w:eastAsiaTheme="minorHAnsi" w:hAnsi="Arial" w:cstheme="minorBid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32578">
      <w:bodyDiv w:val="1"/>
      <w:marLeft w:val="0"/>
      <w:marRight w:val="0"/>
      <w:marTop w:val="0"/>
      <w:marBottom w:val="0"/>
      <w:divBdr>
        <w:top w:val="none" w:sz="0" w:space="0" w:color="auto"/>
        <w:left w:val="none" w:sz="0" w:space="0" w:color="auto"/>
        <w:bottom w:val="none" w:sz="0" w:space="0" w:color="auto"/>
        <w:right w:val="none" w:sz="0" w:space="0" w:color="auto"/>
      </w:divBdr>
      <w:divsChild>
        <w:div w:id="810362553">
          <w:marLeft w:val="0"/>
          <w:marRight w:val="0"/>
          <w:marTop w:val="0"/>
          <w:marBottom w:val="0"/>
          <w:divBdr>
            <w:top w:val="none" w:sz="0" w:space="0" w:color="auto"/>
            <w:left w:val="none" w:sz="0" w:space="0" w:color="auto"/>
            <w:bottom w:val="none" w:sz="0" w:space="0" w:color="auto"/>
            <w:right w:val="none" w:sz="0" w:space="0" w:color="auto"/>
          </w:divBdr>
          <w:divsChild>
            <w:div w:id="1238976718">
              <w:marLeft w:val="0"/>
              <w:marRight w:val="0"/>
              <w:marTop w:val="0"/>
              <w:marBottom w:val="0"/>
              <w:divBdr>
                <w:top w:val="none" w:sz="0" w:space="0" w:color="auto"/>
                <w:left w:val="none" w:sz="0" w:space="0" w:color="auto"/>
                <w:bottom w:val="none" w:sz="0" w:space="0" w:color="auto"/>
                <w:right w:val="none" w:sz="0" w:space="0" w:color="auto"/>
              </w:divBdr>
              <w:divsChild>
                <w:div w:id="19763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68821">
      <w:bodyDiv w:val="1"/>
      <w:marLeft w:val="0"/>
      <w:marRight w:val="0"/>
      <w:marTop w:val="0"/>
      <w:marBottom w:val="0"/>
      <w:divBdr>
        <w:top w:val="none" w:sz="0" w:space="0" w:color="auto"/>
        <w:left w:val="none" w:sz="0" w:space="0" w:color="auto"/>
        <w:bottom w:val="none" w:sz="0" w:space="0" w:color="auto"/>
        <w:right w:val="none" w:sz="0" w:space="0" w:color="auto"/>
      </w:divBdr>
      <w:divsChild>
        <w:div w:id="53019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47DF1-58C4-43A0-80B3-17C61C02C992}">
  <ds:schemaRefs>
    <ds:schemaRef ds:uri="http://schemas.openxmlformats.org/officeDocument/2006/bibliography"/>
  </ds:schemaRefs>
</ds:datastoreItem>
</file>

<file path=customXml/itemProps2.xml><?xml version="1.0" encoding="utf-8"?>
<ds:datastoreItem xmlns:ds="http://schemas.openxmlformats.org/officeDocument/2006/customXml" ds:itemID="{10E1A64F-7ED3-421F-86B8-D6A2307D580D}"/>
</file>

<file path=customXml/itemProps3.xml><?xml version="1.0" encoding="utf-8"?>
<ds:datastoreItem xmlns:ds="http://schemas.openxmlformats.org/officeDocument/2006/customXml" ds:itemID="{0403715F-7819-4BC2-BDAE-5940BE0D8EC6}"/>
</file>

<file path=customXml/itemProps4.xml><?xml version="1.0" encoding="utf-8"?>
<ds:datastoreItem xmlns:ds="http://schemas.openxmlformats.org/officeDocument/2006/customXml" ds:itemID="{3E69BD1D-C171-47DD-9C54-0C12A42C6DDA}"/>
</file>

<file path=docProps/app.xml><?xml version="1.0" encoding="utf-8"?>
<Properties xmlns="http://schemas.openxmlformats.org/officeDocument/2006/extended-properties" xmlns:vt="http://schemas.openxmlformats.org/officeDocument/2006/docPropsVTypes">
  <Template>Normal.dotm</Template>
  <TotalTime>1</TotalTime>
  <Pages>15</Pages>
  <Words>5499</Words>
  <Characters>30249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Colombia Compra Eficiente</dc:creator>
  <cp:keywords/>
  <dc:description/>
  <cp:lastModifiedBy>nicolle saenz camargo</cp:lastModifiedBy>
  <cp:revision>3</cp:revision>
  <dcterms:created xsi:type="dcterms:W3CDTF">2022-05-24T04:23:00Z</dcterms:created>
  <dcterms:modified xsi:type="dcterms:W3CDTF">2022-05-28T12:50:00Z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