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A133" w14:textId="77777777" w:rsidR="00EE4827" w:rsidRPr="00852EC7" w:rsidRDefault="00EE4827" w:rsidP="00EE4827">
      <w:pPr>
        <w:spacing w:after="0" w:line="240" w:lineRule="auto"/>
        <w:rPr>
          <w:rFonts w:ascii="Arial" w:hAnsi="Arial" w:cs="Arial"/>
          <w:b/>
          <w:color w:val="000000"/>
          <w:sz w:val="20"/>
          <w:szCs w:val="20"/>
          <w:highlight w:val="yellow"/>
          <w:lang w:val="es-ES_tradnl" w:eastAsia="en-US"/>
        </w:rPr>
      </w:pPr>
      <w:r w:rsidRPr="00852EC7">
        <w:rPr>
          <w:rFonts w:ascii="Arial" w:hAnsi="Arial" w:cs="Arial"/>
          <w:b/>
          <w:color w:val="000000"/>
          <w:sz w:val="22"/>
          <w:lang w:val="es-ES_tradnl"/>
        </w:rPr>
        <w:t>AGENCIA NACIONAL DE CONTRATACIÓN PÚBLICA COLOMBIA COMPRA EFICIENTE – Competencia consultiva</w:t>
      </w:r>
    </w:p>
    <w:p w14:paraId="12CF1F43" w14:textId="77777777" w:rsidR="00EE4827" w:rsidRDefault="00EE4827" w:rsidP="00EE4827">
      <w:pPr>
        <w:spacing w:after="0" w:line="240" w:lineRule="auto"/>
        <w:rPr>
          <w:rFonts w:ascii="Arial" w:hAnsi="Arial" w:cs="Arial"/>
          <w:bCs/>
          <w:color w:val="000000"/>
          <w:sz w:val="20"/>
          <w:szCs w:val="20"/>
          <w:lang w:eastAsia="en-US"/>
        </w:rPr>
      </w:pPr>
    </w:p>
    <w:p w14:paraId="2EEEF906" w14:textId="77777777" w:rsidR="00EE4827" w:rsidRDefault="00EE4827" w:rsidP="00EE4827">
      <w:pPr>
        <w:spacing w:after="0" w:line="240" w:lineRule="auto"/>
        <w:rPr>
          <w:rFonts w:ascii="Arial" w:hAnsi="Arial" w:cs="Arial"/>
          <w:bCs/>
          <w:color w:val="000000"/>
          <w:sz w:val="20"/>
          <w:szCs w:val="20"/>
          <w:lang w:eastAsia="en-US"/>
        </w:rPr>
      </w:pPr>
      <w:r w:rsidRPr="00074415">
        <w:rPr>
          <w:rFonts w:ascii="Arial" w:hAnsi="Arial" w:cs="Arial"/>
          <w:bCs/>
          <w:color w:val="000000"/>
          <w:sz w:val="20"/>
          <w:szCs w:val="20"/>
          <w:lang w:eastAsia="en-US"/>
        </w:rPr>
        <w:t>Sin perjuicio de lo anterior, se debe precisar que el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Por lo tanto, esta entidad solo tiene competencia para responder solicitudes sobre la aplicación de normas de carácter general en materia de compras y contratación pública. En ese sentido, resolver consultas sobre materias distintas a las referidas desborda las funciones que le fueron asignadas.</w:t>
      </w:r>
    </w:p>
    <w:p w14:paraId="20D4310D" w14:textId="77777777" w:rsidR="00EE4827" w:rsidRDefault="00EE4827" w:rsidP="00EE4827">
      <w:pPr>
        <w:spacing w:after="0" w:line="240" w:lineRule="auto"/>
        <w:rPr>
          <w:rFonts w:ascii="Arial" w:hAnsi="Arial" w:cs="Arial"/>
          <w:b/>
          <w:color w:val="000000"/>
          <w:sz w:val="22"/>
          <w:szCs w:val="22"/>
          <w:highlight w:val="yellow"/>
          <w:lang w:val="es-ES_tradnl" w:eastAsia="en-US"/>
        </w:rPr>
      </w:pPr>
    </w:p>
    <w:p w14:paraId="076A7959" w14:textId="77777777" w:rsidR="00EE4827" w:rsidRPr="007E1CDB" w:rsidRDefault="00EE4827" w:rsidP="00EE4827">
      <w:pPr>
        <w:spacing w:after="0" w:line="240" w:lineRule="auto"/>
        <w:rPr>
          <w:rFonts w:ascii="Arial" w:hAnsi="Arial" w:cs="Arial"/>
          <w:b/>
          <w:color w:val="000000"/>
          <w:sz w:val="22"/>
          <w:szCs w:val="22"/>
          <w:lang w:val="es-ES_tradnl" w:eastAsia="en-US"/>
        </w:rPr>
      </w:pPr>
      <w:r w:rsidRPr="007E1CDB">
        <w:rPr>
          <w:rFonts w:ascii="Arial" w:hAnsi="Arial" w:cs="Arial"/>
          <w:b/>
          <w:color w:val="000000"/>
          <w:sz w:val="22"/>
          <w:szCs w:val="22"/>
          <w:lang w:val="es-ES_tradnl" w:eastAsia="en-US"/>
        </w:rPr>
        <w:t>LEY 2195 DEL 2022-Contabilidad de los Contratistas del Estado</w:t>
      </w:r>
      <w:r>
        <w:rPr>
          <w:rFonts w:ascii="Arial" w:hAnsi="Arial" w:cs="Arial"/>
          <w:b/>
          <w:color w:val="000000"/>
          <w:sz w:val="22"/>
          <w:szCs w:val="22"/>
          <w:lang w:val="es-ES_tradnl" w:eastAsia="en-US"/>
        </w:rPr>
        <w:t>-Ámbito de aplicación</w:t>
      </w:r>
    </w:p>
    <w:p w14:paraId="1ABDF299" w14:textId="77777777" w:rsidR="00EE4827" w:rsidRPr="007E1CDB" w:rsidRDefault="00EE4827" w:rsidP="00EE4827">
      <w:pPr>
        <w:spacing w:after="0" w:line="240" w:lineRule="auto"/>
        <w:rPr>
          <w:rFonts w:ascii="Arial" w:hAnsi="Arial" w:cs="Arial"/>
          <w:color w:val="000000"/>
          <w:sz w:val="20"/>
          <w:szCs w:val="20"/>
          <w:lang w:val="es-ES_tradnl" w:eastAsia="en-US"/>
        </w:rPr>
      </w:pPr>
    </w:p>
    <w:p w14:paraId="041091F5" w14:textId="77777777" w:rsidR="00EE4827" w:rsidRPr="00074415" w:rsidRDefault="00EE4827" w:rsidP="00EE4827">
      <w:pPr>
        <w:spacing w:after="0" w:line="240" w:lineRule="auto"/>
        <w:rPr>
          <w:rFonts w:ascii="Arial" w:hAnsi="Arial" w:cs="Arial"/>
          <w:color w:val="000000"/>
          <w:sz w:val="20"/>
          <w:szCs w:val="20"/>
          <w:lang w:val="es-ES_tradnl" w:eastAsia="en-US"/>
        </w:rPr>
      </w:pPr>
      <w:r w:rsidRPr="00074415">
        <w:rPr>
          <w:rFonts w:ascii="Arial" w:hAnsi="Arial" w:cs="Arial"/>
          <w:color w:val="000000"/>
          <w:sz w:val="20"/>
          <w:szCs w:val="20"/>
          <w:lang w:val="es-ES_tradnl" w:eastAsia="en-US"/>
        </w:rPr>
        <w:t>En el contexto antes descrito, el contenido del artículo 50 de la Ley 2195 del 2022, constituye un desarrollo interno de las medidas que deben adoptarse en virtud de los compromisos asumidos por el Estado Colombiano, por cuanto corresponde a una medida que reconoce que los actos de corrupción pueden provenir de los sectores públicos o privado y que, por lo mismo, se hace necesaria la adopción de mecanismos que promuevan el uso de buenas prácticas por parte de todos los actores de la gestión contractual, entre los que se encuentran los contratistas del Estado.</w:t>
      </w:r>
      <w:r>
        <w:rPr>
          <w:rFonts w:ascii="Arial" w:hAnsi="Arial" w:cs="Arial"/>
          <w:color w:val="000000"/>
          <w:sz w:val="20"/>
          <w:szCs w:val="20"/>
          <w:lang w:val="es-ES_tradnl" w:eastAsia="en-US"/>
        </w:rPr>
        <w:t xml:space="preserve"> </w:t>
      </w:r>
      <w:r w:rsidRPr="00074415">
        <w:rPr>
          <w:rFonts w:ascii="Arial" w:hAnsi="Arial" w:cs="Arial"/>
          <w:color w:val="000000"/>
          <w:sz w:val="20"/>
          <w:szCs w:val="20"/>
          <w:lang w:val="es-ES_tradnl" w:eastAsia="en-US"/>
        </w:rPr>
        <w:t>Así, la norma objeto de análisis puede considerarse como desarrollo legal del principio de transparencia al que se somete toda la gestión contractual del Estado, al margen del régimen de contratación que se aplique en un caso concreto, en virtud de la expresa previsión del artículo 13 de la Ley 1150 de 2007, cuyo alcance, por lo demás, se refuerza con la reforma que le introduce el artículo 53 de la Ley 2195 del 2022</w:t>
      </w:r>
      <w:r>
        <w:rPr>
          <w:rFonts w:ascii="Arial" w:hAnsi="Arial" w:cs="Arial"/>
          <w:color w:val="000000"/>
          <w:sz w:val="20"/>
          <w:szCs w:val="20"/>
          <w:lang w:val="es-ES_tradnl" w:eastAsia="en-US"/>
        </w:rPr>
        <w:t>.</w:t>
      </w:r>
    </w:p>
    <w:p w14:paraId="0ABC043A" w14:textId="77777777" w:rsidR="00EE4827" w:rsidRDefault="00EE4827" w:rsidP="00EE4827">
      <w:pPr>
        <w:spacing w:after="0" w:line="240" w:lineRule="auto"/>
        <w:rPr>
          <w:rFonts w:ascii="Arial" w:hAnsi="Arial" w:cs="Arial"/>
          <w:b/>
          <w:color w:val="000000"/>
          <w:sz w:val="22"/>
          <w:szCs w:val="22"/>
          <w:highlight w:val="yellow"/>
          <w:lang w:val="es-ES_tradnl" w:eastAsia="en-US"/>
        </w:rPr>
      </w:pPr>
    </w:p>
    <w:p w14:paraId="69FADC97" w14:textId="77777777" w:rsidR="00EE4827" w:rsidRPr="007E1CDB" w:rsidRDefault="00EE4827" w:rsidP="00EE4827">
      <w:pPr>
        <w:spacing w:after="0" w:line="240" w:lineRule="auto"/>
        <w:rPr>
          <w:rFonts w:ascii="Arial" w:hAnsi="Arial" w:cs="Arial"/>
          <w:b/>
          <w:color w:val="000000"/>
          <w:sz w:val="22"/>
          <w:szCs w:val="22"/>
          <w:lang w:val="es-ES_tradnl" w:eastAsia="en-US"/>
        </w:rPr>
      </w:pPr>
      <w:r w:rsidRPr="007E1CDB">
        <w:rPr>
          <w:rFonts w:ascii="Arial" w:hAnsi="Arial" w:cs="Arial"/>
          <w:b/>
          <w:color w:val="000000"/>
          <w:sz w:val="22"/>
          <w:szCs w:val="22"/>
          <w:lang w:val="es-ES_tradnl" w:eastAsia="en-US"/>
        </w:rPr>
        <w:t xml:space="preserve">EFECTOS DE LA LEY EN EL TIEMPO-Vigencia de la Ley 2195 del </w:t>
      </w:r>
      <w:r>
        <w:rPr>
          <w:rFonts w:ascii="Arial" w:hAnsi="Arial" w:cs="Arial"/>
          <w:b/>
          <w:color w:val="000000"/>
          <w:sz w:val="22"/>
          <w:szCs w:val="22"/>
          <w:lang w:val="es-ES_tradnl" w:eastAsia="en-US"/>
        </w:rPr>
        <w:t>2022</w:t>
      </w:r>
    </w:p>
    <w:p w14:paraId="57ED7D8C" w14:textId="77777777" w:rsidR="00EE4827" w:rsidRPr="007E1CDB" w:rsidRDefault="00EE4827" w:rsidP="00EE4827">
      <w:pPr>
        <w:spacing w:after="0" w:line="240" w:lineRule="auto"/>
        <w:rPr>
          <w:rFonts w:ascii="Arial" w:hAnsi="Arial" w:cs="Arial"/>
          <w:color w:val="000000"/>
          <w:sz w:val="20"/>
          <w:szCs w:val="20"/>
          <w:lang w:val="es-ES_tradnl" w:eastAsia="en-US"/>
        </w:rPr>
      </w:pPr>
    </w:p>
    <w:p w14:paraId="4CF644E4" w14:textId="77777777" w:rsidR="00EE4827" w:rsidRDefault="00EE4827" w:rsidP="00EE4827">
      <w:pPr>
        <w:spacing w:line="240" w:lineRule="auto"/>
        <w:rPr>
          <w:rFonts w:ascii="Arial" w:hAnsi="Arial" w:cs="Arial"/>
          <w:bCs/>
          <w:color w:val="000000"/>
          <w:sz w:val="20"/>
          <w:szCs w:val="20"/>
          <w:lang w:eastAsia="en-US"/>
        </w:rPr>
      </w:pPr>
      <w:r>
        <w:rPr>
          <w:rFonts w:ascii="Arial" w:hAnsi="Arial" w:cs="Arial"/>
          <w:color w:val="000000"/>
          <w:sz w:val="20"/>
          <w:szCs w:val="20"/>
          <w:lang w:val="es-ES_tradnl" w:eastAsia="en-US"/>
        </w:rPr>
        <w:t>[P]</w:t>
      </w:r>
      <w:proofErr w:type="spellStart"/>
      <w:r w:rsidRPr="005613C5">
        <w:rPr>
          <w:rFonts w:ascii="Arial" w:hAnsi="Arial" w:cs="Arial"/>
          <w:color w:val="000000"/>
          <w:sz w:val="20"/>
          <w:szCs w:val="20"/>
          <w:lang w:val="es-ES_tradnl" w:eastAsia="en-US"/>
        </w:rPr>
        <w:t>or</w:t>
      </w:r>
      <w:proofErr w:type="spellEnd"/>
      <w:r w:rsidRPr="005613C5">
        <w:rPr>
          <w:rFonts w:ascii="Arial" w:hAnsi="Arial" w:cs="Arial"/>
          <w:color w:val="000000"/>
          <w:sz w:val="20"/>
          <w:szCs w:val="20"/>
          <w:lang w:val="es-ES_tradnl" w:eastAsia="en-US"/>
        </w:rPr>
        <w:t xml:space="preserve"> regla general la ley tiene efecto general inmediato y es </w:t>
      </w:r>
      <w:proofErr w:type="spellStart"/>
      <w:r w:rsidRPr="005613C5">
        <w:rPr>
          <w:rFonts w:ascii="Arial" w:hAnsi="Arial" w:cs="Arial"/>
          <w:color w:val="000000"/>
          <w:sz w:val="20"/>
          <w:szCs w:val="20"/>
          <w:lang w:val="es-ES_tradnl" w:eastAsia="en-US"/>
        </w:rPr>
        <w:t>irretroactiva</w:t>
      </w:r>
      <w:proofErr w:type="spellEnd"/>
      <w:r w:rsidRPr="005613C5">
        <w:rPr>
          <w:rFonts w:ascii="Arial" w:hAnsi="Arial" w:cs="Arial"/>
          <w:color w:val="000000"/>
          <w:sz w:val="20"/>
          <w:szCs w:val="20"/>
          <w:lang w:val="es-ES_tradnl" w:eastAsia="en-US"/>
        </w:rPr>
        <w:t xml:space="preserve">, es decir, solo produce afectos hacia el futuro. Sin embargo, hay excepciones a esta regla, expresamente autorizadas por el legislador, como ocurre con la retroactividad, la </w:t>
      </w:r>
      <w:proofErr w:type="spellStart"/>
      <w:r w:rsidRPr="005613C5">
        <w:rPr>
          <w:rFonts w:ascii="Arial" w:hAnsi="Arial" w:cs="Arial"/>
          <w:color w:val="000000"/>
          <w:sz w:val="20"/>
          <w:szCs w:val="20"/>
          <w:lang w:val="es-ES_tradnl" w:eastAsia="en-US"/>
        </w:rPr>
        <w:t>ultractividad</w:t>
      </w:r>
      <w:proofErr w:type="spellEnd"/>
      <w:r w:rsidRPr="005613C5">
        <w:rPr>
          <w:rFonts w:ascii="Arial" w:hAnsi="Arial" w:cs="Arial"/>
          <w:color w:val="000000"/>
          <w:sz w:val="20"/>
          <w:szCs w:val="20"/>
          <w:lang w:val="es-ES_tradnl" w:eastAsia="en-US"/>
        </w:rPr>
        <w:t xml:space="preserve"> y la retrospectividad, referidas en los párrafos precedentes. Con base en dichas reglas se debe analizar los efectos en el tiempo de la Ley 2195 del 2022, para lo cual resulta pertinente tener en cuenta que fue promulgada el 18 de enero del presente año y que en su artículo 69 se dispuso de forma expresa que sus disposiciones regirían a partir de su promulgación. Ahora bien, como el legislador no contempló excepciones a su efecto general inmediato, significa que el operador jurídico debe proceder a su aplicación en los términos en que fue definida su vigencia, es decir a partir del 18 de enero del 2022. Por lo tanto, los efectos del artículo 50 de la Ley 2195 de 2022 se producen hacia el futuro desde la fecha mencionada</w:t>
      </w:r>
      <w:r>
        <w:rPr>
          <w:rFonts w:ascii="Arial" w:hAnsi="Arial" w:cs="Arial"/>
          <w:color w:val="000000"/>
          <w:sz w:val="20"/>
          <w:szCs w:val="20"/>
          <w:lang w:val="es-ES_tradnl" w:eastAsia="en-US"/>
        </w:rPr>
        <w:t>.</w:t>
      </w:r>
    </w:p>
    <w:p w14:paraId="3944A54B" w14:textId="77777777" w:rsidR="007C72C5" w:rsidRDefault="007C72C5" w:rsidP="007C72C5">
      <w:pPr>
        <w:rPr>
          <w:rFonts w:ascii="Arial" w:hAnsi="Arial" w:cs="Arial"/>
          <w:bCs/>
          <w:color w:val="000000"/>
          <w:sz w:val="20"/>
          <w:szCs w:val="20"/>
          <w:lang w:eastAsia="en-US"/>
        </w:rPr>
      </w:pPr>
    </w:p>
    <w:p w14:paraId="4666E05D" w14:textId="77777777" w:rsidR="007C72C5" w:rsidRDefault="007C72C5" w:rsidP="007C72C5">
      <w:pPr>
        <w:rPr>
          <w:rFonts w:ascii="Arial" w:hAnsi="Arial" w:cs="Arial"/>
          <w:bCs/>
          <w:color w:val="000000"/>
          <w:sz w:val="20"/>
          <w:szCs w:val="20"/>
          <w:lang w:eastAsia="en-US"/>
        </w:rPr>
      </w:pPr>
    </w:p>
    <w:p w14:paraId="70B6732E" w14:textId="77777777" w:rsidR="00C8495A" w:rsidRDefault="00C8495A" w:rsidP="007C72C5">
      <w:pPr>
        <w:rPr>
          <w:rFonts w:ascii="Arial" w:eastAsia="Arial" w:hAnsi="Arial" w:cs="Arial"/>
          <w:color w:val="000000"/>
          <w:sz w:val="22"/>
          <w:szCs w:val="22"/>
        </w:rPr>
      </w:pPr>
    </w:p>
    <w:p w14:paraId="50672219" w14:textId="77777777" w:rsidR="00C8495A" w:rsidRDefault="00C8495A" w:rsidP="007C72C5">
      <w:pPr>
        <w:rPr>
          <w:rFonts w:ascii="Arial" w:eastAsia="Arial" w:hAnsi="Arial" w:cs="Arial"/>
          <w:color w:val="000000"/>
          <w:sz w:val="22"/>
          <w:szCs w:val="22"/>
        </w:rPr>
      </w:pPr>
    </w:p>
    <w:p w14:paraId="63D4FBC9" w14:textId="093EDDAD" w:rsidR="00272A0E" w:rsidRPr="00272A0E" w:rsidRDefault="00272A0E" w:rsidP="00272A0E">
      <w:pPr>
        <w:jc w:val="right"/>
        <w:rPr>
          <w:rFonts w:ascii="Arial" w:eastAsia="Arial" w:hAnsi="Arial" w:cs="Arial"/>
          <w:b/>
          <w:bCs/>
          <w:color w:val="000000"/>
          <w:sz w:val="22"/>
          <w:szCs w:val="22"/>
        </w:rPr>
      </w:pPr>
      <w:r w:rsidRPr="00272A0E">
        <w:rPr>
          <w:rFonts w:ascii="Arial" w:eastAsia="Arial" w:hAnsi="Arial" w:cs="Arial"/>
          <w:b/>
          <w:bCs/>
          <w:color w:val="000000"/>
          <w:sz w:val="22"/>
          <w:szCs w:val="22"/>
        </w:rPr>
        <w:lastRenderedPageBreak/>
        <w:drawing>
          <wp:inline distT="0" distB="0" distL="0" distR="0" wp14:anchorId="37139A37" wp14:editId="4F79A86B">
            <wp:extent cx="2711450" cy="837397"/>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6586" cy="842072"/>
                    </a:xfrm>
                    <a:prstGeom prst="rect">
                      <a:avLst/>
                    </a:prstGeom>
                  </pic:spPr>
                </pic:pic>
              </a:graphicData>
            </a:graphic>
          </wp:inline>
        </w:drawing>
      </w:r>
    </w:p>
    <w:p w14:paraId="304D6AEA" w14:textId="584671EF" w:rsidR="007E1CDB" w:rsidRPr="007C72C5" w:rsidRDefault="00F473C3" w:rsidP="007C72C5">
      <w:pPr>
        <w:rPr>
          <w:rFonts w:ascii="Arial" w:hAnsi="Arial" w:cs="Arial"/>
          <w:color w:val="000000"/>
          <w:sz w:val="20"/>
          <w:szCs w:val="20"/>
          <w:lang w:val="es-ES_tradnl" w:eastAsia="en-US"/>
        </w:rPr>
      </w:pPr>
      <w:r w:rsidRPr="007E1CDB">
        <w:rPr>
          <w:rFonts w:ascii="Arial" w:eastAsia="Arial" w:hAnsi="Arial" w:cs="Arial"/>
          <w:color w:val="000000"/>
          <w:sz w:val="22"/>
          <w:szCs w:val="22"/>
        </w:rPr>
        <w:t>Bogotá</w:t>
      </w:r>
      <w:r w:rsidR="007E1CDB" w:rsidRPr="007E1CDB">
        <w:rPr>
          <w:rFonts w:ascii="Arial" w:eastAsia="Arial" w:hAnsi="Arial" w:cs="Arial"/>
          <w:color w:val="000000"/>
          <w:sz w:val="22"/>
          <w:szCs w:val="22"/>
        </w:rPr>
        <w:t xml:space="preserve"> D.C</w:t>
      </w:r>
      <w:r w:rsidR="00272A0E">
        <w:rPr>
          <w:rFonts w:ascii="Arial" w:eastAsia="Arial" w:hAnsi="Arial" w:cs="Arial"/>
          <w:color w:val="000000"/>
          <w:sz w:val="22"/>
          <w:szCs w:val="22"/>
        </w:rPr>
        <w:t xml:space="preserve">., 13 de junio de 2022 </w:t>
      </w:r>
    </w:p>
    <w:p w14:paraId="2D9D0444" w14:textId="77777777" w:rsidR="00871181" w:rsidRPr="006A06F2" w:rsidRDefault="00871181" w:rsidP="00AA1B5C">
      <w:pPr>
        <w:spacing w:after="0"/>
        <w:rPr>
          <w:rFonts w:ascii="Arial" w:eastAsia="Arial" w:hAnsi="Arial" w:cs="Arial"/>
          <w:color w:val="000000"/>
          <w:sz w:val="22"/>
          <w:szCs w:val="22"/>
        </w:rPr>
      </w:pPr>
    </w:p>
    <w:p w14:paraId="33268C80" w14:textId="77777777" w:rsidR="00A358E9" w:rsidRDefault="00A358E9" w:rsidP="00AA1B5C">
      <w:pPr>
        <w:spacing w:after="0"/>
        <w:rPr>
          <w:rFonts w:ascii="Arial" w:eastAsia="Arial" w:hAnsi="Arial" w:cs="Arial"/>
          <w:color w:val="000000"/>
          <w:sz w:val="22"/>
          <w:szCs w:val="22"/>
        </w:rPr>
      </w:pPr>
    </w:p>
    <w:p w14:paraId="7BB970E7" w14:textId="19C4EF8C" w:rsidR="00871181" w:rsidRPr="006A06F2" w:rsidRDefault="003E3EF7" w:rsidP="00AA1B5C">
      <w:pPr>
        <w:spacing w:after="0"/>
        <w:rPr>
          <w:rFonts w:ascii="Arial" w:eastAsia="Arial" w:hAnsi="Arial" w:cs="Arial"/>
          <w:color w:val="000000"/>
          <w:sz w:val="22"/>
          <w:szCs w:val="22"/>
        </w:rPr>
      </w:pPr>
      <w:r w:rsidRPr="006A06F2">
        <w:rPr>
          <w:rFonts w:ascii="Arial" w:eastAsia="Arial" w:hAnsi="Arial" w:cs="Arial"/>
          <w:color w:val="000000"/>
          <w:sz w:val="22"/>
          <w:szCs w:val="22"/>
        </w:rPr>
        <w:t>Señor</w:t>
      </w:r>
      <w:r w:rsidR="00EE7BE3">
        <w:rPr>
          <w:rFonts w:ascii="Arial" w:eastAsia="Arial" w:hAnsi="Arial" w:cs="Arial"/>
          <w:color w:val="000000"/>
          <w:sz w:val="22"/>
          <w:szCs w:val="22"/>
        </w:rPr>
        <w:t>a</w:t>
      </w:r>
    </w:p>
    <w:p w14:paraId="6505BAF5" w14:textId="17F1250D" w:rsidR="0079024C" w:rsidRDefault="00EE7BE3" w:rsidP="00AA1B5C">
      <w:pPr>
        <w:spacing w:after="0"/>
        <w:rPr>
          <w:rFonts w:ascii="Arial" w:eastAsia="Arial" w:hAnsi="Arial" w:cs="Arial"/>
          <w:b/>
          <w:color w:val="000000"/>
          <w:sz w:val="22"/>
          <w:szCs w:val="22"/>
        </w:rPr>
      </w:pPr>
      <w:r>
        <w:rPr>
          <w:rFonts w:ascii="Arial" w:eastAsia="Arial" w:hAnsi="Arial" w:cs="Arial"/>
          <w:b/>
          <w:color w:val="000000"/>
          <w:sz w:val="22"/>
          <w:szCs w:val="22"/>
        </w:rPr>
        <w:t>Luisa Fernanda Galeano Arango</w:t>
      </w:r>
    </w:p>
    <w:p w14:paraId="23F9476A" w14:textId="1D0F0A2A" w:rsidR="00871181" w:rsidRPr="006A06F2" w:rsidRDefault="003E3EF7" w:rsidP="00AA1B5C">
      <w:pPr>
        <w:spacing w:after="0"/>
        <w:rPr>
          <w:rFonts w:ascii="Arial" w:eastAsia="Arial" w:hAnsi="Arial" w:cs="Arial"/>
          <w:color w:val="000000"/>
          <w:sz w:val="22"/>
          <w:szCs w:val="22"/>
        </w:rPr>
      </w:pPr>
      <w:r w:rsidRPr="006A06F2">
        <w:rPr>
          <w:rFonts w:ascii="Arial" w:eastAsia="Arial" w:hAnsi="Arial" w:cs="Arial"/>
          <w:color w:val="000000"/>
          <w:sz w:val="22"/>
          <w:szCs w:val="22"/>
        </w:rPr>
        <w:t>Bogotá D.C.</w:t>
      </w:r>
    </w:p>
    <w:p w14:paraId="2D356E06" w14:textId="77777777" w:rsidR="00871181" w:rsidRPr="006A06F2" w:rsidRDefault="00871181" w:rsidP="00AA1B5C">
      <w:pPr>
        <w:spacing w:after="0"/>
        <w:rPr>
          <w:rFonts w:ascii="Arial" w:eastAsia="Arial" w:hAnsi="Arial" w:cs="Arial"/>
          <w:color w:val="000000"/>
          <w:sz w:val="22"/>
          <w:szCs w:val="22"/>
        </w:rPr>
      </w:pPr>
    </w:p>
    <w:p w14:paraId="75CA9EB7" w14:textId="07BF58B5" w:rsidR="00871181" w:rsidRPr="00F453F3" w:rsidRDefault="00F453F3" w:rsidP="00A358E9">
      <w:pPr>
        <w:ind w:left="2880"/>
        <w:rPr>
          <w:rFonts w:ascii="Arial" w:hAnsi="Arial" w:cs="Arial"/>
          <w:b/>
          <w:sz w:val="22"/>
          <w:szCs w:val="22"/>
          <w:lang w:val="es-ES_tradnl"/>
        </w:rPr>
      </w:pPr>
      <w:r w:rsidRPr="00493A44">
        <w:rPr>
          <w:rFonts w:ascii="Arial" w:hAnsi="Arial" w:cs="Arial"/>
          <w:b/>
          <w:sz w:val="22"/>
          <w:szCs w:val="22"/>
          <w:lang w:val="es-ES_tradnl"/>
        </w:rPr>
        <w:t>Concepto C – 3</w:t>
      </w:r>
      <w:r>
        <w:rPr>
          <w:rFonts w:ascii="Arial" w:hAnsi="Arial" w:cs="Arial"/>
          <w:b/>
          <w:sz w:val="22"/>
          <w:szCs w:val="22"/>
          <w:lang w:val="es-ES_tradnl"/>
        </w:rPr>
        <w:t xml:space="preserve">57 </w:t>
      </w:r>
      <w:r w:rsidRPr="00493A44">
        <w:rPr>
          <w:rFonts w:ascii="Arial" w:hAnsi="Arial" w:cs="Arial"/>
          <w:b/>
          <w:sz w:val="22"/>
          <w:szCs w:val="22"/>
          <w:lang w:val="es-ES_tradnl"/>
        </w:rPr>
        <w:t>de 2022</w:t>
      </w:r>
    </w:p>
    <w:p w14:paraId="7937B7B5" w14:textId="1FB9A37F" w:rsidR="00871181" w:rsidRPr="006A06F2" w:rsidRDefault="003E3EF7" w:rsidP="00AA1B5C">
      <w:pPr>
        <w:spacing w:after="0"/>
        <w:rPr>
          <w:rFonts w:ascii="Arial" w:eastAsia="Arial" w:hAnsi="Arial" w:cs="Arial"/>
          <w:color w:val="000000"/>
          <w:sz w:val="22"/>
          <w:szCs w:val="22"/>
        </w:rPr>
      </w:pPr>
      <w:r w:rsidRPr="006A06F2">
        <w:rPr>
          <w:rFonts w:ascii="Arial" w:eastAsia="Arial" w:hAnsi="Arial" w:cs="Arial"/>
          <w:color w:val="000000"/>
          <w:sz w:val="22"/>
          <w:szCs w:val="22"/>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871181" w:rsidRPr="004528B4" w14:paraId="003B8DE2" w14:textId="77777777">
        <w:trPr>
          <w:trHeight w:val="1038"/>
        </w:trPr>
        <w:tc>
          <w:tcPr>
            <w:tcW w:w="2689" w:type="dxa"/>
          </w:tcPr>
          <w:p w14:paraId="41C32295" w14:textId="77777777" w:rsidR="00871181" w:rsidRPr="00D738BA" w:rsidRDefault="003E3EF7" w:rsidP="00AA1B5C">
            <w:pPr>
              <w:spacing w:before="0" w:line="276" w:lineRule="auto"/>
              <w:rPr>
                <w:rFonts w:ascii="Arial" w:eastAsia="Arial" w:hAnsi="Arial" w:cs="Arial"/>
                <w:color w:val="000000"/>
              </w:rPr>
            </w:pPr>
            <w:r w:rsidRPr="00D738BA">
              <w:rPr>
                <w:rFonts w:ascii="Arial" w:eastAsia="Arial" w:hAnsi="Arial" w:cs="Arial"/>
                <w:b/>
                <w:color w:val="000000"/>
              </w:rPr>
              <w:t>Temas:</w:t>
            </w:r>
            <w:r w:rsidRPr="00D738BA">
              <w:rPr>
                <w:rFonts w:ascii="Arial" w:eastAsia="Arial" w:hAnsi="Arial" w:cs="Arial"/>
                <w:color w:val="000000"/>
              </w:rPr>
              <w:t xml:space="preserve">        </w:t>
            </w:r>
          </w:p>
        </w:tc>
        <w:tc>
          <w:tcPr>
            <w:tcW w:w="6237" w:type="dxa"/>
          </w:tcPr>
          <w:p w14:paraId="4D525F17" w14:textId="63E82773" w:rsidR="00A04EDF" w:rsidRPr="00A04EDF" w:rsidRDefault="00A04EDF" w:rsidP="00A04EDF">
            <w:pPr>
              <w:jc w:val="both"/>
              <w:rPr>
                <w:rFonts w:ascii="Arial" w:eastAsia="Arial" w:hAnsi="Arial" w:cs="Arial"/>
                <w:color w:val="000000"/>
                <w:sz w:val="22"/>
                <w:szCs w:val="22"/>
              </w:rPr>
            </w:pPr>
            <w:r w:rsidRPr="00A04EDF">
              <w:rPr>
                <w:rFonts w:ascii="Arial" w:eastAsia="Arial" w:hAnsi="Arial" w:cs="Arial"/>
                <w:color w:val="000000"/>
                <w:sz w:val="22"/>
                <w:szCs w:val="22"/>
              </w:rPr>
              <w:t>AGENCIA NACIONAL DE CONTRATACIÓN PÚBLICA COLOMBIA COMPRA EFICIENTE – Competencia consultiva</w:t>
            </w:r>
            <w:r>
              <w:rPr>
                <w:rFonts w:ascii="Arial" w:eastAsia="Arial" w:hAnsi="Arial" w:cs="Arial"/>
                <w:color w:val="000000"/>
                <w:sz w:val="22"/>
                <w:szCs w:val="22"/>
              </w:rPr>
              <w:t>/</w:t>
            </w:r>
            <w:r w:rsidRPr="00A04EDF">
              <w:rPr>
                <w:rFonts w:ascii="Arial" w:eastAsia="Arial" w:hAnsi="Arial" w:cs="Arial"/>
                <w:color w:val="000000"/>
                <w:sz w:val="22"/>
                <w:szCs w:val="22"/>
              </w:rPr>
              <w:t>LEY 2195 DEL 2022-Contabilidad de los Contratistas del Estado-Ámbito de aplicación</w:t>
            </w:r>
            <w:r>
              <w:rPr>
                <w:rFonts w:ascii="Arial" w:eastAsia="Arial" w:hAnsi="Arial" w:cs="Arial"/>
                <w:color w:val="000000"/>
                <w:sz w:val="22"/>
                <w:szCs w:val="22"/>
              </w:rPr>
              <w:t>/</w:t>
            </w:r>
            <w:r w:rsidRPr="00A04EDF">
              <w:rPr>
                <w:rFonts w:ascii="Arial" w:eastAsia="Arial" w:hAnsi="Arial" w:cs="Arial"/>
                <w:color w:val="000000"/>
                <w:sz w:val="22"/>
                <w:szCs w:val="22"/>
              </w:rPr>
              <w:t>EFECTOS DE LA LEY EN EL TIEMPO-Vigencia de la Ley 2195 del 2022</w:t>
            </w:r>
          </w:p>
          <w:p w14:paraId="70D39657" w14:textId="76FFE86F" w:rsidR="007E1CDB" w:rsidRPr="004528B4" w:rsidRDefault="007E1CDB" w:rsidP="007E1CDB">
            <w:pPr>
              <w:spacing w:before="0" w:line="276" w:lineRule="auto"/>
              <w:jc w:val="both"/>
              <w:rPr>
                <w:rFonts w:ascii="Arial" w:eastAsia="Arial" w:hAnsi="Arial" w:cs="Arial"/>
                <w:color w:val="000000"/>
              </w:rPr>
            </w:pPr>
          </w:p>
        </w:tc>
      </w:tr>
      <w:tr w:rsidR="00871181" w:rsidRPr="006A06F2" w14:paraId="08330973" w14:textId="77777777">
        <w:tc>
          <w:tcPr>
            <w:tcW w:w="2689" w:type="dxa"/>
          </w:tcPr>
          <w:p w14:paraId="07BEB766" w14:textId="77777777" w:rsidR="00871181" w:rsidRPr="006A06F2" w:rsidRDefault="003E3EF7" w:rsidP="00AA1B5C">
            <w:pPr>
              <w:spacing w:before="0" w:line="276" w:lineRule="auto"/>
              <w:rPr>
                <w:rFonts w:ascii="Arial" w:eastAsia="Arial" w:hAnsi="Arial" w:cs="Arial"/>
                <w:b/>
                <w:color w:val="000000"/>
                <w:sz w:val="22"/>
                <w:szCs w:val="22"/>
              </w:rPr>
            </w:pPr>
            <w:r w:rsidRPr="006A06F2">
              <w:rPr>
                <w:rFonts w:ascii="Arial" w:eastAsia="Arial" w:hAnsi="Arial" w:cs="Arial"/>
                <w:b/>
                <w:color w:val="000000"/>
                <w:sz w:val="22"/>
                <w:szCs w:val="22"/>
              </w:rPr>
              <w:t>Radicación:</w:t>
            </w:r>
            <w:r w:rsidRPr="006A06F2">
              <w:rPr>
                <w:rFonts w:ascii="Arial" w:eastAsia="Arial" w:hAnsi="Arial" w:cs="Arial"/>
                <w:color w:val="000000"/>
                <w:sz w:val="22"/>
                <w:szCs w:val="22"/>
              </w:rPr>
              <w:t xml:space="preserve">                              </w:t>
            </w:r>
          </w:p>
        </w:tc>
        <w:tc>
          <w:tcPr>
            <w:tcW w:w="6237" w:type="dxa"/>
          </w:tcPr>
          <w:p w14:paraId="3A8E828C" w14:textId="660393A8" w:rsidR="00871181" w:rsidRPr="006A06F2" w:rsidRDefault="003E3EF7" w:rsidP="00AA1B5C">
            <w:pPr>
              <w:spacing w:before="0" w:line="276" w:lineRule="auto"/>
              <w:jc w:val="both"/>
              <w:rPr>
                <w:rFonts w:ascii="Arial" w:eastAsia="Arial" w:hAnsi="Arial" w:cs="Arial"/>
                <w:color w:val="000000"/>
                <w:sz w:val="22"/>
                <w:szCs w:val="22"/>
              </w:rPr>
            </w:pPr>
            <w:r w:rsidRPr="006A06F2">
              <w:rPr>
                <w:rFonts w:ascii="Arial" w:eastAsia="Arial" w:hAnsi="Arial" w:cs="Arial"/>
                <w:color w:val="000000"/>
                <w:sz w:val="22"/>
                <w:szCs w:val="22"/>
              </w:rPr>
              <w:t>Respuesta a consulta</w:t>
            </w:r>
            <w:r w:rsidR="0079024C">
              <w:rPr>
                <w:rFonts w:ascii="Arial" w:eastAsia="Arial" w:hAnsi="Arial" w:cs="Arial"/>
                <w:color w:val="000000"/>
                <w:sz w:val="22"/>
                <w:szCs w:val="22"/>
              </w:rPr>
              <w:t xml:space="preserve"> </w:t>
            </w:r>
            <w:r w:rsidR="00EE7BE3" w:rsidRPr="00EE7BE3">
              <w:rPr>
                <w:rFonts w:ascii="Arial" w:eastAsia="Arial" w:hAnsi="Arial" w:cs="Arial"/>
                <w:color w:val="000000"/>
                <w:sz w:val="22"/>
                <w:szCs w:val="22"/>
              </w:rPr>
              <w:t>P20220429004205</w:t>
            </w:r>
          </w:p>
        </w:tc>
      </w:tr>
    </w:tbl>
    <w:p w14:paraId="28FE27BE" w14:textId="77777777" w:rsidR="00871181" w:rsidRPr="006A06F2" w:rsidRDefault="00871181" w:rsidP="00AA1B5C">
      <w:pPr>
        <w:spacing w:after="0"/>
        <w:rPr>
          <w:color w:val="000000"/>
          <w:sz w:val="22"/>
          <w:szCs w:val="22"/>
        </w:rPr>
      </w:pPr>
    </w:p>
    <w:p w14:paraId="394768E2" w14:textId="3EC9D513" w:rsidR="00871181" w:rsidRDefault="00871181" w:rsidP="00AA1B5C">
      <w:pPr>
        <w:spacing w:after="0"/>
        <w:rPr>
          <w:rFonts w:ascii="Arial" w:eastAsia="Arial" w:hAnsi="Arial" w:cs="Arial"/>
          <w:color w:val="000000"/>
          <w:sz w:val="22"/>
          <w:szCs w:val="22"/>
        </w:rPr>
      </w:pPr>
    </w:p>
    <w:p w14:paraId="038F7D2C" w14:textId="3952A660" w:rsidR="00871181" w:rsidRPr="006A06F2" w:rsidRDefault="003E3EF7" w:rsidP="00AA1B5C">
      <w:pPr>
        <w:spacing w:after="0"/>
        <w:rPr>
          <w:rFonts w:ascii="Arial" w:eastAsia="Arial" w:hAnsi="Arial" w:cs="Arial"/>
          <w:color w:val="000000"/>
          <w:sz w:val="22"/>
          <w:szCs w:val="22"/>
        </w:rPr>
      </w:pPr>
      <w:r w:rsidRPr="006A06F2">
        <w:rPr>
          <w:rFonts w:ascii="Arial" w:eastAsia="Arial" w:hAnsi="Arial" w:cs="Arial"/>
          <w:color w:val="000000"/>
          <w:sz w:val="22"/>
          <w:szCs w:val="22"/>
        </w:rPr>
        <w:t>Estimad</w:t>
      </w:r>
      <w:r w:rsidR="00C8495A">
        <w:rPr>
          <w:rFonts w:ascii="Arial" w:eastAsia="Arial" w:hAnsi="Arial" w:cs="Arial"/>
          <w:color w:val="000000"/>
          <w:sz w:val="22"/>
          <w:szCs w:val="22"/>
        </w:rPr>
        <w:t>a</w:t>
      </w:r>
      <w:r w:rsidRPr="006A06F2">
        <w:rPr>
          <w:rFonts w:ascii="Arial" w:eastAsia="Arial" w:hAnsi="Arial" w:cs="Arial"/>
          <w:color w:val="000000"/>
          <w:sz w:val="22"/>
          <w:szCs w:val="22"/>
        </w:rPr>
        <w:t xml:space="preserve"> señor</w:t>
      </w:r>
      <w:r w:rsidR="00C8495A">
        <w:rPr>
          <w:rFonts w:ascii="Arial" w:eastAsia="Arial" w:hAnsi="Arial" w:cs="Arial"/>
          <w:color w:val="000000"/>
          <w:sz w:val="22"/>
          <w:szCs w:val="22"/>
        </w:rPr>
        <w:t>a</w:t>
      </w:r>
      <w:r w:rsidR="001D486F">
        <w:rPr>
          <w:rFonts w:ascii="Arial" w:eastAsia="Arial" w:hAnsi="Arial" w:cs="Arial"/>
          <w:color w:val="000000"/>
          <w:sz w:val="22"/>
          <w:szCs w:val="22"/>
        </w:rPr>
        <w:t xml:space="preserve"> </w:t>
      </w:r>
      <w:r w:rsidR="00C8495A">
        <w:rPr>
          <w:rFonts w:ascii="Arial" w:eastAsia="Arial" w:hAnsi="Arial" w:cs="Arial"/>
          <w:color w:val="000000"/>
          <w:sz w:val="22"/>
          <w:szCs w:val="22"/>
        </w:rPr>
        <w:t>Galeano</w:t>
      </w:r>
      <w:r w:rsidR="007A484C">
        <w:rPr>
          <w:rFonts w:ascii="Arial" w:eastAsia="Arial" w:hAnsi="Arial" w:cs="Arial"/>
          <w:color w:val="000000"/>
          <w:sz w:val="22"/>
          <w:szCs w:val="22"/>
        </w:rPr>
        <w:t>:</w:t>
      </w:r>
    </w:p>
    <w:p w14:paraId="32C1B702" w14:textId="77777777" w:rsidR="00871181" w:rsidRPr="006A06F2" w:rsidRDefault="00871181" w:rsidP="00AA1B5C">
      <w:pPr>
        <w:spacing w:after="0"/>
        <w:ind w:firstLine="709"/>
        <w:rPr>
          <w:rFonts w:ascii="Arial" w:eastAsia="Arial" w:hAnsi="Arial" w:cs="Arial"/>
          <w:color w:val="000000"/>
          <w:sz w:val="22"/>
          <w:szCs w:val="22"/>
        </w:rPr>
      </w:pPr>
    </w:p>
    <w:p w14:paraId="4C96A024" w14:textId="100B4A42" w:rsidR="00871181" w:rsidRPr="006A06F2" w:rsidRDefault="003E3EF7" w:rsidP="00AA1B5C">
      <w:pPr>
        <w:spacing w:after="0"/>
        <w:ind w:right="51"/>
        <w:rPr>
          <w:rFonts w:ascii="Arial" w:eastAsia="Arial" w:hAnsi="Arial" w:cs="Arial"/>
          <w:color w:val="000000"/>
          <w:sz w:val="22"/>
          <w:szCs w:val="22"/>
        </w:rPr>
      </w:pPr>
      <w:r w:rsidRPr="006A06F2">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1D486F">
        <w:rPr>
          <w:rFonts w:ascii="Arial" w:eastAsia="Arial" w:hAnsi="Arial" w:cs="Arial"/>
          <w:color w:val="000000"/>
          <w:sz w:val="22"/>
          <w:szCs w:val="22"/>
        </w:rPr>
        <w:t>31</w:t>
      </w:r>
      <w:r w:rsidRPr="006A06F2">
        <w:rPr>
          <w:rFonts w:ascii="Arial" w:eastAsia="Arial" w:hAnsi="Arial" w:cs="Arial"/>
          <w:color w:val="000000"/>
          <w:sz w:val="22"/>
          <w:szCs w:val="22"/>
        </w:rPr>
        <w:t xml:space="preserve"> de</w:t>
      </w:r>
      <w:r w:rsidR="001D486F">
        <w:rPr>
          <w:rFonts w:ascii="Arial" w:eastAsia="Arial" w:hAnsi="Arial" w:cs="Arial"/>
          <w:color w:val="000000"/>
          <w:sz w:val="22"/>
          <w:szCs w:val="22"/>
        </w:rPr>
        <w:t xml:space="preserve"> marzo</w:t>
      </w:r>
      <w:r w:rsidRPr="006A06F2">
        <w:rPr>
          <w:rFonts w:ascii="Arial" w:eastAsia="Arial" w:hAnsi="Arial" w:cs="Arial"/>
          <w:color w:val="000000"/>
          <w:sz w:val="22"/>
          <w:szCs w:val="22"/>
        </w:rPr>
        <w:t xml:space="preserve"> de 202</w:t>
      </w:r>
      <w:r w:rsidR="001D486F">
        <w:rPr>
          <w:rFonts w:ascii="Arial" w:eastAsia="Arial" w:hAnsi="Arial" w:cs="Arial"/>
          <w:color w:val="000000"/>
          <w:sz w:val="22"/>
          <w:szCs w:val="22"/>
        </w:rPr>
        <w:t>2</w:t>
      </w:r>
      <w:r w:rsidRPr="006A06F2">
        <w:rPr>
          <w:rFonts w:ascii="Arial" w:eastAsia="Arial" w:hAnsi="Arial" w:cs="Arial"/>
          <w:color w:val="000000"/>
          <w:sz w:val="22"/>
          <w:szCs w:val="22"/>
        </w:rPr>
        <w:t xml:space="preserve">. </w:t>
      </w:r>
    </w:p>
    <w:p w14:paraId="787A413B" w14:textId="77777777" w:rsidR="00A26E37" w:rsidRPr="006A06F2" w:rsidRDefault="00A26E37" w:rsidP="00AA1B5C">
      <w:pPr>
        <w:spacing w:after="0"/>
        <w:rPr>
          <w:rFonts w:ascii="Arial" w:eastAsia="Arial" w:hAnsi="Arial" w:cs="Arial"/>
          <w:color w:val="000000"/>
          <w:sz w:val="22"/>
          <w:szCs w:val="22"/>
        </w:rPr>
      </w:pPr>
    </w:p>
    <w:p w14:paraId="5E5698CC" w14:textId="77777777" w:rsidR="00871181" w:rsidRPr="006A06F2" w:rsidRDefault="003E3EF7" w:rsidP="00AA1B5C">
      <w:pPr>
        <w:tabs>
          <w:tab w:val="left" w:pos="284"/>
        </w:tabs>
        <w:spacing w:after="0"/>
        <w:rPr>
          <w:rFonts w:ascii="Arial" w:eastAsia="Arial" w:hAnsi="Arial" w:cs="Arial"/>
          <w:b/>
          <w:color w:val="000000"/>
          <w:sz w:val="22"/>
          <w:szCs w:val="22"/>
        </w:rPr>
      </w:pPr>
      <w:r w:rsidRPr="006A06F2">
        <w:rPr>
          <w:rFonts w:ascii="Arial" w:eastAsia="Arial" w:hAnsi="Arial" w:cs="Arial"/>
          <w:b/>
          <w:color w:val="000000"/>
          <w:sz w:val="22"/>
          <w:szCs w:val="22"/>
        </w:rPr>
        <w:t xml:space="preserve">1. Problema planteado </w:t>
      </w:r>
    </w:p>
    <w:p w14:paraId="75EEAD0C" w14:textId="77777777" w:rsidR="00AA1B5C" w:rsidRDefault="00AA1B5C" w:rsidP="00AA1B5C">
      <w:pPr>
        <w:pBdr>
          <w:top w:val="nil"/>
          <w:left w:val="nil"/>
          <w:bottom w:val="nil"/>
          <w:right w:val="nil"/>
          <w:between w:val="nil"/>
        </w:pBdr>
        <w:spacing w:after="0"/>
        <w:rPr>
          <w:rFonts w:ascii="Arial" w:eastAsia="Arial" w:hAnsi="Arial" w:cs="Arial"/>
          <w:color w:val="000000"/>
          <w:sz w:val="22"/>
          <w:szCs w:val="22"/>
        </w:rPr>
      </w:pPr>
      <w:bookmarkStart w:id="0" w:name="_17dp8vu" w:colFirst="0" w:colLast="0"/>
      <w:bookmarkEnd w:id="0"/>
    </w:p>
    <w:p w14:paraId="7127D407" w14:textId="654E3F88" w:rsidR="00146CDB" w:rsidRDefault="003833EC" w:rsidP="00AA1B5C">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En la </w:t>
      </w:r>
      <w:r w:rsidR="00C40EF3">
        <w:rPr>
          <w:rFonts w:ascii="Arial" w:eastAsia="Arial" w:hAnsi="Arial" w:cs="Arial"/>
          <w:color w:val="000000"/>
          <w:sz w:val="22"/>
          <w:szCs w:val="22"/>
        </w:rPr>
        <w:t>consulta identificada de forma previa</w:t>
      </w:r>
      <w:r w:rsidR="00605B53">
        <w:rPr>
          <w:rFonts w:ascii="Arial" w:eastAsia="Arial" w:hAnsi="Arial" w:cs="Arial"/>
          <w:color w:val="000000"/>
          <w:sz w:val="22"/>
          <w:szCs w:val="22"/>
        </w:rPr>
        <w:t>,</w:t>
      </w:r>
      <w:r>
        <w:rPr>
          <w:rFonts w:ascii="Arial" w:eastAsia="Arial" w:hAnsi="Arial" w:cs="Arial"/>
          <w:color w:val="000000"/>
          <w:sz w:val="22"/>
          <w:szCs w:val="22"/>
        </w:rPr>
        <w:t xml:space="preserve"> u</w:t>
      </w:r>
      <w:r w:rsidR="003E3EF7" w:rsidRPr="006A06F2">
        <w:rPr>
          <w:rFonts w:ascii="Arial" w:eastAsia="Arial" w:hAnsi="Arial" w:cs="Arial"/>
          <w:color w:val="000000"/>
          <w:sz w:val="22"/>
          <w:szCs w:val="22"/>
        </w:rPr>
        <w:t>sted solicita a la Agencia</w:t>
      </w:r>
      <w:r w:rsidR="00146CDB">
        <w:rPr>
          <w:rFonts w:ascii="Arial" w:eastAsia="Arial" w:hAnsi="Arial" w:cs="Arial"/>
          <w:color w:val="000000"/>
          <w:sz w:val="22"/>
          <w:szCs w:val="22"/>
        </w:rPr>
        <w:t xml:space="preserve"> resolver los siguientes interrogantes:</w:t>
      </w:r>
    </w:p>
    <w:p w14:paraId="07A50261" w14:textId="77777777" w:rsidR="00AA1B5C" w:rsidRDefault="00AA1B5C" w:rsidP="00AA1B5C">
      <w:pPr>
        <w:pBdr>
          <w:top w:val="nil"/>
          <w:left w:val="nil"/>
          <w:bottom w:val="nil"/>
          <w:right w:val="nil"/>
          <w:between w:val="nil"/>
        </w:pBdr>
        <w:spacing w:after="0"/>
        <w:rPr>
          <w:rFonts w:ascii="Arial" w:eastAsia="Arial" w:hAnsi="Arial" w:cs="Arial"/>
          <w:color w:val="000000"/>
          <w:sz w:val="22"/>
          <w:szCs w:val="22"/>
        </w:rPr>
      </w:pPr>
    </w:p>
    <w:p w14:paraId="5E42DB60" w14:textId="77777777" w:rsidR="00C323EF" w:rsidRDefault="00EE7BE3" w:rsidP="00EE4827">
      <w:pPr>
        <w:pStyle w:val="Prrafodelista"/>
        <w:numPr>
          <w:ilvl w:val="0"/>
          <w:numId w:val="13"/>
        </w:numPr>
        <w:spacing w:after="0" w:line="240" w:lineRule="auto"/>
        <w:ind w:left="993" w:right="709"/>
        <w:rPr>
          <w:rFonts w:ascii="Arial" w:eastAsia="Arial" w:hAnsi="Arial" w:cs="Arial"/>
          <w:bCs/>
          <w:color w:val="000000"/>
          <w:sz w:val="21"/>
          <w:szCs w:val="21"/>
        </w:rPr>
      </w:pPr>
      <w:r w:rsidRPr="00EE7BE3">
        <w:rPr>
          <w:rFonts w:ascii="Arial" w:eastAsia="Arial" w:hAnsi="Arial" w:cs="Arial"/>
          <w:bCs/>
          <w:color w:val="000000"/>
          <w:sz w:val="21"/>
          <w:szCs w:val="21"/>
        </w:rPr>
        <w:t>¿El artículo 50 Ley 2195 de 2022 aplica de manera exclusiva para las contrataciones celebradas con Entidades sometidas al Estatuto General de la Contratación?</w:t>
      </w:r>
    </w:p>
    <w:p w14:paraId="6D71865E" w14:textId="19EDC417" w:rsidR="00C323EF" w:rsidRDefault="00EE7BE3" w:rsidP="00EE4827">
      <w:pPr>
        <w:pStyle w:val="Prrafodelista"/>
        <w:numPr>
          <w:ilvl w:val="0"/>
          <w:numId w:val="13"/>
        </w:numPr>
        <w:spacing w:after="0" w:line="240" w:lineRule="auto"/>
        <w:ind w:left="993" w:right="709"/>
        <w:rPr>
          <w:rFonts w:ascii="Arial" w:eastAsia="Arial" w:hAnsi="Arial" w:cs="Arial"/>
          <w:bCs/>
          <w:color w:val="000000"/>
          <w:sz w:val="21"/>
          <w:szCs w:val="21"/>
        </w:rPr>
      </w:pPr>
      <w:r w:rsidRPr="00EE7BE3">
        <w:rPr>
          <w:rFonts w:ascii="Arial" w:eastAsia="Arial" w:hAnsi="Arial" w:cs="Arial"/>
          <w:bCs/>
          <w:color w:val="000000"/>
          <w:sz w:val="21"/>
          <w:szCs w:val="21"/>
        </w:rPr>
        <w:lastRenderedPageBreak/>
        <w:t>¿La contabilización que trata el referido artículo, debe realizarse también respecto a las contrataciones realizadas con Empresas industriales y comerciales del Estado?</w:t>
      </w:r>
    </w:p>
    <w:p w14:paraId="7EBF925F" w14:textId="77777777" w:rsidR="00C323EF" w:rsidRPr="00C323EF" w:rsidRDefault="00EE7BE3" w:rsidP="00EE4827">
      <w:pPr>
        <w:pStyle w:val="Prrafodelista"/>
        <w:numPr>
          <w:ilvl w:val="0"/>
          <w:numId w:val="13"/>
        </w:numPr>
        <w:spacing w:after="0" w:line="240" w:lineRule="auto"/>
        <w:ind w:left="993" w:right="709"/>
        <w:rPr>
          <w:rFonts w:ascii="Arial" w:eastAsia="Arial" w:hAnsi="Arial" w:cs="Arial"/>
          <w:bCs/>
          <w:color w:val="000000"/>
          <w:sz w:val="21"/>
          <w:szCs w:val="21"/>
          <w:lang w:val="es-ES_tradnl"/>
        </w:rPr>
      </w:pPr>
      <w:bookmarkStart w:id="1" w:name="_Hlk105774783"/>
      <w:r w:rsidRPr="00EE7BE3">
        <w:rPr>
          <w:rFonts w:ascii="Arial" w:eastAsia="Arial" w:hAnsi="Arial" w:cs="Arial"/>
          <w:bCs/>
          <w:color w:val="000000"/>
          <w:sz w:val="21"/>
          <w:szCs w:val="21"/>
        </w:rPr>
        <w:t>¿Existe una base de datos en las cuales los contratistas puedan consultar la totalidad de Entidades Públicas existentes en Colombia y la naturaleza de las mismas?</w:t>
      </w:r>
    </w:p>
    <w:bookmarkEnd w:id="1"/>
    <w:p w14:paraId="01FF2685" w14:textId="77777777" w:rsidR="00C323EF" w:rsidRPr="00C323EF" w:rsidRDefault="00EE7BE3" w:rsidP="00EE4827">
      <w:pPr>
        <w:pStyle w:val="Prrafodelista"/>
        <w:numPr>
          <w:ilvl w:val="0"/>
          <w:numId w:val="13"/>
        </w:numPr>
        <w:spacing w:after="0" w:line="240" w:lineRule="auto"/>
        <w:ind w:left="993" w:right="709"/>
        <w:rPr>
          <w:rFonts w:ascii="Arial" w:eastAsia="Arial" w:hAnsi="Arial" w:cs="Arial"/>
          <w:bCs/>
          <w:color w:val="000000"/>
          <w:sz w:val="21"/>
          <w:szCs w:val="21"/>
          <w:lang w:val="es-ES_tradnl"/>
        </w:rPr>
      </w:pPr>
      <w:r w:rsidRPr="00EE7BE3">
        <w:rPr>
          <w:rFonts w:ascii="Arial" w:eastAsia="Arial" w:hAnsi="Arial" w:cs="Arial"/>
          <w:bCs/>
          <w:color w:val="000000"/>
          <w:sz w:val="21"/>
          <w:szCs w:val="21"/>
        </w:rPr>
        <w:t>¿Cuál es el plazo que tienen los Contratistas para implementar el proceso de</w:t>
      </w:r>
      <w:r w:rsidR="00C323EF">
        <w:rPr>
          <w:rFonts w:ascii="Arial" w:eastAsia="Arial" w:hAnsi="Arial" w:cs="Arial"/>
          <w:bCs/>
          <w:color w:val="000000"/>
          <w:sz w:val="21"/>
          <w:szCs w:val="21"/>
        </w:rPr>
        <w:t xml:space="preserve"> </w:t>
      </w:r>
      <w:r w:rsidRPr="00EE7BE3">
        <w:rPr>
          <w:rFonts w:ascii="Arial" w:eastAsia="Arial" w:hAnsi="Arial" w:cs="Arial"/>
          <w:bCs/>
          <w:color w:val="000000"/>
          <w:sz w:val="21"/>
          <w:szCs w:val="21"/>
        </w:rPr>
        <w:t>contabilización de los contratos objeto de la presente ley?</w:t>
      </w:r>
    </w:p>
    <w:p w14:paraId="077FD3D5" w14:textId="3F1B6080" w:rsidR="00A26E37" w:rsidRPr="00B2696B" w:rsidRDefault="00EE7BE3" w:rsidP="00EE4827">
      <w:pPr>
        <w:pStyle w:val="Prrafodelista"/>
        <w:numPr>
          <w:ilvl w:val="0"/>
          <w:numId w:val="13"/>
        </w:numPr>
        <w:spacing w:after="0" w:line="240" w:lineRule="auto"/>
        <w:ind w:left="993" w:right="709"/>
        <w:rPr>
          <w:rFonts w:ascii="Arial" w:eastAsia="Arial" w:hAnsi="Arial" w:cs="Arial"/>
          <w:bCs/>
          <w:color w:val="000000"/>
          <w:sz w:val="21"/>
          <w:szCs w:val="21"/>
          <w:lang w:val="es-ES_tradnl"/>
        </w:rPr>
      </w:pPr>
      <w:r w:rsidRPr="00EE7BE3">
        <w:rPr>
          <w:rFonts w:ascii="Arial" w:eastAsia="Arial" w:hAnsi="Arial" w:cs="Arial"/>
          <w:bCs/>
          <w:color w:val="000000"/>
          <w:sz w:val="21"/>
          <w:szCs w:val="21"/>
        </w:rPr>
        <w:t xml:space="preserve">¿A partir de </w:t>
      </w:r>
      <w:r w:rsidR="00C323EF" w:rsidRPr="00EE7BE3">
        <w:rPr>
          <w:rFonts w:ascii="Arial" w:eastAsia="Arial" w:hAnsi="Arial" w:cs="Arial"/>
          <w:bCs/>
          <w:color w:val="000000"/>
          <w:sz w:val="21"/>
          <w:szCs w:val="21"/>
        </w:rPr>
        <w:t>qué</w:t>
      </w:r>
      <w:r w:rsidRPr="00EE7BE3">
        <w:rPr>
          <w:rFonts w:ascii="Arial" w:eastAsia="Arial" w:hAnsi="Arial" w:cs="Arial"/>
          <w:bCs/>
          <w:color w:val="000000"/>
          <w:sz w:val="21"/>
          <w:szCs w:val="21"/>
        </w:rPr>
        <w:t xml:space="preserve"> fecha debe contabilizarse las contrataciones realizadas con</w:t>
      </w:r>
      <w:r w:rsidR="00C323EF">
        <w:rPr>
          <w:rFonts w:ascii="Arial" w:eastAsia="Arial" w:hAnsi="Arial" w:cs="Arial"/>
          <w:bCs/>
          <w:color w:val="000000"/>
          <w:sz w:val="21"/>
          <w:szCs w:val="21"/>
        </w:rPr>
        <w:t xml:space="preserve"> </w:t>
      </w:r>
      <w:r w:rsidRPr="00EE7BE3">
        <w:rPr>
          <w:rFonts w:ascii="Arial" w:eastAsia="Arial" w:hAnsi="Arial" w:cs="Arial"/>
          <w:bCs/>
          <w:color w:val="000000"/>
          <w:sz w:val="21"/>
          <w:szCs w:val="21"/>
        </w:rPr>
        <w:t>Entidades?</w:t>
      </w:r>
    </w:p>
    <w:p w14:paraId="1851D3D0" w14:textId="77777777" w:rsidR="00B2696B" w:rsidRPr="00B2696B" w:rsidRDefault="00B2696B" w:rsidP="00B2696B">
      <w:pPr>
        <w:spacing w:after="0"/>
        <w:ind w:left="633" w:right="709"/>
        <w:rPr>
          <w:rFonts w:ascii="Arial" w:eastAsia="Arial" w:hAnsi="Arial" w:cs="Arial"/>
          <w:bCs/>
          <w:color w:val="000000"/>
          <w:sz w:val="21"/>
          <w:szCs w:val="21"/>
          <w:lang w:val="es-ES_tradnl"/>
        </w:rPr>
      </w:pPr>
    </w:p>
    <w:p w14:paraId="3C8D6E12" w14:textId="05256AD3" w:rsidR="00E3035D" w:rsidRPr="00E3035D" w:rsidRDefault="003E3EF7" w:rsidP="00E3035D">
      <w:pPr>
        <w:rPr>
          <w:rFonts w:ascii="Arial" w:eastAsia="Arial" w:hAnsi="Arial" w:cs="Arial"/>
          <w:b/>
          <w:color w:val="000000"/>
          <w:sz w:val="22"/>
          <w:szCs w:val="22"/>
        </w:rPr>
      </w:pPr>
      <w:r w:rsidRPr="006A06F2">
        <w:rPr>
          <w:rFonts w:ascii="Arial" w:eastAsia="Arial" w:hAnsi="Arial" w:cs="Arial"/>
          <w:b/>
          <w:color w:val="000000"/>
          <w:sz w:val="22"/>
          <w:szCs w:val="22"/>
        </w:rPr>
        <w:t>2. Consideraciones</w:t>
      </w:r>
    </w:p>
    <w:p w14:paraId="68B37CF4" w14:textId="7EC7AF60" w:rsidR="00E3035D" w:rsidRDefault="00E3035D" w:rsidP="00E3035D">
      <w:pPr>
        <w:spacing w:after="120"/>
        <w:rPr>
          <w:rFonts w:ascii="Arial" w:hAnsi="Arial" w:cs="Arial"/>
          <w:bCs/>
          <w:sz w:val="22"/>
          <w:szCs w:val="22"/>
          <w:lang w:eastAsia="en-US"/>
        </w:rPr>
      </w:pPr>
      <w:r w:rsidRPr="00E3035D">
        <w:rPr>
          <w:rFonts w:ascii="Arial" w:hAnsi="Arial" w:cs="Arial"/>
          <w:bCs/>
          <w:sz w:val="22"/>
          <w:szCs w:val="22"/>
          <w:lang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Style w:val="Refdenotaalpie"/>
          <w:rFonts w:ascii="Arial" w:hAnsi="Arial" w:cs="Arial"/>
          <w:bCs/>
          <w:sz w:val="22"/>
          <w:szCs w:val="22"/>
          <w:lang w:eastAsia="en-US"/>
        </w:rPr>
        <w:footnoteReference w:id="1"/>
      </w:r>
      <w:r>
        <w:rPr>
          <w:rFonts w:ascii="Arial" w:hAnsi="Arial" w:cs="Arial"/>
          <w:bCs/>
          <w:sz w:val="22"/>
          <w:szCs w:val="22"/>
          <w:lang w:eastAsia="en-US"/>
        </w:rPr>
        <w:t>.</w:t>
      </w:r>
    </w:p>
    <w:p w14:paraId="4A5FBE81" w14:textId="4746000B" w:rsidR="00CA65EF" w:rsidRPr="00CA65EF" w:rsidRDefault="00CA65EF" w:rsidP="00CA65EF">
      <w:pPr>
        <w:spacing w:after="120"/>
        <w:ind w:firstLine="709"/>
        <w:rPr>
          <w:rFonts w:ascii="Arial" w:hAnsi="Arial" w:cs="Arial"/>
          <w:bCs/>
          <w:sz w:val="22"/>
          <w:szCs w:val="22"/>
          <w:lang w:eastAsia="en-US"/>
        </w:rPr>
      </w:pPr>
      <w:r w:rsidRPr="00CA65EF">
        <w:rPr>
          <w:rFonts w:ascii="Arial" w:hAnsi="Arial" w:cs="Arial"/>
          <w:bCs/>
          <w:sz w:val="22"/>
          <w:szCs w:val="22"/>
          <w:lang w:eastAsia="en-US"/>
        </w:rPr>
        <w:t xml:space="preserve">Para responder a las preguntas planteadas se abordarán los siguientes temas: i) </w:t>
      </w:r>
      <w:r w:rsidR="00C8495A">
        <w:rPr>
          <w:rFonts w:ascii="Arial" w:hAnsi="Arial" w:cs="Arial"/>
          <w:bCs/>
          <w:sz w:val="22"/>
          <w:szCs w:val="22"/>
          <w:lang w:eastAsia="en-US"/>
        </w:rPr>
        <w:t>l</w:t>
      </w:r>
      <w:r w:rsidR="00605B53" w:rsidRPr="00CA65EF">
        <w:rPr>
          <w:rFonts w:ascii="Arial" w:hAnsi="Arial" w:cs="Arial"/>
          <w:bCs/>
          <w:sz w:val="22"/>
          <w:szCs w:val="22"/>
          <w:lang w:eastAsia="en-US"/>
        </w:rPr>
        <w:t>as medidas anticorrupción introducidas por la Ley 2195 del 2022 en materia de contabilidad y transparencia</w:t>
      </w:r>
      <w:r>
        <w:rPr>
          <w:rFonts w:ascii="Arial" w:hAnsi="Arial" w:cs="Arial"/>
          <w:bCs/>
          <w:sz w:val="22"/>
          <w:szCs w:val="22"/>
          <w:lang w:eastAsia="en-US"/>
        </w:rPr>
        <w:t xml:space="preserve">, así como su </w:t>
      </w:r>
      <w:r w:rsidR="00605B53" w:rsidRPr="00CA65EF">
        <w:rPr>
          <w:rFonts w:ascii="Arial" w:hAnsi="Arial" w:cs="Arial"/>
          <w:bCs/>
          <w:sz w:val="22"/>
          <w:szCs w:val="22"/>
          <w:lang w:eastAsia="en-US"/>
        </w:rPr>
        <w:t>ámbito de aplicación</w:t>
      </w:r>
      <w:r w:rsidRPr="00CA65EF">
        <w:rPr>
          <w:rFonts w:ascii="Arial" w:hAnsi="Arial" w:cs="Arial"/>
          <w:bCs/>
          <w:sz w:val="22"/>
          <w:szCs w:val="22"/>
          <w:lang w:eastAsia="en-US"/>
        </w:rPr>
        <w:t xml:space="preserve"> </w:t>
      </w:r>
      <w:r w:rsidR="008A3E7C">
        <w:rPr>
          <w:rFonts w:ascii="Arial" w:hAnsi="Arial" w:cs="Arial"/>
          <w:bCs/>
          <w:sz w:val="22"/>
          <w:szCs w:val="22"/>
          <w:lang w:eastAsia="en-US"/>
        </w:rPr>
        <w:t xml:space="preserve">y </w:t>
      </w:r>
      <w:r w:rsidRPr="00CA65EF">
        <w:rPr>
          <w:rFonts w:ascii="Arial" w:hAnsi="Arial" w:cs="Arial"/>
          <w:bCs/>
          <w:sz w:val="22"/>
          <w:szCs w:val="22"/>
          <w:lang w:eastAsia="en-US"/>
        </w:rPr>
        <w:t xml:space="preserve">ii) </w:t>
      </w:r>
      <w:r w:rsidR="00C8495A">
        <w:rPr>
          <w:rFonts w:ascii="Arial" w:hAnsi="Arial" w:cs="Arial"/>
          <w:bCs/>
          <w:sz w:val="22"/>
          <w:szCs w:val="22"/>
          <w:lang w:eastAsia="en-US"/>
        </w:rPr>
        <w:t xml:space="preserve">la </w:t>
      </w:r>
      <w:r w:rsidRPr="00CA65EF">
        <w:rPr>
          <w:rFonts w:ascii="Arial" w:hAnsi="Arial" w:cs="Arial"/>
          <w:bCs/>
          <w:sz w:val="22"/>
          <w:szCs w:val="22"/>
          <w:lang w:eastAsia="en-US"/>
        </w:rPr>
        <w:t>v</w:t>
      </w:r>
      <w:r w:rsidR="00605B53" w:rsidRPr="00CA65EF">
        <w:rPr>
          <w:rFonts w:ascii="Arial" w:hAnsi="Arial" w:cs="Arial"/>
          <w:bCs/>
          <w:sz w:val="22"/>
          <w:szCs w:val="22"/>
          <w:lang w:eastAsia="en-US"/>
        </w:rPr>
        <w:t>igencia de la Ley 2195 del 2022</w:t>
      </w:r>
      <w:r w:rsidR="008A3E7C">
        <w:rPr>
          <w:rFonts w:ascii="Arial" w:hAnsi="Arial" w:cs="Arial"/>
          <w:bCs/>
          <w:sz w:val="22"/>
          <w:szCs w:val="22"/>
          <w:lang w:eastAsia="en-US"/>
        </w:rPr>
        <w:t>.</w:t>
      </w:r>
    </w:p>
    <w:p w14:paraId="5D784D7F" w14:textId="65DBB46C" w:rsidR="00EC1B87" w:rsidRPr="00CA65EF" w:rsidRDefault="008771D6" w:rsidP="00CA65EF">
      <w:pPr>
        <w:spacing w:after="120"/>
        <w:ind w:firstLine="709"/>
        <w:rPr>
          <w:rFonts w:ascii="Arial" w:hAnsi="Arial" w:cs="Arial"/>
          <w:bCs/>
          <w:sz w:val="22"/>
          <w:szCs w:val="22"/>
          <w:lang w:eastAsia="en-US"/>
        </w:rPr>
      </w:pPr>
      <w:r w:rsidRPr="00CA65EF">
        <w:rPr>
          <w:rFonts w:ascii="Arial" w:hAnsi="Arial" w:cs="Arial"/>
          <w:bCs/>
          <w:sz w:val="22"/>
          <w:szCs w:val="22"/>
          <w:lang w:eastAsia="en-US"/>
        </w:rPr>
        <w:t>La Agencia Nacional de Contratación Pública – Col</w:t>
      </w:r>
      <w:r w:rsidR="00C825DD" w:rsidRPr="00CA65EF">
        <w:rPr>
          <w:rFonts w:ascii="Arial" w:hAnsi="Arial" w:cs="Arial"/>
          <w:bCs/>
          <w:sz w:val="22"/>
          <w:szCs w:val="22"/>
          <w:lang w:eastAsia="en-US"/>
        </w:rPr>
        <w:t>ombia Compra Eficiente, en los conceptos C-033 del 2022, C-168 del 2022, C-215 del 2022 y C-244 del 2022 se pronunció sobre las reformas introducidas en la Ley 2195 del 2022, en relación con los documentos tipo y su ámbito de aplicación.</w:t>
      </w:r>
      <w:r w:rsidR="00A301A8" w:rsidRPr="00CA65EF">
        <w:rPr>
          <w:rFonts w:ascii="Arial" w:hAnsi="Arial" w:cs="Arial"/>
          <w:bCs/>
          <w:sz w:val="22"/>
          <w:szCs w:val="22"/>
          <w:lang w:eastAsia="en-US"/>
        </w:rPr>
        <w:t xml:space="preserve"> Así mimo, mediante concepto 2201913000007385 del 3 de octubre del 2019, esta Agencia se pronunció sobre los</w:t>
      </w:r>
      <w:r w:rsidR="00852EC7" w:rsidRPr="00CA65EF">
        <w:rPr>
          <w:rFonts w:ascii="Arial" w:hAnsi="Arial" w:cs="Arial"/>
          <w:bCs/>
          <w:sz w:val="22"/>
          <w:szCs w:val="22"/>
          <w:lang w:eastAsia="en-US"/>
        </w:rPr>
        <w:t xml:space="preserve"> efectos de la ley en el tiempo y mediante concepto C-252 de 2021 se precisó el alcance de la función consultiva de esta Agencia.</w:t>
      </w:r>
      <w:r w:rsidR="00A301A8" w:rsidRPr="00CA65EF">
        <w:rPr>
          <w:rFonts w:ascii="Arial" w:hAnsi="Arial" w:cs="Arial"/>
          <w:bCs/>
          <w:sz w:val="22"/>
          <w:szCs w:val="22"/>
          <w:lang w:eastAsia="en-US"/>
        </w:rPr>
        <w:t xml:space="preserve"> </w:t>
      </w:r>
      <w:r w:rsidR="005335E0" w:rsidRPr="00CA65EF">
        <w:rPr>
          <w:rFonts w:ascii="Arial" w:hAnsi="Arial" w:cs="Arial"/>
          <w:bCs/>
          <w:sz w:val="22"/>
          <w:szCs w:val="22"/>
          <w:lang w:eastAsia="en-US"/>
        </w:rPr>
        <w:t xml:space="preserve">En </w:t>
      </w:r>
      <w:r w:rsidRPr="00CA65EF">
        <w:rPr>
          <w:rFonts w:ascii="Arial" w:hAnsi="Arial" w:cs="Arial"/>
          <w:bCs/>
          <w:sz w:val="22"/>
          <w:szCs w:val="22"/>
          <w:lang w:eastAsia="en-US"/>
        </w:rPr>
        <w:t>lo pertinente, las tesis desarrolladas en estos conceptos se reiteran a continuación y se complementa con algunas ideas relativas a la consulta realizada</w:t>
      </w:r>
      <w:r w:rsidR="00EC1B87" w:rsidRPr="00CA65EF">
        <w:rPr>
          <w:rFonts w:ascii="Arial" w:hAnsi="Arial" w:cs="Arial"/>
          <w:bCs/>
          <w:sz w:val="22"/>
          <w:szCs w:val="22"/>
          <w:lang w:eastAsia="en-US"/>
        </w:rPr>
        <w:t>.</w:t>
      </w:r>
    </w:p>
    <w:p w14:paraId="5A5A84E5" w14:textId="4ADCBC72" w:rsidR="00EC1B87" w:rsidRPr="008771D6" w:rsidRDefault="00EC1B87" w:rsidP="004A66FB">
      <w:pPr>
        <w:spacing w:after="120"/>
        <w:ind w:firstLine="709"/>
        <w:rPr>
          <w:rFonts w:ascii="Arial" w:hAnsi="Arial" w:cs="Arial"/>
          <w:bCs/>
          <w:color w:val="000000"/>
          <w:sz w:val="22"/>
          <w:szCs w:val="22"/>
          <w:lang w:val="es-ES_tradnl" w:eastAsia="en-US"/>
        </w:rPr>
      </w:pPr>
      <w:bookmarkStart w:id="2" w:name="_Hlk105791464"/>
      <w:r>
        <w:rPr>
          <w:rFonts w:ascii="Arial" w:hAnsi="Arial" w:cs="Arial"/>
          <w:bCs/>
          <w:sz w:val="22"/>
          <w:szCs w:val="22"/>
          <w:lang w:eastAsia="en-US"/>
        </w:rPr>
        <w:lastRenderedPageBreak/>
        <w:t xml:space="preserve">Sin perjuicio de lo anterior, se debe precisar que el </w:t>
      </w:r>
      <w:r w:rsidRPr="00EC1B87">
        <w:rPr>
          <w:rFonts w:ascii="Arial" w:hAnsi="Arial" w:cs="Arial"/>
          <w:bCs/>
          <w:sz w:val="22"/>
          <w:szCs w:val="22"/>
          <w:lang w:eastAsia="en-US"/>
        </w:rPr>
        <w:t>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00852EC7">
        <w:rPr>
          <w:rFonts w:ascii="Arial" w:hAnsi="Arial" w:cs="Arial"/>
          <w:bCs/>
          <w:sz w:val="22"/>
          <w:szCs w:val="22"/>
          <w:lang w:eastAsia="en-US"/>
        </w:rPr>
        <w:t xml:space="preserve"> Por lo tanto, </w:t>
      </w:r>
      <w:bookmarkStart w:id="3" w:name="_Hlk61701014"/>
      <w:bookmarkStart w:id="4" w:name="_Hlk62136649"/>
      <w:bookmarkStart w:id="5" w:name="_Hlk61026958"/>
      <w:r w:rsidRPr="00EC1B87">
        <w:rPr>
          <w:rFonts w:ascii="Arial" w:hAnsi="Arial" w:cs="Arial"/>
          <w:sz w:val="22"/>
          <w:szCs w:val="22"/>
          <w:lang w:val="es-ES" w:eastAsia="en-US"/>
        </w:rPr>
        <w:t>esta entidad solo tiene competencia para responder solicitudes sobre la aplicación de normas de carácter general en materia de compras y contratación pública. En ese sentido, resolver</w:t>
      </w:r>
      <w:r w:rsidR="00852EC7">
        <w:rPr>
          <w:rFonts w:ascii="Arial" w:hAnsi="Arial" w:cs="Arial"/>
          <w:sz w:val="22"/>
          <w:szCs w:val="22"/>
          <w:lang w:val="es-ES" w:eastAsia="en-US"/>
        </w:rPr>
        <w:t xml:space="preserve"> consultas sobre materias distintas a las referidas</w:t>
      </w:r>
      <w:r w:rsidRPr="00EC1B87">
        <w:rPr>
          <w:rFonts w:ascii="Arial" w:hAnsi="Arial" w:cs="Arial"/>
          <w:sz w:val="22"/>
          <w:szCs w:val="22"/>
          <w:lang w:val="es-ES" w:eastAsia="en-US"/>
        </w:rPr>
        <w:t xml:space="preserve"> </w:t>
      </w:r>
      <w:r w:rsidR="00852EC7">
        <w:rPr>
          <w:rFonts w:ascii="Arial" w:hAnsi="Arial" w:cs="Arial"/>
          <w:sz w:val="22"/>
          <w:szCs w:val="22"/>
          <w:lang w:val="es-ES" w:eastAsia="en-US"/>
        </w:rPr>
        <w:t>desborda las funciones que le fueron asignadas.</w:t>
      </w:r>
      <w:r w:rsidR="00C8495A">
        <w:rPr>
          <w:rFonts w:ascii="Arial" w:hAnsi="Arial" w:cs="Arial"/>
          <w:sz w:val="22"/>
          <w:szCs w:val="22"/>
          <w:lang w:val="es-ES" w:eastAsia="en-US"/>
        </w:rPr>
        <w:t xml:space="preserve"> </w:t>
      </w:r>
      <w:bookmarkEnd w:id="2"/>
      <w:bookmarkEnd w:id="3"/>
      <w:bookmarkEnd w:id="4"/>
      <w:bookmarkEnd w:id="5"/>
      <w:r w:rsidR="00852EC7">
        <w:rPr>
          <w:rFonts w:ascii="Arial" w:hAnsi="Arial" w:cs="Arial"/>
          <w:color w:val="000000"/>
          <w:sz w:val="22"/>
          <w:szCs w:val="22"/>
          <w:lang w:eastAsia="en-US"/>
        </w:rPr>
        <w:t xml:space="preserve">Con base en esta última precisión se </w:t>
      </w:r>
      <w:r w:rsidRPr="00EC1B87">
        <w:rPr>
          <w:rFonts w:ascii="Arial" w:hAnsi="Arial" w:cs="Arial"/>
          <w:color w:val="000000"/>
          <w:sz w:val="22"/>
          <w:szCs w:val="22"/>
          <w:lang w:val="es-ES" w:eastAsia="en-US"/>
        </w:rPr>
        <w:t xml:space="preserve">resolverá la consulta conforme a las normas generales en materia de contratación estatal. </w:t>
      </w:r>
    </w:p>
    <w:p w14:paraId="65DE7CB6" w14:textId="2E98E1D0" w:rsidR="00643113" w:rsidRDefault="00643113" w:rsidP="00AA1B5C">
      <w:pPr>
        <w:tabs>
          <w:tab w:val="left" w:pos="426"/>
        </w:tabs>
        <w:spacing w:after="0"/>
        <w:rPr>
          <w:rFonts w:ascii="Arial" w:hAnsi="Arial" w:cs="Arial"/>
          <w:bCs/>
          <w:color w:val="000000"/>
          <w:sz w:val="22"/>
          <w:szCs w:val="22"/>
          <w:lang w:val="es-ES_tradnl" w:eastAsia="en-US"/>
        </w:rPr>
      </w:pPr>
    </w:p>
    <w:p w14:paraId="53B4F406" w14:textId="04F94C8A" w:rsidR="00814116" w:rsidRDefault="00734A2B" w:rsidP="00AA1B5C">
      <w:pPr>
        <w:spacing w:after="0"/>
        <w:rPr>
          <w:rFonts w:ascii="Arial" w:hAnsi="Arial" w:cs="Arial"/>
          <w:b/>
          <w:bCs/>
          <w:color w:val="000000"/>
          <w:sz w:val="22"/>
          <w:szCs w:val="22"/>
          <w:lang w:val="es-ES_tradnl" w:eastAsia="en-US"/>
        </w:rPr>
      </w:pPr>
      <w:r w:rsidRPr="005335E0">
        <w:rPr>
          <w:rFonts w:ascii="Arial" w:hAnsi="Arial" w:cs="Arial"/>
          <w:b/>
          <w:bCs/>
          <w:color w:val="000000"/>
          <w:sz w:val="22"/>
          <w:szCs w:val="22"/>
          <w:lang w:val="es-ES_tradnl" w:eastAsia="en-US"/>
        </w:rPr>
        <w:t>2.1.</w:t>
      </w:r>
      <w:r w:rsidR="00814116">
        <w:rPr>
          <w:rFonts w:ascii="Arial" w:hAnsi="Arial" w:cs="Arial"/>
          <w:b/>
          <w:bCs/>
          <w:color w:val="000000"/>
          <w:sz w:val="22"/>
          <w:szCs w:val="22"/>
          <w:lang w:val="es-ES_tradnl" w:eastAsia="en-US"/>
        </w:rPr>
        <w:t xml:space="preserve"> Las </w:t>
      </w:r>
      <w:r w:rsidR="00B771E4">
        <w:rPr>
          <w:rFonts w:ascii="Arial" w:hAnsi="Arial" w:cs="Arial"/>
          <w:b/>
          <w:bCs/>
          <w:color w:val="000000"/>
          <w:sz w:val="22"/>
          <w:szCs w:val="22"/>
          <w:lang w:val="es-ES_tradnl" w:eastAsia="en-US"/>
        </w:rPr>
        <w:t xml:space="preserve">medidas anticorrupción </w:t>
      </w:r>
      <w:r w:rsidR="00814116">
        <w:rPr>
          <w:rFonts w:ascii="Arial" w:hAnsi="Arial" w:cs="Arial"/>
          <w:b/>
          <w:bCs/>
          <w:color w:val="000000"/>
          <w:sz w:val="22"/>
          <w:szCs w:val="22"/>
          <w:lang w:val="es-ES_tradnl" w:eastAsia="en-US"/>
        </w:rPr>
        <w:t>introducidas por la Ley 2195 del 2022</w:t>
      </w:r>
      <w:r w:rsidR="00B771E4">
        <w:rPr>
          <w:rFonts w:ascii="Arial" w:hAnsi="Arial" w:cs="Arial"/>
          <w:b/>
          <w:bCs/>
          <w:color w:val="000000"/>
          <w:sz w:val="22"/>
          <w:szCs w:val="22"/>
          <w:lang w:val="es-ES_tradnl" w:eastAsia="en-US"/>
        </w:rPr>
        <w:t xml:space="preserve"> </w:t>
      </w:r>
      <w:r w:rsidR="0030205B">
        <w:rPr>
          <w:rFonts w:ascii="Arial" w:hAnsi="Arial" w:cs="Arial"/>
          <w:b/>
          <w:bCs/>
          <w:color w:val="000000"/>
          <w:sz w:val="22"/>
          <w:szCs w:val="22"/>
          <w:lang w:val="es-ES_tradnl" w:eastAsia="en-US"/>
        </w:rPr>
        <w:t>en materia de contabilidad y transparencia</w:t>
      </w:r>
      <w:r w:rsidR="00C8495A">
        <w:rPr>
          <w:rFonts w:ascii="Arial" w:hAnsi="Arial" w:cs="Arial"/>
          <w:b/>
          <w:bCs/>
          <w:color w:val="000000"/>
          <w:sz w:val="22"/>
          <w:szCs w:val="22"/>
          <w:lang w:val="es-ES_tradnl" w:eastAsia="en-US"/>
        </w:rPr>
        <w:t>. Á</w:t>
      </w:r>
      <w:r w:rsidR="005C5472">
        <w:rPr>
          <w:rFonts w:ascii="Arial" w:hAnsi="Arial" w:cs="Arial"/>
          <w:b/>
          <w:bCs/>
          <w:color w:val="000000"/>
          <w:sz w:val="22"/>
          <w:szCs w:val="22"/>
          <w:lang w:val="es-ES_tradnl" w:eastAsia="en-US"/>
        </w:rPr>
        <w:t>mbito de aplicación</w:t>
      </w:r>
    </w:p>
    <w:p w14:paraId="3702419D" w14:textId="77777777" w:rsidR="00814116" w:rsidRPr="00814116" w:rsidRDefault="00814116" w:rsidP="00AA1B5C">
      <w:pPr>
        <w:spacing w:after="0"/>
        <w:rPr>
          <w:rFonts w:ascii="Arial" w:hAnsi="Arial" w:cs="Arial"/>
          <w:bCs/>
          <w:color w:val="000000"/>
          <w:sz w:val="22"/>
          <w:szCs w:val="22"/>
          <w:lang w:val="es-ES_tradnl" w:eastAsia="en-US"/>
        </w:rPr>
      </w:pPr>
    </w:p>
    <w:p w14:paraId="62E4AC62" w14:textId="6AF9FFA1" w:rsidR="00814116" w:rsidRDefault="00814116" w:rsidP="00EE4827">
      <w:pPr>
        <w:spacing w:after="120"/>
        <w:rPr>
          <w:rFonts w:ascii="Arial" w:hAnsi="Arial" w:cs="Arial"/>
          <w:bCs/>
          <w:color w:val="000000"/>
          <w:sz w:val="22"/>
          <w:szCs w:val="22"/>
          <w:lang w:eastAsia="en-US"/>
        </w:rPr>
      </w:pPr>
      <w:r w:rsidRPr="00814116">
        <w:rPr>
          <w:rFonts w:ascii="Arial" w:hAnsi="Arial" w:cs="Arial"/>
          <w:bCs/>
          <w:color w:val="000000"/>
          <w:sz w:val="22"/>
          <w:szCs w:val="22"/>
          <w:lang w:eastAsia="en-US"/>
        </w:rPr>
        <w:t>Tal como consta en la exposición de motivos de la Ley 2195 de 2022</w:t>
      </w:r>
      <w:r w:rsidRPr="004D1C7A">
        <w:rPr>
          <w:rFonts w:ascii="Arial" w:hAnsi="Arial" w:cs="Arial"/>
          <w:bCs/>
          <w:color w:val="000000"/>
          <w:sz w:val="22"/>
          <w:szCs w:val="22"/>
          <w:lang w:eastAsia="en-US"/>
        </w:rPr>
        <w:t xml:space="preserve">, </w:t>
      </w:r>
      <w:bookmarkStart w:id="6" w:name="_Hlk105765704"/>
      <w:r w:rsidR="00683912" w:rsidRPr="004D1C7A">
        <w:rPr>
          <w:rFonts w:ascii="Arial" w:hAnsi="Arial" w:cs="Arial"/>
          <w:sz w:val="22"/>
          <w:szCs w:val="22"/>
          <w:lang w:val="es-ES_tradnl"/>
        </w:rPr>
        <w:t>«</w:t>
      </w:r>
      <w:r w:rsidRPr="004D1C7A">
        <w:rPr>
          <w:rFonts w:ascii="Arial" w:hAnsi="Arial" w:cs="Arial"/>
          <w:bCs/>
          <w:color w:val="000000"/>
          <w:sz w:val="22"/>
          <w:szCs w:val="22"/>
          <w:lang w:eastAsia="en-US"/>
        </w:rPr>
        <w:t>por medio de la cual se adoptan medidas en materia de transparencia, prevención y lucha contra la corrupción y otras disposiciones</w:t>
      </w:r>
      <w:r w:rsidR="00683912" w:rsidRPr="004D1C7A">
        <w:rPr>
          <w:rFonts w:ascii="Arial" w:hAnsi="Arial" w:cs="Arial"/>
          <w:sz w:val="22"/>
          <w:szCs w:val="22"/>
          <w:lang w:val="es-ES_tradnl"/>
        </w:rPr>
        <w:t>»</w:t>
      </w:r>
      <w:r>
        <w:rPr>
          <w:rFonts w:ascii="Arial" w:hAnsi="Arial" w:cs="Arial"/>
          <w:bCs/>
          <w:color w:val="000000"/>
          <w:sz w:val="22"/>
          <w:szCs w:val="22"/>
          <w:lang w:eastAsia="en-US"/>
        </w:rPr>
        <w:t xml:space="preserve"> </w:t>
      </w:r>
      <w:bookmarkEnd w:id="6"/>
      <w:r>
        <w:rPr>
          <w:rFonts w:ascii="Arial" w:hAnsi="Arial" w:cs="Arial"/>
          <w:bCs/>
          <w:color w:val="000000"/>
          <w:sz w:val="22"/>
          <w:szCs w:val="22"/>
          <w:lang w:eastAsia="en-US"/>
        </w:rPr>
        <w:t xml:space="preserve">su expedición tuvo como propósito mejorar los mecanismos legales existentes para prevenir la corrupción y para garantizar el resarcimiento de los daños patrimoniales derivados de </w:t>
      </w:r>
      <w:r w:rsidR="001029F0">
        <w:rPr>
          <w:rFonts w:ascii="Arial" w:hAnsi="Arial" w:cs="Arial"/>
          <w:bCs/>
          <w:color w:val="000000"/>
          <w:sz w:val="22"/>
          <w:szCs w:val="22"/>
          <w:lang w:eastAsia="en-US"/>
        </w:rPr>
        <w:t>este</w:t>
      </w:r>
      <w:r>
        <w:rPr>
          <w:rFonts w:ascii="Arial" w:hAnsi="Arial" w:cs="Arial"/>
          <w:bCs/>
          <w:color w:val="000000"/>
          <w:sz w:val="22"/>
          <w:szCs w:val="22"/>
          <w:lang w:eastAsia="en-US"/>
        </w:rPr>
        <w:t xml:space="preserve"> fenómeno. </w:t>
      </w:r>
    </w:p>
    <w:p w14:paraId="4444F033" w14:textId="32419DB4" w:rsidR="002F5BFC" w:rsidRDefault="00814116" w:rsidP="0010477B">
      <w:pPr>
        <w:spacing w:after="0"/>
        <w:ind w:firstLine="720"/>
        <w:rPr>
          <w:rFonts w:ascii="Arial" w:hAnsi="Arial" w:cs="Arial"/>
          <w:bCs/>
          <w:color w:val="000000"/>
          <w:sz w:val="22"/>
          <w:szCs w:val="22"/>
          <w:lang w:val="es-ES_tradnl" w:eastAsia="en-US"/>
        </w:rPr>
      </w:pPr>
      <w:r w:rsidRPr="0010477B">
        <w:rPr>
          <w:rFonts w:ascii="Arial" w:hAnsi="Arial" w:cs="Arial"/>
          <w:bCs/>
          <w:color w:val="000000"/>
          <w:sz w:val="22"/>
          <w:szCs w:val="22"/>
          <w:lang w:val="es-ES_tradnl" w:eastAsia="en-US"/>
        </w:rPr>
        <w:t xml:space="preserve">Para ello, en esta Ley se </w:t>
      </w:r>
      <w:r w:rsidR="002F5BFC">
        <w:rPr>
          <w:rFonts w:ascii="Arial" w:hAnsi="Arial" w:cs="Arial"/>
          <w:bCs/>
          <w:color w:val="000000"/>
          <w:sz w:val="22"/>
          <w:szCs w:val="22"/>
          <w:lang w:val="es-ES_tradnl" w:eastAsia="en-US"/>
        </w:rPr>
        <w:t>introdujeron modificaciones a figuras previamente consagradas en otras normas y, además, se crearon otras, con el fin de</w:t>
      </w:r>
      <w:r w:rsidRPr="0010477B">
        <w:rPr>
          <w:rFonts w:ascii="Arial" w:hAnsi="Arial" w:cs="Arial"/>
          <w:bCs/>
          <w:color w:val="000000"/>
          <w:sz w:val="22"/>
          <w:szCs w:val="22"/>
          <w:lang w:val="es-ES_tradnl" w:eastAsia="en-US"/>
        </w:rPr>
        <w:t xml:space="preserve"> mejorar los mecanismos de acceso a la información sobre las personas privadas que intervienen en el tráfico jurídico, como medio que permitan prevenir la corrupci</w:t>
      </w:r>
      <w:r w:rsidR="00DF7F58" w:rsidRPr="0010477B">
        <w:rPr>
          <w:rFonts w:ascii="Arial" w:hAnsi="Arial" w:cs="Arial"/>
          <w:bCs/>
          <w:color w:val="000000"/>
          <w:sz w:val="22"/>
          <w:szCs w:val="22"/>
          <w:lang w:val="es-ES_tradnl" w:eastAsia="en-US"/>
        </w:rPr>
        <w:t>ón</w:t>
      </w:r>
      <w:r w:rsidR="002F5BFC">
        <w:rPr>
          <w:rFonts w:ascii="Arial" w:hAnsi="Arial" w:cs="Arial"/>
          <w:bCs/>
          <w:color w:val="000000"/>
          <w:sz w:val="22"/>
          <w:szCs w:val="22"/>
          <w:lang w:val="es-ES_tradnl" w:eastAsia="en-US"/>
        </w:rPr>
        <w:t>.</w:t>
      </w:r>
    </w:p>
    <w:p w14:paraId="42141585" w14:textId="77777777" w:rsidR="002F5BFC" w:rsidRDefault="002F5BFC" w:rsidP="0010477B">
      <w:pPr>
        <w:spacing w:after="0"/>
        <w:ind w:firstLine="720"/>
        <w:rPr>
          <w:rFonts w:ascii="Arial" w:hAnsi="Arial" w:cs="Arial"/>
          <w:bCs/>
          <w:color w:val="000000"/>
          <w:sz w:val="22"/>
          <w:szCs w:val="22"/>
          <w:lang w:val="es-ES_tradnl" w:eastAsia="en-US"/>
        </w:rPr>
      </w:pPr>
    </w:p>
    <w:p w14:paraId="4A5F440A" w14:textId="2A119994" w:rsidR="00DF7F58" w:rsidRPr="0010477B" w:rsidRDefault="002F5BFC" w:rsidP="0010477B">
      <w:pPr>
        <w:spacing w:after="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t xml:space="preserve">Así, por ejemplo, se creó </w:t>
      </w:r>
      <w:r w:rsidR="00DF7F58" w:rsidRPr="0010477B">
        <w:rPr>
          <w:rFonts w:ascii="Arial" w:hAnsi="Arial" w:cs="Arial"/>
          <w:bCs/>
          <w:color w:val="000000"/>
          <w:sz w:val="22"/>
          <w:szCs w:val="22"/>
          <w:lang w:val="es-ES_tradnl" w:eastAsia="en-US"/>
        </w:rPr>
        <w:t xml:space="preserve">el observatorio de trasparencia </w:t>
      </w:r>
      <w:r w:rsidR="00814116" w:rsidRPr="0010477B">
        <w:rPr>
          <w:rFonts w:ascii="Arial" w:hAnsi="Arial" w:cs="Arial"/>
          <w:bCs/>
          <w:color w:val="000000"/>
          <w:sz w:val="22"/>
          <w:szCs w:val="22"/>
          <w:lang w:val="es-ES_tradnl" w:eastAsia="en-US"/>
        </w:rPr>
        <w:t xml:space="preserve">liderado por la Secretaría de Transparencia </w:t>
      </w:r>
      <w:r w:rsidR="00DA2CE0">
        <w:rPr>
          <w:rFonts w:ascii="Arial" w:hAnsi="Arial" w:cs="Arial"/>
          <w:bCs/>
          <w:color w:val="000000"/>
          <w:sz w:val="22"/>
          <w:szCs w:val="22"/>
          <w:lang w:val="es-ES_tradnl" w:eastAsia="en-US"/>
        </w:rPr>
        <w:t xml:space="preserve">para la </w:t>
      </w:r>
      <w:r w:rsidR="00814116" w:rsidRPr="0010477B">
        <w:rPr>
          <w:rFonts w:ascii="Arial" w:hAnsi="Arial" w:cs="Arial"/>
          <w:bCs/>
          <w:color w:val="000000"/>
          <w:sz w:val="22"/>
          <w:szCs w:val="22"/>
          <w:lang w:val="es-ES_tradnl" w:eastAsia="en-US"/>
        </w:rPr>
        <w:t>interope</w:t>
      </w:r>
      <w:r w:rsidR="00DA2CE0">
        <w:rPr>
          <w:rFonts w:ascii="Arial" w:hAnsi="Arial" w:cs="Arial"/>
          <w:bCs/>
          <w:color w:val="000000"/>
          <w:sz w:val="22"/>
          <w:szCs w:val="22"/>
          <w:lang w:val="es-ES_tradnl" w:eastAsia="en-US"/>
        </w:rPr>
        <w:t>ración</w:t>
      </w:r>
      <w:r w:rsidR="00814116" w:rsidRPr="0010477B">
        <w:rPr>
          <w:rFonts w:ascii="Arial" w:hAnsi="Arial" w:cs="Arial"/>
          <w:bCs/>
          <w:color w:val="000000"/>
          <w:sz w:val="22"/>
          <w:szCs w:val="22"/>
          <w:lang w:val="es-ES_tradnl" w:eastAsia="en-US"/>
        </w:rPr>
        <w:t xml:space="preserve"> </w:t>
      </w:r>
      <w:r w:rsidR="00DA2CE0">
        <w:rPr>
          <w:rFonts w:ascii="Arial" w:hAnsi="Arial" w:cs="Arial"/>
          <w:bCs/>
          <w:color w:val="000000"/>
          <w:sz w:val="22"/>
          <w:szCs w:val="22"/>
          <w:lang w:val="es-ES_tradnl" w:eastAsia="en-US"/>
        </w:rPr>
        <w:t xml:space="preserve">de </w:t>
      </w:r>
      <w:r w:rsidR="00814116" w:rsidRPr="0010477B">
        <w:rPr>
          <w:rFonts w:ascii="Arial" w:hAnsi="Arial" w:cs="Arial"/>
          <w:bCs/>
          <w:color w:val="000000"/>
          <w:sz w:val="22"/>
          <w:szCs w:val="22"/>
          <w:lang w:val="es-ES_tradnl" w:eastAsia="en-US"/>
        </w:rPr>
        <w:t>datos abiertos y públicos con el fin de hacer analítica, recomendar políticas públicas y ponerlo</w:t>
      </w:r>
      <w:r w:rsidR="00DF7F58" w:rsidRPr="0010477B">
        <w:rPr>
          <w:rFonts w:ascii="Arial" w:hAnsi="Arial" w:cs="Arial"/>
          <w:bCs/>
          <w:color w:val="000000"/>
          <w:sz w:val="22"/>
          <w:szCs w:val="22"/>
          <w:lang w:val="es-ES_tradnl" w:eastAsia="en-US"/>
        </w:rPr>
        <w:t xml:space="preserve"> a disposición de la ciudadanía</w:t>
      </w:r>
      <w:r w:rsidR="00C51CB2" w:rsidRPr="0010477B">
        <w:rPr>
          <w:rFonts w:ascii="Arial" w:hAnsi="Arial" w:cs="Arial"/>
          <w:bCs/>
          <w:color w:val="000000"/>
          <w:sz w:val="22"/>
          <w:szCs w:val="22"/>
          <w:lang w:val="es-ES_tradnl" w:eastAsia="en-US"/>
        </w:rPr>
        <w:t xml:space="preserve"> </w:t>
      </w:r>
      <w:r w:rsidR="00DA2CE0">
        <w:rPr>
          <w:rFonts w:ascii="Arial" w:hAnsi="Arial" w:cs="Arial"/>
          <w:bCs/>
          <w:color w:val="000000"/>
          <w:sz w:val="22"/>
          <w:szCs w:val="22"/>
          <w:lang w:val="es-ES_tradnl" w:eastAsia="en-US"/>
        </w:rPr>
        <w:t xml:space="preserve">de manera que se facilite el control social a la contratación </w:t>
      </w:r>
      <w:r w:rsidR="00C51CB2" w:rsidRPr="0010477B">
        <w:rPr>
          <w:rFonts w:ascii="Arial" w:hAnsi="Arial" w:cs="Arial"/>
          <w:bCs/>
          <w:color w:val="000000"/>
          <w:sz w:val="22"/>
          <w:szCs w:val="22"/>
          <w:lang w:val="es-ES_tradnl" w:eastAsia="en-US"/>
        </w:rPr>
        <w:t>y</w:t>
      </w:r>
      <w:r w:rsidR="00DA2CE0">
        <w:rPr>
          <w:rFonts w:ascii="Arial" w:hAnsi="Arial" w:cs="Arial"/>
          <w:bCs/>
          <w:color w:val="000000"/>
          <w:sz w:val="22"/>
          <w:szCs w:val="22"/>
          <w:lang w:val="es-ES_tradnl" w:eastAsia="en-US"/>
        </w:rPr>
        <w:t>, además,</w:t>
      </w:r>
      <w:r w:rsidR="00C51CB2" w:rsidRPr="0010477B">
        <w:rPr>
          <w:rFonts w:ascii="Arial" w:hAnsi="Arial" w:cs="Arial"/>
          <w:bCs/>
          <w:color w:val="000000"/>
          <w:sz w:val="22"/>
          <w:szCs w:val="22"/>
          <w:lang w:val="es-ES_tradnl" w:eastAsia="en-US"/>
        </w:rPr>
        <w:t xml:space="preserve"> se prevén medidas que permitan responsabilizar a las personas jurídicas por actos de corrupción. </w:t>
      </w:r>
    </w:p>
    <w:p w14:paraId="78051178" w14:textId="77777777" w:rsidR="00DF7F58" w:rsidRDefault="00DF7F58" w:rsidP="00DF7F58">
      <w:pPr>
        <w:spacing w:after="0"/>
        <w:rPr>
          <w:rFonts w:ascii="Arial" w:hAnsi="Arial" w:cs="Arial"/>
          <w:bCs/>
          <w:color w:val="000000"/>
          <w:sz w:val="22"/>
          <w:szCs w:val="22"/>
          <w:lang w:eastAsia="en-US"/>
        </w:rPr>
      </w:pPr>
    </w:p>
    <w:p w14:paraId="1C2FDD00" w14:textId="4084455B" w:rsidR="00DF7F58" w:rsidRPr="0010477B" w:rsidRDefault="00DF7F58" w:rsidP="0010477B">
      <w:pPr>
        <w:spacing w:after="0"/>
        <w:ind w:firstLine="720"/>
        <w:rPr>
          <w:rFonts w:ascii="Arial" w:hAnsi="Arial" w:cs="Arial"/>
          <w:bCs/>
          <w:color w:val="000000"/>
          <w:sz w:val="22"/>
          <w:szCs w:val="22"/>
          <w:lang w:val="es-ES_tradnl" w:eastAsia="en-US"/>
        </w:rPr>
      </w:pPr>
      <w:r w:rsidRPr="0010477B">
        <w:rPr>
          <w:rFonts w:ascii="Arial" w:hAnsi="Arial" w:cs="Arial"/>
          <w:bCs/>
          <w:color w:val="000000"/>
          <w:sz w:val="22"/>
          <w:szCs w:val="22"/>
          <w:lang w:val="es-ES_tradnl" w:eastAsia="en-US"/>
        </w:rPr>
        <w:t>También se amplia</w:t>
      </w:r>
      <w:r w:rsidR="002F5BFC">
        <w:rPr>
          <w:rFonts w:ascii="Arial" w:hAnsi="Arial" w:cs="Arial"/>
          <w:bCs/>
          <w:color w:val="000000"/>
          <w:sz w:val="22"/>
          <w:szCs w:val="22"/>
          <w:lang w:val="es-ES_tradnl" w:eastAsia="en-US"/>
        </w:rPr>
        <w:t>ron y fortalecieron</w:t>
      </w:r>
      <w:r w:rsidRPr="0010477B">
        <w:rPr>
          <w:rFonts w:ascii="Arial" w:hAnsi="Arial" w:cs="Arial"/>
          <w:bCs/>
          <w:color w:val="000000"/>
          <w:sz w:val="22"/>
          <w:szCs w:val="22"/>
          <w:lang w:val="es-ES_tradnl" w:eastAsia="en-US"/>
        </w:rPr>
        <w:t xml:space="preserve"> las funciones de la Fiscalía General de la Nación para </w:t>
      </w:r>
      <w:r w:rsidR="00814116" w:rsidRPr="0010477B">
        <w:rPr>
          <w:rFonts w:ascii="Arial" w:hAnsi="Arial" w:cs="Arial"/>
          <w:bCs/>
          <w:color w:val="000000"/>
          <w:sz w:val="22"/>
          <w:szCs w:val="22"/>
          <w:lang w:val="es-ES_tradnl" w:eastAsia="en-US"/>
        </w:rPr>
        <w:t>el manejo de los bienes q</w:t>
      </w:r>
      <w:r w:rsidRPr="0010477B">
        <w:rPr>
          <w:rFonts w:ascii="Arial" w:hAnsi="Arial" w:cs="Arial"/>
          <w:bCs/>
          <w:color w:val="000000"/>
          <w:sz w:val="22"/>
          <w:szCs w:val="22"/>
          <w:lang w:val="es-ES_tradnl" w:eastAsia="en-US"/>
        </w:rPr>
        <w:t>ue se encuentran en su Fondo y para p</w:t>
      </w:r>
      <w:r w:rsidR="00814116" w:rsidRPr="0010477B">
        <w:rPr>
          <w:rFonts w:ascii="Arial" w:hAnsi="Arial" w:cs="Arial"/>
          <w:bCs/>
          <w:color w:val="000000"/>
          <w:sz w:val="22"/>
          <w:szCs w:val="22"/>
          <w:lang w:val="es-ES_tradnl" w:eastAsia="en-US"/>
        </w:rPr>
        <w:t>ermitir que los bienes a los que se les aplique la figura del comiso puedan e</w:t>
      </w:r>
      <w:r w:rsidR="00C51CB2" w:rsidRPr="0010477B">
        <w:rPr>
          <w:rFonts w:ascii="Arial" w:hAnsi="Arial" w:cs="Arial"/>
          <w:bCs/>
          <w:color w:val="000000"/>
          <w:sz w:val="22"/>
          <w:szCs w:val="22"/>
          <w:lang w:val="es-ES_tradnl" w:eastAsia="en-US"/>
        </w:rPr>
        <w:t xml:space="preserve">najenarse de forma temprana. Así </w:t>
      </w:r>
      <w:r w:rsidR="00814116" w:rsidRPr="0010477B">
        <w:rPr>
          <w:rFonts w:ascii="Arial" w:hAnsi="Arial" w:cs="Arial"/>
          <w:bCs/>
          <w:color w:val="000000"/>
          <w:sz w:val="22"/>
          <w:szCs w:val="22"/>
          <w:lang w:val="es-ES_tradnl" w:eastAsia="en-US"/>
        </w:rPr>
        <w:t xml:space="preserve">mismo, </w:t>
      </w:r>
      <w:r w:rsidR="00C51CB2" w:rsidRPr="0010477B">
        <w:rPr>
          <w:rFonts w:ascii="Arial" w:hAnsi="Arial" w:cs="Arial"/>
          <w:bCs/>
          <w:color w:val="000000"/>
          <w:sz w:val="22"/>
          <w:szCs w:val="22"/>
          <w:lang w:val="es-ES_tradnl" w:eastAsia="en-US"/>
        </w:rPr>
        <w:t>s</w:t>
      </w:r>
      <w:r w:rsidR="00814116" w:rsidRPr="0010477B">
        <w:rPr>
          <w:rFonts w:ascii="Arial" w:hAnsi="Arial" w:cs="Arial"/>
          <w:bCs/>
          <w:color w:val="000000"/>
          <w:sz w:val="22"/>
          <w:szCs w:val="22"/>
          <w:lang w:val="es-ES_tradnl" w:eastAsia="en-US"/>
        </w:rPr>
        <w:t xml:space="preserve">e incluyen dentro de los tipos de responsabilidad contenidos en el </w:t>
      </w:r>
      <w:r w:rsidR="00C51CB2" w:rsidRPr="0010477B">
        <w:rPr>
          <w:rFonts w:ascii="Arial" w:hAnsi="Arial" w:cs="Arial"/>
          <w:bCs/>
          <w:color w:val="000000"/>
          <w:sz w:val="22"/>
          <w:szCs w:val="22"/>
          <w:lang w:val="es-ES_tradnl" w:eastAsia="en-US"/>
        </w:rPr>
        <w:t>régimen</w:t>
      </w:r>
      <w:r w:rsidR="00814116" w:rsidRPr="0010477B">
        <w:rPr>
          <w:rFonts w:ascii="Arial" w:hAnsi="Arial" w:cs="Arial"/>
          <w:bCs/>
          <w:color w:val="000000"/>
          <w:sz w:val="22"/>
          <w:szCs w:val="22"/>
          <w:lang w:val="es-ES_tradnl" w:eastAsia="en-US"/>
        </w:rPr>
        <w:t xml:space="preserve"> jurídico colombiano, multas y la necesidad de tasación de los daños derivados de actos de corrupción</w:t>
      </w:r>
      <w:r w:rsidR="00C51CB2" w:rsidRPr="0010477B">
        <w:rPr>
          <w:rFonts w:ascii="Arial" w:hAnsi="Arial" w:cs="Arial"/>
          <w:bCs/>
          <w:color w:val="000000"/>
          <w:sz w:val="22"/>
          <w:szCs w:val="22"/>
          <w:lang w:val="es-ES_tradnl" w:eastAsia="en-US"/>
        </w:rPr>
        <w:t>,</w:t>
      </w:r>
      <w:r w:rsidR="00814116" w:rsidRPr="0010477B">
        <w:rPr>
          <w:rFonts w:ascii="Arial" w:hAnsi="Arial" w:cs="Arial"/>
          <w:bCs/>
          <w:color w:val="000000"/>
          <w:sz w:val="22"/>
          <w:szCs w:val="22"/>
          <w:lang w:val="es-ES_tradnl" w:eastAsia="en-US"/>
        </w:rPr>
        <w:t xml:space="preserve"> con el fin de resarcir los </w:t>
      </w:r>
      <w:r w:rsidR="00C51CB2" w:rsidRPr="0010477B">
        <w:rPr>
          <w:rFonts w:ascii="Arial" w:hAnsi="Arial" w:cs="Arial"/>
          <w:bCs/>
          <w:color w:val="000000"/>
          <w:sz w:val="22"/>
          <w:szCs w:val="22"/>
          <w:lang w:val="es-ES_tradnl" w:eastAsia="en-US"/>
        </w:rPr>
        <w:t>daños causados a los ciudadanos y se actualiza la figura de la acción de repetición.</w:t>
      </w:r>
    </w:p>
    <w:p w14:paraId="3B563583" w14:textId="77777777" w:rsidR="00DF7F58" w:rsidRPr="00DF7F58" w:rsidRDefault="00DF7F58" w:rsidP="00DF7F58">
      <w:pPr>
        <w:pStyle w:val="Prrafodelista"/>
        <w:spacing w:after="0"/>
        <w:rPr>
          <w:rFonts w:ascii="Arial" w:hAnsi="Arial" w:cs="Arial"/>
          <w:bCs/>
          <w:color w:val="000000"/>
          <w:sz w:val="22"/>
          <w:szCs w:val="22"/>
          <w:lang w:eastAsia="en-US"/>
        </w:rPr>
      </w:pPr>
    </w:p>
    <w:p w14:paraId="0B88996E" w14:textId="6F8155B4" w:rsidR="00DF7F58" w:rsidRPr="0010477B" w:rsidRDefault="00C51CB2" w:rsidP="0010477B">
      <w:pPr>
        <w:spacing w:after="0"/>
        <w:ind w:firstLine="720"/>
        <w:rPr>
          <w:rFonts w:ascii="Arial" w:hAnsi="Arial" w:cs="Arial"/>
          <w:bCs/>
          <w:color w:val="000000"/>
          <w:sz w:val="22"/>
          <w:szCs w:val="22"/>
          <w:lang w:val="es-ES_tradnl" w:eastAsia="en-US"/>
        </w:rPr>
      </w:pPr>
      <w:r w:rsidRPr="0010477B">
        <w:rPr>
          <w:rFonts w:ascii="Arial" w:hAnsi="Arial" w:cs="Arial"/>
          <w:bCs/>
          <w:color w:val="000000"/>
          <w:sz w:val="22"/>
          <w:szCs w:val="22"/>
          <w:lang w:val="es-ES_tradnl" w:eastAsia="en-US"/>
        </w:rPr>
        <w:lastRenderedPageBreak/>
        <w:t xml:space="preserve">De otro lado, </w:t>
      </w:r>
      <w:r w:rsidR="00DF7F58" w:rsidRPr="0010477B">
        <w:rPr>
          <w:rFonts w:ascii="Arial" w:hAnsi="Arial" w:cs="Arial"/>
          <w:bCs/>
          <w:color w:val="000000"/>
          <w:sz w:val="22"/>
          <w:szCs w:val="22"/>
          <w:lang w:val="es-ES_tradnl" w:eastAsia="en-US"/>
        </w:rPr>
        <w:t>con el fin de reforzar los mecanismos preventivos en cont</w:t>
      </w:r>
      <w:r w:rsidR="002F5BFC">
        <w:rPr>
          <w:rFonts w:ascii="Arial" w:hAnsi="Arial" w:cs="Arial"/>
          <w:bCs/>
          <w:color w:val="000000"/>
          <w:sz w:val="22"/>
          <w:szCs w:val="22"/>
          <w:lang w:val="es-ES_tradnl" w:eastAsia="en-US"/>
        </w:rPr>
        <w:t>ra de la corrupción, se consagró</w:t>
      </w:r>
      <w:r w:rsidR="00DF7F58" w:rsidRPr="0010477B">
        <w:rPr>
          <w:rFonts w:ascii="Arial" w:hAnsi="Arial" w:cs="Arial"/>
          <w:bCs/>
          <w:color w:val="000000"/>
          <w:sz w:val="22"/>
          <w:szCs w:val="22"/>
          <w:lang w:val="es-ES_tradnl" w:eastAsia="en-US"/>
        </w:rPr>
        <w:t xml:space="preserve"> la posibilidad de que los esta</w:t>
      </w:r>
      <w:r w:rsidR="00814116" w:rsidRPr="0010477B">
        <w:rPr>
          <w:rFonts w:ascii="Arial" w:hAnsi="Arial" w:cs="Arial"/>
          <w:bCs/>
          <w:color w:val="000000"/>
          <w:sz w:val="22"/>
          <w:szCs w:val="22"/>
          <w:lang w:val="es-ES_tradnl" w:eastAsia="en-US"/>
        </w:rPr>
        <w:t xml:space="preserve">blecimientos de educación preescolar, básica y media </w:t>
      </w:r>
      <w:r w:rsidR="00DF7F58" w:rsidRPr="0010477B">
        <w:rPr>
          <w:rFonts w:ascii="Arial" w:hAnsi="Arial" w:cs="Arial"/>
          <w:bCs/>
          <w:color w:val="000000"/>
          <w:sz w:val="22"/>
          <w:szCs w:val="22"/>
          <w:lang w:val="es-ES_tradnl" w:eastAsia="en-US"/>
        </w:rPr>
        <w:t>incluyan</w:t>
      </w:r>
      <w:r w:rsidR="00814116" w:rsidRPr="0010477B">
        <w:rPr>
          <w:rFonts w:ascii="Arial" w:hAnsi="Arial" w:cs="Arial"/>
          <w:bCs/>
          <w:color w:val="000000"/>
          <w:sz w:val="22"/>
          <w:szCs w:val="22"/>
          <w:lang w:val="es-ES_tradnl" w:eastAsia="en-US"/>
        </w:rPr>
        <w:t xml:space="preserve"> en su Proyecto Educativo Institucional, estrategias que busquen el fomento de la participación ciudadana para asegurar la transparencia, la buena gestión pública y el buen uso de los recursos.</w:t>
      </w:r>
      <w:r w:rsidR="00DF7F58" w:rsidRPr="0010477B">
        <w:rPr>
          <w:rFonts w:ascii="Arial" w:hAnsi="Arial" w:cs="Arial"/>
          <w:bCs/>
          <w:color w:val="000000"/>
          <w:sz w:val="22"/>
          <w:szCs w:val="22"/>
          <w:lang w:val="es-ES_tradnl" w:eastAsia="en-US"/>
        </w:rPr>
        <w:t xml:space="preserve"> As</w:t>
      </w:r>
      <w:r w:rsidR="00C342FE">
        <w:rPr>
          <w:rFonts w:ascii="Arial" w:hAnsi="Arial" w:cs="Arial"/>
          <w:bCs/>
          <w:color w:val="000000"/>
          <w:sz w:val="22"/>
          <w:szCs w:val="22"/>
          <w:lang w:val="es-ES_tradnl" w:eastAsia="en-US"/>
        </w:rPr>
        <w:t>i</w:t>
      </w:r>
      <w:r w:rsidR="00DF7F58" w:rsidRPr="0010477B">
        <w:rPr>
          <w:rFonts w:ascii="Arial" w:hAnsi="Arial" w:cs="Arial"/>
          <w:bCs/>
          <w:color w:val="000000"/>
          <w:sz w:val="22"/>
          <w:szCs w:val="22"/>
          <w:lang w:val="es-ES_tradnl" w:eastAsia="en-US"/>
        </w:rPr>
        <w:t xml:space="preserve">mismo, se prevé que las entidades públicas deberán adoptar </w:t>
      </w:r>
      <w:r w:rsidR="00814116" w:rsidRPr="0010477B">
        <w:rPr>
          <w:rFonts w:ascii="Arial" w:hAnsi="Arial" w:cs="Arial"/>
          <w:bCs/>
          <w:color w:val="000000"/>
          <w:sz w:val="22"/>
          <w:szCs w:val="22"/>
          <w:lang w:val="es-ES_tradnl" w:eastAsia="en-US"/>
        </w:rPr>
        <w:t xml:space="preserve">programas de transparencia y ética </w:t>
      </w:r>
      <w:r w:rsidR="00DF7F58" w:rsidRPr="0010477B">
        <w:rPr>
          <w:rFonts w:ascii="Arial" w:hAnsi="Arial" w:cs="Arial"/>
          <w:bCs/>
          <w:color w:val="000000"/>
          <w:sz w:val="22"/>
          <w:szCs w:val="22"/>
          <w:lang w:val="es-ES_tradnl" w:eastAsia="en-US"/>
        </w:rPr>
        <w:t xml:space="preserve">pública, con un alto </w:t>
      </w:r>
      <w:r w:rsidR="00814116" w:rsidRPr="0010477B">
        <w:rPr>
          <w:rFonts w:ascii="Arial" w:hAnsi="Arial" w:cs="Arial"/>
          <w:bCs/>
          <w:color w:val="000000"/>
          <w:sz w:val="22"/>
          <w:szCs w:val="22"/>
          <w:lang w:val="es-ES_tradnl" w:eastAsia="en-US"/>
        </w:rPr>
        <w:t xml:space="preserve">componente de pedagogía de integridad, estado abierto y transparencia. </w:t>
      </w:r>
    </w:p>
    <w:p w14:paraId="673FC06E" w14:textId="77777777" w:rsidR="00DF7F58" w:rsidRDefault="00DF7F58" w:rsidP="00DF7F58">
      <w:pPr>
        <w:spacing w:after="0"/>
        <w:rPr>
          <w:rFonts w:ascii="Arial" w:hAnsi="Arial" w:cs="Arial"/>
          <w:b/>
          <w:bCs/>
          <w:color w:val="000000"/>
          <w:sz w:val="22"/>
          <w:szCs w:val="22"/>
          <w:lang w:eastAsia="en-US"/>
        </w:rPr>
      </w:pPr>
    </w:p>
    <w:p w14:paraId="241E5DB3" w14:textId="7F3C94D4" w:rsidR="00EC1AFE" w:rsidRPr="00956628" w:rsidRDefault="00EC1AFE" w:rsidP="00EE4827">
      <w:pPr>
        <w:ind w:firstLine="720"/>
        <w:rPr>
          <w:rFonts w:ascii="Arial" w:hAnsi="Arial" w:cs="Arial"/>
          <w:color w:val="000000" w:themeColor="text1"/>
          <w:sz w:val="22"/>
          <w:szCs w:val="22"/>
          <w:lang w:val="es-ES_tradnl"/>
        </w:rPr>
      </w:pPr>
      <w:r w:rsidRPr="00956628">
        <w:rPr>
          <w:rFonts w:ascii="Arial" w:hAnsi="Arial" w:cs="Arial"/>
          <w:color w:val="000000" w:themeColor="text1"/>
          <w:sz w:val="22"/>
          <w:szCs w:val="22"/>
          <w:lang w:val="es-ES_tradnl"/>
        </w:rPr>
        <w:t xml:space="preserve">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956628">
        <w:rPr>
          <w:rFonts w:ascii="Arial" w:hAnsi="Arial" w:cs="Arial"/>
          <w:i/>
          <w:iCs/>
          <w:color w:val="000000" w:themeColor="text1"/>
          <w:sz w:val="22"/>
          <w:szCs w:val="22"/>
          <w:lang w:val="es-ES_tradnl"/>
        </w:rPr>
        <w:t>no</w:t>
      </w:r>
      <w:r w:rsidRPr="00956628">
        <w:rPr>
          <w:rFonts w:ascii="Arial"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p>
    <w:p w14:paraId="42BCEFCA" w14:textId="729A3179" w:rsidR="00315A19" w:rsidRPr="0010477B" w:rsidRDefault="00EC1AFE" w:rsidP="0010477B">
      <w:pPr>
        <w:spacing w:after="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t>En armonía con lo anterior</w:t>
      </w:r>
      <w:r w:rsidR="002F5BFC">
        <w:rPr>
          <w:rFonts w:ascii="Arial" w:hAnsi="Arial" w:cs="Arial"/>
          <w:bCs/>
          <w:color w:val="000000"/>
          <w:sz w:val="22"/>
          <w:szCs w:val="22"/>
          <w:lang w:val="es-ES_tradnl" w:eastAsia="en-US"/>
        </w:rPr>
        <w:t xml:space="preserve">, </w:t>
      </w:r>
      <w:r w:rsidR="0010477B">
        <w:rPr>
          <w:rFonts w:ascii="Arial" w:hAnsi="Arial" w:cs="Arial"/>
          <w:bCs/>
          <w:color w:val="000000"/>
          <w:sz w:val="22"/>
          <w:szCs w:val="22"/>
          <w:lang w:val="es-ES_tradnl" w:eastAsia="en-US"/>
        </w:rPr>
        <w:t>en materia de contratación estatal se consagr</w:t>
      </w:r>
      <w:r w:rsidR="002F5BFC">
        <w:rPr>
          <w:rFonts w:ascii="Arial" w:hAnsi="Arial" w:cs="Arial"/>
          <w:bCs/>
          <w:color w:val="000000"/>
          <w:sz w:val="22"/>
          <w:szCs w:val="22"/>
          <w:lang w:val="es-ES_tradnl" w:eastAsia="en-US"/>
        </w:rPr>
        <w:t>ó</w:t>
      </w:r>
      <w:r w:rsidR="0010477B">
        <w:rPr>
          <w:rFonts w:ascii="Arial" w:hAnsi="Arial" w:cs="Arial"/>
          <w:bCs/>
          <w:color w:val="000000"/>
          <w:sz w:val="22"/>
          <w:szCs w:val="22"/>
          <w:lang w:val="es-ES_tradnl" w:eastAsia="en-US"/>
        </w:rPr>
        <w:t xml:space="preserve"> l</w:t>
      </w:r>
      <w:r w:rsidR="00315A19" w:rsidRPr="0010477B">
        <w:rPr>
          <w:rFonts w:ascii="Arial" w:hAnsi="Arial" w:cs="Arial"/>
          <w:bCs/>
          <w:color w:val="000000"/>
          <w:sz w:val="22"/>
          <w:szCs w:val="22"/>
          <w:lang w:val="es-ES_tradnl" w:eastAsia="en-US"/>
        </w:rPr>
        <w:t xml:space="preserve">a obligación de llevar centros de costo o contabilidades individualizadas cuando se ejecutan contratos estatales, esto con el fin de dar mayor claridad y transparencia a la ejecución de dichos recursos </w:t>
      </w:r>
      <w:r>
        <w:rPr>
          <w:rFonts w:ascii="Arial" w:hAnsi="Arial" w:cs="Arial"/>
          <w:bCs/>
          <w:color w:val="000000"/>
          <w:sz w:val="22"/>
          <w:szCs w:val="22"/>
          <w:lang w:val="es-ES_tradnl" w:eastAsia="en-US"/>
        </w:rPr>
        <w:t>–</w:t>
      </w:r>
      <w:r w:rsidR="00315A19" w:rsidRPr="0010477B">
        <w:rPr>
          <w:rFonts w:ascii="Arial" w:hAnsi="Arial" w:cs="Arial"/>
          <w:bCs/>
          <w:color w:val="000000"/>
          <w:sz w:val="22"/>
          <w:szCs w:val="22"/>
          <w:lang w:val="es-ES_tradnl" w:eastAsia="en-US"/>
        </w:rPr>
        <w:t>artículo 50</w:t>
      </w:r>
      <w:r>
        <w:rPr>
          <w:rFonts w:ascii="Arial" w:hAnsi="Arial" w:cs="Arial"/>
          <w:bCs/>
          <w:color w:val="000000"/>
          <w:sz w:val="22"/>
          <w:szCs w:val="22"/>
          <w:lang w:val="es-ES_tradnl" w:eastAsia="en-US"/>
        </w:rPr>
        <w:t>–</w:t>
      </w:r>
      <w:r w:rsidR="00315A19" w:rsidRPr="0010477B">
        <w:rPr>
          <w:rFonts w:ascii="Arial" w:hAnsi="Arial" w:cs="Arial"/>
          <w:bCs/>
          <w:color w:val="000000"/>
          <w:sz w:val="22"/>
          <w:szCs w:val="22"/>
          <w:lang w:val="es-ES_tradnl" w:eastAsia="en-US"/>
        </w:rPr>
        <w:t xml:space="preserve">. </w:t>
      </w:r>
      <w:r w:rsidR="0010477B">
        <w:rPr>
          <w:rFonts w:ascii="Arial" w:hAnsi="Arial" w:cs="Arial"/>
          <w:bCs/>
          <w:color w:val="000000"/>
          <w:sz w:val="22"/>
          <w:szCs w:val="22"/>
          <w:lang w:val="es-ES_tradnl" w:eastAsia="en-US"/>
        </w:rPr>
        <w:t xml:space="preserve"> En efecto, el artículo 50 de la Ley 2195 del 2022, </w:t>
      </w:r>
      <w:r w:rsidR="00D642FF">
        <w:rPr>
          <w:rFonts w:ascii="Arial" w:hAnsi="Arial" w:cs="Arial"/>
          <w:bCs/>
          <w:color w:val="000000"/>
          <w:sz w:val="22"/>
          <w:szCs w:val="22"/>
          <w:lang w:val="es-ES_tradnl" w:eastAsia="en-US"/>
        </w:rPr>
        <w:t xml:space="preserve">materia de consulta, </w:t>
      </w:r>
      <w:r>
        <w:rPr>
          <w:rFonts w:ascii="Arial" w:hAnsi="Arial" w:cs="Arial"/>
          <w:bCs/>
          <w:color w:val="000000"/>
          <w:sz w:val="22"/>
          <w:szCs w:val="22"/>
          <w:lang w:val="es-ES_tradnl" w:eastAsia="en-US"/>
        </w:rPr>
        <w:t xml:space="preserve">establece </w:t>
      </w:r>
      <w:r w:rsidR="0010477B">
        <w:rPr>
          <w:rFonts w:ascii="Arial" w:hAnsi="Arial" w:cs="Arial"/>
          <w:bCs/>
          <w:color w:val="000000"/>
          <w:sz w:val="22"/>
          <w:szCs w:val="22"/>
          <w:lang w:val="es-ES_tradnl" w:eastAsia="en-US"/>
        </w:rPr>
        <w:t>lo siguiente:</w:t>
      </w:r>
    </w:p>
    <w:p w14:paraId="372AB3B1" w14:textId="77777777" w:rsidR="00C51CB2" w:rsidRPr="00C51CB2" w:rsidRDefault="00C51CB2" w:rsidP="00DF7F58">
      <w:pPr>
        <w:spacing w:after="0"/>
        <w:rPr>
          <w:rFonts w:ascii="Arial" w:hAnsi="Arial" w:cs="Arial"/>
          <w:bCs/>
          <w:color w:val="000000"/>
          <w:sz w:val="22"/>
          <w:szCs w:val="22"/>
          <w:lang w:eastAsia="en-US"/>
        </w:rPr>
      </w:pPr>
    </w:p>
    <w:p w14:paraId="2DC09513" w14:textId="77777777" w:rsidR="00EC1AFE" w:rsidRDefault="00814116" w:rsidP="00EC1AFE">
      <w:pPr>
        <w:spacing w:after="0" w:line="240" w:lineRule="auto"/>
        <w:ind w:left="709" w:right="616"/>
        <w:rPr>
          <w:rFonts w:ascii="Arial" w:hAnsi="Arial" w:cs="Arial"/>
          <w:color w:val="000000"/>
          <w:sz w:val="21"/>
          <w:szCs w:val="21"/>
          <w:lang w:val="es-ES_tradnl" w:eastAsia="en-US"/>
        </w:rPr>
      </w:pPr>
      <w:r w:rsidRPr="00CE6AD8">
        <w:rPr>
          <w:rFonts w:ascii="Arial" w:hAnsi="Arial" w:cs="Arial"/>
          <w:color w:val="000000"/>
          <w:sz w:val="21"/>
          <w:szCs w:val="21"/>
          <w:lang w:val="es-ES_tradnl" w:eastAsia="en-US"/>
        </w:rPr>
        <w:t>ARTÍCULO 50. CONTABILIDAD Y TRANSPARENCIA</w:t>
      </w:r>
      <w:r w:rsidRPr="00EE4827">
        <w:rPr>
          <w:rFonts w:ascii="Arial" w:hAnsi="Arial" w:cs="Arial"/>
          <w:bCs/>
          <w:color w:val="000000"/>
          <w:sz w:val="21"/>
          <w:szCs w:val="21"/>
          <w:lang w:val="es-ES_tradnl" w:eastAsia="en-US"/>
        </w:rPr>
        <w:t>.</w:t>
      </w:r>
      <w:r w:rsidRPr="00CE6AD8">
        <w:rPr>
          <w:rFonts w:ascii="Arial" w:hAnsi="Arial" w:cs="Arial"/>
          <w:b/>
          <w:color w:val="000000"/>
          <w:sz w:val="21"/>
          <w:szCs w:val="21"/>
          <w:lang w:val="es-ES_tradnl" w:eastAsia="en-US"/>
        </w:rPr>
        <w:t xml:space="preserve"> </w:t>
      </w:r>
      <w:r w:rsidRPr="00CE6AD8">
        <w:rPr>
          <w:rFonts w:ascii="Arial" w:hAnsi="Arial" w:cs="Arial"/>
          <w:color w:val="000000"/>
          <w:sz w:val="21"/>
          <w:szCs w:val="21"/>
          <w:lang w:val="es-ES_tradnl" w:eastAsia="en-US"/>
        </w:rPr>
        <w:t xml:space="preserve">En las actividades contractuales del Estado, donde participen tanto personas naturales como jurídicas obligadas a llevar contabilidad y que ejecuten recursos </w:t>
      </w:r>
      <w:r w:rsidR="00CE6AD8" w:rsidRPr="00CE6AD8">
        <w:rPr>
          <w:rFonts w:ascii="Arial" w:hAnsi="Arial" w:cs="Arial"/>
          <w:color w:val="000000"/>
          <w:sz w:val="21"/>
          <w:szCs w:val="21"/>
          <w:lang w:val="es-ES_tradnl" w:eastAsia="en-US"/>
        </w:rPr>
        <w:t>públicos</w:t>
      </w:r>
      <w:r w:rsidRPr="00CE6AD8">
        <w:rPr>
          <w:rFonts w:ascii="Arial" w:hAnsi="Arial" w:cs="Arial"/>
          <w:color w:val="000000"/>
          <w:sz w:val="21"/>
          <w:szCs w:val="21"/>
          <w:lang w:val="es-ES_tradnl" w:eastAsia="en-US"/>
        </w:rPr>
        <w:t xml:space="preserve">, los contratistas deberán registrar en su contabilidad, bien sea, por centro de costo o de manera individualizada cada contrato, de forma que permita al Estado verificar la ejecución y aplicación de los recursos </w:t>
      </w:r>
      <w:r w:rsidR="00CE6AD8" w:rsidRPr="00CE6AD8">
        <w:rPr>
          <w:rFonts w:ascii="Arial" w:hAnsi="Arial" w:cs="Arial"/>
          <w:color w:val="000000"/>
          <w:sz w:val="21"/>
          <w:szCs w:val="21"/>
          <w:lang w:val="es-ES_tradnl" w:eastAsia="en-US"/>
        </w:rPr>
        <w:t>públicos</w:t>
      </w:r>
      <w:r w:rsidRPr="00CE6AD8">
        <w:rPr>
          <w:rFonts w:ascii="Arial" w:hAnsi="Arial" w:cs="Arial"/>
          <w:color w:val="000000"/>
          <w:sz w:val="21"/>
          <w:szCs w:val="21"/>
          <w:lang w:val="es-ES_tradnl" w:eastAsia="en-US"/>
        </w:rPr>
        <w:t xml:space="preserve"> de cada uno de ellos, como pr</w:t>
      </w:r>
      <w:r w:rsidR="004E4342">
        <w:rPr>
          <w:rFonts w:ascii="Arial" w:hAnsi="Arial" w:cs="Arial"/>
          <w:color w:val="000000"/>
          <w:sz w:val="21"/>
          <w:szCs w:val="21"/>
          <w:lang w:val="es-ES_tradnl" w:eastAsia="en-US"/>
        </w:rPr>
        <w:t>á</w:t>
      </w:r>
      <w:r w:rsidRPr="00CE6AD8">
        <w:rPr>
          <w:rFonts w:ascii="Arial" w:hAnsi="Arial" w:cs="Arial"/>
          <w:color w:val="000000"/>
          <w:sz w:val="21"/>
          <w:szCs w:val="21"/>
          <w:lang w:val="es-ES_tradnl" w:eastAsia="en-US"/>
        </w:rPr>
        <w:t xml:space="preserve">ctica de transparencia y de buen gobierno corporativo. </w:t>
      </w:r>
    </w:p>
    <w:p w14:paraId="5B8EBA1F" w14:textId="77777777" w:rsidR="00EC1AFE" w:rsidRDefault="00EC1AFE" w:rsidP="00EC1AFE">
      <w:pPr>
        <w:spacing w:after="0" w:line="240" w:lineRule="auto"/>
        <w:ind w:left="709" w:right="616"/>
        <w:rPr>
          <w:rFonts w:ascii="Arial" w:hAnsi="Arial" w:cs="Arial"/>
          <w:color w:val="000000"/>
          <w:sz w:val="21"/>
          <w:szCs w:val="21"/>
          <w:lang w:val="es-ES_tradnl" w:eastAsia="en-US"/>
        </w:rPr>
      </w:pPr>
    </w:p>
    <w:p w14:paraId="62A1240F" w14:textId="19C95356" w:rsidR="00814116" w:rsidRPr="00CE6AD8" w:rsidRDefault="00814116" w:rsidP="00EE4827">
      <w:pPr>
        <w:spacing w:after="0" w:line="240" w:lineRule="auto"/>
        <w:ind w:left="709" w:right="616"/>
        <w:rPr>
          <w:rFonts w:ascii="Arial" w:hAnsi="Arial" w:cs="Arial"/>
          <w:color w:val="000000"/>
          <w:sz w:val="21"/>
          <w:szCs w:val="21"/>
          <w:lang w:val="es-ES_tradnl" w:eastAsia="en-US"/>
        </w:rPr>
      </w:pPr>
      <w:r w:rsidRPr="00CE6AD8">
        <w:rPr>
          <w:rFonts w:ascii="Arial" w:hAnsi="Arial" w:cs="Arial"/>
          <w:color w:val="000000"/>
          <w:sz w:val="21"/>
          <w:szCs w:val="21"/>
          <w:lang w:val="es-ES_tradnl" w:eastAsia="en-US"/>
        </w:rPr>
        <w:t xml:space="preserve">PARÁGRAFO. Los representantes legales y los profesionales de la contaduría </w:t>
      </w:r>
      <w:r w:rsidR="00CE6AD8" w:rsidRPr="00CE6AD8">
        <w:rPr>
          <w:rFonts w:ascii="Arial" w:hAnsi="Arial" w:cs="Arial"/>
          <w:color w:val="000000"/>
          <w:sz w:val="21"/>
          <w:szCs w:val="21"/>
          <w:lang w:val="es-ES_tradnl" w:eastAsia="en-US"/>
        </w:rPr>
        <w:t>pública</w:t>
      </w:r>
      <w:r w:rsidRPr="00CE6AD8">
        <w:rPr>
          <w:rFonts w:ascii="Arial" w:hAnsi="Arial" w:cs="Arial"/>
          <w:color w:val="000000"/>
          <w:sz w:val="21"/>
          <w:szCs w:val="21"/>
          <w:lang w:val="es-ES_tradnl" w:eastAsia="en-US"/>
        </w:rPr>
        <w:t xml:space="preserve"> que certifiquen estados financieros, donde se vea inmersa la ejecución de recursos </w:t>
      </w:r>
      <w:r w:rsidR="00CE6AD8" w:rsidRPr="00CE6AD8">
        <w:rPr>
          <w:rFonts w:ascii="Arial" w:hAnsi="Arial" w:cs="Arial"/>
          <w:color w:val="000000"/>
          <w:sz w:val="21"/>
          <w:szCs w:val="21"/>
          <w:lang w:val="es-ES_tradnl" w:eastAsia="en-US"/>
        </w:rPr>
        <w:t>públicos</w:t>
      </w:r>
      <w:r w:rsidRPr="00CE6AD8">
        <w:rPr>
          <w:rFonts w:ascii="Arial" w:hAnsi="Arial" w:cs="Arial"/>
          <w:color w:val="000000"/>
          <w:sz w:val="21"/>
          <w:szCs w:val="21"/>
          <w:lang w:val="es-ES_tradnl" w:eastAsia="en-US"/>
        </w:rPr>
        <w:t>, deberán garantizar que, en la contabilidad, se registre de manera individualizada por contrato, la ejecución de tales recursos</w:t>
      </w:r>
      <w:r w:rsidR="009F4122">
        <w:rPr>
          <w:rFonts w:ascii="Arial" w:hAnsi="Arial" w:cs="Arial"/>
          <w:color w:val="000000"/>
          <w:sz w:val="21"/>
          <w:szCs w:val="21"/>
          <w:lang w:val="es-ES_tradnl" w:eastAsia="en-US"/>
        </w:rPr>
        <w:t>.</w:t>
      </w:r>
    </w:p>
    <w:p w14:paraId="5AF12C50" w14:textId="77777777" w:rsidR="00814116" w:rsidRPr="0010477B" w:rsidRDefault="00814116" w:rsidP="00814116">
      <w:pPr>
        <w:spacing w:after="0"/>
        <w:rPr>
          <w:rFonts w:ascii="Arial" w:hAnsi="Arial" w:cs="Arial"/>
          <w:bCs/>
          <w:color w:val="000000"/>
          <w:sz w:val="22"/>
          <w:szCs w:val="22"/>
          <w:lang w:val="es-ES_tradnl" w:eastAsia="en-US"/>
        </w:rPr>
      </w:pPr>
    </w:p>
    <w:p w14:paraId="713DE33C" w14:textId="73FC850A" w:rsidR="00814116" w:rsidRPr="0010477B" w:rsidRDefault="00CE6AD8" w:rsidP="0030205B">
      <w:pPr>
        <w:spacing w:after="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t>La finalidad de esta disposición fue descrita en los siguientes términos en la exposición de motivos de la Ley 2195 del 2022:</w:t>
      </w:r>
    </w:p>
    <w:p w14:paraId="6E435D65" w14:textId="77777777" w:rsidR="00814116" w:rsidRPr="0030205B" w:rsidRDefault="00814116" w:rsidP="0030205B">
      <w:pPr>
        <w:spacing w:after="0"/>
        <w:ind w:firstLine="720"/>
        <w:rPr>
          <w:rFonts w:ascii="Arial" w:hAnsi="Arial" w:cs="Arial"/>
          <w:bCs/>
          <w:color w:val="000000"/>
          <w:sz w:val="22"/>
          <w:szCs w:val="22"/>
          <w:lang w:val="es-ES_tradnl" w:eastAsia="en-US"/>
        </w:rPr>
      </w:pPr>
    </w:p>
    <w:p w14:paraId="1102B49A" w14:textId="1D361FC2" w:rsidR="00814116" w:rsidRDefault="00F473C3" w:rsidP="00EE4827">
      <w:pPr>
        <w:spacing w:after="0" w:line="240" w:lineRule="auto"/>
        <w:ind w:left="709" w:right="474"/>
        <w:rPr>
          <w:rFonts w:ascii="Arial" w:hAnsi="Arial" w:cs="Arial"/>
          <w:color w:val="000000"/>
          <w:sz w:val="21"/>
          <w:szCs w:val="21"/>
          <w:lang w:val="es-ES_tradnl" w:eastAsia="en-US"/>
        </w:rPr>
      </w:pPr>
      <w:r w:rsidRPr="0030205B">
        <w:rPr>
          <w:rFonts w:ascii="Arial" w:hAnsi="Arial" w:cs="Arial"/>
          <w:color w:val="000000"/>
          <w:sz w:val="21"/>
          <w:szCs w:val="21"/>
          <w:lang w:val="es-ES_tradnl" w:eastAsia="en-US"/>
        </w:rPr>
        <w:t>[</w:t>
      </w:r>
      <w:r w:rsidR="00B771E4">
        <w:rPr>
          <w:rFonts w:ascii="Arial" w:hAnsi="Arial" w:cs="Arial"/>
          <w:color w:val="000000"/>
          <w:sz w:val="21"/>
          <w:szCs w:val="21"/>
          <w:lang w:val="es-ES_tradnl" w:eastAsia="en-US"/>
        </w:rPr>
        <w:t>…]</w:t>
      </w:r>
      <w:r w:rsidR="00814116" w:rsidRPr="0030205B">
        <w:rPr>
          <w:rFonts w:ascii="Arial" w:hAnsi="Arial" w:cs="Arial"/>
          <w:color w:val="000000"/>
          <w:sz w:val="21"/>
          <w:szCs w:val="21"/>
          <w:lang w:val="es-ES_tradnl" w:eastAsia="en-US"/>
        </w:rPr>
        <w:t xml:space="preserve"> En materia contractual se consagra la obligación de llevar centros de costo o contabilidades individualizadas cuando se ejecutan contratos estatales, esto con el fin de dar mayor claridad y transparencia a la ejecución de </w:t>
      </w:r>
      <w:r w:rsidRPr="0030205B">
        <w:rPr>
          <w:rFonts w:ascii="Arial" w:hAnsi="Arial" w:cs="Arial"/>
          <w:color w:val="000000"/>
          <w:sz w:val="21"/>
          <w:szCs w:val="21"/>
          <w:lang w:val="es-ES_tradnl" w:eastAsia="en-US"/>
        </w:rPr>
        <w:t>dichos recursos</w:t>
      </w:r>
      <w:r w:rsidR="00814116" w:rsidRPr="0030205B">
        <w:rPr>
          <w:rFonts w:ascii="Arial" w:hAnsi="Arial" w:cs="Arial"/>
          <w:color w:val="000000"/>
          <w:sz w:val="21"/>
          <w:szCs w:val="21"/>
          <w:lang w:val="es-ES_tradnl" w:eastAsia="en-US"/>
        </w:rPr>
        <w:t>.</w:t>
      </w:r>
    </w:p>
    <w:p w14:paraId="4191EC82" w14:textId="77777777" w:rsidR="00D83DA4" w:rsidRPr="0030205B" w:rsidRDefault="00D83DA4" w:rsidP="00EE4827">
      <w:pPr>
        <w:spacing w:after="0" w:line="240" w:lineRule="auto"/>
        <w:ind w:left="709" w:right="474"/>
        <w:rPr>
          <w:rFonts w:ascii="Arial" w:hAnsi="Arial" w:cs="Arial"/>
          <w:color w:val="000000"/>
          <w:sz w:val="21"/>
          <w:szCs w:val="21"/>
          <w:lang w:val="es-ES_tradnl" w:eastAsia="en-US"/>
        </w:rPr>
      </w:pPr>
    </w:p>
    <w:p w14:paraId="7367F2BC" w14:textId="77777777" w:rsidR="00814116" w:rsidRPr="0030205B" w:rsidRDefault="00814116" w:rsidP="00EE4827">
      <w:pPr>
        <w:spacing w:after="0" w:line="240" w:lineRule="auto"/>
        <w:ind w:left="709" w:right="474"/>
        <w:rPr>
          <w:rFonts w:ascii="Arial" w:hAnsi="Arial" w:cs="Arial"/>
          <w:color w:val="000000"/>
          <w:sz w:val="21"/>
          <w:szCs w:val="21"/>
          <w:lang w:val="es-ES_tradnl" w:eastAsia="en-US"/>
        </w:rPr>
      </w:pPr>
      <w:r w:rsidRPr="0030205B">
        <w:rPr>
          <w:rFonts w:ascii="Arial" w:hAnsi="Arial" w:cs="Arial"/>
          <w:color w:val="000000"/>
          <w:sz w:val="21"/>
          <w:szCs w:val="21"/>
          <w:lang w:val="es-ES_tradnl" w:eastAsia="en-US"/>
        </w:rPr>
        <w:t>j) Disposiciones en materia contractual para la moralización y la transparencia.</w:t>
      </w:r>
    </w:p>
    <w:p w14:paraId="75D7F8E6" w14:textId="77777777" w:rsidR="00814116" w:rsidRPr="0030205B" w:rsidRDefault="00814116" w:rsidP="00EE4827">
      <w:pPr>
        <w:spacing w:after="0" w:line="240" w:lineRule="auto"/>
        <w:ind w:left="709" w:right="474"/>
        <w:rPr>
          <w:rFonts w:ascii="Arial" w:hAnsi="Arial" w:cs="Arial"/>
          <w:color w:val="000000"/>
          <w:sz w:val="21"/>
          <w:szCs w:val="21"/>
          <w:lang w:val="es-ES_tradnl" w:eastAsia="en-US"/>
        </w:rPr>
      </w:pPr>
    </w:p>
    <w:p w14:paraId="00731A38" w14:textId="2068E0DA" w:rsidR="00814116" w:rsidRDefault="00814116" w:rsidP="00EE4827">
      <w:pPr>
        <w:spacing w:after="0" w:line="240" w:lineRule="auto"/>
        <w:ind w:left="709" w:right="474"/>
        <w:rPr>
          <w:rFonts w:ascii="Arial" w:hAnsi="Arial" w:cs="Arial"/>
          <w:color w:val="000000"/>
          <w:sz w:val="21"/>
          <w:szCs w:val="21"/>
          <w:lang w:val="es-ES_tradnl" w:eastAsia="en-US"/>
        </w:rPr>
      </w:pPr>
      <w:r w:rsidRPr="0030205B">
        <w:rPr>
          <w:rFonts w:ascii="Arial" w:hAnsi="Arial" w:cs="Arial"/>
          <w:color w:val="000000"/>
          <w:sz w:val="21"/>
          <w:szCs w:val="21"/>
          <w:lang w:val="es-ES_tradnl" w:eastAsia="en-US"/>
        </w:rPr>
        <w:t xml:space="preserve">La experiencia demuestra que no bastan sanciones económicas, disciplinarias, fiscales o penales, sino que es necesario exaltar una verdadera política pública de prevención en el ejercicio de la actividad contractual y de la gestión colectiva. Por eso, este proyecto propone el fortalecimiento de algunas disposiciones jurídicas que promuevan la gestión contractual del Estado y faciliten los mecanismos de prevención de la corrupción en esa materia. Es importante traer a colación que la Transparencia Gubernamental es el deber de todo Gobierno de informar, dar cuentas y poner a disposición de sus ciudadanos la información pública, bajo la premisa de un gobierno democrático que debe fungir como guardián de la información que tiene de los ciudadanos y para los ciudadanos, y documentar cada una de sus actuaciones, con el propósito y fin de permitir el ejercicio del derecho de todas las personas a acceder a los documentos públicos, salvo los casos que establezca expresamente la ley. De igual manera, cuando hablamos de Transparencia estamos haciendo referencia a la honestidad, ética y responsabilidad que deben tener los gobiernos y los entes públicos a fin de dar a conocer a los ciudadanos cuáles son las gestiones y actividades en las que se realizan y de las inversiones económicas de importancia social. Por lo tanto, es necesario generar una relación de confianza y seguridad con los ciudadanos con el fin de dar a conocer todas aquellas actividades, negociaciones, presupuestos y acceso a la información que es de carácter e interés público, porque para el estado y sus entidades en todos sus ámbitos tanto del nivel nacional como territorial debe ser una impronta en todo su quehacer hacer público lo público. Es cierto, que los sistemas de gobierno y las instituciones cuentan con métodos de control, sin embargo, la vida en sociedad hace que surjan acciones ilegales, corruptas, oscuras que implican falta de transparencia y claridad. </w:t>
      </w:r>
      <w:r w:rsidRPr="00EE4827">
        <w:rPr>
          <w:rFonts w:ascii="Arial" w:hAnsi="Arial" w:cs="Arial"/>
          <w:i/>
          <w:iCs/>
          <w:color w:val="000000"/>
          <w:sz w:val="21"/>
          <w:szCs w:val="21"/>
          <w:lang w:val="es-ES_tradnl" w:eastAsia="en-US"/>
        </w:rPr>
        <w:t>Por esta razón, y teniendo en cuenta que la contabilidad en el sector privado es el “lenguaje de los negocios” y en el sector público es el “lenguaje de los gobiernos”, es necesario fortalecer la transparencia en este aspecto, pues su estrecha relación en el mundo de los negocios para los diferentes actores de los niveles privados y públicos, requiere de una buena práctica en el marco de la contabilidad en el desarrollo de los procesos contractuales que adelanta el Estado y a los cuales concurren los particulares como agentes coadyuvantes de la gestión estatal. Así las cosas, se busca establecer imperativos para poder transparentar el uso de los recursos públicos, aprovechando la tecnología de la información y las comunicaciones</w:t>
      </w:r>
      <w:r w:rsidRPr="0030205B">
        <w:rPr>
          <w:rFonts w:ascii="Arial" w:hAnsi="Arial" w:cs="Arial"/>
          <w:color w:val="000000"/>
          <w:sz w:val="21"/>
          <w:szCs w:val="21"/>
          <w:lang w:val="es-ES_tradnl" w:eastAsia="en-US"/>
        </w:rPr>
        <w:t>.</w:t>
      </w:r>
      <w:r w:rsidR="009B2A39">
        <w:rPr>
          <w:rFonts w:ascii="Arial" w:hAnsi="Arial" w:cs="Arial"/>
          <w:color w:val="000000"/>
          <w:sz w:val="21"/>
          <w:szCs w:val="21"/>
          <w:lang w:val="es-ES_tradnl" w:eastAsia="en-US"/>
        </w:rPr>
        <w:t xml:space="preserve"> (Cursiva fuera del original).</w:t>
      </w:r>
    </w:p>
    <w:p w14:paraId="0122BF4B" w14:textId="76403E6E" w:rsidR="0030205B" w:rsidRDefault="0030205B" w:rsidP="0030205B">
      <w:pPr>
        <w:spacing w:after="0"/>
        <w:ind w:left="709"/>
        <w:rPr>
          <w:rFonts w:ascii="Arial" w:hAnsi="Arial" w:cs="Arial"/>
          <w:color w:val="000000"/>
          <w:sz w:val="21"/>
          <w:szCs w:val="21"/>
          <w:lang w:val="es-ES_tradnl" w:eastAsia="en-US"/>
        </w:rPr>
      </w:pPr>
    </w:p>
    <w:p w14:paraId="19A7F7AD" w14:textId="7286C244" w:rsidR="0030205B" w:rsidRDefault="0030205B" w:rsidP="0030205B">
      <w:pPr>
        <w:spacing w:after="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lastRenderedPageBreak/>
        <w:t xml:space="preserve">La exposición de motivos pone en evidencia la importancia de contar con información clara y transparente en relación con la inversión y ejecución de los recursos del Estado colombiano que se comprometen </w:t>
      </w:r>
      <w:r w:rsidR="009B2A39">
        <w:rPr>
          <w:rFonts w:ascii="Arial" w:hAnsi="Arial" w:cs="Arial"/>
          <w:bCs/>
          <w:color w:val="000000"/>
          <w:sz w:val="22"/>
          <w:szCs w:val="22"/>
          <w:lang w:val="es-ES_tradnl" w:eastAsia="en-US"/>
        </w:rPr>
        <w:t>mediante</w:t>
      </w:r>
      <w:r>
        <w:rPr>
          <w:rFonts w:ascii="Arial" w:hAnsi="Arial" w:cs="Arial"/>
          <w:bCs/>
          <w:color w:val="000000"/>
          <w:sz w:val="22"/>
          <w:szCs w:val="22"/>
          <w:lang w:val="es-ES_tradnl" w:eastAsia="en-US"/>
        </w:rPr>
        <w:t xml:space="preserve"> la celebraci</w:t>
      </w:r>
      <w:r w:rsidR="00FD4934">
        <w:rPr>
          <w:rFonts w:ascii="Arial" w:hAnsi="Arial" w:cs="Arial"/>
          <w:bCs/>
          <w:color w:val="000000"/>
          <w:sz w:val="22"/>
          <w:szCs w:val="22"/>
          <w:lang w:val="es-ES_tradnl" w:eastAsia="en-US"/>
        </w:rPr>
        <w:t>ón de contratos con particulares</w:t>
      </w:r>
      <w:r>
        <w:rPr>
          <w:rFonts w:ascii="Arial" w:hAnsi="Arial" w:cs="Arial"/>
          <w:bCs/>
          <w:color w:val="000000"/>
          <w:sz w:val="22"/>
          <w:szCs w:val="22"/>
          <w:lang w:val="es-ES_tradnl" w:eastAsia="en-US"/>
        </w:rPr>
        <w:t>. Es claro que, para el legislador</w:t>
      </w:r>
      <w:r w:rsidR="002F5BFC">
        <w:rPr>
          <w:rFonts w:ascii="Arial" w:hAnsi="Arial" w:cs="Arial"/>
          <w:bCs/>
          <w:color w:val="000000"/>
          <w:sz w:val="22"/>
          <w:szCs w:val="22"/>
          <w:lang w:val="es-ES_tradnl" w:eastAsia="en-US"/>
        </w:rPr>
        <w:t>,</w:t>
      </w:r>
      <w:r>
        <w:rPr>
          <w:rFonts w:ascii="Arial" w:hAnsi="Arial" w:cs="Arial"/>
          <w:bCs/>
          <w:color w:val="000000"/>
          <w:sz w:val="22"/>
          <w:szCs w:val="22"/>
          <w:lang w:val="es-ES_tradnl" w:eastAsia="en-US"/>
        </w:rPr>
        <w:t xml:space="preserve"> la consagración de medidas en las que se regule la manera en que debe llevarse a cabo la contabilidad de </w:t>
      </w:r>
      <w:r w:rsidR="008A58C3">
        <w:rPr>
          <w:rFonts w:ascii="Arial" w:hAnsi="Arial" w:cs="Arial"/>
          <w:bCs/>
          <w:color w:val="000000"/>
          <w:sz w:val="22"/>
          <w:szCs w:val="22"/>
          <w:lang w:val="es-ES_tradnl" w:eastAsia="en-US"/>
        </w:rPr>
        <w:t>personas naturales o  jurídicas</w:t>
      </w:r>
      <w:r>
        <w:rPr>
          <w:rFonts w:ascii="Arial" w:hAnsi="Arial" w:cs="Arial"/>
          <w:bCs/>
          <w:color w:val="000000"/>
          <w:sz w:val="22"/>
          <w:szCs w:val="22"/>
          <w:lang w:val="es-ES_tradnl" w:eastAsia="en-US"/>
        </w:rPr>
        <w:t xml:space="preserve"> que tenga</w:t>
      </w:r>
      <w:r w:rsidR="002F5BFC">
        <w:rPr>
          <w:rFonts w:ascii="Arial" w:hAnsi="Arial" w:cs="Arial"/>
          <w:bCs/>
          <w:color w:val="000000"/>
          <w:sz w:val="22"/>
          <w:szCs w:val="22"/>
          <w:lang w:val="es-ES_tradnl" w:eastAsia="en-US"/>
        </w:rPr>
        <w:t>n</w:t>
      </w:r>
      <w:r>
        <w:rPr>
          <w:rFonts w:ascii="Arial" w:hAnsi="Arial" w:cs="Arial"/>
          <w:bCs/>
          <w:color w:val="000000"/>
          <w:sz w:val="22"/>
          <w:szCs w:val="22"/>
          <w:lang w:val="es-ES_tradnl" w:eastAsia="en-US"/>
        </w:rPr>
        <w:t xml:space="preserve"> a su cargo la ejecución de recursos</w:t>
      </w:r>
      <w:r w:rsidR="009B2A39">
        <w:rPr>
          <w:rFonts w:ascii="Arial" w:hAnsi="Arial" w:cs="Arial"/>
          <w:bCs/>
          <w:color w:val="000000"/>
          <w:sz w:val="22"/>
          <w:szCs w:val="22"/>
          <w:lang w:val="es-ES_tradnl" w:eastAsia="en-US"/>
        </w:rPr>
        <w:t xml:space="preserve"> públicos</w:t>
      </w:r>
      <w:r w:rsidR="002F5BFC">
        <w:rPr>
          <w:rFonts w:ascii="Arial" w:hAnsi="Arial" w:cs="Arial"/>
          <w:bCs/>
          <w:color w:val="000000"/>
          <w:sz w:val="22"/>
          <w:szCs w:val="22"/>
          <w:lang w:val="es-ES_tradnl" w:eastAsia="en-US"/>
        </w:rPr>
        <w:t>, constituye un mecanismo</w:t>
      </w:r>
      <w:r w:rsidR="00D83DA4">
        <w:rPr>
          <w:rFonts w:ascii="Arial" w:hAnsi="Arial" w:cs="Arial"/>
          <w:bCs/>
          <w:color w:val="000000"/>
          <w:sz w:val="22"/>
          <w:szCs w:val="22"/>
          <w:lang w:val="es-ES_tradnl" w:eastAsia="en-US"/>
        </w:rPr>
        <w:t xml:space="preserve"> que permite mejorar la transparencia y la publicidad y que contribuye al cumplimiento del deber de </w:t>
      </w:r>
      <w:r w:rsidR="00D83DA4" w:rsidRPr="00D83DA4">
        <w:rPr>
          <w:rFonts w:ascii="Arial" w:hAnsi="Arial" w:cs="Arial"/>
          <w:bCs/>
          <w:color w:val="000000"/>
          <w:sz w:val="22"/>
          <w:szCs w:val="22"/>
          <w:lang w:val="es-ES_tradnl" w:eastAsia="en-US"/>
        </w:rPr>
        <w:t xml:space="preserve">los gobiernos y los entes públicos </w:t>
      </w:r>
      <w:r w:rsidR="00D83DA4">
        <w:rPr>
          <w:rFonts w:ascii="Arial" w:hAnsi="Arial" w:cs="Arial"/>
          <w:bCs/>
          <w:color w:val="000000"/>
          <w:sz w:val="22"/>
          <w:szCs w:val="22"/>
          <w:lang w:val="es-ES_tradnl" w:eastAsia="en-US"/>
        </w:rPr>
        <w:t>de dar a conocer a los ciudadanos la información sobre sus</w:t>
      </w:r>
      <w:r w:rsidR="00D83DA4" w:rsidRPr="00D83DA4">
        <w:rPr>
          <w:rFonts w:ascii="Arial" w:hAnsi="Arial" w:cs="Arial"/>
          <w:bCs/>
          <w:color w:val="000000"/>
          <w:sz w:val="22"/>
          <w:szCs w:val="22"/>
          <w:lang w:val="es-ES_tradnl" w:eastAsia="en-US"/>
        </w:rPr>
        <w:t xml:space="preserve"> </w:t>
      </w:r>
      <w:r w:rsidR="00D83DA4">
        <w:rPr>
          <w:rFonts w:ascii="Arial" w:hAnsi="Arial" w:cs="Arial"/>
          <w:bCs/>
          <w:color w:val="000000"/>
          <w:sz w:val="22"/>
          <w:szCs w:val="22"/>
          <w:lang w:val="es-ES_tradnl" w:eastAsia="en-US"/>
        </w:rPr>
        <w:t xml:space="preserve">actividades y sobre </w:t>
      </w:r>
      <w:r w:rsidR="00D83DA4" w:rsidRPr="00D83DA4">
        <w:rPr>
          <w:rFonts w:ascii="Arial" w:hAnsi="Arial" w:cs="Arial"/>
          <w:bCs/>
          <w:color w:val="000000"/>
          <w:sz w:val="22"/>
          <w:szCs w:val="22"/>
          <w:lang w:val="es-ES_tradnl" w:eastAsia="en-US"/>
        </w:rPr>
        <w:t>las inversiones económicas de importancia social.</w:t>
      </w:r>
    </w:p>
    <w:p w14:paraId="63F6AD4E" w14:textId="77777777" w:rsidR="002F5BFC" w:rsidRDefault="002F5BFC" w:rsidP="0030205B">
      <w:pPr>
        <w:spacing w:after="0"/>
        <w:ind w:firstLine="720"/>
        <w:rPr>
          <w:rFonts w:ascii="Arial" w:hAnsi="Arial" w:cs="Arial"/>
          <w:bCs/>
          <w:color w:val="000000"/>
          <w:sz w:val="22"/>
          <w:szCs w:val="22"/>
          <w:lang w:val="es-ES_tradnl" w:eastAsia="en-US"/>
        </w:rPr>
      </w:pPr>
    </w:p>
    <w:p w14:paraId="70910F14" w14:textId="65F5A832" w:rsidR="0004105F" w:rsidRPr="0004105F" w:rsidRDefault="0004105F" w:rsidP="0004105F">
      <w:pPr>
        <w:spacing w:after="0"/>
        <w:ind w:firstLine="720"/>
        <w:rPr>
          <w:rFonts w:ascii="Arial" w:hAnsi="Arial" w:cs="Arial"/>
          <w:bCs/>
          <w:color w:val="000000"/>
          <w:sz w:val="22"/>
          <w:szCs w:val="22"/>
          <w:lang w:val="es-ES_tradnl" w:eastAsia="en-US"/>
        </w:rPr>
      </w:pPr>
      <w:r w:rsidRPr="0004105F">
        <w:rPr>
          <w:rFonts w:ascii="Arial" w:hAnsi="Arial" w:cs="Arial"/>
          <w:bCs/>
          <w:color w:val="000000"/>
          <w:sz w:val="22"/>
          <w:szCs w:val="22"/>
          <w:lang w:val="es-ES_tradnl" w:eastAsia="en-US"/>
        </w:rPr>
        <w:t xml:space="preserve">Sobre lo anterior, </w:t>
      </w:r>
      <w:r w:rsidR="00B771E4">
        <w:rPr>
          <w:rFonts w:ascii="Arial" w:hAnsi="Arial" w:cs="Arial"/>
          <w:bCs/>
          <w:color w:val="000000"/>
          <w:sz w:val="22"/>
          <w:szCs w:val="22"/>
          <w:lang w:val="es-ES_tradnl" w:eastAsia="en-US"/>
        </w:rPr>
        <w:t>resulta pertinente</w:t>
      </w:r>
      <w:r w:rsidRPr="0004105F">
        <w:rPr>
          <w:rFonts w:ascii="Arial" w:hAnsi="Arial" w:cs="Arial"/>
          <w:bCs/>
          <w:color w:val="000000"/>
          <w:sz w:val="22"/>
          <w:szCs w:val="22"/>
          <w:lang w:val="es-ES_tradnl" w:eastAsia="en-US"/>
        </w:rPr>
        <w:t xml:space="preserve"> traer a colación el análisis realizado por la Sala de Consulta y Servicio Civil del Consejo de Estado, en el concepto 2</w:t>
      </w:r>
      <w:r w:rsidR="009B2A39">
        <w:rPr>
          <w:rFonts w:ascii="Arial" w:hAnsi="Arial" w:cs="Arial"/>
          <w:bCs/>
          <w:color w:val="000000"/>
          <w:sz w:val="22"/>
          <w:szCs w:val="22"/>
          <w:lang w:val="es-ES_tradnl" w:eastAsia="en-US"/>
        </w:rPr>
        <w:t>.</w:t>
      </w:r>
      <w:r w:rsidRPr="0004105F">
        <w:rPr>
          <w:rFonts w:ascii="Arial" w:hAnsi="Arial" w:cs="Arial"/>
          <w:bCs/>
          <w:color w:val="000000"/>
          <w:sz w:val="22"/>
          <w:szCs w:val="22"/>
          <w:lang w:val="es-ES_tradnl" w:eastAsia="en-US"/>
        </w:rPr>
        <w:t xml:space="preserve">264 del 7 de agosto de 2015, en el cual se </w:t>
      </w:r>
      <w:r w:rsidR="00B771E4">
        <w:rPr>
          <w:rFonts w:ascii="Arial" w:hAnsi="Arial" w:cs="Arial"/>
          <w:bCs/>
          <w:color w:val="000000"/>
          <w:sz w:val="22"/>
          <w:szCs w:val="22"/>
          <w:lang w:val="es-ES_tradnl" w:eastAsia="en-US"/>
        </w:rPr>
        <w:t>estudi</w:t>
      </w:r>
      <w:r w:rsidRPr="0004105F">
        <w:rPr>
          <w:rFonts w:ascii="Arial" w:hAnsi="Arial" w:cs="Arial"/>
          <w:bCs/>
          <w:color w:val="000000"/>
          <w:sz w:val="22"/>
          <w:szCs w:val="22"/>
          <w:lang w:val="es-ES_tradnl" w:eastAsia="en-US"/>
        </w:rPr>
        <w:t>ó la relación</w:t>
      </w:r>
      <w:r w:rsidR="00C342FE">
        <w:rPr>
          <w:rFonts w:ascii="Arial" w:hAnsi="Arial" w:cs="Arial"/>
          <w:bCs/>
          <w:color w:val="000000"/>
          <w:sz w:val="22"/>
          <w:szCs w:val="22"/>
          <w:lang w:val="es-ES_tradnl" w:eastAsia="en-US"/>
        </w:rPr>
        <w:t xml:space="preserve"> que tiene</w:t>
      </w:r>
      <w:r w:rsidRPr="0004105F">
        <w:rPr>
          <w:rFonts w:ascii="Arial" w:hAnsi="Arial" w:cs="Arial"/>
          <w:bCs/>
          <w:color w:val="000000"/>
          <w:sz w:val="22"/>
          <w:szCs w:val="22"/>
          <w:lang w:val="es-ES_tradnl" w:eastAsia="en-US"/>
        </w:rPr>
        <w:t xml:space="preserve"> la gestión contractual del Estado Colombiano y la lucha contra la corrupción. En esa oportunidad, esa Alta Corporación manifestó que:</w:t>
      </w:r>
    </w:p>
    <w:p w14:paraId="2193D882" w14:textId="77777777" w:rsidR="0004105F" w:rsidRDefault="0004105F" w:rsidP="00683517">
      <w:pPr>
        <w:spacing w:after="0"/>
        <w:ind w:firstLine="720"/>
        <w:rPr>
          <w:rFonts w:ascii="Arial" w:hAnsi="Arial" w:cs="Arial"/>
          <w:bCs/>
          <w:color w:val="000000"/>
          <w:sz w:val="22"/>
          <w:szCs w:val="22"/>
          <w:lang w:eastAsia="en-US"/>
        </w:rPr>
      </w:pPr>
    </w:p>
    <w:p w14:paraId="3CFAD9B7" w14:textId="3C5F6C0A" w:rsidR="0004105F" w:rsidRPr="0004105F" w:rsidRDefault="0004105F" w:rsidP="00EE4827">
      <w:pPr>
        <w:spacing w:after="0" w:line="240" w:lineRule="auto"/>
        <w:ind w:left="709" w:right="474"/>
        <w:rPr>
          <w:rFonts w:ascii="Arial" w:hAnsi="Arial" w:cs="Arial"/>
          <w:color w:val="000000"/>
          <w:sz w:val="21"/>
          <w:szCs w:val="21"/>
          <w:lang w:val="es-ES_tradnl" w:eastAsia="en-US"/>
        </w:rPr>
      </w:pPr>
      <w:r w:rsidRPr="0004105F">
        <w:rPr>
          <w:rFonts w:ascii="Arial" w:hAnsi="Arial" w:cs="Arial"/>
          <w:color w:val="000000"/>
          <w:sz w:val="21"/>
          <w:szCs w:val="21"/>
          <w:lang w:val="es-ES_tradnl" w:eastAsia="en-US"/>
        </w:rPr>
        <w:t xml:space="preserve">En efecto, la corrupción no es un problema </w:t>
      </w:r>
      <w:r w:rsidR="00F473C3" w:rsidRPr="0004105F">
        <w:rPr>
          <w:rFonts w:ascii="Arial" w:hAnsi="Arial" w:cs="Arial"/>
          <w:color w:val="000000"/>
          <w:sz w:val="21"/>
          <w:szCs w:val="21"/>
          <w:lang w:val="es-ES_tradnl" w:eastAsia="en-US"/>
        </w:rPr>
        <w:t>local,</w:t>
      </w:r>
      <w:r w:rsidR="007E1CDB">
        <w:rPr>
          <w:rFonts w:ascii="Arial" w:hAnsi="Arial" w:cs="Arial"/>
          <w:color w:val="000000"/>
          <w:sz w:val="21"/>
          <w:szCs w:val="21"/>
          <w:lang w:val="es-ES_tradnl" w:eastAsia="en-US"/>
        </w:rPr>
        <w:t xml:space="preserve"> </w:t>
      </w:r>
      <w:r w:rsidRPr="0004105F">
        <w:rPr>
          <w:rFonts w:ascii="Arial" w:hAnsi="Arial" w:cs="Arial"/>
          <w:color w:val="000000"/>
          <w:sz w:val="21"/>
          <w:szCs w:val="21"/>
          <w:lang w:val="es-ES_tradnl" w:eastAsia="en-US"/>
        </w:rPr>
        <w:t>sino que ha asumido la forma de un fenómeno transnacional que produce consecuencias en todas las economías, de donde emerge la cooperación internacional como herramienta indispensable para prevenirla, combatirla y corregir sus efectos de manera eficaz. En este sentido la corrupción es una de las principales amenazas contra los Estados, toda vez que vulnera los cimientos sobre los cuales se estructura la democracia, generando graves alteraciones del sistema político democrático, de la economía y de los principios constitucionales de la función pública; también la corrupción reduce la confianza de los ciudadanos en el Estado, afecta la legitimidad de las decisiones del gobierno y su funcionamiento, generándose la apatía y el desconcierto de la comunidad. Desde el punto de vista económico, la corrupción reduce la inversión, aumenta los costos, disminuye las tasas de retorno, obstaculiza el comercio internacional, aumenta los precios de los bienes y servicios y reduce su volumen y calida</w:t>
      </w:r>
      <w:r w:rsidR="00241167">
        <w:rPr>
          <w:rFonts w:ascii="Arial" w:hAnsi="Arial" w:cs="Arial"/>
          <w:color w:val="000000"/>
          <w:sz w:val="21"/>
          <w:szCs w:val="21"/>
          <w:lang w:val="es-ES_tradnl" w:eastAsia="en-US"/>
        </w:rPr>
        <w:t>d.</w:t>
      </w:r>
    </w:p>
    <w:p w14:paraId="6660D6D7" w14:textId="77777777" w:rsidR="0004105F" w:rsidRDefault="0004105F" w:rsidP="00EE4827">
      <w:pPr>
        <w:spacing w:after="0" w:line="240" w:lineRule="auto"/>
        <w:ind w:right="474" w:firstLine="720"/>
        <w:rPr>
          <w:rFonts w:ascii="Arial" w:hAnsi="Arial" w:cs="Arial"/>
          <w:color w:val="000000"/>
          <w:sz w:val="21"/>
          <w:szCs w:val="21"/>
          <w:lang w:val="es-ES_tradnl" w:eastAsia="en-US"/>
        </w:rPr>
      </w:pPr>
    </w:p>
    <w:p w14:paraId="5ED8D58C" w14:textId="77777777" w:rsidR="0004105F" w:rsidRDefault="0004105F" w:rsidP="00EE4827">
      <w:pPr>
        <w:spacing w:after="0" w:line="240" w:lineRule="auto"/>
        <w:ind w:left="709" w:right="474"/>
        <w:rPr>
          <w:rFonts w:ascii="Arial" w:hAnsi="Arial" w:cs="Arial"/>
          <w:color w:val="000000"/>
          <w:sz w:val="21"/>
          <w:szCs w:val="21"/>
          <w:lang w:eastAsia="en-US"/>
        </w:rPr>
      </w:pPr>
      <w:r w:rsidRPr="0004105F">
        <w:rPr>
          <w:rFonts w:ascii="Arial" w:hAnsi="Arial" w:cs="Arial"/>
          <w:color w:val="000000"/>
          <w:sz w:val="21"/>
          <w:szCs w:val="21"/>
          <w:lang w:val="es-ES_tradnl" w:eastAsia="en-US"/>
        </w:rPr>
        <w:t>El Documento CONPES 167 de 2013 “Estrategia nacional de la política pública integral anticorrupción” entiende la corrupción en el contexto de las instituciones públicas como “el uso del poder para desviar la gestión de lo público hacia el beneficio privado. Esto implica que las prácticas corruptas son realizadas por</w:t>
      </w:r>
      <w:r>
        <w:rPr>
          <w:rFonts w:ascii="Arial" w:hAnsi="Arial" w:cs="Arial"/>
          <w:color w:val="000000"/>
          <w:sz w:val="21"/>
          <w:szCs w:val="21"/>
          <w:lang w:val="es-ES_tradnl" w:eastAsia="en-US"/>
        </w:rPr>
        <w:t xml:space="preserve"> </w:t>
      </w:r>
      <w:r w:rsidRPr="0004105F">
        <w:rPr>
          <w:rFonts w:ascii="Arial" w:hAnsi="Arial" w:cs="Arial"/>
          <w:color w:val="000000"/>
          <w:sz w:val="21"/>
          <w:szCs w:val="21"/>
          <w:lang w:eastAsia="en-US"/>
        </w:rPr>
        <w:t xml:space="preserve">actores públicos o privados con poder e incidencia en la toma de decisiones y la administración de los bienes públicos”. </w:t>
      </w:r>
    </w:p>
    <w:p w14:paraId="15F25E60" w14:textId="77777777" w:rsidR="0004105F" w:rsidRDefault="0004105F" w:rsidP="00EE4827">
      <w:pPr>
        <w:spacing w:after="0" w:line="240" w:lineRule="auto"/>
        <w:ind w:left="709" w:right="474"/>
        <w:rPr>
          <w:rFonts w:ascii="Arial" w:hAnsi="Arial" w:cs="Arial"/>
          <w:color w:val="000000"/>
          <w:sz w:val="21"/>
          <w:szCs w:val="21"/>
          <w:lang w:eastAsia="en-US"/>
        </w:rPr>
      </w:pPr>
    </w:p>
    <w:p w14:paraId="18DAE1BA" w14:textId="2CBAD10B" w:rsidR="002F610B" w:rsidRPr="0004105F" w:rsidRDefault="0004105F" w:rsidP="00EE4827">
      <w:pPr>
        <w:spacing w:after="0" w:line="240" w:lineRule="auto"/>
        <w:ind w:left="709" w:right="474"/>
        <w:rPr>
          <w:rFonts w:ascii="Arial" w:hAnsi="Arial" w:cs="Arial"/>
          <w:color w:val="000000"/>
          <w:sz w:val="21"/>
          <w:szCs w:val="21"/>
          <w:lang w:val="es-ES_tradnl" w:eastAsia="en-US"/>
        </w:rPr>
      </w:pPr>
      <w:r w:rsidRPr="0004105F">
        <w:rPr>
          <w:rFonts w:ascii="Arial" w:hAnsi="Arial" w:cs="Arial"/>
          <w:color w:val="000000"/>
          <w:sz w:val="21"/>
          <w:szCs w:val="21"/>
          <w:lang w:eastAsia="en-US"/>
        </w:rPr>
        <w:t xml:space="preserve">Uno de los campos más vulnerables para la ocurrencia de actos de corrupción es la contratación estatal, como quiera que constituye una de las modalidades más importantes de gestión, que compromete el patrimonio y los recursos públicos. La confianza en los proponentes y los contratistas del Estado, habida consideración de su condición de colaboradores de la Administración, así como la diligencia y prudencia en la construcción del vínculo jurídico para la satisfacción de la </w:t>
      </w:r>
      <w:r w:rsidRPr="0004105F">
        <w:rPr>
          <w:rFonts w:ascii="Arial" w:hAnsi="Arial" w:cs="Arial"/>
          <w:color w:val="000000"/>
          <w:sz w:val="21"/>
          <w:szCs w:val="21"/>
          <w:lang w:eastAsia="en-US"/>
        </w:rPr>
        <w:lastRenderedPageBreak/>
        <w:t>necesidad colectiva y del interés público que se persigue con la contratación estatal, demanda de la Administración la toma de las medidas necesarias para prevenir, sancionar y conjurar actos de corrupción. En tal sentido, la pérdida de la confianza en dichos colaboradores trae aparejada la posibilidad de que se materialicen los riesgos de la actividad contractual estatal, entre otros, el reputacional, el legal y el financiero, que pueden conducir, en últimas, a la afectación negativa de los recursos públicos y de la legitimidad de las instituciones. En ese orden de ideas, al tratarse de un fenómeno trasnacional, existe no solo una conciencia colectiva respecto de los efectos negativos de la corrupción, sino un frente común de los Estados para combatirla, lo que ha dado lugar a un marco internacional de prevención, sanción y colaboración contra los actos de corrupción, que la Sala considera pertinente analizar.</w:t>
      </w:r>
    </w:p>
    <w:p w14:paraId="6A5166BF" w14:textId="77777777" w:rsidR="00B771E4" w:rsidRDefault="00B771E4" w:rsidP="00EE4827">
      <w:pPr>
        <w:spacing w:after="0" w:line="240" w:lineRule="auto"/>
        <w:ind w:right="474" w:firstLine="720"/>
        <w:rPr>
          <w:rFonts w:ascii="Arial" w:hAnsi="Arial" w:cs="Arial"/>
          <w:bCs/>
          <w:color w:val="000000"/>
          <w:sz w:val="22"/>
          <w:szCs w:val="22"/>
          <w:lang w:val="es-ES_tradnl" w:eastAsia="en-US"/>
        </w:rPr>
      </w:pPr>
    </w:p>
    <w:p w14:paraId="56770DE1" w14:textId="33C0873D" w:rsidR="00B771E4" w:rsidRDefault="00B771E4" w:rsidP="00EE4827">
      <w:pPr>
        <w:spacing w:after="0" w:line="240" w:lineRule="auto"/>
        <w:ind w:left="709" w:right="474"/>
        <w:rPr>
          <w:rFonts w:ascii="Arial" w:hAnsi="Arial" w:cs="Arial"/>
          <w:color w:val="000000"/>
          <w:sz w:val="21"/>
          <w:szCs w:val="21"/>
          <w:lang w:eastAsia="en-US"/>
        </w:rPr>
      </w:pPr>
      <w:r>
        <w:rPr>
          <w:rFonts w:ascii="Arial" w:hAnsi="Arial" w:cs="Arial"/>
          <w:color w:val="000000"/>
          <w:sz w:val="21"/>
          <w:szCs w:val="21"/>
          <w:lang w:eastAsia="en-US"/>
        </w:rPr>
        <w:t xml:space="preserve">[…] </w:t>
      </w:r>
      <w:r w:rsidRPr="00B771E4">
        <w:rPr>
          <w:rFonts w:ascii="Arial" w:hAnsi="Arial" w:cs="Arial"/>
          <w:color w:val="000000"/>
          <w:sz w:val="21"/>
          <w:szCs w:val="21"/>
          <w:lang w:eastAsia="en-US"/>
        </w:rPr>
        <w:t>La Ley 970 de 2005 y la Convención de la ONU (en adelante la Convención), fueron declaradas exequibles por la Corte Constitucional mediante sentencia C– 172 de 2006, donde advierte que su contenido es análogo a lo previsto en Convención Interamericana contra la Corrupción.</w:t>
      </w:r>
    </w:p>
    <w:p w14:paraId="0F812895" w14:textId="704484FD" w:rsidR="00B771E4" w:rsidRDefault="00B771E4" w:rsidP="00EE4827">
      <w:pPr>
        <w:spacing w:after="0" w:line="240" w:lineRule="auto"/>
        <w:ind w:left="709" w:right="474"/>
        <w:rPr>
          <w:rFonts w:ascii="Arial" w:hAnsi="Arial" w:cs="Arial"/>
          <w:color w:val="000000"/>
          <w:sz w:val="21"/>
          <w:szCs w:val="21"/>
          <w:lang w:eastAsia="en-US"/>
        </w:rPr>
      </w:pPr>
    </w:p>
    <w:p w14:paraId="0FAEC8B0" w14:textId="360C07E7" w:rsidR="00B771E4" w:rsidRDefault="00B771E4" w:rsidP="00EE4827">
      <w:pPr>
        <w:spacing w:after="0" w:line="240" w:lineRule="auto"/>
        <w:ind w:left="709" w:right="474"/>
        <w:rPr>
          <w:rFonts w:ascii="Arial" w:hAnsi="Arial" w:cs="Arial"/>
          <w:color w:val="000000"/>
          <w:sz w:val="21"/>
          <w:szCs w:val="21"/>
          <w:lang w:eastAsia="en-US"/>
        </w:rPr>
      </w:pPr>
      <w:r w:rsidRPr="00B771E4">
        <w:rPr>
          <w:rFonts w:ascii="Arial" w:hAnsi="Arial" w:cs="Arial"/>
          <w:color w:val="000000"/>
          <w:sz w:val="21"/>
          <w:szCs w:val="21"/>
          <w:lang w:eastAsia="en-US"/>
        </w:rPr>
        <w:t>[…]</w:t>
      </w:r>
      <w:r w:rsidR="007606D1">
        <w:rPr>
          <w:rFonts w:ascii="Arial" w:hAnsi="Arial" w:cs="Arial"/>
          <w:color w:val="000000"/>
          <w:sz w:val="21"/>
          <w:szCs w:val="21"/>
          <w:lang w:eastAsia="en-US"/>
        </w:rPr>
        <w:t xml:space="preserve"> </w:t>
      </w:r>
      <w:r w:rsidRPr="00B771E4">
        <w:rPr>
          <w:rFonts w:ascii="Arial" w:hAnsi="Arial" w:cs="Arial"/>
          <w:color w:val="000000"/>
          <w:sz w:val="21"/>
          <w:szCs w:val="21"/>
          <w:lang w:eastAsia="en-US"/>
        </w:rPr>
        <w:t xml:space="preserve">Como puede advertirse, la Convención de la ONU está en consonancia con los principios de la función administrativa que consagra el artículo 209 de la Constitución Política y, por lo mismo, tales principios sirven de fundamento para la prevención de los actos de corrupción, en los términos en que se desarrollarán en el capítulo siguiente. Esto último resulta aún más contundente si se observa que la Convención establece medidas para prevenir los actos de corrupción en el ámbito de colaboración entre el sector público y privado, como lo es la contratación estatal. En efecto, de acuerdo con el artículo 12, numeral 2, literal b, los Estados deben: “Promover la formulación de normas y procedimientos encaminados a salvaguardar la integridad de las entidades privadas pertinentes, incluidos códigos de conducta para el correcto, honorable y debido ejercicio de las actividades comerciales y de todas las profesiones pertinentes y para la prevención de conflictos de intereses, así como para la promoción del uso de buenas prácticas comerciales </w:t>
      </w:r>
      <w:r w:rsidRPr="00B771E4">
        <w:rPr>
          <w:rFonts w:ascii="Arial" w:hAnsi="Arial" w:cs="Arial"/>
          <w:color w:val="000000"/>
          <w:sz w:val="21"/>
          <w:szCs w:val="21"/>
          <w:u w:val="single"/>
          <w:lang w:eastAsia="en-US"/>
        </w:rPr>
        <w:t>entre las empresas y en las relaciones contractuales de las empresas con el Estado</w:t>
      </w:r>
      <w:r w:rsidRPr="00B771E4">
        <w:rPr>
          <w:rFonts w:ascii="Arial" w:hAnsi="Arial" w:cs="Arial"/>
          <w:color w:val="000000"/>
          <w:sz w:val="21"/>
          <w:szCs w:val="21"/>
          <w:lang w:eastAsia="en-US"/>
        </w:rPr>
        <w:t>.” (Se subraya)</w:t>
      </w:r>
    </w:p>
    <w:p w14:paraId="62ABD7FF" w14:textId="0726FF9A" w:rsidR="00B771E4" w:rsidRDefault="00B771E4" w:rsidP="00EE4827">
      <w:pPr>
        <w:spacing w:after="0" w:line="240" w:lineRule="auto"/>
        <w:ind w:left="709" w:right="474"/>
        <w:rPr>
          <w:rFonts w:ascii="Arial" w:hAnsi="Arial" w:cs="Arial"/>
          <w:color w:val="000000"/>
          <w:sz w:val="21"/>
          <w:szCs w:val="21"/>
          <w:lang w:eastAsia="en-US"/>
        </w:rPr>
      </w:pPr>
    </w:p>
    <w:p w14:paraId="7E287CB3" w14:textId="1F59FC20" w:rsidR="00B771E4" w:rsidRPr="00B771E4" w:rsidRDefault="00B771E4" w:rsidP="00EE4827">
      <w:pPr>
        <w:spacing w:after="0" w:line="240" w:lineRule="auto"/>
        <w:ind w:left="709" w:right="474"/>
        <w:rPr>
          <w:rFonts w:ascii="Arial" w:hAnsi="Arial" w:cs="Arial"/>
          <w:color w:val="000000"/>
          <w:sz w:val="21"/>
          <w:szCs w:val="21"/>
          <w:lang w:eastAsia="en-US"/>
        </w:rPr>
      </w:pPr>
      <w:r w:rsidRPr="00B771E4">
        <w:rPr>
          <w:rFonts w:ascii="Arial" w:hAnsi="Arial" w:cs="Arial"/>
          <w:color w:val="000000"/>
          <w:sz w:val="21"/>
          <w:szCs w:val="21"/>
          <w:lang w:eastAsia="en-US"/>
        </w:rPr>
        <w:t>[…]</w:t>
      </w:r>
      <w:r>
        <w:rPr>
          <w:rFonts w:ascii="Arial" w:hAnsi="Arial" w:cs="Arial"/>
          <w:color w:val="000000"/>
          <w:sz w:val="21"/>
          <w:szCs w:val="21"/>
          <w:lang w:eastAsia="en-US"/>
        </w:rPr>
        <w:t xml:space="preserve"> </w:t>
      </w:r>
      <w:r w:rsidRPr="00B771E4">
        <w:rPr>
          <w:rFonts w:ascii="Arial" w:hAnsi="Arial" w:cs="Arial"/>
          <w:color w:val="000000"/>
          <w:sz w:val="21"/>
          <w:szCs w:val="21"/>
          <w:lang w:eastAsia="en-US"/>
        </w:rPr>
        <w:t>Por consiguiente, la Convención de la ONU promueve la aplicación de controles a los proponentes y contratistas que concurren a la contratación estatal para prevenir que esa actividad sirva de vehículo para actos de corrupción.</w:t>
      </w:r>
    </w:p>
    <w:p w14:paraId="4C277ED1" w14:textId="77777777" w:rsidR="00B771E4" w:rsidRDefault="00B771E4" w:rsidP="0030205B">
      <w:pPr>
        <w:spacing w:after="0"/>
        <w:ind w:firstLine="720"/>
        <w:rPr>
          <w:rFonts w:ascii="Arial" w:hAnsi="Arial" w:cs="Arial"/>
          <w:bCs/>
          <w:color w:val="000000"/>
          <w:sz w:val="22"/>
          <w:szCs w:val="22"/>
          <w:lang w:val="es-ES_tradnl" w:eastAsia="en-US"/>
        </w:rPr>
      </w:pPr>
    </w:p>
    <w:p w14:paraId="1A8210A4" w14:textId="5A14D7C0" w:rsidR="005C5472" w:rsidRDefault="00FD4934" w:rsidP="0030205B">
      <w:pPr>
        <w:spacing w:after="0"/>
        <w:ind w:firstLine="720"/>
        <w:rPr>
          <w:rFonts w:ascii="Arial" w:hAnsi="Arial" w:cs="Arial"/>
          <w:bCs/>
          <w:color w:val="000000"/>
          <w:sz w:val="22"/>
          <w:szCs w:val="22"/>
          <w:lang w:val="es-ES_tradnl" w:eastAsia="en-US"/>
        </w:rPr>
      </w:pPr>
      <w:bookmarkStart w:id="7" w:name="_Hlk105791611"/>
      <w:r>
        <w:rPr>
          <w:rFonts w:ascii="Arial" w:hAnsi="Arial" w:cs="Arial"/>
          <w:bCs/>
          <w:color w:val="000000"/>
          <w:sz w:val="22"/>
          <w:szCs w:val="22"/>
          <w:lang w:val="es-ES_tradnl" w:eastAsia="en-US"/>
        </w:rPr>
        <w:t>En e</w:t>
      </w:r>
      <w:r w:rsidR="00B771E4">
        <w:rPr>
          <w:rFonts w:ascii="Arial" w:hAnsi="Arial" w:cs="Arial"/>
          <w:bCs/>
          <w:color w:val="000000"/>
          <w:sz w:val="22"/>
          <w:szCs w:val="22"/>
          <w:lang w:val="es-ES_tradnl" w:eastAsia="en-US"/>
        </w:rPr>
        <w:t xml:space="preserve">l contexto antes descrito, </w:t>
      </w:r>
      <w:r>
        <w:rPr>
          <w:rFonts w:ascii="Arial" w:hAnsi="Arial" w:cs="Arial"/>
          <w:bCs/>
          <w:color w:val="000000"/>
          <w:sz w:val="22"/>
          <w:szCs w:val="22"/>
          <w:lang w:val="es-ES_tradnl" w:eastAsia="en-US"/>
        </w:rPr>
        <w:t xml:space="preserve">el artículo 50 de la Ley 2195 del 2022 </w:t>
      </w:r>
      <w:r w:rsidR="005C5472">
        <w:rPr>
          <w:rFonts w:ascii="Arial" w:hAnsi="Arial" w:cs="Arial"/>
          <w:bCs/>
          <w:color w:val="000000"/>
          <w:sz w:val="22"/>
          <w:szCs w:val="22"/>
          <w:lang w:val="es-ES_tradnl" w:eastAsia="en-US"/>
        </w:rPr>
        <w:t>constituye un desarrollo interno de las medidas que deben adoptarse en virtud de los compromisos asumidos por el Estado Colombiano, por cuanto corresponde a una medida que reconoce que los actos de corrupción pueden provenir de</w:t>
      </w:r>
      <w:r w:rsidR="008F02C8">
        <w:rPr>
          <w:rFonts w:ascii="Arial" w:hAnsi="Arial" w:cs="Arial"/>
          <w:bCs/>
          <w:color w:val="000000"/>
          <w:sz w:val="22"/>
          <w:szCs w:val="22"/>
          <w:lang w:val="es-ES_tradnl" w:eastAsia="en-US"/>
        </w:rPr>
        <w:t xml:space="preserve"> los</w:t>
      </w:r>
      <w:r w:rsidR="00A42584">
        <w:rPr>
          <w:rFonts w:ascii="Arial" w:hAnsi="Arial" w:cs="Arial"/>
          <w:bCs/>
          <w:color w:val="000000"/>
          <w:sz w:val="22"/>
          <w:szCs w:val="22"/>
          <w:lang w:val="es-ES_tradnl" w:eastAsia="en-US"/>
        </w:rPr>
        <w:t xml:space="preserve"> sector</w:t>
      </w:r>
      <w:r w:rsidR="008F02C8">
        <w:rPr>
          <w:rFonts w:ascii="Arial" w:hAnsi="Arial" w:cs="Arial"/>
          <w:bCs/>
          <w:color w:val="000000"/>
          <w:sz w:val="22"/>
          <w:szCs w:val="22"/>
          <w:lang w:val="es-ES_tradnl" w:eastAsia="en-US"/>
        </w:rPr>
        <w:t>es</w:t>
      </w:r>
      <w:r w:rsidR="005C5472">
        <w:rPr>
          <w:rFonts w:ascii="Arial" w:hAnsi="Arial" w:cs="Arial"/>
          <w:bCs/>
          <w:color w:val="000000"/>
          <w:sz w:val="22"/>
          <w:szCs w:val="22"/>
          <w:lang w:val="es-ES_tradnl" w:eastAsia="en-US"/>
        </w:rPr>
        <w:t xml:space="preserve"> públicos o privado y que, por lo mismo, se hace necesaria la adopción de mecanismos que promuevan el uso de buenas prácticas por parte de todos los actores de la gestión contractual, entre los que se encuentran los contrati</w:t>
      </w:r>
      <w:r w:rsidR="008F02C8">
        <w:rPr>
          <w:rFonts w:ascii="Arial" w:hAnsi="Arial" w:cs="Arial"/>
          <w:bCs/>
          <w:color w:val="000000"/>
          <w:sz w:val="22"/>
          <w:szCs w:val="22"/>
          <w:lang w:val="es-ES_tradnl" w:eastAsia="en-US"/>
        </w:rPr>
        <w:t>s</w:t>
      </w:r>
      <w:r w:rsidR="005C5472">
        <w:rPr>
          <w:rFonts w:ascii="Arial" w:hAnsi="Arial" w:cs="Arial"/>
          <w:bCs/>
          <w:color w:val="000000"/>
          <w:sz w:val="22"/>
          <w:szCs w:val="22"/>
          <w:lang w:val="es-ES_tradnl" w:eastAsia="en-US"/>
        </w:rPr>
        <w:t>tas del Estado.</w:t>
      </w:r>
    </w:p>
    <w:p w14:paraId="51665E50" w14:textId="77777777" w:rsidR="005C5472" w:rsidRDefault="005C5472" w:rsidP="0030205B">
      <w:pPr>
        <w:spacing w:after="0"/>
        <w:ind w:firstLine="720"/>
        <w:rPr>
          <w:rFonts w:ascii="Arial" w:hAnsi="Arial" w:cs="Arial"/>
          <w:bCs/>
          <w:color w:val="000000"/>
          <w:sz w:val="22"/>
          <w:szCs w:val="22"/>
          <w:lang w:val="es-ES_tradnl" w:eastAsia="en-US"/>
        </w:rPr>
      </w:pPr>
    </w:p>
    <w:p w14:paraId="1A785066" w14:textId="2F1161D0" w:rsidR="00FD4934" w:rsidRDefault="005C5472" w:rsidP="0030205B">
      <w:pPr>
        <w:spacing w:after="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lastRenderedPageBreak/>
        <w:t>Así, la norma objeto de análisis p</w:t>
      </w:r>
      <w:r w:rsidR="008A58C3">
        <w:rPr>
          <w:rFonts w:ascii="Arial" w:hAnsi="Arial" w:cs="Arial"/>
          <w:bCs/>
          <w:color w:val="000000"/>
          <w:sz w:val="22"/>
          <w:szCs w:val="22"/>
          <w:lang w:val="es-ES_tradnl" w:eastAsia="en-US"/>
        </w:rPr>
        <w:t xml:space="preserve">uede considerarse como </w:t>
      </w:r>
      <w:r w:rsidR="00FD4934">
        <w:rPr>
          <w:rFonts w:ascii="Arial" w:hAnsi="Arial" w:cs="Arial"/>
          <w:bCs/>
          <w:color w:val="000000"/>
          <w:sz w:val="22"/>
          <w:szCs w:val="22"/>
          <w:lang w:val="es-ES_tradnl" w:eastAsia="en-US"/>
        </w:rPr>
        <w:t>desarrollo legal del principio de transparencia al que se somete toda</w:t>
      </w:r>
      <w:r w:rsidR="00A42584">
        <w:rPr>
          <w:rFonts w:ascii="Arial" w:hAnsi="Arial" w:cs="Arial"/>
          <w:bCs/>
          <w:color w:val="000000"/>
          <w:sz w:val="22"/>
          <w:szCs w:val="22"/>
          <w:lang w:val="es-ES_tradnl" w:eastAsia="en-US"/>
        </w:rPr>
        <w:t xml:space="preserve"> la gestión contractual del </w:t>
      </w:r>
      <w:r w:rsidR="008F02C8">
        <w:rPr>
          <w:rFonts w:ascii="Arial" w:hAnsi="Arial" w:cs="Arial"/>
          <w:bCs/>
          <w:color w:val="000000"/>
          <w:sz w:val="22"/>
          <w:szCs w:val="22"/>
          <w:lang w:val="es-ES_tradnl" w:eastAsia="en-US"/>
        </w:rPr>
        <w:t>E</w:t>
      </w:r>
      <w:r w:rsidR="00A42584">
        <w:rPr>
          <w:rFonts w:ascii="Arial" w:hAnsi="Arial" w:cs="Arial"/>
          <w:bCs/>
          <w:color w:val="000000"/>
          <w:sz w:val="22"/>
          <w:szCs w:val="22"/>
          <w:lang w:val="es-ES_tradnl" w:eastAsia="en-US"/>
        </w:rPr>
        <w:t>stado</w:t>
      </w:r>
      <w:r w:rsidR="00FD4934">
        <w:rPr>
          <w:rFonts w:ascii="Arial" w:hAnsi="Arial" w:cs="Arial"/>
          <w:bCs/>
          <w:color w:val="000000"/>
          <w:sz w:val="22"/>
          <w:szCs w:val="22"/>
          <w:lang w:val="es-ES_tradnl" w:eastAsia="en-US"/>
        </w:rPr>
        <w:t>, al margen del régimen de contratación</w:t>
      </w:r>
      <w:r w:rsidR="00A42584">
        <w:rPr>
          <w:rFonts w:ascii="Arial" w:hAnsi="Arial" w:cs="Arial"/>
          <w:bCs/>
          <w:color w:val="000000"/>
          <w:sz w:val="22"/>
          <w:szCs w:val="22"/>
          <w:lang w:val="es-ES_tradnl" w:eastAsia="en-US"/>
        </w:rPr>
        <w:t xml:space="preserve"> que se aplique en un caso concreto</w:t>
      </w:r>
      <w:r w:rsidR="00FD4934">
        <w:rPr>
          <w:rFonts w:ascii="Arial" w:hAnsi="Arial" w:cs="Arial"/>
          <w:bCs/>
          <w:color w:val="000000"/>
          <w:sz w:val="22"/>
          <w:szCs w:val="22"/>
          <w:lang w:val="es-ES_tradnl" w:eastAsia="en-US"/>
        </w:rPr>
        <w:t xml:space="preserve">, en virtud de la expresa previsión del artículo 13 de la Ley </w:t>
      </w:r>
      <w:r w:rsidR="002F610B">
        <w:rPr>
          <w:rFonts w:ascii="Arial" w:hAnsi="Arial" w:cs="Arial"/>
          <w:bCs/>
          <w:color w:val="000000"/>
          <w:sz w:val="22"/>
          <w:szCs w:val="22"/>
          <w:lang w:val="es-ES_tradnl" w:eastAsia="en-US"/>
        </w:rPr>
        <w:t>1150</w:t>
      </w:r>
      <w:r w:rsidR="00FD4934">
        <w:rPr>
          <w:rFonts w:ascii="Arial" w:hAnsi="Arial" w:cs="Arial"/>
          <w:bCs/>
          <w:color w:val="000000"/>
          <w:sz w:val="22"/>
          <w:szCs w:val="22"/>
          <w:lang w:val="es-ES_tradnl" w:eastAsia="en-US"/>
        </w:rPr>
        <w:t xml:space="preserve"> de </w:t>
      </w:r>
      <w:r w:rsidR="002F610B">
        <w:rPr>
          <w:rFonts w:ascii="Arial" w:hAnsi="Arial" w:cs="Arial"/>
          <w:bCs/>
          <w:color w:val="000000"/>
          <w:sz w:val="22"/>
          <w:szCs w:val="22"/>
          <w:lang w:val="es-ES_tradnl" w:eastAsia="en-US"/>
        </w:rPr>
        <w:t>2007</w:t>
      </w:r>
      <w:r w:rsidR="00683517">
        <w:rPr>
          <w:rFonts w:ascii="Arial" w:hAnsi="Arial" w:cs="Arial"/>
          <w:bCs/>
          <w:color w:val="000000"/>
          <w:sz w:val="22"/>
          <w:szCs w:val="22"/>
          <w:lang w:val="es-ES_tradnl" w:eastAsia="en-US"/>
        </w:rPr>
        <w:t>, cuyo alcance, por lo demás</w:t>
      </w:r>
      <w:r w:rsidR="008F02C8">
        <w:rPr>
          <w:rFonts w:ascii="Arial" w:hAnsi="Arial" w:cs="Arial"/>
          <w:bCs/>
          <w:color w:val="000000"/>
          <w:sz w:val="22"/>
          <w:szCs w:val="22"/>
          <w:lang w:val="es-ES_tradnl" w:eastAsia="en-US"/>
        </w:rPr>
        <w:t>,</w:t>
      </w:r>
      <w:r w:rsidR="00683517">
        <w:rPr>
          <w:rFonts w:ascii="Arial" w:hAnsi="Arial" w:cs="Arial"/>
          <w:bCs/>
          <w:color w:val="000000"/>
          <w:sz w:val="22"/>
          <w:szCs w:val="22"/>
          <w:lang w:val="es-ES_tradnl" w:eastAsia="en-US"/>
        </w:rPr>
        <w:t xml:space="preserve"> se refuerza con la </w:t>
      </w:r>
      <w:r w:rsidR="00FE00C6">
        <w:rPr>
          <w:rFonts w:ascii="Arial" w:hAnsi="Arial" w:cs="Arial"/>
          <w:bCs/>
          <w:color w:val="000000"/>
          <w:sz w:val="22"/>
          <w:szCs w:val="22"/>
          <w:lang w:val="es-ES_tradnl" w:eastAsia="en-US"/>
        </w:rPr>
        <w:t>modificación realizada por</w:t>
      </w:r>
      <w:r w:rsidR="00683517">
        <w:rPr>
          <w:rFonts w:ascii="Arial" w:hAnsi="Arial" w:cs="Arial"/>
          <w:bCs/>
          <w:color w:val="000000"/>
          <w:sz w:val="22"/>
          <w:szCs w:val="22"/>
          <w:lang w:val="es-ES_tradnl" w:eastAsia="en-US"/>
        </w:rPr>
        <w:t xml:space="preserve"> el artículo 53 de la Ley 2195 del 2022</w:t>
      </w:r>
      <w:bookmarkEnd w:id="7"/>
      <w:r w:rsidR="00683517">
        <w:rPr>
          <w:rStyle w:val="Refdenotaalpie"/>
          <w:rFonts w:ascii="Arial" w:hAnsi="Arial" w:cs="Arial"/>
          <w:bCs/>
          <w:color w:val="000000"/>
          <w:sz w:val="22"/>
          <w:szCs w:val="22"/>
          <w:lang w:val="es-ES_tradnl" w:eastAsia="en-US"/>
        </w:rPr>
        <w:footnoteReference w:id="2"/>
      </w:r>
      <w:r>
        <w:rPr>
          <w:rFonts w:ascii="Arial" w:hAnsi="Arial" w:cs="Arial"/>
          <w:bCs/>
          <w:color w:val="000000"/>
          <w:sz w:val="22"/>
          <w:szCs w:val="22"/>
          <w:lang w:val="es-ES_tradnl" w:eastAsia="en-US"/>
        </w:rPr>
        <w:t xml:space="preserve">. </w:t>
      </w:r>
    </w:p>
    <w:p w14:paraId="3F6E67F3" w14:textId="283AFFFA" w:rsidR="00683517" w:rsidRDefault="00683517" w:rsidP="0030205B">
      <w:pPr>
        <w:spacing w:after="0"/>
        <w:ind w:firstLine="720"/>
        <w:rPr>
          <w:rFonts w:ascii="Arial" w:hAnsi="Arial" w:cs="Arial"/>
          <w:bCs/>
          <w:color w:val="000000"/>
          <w:sz w:val="22"/>
          <w:szCs w:val="22"/>
          <w:lang w:val="es-ES_tradnl" w:eastAsia="en-US"/>
        </w:rPr>
      </w:pPr>
    </w:p>
    <w:p w14:paraId="516A8E00" w14:textId="30BEBE72" w:rsidR="005C5472" w:rsidRDefault="00BB24AB" w:rsidP="0030205B">
      <w:pPr>
        <w:spacing w:after="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t>En efecto, según se desprende de su trámite legislativo y se infiere de su texto,</w:t>
      </w:r>
      <w:r w:rsidR="005C5472">
        <w:rPr>
          <w:rFonts w:ascii="Arial" w:hAnsi="Arial" w:cs="Arial"/>
          <w:bCs/>
          <w:color w:val="000000"/>
          <w:sz w:val="22"/>
          <w:szCs w:val="22"/>
          <w:lang w:val="es-ES_tradnl" w:eastAsia="en-US"/>
        </w:rPr>
        <w:t xml:space="preserve"> la norma se dirige a reforzar la transparencia de la información asociada a la ejecución de los contratos estatales, mediante la consagración de un deber cuyos destinatarios directos son </w:t>
      </w:r>
      <w:r w:rsidR="00683517">
        <w:rPr>
          <w:rFonts w:ascii="Arial" w:hAnsi="Arial" w:cs="Arial"/>
          <w:bCs/>
          <w:color w:val="000000"/>
          <w:sz w:val="22"/>
          <w:szCs w:val="22"/>
          <w:lang w:val="es-ES_tradnl" w:eastAsia="en-US"/>
        </w:rPr>
        <w:t xml:space="preserve">las personas </w:t>
      </w:r>
      <w:r w:rsidR="005C5472">
        <w:rPr>
          <w:rFonts w:ascii="Arial" w:hAnsi="Arial" w:cs="Arial"/>
          <w:bCs/>
          <w:color w:val="000000"/>
          <w:sz w:val="22"/>
          <w:szCs w:val="22"/>
          <w:lang w:val="es-ES_tradnl" w:eastAsia="en-US"/>
        </w:rPr>
        <w:t xml:space="preserve">naturales y jurídicas obligadas </w:t>
      </w:r>
      <w:r w:rsidR="00683517">
        <w:rPr>
          <w:rFonts w:ascii="Arial" w:hAnsi="Arial" w:cs="Arial"/>
          <w:bCs/>
          <w:color w:val="000000"/>
          <w:sz w:val="22"/>
          <w:szCs w:val="22"/>
          <w:lang w:val="es-ES_tradnl" w:eastAsia="en-US"/>
        </w:rPr>
        <w:t>a llevar contabilidad</w:t>
      </w:r>
      <w:r w:rsidR="005C5472">
        <w:rPr>
          <w:rFonts w:ascii="Arial" w:hAnsi="Arial" w:cs="Arial"/>
          <w:bCs/>
          <w:color w:val="000000"/>
          <w:sz w:val="22"/>
          <w:szCs w:val="22"/>
          <w:lang w:val="es-ES_tradnl" w:eastAsia="en-US"/>
        </w:rPr>
        <w:t>, las cuales están llamadas a cumplirlo cuando</w:t>
      </w:r>
      <w:r w:rsidR="00683517">
        <w:rPr>
          <w:rFonts w:ascii="Arial" w:hAnsi="Arial" w:cs="Arial"/>
          <w:bCs/>
          <w:color w:val="000000"/>
          <w:sz w:val="22"/>
          <w:szCs w:val="22"/>
          <w:lang w:val="es-ES_tradnl" w:eastAsia="en-US"/>
        </w:rPr>
        <w:t xml:space="preserve"> tengan la condición de contratistas del Estado y</w:t>
      </w:r>
      <w:r w:rsidR="00846FDA">
        <w:rPr>
          <w:rFonts w:ascii="Arial" w:hAnsi="Arial" w:cs="Arial"/>
          <w:bCs/>
          <w:color w:val="000000"/>
          <w:sz w:val="22"/>
          <w:szCs w:val="22"/>
          <w:lang w:val="es-ES_tradnl" w:eastAsia="en-US"/>
        </w:rPr>
        <w:t xml:space="preserve"> </w:t>
      </w:r>
      <w:r w:rsidR="00683517">
        <w:rPr>
          <w:rFonts w:ascii="Arial" w:hAnsi="Arial" w:cs="Arial"/>
          <w:bCs/>
          <w:color w:val="000000"/>
          <w:sz w:val="22"/>
          <w:szCs w:val="22"/>
          <w:lang w:val="es-ES_tradnl" w:eastAsia="en-US"/>
        </w:rPr>
        <w:t>deban ejecutar recursos p</w:t>
      </w:r>
      <w:r w:rsidR="008A58C3">
        <w:rPr>
          <w:rFonts w:ascii="Arial" w:hAnsi="Arial" w:cs="Arial"/>
          <w:bCs/>
          <w:color w:val="000000"/>
          <w:sz w:val="22"/>
          <w:szCs w:val="22"/>
          <w:lang w:val="es-ES_tradnl" w:eastAsia="en-US"/>
        </w:rPr>
        <w:t>úblicos</w:t>
      </w:r>
      <w:r w:rsidR="00846FDA">
        <w:rPr>
          <w:rFonts w:ascii="Arial" w:hAnsi="Arial" w:cs="Arial"/>
          <w:bCs/>
          <w:color w:val="000000"/>
          <w:sz w:val="22"/>
          <w:szCs w:val="22"/>
          <w:lang w:val="es-ES_tradnl" w:eastAsia="en-US"/>
        </w:rPr>
        <w:t xml:space="preserve"> en tal condición</w:t>
      </w:r>
      <w:r w:rsidR="008A58C3">
        <w:rPr>
          <w:rFonts w:ascii="Arial" w:hAnsi="Arial" w:cs="Arial"/>
          <w:bCs/>
          <w:color w:val="000000"/>
          <w:sz w:val="22"/>
          <w:szCs w:val="22"/>
          <w:lang w:val="es-ES_tradnl" w:eastAsia="en-US"/>
        </w:rPr>
        <w:t xml:space="preserve">. </w:t>
      </w:r>
    </w:p>
    <w:p w14:paraId="6D2EFD7F" w14:textId="60D18FB2" w:rsidR="008A58C3" w:rsidRDefault="008A58C3" w:rsidP="0030205B">
      <w:pPr>
        <w:spacing w:after="0"/>
        <w:ind w:firstLine="720"/>
        <w:rPr>
          <w:rFonts w:ascii="Arial" w:hAnsi="Arial" w:cs="Arial"/>
          <w:bCs/>
          <w:color w:val="000000"/>
          <w:sz w:val="22"/>
          <w:szCs w:val="22"/>
          <w:lang w:val="es-ES_tradnl" w:eastAsia="en-US"/>
        </w:rPr>
      </w:pPr>
    </w:p>
    <w:p w14:paraId="786EACE1" w14:textId="0D966764" w:rsidR="00FD549B" w:rsidRDefault="0004105F" w:rsidP="005E320B">
      <w:pPr>
        <w:spacing w:after="0"/>
        <w:ind w:firstLine="720"/>
        <w:rPr>
          <w:rFonts w:ascii="Arial" w:hAnsi="Arial" w:cs="Arial"/>
          <w:bCs/>
          <w:color w:val="000000"/>
          <w:sz w:val="22"/>
          <w:szCs w:val="22"/>
          <w:lang w:eastAsia="en-US"/>
        </w:rPr>
      </w:pPr>
      <w:r>
        <w:rPr>
          <w:rFonts w:ascii="Arial" w:hAnsi="Arial" w:cs="Arial"/>
          <w:bCs/>
          <w:color w:val="000000"/>
          <w:sz w:val="22"/>
          <w:szCs w:val="22"/>
          <w:lang w:val="es-ES_tradnl" w:eastAsia="en-US"/>
        </w:rPr>
        <w:t>Sobre lo anter</w:t>
      </w:r>
      <w:r w:rsidR="00846FDA">
        <w:rPr>
          <w:rFonts w:ascii="Arial" w:hAnsi="Arial" w:cs="Arial"/>
          <w:bCs/>
          <w:color w:val="000000"/>
          <w:sz w:val="22"/>
          <w:szCs w:val="22"/>
          <w:lang w:val="es-ES_tradnl" w:eastAsia="en-US"/>
        </w:rPr>
        <w:t xml:space="preserve">ior, conviene recordar que el deber legal referido se cumple, por expresa </w:t>
      </w:r>
      <w:r w:rsidR="00A42584">
        <w:rPr>
          <w:rFonts w:ascii="Arial" w:hAnsi="Arial" w:cs="Arial"/>
          <w:bCs/>
          <w:color w:val="000000"/>
          <w:sz w:val="22"/>
          <w:szCs w:val="22"/>
          <w:lang w:val="es-ES_tradnl" w:eastAsia="en-US"/>
        </w:rPr>
        <w:t>previsión</w:t>
      </w:r>
      <w:r w:rsidR="00846FDA">
        <w:rPr>
          <w:rFonts w:ascii="Arial" w:hAnsi="Arial" w:cs="Arial"/>
          <w:bCs/>
          <w:color w:val="000000"/>
          <w:sz w:val="22"/>
          <w:szCs w:val="22"/>
          <w:lang w:val="es-ES_tradnl" w:eastAsia="en-US"/>
        </w:rPr>
        <w:t xml:space="preserve"> del artículo 50 de la Ley 2195 del 2022, </w:t>
      </w:r>
      <w:r w:rsidR="007606D1">
        <w:rPr>
          <w:rFonts w:ascii="Arial" w:hAnsi="Arial" w:cs="Arial"/>
          <w:bCs/>
          <w:color w:val="000000"/>
          <w:sz w:val="22"/>
          <w:szCs w:val="22"/>
          <w:lang w:val="es-ES_tradnl" w:eastAsia="en-US"/>
        </w:rPr>
        <w:t>«</w:t>
      </w:r>
      <w:r w:rsidR="00846FDA" w:rsidRPr="00846FDA">
        <w:rPr>
          <w:rFonts w:ascii="Arial" w:hAnsi="Arial" w:cs="Arial"/>
          <w:bCs/>
          <w:i/>
          <w:color w:val="000000"/>
          <w:sz w:val="22"/>
          <w:szCs w:val="22"/>
          <w:lang w:val="es-ES_tradnl" w:eastAsia="en-US"/>
        </w:rPr>
        <w:t>en las actividades contractuales del Estado</w:t>
      </w:r>
      <w:r w:rsidR="007606D1">
        <w:rPr>
          <w:rFonts w:ascii="Arial" w:hAnsi="Arial" w:cs="Arial"/>
          <w:bCs/>
          <w:i/>
          <w:color w:val="000000"/>
          <w:sz w:val="22"/>
          <w:szCs w:val="22"/>
          <w:lang w:val="es-ES_tradnl" w:eastAsia="en-US"/>
        </w:rPr>
        <w:t>»</w:t>
      </w:r>
      <w:r w:rsidR="00BB24AB">
        <w:rPr>
          <w:rFonts w:ascii="Arial" w:hAnsi="Arial" w:cs="Arial"/>
          <w:bCs/>
          <w:i/>
          <w:color w:val="000000"/>
          <w:sz w:val="22"/>
          <w:szCs w:val="22"/>
          <w:lang w:val="es-ES_tradnl" w:eastAsia="en-US"/>
        </w:rPr>
        <w:t>,</w:t>
      </w:r>
      <w:r w:rsidR="00846FDA">
        <w:rPr>
          <w:rFonts w:ascii="Arial" w:hAnsi="Arial" w:cs="Arial"/>
          <w:bCs/>
          <w:i/>
          <w:color w:val="000000"/>
          <w:sz w:val="22"/>
          <w:szCs w:val="22"/>
          <w:lang w:val="es-ES_tradnl" w:eastAsia="en-US"/>
        </w:rPr>
        <w:t xml:space="preserve"> </w:t>
      </w:r>
      <w:r w:rsidR="00846FDA">
        <w:rPr>
          <w:rFonts w:ascii="Arial" w:hAnsi="Arial" w:cs="Arial"/>
          <w:bCs/>
          <w:color w:val="000000"/>
          <w:sz w:val="22"/>
          <w:szCs w:val="22"/>
          <w:lang w:val="es-ES_tradnl" w:eastAsia="en-US"/>
        </w:rPr>
        <w:t>expresión que evidencia que el alcance del mismo no se circunscribe</w:t>
      </w:r>
      <w:r w:rsidR="005E320B" w:rsidRPr="005E320B">
        <w:rPr>
          <w:rFonts w:ascii="Arial" w:hAnsi="Arial" w:cs="Arial"/>
          <w:bCs/>
          <w:color w:val="000000"/>
          <w:sz w:val="22"/>
          <w:szCs w:val="22"/>
          <w:lang w:eastAsia="en-US"/>
        </w:rPr>
        <w:t xml:space="preserve"> a los actos contractuales que celebren las entidades del Estado </w:t>
      </w:r>
      <w:r w:rsidR="00BB24AB">
        <w:rPr>
          <w:rFonts w:ascii="Arial" w:hAnsi="Arial" w:cs="Arial"/>
          <w:bCs/>
          <w:color w:val="000000"/>
          <w:sz w:val="22"/>
          <w:szCs w:val="22"/>
          <w:lang w:eastAsia="en-US"/>
        </w:rPr>
        <w:t xml:space="preserve">sujetas al ámbito de aplicación de </w:t>
      </w:r>
      <w:r w:rsidR="005E320B" w:rsidRPr="005E320B">
        <w:rPr>
          <w:rFonts w:ascii="Arial" w:hAnsi="Arial" w:cs="Arial"/>
          <w:bCs/>
          <w:color w:val="000000"/>
          <w:sz w:val="22"/>
          <w:szCs w:val="22"/>
          <w:lang w:eastAsia="en-US"/>
        </w:rPr>
        <w:t>l</w:t>
      </w:r>
      <w:r w:rsidR="00846FDA">
        <w:rPr>
          <w:rFonts w:ascii="Arial" w:hAnsi="Arial" w:cs="Arial"/>
          <w:bCs/>
          <w:color w:val="000000"/>
          <w:sz w:val="22"/>
          <w:szCs w:val="22"/>
          <w:lang w:eastAsia="en-US"/>
        </w:rPr>
        <w:t>a</w:t>
      </w:r>
      <w:r w:rsidR="005E320B" w:rsidRPr="005E320B">
        <w:rPr>
          <w:rFonts w:ascii="Arial" w:hAnsi="Arial" w:cs="Arial"/>
          <w:bCs/>
          <w:color w:val="000000"/>
          <w:sz w:val="22"/>
          <w:szCs w:val="22"/>
          <w:lang w:eastAsia="en-US"/>
        </w:rPr>
        <w:t xml:space="preserve"> Ley 80 de 1993, sino que </w:t>
      </w:r>
      <w:r w:rsidR="00846FDA">
        <w:rPr>
          <w:rFonts w:ascii="Arial" w:hAnsi="Arial" w:cs="Arial"/>
          <w:bCs/>
          <w:color w:val="000000"/>
          <w:sz w:val="22"/>
          <w:szCs w:val="22"/>
          <w:lang w:eastAsia="en-US"/>
        </w:rPr>
        <w:t xml:space="preserve">comprende </w:t>
      </w:r>
      <w:r w:rsidR="00A42584">
        <w:rPr>
          <w:rFonts w:ascii="Arial" w:hAnsi="Arial" w:cs="Arial"/>
          <w:bCs/>
          <w:color w:val="000000"/>
          <w:sz w:val="22"/>
          <w:szCs w:val="22"/>
          <w:lang w:eastAsia="en-US"/>
        </w:rPr>
        <w:t>los contratos que celebren todas las entidades públicas</w:t>
      </w:r>
      <w:r w:rsidR="005E320B" w:rsidRPr="005E320B">
        <w:rPr>
          <w:rFonts w:ascii="Arial" w:hAnsi="Arial" w:cs="Arial"/>
          <w:bCs/>
          <w:color w:val="000000"/>
          <w:sz w:val="22"/>
          <w:szCs w:val="22"/>
          <w:lang w:eastAsia="en-US"/>
        </w:rPr>
        <w:t xml:space="preserve">, </w:t>
      </w:r>
      <w:r w:rsidR="00243631">
        <w:rPr>
          <w:rFonts w:ascii="Arial" w:hAnsi="Arial" w:cs="Arial"/>
          <w:bCs/>
          <w:color w:val="000000"/>
          <w:sz w:val="22"/>
          <w:szCs w:val="22"/>
          <w:lang w:eastAsia="en-US"/>
        </w:rPr>
        <w:t xml:space="preserve">es decir, </w:t>
      </w:r>
      <w:r w:rsidR="005E320B" w:rsidRPr="005E320B">
        <w:rPr>
          <w:rFonts w:ascii="Arial" w:hAnsi="Arial" w:cs="Arial"/>
          <w:bCs/>
          <w:color w:val="000000"/>
          <w:sz w:val="22"/>
          <w:szCs w:val="22"/>
          <w:lang w:eastAsia="en-US"/>
        </w:rPr>
        <w:t xml:space="preserve">ya sea que se regulen </w:t>
      </w:r>
      <w:r w:rsidR="00846FDA">
        <w:rPr>
          <w:rFonts w:ascii="Arial" w:hAnsi="Arial" w:cs="Arial"/>
          <w:bCs/>
          <w:color w:val="000000"/>
          <w:sz w:val="22"/>
          <w:szCs w:val="22"/>
          <w:lang w:eastAsia="en-US"/>
        </w:rPr>
        <w:t>por el Estatuto General de Contratación de la Administración Pública o por normas especiales en materia contractual</w:t>
      </w:r>
      <w:r w:rsidR="00846FDA">
        <w:rPr>
          <w:rStyle w:val="Refdenotaalpie"/>
          <w:rFonts w:ascii="Arial" w:hAnsi="Arial" w:cs="Arial"/>
          <w:bCs/>
          <w:color w:val="000000"/>
          <w:sz w:val="22"/>
          <w:szCs w:val="22"/>
          <w:lang w:eastAsia="en-US"/>
        </w:rPr>
        <w:footnoteReference w:id="3"/>
      </w:r>
      <w:r w:rsidR="00846FDA">
        <w:rPr>
          <w:rFonts w:ascii="Arial" w:hAnsi="Arial" w:cs="Arial"/>
          <w:bCs/>
          <w:color w:val="000000"/>
          <w:sz w:val="22"/>
          <w:szCs w:val="22"/>
          <w:lang w:eastAsia="en-US"/>
        </w:rPr>
        <w:t xml:space="preserve">. </w:t>
      </w:r>
    </w:p>
    <w:p w14:paraId="357F2625" w14:textId="13EEBE0D" w:rsidR="00846FDA" w:rsidRDefault="00846FDA" w:rsidP="005E320B">
      <w:pPr>
        <w:spacing w:after="0"/>
        <w:ind w:firstLine="720"/>
        <w:rPr>
          <w:rFonts w:ascii="Arial" w:hAnsi="Arial" w:cs="Arial"/>
          <w:bCs/>
          <w:color w:val="000000"/>
          <w:sz w:val="22"/>
          <w:szCs w:val="22"/>
          <w:lang w:eastAsia="en-US"/>
        </w:rPr>
      </w:pPr>
    </w:p>
    <w:p w14:paraId="0B98667C" w14:textId="54E99FEF" w:rsidR="009516FA" w:rsidRPr="0003085F" w:rsidRDefault="00846FDA" w:rsidP="0003085F">
      <w:pPr>
        <w:spacing w:after="0"/>
        <w:ind w:firstLine="720"/>
        <w:rPr>
          <w:rFonts w:ascii="Arial" w:hAnsi="Arial" w:cs="Arial"/>
          <w:bCs/>
          <w:color w:val="000000"/>
          <w:sz w:val="22"/>
          <w:szCs w:val="22"/>
          <w:lang w:val="es-ES_tradnl" w:eastAsia="en-US"/>
        </w:rPr>
      </w:pPr>
      <w:r>
        <w:rPr>
          <w:rFonts w:ascii="Arial" w:hAnsi="Arial" w:cs="Arial"/>
          <w:bCs/>
          <w:color w:val="000000"/>
          <w:sz w:val="22"/>
          <w:szCs w:val="22"/>
          <w:lang w:eastAsia="en-US"/>
        </w:rPr>
        <w:t xml:space="preserve">Así las cosas, </w:t>
      </w:r>
      <w:r w:rsidR="00A42584">
        <w:rPr>
          <w:rFonts w:ascii="Arial" w:hAnsi="Arial" w:cs="Arial"/>
          <w:bCs/>
          <w:color w:val="000000"/>
          <w:sz w:val="22"/>
          <w:szCs w:val="22"/>
          <w:lang w:eastAsia="en-US"/>
        </w:rPr>
        <w:t xml:space="preserve">conforme a esta disposición los contratistas de todas las entidades del </w:t>
      </w:r>
      <w:r w:rsidR="00243631">
        <w:rPr>
          <w:rFonts w:ascii="Arial" w:hAnsi="Arial" w:cs="Arial"/>
          <w:bCs/>
          <w:color w:val="000000"/>
          <w:sz w:val="22"/>
          <w:szCs w:val="22"/>
          <w:lang w:eastAsia="en-US"/>
        </w:rPr>
        <w:t>E</w:t>
      </w:r>
      <w:r w:rsidR="00A42584">
        <w:rPr>
          <w:rFonts w:ascii="Arial" w:hAnsi="Arial" w:cs="Arial"/>
          <w:bCs/>
          <w:color w:val="000000"/>
          <w:sz w:val="22"/>
          <w:szCs w:val="22"/>
          <w:lang w:eastAsia="en-US"/>
        </w:rPr>
        <w:t>stado q</w:t>
      </w:r>
      <w:r w:rsidR="009743CA">
        <w:rPr>
          <w:rFonts w:ascii="Arial" w:hAnsi="Arial" w:cs="Arial"/>
          <w:bCs/>
          <w:color w:val="000000"/>
          <w:sz w:val="22"/>
          <w:szCs w:val="22"/>
          <w:lang w:eastAsia="en-US"/>
        </w:rPr>
        <w:t>ue</w:t>
      </w:r>
      <w:r w:rsidR="00A42584">
        <w:rPr>
          <w:rFonts w:ascii="Arial" w:hAnsi="Arial" w:cs="Arial"/>
          <w:bCs/>
          <w:color w:val="000000"/>
          <w:sz w:val="22"/>
          <w:szCs w:val="22"/>
          <w:lang w:eastAsia="en-US"/>
        </w:rPr>
        <w:t xml:space="preserve"> estén obligados a llevar contabilidad y que ejecuten recursos públicos, en </w:t>
      </w:r>
      <w:r w:rsidR="00A42584">
        <w:rPr>
          <w:rFonts w:ascii="Arial" w:hAnsi="Arial" w:cs="Arial"/>
          <w:bCs/>
          <w:color w:val="000000"/>
          <w:sz w:val="22"/>
          <w:szCs w:val="22"/>
          <w:lang w:eastAsia="en-US"/>
        </w:rPr>
        <w:lastRenderedPageBreak/>
        <w:t>cumplimiento de un contrato esta</w:t>
      </w:r>
      <w:r w:rsidR="001C2850">
        <w:rPr>
          <w:rFonts w:ascii="Arial" w:hAnsi="Arial" w:cs="Arial"/>
          <w:bCs/>
          <w:color w:val="000000"/>
          <w:sz w:val="22"/>
          <w:szCs w:val="22"/>
          <w:lang w:eastAsia="en-US"/>
        </w:rPr>
        <w:t>tal</w:t>
      </w:r>
      <w:r w:rsidR="00FE00C6">
        <w:rPr>
          <w:rFonts w:ascii="Arial" w:hAnsi="Arial" w:cs="Arial"/>
          <w:bCs/>
          <w:color w:val="000000"/>
          <w:sz w:val="22"/>
          <w:szCs w:val="22"/>
          <w:lang w:eastAsia="en-US"/>
        </w:rPr>
        <w:t xml:space="preserve"> –independientemente del régimen contractual–</w:t>
      </w:r>
      <w:r w:rsidR="001C2850">
        <w:rPr>
          <w:rFonts w:ascii="Arial" w:hAnsi="Arial" w:cs="Arial"/>
          <w:bCs/>
          <w:color w:val="000000"/>
          <w:sz w:val="22"/>
          <w:szCs w:val="22"/>
          <w:lang w:eastAsia="en-US"/>
        </w:rPr>
        <w:t>, tienen el deber de</w:t>
      </w:r>
      <w:r w:rsidR="001C2850" w:rsidRPr="001C2850">
        <w:rPr>
          <w:rFonts w:ascii="Arial" w:hAnsi="Arial" w:cs="Arial"/>
          <w:bCs/>
          <w:color w:val="000000"/>
          <w:sz w:val="22"/>
          <w:szCs w:val="22"/>
          <w:lang w:val="es-ES_tradnl" w:eastAsia="en-US"/>
        </w:rPr>
        <w:t xml:space="preserve"> registrar en su contabilidad, bien sea por centro de costo o de manera individualizada cada contrato, de forma que permita al Estado verificar la ejecución y aplicación de los recursos públicos de cada uno de ellos, como practica de transparencia y de buen gobierno corporativo</w:t>
      </w:r>
      <w:r w:rsidR="001C2850">
        <w:rPr>
          <w:rFonts w:ascii="Arial" w:hAnsi="Arial" w:cs="Arial"/>
          <w:bCs/>
          <w:color w:val="000000"/>
          <w:sz w:val="22"/>
          <w:szCs w:val="22"/>
          <w:lang w:val="es-ES_tradnl" w:eastAsia="en-US"/>
        </w:rPr>
        <w:t>.</w:t>
      </w:r>
    </w:p>
    <w:p w14:paraId="06A5B168" w14:textId="202A433B" w:rsidR="001C2850" w:rsidRDefault="001C2850" w:rsidP="005E320B">
      <w:pPr>
        <w:spacing w:after="0"/>
        <w:ind w:firstLine="720"/>
        <w:rPr>
          <w:rFonts w:ascii="Arial" w:hAnsi="Arial" w:cs="Arial"/>
          <w:bCs/>
          <w:color w:val="000000"/>
          <w:sz w:val="22"/>
          <w:szCs w:val="22"/>
          <w:lang w:val="es-ES_tradnl" w:eastAsia="en-US"/>
        </w:rPr>
      </w:pPr>
    </w:p>
    <w:p w14:paraId="1061FA1D" w14:textId="77777777" w:rsidR="00A358E9" w:rsidRDefault="00A358E9" w:rsidP="005E320B">
      <w:pPr>
        <w:spacing w:after="0"/>
        <w:ind w:firstLine="720"/>
        <w:rPr>
          <w:rFonts w:ascii="Arial" w:hAnsi="Arial" w:cs="Arial"/>
          <w:bCs/>
          <w:color w:val="000000"/>
          <w:sz w:val="22"/>
          <w:szCs w:val="22"/>
          <w:lang w:val="es-ES_tradnl" w:eastAsia="en-US"/>
        </w:rPr>
      </w:pPr>
    </w:p>
    <w:p w14:paraId="15B60BCD" w14:textId="43EED77D" w:rsidR="001C2850" w:rsidRPr="00A301A8" w:rsidRDefault="00A301A8" w:rsidP="00F4674A">
      <w:pPr>
        <w:spacing w:after="0"/>
        <w:rPr>
          <w:rFonts w:ascii="Arial" w:hAnsi="Arial" w:cs="Arial"/>
          <w:b/>
          <w:color w:val="000000"/>
          <w:sz w:val="22"/>
          <w:szCs w:val="22"/>
          <w:lang w:val="es-ES_tradnl" w:eastAsia="en-US"/>
        </w:rPr>
      </w:pPr>
      <w:r w:rsidRPr="00A301A8">
        <w:rPr>
          <w:rFonts w:ascii="Arial" w:hAnsi="Arial" w:cs="Arial"/>
          <w:b/>
          <w:color w:val="000000"/>
          <w:sz w:val="22"/>
          <w:szCs w:val="22"/>
          <w:lang w:val="es-ES_tradnl" w:eastAsia="en-US"/>
        </w:rPr>
        <w:t xml:space="preserve">2.2. </w:t>
      </w:r>
      <w:r w:rsidR="007B16EC">
        <w:rPr>
          <w:rFonts w:ascii="Arial" w:hAnsi="Arial" w:cs="Arial"/>
          <w:b/>
          <w:color w:val="000000"/>
          <w:sz w:val="22"/>
          <w:szCs w:val="22"/>
          <w:lang w:val="es-ES_tradnl" w:eastAsia="en-US"/>
        </w:rPr>
        <w:t>Vigencia de la Ley 2195 del 2022</w:t>
      </w:r>
    </w:p>
    <w:p w14:paraId="5CD3EBA9" w14:textId="77777777" w:rsidR="00A301A8" w:rsidRPr="00F4674A" w:rsidRDefault="00A301A8" w:rsidP="00A301A8">
      <w:pPr>
        <w:widowControl w:val="0"/>
        <w:autoSpaceDE w:val="0"/>
        <w:autoSpaceDN w:val="0"/>
        <w:spacing w:before="8" w:after="0" w:line="240" w:lineRule="auto"/>
        <w:jc w:val="left"/>
        <w:rPr>
          <w:rFonts w:ascii="Arial" w:eastAsia="Arial" w:hAnsi="Arial" w:cs="Arial"/>
          <w:b/>
          <w:sz w:val="28"/>
          <w:szCs w:val="22"/>
          <w:lang w:val="es-ES_tradnl" w:eastAsia="es-ES" w:bidi="es-ES"/>
        </w:rPr>
      </w:pPr>
    </w:p>
    <w:p w14:paraId="5814AA6E" w14:textId="3068A6A7" w:rsidR="00A301A8" w:rsidRPr="005C0BC0" w:rsidRDefault="00A301A8" w:rsidP="00EE4827">
      <w:pPr>
        <w:spacing w:after="0"/>
        <w:rPr>
          <w:rFonts w:ascii="Arial" w:hAnsi="Arial" w:cs="Arial"/>
          <w:bCs/>
          <w:color w:val="000000"/>
          <w:sz w:val="22"/>
          <w:szCs w:val="22"/>
          <w:lang w:eastAsia="en-US"/>
        </w:rPr>
      </w:pPr>
      <w:r w:rsidRPr="00A301A8">
        <w:rPr>
          <w:rFonts w:ascii="Arial" w:eastAsia="Arial" w:hAnsi="Arial" w:cs="Arial"/>
          <w:sz w:val="22"/>
          <w:szCs w:val="22"/>
          <w:lang w:val="es-ES" w:eastAsia="es-ES" w:bidi="es-ES"/>
        </w:rPr>
        <w:t xml:space="preserve">Los efectos de una ley se producen a partir de su vigencia, </w:t>
      </w:r>
      <w:r w:rsidR="00E4082E">
        <w:rPr>
          <w:rFonts w:ascii="Arial" w:eastAsia="Arial" w:hAnsi="Arial" w:cs="Arial"/>
          <w:sz w:val="22"/>
          <w:szCs w:val="22"/>
          <w:lang w:val="es-ES" w:eastAsia="es-ES" w:bidi="es-ES"/>
        </w:rPr>
        <w:t xml:space="preserve">o sea, rigen para el futuro, </w:t>
      </w:r>
      <w:r w:rsidRPr="00A301A8">
        <w:rPr>
          <w:rFonts w:ascii="Arial" w:eastAsia="Arial" w:hAnsi="Arial" w:cs="Arial"/>
          <w:sz w:val="22"/>
          <w:szCs w:val="22"/>
          <w:lang w:val="es-ES" w:eastAsia="es-ES" w:bidi="es-ES"/>
        </w:rPr>
        <w:t>lo que quiere decir que</w:t>
      </w:r>
      <w:r w:rsidR="00E4082E">
        <w:rPr>
          <w:rFonts w:ascii="Arial" w:eastAsia="Arial" w:hAnsi="Arial" w:cs="Arial"/>
          <w:sz w:val="22"/>
          <w:szCs w:val="22"/>
          <w:lang w:val="es-ES" w:eastAsia="es-ES" w:bidi="es-ES"/>
        </w:rPr>
        <w:t>,</w:t>
      </w:r>
      <w:r w:rsidRPr="00A301A8">
        <w:rPr>
          <w:rFonts w:ascii="Arial" w:eastAsia="Arial" w:hAnsi="Arial" w:cs="Arial"/>
          <w:sz w:val="22"/>
          <w:szCs w:val="22"/>
          <w:lang w:val="es-ES" w:eastAsia="es-ES" w:bidi="es-ES"/>
        </w:rPr>
        <w:t xml:space="preserve"> por regla general</w:t>
      </w:r>
      <w:r w:rsidR="00E4082E">
        <w:rPr>
          <w:rFonts w:ascii="Arial" w:eastAsia="Arial" w:hAnsi="Arial" w:cs="Arial"/>
          <w:sz w:val="22"/>
          <w:szCs w:val="22"/>
          <w:lang w:val="es-ES" w:eastAsia="es-ES" w:bidi="es-ES"/>
        </w:rPr>
        <w:t>,</w:t>
      </w:r>
      <w:r w:rsidRPr="00A301A8">
        <w:rPr>
          <w:rFonts w:ascii="Arial" w:eastAsia="Arial" w:hAnsi="Arial" w:cs="Arial"/>
          <w:sz w:val="22"/>
          <w:szCs w:val="22"/>
          <w:lang w:val="es-ES" w:eastAsia="es-ES" w:bidi="es-ES"/>
        </w:rPr>
        <w:t xml:space="preserve"> en las leyes opera la irretroactividad. </w:t>
      </w:r>
      <w:r w:rsidRPr="005C0BC0">
        <w:rPr>
          <w:rFonts w:ascii="Arial" w:hAnsi="Arial" w:cs="Arial"/>
          <w:bCs/>
          <w:color w:val="000000"/>
          <w:sz w:val="22"/>
          <w:szCs w:val="22"/>
          <w:lang w:eastAsia="en-US"/>
        </w:rPr>
        <w:t xml:space="preserve">Así se deriva de lo previsto en los artículos 52 y 53 de la Ley 4 de 1913, según los cuales la vigencia de la ley comienza con su promulgación o inserción en el Diario Oficial, y sus efectos vinculantes inician dos meses después de promulgada, a menos que la propia ley </w:t>
      </w:r>
      <w:r w:rsidR="00683912">
        <w:rPr>
          <w:rFonts w:ascii="Arial" w:hAnsi="Arial" w:cs="Arial"/>
          <w:sz w:val="22"/>
          <w:szCs w:val="22"/>
          <w:lang w:val="es-ES_tradnl"/>
        </w:rPr>
        <w:t>«</w:t>
      </w:r>
      <w:r w:rsidRPr="005C0BC0">
        <w:rPr>
          <w:rFonts w:ascii="Arial" w:hAnsi="Arial" w:cs="Arial"/>
          <w:bCs/>
          <w:color w:val="000000"/>
          <w:sz w:val="22"/>
          <w:szCs w:val="22"/>
          <w:lang w:eastAsia="en-US"/>
        </w:rPr>
        <w:t>fije el día en que deba principiar a regir, o autorice al Gobierno para fijarlo, en cuyo caso principiará a regir la ley el día señalado</w:t>
      </w:r>
      <w:r w:rsidR="00683912">
        <w:rPr>
          <w:rFonts w:ascii="Arial" w:hAnsi="Arial" w:cs="Arial"/>
          <w:sz w:val="22"/>
          <w:szCs w:val="22"/>
          <w:lang w:val="es-ES_tradnl"/>
        </w:rPr>
        <w:t>»</w:t>
      </w:r>
      <w:r w:rsidR="0062786C">
        <w:rPr>
          <w:rFonts w:ascii="Arial" w:hAnsi="Arial" w:cs="Arial"/>
          <w:sz w:val="22"/>
          <w:szCs w:val="22"/>
          <w:lang w:val="es-ES_tradnl"/>
        </w:rPr>
        <w:t>.</w:t>
      </w:r>
    </w:p>
    <w:p w14:paraId="2BDB1840" w14:textId="77777777" w:rsidR="00A301A8" w:rsidRPr="005C0BC0" w:rsidRDefault="00A301A8" w:rsidP="005C0BC0">
      <w:pPr>
        <w:spacing w:after="0"/>
        <w:ind w:firstLine="720"/>
        <w:rPr>
          <w:rFonts w:ascii="Arial" w:hAnsi="Arial" w:cs="Arial"/>
          <w:bCs/>
          <w:color w:val="000000"/>
          <w:sz w:val="22"/>
          <w:szCs w:val="22"/>
          <w:lang w:eastAsia="en-US"/>
        </w:rPr>
      </w:pPr>
      <w:r w:rsidRPr="005C0BC0">
        <w:rPr>
          <w:rFonts w:ascii="Arial" w:hAnsi="Arial" w:cs="Arial"/>
          <w:bCs/>
          <w:color w:val="000000"/>
          <w:sz w:val="22"/>
          <w:szCs w:val="22"/>
          <w:lang w:eastAsia="en-US"/>
        </w:rPr>
        <w:t> </w:t>
      </w:r>
    </w:p>
    <w:p w14:paraId="0F3E245F" w14:textId="49CB92EA" w:rsidR="00A301A8" w:rsidRPr="005C0BC0" w:rsidRDefault="00A301A8" w:rsidP="005C0BC0">
      <w:pPr>
        <w:spacing w:after="0"/>
        <w:ind w:firstLine="720"/>
        <w:rPr>
          <w:rFonts w:ascii="Arial" w:hAnsi="Arial" w:cs="Arial"/>
          <w:bCs/>
          <w:color w:val="000000"/>
          <w:sz w:val="22"/>
          <w:szCs w:val="22"/>
          <w:lang w:eastAsia="en-US"/>
        </w:rPr>
      </w:pPr>
      <w:r w:rsidRPr="005C0BC0">
        <w:rPr>
          <w:rFonts w:ascii="Arial" w:hAnsi="Arial" w:cs="Arial"/>
          <w:bCs/>
          <w:color w:val="000000"/>
          <w:sz w:val="22"/>
          <w:szCs w:val="22"/>
          <w:lang w:eastAsia="en-US"/>
        </w:rPr>
        <w:t>A su turno, la parte primera de la Ley 153 de 1887, que en su artículo 49 derogó el artículo 13 del Código Civil, prescribe las reglas generales para resolver los conflictos en la aplicación de las leyes en el tiempo, entre las cuales se contemplan</w:t>
      </w:r>
      <w:r w:rsidR="001707FB">
        <w:rPr>
          <w:rFonts w:ascii="Arial" w:hAnsi="Arial" w:cs="Arial"/>
          <w:bCs/>
          <w:color w:val="000000"/>
          <w:sz w:val="22"/>
          <w:szCs w:val="22"/>
          <w:lang w:eastAsia="en-US"/>
        </w:rPr>
        <w:t>:</w:t>
      </w:r>
      <w:r w:rsidRPr="005C0BC0">
        <w:rPr>
          <w:rFonts w:ascii="Arial" w:hAnsi="Arial" w:cs="Arial"/>
          <w:bCs/>
          <w:color w:val="000000"/>
          <w:sz w:val="22"/>
          <w:szCs w:val="22"/>
          <w:lang w:eastAsia="en-US"/>
        </w:rPr>
        <w:t xml:space="preserve"> (i) el principio de prevalencia general de la ley posterior sobre la anterior, (ii) la regla de que las meras expectativas no constituyen derecho contra la ley nueva que las anule o cercene, (iii) el efecto general inmediato de las leyes, (</w:t>
      </w:r>
      <w:r w:rsidR="00867202">
        <w:rPr>
          <w:rFonts w:ascii="Arial" w:hAnsi="Arial" w:cs="Arial"/>
          <w:bCs/>
          <w:color w:val="000000"/>
          <w:sz w:val="22"/>
          <w:szCs w:val="22"/>
          <w:lang w:eastAsia="en-US"/>
        </w:rPr>
        <w:t>iv</w:t>
      </w:r>
      <w:r w:rsidRPr="005C0BC0">
        <w:rPr>
          <w:rFonts w:ascii="Arial" w:hAnsi="Arial" w:cs="Arial"/>
          <w:bCs/>
          <w:color w:val="000000"/>
          <w:sz w:val="22"/>
          <w:szCs w:val="22"/>
          <w:lang w:eastAsia="en-US"/>
        </w:rPr>
        <w:t xml:space="preserve">) </w:t>
      </w:r>
      <w:r w:rsidR="00867202">
        <w:rPr>
          <w:rFonts w:ascii="Arial" w:hAnsi="Arial" w:cs="Arial"/>
          <w:bCs/>
          <w:color w:val="000000"/>
          <w:sz w:val="22"/>
          <w:szCs w:val="22"/>
          <w:lang w:eastAsia="en-US"/>
        </w:rPr>
        <w:t xml:space="preserve">la regla de que </w:t>
      </w:r>
      <w:r w:rsidR="00867202">
        <w:rPr>
          <w:rFonts w:ascii="Arial" w:hAnsi="Arial" w:cs="Arial"/>
          <w:color w:val="000000"/>
          <w:sz w:val="20"/>
          <w:szCs w:val="20"/>
        </w:rPr>
        <w:t xml:space="preserve">en todo </w:t>
      </w:r>
      <w:r w:rsidR="00867202" w:rsidRPr="00EE4827">
        <w:rPr>
          <w:rFonts w:ascii="Arial" w:hAnsi="Arial" w:cs="Arial"/>
          <w:bCs/>
          <w:color w:val="000000"/>
          <w:sz w:val="22"/>
          <w:szCs w:val="22"/>
          <w:lang w:eastAsia="en-US"/>
        </w:rPr>
        <w:t>contrato se entenderán incorporadas las leyes vigentes al tiempo de su celebración</w:t>
      </w:r>
      <w:r w:rsidRPr="005C0BC0">
        <w:rPr>
          <w:rFonts w:ascii="Arial" w:hAnsi="Arial" w:cs="Arial"/>
          <w:bCs/>
          <w:color w:val="000000"/>
          <w:sz w:val="22"/>
          <w:szCs w:val="22"/>
          <w:lang w:eastAsia="en-US"/>
        </w:rPr>
        <w:t>, y (v) la preferencia de la ley preexistente favorable en materia penal, entre otros.</w:t>
      </w:r>
    </w:p>
    <w:p w14:paraId="5E06112C" w14:textId="77777777" w:rsidR="00A301A8" w:rsidRPr="00A301A8" w:rsidRDefault="00A301A8" w:rsidP="00A301A8">
      <w:pPr>
        <w:widowControl w:val="0"/>
        <w:autoSpaceDE w:val="0"/>
        <w:autoSpaceDN w:val="0"/>
        <w:spacing w:after="0"/>
        <w:ind w:right="42"/>
        <w:rPr>
          <w:rFonts w:ascii="Arial" w:eastAsia="Arial" w:hAnsi="Arial" w:cs="Arial"/>
          <w:sz w:val="22"/>
          <w:szCs w:val="22"/>
          <w:lang w:val="es-CO" w:eastAsia="es-ES" w:bidi="es-ES"/>
        </w:rPr>
      </w:pPr>
      <w:r w:rsidRPr="00A301A8">
        <w:rPr>
          <w:rFonts w:ascii="Arial" w:eastAsia="Arial" w:hAnsi="Arial" w:cs="Arial"/>
          <w:sz w:val="22"/>
          <w:szCs w:val="22"/>
          <w:lang w:val="es-CO" w:eastAsia="es-ES" w:bidi="es-ES"/>
        </w:rPr>
        <w:t> </w:t>
      </w:r>
    </w:p>
    <w:p w14:paraId="29CDBBD3" w14:textId="2EE639C3" w:rsidR="00A301A8" w:rsidRPr="005C0BC0" w:rsidRDefault="00E04114" w:rsidP="0062786C">
      <w:pPr>
        <w:spacing w:after="0"/>
        <w:ind w:firstLine="720"/>
        <w:rPr>
          <w:rFonts w:ascii="Arial" w:hAnsi="Arial" w:cs="Arial"/>
          <w:bCs/>
          <w:color w:val="000000"/>
          <w:sz w:val="22"/>
          <w:szCs w:val="22"/>
          <w:lang w:eastAsia="en-US"/>
        </w:rPr>
      </w:pPr>
      <w:r w:rsidRPr="005C0BC0">
        <w:rPr>
          <w:rFonts w:ascii="Arial" w:hAnsi="Arial" w:cs="Arial"/>
          <w:bCs/>
          <w:color w:val="000000"/>
          <w:sz w:val="22"/>
          <w:szCs w:val="22"/>
          <w:lang w:eastAsia="en-US"/>
        </w:rPr>
        <w:t xml:space="preserve">A lo anterior, se debe agregar que </w:t>
      </w:r>
      <w:r w:rsidR="00A301A8" w:rsidRPr="005C0BC0">
        <w:rPr>
          <w:rFonts w:ascii="Arial" w:hAnsi="Arial" w:cs="Arial"/>
          <w:bCs/>
          <w:color w:val="000000"/>
          <w:sz w:val="22"/>
          <w:szCs w:val="22"/>
          <w:lang w:eastAsia="en-US"/>
        </w:rPr>
        <w:t>el artículo 58</w:t>
      </w:r>
      <w:r w:rsidRPr="005C0BC0">
        <w:rPr>
          <w:rFonts w:ascii="Arial" w:hAnsi="Arial" w:cs="Arial"/>
          <w:bCs/>
          <w:color w:val="000000"/>
          <w:sz w:val="22"/>
          <w:szCs w:val="22"/>
          <w:lang w:eastAsia="en-US"/>
        </w:rPr>
        <w:t xml:space="preserve"> de la Constitución Política </w:t>
      </w:r>
      <w:r w:rsidR="00A301A8" w:rsidRPr="005C0BC0">
        <w:rPr>
          <w:rFonts w:ascii="Arial" w:hAnsi="Arial" w:cs="Arial"/>
          <w:bCs/>
          <w:color w:val="000000"/>
          <w:sz w:val="22"/>
          <w:szCs w:val="22"/>
          <w:lang w:eastAsia="en-US"/>
        </w:rPr>
        <w:t xml:space="preserve">consagró el efecto no retroactivo de las leyes al enunciar que se garantizan los derechos adquiridos con justo título, los cuales no pueden ser desconocidos ni vulnerados por leyes posteriores. Ello, claro está, sin perjuicio del principio de favorabilidad </w:t>
      </w:r>
      <w:r w:rsidR="0062786C">
        <w:rPr>
          <w:rFonts w:ascii="Arial" w:hAnsi="Arial" w:cs="Arial"/>
          <w:bCs/>
          <w:color w:val="000000"/>
          <w:sz w:val="22"/>
          <w:szCs w:val="22"/>
          <w:lang w:eastAsia="en-US"/>
        </w:rPr>
        <w:t xml:space="preserve">en materia </w:t>
      </w:r>
      <w:r w:rsidR="00A301A8" w:rsidRPr="005C0BC0">
        <w:rPr>
          <w:rFonts w:ascii="Arial" w:hAnsi="Arial" w:cs="Arial"/>
          <w:bCs/>
          <w:color w:val="000000"/>
          <w:sz w:val="22"/>
          <w:szCs w:val="22"/>
          <w:lang w:eastAsia="en-US"/>
        </w:rPr>
        <w:t xml:space="preserve">penal previsto en el inciso 3º del artículo 29 de la Carta, a cuyo tenor </w:t>
      </w:r>
      <w:r w:rsidR="0062786C">
        <w:rPr>
          <w:rFonts w:ascii="Arial" w:hAnsi="Arial" w:cs="Arial"/>
          <w:sz w:val="22"/>
          <w:szCs w:val="22"/>
          <w:lang w:val="es-ES_tradnl"/>
        </w:rPr>
        <w:t>«</w:t>
      </w:r>
      <w:r w:rsidR="00A301A8" w:rsidRPr="005C0BC0">
        <w:rPr>
          <w:rFonts w:ascii="Arial" w:hAnsi="Arial" w:cs="Arial"/>
          <w:bCs/>
          <w:color w:val="000000"/>
          <w:sz w:val="22"/>
          <w:szCs w:val="22"/>
          <w:lang w:eastAsia="en-US"/>
        </w:rPr>
        <w:t>en materia penal, la ley permisiva o favorable, aun cuando sea posterior, se aplicará de preferencia a la restrictiva o desfavorable</w:t>
      </w:r>
      <w:r w:rsidR="0062786C">
        <w:rPr>
          <w:rFonts w:ascii="Arial" w:hAnsi="Arial" w:cs="Arial"/>
          <w:sz w:val="22"/>
          <w:szCs w:val="22"/>
          <w:lang w:val="es-ES_tradnl"/>
        </w:rPr>
        <w:t>».</w:t>
      </w:r>
    </w:p>
    <w:p w14:paraId="54AB4446" w14:textId="77777777" w:rsidR="00A301A8" w:rsidRPr="00A301A8" w:rsidRDefault="00A301A8" w:rsidP="00A301A8">
      <w:pPr>
        <w:widowControl w:val="0"/>
        <w:autoSpaceDE w:val="0"/>
        <w:autoSpaceDN w:val="0"/>
        <w:spacing w:after="0" w:line="273" w:lineRule="auto"/>
        <w:ind w:left="300" w:right="622"/>
        <w:rPr>
          <w:rFonts w:ascii="Arial" w:eastAsia="Arial" w:hAnsi="Arial" w:cs="Arial"/>
          <w:sz w:val="22"/>
          <w:szCs w:val="22"/>
          <w:lang w:val="es-CO" w:eastAsia="es-ES" w:bidi="es-ES"/>
        </w:rPr>
      </w:pPr>
      <w:r w:rsidRPr="00A301A8">
        <w:rPr>
          <w:rFonts w:ascii="Arial" w:eastAsia="Arial" w:hAnsi="Arial" w:cs="Arial"/>
          <w:sz w:val="22"/>
          <w:szCs w:val="22"/>
          <w:lang w:val="es-CO" w:eastAsia="es-ES" w:bidi="es-ES"/>
        </w:rPr>
        <w:t> </w:t>
      </w:r>
    </w:p>
    <w:p w14:paraId="49671B3A" w14:textId="60902CA3" w:rsidR="00A301A8" w:rsidRPr="005C0BC0" w:rsidRDefault="00E04114" w:rsidP="005C0BC0">
      <w:pPr>
        <w:spacing w:after="0"/>
        <w:ind w:firstLine="720"/>
        <w:rPr>
          <w:rFonts w:ascii="Arial" w:hAnsi="Arial" w:cs="Arial"/>
          <w:bCs/>
          <w:color w:val="000000"/>
          <w:sz w:val="22"/>
          <w:szCs w:val="22"/>
          <w:lang w:eastAsia="en-US"/>
        </w:rPr>
      </w:pPr>
      <w:r w:rsidRPr="005C0BC0">
        <w:rPr>
          <w:rFonts w:ascii="Arial" w:hAnsi="Arial" w:cs="Arial"/>
          <w:bCs/>
          <w:color w:val="000000"/>
          <w:sz w:val="22"/>
          <w:szCs w:val="22"/>
          <w:lang w:eastAsia="en-US"/>
        </w:rPr>
        <w:t>El anterior contexto normativo evidencia que, por regla general</w:t>
      </w:r>
      <w:r w:rsidR="00A301A8" w:rsidRPr="005C0BC0">
        <w:rPr>
          <w:rFonts w:ascii="Arial" w:hAnsi="Arial" w:cs="Arial"/>
          <w:bCs/>
          <w:color w:val="000000"/>
          <w:sz w:val="22"/>
          <w:szCs w:val="22"/>
          <w:lang w:eastAsia="en-US"/>
        </w:rPr>
        <w:t>, las normas que integran el ordenamiento jurídico rigen con efecto general e inmediato para los actos, hechos o situaciones jurídicas que tienen lugar con posterioridad a su entrada en vigencia. No obstante, ante tránsitos normativos, los operadores jurídicos se enfrentan a escenarios en los que se abre paso la aplicación de las normas con distintos efectos en el tiempo.</w:t>
      </w:r>
    </w:p>
    <w:p w14:paraId="138C6C32" w14:textId="77777777" w:rsidR="00A301A8" w:rsidRPr="00A301A8" w:rsidRDefault="00A301A8" w:rsidP="00E04114">
      <w:pPr>
        <w:widowControl w:val="0"/>
        <w:autoSpaceDE w:val="0"/>
        <w:autoSpaceDN w:val="0"/>
        <w:spacing w:after="0"/>
        <w:ind w:right="42"/>
        <w:rPr>
          <w:rFonts w:ascii="Arial" w:eastAsia="Arial" w:hAnsi="Arial" w:cs="Arial"/>
          <w:sz w:val="22"/>
          <w:szCs w:val="22"/>
          <w:lang w:val="es-CO" w:eastAsia="es-ES" w:bidi="es-ES"/>
        </w:rPr>
      </w:pPr>
      <w:r w:rsidRPr="00A301A8">
        <w:rPr>
          <w:rFonts w:ascii="Arial" w:eastAsia="Arial" w:hAnsi="Arial" w:cs="Arial"/>
          <w:sz w:val="22"/>
          <w:szCs w:val="22"/>
          <w:lang w:val="es-CO" w:eastAsia="es-ES" w:bidi="es-ES"/>
        </w:rPr>
        <w:t> </w:t>
      </w:r>
    </w:p>
    <w:p w14:paraId="31811C85" w14:textId="44975BFC" w:rsidR="00136BD7" w:rsidRDefault="005C0BC0" w:rsidP="00136BD7">
      <w:pPr>
        <w:spacing w:after="0"/>
        <w:ind w:firstLine="720"/>
        <w:rPr>
          <w:sz w:val="22"/>
          <w:szCs w:val="22"/>
        </w:rPr>
      </w:pPr>
      <w:r w:rsidRPr="005C0BC0">
        <w:rPr>
          <w:rFonts w:ascii="Arial" w:hAnsi="Arial" w:cs="Arial"/>
          <w:bCs/>
          <w:color w:val="000000"/>
          <w:sz w:val="22"/>
          <w:szCs w:val="22"/>
          <w:lang w:eastAsia="en-US"/>
        </w:rPr>
        <w:lastRenderedPageBreak/>
        <w:t xml:space="preserve">Así, </w:t>
      </w:r>
      <w:r w:rsidR="00383658">
        <w:rPr>
          <w:rFonts w:ascii="Arial" w:hAnsi="Arial" w:cs="Arial"/>
          <w:bCs/>
          <w:color w:val="000000"/>
          <w:sz w:val="22"/>
          <w:szCs w:val="22"/>
          <w:lang w:eastAsia="en-US"/>
        </w:rPr>
        <w:t xml:space="preserve">la irretroactividad no permite que la ley </w:t>
      </w:r>
      <w:r w:rsidR="00A301A8" w:rsidRPr="005C0BC0">
        <w:rPr>
          <w:rFonts w:ascii="Arial" w:hAnsi="Arial" w:cs="Arial"/>
          <w:bCs/>
          <w:color w:val="000000"/>
          <w:sz w:val="22"/>
          <w:szCs w:val="22"/>
          <w:lang w:eastAsia="en-US"/>
        </w:rPr>
        <w:t>se apli</w:t>
      </w:r>
      <w:r w:rsidR="00383658">
        <w:rPr>
          <w:rFonts w:ascii="Arial" w:hAnsi="Arial" w:cs="Arial"/>
          <w:bCs/>
          <w:color w:val="000000"/>
          <w:sz w:val="22"/>
          <w:szCs w:val="22"/>
          <w:lang w:eastAsia="en-US"/>
        </w:rPr>
        <w:t>que</w:t>
      </w:r>
      <w:r w:rsidR="00A301A8" w:rsidRPr="005C0BC0">
        <w:rPr>
          <w:rFonts w:ascii="Arial" w:hAnsi="Arial" w:cs="Arial"/>
          <w:bCs/>
          <w:color w:val="000000"/>
          <w:sz w:val="22"/>
          <w:szCs w:val="22"/>
          <w:lang w:eastAsia="en-US"/>
        </w:rPr>
        <w:t xml:space="preserve"> a las situaciones que se consolidaron con anterioridad a su entrada en vigencia</w:t>
      </w:r>
      <w:r w:rsidR="00383658">
        <w:rPr>
          <w:rFonts w:ascii="Arial" w:hAnsi="Arial" w:cs="Arial"/>
          <w:bCs/>
          <w:color w:val="000000"/>
          <w:sz w:val="22"/>
          <w:szCs w:val="22"/>
          <w:lang w:eastAsia="en-US"/>
        </w:rPr>
        <w:t>, en garantía de los derechos y la seguridad jurídica.</w:t>
      </w:r>
      <w:r w:rsidR="00A301A8" w:rsidRPr="005C0BC0">
        <w:rPr>
          <w:rFonts w:ascii="Arial" w:hAnsi="Arial" w:cs="Arial"/>
          <w:bCs/>
          <w:color w:val="000000"/>
          <w:sz w:val="22"/>
          <w:szCs w:val="22"/>
          <w:lang w:eastAsia="en-US"/>
        </w:rPr>
        <w:t xml:space="preserve"> </w:t>
      </w:r>
      <w:r w:rsidRPr="005C0BC0">
        <w:rPr>
          <w:rFonts w:ascii="Arial" w:hAnsi="Arial" w:cs="Arial"/>
          <w:bCs/>
          <w:color w:val="000000"/>
          <w:sz w:val="22"/>
          <w:szCs w:val="22"/>
          <w:lang w:eastAsia="en-US"/>
        </w:rPr>
        <w:t xml:space="preserve">Por eso, la Corte Constitucional ha </w:t>
      </w:r>
      <w:r w:rsidR="00867202">
        <w:rPr>
          <w:rFonts w:ascii="Arial" w:hAnsi="Arial" w:cs="Arial"/>
          <w:bCs/>
          <w:color w:val="000000"/>
          <w:sz w:val="22"/>
          <w:szCs w:val="22"/>
          <w:lang w:eastAsia="en-US"/>
        </w:rPr>
        <w:t>señalado</w:t>
      </w:r>
      <w:r w:rsidR="00867202" w:rsidRPr="005C0BC0">
        <w:rPr>
          <w:rFonts w:ascii="Arial" w:hAnsi="Arial" w:cs="Arial"/>
          <w:bCs/>
          <w:color w:val="000000"/>
          <w:sz w:val="22"/>
          <w:szCs w:val="22"/>
          <w:lang w:eastAsia="en-US"/>
        </w:rPr>
        <w:t xml:space="preserve"> </w:t>
      </w:r>
      <w:r w:rsidRPr="005C0BC0">
        <w:rPr>
          <w:rFonts w:ascii="Arial" w:hAnsi="Arial" w:cs="Arial"/>
          <w:bCs/>
          <w:color w:val="000000"/>
          <w:sz w:val="22"/>
          <w:szCs w:val="22"/>
          <w:lang w:eastAsia="en-US"/>
        </w:rPr>
        <w:t xml:space="preserve">que la </w:t>
      </w:r>
      <w:r w:rsidR="00867202">
        <w:rPr>
          <w:rFonts w:ascii="Arial" w:hAnsi="Arial" w:cs="Arial"/>
          <w:bCs/>
          <w:color w:val="000000"/>
          <w:sz w:val="22"/>
          <w:szCs w:val="22"/>
          <w:lang w:eastAsia="en-US"/>
        </w:rPr>
        <w:t>«</w:t>
      </w:r>
      <w:r w:rsidR="00A301A8" w:rsidRPr="005C0BC0">
        <w:rPr>
          <w:rFonts w:ascii="Arial" w:hAnsi="Arial" w:cs="Arial"/>
          <w:bCs/>
          <w:color w:val="000000"/>
          <w:sz w:val="22"/>
          <w:szCs w:val="22"/>
          <w:lang w:eastAsia="en-US"/>
        </w:rPr>
        <w:t>irretroactividad de la legislación implica, entonces, la imposibilidad genérica de afectar situaciones jurídicas consolidadas antes de la entrada en vigencia de una disposición nueva. El alcance de esta proscripción –que, como se vio, cuenta con fundamento constitucional– se plasma en que la nueva disposición no tiene vocación para afectar hechos o consecuencias jurídicas que se han formado válidamente al amparo de una ley anterior, como garantía de seguridad jurídica. En consecuencia, la excepcional aplicación retroactiva de una norma sólo puede tener lugar por expresa disposición del legislador –en tanto productor de la norma–, jamás al arbitrio del juez</w:t>
      </w:r>
      <w:r w:rsidR="00867202">
        <w:rPr>
          <w:rFonts w:ascii="Arial" w:hAnsi="Arial" w:cs="Arial"/>
          <w:bCs/>
          <w:color w:val="000000"/>
          <w:sz w:val="22"/>
          <w:szCs w:val="22"/>
          <w:lang w:eastAsia="en-US"/>
        </w:rPr>
        <w:t>»</w:t>
      </w:r>
      <w:r w:rsidRPr="00383658">
        <w:rPr>
          <w:rStyle w:val="Refdenotaalpie"/>
          <w:sz w:val="22"/>
          <w:szCs w:val="22"/>
        </w:rPr>
        <w:footnoteReference w:id="4"/>
      </w:r>
      <w:r w:rsidR="00136BD7">
        <w:rPr>
          <w:rFonts w:ascii="Arial" w:hAnsi="Arial" w:cs="Arial"/>
          <w:bCs/>
          <w:color w:val="000000"/>
          <w:sz w:val="22"/>
          <w:szCs w:val="22"/>
          <w:lang w:eastAsia="en-US"/>
        </w:rPr>
        <w:t>.</w:t>
      </w:r>
    </w:p>
    <w:p w14:paraId="0A5C1724" w14:textId="3F656FDC" w:rsidR="00A301A8" w:rsidRPr="00A301A8" w:rsidRDefault="00A301A8" w:rsidP="00136BD7">
      <w:pPr>
        <w:spacing w:after="0"/>
        <w:ind w:firstLine="720"/>
        <w:rPr>
          <w:rFonts w:ascii="Arial" w:eastAsia="Arial" w:hAnsi="Arial" w:cs="Arial"/>
          <w:sz w:val="22"/>
          <w:szCs w:val="22"/>
          <w:lang w:val="es-CO" w:eastAsia="es-ES" w:bidi="es-ES"/>
        </w:rPr>
      </w:pPr>
      <w:r w:rsidRPr="00A301A8">
        <w:rPr>
          <w:rFonts w:ascii="Arial" w:eastAsia="Arial" w:hAnsi="Arial" w:cs="Arial"/>
          <w:sz w:val="22"/>
          <w:szCs w:val="22"/>
          <w:lang w:val="es-CO" w:eastAsia="es-ES" w:bidi="es-ES"/>
        </w:rPr>
        <w:t> </w:t>
      </w:r>
    </w:p>
    <w:p w14:paraId="09F076A1" w14:textId="7DB09E72" w:rsidR="00A301A8" w:rsidRPr="005C0BC0" w:rsidRDefault="005C0BC0" w:rsidP="005C0BC0">
      <w:pPr>
        <w:spacing w:after="0"/>
        <w:ind w:firstLine="720"/>
        <w:rPr>
          <w:rFonts w:ascii="Arial" w:hAnsi="Arial" w:cs="Arial"/>
          <w:bCs/>
          <w:color w:val="000000"/>
          <w:sz w:val="22"/>
          <w:szCs w:val="22"/>
          <w:lang w:eastAsia="en-US"/>
        </w:rPr>
      </w:pPr>
      <w:r>
        <w:rPr>
          <w:rFonts w:ascii="Arial" w:hAnsi="Arial" w:cs="Arial"/>
          <w:bCs/>
          <w:color w:val="000000"/>
          <w:sz w:val="22"/>
          <w:szCs w:val="22"/>
          <w:lang w:eastAsia="en-US"/>
        </w:rPr>
        <w:t xml:space="preserve">Lo propio ocurre con la figura de la </w:t>
      </w:r>
      <w:r w:rsidR="00A301A8" w:rsidRPr="005C0BC0">
        <w:rPr>
          <w:rFonts w:ascii="Arial" w:hAnsi="Arial" w:cs="Arial"/>
          <w:bCs/>
          <w:color w:val="000000"/>
          <w:sz w:val="22"/>
          <w:szCs w:val="22"/>
          <w:lang w:eastAsia="en-US"/>
        </w:rPr>
        <w:t>ultractividad</w:t>
      </w:r>
      <w:bookmarkStart w:id="10" w:name="_ftnref20"/>
      <w:r>
        <w:rPr>
          <w:rFonts w:ascii="Arial" w:hAnsi="Arial" w:cs="Arial"/>
          <w:bCs/>
          <w:color w:val="000000"/>
          <w:sz w:val="22"/>
          <w:szCs w:val="22"/>
          <w:lang w:eastAsia="en-US"/>
        </w:rPr>
        <w:t>, que se configura en los eventos en que se</w:t>
      </w:r>
      <w:bookmarkEnd w:id="10"/>
      <w:r>
        <w:rPr>
          <w:rFonts w:ascii="Arial" w:hAnsi="Arial" w:cs="Arial"/>
          <w:bCs/>
          <w:color w:val="000000"/>
          <w:sz w:val="22"/>
          <w:szCs w:val="22"/>
          <w:lang w:eastAsia="en-US"/>
        </w:rPr>
        <w:t xml:space="preserve"> aplica</w:t>
      </w:r>
      <w:r w:rsidR="00A301A8" w:rsidRPr="005C0BC0">
        <w:rPr>
          <w:rFonts w:ascii="Arial" w:hAnsi="Arial" w:cs="Arial"/>
          <w:bCs/>
          <w:color w:val="000000"/>
          <w:sz w:val="22"/>
          <w:szCs w:val="22"/>
          <w:lang w:eastAsia="en-US"/>
        </w:rPr>
        <w:t xml:space="preserve"> una norma que ha sido expresa o tácitamente derogada a situaciones de hecho que, si bien tuvieron lugar durante su vigencia, por el efecto general e inmediato de las leyes, en la actualidad sus efectos se encuentran cobijados por una nueva disposición jurídica. </w:t>
      </w:r>
      <w:r>
        <w:rPr>
          <w:rFonts w:ascii="Arial" w:hAnsi="Arial" w:cs="Arial"/>
          <w:bCs/>
          <w:color w:val="000000"/>
          <w:sz w:val="22"/>
          <w:szCs w:val="22"/>
          <w:lang w:eastAsia="en-US"/>
        </w:rPr>
        <w:t xml:space="preserve">En tales eventos, </w:t>
      </w:r>
      <w:r w:rsidR="00A301A8" w:rsidRPr="005C0BC0">
        <w:rPr>
          <w:rFonts w:ascii="Arial" w:hAnsi="Arial" w:cs="Arial"/>
          <w:bCs/>
          <w:color w:val="000000"/>
          <w:sz w:val="22"/>
          <w:szCs w:val="22"/>
          <w:lang w:eastAsia="en-US"/>
        </w:rPr>
        <w:t>aunque la nueva ley es de aplicación inmediata, en virtud del fenómeno de la ultractividad se admite la pervivencia de la normativ</w:t>
      </w:r>
      <w:r w:rsidR="00F25F46">
        <w:rPr>
          <w:rFonts w:ascii="Arial" w:hAnsi="Arial" w:cs="Arial"/>
          <w:bCs/>
          <w:color w:val="000000"/>
          <w:sz w:val="22"/>
          <w:szCs w:val="22"/>
          <w:lang w:eastAsia="en-US"/>
        </w:rPr>
        <w:t>a</w:t>
      </w:r>
      <w:r w:rsidR="00A301A8" w:rsidRPr="005C0BC0">
        <w:rPr>
          <w:rFonts w:ascii="Arial" w:hAnsi="Arial" w:cs="Arial"/>
          <w:bCs/>
          <w:color w:val="000000"/>
          <w:sz w:val="22"/>
          <w:szCs w:val="22"/>
          <w:lang w:eastAsia="en-US"/>
        </w:rPr>
        <w:t xml:space="preserve"> anterior con el objetivo de preservar las condiciones </w:t>
      </w:r>
      <w:r>
        <w:rPr>
          <w:rFonts w:ascii="Arial" w:hAnsi="Arial" w:cs="Arial"/>
          <w:bCs/>
          <w:color w:val="000000"/>
          <w:sz w:val="22"/>
          <w:szCs w:val="22"/>
          <w:lang w:eastAsia="en-US"/>
        </w:rPr>
        <w:t xml:space="preserve">precedentes </w:t>
      </w:r>
      <w:r w:rsidR="00A301A8" w:rsidRPr="005C0BC0">
        <w:rPr>
          <w:rFonts w:ascii="Arial" w:hAnsi="Arial" w:cs="Arial"/>
          <w:bCs/>
          <w:color w:val="000000"/>
          <w:sz w:val="22"/>
          <w:szCs w:val="22"/>
          <w:lang w:eastAsia="en-US"/>
        </w:rPr>
        <w:t>de adquisición y extinción de una</w:t>
      </w:r>
      <w:r>
        <w:rPr>
          <w:rFonts w:ascii="Arial" w:hAnsi="Arial" w:cs="Arial"/>
          <w:bCs/>
          <w:color w:val="000000"/>
          <w:sz w:val="22"/>
          <w:szCs w:val="22"/>
          <w:lang w:eastAsia="en-US"/>
        </w:rPr>
        <w:t xml:space="preserve"> determinada relación jurídica; esto con el fin de respetar</w:t>
      </w:r>
      <w:r w:rsidR="00A301A8" w:rsidRPr="005C0BC0">
        <w:rPr>
          <w:rFonts w:ascii="Arial" w:hAnsi="Arial" w:cs="Arial"/>
          <w:bCs/>
          <w:color w:val="000000"/>
          <w:sz w:val="22"/>
          <w:szCs w:val="22"/>
          <w:lang w:eastAsia="en-US"/>
        </w:rPr>
        <w:t xml:space="preserve"> los derechos adquiridos y las legítimas expectativas de quienes se rigieron por la norma derogada</w:t>
      </w:r>
      <w:r>
        <w:rPr>
          <w:rStyle w:val="Refdenotaalpie"/>
          <w:rFonts w:ascii="Arial" w:hAnsi="Arial" w:cs="Arial"/>
          <w:bCs/>
          <w:color w:val="000000"/>
          <w:sz w:val="22"/>
          <w:szCs w:val="22"/>
          <w:lang w:eastAsia="en-US"/>
        </w:rPr>
        <w:footnoteReference w:id="5"/>
      </w:r>
      <w:r w:rsidR="00A301A8" w:rsidRPr="005C0BC0">
        <w:rPr>
          <w:rFonts w:ascii="Arial" w:hAnsi="Arial" w:cs="Arial"/>
          <w:bCs/>
          <w:color w:val="000000"/>
          <w:sz w:val="22"/>
          <w:szCs w:val="22"/>
          <w:lang w:eastAsia="en-US"/>
        </w:rPr>
        <w:t>.</w:t>
      </w:r>
    </w:p>
    <w:p w14:paraId="6903BAF4" w14:textId="77777777" w:rsidR="00A301A8" w:rsidRPr="00A301A8" w:rsidRDefault="00A301A8" w:rsidP="00E04114">
      <w:pPr>
        <w:widowControl w:val="0"/>
        <w:autoSpaceDE w:val="0"/>
        <w:autoSpaceDN w:val="0"/>
        <w:spacing w:after="0"/>
        <w:ind w:right="42"/>
        <w:rPr>
          <w:rFonts w:ascii="Arial" w:eastAsia="Arial" w:hAnsi="Arial" w:cs="Arial"/>
          <w:sz w:val="22"/>
          <w:szCs w:val="22"/>
          <w:lang w:val="es-CO" w:eastAsia="es-ES" w:bidi="es-ES"/>
        </w:rPr>
      </w:pPr>
      <w:r w:rsidRPr="00A301A8">
        <w:rPr>
          <w:rFonts w:ascii="Arial" w:eastAsia="Arial" w:hAnsi="Arial" w:cs="Arial"/>
          <w:sz w:val="22"/>
          <w:szCs w:val="22"/>
          <w:lang w:val="es-CO" w:eastAsia="es-ES" w:bidi="es-ES"/>
        </w:rPr>
        <w:t> </w:t>
      </w:r>
    </w:p>
    <w:p w14:paraId="6E9EE6A4" w14:textId="087D1CE5" w:rsidR="005C0BC0" w:rsidRDefault="001230DB" w:rsidP="005C0BC0">
      <w:pPr>
        <w:spacing w:after="0"/>
        <w:ind w:firstLine="720"/>
        <w:rPr>
          <w:rFonts w:ascii="Arial" w:hAnsi="Arial" w:cs="Arial"/>
          <w:bCs/>
          <w:color w:val="000000"/>
          <w:sz w:val="22"/>
          <w:szCs w:val="22"/>
          <w:lang w:eastAsia="en-US"/>
        </w:rPr>
      </w:pPr>
      <w:r>
        <w:rPr>
          <w:rFonts w:ascii="Arial" w:hAnsi="Arial" w:cs="Arial"/>
          <w:bCs/>
          <w:color w:val="000000"/>
          <w:sz w:val="22"/>
          <w:szCs w:val="22"/>
          <w:lang w:eastAsia="en-US"/>
        </w:rPr>
        <w:t xml:space="preserve">A ello debe agregarse que </w:t>
      </w:r>
      <w:r w:rsidR="005C0BC0">
        <w:rPr>
          <w:rFonts w:ascii="Arial" w:hAnsi="Arial" w:cs="Arial"/>
          <w:bCs/>
          <w:color w:val="000000"/>
          <w:sz w:val="22"/>
          <w:szCs w:val="22"/>
          <w:lang w:eastAsia="en-US"/>
        </w:rPr>
        <w:t xml:space="preserve">la regla general del efecto general inmediato de las leyes </w:t>
      </w:r>
      <w:r>
        <w:rPr>
          <w:rFonts w:ascii="Arial" w:hAnsi="Arial" w:cs="Arial"/>
          <w:bCs/>
          <w:color w:val="000000"/>
          <w:sz w:val="22"/>
          <w:szCs w:val="22"/>
          <w:lang w:eastAsia="en-US"/>
        </w:rPr>
        <w:t xml:space="preserve">se aplica </w:t>
      </w:r>
      <w:r w:rsidR="00B06E9F">
        <w:rPr>
          <w:rFonts w:ascii="Arial" w:hAnsi="Arial" w:cs="Arial"/>
          <w:bCs/>
          <w:color w:val="000000"/>
          <w:sz w:val="22"/>
          <w:szCs w:val="22"/>
          <w:lang w:eastAsia="en-US"/>
        </w:rPr>
        <w:t>también</w:t>
      </w:r>
      <w:r w:rsidR="000550CE">
        <w:rPr>
          <w:rFonts w:ascii="Arial" w:hAnsi="Arial" w:cs="Arial"/>
          <w:bCs/>
          <w:color w:val="000000"/>
          <w:sz w:val="22"/>
          <w:szCs w:val="22"/>
          <w:lang w:eastAsia="en-US"/>
        </w:rPr>
        <w:t xml:space="preserve"> </w:t>
      </w:r>
      <w:r>
        <w:rPr>
          <w:rFonts w:ascii="Arial" w:hAnsi="Arial" w:cs="Arial"/>
          <w:bCs/>
          <w:color w:val="000000"/>
          <w:sz w:val="22"/>
          <w:szCs w:val="22"/>
          <w:lang w:eastAsia="en-US"/>
        </w:rPr>
        <w:t xml:space="preserve">bajo el efecto del </w:t>
      </w:r>
      <w:r w:rsidR="00A301A8" w:rsidRPr="005C0BC0">
        <w:rPr>
          <w:rFonts w:ascii="Arial" w:hAnsi="Arial" w:cs="Arial"/>
          <w:bCs/>
          <w:color w:val="000000"/>
          <w:sz w:val="22"/>
          <w:szCs w:val="22"/>
          <w:lang w:eastAsia="en-US"/>
        </w:rPr>
        <w:t xml:space="preserve">fenómeno de la retrospectividad, </w:t>
      </w:r>
      <w:r w:rsidR="005C0BC0">
        <w:rPr>
          <w:rFonts w:ascii="Arial" w:hAnsi="Arial" w:cs="Arial"/>
          <w:bCs/>
          <w:color w:val="000000"/>
          <w:sz w:val="22"/>
          <w:szCs w:val="22"/>
          <w:lang w:eastAsia="en-US"/>
        </w:rPr>
        <w:t>el cual ocurre</w:t>
      </w:r>
      <w:r w:rsidR="00A301A8" w:rsidRPr="005C0BC0">
        <w:rPr>
          <w:rFonts w:ascii="Arial" w:hAnsi="Arial" w:cs="Arial"/>
          <w:bCs/>
          <w:color w:val="000000"/>
          <w:sz w:val="22"/>
          <w:szCs w:val="22"/>
          <w:lang w:eastAsia="en-US"/>
        </w:rPr>
        <w:t xml:space="preserve"> cuando las normas se aplican a situaciones que</w:t>
      </w:r>
      <w:r>
        <w:rPr>
          <w:rFonts w:ascii="Arial" w:hAnsi="Arial" w:cs="Arial"/>
          <w:bCs/>
          <w:color w:val="000000"/>
          <w:sz w:val="22"/>
          <w:szCs w:val="22"/>
          <w:lang w:eastAsia="en-US"/>
        </w:rPr>
        <w:t>,</w:t>
      </w:r>
      <w:r w:rsidR="00A301A8" w:rsidRPr="005C0BC0">
        <w:rPr>
          <w:rFonts w:ascii="Arial" w:hAnsi="Arial" w:cs="Arial"/>
          <w:bCs/>
          <w:color w:val="000000"/>
          <w:sz w:val="22"/>
          <w:szCs w:val="22"/>
          <w:lang w:eastAsia="en-US"/>
        </w:rPr>
        <w:t xml:space="preserve"> si bien surgieron con anterioridad a su entrada en vigencia, sus efectos jurídicos no se han consolidado al momento en que cobra vigor la nueva ley. </w:t>
      </w:r>
    </w:p>
    <w:p w14:paraId="0AFA4F9B" w14:textId="77777777" w:rsidR="005C0BC0" w:rsidRDefault="005C0BC0" w:rsidP="00B06E9F">
      <w:pPr>
        <w:spacing w:after="0"/>
        <w:ind w:firstLine="720"/>
        <w:rPr>
          <w:rFonts w:ascii="Arial" w:hAnsi="Arial" w:cs="Arial"/>
          <w:bCs/>
          <w:color w:val="000000"/>
          <w:sz w:val="22"/>
          <w:szCs w:val="22"/>
          <w:lang w:eastAsia="en-US"/>
        </w:rPr>
      </w:pPr>
    </w:p>
    <w:p w14:paraId="2A087C59" w14:textId="149BFF9C" w:rsidR="001230DB" w:rsidRDefault="001230DB" w:rsidP="00B06E9F">
      <w:pPr>
        <w:widowControl w:val="0"/>
        <w:tabs>
          <w:tab w:val="left" w:pos="8918"/>
        </w:tabs>
        <w:autoSpaceDE w:val="0"/>
        <w:autoSpaceDN w:val="0"/>
        <w:spacing w:after="0" w:line="273" w:lineRule="auto"/>
        <w:ind w:right="49" w:firstLine="709"/>
        <w:rPr>
          <w:rFonts w:ascii="Arial" w:hAnsi="Arial" w:cs="Arial"/>
          <w:bCs/>
          <w:color w:val="000000"/>
          <w:sz w:val="22"/>
          <w:szCs w:val="22"/>
          <w:lang w:eastAsia="en-US"/>
        </w:rPr>
      </w:pPr>
      <w:r>
        <w:rPr>
          <w:rFonts w:ascii="Arial" w:hAnsi="Arial" w:cs="Arial"/>
          <w:bCs/>
          <w:color w:val="000000"/>
          <w:sz w:val="22"/>
          <w:szCs w:val="22"/>
          <w:lang w:eastAsia="en-US"/>
        </w:rPr>
        <w:t xml:space="preserve">Con </w:t>
      </w:r>
      <w:r w:rsidR="00F25F46">
        <w:rPr>
          <w:rFonts w:ascii="Arial" w:hAnsi="Arial" w:cs="Arial"/>
          <w:bCs/>
          <w:color w:val="000000"/>
          <w:sz w:val="22"/>
          <w:szCs w:val="22"/>
          <w:lang w:eastAsia="en-US"/>
        </w:rPr>
        <w:t xml:space="preserve">fundamento </w:t>
      </w:r>
      <w:r>
        <w:rPr>
          <w:rFonts w:ascii="Arial" w:hAnsi="Arial" w:cs="Arial"/>
          <w:bCs/>
          <w:color w:val="000000"/>
          <w:sz w:val="22"/>
          <w:szCs w:val="22"/>
          <w:lang w:eastAsia="en-US"/>
        </w:rPr>
        <w:t xml:space="preserve">en lo anterior, la Corte Constitucional ha señalado </w:t>
      </w:r>
      <w:r w:rsidR="00F25F46">
        <w:rPr>
          <w:rFonts w:ascii="Arial" w:hAnsi="Arial" w:cs="Arial"/>
          <w:bCs/>
          <w:color w:val="000000"/>
          <w:sz w:val="22"/>
          <w:szCs w:val="22"/>
          <w:lang w:eastAsia="en-US"/>
        </w:rPr>
        <w:t>algunas reglas</w:t>
      </w:r>
      <w:r w:rsidR="00A301A8" w:rsidRPr="001230DB">
        <w:rPr>
          <w:rFonts w:ascii="Arial" w:hAnsi="Arial" w:cs="Arial"/>
          <w:bCs/>
          <w:color w:val="000000"/>
          <w:sz w:val="22"/>
          <w:szCs w:val="22"/>
          <w:lang w:eastAsia="en-US"/>
        </w:rPr>
        <w:t xml:space="preserve"> sobre </w:t>
      </w:r>
      <w:r w:rsidR="00F25F46">
        <w:rPr>
          <w:rFonts w:ascii="Arial" w:hAnsi="Arial" w:cs="Arial"/>
          <w:bCs/>
          <w:color w:val="000000"/>
          <w:sz w:val="22"/>
          <w:szCs w:val="22"/>
          <w:lang w:eastAsia="en-US"/>
        </w:rPr>
        <w:t xml:space="preserve">la </w:t>
      </w:r>
      <w:r w:rsidR="00A301A8" w:rsidRPr="001230DB">
        <w:rPr>
          <w:rFonts w:ascii="Arial" w:hAnsi="Arial" w:cs="Arial"/>
          <w:bCs/>
          <w:color w:val="000000"/>
          <w:sz w:val="22"/>
          <w:szCs w:val="22"/>
          <w:lang w:eastAsia="en-US"/>
        </w:rPr>
        <w:t>aplicación de la ley en el tiempo: </w:t>
      </w:r>
    </w:p>
    <w:p w14:paraId="55345E63" w14:textId="77777777" w:rsidR="001230DB" w:rsidRDefault="001230DB" w:rsidP="00B06E9F">
      <w:pPr>
        <w:widowControl w:val="0"/>
        <w:tabs>
          <w:tab w:val="left" w:pos="8918"/>
        </w:tabs>
        <w:autoSpaceDE w:val="0"/>
        <w:autoSpaceDN w:val="0"/>
        <w:spacing w:after="0" w:line="273" w:lineRule="auto"/>
        <w:ind w:right="622" w:firstLine="709"/>
        <w:rPr>
          <w:rFonts w:ascii="Arial" w:hAnsi="Arial" w:cs="Arial"/>
          <w:bCs/>
          <w:color w:val="000000"/>
          <w:sz w:val="22"/>
          <w:szCs w:val="22"/>
          <w:lang w:eastAsia="en-US"/>
        </w:rPr>
      </w:pPr>
    </w:p>
    <w:p w14:paraId="137BBB55" w14:textId="4B69D2E0" w:rsidR="00A301A8" w:rsidRPr="001230DB" w:rsidRDefault="00A301A8" w:rsidP="00EE4827">
      <w:pPr>
        <w:widowControl w:val="0"/>
        <w:tabs>
          <w:tab w:val="left" w:pos="8918"/>
        </w:tabs>
        <w:autoSpaceDE w:val="0"/>
        <w:autoSpaceDN w:val="0"/>
        <w:spacing w:after="0" w:line="240" w:lineRule="auto"/>
        <w:ind w:left="709" w:right="622"/>
        <w:rPr>
          <w:rFonts w:ascii="Arial" w:eastAsia="Arial" w:hAnsi="Arial" w:cs="Arial"/>
          <w:sz w:val="21"/>
          <w:szCs w:val="21"/>
          <w:lang w:val="es-CO" w:eastAsia="es-ES" w:bidi="es-ES"/>
        </w:rPr>
      </w:pPr>
      <w:r w:rsidRPr="001230DB">
        <w:rPr>
          <w:rFonts w:ascii="Arial" w:hAnsi="Arial" w:cs="Arial"/>
          <w:bCs/>
          <w:color w:val="000000"/>
          <w:sz w:val="21"/>
          <w:szCs w:val="21"/>
          <w:lang w:eastAsia="en-US"/>
        </w:rPr>
        <w:t>(i) por regla general las normas jurídicas se aplican de forma inmediata y hacia el futuro, pero con retrospectividad; (ii) el postulado de irretroactividad de la ley implica que una norma jurídica no tiene prima facie la virtud de regular situaciones jurídicas que se han consumado con arreglo a normas anteriores; (iii) la aplicación retrospectiva de una norma jurídica comporta la posibilidad de afectar situaciones fácticas y jurídicas que se han</w:t>
      </w:r>
      <w:r w:rsidRPr="001230DB">
        <w:rPr>
          <w:rFonts w:ascii="Arial" w:eastAsia="Arial" w:hAnsi="Arial" w:cs="Arial"/>
          <w:iCs/>
          <w:sz w:val="21"/>
          <w:szCs w:val="21"/>
          <w:lang w:val="es-CO" w:eastAsia="es-ES" w:bidi="es-ES"/>
        </w:rPr>
        <w:t xml:space="preserve"> originado con anterioridad a su vigencia, pero que </w:t>
      </w:r>
      <w:r w:rsidR="00F473C3" w:rsidRPr="001230DB">
        <w:rPr>
          <w:rFonts w:ascii="Arial" w:eastAsia="Arial" w:hAnsi="Arial" w:cs="Arial"/>
          <w:iCs/>
          <w:sz w:val="21"/>
          <w:szCs w:val="21"/>
          <w:lang w:val="es-CO" w:eastAsia="es-ES" w:bidi="es-ES"/>
        </w:rPr>
        <w:t>aún</w:t>
      </w:r>
      <w:r w:rsidRPr="001230DB">
        <w:rPr>
          <w:rFonts w:ascii="Arial" w:eastAsia="Arial" w:hAnsi="Arial" w:cs="Arial"/>
          <w:iCs/>
          <w:sz w:val="21"/>
          <w:szCs w:val="21"/>
          <w:lang w:val="es-CO" w:eastAsia="es-ES" w:bidi="es-ES"/>
        </w:rPr>
        <w:t xml:space="preserve"> no han finalizado al momento de entrar a regir la nueva norma, por encontrarse en curso la aludida situación jurídica </w:t>
      </w:r>
      <w:r w:rsidRPr="001230DB">
        <w:rPr>
          <w:rFonts w:ascii="Arial" w:eastAsia="Arial" w:hAnsi="Arial" w:cs="Arial"/>
          <w:iCs/>
          <w:sz w:val="21"/>
          <w:szCs w:val="21"/>
          <w:lang w:val="es-CO" w:eastAsia="es-ES" w:bidi="es-ES"/>
        </w:rPr>
        <w:lastRenderedPageBreak/>
        <w:t>y</w:t>
      </w:r>
      <w:r w:rsidRPr="007B16EC">
        <w:rPr>
          <w:rFonts w:ascii="Arial" w:eastAsia="Arial" w:hAnsi="Arial" w:cs="Arial"/>
          <w:iCs/>
          <w:sz w:val="21"/>
          <w:szCs w:val="21"/>
          <w:lang w:val="es-CO" w:eastAsia="es-ES" w:bidi="es-ES"/>
        </w:rPr>
        <w:t>; </w:t>
      </w:r>
      <w:r w:rsidRPr="007B16EC">
        <w:rPr>
          <w:rFonts w:ascii="Arial" w:eastAsia="Arial" w:hAnsi="Arial" w:cs="Arial"/>
          <w:bCs/>
          <w:iCs/>
          <w:sz w:val="21"/>
          <w:szCs w:val="21"/>
          <w:lang w:val="es-CO" w:eastAsia="es-ES" w:bidi="es-ES"/>
        </w:rPr>
        <w:t>(iv)</w:t>
      </w:r>
      <w:r w:rsidRPr="007B16EC">
        <w:rPr>
          <w:rFonts w:ascii="Arial" w:eastAsia="Arial" w:hAnsi="Arial" w:cs="Arial"/>
          <w:iCs/>
          <w:sz w:val="21"/>
          <w:szCs w:val="21"/>
          <w:lang w:val="es-CO" w:eastAsia="es-ES" w:bidi="es-ES"/>
        </w:rPr>
        <w:t> tratándose</w:t>
      </w:r>
      <w:r w:rsidRPr="001230DB">
        <w:rPr>
          <w:rFonts w:ascii="Arial" w:eastAsia="Arial" w:hAnsi="Arial" w:cs="Arial"/>
          <w:iCs/>
          <w:sz w:val="21"/>
          <w:szCs w:val="21"/>
          <w:lang w:val="es-CO" w:eastAsia="es-ES" w:bidi="es-ES"/>
        </w:rPr>
        <w:t xml:space="preserve"> de leyes que se introducen en el ordenamiento jurídico con el objeto de superar situaciones de marcada inequidad y discriminación (tuitivas), el juzgador debe tener en cuenta, al momento de establecer su aplicación en el tiempo, la posibilidad de afectar retrospectivamente situaciones jurídicas en curso, en cuanto el propósito de estas disposiciones es brindar una pronta y cumplida protecci</w:t>
      </w:r>
      <w:bookmarkStart w:id="11" w:name="_ftnref26"/>
      <w:r w:rsidR="001230DB" w:rsidRPr="001230DB">
        <w:rPr>
          <w:rFonts w:ascii="Arial" w:eastAsia="Arial" w:hAnsi="Arial" w:cs="Arial"/>
          <w:iCs/>
          <w:sz w:val="21"/>
          <w:szCs w:val="21"/>
          <w:lang w:val="es-CO" w:eastAsia="es-ES" w:bidi="es-ES"/>
        </w:rPr>
        <w:t>ón a grupos sociales marginados</w:t>
      </w:r>
      <w:hyperlink r:id="rId9" w:anchor="_ftn26" w:history="1">
        <w:r w:rsidR="001230DB" w:rsidRPr="001230DB">
          <w:rPr>
            <w:rStyle w:val="Refdenotaalpie"/>
            <w:rFonts w:ascii="Arial" w:eastAsia="Arial" w:hAnsi="Arial" w:cs="Arial"/>
            <w:sz w:val="21"/>
            <w:szCs w:val="21"/>
            <w:lang w:val="es-CO" w:eastAsia="es-ES" w:bidi="es-ES"/>
          </w:rPr>
          <w:footnoteReference w:id="6"/>
        </w:r>
      </w:hyperlink>
      <w:bookmarkEnd w:id="11"/>
      <w:r w:rsidR="00F25F46">
        <w:rPr>
          <w:rFonts w:ascii="Arial" w:eastAsia="Arial" w:hAnsi="Arial" w:cs="Arial"/>
          <w:sz w:val="21"/>
          <w:szCs w:val="21"/>
          <w:lang w:val="es-CO" w:eastAsia="es-ES" w:bidi="es-ES"/>
        </w:rPr>
        <w:t>.</w:t>
      </w:r>
    </w:p>
    <w:p w14:paraId="0CCE76E3" w14:textId="77777777" w:rsidR="00A301A8" w:rsidRPr="001230DB" w:rsidRDefault="00A301A8" w:rsidP="00A301A8">
      <w:pPr>
        <w:widowControl w:val="0"/>
        <w:autoSpaceDE w:val="0"/>
        <w:autoSpaceDN w:val="0"/>
        <w:spacing w:after="0" w:line="273" w:lineRule="auto"/>
        <w:ind w:left="300" w:right="622"/>
        <w:rPr>
          <w:rFonts w:ascii="Arial" w:eastAsia="Arial" w:hAnsi="Arial" w:cs="Arial"/>
          <w:sz w:val="22"/>
          <w:szCs w:val="22"/>
          <w:lang w:val="es-CO" w:eastAsia="es-ES" w:bidi="es-ES"/>
        </w:rPr>
      </w:pPr>
      <w:r w:rsidRPr="001230DB">
        <w:rPr>
          <w:rFonts w:ascii="Arial" w:eastAsia="Arial" w:hAnsi="Arial" w:cs="Arial"/>
          <w:sz w:val="22"/>
          <w:szCs w:val="22"/>
          <w:lang w:val="es-CO" w:eastAsia="es-ES" w:bidi="es-ES"/>
        </w:rPr>
        <w:t> </w:t>
      </w:r>
    </w:p>
    <w:p w14:paraId="591E8376" w14:textId="4B16E8A1" w:rsidR="009C522D" w:rsidRDefault="00F25F46" w:rsidP="00874B15">
      <w:pPr>
        <w:spacing w:after="0"/>
        <w:ind w:firstLine="720"/>
        <w:rPr>
          <w:rFonts w:ascii="Arial" w:hAnsi="Arial" w:cs="Arial"/>
          <w:bCs/>
          <w:color w:val="000000"/>
          <w:sz w:val="22"/>
          <w:szCs w:val="22"/>
          <w:lang w:eastAsia="en-US"/>
        </w:rPr>
      </w:pPr>
      <w:bookmarkStart w:id="12" w:name="_Hlk105839302"/>
      <w:r>
        <w:rPr>
          <w:rFonts w:ascii="Arial" w:hAnsi="Arial" w:cs="Arial"/>
          <w:bCs/>
          <w:color w:val="000000"/>
          <w:sz w:val="22"/>
          <w:szCs w:val="22"/>
          <w:lang w:eastAsia="en-US"/>
        </w:rPr>
        <w:t>De acuerdo con lo anterior</w:t>
      </w:r>
      <w:r w:rsidR="00A301A8" w:rsidRPr="007B16EC">
        <w:rPr>
          <w:rFonts w:ascii="Arial" w:hAnsi="Arial" w:cs="Arial"/>
          <w:bCs/>
          <w:color w:val="000000"/>
          <w:sz w:val="22"/>
          <w:szCs w:val="22"/>
          <w:lang w:eastAsia="en-US"/>
        </w:rPr>
        <w:t xml:space="preserve">, </w:t>
      </w:r>
      <w:bookmarkEnd w:id="12"/>
      <w:r w:rsidR="00874B15">
        <w:rPr>
          <w:rFonts w:ascii="Arial" w:hAnsi="Arial" w:cs="Arial"/>
          <w:bCs/>
          <w:color w:val="000000"/>
          <w:sz w:val="22"/>
          <w:szCs w:val="22"/>
          <w:lang w:eastAsia="en-US"/>
        </w:rPr>
        <w:t>p</w:t>
      </w:r>
      <w:r w:rsidR="00874B15" w:rsidRPr="00874B15">
        <w:rPr>
          <w:rFonts w:ascii="Arial" w:hAnsi="Arial" w:cs="Arial"/>
          <w:bCs/>
          <w:color w:val="000000"/>
          <w:sz w:val="22"/>
          <w:szCs w:val="22"/>
          <w:lang w:eastAsia="en-US"/>
        </w:rPr>
        <w:t xml:space="preserve">or regla general la ley tiene efecto general inmediato y es irretroactiva, es decir, solo produce afectos hacia el futuro. Sin embargo, hay excepciones a esta regla, expresamente autorizadas por el legislador, como ocurre con la retroactividad, la ultractividad y la retrospectividad, referidas en los párrafos precedentes. </w:t>
      </w:r>
    </w:p>
    <w:p w14:paraId="3B20C8A8" w14:textId="77777777" w:rsidR="009C522D" w:rsidRDefault="009C522D" w:rsidP="00874B15">
      <w:pPr>
        <w:spacing w:after="0"/>
        <w:ind w:firstLine="720"/>
        <w:rPr>
          <w:rFonts w:ascii="Arial" w:hAnsi="Arial" w:cs="Arial"/>
          <w:bCs/>
          <w:color w:val="000000"/>
          <w:sz w:val="22"/>
          <w:szCs w:val="22"/>
          <w:lang w:eastAsia="en-US"/>
        </w:rPr>
      </w:pPr>
    </w:p>
    <w:p w14:paraId="554C8718" w14:textId="36AAA7CA" w:rsidR="006E279C" w:rsidRDefault="00874B15" w:rsidP="00874B15">
      <w:pPr>
        <w:spacing w:after="0"/>
        <w:ind w:firstLine="720"/>
        <w:rPr>
          <w:rFonts w:ascii="Arial" w:eastAsia="Arial" w:hAnsi="Arial" w:cs="Arial"/>
          <w:sz w:val="18"/>
          <w:szCs w:val="22"/>
          <w:lang w:val="es-ES" w:eastAsia="es-ES" w:bidi="es-ES"/>
        </w:rPr>
      </w:pPr>
      <w:r w:rsidRPr="00874B15">
        <w:rPr>
          <w:rFonts w:ascii="Arial" w:hAnsi="Arial" w:cs="Arial"/>
          <w:bCs/>
          <w:color w:val="000000"/>
          <w:sz w:val="22"/>
          <w:szCs w:val="22"/>
          <w:lang w:eastAsia="en-US"/>
        </w:rPr>
        <w:t>Con base en dichas reglas se debe</w:t>
      </w:r>
      <w:r w:rsidR="00F25F46">
        <w:rPr>
          <w:rFonts w:ascii="Arial" w:hAnsi="Arial" w:cs="Arial"/>
          <w:bCs/>
          <w:color w:val="000000"/>
          <w:sz w:val="22"/>
          <w:szCs w:val="22"/>
          <w:lang w:eastAsia="en-US"/>
        </w:rPr>
        <w:t>n</w:t>
      </w:r>
      <w:r w:rsidRPr="00874B15">
        <w:rPr>
          <w:rFonts w:ascii="Arial" w:hAnsi="Arial" w:cs="Arial"/>
          <w:bCs/>
          <w:color w:val="000000"/>
          <w:sz w:val="22"/>
          <w:szCs w:val="22"/>
          <w:lang w:eastAsia="en-US"/>
        </w:rPr>
        <w:t xml:space="preserve"> analizar los efectos en el tiempo de la Ley 2195 del 2022, para lo cual resulta pertinente tener en cuenta que fue promulgada el 18 de enero del presente año y que en su artículo 69 se </w:t>
      </w:r>
      <w:r w:rsidR="00F25F46">
        <w:rPr>
          <w:rFonts w:ascii="Arial" w:hAnsi="Arial" w:cs="Arial"/>
          <w:bCs/>
          <w:color w:val="000000"/>
          <w:sz w:val="22"/>
          <w:szCs w:val="22"/>
          <w:lang w:eastAsia="en-US"/>
        </w:rPr>
        <w:t>estableció</w:t>
      </w:r>
      <w:r w:rsidR="00F25F46" w:rsidRPr="00874B15">
        <w:rPr>
          <w:rFonts w:ascii="Arial" w:hAnsi="Arial" w:cs="Arial"/>
          <w:bCs/>
          <w:color w:val="000000"/>
          <w:sz w:val="22"/>
          <w:szCs w:val="22"/>
          <w:lang w:eastAsia="en-US"/>
        </w:rPr>
        <w:t xml:space="preserve"> </w:t>
      </w:r>
      <w:r w:rsidRPr="00874B15">
        <w:rPr>
          <w:rFonts w:ascii="Arial" w:hAnsi="Arial" w:cs="Arial"/>
          <w:bCs/>
          <w:color w:val="000000"/>
          <w:sz w:val="22"/>
          <w:szCs w:val="22"/>
          <w:lang w:eastAsia="en-US"/>
        </w:rPr>
        <w:t>de forma expresa que sus disposiciones regirían a partir de su promulgación. Ahora bien, como el legislador no contempló excepciones a su efecto general inmediato, significa que el operador jurídico debe proceder a su aplicación en los términos en que fue definida su vigencia, es decir</w:t>
      </w:r>
      <w:r w:rsidR="005575AA">
        <w:rPr>
          <w:rFonts w:ascii="Arial" w:hAnsi="Arial" w:cs="Arial"/>
          <w:bCs/>
          <w:color w:val="000000"/>
          <w:sz w:val="22"/>
          <w:szCs w:val="22"/>
          <w:lang w:eastAsia="en-US"/>
        </w:rPr>
        <w:t>,</w:t>
      </w:r>
      <w:r w:rsidRPr="00874B15">
        <w:rPr>
          <w:rFonts w:ascii="Arial" w:hAnsi="Arial" w:cs="Arial"/>
          <w:bCs/>
          <w:color w:val="000000"/>
          <w:sz w:val="22"/>
          <w:szCs w:val="22"/>
          <w:lang w:eastAsia="en-US"/>
        </w:rPr>
        <w:t xml:space="preserve"> a partir del 18 de enero del 2022. Por lo tanto, los efectos del artículo 50 de la Ley 2195 de 2022 se producen hacia el futuro desde la fecha mencionada.</w:t>
      </w:r>
    </w:p>
    <w:p w14:paraId="09A6890F" w14:textId="77777777" w:rsidR="00874B15" w:rsidRDefault="00874B15" w:rsidP="006E279C">
      <w:pPr>
        <w:tabs>
          <w:tab w:val="left" w:pos="284"/>
        </w:tabs>
        <w:spacing w:after="0"/>
        <w:rPr>
          <w:rFonts w:ascii="Arial" w:eastAsia="Arial" w:hAnsi="Arial" w:cs="Arial"/>
          <w:b/>
          <w:color w:val="000000"/>
          <w:sz w:val="22"/>
          <w:szCs w:val="22"/>
        </w:rPr>
      </w:pPr>
    </w:p>
    <w:p w14:paraId="47996DF3" w14:textId="5C7B84E7" w:rsidR="00897E75" w:rsidRDefault="003E3EF7" w:rsidP="006E279C">
      <w:pPr>
        <w:tabs>
          <w:tab w:val="left" w:pos="284"/>
        </w:tabs>
        <w:spacing w:after="0"/>
        <w:rPr>
          <w:rFonts w:ascii="Arial" w:eastAsia="Arial" w:hAnsi="Arial" w:cs="Arial"/>
          <w:b/>
          <w:color w:val="000000"/>
          <w:sz w:val="22"/>
          <w:szCs w:val="22"/>
        </w:rPr>
      </w:pPr>
      <w:r w:rsidRPr="006A06F2">
        <w:rPr>
          <w:rFonts w:ascii="Arial" w:eastAsia="Arial" w:hAnsi="Arial" w:cs="Arial"/>
          <w:b/>
          <w:color w:val="000000"/>
          <w:sz w:val="22"/>
          <w:szCs w:val="22"/>
        </w:rPr>
        <w:t>Respuesta</w:t>
      </w:r>
    </w:p>
    <w:p w14:paraId="7AA2213E" w14:textId="77777777" w:rsidR="00D424A6" w:rsidRDefault="00D424A6" w:rsidP="00AB7A7F">
      <w:pPr>
        <w:spacing w:after="0"/>
        <w:ind w:right="709"/>
        <w:rPr>
          <w:rFonts w:ascii="Arial" w:eastAsia="Arial" w:hAnsi="Arial" w:cs="Arial"/>
          <w:color w:val="000000"/>
          <w:sz w:val="21"/>
          <w:szCs w:val="21"/>
        </w:rPr>
      </w:pPr>
    </w:p>
    <w:p w14:paraId="1AC6F7F1" w14:textId="0C363808" w:rsidR="007B16EC" w:rsidRDefault="006E279C" w:rsidP="004A66FB">
      <w:pPr>
        <w:spacing w:after="0" w:line="240" w:lineRule="auto"/>
        <w:ind w:left="709" w:right="709"/>
        <w:rPr>
          <w:rFonts w:ascii="Arial" w:eastAsia="Arial" w:hAnsi="Arial" w:cs="Arial"/>
          <w:bCs/>
          <w:color w:val="000000"/>
          <w:sz w:val="21"/>
          <w:szCs w:val="21"/>
          <w:lang w:val="es-ES"/>
        </w:rPr>
      </w:pPr>
      <w:r>
        <w:rPr>
          <w:rFonts w:ascii="Arial" w:eastAsia="Arial" w:hAnsi="Arial" w:cs="Arial"/>
          <w:bCs/>
          <w:color w:val="000000"/>
          <w:sz w:val="21"/>
          <w:szCs w:val="21"/>
        </w:rPr>
        <w:t>¿</w:t>
      </w:r>
      <w:r w:rsidR="007B16EC" w:rsidRPr="007B16EC">
        <w:rPr>
          <w:rFonts w:ascii="Arial" w:eastAsia="Arial" w:hAnsi="Arial" w:cs="Arial"/>
          <w:bCs/>
          <w:color w:val="000000"/>
          <w:sz w:val="21"/>
          <w:szCs w:val="21"/>
        </w:rPr>
        <w:t>El artículo 50 Ley 2195 de 2022 aplica de manera exclusiva para las contrataciones celebradas con Entidades sometidas al Estatuto General de la Contratación</w:t>
      </w:r>
      <w:r w:rsidR="00F473C3" w:rsidRPr="007B16EC">
        <w:rPr>
          <w:rFonts w:ascii="Arial" w:eastAsia="Arial" w:hAnsi="Arial" w:cs="Arial"/>
          <w:bCs/>
          <w:color w:val="000000"/>
          <w:sz w:val="21"/>
          <w:szCs w:val="21"/>
        </w:rPr>
        <w:t>?</w:t>
      </w:r>
    </w:p>
    <w:p w14:paraId="3E92DBC7" w14:textId="3AE225AA" w:rsidR="007B16EC" w:rsidRDefault="007B16EC" w:rsidP="004A66FB">
      <w:pPr>
        <w:spacing w:after="0" w:line="240" w:lineRule="auto"/>
        <w:ind w:left="709" w:right="709"/>
        <w:rPr>
          <w:rFonts w:ascii="Arial" w:eastAsia="Arial" w:hAnsi="Arial" w:cs="Arial"/>
          <w:bCs/>
          <w:color w:val="000000"/>
          <w:sz w:val="21"/>
          <w:szCs w:val="21"/>
          <w:lang w:val="es-ES"/>
        </w:rPr>
      </w:pPr>
    </w:p>
    <w:p w14:paraId="4CFE4386" w14:textId="65BEBEF0" w:rsidR="007B16EC" w:rsidRPr="006E279C" w:rsidRDefault="007B16EC" w:rsidP="004A66FB">
      <w:pPr>
        <w:spacing w:after="0" w:line="240" w:lineRule="auto"/>
        <w:ind w:left="709" w:right="709"/>
        <w:rPr>
          <w:rFonts w:ascii="Arial" w:eastAsia="Arial" w:hAnsi="Arial" w:cs="Arial"/>
          <w:bCs/>
          <w:color w:val="000000"/>
          <w:sz w:val="21"/>
          <w:szCs w:val="21"/>
        </w:rPr>
      </w:pPr>
      <w:r w:rsidRPr="007B16EC">
        <w:rPr>
          <w:rFonts w:ascii="Arial" w:eastAsia="Arial" w:hAnsi="Arial" w:cs="Arial"/>
          <w:bCs/>
          <w:color w:val="000000"/>
          <w:sz w:val="21"/>
          <w:szCs w:val="21"/>
        </w:rPr>
        <w:tab/>
        <w:t>¿La contabilización que trata el referido artículo, debe realizarse también respecto a las contrataciones realizadas con Empresas industriales y comerciales del Estado</w:t>
      </w:r>
      <w:r w:rsidR="00F473C3" w:rsidRPr="007B16EC">
        <w:rPr>
          <w:rFonts w:ascii="Arial" w:eastAsia="Arial" w:hAnsi="Arial" w:cs="Arial"/>
          <w:bCs/>
          <w:color w:val="000000"/>
          <w:sz w:val="21"/>
          <w:szCs w:val="21"/>
        </w:rPr>
        <w:t>?</w:t>
      </w:r>
    </w:p>
    <w:p w14:paraId="35689219" w14:textId="77777777" w:rsidR="007B16EC" w:rsidRPr="007B16EC" w:rsidRDefault="007B16EC" w:rsidP="007B16EC">
      <w:pPr>
        <w:tabs>
          <w:tab w:val="left" w:pos="284"/>
        </w:tabs>
        <w:spacing w:after="0"/>
        <w:rPr>
          <w:rFonts w:ascii="Arial" w:eastAsia="Arial" w:hAnsi="Arial" w:cs="Arial"/>
          <w:color w:val="000000"/>
          <w:sz w:val="22"/>
          <w:szCs w:val="22"/>
        </w:rPr>
      </w:pPr>
    </w:p>
    <w:p w14:paraId="45F2532E" w14:textId="2518D640" w:rsidR="007B16EC" w:rsidRPr="007B16EC" w:rsidRDefault="007B16EC" w:rsidP="007B16EC">
      <w:pPr>
        <w:tabs>
          <w:tab w:val="left" w:pos="284"/>
        </w:tabs>
        <w:spacing w:after="0"/>
        <w:rPr>
          <w:rFonts w:ascii="Arial" w:eastAsia="Arial" w:hAnsi="Arial" w:cs="Arial"/>
          <w:color w:val="000000"/>
          <w:sz w:val="22"/>
          <w:szCs w:val="22"/>
        </w:rPr>
      </w:pPr>
      <w:r>
        <w:rPr>
          <w:rFonts w:ascii="Arial" w:eastAsia="Arial" w:hAnsi="Arial" w:cs="Arial"/>
          <w:color w:val="000000"/>
          <w:sz w:val="22"/>
          <w:szCs w:val="22"/>
        </w:rPr>
        <w:t>El deber consagrado en el artículo 50 de la Ley 2195 del 2022 tiene como destinatarios a las personas naturales o jurídicas obligadas a llevar contabilidad que tengan la condición de contratistas de cualquier entidad pública y ejecuten recursos públicos en dicha condición. Por lo tanto, se aplica respecto de todos los contratistas, al margen del régimen de contratación que deba observar la entidad contratante</w:t>
      </w:r>
      <w:r w:rsidR="00EC018E">
        <w:rPr>
          <w:rFonts w:ascii="Arial" w:eastAsia="Arial" w:hAnsi="Arial" w:cs="Arial"/>
          <w:color w:val="000000"/>
          <w:sz w:val="22"/>
          <w:szCs w:val="22"/>
        </w:rPr>
        <w:t>,</w:t>
      </w:r>
      <w:r w:rsidR="00DD690E">
        <w:rPr>
          <w:rFonts w:ascii="Arial" w:eastAsia="Arial" w:hAnsi="Arial" w:cs="Arial"/>
          <w:color w:val="000000"/>
          <w:sz w:val="22"/>
          <w:szCs w:val="22"/>
        </w:rPr>
        <w:t xml:space="preserve"> bien sea de aquellas sometidas al Estatuto General de Contratación de la Administración Pública, o aquellas que </w:t>
      </w:r>
      <w:r w:rsidR="006C2B34">
        <w:rPr>
          <w:rFonts w:ascii="Arial" w:eastAsia="Arial" w:hAnsi="Arial" w:cs="Arial"/>
          <w:color w:val="000000"/>
          <w:sz w:val="22"/>
          <w:szCs w:val="22"/>
        </w:rPr>
        <w:t xml:space="preserve">sean exceptuades de este y sometidas </w:t>
      </w:r>
      <w:r w:rsidR="004361B0">
        <w:rPr>
          <w:rFonts w:ascii="Arial" w:eastAsia="Arial" w:hAnsi="Arial" w:cs="Arial"/>
          <w:color w:val="000000"/>
          <w:sz w:val="22"/>
          <w:szCs w:val="22"/>
        </w:rPr>
        <w:t xml:space="preserve">a </w:t>
      </w:r>
      <w:r w:rsidR="006C2B34">
        <w:rPr>
          <w:rFonts w:ascii="Arial" w:eastAsia="Arial" w:hAnsi="Arial" w:cs="Arial"/>
          <w:color w:val="000000"/>
          <w:sz w:val="22"/>
          <w:szCs w:val="22"/>
        </w:rPr>
        <w:t xml:space="preserve">un régimen especial. </w:t>
      </w:r>
      <w:r w:rsidR="004361B0">
        <w:rPr>
          <w:rFonts w:ascii="Arial" w:eastAsia="Arial" w:hAnsi="Arial" w:cs="Arial"/>
          <w:color w:val="000000"/>
          <w:sz w:val="22"/>
          <w:szCs w:val="22"/>
        </w:rPr>
        <w:t>En consecuencia</w:t>
      </w:r>
      <w:r w:rsidR="006C2B34">
        <w:rPr>
          <w:rFonts w:ascii="Arial" w:eastAsia="Arial" w:hAnsi="Arial" w:cs="Arial"/>
          <w:color w:val="000000"/>
          <w:sz w:val="22"/>
          <w:szCs w:val="22"/>
        </w:rPr>
        <w:t>, la norma</w:t>
      </w:r>
      <w:r w:rsidR="00EC018E">
        <w:rPr>
          <w:rFonts w:ascii="Arial" w:eastAsia="Arial" w:hAnsi="Arial" w:cs="Arial"/>
          <w:color w:val="000000"/>
          <w:sz w:val="22"/>
          <w:szCs w:val="22"/>
        </w:rPr>
        <w:t xml:space="preserve"> </w:t>
      </w:r>
      <w:r w:rsidR="00A92E5C">
        <w:rPr>
          <w:rFonts w:ascii="Arial" w:eastAsia="Arial" w:hAnsi="Arial" w:cs="Arial"/>
          <w:color w:val="000000"/>
          <w:sz w:val="22"/>
          <w:szCs w:val="22"/>
        </w:rPr>
        <w:t xml:space="preserve">también </w:t>
      </w:r>
      <w:r w:rsidR="00EC018E">
        <w:rPr>
          <w:rFonts w:ascii="Arial" w:eastAsia="Arial" w:hAnsi="Arial" w:cs="Arial"/>
          <w:color w:val="000000"/>
          <w:sz w:val="22"/>
          <w:szCs w:val="22"/>
        </w:rPr>
        <w:t>se aplica a los contratistas de las empresas industriales y comerciales del Estado</w:t>
      </w:r>
      <w:r w:rsidR="008B600C">
        <w:rPr>
          <w:rFonts w:ascii="Arial" w:eastAsia="Arial" w:hAnsi="Arial" w:cs="Arial"/>
          <w:color w:val="000000"/>
          <w:sz w:val="22"/>
          <w:szCs w:val="22"/>
        </w:rPr>
        <w:t>.</w:t>
      </w:r>
    </w:p>
    <w:p w14:paraId="2C06442A" w14:textId="77777777" w:rsidR="00CC0803" w:rsidRDefault="00CC0803" w:rsidP="006E279C">
      <w:pPr>
        <w:spacing w:after="0"/>
        <w:rPr>
          <w:rFonts w:ascii="Arial" w:eastAsia="Arial" w:hAnsi="Arial" w:cs="Arial"/>
          <w:bCs/>
          <w:color w:val="000000"/>
          <w:sz w:val="21"/>
          <w:szCs w:val="21"/>
        </w:rPr>
      </w:pPr>
    </w:p>
    <w:p w14:paraId="37CDA79F" w14:textId="11ED0B5B" w:rsidR="007B16EC" w:rsidRDefault="007B16EC" w:rsidP="004A66FB">
      <w:pPr>
        <w:spacing w:after="0" w:line="240" w:lineRule="auto"/>
        <w:ind w:left="709"/>
        <w:rPr>
          <w:rFonts w:ascii="Arial" w:eastAsia="Arial" w:hAnsi="Arial" w:cs="Arial"/>
          <w:bCs/>
          <w:color w:val="000000"/>
          <w:sz w:val="21"/>
          <w:szCs w:val="21"/>
          <w:lang w:val="es-ES"/>
        </w:rPr>
      </w:pPr>
      <w:r>
        <w:rPr>
          <w:rFonts w:ascii="Arial" w:eastAsia="Arial" w:hAnsi="Arial" w:cs="Arial"/>
          <w:bCs/>
          <w:color w:val="000000"/>
          <w:sz w:val="21"/>
          <w:szCs w:val="21"/>
          <w:lang w:val="es-ES"/>
        </w:rPr>
        <w:lastRenderedPageBreak/>
        <w:t>TERCERA INQUIETUD</w:t>
      </w:r>
    </w:p>
    <w:p w14:paraId="4DD95D1A" w14:textId="77777777" w:rsidR="00EC018E" w:rsidRPr="007B16EC" w:rsidRDefault="00EC018E" w:rsidP="004A66FB">
      <w:pPr>
        <w:spacing w:after="0" w:line="240" w:lineRule="auto"/>
        <w:ind w:left="709"/>
        <w:rPr>
          <w:rFonts w:ascii="Arial" w:eastAsia="Arial" w:hAnsi="Arial" w:cs="Arial"/>
          <w:bCs/>
          <w:color w:val="000000"/>
          <w:sz w:val="21"/>
          <w:szCs w:val="21"/>
        </w:rPr>
      </w:pPr>
    </w:p>
    <w:p w14:paraId="72BE0809" w14:textId="51217E32" w:rsidR="007B16EC" w:rsidRDefault="007B16EC" w:rsidP="004A66FB">
      <w:pPr>
        <w:spacing w:after="0" w:line="240" w:lineRule="auto"/>
        <w:ind w:left="709" w:right="616"/>
        <w:rPr>
          <w:rFonts w:ascii="Arial" w:eastAsia="Arial" w:hAnsi="Arial" w:cs="Arial"/>
          <w:bCs/>
          <w:color w:val="000000"/>
          <w:sz w:val="21"/>
          <w:szCs w:val="21"/>
          <w:lang w:val="es-ES"/>
        </w:rPr>
      </w:pPr>
      <w:r w:rsidRPr="007B16EC">
        <w:rPr>
          <w:rFonts w:ascii="Arial" w:eastAsia="Arial" w:hAnsi="Arial" w:cs="Arial"/>
          <w:bCs/>
          <w:color w:val="000000"/>
          <w:sz w:val="21"/>
          <w:szCs w:val="21"/>
        </w:rPr>
        <w:tab/>
        <w:t>3.</w:t>
      </w:r>
      <w:r w:rsidR="0058046D">
        <w:rPr>
          <w:rFonts w:ascii="Arial" w:eastAsia="Arial" w:hAnsi="Arial" w:cs="Arial"/>
          <w:bCs/>
          <w:color w:val="000000"/>
          <w:sz w:val="21"/>
          <w:szCs w:val="21"/>
        </w:rPr>
        <w:t xml:space="preserve"> </w:t>
      </w:r>
      <w:r w:rsidRPr="007B16EC">
        <w:rPr>
          <w:rFonts w:ascii="Arial" w:eastAsia="Arial" w:hAnsi="Arial" w:cs="Arial"/>
          <w:bCs/>
          <w:color w:val="000000"/>
          <w:sz w:val="21"/>
          <w:szCs w:val="21"/>
        </w:rPr>
        <w:t>¿Existe una base de datos en las cuales los contratistas puedan consultar la totalidad de Entidades Públicas existentes en Colombia y la naturaleza de las mismas?</w:t>
      </w:r>
    </w:p>
    <w:p w14:paraId="47132D2A" w14:textId="23B871D7" w:rsidR="00A463B1" w:rsidRDefault="00A463B1" w:rsidP="00A463B1">
      <w:pPr>
        <w:tabs>
          <w:tab w:val="left" w:pos="2685"/>
        </w:tabs>
        <w:spacing w:after="0"/>
        <w:ind w:left="709"/>
        <w:rPr>
          <w:rFonts w:ascii="Arial" w:eastAsia="Arial" w:hAnsi="Arial" w:cs="Arial"/>
          <w:bCs/>
          <w:color w:val="000000"/>
          <w:sz w:val="21"/>
          <w:szCs w:val="21"/>
          <w:lang w:val="es-ES"/>
        </w:rPr>
      </w:pPr>
      <w:r>
        <w:rPr>
          <w:rFonts w:ascii="Arial" w:eastAsia="Arial" w:hAnsi="Arial" w:cs="Arial"/>
          <w:bCs/>
          <w:color w:val="000000"/>
          <w:sz w:val="21"/>
          <w:szCs w:val="21"/>
          <w:lang w:val="es-ES"/>
        </w:rPr>
        <w:tab/>
      </w:r>
    </w:p>
    <w:p w14:paraId="026392AE" w14:textId="29F282A5" w:rsidR="00CC0803" w:rsidRPr="0003085F" w:rsidRDefault="00C96179" w:rsidP="00CC0803">
      <w:pPr>
        <w:spacing w:after="0"/>
        <w:rPr>
          <w:rFonts w:ascii="Arial" w:eastAsia="Arial" w:hAnsi="Arial" w:cs="Arial"/>
          <w:bCs/>
          <w:color w:val="000000"/>
          <w:sz w:val="22"/>
          <w:szCs w:val="22"/>
          <w:lang w:val="es-ES"/>
        </w:rPr>
      </w:pPr>
      <w:r w:rsidRPr="0003085F">
        <w:rPr>
          <w:rFonts w:ascii="Arial" w:eastAsia="Arial" w:hAnsi="Arial" w:cs="Arial"/>
          <w:bCs/>
          <w:color w:val="000000"/>
          <w:sz w:val="22"/>
          <w:szCs w:val="22"/>
          <w:lang w:val="es-ES"/>
        </w:rPr>
        <w:t>L</w:t>
      </w:r>
      <w:r w:rsidR="00A463B1" w:rsidRPr="0003085F">
        <w:rPr>
          <w:rFonts w:ascii="Arial" w:eastAsia="Arial" w:hAnsi="Arial" w:cs="Arial"/>
          <w:bCs/>
          <w:color w:val="000000"/>
          <w:sz w:val="22"/>
          <w:szCs w:val="22"/>
          <w:lang w:val="es-ES"/>
        </w:rPr>
        <w:t xml:space="preserve">a competencia de esta Agencia se circunscribe a las funciones previstas en el </w:t>
      </w:r>
      <w:r w:rsidR="00A463B1" w:rsidRPr="0003085F">
        <w:rPr>
          <w:rFonts w:ascii="Arial" w:eastAsia="Arial" w:hAnsi="Arial" w:cs="Arial"/>
          <w:bCs/>
          <w:color w:val="000000"/>
          <w:sz w:val="22"/>
          <w:szCs w:val="22"/>
        </w:rPr>
        <w:t>numeral 8 del artículo 11 y el numeral 5 del artículo 3 del Decreto Ley 4170 de 2011,</w:t>
      </w:r>
      <w:r w:rsidR="00EC1B87" w:rsidRPr="0003085F">
        <w:rPr>
          <w:rFonts w:ascii="Arial" w:eastAsia="Arial" w:hAnsi="Arial" w:cs="Arial"/>
          <w:bCs/>
          <w:color w:val="000000"/>
          <w:sz w:val="22"/>
          <w:szCs w:val="22"/>
        </w:rPr>
        <w:t xml:space="preserve"> </w:t>
      </w:r>
      <w:r w:rsidR="00CC0803" w:rsidRPr="0003085F">
        <w:rPr>
          <w:rFonts w:ascii="Arial" w:eastAsia="Arial" w:hAnsi="Arial" w:cs="Arial"/>
          <w:bCs/>
          <w:color w:val="000000"/>
          <w:sz w:val="22"/>
          <w:szCs w:val="22"/>
        </w:rPr>
        <w:t xml:space="preserve">en virtud de los cuales </w:t>
      </w:r>
      <w:r w:rsidR="00E03C2F" w:rsidRPr="0003085F">
        <w:rPr>
          <w:rFonts w:ascii="Arial" w:eastAsia="Arial" w:hAnsi="Arial" w:cs="Arial"/>
          <w:bCs/>
          <w:color w:val="000000"/>
          <w:sz w:val="22"/>
          <w:szCs w:val="22"/>
        </w:rPr>
        <w:t xml:space="preserve">Colombia Compra </w:t>
      </w:r>
      <w:r w:rsidR="00CC0803" w:rsidRPr="0003085F">
        <w:rPr>
          <w:rFonts w:ascii="Arial" w:eastAsia="Arial" w:hAnsi="Arial" w:cs="Arial"/>
          <w:bCs/>
          <w:color w:val="000000"/>
          <w:sz w:val="22"/>
          <w:szCs w:val="22"/>
        </w:rPr>
        <w:t xml:space="preserve">Eficiente resuelve las consultas sobre los asuntos de su competencia, esto es, sobre las temáticas de la contratación estatal y compras públicas relacionadas en los artículos citados. Por lo tanto, </w:t>
      </w:r>
      <w:r w:rsidR="00CC0803" w:rsidRPr="0003085F">
        <w:rPr>
          <w:rFonts w:ascii="Arial" w:eastAsia="Arial" w:hAnsi="Arial" w:cs="Arial"/>
          <w:bCs/>
          <w:color w:val="000000"/>
          <w:sz w:val="22"/>
          <w:szCs w:val="22"/>
          <w:lang w:val="es-ES"/>
        </w:rPr>
        <w:t>esta entidad solo tiene competencia para responder solicitudes sobre la aplicación de normas de carácter general en materia de compras y contratación pública. En ese sentido, resolver consultas sobre materias distintas a las referidas</w:t>
      </w:r>
      <w:r w:rsidR="0058046D" w:rsidRPr="0003085F">
        <w:rPr>
          <w:rFonts w:ascii="Arial" w:eastAsia="Arial" w:hAnsi="Arial" w:cs="Arial"/>
          <w:bCs/>
          <w:color w:val="000000"/>
          <w:sz w:val="22"/>
          <w:szCs w:val="22"/>
          <w:lang w:val="es-ES"/>
        </w:rPr>
        <w:t>, como la que se plantea,</w:t>
      </w:r>
      <w:r w:rsidR="00CC0803" w:rsidRPr="0003085F">
        <w:rPr>
          <w:rFonts w:ascii="Arial" w:eastAsia="Arial" w:hAnsi="Arial" w:cs="Arial"/>
          <w:bCs/>
          <w:color w:val="000000"/>
          <w:sz w:val="22"/>
          <w:szCs w:val="22"/>
          <w:lang w:val="es-ES"/>
        </w:rPr>
        <w:t xml:space="preserve"> desborda las funciones que le fueron asignadas.</w:t>
      </w:r>
    </w:p>
    <w:p w14:paraId="3D61FEC8" w14:textId="3B91621F" w:rsidR="00CC0803" w:rsidRDefault="00CC0803" w:rsidP="00CC0803">
      <w:pPr>
        <w:spacing w:after="0"/>
        <w:rPr>
          <w:rFonts w:ascii="Arial" w:eastAsia="Arial" w:hAnsi="Arial" w:cs="Arial"/>
          <w:bCs/>
          <w:color w:val="000000"/>
          <w:sz w:val="21"/>
          <w:szCs w:val="21"/>
          <w:lang w:val="es-ES"/>
        </w:rPr>
      </w:pPr>
    </w:p>
    <w:p w14:paraId="4E28C814" w14:textId="40464902" w:rsidR="0003085F" w:rsidRDefault="00700A8F" w:rsidP="0003085F">
      <w:pPr>
        <w:spacing w:after="0"/>
        <w:ind w:firstLine="720"/>
        <w:rPr>
          <w:rFonts w:ascii="Arial" w:hAnsi="Arial" w:cs="Arial"/>
          <w:bCs/>
          <w:color w:val="000000"/>
          <w:sz w:val="22"/>
          <w:szCs w:val="22"/>
          <w:lang w:val="es-CO" w:eastAsia="en-US"/>
        </w:rPr>
      </w:pPr>
      <w:r>
        <w:rPr>
          <w:rFonts w:ascii="Arial" w:hAnsi="Arial" w:cs="Arial"/>
          <w:bCs/>
          <w:color w:val="000000"/>
          <w:sz w:val="22"/>
          <w:szCs w:val="22"/>
          <w:lang w:val="es-ES" w:eastAsia="en-US"/>
        </w:rPr>
        <w:t xml:space="preserve">Ahora bien, en el ámbito de su competencia, </w:t>
      </w:r>
      <w:r>
        <w:rPr>
          <w:rFonts w:ascii="Arial" w:hAnsi="Arial" w:cs="Arial"/>
          <w:bCs/>
          <w:color w:val="000000"/>
          <w:sz w:val="22"/>
          <w:szCs w:val="22"/>
          <w:lang w:val="es-CO" w:eastAsia="en-US"/>
        </w:rPr>
        <w:t>l</w:t>
      </w:r>
      <w:r w:rsidR="0003085F">
        <w:rPr>
          <w:rFonts w:ascii="Arial" w:hAnsi="Arial" w:cs="Arial"/>
          <w:bCs/>
          <w:color w:val="000000"/>
          <w:sz w:val="22"/>
          <w:szCs w:val="22"/>
          <w:lang w:val="es-CO" w:eastAsia="en-US"/>
        </w:rPr>
        <w:t>a</w:t>
      </w:r>
      <w:r w:rsidR="0003085F" w:rsidRPr="0003085F">
        <w:rPr>
          <w:rFonts w:ascii="Arial" w:hAnsi="Arial" w:cs="Arial"/>
          <w:bCs/>
          <w:color w:val="000000"/>
          <w:sz w:val="22"/>
          <w:szCs w:val="22"/>
          <w:lang w:val="es-CO" w:eastAsia="en-US"/>
        </w:rPr>
        <w:t xml:space="preserve"> Agencia Nacional de Contratación Pública </w:t>
      </w:r>
      <w:r w:rsidR="00A92E5C">
        <w:rPr>
          <w:rFonts w:ascii="Arial" w:hAnsi="Arial" w:cs="Arial"/>
          <w:bCs/>
          <w:color w:val="000000"/>
          <w:sz w:val="22"/>
          <w:szCs w:val="22"/>
          <w:lang w:val="es-CO" w:eastAsia="en-US"/>
        </w:rPr>
        <w:t xml:space="preserve">– </w:t>
      </w:r>
      <w:r w:rsidR="0003085F" w:rsidRPr="0003085F">
        <w:rPr>
          <w:rFonts w:ascii="Arial" w:hAnsi="Arial" w:cs="Arial"/>
          <w:bCs/>
          <w:color w:val="000000"/>
          <w:sz w:val="22"/>
          <w:szCs w:val="22"/>
          <w:lang w:val="es-CO" w:eastAsia="en-US"/>
        </w:rPr>
        <w:t>Colombia Compra Eficiente tiene dispuesto para la consulta de los partícipes del sistema de compra pública el portal de datos abiertos, en el que podrá encontrar toda la información relacionada con la contratación que se adelanta en las plataformas administradas por la entidad, esto es</w:t>
      </w:r>
      <w:r w:rsidR="00A92E5C">
        <w:rPr>
          <w:rFonts w:ascii="Arial" w:hAnsi="Arial" w:cs="Arial"/>
          <w:bCs/>
          <w:color w:val="000000"/>
          <w:sz w:val="22"/>
          <w:szCs w:val="22"/>
          <w:lang w:val="es-CO" w:eastAsia="en-US"/>
        </w:rPr>
        <w:t>:</w:t>
      </w:r>
      <w:r w:rsidR="0003085F" w:rsidRPr="0003085F">
        <w:rPr>
          <w:rFonts w:ascii="Arial" w:hAnsi="Arial" w:cs="Arial"/>
          <w:bCs/>
          <w:color w:val="000000"/>
          <w:sz w:val="22"/>
          <w:szCs w:val="22"/>
          <w:lang w:val="es-CO" w:eastAsia="en-US"/>
        </w:rPr>
        <w:t xml:space="preserve"> </w:t>
      </w:r>
      <w:proofErr w:type="spellStart"/>
      <w:r w:rsidR="0003085F" w:rsidRPr="0003085F">
        <w:rPr>
          <w:rFonts w:ascii="Arial" w:hAnsi="Arial" w:cs="Arial"/>
          <w:bCs/>
          <w:color w:val="000000"/>
          <w:sz w:val="22"/>
          <w:szCs w:val="22"/>
          <w:lang w:val="es-CO" w:eastAsia="en-US"/>
        </w:rPr>
        <w:t>Secop</w:t>
      </w:r>
      <w:proofErr w:type="spellEnd"/>
      <w:r w:rsidR="0003085F" w:rsidRPr="0003085F">
        <w:rPr>
          <w:rFonts w:ascii="Arial" w:hAnsi="Arial" w:cs="Arial"/>
          <w:bCs/>
          <w:color w:val="000000"/>
          <w:sz w:val="22"/>
          <w:szCs w:val="22"/>
          <w:lang w:val="es-CO" w:eastAsia="en-US"/>
        </w:rPr>
        <w:t xml:space="preserve"> I, </w:t>
      </w:r>
      <w:proofErr w:type="spellStart"/>
      <w:r w:rsidR="0003085F" w:rsidRPr="0003085F">
        <w:rPr>
          <w:rFonts w:ascii="Arial" w:hAnsi="Arial" w:cs="Arial"/>
          <w:bCs/>
          <w:color w:val="000000"/>
          <w:sz w:val="22"/>
          <w:szCs w:val="22"/>
          <w:lang w:val="es-CO" w:eastAsia="en-US"/>
        </w:rPr>
        <w:t>Secop</w:t>
      </w:r>
      <w:proofErr w:type="spellEnd"/>
      <w:r w:rsidR="0003085F" w:rsidRPr="0003085F">
        <w:rPr>
          <w:rFonts w:ascii="Arial" w:hAnsi="Arial" w:cs="Arial"/>
          <w:bCs/>
          <w:color w:val="000000"/>
          <w:sz w:val="22"/>
          <w:szCs w:val="22"/>
          <w:lang w:val="es-CO" w:eastAsia="en-US"/>
        </w:rPr>
        <w:t xml:space="preserve"> II y tienda virtual del Estado Colombiano</w:t>
      </w:r>
      <w:r>
        <w:rPr>
          <w:rFonts w:ascii="Arial" w:hAnsi="Arial" w:cs="Arial"/>
          <w:bCs/>
          <w:color w:val="000000"/>
          <w:sz w:val="22"/>
          <w:szCs w:val="22"/>
          <w:lang w:val="es-CO" w:eastAsia="en-US"/>
        </w:rPr>
        <w:t>, lo cual podría serle útil para su interrogante.</w:t>
      </w:r>
      <w:r w:rsidR="0003085F">
        <w:rPr>
          <w:rFonts w:ascii="Arial" w:hAnsi="Arial" w:cs="Arial"/>
          <w:bCs/>
          <w:color w:val="000000"/>
          <w:sz w:val="22"/>
          <w:szCs w:val="22"/>
          <w:lang w:val="es-CO" w:eastAsia="en-US"/>
        </w:rPr>
        <w:t xml:space="preserve"> </w:t>
      </w:r>
      <w:r w:rsidR="0003085F" w:rsidRPr="0003085F">
        <w:rPr>
          <w:rFonts w:ascii="Arial" w:hAnsi="Arial" w:cs="Arial"/>
          <w:bCs/>
          <w:color w:val="000000"/>
          <w:sz w:val="22"/>
          <w:szCs w:val="22"/>
          <w:lang w:val="es-CO" w:eastAsia="en-US"/>
        </w:rPr>
        <w:t xml:space="preserve">Sin embargo, esta entidad no tiene una base de datos de todas las entidades públicas, por ser ajeno </w:t>
      </w:r>
      <w:r w:rsidR="00F31190">
        <w:rPr>
          <w:rFonts w:ascii="Arial" w:hAnsi="Arial" w:cs="Arial"/>
          <w:bCs/>
          <w:color w:val="000000"/>
          <w:sz w:val="22"/>
          <w:szCs w:val="22"/>
          <w:lang w:val="es-CO" w:eastAsia="en-US"/>
        </w:rPr>
        <w:t xml:space="preserve">a </w:t>
      </w:r>
      <w:r w:rsidR="0003085F" w:rsidRPr="0003085F">
        <w:rPr>
          <w:rFonts w:ascii="Arial" w:hAnsi="Arial" w:cs="Arial"/>
          <w:bCs/>
          <w:color w:val="000000"/>
          <w:sz w:val="22"/>
          <w:szCs w:val="22"/>
          <w:lang w:val="es-CO" w:eastAsia="en-US"/>
        </w:rPr>
        <w:t>su competencia como ente rector del sistema de compra pública y administrador del Secop.</w:t>
      </w:r>
    </w:p>
    <w:p w14:paraId="0D9090B1" w14:textId="77777777" w:rsidR="0003085F" w:rsidRDefault="0003085F" w:rsidP="0003085F">
      <w:pPr>
        <w:spacing w:after="0"/>
        <w:ind w:firstLine="720"/>
        <w:rPr>
          <w:rFonts w:ascii="Arial" w:hAnsi="Arial" w:cs="Arial"/>
          <w:bCs/>
          <w:color w:val="000000"/>
          <w:sz w:val="22"/>
          <w:szCs w:val="22"/>
          <w:lang w:val="es-CO" w:eastAsia="en-US"/>
        </w:rPr>
      </w:pPr>
    </w:p>
    <w:p w14:paraId="7E0B9F94" w14:textId="494EBC99" w:rsidR="0003085F" w:rsidRPr="0003085F" w:rsidRDefault="0003085F" w:rsidP="0003085F">
      <w:pPr>
        <w:spacing w:after="0"/>
        <w:ind w:firstLine="720"/>
        <w:rPr>
          <w:rFonts w:ascii="Arial" w:hAnsi="Arial" w:cs="Arial"/>
          <w:bCs/>
          <w:color w:val="000000"/>
          <w:sz w:val="22"/>
          <w:szCs w:val="22"/>
          <w:lang w:val="es-CO" w:eastAsia="en-US"/>
        </w:rPr>
      </w:pPr>
      <w:r w:rsidRPr="0003085F">
        <w:rPr>
          <w:rFonts w:ascii="Arial" w:hAnsi="Arial" w:cs="Arial"/>
          <w:bCs/>
          <w:color w:val="000000"/>
          <w:sz w:val="22"/>
          <w:szCs w:val="22"/>
          <w:lang w:val="es-CO" w:eastAsia="en-US"/>
        </w:rPr>
        <w:t xml:space="preserve">A lo anterior, se agrega, </w:t>
      </w:r>
      <w:r>
        <w:rPr>
          <w:rFonts w:ascii="Arial" w:hAnsi="Arial" w:cs="Arial"/>
          <w:bCs/>
          <w:color w:val="000000"/>
          <w:sz w:val="22"/>
          <w:szCs w:val="22"/>
          <w:lang w:val="es-CO" w:eastAsia="en-US"/>
        </w:rPr>
        <w:t xml:space="preserve">a </w:t>
      </w:r>
      <w:r w:rsidRPr="0003085F">
        <w:rPr>
          <w:rFonts w:ascii="Arial" w:hAnsi="Arial" w:cs="Arial"/>
          <w:bCs/>
          <w:color w:val="000000"/>
          <w:sz w:val="22"/>
          <w:szCs w:val="22"/>
          <w:lang w:val="es-CO" w:eastAsia="en-US"/>
        </w:rPr>
        <w:t xml:space="preserve">título informativo, </w:t>
      </w:r>
      <w:r>
        <w:rPr>
          <w:rFonts w:ascii="Arial" w:hAnsi="Arial" w:cs="Arial"/>
          <w:bCs/>
          <w:color w:val="000000"/>
          <w:sz w:val="22"/>
          <w:szCs w:val="22"/>
          <w:lang w:val="es-CO" w:eastAsia="en-US"/>
        </w:rPr>
        <w:t xml:space="preserve">que </w:t>
      </w:r>
      <w:r w:rsidRPr="0003085F">
        <w:rPr>
          <w:rFonts w:ascii="Arial" w:hAnsi="Arial" w:cs="Arial"/>
          <w:bCs/>
          <w:color w:val="000000"/>
          <w:sz w:val="22"/>
          <w:szCs w:val="22"/>
          <w:lang w:val="es-CO" w:eastAsia="en-US"/>
        </w:rPr>
        <w:t>el Departamento Administrativo de la Función Pública diseñó el Manual</w:t>
      </w:r>
      <w:r>
        <w:rPr>
          <w:rFonts w:ascii="Arial" w:eastAsia="Times New Roman" w:hAnsi="Arial" w:cs="Arial"/>
          <w:color w:val="000000"/>
          <w:sz w:val="22"/>
          <w:szCs w:val="22"/>
        </w:rPr>
        <w:t xml:space="preserve"> de la Estructura del Estado Colombiano en el cual se presenta la información que describe </w:t>
      </w:r>
      <w:r w:rsidRPr="006C085F">
        <w:rPr>
          <w:rFonts w:ascii="Arial" w:eastAsia="Times New Roman" w:hAnsi="Arial" w:cs="Arial"/>
          <w:color w:val="000000"/>
          <w:sz w:val="22"/>
          <w:szCs w:val="22"/>
        </w:rPr>
        <w:t xml:space="preserve">las Ramas del Poder Público: Legislativa, Ejecutiva y Judicial; los órganos autónomos e independientes; el Sistema Integral de Verdad, Justicia, Reparación y No Repetición; la organización electoral y los organismos de control, los cuales contribuyen al cumplimiento de las funciones del Estado. </w:t>
      </w:r>
      <w:r>
        <w:rPr>
          <w:rFonts w:ascii="Arial" w:eastAsia="Times New Roman" w:hAnsi="Arial" w:cs="Arial"/>
          <w:color w:val="000000"/>
          <w:sz w:val="22"/>
          <w:szCs w:val="22"/>
        </w:rPr>
        <w:t>El respectivo manual se encuentra en la página web de dicho Departamento</w:t>
      </w:r>
      <w:r w:rsidR="00A92E5C">
        <w:rPr>
          <w:rFonts w:ascii="Arial" w:eastAsia="Times New Roman" w:hAnsi="Arial" w:cs="Arial"/>
          <w:color w:val="000000"/>
          <w:sz w:val="22"/>
          <w:szCs w:val="22"/>
        </w:rPr>
        <w:t xml:space="preserve"> Administrativo</w:t>
      </w:r>
      <w:r>
        <w:rPr>
          <w:rStyle w:val="Refdenotaalpie"/>
          <w:rFonts w:ascii="Arial" w:eastAsia="Times New Roman" w:hAnsi="Arial" w:cs="Arial"/>
          <w:color w:val="000000"/>
          <w:sz w:val="22"/>
          <w:szCs w:val="22"/>
        </w:rPr>
        <w:footnoteReference w:id="7"/>
      </w:r>
      <w:r>
        <w:rPr>
          <w:rFonts w:ascii="Arial" w:eastAsia="Times New Roman" w:hAnsi="Arial" w:cs="Arial"/>
          <w:color w:val="000000"/>
          <w:sz w:val="22"/>
          <w:szCs w:val="22"/>
        </w:rPr>
        <w:t xml:space="preserve">. </w:t>
      </w:r>
    </w:p>
    <w:p w14:paraId="740153E7" w14:textId="156EA13E" w:rsidR="00CC0803" w:rsidRPr="00CC0803" w:rsidRDefault="000A3395" w:rsidP="000A3395">
      <w:pPr>
        <w:tabs>
          <w:tab w:val="left" w:pos="3243"/>
        </w:tabs>
        <w:spacing w:after="0"/>
        <w:rPr>
          <w:rFonts w:ascii="Arial" w:eastAsia="Arial" w:hAnsi="Arial" w:cs="Arial"/>
          <w:bCs/>
          <w:color w:val="000000"/>
          <w:sz w:val="21"/>
          <w:szCs w:val="21"/>
          <w:lang w:val="es-ES" w:bidi="es-ES"/>
        </w:rPr>
      </w:pPr>
      <w:r>
        <w:rPr>
          <w:rFonts w:ascii="Arial" w:eastAsia="Arial" w:hAnsi="Arial" w:cs="Arial"/>
          <w:bCs/>
          <w:color w:val="000000"/>
          <w:sz w:val="21"/>
          <w:szCs w:val="21"/>
          <w:lang w:val="es-ES" w:bidi="es-ES"/>
        </w:rPr>
        <w:tab/>
      </w:r>
    </w:p>
    <w:p w14:paraId="5B45E1E3" w14:textId="70B36AAD" w:rsidR="007B16EC" w:rsidRDefault="007B16EC" w:rsidP="004A66FB">
      <w:pPr>
        <w:spacing w:after="0" w:line="240" w:lineRule="auto"/>
        <w:ind w:left="709"/>
        <w:rPr>
          <w:rFonts w:ascii="Arial" w:eastAsia="Arial" w:hAnsi="Arial" w:cs="Arial"/>
          <w:bCs/>
          <w:color w:val="000000"/>
          <w:sz w:val="21"/>
          <w:szCs w:val="21"/>
        </w:rPr>
      </w:pPr>
      <w:r>
        <w:rPr>
          <w:rFonts w:ascii="Arial" w:eastAsia="Arial" w:hAnsi="Arial" w:cs="Arial"/>
          <w:bCs/>
          <w:color w:val="000000"/>
          <w:sz w:val="21"/>
          <w:szCs w:val="21"/>
        </w:rPr>
        <w:t>CUARTA INQUIETUD</w:t>
      </w:r>
    </w:p>
    <w:p w14:paraId="2FC7769A" w14:textId="77777777" w:rsidR="007B16EC" w:rsidRDefault="007B16EC" w:rsidP="004A66FB">
      <w:pPr>
        <w:spacing w:after="0" w:line="240" w:lineRule="auto"/>
        <w:ind w:left="709"/>
        <w:rPr>
          <w:rFonts w:ascii="Arial" w:eastAsia="Arial" w:hAnsi="Arial" w:cs="Arial"/>
          <w:bCs/>
          <w:color w:val="000000"/>
          <w:sz w:val="21"/>
          <w:szCs w:val="21"/>
        </w:rPr>
      </w:pPr>
    </w:p>
    <w:p w14:paraId="7F4726F2" w14:textId="66130153" w:rsidR="007B16EC" w:rsidRDefault="007B16EC" w:rsidP="004A66FB">
      <w:pPr>
        <w:spacing w:after="0" w:line="240" w:lineRule="auto"/>
        <w:ind w:left="709"/>
        <w:rPr>
          <w:rFonts w:ascii="Arial" w:eastAsia="Arial" w:hAnsi="Arial" w:cs="Arial"/>
          <w:bCs/>
          <w:color w:val="000000"/>
          <w:sz w:val="21"/>
          <w:szCs w:val="21"/>
          <w:lang w:val="es-ES"/>
        </w:rPr>
      </w:pPr>
      <w:r w:rsidRPr="007B16EC">
        <w:rPr>
          <w:rFonts w:ascii="Arial" w:eastAsia="Arial" w:hAnsi="Arial" w:cs="Arial"/>
          <w:bCs/>
          <w:color w:val="000000"/>
          <w:sz w:val="21"/>
          <w:szCs w:val="21"/>
          <w:lang w:val="es-ES_tradnl"/>
        </w:rPr>
        <w:t>«</w:t>
      </w:r>
      <w:r w:rsidRPr="007B16EC">
        <w:rPr>
          <w:rFonts w:ascii="Arial" w:eastAsia="Arial" w:hAnsi="Arial" w:cs="Arial"/>
          <w:bCs/>
          <w:color w:val="000000"/>
          <w:sz w:val="21"/>
          <w:szCs w:val="21"/>
        </w:rPr>
        <w:t>4.</w:t>
      </w:r>
      <w:r w:rsidR="0058046D">
        <w:rPr>
          <w:rFonts w:ascii="Arial" w:eastAsia="Arial" w:hAnsi="Arial" w:cs="Arial"/>
          <w:bCs/>
          <w:color w:val="000000"/>
          <w:sz w:val="21"/>
          <w:szCs w:val="21"/>
        </w:rPr>
        <w:t xml:space="preserve"> </w:t>
      </w:r>
      <w:r w:rsidRPr="007B16EC">
        <w:rPr>
          <w:rFonts w:ascii="Arial" w:eastAsia="Arial" w:hAnsi="Arial" w:cs="Arial"/>
          <w:bCs/>
          <w:color w:val="000000"/>
          <w:sz w:val="21"/>
          <w:szCs w:val="21"/>
        </w:rPr>
        <w:t>¿Cuál es el plazo que tienen los Contratistas para implementar el proceso de contabilización de los contratos objeto de la presente ley?</w:t>
      </w:r>
      <w:r w:rsidRPr="007B16EC">
        <w:rPr>
          <w:rFonts w:ascii="Arial" w:eastAsia="Arial" w:hAnsi="Arial" w:cs="Arial"/>
          <w:bCs/>
          <w:color w:val="000000"/>
          <w:sz w:val="21"/>
          <w:szCs w:val="21"/>
          <w:lang w:val="es-ES"/>
        </w:rPr>
        <w:t>»</w:t>
      </w:r>
    </w:p>
    <w:p w14:paraId="62999FAD" w14:textId="77777777" w:rsidR="006109E8" w:rsidRDefault="006109E8" w:rsidP="004A66FB">
      <w:pPr>
        <w:spacing w:after="0" w:line="240" w:lineRule="auto"/>
        <w:ind w:left="709"/>
        <w:rPr>
          <w:rFonts w:ascii="Arial" w:eastAsia="Arial" w:hAnsi="Arial" w:cs="Arial"/>
          <w:bCs/>
          <w:color w:val="000000"/>
          <w:sz w:val="21"/>
          <w:szCs w:val="21"/>
          <w:lang w:val="es-ES"/>
        </w:rPr>
      </w:pPr>
    </w:p>
    <w:p w14:paraId="257E6F49" w14:textId="1369F2F0" w:rsidR="006109E8" w:rsidRDefault="006109E8" w:rsidP="004A66FB">
      <w:pPr>
        <w:spacing w:after="0" w:line="240" w:lineRule="auto"/>
        <w:ind w:left="709"/>
        <w:rPr>
          <w:rFonts w:ascii="Arial" w:eastAsia="Arial" w:hAnsi="Arial" w:cs="Arial"/>
          <w:bCs/>
          <w:color w:val="000000"/>
          <w:sz w:val="21"/>
          <w:szCs w:val="21"/>
          <w:lang w:val="es-ES"/>
        </w:rPr>
      </w:pPr>
      <w:r>
        <w:rPr>
          <w:rFonts w:ascii="Arial" w:eastAsia="Arial" w:hAnsi="Arial" w:cs="Arial"/>
          <w:bCs/>
          <w:color w:val="000000"/>
          <w:sz w:val="21"/>
          <w:szCs w:val="21"/>
          <w:lang w:val="es-ES"/>
        </w:rPr>
        <w:t>QUINTA INQUIETUD</w:t>
      </w:r>
    </w:p>
    <w:p w14:paraId="7E8001A2" w14:textId="77777777" w:rsidR="006109E8" w:rsidRPr="007B16EC" w:rsidRDefault="006109E8" w:rsidP="004A66FB">
      <w:pPr>
        <w:spacing w:after="0" w:line="240" w:lineRule="auto"/>
        <w:ind w:left="709"/>
        <w:rPr>
          <w:rFonts w:ascii="Arial" w:eastAsia="Arial" w:hAnsi="Arial" w:cs="Arial"/>
          <w:bCs/>
          <w:color w:val="000000"/>
          <w:sz w:val="21"/>
          <w:szCs w:val="21"/>
        </w:rPr>
      </w:pPr>
    </w:p>
    <w:p w14:paraId="0226CC76" w14:textId="0FCBAAF3" w:rsidR="006109E8" w:rsidRDefault="006109E8" w:rsidP="004A66FB">
      <w:pPr>
        <w:spacing w:after="0" w:line="240" w:lineRule="auto"/>
        <w:ind w:left="709"/>
        <w:rPr>
          <w:rFonts w:ascii="Arial" w:eastAsia="Arial" w:hAnsi="Arial" w:cs="Arial"/>
          <w:bCs/>
          <w:color w:val="000000"/>
          <w:sz w:val="21"/>
          <w:szCs w:val="21"/>
          <w:lang w:val="es-ES"/>
        </w:rPr>
      </w:pPr>
      <w:r w:rsidRPr="007B16EC">
        <w:rPr>
          <w:rFonts w:ascii="Arial" w:eastAsia="Arial" w:hAnsi="Arial" w:cs="Arial"/>
          <w:bCs/>
          <w:color w:val="000000"/>
          <w:sz w:val="21"/>
          <w:szCs w:val="21"/>
          <w:lang w:val="es-ES_tradnl"/>
        </w:rPr>
        <w:lastRenderedPageBreak/>
        <w:t>«</w:t>
      </w:r>
      <w:r w:rsidRPr="007B16EC">
        <w:rPr>
          <w:rFonts w:ascii="Arial" w:eastAsia="Arial" w:hAnsi="Arial" w:cs="Arial"/>
          <w:bCs/>
          <w:color w:val="000000"/>
          <w:sz w:val="21"/>
          <w:szCs w:val="21"/>
        </w:rPr>
        <w:t>5.</w:t>
      </w:r>
      <w:r>
        <w:rPr>
          <w:rFonts w:ascii="Arial" w:eastAsia="Arial" w:hAnsi="Arial" w:cs="Arial"/>
          <w:bCs/>
          <w:color w:val="000000"/>
          <w:sz w:val="21"/>
          <w:szCs w:val="21"/>
        </w:rPr>
        <w:t xml:space="preserve"> </w:t>
      </w:r>
      <w:r w:rsidRPr="007B16EC">
        <w:rPr>
          <w:rFonts w:ascii="Arial" w:eastAsia="Arial" w:hAnsi="Arial" w:cs="Arial"/>
          <w:bCs/>
          <w:color w:val="000000"/>
          <w:sz w:val="21"/>
          <w:szCs w:val="21"/>
        </w:rPr>
        <w:t>¿A partir de qué fecha debe contabilizarse las contrataciones realizadas con Entidades?</w:t>
      </w:r>
      <w:r w:rsidRPr="007B16EC">
        <w:rPr>
          <w:rFonts w:ascii="Arial" w:eastAsia="Arial" w:hAnsi="Arial" w:cs="Arial"/>
          <w:bCs/>
          <w:color w:val="000000"/>
          <w:sz w:val="21"/>
          <w:szCs w:val="21"/>
          <w:lang w:val="es-ES"/>
        </w:rPr>
        <w:t>»</w:t>
      </w:r>
    </w:p>
    <w:p w14:paraId="161E0C28" w14:textId="3CE4A602" w:rsidR="007B16EC" w:rsidRDefault="007B16EC" w:rsidP="007B16EC">
      <w:pPr>
        <w:spacing w:after="0"/>
        <w:ind w:left="709"/>
        <w:rPr>
          <w:rFonts w:ascii="Arial" w:eastAsia="Arial" w:hAnsi="Arial" w:cs="Arial"/>
          <w:bCs/>
          <w:color w:val="000000"/>
          <w:sz w:val="21"/>
          <w:szCs w:val="21"/>
          <w:lang w:val="es-ES"/>
        </w:rPr>
      </w:pPr>
    </w:p>
    <w:p w14:paraId="608EA064" w14:textId="1DC358F2" w:rsidR="00581F39" w:rsidRPr="00F67750" w:rsidRDefault="00581F39" w:rsidP="00581F39">
      <w:pPr>
        <w:spacing w:after="0"/>
        <w:rPr>
          <w:rFonts w:ascii="Arial" w:eastAsia="Arial" w:hAnsi="Arial" w:cs="Arial"/>
          <w:bCs/>
          <w:color w:val="000000"/>
          <w:sz w:val="22"/>
          <w:szCs w:val="22"/>
        </w:rPr>
      </w:pPr>
      <w:r w:rsidRPr="00F67750">
        <w:rPr>
          <w:rFonts w:ascii="Arial" w:eastAsia="Arial" w:hAnsi="Arial" w:cs="Arial"/>
          <w:bCs/>
          <w:color w:val="000000"/>
          <w:sz w:val="22"/>
          <w:szCs w:val="22"/>
        </w:rPr>
        <w:t>De acuerdo con lo previsto en el artículo 69 de la Le</w:t>
      </w:r>
      <w:r w:rsidR="0058046D" w:rsidRPr="00F67750">
        <w:rPr>
          <w:rFonts w:ascii="Arial" w:eastAsia="Arial" w:hAnsi="Arial" w:cs="Arial"/>
          <w:bCs/>
          <w:color w:val="000000"/>
          <w:sz w:val="22"/>
          <w:szCs w:val="22"/>
        </w:rPr>
        <w:t>y</w:t>
      </w:r>
      <w:r w:rsidRPr="00F67750">
        <w:rPr>
          <w:rFonts w:ascii="Arial" w:eastAsia="Arial" w:hAnsi="Arial" w:cs="Arial"/>
          <w:bCs/>
          <w:color w:val="000000"/>
          <w:sz w:val="22"/>
          <w:szCs w:val="22"/>
        </w:rPr>
        <w:t xml:space="preserve"> 2195 del 2022, todos los artículos contenidos en </w:t>
      </w:r>
      <w:r w:rsidR="0058046D" w:rsidRPr="00F67750">
        <w:rPr>
          <w:rFonts w:ascii="Arial" w:eastAsia="Arial" w:hAnsi="Arial" w:cs="Arial"/>
          <w:bCs/>
          <w:color w:val="000000"/>
          <w:sz w:val="22"/>
          <w:szCs w:val="22"/>
        </w:rPr>
        <w:t>esta</w:t>
      </w:r>
      <w:r w:rsidRPr="00F67750">
        <w:rPr>
          <w:rFonts w:ascii="Arial" w:eastAsia="Arial" w:hAnsi="Arial" w:cs="Arial"/>
          <w:bCs/>
          <w:color w:val="000000"/>
          <w:sz w:val="22"/>
          <w:szCs w:val="22"/>
        </w:rPr>
        <w:t xml:space="preserve"> norma</w:t>
      </w:r>
      <w:r w:rsidR="0058046D" w:rsidRPr="00F67750">
        <w:rPr>
          <w:rFonts w:ascii="Arial" w:eastAsia="Arial" w:hAnsi="Arial" w:cs="Arial"/>
          <w:bCs/>
          <w:color w:val="000000"/>
          <w:sz w:val="22"/>
          <w:szCs w:val="22"/>
        </w:rPr>
        <w:t>tiva</w:t>
      </w:r>
      <w:r w:rsidRPr="00F67750">
        <w:rPr>
          <w:rFonts w:ascii="Arial" w:eastAsia="Arial" w:hAnsi="Arial" w:cs="Arial"/>
          <w:bCs/>
          <w:color w:val="000000"/>
          <w:sz w:val="22"/>
          <w:szCs w:val="22"/>
        </w:rPr>
        <w:t xml:space="preserve"> tienen efecto general inmediato y rigen a partir de su promulgación, la cual ocurrió el 18 de enero del 2022</w:t>
      </w:r>
      <w:r w:rsidR="0058046D" w:rsidRPr="00F67750">
        <w:rPr>
          <w:rFonts w:ascii="Arial" w:eastAsia="Arial" w:hAnsi="Arial" w:cs="Arial"/>
          <w:bCs/>
          <w:color w:val="000000"/>
          <w:sz w:val="22"/>
          <w:szCs w:val="22"/>
        </w:rPr>
        <w:t>.</w:t>
      </w:r>
    </w:p>
    <w:p w14:paraId="1E5B3872" w14:textId="77777777" w:rsidR="00581F39" w:rsidRPr="00F67750" w:rsidRDefault="00581F39" w:rsidP="00581F39">
      <w:pPr>
        <w:spacing w:after="0"/>
        <w:rPr>
          <w:rFonts w:ascii="Arial" w:eastAsia="Arial" w:hAnsi="Arial" w:cs="Arial"/>
          <w:bCs/>
          <w:color w:val="000000"/>
          <w:sz w:val="22"/>
          <w:szCs w:val="22"/>
        </w:rPr>
      </w:pPr>
    </w:p>
    <w:p w14:paraId="5D08C14E" w14:textId="019ED52E" w:rsidR="00785FA5" w:rsidRPr="00785FA5" w:rsidRDefault="00581F39" w:rsidP="003853C0">
      <w:pPr>
        <w:spacing w:after="0"/>
        <w:ind w:firstLine="720"/>
        <w:rPr>
          <w:rFonts w:ascii="Arial" w:eastAsia="Arial" w:hAnsi="Arial" w:cs="Arial"/>
          <w:bCs/>
          <w:color w:val="000000"/>
          <w:sz w:val="22"/>
          <w:szCs w:val="22"/>
        </w:rPr>
      </w:pPr>
      <w:r w:rsidRPr="00F67750">
        <w:rPr>
          <w:rFonts w:ascii="Arial" w:eastAsia="Arial" w:hAnsi="Arial" w:cs="Arial"/>
          <w:bCs/>
          <w:color w:val="000000"/>
          <w:sz w:val="22"/>
          <w:szCs w:val="22"/>
        </w:rPr>
        <w:t>E</w:t>
      </w:r>
      <w:r w:rsidR="007C079A" w:rsidRPr="00F67750">
        <w:rPr>
          <w:rFonts w:ascii="Arial" w:eastAsia="Arial" w:hAnsi="Arial" w:cs="Arial"/>
          <w:bCs/>
          <w:color w:val="000000"/>
          <w:sz w:val="22"/>
          <w:szCs w:val="22"/>
        </w:rPr>
        <w:t xml:space="preserve">n línea con lo anterior, el </w:t>
      </w:r>
      <w:r w:rsidRPr="00F67750">
        <w:rPr>
          <w:rFonts w:ascii="Arial" w:eastAsia="Arial" w:hAnsi="Arial" w:cs="Arial"/>
          <w:bCs/>
          <w:color w:val="000000"/>
          <w:sz w:val="22"/>
          <w:szCs w:val="22"/>
        </w:rPr>
        <w:t>legislador no consagró un plazo para que cobrar</w:t>
      </w:r>
      <w:r w:rsidR="00C67CB8">
        <w:rPr>
          <w:rFonts w:ascii="Arial" w:eastAsia="Arial" w:hAnsi="Arial" w:cs="Arial"/>
          <w:bCs/>
          <w:color w:val="000000"/>
          <w:sz w:val="22"/>
          <w:szCs w:val="22"/>
        </w:rPr>
        <w:t>a</w:t>
      </w:r>
      <w:r w:rsidRPr="00F67750">
        <w:rPr>
          <w:rFonts w:ascii="Arial" w:eastAsia="Arial" w:hAnsi="Arial" w:cs="Arial"/>
          <w:bCs/>
          <w:color w:val="000000"/>
          <w:sz w:val="22"/>
          <w:szCs w:val="22"/>
        </w:rPr>
        <w:t xml:space="preserve"> vigor el artículo 50 de la referida </w:t>
      </w:r>
      <w:r w:rsidR="006E279C" w:rsidRPr="00F67750">
        <w:rPr>
          <w:rFonts w:ascii="Arial" w:eastAsia="Arial" w:hAnsi="Arial" w:cs="Arial"/>
          <w:bCs/>
          <w:color w:val="000000"/>
          <w:sz w:val="22"/>
          <w:szCs w:val="22"/>
        </w:rPr>
        <w:t>l</w:t>
      </w:r>
      <w:r w:rsidRPr="00F67750">
        <w:rPr>
          <w:rFonts w:ascii="Arial" w:eastAsia="Arial" w:hAnsi="Arial" w:cs="Arial"/>
          <w:bCs/>
          <w:color w:val="000000"/>
          <w:sz w:val="22"/>
          <w:szCs w:val="22"/>
        </w:rPr>
        <w:t>ey</w:t>
      </w:r>
      <w:r w:rsidR="006E279C" w:rsidRPr="00F67750">
        <w:rPr>
          <w:rFonts w:ascii="Arial" w:eastAsia="Arial" w:hAnsi="Arial" w:cs="Arial"/>
          <w:bCs/>
          <w:color w:val="000000"/>
          <w:sz w:val="22"/>
          <w:szCs w:val="22"/>
        </w:rPr>
        <w:t xml:space="preserve">, </w:t>
      </w:r>
      <w:r w:rsidR="00785FA5">
        <w:rPr>
          <w:rFonts w:ascii="Arial" w:eastAsia="Arial" w:hAnsi="Arial" w:cs="Arial"/>
          <w:bCs/>
          <w:color w:val="000000"/>
          <w:sz w:val="22"/>
          <w:szCs w:val="22"/>
        </w:rPr>
        <w:t xml:space="preserve">razón por la cual </w:t>
      </w:r>
      <w:r w:rsidR="00785FA5" w:rsidRPr="00785FA5">
        <w:rPr>
          <w:rFonts w:ascii="Arial" w:eastAsia="Arial" w:hAnsi="Arial" w:cs="Arial"/>
          <w:bCs/>
          <w:color w:val="000000"/>
          <w:sz w:val="22"/>
          <w:szCs w:val="22"/>
        </w:rPr>
        <w:t xml:space="preserve">se reitera que el deber </w:t>
      </w:r>
      <w:r w:rsidR="00785FA5">
        <w:rPr>
          <w:rFonts w:ascii="Arial" w:eastAsia="Arial" w:hAnsi="Arial" w:cs="Arial"/>
          <w:bCs/>
          <w:color w:val="000000"/>
          <w:sz w:val="22"/>
          <w:szCs w:val="22"/>
        </w:rPr>
        <w:t xml:space="preserve">previsto en ella para </w:t>
      </w:r>
      <w:r w:rsidR="00785FA5" w:rsidRPr="00785FA5">
        <w:rPr>
          <w:rFonts w:ascii="Arial" w:eastAsia="Arial" w:hAnsi="Arial" w:cs="Arial"/>
          <w:bCs/>
          <w:color w:val="000000"/>
          <w:sz w:val="22"/>
          <w:szCs w:val="22"/>
        </w:rPr>
        <w:t xml:space="preserve">las personas naturales o jurídicas obligadas a llevar contabilidad que tengan la condición de contratistas de cualquier entidad pública y ejecuten recursos públicos en dicha condición, es </w:t>
      </w:r>
      <w:r w:rsidR="007C7095">
        <w:rPr>
          <w:rFonts w:ascii="Arial" w:eastAsia="Arial" w:hAnsi="Arial" w:cs="Arial"/>
          <w:bCs/>
          <w:color w:val="000000"/>
          <w:sz w:val="22"/>
          <w:szCs w:val="22"/>
        </w:rPr>
        <w:t>obligatorio</w:t>
      </w:r>
      <w:r w:rsidR="00785FA5" w:rsidRPr="00785FA5">
        <w:rPr>
          <w:rFonts w:ascii="Arial" w:eastAsia="Arial" w:hAnsi="Arial" w:cs="Arial"/>
          <w:bCs/>
          <w:color w:val="000000"/>
          <w:sz w:val="22"/>
          <w:szCs w:val="22"/>
        </w:rPr>
        <w:t xml:space="preserve"> a partir del 18 de enero del 2022.</w:t>
      </w:r>
    </w:p>
    <w:p w14:paraId="7CD744E4" w14:textId="77777777" w:rsidR="00511475" w:rsidRDefault="00511475" w:rsidP="00AA1B5C">
      <w:pPr>
        <w:tabs>
          <w:tab w:val="left" w:pos="284"/>
        </w:tabs>
        <w:spacing w:after="0"/>
        <w:rPr>
          <w:rFonts w:ascii="Arial" w:eastAsia="Arial" w:hAnsi="Arial" w:cs="Arial"/>
          <w:color w:val="000000"/>
          <w:sz w:val="22"/>
          <w:szCs w:val="22"/>
        </w:rPr>
      </w:pPr>
    </w:p>
    <w:p w14:paraId="38D709B1" w14:textId="77777777" w:rsidR="00871181" w:rsidRPr="006A06F2" w:rsidRDefault="003E3EF7" w:rsidP="00AA1B5C">
      <w:pPr>
        <w:spacing w:after="0"/>
        <w:rPr>
          <w:rFonts w:ascii="Arial" w:eastAsia="Arial" w:hAnsi="Arial" w:cs="Arial"/>
          <w:color w:val="000000"/>
          <w:sz w:val="22"/>
          <w:szCs w:val="22"/>
        </w:rPr>
      </w:pPr>
      <w:bookmarkStart w:id="13" w:name="_2grqrue" w:colFirst="0" w:colLast="0"/>
      <w:bookmarkEnd w:id="13"/>
      <w:r w:rsidRPr="006A06F2">
        <w:rPr>
          <w:rFonts w:ascii="Arial" w:eastAsia="Arial" w:hAnsi="Arial" w:cs="Arial"/>
          <w:color w:val="000000"/>
          <w:sz w:val="22"/>
          <w:szCs w:val="22"/>
        </w:rPr>
        <w:t>Este concepto tiene el alcance previsto en el artículo 28 del Código de Procedimiento Administrativo y de lo Contencioso Administrativo.</w:t>
      </w:r>
    </w:p>
    <w:p w14:paraId="2C9BA73D" w14:textId="77777777" w:rsidR="00871181" w:rsidRPr="006A06F2" w:rsidRDefault="003E3EF7" w:rsidP="00AA1B5C">
      <w:pPr>
        <w:spacing w:after="0"/>
        <w:rPr>
          <w:rFonts w:ascii="Arial" w:eastAsia="Arial" w:hAnsi="Arial" w:cs="Arial"/>
          <w:color w:val="000000"/>
          <w:sz w:val="22"/>
          <w:szCs w:val="22"/>
        </w:rPr>
      </w:pPr>
      <w:r w:rsidRPr="006A06F2">
        <w:rPr>
          <w:noProof/>
          <w:lang w:val="es-CO" w:eastAsia="es-CO"/>
        </w:rPr>
        <mc:AlternateContent>
          <mc:Choice Requires="wps">
            <w:drawing>
              <wp:anchor distT="4294967260" distB="4294967260" distL="114300" distR="114300" simplePos="0" relativeHeight="251658240" behindDoc="0" locked="0" layoutInCell="1" hidden="0" allowOverlap="1" wp14:anchorId="4D23C5F8" wp14:editId="706E9BD3">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w:pict>
              <v:line w14:anchorId="4041AE7B" id="Conector recto 1" o:spid="_x0000_s1026" style="position:absolute;z-index:251658240;visibility:visible;mso-wrap-style:square;mso-wrap-distance-left:9pt;mso-wrap-distance-top:-.001mm;mso-wrap-distance-right:9pt;mso-wrap-distance-bottom:-.001mm;mso-position-horizontal:absolute;mso-position-horizontal-relative:text;mso-position-vertical:absolute;mso-position-vertical-relative:text"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" strokecolor="#dbdbdb">
                <o:lock v:ext="edit" shapetype="f"/>
              </v:line>
            </w:pict>
          </mc:Fallback>
        </mc:AlternateContent>
      </w:r>
    </w:p>
    <w:p w14:paraId="6A6BA420" w14:textId="627AC890" w:rsidR="00871181" w:rsidRDefault="003E3EF7" w:rsidP="00AA1B5C">
      <w:pPr>
        <w:spacing w:after="0"/>
        <w:rPr>
          <w:rFonts w:ascii="Arial" w:eastAsia="Arial" w:hAnsi="Arial" w:cs="Arial"/>
          <w:color w:val="000000"/>
          <w:sz w:val="22"/>
          <w:szCs w:val="22"/>
        </w:rPr>
      </w:pPr>
      <w:r w:rsidRPr="006A06F2">
        <w:rPr>
          <w:rFonts w:ascii="Arial" w:eastAsia="Arial" w:hAnsi="Arial" w:cs="Arial"/>
          <w:color w:val="000000"/>
          <w:sz w:val="22"/>
          <w:szCs w:val="22"/>
        </w:rPr>
        <w:t>Atentamente,</w:t>
      </w:r>
    </w:p>
    <w:p w14:paraId="1B6D2A9C" w14:textId="7331B74F" w:rsidR="00326817" w:rsidRDefault="00326817" w:rsidP="00AA1B5C">
      <w:pPr>
        <w:spacing w:after="0"/>
        <w:rPr>
          <w:rFonts w:ascii="Arial" w:eastAsia="Arial" w:hAnsi="Arial" w:cs="Arial"/>
          <w:color w:val="000000"/>
          <w:sz w:val="22"/>
          <w:szCs w:val="22"/>
        </w:rPr>
      </w:pPr>
    </w:p>
    <w:p w14:paraId="06A9F4A1" w14:textId="43C962EC" w:rsidR="001514E0" w:rsidRPr="00E857D5" w:rsidRDefault="00E857D5" w:rsidP="00E857D5">
      <w:pPr>
        <w:jc w:val="center"/>
        <w:rPr>
          <w:rFonts w:ascii="Arial" w:hAnsi="Arial" w:cs="Arial"/>
          <w:sz w:val="22"/>
          <w:szCs w:val="22"/>
          <w:lang w:eastAsia="es-CO"/>
        </w:rPr>
      </w:pPr>
      <w:r>
        <w:rPr>
          <w:noProof/>
          <w:color w:val="000000"/>
        </w:rPr>
        <w:drawing>
          <wp:inline distT="0" distB="0" distL="0" distR="0" wp14:anchorId="1B2CFAA6" wp14:editId="279883FA">
            <wp:extent cx="1675130" cy="743585"/>
            <wp:effectExtent l="0" t="0" r="127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130" cy="743585"/>
                    </a:xfrm>
                    <a:prstGeom prst="rect">
                      <a:avLst/>
                    </a:prstGeom>
                    <a:noFill/>
                    <a:ln>
                      <a:noFill/>
                    </a:ln>
                  </pic:spPr>
                </pic:pic>
              </a:graphicData>
            </a:graphic>
          </wp:inline>
        </w:drawing>
      </w:r>
    </w:p>
    <w:p w14:paraId="6DD713C1" w14:textId="7A0A7E44" w:rsidR="001514E0" w:rsidRDefault="001514E0" w:rsidP="00AA1B5C">
      <w:pPr>
        <w:spacing w:after="0"/>
        <w:rPr>
          <w:rFonts w:asciiTheme="minorHAnsi" w:eastAsiaTheme="minorHAnsi" w:hAnsiTheme="minorHAnsi" w:cstheme="minorBidi"/>
          <w:szCs w:val="22"/>
          <w:lang w:eastAsia="en-US"/>
        </w:rPr>
      </w:pPr>
    </w:p>
    <w:p w14:paraId="3E845F14" w14:textId="26397683" w:rsidR="00871181" w:rsidRPr="006A06F2" w:rsidRDefault="00871181" w:rsidP="00AA1B5C">
      <w:pPr>
        <w:spacing w:after="0"/>
        <w:jc w:val="center"/>
        <w:rPr>
          <w:rFonts w:ascii="Arial" w:eastAsia="Arial" w:hAnsi="Arial" w:cs="Arial"/>
          <w:color w:val="000000"/>
          <w:sz w:val="18"/>
          <w:szCs w:val="18"/>
        </w:rPr>
      </w:pPr>
    </w:p>
    <w:tbl>
      <w:tblPr>
        <w:tblStyle w:val="1"/>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871181" w:rsidRPr="006A06F2" w14:paraId="6F2F4D07" w14:textId="77777777">
        <w:trPr>
          <w:trHeight w:val="315"/>
        </w:trPr>
        <w:tc>
          <w:tcPr>
            <w:tcW w:w="812" w:type="dxa"/>
            <w:vAlign w:val="center"/>
          </w:tcPr>
          <w:p w14:paraId="77405AFA" w14:textId="77777777" w:rsidR="00871181" w:rsidRPr="006A06F2" w:rsidRDefault="003E3EF7" w:rsidP="00AA1B5C">
            <w:pPr>
              <w:spacing w:before="0" w:line="276" w:lineRule="auto"/>
            </w:pPr>
            <w:r w:rsidRPr="006A06F2">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7AEF2B6B" w14:textId="77777777" w:rsidR="00871181" w:rsidRPr="006A06F2" w:rsidRDefault="003E3EF7" w:rsidP="00AA1B5C">
            <w:pPr>
              <w:spacing w:before="0" w:line="276" w:lineRule="auto"/>
            </w:pPr>
            <w:r w:rsidRPr="006A06F2">
              <w:rPr>
                <w:rFonts w:ascii="Arial" w:eastAsia="Arial" w:hAnsi="Arial" w:cs="Arial"/>
                <w:color w:val="000000"/>
                <w:sz w:val="16"/>
                <w:szCs w:val="16"/>
              </w:rPr>
              <w:t>Álvaro Namén Vargas</w:t>
            </w:r>
          </w:p>
          <w:p w14:paraId="446198CA" w14:textId="77777777" w:rsidR="00871181" w:rsidRPr="006A06F2" w:rsidRDefault="003E3EF7" w:rsidP="00AA1B5C">
            <w:pPr>
              <w:spacing w:before="0" w:line="276" w:lineRule="auto"/>
            </w:pPr>
            <w:r w:rsidRPr="006A06F2">
              <w:rPr>
                <w:rFonts w:ascii="Arial" w:eastAsia="Arial" w:hAnsi="Arial" w:cs="Arial"/>
                <w:color w:val="000000"/>
                <w:sz w:val="16"/>
                <w:szCs w:val="16"/>
              </w:rPr>
              <w:t>Contratista de la Subdirección de Gestión Contractual</w:t>
            </w:r>
          </w:p>
        </w:tc>
      </w:tr>
      <w:tr w:rsidR="00871181" w:rsidRPr="006A06F2" w14:paraId="24CCDCD5" w14:textId="77777777">
        <w:trPr>
          <w:trHeight w:val="330"/>
        </w:trPr>
        <w:tc>
          <w:tcPr>
            <w:tcW w:w="812" w:type="dxa"/>
            <w:vAlign w:val="center"/>
          </w:tcPr>
          <w:p w14:paraId="04AB08F9" w14:textId="77777777" w:rsidR="00871181" w:rsidRPr="006A06F2" w:rsidRDefault="003E3EF7" w:rsidP="00AA1B5C">
            <w:pPr>
              <w:spacing w:before="0" w:line="276" w:lineRule="auto"/>
            </w:pPr>
            <w:r w:rsidRPr="006A06F2">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3083DCA6" w14:textId="77777777" w:rsidR="00871181" w:rsidRPr="006A06F2" w:rsidRDefault="003E3EF7" w:rsidP="00AA1B5C">
            <w:pPr>
              <w:spacing w:before="0" w:line="276" w:lineRule="auto"/>
            </w:pPr>
            <w:r w:rsidRPr="006A06F2">
              <w:rPr>
                <w:rFonts w:ascii="Arial" w:eastAsia="Arial" w:hAnsi="Arial" w:cs="Arial"/>
                <w:color w:val="000000"/>
                <w:sz w:val="16"/>
                <w:szCs w:val="16"/>
              </w:rPr>
              <w:t>Sebastián Ramírez Grisales</w:t>
            </w:r>
          </w:p>
          <w:p w14:paraId="4DB49BE1" w14:textId="77777777" w:rsidR="00871181" w:rsidRPr="006A06F2" w:rsidRDefault="003E3EF7" w:rsidP="00AA1B5C">
            <w:pPr>
              <w:spacing w:before="0" w:line="276" w:lineRule="auto"/>
            </w:pPr>
            <w:r w:rsidRPr="006A06F2">
              <w:rPr>
                <w:rFonts w:ascii="Arial" w:eastAsia="Arial" w:hAnsi="Arial" w:cs="Arial"/>
                <w:color w:val="000000"/>
                <w:sz w:val="16"/>
                <w:szCs w:val="16"/>
              </w:rPr>
              <w:t>Contratista de la Subdirección de Gestión Contractual</w:t>
            </w:r>
          </w:p>
        </w:tc>
      </w:tr>
      <w:tr w:rsidR="00871181" w14:paraId="0B092314" w14:textId="77777777">
        <w:trPr>
          <w:trHeight w:val="300"/>
        </w:trPr>
        <w:tc>
          <w:tcPr>
            <w:tcW w:w="812" w:type="dxa"/>
            <w:vAlign w:val="center"/>
          </w:tcPr>
          <w:p w14:paraId="6240A5E7" w14:textId="77777777" w:rsidR="00871181" w:rsidRPr="006A06F2" w:rsidRDefault="003E3EF7" w:rsidP="00AA1B5C">
            <w:pPr>
              <w:spacing w:before="0" w:line="276" w:lineRule="auto"/>
            </w:pPr>
            <w:r w:rsidRPr="006A06F2">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6529768B" w14:textId="77777777" w:rsidR="00871181" w:rsidRPr="006A06F2" w:rsidRDefault="003E3EF7" w:rsidP="00AA1B5C">
            <w:pPr>
              <w:spacing w:before="0" w:line="276" w:lineRule="auto"/>
            </w:pPr>
            <w:r w:rsidRPr="006A06F2">
              <w:rPr>
                <w:rFonts w:ascii="Arial" w:eastAsia="Arial" w:hAnsi="Arial" w:cs="Arial"/>
                <w:color w:val="000000"/>
                <w:sz w:val="16"/>
                <w:szCs w:val="16"/>
              </w:rPr>
              <w:t>Jorge Augusto Tirado Navarro</w:t>
            </w:r>
          </w:p>
          <w:p w14:paraId="02B5945B" w14:textId="77777777" w:rsidR="00871181" w:rsidRPr="006A06F2" w:rsidRDefault="003E3EF7" w:rsidP="00AA1B5C">
            <w:pPr>
              <w:spacing w:before="0" w:line="276" w:lineRule="auto"/>
            </w:pPr>
            <w:r w:rsidRPr="006A06F2">
              <w:rPr>
                <w:rFonts w:ascii="Arial" w:eastAsia="Arial" w:hAnsi="Arial" w:cs="Arial"/>
                <w:color w:val="000000"/>
                <w:sz w:val="16"/>
                <w:szCs w:val="16"/>
              </w:rPr>
              <w:t>Subdirector de Gestión Contractual ANCP – CCE</w:t>
            </w:r>
          </w:p>
        </w:tc>
      </w:tr>
    </w:tbl>
    <w:p w14:paraId="78937CB3" w14:textId="77777777" w:rsidR="00871181" w:rsidRDefault="00871181" w:rsidP="00AA1B5C">
      <w:pPr>
        <w:spacing w:after="0"/>
        <w:rPr>
          <w:rFonts w:ascii="Arial" w:eastAsia="Arial" w:hAnsi="Arial" w:cs="Arial"/>
          <w:b/>
          <w:color w:val="000000"/>
          <w:sz w:val="20"/>
          <w:szCs w:val="20"/>
        </w:rPr>
      </w:pPr>
    </w:p>
    <w:sectPr w:rsidR="00871181" w:rsidSect="00683517">
      <w:headerReference w:type="default" r:id="rId11"/>
      <w:footerReference w:type="default" r:id="rId12"/>
      <w:pgSz w:w="12240" w:h="15840"/>
      <w:pgMar w:top="408" w:right="1701" w:bottom="1276" w:left="1843"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DBCF" w14:textId="77777777" w:rsidR="00127A37" w:rsidRDefault="00127A37">
      <w:pPr>
        <w:spacing w:after="0" w:line="240" w:lineRule="auto"/>
      </w:pPr>
      <w:r>
        <w:separator/>
      </w:r>
    </w:p>
  </w:endnote>
  <w:endnote w:type="continuationSeparator" w:id="0">
    <w:p w14:paraId="2890D42F" w14:textId="77777777" w:rsidR="00127A37" w:rsidRDefault="0012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68D" w14:textId="77777777" w:rsidR="00B771E4" w:rsidRDefault="00B771E4">
    <w:pPr>
      <w:pBdr>
        <w:top w:val="nil"/>
        <w:left w:val="nil"/>
        <w:bottom w:val="nil"/>
        <w:right w:val="nil"/>
        <w:between w:val="nil"/>
      </w:pBdr>
      <w:spacing w:after="0" w:line="240" w:lineRule="auto"/>
      <w:rPr>
        <w:rFonts w:ascii="Arial" w:eastAsia="Arial" w:hAnsi="Arial" w:cs="Arial"/>
        <w:color w:val="000000"/>
        <w:sz w:val="18"/>
        <w:szCs w:val="18"/>
      </w:rPr>
    </w:pPr>
  </w:p>
  <w:p w14:paraId="306BC5E2" w14:textId="4A0F265F" w:rsidR="00B771E4" w:rsidRDefault="00B771E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E5063C">
      <w:rPr>
        <w:rFonts w:ascii="Arial" w:eastAsia="Arial" w:hAnsi="Arial" w:cs="Arial"/>
        <w:b/>
        <w:noProof/>
        <w:color w:val="7F7F7F"/>
        <w:sz w:val="16"/>
        <w:szCs w:val="16"/>
      </w:rPr>
      <w:t>16</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E5063C">
      <w:rPr>
        <w:rFonts w:ascii="Arial" w:eastAsia="Arial" w:hAnsi="Arial" w:cs="Arial"/>
        <w:b/>
        <w:noProof/>
        <w:color w:val="7F7F7F"/>
        <w:sz w:val="16"/>
        <w:szCs w:val="16"/>
      </w:rPr>
      <w:t>17</w:t>
    </w:r>
    <w:r>
      <w:rPr>
        <w:rFonts w:ascii="Arial" w:eastAsia="Arial" w:hAnsi="Arial" w:cs="Arial"/>
        <w:b/>
        <w:color w:val="7F7F7F"/>
        <w:sz w:val="16"/>
        <w:szCs w:val="16"/>
      </w:rPr>
      <w:fldChar w:fldCharType="end"/>
    </w:r>
  </w:p>
  <w:p w14:paraId="31932D98" w14:textId="77777777" w:rsidR="00B771E4" w:rsidRDefault="00B771E4">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14:anchorId="2317FF68" wp14:editId="6AADFB3E">
          <wp:extent cx="4241994" cy="595165"/>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7648E66C" w14:textId="77777777" w:rsidR="00B771E4" w:rsidRDefault="00B771E4">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E0BC" w14:textId="77777777" w:rsidR="00127A37" w:rsidRDefault="00127A37">
      <w:pPr>
        <w:spacing w:after="0" w:line="240" w:lineRule="auto"/>
      </w:pPr>
      <w:r>
        <w:separator/>
      </w:r>
    </w:p>
  </w:footnote>
  <w:footnote w:type="continuationSeparator" w:id="0">
    <w:p w14:paraId="65E48A49" w14:textId="77777777" w:rsidR="00127A37" w:rsidRDefault="00127A37">
      <w:pPr>
        <w:spacing w:after="0" w:line="240" w:lineRule="auto"/>
      </w:pPr>
      <w:r>
        <w:continuationSeparator/>
      </w:r>
    </w:p>
  </w:footnote>
  <w:footnote w:id="1">
    <w:p w14:paraId="580EB94F" w14:textId="77777777" w:rsidR="00E3035D" w:rsidRPr="00E3035D" w:rsidRDefault="00E3035D" w:rsidP="00E3035D">
      <w:pPr>
        <w:pBdr>
          <w:top w:val="nil"/>
          <w:left w:val="nil"/>
          <w:bottom w:val="nil"/>
          <w:right w:val="nil"/>
          <w:between w:val="nil"/>
        </w:pBdr>
        <w:spacing w:after="0" w:line="240" w:lineRule="auto"/>
        <w:ind w:firstLine="709"/>
        <w:rPr>
          <w:rFonts w:ascii="Arial" w:eastAsia="Arial" w:hAnsi="Arial" w:cs="Arial"/>
          <w:color w:val="000000"/>
          <w:sz w:val="19"/>
          <w:szCs w:val="19"/>
        </w:rPr>
      </w:pPr>
      <w:r w:rsidRPr="00E3035D">
        <w:rPr>
          <w:rStyle w:val="Refdenotaalpie"/>
          <w:rFonts w:ascii="Arial" w:hAnsi="Arial" w:cs="Arial"/>
          <w:sz w:val="19"/>
          <w:szCs w:val="19"/>
        </w:rPr>
        <w:footnoteRef/>
      </w:r>
      <w:r w:rsidRPr="00E3035D">
        <w:rPr>
          <w:rFonts w:ascii="Arial" w:hAnsi="Arial" w:cs="Arial"/>
          <w:sz w:val="19"/>
          <w:szCs w:val="19"/>
        </w:rPr>
        <w:t xml:space="preserve"> </w:t>
      </w:r>
      <w:r w:rsidRPr="00E3035D">
        <w:rPr>
          <w:rFonts w:ascii="Arial" w:eastAsia="Arial" w:hAnsi="Arial" w:cs="Arial"/>
          <w:color w:val="000000"/>
          <w:sz w:val="19"/>
          <w:szCs w:val="19"/>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3035D">
        <w:rPr>
          <w:rFonts w:ascii="Arial" w:eastAsia="Arial" w:hAnsi="Arial" w:cs="Arial"/>
          <w:i/>
          <w:color w:val="000000"/>
          <w:sz w:val="19"/>
          <w:szCs w:val="19"/>
        </w:rPr>
        <w:t xml:space="preserve">ibídem </w:t>
      </w:r>
      <w:r w:rsidRPr="00E3035D">
        <w:rPr>
          <w:rFonts w:ascii="Arial" w:eastAsia="Arial" w:hAnsi="Arial" w:cs="Arial"/>
          <w:color w:val="000000"/>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4D9FF70D" w14:textId="47E7FB44" w:rsidR="00E3035D" w:rsidRPr="00E3035D" w:rsidRDefault="00E3035D">
      <w:pPr>
        <w:pStyle w:val="Textonotapie"/>
      </w:pPr>
    </w:p>
  </w:footnote>
  <w:footnote w:id="2">
    <w:p w14:paraId="0F60BD62" w14:textId="6068E201" w:rsidR="00B771E4" w:rsidRPr="000F63F0" w:rsidRDefault="00B771E4" w:rsidP="00683517">
      <w:pPr>
        <w:pStyle w:val="Textonotapie"/>
        <w:ind w:firstLine="709"/>
        <w:rPr>
          <w:rFonts w:ascii="Arial" w:hAnsi="Arial" w:cs="Arial"/>
          <w:sz w:val="19"/>
          <w:szCs w:val="19"/>
          <w:lang w:val="es-CO"/>
        </w:rPr>
      </w:pPr>
      <w:r w:rsidRPr="000F63F0">
        <w:rPr>
          <w:rStyle w:val="Refdenotaalpie"/>
          <w:rFonts w:ascii="Arial" w:hAnsi="Arial" w:cs="Arial"/>
          <w:sz w:val="19"/>
          <w:szCs w:val="19"/>
        </w:rPr>
        <w:footnoteRef/>
      </w:r>
      <w:r w:rsidRPr="000F63F0">
        <w:rPr>
          <w:rFonts w:ascii="Arial" w:hAnsi="Arial" w:cs="Arial"/>
          <w:sz w:val="19"/>
          <w:szCs w:val="19"/>
        </w:rPr>
        <w:t xml:space="preserve"> </w:t>
      </w:r>
      <w:bookmarkStart w:id="8" w:name="_Hlk105765781"/>
      <w:bookmarkStart w:id="9" w:name="13"/>
      <w:r w:rsidR="00683912" w:rsidRPr="000F63F0">
        <w:rPr>
          <w:rFonts w:ascii="Arial" w:hAnsi="Arial" w:cs="Arial"/>
          <w:sz w:val="19"/>
          <w:szCs w:val="19"/>
          <w:lang w:val="es-ES_tradnl"/>
        </w:rPr>
        <w:t>«</w:t>
      </w:r>
      <w:bookmarkEnd w:id="8"/>
      <w:r w:rsidRPr="000F63F0">
        <w:rPr>
          <w:rFonts w:ascii="Arial" w:hAnsi="Arial" w:cs="Arial"/>
          <w:bCs/>
          <w:sz w:val="19"/>
          <w:szCs w:val="19"/>
          <w:lang w:val="es-CO"/>
        </w:rPr>
        <w:t>ARTÍCULO 13. PRINCIPIOS GENERALES DE LA ACTIVIDAD CONTRACTUAL PARA ENTIDADES NO SOMETIDAS AL ESTATUTO GENERAL DE CONTRATACIÓN DE LA ADMINISTRACIÓN PÚBLICA</w:t>
      </w:r>
      <w:r w:rsidRPr="000F63F0">
        <w:rPr>
          <w:rFonts w:ascii="Arial" w:hAnsi="Arial" w:cs="Arial"/>
          <w:b/>
          <w:bCs/>
          <w:sz w:val="19"/>
          <w:szCs w:val="19"/>
          <w:lang w:val="es-CO"/>
        </w:rPr>
        <w:t>.</w:t>
      </w:r>
      <w:bookmarkEnd w:id="9"/>
      <w:r w:rsidRPr="000F63F0">
        <w:rPr>
          <w:rFonts w:ascii="Arial" w:hAnsi="Arial" w:cs="Arial"/>
          <w:sz w:val="19"/>
          <w:szCs w:val="19"/>
          <w:lang w:val="es-CO"/>
        </w:rPr>
        <w:t>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 w:anchor="209" w:history="1">
        <w:r w:rsidRPr="000F63F0">
          <w:rPr>
            <w:rStyle w:val="Hipervnculo"/>
            <w:rFonts w:ascii="Arial" w:hAnsi="Arial" w:cs="Arial"/>
            <w:color w:val="auto"/>
            <w:sz w:val="19"/>
            <w:szCs w:val="19"/>
            <w:u w:val="none"/>
            <w:lang w:val="es-CO"/>
          </w:rPr>
          <w:t>209</w:t>
        </w:r>
      </w:hyperlink>
      <w:r w:rsidRPr="000F63F0">
        <w:rPr>
          <w:rFonts w:ascii="Arial" w:hAnsi="Arial" w:cs="Arial"/>
          <w:sz w:val="19"/>
          <w:szCs w:val="19"/>
          <w:lang w:val="es-CO"/>
        </w:rPr>
        <w:t> y </w:t>
      </w:r>
      <w:hyperlink r:id="rId2" w:anchor="267" w:history="1">
        <w:r w:rsidRPr="000F63F0">
          <w:rPr>
            <w:rStyle w:val="Hipervnculo"/>
            <w:rFonts w:ascii="Arial" w:hAnsi="Arial" w:cs="Arial"/>
            <w:color w:val="auto"/>
            <w:sz w:val="19"/>
            <w:szCs w:val="19"/>
            <w:u w:val="none"/>
            <w:lang w:val="es-CO"/>
          </w:rPr>
          <w:t>267</w:t>
        </w:r>
      </w:hyperlink>
      <w:r w:rsidRPr="000F63F0">
        <w:rPr>
          <w:rFonts w:ascii="Arial" w:hAnsi="Arial" w:cs="Arial"/>
          <w:sz w:val="19"/>
          <w:szCs w:val="19"/>
          <w:lang w:val="es-CO"/>
        </w:rPr>
        <w:t> de la Constitución Política, respectivamente según sea el caso y estarán sometidas al régimen de inhabilidades e incompatibilidades previsto legalmente para la contratación estatal.</w:t>
      </w:r>
    </w:p>
    <w:p w14:paraId="082096B2" w14:textId="024E22E1" w:rsidR="00B771E4" w:rsidRPr="000F63F0" w:rsidRDefault="00FE00C6" w:rsidP="00FE00C6">
      <w:pPr>
        <w:pStyle w:val="Textonotapie"/>
        <w:ind w:firstLine="709"/>
        <w:rPr>
          <w:rFonts w:ascii="Arial" w:hAnsi="Arial" w:cs="Arial"/>
          <w:sz w:val="19"/>
          <w:szCs w:val="19"/>
          <w:lang w:val="es-CO"/>
        </w:rPr>
      </w:pPr>
      <w:r>
        <w:rPr>
          <w:rFonts w:ascii="Arial" w:hAnsi="Arial" w:cs="Arial"/>
          <w:sz w:val="19"/>
          <w:szCs w:val="19"/>
          <w:lang w:val="es-CO"/>
        </w:rPr>
        <w:t>»[</w:t>
      </w:r>
      <w:r w:rsidR="00B771E4" w:rsidRPr="000F63F0">
        <w:rPr>
          <w:rFonts w:ascii="Arial" w:hAnsi="Arial" w:cs="Arial"/>
          <w:sz w:val="19"/>
          <w:szCs w:val="19"/>
          <w:lang w:val="es-CO"/>
        </w:rPr>
        <w:t>Inciso adicionado por el artículo </w:t>
      </w:r>
      <w:hyperlink r:id="rId3" w:anchor="53" w:history="1">
        <w:r w:rsidR="00B771E4" w:rsidRPr="000F63F0">
          <w:rPr>
            <w:rStyle w:val="Hipervnculo"/>
            <w:rFonts w:ascii="Arial" w:hAnsi="Arial" w:cs="Arial"/>
            <w:color w:val="auto"/>
            <w:sz w:val="19"/>
            <w:szCs w:val="19"/>
            <w:u w:val="none"/>
            <w:lang w:val="es-CO"/>
          </w:rPr>
          <w:t>53</w:t>
        </w:r>
      </w:hyperlink>
      <w:r w:rsidR="00B771E4" w:rsidRPr="000F63F0">
        <w:rPr>
          <w:rFonts w:ascii="Arial" w:hAnsi="Arial" w:cs="Arial"/>
          <w:sz w:val="19"/>
          <w:szCs w:val="19"/>
          <w:lang w:val="es-CO"/>
        </w:rPr>
        <w:t> de la Ley 2195 de 2022</w:t>
      </w:r>
      <w:r>
        <w:rPr>
          <w:rFonts w:ascii="Arial" w:hAnsi="Arial" w:cs="Arial"/>
          <w:sz w:val="19"/>
          <w:szCs w:val="19"/>
          <w:lang w:val="es-CO"/>
        </w:rPr>
        <w:t>]</w:t>
      </w:r>
      <w:r w:rsidR="00B771E4" w:rsidRPr="000F63F0">
        <w:rPr>
          <w:rFonts w:ascii="Arial" w:hAnsi="Arial" w:cs="Arial"/>
          <w:sz w:val="19"/>
          <w:szCs w:val="19"/>
          <w:lang w:val="es-CO"/>
        </w:rPr>
        <w:t xml:space="preserve">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00B771E4" w:rsidRPr="000F63F0">
        <w:rPr>
          <w:rFonts w:ascii="Arial" w:hAnsi="Arial" w:cs="Arial"/>
          <w:sz w:val="19"/>
          <w:szCs w:val="19"/>
          <w:lang w:val="es-CO"/>
        </w:rPr>
        <w:t>poscontractual</w:t>
      </w:r>
      <w:proofErr w:type="spellEnd"/>
      <w:r w:rsidR="00B771E4" w:rsidRPr="000F63F0">
        <w:rPr>
          <w:rFonts w:ascii="Arial" w:hAnsi="Arial" w:cs="Arial"/>
          <w:sz w:val="19"/>
          <w:szCs w:val="19"/>
          <w:lang w:val="es-CO"/>
        </w:rPr>
        <w:t>.</w:t>
      </w:r>
      <w:r w:rsidRPr="000F63F0" w:rsidDel="00FE00C6">
        <w:rPr>
          <w:rFonts w:ascii="Arial" w:hAnsi="Arial" w:cs="Arial"/>
          <w:sz w:val="19"/>
          <w:szCs w:val="19"/>
          <w:lang w:val="es-CO"/>
        </w:rPr>
        <w:t xml:space="preserve"> </w:t>
      </w:r>
    </w:p>
    <w:p w14:paraId="4478EA7E" w14:textId="204A43B6" w:rsidR="00B771E4" w:rsidRPr="000F63F0" w:rsidRDefault="00FE00C6" w:rsidP="00683517">
      <w:pPr>
        <w:pStyle w:val="Textonotapie"/>
        <w:ind w:firstLine="709"/>
        <w:rPr>
          <w:rFonts w:ascii="Arial" w:hAnsi="Arial" w:cs="Arial"/>
          <w:sz w:val="19"/>
          <w:szCs w:val="19"/>
          <w:lang w:val="es-CO"/>
        </w:rPr>
      </w:pPr>
      <w:r>
        <w:rPr>
          <w:rFonts w:ascii="Arial" w:hAnsi="Arial" w:cs="Arial"/>
          <w:sz w:val="19"/>
          <w:szCs w:val="19"/>
          <w:lang w:val="es-CO"/>
        </w:rPr>
        <w:t>»[</w:t>
      </w:r>
      <w:r w:rsidR="00B771E4" w:rsidRPr="000F63F0">
        <w:rPr>
          <w:rFonts w:ascii="Arial" w:hAnsi="Arial" w:cs="Arial"/>
          <w:sz w:val="19"/>
          <w:szCs w:val="19"/>
          <w:lang w:val="es-CO"/>
        </w:rPr>
        <w:t>Inciso adicionado por el artículo </w:t>
      </w:r>
      <w:hyperlink r:id="rId4" w:anchor="53" w:history="1">
        <w:r w:rsidR="00B771E4" w:rsidRPr="000F63F0">
          <w:rPr>
            <w:rStyle w:val="Hipervnculo"/>
            <w:rFonts w:ascii="Arial" w:hAnsi="Arial" w:cs="Arial"/>
            <w:color w:val="auto"/>
            <w:sz w:val="19"/>
            <w:szCs w:val="19"/>
            <w:u w:val="none"/>
            <w:lang w:val="es-CO"/>
          </w:rPr>
          <w:t>53</w:t>
        </w:r>
      </w:hyperlink>
      <w:r w:rsidR="00B771E4" w:rsidRPr="000F63F0">
        <w:rPr>
          <w:rFonts w:ascii="Arial" w:hAnsi="Arial" w:cs="Arial"/>
          <w:sz w:val="19"/>
          <w:szCs w:val="19"/>
          <w:lang w:val="es-CO"/>
        </w:rPr>
        <w:t> de la Ley 2195 de 2022</w:t>
      </w:r>
      <w:r>
        <w:rPr>
          <w:rFonts w:ascii="Arial" w:hAnsi="Arial" w:cs="Arial"/>
          <w:sz w:val="19"/>
          <w:szCs w:val="19"/>
          <w:lang w:val="es-CO"/>
        </w:rPr>
        <w:t>]</w:t>
      </w:r>
      <w:r w:rsidR="00B771E4" w:rsidRPr="000F63F0">
        <w:rPr>
          <w:rFonts w:ascii="Arial" w:hAnsi="Arial" w:cs="Arial"/>
          <w:sz w:val="19"/>
          <w:szCs w:val="19"/>
          <w:lang w:val="es-CO"/>
        </w:rPr>
        <w:t xml:space="preserve"> A partir de la entrada en vigencia de la presente ley, se establecerá un periodo de transición de seis (6) meses, para que las entidades den cumplimiento efectivo a lo aquí establecido</w:t>
      </w:r>
      <w:r w:rsidR="00683912" w:rsidRPr="000F63F0">
        <w:rPr>
          <w:rFonts w:ascii="Arial" w:hAnsi="Arial" w:cs="Arial"/>
          <w:sz w:val="19"/>
          <w:szCs w:val="19"/>
          <w:lang w:val="es-ES_tradnl"/>
        </w:rPr>
        <w:t>»</w:t>
      </w:r>
      <w:r>
        <w:rPr>
          <w:rFonts w:ascii="Arial" w:hAnsi="Arial" w:cs="Arial"/>
          <w:sz w:val="19"/>
          <w:szCs w:val="19"/>
          <w:lang w:val="es-ES_tradnl"/>
        </w:rPr>
        <w:t>.</w:t>
      </w:r>
    </w:p>
    <w:p w14:paraId="6E25EA59" w14:textId="6A14A780" w:rsidR="00B771E4" w:rsidRPr="000F63F0" w:rsidRDefault="00B771E4">
      <w:pPr>
        <w:pStyle w:val="Textonotapie"/>
        <w:rPr>
          <w:rFonts w:ascii="Arial" w:hAnsi="Arial" w:cs="Arial"/>
          <w:sz w:val="19"/>
          <w:szCs w:val="19"/>
          <w:lang w:val="es-CO"/>
        </w:rPr>
      </w:pPr>
    </w:p>
  </w:footnote>
  <w:footnote w:id="3">
    <w:p w14:paraId="78C8A8FA" w14:textId="3B7495DE" w:rsidR="00846FDA" w:rsidRPr="000F63F0" w:rsidRDefault="00846FDA" w:rsidP="00846FDA">
      <w:pPr>
        <w:pStyle w:val="Textonotapie"/>
        <w:ind w:firstLine="709"/>
        <w:rPr>
          <w:rFonts w:ascii="Arial" w:hAnsi="Arial" w:cs="Arial"/>
          <w:sz w:val="19"/>
          <w:szCs w:val="19"/>
          <w:lang w:val="es-CO"/>
        </w:rPr>
      </w:pPr>
      <w:r w:rsidRPr="000F63F0">
        <w:rPr>
          <w:rStyle w:val="Refdenotaalpie"/>
          <w:rFonts w:ascii="Arial" w:hAnsi="Arial" w:cs="Arial"/>
          <w:sz w:val="19"/>
          <w:szCs w:val="19"/>
        </w:rPr>
        <w:footnoteRef/>
      </w:r>
      <w:r w:rsidRPr="000F63F0">
        <w:rPr>
          <w:rFonts w:ascii="Arial" w:hAnsi="Arial" w:cs="Arial"/>
          <w:sz w:val="19"/>
          <w:szCs w:val="19"/>
        </w:rPr>
        <w:t xml:space="preserve"> En relación con la noción de contratos estatales y su alcance, pueden verse Consejo de Estado, Sección Tercera, auto del 8 de febrero de 2001, </w:t>
      </w:r>
      <w:r w:rsidR="00F473C3" w:rsidRPr="000F63F0">
        <w:rPr>
          <w:rFonts w:ascii="Arial" w:hAnsi="Arial" w:cs="Arial"/>
          <w:sz w:val="19"/>
          <w:szCs w:val="19"/>
        </w:rPr>
        <w:t>Exp</w:t>
      </w:r>
      <w:r w:rsidRPr="000F63F0">
        <w:rPr>
          <w:rFonts w:ascii="Arial" w:hAnsi="Arial" w:cs="Arial"/>
          <w:sz w:val="19"/>
          <w:szCs w:val="19"/>
        </w:rPr>
        <w:t>. n.º 16661.</w:t>
      </w:r>
    </w:p>
  </w:footnote>
  <w:footnote w:id="4">
    <w:p w14:paraId="0E1449CF" w14:textId="16AE299F" w:rsidR="005C0BC0" w:rsidRPr="000F63F0" w:rsidRDefault="005C0BC0" w:rsidP="005C0BC0">
      <w:pPr>
        <w:pStyle w:val="Textonotapie"/>
        <w:ind w:firstLine="709"/>
        <w:rPr>
          <w:rFonts w:ascii="Arial" w:hAnsi="Arial" w:cs="Arial"/>
          <w:sz w:val="19"/>
          <w:szCs w:val="19"/>
          <w:lang w:val="es-CO"/>
        </w:rPr>
      </w:pPr>
      <w:r w:rsidRPr="000F63F0">
        <w:rPr>
          <w:rStyle w:val="Refdenotaalpie"/>
          <w:rFonts w:ascii="Arial" w:hAnsi="Arial" w:cs="Arial"/>
          <w:sz w:val="19"/>
          <w:szCs w:val="19"/>
        </w:rPr>
        <w:footnoteRef/>
      </w:r>
      <w:r w:rsidRPr="000F63F0">
        <w:rPr>
          <w:rFonts w:ascii="Arial" w:hAnsi="Arial" w:cs="Arial"/>
          <w:sz w:val="19"/>
          <w:szCs w:val="19"/>
        </w:rPr>
        <w:t xml:space="preserve"> </w:t>
      </w:r>
      <w:r w:rsidRPr="000F63F0">
        <w:rPr>
          <w:rFonts w:ascii="Arial" w:hAnsi="Arial" w:cs="Arial"/>
          <w:sz w:val="19"/>
          <w:szCs w:val="19"/>
          <w:lang w:val="es-CO"/>
        </w:rPr>
        <w:t xml:space="preserve">Corte Constitucional, sentencia SU-309 del 11 de julio del 2019, M.P. Alberto Rojas Ríos. </w:t>
      </w:r>
    </w:p>
  </w:footnote>
  <w:footnote w:id="5">
    <w:p w14:paraId="62D81FA3" w14:textId="1EBDA2D1" w:rsidR="005C0BC0" w:rsidRPr="000F63F0" w:rsidRDefault="005C0BC0" w:rsidP="005C0BC0">
      <w:pPr>
        <w:pStyle w:val="Textonotapie"/>
        <w:ind w:firstLine="709"/>
        <w:rPr>
          <w:rFonts w:ascii="Arial" w:hAnsi="Arial" w:cs="Arial"/>
          <w:sz w:val="19"/>
          <w:szCs w:val="19"/>
          <w:lang w:val="es-CO"/>
        </w:rPr>
      </w:pPr>
      <w:r w:rsidRPr="000F63F0">
        <w:rPr>
          <w:rStyle w:val="Refdenotaalpie"/>
          <w:rFonts w:ascii="Arial" w:hAnsi="Arial" w:cs="Arial"/>
          <w:sz w:val="19"/>
          <w:szCs w:val="19"/>
        </w:rPr>
        <w:footnoteRef/>
      </w:r>
      <w:r w:rsidRPr="000F63F0">
        <w:rPr>
          <w:rFonts w:ascii="Arial" w:hAnsi="Arial" w:cs="Arial"/>
          <w:sz w:val="19"/>
          <w:szCs w:val="19"/>
        </w:rPr>
        <w:t xml:space="preserve"> </w:t>
      </w:r>
      <w:r w:rsidRPr="000F63F0">
        <w:rPr>
          <w:rFonts w:ascii="Arial" w:hAnsi="Arial" w:cs="Arial"/>
          <w:i/>
          <w:iCs/>
          <w:sz w:val="19"/>
          <w:szCs w:val="19"/>
          <w:lang w:val="es-CO"/>
        </w:rPr>
        <w:t>Ibídem</w:t>
      </w:r>
      <w:r w:rsidRPr="000F63F0">
        <w:rPr>
          <w:rFonts w:ascii="Arial" w:hAnsi="Arial" w:cs="Arial"/>
          <w:sz w:val="19"/>
          <w:szCs w:val="19"/>
          <w:lang w:val="es-CO"/>
        </w:rPr>
        <w:t>.</w:t>
      </w:r>
    </w:p>
  </w:footnote>
  <w:footnote w:id="6">
    <w:p w14:paraId="730664B4" w14:textId="294ABE42" w:rsidR="001230DB" w:rsidRPr="000F63F0" w:rsidRDefault="001230DB" w:rsidP="001230DB">
      <w:pPr>
        <w:pStyle w:val="Textonotapie"/>
        <w:ind w:firstLine="709"/>
        <w:rPr>
          <w:rFonts w:ascii="Arial" w:hAnsi="Arial" w:cs="Arial"/>
          <w:sz w:val="19"/>
          <w:szCs w:val="19"/>
          <w:lang w:val="es-CO"/>
        </w:rPr>
      </w:pPr>
      <w:r w:rsidRPr="000F63F0">
        <w:rPr>
          <w:rStyle w:val="Refdenotaalpie"/>
          <w:rFonts w:ascii="Arial" w:hAnsi="Arial" w:cs="Arial"/>
          <w:sz w:val="19"/>
          <w:szCs w:val="19"/>
        </w:rPr>
        <w:footnoteRef/>
      </w:r>
      <w:r w:rsidRPr="000F63F0">
        <w:rPr>
          <w:rFonts w:ascii="Arial" w:hAnsi="Arial" w:cs="Arial"/>
          <w:sz w:val="19"/>
          <w:szCs w:val="19"/>
        </w:rPr>
        <w:t xml:space="preserve"> </w:t>
      </w:r>
      <w:r w:rsidRPr="000F63F0">
        <w:rPr>
          <w:rFonts w:ascii="Arial" w:hAnsi="Arial" w:cs="Arial"/>
          <w:sz w:val="19"/>
          <w:szCs w:val="19"/>
          <w:lang w:val="es-CO"/>
        </w:rPr>
        <w:t xml:space="preserve">Corte Constitucional, Sentencia T-110 del 2011. </w:t>
      </w:r>
    </w:p>
  </w:footnote>
  <w:footnote w:id="7">
    <w:p w14:paraId="1EF5E355" w14:textId="77777777" w:rsidR="0003085F" w:rsidRPr="000F63F0" w:rsidRDefault="0003085F" w:rsidP="0003085F">
      <w:pPr>
        <w:pStyle w:val="Textonotapie"/>
        <w:ind w:firstLine="720"/>
        <w:rPr>
          <w:rFonts w:ascii="Arial" w:hAnsi="Arial" w:cs="Arial"/>
          <w:sz w:val="19"/>
          <w:szCs w:val="19"/>
          <w:lang w:val="es-CO"/>
        </w:rPr>
      </w:pPr>
      <w:r w:rsidRPr="000F63F0">
        <w:rPr>
          <w:rStyle w:val="Refdenotaalpie"/>
          <w:rFonts w:ascii="Arial" w:hAnsi="Arial" w:cs="Arial"/>
          <w:sz w:val="19"/>
          <w:szCs w:val="19"/>
        </w:rPr>
        <w:footnoteRef/>
      </w:r>
      <w:r w:rsidRPr="000F63F0">
        <w:rPr>
          <w:rFonts w:ascii="Arial" w:hAnsi="Arial" w:cs="Arial"/>
          <w:sz w:val="19"/>
          <w:szCs w:val="19"/>
        </w:rPr>
        <w:t xml:space="preserve"> https://www.funcionpublica.gov.co/eva/gestornormativo/manual-estado/index.php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A4F8" w14:textId="77777777" w:rsidR="00B771E4" w:rsidRDefault="00B771E4">
    <w:pPr>
      <w:pBdr>
        <w:top w:val="nil"/>
        <w:left w:val="nil"/>
        <w:bottom w:val="nil"/>
        <w:right w:val="nil"/>
        <w:between w:val="nil"/>
      </w:pBdr>
      <w:tabs>
        <w:tab w:val="center" w:pos="4252"/>
        <w:tab w:val="right" w:pos="8504"/>
      </w:tabs>
      <w:rPr>
        <w:color w:val="000000"/>
      </w:rPr>
    </w:pPr>
    <w:r>
      <w:rPr>
        <w:noProof/>
        <w:lang w:val="es-CO" w:eastAsia="es-CO"/>
      </w:rPr>
      <w:drawing>
        <wp:anchor distT="0" distB="0" distL="114300" distR="114300" simplePos="0" relativeHeight="251658240" behindDoc="0" locked="0" layoutInCell="1" hidden="0" allowOverlap="1" wp14:anchorId="1738C0C5" wp14:editId="77481344">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B658473" w14:textId="77777777" w:rsidR="00B771E4" w:rsidRDefault="00B771E4">
    <w:pPr>
      <w:pBdr>
        <w:top w:val="nil"/>
        <w:left w:val="nil"/>
        <w:bottom w:val="nil"/>
        <w:right w:val="nil"/>
        <w:between w:val="nil"/>
      </w:pBdr>
      <w:tabs>
        <w:tab w:val="center" w:pos="4252"/>
        <w:tab w:val="right" w:pos="8504"/>
      </w:tabs>
      <w:spacing w:after="0"/>
      <w:rPr>
        <w:color w:val="000000"/>
      </w:rPr>
    </w:pPr>
  </w:p>
  <w:p w14:paraId="10971F20" w14:textId="77777777" w:rsidR="00B771E4" w:rsidRDefault="00B771E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E3"/>
    <w:multiLevelType w:val="hybridMultilevel"/>
    <w:tmpl w:val="5796AAE4"/>
    <w:lvl w:ilvl="0" w:tplc="90547F3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AE944F8"/>
    <w:multiLevelType w:val="hybridMultilevel"/>
    <w:tmpl w:val="549C73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7F2A10"/>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D08149E"/>
    <w:multiLevelType w:val="hybridMultilevel"/>
    <w:tmpl w:val="5D90E9BA"/>
    <w:lvl w:ilvl="0" w:tplc="8990B99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506E3C"/>
    <w:multiLevelType w:val="hybridMultilevel"/>
    <w:tmpl w:val="B17EE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0407C4"/>
    <w:multiLevelType w:val="hybridMultilevel"/>
    <w:tmpl w:val="3EEA22F4"/>
    <w:lvl w:ilvl="0" w:tplc="82D21D6C">
      <w:start w:val="1"/>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DAE4EC2"/>
    <w:multiLevelType w:val="hybridMultilevel"/>
    <w:tmpl w:val="C6008E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012183"/>
    <w:multiLevelType w:val="hybridMultilevel"/>
    <w:tmpl w:val="A6545F1A"/>
    <w:lvl w:ilvl="0" w:tplc="F834AA70">
      <w:start w:val="1"/>
      <w:numFmt w:val="decimal"/>
      <w:lvlText w:val="%1."/>
      <w:lvlJc w:val="left"/>
      <w:pPr>
        <w:ind w:left="1008" w:hanging="280"/>
        <w:jc w:val="right"/>
      </w:pPr>
      <w:rPr>
        <w:rFonts w:hint="default"/>
        <w:spacing w:val="-13"/>
        <w:w w:val="100"/>
        <w:lang w:val="es-ES" w:eastAsia="es-ES" w:bidi="es-ES"/>
      </w:rPr>
    </w:lvl>
    <w:lvl w:ilvl="1" w:tplc="25F46660">
      <w:numFmt w:val="bullet"/>
      <w:lvlText w:val="•"/>
      <w:lvlJc w:val="left"/>
      <w:pPr>
        <w:ind w:left="1854" w:hanging="280"/>
      </w:pPr>
      <w:rPr>
        <w:rFonts w:hint="default"/>
        <w:lang w:val="es-ES" w:eastAsia="es-ES" w:bidi="es-ES"/>
      </w:rPr>
    </w:lvl>
    <w:lvl w:ilvl="2" w:tplc="D8DE7148">
      <w:numFmt w:val="bullet"/>
      <w:lvlText w:val="•"/>
      <w:lvlJc w:val="left"/>
      <w:pPr>
        <w:ind w:left="2708" w:hanging="280"/>
      </w:pPr>
      <w:rPr>
        <w:rFonts w:hint="default"/>
        <w:lang w:val="es-ES" w:eastAsia="es-ES" w:bidi="es-ES"/>
      </w:rPr>
    </w:lvl>
    <w:lvl w:ilvl="3" w:tplc="71C8629A">
      <w:numFmt w:val="bullet"/>
      <w:lvlText w:val="•"/>
      <w:lvlJc w:val="left"/>
      <w:pPr>
        <w:ind w:left="3562" w:hanging="280"/>
      </w:pPr>
      <w:rPr>
        <w:rFonts w:hint="default"/>
        <w:lang w:val="es-ES" w:eastAsia="es-ES" w:bidi="es-ES"/>
      </w:rPr>
    </w:lvl>
    <w:lvl w:ilvl="4" w:tplc="25D00170">
      <w:numFmt w:val="bullet"/>
      <w:lvlText w:val="•"/>
      <w:lvlJc w:val="left"/>
      <w:pPr>
        <w:ind w:left="4416" w:hanging="280"/>
      </w:pPr>
      <w:rPr>
        <w:rFonts w:hint="default"/>
        <w:lang w:val="es-ES" w:eastAsia="es-ES" w:bidi="es-ES"/>
      </w:rPr>
    </w:lvl>
    <w:lvl w:ilvl="5" w:tplc="79182724">
      <w:numFmt w:val="bullet"/>
      <w:lvlText w:val="•"/>
      <w:lvlJc w:val="left"/>
      <w:pPr>
        <w:ind w:left="5270" w:hanging="280"/>
      </w:pPr>
      <w:rPr>
        <w:rFonts w:hint="default"/>
        <w:lang w:val="es-ES" w:eastAsia="es-ES" w:bidi="es-ES"/>
      </w:rPr>
    </w:lvl>
    <w:lvl w:ilvl="6" w:tplc="D33AFA62">
      <w:numFmt w:val="bullet"/>
      <w:lvlText w:val="•"/>
      <w:lvlJc w:val="left"/>
      <w:pPr>
        <w:ind w:left="6124" w:hanging="280"/>
      </w:pPr>
      <w:rPr>
        <w:rFonts w:hint="default"/>
        <w:lang w:val="es-ES" w:eastAsia="es-ES" w:bidi="es-ES"/>
      </w:rPr>
    </w:lvl>
    <w:lvl w:ilvl="7" w:tplc="2272B4E4">
      <w:numFmt w:val="bullet"/>
      <w:lvlText w:val="•"/>
      <w:lvlJc w:val="left"/>
      <w:pPr>
        <w:ind w:left="6978" w:hanging="280"/>
      </w:pPr>
      <w:rPr>
        <w:rFonts w:hint="default"/>
        <w:lang w:val="es-ES" w:eastAsia="es-ES" w:bidi="es-ES"/>
      </w:rPr>
    </w:lvl>
    <w:lvl w:ilvl="8" w:tplc="2DDE1FF6">
      <w:numFmt w:val="bullet"/>
      <w:lvlText w:val="•"/>
      <w:lvlJc w:val="left"/>
      <w:pPr>
        <w:ind w:left="7832" w:hanging="280"/>
      </w:pPr>
      <w:rPr>
        <w:rFonts w:hint="default"/>
        <w:lang w:val="es-ES" w:eastAsia="es-ES" w:bidi="es-ES"/>
      </w:rPr>
    </w:lvl>
  </w:abstractNum>
  <w:abstractNum w:abstractNumId="8" w15:restartNumberingAfterBreak="0">
    <w:nsid w:val="366F0EF9"/>
    <w:multiLevelType w:val="hybridMultilevel"/>
    <w:tmpl w:val="59E631DC"/>
    <w:lvl w:ilvl="0" w:tplc="2ACE655E">
      <w:start w:val="1"/>
      <w:numFmt w:val="decimal"/>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9" w15:restartNumberingAfterBreak="0">
    <w:nsid w:val="3A98220F"/>
    <w:multiLevelType w:val="hybridMultilevel"/>
    <w:tmpl w:val="28BE89E0"/>
    <w:lvl w:ilvl="0" w:tplc="A09873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41383C2B"/>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1BC72FE"/>
    <w:multiLevelType w:val="hybridMultilevel"/>
    <w:tmpl w:val="30AA6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0D68B1"/>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8225F5E"/>
    <w:multiLevelType w:val="hybridMultilevel"/>
    <w:tmpl w:val="D3702DAE"/>
    <w:lvl w:ilvl="0" w:tplc="F092A82A">
      <w:start w:val="1"/>
      <w:numFmt w:val="lowerLetter"/>
      <w:lvlText w:val="%1)"/>
      <w:lvlJc w:val="left"/>
      <w:pPr>
        <w:ind w:left="555" w:hanging="255"/>
      </w:pPr>
      <w:rPr>
        <w:rFonts w:ascii="Arial" w:eastAsia="Arial" w:hAnsi="Arial" w:cs="Arial" w:hint="default"/>
        <w:b/>
        <w:bCs/>
        <w:color w:val="000000" w:themeColor="text1"/>
        <w:spacing w:val="-1"/>
        <w:w w:val="100"/>
        <w:sz w:val="22"/>
        <w:szCs w:val="22"/>
        <w:lang w:val="es-ES" w:eastAsia="es-ES" w:bidi="es-ES"/>
      </w:rPr>
    </w:lvl>
    <w:lvl w:ilvl="1" w:tplc="1A4675B6">
      <w:numFmt w:val="bullet"/>
      <w:lvlText w:val="•"/>
      <w:lvlJc w:val="left"/>
      <w:pPr>
        <w:ind w:left="1458" w:hanging="255"/>
      </w:pPr>
      <w:rPr>
        <w:rFonts w:hint="default"/>
        <w:lang w:val="es-ES" w:eastAsia="es-ES" w:bidi="es-ES"/>
      </w:rPr>
    </w:lvl>
    <w:lvl w:ilvl="2" w:tplc="23329AB8">
      <w:numFmt w:val="bullet"/>
      <w:lvlText w:val="•"/>
      <w:lvlJc w:val="left"/>
      <w:pPr>
        <w:ind w:left="2356" w:hanging="255"/>
      </w:pPr>
      <w:rPr>
        <w:rFonts w:hint="default"/>
        <w:lang w:val="es-ES" w:eastAsia="es-ES" w:bidi="es-ES"/>
      </w:rPr>
    </w:lvl>
    <w:lvl w:ilvl="3" w:tplc="FCB0B6BC">
      <w:numFmt w:val="bullet"/>
      <w:lvlText w:val="•"/>
      <w:lvlJc w:val="left"/>
      <w:pPr>
        <w:ind w:left="3254" w:hanging="255"/>
      </w:pPr>
      <w:rPr>
        <w:rFonts w:hint="default"/>
        <w:lang w:val="es-ES" w:eastAsia="es-ES" w:bidi="es-ES"/>
      </w:rPr>
    </w:lvl>
    <w:lvl w:ilvl="4" w:tplc="D806E2C2">
      <w:numFmt w:val="bullet"/>
      <w:lvlText w:val="•"/>
      <w:lvlJc w:val="left"/>
      <w:pPr>
        <w:ind w:left="4152" w:hanging="255"/>
      </w:pPr>
      <w:rPr>
        <w:rFonts w:hint="default"/>
        <w:lang w:val="es-ES" w:eastAsia="es-ES" w:bidi="es-ES"/>
      </w:rPr>
    </w:lvl>
    <w:lvl w:ilvl="5" w:tplc="EF4495DC">
      <w:numFmt w:val="bullet"/>
      <w:lvlText w:val="•"/>
      <w:lvlJc w:val="left"/>
      <w:pPr>
        <w:ind w:left="5050" w:hanging="255"/>
      </w:pPr>
      <w:rPr>
        <w:rFonts w:hint="default"/>
        <w:lang w:val="es-ES" w:eastAsia="es-ES" w:bidi="es-ES"/>
      </w:rPr>
    </w:lvl>
    <w:lvl w:ilvl="6" w:tplc="B42EC684">
      <w:numFmt w:val="bullet"/>
      <w:lvlText w:val="•"/>
      <w:lvlJc w:val="left"/>
      <w:pPr>
        <w:ind w:left="5948" w:hanging="255"/>
      </w:pPr>
      <w:rPr>
        <w:rFonts w:hint="default"/>
        <w:lang w:val="es-ES" w:eastAsia="es-ES" w:bidi="es-ES"/>
      </w:rPr>
    </w:lvl>
    <w:lvl w:ilvl="7" w:tplc="50BCD532">
      <w:numFmt w:val="bullet"/>
      <w:lvlText w:val="•"/>
      <w:lvlJc w:val="left"/>
      <w:pPr>
        <w:ind w:left="6846" w:hanging="255"/>
      </w:pPr>
      <w:rPr>
        <w:rFonts w:hint="default"/>
        <w:lang w:val="es-ES" w:eastAsia="es-ES" w:bidi="es-ES"/>
      </w:rPr>
    </w:lvl>
    <w:lvl w:ilvl="8" w:tplc="9AA432A4">
      <w:numFmt w:val="bullet"/>
      <w:lvlText w:val="•"/>
      <w:lvlJc w:val="left"/>
      <w:pPr>
        <w:ind w:left="7744" w:hanging="255"/>
      </w:pPr>
      <w:rPr>
        <w:rFonts w:hint="default"/>
        <w:lang w:val="es-ES" w:eastAsia="es-ES" w:bidi="es-ES"/>
      </w:rPr>
    </w:lvl>
  </w:abstractNum>
  <w:abstractNum w:abstractNumId="14"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8B74AA"/>
    <w:multiLevelType w:val="hybridMultilevel"/>
    <w:tmpl w:val="CB5E6D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5471227"/>
    <w:multiLevelType w:val="hybridMultilevel"/>
    <w:tmpl w:val="549C73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36584C"/>
    <w:multiLevelType w:val="hybridMultilevel"/>
    <w:tmpl w:val="C7BAB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E77614"/>
    <w:multiLevelType w:val="hybridMultilevel"/>
    <w:tmpl w:val="28BE89E0"/>
    <w:lvl w:ilvl="0" w:tplc="A09873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1085028593">
    <w:abstractNumId w:val="14"/>
  </w:num>
  <w:num w:numId="2" w16cid:durableId="2110008455">
    <w:abstractNumId w:val="17"/>
  </w:num>
  <w:num w:numId="3" w16cid:durableId="267350563">
    <w:abstractNumId w:val="9"/>
  </w:num>
  <w:num w:numId="4" w16cid:durableId="166091665">
    <w:abstractNumId w:val="18"/>
  </w:num>
  <w:num w:numId="5" w16cid:durableId="1421022561">
    <w:abstractNumId w:val="0"/>
  </w:num>
  <w:num w:numId="6" w16cid:durableId="1906647882">
    <w:abstractNumId w:val="11"/>
  </w:num>
  <w:num w:numId="7" w16cid:durableId="2133740764">
    <w:abstractNumId w:val="15"/>
  </w:num>
  <w:num w:numId="8" w16cid:durableId="238055204">
    <w:abstractNumId w:val="5"/>
  </w:num>
  <w:num w:numId="9" w16cid:durableId="1641954188">
    <w:abstractNumId w:val="12"/>
  </w:num>
  <w:num w:numId="10" w16cid:durableId="221719114">
    <w:abstractNumId w:val="10"/>
  </w:num>
  <w:num w:numId="11" w16cid:durableId="571501575">
    <w:abstractNumId w:val="2"/>
  </w:num>
  <w:num w:numId="12" w16cid:durableId="941105223">
    <w:abstractNumId w:val="4"/>
  </w:num>
  <w:num w:numId="13" w16cid:durableId="1457914427">
    <w:abstractNumId w:val="8"/>
  </w:num>
  <w:num w:numId="14" w16cid:durableId="1211844619">
    <w:abstractNumId w:val="6"/>
  </w:num>
  <w:num w:numId="15" w16cid:durableId="1438214400">
    <w:abstractNumId w:val="1"/>
  </w:num>
  <w:num w:numId="16" w16cid:durableId="1123615338">
    <w:abstractNumId w:val="16"/>
  </w:num>
  <w:num w:numId="17" w16cid:durableId="406928503">
    <w:abstractNumId w:val="7"/>
  </w:num>
  <w:num w:numId="18" w16cid:durableId="1697997799">
    <w:abstractNumId w:val="13"/>
  </w:num>
  <w:num w:numId="19" w16cid:durableId="348218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81"/>
    <w:rsid w:val="000018DA"/>
    <w:rsid w:val="000030F0"/>
    <w:rsid w:val="000050C5"/>
    <w:rsid w:val="00010B3E"/>
    <w:rsid w:val="0003085F"/>
    <w:rsid w:val="00032699"/>
    <w:rsid w:val="0004105F"/>
    <w:rsid w:val="000545BA"/>
    <w:rsid w:val="00054969"/>
    <w:rsid w:val="000550CE"/>
    <w:rsid w:val="00056090"/>
    <w:rsid w:val="00057AC7"/>
    <w:rsid w:val="00057B15"/>
    <w:rsid w:val="0006604D"/>
    <w:rsid w:val="0006799A"/>
    <w:rsid w:val="00074415"/>
    <w:rsid w:val="000845BF"/>
    <w:rsid w:val="000A2731"/>
    <w:rsid w:val="000A3395"/>
    <w:rsid w:val="000B2E54"/>
    <w:rsid w:val="000B4594"/>
    <w:rsid w:val="000E30C5"/>
    <w:rsid w:val="000E542F"/>
    <w:rsid w:val="000F1429"/>
    <w:rsid w:val="000F227D"/>
    <w:rsid w:val="000F63F0"/>
    <w:rsid w:val="001029F0"/>
    <w:rsid w:val="0010477B"/>
    <w:rsid w:val="00117BD8"/>
    <w:rsid w:val="001230DB"/>
    <w:rsid w:val="00124845"/>
    <w:rsid w:val="00127A37"/>
    <w:rsid w:val="001326E7"/>
    <w:rsid w:val="00133F82"/>
    <w:rsid w:val="00136BD7"/>
    <w:rsid w:val="00146CDB"/>
    <w:rsid w:val="001514D1"/>
    <w:rsid w:val="001514E0"/>
    <w:rsid w:val="001515A9"/>
    <w:rsid w:val="00151DF3"/>
    <w:rsid w:val="00153293"/>
    <w:rsid w:val="001534FE"/>
    <w:rsid w:val="001707FB"/>
    <w:rsid w:val="0018033B"/>
    <w:rsid w:val="001A6E50"/>
    <w:rsid w:val="001A7C35"/>
    <w:rsid w:val="001B1C11"/>
    <w:rsid w:val="001C0FF1"/>
    <w:rsid w:val="001C2850"/>
    <w:rsid w:val="001D27F8"/>
    <w:rsid w:val="001D486F"/>
    <w:rsid w:val="001E0B67"/>
    <w:rsid w:val="0020665A"/>
    <w:rsid w:val="00223FE1"/>
    <w:rsid w:val="00225134"/>
    <w:rsid w:val="00235ABD"/>
    <w:rsid w:val="00240AE4"/>
    <w:rsid w:val="00241167"/>
    <w:rsid w:val="00243631"/>
    <w:rsid w:val="002459F1"/>
    <w:rsid w:val="002460B6"/>
    <w:rsid w:val="00251C9D"/>
    <w:rsid w:val="002649FB"/>
    <w:rsid w:val="00272A0E"/>
    <w:rsid w:val="00273C71"/>
    <w:rsid w:val="002753FE"/>
    <w:rsid w:val="002828AC"/>
    <w:rsid w:val="0029138E"/>
    <w:rsid w:val="00294DE1"/>
    <w:rsid w:val="002A572D"/>
    <w:rsid w:val="002C0494"/>
    <w:rsid w:val="002C0AC5"/>
    <w:rsid w:val="002C3534"/>
    <w:rsid w:val="002C5413"/>
    <w:rsid w:val="002C6CF6"/>
    <w:rsid w:val="002E3DD6"/>
    <w:rsid w:val="002F5BFC"/>
    <w:rsid w:val="002F610B"/>
    <w:rsid w:val="0030205B"/>
    <w:rsid w:val="00305D5B"/>
    <w:rsid w:val="003063AF"/>
    <w:rsid w:val="00311CFD"/>
    <w:rsid w:val="00315A19"/>
    <w:rsid w:val="00326817"/>
    <w:rsid w:val="00331302"/>
    <w:rsid w:val="00341FF0"/>
    <w:rsid w:val="0035084D"/>
    <w:rsid w:val="00355453"/>
    <w:rsid w:val="00356678"/>
    <w:rsid w:val="003566F5"/>
    <w:rsid w:val="003717ED"/>
    <w:rsid w:val="0037354E"/>
    <w:rsid w:val="003751D1"/>
    <w:rsid w:val="003833EC"/>
    <w:rsid w:val="00383658"/>
    <w:rsid w:val="0038381C"/>
    <w:rsid w:val="00384AE8"/>
    <w:rsid w:val="003853C0"/>
    <w:rsid w:val="00394399"/>
    <w:rsid w:val="00397B0E"/>
    <w:rsid w:val="003A514F"/>
    <w:rsid w:val="003B7093"/>
    <w:rsid w:val="003D63E3"/>
    <w:rsid w:val="003E1FFB"/>
    <w:rsid w:val="003E3EF7"/>
    <w:rsid w:val="003E7F27"/>
    <w:rsid w:val="003F484C"/>
    <w:rsid w:val="0040759B"/>
    <w:rsid w:val="004361B0"/>
    <w:rsid w:val="004418D0"/>
    <w:rsid w:val="004528B4"/>
    <w:rsid w:val="00453F91"/>
    <w:rsid w:val="00460DA6"/>
    <w:rsid w:val="004709EB"/>
    <w:rsid w:val="0048284D"/>
    <w:rsid w:val="00495D8D"/>
    <w:rsid w:val="00497220"/>
    <w:rsid w:val="004A50F8"/>
    <w:rsid w:val="004A66FB"/>
    <w:rsid w:val="004B4499"/>
    <w:rsid w:val="004B6D5C"/>
    <w:rsid w:val="004B777F"/>
    <w:rsid w:val="004C778E"/>
    <w:rsid w:val="004D0666"/>
    <w:rsid w:val="004D0B70"/>
    <w:rsid w:val="004D1C7A"/>
    <w:rsid w:val="004E3B14"/>
    <w:rsid w:val="004E4342"/>
    <w:rsid w:val="004F06CC"/>
    <w:rsid w:val="00511475"/>
    <w:rsid w:val="005255B7"/>
    <w:rsid w:val="00526195"/>
    <w:rsid w:val="0053319E"/>
    <w:rsid w:val="005335E0"/>
    <w:rsid w:val="00534598"/>
    <w:rsid w:val="005407C6"/>
    <w:rsid w:val="005452FA"/>
    <w:rsid w:val="00546B3B"/>
    <w:rsid w:val="00551155"/>
    <w:rsid w:val="005575AA"/>
    <w:rsid w:val="005613C5"/>
    <w:rsid w:val="0056543B"/>
    <w:rsid w:val="005667EF"/>
    <w:rsid w:val="0058046D"/>
    <w:rsid w:val="0058075D"/>
    <w:rsid w:val="00581F39"/>
    <w:rsid w:val="00584150"/>
    <w:rsid w:val="00587FA8"/>
    <w:rsid w:val="005C0BC0"/>
    <w:rsid w:val="005C5472"/>
    <w:rsid w:val="005D3F7D"/>
    <w:rsid w:val="005D686F"/>
    <w:rsid w:val="005D72A5"/>
    <w:rsid w:val="005E25B4"/>
    <w:rsid w:val="005E320B"/>
    <w:rsid w:val="005E5EDC"/>
    <w:rsid w:val="005F468A"/>
    <w:rsid w:val="0060386F"/>
    <w:rsid w:val="00605B53"/>
    <w:rsid w:val="006077F6"/>
    <w:rsid w:val="006105C7"/>
    <w:rsid w:val="006109E8"/>
    <w:rsid w:val="00612CA1"/>
    <w:rsid w:val="00616E35"/>
    <w:rsid w:val="00626639"/>
    <w:rsid w:val="0062786C"/>
    <w:rsid w:val="0063395D"/>
    <w:rsid w:val="00643113"/>
    <w:rsid w:val="00671825"/>
    <w:rsid w:val="00676359"/>
    <w:rsid w:val="00676AA1"/>
    <w:rsid w:val="00683517"/>
    <w:rsid w:val="00683912"/>
    <w:rsid w:val="00692751"/>
    <w:rsid w:val="006A06F2"/>
    <w:rsid w:val="006A2202"/>
    <w:rsid w:val="006A2342"/>
    <w:rsid w:val="006B138A"/>
    <w:rsid w:val="006B499A"/>
    <w:rsid w:val="006C085F"/>
    <w:rsid w:val="006C28C2"/>
    <w:rsid w:val="006C2B34"/>
    <w:rsid w:val="006D122C"/>
    <w:rsid w:val="006D4E0E"/>
    <w:rsid w:val="006E279C"/>
    <w:rsid w:val="00700A8F"/>
    <w:rsid w:val="00704CEE"/>
    <w:rsid w:val="007162EC"/>
    <w:rsid w:val="007232E5"/>
    <w:rsid w:val="00730A24"/>
    <w:rsid w:val="00734A2B"/>
    <w:rsid w:val="00742700"/>
    <w:rsid w:val="0074635C"/>
    <w:rsid w:val="00751148"/>
    <w:rsid w:val="00754EC2"/>
    <w:rsid w:val="007606D1"/>
    <w:rsid w:val="007671FB"/>
    <w:rsid w:val="0076725C"/>
    <w:rsid w:val="00775E0F"/>
    <w:rsid w:val="00785FA5"/>
    <w:rsid w:val="0079024C"/>
    <w:rsid w:val="00791555"/>
    <w:rsid w:val="007A484C"/>
    <w:rsid w:val="007A5D5E"/>
    <w:rsid w:val="007B16EC"/>
    <w:rsid w:val="007C079A"/>
    <w:rsid w:val="007C191C"/>
    <w:rsid w:val="007C7095"/>
    <w:rsid w:val="007C72C5"/>
    <w:rsid w:val="007D1BE4"/>
    <w:rsid w:val="007D405A"/>
    <w:rsid w:val="007D4281"/>
    <w:rsid w:val="007E1CDB"/>
    <w:rsid w:val="007F31B2"/>
    <w:rsid w:val="00802A0A"/>
    <w:rsid w:val="00814116"/>
    <w:rsid w:val="008229FB"/>
    <w:rsid w:val="00824825"/>
    <w:rsid w:val="00832049"/>
    <w:rsid w:val="00846FDA"/>
    <w:rsid w:val="00852EC7"/>
    <w:rsid w:val="0086341F"/>
    <w:rsid w:val="008642AE"/>
    <w:rsid w:val="00867202"/>
    <w:rsid w:val="00871181"/>
    <w:rsid w:val="00874B15"/>
    <w:rsid w:val="008771D6"/>
    <w:rsid w:val="00896D01"/>
    <w:rsid w:val="00897E75"/>
    <w:rsid w:val="008A3E7C"/>
    <w:rsid w:val="008A58C3"/>
    <w:rsid w:val="008B2F50"/>
    <w:rsid w:val="008B600C"/>
    <w:rsid w:val="008B6AF9"/>
    <w:rsid w:val="008C0946"/>
    <w:rsid w:val="008C1947"/>
    <w:rsid w:val="008D2982"/>
    <w:rsid w:val="008E4228"/>
    <w:rsid w:val="008F02C8"/>
    <w:rsid w:val="008F60BF"/>
    <w:rsid w:val="008F7B30"/>
    <w:rsid w:val="00917DAD"/>
    <w:rsid w:val="009419EB"/>
    <w:rsid w:val="00943629"/>
    <w:rsid w:val="009516FA"/>
    <w:rsid w:val="00955810"/>
    <w:rsid w:val="00961003"/>
    <w:rsid w:val="00961DE7"/>
    <w:rsid w:val="009668F8"/>
    <w:rsid w:val="00970570"/>
    <w:rsid w:val="00972B91"/>
    <w:rsid w:val="009743CA"/>
    <w:rsid w:val="009906B1"/>
    <w:rsid w:val="00991B98"/>
    <w:rsid w:val="0099225D"/>
    <w:rsid w:val="009940E1"/>
    <w:rsid w:val="009B2A39"/>
    <w:rsid w:val="009C522D"/>
    <w:rsid w:val="009D3585"/>
    <w:rsid w:val="009E03DD"/>
    <w:rsid w:val="009E4C14"/>
    <w:rsid w:val="009E579C"/>
    <w:rsid w:val="009F4122"/>
    <w:rsid w:val="00A00493"/>
    <w:rsid w:val="00A04EDF"/>
    <w:rsid w:val="00A1714D"/>
    <w:rsid w:val="00A21144"/>
    <w:rsid w:val="00A223FF"/>
    <w:rsid w:val="00A26E37"/>
    <w:rsid w:val="00A301A8"/>
    <w:rsid w:val="00A310D3"/>
    <w:rsid w:val="00A358E9"/>
    <w:rsid w:val="00A42584"/>
    <w:rsid w:val="00A463B1"/>
    <w:rsid w:val="00A52FAE"/>
    <w:rsid w:val="00A556C0"/>
    <w:rsid w:val="00A67050"/>
    <w:rsid w:val="00A70D7A"/>
    <w:rsid w:val="00A70F3B"/>
    <w:rsid w:val="00A73E91"/>
    <w:rsid w:val="00A774E6"/>
    <w:rsid w:val="00A82D51"/>
    <w:rsid w:val="00A92DEA"/>
    <w:rsid w:val="00A92E5C"/>
    <w:rsid w:val="00AA13A9"/>
    <w:rsid w:val="00AA1B5C"/>
    <w:rsid w:val="00AA33C4"/>
    <w:rsid w:val="00AB3C3F"/>
    <w:rsid w:val="00AB7A7F"/>
    <w:rsid w:val="00AC5959"/>
    <w:rsid w:val="00AD7090"/>
    <w:rsid w:val="00AE26FF"/>
    <w:rsid w:val="00B067CD"/>
    <w:rsid w:val="00B06E9F"/>
    <w:rsid w:val="00B16CF7"/>
    <w:rsid w:val="00B17A66"/>
    <w:rsid w:val="00B24AF6"/>
    <w:rsid w:val="00B2696B"/>
    <w:rsid w:val="00B31DF7"/>
    <w:rsid w:val="00B755F9"/>
    <w:rsid w:val="00B771E4"/>
    <w:rsid w:val="00B777E5"/>
    <w:rsid w:val="00B81079"/>
    <w:rsid w:val="00B91B22"/>
    <w:rsid w:val="00B96223"/>
    <w:rsid w:val="00BB0873"/>
    <w:rsid w:val="00BB2355"/>
    <w:rsid w:val="00BB24AB"/>
    <w:rsid w:val="00BD2153"/>
    <w:rsid w:val="00BD70D8"/>
    <w:rsid w:val="00BF0131"/>
    <w:rsid w:val="00BF2CF6"/>
    <w:rsid w:val="00C12AB0"/>
    <w:rsid w:val="00C161FF"/>
    <w:rsid w:val="00C17A10"/>
    <w:rsid w:val="00C212FA"/>
    <w:rsid w:val="00C323EF"/>
    <w:rsid w:val="00C33D5D"/>
    <w:rsid w:val="00C342FE"/>
    <w:rsid w:val="00C36E16"/>
    <w:rsid w:val="00C40EF3"/>
    <w:rsid w:val="00C51CB2"/>
    <w:rsid w:val="00C55127"/>
    <w:rsid w:val="00C624AB"/>
    <w:rsid w:val="00C67CB8"/>
    <w:rsid w:val="00C70C44"/>
    <w:rsid w:val="00C825DD"/>
    <w:rsid w:val="00C83040"/>
    <w:rsid w:val="00C830CE"/>
    <w:rsid w:val="00C8495A"/>
    <w:rsid w:val="00C86100"/>
    <w:rsid w:val="00C96179"/>
    <w:rsid w:val="00C967E6"/>
    <w:rsid w:val="00CA65EF"/>
    <w:rsid w:val="00CA6E4F"/>
    <w:rsid w:val="00CB654D"/>
    <w:rsid w:val="00CC0803"/>
    <w:rsid w:val="00CD2BBE"/>
    <w:rsid w:val="00CD60F5"/>
    <w:rsid w:val="00CE0B9D"/>
    <w:rsid w:val="00CE21B3"/>
    <w:rsid w:val="00CE6AD8"/>
    <w:rsid w:val="00CE7CCA"/>
    <w:rsid w:val="00CF2EA7"/>
    <w:rsid w:val="00CF6CC4"/>
    <w:rsid w:val="00D06CC6"/>
    <w:rsid w:val="00D1519A"/>
    <w:rsid w:val="00D17464"/>
    <w:rsid w:val="00D227C9"/>
    <w:rsid w:val="00D26DE7"/>
    <w:rsid w:val="00D27FA4"/>
    <w:rsid w:val="00D31237"/>
    <w:rsid w:val="00D345C2"/>
    <w:rsid w:val="00D424A6"/>
    <w:rsid w:val="00D4359E"/>
    <w:rsid w:val="00D642FF"/>
    <w:rsid w:val="00D738BA"/>
    <w:rsid w:val="00D83DA4"/>
    <w:rsid w:val="00DA2CE0"/>
    <w:rsid w:val="00DA39D0"/>
    <w:rsid w:val="00DC3745"/>
    <w:rsid w:val="00DD2193"/>
    <w:rsid w:val="00DD2E1A"/>
    <w:rsid w:val="00DD690E"/>
    <w:rsid w:val="00DE33A9"/>
    <w:rsid w:val="00DF3F54"/>
    <w:rsid w:val="00DF5847"/>
    <w:rsid w:val="00DF7F58"/>
    <w:rsid w:val="00E03C2F"/>
    <w:rsid w:val="00E04114"/>
    <w:rsid w:val="00E04F51"/>
    <w:rsid w:val="00E06F4D"/>
    <w:rsid w:val="00E2102B"/>
    <w:rsid w:val="00E3035D"/>
    <w:rsid w:val="00E4082E"/>
    <w:rsid w:val="00E42491"/>
    <w:rsid w:val="00E461A0"/>
    <w:rsid w:val="00E5063C"/>
    <w:rsid w:val="00E51805"/>
    <w:rsid w:val="00E66398"/>
    <w:rsid w:val="00E72941"/>
    <w:rsid w:val="00E857D5"/>
    <w:rsid w:val="00E87D3C"/>
    <w:rsid w:val="00E94BAA"/>
    <w:rsid w:val="00EC018E"/>
    <w:rsid w:val="00EC1AFE"/>
    <w:rsid w:val="00EC1B87"/>
    <w:rsid w:val="00EC68B5"/>
    <w:rsid w:val="00ED09A1"/>
    <w:rsid w:val="00EE4827"/>
    <w:rsid w:val="00EE669C"/>
    <w:rsid w:val="00EE7BE3"/>
    <w:rsid w:val="00EF3F15"/>
    <w:rsid w:val="00F137F6"/>
    <w:rsid w:val="00F24191"/>
    <w:rsid w:val="00F25F46"/>
    <w:rsid w:val="00F31190"/>
    <w:rsid w:val="00F37CB3"/>
    <w:rsid w:val="00F453F3"/>
    <w:rsid w:val="00F454DA"/>
    <w:rsid w:val="00F4674A"/>
    <w:rsid w:val="00F473C3"/>
    <w:rsid w:val="00F537EB"/>
    <w:rsid w:val="00F57337"/>
    <w:rsid w:val="00F6717E"/>
    <w:rsid w:val="00F67750"/>
    <w:rsid w:val="00F90AE2"/>
    <w:rsid w:val="00F92C0B"/>
    <w:rsid w:val="00F95171"/>
    <w:rsid w:val="00FC1E52"/>
    <w:rsid w:val="00FC4DC4"/>
    <w:rsid w:val="00FD0E21"/>
    <w:rsid w:val="00FD28C5"/>
    <w:rsid w:val="00FD42EF"/>
    <w:rsid w:val="00FD4934"/>
    <w:rsid w:val="00FD549B"/>
    <w:rsid w:val="00FE0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AA8D"/>
  <w15:docId w15:val="{74014E73-EE5C-48A0-A275-66C09E71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21"/>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1">
    <w:name w:val="1"/>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02A0A"/>
    <w:rPr>
      <w:b/>
      <w:bCs/>
    </w:rPr>
  </w:style>
  <w:style w:type="character" w:customStyle="1" w:styleId="AsuntodelcomentarioCar">
    <w:name w:val="Asunto del comentario Car"/>
    <w:basedOn w:val="TextocomentarioCar"/>
    <w:link w:val="Asuntodelcomentario"/>
    <w:uiPriority w:val="99"/>
    <w:semiHidden/>
    <w:rsid w:val="00802A0A"/>
    <w:rPr>
      <w:b/>
      <w:bCs/>
      <w:sz w:val="20"/>
      <w:szCs w:val="20"/>
    </w:rPr>
  </w:style>
  <w:style w:type="paragraph" w:styleId="Textodeglobo">
    <w:name w:val="Balloon Text"/>
    <w:basedOn w:val="Normal"/>
    <w:link w:val="TextodegloboCar"/>
    <w:uiPriority w:val="99"/>
    <w:semiHidden/>
    <w:unhideWhenUsed/>
    <w:rsid w:val="00802A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A0A"/>
    <w:rPr>
      <w:rFonts w:ascii="Segoe UI" w:hAnsi="Segoe UI" w:cs="Segoe UI"/>
      <w:sz w:val="18"/>
      <w:szCs w:val="18"/>
    </w:rPr>
  </w:style>
  <w:style w:type="paragraph" w:styleId="Textonotapie">
    <w:name w:val="footnote text"/>
    <w:basedOn w:val="Normal"/>
    <w:link w:val="TextonotapieCar"/>
    <w:uiPriority w:val="99"/>
    <w:unhideWhenUsed/>
    <w:rsid w:val="00734A2B"/>
    <w:pPr>
      <w:spacing w:after="0" w:line="240" w:lineRule="auto"/>
    </w:pPr>
    <w:rPr>
      <w:sz w:val="20"/>
      <w:szCs w:val="20"/>
    </w:rPr>
  </w:style>
  <w:style w:type="character" w:customStyle="1" w:styleId="TextonotapieCar">
    <w:name w:val="Texto nota pie Car"/>
    <w:basedOn w:val="Fuentedeprrafopredeter"/>
    <w:link w:val="Textonotapie"/>
    <w:uiPriority w:val="99"/>
    <w:rsid w:val="00734A2B"/>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34A2B"/>
    <w:rPr>
      <w:vertAlign w:val="superscript"/>
    </w:rPr>
  </w:style>
  <w:style w:type="paragraph" w:customStyle="1" w:styleId="Appelnotedebasde">
    <w:name w:val="Appel note de bas de..."/>
    <w:basedOn w:val="Normal"/>
    <w:link w:val="Refdenotaalpie"/>
    <w:uiPriority w:val="99"/>
    <w:rsid w:val="00734A2B"/>
    <w:pPr>
      <w:spacing w:after="160" w:line="240" w:lineRule="exact"/>
    </w:pPr>
    <w:rPr>
      <w:vertAlign w:val="superscript"/>
    </w:rPr>
  </w:style>
  <w:style w:type="character" w:customStyle="1" w:styleId="Hipervnculo1">
    <w:name w:val="Hipervínculo1"/>
    <w:basedOn w:val="Fuentedeprrafopredeter"/>
    <w:uiPriority w:val="99"/>
    <w:unhideWhenUsed/>
    <w:rsid w:val="00734A2B"/>
    <w:rPr>
      <w:color w:val="0563C1"/>
      <w:u w:val="single"/>
    </w:rPr>
  </w:style>
  <w:style w:type="character" w:styleId="Hipervnculo">
    <w:name w:val="Hyperlink"/>
    <w:basedOn w:val="Fuentedeprrafopredeter"/>
    <w:uiPriority w:val="99"/>
    <w:unhideWhenUsed/>
    <w:rsid w:val="00734A2B"/>
    <w:rPr>
      <w:color w:val="0000FF" w:themeColor="hyperlink"/>
      <w:u w:val="single"/>
    </w:rPr>
  </w:style>
  <w:style w:type="paragraph" w:styleId="NormalWeb">
    <w:name w:val="Normal (Web)"/>
    <w:basedOn w:val="Normal"/>
    <w:link w:val="NormalWebCar"/>
    <w:uiPriority w:val="99"/>
    <w:unhideWhenUsed/>
    <w:rsid w:val="000E542F"/>
    <w:rPr>
      <w:rFonts w:ascii="Times New Roman" w:hAnsi="Times New Roman" w:cs="Times New Roman"/>
    </w:rPr>
  </w:style>
  <w:style w:type="paragraph" w:styleId="Prrafodelista">
    <w:name w:val="List Paragraph"/>
    <w:basedOn w:val="Normal"/>
    <w:uiPriority w:val="34"/>
    <w:qFormat/>
    <w:rsid w:val="00A310D3"/>
    <w:pPr>
      <w:ind w:left="720"/>
      <w:contextualSpacing/>
    </w:pPr>
  </w:style>
  <w:style w:type="character" w:customStyle="1" w:styleId="baj">
    <w:name w:val="b_aj"/>
    <w:basedOn w:val="Fuentedeprrafopredeter"/>
    <w:rsid w:val="00897E75"/>
  </w:style>
  <w:style w:type="paragraph" w:styleId="Encabezado">
    <w:name w:val="header"/>
    <w:basedOn w:val="Normal"/>
    <w:link w:val="EncabezadoCar"/>
    <w:uiPriority w:val="99"/>
    <w:unhideWhenUsed/>
    <w:rsid w:val="00897E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E75"/>
  </w:style>
  <w:style w:type="paragraph" w:styleId="Piedepgina">
    <w:name w:val="footer"/>
    <w:basedOn w:val="Normal"/>
    <w:link w:val="PiedepginaCar"/>
    <w:uiPriority w:val="99"/>
    <w:unhideWhenUsed/>
    <w:rsid w:val="00897E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E75"/>
  </w:style>
  <w:style w:type="character" w:styleId="nfasis">
    <w:name w:val="Emphasis"/>
    <w:basedOn w:val="Fuentedeprrafopredeter"/>
    <w:uiPriority w:val="20"/>
    <w:qFormat/>
    <w:rsid w:val="00397B0E"/>
    <w:rPr>
      <w:i/>
      <w:iCs/>
    </w:rPr>
  </w:style>
  <w:style w:type="character" w:styleId="Textoennegrita">
    <w:name w:val="Strong"/>
    <w:basedOn w:val="Fuentedeprrafopredeter"/>
    <w:uiPriority w:val="22"/>
    <w:qFormat/>
    <w:rsid w:val="00791555"/>
    <w:rPr>
      <w:b/>
      <w:bCs/>
    </w:rPr>
  </w:style>
  <w:style w:type="character" w:styleId="Hipervnculovisitado">
    <w:name w:val="FollowedHyperlink"/>
    <w:basedOn w:val="Fuentedeprrafopredeter"/>
    <w:uiPriority w:val="99"/>
    <w:semiHidden/>
    <w:unhideWhenUsed/>
    <w:rsid w:val="00C830CE"/>
    <w:rPr>
      <w:color w:val="800080" w:themeColor="followedHyperlink"/>
      <w:u w:val="single"/>
    </w:rPr>
  </w:style>
  <w:style w:type="paragraph" w:styleId="Textoindependiente">
    <w:name w:val="Body Text"/>
    <w:basedOn w:val="Normal"/>
    <w:link w:val="TextoindependienteCar"/>
    <w:uiPriority w:val="99"/>
    <w:semiHidden/>
    <w:unhideWhenUsed/>
    <w:rsid w:val="00A301A8"/>
    <w:pPr>
      <w:spacing w:after="120"/>
    </w:pPr>
  </w:style>
  <w:style w:type="character" w:customStyle="1" w:styleId="TextoindependienteCar">
    <w:name w:val="Texto independiente Car"/>
    <w:basedOn w:val="Fuentedeprrafopredeter"/>
    <w:link w:val="Textoindependiente"/>
    <w:uiPriority w:val="99"/>
    <w:semiHidden/>
    <w:rsid w:val="00A301A8"/>
  </w:style>
  <w:style w:type="character" w:customStyle="1" w:styleId="NormalWebCar">
    <w:name w:val="Normal (Web) Car"/>
    <w:link w:val="NormalWeb"/>
    <w:uiPriority w:val="99"/>
    <w:rsid w:val="001514E0"/>
    <w:rPr>
      <w:rFonts w:ascii="Times New Roman" w:hAnsi="Times New Roman" w:cs="Times New Roman"/>
    </w:rPr>
  </w:style>
  <w:style w:type="table" w:customStyle="1" w:styleId="Tablaconcuadrcula2">
    <w:name w:val="Tabla con cuadrícula2"/>
    <w:basedOn w:val="Tablanormal"/>
    <w:next w:val="Tablaconcuadrcula"/>
    <w:uiPriority w:val="39"/>
    <w:rsid w:val="001514E0"/>
    <w:pPr>
      <w:spacing w:after="0" w:line="240" w:lineRule="auto"/>
      <w:jc w:val="left"/>
    </w:pPr>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5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8495A"/>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380">
      <w:bodyDiv w:val="1"/>
      <w:marLeft w:val="0"/>
      <w:marRight w:val="0"/>
      <w:marTop w:val="0"/>
      <w:marBottom w:val="0"/>
      <w:divBdr>
        <w:top w:val="none" w:sz="0" w:space="0" w:color="auto"/>
        <w:left w:val="none" w:sz="0" w:space="0" w:color="auto"/>
        <w:bottom w:val="none" w:sz="0" w:space="0" w:color="auto"/>
        <w:right w:val="none" w:sz="0" w:space="0" w:color="auto"/>
      </w:divBdr>
    </w:div>
    <w:div w:id="225343558">
      <w:bodyDiv w:val="1"/>
      <w:marLeft w:val="0"/>
      <w:marRight w:val="0"/>
      <w:marTop w:val="0"/>
      <w:marBottom w:val="0"/>
      <w:divBdr>
        <w:top w:val="none" w:sz="0" w:space="0" w:color="auto"/>
        <w:left w:val="none" w:sz="0" w:space="0" w:color="auto"/>
        <w:bottom w:val="none" w:sz="0" w:space="0" w:color="auto"/>
        <w:right w:val="none" w:sz="0" w:space="0" w:color="auto"/>
      </w:divBdr>
    </w:div>
    <w:div w:id="698119622">
      <w:bodyDiv w:val="1"/>
      <w:marLeft w:val="0"/>
      <w:marRight w:val="0"/>
      <w:marTop w:val="0"/>
      <w:marBottom w:val="0"/>
      <w:divBdr>
        <w:top w:val="none" w:sz="0" w:space="0" w:color="auto"/>
        <w:left w:val="none" w:sz="0" w:space="0" w:color="auto"/>
        <w:bottom w:val="none" w:sz="0" w:space="0" w:color="auto"/>
        <w:right w:val="none" w:sz="0" w:space="0" w:color="auto"/>
      </w:divBdr>
      <w:divsChild>
        <w:div w:id="183322019">
          <w:marLeft w:val="0"/>
          <w:marRight w:val="0"/>
          <w:marTop w:val="0"/>
          <w:marBottom w:val="0"/>
          <w:divBdr>
            <w:top w:val="none" w:sz="0" w:space="0" w:color="auto"/>
            <w:left w:val="none" w:sz="0" w:space="0" w:color="auto"/>
            <w:bottom w:val="none" w:sz="0" w:space="0" w:color="auto"/>
            <w:right w:val="none" w:sz="0" w:space="0" w:color="auto"/>
          </w:divBdr>
          <w:divsChild>
            <w:div w:id="1159348459">
              <w:marLeft w:val="0"/>
              <w:marRight w:val="0"/>
              <w:marTop w:val="0"/>
              <w:marBottom w:val="0"/>
              <w:divBdr>
                <w:top w:val="none" w:sz="0" w:space="0" w:color="auto"/>
                <w:left w:val="none" w:sz="0" w:space="0" w:color="auto"/>
                <w:bottom w:val="none" w:sz="0" w:space="0" w:color="auto"/>
                <w:right w:val="none" w:sz="0" w:space="0" w:color="auto"/>
              </w:divBdr>
            </w:div>
          </w:divsChild>
        </w:div>
        <w:div w:id="714499568">
          <w:marLeft w:val="0"/>
          <w:marRight w:val="0"/>
          <w:marTop w:val="0"/>
          <w:marBottom w:val="0"/>
          <w:divBdr>
            <w:top w:val="none" w:sz="0" w:space="0" w:color="auto"/>
            <w:left w:val="none" w:sz="0" w:space="0" w:color="auto"/>
            <w:bottom w:val="none" w:sz="0" w:space="0" w:color="auto"/>
            <w:right w:val="none" w:sz="0" w:space="0" w:color="auto"/>
          </w:divBdr>
          <w:divsChild>
            <w:div w:id="1642420608">
              <w:marLeft w:val="0"/>
              <w:marRight w:val="0"/>
              <w:marTop w:val="0"/>
              <w:marBottom w:val="0"/>
              <w:divBdr>
                <w:top w:val="none" w:sz="0" w:space="0" w:color="auto"/>
                <w:left w:val="none" w:sz="0" w:space="0" w:color="auto"/>
                <w:bottom w:val="none" w:sz="0" w:space="0" w:color="auto"/>
                <w:right w:val="none" w:sz="0" w:space="0" w:color="auto"/>
              </w:divBdr>
            </w:div>
          </w:divsChild>
        </w:div>
        <w:div w:id="974798296">
          <w:marLeft w:val="0"/>
          <w:marRight w:val="0"/>
          <w:marTop w:val="0"/>
          <w:marBottom w:val="0"/>
          <w:divBdr>
            <w:top w:val="none" w:sz="0" w:space="0" w:color="auto"/>
            <w:left w:val="none" w:sz="0" w:space="0" w:color="auto"/>
            <w:bottom w:val="none" w:sz="0" w:space="0" w:color="auto"/>
            <w:right w:val="none" w:sz="0" w:space="0" w:color="auto"/>
          </w:divBdr>
          <w:divsChild>
            <w:div w:id="1942491899">
              <w:marLeft w:val="0"/>
              <w:marRight w:val="0"/>
              <w:marTop w:val="0"/>
              <w:marBottom w:val="0"/>
              <w:divBdr>
                <w:top w:val="none" w:sz="0" w:space="0" w:color="auto"/>
                <w:left w:val="none" w:sz="0" w:space="0" w:color="auto"/>
                <w:bottom w:val="none" w:sz="0" w:space="0" w:color="auto"/>
                <w:right w:val="none" w:sz="0" w:space="0" w:color="auto"/>
              </w:divBdr>
            </w:div>
          </w:divsChild>
        </w:div>
        <w:div w:id="1396244973">
          <w:marLeft w:val="0"/>
          <w:marRight w:val="0"/>
          <w:marTop w:val="0"/>
          <w:marBottom w:val="0"/>
          <w:divBdr>
            <w:top w:val="none" w:sz="0" w:space="0" w:color="auto"/>
            <w:left w:val="none" w:sz="0" w:space="0" w:color="auto"/>
            <w:bottom w:val="none" w:sz="0" w:space="0" w:color="auto"/>
            <w:right w:val="none" w:sz="0" w:space="0" w:color="auto"/>
          </w:divBdr>
          <w:divsChild>
            <w:div w:id="405154561">
              <w:marLeft w:val="0"/>
              <w:marRight w:val="0"/>
              <w:marTop w:val="0"/>
              <w:marBottom w:val="0"/>
              <w:divBdr>
                <w:top w:val="none" w:sz="0" w:space="0" w:color="auto"/>
                <w:left w:val="none" w:sz="0" w:space="0" w:color="auto"/>
                <w:bottom w:val="none" w:sz="0" w:space="0" w:color="auto"/>
                <w:right w:val="none" w:sz="0" w:space="0" w:color="auto"/>
              </w:divBdr>
            </w:div>
          </w:divsChild>
        </w:div>
        <w:div w:id="1469468370">
          <w:marLeft w:val="0"/>
          <w:marRight w:val="0"/>
          <w:marTop w:val="0"/>
          <w:marBottom w:val="0"/>
          <w:divBdr>
            <w:top w:val="none" w:sz="0" w:space="0" w:color="auto"/>
            <w:left w:val="none" w:sz="0" w:space="0" w:color="auto"/>
            <w:bottom w:val="none" w:sz="0" w:space="0" w:color="auto"/>
            <w:right w:val="none" w:sz="0" w:space="0" w:color="auto"/>
          </w:divBdr>
          <w:divsChild>
            <w:div w:id="14587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01">
      <w:bodyDiv w:val="1"/>
      <w:marLeft w:val="0"/>
      <w:marRight w:val="0"/>
      <w:marTop w:val="0"/>
      <w:marBottom w:val="0"/>
      <w:divBdr>
        <w:top w:val="none" w:sz="0" w:space="0" w:color="auto"/>
        <w:left w:val="none" w:sz="0" w:space="0" w:color="auto"/>
        <w:bottom w:val="none" w:sz="0" w:space="0" w:color="auto"/>
        <w:right w:val="none" w:sz="0" w:space="0" w:color="auto"/>
      </w:divBdr>
    </w:div>
    <w:div w:id="893008449">
      <w:bodyDiv w:val="1"/>
      <w:marLeft w:val="0"/>
      <w:marRight w:val="0"/>
      <w:marTop w:val="0"/>
      <w:marBottom w:val="0"/>
      <w:divBdr>
        <w:top w:val="none" w:sz="0" w:space="0" w:color="auto"/>
        <w:left w:val="none" w:sz="0" w:space="0" w:color="auto"/>
        <w:bottom w:val="none" w:sz="0" w:space="0" w:color="auto"/>
        <w:right w:val="none" w:sz="0" w:space="0" w:color="auto"/>
      </w:divBdr>
    </w:div>
    <w:div w:id="1079406859">
      <w:bodyDiv w:val="1"/>
      <w:marLeft w:val="0"/>
      <w:marRight w:val="0"/>
      <w:marTop w:val="0"/>
      <w:marBottom w:val="0"/>
      <w:divBdr>
        <w:top w:val="none" w:sz="0" w:space="0" w:color="auto"/>
        <w:left w:val="none" w:sz="0" w:space="0" w:color="auto"/>
        <w:bottom w:val="none" w:sz="0" w:space="0" w:color="auto"/>
        <w:right w:val="none" w:sz="0" w:space="0" w:color="auto"/>
      </w:divBdr>
    </w:div>
    <w:div w:id="1189418048">
      <w:bodyDiv w:val="1"/>
      <w:marLeft w:val="0"/>
      <w:marRight w:val="0"/>
      <w:marTop w:val="0"/>
      <w:marBottom w:val="0"/>
      <w:divBdr>
        <w:top w:val="none" w:sz="0" w:space="0" w:color="auto"/>
        <w:left w:val="none" w:sz="0" w:space="0" w:color="auto"/>
        <w:bottom w:val="none" w:sz="0" w:space="0" w:color="auto"/>
        <w:right w:val="none" w:sz="0" w:space="0" w:color="auto"/>
      </w:divBdr>
    </w:div>
    <w:div w:id="1248078066">
      <w:bodyDiv w:val="1"/>
      <w:marLeft w:val="0"/>
      <w:marRight w:val="0"/>
      <w:marTop w:val="0"/>
      <w:marBottom w:val="0"/>
      <w:divBdr>
        <w:top w:val="none" w:sz="0" w:space="0" w:color="auto"/>
        <w:left w:val="none" w:sz="0" w:space="0" w:color="auto"/>
        <w:bottom w:val="none" w:sz="0" w:space="0" w:color="auto"/>
        <w:right w:val="none" w:sz="0" w:space="0" w:color="auto"/>
      </w:divBdr>
    </w:div>
    <w:div w:id="1288047124">
      <w:bodyDiv w:val="1"/>
      <w:marLeft w:val="0"/>
      <w:marRight w:val="0"/>
      <w:marTop w:val="0"/>
      <w:marBottom w:val="0"/>
      <w:divBdr>
        <w:top w:val="none" w:sz="0" w:space="0" w:color="auto"/>
        <w:left w:val="none" w:sz="0" w:space="0" w:color="auto"/>
        <w:bottom w:val="none" w:sz="0" w:space="0" w:color="auto"/>
        <w:right w:val="none" w:sz="0" w:space="0" w:color="auto"/>
      </w:divBdr>
    </w:div>
    <w:div w:id="1308363142">
      <w:bodyDiv w:val="1"/>
      <w:marLeft w:val="0"/>
      <w:marRight w:val="0"/>
      <w:marTop w:val="0"/>
      <w:marBottom w:val="0"/>
      <w:divBdr>
        <w:top w:val="none" w:sz="0" w:space="0" w:color="auto"/>
        <w:left w:val="none" w:sz="0" w:space="0" w:color="auto"/>
        <w:bottom w:val="none" w:sz="0" w:space="0" w:color="auto"/>
        <w:right w:val="none" w:sz="0" w:space="0" w:color="auto"/>
      </w:divBdr>
    </w:div>
    <w:div w:id="1312632176">
      <w:bodyDiv w:val="1"/>
      <w:marLeft w:val="0"/>
      <w:marRight w:val="0"/>
      <w:marTop w:val="0"/>
      <w:marBottom w:val="0"/>
      <w:divBdr>
        <w:top w:val="none" w:sz="0" w:space="0" w:color="auto"/>
        <w:left w:val="none" w:sz="0" w:space="0" w:color="auto"/>
        <w:bottom w:val="none" w:sz="0" w:space="0" w:color="auto"/>
        <w:right w:val="none" w:sz="0" w:space="0" w:color="auto"/>
      </w:divBdr>
      <w:divsChild>
        <w:div w:id="42488419">
          <w:marLeft w:val="547"/>
          <w:marRight w:val="0"/>
          <w:marTop w:val="0"/>
          <w:marBottom w:val="0"/>
          <w:divBdr>
            <w:top w:val="none" w:sz="0" w:space="0" w:color="auto"/>
            <w:left w:val="none" w:sz="0" w:space="0" w:color="auto"/>
            <w:bottom w:val="none" w:sz="0" w:space="0" w:color="auto"/>
            <w:right w:val="none" w:sz="0" w:space="0" w:color="auto"/>
          </w:divBdr>
        </w:div>
      </w:divsChild>
    </w:div>
    <w:div w:id="1321229190">
      <w:bodyDiv w:val="1"/>
      <w:marLeft w:val="0"/>
      <w:marRight w:val="0"/>
      <w:marTop w:val="0"/>
      <w:marBottom w:val="0"/>
      <w:divBdr>
        <w:top w:val="none" w:sz="0" w:space="0" w:color="auto"/>
        <w:left w:val="none" w:sz="0" w:space="0" w:color="auto"/>
        <w:bottom w:val="none" w:sz="0" w:space="0" w:color="auto"/>
        <w:right w:val="none" w:sz="0" w:space="0" w:color="auto"/>
      </w:divBdr>
    </w:div>
    <w:div w:id="1466965590">
      <w:bodyDiv w:val="1"/>
      <w:marLeft w:val="0"/>
      <w:marRight w:val="0"/>
      <w:marTop w:val="0"/>
      <w:marBottom w:val="0"/>
      <w:divBdr>
        <w:top w:val="none" w:sz="0" w:space="0" w:color="auto"/>
        <w:left w:val="none" w:sz="0" w:space="0" w:color="auto"/>
        <w:bottom w:val="none" w:sz="0" w:space="0" w:color="auto"/>
        <w:right w:val="none" w:sz="0" w:space="0" w:color="auto"/>
      </w:divBdr>
    </w:div>
    <w:div w:id="1540320393">
      <w:bodyDiv w:val="1"/>
      <w:marLeft w:val="0"/>
      <w:marRight w:val="0"/>
      <w:marTop w:val="0"/>
      <w:marBottom w:val="0"/>
      <w:divBdr>
        <w:top w:val="none" w:sz="0" w:space="0" w:color="auto"/>
        <w:left w:val="none" w:sz="0" w:space="0" w:color="auto"/>
        <w:bottom w:val="none" w:sz="0" w:space="0" w:color="auto"/>
        <w:right w:val="none" w:sz="0" w:space="0" w:color="auto"/>
      </w:divBdr>
    </w:div>
    <w:div w:id="1543130869">
      <w:bodyDiv w:val="1"/>
      <w:marLeft w:val="0"/>
      <w:marRight w:val="0"/>
      <w:marTop w:val="0"/>
      <w:marBottom w:val="0"/>
      <w:divBdr>
        <w:top w:val="none" w:sz="0" w:space="0" w:color="auto"/>
        <w:left w:val="none" w:sz="0" w:space="0" w:color="auto"/>
        <w:bottom w:val="none" w:sz="0" w:space="0" w:color="auto"/>
        <w:right w:val="none" w:sz="0" w:space="0" w:color="auto"/>
      </w:divBdr>
    </w:div>
    <w:div w:id="1698309294">
      <w:bodyDiv w:val="1"/>
      <w:marLeft w:val="0"/>
      <w:marRight w:val="0"/>
      <w:marTop w:val="0"/>
      <w:marBottom w:val="0"/>
      <w:divBdr>
        <w:top w:val="none" w:sz="0" w:space="0" w:color="auto"/>
        <w:left w:val="none" w:sz="0" w:space="0" w:color="auto"/>
        <w:bottom w:val="none" w:sz="0" w:space="0" w:color="auto"/>
        <w:right w:val="none" w:sz="0" w:space="0" w:color="auto"/>
      </w:divBdr>
    </w:div>
    <w:div w:id="1908612038">
      <w:bodyDiv w:val="1"/>
      <w:marLeft w:val="0"/>
      <w:marRight w:val="0"/>
      <w:marTop w:val="0"/>
      <w:marBottom w:val="0"/>
      <w:divBdr>
        <w:top w:val="none" w:sz="0" w:space="0" w:color="auto"/>
        <w:left w:val="none" w:sz="0" w:space="0" w:color="auto"/>
        <w:bottom w:val="none" w:sz="0" w:space="0" w:color="auto"/>
        <w:right w:val="none" w:sz="0" w:space="0" w:color="auto"/>
      </w:divBdr>
    </w:div>
    <w:div w:id="1930649695">
      <w:bodyDiv w:val="1"/>
      <w:marLeft w:val="0"/>
      <w:marRight w:val="0"/>
      <w:marTop w:val="0"/>
      <w:marBottom w:val="0"/>
      <w:divBdr>
        <w:top w:val="none" w:sz="0" w:space="0" w:color="auto"/>
        <w:left w:val="none" w:sz="0" w:space="0" w:color="auto"/>
        <w:bottom w:val="none" w:sz="0" w:space="0" w:color="auto"/>
        <w:right w:val="none" w:sz="0" w:space="0" w:color="auto"/>
      </w:divBdr>
    </w:div>
    <w:div w:id="1949583030">
      <w:bodyDiv w:val="1"/>
      <w:marLeft w:val="0"/>
      <w:marRight w:val="0"/>
      <w:marTop w:val="0"/>
      <w:marBottom w:val="0"/>
      <w:divBdr>
        <w:top w:val="none" w:sz="0" w:space="0" w:color="auto"/>
        <w:left w:val="none" w:sz="0" w:space="0" w:color="auto"/>
        <w:bottom w:val="none" w:sz="0" w:space="0" w:color="auto"/>
        <w:right w:val="none" w:sz="0" w:space="0" w:color="auto"/>
      </w:divBdr>
    </w:div>
    <w:div w:id="2094622134">
      <w:bodyDiv w:val="1"/>
      <w:marLeft w:val="0"/>
      <w:marRight w:val="0"/>
      <w:marTop w:val="0"/>
      <w:marBottom w:val="0"/>
      <w:divBdr>
        <w:top w:val="none" w:sz="0" w:space="0" w:color="auto"/>
        <w:left w:val="none" w:sz="0" w:space="0" w:color="auto"/>
        <w:bottom w:val="none" w:sz="0" w:space="0" w:color="auto"/>
        <w:right w:val="none" w:sz="0" w:space="0" w:color="auto"/>
      </w:divBdr>
    </w:div>
    <w:div w:id="213119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orteconstitucional.gov.co/relatoria/2019/SU309-19.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195_2022_pr001.html" TargetMode="External"/><Relationship Id="rId2" Type="http://schemas.openxmlformats.org/officeDocument/2006/relationships/hyperlink" Target="http://www.secretariasenado.gov.co/senado/basedoc/constitucion_politica_1991_pr009.html" TargetMode="External"/><Relationship Id="rId1" Type="http://schemas.openxmlformats.org/officeDocument/2006/relationships/hyperlink" Target="http://www.secretariasenado.gov.co/senado/basedoc/constitucion_politica_1991_pr006.html" TargetMode="External"/><Relationship Id="rId4" Type="http://schemas.openxmlformats.org/officeDocument/2006/relationships/hyperlink" Target="http://www.secretariasenado.gov.co/senado/basedoc/ley_2195_2022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A30BC7-5CC4-47D3-A2A1-93047470AFD6}">
  <ds:schemaRefs>
    <ds:schemaRef ds:uri="http://schemas.openxmlformats.org/officeDocument/2006/bibliography"/>
  </ds:schemaRefs>
</ds:datastoreItem>
</file>

<file path=customXml/itemProps2.xml><?xml version="1.0" encoding="utf-8"?>
<ds:datastoreItem xmlns:ds="http://schemas.openxmlformats.org/officeDocument/2006/customXml" ds:itemID="{E4060AC7-C9AB-4181-931D-FBC921EC7F1A}"/>
</file>

<file path=customXml/itemProps3.xml><?xml version="1.0" encoding="utf-8"?>
<ds:datastoreItem xmlns:ds="http://schemas.openxmlformats.org/officeDocument/2006/customXml" ds:itemID="{C4732C56-54D1-4E83-96A2-52E8CE7D51E2}"/>
</file>

<file path=customXml/itemProps4.xml><?xml version="1.0" encoding="utf-8"?>
<ds:datastoreItem xmlns:ds="http://schemas.openxmlformats.org/officeDocument/2006/customXml" ds:itemID="{A08A1689-9913-4B73-8E3D-0B2177B41137}"/>
</file>

<file path=docProps/app.xml><?xml version="1.0" encoding="utf-8"?>
<Properties xmlns="http://schemas.openxmlformats.org/officeDocument/2006/extended-properties" xmlns:vt="http://schemas.openxmlformats.org/officeDocument/2006/docPropsVTypes">
  <Template>Normal.dotm</Template>
  <TotalTime>21</TotalTime>
  <Pages>14</Pages>
  <Words>5294</Words>
  <Characters>29121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Luisa Fernanda Pascuaza Cabrera</cp:lastModifiedBy>
  <cp:revision>5</cp:revision>
  <cp:lastPrinted>2022-03-24T20:14:00Z</cp:lastPrinted>
  <dcterms:created xsi:type="dcterms:W3CDTF">2022-06-13T17:09:00Z</dcterms:created>
  <dcterms:modified xsi:type="dcterms:W3CDTF">2022-06-22T18:43:00Z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