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A20D" w14:textId="1C0D98C9" w:rsidR="00714833" w:rsidRPr="00065D8F" w:rsidRDefault="00714833" w:rsidP="00065D8F">
      <w:pPr>
        <w:tabs>
          <w:tab w:val="left" w:pos="426"/>
        </w:tabs>
        <w:jc w:val="both"/>
        <w:rPr>
          <w:rFonts w:ascii="Arial" w:eastAsia="Calibri" w:hAnsi="Arial" w:cs="Arial"/>
          <w:b/>
          <w:bCs/>
          <w:sz w:val="22"/>
        </w:rPr>
      </w:pPr>
      <w:bookmarkStart w:id="0" w:name="_Hlk77152637"/>
      <w:bookmarkStart w:id="1" w:name="_Hlk77157066"/>
      <w:bookmarkStart w:id="2" w:name="_Hlk78821436"/>
      <w:r w:rsidRPr="00065D8F">
        <w:rPr>
          <w:rFonts w:ascii="Arial" w:eastAsia="Calibri" w:hAnsi="Arial" w:cs="Arial"/>
          <w:b/>
          <w:bCs/>
          <w:sz w:val="22"/>
        </w:rPr>
        <w:t>LEY DE GARANTÍAS ELECTORALES ‒</w:t>
      </w:r>
      <w:bookmarkEnd w:id="0"/>
      <w:r w:rsidRPr="00065D8F">
        <w:rPr>
          <w:rFonts w:ascii="Arial" w:eastAsia="Calibri" w:hAnsi="Arial" w:cs="Arial"/>
          <w:b/>
          <w:bCs/>
          <w:sz w:val="22"/>
        </w:rPr>
        <w:t xml:space="preserve"> Tipos de restricciones </w:t>
      </w:r>
      <w:bookmarkStart w:id="3" w:name="_Hlk77157034"/>
      <w:r w:rsidRPr="00065D8F">
        <w:rPr>
          <w:rFonts w:ascii="Arial" w:eastAsia="Calibri" w:hAnsi="Arial" w:cs="Arial"/>
          <w:b/>
          <w:bCs/>
          <w:sz w:val="22"/>
        </w:rPr>
        <w:t xml:space="preserve">‒ </w:t>
      </w:r>
      <w:bookmarkStart w:id="4" w:name="_Hlk77153098"/>
      <w:bookmarkEnd w:id="3"/>
      <w:r w:rsidRPr="00065D8F">
        <w:rPr>
          <w:rFonts w:ascii="Arial" w:eastAsia="Calibri" w:hAnsi="Arial" w:cs="Arial"/>
          <w:b/>
          <w:bCs/>
          <w:sz w:val="22"/>
        </w:rPr>
        <w:t xml:space="preserve">Ámbito temporal </w:t>
      </w:r>
      <w:bookmarkEnd w:id="4"/>
    </w:p>
    <w:p w14:paraId="50AB082C" w14:textId="77777777" w:rsidR="00376F76" w:rsidRPr="00065D8F" w:rsidRDefault="00376F76" w:rsidP="00065D8F">
      <w:pPr>
        <w:tabs>
          <w:tab w:val="left" w:pos="426"/>
        </w:tabs>
        <w:jc w:val="both"/>
        <w:rPr>
          <w:rFonts w:ascii="Arial" w:eastAsia="Calibri" w:hAnsi="Arial" w:cs="Arial"/>
          <w:b/>
          <w:bCs/>
          <w:sz w:val="22"/>
        </w:rPr>
      </w:pPr>
    </w:p>
    <w:bookmarkEnd w:id="1"/>
    <w:p w14:paraId="19B1F96B" w14:textId="7A552D99" w:rsidR="00376F76" w:rsidRPr="00065D8F" w:rsidRDefault="00714833" w:rsidP="00065D8F">
      <w:pPr>
        <w:tabs>
          <w:tab w:val="left" w:pos="426"/>
        </w:tabs>
        <w:jc w:val="both"/>
        <w:rPr>
          <w:rFonts w:ascii="Arial" w:eastAsia="Calibri" w:hAnsi="Arial" w:cs="Arial"/>
          <w:noProof/>
          <w:sz w:val="20"/>
          <w:szCs w:val="20"/>
          <w:lang w:val="es-ES_tradnl"/>
        </w:rPr>
      </w:pPr>
      <w:r w:rsidRPr="00065D8F">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00376F76" w:rsidRPr="00065D8F">
        <w:rPr>
          <w:rFonts w:ascii="Arial" w:eastAsia="Calibri" w:hAnsi="Arial" w:cs="Arial"/>
          <w:noProof/>
          <w:sz w:val="20"/>
          <w:szCs w:val="20"/>
          <w:lang w:val="es-ES_tradnl"/>
        </w:rPr>
        <w:t>.</w:t>
      </w:r>
      <w:bookmarkStart w:id="5" w:name="_Hlk77165666"/>
    </w:p>
    <w:p w14:paraId="30C334BA" w14:textId="77777777" w:rsidR="00376F76" w:rsidRPr="00065D8F" w:rsidRDefault="00376F76" w:rsidP="00065D8F">
      <w:pPr>
        <w:tabs>
          <w:tab w:val="left" w:pos="426"/>
        </w:tabs>
        <w:jc w:val="both"/>
        <w:rPr>
          <w:rFonts w:ascii="Arial" w:eastAsia="Calibri" w:hAnsi="Arial" w:cs="Arial"/>
          <w:noProof/>
          <w:sz w:val="20"/>
          <w:szCs w:val="20"/>
          <w:lang w:val="es-ES_tradnl"/>
        </w:rPr>
      </w:pPr>
    </w:p>
    <w:p w14:paraId="17331853" w14:textId="150346F8" w:rsidR="00714833" w:rsidRPr="00065D8F" w:rsidRDefault="00714833" w:rsidP="00065D8F">
      <w:pPr>
        <w:tabs>
          <w:tab w:val="left" w:pos="426"/>
        </w:tabs>
        <w:jc w:val="both"/>
        <w:rPr>
          <w:rFonts w:ascii="Arial" w:eastAsia="Calibri" w:hAnsi="Arial" w:cs="Arial"/>
          <w:noProof/>
          <w:sz w:val="20"/>
          <w:szCs w:val="20"/>
          <w:lang w:val="es-ES_tradnl"/>
        </w:rPr>
      </w:pPr>
      <w:r w:rsidRPr="00065D8F">
        <w:rPr>
          <w:rFonts w:ascii="Arial" w:eastAsia="Calibri" w:hAnsi="Arial" w:cs="Arial"/>
          <w:b/>
          <w:bCs/>
          <w:sz w:val="22"/>
        </w:rPr>
        <w:t xml:space="preserve">LEY DE GARANTÍAS ELECTORALES ─ Prohibición ‒ </w:t>
      </w:r>
      <w:bookmarkEnd w:id="5"/>
      <w:r w:rsidRPr="00065D8F">
        <w:rPr>
          <w:rFonts w:ascii="Arial" w:eastAsia="Calibri" w:hAnsi="Arial" w:cs="Arial"/>
          <w:b/>
          <w:bCs/>
          <w:sz w:val="22"/>
        </w:rPr>
        <w:t>Contratación directa ‒ Alcance</w:t>
      </w:r>
      <w:r w:rsidR="00AC1839" w:rsidRPr="00065D8F">
        <w:rPr>
          <w:rFonts w:ascii="Arial" w:eastAsia="Calibri" w:hAnsi="Arial" w:cs="Arial"/>
          <w:b/>
          <w:bCs/>
          <w:sz w:val="22"/>
        </w:rPr>
        <w:t xml:space="preserve"> – </w:t>
      </w:r>
      <w:r w:rsidR="00AC1839" w:rsidRPr="00065D8F">
        <w:rPr>
          <w:rFonts w:ascii="Arial" w:hAnsi="Arial" w:cs="Arial"/>
          <w:b/>
          <w:bCs/>
          <w:sz w:val="22"/>
          <w:lang w:eastAsia="es-CO"/>
        </w:rPr>
        <w:t>Excepciones</w:t>
      </w:r>
      <w:r w:rsidRPr="00065D8F">
        <w:rPr>
          <w:rFonts w:ascii="Arial" w:eastAsia="Calibri" w:hAnsi="Arial" w:cs="Arial"/>
          <w:b/>
          <w:bCs/>
          <w:sz w:val="22"/>
        </w:rPr>
        <w:t xml:space="preserve"> </w:t>
      </w:r>
    </w:p>
    <w:p w14:paraId="39C641D4" w14:textId="77777777" w:rsidR="00376F76" w:rsidRPr="00065D8F" w:rsidRDefault="00376F76" w:rsidP="00065D8F">
      <w:pPr>
        <w:tabs>
          <w:tab w:val="left" w:pos="426"/>
        </w:tabs>
        <w:jc w:val="both"/>
        <w:rPr>
          <w:rFonts w:ascii="Arial" w:eastAsia="Calibri" w:hAnsi="Arial" w:cs="Arial"/>
          <w:noProof/>
          <w:sz w:val="20"/>
          <w:szCs w:val="20"/>
          <w:lang w:val="es-ES_tradnl"/>
        </w:rPr>
      </w:pPr>
    </w:p>
    <w:p w14:paraId="39562481" w14:textId="050A564D" w:rsidR="00714833" w:rsidRPr="00065D8F" w:rsidRDefault="00714833" w:rsidP="00065D8F">
      <w:pPr>
        <w:tabs>
          <w:tab w:val="left" w:pos="426"/>
        </w:tabs>
        <w:jc w:val="both"/>
        <w:rPr>
          <w:rFonts w:ascii="Arial" w:hAnsi="Arial" w:cs="Arial"/>
          <w:sz w:val="20"/>
          <w:szCs w:val="20"/>
          <w:lang w:eastAsia="es-ES"/>
        </w:rPr>
      </w:pPr>
      <w:r w:rsidRPr="00065D8F">
        <w:rPr>
          <w:rFonts w:ascii="Arial" w:eastAsia="Calibri" w:hAnsi="Arial" w:cs="Arial"/>
          <w:noProof/>
          <w:sz w:val="20"/>
          <w:szCs w:val="20"/>
        </w:rPr>
        <w:t xml:space="preserve">[…] </w:t>
      </w:r>
      <w:r w:rsidR="006C02F1" w:rsidRPr="00065D8F">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r w:rsidR="004F2CF3" w:rsidRPr="00065D8F">
        <w:rPr>
          <w:rFonts w:ascii="Arial" w:eastAsia="Calibri" w:hAnsi="Arial" w:cs="Arial"/>
          <w:noProof/>
          <w:sz w:val="20"/>
          <w:szCs w:val="20"/>
        </w:rPr>
        <w:t>.</w:t>
      </w:r>
      <w:r w:rsidRPr="00065D8F">
        <w:rPr>
          <w:rFonts w:ascii="Arial" w:eastAsia="Calibri" w:hAnsi="Arial" w:cs="Arial"/>
          <w:noProof/>
          <w:sz w:val="20"/>
          <w:szCs w:val="20"/>
        </w:rPr>
        <w:t>.</w:t>
      </w:r>
    </w:p>
    <w:p w14:paraId="16C63032" w14:textId="77777777" w:rsidR="00856468" w:rsidRPr="00065D8F" w:rsidRDefault="00856468" w:rsidP="00065D8F">
      <w:pPr>
        <w:shd w:val="clear" w:color="auto" w:fill="FFFFFF"/>
        <w:jc w:val="both"/>
        <w:rPr>
          <w:rFonts w:ascii="Arial" w:hAnsi="Arial" w:cs="Arial"/>
          <w:sz w:val="20"/>
          <w:szCs w:val="20"/>
          <w:lang w:eastAsia="es-CO"/>
        </w:rPr>
      </w:pPr>
    </w:p>
    <w:p w14:paraId="38C32961" w14:textId="5C598E2C" w:rsidR="00714833" w:rsidRPr="00065D8F" w:rsidRDefault="00714833" w:rsidP="00065D8F">
      <w:pPr>
        <w:tabs>
          <w:tab w:val="left" w:pos="426"/>
        </w:tabs>
        <w:jc w:val="both"/>
        <w:rPr>
          <w:rFonts w:ascii="Arial" w:hAnsi="Arial" w:cs="Arial"/>
          <w:sz w:val="20"/>
          <w:szCs w:val="20"/>
        </w:rPr>
      </w:pPr>
      <w:r w:rsidRPr="00065D8F">
        <w:rPr>
          <w:rFonts w:ascii="Arial" w:hAnsi="Arial" w:cs="Arial"/>
          <w:sz w:val="20"/>
          <w:szCs w:val="20"/>
          <w:lang w:eastAsia="x-none"/>
        </w:rPr>
        <w:t xml:space="preserve">[…] </w:t>
      </w:r>
      <w:r w:rsidRPr="00065D8F">
        <w:rPr>
          <w:rFonts w:ascii="Arial" w:hAnsi="Arial" w:cs="Arial"/>
          <w:sz w:val="20"/>
          <w:szCs w:val="20"/>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65D8F">
        <w:rPr>
          <w:rFonts w:ascii="Arial" w:hAnsi="Arial" w:cs="Arial"/>
          <w:sz w:val="20"/>
          <w:szCs w:val="20"/>
        </w:rPr>
        <w:t>ii</w:t>
      </w:r>
      <w:proofErr w:type="spellEnd"/>
      <w:r w:rsidRPr="00065D8F">
        <w:rPr>
          <w:rFonts w:ascii="Arial" w:hAnsi="Arial" w:cs="Arial"/>
          <w:sz w:val="20"/>
          <w:szCs w:val="20"/>
        </w:rPr>
        <w:t xml:space="preserve">) los contratos de crédito público; </w:t>
      </w:r>
      <w:proofErr w:type="spellStart"/>
      <w:r w:rsidRPr="00065D8F">
        <w:rPr>
          <w:rFonts w:ascii="Arial" w:hAnsi="Arial" w:cs="Arial"/>
          <w:sz w:val="20"/>
          <w:szCs w:val="20"/>
        </w:rPr>
        <w:t>iii</w:t>
      </w:r>
      <w:proofErr w:type="spellEnd"/>
      <w:r w:rsidRPr="00065D8F">
        <w:rPr>
          <w:rFonts w:ascii="Arial" w:hAnsi="Arial" w:cs="Arial"/>
          <w:sz w:val="20"/>
          <w:szCs w:val="20"/>
        </w:rPr>
        <w:t xml:space="preserve">) los requeridos para cubrir las emergencias educativas, sanitarias y desastres; </w:t>
      </w:r>
      <w:proofErr w:type="spellStart"/>
      <w:r w:rsidRPr="00065D8F">
        <w:rPr>
          <w:rFonts w:ascii="Arial" w:hAnsi="Arial" w:cs="Arial"/>
          <w:sz w:val="20"/>
          <w:szCs w:val="20"/>
        </w:rPr>
        <w:t>iv</w:t>
      </w:r>
      <w:proofErr w:type="spellEnd"/>
      <w:r w:rsidRPr="00065D8F">
        <w:rPr>
          <w:rFonts w:ascii="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034E3F" w:rsidRPr="00065D8F">
        <w:rPr>
          <w:rFonts w:ascii="Arial" w:hAnsi="Arial" w:cs="Arial"/>
          <w:sz w:val="20"/>
          <w:szCs w:val="20"/>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21730C7" w14:textId="77777777" w:rsidR="00714833" w:rsidRPr="00065D8F" w:rsidRDefault="00714833" w:rsidP="00065D8F">
      <w:pPr>
        <w:tabs>
          <w:tab w:val="left" w:pos="426"/>
        </w:tabs>
        <w:jc w:val="both"/>
        <w:rPr>
          <w:rFonts w:ascii="Arial" w:eastAsia="Calibri" w:hAnsi="Arial" w:cs="Arial"/>
          <w:noProof/>
          <w:sz w:val="20"/>
          <w:szCs w:val="20"/>
        </w:rPr>
      </w:pPr>
    </w:p>
    <w:p w14:paraId="3EB70129" w14:textId="47A06798" w:rsidR="00714833" w:rsidRPr="00065D8F" w:rsidRDefault="00714833" w:rsidP="00065D8F">
      <w:pPr>
        <w:jc w:val="both"/>
        <w:rPr>
          <w:rFonts w:ascii="Arial" w:hAnsi="Arial" w:cs="Arial"/>
          <w:b/>
          <w:sz w:val="22"/>
          <w:lang w:val="es-ES" w:eastAsia="es-CO"/>
        </w:rPr>
      </w:pPr>
      <w:r w:rsidRPr="00065D8F">
        <w:rPr>
          <w:rFonts w:ascii="Arial" w:hAnsi="Arial" w:cs="Arial"/>
          <w:b/>
          <w:bCs/>
          <w:sz w:val="22"/>
          <w:lang w:eastAsia="es-CO"/>
        </w:rPr>
        <w:t xml:space="preserve">LEY DE GARANTÍAS ELECTORALES </w:t>
      </w:r>
      <w:bookmarkStart w:id="6" w:name="_Hlk77166669"/>
      <w:r w:rsidRPr="00065D8F">
        <w:rPr>
          <w:rFonts w:ascii="Arial" w:hAnsi="Arial" w:cs="Arial"/>
          <w:b/>
          <w:bCs/>
          <w:sz w:val="22"/>
          <w:lang w:eastAsia="es-CO"/>
        </w:rPr>
        <w:t>‒</w:t>
      </w:r>
      <w:bookmarkEnd w:id="6"/>
      <w:r w:rsidRPr="00065D8F">
        <w:rPr>
          <w:rFonts w:ascii="Arial" w:hAnsi="Arial" w:cs="Arial"/>
          <w:b/>
          <w:bCs/>
          <w:sz w:val="22"/>
          <w:lang w:eastAsia="es-CO"/>
        </w:rPr>
        <w:t xml:space="preserve"> </w:t>
      </w:r>
      <w:r w:rsidRPr="00065D8F">
        <w:rPr>
          <w:rFonts w:ascii="Arial" w:hAnsi="Arial" w:cs="Arial"/>
          <w:b/>
          <w:sz w:val="22"/>
          <w:lang w:val="es-ES" w:eastAsia="es-CO"/>
        </w:rPr>
        <w:t xml:space="preserve">Prohibición del artículo 33 </w:t>
      </w:r>
      <w:r w:rsidRPr="00065D8F">
        <w:rPr>
          <w:rFonts w:ascii="Arial" w:hAnsi="Arial" w:cs="Arial"/>
          <w:b/>
          <w:bCs/>
          <w:sz w:val="22"/>
          <w:lang w:eastAsia="es-CO"/>
        </w:rPr>
        <w:t>‒ Destinatarios</w:t>
      </w:r>
    </w:p>
    <w:p w14:paraId="0DB44496" w14:textId="77777777" w:rsidR="00714833" w:rsidRPr="00065D8F" w:rsidRDefault="00714833" w:rsidP="00065D8F">
      <w:pPr>
        <w:tabs>
          <w:tab w:val="left" w:pos="426"/>
        </w:tabs>
        <w:jc w:val="both"/>
        <w:rPr>
          <w:rFonts w:ascii="Arial" w:eastAsia="Calibri" w:hAnsi="Arial" w:cs="Arial"/>
          <w:noProof/>
          <w:sz w:val="20"/>
          <w:szCs w:val="20"/>
          <w:lang w:val="es-ES"/>
        </w:rPr>
      </w:pPr>
    </w:p>
    <w:p w14:paraId="57B7D4EE" w14:textId="3D18E277" w:rsidR="00714833" w:rsidRPr="00065D8F" w:rsidRDefault="00714833" w:rsidP="00065D8F">
      <w:pPr>
        <w:tabs>
          <w:tab w:val="left" w:pos="426"/>
        </w:tabs>
        <w:jc w:val="both"/>
        <w:rPr>
          <w:rFonts w:ascii="Arial" w:eastAsia="Calibri" w:hAnsi="Arial" w:cs="Arial"/>
          <w:noProof/>
          <w:sz w:val="20"/>
          <w:szCs w:val="20"/>
        </w:rPr>
      </w:pPr>
      <w:r w:rsidRPr="00065D8F">
        <w:rPr>
          <w:rFonts w:ascii="Arial" w:eastAsia="Calibri" w:hAnsi="Arial" w:cs="Arial"/>
          <w:noProof/>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EB4B8E2" w14:textId="77777777" w:rsidR="00376F76" w:rsidRPr="00065D8F" w:rsidRDefault="00376F76" w:rsidP="00065D8F">
      <w:pPr>
        <w:tabs>
          <w:tab w:val="left" w:pos="426"/>
        </w:tabs>
        <w:jc w:val="both"/>
        <w:rPr>
          <w:rFonts w:ascii="Arial" w:eastAsia="Calibri" w:hAnsi="Arial" w:cs="Arial"/>
          <w:noProof/>
          <w:sz w:val="20"/>
          <w:szCs w:val="20"/>
        </w:rPr>
      </w:pPr>
    </w:p>
    <w:p w14:paraId="41B261CC" w14:textId="48CA8AFC" w:rsidR="009B638C" w:rsidRPr="00065D8F" w:rsidRDefault="009B638C" w:rsidP="00065D8F">
      <w:pPr>
        <w:tabs>
          <w:tab w:val="left" w:pos="426"/>
        </w:tabs>
        <w:jc w:val="both"/>
        <w:rPr>
          <w:rFonts w:ascii="Arial" w:eastAsia="Calibri" w:hAnsi="Arial" w:cs="Arial"/>
          <w:noProof/>
          <w:sz w:val="20"/>
          <w:szCs w:val="20"/>
        </w:rPr>
      </w:pPr>
      <w:r w:rsidRPr="00065D8F">
        <w:rPr>
          <w:rFonts w:ascii="Arial" w:eastAsia="Calibri" w:hAnsi="Arial" w:cs="Arial"/>
          <w:noProof/>
          <w:sz w:val="20"/>
          <w:szCs w:val="20"/>
        </w:rPr>
        <w:lastRenderedPageBreak/>
        <w:t>Dado que el legislador no distingue, la prohibición también aplica a las entidades descentralizadas indirectas, esto es, las que surgen por la voluntad asociativa de los entes públicos entre sí o con la intervención de particulares, como por ejemplo las ESALES derivadas de los artículos 95 y 96 de la Ley 489 de 1998. La restricción tampoco se encuentra condicionada por la ejecución de recursos en el marco de los respectivos contratos o el origen de estos, de manera que aplica independientemente de que el contrato implique o no la ejecución de recursos o si los recursos destinados son de naturaleza pública o privada.</w:t>
      </w:r>
    </w:p>
    <w:p w14:paraId="1D42D38B" w14:textId="56ABAB72" w:rsidR="009B638C" w:rsidRPr="00065D8F" w:rsidRDefault="009B638C" w:rsidP="00065D8F">
      <w:pPr>
        <w:tabs>
          <w:tab w:val="left" w:pos="426"/>
        </w:tabs>
        <w:jc w:val="both"/>
        <w:rPr>
          <w:rFonts w:ascii="Arial" w:eastAsia="Calibri" w:hAnsi="Arial" w:cs="Arial"/>
          <w:noProof/>
          <w:sz w:val="20"/>
          <w:szCs w:val="20"/>
        </w:rPr>
      </w:pPr>
    </w:p>
    <w:p w14:paraId="1F9A7D70" w14:textId="77E2C513" w:rsidR="00DC5E75" w:rsidRPr="00065D8F" w:rsidRDefault="00DC5E75" w:rsidP="00065D8F">
      <w:pPr>
        <w:tabs>
          <w:tab w:val="left" w:pos="426"/>
        </w:tabs>
        <w:jc w:val="both"/>
        <w:rPr>
          <w:rFonts w:ascii="Arial" w:eastAsia="Calibri" w:hAnsi="Arial" w:cs="Arial"/>
          <w:b/>
          <w:bCs/>
          <w:noProof/>
          <w:sz w:val="20"/>
          <w:szCs w:val="20"/>
        </w:rPr>
      </w:pPr>
      <w:r w:rsidRPr="00065D8F">
        <w:rPr>
          <w:rFonts w:ascii="Arial" w:eastAsia="Calibri" w:hAnsi="Arial" w:cs="Arial"/>
          <w:b/>
          <w:bCs/>
          <w:noProof/>
          <w:sz w:val="20"/>
          <w:szCs w:val="20"/>
        </w:rPr>
        <w:t xml:space="preserve">LEY DE GARANTÍAS ELECTORALES- Prohibición del artículo 33 – Empresas industriales y comerciales del Estado – aplicación </w:t>
      </w:r>
    </w:p>
    <w:p w14:paraId="6C2B8FDF" w14:textId="77777777" w:rsidR="00DC5E75" w:rsidRPr="00065D8F" w:rsidRDefault="00DC5E75" w:rsidP="00065D8F">
      <w:pPr>
        <w:tabs>
          <w:tab w:val="left" w:pos="426"/>
        </w:tabs>
        <w:jc w:val="both"/>
        <w:rPr>
          <w:rFonts w:ascii="Arial" w:eastAsia="Calibri" w:hAnsi="Arial" w:cs="Arial"/>
          <w:noProof/>
          <w:sz w:val="20"/>
          <w:szCs w:val="20"/>
        </w:rPr>
      </w:pPr>
    </w:p>
    <w:p w14:paraId="21673145" w14:textId="71B4C92A" w:rsidR="00DC5E75" w:rsidRPr="00065D8F" w:rsidRDefault="00DC5E75" w:rsidP="00065D8F">
      <w:pPr>
        <w:jc w:val="both"/>
        <w:rPr>
          <w:rFonts w:ascii="Arial" w:hAnsi="Arial" w:cs="Arial"/>
          <w:b/>
          <w:bCs/>
          <w:sz w:val="20"/>
          <w:szCs w:val="20"/>
          <w:lang w:eastAsia="es-ES"/>
        </w:rPr>
      </w:pPr>
      <w:r w:rsidRPr="00065D8F">
        <w:rPr>
          <w:rFonts w:ascii="Arial" w:hAnsi="Arial" w:cs="Arial"/>
          <w:sz w:val="20"/>
          <w:szCs w:val="20"/>
        </w:rPr>
        <w:t>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p>
    <w:p w14:paraId="5617C234" w14:textId="77777777" w:rsidR="00DC5E75" w:rsidRPr="00065D8F" w:rsidRDefault="00DC5E75" w:rsidP="00065D8F">
      <w:pPr>
        <w:jc w:val="both"/>
        <w:rPr>
          <w:rFonts w:ascii="Arial" w:hAnsi="Arial" w:cs="Arial"/>
          <w:b/>
          <w:bCs/>
          <w:sz w:val="22"/>
          <w:lang w:eastAsia="es-ES"/>
        </w:rPr>
      </w:pPr>
    </w:p>
    <w:p w14:paraId="08602DFD" w14:textId="0ED9D6F2" w:rsidR="00DC5E75" w:rsidRPr="00065D8F" w:rsidRDefault="00DC5E75" w:rsidP="00065D8F">
      <w:pPr>
        <w:jc w:val="both"/>
        <w:rPr>
          <w:rFonts w:ascii="Arial" w:hAnsi="Arial" w:cs="Arial"/>
          <w:b/>
          <w:bCs/>
          <w:sz w:val="22"/>
          <w:lang w:eastAsia="es-ES"/>
        </w:rPr>
      </w:pPr>
      <w:r w:rsidRPr="00065D8F">
        <w:rPr>
          <w:rFonts w:ascii="Arial" w:hAnsi="Arial" w:cs="Arial"/>
          <w:b/>
          <w:bCs/>
          <w:sz w:val="22"/>
          <w:lang w:eastAsia="es-ES"/>
        </w:rPr>
        <w:t xml:space="preserve">SOCIEDAD SERVICIOS POSTALES NACIONALES – Naturaleza jurídica – Régimen de contratación </w:t>
      </w:r>
    </w:p>
    <w:p w14:paraId="6CD0F7A8" w14:textId="77777777" w:rsidR="00DC5E75" w:rsidRPr="00065D8F" w:rsidRDefault="00DC5E75" w:rsidP="00065D8F">
      <w:pPr>
        <w:pStyle w:val="Textoindependiente"/>
        <w:spacing w:after="0" w:line="240" w:lineRule="auto"/>
      </w:pPr>
    </w:p>
    <w:p w14:paraId="68FF6636" w14:textId="0935E92D" w:rsidR="00DC5E75" w:rsidRPr="00065D8F" w:rsidRDefault="00DC5E75" w:rsidP="00065D8F">
      <w:pPr>
        <w:pStyle w:val="Textoindependiente"/>
        <w:spacing w:after="0" w:line="240" w:lineRule="auto"/>
        <w:rPr>
          <w:sz w:val="20"/>
          <w:szCs w:val="20"/>
          <w:lang w:val="es-CO"/>
        </w:rPr>
      </w:pPr>
      <w:r w:rsidRPr="00065D8F">
        <w:rPr>
          <w:sz w:val="20"/>
          <w:szCs w:val="20"/>
        </w:rPr>
        <w:t xml:space="preserve">Servicios Postales Nacionales S.A.S, antigua filial de </w:t>
      </w:r>
      <w:proofErr w:type="spellStart"/>
      <w:r w:rsidRPr="00065D8F">
        <w:rPr>
          <w:sz w:val="20"/>
          <w:szCs w:val="20"/>
        </w:rPr>
        <w:t>Adpostal</w:t>
      </w:r>
      <w:proofErr w:type="spellEnd"/>
      <w:r w:rsidRPr="00065D8F">
        <w:rPr>
          <w:sz w:val="20"/>
          <w:szCs w:val="20"/>
        </w:rPr>
        <w:t xml:space="preserve"> –extinta empresa industrial y comercial del Estado–, es una «sociedad pública» o sociedad entre entidades públicas, cuenta con autonomía administrativa, patrimonial y presupuestal, está vinculada al Ministerio de Tecnologías de la Información y las Comunicaciones y fue creada bajo la forma de sociedad anónima con composición mayoritaria estatal. Así mismo, </w:t>
      </w:r>
      <w:r w:rsidRPr="00065D8F">
        <w:rPr>
          <w:sz w:val="20"/>
          <w:szCs w:val="20"/>
          <w:lang w:eastAsia="x-none"/>
        </w:rPr>
        <w:t xml:space="preserve">desarrolla </w:t>
      </w:r>
      <w:r w:rsidRPr="00065D8F">
        <w:rPr>
          <w:sz w:val="20"/>
          <w:szCs w:val="20"/>
          <w:lang w:val="es-ES_tradnl" w:eastAsia="x-none"/>
        </w:rPr>
        <w:t>su objeto social en un entorno de competencia con empresas del sector privado que se dedican a actividades de servicios postales en el mercado, según se desprende de lo preceptuado por el artículo 1 de la Ley 1369 de 2009</w:t>
      </w:r>
      <w:r w:rsidRPr="00065D8F">
        <w:rPr>
          <w:rFonts w:eastAsia="Times New Roman"/>
          <w:sz w:val="20"/>
          <w:szCs w:val="20"/>
          <w:lang w:val="es-CO"/>
        </w:rPr>
        <w:t>.</w:t>
      </w:r>
      <w:r w:rsidRPr="00065D8F">
        <w:rPr>
          <w:sz w:val="20"/>
          <w:szCs w:val="20"/>
        </w:rPr>
        <w:t xml:space="preserve"> […] Servicios Postales Nacionales S.A. es además una entidad pública descentralizada indirecta, que forma parte de la Rama Ejecutiva. Su organización, funcionamiento y en general el régimen jurídico de sus actos y contratos es el previsto para las empresas industriales y comerciales del Estado, las cuales desarrollan sus actividades conforme a las reglas del derecho privado con las excepciones que consagre específicamente la Ley, de acuerdo con los artículos 85, 86 y 93 de la Ley 489 de 1998. </w:t>
      </w:r>
      <w:r w:rsidRPr="00065D8F">
        <w:rPr>
          <w:sz w:val="20"/>
          <w:szCs w:val="20"/>
          <w:lang w:val="es-ES_tradnl" w:eastAsia="x-none"/>
        </w:rPr>
        <w:t xml:space="preserve">En consecuencia, </w:t>
      </w:r>
      <w:r w:rsidRPr="00065D8F">
        <w:rPr>
          <w:sz w:val="20"/>
          <w:szCs w:val="20"/>
        </w:rPr>
        <w:t xml:space="preserve">[…] se rige en su contratación por las disposiciones legales y reglamentarias que regulan sus actividades económicas y comerciales, sin perjuicio de aplicar, </w:t>
      </w:r>
      <w:r w:rsidRPr="00065D8F">
        <w:rPr>
          <w:sz w:val="20"/>
          <w:szCs w:val="20"/>
          <w:lang w:val="es-CO"/>
        </w:rPr>
        <w:t>acorde con su régimen legal especial, los principios de la función administrativa y de la gestión fiscal consagrados en los artículos 209 y 263 de la Constitución Política, y el régimen de inhabilidades e incompatibilidades previsto legalmente para la contratación estatal –artículo 13 de la Ley 1150 de 2007–.</w:t>
      </w:r>
    </w:p>
    <w:bookmarkEnd w:id="2"/>
    <w:p w14:paraId="50355E2A" w14:textId="583AED69" w:rsidR="00C77526" w:rsidRPr="00065D8F" w:rsidRDefault="003B51F1" w:rsidP="007155B8">
      <w:pPr>
        <w:spacing w:afterLines="120" w:after="288" w:line="276" w:lineRule="auto"/>
        <w:rPr>
          <w:rFonts w:ascii="Arial" w:eastAsia="Calibri" w:hAnsi="Arial" w:cs="Arial"/>
          <w:b/>
          <w:bCs/>
          <w:sz w:val="22"/>
        </w:rPr>
      </w:pPr>
      <w:r w:rsidRPr="00065D8F">
        <w:rPr>
          <w:rFonts w:ascii="Arial" w:eastAsia="Calibri" w:hAnsi="Arial" w:cs="Arial"/>
          <w:sz w:val="20"/>
          <w:szCs w:val="20"/>
        </w:rPr>
        <w:t>.</w:t>
      </w:r>
      <w:r w:rsidR="00CC4A96" w:rsidRPr="00065D8F">
        <w:rPr>
          <w:rFonts w:ascii="Arial" w:eastAsia="Calibri" w:hAnsi="Arial" w:cs="Arial"/>
          <w:b/>
          <w:bCs/>
          <w:sz w:val="22"/>
        </w:rPr>
        <w:br w:type="page"/>
      </w:r>
      <w:bookmarkStart w:id="7" w:name="_Hlk29890381"/>
      <w:bookmarkEnd w:id="7"/>
    </w:p>
    <w:p w14:paraId="67B2CB01" w14:textId="5775C12F" w:rsidR="00376F76" w:rsidRPr="00065D8F" w:rsidRDefault="008D1A4A" w:rsidP="008D1A4A">
      <w:pPr>
        <w:spacing w:afterLines="120" w:after="288" w:line="276" w:lineRule="auto"/>
        <w:jc w:val="right"/>
        <w:rPr>
          <w:rFonts w:ascii="Arial" w:eastAsia="Calibri" w:hAnsi="Arial" w:cs="Arial"/>
          <w:b/>
          <w:bCs/>
          <w:sz w:val="22"/>
        </w:rPr>
      </w:pPr>
      <w:r w:rsidRPr="008D1A4A">
        <w:rPr>
          <w:rFonts w:ascii="Arial" w:eastAsia="Calibri" w:hAnsi="Arial" w:cs="Arial"/>
          <w:b/>
          <w:bCs/>
          <w:sz w:val="22"/>
        </w:rPr>
        <w:lastRenderedPageBreak/>
        <w:drawing>
          <wp:inline distT="0" distB="0" distL="0" distR="0" wp14:anchorId="5B80FE8A" wp14:editId="7282DF02">
            <wp:extent cx="2673350" cy="88552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0051" cy="894368"/>
                    </a:xfrm>
                    <a:prstGeom prst="rect">
                      <a:avLst/>
                    </a:prstGeom>
                  </pic:spPr>
                </pic:pic>
              </a:graphicData>
            </a:graphic>
          </wp:inline>
        </w:drawing>
      </w:r>
    </w:p>
    <w:p w14:paraId="3A62A060" w14:textId="6A76EB6D" w:rsidR="009F596F" w:rsidRPr="00065D8F" w:rsidRDefault="00152CA8" w:rsidP="007155B8">
      <w:pPr>
        <w:spacing w:afterLines="120" w:after="288" w:line="276" w:lineRule="auto"/>
        <w:jc w:val="right"/>
        <w:rPr>
          <w:rFonts w:ascii="Arial" w:eastAsia="Calibri" w:hAnsi="Arial" w:cs="Arial"/>
          <w:b/>
          <w:bCs/>
          <w:sz w:val="16"/>
          <w:szCs w:val="16"/>
        </w:rPr>
      </w:pPr>
      <w:r w:rsidRPr="00065D8F">
        <w:rPr>
          <w:rFonts w:ascii="Arial" w:hAnsi="Arial" w:cs="Arial"/>
          <w:b/>
          <w:bCs/>
          <w:sz w:val="16"/>
          <w:szCs w:val="16"/>
          <w:lang w:eastAsia="es-ES"/>
        </w:rPr>
        <w:t>CCE-DES-FM-17</w:t>
      </w:r>
    </w:p>
    <w:p w14:paraId="4E17CCE0" w14:textId="2FDC26F0" w:rsidR="00303D47" w:rsidRPr="00065D8F" w:rsidRDefault="00501FA2" w:rsidP="007155B8">
      <w:pPr>
        <w:tabs>
          <w:tab w:val="left" w:pos="3374"/>
        </w:tabs>
        <w:spacing w:afterLines="120" w:after="288" w:line="276" w:lineRule="auto"/>
        <w:rPr>
          <w:rFonts w:ascii="Arial" w:eastAsia="Calibri" w:hAnsi="Arial" w:cs="Arial"/>
          <w:noProof/>
          <w:sz w:val="22"/>
          <w:lang w:val="es-ES_tradnl"/>
        </w:rPr>
      </w:pPr>
      <w:r w:rsidRPr="00065D8F">
        <w:rPr>
          <w:rFonts w:ascii="Arial" w:hAnsi="Arial" w:cs="Arial"/>
          <w:sz w:val="22"/>
        </w:rPr>
        <w:t>Bogotá D.C.,</w:t>
      </w:r>
      <w:r w:rsidR="00CA6A3C" w:rsidRPr="00065D8F">
        <w:rPr>
          <w:rFonts w:ascii="Arial" w:hAnsi="Arial" w:cs="Arial"/>
          <w:sz w:val="22"/>
        </w:rPr>
        <w:t xml:space="preserve"> </w:t>
      </w:r>
      <w:r w:rsidR="008D1A4A">
        <w:rPr>
          <w:rFonts w:ascii="Arial" w:hAnsi="Arial" w:cs="Arial"/>
          <w:sz w:val="22"/>
        </w:rPr>
        <w:t>8 de junio de 2022</w:t>
      </w:r>
    </w:p>
    <w:p w14:paraId="6A81B1B9" w14:textId="2709A512" w:rsidR="00303D47" w:rsidRPr="00065D8F" w:rsidRDefault="00303D47" w:rsidP="007155B8">
      <w:pPr>
        <w:spacing w:afterLines="120" w:after="288" w:line="276" w:lineRule="auto"/>
        <w:jc w:val="right"/>
        <w:rPr>
          <w:rFonts w:ascii="Arial" w:eastAsia="Calibri" w:hAnsi="Arial" w:cs="Arial"/>
          <w:sz w:val="22"/>
        </w:rPr>
      </w:pPr>
    </w:p>
    <w:p w14:paraId="0C04D954" w14:textId="2233F4DB" w:rsidR="00E206ED" w:rsidRPr="00065D8F" w:rsidRDefault="00AF7FCE" w:rsidP="007155B8">
      <w:pPr>
        <w:spacing w:line="276" w:lineRule="auto"/>
        <w:rPr>
          <w:rFonts w:ascii="Arial" w:eastAsia="Calibri" w:hAnsi="Arial" w:cs="Arial"/>
          <w:sz w:val="22"/>
        </w:rPr>
      </w:pPr>
      <w:bookmarkStart w:id="8" w:name="_Hlk96417464"/>
      <w:r w:rsidRPr="00065D8F">
        <w:rPr>
          <w:rFonts w:ascii="Arial" w:eastAsia="Calibri" w:hAnsi="Arial" w:cs="Arial"/>
          <w:sz w:val="22"/>
        </w:rPr>
        <w:t>Señor</w:t>
      </w:r>
      <w:r w:rsidR="00376F76" w:rsidRPr="00065D8F">
        <w:rPr>
          <w:rFonts w:ascii="Arial" w:eastAsia="Calibri" w:hAnsi="Arial" w:cs="Arial"/>
          <w:sz w:val="22"/>
        </w:rPr>
        <w:t>a</w:t>
      </w:r>
    </w:p>
    <w:p w14:paraId="69FEA94F" w14:textId="0E8C3467" w:rsidR="0098054E" w:rsidRPr="00065D8F" w:rsidRDefault="00DC5E75" w:rsidP="007155B8">
      <w:pPr>
        <w:spacing w:line="276" w:lineRule="auto"/>
        <w:rPr>
          <w:rFonts w:ascii="Arial" w:eastAsia="Calibri" w:hAnsi="Arial" w:cs="Arial"/>
          <w:b/>
          <w:sz w:val="22"/>
        </w:rPr>
      </w:pPr>
      <w:r w:rsidRPr="00065D8F">
        <w:rPr>
          <w:rFonts w:ascii="Arial" w:eastAsia="Calibri" w:hAnsi="Arial" w:cs="Arial"/>
          <w:b/>
          <w:sz w:val="22"/>
        </w:rPr>
        <w:t>María Camila R</w:t>
      </w:r>
      <w:r w:rsidR="004223E4" w:rsidRPr="00065D8F">
        <w:rPr>
          <w:rFonts w:ascii="Arial" w:eastAsia="Calibri" w:hAnsi="Arial" w:cs="Arial"/>
          <w:b/>
          <w:sz w:val="22"/>
        </w:rPr>
        <w:t>í</w:t>
      </w:r>
      <w:r w:rsidRPr="00065D8F">
        <w:rPr>
          <w:rFonts w:ascii="Arial" w:eastAsia="Calibri" w:hAnsi="Arial" w:cs="Arial"/>
          <w:b/>
          <w:sz w:val="22"/>
        </w:rPr>
        <w:t>os Oliveros</w:t>
      </w:r>
    </w:p>
    <w:p w14:paraId="20C73A65" w14:textId="5CCDCE98" w:rsidR="002B72C0" w:rsidRPr="00065D8F" w:rsidRDefault="004223E4" w:rsidP="007155B8">
      <w:pPr>
        <w:spacing w:afterLines="120" w:after="288" w:line="276" w:lineRule="auto"/>
        <w:rPr>
          <w:rFonts w:ascii="Arial" w:eastAsia="Calibri" w:hAnsi="Arial" w:cs="Arial"/>
          <w:sz w:val="22"/>
        </w:rPr>
      </w:pPr>
      <w:r w:rsidRPr="00065D8F">
        <w:rPr>
          <w:rFonts w:ascii="Arial" w:eastAsia="Calibri" w:hAnsi="Arial" w:cs="Arial"/>
          <w:sz w:val="22"/>
        </w:rPr>
        <w:t>Bogotá D.C.</w:t>
      </w:r>
    </w:p>
    <w:p w14:paraId="6316E3D6" w14:textId="15235FD3" w:rsidR="00FE0395" w:rsidRPr="00065D8F" w:rsidRDefault="00904CD9" w:rsidP="007155B8">
      <w:pPr>
        <w:spacing w:afterLines="120" w:after="288" w:line="276" w:lineRule="auto"/>
        <w:rPr>
          <w:rFonts w:ascii="Arial" w:hAnsi="Arial" w:cs="Arial"/>
          <w:sz w:val="22"/>
        </w:rPr>
      </w:pPr>
      <w:r w:rsidRPr="00065D8F">
        <w:rPr>
          <w:rFonts w:ascii="Arial" w:eastAsia="Calibri" w:hAnsi="Arial" w:cs="Arial"/>
          <w:sz w:val="22"/>
        </w:rPr>
        <w:t xml:space="preserve">                                            </w:t>
      </w:r>
      <w:r w:rsidRPr="00065D8F">
        <w:rPr>
          <w:rFonts w:ascii="Arial" w:eastAsia="Calibri" w:hAnsi="Arial" w:cs="Arial"/>
          <w:b/>
          <w:sz w:val="22"/>
        </w:rPr>
        <w:t>Concepto C –</w:t>
      </w:r>
      <w:r w:rsidR="000E190F" w:rsidRPr="00065D8F">
        <w:rPr>
          <w:rFonts w:ascii="Arial" w:eastAsia="Calibri" w:hAnsi="Arial" w:cs="Arial"/>
          <w:b/>
          <w:sz w:val="22"/>
        </w:rPr>
        <w:t xml:space="preserve"> </w:t>
      </w:r>
      <w:r w:rsidR="002825D8" w:rsidRPr="00065D8F">
        <w:rPr>
          <w:rFonts w:ascii="Arial" w:eastAsia="Calibri" w:hAnsi="Arial" w:cs="Arial"/>
          <w:b/>
          <w:sz w:val="22"/>
        </w:rPr>
        <w:t>3</w:t>
      </w:r>
      <w:r w:rsidR="006D1C08" w:rsidRPr="00065D8F">
        <w:rPr>
          <w:rFonts w:ascii="Arial" w:eastAsia="Calibri" w:hAnsi="Arial" w:cs="Arial"/>
          <w:b/>
          <w:sz w:val="22"/>
        </w:rPr>
        <w:t>73</w:t>
      </w:r>
      <w:r w:rsidR="00AF7FCE" w:rsidRPr="00065D8F">
        <w:rPr>
          <w:rFonts w:ascii="Arial" w:eastAsia="Calibri" w:hAnsi="Arial" w:cs="Arial"/>
          <w:b/>
          <w:sz w:val="22"/>
        </w:rPr>
        <w:t xml:space="preserve"> </w:t>
      </w:r>
      <w:r w:rsidR="00285D82" w:rsidRPr="00065D8F">
        <w:rPr>
          <w:rFonts w:ascii="Arial" w:eastAsia="Calibri" w:hAnsi="Arial" w:cs="Arial"/>
          <w:b/>
          <w:sz w:val="22"/>
        </w:rPr>
        <w:t>de 202</w:t>
      </w:r>
      <w:r w:rsidR="00B678C7" w:rsidRPr="00065D8F">
        <w:rPr>
          <w:rFonts w:ascii="Arial" w:eastAsia="Calibri" w:hAnsi="Arial" w:cs="Arial"/>
          <w:b/>
          <w:sz w:val="22"/>
        </w:rPr>
        <w:t>2</w:t>
      </w:r>
      <w:r w:rsidR="00B346CC" w:rsidRPr="00065D8F">
        <w:rPr>
          <w:rFonts w:ascii="Arial" w:hAnsi="Arial" w:cs="Arial"/>
          <w:sz w:val="22"/>
        </w:rPr>
        <w:t xml:space="preserve"> </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065D8F" w14:paraId="1701BC3D" w14:textId="77777777" w:rsidTr="00065D8F">
        <w:trPr>
          <w:trHeight w:val="2474"/>
        </w:trPr>
        <w:tc>
          <w:tcPr>
            <w:tcW w:w="2689" w:type="dxa"/>
            <w:hideMark/>
          </w:tcPr>
          <w:p w14:paraId="69F7D7B9" w14:textId="77777777" w:rsidR="00714833" w:rsidRPr="00065D8F" w:rsidRDefault="00714833" w:rsidP="00065D8F">
            <w:pPr>
              <w:spacing w:afterLines="120" w:after="288"/>
              <w:contextualSpacing/>
              <w:rPr>
                <w:rFonts w:ascii="Arial" w:eastAsia="Calibri" w:hAnsi="Arial" w:cs="Arial"/>
                <w:noProof/>
                <w:sz w:val="22"/>
                <w:lang w:val="es-ES_tradnl"/>
              </w:rPr>
            </w:pPr>
            <w:r w:rsidRPr="00065D8F">
              <w:rPr>
                <w:rFonts w:ascii="Arial" w:eastAsia="Calibri" w:hAnsi="Arial" w:cs="Arial"/>
                <w:b/>
                <w:noProof/>
                <w:sz w:val="22"/>
                <w:lang w:val="es-ES_tradnl"/>
              </w:rPr>
              <w:t>Temas:</w:t>
            </w:r>
            <w:r w:rsidRPr="00065D8F">
              <w:rPr>
                <w:rFonts w:ascii="Arial" w:eastAsia="Calibri" w:hAnsi="Arial" w:cs="Arial"/>
                <w:noProof/>
                <w:sz w:val="22"/>
                <w:lang w:val="es-ES_tradnl"/>
              </w:rPr>
              <w:t xml:space="preserve">        </w:t>
            </w:r>
          </w:p>
        </w:tc>
        <w:tc>
          <w:tcPr>
            <w:tcW w:w="6237" w:type="dxa"/>
            <w:hideMark/>
          </w:tcPr>
          <w:p w14:paraId="1B149525" w14:textId="5B247F49" w:rsidR="00DC5E75" w:rsidRPr="00065D8F" w:rsidRDefault="00AC1839" w:rsidP="00065D8F">
            <w:pPr>
              <w:tabs>
                <w:tab w:val="left" w:pos="426"/>
              </w:tabs>
              <w:spacing w:afterLines="120" w:after="288"/>
              <w:jc w:val="both"/>
              <w:rPr>
                <w:rFonts w:ascii="Arial" w:eastAsia="Calibri" w:hAnsi="Arial" w:cs="Arial"/>
                <w:noProof/>
                <w:sz w:val="22"/>
                <w:szCs w:val="22"/>
              </w:rPr>
            </w:pPr>
            <w:r w:rsidRPr="00065D8F">
              <w:rPr>
                <w:rFonts w:ascii="Arial" w:eastAsia="Calibri" w:hAnsi="Arial" w:cs="Arial"/>
                <w:bCs/>
                <w:sz w:val="22"/>
              </w:rPr>
              <w:t>LEY DE GARANTÍAS ELECTORALES ‒ Tipos de restricciones ‒ Ámbito temporal / LEY DE GARANTÍAS ELECTORALES ─ Prohibición ‒ Contratación directa ‒ Alcance – Excepciones / LEY DE GARANTÍAS ELECTORALES ‒ Prohibición del artículo 33 ‒ Destinatarios /</w:t>
            </w:r>
            <w:r w:rsidR="009B638C" w:rsidRPr="00065D8F">
              <w:rPr>
                <w:rFonts w:ascii="Arial" w:eastAsia="Calibri" w:hAnsi="Arial" w:cs="Arial"/>
                <w:bCs/>
                <w:sz w:val="22"/>
              </w:rPr>
              <w:t xml:space="preserve"> </w:t>
            </w:r>
            <w:r w:rsidR="00DC5E75" w:rsidRPr="00065D8F">
              <w:rPr>
                <w:rFonts w:ascii="Arial" w:eastAsia="Calibri" w:hAnsi="Arial" w:cs="Arial"/>
                <w:noProof/>
                <w:sz w:val="22"/>
                <w:szCs w:val="22"/>
              </w:rPr>
              <w:t xml:space="preserve">LEY DE GARANTÍAS ELECTORALES- Prohibición del artículo 33 – Empresas industriales y comerciales del Estado – aplicación </w:t>
            </w:r>
            <w:r w:rsidR="00376F76" w:rsidRPr="00065D8F">
              <w:rPr>
                <w:rFonts w:ascii="Arial" w:eastAsia="Calibri" w:hAnsi="Arial" w:cs="Arial"/>
                <w:noProof/>
                <w:sz w:val="22"/>
                <w:szCs w:val="22"/>
              </w:rPr>
              <w:t xml:space="preserve">/ </w:t>
            </w:r>
            <w:r w:rsidR="00DC5E75" w:rsidRPr="00065D8F">
              <w:rPr>
                <w:rFonts w:ascii="Arial" w:hAnsi="Arial" w:cs="Arial"/>
                <w:sz w:val="22"/>
                <w:szCs w:val="22"/>
                <w:lang w:eastAsia="es-ES"/>
              </w:rPr>
              <w:t xml:space="preserve">SOCIEDAD SERVICIOS POSTALES NACIONALES – Naturaleza jurídica – Régimen de contratación </w:t>
            </w:r>
          </w:p>
          <w:p w14:paraId="641BBBD5" w14:textId="7C7AA2BA" w:rsidR="00714833" w:rsidRPr="00065D8F" w:rsidRDefault="00714833" w:rsidP="00065D8F">
            <w:pPr>
              <w:spacing w:afterLines="120" w:after="288"/>
              <w:rPr>
                <w:rFonts w:ascii="Arial" w:eastAsia="Calibri" w:hAnsi="Arial" w:cs="Arial"/>
                <w:bCs/>
                <w:sz w:val="22"/>
              </w:rPr>
            </w:pPr>
          </w:p>
        </w:tc>
      </w:tr>
      <w:tr w:rsidR="00B66D78" w:rsidRPr="00065D8F" w14:paraId="4074FCE6" w14:textId="77777777" w:rsidTr="00065D8F">
        <w:trPr>
          <w:trHeight w:val="414"/>
        </w:trPr>
        <w:tc>
          <w:tcPr>
            <w:tcW w:w="2689" w:type="dxa"/>
          </w:tcPr>
          <w:p w14:paraId="389F2C2E" w14:textId="77777777" w:rsidR="00FE0395" w:rsidRPr="00065D8F" w:rsidRDefault="00FE0395" w:rsidP="00065D8F">
            <w:pPr>
              <w:spacing w:afterLines="120" w:after="288"/>
              <w:contextualSpacing/>
              <w:rPr>
                <w:rFonts w:ascii="Arial" w:eastAsia="Calibri" w:hAnsi="Arial" w:cs="Arial"/>
                <w:b/>
                <w:noProof/>
                <w:sz w:val="22"/>
                <w:lang w:val="es-ES_tradnl"/>
              </w:rPr>
            </w:pPr>
            <w:r w:rsidRPr="00065D8F">
              <w:rPr>
                <w:rFonts w:ascii="Arial" w:eastAsia="Calibri" w:hAnsi="Arial" w:cs="Arial"/>
                <w:b/>
                <w:noProof/>
                <w:sz w:val="22"/>
                <w:lang w:val="es-ES_tradnl"/>
              </w:rPr>
              <w:t>Radicación:</w:t>
            </w:r>
            <w:r w:rsidRPr="00065D8F">
              <w:rPr>
                <w:rFonts w:ascii="Arial" w:eastAsia="Calibri" w:hAnsi="Arial" w:cs="Arial"/>
                <w:noProof/>
                <w:sz w:val="22"/>
                <w:lang w:val="es-ES_tradnl"/>
              </w:rPr>
              <w:t xml:space="preserve">                              </w:t>
            </w:r>
          </w:p>
        </w:tc>
        <w:tc>
          <w:tcPr>
            <w:tcW w:w="6237" w:type="dxa"/>
          </w:tcPr>
          <w:p w14:paraId="551B08A1" w14:textId="77777777" w:rsidR="006D1C08" w:rsidRPr="00065D8F" w:rsidRDefault="00FE0395" w:rsidP="00065D8F">
            <w:pPr>
              <w:spacing w:afterLines="120" w:after="288"/>
              <w:rPr>
                <w:rFonts w:ascii="Arial" w:hAnsi="Arial" w:cs="Arial"/>
              </w:rPr>
            </w:pPr>
            <w:r w:rsidRPr="00065D8F">
              <w:rPr>
                <w:rFonts w:ascii="Arial" w:eastAsia="Calibri" w:hAnsi="Arial" w:cs="Arial"/>
                <w:noProof/>
                <w:sz w:val="22"/>
                <w:lang w:val="es-ES_tradnl"/>
              </w:rPr>
              <w:t xml:space="preserve">Respuesta a consulta </w:t>
            </w:r>
            <w:r w:rsidR="006D1C08" w:rsidRPr="00065D8F">
              <w:rPr>
                <w:rFonts w:ascii="Arial" w:hAnsi="Arial" w:cs="Arial"/>
                <w:color w:val="000000"/>
                <w:sz w:val="22"/>
                <w:szCs w:val="22"/>
              </w:rPr>
              <w:t>P20220426004096</w:t>
            </w:r>
          </w:p>
          <w:p w14:paraId="290F0664" w14:textId="0926F3B7" w:rsidR="00FE0395" w:rsidRPr="00065D8F" w:rsidRDefault="00FE0395" w:rsidP="00065D8F">
            <w:pPr>
              <w:spacing w:afterLines="120" w:after="288"/>
              <w:contextualSpacing/>
              <w:jc w:val="both"/>
              <w:rPr>
                <w:rFonts w:ascii="Arial" w:eastAsia="Calibri" w:hAnsi="Arial" w:cs="Arial"/>
                <w:noProof/>
                <w:sz w:val="22"/>
                <w:lang w:val="es-ES_tradnl"/>
              </w:rPr>
            </w:pPr>
          </w:p>
        </w:tc>
      </w:tr>
    </w:tbl>
    <w:p w14:paraId="19436ABB" w14:textId="4D38251B" w:rsidR="00990612" w:rsidRPr="00065D8F" w:rsidRDefault="00990612" w:rsidP="007155B8">
      <w:pPr>
        <w:spacing w:afterLines="120" w:after="288" w:line="276" w:lineRule="auto"/>
        <w:rPr>
          <w:rFonts w:ascii="Arial" w:eastAsia="Calibri" w:hAnsi="Arial" w:cs="Arial"/>
          <w:sz w:val="22"/>
        </w:rPr>
      </w:pPr>
      <w:r w:rsidRPr="00065D8F">
        <w:rPr>
          <w:rFonts w:ascii="Arial" w:eastAsia="Calibri" w:hAnsi="Arial" w:cs="Arial"/>
          <w:sz w:val="22"/>
        </w:rPr>
        <w:t>Estimad</w:t>
      </w:r>
      <w:r w:rsidR="006D1C08" w:rsidRPr="00065D8F">
        <w:rPr>
          <w:rFonts w:ascii="Arial" w:eastAsia="Calibri" w:hAnsi="Arial" w:cs="Arial"/>
          <w:sz w:val="22"/>
        </w:rPr>
        <w:t>a</w:t>
      </w:r>
      <w:r w:rsidR="003B08DF" w:rsidRPr="00065D8F">
        <w:rPr>
          <w:rFonts w:ascii="Arial" w:eastAsia="Calibri" w:hAnsi="Arial" w:cs="Arial"/>
          <w:sz w:val="22"/>
        </w:rPr>
        <w:t xml:space="preserve"> señor</w:t>
      </w:r>
      <w:r w:rsidR="006D1C08" w:rsidRPr="00065D8F">
        <w:rPr>
          <w:rFonts w:ascii="Arial" w:eastAsia="Calibri" w:hAnsi="Arial" w:cs="Arial"/>
          <w:sz w:val="22"/>
        </w:rPr>
        <w:t>a</w:t>
      </w:r>
      <w:r w:rsidR="003B08DF" w:rsidRPr="00065D8F">
        <w:rPr>
          <w:rFonts w:ascii="Arial" w:eastAsia="Calibri" w:hAnsi="Arial" w:cs="Arial"/>
          <w:sz w:val="22"/>
        </w:rPr>
        <w:t xml:space="preserve"> </w:t>
      </w:r>
      <w:r w:rsidR="006D1C08" w:rsidRPr="00065D8F">
        <w:rPr>
          <w:rFonts w:ascii="Arial" w:eastAsia="Calibri" w:hAnsi="Arial" w:cs="Arial"/>
          <w:sz w:val="22"/>
        </w:rPr>
        <w:t>Ríos</w:t>
      </w:r>
      <w:r w:rsidRPr="00065D8F">
        <w:rPr>
          <w:rFonts w:ascii="Arial" w:eastAsia="Calibri" w:hAnsi="Arial" w:cs="Arial"/>
          <w:sz w:val="22"/>
        </w:rPr>
        <w:t>:</w:t>
      </w:r>
    </w:p>
    <w:p w14:paraId="6512D341" w14:textId="14FB13FA" w:rsidR="00303D47" w:rsidRPr="00065D8F" w:rsidRDefault="00990612" w:rsidP="003B31CF">
      <w:pPr>
        <w:spacing w:afterLines="120" w:after="288" w:line="276" w:lineRule="auto"/>
        <w:ind w:right="51"/>
        <w:jc w:val="both"/>
        <w:rPr>
          <w:rFonts w:ascii="Arial" w:eastAsia="Calibri" w:hAnsi="Arial" w:cs="Arial"/>
          <w:sz w:val="22"/>
        </w:rPr>
      </w:pPr>
      <w:r w:rsidRPr="00065D8F">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w:t>
      </w:r>
      <w:r w:rsidR="00E7503A" w:rsidRPr="00065D8F">
        <w:rPr>
          <w:rFonts w:ascii="Arial" w:eastAsia="Calibri" w:hAnsi="Arial" w:cs="Arial"/>
          <w:sz w:val="22"/>
        </w:rPr>
        <w:t xml:space="preserve"> responde</w:t>
      </w:r>
      <w:r w:rsidRPr="00065D8F">
        <w:rPr>
          <w:rFonts w:ascii="Arial" w:eastAsia="Calibri" w:hAnsi="Arial" w:cs="Arial"/>
          <w:sz w:val="22"/>
        </w:rPr>
        <w:t xml:space="preserve"> la consulta </w:t>
      </w:r>
      <w:r w:rsidR="00FE65B4" w:rsidRPr="00065D8F">
        <w:rPr>
          <w:rFonts w:ascii="Arial" w:eastAsia="Calibri" w:hAnsi="Arial" w:cs="Arial"/>
          <w:sz w:val="22"/>
        </w:rPr>
        <w:t xml:space="preserve">radicada </w:t>
      </w:r>
      <w:r w:rsidR="002825D8" w:rsidRPr="00065D8F">
        <w:rPr>
          <w:rFonts w:ascii="Arial" w:eastAsia="Calibri" w:hAnsi="Arial" w:cs="Arial"/>
          <w:sz w:val="22"/>
        </w:rPr>
        <w:t>el</w:t>
      </w:r>
      <w:r w:rsidR="006D1C08" w:rsidRPr="00065D8F">
        <w:rPr>
          <w:rFonts w:ascii="Arial" w:eastAsia="Calibri" w:hAnsi="Arial" w:cs="Arial"/>
          <w:sz w:val="22"/>
        </w:rPr>
        <w:t xml:space="preserve"> 27</w:t>
      </w:r>
      <w:r w:rsidR="002825D8" w:rsidRPr="00065D8F">
        <w:rPr>
          <w:rFonts w:ascii="Arial" w:eastAsia="Calibri" w:hAnsi="Arial" w:cs="Arial"/>
          <w:sz w:val="22"/>
        </w:rPr>
        <w:t xml:space="preserve"> de abril de 2022</w:t>
      </w:r>
      <w:r w:rsidRPr="00065D8F">
        <w:rPr>
          <w:rFonts w:ascii="Arial" w:eastAsia="Calibri" w:hAnsi="Arial" w:cs="Arial"/>
          <w:sz w:val="22"/>
        </w:rPr>
        <w:t xml:space="preserve">. </w:t>
      </w:r>
    </w:p>
    <w:p w14:paraId="2FBDB7F6" w14:textId="6BC705D8" w:rsidR="005A114C" w:rsidRPr="00065D8F" w:rsidRDefault="002B72C0" w:rsidP="007155B8">
      <w:pPr>
        <w:tabs>
          <w:tab w:val="left" w:pos="284"/>
        </w:tabs>
        <w:spacing w:afterLines="120" w:after="288" w:line="276" w:lineRule="auto"/>
        <w:rPr>
          <w:rFonts w:ascii="Arial" w:eastAsia="Calibri" w:hAnsi="Arial" w:cs="Arial"/>
          <w:b/>
          <w:sz w:val="22"/>
        </w:rPr>
      </w:pPr>
      <w:r w:rsidRPr="00065D8F">
        <w:rPr>
          <w:rFonts w:ascii="Arial" w:eastAsia="Calibri" w:hAnsi="Arial" w:cs="Arial"/>
          <w:b/>
          <w:sz w:val="22"/>
        </w:rPr>
        <w:t xml:space="preserve">1. </w:t>
      </w:r>
      <w:r w:rsidR="00990612" w:rsidRPr="00065D8F">
        <w:rPr>
          <w:rFonts w:ascii="Arial" w:eastAsia="Calibri" w:hAnsi="Arial" w:cs="Arial"/>
          <w:b/>
          <w:sz w:val="22"/>
        </w:rPr>
        <w:t xml:space="preserve">Problema planteado </w:t>
      </w:r>
    </w:p>
    <w:p w14:paraId="5EF382D0" w14:textId="6E19426D" w:rsidR="006D1C08" w:rsidRPr="00065D8F" w:rsidRDefault="00633633" w:rsidP="007155B8">
      <w:pPr>
        <w:pStyle w:val="NormalWeb"/>
        <w:spacing w:before="0" w:beforeAutospacing="0" w:afterLines="120" w:after="288" w:afterAutospacing="0"/>
        <w:rPr>
          <w:rFonts w:ascii="Arial" w:hAnsi="Arial" w:cs="Arial"/>
          <w:sz w:val="22"/>
          <w:szCs w:val="22"/>
          <w:shd w:val="clear" w:color="auto" w:fill="FFFFFF"/>
        </w:rPr>
      </w:pPr>
      <w:bookmarkStart w:id="9" w:name="_Hlk58917991"/>
      <w:bookmarkStart w:id="10" w:name="_Hlk56103000"/>
      <w:r w:rsidRPr="00065D8F">
        <w:rPr>
          <w:rFonts w:ascii="Arial" w:hAnsi="Arial" w:cs="Arial"/>
          <w:sz w:val="22"/>
        </w:rPr>
        <w:t>U</w:t>
      </w:r>
      <w:r w:rsidR="00F6156F" w:rsidRPr="00065D8F">
        <w:rPr>
          <w:rFonts w:ascii="Arial" w:hAnsi="Arial" w:cs="Arial"/>
          <w:sz w:val="22"/>
        </w:rPr>
        <w:t xml:space="preserve">sted </w:t>
      </w:r>
      <w:r w:rsidR="006D1C08" w:rsidRPr="00065D8F">
        <w:rPr>
          <w:rFonts w:ascii="Arial" w:hAnsi="Arial" w:cs="Arial"/>
          <w:sz w:val="22"/>
          <w:szCs w:val="22"/>
          <w:shd w:val="clear" w:color="auto" w:fill="FFFFFF"/>
        </w:rPr>
        <w:t>plantea los siguientes interrogantes:</w:t>
      </w:r>
    </w:p>
    <w:p w14:paraId="69E8532F" w14:textId="62D6EBFF" w:rsidR="006D1C08" w:rsidRPr="00065D8F" w:rsidRDefault="006D1C08" w:rsidP="00065D8F">
      <w:pPr>
        <w:tabs>
          <w:tab w:val="left" w:pos="426"/>
        </w:tabs>
        <w:spacing w:afterLines="120" w:after="288"/>
        <w:ind w:left="709" w:right="709"/>
        <w:jc w:val="both"/>
        <w:rPr>
          <w:rFonts w:ascii="Arial" w:eastAsia="Calibri" w:hAnsi="Arial" w:cs="Arial"/>
          <w:sz w:val="21"/>
          <w:szCs w:val="21"/>
        </w:rPr>
      </w:pPr>
      <w:r w:rsidRPr="00065D8F">
        <w:rPr>
          <w:rFonts w:ascii="Arial" w:eastAsia="Calibri" w:hAnsi="Arial" w:cs="Arial"/>
          <w:sz w:val="21"/>
          <w:szCs w:val="21"/>
        </w:rPr>
        <w:t xml:space="preserve">«1- ¿Servicios Postales Nacionales S.A.S. 472 como Operador Postal Oficial  concesionario del servicio de correo, le aplica un régimen jurídico especial para </w:t>
      </w:r>
      <w:r w:rsidRPr="00065D8F">
        <w:rPr>
          <w:rFonts w:ascii="Arial" w:eastAsia="Calibri" w:hAnsi="Arial" w:cs="Arial"/>
          <w:sz w:val="21"/>
          <w:szCs w:val="21"/>
        </w:rPr>
        <w:lastRenderedPageBreak/>
        <w:t>la contratación de arrendamientos durante la vigencia de la ley de garantías, por tratarse de una sociedad comercial que tiene obligaciones contractuales asociadas a los puntos de venta a nivel nacional y la necesidad garantizar el acceso y prestación del servicio público postal y sus obligaciones de cara a la población en materia de cobertura y acceso a los servicios? ¿ puede 4-72 celebrar contratos de arrendamiento de puntos de venta mediante contratación directa en vigencia de la Ley de garantías para cumplir las obligaciones del contrato de concesión o esta es una excepción de cumplimiento contractual»</w:t>
      </w:r>
    </w:p>
    <w:p w14:paraId="5D91DDF8" w14:textId="31AD5D09" w:rsidR="006D1C08" w:rsidRPr="00065D8F" w:rsidRDefault="0077610F" w:rsidP="00065D8F">
      <w:pPr>
        <w:tabs>
          <w:tab w:val="left" w:pos="426"/>
        </w:tabs>
        <w:spacing w:afterLines="120" w:after="288"/>
        <w:ind w:left="709" w:right="709"/>
        <w:jc w:val="both"/>
        <w:rPr>
          <w:rFonts w:ascii="Arial" w:eastAsia="Calibri" w:hAnsi="Arial" w:cs="Arial"/>
          <w:sz w:val="21"/>
          <w:szCs w:val="21"/>
        </w:rPr>
      </w:pPr>
      <w:r w:rsidRPr="00065D8F">
        <w:rPr>
          <w:rFonts w:ascii="Arial" w:eastAsia="Calibri" w:hAnsi="Arial" w:cs="Arial"/>
          <w:sz w:val="21"/>
          <w:szCs w:val="21"/>
        </w:rPr>
        <w:t xml:space="preserve">» </w:t>
      </w:r>
      <w:r w:rsidR="006D1C08" w:rsidRPr="00065D8F">
        <w:rPr>
          <w:rFonts w:ascii="Arial" w:eastAsia="Calibri" w:hAnsi="Arial" w:cs="Arial"/>
          <w:sz w:val="21"/>
          <w:szCs w:val="21"/>
        </w:rPr>
        <w:t xml:space="preserve">2- En caso de </w:t>
      </w:r>
      <w:proofErr w:type="spellStart"/>
      <w:r w:rsidR="006D1C08" w:rsidRPr="00065D8F">
        <w:rPr>
          <w:rFonts w:ascii="Arial" w:eastAsia="Calibri" w:hAnsi="Arial" w:cs="Arial"/>
          <w:sz w:val="21"/>
          <w:szCs w:val="21"/>
        </w:rPr>
        <w:t>qe</w:t>
      </w:r>
      <w:proofErr w:type="spellEnd"/>
      <w:r w:rsidR="006D1C08" w:rsidRPr="00065D8F">
        <w:rPr>
          <w:rFonts w:ascii="Arial" w:eastAsia="Calibri" w:hAnsi="Arial" w:cs="Arial"/>
          <w:sz w:val="21"/>
          <w:szCs w:val="21"/>
        </w:rPr>
        <w:t xml:space="preserve"> la respuesta a la anterior pregunta sea negativa, sírvase indicar ¿Qué modalidad de contratación puede utilizar Servicios Postales Nacionales S.A.S. 472 para cumplir con las obligaciones legales que garanticen el derecho fundamental al acceso a la </w:t>
      </w:r>
      <w:proofErr w:type="spellStart"/>
      <w:r w:rsidR="006D1C08" w:rsidRPr="00065D8F">
        <w:rPr>
          <w:rFonts w:ascii="Arial" w:eastAsia="Calibri" w:hAnsi="Arial" w:cs="Arial"/>
          <w:sz w:val="21"/>
          <w:szCs w:val="21"/>
        </w:rPr>
        <w:t>conmunicación</w:t>
      </w:r>
      <w:proofErr w:type="spellEnd"/>
      <w:r w:rsidR="006D1C08" w:rsidRPr="00065D8F">
        <w:rPr>
          <w:rFonts w:ascii="Arial" w:eastAsia="Calibri" w:hAnsi="Arial" w:cs="Arial"/>
          <w:sz w:val="21"/>
          <w:szCs w:val="21"/>
        </w:rPr>
        <w:t xml:space="preserve"> en materia de contratos de arrendamiento de sus puntos de venta? ¿ Cuándo no existe pluralidad de oferentes para celebrar contratos de arrendamiento en un municipio determinado, como se debe proceder para garantizar esta obligación definida en un contrato de concesión?</w:t>
      </w:r>
    </w:p>
    <w:p w14:paraId="6896F7F9" w14:textId="5A1646F5" w:rsidR="006D1C08" w:rsidRPr="00065D8F" w:rsidRDefault="0077610F" w:rsidP="00065D8F">
      <w:pPr>
        <w:tabs>
          <w:tab w:val="left" w:pos="426"/>
        </w:tabs>
        <w:spacing w:afterLines="120" w:after="288"/>
        <w:ind w:left="709" w:right="709"/>
        <w:jc w:val="both"/>
        <w:rPr>
          <w:rFonts w:ascii="Arial" w:eastAsia="Calibri" w:hAnsi="Arial" w:cs="Arial"/>
          <w:sz w:val="21"/>
          <w:szCs w:val="21"/>
        </w:rPr>
      </w:pPr>
      <w:r w:rsidRPr="00065D8F">
        <w:rPr>
          <w:rFonts w:ascii="Arial" w:eastAsia="Calibri" w:hAnsi="Arial" w:cs="Arial"/>
          <w:sz w:val="21"/>
          <w:szCs w:val="21"/>
        </w:rPr>
        <w:t xml:space="preserve">» </w:t>
      </w:r>
      <w:r w:rsidR="006D1C08" w:rsidRPr="00065D8F">
        <w:rPr>
          <w:rFonts w:ascii="Arial" w:eastAsia="Calibri" w:hAnsi="Arial" w:cs="Arial"/>
          <w:sz w:val="21"/>
          <w:szCs w:val="21"/>
        </w:rPr>
        <w:t>3- En ma</w:t>
      </w:r>
      <w:r w:rsidRPr="00065D8F">
        <w:rPr>
          <w:rFonts w:ascii="Arial" w:eastAsia="Calibri" w:hAnsi="Arial" w:cs="Arial"/>
          <w:sz w:val="21"/>
          <w:szCs w:val="21"/>
        </w:rPr>
        <w:t>t</w:t>
      </w:r>
      <w:r w:rsidR="006D1C08" w:rsidRPr="00065D8F">
        <w:rPr>
          <w:rFonts w:ascii="Arial" w:eastAsia="Calibri" w:hAnsi="Arial" w:cs="Arial"/>
          <w:sz w:val="21"/>
          <w:szCs w:val="21"/>
        </w:rPr>
        <w:t xml:space="preserve">eria de arrendamiento de otro tipo de inmuebles (no puntos de venta) pero para el cumplimiento y ejecución de un contrato </w:t>
      </w:r>
      <w:proofErr w:type="spellStart"/>
      <w:r w:rsidR="006D1C08" w:rsidRPr="00065D8F">
        <w:rPr>
          <w:rFonts w:ascii="Arial" w:eastAsia="Calibri" w:hAnsi="Arial" w:cs="Arial"/>
          <w:sz w:val="21"/>
          <w:szCs w:val="21"/>
        </w:rPr>
        <w:t>comcercial</w:t>
      </w:r>
      <w:proofErr w:type="spellEnd"/>
      <w:r w:rsidR="006D1C08" w:rsidRPr="00065D8F">
        <w:rPr>
          <w:rFonts w:ascii="Arial" w:eastAsia="Calibri" w:hAnsi="Arial" w:cs="Arial"/>
          <w:sz w:val="21"/>
          <w:szCs w:val="21"/>
        </w:rPr>
        <w:t xml:space="preserve">, es decir, cuando se requiere un arrendamiento con motivo de un contrato comercial </w:t>
      </w:r>
      <w:r w:rsidRPr="00065D8F">
        <w:rPr>
          <w:rFonts w:ascii="Arial" w:eastAsia="Calibri" w:hAnsi="Arial" w:cs="Arial"/>
          <w:sz w:val="21"/>
          <w:szCs w:val="21"/>
        </w:rPr>
        <w:t xml:space="preserve">suscrito con un cliente que así lo exija, ¿existe alguna excepción durante la ley de garantías o la empresa debe limitar su actividad comercial durante este periodo con los riesgos asociados de pérdida de ingresos frente a operadores </w:t>
      </w:r>
      <w:proofErr w:type="spellStart"/>
      <w:r w:rsidRPr="00065D8F">
        <w:rPr>
          <w:rFonts w:ascii="Arial" w:eastAsia="Calibri" w:hAnsi="Arial" w:cs="Arial"/>
          <w:sz w:val="21"/>
          <w:szCs w:val="21"/>
        </w:rPr>
        <w:t>postals</w:t>
      </w:r>
      <w:proofErr w:type="spellEnd"/>
      <w:r w:rsidRPr="00065D8F">
        <w:rPr>
          <w:rFonts w:ascii="Arial" w:eastAsia="Calibri" w:hAnsi="Arial" w:cs="Arial"/>
          <w:sz w:val="21"/>
          <w:szCs w:val="21"/>
        </w:rPr>
        <w:t xml:space="preserve"> privados?»</w:t>
      </w:r>
    </w:p>
    <w:bookmarkEnd w:id="9"/>
    <w:bookmarkEnd w:id="10"/>
    <w:p w14:paraId="33526695" w14:textId="2E73F5E7" w:rsidR="005027F0" w:rsidRPr="00065D8F" w:rsidRDefault="002B72C0" w:rsidP="007155B8">
      <w:pPr>
        <w:tabs>
          <w:tab w:val="left" w:pos="284"/>
        </w:tabs>
        <w:spacing w:afterLines="120" w:after="288" w:line="276" w:lineRule="auto"/>
        <w:jc w:val="both"/>
        <w:rPr>
          <w:rFonts w:ascii="Arial" w:eastAsia="Calibri" w:hAnsi="Arial" w:cs="Arial"/>
          <w:b/>
          <w:sz w:val="22"/>
        </w:rPr>
      </w:pPr>
      <w:r w:rsidRPr="00065D8F">
        <w:rPr>
          <w:rFonts w:ascii="Arial" w:eastAsia="Calibri" w:hAnsi="Arial" w:cs="Arial"/>
          <w:b/>
          <w:sz w:val="22"/>
        </w:rPr>
        <w:t xml:space="preserve">2. </w:t>
      </w:r>
      <w:r w:rsidR="00990612" w:rsidRPr="00065D8F">
        <w:rPr>
          <w:rFonts w:ascii="Arial" w:eastAsia="Calibri" w:hAnsi="Arial" w:cs="Arial"/>
          <w:b/>
          <w:sz w:val="22"/>
        </w:rPr>
        <w:t>Consideraciones</w:t>
      </w:r>
    </w:p>
    <w:p w14:paraId="0A5F663E" w14:textId="1BBC623A" w:rsidR="002828AB" w:rsidRPr="00065D8F" w:rsidRDefault="002828AB" w:rsidP="00065D8F">
      <w:pPr>
        <w:spacing w:after="120" w:line="276" w:lineRule="auto"/>
        <w:jc w:val="both"/>
        <w:rPr>
          <w:rFonts w:ascii="Arial" w:hAnsi="Arial" w:cs="Arial"/>
          <w:bCs/>
          <w:sz w:val="22"/>
        </w:rPr>
      </w:pPr>
      <w:r w:rsidRPr="00065D8F">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1" w:name="_Hlk61701014"/>
      <w:bookmarkStart w:id="12" w:name="_Hlk62136649"/>
      <w:r w:rsidRPr="00065D8F">
        <w:rPr>
          <w:rFonts w:ascii="Arial" w:hAnsi="Arial" w:cs="Arial"/>
          <w:bCs/>
          <w:sz w:val="22"/>
        </w:rPr>
        <w:t xml:space="preserve"> </w:t>
      </w:r>
      <w:r w:rsidRPr="00065D8F">
        <w:rPr>
          <w:rFonts w:ascii="Arial" w:hAnsi="Arial" w:cs="Arial"/>
          <w:sz w:val="22"/>
          <w:lang w:val="es-ES"/>
        </w:rPr>
        <w:t xml:space="preserve">Es necesario tener en cuenta que </w:t>
      </w:r>
      <w:bookmarkStart w:id="13" w:name="_Hlk61026958"/>
      <w:r w:rsidRPr="00065D8F">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65D8F">
        <w:rPr>
          <w:rFonts w:ascii="Arial" w:hAnsi="Arial" w:cs="Arial"/>
          <w:bCs/>
          <w:sz w:val="22"/>
        </w:rPr>
        <w:t xml:space="preserve"> de todos los partícipes de la contratación estatal.</w:t>
      </w:r>
    </w:p>
    <w:p w14:paraId="08E211FF" w14:textId="77F087A6" w:rsidR="002828AB" w:rsidRPr="00065D8F" w:rsidRDefault="002828AB" w:rsidP="00065D8F">
      <w:pPr>
        <w:spacing w:after="120" w:line="276" w:lineRule="auto"/>
        <w:ind w:firstLine="708"/>
        <w:jc w:val="both"/>
        <w:rPr>
          <w:rFonts w:ascii="Arial" w:hAnsi="Arial" w:cs="Arial"/>
          <w:sz w:val="22"/>
          <w:lang w:val="es-ES"/>
        </w:rPr>
      </w:pPr>
      <w:r w:rsidRPr="00065D8F">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65D8F">
        <w:rPr>
          <w:rFonts w:ascii="Arial" w:hAnsi="Arial" w:cs="Arial"/>
          <w:sz w:val="22"/>
          <w:vertAlign w:val="superscript"/>
          <w:lang w:val="es-ES"/>
        </w:rPr>
        <w:footnoteReference w:id="1"/>
      </w:r>
      <w:r w:rsidRPr="00065D8F">
        <w:rPr>
          <w:rFonts w:ascii="Arial" w:hAnsi="Arial" w:cs="Arial"/>
          <w:sz w:val="22"/>
          <w:lang w:val="es-ES"/>
        </w:rPr>
        <w:t xml:space="preserve">. Esta </w:t>
      </w:r>
      <w:r w:rsidRPr="00065D8F">
        <w:rPr>
          <w:rFonts w:ascii="Arial" w:hAnsi="Arial" w:cs="Arial"/>
          <w:sz w:val="22"/>
          <w:lang w:val="es-ES"/>
        </w:rPr>
        <w:lastRenderedPageBreak/>
        <w:t xml:space="preserve">competencia de interpretación de normas generales, por definición, no puede extenderse a la resolución de controversias, ni a brindar asesorías sobre casos puntuales. </w:t>
      </w:r>
      <w:bookmarkEnd w:id="13"/>
      <w:r w:rsidRPr="00065D8F">
        <w:rPr>
          <w:rFonts w:ascii="Arial" w:hAnsi="Arial" w:cs="Arial"/>
          <w:sz w:val="22"/>
          <w:lang w:val="es-ES"/>
        </w:rPr>
        <w:t xml:space="preserve">Por lo anterior, previo concepto de sus órganos asesores, la solución de estos temas corresponde a la entidad que adelanta el procedimiento de selección y, en caso de conflicto, a las autoridades judiciales, fiscales y disciplinarias. </w:t>
      </w:r>
      <w:bookmarkEnd w:id="11"/>
      <w:r w:rsidR="00C4215E" w:rsidRPr="00065D8F">
        <w:rPr>
          <w:rFonts w:ascii="Arial" w:hAnsi="Arial" w:cs="Arial"/>
          <w:sz w:val="22"/>
          <w:lang w:val="es-ES"/>
        </w:rPr>
        <w:t xml:space="preserve">De esta manera, </w:t>
      </w:r>
      <w:r w:rsidR="00C4215E" w:rsidRPr="00065D8F">
        <w:rPr>
          <w:rFonts w:ascii="Arial" w:hAnsi="Arial" w:cs="Arial"/>
          <w:color w:val="000000"/>
          <w:sz w:val="22"/>
          <w:shd w:val="clear" w:color="auto" w:fill="FFFFFF"/>
        </w:rPr>
        <w:t>le corresponderá a cada entidad definir la viabilidad técnica, jurídica y financiera de celebrar determinado contrato estatal en específico.</w:t>
      </w:r>
    </w:p>
    <w:bookmarkEnd w:id="12"/>
    <w:p w14:paraId="311C76CA" w14:textId="6BC60614" w:rsidR="0090765B" w:rsidRPr="00065D8F" w:rsidRDefault="002828AB" w:rsidP="00065D8F">
      <w:pPr>
        <w:spacing w:after="120" w:line="276" w:lineRule="auto"/>
        <w:jc w:val="both"/>
        <w:rPr>
          <w:rFonts w:ascii="Arial" w:hAnsi="Arial" w:cs="Arial"/>
          <w:bCs/>
          <w:sz w:val="22"/>
        </w:rPr>
      </w:pPr>
      <w:r w:rsidRPr="00065D8F">
        <w:rPr>
          <w:rFonts w:ascii="Arial" w:eastAsia="Calibri" w:hAnsi="Arial" w:cs="Arial"/>
          <w:color w:val="000000" w:themeColor="text1"/>
          <w:sz w:val="22"/>
          <w:lang w:val="es-ES"/>
        </w:rPr>
        <w:tab/>
      </w:r>
      <w:r w:rsidRPr="00065D8F">
        <w:rPr>
          <w:rFonts w:ascii="Arial" w:eastAsia="Calibri" w:hAnsi="Arial" w:cs="Arial"/>
          <w:color w:val="000000" w:themeColor="text1"/>
          <w:sz w:val="22"/>
        </w:rPr>
        <w:t xml:space="preserve">Sin perjuicio de lo anterior, </w:t>
      </w:r>
      <w:r w:rsidRPr="00065D8F">
        <w:rPr>
          <w:rFonts w:ascii="Arial" w:eastAsia="Calibri" w:hAnsi="Arial" w:cs="Arial"/>
          <w:color w:val="000000" w:themeColor="text1"/>
          <w:sz w:val="22"/>
          <w:lang w:val="es-ES"/>
        </w:rPr>
        <w:t xml:space="preserve">la Subdirección –dentro de los límites de sus atribuciones, esto es, </w:t>
      </w:r>
      <w:bookmarkStart w:id="14" w:name="_Hlk61025408"/>
      <w:r w:rsidRPr="00065D8F">
        <w:rPr>
          <w:rFonts w:ascii="Arial" w:eastAsia="Calibri" w:hAnsi="Arial" w:cs="Arial"/>
          <w:color w:val="000000" w:themeColor="text1"/>
          <w:sz w:val="22"/>
          <w:lang w:val="es-ES"/>
        </w:rPr>
        <w:t>haciendo abstracción del caso particular expuesto por el peticionario</w:t>
      </w:r>
      <w:bookmarkEnd w:id="14"/>
      <w:r w:rsidRPr="00065D8F">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281E62" w:rsidRPr="00065D8F">
        <w:rPr>
          <w:rFonts w:ascii="Arial" w:eastAsia="Calibri" w:hAnsi="Arial" w:cs="Arial"/>
          <w:color w:val="000000" w:themeColor="text1"/>
          <w:sz w:val="22"/>
          <w:lang w:val="es-ES"/>
        </w:rPr>
        <w:t>:</w:t>
      </w:r>
      <w:r w:rsidR="00990612" w:rsidRPr="00065D8F">
        <w:rPr>
          <w:rFonts w:ascii="Arial" w:eastAsia="Calibri" w:hAnsi="Arial" w:cs="Arial"/>
          <w:bCs/>
          <w:sz w:val="22"/>
        </w:rPr>
        <w:t xml:space="preserve"> i) </w:t>
      </w:r>
      <w:r w:rsidR="006D4EC2" w:rsidRPr="00065D8F">
        <w:rPr>
          <w:rFonts w:ascii="Arial" w:eastAsia="Calibri" w:hAnsi="Arial" w:cs="Arial"/>
          <w:bCs/>
          <w:sz w:val="22"/>
        </w:rPr>
        <w:t>definición y finalidad de la Ley de Garantías Electorales</w:t>
      </w:r>
      <w:r w:rsidR="0016262F" w:rsidRPr="00065D8F">
        <w:rPr>
          <w:rFonts w:ascii="Arial" w:eastAsia="Calibri" w:hAnsi="Arial" w:cs="Arial"/>
          <w:bCs/>
          <w:sz w:val="22"/>
        </w:rPr>
        <w:t>,</w:t>
      </w:r>
      <w:r w:rsidR="006D4EC2" w:rsidRPr="00065D8F">
        <w:rPr>
          <w:rFonts w:ascii="Arial" w:eastAsia="Calibri" w:hAnsi="Arial" w:cs="Arial"/>
          <w:bCs/>
          <w:sz w:val="22"/>
        </w:rPr>
        <w:t xml:space="preserve"> </w:t>
      </w:r>
      <w:proofErr w:type="spellStart"/>
      <w:r w:rsidR="006D4EC2" w:rsidRPr="00065D8F">
        <w:rPr>
          <w:rFonts w:ascii="Arial" w:eastAsia="Calibri" w:hAnsi="Arial" w:cs="Arial"/>
          <w:bCs/>
          <w:sz w:val="22"/>
        </w:rPr>
        <w:t>ii</w:t>
      </w:r>
      <w:proofErr w:type="spellEnd"/>
      <w:r w:rsidR="006D4EC2" w:rsidRPr="00065D8F">
        <w:rPr>
          <w:rFonts w:ascii="Arial" w:eastAsia="Calibri" w:hAnsi="Arial" w:cs="Arial"/>
          <w:bCs/>
          <w:sz w:val="22"/>
        </w:rPr>
        <w:t>)</w:t>
      </w:r>
      <w:r w:rsidR="00EB7836" w:rsidRPr="00065D8F">
        <w:rPr>
          <w:rFonts w:ascii="Arial" w:eastAsia="Calibri" w:hAnsi="Arial" w:cs="Arial"/>
          <w:bCs/>
          <w:sz w:val="22"/>
        </w:rPr>
        <w:t xml:space="preserve"> </w:t>
      </w:r>
      <w:r w:rsidR="008C2BFB" w:rsidRPr="00065D8F">
        <w:rPr>
          <w:rFonts w:ascii="Arial" w:eastAsia="Calibri" w:hAnsi="Arial" w:cs="Arial"/>
          <w:bCs/>
          <w:sz w:val="22"/>
        </w:rPr>
        <w:t xml:space="preserve">restricciones para elecciones </w:t>
      </w:r>
      <w:r w:rsidR="0016262F" w:rsidRPr="00065D8F">
        <w:rPr>
          <w:rFonts w:ascii="Arial" w:eastAsia="Calibri" w:hAnsi="Arial" w:cs="Arial"/>
          <w:bCs/>
          <w:sz w:val="22"/>
        </w:rPr>
        <w:t>p</w:t>
      </w:r>
      <w:r w:rsidR="008C2BFB" w:rsidRPr="00065D8F">
        <w:rPr>
          <w:rFonts w:ascii="Arial" w:eastAsia="Calibri" w:hAnsi="Arial" w:cs="Arial"/>
          <w:bCs/>
          <w:sz w:val="22"/>
        </w:rPr>
        <w:t>residenciales</w:t>
      </w:r>
      <w:r w:rsidR="0016262F" w:rsidRPr="00065D8F">
        <w:rPr>
          <w:rFonts w:ascii="Arial" w:eastAsia="Calibri" w:hAnsi="Arial" w:cs="Arial"/>
          <w:bCs/>
          <w:sz w:val="22"/>
        </w:rPr>
        <w:t>,</w:t>
      </w:r>
      <w:r w:rsidR="008C2BFB" w:rsidRPr="00065D8F">
        <w:rPr>
          <w:rFonts w:ascii="Arial" w:eastAsia="Calibri" w:hAnsi="Arial" w:cs="Arial"/>
          <w:bCs/>
          <w:sz w:val="22"/>
        </w:rPr>
        <w:t xml:space="preserve"> </w:t>
      </w:r>
      <w:proofErr w:type="spellStart"/>
      <w:r w:rsidR="007173EA" w:rsidRPr="00065D8F">
        <w:rPr>
          <w:rFonts w:ascii="Arial" w:eastAsia="Calibri" w:hAnsi="Arial" w:cs="Arial"/>
          <w:bCs/>
          <w:sz w:val="22"/>
        </w:rPr>
        <w:t>i</w:t>
      </w:r>
      <w:r w:rsidR="0016262F" w:rsidRPr="00065D8F">
        <w:rPr>
          <w:rFonts w:ascii="Arial" w:eastAsia="Calibri" w:hAnsi="Arial" w:cs="Arial"/>
          <w:bCs/>
          <w:sz w:val="22"/>
        </w:rPr>
        <w:t>ii</w:t>
      </w:r>
      <w:proofErr w:type="spellEnd"/>
      <w:r w:rsidR="007173EA" w:rsidRPr="00065D8F">
        <w:rPr>
          <w:rFonts w:ascii="Arial" w:eastAsia="Calibri" w:hAnsi="Arial" w:cs="Arial"/>
          <w:bCs/>
          <w:sz w:val="22"/>
        </w:rPr>
        <w:t>) destinatarios de la prohibición del artículo 33 de la Ley 996 de 2005</w:t>
      </w:r>
      <w:r w:rsidR="0077610F" w:rsidRPr="00065D8F">
        <w:rPr>
          <w:rFonts w:ascii="Arial" w:eastAsia="Calibri" w:hAnsi="Arial" w:cs="Arial"/>
          <w:bCs/>
          <w:sz w:val="22"/>
        </w:rPr>
        <w:t xml:space="preserve"> y</w:t>
      </w:r>
      <w:r w:rsidR="007173EA" w:rsidRPr="00065D8F">
        <w:rPr>
          <w:rFonts w:ascii="Arial" w:eastAsia="Calibri" w:hAnsi="Arial" w:cs="Arial"/>
          <w:bCs/>
          <w:sz w:val="22"/>
        </w:rPr>
        <w:t xml:space="preserve"> </w:t>
      </w:r>
      <w:proofErr w:type="spellStart"/>
      <w:r w:rsidR="0016262F" w:rsidRPr="00065D8F">
        <w:rPr>
          <w:rFonts w:ascii="Arial" w:eastAsia="Calibri" w:hAnsi="Arial" w:cs="Arial"/>
          <w:bCs/>
          <w:sz w:val="22"/>
        </w:rPr>
        <w:t>i</w:t>
      </w:r>
      <w:r w:rsidR="007173EA" w:rsidRPr="00065D8F">
        <w:rPr>
          <w:rFonts w:ascii="Arial" w:eastAsia="Calibri" w:hAnsi="Arial" w:cs="Arial"/>
          <w:bCs/>
          <w:sz w:val="22"/>
        </w:rPr>
        <w:t>v</w:t>
      </w:r>
      <w:proofErr w:type="spellEnd"/>
      <w:r w:rsidR="007173EA" w:rsidRPr="00065D8F">
        <w:rPr>
          <w:rFonts w:ascii="Arial" w:eastAsia="Calibri" w:hAnsi="Arial" w:cs="Arial"/>
          <w:bCs/>
          <w:sz w:val="22"/>
        </w:rPr>
        <w:t>)</w:t>
      </w:r>
      <w:bookmarkStart w:id="15" w:name="_Hlk76110351"/>
      <w:r w:rsidR="00CD02B5" w:rsidRPr="00065D8F">
        <w:rPr>
          <w:rFonts w:ascii="Arial" w:eastAsia="Calibri" w:hAnsi="Arial" w:cs="Arial"/>
          <w:bCs/>
          <w:sz w:val="22"/>
        </w:rPr>
        <w:t xml:space="preserve"> </w:t>
      </w:r>
      <w:bookmarkEnd w:id="15"/>
      <w:r w:rsidR="00613D54" w:rsidRPr="00065D8F">
        <w:rPr>
          <w:rFonts w:ascii="Arial" w:eastAsia="Calibri" w:hAnsi="Arial" w:cs="Arial"/>
          <w:bCs/>
          <w:sz w:val="22"/>
        </w:rPr>
        <w:t>r</w:t>
      </w:r>
      <w:r w:rsidR="001D3346" w:rsidRPr="00065D8F">
        <w:rPr>
          <w:rFonts w:ascii="Arial" w:eastAsia="Calibri" w:hAnsi="Arial" w:cs="Arial"/>
          <w:bCs/>
          <w:sz w:val="22"/>
        </w:rPr>
        <w:t xml:space="preserve">égimen de contratación </w:t>
      </w:r>
      <w:r w:rsidR="0077610F" w:rsidRPr="00065D8F">
        <w:rPr>
          <w:rFonts w:ascii="Arial" w:eastAsia="Calibri" w:hAnsi="Arial" w:cs="Arial"/>
          <w:bCs/>
          <w:sz w:val="22"/>
        </w:rPr>
        <w:t xml:space="preserve">de la sociedad Servicios Postales Nacionales S.A.S y </w:t>
      </w:r>
      <w:r w:rsidR="001D3346" w:rsidRPr="00065D8F">
        <w:rPr>
          <w:rFonts w:ascii="Arial" w:eastAsia="Calibri" w:hAnsi="Arial" w:cs="Arial"/>
          <w:bCs/>
          <w:sz w:val="22"/>
        </w:rPr>
        <w:t>aplicación de la Ley de Garantía</w:t>
      </w:r>
      <w:r w:rsidR="0029380D" w:rsidRPr="00065D8F">
        <w:rPr>
          <w:rFonts w:ascii="Arial" w:eastAsia="Calibri" w:hAnsi="Arial" w:cs="Arial"/>
          <w:bCs/>
          <w:sz w:val="22"/>
        </w:rPr>
        <w:t>s Electorales</w:t>
      </w:r>
      <w:r w:rsidR="00613D54" w:rsidRPr="00065D8F">
        <w:rPr>
          <w:rFonts w:ascii="Arial" w:eastAsia="Calibri" w:hAnsi="Arial" w:cs="Arial"/>
          <w:bCs/>
          <w:sz w:val="22"/>
        </w:rPr>
        <w:t>.</w:t>
      </w:r>
    </w:p>
    <w:p w14:paraId="1AB4C719" w14:textId="52056491" w:rsidR="005027F0" w:rsidRPr="00065D8F" w:rsidRDefault="008F39BD" w:rsidP="007155B8">
      <w:pPr>
        <w:tabs>
          <w:tab w:val="left" w:pos="426"/>
        </w:tabs>
        <w:spacing w:afterLines="120" w:after="288" w:line="276" w:lineRule="auto"/>
        <w:ind w:firstLine="709"/>
        <w:jc w:val="both"/>
        <w:rPr>
          <w:rFonts w:ascii="Arial" w:eastAsia="Calibri" w:hAnsi="Arial" w:cs="Arial"/>
          <w:bCs/>
          <w:sz w:val="22"/>
        </w:rPr>
      </w:pPr>
      <w:bookmarkStart w:id="16" w:name="_Hlk96420693"/>
      <w:r w:rsidRPr="00065D8F">
        <w:rPr>
          <w:rFonts w:ascii="Arial" w:eastAsia="Calibri" w:hAnsi="Arial" w:cs="Arial"/>
          <w:bCs/>
          <w:sz w:val="22"/>
        </w:rPr>
        <w:t xml:space="preserve">La Agencia Nacional de Contratación Pública </w:t>
      </w:r>
      <w:r w:rsidR="00F91CA6" w:rsidRPr="00065D8F">
        <w:rPr>
          <w:rFonts w:ascii="Arial" w:eastAsia="Calibri" w:hAnsi="Arial" w:cs="Arial"/>
          <w:bCs/>
          <w:sz w:val="22"/>
        </w:rPr>
        <w:t>–</w:t>
      </w:r>
      <w:r w:rsidRPr="00065D8F">
        <w:rPr>
          <w:rFonts w:ascii="Arial" w:eastAsia="Calibri" w:hAnsi="Arial" w:cs="Arial"/>
          <w:bCs/>
          <w:sz w:val="22"/>
        </w:rPr>
        <w:t xml:space="preserve"> Colombia Compra Eficiente </w:t>
      </w:r>
      <w:r w:rsidR="00A56A79" w:rsidRPr="00065D8F">
        <w:rPr>
          <w:rFonts w:ascii="Arial" w:eastAsia="Calibri" w:hAnsi="Arial" w:cs="Arial"/>
          <w:bCs/>
          <w:sz w:val="22"/>
        </w:rPr>
        <w:t>ha impartido lineamientos sobre la</w:t>
      </w:r>
      <w:r w:rsidRPr="00065D8F">
        <w:rPr>
          <w:rFonts w:ascii="Arial" w:eastAsia="Calibri" w:hAnsi="Arial" w:cs="Arial"/>
          <w:bCs/>
          <w:sz w:val="22"/>
        </w:rPr>
        <w:t xml:space="preserve"> </w:t>
      </w:r>
      <w:r w:rsidR="00D05E28" w:rsidRPr="00065D8F">
        <w:rPr>
          <w:rFonts w:ascii="Arial" w:eastAsia="Calibri" w:hAnsi="Arial" w:cs="Arial"/>
          <w:bCs/>
          <w:sz w:val="22"/>
        </w:rPr>
        <w:t>aplicación de la Ley 996 de 2005</w:t>
      </w:r>
      <w:r w:rsidR="00A56A79" w:rsidRPr="00065D8F">
        <w:rPr>
          <w:rFonts w:ascii="Arial" w:eastAsia="Calibri" w:hAnsi="Arial" w:cs="Arial"/>
          <w:bCs/>
          <w:sz w:val="22"/>
        </w:rPr>
        <w:t xml:space="preserve"> y también se ha pronunciado</w:t>
      </w:r>
      <w:r w:rsidRPr="00065D8F">
        <w:rPr>
          <w:rFonts w:ascii="Arial" w:eastAsia="Calibri" w:hAnsi="Arial" w:cs="Arial"/>
          <w:bCs/>
          <w:sz w:val="22"/>
        </w:rPr>
        <w:t xml:space="preserve"> </w:t>
      </w:r>
      <w:r w:rsidR="00735A39" w:rsidRPr="00065D8F">
        <w:rPr>
          <w:rFonts w:ascii="Arial" w:eastAsia="Calibri" w:hAnsi="Arial" w:cs="Arial"/>
          <w:bCs/>
          <w:sz w:val="22"/>
        </w:rPr>
        <w:t>al respecto</w:t>
      </w:r>
      <w:r w:rsidR="004755D2" w:rsidRPr="00065D8F">
        <w:rPr>
          <w:rFonts w:ascii="Arial" w:eastAsia="Calibri" w:hAnsi="Arial" w:cs="Arial"/>
          <w:bCs/>
          <w:sz w:val="22"/>
        </w:rPr>
        <w:t>, entre otros,</w:t>
      </w:r>
      <w:r w:rsidR="00735A39" w:rsidRPr="00065D8F">
        <w:rPr>
          <w:rFonts w:ascii="Arial" w:eastAsia="Calibri" w:hAnsi="Arial" w:cs="Arial"/>
          <w:bCs/>
          <w:sz w:val="22"/>
        </w:rPr>
        <w:t xml:space="preserve"> </w:t>
      </w:r>
      <w:r w:rsidRPr="00065D8F">
        <w:rPr>
          <w:rFonts w:ascii="Arial" w:eastAsia="Calibri" w:hAnsi="Arial" w:cs="Arial"/>
          <w:bCs/>
          <w:sz w:val="22"/>
        </w:rPr>
        <w:t xml:space="preserve">en los </w:t>
      </w:r>
      <w:r w:rsidR="00F91CA6" w:rsidRPr="00065D8F">
        <w:rPr>
          <w:rFonts w:ascii="Arial" w:eastAsia="Calibri" w:hAnsi="Arial" w:cs="Arial"/>
          <w:bCs/>
          <w:sz w:val="22"/>
        </w:rPr>
        <w:t>C</w:t>
      </w:r>
      <w:r w:rsidRPr="00065D8F">
        <w:rPr>
          <w:rFonts w:ascii="Arial" w:eastAsia="Calibri" w:hAnsi="Arial" w:cs="Arial"/>
          <w:bCs/>
          <w:sz w:val="22"/>
        </w:rPr>
        <w:t xml:space="preserve">onceptos </w:t>
      </w:r>
      <w:r w:rsidR="004D1653" w:rsidRPr="00065D8F">
        <w:rPr>
          <w:rFonts w:ascii="Arial" w:eastAsia="Calibri" w:hAnsi="Arial" w:cs="Arial"/>
          <w:bCs/>
          <w:sz w:val="22"/>
        </w:rPr>
        <w:t xml:space="preserve">4201912000004632 del 6 de agosto de 2019, </w:t>
      </w:r>
      <w:r w:rsidR="00A56A79" w:rsidRPr="00065D8F">
        <w:rPr>
          <w:rFonts w:ascii="Arial" w:eastAsia="Calibri" w:hAnsi="Arial" w:cs="Arial"/>
          <w:bCs/>
          <w:sz w:val="22"/>
        </w:rPr>
        <w:t>2201913000005655 del 8 de agosto de 2019,</w:t>
      </w:r>
      <w:r w:rsidR="00735A39" w:rsidRPr="00065D8F">
        <w:rPr>
          <w:rFonts w:ascii="Arial" w:eastAsia="Calibri" w:hAnsi="Arial" w:cs="Arial"/>
          <w:bCs/>
          <w:sz w:val="22"/>
        </w:rPr>
        <w:t xml:space="preserve"> </w:t>
      </w:r>
      <w:r w:rsidR="003767EE" w:rsidRPr="00065D8F">
        <w:rPr>
          <w:rFonts w:ascii="Arial" w:eastAsia="Calibri" w:hAnsi="Arial" w:cs="Arial"/>
          <w:bCs/>
          <w:sz w:val="22"/>
        </w:rPr>
        <w:t>2201913000006283 del 27 de agosto de 2019</w:t>
      </w:r>
      <w:r w:rsidR="00D047D3" w:rsidRPr="00065D8F">
        <w:rPr>
          <w:rFonts w:ascii="Arial" w:eastAsia="Calibri" w:hAnsi="Arial" w:cs="Arial"/>
          <w:bCs/>
          <w:sz w:val="22"/>
        </w:rPr>
        <w:t>, 2201913000006521 del 3 de septiembre de 2019,</w:t>
      </w:r>
      <w:r w:rsidR="00AD2E44" w:rsidRPr="00065D8F">
        <w:rPr>
          <w:rFonts w:ascii="Arial" w:eastAsia="Calibri" w:hAnsi="Arial" w:cs="Arial"/>
          <w:bCs/>
          <w:sz w:val="22"/>
        </w:rPr>
        <w:t xml:space="preserve"> 2201913000006634 del 6 de septiembre de 2019, </w:t>
      </w:r>
      <w:r w:rsidR="004F5F6A" w:rsidRPr="00065D8F">
        <w:rPr>
          <w:rFonts w:ascii="Arial" w:eastAsia="Calibri" w:hAnsi="Arial" w:cs="Arial"/>
          <w:bCs/>
          <w:sz w:val="22"/>
        </w:rPr>
        <w:t xml:space="preserve">2201913000006639 del 9 de septiembre de 2019, </w:t>
      </w:r>
      <w:r w:rsidR="003528F0" w:rsidRPr="00065D8F">
        <w:rPr>
          <w:rFonts w:ascii="Arial" w:eastAsia="Calibri" w:hAnsi="Arial" w:cs="Arial"/>
          <w:bCs/>
          <w:sz w:val="22"/>
        </w:rPr>
        <w:t xml:space="preserve">2201913000007430 del 7 de octubre de 2019, </w:t>
      </w:r>
      <w:r w:rsidR="00C8219B" w:rsidRPr="00065D8F">
        <w:rPr>
          <w:rFonts w:ascii="Arial" w:eastAsia="Calibri" w:hAnsi="Arial" w:cs="Arial"/>
          <w:bCs/>
          <w:sz w:val="22"/>
        </w:rPr>
        <w:t xml:space="preserve">2201913000007565 del 10 de octubre de 2019, </w:t>
      </w:r>
      <w:r w:rsidR="00D63081" w:rsidRPr="00065D8F">
        <w:rPr>
          <w:rFonts w:ascii="Arial" w:eastAsia="Calibri" w:hAnsi="Arial" w:cs="Arial"/>
          <w:bCs/>
          <w:sz w:val="22"/>
        </w:rPr>
        <w:t>2201913000008259 del 6 de noviembre de 2019</w:t>
      </w:r>
      <w:r w:rsidR="00F83810" w:rsidRPr="00065D8F">
        <w:rPr>
          <w:rFonts w:ascii="Arial" w:eastAsia="Calibri" w:hAnsi="Arial" w:cs="Arial"/>
          <w:bCs/>
          <w:sz w:val="22"/>
        </w:rPr>
        <w:t xml:space="preserve">, </w:t>
      </w:r>
      <w:r w:rsidR="00F11CF5" w:rsidRPr="00065D8F">
        <w:rPr>
          <w:rFonts w:ascii="Arial" w:eastAsia="Calibri" w:hAnsi="Arial" w:cs="Arial"/>
          <w:bCs/>
          <w:sz w:val="22"/>
        </w:rPr>
        <w:t>C-</w:t>
      </w:r>
      <w:r w:rsidR="006E6202" w:rsidRPr="00065D8F">
        <w:rPr>
          <w:rFonts w:ascii="Arial" w:eastAsia="Calibri" w:hAnsi="Arial" w:cs="Arial"/>
          <w:bCs/>
          <w:sz w:val="22"/>
        </w:rPr>
        <w:t xml:space="preserve">074 del 17 de marzo de 2021, C-075 del 16 de marzo de 2021, </w:t>
      </w:r>
      <w:r w:rsidR="00F83810" w:rsidRPr="00065D8F">
        <w:rPr>
          <w:rFonts w:ascii="Arial" w:eastAsia="Calibri" w:hAnsi="Arial" w:cs="Arial"/>
          <w:bCs/>
          <w:sz w:val="22"/>
        </w:rPr>
        <w:t>C-227 de 2021</w:t>
      </w:r>
      <w:r w:rsidR="00815027" w:rsidRPr="00065D8F">
        <w:rPr>
          <w:rFonts w:ascii="Arial" w:eastAsia="Calibri" w:hAnsi="Arial" w:cs="Arial"/>
          <w:bCs/>
          <w:sz w:val="22"/>
        </w:rPr>
        <w:t xml:space="preserve"> </w:t>
      </w:r>
      <w:r w:rsidR="00F83810" w:rsidRPr="00065D8F">
        <w:rPr>
          <w:rFonts w:ascii="Arial" w:eastAsia="Calibri" w:hAnsi="Arial" w:cs="Arial"/>
          <w:bCs/>
          <w:sz w:val="22"/>
        </w:rPr>
        <w:t>del 5 de mayo de 2021</w:t>
      </w:r>
      <w:r w:rsidR="00A21624" w:rsidRPr="00065D8F">
        <w:rPr>
          <w:rFonts w:ascii="Arial" w:eastAsia="Calibri" w:hAnsi="Arial" w:cs="Arial"/>
          <w:bCs/>
          <w:sz w:val="22"/>
        </w:rPr>
        <w:t>, C-259 del 2 de junio de 2021</w:t>
      </w:r>
      <w:r w:rsidR="00AC004D" w:rsidRPr="00065D8F">
        <w:rPr>
          <w:rFonts w:ascii="Arial" w:eastAsia="Calibri" w:hAnsi="Arial" w:cs="Arial"/>
          <w:bCs/>
          <w:sz w:val="22"/>
        </w:rPr>
        <w:t xml:space="preserve">, C-337 del 13 de julio de 2021, </w:t>
      </w:r>
      <w:r w:rsidR="006D5415" w:rsidRPr="00065D8F">
        <w:rPr>
          <w:rFonts w:ascii="Arial" w:eastAsia="Calibri" w:hAnsi="Arial" w:cs="Arial"/>
          <w:bCs/>
          <w:sz w:val="22"/>
        </w:rPr>
        <w:t xml:space="preserve">C-350 del 16 de julio de 2021, </w:t>
      </w:r>
      <w:r w:rsidR="004832C7" w:rsidRPr="00065D8F">
        <w:rPr>
          <w:rFonts w:ascii="Arial" w:eastAsia="Calibri" w:hAnsi="Arial" w:cs="Arial"/>
          <w:bCs/>
          <w:sz w:val="22"/>
        </w:rPr>
        <w:t xml:space="preserve">C-352 del 27 de julio de 2021, C-374 del </w:t>
      </w:r>
      <w:r w:rsidR="00907E9D" w:rsidRPr="00065D8F">
        <w:rPr>
          <w:rFonts w:ascii="Arial" w:eastAsia="Calibri" w:hAnsi="Arial" w:cs="Arial"/>
          <w:bCs/>
          <w:sz w:val="22"/>
        </w:rPr>
        <w:t>16 de septiembre de 2021, C-381</w:t>
      </w:r>
      <w:r w:rsidR="00C355B4" w:rsidRPr="00065D8F">
        <w:rPr>
          <w:rFonts w:ascii="Arial" w:eastAsia="Calibri" w:hAnsi="Arial" w:cs="Arial"/>
          <w:bCs/>
          <w:sz w:val="22"/>
        </w:rPr>
        <w:t xml:space="preserve"> del 2 de agosto de 2021, C-391 del 11 de agosto de 2021, </w:t>
      </w:r>
      <w:r w:rsidR="00B91CF1" w:rsidRPr="00065D8F">
        <w:rPr>
          <w:rFonts w:ascii="Arial" w:eastAsia="Calibri" w:hAnsi="Arial" w:cs="Arial"/>
          <w:bCs/>
          <w:sz w:val="22"/>
        </w:rPr>
        <w:t xml:space="preserve">C-396 del 13 de agosto de 2021, C-401 del </w:t>
      </w:r>
      <w:r w:rsidR="00B95717" w:rsidRPr="00065D8F">
        <w:rPr>
          <w:rFonts w:ascii="Arial" w:eastAsia="Calibri" w:hAnsi="Arial" w:cs="Arial"/>
          <w:bCs/>
          <w:sz w:val="22"/>
        </w:rPr>
        <w:t>10 de agosto de 2021, C-413 del 17 de agosto de 2021,</w:t>
      </w:r>
      <w:r w:rsidR="00482A4E" w:rsidRPr="00065D8F">
        <w:rPr>
          <w:rFonts w:ascii="Arial" w:eastAsia="Calibri" w:hAnsi="Arial" w:cs="Arial"/>
          <w:bCs/>
          <w:sz w:val="22"/>
        </w:rPr>
        <w:t xml:space="preserve"> C-439 </w:t>
      </w:r>
      <w:r w:rsidR="00937362" w:rsidRPr="00065D8F">
        <w:rPr>
          <w:rFonts w:ascii="Arial" w:eastAsia="Calibri" w:hAnsi="Arial" w:cs="Arial"/>
          <w:bCs/>
          <w:sz w:val="22"/>
        </w:rPr>
        <w:t xml:space="preserve"> del 27 de agosto de 2021, C-456 del </w:t>
      </w:r>
      <w:r w:rsidR="00895AA2" w:rsidRPr="00065D8F">
        <w:rPr>
          <w:rFonts w:ascii="Arial" w:eastAsia="Calibri" w:hAnsi="Arial" w:cs="Arial"/>
          <w:bCs/>
          <w:sz w:val="22"/>
        </w:rPr>
        <w:t xml:space="preserve">3 de septiembre de 2021, C-481 del 98 de septiembre de 2021, </w:t>
      </w:r>
      <w:r w:rsidR="00A23088" w:rsidRPr="00065D8F">
        <w:rPr>
          <w:rFonts w:ascii="Arial" w:eastAsia="Calibri" w:hAnsi="Arial" w:cs="Arial"/>
          <w:bCs/>
          <w:sz w:val="22"/>
        </w:rPr>
        <w:t xml:space="preserve">C-495 del 15 de septiembre de 2021, C-497 del </w:t>
      </w:r>
      <w:r w:rsidR="00D92C46" w:rsidRPr="00065D8F">
        <w:rPr>
          <w:rFonts w:ascii="Arial" w:eastAsia="Calibri" w:hAnsi="Arial" w:cs="Arial"/>
          <w:bCs/>
          <w:sz w:val="22"/>
        </w:rPr>
        <w:t xml:space="preserve">15 de septiembre de 2021, C-499 </w:t>
      </w:r>
      <w:r w:rsidR="00D1440B" w:rsidRPr="00065D8F">
        <w:rPr>
          <w:rFonts w:ascii="Arial" w:eastAsia="Calibri" w:hAnsi="Arial" w:cs="Arial"/>
          <w:bCs/>
          <w:sz w:val="22"/>
        </w:rPr>
        <w:t xml:space="preserve">del 15 de septiembre de 2021, C-523 del 10 de octubre de 2021, </w:t>
      </w:r>
      <w:r w:rsidR="006F0E22" w:rsidRPr="00065D8F">
        <w:rPr>
          <w:rFonts w:ascii="Arial" w:eastAsia="Calibri" w:hAnsi="Arial" w:cs="Arial"/>
          <w:bCs/>
          <w:sz w:val="22"/>
        </w:rPr>
        <w:t xml:space="preserve">C-528 del 27 de septiembre de 2021, C-543 del </w:t>
      </w:r>
      <w:r w:rsidR="002B1BDA" w:rsidRPr="00065D8F">
        <w:rPr>
          <w:rFonts w:ascii="Arial" w:eastAsia="Calibri" w:hAnsi="Arial" w:cs="Arial"/>
          <w:bCs/>
          <w:sz w:val="22"/>
        </w:rPr>
        <w:t xml:space="preserve">9 de </w:t>
      </w:r>
      <w:r w:rsidR="005B373F" w:rsidRPr="00065D8F">
        <w:rPr>
          <w:rFonts w:ascii="Arial" w:eastAsia="Calibri" w:hAnsi="Arial" w:cs="Arial"/>
          <w:bCs/>
          <w:sz w:val="22"/>
        </w:rPr>
        <w:t>noviembre</w:t>
      </w:r>
      <w:r w:rsidR="002B1BDA" w:rsidRPr="00065D8F">
        <w:rPr>
          <w:rFonts w:ascii="Arial" w:eastAsia="Calibri" w:hAnsi="Arial" w:cs="Arial"/>
          <w:bCs/>
          <w:sz w:val="22"/>
        </w:rPr>
        <w:t xml:space="preserve"> de 2021, C-550 del</w:t>
      </w:r>
      <w:r w:rsidR="005B373F" w:rsidRPr="00065D8F">
        <w:rPr>
          <w:rFonts w:ascii="Arial" w:eastAsia="Calibri" w:hAnsi="Arial" w:cs="Arial"/>
          <w:bCs/>
          <w:sz w:val="22"/>
        </w:rPr>
        <w:t xml:space="preserve"> 5 de octubre de 2021, </w:t>
      </w:r>
      <w:r w:rsidR="0059058A" w:rsidRPr="00065D8F">
        <w:rPr>
          <w:rFonts w:ascii="Arial" w:eastAsia="Calibri" w:hAnsi="Arial" w:cs="Arial"/>
          <w:bCs/>
          <w:sz w:val="22"/>
        </w:rPr>
        <w:t xml:space="preserve">C-557 del 7 de octubre de 2021, C-563 del 8 de octubre de 2021, </w:t>
      </w:r>
      <w:r w:rsidR="008E197B" w:rsidRPr="00065D8F">
        <w:rPr>
          <w:rFonts w:ascii="Arial" w:eastAsia="Calibri" w:hAnsi="Arial" w:cs="Arial"/>
          <w:bCs/>
          <w:sz w:val="22"/>
        </w:rPr>
        <w:t xml:space="preserve">C-606 del 3 de noviembre de 2021, C-614 del 2 de noviembre de 2021, </w:t>
      </w:r>
      <w:r w:rsidR="008E197B" w:rsidRPr="00065D8F">
        <w:rPr>
          <w:rFonts w:ascii="Arial" w:eastAsia="Calibri" w:hAnsi="Arial" w:cs="Arial"/>
          <w:bCs/>
          <w:sz w:val="22"/>
        </w:rPr>
        <w:lastRenderedPageBreak/>
        <w:t>C-</w:t>
      </w:r>
      <w:r w:rsidR="005C4C81" w:rsidRPr="00065D8F">
        <w:rPr>
          <w:rFonts w:ascii="Arial" w:eastAsia="Calibri" w:hAnsi="Arial" w:cs="Arial"/>
          <w:bCs/>
          <w:sz w:val="22"/>
        </w:rPr>
        <w:t>633 del 11 de noviembre de 2021, C-634 del 11 de noviembre de 2021</w:t>
      </w:r>
      <w:r w:rsidR="003630B0" w:rsidRPr="00065D8F">
        <w:rPr>
          <w:rFonts w:ascii="Arial" w:eastAsia="Calibri" w:hAnsi="Arial" w:cs="Arial"/>
          <w:bCs/>
          <w:sz w:val="22"/>
        </w:rPr>
        <w:t>,</w:t>
      </w:r>
      <w:r w:rsidR="005C4C81" w:rsidRPr="00065D8F">
        <w:rPr>
          <w:rFonts w:ascii="Arial" w:eastAsia="Calibri" w:hAnsi="Arial" w:cs="Arial"/>
          <w:bCs/>
          <w:sz w:val="22"/>
        </w:rPr>
        <w:t xml:space="preserve"> C-636 del 16 de noviembre de 2021</w:t>
      </w:r>
      <w:r w:rsidR="003630B0" w:rsidRPr="00065D8F">
        <w:rPr>
          <w:rFonts w:ascii="Arial" w:eastAsia="Calibri" w:hAnsi="Arial" w:cs="Arial"/>
          <w:bCs/>
          <w:sz w:val="22"/>
        </w:rPr>
        <w:t>,</w:t>
      </w:r>
      <w:r w:rsidR="001B4317" w:rsidRPr="00065D8F">
        <w:rPr>
          <w:rFonts w:ascii="Arial" w:eastAsia="Calibri" w:hAnsi="Arial" w:cs="Arial"/>
          <w:bCs/>
          <w:sz w:val="22"/>
        </w:rPr>
        <w:t xml:space="preserve"> C-674 del 6 de diciembre de 2021,</w:t>
      </w:r>
      <w:r w:rsidR="003630B0" w:rsidRPr="00065D8F">
        <w:rPr>
          <w:rFonts w:ascii="Arial" w:eastAsia="Calibri" w:hAnsi="Arial" w:cs="Arial"/>
          <w:bCs/>
          <w:sz w:val="22"/>
        </w:rPr>
        <w:t xml:space="preserve"> C-</w:t>
      </w:r>
      <w:r w:rsidR="00975490" w:rsidRPr="00065D8F">
        <w:rPr>
          <w:rFonts w:ascii="Arial" w:eastAsia="Calibri" w:hAnsi="Arial" w:cs="Arial"/>
          <w:bCs/>
          <w:sz w:val="22"/>
        </w:rPr>
        <w:t>677 del 4 de diciembre de 2021</w:t>
      </w:r>
      <w:r w:rsidR="0043733A" w:rsidRPr="00065D8F">
        <w:rPr>
          <w:rFonts w:ascii="Arial" w:eastAsia="Calibri" w:hAnsi="Arial" w:cs="Arial"/>
          <w:bCs/>
          <w:sz w:val="22"/>
        </w:rPr>
        <w:t>,</w:t>
      </w:r>
      <w:r w:rsidR="00975490" w:rsidRPr="00065D8F">
        <w:rPr>
          <w:rFonts w:ascii="Arial" w:eastAsia="Calibri" w:hAnsi="Arial" w:cs="Arial"/>
          <w:bCs/>
          <w:sz w:val="22"/>
        </w:rPr>
        <w:t xml:space="preserve"> C-695 del 22 de diciembre de 2021</w:t>
      </w:r>
      <w:r w:rsidR="0043733A" w:rsidRPr="00065D8F">
        <w:rPr>
          <w:rFonts w:ascii="Arial" w:eastAsia="Calibri" w:hAnsi="Arial" w:cs="Arial"/>
          <w:bCs/>
          <w:sz w:val="22"/>
        </w:rPr>
        <w:t xml:space="preserve">, </w:t>
      </w:r>
      <w:r w:rsidR="00910AEB" w:rsidRPr="00065D8F">
        <w:rPr>
          <w:rFonts w:ascii="Arial" w:eastAsia="Calibri" w:hAnsi="Arial" w:cs="Arial"/>
          <w:bCs/>
          <w:sz w:val="22"/>
        </w:rPr>
        <w:t xml:space="preserve">C-699 del 6 de enero de 2022, </w:t>
      </w:r>
      <w:r w:rsidR="0099511A" w:rsidRPr="00065D8F">
        <w:rPr>
          <w:rFonts w:ascii="Arial" w:eastAsia="Calibri" w:hAnsi="Arial" w:cs="Arial"/>
          <w:bCs/>
          <w:sz w:val="22"/>
        </w:rPr>
        <w:t xml:space="preserve">C-700 del 6 de enero de 2021, </w:t>
      </w:r>
      <w:r w:rsidR="0043733A" w:rsidRPr="00065D8F">
        <w:rPr>
          <w:rFonts w:ascii="Arial" w:eastAsia="Calibri" w:hAnsi="Arial" w:cs="Arial"/>
          <w:bCs/>
          <w:sz w:val="22"/>
        </w:rPr>
        <w:t>C-</w:t>
      </w:r>
      <w:r w:rsidR="00E8088A" w:rsidRPr="00065D8F">
        <w:rPr>
          <w:rFonts w:ascii="Arial" w:eastAsia="Calibri" w:hAnsi="Arial" w:cs="Arial"/>
          <w:bCs/>
          <w:sz w:val="22"/>
        </w:rPr>
        <w:t>723 del 28 de diciembre de 2021</w:t>
      </w:r>
      <w:r w:rsidR="00A550A5" w:rsidRPr="00065D8F">
        <w:rPr>
          <w:rFonts w:ascii="Arial" w:eastAsia="Calibri" w:hAnsi="Arial" w:cs="Arial"/>
          <w:bCs/>
          <w:sz w:val="22"/>
        </w:rPr>
        <w:t xml:space="preserve">, </w:t>
      </w:r>
      <w:r w:rsidR="00B42AFD" w:rsidRPr="00065D8F">
        <w:rPr>
          <w:rFonts w:ascii="Arial" w:eastAsia="Calibri" w:hAnsi="Arial" w:cs="Arial"/>
          <w:bCs/>
          <w:sz w:val="22"/>
        </w:rPr>
        <w:t xml:space="preserve">C-715 del 21 de enero de 2022, </w:t>
      </w:r>
      <w:r w:rsidR="00A550A5" w:rsidRPr="00065D8F">
        <w:rPr>
          <w:rFonts w:ascii="Arial" w:eastAsia="Calibri" w:hAnsi="Arial" w:cs="Arial"/>
          <w:bCs/>
          <w:sz w:val="22"/>
        </w:rPr>
        <w:t>C-718 del 24 de enero de 2022</w:t>
      </w:r>
      <w:r w:rsidR="00CA67D9" w:rsidRPr="00065D8F">
        <w:rPr>
          <w:rFonts w:ascii="Arial" w:eastAsia="Calibri" w:hAnsi="Arial" w:cs="Arial"/>
          <w:bCs/>
          <w:sz w:val="22"/>
        </w:rPr>
        <w:t xml:space="preserve">, </w:t>
      </w:r>
      <w:r w:rsidR="00A2451D" w:rsidRPr="00065D8F">
        <w:rPr>
          <w:rFonts w:ascii="Arial" w:eastAsia="Calibri" w:hAnsi="Arial" w:cs="Arial"/>
          <w:bCs/>
          <w:sz w:val="22"/>
        </w:rPr>
        <w:t>C-726 del 24 de enero de 2022</w:t>
      </w:r>
      <w:r w:rsidR="009E74F8" w:rsidRPr="00065D8F">
        <w:rPr>
          <w:rFonts w:ascii="Arial" w:eastAsia="Calibri" w:hAnsi="Arial" w:cs="Arial"/>
          <w:bCs/>
          <w:sz w:val="22"/>
        </w:rPr>
        <w:t>,</w:t>
      </w:r>
      <w:r w:rsidR="00CA67D9" w:rsidRPr="00065D8F">
        <w:rPr>
          <w:rFonts w:ascii="Arial" w:eastAsia="Calibri" w:hAnsi="Arial" w:cs="Arial"/>
          <w:bCs/>
          <w:sz w:val="22"/>
        </w:rPr>
        <w:t xml:space="preserve"> C-023 del</w:t>
      </w:r>
      <w:r w:rsidR="002828AB" w:rsidRPr="00065D8F">
        <w:rPr>
          <w:rFonts w:ascii="Arial" w:eastAsia="Calibri" w:hAnsi="Arial" w:cs="Arial"/>
          <w:bCs/>
          <w:sz w:val="22"/>
        </w:rPr>
        <w:t xml:space="preserve"> 22 febrero de 2022</w:t>
      </w:r>
      <w:r w:rsidR="009E74F8" w:rsidRPr="00065D8F">
        <w:rPr>
          <w:rFonts w:ascii="Arial" w:eastAsia="Calibri" w:hAnsi="Arial" w:cs="Arial"/>
          <w:bCs/>
          <w:sz w:val="22"/>
        </w:rPr>
        <w:t xml:space="preserve"> y C-329 del 24 de mayo de 2022</w:t>
      </w:r>
      <w:r w:rsidR="00F83810" w:rsidRPr="00065D8F">
        <w:rPr>
          <w:rFonts w:ascii="Arial" w:eastAsia="Calibri" w:hAnsi="Arial" w:cs="Arial"/>
          <w:bCs/>
          <w:sz w:val="22"/>
        </w:rPr>
        <w:t xml:space="preserve">. </w:t>
      </w:r>
      <w:r w:rsidR="00AE4E7C" w:rsidRPr="00065D8F">
        <w:rPr>
          <w:rFonts w:ascii="Arial" w:eastAsia="Calibri" w:hAnsi="Arial" w:cs="Arial"/>
          <w:bCs/>
          <w:sz w:val="22"/>
        </w:rPr>
        <w:t xml:space="preserve">Por su parte, en el Concepto C-374 del 16 de septiembre de 2021, la Agencia se refirió, puntualmente, a la aplicación de las restricciones de la Ley de Garantías con respecto a la contratación realizada por Servicios Postales Nacionales. A continuación, las tesis expuestas en estos conceptos se reiterarán y complementarán en lo pertinente. </w:t>
      </w:r>
      <w:bookmarkEnd w:id="16"/>
    </w:p>
    <w:p w14:paraId="56993992" w14:textId="3DC00773" w:rsidR="005027F0" w:rsidRPr="00065D8F" w:rsidRDefault="00577EF5" w:rsidP="007155B8">
      <w:pPr>
        <w:tabs>
          <w:tab w:val="left" w:pos="426"/>
        </w:tabs>
        <w:spacing w:afterLines="120" w:after="288" w:line="276" w:lineRule="auto"/>
        <w:jc w:val="both"/>
        <w:rPr>
          <w:rFonts w:ascii="Arial" w:eastAsia="Calibri" w:hAnsi="Arial" w:cs="Arial"/>
          <w:b/>
          <w:bCs/>
          <w:sz w:val="22"/>
        </w:rPr>
      </w:pPr>
      <w:r w:rsidRPr="00065D8F">
        <w:rPr>
          <w:rFonts w:ascii="Arial" w:eastAsia="Calibri" w:hAnsi="Arial" w:cs="Arial"/>
          <w:b/>
          <w:bCs/>
          <w:sz w:val="22"/>
        </w:rPr>
        <w:t>2.1</w:t>
      </w:r>
      <w:r w:rsidR="00053991" w:rsidRPr="00065D8F">
        <w:rPr>
          <w:rFonts w:ascii="Arial" w:eastAsia="Calibri" w:hAnsi="Arial" w:cs="Arial"/>
          <w:b/>
          <w:bCs/>
          <w:sz w:val="22"/>
        </w:rPr>
        <w:t>.</w:t>
      </w:r>
      <w:r w:rsidRPr="00065D8F">
        <w:rPr>
          <w:rFonts w:ascii="Arial" w:eastAsia="Calibri" w:hAnsi="Arial" w:cs="Arial"/>
          <w:b/>
          <w:bCs/>
          <w:sz w:val="22"/>
        </w:rPr>
        <w:t xml:space="preserve"> D</w:t>
      </w:r>
      <w:r w:rsidR="00EB7836" w:rsidRPr="00065D8F">
        <w:rPr>
          <w:rFonts w:ascii="Arial" w:eastAsia="Calibri" w:hAnsi="Arial" w:cs="Arial"/>
          <w:b/>
          <w:bCs/>
          <w:sz w:val="22"/>
        </w:rPr>
        <w:t>efinición y finalidad de la Ley de Garantías Electorales</w:t>
      </w:r>
      <w:r w:rsidR="005617FA" w:rsidRPr="00065D8F">
        <w:rPr>
          <w:rFonts w:ascii="Arial" w:eastAsia="Calibri" w:hAnsi="Arial" w:cs="Arial"/>
          <w:b/>
          <w:bCs/>
          <w:sz w:val="22"/>
        </w:rPr>
        <w:t>: alcance de las restricciones</w:t>
      </w:r>
    </w:p>
    <w:p w14:paraId="1DD449BA" w14:textId="3C991284" w:rsidR="005027F0" w:rsidRPr="00065D8F" w:rsidRDefault="00A8268C" w:rsidP="00065D8F">
      <w:pPr>
        <w:tabs>
          <w:tab w:val="left" w:pos="426"/>
        </w:tabs>
        <w:spacing w:after="120" w:line="276" w:lineRule="auto"/>
        <w:jc w:val="both"/>
        <w:rPr>
          <w:rFonts w:ascii="Arial" w:hAnsi="Arial" w:cs="Arial"/>
          <w:bCs/>
          <w:sz w:val="22"/>
          <w:lang w:eastAsia="es-CO"/>
        </w:rPr>
      </w:pPr>
      <w:r w:rsidRPr="00065D8F">
        <w:rPr>
          <w:rFonts w:ascii="Arial" w:eastAsia="Calibri" w:hAnsi="Arial" w:cs="Arial"/>
          <w:bCs/>
          <w:sz w:val="22"/>
        </w:rPr>
        <w:t>El ordenamiento jurídico colombiano</w:t>
      </w:r>
      <w:r w:rsidR="009604AE" w:rsidRPr="00065D8F">
        <w:rPr>
          <w:rFonts w:ascii="Arial" w:eastAsia="Calibri" w:hAnsi="Arial" w:cs="Arial"/>
          <w:bCs/>
          <w:sz w:val="22"/>
        </w:rPr>
        <w:t xml:space="preserve"> </w:t>
      </w:r>
      <w:r w:rsidR="00B51689" w:rsidRPr="00065D8F">
        <w:rPr>
          <w:rFonts w:ascii="Arial" w:eastAsia="Calibri" w:hAnsi="Arial" w:cs="Arial"/>
          <w:bCs/>
          <w:sz w:val="22"/>
        </w:rPr>
        <w:t xml:space="preserve">contempla previsiones claras para evitar </w:t>
      </w:r>
      <w:r w:rsidR="00E008F1" w:rsidRPr="00065D8F">
        <w:rPr>
          <w:rFonts w:ascii="Arial" w:eastAsia="Calibri" w:hAnsi="Arial" w:cs="Arial"/>
          <w:bCs/>
          <w:sz w:val="22"/>
        </w:rPr>
        <w:t>la obtención de</w:t>
      </w:r>
      <w:r w:rsidR="00B51689" w:rsidRPr="00065D8F">
        <w:rPr>
          <w:rFonts w:ascii="Arial" w:eastAsia="Calibri" w:hAnsi="Arial" w:cs="Arial"/>
          <w:bCs/>
          <w:sz w:val="22"/>
        </w:rPr>
        <w:t xml:space="preserve"> </w:t>
      </w:r>
      <w:r w:rsidR="00E008F1" w:rsidRPr="00065D8F">
        <w:rPr>
          <w:rFonts w:ascii="Arial" w:eastAsia="Calibri" w:hAnsi="Arial" w:cs="Arial"/>
          <w:bCs/>
          <w:sz w:val="22"/>
        </w:rPr>
        <w:t>beneficios</w:t>
      </w:r>
      <w:r w:rsidR="00B51689" w:rsidRPr="00065D8F">
        <w:rPr>
          <w:rFonts w:ascii="Arial" w:eastAsia="Calibri" w:hAnsi="Arial" w:cs="Arial"/>
          <w:bCs/>
          <w:sz w:val="22"/>
        </w:rPr>
        <w:t xml:space="preserve"> </w:t>
      </w:r>
      <w:r w:rsidR="00E008F1" w:rsidRPr="00065D8F">
        <w:rPr>
          <w:rFonts w:ascii="Arial" w:eastAsia="Calibri" w:hAnsi="Arial" w:cs="Arial"/>
          <w:bCs/>
          <w:sz w:val="22"/>
        </w:rPr>
        <w:t>personales</w:t>
      </w:r>
      <w:r w:rsidR="00B51689" w:rsidRPr="00065D8F">
        <w:rPr>
          <w:rFonts w:ascii="Arial" w:eastAsia="Calibri" w:hAnsi="Arial" w:cs="Arial"/>
          <w:bCs/>
          <w:sz w:val="22"/>
        </w:rPr>
        <w:t xml:space="preserve"> en asuntos propios de la administración pública</w:t>
      </w:r>
      <w:r w:rsidR="00F91CA6" w:rsidRPr="00065D8F">
        <w:rPr>
          <w:rFonts w:ascii="Arial" w:eastAsia="Calibri" w:hAnsi="Arial" w:cs="Arial"/>
          <w:bCs/>
          <w:i/>
          <w:iCs/>
          <w:sz w:val="22"/>
        </w:rPr>
        <w:t xml:space="preserve">. </w:t>
      </w:r>
      <w:r w:rsidR="00F91CA6" w:rsidRPr="00065D8F">
        <w:rPr>
          <w:rFonts w:ascii="Arial" w:eastAsia="Calibri" w:hAnsi="Arial" w:cs="Arial"/>
          <w:bCs/>
          <w:sz w:val="22"/>
        </w:rPr>
        <w:t>Por ejemplo</w:t>
      </w:r>
      <w:r w:rsidR="00B51689" w:rsidRPr="00065D8F">
        <w:rPr>
          <w:rFonts w:ascii="Arial" w:eastAsia="Calibri" w:hAnsi="Arial" w:cs="Arial"/>
          <w:bCs/>
          <w:sz w:val="22"/>
        </w:rPr>
        <w:t xml:space="preserve">, el artículo 127 de la Constitución Política </w:t>
      </w:r>
      <w:r w:rsidR="00E008F1" w:rsidRPr="00065D8F">
        <w:rPr>
          <w:rFonts w:ascii="Arial" w:eastAsia="Calibri" w:hAnsi="Arial" w:cs="Arial"/>
          <w:bCs/>
          <w:sz w:val="22"/>
        </w:rPr>
        <w:t>establece una prohibición contractual a los servidores</w:t>
      </w:r>
      <w:r w:rsidR="00B51689" w:rsidRPr="00065D8F">
        <w:rPr>
          <w:rFonts w:ascii="Arial" w:eastAsia="Calibri" w:hAnsi="Arial" w:cs="Arial"/>
          <w:bCs/>
          <w:sz w:val="22"/>
        </w:rPr>
        <w:t xml:space="preserve"> públicos y en cuanto a aspectos políticos establece restricciones a ciertos empleados del Estado, incluso en época no electoral</w:t>
      </w:r>
      <w:r w:rsidR="00E008F1" w:rsidRPr="00065D8F">
        <w:rPr>
          <w:rStyle w:val="Refdenotaalpie"/>
          <w:rFonts w:ascii="Arial" w:eastAsia="Calibri" w:hAnsi="Arial" w:cs="Arial"/>
          <w:bCs/>
          <w:sz w:val="22"/>
        </w:rPr>
        <w:footnoteReference w:id="2"/>
      </w:r>
      <w:r w:rsidR="00B51689" w:rsidRPr="00065D8F">
        <w:rPr>
          <w:rFonts w:ascii="Arial" w:eastAsia="Calibri" w:hAnsi="Arial" w:cs="Arial"/>
          <w:bCs/>
          <w:sz w:val="22"/>
        </w:rPr>
        <w:t xml:space="preserve">. </w:t>
      </w:r>
    </w:p>
    <w:p w14:paraId="2AE4C60A" w14:textId="0AEAAD35" w:rsidR="000B680C" w:rsidRPr="00065D8F" w:rsidRDefault="00847B6B" w:rsidP="007155B8">
      <w:pPr>
        <w:tabs>
          <w:tab w:val="left" w:pos="426"/>
        </w:tabs>
        <w:spacing w:afterLines="120" w:after="288" w:line="276" w:lineRule="auto"/>
        <w:ind w:firstLine="709"/>
        <w:jc w:val="both"/>
        <w:rPr>
          <w:rFonts w:ascii="Arial" w:hAnsi="Arial" w:cs="Arial"/>
          <w:bCs/>
          <w:sz w:val="22"/>
          <w:lang w:eastAsia="es-CO"/>
        </w:rPr>
      </w:pPr>
      <w:r w:rsidRPr="00065D8F">
        <w:rPr>
          <w:rFonts w:ascii="Arial" w:hAnsi="Arial" w:cs="Arial"/>
          <w:bCs/>
          <w:sz w:val="22"/>
          <w:lang w:eastAsia="es-CO"/>
        </w:rPr>
        <w:t>En el mismo sentido</w:t>
      </w:r>
      <w:r w:rsidR="003833D7" w:rsidRPr="00065D8F">
        <w:rPr>
          <w:rFonts w:ascii="Arial" w:hAnsi="Arial" w:cs="Arial"/>
          <w:bCs/>
          <w:sz w:val="22"/>
          <w:lang w:eastAsia="es-CO"/>
        </w:rPr>
        <w:t xml:space="preserve">, </w:t>
      </w:r>
      <w:r w:rsidR="00097ABD" w:rsidRPr="00065D8F">
        <w:rPr>
          <w:rFonts w:ascii="Arial" w:hAnsi="Arial" w:cs="Arial"/>
          <w:bCs/>
          <w:sz w:val="22"/>
          <w:lang w:eastAsia="es-CO"/>
        </w:rPr>
        <w:t>l</w:t>
      </w:r>
      <w:r w:rsidR="00A46384" w:rsidRPr="00065D8F">
        <w:rPr>
          <w:rFonts w:ascii="Arial" w:hAnsi="Arial" w:cs="Arial"/>
          <w:bCs/>
          <w:sz w:val="22"/>
          <w:lang w:eastAsia="es-CO"/>
        </w:rPr>
        <w:t xml:space="preserve">a Ley 996 de 2005, conocida como </w:t>
      </w:r>
      <w:r w:rsidR="00F91CA6" w:rsidRPr="00065D8F">
        <w:rPr>
          <w:rFonts w:ascii="Arial" w:hAnsi="Arial" w:cs="Arial"/>
          <w:bCs/>
          <w:sz w:val="22"/>
          <w:lang w:eastAsia="es-CO"/>
        </w:rPr>
        <w:t>«</w:t>
      </w:r>
      <w:r w:rsidR="00A46384" w:rsidRPr="00065D8F">
        <w:rPr>
          <w:rFonts w:ascii="Arial" w:hAnsi="Arial" w:cs="Arial"/>
          <w:bCs/>
          <w:sz w:val="22"/>
          <w:lang w:eastAsia="es-CO"/>
        </w:rPr>
        <w:t>Ley de Garantías Electorales</w:t>
      </w:r>
      <w:r w:rsidR="00F91CA6" w:rsidRPr="00065D8F">
        <w:rPr>
          <w:rFonts w:ascii="Arial" w:hAnsi="Arial" w:cs="Arial"/>
          <w:bCs/>
          <w:sz w:val="22"/>
          <w:lang w:eastAsia="es-CO"/>
        </w:rPr>
        <w:t>»</w:t>
      </w:r>
      <w:r w:rsidR="00A46384" w:rsidRPr="00065D8F">
        <w:rPr>
          <w:rFonts w:ascii="Arial"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065D8F">
        <w:rPr>
          <w:rStyle w:val="Refdenotaalpie"/>
          <w:rFonts w:ascii="Arial" w:hAnsi="Arial" w:cs="Arial"/>
          <w:bCs/>
          <w:sz w:val="22"/>
          <w:lang w:eastAsia="es-CO"/>
        </w:rPr>
        <w:footnoteReference w:id="3"/>
      </w:r>
      <w:r w:rsidR="009F7D1F" w:rsidRPr="00065D8F">
        <w:rPr>
          <w:rFonts w:ascii="Arial" w:hAnsi="Arial" w:cs="Arial"/>
          <w:bCs/>
          <w:sz w:val="22"/>
          <w:lang w:eastAsia="es-CO"/>
        </w:rPr>
        <w:t>. En esta medida,</w:t>
      </w:r>
      <w:r w:rsidR="00A46384" w:rsidRPr="00065D8F">
        <w:rPr>
          <w:rFonts w:ascii="Arial"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065D8F">
        <w:rPr>
          <w:rFonts w:ascii="Arial" w:eastAsia="Calibri" w:hAnsi="Arial" w:cs="Arial"/>
          <w:noProof/>
          <w:sz w:val="22"/>
          <w:lang w:val="es-ES_tradnl"/>
        </w:rPr>
        <w:t xml:space="preserve"> </w:t>
      </w:r>
      <w:r w:rsidRPr="00065D8F">
        <w:rPr>
          <w:rFonts w:ascii="Arial" w:hAnsi="Arial" w:cs="Arial"/>
          <w:bCs/>
          <w:sz w:val="22"/>
          <w:lang w:eastAsia="es-CO"/>
        </w:rPr>
        <w:t xml:space="preserve">En </w:t>
      </w:r>
      <w:r w:rsidR="00EB7836" w:rsidRPr="00065D8F">
        <w:rPr>
          <w:rFonts w:ascii="Arial" w:hAnsi="Arial" w:cs="Arial"/>
          <w:bCs/>
          <w:sz w:val="22"/>
          <w:lang w:eastAsia="es-CO"/>
        </w:rPr>
        <w:t xml:space="preserve">armonía con lo anterior, </w:t>
      </w:r>
      <w:r w:rsidRPr="00065D8F">
        <w:rPr>
          <w:rFonts w:ascii="Arial" w:hAnsi="Arial" w:cs="Arial"/>
          <w:bCs/>
          <w:sz w:val="22"/>
          <w:lang w:eastAsia="es-CO"/>
        </w:rPr>
        <w:t>l</w:t>
      </w:r>
      <w:r w:rsidR="00930831" w:rsidRPr="00065D8F">
        <w:rPr>
          <w:rFonts w:ascii="Arial" w:hAnsi="Arial" w:cs="Arial"/>
          <w:bCs/>
          <w:sz w:val="22"/>
          <w:lang w:eastAsia="es-CO"/>
        </w:rPr>
        <w:t xml:space="preserve">a Corte Constitucional ha abordado la definición de </w:t>
      </w:r>
      <w:r w:rsidR="00252AEC" w:rsidRPr="00065D8F">
        <w:rPr>
          <w:rFonts w:ascii="Arial" w:hAnsi="Arial" w:cs="Arial"/>
          <w:bCs/>
          <w:sz w:val="22"/>
          <w:lang w:eastAsia="es-CO"/>
        </w:rPr>
        <w:t>la</w:t>
      </w:r>
      <w:r w:rsidR="00930831" w:rsidRPr="00065D8F">
        <w:rPr>
          <w:rFonts w:ascii="Arial" w:hAnsi="Arial" w:cs="Arial"/>
          <w:bCs/>
          <w:sz w:val="22"/>
          <w:lang w:eastAsia="es-CO"/>
        </w:rPr>
        <w:t xml:space="preserve"> </w:t>
      </w:r>
      <w:r w:rsidR="00252AEC" w:rsidRPr="00065D8F">
        <w:rPr>
          <w:rFonts w:ascii="Arial" w:hAnsi="Arial" w:cs="Arial"/>
          <w:bCs/>
          <w:sz w:val="22"/>
          <w:lang w:eastAsia="es-CO"/>
        </w:rPr>
        <w:t>L</w:t>
      </w:r>
      <w:r w:rsidR="00930831" w:rsidRPr="00065D8F">
        <w:rPr>
          <w:rFonts w:ascii="Arial" w:hAnsi="Arial" w:cs="Arial"/>
          <w:bCs/>
          <w:sz w:val="22"/>
          <w:lang w:eastAsia="es-CO"/>
        </w:rPr>
        <w:t xml:space="preserve">ey de </w:t>
      </w:r>
      <w:r w:rsidR="00252AEC" w:rsidRPr="00065D8F">
        <w:rPr>
          <w:rFonts w:ascii="Arial" w:hAnsi="Arial" w:cs="Arial"/>
          <w:bCs/>
          <w:sz w:val="22"/>
          <w:lang w:eastAsia="es-CO"/>
        </w:rPr>
        <w:t>G</w:t>
      </w:r>
      <w:r w:rsidR="00930831" w:rsidRPr="00065D8F">
        <w:rPr>
          <w:rFonts w:ascii="Arial" w:hAnsi="Arial" w:cs="Arial"/>
          <w:bCs/>
          <w:sz w:val="22"/>
          <w:lang w:eastAsia="es-CO"/>
        </w:rPr>
        <w:t>arantías</w:t>
      </w:r>
      <w:r w:rsidR="00252AEC" w:rsidRPr="00065D8F">
        <w:rPr>
          <w:rFonts w:ascii="Arial" w:hAnsi="Arial" w:cs="Arial"/>
          <w:bCs/>
          <w:sz w:val="22"/>
          <w:lang w:eastAsia="es-CO"/>
        </w:rPr>
        <w:t xml:space="preserve"> Electorales</w:t>
      </w:r>
      <w:r w:rsidR="00F91CA6" w:rsidRPr="00065D8F">
        <w:rPr>
          <w:rFonts w:ascii="Arial" w:hAnsi="Arial" w:cs="Arial"/>
          <w:bCs/>
          <w:sz w:val="22"/>
          <w:lang w:eastAsia="es-CO"/>
        </w:rPr>
        <w:t>. De esta manera, explica que tiene como propósito</w:t>
      </w:r>
      <w:r w:rsidR="00930831" w:rsidRPr="00065D8F">
        <w:rPr>
          <w:rFonts w:ascii="Arial" w:hAnsi="Arial" w:cs="Arial"/>
          <w:bCs/>
          <w:sz w:val="22"/>
          <w:lang w:eastAsia="es-CO"/>
        </w:rPr>
        <w:t>:</w:t>
      </w:r>
    </w:p>
    <w:p w14:paraId="1EC4C745" w14:textId="734BA5A0" w:rsidR="00930831" w:rsidRPr="00065D8F" w:rsidRDefault="000B680C" w:rsidP="00065D8F">
      <w:pPr>
        <w:spacing w:afterLines="120" w:after="288"/>
        <w:ind w:left="709" w:right="709"/>
        <w:jc w:val="both"/>
        <w:rPr>
          <w:rFonts w:ascii="Arial" w:hAnsi="Arial" w:cs="Arial"/>
          <w:bCs/>
          <w:sz w:val="21"/>
          <w:szCs w:val="21"/>
          <w:lang w:eastAsia="es-CO"/>
        </w:rPr>
      </w:pPr>
      <w:r w:rsidRPr="00065D8F">
        <w:rPr>
          <w:rFonts w:ascii="Arial" w:hAnsi="Arial" w:cs="Arial"/>
          <w:sz w:val="21"/>
          <w:szCs w:val="21"/>
          <w:lang w:val="es-ES" w:eastAsia="es-CO"/>
        </w:rPr>
        <w:lastRenderedPageBreak/>
        <w:t>[…]</w:t>
      </w:r>
      <w:r w:rsidR="006D5176" w:rsidRPr="00065D8F">
        <w:rPr>
          <w:rFonts w:ascii="Arial" w:hAnsi="Arial" w:cs="Arial"/>
          <w:sz w:val="21"/>
          <w:szCs w:val="21"/>
          <w:lang w:val="es-ES" w:eastAsia="es-CO"/>
        </w:rPr>
        <w:t xml:space="preserve"> </w:t>
      </w:r>
      <w:r w:rsidR="00930831" w:rsidRPr="00065D8F">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065D8F" w:rsidRDefault="00930831" w:rsidP="00065D8F">
      <w:pPr>
        <w:spacing w:afterLines="120" w:after="288"/>
        <w:ind w:left="709" w:right="709"/>
        <w:jc w:val="both"/>
        <w:rPr>
          <w:rFonts w:ascii="Arial" w:hAnsi="Arial" w:cs="Arial"/>
          <w:bCs/>
          <w:sz w:val="21"/>
          <w:szCs w:val="21"/>
          <w:lang w:eastAsia="es-CO"/>
        </w:rPr>
      </w:pPr>
      <w:r w:rsidRPr="00065D8F">
        <w:rPr>
          <w:rFonts w:ascii="Arial" w:hAnsi="Arial" w:cs="Arial"/>
          <w:bCs/>
          <w:sz w:val="21"/>
          <w:szCs w:val="21"/>
          <w:lang w:eastAsia="es-CO"/>
        </w:rPr>
        <w:t xml:space="preserve">[…] </w:t>
      </w:r>
    </w:p>
    <w:p w14:paraId="0512AD18" w14:textId="26E42D78" w:rsidR="00535A7F" w:rsidRPr="00065D8F" w:rsidRDefault="00930831" w:rsidP="00065D8F">
      <w:pPr>
        <w:spacing w:afterLines="120" w:after="288"/>
        <w:ind w:left="709" w:right="709"/>
        <w:jc w:val="both"/>
        <w:rPr>
          <w:rFonts w:ascii="Arial" w:hAnsi="Arial" w:cs="Arial"/>
          <w:bCs/>
          <w:sz w:val="21"/>
          <w:szCs w:val="21"/>
          <w:lang w:eastAsia="es-CO"/>
        </w:rPr>
      </w:pPr>
      <w:r w:rsidRPr="00065D8F">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065D8F">
        <w:rPr>
          <w:rFonts w:ascii="Arial" w:hAnsi="Arial" w:cs="Arial"/>
          <w:bCs/>
          <w:sz w:val="21"/>
          <w:szCs w:val="21"/>
          <w:lang w:eastAsia="es-CO"/>
        </w:rPr>
        <w:t>ómico de los que se lo disputan</w:t>
      </w:r>
      <w:r w:rsidR="009F3083" w:rsidRPr="00065D8F">
        <w:rPr>
          <w:rStyle w:val="Refdenotaalpie"/>
          <w:rFonts w:ascii="Arial" w:hAnsi="Arial" w:cs="Arial"/>
          <w:sz w:val="20"/>
          <w:szCs w:val="20"/>
        </w:rPr>
        <w:footnoteReference w:id="4"/>
      </w:r>
      <w:r w:rsidR="00613D54" w:rsidRPr="00065D8F">
        <w:rPr>
          <w:rFonts w:ascii="Arial" w:hAnsi="Arial" w:cs="Arial"/>
          <w:bCs/>
          <w:sz w:val="21"/>
          <w:szCs w:val="21"/>
          <w:lang w:eastAsia="es-CO"/>
        </w:rPr>
        <w:t>.</w:t>
      </w:r>
    </w:p>
    <w:p w14:paraId="7592456D" w14:textId="6ACD31BA" w:rsidR="000D457E" w:rsidRPr="00065D8F" w:rsidRDefault="00A46384" w:rsidP="007155B8">
      <w:pPr>
        <w:spacing w:afterLines="120" w:after="288" w:line="276" w:lineRule="auto"/>
        <w:ind w:firstLine="709"/>
        <w:jc w:val="both"/>
        <w:rPr>
          <w:rFonts w:ascii="Arial" w:hAnsi="Arial" w:cs="Arial"/>
          <w:bCs/>
          <w:sz w:val="22"/>
          <w:lang w:eastAsia="es-CO"/>
        </w:rPr>
      </w:pPr>
      <w:bookmarkStart w:id="17" w:name="_Hlk78818186"/>
      <w:r w:rsidRPr="00065D8F">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065D8F">
        <w:rPr>
          <w:rFonts w:ascii="Arial" w:hAnsi="Arial" w:cs="Arial"/>
          <w:bCs/>
          <w:sz w:val="22"/>
          <w:lang w:eastAsia="es-CO"/>
        </w:rPr>
        <w:t xml:space="preserve"> </w:t>
      </w:r>
      <w:bookmarkEnd w:id="17"/>
      <w:r w:rsidR="0062127B" w:rsidRPr="00065D8F">
        <w:rPr>
          <w:rFonts w:ascii="Arial" w:hAnsi="Arial" w:cs="Arial"/>
          <w:bCs/>
          <w:sz w:val="22"/>
          <w:lang w:eastAsia="es-CO"/>
        </w:rPr>
        <w:t>Por ello</w:t>
      </w:r>
      <w:r w:rsidR="00883662" w:rsidRPr="00065D8F">
        <w:rPr>
          <w:rFonts w:ascii="Arial" w:hAnsi="Arial" w:cs="Arial"/>
          <w:bCs/>
          <w:sz w:val="22"/>
          <w:lang w:eastAsia="es-CO"/>
        </w:rPr>
        <w:t xml:space="preserve">, </w:t>
      </w:r>
      <w:r w:rsidR="00D626A3" w:rsidRPr="00065D8F">
        <w:rPr>
          <w:rFonts w:ascii="Arial" w:hAnsi="Arial" w:cs="Arial"/>
          <w:bCs/>
          <w:sz w:val="22"/>
          <w:lang w:eastAsia="es-CO"/>
        </w:rPr>
        <w:t xml:space="preserve">varias de las disposiciones de la </w:t>
      </w:r>
      <w:r w:rsidR="00883662" w:rsidRPr="00065D8F">
        <w:rPr>
          <w:rFonts w:ascii="Arial" w:hAnsi="Arial" w:cs="Arial"/>
          <w:bCs/>
          <w:sz w:val="22"/>
          <w:lang w:eastAsia="es-CO"/>
        </w:rPr>
        <w:t>Ley 996 de 2005</w:t>
      </w:r>
      <w:r w:rsidR="00D626A3" w:rsidRPr="00065D8F">
        <w:rPr>
          <w:rFonts w:ascii="Arial" w:hAnsi="Arial" w:cs="Arial"/>
          <w:bCs/>
          <w:sz w:val="22"/>
          <w:lang w:eastAsia="es-CO"/>
        </w:rPr>
        <w:t>,</w:t>
      </w:r>
      <w:r w:rsidR="00883662" w:rsidRPr="00065D8F">
        <w:rPr>
          <w:rFonts w:ascii="Arial" w:hAnsi="Arial" w:cs="Arial"/>
          <w:bCs/>
          <w:sz w:val="22"/>
          <w:lang w:eastAsia="es-CO"/>
        </w:rPr>
        <w:t xml:space="preserve"> al contener normas</w:t>
      </w:r>
      <w:r w:rsidR="000D457E" w:rsidRPr="00065D8F">
        <w:rPr>
          <w:rFonts w:ascii="Arial" w:hAnsi="Arial" w:cs="Arial"/>
          <w:bCs/>
          <w:sz w:val="22"/>
          <w:lang w:eastAsia="es-CO"/>
        </w:rPr>
        <w:t xml:space="preserve"> </w:t>
      </w:r>
      <w:r w:rsidR="00883662" w:rsidRPr="00065D8F">
        <w:rPr>
          <w:rFonts w:ascii="Arial" w:hAnsi="Arial" w:cs="Arial"/>
          <w:bCs/>
          <w:sz w:val="22"/>
          <w:lang w:eastAsia="es-CO"/>
        </w:rPr>
        <w:t>prohibitivas</w:t>
      </w:r>
      <w:r w:rsidR="00D626A3" w:rsidRPr="00065D8F">
        <w:rPr>
          <w:rFonts w:ascii="Arial" w:hAnsi="Arial" w:cs="Arial"/>
          <w:bCs/>
          <w:sz w:val="22"/>
          <w:lang w:eastAsia="es-CO"/>
        </w:rPr>
        <w:t>,</w:t>
      </w:r>
      <w:r w:rsidR="00883662" w:rsidRPr="00065D8F">
        <w:rPr>
          <w:rFonts w:ascii="Arial" w:hAnsi="Arial" w:cs="Arial"/>
          <w:bCs/>
          <w:sz w:val="22"/>
          <w:lang w:eastAsia="es-CO"/>
        </w:rPr>
        <w:t xml:space="preserve"> </w:t>
      </w:r>
      <w:r w:rsidR="000D457E" w:rsidRPr="00065D8F">
        <w:rPr>
          <w:rFonts w:ascii="Arial" w:hAnsi="Arial" w:cs="Arial"/>
          <w:bCs/>
          <w:sz w:val="22"/>
          <w:lang w:eastAsia="es-CO"/>
        </w:rPr>
        <w:t>no admite</w:t>
      </w:r>
      <w:r w:rsidR="00D626A3" w:rsidRPr="00065D8F">
        <w:rPr>
          <w:rFonts w:ascii="Arial" w:hAnsi="Arial" w:cs="Arial"/>
          <w:bCs/>
          <w:sz w:val="22"/>
          <w:lang w:eastAsia="es-CO"/>
        </w:rPr>
        <w:t>n</w:t>
      </w:r>
      <w:r w:rsidR="000D457E" w:rsidRPr="00065D8F">
        <w:rPr>
          <w:rFonts w:ascii="Arial" w:hAnsi="Arial" w:cs="Arial"/>
          <w:bCs/>
          <w:sz w:val="22"/>
          <w:lang w:eastAsia="es-CO"/>
        </w:rPr>
        <w:t xml:space="preserve"> una interpretación amplia</w:t>
      </w:r>
      <w:r w:rsidR="00D626A3" w:rsidRPr="00065D8F">
        <w:rPr>
          <w:rFonts w:ascii="Arial" w:hAnsi="Arial" w:cs="Arial"/>
          <w:bCs/>
          <w:sz w:val="22"/>
          <w:lang w:eastAsia="es-CO"/>
        </w:rPr>
        <w:t xml:space="preserve">, sino que deben interpretarse restrictivamente. En efecto, la Sala de Consulta y Servicio Civil del Consejo de Estado al analizar </w:t>
      </w:r>
      <w:r w:rsidR="000D457E" w:rsidRPr="00065D8F">
        <w:rPr>
          <w:rFonts w:ascii="Arial" w:hAnsi="Arial" w:cs="Arial"/>
          <w:bCs/>
          <w:sz w:val="22"/>
          <w:lang w:eastAsia="es-CO"/>
        </w:rPr>
        <w:t>la referida ley</w:t>
      </w:r>
      <w:r w:rsidR="00883662" w:rsidRPr="00065D8F">
        <w:rPr>
          <w:rFonts w:ascii="Arial" w:hAnsi="Arial" w:cs="Arial"/>
          <w:bCs/>
          <w:sz w:val="22"/>
          <w:lang w:eastAsia="es-CO"/>
        </w:rPr>
        <w:t>,</w:t>
      </w:r>
      <w:r w:rsidR="000D457E" w:rsidRPr="00065D8F">
        <w:rPr>
          <w:rFonts w:ascii="Arial" w:hAnsi="Arial" w:cs="Arial"/>
          <w:bCs/>
          <w:sz w:val="22"/>
          <w:lang w:eastAsia="es-CO"/>
        </w:rPr>
        <w:t xml:space="preserve"> precis</w:t>
      </w:r>
      <w:r w:rsidR="0094059F" w:rsidRPr="00065D8F">
        <w:rPr>
          <w:rFonts w:ascii="Arial" w:hAnsi="Arial" w:cs="Arial"/>
          <w:bCs/>
          <w:sz w:val="22"/>
          <w:lang w:eastAsia="es-CO"/>
        </w:rPr>
        <w:t>ó</w:t>
      </w:r>
      <w:r w:rsidR="000D457E" w:rsidRPr="00065D8F">
        <w:rPr>
          <w:rFonts w:ascii="Arial" w:hAnsi="Arial" w:cs="Arial"/>
          <w:bCs/>
          <w:sz w:val="22"/>
          <w:lang w:eastAsia="es-CO"/>
        </w:rPr>
        <w:t xml:space="preserve"> lo siguiente:</w:t>
      </w:r>
    </w:p>
    <w:p w14:paraId="5F802D56" w14:textId="5CF9A162" w:rsidR="000D457E" w:rsidRPr="00065D8F" w:rsidRDefault="000D457E" w:rsidP="00065D8F">
      <w:pPr>
        <w:spacing w:afterLines="120" w:after="288"/>
        <w:ind w:left="709" w:right="709"/>
        <w:jc w:val="both"/>
        <w:rPr>
          <w:rFonts w:ascii="Arial" w:hAnsi="Arial" w:cs="Arial"/>
          <w:bCs/>
          <w:sz w:val="21"/>
          <w:szCs w:val="21"/>
          <w:lang w:eastAsia="es-CO"/>
        </w:rPr>
      </w:pPr>
      <w:r w:rsidRPr="00065D8F">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065D8F">
        <w:rPr>
          <w:rFonts w:ascii="Arial" w:hAnsi="Arial" w:cs="Arial"/>
          <w:bCs/>
          <w:sz w:val="21"/>
          <w:szCs w:val="21"/>
          <w:lang w:eastAsia="es-CO"/>
        </w:rPr>
        <w:t>legis</w:t>
      </w:r>
      <w:proofErr w:type="spellEnd"/>
      <w:r w:rsidRPr="00065D8F">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707F41" w14:textId="6AB8CC8F" w:rsidR="00281ED6" w:rsidRPr="00065D8F" w:rsidRDefault="000D457E" w:rsidP="00065D8F">
      <w:pPr>
        <w:spacing w:afterLines="120" w:after="288"/>
        <w:ind w:left="709" w:right="709"/>
        <w:jc w:val="both"/>
        <w:rPr>
          <w:rFonts w:ascii="Arial" w:hAnsi="Arial" w:cs="Arial"/>
          <w:bCs/>
          <w:sz w:val="21"/>
          <w:szCs w:val="21"/>
          <w:lang w:eastAsia="es-CO"/>
        </w:rPr>
      </w:pPr>
      <w:r w:rsidRPr="00065D8F">
        <w:rPr>
          <w:rFonts w:ascii="Arial" w:hAnsi="Arial" w:cs="Arial"/>
          <w:bCs/>
          <w:sz w:val="21"/>
          <w:szCs w:val="21"/>
          <w:lang w:eastAsia="es-CO"/>
        </w:rPr>
        <w:t>La jurisprudencia de la Corte Constitucional</w:t>
      </w:r>
      <w:r w:rsidR="001F55B5" w:rsidRPr="00065D8F">
        <w:rPr>
          <w:rStyle w:val="Refdenotaalpie"/>
          <w:rFonts w:ascii="Arial" w:hAnsi="Arial" w:cs="Arial"/>
          <w:bCs/>
          <w:sz w:val="21"/>
          <w:szCs w:val="21"/>
          <w:lang w:eastAsia="es-CO"/>
        </w:rPr>
        <w:footnoteReference w:id="5"/>
      </w:r>
      <w:r w:rsidRPr="00065D8F">
        <w:rPr>
          <w:rFonts w:ascii="Arial" w:hAnsi="Arial" w:cs="Arial"/>
          <w:bCs/>
          <w:sz w:val="21"/>
          <w:szCs w:val="21"/>
          <w:lang w:eastAsia="es-CO"/>
        </w:rPr>
        <w:t> y del Consejo de Estado</w:t>
      </w:r>
      <w:r w:rsidR="001F55B5" w:rsidRPr="00065D8F">
        <w:rPr>
          <w:rStyle w:val="Refdenotaalpie"/>
          <w:rFonts w:ascii="Arial" w:hAnsi="Arial" w:cs="Arial"/>
          <w:bCs/>
          <w:sz w:val="21"/>
          <w:szCs w:val="21"/>
          <w:lang w:eastAsia="es-CO"/>
        </w:rPr>
        <w:footnoteReference w:id="6"/>
      </w:r>
      <w:r w:rsidRPr="00065D8F">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w:t>
      </w:r>
      <w:r w:rsidRPr="00065D8F">
        <w:rPr>
          <w:rFonts w:ascii="Arial" w:hAnsi="Arial" w:cs="Arial"/>
          <w:bCs/>
          <w:sz w:val="21"/>
          <w:szCs w:val="21"/>
          <w:lang w:eastAsia="es-CO"/>
        </w:rPr>
        <w:lastRenderedPageBreak/>
        <w:t xml:space="preserve">No pueden interpretarse extensivamente sino siempre en forma restrictiva o estricta; es decir, en la aplicación de las normas prohibitivas, el </w:t>
      </w:r>
      <w:r w:rsidR="00296D38" w:rsidRPr="00065D8F">
        <w:rPr>
          <w:rFonts w:ascii="Arial" w:hAnsi="Arial" w:cs="Arial"/>
          <w:bCs/>
          <w:sz w:val="21"/>
          <w:szCs w:val="21"/>
          <w:lang w:eastAsia="es-CO"/>
        </w:rPr>
        <w:t>intérprete</w:t>
      </w:r>
      <w:r w:rsidRPr="00065D8F">
        <w:rPr>
          <w:rFonts w:ascii="Arial"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065D8F">
        <w:rPr>
          <w:rStyle w:val="Refdenotaalpie"/>
          <w:rFonts w:ascii="Arial" w:hAnsi="Arial" w:cs="Arial"/>
          <w:bCs/>
          <w:sz w:val="22"/>
          <w:lang w:eastAsia="es-CO"/>
        </w:rPr>
        <w:footnoteReference w:id="7"/>
      </w:r>
      <w:r w:rsidR="00D626A3" w:rsidRPr="00065D8F">
        <w:rPr>
          <w:rFonts w:ascii="Arial" w:hAnsi="Arial" w:cs="Arial"/>
          <w:bCs/>
          <w:sz w:val="21"/>
          <w:szCs w:val="21"/>
          <w:lang w:eastAsia="es-CO"/>
        </w:rPr>
        <w:t>.</w:t>
      </w:r>
    </w:p>
    <w:p w14:paraId="0FDECA41" w14:textId="115BAA3B" w:rsidR="005D064A" w:rsidRPr="00065D8F" w:rsidRDefault="005617FA" w:rsidP="00065D8F">
      <w:pPr>
        <w:spacing w:after="120" w:line="276" w:lineRule="auto"/>
        <w:jc w:val="both"/>
        <w:rPr>
          <w:rFonts w:ascii="Arial" w:eastAsia="Arial" w:hAnsi="Arial" w:cs="Arial"/>
          <w:sz w:val="22"/>
          <w:lang w:val="es-ES" w:eastAsia="es-ES" w:bidi="es-ES"/>
        </w:rPr>
      </w:pPr>
      <w:r w:rsidRPr="00065D8F">
        <w:rPr>
          <w:rFonts w:ascii="Arial" w:hAnsi="Arial" w:cs="Arial"/>
          <w:bCs/>
          <w:sz w:val="22"/>
          <w:lang w:eastAsia="es-CO"/>
        </w:rPr>
        <w:tab/>
      </w:r>
      <w:r w:rsidR="0022085C" w:rsidRPr="00065D8F">
        <w:rPr>
          <w:rFonts w:ascii="Arial" w:hAnsi="Arial" w:cs="Arial"/>
          <w:bCs/>
          <w:sz w:val="22"/>
          <w:lang w:eastAsia="es-CO"/>
        </w:rPr>
        <w:t>De</w:t>
      </w:r>
      <w:r w:rsidR="0022085C" w:rsidRPr="00065D8F">
        <w:rPr>
          <w:rFonts w:ascii="Arial" w:eastAsia="Arial" w:hAnsi="Arial" w:cs="Arial"/>
          <w:sz w:val="22"/>
          <w:lang w:val="es-ES" w:eastAsia="es-ES" w:bidi="es-ES"/>
        </w:rPr>
        <w:t xml:space="preserve"> conformidad con lo anterior, </w:t>
      </w:r>
      <w:bookmarkStart w:id="18" w:name="_Hlk77236098"/>
      <w:r w:rsidR="0022085C" w:rsidRPr="00065D8F">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065D8F">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065D8F">
        <w:rPr>
          <w:rFonts w:ascii="Arial" w:eastAsia="Arial" w:hAnsi="Arial" w:cs="Arial"/>
          <w:sz w:val="22"/>
          <w:lang w:val="es-ES" w:eastAsia="es-ES" w:bidi="es-ES"/>
        </w:rPr>
        <w:t xml:space="preserve"> Específicamente, </w:t>
      </w:r>
      <w:r w:rsidR="005E1F70" w:rsidRPr="00065D8F">
        <w:rPr>
          <w:rFonts w:ascii="Arial" w:eastAsia="Arial" w:hAnsi="Arial" w:cs="Arial"/>
          <w:sz w:val="22"/>
          <w:lang w:val="es-ES" w:eastAsia="es-ES" w:bidi="es-ES"/>
        </w:rPr>
        <w:t>las restricciones consagradas en la citada ley</w:t>
      </w:r>
      <w:r w:rsidR="0022085C" w:rsidRPr="00065D8F">
        <w:rPr>
          <w:rFonts w:ascii="Arial" w:eastAsia="Arial" w:hAnsi="Arial" w:cs="Arial"/>
          <w:sz w:val="22"/>
          <w:lang w:val="es-ES" w:eastAsia="es-ES" w:bidi="es-ES"/>
        </w:rPr>
        <w:t xml:space="preserve"> se dirigen a dos</w:t>
      </w:r>
      <w:r w:rsidRPr="00065D8F">
        <w:rPr>
          <w:rFonts w:ascii="Arial" w:eastAsia="Arial" w:hAnsi="Arial" w:cs="Arial"/>
          <w:sz w:val="22"/>
          <w:lang w:val="es-ES" w:eastAsia="es-ES" w:bidi="es-ES"/>
        </w:rPr>
        <w:t xml:space="preserve"> (2)</w:t>
      </w:r>
      <w:r w:rsidR="0022085C" w:rsidRPr="00065D8F">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8"/>
    </w:p>
    <w:p w14:paraId="2A8ACE46" w14:textId="5804C507" w:rsidR="005D064A" w:rsidRPr="00065D8F" w:rsidRDefault="005D064A" w:rsidP="00065D8F">
      <w:pPr>
        <w:spacing w:after="120" w:line="276" w:lineRule="auto"/>
        <w:ind w:firstLine="708"/>
        <w:jc w:val="both"/>
        <w:rPr>
          <w:rFonts w:ascii="Arial" w:eastAsia="Calibri" w:hAnsi="Arial" w:cs="Arial"/>
          <w:sz w:val="22"/>
        </w:rPr>
      </w:pPr>
      <w:r w:rsidRPr="00065D8F">
        <w:rPr>
          <w:rFonts w:ascii="Arial" w:eastAsia="Calibri" w:hAnsi="Arial" w:cs="Arial"/>
          <w:sz w:val="22"/>
        </w:rPr>
        <w:t>Por un</w:t>
      </w:r>
      <w:r w:rsidR="00427BD7" w:rsidRPr="00065D8F">
        <w:rPr>
          <w:rFonts w:ascii="Arial" w:eastAsia="Calibri" w:hAnsi="Arial" w:cs="Arial"/>
          <w:sz w:val="22"/>
        </w:rPr>
        <w:t xml:space="preserve"> </w:t>
      </w:r>
      <w:r w:rsidR="005617FA" w:rsidRPr="00065D8F">
        <w:rPr>
          <w:rFonts w:ascii="Arial" w:eastAsia="Calibri" w:hAnsi="Arial" w:cs="Arial"/>
          <w:sz w:val="22"/>
        </w:rPr>
        <w:t>lado</w:t>
      </w:r>
      <w:r w:rsidR="0022085C" w:rsidRPr="00065D8F">
        <w:rPr>
          <w:rFonts w:ascii="Arial" w:eastAsia="Calibri" w:hAnsi="Arial" w:cs="Arial"/>
          <w:sz w:val="22"/>
        </w:rPr>
        <w:t xml:space="preserve">, el artículo 33 de la Ley 996 de 2005 </w:t>
      </w:r>
      <w:r w:rsidR="005617FA" w:rsidRPr="00065D8F">
        <w:rPr>
          <w:rFonts w:ascii="Arial" w:eastAsia="Calibri" w:hAnsi="Arial" w:cs="Arial"/>
          <w:sz w:val="22"/>
        </w:rPr>
        <w:t>prohíbe</w:t>
      </w:r>
      <w:r w:rsidR="0022085C" w:rsidRPr="00065D8F">
        <w:rPr>
          <w:rFonts w:ascii="Arial" w:eastAsia="Calibri" w:hAnsi="Arial" w:cs="Arial"/>
          <w:sz w:val="22"/>
        </w:rPr>
        <w:t xml:space="preserve"> </w:t>
      </w:r>
      <w:r w:rsidR="0022085C" w:rsidRPr="00065D8F">
        <w:rPr>
          <w:rFonts w:ascii="Arial" w:eastAsia="Calibri" w:hAnsi="Arial" w:cs="Arial"/>
          <w:bCs/>
          <w:sz w:val="22"/>
        </w:rPr>
        <w:t xml:space="preserve">«[…] </w:t>
      </w:r>
      <w:r w:rsidR="0022085C" w:rsidRPr="00065D8F">
        <w:rPr>
          <w:rFonts w:ascii="Arial" w:eastAsia="Calibri" w:hAnsi="Arial" w:cs="Arial"/>
          <w:sz w:val="22"/>
        </w:rPr>
        <w:t>la contratación directa por parte de todos los entes del Estado</w:t>
      </w:r>
      <w:r w:rsidR="0022085C" w:rsidRPr="00065D8F">
        <w:rPr>
          <w:rFonts w:ascii="Arial" w:eastAsia="Calibri" w:hAnsi="Arial" w:cs="Arial"/>
          <w:bCs/>
          <w:sz w:val="22"/>
        </w:rPr>
        <w:t>»</w:t>
      </w:r>
      <w:r w:rsidR="0022085C" w:rsidRPr="00065D8F">
        <w:rPr>
          <w:rFonts w:ascii="Arial" w:eastAsia="Calibri" w:hAnsi="Arial" w:cs="Arial"/>
          <w:sz w:val="22"/>
        </w:rPr>
        <w:t xml:space="preserve"> durante los cuatro (4) meses anteriores a las elecciones presidenciales, salvo </w:t>
      </w:r>
      <w:r w:rsidR="0022085C" w:rsidRPr="00065D8F">
        <w:rPr>
          <w:rFonts w:ascii="Arial" w:eastAsia="Calibri" w:hAnsi="Arial" w:cs="Arial"/>
          <w:bCs/>
          <w:sz w:val="22"/>
        </w:rPr>
        <w:t xml:space="preserve">«[…] </w:t>
      </w:r>
      <w:r w:rsidR="0022085C" w:rsidRPr="00065D8F">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065D8F">
        <w:rPr>
          <w:rFonts w:ascii="Arial" w:eastAsia="Calibri" w:hAnsi="Arial" w:cs="Arial"/>
          <w:bCs/>
          <w:sz w:val="22"/>
        </w:rPr>
        <w:t>»</w:t>
      </w:r>
      <w:r w:rsidR="0022085C" w:rsidRPr="00065D8F">
        <w:rPr>
          <w:rFonts w:ascii="Arial" w:eastAsia="Calibri" w:hAnsi="Arial" w:cs="Arial"/>
          <w:bCs/>
          <w:sz w:val="22"/>
          <w:vertAlign w:val="superscript"/>
        </w:rPr>
        <w:footnoteReference w:id="8"/>
      </w:r>
      <w:r w:rsidR="0022085C" w:rsidRPr="00065D8F">
        <w:rPr>
          <w:rFonts w:ascii="Arial" w:eastAsia="Calibri" w:hAnsi="Arial" w:cs="Arial"/>
          <w:sz w:val="22"/>
        </w:rPr>
        <w:t>.</w:t>
      </w:r>
    </w:p>
    <w:p w14:paraId="279AEBA3" w14:textId="30015405" w:rsidR="0022085C" w:rsidRPr="00065D8F" w:rsidRDefault="0022085C" w:rsidP="007155B8">
      <w:pPr>
        <w:widowControl w:val="0"/>
        <w:autoSpaceDE w:val="0"/>
        <w:autoSpaceDN w:val="0"/>
        <w:spacing w:afterLines="120" w:after="288" w:line="276" w:lineRule="auto"/>
        <w:ind w:right="113" w:firstLine="708"/>
        <w:jc w:val="both"/>
        <w:rPr>
          <w:rFonts w:ascii="Arial" w:eastAsia="Arial" w:hAnsi="Arial" w:cs="Arial"/>
          <w:sz w:val="22"/>
          <w:lang w:val="es-ES" w:eastAsia="es-ES" w:bidi="es-ES"/>
        </w:rPr>
      </w:pPr>
      <w:r w:rsidRPr="00065D8F">
        <w:rPr>
          <w:rFonts w:ascii="Arial" w:eastAsia="Calibri" w:hAnsi="Arial" w:cs="Arial"/>
          <w:sz w:val="22"/>
        </w:rPr>
        <w:t xml:space="preserve">Por </w:t>
      </w:r>
      <w:r w:rsidR="00BD484B" w:rsidRPr="00065D8F">
        <w:rPr>
          <w:rFonts w:ascii="Arial" w:eastAsia="Calibri" w:hAnsi="Arial" w:cs="Arial"/>
          <w:sz w:val="22"/>
        </w:rPr>
        <w:t>otr</w:t>
      </w:r>
      <w:r w:rsidR="0050246B" w:rsidRPr="00065D8F">
        <w:rPr>
          <w:rFonts w:ascii="Arial" w:eastAsia="Calibri" w:hAnsi="Arial" w:cs="Arial"/>
          <w:sz w:val="22"/>
        </w:rPr>
        <w:t>o lado</w:t>
      </w:r>
      <w:r w:rsidRPr="00065D8F">
        <w:rPr>
          <w:rFonts w:ascii="Arial" w:eastAsia="Calibri" w:hAnsi="Arial" w:cs="Arial"/>
          <w:sz w:val="22"/>
        </w:rPr>
        <w:t xml:space="preserve">, el parágrafo del artículo 38 de la Ley 996 de 2005 prevé una restricción, aplicable respecto de cualquier tipo de </w:t>
      </w:r>
      <w:r w:rsidR="005617FA" w:rsidRPr="00065D8F">
        <w:rPr>
          <w:rFonts w:ascii="Arial" w:eastAsia="Calibri" w:hAnsi="Arial" w:cs="Arial"/>
          <w:sz w:val="22"/>
        </w:rPr>
        <w:t>contienda electoral</w:t>
      </w:r>
      <w:r w:rsidRPr="00065D8F">
        <w:rPr>
          <w:rFonts w:ascii="Arial" w:eastAsia="Calibri" w:hAnsi="Arial" w:cs="Arial"/>
          <w:sz w:val="22"/>
        </w:rPr>
        <w:t xml:space="preserve">, que prohíbe a los gobernadores, alcaldes municipales o distritales, secretarios, gerentes y directores de entidades descentralizadas del orden municipal, departamental o distrital </w:t>
      </w:r>
      <w:r w:rsidRPr="00065D8F">
        <w:rPr>
          <w:rFonts w:ascii="Arial" w:eastAsia="Calibri" w:hAnsi="Arial" w:cs="Arial"/>
          <w:bCs/>
          <w:sz w:val="22"/>
        </w:rPr>
        <w:t xml:space="preserve">«[…] </w:t>
      </w:r>
      <w:r w:rsidRPr="00065D8F">
        <w:rPr>
          <w:rFonts w:ascii="Arial" w:eastAsia="Calibri" w:hAnsi="Arial" w:cs="Arial"/>
          <w:sz w:val="22"/>
        </w:rPr>
        <w:t xml:space="preserve">celebrar convenios interadministrativos para la ejecución de recursos públicos, ni participar, promover y destinar recursos públicos de las entidades a su cargo, como tampoco de las que participen como miembros de sus juntas directivas, en o para reuniones de carácter </w:t>
      </w:r>
      <w:r w:rsidRPr="00065D8F">
        <w:rPr>
          <w:rFonts w:ascii="Arial" w:eastAsia="Calibri" w:hAnsi="Arial" w:cs="Arial"/>
          <w:sz w:val="22"/>
        </w:rPr>
        <w:lastRenderedPageBreak/>
        <w:t>proselitista</w:t>
      </w:r>
      <w:r w:rsidRPr="00065D8F">
        <w:rPr>
          <w:rFonts w:ascii="Arial" w:eastAsia="Calibri" w:hAnsi="Arial" w:cs="Arial"/>
          <w:bCs/>
          <w:sz w:val="19"/>
          <w:szCs w:val="19"/>
        </w:rPr>
        <w:t>»</w:t>
      </w:r>
      <w:r w:rsidRPr="00065D8F">
        <w:rPr>
          <w:rFonts w:ascii="Arial" w:eastAsia="Calibri" w:hAnsi="Arial" w:cs="Arial"/>
          <w:bCs/>
          <w:sz w:val="19"/>
          <w:szCs w:val="19"/>
          <w:vertAlign w:val="superscript"/>
        </w:rPr>
        <w:footnoteReference w:id="9"/>
      </w:r>
      <w:r w:rsidRPr="00065D8F">
        <w:rPr>
          <w:rFonts w:ascii="Arial" w:eastAsia="Calibri" w:hAnsi="Arial" w:cs="Arial"/>
          <w:sz w:val="22"/>
        </w:rPr>
        <w:t>.</w:t>
      </w:r>
      <w:r w:rsidR="005617FA" w:rsidRPr="00065D8F">
        <w:rPr>
          <w:rFonts w:ascii="Arial" w:eastAsia="Arial" w:hAnsi="Arial" w:cs="Arial"/>
          <w:sz w:val="22"/>
          <w:lang w:val="es-ES" w:eastAsia="es-ES" w:bidi="es-ES"/>
        </w:rPr>
        <w:t xml:space="preserve"> </w:t>
      </w:r>
      <w:r w:rsidRPr="00065D8F">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065D8F">
        <w:rPr>
          <w:rFonts w:ascii="Arial" w:eastAsia="Arial" w:hAnsi="Arial" w:cs="Arial"/>
          <w:sz w:val="22"/>
          <w:lang w:val="es-ES" w:eastAsia="es-ES" w:bidi="es-ES"/>
        </w:rPr>
        <w:t>. Al respecto, considera que</w:t>
      </w:r>
      <w:r w:rsidRPr="00065D8F">
        <w:rPr>
          <w:rFonts w:ascii="Arial" w:eastAsia="Arial" w:hAnsi="Arial" w:cs="Arial"/>
          <w:sz w:val="22"/>
          <w:lang w:val="es-ES" w:eastAsia="es-ES" w:bidi="es-ES"/>
        </w:rPr>
        <w:t>:</w:t>
      </w:r>
    </w:p>
    <w:p w14:paraId="5457372B" w14:textId="4E8C70C0" w:rsidR="0022085C" w:rsidRPr="00065D8F" w:rsidRDefault="0022085C" w:rsidP="00065D8F">
      <w:pPr>
        <w:widowControl w:val="0"/>
        <w:autoSpaceDE w:val="0"/>
        <w:autoSpaceDN w:val="0"/>
        <w:spacing w:afterLines="120" w:after="288"/>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065D8F">
        <w:rPr>
          <w:rFonts w:ascii="Arial" w:eastAsia="Arial" w:hAnsi="Arial" w:cs="Arial"/>
          <w:sz w:val="21"/>
          <w:szCs w:val="21"/>
          <w:lang w:val="es-ES" w:eastAsia="es-ES" w:bidi="es-ES"/>
        </w:rPr>
        <w:t>se integran parcialmente</w:t>
      </w:r>
      <w:bookmarkEnd w:id="21"/>
      <w:r w:rsidRPr="00065D8F">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065D8F">
        <w:rPr>
          <w:rFonts w:ascii="Arial" w:eastAsia="Arial" w:hAnsi="Arial" w:cs="Arial"/>
          <w:bCs/>
          <w:sz w:val="21"/>
          <w:szCs w:val="21"/>
          <w:lang w:val="es-ES" w:eastAsia="es-ES" w:bidi="es-ES"/>
        </w:rPr>
        <w:t xml:space="preserve">En cambio, para elecciones en general, excluyendo las correspondientes a </w:t>
      </w:r>
      <w:proofErr w:type="gramStart"/>
      <w:r w:rsidRPr="00065D8F">
        <w:rPr>
          <w:rFonts w:ascii="Arial" w:eastAsia="Arial" w:hAnsi="Arial" w:cs="Arial"/>
          <w:bCs/>
          <w:sz w:val="21"/>
          <w:szCs w:val="21"/>
          <w:lang w:val="es-ES" w:eastAsia="es-ES" w:bidi="es-ES"/>
        </w:rPr>
        <w:t>Presidente</w:t>
      </w:r>
      <w:proofErr w:type="gramEnd"/>
      <w:r w:rsidRPr="00065D8F">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0008741F" w:rsidRPr="00065D8F">
        <w:rPr>
          <w:rFonts w:ascii="Arial" w:eastAsia="Arial" w:hAnsi="Arial" w:cs="Arial"/>
          <w:sz w:val="21"/>
          <w:szCs w:val="21"/>
          <w:vertAlign w:val="superscript"/>
          <w:lang w:val="es-ES" w:eastAsia="es-ES" w:bidi="es-ES"/>
        </w:rPr>
        <w:footnoteReference w:id="10"/>
      </w:r>
      <w:r w:rsidRPr="00065D8F">
        <w:rPr>
          <w:rFonts w:ascii="Arial" w:eastAsia="Arial" w:hAnsi="Arial" w:cs="Arial"/>
          <w:sz w:val="21"/>
          <w:szCs w:val="21"/>
          <w:lang w:val="es-ES" w:eastAsia="es-ES" w:bidi="es-ES"/>
        </w:rPr>
        <w:t>.</w:t>
      </w:r>
    </w:p>
    <w:p w14:paraId="73F45566" w14:textId="44ACF7CC" w:rsidR="000932C2" w:rsidRPr="00065D8F" w:rsidRDefault="0022085C" w:rsidP="00065D8F">
      <w:pPr>
        <w:spacing w:after="120" w:line="276" w:lineRule="auto"/>
        <w:ind w:firstLine="709"/>
        <w:jc w:val="both"/>
        <w:rPr>
          <w:rFonts w:ascii="Arial" w:eastAsia="Arial" w:hAnsi="Arial" w:cs="Arial"/>
          <w:sz w:val="22"/>
          <w:lang w:val="es-ES" w:eastAsia="es-ES" w:bidi="es-ES"/>
        </w:rPr>
      </w:pPr>
      <w:r w:rsidRPr="00065D8F">
        <w:rPr>
          <w:rFonts w:ascii="Arial" w:eastAsia="Arial" w:hAnsi="Arial" w:cs="Arial"/>
          <w:sz w:val="22"/>
          <w:lang w:val="es-ES" w:eastAsia="es-ES" w:bidi="es-ES"/>
        </w:rPr>
        <w:t xml:space="preserve">De conformidad con lo anterior, </w:t>
      </w:r>
      <w:bookmarkStart w:id="22" w:name="_Hlk77236420"/>
      <w:bookmarkStart w:id="23" w:name="_Hlk78818435"/>
      <w:bookmarkStart w:id="24" w:name="_Hlk75780333"/>
      <w:r w:rsidRPr="00065D8F">
        <w:rPr>
          <w:rFonts w:ascii="Arial" w:eastAsia="Arial" w:hAnsi="Arial" w:cs="Arial"/>
          <w:sz w:val="22"/>
          <w:lang w:val="es-ES" w:eastAsia="es-ES" w:bidi="es-ES"/>
        </w:rPr>
        <w:t>la Ley 996 de 2005 establece dos</w:t>
      </w:r>
      <w:r w:rsidR="00F10F67" w:rsidRPr="00065D8F">
        <w:rPr>
          <w:rFonts w:ascii="Arial" w:eastAsia="Arial" w:hAnsi="Arial" w:cs="Arial"/>
          <w:sz w:val="22"/>
          <w:lang w:val="es-ES" w:eastAsia="es-ES" w:bidi="es-ES"/>
        </w:rPr>
        <w:t xml:space="preserve"> (2)</w:t>
      </w:r>
      <w:r w:rsidRPr="00065D8F">
        <w:rPr>
          <w:rFonts w:ascii="Arial" w:eastAsia="Arial" w:hAnsi="Arial" w:cs="Arial"/>
          <w:sz w:val="22"/>
          <w:lang w:val="es-ES" w:eastAsia="es-ES" w:bidi="es-ES"/>
        </w:rPr>
        <w:t xml:space="preserve"> tipos de restricciones en materia de contratación, las cuales coinciden parcialmente</w:t>
      </w:r>
      <w:r w:rsidR="00DF3E38" w:rsidRPr="00065D8F">
        <w:rPr>
          <w:rFonts w:ascii="Arial" w:eastAsia="Arial" w:hAnsi="Arial" w:cs="Arial"/>
          <w:sz w:val="22"/>
          <w:lang w:val="es-ES" w:eastAsia="es-ES" w:bidi="es-ES"/>
        </w:rPr>
        <w:t xml:space="preserve">. </w:t>
      </w:r>
      <w:r w:rsidR="00DF3E38" w:rsidRPr="00065D8F">
        <w:rPr>
          <w:rFonts w:ascii="Arial" w:eastAsia="Arial" w:hAnsi="Arial" w:cs="Arial"/>
          <w:i/>
          <w:iCs/>
          <w:sz w:val="22"/>
          <w:lang w:val="es-ES" w:eastAsia="es-ES" w:bidi="es-ES"/>
        </w:rPr>
        <w:t>En primer lugar</w:t>
      </w:r>
      <w:r w:rsidR="00DF3E38" w:rsidRPr="00065D8F">
        <w:rPr>
          <w:rFonts w:ascii="Arial" w:eastAsia="Arial" w:hAnsi="Arial" w:cs="Arial"/>
          <w:sz w:val="22"/>
          <w:lang w:val="es-ES" w:eastAsia="es-ES" w:bidi="es-ES"/>
        </w:rPr>
        <w:t>,</w:t>
      </w:r>
      <w:r w:rsidRPr="00065D8F">
        <w:rPr>
          <w:rFonts w:ascii="Arial" w:eastAsia="Arial" w:hAnsi="Arial" w:cs="Arial"/>
          <w:sz w:val="22"/>
          <w:lang w:val="es-ES" w:eastAsia="es-ES" w:bidi="es-ES"/>
        </w:rPr>
        <w:t xml:space="preserve"> </w:t>
      </w:r>
      <w:r w:rsidR="00F10F67" w:rsidRPr="00065D8F">
        <w:rPr>
          <w:rFonts w:ascii="Arial" w:eastAsia="Arial" w:hAnsi="Arial" w:cs="Arial"/>
          <w:sz w:val="22"/>
          <w:lang w:val="es-ES" w:eastAsia="es-ES" w:bidi="es-ES"/>
        </w:rPr>
        <w:t>l</w:t>
      </w:r>
      <w:r w:rsidRPr="00065D8F">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065D8F">
        <w:rPr>
          <w:rFonts w:ascii="Arial" w:eastAsia="Arial" w:hAnsi="Arial" w:cs="Arial"/>
          <w:sz w:val="22"/>
          <w:lang w:val="es-ES" w:eastAsia="es-ES" w:bidi="es-ES"/>
        </w:rPr>
        <w:t xml:space="preserve">citadas </w:t>
      </w:r>
      <w:r w:rsidRPr="00065D8F">
        <w:rPr>
          <w:rFonts w:ascii="Arial" w:eastAsia="Arial" w:hAnsi="Arial" w:cs="Arial"/>
          <w:sz w:val="22"/>
          <w:lang w:val="es-ES" w:eastAsia="es-ES" w:bidi="es-ES"/>
        </w:rPr>
        <w:t>excepciones</w:t>
      </w:r>
      <w:r w:rsidR="00B36547" w:rsidRPr="00065D8F">
        <w:rPr>
          <w:rFonts w:ascii="Arial" w:eastAsia="Arial" w:hAnsi="Arial" w:cs="Arial"/>
          <w:sz w:val="22"/>
          <w:lang w:val="es-ES" w:eastAsia="es-ES" w:bidi="es-ES"/>
        </w:rPr>
        <w:t>.</w:t>
      </w:r>
      <w:r w:rsidR="00C14D9E" w:rsidRPr="00065D8F">
        <w:rPr>
          <w:rFonts w:ascii="Arial" w:eastAsia="Arial" w:hAnsi="Arial" w:cs="Arial"/>
          <w:sz w:val="22"/>
          <w:lang w:val="es-ES" w:eastAsia="es-ES" w:bidi="es-ES"/>
        </w:rPr>
        <w:t xml:space="preserve"> </w:t>
      </w:r>
      <w:r w:rsidR="003A0603" w:rsidRPr="00065D8F">
        <w:rPr>
          <w:rFonts w:ascii="Arial" w:eastAsia="Arial" w:hAnsi="Arial" w:cs="Arial"/>
          <w:sz w:val="22"/>
          <w:lang w:val="es-ES" w:eastAsia="es-ES" w:bidi="es-ES"/>
        </w:rPr>
        <w:t>Sin embargo, s</w:t>
      </w:r>
      <w:r w:rsidR="00C14D9E" w:rsidRPr="00065D8F">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065D8F">
        <w:rPr>
          <w:rFonts w:ascii="Arial" w:eastAsia="Arial" w:hAnsi="Arial" w:cs="Arial"/>
          <w:sz w:val="22"/>
          <w:lang w:val="es-ES" w:eastAsia="es-ES" w:bidi="es-ES"/>
        </w:rPr>
        <w:t xml:space="preserve"> más altas</w:t>
      </w:r>
      <w:r w:rsidR="00C14D9E" w:rsidRPr="00065D8F">
        <w:rPr>
          <w:rFonts w:ascii="Arial" w:eastAsia="Arial" w:hAnsi="Arial" w:cs="Arial"/>
          <w:sz w:val="22"/>
          <w:lang w:val="es-ES" w:eastAsia="es-ES" w:bidi="es-ES"/>
        </w:rPr>
        <w:t>, de conformidad con el artículo 190 de la Constitución Política</w:t>
      </w:r>
      <w:r w:rsidR="00F10F67" w:rsidRPr="00065D8F">
        <w:rPr>
          <w:rFonts w:ascii="Arial" w:eastAsia="Arial" w:hAnsi="Arial" w:cs="Arial"/>
          <w:sz w:val="22"/>
          <w:lang w:val="es-ES" w:eastAsia="es-ES" w:bidi="es-ES"/>
        </w:rPr>
        <w:t xml:space="preserve">. </w:t>
      </w:r>
      <w:r w:rsidR="00DF3E38" w:rsidRPr="00065D8F">
        <w:rPr>
          <w:rFonts w:ascii="Arial" w:eastAsia="Arial" w:hAnsi="Arial" w:cs="Arial"/>
          <w:sz w:val="22"/>
          <w:lang w:val="es-ES" w:eastAsia="es-ES" w:bidi="es-ES"/>
        </w:rPr>
        <w:t>Para estos efectos</w:t>
      </w:r>
      <w:r w:rsidR="00F10F67" w:rsidRPr="00065D8F">
        <w:rPr>
          <w:rFonts w:ascii="Arial" w:eastAsia="Arial" w:hAnsi="Arial" w:cs="Arial"/>
          <w:sz w:val="22"/>
          <w:lang w:val="es-ES" w:eastAsia="es-ES" w:bidi="es-ES"/>
        </w:rPr>
        <w:t xml:space="preserve">, </w:t>
      </w:r>
      <w:r w:rsidR="00C14D9E" w:rsidRPr="00065D8F">
        <w:rPr>
          <w:rFonts w:ascii="Arial" w:eastAsia="Arial" w:hAnsi="Arial" w:cs="Arial"/>
          <w:sz w:val="22"/>
          <w:lang w:val="es-ES" w:eastAsia="es-ES" w:bidi="es-ES"/>
        </w:rPr>
        <w:t>la restricción se extenderá hasta la fecha en la que se reali</w:t>
      </w:r>
      <w:r w:rsidR="00F10F67" w:rsidRPr="00065D8F">
        <w:rPr>
          <w:rFonts w:ascii="Arial" w:eastAsia="Arial" w:hAnsi="Arial" w:cs="Arial"/>
          <w:sz w:val="22"/>
          <w:lang w:val="es-ES" w:eastAsia="es-ES" w:bidi="es-ES"/>
        </w:rPr>
        <w:t>ce</w:t>
      </w:r>
      <w:r w:rsidR="00C14D9E" w:rsidRPr="00065D8F">
        <w:rPr>
          <w:rFonts w:ascii="Arial" w:eastAsia="Arial" w:hAnsi="Arial" w:cs="Arial"/>
          <w:sz w:val="22"/>
          <w:lang w:val="es-ES" w:eastAsia="es-ES" w:bidi="es-ES"/>
        </w:rPr>
        <w:t xml:space="preserve"> </w:t>
      </w:r>
      <w:r w:rsidR="00F10F67" w:rsidRPr="00065D8F">
        <w:rPr>
          <w:rFonts w:ascii="Arial" w:eastAsia="Arial" w:hAnsi="Arial" w:cs="Arial"/>
          <w:sz w:val="22"/>
          <w:lang w:val="es-ES" w:eastAsia="es-ES" w:bidi="es-ES"/>
        </w:rPr>
        <w:t>l</w:t>
      </w:r>
      <w:r w:rsidR="00C14D9E" w:rsidRPr="00065D8F">
        <w:rPr>
          <w:rFonts w:ascii="Arial" w:eastAsia="Arial" w:hAnsi="Arial" w:cs="Arial"/>
          <w:sz w:val="22"/>
          <w:lang w:val="es-ES" w:eastAsia="es-ES" w:bidi="es-ES"/>
        </w:rPr>
        <w:t xml:space="preserve">a segunda vuelta. </w:t>
      </w:r>
      <w:r w:rsidR="00F10F67" w:rsidRPr="00065D8F">
        <w:rPr>
          <w:rFonts w:ascii="Arial" w:eastAsia="Arial" w:hAnsi="Arial" w:cs="Arial"/>
          <w:i/>
          <w:iCs/>
          <w:sz w:val="22"/>
          <w:lang w:val="es-ES" w:eastAsia="es-ES" w:bidi="es-ES"/>
        </w:rPr>
        <w:t>E</w:t>
      </w:r>
      <w:r w:rsidR="00DF3E38" w:rsidRPr="00065D8F">
        <w:rPr>
          <w:rFonts w:ascii="Arial" w:eastAsia="Arial" w:hAnsi="Arial" w:cs="Arial"/>
          <w:i/>
          <w:iCs/>
          <w:sz w:val="22"/>
          <w:lang w:val="es-ES" w:eastAsia="es-ES" w:bidi="es-ES"/>
        </w:rPr>
        <w:t>n segundo lugar</w:t>
      </w:r>
      <w:r w:rsidR="00DF3E38" w:rsidRPr="00065D8F">
        <w:rPr>
          <w:rFonts w:ascii="Arial" w:eastAsia="Arial" w:hAnsi="Arial" w:cs="Arial"/>
          <w:sz w:val="22"/>
          <w:lang w:val="es-ES" w:eastAsia="es-ES" w:bidi="es-ES"/>
        </w:rPr>
        <w:t xml:space="preserve">, también se encuentra </w:t>
      </w:r>
      <w:r w:rsidR="00F10F67" w:rsidRPr="00065D8F">
        <w:rPr>
          <w:rFonts w:ascii="Arial" w:eastAsia="Arial" w:hAnsi="Arial" w:cs="Arial"/>
          <w:sz w:val="22"/>
          <w:lang w:val="es-ES" w:eastAsia="es-ES" w:bidi="es-ES"/>
        </w:rPr>
        <w:t>la prohibición</w:t>
      </w:r>
      <w:r w:rsidRPr="00065D8F">
        <w:rPr>
          <w:rFonts w:ascii="Arial" w:eastAsia="Arial" w:hAnsi="Arial" w:cs="Arial"/>
          <w:sz w:val="22"/>
          <w:lang w:val="es-ES" w:eastAsia="es-ES" w:bidi="es-ES"/>
        </w:rPr>
        <w:t xml:space="preserve"> del</w:t>
      </w:r>
      <w:r w:rsidR="00F10F67" w:rsidRPr="00065D8F">
        <w:rPr>
          <w:rFonts w:ascii="Arial" w:eastAsia="Arial" w:hAnsi="Arial" w:cs="Arial"/>
          <w:sz w:val="22"/>
          <w:lang w:val="es-ES" w:eastAsia="es-ES" w:bidi="es-ES"/>
        </w:rPr>
        <w:t xml:space="preserve"> parágrafo del</w:t>
      </w:r>
      <w:r w:rsidRPr="00065D8F">
        <w:rPr>
          <w:rFonts w:ascii="Arial" w:eastAsia="Arial" w:hAnsi="Arial" w:cs="Arial"/>
          <w:sz w:val="22"/>
          <w:lang w:val="es-ES" w:eastAsia="es-ES" w:bidi="es-ES"/>
        </w:rPr>
        <w:t xml:space="preserve"> artículo 38, </w:t>
      </w:r>
      <w:r w:rsidR="00F10F67" w:rsidRPr="00065D8F">
        <w:rPr>
          <w:rFonts w:ascii="Arial" w:eastAsia="Arial" w:hAnsi="Arial" w:cs="Arial"/>
          <w:sz w:val="22"/>
          <w:lang w:val="es-ES" w:eastAsia="es-ES" w:bidi="es-ES"/>
        </w:rPr>
        <w:t>el cual</w:t>
      </w:r>
      <w:r w:rsidRPr="00065D8F">
        <w:rPr>
          <w:rFonts w:ascii="Arial" w:eastAsia="Arial" w:hAnsi="Arial" w:cs="Arial"/>
          <w:sz w:val="22"/>
          <w:lang w:val="es-ES" w:eastAsia="es-ES" w:bidi="es-ES"/>
        </w:rPr>
        <w:t xml:space="preserve"> debe aplicarse respecto de cualquier tipo de </w:t>
      </w:r>
      <w:r w:rsidR="00F10F67" w:rsidRPr="00065D8F">
        <w:rPr>
          <w:rFonts w:ascii="Arial" w:eastAsia="Arial" w:hAnsi="Arial" w:cs="Arial"/>
          <w:sz w:val="22"/>
          <w:lang w:val="es-ES" w:eastAsia="es-ES" w:bidi="es-ES"/>
        </w:rPr>
        <w:t>contienda electoral</w:t>
      </w:r>
      <w:r w:rsidRPr="00065D8F">
        <w:rPr>
          <w:rFonts w:ascii="Arial" w:eastAsia="Arial" w:hAnsi="Arial" w:cs="Arial"/>
          <w:sz w:val="22"/>
          <w:lang w:val="es-ES" w:eastAsia="es-ES" w:bidi="es-ES"/>
        </w:rPr>
        <w:t xml:space="preserve">, y que prohíbe la celebración de </w:t>
      </w:r>
      <w:r w:rsidRPr="00065D8F">
        <w:rPr>
          <w:rFonts w:ascii="Arial" w:eastAsia="Arial" w:hAnsi="Arial" w:cs="Arial"/>
          <w:sz w:val="22"/>
          <w:lang w:val="es-ES" w:eastAsia="es-ES" w:bidi="es-ES"/>
        </w:rPr>
        <w:lastRenderedPageBreak/>
        <w:t>convenios interadministrativos que impliquen la ejecución de recursos públicos</w:t>
      </w:r>
      <w:r w:rsidR="0019626E" w:rsidRPr="00065D8F">
        <w:rPr>
          <w:rFonts w:ascii="Arial" w:eastAsia="Arial" w:hAnsi="Arial" w:cs="Arial"/>
          <w:sz w:val="22"/>
          <w:lang w:val="es-ES" w:eastAsia="es-ES" w:bidi="es-ES"/>
        </w:rPr>
        <w:t xml:space="preserve"> dentro de los cuatro (4) meses anteriores a la respectiva jornada </w:t>
      </w:r>
      <w:r w:rsidR="00F10F67" w:rsidRPr="00065D8F">
        <w:rPr>
          <w:rFonts w:ascii="Arial" w:eastAsia="Arial" w:hAnsi="Arial" w:cs="Arial"/>
          <w:sz w:val="22"/>
          <w:lang w:val="es-ES" w:eastAsia="es-ES" w:bidi="es-ES"/>
        </w:rPr>
        <w:t>de votaciones</w:t>
      </w:r>
      <w:r w:rsidR="0019626E" w:rsidRPr="00065D8F">
        <w:rPr>
          <w:rFonts w:ascii="Arial" w:eastAsia="Arial" w:hAnsi="Arial" w:cs="Arial"/>
          <w:sz w:val="22"/>
          <w:lang w:val="es-ES" w:eastAsia="es-ES" w:bidi="es-ES"/>
        </w:rPr>
        <w:t>.</w:t>
      </w:r>
      <w:bookmarkEnd w:id="22"/>
    </w:p>
    <w:bookmarkEnd w:id="23"/>
    <w:p w14:paraId="0DC33A5F" w14:textId="2764EE7D" w:rsidR="00A95D9F" w:rsidRPr="00065D8F" w:rsidRDefault="00F10F67" w:rsidP="00065D8F">
      <w:pPr>
        <w:spacing w:after="120" w:line="276" w:lineRule="auto"/>
        <w:ind w:firstLine="709"/>
        <w:jc w:val="both"/>
        <w:rPr>
          <w:rFonts w:ascii="Arial" w:eastAsia="Arial" w:hAnsi="Arial" w:cs="Arial"/>
          <w:sz w:val="22"/>
          <w:lang w:val="es-ES" w:eastAsia="es-ES" w:bidi="es-ES"/>
        </w:rPr>
      </w:pPr>
      <w:r w:rsidRPr="00065D8F">
        <w:rPr>
          <w:rFonts w:ascii="Arial" w:eastAsia="Arial" w:hAnsi="Arial" w:cs="Arial"/>
          <w:sz w:val="22"/>
          <w:lang w:val="es-ES" w:eastAsia="es-ES" w:bidi="es-ES"/>
        </w:rPr>
        <w:t>Ambas</w:t>
      </w:r>
      <w:r w:rsidR="000932C2" w:rsidRPr="00065D8F">
        <w:rPr>
          <w:rFonts w:ascii="Arial" w:eastAsia="Arial" w:hAnsi="Arial" w:cs="Arial"/>
          <w:sz w:val="22"/>
          <w:lang w:val="es-ES" w:eastAsia="es-ES" w:bidi="es-ES"/>
        </w:rPr>
        <w:t xml:space="preserve"> restricciones no </w:t>
      </w:r>
      <w:r w:rsidRPr="00065D8F">
        <w:rPr>
          <w:rFonts w:ascii="Arial" w:eastAsia="Arial" w:hAnsi="Arial" w:cs="Arial"/>
          <w:sz w:val="22"/>
          <w:lang w:val="es-ES" w:eastAsia="es-ES" w:bidi="es-ES"/>
        </w:rPr>
        <w:t xml:space="preserve">son </w:t>
      </w:r>
      <w:r w:rsidR="000932C2" w:rsidRPr="00065D8F">
        <w:rPr>
          <w:rFonts w:ascii="Arial" w:eastAsia="Arial" w:hAnsi="Arial" w:cs="Arial"/>
          <w:sz w:val="22"/>
          <w:lang w:val="es-ES" w:eastAsia="es-ES" w:bidi="es-ES"/>
        </w:rPr>
        <w:t>excluyen</w:t>
      </w:r>
      <w:r w:rsidRPr="00065D8F">
        <w:rPr>
          <w:rFonts w:ascii="Arial" w:eastAsia="Arial" w:hAnsi="Arial" w:cs="Arial"/>
          <w:sz w:val="22"/>
          <w:lang w:val="es-ES" w:eastAsia="es-ES" w:bidi="es-ES"/>
        </w:rPr>
        <w:t>tes</w:t>
      </w:r>
      <w:r w:rsidR="000932C2" w:rsidRPr="00065D8F">
        <w:rPr>
          <w:rFonts w:ascii="Arial" w:eastAsia="Arial" w:hAnsi="Arial" w:cs="Arial"/>
          <w:sz w:val="22"/>
          <w:lang w:val="es-ES" w:eastAsia="es-ES" w:bidi="es-ES"/>
        </w:rPr>
        <w:t>, lo que permite concluir que en el per</w:t>
      </w:r>
      <w:r w:rsidR="00751EE7" w:rsidRPr="00065D8F">
        <w:rPr>
          <w:rFonts w:ascii="Arial" w:eastAsia="Arial" w:hAnsi="Arial" w:cs="Arial"/>
          <w:sz w:val="22"/>
          <w:lang w:val="es-ES" w:eastAsia="es-ES" w:bidi="es-ES"/>
        </w:rPr>
        <w:t>í</w:t>
      </w:r>
      <w:r w:rsidR="000932C2" w:rsidRPr="00065D8F">
        <w:rPr>
          <w:rFonts w:ascii="Arial" w:eastAsia="Arial" w:hAnsi="Arial" w:cs="Arial"/>
          <w:sz w:val="22"/>
          <w:lang w:val="es-ES" w:eastAsia="es-ES" w:bidi="es-ES"/>
        </w:rPr>
        <w:t xml:space="preserve">odo preelectoral para elección de </w:t>
      </w:r>
      <w:proofErr w:type="gramStart"/>
      <w:r w:rsidR="000932C2" w:rsidRPr="00065D8F">
        <w:rPr>
          <w:rFonts w:ascii="Arial" w:eastAsia="Arial" w:hAnsi="Arial" w:cs="Arial"/>
          <w:sz w:val="22"/>
          <w:lang w:val="es-ES" w:eastAsia="es-ES" w:bidi="es-ES"/>
        </w:rPr>
        <w:t>Presidente</w:t>
      </w:r>
      <w:proofErr w:type="gramEnd"/>
      <w:r w:rsidR="000932C2" w:rsidRPr="00065D8F">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065D8F">
        <w:rPr>
          <w:rFonts w:ascii="Arial" w:eastAsia="Arial" w:hAnsi="Arial" w:cs="Arial"/>
          <w:sz w:val="22"/>
          <w:lang w:val="es-ES" w:eastAsia="es-ES" w:bidi="es-ES"/>
        </w:rPr>
        <w:t xml:space="preserve">tratándose de </w:t>
      </w:r>
      <w:r w:rsidR="000932C2" w:rsidRPr="00065D8F">
        <w:rPr>
          <w:rFonts w:ascii="Arial" w:eastAsia="Arial" w:hAnsi="Arial" w:cs="Arial"/>
          <w:sz w:val="22"/>
          <w:lang w:val="es-ES" w:eastAsia="es-ES" w:bidi="es-ES"/>
        </w:rPr>
        <w:t>elecciones en general, excluyendo las correspondientes a</w:t>
      </w:r>
      <w:r w:rsidR="008C4353" w:rsidRPr="00065D8F">
        <w:rPr>
          <w:rFonts w:ascii="Arial" w:eastAsia="Arial" w:hAnsi="Arial" w:cs="Arial"/>
          <w:sz w:val="22"/>
          <w:lang w:val="es-ES" w:eastAsia="es-ES" w:bidi="es-ES"/>
        </w:rPr>
        <w:t>l</w:t>
      </w:r>
      <w:r w:rsidR="000932C2" w:rsidRPr="00065D8F">
        <w:rPr>
          <w:rFonts w:ascii="Arial" w:eastAsia="Arial" w:hAnsi="Arial" w:cs="Arial"/>
          <w:sz w:val="22"/>
          <w:lang w:val="es-ES" w:eastAsia="es-ES" w:bidi="es-ES"/>
        </w:rPr>
        <w:t xml:space="preserve"> </w:t>
      </w:r>
      <w:proofErr w:type="gramStart"/>
      <w:r w:rsidR="000932C2" w:rsidRPr="00065D8F">
        <w:rPr>
          <w:rFonts w:ascii="Arial" w:eastAsia="Arial" w:hAnsi="Arial" w:cs="Arial"/>
          <w:sz w:val="22"/>
          <w:lang w:val="es-ES" w:eastAsia="es-ES" w:bidi="es-ES"/>
        </w:rPr>
        <w:t>Presidente</w:t>
      </w:r>
      <w:proofErr w:type="gramEnd"/>
      <w:r w:rsidR="000932C2" w:rsidRPr="00065D8F">
        <w:rPr>
          <w:rFonts w:ascii="Arial" w:eastAsia="Arial" w:hAnsi="Arial" w:cs="Arial"/>
          <w:sz w:val="22"/>
          <w:lang w:val="es-ES" w:eastAsia="es-ES" w:bidi="es-ES"/>
        </w:rPr>
        <w:t xml:space="preserve"> de la República, las autoridades allí mencionadas sólo </w:t>
      </w:r>
      <w:r w:rsidR="008C4353" w:rsidRPr="00065D8F">
        <w:rPr>
          <w:rFonts w:ascii="Arial" w:eastAsia="Arial" w:hAnsi="Arial" w:cs="Arial"/>
          <w:sz w:val="22"/>
          <w:lang w:val="es-ES" w:eastAsia="es-ES" w:bidi="es-ES"/>
        </w:rPr>
        <w:t xml:space="preserve">deben </w:t>
      </w:r>
      <w:r w:rsidR="000932C2" w:rsidRPr="00065D8F">
        <w:rPr>
          <w:rFonts w:ascii="Arial" w:eastAsia="Arial" w:hAnsi="Arial" w:cs="Arial"/>
          <w:sz w:val="22"/>
          <w:lang w:val="es-ES" w:eastAsia="es-ES" w:bidi="es-ES"/>
        </w:rPr>
        <w:t>aplica</w:t>
      </w:r>
      <w:r w:rsidR="008C4353" w:rsidRPr="00065D8F">
        <w:rPr>
          <w:rFonts w:ascii="Arial" w:eastAsia="Arial" w:hAnsi="Arial" w:cs="Arial"/>
          <w:sz w:val="22"/>
          <w:lang w:val="es-ES" w:eastAsia="es-ES" w:bidi="es-ES"/>
        </w:rPr>
        <w:t>r</w:t>
      </w:r>
      <w:r w:rsidR="000932C2" w:rsidRPr="00065D8F">
        <w:rPr>
          <w:rFonts w:ascii="Arial" w:eastAsia="Arial" w:hAnsi="Arial" w:cs="Arial"/>
          <w:sz w:val="22"/>
          <w:lang w:val="es-ES" w:eastAsia="es-ES" w:bidi="es-ES"/>
        </w:rPr>
        <w:t xml:space="preserve"> las restricciones contenidas en el parágrafo del artículo 38.</w:t>
      </w:r>
    </w:p>
    <w:bookmarkEnd w:id="24"/>
    <w:p w14:paraId="1E63A759" w14:textId="7CCE57AE" w:rsidR="007853BD" w:rsidRPr="00065D8F" w:rsidRDefault="00F37460" w:rsidP="007155B8">
      <w:pPr>
        <w:spacing w:afterLines="120" w:after="288" w:line="276" w:lineRule="auto"/>
        <w:ind w:firstLine="708"/>
        <w:jc w:val="both"/>
        <w:rPr>
          <w:rFonts w:ascii="Arial" w:eastAsia="Arial" w:hAnsi="Arial" w:cs="Arial"/>
          <w:sz w:val="22"/>
          <w:lang w:val="es-ES" w:eastAsia="es-ES" w:bidi="es-ES"/>
        </w:rPr>
      </w:pPr>
      <w:r w:rsidRPr="00065D8F">
        <w:rPr>
          <w:rFonts w:ascii="Arial" w:eastAsia="Arial" w:hAnsi="Arial" w:cs="Arial"/>
          <w:sz w:val="22"/>
          <w:lang w:val="es-ES" w:eastAsia="es-ES" w:bidi="es-ES"/>
        </w:rPr>
        <w:t>L</w:t>
      </w:r>
      <w:r w:rsidR="00A95D9F" w:rsidRPr="00065D8F">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065D8F">
        <w:rPr>
          <w:rFonts w:ascii="Arial" w:eastAsia="Arial" w:hAnsi="Arial" w:cs="Arial"/>
          <w:sz w:val="22"/>
          <w:lang w:val="es-ES" w:eastAsia="es-ES" w:bidi="es-ES"/>
        </w:rPr>
        <w:t>Presidente</w:t>
      </w:r>
      <w:proofErr w:type="gramEnd"/>
      <w:r w:rsidR="00A95D9F" w:rsidRPr="00065D8F">
        <w:rPr>
          <w:rFonts w:ascii="Arial" w:eastAsia="Arial" w:hAnsi="Arial" w:cs="Arial"/>
          <w:sz w:val="22"/>
          <w:lang w:val="es-ES" w:eastAsia="es-ES" w:bidi="es-ES"/>
        </w:rPr>
        <w:t xml:space="preserve"> o el Vicepresidente desde que </w:t>
      </w:r>
      <w:r w:rsidR="009C716A" w:rsidRPr="00065D8F">
        <w:rPr>
          <w:rFonts w:ascii="Arial" w:eastAsia="Arial" w:hAnsi="Arial" w:cs="Arial"/>
          <w:sz w:val="22"/>
          <w:lang w:val="es-ES" w:eastAsia="es-ES" w:bidi="es-ES"/>
        </w:rPr>
        <w:t>e</w:t>
      </w:r>
      <w:r w:rsidR="00A95D9F" w:rsidRPr="00065D8F">
        <w:rPr>
          <w:rFonts w:ascii="Arial" w:eastAsia="Arial" w:hAnsi="Arial" w:cs="Arial"/>
          <w:sz w:val="22"/>
          <w:lang w:val="es-ES" w:eastAsia="es-ES" w:bidi="es-ES"/>
        </w:rPr>
        <w:t xml:space="preserve">stos </w:t>
      </w:r>
      <w:r w:rsidR="00C44882" w:rsidRPr="00065D8F">
        <w:rPr>
          <w:rFonts w:ascii="Arial" w:eastAsia="Arial" w:hAnsi="Arial" w:cs="Arial"/>
          <w:sz w:val="22"/>
          <w:lang w:val="es-ES" w:eastAsia="es-ES" w:bidi="es-ES"/>
        </w:rPr>
        <w:t>–</w:t>
      </w:r>
      <w:r w:rsidR="00A95D9F" w:rsidRPr="00065D8F">
        <w:rPr>
          <w:rFonts w:ascii="Arial" w:eastAsia="Arial" w:hAnsi="Arial" w:cs="Arial"/>
          <w:sz w:val="22"/>
          <w:lang w:val="es-ES" w:eastAsia="es-ES" w:bidi="es-ES"/>
        </w:rPr>
        <w:t>estando en ejercicio de su cargo</w:t>
      </w:r>
      <w:r w:rsidR="00C44882" w:rsidRPr="00065D8F">
        <w:rPr>
          <w:rFonts w:ascii="Arial" w:eastAsia="Arial" w:hAnsi="Arial" w:cs="Arial"/>
          <w:sz w:val="22"/>
          <w:lang w:val="es-ES" w:eastAsia="es-ES" w:bidi="es-ES"/>
        </w:rPr>
        <w:t>–</w:t>
      </w:r>
      <w:r w:rsidR="00A95D9F" w:rsidRPr="00065D8F">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065D8F">
        <w:rPr>
          <w:rFonts w:ascii="Arial" w:eastAsia="Arial" w:hAnsi="Arial" w:cs="Arial"/>
          <w:sz w:val="22"/>
          <w:lang w:val="es-ES" w:eastAsia="es-ES" w:bidi="es-ES"/>
        </w:rPr>
        <w:t>, conforme</w:t>
      </w:r>
      <w:r w:rsidR="00A95D9F" w:rsidRPr="00065D8F">
        <w:rPr>
          <w:rFonts w:ascii="Arial" w:eastAsia="Arial" w:hAnsi="Arial" w:cs="Arial"/>
          <w:sz w:val="22"/>
          <w:lang w:val="es-ES" w:eastAsia="es-ES" w:bidi="es-ES"/>
        </w:rPr>
        <w:t xml:space="preserve"> </w:t>
      </w:r>
      <w:r w:rsidR="00591F4C" w:rsidRPr="00065D8F">
        <w:rPr>
          <w:rFonts w:ascii="Arial" w:eastAsia="Arial" w:hAnsi="Arial" w:cs="Arial"/>
          <w:sz w:val="22"/>
          <w:lang w:val="es-ES" w:eastAsia="es-ES" w:bidi="es-ES"/>
        </w:rPr>
        <w:t xml:space="preserve">al </w:t>
      </w:r>
      <w:r w:rsidR="00A95D9F" w:rsidRPr="00065D8F">
        <w:rPr>
          <w:rFonts w:ascii="Arial" w:eastAsia="Arial" w:hAnsi="Arial" w:cs="Arial"/>
          <w:sz w:val="22"/>
          <w:lang w:val="es-ES" w:eastAsia="es-ES" w:bidi="es-ES"/>
        </w:rPr>
        <w:t xml:space="preserve">artículo 197 de la </w:t>
      </w:r>
      <w:r w:rsidR="00591F4C" w:rsidRPr="00065D8F">
        <w:rPr>
          <w:rFonts w:ascii="Arial" w:eastAsia="Arial" w:hAnsi="Arial" w:cs="Arial"/>
          <w:sz w:val="22"/>
          <w:lang w:val="es-ES" w:eastAsia="es-ES" w:bidi="es-ES"/>
        </w:rPr>
        <w:t>Constitución</w:t>
      </w:r>
      <w:r w:rsidR="00A95D9F" w:rsidRPr="00065D8F">
        <w:rPr>
          <w:rFonts w:ascii="Arial" w:eastAsia="Arial" w:hAnsi="Arial" w:cs="Arial"/>
          <w:sz w:val="22"/>
          <w:lang w:val="es-ES" w:eastAsia="es-ES" w:bidi="es-ES"/>
        </w:rPr>
        <w:t xml:space="preserve"> Política.  </w:t>
      </w:r>
    </w:p>
    <w:p w14:paraId="7D9199F2" w14:textId="13069790" w:rsidR="00F61159" w:rsidRPr="00065D8F" w:rsidRDefault="007853BD" w:rsidP="007155B8">
      <w:pPr>
        <w:spacing w:afterLines="120" w:after="288" w:line="276" w:lineRule="auto"/>
        <w:jc w:val="both"/>
        <w:rPr>
          <w:rFonts w:ascii="Arial" w:hAnsi="Arial" w:cs="Arial"/>
          <w:b/>
          <w:sz w:val="22"/>
          <w:lang w:val="es-ES" w:eastAsia="es-CO"/>
        </w:rPr>
      </w:pPr>
      <w:r w:rsidRPr="00065D8F">
        <w:rPr>
          <w:rFonts w:ascii="Arial" w:hAnsi="Arial" w:cs="Arial"/>
          <w:b/>
          <w:sz w:val="22"/>
          <w:lang w:val="es-ES" w:eastAsia="es-CO"/>
        </w:rPr>
        <w:t>2.</w:t>
      </w:r>
      <w:r w:rsidR="004E638B" w:rsidRPr="00065D8F">
        <w:rPr>
          <w:rFonts w:ascii="Arial" w:hAnsi="Arial" w:cs="Arial"/>
          <w:b/>
          <w:sz w:val="22"/>
          <w:lang w:val="es-ES" w:eastAsia="es-CO"/>
        </w:rPr>
        <w:t>2</w:t>
      </w:r>
      <w:r w:rsidRPr="00065D8F">
        <w:rPr>
          <w:rFonts w:ascii="Arial" w:hAnsi="Arial" w:cs="Arial"/>
          <w:b/>
          <w:sz w:val="22"/>
          <w:lang w:val="es-ES" w:eastAsia="es-CO"/>
        </w:rPr>
        <w:t xml:space="preserve">. </w:t>
      </w:r>
      <w:r w:rsidR="008A1966" w:rsidRPr="00065D8F">
        <w:rPr>
          <w:rFonts w:ascii="Arial" w:hAnsi="Arial" w:cs="Arial"/>
          <w:b/>
          <w:bCs/>
          <w:sz w:val="22"/>
          <w:lang w:eastAsia="es-CO"/>
        </w:rPr>
        <w:t xml:space="preserve">Restricciones en elecciones presidenciales </w:t>
      </w:r>
    </w:p>
    <w:p w14:paraId="0A466F33" w14:textId="7EF131C5" w:rsidR="00F61159" w:rsidRPr="00065D8F" w:rsidRDefault="00DB61B2" w:rsidP="007155B8">
      <w:pPr>
        <w:spacing w:afterLines="120" w:after="288" w:line="276" w:lineRule="auto"/>
        <w:jc w:val="both"/>
        <w:rPr>
          <w:rFonts w:ascii="Arial" w:hAnsi="Arial" w:cs="Arial"/>
          <w:bCs/>
          <w:sz w:val="22"/>
          <w:lang w:eastAsia="es-CO"/>
        </w:rPr>
      </w:pPr>
      <w:r w:rsidRPr="00065D8F">
        <w:rPr>
          <w:rFonts w:ascii="Arial" w:hAnsi="Arial" w:cs="Arial"/>
          <w:bCs/>
          <w:sz w:val="22"/>
          <w:lang w:eastAsia="x-none"/>
        </w:rPr>
        <w:t xml:space="preserve">El ámbito material de la prohibición contenida </w:t>
      </w:r>
      <w:bookmarkStart w:id="25" w:name="_Hlk75628761"/>
      <w:r w:rsidRPr="00065D8F">
        <w:rPr>
          <w:rFonts w:ascii="Arial" w:hAnsi="Arial" w:cs="Arial"/>
          <w:bCs/>
          <w:sz w:val="22"/>
          <w:lang w:eastAsia="x-none"/>
        </w:rPr>
        <w:t xml:space="preserve">en el artículo 33 de la ley 996 de 2005 </w:t>
      </w:r>
      <w:bookmarkEnd w:id="25"/>
      <w:r w:rsidRPr="00065D8F">
        <w:rPr>
          <w:rFonts w:ascii="Arial" w:hAnsi="Arial" w:cs="Arial"/>
          <w:bCs/>
          <w:sz w:val="22"/>
          <w:lang w:eastAsia="x-none"/>
        </w:rPr>
        <w:t xml:space="preserve">está delimitado por la expresión </w:t>
      </w:r>
      <w:r w:rsidR="00174FBC" w:rsidRPr="00065D8F">
        <w:rPr>
          <w:rFonts w:ascii="Arial" w:eastAsia="Calibri" w:hAnsi="Arial" w:cs="Arial"/>
          <w:bCs/>
          <w:sz w:val="20"/>
          <w:szCs w:val="20"/>
        </w:rPr>
        <w:t>«</w:t>
      </w:r>
      <w:r w:rsidRPr="00065D8F">
        <w:rPr>
          <w:rFonts w:ascii="Arial" w:hAnsi="Arial" w:cs="Arial"/>
          <w:bCs/>
          <w:sz w:val="22"/>
          <w:lang w:eastAsia="x-none"/>
        </w:rPr>
        <w:t>queda prohibida la contratación directa</w:t>
      </w:r>
      <w:r w:rsidR="00174FBC" w:rsidRPr="00065D8F">
        <w:rPr>
          <w:rFonts w:ascii="Arial" w:hAnsi="Arial" w:cs="Arial"/>
          <w:sz w:val="20"/>
          <w:szCs w:val="20"/>
        </w:rPr>
        <w:t>»</w:t>
      </w:r>
      <w:r w:rsidRPr="00065D8F">
        <w:rPr>
          <w:rFonts w:ascii="Arial" w:hAnsi="Arial" w:cs="Arial"/>
          <w:bCs/>
          <w:sz w:val="22"/>
          <w:lang w:eastAsia="x-none"/>
        </w:rPr>
        <w:t>.</w:t>
      </w:r>
      <w:r w:rsidRPr="00065D8F">
        <w:rPr>
          <w:rFonts w:ascii="Arial" w:hAnsi="Arial" w:cs="Arial"/>
          <w:sz w:val="22"/>
          <w:lang w:eastAsia="es-CO"/>
        </w:rPr>
        <w:t xml:space="preserve"> A propósito de esta restricción de la </w:t>
      </w:r>
      <w:r w:rsidR="007701D9" w:rsidRPr="00065D8F">
        <w:rPr>
          <w:rFonts w:ascii="Arial" w:hAnsi="Arial" w:cs="Arial"/>
          <w:sz w:val="22"/>
          <w:lang w:eastAsia="es-CO"/>
        </w:rPr>
        <w:t>Ley de Garantías Electorales</w:t>
      </w:r>
      <w:r w:rsidRPr="00065D8F">
        <w:rPr>
          <w:rFonts w:ascii="Arial" w:hAnsi="Arial" w:cs="Arial"/>
          <w:sz w:val="22"/>
          <w:lang w:eastAsia="es-CO"/>
        </w:rPr>
        <w:t>, la Sala de Consulta y Servicio Civil del Consejo de Estado</w:t>
      </w:r>
      <w:r w:rsidR="007701D9" w:rsidRPr="00065D8F">
        <w:rPr>
          <w:rFonts w:ascii="Arial" w:hAnsi="Arial" w:cs="Arial"/>
          <w:sz w:val="22"/>
          <w:lang w:eastAsia="es-CO"/>
        </w:rPr>
        <w:t xml:space="preserve"> </w:t>
      </w:r>
      <w:r w:rsidR="00E4777A" w:rsidRPr="00065D8F">
        <w:rPr>
          <w:rFonts w:ascii="Arial" w:hAnsi="Arial" w:cs="Arial"/>
          <w:sz w:val="22"/>
          <w:lang w:eastAsia="es-CO"/>
        </w:rPr>
        <w:t xml:space="preserve">ha </w:t>
      </w:r>
      <w:r w:rsidR="007701D9" w:rsidRPr="00065D8F">
        <w:rPr>
          <w:rFonts w:ascii="Arial" w:hAnsi="Arial" w:cs="Arial"/>
          <w:sz w:val="22"/>
          <w:lang w:eastAsia="es-CO"/>
        </w:rPr>
        <w:t>considera</w:t>
      </w:r>
      <w:r w:rsidR="00E4777A" w:rsidRPr="00065D8F">
        <w:rPr>
          <w:rFonts w:ascii="Arial" w:hAnsi="Arial" w:cs="Arial"/>
          <w:sz w:val="22"/>
          <w:lang w:eastAsia="es-CO"/>
        </w:rPr>
        <w:t>do</w:t>
      </w:r>
      <w:r w:rsidR="007701D9" w:rsidRPr="00065D8F">
        <w:rPr>
          <w:rFonts w:ascii="Arial" w:hAnsi="Arial" w:cs="Arial"/>
          <w:sz w:val="22"/>
          <w:lang w:eastAsia="es-CO"/>
        </w:rPr>
        <w:t xml:space="preserve"> que</w:t>
      </w:r>
      <w:r w:rsidRPr="00065D8F">
        <w:rPr>
          <w:rFonts w:ascii="Arial" w:hAnsi="Arial" w:cs="Arial"/>
          <w:sz w:val="22"/>
          <w:lang w:eastAsia="es-CO"/>
        </w:rPr>
        <w:t>:</w:t>
      </w:r>
    </w:p>
    <w:p w14:paraId="33D9C2F3" w14:textId="122A3D0F" w:rsidR="00DB61B2" w:rsidRPr="00065D8F" w:rsidRDefault="00DB61B2" w:rsidP="00065D8F">
      <w:pPr>
        <w:spacing w:afterLines="120" w:after="288"/>
        <w:ind w:left="709" w:right="709"/>
        <w:jc w:val="both"/>
        <w:rPr>
          <w:rFonts w:ascii="Arial" w:hAnsi="Arial" w:cs="Arial"/>
          <w:sz w:val="21"/>
          <w:szCs w:val="21"/>
        </w:rPr>
      </w:pPr>
      <w:r w:rsidRPr="00065D8F">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65D8F">
        <w:rPr>
          <w:rFonts w:ascii="Arial" w:hAnsi="Arial" w:cs="Arial"/>
          <w:sz w:val="22"/>
          <w:vertAlign w:val="superscript"/>
          <w:lang w:eastAsia="es-CO"/>
        </w:rPr>
        <w:footnoteReference w:id="11"/>
      </w:r>
      <w:r w:rsidRPr="00065D8F">
        <w:rPr>
          <w:rFonts w:ascii="Arial" w:hAnsi="Arial" w:cs="Arial"/>
          <w:sz w:val="21"/>
          <w:szCs w:val="21"/>
        </w:rPr>
        <w:t>.</w:t>
      </w:r>
    </w:p>
    <w:p w14:paraId="2D8D2D07" w14:textId="060F5731" w:rsidR="00F61159" w:rsidRPr="00065D8F" w:rsidRDefault="00DB61B2" w:rsidP="00065D8F">
      <w:pPr>
        <w:spacing w:afterLines="120" w:after="288"/>
        <w:ind w:left="708" w:right="709"/>
        <w:jc w:val="both"/>
        <w:rPr>
          <w:rFonts w:ascii="Arial" w:hAnsi="Arial" w:cs="Arial"/>
          <w:sz w:val="21"/>
          <w:szCs w:val="21"/>
        </w:rPr>
      </w:pPr>
      <w:r w:rsidRPr="00065D8F">
        <w:rPr>
          <w:rFonts w:ascii="Arial" w:hAnsi="Arial" w:cs="Arial"/>
          <w:sz w:val="21"/>
          <w:szCs w:val="21"/>
        </w:rPr>
        <w:t xml:space="preserve">Esta Sala ha entendido que para los efectos de la ley de garantías, y dada su finalidad, el enunciado ´contratación directa´ es sinónimo </w:t>
      </w:r>
      <w:bookmarkStart w:id="28" w:name="_Hlk75741738"/>
      <w:r w:rsidRPr="00065D8F">
        <w:rPr>
          <w:rFonts w:ascii="Arial" w:hAnsi="Arial" w:cs="Arial"/>
          <w:sz w:val="21"/>
          <w:szCs w:val="21"/>
        </w:rPr>
        <w:t xml:space="preserve">de cualquier sistema que no implique convocatoria pública y posibilidad de pluralidad de oferentes, </w:t>
      </w:r>
      <w:bookmarkEnd w:id="28"/>
      <w:r w:rsidRPr="00065D8F">
        <w:rPr>
          <w:rFonts w:ascii="Arial" w:hAnsi="Arial" w:cs="Arial"/>
          <w:sz w:val="21"/>
          <w:szCs w:val="21"/>
        </w:rPr>
        <w:t xml:space="preserve">y que, además, no necesariamente hace referencia al procedimiento especial </w:t>
      </w:r>
      <w:r w:rsidRPr="00065D8F">
        <w:rPr>
          <w:rFonts w:ascii="Arial" w:hAnsi="Arial" w:cs="Arial"/>
          <w:sz w:val="21"/>
          <w:szCs w:val="21"/>
        </w:rPr>
        <w:lastRenderedPageBreak/>
        <w:t>regulado por la ley de contratación estatal, sino a cualquier otro que prescinda de un proceso de licitación pública o concurso</w:t>
      </w:r>
      <w:r w:rsidRPr="00065D8F">
        <w:rPr>
          <w:rFonts w:ascii="Arial" w:hAnsi="Arial" w:cs="Arial"/>
          <w:sz w:val="21"/>
          <w:szCs w:val="21"/>
          <w:vertAlign w:val="superscript"/>
        </w:rPr>
        <w:footnoteReference w:id="12"/>
      </w:r>
      <w:r w:rsidRPr="00065D8F">
        <w:rPr>
          <w:rFonts w:ascii="Arial" w:hAnsi="Arial" w:cs="Arial"/>
          <w:sz w:val="21"/>
          <w:szCs w:val="21"/>
          <w:vertAlign w:val="superscript"/>
        </w:rPr>
        <w:t>.</w:t>
      </w:r>
      <w:r w:rsidRPr="00065D8F">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065D8F">
        <w:rPr>
          <w:rFonts w:ascii="Arial" w:hAnsi="Arial" w:cs="Arial"/>
          <w:sz w:val="22"/>
          <w:vertAlign w:val="superscript"/>
          <w:lang w:eastAsia="es-CO"/>
        </w:rPr>
        <w:footnoteReference w:id="13"/>
      </w:r>
      <w:r w:rsidRPr="00065D8F">
        <w:rPr>
          <w:rFonts w:ascii="Arial" w:hAnsi="Arial" w:cs="Arial"/>
          <w:sz w:val="21"/>
          <w:szCs w:val="21"/>
        </w:rPr>
        <w:t xml:space="preserve"> .</w:t>
      </w:r>
    </w:p>
    <w:p w14:paraId="211FEAF3" w14:textId="77777777" w:rsidR="003377CD" w:rsidRPr="00065D8F" w:rsidRDefault="003377CD" w:rsidP="003377CD">
      <w:pPr>
        <w:spacing w:after="120" w:line="276" w:lineRule="auto"/>
        <w:ind w:firstLine="708"/>
        <w:jc w:val="both"/>
        <w:rPr>
          <w:rFonts w:ascii="Arial" w:hAnsi="Arial" w:cs="Arial"/>
          <w:bCs/>
          <w:sz w:val="22"/>
          <w:szCs w:val="22"/>
          <w:lang w:eastAsia="x-none"/>
        </w:rPr>
      </w:pPr>
      <w:bookmarkStart w:id="30" w:name="_Hlk94521748"/>
      <w:r w:rsidRPr="00065D8F">
        <w:rPr>
          <w:rFonts w:ascii="Arial" w:hAnsi="Arial" w:cs="Arial"/>
          <w:sz w:val="22"/>
          <w:szCs w:val="22"/>
          <w:lang w:eastAsia="x-none"/>
        </w:rPr>
        <w:t xml:space="preserve">De acuerdo con el citado concepto, la prohibición del artículo 33 de la Ley de Garantías Electorales se refiere a </w:t>
      </w:r>
      <w:r w:rsidRPr="00065D8F">
        <w:rPr>
          <w:rFonts w:ascii="Arial" w:hAnsi="Arial" w:cs="Arial"/>
          <w:sz w:val="19"/>
          <w:szCs w:val="19"/>
          <w:lang w:eastAsia="en-GB"/>
        </w:rPr>
        <w:t>«</w:t>
      </w:r>
      <w:r w:rsidRPr="00065D8F">
        <w:rPr>
          <w:rFonts w:ascii="Arial" w:hAnsi="Arial" w:cs="Arial"/>
          <w:sz w:val="22"/>
          <w:szCs w:val="22"/>
          <w:lang w:eastAsia="x-none"/>
        </w:rPr>
        <w:t>cualquier sistema que no implique convocatoria pública y posibilidad de pluralidad de oferentes</w:t>
      </w:r>
      <w:r w:rsidRPr="00065D8F">
        <w:rPr>
          <w:rFonts w:ascii="Arial" w:hAnsi="Arial" w:cs="Arial"/>
          <w:sz w:val="22"/>
          <w:szCs w:val="22"/>
          <w:lang w:eastAsia="en-GB"/>
        </w:rPr>
        <w:t>»</w:t>
      </w:r>
      <w:r w:rsidRPr="00065D8F">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w:t>
      </w:r>
      <w:r w:rsidRPr="00065D8F">
        <w:rPr>
          <w:rFonts w:ascii="Arial" w:hAnsi="Arial" w:cs="Arial"/>
          <w:sz w:val="22"/>
          <w:szCs w:val="22"/>
          <w:lang w:val="es-ES_tradnl" w:eastAsia="x-none"/>
        </w:rPr>
        <w:t>y la mínima cuantía</w:t>
      </w:r>
      <w:r w:rsidRPr="00065D8F" w:rsidDel="00A85D9F">
        <w:rPr>
          <w:rFonts w:ascii="Arial" w:hAnsi="Arial" w:cs="Arial"/>
          <w:sz w:val="22"/>
          <w:szCs w:val="22"/>
          <w:lang w:eastAsia="x-none"/>
        </w:rPr>
        <w:t xml:space="preserve"> </w:t>
      </w:r>
      <w:r w:rsidRPr="00065D8F">
        <w:rPr>
          <w:rFonts w:ascii="Arial" w:hAnsi="Arial" w:cs="Arial"/>
          <w:sz w:val="22"/>
          <w:szCs w:val="22"/>
          <w:lang w:eastAsia="x-none"/>
        </w:rPr>
        <w:t>u otros previstos en normas especiales. Esta posición es congruente con la expedición de la Ley 1150 de 2007 que, entre otras reformas, introdujo la selección abreviada, rediseñó el concurso de méritos</w:t>
      </w:r>
      <w:r w:rsidRPr="00065D8F">
        <w:rPr>
          <w:rFonts w:ascii="Arial" w:hAnsi="Arial" w:cs="Arial"/>
          <w:sz w:val="22"/>
          <w:szCs w:val="22"/>
          <w:vertAlign w:val="superscript"/>
          <w:lang w:val="en-GB" w:eastAsia="x-none"/>
        </w:rPr>
        <w:footnoteReference w:id="14"/>
      </w:r>
      <w:r w:rsidRPr="00065D8F">
        <w:rPr>
          <w:rFonts w:ascii="Arial" w:hAnsi="Arial" w:cs="Arial"/>
          <w:sz w:val="22"/>
          <w:szCs w:val="22"/>
          <w:lang w:eastAsia="x-none"/>
        </w:rPr>
        <w:t xml:space="preserve"> y sistematizó las causales de contratación directa</w:t>
      </w:r>
      <w:r w:rsidRPr="00065D8F">
        <w:rPr>
          <w:rFonts w:ascii="Arial" w:hAnsi="Arial" w:cs="Arial"/>
          <w:sz w:val="22"/>
          <w:szCs w:val="22"/>
          <w:vertAlign w:val="superscript"/>
          <w:lang w:val="en-GB" w:eastAsia="x-none"/>
        </w:rPr>
        <w:footnoteReference w:id="15"/>
      </w:r>
      <w:r w:rsidRPr="00065D8F">
        <w:rPr>
          <w:rFonts w:ascii="Arial" w:hAnsi="Arial" w:cs="Arial"/>
          <w:sz w:val="22"/>
          <w:szCs w:val="22"/>
          <w:lang w:eastAsia="x-none"/>
        </w:rPr>
        <w:t xml:space="preserve">, </w:t>
      </w:r>
      <w:r w:rsidRPr="00065D8F">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bookmarkEnd w:id="30"/>
    <w:p w14:paraId="2F4008CF" w14:textId="25796E13" w:rsidR="00F61159" w:rsidRPr="00065D8F" w:rsidRDefault="003377CD" w:rsidP="00065D8F">
      <w:pPr>
        <w:spacing w:after="120" w:line="276" w:lineRule="auto"/>
        <w:ind w:firstLine="709"/>
        <w:jc w:val="both"/>
        <w:rPr>
          <w:rFonts w:ascii="Arial" w:hAnsi="Arial" w:cs="Arial"/>
          <w:sz w:val="22"/>
          <w:lang w:eastAsia="x-none"/>
        </w:rPr>
      </w:pPr>
      <w:r w:rsidRPr="00065D8F">
        <w:rPr>
          <w:rFonts w:ascii="Arial" w:hAnsi="Arial" w:cs="Arial"/>
          <w:sz w:val="22"/>
          <w:szCs w:val="22"/>
          <w:lang w:eastAsia="x-none"/>
        </w:rPr>
        <w:t xml:space="preserve">De esta forma, con fundamento en la evolución de la normativa sobre la contratación pública, se ha depurado la noción de </w:t>
      </w:r>
      <w:r w:rsidRPr="00065D8F">
        <w:rPr>
          <w:rFonts w:ascii="Arial" w:hAnsi="Arial" w:cs="Arial"/>
          <w:sz w:val="19"/>
          <w:szCs w:val="19"/>
          <w:lang w:eastAsia="en-GB"/>
        </w:rPr>
        <w:t>«</w:t>
      </w:r>
      <w:r w:rsidRPr="00065D8F">
        <w:rPr>
          <w:rFonts w:ascii="Arial" w:hAnsi="Arial" w:cs="Arial"/>
          <w:sz w:val="22"/>
          <w:szCs w:val="22"/>
          <w:lang w:eastAsia="x-none"/>
        </w:rPr>
        <w:t>contratación directa</w:t>
      </w:r>
      <w:r w:rsidRPr="00065D8F">
        <w:rPr>
          <w:rFonts w:ascii="Arial" w:hAnsi="Arial" w:cs="Arial"/>
          <w:sz w:val="22"/>
          <w:szCs w:val="22"/>
          <w:lang w:eastAsia="en-GB"/>
        </w:rPr>
        <w:t>»</w:t>
      </w:r>
      <w:r w:rsidRPr="00065D8F">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065D8F">
        <w:rPr>
          <w:rFonts w:ascii="Arial" w:hAnsi="Arial" w:cs="Arial"/>
          <w:sz w:val="22"/>
          <w:szCs w:val="22"/>
          <w:vertAlign w:val="superscript"/>
          <w:lang w:val="en-GB" w:eastAsia="x-none"/>
        </w:rPr>
        <w:footnoteReference w:id="16"/>
      </w:r>
      <w:r w:rsidRPr="00065D8F">
        <w:rPr>
          <w:rFonts w:ascii="Arial" w:hAnsi="Arial" w:cs="Arial"/>
          <w:sz w:val="22"/>
          <w:szCs w:val="22"/>
          <w:lang w:eastAsia="x-none"/>
        </w:rPr>
        <w:t>, han establecido sistemas de contratación que implican convocatoria pública y participación de varios oferentes</w:t>
      </w:r>
      <w:r w:rsidRPr="00065D8F">
        <w:rPr>
          <w:rFonts w:ascii="Arial" w:hAnsi="Arial" w:cs="Arial"/>
          <w:sz w:val="22"/>
          <w:szCs w:val="22"/>
          <w:lang w:eastAsia="en-GB"/>
        </w:rPr>
        <w:t>»</w:t>
      </w:r>
      <w:r w:rsidRPr="00065D8F">
        <w:rPr>
          <w:rFonts w:ascii="Arial" w:hAnsi="Arial" w:cs="Arial"/>
          <w:sz w:val="22"/>
          <w:szCs w:val="22"/>
          <w:lang w:eastAsia="x-none"/>
        </w:rPr>
        <w:t>.</w:t>
      </w:r>
    </w:p>
    <w:p w14:paraId="53C28641" w14:textId="46409A62" w:rsidR="006C6A3B" w:rsidRPr="00065D8F" w:rsidRDefault="00F61159" w:rsidP="00065D8F">
      <w:pPr>
        <w:spacing w:after="120" w:line="276" w:lineRule="auto"/>
        <w:ind w:firstLine="709"/>
        <w:jc w:val="both"/>
        <w:rPr>
          <w:rFonts w:ascii="Arial" w:hAnsi="Arial" w:cs="Arial"/>
          <w:bCs/>
          <w:sz w:val="22"/>
          <w:lang w:eastAsia="es-CO"/>
        </w:rPr>
      </w:pPr>
      <w:r w:rsidRPr="00065D8F">
        <w:rPr>
          <w:rFonts w:ascii="Arial" w:hAnsi="Arial" w:cs="Arial"/>
          <w:bCs/>
          <w:sz w:val="22"/>
          <w:lang w:eastAsia="x-none"/>
        </w:rPr>
        <w:t>E</w:t>
      </w:r>
      <w:r w:rsidR="008C6B51" w:rsidRPr="00065D8F">
        <w:rPr>
          <w:rFonts w:ascii="Arial" w:hAnsi="Arial" w:cs="Arial"/>
          <w:sz w:val="22"/>
          <w:lang w:eastAsia="x-none"/>
        </w:rPr>
        <w:t xml:space="preserve">n efecto, vale la pena mencionar que, </w:t>
      </w:r>
      <w:bookmarkStart w:id="31" w:name="_Hlk75636073"/>
      <w:r w:rsidR="008C6B51" w:rsidRPr="00065D8F">
        <w:rPr>
          <w:rFonts w:ascii="Arial" w:hAnsi="Arial" w:cs="Arial"/>
          <w:sz w:val="22"/>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008C6B51" w:rsidRPr="00065D8F">
        <w:rPr>
          <w:rFonts w:ascii="Arial" w:hAnsi="Arial" w:cs="Arial"/>
          <w:sz w:val="22"/>
          <w:lang w:eastAsia="x-none"/>
        </w:rPr>
        <w:lastRenderedPageBreak/>
        <w:t>convocatoria para inscribirse en forma previa se haga de manera pública, y que se permita la participación de una pluralidad de oferentes</w:t>
      </w:r>
      <w:bookmarkEnd w:id="31"/>
      <w:r w:rsidR="008C6B51" w:rsidRPr="00065D8F">
        <w:rPr>
          <w:rFonts w:ascii="Arial" w:hAnsi="Arial" w:cs="Arial"/>
          <w:sz w:val="22"/>
          <w:vertAlign w:val="superscript"/>
          <w:lang w:eastAsia="x-none"/>
        </w:rPr>
        <w:footnoteReference w:id="17"/>
      </w:r>
      <w:r w:rsidR="008C6B51" w:rsidRPr="00065D8F">
        <w:rPr>
          <w:rFonts w:ascii="Arial" w:hAnsi="Arial" w:cs="Arial"/>
          <w:sz w:val="22"/>
          <w:lang w:eastAsia="x-none"/>
        </w:rPr>
        <w:t xml:space="preserve">. </w:t>
      </w:r>
    </w:p>
    <w:p w14:paraId="260E30ED" w14:textId="7E3BBE15" w:rsidR="006C6A3B" w:rsidRPr="00065D8F" w:rsidRDefault="006C6A3B" w:rsidP="00065D8F">
      <w:pPr>
        <w:spacing w:after="120" w:line="276" w:lineRule="auto"/>
        <w:ind w:firstLine="709"/>
        <w:jc w:val="both"/>
        <w:rPr>
          <w:rFonts w:ascii="Arial" w:hAnsi="Arial" w:cs="Arial"/>
          <w:bCs/>
          <w:sz w:val="22"/>
          <w:lang w:eastAsia="es-CO"/>
        </w:rPr>
      </w:pPr>
      <w:r w:rsidRPr="00065D8F">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065D8F">
        <w:rPr>
          <w:rFonts w:ascii="Arial" w:hAnsi="Arial" w:cs="Arial"/>
          <w:bCs/>
          <w:sz w:val="22"/>
          <w:lang w:eastAsia="es-CO"/>
        </w:rPr>
        <w:t>.</w:t>
      </w:r>
    </w:p>
    <w:p w14:paraId="0C03ED6F" w14:textId="4A8EF358" w:rsidR="006C6A3B" w:rsidRPr="00065D8F" w:rsidRDefault="00856B57" w:rsidP="00065D8F">
      <w:pPr>
        <w:spacing w:after="120" w:line="276" w:lineRule="auto"/>
        <w:ind w:firstLine="709"/>
        <w:jc w:val="both"/>
        <w:rPr>
          <w:rFonts w:ascii="Arial" w:hAnsi="Arial" w:cs="Arial"/>
          <w:bCs/>
          <w:sz w:val="22"/>
          <w:lang w:eastAsia="x-none"/>
        </w:rPr>
      </w:pPr>
      <w:bookmarkStart w:id="32" w:name="_Hlk78818796"/>
      <w:r w:rsidRPr="00065D8F">
        <w:rPr>
          <w:rFonts w:ascii="Arial" w:hAnsi="Arial" w:cs="Arial"/>
          <w:bCs/>
          <w:sz w:val="22"/>
          <w:lang w:eastAsia="x-none"/>
        </w:rPr>
        <w:t xml:space="preserve"> </w:t>
      </w:r>
      <w:r w:rsidR="00DB61B2" w:rsidRPr="00065D8F">
        <w:rPr>
          <w:rFonts w:ascii="Arial"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065D8F">
        <w:rPr>
          <w:rFonts w:ascii="Arial" w:hAnsi="Arial" w:cs="Arial"/>
          <w:bCs/>
          <w:sz w:val="22"/>
          <w:lang w:eastAsia="x-none"/>
        </w:rPr>
        <w:t xml:space="preserve">es </w:t>
      </w:r>
      <w:r w:rsidR="00DB61B2" w:rsidRPr="00065D8F">
        <w:rPr>
          <w:rFonts w:ascii="Arial" w:hAnsi="Arial" w:cs="Arial"/>
          <w:bCs/>
          <w:sz w:val="22"/>
          <w:lang w:eastAsia="x-none"/>
        </w:rPr>
        <w:t>cualquier sistema de selección o procedimiento de contratación</w:t>
      </w:r>
      <w:r w:rsidR="006C6A3B" w:rsidRPr="00065D8F">
        <w:rPr>
          <w:rFonts w:ascii="Arial" w:hAnsi="Arial" w:cs="Arial"/>
          <w:bCs/>
          <w:sz w:val="22"/>
          <w:lang w:eastAsia="x-none"/>
        </w:rPr>
        <w:t xml:space="preserve"> </w:t>
      </w:r>
      <w:r w:rsidR="00DB61B2" w:rsidRPr="00065D8F">
        <w:rPr>
          <w:rFonts w:ascii="Arial" w:hAnsi="Arial" w:cs="Arial"/>
          <w:bCs/>
          <w:sz w:val="22"/>
          <w:lang w:eastAsia="x-none"/>
        </w:rPr>
        <w:t>utilizado por las entidades estatales que no incluya la convocatoria pública en alguna de sus etapas, ni permita la participación de una pluralidad de oferentes</w:t>
      </w:r>
      <w:r w:rsidR="00F61159" w:rsidRPr="00065D8F">
        <w:rPr>
          <w:rFonts w:ascii="Arial" w:hAnsi="Arial" w:cs="Arial"/>
          <w:sz w:val="22"/>
          <w:vertAlign w:val="superscript"/>
          <w:lang w:eastAsia="x-none"/>
        </w:rPr>
        <w:footnoteReference w:id="18"/>
      </w:r>
      <w:r w:rsidR="0052446F" w:rsidRPr="00065D8F">
        <w:rPr>
          <w:rFonts w:ascii="Arial" w:hAnsi="Arial" w:cs="Arial"/>
          <w:bCs/>
          <w:sz w:val="22"/>
          <w:lang w:eastAsia="x-none"/>
        </w:rPr>
        <w:t>.</w:t>
      </w:r>
      <w:r w:rsidR="00F61159" w:rsidRPr="00065D8F">
        <w:rPr>
          <w:rFonts w:ascii="Arial" w:hAnsi="Arial" w:cs="Arial"/>
          <w:sz w:val="22"/>
          <w:vertAlign w:val="superscript"/>
          <w:lang w:eastAsia="x-none"/>
        </w:rPr>
        <w:t xml:space="preserve"> </w:t>
      </w:r>
    </w:p>
    <w:bookmarkEnd w:id="32"/>
    <w:p w14:paraId="0B41E164" w14:textId="2A2E0CAE" w:rsidR="00843F7A" w:rsidRPr="00065D8F" w:rsidRDefault="00F61159" w:rsidP="00065D8F">
      <w:pPr>
        <w:spacing w:after="120" w:line="276" w:lineRule="auto"/>
        <w:ind w:firstLine="709"/>
        <w:jc w:val="both"/>
        <w:rPr>
          <w:rFonts w:ascii="Arial" w:hAnsi="Arial" w:cs="Arial"/>
          <w:sz w:val="22"/>
          <w:lang w:eastAsia="x-none"/>
        </w:rPr>
      </w:pPr>
      <w:r w:rsidRPr="00065D8F">
        <w:rPr>
          <w:rFonts w:ascii="Arial" w:hAnsi="Arial" w:cs="Arial"/>
          <w:bCs/>
          <w:sz w:val="22"/>
          <w:lang w:eastAsia="x-none"/>
        </w:rPr>
        <w:t>De lo anterior se desp</w:t>
      </w:r>
      <w:r w:rsidR="0011730D" w:rsidRPr="00065D8F">
        <w:rPr>
          <w:rFonts w:ascii="Arial" w:hAnsi="Arial" w:cs="Arial"/>
          <w:bCs/>
          <w:sz w:val="22"/>
          <w:lang w:eastAsia="x-none"/>
        </w:rPr>
        <w:t>r</w:t>
      </w:r>
      <w:r w:rsidRPr="00065D8F">
        <w:rPr>
          <w:rFonts w:ascii="Arial"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065D8F">
        <w:rPr>
          <w:rFonts w:ascii="Arial" w:hAnsi="Arial" w:cs="Arial"/>
          <w:sz w:val="22"/>
          <w:lang w:eastAsia="x-none"/>
        </w:rPr>
        <w:t xml:space="preserve"> Por tanto, no son materia de la prohibición las demás modalidades de selección previstas en la Ley 1150 de 2007, es decir, la licitación pública, el concurso de méritos</w:t>
      </w:r>
      <w:r w:rsidR="00622506" w:rsidRPr="00065D8F">
        <w:rPr>
          <w:rFonts w:ascii="Arial" w:hAnsi="Arial" w:cs="Arial"/>
          <w:sz w:val="22"/>
          <w:lang w:eastAsia="x-none"/>
        </w:rPr>
        <w:t xml:space="preserve">, </w:t>
      </w:r>
      <w:r w:rsidR="006C6A3B" w:rsidRPr="00065D8F">
        <w:rPr>
          <w:rFonts w:ascii="Arial" w:hAnsi="Arial" w:cs="Arial"/>
          <w:sz w:val="22"/>
          <w:lang w:eastAsia="x-none"/>
        </w:rPr>
        <w:t>la selección abreviada</w:t>
      </w:r>
      <w:r w:rsidR="00622506" w:rsidRPr="00065D8F">
        <w:rPr>
          <w:rFonts w:ascii="Arial" w:hAnsi="Arial" w:cs="Arial"/>
          <w:sz w:val="22"/>
          <w:lang w:eastAsia="x-none"/>
        </w:rPr>
        <w:t xml:space="preserve"> y la contratación de mínima cuantía,</w:t>
      </w:r>
      <w:r w:rsidR="006C6A3B" w:rsidRPr="00065D8F">
        <w:rPr>
          <w:rFonts w:ascii="Arial" w:hAnsi="Arial" w:cs="Arial"/>
          <w:sz w:val="22"/>
          <w:lang w:eastAsia="x-none"/>
        </w:rPr>
        <w:t xml:space="preserve"> razón por la cual en </w:t>
      </w:r>
      <w:r w:rsidR="00A8746A" w:rsidRPr="00065D8F">
        <w:rPr>
          <w:rFonts w:ascii="Arial" w:hAnsi="Arial" w:cs="Arial"/>
          <w:sz w:val="22"/>
          <w:lang w:eastAsia="x-none"/>
        </w:rPr>
        <w:t xml:space="preserve">el </w:t>
      </w:r>
      <w:r w:rsidR="006C6A3B" w:rsidRPr="00065D8F">
        <w:rPr>
          <w:rFonts w:ascii="Arial" w:hAnsi="Arial" w:cs="Arial"/>
          <w:sz w:val="22"/>
          <w:lang w:eastAsia="x-none"/>
        </w:rPr>
        <w:t>per</w:t>
      </w:r>
      <w:r w:rsidR="00326A5D" w:rsidRPr="00065D8F">
        <w:rPr>
          <w:rFonts w:ascii="Arial" w:hAnsi="Arial" w:cs="Arial"/>
          <w:sz w:val="22"/>
          <w:lang w:eastAsia="x-none"/>
        </w:rPr>
        <w:t>í</w:t>
      </w:r>
      <w:r w:rsidR="006C6A3B" w:rsidRPr="00065D8F">
        <w:rPr>
          <w:rFonts w:ascii="Arial" w:hAnsi="Arial" w:cs="Arial"/>
          <w:sz w:val="22"/>
          <w:lang w:eastAsia="x-none"/>
        </w:rPr>
        <w:t>odo preelectoral de que trata la disposición las entidades públicas</w:t>
      </w:r>
      <w:r w:rsidR="008877F9" w:rsidRPr="00065D8F">
        <w:rPr>
          <w:rFonts w:ascii="Arial" w:hAnsi="Arial" w:cs="Arial"/>
          <w:sz w:val="22"/>
          <w:lang w:eastAsia="x-none"/>
        </w:rPr>
        <w:t xml:space="preserve"> pueden</w:t>
      </w:r>
      <w:r w:rsidR="006C6A3B" w:rsidRPr="00065D8F">
        <w:rPr>
          <w:rFonts w:ascii="Arial" w:hAnsi="Arial" w:cs="Arial"/>
          <w:sz w:val="22"/>
          <w:lang w:eastAsia="x-none"/>
        </w:rPr>
        <w:t xml:space="preserve"> seguir contratando bajo estos sistemas.</w:t>
      </w:r>
    </w:p>
    <w:p w14:paraId="13CCFE79" w14:textId="27EAFD29" w:rsidR="00F61159" w:rsidRPr="00065D8F" w:rsidRDefault="00843F7A" w:rsidP="00065D8F">
      <w:pPr>
        <w:spacing w:after="120" w:line="276" w:lineRule="auto"/>
        <w:ind w:firstLine="709"/>
        <w:jc w:val="both"/>
        <w:rPr>
          <w:rFonts w:ascii="Arial" w:hAnsi="Arial" w:cs="Arial"/>
          <w:bCs/>
          <w:sz w:val="22"/>
          <w:lang w:eastAsia="x-none"/>
        </w:rPr>
      </w:pPr>
      <w:bookmarkStart w:id="33" w:name="_Hlk77237094"/>
      <w:r w:rsidRPr="00065D8F">
        <w:rPr>
          <w:rFonts w:ascii="Arial" w:hAnsi="Arial" w:cs="Arial"/>
          <w:bCs/>
          <w:sz w:val="22"/>
          <w:lang w:eastAsia="es-CO"/>
        </w:rPr>
        <w:t>Como en otras oportunidades lo ha manifestado esta Agencia</w:t>
      </w:r>
      <w:r w:rsidR="00856B57" w:rsidRPr="00065D8F">
        <w:rPr>
          <w:rFonts w:ascii="Arial" w:hAnsi="Arial" w:cs="Arial"/>
          <w:bCs/>
          <w:sz w:val="22"/>
          <w:lang w:eastAsia="es-CO"/>
        </w:rPr>
        <w:t>,</w:t>
      </w:r>
      <w:r w:rsidRPr="00065D8F">
        <w:rPr>
          <w:rFonts w:ascii="Arial"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3"/>
    </w:p>
    <w:p w14:paraId="07FCD97F" w14:textId="3E809988" w:rsidR="00452BCB" w:rsidRPr="00065D8F" w:rsidRDefault="00402FD5" w:rsidP="00065D8F">
      <w:pPr>
        <w:spacing w:after="120" w:line="276" w:lineRule="auto"/>
        <w:ind w:firstLine="709"/>
        <w:jc w:val="both"/>
        <w:rPr>
          <w:rFonts w:ascii="Arial" w:hAnsi="Arial" w:cs="Arial"/>
          <w:bCs/>
          <w:sz w:val="22"/>
          <w:lang w:eastAsia="es-CO"/>
        </w:rPr>
      </w:pPr>
      <w:r w:rsidRPr="00065D8F">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w:t>
      </w:r>
      <w:r w:rsidR="00326A5D" w:rsidRPr="00065D8F">
        <w:rPr>
          <w:rFonts w:ascii="Arial" w:hAnsi="Arial" w:cs="Arial"/>
          <w:bCs/>
          <w:sz w:val="22"/>
          <w:lang w:eastAsia="x-none"/>
        </w:rPr>
        <w:t>í</w:t>
      </w:r>
      <w:r w:rsidRPr="00065D8F">
        <w:rPr>
          <w:rFonts w:ascii="Arial" w:hAnsi="Arial" w:cs="Arial"/>
          <w:bCs/>
          <w:sz w:val="22"/>
          <w:lang w:eastAsia="x-none"/>
        </w:rPr>
        <w:t xml:space="preserve">odos previos a la contienda electoral por la Presidencia, se encuentran consagradas </w:t>
      </w:r>
      <w:r w:rsidR="003377CD" w:rsidRPr="00065D8F">
        <w:rPr>
          <w:rFonts w:ascii="Arial" w:hAnsi="Arial" w:cs="Arial"/>
          <w:bCs/>
          <w:sz w:val="22"/>
          <w:lang w:eastAsia="x-none"/>
        </w:rPr>
        <w:t>expresamente</w:t>
      </w:r>
      <w:r w:rsidRPr="00065D8F">
        <w:rPr>
          <w:rFonts w:ascii="Arial" w:hAnsi="Arial" w:cs="Arial"/>
          <w:bCs/>
          <w:sz w:val="22"/>
          <w:lang w:eastAsia="x-none"/>
        </w:rPr>
        <w:t xml:space="preserve"> en el inciso final del citado artículo 33 de la Ley 996 de 2005 en lo referente a</w:t>
      </w:r>
      <w:r w:rsidR="00213B4B" w:rsidRPr="00065D8F">
        <w:rPr>
          <w:rFonts w:ascii="Arial" w:hAnsi="Arial" w:cs="Arial"/>
          <w:bCs/>
          <w:sz w:val="22"/>
          <w:lang w:eastAsia="x-none"/>
        </w:rPr>
        <w:t>:</w:t>
      </w:r>
      <w:r w:rsidRPr="00065D8F">
        <w:rPr>
          <w:rFonts w:ascii="Arial" w:hAnsi="Arial" w:cs="Arial"/>
          <w:bCs/>
          <w:sz w:val="22"/>
          <w:lang w:eastAsia="x-none"/>
        </w:rPr>
        <w:t xml:space="preserve"> i) la defensa y seguridad del Estado; </w:t>
      </w:r>
      <w:proofErr w:type="spellStart"/>
      <w:r w:rsidRPr="00065D8F">
        <w:rPr>
          <w:rFonts w:ascii="Arial" w:hAnsi="Arial" w:cs="Arial"/>
          <w:bCs/>
          <w:sz w:val="22"/>
          <w:lang w:eastAsia="x-none"/>
        </w:rPr>
        <w:t>ii</w:t>
      </w:r>
      <w:proofErr w:type="spellEnd"/>
      <w:r w:rsidRPr="00065D8F">
        <w:rPr>
          <w:rFonts w:ascii="Arial" w:hAnsi="Arial" w:cs="Arial"/>
          <w:bCs/>
          <w:sz w:val="22"/>
          <w:lang w:eastAsia="x-none"/>
        </w:rPr>
        <w:t xml:space="preserve">) los contratos de crédito público; </w:t>
      </w:r>
      <w:proofErr w:type="spellStart"/>
      <w:r w:rsidRPr="00065D8F">
        <w:rPr>
          <w:rFonts w:ascii="Arial" w:hAnsi="Arial" w:cs="Arial"/>
          <w:bCs/>
          <w:sz w:val="22"/>
          <w:lang w:eastAsia="x-none"/>
        </w:rPr>
        <w:t>iii</w:t>
      </w:r>
      <w:proofErr w:type="spellEnd"/>
      <w:r w:rsidRPr="00065D8F">
        <w:rPr>
          <w:rFonts w:ascii="Arial" w:hAnsi="Arial" w:cs="Arial"/>
          <w:bCs/>
          <w:sz w:val="22"/>
          <w:lang w:eastAsia="x-none"/>
        </w:rPr>
        <w:t xml:space="preserve">) los requeridos para cubrir las emergencias educativas, sanitarias y desastres; </w:t>
      </w:r>
      <w:proofErr w:type="spellStart"/>
      <w:r w:rsidRPr="00065D8F">
        <w:rPr>
          <w:rFonts w:ascii="Arial" w:hAnsi="Arial" w:cs="Arial"/>
          <w:bCs/>
          <w:sz w:val="22"/>
          <w:lang w:eastAsia="x-none"/>
        </w:rPr>
        <w:t>iv</w:t>
      </w:r>
      <w:proofErr w:type="spellEnd"/>
      <w:r w:rsidRPr="00065D8F">
        <w:rPr>
          <w:rFonts w:ascii="Arial" w:hAnsi="Arial" w:cs="Arial"/>
          <w:bCs/>
          <w:sz w:val="22"/>
          <w:lang w:eastAsia="x-none"/>
        </w:rPr>
        <w:t xml:space="preserve">) los utilizados para la reconstrucción de vías, puentes, carreteras, infraestructura </w:t>
      </w:r>
      <w:r w:rsidRPr="00065D8F">
        <w:rPr>
          <w:rFonts w:ascii="Arial" w:hAnsi="Arial" w:cs="Arial"/>
          <w:bCs/>
          <w:sz w:val="22"/>
          <w:lang w:eastAsia="x-none"/>
        </w:rPr>
        <w:lastRenderedPageBreak/>
        <w:t>energética y de comunicaciones, en caso de que hayan sido objeto de atentados, acciones terroristas, desastres naturales o casos de fuerza mayor; y, v) los que deban realizar las entidades sanitarias y hospitalarias.</w:t>
      </w:r>
      <w:r w:rsidR="00856B57" w:rsidRPr="00065D8F">
        <w:rPr>
          <w:rFonts w:ascii="Arial" w:hAnsi="Arial" w:cs="Arial"/>
          <w:bCs/>
          <w:sz w:val="22"/>
          <w:lang w:eastAsia="es-CO"/>
        </w:rPr>
        <w:t xml:space="preserve"> </w:t>
      </w:r>
      <w:bookmarkStart w:id="34" w:name="_Hlk104273986"/>
      <w:r w:rsidR="00452BCB" w:rsidRPr="00065D8F">
        <w:rPr>
          <w:rFonts w:ascii="Arial"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065D8F">
        <w:rPr>
          <w:rFonts w:ascii="Arial" w:hAnsi="Arial" w:cs="Arial"/>
          <w:bCs/>
          <w:sz w:val="22"/>
          <w:lang w:eastAsia="es-CO"/>
        </w:rPr>
        <w:t xml:space="preserve">mencionadas </w:t>
      </w:r>
      <w:r w:rsidR="00452BCB" w:rsidRPr="00065D8F">
        <w:rPr>
          <w:rFonts w:ascii="Arial" w:hAnsi="Arial" w:cs="Arial"/>
          <w:bCs/>
          <w:sz w:val="22"/>
          <w:lang w:eastAsia="es-CO"/>
        </w:rPr>
        <w:t xml:space="preserve">excepciones, de manera que se le permita realizar </w:t>
      </w:r>
      <w:r w:rsidR="00F23A10" w:rsidRPr="00065D8F">
        <w:rPr>
          <w:rFonts w:ascii="Arial" w:hAnsi="Arial" w:cs="Arial"/>
          <w:bCs/>
          <w:sz w:val="22"/>
          <w:lang w:eastAsia="es-CO"/>
        </w:rPr>
        <w:t>la contratación</w:t>
      </w:r>
      <w:r w:rsidR="00452BCB" w:rsidRPr="00065D8F">
        <w:rPr>
          <w:rFonts w:ascii="Arial" w:hAnsi="Arial" w:cs="Arial"/>
          <w:bCs/>
          <w:sz w:val="22"/>
          <w:lang w:eastAsia="es-CO"/>
        </w:rPr>
        <w:t xml:space="preserve"> que necesite en forma directa</w:t>
      </w:r>
      <w:bookmarkEnd w:id="34"/>
      <w:r w:rsidR="00452BCB" w:rsidRPr="00065D8F">
        <w:rPr>
          <w:rFonts w:ascii="Arial" w:hAnsi="Arial" w:cs="Arial"/>
          <w:bCs/>
          <w:sz w:val="22"/>
          <w:lang w:eastAsia="es-CO"/>
        </w:rPr>
        <w:t>.</w:t>
      </w:r>
    </w:p>
    <w:p w14:paraId="23F83FE2" w14:textId="1590B9C3" w:rsidR="00D37454" w:rsidRPr="00065D8F" w:rsidRDefault="001F1781" w:rsidP="007155B8">
      <w:pPr>
        <w:spacing w:afterLines="120" w:after="288" w:line="276" w:lineRule="auto"/>
        <w:ind w:firstLine="708"/>
        <w:jc w:val="both"/>
        <w:rPr>
          <w:rFonts w:ascii="Arial" w:hAnsi="Arial" w:cs="Arial"/>
          <w:bCs/>
          <w:sz w:val="22"/>
          <w:lang w:eastAsia="x-none"/>
        </w:rPr>
      </w:pPr>
      <w:r w:rsidRPr="00065D8F">
        <w:rPr>
          <w:rFonts w:ascii="Arial" w:hAnsi="Arial" w:cs="Arial"/>
          <w:bCs/>
          <w:sz w:val="22"/>
          <w:lang w:eastAsia="x-none"/>
        </w:rPr>
        <w:t>En esta labor es importante tener en cuenta, como lo anotó l</w:t>
      </w:r>
      <w:r w:rsidR="00402FD5" w:rsidRPr="00065D8F">
        <w:rPr>
          <w:rFonts w:ascii="Arial" w:hAnsi="Arial" w:cs="Arial"/>
          <w:bCs/>
          <w:sz w:val="22"/>
          <w:lang w:eastAsia="x-none"/>
        </w:rPr>
        <w:t xml:space="preserve">a Corte Constitucional, en </w:t>
      </w:r>
      <w:r w:rsidR="00856B57" w:rsidRPr="00065D8F">
        <w:rPr>
          <w:rFonts w:ascii="Arial" w:hAnsi="Arial" w:cs="Arial"/>
          <w:bCs/>
          <w:sz w:val="22"/>
          <w:lang w:eastAsia="x-none"/>
        </w:rPr>
        <w:t>S</w:t>
      </w:r>
      <w:r w:rsidR="00402FD5" w:rsidRPr="00065D8F">
        <w:rPr>
          <w:rFonts w:ascii="Arial" w:hAnsi="Arial" w:cs="Arial"/>
          <w:bCs/>
          <w:sz w:val="22"/>
          <w:lang w:eastAsia="x-none"/>
        </w:rPr>
        <w:t>entencia C-1153 de noviembre 11 de 2005</w:t>
      </w:r>
      <w:r w:rsidR="003D0D80" w:rsidRPr="00065D8F">
        <w:rPr>
          <w:rFonts w:ascii="Arial" w:hAnsi="Arial" w:cs="Arial"/>
        </w:rPr>
        <w:t>,</w:t>
      </w:r>
      <w:r w:rsidR="00402FD5" w:rsidRPr="00065D8F">
        <w:rPr>
          <w:rFonts w:ascii="Arial" w:hAnsi="Arial" w:cs="Arial"/>
          <w:bCs/>
          <w:sz w:val="22"/>
          <w:lang w:eastAsia="x-none"/>
        </w:rPr>
        <w:t xml:space="preserve"> </w:t>
      </w:r>
      <w:bookmarkStart w:id="35" w:name="_Hlk74309042"/>
      <w:r w:rsidRPr="00065D8F">
        <w:rPr>
          <w:rFonts w:ascii="Arial" w:hAnsi="Arial" w:cs="Arial"/>
          <w:bCs/>
          <w:sz w:val="22"/>
          <w:lang w:eastAsia="x-none"/>
        </w:rPr>
        <w:t xml:space="preserve">que </w:t>
      </w:r>
      <w:r w:rsidR="00402FD5" w:rsidRPr="00065D8F">
        <w:rPr>
          <w:rFonts w:ascii="Arial" w:hAnsi="Arial" w:cs="Arial"/>
          <w:bCs/>
          <w:sz w:val="22"/>
          <w:lang w:eastAsia="x-none"/>
        </w:rPr>
        <w:t>«</w:t>
      </w:r>
      <w:bookmarkEnd w:id="35"/>
      <w:r w:rsidR="00402FD5" w:rsidRPr="00065D8F">
        <w:rPr>
          <w:rFonts w:ascii="Arial" w:hAnsi="Arial" w:cs="Arial"/>
          <w:bCs/>
          <w:sz w:val="22"/>
          <w:lang w:eastAsia="x-none"/>
        </w:rPr>
        <w:t xml:space="preserve">si bien la limitación garantiza la igualdad de condiciones, también es necesario que tal limitación que pretende la igualdad </w:t>
      </w:r>
      <w:bookmarkStart w:id="36" w:name="_Hlk75768308"/>
      <w:r w:rsidR="00402FD5" w:rsidRPr="00065D8F">
        <w:rPr>
          <w:rFonts w:ascii="Arial" w:hAnsi="Arial" w:cs="Arial"/>
          <w:bCs/>
          <w:sz w:val="22"/>
          <w:lang w:eastAsia="x-none"/>
        </w:rPr>
        <w:t>no termine yendo en detrimento de intereses públicos</w:t>
      </w:r>
      <w:r w:rsidR="00195EDB" w:rsidRPr="00065D8F">
        <w:rPr>
          <w:rFonts w:ascii="Arial" w:hAnsi="Arial" w:cs="Arial"/>
          <w:bCs/>
          <w:sz w:val="22"/>
          <w:lang w:eastAsia="x-none"/>
        </w:rPr>
        <w:t>,</w:t>
      </w:r>
      <w:r w:rsidR="00402FD5" w:rsidRPr="00065D8F">
        <w:rPr>
          <w:rFonts w:ascii="Arial" w:hAnsi="Arial" w:cs="Arial"/>
          <w:bCs/>
          <w:sz w:val="22"/>
          <w:lang w:eastAsia="x-none"/>
        </w:rPr>
        <w:t xml:space="preserve"> cuya garantía está en cabeza del ejecutivo, como son los inmersos en las excepciones para la prohibición de contratación</w:t>
      </w:r>
      <w:bookmarkStart w:id="37" w:name="_Hlk74309060"/>
      <w:r w:rsidR="00402FD5" w:rsidRPr="00065D8F">
        <w:rPr>
          <w:rFonts w:ascii="Arial" w:hAnsi="Arial" w:cs="Arial"/>
          <w:bCs/>
          <w:sz w:val="22"/>
          <w:lang w:eastAsia="x-none"/>
        </w:rPr>
        <w:t>»</w:t>
      </w:r>
      <w:bookmarkEnd w:id="37"/>
      <w:r w:rsidR="00856B57" w:rsidRPr="00065D8F">
        <w:rPr>
          <w:rStyle w:val="Refdenotaalpie"/>
          <w:rFonts w:ascii="Arial" w:hAnsi="Arial" w:cs="Arial"/>
          <w:sz w:val="22"/>
        </w:rPr>
        <w:footnoteReference w:id="19"/>
      </w:r>
      <w:r w:rsidR="00856B57" w:rsidRPr="00065D8F">
        <w:rPr>
          <w:rFonts w:ascii="Arial" w:hAnsi="Arial" w:cs="Arial"/>
          <w:bCs/>
          <w:sz w:val="22"/>
          <w:lang w:eastAsia="x-none"/>
        </w:rPr>
        <w:t>.</w:t>
      </w:r>
      <w:r w:rsidR="00402FD5" w:rsidRPr="00065D8F">
        <w:rPr>
          <w:rFonts w:ascii="Arial" w:hAnsi="Arial" w:cs="Arial"/>
          <w:bCs/>
          <w:sz w:val="22"/>
          <w:lang w:eastAsia="x-none"/>
        </w:rPr>
        <w:t xml:space="preserve"> De ahí que la Corte </w:t>
      </w:r>
      <w:r w:rsidR="00C611EF" w:rsidRPr="00065D8F">
        <w:rPr>
          <w:rFonts w:ascii="Arial" w:hAnsi="Arial" w:cs="Arial"/>
          <w:bCs/>
          <w:sz w:val="22"/>
          <w:lang w:eastAsia="x-none"/>
        </w:rPr>
        <w:t>haya hecho particular énfasis</w:t>
      </w:r>
      <w:r w:rsidR="00402FD5" w:rsidRPr="00065D8F">
        <w:rPr>
          <w:rFonts w:ascii="Arial"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8" w:name="_Hlk75783800"/>
      <w:bookmarkEnd w:id="36"/>
    </w:p>
    <w:p w14:paraId="34C3C987" w14:textId="5D7A50B0" w:rsidR="00767455" w:rsidRPr="00065D8F" w:rsidRDefault="00767455" w:rsidP="007155B8">
      <w:pPr>
        <w:spacing w:afterLines="120" w:after="288" w:line="276" w:lineRule="auto"/>
        <w:jc w:val="both"/>
        <w:rPr>
          <w:rFonts w:ascii="Arial" w:hAnsi="Arial" w:cs="Arial"/>
          <w:b/>
          <w:sz w:val="22"/>
          <w:lang w:eastAsia="x-none"/>
        </w:rPr>
      </w:pPr>
      <w:r w:rsidRPr="00065D8F">
        <w:rPr>
          <w:rFonts w:ascii="Arial" w:hAnsi="Arial" w:cs="Arial"/>
          <w:b/>
          <w:sz w:val="22"/>
          <w:lang w:eastAsia="x-none"/>
        </w:rPr>
        <w:t>2.</w:t>
      </w:r>
      <w:r w:rsidR="004E638B" w:rsidRPr="00065D8F">
        <w:rPr>
          <w:rFonts w:ascii="Arial" w:hAnsi="Arial" w:cs="Arial"/>
          <w:b/>
          <w:sz w:val="22"/>
          <w:lang w:eastAsia="x-none"/>
        </w:rPr>
        <w:t>3</w:t>
      </w:r>
      <w:r w:rsidRPr="00065D8F">
        <w:rPr>
          <w:rFonts w:ascii="Arial" w:hAnsi="Arial" w:cs="Arial"/>
          <w:b/>
          <w:sz w:val="22"/>
          <w:lang w:eastAsia="x-none"/>
        </w:rPr>
        <w:t>. Destinatarios de la restricción del art</w:t>
      </w:r>
      <w:r w:rsidR="006F514F" w:rsidRPr="00065D8F">
        <w:rPr>
          <w:rFonts w:ascii="Arial" w:hAnsi="Arial" w:cs="Arial"/>
          <w:b/>
          <w:sz w:val="22"/>
          <w:lang w:eastAsia="x-none"/>
        </w:rPr>
        <w:t>í</w:t>
      </w:r>
      <w:r w:rsidRPr="00065D8F">
        <w:rPr>
          <w:rFonts w:ascii="Arial" w:hAnsi="Arial" w:cs="Arial"/>
          <w:b/>
          <w:sz w:val="22"/>
          <w:lang w:eastAsia="x-none"/>
        </w:rPr>
        <w:t>culo 33 de la Ley 996 de 2005</w:t>
      </w:r>
    </w:p>
    <w:p w14:paraId="3BD97279" w14:textId="0BCE27C5" w:rsidR="008415D0" w:rsidRPr="00065D8F" w:rsidRDefault="008415D0" w:rsidP="00065D8F">
      <w:pPr>
        <w:spacing w:after="120" w:line="276" w:lineRule="auto"/>
        <w:jc w:val="both"/>
        <w:rPr>
          <w:rFonts w:ascii="Arial" w:hAnsi="Arial" w:cs="Arial"/>
          <w:bCs/>
          <w:color w:val="000000" w:themeColor="text1"/>
          <w:sz w:val="22"/>
          <w:szCs w:val="22"/>
          <w:lang w:val="es-MX" w:eastAsia="x-none"/>
        </w:rPr>
      </w:pPr>
      <w:r w:rsidRPr="00065D8F">
        <w:rPr>
          <w:rFonts w:ascii="Arial" w:hAnsi="Arial" w:cs="Arial"/>
          <w:bCs/>
          <w:color w:val="000000" w:themeColor="text1"/>
          <w:sz w:val="22"/>
          <w:szCs w:val="22"/>
          <w:lang w:val="es-MX" w:eastAsia="x-none"/>
        </w:rPr>
        <w:t>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65D8F">
        <w:rPr>
          <w:rFonts w:ascii="Arial" w:hAnsi="Arial" w:cs="Arial"/>
          <w:bCs/>
          <w:color w:val="000000" w:themeColor="text1"/>
          <w:sz w:val="22"/>
          <w:szCs w:val="22"/>
          <w:vertAlign w:val="superscript"/>
          <w:lang w:val="es-MX" w:eastAsia="x-none"/>
        </w:rPr>
        <w:footnoteReference w:id="20"/>
      </w:r>
      <w:r w:rsidRPr="00065D8F">
        <w:rPr>
          <w:rFonts w:ascii="Arial" w:hAnsi="Arial" w:cs="Arial"/>
          <w:bCs/>
          <w:color w:val="000000" w:themeColor="text1"/>
          <w:sz w:val="22"/>
          <w:szCs w:val="22"/>
          <w:lang w:val="es-MX" w:eastAsia="x-none"/>
        </w:rPr>
        <w:t xml:space="preserve">. </w:t>
      </w:r>
    </w:p>
    <w:p w14:paraId="20096799" w14:textId="77777777" w:rsidR="008415D0" w:rsidRPr="00065D8F" w:rsidRDefault="008415D0" w:rsidP="008415D0">
      <w:pPr>
        <w:spacing w:line="276" w:lineRule="auto"/>
        <w:ind w:firstLine="708"/>
        <w:jc w:val="both"/>
        <w:rPr>
          <w:rFonts w:ascii="Arial" w:eastAsiaTheme="minorHAnsi" w:hAnsi="Arial" w:cs="Arial"/>
          <w:color w:val="000000" w:themeColor="text1"/>
          <w:sz w:val="22"/>
          <w:szCs w:val="22"/>
          <w:lang w:val="es-MX" w:eastAsia="en-US"/>
        </w:rPr>
      </w:pPr>
      <w:r w:rsidRPr="00065D8F">
        <w:rPr>
          <w:rFonts w:ascii="Arial" w:hAnsi="Arial" w:cs="Arial"/>
          <w:bCs/>
          <w:color w:val="000000" w:themeColor="text1"/>
          <w:sz w:val="22"/>
          <w:szCs w:val="22"/>
          <w:lang w:val="es-MX" w:eastAsia="x-none"/>
        </w:rPr>
        <w:lastRenderedPageBreak/>
        <w:t>De igual forma, en Concepto con radicado 1738 del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065D8F">
        <w:rPr>
          <w:rFonts w:ascii="Arial" w:eastAsiaTheme="minorHAnsi" w:hAnsi="Arial" w:cs="Arial"/>
          <w:color w:val="000000" w:themeColor="text1"/>
          <w:szCs w:val="22"/>
          <w:vertAlign w:val="superscript"/>
          <w:lang w:val="es-MX" w:eastAsia="en-US"/>
        </w:rPr>
        <w:footnoteReference w:id="21"/>
      </w:r>
      <w:r w:rsidRPr="00065D8F">
        <w:rPr>
          <w:rFonts w:ascii="Arial" w:hAnsi="Arial" w:cs="Arial"/>
          <w:bCs/>
          <w:color w:val="000000" w:themeColor="text1"/>
          <w:sz w:val="22"/>
          <w:szCs w:val="22"/>
          <w:lang w:val="es-MX" w:eastAsia="x-none"/>
        </w:rPr>
        <w:t>.</w:t>
      </w:r>
      <w:r w:rsidRPr="00065D8F">
        <w:rPr>
          <w:rFonts w:ascii="Arial" w:eastAsiaTheme="minorHAnsi" w:hAnsi="Arial" w:cs="Arial"/>
          <w:color w:val="000000" w:themeColor="text1"/>
          <w:sz w:val="22"/>
          <w:szCs w:val="22"/>
          <w:lang w:val="es-MX" w:eastAsia="en-US"/>
        </w:rPr>
        <w:t xml:space="preserve"> Además, la Sala de Consulta y Servicio Civil del Consejo de Estado realizó la siguiente distinción, retomando el pronunciamiento de la misma sala del 20 de febrero de 2006, citado anteriormente:</w:t>
      </w:r>
    </w:p>
    <w:p w14:paraId="23D811AE" w14:textId="77777777" w:rsidR="008415D0" w:rsidRPr="00065D8F" w:rsidRDefault="008415D0" w:rsidP="008415D0">
      <w:pPr>
        <w:spacing w:line="276" w:lineRule="auto"/>
        <w:jc w:val="both"/>
        <w:rPr>
          <w:rFonts w:ascii="Arial" w:eastAsiaTheme="minorHAnsi" w:hAnsi="Arial" w:cs="Arial"/>
          <w:color w:val="000000" w:themeColor="text1"/>
          <w:sz w:val="22"/>
          <w:szCs w:val="22"/>
          <w:lang w:val="es-MX" w:eastAsia="en-US"/>
        </w:rPr>
      </w:pPr>
    </w:p>
    <w:p w14:paraId="332B036C" w14:textId="77777777" w:rsidR="008415D0" w:rsidRPr="00065D8F" w:rsidRDefault="008415D0" w:rsidP="008415D0">
      <w:pPr>
        <w:ind w:left="708" w:right="709"/>
        <w:jc w:val="both"/>
        <w:rPr>
          <w:rFonts w:ascii="Arial" w:eastAsiaTheme="minorHAnsi" w:hAnsi="Arial" w:cs="Arial"/>
          <w:color w:val="000000" w:themeColor="text1"/>
          <w:sz w:val="21"/>
          <w:szCs w:val="21"/>
          <w:lang w:val="es-MX" w:eastAsia="en-US"/>
        </w:rPr>
      </w:pPr>
      <w:r w:rsidRPr="00065D8F">
        <w:rPr>
          <w:rFonts w:ascii="Arial" w:eastAsiaTheme="minorHAnsi" w:hAnsi="Arial" w:cs="Arial"/>
          <w:color w:val="000000" w:themeColor="text1"/>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p>
    <w:p w14:paraId="142F1D74" w14:textId="77777777" w:rsidR="008415D0" w:rsidRPr="00065D8F" w:rsidRDefault="008415D0" w:rsidP="008415D0">
      <w:pPr>
        <w:ind w:left="708" w:right="709"/>
        <w:jc w:val="both"/>
        <w:rPr>
          <w:rFonts w:ascii="Arial" w:eastAsiaTheme="minorHAnsi" w:hAnsi="Arial" w:cs="Arial"/>
          <w:color w:val="000000" w:themeColor="text1"/>
          <w:sz w:val="21"/>
          <w:szCs w:val="21"/>
          <w:lang w:val="es-MX" w:eastAsia="en-US"/>
        </w:rPr>
      </w:pPr>
    </w:p>
    <w:p w14:paraId="6E89AF19" w14:textId="77777777" w:rsidR="008415D0" w:rsidRPr="00065D8F" w:rsidRDefault="008415D0" w:rsidP="008415D0">
      <w:pPr>
        <w:ind w:left="708" w:right="709"/>
        <w:jc w:val="both"/>
        <w:rPr>
          <w:rFonts w:ascii="Arial" w:eastAsiaTheme="minorHAnsi" w:hAnsi="Arial" w:cs="Arial"/>
          <w:color w:val="000000" w:themeColor="text1"/>
          <w:sz w:val="21"/>
          <w:szCs w:val="21"/>
          <w:lang w:val="es-MX" w:eastAsia="en-US"/>
        </w:rPr>
      </w:pPr>
      <w:r w:rsidRPr="00065D8F">
        <w:rPr>
          <w:rFonts w:ascii="Arial" w:eastAsiaTheme="minorHAnsi" w:hAnsi="Arial" w:cs="Arial"/>
          <w:color w:val="000000" w:themeColor="text1"/>
          <w:sz w:val="21"/>
          <w:szCs w:val="21"/>
          <w:lang w:val="es-MX" w:eastAsia="en-US"/>
        </w:rPr>
        <w:t>Aplicando este razonamiento a los establecimientos de crédito, a las sociedades de servicios financieros y a las entidades aseguradoras, encontramos que no pueden adquirir los suministros de bienes y servicios necesarios para la realización de su actividad por contratación directa sino por el mecanismo de la licitación pública, pero es obvio que si una de éstas entidades va a prestar un servicio financiero o de seguros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065D8F">
        <w:rPr>
          <w:rFonts w:ascii="Arial" w:eastAsiaTheme="minorHAnsi" w:hAnsi="Arial" w:cs="Arial"/>
          <w:color w:val="000000" w:themeColor="text1"/>
          <w:szCs w:val="22"/>
          <w:vertAlign w:val="superscript"/>
          <w:lang w:val="es-MX" w:eastAsia="en-US"/>
        </w:rPr>
        <w:footnoteReference w:id="22"/>
      </w:r>
      <w:r w:rsidRPr="00065D8F">
        <w:rPr>
          <w:rFonts w:ascii="Arial" w:hAnsi="Arial" w:cs="Arial"/>
          <w:bCs/>
          <w:color w:val="000000" w:themeColor="text1"/>
          <w:sz w:val="22"/>
          <w:szCs w:val="22"/>
          <w:lang w:val="es-MX" w:eastAsia="x-none"/>
        </w:rPr>
        <w:t>.</w:t>
      </w:r>
    </w:p>
    <w:p w14:paraId="330F489F" w14:textId="77777777" w:rsidR="008415D0" w:rsidRPr="00065D8F" w:rsidRDefault="008415D0" w:rsidP="008415D0">
      <w:pPr>
        <w:spacing w:line="276" w:lineRule="auto"/>
        <w:jc w:val="both"/>
        <w:rPr>
          <w:rFonts w:ascii="Arial" w:eastAsiaTheme="minorHAnsi" w:hAnsi="Arial" w:cs="Arial"/>
          <w:color w:val="000000" w:themeColor="text1"/>
          <w:sz w:val="22"/>
          <w:szCs w:val="22"/>
          <w:lang w:val="es-MX" w:eastAsia="en-US"/>
        </w:rPr>
      </w:pPr>
    </w:p>
    <w:p w14:paraId="6C61BD06" w14:textId="77777777" w:rsidR="008415D0" w:rsidRPr="00065D8F" w:rsidRDefault="008415D0" w:rsidP="008415D0">
      <w:pPr>
        <w:spacing w:after="120" w:line="276" w:lineRule="auto"/>
        <w:ind w:firstLine="709"/>
        <w:jc w:val="both"/>
        <w:rPr>
          <w:rFonts w:ascii="Arial" w:hAnsi="Arial" w:cs="Arial"/>
          <w:color w:val="000000" w:themeColor="text1"/>
          <w:sz w:val="22"/>
          <w:szCs w:val="22"/>
          <w:lang w:eastAsia="es-CO"/>
        </w:rPr>
      </w:pPr>
      <w:r w:rsidRPr="00065D8F">
        <w:rPr>
          <w:rFonts w:ascii="Arial" w:eastAsiaTheme="minorHAnsi" w:hAnsi="Arial" w:cs="Arial"/>
          <w:color w:val="000000" w:themeColor="text1"/>
          <w:sz w:val="22"/>
          <w:szCs w:val="22"/>
          <w:lang w:val="es-MX" w:eastAsia="en-US"/>
        </w:rPr>
        <w:t xml:space="preserve">De acuerdo con estos pronunciamientos de la Sala de Consulta y Servicio Civil del Consejo de Estado, la prohibición de la contratación directa también aplica frente a las entidades exceptuadas de la aplicación del EGCAP y que se rigen en materia contractual por el derecho privado. Sin embargo, señaló que algunas de estas entidades, como sucede con las empresas de servicios públicos domiciliarios, los </w:t>
      </w:r>
      <w:r w:rsidRPr="00065D8F">
        <w:rPr>
          <w:rFonts w:ascii="Arial" w:hAnsi="Arial" w:cs="Arial"/>
          <w:bCs/>
          <w:color w:val="000000" w:themeColor="text1"/>
          <w:sz w:val="22"/>
          <w:szCs w:val="22"/>
          <w:lang w:val="es-MX" w:eastAsia="x-none"/>
        </w:rPr>
        <w:t>establecimientos de crédito, las sociedades de servicios financieros y las entidades aseguradoras</w:t>
      </w:r>
      <w:r w:rsidRPr="00065D8F">
        <w:rPr>
          <w:rFonts w:ascii="Arial" w:eastAsiaTheme="minorHAnsi" w:hAnsi="Arial" w:cs="Arial"/>
          <w:color w:val="000000" w:themeColor="text1"/>
          <w:sz w:val="22"/>
          <w:szCs w:val="22"/>
          <w:lang w:val="es-MX" w:eastAsia="en-US"/>
        </w:rPr>
        <w:t xml:space="preserve"> no pueden adquirir los suministros de bienes y servicios necesarios para la realización de su actividad por contratación directa, sino por mecanismos competitivos que impliquen convocatoria pública y la posibilidad de la existencia de pluralidad de oferentes, pero indicó que en estos casos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065D8F">
        <w:rPr>
          <w:rFonts w:ascii="Arial" w:eastAsiaTheme="minorHAnsi" w:hAnsi="Arial" w:cs="Arial"/>
          <w:color w:val="000000" w:themeColor="text1"/>
          <w:sz w:val="22"/>
          <w:szCs w:val="22"/>
          <w:vertAlign w:val="superscript"/>
          <w:lang w:val="es-MX" w:eastAsia="en-US"/>
        </w:rPr>
        <w:footnoteReference w:id="23"/>
      </w:r>
      <w:r w:rsidRPr="00065D8F">
        <w:rPr>
          <w:rFonts w:ascii="Arial" w:eastAsiaTheme="minorHAnsi" w:hAnsi="Arial" w:cs="Arial"/>
          <w:color w:val="000000" w:themeColor="text1"/>
          <w:sz w:val="22"/>
          <w:szCs w:val="22"/>
          <w:lang w:val="es-MX" w:eastAsia="en-US"/>
        </w:rPr>
        <w:t>.</w:t>
      </w:r>
      <w:r w:rsidRPr="00065D8F">
        <w:rPr>
          <w:rFonts w:ascii="Arial" w:hAnsi="Arial" w:cs="Arial"/>
          <w:color w:val="000000" w:themeColor="text1"/>
          <w:sz w:val="22"/>
          <w:szCs w:val="22"/>
          <w:lang w:eastAsia="es-CO"/>
        </w:rPr>
        <w:t xml:space="preserve"> </w:t>
      </w:r>
    </w:p>
    <w:p w14:paraId="7C9D7108" w14:textId="4724E816" w:rsidR="008415D0" w:rsidRPr="00065D8F" w:rsidRDefault="008415D0" w:rsidP="008415D0">
      <w:pPr>
        <w:spacing w:line="276" w:lineRule="auto"/>
        <w:ind w:firstLine="709"/>
        <w:jc w:val="both"/>
        <w:rPr>
          <w:rFonts w:ascii="Arial" w:hAnsi="Arial" w:cs="Arial"/>
          <w:bCs/>
          <w:color w:val="000000" w:themeColor="text1"/>
          <w:sz w:val="22"/>
          <w:szCs w:val="22"/>
          <w:lang w:val="es-MX" w:eastAsia="x-none"/>
        </w:rPr>
      </w:pPr>
      <w:r w:rsidRPr="00065D8F">
        <w:rPr>
          <w:rFonts w:ascii="Arial" w:hAnsi="Arial" w:cs="Arial"/>
          <w:color w:val="000000" w:themeColor="text1"/>
          <w:sz w:val="22"/>
          <w:szCs w:val="22"/>
          <w:lang w:eastAsia="es-CO"/>
        </w:rPr>
        <w:t>Sin perjuicio de estos pronunciamientos de la Sala de Consulta y Servicio Civil</w:t>
      </w:r>
      <w:r w:rsidRPr="00065D8F">
        <w:rPr>
          <w:rFonts w:ascii="Arial" w:eastAsiaTheme="minorHAnsi" w:hAnsi="Arial" w:cs="Arial"/>
          <w:color w:val="000000" w:themeColor="text1"/>
          <w:sz w:val="22"/>
          <w:szCs w:val="22"/>
          <w:lang w:val="es-MX" w:eastAsia="en-US"/>
        </w:rPr>
        <w:t xml:space="preserve">, como la ha señalado esa misma Corporación, la restricción prevista en la Ley 996 de 2005 </w:t>
      </w:r>
      <w:r w:rsidRPr="00065D8F">
        <w:rPr>
          <w:rFonts w:ascii="Arial" w:hAnsi="Arial" w:cs="Arial"/>
          <w:bCs/>
          <w:color w:val="000000" w:themeColor="text1"/>
          <w:sz w:val="22"/>
          <w:szCs w:val="22"/>
          <w:lang w:val="es-MX" w:eastAsia="x-none"/>
        </w:rPr>
        <w:t xml:space="preserve">cobija a cualquier entidad pública independiente del régimen jurídico, que pueda mediante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puede presentarse tanto en la contratación regulada por la Ley 80 de 1993 como en la regida por normas especiales. </w:t>
      </w:r>
    </w:p>
    <w:p w14:paraId="6DE86583" w14:textId="77777777" w:rsidR="008415D0" w:rsidRPr="00065D8F" w:rsidRDefault="008415D0" w:rsidP="00065D8F">
      <w:pPr>
        <w:spacing w:line="276" w:lineRule="auto"/>
        <w:ind w:firstLine="709"/>
        <w:jc w:val="both"/>
        <w:rPr>
          <w:rFonts w:ascii="Arial" w:hAnsi="Arial" w:cs="Arial"/>
          <w:bCs/>
          <w:color w:val="000000" w:themeColor="text1"/>
          <w:sz w:val="22"/>
          <w:szCs w:val="22"/>
          <w:lang w:val="es-MX" w:eastAsia="x-none"/>
        </w:rPr>
      </w:pPr>
    </w:p>
    <w:bookmarkEnd w:id="38"/>
    <w:p w14:paraId="77D3D424" w14:textId="7A99082D" w:rsidR="00AE4E7C" w:rsidRPr="00065D8F" w:rsidRDefault="00AE4E7C" w:rsidP="007155B8">
      <w:pPr>
        <w:spacing w:afterLines="120" w:after="288" w:line="276" w:lineRule="auto"/>
        <w:jc w:val="both"/>
        <w:rPr>
          <w:rFonts w:ascii="Arial" w:hAnsi="Arial" w:cs="Arial"/>
          <w:b/>
          <w:sz w:val="22"/>
        </w:rPr>
      </w:pPr>
      <w:r w:rsidRPr="00065D8F">
        <w:rPr>
          <w:rFonts w:ascii="Arial" w:eastAsia="Calibri" w:hAnsi="Arial" w:cs="Arial"/>
          <w:b/>
          <w:sz w:val="22"/>
        </w:rPr>
        <w:t>2.</w:t>
      </w:r>
      <w:r w:rsidR="00DC003D" w:rsidRPr="00065D8F">
        <w:rPr>
          <w:rFonts w:ascii="Arial" w:eastAsia="Calibri" w:hAnsi="Arial" w:cs="Arial"/>
          <w:b/>
          <w:sz w:val="22"/>
        </w:rPr>
        <w:t>4</w:t>
      </w:r>
      <w:r w:rsidRPr="00065D8F">
        <w:rPr>
          <w:rFonts w:ascii="Arial" w:eastAsia="Calibri" w:hAnsi="Arial" w:cs="Arial"/>
          <w:b/>
          <w:sz w:val="22"/>
        </w:rPr>
        <w:t xml:space="preserve">. </w:t>
      </w:r>
      <w:bookmarkStart w:id="40" w:name="_Hlk75792387"/>
      <w:r w:rsidR="00C716DD" w:rsidRPr="00065D8F">
        <w:rPr>
          <w:rFonts w:ascii="Arial" w:eastAsia="Calibri" w:hAnsi="Arial" w:cs="Arial"/>
          <w:b/>
          <w:sz w:val="22"/>
        </w:rPr>
        <w:t>Régimen de contratación de la sociedad Servicios Postales Nacionales S.A.S y aplicación de la Ley de Garantías Electorales</w:t>
      </w:r>
      <w:r w:rsidR="00C716DD" w:rsidRPr="00065D8F">
        <w:rPr>
          <w:rFonts w:ascii="Arial" w:eastAsia="Calibri" w:hAnsi="Arial" w:cs="Arial"/>
          <w:bCs/>
          <w:sz w:val="22"/>
        </w:rPr>
        <w:t xml:space="preserve">  </w:t>
      </w:r>
    </w:p>
    <w:p w14:paraId="4C978F26" w14:textId="599F8559" w:rsidR="00AE4E7C" w:rsidRPr="00065D8F" w:rsidRDefault="00AE4E7C" w:rsidP="00065D8F">
      <w:pPr>
        <w:pStyle w:val="Textoindependiente"/>
        <w:spacing w:after="120"/>
      </w:pPr>
      <w:bookmarkStart w:id="41" w:name="_Hlk75686384"/>
      <w:bookmarkStart w:id="42" w:name="_Hlk77174362"/>
      <w:r w:rsidRPr="00065D8F">
        <w:t>Servicios Postales Nacionales S.A.</w:t>
      </w:r>
      <w:bookmarkEnd w:id="41"/>
      <w:r w:rsidR="00DC003D" w:rsidRPr="00065D8F">
        <w:t>S</w:t>
      </w:r>
      <w:r w:rsidRPr="00065D8F">
        <w:t xml:space="preserve">, antigua filial de </w:t>
      </w:r>
      <w:proofErr w:type="spellStart"/>
      <w:r w:rsidRPr="00065D8F">
        <w:t>Adpostal</w:t>
      </w:r>
      <w:proofErr w:type="spellEnd"/>
      <w:r w:rsidRPr="00065D8F">
        <w:t xml:space="preserve"> –extinta empresa industrial y comercial del Estado–</w:t>
      </w:r>
      <w:r w:rsidRPr="00065D8F">
        <w:rPr>
          <w:rStyle w:val="Refdenotaalpie"/>
        </w:rPr>
        <w:footnoteReference w:id="24"/>
      </w:r>
      <w:r w:rsidRPr="00065D8F">
        <w:t xml:space="preserve">, es </w:t>
      </w:r>
      <w:bookmarkStart w:id="43" w:name="_Hlk75729311"/>
      <w:r w:rsidRPr="00065D8F">
        <w:t xml:space="preserve">una </w:t>
      </w:r>
      <w:r w:rsidRPr="00065D8F">
        <w:rPr>
          <w:sz w:val="19"/>
          <w:szCs w:val="19"/>
        </w:rPr>
        <w:t>«</w:t>
      </w:r>
      <w:r w:rsidRPr="00065D8F">
        <w:t>sociedad pública</w:t>
      </w:r>
      <w:bookmarkStart w:id="44" w:name="_Hlk75727692"/>
      <w:r w:rsidRPr="00065D8F">
        <w:rPr>
          <w:sz w:val="19"/>
          <w:szCs w:val="19"/>
        </w:rPr>
        <w:t>»</w:t>
      </w:r>
      <w:bookmarkEnd w:id="44"/>
      <w:r w:rsidRPr="00065D8F">
        <w:t xml:space="preserve"> </w:t>
      </w:r>
      <w:bookmarkEnd w:id="43"/>
      <w:r w:rsidRPr="00065D8F">
        <w:t xml:space="preserve">o sociedad entre entidades públicas, </w:t>
      </w:r>
      <w:bookmarkEnd w:id="40"/>
      <w:r w:rsidRPr="00065D8F">
        <w:t>cuenta con autonomía administrativa, patrimonial y presupuestal, está vinculada al Ministerio de Tecnologías de la Información y las Comunicaciones y fue creada bajo la forma de sociedad anónima con composición mayoritaria estatal</w:t>
      </w:r>
      <w:r w:rsidRPr="00065D8F">
        <w:rPr>
          <w:rStyle w:val="Refdenotaalpie"/>
        </w:rPr>
        <w:footnoteReference w:id="25"/>
      </w:r>
      <w:r w:rsidRPr="00065D8F">
        <w:t xml:space="preserve">. Así mismo, </w:t>
      </w:r>
      <w:r w:rsidRPr="00065D8F">
        <w:rPr>
          <w:lang w:eastAsia="x-none"/>
        </w:rPr>
        <w:t xml:space="preserve">desarrolla </w:t>
      </w:r>
      <w:r w:rsidRPr="00065D8F">
        <w:rPr>
          <w:lang w:val="es-ES_tradnl" w:eastAsia="x-none"/>
        </w:rPr>
        <w:lastRenderedPageBreak/>
        <w:t>su objeto social en un entorno de competencia con empresas del sector privado que se dedican a actividades de servicios postales en el mercado, según se desprende de lo preceptuado por el artículo 1 de la Ley 1369 de 2009</w:t>
      </w:r>
      <w:r w:rsidRPr="00065D8F">
        <w:rPr>
          <w:rStyle w:val="Refdenotaalpie"/>
          <w:lang w:val="es-ES_tradnl" w:eastAsia="x-none"/>
        </w:rPr>
        <w:footnoteReference w:id="26"/>
      </w:r>
      <w:r w:rsidRPr="00065D8F">
        <w:rPr>
          <w:lang w:val="es-ES_tradnl" w:eastAsia="x-none"/>
        </w:rPr>
        <w:t>.</w:t>
      </w:r>
      <w:bookmarkEnd w:id="42"/>
    </w:p>
    <w:p w14:paraId="685E8566" w14:textId="43CBABAE" w:rsidR="00AE4E7C" w:rsidRPr="00065D8F" w:rsidRDefault="00AE4E7C" w:rsidP="007155B8">
      <w:pPr>
        <w:pStyle w:val="Textoindependiente"/>
        <w:spacing w:afterLines="120" w:after="288"/>
        <w:ind w:firstLine="709"/>
      </w:pPr>
      <w:r w:rsidRPr="00065D8F">
        <w:t xml:space="preserve">Ahora bien, el parágrafo primero del artículo 38 de la Ley 489 de 1998 establece que las sociedades públicas y las sociedades de economía mixta con una participación estatal superior al 90% de su capital, están sometidas al mismo régimen de las empresas industriales y comerciales del Estado. Este artículo 38, en concordancia con el artículo 68 de la citada ley, clasifica expresamente a las sociedades públicas dentro del sector descentralizado de la rama ejecutiva del poder público en el orden nacional. De otro lado, el artículo 49 de la misma ley se refiere a las condiciones y requisitos para la creación de estas entidades y organismos administrativos, y en su parágrafo dispone: </w:t>
      </w:r>
    </w:p>
    <w:p w14:paraId="0D30843B"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Artículo 49. Creación de organismos y entidades administrativas. […]</w:t>
      </w:r>
    </w:p>
    <w:p w14:paraId="194D8DAC"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w:t>
      </w:r>
    </w:p>
    <w:p w14:paraId="0365B348" w14:textId="63EC54B8" w:rsidR="00AE4E7C" w:rsidRPr="00065D8F" w:rsidRDefault="00AE4E7C" w:rsidP="00065D8F">
      <w:pPr>
        <w:widowControl w:val="0"/>
        <w:autoSpaceDE w:val="0"/>
        <w:autoSpaceDN w:val="0"/>
        <w:spacing w:afterLines="120" w:after="288"/>
        <w:ind w:left="709" w:right="709"/>
        <w:jc w:val="both"/>
        <w:rPr>
          <w:rFonts w:ascii="Arial" w:eastAsia="Arial" w:hAnsi="Arial" w:cs="Arial"/>
          <w:sz w:val="22"/>
          <w:lang w:val="es-ES" w:eastAsia="es-ES" w:bidi="es-ES"/>
        </w:rPr>
      </w:pPr>
      <w:r w:rsidRPr="00065D8F">
        <w:rPr>
          <w:rFonts w:ascii="Arial" w:eastAsia="Arial" w:hAnsi="Arial" w:cs="Arial"/>
          <w:sz w:val="21"/>
          <w:szCs w:val="21"/>
          <w:lang w:val="es-ES" w:eastAsia="es-ES" w:bidi="es-ES"/>
        </w:rPr>
        <w:t xml:space="preserve">Parágrafo. Las entidades descentralizadas indirectas y las filiales de las empresas industriales y comerciales del Estado y de las sociedades de economía mixta se constituirán con arreglo a las disposiciones de la presente Ley, y en todo caso previa autorización del Gobierno Nacional si se tratare de entidades de ese orden o del Gobernador o el </w:t>
      </w:r>
      <w:proofErr w:type="gramStart"/>
      <w:r w:rsidRPr="00065D8F">
        <w:rPr>
          <w:rFonts w:ascii="Arial" w:eastAsia="Arial" w:hAnsi="Arial" w:cs="Arial"/>
          <w:sz w:val="21"/>
          <w:szCs w:val="21"/>
          <w:lang w:val="es-ES" w:eastAsia="es-ES" w:bidi="es-ES"/>
        </w:rPr>
        <w:t>Alcalde</w:t>
      </w:r>
      <w:proofErr w:type="gramEnd"/>
      <w:r w:rsidRPr="00065D8F">
        <w:rPr>
          <w:rFonts w:ascii="Arial" w:eastAsia="Arial" w:hAnsi="Arial" w:cs="Arial"/>
          <w:sz w:val="21"/>
          <w:szCs w:val="21"/>
          <w:lang w:val="es-ES" w:eastAsia="es-ES" w:bidi="es-ES"/>
        </w:rPr>
        <w:t xml:space="preserve"> en</w:t>
      </w:r>
      <w:r w:rsidR="00DF590F" w:rsidRPr="00065D8F">
        <w:rPr>
          <w:rFonts w:ascii="Arial" w:eastAsia="Arial" w:hAnsi="Arial" w:cs="Arial"/>
          <w:sz w:val="21"/>
          <w:szCs w:val="21"/>
          <w:lang w:val="es-ES" w:eastAsia="es-ES" w:bidi="es-ES"/>
        </w:rPr>
        <w:t xml:space="preserve"> </w:t>
      </w:r>
      <w:r w:rsidRPr="00065D8F">
        <w:rPr>
          <w:rFonts w:ascii="Arial" w:eastAsia="Arial" w:hAnsi="Arial" w:cs="Arial"/>
          <w:sz w:val="21"/>
          <w:szCs w:val="21"/>
          <w:lang w:val="es-ES" w:eastAsia="es-ES" w:bidi="es-ES"/>
        </w:rPr>
        <w:t xml:space="preserve">tratándose de entidades del orden departamental o municipal. </w:t>
      </w:r>
    </w:p>
    <w:p w14:paraId="3A0E659D" w14:textId="49617973" w:rsidR="00AE4E7C" w:rsidRPr="00065D8F" w:rsidRDefault="00AE4E7C" w:rsidP="00C03C28">
      <w:pPr>
        <w:pStyle w:val="Textoindependiente"/>
        <w:spacing w:afterLines="120" w:after="288"/>
        <w:ind w:firstLine="709"/>
      </w:pPr>
      <w:r w:rsidRPr="00065D8F">
        <w:t>Por su parte, sobre la constitución de entidades públicas por las empresas industriales y comerciales del Estado, el artículo 94 de la Ley 489 dispone, en lo pertinente:</w:t>
      </w:r>
    </w:p>
    <w:p w14:paraId="555D0B48"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 xml:space="preserve">Artículo 94. Asociación de las empresas industriales y comerciales del Estado. Las empresas y sociedades que se creen con la participación exclusiva de una o varias empresas industriales y comerciales del Estado o entre éstas y otras entidades descentralizadas y entidades territoriales se rigen por las disposiciones establecidas en los actos de creación, y las disposiciones del Código de Comercio. Salvo las reglas siguientes: </w:t>
      </w:r>
    </w:p>
    <w:p w14:paraId="6D869B6D"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1. Filiales de las Empresas Industriales y Comerciales.</w:t>
      </w:r>
    </w:p>
    <w:p w14:paraId="60058F5E"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 xml:space="preserve">Para los efectos de la presente Ley se entiende por empresa filial de una empresa industrial y comercial del Estado aquélla en que participe una empresa </w:t>
      </w:r>
      <w:r w:rsidRPr="00065D8F">
        <w:rPr>
          <w:rFonts w:ascii="Arial" w:eastAsia="Arial" w:hAnsi="Arial" w:cs="Arial"/>
          <w:sz w:val="21"/>
          <w:szCs w:val="21"/>
          <w:lang w:val="es-ES" w:eastAsia="es-ES" w:bidi="es-ES"/>
        </w:rPr>
        <w:lastRenderedPageBreak/>
        <w:t>industrial y comercial del Estado con un porcentaje superior al 51% del capital total.</w:t>
      </w:r>
    </w:p>
    <w:p w14:paraId="505A0335"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2. Características jurídicas.</w:t>
      </w:r>
    </w:p>
    <w:p w14:paraId="2839DDF9"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Cuando en el capital de las empresas filiales participen más de una empresa industrial y comercial del Estado, entidad territorial u otra entidad descentralizada, la empresa filial se organizará como sociedad comercial de conformidad con las disposiciones del Código de Comercio.</w:t>
      </w:r>
    </w:p>
    <w:p w14:paraId="4F056B81"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3. Creación de filiales.</w:t>
      </w:r>
    </w:p>
    <w:p w14:paraId="1DFA09BC"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Las empresas industriales y comerciales del Estado y las entidades territoriales que concurran a la creación de una empresa filial actuarán previa autorización de la ley, la ordenanza departamental o el acuerdo del respectivo Concejo Distrital o Municipal, la cual podrá constar en norma especial o en el correspondiente acto de creación y organización de la entidad o entidades participantes.</w:t>
      </w:r>
    </w:p>
    <w:p w14:paraId="1C542AEB"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4. Régimen jurídico.</w:t>
      </w:r>
    </w:p>
    <w:p w14:paraId="63FF46FF"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 xml:space="preserve">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w:t>
      </w:r>
    </w:p>
    <w:p w14:paraId="5353855E"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5. Régimen especial de las filiales creadas con participación de particulares.</w:t>
      </w:r>
    </w:p>
    <w:p w14:paraId="46305418"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Las empresas filiales en las cuales participen particulares se sujetarán a las disposiciones previstas en esta Ley para las sociedades de economía mixta.</w:t>
      </w:r>
    </w:p>
    <w:p w14:paraId="4716FA9B" w14:textId="77777777" w:rsidR="00AE4E7C" w:rsidRPr="00065D8F" w:rsidRDefault="00AE4E7C" w:rsidP="00065D8F">
      <w:pPr>
        <w:widowControl w:val="0"/>
        <w:autoSpaceDE w:val="0"/>
        <w:autoSpaceDN w:val="0"/>
        <w:spacing w:after="120"/>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6. Control administrativo sobre las empresas filiales.</w:t>
      </w:r>
    </w:p>
    <w:p w14:paraId="1D6F0C40" w14:textId="7FA35539" w:rsidR="00AE4E7C" w:rsidRPr="00065D8F" w:rsidRDefault="00AE4E7C" w:rsidP="00065D8F">
      <w:pPr>
        <w:widowControl w:val="0"/>
        <w:autoSpaceDE w:val="0"/>
        <w:autoSpaceDN w:val="0"/>
        <w:spacing w:afterLines="120" w:after="288"/>
        <w:ind w:left="709" w:right="709"/>
        <w:jc w:val="both"/>
        <w:rPr>
          <w:rFonts w:ascii="Arial" w:eastAsia="Arial" w:hAnsi="Arial" w:cs="Arial"/>
          <w:sz w:val="21"/>
          <w:szCs w:val="21"/>
          <w:lang w:val="es-ES" w:eastAsia="es-ES" w:bidi="es-ES"/>
        </w:rPr>
      </w:pPr>
      <w:r w:rsidRPr="00065D8F">
        <w:rPr>
          <w:rFonts w:ascii="Arial" w:eastAsia="Arial" w:hAnsi="Arial" w:cs="Arial"/>
          <w:sz w:val="21"/>
          <w:szCs w:val="21"/>
          <w:lang w:val="es-ES" w:eastAsia="es-ES" w:bidi="es-ES"/>
        </w:rPr>
        <w:t>En el acto de constitución de una empresa filial, cualquiera sea la forma que revista, deberán establecerse los instrumentos mediante los cuales la empresa industrial y comercial del Estado que ostente la participación mayoritaria asegure la conformidad de la gestión con los planes y programas y las políticas del sector administrativo dentro del cual se actúen</w:t>
      </w:r>
      <w:r w:rsidRPr="00065D8F">
        <w:rPr>
          <w:rStyle w:val="Refdenotaalpie"/>
          <w:rFonts w:ascii="Arial" w:hAnsi="Arial" w:cs="Arial"/>
          <w:sz w:val="21"/>
          <w:szCs w:val="21"/>
          <w:lang w:val="es-ES"/>
        </w:rPr>
        <w:footnoteReference w:id="27"/>
      </w:r>
      <w:r w:rsidRPr="00065D8F">
        <w:rPr>
          <w:rFonts w:ascii="Arial" w:eastAsia="Arial" w:hAnsi="Arial" w:cs="Arial"/>
          <w:sz w:val="21"/>
          <w:szCs w:val="21"/>
          <w:lang w:val="es-ES" w:eastAsia="es-ES" w:bidi="es-ES"/>
        </w:rPr>
        <w:t>.</w:t>
      </w:r>
    </w:p>
    <w:p w14:paraId="4835AF58" w14:textId="77777777" w:rsidR="00AE4E7C" w:rsidRPr="00065D8F" w:rsidRDefault="00AE4E7C" w:rsidP="00065D8F">
      <w:pPr>
        <w:pStyle w:val="Textoindependiente"/>
        <w:spacing w:after="120"/>
        <w:ind w:firstLine="709"/>
      </w:pPr>
      <w:r w:rsidRPr="00065D8F">
        <w:t xml:space="preserve">Por lo tanto, </w:t>
      </w:r>
      <w:bookmarkStart w:id="45" w:name="_Hlk75729706"/>
      <w:r w:rsidRPr="00065D8F">
        <w:t xml:space="preserve">Servicios Postales Nacionales S.A. </w:t>
      </w:r>
      <w:bookmarkEnd w:id="45"/>
      <w:r w:rsidRPr="00065D8F">
        <w:t xml:space="preserve">es además una entidad pública descentralizada indirecta, que forma parte de la Rama Ejecutiva. Su organización, funcionamiento y en general el régimen jurídico de sus actos y contratos es el previsto para las empresas industriales y comerciales del Estado, las cuales desarrollan sus actividades conforme a las reglas del derecho privado con las excepciones que consagre específicamente la Ley, de acuerdo con los artículos 85, 86 y 93 de la Ley 489 de 1998. </w:t>
      </w:r>
    </w:p>
    <w:p w14:paraId="4E94905E" w14:textId="77777777" w:rsidR="00AE4E7C" w:rsidRPr="00065D8F" w:rsidRDefault="00AE4E7C" w:rsidP="00065D8F">
      <w:pPr>
        <w:pStyle w:val="Textoindependiente"/>
        <w:spacing w:after="120"/>
        <w:ind w:firstLine="709"/>
        <w:rPr>
          <w:iCs/>
          <w:lang w:eastAsia="x-none"/>
        </w:rPr>
      </w:pPr>
      <w:r w:rsidRPr="00065D8F">
        <w:t xml:space="preserve">Esta inferencia en materia de contratos es reforzada por el artículo 8 de la Ley 1369 de 2009, el cual señala que «Todos los Operadores Postales tendrán el régimen contractual </w:t>
      </w:r>
      <w:r w:rsidRPr="00065D8F">
        <w:lastRenderedPageBreak/>
        <w:t>del Derecho Privado»; y por el artículo 14 de la Ley 1150 de 2007 que exceptúa del Estatuto General de Contratación de la Administración Pública, a las sociedades entre entidades públicas que desarrollen actividades comerciales en competencia con el sector privado nacional o internacional o en mercados regulados</w:t>
      </w:r>
      <w:r w:rsidRPr="00065D8F">
        <w:rPr>
          <w:iCs/>
          <w:lang w:eastAsia="x-none"/>
        </w:rPr>
        <w:t xml:space="preserve">, según se analizó en el acápite anterior. </w:t>
      </w:r>
    </w:p>
    <w:p w14:paraId="0C49DDDA" w14:textId="5FB40DD8" w:rsidR="00AE4E7C" w:rsidRPr="00065D8F" w:rsidRDefault="00AE4E7C" w:rsidP="00065D8F">
      <w:pPr>
        <w:pStyle w:val="Textoindependiente"/>
        <w:spacing w:after="120"/>
        <w:ind w:firstLine="709"/>
        <w:rPr>
          <w:lang w:val="es-CO"/>
        </w:rPr>
      </w:pPr>
      <w:bookmarkStart w:id="46" w:name="_Hlk77174588"/>
      <w:r w:rsidRPr="00065D8F">
        <w:rPr>
          <w:lang w:val="es-ES_tradnl" w:eastAsia="x-none"/>
        </w:rPr>
        <w:t xml:space="preserve">En consecuencia, </w:t>
      </w:r>
      <w:bookmarkStart w:id="47" w:name="_Hlk75806553"/>
      <w:bookmarkEnd w:id="46"/>
      <w:r w:rsidRPr="00065D8F">
        <w:t xml:space="preserve">Servicios Postales Nacionales S.A. </w:t>
      </w:r>
      <w:bookmarkStart w:id="48" w:name="_Hlk77174529"/>
      <w:bookmarkEnd w:id="47"/>
      <w:r w:rsidRPr="00065D8F">
        <w:t xml:space="preserve">se rige en su contratación por las disposiciones legales y reglamentarias que regulan sus actividades económicas y comerciales, sin perjuicio de aplicar, </w:t>
      </w:r>
      <w:r w:rsidRPr="00065D8F">
        <w:rPr>
          <w:lang w:val="es-CO"/>
        </w:rPr>
        <w:t>acorde con su régimen legal especial, los principios de la función administrativa y de la gestión fiscal consagrados en los artículos 209 y 263 de la Constitución Política, y el régimen de inhabilidades e incompatibilidades previsto legalmente para la contratación estatal –artículo 13 de la Ley 1150 de 2007–.</w:t>
      </w:r>
      <w:bookmarkEnd w:id="48"/>
    </w:p>
    <w:p w14:paraId="4FF9988B" w14:textId="77777777" w:rsidR="00E312AD" w:rsidRPr="00065D8F" w:rsidRDefault="00DC003D" w:rsidP="00065D8F">
      <w:pPr>
        <w:spacing w:after="120"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De lo anterior</w:t>
      </w:r>
      <w:r w:rsidR="00B86F15" w:rsidRPr="00065D8F">
        <w:rPr>
          <w:rFonts w:ascii="Arial" w:eastAsia="Arial" w:hAnsi="Arial" w:cs="Arial"/>
          <w:sz w:val="22"/>
          <w:szCs w:val="22"/>
          <w:lang w:eastAsia="es-ES" w:bidi="es-ES"/>
        </w:rPr>
        <w:t xml:space="preserve"> </w:t>
      </w:r>
      <w:r w:rsidRPr="00065D8F">
        <w:rPr>
          <w:rFonts w:ascii="Arial" w:eastAsia="Arial" w:hAnsi="Arial" w:cs="Arial"/>
          <w:sz w:val="22"/>
          <w:szCs w:val="22"/>
          <w:lang w:eastAsia="es-ES" w:bidi="es-ES"/>
        </w:rPr>
        <w:t>la Agencia concluye que</w:t>
      </w:r>
      <w:r w:rsidR="001C2147" w:rsidRPr="00065D8F">
        <w:rPr>
          <w:rFonts w:ascii="Arial" w:eastAsia="Arial" w:hAnsi="Arial" w:cs="Arial"/>
          <w:sz w:val="22"/>
          <w:szCs w:val="22"/>
          <w:lang w:eastAsia="es-ES" w:bidi="es-ES"/>
        </w:rPr>
        <w:t>,</w:t>
      </w:r>
      <w:r w:rsidRPr="00065D8F">
        <w:rPr>
          <w:rFonts w:ascii="Arial" w:eastAsia="Arial" w:hAnsi="Arial" w:cs="Arial"/>
          <w:sz w:val="22"/>
          <w:szCs w:val="22"/>
          <w:lang w:eastAsia="es-ES" w:bidi="es-ES"/>
        </w:rPr>
        <w:t xml:space="preserve"> </w:t>
      </w:r>
      <w:r w:rsidR="00B86F15" w:rsidRPr="00065D8F">
        <w:rPr>
          <w:rFonts w:ascii="Arial" w:eastAsia="Arial" w:hAnsi="Arial" w:cs="Arial"/>
          <w:sz w:val="22"/>
          <w:szCs w:val="22"/>
          <w:lang w:eastAsia="es-ES" w:bidi="es-ES"/>
        </w:rPr>
        <w:t>dado que</w:t>
      </w:r>
      <w:r w:rsidR="001C2147" w:rsidRPr="00065D8F">
        <w:rPr>
          <w:rFonts w:ascii="Arial" w:eastAsia="Arial" w:hAnsi="Arial" w:cs="Arial"/>
          <w:sz w:val="22"/>
          <w:szCs w:val="22"/>
          <w:lang w:eastAsia="es-ES" w:bidi="es-ES"/>
        </w:rPr>
        <w:t xml:space="preserve"> </w:t>
      </w:r>
      <w:r w:rsidRPr="00065D8F">
        <w:rPr>
          <w:rFonts w:ascii="Arial" w:eastAsia="Arial" w:hAnsi="Arial" w:cs="Arial"/>
          <w:sz w:val="22"/>
          <w:szCs w:val="22"/>
          <w:lang w:eastAsia="es-ES" w:bidi="es-ES"/>
        </w:rPr>
        <w:t xml:space="preserve">las restricciones a la contratación directa </w:t>
      </w:r>
      <w:r w:rsidR="001C2147" w:rsidRPr="00065D8F">
        <w:rPr>
          <w:rFonts w:ascii="Arial" w:eastAsia="Arial" w:hAnsi="Arial" w:cs="Arial"/>
          <w:sz w:val="22"/>
          <w:szCs w:val="22"/>
          <w:lang w:eastAsia="es-ES" w:bidi="es-ES"/>
        </w:rPr>
        <w:t>establecidas en el</w:t>
      </w:r>
      <w:r w:rsidRPr="00065D8F">
        <w:rPr>
          <w:rFonts w:ascii="Arial" w:eastAsia="Arial" w:hAnsi="Arial" w:cs="Arial"/>
          <w:sz w:val="22"/>
          <w:szCs w:val="22"/>
          <w:lang w:eastAsia="es-ES" w:bidi="es-ES"/>
        </w:rPr>
        <w:t xml:space="preserve"> artículo 33 de la Ley de Garantías Electorales,</w:t>
      </w:r>
      <w:r w:rsidR="001C2147" w:rsidRPr="00065D8F">
        <w:rPr>
          <w:rFonts w:ascii="Arial" w:eastAsia="Arial" w:hAnsi="Arial" w:cs="Arial"/>
          <w:sz w:val="22"/>
          <w:szCs w:val="22"/>
          <w:lang w:eastAsia="es-ES" w:bidi="es-ES"/>
        </w:rPr>
        <w:t xml:space="preserve"> se </w:t>
      </w:r>
      <w:r w:rsidRPr="00065D8F">
        <w:rPr>
          <w:rFonts w:ascii="Arial" w:eastAsia="Arial" w:hAnsi="Arial" w:cs="Arial"/>
          <w:sz w:val="22"/>
          <w:szCs w:val="22"/>
          <w:lang w:eastAsia="es-ES" w:bidi="es-ES"/>
        </w:rPr>
        <w:t>aplica</w:t>
      </w:r>
      <w:r w:rsidR="001C2147" w:rsidRPr="00065D8F">
        <w:rPr>
          <w:rFonts w:ascii="Arial" w:eastAsia="Arial" w:hAnsi="Arial" w:cs="Arial"/>
          <w:sz w:val="22"/>
          <w:szCs w:val="22"/>
          <w:lang w:eastAsia="es-ES" w:bidi="es-ES"/>
        </w:rPr>
        <w:t>n</w:t>
      </w:r>
      <w:r w:rsidR="00675ED9" w:rsidRPr="00065D8F">
        <w:rPr>
          <w:rFonts w:ascii="Arial" w:eastAsia="Arial" w:hAnsi="Arial" w:cs="Arial"/>
          <w:sz w:val="22"/>
          <w:szCs w:val="22"/>
          <w:lang w:eastAsia="es-ES" w:bidi="es-ES"/>
        </w:rPr>
        <w:t xml:space="preserve"> </w:t>
      </w:r>
      <w:r w:rsidRPr="00065D8F">
        <w:rPr>
          <w:rFonts w:ascii="Arial" w:eastAsia="Arial" w:hAnsi="Arial" w:cs="Arial"/>
          <w:sz w:val="22"/>
          <w:szCs w:val="22"/>
          <w:lang w:eastAsia="es-ES" w:bidi="es-ES"/>
        </w:rPr>
        <w:t>a todo tipo de entidad pública sin distingo alguno en cuanto al régimen de contratación aplicable, también cobijan la contratación que realice Servicios Postales Nacionales</w:t>
      </w:r>
      <w:r w:rsidR="00B86F15" w:rsidRPr="00065D8F">
        <w:rPr>
          <w:rFonts w:ascii="Arial" w:eastAsia="Arial" w:hAnsi="Arial" w:cs="Arial"/>
          <w:sz w:val="22"/>
          <w:szCs w:val="22"/>
          <w:lang w:eastAsia="es-ES" w:bidi="es-ES"/>
        </w:rPr>
        <w:t>,</w:t>
      </w:r>
      <w:r w:rsidRPr="00065D8F">
        <w:rPr>
          <w:rFonts w:ascii="Arial" w:eastAsia="Arial" w:hAnsi="Arial" w:cs="Arial"/>
          <w:sz w:val="22"/>
          <w:szCs w:val="22"/>
          <w:lang w:eastAsia="es-ES" w:bidi="es-ES"/>
        </w:rPr>
        <w:t xml:space="preserve"> como sociedad pública sometida </w:t>
      </w:r>
      <w:r w:rsidR="00675ED9" w:rsidRPr="00065D8F">
        <w:rPr>
          <w:rFonts w:ascii="Arial" w:eastAsia="Arial" w:hAnsi="Arial" w:cs="Arial"/>
          <w:sz w:val="22"/>
          <w:szCs w:val="22"/>
          <w:lang w:eastAsia="es-ES" w:bidi="es-ES"/>
        </w:rPr>
        <w:t xml:space="preserve">en su actividad contractual </w:t>
      </w:r>
      <w:r w:rsidRPr="00065D8F">
        <w:rPr>
          <w:rFonts w:ascii="Arial" w:eastAsia="Arial" w:hAnsi="Arial" w:cs="Arial"/>
          <w:sz w:val="22"/>
          <w:szCs w:val="22"/>
          <w:lang w:eastAsia="es-ES" w:bidi="es-ES"/>
        </w:rPr>
        <w:t>al derecho privado.</w:t>
      </w:r>
      <w:r w:rsidR="00E312AD" w:rsidRPr="00065D8F">
        <w:rPr>
          <w:rFonts w:ascii="Arial" w:eastAsia="Arial" w:hAnsi="Arial" w:cs="Arial"/>
          <w:sz w:val="22"/>
          <w:szCs w:val="22"/>
          <w:lang w:eastAsia="es-ES" w:bidi="es-ES"/>
        </w:rPr>
        <w:t xml:space="preserve"> </w:t>
      </w:r>
    </w:p>
    <w:p w14:paraId="58895F71" w14:textId="58A2C3FD" w:rsidR="00E312AD" w:rsidRPr="00065D8F" w:rsidRDefault="00E312AD" w:rsidP="00065D8F">
      <w:pPr>
        <w:spacing w:after="120"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En todo caso, cabe precisar que las restricciones contenidas en el artículo 33 mencionado se dirigen a proscribir la contratación en la que se prescinda de convocatoria pública y, por ende, la posibilidad de participación de pluralidad de oferentes, pero no prohíbe la celebración de cualquier tipo de contrato que se encuentre antecedido por un procedimiento abierto al público, durante el periodo preelectoral establecido en la norma</w:t>
      </w:r>
      <w:r w:rsidR="009F164F" w:rsidRPr="00065D8F">
        <w:rPr>
          <w:rFonts w:ascii="Arial" w:eastAsia="Arial" w:hAnsi="Arial" w:cs="Arial"/>
          <w:sz w:val="22"/>
          <w:szCs w:val="22"/>
          <w:lang w:eastAsia="es-ES" w:bidi="es-ES"/>
        </w:rPr>
        <w:t>.</w:t>
      </w:r>
    </w:p>
    <w:p w14:paraId="299DF4EE" w14:textId="149C579D" w:rsidR="00C03C28" w:rsidRPr="00065D8F" w:rsidRDefault="00E312AD" w:rsidP="00C03C28">
      <w:pPr>
        <w:spacing w:afterLines="120" w:after="288"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 xml:space="preserve">En consecuencia, durante el período de la restricción establecida en el artículo 33 de la Ley 996 de 2005, los contratos que celebre Servicios Postales Nacionales deberán estar precedidos de </w:t>
      </w:r>
      <w:r w:rsidR="003E7CAE" w:rsidRPr="00065D8F">
        <w:rPr>
          <w:rFonts w:ascii="Arial" w:eastAsia="Arial" w:hAnsi="Arial" w:cs="Arial"/>
          <w:sz w:val="22"/>
          <w:szCs w:val="22"/>
          <w:lang w:eastAsia="es-ES" w:bidi="es-ES"/>
        </w:rPr>
        <w:t xml:space="preserve">procedimientos con </w:t>
      </w:r>
      <w:r w:rsidRPr="00065D8F">
        <w:rPr>
          <w:rFonts w:ascii="Arial" w:eastAsia="Arial" w:hAnsi="Arial" w:cs="Arial"/>
          <w:sz w:val="22"/>
          <w:szCs w:val="22"/>
          <w:lang w:eastAsia="es-ES" w:bidi="es-ES"/>
        </w:rPr>
        <w:t xml:space="preserve">convocatoria pública </w:t>
      </w:r>
      <w:r w:rsidR="003E7CAE" w:rsidRPr="00065D8F">
        <w:rPr>
          <w:rFonts w:ascii="Arial" w:eastAsia="Arial" w:hAnsi="Arial" w:cs="Arial"/>
          <w:sz w:val="22"/>
          <w:szCs w:val="22"/>
          <w:lang w:eastAsia="es-ES" w:bidi="es-ES"/>
        </w:rPr>
        <w:t>que garanticen la</w:t>
      </w:r>
      <w:r w:rsidRPr="00065D8F">
        <w:rPr>
          <w:rFonts w:ascii="Arial" w:eastAsia="Arial" w:hAnsi="Arial" w:cs="Arial"/>
          <w:sz w:val="22"/>
          <w:szCs w:val="22"/>
          <w:lang w:eastAsia="es-ES" w:bidi="es-ES"/>
        </w:rPr>
        <w:t xml:space="preserve"> posibilidad de participación de pluralidad de oferentes, lo cual excluye la «contratación directa» que es objeto de prohibición, con la</w:t>
      </w:r>
      <w:r w:rsidR="00D442F5" w:rsidRPr="00065D8F">
        <w:rPr>
          <w:rFonts w:ascii="Arial" w:eastAsia="Arial" w:hAnsi="Arial" w:cs="Arial"/>
          <w:sz w:val="22"/>
          <w:szCs w:val="22"/>
          <w:lang w:eastAsia="es-ES" w:bidi="es-ES"/>
        </w:rPr>
        <w:t>s</w:t>
      </w:r>
      <w:r w:rsidRPr="00065D8F">
        <w:rPr>
          <w:rFonts w:ascii="Arial" w:eastAsia="Arial" w:hAnsi="Arial" w:cs="Arial"/>
          <w:sz w:val="22"/>
          <w:szCs w:val="22"/>
          <w:lang w:eastAsia="es-ES" w:bidi="es-ES"/>
        </w:rPr>
        <w:t xml:space="preserve"> excepci</w:t>
      </w:r>
      <w:r w:rsidR="00D442F5" w:rsidRPr="00065D8F">
        <w:rPr>
          <w:rFonts w:ascii="Arial" w:eastAsia="Arial" w:hAnsi="Arial" w:cs="Arial"/>
          <w:sz w:val="22"/>
          <w:szCs w:val="22"/>
          <w:lang w:eastAsia="es-ES" w:bidi="es-ES"/>
        </w:rPr>
        <w:t xml:space="preserve">ones previstas en </w:t>
      </w:r>
      <w:r w:rsidR="000C1771" w:rsidRPr="00065D8F">
        <w:rPr>
          <w:rFonts w:ascii="Arial" w:eastAsia="Arial" w:hAnsi="Arial" w:cs="Arial"/>
          <w:sz w:val="22"/>
          <w:szCs w:val="22"/>
          <w:lang w:eastAsia="es-ES" w:bidi="es-ES"/>
        </w:rPr>
        <w:t>el inciso segundo del artículo indiciado</w:t>
      </w:r>
      <w:r w:rsidR="00D442F5" w:rsidRPr="00065D8F">
        <w:rPr>
          <w:rFonts w:ascii="Arial" w:eastAsia="Arial" w:hAnsi="Arial" w:cs="Arial"/>
          <w:sz w:val="22"/>
          <w:szCs w:val="22"/>
          <w:lang w:eastAsia="es-ES" w:bidi="es-ES"/>
        </w:rPr>
        <w:t xml:space="preserve"> y en la situación</w:t>
      </w:r>
      <w:r w:rsidRPr="00065D8F">
        <w:rPr>
          <w:rFonts w:ascii="Arial" w:eastAsia="Arial" w:hAnsi="Arial" w:cs="Arial"/>
          <w:sz w:val="22"/>
          <w:szCs w:val="22"/>
          <w:lang w:eastAsia="es-ES" w:bidi="es-ES"/>
        </w:rPr>
        <w:t xml:space="preserve"> </w:t>
      </w:r>
      <w:r w:rsidR="003B31CF" w:rsidRPr="00065D8F">
        <w:rPr>
          <w:rFonts w:ascii="Arial" w:eastAsia="Arial" w:hAnsi="Arial" w:cs="Arial"/>
          <w:sz w:val="22"/>
          <w:szCs w:val="22"/>
          <w:lang w:eastAsia="es-ES" w:bidi="es-ES"/>
        </w:rPr>
        <w:t>que en el Concepto 374 de 2021 analizó esta Agencia</w:t>
      </w:r>
      <w:r w:rsidR="000C1771" w:rsidRPr="00065D8F">
        <w:rPr>
          <w:rFonts w:ascii="Arial" w:eastAsia="Arial" w:hAnsi="Arial" w:cs="Arial"/>
          <w:sz w:val="22"/>
          <w:szCs w:val="22"/>
          <w:lang w:eastAsia="es-ES" w:bidi="es-ES"/>
        </w:rPr>
        <w:t>,</w:t>
      </w:r>
      <w:r w:rsidR="003B31CF" w:rsidRPr="00065D8F">
        <w:rPr>
          <w:rFonts w:ascii="Arial" w:eastAsia="Arial" w:hAnsi="Arial" w:cs="Arial"/>
          <w:sz w:val="22"/>
          <w:szCs w:val="22"/>
          <w:lang w:eastAsia="es-ES" w:bidi="es-ES"/>
        </w:rPr>
        <w:t xml:space="preserve"> </w:t>
      </w:r>
      <w:r w:rsidR="00B949BB" w:rsidRPr="00065D8F">
        <w:rPr>
          <w:rFonts w:ascii="Arial" w:eastAsia="Arial" w:hAnsi="Arial" w:cs="Arial"/>
          <w:sz w:val="22"/>
          <w:szCs w:val="22"/>
          <w:lang w:eastAsia="es-ES" w:bidi="es-ES"/>
        </w:rPr>
        <w:t>as</w:t>
      </w:r>
      <w:r w:rsidR="00B949BB" w:rsidRPr="00065D8F">
        <w:rPr>
          <w:rFonts w:ascii="Arial" w:eastAsia="Arial" w:hAnsi="Arial" w:cs="Arial"/>
          <w:sz w:val="22"/>
          <w:szCs w:val="22"/>
          <w:lang w:val="es-ES_tradnl" w:eastAsia="es-ES" w:bidi="es-ES"/>
        </w:rPr>
        <w:t>í</w:t>
      </w:r>
      <w:r w:rsidR="00C03C28" w:rsidRPr="00065D8F">
        <w:rPr>
          <w:rFonts w:ascii="Arial" w:eastAsia="Arial" w:hAnsi="Arial" w:cs="Arial"/>
          <w:sz w:val="22"/>
          <w:szCs w:val="22"/>
          <w:lang w:eastAsia="es-ES" w:bidi="es-ES"/>
        </w:rPr>
        <w:t>:</w:t>
      </w:r>
    </w:p>
    <w:p w14:paraId="60A31FAA" w14:textId="7AEE3EA6" w:rsidR="000C1771" w:rsidRPr="00065D8F" w:rsidRDefault="000C1771" w:rsidP="00065D8F">
      <w:pPr>
        <w:pStyle w:val="Textoindependiente"/>
        <w:spacing w:after="120" w:line="240" w:lineRule="auto"/>
        <w:ind w:left="709" w:right="567"/>
        <w:rPr>
          <w:sz w:val="21"/>
          <w:szCs w:val="21"/>
          <w:lang w:val="es-CO"/>
        </w:rPr>
      </w:pPr>
      <w:r w:rsidRPr="00065D8F">
        <w:rPr>
          <w:sz w:val="21"/>
          <w:szCs w:val="21"/>
          <w:lang w:val="es-CO"/>
        </w:rPr>
        <w:t xml:space="preserve">Así las cosas, de conformidad con el numeral 4.1 del artículo de la Ley 1369 de 2009, a la sociedad Servicios Postales Nacionales en su calidad Operador Postal Oficial o Concesionario de Correo le corresponde prestar de manera exclusiva: i) el Servicio Postal Universal, </w:t>
      </w:r>
      <w:proofErr w:type="spellStart"/>
      <w:r w:rsidRPr="00065D8F">
        <w:rPr>
          <w:sz w:val="21"/>
          <w:szCs w:val="21"/>
          <w:lang w:val="es-CO"/>
        </w:rPr>
        <w:t>ii</w:t>
      </w:r>
      <w:proofErr w:type="spellEnd"/>
      <w:r w:rsidRPr="00065D8F">
        <w:rPr>
          <w:sz w:val="21"/>
          <w:szCs w:val="21"/>
          <w:lang w:val="es-CO"/>
        </w:rPr>
        <w:t xml:space="preserve">) la franquicia, </w:t>
      </w:r>
      <w:proofErr w:type="spellStart"/>
      <w:r w:rsidRPr="00065D8F">
        <w:rPr>
          <w:sz w:val="21"/>
          <w:szCs w:val="21"/>
          <w:lang w:val="es-CO"/>
        </w:rPr>
        <w:t>iii</w:t>
      </w:r>
      <w:proofErr w:type="spellEnd"/>
      <w:r w:rsidRPr="00065D8F">
        <w:rPr>
          <w:sz w:val="21"/>
          <w:szCs w:val="21"/>
          <w:lang w:val="es-CO"/>
        </w:rPr>
        <w:t xml:space="preserve">) el servicio de giros internacionales y </w:t>
      </w:r>
      <w:proofErr w:type="spellStart"/>
      <w:r w:rsidRPr="00065D8F">
        <w:rPr>
          <w:sz w:val="21"/>
          <w:szCs w:val="21"/>
          <w:lang w:val="es-CO"/>
        </w:rPr>
        <w:t>iv</w:t>
      </w:r>
      <w:proofErr w:type="spellEnd"/>
      <w:r w:rsidRPr="00065D8F">
        <w:rPr>
          <w:sz w:val="21"/>
          <w:szCs w:val="21"/>
          <w:lang w:val="es-CO"/>
        </w:rPr>
        <w:t xml:space="preserve">) el área de reserva.  </w:t>
      </w:r>
    </w:p>
    <w:p w14:paraId="6D02A38F" w14:textId="77777777" w:rsidR="000C1771" w:rsidRPr="00065D8F" w:rsidRDefault="000C1771" w:rsidP="00065D8F">
      <w:pPr>
        <w:pStyle w:val="Textoindependiente"/>
        <w:spacing w:after="120" w:line="240" w:lineRule="auto"/>
        <w:ind w:left="709" w:right="567"/>
        <w:rPr>
          <w:sz w:val="21"/>
          <w:szCs w:val="21"/>
          <w:lang w:val="es-CO"/>
        </w:rPr>
      </w:pPr>
      <w:r w:rsidRPr="00065D8F">
        <w:rPr>
          <w:sz w:val="21"/>
          <w:szCs w:val="21"/>
          <w:lang w:val="es-CO"/>
        </w:rPr>
        <w:t xml:space="preserve">El artículo 17 de la misma normativa consagra las obligaciones especiales a cargo del Operador Postal Oficial, entre las cuales se destacan las siguientes: i) no puede negarse a recibir del usuario remitente un envío de correspondencia u objeto postal que le sea entregado, siempre que se cumpla con las condiciones previstas en los reglamentos correspondientes y el usuario pague la tarifa establecida, y </w:t>
      </w:r>
      <w:proofErr w:type="spellStart"/>
      <w:r w:rsidRPr="00065D8F">
        <w:rPr>
          <w:sz w:val="21"/>
          <w:szCs w:val="21"/>
          <w:lang w:val="es-CO"/>
        </w:rPr>
        <w:t>ii</w:t>
      </w:r>
      <w:proofErr w:type="spellEnd"/>
      <w:r w:rsidRPr="00065D8F">
        <w:rPr>
          <w:sz w:val="21"/>
          <w:szCs w:val="21"/>
          <w:lang w:val="es-CO"/>
        </w:rPr>
        <w:t>) no puede interrumpir ni suspender la prestación del Servicio Postal Universal, salvo por eventos de caso fortuito o fuerza mayor, o por «razones de orden público».</w:t>
      </w:r>
    </w:p>
    <w:p w14:paraId="194986E2" w14:textId="5DD3FD8C" w:rsidR="000C1771" w:rsidRPr="00065D8F" w:rsidRDefault="000C1771" w:rsidP="00065D8F">
      <w:pPr>
        <w:pStyle w:val="Textoindependiente"/>
        <w:spacing w:after="120" w:line="240" w:lineRule="auto"/>
        <w:ind w:left="709" w:right="567"/>
        <w:rPr>
          <w:sz w:val="21"/>
          <w:szCs w:val="21"/>
          <w:lang w:val="es-CO"/>
        </w:rPr>
      </w:pPr>
      <w:r w:rsidRPr="00065D8F">
        <w:rPr>
          <w:sz w:val="21"/>
          <w:szCs w:val="21"/>
          <w:lang w:val="es-CO"/>
        </w:rPr>
        <w:lastRenderedPageBreak/>
        <w:t>Cabe precisar que, según el artículo 15 de la Ley 1369 de 2009, la sociedad Servicios Postales Nacionales en su condición de Operador Postal Oficial, es la «única autorizada por la ley para prestar los servicios de correo a las entidades integrantes de la Rama Ejecutiva, Legislativa y Judicial del poder público» y, en general, los servicios exclusivos de Operador Postal Oficial a todo el Estado.</w:t>
      </w:r>
    </w:p>
    <w:p w14:paraId="34C84F2A" w14:textId="77777777" w:rsidR="000C1771" w:rsidRPr="00065D8F" w:rsidRDefault="000C1771" w:rsidP="00065D8F">
      <w:pPr>
        <w:pStyle w:val="Textoindependiente"/>
        <w:spacing w:after="120" w:line="240" w:lineRule="auto"/>
        <w:ind w:left="709" w:right="567"/>
        <w:rPr>
          <w:sz w:val="21"/>
          <w:szCs w:val="21"/>
          <w:lang w:val="es-CO"/>
        </w:rPr>
      </w:pPr>
      <w:r w:rsidRPr="00065D8F">
        <w:rPr>
          <w:sz w:val="21"/>
          <w:szCs w:val="21"/>
          <w:lang w:val="es-CO"/>
        </w:rPr>
        <w:t>Como puede apreciarse, el artículo 15 y demás normas de la Ley 1369 de 2009 solo autorizan a las entidades estatales a contratar con Servicios Postales Nacionales los servicios de correo y los servicios postales que, como Operador Postal Oficial, presta con exclusividad, los cuales, sin duda, resultan necesarios para el buen y cabal desarrollo de las funciones a cargo de dichas entidades, por cuanto la interrupción de este servicio podría traumatizar la administración pública, en detrimento de intereses públicos y los derechos ciudadanos cuya garantía está en cabeza de las autoridades.</w:t>
      </w:r>
    </w:p>
    <w:p w14:paraId="39996930" w14:textId="53E4B89A" w:rsidR="000C1771" w:rsidRPr="00065D8F" w:rsidRDefault="000C1771" w:rsidP="00014EDF">
      <w:pPr>
        <w:pStyle w:val="Textoindependiente"/>
        <w:spacing w:after="120" w:line="240" w:lineRule="auto"/>
        <w:ind w:left="709" w:right="567"/>
        <w:rPr>
          <w:sz w:val="21"/>
          <w:szCs w:val="21"/>
          <w:lang w:val="es-CO"/>
        </w:rPr>
      </w:pPr>
      <w:r w:rsidRPr="00065D8F">
        <w:rPr>
          <w:sz w:val="21"/>
          <w:szCs w:val="21"/>
          <w:lang w:val="es-CO"/>
        </w:rPr>
        <w:t>Teniendo en cuenta el contexto anterior, vale la pena indicar que la Sala de Consulta y Servicio Civil del Consejo de Estado se ha pronunciado en el sentido de que, cuando excepcionalmente el contrato o convenio interadministrativo es ordenado por una ley, su celebración no resultaría violatorio de la restricción a la contratación directa contenida en la Ley 996 de 2005. Así lo manifestó en un caso similar al objeto de esta consulta en el que se le indagó a esa sala si en época de la restricción impuesta por la Ley de Garantías Electorales era viable que el Congreso de la República pudiera contratar directamente a la Imprenta Nacional, empresa industrial y comercial del Estado, la publicación de las gacetas de los proyectos de ley, con la finalidad de que se cumpliera con los trámites constitucionales y legales, teniendo en cuenta la existencia de un mandato legal</w:t>
      </w:r>
      <w:r w:rsidR="00014EDF" w:rsidRPr="00065D8F">
        <w:rPr>
          <w:sz w:val="21"/>
          <w:szCs w:val="21"/>
          <w:lang w:val="es-CO"/>
        </w:rPr>
        <w:t>.</w:t>
      </w:r>
    </w:p>
    <w:p w14:paraId="09D17140" w14:textId="461E7692" w:rsidR="00014EDF" w:rsidRPr="00065D8F" w:rsidRDefault="00014EDF" w:rsidP="00014EDF">
      <w:pPr>
        <w:pStyle w:val="Textoindependiente"/>
        <w:spacing w:after="120" w:line="240" w:lineRule="auto"/>
        <w:ind w:left="709" w:right="567"/>
        <w:rPr>
          <w:sz w:val="21"/>
          <w:szCs w:val="21"/>
          <w:lang w:val="es-CO"/>
        </w:rPr>
      </w:pPr>
      <w:r w:rsidRPr="00065D8F">
        <w:rPr>
          <w:sz w:val="21"/>
          <w:szCs w:val="21"/>
          <w:lang w:val="es-CO"/>
        </w:rPr>
        <w:t>[…]</w:t>
      </w:r>
    </w:p>
    <w:p w14:paraId="2BCA17E4" w14:textId="313BC74F" w:rsidR="00C03C28" w:rsidRPr="00065D8F" w:rsidRDefault="00014EDF" w:rsidP="00065D8F">
      <w:pPr>
        <w:pStyle w:val="Textoindependiente"/>
        <w:spacing w:after="120" w:line="240" w:lineRule="auto"/>
        <w:ind w:left="709" w:right="567"/>
        <w:rPr>
          <w:sz w:val="21"/>
          <w:szCs w:val="21"/>
        </w:rPr>
      </w:pPr>
      <w:r w:rsidRPr="00065D8F">
        <w:rPr>
          <w:sz w:val="21"/>
          <w:szCs w:val="21"/>
        </w:rPr>
        <w:t xml:space="preserve">Teniendo en cuenta el particular contexto legal descrito, Servicios Postales Nacionales y las entidades estatales, </w:t>
      </w:r>
      <w:r w:rsidR="00C03C28" w:rsidRPr="00065D8F">
        <w:rPr>
          <w:sz w:val="21"/>
          <w:szCs w:val="21"/>
        </w:rPr>
        <w:t xml:space="preserve">en los términos establecidos en la Ley 1369 de 2009, podrían celebrar o prorrogar, incluso en la época en que rige la Ley de Garantías Electorales, contratos interadministrativos cuyo objeto sea la prestación de los servicios postales oficiales que necesiten estas para el ejercicio de sus funciones y que se le confían a aquella en forma </w:t>
      </w:r>
      <w:r w:rsidR="00C03C28" w:rsidRPr="00065D8F">
        <w:rPr>
          <w:i/>
          <w:iCs/>
          <w:sz w:val="21"/>
          <w:szCs w:val="21"/>
        </w:rPr>
        <w:t>exclusiva</w:t>
      </w:r>
      <w:r w:rsidR="00C03C28" w:rsidRPr="00065D8F">
        <w:rPr>
          <w:sz w:val="21"/>
          <w:szCs w:val="21"/>
        </w:rPr>
        <w:t>, sin que la celebración excepcional de contratos con este alcance de lugar a desconocer las restricciones establecidas en materia contractual en la Ley de Garantías.</w:t>
      </w:r>
    </w:p>
    <w:p w14:paraId="03035FF9" w14:textId="77777777" w:rsidR="00C03C28" w:rsidRPr="00065D8F" w:rsidRDefault="00C03C28" w:rsidP="00065D8F">
      <w:pPr>
        <w:pStyle w:val="Textoindependiente"/>
        <w:spacing w:after="120" w:line="240" w:lineRule="auto"/>
        <w:ind w:left="709" w:right="567"/>
        <w:rPr>
          <w:sz w:val="21"/>
          <w:szCs w:val="21"/>
        </w:rPr>
      </w:pPr>
      <w:r w:rsidRPr="00065D8F">
        <w:rPr>
          <w:sz w:val="21"/>
          <w:szCs w:val="21"/>
        </w:rPr>
        <w:t>El contrato interadministrativo a celebrar para tal efecto regulará las relaciones jurídicas entre dos órganos del Estado que desarrollan sus obligaciones legales, por un lado, las entidades para cumplir las funciones que les son asignadas y, por el otro, Servicios Postales Nacionales para prestar un servicio público que le ha sido concesionado y que no podría ser contratado mediante un procedimiento competitivo, con convocatoria pública y pluralidad de oferentes, como sería una licitación pública o selección abreviada.</w:t>
      </w:r>
    </w:p>
    <w:p w14:paraId="552FD5E4" w14:textId="77777777" w:rsidR="00C03C28" w:rsidRPr="00065D8F" w:rsidRDefault="00C03C28" w:rsidP="00065D8F">
      <w:pPr>
        <w:pStyle w:val="Textoindependiente"/>
        <w:spacing w:after="0" w:line="240" w:lineRule="auto"/>
        <w:ind w:left="709" w:right="567"/>
        <w:rPr>
          <w:sz w:val="21"/>
          <w:szCs w:val="21"/>
        </w:rPr>
      </w:pPr>
      <w:bookmarkStart w:id="49" w:name="_Hlk77175221"/>
      <w:r w:rsidRPr="00065D8F">
        <w:rPr>
          <w:sz w:val="21"/>
          <w:szCs w:val="21"/>
        </w:rPr>
        <w:t>En consecuencia, a juicio de esta Agencia, la celebración de este contrato interadministrativo en épocas preelectorales no desconocería la restricción a la contratación directa o la prohibición de celebrar convenios interadministrativos contenidas por Ley 996 de 2005, pues resulta obligatorio para las dos partes en virtud de un mandato legal, en los términos establecidos en la Ley 1369 de 2009.</w:t>
      </w:r>
      <w:bookmarkEnd w:id="49"/>
    </w:p>
    <w:p w14:paraId="4F0EA995" w14:textId="533C8E67" w:rsidR="00E312AD" w:rsidRPr="00065D8F" w:rsidRDefault="00E312AD" w:rsidP="00C03C28">
      <w:pPr>
        <w:pStyle w:val="Textoindependiente"/>
        <w:spacing w:after="0"/>
        <w:ind w:left="709" w:right="567"/>
        <w:rPr>
          <w:sz w:val="21"/>
          <w:szCs w:val="21"/>
        </w:rPr>
      </w:pPr>
      <w:r w:rsidRPr="00065D8F">
        <w:t xml:space="preserve"> </w:t>
      </w:r>
    </w:p>
    <w:p w14:paraId="133B5D06" w14:textId="5CF492C1" w:rsidR="00E312AD" w:rsidRPr="00065D8F" w:rsidRDefault="007155B8" w:rsidP="007155B8">
      <w:pPr>
        <w:pStyle w:val="Textoindependiente"/>
        <w:spacing w:after="120"/>
        <w:ind w:firstLine="709"/>
      </w:pPr>
      <w:r w:rsidRPr="00065D8F">
        <w:rPr>
          <w:lang w:val="es-CO"/>
        </w:rPr>
        <w:lastRenderedPageBreak/>
        <w:t>Lo anterior</w:t>
      </w:r>
      <w:r w:rsidR="00E312AD" w:rsidRPr="00065D8F">
        <w:t>,</w:t>
      </w:r>
      <w:r w:rsidRPr="00065D8F">
        <w:t xml:space="preserve"> sin perjuicio de distinguir</w:t>
      </w:r>
      <w:r w:rsidR="00E312AD" w:rsidRPr="00065D8F">
        <w:t xml:space="preserve"> los contratos para adquirir bienes y servicios necesarios para la realización de su actividad, los cuales no puede celebrar en el periodo preelectoral </w:t>
      </w:r>
      <w:r w:rsidR="006B6F1B" w:rsidRPr="00065D8F">
        <w:t xml:space="preserve">mediante </w:t>
      </w:r>
      <w:r w:rsidR="00E312AD" w:rsidRPr="00065D8F">
        <w:t>contratación directa</w:t>
      </w:r>
      <w:r w:rsidR="006B6F1B" w:rsidRPr="00065D8F">
        <w:t>,</w:t>
      </w:r>
      <w:r w:rsidR="00E312AD" w:rsidRPr="00065D8F">
        <w:t xml:space="preserve"> sino por mecanismos competitivos que impliquen convocatoria pública y la posibilidad de pluralidad de oferentes; de los contratos en los que Servicios Postales Nacionales S.A. presta sus servicios a los usuarios particulares en condiciones de acceso e igualdad, los cuales no puede dejar de celebrar directamente.</w:t>
      </w:r>
    </w:p>
    <w:p w14:paraId="58D53037" w14:textId="2DAEF09F" w:rsidR="003D09E4" w:rsidRPr="00065D8F" w:rsidRDefault="003D09E4" w:rsidP="000D26AB">
      <w:pPr>
        <w:pStyle w:val="Textoindependiente"/>
        <w:spacing w:after="120"/>
        <w:ind w:firstLine="709"/>
      </w:pPr>
      <w:r w:rsidRPr="00065D8F">
        <w:t xml:space="preserve">En todo caso, la Agencia advierte que en desarrollo del deber de planeación y de los principios de la función administrativa, las entidades públicas, estén o no sometidas a un régimen especial o excepcional de contratación, están obligadas a realizar las previsiones y análisis suficientes y necesarios para determinar la celebración de los contratos, teniendo en cuenta las limitaciones temporales y específicas que se presentan en torno a ciertas modalidades de contratación. Entre tales limitaciones se encuentran, sin duda, las prohibiciones derivadas de la Ley de Garantías Electorales, de manera que, con ocasión a su aplicación, deben ajustar </w:t>
      </w:r>
      <w:r w:rsidR="00014EDF" w:rsidRPr="00065D8F">
        <w:t xml:space="preserve">la </w:t>
      </w:r>
      <w:r w:rsidRPr="00065D8F">
        <w:t>planificación contractual para no ver afectadas las condiciones de calidad, eficiencia, celeridad, continuidad, oportunidad</w:t>
      </w:r>
      <w:r w:rsidR="00014EDF" w:rsidRPr="00065D8F">
        <w:t>,</w:t>
      </w:r>
      <w:r w:rsidRPr="00065D8F">
        <w:t xml:space="preserve"> etc. del servicio público prestado. </w:t>
      </w:r>
    </w:p>
    <w:p w14:paraId="23CF7A46" w14:textId="77777777" w:rsidR="007155B8" w:rsidRPr="00065D8F" w:rsidRDefault="007155B8" w:rsidP="00065D8F">
      <w:pPr>
        <w:pStyle w:val="Textoindependiente"/>
        <w:spacing w:after="0"/>
        <w:ind w:firstLine="709"/>
      </w:pPr>
    </w:p>
    <w:p w14:paraId="79A8F50A" w14:textId="58138D0F" w:rsidR="00264924" w:rsidRPr="00065D8F" w:rsidRDefault="00CD02B5" w:rsidP="007155B8">
      <w:pPr>
        <w:spacing w:afterLines="120" w:after="288" w:line="276" w:lineRule="auto"/>
        <w:rPr>
          <w:rFonts w:ascii="Arial" w:eastAsia="Calibri" w:hAnsi="Arial" w:cs="Arial"/>
          <w:b/>
          <w:sz w:val="22"/>
        </w:rPr>
      </w:pPr>
      <w:r w:rsidRPr="00065D8F">
        <w:rPr>
          <w:rFonts w:ascii="Arial" w:eastAsia="Calibri" w:hAnsi="Arial" w:cs="Arial"/>
          <w:b/>
          <w:sz w:val="22"/>
        </w:rPr>
        <w:t xml:space="preserve">3. </w:t>
      </w:r>
      <w:r w:rsidR="00CF2AA3" w:rsidRPr="00065D8F">
        <w:rPr>
          <w:rFonts w:ascii="Arial" w:eastAsia="Calibri" w:hAnsi="Arial" w:cs="Arial"/>
          <w:b/>
          <w:sz w:val="22"/>
        </w:rPr>
        <w:t>Respuest</w:t>
      </w:r>
      <w:r w:rsidR="001C1A26" w:rsidRPr="00065D8F">
        <w:rPr>
          <w:rFonts w:ascii="Arial" w:eastAsia="Calibri" w:hAnsi="Arial" w:cs="Arial"/>
          <w:b/>
          <w:sz w:val="22"/>
        </w:rPr>
        <w:t>a</w:t>
      </w:r>
    </w:p>
    <w:p w14:paraId="08583A97" w14:textId="7EFB314D" w:rsidR="00376F76" w:rsidRPr="00065D8F" w:rsidRDefault="00931636" w:rsidP="007155B8">
      <w:pPr>
        <w:spacing w:afterLines="120" w:after="288" w:line="276" w:lineRule="auto"/>
        <w:jc w:val="both"/>
        <w:rPr>
          <w:rFonts w:ascii="Arial" w:eastAsia="Calibri" w:hAnsi="Arial" w:cs="Arial"/>
          <w:bCs/>
          <w:sz w:val="22"/>
        </w:rPr>
      </w:pPr>
      <w:r w:rsidRPr="00065D8F">
        <w:rPr>
          <w:rFonts w:ascii="Arial" w:eastAsia="Calibri" w:hAnsi="Arial" w:cs="Arial"/>
          <w:bCs/>
          <w:sz w:val="22"/>
        </w:rPr>
        <w:t xml:space="preserve">A continuación, se procede </w:t>
      </w:r>
      <w:r w:rsidR="00B20F17" w:rsidRPr="00065D8F">
        <w:rPr>
          <w:rFonts w:ascii="Arial" w:eastAsia="Calibri" w:hAnsi="Arial" w:cs="Arial"/>
          <w:bCs/>
          <w:sz w:val="22"/>
        </w:rPr>
        <w:t>emitir</w:t>
      </w:r>
      <w:r w:rsidRPr="00065D8F">
        <w:rPr>
          <w:rFonts w:ascii="Arial" w:eastAsia="Calibri" w:hAnsi="Arial" w:cs="Arial"/>
          <w:bCs/>
          <w:sz w:val="22"/>
        </w:rPr>
        <w:t xml:space="preserve"> respuesta a los interrogantes planteados en la consulta</w:t>
      </w:r>
      <w:r w:rsidR="00273146" w:rsidRPr="00065D8F">
        <w:rPr>
          <w:rFonts w:ascii="Arial" w:eastAsia="Calibri" w:hAnsi="Arial" w:cs="Arial"/>
          <w:bCs/>
          <w:sz w:val="22"/>
        </w:rPr>
        <w:t xml:space="preserve"> en forma conjunta por su conexidad temática</w:t>
      </w:r>
      <w:r w:rsidRPr="00065D8F">
        <w:rPr>
          <w:rFonts w:ascii="Arial" w:eastAsia="Calibri" w:hAnsi="Arial" w:cs="Arial"/>
          <w:bCs/>
          <w:sz w:val="22"/>
        </w:rPr>
        <w:t xml:space="preserve">, no sin antes reiterar que </w:t>
      </w:r>
      <w:r w:rsidRPr="00065D8F">
        <w:rPr>
          <w:rFonts w:ascii="Arial" w:hAnsi="Arial" w:cs="Arial"/>
          <w:sz w:val="22"/>
          <w:lang w:val="es-ES"/>
        </w:rPr>
        <w:t>resolver casos particulares desborda las atribuciones asignadas por el legislador extraordinario a esta Agencia, que no concibió a Colombia Compra Eficiente como una autoridad para solucionar problemas jurídicos particulares</w:t>
      </w:r>
      <w:r w:rsidRPr="00065D8F">
        <w:rPr>
          <w:rFonts w:ascii="Arial" w:hAnsi="Arial" w:cs="Arial"/>
          <w:bCs/>
          <w:sz w:val="22"/>
        </w:rPr>
        <w:t xml:space="preserve"> de todos los partícipes de la contratación estatal. Bajo el parámetro anterior, se responde:</w:t>
      </w:r>
    </w:p>
    <w:p w14:paraId="57B2F608" w14:textId="2B6FC255" w:rsidR="0077610F" w:rsidRPr="00065D8F" w:rsidRDefault="0077610F" w:rsidP="00065D8F">
      <w:pPr>
        <w:tabs>
          <w:tab w:val="left" w:pos="426"/>
        </w:tabs>
        <w:spacing w:after="120"/>
        <w:ind w:left="709" w:right="709"/>
        <w:jc w:val="both"/>
        <w:rPr>
          <w:rFonts w:ascii="Arial" w:eastAsia="Calibri" w:hAnsi="Arial" w:cs="Arial"/>
          <w:sz w:val="21"/>
          <w:szCs w:val="21"/>
        </w:rPr>
      </w:pPr>
      <w:bookmarkStart w:id="50" w:name="_Hlk57650395"/>
      <w:r w:rsidRPr="00065D8F">
        <w:rPr>
          <w:rFonts w:ascii="Arial" w:eastAsia="Calibri" w:hAnsi="Arial" w:cs="Arial"/>
          <w:sz w:val="21"/>
          <w:szCs w:val="21"/>
        </w:rPr>
        <w:t>«1- ¿Servicios Postales Nacionales S.A.S. 472 como Operador Postal Oficial  concesionario del servicio de correo, le aplica un régimen jurídico especial para la contratación de arrendamientos durante la vigencia de la ley de garantías, por tratarse de una sociedad comercial que tiene obligaciones contractuales asociadas a los puntos de venta a nivel nacional y la necesidad garantizar el acceso y prestación del servicio público postal y sus obligaciones de cara a la población en materia de cobertura y acceso a los servicios? ¿</w:t>
      </w:r>
      <w:r w:rsidR="00931636" w:rsidRPr="00065D8F">
        <w:rPr>
          <w:rFonts w:ascii="Arial" w:eastAsia="Calibri" w:hAnsi="Arial" w:cs="Arial"/>
          <w:sz w:val="21"/>
          <w:szCs w:val="21"/>
        </w:rPr>
        <w:t>P</w:t>
      </w:r>
      <w:r w:rsidRPr="00065D8F">
        <w:rPr>
          <w:rFonts w:ascii="Arial" w:eastAsia="Calibri" w:hAnsi="Arial" w:cs="Arial"/>
          <w:sz w:val="21"/>
          <w:szCs w:val="21"/>
        </w:rPr>
        <w:t>uede 4-72 celebrar contratos de arrendamiento de puntos de venta mediante contratación directa en vigencia de la Ley de garantías para cumplir las obligaciones del contrato de concesión o esta es una excepción de cumplimiento contractual»</w:t>
      </w:r>
    </w:p>
    <w:p w14:paraId="1AB13485" w14:textId="77777777" w:rsidR="00273146" w:rsidRPr="00065D8F" w:rsidRDefault="00273146" w:rsidP="00065D8F">
      <w:pPr>
        <w:tabs>
          <w:tab w:val="left" w:pos="426"/>
        </w:tabs>
        <w:spacing w:after="120"/>
        <w:ind w:left="709" w:right="709"/>
        <w:jc w:val="both"/>
        <w:rPr>
          <w:rFonts w:ascii="Arial" w:eastAsia="Calibri" w:hAnsi="Arial" w:cs="Arial"/>
          <w:sz w:val="21"/>
          <w:szCs w:val="21"/>
        </w:rPr>
      </w:pPr>
      <w:r w:rsidRPr="00065D8F">
        <w:rPr>
          <w:rFonts w:ascii="Arial" w:eastAsia="Calibri" w:hAnsi="Arial" w:cs="Arial"/>
          <w:sz w:val="21"/>
          <w:szCs w:val="21"/>
        </w:rPr>
        <w:t xml:space="preserve">» 2- En caso de que la respuesta a la anterior pregunta sea negativa, sírvase indicar ¿Qué modalidad de contratación puede utilizar Servicios Postales Nacionales S.A.S. 472 para cumplir con las obligaciones legales que garanticen el derecho fundamental al acceso a la comunicación en materia de contratos de arrendamiento de sus puntos de venta? ¿Cuándo no existe pluralidad de </w:t>
      </w:r>
      <w:r w:rsidRPr="00065D8F">
        <w:rPr>
          <w:rFonts w:ascii="Arial" w:eastAsia="Calibri" w:hAnsi="Arial" w:cs="Arial"/>
          <w:sz w:val="21"/>
          <w:szCs w:val="21"/>
        </w:rPr>
        <w:lastRenderedPageBreak/>
        <w:t>oferentes para celebrar contratos de arrendamiento en un municipio determinado, como se debe proceder para garantizar esta obligación definida en un contrato de concesión?</w:t>
      </w:r>
    </w:p>
    <w:p w14:paraId="1B38857F" w14:textId="037B14FE" w:rsidR="00273146" w:rsidRPr="00065D8F" w:rsidRDefault="00273146" w:rsidP="00065D8F">
      <w:pPr>
        <w:tabs>
          <w:tab w:val="left" w:pos="426"/>
        </w:tabs>
        <w:ind w:left="709" w:right="709"/>
        <w:jc w:val="both"/>
        <w:rPr>
          <w:rFonts w:ascii="Arial" w:eastAsia="Calibri" w:hAnsi="Arial" w:cs="Arial"/>
          <w:sz w:val="21"/>
          <w:szCs w:val="21"/>
        </w:rPr>
      </w:pPr>
      <w:r w:rsidRPr="00065D8F">
        <w:rPr>
          <w:rFonts w:ascii="Arial" w:eastAsia="Calibri" w:hAnsi="Arial" w:cs="Arial"/>
          <w:sz w:val="21"/>
          <w:szCs w:val="21"/>
        </w:rPr>
        <w:t>» 3- En materia de arrendamiento de otro tipo de inmuebles (no puntos de venta) pero para el cumplimiento y ejecución de un contrato comercial, es decir, cuando se requiere un arrendamiento con motivo de un contrato comercial suscrito con un cliente que así lo exija, ¿existe alguna excepción durante la ley de garantías o la empresa debe limitar su actividad comercial durante este periodo con los riesgos asociados de pérdida de ingresos frente a operadores postales privados?»</w:t>
      </w:r>
      <w:r w:rsidR="0061438F" w:rsidRPr="00065D8F">
        <w:rPr>
          <w:rFonts w:ascii="Arial" w:eastAsia="Calibri" w:hAnsi="Arial" w:cs="Arial"/>
          <w:sz w:val="21"/>
          <w:szCs w:val="21"/>
        </w:rPr>
        <w:t>.</w:t>
      </w:r>
      <w:r w:rsidRPr="00065D8F">
        <w:rPr>
          <w:rFonts w:ascii="Arial" w:eastAsia="Calibri" w:hAnsi="Arial" w:cs="Arial"/>
          <w:bCs/>
          <w:color w:val="000000" w:themeColor="text1"/>
          <w:sz w:val="22"/>
          <w:lang w:val="es-ES_tradnl"/>
        </w:rPr>
        <w:tab/>
      </w:r>
    </w:p>
    <w:p w14:paraId="45FBF0A2" w14:textId="77777777" w:rsidR="00F462E8" w:rsidRPr="00065D8F" w:rsidRDefault="00F462E8" w:rsidP="007155B8">
      <w:pPr>
        <w:tabs>
          <w:tab w:val="left" w:pos="426"/>
        </w:tabs>
        <w:spacing w:afterLines="120" w:after="288" w:line="276" w:lineRule="auto"/>
        <w:ind w:left="426"/>
        <w:jc w:val="both"/>
        <w:rPr>
          <w:rFonts w:ascii="Arial" w:eastAsia="Calibri" w:hAnsi="Arial" w:cs="Arial"/>
          <w:sz w:val="21"/>
          <w:szCs w:val="21"/>
        </w:rPr>
      </w:pPr>
    </w:p>
    <w:p w14:paraId="7F5265B6" w14:textId="2B51DCEE" w:rsidR="00B52ABB" w:rsidRPr="00065D8F" w:rsidRDefault="0077610F" w:rsidP="00065D8F">
      <w:pPr>
        <w:spacing w:after="120" w:line="276" w:lineRule="auto"/>
        <w:jc w:val="both"/>
        <w:rPr>
          <w:rFonts w:ascii="Arial" w:hAnsi="Arial" w:cs="Arial"/>
          <w:bCs/>
          <w:sz w:val="22"/>
          <w:lang w:eastAsia="x-none"/>
        </w:rPr>
      </w:pPr>
      <w:r w:rsidRPr="00065D8F">
        <w:rPr>
          <w:rFonts w:ascii="Arial" w:hAnsi="Arial" w:cs="Arial"/>
          <w:bCs/>
          <w:sz w:val="22"/>
          <w:lang w:eastAsia="x-none"/>
        </w:rPr>
        <w:t>El artículo 33 de la Ley 996 de 2005 señala expresamente a los destinatarios de la prohibición, en el sentido de que son «todos los entes del Estado», expresión que contempla los diferentes organismos o entidades autorizadas por la ley para suscribir contratos.</w:t>
      </w:r>
      <w:r w:rsidRPr="00065D8F">
        <w:rPr>
          <w:rFonts w:ascii="Arial" w:hAnsi="Arial" w:cs="Arial"/>
        </w:rPr>
        <w:t xml:space="preserve"> </w:t>
      </w:r>
      <w:r w:rsidRPr="00065D8F">
        <w:rPr>
          <w:rFonts w:ascii="Arial" w:hAnsi="Arial" w:cs="Arial"/>
          <w:bCs/>
          <w:sz w:val="22"/>
          <w:lang w:eastAsia="x-none"/>
        </w:rPr>
        <w:t>En efecto, tal como lo ha sostenido el Consejo de Estado, el vocablo «todos» utilizado por el legislador comprende</w:t>
      </w:r>
      <w:r w:rsidRPr="00065D8F">
        <w:rPr>
          <w:rFonts w:ascii="Arial" w:hAnsi="Arial" w:cs="Arial"/>
        </w:rPr>
        <w:t xml:space="preserve"> </w:t>
      </w:r>
      <w:r w:rsidRPr="00065D8F">
        <w:rPr>
          <w:rFonts w:ascii="Arial" w:hAnsi="Arial" w:cs="Arial"/>
          <w:bCs/>
          <w:sz w:val="22"/>
          <w:lang w:eastAsia="x-none"/>
        </w:rPr>
        <w:t>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4F1881" w:rsidRPr="00065D8F">
        <w:rPr>
          <w:rFonts w:ascii="Arial" w:hAnsi="Arial" w:cs="Arial"/>
          <w:bCs/>
          <w:sz w:val="22"/>
          <w:lang w:eastAsia="x-none"/>
        </w:rPr>
        <w:t xml:space="preserve"> </w:t>
      </w:r>
      <w:r w:rsidR="00B52ABB" w:rsidRPr="00065D8F">
        <w:rPr>
          <w:rFonts w:ascii="Arial" w:hAnsi="Arial" w:cs="Arial"/>
          <w:bCs/>
          <w:sz w:val="22"/>
          <w:lang w:eastAsia="x-none"/>
        </w:rPr>
        <w:t>De la misma forma, dicha prohibición se aplica con respecto a todo tipo contractual, entre ellos</w:t>
      </w:r>
      <w:r w:rsidR="000D26AB" w:rsidRPr="00065D8F">
        <w:rPr>
          <w:rFonts w:ascii="Arial" w:hAnsi="Arial" w:cs="Arial"/>
          <w:bCs/>
          <w:sz w:val="22"/>
          <w:lang w:eastAsia="x-none"/>
        </w:rPr>
        <w:t>,</w:t>
      </w:r>
      <w:r w:rsidR="00B52ABB" w:rsidRPr="00065D8F">
        <w:rPr>
          <w:rFonts w:ascii="Arial" w:hAnsi="Arial" w:cs="Arial"/>
          <w:bCs/>
          <w:sz w:val="22"/>
          <w:lang w:eastAsia="x-none"/>
        </w:rPr>
        <w:t xml:space="preserve"> los contratos de arrendamiento que celebren los entes del Estado, </w:t>
      </w:r>
      <w:r w:rsidR="003D09E4" w:rsidRPr="00065D8F">
        <w:rPr>
          <w:rFonts w:ascii="Arial" w:hAnsi="Arial" w:cs="Arial"/>
          <w:bCs/>
          <w:sz w:val="22"/>
          <w:lang w:eastAsia="x-none"/>
        </w:rPr>
        <w:t>bien como arrendadores o arrendatarios de los bienes arrendados</w:t>
      </w:r>
      <w:r w:rsidR="00B52ABB" w:rsidRPr="00065D8F">
        <w:rPr>
          <w:rFonts w:ascii="Arial" w:hAnsi="Arial" w:cs="Arial"/>
          <w:bCs/>
          <w:sz w:val="22"/>
          <w:lang w:eastAsia="x-none"/>
        </w:rPr>
        <w:t xml:space="preserve">. </w:t>
      </w:r>
    </w:p>
    <w:p w14:paraId="23A9011E" w14:textId="7E954FC7" w:rsidR="00273146" w:rsidRPr="00065D8F" w:rsidRDefault="0088034A" w:rsidP="00065D8F">
      <w:pPr>
        <w:spacing w:after="120" w:line="276" w:lineRule="auto"/>
        <w:ind w:firstLine="708"/>
        <w:jc w:val="both"/>
        <w:rPr>
          <w:rFonts w:ascii="Arial" w:hAnsi="Arial" w:cs="Arial"/>
          <w:bCs/>
          <w:sz w:val="22"/>
          <w:lang w:eastAsia="es-CO"/>
        </w:rPr>
      </w:pPr>
      <w:r w:rsidRPr="00065D8F">
        <w:rPr>
          <w:rFonts w:ascii="Arial" w:eastAsia="Calibri" w:hAnsi="Arial" w:cs="Arial"/>
          <w:sz w:val="22"/>
        </w:rPr>
        <w:t>No obstante,</w:t>
      </w:r>
      <w:r w:rsidRPr="00065D8F">
        <w:rPr>
          <w:rFonts w:ascii="Arial" w:hAnsi="Arial" w:cs="Arial"/>
          <w:bCs/>
          <w:sz w:val="22"/>
          <w:lang w:eastAsia="x-none"/>
        </w:rPr>
        <w:t xml:space="preserve"> en el inciso final del citado artículo 33 de la Ley 996 de 2005 </w:t>
      </w:r>
      <w:r w:rsidRPr="00065D8F">
        <w:rPr>
          <w:rFonts w:ascii="Arial" w:eastAsia="Calibri" w:hAnsi="Arial" w:cs="Arial"/>
          <w:sz w:val="22"/>
        </w:rPr>
        <w:t xml:space="preserve"> se </w:t>
      </w:r>
      <w:r w:rsidR="003A46C3" w:rsidRPr="00065D8F">
        <w:rPr>
          <w:rFonts w:ascii="Arial" w:eastAsia="Calibri" w:hAnsi="Arial" w:cs="Arial"/>
          <w:sz w:val="22"/>
        </w:rPr>
        <w:t xml:space="preserve">consagran de manera </w:t>
      </w:r>
      <w:r w:rsidR="000D26AB" w:rsidRPr="00065D8F">
        <w:rPr>
          <w:rFonts w:ascii="Arial" w:eastAsia="Calibri" w:hAnsi="Arial" w:cs="Arial"/>
          <w:sz w:val="22"/>
        </w:rPr>
        <w:t xml:space="preserve">expresa </w:t>
      </w:r>
      <w:r w:rsidRPr="00065D8F">
        <w:rPr>
          <w:rFonts w:ascii="Arial" w:eastAsia="Calibri" w:hAnsi="Arial" w:cs="Arial"/>
          <w:sz w:val="22"/>
        </w:rPr>
        <w:t xml:space="preserve">las excepciones </w:t>
      </w:r>
      <w:r w:rsidR="00273146" w:rsidRPr="00065D8F">
        <w:rPr>
          <w:rFonts w:ascii="Arial" w:hAnsi="Arial" w:cs="Arial"/>
          <w:bCs/>
          <w:sz w:val="22"/>
          <w:lang w:eastAsia="x-none"/>
        </w:rPr>
        <w:t xml:space="preserve">con fundamento en las cuales podrán las entidades públicas adelantar procedimientos de selección directa en períodos previos a la contienda electoral por la Presidencia, </w:t>
      </w:r>
      <w:r w:rsidR="003A46C3" w:rsidRPr="00065D8F">
        <w:rPr>
          <w:rFonts w:ascii="Arial" w:hAnsi="Arial" w:cs="Arial"/>
          <w:bCs/>
          <w:sz w:val="22"/>
          <w:lang w:eastAsia="x-none"/>
        </w:rPr>
        <w:t>relacionadas con</w:t>
      </w:r>
      <w:r w:rsidR="00273146" w:rsidRPr="00065D8F">
        <w:rPr>
          <w:rFonts w:ascii="Arial" w:hAnsi="Arial" w:cs="Arial"/>
          <w:bCs/>
          <w:sz w:val="22"/>
          <w:lang w:eastAsia="x-none"/>
        </w:rPr>
        <w:t xml:space="preserve">: i) la defensa y seguridad del Estado; </w:t>
      </w:r>
      <w:proofErr w:type="spellStart"/>
      <w:r w:rsidR="00273146" w:rsidRPr="00065D8F">
        <w:rPr>
          <w:rFonts w:ascii="Arial" w:hAnsi="Arial" w:cs="Arial"/>
          <w:bCs/>
          <w:sz w:val="22"/>
          <w:lang w:eastAsia="x-none"/>
        </w:rPr>
        <w:t>ii</w:t>
      </w:r>
      <w:proofErr w:type="spellEnd"/>
      <w:r w:rsidR="00273146" w:rsidRPr="00065D8F">
        <w:rPr>
          <w:rFonts w:ascii="Arial" w:hAnsi="Arial" w:cs="Arial"/>
          <w:bCs/>
          <w:sz w:val="22"/>
          <w:lang w:eastAsia="x-none"/>
        </w:rPr>
        <w:t xml:space="preserve">) los contratos de crédito público; </w:t>
      </w:r>
      <w:proofErr w:type="spellStart"/>
      <w:r w:rsidR="00273146" w:rsidRPr="00065D8F">
        <w:rPr>
          <w:rFonts w:ascii="Arial" w:hAnsi="Arial" w:cs="Arial"/>
          <w:bCs/>
          <w:sz w:val="22"/>
          <w:lang w:eastAsia="x-none"/>
        </w:rPr>
        <w:t>iii</w:t>
      </w:r>
      <w:proofErr w:type="spellEnd"/>
      <w:r w:rsidR="00273146" w:rsidRPr="00065D8F">
        <w:rPr>
          <w:rFonts w:ascii="Arial" w:hAnsi="Arial" w:cs="Arial"/>
          <w:bCs/>
          <w:sz w:val="22"/>
          <w:lang w:eastAsia="x-none"/>
        </w:rPr>
        <w:t xml:space="preserve">) los requeridos para cubrir las emergencias educativas, sanitarias y desastres; </w:t>
      </w:r>
      <w:proofErr w:type="spellStart"/>
      <w:r w:rsidR="00273146" w:rsidRPr="00065D8F">
        <w:rPr>
          <w:rFonts w:ascii="Arial" w:hAnsi="Arial" w:cs="Arial"/>
          <w:bCs/>
          <w:sz w:val="22"/>
          <w:lang w:eastAsia="x-none"/>
        </w:rPr>
        <w:t>iv</w:t>
      </w:r>
      <w:proofErr w:type="spellEnd"/>
      <w:r w:rsidR="00273146" w:rsidRPr="00065D8F">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273146" w:rsidRPr="00065D8F">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4F740F9" w14:textId="412283C6" w:rsidR="00754F0B" w:rsidRPr="00065D8F" w:rsidRDefault="00754F0B" w:rsidP="00065D8F">
      <w:pPr>
        <w:spacing w:after="120"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 xml:space="preserve">De lo anterior la Agencia concluye que, </w:t>
      </w:r>
      <w:r w:rsidR="00D51A58" w:rsidRPr="00065D8F">
        <w:rPr>
          <w:rFonts w:ascii="Arial" w:eastAsia="Arial" w:hAnsi="Arial" w:cs="Arial"/>
          <w:sz w:val="22"/>
          <w:szCs w:val="22"/>
          <w:lang w:eastAsia="es-ES" w:bidi="es-ES"/>
        </w:rPr>
        <w:t>como</w:t>
      </w:r>
      <w:r w:rsidRPr="00065D8F">
        <w:rPr>
          <w:rFonts w:ascii="Arial" w:eastAsia="Arial" w:hAnsi="Arial" w:cs="Arial"/>
          <w:sz w:val="22"/>
          <w:szCs w:val="22"/>
          <w:lang w:eastAsia="es-ES" w:bidi="es-ES"/>
        </w:rPr>
        <w:t xml:space="preserve"> las restricciones a la contratación directa establecidas en el artículo 33 de la Ley de Garantías Electorales se aplican a todo tipo de entidad pública </w:t>
      </w:r>
      <w:r w:rsidR="00D51A58" w:rsidRPr="00065D8F">
        <w:rPr>
          <w:rFonts w:ascii="Arial" w:eastAsia="Arial" w:hAnsi="Arial" w:cs="Arial"/>
          <w:sz w:val="22"/>
          <w:szCs w:val="22"/>
          <w:lang w:eastAsia="es-ES" w:bidi="es-ES"/>
        </w:rPr>
        <w:t>con independencia del</w:t>
      </w:r>
      <w:r w:rsidRPr="00065D8F">
        <w:rPr>
          <w:rFonts w:ascii="Arial" w:eastAsia="Arial" w:hAnsi="Arial" w:cs="Arial"/>
          <w:sz w:val="22"/>
          <w:szCs w:val="22"/>
          <w:lang w:eastAsia="es-ES" w:bidi="es-ES"/>
        </w:rPr>
        <w:t xml:space="preserve"> régimen de contratación </w:t>
      </w:r>
      <w:r w:rsidR="00D51A58" w:rsidRPr="00065D8F">
        <w:rPr>
          <w:rFonts w:ascii="Arial" w:eastAsia="Arial" w:hAnsi="Arial" w:cs="Arial"/>
          <w:sz w:val="22"/>
          <w:szCs w:val="22"/>
          <w:lang w:eastAsia="es-ES" w:bidi="es-ES"/>
        </w:rPr>
        <w:t xml:space="preserve">que les sea </w:t>
      </w:r>
      <w:r w:rsidRPr="00065D8F">
        <w:rPr>
          <w:rFonts w:ascii="Arial" w:eastAsia="Arial" w:hAnsi="Arial" w:cs="Arial"/>
          <w:sz w:val="22"/>
          <w:szCs w:val="22"/>
          <w:lang w:eastAsia="es-ES" w:bidi="es-ES"/>
        </w:rPr>
        <w:t xml:space="preserve">aplicable, </w:t>
      </w:r>
      <w:r w:rsidR="00D51A58" w:rsidRPr="00065D8F">
        <w:rPr>
          <w:rFonts w:ascii="Arial" w:eastAsia="Arial" w:hAnsi="Arial" w:cs="Arial"/>
          <w:sz w:val="22"/>
          <w:szCs w:val="22"/>
          <w:lang w:eastAsia="es-ES" w:bidi="es-ES"/>
        </w:rPr>
        <w:t xml:space="preserve">estas </w:t>
      </w:r>
      <w:r w:rsidRPr="00065D8F">
        <w:rPr>
          <w:rFonts w:ascii="Arial" w:eastAsia="Arial" w:hAnsi="Arial" w:cs="Arial"/>
          <w:sz w:val="22"/>
          <w:szCs w:val="22"/>
          <w:lang w:eastAsia="es-ES" w:bidi="es-ES"/>
        </w:rPr>
        <w:t xml:space="preserve">también cobijan la contratación que realice Servicios Postales Nacionales, como sociedad pública sometida en su actividad contractual al derecho privado. </w:t>
      </w:r>
    </w:p>
    <w:p w14:paraId="2EA1E642" w14:textId="2AD71270" w:rsidR="00931636" w:rsidRPr="00065D8F" w:rsidRDefault="00EC773A" w:rsidP="00065D8F">
      <w:pPr>
        <w:spacing w:after="120"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lastRenderedPageBreak/>
        <w:t>En consecuencia, durante el período de la restricción establecida en el artículo 33 de la Ley 996 de 2005, los contratos que celebre Servicios Postales Nacionales</w:t>
      </w:r>
      <w:r w:rsidR="00754F0B" w:rsidRPr="00065D8F">
        <w:rPr>
          <w:rFonts w:ascii="Arial" w:eastAsia="Arial" w:hAnsi="Arial" w:cs="Arial"/>
          <w:sz w:val="22"/>
          <w:szCs w:val="22"/>
          <w:lang w:eastAsia="es-ES" w:bidi="es-ES"/>
        </w:rPr>
        <w:t>, entre ellos los contratos de arrendamiento,</w:t>
      </w:r>
      <w:r w:rsidRPr="00065D8F">
        <w:rPr>
          <w:rFonts w:ascii="Arial" w:eastAsia="Arial" w:hAnsi="Arial" w:cs="Arial"/>
          <w:sz w:val="22"/>
          <w:szCs w:val="22"/>
          <w:lang w:eastAsia="es-ES" w:bidi="es-ES"/>
        </w:rPr>
        <w:t xml:space="preserve"> deberán estar precedidos de procedimientos con convocatoria pública que garanticen la posibilidad de participación de pluralidad de oferentes, lo cual excluye la «contratación directa» que es objeto de prohibición, con las excepciones previstas en la misma ley y en la situación que en el Concepto 374 de 2021 analizó esta Agencia.</w:t>
      </w:r>
    </w:p>
    <w:p w14:paraId="21BB926A" w14:textId="64260DC8" w:rsidR="00764FA8" w:rsidRPr="00065D8F" w:rsidRDefault="00764FA8" w:rsidP="00065D8F">
      <w:pPr>
        <w:spacing w:after="120"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Lo anterior, sin perjuicio de distinguir los contratos para adquirir los bienes y servicios necesarios para la realización de su actividad, los cuales no puede celebrar en el periodo preelectoral por contratación directa sino por mecanismos competitivos que impliquen convocatoria pública y la posibilidad de pluralidad de oferentes; de los contratos en los que Servicios Postales Nacionales S.A. presta sus servicios a los usuarios particulares en condiciones de acceso e igualdad, los cuales no puede dejar de celebrar directamente.</w:t>
      </w:r>
    </w:p>
    <w:p w14:paraId="482A74B9" w14:textId="3C209267" w:rsidR="003D09E4" w:rsidRPr="00065D8F" w:rsidRDefault="0061438F" w:rsidP="00764FA8">
      <w:pPr>
        <w:spacing w:afterLines="120" w:after="288" w:line="276" w:lineRule="auto"/>
        <w:ind w:firstLine="708"/>
        <w:jc w:val="both"/>
        <w:rPr>
          <w:rFonts w:ascii="Arial" w:eastAsia="Arial" w:hAnsi="Arial" w:cs="Arial"/>
          <w:sz w:val="22"/>
          <w:szCs w:val="22"/>
          <w:lang w:eastAsia="es-ES" w:bidi="es-ES"/>
        </w:rPr>
      </w:pPr>
      <w:r w:rsidRPr="00065D8F">
        <w:rPr>
          <w:rFonts w:ascii="Arial" w:eastAsia="Arial" w:hAnsi="Arial" w:cs="Arial"/>
          <w:sz w:val="22"/>
          <w:szCs w:val="22"/>
          <w:lang w:eastAsia="es-ES" w:bidi="es-ES"/>
        </w:rPr>
        <w:t xml:space="preserve">En todo caso, la Agencia advierte que en desarrollo del deber de planeación y de los principios de la función administrativa, las entidades públicas, estén o no sometidas a un régimen especial o excepcional de contratación, están obligadas a realizar las previsiones y análisis suficientes y necesarios para determinar la celebración de los contratos, teniendo en cuenta las limitaciones temporales y específicas que se presentan en torno a ciertas modalidades de contratación. Entre tales limitaciones se encuentran, sin duda, las prohibiciones derivadas de la Ley de Garantías Electorales, de manera que, con ocasión a su aplicación, deben ajustar la planificación contractual para no ver afectadas las condiciones de calidad, eficiencia, celeridad, continuidad, oportunidad, etc. del servicio público prestado. </w:t>
      </w:r>
    </w:p>
    <w:p w14:paraId="647864B7" w14:textId="18E4A424" w:rsidR="00113653" w:rsidRPr="00065D8F" w:rsidRDefault="00506085" w:rsidP="007155B8">
      <w:pPr>
        <w:spacing w:afterLines="120" w:after="288" w:line="276" w:lineRule="auto"/>
        <w:jc w:val="both"/>
        <w:rPr>
          <w:rFonts w:ascii="Arial" w:hAnsi="Arial" w:cs="Arial"/>
          <w:lang w:eastAsia="es-ES_tradnl"/>
        </w:rPr>
      </w:pPr>
      <w:r w:rsidRPr="00065D8F">
        <w:rPr>
          <w:rFonts w:ascii="Arial" w:eastAsia="Calibri" w:hAnsi="Arial" w:cs="Arial"/>
          <w:sz w:val="22"/>
        </w:rPr>
        <w:t>Este concepto tiene el alcance previsto en</w:t>
      </w:r>
      <w:r w:rsidR="001D3346" w:rsidRPr="00065D8F">
        <w:rPr>
          <w:rFonts w:ascii="Arial" w:eastAsia="Calibri" w:hAnsi="Arial" w:cs="Arial"/>
          <w:sz w:val="22"/>
        </w:rPr>
        <w:t xml:space="preserve"> </w:t>
      </w:r>
      <w:r w:rsidRPr="00065D8F">
        <w:rPr>
          <w:rFonts w:ascii="Arial" w:eastAsia="Calibri" w:hAnsi="Arial" w:cs="Arial"/>
          <w:sz w:val="22"/>
        </w:rPr>
        <w:t>el artículo 28 del Código de Procedimiento Administrativo y de lo Contencioso Administrativo.</w:t>
      </w:r>
      <w:r w:rsidRPr="00065D8F">
        <w:rPr>
          <w:rFonts w:ascii="Arial" w:hAnsi="Arial" w:cs="Arial"/>
          <w:noProof/>
          <w:lang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30572FB4" w14:textId="55AC8BF2" w:rsidR="001D3346" w:rsidRPr="00065D8F" w:rsidRDefault="00506085" w:rsidP="007155B8">
      <w:pPr>
        <w:spacing w:afterLines="120" w:after="288" w:line="276" w:lineRule="auto"/>
        <w:rPr>
          <w:rFonts w:ascii="Arial" w:hAnsi="Arial" w:cs="Arial"/>
          <w:sz w:val="22"/>
          <w:lang w:eastAsia="es-CO"/>
        </w:rPr>
      </w:pPr>
      <w:r w:rsidRPr="00065D8F">
        <w:rPr>
          <w:rFonts w:ascii="Arial" w:hAnsi="Arial" w:cs="Arial"/>
          <w:sz w:val="22"/>
          <w:lang w:eastAsia="es-CO"/>
        </w:rPr>
        <w:t>Atentamente,</w:t>
      </w:r>
    </w:p>
    <w:p w14:paraId="30043E70" w14:textId="77777777" w:rsidR="001D3346" w:rsidRPr="00065D8F" w:rsidRDefault="001D3346" w:rsidP="001D3346">
      <w:pPr>
        <w:spacing w:after="120"/>
        <w:rPr>
          <w:rFonts w:ascii="Arial" w:eastAsia="Arial" w:hAnsi="Arial" w:cs="Arial"/>
          <w:color w:val="000000"/>
          <w:sz w:val="22"/>
          <w:szCs w:val="22"/>
        </w:rPr>
      </w:pPr>
    </w:p>
    <w:p w14:paraId="6E8ABD10" w14:textId="22219135" w:rsidR="001D3346" w:rsidRDefault="001D3346" w:rsidP="001D3346">
      <w:pPr>
        <w:jc w:val="center"/>
      </w:pPr>
    </w:p>
    <w:p w14:paraId="7CCC6522" w14:textId="67AC9721" w:rsidR="00516F74" w:rsidRDefault="00516F74" w:rsidP="001D3346">
      <w:pPr>
        <w:jc w:val="center"/>
      </w:pPr>
      <w:r>
        <w:rPr>
          <w:rFonts w:ascii="Calibri" w:eastAsia="Calibri" w:hAnsi="Calibri" w:cs="Calibri"/>
          <w:noProof/>
          <w:color w:val="000000"/>
          <w:lang w:val="es-MX" w:eastAsia="es-ES_tradnl"/>
        </w:rPr>
        <w:drawing>
          <wp:inline distT="0" distB="0" distL="0" distR="0" wp14:anchorId="632EBCA1" wp14:editId="13075F0F">
            <wp:extent cx="1675130" cy="743585"/>
            <wp:effectExtent l="0" t="0" r="127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743585"/>
                    </a:xfrm>
                    <a:prstGeom prst="rect">
                      <a:avLst/>
                    </a:prstGeom>
                    <a:noFill/>
                    <a:ln>
                      <a:noFill/>
                    </a:ln>
                  </pic:spPr>
                </pic:pic>
              </a:graphicData>
            </a:graphic>
          </wp:inline>
        </w:drawing>
      </w:r>
    </w:p>
    <w:p w14:paraId="77E593D3" w14:textId="77777777" w:rsidR="00516F74" w:rsidRPr="00065D8F" w:rsidRDefault="00516F74" w:rsidP="001D3346">
      <w:pPr>
        <w:jc w:val="center"/>
      </w:pPr>
    </w:p>
    <w:p w14:paraId="5B83FBFB" w14:textId="77777777" w:rsidR="001D3346" w:rsidRPr="00065D8F" w:rsidRDefault="001D3346" w:rsidP="001D3346">
      <w:pPr>
        <w:jc w:val="center"/>
      </w:pP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D3346" w:rsidRPr="00065D8F" w14:paraId="0ECF5B50" w14:textId="77777777" w:rsidTr="003635DD">
        <w:trPr>
          <w:trHeight w:val="315"/>
        </w:trPr>
        <w:tc>
          <w:tcPr>
            <w:tcW w:w="812" w:type="dxa"/>
            <w:vAlign w:val="center"/>
          </w:tcPr>
          <w:p w14:paraId="04577D12" w14:textId="77777777" w:rsidR="001D3346" w:rsidRPr="00065D8F" w:rsidRDefault="001D3346" w:rsidP="003635DD">
            <w:r w:rsidRPr="00065D8F">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2B65CD71" w14:textId="77777777" w:rsidR="001D3346" w:rsidRPr="00065D8F" w:rsidRDefault="001D3346" w:rsidP="003635DD">
            <w:r w:rsidRPr="00065D8F">
              <w:rPr>
                <w:rFonts w:ascii="Arial" w:eastAsia="Arial" w:hAnsi="Arial" w:cs="Arial"/>
                <w:color w:val="000000"/>
                <w:sz w:val="16"/>
                <w:szCs w:val="16"/>
              </w:rPr>
              <w:t>Álvaro Namén Vargas</w:t>
            </w:r>
          </w:p>
          <w:p w14:paraId="7B8740D6" w14:textId="77777777" w:rsidR="001D3346" w:rsidRPr="00065D8F" w:rsidRDefault="001D3346" w:rsidP="003635DD">
            <w:r w:rsidRPr="00065D8F">
              <w:rPr>
                <w:rFonts w:ascii="Arial" w:eastAsia="Arial" w:hAnsi="Arial" w:cs="Arial"/>
                <w:color w:val="000000"/>
                <w:sz w:val="16"/>
                <w:szCs w:val="16"/>
              </w:rPr>
              <w:t>Contratista de la Subdirección de Gestión Contractual</w:t>
            </w:r>
          </w:p>
        </w:tc>
      </w:tr>
      <w:tr w:rsidR="001D3346" w:rsidRPr="00065D8F" w14:paraId="4557BC65" w14:textId="77777777" w:rsidTr="003635DD">
        <w:trPr>
          <w:trHeight w:val="330"/>
        </w:trPr>
        <w:tc>
          <w:tcPr>
            <w:tcW w:w="812" w:type="dxa"/>
            <w:vAlign w:val="center"/>
          </w:tcPr>
          <w:p w14:paraId="43EED26C" w14:textId="77777777" w:rsidR="001D3346" w:rsidRPr="00065D8F" w:rsidRDefault="001D3346" w:rsidP="003635DD">
            <w:r w:rsidRPr="00065D8F">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3C0B4237" w14:textId="77777777" w:rsidR="001D3346" w:rsidRPr="00065D8F" w:rsidRDefault="001D3346" w:rsidP="003635DD">
            <w:r w:rsidRPr="00065D8F">
              <w:rPr>
                <w:rFonts w:ascii="Arial" w:eastAsia="Arial" w:hAnsi="Arial" w:cs="Arial"/>
                <w:color w:val="000000"/>
                <w:sz w:val="16"/>
                <w:szCs w:val="16"/>
              </w:rPr>
              <w:t>Sebastián Ramírez Grisales</w:t>
            </w:r>
          </w:p>
          <w:p w14:paraId="16F80EAD" w14:textId="77777777" w:rsidR="001D3346" w:rsidRPr="00065D8F" w:rsidRDefault="001D3346" w:rsidP="003635DD">
            <w:r w:rsidRPr="00065D8F">
              <w:rPr>
                <w:rFonts w:ascii="Arial" w:eastAsia="Arial" w:hAnsi="Arial" w:cs="Arial"/>
                <w:color w:val="000000"/>
                <w:sz w:val="16"/>
                <w:szCs w:val="16"/>
              </w:rPr>
              <w:t>Contratista de la Subdirección de Gestión Contractual</w:t>
            </w:r>
          </w:p>
        </w:tc>
      </w:tr>
      <w:tr w:rsidR="001D3346" w:rsidRPr="00C479B0" w14:paraId="5C0FB259" w14:textId="77777777" w:rsidTr="003635DD">
        <w:trPr>
          <w:trHeight w:val="300"/>
        </w:trPr>
        <w:tc>
          <w:tcPr>
            <w:tcW w:w="812" w:type="dxa"/>
            <w:vAlign w:val="center"/>
          </w:tcPr>
          <w:p w14:paraId="51E33559" w14:textId="77777777" w:rsidR="001D3346" w:rsidRPr="00065D8F" w:rsidRDefault="001D3346" w:rsidP="003635DD">
            <w:r w:rsidRPr="00065D8F">
              <w:rPr>
                <w:rFonts w:ascii="Arial" w:eastAsia="Arial" w:hAnsi="Arial" w:cs="Arial"/>
                <w:color w:val="000000"/>
                <w:sz w:val="16"/>
                <w:szCs w:val="16"/>
              </w:rPr>
              <w:lastRenderedPageBreak/>
              <w:t>Aprobó:</w:t>
            </w:r>
          </w:p>
        </w:tc>
        <w:tc>
          <w:tcPr>
            <w:tcW w:w="4413" w:type="dxa"/>
            <w:tcBorders>
              <w:top w:val="dotted" w:sz="4" w:space="0" w:color="7F7F7F"/>
              <w:left w:val="nil"/>
              <w:bottom w:val="dotted" w:sz="4" w:space="0" w:color="7F7F7F"/>
              <w:right w:val="nil"/>
            </w:tcBorders>
            <w:vAlign w:val="center"/>
          </w:tcPr>
          <w:p w14:paraId="14827C30" w14:textId="77777777" w:rsidR="001D3346" w:rsidRPr="00065D8F" w:rsidRDefault="001D3346" w:rsidP="003635DD">
            <w:r w:rsidRPr="00065D8F">
              <w:rPr>
                <w:rFonts w:ascii="Arial" w:eastAsia="Arial" w:hAnsi="Arial" w:cs="Arial"/>
                <w:color w:val="000000"/>
                <w:sz w:val="16"/>
                <w:szCs w:val="16"/>
              </w:rPr>
              <w:t>Jorge Augusto Tirado Navarro</w:t>
            </w:r>
          </w:p>
          <w:p w14:paraId="6CE303A5" w14:textId="77777777" w:rsidR="001D3346" w:rsidRPr="00C479B0" w:rsidRDefault="001D3346" w:rsidP="003635DD">
            <w:r w:rsidRPr="00065D8F">
              <w:rPr>
                <w:rFonts w:ascii="Arial" w:eastAsia="Arial" w:hAnsi="Arial" w:cs="Arial"/>
                <w:color w:val="000000"/>
                <w:sz w:val="16"/>
                <w:szCs w:val="16"/>
              </w:rPr>
              <w:t>Subdirector de Gestión Contractual ANCP – CCE</w:t>
            </w:r>
          </w:p>
        </w:tc>
      </w:tr>
      <w:bookmarkEnd w:id="8"/>
      <w:bookmarkEnd w:id="50"/>
    </w:tbl>
    <w:p w14:paraId="299FA360" w14:textId="13402EED" w:rsidR="009F596F" w:rsidRPr="006D1C08" w:rsidRDefault="009F596F" w:rsidP="0061438F">
      <w:pPr>
        <w:spacing w:afterLines="120" w:after="288"/>
        <w:jc w:val="center"/>
        <w:rPr>
          <w:rFonts w:ascii="Arial" w:hAnsi="Arial" w:cs="Arial"/>
          <w:color w:val="000000" w:themeColor="text1"/>
          <w:sz w:val="18"/>
          <w:szCs w:val="20"/>
          <w:lang w:eastAsia="es-CO"/>
        </w:rPr>
      </w:pPr>
    </w:p>
    <w:sectPr w:rsidR="009F596F" w:rsidRPr="006D1C08" w:rsidSect="004223E4">
      <w:headerReference w:type="default" r:id="rId13"/>
      <w:footerReference w:type="default" r:id="rId14"/>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C309" w14:textId="77777777" w:rsidR="00322C24" w:rsidRDefault="00322C24">
      <w:r>
        <w:separator/>
      </w:r>
    </w:p>
  </w:endnote>
  <w:endnote w:type="continuationSeparator" w:id="0">
    <w:p w14:paraId="70FFD284" w14:textId="77777777" w:rsidR="00322C24" w:rsidRDefault="0032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6A24D930" w:rsidR="00931636" w:rsidRPr="005A79FE" w:rsidRDefault="00931636"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931636" w:rsidRDefault="00931636"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931636" w:rsidRPr="004223E4" w:rsidRDefault="00931636" w:rsidP="00A5235A">
    <w:pPr>
      <w:pStyle w:val="Piedepgina"/>
      <w:spacing w:line="120" w:lineRule="auto"/>
      <w:rPr>
        <w:b/>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A46E" w14:textId="77777777" w:rsidR="00322C24" w:rsidRDefault="00322C24">
      <w:r>
        <w:separator/>
      </w:r>
    </w:p>
  </w:footnote>
  <w:footnote w:type="continuationSeparator" w:id="0">
    <w:p w14:paraId="301A61C9" w14:textId="77777777" w:rsidR="00322C24" w:rsidRDefault="00322C24">
      <w:r>
        <w:continuationSeparator/>
      </w:r>
    </w:p>
  </w:footnote>
  <w:footnote w:id="1">
    <w:p w14:paraId="1C2D1021" w14:textId="77777777" w:rsidR="00931636" w:rsidRPr="0093159A" w:rsidRDefault="00931636" w:rsidP="008415D0">
      <w:pPr>
        <w:pStyle w:val="Textonotapie"/>
        <w:spacing w:after="0" w:line="240" w:lineRule="auto"/>
        <w:ind w:firstLine="709"/>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3159A">
        <w:rPr>
          <w:rFonts w:ascii="Arial" w:hAnsi="Arial" w:cs="Arial"/>
          <w:i/>
          <w:iCs/>
          <w:sz w:val="19"/>
          <w:szCs w:val="19"/>
        </w:rPr>
        <w:t xml:space="preserve">ibidem </w:t>
      </w:r>
      <w:r w:rsidRPr="0093159A">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El artículo 127 de la Constitu</w:t>
      </w:r>
      <w:r w:rsidRPr="0019452E">
        <w:rPr>
          <w:rFonts w:ascii="Arial" w:hAnsi="Arial" w:cs="Arial"/>
          <w:sz w:val="19"/>
          <w:szCs w:val="19"/>
        </w:rPr>
        <w:t>ción Po</w:t>
      </w:r>
      <w:r w:rsidRPr="0093159A">
        <w:rPr>
          <w:rFonts w:ascii="Arial" w:hAnsi="Arial" w:cs="Arial"/>
          <w:sz w:val="19"/>
          <w:szCs w:val="19"/>
        </w:rPr>
        <w:t xml:space="preserve">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FDC93F" w14:textId="4FDFF14E" w:rsidR="00931636" w:rsidRPr="0093159A" w:rsidRDefault="00931636" w:rsidP="008415D0">
      <w:pPr>
        <w:pStyle w:val="Textonotapie"/>
        <w:spacing w:after="0" w:line="240" w:lineRule="auto"/>
        <w:ind w:firstLine="709"/>
        <w:rPr>
          <w:rFonts w:ascii="Arial" w:hAnsi="Arial" w:cs="Arial"/>
          <w:sz w:val="19"/>
          <w:szCs w:val="19"/>
        </w:rPr>
      </w:pPr>
      <w:r w:rsidRPr="0093159A">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CECD26A" w14:textId="07594946"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Gaceta del Congreso de la República No. 71 del 2005.</w:t>
      </w:r>
    </w:p>
  </w:footnote>
  <w:footnote w:id="4">
    <w:p w14:paraId="2D822DE1" w14:textId="77777777" w:rsidR="00931636" w:rsidRPr="0019452E"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Corte Constitucional, Sentencia C- 1153 de 2005, M.P. Marco Gerardo Monroy Cabra.</w:t>
      </w:r>
    </w:p>
  </w:footnote>
  <w:footnote w:id="5">
    <w:p w14:paraId="16C8143B" w14:textId="075CC6FE"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931636" w:rsidRPr="0093159A" w:rsidRDefault="00931636" w:rsidP="008415D0">
      <w:pPr>
        <w:pStyle w:val="Textonotapie"/>
        <w:spacing w:after="0" w:line="240" w:lineRule="auto"/>
        <w:ind w:firstLine="709"/>
        <w:rPr>
          <w:rFonts w:ascii="Arial" w:hAnsi="Arial" w:cs="Arial"/>
          <w:sz w:val="19"/>
          <w:szCs w:val="19"/>
          <w:lang w:val="es-CO"/>
        </w:rPr>
      </w:pPr>
      <w:r w:rsidRPr="0093159A">
        <w:rPr>
          <w:rStyle w:val="Refdenotaalpie"/>
          <w:rFonts w:ascii="Arial" w:hAnsi="Arial" w:cs="Arial"/>
          <w:sz w:val="19"/>
          <w:szCs w:val="19"/>
        </w:rPr>
        <w:footnoteRef/>
      </w:r>
      <w:r w:rsidRPr="0093159A">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de fecha 24</w:t>
      </w:r>
      <w:r w:rsidRPr="0019452E">
        <w:rPr>
          <w:rFonts w:ascii="Arial" w:hAnsi="Arial" w:cs="Arial"/>
          <w:sz w:val="19"/>
          <w:szCs w:val="19"/>
        </w:rPr>
        <w:t xml:space="preserve"> de julio de 2013, radicado 2</w:t>
      </w:r>
      <w:r w:rsidRPr="0093159A">
        <w:rPr>
          <w:rFonts w:ascii="Arial" w:hAnsi="Arial" w:cs="Arial"/>
          <w:sz w:val="19"/>
          <w:szCs w:val="19"/>
        </w:rPr>
        <w:t xml:space="preserve">166, Consejero Ponente: Álvaro Namén Vargas.  </w:t>
      </w:r>
    </w:p>
  </w:footnote>
  <w:footnote w:id="8">
    <w:p w14:paraId="775A205E" w14:textId="77777777" w:rsidR="00931636" w:rsidRPr="0093159A" w:rsidRDefault="00931636" w:rsidP="008415D0">
      <w:pPr>
        <w:ind w:firstLine="709"/>
        <w:jc w:val="both"/>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19" w:name="33"/>
      <w:r w:rsidRPr="0093159A">
        <w:rPr>
          <w:rFonts w:ascii="Arial" w:eastAsia="Calibri" w:hAnsi="Arial" w:cs="Arial"/>
          <w:bCs/>
          <w:color w:val="000000"/>
          <w:sz w:val="19"/>
          <w:szCs w:val="19"/>
        </w:rPr>
        <w:t>«</w:t>
      </w:r>
      <w:r w:rsidRPr="0019452E">
        <w:rPr>
          <w:rFonts w:ascii="Arial" w:hAnsi="Arial" w:cs="Arial"/>
          <w:sz w:val="19"/>
          <w:szCs w:val="19"/>
        </w:rPr>
        <w:t>Artículo 33. Restricciones a la contratación pública.</w:t>
      </w:r>
      <w:bookmarkEnd w:id="19"/>
      <w:r w:rsidRPr="0019452E">
        <w:rPr>
          <w:rFonts w:ascii="Arial" w:hAnsi="Arial" w:cs="Arial"/>
          <w:sz w:val="19"/>
          <w:szCs w:val="19"/>
        </w:rPr>
        <w:t xml:space="preserve"> Durante los cuatro (4) meses anteriores a la elección presidencial y hasta la realización de la elección en la segunda vuelta, si fuere el caso, </w:t>
      </w:r>
      <w:r w:rsidRPr="0093159A">
        <w:rPr>
          <w:rFonts w:ascii="Arial" w:hAnsi="Arial" w:cs="Arial"/>
          <w:sz w:val="19"/>
          <w:szCs w:val="19"/>
        </w:rPr>
        <w:t>queda prohibida la contratación directa por parte de todos los entes del Estado.</w:t>
      </w:r>
    </w:p>
    <w:p w14:paraId="1684A472" w14:textId="7B3DD877" w:rsidR="00931636" w:rsidRPr="0093159A" w:rsidRDefault="00931636" w:rsidP="008415D0">
      <w:pPr>
        <w:ind w:firstLine="709"/>
        <w:jc w:val="both"/>
        <w:rPr>
          <w:rFonts w:ascii="Arial" w:hAnsi="Arial" w:cs="Arial"/>
          <w:sz w:val="19"/>
          <w:szCs w:val="19"/>
        </w:rPr>
      </w:pPr>
      <w:r w:rsidRPr="0093159A">
        <w:rPr>
          <w:rFonts w:ascii="Arial" w:eastAsia="Calibri" w:hAnsi="Arial" w:cs="Arial"/>
          <w:bCs/>
          <w:color w:val="000000"/>
          <w:sz w:val="19"/>
          <w:szCs w:val="19"/>
        </w:rPr>
        <w:t>»</w:t>
      </w:r>
      <w:r w:rsidRPr="0093159A">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3159A">
        <w:rPr>
          <w:rFonts w:ascii="Arial" w:eastAsia="Calibri" w:hAnsi="Arial" w:cs="Arial"/>
          <w:bCs/>
          <w:color w:val="000000"/>
          <w:sz w:val="19"/>
          <w:szCs w:val="19"/>
        </w:rPr>
        <w:t>»</w:t>
      </w:r>
      <w:r w:rsidRPr="0093159A">
        <w:rPr>
          <w:rFonts w:ascii="Arial" w:hAnsi="Arial" w:cs="Arial"/>
          <w:sz w:val="19"/>
          <w:szCs w:val="19"/>
        </w:rPr>
        <w:t>.</w:t>
      </w:r>
    </w:p>
  </w:footnote>
  <w:footnote w:id="9">
    <w:p w14:paraId="79A56581" w14:textId="77777777" w:rsidR="00931636" w:rsidRPr="0093159A" w:rsidRDefault="00931636" w:rsidP="008415D0">
      <w:pPr>
        <w:pStyle w:val="NormalWeb"/>
        <w:spacing w:before="0" w:beforeAutospacing="0" w:after="0" w:afterAutospacing="0" w:line="240" w:lineRule="auto"/>
        <w:ind w:firstLine="709"/>
        <w:rPr>
          <w:rFonts w:ascii="Arial" w:hAnsi="Arial" w:cs="Arial"/>
          <w:sz w:val="19"/>
          <w:szCs w:val="19"/>
          <w:lang w:val="es-MX"/>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0" w:name="38"/>
      <w:r w:rsidRPr="0093159A">
        <w:rPr>
          <w:rFonts w:ascii="Arial" w:eastAsia="Calibri" w:hAnsi="Arial" w:cs="Arial"/>
          <w:bCs/>
          <w:color w:val="000000"/>
          <w:sz w:val="19"/>
          <w:szCs w:val="19"/>
        </w:rPr>
        <w:t>«</w:t>
      </w:r>
      <w:r w:rsidRPr="0019452E">
        <w:rPr>
          <w:rFonts w:ascii="Arial" w:hAnsi="Arial" w:cs="Arial"/>
          <w:sz w:val="19"/>
          <w:szCs w:val="19"/>
          <w:lang w:val="es-MX"/>
        </w:rPr>
        <w:t>Artículo 38. Prohibiciones para los servidores públicos. A los empleados del Estado les está prohibido:</w:t>
      </w:r>
      <w:bookmarkEnd w:id="20"/>
    </w:p>
    <w:p w14:paraId="5933F9A0" w14:textId="77777777" w:rsidR="00931636" w:rsidRPr="0093159A" w:rsidRDefault="00931636" w:rsidP="008415D0">
      <w:pPr>
        <w:pStyle w:val="NormalWeb"/>
        <w:spacing w:before="0" w:beforeAutospacing="0" w:after="0" w:afterAutospacing="0" w:line="240" w:lineRule="auto"/>
        <w:ind w:firstLine="709"/>
        <w:rPr>
          <w:rFonts w:ascii="Arial" w:hAnsi="Arial" w:cs="Arial"/>
          <w:sz w:val="19"/>
          <w:szCs w:val="19"/>
          <w:lang w:val="es-MX"/>
        </w:rPr>
      </w:pPr>
      <w:r w:rsidRPr="0093159A">
        <w:rPr>
          <w:rFonts w:ascii="Arial" w:eastAsia="Calibri" w:hAnsi="Arial" w:cs="Arial"/>
          <w:bCs/>
          <w:color w:val="000000"/>
          <w:sz w:val="19"/>
          <w:szCs w:val="19"/>
        </w:rPr>
        <w:t>»</w:t>
      </w:r>
      <w:r w:rsidRPr="0093159A">
        <w:rPr>
          <w:rFonts w:ascii="Arial" w:hAnsi="Arial" w:cs="Arial"/>
          <w:sz w:val="19"/>
          <w:szCs w:val="19"/>
          <w:lang w:val="es-MX"/>
        </w:rPr>
        <w:t xml:space="preserve"> […]</w:t>
      </w:r>
    </w:p>
    <w:p w14:paraId="2231133F" w14:textId="06B9F71B" w:rsidR="00931636" w:rsidRPr="0093159A" w:rsidRDefault="00931636" w:rsidP="008415D0">
      <w:pPr>
        <w:pStyle w:val="NormalWeb"/>
        <w:spacing w:before="0" w:beforeAutospacing="0" w:after="0" w:afterAutospacing="0" w:line="240" w:lineRule="auto"/>
        <w:ind w:firstLine="709"/>
        <w:rPr>
          <w:rFonts w:ascii="Arial" w:hAnsi="Arial" w:cs="Arial"/>
          <w:sz w:val="19"/>
          <w:szCs w:val="19"/>
          <w:lang w:val="es-MX"/>
        </w:rPr>
      </w:pPr>
      <w:r w:rsidRPr="0093159A">
        <w:rPr>
          <w:rFonts w:ascii="Arial" w:eastAsia="Calibri" w:hAnsi="Arial" w:cs="Arial"/>
          <w:bCs/>
          <w:color w:val="000000"/>
          <w:sz w:val="19"/>
          <w:szCs w:val="19"/>
        </w:rPr>
        <w:t>»</w:t>
      </w:r>
      <w:r w:rsidRPr="0093159A">
        <w:rPr>
          <w:rStyle w:val="baj"/>
          <w:rFonts w:ascii="Arial" w:hAnsi="Arial" w:cs="Arial"/>
          <w:sz w:val="19"/>
          <w:szCs w:val="19"/>
          <w:lang w:val="es-MX"/>
        </w:rPr>
        <w:t xml:space="preserve"> Parágrafo.</w:t>
      </w:r>
      <w:r w:rsidRPr="0093159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3159A">
        <w:rPr>
          <w:rFonts w:ascii="Arial" w:eastAsia="Calibri" w:hAnsi="Arial" w:cs="Arial"/>
          <w:bCs/>
          <w:color w:val="000000"/>
          <w:sz w:val="19"/>
          <w:szCs w:val="19"/>
        </w:rPr>
        <w:t>»</w:t>
      </w:r>
      <w:r w:rsidRPr="0093159A">
        <w:rPr>
          <w:rFonts w:ascii="Arial" w:hAnsi="Arial" w:cs="Arial"/>
          <w:sz w:val="19"/>
          <w:szCs w:val="19"/>
          <w:lang w:val="es-MX"/>
        </w:rPr>
        <w:t>.</w:t>
      </w:r>
    </w:p>
  </w:footnote>
  <w:footnote w:id="10">
    <w:p w14:paraId="0C86B33F" w14:textId="77777777" w:rsidR="00931636" w:rsidRPr="0093159A" w:rsidRDefault="00931636" w:rsidP="008415D0">
      <w:pPr>
        <w:ind w:firstLine="709"/>
        <w:jc w:val="both"/>
        <w:rPr>
          <w:rFonts w:ascii="Arial" w:hAnsi="Arial" w:cs="Arial"/>
          <w:sz w:val="19"/>
          <w:szCs w:val="19"/>
          <w:lang w:val="es-ES"/>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2749775D"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6" w:name="_Hlk74272731"/>
      <w:r w:rsidRPr="0093159A">
        <w:rPr>
          <w:rFonts w:ascii="Arial" w:hAnsi="Arial" w:cs="Arial"/>
          <w:sz w:val="19"/>
          <w:szCs w:val="19"/>
        </w:rPr>
        <w:t>«</w:t>
      </w:r>
      <w:bookmarkEnd w:id="26"/>
      <w:r w:rsidRPr="0093159A">
        <w:rPr>
          <w:rFonts w:ascii="Arial" w:hAnsi="Arial" w:cs="Arial"/>
          <w:sz w:val="19"/>
          <w:szCs w:val="19"/>
          <w:lang w:val="es-ES"/>
        </w:rPr>
        <w:t xml:space="preserve">[25] </w:t>
      </w:r>
      <w:r w:rsidRPr="0019452E">
        <w:rPr>
          <w:rFonts w:ascii="Arial" w:hAnsi="Arial" w:cs="Arial"/>
          <w:sz w:val="19"/>
          <w:szCs w:val="19"/>
        </w:rPr>
        <w:t xml:space="preserve">Cfr. Consejo de Estado. Sección Tercera. Sentencia de 3 de diciembre de 2007. Radicados: 24.715, </w:t>
      </w:r>
      <w:r w:rsidRPr="0093159A">
        <w:rPr>
          <w:rFonts w:ascii="Arial" w:hAnsi="Arial" w:cs="Arial"/>
          <w:sz w:val="19"/>
          <w:szCs w:val="19"/>
        </w:rPr>
        <w:t>25.206, 25.409, 24.524, 27.834, 25.410, 26.105, 28.244, 31.447 -acumulados-</w:t>
      </w:r>
      <w:bookmarkStart w:id="27" w:name="_Hlk74271358"/>
      <w:r w:rsidRPr="0093159A">
        <w:rPr>
          <w:rFonts w:ascii="Arial" w:hAnsi="Arial" w:cs="Arial"/>
          <w:sz w:val="19"/>
          <w:szCs w:val="19"/>
        </w:rPr>
        <w:t>»</w:t>
      </w:r>
      <w:bookmarkEnd w:id="27"/>
      <w:r w:rsidRPr="0093159A">
        <w:rPr>
          <w:rFonts w:ascii="Arial" w:hAnsi="Arial" w:cs="Arial"/>
          <w:sz w:val="19"/>
          <w:szCs w:val="19"/>
        </w:rPr>
        <w:t>.</w:t>
      </w:r>
    </w:p>
  </w:footnote>
  <w:footnote w:id="12">
    <w:p w14:paraId="4285AEFA" w14:textId="4874F93C"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w:t>
      </w:r>
      <w:bookmarkStart w:id="29" w:name="_Hlk74294506"/>
      <w:r w:rsidRPr="0093159A">
        <w:rPr>
          <w:rFonts w:ascii="Arial" w:hAnsi="Arial" w:cs="Arial"/>
          <w:sz w:val="19"/>
          <w:szCs w:val="19"/>
        </w:rPr>
        <w:t>«</w:t>
      </w:r>
      <w:r w:rsidRPr="0093159A">
        <w:rPr>
          <w:rFonts w:ascii="Arial" w:hAnsi="Arial" w:cs="Arial"/>
          <w:sz w:val="19"/>
          <w:szCs w:val="19"/>
          <w:lang w:val="es-ES"/>
        </w:rPr>
        <w:t xml:space="preserve">[26] </w:t>
      </w:r>
      <w:bookmarkEnd w:id="29"/>
      <w:r w:rsidRPr="0019452E">
        <w:rPr>
          <w:rFonts w:ascii="Arial" w:hAnsi="Arial" w:cs="Arial"/>
          <w:sz w:val="19"/>
          <w:szCs w:val="19"/>
        </w:rPr>
        <w:t>Al respecto ver el concepto 1712 de 2 de febrero de 2006. Consejo de Estado Sala de Consulta y Servicio Civil».</w:t>
      </w:r>
    </w:p>
  </w:footnote>
  <w:footnote w:id="13">
    <w:p w14:paraId="38B6337A" w14:textId="77777777"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6085351B" w14:textId="77777777" w:rsidR="003377CD" w:rsidRPr="00280428" w:rsidRDefault="003377CD" w:rsidP="00065D8F">
      <w:pPr>
        <w:pStyle w:val="Textonotapie"/>
        <w:spacing w:after="0" w:line="240" w:lineRule="auto"/>
        <w:ind w:firstLine="709"/>
        <w:rPr>
          <w:rFonts w:ascii="Arial" w:hAnsi="Arial" w:cs="Arial"/>
          <w:sz w:val="19"/>
          <w:szCs w:val="19"/>
          <w:lang w:val="es-ES"/>
        </w:rPr>
      </w:pPr>
      <w:r w:rsidRPr="00280428">
        <w:rPr>
          <w:rStyle w:val="Refdenotaalpie"/>
          <w:rFonts w:ascii="Arial" w:hAnsi="Arial" w:cs="Arial"/>
          <w:sz w:val="19"/>
          <w:szCs w:val="19"/>
        </w:rPr>
        <w:footnoteRef/>
      </w:r>
      <w:r w:rsidRPr="00280428">
        <w:rPr>
          <w:rFonts w:ascii="Arial" w:hAnsi="Arial" w:cs="Arial"/>
          <w:sz w:val="19"/>
          <w:szCs w:val="19"/>
        </w:rPr>
        <w:t xml:space="preserve"> </w:t>
      </w:r>
      <w:r w:rsidRPr="00280428">
        <w:rPr>
          <w:rFonts w:ascii="Arial" w:hAnsi="Arial" w:cs="Arial"/>
          <w:sz w:val="19"/>
          <w:szCs w:val="19"/>
          <w:lang w:val="es-ES"/>
        </w:rPr>
        <w:t xml:space="preserve">Artículo 2. </w:t>
      </w:r>
    </w:p>
  </w:footnote>
  <w:footnote w:id="15">
    <w:p w14:paraId="71533BED" w14:textId="77777777" w:rsidR="003377CD" w:rsidRPr="00280428" w:rsidRDefault="003377CD" w:rsidP="00065D8F">
      <w:pPr>
        <w:pStyle w:val="Textonotapie"/>
        <w:spacing w:after="0" w:line="240" w:lineRule="auto"/>
        <w:ind w:firstLine="709"/>
        <w:rPr>
          <w:rFonts w:ascii="Arial" w:hAnsi="Arial" w:cs="Arial"/>
          <w:sz w:val="19"/>
          <w:szCs w:val="19"/>
          <w:lang w:val="es-ES"/>
        </w:rPr>
      </w:pPr>
      <w:r w:rsidRPr="00280428">
        <w:rPr>
          <w:rStyle w:val="Refdenotaalpie"/>
          <w:rFonts w:ascii="Arial" w:hAnsi="Arial" w:cs="Arial"/>
          <w:sz w:val="19"/>
          <w:szCs w:val="19"/>
        </w:rPr>
        <w:footnoteRef/>
      </w:r>
      <w:r w:rsidRPr="00280428">
        <w:rPr>
          <w:rFonts w:ascii="Arial" w:hAnsi="Arial" w:cs="Arial"/>
          <w:sz w:val="19"/>
          <w:szCs w:val="19"/>
        </w:rPr>
        <w:t xml:space="preserve"> </w:t>
      </w:r>
      <w:r w:rsidRPr="00280428">
        <w:rPr>
          <w:rFonts w:ascii="Arial" w:hAnsi="Arial" w:cs="Arial"/>
          <w:i/>
          <w:sz w:val="19"/>
          <w:szCs w:val="19"/>
          <w:lang w:val="es-ES"/>
        </w:rPr>
        <w:t>Ídem</w:t>
      </w:r>
      <w:r w:rsidRPr="00280428">
        <w:rPr>
          <w:rFonts w:ascii="Arial" w:hAnsi="Arial" w:cs="Arial"/>
          <w:sz w:val="19"/>
          <w:szCs w:val="19"/>
          <w:lang w:val="es-ES"/>
        </w:rPr>
        <w:t>.</w:t>
      </w:r>
    </w:p>
  </w:footnote>
  <w:footnote w:id="16">
    <w:p w14:paraId="3B471DAB" w14:textId="77777777" w:rsidR="003377CD" w:rsidRPr="00280428" w:rsidRDefault="003377CD" w:rsidP="00065D8F">
      <w:pPr>
        <w:pStyle w:val="Textonotapie"/>
        <w:spacing w:after="0" w:line="240" w:lineRule="auto"/>
        <w:ind w:firstLine="709"/>
        <w:rPr>
          <w:rFonts w:ascii="Arial" w:hAnsi="Arial" w:cs="Arial"/>
          <w:sz w:val="19"/>
          <w:szCs w:val="19"/>
          <w:lang w:val="es-ES"/>
        </w:rPr>
      </w:pPr>
      <w:r w:rsidRPr="00280428">
        <w:rPr>
          <w:rStyle w:val="Refdenotaalpie"/>
          <w:rFonts w:ascii="Arial" w:hAnsi="Arial" w:cs="Arial"/>
          <w:sz w:val="19"/>
          <w:szCs w:val="19"/>
        </w:rPr>
        <w:footnoteRef/>
      </w:r>
      <w:r w:rsidRPr="00280428">
        <w:rPr>
          <w:rStyle w:val="Refdenotaalpie"/>
          <w:rFonts w:ascii="Arial" w:hAnsi="Arial" w:cs="Arial"/>
          <w:sz w:val="19"/>
          <w:szCs w:val="19"/>
        </w:rPr>
        <w:t xml:space="preserve"> </w:t>
      </w:r>
      <w:r w:rsidRPr="00280428">
        <w:rPr>
          <w:rFonts w:ascii="Arial" w:hAnsi="Arial" w:cs="Arial"/>
          <w:sz w:val="19"/>
          <w:szCs w:val="19"/>
          <w:lang w:val="es-ES"/>
        </w:rPr>
        <w:t xml:space="preserve">«[…] A este respecto, cabe recordar que el artículo 860 del Código de Comercio regula la licitación en el derecho privado». </w:t>
      </w:r>
    </w:p>
  </w:footnote>
  <w:footnote w:id="17">
    <w:p w14:paraId="3DE7C088" w14:textId="5139953C" w:rsidR="00931636" w:rsidRPr="0093159A" w:rsidRDefault="00931636" w:rsidP="008415D0">
      <w:pPr>
        <w:shd w:val="clear" w:color="auto" w:fill="FFFFFF"/>
        <w:ind w:firstLine="709"/>
        <w:jc w:val="both"/>
        <w:rPr>
          <w:rFonts w:ascii="Arial" w:hAnsi="Arial" w:cs="Arial"/>
          <w:sz w:val="19"/>
          <w:szCs w:val="19"/>
          <w:lang w:val="es-ES"/>
        </w:rPr>
      </w:pPr>
      <w:r w:rsidRPr="0093159A">
        <w:rPr>
          <w:rStyle w:val="Refdenotaalpie"/>
          <w:rFonts w:ascii="Arial" w:hAnsi="Arial" w:cs="Arial"/>
          <w:sz w:val="19"/>
          <w:szCs w:val="19"/>
        </w:rPr>
        <w:footnoteRef/>
      </w:r>
      <w:r w:rsidRPr="0093159A">
        <w:rPr>
          <w:rStyle w:val="Refdenotaalpie"/>
          <w:rFonts w:ascii="Arial" w:hAnsi="Arial" w:cs="Arial"/>
          <w:sz w:val="19"/>
          <w:szCs w:val="19"/>
        </w:rPr>
        <w:t xml:space="preserve"> </w:t>
      </w:r>
      <w:r w:rsidRPr="0093159A">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49A02CDD" w14:textId="70865DBB"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Consejo de Estado. Sala de Consulta y Servicio Civil. Concepto del 08 de mayo de 2018. Exp. 2.382. C.P. Álvaro Namén Vargas.</w:t>
      </w:r>
    </w:p>
  </w:footnote>
  <w:footnote w:id="19">
    <w:p w14:paraId="14F5FB64" w14:textId="77777777" w:rsidR="00931636" w:rsidRPr="0093159A" w:rsidRDefault="00931636" w:rsidP="008415D0">
      <w:pPr>
        <w:pStyle w:val="Textonotapie"/>
        <w:spacing w:after="0" w:line="240" w:lineRule="auto"/>
        <w:ind w:firstLine="709"/>
        <w:rPr>
          <w:rFonts w:ascii="Arial" w:hAnsi="Arial" w:cs="Arial"/>
          <w:sz w:val="19"/>
          <w:szCs w:val="19"/>
        </w:rPr>
      </w:pPr>
      <w:r w:rsidRPr="0093159A">
        <w:rPr>
          <w:rStyle w:val="Refdenotaalpie"/>
          <w:rFonts w:ascii="Arial" w:hAnsi="Arial" w:cs="Arial"/>
          <w:sz w:val="19"/>
          <w:szCs w:val="19"/>
        </w:rPr>
        <w:footnoteRef/>
      </w:r>
      <w:r w:rsidRPr="0093159A">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3F0648CD" w14:textId="77777777" w:rsidR="008415D0" w:rsidRPr="004153FD" w:rsidRDefault="008415D0" w:rsidP="008415D0">
      <w:pPr>
        <w:ind w:firstLine="709"/>
        <w:jc w:val="both"/>
        <w:rPr>
          <w:rFonts w:ascii="Arial" w:hAnsi="Arial" w:cs="Arial"/>
          <w:color w:val="000000" w:themeColor="text1"/>
          <w:sz w:val="19"/>
          <w:szCs w:val="19"/>
        </w:rPr>
      </w:pPr>
      <w:r w:rsidRPr="004153FD">
        <w:rPr>
          <w:rStyle w:val="Refdenotaalpie"/>
          <w:rFonts w:ascii="Arial" w:hAnsi="Arial" w:cs="Arial"/>
          <w:color w:val="000000" w:themeColor="text1"/>
          <w:sz w:val="19"/>
          <w:szCs w:val="19"/>
        </w:rPr>
        <w:footnoteRef/>
      </w:r>
      <w:r w:rsidRPr="004153FD">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6F23B4EA" w14:textId="77777777" w:rsidR="008415D0" w:rsidRPr="004153FD" w:rsidRDefault="008415D0" w:rsidP="00065D8F">
      <w:pPr>
        <w:pStyle w:val="Textonotapie"/>
        <w:spacing w:after="0" w:line="240" w:lineRule="auto"/>
        <w:ind w:firstLine="709"/>
        <w:rPr>
          <w:rFonts w:ascii="Arial" w:hAnsi="Arial" w:cs="Arial"/>
          <w:color w:val="000000" w:themeColor="text1"/>
          <w:sz w:val="19"/>
          <w:szCs w:val="19"/>
        </w:rPr>
      </w:pPr>
      <w:r w:rsidRPr="004153FD">
        <w:rPr>
          <w:rStyle w:val="Refdenotaalpie"/>
          <w:rFonts w:ascii="Arial" w:hAnsi="Arial" w:cs="Arial"/>
          <w:color w:val="000000" w:themeColor="text1"/>
          <w:sz w:val="19"/>
          <w:szCs w:val="19"/>
        </w:rPr>
        <w:footnoteRef/>
      </w:r>
      <w:r w:rsidRPr="004153FD">
        <w:rPr>
          <w:rFonts w:ascii="Arial" w:hAnsi="Arial" w:cs="Arial"/>
          <w:color w:val="000000" w:themeColor="text1"/>
          <w:sz w:val="19"/>
          <w:szCs w:val="19"/>
        </w:rPr>
        <w:t xml:space="preserve"> Consejo de Estado. Sala de Consulta y Servicio Civil. Concepto de 6 de abril de 2006. Radicación Número: 11001-03-06-000-2006-00038-00 (1738). Consejero Ponente: Enrique José Arboleda Perdomo:</w:t>
      </w:r>
      <w:r w:rsidRPr="004153FD">
        <w:rPr>
          <w:rFonts w:ascii="Arial" w:eastAsia="Times New Roman" w:hAnsi="Arial" w:cs="Arial"/>
          <w:bCs/>
          <w:color w:val="000000" w:themeColor="text1"/>
          <w:sz w:val="19"/>
          <w:szCs w:val="19"/>
          <w:lang w:eastAsia="x-none"/>
        </w:rPr>
        <w:t xml:space="preserve"> «</w:t>
      </w:r>
      <w:bookmarkStart w:id="39" w:name="_Hlk97890572"/>
      <w:r w:rsidRPr="004153FD">
        <w:rPr>
          <w:rFonts w:ascii="Arial" w:hAnsi="Arial" w:cs="Arial"/>
          <w:color w:val="000000" w:themeColor="text1"/>
          <w:sz w:val="19"/>
          <w:szCs w:val="19"/>
        </w:rPr>
        <w:t xml:space="preserve">Si bien en el tema del concepto del que se extractaron </w:t>
      </w:r>
      <w:bookmarkEnd w:id="39"/>
      <w:r w:rsidRPr="004153FD">
        <w:rPr>
          <w:rFonts w:ascii="Arial" w:hAnsi="Arial" w:cs="Arial"/>
          <w:color w:val="000000" w:themeColor="text1"/>
          <w:sz w:val="19"/>
          <w:szCs w:val="19"/>
        </w:rPr>
        <w:t>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153FD">
        <w:rPr>
          <w:rFonts w:ascii="Arial" w:eastAsia="Times New Roman" w:hAnsi="Arial" w:cs="Arial"/>
          <w:bCs/>
          <w:color w:val="000000" w:themeColor="text1"/>
          <w:sz w:val="19"/>
          <w:szCs w:val="19"/>
          <w:lang w:eastAsia="x-none"/>
        </w:rPr>
        <w:t>».</w:t>
      </w:r>
    </w:p>
  </w:footnote>
  <w:footnote w:id="22">
    <w:p w14:paraId="47E06A0C" w14:textId="77777777" w:rsidR="008415D0" w:rsidRPr="004153FD" w:rsidRDefault="008415D0" w:rsidP="008415D0">
      <w:pPr>
        <w:ind w:firstLine="708"/>
        <w:jc w:val="both"/>
        <w:rPr>
          <w:rFonts w:ascii="Arial" w:hAnsi="Arial" w:cs="Arial"/>
          <w:color w:val="000000" w:themeColor="text1"/>
          <w:sz w:val="19"/>
          <w:szCs w:val="19"/>
        </w:rPr>
      </w:pPr>
      <w:r w:rsidRPr="004153FD">
        <w:rPr>
          <w:rStyle w:val="Refdenotaalpie"/>
          <w:rFonts w:ascii="Arial" w:hAnsi="Arial" w:cs="Arial"/>
          <w:color w:val="000000" w:themeColor="text1"/>
          <w:sz w:val="19"/>
          <w:szCs w:val="19"/>
        </w:rPr>
        <w:footnoteRef/>
      </w:r>
      <w:r w:rsidRPr="004153FD">
        <w:rPr>
          <w:rFonts w:ascii="Arial" w:hAnsi="Arial" w:cs="Arial"/>
          <w:color w:val="000000" w:themeColor="text1"/>
          <w:sz w:val="19"/>
          <w:szCs w:val="19"/>
        </w:rPr>
        <w:t xml:space="preserve"> Consejo de Estado. Sala de Consulta y Servicio Civil. Concepto de 6 de abril de 2006. Radicación Número: 11001-03-06-000-2006-00038-00(1738). Consejero Ponente: Enrique José Arboleda Perdomo. </w:t>
      </w:r>
    </w:p>
  </w:footnote>
  <w:footnote w:id="23">
    <w:p w14:paraId="07511DB6" w14:textId="77777777" w:rsidR="008415D0" w:rsidRPr="004153FD" w:rsidRDefault="008415D0" w:rsidP="00065D8F">
      <w:pPr>
        <w:pStyle w:val="Textonotapie"/>
        <w:spacing w:after="0" w:line="240" w:lineRule="auto"/>
        <w:ind w:firstLine="709"/>
        <w:rPr>
          <w:rFonts w:ascii="Arial" w:hAnsi="Arial" w:cs="Arial"/>
          <w:color w:val="000000" w:themeColor="text1"/>
          <w:sz w:val="19"/>
          <w:szCs w:val="19"/>
        </w:rPr>
      </w:pPr>
      <w:r w:rsidRPr="004153FD">
        <w:rPr>
          <w:rStyle w:val="Refdenotaalpie"/>
          <w:rFonts w:ascii="Arial" w:hAnsi="Arial" w:cs="Arial"/>
          <w:color w:val="000000" w:themeColor="text1"/>
          <w:sz w:val="19"/>
          <w:szCs w:val="19"/>
        </w:rPr>
        <w:footnoteRef/>
      </w:r>
      <w:r w:rsidRPr="004153FD">
        <w:rPr>
          <w:rFonts w:ascii="Arial" w:hAnsi="Arial" w:cs="Arial"/>
          <w:color w:val="000000" w:themeColor="text1"/>
          <w:sz w:val="19"/>
          <w:szCs w:val="19"/>
        </w:rPr>
        <w:t xml:space="preserve"> Consejo de Estado. Sala de Consulta y Servicio Civil, ídem.</w:t>
      </w:r>
    </w:p>
  </w:footnote>
  <w:footnote w:id="24">
    <w:p w14:paraId="4810D48D" w14:textId="77777777" w:rsidR="00931636" w:rsidRDefault="00931636" w:rsidP="00065D8F">
      <w:pPr>
        <w:pStyle w:val="Textonotapie"/>
        <w:spacing w:after="0" w:line="240" w:lineRule="auto"/>
        <w:ind w:firstLine="709"/>
        <w:rPr>
          <w:rFonts w:ascii="Arial" w:hAnsi="Arial" w:cs="Arial"/>
          <w:sz w:val="19"/>
          <w:szCs w:val="19"/>
        </w:rPr>
      </w:pPr>
    </w:p>
    <w:p w14:paraId="48B701FC" w14:textId="77777777" w:rsidR="00931636" w:rsidRPr="003D50AF" w:rsidRDefault="00931636" w:rsidP="00065D8F">
      <w:pPr>
        <w:pStyle w:val="Textonotapie"/>
        <w:spacing w:after="0" w:line="240" w:lineRule="auto"/>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Antes de su liquidación </w:t>
      </w:r>
      <w:r w:rsidRPr="003D50AF">
        <w:rPr>
          <w:rFonts w:ascii="Arial" w:hAnsi="Arial" w:cs="Arial"/>
          <w:sz w:val="19"/>
          <w:szCs w:val="19"/>
          <w:lang w:val="es-ES"/>
        </w:rPr>
        <w:t xml:space="preserve">ordenada por el Gobierno Nacional. </w:t>
      </w:r>
    </w:p>
  </w:footnote>
  <w:footnote w:id="25">
    <w:p w14:paraId="2FD3F571" w14:textId="77777777" w:rsidR="00931636" w:rsidRDefault="00931636" w:rsidP="00065D8F">
      <w:pPr>
        <w:pStyle w:val="Textonotapie"/>
        <w:spacing w:after="0" w:line="240" w:lineRule="auto"/>
        <w:ind w:firstLine="709"/>
        <w:rPr>
          <w:rFonts w:ascii="Arial" w:hAnsi="Arial" w:cs="Arial"/>
          <w:sz w:val="19"/>
          <w:szCs w:val="19"/>
        </w:rPr>
      </w:pPr>
    </w:p>
    <w:p w14:paraId="717BC22B" w14:textId="77777777" w:rsidR="00931636" w:rsidRPr="003D50AF" w:rsidRDefault="00931636" w:rsidP="00065D8F">
      <w:pPr>
        <w:pStyle w:val="Textonotapie"/>
        <w:spacing w:after="0" w:line="240" w:lineRule="auto"/>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Gobierno Nacional, mediante el Decreto 4310 de 2005, autorizó a Adpostal para constituir una filial, en los términos del artículo 49 de la Ley 489 de 1998. En virtud de dicha autorización, se creó Servicios Postales Nacionales S.A., también denominada «4-72», vinculada al entonces Ministerio de Comunicaciones. La Empresa Servicios Postales Nacionales S.A., fue constituida e inscrita el 27 de diciembre de 2005, mediante Escritura Pública No. 2428 de la Notaria 50 de Bogotá. El 29 de diciembre de 2008, Adpostal en Liquidación y la Fiduciaria de Desarrollo Agropecuario, Fiduagraria S.A., suscribieron un contrato de fiducia mercantil para conformar el patrimonio autónomo de remanentes de Adpostal, denominado «PAR Adpostal», al cual le fueron transferidos, entre otros activos, 93 acciones que Adpostal poseía en Servicios Postales Nacionales S.A., equivalentes al 95,88% del capital de dicha sociedad. El porcentaje restante del capital pertenece a la Caja Promotora de Vivienda Militar y de Policía, a la Nación –Ministerio de Hacienda y Crédito Público–, a Radio Televisión de Colombia –RTVC– y al fideicomiso denominado PARAPAT.  </w:t>
      </w:r>
    </w:p>
  </w:footnote>
  <w:footnote w:id="26">
    <w:p w14:paraId="33D4EED2" w14:textId="77777777" w:rsidR="00931636" w:rsidRDefault="00931636" w:rsidP="00065D8F">
      <w:pPr>
        <w:pStyle w:val="Textonotapie"/>
        <w:spacing w:after="0" w:line="240" w:lineRule="auto"/>
        <w:ind w:firstLine="709"/>
        <w:rPr>
          <w:rFonts w:ascii="Arial" w:hAnsi="Arial" w:cs="Arial"/>
          <w:sz w:val="19"/>
          <w:szCs w:val="19"/>
        </w:rPr>
      </w:pPr>
    </w:p>
    <w:p w14:paraId="0ADACA3B" w14:textId="77777777" w:rsidR="00931636" w:rsidRPr="003D50AF" w:rsidRDefault="00931636" w:rsidP="00065D8F">
      <w:pPr>
        <w:pStyle w:val="Textonotapie"/>
        <w:spacing w:after="0" w:line="240" w:lineRule="auto"/>
        <w:ind w:firstLine="709"/>
        <w:rPr>
          <w:rFonts w:ascii="Arial" w:hAnsi="Arial" w:cs="Arial"/>
          <w:sz w:val="19"/>
          <w:szCs w:val="19"/>
        </w:rPr>
      </w:pPr>
      <w:r w:rsidRPr="003D50AF">
        <w:rPr>
          <w:rStyle w:val="Refdenotaalpie"/>
          <w:rFonts w:ascii="Arial" w:hAnsi="Arial" w:cs="Arial"/>
          <w:sz w:val="19"/>
          <w:szCs w:val="19"/>
        </w:rPr>
        <w:footnoteRef/>
      </w:r>
      <w:r w:rsidRPr="003D50AF">
        <w:rPr>
          <w:rFonts w:ascii="Arial" w:hAnsi="Arial" w:cs="Arial"/>
          <w:sz w:val="19"/>
          <w:szCs w:val="19"/>
        </w:rPr>
        <w:t xml:space="preserve"> El inciso segundo del artículo 1 de la Ley 1369 de 2009, indica que «Los Servicios Postales están bajo la titularidad del Estado, el cual, para su prestación, </w:t>
      </w:r>
      <w:r w:rsidRPr="003D50AF">
        <w:rPr>
          <w:rFonts w:ascii="Arial" w:hAnsi="Arial" w:cs="Arial"/>
          <w:sz w:val="19"/>
          <w:szCs w:val="19"/>
          <w:u w:val="single"/>
        </w:rPr>
        <w:t>podrá habilitar a empresas públicas y privadas en los términos de esta ley</w:t>
      </w:r>
      <w:r w:rsidRPr="003D50AF">
        <w:rPr>
          <w:rFonts w:ascii="Arial" w:hAnsi="Arial" w:cs="Arial"/>
          <w:sz w:val="19"/>
          <w:szCs w:val="19"/>
        </w:rPr>
        <w:t>». (Se subraya).</w:t>
      </w:r>
    </w:p>
  </w:footnote>
  <w:footnote w:id="27">
    <w:p w14:paraId="068CE80B" w14:textId="77777777" w:rsidR="00931636" w:rsidRPr="003D50AF" w:rsidRDefault="00931636" w:rsidP="00065D8F">
      <w:pPr>
        <w:pStyle w:val="Textonotapie"/>
        <w:spacing w:after="0" w:line="240" w:lineRule="auto"/>
        <w:ind w:firstLine="709"/>
        <w:rPr>
          <w:rFonts w:ascii="Arial" w:hAnsi="Arial" w:cs="Arial"/>
          <w:sz w:val="19"/>
          <w:szCs w:val="19"/>
          <w:lang w:val="es-ES"/>
        </w:rPr>
      </w:pPr>
      <w:r w:rsidRPr="003D50AF">
        <w:rPr>
          <w:rStyle w:val="Refdenotaalpie"/>
          <w:rFonts w:ascii="Arial" w:hAnsi="Arial" w:cs="Arial"/>
          <w:sz w:val="19"/>
          <w:szCs w:val="19"/>
        </w:rPr>
        <w:footnoteRef/>
      </w:r>
      <w:r w:rsidRPr="003D50AF">
        <w:rPr>
          <w:rFonts w:ascii="Arial" w:hAnsi="Arial" w:cs="Arial"/>
          <w:sz w:val="19"/>
          <w:szCs w:val="19"/>
        </w:rPr>
        <w:t xml:space="preserve"> El inciso primero y el numeral cuarto de esta norma fueron declarados exequibles de forma condicionada por la Corte Constitucional en la sentencia C-691 de 2007</w:t>
      </w:r>
      <w:r w:rsidRPr="003D50AF">
        <w:rPr>
          <w:rFonts w:ascii="Arial" w:hAnsi="Arial" w:cs="Arial"/>
          <w:sz w:val="19"/>
          <w:szCs w:val="19"/>
          <w:lang w:val="es-ES"/>
        </w:rPr>
        <w:t>, Expediente D-6687, bajo el entendido de que las sociedades públicas se rigen por las normas del derecho privado, «sin perjuicio de aspectos regulados con carácter especial por otras disposiciones constitucionales y legales».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931636" w:rsidRDefault="00931636">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931636" w:rsidRDefault="00931636" w:rsidP="00FE0395">
    <w:pPr>
      <w:pStyle w:val="Encabezado"/>
      <w:spacing w:after="0"/>
    </w:pPr>
  </w:p>
  <w:p w14:paraId="6520770B" w14:textId="18EB07B5" w:rsidR="00931636" w:rsidRDefault="009316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80848625">
    <w:abstractNumId w:val="11"/>
  </w:num>
  <w:num w:numId="2" w16cid:durableId="1393431078">
    <w:abstractNumId w:val="9"/>
  </w:num>
  <w:num w:numId="3" w16cid:durableId="290792796">
    <w:abstractNumId w:val="15"/>
  </w:num>
  <w:num w:numId="4" w16cid:durableId="1930961875">
    <w:abstractNumId w:val="21"/>
  </w:num>
  <w:num w:numId="5" w16cid:durableId="544214940">
    <w:abstractNumId w:val="23"/>
  </w:num>
  <w:num w:numId="6" w16cid:durableId="16431498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5209725">
    <w:abstractNumId w:val="6"/>
  </w:num>
  <w:num w:numId="8" w16cid:durableId="748186580">
    <w:abstractNumId w:val="24"/>
  </w:num>
  <w:num w:numId="9" w16cid:durableId="1804691274">
    <w:abstractNumId w:val="6"/>
    <w:lvlOverride w:ilvl="0">
      <w:startOverride w:val="1"/>
    </w:lvlOverride>
  </w:num>
  <w:num w:numId="10" w16cid:durableId="1522162869">
    <w:abstractNumId w:val="25"/>
  </w:num>
  <w:num w:numId="11" w16cid:durableId="2079667231">
    <w:abstractNumId w:val="7"/>
  </w:num>
  <w:num w:numId="12" w16cid:durableId="1469590139">
    <w:abstractNumId w:val="2"/>
  </w:num>
  <w:num w:numId="13" w16cid:durableId="688750568">
    <w:abstractNumId w:val="4"/>
  </w:num>
  <w:num w:numId="14" w16cid:durableId="1313218303">
    <w:abstractNumId w:val="20"/>
  </w:num>
  <w:num w:numId="15" w16cid:durableId="147090133">
    <w:abstractNumId w:val="13"/>
  </w:num>
  <w:num w:numId="16" w16cid:durableId="1308432068">
    <w:abstractNumId w:val="10"/>
  </w:num>
  <w:num w:numId="17" w16cid:durableId="1963726558">
    <w:abstractNumId w:val="14"/>
  </w:num>
  <w:num w:numId="18" w16cid:durableId="1776560874">
    <w:abstractNumId w:val="16"/>
  </w:num>
  <w:num w:numId="19" w16cid:durableId="1554075023">
    <w:abstractNumId w:val="5"/>
  </w:num>
  <w:num w:numId="20" w16cid:durableId="860163690">
    <w:abstractNumId w:val="28"/>
  </w:num>
  <w:num w:numId="21" w16cid:durableId="1220940499">
    <w:abstractNumId w:val="22"/>
  </w:num>
  <w:num w:numId="22" w16cid:durableId="1652323169">
    <w:abstractNumId w:val="18"/>
  </w:num>
  <w:num w:numId="23" w16cid:durableId="1295140118">
    <w:abstractNumId w:val="17"/>
  </w:num>
  <w:num w:numId="24" w16cid:durableId="46757445">
    <w:abstractNumId w:val="8"/>
  </w:num>
  <w:num w:numId="25" w16cid:durableId="1186823664">
    <w:abstractNumId w:val="19"/>
  </w:num>
  <w:num w:numId="26" w16cid:durableId="972831685">
    <w:abstractNumId w:val="1"/>
  </w:num>
  <w:num w:numId="27" w16cid:durableId="93092353">
    <w:abstractNumId w:val="12"/>
  </w:num>
  <w:num w:numId="28" w16cid:durableId="151217041">
    <w:abstractNumId w:val="27"/>
  </w:num>
  <w:num w:numId="29" w16cid:durableId="1208297765">
    <w:abstractNumId w:val="3"/>
  </w:num>
  <w:num w:numId="30" w16cid:durableId="20105939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996"/>
    <w:rsid w:val="0000210D"/>
    <w:rsid w:val="0000268F"/>
    <w:rsid w:val="000029BC"/>
    <w:rsid w:val="00002EA1"/>
    <w:rsid w:val="000031A6"/>
    <w:rsid w:val="0000404B"/>
    <w:rsid w:val="00004F5E"/>
    <w:rsid w:val="0000645E"/>
    <w:rsid w:val="0000682D"/>
    <w:rsid w:val="00006906"/>
    <w:rsid w:val="000105E2"/>
    <w:rsid w:val="00010981"/>
    <w:rsid w:val="00011726"/>
    <w:rsid w:val="000123BA"/>
    <w:rsid w:val="000126BB"/>
    <w:rsid w:val="00012A1B"/>
    <w:rsid w:val="000136DC"/>
    <w:rsid w:val="00014EDF"/>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E3F"/>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D8F"/>
    <w:rsid w:val="00065E1A"/>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41F"/>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3F65"/>
    <w:rsid w:val="000A4D0D"/>
    <w:rsid w:val="000A5189"/>
    <w:rsid w:val="000A51BD"/>
    <w:rsid w:val="000A668C"/>
    <w:rsid w:val="000A66CF"/>
    <w:rsid w:val="000A7438"/>
    <w:rsid w:val="000A7654"/>
    <w:rsid w:val="000A7E46"/>
    <w:rsid w:val="000B103F"/>
    <w:rsid w:val="000B1C28"/>
    <w:rsid w:val="000B2DA6"/>
    <w:rsid w:val="000B3893"/>
    <w:rsid w:val="000B3F99"/>
    <w:rsid w:val="000B41CF"/>
    <w:rsid w:val="000B4FC6"/>
    <w:rsid w:val="000B53D0"/>
    <w:rsid w:val="000B60FA"/>
    <w:rsid w:val="000B680C"/>
    <w:rsid w:val="000B707E"/>
    <w:rsid w:val="000C00B6"/>
    <w:rsid w:val="000C0B7C"/>
    <w:rsid w:val="000C1771"/>
    <w:rsid w:val="000C21BA"/>
    <w:rsid w:val="000C2DD2"/>
    <w:rsid w:val="000C510D"/>
    <w:rsid w:val="000C6347"/>
    <w:rsid w:val="000C7235"/>
    <w:rsid w:val="000C73E5"/>
    <w:rsid w:val="000C755D"/>
    <w:rsid w:val="000C7BB6"/>
    <w:rsid w:val="000D0148"/>
    <w:rsid w:val="000D05AD"/>
    <w:rsid w:val="000D0AFA"/>
    <w:rsid w:val="000D17D2"/>
    <w:rsid w:val="000D26AB"/>
    <w:rsid w:val="000D28E0"/>
    <w:rsid w:val="000D2ADD"/>
    <w:rsid w:val="000D2FDE"/>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1A"/>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1C9"/>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4EA"/>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55E"/>
    <w:rsid w:val="00161D78"/>
    <w:rsid w:val="0016262F"/>
    <w:rsid w:val="0016397F"/>
    <w:rsid w:val="001650A0"/>
    <w:rsid w:val="00165EA8"/>
    <w:rsid w:val="0016680A"/>
    <w:rsid w:val="00166B45"/>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895"/>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452E"/>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57C"/>
    <w:rsid w:val="001B59D6"/>
    <w:rsid w:val="001B6044"/>
    <w:rsid w:val="001B686F"/>
    <w:rsid w:val="001B7618"/>
    <w:rsid w:val="001B7DEA"/>
    <w:rsid w:val="001C09F2"/>
    <w:rsid w:val="001C1A26"/>
    <w:rsid w:val="001C2147"/>
    <w:rsid w:val="001C219D"/>
    <w:rsid w:val="001C33CB"/>
    <w:rsid w:val="001C398F"/>
    <w:rsid w:val="001C5292"/>
    <w:rsid w:val="001C722C"/>
    <w:rsid w:val="001C75C0"/>
    <w:rsid w:val="001C775D"/>
    <w:rsid w:val="001D0470"/>
    <w:rsid w:val="001D0988"/>
    <w:rsid w:val="001D172E"/>
    <w:rsid w:val="001D1FD0"/>
    <w:rsid w:val="001D2E79"/>
    <w:rsid w:val="001D3346"/>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5345"/>
    <w:rsid w:val="001E610D"/>
    <w:rsid w:val="001E6256"/>
    <w:rsid w:val="001E6B13"/>
    <w:rsid w:val="001E72C0"/>
    <w:rsid w:val="001E75AD"/>
    <w:rsid w:val="001F0524"/>
    <w:rsid w:val="001F0570"/>
    <w:rsid w:val="001F13B9"/>
    <w:rsid w:val="001F140A"/>
    <w:rsid w:val="001F1781"/>
    <w:rsid w:val="001F1AFA"/>
    <w:rsid w:val="001F267A"/>
    <w:rsid w:val="001F2AD0"/>
    <w:rsid w:val="001F2FC2"/>
    <w:rsid w:val="001F3974"/>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67D"/>
    <w:rsid w:val="00206BC8"/>
    <w:rsid w:val="00211909"/>
    <w:rsid w:val="002135F3"/>
    <w:rsid w:val="00213B4B"/>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053C"/>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880"/>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1F82"/>
    <w:rsid w:val="00264666"/>
    <w:rsid w:val="00264924"/>
    <w:rsid w:val="00264AE6"/>
    <w:rsid w:val="00265C96"/>
    <w:rsid w:val="00265CEB"/>
    <w:rsid w:val="00265ED0"/>
    <w:rsid w:val="00266E0C"/>
    <w:rsid w:val="00270234"/>
    <w:rsid w:val="0027041E"/>
    <w:rsid w:val="0027071C"/>
    <w:rsid w:val="0027122E"/>
    <w:rsid w:val="00272C62"/>
    <w:rsid w:val="00273146"/>
    <w:rsid w:val="002755B8"/>
    <w:rsid w:val="00275701"/>
    <w:rsid w:val="00276521"/>
    <w:rsid w:val="00276C8E"/>
    <w:rsid w:val="00276D7E"/>
    <w:rsid w:val="00277428"/>
    <w:rsid w:val="002806C6"/>
    <w:rsid w:val="002812E1"/>
    <w:rsid w:val="00281E62"/>
    <w:rsid w:val="00281ED6"/>
    <w:rsid w:val="00282493"/>
    <w:rsid w:val="002825D8"/>
    <w:rsid w:val="002828AB"/>
    <w:rsid w:val="0028312F"/>
    <w:rsid w:val="00283380"/>
    <w:rsid w:val="00284F66"/>
    <w:rsid w:val="00285D7E"/>
    <w:rsid w:val="00285D82"/>
    <w:rsid w:val="00285FED"/>
    <w:rsid w:val="00286660"/>
    <w:rsid w:val="00286A53"/>
    <w:rsid w:val="00287542"/>
    <w:rsid w:val="002877E9"/>
    <w:rsid w:val="00291130"/>
    <w:rsid w:val="0029159E"/>
    <w:rsid w:val="002933BF"/>
    <w:rsid w:val="0029380D"/>
    <w:rsid w:val="00293B18"/>
    <w:rsid w:val="00293EA5"/>
    <w:rsid w:val="00294801"/>
    <w:rsid w:val="00294EFD"/>
    <w:rsid w:val="0029562E"/>
    <w:rsid w:val="002956E0"/>
    <w:rsid w:val="0029645C"/>
    <w:rsid w:val="00296D38"/>
    <w:rsid w:val="0029772C"/>
    <w:rsid w:val="002A1031"/>
    <w:rsid w:val="002A1308"/>
    <w:rsid w:val="002A3472"/>
    <w:rsid w:val="002A34C5"/>
    <w:rsid w:val="002A3C58"/>
    <w:rsid w:val="002A4F10"/>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C7EC6"/>
    <w:rsid w:val="002D0C96"/>
    <w:rsid w:val="002D2D19"/>
    <w:rsid w:val="002D3456"/>
    <w:rsid w:val="002D4BB3"/>
    <w:rsid w:val="002D5D70"/>
    <w:rsid w:val="002D6942"/>
    <w:rsid w:val="002D7966"/>
    <w:rsid w:val="002D7A44"/>
    <w:rsid w:val="002D7E62"/>
    <w:rsid w:val="002D7F92"/>
    <w:rsid w:val="002E0633"/>
    <w:rsid w:val="002E0A18"/>
    <w:rsid w:val="002E141B"/>
    <w:rsid w:val="002E1964"/>
    <w:rsid w:val="002E19A5"/>
    <w:rsid w:val="002E1E7E"/>
    <w:rsid w:val="002E27E0"/>
    <w:rsid w:val="002E35AE"/>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2F7CCC"/>
    <w:rsid w:val="00301514"/>
    <w:rsid w:val="00301EEE"/>
    <w:rsid w:val="003033BA"/>
    <w:rsid w:val="003033C0"/>
    <w:rsid w:val="003035B3"/>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899"/>
    <w:rsid w:val="00315623"/>
    <w:rsid w:val="00316182"/>
    <w:rsid w:val="003203D9"/>
    <w:rsid w:val="0032072B"/>
    <w:rsid w:val="00320DFD"/>
    <w:rsid w:val="003210F8"/>
    <w:rsid w:val="00321947"/>
    <w:rsid w:val="00322C24"/>
    <w:rsid w:val="00323BC6"/>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7CD"/>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B93"/>
    <w:rsid w:val="00366C32"/>
    <w:rsid w:val="00367ACD"/>
    <w:rsid w:val="0037099D"/>
    <w:rsid w:val="00372A55"/>
    <w:rsid w:val="003730DE"/>
    <w:rsid w:val="003735C0"/>
    <w:rsid w:val="00373FFC"/>
    <w:rsid w:val="0037401A"/>
    <w:rsid w:val="00374753"/>
    <w:rsid w:val="0037676F"/>
    <w:rsid w:val="003767EE"/>
    <w:rsid w:val="00376F76"/>
    <w:rsid w:val="00377AD6"/>
    <w:rsid w:val="00377BF5"/>
    <w:rsid w:val="00381B41"/>
    <w:rsid w:val="00382349"/>
    <w:rsid w:val="003833D7"/>
    <w:rsid w:val="003839DC"/>
    <w:rsid w:val="00383C5B"/>
    <w:rsid w:val="00383DDA"/>
    <w:rsid w:val="00384AD4"/>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3ACF"/>
    <w:rsid w:val="00396D23"/>
    <w:rsid w:val="003A039C"/>
    <w:rsid w:val="003A046A"/>
    <w:rsid w:val="003A0603"/>
    <w:rsid w:val="003A1031"/>
    <w:rsid w:val="003A1157"/>
    <w:rsid w:val="003A25E4"/>
    <w:rsid w:val="003A27CB"/>
    <w:rsid w:val="003A2A86"/>
    <w:rsid w:val="003A2C66"/>
    <w:rsid w:val="003A2D28"/>
    <w:rsid w:val="003A3CBA"/>
    <w:rsid w:val="003A433D"/>
    <w:rsid w:val="003A46C3"/>
    <w:rsid w:val="003A4F71"/>
    <w:rsid w:val="003A581E"/>
    <w:rsid w:val="003A5E28"/>
    <w:rsid w:val="003A651C"/>
    <w:rsid w:val="003A6DA8"/>
    <w:rsid w:val="003B0136"/>
    <w:rsid w:val="003B08DF"/>
    <w:rsid w:val="003B0B16"/>
    <w:rsid w:val="003B23A3"/>
    <w:rsid w:val="003B31CF"/>
    <w:rsid w:val="003B3D8A"/>
    <w:rsid w:val="003B4162"/>
    <w:rsid w:val="003B51F1"/>
    <w:rsid w:val="003B5540"/>
    <w:rsid w:val="003B79A5"/>
    <w:rsid w:val="003C1943"/>
    <w:rsid w:val="003C347B"/>
    <w:rsid w:val="003C3D13"/>
    <w:rsid w:val="003C40DD"/>
    <w:rsid w:val="003C4141"/>
    <w:rsid w:val="003C432C"/>
    <w:rsid w:val="003C50C9"/>
    <w:rsid w:val="003C62BD"/>
    <w:rsid w:val="003C7DC2"/>
    <w:rsid w:val="003D09E4"/>
    <w:rsid w:val="003D0D80"/>
    <w:rsid w:val="003D2137"/>
    <w:rsid w:val="003D284B"/>
    <w:rsid w:val="003D40F4"/>
    <w:rsid w:val="003D4187"/>
    <w:rsid w:val="003D43F8"/>
    <w:rsid w:val="003D4F72"/>
    <w:rsid w:val="003D603B"/>
    <w:rsid w:val="003D6C49"/>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E7CAE"/>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631"/>
    <w:rsid w:val="00416C2E"/>
    <w:rsid w:val="00417C69"/>
    <w:rsid w:val="004207E3"/>
    <w:rsid w:val="00420A13"/>
    <w:rsid w:val="00420B44"/>
    <w:rsid w:val="00420D01"/>
    <w:rsid w:val="00421774"/>
    <w:rsid w:val="00421906"/>
    <w:rsid w:val="004223E4"/>
    <w:rsid w:val="0042321C"/>
    <w:rsid w:val="00423267"/>
    <w:rsid w:val="00423A2F"/>
    <w:rsid w:val="004252E8"/>
    <w:rsid w:val="00425B6B"/>
    <w:rsid w:val="00425BA9"/>
    <w:rsid w:val="00426EEE"/>
    <w:rsid w:val="00426F4A"/>
    <w:rsid w:val="004279A8"/>
    <w:rsid w:val="00427BD7"/>
    <w:rsid w:val="004301FB"/>
    <w:rsid w:val="00430927"/>
    <w:rsid w:val="0043155D"/>
    <w:rsid w:val="00431A07"/>
    <w:rsid w:val="0043205F"/>
    <w:rsid w:val="00432915"/>
    <w:rsid w:val="00432C5F"/>
    <w:rsid w:val="004330FD"/>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554A"/>
    <w:rsid w:val="00456261"/>
    <w:rsid w:val="00456BF3"/>
    <w:rsid w:val="004570AB"/>
    <w:rsid w:val="004573BC"/>
    <w:rsid w:val="004620B3"/>
    <w:rsid w:val="0046397B"/>
    <w:rsid w:val="00463997"/>
    <w:rsid w:val="004648D2"/>
    <w:rsid w:val="0046604D"/>
    <w:rsid w:val="00471F7A"/>
    <w:rsid w:val="0047250D"/>
    <w:rsid w:val="0047358F"/>
    <w:rsid w:val="0047429E"/>
    <w:rsid w:val="00474434"/>
    <w:rsid w:val="0047444E"/>
    <w:rsid w:val="0047455B"/>
    <w:rsid w:val="00474614"/>
    <w:rsid w:val="00474880"/>
    <w:rsid w:val="004750AA"/>
    <w:rsid w:val="004755D2"/>
    <w:rsid w:val="004768C9"/>
    <w:rsid w:val="00476A0B"/>
    <w:rsid w:val="00477A49"/>
    <w:rsid w:val="00477BFF"/>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505C"/>
    <w:rsid w:val="0049644F"/>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6A0"/>
    <w:rsid w:val="004A7E8A"/>
    <w:rsid w:val="004B159B"/>
    <w:rsid w:val="004B1F7C"/>
    <w:rsid w:val="004B219E"/>
    <w:rsid w:val="004B2774"/>
    <w:rsid w:val="004B28F8"/>
    <w:rsid w:val="004B411E"/>
    <w:rsid w:val="004B4A0E"/>
    <w:rsid w:val="004B4CAD"/>
    <w:rsid w:val="004B567B"/>
    <w:rsid w:val="004B5CAA"/>
    <w:rsid w:val="004B6CBD"/>
    <w:rsid w:val="004B6DE0"/>
    <w:rsid w:val="004B742E"/>
    <w:rsid w:val="004C003F"/>
    <w:rsid w:val="004C026F"/>
    <w:rsid w:val="004C02E1"/>
    <w:rsid w:val="004C0993"/>
    <w:rsid w:val="004C0ABB"/>
    <w:rsid w:val="004C0B1C"/>
    <w:rsid w:val="004C1226"/>
    <w:rsid w:val="004C1573"/>
    <w:rsid w:val="004C1F44"/>
    <w:rsid w:val="004C1F93"/>
    <w:rsid w:val="004C2021"/>
    <w:rsid w:val="004C5092"/>
    <w:rsid w:val="004C5273"/>
    <w:rsid w:val="004C6C01"/>
    <w:rsid w:val="004C7383"/>
    <w:rsid w:val="004C7677"/>
    <w:rsid w:val="004D1653"/>
    <w:rsid w:val="004D1B75"/>
    <w:rsid w:val="004D27E4"/>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1881"/>
    <w:rsid w:val="004F248A"/>
    <w:rsid w:val="004F2CF3"/>
    <w:rsid w:val="004F32CC"/>
    <w:rsid w:val="004F38A9"/>
    <w:rsid w:val="004F3F9E"/>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5E"/>
    <w:rsid w:val="0051089A"/>
    <w:rsid w:val="00510BB6"/>
    <w:rsid w:val="00510E5B"/>
    <w:rsid w:val="00511C3B"/>
    <w:rsid w:val="0051288D"/>
    <w:rsid w:val="00513A69"/>
    <w:rsid w:val="00513AF2"/>
    <w:rsid w:val="005144E0"/>
    <w:rsid w:val="005152C2"/>
    <w:rsid w:val="005153B7"/>
    <w:rsid w:val="005154A5"/>
    <w:rsid w:val="00516462"/>
    <w:rsid w:val="0051690C"/>
    <w:rsid w:val="00516F74"/>
    <w:rsid w:val="005200B5"/>
    <w:rsid w:val="00521B54"/>
    <w:rsid w:val="005222B7"/>
    <w:rsid w:val="00522983"/>
    <w:rsid w:val="0052307C"/>
    <w:rsid w:val="0052446F"/>
    <w:rsid w:val="00524F8D"/>
    <w:rsid w:val="00525D6C"/>
    <w:rsid w:val="005268C9"/>
    <w:rsid w:val="0052715F"/>
    <w:rsid w:val="00527CC7"/>
    <w:rsid w:val="005305AF"/>
    <w:rsid w:val="00530A20"/>
    <w:rsid w:val="00533367"/>
    <w:rsid w:val="00535161"/>
    <w:rsid w:val="00535A7F"/>
    <w:rsid w:val="0053606E"/>
    <w:rsid w:val="005369C0"/>
    <w:rsid w:val="00536C0D"/>
    <w:rsid w:val="0053771E"/>
    <w:rsid w:val="00537D21"/>
    <w:rsid w:val="005403D5"/>
    <w:rsid w:val="0054073D"/>
    <w:rsid w:val="005417B1"/>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29B"/>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1D19"/>
    <w:rsid w:val="00584E86"/>
    <w:rsid w:val="0058589B"/>
    <w:rsid w:val="00585B5A"/>
    <w:rsid w:val="005867BF"/>
    <w:rsid w:val="00587B36"/>
    <w:rsid w:val="0059058A"/>
    <w:rsid w:val="00590963"/>
    <w:rsid w:val="00590DD9"/>
    <w:rsid w:val="00590E6F"/>
    <w:rsid w:val="00591F4C"/>
    <w:rsid w:val="0059266D"/>
    <w:rsid w:val="005942C5"/>
    <w:rsid w:val="0059458E"/>
    <w:rsid w:val="005950CC"/>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C5C"/>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5B79"/>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7ED"/>
    <w:rsid w:val="005F0C78"/>
    <w:rsid w:val="005F1050"/>
    <w:rsid w:val="005F137C"/>
    <w:rsid w:val="005F3431"/>
    <w:rsid w:val="005F4AB3"/>
    <w:rsid w:val="005F4BF5"/>
    <w:rsid w:val="005F5C6D"/>
    <w:rsid w:val="005F713D"/>
    <w:rsid w:val="006007CC"/>
    <w:rsid w:val="00600FA4"/>
    <w:rsid w:val="00601496"/>
    <w:rsid w:val="0060197B"/>
    <w:rsid w:val="00601FCA"/>
    <w:rsid w:val="006028B1"/>
    <w:rsid w:val="00602A32"/>
    <w:rsid w:val="006030AA"/>
    <w:rsid w:val="0060353E"/>
    <w:rsid w:val="00603999"/>
    <w:rsid w:val="00603BDE"/>
    <w:rsid w:val="006044E9"/>
    <w:rsid w:val="00604737"/>
    <w:rsid w:val="00610067"/>
    <w:rsid w:val="00610C94"/>
    <w:rsid w:val="00611379"/>
    <w:rsid w:val="00611D58"/>
    <w:rsid w:val="00612142"/>
    <w:rsid w:val="00612BDB"/>
    <w:rsid w:val="00612EC9"/>
    <w:rsid w:val="00612ED3"/>
    <w:rsid w:val="00613073"/>
    <w:rsid w:val="006133BD"/>
    <w:rsid w:val="006134DB"/>
    <w:rsid w:val="006135E8"/>
    <w:rsid w:val="00613D54"/>
    <w:rsid w:val="00613F45"/>
    <w:rsid w:val="0061438F"/>
    <w:rsid w:val="0061564E"/>
    <w:rsid w:val="00616C91"/>
    <w:rsid w:val="00616F60"/>
    <w:rsid w:val="00617024"/>
    <w:rsid w:val="006178DB"/>
    <w:rsid w:val="00620CBF"/>
    <w:rsid w:val="00620E47"/>
    <w:rsid w:val="0062127B"/>
    <w:rsid w:val="00621323"/>
    <w:rsid w:val="00622506"/>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2F2"/>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75ED9"/>
    <w:rsid w:val="0068185E"/>
    <w:rsid w:val="00681A07"/>
    <w:rsid w:val="00682D0A"/>
    <w:rsid w:val="00683085"/>
    <w:rsid w:val="0068338B"/>
    <w:rsid w:val="00683404"/>
    <w:rsid w:val="00683D48"/>
    <w:rsid w:val="00686E92"/>
    <w:rsid w:val="00686F7C"/>
    <w:rsid w:val="006908AE"/>
    <w:rsid w:val="006908BC"/>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4E11"/>
    <w:rsid w:val="006A5273"/>
    <w:rsid w:val="006A58B8"/>
    <w:rsid w:val="006A64A9"/>
    <w:rsid w:val="006A7FD0"/>
    <w:rsid w:val="006B161A"/>
    <w:rsid w:val="006B2195"/>
    <w:rsid w:val="006B34D7"/>
    <w:rsid w:val="006B486C"/>
    <w:rsid w:val="006B4C1B"/>
    <w:rsid w:val="006B5004"/>
    <w:rsid w:val="006B5571"/>
    <w:rsid w:val="006B55C5"/>
    <w:rsid w:val="006B6F1B"/>
    <w:rsid w:val="006B748C"/>
    <w:rsid w:val="006B7576"/>
    <w:rsid w:val="006C02F1"/>
    <w:rsid w:val="006C0662"/>
    <w:rsid w:val="006C084F"/>
    <w:rsid w:val="006C14D1"/>
    <w:rsid w:val="006C41CF"/>
    <w:rsid w:val="006C453C"/>
    <w:rsid w:val="006C4F96"/>
    <w:rsid w:val="006C627E"/>
    <w:rsid w:val="006C68E5"/>
    <w:rsid w:val="006C6A3B"/>
    <w:rsid w:val="006C6A80"/>
    <w:rsid w:val="006C6E36"/>
    <w:rsid w:val="006C7E2B"/>
    <w:rsid w:val="006D18A5"/>
    <w:rsid w:val="006D1C08"/>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31C6"/>
    <w:rsid w:val="006E4F08"/>
    <w:rsid w:val="006E6202"/>
    <w:rsid w:val="006E6B65"/>
    <w:rsid w:val="006E6D63"/>
    <w:rsid w:val="006E6E42"/>
    <w:rsid w:val="006F0E22"/>
    <w:rsid w:val="006F2EC7"/>
    <w:rsid w:val="006F3DAA"/>
    <w:rsid w:val="006F514F"/>
    <w:rsid w:val="006F5461"/>
    <w:rsid w:val="006F70A0"/>
    <w:rsid w:val="00700377"/>
    <w:rsid w:val="007008A4"/>
    <w:rsid w:val="00700970"/>
    <w:rsid w:val="00700E8E"/>
    <w:rsid w:val="007018AF"/>
    <w:rsid w:val="00701E35"/>
    <w:rsid w:val="007020A1"/>
    <w:rsid w:val="00702115"/>
    <w:rsid w:val="007029A4"/>
    <w:rsid w:val="00703E2C"/>
    <w:rsid w:val="00705631"/>
    <w:rsid w:val="00705FE1"/>
    <w:rsid w:val="00706027"/>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5B8"/>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2094"/>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4F0B"/>
    <w:rsid w:val="0075582E"/>
    <w:rsid w:val="00755C9F"/>
    <w:rsid w:val="0075647A"/>
    <w:rsid w:val="00756E36"/>
    <w:rsid w:val="007573C1"/>
    <w:rsid w:val="007574E5"/>
    <w:rsid w:val="007605B5"/>
    <w:rsid w:val="007611DB"/>
    <w:rsid w:val="007634AD"/>
    <w:rsid w:val="0076459E"/>
    <w:rsid w:val="00764CD2"/>
    <w:rsid w:val="00764FA8"/>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10F"/>
    <w:rsid w:val="00776C32"/>
    <w:rsid w:val="00776ED5"/>
    <w:rsid w:val="007809E9"/>
    <w:rsid w:val="00780D84"/>
    <w:rsid w:val="0078122E"/>
    <w:rsid w:val="0078165F"/>
    <w:rsid w:val="00782024"/>
    <w:rsid w:val="00782DC1"/>
    <w:rsid w:val="00783506"/>
    <w:rsid w:val="0078442B"/>
    <w:rsid w:val="007853BD"/>
    <w:rsid w:val="00785A12"/>
    <w:rsid w:val="00785E18"/>
    <w:rsid w:val="0078614D"/>
    <w:rsid w:val="00787106"/>
    <w:rsid w:val="00791C0F"/>
    <w:rsid w:val="007924DC"/>
    <w:rsid w:val="00792BA2"/>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261"/>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9C1"/>
    <w:rsid w:val="007D1AD1"/>
    <w:rsid w:val="007D28C9"/>
    <w:rsid w:val="007D40E2"/>
    <w:rsid w:val="007D58E1"/>
    <w:rsid w:val="007D5E0B"/>
    <w:rsid w:val="007D62CD"/>
    <w:rsid w:val="007D65D4"/>
    <w:rsid w:val="007D71A4"/>
    <w:rsid w:val="007E01FC"/>
    <w:rsid w:val="007E03C8"/>
    <w:rsid w:val="007E1384"/>
    <w:rsid w:val="007E31C6"/>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8F8"/>
    <w:rsid w:val="00804C29"/>
    <w:rsid w:val="00804CE6"/>
    <w:rsid w:val="00804EB1"/>
    <w:rsid w:val="0080594C"/>
    <w:rsid w:val="00806EE0"/>
    <w:rsid w:val="00807679"/>
    <w:rsid w:val="008101D2"/>
    <w:rsid w:val="00810C11"/>
    <w:rsid w:val="008111B0"/>
    <w:rsid w:val="00811ED3"/>
    <w:rsid w:val="008125CD"/>
    <w:rsid w:val="0081348A"/>
    <w:rsid w:val="00813504"/>
    <w:rsid w:val="00813F02"/>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3DD"/>
    <w:rsid w:val="008366AF"/>
    <w:rsid w:val="00836793"/>
    <w:rsid w:val="00836AFB"/>
    <w:rsid w:val="00836EAB"/>
    <w:rsid w:val="0083716D"/>
    <w:rsid w:val="008409BE"/>
    <w:rsid w:val="00840B58"/>
    <w:rsid w:val="00841280"/>
    <w:rsid w:val="0084152B"/>
    <w:rsid w:val="008415D0"/>
    <w:rsid w:val="00841639"/>
    <w:rsid w:val="00841E0B"/>
    <w:rsid w:val="00842535"/>
    <w:rsid w:val="00842F23"/>
    <w:rsid w:val="00843449"/>
    <w:rsid w:val="00843BC4"/>
    <w:rsid w:val="00843E6C"/>
    <w:rsid w:val="00843F7A"/>
    <w:rsid w:val="00844326"/>
    <w:rsid w:val="0084483F"/>
    <w:rsid w:val="00845303"/>
    <w:rsid w:val="00846F5C"/>
    <w:rsid w:val="0084737E"/>
    <w:rsid w:val="008477D7"/>
    <w:rsid w:val="00847B6B"/>
    <w:rsid w:val="00847DD7"/>
    <w:rsid w:val="008505BE"/>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65CD7"/>
    <w:rsid w:val="008700C1"/>
    <w:rsid w:val="008705DE"/>
    <w:rsid w:val="00871295"/>
    <w:rsid w:val="008717EB"/>
    <w:rsid w:val="0087249D"/>
    <w:rsid w:val="00873BCF"/>
    <w:rsid w:val="00874A6C"/>
    <w:rsid w:val="00876D8A"/>
    <w:rsid w:val="00877366"/>
    <w:rsid w:val="0087745C"/>
    <w:rsid w:val="00877FC5"/>
    <w:rsid w:val="0088034A"/>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694"/>
    <w:rsid w:val="008877F9"/>
    <w:rsid w:val="00887B15"/>
    <w:rsid w:val="00890549"/>
    <w:rsid w:val="00890882"/>
    <w:rsid w:val="00890A8B"/>
    <w:rsid w:val="008927A8"/>
    <w:rsid w:val="00893165"/>
    <w:rsid w:val="00893180"/>
    <w:rsid w:val="00893C06"/>
    <w:rsid w:val="00894A13"/>
    <w:rsid w:val="00894D34"/>
    <w:rsid w:val="00895AA2"/>
    <w:rsid w:val="00896174"/>
    <w:rsid w:val="008967AF"/>
    <w:rsid w:val="00896A1B"/>
    <w:rsid w:val="008A0425"/>
    <w:rsid w:val="008A0A11"/>
    <w:rsid w:val="008A0B2C"/>
    <w:rsid w:val="008A1966"/>
    <w:rsid w:val="008A230B"/>
    <w:rsid w:val="008A257A"/>
    <w:rsid w:val="008A2F81"/>
    <w:rsid w:val="008A3228"/>
    <w:rsid w:val="008A41E2"/>
    <w:rsid w:val="008A44DE"/>
    <w:rsid w:val="008A46C3"/>
    <w:rsid w:val="008A53F7"/>
    <w:rsid w:val="008A54C1"/>
    <w:rsid w:val="008A575E"/>
    <w:rsid w:val="008A6443"/>
    <w:rsid w:val="008A69BA"/>
    <w:rsid w:val="008A7AAC"/>
    <w:rsid w:val="008A7DFA"/>
    <w:rsid w:val="008B1A31"/>
    <w:rsid w:val="008B250F"/>
    <w:rsid w:val="008B3EAF"/>
    <w:rsid w:val="008B411B"/>
    <w:rsid w:val="008B4490"/>
    <w:rsid w:val="008C0AF6"/>
    <w:rsid w:val="008C0ED3"/>
    <w:rsid w:val="008C26E3"/>
    <w:rsid w:val="008C2BFB"/>
    <w:rsid w:val="008C41C5"/>
    <w:rsid w:val="008C4353"/>
    <w:rsid w:val="008C4614"/>
    <w:rsid w:val="008C596E"/>
    <w:rsid w:val="008C6600"/>
    <w:rsid w:val="008C6B51"/>
    <w:rsid w:val="008D1A4A"/>
    <w:rsid w:val="008D1B84"/>
    <w:rsid w:val="008D2B54"/>
    <w:rsid w:val="008D3FBB"/>
    <w:rsid w:val="008D4085"/>
    <w:rsid w:val="008D4225"/>
    <w:rsid w:val="008D4533"/>
    <w:rsid w:val="008D4B97"/>
    <w:rsid w:val="008D4BF1"/>
    <w:rsid w:val="008D4C63"/>
    <w:rsid w:val="008D5F00"/>
    <w:rsid w:val="008D71C9"/>
    <w:rsid w:val="008D76C2"/>
    <w:rsid w:val="008D776A"/>
    <w:rsid w:val="008E0A7E"/>
    <w:rsid w:val="008E197B"/>
    <w:rsid w:val="008E1C15"/>
    <w:rsid w:val="008E3219"/>
    <w:rsid w:val="008E425D"/>
    <w:rsid w:val="008E4BEE"/>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26F0"/>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AEB"/>
    <w:rsid w:val="00910B86"/>
    <w:rsid w:val="009110E3"/>
    <w:rsid w:val="00911634"/>
    <w:rsid w:val="00911678"/>
    <w:rsid w:val="0091237C"/>
    <w:rsid w:val="00912D99"/>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59A"/>
    <w:rsid w:val="00931636"/>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3B80"/>
    <w:rsid w:val="00954ABD"/>
    <w:rsid w:val="00954C4C"/>
    <w:rsid w:val="00955CAC"/>
    <w:rsid w:val="00955E10"/>
    <w:rsid w:val="009568DA"/>
    <w:rsid w:val="00956C80"/>
    <w:rsid w:val="00956E82"/>
    <w:rsid w:val="009604AE"/>
    <w:rsid w:val="009606DD"/>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11A"/>
    <w:rsid w:val="00995CA3"/>
    <w:rsid w:val="009966E7"/>
    <w:rsid w:val="00996D56"/>
    <w:rsid w:val="009A0B76"/>
    <w:rsid w:val="009A1A89"/>
    <w:rsid w:val="009A1A94"/>
    <w:rsid w:val="009A1B74"/>
    <w:rsid w:val="009A1C15"/>
    <w:rsid w:val="009A2078"/>
    <w:rsid w:val="009A353C"/>
    <w:rsid w:val="009A3AEB"/>
    <w:rsid w:val="009A4864"/>
    <w:rsid w:val="009B053C"/>
    <w:rsid w:val="009B0BF6"/>
    <w:rsid w:val="009B0CB9"/>
    <w:rsid w:val="009B17C2"/>
    <w:rsid w:val="009B1BF2"/>
    <w:rsid w:val="009B2695"/>
    <w:rsid w:val="009B29F8"/>
    <w:rsid w:val="009B4AA8"/>
    <w:rsid w:val="009B5EA5"/>
    <w:rsid w:val="009B638C"/>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16A"/>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411D"/>
    <w:rsid w:val="009E4454"/>
    <w:rsid w:val="009E48B1"/>
    <w:rsid w:val="009E50EE"/>
    <w:rsid w:val="009E50F2"/>
    <w:rsid w:val="009E5DF3"/>
    <w:rsid w:val="009E74F8"/>
    <w:rsid w:val="009F0BCE"/>
    <w:rsid w:val="009F164F"/>
    <w:rsid w:val="009F1817"/>
    <w:rsid w:val="009F1BD6"/>
    <w:rsid w:val="009F2418"/>
    <w:rsid w:val="009F3083"/>
    <w:rsid w:val="009F3C99"/>
    <w:rsid w:val="009F48F0"/>
    <w:rsid w:val="009F52B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0E6"/>
    <w:rsid w:val="00A206C9"/>
    <w:rsid w:val="00A20C68"/>
    <w:rsid w:val="00A21624"/>
    <w:rsid w:val="00A22060"/>
    <w:rsid w:val="00A23088"/>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2C"/>
    <w:rsid w:val="00A338FC"/>
    <w:rsid w:val="00A33A2C"/>
    <w:rsid w:val="00A34538"/>
    <w:rsid w:val="00A35156"/>
    <w:rsid w:val="00A36062"/>
    <w:rsid w:val="00A37529"/>
    <w:rsid w:val="00A40789"/>
    <w:rsid w:val="00A41ADB"/>
    <w:rsid w:val="00A41BFA"/>
    <w:rsid w:val="00A4289E"/>
    <w:rsid w:val="00A42A3B"/>
    <w:rsid w:val="00A43490"/>
    <w:rsid w:val="00A43FD5"/>
    <w:rsid w:val="00A44DA5"/>
    <w:rsid w:val="00A458F6"/>
    <w:rsid w:val="00A46384"/>
    <w:rsid w:val="00A46CED"/>
    <w:rsid w:val="00A470F2"/>
    <w:rsid w:val="00A47803"/>
    <w:rsid w:val="00A47CCC"/>
    <w:rsid w:val="00A47DA6"/>
    <w:rsid w:val="00A47E0A"/>
    <w:rsid w:val="00A47F59"/>
    <w:rsid w:val="00A47F6D"/>
    <w:rsid w:val="00A507B2"/>
    <w:rsid w:val="00A50AB4"/>
    <w:rsid w:val="00A50AD2"/>
    <w:rsid w:val="00A50F5C"/>
    <w:rsid w:val="00A515D5"/>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141B"/>
    <w:rsid w:val="00A72A3B"/>
    <w:rsid w:val="00A7461D"/>
    <w:rsid w:val="00A758E5"/>
    <w:rsid w:val="00A76C74"/>
    <w:rsid w:val="00A80248"/>
    <w:rsid w:val="00A80CF4"/>
    <w:rsid w:val="00A814D6"/>
    <w:rsid w:val="00A8268C"/>
    <w:rsid w:val="00A8275B"/>
    <w:rsid w:val="00A82E32"/>
    <w:rsid w:val="00A84361"/>
    <w:rsid w:val="00A84904"/>
    <w:rsid w:val="00A84915"/>
    <w:rsid w:val="00A852F0"/>
    <w:rsid w:val="00A853DD"/>
    <w:rsid w:val="00A85C05"/>
    <w:rsid w:val="00A87177"/>
    <w:rsid w:val="00A8746A"/>
    <w:rsid w:val="00A87B23"/>
    <w:rsid w:val="00A90ACB"/>
    <w:rsid w:val="00A92291"/>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4E7C"/>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CA6"/>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0F17"/>
    <w:rsid w:val="00B21D6C"/>
    <w:rsid w:val="00B2274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2ABB"/>
    <w:rsid w:val="00B531D7"/>
    <w:rsid w:val="00B53CF2"/>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5134"/>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866C7"/>
    <w:rsid w:val="00B86F15"/>
    <w:rsid w:val="00B90205"/>
    <w:rsid w:val="00B90B22"/>
    <w:rsid w:val="00B90B34"/>
    <w:rsid w:val="00B91CF1"/>
    <w:rsid w:val="00B91EAD"/>
    <w:rsid w:val="00B92CB6"/>
    <w:rsid w:val="00B93287"/>
    <w:rsid w:val="00B949BB"/>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1BC"/>
    <w:rsid w:val="00BB325C"/>
    <w:rsid w:val="00BB32EA"/>
    <w:rsid w:val="00BB37BD"/>
    <w:rsid w:val="00BB5B30"/>
    <w:rsid w:val="00BB5C7A"/>
    <w:rsid w:val="00BB761E"/>
    <w:rsid w:val="00BB7738"/>
    <w:rsid w:val="00BB7CF2"/>
    <w:rsid w:val="00BC0980"/>
    <w:rsid w:val="00BC1901"/>
    <w:rsid w:val="00BC20AF"/>
    <w:rsid w:val="00BC2F8F"/>
    <w:rsid w:val="00BC3610"/>
    <w:rsid w:val="00BC3A7B"/>
    <w:rsid w:val="00BC3E50"/>
    <w:rsid w:val="00BC46FA"/>
    <w:rsid w:val="00BC4CFC"/>
    <w:rsid w:val="00BC5E6E"/>
    <w:rsid w:val="00BC5F59"/>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112"/>
    <w:rsid w:val="00BF7FBC"/>
    <w:rsid w:val="00C00727"/>
    <w:rsid w:val="00C01713"/>
    <w:rsid w:val="00C01888"/>
    <w:rsid w:val="00C0300E"/>
    <w:rsid w:val="00C03968"/>
    <w:rsid w:val="00C03C2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3DB"/>
    <w:rsid w:val="00C248E6"/>
    <w:rsid w:val="00C24CB7"/>
    <w:rsid w:val="00C25356"/>
    <w:rsid w:val="00C260AE"/>
    <w:rsid w:val="00C26FF5"/>
    <w:rsid w:val="00C2785E"/>
    <w:rsid w:val="00C301D9"/>
    <w:rsid w:val="00C3050E"/>
    <w:rsid w:val="00C30822"/>
    <w:rsid w:val="00C31E79"/>
    <w:rsid w:val="00C323CE"/>
    <w:rsid w:val="00C32E42"/>
    <w:rsid w:val="00C34FF4"/>
    <w:rsid w:val="00C355B4"/>
    <w:rsid w:val="00C358C6"/>
    <w:rsid w:val="00C35C94"/>
    <w:rsid w:val="00C35CCA"/>
    <w:rsid w:val="00C36B79"/>
    <w:rsid w:val="00C373F7"/>
    <w:rsid w:val="00C3789F"/>
    <w:rsid w:val="00C37E77"/>
    <w:rsid w:val="00C40C20"/>
    <w:rsid w:val="00C40CE1"/>
    <w:rsid w:val="00C41A44"/>
    <w:rsid w:val="00C41D28"/>
    <w:rsid w:val="00C420C0"/>
    <w:rsid w:val="00C4215E"/>
    <w:rsid w:val="00C421D2"/>
    <w:rsid w:val="00C4266A"/>
    <w:rsid w:val="00C4281E"/>
    <w:rsid w:val="00C42841"/>
    <w:rsid w:val="00C429CB"/>
    <w:rsid w:val="00C43FAA"/>
    <w:rsid w:val="00C44120"/>
    <w:rsid w:val="00C445C0"/>
    <w:rsid w:val="00C4463B"/>
    <w:rsid w:val="00C44882"/>
    <w:rsid w:val="00C4553B"/>
    <w:rsid w:val="00C46C7E"/>
    <w:rsid w:val="00C46DAD"/>
    <w:rsid w:val="00C474F7"/>
    <w:rsid w:val="00C5029B"/>
    <w:rsid w:val="00C50FFB"/>
    <w:rsid w:val="00C51383"/>
    <w:rsid w:val="00C52AA0"/>
    <w:rsid w:val="00C52CA4"/>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1A"/>
    <w:rsid w:val="00C6585A"/>
    <w:rsid w:val="00C67675"/>
    <w:rsid w:val="00C70C9A"/>
    <w:rsid w:val="00C7127A"/>
    <w:rsid w:val="00C713D7"/>
    <w:rsid w:val="00C716DD"/>
    <w:rsid w:val="00C71798"/>
    <w:rsid w:val="00C74D7F"/>
    <w:rsid w:val="00C75515"/>
    <w:rsid w:val="00C76A33"/>
    <w:rsid w:val="00C77526"/>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7D9"/>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2B5"/>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108"/>
    <w:rsid w:val="00CE026A"/>
    <w:rsid w:val="00CE041B"/>
    <w:rsid w:val="00CE170E"/>
    <w:rsid w:val="00CE2F86"/>
    <w:rsid w:val="00CE33FA"/>
    <w:rsid w:val="00CE3652"/>
    <w:rsid w:val="00CE50B8"/>
    <w:rsid w:val="00CE51A7"/>
    <w:rsid w:val="00CE72E3"/>
    <w:rsid w:val="00CE79BA"/>
    <w:rsid w:val="00CE7D43"/>
    <w:rsid w:val="00CF2195"/>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0EB1"/>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26EC"/>
    <w:rsid w:val="00D1440B"/>
    <w:rsid w:val="00D14A78"/>
    <w:rsid w:val="00D14BD4"/>
    <w:rsid w:val="00D150E7"/>
    <w:rsid w:val="00D1587C"/>
    <w:rsid w:val="00D15D40"/>
    <w:rsid w:val="00D16345"/>
    <w:rsid w:val="00D164E5"/>
    <w:rsid w:val="00D16E21"/>
    <w:rsid w:val="00D16E36"/>
    <w:rsid w:val="00D16E39"/>
    <w:rsid w:val="00D20355"/>
    <w:rsid w:val="00D20663"/>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2F5"/>
    <w:rsid w:val="00D44846"/>
    <w:rsid w:val="00D454B6"/>
    <w:rsid w:val="00D478EC"/>
    <w:rsid w:val="00D502F1"/>
    <w:rsid w:val="00D50796"/>
    <w:rsid w:val="00D5088B"/>
    <w:rsid w:val="00D51A58"/>
    <w:rsid w:val="00D521EA"/>
    <w:rsid w:val="00D52852"/>
    <w:rsid w:val="00D52B1B"/>
    <w:rsid w:val="00D52CF7"/>
    <w:rsid w:val="00D53EA2"/>
    <w:rsid w:val="00D542C3"/>
    <w:rsid w:val="00D544C5"/>
    <w:rsid w:val="00D54E0C"/>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0EE8"/>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530"/>
    <w:rsid w:val="00D97A59"/>
    <w:rsid w:val="00DA01E8"/>
    <w:rsid w:val="00DA032C"/>
    <w:rsid w:val="00DA0AC7"/>
    <w:rsid w:val="00DA0B4C"/>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003D"/>
    <w:rsid w:val="00DC2BC5"/>
    <w:rsid w:val="00DC32BD"/>
    <w:rsid w:val="00DC33DC"/>
    <w:rsid w:val="00DC3D67"/>
    <w:rsid w:val="00DC40BD"/>
    <w:rsid w:val="00DC443C"/>
    <w:rsid w:val="00DC4962"/>
    <w:rsid w:val="00DC4BD6"/>
    <w:rsid w:val="00DC578F"/>
    <w:rsid w:val="00DC5D0C"/>
    <w:rsid w:val="00DC5E75"/>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8C4"/>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45CA"/>
    <w:rsid w:val="00DF5090"/>
    <w:rsid w:val="00DF590F"/>
    <w:rsid w:val="00DF6ACD"/>
    <w:rsid w:val="00DF6D71"/>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12AD"/>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1B2F"/>
    <w:rsid w:val="00E52D01"/>
    <w:rsid w:val="00E53079"/>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6F17"/>
    <w:rsid w:val="00E6724C"/>
    <w:rsid w:val="00E67E83"/>
    <w:rsid w:val="00E7057D"/>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6113"/>
    <w:rsid w:val="00E97548"/>
    <w:rsid w:val="00E9754A"/>
    <w:rsid w:val="00E9760B"/>
    <w:rsid w:val="00E97CC7"/>
    <w:rsid w:val="00E97E46"/>
    <w:rsid w:val="00EA04EF"/>
    <w:rsid w:val="00EA1131"/>
    <w:rsid w:val="00EA3483"/>
    <w:rsid w:val="00EA6BEE"/>
    <w:rsid w:val="00EA704D"/>
    <w:rsid w:val="00EA79EB"/>
    <w:rsid w:val="00EB0B70"/>
    <w:rsid w:val="00EB0DF1"/>
    <w:rsid w:val="00EB3AB3"/>
    <w:rsid w:val="00EB3CB7"/>
    <w:rsid w:val="00EB5145"/>
    <w:rsid w:val="00EB7836"/>
    <w:rsid w:val="00EB7E20"/>
    <w:rsid w:val="00EC2A8B"/>
    <w:rsid w:val="00EC3B81"/>
    <w:rsid w:val="00EC443D"/>
    <w:rsid w:val="00EC4988"/>
    <w:rsid w:val="00EC4A47"/>
    <w:rsid w:val="00EC58BE"/>
    <w:rsid w:val="00EC59FD"/>
    <w:rsid w:val="00EC5E1B"/>
    <w:rsid w:val="00EC5F41"/>
    <w:rsid w:val="00EC60CB"/>
    <w:rsid w:val="00EC7091"/>
    <w:rsid w:val="00EC7470"/>
    <w:rsid w:val="00EC773A"/>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18BD"/>
    <w:rsid w:val="00F02183"/>
    <w:rsid w:val="00F0277E"/>
    <w:rsid w:val="00F038E5"/>
    <w:rsid w:val="00F03B2B"/>
    <w:rsid w:val="00F04CC2"/>
    <w:rsid w:val="00F058FE"/>
    <w:rsid w:val="00F05D63"/>
    <w:rsid w:val="00F05F75"/>
    <w:rsid w:val="00F06A13"/>
    <w:rsid w:val="00F06B15"/>
    <w:rsid w:val="00F06C51"/>
    <w:rsid w:val="00F0755F"/>
    <w:rsid w:val="00F07DD0"/>
    <w:rsid w:val="00F109B1"/>
    <w:rsid w:val="00F10F59"/>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57F1"/>
    <w:rsid w:val="00F368C1"/>
    <w:rsid w:val="00F36B58"/>
    <w:rsid w:val="00F36E11"/>
    <w:rsid w:val="00F37460"/>
    <w:rsid w:val="00F379A3"/>
    <w:rsid w:val="00F37C6E"/>
    <w:rsid w:val="00F41BA3"/>
    <w:rsid w:val="00F41D25"/>
    <w:rsid w:val="00F421CA"/>
    <w:rsid w:val="00F42730"/>
    <w:rsid w:val="00F43565"/>
    <w:rsid w:val="00F43D82"/>
    <w:rsid w:val="00F44434"/>
    <w:rsid w:val="00F449FE"/>
    <w:rsid w:val="00F44CA3"/>
    <w:rsid w:val="00F452B6"/>
    <w:rsid w:val="00F45AD2"/>
    <w:rsid w:val="00F462E8"/>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3AF"/>
    <w:rsid w:val="00F608B9"/>
    <w:rsid w:val="00F60DB7"/>
    <w:rsid w:val="00F60E91"/>
    <w:rsid w:val="00F61159"/>
    <w:rsid w:val="00F6156F"/>
    <w:rsid w:val="00F62302"/>
    <w:rsid w:val="00F62DA6"/>
    <w:rsid w:val="00F62E77"/>
    <w:rsid w:val="00F701A7"/>
    <w:rsid w:val="00F71570"/>
    <w:rsid w:val="00F7173E"/>
    <w:rsid w:val="00F71883"/>
    <w:rsid w:val="00F72497"/>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89E"/>
    <w:rsid w:val="00F908F9"/>
    <w:rsid w:val="00F90918"/>
    <w:rsid w:val="00F91CA6"/>
    <w:rsid w:val="00F92E29"/>
    <w:rsid w:val="00F93448"/>
    <w:rsid w:val="00F97063"/>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34BD"/>
    <w:rsid w:val="00FB42FF"/>
    <w:rsid w:val="00FB47F3"/>
    <w:rsid w:val="00FB516F"/>
    <w:rsid w:val="00FB58AF"/>
    <w:rsid w:val="00FB5BF9"/>
    <w:rsid w:val="00FC0B6A"/>
    <w:rsid w:val="00FC3D45"/>
    <w:rsid w:val="00FC4647"/>
    <w:rsid w:val="00FC4EAA"/>
    <w:rsid w:val="00FC58F6"/>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1E52"/>
    <w:rsid w:val="00FE24F4"/>
    <w:rsid w:val="00FE2A33"/>
    <w:rsid w:val="00FE37C2"/>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08"/>
    <w:pPr>
      <w:spacing w:after="0" w:line="240" w:lineRule="auto"/>
      <w:jc w:val="left"/>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050E2C"/>
    <w:pPr>
      <w:keepNext/>
      <w:numPr>
        <w:numId w:val="17"/>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outlineLvl w:val="3"/>
    </w:pPr>
    <w:rPr>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outlineLvl w:val="4"/>
    </w:pPr>
    <w:rPr>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outlineLvl w:val="5"/>
    </w:pPr>
    <w:rPr>
      <w:b/>
      <w:bCs/>
      <w:sz w:val="22"/>
      <w:szCs w:val="22"/>
      <w:lang w:val="es-ES" w:eastAsia="es-ES"/>
    </w:rPr>
  </w:style>
  <w:style w:type="paragraph" w:styleId="Ttulo7">
    <w:name w:val="heading 7"/>
    <w:basedOn w:val="Normal"/>
    <w:next w:val="Normal"/>
    <w:link w:val="Ttulo7Car"/>
    <w:qFormat/>
    <w:rsid w:val="00050E2C"/>
    <w:pPr>
      <w:numPr>
        <w:ilvl w:val="6"/>
        <w:numId w:val="17"/>
      </w:numPr>
      <w:spacing w:before="240" w:after="60"/>
      <w:outlineLvl w:val="6"/>
    </w:pPr>
    <w:rPr>
      <w:lang w:val="es-ES" w:eastAsia="es-ES"/>
    </w:rPr>
  </w:style>
  <w:style w:type="paragraph" w:styleId="Ttulo8">
    <w:name w:val="heading 8"/>
    <w:basedOn w:val="Normal"/>
    <w:next w:val="Normal"/>
    <w:link w:val="Ttulo8Car"/>
    <w:qFormat/>
    <w:rsid w:val="00050E2C"/>
    <w:pPr>
      <w:numPr>
        <w:ilvl w:val="7"/>
        <w:numId w:val="17"/>
      </w:numPr>
      <w:spacing w:before="240" w:after="60"/>
      <w:outlineLvl w:val="7"/>
    </w:pPr>
    <w:rPr>
      <w:i/>
      <w:iCs/>
      <w:lang w:val="es-ES" w:eastAsia="es-ES"/>
    </w:rPr>
  </w:style>
  <w:style w:type="paragraph" w:styleId="Ttulo9">
    <w:name w:val="heading 9"/>
    <w:basedOn w:val="Normal"/>
    <w:next w:val="Normal"/>
    <w:link w:val="Ttulo9Car"/>
    <w:qFormat/>
    <w:rsid w:val="00050E2C"/>
    <w:pPr>
      <w:numPr>
        <w:ilvl w:val="8"/>
        <w:numId w:val="17"/>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20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after="20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line="276" w:lineRule="auto"/>
      <w:jc w:val="both"/>
    </w:pPr>
    <w:rPr>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jc w:val="both"/>
      <w:outlineLvl w:val="1"/>
    </w:pPr>
    <w:rPr>
      <w:rFonts w:ascii="Arial" w:hAnsi="Arial" w:cs="Arial"/>
      <w:b/>
      <w:color w:val="000000"/>
      <w:sz w:val="20"/>
      <w:szCs w:val="20"/>
      <w:lang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line="276" w:lineRule="auto"/>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spacing w:after="200" w:line="276" w:lineRule="auto"/>
      <w:jc w:val="both"/>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jc w:val="right"/>
      <w:textAlignment w:val="baseline"/>
    </w:pPr>
    <w:rPr>
      <w:rFonts w:ascii="Verdana" w:hAnsi="Verdana"/>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pPr>
    <w:rPr>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jc w:val="both"/>
    </w:pPr>
    <w:rPr>
      <w:rFonts w:asciiTheme="minorHAnsi" w:eastAsiaTheme="minorHAnsi" w:hAnsiTheme="minorHAnsi" w:cstheme="minorBidi"/>
      <w:szCs w:val="22"/>
      <w:lang w:val="es-MX" w:eastAsia="en-US"/>
    </w:r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 w:type="character" w:styleId="Mencinsinresolver">
    <w:name w:val="Unresolved Mention"/>
    <w:basedOn w:val="Fuentedeprrafopredeter"/>
    <w:uiPriority w:val="99"/>
    <w:semiHidden/>
    <w:unhideWhenUsed/>
    <w:rsid w:val="0058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8235">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8754">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3.xml><?xml version="1.0" encoding="utf-8"?>
<ds:datastoreItem xmlns:ds="http://schemas.openxmlformats.org/officeDocument/2006/customXml" ds:itemID="{8CAC2F8E-C08E-4BA5-AF53-BCA763467E31}"/>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133</TotalTime>
  <Pages>23</Pages>
  <Words>9071</Words>
  <Characters>49896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Luisa Fernanda Pascuaza Cabrera</cp:lastModifiedBy>
  <cp:revision>6</cp:revision>
  <dcterms:created xsi:type="dcterms:W3CDTF">2022-06-08T20:07:00Z</dcterms:created>
  <dcterms:modified xsi:type="dcterms:W3CDTF">2022-06-22T17:24:00Z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