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D8D3" w14:textId="77777777" w:rsidR="00B53450" w:rsidRPr="00994B9B" w:rsidRDefault="00B53450" w:rsidP="00994B9B">
      <w:pPr>
        <w:spacing w:after="0" w:line="240" w:lineRule="auto"/>
        <w:rPr>
          <w:rFonts w:ascii="Arial" w:hAnsi="Arial" w:cs="Arial"/>
          <w:b/>
          <w:bCs/>
          <w:sz w:val="20"/>
          <w:szCs w:val="20"/>
        </w:rPr>
      </w:pPr>
      <w:r w:rsidRPr="00994B9B">
        <w:rPr>
          <w:rFonts w:ascii="Arial" w:hAnsi="Arial" w:cs="Arial"/>
          <w:b/>
          <w:bCs/>
          <w:sz w:val="20"/>
          <w:szCs w:val="20"/>
        </w:rPr>
        <w:t>LEY DE GARANTÍAS ELECTORALES – Objeto y alcance</w:t>
      </w:r>
    </w:p>
    <w:p w14:paraId="2363DBBD" w14:textId="77777777" w:rsidR="00B53450" w:rsidRPr="00994B9B" w:rsidRDefault="00B53450" w:rsidP="00994B9B">
      <w:pPr>
        <w:spacing w:after="0" w:line="240" w:lineRule="auto"/>
        <w:rPr>
          <w:rFonts w:ascii="Arial" w:hAnsi="Arial" w:cs="Arial"/>
          <w:sz w:val="20"/>
          <w:szCs w:val="20"/>
        </w:rPr>
      </w:pPr>
    </w:p>
    <w:p w14:paraId="48F1A745" w14:textId="2EF3FE92" w:rsidR="00B53450" w:rsidRPr="00994B9B" w:rsidRDefault="00B57643" w:rsidP="00994B9B">
      <w:pPr>
        <w:spacing w:after="0" w:line="240" w:lineRule="auto"/>
        <w:rPr>
          <w:rFonts w:ascii="Arial" w:eastAsiaTheme="minorHAnsi" w:hAnsi="Arial" w:cs="Arial"/>
          <w:bCs/>
          <w:sz w:val="20"/>
          <w:szCs w:val="20"/>
          <w:lang w:eastAsia="es-CO"/>
        </w:rPr>
      </w:pPr>
      <w:r w:rsidRPr="00994B9B">
        <w:rPr>
          <w:rFonts w:ascii="Arial" w:eastAsiaTheme="minorHAnsi" w:hAnsi="Arial" w:cs="Arial"/>
          <w:bCs/>
          <w:sz w:val="20"/>
          <w:szCs w:val="20"/>
          <w:lang w:eastAsia="es-CO"/>
        </w:rPr>
        <w:t>[L]</w:t>
      </w:r>
      <w:r w:rsidR="00B53450" w:rsidRPr="00994B9B">
        <w:rPr>
          <w:rFonts w:ascii="Arial" w:eastAsiaTheme="minorHAnsi" w:hAnsi="Arial" w:cs="Arial"/>
          <w:bCs/>
          <w:sz w:val="20"/>
          <w:szCs w:val="20"/>
          <w:lang w:eastAsia="es-CO"/>
        </w:rPr>
        <w:t>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79AAD216" w14:textId="77777777" w:rsidR="00B53450" w:rsidRPr="00994B9B" w:rsidRDefault="00B53450" w:rsidP="00994B9B">
      <w:pPr>
        <w:spacing w:after="0" w:line="240" w:lineRule="auto"/>
        <w:rPr>
          <w:rFonts w:ascii="Arial" w:eastAsiaTheme="minorHAnsi" w:hAnsi="Arial" w:cs="Arial"/>
          <w:bCs/>
          <w:sz w:val="20"/>
          <w:szCs w:val="20"/>
          <w:highlight w:val="yellow"/>
          <w:lang w:eastAsia="es-CO"/>
        </w:rPr>
      </w:pPr>
    </w:p>
    <w:p w14:paraId="2D654E6E" w14:textId="7CE97475" w:rsidR="00B53450" w:rsidRDefault="00B53450" w:rsidP="009A7F14">
      <w:pPr>
        <w:spacing w:after="0" w:line="240" w:lineRule="auto"/>
        <w:rPr>
          <w:rFonts w:ascii="Arial" w:eastAsia="Arial" w:hAnsi="Arial" w:cs="Arial"/>
          <w:b/>
          <w:sz w:val="20"/>
          <w:szCs w:val="20"/>
        </w:rPr>
      </w:pPr>
      <w:r w:rsidRPr="00994B9B">
        <w:rPr>
          <w:rFonts w:ascii="Arial" w:eastAsia="Arial" w:hAnsi="Arial" w:cs="Arial"/>
          <w:b/>
          <w:sz w:val="20"/>
          <w:szCs w:val="20"/>
        </w:rPr>
        <w:t xml:space="preserve">LEY DE GARANTÍAS ELECTORALES ‒ Tipos de restricciones según el tipo de elecciones </w:t>
      </w:r>
    </w:p>
    <w:p w14:paraId="2325ACA2" w14:textId="77777777" w:rsidR="00944EEC" w:rsidRPr="00994B9B" w:rsidRDefault="00944EEC" w:rsidP="00994B9B">
      <w:pPr>
        <w:spacing w:after="0" w:line="240" w:lineRule="auto"/>
        <w:rPr>
          <w:rFonts w:ascii="Arial" w:eastAsia="Arial" w:hAnsi="Arial" w:cs="Arial"/>
          <w:b/>
          <w:sz w:val="20"/>
          <w:szCs w:val="20"/>
        </w:rPr>
      </w:pPr>
    </w:p>
    <w:p w14:paraId="6E4463A7" w14:textId="03CE1CE9" w:rsidR="00B53450" w:rsidRPr="00994B9B" w:rsidRDefault="00B57643" w:rsidP="00994B9B">
      <w:pPr>
        <w:spacing w:after="0" w:line="240" w:lineRule="auto"/>
        <w:rPr>
          <w:rFonts w:ascii="Arial" w:eastAsia="Arial" w:hAnsi="Arial" w:cs="Arial"/>
          <w:sz w:val="20"/>
          <w:szCs w:val="20"/>
          <w:lang w:eastAsia="es-ES" w:bidi="es-ES"/>
        </w:rPr>
      </w:pPr>
      <w:r w:rsidRPr="00994B9B">
        <w:rPr>
          <w:rFonts w:ascii="Arial" w:eastAsia="Arial" w:hAnsi="Arial" w:cs="Arial"/>
          <w:sz w:val="20"/>
          <w:szCs w:val="20"/>
          <w:lang w:eastAsia="es-ES" w:bidi="es-ES"/>
        </w:rPr>
        <w:t>[L]a</w:t>
      </w:r>
      <w:r w:rsidR="00B53450" w:rsidRPr="00994B9B">
        <w:rPr>
          <w:rFonts w:ascii="Arial" w:eastAsia="Arial" w:hAnsi="Arial" w:cs="Arial"/>
          <w:sz w:val="20"/>
          <w:szCs w:val="20"/>
          <w:lang w:eastAsia="es-ES" w:bidi="es-ES"/>
        </w:rPr>
        <w:t xml:space="preserve"> Ley 996 de 2005 establece dos (2) tipos de restricciones en materia de contratación, las cuales coinciden parcialmente. </w:t>
      </w:r>
      <w:r w:rsidR="00B53450" w:rsidRPr="00994B9B">
        <w:rPr>
          <w:rFonts w:ascii="Arial" w:eastAsia="Arial" w:hAnsi="Arial" w:cs="Arial"/>
          <w:i/>
          <w:iCs/>
          <w:sz w:val="20"/>
          <w:szCs w:val="20"/>
          <w:lang w:eastAsia="es-ES" w:bidi="es-ES"/>
        </w:rPr>
        <w:t>En primer lugar</w:t>
      </w:r>
      <w:r w:rsidR="00B53450" w:rsidRPr="00994B9B">
        <w:rPr>
          <w:rFonts w:ascii="Arial" w:eastAsia="Arial" w:hAnsi="Arial" w:cs="Arial"/>
          <w:sz w:val="20"/>
          <w:szCs w:val="20"/>
          <w:lang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B53450" w:rsidRPr="00994B9B">
        <w:rPr>
          <w:rFonts w:ascii="Arial" w:eastAsia="Arial" w:hAnsi="Arial" w:cs="Arial"/>
          <w:i/>
          <w:iCs/>
          <w:sz w:val="20"/>
          <w:szCs w:val="20"/>
          <w:lang w:eastAsia="es-ES" w:bidi="es-ES"/>
        </w:rPr>
        <w:t>En segundo lugar</w:t>
      </w:r>
      <w:r w:rsidR="00B53450" w:rsidRPr="00994B9B">
        <w:rPr>
          <w:rFonts w:ascii="Arial" w:eastAsia="Arial" w:hAnsi="Arial" w:cs="Arial"/>
          <w:sz w:val="20"/>
          <w:szCs w:val="20"/>
          <w:lang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 </w:t>
      </w:r>
    </w:p>
    <w:p w14:paraId="2BF7F464" w14:textId="77777777" w:rsidR="00B53450" w:rsidRPr="00994B9B" w:rsidRDefault="00B53450" w:rsidP="00994B9B">
      <w:pPr>
        <w:spacing w:after="0" w:line="240" w:lineRule="auto"/>
        <w:rPr>
          <w:rFonts w:ascii="Arial" w:eastAsia="Arial" w:hAnsi="Arial" w:cs="Arial"/>
          <w:sz w:val="20"/>
          <w:szCs w:val="20"/>
          <w:lang w:eastAsia="es-ES" w:bidi="es-ES"/>
        </w:rPr>
      </w:pPr>
    </w:p>
    <w:p w14:paraId="0AB9850A" w14:textId="36875824" w:rsidR="00B53450" w:rsidRPr="00994B9B" w:rsidRDefault="00B53450" w:rsidP="00994B9B">
      <w:pPr>
        <w:shd w:val="clear" w:color="auto" w:fill="FFFFFF"/>
        <w:spacing w:after="0" w:line="240" w:lineRule="auto"/>
        <w:rPr>
          <w:rFonts w:ascii="Arial" w:eastAsia="Arial" w:hAnsi="Arial" w:cs="Arial"/>
          <w:sz w:val="20"/>
          <w:szCs w:val="20"/>
        </w:rPr>
      </w:pPr>
      <w:r w:rsidRPr="00994B9B">
        <w:rPr>
          <w:rFonts w:ascii="Arial" w:eastAsia="Arial" w:hAnsi="Arial" w:cs="Arial"/>
          <w:b/>
          <w:sz w:val="20"/>
          <w:szCs w:val="20"/>
        </w:rPr>
        <w:t>LEY DE GARANTÍAS ELECTORALES ‒ Excepciones al artículo 33</w:t>
      </w:r>
    </w:p>
    <w:p w14:paraId="014D1E0C" w14:textId="77777777" w:rsidR="00B53450" w:rsidRPr="00994B9B" w:rsidRDefault="00B53450" w:rsidP="00994B9B">
      <w:pPr>
        <w:shd w:val="clear" w:color="auto" w:fill="FFFFFF"/>
        <w:spacing w:after="0" w:line="240" w:lineRule="auto"/>
        <w:rPr>
          <w:rFonts w:ascii="Arial" w:eastAsia="Arial" w:hAnsi="Arial" w:cs="Arial"/>
          <w:sz w:val="20"/>
          <w:szCs w:val="20"/>
        </w:rPr>
      </w:pPr>
    </w:p>
    <w:p w14:paraId="0A31956C" w14:textId="380AF4CD" w:rsidR="00B53450" w:rsidRPr="00994B9B" w:rsidRDefault="00B57643" w:rsidP="00994B9B">
      <w:pPr>
        <w:spacing w:after="0" w:line="240" w:lineRule="auto"/>
        <w:rPr>
          <w:rFonts w:ascii="Arial" w:eastAsia="Times New Roman" w:hAnsi="Arial" w:cs="Arial"/>
          <w:bCs/>
          <w:color w:val="000000"/>
          <w:sz w:val="20"/>
          <w:szCs w:val="20"/>
          <w:lang w:eastAsia="es-CO"/>
        </w:rPr>
      </w:pPr>
      <w:r w:rsidRPr="00994B9B">
        <w:rPr>
          <w:rFonts w:ascii="Arial" w:eastAsia="Times New Roman" w:hAnsi="Arial" w:cs="Arial"/>
          <w:bCs/>
          <w:color w:val="000000"/>
          <w:sz w:val="20"/>
          <w:szCs w:val="20"/>
          <w:lang w:eastAsia="es-CO"/>
        </w:rPr>
        <w:t>[E]</w:t>
      </w:r>
      <w:r w:rsidR="00B53450" w:rsidRPr="00994B9B">
        <w:rPr>
          <w:rFonts w:ascii="Arial" w:eastAsia="Times New Roman" w:hAnsi="Arial" w:cs="Arial"/>
          <w:bCs/>
          <w:color w:val="000000"/>
          <w:sz w:val="20"/>
          <w:szCs w:val="20"/>
          <w:lang w:eastAsia="es-CO"/>
        </w:rPr>
        <w:t xml:space="preserve">l artículo 33 de la Ley 996 de 2005, además de prescribir la prohibición, establece las excepciones a la misma, señalando los siguientes contratos y circunstancias excepcionales:  «[…] Queda exceptuado lo referente a la defensa y seguridad del Estado, los contratos de crédito público, </w:t>
      </w:r>
      <w:r w:rsidR="00B53450" w:rsidRPr="00994B9B">
        <w:rPr>
          <w:rFonts w:ascii="Arial" w:eastAsia="Times New Roman" w:hAnsi="Arial" w:cs="Arial"/>
          <w:bCs/>
          <w:iCs/>
          <w:color w:val="000000"/>
          <w:sz w:val="20"/>
          <w:szCs w:val="20"/>
          <w:lang w:eastAsia="es-CO"/>
        </w:rPr>
        <w:t>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B53450" w:rsidRPr="00994B9B">
        <w:rPr>
          <w:rFonts w:ascii="Arial" w:eastAsia="Times New Roman" w:hAnsi="Arial" w:cs="Arial"/>
          <w:bCs/>
          <w:color w:val="000000"/>
          <w:sz w:val="20"/>
          <w:szCs w:val="20"/>
          <w:lang w:eastAsia="es-CO"/>
        </w:rPr>
        <w:t>».</w:t>
      </w:r>
    </w:p>
    <w:p w14:paraId="2B3DF9F9" w14:textId="77777777" w:rsidR="00B53450" w:rsidRPr="00994B9B" w:rsidRDefault="00B53450" w:rsidP="00994B9B">
      <w:pPr>
        <w:spacing w:after="0" w:line="240" w:lineRule="auto"/>
        <w:rPr>
          <w:rFonts w:ascii="Arial" w:eastAsia="Times New Roman" w:hAnsi="Arial" w:cs="Arial"/>
          <w:bCs/>
          <w:color w:val="000000"/>
          <w:sz w:val="20"/>
          <w:szCs w:val="20"/>
          <w:lang w:eastAsia="es-CO"/>
        </w:rPr>
      </w:pPr>
    </w:p>
    <w:p w14:paraId="03AB7F9B" w14:textId="77777777" w:rsidR="00B53450" w:rsidRPr="00994B9B" w:rsidRDefault="00B53450" w:rsidP="00994B9B">
      <w:pPr>
        <w:tabs>
          <w:tab w:val="left" w:pos="426"/>
        </w:tabs>
        <w:spacing w:after="0" w:line="240" w:lineRule="auto"/>
        <w:rPr>
          <w:rFonts w:ascii="Arial" w:eastAsia="Arial" w:hAnsi="Arial" w:cs="Arial"/>
          <w:b/>
          <w:sz w:val="20"/>
          <w:szCs w:val="20"/>
        </w:rPr>
      </w:pPr>
      <w:r w:rsidRPr="00994B9B">
        <w:rPr>
          <w:rFonts w:ascii="Arial" w:eastAsia="Arial" w:hAnsi="Arial" w:cs="Arial"/>
          <w:b/>
          <w:sz w:val="20"/>
          <w:szCs w:val="20"/>
        </w:rPr>
        <w:t>LEY DE GARANTÍAS ELECTORALES ‒ Prohibición comicios cargos de elección popular – Convenios y contratos interadministrativos</w:t>
      </w:r>
    </w:p>
    <w:p w14:paraId="654B0EFC" w14:textId="77777777" w:rsidR="00B53450" w:rsidRPr="00994B9B" w:rsidRDefault="00B53450" w:rsidP="00994B9B">
      <w:pPr>
        <w:tabs>
          <w:tab w:val="left" w:pos="426"/>
        </w:tabs>
        <w:spacing w:after="0" w:line="240" w:lineRule="auto"/>
        <w:rPr>
          <w:rFonts w:ascii="Arial" w:eastAsia="Arial" w:hAnsi="Arial" w:cs="Arial"/>
          <w:sz w:val="20"/>
          <w:szCs w:val="20"/>
        </w:rPr>
      </w:pPr>
    </w:p>
    <w:p w14:paraId="0B8AC3CC" w14:textId="77777777" w:rsidR="00B53450" w:rsidRPr="00994B9B" w:rsidRDefault="00B53450" w:rsidP="00994B9B">
      <w:pPr>
        <w:tabs>
          <w:tab w:val="left" w:pos="426"/>
        </w:tabs>
        <w:spacing w:after="0" w:line="240" w:lineRule="auto"/>
        <w:rPr>
          <w:rFonts w:ascii="Arial" w:eastAsia="Arial" w:hAnsi="Arial" w:cs="Arial"/>
          <w:sz w:val="20"/>
          <w:szCs w:val="20"/>
        </w:rPr>
      </w:pPr>
      <w:r w:rsidRPr="00994B9B">
        <w:rPr>
          <w:rFonts w:ascii="Arial" w:eastAsia="Arial"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684512A8" w14:textId="77777777" w:rsidR="00B53450" w:rsidRPr="00994B9B" w:rsidRDefault="00B53450" w:rsidP="00994B9B">
      <w:pPr>
        <w:spacing w:after="0" w:line="240" w:lineRule="auto"/>
        <w:rPr>
          <w:rFonts w:ascii="Arial" w:eastAsia="Arial" w:hAnsi="Arial" w:cs="Arial"/>
          <w:b/>
          <w:color w:val="000000"/>
          <w:sz w:val="20"/>
          <w:szCs w:val="20"/>
        </w:rPr>
      </w:pPr>
    </w:p>
    <w:p w14:paraId="3CE9B0F1" w14:textId="77777777" w:rsidR="00B53450" w:rsidRPr="00994B9B" w:rsidRDefault="00B53450" w:rsidP="00994B9B">
      <w:pPr>
        <w:spacing w:after="0" w:line="240" w:lineRule="auto"/>
        <w:rPr>
          <w:rFonts w:ascii="Arial" w:eastAsia="Arial" w:hAnsi="Arial" w:cs="Arial"/>
          <w:b/>
          <w:color w:val="000000"/>
          <w:sz w:val="20"/>
          <w:szCs w:val="20"/>
        </w:rPr>
      </w:pPr>
      <w:r w:rsidRPr="00994B9B">
        <w:rPr>
          <w:rFonts w:ascii="Arial" w:eastAsia="Arial" w:hAnsi="Arial" w:cs="Arial"/>
          <w:b/>
          <w:color w:val="000000"/>
          <w:sz w:val="20"/>
          <w:szCs w:val="20"/>
        </w:rPr>
        <w:t xml:space="preserve">CONTRATOS Y CONVENIOS INTERADMINISTRATIVOS – Definición – Criterio orgánico </w:t>
      </w:r>
    </w:p>
    <w:p w14:paraId="6C35D554" w14:textId="77777777" w:rsidR="00B53450" w:rsidRPr="00994B9B" w:rsidRDefault="00B53450" w:rsidP="00994B9B">
      <w:pPr>
        <w:spacing w:after="0" w:line="240" w:lineRule="auto"/>
        <w:rPr>
          <w:rFonts w:ascii="Arial" w:eastAsia="Arial" w:hAnsi="Arial" w:cs="Arial"/>
          <w:color w:val="000000"/>
          <w:sz w:val="20"/>
          <w:szCs w:val="20"/>
        </w:rPr>
      </w:pPr>
    </w:p>
    <w:p w14:paraId="6845F82A" w14:textId="44C990D0" w:rsidR="00B53450" w:rsidRPr="00994B9B" w:rsidRDefault="00B53450" w:rsidP="00994B9B">
      <w:pPr>
        <w:spacing w:after="0" w:line="240" w:lineRule="auto"/>
        <w:rPr>
          <w:rFonts w:ascii="Arial" w:eastAsia="Arial" w:hAnsi="Arial" w:cs="Arial"/>
          <w:color w:val="000000"/>
          <w:sz w:val="20"/>
          <w:szCs w:val="20"/>
        </w:rPr>
      </w:pPr>
      <w:r w:rsidRPr="00994B9B">
        <w:rPr>
          <w:rFonts w:ascii="Arial" w:eastAsia="Arial" w:hAnsi="Arial" w:cs="Arial"/>
          <w:color w:val="000000"/>
          <w:sz w:val="20"/>
          <w:szCs w:val="20"/>
        </w:rPr>
        <w:t>[</w:t>
      </w:r>
      <w:r w:rsidR="00B57643" w:rsidRPr="00994B9B">
        <w:rPr>
          <w:rFonts w:ascii="Arial" w:eastAsia="Arial" w:hAnsi="Arial" w:cs="Arial"/>
          <w:color w:val="000000"/>
          <w:sz w:val="20"/>
          <w:szCs w:val="20"/>
        </w:rPr>
        <w:t>P</w:t>
      </w:r>
      <w:r w:rsidRPr="00994B9B">
        <w:rPr>
          <w:rFonts w:ascii="Arial" w:eastAsia="Arial" w:hAnsi="Arial" w:cs="Arial"/>
          <w:color w:val="000000"/>
          <w:sz w:val="20"/>
          <w:szCs w:val="20"/>
        </w:rPr>
        <w:t xml:space="preserve">] 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w:t>
      </w:r>
      <w:r w:rsidRPr="00994B9B">
        <w:rPr>
          <w:rFonts w:ascii="Arial" w:eastAsia="Arial" w:hAnsi="Arial" w:cs="Arial"/>
          <w:color w:val="000000"/>
          <w:sz w:val="20"/>
          <w:szCs w:val="20"/>
        </w:rPr>
        <w:lastRenderedPageBreak/>
        <w:t>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5F4E5ED0" w14:textId="77777777" w:rsidR="00B53450" w:rsidRPr="00994B9B" w:rsidRDefault="00B53450" w:rsidP="00994B9B">
      <w:pPr>
        <w:spacing w:after="0" w:line="240" w:lineRule="auto"/>
        <w:rPr>
          <w:rFonts w:ascii="Arial" w:eastAsia="Times New Roman" w:hAnsi="Arial" w:cs="Arial"/>
          <w:b/>
          <w:color w:val="000000"/>
          <w:sz w:val="20"/>
          <w:szCs w:val="20"/>
          <w:lang w:eastAsia="es-CO"/>
        </w:rPr>
      </w:pPr>
    </w:p>
    <w:p w14:paraId="5C983F8E" w14:textId="77777777" w:rsidR="00B53450" w:rsidRPr="00994B9B" w:rsidRDefault="00B53450" w:rsidP="00994B9B">
      <w:pPr>
        <w:spacing w:after="0" w:line="240" w:lineRule="auto"/>
        <w:rPr>
          <w:rFonts w:ascii="Arial" w:eastAsia="Arial" w:hAnsi="Arial" w:cs="Arial"/>
          <w:b/>
          <w:color w:val="000000"/>
          <w:sz w:val="20"/>
          <w:szCs w:val="20"/>
        </w:rPr>
      </w:pPr>
      <w:r w:rsidRPr="00994B9B">
        <w:rPr>
          <w:rFonts w:ascii="Arial" w:eastAsia="Arial" w:hAnsi="Arial" w:cs="Arial"/>
          <w:b/>
          <w:color w:val="000000"/>
          <w:sz w:val="20"/>
          <w:szCs w:val="20"/>
        </w:rPr>
        <w:t>CONTRATOS Y CONVENIOS INTERADMINISTRATIVOS – Modalidad de selección</w:t>
      </w:r>
    </w:p>
    <w:p w14:paraId="57CB1D4D" w14:textId="77777777" w:rsidR="00B53450" w:rsidRPr="00994B9B" w:rsidRDefault="00B53450" w:rsidP="00994B9B">
      <w:pPr>
        <w:spacing w:after="0" w:line="240" w:lineRule="auto"/>
        <w:rPr>
          <w:rFonts w:ascii="Arial" w:eastAsia="Arial" w:hAnsi="Arial" w:cs="Arial"/>
          <w:b/>
          <w:color w:val="000000"/>
          <w:sz w:val="20"/>
          <w:szCs w:val="20"/>
        </w:rPr>
      </w:pPr>
    </w:p>
    <w:p w14:paraId="262FF056" w14:textId="77777777" w:rsidR="00B53450" w:rsidRPr="00994B9B" w:rsidRDefault="00B53450" w:rsidP="00994B9B">
      <w:pPr>
        <w:spacing w:after="0" w:line="240" w:lineRule="auto"/>
        <w:rPr>
          <w:rFonts w:ascii="Arial" w:eastAsia="Arial" w:hAnsi="Arial" w:cs="Arial"/>
          <w:color w:val="000000"/>
          <w:sz w:val="20"/>
          <w:szCs w:val="20"/>
        </w:rPr>
      </w:pPr>
      <w:r w:rsidRPr="00994B9B">
        <w:rPr>
          <w:rFonts w:ascii="Arial" w:eastAsia="Arial" w:hAnsi="Arial" w:cs="Arial"/>
          <w:color w:val="000000"/>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1823D329" w14:textId="77777777" w:rsidR="00B53450" w:rsidRPr="00994B9B" w:rsidRDefault="00B53450" w:rsidP="00994B9B">
      <w:pPr>
        <w:spacing w:after="0" w:line="240" w:lineRule="auto"/>
        <w:rPr>
          <w:rFonts w:ascii="Arial" w:eastAsia="Arial" w:hAnsi="Arial" w:cs="Arial"/>
          <w:color w:val="000000"/>
          <w:sz w:val="20"/>
          <w:szCs w:val="20"/>
        </w:rPr>
      </w:pPr>
    </w:p>
    <w:p w14:paraId="31687D0C" w14:textId="77777777" w:rsidR="00B53450" w:rsidRPr="00994B9B" w:rsidRDefault="00B53450" w:rsidP="00994B9B">
      <w:pPr>
        <w:tabs>
          <w:tab w:val="left" w:pos="426"/>
        </w:tabs>
        <w:spacing w:after="0" w:line="240" w:lineRule="auto"/>
        <w:rPr>
          <w:rFonts w:ascii="Arial" w:eastAsia="Arial" w:hAnsi="Arial" w:cs="Arial"/>
          <w:b/>
          <w:sz w:val="20"/>
          <w:szCs w:val="20"/>
        </w:rPr>
      </w:pPr>
      <w:r w:rsidRPr="00994B9B">
        <w:rPr>
          <w:rFonts w:ascii="Arial" w:eastAsia="Arial" w:hAnsi="Arial" w:cs="Arial"/>
          <w:b/>
          <w:sz w:val="20"/>
          <w:szCs w:val="20"/>
        </w:rPr>
        <w:t xml:space="preserve">LEY DE GARANTÍAS ELECTORALES – Prohibición – Celebración convenios o contratos interadministrativos – Orden judicial </w:t>
      </w:r>
    </w:p>
    <w:p w14:paraId="10921532" w14:textId="77777777" w:rsidR="00B53450" w:rsidRPr="00994B9B" w:rsidRDefault="00B53450" w:rsidP="00994B9B">
      <w:pPr>
        <w:spacing w:after="0" w:line="240" w:lineRule="auto"/>
        <w:rPr>
          <w:rFonts w:ascii="Arial" w:eastAsia="Arial" w:hAnsi="Arial" w:cs="Arial"/>
          <w:sz w:val="20"/>
          <w:szCs w:val="20"/>
        </w:rPr>
      </w:pPr>
    </w:p>
    <w:p w14:paraId="4F43DEDA" w14:textId="505D574B" w:rsidR="00B53450" w:rsidRPr="00994B9B" w:rsidRDefault="00B53450" w:rsidP="00994B9B">
      <w:pPr>
        <w:spacing w:after="0" w:line="240" w:lineRule="auto"/>
        <w:rPr>
          <w:rFonts w:ascii="Arial" w:eastAsia="Arial" w:hAnsi="Arial" w:cs="Arial"/>
          <w:sz w:val="20"/>
          <w:szCs w:val="20"/>
        </w:rPr>
      </w:pPr>
      <w:r w:rsidRPr="00994B9B">
        <w:rPr>
          <w:rFonts w:ascii="Arial" w:eastAsia="Arial" w:hAnsi="Arial" w:cs="Arial"/>
          <w:sz w:val="20"/>
          <w:szCs w:val="20"/>
        </w:rPr>
        <w:t>[</w:t>
      </w:r>
      <w:r w:rsidR="00B57643" w:rsidRPr="00994B9B">
        <w:rPr>
          <w:rFonts w:ascii="Arial" w:eastAsia="Arial" w:hAnsi="Arial" w:cs="Arial"/>
          <w:sz w:val="20"/>
          <w:szCs w:val="20"/>
        </w:rPr>
        <w:t>N</w:t>
      </w:r>
      <w:r w:rsidRPr="00994B9B">
        <w:rPr>
          <w:rFonts w:ascii="Arial" w:eastAsia="Arial" w:hAnsi="Arial" w:cs="Arial"/>
          <w:sz w:val="20"/>
          <w:szCs w:val="20"/>
        </w:rPr>
        <w:t xml:space="preserve">]o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 </w:t>
      </w:r>
    </w:p>
    <w:p w14:paraId="78D8AE71" w14:textId="77777777" w:rsidR="008B2310" w:rsidRDefault="008B2310" w:rsidP="00994B9B">
      <w:pPr>
        <w:spacing w:after="0" w:line="240" w:lineRule="auto"/>
        <w:rPr>
          <w:rFonts w:ascii="Arial" w:hAnsi="Arial" w:cs="Arial"/>
          <w:b/>
          <w:sz w:val="21"/>
          <w:szCs w:val="21"/>
          <w:lang w:eastAsia="es-CO"/>
        </w:rPr>
      </w:pPr>
    </w:p>
    <w:p w14:paraId="7570571E" w14:textId="0E0C818D" w:rsidR="00CD47D1" w:rsidRDefault="00CD47D1">
      <w:pPr>
        <w:rPr>
          <w:rFonts w:ascii="Arial" w:eastAsia="Arial" w:hAnsi="Arial" w:cs="Arial"/>
          <w:b/>
          <w:color w:val="000000"/>
          <w:sz w:val="22"/>
          <w:szCs w:val="22"/>
        </w:rPr>
      </w:pPr>
      <w:r>
        <w:rPr>
          <w:rFonts w:ascii="Arial" w:eastAsia="Arial" w:hAnsi="Arial" w:cs="Arial"/>
          <w:b/>
          <w:color w:val="000000"/>
          <w:sz w:val="22"/>
          <w:szCs w:val="22"/>
        </w:rPr>
        <w:br w:type="page"/>
      </w:r>
    </w:p>
    <w:p w14:paraId="10D2C722" w14:textId="6BE2BE92" w:rsidR="00C23368" w:rsidRPr="00C479B0" w:rsidRDefault="006D1A9F" w:rsidP="006D1A9F">
      <w:pPr>
        <w:spacing w:after="0"/>
        <w:jc w:val="right"/>
        <w:rPr>
          <w:rFonts w:ascii="Arial" w:eastAsia="Arial" w:hAnsi="Arial" w:cs="Arial"/>
          <w:b/>
          <w:color w:val="000000"/>
          <w:sz w:val="22"/>
          <w:szCs w:val="22"/>
        </w:rPr>
      </w:pPr>
      <w:r w:rsidRPr="006D1A9F">
        <w:rPr>
          <w:rFonts w:ascii="Arial" w:eastAsia="Arial" w:hAnsi="Arial" w:cs="Arial"/>
          <w:b/>
          <w:color w:val="000000"/>
          <w:sz w:val="22"/>
          <w:szCs w:val="22"/>
        </w:rPr>
        <w:lastRenderedPageBreak/>
        <w:drawing>
          <wp:inline distT="0" distB="0" distL="0" distR="0" wp14:anchorId="74B5CF30" wp14:editId="16B0E222">
            <wp:extent cx="2392045" cy="62564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7690" cy="629735"/>
                    </a:xfrm>
                    <a:prstGeom prst="rect">
                      <a:avLst/>
                    </a:prstGeom>
                  </pic:spPr>
                </pic:pic>
              </a:graphicData>
            </a:graphic>
          </wp:inline>
        </w:drawing>
      </w:r>
    </w:p>
    <w:p w14:paraId="47D8A395" w14:textId="77777777" w:rsidR="00501B0C" w:rsidRPr="00C479B0" w:rsidRDefault="00557D14" w:rsidP="008B2310">
      <w:pPr>
        <w:spacing w:after="0"/>
        <w:jc w:val="right"/>
        <w:rPr>
          <w:rFonts w:ascii="Arial" w:eastAsia="Arial" w:hAnsi="Arial" w:cs="Arial"/>
          <w:b/>
          <w:color w:val="000000"/>
          <w:sz w:val="20"/>
          <w:szCs w:val="20"/>
        </w:rPr>
      </w:pPr>
      <w:bookmarkStart w:id="0" w:name="_gjdgxs" w:colFirst="0" w:colLast="0"/>
      <w:bookmarkEnd w:id="0"/>
      <w:r w:rsidRPr="00C479B0">
        <w:rPr>
          <w:rFonts w:ascii="Arial" w:eastAsia="Arial" w:hAnsi="Arial" w:cs="Arial"/>
          <w:b/>
          <w:color w:val="000000"/>
          <w:sz w:val="20"/>
          <w:szCs w:val="20"/>
        </w:rPr>
        <w:t>CCE-DES-FM-17</w:t>
      </w:r>
    </w:p>
    <w:p w14:paraId="5D085562" w14:textId="77777777" w:rsidR="00501B0C" w:rsidRPr="00C479B0" w:rsidRDefault="00501B0C" w:rsidP="008B2310">
      <w:pPr>
        <w:tabs>
          <w:tab w:val="left" w:pos="3374"/>
        </w:tabs>
        <w:spacing w:after="0"/>
        <w:rPr>
          <w:rFonts w:ascii="Arial" w:eastAsia="Arial" w:hAnsi="Arial" w:cs="Arial"/>
          <w:color w:val="000000"/>
          <w:sz w:val="22"/>
          <w:szCs w:val="22"/>
        </w:rPr>
      </w:pPr>
    </w:p>
    <w:p w14:paraId="23C06AAB" w14:textId="77777777" w:rsidR="00501B0C" w:rsidRPr="00C479B0" w:rsidRDefault="00557D14" w:rsidP="008B2310">
      <w:pPr>
        <w:tabs>
          <w:tab w:val="left" w:pos="3374"/>
        </w:tabs>
        <w:spacing w:after="0"/>
        <w:rPr>
          <w:rFonts w:ascii="Arial" w:eastAsia="Arial" w:hAnsi="Arial" w:cs="Arial"/>
          <w:color w:val="000000"/>
          <w:sz w:val="22"/>
          <w:szCs w:val="22"/>
        </w:rPr>
      </w:pPr>
      <w:r w:rsidRPr="00C479B0">
        <w:rPr>
          <w:rFonts w:ascii="Arial" w:eastAsia="Arial" w:hAnsi="Arial" w:cs="Arial"/>
          <w:color w:val="000000"/>
          <w:sz w:val="22"/>
          <w:szCs w:val="22"/>
        </w:rPr>
        <w:t xml:space="preserve">Bogotá D.C., </w:t>
      </w:r>
    </w:p>
    <w:p w14:paraId="27C8E256" w14:textId="77777777" w:rsidR="00501B0C" w:rsidRPr="00C479B0" w:rsidRDefault="00501B0C" w:rsidP="008B2310">
      <w:pPr>
        <w:spacing w:after="0"/>
        <w:rPr>
          <w:rFonts w:ascii="Arial" w:eastAsia="Arial" w:hAnsi="Arial" w:cs="Arial"/>
          <w:color w:val="000000"/>
          <w:sz w:val="22"/>
          <w:szCs w:val="22"/>
        </w:rPr>
      </w:pPr>
    </w:p>
    <w:p w14:paraId="609FCA44" w14:textId="77777777" w:rsidR="00501B0C" w:rsidRPr="00C479B0" w:rsidRDefault="00501B0C" w:rsidP="008B2310">
      <w:pPr>
        <w:spacing w:after="0"/>
        <w:rPr>
          <w:rFonts w:ascii="Arial" w:eastAsia="Arial" w:hAnsi="Arial" w:cs="Arial"/>
          <w:color w:val="000000"/>
          <w:sz w:val="22"/>
          <w:szCs w:val="22"/>
        </w:rPr>
      </w:pPr>
    </w:p>
    <w:p w14:paraId="6D1F886A" w14:textId="77777777" w:rsidR="00501B0C" w:rsidRPr="00C479B0" w:rsidRDefault="00557D14" w:rsidP="008B2310">
      <w:pPr>
        <w:spacing w:after="0"/>
        <w:rPr>
          <w:rFonts w:ascii="Arial" w:eastAsia="Arial" w:hAnsi="Arial" w:cs="Arial"/>
          <w:color w:val="000000"/>
          <w:sz w:val="22"/>
          <w:szCs w:val="22"/>
        </w:rPr>
      </w:pPr>
      <w:r w:rsidRPr="00C479B0">
        <w:rPr>
          <w:rFonts w:ascii="Arial" w:eastAsia="Arial" w:hAnsi="Arial" w:cs="Arial"/>
          <w:color w:val="000000"/>
          <w:sz w:val="22"/>
          <w:szCs w:val="22"/>
        </w:rPr>
        <w:t>Señor</w:t>
      </w:r>
    </w:p>
    <w:p w14:paraId="6DC1320E" w14:textId="125F7D68" w:rsidR="00501B0C" w:rsidRPr="00C479B0" w:rsidRDefault="006D4B4D" w:rsidP="008B2310">
      <w:pPr>
        <w:spacing w:after="0"/>
        <w:rPr>
          <w:rFonts w:ascii="Arial" w:eastAsia="Arial" w:hAnsi="Arial" w:cs="Arial"/>
          <w:b/>
          <w:color w:val="000000"/>
          <w:sz w:val="22"/>
          <w:szCs w:val="22"/>
        </w:rPr>
      </w:pPr>
      <w:r w:rsidRPr="00C479B0">
        <w:rPr>
          <w:rFonts w:ascii="Arial" w:eastAsia="Arial" w:hAnsi="Arial" w:cs="Arial"/>
          <w:b/>
          <w:color w:val="000000"/>
          <w:sz w:val="22"/>
          <w:szCs w:val="22"/>
        </w:rPr>
        <w:t>Mart</w:t>
      </w:r>
      <w:r w:rsidR="00A54EFD">
        <w:rPr>
          <w:rFonts w:ascii="Arial" w:eastAsia="Arial" w:hAnsi="Arial" w:cs="Arial"/>
          <w:b/>
          <w:color w:val="000000"/>
          <w:sz w:val="22"/>
          <w:szCs w:val="22"/>
        </w:rPr>
        <w:t>í</w:t>
      </w:r>
      <w:r w:rsidRPr="00C479B0">
        <w:rPr>
          <w:rFonts w:ascii="Arial" w:eastAsia="Arial" w:hAnsi="Arial" w:cs="Arial"/>
          <w:b/>
          <w:color w:val="000000"/>
          <w:sz w:val="22"/>
          <w:szCs w:val="22"/>
        </w:rPr>
        <w:t>n El</w:t>
      </w:r>
      <w:r w:rsidR="00A54EFD">
        <w:rPr>
          <w:rFonts w:ascii="Arial" w:eastAsia="Arial" w:hAnsi="Arial" w:cs="Arial"/>
          <w:b/>
          <w:color w:val="000000"/>
          <w:sz w:val="22"/>
          <w:szCs w:val="22"/>
        </w:rPr>
        <w:t>í</w:t>
      </w:r>
      <w:r w:rsidRPr="00C479B0">
        <w:rPr>
          <w:rFonts w:ascii="Arial" w:eastAsia="Arial" w:hAnsi="Arial" w:cs="Arial"/>
          <w:b/>
          <w:color w:val="000000"/>
          <w:sz w:val="22"/>
          <w:szCs w:val="22"/>
        </w:rPr>
        <w:t xml:space="preserve">as Salcedo Mendoza </w:t>
      </w:r>
    </w:p>
    <w:p w14:paraId="4A123D8F" w14:textId="77777777" w:rsidR="00501B0C" w:rsidRPr="00C479B0" w:rsidRDefault="00501B0C" w:rsidP="008B2310">
      <w:pPr>
        <w:spacing w:after="0"/>
        <w:rPr>
          <w:rFonts w:ascii="Arial" w:eastAsia="Arial" w:hAnsi="Arial" w:cs="Arial"/>
          <w:color w:val="000000"/>
          <w:sz w:val="22"/>
          <w:szCs w:val="22"/>
          <w:highlight w:val="yellow"/>
        </w:rPr>
      </w:pPr>
    </w:p>
    <w:p w14:paraId="38D08219" w14:textId="77777777" w:rsidR="00501B0C" w:rsidRPr="00C479B0" w:rsidRDefault="00501B0C" w:rsidP="008B2310">
      <w:pPr>
        <w:spacing w:after="0"/>
        <w:rPr>
          <w:rFonts w:ascii="Arial" w:eastAsia="Arial" w:hAnsi="Arial" w:cs="Arial"/>
          <w:color w:val="000000"/>
          <w:sz w:val="22"/>
          <w:szCs w:val="22"/>
          <w:highlight w:val="yellow"/>
        </w:rPr>
      </w:pPr>
    </w:p>
    <w:p w14:paraId="321BC92E" w14:textId="086E223B" w:rsidR="00501B0C" w:rsidRPr="00C479B0" w:rsidRDefault="00557D14" w:rsidP="008B2310">
      <w:pPr>
        <w:spacing w:after="0"/>
        <w:rPr>
          <w:rFonts w:ascii="Arial" w:eastAsia="Arial" w:hAnsi="Arial" w:cs="Arial"/>
          <w:color w:val="000000"/>
          <w:sz w:val="22"/>
          <w:szCs w:val="22"/>
        </w:rPr>
      </w:pPr>
      <w:r w:rsidRPr="00C479B0">
        <w:rPr>
          <w:rFonts w:ascii="Arial" w:eastAsia="Arial" w:hAnsi="Arial" w:cs="Arial"/>
          <w:color w:val="000000"/>
          <w:sz w:val="22"/>
          <w:szCs w:val="22"/>
        </w:rPr>
        <w:t xml:space="preserve">                                            </w:t>
      </w:r>
      <w:r w:rsidRPr="00C479B0">
        <w:rPr>
          <w:rFonts w:ascii="Arial" w:eastAsia="Arial" w:hAnsi="Arial" w:cs="Arial"/>
          <w:b/>
          <w:color w:val="000000"/>
          <w:sz w:val="22"/>
          <w:szCs w:val="22"/>
        </w:rPr>
        <w:t>Concepto C –</w:t>
      </w:r>
      <w:r w:rsidR="006D4B4D" w:rsidRPr="00C479B0">
        <w:rPr>
          <w:rFonts w:ascii="Arial" w:eastAsia="Arial" w:hAnsi="Arial" w:cs="Arial"/>
          <w:b/>
          <w:color w:val="000000"/>
          <w:sz w:val="22"/>
          <w:szCs w:val="22"/>
        </w:rPr>
        <w:t>384</w:t>
      </w:r>
      <w:r w:rsidR="00A43A18" w:rsidRPr="00C479B0">
        <w:rPr>
          <w:rFonts w:ascii="Arial" w:eastAsia="Arial" w:hAnsi="Arial" w:cs="Arial"/>
          <w:b/>
          <w:color w:val="000000"/>
          <w:sz w:val="22"/>
          <w:szCs w:val="22"/>
        </w:rPr>
        <w:t xml:space="preserve"> </w:t>
      </w:r>
      <w:r w:rsidRPr="00C479B0">
        <w:rPr>
          <w:rFonts w:ascii="Arial" w:eastAsia="Arial" w:hAnsi="Arial" w:cs="Arial"/>
          <w:b/>
          <w:color w:val="000000"/>
          <w:sz w:val="22"/>
          <w:szCs w:val="22"/>
        </w:rPr>
        <w:t>de 202</w:t>
      </w:r>
      <w:r w:rsidR="00A43A18" w:rsidRPr="00C479B0">
        <w:rPr>
          <w:rFonts w:ascii="Arial" w:eastAsia="Arial" w:hAnsi="Arial" w:cs="Arial"/>
          <w:b/>
          <w:color w:val="000000"/>
          <w:sz w:val="22"/>
          <w:szCs w:val="22"/>
        </w:rPr>
        <w:t>2</w:t>
      </w:r>
      <w:r w:rsidRPr="00C479B0">
        <w:rPr>
          <w:rFonts w:ascii="Arial" w:eastAsia="Arial" w:hAnsi="Arial" w:cs="Arial"/>
          <w:color w:val="000000"/>
          <w:sz w:val="22"/>
          <w:szCs w:val="22"/>
        </w:rPr>
        <w:t xml:space="preserve"> </w:t>
      </w:r>
    </w:p>
    <w:p w14:paraId="6F01CA37" w14:textId="77777777" w:rsidR="00501B0C" w:rsidRPr="00C479B0" w:rsidRDefault="00501B0C" w:rsidP="008B2310">
      <w:pPr>
        <w:spacing w:after="0"/>
        <w:rPr>
          <w:rFonts w:ascii="Arial" w:eastAsia="Arial" w:hAnsi="Arial" w:cs="Arial"/>
          <w:b/>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501B0C" w:rsidRPr="00C479B0" w14:paraId="53491D6A" w14:textId="77777777" w:rsidTr="00994B9B">
        <w:trPr>
          <w:trHeight w:val="3411"/>
        </w:trPr>
        <w:tc>
          <w:tcPr>
            <w:tcW w:w="2689" w:type="dxa"/>
          </w:tcPr>
          <w:p w14:paraId="32B79E63" w14:textId="77777777" w:rsidR="00501B0C" w:rsidRPr="00C479B0" w:rsidRDefault="00557D14" w:rsidP="008B2310">
            <w:pPr>
              <w:spacing w:line="276" w:lineRule="auto"/>
              <w:rPr>
                <w:rFonts w:ascii="Arial" w:eastAsia="Arial" w:hAnsi="Arial" w:cs="Arial"/>
                <w:color w:val="000000"/>
              </w:rPr>
            </w:pPr>
            <w:r w:rsidRPr="00C479B0">
              <w:rPr>
                <w:rFonts w:ascii="Arial" w:eastAsia="Arial" w:hAnsi="Arial" w:cs="Arial"/>
                <w:b/>
                <w:color w:val="000000"/>
              </w:rPr>
              <w:t>Temas:</w:t>
            </w:r>
            <w:r w:rsidRPr="00C479B0">
              <w:rPr>
                <w:rFonts w:ascii="Arial" w:eastAsia="Arial" w:hAnsi="Arial" w:cs="Arial"/>
                <w:color w:val="000000"/>
              </w:rPr>
              <w:t xml:space="preserve">        </w:t>
            </w:r>
          </w:p>
        </w:tc>
        <w:tc>
          <w:tcPr>
            <w:tcW w:w="6237" w:type="dxa"/>
          </w:tcPr>
          <w:p w14:paraId="22C3F98B" w14:textId="6FE7C43D" w:rsidR="00501B0C" w:rsidRPr="00994B9B" w:rsidRDefault="007C333A" w:rsidP="00994B9B">
            <w:pPr>
              <w:jc w:val="both"/>
              <w:rPr>
                <w:rFonts w:ascii="Arial" w:eastAsia="Arial" w:hAnsi="Arial" w:cs="Arial"/>
                <w:color w:val="000000"/>
                <w:sz w:val="22"/>
                <w:szCs w:val="22"/>
                <w:highlight w:val="yellow"/>
              </w:rPr>
            </w:pPr>
            <w:r w:rsidRPr="00994B9B">
              <w:rPr>
                <w:rFonts w:ascii="Arial" w:hAnsi="Arial" w:cs="Arial"/>
                <w:sz w:val="22"/>
                <w:szCs w:val="22"/>
              </w:rPr>
              <w:t xml:space="preserve">LEY DE GARANTÍAS ELECTORALES – Objeto y alcance/ </w:t>
            </w:r>
            <w:r w:rsidRPr="00994B9B">
              <w:rPr>
                <w:rFonts w:ascii="Arial" w:eastAsia="Arial" w:hAnsi="Arial" w:cs="Arial"/>
                <w:sz w:val="22"/>
                <w:szCs w:val="22"/>
              </w:rPr>
              <w:t xml:space="preserve">LEY DE GARANTÍAS ELECTORALES ‒ Tipos de restricciones según el tipo de elecciones/ LEY DE GARANTÍAS ELECTORALES ‒ Excepciones al artículo 33 / LEY DE GARANTÍAS ELECTORALES ‒ Prohibición comicios cargos de elección popular – Convenios y contratos interadministrativos / </w:t>
            </w:r>
            <w:r w:rsidRPr="00994B9B">
              <w:rPr>
                <w:rFonts w:ascii="Arial" w:eastAsia="Arial" w:hAnsi="Arial" w:cs="Arial"/>
                <w:color w:val="000000"/>
                <w:sz w:val="22"/>
                <w:szCs w:val="22"/>
              </w:rPr>
              <w:t xml:space="preserve">CONTRATOS Y CONVENIOS INTERADMINISTRATIVOS – Definición – Criterio orgánico / CONTRATOS Y CONVENIOS INTERADMINISTRATIVOS – Modalidad de selección / </w:t>
            </w:r>
            <w:r w:rsidRPr="00994B9B">
              <w:rPr>
                <w:rFonts w:ascii="Arial" w:eastAsia="Arial" w:hAnsi="Arial" w:cs="Arial"/>
                <w:sz w:val="22"/>
                <w:szCs w:val="22"/>
              </w:rPr>
              <w:t>LEY DE GARANTÍAS ELECTORALES – Prohibición – Celebración convenios o contratos interadministrativos – Orden judicial</w:t>
            </w:r>
          </w:p>
        </w:tc>
      </w:tr>
      <w:tr w:rsidR="00501B0C" w:rsidRPr="00C479B0" w14:paraId="3D8B5C43" w14:textId="77777777">
        <w:tc>
          <w:tcPr>
            <w:tcW w:w="2689" w:type="dxa"/>
          </w:tcPr>
          <w:p w14:paraId="36FA5622" w14:textId="77777777" w:rsidR="00501B0C" w:rsidRPr="00C479B0" w:rsidRDefault="00557D14" w:rsidP="008B2310">
            <w:pPr>
              <w:spacing w:line="276" w:lineRule="auto"/>
              <w:rPr>
                <w:rFonts w:ascii="Arial" w:eastAsia="Arial" w:hAnsi="Arial" w:cs="Arial"/>
                <w:b/>
                <w:color w:val="000000"/>
                <w:sz w:val="22"/>
                <w:szCs w:val="22"/>
              </w:rPr>
            </w:pPr>
            <w:r w:rsidRPr="00C479B0">
              <w:rPr>
                <w:rFonts w:ascii="Arial" w:eastAsia="Arial" w:hAnsi="Arial" w:cs="Arial"/>
                <w:b/>
                <w:color w:val="000000"/>
                <w:sz w:val="22"/>
                <w:szCs w:val="22"/>
              </w:rPr>
              <w:t>Radicación:</w:t>
            </w:r>
            <w:r w:rsidRPr="00C479B0">
              <w:rPr>
                <w:rFonts w:ascii="Arial" w:eastAsia="Arial" w:hAnsi="Arial" w:cs="Arial"/>
                <w:color w:val="000000"/>
                <w:sz w:val="22"/>
                <w:szCs w:val="22"/>
              </w:rPr>
              <w:t xml:space="preserve">                              </w:t>
            </w:r>
          </w:p>
        </w:tc>
        <w:tc>
          <w:tcPr>
            <w:tcW w:w="6237" w:type="dxa"/>
          </w:tcPr>
          <w:p w14:paraId="3CC71C09" w14:textId="5971B84D" w:rsidR="00501B0C" w:rsidRPr="00CD47D1" w:rsidRDefault="00557D14" w:rsidP="00994B9B">
            <w:pPr>
              <w:spacing w:before="0"/>
              <w:jc w:val="both"/>
              <w:rPr>
                <w:rFonts w:ascii="Arial" w:eastAsia="Arial" w:hAnsi="Arial" w:cs="Arial"/>
                <w:color w:val="000000"/>
                <w:sz w:val="22"/>
                <w:szCs w:val="22"/>
              </w:rPr>
            </w:pPr>
            <w:r w:rsidRPr="00CD47D1">
              <w:rPr>
                <w:rFonts w:ascii="Arial" w:eastAsia="Arial" w:hAnsi="Arial" w:cs="Arial"/>
                <w:color w:val="000000"/>
                <w:sz w:val="22"/>
                <w:szCs w:val="22"/>
              </w:rPr>
              <w:t>Respuesta a consulta</w:t>
            </w:r>
            <w:r w:rsidRPr="00994B9B">
              <w:rPr>
                <w:rFonts w:ascii="Arial" w:eastAsia="Arial" w:hAnsi="Arial" w:cs="Arial"/>
                <w:color w:val="000000"/>
                <w:sz w:val="22"/>
                <w:szCs w:val="22"/>
              </w:rPr>
              <w:t xml:space="preserve"> </w:t>
            </w:r>
            <w:r w:rsidR="006D4B4D" w:rsidRPr="00CD47D1">
              <w:rPr>
                <w:rFonts w:ascii="Arial" w:eastAsia="Times New Roman" w:hAnsi="Arial" w:cs="Arial"/>
                <w:color w:val="000000"/>
                <w:sz w:val="22"/>
                <w:szCs w:val="22"/>
              </w:rPr>
              <w:t>P20220503004319</w:t>
            </w:r>
          </w:p>
        </w:tc>
      </w:tr>
    </w:tbl>
    <w:p w14:paraId="265F4BC3" w14:textId="77777777" w:rsidR="00501B0C" w:rsidRPr="00C479B0" w:rsidRDefault="00501B0C" w:rsidP="008B2310">
      <w:pPr>
        <w:spacing w:after="0"/>
        <w:rPr>
          <w:color w:val="000000"/>
          <w:sz w:val="22"/>
          <w:szCs w:val="22"/>
        </w:rPr>
      </w:pPr>
    </w:p>
    <w:p w14:paraId="30EA2E04" w14:textId="77777777" w:rsidR="00501B0C" w:rsidRPr="00C479B0" w:rsidRDefault="00501B0C" w:rsidP="008B2310">
      <w:pPr>
        <w:spacing w:after="0"/>
        <w:rPr>
          <w:rFonts w:ascii="Arial" w:eastAsia="Arial" w:hAnsi="Arial" w:cs="Arial"/>
          <w:color w:val="000000"/>
          <w:sz w:val="22"/>
          <w:szCs w:val="22"/>
        </w:rPr>
      </w:pPr>
    </w:p>
    <w:p w14:paraId="22F40F72" w14:textId="429C1C75" w:rsidR="00501B0C" w:rsidRPr="00C479B0" w:rsidRDefault="00557D14" w:rsidP="008B2310">
      <w:pPr>
        <w:spacing w:after="0"/>
        <w:rPr>
          <w:rFonts w:ascii="Arial" w:eastAsia="Arial" w:hAnsi="Arial" w:cs="Arial"/>
          <w:color w:val="000000"/>
          <w:sz w:val="22"/>
          <w:szCs w:val="22"/>
        </w:rPr>
      </w:pPr>
      <w:r w:rsidRPr="00C479B0">
        <w:rPr>
          <w:rFonts w:ascii="Arial" w:eastAsia="Arial" w:hAnsi="Arial" w:cs="Arial"/>
          <w:color w:val="000000"/>
          <w:sz w:val="22"/>
          <w:szCs w:val="22"/>
        </w:rPr>
        <w:t xml:space="preserve">Estimado señor </w:t>
      </w:r>
      <w:r w:rsidR="006D4B4D" w:rsidRPr="00C479B0">
        <w:rPr>
          <w:rFonts w:ascii="Arial" w:eastAsia="Arial" w:hAnsi="Arial" w:cs="Arial"/>
          <w:color w:val="000000"/>
          <w:sz w:val="22"/>
          <w:szCs w:val="22"/>
        </w:rPr>
        <w:t xml:space="preserve">Salcedo, </w:t>
      </w:r>
    </w:p>
    <w:p w14:paraId="0801408A" w14:textId="77777777" w:rsidR="00501B0C" w:rsidRPr="00C479B0" w:rsidRDefault="00501B0C" w:rsidP="008B2310">
      <w:pPr>
        <w:spacing w:after="0"/>
        <w:ind w:firstLine="709"/>
        <w:rPr>
          <w:rFonts w:ascii="Arial" w:eastAsia="Arial" w:hAnsi="Arial" w:cs="Arial"/>
          <w:color w:val="000000"/>
          <w:sz w:val="22"/>
          <w:szCs w:val="22"/>
        </w:rPr>
      </w:pPr>
    </w:p>
    <w:p w14:paraId="0F4DBB6B" w14:textId="296043C2" w:rsidR="00A43A18" w:rsidRPr="00C479B0" w:rsidRDefault="00557D14" w:rsidP="008B2310">
      <w:pPr>
        <w:rPr>
          <w:rFonts w:ascii="Arial Nova" w:eastAsia="Times New Roman" w:hAnsi="Arial Nova"/>
          <w:color w:val="000000"/>
          <w:sz w:val="20"/>
          <w:szCs w:val="20"/>
        </w:rPr>
      </w:pPr>
      <w:r w:rsidRPr="00C479B0">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6D4B4D" w:rsidRPr="00C479B0">
        <w:rPr>
          <w:rFonts w:ascii="Arial" w:eastAsia="Arial" w:hAnsi="Arial" w:cs="Arial"/>
          <w:color w:val="000000"/>
          <w:sz w:val="22"/>
          <w:szCs w:val="22"/>
        </w:rPr>
        <w:t>3 de mayo de 2022</w:t>
      </w:r>
      <w:r w:rsidRPr="00C479B0">
        <w:rPr>
          <w:rFonts w:ascii="Arial" w:eastAsia="Arial" w:hAnsi="Arial" w:cs="Arial"/>
          <w:color w:val="000000"/>
          <w:sz w:val="22"/>
          <w:szCs w:val="22"/>
        </w:rPr>
        <w:t xml:space="preserve">. </w:t>
      </w:r>
    </w:p>
    <w:p w14:paraId="602D8C1C" w14:textId="77777777" w:rsidR="00501B0C" w:rsidRPr="00C479B0" w:rsidRDefault="00501B0C" w:rsidP="008B2310">
      <w:pPr>
        <w:spacing w:after="0"/>
        <w:rPr>
          <w:rFonts w:ascii="Arial" w:eastAsia="Arial" w:hAnsi="Arial" w:cs="Arial"/>
          <w:color w:val="000000"/>
          <w:sz w:val="22"/>
          <w:szCs w:val="22"/>
        </w:rPr>
      </w:pPr>
    </w:p>
    <w:p w14:paraId="4E64F3A0" w14:textId="7CF7B31B" w:rsidR="00501B0C" w:rsidRPr="00C479B0" w:rsidRDefault="00557D14" w:rsidP="008B2310">
      <w:pPr>
        <w:tabs>
          <w:tab w:val="left" w:pos="284"/>
        </w:tabs>
        <w:spacing w:after="0"/>
        <w:rPr>
          <w:rFonts w:ascii="Arial" w:eastAsia="Arial" w:hAnsi="Arial" w:cs="Arial"/>
          <w:b/>
          <w:color w:val="000000"/>
          <w:sz w:val="22"/>
          <w:szCs w:val="22"/>
        </w:rPr>
      </w:pPr>
      <w:r w:rsidRPr="00C479B0">
        <w:rPr>
          <w:rFonts w:ascii="Arial" w:eastAsia="Arial" w:hAnsi="Arial" w:cs="Arial"/>
          <w:b/>
          <w:color w:val="000000"/>
          <w:sz w:val="22"/>
          <w:szCs w:val="22"/>
        </w:rPr>
        <w:t xml:space="preserve">1. Problema planteado </w:t>
      </w:r>
    </w:p>
    <w:p w14:paraId="459F0C58" w14:textId="77777777" w:rsidR="00A43A18" w:rsidRPr="00C479B0" w:rsidRDefault="00A43A18" w:rsidP="008B2310">
      <w:pPr>
        <w:tabs>
          <w:tab w:val="left" w:pos="284"/>
        </w:tabs>
        <w:spacing w:after="0"/>
        <w:rPr>
          <w:rFonts w:ascii="Arial" w:eastAsia="Arial" w:hAnsi="Arial" w:cs="Arial"/>
          <w:b/>
          <w:color w:val="000000"/>
          <w:sz w:val="22"/>
          <w:szCs w:val="22"/>
        </w:rPr>
      </w:pPr>
    </w:p>
    <w:p w14:paraId="2EABE4B4" w14:textId="15BC006E" w:rsidR="008071C9" w:rsidRPr="00C479B0" w:rsidRDefault="00557D14" w:rsidP="008B2310">
      <w:pPr>
        <w:pBdr>
          <w:top w:val="nil"/>
          <w:left w:val="nil"/>
          <w:bottom w:val="nil"/>
          <w:right w:val="nil"/>
          <w:between w:val="nil"/>
        </w:pBdr>
        <w:rPr>
          <w:rFonts w:ascii="Arial" w:eastAsia="Arial" w:hAnsi="Arial" w:cs="Arial"/>
          <w:color w:val="000000"/>
          <w:sz w:val="22"/>
          <w:szCs w:val="22"/>
        </w:rPr>
      </w:pPr>
      <w:bookmarkStart w:id="1" w:name="_30j0zll" w:colFirst="0" w:colLast="0"/>
      <w:bookmarkEnd w:id="1"/>
      <w:r w:rsidRPr="00C479B0">
        <w:rPr>
          <w:rFonts w:ascii="Arial" w:eastAsia="Arial" w:hAnsi="Arial" w:cs="Arial"/>
          <w:color w:val="000000"/>
          <w:sz w:val="22"/>
          <w:szCs w:val="22"/>
        </w:rPr>
        <w:t xml:space="preserve">En su consulta, usted plantea </w:t>
      </w:r>
      <w:r w:rsidR="006D4B4D" w:rsidRPr="00C479B0">
        <w:rPr>
          <w:rFonts w:ascii="Arial" w:eastAsia="Arial" w:hAnsi="Arial" w:cs="Arial"/>
          <w:color w:val="000000"/>
          <w:sz w:val="22"/>
          <w:szCs w:val="22"/>
        </w:rPr>
        <w:t>los</w:t>
      </w:r>
      <w:r w:rsidRPr="00C479B0">
        <w:rPr>
          <w:rFonts w:ascii="Arial" w:eastAsia="Arial" w:hAnsi="Arial" w:cs="Arial"/>
          <w:color w:val="000000"/>
          <w:sz w:val="22"/>
          <w:szCs w:val="22"/>
        </w:rPr>
        <w:t xml:space="preserve"> siguiente</w:t>
      </w:r>
      <w:r w:rsidR="006D4B4D" w:rsidRPr="00C479B0">
        <w:rPr>
          <w:rFonts w:ascii="Arial" w:eastAsia="Arial" w:hAnsi="Arial" w:cs="Arial"/>
          <w:color w:val="000000"/>
          <w:sz w:val="22"/>
          <w:szCs w:val="22"/>
        </w:rPr>
        <w:t>s</w:t>
      </w:r>
      <w:r w:rsidRPr="00C479B0">
        <w:rPr>
          <w:rFonts w:ascii="Arial" w:eastAsia="Arial" w:hAnsi="Arial" w:cs="Arial"/>
          <w:color w:val="000000"/>
          <w:sz w:val="22"/>
          <w:szCs w:val="22"/>
        </w:rPr>
        <w:t xml:space="preserve"> interrogante</w:t>
      </w:r>
      <w:r w:rsidR="006D4B4D" w:rsidRPr="00C479B0">
        <w:rPr>
          <w:rFonts w:ascii="Arial" w:eastAsia="Arial" w:hAnsi="Arial" w:cs="Arial"/>
          <w:color w:val="000000"/>
          <w:sz w:val="22"/>
          <w:szCs w:val="22"/>
        </w:rPr>
        <w:t>s</w:t>
      </w:r>
      <w:r w:rsidRPr="00C479B0">
        <w:rPr>
          <w:rFonts w:ascii="Arial" w:eastAsia="Arial" w:hAnsi="Arial" w:cs="Arial"/>
          <w:color w:val="000000"/>
          <w:sz w:val="22"/>
          <w:szCs w:val="22"/>
        </w:rPr>
        <w:t>:</w:t>
      </w:r>
    </w:p>
    <w:p w14:paraId="115A49B9" w14:textId="3EFF3EC9" w:rsidR="006D4B4D" w:rsidRPr="00C479B0" w:rsidRDefault="00A43A18" w:rsidP="006D4B4D">
      <w:pPr>
        <w:pBdr>
          <w:top w:val="nil"/>
          <w:left w:val="nil"/>
          <w:bottom w:val="nil"/>
          <w:right w:val="nil"/>
          <w:between w:val="nil"/>
        </w:pBdr>
        <w:spacing w:line="240" w:lineRule="auto"/>
        <w:ind w:left="720"/>
        <w:rPr>
          <w:rFonts w:ascii="Arial" w:eastAsia="Arial" w:hAnsi="Arial" w:cs="Arial"/>
          <w:color w:val="000000"/>
          <w:sz w:val="21"/>
          <w:szCs w:val="21"/>
        </w:rPr>
      </w:pPr>
      <w:r w:rsidRPr="00C479B0">
        <w:rPr>
          <w:rFonts w:ascii="Arial" w:eastAsia="Arial" w:hAnsi="Arial" w:cs="Arial"/>
          <w:color w:val="000000"/>
          <w:sz w:val="21"/>
          <w:szCs w:val="21"/>
        </w:rPr>
        <w:lastRenderedPageBreak/>
        <w:t>«</w:t>
      </w:r>
      <w:r w:rsidR="006D4B4D" w:rsidRPr="00C479B0">
        <w:rPr>
          <w:rFonts w:ascii="Arial" w:eastAsia="Arial" w:hAnsi="Arial" w:cs="Arial"/>
          <w:color w:val="000000"/>
          <w:sz w:val="21"/>
          <w:szCs w:val="21"/>
        </w:rPr>
        <w:t>1.</w:t>
      </w:r>
      <w:r w:rsidR="00B57643">
        <w:rPr>
          <w:rFonts w:ascii="Arial" w:eastAsia="Arial" w:hAnsi="Arial" w:cs="Arial"/>
          <w:color w:val="000000"/>
          <w:sz w:val="21"/>
          <w:szCs w:val="21"/>
        </w:rPr>
        <w:t xml:space="preserve"> </w:t>
      </w:r>
      <w:r w:rsidR="006D4B4D" w:rsidRPr="00C479B0">
        <w:rPr>
          <w:rFonts w:ascii="Arial" w:eastAsia="Arial" w:hAnsi="Arial" w:cs="Arial"/>
          <w:color w:val="000000"/>
          <w:sz w:val="21"/>
          <w:szCs w:val="21"/>
        </w:rPr>
        <w:t>¿Aplica</w:t>
      </w:r>
      <w:r w:rsidR="008B2310">
        <w:rPr>
          <w:rFonts w:ascii="Arial" w:eastAsia="Arial" w:hAnsi="Arial" w:cs="Arial"/>
          <w:color w:val="000000"/>
          <w:sz w:val="21"/>
          <w:szCs w:val="21"/>
        </w:rPr>
        <w:t xml:space="preserve"> </w:t>
      </w:r>
      <w:r w:rsidR="006D4B4D" w:rsidRPr="00C479B0">
        <w:rPr>
          <w:rFonts w:ascii="Arial" w:eastAsia="Arial" w:hAnsi="Arial" w:cs="Arial"/>
          <w:color w:val="000000"/>
          <w:sz w:val="21"/>
          <w:szCs w:val="21"/>
        </w:rPr>
        <w:t xml:space="preserve">la prohibición contenida en el parágrafo del articulo 38 Ley 996 de 2005 a </w:t>
      </w:r>
      <w:r w:rsidR="006D4B4D" w:rsidRPr="006D4B4D">
        <w:rPr>
          <w:rFonts w:ascii="Arial" w:eastAsia="Arial" w:hAnsi="Arial" w:cs="Arial"/>
          <w:color w:val="000000"/>
          <w:sz w:val="21"/>
          <w:szCs w:val="21"/>
        </w:rPr>
        <w:t>las elecciones presidenciales?</w:t>
      </w:r>
      <w:r w:rsidR="006D4B4D" w:rsidRPr="00C479B0">
        <w:rPr>
          <w:rFonts w:ascii="Arial" w:eastAsia="Arial" w:hAnsi="Arial" w:cs="Arial"/>
          <w:color w:val="000000"/>
          <w:sz w:val="21"/>
          <w:szCs w:val="21"/>
        </w:rPr>
        <w:t xml:space="preserve">       </w:t>
      </w:r>
    </w:p>
    <w:p w14:paraId="2A605BC2" w14:textId="1E00CD9E" w:rsidR="00A43A18" w:rsidRPr="00B57643" w:rsidRDefault="006D4B4D" w:rsidP="00B57643">
      <w:pPr>
        <w:pBdr>
          <w:top w:val="nil"/>
          <w:left w:val="nil"/>
          <w:bottom w:val="nil"/>
          <w:right w:val="nil"/>
          <w:between w:val="nil"/>
        </w:pBdr>
        <w:spacing w:line="240" w:lineRule="auto"/>
        <w:ind w:left="720"/>
        <w:rPr>
          <w:rFonts w:ascii="Arial" w:eastAsia="Arial" w:hAnsi="Arial" w:cs="Arial"/>
          <w:color w:val="000000"/>
          <w:sz w:val="21"/>
          <w:szCs w:val="21"/>
        </w:rPr>
      </w:pPr>
      <w:r w:rsidRPr="006D4B4D">
        <w:rPr>
          <w:rFonts w:ascii="Arial" w:eastAsia="Arial" w:hAnsi="Arial" w:cs="Arial"/>
          <w:color w:val="000000"/>
          <w:sz w:val="21"/>
          <w:szCs w:val="21"/>
        </w:rPr>
        <w:t>2. En caso afirmativo indicar si la prohibición contenida en el parágrafo del articulo 38</w:t>
      </w:r>
      <w:r w:rsidRPr="00C479B0">
        <w:rPr>
          <w:rFonts w:ascii="Arial" w:eastAsia="Arial" w:hAnsi="Arial" w:cs="Arial"/>
          <w:color w:val="000000"/>
          <w:sz w:val="21"/>
          <w:szCs w:val="21"/>
        </w:rPr>
        <w:t xml:space="preserve"> Ley 996 de 2005 tiene excepciones</w:t>
      </w:r>
      <w:r w:rsidR="00A43A18" w:rsidRPr="00C479B0">
        <w:rPr>
          <w:rFonts w:ascii="Arial" w:eastAsia="Times New Roman" w:hAnsi="Arial" w:cs="Arial"/>
          <w:sz w:val="21"/>
          <w:szCs w:val="21"/>
        </w:rPr>
        <w:t>»</w:t>
      </w:r>
      <w:r w:rsidR="009A7F14">
        <w:rPr>
          <w:rFonts w:ascii="Arial" w:eastAsia="Times New Roman" w:hAnsi="Arial" w:cs="Arial"/>
          <w:sz w:val="21"/>
          <w:szCs w:val="21"/>
        </w:rPr>
        <w:t>.</w:t>
      </w:r>
    </w:p>
    <w:p w14:paraId="0BB28B6B" w14:textId="77777777" w:rsidR="00B57643" w:rsidRDefault="00B57643">
      <w:pPr>
        <w:tabs>
          <w:tab w:val="left" w:pos="284"/>
        </w:tabs>
        <w:spacing w:after="0"/>
        <w:rPr>
          <w:rFonts w:ascii="Arial" w:eastAsia="Arial" w:hAnsi="Arial" w:cs="Arial"/>
          <w:b/>
          <w:color w:val="000000"/>
          <w:sz w:val="22"/>
          <w:szCs w:val="22"/>
        </w:rPr>
      </w:pPr>
    </w:p>
    <w:p w14:paraId="50380B48" w14:textId="060F1558" w:rsidR="00501B0C" w:rsidRPr="00C479B0" w:rsidRDefault="00557D14">
      <w:pPr>
        <w:tabs>
          <w:tab w:val="left" w:pos="284"/>
        </w:tabs>
        <w:spacing w:after="0"/>
        <w:rPr>
          <w:rFonts w:ascii="Arial" w:eastAsia="Arial" w:hAnsi="Arial" w:cs="Arial"/>
          <w:b/>
          <w:color w:val="000000"/>
          <w:sz w:val="22"/>
          <w:szCs w:val="22"/>
        </w:rPr>
      </w:pPr>
      <w:r w:rsidRPr="00C479B0">
        <w:rPr>
          <w:rFonts w:ascii="Arial" w:eastAsia="Arial" w:hAnsi="Arial" w:cs="Arial"/>
          <w:b/>
          <w:color w:val="000000"/>
          <w:sz w:val="22"/>
          <w:szCs w:val="22"/>
        </w:rPr>
        <w:t>2. Consideraciones</w:t>
      </w:r>
    </w:p>
    <w:p w14:paraId="1115AB17" w14:textId="77777777" w:rsidR="00501B0C" w:rsidRPr="00C479B0" w:rsidRDefault="00501B0C">
      <w:pPr>
        <w:tabs>
          <w:tab w:val="left" w:pos="426"/>
        </w:tabs>
        <w:spacing w:after="0"/>
        <w:ind w:firstLine="709"/>
        <w:rPr>
          <w:rFonts w:ascii="Arial" w:eastAsia="Arial" w:hAnsi="Arial" w:cs="Arial"/>
          <w:color w:val="000000"/>
          <w:sz w:val="22"/>
          <w:szCs w:val="22"/>
        </w:rPr>
      </w:pPr>
    </w:p>
    <w:p w14:paraId="07515458" w14:textId="77777777" w:rsidR="00501B0C" w:rsidRPr="00C479B0" w:rsidRDefault="00557D14">
      <w:pPr>
        <w:spacing w:after="120"/>
        <w:rPr>
          <w:rFonts w:ascii="Arial" w:eastAsia="Arial" w:hAnsi="Arial" w:cs="Arial"/>
          <w:color w:val="000000"/>
          <w:sz w:val="22"/>
          <w:szCs w:val="22"/>
        </w:rPr>
      </w:pPr>
      <w:r w:rsidRPr="00C479B0">
        <w:rPr>
          <w:rFonts w:ascii="Arial" w:eastAsia="Arial" w:hAnsi="Arial" w:cs="Arial"/>
          <w:color w:val="000000"/>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C479B0">
        <w:rPr>
          <w:rFonts w:ascii="Arial" w:eastAsia="Arial" w:hAnsi="Arial" w:cs="Arial"/>
          <w:color w:val="000000"/>
          <w:sz w:val="22"/>
          <w:szCs w:val="22"/>
          <w:vertAlign w:val="superscript"/>
        </w:rPr>
        <w:footnoteReference w:id="1"/>
      </w:r>
      <w:r w:rsidRPr="00C479B0">
        <w:rPr>
          <w:rFonts w:ascii="Arial" w:eastAsia="Arial" w:hAnsi="Arial" w:cs="Arial"/>
          <w:color w:val="000000"/>
          <w:sz w:val="22"/>
          <w:szCs w:val="22"/>
        </w:rPr>
        <w:t>.</w:t>
      </w:r>
    </w:p>
    <w:p w14:paraId="0F8978B7" w14:textId="7909ECC9" w:rsidR="00B57643" w:rsidRDefault="00557D14" w:rsidP="00AA1F9B">
      <w:pPr>
        <w:spacing w:after="120"/>
        <w:rPr>
          <w:rFonts w:ascii="Arial" w:eastAsia="Arial" w:hAnsi="Arial" w:cs="Arial"/>
          <w:sz w:val="22"/>
          <w:szCs w:val="22"/>
          <w:lang w:eastAsia="es-ES" w:bidi="es-ES"/>
        </w:rPr>
      </w:pPr>
      <w:bookmarkStart w:id="3" w:name="_1fob9te" w:colFirst="0" w:colLast="0"/>
      <w:bookmarkEnd w:id="3"/>
      <w:r w:rsidRPr="00C479B0">
        <w:rPr>
          <w:rFonts w:ascii="Arial" w:eastAsia="Arial" w:hAnsi="Arial" w:cs="Arial"/>
          <w:color w:val="000000"/>
          <w:sz w:val="22"/>
          <w:szCs w:val="22"/>
        </w:rPr>
        <w:tab/>
        <w:t>Por ello, esta Subdirección –dentro de los límites de sus atribuciones</w:t>
      </w:r>
      <w:r w:rsidRPr="00C479B0">
        <w:rPr>
          <w:rFonts w:ascii="Arial" w:eastAsia="Arial" w:hAnsi="Arial" w:cs="Arial"/>
          <w:color w:val="000000"/>
          <w:sz w:val="22"/>
          <w:szCs w:val="22"/>
          <w:vertAlign w:val="superscript"/>
        </w:rPr>
        <w:footnoteReference w:id="2"/>
      </w:r>
      <w:r w:rsidRPr="00C479B0">
        <w:rPr>
          <w:rFonts w:ascii="Arial" w:eastAsia="Arial" w:hAnsi="Arial" w:cs="Arial"/>
          <w:color w:val="000000"/>
          <w:sz w:val="22"/>
          <w:szCs w:val="22"/>
        </w:rPr>
        <w:t>– resolverá la consulta conforme a las normas generales en materia de contratación estatal. Con este objetivo, se analizarán los siguientes temas: i)</w:t>
      </w:r>
      <w:r w:rsidR="00821723" w:rsidRPr="00C479B0">
        <w:rPr>
          <w:rFonts w:ascii="Arial" w:eastAsia="Arial" w:hAnsi="Arial" w:cs="Arial"/>
          <w:color w:val="000000"/>
          <w:sz w:val="22"/>
          <w:szCs w:val="22"/>
        </w:rPr>
        <w:t xml:space="preserve"> definición y finalidad de la Ley de Garantías Electorales; </w:t>
      </w:r>
      <w:proofErr w:type="spellStart"/>
      <w:r w:rsidR="00821723" w:rsidRPr="002203E4">
        <w:rPr>
          <w:rFonts w:ascii="Arial" w:eastAsia="Arial" w:hAnsi="Arial" w:cs="Arial"/>
          <w:color w:val="000000"/>
          <w:sz w:val="22"/>
          <w:szCs w:val="22"/>
        </w:rPr>
        <w:t>ii</w:t>
      </w:r>
      <w:proofErr w:type="spellEnd"/>
      <w:r w:rsidR="00821723" w:rsidRPr="002203E4">
        <w:rPr>
          <w:rFonts w:ascii="Arial" w:eastAsia="Arial" w:hAnsi="Arial" w:cs="Arial"/>
          <w:color w:val="000000"/>
          <w:sz w:val="22"/>
          <w:szCs w:val="22"/>
        </w:rPr>
        <w:t xml:space="preserve">) </w:t>
      </w:r>
      <w:r w:rsidR="002203E4" w:rsidRPr="002203E4">
        <w:rPr>
          <w:rFonts w:ascii="Arial" w:eastAsia="Arial" w:hAnsi="Arial" w:cs="Arial"/>
          <w:color w:val="000000"/>
          <w:sz w:val="22"/>
          <w:szCs w:val="22"/>
        </w:rPr>
        <w:t>restricciones según el tipo de elecciones y excepciones a las mismas</w:t>
      </w:r>
      <w:r w:rsidR="00B778DF">
        <w:rPr>
          <w:rFonts w:ascii="Arial" w:eastAsia="Arial" w:hAnsi="Arial" w:cs="Arial"/>
          <w:color w:val="000000"/>
          <w:sz w:val="22"/>
          <w:szCs w:val="22"/>
        </w:rPr>
        <w:t>.</w:t>
      </w:r>
    </w:p>
    <w:p w14:paraId="258D58FA" w14:textId="5EE971CB" w:rsidR="00501B0C" w:rsidRDefault="005169AE" w:rsidP="002706F6">
      <w:pPr>
        <w:spacing w:after="120"/>
        <w:ind w:firstLine="709"/>
        <w:rPr>
          <w:rFonts w:ascii="Arial" w:eastAsia="Arial" w:hAnsi="Arial" w:cs="Arial"/>
          <w:sz w:val="22"/>
          <w:szCs w:val="22"/>
          <w:lang w:eastAsia="es-ES" w:bidi="es-ES"/>
        </w:rPr>
      </w:pPr>
      <w:r w:rsidRPr="005169AE">
        <w:rPr>
          <w:rFonts w:ascii="Arial" w:eastAsia="Arial" w:hAnsi="Arial" w:cs="Arial"/>
          <w:color w:val="000000"/>
          <w:sz w:val="22"/>
          <w:szCs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w:t>
      </w:r>
      <w:r w:rsidRPr="005169AE">
        <w:rPr>
          <w:rFonts w:ascii="Arial" w:eastAsia="Arial" w:hAnsi="Arial" w:cs="Arial"/>
          <w:color w:val="000000"/>
          <w:sz w:val="22"/>
          <w:szCs w:val="22"/>
        </w:rPr>
        <w:lastRenderedPageBreak/>
        <w:t>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w:t>
      </w:r>
      <w:r w:rsidRPr="00C479B0">
        <w:rPr>
          <w:rFonts w:ascii="Arial" w:eastAsia="Arial" w:hAnsi="Arial" w:cs="Arial"/>
          <w:color w:val="000000"/>
          <w:sz w:val="22"/>
          <w:szCs w:val="22"/>
        </w:rPr>
        <w:t xml:space="preserve">, </w:t>
      </w:r>
      <w:r w:rsidRPr="005169AE">
        <w:rPr>
          <w:rFonts w:ascii="Arial" w:eastAsia="Arial" w:hAnsi="Arial" w:cs="Arial"/>
          <w:color w:val="000000"/>
          <w:sz w:val="22"/>
          <w:szCs w:val="22"/>
        </w:rPr>
        <w:t>C-636 del 16 de noviembre de 2021</w:t>
      </w:r>
      <w:r w:rsidR="009A7F14">
        <w:rPr>
          <w:rFonts w:ascii="Arial" w:eastAsia="Arial" w:hAnsi="Arial" w:cs="Arial"/>
          <w:color w:val="000000"/>
          <w:sz w:val="22"/>
          <w:szCs w:val="22"/>
        </w:rPr>
        <w:t xml:space="preserve"> y</w:t>
      </w:r>
      <w:r w:rsidRPr="00C479B0">
        <w:rPr>
          <w:rFonts w:ascii="Arial" w:eastAsia="Arial" w:hAnsi="Arial" w:cs="Arial"/>
          <w:color w:val="000000"/>
          <w:sz w:val="22"/>
          <w:szCs w:val="22"/>
        </w:rPr>
        <w:t xml:space="preserve"> C-715 de 2022. Las tesis planteadas en estos conceptos se reiterará</w:t>
      </w:r>
      <w:r w:rsidR="002203E4">
        <w:rPr>
          <w:rFonts w:ascii="Arial" w:eastAsia="Arial" w:hAnsi="Arial" w:cs="Arial"/>
          <w:color w:val="000000"/>
          <w:sz w:val="22"/>
          <w:szCs w:val="22"/>
        </w:rPr>
        <w:t>n</w:t>
      </w:r>
      <w:r w:rsidRPr="00C479B0">
        <w:rPr>
          <w:rFonts w:ascii="Arial" w:eastAsia="Arial" w:hAnsi="Arial" w:cs="Arial"/>
          <w:color w:val="000000"/>
          <w:sz w:val="22"/>
          <w:szCs w:val="22"/>
        </w:rPr>
        <w:t xml:space="preserve"> y complementará</w:t>
      </w:r>
      <w:r w:rsidR="002203E4">
        <w:rPr>
          <w:rFonts w:ascii="Arial" w:eastAsia="Arial" w:hAnsi="Arial" w:cs="Arial"/>
          <w:color w:val="000000"/>
          <w:sz w:val="22"/>
          <w:szCs w:val="22"/>
        </w:rPr>
        <w:t>n</w:t>
      </w:r>
      <w:r w:rsidRPr="00C479B0">
        <w:rPr>
          <w:rFonts w:ascii="Arial" w:eastAsia="Arial" w:hAnsi="Arial" w:cs="Arial"/>
          <w:color w:val="000000"/>
          <w:sz w:val="22"/>
          <w:szCs w:val="22"/>
        </w:rPr>
        <w:t xml:space="preserve"> a continuación: </w:t>
      </w:r>
    </w:p>
    <w:p w14:paraId="20679648" w14:textId="77777777" w:rsidR="002706F6" w:rsidRPr="002706F6" w:rsidRDefault="002706F6" w:rsidP="002706F6">
      <w:pPr>
        <w:spacing w:after="120"/>
        <w:rPr>
          <w:rFonts w:ascii="Arial" w:eastAsia="Arial" w:hAnsi="Arial" w:cs="Arial"/>
          <w:sz w:val="22"/>
          <w:szCs w:val="22"/>
          <w:lang w:eastAsia="es-ES" w:bidi="es-ES"/>
        </w:rPr>
      </w:pPr>
    </w:p>
    <w:p w14:paraId="2E6D037E" w14:textId="7B888B4F" w:rsidR="00C03189" w:rsidRPr="00C479B0" w:rsidRDefault="00557D14" w:rsidP="001A139D">
      <w:pPr>
        <w:tabs>
          <w:tab w:val="left" w:pos="426"/>
        </w:tabs>
        <w:contextualSpacing/>
        <w:rPr>
          <w:rFonts w:ascii="Arial" w:hAnsi="Arial" w:cs="Arial"/>
          <w:b/>
          <w:bCs/>
          <w:sz w:val="22"/>
          <w:szCs w:val="22"/>
          <w:lang w:eastAsia="en-US"/>
        </w:rPr>
      </w:pPr>
      <w:bookmarkStart w:id="5" w:name="_3znysh7" w:colFirst="0" w:colLast="0"/>
      <w:bookmarkEnd w:id="5"/>
      <w:r w:rsidRPr="00C479B0">
        <w:rPr>
          <w:rFonts w:ascii="Arial" w:eastAsia="Arial" w:hAnsi="Arial" w:cs="Arial"/>
          <w:b/>
          <w:color w:val="000000"/>
          <w:sz w:val="22"/>
          <w:szCs w:val="22"/>
        </w:rPr>
        <w:t>2.1.</w:t>
      </w:r>
      <w:r w:rsidR="00C03189" w:rsidRPr="00C479B0">
        <w:rPr>
          <w:rFonts w:ascii="Arial" w:hAnsi="Arial" w:cs="Arial"/>
          <w:b/>
          <w:bCs/>
          <w:sz w:val="22"/>
          <w:szCs w:val="22"/>
          <w:lang w:eastAsia="en-US"/>
        </w:rPr>
        <w:t xml:space="preserve"> Definición y finalidad de la Ley de Garantías Electorales</w:t>
      </w:r>
    </w:p>
    <w:p w14:paraId="405540EC" w14:textId="77777777" w:rsidR="001A139D" w:rsidRPr="00C479B0" w:rsidRDefault="001A139D" w:rsidP="001A139D">
      <w:pPr>
        <w:tabs>
          <w:tab w:val="left" w:pos="426"/>
        </w:tabs>
        <w:contextualSpacing/>
        <w:rPr>
          <w:rFonts w:ascii="Arial" w:hAnsi="Arial" w:cs="Arial"/>
          <w:b/>
          <w:bCs/>
          <w:sz w:val="22"/>
          <w:szCs w:val="22"/>
          <w:lang w:eastAsia="en-US"/>
        </w:rPr>
      </w:pPr>
    </w:p>
    <w:p w14:paraId="272BD071" w14:textId="77777777" w:rsidR="00C03189" w:rsidRPr="00C479B0" w:rsidRDefault="00C03189" w:rsidP="00C03189">
      <w:pPr>
        <w:tabs>
          <w:tab w:val="left" w:pos="426"/>
        </w:tabs>
        <w:spacing w:after="120"/>
        <w:rPr>
          <w:rFonts w:ascii="Arial" w:eastAsiaTheme="minorHAnsi" w:hAnsi="Arial" w:cs="Arial"/>
          <w:bCs/>
          <w:sz w:val="22"/>
          <w:szCs w:val="22"/>
          <w:lang w:eastAsia="es-CO"/>
        </w:rPr>
      </w:pPr>
      <w:r w:rsidRPr="00C479B0">
        <w:rPr>
          <w:rFonts w:ascii="Arial" w:hAnsi="Arial" w:cs="Arial"/>
          <w:bCs/>
          <w:sz w:val="22"/>
          <w:szCs w:val="22"/>
          <w:lang w:eastAsia="en-US"/>
        </w:rPr>
        <w:t>El ordenamiento jurídico colombiano contempla previsiones claras para evitar la obtención de beneficios personales en asuntos propios de la administración pública</w:t>
      </w:r>
      <w:r w:rsidRPr="00C479B0">
        <w:rPr>
          <w:rFonts w:ascii="Arial" w:hAnsi="Arial" w:cs="Arial"/>
          <w:bCs/>
          <w:i/>
          <w:iCs/>
          <w:sz w:val="22"/>
          <w:szCs w:val="22"/>
          <w:lang w:eastAsia="en-US"/>
        </w:rPr>
        <w:t xml:space="preserve">. </w:t>
      </w:r>
      <w:r w:rsidRPr="00C479B0">
        <w:rPr>
          <w:rFonts w:ascii="Arial"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C479B0">
        <w:rPr>
          <w:rFonts w:ascii="Arial" w:hAnsi="Arial" w:cs="Arial"/>
          <w:bCs/>
          <w:sz w:val="22"/>
          <w:szCs w:val="22"/>
          <w:vertAlign w:val="superscript"/>
          <w:lang w:eastAsia="en-US"/>
        </w:rPr>
        <w:footnoteReference w:id="3"/>
      </w:r>
      <w:r w:rsidRPr="00C479B0">
        <w:rPr>
          <w:rFonts w:ascii="Arial" w:hAnsi="Arial" w:cs="Arial"/>
          <w:bCs/>
          <w:sz w:val="22"/>
          <w:szCs w:val="22"/>
          <w:lang w:eastAsia="en-US"/>
        </w:rPr>
        <w:t xml:space="preserve">. </w:t>
      </w:r>
    </w:p>
    <w:p w14:paraId="27E3D451" w14:textId="218E09AE" w:rsidR="00C03189" w:rsidRPr="00C479B0" w:rsidRDefault="00C03189" w:rsidP="00933908">
      <w:pPr>
        <w:tabs>
          <w:tab w:val="left" w:pos="426"/>
        </w:tabs>
        <w:ind w:firstLine="709"/>
        <w:rPr>
          <w:rFonts w:ascii="Arial" w:eastAsiaTheme="minorHAnsi" w:hAnsi="Arial" w:cs="Arial"/>
          <w:bCs/>
          <w:sz w:val="22"/>
          <w:szCs w:val="22"/>
          <w:lang w:eastAsia="es-CO"/>
        </w:rPr>
      </w:pPr>
      <w:r w:rsidRPr="00C479B0">
        <w:rPr>
          <w:rFonts w:ascii="Arial" w:eastAsiaTheme="minorHAnsi" w:hAnsi="Arial" w:cs="Arial"/>
          <w:bCs/>
          <w:sz w:val="22"/>
          <w:szCs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479B0">
        <w:rPr>
          <w:rFonts w:ascii="Arial" w:eastAsiaTheme="minorHAnsi" w:hAnsi="Arial" w:cs="Arial"/>
          <w:bCs/>
          <w:sz w:val="22"/>
          <w:szCs w:val="22"/>
          <w:vertAlign w:val="superscript"/>
          <w:lang w:eastAsia="es-CO"/>
        </w:rPr>
        <w:footnoteReference w:id="4"/>
      </w:r>
      <w:r w:rsidRPr="00C479B0">
        <w:rPr>
          <w:rFonts w:ascii="Arial" w:eastAsiaTheme="minorHAnsi" w:hAnsi="Arial" w:cs="Arial"/>
          <w:bCs/>
          <w:sz w:val="22"/>
          <w:szCs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C479B0">
        <w:rPr>
          <w:rFonts w:ascii="Arial" w:hAnsi="Arial" w:cs="Arial"/>
          <w:sz w:val="22"/>
          <w:szCs w:val="22"/>
          <w:lang w:eastAsia="en-US"/>
        </w:rPr>
        <w:t xml:space="preserve"> </w:t>
      </w:r>
      <w:r w:rsidRPr="00C479B0">
        <w:rPr>
          <w:rFonts w:ascii="Arial" w:eastAsiaTheme="minorHAnsi" w:hAnsi="Arial" w:cs="Arial"/>
          <w:bCs/>
          <w:sz w:val="22"/>
          <w:szCs w:val="22"/>
          <w:lang w:eastAsia="es-CO"/>
        </w:rPr>
        <w:t>En armonía con lo anterior, la Corte Constitucional ha abordado la definición de la Ley de Garantías Electorales. De esta manera, explica que tiene como propósito:</w:t>
      </w:r>
    </w:p>
    <w:p w14:paraId="6A54EAC9" w14:textId="77777777" w:rsidR="00C03189" w:rsidRPr="00C479B0" w:rsidRDefault="00C03189" w:rsidP="00994B9B">
      <w:pPr>
        <w:spacing w:line="240" w:lineRule="auto"/>
        <w:ind w:left="709" w:right="709"/>
        <w:rPr>
          <w:rFonts w:ascii="Arial" w:eastAsiaTheme="minorHAnsi" w:hAnsi="Arial" w:cs="Arial"/>
          <w:bCs/>
          <w:sz w:val="21"/>
          <w:szCs w:val="21"/>
          <w:lang w:eastAsia="es-CO"/>
        </w:rPr>
      </w:pPr>
      <w:r w:rsidRPr="00C479B0">
        <w:rPr>
          <w:rFonts w:ascii="Arial" w:hAnsi="Arial" w:cs="Arial"/>
          <w:sz w:val="21"/>
          <w:szCs w:val="21"/>
          <w:lang w:eastAsia="en-US"/>
        </w:rPr>
        <w:lastRenderedPageBreak/>
        <w:t>«</w:t>
      </w:r>
      <w:r w:rsidRPr="00C479B0">
        <w:rPr>
          <w:rFonts w:ascii="Arial" w:eastAsiaTheme="minorHAnsi" w:hAnsi="Arial" w:cs="Arial"/>
          <w:sz w:val="21"/>
          <w:szCs w:val="21"/>
          <w:lang w:eastAsia="es-CO"/>
        </w:rPr>
        <w:t xml:space="preserve">[…] </w:t>
      </w:r>
      <w:r w:rsidRPr="00C479B0">
        <w:rPr>
          <w:rFonts w:ascii="Arial" w:eastAsiaTheme="minorHAnsi"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56C0062C" w14:textId="77777777" w:rsidR="00C03189" w:rsidRPr="00C479B0" w:rsidRDefault="00C03189" w:rsidP="00994B9B">
      <w:pPr>
        <w:spacing w:after="120" w:line="240" w:lineRule="auto"/>
        <w:ind w:left="709" w:right="709"/>
        <w:rPr>
          <w:rFonts w:ascii="Arial" w:eastAsiaTheme="minorHAnsi" w:hAnsi="Arial" w:cs="Arial"/>
          <w:bCs/>
          <w:sz w:val="21"/>
          <w:szCs w:val="21"/>
          <w:lang w:eastAsia="es-CO"/>
        </w:rPr>
      </w:pPr>
      <w:r w:rsidRPr="00C479B0">
        <w:rPr>
          <w:rFonts w:ascii="Arial" w:eastAsiaTheme="minorHAnsi" w:hAnsi="Arial" w:cs="Arial"/>
          <w:bCs/>
          <w:sz w:val="21"/>
          <w:szCs w:val="21"/>
          <w:lang w:eastAsia="es-CO"/>
        </w:rPr>
        <w:t xml:space="preserve">[…] </w:t>
      </w:r>
    </w:p>
    <w:p w14:paraId="3071651A" w14:textId="1C5482FC" w:rsidR="00C03189" w:rsidRPr="00C479B0" w:rsidRDefault="00C03189" w:rsidP="00994B9B">
      <w:pPr>
        <w:spacing w:line="240" w:lineRule="auto"/>
        <w:ind w:left="709" w:right="709"/>
        <w:rPr>
          <w:rFonts w:ascii="Arial" w:eastAsiaTheme="minorHAnsi" w:hAnsi="Arial" w:cs="Arial"/>
          <w:bCs/>
          <w:sz w:val="21"/>
          <w:szCs w:val="21"/>
          <w:lang w:eastAsia="es-CO"/>
        </w:rPr>
      </w:pPr>
      <w:r w:rsidRPr="00C479B0">
        <w:rPr>
          <w:rFonts w:ascii="Arial" w:eastAsiaTheme="minorHAnsi"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479B0">
        <w:rPr>
          <w:rFonts w:ascii="Arial" w:eastAsiaTheme="minorHAnsi" w:hAnsi="Arial" w:cs="Arial"/>
          <w:sz w:val="21"/>
          <w:szCs w:val="21"/>
          <w:lang w:eastAsia="en-US"/>
        </w:rPr>
        <w:t>»</w:t>
      </w:r>
      <w:r w:rsidRPr="00C479B0">
        <w:rPr>
          <w:rFonts w:ascii="Arial" w:eastAsiaTheme="minorHAnsi" w:hAnsi="Arial" w:cs="Arial"/>
          <w:sz w:val="20"/>
          <w:szCs w:val="20"/>
          <w:vertAlign w:val="superscript"/>
          <w:lang w:eastAsia="en-US"/>
        </w:rPr>
        <w:footnoteReference w:id="5"/>
      </w:r>
    </w:p>
    <w:p w14:paraId="035DA908" w14:textId="7606D416" w:rsidR="00C03189" w:rsidRPr="00C479B0" w:rsidRDefault="009A7F14" w:rsidP="005F39C9">
      <w:pPr>
        <w:ind w:firstLine="709"/>
        <w:rPr>
          <w:rFonts w:ascii="Arial" w:eastAsiaTheme="minorHAnsi" w:hAnsi="Arial" w:cs="Arial"/>
          <w:bCs/>
          <w:sz w:val="22"/>
          <w:szCs w:val="22"/>
          <w:lang w:eastAsia="es-CO"/>
        </w:rPr>
      </w:pPr>
      <w:r w:rsidRPr="00D02A08">
        <w:rPr>
          <w:rFonts w:ascii="Arial" w:eastAsia="Times New Roman"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incluyendo restricciones en el actuar de los servidores públicos, las cuales buscan evitar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B2A398D" w14:textId="77777777" w:rsidR="00C03189" w:rsidRPr="00C479B0" w:rsidRDefault="00C03189" w:rsidP="00994B9B">
      <w:pPr>
        <w:spacing w:after="120" w:line="240" w:lineRule="auto"/>
        <w:ind w:left="709" w:right="709"/>
        <w:rPr>
          <w:rFonts w:ascii="Arial" w:eastAsiaTheme="minorHAnsi" w:hAnsi="Arial" w:cs="Arial"/>
          <w:bCs/>
          <w:sz w:val="21"/>
          <w:szCs w:val="21"/>
          <w:lang w:eastAsia="es-CO"/>
        </w:rPr>
      </w:pPr>
      <w:r w:rsidRPr="00C479B0">
        <w:rPr>
          <w:rFonts w:ascii="Arial" w:hAnsi="Arial" w:cs="Arial"/>
          <w:sz w:val="21"/>
          <w:szCs w:val="21"/>
          <w:lang w:eastAsia="en-US"/>
        </w:rPr>
        <w:t>«</w:t>
      </w:r>
      <w:r w:rsidRPr="00C479B0">
        <w:rPr>
          <w:rFonts w:ascii="Arial" w:eastAsiaTheme="minorHAnsi"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C479B0">
        <w:rPr>
          <w:rFonts w:ascii="Arial" w:eastAsiaTheme="minorHAnsi" w:hAnsi="Arial" w:cs="Arial"/>
          <w:bCs/>
          <w:sz w:val="21"/>
          <w:szCs w:val="21"/>
          <w:lang w:eastAsia="es-CO"/>
        </w:rPr>
        <w:t>legis</w:t>
      </w:r>
      <w:proofErr w:type="spellEnd"/>
      <w:r w:rsidRPr="00C479B0">
        <w:rPr>
          <w:rFonts w:ascii="Arial" w:eastAsiaTheme="minorHAnsi"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658A4D8" w14:textId="74930798" w:rsidR="00C03189" w:rsidRPr="00C479B0" w:rsidRDefault="00C03189" w:rsidP="00994B9B">
      <w:pPr>
        <w:spacing w:line="240" w:lineRule="auto"/>
        <w:ind w:left="709" w:right="709"/>
        <w:rPr>
          <w:rFonts w:ascii="Arial" w:eastAsiaTheme="minorHAnsi" w:hAnsi="Arial" w:cs="Arial"/>
          <w:bCs/>
          <w:sz w:val="21"/>
          <w:szCs w:val="21"/>
          <w:lang w:eastAsia="es-CO"/>
        </w:rPr>
      </w:pPr>
      <w:r w:rsidRPr="00C479B0">
        <w:rPr>
          <w:rFonts w:ascii="Arial" w:eastAsiaTheme="minorHAnsi" w:hAnsi="Arial" w:cs="Arial"/>
          <w:bCs/>
          <w:sz w:val="21"/>
          <w:szCs w:val="21"/>
          <w:lang w:eastAsia="es-CO"/>
        </w:rPr>
        <w:t>La jurisprudencia de la Corte Constitucional</w:t>
      </w:r>
      <w:r w:rsidRPr="00C479B0">
        <w:rPr>
          <w:rFonts w:ascii="Arial" w:eastAsiaTheme="minorHAnsi" w:hAnsi="Arial" w:cs="Arial"/>
          <w:bCs/>
          <w:sz w:val="21"/>
          <w:szCs w:val="21"/>
          <w:vertAlign w:val="superscript"/>
          <w:lang w:eastAsia="es-CO"/>
        </w:rPr>
        <w:footnoteReference w:id="6"/>
      </w:r>
      <w:r w:rsidRPr="00C479B0">
        <w:rPr>
          <w:rFonts w:ascii="Arial" w:eastAsiaTheme="minorHAnsi" w:hAnsi="Arial" w:cs="Arial"/>
          <w:bCs/>
          <w:sz w:val="21"/>
          <w:szCs w:val="21"/>
          <w:lang w:eastAsia="es-CO"/>
        </w:rPr>
        <w:t> y del Consejo de Estado</w:t>
      </w:r>
      <w:r w:rsidRPr="00C479B0">
        <w:rPr>
          <w:rFonts w:ascii="Arial" w:eastAsiaTheme="minorHAnsi" w:hAnsi="Arial" w:cs="Arial"/>
          <w:bCs/>
          <w:sz w:val="21"/>
          <w:szCs w:val="21"/>
          <w:vertAlign w:val="superscript"/>
          <w:lang w:eastAsia="es-CO"/>
        </w:rPr>
        <w:footnoteReference w:id="7"/>
      </w:r>
      <w:r w:rsidRPr="00C479B0">
        <w:rPr>
          <w:rFonts w:ascii="Arial" w:eastAsiaTheme="minorHAnsi" w:hAnsi="Arial" w:cs="Arial"/>
          <w:bCs/>
          <w:sz w:val="21"/>
          <w:szCs w:val="21"/>
          <w:lang w:eastAsia="es-CO"/>
        </w:rPr>
        <w:t xml:space="preserve">, coinciden en que las normas que establecen prohibiciones deben estar de manera explícita </w:t>
      </w:r>
      <w:r w:rsidRPr="00C479B0">
        <w:rPr>
          <w:rFonts w:ascii="Arial" w:eastAsiaTheme="minorHAnsi" w:hAnsi="Arial" w:cs="Arial"/>
          <w:bCs/>
          <w:sz w:val="21"/>
          <w:szCs w:val="21"/>
          <w:lang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C479B0">
        <w:rPr>
          <w:rFonts w:ascii="Arial" w:eastAsiaTheme="minorHAnsi" w:hAnsi="Arial" w:cs="Arial"/>
          <w:sz w:val="21"/>
          <w:szCs w:val="21"/>
          <w:lang w:eastAsia="en-US"/>
        </w:rPr>
        <w:t>»</w:t>
      </w:r>
      <w:r w:rsidRPr="00C479B0">
        <w:rPr>
          <w:rFonts w:ascii="Arial" w:eastAsiaTheme="minorHAnsi" w:hAnsi="Arial" w:cs="Arial"/>
          <w:bCs/>
          <w:sz w:val="22"/>
          <w:szCs w:val="22"/>
          <w:vertAlign w:val="superscript"/>
          <w:lang w:eastAsia="es-CO"/>
        </w:rPr>
        <w:footnoteReference w:id="8"/>
      </w:r>
      <w:r w:rsidR="009A7F14">
        <w:rPr>
          <w:rFonts w:ascii="Arial" w:eastAsiaTheme="minorHAnsi" w:hAnsi="Arial" w:cs="Arial"/>
          <w:sz w:val="21"/>
          <w:szCs w:val="21"/>
          <w:lang w:eastAsia="en-US"/>
        </w:rPr>
        <w:t>.</w:t>
      </w:r>
    </w:p>
    <w:p w14:paraId="0A5D3AEC" w14:textId="5AAE24F2" w:rsidR="00ED1997" w:rsidRDefault="00C03189" w:rsidP="00994B9B">
      <w:pPr>
        <w:spacing w:after="0"/>
        <w:rPr>
          <w:rFonts w:ascii="Arial" w:eastAsia="Arial" w:hAnsi="Arial" w:cs="Arial"/>
          <w:sz w:val="22"/>
          <w:szCs w:val="22"/>
          <w:lang w:eastAsia="es-ES" w:bidi="es-ES"/>
        </w:rPr>
      </w:pPr>
      <w:r w:rsidRPr="00C479B0">
        <w:rPr>
          <w:rFonts w:ascii="Arial" w:eastAsiaTheme="minorHAnsi" w:hAnsi="Arial" w:cs="Arial"/>
          <w:bCs/>
          <w:sz w:val="22"/>
          <w:szCs w:val="22"/>
          <w:lang w:eastAsia="es-CO"/>
        </w:rPr>
        <w:tab/>
        <w:t>De</w:t>
      </w:r>
      <w:r w:rsidRPr="00C479B0">
        <w:rPr>
          <w:rFonts w:ascii="Arial" w:eastAsia="Arial" w:hAnsi="Arial" w:cs="Arial"/>
          <w:sz w:val="22"/>
          <w:szCs w:val="22"/>
          <w:lang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r w:rsidR="0042611A" w:rsidRPr="00C479B0">
        <w:rPr>
          <w:rFonts w:ascii="Arial" w:eastAsia="Arial" w:hAnsi="Arial" w:cs="Arial"/>
          <w:sz w:val="22"/>
          <w:szCs w:val="22"/>
          <w:lang w:eastAsia="es-ES" w:bidi="es-ES"/>
        </w:rPr>
        <w:t xml:space="preserve">, siendo necesario analizar las restricciones según cada tipo de elecciones. </w:t>
      </w:r>
    </w:p>
    <w:p w14:paraId="65CC2C35" w14:textId="77777777" w:rsidR="00ED1997" w:rsidRPr="00ED1997" w:rsidRDefault="00ED1997" w:rsidP="00994B9B">
      <w:pPr>
        <w:spacing w:after="0"/>
        <w:rPr>
          <w:rFonts w:ascii="Arial" w:eastAsia="Arial" w:hAnsi="Arial" w:cs="Arial"/>
          <w:sz w:val="22"/>
          <w:szCs w:val="22"/>
          <w:lang w:eastAsia="es-ES" w:bidi="es-ES"/>
        </w:rPr>
      </w:pPr>
    </w:p>
    <w:p w14:paraId="28E51B57" w14:textId="68E56287" w:rsidR="0042611A" w:rsidRPr="00C479B0" w:rsidRDefault="0042611A" w:rsidP="00C03189">
      <w:pPr>
        <w:spacing w:after="120"/>
        <w:rPr>
          <w:rFonts w:ascii="Arial" w:eastAsia="Arial" w:hAnsi="Arial" w:cs="Arial"/>
          <w:b/>
          <w:bCs/>
          <w:sz w:val="22"/>
          <w:szCs w:val="22"/>
          <w:lang w:eastAsia="es-ES" w:bidi="es-ES"/>
        </w:rPr>
      </w:pPr>
      <w:r w:rsidRPr="00C479B0">
        <w:rPr>
          <w:rFonts w:ascii="Arial" w:eastAsia="Arial" w:hAnsi="Arial" w:cs="Arial"/>
          <w:b/>
          <w:bCs/>
          <w:sz w:val="22"/>
          <w:szCs w:val="22"/>
          <w:lang w:eastAsia="es-ES" w:bidi="es-ES"/>
        </w:rPr>
        <w:t xml:space="preserve">2.2. Restricciones según el tipo de elecciones y excepciones a las mismas </w:t>
      </w:r>
    </w:p>
    <w:p w14:paraId="11E4A169" w14:textId="40FCFC89" w:rsidR="00C74C59" w:rsidRPr="00C479B0" w:rsidRDefault="00C74C59" w:rsidP="002706F6">
      <w:pPr>
        <w:rPr>
          <w:rFonts w:ascii="Arial" w:eastAsia="Times New Roman" w:hAnsi="Arial" w:cs="Arial"/>
          <w:bCs/>
          <w:color w:val="000000"/>
          <w:sz w:val="22"/>
          <w:lang w:eastAsia="es-CO"/>
        </w:rPr>
      </w:pPr>
      <w:r w:rsidRPr="00C479B0">
        <w:rPr>
          <w:rFonts w:ascii="Arial" w:eastAsia="Times New Roman" w:hAnsi="Arial" w:cs="Arial"/>
          <w:bCs/>
          <w:color w:val="000000"/>
          <w:sz w:val="22"/>
          <w:lang w:eastAsia="es-CO"/>
        </w:rPr>
        <w:t>La Ley 996 de 2005 hace referencia a las elecciones presidenciales concretamente, y en forma general a las que se realizan para acceder a cargos de elección popular, esta diferenciación ha sido también objeto de análisis por el Consejo de Estado, que ha precisado:</w:t>
      </w:r>
    </w:p>
    <w:p w14:paraId="0B10F910" w14:textId="77777777" w:rsidR="00C74C59" w:rsidRPr="00C479B0" w:rsidRDefault="00C74C59" w:rsidP="00C74C59">
      <w:pPr>
        <w:spacing w:after="0" w:line="240" w:lineRule="auto"/>
        <w:ind w:firstLine="708"/>
        <w:rPr>
          <w:rFonts w:ascii="Arial" w:eastAsia="Times New Roman" w:hAnsi="Arial" w:cs="Arial"/>
          <w:bCs/>
          <w:color w:val="000000"/>
          <w:sz w:val="21"/>
          <w:szCs w:val="21"/>
          <w:lang w:eastAsia="es-CO"/>
        </w:rPr>
      </w:pPr>
      <w:r w:rsidRPr="00C479B0">
        <w:rPr>
          <w:rFonts w:ascii="Arial" w:eastAsia="Times New Roman" w:hAnsi="Arial" w:cs="Arial"/>
          <w:bCs/>
          <w:color w:val="000000"/>
          <w:sz w:val="21"/>
          <w:szCs w:val="21"/>
          <w:lang w:eastAsia="es-CO"/>
        </w:rPr>
        <w:t>[…]</w:t>
      </w:r>
    </w:p>
    <w:p w14:paraId="252F8BF8" w14:textId="77777777" w:rsidR="00C74C59" w:rsidRPr="00C479B0" w:rsidRDefault="00C74C59" w:rsidP="00C74C59">
      <w:pPr>
        <w:spacing w:after="0" w:line="240" w:lineRule="auto"/>
        <w:ind w:left="709" w:right="709"/>
        <w:rPr>
          <w:rFonts w:ascii="Arial" w:eastAsia="Times New Roman" w:hAnsi="Arial" w:cs="Arial"/>
          <w:bCs/>
          <w:color w:val="000000"/>
          <w:sz w:val="21"/>
          <w:szCs w:val="21"/>
          <w:lang w:eastAsia="es-CO"/>
        </w:rPr>
      </w:pPr>
      <w:r w:rsidRPr="00C479B0">
        <w:rPr>
          <w:rFonts w:ascii="Arial" w:eastAsia="Times New Roman" w:hAnsi="Arial" w:cs="Arial"/>
          <w:bCs/>
          <w:color w:val="000000"/>
          <w:sz w:val="21"/>
          <w:szCs w:val="21"/>
          <w:lang w:eastAsia="es-CO"/>
        </w:rPr>
        <w:t xml:space="preserve">La ley 996 de 2005 es el instrumento jurídico garantizador de las condiciones de igualdad y equidad entre los candidatos y </w:t>
      </w:r>
      <w:proofErr w:type="gramStart"/>
      <w:r w:rsidRPr="00C479B0">
        <w:rPr>
          <w:rFonts w:ascii="Arial" w:eastAsia="Times New Roman" w:hAnsi="Arial" w:cs="Arial"/>
          <w:bCs/>
          <w:color w:val="000000"/>
          <w:sz w:val="21"/>
          <w:szCs w:val="21"/>
          <w:lang w:eastAsia="es-CO"/>
        </w:rPr>
        <w:t>en razón de</w:t>
      </w:r>
      <w:proofErr w:type="gramEnd"/>
      <w:r w:rsidRPr="00C479B0">
        <w:rPr>
          <w:rFonts w:ascii="Arial" w:eastAsia="Times New Roman" w:hAnsi="Arial" w:cs="Arial"/>
          <w:bCs/>
          <w:color w:val="000000"/>
          <w:sz w:val="21"/>
          <w:szCs w:val="21"/>
          <w:lang w:eastAsia="es-CO"/>
        </w:rPr>
        <w:t xml:space="preserv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w:t>
      </w:r>
      <w:r w:rsidRPr="00C479B0">
        <w:rPr>
          <w:rStyle w:val="Refdenotaalpie"/>
          <w:rFonts w:ascii="Arial" w:eastAsia="Times New Roman" w:hAnsi="Arial" w:cs="Arial"/>
          <w:bCs/>
          <w:color w:val="000000"/>
          <w:sz w:val="21"/>
          <w:szCs w:val="21"/>
          <w:lang w:eastAsia="es-CO"/>
        </w:rPr>
        <w:footnoteReference w:id="9"/>
      </w:r>
      <w:r w:rsidRPr="00C479B0">
        <w:rPr>
          <w:rFonts w:ascii="Arial" w:eastAsia="Times New Roman" w:hAnsi="Arial" w:cs="Arial"/>
          <w:bCs/>
          <w:color w:val="000000"/>
          <w:sz w:val="21"/>
          <w:szCs w:val="21"/>
          <w:lang w:eastAsia="es-CO"/>
        </w:rPr>
        <w:t>.</w:t>
      </w:r>
    </w:p>
    <w:p w14:paraId="2C196291" w14:textId="77777777" w:rsidR="00C74C59" w:rsidRPr="00C479B0" w:rsidRDefault="00C74C59" w:rsidP="00C74C59">
      <w:pPr>
        <w:spacing w:after="0"/>
        <w:rPr>
          <w:rFonts w:ascii="Arial" w:eastAsia="Times New Roman" w:hAnsi="Arial" w:cs="Arial"/>
          <w:bCs/>
          <w:color w:val="000000"/>
          <w:sz w:val="22"/>
          <w:lang w:eastAsia="es-CO"/>
        </w:rPr>
      </w:pPr>
    </w:p>
    <w:p w14:paraId="64E7145D" w14:textId="44EC2861" w:rsidR="00C74C59" w:rsidRPr="00C479B0" w:rsidRDefault="00C74C59" w:rsidP="009A7F14">
      <w:pPr>
        <w:spacing w:after="0"/>
        <w:ind w:firstLine="708"/>
        <w:rPr>
          <w:rFonts w:ascii="Arial" w:eastAsia="Times New Roman" w:hAnsi="Arial" w:cs="Arial"/>
          <w:bCs/>
          <w:color w:val="000000"/>
          <w:sz w:val="22"/>
          <w:lang w:eastAsia="es-CO"/>
        </w:rPr>
      </w:pPr>
      <w:r w:rsidRPr="00C479B0">
        <w:rPr>
          <w:rFonts w:ascii="Arial" w:eastAsia="Times New Roman" w:hAnsi="Arial" w:cs="Arial"/>
          <w:bCs/>
          <w:color w:val="000000"/>
          <w:sz w:val="22"/>
          <w:lang w:eastAsia="es-CO"/>
        </w:rPr>
        <w:t>Por lo anterior, es importante analizar las restricciones aplicables a cada una de estas elecciones, pues presentan importantes diferencias, contando cada una con un fundamento jurídico diferente. En tal sentido, en primer lugar</w:t>
      </w:r>
      <w:r w:rsidR="002706F6">
        <w:rPr>
          <w:rFonts w:ascii="Arial" w:eastAsia="Times New Roman" w:hAnsi="Arial" w:cs="Arial"/>
          <w:bCs/>
          <w:color w:val="000000"/>
          <w:sz w:val="22"/>
          <w:lang w:eastAsia="es-CO"/>
        </w:rPr>
        <w:t>,</w:t>
      </w:r>
      <w:r w:rsidRPr="00C479B0">
        <w:rPr>
          <w:rFonts w:ascii="Arial" w:eastAsia="Times New Roman" w:hAnsi="Arial" w:cs="Arial"/>
          <w:bCs/>
          <w:color w:val="000000"/>
          <w:sz w:val="22"/>
          <w:lang w:eastAsia="es-CO"/>
        </w:rPr>
        <w:t xml:space="preserve"> se analizarán las restricciones </w:t>
      </w:r>
      <w:r w:rsidRPr="00C479B0">
        <w:rPr>
          <w:rFonts w:ascii="Arial" w:eastAsia="Times New Roman" w:hAnsi="Arial" w:cs="Arial"/>
          <w:bCs/>
          <w:color w:val="000000"/>
          <w:sz w:val="22"/>
          <w:lang w:eastAsia="es-CO"/>
        </w:rPr>
        <w:lastRenderedPageBreak/>
        <w:t>aplicables frente a las elecciones presidenciales y posteriormente frente a los comicios a cargos de elección popular.</w:t>
      </w:r>
    </w:p>
    <w:p w14:paraId="636E6BA7" w14:textId="77777777" w:rsidR="00C74C59" w:rsidRPr="00C479B0" w:rsidRDefault="00C74C59" w:rsidP="00994B9B">
      <w:pPr>
        <w:spacing w:after="0"/>
        <w:rPr>
          <w:rFonts w:ascii="Arial" w:eastAsia="Arial" w:hAnsi="Arial" w:cs="Arial"/>
          <w:b/>
          <w:bCs/>
          <w:sz w:val="22"/>
          <w:szCs w:val="22"/>
          <w:lang w:eastAsia="es-ES" w:bidi="es-ES"/>
        </w:rPr>
      </w:pPr>
    </w:p>
    <w:p w14:paraId="786862D2" w14:textId="554627B8" w:rsidR="0042611A" w:rsidRPr="00C479B0" w:rsidRDefault="0042611A" w:rsidP="00C03189">
      <w:pPr>
        <w:spacing w:after="120"/>
        <w:rPr>
          <w:rFonts w:ascii="Arial" w:eastAsia="Arial" w:hAnsi="Arial" w:cs="Arial"/>
          <w:b/>
          <w:bCs/>
          <w:sz w:val="22"/>
          <w:szCs w:val="22"/>
          <w:lang w:eastAsia="es-ES" w:bidi="es-ES"/>
        </w:rPr>
      </w:pPr>
      <w:r w:rsidRPr="00C479B0">
        <w:rPr>
          <w:rFonts w:ascii="Arial" w:eastAsia="Arial" w:hAnsi="Arial" w:cs="Arial"/>
          <w:b/>
          <w:bCs/>
          <w:sz w:val="22"/>
          <w:szCs w:val="22"/>
          <w:lang w:eastAsia="es-ES" w:bidi="es-ES"/>
        </w:rPr>
        <w:t>2.2.1. Restricciones frente a las elecciones presidenciales</w:t>
      </w:r>
    </w:p>
    <w:p w14:paraId="095564A7" w14:textId="77777777" w:rsidR="00C74C59" w:rsidRPr="00C479B0" w:rsidRDefault="00C74C59" w:rsidP="00C74C59">
      <w:pPr>
        <w:spacing w:after="120"/>
        <w:rPr>
          <w:rFonts w:ascii="Arial" w:eastAsia="Times New Roman" w:hAnsi="Arial" w:cs="Arial"/>
          <w:bCs/>
          <w:color w:val="000000"/>
          <w:sz w:val="21"/>
          <w:szCs w:val="21"/>
          <w:lang w:eastAsia="es-CO"/>
        </w:rPr>
      </w:pPr>
      <w:r w:rsidRPr="00C479B0">
        <w:rPr>
          <w:rFonts w:ascii="Arial" w:eastAsia="Times New Roman" w:hAnsi="Arial" w:cs="Arial"/>
          <w:bCs/>
          <w:color w:val="000000"/>
          <w:sz w:val="22"/>
          <w:lang w:eastAsia="es-CO"/>
        </w:rPr>
        <w:t xml:space="preserve">Para las elecciones a la Presidencia de la República, la Ley 996 de 2005 prohíbe la contratación directa por parte de todos los entes del Estado. Así lo señala su artículo 33, limitación que se aplica durante los cuatro (4) meses anteriores a la elección presidencial y hasta la realización de la elección en la segunda vuelta, coincidiendo con la delimitación temporal señalada para la campaña política. </w:t>
      </w:r>
    </w:p>
    <w:p w14:paraId="7B92E319" w14:textId="3FB3A243" w:rsidR="00C74C59" w:rsidRPr="00C479B0" w:rsidRDefault="00C74C59" w:rsidP="00C74C59">
      <w:pPr>
        <w:spacing w:after="120"/>
        <w:ind w:firstLine="709"/>
        <w:rPr>
          <w:rFonts w:ascii="Arial" w:eastAsia="Times New Roman" w:hAnsi="Arial" w:cs="Arial"/>
          <w:bCs/>
          <w:color w:val="000000"/>
          <w:sz w:val="22"/>
          <w:lang w:eastAsia="es-CO"/>
        </w:rPr>
      </w:pPr>
      <w:r w:rsidRPr="00C479B0">
        <w:rPr>
          <w:rFonts w:ascii="Arial" w:eastAsia="Times New Roman" w:hAnsi="Arial" w:cs="Arial"/>
          <w:bCs/>
          <w:color w:val="000000"/>
          <w:sz w:val="22"/>
          <w:lang w:eastAsia="es-CO"/>
        </w:rPr>
        <w:t xml:space="preserve">Sin </w:t>
      </w:r>
      <w:r w:rsidR="005925A2">
        <w:rPr>
          <w:rFonts w:ascii="Arial" w:eastAsia="Times New Roman" w:hAnsi="Arial" w:cs="Arial"/>
          <w:bCs/>
          <w:color w:val="000000"/>
          <w:sz w:val="22"/>
          <w:lang w:eastAsia="es-CO"/>
        </w:rPr>
        <w:t>embargo</w:t>
      </w:r>
      <w:r w:rsidRPr="00C479B0">
        <w:rPr>
          <w:rFonts w:ascii="Arial" w:eastAsia="Times New Roman" w:hAnsi="Arial" w:cs="Arial"/>
          <w:bCs/>
          <w:color w:val="000000"/>
          <w:sz w:val="22"/>
          <w:lang w:eastAsia="es-CO"/>
        </w:rPr>
        <w:t xml:space="preserve">, es importante </w:t>
      </w:r>
      <w:r w:rsidR="005925A2">
        <w:rPr>
          <w:rFonts w:ascii="Arial" w:eastAsia="Times New Roman" w:hAnsi="Arial" w:cs="Arial"/>
          <w:bCs/>
          <w:color w:val="000000"/>
          <w:sz w:val="22"/>
          <w:lang w:eastAsia="es-CO"/>
        </w:rPr>
        <w:t>precisar</w:t>
      </w:r>
      <w:r w:rsidRPr="00C479B0">
        <w:rPr>
          <w:rFonts w:ascii="Arial" w:eastAsia="Times New Roman" w:hAnsi="Arial" w:cs="Arial"/>
          <w:bCs/>
          <w:color w:val="000000"/>
          <w:sz w:val="22"/>
          <w:lang w:eastAsia="es-CO"/>
        </w:rPr>
        <w:t xml:space="preserve"> que el artículo 33 de la Ley 996 de 2005, además de prescribir la prohibición, establece las excepciones a la misma, señalando los siguientes contratos y circunstancias excepcionales:  </w:t>
      </w:r>
    </w:p>
    <w:p w14:paraId="4D1F2739" w14:textId="77777777" w:rsidR="00C74C59" w:rsidRPr="00C479B0" w:rsidRDefault="00C74C59" w:rsidP="00C74C59">
      <w:pPr>
        <w:spacing w:after="0" w:line="240" w:lineRule="auto"/>
        <w:ind w:left="709" w:right="709"/>
        <w:rPr>
          <w:rFonts w:ascii="Arial" w:eastAsia="Times New Roman" w:hAnsi="Arial" w:cs="Arial"/>
          <w:bCs/>
          <w:color w:val="000000"/>
          <w:sz w:val="22"/>
          <w:lang w:eastAsia="es-CO"/>
        </w:rPr>
      </w:pPr>
      <w:r w:rsidRPr="00C479B0">
        <w:rPr>
          <w:rFonts w:ascii="Arial" w:eastAsia="Times New Roman" w:hAnsi="Arial" w:cs="Arial"/>
          <w:bCs/>
          <w:color w:val="000000"/>
          <w:sz w:val="21"/>
          <w:szCs w:val="21"/>
          <w:lang w:eastAsia="es-CO"/>
        </w:rPr>
        <w:t xml:space="preserve">«[…] Queda exceptuado lo referente a la defensa y seguridad del Estado, los contratos de crédito público, </w:t>
      </w:r>
      <w:r w:rsidRPr="00C479B0">
        <w:rPr>
          <w:rFonts w:ascii="Arial" w:eastAsia="Times New Roman" w:hAnsi="Arial" w:cs="Arial"/>
          <w:bCs/>
          <w:iCs/>
          <w:color w:val="000000"/>
          <w:sz w:val="21"/>
          <w:szCs w:val="21"/>
          <w:lang w:eastAsia="es-CO"/>
        </w:rPr>
        <w:t>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479B0">
        <w:rPr>
          <w:rFonts w:ascii="Arial" w:eastAsia="Times New Roman" w:hAnsi="Arial" w:cs="Arial"/>
          <w:bCs/>
          <w:color w:val="000000"/>
          <w:sz w:val="21"/>
          <w:szCs w:val="21"/>
          <w:lang w:eastAsia="es-CO"/>
        </w:rPr>
        <w:t>».</w:t>
      </w:r>
    </w:p>
    <w:p w14:paraId="3F309A56" w14:textId="77777777" w:rsidR="00C74C59" w:rsidRPr="00C479B0" w:rsidRDefault="00C74C59" w:rsidP="00C74C59">
      <w:pPr>
        <w:spacing w:after="0" w:line="240" w:lineRule="auto"/>
        <w:ind w:right="709"/>
        <w:rPr>
          <w:rFonts w:ascii="Arial" w:eastAsia="Times New Roman" w:hAnsi="Arial" w:cs="Arial"/>
          <w:bCs/>
          <w:color w:val="000000" w:themeColor="text1"/>
          <w:sz w:val="22"/>
          <w:lang w:eastAsia="es-CO"/>
        </w:rPr>
      </w:pPr>
    </w:p>
    <w:p w14:paraId="469DACE9" w14:textId="089A3EFD" w:rsidR="00C74C59" w:rsidRPr="00C479B0" w:rsidRDefault="00C74C59" w:rsidP="00C74C59">
      <w:pPr>
        <w:spacing w:after="120"/>
        <w:ind w:firstLine="709"/>
        <w:rPr>
          <w:rFonts w:ascii="Arial" w:hAnsi="Arial" w:cs="Arial"/>
          <w:color w:val="000000" w:themeColor="text1"/>
          <w:sz w:val="22"/>
        </w:rPr>
      </w:pPr>
      <w:r w:rsidRPr="00C479B0">
        <w:rPr>
          <w:rFonts w:ascii="Arial" w:eastAsia="Times New Roman" w:hAnsi="Arial" w:cs="Arial"/>
          <w:bCs/>
          <w:color w:val="000000" w:themeColor="text1"/>
          <w:sz w:val="22"/>
          <w:lang w:eastAsia="es-CO"/>
        </w:rPr>
        <w:t xml:space="preserve">Sin perjuicio de lo anterior, cabe destacar algunas precisiones establecidas en la Circular Externa Única de Colombia Compra Eficiente, en el sentido de que </w:t>
      </w:r>
      <w:r w:rsidRPr="00C479B0">
        <w:rPr>
          <w:rFonts w:ascii="Arial" w:hAnsi="Arial" w:cs="Arial"/>
          <w:color w:val="000000" w:themeColor="text1"/>
          <w:sz w:val="22"/>
        </w:rPr>
        <w:t xml:space="preserve">las prohibiciones de la </w:t>
      </w:r>
      <w:r w:rsidRPr="00C479B0">
        <w:rPr>
          <w:rFonts w:ascii="Arial" w:eastAsia="Times New Roman" w:hAnsi="Arial" w:cs="Arial"/>
          <w:bCs/>
          <w:color w:val="000000" w:themeColor="text1"/>
          <w:sz w:val="22"/>
          <w:lang w:eastAsia="es-CO"/>
        </w:rPr>
        <w:t>Ley de Garantías no aplican a los contratos o convenios que se deban celebrar en virtud de un fallo judicial</w:t>
      </w:r>
      <w:r w:rsidRPr="00C479B0">
        <w:rPr>
          <w:rStyle w:val="Refdenotaalpie"/>
          <w:rFonts w:ascii="Arial" w:eastAsia="Times New Roman" w:hAnsi="Arial" w:cs="Arial"/>
          <w:bCs/>
          <w:color w:val="000000" w:themeColor="text1"/>
          <w:sz w:val="22"/>
          <w:lang w:eastAsia="es-CO"/>
        </w:rPr>
        <w:footnoteReference w:id="10"/>
      </w:r>
      <w:r w:rsidRPr="00C479B0">
        <w:rPr>
          <w:rFonts w:ascii="Arial" w:eastAsia="Times New Roman" w:hAnsi="Arial" w:cs="Arial"/>
          <w:bCs/>
          <w:color w:val="000000" w:themeColor="text1"/>
          <w:sz w:val="22"/>
          <w:lang w:eastAsia="es-CO"/>
        </w:rPr>
        <w:t xml:space="preserve">, tampoco se extienden a las </w:t>
      </w:r>
      <w:r w:rsidRPr="00C479B0">
        <w:rPr>
          <w:rFonts w:ascii="Arial" w:eastAsia="Times New Roman" w:hAnsi="Arial" w:cs="Arial"/>
          <w:color w:val="000000" w:themeColor="text1"/>
          <w:sz w:val="22"/>
        </w:rPr>
        <w:t xml:space="preserve">prórrogas, modificaciones o adiciones, ni a la cesión de aquellos contratos suscritos antes </w:t>
      </w:r>
      <w:r w:rsidRPr="00C479B0">
        <w:rPr>
          <w:rFonts w:ascii="Arial" w:hAnsi="Arial" w:cs="Arial"/>
          <w:color w:val="000000" w:themeColor="text1"/>
          <w:sz w:val="22"/>
        </w:rPr>
        <w:t>del período electoral, siempre que dichos actos cumplan con los principios de planeación, transparencia y responsabilidad, siempre que los contratos hayan sido suscritos antes del periodo electoral y se encuentren vigentes</w:t>
      </w:r>
      <w:r w:rsidRPr="00C479B0">
        <w:rPr>
          <w:rStyle w:val="Refdenotaalpie"/>
          <w:rFonts w:ascii="Arial" w:hAnsi="Arial" w:cs="Arial"/>
          <w:color w:val="000000" w:themeColor="text1"/>
          <w:sz w:val="22"/>
        </w:rPr>
        <w:footnoteReference w:id="11"/>
      </w:r>
      <w:r w:rsidRPr="00C479B0">
        <w:rPr>
          <w:rFonts w:ascii="Arial" w:hAnsi="Arial" w:cs="Arial"/>
          <w:color w:val="000000" w:themeColor="text1"/>
          <w:sz w:val="22"/>
        </w:rPr>
        <w:t>.</w:t>
      </w:r>
    </w:p>
    <w:p w14:paraId="29FF2E0E" w14:textId="77777777" w:rsidR="00C74C59" w:rsidRPr="00C479B0" w:rsidRDefault="00C74C59" w:rsidP="00C74C59">
      <w:pPr>
        <w:spacing w:after="120"/>
        <w:ind w:firstLine="709"/>
        <w:rPr>
          <w:rFonts w:ascii="Arial" w:eastAsia="Times New Roman" w:hAnsi="Arial" w:cs="Arial"/>
          <w:bCs/>
          <w:color w:val="000000"/>
          <w:sz w:val="21"/>
          <w:szCs w:val="21"/>
          <w:lang w:eastAsia="es-CO"/>
        </w:rPr>
      </w:pPr>
      <w:r w:rsidRPr="00C479B0">
        <w:rPr>
          <w:rFonts w:ascii="Arial" w:hAnsi="Arial" w:cs="Arial"/>
          <w:color w:val="000000" w:themeColor="text1"/>
          <w:sz w:val="22"/>
        </w:rPr>
        <w:t xml:space="preserve">Las excepciones a las restricciones consagradas en la Ley 996 de 2005 se originan en la necesidad de darle continuidad a la dinámica estatal, de manera que cuente con la posibilidad de atender emergencias, evitando su inactividad y salvaguardando sus fines esenciales, sobre dichas excepciones el Consejo de Estado ha precisado que «[…] protegen diversos tipos de urgencias que tienden a no restringir desproporcionadamente la </w:t>
      </w:r>
      <w:r w:rsidRPr="00C479B0">
        <w:rPr>
          <w:rFonts w:ascii="Arial" w:hAnsi="Arial" w:cs="Arial"/>
          <w:color w:val="000000" w:themeColor="text1"/>
          <w:sz w:val="22"/>
        </w:rPr>
        <w:lastRenderedPageBreak/>
        <w:t>acción del Estado en el cumplimiento de sus fines que podrían llevarlo a insalvables encrucijadas por su inactividad ante situaciones urgentes»</w:t>
      </w:r>
      <w:r w:rsidRPr="00C479B0">
        <w:rPr>
          <w:rStyle w:val="Refdenotaalpie"/>
          <w:rFonts w:ascii="Arial" w:hAnsi="Arial" w:cs="Arial"/>
          <w:color w:val="000000" w:themeColor="text1"/>
          <w:sz w:val="22"/>
        </w:rPr>
        <w:footnoteReference w:id="12"/>
      </w:r>
      <w:r w:rsidRPr="00C479B0">
        <w:rPr>
          <w:rFonts w:ascii="Arial" w:hAnsi="Arial" w:cs="Arial"/>
          <w:color w:val="000000" w:themeColor="text1"/>
          <w:sz w:val="22"/>
        </w:rPr>
        <w:t xml:space="preserve">. </w:t>
      </w:r>
    </w:p>
    <w:p w14:paraId="022FA2A5" w14:textId="63C9F1D5" w:rsidR="00C74C59" w:rsidRPr="00C479B0" w:rsidRDefault="00C74C59" w:rsidP="00D05899">
      <w:pPr>
        <w:spacing w:after="0"/>
        <w:ind w:firstLine="709"/>
        <w:rPr>
          <w:rFonts w:ascii="Arial" w:eastAsia="Times New Roman" w:hAnsi="Arial" w:cs="Arial"/>
          <w:bCs/>
          <w:color w:val="000000"/>
          <w:sz w:val="22"/>
          <w:lang w:eastAsia="es-CO"/>
        </w:rPr>
      </w:pPr>
      <w:r w:rsidRPr="00C479B0">
        <w:rPr>
          <w:rFonts w:ascii="Arial" w:eastAsia="Times New Roman" w:hAnsi="Arial" w:cs="Arial"/>
          <w:bCs/>
          <w:color w:val="000000"/>
          <w:sz w:val="22"/>
          <w:lang w:eastAsia="es-CO"/>
        </w:rPr>
        <w:t xml:space="preserve">De otro lado, para efectos de las elecciones presidenciales, a la prohibición de acudir a la modalidad de contratación directa durante el periodo electoral, se sumarán las restricciones generales que prevé la Ley de Garantías para los comicios que definen el acceso a cargos de elección popular, comoquiera que las elecciones presidenciales hacen parte de estos. No obstante, están exceptuados </w:t>
      </w:r>
      <w:r w:rsidR="00C217A3">
        <w:rPr>
          <w:rFonts w:ascii="Arial" w:eastAsia="Times New Roman" w:hAnsi="Arial" w:cs="Arial"/>
          <w:bCs/>
          <w:color w:val="000000"/>
          <w:sz w:val="22"/>
          <w:lang w:eastAsia="es-CO"/>
        </w:rPr>
        <w:t xml:space="preserve">de la restricción establecida en el artículo 33 </w:t>
      </w:r>
      <w:r w:rsidRPr="00C479B0">
        <w:rPr>
          <w:rFonts w:ascii="Arial" w:eastAsia="Times New Roman" w:hAnsi="Arial" w:cs="Arial"/>
          <w:bCs/>
          <w:color w:val="000000"/>
          <w:sz w:val="22"/>
          <w:lang w:eastAsia="es-CO"/>
        </w:rPr>
        <w:t xml:space="preserve">los contratos relacionados con </w:t>
      </w:r>
      <w:r w:rsidRPr="00C479B0">
        <w:rPr>
          <w:rFonts w:ascii="Arial" w:eastAsia="Times New Roman" w:hAnsi="Arial" w:cs="Arial"/>
          <w:bCs/>
          <w:color w:val="000000"/>
          <w:sz w:val="21"/>
          <w:szCs w:val="21"/>
          <w:lang w:eastAsia="es-CO"/>
        </w:rPr>
        <w:t xml:space="preserve">la defensa y seguridad del Estado, aquellos necesarios para atender emergencias o relacionados con la reconstrucción de infraestructura afectada por atentados, acciones terroristas, desastres naturales o casos de fuerza mayor, y los que deban realizar las entidades sanitarias y hospitalarias, de acuerdo con lo establecido en el artículo 33 de la Ley 996 de 2005. </w:t>
      </w:r>
    </w:p>
    <w:p w14:paraId="4FB2B2FE" w14:textId="77777777" w:rsidR="00D05899" w:rsidRPr="00C479B0" w:rsidRDefault="00D05899" w:rsidP="00D05899">
      <w:pPr>
        <w:spacing w:after="0"/>
        <w:ind w:firstLine="709"/>
        <w:rPr>
          <w:rFonts w:ascii="Arial" w:eastAsia="Times New Roman" w:hAnsi="Arial" w:cs="Arial"/>
          <w:bCs/>
          <w:color w:val="000000"/>
          <w:sz w:val="22"/>
          <w:lang w:eastAsia="es-CO"/>
        </w:rPr>
      </w:pPr>
    </w:p>
    <w:p w14:paraId="28F60628" w14:textId="33A52984" w:rsidR="00C74C59" w:rsidRPr="00C479B0" w:rsidRDefault="00D05899" w:rsidP="00D05899">
      <w:pPr>
        <w:widowControl w:val="0"/>
        <w:autoSpaceDE w:val="0"/>
        <w:autoSpaceDN w:val="0"/>
        <w:ind w:right="113"/>
        <w:rPr>
          <w:rFonts w:ascii="Arial" w:hAnsi="Arial" w:cs="Arial"/>
          <w:b/>
          <w:bCs/>
          <w:sz w:val="22"/>
          <w:szCs w:val="22"/>
          <w:lang w:eastAsia="en-US"/>
        </w:rPr>
      </w:pPr>
      <w:r w:rsidRPr="00C479B0">
        <w:rPr>
          <w:rFonts w:ascii="Arial" w:hAnsi="Arial" w:cs="Arial"/>
          <w:b/>
          <w:bCs/>
          <w:sz w:val="22"/>
          <w:szCs w:val="22"/>
          <w:lang w:eastAsia="en-US"/>
        </w:rPr>
        <w:t>2.2.2. Restricciones frente a los comici</w:t>
      </w:r>
      <w:r w:rsidR="00C479B0">
        <w:rPr>
          <w:rFonts w:ascii="Arial" w:hAnsi="Arial" w:cs="Arial"/>
          <w:b/>
          <w:bCs/>
          <w:sz w:val="22"/>
          <w:szCs w:val="22"/>
          <w:lang w:eastAsia="en-US"/>
        </w:rPr>
        <w:t>o</w:t>
      </w:r>
      <w:r w:rsidRPr="00C479B0">
        <w:rPr>
          <w:rFonts w:ascii="Arial" w:hAnsi="Arial" w:cs="Arial"/>
          <w:b/>
          <w:bCs/>
          <w:sz w:val="22"/>
          <w:szCs w:val="22"/>
          <w:lang w:eastAsia="en-US"/>
        </w:rPr>
        <w:t>s a cargos de elección popular</w:t>
      </w:r>
      <w:r w:rsidR="00C217A3">
        <w:rPr>
          <w:rFonts w:ascii="Arial" w:hAnsi="Arial" w:cs="Arial"/>
          <w:b/>
          <w:bCs/>
          <w:sz w:val="22"/>
          <w:szCs w:val="22"/>
          <w:lang w:eastAsia="en-US"/>
        </w:rPr>
        <w:t>, incluyendo las elecciones presidenciales</w:t>
      </w:r>
    </w:p>
    <w:p w14:paraId="6E902118" w14:textId="77777777" w:rsidR="002D5D65" w:rsidRPr="00C479B0" w:rsidRDefault="002D5D65" w:rsidP="002D5D65">
      <w:pPr>
        <w:tabs>
          <w:tab w:val="left" w:pos="426"/>
        </w:tabs>
        <w:spacing w:after="120"/>
        <w:rPr>
          <w:rFonts w:ascii="Arial" w:eastAsia="Arial" w:hAnsi="Arial" w:cs="Arial"/>
          <w:sz w:val="22"/>
          <w:szCs w:val="22"/>
        </w:rPr>
      </w:pPr>
      <w:r w:rsidRPr="00C479B0">
        <w:rPr>
          <w:rFonts w:ascii="Arial" w:eastAsia="Arial" w:hAnsi="Arial" w:cs="Arial"/>
          <w:sz w:val="22"/>
          <w:szCs w:val="22"/>
        </w:rPr>
        <w:t xml:space="preserve">El parágrafo del artículo 38 de la Ley 996 de 2005 dispone que «[l]os Gobernadores, </w:t>
      </w:r>
      <w:proofErr w:type="gramStart"/>
      <w:r w:rsidRPr="00C479B0">
        <w:rPr>
          <w:rFonts w:ascii="Arial" w:eastAsia="Arial" w:hAnsi="Arial" w:cs="Arial"/>
          <w:sz w:val="22"/>
          <w:szCs w:val="22"/>
        </w:rPr>
        <w:t>Alcaldes</w:t>
      </w:r>
      <w:proofErr w:type="gramEnd"/>
      <w:r w:rsidRPr="00C479B0">
        <w:rPr>
          <w:rFonts w:ascii="Arial" w:eastAsia="Arial" w:hAnsi="Arial" w:cs="Arial"/>
          <w:sz w:val="22"/>
          <w:szCs w:val="22"/>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C479B0">
        <w:rPr>
          <w:rFonts w:ascii="Arial" w:eastAsia="Arial" w:hAnsi="Arial" w:cs="Arial"/>
          <w:sz w:val="22"/>
          <w:szCs w:val="22"/>
          <w:vertAlign w:val="superscript"/>
        </w:rPr>
        <w:footnoteReference w:id="13"/>
      </w:r>
      <w:r w:rsidRPr="00C479B0">
        <w:rPr>
          <w:rFonts w:ascii="Arial" w:eastAsia="Arial" w:hAnsi="Arial" w:cs="Arial"/>
          <w:sz w:val="22"/>
          <w:szCs w:val="22"/>
        </w:rPr>
        <w:t>.</w:t>
      </w:r>
      <w:r w:rsidRPr="00C479B0">
        <w:rPr>
          <w:rFonts w:ascii="Arial" w:eastAsia="Arial" w:hAnsi="Arial" w:cs="Arial"/>
        </w:rPr>
        <w:t xml:space="preserve"> </w:t>
      </w:r>
    </w:p>
    <w:p w14:paraId="2A527ACC" w14:textId="77777777" w:rsidR="002D5D65" w:rsidRPr="00C479B0" w:rsidRDefault="002D5D65" w:rsidP="002D5D65">
      <w:pPr>
        <w:widowControl w:val="0"/>
        <w:pBdr>
          <w:top w:val="nil"/>
          <w:left w:val="nil"/>
          <w:bottom w:val="nil"/>
          <w:right w:val="nil"/>
          <w:between w:val="nil"/>
        </w:pBdr>
        <w:spacing w:after="120"/>
        <w:ind w:firstLine="707"/>
        <w:rPr>
          <w:rFonts w:ascii="Arial" w:eastAsia="Arial" w:hAnsi="Arial" w:cs="Arial"/>
          <w:color w:val="000000"/>
          <w:sz w:val="22"/>
          <w:szCs w:val="22"/>
        </w:rPr>
      </w:pPr>
      <w:bookmarkStart w:id="6" w:name="_1ksv4uv" w:colFirst="0" w:colLast="0"/>
      <w:bookmarkEnd w:id="6"/>
      <w:r w:rsidRPr="00C479B0">
        <w:rPr>
          <w:rFonts w:ascii="Arial" w:eastAsia="Arial" w:hAnsi="Arial" w:cs="Arial"/>
          <w:color w:val="000000"/>
          <w:sz w:val="22"/>
          <w:szCs w:val="22"/>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C479B0">
        <w:rPr>
          <w:rFonts w:ascii="Arial" w:eastAsia="Arial" w:hAnsi="Arial" w:cs="Arial"/>
          <w:color w:val="000000"/>
          <w:sz w:val="22"/>
          <w:szCs w:val="22"/>
          <w:vertAlign w:val="superscript"/>
        </w:rPr>
        <w:footnoteReference w:id="14"/>
      </w:r>
      <w:r w:rsidRPr="00C479B0">
        <w:rPr>
          <w:rFonts w:ascii="Arial" w:eastAsia="Arial" w:hAnsi="Arial" w:cs="Arial"/>
          <w:color w:val="000000"/>
          <w:sz w:val="22"/>
          <w:szCs w:val="22"/>
        </w:rPr>
        <w:t xml:space="preserve">. De acuerdo con lo anterior, el contrato o el convenio </w:t>
      </w:r>
      <w:r w:rsidRPr="00C479B0">
        <w:rPr>
          <w:rFonts w:ascii="Arial" w:eastAsia="Arial" w:hAnsi="Arial" w:cs="Arial"/>
          <w:color w:val="000000"/>
          <w:sz w:val="22"/>
          <w:szCs w:val="22"/>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93DBF4C" w14:textId="77777777" w:rsidR="002D5D65" w:rsidRPr="00C479B0" w:rsidRDefault="002D5D65" w:rsidP="002D5D65">
      <w:pPr>
        <w:widowControl w:val="0"/>
        <w:pBdr>
          <w:top w:val="nil"/>
          <w:left w:val="nil"/>
          <w:bottom w:val="nil"/>
          <w:right w:val="nil"/>
          <w:between w:val="nil"/>
        </w:pBdr>
        <w:spacing w:before="117" w:after="120"/>
        <w:ind w:firstLine="707"/>
        <w:rPr>
          <w:rFonts w:ascii="Arial" w:eastAsia="Arial" w:hAnsi="Arial" w:cs="Arial"/>
          <w:color w:val="000000"/>
          <w:sz w:val="22"/>
          <w:szCs w:val="22"/>
        </w:rPr>
      </w:pPr>
      <w:bookmarkStart w:id="7" w:name="_44sinio" w:colFirst="0" w:colLast="0"/>
      <w:bookmarkEnd w:id="7"/>
      <w:r w:rsidRPr="00C479B0">
        <w:rPr>
          <w:rFonts w:ascii="Arial" w:eastAsia="Arial" w:hAnsi="Arial" w:cs="Arial"/>
          <w:color w:val="000000"/>
          <w:sz w:val="22"/>
          <w:szCs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10E0A2A0" w14:textId="77777777" w:rsidR="002D5D65" w:rsidRPr="00C479B0" w:rsidRDefault="002D5D65" w:rsidP="002D5D65">
      <w:pPr>
        <w:widowControl w:val="0"/>
        <w:pBdr>
          <w:top w:val="nil"/>
          <w:left w:val="nil"/>
          <w:bottom w:val="nil"/>
          <w:right w:val="nil"/>
          <w:between w:val="nil"/>
        </w:pBdr>
        <w:spacing w:before="121" w:after="120"/>
        <w:ind w:firstLine="707"/>
        <w:rPr>
          <w:rFonts w:ascii="Arial" w:eastAsia="Arial" w:hAnsi="Arial" w:cs="Arial"/>
          <w:color w:val="000000"/>
          <w:sz w:val="22"/>
          <w:szCs w:val="22"/>
        </w:rPr>
      </w:pPr>
      <w:r w:rsidRPr="00C479B0">
        <w:rPr>
          <w:rFonts w:ascii="Arial" w:eastAsia="Arial" w:hAnsi="Arial" w:cs="Arial"/>
          <w:color w:val="000000"/>
          <w:sz w:val="22"/>
          <w:szCs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479B0">
        <w:rPr>
          <w:rFonts w:ascii="Arial" w:eastAsia="Arial" w:hAnsi="Arial" w:cs="Arial"/>
          <w:color w:val="000000"/>
          <w:sz w:val="22"/>
          <w:szCs w:val="22"/>
          <w:vertAlign w:val="superscript"/>
        </w:rPr>
        <w:footnoteReference w:id="15"/>
      </w:r>
      <w:r w:rsidRPr="00C479B0">
        <w:rPr>
          <w:rFonts w:ascii="Arial" w:eastAsia="Arial" w:hAnsi="Arial" w:cs="Arial"/>
          <w:color w:val="000000"/>
          <w:sz w:val="22"/>
          <w:szCs w:val="22"/>
        </w:rPr>
        <w:t>. Nótese que, en este caso, lo que cambia es la modalidad de selección y no la naturaleza de contrato interadministrativo.</w:t>
      </w:r>
    </w:p>
    <w:p w14:paraId="14CB89B4" w14:textId="77777777" w:rsidR="002D5D65" w:rsidRPr="00C479B0" w:rsidRDefault="002D5D65" w:rsidP="002D5D65">
      <w:pPr>
        <w:widowControl w:val="0"/>
        <w:pBdr>
          <w:top w:val="nil"/>
          <w:left w:val="nil"/>
          <w:bottom w:val="nil"/>
          <w:right w:val="nil"/>
          <w:between w:val="nil"/>
        </w:pBdr>
        <w:spacing w:before="114" w:after="0"/>
        <w:ind w:firstLine="707"/>
        <w:rPr>
          <w:rFonts w:ascii="Arial" w:eastAsia="Arial" w:hAnsi="Arial" w:cs="Arial"/>
          <w:color w:val="000000"/>
          <w:sz w:val="22"/>
          <w:szCs w:val="22"/>
        </w:rPr>
      </w:pPr>
      <w:r w:rsidRPr="00C479B0">
        <w:rPr>
          <w:rFonts w:ascii="Arial" w:eastAsia="Arial" w:hAnsi="Arial" w:cs="Arial"/>
          <w:color w:val="000000"/>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5F6E6CFF" w14:textId="77777777" w:rsidR="002D5D65" w:rsidRPr="00C479B0" w:rsidRDefault="002D5D65" w:rsidP="002D5D65">
      <w:pPr>
        <w:widowControl w:val="0"/>
        <w:pBdr>
          <w:top w:val="nil"/>
          <w:left w:val="nil"/>
          <w:bottom w:val="nil"/>
          <w:right w:val="nil"/>
          <w:between w:val="nil"/>
        </w:pBdr>
        <w:spacing w:after="0"/>
        <w:ind w:firstLine="707"/>
        <w:rPr>
          <w:rFonts w:ascii="Arial" w:eastAsia="Arial" w:hAnsi="Arial" w:cs="Arial"/>
          <w:color w:val="000000"/>
          <w:sz w:val="22"/>
          <w:szCs w:val="22"/>
        </w:rPr>
      </w:pPr>
    </w:p>
    <w:p w14:paraId="2A584BBA" w14:textId="77777777" w:rsidR="002D5D65" w:rsidRPr="00C479B0" w:rsidRDefault="002D5D65" w:rsidP="002D5D65">
      <w:pPr>
        <w:spacing w:after="0" w:line="240" w:lineRule="auto"/>
        <w:ind w:left="709" w:right="709"/>
      </w:pPr>
      <w:r w:rsidRPr="00C479B0">
        <w:rPr>
          <w:rFonts w:ascii="Arial" w:eastAsia="Arial" w:hAnsi="Arial" w:cs="Arial"/>
          <w:sz w:val="21"/>
          <w:szCs w:val="21"/>
        </w:rPr>
        <w:t xml:space="preserve">[…] se puede señalar que los convenios o contratos interadministrativos tienen como características principales las siguientes: (i) constituyen verdaderos contratos en los términos del Código de Comercio cuando su objeto lo </w:t>
      </w:r>
      <w:r w:rsidRPr="00C479B0">
        <w:rPr>
          <w:rFonts w:ascii="Arial" w:eastAsia="Arial" w:hAnsi="Arial" w:cs="Arial"/>
          <w:sz w:val="21"/>
          <w:szCs w:val="21"/>
        </w:rPr>
        <w:lastRenderedPageBreak/>
        <w:t>constituyen obligaciones patrimoniales; (</w:t>
      </w:r>
      <w:proofErr w:type="spellStart"/>
      <w:r w:rsidRPr="00C479B0">
        <w:rPr>
          <w:rFonts w:ascii="Arial" w:eastAsia="Arial" w:hAnsi="Arial" w:cs="Arial"/>
          <w:sz w:val="21"/>
          <w:szCs w:val="21"/>
        </w:rPr>
        <w:t>ii</w:t>
      </w:r>
      <w:proofErr w:type="spellEnd"/>
      <w:r w:rsidRPr="00C479B0">
        <w:rPr>
          <w:rFonts w:ascii="Arial" w:eastAsia="Arial" w:hAnsi="Arial" w:cs="Arial"/>
          <w:sz w:val="21"/>
          <w:szCs w:val="21"/>
        </w:rPr>
        <w:t>) tienen como fuente la autonomía contractual; (iii) son contratos nominados puesto que están mencionados en la ley; (</w:t>
      </w:r>
      <w:proofErr w:type="spellStart"/>
      <w:r w:rsidRPr="00C479B0">
        <w:rPr>
          <w:rFonts w:ascii="Arial" w:eastAsia="Arial" w:hAnsi="Arial" w:cs="Arial"/>
          <w:sz w:val="21"/>
          <w:szCs w:val="21"/>
        </w:rPr>
        <w:t>iv</w:t>
      </w:r>
      <w:proofErr w:type="spellEnd"/>
      <w:r w:rsidRPr="00C479B0">
        <w:rPr>
          <w:rFonts w:ascii="Arial" w:eastAsia="Arial" w:hAnsi="Arial" w:cs="Arial"/>
          <w:sz w:val="21"/>
          <w:szCs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C479B0">
        <w:rPr>
          <w:rFonts w:ascii="Arial" w:eastAsia="Arial" w:hAnsi="Arial" w:cs="Arial"/>
          <w:sz w:val="21"/>
          <w:szCs w:val="21"/>
        </w:rPr>
        <w:t>vii</w:t>
      </w:r>
      <w:proofErr w:type="spellEnd"/>
      <w:r w:rsidRPr="00C479B0">
        <w:rPr>
          <w:rFonts w:ascii="Arial" w:eastAsia="Arial" w:hAnsi="Arial" w:cs="Arial"/>
          <w:sz w:val="21"/>
          <w:szCs w:val="21"/>
        </w:rPr>
        <w:t>) persiguen  una finalidad común a través de la realización de intereses compartidos entre las entidades vinculadas; (</w:t>
      </w:r>
      <w:proofErr w:type="spellStart"/>
      <w:r w:rsidRPr="00C479B0">
        <w:rPr>
          <w:rFonts w:ascii="Arial" w:eastAsia="Arial" w:hAnsi="Arial" w:cs="Arial"/>
          <w:sz w:val="21"/>
          <w:szCs w:val="21"/>
        </w:rPr>
        <w:t>viii</w:t>
      </w:r>
      <w:proofErr w:type="spellEnd"/>
      <w:r w:rsidRPr="00C479B0">
        <w:rPr>
          <w:rFonts w:ascii="Arial" w:eastAsia="Arial" w:hAnsi="Arial" w:cs="Arial"/>
          <w:sz w:val="21"/>
          <w:szCs w:val="21"/>
        </w:rPr>
        <w:t>) la acción mediante la cual se deben ventilar las diferencias que sobre el particular surjan es la de controversias contractuales</w:t>
      </w:r>
      <w:r w:rsidRPr="00C479B0">
        <w:rPr>
          <w:rFonts w:ascii="Arial" w:eastAsia="Arial" w:hAnsi="Arial" w:cs="Arial"/>
          <w:sz w:val="21"/>
          <w:szCs w:val="21"/>
          <w:vertAlign w:val="superscript"/>
        </w:rPr>
        <w:footnoteReference w:id="16"/>
      </w:r>
      <w:r w:rsidRPr="00C479B0">
        <w:rPr>
          <w:rFonts w:ascii="Arial" w:eastAsia="Arial" w:hAnsi="Arial" w:cs="Arial"/>
          <w:sz w:val="21"/>
          <w:szCs w:val="21"/>
        </w:rPr>
        <w:t>.</w:t>
      </w:r>
    </w:p>
    <w:p w14:paraId="185DF74A" w14:textId="77777777" w:rsidR="002D5D65" w:rsidRPr="00C479B0" w:rsidRDefault="002D5D65" w:rsidP="002D5D65">
      <w:pPr>
        <w:spacing w:after="0"/>
        <w:ind w:left="709" w:right="709"/>
        <w:rPr>
          <w:rFonts w:ascii="Arial" w:eastAsia="Arial" w:hAnsi="Arial" w:cs="Arial"/>
          <w:sz w:val="22"/>
          <w:szCs w:val="22"/>
        </w:rPr>
      </w:pPr>
    </w:p>
    <w:p w14:paraId="67E487C1" w14:textId="77777777" w:rsidR="002D5D65" w:rsidRPr="00C479B0" w:rsidRDefault="002D5D65" w:rsidP="002D5D65">
      <w:pPr>
        <w:widowControl w:val="0"/>
        <w:pBdr>
          <w:top w:val="nil"/>
          <w:left w:val="nil"/>
          <w:bottom w:val="nil"/>
          <w:right w:val="nil"/>
          <w:between w:val="nil"/>
        </w:pBdr>
        <w:spacing w:after="120"/>
        <w:ind w:firstLine="707"/>
        <w:rPr>
          <w:rFonts w:ascii="Arial" w:eastAsia="Arial" w:hAnsi="Arial" w:cs="Arial"/>
          <w:color w:val="000000"/>
          <w:sz w:val="22"/>
          <w:szCs w:val="22"/>
        </w:rPr>
      </w:pPr>
      <w:r w:rsidRPr="00C479B0">
        <w:rPr>
          <w:rFonts w:ascii="Arial" w:eastAsia="Arial" w:hAnsi="Arial" w:cs="Arial"/>
          <w:color w:val="000000"/>
          <w:sz w:val="22"/>
          <w:szCs w:val="22"/>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para la celebración de los contratos interadministrativos.</w:t>
      </w:r>
    </w:p>
    <w:p w14:paraId="4538E7F5" w14:textId="77777777" w:rsidR="002D5D65" w:rsidRPr="00C479B0" w:rsidRDefault="002D5D65" w:rsidP="002D5D65">
      <w:pPr>
        <w:widowControl w:val="0"/>
        <w:pBdr>
          <w:top w:val="nil"/>
          <w:left w:val="nil"/>
          <w:bottom w:val="nil"/>
          <w:right w:val="nil"/>
          <w:between w:val="nil"/>
        </w:pBdr>
        <w:spacing w:before="119" w:after="120"/>
        <w:ind w:firstLine="707"/>
        <w:rPr>
          <w:rFonts w:ascii="Arial" w:eastAsia="Arial" w:hAnsi="Arial" w:cs="Arial"/>
          <w:color w:val="000000"/>
          <w:sz w:val="22"/>
          <w:szCs w:val="22"/>
        </w:rPr>
      </w:pPr>
      <w:r w:rsidRPr="00C479B0">
        <w:rPr>
          <w:rFonts w:ascii="Arial" w:eastAsia="Arial" w:hAnsi="Arial" w:cs="Arial"/>
          <w:color w:val="000000"/>
          <w:sz w:val="22"/>
          <w:szCs w:val="22"/>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las partes que lo suscriben, es decir, debe tratarse de entidades estatales.</w:t>
      </w:r>
    </w:p>
    <w:p w14:paraId="33276A9C" w14:textId="77777777" w:rsidR="002D5D65" w:rsidRPr="00C479B0" w:rsidRDefault="002D5D65" w:rsidP="002D5D65">
      <w:pPr>
        <w:widowControl w:val="0"/>
        <w:pBdr>
          <w:top w:val="nil"/>
          <w:left w:val="nil"/>
          <w:bottom w:val="nil"/>
          <w:right w:val="nil"/>
          <w:between w:val="nil"/>
        </w:pBdr>
        <w:spacing w:before="120"/>
        <w:ind w:firstLine="709"/>
        <w:rPr>
          <w:rFonts w:ascii="Arial" w:eastAsia="Arial" w:hAnsi="Arial" w:cs="Arial"/>
          <w:color w:val="000000"/>
          <w:sz w:val="22"/>
          <w:szCs w:val="22"/>
        </w:rPr>
      </w:pPr>
      <w:r w:rsidRPr="00C479B0">
        <w:rPr>
          <w:rFonts w:ascii="Arial" w:eastAsia="Arial" w:hAnsi="Arial" w:cs="Arial"/>
          <w:color w:val="000000"/>
          <w:sz w:val="22"/>
          <w:szCs w:val="22"/>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w:t>
      </w:r>
      <w:r w:rsidRPr="00C479B0">
        <w:rPr>
          <w:rFonts w:ascii="Arial" w:eastAsia="Arial" w:hAnsi="Arial" w:cs="Arial"/>
          <w:color w:val="000000"/>
          <w:sz w:val="22"/>
          <w:szCs w:val="22"/>
        </w:rPr>
        <w:lastRenderedPageBreak/>
        <w:t>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0A31BCE4" w14:textId="77777777" w:rsidR="002D5D65" w:rsidRPr="00C479B0" w:rsidRDefault="002D5D65" w:rsidP="002D5D65">
      <w:pPr>
        <w:widowControl w:val="0"/>
        <w:pBdr>
          <w:top w:val="nil"/>
          <w:left w:val="nil"/>
          <w:bottom w:val="nil"/>
          <w:right w:val="nil"/>
          <w:between w:val="nil"/>
        </w:pBdr>
        <w:spacing w:before="122" w:after="120"/>
        <w:ind w:firstLine="708"/>
        <w:rPr>
          <w:rFonts w:ascii="Arial" w:eastAsia="Arial" w:hAnsi="Arial" w:cs="Arial"/>
          <w:color w:val="000000"/>
          <w:sz w:val="22"/>
          <w:szCs w:val="22"/>
        </w:rPr>
      </w:pPr>
      <w:r w:rsidRPr="00C479B0">
        <w:rPr>
          <w:rFonts w:ascii="Arial" w:eastAsia="Arial" w:hAnsi="Arial" w:cs="Arial"/>
          <w:color w:val="000000"/>
          <w:sz w:val="22"/>
          <w:szCs w:val="22"/>
        </w:rPr>
        <w:t>Es bueno destacar que el Decreto 1082 de 2015 dispone que los convenios o contratos interadministrativos, así denominados en el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1281E9E" w14:textId="77777777" w:rsidR="002D5D65" w:rsidRPr="00C479B0" w:rsidRDefault="002D5D65" w:rsidP="002D5D65">
      <w:pPr>
        <w:widowControl w:val="0"/>
        <w:pBdr>
          <w:top w:val="nil"/>
          <w:left w:val="nil"/>
          <w:bottom w:val="nil"/>
          <w:right w:val="nil"/>
          <w:between w:val="nil"/>
        </w:pBdr>
        <w:spacing w:after="0"/>
        <w:ind w:firstLine="708"/>
        <w:rPr>
          <w:rFonts w:ascii="Arial" w:eastAsia="Arial" w:hAnsi="Arial" w:cs="Arial"/>
          <w:color w:val="000000"/>
          <w:sz w:val="22"/>
          <w:szCs w:val="22"/>
        </w:rPr>
      </w:pPr>
      <w:bookmarkStart w:id="8" w:name="_2jxsxqh" w:colFirst="0" w:colLast="0"/>
      <w:bookmarkEnd w:id="8"/>
      <w:r w:rsidRPr="00C479B0">
        <w:rPr>
          <w:rFonts w:ascii="Arial" w:eastAsia="Arial" w:hAnsi="Arial" w:cs="Arial"/>
          <w:color w:val="000000"/>
          <w:sz w:val="22"/>
          <w:szCs w:val="22"/>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C479B0">
        <w:rPr>
          <w:rFonts w:ascii="Arial" w:eastAsia="Arial" w:hAnsi="Arial" w:cs="Arial"/>
          <w:color w:val="000000"/>
          <w:sz w:val="22"/>
          <w:szCs w:val="22"/>
          <w:vertAlign w:val="superscript"/>
        </w:rPr>
        <w:footnoteReference w:id="17"/>
      </w:r>
      <w:r w:rsidRPr="00C479B0">
        <w:rPr>
          <w:rFonts w:ascii="Arial" w:eastAsia="Arial" w:hAnsi="Arial" w:cs="Arial"/>
          <w:color w:val="000000"/>
          <w:sz w:val="22"/>
          <w:szCs w:val="22"/>
        </w:rPr>
        <w:t>.</w:t>
      </w:r>
    </w:p>
    <w:p w14:paraId="6B2B582E" w14:textId="77777777" w:rsidR="002D5D65" w:rsidRPr="00C479B0" w:rsidRDefault="002D5D65" w:rsidP="002D5D65">
      <w:pPr>
        <w:widowControl w:val="0"/>
        <w:pBdr>
          <w:top w:val="nil"/>
          <w:left w:val="nil"/>
          <w:bottom w:val="nil"/>
          <w:right w:val="nil"/>
          <w:between w:val="nil"/>
        </w:pBdr>
        <w:spacing w:before="122" w:after="0"/>
        <w:ind w:firstLine="709"/>
        <w:rPr>
          <w:rFonts w:ascii="Arial" w:eastAsia="Arial" w:hAnsi="Arial" w:cs="Arial"/>
          <w:color w:val="000000"/>
          <w:sz w:val="22"/>
          <w:szCs w:val="22"/>
        </w:rPr>
      </w:pPr>
      <w:r w:rsidRPr="00C479B0">
        <w:rPr>
          <w:rFonts w:ascii="Arial" w:eastAsia="Arial" w:hAnsi="Arial" w:cs="Arial"/>
          <w:color w:val="000000"/>
          <w:sz w:val="22"/>
          <w:szCs w:val="22"/>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78E2D32B" w14:textId="77777777" w:rsidR="002D5D65" w:rsidRPr="00C479B0" w:rsidRDefault="002D5D65" w:rsidP="002D5D65">
      <w:pPr>
        <w:widowControl w:val="0"/>
        <w:pBdr>
          <w:top w:val="nil"/>
          <w:left w:val="nil"/>
          <w:bottom w:val="nil"/>
          <w:right w:val="nil"/>
          <w:between w:val="nil"/>
        </w:pBdr>
        <w:spacing w:after="0"/>
        <w:ind w:firstLine="709"/>
        <w:rPr>
          <w:rFonts w:ascii="Arial" w:eastAsia="Arial" w:hAnsi="Arial" w:cs="Arial"/>
          <w:color w:val="000000"/>
          <w:sz w:val="22"/>
          <w:szCs w:val="22"/>
        </w:rPr>
      </w:pPr>
    </w:p>
    <w:p w14:paraId="30CC1F91" w14:textId="77777777" w:rsidR="002D5D65" w:rsidRPr="00C479B0" w:rsidRDefault="002D5D65" w:rsidP="002D5D65">
      <w:pPr>
        <w:spacing w:after="120" w:line="240" w:lineRule="auto"/>
        <w:ind w:left="709" w:right="709"/>
      </w:pPr>
      <w:r w:rsidRPr="00C479B0">
        <w:rPr>
          <w:rFonts w:ascii="Arial" w:eastAsia="Arial" w:hAnsi="Arial" w:cs="Arial"/>
          <w:sz w:val="21"/>
          <w:szCs w:val="21"/>
        </w:rPr>
        <w:t>La Sala de Consulta y Servicio Civil</w:t>
      </w:r>
      <w:r w:rsidRPr="00C479B0">
        <w:rPr>
          <w:rFonts w:ascii="Arial" w:eastAsia="Arial" w:hAnsi="Arial" w:cs="Arial"/>
          <w:sz w:val="21"/>
          <w:szCs w:val="21"/>
          <w:vertAlign w:val="superscript"/>
        </w:rPr>
        <w:footnoteReference w:id="18"/>
      </w:r>
      <w:r w:rsidRPr="00C479B0">
        <w:rPr>
          <w:rFonts w:ascii="Arial" w:eastAsia="Arial" w:hAnsi="Arial" w:cs="Arial"/>
          <w:sz w:val="21"/>
          <w:szCs w:val="21"/>
        </w:rPr>
        <w:t xml:space="preserve"> de esta Corporación se ha referido a los </w:t>
      </w:r>
      <w:r w:rsidRPr="00C479B0">
        <w:rPr>
          <w:rFonts w:ascii="Arial" w:eastAsia="Arial" w:hAnsi="Arial" w:cs="Arial"/>
          <w:i/>
          <w:sz w:val="21"/>
          <w:szCs w:val="21"/>
        </w:rPr>
        <w:t>“convenios interadministrativos”</w:t>
      </w:r>
      <w:r w:rsidRPr="00C479B0">
        <w:rPr>
          <w:rFonts w:ascii="Arial" w:eastAsia="Arial" w:hAnsi="Arial" w:cs="Arial"/>
          <w:sz w:val="21"/>
          <w:szCs w:val="21"/>
        </w:rPr>
        <w:t xml:space="preserve"> a los cuales alude el artículo 95 de la Ley 489 de 1998, calificándolos de </w:t>
      </w:r>
      <w:r w:rsidRPr="00C479B0">
        <w:rPr>
          <w:rFonts w:ascii="Arial" w:eastAsia="Arial" w:hAnsi="Arial" w:cs="Arial"/>
          <w:i/>
          <w:sz w:val="21"/>
          <w:szCs w:val="21"/>
        </w:rPr>
        <w:t xml:space="preserve">“puros” </w:t>
      </w:r>
      <w:r w:rsidRPr="00C479B0">
        <w:rPr>
          <w:rFonts w:ascii="Arial" w:eastAsia="Arial" w:hAnsi="Arial" w:cs="Arial"/>
          <w:sz w:val="21"/>
          <w:szCs w:val="21"/>
        </w:rPr>
        <w:t xml:space="preserve">y entendiendo que estos, además de perseguir la finalidad de cooperación antes indicada, no implican intereses contrapuestos ni tampoco se circunscriben a un </w:t>
      </w:r>
      <w:r w:rsidRPr="00C479B0">
        <w:rPr>
          <w:rFonts w:ascii="Arial" w:eastAsia="Arial" w:hAnsi="Arial" w:cs="Arial"/>
          <w:i/>
          <w:sz w:val="21"/>
          <w:szCs w:val="21"/>
        </w:rPr>
        <w:t>“intercambio patrimonial”</w:t>
      </w:r>
      <w:r w:rsidRPr="00C479B0">
        <w:rPr>
          <w:rFonts w:ascii="Arial" w:eastAsia="Arial" w:hAnsi="Arial" w:cs="Arial"/>
          <w:sz w:val="21"/>
          <w:szCs w:val="21"/>
        </w:rPr>
        <w:t xml:space="preserve">. Sin </w:t>
      </w:r>
      <w:r w:rsidRPr="00C479B0">
        <w:rPr>
          <w:rFonts w:ascii="Arial" w:eastAsia="Arial" w:hAnsi="Arial" w:cs="Arial"/>
          <w:sz w:val="21"/>
          <w:szCs w:val="21"/>
        </w:rPr>
        <w:lastRenderedPageBreak/>
        <w:t>perjuicio de lo anterior, en otra oportunidad, la misma Sala</w:t>
      </w:r>
      <w:r w:rsidRPr="00C479B0">
        <w:rPr>
          <w:rFonts w:ascii="Arial" w:eastAsia="Arial" w:hAnsi="Arial" w:cs="Arial"/>
          <w:sz w:val="21"/>
          <w:szCs w:val="21"/>
          <w:vertAlign w:val="superscript"/>
        </w:rPr>
        <w:footnoteReference w:id="19"/>
      </w:r>
      <w:r w:rsidRPr="00C479B0">
        <w:rPr>
          <w:rFonts w:ascii="Arial" w:eastAsia="Arial" w:hAnsi="Arial" w:cs="Arial"/>
          <w:sz w:val="21"/>
          <w:szCs w:val="21"/>
        </w:rPr>
        <w:t xml:space="preserve"> había indicado que, si bien en dichos convenios no se daba un </w:t>
      </w:r>
      <w:r w:rsidRPr="00C479B0">
        <w:rPr>
          <w:rFonts w:ascii="Arial" w:eastAsia="Arial" w:hAnsi="Arial" w:cs="Arial"/>
          <w:i/>
          <w:sz w:val="21"/>
          <w:szCs w:val="21"/>
        </w:rPr>
        <w:t>“verdadero intercambio de bienes o servicios (contrato conmutativo)”</w:t>
      </w:r>
      <w:r w:rsidRPr="00C479B0">
        <w:rPr>
          <w:rFonts w:ascii="Arial" w:eastAsia="Arial" w:hAnsi="Arial" w:cs="Arial"/>
          <w:sz w:val="21"/>
          <w:szCs w:val="21"/>
        </w:rPr>
        <w:t>, ello no impedía que se conviniera una remuneración a cargo de alguna(s) entidad(es).</w:t>
      </w:r>
    </w:p>
    <w:p w14:paraId="21E3DCC3" w14:textId="77777777" w:rsidR="002D5D65" w:rsidRPr="00C479B0" w:rsidRDefault="002D5D65" w:rsidP="002D5D65">
      <w:pPr>
        <w:widowControl w:val="0"/>
        <w:pBdr>
          <w:top w:val="nil"/>
          <w:left w:val="nil"/>
          <w:bottom w:val="nil"/>
          <w:right w:val="nil"/>
          <w:between w:val="nil"/>
        </w:pBdr>
        <w:spacing w:after="0" w:line="240" w:lineRule="auto"/>
        <w:ind w:left="709" w:right="709"/>
      </w:pPr>
      <w:r w:rsidRPr="00C479B0">
        <w:rPr>
          <w:rFonts w:ascii="Arial" w:eastAsia="Arial" w:hAnsi="Arial" w:cs="Arial"/>
          <w:color w:val="000000"/>
          <w:sz w:val="21"/>
          <w:szCs w:val="21"/>
        </w:rPr>
        <w:t xml:space="preserve">Lo expuesto evidencia que, en general, las interpretaciones en torno a los </w:t>
      </w:r>
      <w:r w:rsidRPr="00C479B0">
        <w:rPr>
          <w:rFonts w:ascii="Arial" w:eastAsia="Arial" w:hAnsi="Arial" w:cs="Arial"/>
          <w:i/>
          <w:color w:val="000000"/>
          <w:sz w:val="21"/>
          <w:szCs w:val="21"/>
        </w:rPr>
        <w:t>“convenios interadministrativos”</w:t>
      </w:r>
      <w:r w:rsidRPr="00C479B0">
        <w:rPr>
          <w:rFonts w:ascii="Arial" w:eastAsia="Arial" w:hAnsi="Arial" w:cs="Arial"/>
          <w:color w:val="000000"/>
          <w:sz w:val="21"/>
          <w:szCs w:val="21"/>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C479B0">
        <w:rPr>
          <w:rFonts w:ascii="Arial" w:eastAsia="Arial" w:hAnsi="Arial" w:cs="Arial"/>
          <w:color w:val="000000"/>
          <w:sz w:val="21"/>
          <w:szCs w:val="21"/>
          <w:vertAlign w:val="superscript"/>
        </w:rPr>
        <w:footnoteReference w:id="20"/>
      </w:r>
      <w:r w:rsidRPr="00C479B0">
        <w:rPr>
          <w:rFonts w:ascii="Arial" w:eastAsia="Arial" w:hAnsi="Arial" w:cs="Arial"/>
          <w:color w:val="000000"/>
          <w:sz w:val="21"/>
          <w:szCs w:val="21"/>
          <w:vertAlign w:val="superscript"/>
        </w:rPr>
        <w:footnoteReference w:id="21"/>
      </w:r>
      <w:r w:rsidRPr="00C479B0">
        <w:rPr>
          <w:rFonts w:ascii="Arial" w:eastAsia="Arial" w:hAnsi="Arial" w:cs="Arial"/>
          <w:color w:val="000000"/>
          <w:sz w:val="21"/>
          <w:szCs w:val="21"/>
        </w:rPr>
        <w:t>.</w:t>
      </w:r>
    </w:p>
    <w:p w14:paraId="3D98EB93" w14:textId="77777777" w:rsidR="002D5D65" w:rsidRPr="00C479B0" w:rsidRDefault="002D5D65" w:rsidP="002D5D65">
      <w:pPr>
        <w:widowControl w:val="0"/>
        <w:pBdr>
          <w:top w:val="nil"/>
          <w:left w:val="nil"/>
          <w:bottom w:val="nil"/>
          <w:right w:val="nil"/>
          <w:between w:val="nil"/>
        </w:pBdr>
        <w:spacing w:after="0"/>
        <w:rPr>
          <w:rFonts w:ascii="Arial" w:eastAsia="Arial" w:hAnsi="Arial" w:cs="Arial"/>
          <w:color w:val="000000"/>
          <w:sz w:val="22"/>
          <w:szCs w:val="22"/>
        </w:rPr>
      </w:pPr>
    </w:p>
    <w:p w14:paraId="2E922BDD" w14:textId="77777777" w:rsidR="002D5D65" w:rsidRPr="00C479B0" w:rsidRDefault="002D5D65" w:rsidP="002D5D65">
      <w:pPr>
        <w:widowControl w:val="0"/>
        <w:pBdr>
          <w:top w:val="nil"/>
          <w:left w:val="nil"/>
          <w:bottom w:val="nil"/>
          <w:right w:val="nil"/>
          <w:between w:val="nil"/>
        </w:pBdr>
        <w:spacing w:after="120"/>
        <w:rPr>
          <w:rFonts w:ascii="Arial" w:eastAsia="Arial" w:hAnsi="Arial" w:cs="Arial"/>
          <w:color w:val="000000"/>
          <w:sz w:val="22"/>
          <w:szCs w:val="22"/>
        </w:rPr>
      </w:pPr>
      <w:r w:rsidRPr="00C479B0">
        <w:rPr>
          <w:rFonts w:ascii="Arial" w:eastAsia="Arial" w:hAnsi="Arial" w:cs="Arial"/>
          <w:color w:val="000000"/>
          <w:sz w:val="22"/>
          <w:szCs w:val="22"/>
        </w:rPr>
        <w:tab/>
        <w:t>Sin perjuicio de lo indicado, conviene reiterar que el ordenamiento jurídico en distintas disposiciones utiliza de forma indistinta los conceptos de contrato o convenio para referirse a la misma institución jurídica</w:t>
      </w:r>
      <w:r w:rsidRPr="00C479B0">
        <w:rPr>
          <w:rFonts w:ascii="Arial" w:eastAsia="Arial" w:hAnsi="Arial" w:cs="Arial"/>
          <w:color w:val="000000"/>
          <w:sz w:val="22"/>
          <w:szCs w:val="22"/>
          <w:vertAlign w:val="superscript"/>
        </w:rPr>
        <w:footnoteReference w:id="22"/>
      </w:r>
      <w:r w:rsidRPr="00C479B0">
        <w:rPr>
          <w:rFonts w:ascii="Arial" w:eastAsia="Arial" w:hAnsi="Arial" w:cs="Arial"/>
          <w:color w:val="000000"/>
          <w:sz w:val="22"/>
          <w:szCs w:val="22"/>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C479B0">
        <w:rPr>
          <w:rFonts w:ascii="Arial" w:eastAsia="Arial" w:hAnsi="Arial" w:cs="Arial"/>
          <w:color w:val="000000"/>
          <w:sz w:val="22"/>
          <w:szCs w:val="22"/>
          <w:vertAlign w:val="superscript"/>
        </w:rPr>
        <w:footnoteReference w:id="23"/>
      </w:r>
      <w:r w:rsidRPr="00C479B0">
        <w:rPr>
          <w:rFonts w:ascii="Arial" w:eastAsia="Arial" w:hAnsi="Arial" w:cs="Arial"/>
          <w:color w:val="000000"/>
          <w:sz w:val="22"/>
          <w:szCs w:val="22"/>
        </w:rPr>
        <w:t>.</w:t>
      </w:r>
    </w:p>
    <w:p w14:paraId="38A97F5F" w14:textId="77777777" w:rsidR="002D5D65" w:rsidRPr="00C479B0" w:rsidRDefault="002D5D65" w:rsidP="002D5D65">
      <w:pPr>
        <w:widowControl w:val="0"/>
        <w:pBdr>
          <w:top w:val="nil"/>
          <w:left w:val="nil"/>
          <w:bottom w:val="nil"/>
          <w:right w:val="nil"/>
          <w:between w:val="nil"/>
        </w:pBdr>
        <w:spacing w:after="0"/>
        <w:rPr>
          <w:rFonts w:ascii="Arial" w:eastAsia="Arial" w:hAnsi="Arial" w:cs="Arial"/>
          <w:color w:val="000000"/>
          <w:sz w:val="22"/>
          <w:szCs w:val="22"/>
        </w:rPr>
      </w:pPr>
      <w:r w:rsidRPr="00C479B0">
        <w:rPr>
          <w:rFonts w:ascii="Arial" w:eastAsia="Arial" w:hAnsi="Arial" w:cs="Arial"/>
          <w:color w:val="000000"/>
          <w:sz w:val="22"/>
          <w:szCs w:val="22"/>
        </w:rPr>
        <w:lastRenderedPageBreak/>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988414B" w14:textId="77777777" w:rsidR="002D5D65" w:rsidRPr="00C479B0" w:rsidRDefault="002D5D65" w:rsidP="002D5D65">
      <w:pPr>
        <w:widowControl w:val="0"/>
        <w:pBdr>
          <w:top w:val="nil"/>
          <w:left w:val="nil"/>
          <w:bottom w:val="nil"/>
          <w:right w:val="nil"/>
          <w:between w:val="nil"/>
        </w:pBdr>
        <w:spacing w:after="0"/>
        <w:rPr>
          <w:rFonts w:ascii="Arial" w:eastAsia="Arial" w:hAnsi="Arial" w:cs="Arial"/>
          <w:color w:val="000000"/>
          <w:sz w:val="22"/>
          <w:szCs w:val="22"/>
        </w:rPr>
      </w:pPr>
    </w:p>
    <w:p w14:paraId="5B3DB5A8" w14:textId="77777777" w:rsidR="002D5D65" w:rsidRPr="00C479B0" w:rsidRDefault="002D5D65" w:rsidP="002D5D65">
      <w:pPr>
        <w:spacing w:after="120" w:line="240" w:lineRule="auto"/>
        <w:ind w:left="709" w:right="709"/>
      </w:pPr>
      <w:r w:rsidRPr="00C479B0">
        <w:rPr>
          <w:rFonts w:ascii="Arial" w:eastAsia="Arial" w:hAnsi="Arial" w:cs="Arial"/>
          <w:sz w:val="21"/>
          <w:szCs w:val="21"/>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96EDEF2" w14:textId="77777777" w:rsidR="002D5D65" w:rsidRPr="00C479B0" w:rsidRDefault="002D5D65" w:rsidP="002D5D65">
      <w:pPr>
        <w:spacing w:after="120" w:line="240" w:lineRule="auto"/>
        <w:ind w:left="709" w:right="709"/>
      </w:pPr>
      <w:bookmarkStart w:id="9" w:name="_z337ya" w:colFirst="0" w:colLast="0"/>
      <w:bookmarkEnd w:id="9"/>
      <w:r w:rsidRPr="00C479B0">
        <w:rPr>
          <w:rFonts w:ascii="Arial" w:eastAsia="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D6BDFDA" w14:textId="77777777" w:rsidR="002D5D65" w:rsidRPr="00C479B0" w:rsidRDefault="002D5D65" w:rsidP="002D5D65">
      <w:pPr>
        <w:spacing w:after="0" w:line="240" w:lineRule="auto"/>
        <w:ind w:left="709" w:right="709"/>
      </w:pPr>
      <w:r w:rsidRPr="00C479B0">
        <w:rPr>
          <w:rFonts w:ascii="Arial" w:eastAsia="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E77844B" w14:textId="77777777" w:rsidR="002D5D65" w:rsidRPr="00C479B0" w:rsidRDefault="002D5D65" w:rsidP="002D5D65">
      <w:pPr>
        <w:widowControl w:val="0"/>
        <w:pBdr>
          <w:top w:val="nil"/>
          <w:left w:val="nil"/>
          <w:bottom w:val="nil"/>
          <w:right w:val="nil"/>
          <w:between w:val="nil"/>
        </w:pBdr>
        <w:spacing w:before="3" w:after="0"/>
        <w:rPr>
          <w:rFonts w:ascii="Arial" w:eastAsia="Arial" w:hAnsi="Arial" w:cs="Arial"/>
          <w:color w:val="000000"/>
          <w:sz w:val="22"/>
          <w:szCs w:val="22"/>
        </w:rPr>
      </w:pPr>
    </w:p>
    <w:p w14:paraId="1A1AD969" w14:textId="77777777" w:rsidR="002D5D65" w:rsidRPr="00C479B0" w:rsidRDefault="002D5D65" w:rsidP="002D5D65">
      <w:pPr>
        <w:widowControl w:val="0"/>
        <w:pBdr>
          <w:top w:val="nil"/>
          <w:left w:val="nil"/>
          <w:bottom w:val="nil"/>
          <w:right w:val="nil"/>
          <w:between w:val="nil"/>
        </w:pBdr>
        <w:spacing w:after="120"/>
        <w:rPr>
          <w:rFonts w:ascii="Arial" w:eastAsia="Arial" w:hAnsi="Arial" w:cs="Arial"/>
          <w:color w:val="000000"/>
          <w:sz w:val="22"/>
          <w:szCs w:val="22"/>
        </w:rPr>
      </w:pPr>
      <w:r w:rsidRPr="00C479B0">
        <w:rPr>
          <w:rFonts w:ascii="Arial" w:eastAsia="Arial" w:hAnsi="Arial" w:cs="Arial"/>
          <w:color w:val="000000"/>
          <w:sz w:val="25"/>
          <w:szCs w:val="25"/>
        </w:rPr>
        <w:tab/>
      </w:r>
      <w:r w:rsidRPr="00C479B0">
        <w:rPr>
          <w:rFonts w:ascii="Arial" w:eastAsia="Arial" w:hAnsi="Arial" w:cs="Arial"/>
          <w:color w:val="000000"/>
          <w:sz w:val="22"/>
          <w:szCs w:val="22"/>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w:t>
      </w:r>
      <w:r w:rsidRPr="00C479B0">
        <w:rPr>
          <w:rFonts w:ascii="Arial" w:eastAsia="Arial" w:hAnsi="Arial" w:cs="Arial"/>
          <w:color w:val="000000"/>
          <w:sz w:val="22"/>
          <w:szCs w:val="22"/>
        </w:rPr>
        <w:lastRenderedPageBreak/>
        <w:t>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13135269" w14:textId="13F4527A" w:rsidR="002D5D65" w:rsidRPr="00C479B0" w:rsidRDefault="002D5D65" w:rsidP="002D5D65">
      <w:pPr>
        <w:tabs>
          <w:tab w:val="left" w:pos="426"/>
        </w:tabs>
        <w:spacing w:after="120"/>
        <w:ind w:firstLine="709"/>
        <w:rPr>
          <w:rFonts w:ascii="Arial" w:eastAsia="Arial" w:hAnsi="Arial" w:cs="Arial"/>
          <w:sz w:val="22"/>
          <w:szCs w:val="22"/>
        </w:rPr>
      </w:pPr>
      <w:r w:rsidRPr="00C479B0">
        <w:rPr>
          <w:rFonts w:ascii="Arial" w:eastAsia="Arial" w:hAnsi="Arial" w:cs="Arial"/>
          <w:sz w:val="22"/>
          <w:szCs w:val="22"/>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C479B0">
        <w:rPr>
          <w:rFonts w:ascii="Arial" w:eastAsia="Arial" w:hAnsi="Arial" w:cs="Arial"/>
          <w:i/>
          <w:sz w:val="22"/>
          <w:szCs w:val="22"/>
        </w:rPr>
        <w:t>ibidem</w:t>
      </w:r>
      <w:r w:rsidRPr="00C479B0">
        <w:rPr>
          <w:rFonts w:ascii="Arial" w:eastAsia="Arial" w:hAnsi="Arial" w:cs="Arial"/>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C479B0">
        <w:rPr>
          <w:rFonts w:ascii="Arial" w:eastAsia="Arial" w:hAnsi="Arial" w:cs="Arial"/>
          <w:sz w:val="22"/>
          <w:szCs w:val="22"/>
          <w:vertAlign w:val="superscript"/>
        </w:rPr>
        <w:footnoteReference w:id="24"/>
      </w:r>
      <w:r w:rsidRPr="00C479B0">
        <w:rPr>
          <w:rFonts w:ascii="Arial" w:eastAsia="Arial" w:hAnsi="Arial" w:cs="Arial"/>
          <w:sz w:val="22"/>
          <w:szCs w:val="22"/>
        </w:rPr>
        <w:t xml:space="preserve">. </w:t>
      </w:r>
    </w:p>
    <w:p w14:paraId="1E05B25A" w14:textId="5DD00E98" w:rsidR="00D46973" w:rsidRDefault="002D5D65" w:rsidP="00994B9B">
      <w:pPr>
        <w:widowControl w:val="0"/>
        <w:pBdr>
          <w:top w:val="nil"/>
          <w:left w:val="nil"/>
          <w:bottom w:val="nil"/>
          <w:right w:val="nil"/>
          <w:between w:val="nil"/>
        </w:pBdr>
        <w:spacing w:after="0"/>
        <w:ind w:firstLine="709"/>
      </w:pPr>
      <w:r w:rsidRPr="00C479B0">
        <w:rPr>
          <w:rFonts w:ascii="Arial" w:eastAsia="Arial" w:hAnsi="Arial" w:cs="Arial"/>
          <w:color w:val="000000"/>
          <w:sz w:val="22"/>
          <w:szCs w:val="22"/>
        </w:rPr>
        <w:t>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00066C6F">
        <w:rPr>
          <w:rFonts w:ascii="Arial" w:eastAsia="Arial" w:hAnsi="Arial" w:cs="Arial"/>
          <w:color w:val="000000"/>
          <w:sz w:val="22"/>
          <w:szCs w:val="22"/>
        </w:rPr>
        <w:t xml:space="preserve">, </w:t>
      </w:r>
      <w:r w:rsidR="00066C6F" w:rsidRPr="00AA6559">
        <w:rPr>
          <w:rFonts w:ascii="Arial" w:eastAsia="Arial" w:hAnsi="Arial" w:cs="Arial"/>
          <w:sz w:val="22"/>
          <w:szCs w:val="22"/>
          <w:lang w:eastAsia="es-ES" w:bidi="es-ES"/>
        </w:rPr>
        <w:t>lo que también es señalado en el numeral 15.3 de la Circular Externa Única de Colombia Compra Eficiente, apoyándose en lo indicado por la Sala de Consulta y Servicio Civil del Consejo de Estado</w:t>
      </w:r>
      <w:r w:rsidR="00066C6F" w:rsidRPr="00AA6559">
        <w:rPr>
          <w:rFonts w:ascii="Arial" w:eastAsia="Arial" w:hAnsi="Arial" w:cs="Arial"/>
          <w:sz w:val="22"/>
          <w:szCs w:val="22"/>
          <w:vertAlign w:val="superscript"/>
          <w:lang w:eastAsia="es-ES" w:bidi="es-ES"/>
        </w:rPr>
        <w:footnoteReference w:id="25"/>
      </w:r>
      <w:r w:rsidR="00066C6F" w:rsidRPr="00AA6559">
        <w:rPr>
          <w:rFonts w:ascii="Arial" w:hAnsi="Arial" w:cs="Arial"/>
          <w:sz w:val="22"/>
          <w:szCs w:val="22"/>
          <w:lang w:eastAsia="es-ES" w:bidi="es-ES"/>
        </w:rPr>
        <w:t>.</w:t>
      </w:r>
      <w:bookmarkStart w:id="10" w:name="_3j2qqm3" w:colFirst="0" w:colLast="0"/>
      <w:bookmarkEnd w:id="10"/>
    </w:p>
    <w:p w14:paraId="35F8A775" w14:textId="77777777" w:rsidR="00D46973" w:rsidRDefault="00D46973" w:rsidP="00994B9B">
      <w:pPr>
        <w:widowControl w:val="0"/>
        <w:pBdr>
          <w:top w:val="nil"/>
          <w:left w:val="nil"/>
          <w:bottom w:val="nil"/>
          <w:right w:val="nil"/>
          <w:between w:val="nil"/>
        </w:pBdr>
        <w:spacing w:after="0"/>
      </w:pPr>
    </w:p>
    <w:p w14:paraId="704AF8F9" w14:textId="60B87335" w:rsidR="00A43A18" w:rsidRPr="00C479B0" w:rsidRDefault="00A43A18" w:rsidP="00994B9B">
      <w:pPr>
        <w:widowControl w:val="0"/>
        <w:pBdr>
          <w:top w:val="nil"/>
          <w:left w:val="nil"/>
          <w:bottom w:val="nil"/>
          <w:right w:val="nil"/>
          <w:between w:val="nil"/>
        </w:pBdr>
        <w:spacing w:after="120"/>
        <w:rPr>
          <w:rFonts w:ascii="Arial" w:eastAsia="Arial" w:hAnsi="Arial" w:cs="Arial"/>
          <w:b/>
          <w:color w:val="000000"/>
          <w:sz w:val="22"/>
          <w:szCs w:val="22"/>
        </w:rPr>
      </w:pPr>
      <w:r w:rsidRPr="00C479B0">
        <w:rPr>
          <w:rFonts w:ascii="Arial" w:eastAsia="Arial" w:hAnsi="Arial" w:cs="Arial"/>
          <w:b/>
          <w:color w:val="000000"/>
          <w:sz w:val="22"/>
          <w:szCs w:val="22"/>
        </w:rPr>
        <w:t>3. Respuesta</w:t>
      </w:r>
    </w:p>
    <w:p w14:paraId="7564D2C3" w14:textId="3A49E629" w:rsidR="003878D0" w:rsidRPr="00C479B0" w:rsidRDefault="003878D0" w:rsidP="00D46973">
      <w:pPr>
        <w:pBdr>
          <w:top w:val="nil"/>
          <w:left w:val="nil"/>
          <w:bottom w:val="nil"/>
          <w:right w:val="nil"/>
          <w:between w:val="nil"/>
        </w:pBdr>
        <w:ind w:left="720"/>
        <w:rPr>
          <w:rFonts w:ascii="Arial" w:eastAsia="Arial" w:hAnsi="Arial" w:cs="Arial"/>
          <w:color w:val="000000"/>
          <w:sz w:val="21"/>
          <w:szCs w:val="21"/>
        </w:rPr>
      </w:pPr>
      <w:r w:rsidRPr="00C479B0">
        <w:rPr>
          <w:rFonts w:ascii="Arial" w:eastAsia="Arial" w:hAnsi="Arial" w:cs="Arial"/>
          <w:color w:val="000000"/>
          <w:sz w:val="21"/>
          <w:szCs w:val="21"/>
        </w:rPr>
        <w:t xml:space="preserve">«1. ¿Aplica la prohibición contenida en el parágrafo del articulo 38 Ley 996 de 2005 a </w:t>
      </w:r>
      <w:r w:rsidRPr="006D4B4D">
        <w:rPr>
          <w:rFonts w:ascii="Arial" w:eastAsia="Arial" w:hAnsi="Arial" w:cs="Arial"/>
          <w:color w:val="000000"/>
          <w:sz w:val="21"/>
          <w:szCs w:val="21"/>
        </w:rPr>
        <w:t>las elecciones presidenciales?</w:t>
      </w:r>
      <w:r w:rsidRPr="00C479B0">
        <w:rPr>
          <w:rFonts w:ascii="Arial" w:eastAsia="Arial" w:hAnsi="Arial" w:cs="Arial"/>
          <w:color w:val="000000"/>
          <w:sz w:val="21"/>
          <w:szCs w:val="21"/>
        </w:rPr>
        <w:t xml:space="preserve">       </w:t>
      </w:r>
    </w:p>
    <w:p w14:paraId="5E058FC7" w14:textId="1669C101" w:rsidR="00224B02" w:rsidRPr="00224B02" w:rsidRDefault="003878D0" w:rsidP="00224B02">
      <w:pPr>
        <w:pBdr>
          <w:top w:val="nil"/>
          <w:left w:val="nil"/>
          <w:bottom w:val="nil"/>
          <w:right w:val="nil"/>
          <w:between w:val="nil"/>
        </w:pBdr>
        <w:ind w:left="720"/>
        <w:rPr>
          <w:rFonts w:ascii="Arial" w:eastAsia="Arial" w:hAnsi="Arial" w:cs="Arial"/>
          <w:color w:val="000000"/>
          <w:sz w:val="21"/>
          <w:szCs w:val="21"/>
        </w:rPr>
      </w:pPr>
      <w:r w:rsidRPr="006D4B4D">
        <w:rPr>
          <w:rFonts w:ascii="Arial" w:eastAsia="Arial" w:hAnsi="Arial" w:cs="Arial"/>
          <w:color w:val="000000"/>
          <w:sz w:val="21"/>
          <w:szCs w:val="21"/>
        </w:rPr>
        <w:t>2. En caso afirmativo indicar si la prohibición contenida en el</w:t>
      </w:r>
      <w:r w:rsidR="00D46973">
        <w:rPr>
          <w:rFonts w:ascii="Arial" w:eastAsia="Arial" w:hAnsi="Arial" w:cs="Arial"/>
          <w:color w:val="000000"/>
          <w:sz w:val="21"/>
          <w:szCs w:val="21"/>
        </w:rPr>
        <w:t xml:space="preserve"> </w:t>
      </w:r>
      <w:r w:rsidRPr="006D4B4D">
        <w:rPr>
          <w:rFonts w:ascii="Arial" w:eastAsia="Arial" w:hAnsi="Arial" w:cs="Arial"/>
          <w:color w:val="000000"/>
          <w:sz w:val="21"/>
          <w:szCs w:val="21"/>
        </w:rPr>
        <w:t>parágrafo del articulo 38</w:t>
      </w:r>
      <w:r w:rsidRPr="00C479B0">
        <w:rPr>
          <w:rFonts w:ascii="Arial" w:eastAsia="Arial" w:hAnsi="Arial" w:cs="Arial"/>
          <w:color w:val="000000"/>
          <w:sz w:val="21"/>
          <w:szCs w:val="21"/>
        </w:rPr>
        <w:t xml:space="preserve"> Ley 996 de 2005 tiene excepciones</w:t>
      </w:r>
      <w:r w:rsidRPr="00C479B0">
        <w:rPr>
          <w:rFonts w:ascii="Arial" w:eastAsia="Times New Roman" w:hAnsi="Arial" w:cs="Arial"/>
          <w:sz w:val="21"/>
          <w:szCs w:val="21"/>
        </w:rPr>
        <w:t>»</w:t>
      </w:r>
    </w:p>
    <w:p w14:paraId="03EFCB6A" w14:textId="7B26648D" w:rsidR="00066C6F" w:rsidRDefault="004534F7" w:rsidP="00224B02">
      <w:pPr>
        <w:spacing w:after="120"/>
        <w:rPr>
          <w:rFonts w:ascii="Arial" w:eastAsia="Arial" w:hAnsi="Arial" w:cs="Arial"/>
          <w:sz w:val="22"/>
          <w:szCs w:val="22"/>
          <w:lang w:eastAsia="es-ES" w:bidi="es-ES"/>
        </w:rPr>
      </w:pPr>
      <w:r w:rsidRPr="00C479B0">
        <w:rPr>
          <w:rFonts w:ascii="Arial" w:eastAsia="Arial" w:hAnsi="Arial" w:cs="Arial"/>
          <w:sz w:val="22"/>
          <w:szCs w:val="22"/>
          <w:lang w:eastAsia="es-ES" w:bidi="es-ES"/>
        </w:rPr>
        <w:lastRenderedPageBreak/>
        <w:t xml:space="preserve">De conformidad con lo </w:t>
      </w:r>
      <w:r w:rsidR="00224B02">
        <w:rPr>
          <w:rFonts w:ascii="Arial" w:eastAsia="Arial" w:hAnsi="Arial" w:cs="Arial"/>
          <w:sz w:val="22"/>
          <w:szCs w:val="22"/>
          <w:lang w:eastAsia="es-ES" w:bidi="es-ES"/>
        </w:rPr>
        <w:t>expuesto</w:t>
      </w:r>
      <w:r w:rsidRPr="00C479B0">
        <w:rPr>
          <w:rFonts w:ascii="Arial" w:eastAsia="Arial" w:hAnsi="Arial" w:cs="Arial"/>
          <w:sz w:val="22"/>
          <w:szCs w:val="22"/>
          <w:lang w:eastAsia="es-ES" w:bidi="es-ES"/>
        </w:rPr>
        <w:t xml:space="preserve">, la Ley 996 de 2005 establece dos (2) tipos de restricciones en materia de contratación, las cuales coinciden parcialmente. </w:t>
      </w:r>
      <w:r w:rsidRPr="00C479B0">
        <w:rPr>
          <w:rFonts w:ascii="Arial" w:eastAsia="Arial" w:hAnsi="Arial" w:cs="Arial"/>
          <w:i/>
          <w:iCs/>
          <w:sz w:val="22"/>
          <w:szCs w:val="22"/>
          <w:lang w:eastAsia="es-ES" w:bidi="es-ES"/>
        </w:rPr>
        <w:t>En primer lugar</w:t>
      </w:r>
      <w:r w:rsidRPr="00C479B0">
        <w:rPr>
          <w:rFonts w:ascii="Arial" w:eastAsia="Arial" w:hAnsi="Arial" w:cs="Arial"/>
          <w:sz w:val="22"/>
          <w:szCs w:val="22"/>
          <w:lang w:eastAsia="es-ES" w:bidi="es-ES"/>
        </w:rPr>
        <w:t xml:space="preserve">, la del artículo 33 que opera solo respecto de las elecciones presidenciales, en virtud de la cual queda proscrita la contratación directa dentro de los cuatro (4) meses anteriores a la celebración de los comicios, salvo las </w:t>
      </w:r>
      <w:r w:rsidR="00066C6F">
        <w:rPr>
          <w:rFonts w:ascii="Arial" w:eastAsia="Arial" w:hAnsi="Arial" w:cs="Arial"/>
          <w:sz w:val="22"/>
          <w:szCs w:val="22"/>
          <w:lang w:eastAsia="es-ES" w:bidi="es-ES"/>
        </w:rPr>
        <w:t>excepciones establecidas en el inciso segundo de dicha disposición</w:t>
      </w:r>
      <w:r w:rsidR="00066C6F">
        <w:rPr>
          <w:rStyle w:val="Refdenotaalpie"/>
          <w:rFonts w:ascii="Arial" w:eastAsia="Arial" w:hAnsi="Arial" w:cs="Arial"/>
          <w:sz w:val="22"/>
          <w:szCs w:val="22"/>
          <w:lang w:eastAsia="es-ES" w:bidi="es-ES"/>
        </w:rPr>
        <w:footnoteReference w:id="26"/>
      </w:r>
      <w:r w:rsidRPr="00C479B0">
        <w:rPr>
          <w:rFonts w:ascii="Arial" w:eastAsia="Arial" w:hAnsi="Arial" w:cs="Arial"/>
          <w:sz w:val="22"/>
          <w:szCs w:val="22"/>
          <w:lang w:eastAsia="es-ES" w:bidi="es-ES"/>
        </w:rPr>
        <w:t>. Sin embargo, si ningún candidato obtiene la mitad más uno de los votos que, de manera secreta y directa, depositen los ciudadanos, se celebrará una nueva votación que tendrá lugar tres semanas más tarde, en la que s</w:t>
      </w:r>
      <w:r w:rsidR="00066C6F">
        <w:rPr>
          <w:rFonts w:ascii="Arial" w:eastAsia="Arial" w:hAnsi="Arial" w:cs="Arial"/>
          <w:sz w:val="22"/>
          <w:szCs w:val="22"/>
          <w:lang w:eastAsia="es-ES" w:bidi="es-ES"/>
        </w:rPr>
        <w:t>o</w:t>
      </w:r>
      <w:r w:rsidRPr="00C479B0">
        <w:rPr>
          <w:rFonts w:ascii="Arial" w:eastAsia="Arial" w:hAnsi="Arial" w:cs="Arial"/>
          <w:sz w:val="22"/>
          <w:szCs w:val="22"/>
          <w:lang w:eastAsia="es-ES" w:bidi="es-ES"/>
        </w:rPr>
        <w:t xml:space="preserve">lo participarán los dos candidatos que hubieren obtenido las votaciones más altas, de conformidad con el artículo 190 de la Constitución Política. Para estos efectos, la restricción se extenderá hasta la fecha en la que se realice la segunda vuelta. </w:t>
      </w:r>
    </w:p>
    <w:p w14:paraId="1C1C2B71" w14:textId="712EB9E7" w:rsidR="00C479B0" w:rsidRPr="00C479B0" w:rsidRDefault="004534F7" w:rsidP="00D46973">
      <w:pPr>
        <w:spacing w:after="120"/>
        <w:ind w:firstLine="709"/>
        <w:rPr>
          <w:rFonts w:ascii="Arial" w:hAnsi="Arial" w:cs="Arial"/>
          <w:bCs/>
          <w:color w:val="000000" w:themeColor="text1"/>
          <w:sz w:val="22"/>
        </w:rPr>
      </w:pPr>
      <w:r w:rsidRPr="00C479B0">
        <w:rPr>
          <w:rFonts w:ascii="Arial" w:eastAsia="Arial" w:hAnsi="Arial" w:cs="Arial"/>
          <w:i/>
          <w:iCs/>
          <w:sz w:val="22"/>
          <w:szCs w:val="22"/>
          <w:lang w:eastAsia="es-ES" w:bidi="es-ES"/>
        </w:rPr>
        <w:t>En segundo lugar</w:t>
      </w:r>
      <w:r w:rsidRPr="00C479B0">
        <w:rPr>
          <w:rFonts w:ascii="Arial" w:eastAsia="Arial" w:hAnsi="Arial" w:cs="Arial"/>
          <w:sz w:val="22"/>
          <w:szCs w:val="22"/>
          <w:lang w:eastAsia="es-ES" w:bidi="es-ES"/>
        </w:rPr>
        <w:t xml:space="preserve">, también se encuentra la prohibición del parágrafo del artículo 38, </w:t>
      </w:r>
      <w:r w:rsidR="00224B02">
        <w:rPr>
          <w:rFonts w:ascii="Arial" w:eastAsia="Arial" w:hAnsi="Arial" w:cs="Arial"/>
          <w:sz w:val="22"/>
          <w:szCs w:val="22"/>
          <w:lang w:eastAsia="es-ES" w:bidi="es-ES"/>
        </w:rPr>
        <w:t>la</w:t>
      </w:r>
      <w:r w:rsidRPr="00C479B0">
        <w:rPr>
          <w:rFonts w:ascii="Arial" w:eastAsia="Arial" w:hAnsi="Arial" w:cs="Arial"/>
          <w:sz w:val="22"/>
          <w:szCs w:val="22"/>
          <w:lang w:eastAsia="es-ES" w:bidi="es-ES"/>
        </w:rPr>
        <w:t xml:space="preserve"> cual debe aplicarse respecto de cualquier tipo de contienda electoral, </w:t>
      </w:r>
      <w:r w:rsidR="00066C6F">
        <w:rPr>
          <w:rFonts w:ascii="Arial" w:eastAsia="Arial" w:hAnsi="Arial" w:cs="Arial"/>
          <w:sz w:val="22"/>
          <w:szCs w:val="22"/>
          <w:lang w:eastAsia="es-ES" w:bidi="es-ES"/>
        </w:rPr>
        <w:t xml:space="preserve">incluyendo las elecciones presidenciales </w:t>
      </w:r>
      <w:r w:rsidRPr="00C479B0">
        <w:rPr>
          <w:rFonts w:ascii="Arial" w:eastAsia="Arial" w:hAnsi="Arial" w:cs="Arial"/>
          <w:sz w:val="22"/>
          <w:szCs w:val="22"/>
          <w:lang w:eastAsia="es-ES" w:bidi="es-ES"/>
        </w:rPr>
        <w:t xml:space="preserve">y que prohíbe la celebración de convenios </w:t>
      </w:r>
      <w:r w:rsidR="00066C6F">
        <w:rPr>
          <w:rFonts w:ascii="Arial" w:eastAsia="Arial" w:hAnsi="Arial" w:cs="Arial"/>
          <w:sz w:val="22"/>
          <w:szCs w:val="22"/>
          <w:lang w:eastAsia="es-ES" w:bidi="es-ES"/>
        </w:rPr>
        <w:t xml:space="preserve">o contratos </w:t>
      </w:r>
      <w:r w:rsidRPr="00C479B0">
        <w:rPr>
          <w:rFonts w:ascii="Arial" w:eastAsia="Arial" w:hAnsi="Arial" w:cs="Arial"/>
          <w:sz w:val="22"/>
          <w:szCs w:val="22"/>
          <w:lang w:eastAsia="es-ES" w:bidi="es-ES"/>
        </w:rPr>
        <w:t xml:space="preserve">interadministrativos que impliquen la ejecución de recursos públicos dentro de los cuatro (4) meses anteriores a la respectiva jornada de votaciones. </w:t>
      </w:r>
      <w:r w:rsidR="00FE5C57" w:rsidRPr="00C479B0">
        <w:rPr>
          <w:rFonts w:ascii="Arial" w:eastAsia="Arial" w:hAnsi="Arial" w:cs="Arial"/>
          <w:bCs/>
          <w:color w:val="000000"/>
          <w:sz w:val="22"/>
          <w:szCs w:val="22"/>
        </w:rPr>
        <w:t xml:space="preserve">Por lo tanto, el parágrafo del </w:t>
      </w:r>
      <w:r w:rsidR="00FE5C57" w:rsidRPr="00C479B0">
        <w:rPr>
          <w:rFonts w:ascii="Arial" w:hAnsi="Arial" w:cs="Arial"/>
          <w:bCs/>
          <w:color w:val="000000" w:themeColor="text1"/>
          <w:sz w:val="22"/>
        </w:rPr>
        <w:t xml:space="preserve">artículo 38 de la Ley 996 de 2005 prohíbe a los gobernadores, alcaldes, secretarios, gerentes y directores de Entidades Estatales del orden Municipal, Departamental o Distrital celebrar convenios o contratos interadministrativos para ejecutar recursos públicos durante los cuatro (4) meses anteriores a cualquier elección </w:t>
      </w:r>
      <w:r w:rsidR="00FE5C57" w:rsidRPr="00224B02">
        <w:rPr>
          <w:rFonts w:ascii="Arial" w:hAnsi="Arial" w:cs="Arial"/>
          <w:bCs/>
          <w:color w:val="000000" w:themeColor="text1"/>
          <w:sz w:val="22"/>
        </w:rPr>
        <w:t>de cargos de elección popular, sin importar la naturaleza o el orden nacional o territorial de la otra entidad estatal contratante, también incluye a las elecciones presidenciales</w:t>
      </w:r>
      <w:r w:rsidR="00610FDC" w:rsidRPr="00224B02">
        <w:rPr>
          <w:rFonts w:ascii="Arial" w:hAnsi="Arial" w:cs="Arial"/>
          <w:bCs/>
          <w:color w:val="000000" w:themeColor="text1"/>
          <w:sz w:val="22"/>
        </w:rPr>
        <w:t xml:space="preserve"> y hasta</w:t>
      </w:r>
      <w:r w:rsidR="00610FDC" w:rsidRPr="00C479B0">
        <w:rPr>
          <w:rFonts w:ascii="Arial" w:hAnsi="Arial" w:cs="Arial"/>
          <w:bCs/>
          <w:color w:val="000000" w:themeColor="text1"/>
          <w:sz w:val="22"/>
        </w:rPr>
        <w:t xml:space="preserve"> la realización de la elección en la segunda vuelta. </w:t>
      </w:r>
    </w:p>
    <w:p w14:paraId="34551C00" w14:textId="23B9D402" w:rsidR="00CD47D1" w:rsidRDefault="00EE42AF" w:rsidP="00DE154D">
      <w:pPr>
        <w:ind w:right="40" w:firstLine="720"/>
        <w:rPr>
          <w:rFonts w:ascii="Arial" w:hAnsi="Arial" w:cs="Arial"/>
          <w:sz w:val="22"/>
          <w:szCs w:val="22"/>
        </w:rPr>
      </w:pPr>
      <w:r w:rsidRPr="00C479B0">
        <w:rPr>
          <w:rFonts w:ascii="Arial" w:hAnsi="Arial" w:cs="Arial"/>
          <w:sz w:val="22"/>
          <w:szCs w:val="22"/>
        </w:rPr>
        <w:t xml:space="preserve">Ahora bien, </w:t>
      </w:r>
      <w:r w:rsidR="00CD47D1">
        <w:rPr>
          <w:rFonts w:ascii="Arial" w:hAnsi="Arial" w:cs="Arial"/>
          <w:sz w:val="22"/>
          <w:szCs w:val="22"/>
        </w:rPr>
        <w:t xml:space="preserve">de acuerdo con la regulación vigente, a diferencia de la prohibición del artículo 33, que en su inciso segundo establece excepciones a la prohibición, el parágrafo del artículo 38 de la Ley 996 de 2005 no establece excepciones frente a dicha restricción en materia contractual. </w:t>
      </w:r>
      <w:r w:rsidR="00066C6F">
        <w:rPr>
          <w:rFonts w:ascii="Arial" w:hAnsi="Arial" w:cs="Arial"/>
          <w:sz w:val="22"/>
          <w:szCs w:val="22"/>
        </w:rPr>
        <w:t xml:space="preserve"> </w:t>
      </w:r>
    </w:p>
    <w:p w14:paraId="54CF406C" w14:textId="08ED271C" w:rsidR="00A54EFD" w:rsidRPr="00C479B0" w:rsidRDefault="00A54EFD" w:rsidP="00A54EFD">
      <w:pPr>
        <w:spacing w:after="120"/>
        <w:ind w:firstLine="709"/>
        <w:rPr>
          <w:rFonts w:ascii="Arial" w:hAnsi="Arial" w:cs="Arial"/>
          <w:color w:val="000000" w:themeColor="text1"/>
          <w:sz w:val="22"/>
        </w:rPr>
      </w:pPr>
      <w:r w:rsidRPr="00C479B0">
        <w:rPr>
          <w:rFonts w:ascii="Arial" w:eastAsia="Times New Roman" w:hAnsi="Arial" w:cs="Arial"/>
          <w:bCs/>
          <w:color w:val="000000" w:themeColor="text1"/>
          <w:sz w:val="22"/>
          <w:lang w:eastAsia="es-CO"/>
        </w:rPr>
        <w:t xml:space="preserve">Sin perjuicio de lo anterior, cabe destacar algunas precisiones establecidas en la Circular Externa Única de Colombia Compra Eficiente, en el sentido de que </w:t>
      </w:r>
      <w:r w:rsidRPr="00C479B0">
        <w:rPr>
          <w:rFonts w:ascii="Arial" w:hAnsi="Arial" w:cs="Arial"/>
          <w:color w:val="000000" w:themeColor="text1"/>
          <w:sz w:val="22"/>
        </w:rPr>
        <w:t xml:space="preserve">las prohibiciones de la </w:t>
      </w:r>
      <w:r w:rsidRPr="00C479B0">
        <w:rPr>
          <w:rFonts w:ascii="Arial" w:eastAsia="Times New Roman" w:hAnsi="Arial" w:cs="Arial"/>
          <w:bCs/>
          <w:color w:val="000000" w:themeColor="text1"/>
          <w:sz w:val="22"/>
          <w:lang w:eastAsia="es-CO"/>
        </w:rPr>
        <w:t>Ley de Garantías no aplican a los contratos o convenios que se deban celebrar en virtud de un fallo judicial</w:t>
      </w:r>
      <w:r w:rsidRPr="00C479B0">
        <w:rPr>
          <w:rStyle w:val="Refdenotaalpie"/>
          <w:rFonts w:ascii="Arial" w:eastAsia="Times New Roman" w:hAnsi="Arial" w:cs="Arial"/>
          <w:bCs/>
          <w:color w:val="000000" w:themeColor="text1"/>
          <w:sz w:val="22"/>
          <w:lang w:eastAsia="es-CO"/>
        </w:rPr>
        <w:footnoteReference w:id="27"/>
      </w:r>
      <w:r w:rsidRPr="00C479B0">
        <w:rPr>
          <w:rFonts w:ascii="Arial" w:eastAsia="Times New Roman" w:hAnsi="Arial" w:cs="Arial"/>
          <w:bCs/>
          <w:color w:val="000000" w:themeColor="text1"/>
          <w:sz w:val="22"/>
          <w:lang w:eastAsia="es-CO"/>
        </w:rPr>
        <w:t>,</w:t>
      </w:r>
      <w:r>
        <w:rPr>
          <w:rFonts w:ascii="Arial" w:eastAsia="Times New Roman" w:hAnsi="Arial" w:cs="Arial"/>
          <w:bCs/>
          <w:color w:val="000000" w:themeColor="text1"/>
          <w:sz w:val="22"/>
          <w:lang w:eastAsia="es-CO"/>
        </w:rPr>
        <w:t xml:space="preserve"> y</w:t>
      </w:r>
      <w:r w:rsidRPr="00C479B0">
        <w:rPr>
          <w:rFonts w:ascii="Arial" w:eastAsia="Times New Roman" w:hAnsi="Arial" w:cs="Arial"/>
          <w:bCs/>
          <w:color w:val="000000" w:themeColor="text1"/>
          <w:sz w:val="22"/>
          <w:lang w:eastAsia="es-CO"/>
        </w:rPr>
        <w:t xml:space="preserve"> tampoco se extienden a las </w:t>
      </w:r>
      <w:r w:rsidRPr="00C479B0">
        <w:rPr>
          <w:rFonts w:ascii="Arial" w:eastAsia="Times New Roman" w:hAnsi="Arial" w:cs="Arial"/>
          <w:color w:val="000000" w:themeColor="text1"/>
          <w:sz w:val="22"/>
        </w:rPr>
        <w:t xml:space="preserve">prórrogas, </w:t>
      </w:r>
      <w:r w:rsidRPr="00C479B0">
        <w:rPr>
          <w:rFonts w:ascii="Arial" w:eastAsia="Times New Roman" w:hAnsi="Arial" w:cs="Arial"/>
          <w:color w:val="000000" w:themeColor="text1"/>
          <w:sz w:val="22"/>
        </w:rPr>
        <w:lastRenderedPageBreak/>
        <w:t xml:space="preserve">modificaciones o adiciones, ni a la cesión de aquellos contratos suscritos antes </w:t>
      </w:r>
      <w:r w:rsidRPr="00C479B0">
        <w:rPr>
          <w:rFonts w:ascii="Arial" w:hAnsi="Arial" w:cs="Arial"/>
          <w:color w:val="000000" w:themeColor="text1"/>
          <w:sz w:val="22"/>
        </w:rPr>
        <w:t>del período electoral, siempre que dichos actos cumplan con los principios de planeación, transparencia y responsabilidad, siempre que los contratos hayan sido suscritos antes del periodo electoral y se encuentren vigentes</w:t>
      </w:r>
      <w:r w:rsidRPr="00C479B0">
        <w:rPr>
          <w:rStyle w:val="Refdenotaalpie"/>
          <w:rFonts w:ascii="Arial" w:hAnsi="Arial" w:cs="Arial"/>
          <w:color w:val="000000" w:themeColor="text1"/>
          <w:sz w:val="22"/>
        </w:rPr>
        <w:footnoteReference w:id="28"/>
      </w:r>
      <w:r w:rsidRPr="00C479B0">
        <w:rPr>
          <w:rFonts w:ascii="Arial" w:hAnsi="Arial" w:cs="Arial"/>
          <w:color w:val="000000" w:themeColor="text1"/>
          <w:sz w:val="22"/>
        </w:rPr>
        <w:t>.</w:t>
      </w:r>
    </w:p>
    <w:p w14:paraId="4CE6B6F2" w14:textId="77777777" w:rsidR="00CD47D1" w:rsidRDefault="00CD47D1" w:rsidP="00994B9B">
      <w:pPr>
        <w:ind w:right="40"/>
        <w:rPr>
          <w:rFonts w:ascii="Arial" w:hAnsi="Arial" w:cs="Arial"/>
          <w:sz w:val="22"/>
          <w:szCs w:val="22"/>
        </w:rPr>
      </w:pPr>
      <w:bookmarkStart w:id="11" w:name="_1t3h5sf" w:colFirst="0" w:colLast="0"/>
      <w:bookmarkEnd w:id="11"/>
    </w:p>
    <w:p w14:paraId="7A0D09DB" w14:textId="5C3940E3" w:rsidR="00187F6D" w:rsidRPr="00D46973" w:rsidRDefault="00187F6D" w:rsidP="00994B9B">
      <w:pPr>
        <w:ind w:right="40"/>
        <w:rPr>
          <w:rFonts w:ascii="Arial" w:hAnsi="Arial" w:cs="Arial"/>
          <w:sz w:val="22"/>
          <w:szCs w:val="22"/>
        </w:rPr>
      </w:pPr>
      <w:r w:rsidRPr="00C479B0">
        <w:rPr>
          <w:rFonts w:ascii="Arial" w:eastAsia="Arial" w:hAnsi="Arial" w:cs="Arial"/>
          <w:color w:val="000000"/>
          <w:sz w:val="22"/>
          <w:szCs w:val="22"/>
        </w:rPr>
        <w:t>Este concepto tiene el alcance p</w:t>
      </w:r>
      <w:r w:rsidR="004779F4" w:rsidRPr="00C479B0">
        <w:rPr>
          <w:rFonts w:ascii="Arial" w:eastAsia="Arial" w:hAnsi="Arial" w:cs="Arial"/>
          <w:color w:val="000000"/>
          <w:sz w:val="22"/>
          <w:szCs w:val="22"/>
        </w:rPr>
        <w:t>r</w:t>
      </w:r>
      <w:r w:rsidRPr="00C479B0">
        <w:rPr>
          <w:rFonts w:ascii="Arial" w:eastAsia="Arial" w:hAnsi="Arial" w:cs="Arial"/>
          <w:color w:val="000000"/>
          <w:sz w:val="22"/>
          <w:szCs w:val="22"/>
        </w:rPr>
        <w:t>evisto en el artículo 28 del Código de Procedimiento Administrativo y de lo Contencioso Administrativo.</w:t>
      </w:r>
    </w:p>
    <w:p w14:paraId="614006CD" w14:textId="77777777" w:rsidR="00187F6D" w:rsidRPr="00C479B0" w:rsidRDefault="00187F6D" w:rsidP="00187F6D">
      <w:pPr>
        <w:spacing w:after="120"/>
        <w:rPr>
          <w:rFonts w:ascii="Arial" w:eastAsia="Arial" w:hAnsi="Arial" w:cs="Arial"/>
          <w:color w:val="000000"/>
          <w:sz w:val="22"/>
          <w:szCs w:val="22"/>
        </w:rPr>
      </w:pPr>
      <w:r w:rsidRPr="00C479B0">
        <w:rPr>
          <w:noProof/>
        </w:rPr>
        <mc:AlternateContent>
          <mc:Choice Requires="wps">
            <w:drawing>
              <wp:anchor distT="4294967260" distB="4294967260" distL="114300" distR="114300" simplePos="0" relativeHeight="251659264" behindDoc="0" locked="0" layoutInCell="1" hidden="0" allowOverlap="1" wp14:anchorId="4ABA0D4A" wp14:editId="5E9C9FAE">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39F80682" id="Conector recto 1" o:spid="_x0000_s1026" style="position:absolute;z-index:251659264;visibility:visible;mso-wrap-style:square;mso-wrap-distance-left:9pt;mso-wrap-distance-top:-.001mm;mso-wrap-distance-right:9pt;mso-wrap-distance-bottom:-.001mm;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" strokecolor="#dbdbdb">
                <o:lock v:ext="edit" shapetype="f"/>
              </v:line>
            </w:pict>
          </mc:Fallback>
        </mc:AlternateContent>
      </w:r>
    </w:p>
    <w:p w14:paraId="7051C435" w14:textId="77777777" w:rsidR="00187F6D" w:rsidRPr="00C479B0" w:rsidRDefault="00187F6D" w:rsidP="00187F6D">
      <w:pPr>
        <w:rPr>
          <w:rFonts w:ascii="Arial" w:eastAsia="Arial" w:hAnsi="Arial" w:cs="Arial"/>
          <w:color w:val="000000"/>
          <w:sz w:val="22"/>
          <w:szCs w:val="22"/>
        </w:rPr>
      </w:pPr>
      <w:r w:rsidRPr="00C479B0">
        <w:rPr>
          <w:rFonts w:ascii="Arial" w:eastAsia="Arial" w:hAnsi="Arial" w:cs="Arial"/>
          <w:color w:val="000000"/>
          <w:sz w:val="22"/>
          <w:szCs w:val="22"/>
        </w:rPr>
        <w:t>Atentamente,</w:t>
      </w:r>
    </w:p>
    <w:p w14:paraId="24DC0F40" w14:textId="1260FEFA" w:rsidR="00A836C0" w:rsidRDefault="00A836C0" w:rsidP="00A836C0">
      <w:pPr>
        <w:spacing w:after="0" w:line="240" w:lineRule="auto"/>
        <w:jc w:val="center"/>
        <w:rPr>
          <w:rFonts w:ascii="Times New Roman" w:eastAsia="Times New Roman" w:hAnsi="Times New Roman" w:cs="Times New Roman"/>
          <w:lang w:eastAsia="es-MX"/>
        </w:rPr>
      </w:pPr>
    </w:p>
    <w:p w14:paraId="2E2269C7" w14:textId="24498B99" w:rsidR="00B67461" w:rsidRDefault="00B67461" w:rsidP="00A836C0">
      <w:pPr>
        <w:spacing w:after="0" w:line="240" w:lineRule="auto"/>
        <w:jc w:val="center"/>
        <w:rPr>
          <w:rFonts w:ascii="Times New Roman" w:eastAsia="Times New Roman" w:hAnsi="Times New Roman" w:cs="Times New Roman"/>
          <w:lang w:eastAsia="es-MX"/>
        </w:rPr>
      </w:pPr>
    </w:p>
    <w:p w14:paraId="1A6AB3B9" w14:textId="6CBC0FC3" w:rsidR="00B67461" w:rsidRPr="00B67461" w:rsidRDefault="00B67461" w:rsidP="00B67461">
      <w:pPr>
        <w:spacing w:after="0" w:line="240" w:lineRule="auto"/>
        <w:jc w:val="center"/>
        <w:rPr>
          <w:rFonts w:ascii="Times New Roman" w:eastAsia="Times New Roman" w:hAnsi="Times New Roman" w:cs="Times New Roman"/>
          <w:lang w:val="es-CO" w:eastAsia="es-MX"/>
        </w:rPr>
      </w:pPr>
      <w:r w:rsidRPr="00B67461">
        <w:rPr>
          <w:rFonts w:ascii="Times New Roman" w:eastAsia="Times New Roman" w:hAnsi="Times New Roman" w:cs="Times New Roman"/>
          <w:noProof/>
          <w:lang w:eastAsia="es-MX"/>
        </w:rPr>
        <w:drawing>
          <wp:inline distT="0" distB="0" distL="0" distR="0" wp14:anchorId="1EBB81AE" wp14:editId="6A1618A3">
            <wp:extent cx="1677670" cy="7423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670" cy="742315"/>
                    </a:xfrm>
                    <a:prstGeom prst="rect">
                      <a:avLst/>
                    </a:prstGeom>
                    <a:noFill/>
                    <a:ln>
                      <a:noFill/>
                    </a:ln>
                  </pic:spPr>
                </pic:pic>
              </a:graphicData>
            </a:graphic>
          </wp:inline>
        </w:drawing>
      </w:r>
    </w:p>
    <w:p w14:paraId="347D1F62" w14:textId="77777777" w:rsidR="00B67461" w:rsidRPr="00C479B0" w:rsidRDefault="00B67461" w:rsidP="00A836C0">
      <w:pPr>
        <w:spacing w:after="0" w:line="240" w:lineRule="auto"/>
        <w:jc w:val="center"/>
        <w:rPr>
          <w:rFonts w:ascii="Times New Roman" w:eastAsia="Times New Roman" w:hAnsi="Times New Roman" w:cs="Times New Roman"/>
          <w:lang w:eastAsia="es-MX"/>
        </w:rPr>
      </w:pPr>
    </w:p>
    <w:p w14:paraId="48BDAAF3" w14:textId="02C3E111" w:rsidR="00D610D4" w:rsidRPr="00C479B0" w:rsidRDefault="00D610D4" w:rsidP="00A836C0">
      <w:pPr>
        <w:spacing w:after="0" w:line="240" w:lineRule="auto"/>
        <w:jc w:val="center"/>
        <w:rPr>
          <w:rFonts w:ascii="Times New Roman" w:eastAsia="Times New Roman" w:hAnsi="Times New Roman" w:cs="Times New Roman"/>
          <w:lang w:eastAsia="es-MX"/>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187F6D" w:rsidRPr="00C479B0" w14:paraId="2403F69C" w14:textId="77777777" w:rsidTr="00053BAF">
        <w:trPr>
          <w:trHeight w:val="315"/>
        </w:trPr>
        <w:tc>
          <w:tcPr>
            <w:tcW w:w="812" w:type="dxa"/>
            <w:vAlign w:val="center"/>
          </w:tcPr>
          <w:p w14:paraId="52FD1E26" w14:textId="77777777" w:rsidR="00187F6D" w:rsidRPr="00C479B0" w:rsidRDefault="00187F6D" w:rsidP="00053BAF">
            <w:pPr>
              <w:spacing w:before="0"/>
            </w:pPr>
            <w:r w:rsidRPr="00C479B0">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37A8772" w14:textId="77777777" w:rsidR="00187F6D" w:rsidRPr="00C479B0" w:rsidRDefault="00187F6D" w:rsidP="00053BAF">
            <w:pPr>
              <w:spacing w:before="0"/>
            </w:pPr>
            <w:r w:rsidRPr="00C479B0">
              <w:rPr>
                <w:rFonts w:ascii="Arial" w:eastAsia="Arial" w:hAnsi="Arial" w:cs="Arial"/>
                <w:color w:val="000000"/>
                <w:sz w:val="16"/>
                <w:szCs w:val="16"/>
              </w:rPr>
              <w:t xml:space="preserve">Álvaro </w:t>
            </w:r>
            <w:proofErr w:type="spellStart"/>
            <w:r w:rsidRPr="00C479B0">
              <w:rPr>
                <w:rFonts w:ascii="Arial" w:eastAsia="Arial" w:hAnsi="Arial" w:cs="Arial"/>
                <w:color w:val="000000"/>
                <w:sz w:val="16"/>
                <w:szCs w:val="16"/>
              </w:rPr>
              <w:t>Namén</w:t>
            </w:r>
            <w:proofErr w:type="spellEnd"/>
            <w:r w:rsidRPr="00C479B0">
              <w:rPr>
                <w:rFonts w:ascii="Arial" w:eastAsia="Arial" w:hAnsi="Arial" w:cs="Arial"/>
                <w:color w:val="000000"/>
                <w:sz w:val="16"/>
                <w:szCs w:val="16"/>
              </w:rPr>
              <w:t xml:space="preserve"> Vargas</w:t>
            </w:r>
          </w:p>
          <w:p w14:paraId="1EAB12FB" w14:textId="77777777" w:rsidR="00187F6D" w:rsidRPr="00C479B0" w:rsidRDefault="00187F6D" w:rsidP="00053BAF">
            <w:pPr>
              <w:spacing w:before="0"/>
            </w:pPr>
            <w:r w:rsidRPr="00C479B0">
              <w:rPr>
                <w:rFonts w:ascii="Arial" w:eastAsia="Arial" w:hAnsi="Arial" w:cs="Arial"/>
                <w:color w:val="000000"/>
                <w:sz w:val="16"/>
                <w:szCs w:val="16"/>
              </w:rPr>
              <w:t>Contratista de la Subdirección de Gestión Contractual</w:t>
            </w:r>
          </w:p>
        </w:tc>
      </w:tr>
      <w:tr w:rsidR="00187F6D" w:rsidRPr="00C479B0" w14:paraId="3E6D9E4E" w14:textId="77777777" w:rsidTr="00053BAF">
        <w:trPr>
          <w:trHeight w:val="330"/>
        </w:trPr>
        <w:tc>
          <w:tcPr>
            <w:tcW w:w="812" w:type="dxa"/>
            <w:vAlign w:val="center"/>
          </w:tcPr>
          <w:p w14:paraId="471886D4" w14:textId="77777777" w:rsidR="00187F6D" w:rsidRPr="00C479B0" w:rsidRDefault="00187F6D" w:rsidP="00053BAF">
            <w:pPr>
              <w:spacing w:before="0"/>
            </w:pPr>
            <w:r w:rsidRPr="00C479B0">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12F949C9" w14:textId="77777777" w:rsidR="00187F6D" w:rsidRPr="00C479B0" w:rsidRDefault="00187F6D" w:rsidP="00053BAF">
            <w:pPr>
              <w:spacing w:before="0"/>
            </w:pPr>
            <w:r w:rsidRPr="00C479B0">
              <w:rPr>
                <w:rFonts w:ascii="Arial" w:eastAsia="Arial" w:hAnsi="Arial" w:cs="Arial"/>
                <w:color w:val="000000"/>
                <w:sz w:val="16"/>
                <w:szCs w:val="16"/>
              </w:rPr>
              <w:t>Sebastián Ramírez Grisales</w:t>
            </w:r>
          </w:p>
          <w:p w14:paraId="00906489" w14:textId="77777777" w:rsidR="00187F6D" w:rsidRPr="00C479B0" w:rsidRDefault="00187F6D" w:rsidP="00053BAF">
            <w:pPr>
              <w:spacing w:before="0"/>
            </w:pPr>
            <w:r w:rsidRPr="00C479B0">
              <w:rPr>
                <w:rFonts w:ascii="Arial" w:eastAsia="Arial" w:hAnsi="Arial" w:cs="Arial"/>
                <w:color w:val="000000"/>
                <w:sz w:val="16"/>
                <w:szCs w:val="16"/>
              </w:rPr>
              <w:t>Contratista de la Subdirección de Gestión Contractual</w:t>
            </w:r>
          </w:p>
        </w:tc>
      </w:tr>
      <w:tr w:rsidR="00187F6D" w:rsidRPr="00C479B0" w14:paraId="3826FCB9" w14:textId="77777777" w:rsidTr="00053BAF">
        <w:trPr>
          <w:trHeight w:val="300"/>
        </w:trPr>
        <w:tc>
          <w:tcPr>
            <w:tcW w:w="812" w:type="dxa"/>
            <w:vAlign w:val="center"/>
          </w:tcPr>
          <w:p w14:paraId="0E5EFB92" w14:textId="77777777" w:rsidR="00187F6D" w:rsidRPr="00C479B0" w:rsidRDefault="00187F6D" w:rsidP="00053BAF">
            <w:pPr>
              <w:spacing w:before="0"/>
            </w:pPr>
            <w:r w:rsidRPr="00C479B0">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CE5B7D3" w14:textId="77777777" w:rsidR="00187F6D" w:rsidRPr="00C479B0" w:rsidRDefault="00187F6D" w:rsidP="00053BAF">
            <w:pPr>
              <w:spacing w:before="0"/>
            </w:pPr>
            <w:r w:rsidRPr="00C479B0">
              <w:rPr>
                <w:rFonts w:ascii="Arial" w:eastAsia="Arial" w:hAnsi="Arial" w:cs="Arial"/>
                <w:color w:val="000000"/>
                <w:sz w:val="16"/>
                <w:szCs w:val="16"/>
              </w:rPr>
              <w:t>Jorge Augusto Tirado Navarro</w:t>
            </w:r>
          </w:p>
          <w:p w14:paraId="43CA04CD" w14:textId="77777777" w:rsidR="00187F6D" w:rsidRPr="00C479B0" w:rsidRDefault="00187F6D" w:rsidP="00053BAF">
            <w:pPr>
              <w:spacing w:before="0"/>
            </w:pPr>
            <w:r w:rsidRPr="00C479B0">
              <w:rPr>
                <w:rFonts w:ascii="Arial" w:eastAsia="Arial" w:hAnsi="Arial" w:cs="Arial"/>
                <w:color w:val="000000"/>
                <w:sz w:val="16"/>
                <w:szCs w:val="16"/>
              </w:rPr>
              <w:t>Subdirector de Gestión Contractual ANCP – CCE</w:t>
            </w:r>
          </w:p>
        </w:tc>
      </w:tr>
    </w:tbl>
    <w:p w14:paraId="5E41BA08" w14:textId="77777777" w:rsidR="00501B0C" w:rsidRPr="00C479B0" w:rsidRDefault="00501B0C" w:rsidP="00DF751B">
      <w:pPr>
        <w:spacing w:after="120"/>
        <w:rPr>
          <w:rFonts w:ascii="Arial" w:eastAsia="Arial" w:hAnsi="Arial" w:cs="Arial"/>
          <w:b/>
          <w:color w:val="000000"/>
          <w:sz w:val="20"/>
          <w:szCs w:val="20"/>
        </w:rPr>
      </w:pPr>
    </w:p>
    <w:sectPr w:rsidR="00501B0C" w:rsidRPr="00C479B0">
      <w:headerReference w:type="default" r:id="rId10"/>
      <w:footerReference w:type="default" r:id="rId11"/>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0DA3" w14:textId="77777777" w:rsidR="00390857" w:rsidRDefault="00390857">
      <w:pPr>
        <w:spacing w:after="0" w:line="240" w:lineRule="auto"/>
      </w:pPr>
      <w:r>
        <w:separator/>
      </w:r>
    </w:p>
  </w:endnote>
  <w:endnote w:type="continuationSeparator" w:id="0">
    <w:p w14:paraId="4BF96C7F" w14:textId="77777777" w:rsidR="00390857" w:rsidRDefault="0039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w:altName w:val="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BAC0" w14:textId="77777777" w:rsidR="00501B0C" w:rsidRDefault="00501B0C">
    <w:pPr>
      <w:pBdr>
        <w:top w:val="nil"/>
        <w:left w:val="nil"/>
        <w:bottom w:val="nil"/>
        <w:right w:val="nil"/>
        <w:between w:val="nil"/>
      </w:pBdr>
      <w:spacing w:after="0" w:line="240" w:lineRule="auto"/>
      <w:rPr>
        <w:rFonts w:ascii="Arial" w:eastAsia="Arial" w:hAnsi="Arial" w:cs="Arial"/>
        <w:color w:val="000000"/>
        <w:sz w:val="18"/>
        <w:szCs w:val="18"/>
      </w:rPr>
    </w:pPr>
  </w:p>
  <w:p w14:paraId="675E2E84" w14:textId="77777777" w:rsidR="00501B0C" w:rsidRDefault="00557D1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9D2FA3">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232B64D5" w14:textId="77777777" w:rsidR="00501B0C" w:rsidRDefault="00557D1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5AF53172" wp14:editId="0B76CAD5">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52C801EA" w14:textId="77777777" w:rsidR="00501B0C" w:rsidRDefault="00501B0C">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CC8D" w14:textId="77777777" w:rsidR="00390857" w:rsidRDefault="00390857">
      <w:pPr>
        <w:spacing w:after="0" w:line="240" w:lineRule="auto"/>
      </w:pPr>
      <w:r>
        <w:separator/>
      </w:r>
    </w:p>
  </w:footnote>
  <w:footnote w:type="continuationSeparator" w:id="0">
    <w:p w14:paraId="41DE11E9" w14:textId="77777777" w:rsidR="00390857" w:rsidRDefault="00390857">
      <w:pPr>
        <w:spacing w:after="0" w:line="240" w:lineRule="auto"/>
      </w:pPr>
      <w:r>
        <w:continuationSeparator/>
      </w:r>
    </w:p>
  </w:footnote>
  <w:footnote w:id="1">
    <w:p w14:paraId="674FF217" w14:textId="77777777" w:rsidR="00501B0C" w:rsidRPr="00994B9B" w:rsidRDefault="00557D14" w:rsidP="00066C6F">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94B9B">
        <w:rPr>
          <w:rFonts w:ascii="Arial" w:eastAsia="Arial" w:hAnsi="Arial" w:cs="Arial"/>
          <w:i/>
          <w:color w:val="000000" w:themeColor="text1"/>
          <w:sz w:val="19"/>
          <w:szCs w:val="19"/>
        </w:rPr>
        <w:t xml:space="preserve">ibidem </w:t>
      </w:r>
      <w:r w:rsidRPr="00994B9B">
        <w:rPr>
          <w:rFonts w:ascii="Arial" w:eastAsia="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994B9B">
        <w:rPr>
          <w:rFonts w:ascii="Arial" w:eastAsia="Arial" w:hAnsi="Arial" w:cs="Arial"/>
          <w:color w:val="000000" w:themeColor="text1"/>
          <w:sz w:val="19"/>
          <w:szCs w:val="19"/>
        </w:rPr>
        <w:t>bsolver</w:t>
      </w:r>
      <w:proofErr w:type="spellEnd"/>
      <w:r w:rsidRPr="00994B9B">
        <w:rPr>
          <w:rFonts w:ascii="Arial" w:eastAsia="Arial" w:hAnsi="Arial" w:cs="Arial"/>
          <w:color w:val="000000" w:themeColor="text1"/>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bookmarkStart w:id="2" w:name="_4d34og8" w:colFirst="0" w:colLast="0"/>
    <w:bookmarkEnd w:id="2"/>
  </w:footnote>
  <w:footnote w:id="2">
    <w:p w14:paraId="01075CB6" w14:textId="77777777" w:rsidR="00501B0C" w:rsidRPr="00994B9B" w:rsidRDefault="00557D14" w:rsidP="00066C6F">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bookmarkStart w:id="4" w:name="_4d34og8" w:colFirst="0" w:colLast="0"/>
      <w:bookmarkEnd w:id="4"/>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Seguidamente, el numeral 8º del artículo 11 Decreto Ley 4170 de 2011 señala que es función de la Subdirección de Gestión Contractual: «[a]</w:t>
      </w:r>
      <w:proofErr w:type="spellStart"/>
      <w:r w:rsidRPr="00994B9B">
        <w:rPr>
          <w:rFonts w:ascii="Arial" w:eastAsia="Arial" w:hAnsi="Arial" w:cs="Arial"/>
          <w:color w:val="000000" w:themeColor="text1"/>
          <w:sz w:val="19"/>
          <w:szCs w:val="19"/>
        </w:rPr>
        <w:t>bsolver</w:t>
      </w:r>
      <w:proofErr w:type="spellEnd"/>
      <w:r w:rsidRPr="00994B9B">
        <w:rPr>
          <w:rFonts w:ascii="Arial" w:eastAsia="Arial" w:hAnsi="Arial" w:cs="Arial"/>
          <w:color w:val="000000" w:themeColor="text1"/>
          <w:sz w:val="19"/>
          <w:szCs w:val="19"/>
        </w:rPr>
        <w:t xml:space="preserve">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168B4EFB" w14:textId="77777777" w:rsidR="00C03189" w:rsidRPr="00994B9B" w:rsidRDefault="00C03189" w:rsidP="00066C6F">
      <w:pPr>
        <w:pStyle w:val="Textonotapie"/>
        <w:ind w:firstLine="709"/>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961C3A7" w14:textId="729BF65B" w:rsidR="00C03189" w:rsidRPr="00994B9B" w:rsidRDefault="005F39C9" w:rsidP="00066C6F">
      <w:pPr>
        <w:pStyle w:val="Textonotapie"/>
        <w:ind w:firstLine="709"/>
        <w:jc w:val="both"/>
        <w:rPr>
          <w:rFonts w:ascii="Arial" w:hAnsi="Arial" w:cs="Arial"/>
          <w:color w:val="000000" w:themeColor="text1"/>
          <w:sz w:val="19"/>
          <w:szCs w:val="19"/>
        </w:rPr>
      </w:pPr>
      <w:r w:rsidRPr="00994B9B">
        <w:rPr>
          <w:rFonts w:ascii="Arial" w:hAnsi="Arial" w:cs="Arial"/>
          <w:color w:val="000000" w:themeColor="text1"/>
          <w:sz w:val="19"/>
          <w:szCs w:val="19"/>
        </w:rPr>
        <w:t>» A</w:t>
      </w:r>
      <w:r w:rsidR="00C03189" w:rsidRPr="00994B9B">
        <w:rPr>
          <w:rFonts w:ascii="Arial" w:hAnsi="Arial" w:cs="Arial"/>
          <w:color w:val="000000" w:themeColor="text1"/>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69BE105" w14:textId="77777777" w:rsidR="00C03189" w:rsidRPr="00994B9B" w:rsidRDefault="00C03189" w:rsidP="00066C6F">
      <w:pPr>
        <w:pStyle w:val="Textonotapie"/>
        <w:ind w:firstLine="709"/>
        <w:jc w:val="both"/>
        <w:rPr>
          <w:rFonts w:ascii="Arial" w:hAnsi="Arial" w:cs="Arial"/>
          <w:color w:val="000000" w:themeColor="text1"/>
          <w:sz w:val="19"/>
          <w:szCs w:val="19"/>
        </w:rPr>
      </w:pPr>
    </w:p>
  </w:footnote>
  <w:footnote w:id="4">
    <w:p w14:paraId="15144054" w14:textId="77777777" w:rsidR="00C03189" w:rsidRPr="00994B9B" w:rsidRDefault="00C03189" w:rsidP="00066C6F">
      <w:pPr>
        <w:pStyle w:val="Textonotapie"/>
        <w:ind w:firstLine="709"/>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Gaceta del Congreso de la República No. 71 del 2005.</w:t>
      </w:r>
    </w:p>
    <w:p w14:paraId="44F4A33E" w14:textId="77777777" w:rsidR="00C03189" w:rsidRPr="00994B9B" w:rsidRDefault="00C03189" w:rsidP="00066C6F">
      <w:pPr>
        <w:pStyle w:val="Textonotapie"/>
        <w:ind w:firstLine="709"/>
        <w:jc w:val="both"/>
        <w:rPr>
          <w:rFonts w:ascii="Arial" w:hAnsi="Arial" w:cs="Arial"/>
          <w:color w:val="000000" w:themeColor="text1"/>
          <w:sz w:val="19"/>
          <w:szCs w:val="19"/>
          <w:lang w:val="es-CO"/>
        </w:rPr>
      </w:pPr>
    </w:p>
  </w:footnote>
  <w:footnote w:id="5">
    <w:p w14:paraId="78275B5C" w14:textId="77777777" w:rsidR="00C03189" w:rsidRPr="00994B9B" w:rsidRDefault="00C03189" w:rsidP="00066C6F">
      <w:pPr>
        <w:pStyle w:val="Textonotapie"/>
        <w:ind w:firstLine="709"/>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Corte Constitucional, Sentencia C- 1153 de 2005, M.P. Marco Gerardo Monroy Cabra.</w:t>
      </w:r>
    </w:p>
  </w:footnote>
  <w:footnote w:id="6">
    <w:p w14:paraId="18E8D076" w14:textId="77777777" w:rsidR="00C03189" w:rsidRPr="00994B9B" w:rsidRDefault="00C03189" w:rsidP="00066C6F">
      <w:pPr>
        <w:pStyle w:val="Textonotapie"/>
        <w:ind w:firstLine="709"/>
        <w:jc w:val="both"/>
        <w:rPr>
          <w:rFonts w:ascii="Arial" w:hAnsi="Arial" w:cs="Arial"/>
          <w:color w:val="000000" w:themeColor="text1"/>
          <w:sz w:val="19"/>
          <w:szCs w:val="19"/>
        </w:rPr>
      </w:pPr>
    </w:p>
    <w:p w14:paraId="3691F20B" w14:textId="77777777" w:rsidR="00C03189" w:rsidRPr="00994B9B" w:rsidRDefault="00C03189" w:rsidP="00066C6F">
      <w:pPr>
        <w:pStyle w:val="Textonotapie"/>
        <w:ind w:firstLine="709"/>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7FF6C29" w14:textId="77777777" w:rsidR="00C03189" w:rsidRPr="00994B9B" w:rsidRDefault="00C03189" w:rsidP="00066C6F">
      <w:pPr>
        <w:pStyle w:val="Textonotapie"/>
        <w:ind w:firstLine="709"/>
        <w:jc w:val="both"/>
        <w:rPr>
          <w:rFonts w:ascii="Arial" w:hAnsi="Arial" w:cs="Arial"/>
          <w:color w:val="000000" w:themeColor="text1"/>
          <w:sz w:val="19"/>
          <w:szCs w:val="19"/>
        </w:rPr>
      </w:pPr>
    </w:p>
  </w:footnote>
  <w:footnote w:id="7">
    <w:p w14:paraId="3CE52468" w14:textId="77777777" w:rsidR="00C03189" w:rsidRPr="00994B9B" w:rsidRDefault="00C03189" w:rsidP="00066C6F">
      <w:pPr>
        <w:pStyle w:val="Textonotapie"/>
        <w:ind w:firstLine="709"/>
        <w:jc w:val="both"/>
        <w:rPr>
          <w:rFonts w:ascii="Arial" w:hAnsi="Arial" w:cs="Arial"/>
          <w:color w:val="000000" w:themeColor="text1"/>
          <w:sz w:val="19"/>
          <w:szCs w:val="19"/>
          <w:lang w:val="es-CO"/>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DB27682" w14:textId="77777777" w:rsidR="00C03189" w:rsidRPr="00994B9B" w:rsidRDefault="00C03189" w:rsidP="00066C6F">
      <w:pPr>
        <w:pStyle w:val="Textonotapie"/>
        <w:ind w:firstLine="709"/>
        <w:jc w:val="both"/>
        <w:rPr>
          <w:rFonts w:ascii="Arial" w:hAnsi="Arial" w:cs="Arial"/>
          <w:color w:val="000000" w:themeColor="text1"/>
          <w:sz w:val="19"/>
          <w:szCs w:val="19"/>
          <w:lang w:val="es-CO"/>
        </w:rPr>
      </w:pPr>
    </w:p>
  </w:footnote>
  <w:footnote w:id="8">
    <w:p w14:paraId="02793312" w14:textId="77777777" w:rsidR="00C03189" w:rsidRPr="00994B9B" w:rsidRDefault="00C03189" w:rsidP="00066C6F">
      <w:pPr>
        <w:pStyle w:val="Textonotapie"/>
        <w:ind w:firstLine="709"/>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Consejo de Estado, Sala de Consulta y Servicio Civil de fecha 24 de julio de 2013, radicado 2166, </w:t>
      </w:r>
      <w:proofErr w:type="gramStart"/>
      <w:r w:rsidRPr="00994B9B">
        <w:rPr>
          <w:rFonts w:ascii="Arial" w:hAnsi="Arial" w:cs="Arial"/>
          <w:color w:val="000000" w:themeColor="text1"/>
          <w:sz w:val="19"/>
          <w:szCs w:val="19"/>
        </w:rPr>
        <w:t>Consejero</w:t>
      </w:r>
      <w:proofErr w:type="gramEnd"/>
      <w:r w:rsidRPr="00994B9B">
        <w:rPr>
          <w:rFonts w:ascii="Arial" w:hAnsi="Arial" w:cs="Arial"/>
          <w:color w:val="000000" w:themeColor="text1"/>
          <w:sz w:val="19"/>
          <w:szCs w:val="19"/>
        </w:rPr>
        <w:t xml:space="preserve"> Ponente: Álvaro </w:t>
      </w:r>
      <w:proofErr w:type="spellStart"/>
      <w:r w:rsidRPr="00994B9B">
        <w:rPr>
          <w:rFonts w:ascii="Arial" w:hAnsi="Arial" w:cs="Arial"/>
          <w:color w:val="000000" w:themeColor="text1"/>
          <w:sz w:val="19"/>
          <w:szCs w:val="19"/>
        </w:rPr>
        <w:t>Namén</w:t>
      </w:r>
      <w:proofErr w:type="spellEnd"/>
      <w:r w:rsidRPr="00994B9B">
        <w:rPr>
          <w:rFonts w:ascii="Arial" w:hAnsi="Arial" w:cs="Arial"/>
          <w:color w:val="000000" w:themeColor="text1"/>
          <w:sz w:val="19"/>
          <w:szCs w:val="19"/>
        </w:rPr>
        <w:t xml:space="preserve"> Vargas.  </w:t>
      </w:r>
    </w:p>
  </w:footnote>
  <w:footnote w:id="9">
    <w:p w14:paraId="10051CC3" w14:textId="77777777" w:rsidR="00C74C59" w:rsidRPr="00994B9B" w:rsidRDefault="00C74C59" w:rsidP="00994B9B">
      <w:pPr>
        <w:pStyle w:val="Textonotapie"/>
        <w:ind w:firstLine="709"/>
        <w:jc w:val="both"/>
        <w:rPr>
          <w:rFonts w:ascii="Arial" w:hAnsi="Arial" w:cs="Arial"/>
          <w:color w:val="000000" w:themeColor="text1"/>
          <w:sz w:val="19"/>
          <w:szCs w:val="19"/>
          <w:lang w:val="es-CO"/>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Consejo de Estado. Sala de Consulta y Servicio Civil. Concepto del 18 de febrero de 2010. Radicación 2010-00006-00(1985) A.</w:t>
      </w:r>
    </w:p>
  </w:footnote>
  <w:footnote w:id="10">
    <w:p w14:paraId="4D866BC1" w14:textId="77777777" w:rsidR="00C74C59" w:rsidRPr="00A54EFD" w:rsidRDefault="00C74C59" w:rsidP="00066C6F">
      <w:pPr>
        <w:shd w:val="clear" w:color="auto" w:fill="FFFFFF"/>
        <w:spacing w:after="0" w:line="240" w:lineRule="auto"/>
        <w:ind w:firstLine="709"/>
        <w:rPr>
          <w:rFonts w:ascii="Arial" w:eastAsia="Times New Roman" w:hAnsi="Arial" w:cs="Arial"/>
          <w:color w:val="000000" w:themeColor="text1"/>
          <w:sz w:val="19"/>
          <w:szCs w:val="19"/>
        </w:rPr>
      </w:pPr>
      <w:r w:rsidRPr="00A54EFD">
        <w:rPr>
          <w:rStyle w:val="Refdenotaalpie"/>
          <w:rFonts w:ascii="Arial" w:hAnsi="Arial" w:cs="Arial"/>
          <w:color w:val="000000" w:themeColor="text1"/>
          <w:sz w:val="19"/>
          <w:szCs w:val="19"/>
        </w:rPr>
        <w:footnoteRef/>
      </w:r>
      <w:r w:rsidRPr="00A54EFD">
        <w:rPr>
          <w:rFonts w:ascii="Arial" w:hAnsi="Arial" w:cs="Arial"/>
          <w:color w:val="000000" w:themeColor="text1"/>
          <w:sz w:val="19"/>
          <w:szCs w:val="19"/>
        </w:rPr>
        <w:t xml:space="preserve"> Así quedó consignado en el numeral 15.3 de la «Circular Externa Única de Colombia Compra Eficiente», en armonía con el pronunciamiento del Honorable </w:t>
      </w:r>
      <w:r w:rsidRPr="00A54EFD">
        <w:rPr>
          <w:rFonts w:ascii="Arial" w:eastAsia="Times New Roman" w:hAnsi="Arial" w:cs="Arial"/>
          <w:color w:val="000000" w:themeColor="text1"/>
          <w:sz w:val="19"/>
          <w:szCs w:val="19"/>
        </w:rPr>
        <w:t xml:space="preserve">Sala de Consulta y Servicio Civil 15 de noviembre de 2007. Expediente No. 1001-03- 06-000-2007-00092-00. Número 1863 de 2007. CP: Luis Fernando Álvarez Jaramillo. </w:t>
      </w:r>
    </w:p>
    <w:p w14:paraId="38E0A9F9" w14:textId="77777777" w:rsidR="00C74C59" w:rsidRPr="00A54EFD" w:rsidRDefault="00C74C59" w:rsidP="00066C6F">
      <w:pPr>
        <w:shd w:val="clear" w:color="auto" w:fill="FFFFFF"/>
        <w:spacing w:after="0" w:line="240" w:lineRule="auto"/>
        <w:ind w:firstLine="709"/>
        <w:rPr>
          <w:rFonts w:ascii="Arial" w:hAnsi="Arial" w:cs="Arial"/>
          <w:color w:val="000000" w:themeColor="text1"/>
          <w:sz w:val="19"/>
          <w:szCs w:val="19"/>
        </w:rPr>
      </w:pPr>
    </w:p>
  </w:footnote>
  <w:footnote w:id="11">
    <w:p w14:paraId="1DE58DA6" w14:textId="4A7B8122" w:rsidR="00C74C59" w:rsidRPr="00A54EFD" w:rsidRDefault="00C74C59" w:rsidP="00994B9B">
      <w:pPr>
        <w:pStyle w:val="Textonotapie"/>
        <w:ind w:firstLine="709"/>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Numeral 15.5 </w:t>
      </w:r>
      <w:r w:rsidRPr="00A54EFD">
        <w:rPr>
          <w:rFonts w:ascii="Arial" w:hAnsi="Arial" w:cs="Arial"/>
          <w:color w:val="000000" w:themeColor="text1"/>
          <w:sz w:val="19"/>
          <w:szCs w:val="19"/>
        </w:rPr>
        <w:t>de la «Circular Externa Única de Colombia Compra Eficiente».</w:t>
      </w:r>
    </w:p>
    <w:p w14:paraId="0A77EB21" w14:textId="77777777" w:rsidR="00C74C59" w:rsidRPr="00994B9B" w:rsidRDefault="00C74C59" w:rsidP="00994B9B">
      <w:pPr>
        <w:pStyle w:val="Textonotapie"/>
        <w:ind w:firstLine="709"/>
        <w:jc w:val="both"/>
        <w:rPr>
          <w:rFonts w:ascii="Arial" w:hAnsi="Arial" w:cs="Arial"/>
          <w:color w:val="000000" w:themeColor="text1"/>
          <w:sz w:val="19"/>
          <w:szCs w:val="19"/>
        </w:rPr>
      </w:pPr>
    </w:p>
  </w:footnote>
  <w:footnote w:id="12">
    <w:p w14:paraId="358411F4" w14:textId="77777777" w:rsidR="00C74C59" w:rsidRPr="00994B9B" w:rsidRDefault="00C74C59" w:rsidP="00066C6F">
      <w:pPr>
        <w:spacing w:after="0" w:line="240" w:lineRule="auto"/>
        <w:ind w:firstLine="709"/>
        <w:rPr>
          <w:rFonts w:ascii="Arial" w:eastAsia="Times New Roman"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w:t>
      </w:r>
      <w:r w:rsidRPr="00A54EFD">
        <w:rPr>
          <w:rFonts w:ascii="Arial" w:hAnsi="Arial" w:cs="Arial"/>
          <w:color w:val="000000" w:themeColor="text1"/>
          <w:sz w:val="19"/>
          <w:szCs w:val="19"/>
        </w:rPr>
        <w:t xml:space="preserve">Consejo de Estado. Sala de Consulta y Servicio Civil. Concepto del 27 de abril de 2006. Radicación número: 11001-03-06-000-2006-00011-00(1712) A, reiterado por la misma corporación en concepto del 20 de febrero de 2018. Radicación número: </w:t>
      </w:r>
      <w:r w:rsidRPr="00994B9B">
        <w:rPr>
          <w:rFonts w:ascii="Arial" w:eastAsia="Times New Roman" w:hAnsi="Arial" w:cs="Arial"/>
          <w:color w:val="000000" w:themeColor="text1"/>
          <w:sz w:val="19"/>
          <w:szCs w:val="19"/>
        </w:rPr>
        <w:t>11001-03-06-000-2017-00205-00(2366).</w:t>
      </w:r>
    </w:p>
    <w:p w14:paraId="26B183A0" w14:textId="77777777" w:rsidR="00C74C59" w:rsidRPr="00994B9B" w:rsidRDefault="00C74C59" w:rsidP="00994B9B">
      <w:pPr>
        <w:pStyle w:val="Textonotapie"/>
        <w:jc w:val="both"/>
        <w:rPr>
          <w:rFonts w:ascii="Arial" w:hAnsi="Arial" w:cs="Arial"/>
          <w:color w:val="000000" w:themeColor="text1"/>
          <w:sz w:val="19"/>
          <w:szCs w:val="19"/>
        </w:rPr>
      </w:pPr>
    </w:p>
  </w:footnote>
  <w:footnote w:id="13">
    <w:p w14:paraId="19DBEC99" w14:textId="77777777" w:rsidR="002D5D65" w:rsidRPr="00994B9B" w:rsidRDefault="002D5D65" w:rsidP="00066C6F">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Consejo de Estado. Sala de Consulta y Servicio Civil. Concepto de 20 de febrero de2006. Radicación 11001-03-06-000-2006-00023-00(1724). Consejero Ponente: Flavio Augusto Rodríguez Arce.</w:t>
      </w:r>
    </w:p>
    <w:p w14:paraId="25107004" w14:textId="77777777" w:rsidR="002D5D65" w:rsidRPr="00994B9B" w:rsidRDefault="002D5D65" w:rsidP="00066C6F">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4">
    <w:p w14:paraId="02A61968" w14:textId="77777777" w:rsidR="002D5D65" w:rsidRPr="00994B9B" w:rsidRDefault="002D5D65" w:rsidP="00066C6F">
      <w:pPr>
        <w:spacing w:after="0" w:line="240" w:lineRule="auto"/>
        <w:ind w:firstLine="709"/>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994B9B">
        <w:rPr>
          <w:rFonts w:ascii="Arial" w:eastAsia="Arial" w:hAnsi="Arial" w:cs="Arial"/>
          <w:color w:val="000000" w:themeColor="text1"/>
          <w:sz w:val="19"/>
          <w:szCs w:val="19"/>
        </w:rPr>
        <w:t>y</w:t>
      </w:r>
      <w:proofErr w:type="gramEnd"/>
      <w:r w:rsidRPr="00994B9B">
        <w:rPr>
          <w:rFonts w:ascii="Arial" w:eastAsia="Arial" w:hAnsi="Arial" w:cs="Arial"/>
          <w:color w:val="000000" w:themeColor="text1"/>
          <w:sz w:val="19"/>
          <w:szCs w:val="19"/>
        </w:rPr>
        <w:t xml:space="preserve"> en consecuencia, le es aplicable lo establecido en el artículo 2.2.1.2.1.4.1 del presente decreto.</w:t>
      </w:r>
    </w:p>
    <w:p w14:paraId="392956FD" w14:textId="07877E81" w:rsidR="002D5D65" w:rsidRPr="00994B9B" w:rsidRDefault="002D5D65" w:rsidP="00066C6F">
      <w:pPr>
        <w:spacing w:after="0" w:line="240" w:lineRule="auto"/>
        <w:ind w:firstLine="709"/>
        <w:rPr>
          <w:rFonts w:ascii="Arial" w:eastAsia="Arial" w:hAnsi="Arial" w:cs="Arial"/>
          <w:color w:val="000000" w:themeColor="text1"/>
          <w:sz w:val="19"/>
          <w:szCs w:val="19"/>
        </w:rPr>
      </w:pPr>
      <w:r w:rsidRPr="00994B9B">
        <w:rPr>
          <w:rFonts w:ascii="Arial" w:eastAsia="Arial" w:hAnsi="Arial" w:cs="Arial"/>
          <w:color w:val="000000" w:themeColor="text1"/>
          <w:sz w:val="19"/>
          <w:szCs w:val="19"/>
        </w:rPr>
        <w:t>»</w:t>
      </w:r>
      <w:r w:rsidR="00ED1997" w:rsidRPr="00994B9B">
        <w:rPr>
          <w:rFonts w:ascii="Arial" w:eastAsia="Arial" w:hAnsi="Arial" w:cs="Arial"/>
          <w:color w:val="000000" w:themeColor="text1"/>
          <w:sz w:val="19"/>
          <w:szCs w:val="19"/>
        </w:rPr>
        <w:t xml:space="preserve"> </w:t>
      </w:r>
      <w:r w:rsidRPr="00994B9B">
        <w:rPr>
          <w:rFonts w:ascii="Arial" w:eastAsia="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15">
    <w:p w14:paraId="01FB0833" w14:textId="77777777" w:rsidR="002D5D65" w:rsidRPr="00994B9B" w:rsidRDefault="002D5D65" w:rsidP="00066C6F">
      <w:pPr>
        <w:spacing w:after="0" w:line="240" w:lineRule="auto"/>
        <w:ind w:firstLine="709"/>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676404E" w14:textId="77777777" w:rsidR="002D5D65" w:rsidRPr="00994B9B" w:rsidRDefault="002D5D65" w:rsidP="00066C6F">
      <w:pPr>
        <w:spacing w:after="0" w:line="240" w:lineRule="auto"/>
        <w:ind w:firstLine="709"/>
        <w:rPr>
          <w:rFonts w:ascii="Arial" w:eastAsia="Arial" w:hAnsi="Arial" w:cs="Arial"/>
          <w:color w:val="000000" w:themeColor="text1"/>
          <w:sz w:val="19"/>
          <w:szCs w:val="19"/>
        </w:rPr>
      </w:pPr>
    </w:p>
  </w:footnote>
  <w:footnote w:id="16">
    <w:p w14:paraId="518DB785" w14:textId="77777777" w:rsidR="002D5D65" w:rsidRPr="00994B9B" w:rsidRDefault="002D5D65" w:rsidP="00066C6F">
      <w:pPr>
        <w:spacing w:after="0" w:line="240" w:lineRule="auto"/>
        <w:ind w:firstLine="709"/>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vertAlign w:val="superscript"/>
        </w:rPr>
        <w:t xml:space="preserve"> </w:t>
      </w:r>
      <w:r w:rsidRPr="00994B9B">
        <w:rPr>
          <w:rFonts w:ascii="Arial" w:eastAsia="Arial" w:hAnsi="Arial" w:cs="Arial"/>
          <w:color w:val="000000" w:themeColor="text1"/>
          <w:sz w:val="19"/>
          <w:szCs w:val="19"/>
        </w:rPr>
        <w:t>Consejo de Estado. Sección Tercera. Sentencia del 23 de junio de 2010. Radicación No. 66001-23-31-000-1998-00261-01(17.860). Consejero Ponente: Mauricio Fajardo Gómez.</w:t>
      </w:r>
    </w:p>
    <w:p w14:paraId="44C6493A" w14:textId="77777777" w:rsidR="002D5D65" w:rsidRPr="00994B9B" w:rsidRDefault="002D5D65" w:rsidP="00066C6F">
      <w:pPr>
        <w:pBdr>
          <w:top w:val="nil"/>
          <w:left w:val="nil"/>
          <w:bottom w:val="nil"/>
          <w:right w:val="nil"/>
          <w:between w:val="nil"/>
        </w:pBdr>
        <w:spacing w:after="0" w:line="240" w:lineRule="auto"/>
        <w:rPr>
          <w:rFonts w:ascii="Arial" w:eastAsia="Arial" w:hAnsi="Arial" w:cs="Arial"/>
          <w:color w:val="000000" w:themeColor="text1"/>
          <w:sz w:val="19"/>
          <w:szCs w:val="19"/>
        </w:rPr>
      </w:pPr>
    </w:p>
  </w:footnote>
  <w:footnote w:id="17">
    <w:p w14:paraId="05F3FCBB" w14:textId="77777777" w:rsidR="002D5D65" w:rsidRPr="00994B9B" w:rsidRDefault="002D5D65" w:rsidP="00066C6F">
      <w:pPr>
        <w:spacing w:after="0" w:line="240" w:lineRule="auto"/>
        <w:ind w:firstLine="709"/>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Consejo de Estado. Sección Tercera. Subsección C. Sentencia del 11 de diciembre de 2019. </w:t>
      </w:r>
      <w:proofErr w:type="spellStart"/>
      <w:r w:rsidRPr="00994B9B">
        <w:rPr>
          <w:rFonts w:ascii="Arial" w:eastAsia="Arial" w:hAnsi="Arial" w:cs="Arial"/>
          <w:color w:val="000000" w:themeColor="text1"/>
          <w:sz w:val="19"/>
          <w:szCs w:val="19"/>
        </w:rPr>
        <w:t>Exp</w:t>
      </w:r>
      <w:proofErr w:type="spellEnd"/>
      <w:r w:rsidRPr="00994B9B">
        <w:rPr>
          <w:rFonts w:ascii="Arial" w:eastAsia="Arial" w:hAnsi="Arial" w:cs="Arial"/>
          <w:color w:val="000000" w:themeColor="text1"/>
          <w:sz w:val="19"/>
          <w:szCs w:val="19"/>
        </w:rPr>
        <w:t>. 46.986. C.P. Jaime Enrique Rodríguez Navas.</w:t>
      </w:r>
    </w:p>
  </w:footnote>
  <w:footnote w:id="18">
    <w:p w14:paraId="7C33506C" w14:textId="77777777" w:rsidR="002D5D65" w:rsidRPr="00994B9B" w:rsidRDefault="002D5D65" w:rsidP="00066C6F">
      <w:pPr>
        <w:pBdr>
          <w:top w:val="nil"/>
          <w:left w:val="nil"/>
          <w:bottom w:val="nil"/>
          <w:right w:val="nil"/>
          <w:between w:val="nil"/>
        </w:pBdr>
        <w:spacing w:after="0" w:line="240" w:lineRule="auto"/>
        <w:ind w:firstLine="708"/>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[Referencia propia de la cita] «CE. SCSC. Concepto de 1 de noviembre de 2016 [Rad. 11001-03-06-000-2016-00125-00(2305)]. MP. Germán Alberto Bula Escobar».</w:t>
      </w:r>
    </w:p>
  </w:footnote>
  <w:footnote w:id="19">
    <w:p w14:paraId="57A12BCE" w14:textId="77777777" w:rsidR="002D5D65" w:rsidRPr="00994B9B" w:rsidRDefault="002D5D65" w:rsidP="00066C6F">
      <w:pPr>
        <w:pBdr>
          <w:top w:val="nil"/>
          <w:left w:val="nil"/>
          <w:bottom w:val="nil"/>
          <w:right w:val="nil"/>
          <w:between w:val="nil"/>
        </w:pBdr>
        <w:spacing w:after="0" w:line="240" w:lineRule="auto"/>
        <w:ind w:firstLine="708"/>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[Referencia propia de la cita] «CE. SCSC. Concepto de 30 de abril de 2008 [Rad. 11001-03-06-000-2008-00013-00(1881)]. MP. Enrique José Arboleda Perdomo. En esta oportunidad, la Sala indicó que el contenido </w:t>
      </w:r>
      <w:r w:rsidRPr="00994B9B">
        <w:rPr>
          <w:rFonts w:ascii="Arial" w:eastAsia="Arial" w:hAnsi="Arial" w:cs="Arial"/>
          <w:i/>
          <w:color w:val="000000" w:themeColor="text1"/>
          <w:sz w:val="19"/>
          <w:szCs w:val="19"/>
        </w:rPr>
        <w:t>“obligacional”</w:t>
      </w:r>
      <w:r w:rsidRPr="00994B9B">
        <w:rPr>
          <w:rFonts w:ascii="Arial" w:eastAsia="Arial" w:hAnsi="Arial" w:cs="Arial"/>
          <w:color w:val="000000" w:themeColor="text1"/>
          <w:sz w:val="19"/>
          <w:szCs w:val="19"/>
        </w:rPr>
        <w:t xml:space="preserve"> de los convenios se estructura definiendo el resultado querido por las partes y los medios que cada entidad despliega para la obtención del respectivo objeto».</w:t>
      </w:r>
    </w:p>
  </w:footnote>
  <w:footnote w:id="20">
    <w:p w14:paraId="5D1A5F51" w14:textId="77777777" w:rsidR="002D5D65" w:rsidRPr="00994B9B" w:rsidRDefault="002D5D65" w:rsidP="00066C6F">
      <w:pPr>
        <w:pBdr>
          <w:top w:val="nil"/>
          <w:left w:val="nil"/>
          <w:bottom w:val="nil"/>
          <w:right w:val="nil"/>
          <w:between w:val="nil"/>
        </w:pBdr>
        <w:spacing w:after="0" w:line="240" w:lineRule="auto"/>
        <w:ind w:firstLine="708"/>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[Referencia propia de la cita] «La normativa vigente del EGCAP </w:t>
      </w:r>
      <w:r w:rsidRPr="00994B9B">
        <w:rPr>
          <w:rFonts w:ascii="Arial" w:eastAsia="Arial" w:hAnsi="Arial" w:cs="Arial"/>
          <w:i/>
          <w:color w:val="000000" w:themeColor="text1"/>
          <w:sz w:val="19"/>
          <w:szCs w:val="19"/>
        </w:rPr>
        <w:t>[literal c) del numeral 4. del artículo 2 de la Ley 1150/07]</w:t>
      </w:r>
      <w:r w:rsidRPr="00994B9B">
        <w:rPr>
          <w:rFonts w:ascii="Arial" w:eastAsia="Arial" w:hAnsi="Arial" w:cs="Arial"/>
          <w:color w:val="000000" w:themeColor="text1"/>
          <w:sz w:val="19"/>
          <w:szCs w:val="19"/>
        </w:rPr>
        <w:t xml:space="preserve"> se refiere a </w:t>
      </w:r>
      <w:r w:rsidRPr="00994B9B">
        <w:rPr>
          <w:rFonts w:ascii="Arial" w:eastAsia="Arial" w:hAnsi="Arial" w:cs="Arial"/>
          <w:i/>
          <w:color w:val="000000" w:themeColor="text1"/>
          <w:sz w:val="19"/>
          <w:szCs w:val="19"/>
        </w:rPr>
        <w:t>“contratos interadministrativos”</w:t>
      </w:r>
      <w:r w:rsidRPr="00994B9B">
        <w:rPr>
          <w:rFonts w:ascii="Arial" w:eastAsia="Arial" w:hAnsi="Arial" w:cs="Arial"/>
          <w:color w:val="000000" w:themeColor="text1"/>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21">
    <w:p w14:paraId="57C78C54" w14:textId="77777777" w:rsidR="002D5D65" w:rsidRPr="00994B9B" w:rsidRDefault="002D5D65" w:rsidP="00066C6F">
      <w:pPr>
        <w:pBdr>
          <w:top w:val="nil"/>
          <w:left w:val="nil"/>
          <w:bottom w:val="nil"/>
          <w:right w:val="nil"/>
          <w:between w:val="nil"/>
        </w:pBdr>
        <w:spacing w:after="0" w:line="240" w:lineRule="auto"/>
        <w:ind w:firstLine="708"/>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994B9B">
        <w:rPr>
          <w:rFonts w:ascii="Arial" w:eastAsia="Arial" w:hAnsi="Arial" w:cs="Arial"/>
          <w:color w:val="000000" w:themeColor="text1"/>
          <w:sz w:val="19"/>
          <w:szCs w:val="19"/>
        </w:rPr>
        <w:t>Exp</w:t>
      </w:r>
      <w:proofErr w:type="spellEnd"/>
      <w:r w:rsidRPr="00994B9B">
        <w:rPr>
          <w:rFonts w:ascii="Arial" w:eastAsia="Arial" w:hAnsi="Arial" w:cs="Arial"/>
          <w:color w:val="000000" w:themeColor="text1"/>
          <w:sz w:val="19"/>
          <w:szCs w:val="19"/>
        </w:rPr>
        <w:t xml:space="preserve">. 2.257. M.P. Álvaro </w:t>
      </w:r>
      <w:proofErr w:type="spellStart"/>
      <w:r w:rsidRPr="00994B9B">
        <w:rPr>
          <w:rFonts w:ascii="Arial" w:eastAsia="Arial" w:hAnsi="Arial" w:cs="Arial"/>
          <w:color w:val="000000" w:themeColor="text1"/>
          <w:sz w:val="19"/>
          <w:szCs w:val="19"/>
        </w:rPr>
        <w:t>Namén</w:t>
      </w:r>
      <w:proofErr w:type="spellEnd"/>
      <w:r w:rsidRPr="00994B9B">
        <w:rPr>
          <w:rFonts w:ascii="Arial" w:eastAsia="Arial" w:hAnsi="Arial" w:cs="Arial"/>
          <w:color w:val="000000" w:themeColor="text1"/>
          <w:sz w:val="19"/>
          <w:szCs w:val="19"/>
        </w:rPr>
        <w:t xml:space="preserve"> Vargas).</w:t>
      </w:r>
    </w:p>
  </w:footnote>
  <w:footnote w:id="22">
    <w:p w14:paraId="1D5F4D8E" w14:textId="77777777" w:rsidR="002D5D65" w:rsidRPr="00994B9B" w:rsidRDefault="002D5D65" w:rsidP="00066C6F">
      <w:pPr>
        <w:pBdr>
          <w:top w:val="nil"/>
          <w:left w:val="nil"/>
          <w:bottom w:val="nil"/>
          <w:right w:val="nil"/>
          <w:between w:val="nil"/>
        </w:pBdr>
        <w:spacing w:after="0" w:line="240" w:lineRule="auto"/>
        <w:ind w:firstLine="708"/>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Es lo que sucede, por ejemplo, con el Decreto 092 de 2017, que en su desarrollo hace referencia tanto a los «contratos» como a los «convenios». </w:t>
      </w:r>
    </w:p>
  </w:footnote>
  <w:footnote w:id="23">
    <w:p w14:paraId="6C2F0EA9" w14:textId="77777777" w:rsidR="002D5D65" w:rsidRPr="00994B9B" w:rsidRDefault="002D5D65" w:rsidP="00066C6F">
      <w:pPr>
        <w:pBdr>
          <w:top w:val="nil"/>
          <w:left w:val="nil"/>
          <w:bottom w:val="nil"/>
          <w:right w:val="nil"/>
          <w:between w:val="nil"/>
        </w:pBdr>
        <w:spacing w:after="0" w:line="240" w:lineRule="auto"/>
        <w:ind w:firstLine="708"/>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4">
    <w:p w14:paraId="64524D92" w14:textId="77777777" w:rsidR="002D5D65" w:rsidRPr="00994B9B" w:rsidRDefault="002D5D65" w:rsidP="00066C6F">
      <w:pPr>
        <w:pBdr>
          <w:top w:val="nil"/>
          <w:left w:val="nil"/>
          <w:bottom w:val="nil"/>
          <w:right w:val="nil"/>
          <w:between w:val="nil"/>
        </w:pBdr>
        <w:spacing w:after="0" w:line="240" w:lineRule="auto"/>
        <w:ind w:firstLine="708"/>
        <w:rPr>
          <w:rFonts w:ascii="Arial" w:eastAsia="Arial" w:hAnsi="Arial" w:cs="Arial"/>
          <w:color w:val="000000" w:themeColor="text1"/>
          <w:sz w:val="19"/>
          <w:szCs w:val="19"/>
        </w:rPr>
      </w:pPr>
      <w:r w:rsidRPr="00994B9B">
        <w:rPr>
          <w:rFonts w:ascii="Arial" w:hAnsi="Arial" w:cs="Arial"/>
          <w:color w:val="000000" w:themeColor="text1"/>
          <w:sz w:val="19"/>
          <w:szCs w:val="19"/>
          <w:vertAlign w:val="superscript"/>
        </w:rPr>
        <w:footnoteRef/>
      </w:r>
      <w:r w:rsidRPr="00994B9B">
        <w:rPr>
          <w:rFonts w:ascii="Arial" w:eastAsia="Arial" w:hAnsi="Arial" w:cs="Arial"/>
          <w:color w:val="000000" w:themeColor="text1"/>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5">
    <w:p w14:paraId="7FC8BA19" w14:textId="77777777" w:rsidR="00066C6F" w:rsidRPr="00994B9B" w:rsidRDefault="00066C6F" w:rsidP="00066C6F">
      <w:pPr>
        <w:pStyle w:val="Textonotapie"/>
        <w:ind w:firstLine="709"/>
        <w:jc w:val="both"/>
        <w:rPr>
          <w:rFonts w:ascii="Arial" w:hAnsi="Arial" w:cs="Arial"/>
          <w:color w:val="000000" w:themeColor="text1"/>
          <w:sz w:val="19"/>
          <w:szCs w:val="19"/>
        </w:rPr>
      </w:pPr>
    </w:p>
    <w:p w14:paraId="5298437F" w14:textId="77777777" w:rsidR="00066C6F" w:rsidRPr="00A54EFD" w:rsidRDefault="00066C6F" w:rsidP="00066C6F">
      <w:pPr>
        <w:pStyle w:val="Textonotapie"/>
        <w:ind w:firstLine="709"/>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Consejo de Estado. Sala de Consulta y Servicio Civil. Concepto del 15 de noviembre de 2007. Expediente número 1863. Consejero Ponente: Luis Fernando Álvarez Jaramillo. </w:t>
      </w:r>
      <w:r w:rsidRPr="00A54EFD">
        <w:rPr>
          <w:rFonts w:ascii="Arial" w:hAnsi="Arial" w:cs="Arial"/>
          <w:color w:val="000000" w:themeColor="text1"/>
          <w:sz w:val="19"/>
          <w:szCs w:val="19"/>
        </w:rPr>
        <w:t xml:space="preserve">Igualmente, Cfr. </w:t>
      </w:r>
      <w:r w:rsidRPr="00994B9B">
        <w:rPr>
          <w:rFonts w:ascii="Arial" w:hAnsi="Arial" w:cs="Arial"/>
          <w:color w:val="000000" w:themeColor="text1"/>
          <w:sz w:val="19"/>
          <w:szCs w:val="19"/>
        </w:rPr>
        <w:t>Agencia Nacional de Contratación Pública – Colombia Compra Eficiente. Circular Externa Única. Numeral 15.3.</w:t>
      </w:r>
    </w:p>
    <w:p w14:paraId="36624710" w14:textId="77777777" w:rsidR="00066C6F" w:rsidRPr="00994B9B" w:rsidRDefault="00066C6F" w:rsidP="00066C6F">
      <w:pPr>
        <w:pStyle w:val="Textonotapie"/>
        <w:ind w:firstLine="709"/>
        <w:jc w:val="both"/>
        <w:rPr>
          <w:rFonts w:ascii="Arial" w:hAnsi="Arial" w:cs="Arial"/>
          <w:color w:val="000000" w:themeColor="text1"/>
          <w:sz w:val="19"/>
          <w:szCs w:val="19"/>
        </w:rPr>
      </w:pPr>
    </w:p>
    <w:p w14:paraId="734D082D" w14:textId="77777777" w:rsidR="00066C6F" w:rsidRPr="00994B9B" w:rsidRDefault="00066C6F" w:rsidP="00066C6F">
      <w:pPr>
        <w:pStyle w:val="Textonotapie"/>
        <w:ind w:firstLine="709"/>
        <w:jc w:val="both"/>
        <w:rPr>
          <w:rFonts w:ascii="Arial" w:hAnsi="Arial" w:cs="Arial"/>
          <w:color w:val="000000" w:themeColor="text1"/>
          <w:sz w:val="19"/>
          <w:szCs w:val="19"/>
          <w:lang w:val="es-CO"/>
        </w:rPr>
      </w:pPr>
    </w:p>
  </w:footnote>
  <w:footnote w:id="26">
    <w:p w14:paraId="38F6B65F" w14:textId="37080FBA" w:rsidR="00066C6F" w:rsidRDefault="00066C6F" w:rsidP="00066C6F">
      <w:pPr>
        <w:pStyle w:val="Textonotapie"/>
        <w:ind w:firstLine="720"/>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4B5023B8" w14:textId="77777777" w:rsidR="00A54EFD" w:rsidRPr="00994B9B" w:rsidRDefault="00A54EFD" w:rsidP="00994B9B">
      <w:pPr>
        <w:pStyle w:val="Textonotapie"/>
        <w:ind w:firstLine="720"/>
        <w:jc w:val="both"/>
        <w:rPr>
          <w:rFonts w:ascii="Arial" w:hAnsi="Arial" w:cs="Arial"/>
          <w:color w:val="000000" w:themeColor="text1"/>
          <w:sz w:val="19"/>
          <w:szCs w:val="19"/>
          <w:lang w:val="es-CO"/>
        </w:rPr>
      </w:pPr>
    </w:p>
  </w:footnote>
  <w:footnote w:id="27">
    <w:p w14:paraId="2DE760FA" w14:textId="2177B78D" w:rsidR="00A54EFD" w:rsidRPr="00A54EFD" w:rsidRDefault="00A54EFD" w:rsidP="00A54EFD">
      <w:pPr>
        <w:shd w:val="clear" w:color="auto" w:fill="FFFFFF"/>
        <w:spacing w:after="0" w:line="240" w:lineRule="auto"/>
        <w:ind w:firstLine="709"/>
        <w:rPr>
          <w:rFonts w:ascii="Arial" w:eastAsia="Times New Roman" w:hAnsi="Arial" w:cs="Arial"/>
          <w:color w:val="000000" w:themeColor="text1"/>
          <w:sz w:val="19"/>
          <w:szCs w:val="19"/>
        </w:rPr>
      </w:pPr>
      <w:r w:rsidRPr="00A54EFD">
        <w:rPr>
          <w:rStyle w:val="Refdenotaalpie"/>
          <w:rFonts w:ascii="Arial" w:hAnsi="Arial" w:cs="Arial"/>
          <w:color w:val="000000" w:themeColor="text1"/>
          <w:sz w:val="19"/>
          <w:szCs w:val="19"/>
        </w:rPr>
        <w:footnoteRef/>
      </w:r>
      <w:r w:rsidRPr="00A54EFD">
        <w:rPr>
          <w:rFonts w:ascii="Arial" w:hAnsi="Arial" w:cs="Arial"/>
          <w:color w:val="000000" w:themeColor="text1"/>
          <w:sz w:val="19"/>
          <w:szCs w:val="19"/>
        </w:rPr>
        <w:t xml:space="preserve"> Así quedó consignado en el numeral 15.3 de la «Circular Externa Única de Colombia Compra Eficiente», en armonía con el pronunciamiento del Honorable </w:t>
      </w:r>
      <w:r w:rsidRPr="00A54EFD">
        <w:rPr>
          <w:rFonts w:ascii="Arial" w:eastAsia="Times New Roman" w:hAnsi="Arial" w:cs="Arial"/>
          <w:color w:val="000000" w:themeColor="text1"/>
          <w:sz w:val="19"/>
          <w:szCs w:val="19"/>
        </w:rPr>
        <w:t xml:space="preserve">Sala de Consulta y Servicio Civil 15 de noviembre de 2007. Expediente No. 1001-03- 06-000-2007-00092-00. Número 1863 de 2007. CP: Luis Fernando Álvarez Jaramillo. </w:t>
      </w:r>
      <w:r>
        <w:rPr>
          <w:rFonts w:ascii="Arial" w:eastAsia="Times New Roman" w:hAnsi="Arial" w:cs="Arial"/>
          <w:color w:val="000000" w:themeColor="text1"/>
          <w:sz w:val="19"/>
          <w:szCs w:val="19"/>
        </w:rPr>
        <w:t xml:space="preserve">Disponible en: </w:t>
      </w:r>
      <w:hyperlink r:id="rId1" w:history="1">
        <w:r w:rsidRPr="00103AA5">
          <w:rPr>
            <w:rStyle w:val="Hipervnculo"/>
            <w:rFonts w:ascii="Arial" w:eastAsia="Times New Roman" w:hAnsi="Arial" w:cs="Arial"/>
            <w:sz w:val="19"/>
            <w:szCs w:val="19"/>
          </w:rPr>
          <w:t>https://www.colombiacompra.gov.co/sites/cce_public/files/cce_circulares/cce_circular_unica.pdf</w:t>
        </w:r>
      </w:hyperlink>
      <w:r>
        <w:rPr>
          <w:rFonts w:ascii="Arial" w:eastAsia="Times New Roman" w:hAnsi="Arial" w:cs="Arial"/>
          <w:color w:val="000000" w:themeColor="text1"/>
          <w:sz w:val="19"/>
          <w:szCs w:val="19"/>
        </w:rPr>
        <w:t xml:space="preserve">. </w:t>
      </w:r>
    </w:p>
    <w:p w14:paraId="20802652" w14:textId="77777777" w:rsidR="00A54EFD" w:rsidRPr="00A54EFD" w:rsidRDefault="00A54EFD" w:rsidP="00A54EFD">
      <w:pPr>
        <w:shd w:val="clear" w:color="auto" w:fill="FFFFFF"/>
        <w:spacing w:after="0" w:line="240" w:lineRule="auto"/>
        <w:ind w:firstLine="709"/>
        <w:rPr>
          <w:rFonts w:ascii="Arial" w:hAnsi="Arial" w:cs="Arial"/>
          <w:color w:val="000000" w:themeColor="text1"/>
          <w:sz w:val="19"/>
          <w:szCs w:val="19"/>
        </w:rPr>
      </w:pPr>
    </w:p>
  </w:footnote>
  <w:footnote w:id="28">
    <w:p w14:paraId="6F4AE6E9" w14:textId="77777777" w:rsidR="00A54EFD" w:rsidRPr="00A54EFD" w:rsidRDefault="00A54EFD" w:rsidP="00A54EFD">
      <w:pPr>
        <w:pStyle w:val="Textonotapie"/>
        <w:ind w:firstLine="709"/>
        <w:jc w:val="both"/>
        <w:rPr>
          <w:rFonts w:ascii="Arial" w:hAnsi="Arial" w:cs="Arial"/>
          <w:color w:val="000000" w:themeColor="text1"/>
          <w:sz w:val="19"/>
          <w:szCs w:val="19"/>
        </w:rPr>
      </w:pPr>
      <w:r w:rsidRPr="00994B9B">
        <w:rPr>
          <w:rStyle w:val="Refdenotaalpie"/>
          <w:rFonts w:ascii="Arial" w:hAnsi="Arial" w:cs="Arial"/>
          <w:color w:val="000000" w:themeColor="text1"/>
          <w:sz w:val="19"/>
          <w:szCs w:val="19"/>
        </w:rPr>
        <w:footnoteRef/>
      </w:r>
      <w:r w:rsidRPr="00994B9B">
        <w:rPr>
          <w:rFonts w:ascii="Arial" w:hAnsi="Arial" w:cs="Arial"/>
          <w:color w:val="000000" w:themeColor="text1"/>
          <w:sz w:val="19"/>
          <w:szCs w:val="19"/>
        </w:rPr>
        <w:t xml:space="preserve"> Numeral 15.5,   </w:t>
      </w:r>
      <w:r w:rsidRPr="00A54EFD">
        <w:rPr>
          <w:rFonts w:ascii="Arial" w:hAnsi="Arial" w:cs="Arial"/>
          <w:color w:val="000000" w:themeColor="text1"/>
          <w:sz w:val="19"/>
          <w:szCs w:val="19"/>
        </w:rPr>
        <w:t>de la «Circular Externa Única de Colombia Compra Eficiente».</w:t>
      </w:r>
    </w:p>
    <w:p w14:paraId="278971A8" w14:textId="77777777" w:rsidR="00A54EFD" w:rsidRPr="00994B9B" w:rsidRDefault="00A54EFD" w:rsidP="00A54EFD">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E84" w14:textId="77777777" w:rsidR="00501B0C" w:rsidRDefault="00557D1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F3C0AA3" wp14:editId="2D70C9A9">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72A65C1A" w14:textId="77777777" w:rsidR="00501B0C" w:rsidRDefault="00501B0C">
    <w:pPr>
      <w:pBdr>
        <w:top w:val="nil"/>
        <w:left w:val="nil"/>
        <w:bottom w:val="nil"/>
        <w:right w:val="nil"/>
        <w:between w:val="nil"/>
      </w:pBdr>
      <w:tabs>
        <w:tab w:val="center" w:pos="4252"/>
        <w:tab w:val="right" w:pos="8504"/>
      </w:tabs>
      <w:spacing w:after="0"/>
      <w:rPr>
        <w:color w:val="000000"/>
      </w:rPr>
    </w:pPr>
  </w:p>
  <w:p w14:paraId="73283C97" w14:textId="77777777" w:rsidR="00501B0C" w:rsidRDefault="00501B0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315"/>
    <w:multiLevelType w:val="hybridMultilevel"/>
    <w:tmpl w:val="1596A38E"/>
    <w:lvl w:ilvl="0" w:tplc="1C2C3CAC">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ABC60">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049A2">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C18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9EA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062D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2F6F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4EA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5D42">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76228"/>
    <w:multiLevelType w:val="hybridMultilevel"/>
    <w:tmpl w:val="D0640D2A"/>
    <w:lvl w:ilvl="0" w:tplc="6594464E">
      <w:start w:val="2"/>
      <w:numFmt w:val="lowerRoman"/>
      <w:lvlText w:val="%1"/>
      <w:lvlJc w:val="left"/>
      <w:pPr>
        <w:ind w:left="5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B0AC524">
      <w:start w:val="1"/>
      <w:numFmt w:val="lowerLetter"/>
      <w:lvlText w:val="%2"/>
      <w:lvlJc w:val="left"/>
      <w:pPr>
        <w:ind w:left="16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68C5F5A">
      <w:start w:val="1"/>
      <w:numFmt w:val="lowerRoman"/>
      <w:lvlText w:val="%3"/>
      <w:lvlJc w:val="left"/>
      <w:pPr>
        <w:ind w:left="23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605E8F16">
      <w:start w:val="1"/>
      <w:numFmt w:val="decimal"/>
      <w:lvlText w:val="%4"/>
      <w:lvlJc w:val="left"/>
      <w:pPr>
        <w:ind w:left="30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AA1A1572">
      <w:start w:val="1"/>
      <w:numFmt w:val="lowerLetter"/>
      <w:lvlText w:val="%5"/>
      <w:lvlJc w:val="left"/>
      <w:pPr>
        <w:ind w:left="380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111E286C">
      <w:start w:val="1"/>
      <w:numFmt w:val="lowerRoman"/>
      <w:lvlText w:val="%6"/>
      <w:lvlJc w:val="left"/>
      <w:pPr>
        <w:ind w:left="452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F83868">
      <w:start w:val="1"/>
      <w:numFmt w:val="decimal"/>
      <w:lvlText w:val="%7"/>
      <w:lvlJc w:val="left"/>
      <w:pPr>
        <w:ind w:left="52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35D6A722">
      <w:start w:val="1"/>
      <w:numFmt w:val="lowerLetter"/>
      <w:lvlText w:val="%8"/>
      <w:lvlJc w:val="left"/>
      <w:pPr>
        <w:ind w:left="59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3A38C710">
      <w:start w:val="1"/>
      <w:numFmt w:val="lowerRoman"/>
      <w:lvlText w:val="%9"/>
      <w:lvlJc w:val="left"/>
      <w:pPr>
        <w:ind w:left="66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832CE4"/>
    <w:multiLevelType w:val="multilevel"/>
    <w:tmpl w:val="B00C2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BB0508"/>
    <w:multiLevelType w:val="hybridMultilevel"/>
    <w:tmpl w:val="77346C4C"/>
    <w:lvl w:ilvl="0" w:tplc="1CDEC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23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4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A1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EF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7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3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1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76656853">
    <w:abstractNumId w:val="3"/>
  </w:num>
  <w:num w:numId="2" w16cid:durableId="507988143">
    <w:abstractNumId w:val="0"/>
  </w:num>
  <w:num w:numId="3" w16cid:durableId="1197814712">
    <w:abstractNumId w:val="1"/>
  </w:num>
  <w:num w:numId="4" w16cid:durableId="51734544">
    <w:abstractNumId w:val="2"/>
  </w:num>
  <w:num w:numId="5" w16cid:durableId="1709379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0C"/>
    <w:rsid w:val="000042EA"/>
    <w:rsid w:val="000102F1"/>
    <w:rsid w:val="00025934"/>
    <w:rsid w:val="00057AC1"/>
    <w:rsid w:val="00066C6F"/>
    <w:rsid w:val="000D603D"/>
    <w:rsid w:val="000E27A8"/>
    <w:rsid w:val="000E3FB8"/>
    <w:rsid w:val="00104EF7"/>
    <w:rsid w:val="0011373C"/>
    <w:rsid w:val="00175108"/>
    <w:rsid w:val="001769E8"/>
    <w:rsid w:val="00187F6D"/>
    <w:rsid w:val="001A139D"/>
    <w:rsid w:val="001C4DBC"/>
    <w:rsid w:val="001E40E0"/>
    <w:rsid w:val="00207D09"/>
    <w:rsid w:val="002203E4"/>
    <w:rsid w:val="00224B02"/>
    <w:rsid w:val="00242A40"/>
    <w:rsid w:val="00254EFD"/>
    <w:rsid w:val="002706F6"/>
    <w:rsid w:val="00293F0F"/>
    <w:rsid w:val="002B381B"/>
    <w:rsid w:val="002D429C"/>
    <w:rsid w:val="002D5D65"/>
    <w:rsid w:val="002F446F"/>
    <w:rsid w:val="0031568A"/>
    <w:rsid w:val="003332D7"/>
    <w:rsid w:val="00345062"/>
    <w:rsid w:val="00370720"/>
    <w:rsid w:val="003878D0"/>
    <w:rsid w:val="00390857"/>
    <w:rsid w:val="003E0715"/>
    <w:rsid w:val="00404378"/>
    <w:rsid w:val="004136AC"/>
    <w:rsid w:val="00424174"/>
    <w:rsid w:val="0042611A"/>
    <w:rsid w:val="004451B8"/>
    <w:rsid w:val="004534F7"/>
    <w:rsid w:val="00457283"/>
    <w:rsid w:val="004707C5"/>
    <w:rsid w:val="00472497"/>
    <w:rsid w:val="004729A7"/>
    <w:rsid w:val="004779F4"/>
    <w:rsid w:val="00477B44"/>
    <w:rsid w:val="00485BA8"/>
    <w:rsid w:val="00494952"/>
    <w:rsid w:val="004A5756"/>
    <w:rsid w:val="004C69ED"/>
    <w:rsid w:val="00501B0C"/>
    <w:rsid w:val="00506EA0"/>
    <w:rsid w:val="005169AE"/>
    <w:rsid w:val="005543E2"/>
    <w:rsid w:val="00557D14"/>
    <w:rsid w:val="0056653B"/>
    <w:rsid w:val="00585415"/>
    <w:rsid w:val="005925A2"/>
    <w:rsid w:val="005952B0"/>
    <w:rsid w:val="005A1E30"/>
    <w:rsid w:val="005B6058"/>
    <w:rsid w:val="005B6414"/>
    <w:rsid w:val="005E6290"/>
    <w:rsid w:val="005F39C9"/>
    <w:rsid w:val="00610FDC"/>
    <w:rsid w:val="006423CD"/>
    <w:rsid w:val="006655ED"/>
    <w:rsid w:val="006862C6"/>
    <w:rsid w:val="006A0D5F"/>
    <w:rsid w:val="006A1E8B"/>
    <w:rsid w:val="006C6DE3"/>
    <w:rsid w:val="006D1A9F"/>
    <w:rsid w:val="006D4B4D"/>
    <w:rsid w:val="006D4DB4"/>
    <w:rsid w:val="006D5616"/>
    <w:rsid w:val="006F23D3"/>
    <w:rsid w:val="00705C1A"/>
    <w:rsid w:val="007955E9"/>
    <w:rsid w:val="00796250"/>
    <w:rsid w:val="007A14AF"/>
    <w:rsid w:val="007C333A"/>
    <w:rsid w:val="007E4F95"/>
    <w:rsid w:val="008071C9"/>
    <w:rsid w:val="008143A8"/>
    <w:rsid w:val="00821723"/>
    <w:rsid w:val="00860B64"/>
    <w:rsid w:val="00876E66"/>
    <w:rsid w:val="0089151A"/>
    <w:rsid w:val="008B2310"/>
    <w:rsid w:val="008C28A5"/>
    <w:rsid w:val="00933908"/>
    <w:rsid w:val="00944EEC"/>
    <w:rsid w:val="00961061"/>
    <w:rsid w:val="0096363D"/>
    <w:rsid w:val="00964D90"/>
    <w:rsid w:val="0097223A"/>
    <w:rsid w:val="00984694"/>
    <w:rsid w:val="00984D00"/>
    <w:rsid w:val="00994B9B"/>
    <w:rsid w:val="009A7F14"/>
    <w:rsid w:val="009D2FA3"/>
    <w:rsid w:val="009E5B40"/>
    <w:rsid w:val="009F245C"/>
    <w:rsid w:val="00A208A5"/>
    <w:rsid w:val="00A3136E"/>
    <w:rsid w:val="00A4031C"/>
    <w:rsid w:val="00A41646"/>
    <w:rsid w:val="00A43A18"/>
    <w:rsid w:val="00A54EFD"/>
    <w:rsid w:val="00A65096"/>
    <w:rsid w:val="00A836C0"/>
    <w:rsid w:val="00AA1370"/>
    <w:rsid w:val="00AA1F9B"/>
    <w:rsid w:val="00AC19D0"/>
    <w:rsid w:val="00AF3DF3"/>
    <w:rsid w:val="00B32FC2"/>
    <w:rsid w:val="00B53450"/>
    <w:rsid w:val="00B57643"/>
    <w:rsid w:val="00B67461"/>
    <w:rsid w:val="00B778DF"/>
    <w:rsid w:val="00BA48ED"/>
    <w:rsid w:val="00BA59ED"/>
    <w:rsid w:val="00BB7C0B"/>
    <w:rsid w:val="00BC4AEF"/>
    <w:rsid w:val="00BD0C16"/>
    <w:rsid w:val="00BD7B45"/>
    <w:rsid w:val="00BE63FB"/>
    <w:rsid w:val="00C02AB3"/>
    <w:rsid w:val="00C03189"/>
    <w:rsid w:val="00C061EB"/>
    <w:rsid w:val="00C217A3"/>
    <w:rsid w:val="00C23368"/>
    <w:rsid w:val="00C479B0"/>
    <w:rsid w:val="00C74C59"/>
    <w:rsid w:val="00CC2FD0"/>
    <w:rsid w:val="00CD1F75"/>
    <w:rsid w:val="00CD47D1"/>
    <w:rsid w:val="00CE1BDC"/>
    <w:rsid w:val="00D05899"/>
    <w:rsid w:val="00D16DF3"/>
    <w:rsid w:val="00D204BB"/>
    <w:rsid w:val="00D24F40"/>
    <w:rsid w:val="00D3165F"/>
    <w:rsid w:val="00D323BC"/>
    <w:rsid w:val="00D32808"/>
    <w:rsid w:val="00D40A40"/>
    <w:rsid w:val="00D4310F"/>
    <w:rsid w:val="00D43895"/>
    <w:rsid w:val="00D46973"/>
    <w:rsid w:val="00D610D4"/>
    <w:rsid w:val="00DC233D"/>
    <w:rsid w:val="00DD5F04"/>
    <w:rsid w:val="00DE154D"/>
    <w:rsid w:val="00DE5449"/>
    <w:rsid w:val="00DF751B"/>
    <w:rsid w:val="00E01DD0"/>
    <w:rsid w:val="00E670FA"/>
    <w:rsid w:val="00E67570"/>
    <w:rsid w:val="00E740D2"/>
    <w:rsid w:val="00E87D1D"/>
    <w:rsid w:val="00EC593F"/>
    <w:rsid w:val="00ED1997"/>
    <w:rsid w:val="00EE42AF"/>
    <w:rsid w:val="00F42829"/>
    <w:rsid w:val="00F5420D"/>
    <w:rsid w:val="00F6004B"/>
    <w:rsid w:val="00F647AA"/>
    <w:rsid w:val="00F80D8D"/>
    <w:rsid w:val="00FA79E5"/>
    <w:rsid w:val="00FE5C57"/>
    <w:rsid w:val="00FE71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6F1"/>
  <w15:docId w15:val="{2FBF6F6A-AC9C-BB4D-9314-CF0E588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3189"/>
    <w:rPr>
      <w:sz w:val="20"/>
      <w:szCs w:val="2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03189"/>
    <w:pPr>
      <w:spacing w:after="0" w:line="240" w:lineRule="auto"/>
      <w:jc w:val="left"/>
    </w:pPr>
    <w:rPr>
      <w:sz w:val="20"/>
      <w:szCs w:val="20"/>
    </w:rPr>
  </w:style>
  <w:style w:type="character" w:customStyle="1" w:styleId="TextonotapieCar1">
    <w:name w:val="Texto nota pie Car1"/>
    <w:basedOn w:val="Fuentedeprrafopredeter"/>
    <w:uiPriority w:val="99"/>
    <w:semiHidden/>
    <w:rsid w:val="00C0318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03189"/>
    <w:rPr>
      <w:vertAlign w:val="superscript"/>
    </w:rPr>
  </w:style>
  <w:style w:type="paragraph" w:customStyle="1" w:styleId="Appelnotedebasde">
    <w:name w:val="Appel note de bas de..."/>
    <w:basedOn w:val="Normal"/>
    <w:link w:val="Refdenotaalpie"/>
    <w:uiPriority w:val="99"/>
    <w:rsid w:val="00C03189"/>
    <w:pPr>
      <w:spacing w:after="160" w:line="240" w:lineRule="exact"/>
      <w:jc w:val="left"/>
    </w:pPr>
    <w:rPr>
      <w:vertAlign w:val="superscript"/>
    </w:rPr>
  </w:style>
  <w:style w:type="paragraph" w:styleId="NormalWeb">
    <w:name w:val="Normal (Web)"/>
    <w:basedOn w:val="Normal"/>
    <w:link w:val="NormalWebCar"/>
    <w:uiPriority w:val="99"/>
    <w:unhideWhenUsed/>
    <w:rsid w:val="00C03189"/>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NormalWebCar">
    <w:name w:val="Normal (Web) Car"/>
    <w:link w:val="NormalWeb"/>
    <w:uiPriority w:val="99"/>
    <w:rsid w:val="00C03189"/>
    <w:rPr>
      <w:rFonts w:ascii="Times New Roman" w:eastAsia="Times New Roman" w:hAnsi="Times New Roman" w:cs="Times New Roman"/>
      <w:lang w:val="es-CO" w:eastAsia="es-MX"/>
    </w:rPr>
  </w:style>
  <w:style w:type="character" w:customStyle="1" w:styleId="baj">
    <w:name w:val="b_aj"/>
    <w:basedOn w:val="Fuentedeprrafopredeter"/>
    <w:rsid w:val="00C03189"/>
  </w:style>
  <w:style w:type="paragraph" w:customStyle="1" w:styleId="footnotedescription">
    <w:name w:val="footnote description"/>
    <w:next w:val="Normal"/>
    <w:link w:val="footnotedescriptionChar"/>
    <w:hidden/>
    <w:rsid w:val="00821723"/>
    <w:pPr>
      <w:spacing w:after="14" w:line="246" w:lineRule="auto"/>
      <w:ind w:right="55" w:firstLine="709"/>
    </w:pPr>
    <w:rPr>
      <w:rFonts w:ascii="Arial" w:eastAsia="Arial" w:hAnsi="Arial" w:cs="Arial"/>
      <w:color w:val="000000"/>
      <w:sz w:val="19"/>
      <w:szCs w:val="22"/>
      <w:lang w:val="es-CO" w:eastAsia="es-CO"/>
    </w:rPr>
  </w:style>
  <w:style w:type="character" w:customStyle="1" w:styleId="footnotedescriptionChar">
    <w:name w:val="footnote description Char"/>
    <w:link w:val="footnotedescription"/>
    <w:rsid w:val="00821723"/>
    <w:rPr>
      <w:rFonts w:ascii="Arial" w:eastAsia="Arial" w:hAnsi="Arial" w:cs="Arial"/>
      <w:color w:val="000000"/>
      <w:sz w:val="19"/>
      <w:szCs w:val="22"/>
      <w:lang w:val="es-CO" w:eastAsia="es-CO"/>
    </w:rPr>
  </w:style>
  <w:style w:type="character" w:customStyle="1" w:styleId="footnotemark">
    <w:name w:val="footnote mark"/>
    <w:hidden/>
    <w:rsid w:val="00821723"/>
    <w:rPr>
      <w:rFonts w:ascii="Arial" w:eastAsia="Arial" w:hAnsi="Arial" w:cs="Arial"/>
      <w:color w:val="000000"/>
      <w:sz w:val="19"/>
      <w:vertAlign w:val="superscript"/>
    </w:rPr>
  </w:style>
  <w:style w:type="paragraph" w:customStyle="1" w:styleId="paragraph">
    <w:name w:val="paragraph"/>
    <w:basedOn w:val="Normal"/>
    <w:rsid w:val="0042611A"/>
    <w:pPr>
      <w:spacing w:before="100" w:beforeAutospacing="1" w:after="100" w:afterAutospacing="1" w:line="240" w:lineRule="auto"/>
      <w:jc w:val="left"/>
    </w:pPr>
    <w:rPr>
      <w:rFonts w:ascii="Times New Roman" w:eastAsia="Times New Roman" w:hAnsi="Times New Roman" w:cs="Times New Roman"/>
      <w:lang w:val="es-CO" w:eastAsia="es-MX"/>
    </w:rPr>
  </w:style>
  <w:style w:type="character" w:customStyle="1" w:styleId="normaltextrun">
    <w:name w:val="normaltextrun"/>
    <w:basedOn w:val="Fuentedeprrafopredeter"/>
    <w:rsid w:val="0042611A"/>
  </w:style>
  <w:style w:type="character" w:customStyle="1" w:styleId="eop">
    <w:name w:val="eop"/>
    <w:basedOn w:val="Fuentedeprrafopredeter"/>
    <w:rsid w:val="0042611A"/>
  </w:style>
  <w:style w:type="character" w:customStyle="1" w:styleId="superscript">
    <w:name w:val="superscript"/>
    <w:basedOn w:val="Fuentedeprrafopredeter"/>
    <w:rsid w:val="0042611A"/>
  </w:style>
  <w:style w:type="paragraph" w:styleId="Textoindependiente">
    <w:name w:val="Body Text"/>
    <w:basedOn w:val="Normal"/>
    <w:link w:val="TextoindependienteCar"/>
    <w:uiPriority w:val="1"/>
    <w:qFormat/>
    <w:rsid w:val="00C74C59"/>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74C59"/>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5543E2"/>
    <w:rPr>
      <w:color w:val="0000FF" w:themeColor="hyperlink"/>
      <w:u w:val="single"/>
    </w:rPr>
  </w:style>
  <w:style w:type="character" w:styleId="Mencinsinresolver">
    <w:name w:val="Unresolved Mention"/>
    <w:basedOn w:val="Fuentedeprrafopredeter"/>
    <w:uiPriority w:val="99"/>
    <w:semiHidden/>
    <w:unhideWhenUsed/>
    <w:rsid w:val="005543E2"/>
    <w:rPr>
      <w:color w:val="605E5C"/>
      <w:shd w:val="clear" w:color="auto" w:fill="E1DFDD"/>
    </w:rPr>
  </w:style>
  <w:style w:type="paragraph" w:styleId="Prrafodelista">
    <w:name w:val="List Paragraph"/>
    <w:basedOn w:val="Normal"/>
    <w:uiPriority w:val="34"/>
    <w:qFormat/>
    <w:rsid w:val="00485BA8"/>
    <w:pPr>
      <w:ind w:left="720"/>
      <w:contextualSpacing/>
    </w:pPr>
  </w:style>
  <w:style w:type="paragraph" w:styleId="Encabezado">
    <w:name w:val="header"/>
    <w:basedOn w:val="Normal"/>
    <w:link w:val="EncabezadoCar"/>
    <w:uiPriority w:val="99"/>
    <w:unhideWhenUsed/>
    <w:rsid w:val="002B38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81B"/>
    <w:rPr>
      <w:lang w:val="es-ES_tradnl"/>
    </w:rPr>
  </w:style>
  <w:style w:type="paragraph" w:styleId="Piedepgina">
    <w:name w:val="footer"/>
    <w:basedOn w:val="Normal"/>
    <w:link w:val="PiedepginaCar"/>
    <w:uiPriority w:val="99"/>
    <w:unhideWhenUsed/>
    <w:rsid w:val="002B38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81B"/>
    <w:rPr>
      <w:lang w:val="es-ES_tradnl"/>
    </w:rPr>
  </w:style>
  <w:style w:type="paragraph" w:styleId="Revisin">
    <w:name w:val="Revision"/>
    <w:hidden/>
    <w:uiPriority w:val="99"/>
    <w:semiHidden/>
    <w:rsid w:val="009A7F14"/>
    <w:pPr>
      <w:spacing w:after="0" w:line="240" w:lineRule="auto"/>
      <w:jc w:val="left"/>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000">
      <w:bodyDiv w:val="1"/>
      <w:marLeft w:val="0"/>
      <w:marRight w:val="0"/>
      <w:marTop w:val="0"/>
      <w:marBottom w:val="0"/>
      <w:divBdr>
        <w:top w:val="none" w:sz="0" w:space="0" w:color="auto"/>
        <w:left w:val="none" w:sz="0" w:space="0" w:color="auto"/>
        <w:bottom w:val="none" w:sz="0" w:space="0" w:color="auto"/>
        <w:right w:val="none" w:sz="0" w:space="0" w:color="auto"/>
      </w:divBdr>
    </w:div>
    <w:div w:id="520320983">
      <w:bodyDiv w:val="1"/>
      <w:marLeft w:val="0"/>
      <w:marRight w:val="0"/>
      <w:marTop w:val="0"/>
      <w:marBottom w:val="0"/>
      <w:divBdr>
        <w:top w:val="none" w:sz="0" w:space="0" w:color="auto"/>
        <w:left w:val="none" w:sz="0" w:space="0" w:color="auto"/>
        <w:bottom w:val="none" w:sz="0" w:space="0" w:color="auto"/>
        <w:right w:val="none" w:sz="0" w:space="0" w:color="auto"/>
      </w:divBdr>
    </w:div>
    <w:div w:id="542640154">
      <w:bodyDiv w:val="1"/>
      <w:marLeft w:val="0"/>
      <w:marRight w:val="0"/>
      <w:marTop w:val="0"/>
      <w:marBottom w:val="0"/>
      <w:divBdr>
        <w:top w:val="none" w:sz="0" w:space="0" w:color="auto"/>
        <w:left w:val="none" w:sz="0" w:space="0" w:color="auto"/>
        <w:bottom w:val="none" w:sz="0" w:space="0" w:color="auto"/>
        <w:right w:val="none" w:sz="0" w:space="0" w:color="auto"/>
      </w:divBdr>
    </w:div>
    <w:div w:id="671223297">
      <w:bodyDiv w:val="1"/>
      <w:marLeft w:val="0"/>
      <w:marRight w:val="0"/>
      <w:marTop w:val="0"/>
      <w:marBottom w:val="0"/>
      <w:divBdr>
        <w:top w:val="none" w:sz="0" w:space="0" w:color="auto"/>
        <w:left w:val="none" w:sz="0" w:space="0" w:color="auto"/>
        <w:bottom w:val="none" w:sz="0" w:space="0" w:color="auto"/>
        <w:right w:val="none" w:sz="0" w:space="0" w:color="auto"/>
      </w:divBdr>
      <w:divsChild>
        <w:div w:id="1340740800">
          <w:marLeft w:val="0"/>
          <w:marRight w:val="0"/>
          <w:marTop w:val="0"/>
          <w:marBottom w:val="0"/>
          <w:divBdr>
            <w:top w:val="none" w:sz="0" w:space="0" w:color="auto"/>
            <w:left w:val="none" w:sz="0" w:space="0" w:color="auto"/>
            <w:bottom w:val="none" w:sz="0" w:space="0" w:color="auto"/>
            <w:right w:val="none" w:sz="0" w:space="0" w:color="auto"/>
          </w:divBdr>
          <w:divsChild>
            <w:div w:id="1020663661">
              <w:marLeft w:val="0"/>
              <w:marRight w:val="0"/>
              <w:marTop w:val="0"/>
              <w:marBottom w:val="0"/>
              <w:divBdr>
                <w:top w:val="none" w:sz="0" w:space="0" w:color="auto"/>
                <w:left w:val="none" w:sz="0" w:space="0" w:color="auto"/>
                <w:bottom w:val="none" w:sz="0" w:space="0" w:color="auto"/>
                <w:right w:val="none" w:sz="0" w:space="0" w:color="auto"/>
              </w:divBdr>
            </w:div>
            <w:div w:id="845898898">
              <w:marLeft w:val="0"/>
              <w:marRight w:val="0"/>
              <w:marTop w:val="0"/>
              <w:marBottom w:val="0"/>
              <w:divBdr>
                <w:top w:val="none" w:sz="0" w:space="0" w:color="auto"/>
                <w:left w:val="none" w:sz="0" w:space="0" w:color="auto"/>
                <w:bottom w:val="none" w:sz="0" w:space="0" w:color="auto"/>
                <w:right w:val="none" w:sz="0" w:space="0" w:color="auto"/>
              </w:divBdr>
            </w:div>
            <w:div w:id="1776513001">
              <w:marLeft w:val="0"/>
              <w:marRight w:val="0"/>
              <w:marTop w:val="0"/>
              <w:marBottom w:val="0"/>
              <w:divBdr>
                <w:top w:val="none" w:sz="0" w:space="0" w:color="auto"/>
                <w:left w:val="none" w:sz="0" w:space="0" w:color="auto"/>
                <w:bottom w:val="none" w:sz="0" w:space="0" w:color="auto"/>
                <w:right w:val="none" w:sz="0" w:space="0" w:color="auto"/>
              </w:divBdr>
            </w:div>
            <w:div w:id="2010794323">
              <w:marLeft w:val="0"/>
              <w:marRight w:val="0"/>
              <w:marTop w:val="0"/>
              <w:marBottom w:val="0"/>
              <w:divBdr>
                <w:top w:val="none" w:sz="0" w:space="0" w:color="auto"/>
                <w:left w:val="none" w:sz="0" w:space="0" w:color="auto"/>
                <w:bottom w:val="none" w:sz="0" w:space="0" w:color="auto"/>
                <w:right w:val="none" w:sz="0" w:space="0" w:color="auto"/>
              </w:divBdr>
            </w:div>
            <w:div w:id="404647033">
              <w:marLeft w:val="0"/>
              <w:marRight w:val="0"/>
              <w:marTop w:val="0"/>
              <w:marBottom w:val="0"/>
              <w:divBdr>
                <w:top w:val="none" w:sz="0" w:space="0" w:color="auto"/>
                <w:left w:val="none" w:sz="0" w:space="0" w:color="auto"/>
                <w:bottom w:val="none" w:sz="0" w:space="0" w:color="auto"/>
                <w:right w:val="none" w:sz="0" w:space="0" w:color="auto"/>
              </w:divBdr>
            </w:div>
            <w:div w:id="238564131">
              <w:marLeft w:val="0"/>
              <w:marRight w:val="0"/>
              <w:marTop w:val="0"/>
              <w:marBottom w:val="0"/>
              <w:divBdr>
                <w:top w:val="none" w:sz="0" w:space="0" w:color="auto"/>
                <w:left w:val="none" w:sz="0" w:space="0" w:color="auto"/>
                <w:bottom w:val="none" w:sz="0" w:space="0" w:color="auto"/>
                <w:right w:val="none" w:sz="0" w:space="0" w:color="auto"/>
              </w:divBdr>
            </w:div>
            <w:div w:id="1540049381">
              <w:marLeft w:val="0"/>
              <w:marRight w:val="0"/>
              <w:marTop w:val="0"/>
              <w:marBottom w:val="0"/>
              <w:divBdr>
                <w:top w:val="none" w:sz="0" w:space="0" w:color="auto"/>
                <w:left w:val="none" w:sz="0" w:space="0" w:color="auto"/>
                <w:bottom w:val="none" w:sz="0" w:space="0" w:color="auto"/>
                <w:right w:val="none" w:sz="0" w:space="0" w:color="auto"/>
              </w:divBdr>
            </w:div>
            <w:div w:id="2116051883">
              <w:marLeft w:val="0"/>
              <w:marRight w:val="0"/>
              <w:marTop w:val="0"/>
              <w:marBottom w:val="0"/>
              <w:divBdr>
                <w:top w:val="none" w:sz="0" w:space="0" w:color="auto"/>
                <w:left w:val="none" w:sz="0" w:space="0" w:color="auto"/>
                <w:bottom w:val="none" w:sz="0" w:space="0" w:color="auto"/>
                <w:right w:val="none" w:sz="0" w:space="0" w:color="auto"/>
              </w:divBdr>
            </w:div>
            <w:div w:id="1119182171">
              <w:marLeft w:val="0"/>
              <w:marRight w:val="0"/>
              <w:marTop w:val="0"/>
              <w:marBottom w:val="0"/>
              <w:divBdr>
                <w:top w:val="none" w:sz="0" w:space="0" w:color="auto"/>
                <w:left w:val="none" w:sz="0" w:space="0" w:color="auto"/>
                <w:bottom w:val="none" w:sz="0" w:space="0" w:color="auto"/>
                <w:right w:val="none" w:sz="0" w:space="0" w:color="auto"/>
              </w:divBdr>
            </w:div>
            <w:div w:id="55125633">
              <w:marLeft w:val="0"/>
              <w:marRight w:val="0"/>
              <w:marTop w:val="0"/>
              <w:marBottom w:val="0"/>
              <w:divBdr>
                <w:top w:val="none" w:sz="0" w:space="0" w:color="auto"/>
                <w:left w:val="none" w:sz="0" w:space="0" w:color="auto"/>
                <w:bottom w:val="none" w:sz="0" w:space="0" w:color="auto"/>
                <w:right w:val="none" w:sz="0" w:space="0" w:color="auto"/>
              </w:divBdr>
            </w:div>
            <w:div w:id="1157958688">
              <w:marLeft w:val="0"/>
              <w:marRight w:val="0"/>
              <w:marTop w:val="0"/>
              <w:marBottom w:val="0"/>
              <w:divBdr>
                <w:top w:val="none" w:sz="0" w:space="0" w:color="auto"/>
                <w:left w:val="none" w:sz="0" w:space="0" w:color="auto"/>
                <w:bottom w:val="none" w:sz="0" w:space="0" w:color="auto"/>
                <w:right w:val="none" w:sz="0" w:space="0" w:color="auto"/>
              </w:divBdr>
            </w:div>
            <w:div w:id="742793718">
              <w:marLeft w:val="0"/>
              <w:marRight w:val="0"/>
              <w:marTop w:val="0"/>
              <w:marBottom w:val="0"/>
              <w:divBdr>
                <w:top w:val="none" w:sz="0" w:space="0" w:color="auto"/>
                <w:left w:val="none" w:sz="0" w:space="0" w:color="auto"/>
                <w:bottom w:val="none" w:sz="0" w:space="0" w:color="auto"/>
                <w:right w:val="none" w:sz="0" w:space="0" w:color="auto"/>
              </w:divBdr>
            </w:div>
            <w:div w:id="2107921498">
              <w:marLeft w:val="0"/>
              <w:marRight w:val="0"/>
              <w:marTop w:val="0"/>
              <w:marBottom w:val="0"/>
              <w:divBdr>
                <w:top w:val="none" w:sz="0" w:space="0" w:color="auto"/>
                <w:left w:val="none" w:sz="0" w:space="0" w:color="auto"/>
                <w:bottom w:val="none" w:sz="0" w:space="0" w:color="auto"/>
                <w:right w:val="none" w:sz="0" w:space="0" w:color="auto"/>
              </w:divBdr>
            </w:div>
            <w:div w:id="488518752">
              <w:marLeft w:val="0"/>
              <w:marRight w:val="0"/>
              <w:marTop w:val="0"/>
              <w:marBottom w:val="0"/>
              <w:divBdr>
                <w:top w:val="none" w:sz="0" w:space="0" w:color="auto"/>
                <w:left w:val="none" w:sz="0" w:space="0" w:color="auto"/>
                <w:bottom w:val="none" w:sz="0" w:space="0" w:color="auto"/>
                <w:right w:val="none" w:sz="0" w:space="0" w:color="auto"/>
              </w:divBdr>
            </w:div>
            <w:div w:id="16457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5786">
      <w:bodyDiv w:val="1"/>
      <w:marLeft w:val="0"/>
      <w:marRight w:val="0"/>
      <w:marTop w:val="0"/>
      <w:marBottom w:val="0"/>
      <w:divBdr>
        <w:top w:val="none" w:sz="0" w:space="0" w:color="auto"/>
        <w:left w:val="none" w:sz="0" w:space="0" w:color="auto"/>
        <w:bottom w:val="none" w:sz="0" w:space="0" w:color="auto"/>
        <w:right w:val="none" w:sz="0" w:space="0" w:color="auto"/>
      </w:divBdr>
    </w:div>
    <w:div w:id="1567719276">
      <w:bodyDiv w:val="1"/>
      <w:marLeft w:val="0"/>
      <w:marRight w:val="0"/>
      <w:marTop w:val="0"/>
      <w:marBottom w:val="0"/>
      <w:divBdr>
        <w:top w:val="none" w:sz="0" w:space="0" w:color="auto"/>
        <w:left w:val="none" w:sz="0" w:space="0" w:color="auto"/>
        <w:bottom w:val="none" w:sz="0" w:space="0" w:color="auto"/>
        <w:right w:val="none" w:sz="0" w:space="0" w:color="auto"/>
      </w:divBdr>
      <w:divsChild>
        <w:div w:id="1451975396">
          <w:marLeft w:val="0"/>
          <w:marRight w:val="0"/>
          <w:marTop w:val="0"/>
          <w:marBottom w:val="0"/>
          <w:divBdr>
            <w:top w:val="none" w:sz="0" w:space="0" w:color="auto"/>
            <w:left w:val="none" w:sz="0" w:space="0" w:color="auto"/>
            <w:bottom w:val="none" w:sz="0" w:space="0" w:color="auto"/>
            <w:right w:val="none" w:sz="0" w:space="0" w:color="auto"/>
          </w:divBdr>
          <w:divsChild>
            <w:div w:id="679741552">
              <w:marLeft w:val="0"/>
              <w:marRight w:val="0"/>
              <w:marTop w:val="0"/>
              <w:marBottom w:val="0"/>
              <w:divBdr>
                <w:top w:val="none" w:sz="0" w:space="0" w:color="auto"/>
                <w:left w:val="none" w:sz="0" w:space="0" w:color="auto"/>
                <w:bottom w:val="none" w:sz="0" w:space="0" w:color="auto"/>
                <w:right w:val="none" w:sz="0" w:space="0" w:color="auto"/>
              </w:divBdr>
            </w:div>
            <w:div w:id="759372431">
              <w:marLeft w:val="0"/>
              <w:marRight w:val="0"/>
              <w:marTop w:val="0"/>
              <w:marBottom w:val="0"/>
              <w:divBdr>
                <w:top w:val="none" w:sz="0" w:space="0" w:color="auto"/>
                <w:left w:val="none" w:sz="0" w:space="0" w:color="auto"/>
                <w:bottom w:val="none" w:sz="0" w:space="0" w:color="auto"/>
                <w:right w:val="none" w:sz="0" w:space="0" w:color="auto"/>
              </w:divBdr>
            </w:div>
            <w:div w:id="1941913904">
              <w:marLeft w:val="0"/>
              <w:marRight w:val="0"/>
              <w:marTop w:val="0"/>
              <w:marBottom w:val="0"/>
              <w:divBdr>
                <w:top w:val="none" w:sz="0" w:space="0" w:color="auto"/>
                <w:left w:val="none" w:sz="0" w:space="0" w:color="auto"/>
                <w:bottom w:val="none" w:sz="0" w:space="0" w:color="auto"/>
                <w:right w:val="none" w:sz="0" w:space="0" w:color="auto"/>
              </w:divBdr>
            </w:div>
            <w:div w:id="1717001792">
              <w:marLeft w:val="0"/>
              <w:marRight w:val="0"/>
              <w:marTop w:val="0"/>
              <w:marBottom w:val="0"/>
              <w:divBdr>
                <w:top w:val="none" w:sz="0" w:space="0" w:color="auto"/>
                <w:left w:val="none" w:sz="0" w:space="0" w:color="auto"/>
                <w:bottom w:val="none" w:sz="0" w:space="0" w:color="auto"/>
                <w:right w:val="none" w:sz="0" w:space="0" w:color="auto"/>
              </w:divBdr>
            </w:div>
            <w:div w:id="1676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2748">
      <w:bodyDiv w:val="1"/>
      <w:marLeft w:val="0"/>
      <w:marRight w:val="0"/>
      <w:marTop w:val="0"/>
      <w:marBottom w:val="0"/>
      <w:divBdr>
        <w:top w:val="none" w:sz="0" w:space="0" w:color="auto"/>
        <w:left w:val="none" w:sz="0" w:space="0" w:color="auto"/>
        <w:bottom w:val="none" w:sz="0" w:space="0" w:color="auto"/>
        <w:right w:val="none" w:sz="0" w:space="0" w:color="auto"/>
      </w:divBdr>
    </w:div>
    <w:div w:id="1908149107">
      <w:bodyDiv w:val="1"/>
      <w:marLeft w:val="0"/>
      <w:marRight w:val="0"/>
      <w:marTop w:val="0"/>
      <w:marBottom w:val="0"/>
      <w:divBdr>
        <w:top w:val="none" w:sz="0" w:space="0" w:color="auto"/>
        <w:left w:val="none" w:sz="0" w:space="0" w:color="auto"/>
        <w:bottom w:val="none" w:sz="0" w:space="0" w:color="auto"/>
        <w:right w:val="none" w:sz="0" w:space="0" w:color="auto"/>
      </w:divBdr>
    </w:div>
    <w:div w:id="2032292525">
      <w:bodyDiv w:val="1"/>
      <w:marLeft w:val="0"/>
      <w:marRight w:val="0"/>
      <w:marTop w:val="0"/>
      <w:marBottom w:val="0"/>
      <w:divBdr>
        <w:top w:val="none" w:sz="0" w:space="0" w:color="auto"/>
        <w:left w:val="none" w:sz="0" w:space="0" w:color="auto"/>
        <w:bottom w:val="none" w:sz="0" w:space="0" w:color="auto"/>
        <w:right w:val="none" w:sz="0" w:space="0" w:color="auto"/>
      </w:divBdr>
      <w:divsChild>
        <w:div w:id="1340737650">
          <w:marLeft w:val="0"/>
          <w:marRight w:val="0"/>
          <w:marTop w:val="0"/>
          <w:marBottom w:val="0"/>
          <w:divBdr>
            <w:top w:val="none" w:sz="0" w:space="0" w:color="auto"/>
            <w:left w:val="none" w:sz="0" w:space="0" w:color="auto"/>
            <w:bottom w:val="none" w:sz="0" w:space="0" w:color="auto"/>
            <w:right w:val="none" w:sz="0" w:space="0" w:color="auto"/>
          </w:divBdr>
          <w:divsChild>
            <w:div w:id="325287603">
              <w:marLeft w:val="0"/>
              <w:marRight w:val="0"/>
              <w:marTop w:val="0"/>
              <w:marBottom w:val="0"/>
              <w:divBdr>
                <w:top w:val="none" w:sz="0" w:space="0" w:color="auto"/>
                <w:left w:val="none" w:sz="0" w:space="0" w:color="auto"/>
                <w:bottom w:val="none" w:sz="0" w:space="0" w:color="auto"/>
                <w:right w:val="none" w:sz="0" w:space="0" w:color="auto"/>
              </w:divBdr>
              <w:divsChild>
                <w:div w:id="453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6E00A-90F3-1547-9969-46DF76D1C4CF}">
  <ds:schemaRefs>
    <ds:schemaRef ds:uri="http://schemas.openxmlformats.org/officeDocument/2006/bibliography"/>
  </ds:schemaRefs>
</ds:datastoreItem>
</file>

<file path=customXml/itemProps2.xml><?xml version="1.0" encoding="utf-8"?>
<ds:datastoreItem xmlns:ds="http://schemas.openxmlformats.org/officeDocument/2006/customXml" ds:itemID="{2A6BB6C0-0F63-4E59-B4EE-0B58ABFFD049}"/>
</file>

<file path=customXml/itemProps3.xml><?xml version="1.0" encoding="utf-8"?>
<ds:datastoreItem xmlns:ds="http://schemas.openxmlformats.org/officeDocument/2006/customXml" ds:itemID="{7AE20EF1-982C-430F-BCD6-58E774B499E2}"/>
</file>

<file path=customXml/itemProps4.xml><?xml version="1.0" encoding="utf-8"?>
<ds:datastoreItem xmlns:ds="http://schemas.openxmlformats.org/officeDocument/2006/customXml" ds:itemID="{33A95B8D-1B88-4287-815C-9B0BE679F6BC}"/>
</file>

<file path=docProps/app.xml><?xml version="1.0" encoding="utf-8"?>
<Properties xmlns="http://schemas.openxmlformats.org/officeDocument/2006/extended-properties" xmlns:vt="http://schemas.openxmlformats.org/officeDocument/2006/docPropsVTypes">
  <Template>Normal.dotm</Template>
  <TotalTime>293</TotalTime>
  <Pages>17</Pages>
  <Words>5858</Words>
  <Characters>32222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Luisa Fernanda Pascuaza Cabrera</cp:lastModifiedBy>
  <cp:revision>37</cp:revision>
  <dcterms:created xsi:type="dcterms:W3CDTF">2022-06-01T12:51:00Z</dcterms:created>
  <dcterms:modified xsi:type="dcterms:W3CDTF">2022-06-22T19:49:00Z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