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19" w14:textId="77777777" w:rsidR="00F20888" w:rsidRPr="00D7149D" w:rsidRDefault="00F20888" w:rsidP="00F20888">
      <w:pPr>
        <w:spacing w:after="0" w:line="240" w:lineRule="auto"/>
        <w:jc w:val="right"/>
        <w:rPr>
          <w:rFonts w:ascii="Arial" w:eastAsia="Calibri" w:hAnsi="Arial" w:cs="Arial"/>
          <w:b/>
          <w:szCs w:val="24"/>
          <w:lang w:val="es-ES_tradnl" w:eastAsia="es-ES_tradnl"/>
        </w:rPr>
      </w:pPr>
      <w:r w:rsidRPr="00D7149D">
        <w:rPr>
          <w:rFonts w:ascii="Arial" w:hAnsi="Arial" w:cs="Arial"/>
          <w:b/>
          <w:sz w:val="16"/>
          <w:szCs w:val="16"/>
          <w:lang w:eastAsia="es-ES"/>
        </w:rPr>
        <w:t>CCE-DES-FM-17</w:t>
      </w:r>
    </w:p>
    <w:p w14:paraId="2551A8FD" w14:textId="77777777" w:rsidR="00F20888" w:rsidRPr="00D7149D" w:rsidRDefault="00F20888" w:rsidP="004A30DA">
      <w:pPr>
        <w:spacing w:after="0" w:line="240" w:lineRule="auto"/>
        <w:jc w:val="both"/>
        <w:rPr>
          <w:rFonts w:ascii="Arial" w:eastAsia="Calibri" w:hAnsi="Arial" w:cs="Arial"/>
          <w:b/>
          <w:szCs w:val="24"/>
          <w:lang w:val="es-ES_tradnl" w:eastAsia="es-ES_tradnl"/>
        </w:rPr>
      </w:pPr>
    </w:p>
    <w:p w14:paraId="31FEBC35" w14:textId="77777777" w:rsidR="009A49FB" w:rsidRPr="00D7149D" w:rsidRDefault="009A49FB" w:rsidP="004A30DA">
      <w:pPr>
        <w:spacing w:after="0" w:line="240" w:lineRule="auto"/>
        <w:jc w:val="both"/>
        <w:rPr>
          <w:rFonts w:ascii="Arial" w:eastAsia="Calibri" w:hAnsi="Arial" w:cs="Arial"/>
          <w:b/>
          <w:szCs w:val="24"/>
          <w:lang w:val="es-ES_tradnl" w:eastAsia="es-ES_tradnl"/>
        </w:rPr>
      </w:pPr>
      <w:r w:rsidRPr="00D7149D">
        <w:rPr>
          <w:rFonts w:ascii="Arial" w:eastAsia="Calibri" w:hAnsi="Arial" w:cs="Arial"/>
          <w:b/>
          <w:szCs w:val="24"/>
          <w:lang w:val="es-ES_tradnl" w:eastAsia="es-ES_tradnl"/>
        </w:rPr>
        <w:t xml:space="preserve">DOCUMENTOS TIPO </w:t>
      </w:r>
      <w:r w:rsidRPr="00D7149D">
        <w:rPr>
          <w:rFonts w:ascii="Arial" w:eastAsia="Calibri" w:hAnsi="Arial" w:cs="Arial"/>
          <w:b/>
          <w:color w:val="000000"/>
          <w:szCs w:val="24"/>
          <w:lang w:val="es-ES_tradnl" w:eastAsia="es-ES_tradnl"/>
        </w:rPr>
        <w:t>–</w:t>
      </w:r>
      <w:r w:rsidRPr="00D7149D">
        <w:rPr>
          <w:rFonts w:ascii="Arial" w:eastAsia="Calibri" w:hAnsi="Arial" w:cs="Arial"/>
          <w:b/>
          <w:szCs w:val="24"/>
          <w:lang w:val="es-ES_tradnl" w:eastAsia="es-ES_tradnl"/>
        </w:rPr>
        <w:t xml:space="preserve"> Fundamento normativo </w:t>
      </w:r>
      <w:r w:rsidRPr="00D7149D">
        <w:rPr>
          <w:rFonts w:ascii="Arial" w:eastAsia="Calibri" w:hAnsi="Arial" w:cs="Arial"/>
          <w:b/>
          <w:color w:val="000000"/>
          <w:szCs w:val="24"/>
          <w:lang w:val="es-ES_tradnl" w:eastAsia="es-ES_tradnl"/>
        </w:rPr>
        <w:t xml:space="preserve">– </w:t>
      </w:r>
      <w:r w:rsidRPr="00D7149D">
        <w:rPr>
          <w:rFonts w:ascii="Arial" w:eastAsia="Calibri" w:hAnsi="Arial" w:cs="Arial"/>
          <w:b/>
          <w:szCs w:val="24"/>
          <w:lang w:val="es-ES_tradnl" w:eastAsia="es-ES_tradnl"/>
        </w:rPr>
        <w:t>Ley 2022 de 2020</w:t>
      </w:r>
    </w:p>
    <w:p w14:paraId="14871885" w14:textId="77777777" w:rsidR="009A49FB" w:rsidRPr="00D7149D" w:rsidRDefault="009A49FB" w:rsidP="004A30DA">
      <w:pPr>
        <w:spacing w:after="0" w:line="240" w:lineRule="auto"/>
        <w:jc w:val="both"/>
        <w:rPr>
          <w:rFonts w:ascii="Arial" w:eastAsia="Calibri" w:hAnsi="Arial" w:cs="Arial"/>
          <w:b/>
          <w:szCs w:val="24"/>
          <w:lang w:val="es-ES_tradnl" w:eastAsia="es-ES_tradnl"/>
        </w:rPr>
      </w:pPr>
    </w:p>
    <w:p w14:paraId="2EE6ACAB" w14:textId="0947EE0C" w:rsidR="004A30DA" w:rsidRPr="004A30DA" w:rsidRDefault="004A30DA" w:rsidP="004A30DA">
      <w:pPr>
        <w:spacing w:after="0" w:line="240" w:lineRule="auto"/>
        <w:jc w:val="both"/>
        <w:rPr>
          <w:rFonts w:ascii="Arial" w:eastAsia="Calibri" w:hAnsi="Arial" w:cs="Arial"/>
          <w:sz w:val="20"/>
          <w:szCs w:val="20"/>
          <w:lang w:val="es-ES_tradnl" w:eastAsia="es-ES"/>
        </w:rPr>
      </w:pPr>
      <w:r w:rsidRPr="004A30DA">
        <w:rPr>
          <w:rFonts w:ascii="Arial" w:eastAsia="Calibri" w:hAnsi="Arial" w:cs="Arial"/>
          <w:sz w:val="20"/>
          <w:szCs w:val="20"/>
          <w:lang w:val="es-ES_tradnl" w:eastAsia="es-ES"/>
        </w:rPr>
        <w:t xml:space="preserve">Con posterioridad a la expedición de los anteriores documentos tipo,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a la </w:t>
      </w:r>
      <w:r w:rsidRPr="004A30DA">
        <w:rPr>
          <w:rFonts w:ascii="Arial" w:eastAsia="Calibri" w:hAnsi="Arial" w:cs="Arial"/>
          <w:sz w:val="20"/>
          <w:szCs w:val="20"/>
          <w:lang w:val="es-ES_tradnl"/>
        </w:rPr>
        <w:t xml:space="preserve">Agencia Nacional de Contratación Pública – Colombia Compra Eficiente la competencia para su expedición. </w:t>
      </w:r>
      <w:r w:rsidRPr="004A30DA">
        <w:rPr>
          <w:rFonts w:ascii="Arial" w:eastAsia="Calibri" w:hAnsi="Arial" w:cs="Arial"/>
          <w:sz w:val="20"/>
          <w:szCs w:val="20"/>
          <w:lang w:val="es-ES_tradnl" w:eastAsia="es-ES"/>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121442A5" w14:textId="77777777" w:rsidR="009A49FB" w:rsidRPr="00D7149D" w:rsidRDefault="009A49FB" w:rsidP="009A49FB">
      <w:pPr>
        <w:spacing w:after="0" w:line="240" w:lineRule="auto"/>
        <w:jc w:val="both"/>
        <w:rPr>
          <w:rFonts w:ascii="Arial" w:eastAsia="Arial" w:hAnsi="Arial" w:cs="Arial"/>
          <w:b/>
          <w:bCs/>
          <w:color w:val="000000"/>
          <w:lang w:val="es-ES_tradnl"/>
        </w:rPr>
      </w:pPr>
    </w:p>
    <w:p w14:paraId="2E4D62EC" w14:textId="77777777" w:rsidR="009A49FB" w:rsidRPr="00D7149D" w:rsidRDefault="009A49FB" w:rsidP="009A49FB">
      <w:pPr>
        <w:tabs>
          <w:tab w:val="left" w:pos="-142"/>
        </w:tabs>
        <w:autoSpaceDE w:val="0"/>
        <w:autoSpaceDN w:val="0"/>
        <w:adjustRightInd w:val="0"/>
        <w:spacing w:after="0" w:line="240" w:lineRule="auto"/>
        <w:jc w:val="both"/>
        <w:rPr>
          <w:rFonts w:ascii="Arial" w:eastAsia="Calibri" w:hAnsi="Arial" w:cs="Arial"/>
          <w:b/>
          <w:bCs/>
          <w:lang w:val="es-ES_tradnl" w:eastAsia="es-ES"/>
        </w:rPr>
      </w:pPr>
      <w:r w:rsidRPr="00D7149D">
        <w:rPr>
          <w:rFonts w:ascii="Arial" w:eastAsia="Calibri" w:hAnsi="Arial" w:cs="Arial"/>
          <w:b/>
          <w:bCs/>
          <w:lang w:val="es-ES_tradnl" w:eastAsia="es-ES"/>
        </w:rPr>
        <w:t xml:space="preserve">DOCUMENTOS TIPO </w:t>
      </w:r>
      <w:r w:rsidRPr="00D7149D">
        <w:rPr>
          <w:rFonts w:ascii="Arial" w:eastAsia="Calibri" w:hAnsi="Arial" w:cs="Arial"/>
          <w:b/>
          <w:lang w:val="x-none" w:eastAsia="es-ES"/>
        </w:rPr>
        <w:t>–</w:t>
      </w:r>
      <w:r w:rsidRPr="00D7149D">
        <w:rPr>
          <w:rFonts w:ascii="Arial" w:eastAsia="Calibri" w:hAnsi="Arial" w:cs="Arial"/>
          <w:b/>
          <w:bCs/>
          <w:lang w:val="es-ES_tradnl" w:eastAsia="es-ES"/>
        </w:rPr>
        <w:t xml:space="preserve"> Inalterabilidad </w:t>
      </w:r>
    </w:p>
    <w:p w14:paraId="69D8CD4D" w14:textId="77777777" w:rsidR="009A49FB" w:rsidRPr="00D7149D" w:rsidRDefault="009A49FB" w:rsidP="009A49FB">
      <w:pPr>
        <w:spacing w:after="0" w:line="240" w:lineRule="auto"/>
        <w:jc w:val="both"/>
        <w:rPr>
          <w:rFonts w:ascii="Arial" w:eastAsia="Calibri" w:hAnsi="Arial" w:cs="Arial"/>
          <w:b/>
          <w:bCs/>
          <w:sz w:val="20"/>
          <w:szCs w:val="20"/>
          <w:lang w:val="es-ES_tradnl"/>
        </w:rPr>
      </w:pPr>
    </w:p>
    <w:p w14:paraId="6237AA9D" w14:textId="2816870B" w:rsidR="004A30DA" w:rsidRPr="004A30DA" w:rsidRDefault="004A30DA" w:rsidP="004A30DA">
      <w:pPr>
        <w:spacing w:after="0" w:line="240" w:lineRule="auto"/>
        <w:jc w:val="both"/>
        <w:rPr>
          <w:rFonts w:ascii="Arial" w:eastAsia="Calibri" w:hAnsi="Arial" w:cs="Arial"/>
          <w:color w:val="000000"/>
          <w:sz w:val="20"/>
          <w:szCs w:val="20"/>
          <w:lang w:val="es-ES_tradnl"/>
        </w:rPr>
      </w:pPr>
      <w:r w:rsidRPr="004A30DA">
        <w:rPr>
          <w:rFonts w:ascii="Arial" w:eastAsia="Calibri" w:hAnsi="Arial" w:cs="Arial"/>
          <w:color w:val="000000"/>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4A30DA">
        <w:rPr>
          <w:rFonts w:ascii="Arial" w:eastAsia="Calibri" w:hAnsi="Arial" w:cs="Arial"/>
          <w:i/>
          <w:iCs/>
          <w:color w:val="000000"/>
          <w:sz w:val="20"/>
          <w:szCs w:val="20"/>
          <w:lang w:val="es-ES_tradnl"/>
        </w:rPr>
        <w:t>Documentos del Proceso</w:t>
      </w:r>
      <w:r w:rsidRPr="004A30DA">
        <w:rPr>
          <w:rFonts w:ascii="Arial" w:eastAsia="Calibri" w:hAnsi="Arial" w:cs="Arial"/>
          <w:color w:val="000000"/>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31CA0C86" w14:textId="77777777" w:rsidR="009A49FB" w:rsidRPr="00D7149D" w:rsidRDefault="009A49FB" w:rsidP="009A49FB">
      <w:pPr>
        <w:spacing w:after="0" w:line="240" w:lineRule="auto"/>
        <w:jc w:val="both"/>
        <w:rPr>
          <w:rFonts w:ascii="Arial" w:hAnsi="Arial" w:cs="Arial"/>
        </w:rPr>
      </w:pPr>
    </w:p>
    <w:p w14:paraId="2F4F4FEA" w14:textId="77777777" w:rsidR="009A49FB" w:rsidRPr="00B7032A" w:rsidRDefault="009A49FB" w:rsidP="00E72F58">
      <w:pPr>
        <w:spacing w:after="0"/>
        <w:jc w:val="both"/>
        <w:rPr>
          <w:rFonts w:ascii="Arial" w:eastAsia="Calibri" w:hAnsi="Arial" w:cs="Arial"/>
          <w:b/>
          <w:bCs/>
          <w:color w:val="000000" w:themeColor="text1"/>
        </w:rPr>
      </w:pPr>
      <w:r w:rsidRPr="00B7032A">
        <w:rPr>
          <w:rFonts w:ascii="Arial" w:eastAsia="Calibri" w:hAnsi="Arial" w:cs="Arial"/>
          <w:b/>
          <w:bCs/>
          <w:color w:val="000000" w:themeColor="text1"/>
        </w:rPr>
        <w:t xml:space="preserve">PRECIOS ARTIFICIALMENTE BAJOS </w:t>
      </w:r>
      <w:r w:rsidRPr="00B7032A">
        <w:rPr>
          <w:rFonts w:ascii="Arial" w:eastAsia="Calibri" w:hAnsi="Arial" w:cs="Arial"/>
          <w:b/>
          <w:color w:val="000000" w:themeColor="text1"/>
        </w:rPr>
        <w:t>–</w:t>
      </w:r>
      <w:r>
        <w:rPr>
          <w:rFonts w:ascii="Arial" w:eastAsia="Calibri" w:hAnsi="Arial" w:cs="Arial"/>
          <w:b/>
          <w:color w:val="000000" w:themeColor="text1"/>
        </w:rPr>
        <w:t xml:space="preserve"> </w:t>
      </w:r>
      <w:r w:rsidRPr="00B7032A">
        <w:rPr>
          <w:rFonts w:ascii="Arial" w:eastAsia="Calibri" w:hAnsi="Arial" w:cs="Arial"/>
          <w:b/>
          <w:color w:val="000000" w:themeColor="text1"/>
        </w:rPr>
        <w:t>Documentos tipo</w:t>
      </w:r>
      <w:r>
        <w:rPr>
          <w:rFonts w:ascii="Arial" w:eastAsia="Calibri" w:hAnsi="Arial" w:cs="Arial"/>
          <w:b/>
          <w:color w:val="000000" w:themeColor="text1"/>
        </w:rPr>
        <w:t xml:space="preserve"> – Requerimiento al proponente </w:t>
      </w:r>
    </w:p>
    <w:p w14:paraId="10B998AE" w14:textId="77777777" w:rsidR="009A49FB" w:rsidRPr="00F97F8F" w:rsidRDefault="009A49FB" w:rsidP="00E72F58">
      <w:pPr>
        <w:spacing w:after="0" w:line="240" w:lineRule="auto"/>
        <w:jc w:val="both"/>
        <w:rPr>
          <w:rFonts w:ascii="Arial" w:eastAsia="Calibri" w:hAnsi="Arial" w:cs="Arial"/>
          <w:color w:val="000000" w:themeColor="text1"/>
          <w:sz w:val="20"/>
          <w:szCs w:val="20"/>
          <w:lang w:val="es-ES"/>
        </w:rPr>
      </w:pPr>
    </w:p>
    <w:p w14:paraId="3B23086E" w14:textId="77777777" w:rsidR="009A49FB" w:rsidRPr="00E72F58" w:rsidRDefault="009A49FB" w:rsidP="00E72F58">
      <w:pPr>
        <w:spacing w:after="0" w:line="240" w:lineRule="auto"/>
        <w:jc w:val="both"/>
        <w:rPr>
          <w:rFonts w:ascii="Arial" w:eastAsia="Times New Roman" w:hAnsi="Arial" w:cs="Arial"/>
          <w:color w:val="000000"/>
          <w:sz w:val="20"/>
          <w:szCs w:val="20"/>
          <w:lang w:eastAsia="es-ES_tradnl"/>
        </w:rPr>
      </w:pPr>
      <w:r w:rsidRPr="00E72F58">
        <w:rPr>
          <w:rFonts w:ascii="Arial" w:eastAsia="Times New Roman" w:hAnsi="Arial" w:cs="Arial"/>
          <w:color w:val="000000"/>
          <w:sz w:val="20"/>
          <w:szCs w:val="20"/>
          <w:lang w:eastAsia="es-ES_tradnl"/>
        </w:rPr>
        <w:t>El numeral 4.1.3. del Capítulo IV «Criterios de Evaluación, Asignación de Puntaje y Criterios de Desempate», del documento base de licitación de obra pública de infraestructura de transporte – versión 3 regula lo referente al precio artificialmente bajo. Según esta disposición, «</w:t>
      </w:r>
      <w:r w:rsidRPr="00E72F58">
        <w:rPr>
          <w:rFonts w:ascii="Arial" w:hAnsi="Arial" w:cs="Arial"/>
          <w:sz w:val="20"/>
          <w:szCs w:val="20"/>
          <w:lang w:val="es-MX"/>
        </w:rPr>
        <w:t>[e]n el evento en el que el precio de una oferta, al momento de su evaluación,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r w:rsidRPr="00E72F58">
        <w:rPr>
          <w:rFonts w:ascii="Arial" w:eastAsia="Times New Roman" w:hAnsi="Arial" w:cs="Arial"/>
          <w:color w:val="000000"/>
          <w:sz w:val="20"/>
          <w:szCs w:val="20"/>
          <w:lang w:eastAsia="es-ES_tradnl"/>
        </w:rPr>
        <w:t>».</w:t>
      </w:r>
    </w:p>
    <w:p w14:paraId="4A0726CC" w14:textId="77777777" w:rsidR="009A49FB" w:rsidRPr="00E72F58" w:rsidRDefault="009A49FB" w:rsidP="009A49FB">
      <w:pPr>
        <w:spacing w:before="120" w:after="120" w:line="240" w:lineRule="auto"/>
        <w:jc w:val="both"/>
        <w:rPr>
          <w:rFonts w:ascii="Arial" w:eastAsia="Times New Roman" w:hAnsi="Arial" w:cs="Arial"/>
          <w:color w:val="000000"/>
          <w:sz w:val="20"/>
          <w:szCs w:val="20"/>
          <w:lang w:eastAsia="es-ES_tradnl"/>
        </w:rPr>
      </w:pPr>
      <w:r w:rsidRPr="00E72F58">
        <w:rPr>
          <w:rFonts w:ascii="Arial" w:eastAsia="Times New Roman" w:hAnsi="Arial" w:cs="Arial"/>
          <w:color w:val="000000"/>
          <w:sz w:val="20"/>
          <w:szCs w:val="20"/>
          <w:lang w:eastAsia="es-ES_tradnl"/>
        </w:rPr>
        <w:t>[…]</w:t>
      </w:r>
    </w:p>
    <w:p w14:paraId="424ECA02" w14:textId="77777777" w:rsidR="00E72F58" w:rsidRPr="00E72F58" w:rsidRDefault="00E72F58" w:rsidP="00E72F58">
      <w:pPr>
        <w:spacing w:after="120" w:line="276" w:lineRule="auto"/>
        <w:jc w:val="both"/>
        <w:rPr>
          <w:rFonts w:ascii="Arial" w:hAnsi="Arial" w:cs="Arial"/>
          <w:color w:val="000000" w:themeColor="text1"/>
          <w:sz w:val="20"/>
          <w:szCs w:val="20"/>
          <w:lang w:val="es-MX"/>
        </w:rPr>
      </w:pPr>
      <w:r w:rsidRPr="00E72F58">
        <w:rPr>
          <w:rFonts w:ascii="Arial" w:hAnsi="Arial" w:cs="Arial"/>
          <w:color w:val="000000" w:themeColor="text1"/>
          <w:sz w:val="20"/>
          <w:szCs w:val="20"/>
          <w:lang w:val="es-MX"/>
        </w:rPr>
        <w:t xml:space="preserve">En este sentido, el reglamento establece la forma y momento para requerir a los proponentes para que justifiquen el precio ofrecido, dejando un margen de discrecionalidad al interior de dicha oportunidad: durante la evaluación de las ofertas. De esta manera, la determinación le corresponde a cada entidad pública, para lo cual debe tener presente las particularidades de cada modalidad de selección, partiendo de la base de que la entidad solo podrá pedir explicaciones cuando conozca las ofertas económicas. </w:t>
      </w:r>
    </w:p>
    <w:p w14:paraId="63A8845E" w14:textId="77777777" w:rsidR="00E72F58" w:rsidRPr="00E72F58" w:rsidRDefault="00E72F58" w:rsidP="00E72F58">
      <w:pPr>
        <w:spacing w:before="120" w:after="120" w:line="276" w:lineRule="auto"/>
        <w:jc w:val="both"/>
        <w:rPr>
          <w:rFonts w:ascii="Arial" w:hAnsi="Arial" w:cs="Arial"/>
          <w:color w:val="000000" w:themeColor="text1"/>
          <w:sz w:val="20"/>
          <w:szCs w:val="20"/>
          <w:lang w:val="es-MX"/>
        </w:rPr>
      </w:pPr>
      <w:r w:rsidRPr="00E72F58">
        <w:rPr>
          <w:rFonts w:ascii="Arial" w:hAnsi="Arial" w:cs="Arial"/>
          <w:color w:val="000000" w:themeColor="text1"/>
          <w:sz w:val="20"/>
          <w:szCs w:val="20"/>
          <w:lang w:val="es-MX"/>
        </w:rPr>
        <w:lastRenderedPageBreak/>
        <w:t>En desarrollo de una licitación pública para seleccionar a contratistas de obra, una vez publicado el informe de evaluación de los documentos e información de los requisitos habilitantes y de los documentos a los que se les asigne puntaje, diferentes a la oferta económica, y transcurrido el término para que los proponentes presenten observaciones y, de ser el caso, aporten la documentación que se les hubiere solicitado, la entidad debe publicar el «informe final de evaluación». Posteriormente, en la fecha establecida en el Anexo 2 – Cronograma, se debe llevar a cabo la «audiencia efectiva de adjudicación», durante la cual la entidad,</w:t>
      </w:r>
      <w:r w:rsidRPr="00E72F58">
        <w:rPr>
          <w:rFonts w:ascii="Arial" w:hAnsi="Arial" w:cs="Arial"/>
          <w:sz w:val="20"/>
          <w:szCs w:val="20"/>
        </w:rPr>
        <w:t xml:space="preserve"> además de adelantar otras actuaciones,</w:t>
      </w:r>
      <w:r w:rsidRPr="00E72F58">
        <w:rPr>
          <w:rFonts w:ascii="Arial" w:hAnsi="Arial" w:cs="Arial"/>
          <w:color w:val="000000" w:themeColor="text1"/>
          <w:sz w:val="20"/>
          <w:szCs w:val="20"/>
          <w:lang w:val="es-MX"/>
        </w:rPr>
        <w:t xml:space="preserve"> abrirá el Sobre 2, que contiene las ofertas económicas, de los proponentes habilitados y evaluará las ofertas económicas. Es en este momento en donde se conoce, por primera vez, la oferta económica de los proponentes.</w:t>
      </w:r>
    </w:p>
    <w:p w14:paraId="690925C1" w14:textId="77777777" w:rsidR="00E72F58" w:rsidRPr="00E72F58" w:rsidRDefault="00E72F58" w:rsidP="00E72F58">
      <w:pPr>
        <w:spacing w:after="0" w:line="276" w:lineRule="auto"/>
        <w:jc w:val="both"/>
        <w:rPr>
          <w:rFonts w:ascii="Arial" w:hAnsi="Arial" w:cs="Arial"/>
          <w:color w:val="000000" w:themeColor="text1"/>
          <w:sz w:val="20"/>
          <w:szCs w:val="20"/>
          <w:lang w:val="es-MX"/>
        </w:rPr>
      </w:pPr>
      <w:r w:rsidRPr="00E72F58">
        <w:rPr>
          <w:rFonts w:ascii="Arial" w:hAnsi="Arial" w:cs="Arial"/>
          <w:color w:val="000000" w:themeColor="text1"/>
          <w:sz w:val="20"/>
          <w:szCs w:val="20"/>
          <w:lang w:val="es-MX"/>
        </w:rPr>
        <w:t xml:space="preserve">Es del caso precisar </w:t>
      </w:r>
      <w:proofErr w:type="gramStart"/>
      <w:r w:rsidRPr="00E72F58">
        <w:rPr>
          <w:rFonts w:ascii="Arial" w:hAnsi="Arial" w:cs="Arial"/>
          <w:color w:val="000000" w:themeColor="text1"/>
          <w:sz w:val="20"/>
          <w:szCs w:val="20"/>
          <w:lang w:val="es-MX"/>
        </w:rPr>
        <w:t>que</w:t>
      </w:r>
      <w:proofErr w:type="gramEnd"/>
      <w:r w:rsidRPr="00E72F58">
        <w:rPr>
          <w:rFonts w:ascii="Arial" w:hAnsi="Arial" w:cs="Arial"/>
          <w:color w:val="000000" w:themeColor="text1"/>
          <w:sz w:val="20"/>
          <w:szCs w:val="20"/>
          <w:lang w:val="es-MX"/>
        </w:rPr>
        <w:t xml:space="preserve"> aunque es cierto que tratándose de procesos de licitación de obra pública de infraestructura de transporte el requerimiento que hace la entidad y la respuesta que brinda el oferente debe hacerse en la «audiencia efectiva de adjudicación», también lo es que la entidad, excepcionalmente, podrá suspender la audiencia para analizar el caso y contar con mejores elementos de juicio para adoptar las decisiones que le correspondiere tomar. Esta autorización tiene como fundamento el artículo 2.2.1.2.1.1.2., numeral 1, del Decreto 1082 de 2015, que establece que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73267B82" w14:textId="77777777" w:rsidR="009A49FB" w:rsidRDefault="009A49FB" w:rsidP="00E72F58">
      <w:pPr>
        <w:spacing w:after="0"/>
        <w:jc w:val="both"/>
        <w:rPr>
          <w:rFonts w:ascii="Arial" w:eastAsia="Times New Roman" w:hAnsi="Arial" w:cs="Arial"/>
          <w:color w:val="000000"/>
          <w:szCs w:val="24"/>
          <w:lang w:eastAsia="es-ES_tradnl"/>
        </w:rPr>
      </w:pPr>
    </w:p>
    <w:p w14:paraId="265D31D9" w14:textId="77777777" w:rsidR="009A49FB" w:rsidRPr="000E11CB" w:rsidRDefault="009A49FB" w:rsidP="009A49FB">
      <w:pPr>
        <w:spacing w:after="0" w:line="276" w:lineRule="auto"/>
        <w:rPr>
          <w:rFonts w:ascii="Arial" w:eastAsia="Arial" w:hAnsi="Arial" w:cs="Arial"/>
          <w:b/>
          <w:bCs/>
          <w:color w:val="000000"/>
          <w:szCs w:val="24"/>
          <w:lang w:val="es-ES_tradnl" w:eastAsia="es-ES_tradnl"/>
        </w:rPr>
      </w:pPr>
      <w:r w:rsidRPr="000E11CB">
        <w:rPr>
          <w:rFonts w:ascii="Arial" w:eastAsia="Arial" w:hAnsi="Arial" w:cs="Arial"/>
          <w:b/>
          <w:bCs/>
          <w:color w:val="000000"/>
          <w:szCs w:val="24"/>
          <w:lang w:val="es-ES_tradnl" w:eastAsia="es-ES_tradnl"/>
        </w:rPr>
        <w:t xml:space="preserve">SOBRE 1 </w:t>
      </w:r>
      <w:r>
        <w:rPr>
          <w:rFonts w:ascii="Arial" w:eastAsia="Arial" w:hAnsi="Arial" w:cs="Arial"/>
          <w:b/>
          <w:bCs/>
          <w:color w:val="000000"/>
          <w:szCs w:val="24"/>
          <w:lang w:val="es-ES_tradnl" w:eastAsia="es-ES_tradnl"/>
        </w:rPr>
        <w:t>− R</w:t>
      </w:r>
      <w:r w:rsidRPr="000E11CB">
        <w:rPr>
          <w:rFonts w:ascii="Arial" w:eastAsia="Arial" w:hAnsi="Arial" w:cs="Arial"/>
          <w:b/>
          <w:bCs/>
          <w:color w:val="000000"/>
          <w:szCs w:val="24"/>
          <w:lang w:val="es-ES_tradnl" w:eastAsia="es-ES_tradnl"/>
        </w:rPr>
        <w:t>equisitos habilitantes</w:t>
      </w:r>
      <w:r>
        <w:rPr>
          <w:rFonts w:ascii="Arial" w:eastAsia="Arial" w:hAnsi="Arial" w:cs="Arial"/>
          <w:b/>
          <w:bCs/>
          <w:color w:val="000000"/>
          <w:szCs w:val="24"/>
          <w:lang w:val="es-ES_tradnl" w:eastAsia="es-ES_tradnl"/>
        </w:rPr>
        <w:t xml:space="preserve"> –</w:t>
      </w:r>
      <w:r w:rsidRPr="000E11CB">
        <w:rPr>
          <w:rFonts w:ascii="Arial" w:eastAsia="Arial" w:hAnsi="Arial" w:cs="Arial"/>
          <w:b/>
          <w:bCs/>
          <w:color w:val="000000"/>
          <w:szCs w:val="24"/>
          <w:lang w:val="es-ES_tradnl" w:eastAsia="es-ES_tradnl"/>
        </w:rPr>
        <w:t xml:space="preserve"> </w:t>
      </w:r>
      <w:r>
        <w:rPr>
          <w:rFonts w:ascii="Arial" w:eastAsia="Arial" w:hAnsi="Arial" w:cs="Arial"/>
          <w:b/>
          <w:bCs/>
          <w:color w:val="000000"/>
          <w:szCs w:val="24"/>
          <w:lang w:val="es-ES_tradnl" w:eastAsia="es-ES_tradnl"/>
        </w:rPr>
        <w:t xml:space="preserve">Requisitos </w:t>
      </w:r>
      <w:r w:rsidRPr="00A20B04">
        <w:rPr>
          <w:rFonts w:ascii="Arial" w:eastAsia="Calibri" w:hAnsi="Arial" w:cs="Arial"/>
          <w:b/>
          <w:bCs/>
          <w:color w:val="000000"/>
          <w:lang w:val="es-MX"/>
        </w:rPr>
        <w:t xml:space="preserve">puntuables </w:t>
      </w:r>
      <w:r>
        <w:rPr>
          <w:rFonts w:ascii="Arial" w:eastAsia="Calibri" w:hAnsi="Arial" w:cs="Arial"/>
          <w:b/>
          <w:bCs/>
          <w:color w:val="000000"/>
          <w:lang w:val="es-MX"/>
        </w:rPr>
        <w:t>− D</w:t>
      </w:r>
      <w:r w:rsidRPr="00A20B04">
        <w:rPr>
          <w:rFonts w:ascii="Arial" w:eastAsia="Calibri" w:hAnsi="Arial" w:cs="Arial"/>
          <w:b/>
          <w:bCs/>
          <w:color w:val="000000"/>
          <w:lang w:val="es-MX"/>
        </w:rPr>
        <w:t>iferentes a la oferta</w:t>
      </w:r>
      <w:r>
        <w:rPr>
          <w:rFonts w:ascii="Arial" w:eastAsia="Calibri" w:hAnsi="Arial" w:cs="Arial"/>
          <w:b/>
          <w:bCs/>
          <w:color w:val="000000"/>
          <w:lang w:val="es-MX"/>
        </w:rPr>
        <w:t xml:space="preserve"> </w:t>
      </w:r>
      <w:r w:rsidRPr="00A20B04">
        <w:rPr>
          <w:rFonts w:ascii="Arial" w:eastAsia="Calibri" w:hAnsi="Arial" w:cs="Arial"/>
          <w:b/>
          <w:bCs/>
          <w:color w:val="000000"/>
          <w:lang w:val="es-MX"/>
        </w:rPr>
        <w:t>económica</w:t>
      </w:r>
    </w:p>
    <w:p w14:paraId="604E22FA" w14:textId="77777777" w:rsidR="009A49FB" w:rsidRDefault="009A49FB" w:rsidP="009A49FB">
      <w:pPr>
        <w:spacing w:after="0"/>
        <w:jc w:val="both"/>
        <w:rPr>
          <w:rFonts w:ascii="Arial" w:eastAsia="Times New Roman" w:hAnsi="Arial" w:cs="Arial"/>
          <w:color w:val="000000"/>
          <w:szCs w:val="24"/>
          <w:lang w:eastAsia="es-ES_tradnl"/>
        </w:rPr>
      </w:pPr>
    </w:p>
    <w:p w14:paraId="6717C624" w14:textId="07E64CD4" w:rsidR="00E72F58" w:rsidRPr="00E72F58" w:rsidRDefault="009A49FB" w:rsidP="00E72F58">
      <w:pPr>
        <w:spacing w:after="120" w:line="240" w:lineRule="auto"/>
        <w:jc w:val="both"/>
        <w:rPr>
          <w:rFonts w:ascii="Arial" w:eastAsia="Calibri" w:hAnsi="Arial" w:cs="Arial"/>
          <w:color w:val="000000"/>
          <w:sz w:val="20"/>
          <w:szCs w:val="20"/>
          <w:lang w:val="es-MX"/>
        </w:rPr>
      </w:pPr>
      <w:r w:rsidRPr="00E72F58">
        <w:rPr>
          <w:rFonts w:ascii="Arial" w:eastAsia="Calibri" w:hAnsi="Arial" w:cs="Arial"/>
          <w:color w:val="000000"/>
          <w:sz w:val="20"/>
          <w:szCs w:val="20"/>
          <w:lang w:val="es-ES_tradnl"/>
        </w:rPr>
        <w:t>[…]</w:t>
      </w:r>
      <w:r w:rsidR="00E72F58" w:rsidRPr="00E72F58">
        <w:rPr>
          <w:rFonts w:ascii="Arial" w:eastAsia="Calibri" w:hAnsi="Arial" w:cs="Arial"/>
          <w:sz w:val="20"/>
          <w:szCs w:val="20"/>
          <w:lang w:val="es-MX"/>
        </w:rPr>
        <w:t xml:space="preserve"> </w:t>
      </w:r>
      <w:r w:rsidR="00E72F58" w:rsidRPr="00E72F58">
        <w:rPr>
          <w:rFonts w:ascii="Arial" w:eastAsia="Calibri" w:hAnsi="Arial" w:cs="Arial"/>
          <w:color w:val="000000"/>
          <w:sz w:val="20"/>
          <w:szCs w:val="20"/>
          <w:lang w:val="es-ES_tradnl"/>
        </w:rPr>
        <w:t xml:space="preserve">es necesario mencionar que, </w:t>
      </w:r>
      <w:r w:rsidR="00E72F58" w:rsidRPr="00E72F58">
        <w:rPr>
          <w:rFonts w:ascii="Arial" w:eastAsia="Calibri" w:hAnsi="Arial" w:cs="Arial"/>
          <w:color w:val="000000"/>
          <w:sz w:val="20"/>
          <w:szCs w:val="20"/>
          <w:lang w:val="es-MX"/>
        </w:rPr>
        <w:t xml:space="preserve">al tratarse de una obra pública de infraestructura de transporte, la Ley 1882 de 2018, en el artículo 1, señala que las ofertas deben estar conformadas por dos sobres: i) sobre 1: requisitos habilitantes y requisitos puntuables, diferentes a la oferta económica y </w:t>
      </w:r>
      <w:proofErr w:type="spellStart"/>
      <w:r w:rsidR="00E72F58" w:rsidRPr="00E72F58">
        <w:rPr>
          <w:rFonts w:ascii="Arial" w:eastAsia="Calibri" w:hAnsi="Arial" w:cs="Arial"/>
          <w:color w:val="000000"/>
          <w:sz w:val="20"/>
          <w:szCs w:val="20"/>
          <w:lang w:val="es-MX"/>
        </w:rPr>
        <w:t>ii</w:t>
      </w:r>
      <w:proofErr w:type="spellEnd"/>
      <w:r w:rsidR="00E72F58" w:rsidRPr="00E72F58">
        <w:rPr>
          <w:rFonts w:ascii="Arial" w:eastAsia="Calibri" w:hAnsi="Arial" w:cs="Arial"/>
          <w:color w:val="000000"/>
          <w:sz w:val="20"/>
          <w:szCs w:val="20"/>
          <w:lang w:val="es-MX"/>
        </w:rPr>
        <w:t xml:space="preserve">) sobre 2: oferta económica. </w:t>
      </w:r>
    </w:p>
    <w:p w14:paraId="16193264" w14:textId="77777777" w:rsidR="00E72F58" w:rsidRPr="00E72F58" w:rsidRDefault="00E72F58" w:rsidP="00E72F58">
      <w:pPr>
        <w:spacing w:after="0" w:line="240" w:lineRule="auto"/>
        <w:jc w:val="both"/>
        <w:rPr>
          <w:rFonts w:ascii="Arial" w:eastAsia="Calibri" w:hAnsi="Arial" w:cs="Arial"/>
          <w:color w:val="000000"/>
          <w:sz w:val="20"/>
          <w:szCs w:val="20"/>
          <w:lang w:val="es-MX"/>
        </w:rPr>
      </w:pPr>
      <w:r w:rsidRPr="00E72F58">
        <w:rPr>
          <w:rFonts w:ascii="Arial" w:eastAsia="Calibri" w:hAnsi="Arial" w:cs="Arial"/>
          <w:color w:val="000000"/>
          <w:sz w:val="20"/>
          <w:szCs w:val="20"/>
          <w:lang w:val="es-MX"/>
        </w:rPr>
        <w:t>En relación con los documentos contenidos en el sobre 1, en los documentos tipo se establece que los requisitos habilitantes serán objeto de verificación por parte de la entidad estatal con base en la información contenida en el RUP y los documentos señalados en los documentos tipo. Ahora bien, en cuanto a los requisitos puntuables diferentes a la oferta económica, estos corresponden al factor de calidad, apoyo a la industria nacional y vinculación de personas con discapacidad. Adicionalmente, debe precisarse que no hacen parte de los documentos que debe contener este sobre, los señalados en su petición de consulta, esto es: «[…] el Anexo técnico, pliegos, cronograma, estudio del sector, entre otros». En este sentido, los documentos señalados, no deberán anexarse firmados en el sobre 1, ya que dichos documentos corresponde elaborarlos a la entidad estatal contratante.</w:t>
      </w:r>
    </w:p>
    <w:p w14:paraId="5A021E70" w14:textId="77777777" w:rsidR="009A49FB" w:rsidRPr="00D7149D" w:rsidRDefault="009A49FB" w:rsidP="00E72F58">
      <w:pPr>
        <w:spacing w:after="0" w:line="276" w:lineRule="auto"/>
        <w:jc w:val="both"/>
        <w:rPr>
          <w:rFonts w:ascii="Arial" w:eastAsia="Calibri" w:hAnsi="Arial" w:cs="Arial"/>
          <w:color w:val="000000"/>
          <w:sz w:val="20"/>
          <w:szCs w:val="20"/>
          <w:lang w:val="es-ES_tradnl"/>
        </w:rPr>
      </w:pPr>
    </w:p>
    <w:p w14:paraId="1E569352" w14:textId="77777777" w:rsidR="009A49FB" w:rsidRDefault="009A49FB" w:rsidP="009A49FB">
      <w:pPr>
        <w:spacing w:after="0" w:line="276" w:lineRule="auto"/>
        <w:jc w:val="both"/>
        <w:rPr>
          <w:rFonts w:ascii="Arial" w:eastAsia="Calibri" w:hAnsi="Arial" w:cs="Arial"/>
          <w:b/>
          <w:lang w:val="es-ES" w:eastAsia="es-ES" w:bidi="es-ES"/>
        </w:rPr>
      </w:pPr>
      <w:r w:rsidRPr="00971500">
        <w:rPr>
          <w:rFonts w:ascii="Arial" w:eastAsia="Calibri" w:hAnsi="Arial" w:cs="Arial"/>
          <w:b/>
          <w:lang w:val="es-ES" w:eastAsia="es-ES" w:bidi="es-ES"/>
        </w:rPr>
        <w:t>CAUSALES DE RECHAZO – Taxatividad – Principio de inalterabilidad</w:t>
      </w:r>
    </w:p>
    <w:p w14:paraId="7A5E6217" w14:textId="77777777" w:rsidR="009A49FB" w:rsidRDefault="009A49FB" w:rsidP="009A49FB">
      <w:pPr>
        <w:spacing w:after="0" w:line="276" w:lineRule="auto"/>
        <w:jc w:val="both"/>
        <w:rPr>
          <w:rFonts w:ascii="Arial" w:eastAsia="Calibri" w:hAnsi="Arial" w:cs="Arial"/>
          <w:b/>
          <w:lang w:val="es-ES" w:eastAsia="es-ES" w:bidi="es-ES"/>
        </w:rPr>
      </w:pPr>
    </w:p>
    <w:p w14:paraId="255DFCA5" w14:textId="77777777" w:rsidR="00E72F58" w:rsidRPr="00E72F58" w:rsidRDefault="00E72F58" w:rsidP="00E72F58">
      <w:pPr>
        <w:widowControl w:val="0"/>
        <w:autoSpaceDE w:val="0"/>
        <w:autoSpaceDN w:val="0"/>
        <w:spacing w:after="0" w:line="240" w:lineRule="auto"/>
        <w:jc w:val="both"/>
        <w:rPr>
          <w:rFonts w:ascii="Arial" w:eastAsia="Arial" w:hAnsi="Arial" w:cs="Arial"/>
          <w:sz w:val="20"/>
          <w:szCs w:val="20"/>
          <w:lang w:val="es-ES"/>
        </w:rPr>
      </w:pPr>
      <w:r w:rsidRPr="00E72F58">
        <w:rPr>
          <w:rFonts w:ascii="Arial" w:eastAsia="Arial" w:hAnsi="Arial" w:cs="Arial"/>
          <w:color w:val="0C0C0C"/>
          <w:sz w:val="20"/>
          <w:szCs w:val="20"/>
          <w:lang w:val="es-ES"/>
        </w:rPr>
        <w:t>Uno de los aspectos regulados en los Documentos Tipo sobre el cual resulta aplicable</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el principio de inalterabilidad tiene relación con las causales de rechazo, frente a las</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cuales la entidad solo puede modificar los aspectos concretos que el documento base</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o la invitación dispongan. No obstante, se establece la regla consistente en que las</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entidades estatales no pueden incluir nuevas causales de rechazo o modificar las</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existentes, salvo que se permita modificar aspectos puntuales en los lugares entre</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corchetes</w:t>
      </w:r>
      <w:r w:rsidRPr="00E72F58">
        <w:rPr>
          <w:rFonts w:ascii="Arial" w:eastAsia="Arial" w:hAnsi="Arial" w:cs="Arial"/>
          <w:color w:val="0C0C0C"/>
          <w:spacing w:val="-2"/>
          <w:sz w:val="20"/>
          <w:szCs w:val="20"/>
          <w:lang w:val="es-ES"/>
        </w:rPr>
        <w:t xml:space="preserve"> </w:t>
      </w:r>
      <w:r w:rsidRPr="00E72F58">
        <w:rPr>
          <w:rFonts w:ascii="Arial" w:eastAsia="Arial" w:hAnsi="Arial" w:cs="Arial"/>
          <w:color w:val="0C0C0C"/>
          <w:sz w:val="20"/>
          <w:szCs w:val="20"/>
          <w:lang w:val="es-ES"/>
        </w:rPr>
        <w:t>y</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resaltado</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en</w:t>
      </w:r>
      <w:r w:rsidRPr="00E72F58">
        <w:rPr>
          <w:rFonts w:ascii="Arial" w:eastAsia="Arial" w:hAnsi="Arial" w:cs="Arial"/>
          <w:color w:val="0C0C0C"/>
          <w:spacing w:val="-1"/>
          <w:sz w:val="20"/>
          <w:szCs w:val="20"/>
          <w:lang w:val="es-ES"/>
        </w:rPr>
        <w:t xml:space="preserve"> </w:t>
      </w:r>
      <w:r w:rsidRPr="00E72F58">
        <w:rPr>
          <w:rFonts w:ascii="Arial" w:eastAsia="Arial" w:hAnsi="Arial" w:cs="Arial"/>
          <w:color w:val="0C0C0C"/>
          <w:sz w:val="20"/>
          <w:szCs w:val="20"/>
          <w:lang w:val="es-ES"/>
        </w:rPr>
        <w:t>gris.</w:t>
      </w:r>
    </w:p>
    <w:p w14:paraId="21B20316" w14:textId="77777777" w:rsidR="00E72F58" w:rsidRPr="00E72F58" w:rsidRDefault="00E72F58" w:rsidP="00E72F58">
      <w:pPr>
        <w:widowControl w:val="0"/>
        <w:autoSpaceDE w:val="0"/>
        <w:autoSpaceDN w:val="0"/>
        <w:spacing w:before="120" w:after="0" w:line="240" w:lineRule="auto"/>
        <w:jc w:val="both"/>
        <w:rPr>
          <w:rFonts w:ascii="Arial" w:eastAsia="Arial" w:hAnsi="Arial" w:cs="Arial"/>
          <w:sz w:val="20"/>
          <w:szCs w:val="20"/>
          <w:lang w:val="es-ES"/>
        </w:rPr>
      </w:pPr>
      <w:r w:rsidRPr="00E72F58">
        <w:rPr>
          <w:rFonts w:ascii="Arial" w:eastAsia="Arial" w:hAnsi="Arial" w:cs="Arial"/>
          <w:sz w:val="20"/>
          <w:szCs w:val="20"/>
          <w:lang w:val="es-ES"/>
        </w:rPr>
        <w:t>Del numeral 1.15 del pliego de condiciones para los procesos de licitación y</w:t>
      </w:r>
      <w:r w:rsidRPr="00E72F58">
        <w:rPr>
          <w:rFonts w:ascii="Arial" w:eastAsia="Arial" w:hAnsi="Arial" w:cs="Arial"/>
          <w:spacing w:val="1"/>
          <w:sz w:val="20"/>
          <w:szCs w:val="20"/>
          <w:lang w:val="es-ES"/>
        </w:rPr>
        <w:t xml:space="preserve"> </w:t>
      </w:r>
      <w:r w:rsidRPr="00E72F58">
        <w:rPr>
          <w:rFonts w:ascii="Arial" w:eastAsia="Arial" w:hAnsi="Arial" w:cs="Arial"/>
          <w:sz w:val="20"/>
          <w:szCs w:val="20"/>
          <w:lang w:val="es-ES"/>
        </w:rPr>
        <w:t>selección abreviada de menor cuantía, así como del numeral 1.15 de la invitación de</w:t>
      </w:r>
      <w:r w:rsidRPr="00E72F58">
        <w:rPr>
          <w:rFonts w:ascii="Arial" w:eastAsia="Arial" w:hAnsi="Arial" w:cs="Arial"/>
          <w:spacing w:val="1"/>
          <w:sz w:val="20"/>
          <w:szCs w:val="20"/>
          <w:lang w:val="es-ES"/>
        </w:rPr>
        <w:t xml:space="preserve"> </w:t>
      </w:r>
      <w:r w:rsidRPr="00E72F58">
        <w:rPr>
          <w:rFonts w:ascii="Arial" w:eastAsia="Arial" w:hAnsi="Arial" w:cs="Arial"/>
          <w:sz w:val="20"/>
          <w:szCs w:val="20"/>
          <w:lang w:val="es-ES"/>
        </w:rPr>
        <w:t>mínima cuantía, se desprende que las causales de rechazo de ofertas consagradas en</w:t>
      </w:r>
      <w:r w:rsidRPr="00E72F58">
        <w:rPr>
          <w:rFonts w:ascii="Arial" w:eastAsia="Arial" w:hAnsi="Arial" w:cs="Arial"/>
          <w:spacing w:val="-59"/>
          <w:sz w:val="20"/>
          <w:szCs w:val="20"/>
          <w:lang w:val="es-ES"/>
        </w:rPr>
        <w:t xml:space="preserve"> </w:t>
      </w:r>
      <w:r w:rsidRPr="00E72F58">
        <w:rPr>
          <w:rFonts w:ascii="Arial" w:eastAsia="Arial" w:hAnsi="Arial" w:cs="Arial"/>
          <w:sz w:val="20"/>
          <w:szCs w:val="20"/>
          <w:lang w:val="es-ES"/>
        </w:rPr>
        <w:t xml:space="preserve">los documentos tipo son taxativas, descartándose </w:t>
      </w:r>
      <w:r w:rsidRPr="00E72F58">
        <w:rPr>
          <w:rFonts w:ascii="Arial" w:eastAsia="Arial" w:hAnsi="Arial" w:cs="Arial"/>
          <w:sz w:val="20"/>
          <w:szCs w:val="20"/>
          <w:lang w:val="es-ES"/>
        </w:rPr>
        <w:lastRenderedPageBreak/>
        <w:t>que la entidad introduzca causales,</w:t>
      </w:r>
      <w:r w:rsidRPr="00E72F58">
        <w:rPr>
          <w:rFonts w:ascii="Arial" w:eastAsia="Arial" w:hAnsi="Arial" w:cs="Arial"/>
          <w:spacing w:val="1"/>
          <w:sz w:val="20"/>
          <w:szCs w:val="20"/>
          <w:lang w:val="es-ES"/>
        </w:rPr>
        <w:t xml:space="preserve"> </w:t>
      </w:r>
      <w:r w:rsidRPr="00E72F58">
        <w:rPr>
          <w:rFonts w:ascii="Arial" w:eastAsia="Arial" w:hAnsi="Arial" w:cs="Arial"/>
          <w:sz w:val="20"/>
          <w:szCs w:val="20"/>
          <w:lang w:val="es-ES"/>
        </w:rPr>
        <w:t>salvo que aplique las contempladas directamente en la ley. Igualmente, por la naturaleza de las</w:t>
      </w:r>
      <w:r w:rsidRPr="00E72F58">
        <w:rPr>
          <w:rFonts w:ascii="Arial" w:eastAsia="Arial" w:hAnsi="Arial" w:cs="Arial"/>
          <w:spacing w:val="1"/>
          <w:sz w:val="20"/>
          <w:szCs w:val="20"/>
          <w:lang w:val="es-ES"/>
        </w:rPr>
        <w:t xml:space="preserve"> </w:t>
      </w:r>
      <w:r w:rsidRPr="00E72F58">
        <w:rPr>
          <w:rFonts w:ascii="Arial" w:eastAsia="Arial" w:hAnsi="Arial" w:cs="Arial"/>
          <w:sz w:val="20"/>
          <w:szCs w:val="20"/>
          <w:lang w:val="es-ES"/>
        </w:rPr>
        <w:t>causales de rechazo, su aplicación es estricta. Esto significa que su interpretación</w:t>
      </w:r>
      <w:r w:rsidRPr="00E72F58">
        <w:rPr>
          <w:rFonts w:ascii="Arial" w:eastAsia="Arial" w:hAnsi="Arial" w:cs="Arial"/>
          <w:spacing w:val="1"/>
          <w:sz w:val="20"/>
          <w:szCs w:val="20"/>
          <w:lang w:val="es-ES"/>
        </w:rPr>
        <w:t xml:space="preserve"> </w:t>
      </w:r>
      <w:r w:rsidRPr="00E72F58">
        <w:rPr>
          <w:rFonts w:ascii="Arial" w:eastAsia="Arial" w:hAnsi="Arial" w:cs="Arial"/>
          <w:sz w:val="20"/>
          <w:szCs w:val="20"/>
          <w:lang w:val="es-ES"/>
        </w:rPr>
        <w:t>gramatical</w:t>
      </w:r>
      <w:r w:rsidRPr="00E72F58">
        <w:rPr>
          <w:rFonts w:ascii="Arial" w:eastAsia="Arial" w:hAnsi="Arial" w:cs="Arial"/>
          <w:spacing w:val="-11"/>
          <w:sz w:val="20"/>
          <w:szCs w:val="20"/>
          <w:lang w:val="es-ES"/>
        </w:rPr>
        <w:t xml:space="preserve"> </w:t>
      </w:r>
      <w:r w:rsidRPr="00E72F58">
        <w:rPr>
          <w:rFonts w:ascii="Arial" w:eastAsia="Arial" w:hAnsi="Arial" w:cs="Arial"/>
          <w:sz w:val="20"/>
          <w:szCs w:val="20"/>
          <w:lang w:val="es-ES"/>
        </w:rPr>
        <w:t>prevalece</w:t>
      </w:r>
      <w:r w:rsidRPr="00E72F58">
        <w:rPr>
          <w:rFonts w:ascii="Arial" w:eastAsia="Arial" w:hAnsi="Arial" w:cs="Arial"/>
          <w:spacing w:val="-10"/>
          <w:sz w:val="20"/>
          <w:szCs w:val="20"/>
          <w:lang w:val="es-ES"/>
        </w:rPr>
        <w:t xml:space="preserve"> </w:t>
      </w:r>
      <w:r w:rsidRPr="00E72F58">
        <w:rPr>
          <w:rFonts w:ascii="Arial" w:eastAsia="Arial" w:hAnsi="Arial" w:cs="Arial"/>
          <w:sz w:val="20"/>
          <w:szCs w:val="20"/>
          <w:lang w:val="es-ES"/>
        </w:rPr>
        <w:t>sobre</w:t>
      </w:r>
      <w:r w:rsidRPr="00E72F58">
        <w:rPr>
          <w:rFonts w:ascii="Arial" w:eastAsia="Arial" w:hAnsi="Arial" w:cs="Arial"/>
          <w:spacing w:val="-11"/>
          <w:sz w:val="20"/>
          <w:szCs w:val="20"/>
          <w:lang w:val="es-ES"/>
        </w:rPr>
        <w:t xml:space="preserve"> </w:t>
      </w:r>
      <w:r w:rsidRPr="00E72F58">
        <w:rPr>
          <w:rFonts w:ascii="Arial" w:eastAsia="Arial" w:hAnsi="Arial" w:cs="Arial"/>
          <w:sz w:val="20"/>
          <w:szCs w:val="20"/>
          <w:lang w:val="es-ES"/>
        </w:rPr>
        <w:t>una</w:t>
      </w:r>
      <w:r w:rsidRPr="00E72F58">
        <w:rPr>
          <w:rFonts w:ascii="Arial" w:eastAsia="Arial" w:hAnsi="Arial" w:cs="Arial"/>
          <w:spacing w:val="-12"/>
          <w:sz w:val="20"/>
          <w:szCs w:val="20"/>
          <w:lang w:val="es-ES"/>
        </w:rPr>
        <w:t xml:space="preserve"> </w:t>
      </w:r>
      <w:r w:rsidRPr="00E72F58">
        <w:rPr>
          <w:rFonts w:ascii="Arial" w:eastAsia="Arial" w:hAnsi="Arial" w:cs="Arial"/>
          <w:sz w:val="20"/>
          <w:szCs w:val="20"/>
          <w:lang w:val="es-ES"/>
        </w:rPr>
        <w:t>extensiva</w:t>
      </w:r>
      <w:r w:rsidRPr="00E72F58">
        <w:rPr>
          <w:rFonts w:ascii="Arial" w:eastAsia="Arial" w:hAnsi="Arial" w:cs="Arial"/>
          <w:spacing w:val="-10"/>
          <w:sz w:val="20"/>
          <w:szCs w:val="20"/>
          <w:lang w:val="es-ES"/>
        </w:rPr>
        <w:t xml:space="preserve"> </w:t>
      </w:r>
      <w:r w:rsidRPr="00E72F58">
        <w:rPr>
          <w:rFonts w:ascii="Arial" w:eastAsia="Arial" w:hAnsi="Arial" w:cs="Arial"/>
          <w:sz w:val="20"/>
          <w:szCs w:val="20"/>
          <w:lang w:val="es-ES"/>
        </w:rPr>
        <w:t>o</w:t>
      </w:r>
      <w:r w:rsidRPr="00E72F58">
        <w:rPr>
          <w:rFonts w:ascii="Arial" w:eastAsia="Arial" w:hAnsi="Arial" w:cs="Arial"/>
          <w:spacing w:val="-11"/>
          <w:sz w:val="20"/>
          <w:szCs w:val="20"/>
          <w:lang w:val="es-ES"/>
        </w:rPr>
        <w:t xml:space="preserve"> </w:t>
      </w:r>
      <w:r w:rsidRPr="00E72F58">
        <w:rPr>
          <w:rFonts w:ascii="Arial" w:eastAsia="Arial" w:hAnsi="Arial" w:cs="Arial"/>
          <w:sz w:val="20"/>
          <w:szCs w:val="20"/>
          <w:lang w:val="es-ES"/>
        </w:rPr>
        <w:t>de</w:t>
      </w:r>
      <w:r w:rsidRPr="00E72F58">
        <w:rPr>
          <w:rFonts w:ascii="Arial" w:eastAsia="Arial" w:hAnsi="Arial" w:cs="Arial"/>
          <w:spacing w:val="-12"/>
          <w:sz w:val="20"/>
          <w:szCs w:val="20"/>
          <w:lang w:val="es-ES"/>
        </w:rPr>
        <w:t xml:space="preserve"> </w:t>
      </w:r>
      <w:r w:rsidRPr="00E72F58">
        <w:rPr>
          <w:rFonts w:ascii="Arial" w:eastAsia="Arial" w:hAnsi="Arial" w:cs="Arial"/>
          <w:sz w:val="20"/>
          <w:szCs w:val="20"/>
          <w:lang w:val="es-ES"/>
        </w:rPr>
        <w:t>otra</w:t>
      </w:r>
      <w:r w:rsidRPr="00E72F58">
        <w:rPr>
          <w:rFonts w:ascii="Arial" w:eastAsia="Arial" w:hAnsi="Arial" w:cs="Arial"/>
          <w:spacing w:val="-11"/>
          <w:sz w:val="20"/>
          <w:szCs w:val="20"/>
          <w:lang w:val="es-ES"/>
        </w:rPr>
        <w:t xml:space="preserve"> </w:t>
      </w:r>
      <w:r w:rsidRPr="00E72F58">
        <w:rPr>
          <w:rFonts w:ascii="Arial" w:eastAsia="Arial" w:hAnsi="Arial" w:cs="Arial"/>
          <w:sz w:val="20"/>
          <w:szCs w:val="20"/>
          <w:lang w:val="es-ES"/>
        </w:rPr>
        <w:t>índole,</w:t>
      </w:r>
      <w:r w:rsidRPr="00E72F58">
        <w:rPr>
          <w:rFonts w:ascii="Arial" w:eastAsia="Arial" w:hAnsi="Arial" w:cs="Arial"/>
          <w:spacing w:val="-10"/>
          <w:sz w:val="20"/>
          <w:szCs w:val="20"/>
          <w:lang w:val="es-ES"/>
        </w:rPr>
        <w:t xml:space="preserve"> </w:t>
      </w:r>
      <w:r w:rsidRPr="00E72F58">
        <w:rPr>
          <w:rFonts w:ascii="Arial" w:eastAsia="Arial" w:hAnsi="Arial" w:cs="Arial"/>
          <w:sz w:val="20"/>
          <w:szCs w:val="20"/>
          <w:lang w:val="es-ES"/>
        </w:rPr>
        <w:t>mediante</w:t>
      </w:r>
      <w:r w:rsidRPr="00E72F58">
        <w:rPr>
          <w:rFonts w:ascii="Arial" w:eastAsia="Arial" w:hAnsi="Arial" w:cs="Arial"/>
          <w:spacing w:val="-11"/>
          <w:sz w:val="20"/>
          <w:szCs w:val="20"/>
          <w:lang w:val="es-ES"/>
        </w:rPr>
        <w:t xml:space="preserve"> </w:t>
      </w:r>
      <w:r w:rsidRPr="00E72F58">
        <w:rPr>
          <w:rFonts w:ascii="Arial" w:eastAsia="Arial" w:hAnsi="Arial" w:cs="Arial"/>
          <w:sz w:val="20"/>
          <w:szCs w:val="20"/>
          <w:lang w:val="es-ES"/>
        </w:rPr>
        <w:t>la</w:t>
      </w:r>
      <w:r w:rsidRPr="00E72F58">
        <w:rPr>
          <w:rFonts w:ascii="Arial" w:eastAsia="Arial" w:hAnsi="Arial" w:cs="Arial"/>
          <w:spacing w:val="-12"/>
          <w:sz w:val="20"/>
          <w:szCs w:val="20"/>
          <w:lang w:val="es-ES"/>
        </w:rPr>
        <w:t xml:space="preserve"> </w:t>
      </w:r>
      <w:r w:rsidRPr="00E72F58">
        <w:rPr>
          <w:rFonts w:ascii="Arial" w:eastAsia="Arial" w:hAnsi="Arial" w:cs="Arial"/>
          <w:sz w:val="20"/>
          <w:szCs w:val="20"/>
          <w:lang w:val="es-ES"/>
        </w:rPr>
        <w:t>cual</w:t>
      </w:r>
      <w:r w:rsidRPr="00E72F58">
        <w:rPr>
          <w:rFonts w:ascii="Arial" w:eastAsia="Arial" w:hAnsi="Arial" w:cs="Arial"/>
          <w:spacing w:val="-11"/>
          <w:sz w:val="20"/>
          <w:szCs w:val="20"/>
          <w:lang w:val="es-ES"/>
        </w:rPr>
        <w:t xml:space="preserve"> </w:t>
      </w:r>
      <w:r w:rsidRPr="00E72F58">
        <w:rPr>
          <w:rFonts w:ascii="Arial" w:eastAsia="Arial" w:hAnsi="Arial" w:cs="Arial"/>
          <w:sz w:val="20"/>
          <w:szCs w:val="20"/>
          <w:lang w:val="es-ES"/>
        </w:rPr>
        <w:t>se</w:t>
      </w:r>
      <w:r w:rsidRPr="00E72F58">
        <w:rPr>
          <w:rFonts w:ascii="Arial" w:eastAsia="Arial" w:hAnsi="Arial" w:cs="Arial"/>
          <w:spacing w:val="-11"/>
          <w:sz w:val="20"/>
          <w:szCs w:val="20"/>
          <w:lang w:val="es-ES"/>
        </w:rPr>
        <w:t xml:space="preserve"> </w:t>
      </w:r>
      <w:r w:rsidRPr="00E72F58">
        <w:rPr>
          <w:rFonts w:ascii="Arial" w:eastAsia="Arial" w:hAnsi="Arial" w:cs="Arial"/>
          <w:sz w:val="20"/>
          <w:szCs w:val="20"/>
          <w:lang w:val="es-ES"/>
        </w:rPr>
        <w:t>pretenda</w:t>
      </w:r>
      <w:r w:rsidRPr="00E72F58">
        <w:rPr>
          <w:rFonts w:ascii="Arial" w:eastAsia="Arial" w:hAnsi="Arial" w:cs="Arial"/>
          <w:spacing w:val="-59"/>
          <w:sz w:val="20"/>
          <w:szCs w:val="20"/>
          <w:lang w:val="es-ES"/>
        </w:rPr>
        <w:t xml:space="preserve"> </w:t>
      </w:r>
      <w:r w:rsidRPr="00E72F58">
        <w:rPr>
          <w:rFonts w:ascii="Arial" w:eastAsia="Arial" w:hAnsi="Arial" w:cs="Arial"/>
          <w:sz w:val="20"/>
          <w:szCs w:val="20"/>
          <w:lang w:val="es-ES"/>
        </w:rPr>
        <w:t>ampliar</w:t>
      </w:r>
      <w:r w:rsidRPr="00E72F58">
        <w:rPr>
          <w:rFonts w:ascii="Arial" w:eastAsia="Arial" w:hAnsi="Arial" w:cs="Arial"/>
          <w:spacing w:val="-2"/>
          <w:sz w:val="20"/>
          <w:szCs w:val="20"/>
          <w:lang w:val="es-ES"/>
        </w:rPr>
        <w:t xml:space="preserve"> </w:t>
      </w:r>
      <w:r w:rsidRPr="00E72F58">
        <w:rPr>
          <w:rFonts w:ascii="Arial" w:eastAsia="Arial" w:hAnsi="Arial" w:cs="Arial"/>
          <w:sz w:val="20"/>
          <w:szCs w:val="20"/>
          <w:lang w:val="es-ES"/>
        </w:rPr>
        <w:t>su</w:t>
      </w:r>
      <w:r w:rsidRPr="00E72F58">
        <w:rPr>
          <w:rFonts w:ascii="Arial" w:eastAsia="Arial" w:hAnsi="Arial" w:cs="Arial"/>
          <w:spacing w:val="-1"/>
          <w:sz w:val="20"/>
          <w:szCs w:val="20"/>
          <w:lang w:val="es-ES"/>
        </w:rPr>
        <w:t xml:space="preserve"> </w:t>
      </w:r>
      <w:r w:rsidRPr="00E72F58">
        <w:rPr>
          <w:rFonts w:ascii="Arial" w:eastAsia="Arial" w:hAnsi="Arial" w:cs="Arial"/>
          <w:sz w:val="20"/>
          <w:szCs w:val="20"/>
          <w:lang w:val="es-ES"/>
        </w:rPr>
        <w:t>alcance.</w:t>
      </w:r>
    </w:p>
    <w:p w14:paraId="246450E2" w14:textId="77777777" w:rsidR="00F20888" w:rsidRPr="00D7149D" w:rsidRDefault="00F20888" w:rsidP="00F20888">
      <w:pPr>
        <w:spacing w:after="0" w:line="276" w:lineRule="auto"/>
        <w:jc w:val="both"/>
        <w:rPr>
          <w:rFonts w:ascii="Arial" w:eastAsia="Calibri" w:hAnsi="Arial" w:cs="Arial"/>
          <w:color w:val="000000"/>
          <w:sz w:val="20"/>
          <w:szCs w:val="20"/>
          <w:lang w:val="es-ES_tradnl"/>
        </w:rPr>
      </w:pPr>
    </w:p>
    <w:p w14:paraId="377FC28C" w14:textId="77777777" w:rsidR="00F20888" w:rsidRPr="00D7149D" w:rsidRDefault="00F20888" w:rsidP="00F20888">
      <w:pPr>
        <w:spacing w:after="0" w:line="276" w:lineRule="auto"/>
        <w:jc w:val="both"/>
        <w:rPr>
          <w:rFonts w:ascii="Arial" w:eastAsia="Calibri" w:hAnsi="Arial" w:cs="Arial"/>
          <w:color w:val="000000"/>
          <w:sz w:val="20"/>
          <w:szCs w:val="20"/>
          <w:lang w:val="es-ES_tradnl"/>
        </w:rPr>
      </w:pPr>
    </w:p>
    <w:p w14:paraId="5CE41782" w14:textId="4E978772" w:rsidR="00F20888" w:rsidRDefault="002B5C3A" w:rsidP="002B5C3A">
      <w:pPr>
        <w:spacing w:after="0" w:line="240" w:lineRule="auto"/>
        <w:jc w:val="right"/>
        <w:rPr>
          <w:rFonts w:ascii="Arial" w:eastAsia="Calibri" w:hAnsi="Arial" w:cs="Arial"/>
          <w:lang w:val="es-MX"/>
        </w:rPr>
      </w:pPr>
      <w:r>
        <w:rPr>
          <w:noProof/>
        </w:rPr>
        <w:drawing>
          <wp:inline distT="0" distB="0" distL="0" distR="0" wp14:anchorId="2633FA68" wp14:editId="49C2BC0A">
            <wp:extent cx="3240405" cy="942975"/>
            <wp:effectExtent l="0" t="0" r="0" b="952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11"/>
                    <a:srcRect l="54481" t="40460" r="13442" b="44606"/>
                    <a:stretch/>
                  </pic:blipFill>
                  <pic:spPr bwMode="auto">
                    <a:xfrm>
                      <a:off x="0" y="0"/>
                      <a:ext cx="3242925" cy="943708"/>
                    </a:xfrm>
                    <a:prstGeom prst="rect">
                      <a:avLst/>
                    </a:prstGeom>
                    <a:ln>
                      <a:noFill/>
                    </a:ln>
                    <a:extLst>
                      <a:ext uri="{53640926-AAD7-44D8-BBD7-CCE9431645EC}">
                        <a14:shadowObscured xmlns:a14="http://schemas.microsoft.com/office/drawing/2010/main"/>
                      </a:ext>
                    </a:extLst>
                  </pic:spPr>
                </pic:pic>
              </a:graphicData>
            </a:graphic>
          </wp:inline>
        </w:drawing>
      </w:r>
    </w:p>
    <w:p w14:paraId="245ED337" w14:textId="4EB4AEC3" w:rsidR="002F4550" w:rsidRDefault="002F4550" w:rsidP="00F20888">
      <w:pPr>
        <w:spacing w:after="0" w:line="240" w:lineRule="auto"/>
        <w:rPr>
          <w:rFonts w:ascii="Arial" w:eastAsia="Calibri" w:hAnsi="Arial" w:cs="Arial"/>
          <w:lang w:val="es-MX"/>
        </w:rPr>
      </w:pPr>
    </w:p>
    <w:p w14:paraId="04A15499" w14:textId="4F1755E1" w:rsidR="002B5C3A" w:rsidRPr="007D7374" w:rsidRDefault="007D7374" w:rsidP="00F20888">
      <w:pPr>
        <w:spacing w:after="0" w:line="240" w:lineRule="auto"/>
        <w:rPr>
          <w:rFonts w:ascii="Arial" w:hAnsi="Arial" w:cs="Arial"/>
        </w:rPr>
      </w:pPr>
      <w:r w:rsidRPr="007D7374">
        <w:rPr>
          <w:rFonts w:ascii="Arial" w:hAnsi="Arial" w:cs="Arial"/>
        </w:rPr>
        <w:t xml:space="preserve">Bogotá, 22 </w:t>
      </w:r>
      <w:proofErr w:type="gramStart"/>
      <w:r w:rsidRPr="007D7374">
        <w:rPr>
          <w:rFonts w:ascii="Arial" w:hAnsi="Arial" w:cs="Arial"/>
        </w:rPr>
        <w:t>Junio</w:t>
      </w:r>
      <w:proofErr w:type="gramEnd"/>
      <w:r w:rsidRPr="007D7374">
        <w:rPr>
          <w:rFonts w:ascii="Arial" w:hAnsi="Arial" w:cs="Arial"/>
        </w:rPr>
        <w:t xml:space="preserve"> 2022</w:t>
      </w:r>
    </w:p>
    <w:p w14:paraId="4D4681B6" w14:textId="77777777" w:rsidR="007D7374" w:rsidRPr="00D7149D" w:rsidRDefault="007D7374" w:rsidP="00F20888">
      <w:pPr>
        <w:spacing w:after="0" w:line="240" w:lineRule="auto"/>
        <w:rPr>
          <w:rFonts w:ascii="Arial" w:eastAsia="Calibri" w:hAnsi="Arial" w:cs="Arial"/>
          <w:lang w:val="es-MX"/>
        </w:rPr>
      </w:pPr>
    </w:p>
    <w:p w14:paraId="3566C126" w14:textId="77777777" w:rsidR="00F20888" w:rsidRPr="00D7149D" w:rsidRDefault="00F20888" w:rsidP="00F20888">
      <w:pPr>
        <w:spacing w:after="0" w:line="276" w:lineRule="auto"/>
        <w:rPr>
          <w:rFonts w:ascii="Arial" w:eastAsia="Calibri" w:hAnsi="Arial" w:cs="Arial"/>
          <w:bCs/>
          <w:lang w:val="es-ES"/>
        </w:rPr>
      </w:pPr>
      <w:r w:rsidRPr="00D7149D">
        <w:rPr>
          <w:rFonts w:ascii="Arial" w:eastAsia="Calibri" w:hAnsi="Arial" w:cs="Arial"/>
          <w:lang w:val="es-MX"/>
        </w:rPr>
        <w:t>Señor</w:t>
      </w:r>
    </w:p>
    <w:p w14:paraId="13E0B3B6" w14:textId="367DF0E3" w:rsidR="00F20888" w:rsidRDefault="00F20888" w:rsidP="00F20888">
      <w:pPr>
        <w:spacing w:after="0" w:line="276" w:lineRule="auto"/>
        <w:rPr>
          <w:rFonts w:ascii="Arial" w:hAnsi="Arial" w:cs="Arial"/>
          <w:b/>
          <w:bCs/>
        </w:rPr>
      </w:pPr>
      <w:r>
        <w:rPr>
          <w:rFonts w:ascii="Arial" w:hAnsi="Arial" w:cs="Arial"/>
          <w:b/>
          <w:bCs/>
        </w:rPr>
        <w:t>C</w:t>
      </w:r>
      <w:r w:rsidR="00944031">
        <w:rPr>
          <w:rFonts w:ascii="Arial" w:hAnsi="Arial" w:cs="Arial"/>
          <w:b/>
          <w:bCs/>
        </w:rPr>
        <w:t>é</w:t>
      </w:r>
      <w:r>
        <w:rPr>
          <w:rFonts w:ascii="Arial" w:hAnsi="Arial" w:cs="Arial"/>
          <w:b/>
          <w:bCs/>
        </w:rPr>
        <w:t xml:space="preserve">sar Méndez </w:t>
      </w:r>
    </w:p>
    <w:p w14:paraId="4969C2E9" w14:textId="7EE863E5" w:rsidR="00F20888" w:rsidRPr="00F20888" w:rsidRDefault="00F20888" w:rsidP="00F20888">
      <w:pPr>
        <w:spacing w:after="0" w:line="276" w:lineRule="auto"/>
        <w:rPr>
          <w:rFonts w:ascii="Arial" w:eastAsia="Calibri" w:hAnsi="Arial" w:cs="Arial"/>
          <w:highlight w:val="magenta"/>
          <w:lang w:val="es-MX"/>
        </w:rPr>
      </w:pPr>
      <w:r w:rsidRPr="00F20888">
        <w:rPr>
          <w:rFonts w:ascii="Arial" w:hAnsi="Arial" w:cs="Arial"/>
        </w:rPr>
        <w:t xml:space="preserve">Ciudad </w:t>
      </w:r>
    </w:p>
    <w:p w14:paraId="1878DDF8" w14:textId="77777777" w:rsidR="002F4550" w:rsidRDefault="002F4550" w:rsidP="00F20888">
      <w:pPr>
        <w:spacing w:after="0" w:line="240" w:lineRule="auto"/>
        <w:ind w:left="2124" w:firstLine="570"/>
        <w:rPr>
          <w:rFonts w:ascii="Arial" w:eastAsia="Calibri" w:hAnsi="Arial" w:cs="Arial"/>
          <w:b/>
          <w:lang w:val="es-MX"/>
        </w:rPr>
      </w:pPr>
    </w:p>
    <w:p w14:paraId="4284B773" w14:textId="77777777" w:rsidR="002F4550" w:rsidRDefault="002F4550" w:rsidP="00F20888">
      <w:pPr>
        <w:spacing w:after="0" w:line="240" w:lineRule="auto"/>
        <w:ind w:left="2124" w:firstLine="570"/>
        <w:rPr>
          <w:rFonts w:ascii="Arial" w:eastAsia="Calibri" w:hAnsi="Arial" w:cs="Arial"/>
          <w:b/>
          <w:lang w:val="es-MX"/>
        </w:rPr>
      </w:pPr>
    </w:p>
    <w:p w14:paraId="2E5B077D" w14:textId="76F8D15C" w:rsidR="00F20888" w:rsidRPr="00D7149D" w:rsidRDefault="00F20888" w:rsidP="00F20888">
      <w:pPr>
        <w:spacing w:after="0" w:line="240" w:lineRule="auto"/>
        <w:ind w:left="2124" w:firstLine="570"/>
        <w:rPr>
          <w:rFonts w:ascii="Arial" w:eastAsia="Calibri" w:hAnsi="Arial" w:cs="Arial"/>
          <w:b/>
          <w:lang w:val="es-MX"/>
        </w:rPr>
      </w:pPr>
      <w:r w:rsidRPr="00D7149D">
        <w:rPr>
          <w:rFonts w:ascii="Arial" w:eastAsia="Calibri" w:hAnsi="Arial" w:cs="Arial"/>
          <w:b/>
          <w:lang w:val="es-MX"/>
        </w:rPr>
        <w:t xml:space="preserve">Concepto C – </w:t>
      </w:r>
      <w:r>
        <w:rPr>
          <w:rFonts w:ascii="Arial" w:eastAsia="Calibri" w:hAnsi="Arial" w:cs="Arial"/>
          <w:b/>
          <w:lang w:val="es-MX"/>
        </w:rPr>
        <w:t>403</w:t>
      </w:r>
      <w:r w:rsidRPr="00D7149D">
        <w:rPr>
          <w:rFonts w:ascii="Arial" w:eastAsia="Calibri" w:hAnsi="Arial" w:cs="Arial"/>
          <w:b/>
          <w:lang w:val="es-MX"/>
        </w:rPr>
        <w:t xml:space="preserve"> de 2022</w:t>
      </w:r>
    </w:p>
    <w:p w14:paraId="753B0CFD" w14:textId="77777777" w:rsidR="00F20888" w:rsidRPr="00D7149D" w:rsidRDefault="00F20888" w:rsidP="00F20888">
      <w:pPr>
        <w:spacing w:after="0" w:line="240" w:lineRule="auto"/>
        <w:rPr>
          <w:rFonts w:ascii="Arial" w:eastAsia="Calibri" w:hAnsi="Arial" w:cs="Arial"/>
          <w:highlight w:val="magenta"/>
          <w:lang w:val="es-MX"/>
        </w:rPr>
      </w:pPr>
    </w:p>
    <w:tbl>
      <w:tblPr>
        <w:tblStyle w:val="Tablaconcuadrcula2"/>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F20888" w:rsidRPr="00D7149D" w14:paraId="0B0813B3" w14:textId="77777777" w:rsidTr="00A20B04">
        <w:trPr>
          <w:trHeight w:val="866"/>
        </w:trPr>
        <w:tc>
          <w:tcPr>
            <w:tcW w:w="2689" w:type="dxa"/>
            <w:hideMark/>
          </w:tcPr>
          <w:p w14:paraId="756E4A28" w14:textId="77777777" w:rsidR="00F20888" w:rsidRPr="00D7149D" w:rsidRDefault="00F20888" w:rsidP="00A20B04">
            <w:pPr>
              <w:rPr>
                <w:rFonts w:ascii="Arial" w:eastAsia="Calibri" w:hAnsi="Arial" w:cs="Arial"/>
                <w:lang w:val="es-MX"/>
              </w:rPr>
            </w:pPr>
            <w:r w:rsidRPr="00D7149D">
              <w:rPr>
                <w:rFonts w:ascii="Arial" w:eastAsia="Calibri" w:hAnsi="Arial" w:cs="Arial"/>
                <w:b/>
                <w:lang w:val="es-MX"/>
              </w:rPr>
              <w:t>Temas:</w:t>
            </w:r>
            <w:r w:rsidRPr="00D7149D">
              <w:rPr>
                <w:rFonts w:ascii="Arial" w:eastAsia="Calibri" w:hAnsi="Arial" w:cs="Arial"/>
                <w:lang w:val="es-MX"/>
              </w:rPr>
              <w:t xml:space="preserve">  </w:t>
            </w:r>
          </w:p>
          <w:p w14:paraId="231FD14D" w14:textId="77777777" w:rsidR="00F20888" w:rsidRPr="00D7149D" w:rsidRDefault="00F20888" w:rsidP="00A20B04">
            <w:pPr>
              <w:rPr>
                <w:rFonts w:ascii="Arial" w:eastAsia="Calibri" w:hAnsi="Arial" w:cs="Arial"/>
                <w:highlight w:val="magenta"/>
                <w:lang w:val="es-MX"/>
              </w:rPr>
            </w:pPr>
            <w:r w:rsidRPr="00D7149D">
              <w:rPr>
                <w:rFonts w:ascii="Arial" w:eastAsia="Calibri" w:hAnsi="Arial" w:cs="Arial"/>
                <w:highlight w:val="magenta"/>
                <w:lang w:val="es-MX"/>
              </w:rPr>
              <w:t xml:space="preserve"> </w:t>
            </w:r>
          </w:p>
        </w:tc>
        <w:tc>
          <w:tcPr>
            <w:tcW w:w="6237" w:type="dxa"/>
            <w:hideMark/>
          </w:tcPr>
          <w:p w14:paraId="404F16CF" w14:textId="77777777" w:rsidR="006F64D5" w:rsidRPr="006F64D5" w:rsidRDefault="00F20888" w:rsidP="006F64D5">
            <w:pPr>
              <w:spacing w:line="276" w:lineRule="auto"/>
              <w:jc w:val="both"/>
              <w:rPr>
                <w:rFonts w:ascii="Arial" w:eastAsia="Calibri" w:hAnsi="Arial" w:cs="Arial"/>
                <w:bCs/>
                <w:lang w:val="es-ES" w:eastAsia="es-ES" w:bidi="es-ES"/>
              </w:rPr>
            </w:pPr>
            <w:r w:rsidRPr="006F64D5">
              <w:rPr>
                <w:rFonts w:ascii="Arial" w:eastAsia="Calibri" w:hAnsi="Arial" w:cs="Arial"/>
                <w:bCs/>
                <w:lang w:val="es-ES_tradnl" w:eastAsia="es-ES_tradnl"/>
              </w:rPr>
              <w:t xml:space="preserve">DOCUMENTOS TIPO </w:t>
            </w:r>
            <w:r w:rsidRPr="006F64D5">
              <w:rPr>
                <w:rFonts w:ascii="Arial" w:eastAsia="Calibri" w:hAnsi="Arial" w:cs="Arial"/>
                <w:bCs/>
                <w:color w:val="000000"/>
                <w:lang w:val="es-ES_tradnl" w:eastAsia="es-ES_tradnl"/>
              </w:rPr>
              <w:t>–</w:t>
            </w:r>
            <w:r w:rsidRPr="006F64D5">
              <w:rPr>
                <w:rFonts w:ascii="Arial" w:eastAsia="Calibri" w:hAnsi="Arial" w:cs="Arial"/>
                <w:bCs/>
                <w:lang w:val="es-ES_tradnl" w:eastAsia="es-ES_tradnl"/>
              </w:rPr>
              <w:t xml:space="preserve"> Fundamento normativo </w:t>
            </w:r>
            <w:r w:rsidRPr="006F64D5">
              <w:rPr>
                <w:rFonts w:ascii="Arial" w:eastAsia="Calibri" w:hAnsi="Arial" w:cs="Arial"/>
                <w:bCs/>
                <w:color w:val="000000"/>
                <w:lang w:val="es-ES_tradnl" w:eastAsia="es-ES_tradnl"/>
              </w:rPr>
              <w:t xml:space="preserve">– </w:t>
            </w:r>
            <w:r w:rsidRPr="006F64D5">
              <w:rPr>
                <w:rFonts w:ascii="Arial" w:eastAsia="Calibri" w:hAnsi="Arial" w:cs="Arial"/>
                <w:bCs/>
                <w:lang w:val="es-ES_tradnl" w:eastAsia="es-ES_tradnl"/>
              </w:rPr>
              <w:t xml:space="preserve">Ley 2022 de 2020 / </w:t>
            </w:r>
            <w:r w:rsidRPr="006F64D5">
              <w:rPr>
                <w:rFonts w:ascii="Arial" w:eastAsia="Calibri" w:hAnsi="Arial" w:cs="Arial"/>
                <w:bCs/>
                <w:lang w:val="es-ES_tradnl" w:eastAsia="es-ES"/>
              </w:rPr>
              <w:t xml:space="preserve">DOCUMENTOS TIPO </w:t>
            </w:r>
            <w:r w:rsidRPr="006F64D5">
              <w:rPr>
                <w:rFonts w:ascii="Arial" w:eastAsia="Calibri" w:hAnsi="Arial" w:cs="Arial"/>
                <w:bCs/>
                <w:lang w:val="x-none" w:eastAsia="es-ES"/>
              </w:rPr>
              <w:t>–</w:t>
            </w:r>
            <w:r w:rsidRPr="006F64D5">
              <w:rPr>
                <w:rFonts w:ascii="Arial" w:eastAsia="Calibri" w:hAnsi="Arial" w:cs="Arial"/>
                <w:bCs/>
                <w:lang w:val="es-ES_tradnl" w:eastAsia="es-ES"/>
              </w:rPr>
              <w:t xml:space="preserve"> Inalterabilidad / </w:t>
            </w:r>
            <w:r w:rsidR="006F64D5" w:rsidRPr="006F64D5">
              <w:rPr>
                <w:rFonts w:ascii="Arial" w:eastAsia="Calibri" w:hAnsi="Arial" w:cs="Arial"/>
                <w:bCs/>
                <w:color w:val="000000" w:themeColor="text1"/>
              </w:rPr>
              <w:t xml:space="preserve">PRECIOS ARTIFICIALMENTE BAJOS – Documentos tipo – Requerimiento al proponente / </w:t>
            </w:r>
            <w:r w:rsidR="006F64D5" w:rsidRPr="006F64D5">
              <w:rPr>
                <w:rFonts w:ascii="Arial" w:eastAsia="Arial" w:hAnsi="Arial" w:cs="Arial"/>
                <w:bCs/>
                <w:color w:val="000000"/>
                <w:lang w:val="es-ES_tradnl" w:eastAsia="es-ES_tradnl"/>
              </w:rPr>
              <w:t xml:space="preserve">SOBRE 1 − Requisitos habilitantes – Requisitos </w:t>
            </w:r>
            <w:r w:rsidR="006F64D5" w:rsidRPr="006F64D5">
              <w:rPr>
                <w:rFonts w:ascii="Arial" w:eastAsia="Calibri" w:hAnsi="Arial" w:cs="Arial"/>
                <w:bCs/>
                <w:color w:val="000000"/>
                <w:lang w:val="es-MX"/>
              </w:rPr>
              <w:t xml:space="preserve">puntuables − Diferentes a la oferta económica / </w:t>
            </w:r>
            <w:r w:rsidR="006F64D5" w:rsidRPr="006F64D5">
              <w:rPr>
                <w:rFonts w:ascii="Arial" w:eastAsia="Calibri" w:hAnsi="Arial" w:cs="Arial"/>
                <w:bCs/>
                <w:lang w:val="es-ES" w:eastAsia="es-ES" w:bidi="es-ES"/>
              </w:rPr>
              <w:t>CAUSALES DE RECHAZO – Taxatividad – Principio de inalterabilidad</w:t>
            </w:r>
          </w:p>
          <w:p w14:paraId="0E6476E1" w14:textId="77777777" w:rsidR="00F20888" w:rsidRPr="006F64D5" w:rsidRDefault="00F20888" w:rsidP="00A20B04">
            <w:pPr>
              <w:jc w:val="both"/>
              <w:rPr>
                <w:rFonts w:ascii="Arial" w:hAnsi="Arial" w:cs="Arial"/>
                <w:bCs/>
              </w:rPr>
            </w:pPr>
          </w:p>
          <w:p w14:paraId="3F315F65" w14:textId="77777777" w:rsidR="00F20888" w:rsidRPr="006F64D5" w:rsidRDefault="00F20888" w:rsidP="00A20B04">
            <w:pPr>
              <w:jc w:val="both"/>
              <w:rPr>
                <w:rFonts w:ascii="Arial" w:eastAsia="Calibri" w:hAnsi="Arial" w:cs="Arial"/>
                <w:bCs/>
                <w:lang w:val="es-ES_tradnl" w:eastAsia="es-ES"/>
              </w:rPr>
            </w:pPr>
          </w:p>
        </w:tc>
        <w:tc>
          <w:tcPr>
            <w:tcW w:w="6237" w:type="dxa"/>
          </w:tcPr>
          <w:p w14:paraId="64256E5F" w14:textId="77777777" w:rsidR="00F20888" w:rsidRPr="00D7149D" w:rsidRDefault="00F20888" w:rsidP="00A20B04">
            <w:pPr>
              <w:spacing w:after="120" w:line="276" w:lineRule="auto"/>
              <w:jc w:val="both"/>
              <w:rPr>
                <w:rFonts w:ascii="Arial" w:eastAsia="Calibri" w:hAnsi="Arial" w:cs="Arial"/>
                <w:lang w:val="es-MX" w:eastAsia="es-ES"/>
              </w:rPr>
            </w:pPr>
          </w:p>
        </w:tc>
      </w:tr>
      <w:tr w:rsidR="00F20888" w:rsidRPr="00D7149D" w14:paraId="10B10C57" w14:textId="77777777" w:rsidTr="00A20B04">
        <w:tc>
          <w:tcPr>
            <w:tcW w:w="2689" w:type="dxa"/>
          </w:tcPr>
          <w:p w14:paraId="4FE85DB1" w14:textId="77777777" w:rsidR="00F20888" w:rsidRPr="00D7149D" w:rsidRDefault="00F20888" w:rsidP="00A20B04">
            <w:pPr>
              <w:rPr>
                <w:rFonts w:ascii="Arial" w:eastAsia="Calibri" w:hAnsi="Arial" w:cs="Arial"/>
                <w:b/>
                <w:lang w:val="es-MX"/>
              </w:rPr>
            </w:pPr>
            <w:r w:rsidRPr="00D7149D">
              <w:rPr>
                <w:rFonts w:ascii="Arial" w:eastAsia="Calibri" w:hAnsi="Arial" w:cs="Arial"/>
                <w:b/>
                <w:lang w:val="es-MX"/>
              </w:rPr>
              <w:t>Radicación:</w:t>
            </w:r>
            <w:r w:rsidRPr="00D7149D">
              <w:rPr>
                <w:rFonts w:ascii="Arial" w:eastAsia="Calibri" w:hAnsi="Arial" w:cs="Arial"/>
                <w:lang w:val="es-MX"/>
              </w:rPr>
              <w:t xml:space="preserve"> </w:t>
            </w:r>
          </w:p>
        </w:tc>
        <w:tc>
          <w:tcPr>
            <w:tcW w:w="6237" w:type="dxa"/>
          </w:tcPr>
          <w:p w14:paraId="205F3AD3" w14:textId="462F7511" w:rsidR="00F20888" w:rsidRPr="00D7149D" w:rsidRDefault="00F20888" w:rsidP="00A20B04">
            <w:pPr>
              <w:jc w:val="both"/>
              <w:rPr>
                <w:rFonts w:ascii="Arial" w:eastAsia="Calibri" w:hAnsi="Arial" w:cs="Arial"/>
                <w:lang w:val="es-MX"/>
              </w:rPr>
            </w:pPr>
            <w:r w:rsidRPr="00D7149D">
              <w:rPr>
                <w:rFonts w:ascii="Arial" w:eastAsia="Calibri" w:hAnsi="Arial" w:cs="Arial"/>
                <w:lang w:val="es-MX"/>
              </w:rPr>
              <w:t xml:space="preserve">Respuesta a la consulta </w:t>
            </w:r>
            <w:r w:rsidRPr="00F20888">
              <w:rPr>
                <w:rFonts w:ascii="Arial" w:eastAsia="Calibri" w:hAnsi="Arial" w:cs="Arial"/>
                <w:lang w:val="es-MX"/>
              </w:rPr>
              <w:t>P20220509004517</w:t>
            </w:r>
          </w:p>
        </w:tc>
        <w:tc>
          <w:tcPr>
            <w:tcW w:w="6237" w:type="dxa"/>
          </w:tcPr>
          <w:p w14:paraId="00607D3C" w14:textId="77777777" w:rsidR="00F20888" w:rsidRPr="00D7149D" w:rsidRDefault="00F20888" w:rsidP="00A20B04">
            <w:pPr>
              <w:jc w:val="both"/>
              <w:rPr>
                <w:rFonts w:ascii="Arial" w:eastAsia="Calibri" w:hAnsi="Arial" w:cs="Arial"/>
                <w:lang w:val="es-MX"/>
              </w:rPr>
            </w:pPr>
          </w:p>
        </w:tc>
      </w:tr>
    </w:tbl>
    <w:p w14:paraId="73331928" w14:textId="77777777" w:rsidR="00F20888" w:rsidRPr="00D7149D" w:rsidRDefault="00F20888" w:rsidP="00F20888">
      <w:pPr>
        <w:spacing w:after="0" w:line="276" w:lineRule="auto"/>
        <w:rPr>
          <w:rFonts w:ascii="Arial" w:eastAsia="Calibri" w:hAnsi="Arial" w:cs="Arial"/>
          <w:lang w:val="es-MX"/>
        </w:rPr>
      </w:pPr>
    </w:p>
    <w:p w14:paraId="0A58FA8B" w14:textId="77777777" w:rsidR="00F20888" w:rsidRPr="00D7149D" w:rsidRDefault="00F20888" w:rsidP="00F20888">
      <w:pPr>
        <w:spacing w:after="0" w:line="276" w:lineRule="auto"/>
        <w:rPr>
          <w:rFonts w:ascii="Arial" w:eastAsia="Calibri" w:hAnsi="Arial" w:cs="Arial"/>
          <w:lang w:val="es-MX"/>
        </w:rPr>
      </w:pPr>
    </w:p>
    <w:p w14:paraId="1290587A" w14:textId="46F18455" w:rsidR="00F20888" w:rsidRPr="00D7149D" w:rsidRDefault="00F20888" w:rsidP="00F20888">
      <w:pPr>
        <w:spacing w:after="0" w:line="276" w:lineRule="auto"/>
        <w:rPr>
          <w:rFonts w:ascii="Arial" w:eastAsia="Calibri" w:hAnsi="Arial" w:cs="Arial"/>
          <w:lang w:val="es-MX"/>
        </w:rPr>
      </w:pPr>
      <w:r w:rsidRPr="00D7149D">
        <w:rPr>
          <w:rFonts w:ascii="Arial" w:eastAsia="Calibri" w:hAnsi="Arial" w:cs="Arial"/>
          <w:lang w:val="es-MX"/>
        </w:rPr>
        <w:t>Estimad</w:t>
      </w:r>
      <w:r>
        <w:rPr>
          <w:rFonts w:ascii="Arial" w:eastAsia="Calibri" w:hAnsi="Arial" w:cs="Arial"/>
          <w:lang w:val="es-MX"/>
        </w:rPr>
        <w:t>o</w:t>
      </w:r>
      <w:r w:rsidRPr="00D7149D">
        <w:rPr>
          <w:rFonts w:ascii="Arial" w:eastAsia="Calibri" w:hAnsi="Arial" w:cs="Arial"/>
          <w:lang w:val="es-MX"/>
        </w:rPr>
        <w:t xml:space="preserve"> señor</w:t>
      </w:r>
      <w:r>
        <w:rPr>
          <w:rFonts w:ascii="Arial" w:hAnsi="Arial" w:cs="Arial"/>
        </w:rPr>
        <w:t xml:space="preserve"> Méndez</w:t>
      </w:r>
      <w:r w:rsidRPr="00D7149D">
        <w:rPr>
          <w:rFonts w:ascii="Arial" w:eastAsia="Calibri" w:hAnsi="Arial" w:cs="Arial"/>
          <w:lang w:val="es-ES"/>
        </w:rPr>
        <w:t>:</w:t>
      </w:r>
    </w:p>
    <w:p w14:paraId="469EF9B7" w14:textId="77777777" w:rsidR="00F20888" w:rsidRPr="00D7149D" w:rsidRDefault="00F20888" w:rsidP="00F20888">
      <w:pPr>
        <w:spacing w:after="0" w:line="276" w:lineRule="auto"/>
        <w:rPr>
          <w:rFonts w:ascii="Arial" w:eastAsia="Calibri" w:hAnsi="Arial" w:cs="Arial"/>
          <w:lang w:val="es-MX"/>
        </w:rPr>
      </w:pPr>
    </w:p>
    <w:p w14:paraId="5BDEC090" w14:textId="3D484C77" w:rsidR="00F20888" w:rsidRPr="00D7149D" w:rsidRDefault="00F20888" w:rsidP="00F20888">
      <w:pPr>
        <w:spacing w:after="0" w:line="276" w:lineRule="auto"/>
        <w:jc w:val="both"/>
        <w:rPr>
          <w:rFonts w:ascii="Arial" w:eastAsia="Calibri" w:hAnsi="Arial" w:cs="Arial"/>
          <w:lang w:val="es-MX"/>
        </w:rPr>
      </w:pPr>
      <w:r w:rsidRPr="00D7149D">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la consulta del </w:t>
      </w:r>
      <w:r>
        <w:rPr>
          <w:rFonts w:ascii="Arial" w:eastAsia="Calibri" w:hAnsi="Arial" w:cs="Arial"/>
          <w:lang w:val="es-MX"/>
        </w:rPr>
        <w:t>9</w:t>
      </w:r>
      <w:r w:rsidRPr="00D7149D">
        <w:rPr>
          <w:rFonts w:ascii="Arial" w:eastAsia="Calibri" w:hAnsi="Arial" w:cs="Arial"/>
          <w:lang w:val="es-MX"/>
        </w:rPr>
        <w:t xml:space="preserve"> de </w:t>
      </w:r>
      <w:r>
        <w:rPr>
          <w:rFonts w:ascii="Arial" w:eastAsia="Calibri" w:hAnsi="Arial" w:cs="Arial"/>
          <w:lang w:val="es-MX"/>
        </w:rPr>
        <w:t>mayo</w:t>
      </w:r>
      <w:r w:rsidRPr="00D7149D">
        <w:rPr>
          <w:rFonts w:ascii="Arial" w:eastAsia="Calibri" w:hAnsi="Arial" w:cs="Arial"/>
          <w:lang w:val="es-MX"/>
        </w:rPr>
        <w:t xml:space="preserve"> de 2022.</w:t>
      </w:r>
    </w:p>
    <w:p w14:paraId="0B8E4169" w14:textId="77777777" w:rsidR="00F20888" w:rsidRPr="00D7149D" w:rsidRDefault="00F20888" w:rsidP="00F20888">
      <w:pPr>
        <w:spacing w:after="0" w:line="276" w:lineRule="auto"/>
        <w:jc w:val="both"/>
        <w:rPr>
          <w:rFonts w:ascii="Arial" w:eastAsia="Calibri" w:hAnsi="Arial" w:cs="Arial"/>
          <w:highlight w:val="magenta"/>
          <w:lang w:val="es-MX"/>
        </w:rPr>
      </w:pPr>
    </w:p>
    <w:p w14:paraId="6B701E9A" w14:textId="77777777" w:rsidR="00F20888" w:rsidRPr="00D7149D" w:rsidRDefault="00F20888" w:rsidP="00F20888">
      <w:pPr>
        <w:tabs>
          <w:tab w:val="left" w:pos="284"/>
        </w:tabs>
        <w:spacing w:after="0" w:line="276" w:lineRule="auto"/>
        <w:contextualSpacing/>
        <w:jc w:val="both"/>
        <w:rPr>
          <w:rFonts w:ascii="Arial" w:eastAsia="Calibri" w:hAnsi="Arial" w:cs="Arial"/>
          <w:b/>
          <w:lang w:val="es-MX"/>
        </w:rPr>
      </w:pPr>
      <w:r w:rsidRPr="00D7149D">
        <w:rPr>
          <w:rFonts w:ascii="Arial" w:eastAsia="Calibri" w:hAnsi="Arial" w:cs="Arial"/>
          <w:b/>
          <w:lang w:val="es-MX"/>
        </w:rPr>
        <w:t>1. Problema planteado</w:t>
      </w:r>
    </w:p>
    <w:p w14:paraId="4752E265" w14:textId="77777777" w:rsidR="00F20888" w:rsidRPr="00D7149D" w:rsidRDefault="00F20888" w:rsidP="00F20888">
      <w:pPr>
        <w:spacing w:after="0" w:line="276" w:lineRule="auto"/>
        <w:ind w:right="709"/>
        <w:rPr>
          <w:rFonts w:ascii="Arial" w:hAnsi="Arial" w:cs="Arial"/>
        </w:rPr>
      </w:pPr>
    </w:p>
    <w:p w14:paraId="51C41E9F" w14:textId="77777777" w:rsidR="00F20888" w:rsidRDefault="00F20888" w:rsidP="00F20888">
      <w:pPr>
        <w:tabs>
          <w:tab w:val="left" w:pos="426"/>
        </w:tabs>
        <w:spacing w:after="0" w:line="276" w:lineRule="auto"/>
        <w:contextualSpacing/>
        <w:jc w:val="both"/>
        <w:rPr>
          <w:rFonts w:ascii="Arial" w:hAnsi="Arial" w:cs="Arial"/>
        </w:rPr>
      </w:pPr>
      <w:r w:rsidRPr="00BA005B">
        <w:rPr>
          <w:rFonts w:ascii="Arial" w:hAnsi="Arial" w:cs="Arial"/>
        </w:rPr>
        <w:t>Usted realiza la</w:t>
      </w:r>
      <w:r>
        <w:rPr>
          <w:rFonts w:ascii="Arial" w:hAnsi="Arial" w:cs="Arial"/>
        </w:rPr>
        <w:t>s</w:t>
      </w:r>
      <w:r w:rsidRPr="00BA005B">
        <w:rPr>
          <w:rFonts w:ascii="Arial" w:hAnsi="Arial" w:cs="Arial"/>
        </w:rPr>
        <w:t xml:space="preserve"> siguiente</w:t>
      </w:r>
      <w:r>
        <w:rPr>
          <w:rFonts w:ascii="Arial" w:hAnsi="Arial" w:cs="Arial"/>
        </w:rPr>
        <w:t>s</w:t>
      </w:r>
      <w:r w:rsidRPr="00BA005B">
        <w:rPr>
          <w:rFonts w:ascii="Arial" w:hAnsi="Arial" w:cs="Arial"/>
        </w:rPr>
        <w:t xml:space="preserve"> pregunta</w:t>
      </w:r>
      <w:r>
        <w:rPr>
          <w:rFonts w:ascii="Arial" w:hAnsi="Arial" w:cs="Arial"/>
        </w:rPr>
        <w:t>s</w:t>
      </w:r>
      <w:r w:rsidRPr="00BA005B">
        <w:rPr>
          <w:rFonts w:ascii="Arial" w:hAnsi="Arial" w:cs="Arial"/>
        </w:rPr>
        <w:t xml:space="preserve">: </w:t>
      </w:r>
    </w:p>
    <w:p w14:paraId="6BD7A31C" w14:textId="77777777" w:rsidR="00F20888" w:rsidRPr="00F20888" w:rsidRDefault="00F20888" w:rsidP="00F20888">
      <w:pPr>
        <w:tabs>
          <w:tab w:val="left" w:pos="426"/>
        </w:tabs>
        <w:spacing w:after="0" w:line="276" w:lineRule="auto"/>
        <w:contextualSpacing/>
        <w:jc w:val="both"/>
        <w:rPr>
          <w:rFonts w:ascii="Arial" w:hAnsi="Arial" w:cs="Arial"/>
          <w:sz w:val="21"/>
          <w:szCs w:val="21"/>
        </w:rPr>
      </w:pPr>
    </w:p>
    <w:p w14:paraId="4D22D48C" w14:textId="7E2FD606" w:rsidR="00ED421B" w:rsidRPr="001D067A" w:rsidRDefault="00ED421B" w:rsidP="00076D36">
      <w:pPr>
        <w:numPr>
          <w:ilvl w:val="0"/>
          <w:numId w:val="1"/>
        </w:numPr>
        <w:spacing w:after="120" w:line="240" w:lineRule="auto"/>
        <w:ind w:left="709" w:right="709" w:firstLine="0"/>
        <w:jc w:val="both"/>
        <w:rPr>
          <w:rFonts w:ascii="Arial" w:hAnsi="Arial" w:cs="Arial"/>
          <w:sz w:val="21"/>
          <w:szCs w:val="21"/>
        </w:rPr>
      </w:pPr>
      <w:r w:rsidRPr="001D067A">
        <w:rPr>
          <w:rFonts w:ascii="Arial" w:hAnsi="Arial" w:cs="Arial"/>
          <w:sz w:val="21"/>
          <w:szCs w:val="21"/>
        </w:rPr>
        <w:t xml:space="preserve">Es obligatorio que un proponente deba anexar en el sobre 1 en señal de aceptación (firmados) los documentos del proceso, como el anexo técnico, pliegos, cronograma, estudio del sector </w:t>
      </w:r>
      <w:proofErr w:type="spellStart"/>
      <w:r w:rsidRPr="001D067A">
        <w:rPr>
          <w:rFonts w:ascii="Arial" w:hAnsi="Arial" w:cs="Arial"/>
          <w:sz w:val="21"/>
          <w:szCs w:val="21"/>
        </w:rPr>
        <w:t>etc</w:t>
      </w:r>
      <w:proofErr w:type="spellEnd"/>
      <w:r w:rsidRPr="001D067A">
        <w:rPr>
          <w:rFonts w:ascii="Arial" w:hAnsi="Arial" w:cs="Arial"/>
          <w:sz w:val="21"/>
          <w:szCs w:val="21"/>
        </w:rPr>
        <w:t>, aun cuando en los pliegos tipo no lo solicitan.</w:t>
      </w:r>
    </w:p>
    <w:p w14:paraId="4C40D135" w14:textId="1FC83B87" w:rsidR="00ED421B" w:rsidRPr="001D067A" w:rsidRDefault="00ED421B" w:rsidP="00076D36">
      <w:pPr>
        <w:numPr>
          <w:ilvl w:val="0"/>
          <w:numId w:val="1"/>
        </w:numPr>
        <w:spacing w:after="120" w:line="240" w:lineRule="auto"/>
        <w:ind w:left="709" w:right="709" w:firstLine="0"/>
        <w:jc w:val="both"/>
        <w:rPr>
          <w:rFonts w:ascii="Arial" w:hAnsi="Arial" w:cs="Arial"/>
          <w:sz w:val="21"/>
          <w:szCs w:val="21"/>
        </w:rPr>
      </w:pPr>
      <w:r w:rsidRPr="001D067A">
        <w:rPr>
          <w:rFonts w:ascii="Arial" w:hAnsi="Arial" w:cs="Arial"/>
          <w:sz w:val="21"/>
          <w:szCs w:val="21"/>
        </w:rPr>
        <w:lastRenderedPageBreak/>
        <w:t xml:space="preserve">Es procedente que una Entidad cualquiera llámese Alcaldía, Gobernación etc. Rechace a un proponente por no anexar todos o algunos de los documentos del proceso (anexo técnico, pliegos, cronograma, estudio del sector </w:t>
      </w:r>
      <w:proofErr w:type="spellStart"/>
      <w:r w:rsidRPr="001D067A">
        <w:rPr>
          <w:rFonts w:ascii="Arial" w:hAnsi="Arial" w:cs="Arial"/>
          <w:sz w:val="21"/>
          <w:szCs w:val="21"/>
        </w:rPr>
        <w:t>etc</w:t>
      </w:r>
      <w:proofErr w:type="spellEnd"/>
      <w:r w:rsidRPr="001D067A">
        <w:rPr>
          <w:rFonts w:ascii="Arial" w:hAnsi="Arial" w:cs="Arial"/>
          <w:sz w:val="21"/>
          <w:szCs w:val="21"/>
        </w:rPr>
        <w:t>)</w:t>
      </w:r>
    </w:p>
    <w:p w14:paraId="6DA6A9A1" w14:textId="12571902" w:rsidR="00ED421B" w:rsidRPr="001D067A" w:rsidRDefault="00ED421B" w:rsidP="00076D36">
      <w:pPr>
        <w:numPr>
          <w:ilvl w:val="0"/>
          <w:numId w:val="1"/>
        </w:numPr>
        <w:spacing w:after="120" w:line="240" w:lineRule="auto"/>
        <w:ind w:left="709" w:right="709" w:firstLine="0"/>
        <w:jc w:val="both"/>
        <w:rPr>
          <w:rFonts w:ascii="Arial" w:hAnsi="Arial" w:cs="Arial"/>
          <w:sz w:val="21"/>
          <w:szCs w:val="21"/>
        </w:rPr>
      </w:pPr>
      <w:r w:rsidRPr="001D067A">
        <w:rPr>
          <w:rFonts w:ascii="Arial" w:hAnsi="Arial" w:cs="Arial"/>
          <w:sz w:val="21"/>
          <w:szCs w:val="21"/>
        </w:rPr>
        <w:t xml:space="preserve">Solicitamos a Colombia Compra se nos indique que políticas, planes, normas etc. está adelantando o próximo a adelantar con el ánimo de evitar el mal manejo que las Entidades hacen del uso indebido de las propuestas artificialmente, en el entendido que se presta para que </w:t>
      </w:r>
      <w:proofErr w:type="spellStart"/>
      <w:r w:rsidRPr="001D067A">
        <w:rPr>
          <w:rFonts w:ascii="Arial" w:hAnsi="Arial" w:cs="Arial"/>
          <w:sz w:val="21"/>
          <w:szCs w:val="21"/>
        </w:rPr>
        <w:t>halla</w:t>
      </w:r>
      <w:proofErr w:type="spellEnd"/>
      <w:r w:rsidRPr="001D067A">
        <w:rPr>
          <w:rFonts w:ascii="Arial" w:hAnsi="Arial" w:cs="Arial"/>
          <w:sz w:val="21"/>
          <w:szCs w:val="21"/>
        </w:rPr>
        <w:t xml:space="preserve"> (sic) contubernios entre los proponentes para ajustar la fórmula de evaluación, esto es, a unos sacan o a otros meten.</w:t>
      </w:r>
    </w:p>
    <w:p w14:paraId="2DC67B5A" w14:textId="73941445" w:rsidR="00ED421B" w:rsidRPr="001D067A" w:rsidRDefault="00ED421B" w:rsidP="00076D36">
      <w:pPr>
        <w:numPr>
          <w:ilvl w:val="0"/>
          <w:numId w:val="1"/>
        </w:numPr>
        <w:spacing w:after="120" w:line="240" w:lineRule="auto"/>
        <w:ind w:left="709" w:right="709" w:firstLine="0"/>
        <w:jc w:val="both"/>
        <w:rPr>
          <w:rFonts w:ascii="Arial" w:hAnsi="Arial" w:cs="Arial"/>
          <w:sz w:val="21"/>
          <w:szCs w:val="21"/>
        </w:rPr>
      </w:pPr>
      <w:r w:rsidRPr="001D067A">
        <w:rPr>
          <w:rFonts w:ascii="Arial" w:hAnsi="Arial" w:cs="Arial"/>
          <w:sz w:val="21"/>
          <w:szCs w:val="21"/>
        </w:rPr>
        <w:t>Sobre las propuestas artificialmente bajas, esta metodología es solo aplicable cuando la formula (sic) de la TRM cae para las medias bajas, Menor Valor y Media Aritmética Baja, o para todas sin distinción.</w:t>
      </w:r>
    </w:p>
    <w:p w14:paraId="3276FAE5" w14:textId="4E03CDE3" w:rsidR="00ED421B" w:rsidRPr="001D067A" w:rsidRDefault="00ED421B" w:rsidP="00076D36">
      <w:pPr>
        <w:numPr>
          <w:ilvl w:val="0"/>
          <w:numId w:val="1"/>
        </w:numPr>
        <w:spacing w:after="120" w:line="240" w:lineRule="auto"/>
        <w:ind w:left="709" w:right="709" w:firstLine="0"/>
        <w:jc w:val="both"/>
        <w:rPr>
          <w:rFonts w:ascii="Arial" w:hAnsi="Arial" w:cs="Arial"/>
          <w:sz w:val="21"/>
          <w:szCs w:val="21"/>
        </w:rPr>
      </w:pPr>
      <w:r w:rsidRPr="001D067A">
        <w:rPr>
          <w:rFonts w:ascii="Arial" w:hAnsi="Arial" w:cs="Arial"/>
          <w:sz w:val="21"/>
          <w:szCs w:val="21"/>
        </w:rPr>
        <w:t>Que tiempo debe concederse a aquellos proponentes que las Entidades requieren para sustentar las ofertas artificialmente bajas.</w:t>
      </w:r>
    </w:p>
    <w:p w14:paraId="5A73E04E" w14:textId="77777777" w:rsidR="000B66F1" w:rsidRPr="000B66F1" w:rsidRDefault="000B66F1" w:rsidP="00ED421B">
      <w:pPr>
        <w:pStyle w:val="Prrafodelista"/>
        <w:autoSpaceDE w:val="0"/>
        <w:autoSpaceDN w:val="0"/>
        <w:adjustRightInd w:val="0"/>
        <w:spacing w:after="0" w:line="240" w:lineRule="auto"/>
        <w:ind w:left="1069" w:right="709"/>
        <w:jc w:val="both"/>
        <w:rPr>
          <w:rFonts w:ascii="Arial" w:hAnsi="Arial" w:cs="Arial"/>
          <w:sz w:val="21"/>
          <w:szCs w:val="21"/>
        </w:rPr>
      </w:pPr>
    </w:p>
    <w:p w14:paraId="624B54B2" w14:textId="783DD0EF" w:rsidR="00F20888" w:rsidRPr="00D7149D" w:rsidRDefault="00F20888" w:rsidP="00F20888">
      <w:pPr>
        <w:tabs>
          <w:tab w:val="left" w:pos="426"/>
        </w:tabs>
        <w:spacing w:after="0" w:line="276" w:lineRule="auto"/>
        <w:jc w:val="both"/>
        <w:rPr>
          <w:rFonts w:ascii="Arial" w:eastAsia="Calibri" w:hAnsi="Arial" w:cs="Arial"/>
          <w:b/>
          <w:lang w:val="es-MX"/>
        </w:rPr>
      </w:pPr>
      <w:r w:rsidRPr="00D7149D">
        <w:rPr>
          <w:rFonts w:ascii="Arial" w:eastAsia="Calibri" w:hAnsi="Arial" w:cs="Arial"/>
          <w:b/>
          <w:lang w:val="es-MX"/>
        </w:rPr>
        <w:t xml:space="preserve">2. Consideraciones </w:t>
      </w:r>
    </w:p>
    <w:p w14:paraId="7EFD1C68" w14:textId="77777777" w:rsidR="00F20888" w:rsidRPr="00D7149D" w:rsidRDefault="00F20888" w:rsidP="00F20888">
      <w:pPr>
        <w:tabs>
          <w:tab w:val="left" w:pos="426"/>
        </w:tabs>
        <w:spacing w:after="0" w:line="276" w:lineRule="auto"/>
        <w:jc w:val="both"/>
        <w:rPr>
          <w:rFonts w:ascii="Arial" w:eastAsia="Calibri" w:hAnsi="Arial" w:cs="Arial"/>
          <w:b/>
          <w:lang w:val="es-MX"/>
        </w:rPr>
      </w:pPr>
    </w:p>
    <w:p w14:paraId="107504EA" w14:textId="77777777" w:rsidR="000B66F1" w:rsidRDefault="00F20888" w:rsidP="00264CB3">
      <w:pPr>
        <w:spacing w:after="120" w:line="276" w:lineRule="auto"/>
        <w:jc w:val="both"/>
        <w:rPr>
          <w:rFonts w:ascii="Arial" w:eastAsia="Calibri" w:hAnsi="Arial" w:cs="Arial"/>
          <w:lang w:val="es-ES_tradnl" w:eastAsia="es-ES_tradnl"/>
        </w:rPr>
      </w:pPr>
      <w:r w:rsidRPr="00D7149D">
        <w:rPr>
          <w:rFonts w:ascii="Arial" w:eastAsia="Calibri" w:hAnsi="Arial" w:cs="Arial"/>
          <w:color w:val="000000" w:themeColor="text1"/>
        </w:rPr>
        <w:t xml:space="preserve">La Agencia Nacional de Contratación Pública − Colombia Compra Eficiente se pronunció sobre los pliegos de condiciones en la contratación estatal, así como su inalterabilidad y sus excepciones, entre otros, </w:t>
      </w:r>
      <w:r w:rsidRPr="00D7149D">
        <w:rPr>
          <w:rFonts w:ascii="Arial" w:eastAsia="Calibri" w:hAnsi="Arial" w:cs="Arial"/>
        </w:rPr>
        <w:t>e</w:t>
      </w:r>
      <w:r w:rsidRPr="00D7149D">
        <w:rPr>
          <w:rFonts w:ascii="Arial" w:hAnsi="Arial" w:cs="Arial"/>
        </w:rPr>
        <w:t>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bookmarkStart w:id="0" w:name="_Hlk75872808"/>
      <w:r w:rsidRPr="00D7149D">
        <w:rPr>
          <w:rFonts w:ascii="Arial" w:hAnsi="Arial" w:cs="Arial"/>
        </w:rPr>
        <w:t xml:space="preserve">, </w:t>
      </w:r>
      <w:r w:rsidRPr="00D7149D">
        <w:rPr>
          <w:rFonts w:ascii="Arial" w:eastAsia="Arial" w:hAnsi="Arial" w:cs="Arial"/>
          <w:lang w:val="es-ES_tradnl"/>
        </w:rPr>
        <w:t>C-031 del 1 de febrero de 2021,</w:t>
      </w:r>
      <w:r w:rsidRPr="00D7149D">
        <w:rPr>
          <w:rFonts w:ascii="Arial" w:hAnsi="Arial" w:cs="Arial"/>
        </w:rPr>
        <w:t xml:space="preserve"> C-027 del 1 de marzo de 2021, C-064 del 8 de marzo 2021, C-157 del 13 de abril de 2021, C-204 del 6 de mayo de 2021</w:t>
      </w:r>
      <w:bookmarkEnd w:id="0"/>
      <w:r w:rsidRPr="00D7149D">
        <w:rPr>
          <w:rFonts w:ascii="Arial" w:hAnsi="Arial" w:cs="Arial"/>
        </w:rPr>
        <w:t xml:space="preserve">, C-215 del 12 de mayo de 2021, C-263, C-268 del 3 de junio de 2021, C-287, C-304 del 28 de junio de 2021, C-361 del 2 de agosto de 2021, C-425 del 19 de agosto, C-471 del 30 de agosto de 2021, C-511 del 22 de septiembre de 2021, C-531 del 27 de septiembre de 2021, C-624 del 8 de noviembre de 2021, C-643 del 17 de noviembre de 2021, </w:t>
      </w:r>
      <w:r w:rsidRPr="00D7149D">
        <w:rPr>
          <w:rFonts w:ascii="Arial" w:eastAsia="Calibri" w:hAnsi="Arial" w:cs="Arial"/>
          <w:lang w:val="es-ES_tradnl" w:eastAsia="es-ES_tradnl"/>
        </w:rPr>
        <w:t xml:space="preserve">C-706 del 17 de enero de 2022, C-066 del 28 de enero de 2022, C-705 del 5 de enero de 2022, C-753 del 6 de febrero de 2022, C-011 del 18 de febrero de 2022, C-033 del 4 de marzo de </w:t>
      </w:r>
      <w:r w:rsidRPr="00D7149D">
        <w:rPr>
          <w:rFonts w:ascii="Arial" w:eastAsia="Calibri" w:hAnsi="Arial" w:cs="Arial"/>
          <w:lang w:val="es-ES_tradnl" w:eastAsia="es-ES_tradnl"/>
        </w:rPr>
        <w:lastRenderedPageBreak/>
        <w:t>2022, C-060 del 10 de marzo de 2022, C-086 del 15 de marzo de 2022, C-130 del 22 de marzo de 2022</w:t>
      </w:r>
      <w:r w:rsidR="000B66F1">
        <w:rPr>
          <w:rFonts w:ascii="Arial" w:eastAsia="Calibri" w:hAnsi="Arial" w:cs="Arial"/>
          <w:lang w:val="es-ES_tradnl" w:eastAsia="es-ES_tradnl"/>
        </w:rPr>
        <w:t xml:space="preserve">, </w:t>
      </w:r>
      <w:r w:rsidRPr="00D7149D">
        <w:rPr>
          <w:rFonts w:ascii="Arial" w:eastAsia="Calibri" w:hAnsi="Arial" w:cs="Arial"/>
          <w:lang w:val="es-ES_tradnl" w:eastAsia="es-ES_tradnl"/>
        </w:rPr>
        <w:t>C-110 del 23 de marzo de 2022</w:t>
      </w:r>
      <w:r w:rsidR="000B66F1">
        <w:rPr>
          <w:rFonts w:ascii="Arial" w:eastAsia="Calibri" w:hAnsi="Arial" w:cs="Arial"/>
          <w:lang w:val="es-ES_tradnl" w:eastAsia="es-ES_tradnl"/>
        </w:rPr>
        <w:t>, C-347 del 9 de junio de 2022 y C-386 del 15 de junio de 2022</w:t>
      </w:r>
      <w:r w:rsidRPr="00D7149D">
        <w:rPr>
          <w:rFonts w:ascii="Arial" w:eastAsia="Calibri" w:hAnsi="Arial" w:cs="Arial"/>
          <w:lang w:val="es-ES_tradnl" w:eastAsia="es-ES_tradnl"/>
        </w:rPr>
        <w:t xml:space="preserve">. </w:t>
      </w:r>
    </w:p>
    <w:p w14:paraId="03127EA2" w14:textId="29A73DEF" w:rsidR="004C5557" w:rsidRPr="00B7032A" w:rsidRDefault="004C5557" w:rsidP="00264CB3">
      <w:pPr>
        <w:spacing w:after="0" w:line="276" w:lineRule="auto"/>
        <w:ind w:firstLine="708"/>
        <w:jc w:val="both"/>
        <w:rPr>
          <w:rFonts w:ascii="Arial" w:eastAsia="Arial MT" w:hAnsi="Arial" w:cs="Arial"/>
          <w:lang w:val="es-ES_tradnl"/>
        </w:rPr>
      </w:pPr>
      <w:r w:rsidRPr="00B7032A">
        <w:rPr>
          <w:rFonts w:ascii="Arial" w:hAnsi="Arial" w:cs="Arial"/>
          <w:color w:val="000000" w:themeColor="text1"/>
          <w:lang w:val="es-ES"/>
        </w:rPr>
        <w:t xml:space="preserve">Asimismo, esta Agencia </w:t>
      </w:r>
      <w:r w:rsidRPr="00B7032A">
        <w:rPr>
          <w:rFonts w:ascii="Arial" w:eastAsia="Calibri" w:hAnsi="Arial" w:cs="Arial"/>
          <w:color w:val="000000" w:themeColor="text1"/>
          <w:lang w:val="es-ES"/>
        </w:rPr>
        <w:t xml:space="preserve">analizó la noción y alcance de los precios artificialmente bajos en los conceptos 2201913000007853 </w:t>
      </w:r>
      <w:r w:rsidRPr="00B7032A">
        <w:rPr>
          <w:rFonts w:ascii="Arial" w:eastAsia="Calibri" w:hAnsi="Arial" w:cs="Arial"/>
          <w:color w:val="000000"/>
          <w:lang w:val="es-ES" w:eastAsia="en-GB"/>
        </w:rPr>
        <w:t>del 21 de octubre de 2019; 2201913000008058 del 28 de octubre de 2019</w:t>
      </w:r>
      <w:r w:rsidR="003B6A48">
        <w:rPr>
          <w:rFonts w:ascii="Arial" w:eastAsia="Calibri" w:hAnsi="Arial" w:cs="Arial"/>
          <w:color w:val="000000"/>
          <w:lang w:val="es-ES" w:eastAsia="en-GB"/>
        </w:rPr>
        <w:t>,</w:t>
      </w:r>
      <w:r w:rsidRPr="00B7032A">
        <w:rPr>
          <w:rFonts w:ascii="Arial" w:eastAsia="Calibri" w:hAnsi="Arial" w:cs="Arial"/>
          <w:color w:val="000000"/>
          <w:lang w:val="es-ES" w:eastAsia="en-GB"/>
        </w:rPr>
        <w:t xml:space="preserve"> 2201913000008288 del 7 de noviembre de 2019; 2201913000009110 del 11 de diciembre de 2019</w:t>
      </w:r>
      <w:r w:rsidR="003B6A48">
        <w:rPr>
          <w:rFonts w:ascii="Arial" w:eastAsia="Calibri" w:hAnsi="Arial" w:cs="Arial"/>
          <w:color w:val="000000"/>
          <w:lang w:val="es-ES" w:eastAsia="en-GB"/>
        </w:rPr>
        <w:t>,</w:t>
      </w:r>
      <w:r w:rsidRPr="00B7032A">
        <w:rPr>
          <w:rFonts w:ascii="Arial" w:eastAsia="Calibri" w:hAnsi="Arial" w:cs="Arial"/>
          <w:color w:val="000000"/>
          <w:lang w:val="es-ES" w:eastAsia="en-GB"/>
        </w:rPr>
        <w:t xml:space="preserve"> 2201913000009489 del 20 de diciembre de 2019</w:t>
      </w:r>
      <w:r w:rsidR="003B6A48">
        <w:rPr>
          <w:rFonts w:ascii="Arial" w:eastAsia="Calibri" w:hAnsi="Arial" w:cs="Arial"/>
          <w:color w:val="000000"/>
          <w:lang w:val="es-ES" w:eastAsia="en-GB"/>
        </w:rPr>
        <w:t>,</w:t>
      </w:r>
      <w:r w:rsidRPr="00B7032A">
        <w:rPr>
          <w:rFonts w:ascii="Arial" w:eastAsia="Calibri" w:hAnsi="Arial" w:cs="Arial"/>
          <w:color w:val="000000"/>
          <w:lang w:val="es-ES" w:eastAsia="en-GB"/>
        </w:rPr>
        <w:t xml:space="preserve"> 2202013000000038 del 7 de enero de 2020</w:t>
      </w:r>
      <w:r w:rsidR="003B6A48">
        <w:rPr>
          <w:rFonts w:ascii="Arial" w:eastAsia="Calibri" w:hAnsi="Arial" w:cs="Arial"/>
          <w:color w:val="000000"/>
          <w:lang w:val="es-ES" w:eastAsia="en-GB"/>
        </w:rPr>
        <w:t>,</w:t>
      </w:r>
      <w:r w:rsidRPr="00B7032A">
        <w:rPr>
          <w:rFonts w:ascii="Arial" w:eastAsia="Calibri" w:hAnsi="Arial" w:cs="Arial"/>
          <w:color w:val="000000"/>
          <w:lang w:val="es-ES" w:eastAsia="en-GB"/>
        </w:rPr>
        <w:t xml:space="preserve"> </w:t>
      </w:r>
      <w:r w:rsidR="00394B15">
        <w:rPr>
          <w:rFonts w:ascii="Arial" w:eastAsia="Calibri" w:hAnsi="Arial" w:cs="Arial"/>
        </w:rPr>
        <w:t xml:space="preserve">C−163 del 31 de marzo de 2020, </w:t>
      </w:r>
      <w:r w:rsidRPr="00B7032A">
        <w:rPr>
          <w:rFonts w:ascii="Arial" w:eastAsia="Calibri" w:hAnsi="Arial" w:cs="Arial"/>
          <w:color w:val="000000"/>
          <w:lang w:val="es-ES" w:eastAsia="en-GB"/>
        </w:rPr>
        <w:t>C</w:t>
      </w:r>
      <w:bookmarkStart w:id="1" w:name="_Hlk68610319"/>
      <w:r w:rsidRPr="00B7032A">
        <w:rPr>
          <w:rFonts w:ascii="Arial" w:eastAsia="Calibri" w:hAnsi="Arial" w:cs="Arial"/>
          <w:color w:val="000000"/>
          <w:lang w:val="es-ES" w:eastAsia="en-GB"/>
        </w:rPr>
        <w:t>–</w:t>
      </w:r>
      <w:bookmarkEnd w:id="1"/>
      <w:r w:rsidRPr="00B7032A">
        <w:rPr>
          <w:rFonts w:ascii="Arial" w:eastAsia="Calibri" w:hAnsi="Arial" w:cs="Arial"/>
          <w:color w:val="000000"/>
          <w:lang w:val="es-ES" w:eastAsia="en-GB"/>
        </w:rPr>
        <w:t xml:space="preserve">012 del 28 de enero de 2020, C–163 del 31 de marzo de 2020, C–200 del 14 de abril de 2020, </w:t>
      </w:r>
      <w:r w:rsidR="00891872">
        <w:rPr>
          <w:rFonts w:ascii="Arial" w:eastAsia="Calibri" w:hAnsi="Arial" w:cs="Arial"/>
        </w:rPr>
        <w:t>C−473 del 13 de julio de 2002, C−496 del 27 de julio de 2020, C−506 del 29 de julio de 2020, C-</w:t>
      </w:r>
      <w:r w:rsidR="000B1503">
        <w:rPr>
          <w:rFonts w:ascii="Arial" w:eastAsia="Calibri" w:hAnsi="Arial" w:cs="Arial"/>
        </w:rPr>
        <w:t xml:space="preserve">679 del 23 de noviembre de 2020, </w:t>
      </w:r>
      <w:r w:rsidRPr="00B7032A">
        <w:rPr>
          <w:rFonts w:ascii="Arial" w:eastAsia="Calibri" w:hAnsi="Arial" w:cs="Arial"/>
          <w:color w:val="000000"/>
          <w:lang w:val="es-ES" w:eastAsia="en-GB"/>
        </w:rPr>
        <w:t>C–767 del 7 de enero de 2021, C-205 del 7 de mayo del 2021</w:t>
      </w:r>
      <w:r w:rsidR="000B1503">
        <w:rPr>
          <w:rFonts w:ascii="Arial" w:eastAsia="Calibri" w:hAnsi="Arial" w:cs="Arial"/>
          <w:color w:val="000000"/>
          <w:lang w:val="es-ES" w:eastAsia="en-GB"/>
        </w:rPr>
        <w:t xml:space="preserve">, </w:t>
      </w:r>
      <w:r w:rsidRPr="00B7032A">
        <w:rPr>
          <w:rFonts w:ascii="Arial" w:eastAsia="Calibri" w:hAnsi="Arial" w:cs="Arial"/>
          <w:color w:val="000000"/>
          <w:lang w:val="es-ES" w:eastAsia="en-GB"/>
        </w:rPr>
        <w:t>C-737 del 27 de enero de 2022</w:t>
      </w:r>
      <w:r w:rsidR="000B1503">
        <w:rPr>
          <w:rFonts w:ascii="Arial" w:eastAsia="Calibri" w:hAnsi="Arial" w:cs="Arial"/>
          <w:color w:val="000000"/>
          <w:lang w:val="es-ES" w:eastAsia="en-GB"/>
        </w:rPr>
        <w:t xml:space="preserve"> y C-</w:t>
      </w:r>
      <w:r w:rsidR="00611CB4">
        <w:rPr>
          <w:rFonts w:ascii="Arial" w:eastAsia="Calibri" w:hAnsi="Arial" w:cs="Arial"/>
          <w:color w:val="000000"/>
          <w:lang w:val="es-ES" w:eastAsia="en-GB"/>
        </w:rPr>
        <w:t>287 del 4 de mayo de 2022</w:t>
      </w:r>
      <w:r w:rsidRPr="00B7032A">
        <w:rPr>
          <w:rStyle w:val="Refdenotaalpie"/>
          <w:rFonts w:ascii="Arial" w:eastAsia="Calibri" w:hAnsi="Arial" w:cs="Arial"/>
          <w:color w:val="000000"/>
          <w:lang w:val="es-ES" w:eastAsia="en-GB"/>
        </w:rPr>
        <w:footnoteReference w:id="1"/>
      </w:r>
      <w:r w:rsidRPr="00B7032A">
        <w:rPr>
          <w:rFonts w:ascii="Arial" w:eastAsia="Calibri" w:hAnsi="Arial" w:cs="Arial"/>
          <w:color w:val="000000"/>
          <w:lang w:val="es-ES" w:eastAsia="en-GB"/>
        </w:rPr>
        <w:t>.</w:t>
      </w:r>
      <w:r w:rsidRPr="00B7032A">
        <w:rPr>
          <w:rFonts w:ascii="Arial" w:eastAsia="Arial MT" w:hAnsi="Arial" w:cs="Arial"/>
          <w:lang w:val="es-ES_tradnl"/>
        </w:rPr>
        <w:t xml:space="preserve"> </w:t>
      </w:r>
      <w:r w:rsidRPr="00B7032A">
        <w:rPr>
          <w:rFonts w:ascii="Arial" w:eastAsia="Arial MT" w:hAnsi="Arial" w:cs="Arial"/>
        </w:rPr>
        <w:t xml:space="preserve">Las tesis desarrolladas en estos conceptos se reiteran a continuación </w:t>
      </w:r>
      <w:r w:rsidRPr="00B7032A">
        <w:rPr>
          <w:rFonts w:ascii="Arial" w:eastAsia="Arial MT" w:hAnsi="Arial" w:cs="Arial"/>
          <w:bCs/>
          <w:lang w:val="es-MX"/>
        </w:rPr>
        <w:t xml:space="preserve">y se complementa en lo pertinente: </w:t>
      </w:r>
    </w:p>
    <w:p w14:paraId="2A3EE51B" w14:textId="77777777" w:rsidR="00F20888" w:rsidRPr="00D7149D" w:rsidRDefault="00F20888" w:rsidP="00264CB3">
      <w:pPr>
        <w:spacing w:after="0" w:line="276" w:lineRule="auto"/>
        <w:jc w:val="both"/>
        <w:rPr>
          <w:rFonts w:ascii="Arial" w:eastAsia="Arial" w:hAnsi="Arial" w:cs="Arial"/>
          <w:b/>
          <w:bCs/>
          <w:color w:val="000000"/>
          <w:lang w:val="es-ES_tradnl"/>
        </w:rPr>
      </w:pPr>
    </w:p>
    <w:p w14:paraId="49E7F874" w14:textId="77777777" w:rsidR="00F20888" w:rsidRPr="004F0480" w:rsidRDefault="00F20888" w:rsidP="00F20888">
      <w:pPr>
        <w:spacing w:after="0" w:line="276" w:lineRule="auto"/>
        <w:jc w:val="both"/>
        <w:rPr>
          <w:rFonts w:ascii="Arial" w:eastAsia="Arial" w:hAnsi="Arial" w:cs="Arial"/>
          <w:b/>
          <w:bCs/>
          <w:color w:val="000000"/>
          <w:lang w:val="es-ES_tradnl"/>
        </w:rPr>
      </w:pPr>
      <w:r w:rsidRPr="004F0480">
        <w:rPr>
          <w:rFonts w:ascii="Arial" w:eastAsia="Arial" w:hAnsi="Arial" w:cs="Arial"/>
          <w:b/>
          <w:bCs/>
          <w:color w:val="000000"/>
          <w:lang w:val="es-ES_tradnl"/>
        </w:rPr>
        <w:t xml:space="preserve">2.1. Fundamento normativo de los documentos tipo </w:t>
      </w:r>
    </w:p>
    <w:p w14:paraId="63334418" w14:textId="77777777" w:rsidR="00F20888" w:rsidRPr="004F0480" w:rsidRDefault="00F20888" w:rsidP="00F20888">
      <w:pPr>
        <w:spacing w:after="0" w:line="240" w:lineRule="auto"/>
        <w:jc w:val="both"/>
        <w:rPr>
          <w:rFonts w:ascii="Arial" w:eastAsia="Calibri" w:hAnsi="Arial" w:cs="Arial"/>
          <w:color w:val="000000"/>
          <w:lang w:val="es-ES_tradnl"/>
        </w:rPr>
      </w:pPr>
    </w:p>
    <w:p w14:paraId="40C83146" w14:textId="77777777" w:rsidR="00F20888" w:rsidRPr="009A573B" w:rsidRDefault="00F20888" w:rsidP="00F20888">
      <w:pPr>
        <w:spacing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La adopción de los documentos tipo obligatorios en el ordenamiento jurídico colombiano se incluyó por primera vez en el parágrafo 3 del artículo 2 de la Ley 1150 de 2007</w:t>
      </w:r>
      <w:r w:rsidRPr="009A573B">
        <w:rPr>
          <w:rFonts w:ascii="Arial" w:eastAsia="Calibri" w:hAnsi="Arial" w:cs="Arial"/>
          <w:szCs w:val="24"/>
          <w:vertAlign w:val="superscript"/>
          <w:lang w:val="es-ES_tradnl" w:eastAsia="es-ES_tradnl"/>
        </w:rPr>
        <w:footnoteReference w:id="2"/>
      </w:r>
      <w:r w:rsidRPr="009A573B">
        <w:rPr>
          <w:rFonts w:ascii="Arial" w:eastAsia="Calibri" w:hAnsi="Arial" w:cs="Arial"/>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5B171B20" w14:textId="77777777" w:rsidR="00F20888" w:rsidRPr="009A573B" w:rsidRDefault="00F20888" w:rsidP="00F20888">
      <w:pPr>
        <w:spacing w:after="0" w:line="276" w:lineRule="auto"/>
        <w:ind w:firstLine="708"/>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20788C85" w14:textId="77777777" w:rsidR="00F20888" w:rsidRPr="009A573B" w:rsidRDefault="00F20888" w:rsidP="00F20888">
      <w:pPr>
        <w:spacing w:before="120" w:after="120" w:line="276" w:lineRule="auto"/>
        <w:ind w:firstLine="708"/>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9A573B">
        <w:rPr>
          <w:rFonts w:ascii="Arial" w:eastAsia="Calibri" w:hAnsi="Arial" w:cs="Arial"/>
          <w:szCs w:val="24"/>
          <w:vertAlign w:val="superscript"/>
          <w:lang w:val="es-ES_tradnl" w:eastAsia="es-ES_tradnl"/>
        </w:rPr>
        <w:footnoteReference w:id="3"/>
      </w:r>
      <w:r w:rsidRPr="009A573B">
        <w:rPr>
          <w:rFonts w:ascii="Arial" w:eastAsia="Calibri" w:hAnsi="Arial" w:cs="Arial"/>
          <w:szCs w:val="24"/>
          <w:lang w:val="es-ES_tradnl" w:eastAsia="es-ES_tradnl"/>
        </w:rPr>
        <w:t>.</w:t>
      </w:r>
    </w:p>
    <w:p w14:paraId="4BB38163" w14:textId="77777777" w:rsidR="00F20888" w:rsidRPr="009A573B" w:rsidRDefault="00F20888" w:rsidP="00F20888">
      <w:pPr>
        <w:spacing w:before="120"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077A036" w14:textId="77777777" w:rsidR="00F20888" w:rsidRPr="009A573B" w:rsidRDefault="00F20888" w:rsidP="00F20888">
      <w:pPr>
        <w:spacing w:before="120"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ab/>
        <w:t xml:space="preserve">De la norma descrita se concluía lo siguiente: i) la adopción de los documentos tipo estaba en cabeza del gobierno nacional. </w:t>
      </w:r>
      <w:proofErr w:type="spellStart"/>
      <w:r w:rsidRPr="009A573B">
        <w:rPr>
          <w:rFonts w:ascii="Arial" w:eastAsia="Calibri" w:hAnsi="Arial" w:cs="Arial"/>
          <w:szCs w:val="24"/>
          <w:lang w:val="es-ES_tradnl" w:eastAsia="es-ES_tradnl"/>
        </w:rPr>
        <w:t>ii</w:t>
      </w:r>
      <w:proofErr w:type="spellEnd"/>
      <w:r w:rsidRPr="009A573B">
        <w:rPr>
          <w:rFonts w:ascii="Arial" w:eastAsia="Calibri" w:hAnsi="Arial" w:cs="Arial"/>
          <w:szCs w:val="24"/>
          <w:lang w:val="es-ES_tradnl" w:eastAsia="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9A573B">
        <w:rPr>
          <w:rFonts w:ascii="Arial" w:eastAsia="Calibri" w:hAnsi="Arial" w:cs="Arial"/>
          <w:szCs w:val="24"/>
          <w:lang w:val="es-ES_tradnl" w:eastAsia="es-ES_tradnl"/>
        </w:rPr>
        <w:t>iii</w:t>
      </w:r>
      <w:proofErr w:type="spellEnd"/>
      <w:r w:rsidRPr="009A573B">
        <w:rPr>
          <w:rFonts w:ascii="Arial" w:eastAsia="Calibri" w:hAnsi="Arial" w:cs="Arial"/>
          <w:szCs w:val="24"/>
          <w:lang w:val="es-ES_tradnl" w:eastAsia="es-ES_tradnl"/>
        </w:rPr>
        <w:t xml:space="preserve">) Eran de obligatorio cumplimiento por parte de todas las entidades sometidas al Estatuto General de Contratación de la Administración Pública. </w:t>
      </w:r>
      <w:proofErr w:type="spellStart"/>
      <w:r w:rsidRPr="009A573B">
        <w:rPr>
          <w:rFonts w:ascii="Arial" w:eastAsia="Calibri" w:hAnsi="Arial" w:cs="Arial"/>
          <w:szCs w:val="24"/>
          <w:lang w:val="es-ES_tradnl" w:eastAsia="es-ES_tradnl"/>
        </w:rPr>
        <w:t>iv</w:t>
      </w:r>
      <w:proofErr w:type="spellEnd"/>
      <w:r w:rsidRPr="009A573B">
        <w:rPr>
          <w:rFonts w:ascii="Arial" w:eastAsia="Calibri" w:hAnsi="Arial" w:cs="Arial"/>
          <w:szCs w:val="24"/>
          <w:lang w:val="es-ES_tradnl"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484A0B03" w14:textId="77777777" w:rsidR="00F20888" w:rsidRPr="009A573B" w:rsidRDefault="00F20888" w:rsidP="00F20888">
      <w:pPr>
        <w:spacing w:before="120"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9A573B">
        <w:rPr>
          <w:rFonts w:ascii="Arial" w:eastAsia="Calibri" w:hAnsi="Arial" w:cs="Arial"/>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2"/>
      <w:r w:rsidRPr="009A573B">
        <w:rPr>
          <w:rFonts w:ascii="Arial" w:eastAsia="Calibri" w:hAnsi="Arial" w:cs="Arial"/>
          <w:szCs w:val="24"/>
          <w:lang w:val="es-ES_tradnl" w:eastAsia="es-ES_tradnl"/>
        </w:rPr>
        <w:t>. De igual manera, se establece que esta autonomía se garantiza con la identificación autónoma de sus necesidades y la configuración de los elementos del contrato</w:t>
      </w:r>
      <w:r w:rsidRPr="009A573B">
        <w:rPr>
          <w:rFonts w:ascii="Arial" w:eastAsia="Calibri" w:hAnsi="Arial" w:cs="Arial"/>
          <w:szCs w:val="24"/>
          <w:vertAlign w:val="superscript"/>
          <w:lang w:val="es-ES_tradnl" w:eastAsia="es-ES_tradnl"/>
        </w:rPr>
        <w:footnoteReference w:id="4"/>
      </w:r>
      <w:r w:rsidRPr="009A573B">
        <w:rPr>
          <w:rFonts w:ascii="Arial" w:eastAsia="Calibri" w:hAnsi="Arial" w:cs="Arial"/>
          <w:szCs w:val="24"/>
          <w:lang w:val="es-ES_tradnl" w:eastAsia="es-ES_tradnl"/>
        </w:rPr>
        <w:t>.</w:t>
      </w:r>
    </w:p>
    <w:p w14:paraId="5B95524C" w14:textId="77777777" w:rsidR="00F20888" w:rsidRPr="009A573B" w:rsidRDefault="00F20888" w:rsidP="00F20888">
      <w:pPr>
        <w:spacing w:before="120" w:after="120" w:line="276" w:lineRule="auto"/>
        <w:jc w:val="both"/>
        <w:rPr>
          <w:rFonts w:ascii="Arial" w:eastAsia="Calibri" w:hAnsi="Arial" w:cs="Arial"/>
          <w:szCs w:val="24"/>
          <w:lang w:val="es-ES_tradnl" w:eastAsia="es-ES_tradnl"/>
        </w:rPr>
      </w:pPr>
      <w:r w:rsidRPr="009A573B">
        <w:rPr>
          <w:rFonts w:ascii="Arial" w:eastAsia="Calibri" w:hAnsi="Arial" w:cs="Arial"/>
          <w:szCs w:val="24"/>
          <w:lang w:val="es-ES_tradnl" w:eastAsia="es-ES_tradnl"/>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A831025" w14:textId="77777777" w:rsidR="00F20888" w:rsidRPr="009A573B" w:rsidRDefault="00F20888" w:rsidP="00F20888">
      <w:pPr>
        <w:spacing w:before="120" w:after="120" w:line="276" w:lineRule="auto"/>
        <w:jc w:val="both"/>
        <w:rPr>
          <w:rFonts w:ascii="Arial" w:eastAsia="Calibri" w:hAnsi="Arial" w:cs="Arial"/>
          <w:lang w:val="es-ES_tradnl"/>
        </w:rPr>
      </w:pPr>
      <w:r w:rsidRPr="009A573B">
        <w:rPr>
          <w:rFonts w:ascii="Arial" w:eastAsia="Calibri" w:hAnsi="Arial" w:cs="Arial"/>
          <w:lang w:val="es-ES_tradnl" w:eastAsia="es-ES_tradnl"/>
        </w:rPr>
        <w:tab/>
      </w:r>
      <w:r w:rsidRPr="009A573B">
        <w:rPr>
          <w:rFonts w:ascii="Arial" w:eastAsia="Calibri" w:hAnsi="Arial" w:cs="Arial"/>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w:t>
      </w:r>
    </w:p>
    <w:p w14:paraId="610F0972" w14:textId="77777777" w:rsidR="00F20888" w:rsidRPr="009A573B" w:rsidRDefault="00F20888" w:rsidP="00F20888">
      <w:pPr>
        <w:spacing w:before="120" w:after="120" w:line="276" w:lineRule="auto"/>
        <w:ind w:firstLine="708"/>
        <w:jc w:val="both"/>
        <w:rPr>
          <w:rFonts w:ascii="Arial" w:eastAsia="Calibri" w:hAnsi="Arial" w:cs="Arial"/>
          <w:lang w:val="es-ES_tradnl" w:eastAsia="es-ES_tradnl"/>
        </w:rPr>
      </w:pPr>
      <w:r w:rsidRPr="009A573B">
        <w:rPr>
          <w:rFonts w:ascii="Arial" w:eastAsia="Calibri" w:hAnsi="Arial" w:cs="Arial"/>
          <w:lang w:val="es-ES_tradnl"/>
        </w:rPr>
        <w:t>Finalmente, se profirió el Decreto 594 del 25 de abril de 2020, frente a los documentos tipo para los contratos de obra pública</w:t>
      </w:r>
      <w:r w:rsidRPr="009A573B" w:rsidDel="00A434AB">
        <w:rPr>
          <w:rFonts w:ascii="Arial" w:eastAsia="Calibri" w:hAnsi="Arial" w:cs="Arial"/>
          <w:lang w:val="es-ES_tradnl"/>
        </w:rPr>
        <w:t xml:space="preserve"> </w:t>
      </w:r>
      <w:r w:rsidRPr="009A573B">
        <w:rPr>
          <w:rFonts w:ascii="Arial" w:eastAsia="Calibri" w:hAnsi="Arial" w:cs="Arial"/>
          <w:lang w:val="es-ES_tradnl"/>
        </w:rPr>
        <w:t xml:space="preserve">de infraestructura de transporte que se surtieran por la modalidad de mínima cuantía. Estos documentos fueron implementados y desarrollados por la Agencia Nacional de Contratación Pública </w:t>
      </w:r>
      <w:bookmarkStart w:id="3" w:name="_Hlk37841850"/>
      <w:r w:rsidRPr="009A573B">
        <w:rPr>
          <w:rFonts w:ascii="Arial" w:eastAsia="Calibri" w:hAnsi="Arial" w:cs="Arial"/>
          <w:lang w:val="es-ES_tradnl"/>
        </w:rPr>
        <w:t xml:space="preserve">– Colombia Compra Eficiente, </w:t>
      </w:r>
      <w:bookmarkEnd w:id="3"/>
      <w:r w:rsidRPr="009A573B">
        <w:rPr>
          <w:rFonts w:ascii="Arial" w:eastAsia="Calibri" w:hAnsi="Arial" w:cs="Arial"/>
          <w:lang w:val="es-ES_tradnl"/>
        </w:rPr>
        <w:t>por medio de la Resolución 1798 de 1 de abril de 2019 –derogada por la Resolución 045 del 14 de febrero de 2020–, la Resolución 044 del 14 de febrero de 2020 y la Resolución 094 del 21 de mayo de 2020.</w:t>
      </w:r>
    </w:p>
    <w:p w14:paraId="18EA487D" w14:textId="77777777" w:rsidR="00F20888" w:rsidRPr="009A573B" w:rsidRDefault="00F20888" w:rsidP="00F20888">
      <w:pPr>
        <w:spacing w:before="120" w:after="0" w:line="276" w:lineRule="auto"/>
        <w:ind w:firstLine="709"/>
        <w:jc w:val="both"/>
        <w:rPr>
          <w:rFonts w:ascii="Arial" w:eastAsia="Calibri" w:hAnsi="Arial" w:cs="Arial"/>
          <w:lang w:val="es-ES_tradnl" w:eastAsia="es-ES"/>
        </w:rPr>
      </w:pPr>
      <w:r w:rsidRPr="009A573B">
        <w:rPr>
          <w:rFonts w:ascii="Arial" w:eastAsia="Calibri" w:hAnsi="Arial" w:cs="Arial"/>
          <w:lang w:val="es-ES_tradnl" w:eastAsia="es-ES"/>
        </w:rPr>
        <w:t>Con posterioridad a la expedición de los anteriores documentos tipo, se expidió la Ley 2022 de 2020, norma que modificó el contenido del parágrafo 7 del artículo 2 de la Ley 1150 de 2007, que había sido adicionado por la Ley 1882 de 2018</w:t>
      </w:r>
      <w:r w:rsidRPr="009A573B">
        <w:rPr>
          <w:rFonts w:ascii="Arial" w:eastAsia="Calibri" w:hAnsi="Arial" w:cs="Arial"/>
          <w:vertAlign w:val="superscript"/>
          <w:lang w:val="es-ES_tradnl" w:eastAsia="es-ES"/>
        </w:rPr>
        <w:footnoteReference w:id="5"/>
      </w:r>
      <w:r w:rsidRPr="009A573B">
        <w:rPr>
          <w:rFonts w:ascii="Arial" w:eastAsia="Calibri" w:hAnsi="Arial" w:cs="Arial"/>
          <w:lang w:val="es-ES_tradnl" w:eastAsia="es-ES"/>
        </w:rPr>
        <w:t xml:space="preserve">. Con esta modificación, </w:t>
      </w:r>
      <w:r w:rsidRPr="009A573B">
        <w:rPr>
          <w:rFonts w:ascii="Arial" w:eastAsia="Calibri" w:hAnsi="Arial" w:cs="Arial"/>
          <w:lang w:val="es-ES_tradnl" w:eastAsia="es-ES"/>
        </w:rPr>
        <w:lastRenderedPageBreak/>
        <w:t xml:space="preserve">si bien se mantuvo el mandato de aplicación obligatoria de los documentos tipo por parte de las entidades sometidas al Estatuto General de Contratación de la Administración Pública, se atribuyó a la </w:t>
      </w:r>
      <w:r w:rsidRPr="009A573B">
        <w:rPr>
          <w:rFonts w:ascii="Arial" w:eastAsia="Calibri" w:hAnsi="Arial" w:cs="Arial"/>
          <w:lang w:val="es-ES_tradnl"/>
        </w:rPr>
        <w:t xml:space="preserve">Agencia Nacional de Contratación Pública – Colombia Compra Eficiente la competencia para su expedición. </w:t>
      </w:r>
      <w:r w:rsidRPr="009A573B">
        <w:rPr>
          <w:rFonts w:ascii="Arial" w:eastAsia="Calibri" w:hAnsi="Arial" w:cs="Arial"/>
          <w:lang w:val="es-ES_tradnl" w:eastAsia="es-ES"/>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6EEB905D" w14:textId="77777777" w:rsidR="00F20888" w:rsidRPr="009A573B" w:rsidRDefault="00F20888" w:rsidP="00F20888">
      <w:pPr>
        <w:spacing w:before="120" w:after="0" w:line="276" w:lineRule="auto"/>
        <w:ind w:firstLine="709"/>
        <w:jc w:val="both"/>
        <w:rPr>
          <w:rFonts w:ascii="Arial" w:eastAsia="Calibri" w:hAnsi="Arial" w:cs="Arial"/>
          <w:lang w:val="es-ES_tradnl" w:eastAsia="es-ES"/>
        </w:rPr>
      </w:pPr>
      <w:r w:rsidRPr="009A573B">
        <w:rPr>
          <w:rFonts w:ascii="Arial" w:eastAsia="Calibri" w:hAnsi="Arial" w:cs="Arial"/>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9A573B">
        <w:rPr>
          <w:rFonts w:ascii="Arial" w:eastAsia="Calibri" w:hAnsi="Arial" w:cs="Arial"/>
          <w:lang w:val="es-ES_tradnl" w:eastAsia="es-ES"/>
        </w:rPr>
        <w:t>entró en vigencia</w:t>
      </w:r>
      <w:proofErr w:type="gramEnd"/>
      <w:r w:rsidRPr="009A573B">
        <w:rPr>
          <w:rFonts w:ascii="Arial" w:eastAsia="Calibri" w:hAnsi="Arial" w:cs="Arial"/>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5E0E3F63" w14:textId="77777777" w:rsidR="00F20888" w:rsidRPr="009A573B" w:rsidRDefault="00F20888" w:rsidP="00F20888">
      <w:pPr>
        <w:spacing w:before="120" w:after="0" w:line="276" w:lineRule="auto"/>
        <w:ind w:firstLine="709"/>
        <w:jc w:val="both"/>
        <w:rPr>
          <w:rFonts w:ascii="Arial" w:eastAsia="Times New Roman" w:hAnsi="Arial" w:cs="Arial"/>
          <w:lang w:val="es-ES_tradnl" w:eastAsia="es-ES"/>
        </w:rPr>
      </w:pPr>
      <w:r w:rsidRPr="009A573B">
        <w:rPr>
          <w:rFonts w:ascii="Arial" w:eastAsia="Calibri" w:hAnsi="Arial" w:cs="Arial"/>
          <w:lang w:val="es-ES_tradnl" w:eastAsia="es-ES"/>
        </w:rPr>
        <w:t xml:space="preserve">A los actos administrativos mencionados se suman: i) la Resolución 193 de 14 de julio de 2021, </w:t>
      </w:r>
      <w:r w:rsidRPr="009A573B">
        <w:rPr>
          <w:rFonts w:ascii="Arial" w:eastAsia="Times New Roman" w:hAnsi="Arial" w:cs="Arial"/>
          <w:lang w:val="es-ES_tradnl" w:eastAsia="es-ES"/>
        </w:rPr>
        <w:t xml:space="preserve">«Por la cual se adoptan los documentos tipo para los procesos de selección de concurso de méritos, para contratar la consultoría de estudios de ingeniería de infraestructura de transporte», </w:t>
      </w:r>
      <w:proofErr w:type="spellStart"/>
      <w:r w:rsidRPr="009A573B">
        <w:rPr>
          <w:rFonts w:ascii="Arial" w:eastAsia="Times New Roman" w:hAnsi="Arial" w:cs="Arial"/>
          <w:lang w:val="es-ES_tradnl" w:eastAsia="es-ES"/>
        </w:rPr>
        <w:t>ii</w:t>
      </w:r>
      <w:proofErr w:type="spellEnd"/>
      <w:r w:rsidRPr="009A573B">
        <w:rPr>
          <w:rFonts w:ascii="Arial" w:eastAsia="Times New Roman" w:hAnsi="Arial" w:cs="Arial"/>
          <w:lang w:val="es-ES_tradnl" w:eastAsia="es-ES"/>
        </w:rPr>
        <w:t>)</w:t>
      </w:r>
      <w:r w:rsidRPr="009A573B">
        <w:rPr>
          <w:rFonts w:ascii="Arial" w:eastAsia="Calibri" w:hAnsi="Arial" w:cs="Arial"/>
          <w:lang w:val="es-ES_tradnl" w:eastAsia="es-ES"/>
        </w:rPr>
        <w:t xml:space="preserve"> la Resolución 219 de 2021,</w:t>
      </w:r>
      <w:r w:rsidRPr="009A573B">
        <w:rPr>
          <w:rFonts w:ascii="Arial" w:eastAsia="Times New Roman" w:hAnsi="Arial" w:cs="Arial"/>
          <w:lang w:val="es-ES_tradnl" w:eastAsia="es-ES"/>
        </w:rPr>
        <w:t xml:space="preserve"> «Por la cual se adoptan los documentos tipo para los procesos de licitación de obra pública de infraestructura social», </w:t>
      </w:r>
      <w:proofErr w:type="spellStart"/>
      <w:r w:rsidRPr="009A573B">
        <w:rPr>
          <w:rFonts w:ascii="Arial" w:eastAsia="Times New Roman" w:hAnsi="Arial" w:cs="Arial"/>
          <w:lang w:val="es-ES_tradnl" w:eastAsia="es-ES"/>
        </w:rPr>
        <w:t>iii</w:t>
      </w:r>
      <w:proofErr w:type="spellEnd"/>
      <w:r w:rsidRPr="009A573B">
        <w:rPr>
          <w:rFonts w:ascii="Arial" w:eastAsia="Times New Roman" w:hAnsi="Arial" w:cs="Arial"/>
          <w:lang w:val="es-ES_tradnl" w:eastAsia="es-ES"/>
        </w:rPr>
        <w:t xml:space="preserve">) la Resolución 220 del 6 de agosto de 2021, «Por la cual se adoptan los documentos tipo complementarios para los procesos de licitación de obra pública de infraestructura social relacionados con el sector educativo», </w:t>
      </w:r>
      <w:proofErr w:type="spellStart"/>
      <w:r w:rsidRPr="009A573B">
        <w:rPr>
          <w:rFonts w:ascii="Arial" w:eastAsia="Times New Roman" w:hAnsi="Arial" w:cs="Arial"/>
          <w:lang w:val="es-ES_tradnl" w:eastAsia="es-ES"/>
        </w:rPr>
        <w:t>iv</w:t>
      </w:r>
      <w:proofErr w:type="spellEnd"/>
      <w:r w:rsidRPr="009A573B">
        <w:rPr>
          <w:rFonts w:ascii="Arial" w:eastAsia="Times New Roman" w:hAnsi="Arial" w:cs="Arial"/>
          <w:lang w:val="es-ES_tradnl" w:eastAsia="es-ES"/>
        </w:rPr>
        <w:t xml:space="preserve">) la Resolución 392 del 18 de noviembre de 2021, «Por la cual se adoptan los documentos tipo complementarios para los procesos de </w:t>
      </w:r>
      <w:r w:rsidRPr="009A573B">
        <w:rPr>
          <w:rFonts w:ascii="Arial" w:eastAsia="Times New Roman" w:hAnsi="Arial" w:cs="Arial"/>
          <w:lang w:val="es-ES_tradnl" w:eastAsia="es-ES"/>
        </w:rPr>
        <w:lastRenderedPageBreak/>
        <w:t xml:space="preserve">licitación de obra pública de infraestructura social relacionados con el sector salud», y v) la Resolución 454 del 16 de diciembre de 2021, «Por la cual se adoptan los documentos tipo complementarios para los procesos de licitación de obra pública de infraestructura social relacionados con el sector cultura, recreación y deporte». </w:t>
      </w:r>
    </w:p>
    <w:p w14:paraId="63A29FB1" w14:textId="77777777" w:rsidR="00F20888" w:rsidRPr="009A573B" w:rsidRDefault="00F20888" w:rsidP="00F20888">
      <w:pPr>
        <w:spacing w:before="120" w:after="0" w:line="276" w:lineRule="auto"/>
        <w:ind w:firstLine="708"/>
        <w:jc w:val="both"/>
        <w:rPr>
          <w:rFonts w:ascii="Arial" w:eastAsia="Calibri" w:hAnsi="Arial" w:cs="Arial"/>
          <w:color w:val="000000"/>
          <w:lang w:val="es-ES_tradnl" w:eastAsia="es-ES"/>
        </w:rPr>
      </w:pPr>
      <w:r w:rsidRPr="009A573B">
        <w:rPr>
          <w:rFonts w:ascii="Arial" w:eastAsia="Calibri" w:hAnsi="Arial" w:cs="Arial"/>
          <w:color w:val="000000"/>
          <w:lang w:val="es-ES_tradnl" w:eastAsia="es-ES"/>
        </w:rPr>
        <w:t xml:space="preserve">Las resoluciones señaladas </w:t>
      </w:r>
      <w:r w:rsidRPr="009A573B">
        <w:rPr>
          <w:rFonts w:ascii="Arial" w:eastAsia="Times New Roman" w:hAnsi="Arial" w:cs="Arial"/>
          <w:color w:val="000000"/>
          <w:bdr w:val="none" w:sz="0" w:space="0" w:color="auto" w:frame="1"/>
          <w:lang w:eastAsia="es-MX"/>
        </w:rPr>
        <w:t>reiteran el alcance de la obligatoriedad de los documentos tipo en la materia</w:t>
      </w:r>
      <w:r w:rsidRPr="009A573B">
        <w:rPr>
          <w:rFonts w:ascii="Arial" w:eastAsia="Calibri" w:hAnsi="Arial" w:cs="Arial"/>
          <w:color w:val="000000"/>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Así, para determinar el ámbito de aplicación de los documentos tipo debe acudirse a la «Matriz – Experiencia», en la que se contemplan las clases de obra aplicables al sector, sean de infraestructura de transporte, agua potable y saneamiento básico o infraestructura social.</w:t>
      </w:r>
    </w:p>
    <w:p w14:paraId="70D52443"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 xml:space="preserve">En síntesis, hasta el momento se han expedido los siguientes documentos tipo que son obligatorios para todas las entidades sometidas al Estatuto General de Contratación de la Administración Pública: </w:t>
      </w:r>
    </w:p>
    <w:p w14:paraId="3BDD0BD0"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 xml:space="preserve">i) Documentos tipo para licitación de obra pública de infraestructura de transporte –versión 1–, obligatorios para los procesos cuyo aviso de convocatoria se haya publicado desde el 1 de abril de 2019. </w:t>
      </w:r>
    </w:p>
    <w:p w14:paraId="2A1AEC93"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proofErr w:type="spellStart"/>
      <w:r w:rsidRPr="009A573B">
        <w:rPr>
          <w:rFonts w:ascii="Arial" w:eastAsia="Calibri" w:hAnsi="Arial" w:cs="Arial"/>
          <w:color w:val="000000"/>
          <w:lang w:val="es-ES" w:eastAsia="es-ES"/>
        </w:rPr>
        <w:t>ii</w:t>
      </w:r>
      <w:proofErr w:type="spellEnd"/>
      <w:r w:rsidRPr="009A573B">
        <w:rPr>
          <w:rFonts w:ascii="Arial" w:eastAsia="Calibri" w:hAnsi="Arial" w:cs="Arial"/>
          <w:color w:val="000000"/>
          <w:lang w:val="es-ES" w:eastAsia="es-ES"/>
        </w:rPr>
        <w:t>) Documentos tipo para licitación de obra pública de infraestructura de transporte –versión 2–, obligatorios para los procesos cuyo aviso de convocatoria se haya publicado desde el 10 de marzo de 2020.</w:t>
      </w:r>
    </w:p>
    <w:p w14:paraId="65F29E37"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proofErr w:type="spellStart"/>
      <w:r w:rsidRPr="009A573B">
        <w:rPr>
          <w:rFonts w:ascii="Arial" w:eastAsia="Calibri" w:hAnsi="Arial" w:cs="Arial"/>
          <w:color w:val="000000"/>
          <w:lang w:val="es-ES" w:eastAsia="es-ES"/>
        </w:rPr>
        <w:t>iii</w:t>
      </w:r>
      <w:proofErr w:type="spellEnd"/>
      <w:r w:rsidRPr="009A573B">
        <w:rPr>
          <w:rFonts w:ascii="Arial" w:eastAsia="Calibri" w:hAnsi="Arial" w:cs="Arial"/>
          <w:color w:val="000000"/>
          <w:lang w:val="es-ES" w:eastAsia="es-ES"/>
        </w:rPr>
        <w:t>) Documentos tipo para licitación de obra pública de infraestructura de transporte –versión 3–, obligatorios para los procesos cuyo aviso de convocatoria se haya publicado desde el 1 de enero de 2021.</w:t>
      </w:r>
    </w:p>
    <w:p w14:paraId="27AC8384"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proofErr w:type="spellStart"/>
      <w:r w:rsidRPr="009A573B">
        <w:rPr>
          <w:rFonts w:ascii="Arial" w:eastAsia="Calibri" w:hAnsi="Arial" w:cs="Arial"/>
          <w:color w:val="000000"/>
          <w:lang w:val="es-ES" w:eastAsia="es-ES"/>
        </w:rPr>
        <w:t>iv</w:t>
      </w:r>
      <w:proofErr w:type="spellEnd"/>
      <w:r w:rsidRPr="009A573B">
        <w:rPr>
          <w:rFonts w:ascii="Arial" w:eastAsia="Calibri" w:hAnsi="Arial" w:cs="Arial"/>
          <w:color w:val="000000"/>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203E2922"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BBCD073"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vi) Documentos tipo para procesos de mínima cuantía de infraestructura de transporte, obligatorios para los procesos cuya invitación pública se haya publicado a partir del 10 de junio de 2020.</w:t>
      </w:r>
    </w:p>
    <w:p w14:paraId="6595901C"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proofErr w:type="spellStart"/>
      <w:r w:rsidRPr="009A573B">
        <w:rPr>
          <w:rFonts w:ascii="Arial" w:eastAsia="Calibri" w:hAnsi="Arial" w:cs="Arial"/>
          <w:color w:val="000000"/>
          <w:lang w:val="es-ES" w:eastAsia="es-ES"/>
        </w:rPr>
        <w:t>vii</w:t>
      </w:r>
      <w:proofErr w:type="spellEnd"/>
      <w:r w:rsidRPr="009A573B">
        <w:rPr>
          <w:rFonts w:ascii="Arial" w:eastAsia="Calibri" w:hAnsi="Arial" w:cs="Arial"/>
          <w:color w:val="000000"/>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35C67530"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proofErr w:type="spellStart"/>
      <w:r w:rsidRPr="009A573B">
        <w:rPr>
          <w:rFonts w:ascii="Arial" w:eastAsia="Calibri" w:hAnsi="Arial" w:cs="Arial"/>
          <w:color w:val="000000"/>
          <w:lang w:val="es-ES" w:eastAsia="es-ES"/>
        </w:rPr>
        <w:t>viii</w:t>
      </w:r>
      <w:proofErr w:type="spellEnd"/>
      <w:r w:rsidRPr="009A573B">
        <w:rPr>
          <w:rFonts w:ascii="Arial" w:eastAsia="Calibri" w:hAnsi="Arial" w:cs="Arial"/>
          <w:color w:val="000000"/>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198A8550"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proofErr w:type="spellStart"/>
      <w:r w:rsidRPr="009A573B">
        <w:rPr>
          <w:rFonts w:ascii="Arial" w:eastAsia="Calibri" w:hAnsi="Arial" w:cs="Arial"/>
          <w:color w:val="000000"/>
          <w:lang w:val="es-ES" w:eastAsia="es-ES"/>
        </w:rPr>
        <w:lastRenderedPageBreak/>
        <w:t>ix</w:t>
      </w:r>
      <w:proofErr w:type="spellEnd"/>
      <w:r w:rsidRPr="009A573B">
        <w:rPr>
          <w:rFonts w:ascii="Arial" w:eastAsia="Calibri" w:hAnsi="Arial" w:cs="Arial"/>
          <w:color w:val="000000"/>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7228FD7D" w14:textId="77777777" w:rsidR="00F20888" w:rsidRPr="009A573B" w:rsidRDefault="00F20888" w:rsidP="00F20888">
      <w:pPr>
        <w:spacing w:before="120" w:after="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x) Documentos tipo para procesos de gestión catastral con enfoque multipropósito que se celebren a través de contratos interadministrativos, a partir del 1 de febrero de 2021.</w:t>
      </w:r>
    </w:p>
    <w:p w14:paraId="2991A3CA" w14:textId="77777777" w:rsidR="00F20888" w:rsidRPr="009A573B" w:rsidRDefault="00F20888" w:rsidP="00F20888">
      <w:pPr>
        <w:spacing w:before="120" w:after="120" w:line="276" w:lineRule="auto"/>
        <w:ind w:firstLine="709"/>
        <w:jc w:val="both"/>
        <w:rPr>
          <w:rFonts w:ascii="Arial" w:eastAsia="Calibri" w:hAnsi="Arial" w:cs="Arial"/>
          <w:color w:val="000000"/>
          <w:lang w:val="es-ES" w:eastAsia="es-ES"/>
        </w:rPr>
      </w:pPr>
      <w:r w:rsidRPr="009A573B">
        <w:rPr>
          <w:rFonts w:ascii="Arial" w:eastAsia="Calibri" w:hAnsi="Arial" w:cs="Arial"/>
          <w:color w:val="000000"/>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53454E21" w14:textId="77777777" w:rsidR="00F20888" w:rsidRPr="009A573B" w:rsidRDefault="00F20888" w:rsidP="00F20888">
      <w:pPr>
        <w:spacing w:after="120" w:line="276" w:lineRule="auto"/>
        <w:ind w:firstLine="708"/>
        <w:jc w:val="both"/>
        <w:rPr>
          <w:rFonts w:ascii="Arial" w:eastAsia="Calibri" w:hAnsi="Arial" w:cs="Arial"/>
          <w:lang w:val="es-ES_tradnl" w:eastAsia="es-ES_tradnl"/>
        </w:rPr>
      </w:pPr>
      <w:proofErr w:type="spellStart"/>
      <w:r w:rsidRPr="009A573B">
        <w:rPr>
          <w:rFonts w:ascii="Arial" w:eastAsia="Calibri" w:hAnsi="Arial" w:cs="Arial"/>
          <w:color w:val="000000"/>
          <w:lang w:val="es-ES" w:eastAsia="es-ES"/>
        </w:rPr>
        <w:t>xii</w:t>
      </w:r>
      <w:proofErr w:type="spellEnd"/>
      <w:r w:rsidRPr="009A573B">
        <w:rPr>
          <w:rFonts w:ascii="Arial" w:eastAsia="Calibri" w:hAnsi="Arial" w:cs="Arial"/>
          <w:color w:val="000000"/>
          <w:lang w:val="es-ES" w:eastAsia="es-ES"/>
        </w:rPr>
        <w:t xml:space="preserve">) Documentos tipo para procesos de licitación de obra pública de infraestructura social, que </w:t>
      </w:r>
      <w:r w:rsidRPr="009A573B">
        <w:rPr>
          <w:rFonts w:ascii="Arial" w:eastAsia="Times New Roman" w:hAnsi="Arial" w:cs="Arial"/>
          <w:lang w:val="es-ES_tradnl" w:eastAsia="es-ES_tradnl"/>
        </w:rPr>
        <w:t>entrarán a regir de acuerdo con los términos establecidos en el artículo 6 de la Resolución 219 de 2021 −modificado por el artículo 1 de la Resolución 336 del 2 de noviembre de 2021−</w:t>
      </w:r>
      <w:r w:rsidRPr="009A573B">
        <w:rPr>
          <w:rFonts w:ascii="Arial" w:eastAsia="Calibri" w:hAnsi="Arial" w:cs="Arial"/>
          <w:lang w:val="es-ES_tradnl" w:eastAsia="es-ES_tradnl"/>
        </w:rPr>
        <w:t>.</w:t>
      </w:r>
    </w:p>
    <w:p w14:paraId="24D32859" w14:textId="77777777" w:rsidR="00F20888" w:rsidRPr="009A573B" w:rsidRDefault="00F20888" w:rsidP="00F20888">
      <w:pPr>
        <w:spacing w:after="120" w:line="276" w:lineRule="auto"/>
        <w:ind w:firstLine="708"/>
        <w:jc w:val="both"/>
        <w:rPr>
          <w:rFonts w:ascii="Arial" w:eastAsia="Calibri" w:hAnsi="Arial" w:cs="Arial"/>
          <w:lang w:val="es-ES_tradnl" w:eastAsia="es-ES_tradnl"/>
        </w:rPr>
      </w:pPr>
      <w:proofErr w:type="spellStart"/>
      <w:r w:rsidRPr="009A573B">
        <w:rPr>
          <w:rFonts w:ascii="Arial" w:eastAsia="Calibri" w:hAnsi="Arial" w:cs="Arial"/>
          <w:color w:val="000000"/>
          <w:lang w:val="es-ES" w:eastAsia="es-ES"/>
        </w:rPr>
        <w:t>xiii</w:t>
      </w:r>
      <w:proofErr w:type="spellEnd"/>
      <w:r w:rsidRPr="009A573B">
        <w:rPr>
          <w:rFonts w:ascii="Arial" w:eastAsia="Calibri" w:hAnsi="Arial" w:cs="Arial"/>
          <w:color w:val="000000"/>
          <w:lang w:val="es-ES" w:eastAsia="es-ES"/>
        </w:rPr>
        <w:t xml:space="preserve">) Documentos tipo complementarios para los procesos de licitación de obra pública de infraestructura social relacionados con el sector educativo, que </w:t>
      </w:r>
      <w:r w:rsidRPr="009A573B">
        <w:rPr>
          <w:rFonts w:ascii="Arial" w:eastAsia="Times New Roman" w:hAnsi="Arial" w:cs="Arial"/>
          <w:lang w:val="es-ES_tradnl" w:eastAsia="es-ES_tradnl"/>
        </w:rPr>
        <w:t>entrarán a regir de acuerdo con los términos establecidos en el artículo 6 de la Resolución 219 de 2021 −modificado por el artículo 1 de la Resolución 336 del 2 de noviembre de 2021−.</w:t>
      </w:r>
    </w:p>
    <w:p w14:paraId="53BFA86F" w14:textId="77777777" w:rsidR="00F20888" w:rsidRPr="009A573B" w:rsidRDefault="00F20888" w:rsidP="00F20888">
      <w:pPr>
        <w:spacing w:after="120" w:line="276" w:lineRule="auto"/>
        <w:ind w:firstLine="708"/>
        <w:jc w:val="both"/>
        <w:rPr>
          <w:rFonts w:ascii="Arial" w:eastAsia="Calibri" w:hAnsi="Arial" w:cs="Arial"/>
          <w:lang w:val="es-ES_tradnl" w:eastAsia="es-ES_tradnl"/>
        </w:rPr>
      </w:pPr>
      <w:proofErr w:type="spellStart"/>
      <w:r w:rsidRPr="009A573B">
        <w:rPr>
          <w:rFonts w:ascii="Arial" w:eastAsia="Calibri" w:hAnsi="Arial" w:cs="Arial"/>
          <w:color w:val="000000"/>
          <w:lang w:val="es-ES" w:eastAsia="es-ES"/>
        </w:rPr>
        <w:t>xiv</w:t>
      </w:r>
      <w:proofErr w:type="spellEnd"/>
      <w:r w:rsidRPr="009A573B">
        <w:rPr>
          <w:rFonts w:ascii="Arial" w:eastAsia="Calibri" w:hAnsi="Arial" w:cs="Arial"/>
          <w:color w:val="000000"/>
          <w:lang w:val="es-ES" w:eastAsia="es-ES"/>
        </w:rPr>
        <w:t xml:space="preserve">) Documentos tipo complementarios para los procesos de licitación de obra pública de infraestructura social relacionados con el sector salud, que entrarán a regir </w:t>
      </w:r>
      <w:r w:rsidRPr="009A573B">
        <w:rPr>
          <w:rFonts w:ascii="Arial" w:eastAsia="Times New Roman" w:hAnsi="Arial" w:cs="Arial"/>
          <w:lang w:val="es-ES_tradnl" w:eastAsia="es-ES_tradnl"/>
        </w:rPr>
        <w:t>de acuerdo con los términos establecidos en el artículo 6 de la Resolución 219 de 2021 −modificado por el artículo 1 de la Resolución 336 del 2 de noviembre de 2021− y en el artículo 4 de la Resolución 392 de 18 de noviembre de 2021</w:t>
      </w:r>
      <w:r w:rsidRPr="009A573B">
        <w:rPr>
          <w:rFonts w:ascii="Arial" w:eastAsia="Calibri" w:hAnsi="Arial" w:cs="Arial"/>
          <w:lang w:val="es-ES_tradnl" w:eastAsia="es-ES_tradnl"/>
        </w:rPr>
        <w:t>.</w:t>
      </w:r>
    </w:p>
    <w:p w14:paraId="7AAD9CD0" w14:textId="77777777" w:rsidR="00F20888" w:rsidRPr="009A573B" w:rsidRDefault="00F20888" w:rsidP="00F20888">
      <w:pPr>
        <w:spacing w:after="120" w:line="276" w:lineRule="auto"/>
        <w:ind w:firstLine="708"/>
        <w:jc w:val="both"/>
        <w:rPr>
          <w:rFonts w:ascii="Arial" w:eastAsia="Calibri" w:hAnsi="Arial" w:cs="Arial"/>
          <w:lang w:val="es-ES_tradnl" w:eastAsia="es-ES_tradnl"/>
        </w:rPr>
      </w:pPr>
      <w:proofErr w:type="spellStart"/>
      <w:r w:rsidRPr="009A573B">
        <w:rPr>
          <w:rFonts w:ascii="Arial" w:eastAsia="Calibri" w:hAnsi="Arial" w:cs="Arial"/>
          <w:lang w:val="es-ES_tradnl" w:eastAsia="es-ES_tradnl"/>
        </w:rPr>
        <w:t>xv</w:t>
      </w:r>
      <w:proofErr w:type="spellEnd"/>
      <w:r w:rsidRPr="009A573B">
        <w:rPr>
          <w:rFonts w:ascii="Arial" w:eastAsia="Calibri" w:hAnsi="Arial" w:cs="Arial"/>
          <w:lang w:val="es-ES_tradnl" w:eastAsia="es-ES_tradnl"/>
        </w:rPr>
        <w:t xml:space="preserve">) </w:t>
      </w:r>
      <w:r w:rsidRPr="009A573B">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9A573B">
        <w:rPr>
          <w:rFonts w:ascii="Arial" w:eastAsia="Calibri" w:hAnsi="Arial" w:cs="Arial"/>
          <w:lang w:val="es-ES_tradnl" w:eastAsia="es-ES_tradnl"/>
        </w:rPr>
        <w:t xml:space="preserve">, </w:t>
      </w:r>
      <w:r w:rsidRPr="009A573B">
        <w:rPr>
          <w:rFonts w:ascii="Arial" w:eastAsia="Calibri" w:hAnsi="Arial" w:cs="Arial"/>
          <w:color w:val="000000"/>
          <w:lang w:val="es-ES" w:eastAsia="es-ES"/>
        </w:rPr>
        <w:t xml:space="preserve">que entrarán a regir </w:t>
      </w:r>
      <w:r w:rsidRPr="009A573B">
        <w:rPr>
          <w:rFonts w:ascii="Arial" w:eastAsia="Times New Roman" w:hAnsi="Arial" w:cs="Arial"/>
          <w:lang w:val="es-ES_tradnl" w:eastAsia="es-ES_tradnl"/>
        </w:rPr>
        <w:t>de acuerdo con los términos establecidos en el artículo 4 de la Resolución 454 de 2021</w:t>
      </w:r>
    </w:p>
    <w:p w14:paraId="7165C661" w14:textId="77777777" w:rsidR="00F20888" w:rsidRDefault="00F20888" w:rsidP="00F20888">
      <w:pPr>
        <w:shd w:val="clear" w:color="auto" w:fill="FFFFFF"/>
        <w:spacing w:after="0" w:line="276" w:lineRule="auto"/>
        <w:ind w:firstLine="709"/>
        <w:jc w:val="both"/>
        <w:textAlignment w:val="baseline"/>
        <w:rPr>
          <w:rFonts w:ascii="Arial" w:hAnsi="Arial" w:cs="Arial"/>
        </w:rPr>
      </w:pPr>
      <w:r w:rsidRPr="00352354">
        <w:rPr>
          <w:rFonts w:ascii="Arial" w:eastAsia="Calibri" w:hAnsi="Arial" w:cs="Arial"/>
        </w:rPr>
        <w:t xml:space="preserve">De acuerdo con lo expuesto, </w:t>
      </w:r>
      <w:r w:rsidRPr="00352354">
        <w:rPr>
          <w:rFonts w:ascii="Arial" w:eastAsia="Calibri" w:hAnsi="Arial" w:cs="Arial"/>
          <w:color w:val="000000"/>
          <w:bdr w:val="none" w:sz="0" w:space="0" w:color="auto" w:frame="1"/>
        </w:rPr>
        <w:t>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w:t>
      </w:r>
    </w:p>
    <w:p w14:paraId="687869F4" w14:textId="77777777" w:rsidR="00F20888" w:rsidRDefault="00F20888" w:rsidP="00F20888">
      <w:pPr>
        <w:shd w:val="clear" w:color="auto" w:fill="FFFFFF"/>
        <w:spacing w:after="0" w:line="276" w:lineRule="auto"/>
        <w:ind w:firstLine="709"/>
        <w:jc w:val="both"/>
        <w:textAlignment w:val="baseline"/>
        <w:rPr>
          <w:rFonts w:ascii="Arial" w:eastAsia="Calibri" w:hAnsi="Arial" w:cs="Arial"/>
          <w:color w:val="000000"/>
          <w:bdr w:val="none" w:sz="0" w:space="0" w:color="auto" w:frame="1"/>
        </w:rPr>
      </w:pPr>
    </w:p>
    <w:p w14:paraId="6E859313" w14:textId="77777777" w:rsidR="00F20888" w:rsidRPr="009C0CE5" w:rsidRDefault="00F20888" w:rsidP="00F20888">
      <w:pPr>
        <w:spacing w:after="0" w:line="276" w:lineRule="auto"/>
        <w:jc w:val="both"/>
        <w:rPr>
          <w:rFonts w:ascii="Arial" w:eastAsia="Arial" w:hAnsi="Arial" w:cs="Arial"/>
          <w:b/>
          <w:bCs/>
          <w:color w:val="000000"/>
          <w:szCs w:val="24"/>
          <w:lang w:val="es-ES_tradnl" w:eastAsia="es-ES_tradnl"/>
        </w:rPr>
      </w:pPr>
      <w:r w:rsidRPr="009C0CE5">
        <w:rPr>
          <w:rFonts w:ascii="Arial" w:eastAsia="Arial" w:hAnsi="Arial" w:cs="Arial"/>
          <w:b/>
          <w:bCs/>
          <w:color w:val="000000"/>
          <w:szCs w:val="24"/>
          <w:lang w:val="es-ES_tradnl" w:eastAsia="es-ES_tradnl"/>
        </w:rPr>
        <w:t>2.2. Alcance de la regla de la inalterabilidad de los documentos tipo</w:t>
      </w:r>
    </w:p>
    <w:p w14:paraId="15682D27" w14:textId="77777777" w:rsidR="00F20888" w:rsidRPr="00882484" w:rsidRDefault="00F20888" w:rsidP="00F20888">
      <w:pPr>
        <w:spacing w:after="0" w:line="276" w:lineRule="auto"/>
        <w:jc w:val="both"/>
        <w:rPr>
          <w:rFonts w:ascii="Arial" w:eastAsia="Calibri" w:hAnsi="Arial" w:cs="Arial"/>
          <w:b/>
          <w:bCs/>
          <w:color w:val="000000"/>
          <w:szCs w:val="24"/>
          <w:lang w:eastAsia="en-GB"/>
        </w:rPr>
      </w:pPr>
    </w:p>
    <w:p w14:paraId="5898DE59" w14:textId="77777777" w:rsidR="00F20888" w:rsidRPr="00882484" w:rsidRDefault="00F20888" w:rsidP="00F20888">
      <w:pPr>
        <w:spacing w:after="0" w:line="276" w:lineRule="auto"/>
        <w:jc w:val="both"/>
        <w:rPr>
          <w:rFonts w:ascii="Arial" w:eastAsia="Calibri" w:hAnsi="Arial" w:cs="Arial"/>
          <w:color w:val="000000"/>
          <w:lang w:val="es-ES_tradnl"/>
        </w:rPr>
      </w:pPr>
      <w:r w:rsidRPr="00882484">
        <w:rPr>
          <w:rFonts w:ascii="Arial" w:eastAsia="Calibri" w:hAnsi="Arial" w:cs="Arial"/>
          <w:color w:val="000000"/>
          <w:lang w:val="es-ES_tradnl"/>
        </w:rPr>
        <w:t>Todas las resoluciones expedidas por la Agencia Nacional de Contratación Pública – Colombia Compra Eficiente, mediante las cuales se han adoptado los documentos tipo, consagran la regla de la inalterabilidad</w:t>
      </w:r>
      <w:r w:rsidRPr="00882484">
        <w:rPr>
          <w:rFonts w:ascii="Arial" w:eastAsia="Calibri" w:hAnsi="Arial" w:cs="Arial"/>
          <w:color w:val="000000"/>
          <w:vertAlign w:val="superscript"/>
          <w:lang w:val="es-ES_tradnl"/>
        </w:rPr>
        <w:footnoteReference w:id="6"/>
      </w:r>
      <w:r w:rsidRPr="00882484">
        <w:rPr>
          <w:rFonts w:ascii="Arial" w:eastAsia="Calibri" w:hAnsi="Arial" w:cs="Arial"/>
          <w:color w:val="000000"/>
          <w:lang w:val="es-ES_tradnl"/>
        </w:rPr>
        <w:t xml:space="preserve">. Esta prohibición consiste en que las entidades estatales no pueden incluir o modificar en los </w:t>
      </w:r>
      <w:r w:rsidRPr="00882484">
        <w:rPr>
          <w:rFonts w:ascii="Arial" w:eastAsia="Calibri" w:hAnsi="Arial" w:cs="Arial"/>
          <w:i/>
          <w:iCs/>
          <w:color w:val="000000"/>
          <w:lang w:val="es-ES_tradnl"/>
        </w:rPr>
        <w:t>Documentos del Proceso</w:t>
      </w:r>
      <w:r w:rsidRPr="00882484">
        <w:rPr>
          <w:rFonts w:ascii="Arial" w:eastAsia="Calibri" w:hAnsi="Arial" w:cs="Arial"/>
          <w:color w:val="000000"/>
          <w:lang w:val="es-ES_tradnl"/>
        </w:rPr>
        <w:t xml:space="preserve"> las condiciones </w:t>
      </w:r>
      <w:r w:rsidRPr="00882484">
        <w:rPr>
          <w:rFonts w:ascii="Arial" w:eastAsia="Calibri" w:hAnsi="Arial" w:cs="Arial"/>
          <w:color w:val="000000"/>
          <w:lang w:val="es-ES_tradnl"/>
        </w:rPr>
        <w:lastRenderedPageBreak/>
        <w:t>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por lo que no pueden variarse los requisitos fijados en ellos. Por lo tanto, las entidades estatales, al realizar sus procedimientos de selección, solo podrán modificarlos en los aspectos en que los documentos tipo lo permitan.</w:t>
      </w:r>
    </w:p>
    <w:p w14:paraId="7B96EA79" w14:textId="77777777" w:rsidR="00F20888" w:rsidRPr="009C0CE5" w:rsidRDefault="00F20888" w:rsidP="00F20888">
      <w:pPr>
        <w:spacing w:before="120" w:after="120" w:line="276" w:lineRule="auto"/>
        <w:ind w:firstLine="709"/>
        <w:jc w:val="both"/>
        <w:rPr>
          <w:rFonts w:ascii="Arial" w:eastAsia="Times New Roman" w:hAnsi="Arial" w:cs="Arial"/>
          <w:shd w:val="clear" w:color="auto" w:fill="FFFFFF"/>
          <w:lang w:val="es-ES_tradnl" w:eastAsia="es-ES_tradnl"/>
        </w:rPr>
      </w:pPr>
      <w:r w:rsidRPr="009C0CE5">
        <w:rPr>
          <w:rFonts w:ascii="Arial" w:eastAsia="Times New Roman" w:hAnsi="Arial" w:cs="Arial"/>
          <w:shd w:val="clear" w:color="auto" w:fill="FFFFFF"/>
          <w:lang w:val="es-ES_tradnl" w:eastAsia="es-ES_tradnl"/>
        </w:rPr>
        <w:t xml:space="preserve">El fundamento legal vigente de la regla de la </w:t>
      </w:r>
      <w:r w:rsidRPr="009C0CE5">
        <w:rPr>
          <w:rFonts w:ascii="Arial" w:eastAsia="Times New Roman" w:hAnsi="Arial" w:cs="Arial"/>
          <w:szCs w:val="24"/>
          <w:shd w:val="clear" w:color="auto" w:fill="FFFFFF"/>
          <w:lang w:val="es-ES_tradnl" w:eastAsia="es-ES_tradnl"/>
        </w:rPr>
        <w:t xml:space="preserve">inalterabilidad </w:t>
      </w:r>
      <w:r w:rsidRPr="009C0CE5">
        <w:rPr>
          <w:rFonts w:ascii="Arial" w:eastAsia="Times New Roman" w:hAnsi="Arial" w:cs="Arial"/>
          <w:shd w:val="clear" w:color="auto" w:fill="FFFFFF"/>
          <w:lang w:val="es-ES_tradnl" w:eastAsia="es-ES_tradnl"/>
        </w:rPr>
        <w:t>se encuentra en el artículo 1 de la Ley 2022 de 2020, según el cual «</w:t>
      </w:r>
      <w:r w:rsidRPr="009C0CE5">
        <w:rPr>
          <w:rFonts w:ascii="Arial" w:eastAsia="Times New Roman" w:hAnsi="Arial" w:cs="Arial"/>
          <w:lang w:val="es-ES_tradnl" w:eastAsia="es-ES_tradnl"/>
        </w:rPr>
        <w:t xml:space="preserve">[…] </w:t>
      </w:r>
      <w:r w:rsidRPr="009C0CE5">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w:t>
      </w:r>
      <w:r>
        <w:rPr>
          <w:rFonts w:ascii="Arial" w:eastAsia="Times New Roman" w:hAnsi="Arial" w:cs="Arial"/>
          <w:shd w:val="clear" w:color="auto" w:fill="FFFFFF"/>
          <w:lang w:val="es-ES_tradnl" w:eastAsia="es-ES_tradnl"/>
        </w:rPr>
        <w:t>, el cual tenía como antecedente normativo</w:t>
      </w:r>
      <w:r w:rsidRPr="009C0CE5">
        <w:rPr>
          <w:rFonts w:ascii="Arial" w:eastAsia="Times New Roman" w:hAnsi="Arial" w:cs="Arial"/>
          <w:shd w:val="clear" w:color="auto" w:fill="FFFFFF"/>
          <w:lang w:val="es-ES_tradnl" w:eastAsia="es-ES_tradnl"/>
        </w:rPr>
        <w:t xml:space="preserve">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67AE249B" w14:textId="77777777" w:rsidR="00F20888" w:rsidRDefault="00F20888" w:rsidP="00F20888">
      <w:pPr>
        <w:spacing w:after="0" w:line="276" w:lineRule="auto"/>
        <w:ind w:firstLine="709"/>
        <w:jc w:val="both"/>
        <w:rPr>
          <w:rFonts w:ascii="Arial" w:eastAsia="Times New Roman" w:hAnsi="Arial" w:cs="Arial"/>
          <w:shd w:val="clear" w:color="auto" w:fill="FFFFFF"/>
          <w:lang w:val="es-ES_tradnl" w:eastAsia="es-ES_tradnl"/>
        </w:rPr>
      </w:pPr>
      <w:r>
        <w:rPr>
          <w:rFonts w:ascii="Arial" w:eastAsia="Times New Roman" w:hAnsi="Arial" w:cs="Arial"/>
          <w:shd w:val="clear" w:color="auto" w:fill="FFFFFF"/>
          <w:lang w:val="es-ES_tradnl" w:eastAsia="es-ES_tradnl"/>
        </w:rPr>
        <w:t>Por tanto</w:t>
      </w:r>
      <w:r w:rsidRPr="00FE46D7">
        <w:rPr>
          <w:rFonts w:ascii="Arial" w:eastAsia="Times New Roman" w:hAnsi="Arial" w:cs="Arial"/>
          <w:shd w:val="clear" w:color="auto" w:fill="FFFFFF"/>
          <w:lang w:val="es-ES_tradnl" w:eastAsia="es-ES_tradnl"/>
        </w:rPr>
        <w:t xml:space="preserve">,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 cuando </w:t>
      </w:r>
      <w:r>
        <w:rPr>
          <w:rFonts w:ascii="Arial" w:eastAsia="Times New Roman" w:hAnsi="Arial" w:cs="Arial"/>
          <w:shd w:val="clear" w:color="auto" w:fill="FFFFFF"/>
          <w:lang w:val="es-ES_tradnl" w:eastAsia="es-ES_tradnl"/>
        </w:rPr>
        <w:t>prescribe</w:t>
      </w:r>
      <w:r w:rsidRPr="00FE46D7">
        <w:rPr>
          <w:rFonts w:ascii="Arial" w:eastAsia="Times New Roman" w:hAnsi="Arial" w:cs="Arial"/>
          <w:shd w:val="clear" w:color="auto" w:fill="FFFFFF"/>
          <w:lang w:val="es-ES_tradnl" w:eastAsia="es-ES_tradnl"/>
        </w:rPr>
        <w:t xml:space="preserve"> que «[…] </w:t>
      </w:r>
      <w:r w:rsidRPr="00FE46D7">
        <w:rPr>
          <w:rFonts w:ascii="Arial" w:hAnsi="Arial" w:cs="Arial"/>
        </w:rPr>
        <w:t>las entidades estatales al adelantar sus procedimientos de selección solo podrán modificarlos en los aspectos en que los documentos tipo lo permitan</w:t>
      </w:r>
      <w:r w:rsidRPr="00FE46D7">
        <w:rPr>
          <w:rFonts w:ascii="Arial" w:eastAsia="Times New Roman" w:hAnsi="Arial" w:cs="Arial"/>
          <w:shd w:val="clear" w:color="auto" w:fill="FFFFFF"/>
          <w:lang w:val="es-ES_tradnl" w:eastAsia="es-ES_tradnl"/>
        </w:rPr>
        <w:t xml:space="preserve">». </w:t>
      </w:r>
      <w:r>
        <w:rPr>
          <w:rFonts w:ascii="Arial" w:eastAsia="Times New Roman" w:hAnsi="Arial" w:cs="Arial"/>
          <w:shd w:val="clear" w:color="auto" w:fill="FFFFFF"/>
          <w:lang w:val="es-ES_tradnl" w:eastAsia="es-ES_tradnl"/>
        </w:rPr>
        <w:t>Por tanto, frente a los documentos tipo rige la regla de la inalterabilidad, explicada anteriormente.</w:t>
      </w:r>
    </w:p>
    <w:p w14:paraId="1EBF49DE" w14:textId="77777777" w:rsidR="00F20888" w:rsidRDefault="00F20888" w:rsidP="00F20888">
      <w:pPr>
        <w:spacing w:after="0"/>
        <w:jc w:val="both"/>
        <w:rPr>
          <w:rFonts w:ascii="Arial" w:hAnsi="Arial" w:cs="Arial"/>
          <w:b/>
          <w:bCs/>
          <w:lang w:val="es-ES" w:eastAsia="es-CO"/>
        </w:rPr>
      </w:pPr>
    </w:p>
    <w:p w14:paraId="0105E542" w14:textId="516710D9" w:rsidR="001B29AA" w:rsidRPr="001B29AA" w:rsidRDefault="000B66F1" w:rsidP="001B29AA">
      <w:pPr>
        <w:tabs>
          <w:tab w:val="left" w:pos="0"/>
        </w:tabs>
        <w:spacing w:after="0" w:line="276" w:lineRule="auto"/>
        <w:jc w:val="both"/>
        <w:rPr>
          <w:rFonts w:ascii="Arial" w:eastAsia="Calibri" w:hAnsi="Arial" w:cs="Arial"/>
          <w:b/>
          <w:bCs/>
          <w:color w:val="000000"/>
          <w:szCs w:val="24"/>
          <w:lang w:val="pt-BR" w:eastAsia="en-GB"/>
        </w:rPr>
      </w:pPr>
      <w:r w:rsidRPr="000B66F1">
        <w:rPr>
          <w:rFonts w:ascii="Arial" w:eastAsia="Times New Roman" w:hAnsi="Arial" w:cs="Arial"/>
          <w:b/>
          <w:bCs/>
          <w:color w:val="000000"/>
          <w:szCs w:val="24"/>
          <w:lang w:eastAsia="es-ES_tradnl"/>
        </w:rPr>
        <w:t>2.3</w:t>
      </w:r>
      <w:r w:rsidR="001B29AA">
        <w:rPr>
          <w:rFonts w:ascii="Arial" w:eastAsia="Times New Roman" w:hAnsi="Arial" w:cs="Arial"/>
          <w:b/>
          <w:bCs/>
          <w:color w:val="000000"/>
          <w:szCs w:val="24"/>
          <w:lang w:eastAsia="es-ES_tradnl"/>
        </w:rPr>
        <w:t xml:space="preserve">. </w:t>
      </w:r>
      <w:r w:rsidR="001B29AA" w:rsidRPr="001B29AA">
        <w:rPr>
          <w:rFonts w:ascii="Arial" w:eastAsia="Times New Roman" w:hAnsi="Arial" w:cs="Arial"/>
          <w:b/>
          <w:bCs/>
          <w:color w:val="000000"/>
          <w:szCs w:val="24"/>
          <w:lang w:val="es-ES_tradnl" w:eastAsia="es-ES_tradnl"/>
        </w:rPr>
        <w:t>Precios artificialmente bajos</w:t>
      </w:r>
    </w:p>
    <w:p w14:paraId="5A38BEB6" w14:textId="77777777" w:rsidR="001B29AA" w:rsidRPr="001B29AA" w:rsidRDefault="001B29AA" w:rsidP="001B29AA">
      <w:pPr>
        <w:tabs>
          <w:tab w:val="left" w:pos="0"/>
        </w:tabs>
        <w:spacing w:after="0" w:line="276" w:lineRule="auto"/>
        <w:jc w:val="both"/>
        <w:rPr>
          <w:rFonts w:ascii="Arial" w:eastAsia="Calibri" w:hAnsi="Arial" w:cs="Arial"/>
          <w:b/>
          <w:bCs/>
          <w:color w:val="000000"/>
          <w:szCs w:val="24"/>
          <w:lang w:val="pt-BR" w:eastAsia="en-GB"/>
        </w:rPr>
      </w:pPr>
    </w:p>
    <w:p w14:paraId="4DF92CA0" w14:textId="154BDD71" w:rsidR="001B29AA" w:rsidRPr="001B29AA" w:rsidRDefault="001B29AA" w:rsidP="001B29AA">
      <w:pPr>
        <w:tabs>
          <w:tab w:val="left" w:pos="0"/>
        </w:tabs>
        <w:spacing w:after="0" w:line="276" w:lineRule="auto"/>
        <w:jc w:val="both"/>
        <w:rPr>
          <w:rFonts w:ascii="Arial" w:eastAsia="Calibri" w:hAnsi="Arial" w:cs="Arial"/>
          <w:b/>
          <w:bCs/>
          <w:color w:val="000000"/>
          <w:szCs w:val="24"/>
          <w:lang w:val="es-ES" w:eastAsia="en-GB"/>
        </w:rPr>
      </w:pPr>
      <w:r w:rsidRPr="001B29AA">
        <w:rPr>
          <w:rFonts w:ascii="Arial" w:eastAsia="Times New Roman" w:hAnsi="Arial" w:cs="Arial"/>
          <w:b/>
          <w:bCs/>
          <w:color w:val="000000"/>
          <w:szCs w:val="24"/>
          <w:lang w:val="es-ES_tradnl" w:eastAsia="es-ES_tradnl"/>
        </w:rPr>
        <w:t>2.</w:t>
      </w:r>
      <w:r>
        <w:rPr>
          <w:rFonts w:ascii="Arial" w:eastAsia="Times New Roman" w:hAnsi="Arial" w:cs="Arial"/>
          <w:b/>
          <w:bCs/>
          <w:color w:val="000000"/>
          <w:szCs w:val="24"/>
          <w:lang w:val="es-ES_tradnl" w:eastAsia="es-ES_tradnl"/>
        </w:rPr>
        <w:t>3</w:t>
      </w:r>
      <w:r w:rsidRPr="001B29AA">
        <w:rPr>
          <w:rFonts w:ascii="Arial" w:eastAsia="Times New Roman" w:hAnsi="Arial" w:cs="Arial"/>
          <w:b/>
          <w:bCs/>
          <w:color w:val="000000"/>
          <w:szCs w:val="24"/>
          <w:lang w:val="es-ES_tradnl" w:eastAsia="es-ES_tradnl"/>
        </w:rPr>
        <w:t>.1. Definición</w:t>
      </w:r>
      <w:r w:rsidR="004E272E">
        <w:rPr>
          <w:rFonts w:ascii="Arial" w:eastAsia="Times New Roman" w:hAnsi="Arial" w:cs="Arial"/>
          <w:b/>
          <w:bCs/>
          <w:color w:val="000000"/>
          <w:szCs w:val="24"/>
          <w:lang w:val="es-ES_tradnl" w:eastAsia="es-ES_tradnl"/>
        </w:rPr>
        <w:t xml:space="preserve"> </w:t>
      </w:r>
      <w:r w:rsidRPr="001B29AA">
        <w:rPr>
          <w:rFonts w:ascii="Arial" w:eastAsia="Calibri" w:hAnsi="Arial" w:cs="Arial"/>
          <w:b/>
          <w:bCs/>
          <w:color w:val="000000"/>
          <w:szCs w:val="24"/>
          <w:lang w:val="es-ES" w:eastAsia="en-GB"/>
        </w:rPr>
        <w:t>y procedimiento en caso de recibir ofertas con precios artificialmente bajos</w:t>
      </w:r>
    </w:p>
    <w:p w14:paraId="6B31D9A1" w14:textId="77777777" w:rsidR="001B29AA" w:rsidRPr="001B29AA" w:rsidRDefault="001B29AA" w:rsidP="001B29AA">
      <w:pPr>
        <w:tabs>
          <w:tab w:val="left" w:pos="0"/>
        </w:tabs>
        <w:spacing w:after="0" w:line="276" w:lineRule="auto"/>
        <w:jc w:val="both"/>
        <w:rPr>
          <w:rFonts w:ascii="Arial" w:eastAsia="Calibri" w:hAnsi="Arial" w:cs="Arial"/>
          <w:b/>
          <w:bCs/>
          <w:color w:val="000000"/>
          <w:szCs w:val="24"/>
          <w:lang w:val="es-ES" w:eastAsia="en-GB"/>
        </w:rPr>
      </w:pPr>
    </w:p>
    <w:p w14:paraId="7276D7B7" w14:textId="089E8C38" w:rsidR="001B29AA" w:rsidRPr="001B29AA" w:rsidRDefault="001B29AA" w:rsidP="001B29AA">
      <w:pPr>
        <w:tabs>
          <w:tab w:val="left" w:pos="0"/>
        </w:tabs>
        <w:spacing w:after="0" w:line="276" w:lineRule="auto"/>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El precio artificialmente bajo es definido como aquel que, además de ser muy reducido, no encuentre fundamento en su estructuración en el tráfico comercial. Al respecto, la «Guía para el manejo de ofertas artificialmente bajas en Procesos de Contratación»</w:t>
      </w:r>
      <w:r w:rsidR="00DD0B7D">
        <w:rPr>
          <w:rStyle w:val="Refdenotaalpie"/>
          <w:rFonts w:ascii="Arial" w:eastAsia="Times New Roman" w:hAnsi="Arial" w:cs="Arial"/>
          <w:color w:val="000000"/>
          <w:szCs w:val="24"/>
          <w:lang w:val="es-ES" w:eastAsia="es-ES_tradnl"/>
        </w:rPr>
        <w:footnoteReference w:id="7"/>
      </w:r>
      <w:r w:rsidRPr="001B29AA">
        <w:rPr>
          <w:rFonts w:ascii="Arial" w:eastAsia="Times New Roman" w:hAnsi="Arial" w:cs="Arial"/>
          <w:color w:val="000000"/>
          <w:szCs w:val="24"/>
          <w:lang w:val="es-ES" w:eastAsia="es-ES_tradnl"/>
        </w:rPr>
        <w:t xml:space="preserve">, establece </w:t>
      </w:r>
      <w:r w:rsidRPr="001B29AA">
        <w:rPr>
          <w:rFonts w:ascii="Arial" w:eastAsia="Times New Roman" w:hAnsi="Arial" w:cs="Arial"/>
          <w:color w:val="000000"/>
          <w:szCs w:val="24"/>
          <w:lang w:val="es-ES" w:eastAsia="es-ES_tradnl"/>
        </w:rPr>
        <w:lastRenderedPageBreak/>
        <w:t>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similar sentido, el Consejo de Estado definió los precios artificialmente bajos en los siguientes términos:</w:t>
      </w:r>
    </w:p>
    <w:p w14:paraId="543E8CC7" w14:textId="77777777" w:rsidR="001B29AA" w:rsidRPr="001B29AA" w:rsidRDefault="001B29AA" w:rsidP="001B29AA">
      <w:pPr>
        <w:tabs>
          <w:tab w:val="left" w:pos="0"/>
        </w:tabs>
        <w:spacing w:after="0" w:line="276" w:lineRule="auto"/>
        <w:ind w:left="709" w:right="709"/>
        <w:jc w:val="both"/>
        <w:rPr>
          <w:rFonts w:ascii="Arial" w:eastAsia="Times New Roman" w:hAnsi="Arial" w:cs="Arial"/>
          <w:color w:val="000000"/>
          <w:szCs w:val="24"/>
          <w:lang w:val="es-ES" w:eastAsia="es-ES_tradnl"/>
        </w:rPr>
      </w:pPr>
    </w:p>
    <w:p w14:paraId="7EAB8D86" w14:textId="77777777" w:rsidR="001B29AA" w:rsidRPr="001B29AA" w:rsidRDefault="001B29AA" w:rsidP="001B29AA">
      <w:pPr>
        <w:tabs>
          <w:tab w:val="left" w:pos="0"/>
        </w:tabs>
        <w:spacing w:after="0" w:line="240" w:lineRule="auto"/>
        <w:ind w:left="709" w:right="709"/>
        <w:jc w:val="both"/>
        <w:rPr>
          <w:rFonts w:ascii="Arial" w:eastAsia="Times New Roman" w:hAnsi="Arial" w:cs="Arial"/>
          <w:color w:val="000000"/>
          <w:sz w:val="21"/>
          <w:szCs w:val="21"/>
          <w:lang w:val="es-ES" w:eastAsia="es-ES_tradnl"/>
        </w:rPr>
      </w:pPr>
      <w:r w:rsidRPr="001B29AA">
        <w:rPr>
          <w:rFonts w:ascii="Arial" w:eastAsia="Times New Roman" w:hAnsi="Arial" w:cs="Arial"/>
          <w:color w:val="000000"/>
          <w:sz w:val="21"/>
          <w:szCs w:val="21"/>
          <w:lang w:val="es-ES" w:eastAsia="es-ES_tradnl"/>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1B29AA">
        <w:rPr>
          <w:rFonts w:ascii="Arial" w:eastAsia="Times New Roman" w:hAnsi="Arial" w:cs="Arial"/>
          <w:color w:val="000000"/>
          <w:szCs w:val="24"/>
          <w:vertAlign w:val="superscript"/>
          <w:lang w:val="es-ES" w:eastAsia="es-ES_tradnl"/>
        </w:rPr>
        <w:footnoteReference w:id="8"/>
      </w:r>
      <w:r w:rsidRPr="001B29AA">
        <w:rPr>
          <w:rFonts w:ascii="Arial" w:eastAsia="Times New Roman" w:hAnsi="Arial" w:cs="Arial"/>
          <w:color w:val="000000"/>
          <w:sz w:val="21"/>
          <w:szCs w:val="21"/>
          <w:lang w:val="es-ES" w:eastAsia="es-ES_tradnl"/>
        </w:rPr>
        <w:t>.</w:t>
      </w:r>
    </w:p>
    <w:p w14:paraId="166148B7" w14:textId="77777777" w:rsidR="001B29AA" w:rsidRPr="001B29AA" w:rsidRDefault="001B29AA" w:rsidP="001B29AA">
      <w:pPr>
        <w:tabs>
          <w:tab w:val="left" w:pos="0"/>
        </w:tabs>
        <w:spacing w:after="0" w:line="276" w:lineRule="auto"/>
        <w:ind w:left="709" w:right="709"/>
        <w:jc w:val="both"/>
        <w:rPr>
          <w:rFonts w:ascii="Arial" w:eastAsia="Times New Roman" w:hAnsi="Arial" w:cs="Arial"/>
          <w:color w:val="000000"/>
          <w:szCs w:val="24"/>
          <w:lang w:val="es-ES" w:eastAsia="es-ES_tradnl"/>
        </w:rPr>
      </w:pPr>
    </w:p>
    <w:p w14:paraId="2D2F51D9" w14:textId="77777777" w:rsidR="001B29AA" w:rsidRPr="001B29AA" w:rsidRDefault="001B29AA" w:rsidP="001B29AA">
      <w:pPr>
        <w:tabs>
          <w:tab w:val="left" w:pos="0"/>
        </w:tabs>
        <w:spacing w:after="0" w:line="276" w:lineRule="auto"/>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ab/>
        <w:t>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antes mencionada.</w:t>
      </w:r>
    </w:p>
    <w:p w14:paraId="0B63C29C" w14:textId="77777777" w:rsidR="001B29AA" w:rsidRPr="001B29AA" w:rsidRDefault="001B29AA" w:rsidP="001B29AA">
      <w:pPr>
        <w:spacing w:before="120" w:after="0" w:line="276" w:lineRule="auto"/>
        <w:ind w:firstLine="709"/>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En consecuencia, las ofertas artificialmente bajas para efectos del proceso de selección son aquellas que, de acuerdo con las condiciones comerciales y económicas del mercado y con la información recaudada en la etapa de planeación, tienen apariencia de insuficiencia para efectos de la ejecución adecuada del contrato. En estos casos, la entidad estaría imposibilitada para aceptar la propuesta artificialmente baja, so pena de la infracción de los principios de la contratación pública.</w:t>
      </w:r>
    </w:p>
    <w:p w14:paraId="0D2D86CF" w14:textId="77777777" w:rsidR="001B29AA" w:rsidRPr="001B29AA" w:rsidRDefault="001B29AA" w:rsidP="001B29AA">
      <w:pPr>
        <w:spacing w:before="120" w:after="0" w:line="276" w:lineRule="auto"/>
        <w:ind w:firstLine="709"/>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El artículo </w:t>
      </w:r>
      <w:bookmarkStart w:id="4" w:name="_Hlk93994747"/>
      <w:r w:rsidRPr="001B29AA">
        <w:rPr>
          <w:rFonts w:ascii="Arial" w:eastAsia="Times New Roman" w:hAnsi="Arial" w:cs="Arial"/>
          <w:color w:val="000000"/>
          <w:szCs w:val="24"/>
          <w:lang w:val="es-ES" w:eastAsia="es-ES_tradnl"/>
        </w:rPr>
        <w:t>2.2.1.1.2.2.4. del Decreto 1082 de 2015</w:t>
      </w:r>
      <w:bookmarkEnd w:id="4"/>
      <w:r w:rsidRPr="001B29AA">
        <w:rPr>
          <w:rFonts w:ascii="Arial" w:eastAsia="Times New Roman" w:hAnsi="Arial" w:cs="Arial"/>
          <w:color w:val="000000"/>
          <w:szCs w:val="24"/>
          <w:lang w:val="es-ES" w:eastAsia="es-ES_tradnl"/>
        </w:rPr>
        <w:t xml:space="preserve"> regula el procedimiento a seguir en los eventos en que se presenten propuestas con valor artificialmente bajo, así: </w:t>
      </w:r>
    </w:p>
    <w:p w14:paraId="26996627" w14:textId="77777777" w:rsidR="001B29AA" w:rsidRPr="001B29AA" w:rsidRDefault="001B29AA" w:rsidP="001B29AA">
      <w:pPr>
        <w:spacing w:after="0" w:line="276" w:lineRule="auto"/>
        <w:ind w:firstLine="709"/>
        <w:jc w:val="both"/>
        <w:rPr>
          <w:rFonts w:ascii="Arial" w:eastAsia="Times New Roman" w:hAnsi="Arial" w:cs="Arial"/>
          <w:color w:val="000000"/>
          <w:szCs w:val="24"/>
          <w:lang w:val="es-ES" w:eastAsia="es-ES_tradnl"/>
        </w:rPr>
      </w:pPr>
    </w:p>
    <w:p w14:paraId="65F0AD6C" w14:textId="77777777" w:rsidR="001B29AA" w:rsidRPr="001B29AA" w:rsidRDefault="001B29AA" w:rsidP="001B29AA">
      <w:pPr>
        <w:spacing w:after="120" w:line="240" w:lineRule="auto"/>
        <w:ind w:left="709" w:right="709"/>
        <w:jc w:val="both"/>
        <w:rPr>
          <w:rFonts w:ascii="Arial" w:eastAsia="Times New Roman" w:hAnsi="Arial" w:cs="Arial"/>
          <w:color w:val="000000"/>
          <w:sz w:val="21"/>
          <w:szCs w:val="21"/>
          <w:lang w:val="es-ES" w:eastAsia="es-ES_tradnl"/>
        </w:rPr>
      </w:pPr>
      <w:r w:rsidRPr="001B29AA">
        <w:rPr>
          <w:rFonts w:ascii="Arial" w:eastAsia="Times New Roman" w:hAnsi="Arial" w:cs="Arial"/>
          <w:color w:val="000000"/>
          <w:sz w:val="21"/>
          <w:szCs w:val="21"/>
          <w:lang w:val="es-ES" w:eastAsia="es-ES_tradnl"/>
        </w:rPr>
        <w:t xml:space="preserve">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proofErr w:type="gramStart"/>
      <w:r w:rsidRPr="001B29AA">
        <w:rPr>
          <w:rFonts w:ascii="Arial" w:eastAsia="Times New Roman" w:hAnsi="Arial" w:cs="Arial"/>
          <w:color w:val="000000"/>
          <w:sz w:val="21"/>
          <w:szCs w:val="21"/>
          <w:lang w:val="es-ES" w:eastAsia="es-ES_tradnl"/>
        </w:rPr>
        <w:t>la misma</w:t>
      </w:r>
      <w:proofErr w:type="gramEnd"/>
      <w:r w:rsidRPr="001B29AA">
        <w:rPr>
          <w:rFonts w:ascii="Arial" w:eastAsia="Times New Roman" w:hAnsi="Arial" w:cs="Arial"/>
          <w:color w:val="000000"/>
          <w:sz w:val="21"/>
          <w:szCs w:val="21"/>
          <w:lang w:val="es-ES" w:eastAsia="es-ES_tradnl"/>
        </w:rPr>
        <w:t xml:space="preserve"> en la evaluación de las ofertas.</w:t>
      </w:r>
    </w:p>
    <w:p w14:paraId="5D39FE78" w14:textId="77777777" w:rsidR="001B29AA" w:rsidRPr="001B29AA" w:rsidRDefault="001B29AA" w:rsidP="001B29AA">
      <w:pPr>
        <w:spacing w:after="120" w:line="240" w:lineRule="auto"/>
        <w:ind w:left="709" w:right="709"/>
        <w:jc w:val="both"/>
        <w:rPr>
          <w:rFonts w:ascii="Arial" w:eastAsia="Times New Roman" w:hAnsi="Arial" w:cs="Arial"/>
          <w:color w:val="000000"/>
          <w:sz w:val="21"/>
          <w:szCs w:val="21"/>
          <w:lang w:val="es-ES" w:eastAsia="es-ES_tradnl"/>
        </w:rPr>
      </w:pPr>
      <w:r w:rsidRPr="001B29AA">
        <w:rPr>
          <w:rFonts w:ascii="Arial" w:eastAsia="Times New Roman" w:hAnsi="Arial" w:cs="Arial"/>
          <w:color w:val="000000"/>
          <w:sz w:val="21"/>
          <w:szCs w:val="21"/>
          <w:lang w:val="es-ES" w:eastAsia="es-ES_tradnl"/>
        </w:rPr>
        <w:t xml:space="preserve">Cuando el valor de la oferta sobre la cual la Entidad Estatal tuvo dudas sobre su </w:t>
      </w:r>
      <w:proofErr w:type="gramStart"/>
      <w:r w:rsidRPr="001B29AA">
        <w:rPr>
          <w:rFonts w:ascii="Arial" w:eastAsia="Times New Roman" w:hAnsi="Arial" w:cs="Arial"/>
          <w:color w:val="000000"/>
          <w:sz w:val="21"/>
          <w:szCs w:val="21"/>
          <w:lang w:val="es-ES" w:eastAsia="es-ES_tradnl"/>
        </w:rPr>
        <w:t>valor,</w:t>
      </w:r>
      <w:proofErr w:type="gramEnd"/>
      <w:r w:rsidRPr="001B29AA">
        <w:rPr>
          <w:rFonts w:ascii="Arial" w:eastAsia="Times New Roman" w:hAnsi="Arial" w:cs="Arial"/>
          <w:color w:val="000000"/>
          <w:sz w:val="21"/>
          <w:szCs w:val="21"/>
          <w:lang w:val="es-ES" w:eastAsia="es-ES_tradnl"/>
        </w:rPr>
        <w:t xml:space="preserve"> responde a circunstancias objetivas del oferente y de su oferta que no ponen en riesgo el cumplimiento del contrato si este es adjudicado a tal oferta, </w:t>
      </w:r>
      <w:r w:rsidRPr="001B29AA">
        <w:rPr>
          <w:rFonts w:ascii="Arial" w:eastAsia="Times New Roman" w:hAnsi="Arial" w:cs="Arial"/>
          <w:color w:val="000000"/>
          <w:sz w:val="21"/>
          <w:szCs w:val="21"/>
          <w:lang w:val="es-ES" w:eastAsia="es-ES_tradnl"/>
        </w:rPr>
        <w:lastRenderedPageBreak/>
        <w:t>la Entidad Estatal debe continuar con su análisis en el proceso de evaluación de ofertas.</w:t>
      </w:r>
    </w:p>
    <w:p w14:paraId="14E43390" w14:textId="77777777" w:rsidR="001B29AA" w:rsidRPr="001B29AA" w:rsidRDefault="001B29AA" w:rsidP="001B29AA">
      <w:pPr>
        <w:spacing w:after="0" w:line="240" w:lineRule="auto"/>
        <w:ind w:left="708" w:right="709"/>
        <w:jc w:val="both"/>
        <w:rPr>
          <w:rFonts w:ascii="Arial" w:eastAsia="Times New Roman" w:hAnsi="Arial" w:cs="Arial"/>
          <w:color w:val="000000"/>
          <w:sz w:val="21"/>
          <w:szCs w:val="21"/>
          <w:lang w:val="es-ES" w:eastAsia="es-ES_tradnl"/>
        </w:rPr>
      </w:pPr>
      <w:r w:rsidRPr="001B29AA">
        <w:rPr>
          <w:rFonts w:ascii="Arial" w:eastAsia="Times New Roman" w:hAnsi="Arial" w:cs="Arial"/>
          <w:color w:val="000000"/>
          <w:sz w:val="21"/>
          <w:szCs w:val="21"/>
          <w:lang w:val="es-ES" w:eastAsia="es-ES_tradnl"/>
        </w:rPr>
        <w:t xml:space="preserve">En la subasta inversa esta disposición es aplicable sobre el precio obtenido al final de </w:t>
      </w:r>
      <w:proofErr w:type="gramStart"/>
      <w:r w:rsidRPr="001B29AA">
        <w:rPr>
          <w:rFonts w:ascii="Arial" w:eastAsia="Times New Roman" w:hAnsi="Arial" w:cs="Arial"/>
          <w:color w:val="000000"/>
          <w:sz w:val="21"/>
          <w:szCs w:val="21"/>
          <w:lang w:val="es-ES" w:eastAsia="es-ES_tradnl"/>
        </w:rPr>
        <w:t>la misma</w:t>
      </w:r>
      <w:proofErr w:type="gramEnd"/>
      <w:r w:rsidRPr="001B29AA">
        <w:rPr>
          <w:rFonts w:ascii="Arial" w:eastAsia="Times New Roman" w:hAnsi="Arial" w:cs="Arial"/>
          <w:color w:val="000000"/>
          <w:sz w:val="21"/>
          <w:szCs w:val="21"/>
          <w:lang w:val="es-ES" w:eastAsia="es-ES_tradnl"/>
        </w:rPr>
        <w:t>.</w:t>
      </w:r>
    </w:p>
    <w:p w14:paraId="119AD95B" w14:textId="77777777" w:rsidR="001B29AA" w:rsidRPr="001B29AA" w:rsidRDefault="001B29AA" w:rsidP="001B29AA">
      <w:pPr>
        <w:spacing w:after="0" w:line="276" w:lineRule="auto"/>
        <w:ind w:left="709" w:right="709"/>
        <w:jc w:val="both"/>
        <w:rPr>
          <w:rFonts w:ascii="Arial" w:eastAsia="Times New Roman" w:hAnsi="Arial" w:cs="Arial"/>
          <w:color w:val="000000"/>
          <w:szCs w:val="24"/>
          <w:lang w:val="es-ES" w:eastAsia="es-ES_tradnl"/>
        </w:rPr>
      </w:pPr>
    </w:p>
    <w:p w14:paraId="7C913AD1" w14:textId="447C1493" w:rsidR="001B29AA" w:rsidRPr="001B29AA" w:rsidRDefault="001B29AA" w:rsidP="001B29AA">
      <w:pPr>
        <w:spacing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De lo expuesto se desprende que, </w:t>
      </w:r>
      <w:bookmarkStart w:id="5" w:name="_Hlk94166958"/>
      <w:r w:rsidRPr="001B29AA">
        <w:rPr>
          <w:rFonts w:ascii="Arial" w:eastAsia="Times New Roman" w:hAnsi="Arial" w:cs="Arial"/>
          <w:color w:val="000000"/>
          <w:szCs w:val="24"/>
          <w:lang w:val="es-ES" w:eastAsia="es-ES_tradnl"/>
        </w:rPr>
        <w:t xml:space="preserve">ante una propuesta, la entidad estatal deberá determinar si esta </w:t>
      </w:r>
      <w:r w:rsidR="004E272E">
        <w:rPr>
          <w:rFonts w:ascii="Arial" w:eastAsia="Times New Roman" w:hAnsi="Arial" w:cs="Arial"/>
          <w:color w:val="000000"/>
          <w:szCs w:val="24"/>
          <w:lang w:val="es-ES" w:eastAsia="es-ES_tradnl"/>
        </w:rPr>
        <w:t xml:space="preserve">parece ser </w:t>
      </w:r>
      <w:r w:rsidRPr="001B29AA">
        <w:rPr>
          <w:rFonts w:ascii="Arial" w:eastAsia="Times New Roman" w:hAnsi="Arial" w:cs="Arial"/>
          <w:color w:val="000000"/>
          <w:szCs w:val="24"/>
          <w:lang w:val="es-ES" w:eastAsia="es-ES_tradnl"/>
        </w:rPr>
        <w:t xml:space="preserve">artificialmente baja, de acuerdo con la información del análisis del sector. De ser así, </w:t>
      </w:r>
      <w:r w:rsidR="004E272E">
        <w:rPr>
          <w:rFonts w:ascii="Arial" w:eastAsia="Times New Roman" w:hAnsi="Arial" w:cs="Arial"/>
          <w:color w:val="000000"/>
          <w:szCs w:val="24"/>
          <w:lang w:val="es-ES" w:eastAsia="es-ES_tradnl"/>
        </w:rPr>
        <w:t>debe</w:t>
      </w:r>
      <w:r w:rsidRPr="001B29AA">
        <w:rPr>
          <w:rFonts w:ascii="Arial" w:eastAsia="Times New Roman" w:hAnsi="Arial" w:cs="Arial"/>
          <w:color w:val="000000"/>
          <w:szCs w:val="24"/>
          <w:lang w:val="es-ES" w:eastAsia="es-ES_tradnl"/>
        </w:rPr>
        <w:t xml:space="preserve"> realizar los siguientes pasos: i) requerir al oferente para que explique las razones que sustentan el valor ofrecido, </w:t>
      </w:r>
      <w:proofErr w:type="spellStart"/>
      <w:r w:rsidRPr="001B29AA">
        <w:rPr>
          <w:rFonts w:ascii="Arial" w:eastAsia="Times New Roman" w:hAnsi="Arial" w:cs="Arial"/>
          <w:color w:val="000000"/>
          <w:szCs w:val="24"/>
          <w:lang w:val="es-ES" w:eastAsia="es-ES_tradnl"/>
        </w:rPr>
        <w:t>ii</w:t>
      </w:r>
      <w:proofErr w:type="spellEnd"/>
      <w:r w:rsidRPr="001B29AA">
        <w:rPr>
          <w:rFonts w:ascii="Arial" w:eastAsia="Times New Roman" w:hAnsi="Arial" w:cs="Arial"/>
          <w:color w:val="000000"/>
          <w:szCs w:val="24"/>
          <w:lang w:val="es-ES" w:eastAsia="es-ES_tradnl"/>
        </w:rPr>
        <w:t xml:space="preserve">) analizar las explicaciones y </w:t>
      </w:r>
      <w:proofErr w:type="spellStart"/>
      <w:r w:rsidRPr="001B29AA">
        <w:rPr>
          <w:rFonts w:ascii="Arial" w:eastAsia="Times New Roman" w:hAnsi="Arial" w:cs="Arial"/>
          <w:color w:val="000000"/>
          <w:szCs w:val="24"/>
          <w:lang w:val="es-ES" w:eastAsia="es-ES_tradnl"/>
        </w:rPr>
        <w:t>iii</w:t>
      </w:r>
      <w:proofErr w:type="spellEnd"/>
      <w:r w:rsidRPr="001B29AA">
        <w:rPr>
          <w:rFonts w:ascii="Arial" w:eastAsia="Times New Roman" w:hAnsi="Arial" w:cs="Arial"/>
          <w:color w:val="000000"/>
          <w:szCs w:val="24"/>
          <w:lang w:val="es-ES" w:eastAsia="es-ES_tradnl"/>
        </w:rPr>
        <w:t xml:space="preserve">) con base en lo anterior, rechazar la oferta o continuar con el análisis de esta en la evaluación. </w:t>
      </w:r>
    </w:p>
    <w:p w14:paraId="6A8A5E0E" w14:textId="672E25C4" w:rsidR="001B29AA" w:rsidRPr="001B29AA" w:rsidRDefault="001B29AA" w:rsidP="001B29AA">
      <w:pPr>
        <w:spacing w:before="120"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En cuanto al análisis de la</w:t>
      </w:r>
      <w:r w:rsidR="004E272E">
        <w:rPr>
          <w:rFonts w:ascii="Arial" w:eastAsia="Times New Roman" w:hAnsi="Arial" w:cs="Arial"/>
          <w:color w:val="000000"/>
          <w:szCs w:val="24"/>
          <w:lang w:val="es-ES" w:eastAsia="es-ES_tradnl"/>
        </w:rPr>
        <w:t>s</w:t>
      </w:r>
      <w:r w:rsidRPr="001B29AA">
        <w:rPr>
          <w:rFonts w:ascii="Arial" w:eastAsia="Times New Roman" w:hAnsi="Arial" w:cs="Arial"/>
          <w:color w:val="000000"/>
          <w:szCs w:val="24"/>
          <w:lang w:val="es-ES" w:eastAsia="es-ES_tradnl"/>
        </w:rPr>
        <w:t xml:space="preserve"> </w:t>
      </w:r>
      <w:r w:rsidR="004E272E">
        <w:rPr>
          <w:rFonts w:ascii="Arial" w:eastAsia="Times New Roman" w:hAnsi="Arial" w:cs="Arial"/>
          <w:color w:val="000000"/>
          <w:szCs w:val="24"/>
          <w:lang w:val="es-ES" w:eastAsia="es-ES_tradnl"/>
        </w:rPr>
        <w:t>propuestas</w:t>
      </w:r>
      <w:r w:rsidRPr="001B29AA">
        <w:rPr>
          <w:rFonts w:ascii="Arial" w:eastAsia="Times New Roman" w:hAnsi="Arial" w:cs="Arial"/>
          <w:color w:val="000000"/>
          <w:szCs w:val="24"/>
          <w:lang w:val="es-ES" w:eastAsia="es-ES_tradnl"/>
        </w:rPr>
        <w:t xml:space="preserve">, </w:t>
      </w:r>
      <w:r w:rsidR="004E272E">
        <w:rPr>
          <w:rFonts w:ascii="Arial" w:eastAsia="Times New Roman" w:hAnsi="Arial" w:cs="Arial"/>
          <w:color w:val="000000"/>
          <w:szCs w:val="24"/>
          <w:lang w:val="es-ES" w:eastAsia="es-ES_tradnl"/>
        </w:rPr>
        <w:t xml:space="preserve">para la identificación de posibles ofertas que pueden ser artificialmente bajas, </w:t>
      </w:r>
      <w:r w:rsidRPr="001B29AA">
        <w:rPr>
          <w:rFonts w:ascii="Arial" w:eastAsia="Times New Roman" w:hAnsi="Arial" w:cs="Arial"/>
          <w:color w:val="000000"/>
          <w:szCs w:val="24"/>
          <w:lang w:val="es-ES" w:eastAsia="es-ES_tradnl"/>
        </w:rPr>
        <w:t xml:space="preserve">la «Guía para el manejo de ofertas artificialmente bajas en Procesos de Contratación» recomienda a las entidades estatales tener en cuenta como insumos del mencionado análisis la siguiente información: i) promedio del valor de las ofertas, </w:t>
      </w:r>
      <w:proofErr w:type="spellStart"/>
      <w:r w:rsidRPr="001B29AA">
        <w:rPr>
          <w:rFonts w:ascii="Arial" w:eastAsia="Times New Roman" w:hAnsi="Arial" w:cs="Arial"/>
          <w:color w:val="000000"/>
          <w:szCs w:val="24"/>
          <w:lang w:val="es-ES" w:eastAsia="es-ES_tradnl"/>
        </w:rPr>
        <w:t>ii</w:t>
      </w:r>
      <w:proofErr w:type="spellEnd"/>
      <w:r w:rsidRPr="001B29AA">
        <w:rPr>
          <w:rFonts w:ascii="Arial" w:eastAsia="Times New Roman" w:hAnsi="Arial" w:cs="Arial"/>
          <w:color w:val="000000"/>
          <w:szCs w:val="24"/>
          <w:lang w:val="es-ES" w:eastAsia="es-ES_tradnl"/>
        </w:rPr>
        <w:t xml:space="preserve">) mediana del valor de las ofertas, </w:t>
      </w:r>
      <w:proofErr w:type="spellStart"/>
      <w:r w:rsidRPr="001B29AA">
        <w:rPr>
          <w:rFonts w:ascii="Arial" w:eastAsia="Times New Roman" w:hAnsi="Arial" w:cs="Arial"/>
          <w:color w:val="000000"/>
          <w:szCs w:val="24"/>
          <w:lang w:val="es-ES" w:eastAsia="es-ES_tradnl"/>
        </w:rPr>
        <w:t>iii</w:t>
      </w:r>
      <w:proofErr w:type="spellEnd"/>
      <w:r w:rsidRPr="001B29AA">
        <w:rPr>
          <w:rFonts w:ascii="Arial" w:eastAsia="Times New Roman" w:hAnsi="Arial" w:cs="Arial"/>
          <w:color w:val="000000"/>
          <w:szCs w:val="24"/>
          <w:lang w:val="es-ES" w:eastAsia="es-ES_tradnl"/>
        </w:rPr>
        <w:t xml:space="preserve">) desviación estándar del valor de las ofertas, </w:t>
      </w:r>
      <w:proofErr w:type="spellStart"/>
      <w:r w:rsidRPr="001B29AA">
        <w:rPr>
          <w:rFonts w:ascii="Arial" w:eastAsia="Times New Roman" w:hAnsi="Arial" w:cs="Arial"/>
          <w:color w:val="000000"/>
          <w:szCs w:val="24"/>
          <w:lang w:val="es-ES" w:eastAsia="es-ES_tradnl"/>
        </w:rPr>
        <w:t>iv</w:t>
      </w:r>
      <w:proofErr w:type="spellEnd"/>
      <w:r w:rsidRPr="001B29AA">
        <w:rPr>
          <w:rFonts w:ascii="Arial" w:eastAsia="Times New Roman" w:hAnsi="Arial" w:cs="Arial"/>
          <w:color w:val="000000"/>
          <w:szCs w:val="24"/>
          <w:lang w:val="es-ES" w:eastAsia="es-ES_tradnl"/>
        </w:rPr>
        <w:t xml:space="preserve">)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1B29AA">
        <w:rPr>
          <w:rFonts w:ascii="Arial" w:eastAsia="Times New Roman" w:hAnsi="Arial" w:cs="Arial"/>
          <w:color w:val="000000"/>
          <w:szCs w:val="24"/>
          <w:lang w:val="es-ES" w:eastAsia="es-ES_tradnl"/>
        </w:rPr>
        <w:t>vii</w:t>
      </w:r>
      <w:proofErr w:type="spellEnd"/>
      <w:r w:rsidRPr="001B29AA">
        <w:rPr>
          <w:rFonts w:ascii="Arial" w:eastAsia="Times New Roman" w:hAnsi="Arial" w:cs="Arial"/>
          <w:color w:val="000000"/>
          <w:szCs w:val="24"/>
          <w:lang w:val="es-ES" w:eastAsia="es-ES_tradnl"/>
        </w:rPr>
        <w:t xml:space="preserve">) la información histórica de ofertas y contratos del objeto del proceso de contratación. </w:t>
      </w:r>
    </w:p>
    <w:bookmarkEnd w:id="5"/>
    <w:p w14:paraId="59474249" w14:textId="00B18CF6" w:rsidR="001B29AA" w:rsidRPr="001B29AA" w:rsidRDefault="001B29AA" w:rsidP="001B29AA">
      <w:pPr>
        <w:spacing w:before="120"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Con base en estos datos, la entidad puede emplear herramientas que ayudan a identificar ofertas que pueden ser artificialmente bajas, tales como la comparación absoluta o la comparación relativa. La comparación absoluta consiste en contrastar cada oferta con el costo estimado del bien o servicio en el estudio del sector. En este caso, si se reciben menos de cinco (5) ofertas, se solicitaría aclaración a los proponentes cuyas ofertas sean menores en un 20%, o un mayor porcentaje en relación con el costo estimado por la entidad estatal. La comparación relativa consiste en comparar cada oferta con las demás. </w:t>
      </w:r>
    </w:p>
    <w:p w14:paraId="1DC6C662" w14:textId="1236E344" w:rsidR="001B29AA" w:rsidRPr="001B29AA" w:rsidRDefault="001B29AA" w:rsidP="001B29AA">
      <w:pPr>
        <w:spacing w:before="120"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En aquellos procesos en los que hay cinco (5) o más ofertas, la «Guía para el manejo de ofertas artificialmente bajas en Procesos de Contratación» sugiere a las entidades aplicar la siguiente metodología para identificar ofertas con </w:t>
      </w:r>
      <w:r w:rsidR="00111C39">
        <w:rPr>
          <w:rFonts w:ascii="Arial" w:eastAsia="Times New Roman" w:hAnsi="Arial" w:cs="Arial"/>
          <w:color w:val="000000"/>
          <w:szCs w:val="24"/>
          <w:lang w:val="es-ES" w:eastAsia="es-ES_tradnl"/>
        </w:rPr>
        <w:t xml:space="preserve">posibles </w:t>
      </w:r>
      <w:r w:rsidRPr="001B29AA">
        <w:rPr>
          <w:rFonts w:ascii="Arial" w:eastAsia="Times New Roman" w:hAnsi="Arial" w:cs="Arial"/>
          <w:color w:val="000000"/>
          <w:szCs w:val="24"/>
          <w:lang w:val="es-ES" w:eastAsia="es-ES_tradnl"/>
        </w:rPr>
        <w:t>«precios artificialmente bajos»:</w:t>
      </w:r>
    </w:p>
    <w:p w14:paraId="6DB56B99" w14:textId="77777777" w:rsidR="001B29AA" w:rsidRPr="001B29AA" w:rsidRDefault="001B29AA" w:rsidP="001B29AA">
      <w:pPr>
        <w:spacing w:after="0" w:line="276" w:lineRule="auto"/>
        <w:jc w:val="both"/>
        <w:rPr>
          <w:rFonts w:ascii="Arial" w:eastAsia="Times New Roman" w:hAnsi="Arial" w:cs="Arial"/>
          <w:color w:val="000000"/>
          <w:szCs w:val="24"/>
          <w:lang w:val="es-ES" w:eastAsia="es-ES_tradnl"/>
        </w:rPr>
      </w:pPr>
    </w:p>
    <w:p w14:paraId="63EDD027" w14:textId="77777777" w:rsidR="001B29AA" w:rsidRPr="001B29AA" w:rsidRDefault="001B29AA" w:rsidP="001B29AA">
      <w:pPr>
        <w:spacing w:after="0" w:line="240" w:lineRule="auto"/>
        <w:ind w:left="709" w:right="709" w:hanging="2"/>
        <w:jc w:val="both"/>
        <w:rPr>
          <w:rFonts w:ascii="Arial" w:eastAsia="Times New Roman" w:hAnsi="Arial" w:cs="Arial"/>
          <w:color w:val="000000"/>
          <w:sz w:val="21"/>
          <w:szCs w:val="21"/>
          <w:lang w:val="es-ES" w:eastAsia="es-ES_tradnl"/>
        </w:rPr>
      </w:pPr>
      <w:r w:rsidRPr="001B29AA">
        <w:rPr>
          <w:rFonts w:ascii="Arial" w:eastAsia="Times New Roman" w:hAnsi="Arial" w:cs="Arial"/>
          <w:color w:val="000000"/>
          <w:sz w:val="21"/>
          <w:szCs w:val="21"/>
          <w:lang w:val="es-ES" w:eastAsia="es-ES_tradnl"/>
        </w:rPr>
        <w:t xml:space="preserve">1. Tomar el conjunto de ofertas a evaluar. </w:t>
      </w:r>
    </w:p>
    <w:p w14:paraId="355766DF" w14:textId="77777777" w:rsidR="001B29AA" w:rsidRPr="001B29AA" w:rsidRDefault="001B29AA" w:rsidP="001B29AA">
      <w:pPr>
        <w:spacing w:after="0" w:line="240" w:lineRule="auto"/>
        <w:ind w:left="709" w:right="709" w:hanging="2"/>
        <w:jc w:val="both"/>
        <w:rPr>
          <w:rFonts w:ascii="Arial" w:eastAsia="Times New Roman" w:hAnsi="Arial" w:cs="Arial"/>
          <w:color w:val="000000"/>
          <w:sz w:val="21"/>
          <w:szCs w:val="21"/>
          <w:lang w:val="es-ES" w:eastAsia="es-ES_tradnl"/>
        </w:rPr>
      </w:pPr>
      <w:r w:rsidRPr="001B29AA">
        <w:rPr>
          <w:rFonts w:ascii="Arial" w:eastAsia="Times New Roman" w:hAnsi="Arial" w:cs="Arial"/>
          <w:color w:val="000000"/>
          <w:sz w:val="21"/>
          <w:szCs w:val="21"/>
          <w:lang w:val="es-ES" w:eastAsia="es-ES_tradnl"/>
        </w:rPr>
        <w:t>2. Calcular la mediana, o dependiendo de la dispersión de los datos el promedio, del valor de cada oferta o de cada ítem dentro de la oferta.</w:t>
      </w:r>
    </w:p>
    <w:p w14:paraId="751258C4" w14:textId="77777777" w:rsidR="001B29AA" w:rsidRPr="001B29AA" w:rsidRDefault="001B29AA" w:rsidP="001B29AA">
      <w:pPr>
        <w:spacing w:after="0" w:line="240" w:lineRule="auto"/>
        <w:ind w:left="709" w:right="709" w:hanging="2"/>
        <w:jc w:val="both"/>
        <w:rPr>
          <w:rFonts w:ascii="Arial" w:eastAsia="Times New Roman" w:hAnsi="Arial" w:cs="Arial"/>
          <w:color w:val="000000"/>
          <w:sz w:val="21"/>
          <w:szCs w:val="21"/>
          <w:lang w:val="es-ES" w:eastAsia="es-ES_tradnl"/>
        </w:rPr>
      </w:pPr>
      <w:r w:rsidRPr="001B29AA">
        <w:rPr>
          <w:rFonts w:ascii="Arial" w:eastAsia="Times New Roman" w:hAnsi="Arial" w:cs="Arial"/>
          <w:color w:val="000000"/>
          <w:sz w:val="21"/>
          <w:szCs w:val="21"/>
          <w:lang w:val="es-ES" w:eastAsia="es-ES_tradnl"/>
        </w:rPr>
        <w:t xml:space="preserve">3. Calcular la desviación estándar del conjunto. </w:t>
      </w:r>
    </w:p>
    <w:p w14:paraId="5BE45CA6" w14:textId="77777777" w:rsidR="001B29AA" w:rsidRPr="001B29AA" w:rsidRDefault="001B29AA" w:rsidP="001B29AA">
      <w:pPr>
        <w:spacing w:after="0" w:line="240" w:lineRule="auto"/>
        <w:ind w:left="709" w:right="709" w:hanging="2"/>
        <w:jc w:val="both"/>
        <w:rPr>
          <w:rFonts w:ascii="Arial" w:eastAsia="Times New Roman" w:hAnsi="Arial" w:cs="Arial"/>
          <w:color w:val="000000"/>
          <w:sz w:val="21"/>
          <w:szCs w:val="21"/>
          <w:lang w:val="es-ES" w:eastAsia="es-ES_tradnl"/>
        </w:rPr>
      </w:pPr>
      <w:r w:rsidRPr="001B29AA">
        <w:rPr>
          <w:rFonts w:ascii="Arial" w:eastAsia="Times New Roman" w:hAnsi="Arial" w:cs="Arial"/>
          <w:color w:val="000000"/>
          <w:sz w:val="21"/>
          <w:szCs w:val="21"/>
          <w:lang w:val="es-ES" w:eastAsia="es-ES_tradnl"/>
        </w:rPr>
        <w:t>4. Determinar el valor mínimo aceptable.</w:t>
      </w:r>
      <w:r w:rsidRPr="001B29AA">
        <w:rPr>
          <w:rFonts w:ascii="Arial" w:eastAsia="Times New Roman" w:hAnsi="Arial" w:cs="Arial"/>
          <w:color w:val="000000"/>
          <w:sz w:val="21"/>
          <w:szCs w:val="21"/>
          <w:vertAlign w:val="superscript"/>
          <w:lang w:val="es-ES" w:eastAsia="es-ES_tradnl"/>
        </w:rPr>
        <w:footnoteReference w:id="9"/>
      </w:r>
    </w:p>
    <w:p w14:paraId="62C33979" w14:textId="77777777" w:rsidR="001B29AA" w:rsidRPr="001B29AA" w:rsidRDefault="001B29AA" w:rsidP="001B29AA">
      <w:pPr>
        <w:spacing w:after="0" w:line="276" w:lineRule="auto"/>
        <w:jc w:val="both"/>
        <w:rPr>
          <w:rFonts w:ascii="Arial" w:eastAsia="Times New Roman" w:hAnsi="Arial" w:cs="Arial"/>
          <w:color w:val="000000"/>
          <w:szCs w:val="24"/>
          <w:lang w:val="es-ES" w:eastAsia="es-ES_tradnl"/>
        </w:rPr>
      </w:pPr>
    </w:p>
    <w:p w14:paraId="7680C9BF" w14:textId="77777777" w:rsidR="001B29AA" w:rsidRPr="001B29AA" w:rsidRDefault="001B29AA" w:rsidP="001B29AA">
      <w:pPr>
        <w:spacing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La </w:t>
      </w:r>
      <w:r w:rsidRPr="001B29AA">
        <w:rPr>
          <w:rFonts w:ascii="Arial" w:eastAsia="Times New Roman" w:hAnsi="Arial" w:cs="Arial"/>
          <w:i/>
          <w:iCs/>
          <w:color w:val="000000"/>
          <w:szCs w:val="24"/>
          <w:lang w:val="es-ES" w:eastAsia="es-ES_tradnl"/>
        </w:rPr>
        <w:t>mediana</w:t>
      </w:r>
      <w:r w:rsidRPr="001B29AA">
        <w:rPr>
          <w:rFonts w:ascii="Arial" w:eastAsia="Times New Roman" w:hAnsi="Arial" w:cs="Arial"/>
          <w:color w:val="000000"/>
          <w:szCs w:val="24"/>
          <w:lang w:val="es-ES" w:eastAsia="es-ES_tradnl"/>
        </w:rPr>
        <w:t xml:space="preserve"> debe calcularse ordenando los valores de mayor a menor y tomando el valor de la oferta en la mitad de la lista. Si el número de ofertas es par, caso en el cual no habrá una oferta «en la mitad», se tienen que tomar los dos valores del medio y se suman </w:t>
      </w:r>
      <w:r w:rsidRPr="001B29AA">
        <w:rPr>
          <w:rFonts w:ascii="Arial" w:eastAsia="Times New Roman" w:hAnsi="Arial" w:cs="Arial"/>
          <w:color w:val="000000"/>
          <w:szCs w:val="24"/>
          <w:lang w:val="es-ES" w:eastAsia="es-ES_tradnl"/>
        </w:rPr>
        <w:lastRenderedPageBreak/>
        <w:t xml:space="preserve">y dividen en dos. Posteriormente, es necesario calcular la </w:t>
      </w:r>
      <w:r w:rsidRPr="001B29AA">
        <w:rPr>
          <w:rFonts w:ascii="Arial" w:eastAsia="Times New Roman" w:hAnsi="Arial" w:cs="Arial"/>
          <w:i/>
          <w:iCs/>
          <w:color w:val="000000"/>
          <w:szCs w:val="24"/>
          <w:lang w:val="es-ES" w:eastAsia="es-ES_tradnl"/>
        </w:rPr>
        <w:t>desviación estándar</w:t>
      </w:r>
      <w:r w:rsidRPr="001B29AA">
        <w:rPr>
          <w:rFonts w:ascii="Arial" w:eastAsia="Times New Roman" w:hAnsi="Arial" w:cs="Arial"/>
          <w:color w:val="000000"/>
          <w:szCs w:val="24"/>
          <w:lang w:val="es-ES" w:eastAsia="es-ES_tradnl"/>
        </w:rPr>
        <w:t xml:space="preserve">, utilizando la siguiente fórmula, en la que el </w:t>
      </w:r>
      <w:r w:rsidRPr="001B29AA">
        <w:rPr>
          <w:rFonts w:ascii="Arial" w:eastAsia="Calibri" w:hAnsi="Arial" w:cs="Arial"/>
          <w:color w:val="000000"/>
          <w:szCs w:val="24"/>
          <w:lang w:val="es-ES" w:eastAsia="es-ES_tradnl"/>
        </w:rPr>
        <w:t xml:space="preserve">valor </w:t>
      </w:r>
      <w:r w:rsidRPr="001B29AA">
        <w:rPr>
          <w:rFonts w:ascii="Arial" w:eastAsia="Calibri" w:hAnsi="Arial" w:cs="Arial"/>
          <w:i/>
          <w:color w:val="000000"/>
          <w:szCs w:val="24"/>
          <w:lang w:val="es-ES" w:eastAsia="es-ES_tradnl"/>
        </w:rPr>
        <w:t>n</w:t>
      </w:r>
      <w:r w:rsidRPr="001B29AA">
        <w:rPr>
          <w:rFonts w:ascii="Arial" w:eastAsia="Calibri" w:hAnsi="Arial" w:cs="Arial"/>
          <w:color w:val="000000"/>
          <w:szCs w:val="24"/>
          <w:lang w:val="es-ES" w:eastAsia="es-ES_tradnl"/>
        </w:rPr>
        <w:t xml:space="preserve"> es el número de ofertas</w:t>
      </w:r>
      <w:r w:rsidRPr="001B29AA">
        <w:rPr>
          <w:rFonts w:ascii="Arial" w:eastAsia="Times New Roman" w:hAnsi="Arial" w:cs="Arial"/>
          <w:color w:val="000000"/>
          <w:szCs w:val="24"/>
          <w:lang w:val="es-ES" w:eastAsia="es-ES_tradnl"/>
        </w:rPr>
        <w:t xml:space="preserve">: </w:t>
      </w:r>
    </w:p>
    <w:p w14:paraId="45C888B7" w14:textId="77777777" w:rsidR="001B29AA" w:rsidRPr="001B29AA" w:rsidRDefault="001B29AA" w:rsidP="001B29AA">
      <w:pPr>
        <w:spacing w:after="0" w:line="276" w:lineRule="auto"/>
        <w:ind w:firstLine="708"/>
        <w:jc w:val="both"/>
        <w:rPr>
          <w:rFonts w:ascii="Arial" w:eastAsia="Times New Roman" w:hAnsi="Arial" w:cs="Arial"/>
          <w:color w:val="000000"/>
          <w:szCs w:val="24"/>
          <w:lang w:val="es-ES" w:eastAsia="es-ES_tradnl"/>
        </w:rPr>
      </w:pPr>
    </w:p>
    <w:p w14:paraId="3931B6B6" w14:textId="77777777" w:rsidR="001B29AA" w:rsidRPr="001B29AA" w:rsidRDefault="001B29AA" w:rsidP="001B29AA">
      <w:pPr>
        <w:spacing w:after="0" w:line="276" w:lineRule="auto"/>
        <w:jc w:val="both"/>
        <w:rPr>
          <w:rFonts w:ascii="Arial" w:eastAsia="Times New Roman" w:hAnsi="Arial" w:cs="Arial"/>
          <w:color w:val="000000"/>
          <w:szCs w:val="24"/>
          <w:lang w:val="es-ES" w:eastAsia="es-ES_tradnl"/>
        </w:rPr>
      </w:pPr>
      <w:r w:rsidRPr="001B29AA">
        <w:rPr>
          <w:rFonts w:ascii="Arial" w:eastAsia="Times New Roman" w:hAnsi="Arial" w:cs="Arial"/>
          <w:noProof/>
          <w:color w:val="000000"/>
          <w:sz w:val="24"/>
          <w:szCs w:val="24"/>
          <w:lang w:val="es-ES" w:eastAsia="es-CO"/>
        </w:rPr>
        <w:drawing>
          <wp:inline distT="0" distB="0" distL="0" distR="0" wp14:anchorId="511E3C2C" wp14:editId="0FF744DF">
            <wp:extent cx="4967416" cy="460709"/>
            <wp:effectExtent l="0" t="0" r="5080"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433B42FA" w14:textId="77777777" w:rsidR="001B29AA" w:rsidRPr="001B29AA" w:rsidRDefault="001B29AA" w:rsidP="001B29AA">
      <w:pPr>
        <w:spacing w:after="0" w:line="276" w:lineRule="auto"/>
        <w:jc w:val="both"/>
        <w:rPr>
          <w:rFonts w:ascii="Arial" w:eastAsia="Times New Roman" w:hAnsi="Arial" w:cs="Arial"/>
          <w:color w:val="000000"/>
          <w:szCs w:val="24"/>
          <w:lang w:val="es-ES" w:eastAsia="es-ES_tradnl"/>
        </w:rPr>
      </w:pPr>
    </w:p>
    <w:p w14:paraId="53854903" w14:textId="5D448A18" w:rsidR="001B29AA" w:rsidRPr="001B29AA" w:rsidRDefault="001B29AA" w:rsidP="001B29AA">
      <w:pPr>
        <w:spacing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Por último, el </w:t>
      </w:r>
      <w:r w:rsidRPr="001B29AA">
        <w:rPr>
          <w:rFonts w:ascii="Arial" w:eastAsia="Times New Roman" w:hAnsi="Arial" w:cs="Arial"/>
          <w:i/>
          <w:iCs/>
          <w:color w:val="000000"/>
          <w:szCs w:val="24"/>
          <w:lang w:val="es-ES" w:eastAsia="es-ES_tradnl"/>
        </w:rPr>
        <w:t>valor mínimo aceptable</w:t>
      </w:r>
      <w:r w:rsidRPr="001B29AA">
        <w:rPr>
          <w:rFonts w:ascii="Arial" w:eastAsia="Times New Roman" w:hAnsi="Arial" w:cs="Arial"/>
          <w:color w:val="000000"/>
          <w:szCs w:val="24"/>
          <w:lang w:val="es-ES" w:eastAsia="es-ES_tradnl"/>
        </w:rPr>
        <w:t xml:space="preserve">, será igual a la </w:t>
      </w:r>
      <w:r w:rsidRPr="001B29AA">
        <w:rPr>
          <w:rFonts w:ascii="Arial" w:eastAsia="Times New Roman" w:hAnsi="Arial" w:cs="Arial"/>
          <w:i/>
          <w:iCs/>
          <w:color w:val="000000"/>
          <w:szCs w:val="24"/>
          <w:lang w:val="es-ES" w:eastAsia="es-ES_tradnl"/>
        </w:rPr>
        <w:t>mediana</w:t>
      </w:r>
      <w:r w:rsidRPr="001B29AA">
        <w:rPr>
          <w:rFonts w:ascii="Arial" w:eastAsia="Times New Roman" w:hAnsi="Arial" w:cs="Arial"/>
          <w:color w:val="000000"/>
          <w:szCs w:val="24"/>
          <w:lang w:val="es-ES" w:eastAsia="es-ES_tradnl"/>
        </w:rPr>
        <w:t xml:space="preserve"> menos la </w:t>
      </w:r>
      <w:r w:rsidRPr="001B29AA">
        <w:rPr>
          <w:rFonts w:ascii="Arial" w:eastAsia="Times New Roman" w:hAnsi="Arial" w:cs="Arial"/>
          <w:i/>
          <w:iCs/>
          <w:color w:val="000000"/>
          <w:szCs w:val="24"/>
          <w:lang w:val="es-ES" w:eastAsia="es-ES_tradnl"/>
        </w:rPr>
        <w:t>desviación estándar</w:t>
      </w:r>
      <w:r w:rsidRPr="001B29AA">
        <w:rPr>
          <w:rFonts w:ascii="Arial" w:eastAsia="Times New Roman" w:hAnsi="Arial" w:cs="Arial"/>
          <w:color w:val="000000"/>
          <w:szCs w:val="24"/>
          <w:lang w:val="es-ES" w:eastAsia="es-ES_tradnl"/>
        </w:rPr>
        <w:t xml:space="preserve">. </w:t>
      </w:r>
      <w:bookmarkStart w:id="6" w:name="_Hlk102125835"/>
      <w:r w:rsidRPr="001B29AA">
        <w:rPr>
          <w:rFonts w:ascii="Arial" w:eastAsia="Times New Roman" w:hAnsi="Arial" w:cs="Arial"/>
          <w:color w:val="000000"/>
          <w:szCs w:val="24"/>
          <w:lang w:val="es-ES" w:eastAsia="es-ES_tradnl"/>
        </w:rPr>
        <w:t xml:space="preserve">De esta manera, la entidad puede identificar como </w:t>
      </w:r>
      <w:r w:rsidR="00111C39">
        <w:rPr>
          <w:rFonts w:ascii="Arial" w:eastAsia="Times New Roman" w:hAnsi="Arial" w:cs="Arial"/>
          <w:color w:val="000000"/>
          <w:szCs w:val="24"/>
          <w:lang w:val="es-ES" w:eastAsia="es-ES_tradnl"/>
        </w:rPr>
        <w:t xml:space="preserve">posibles </w:t>
      </w:r>
      <w:r w:rsidRPr="001B29AA">
        <w:rPr>
          <w:rFonts w:ascii="Arial" w:eastAsia="Times New Roman" w:hAnsi="Arial" w:cs="Arial"/>
          <w:color w:val="000000"/>
          <w:szCs w:val="24"/>
          <w:lang w:val="es-ES" w:eastAsia="es-ES_tradnl"/>
        </w:rPr>
        <w:t xml:space="preserve">ofertas artificialmente bajas las que se encuentren por debajo de ese valor mínimo. Con todo, dicho valor puede ser diferente al obtenido con la anterior metodología, dependiendo de la información y los datos con los que cuenten las entidades. Lo anterior, por cuanto las entidades </w:t>
      </w:r>
      <w:r w:rsidRPr="001B29AA">
        <w:rPr>
          <w:rFonts w:ascii="Arial" w:eastAsia="Calibri" w:hAnsi="Arial" w:cs="Arial"/>
          <w:color w:val="000000"/>
          <w:szCs w:val="24"/>
          <w:lang w:val="es-ES" w:eastAsia="es-ES_tradnl"/>
        </w:rPr>
        <w:t>pueden o no acoger la metodología explicada, toda vez que la Guía no es de obligatorio cumplimiento, sino que se constituye en un criterio de orientación o recomendaciones para sus procesos de contratación.</w:t>
      </w:r>
      <w:bookmarkEnd w:id="6"/>
    </w:p>
    <w:p w14:paraId="3B4EC9EA" w14:textId="77777777" w:rsidR="001B29AA" w:rsidRPr="001B29AA" w:rsidRDefault="001B29AA" w:rsidP="001B29AA">
      <w:pPr>
        <w:spacing w:before="120"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Una vez la entidad haya surtido el proceso de determinación de una propuesta identificada como posiblemente artificialmente baja y considerando que la oferta se encuentra inmersa en esta circunstancia, resulta necesario que se requiera al oferente para que explique las razones que sustentan el valor ofrecido. Posteriormente, el comité evaluador analizará las explicaciones y decidirá si rechaza la oferta o continúa con el análisis de </w:t>
      </w:r>
      <w:proofErr w:type="gramStart"/>
      <w:r w:rsidRPr="001B29AA">
        <w:rPr>
          <w:rFonts w:ascii="Arial" w:eastAsia="Times New Roman" w:hAnsi="Arial" w:cs="Arial"/>
          <w:color w:val="000000"/>
          <w:szCs w:val="24"/>
          <w:lang w:val="es-ES" w:eastAsia="es-ES_tradnl"/>
        </w:rPr>
        <w:t>la misma</w:t>
      </w:r>
      <w:proofErr w:type="gramEnd"/>
      <w:r w:rsidRPr="001B29AA">
        <w:rPr>
          <w:rFonts w:ascii="Arial" w:eastAsia="Times New Roman" w:hAnsi="Arial" w:cs="Arial"/>
          <w:color w:val="000000"/>
          <w:szCs w:val="24"/>
          <w:lang w:val="es-ES" w:eastAsia="es-ES_tradnl"/>
        </w:rPr>
        <w:t xml:space="preserve"> en el proceso de evaluación. </w:t>
      </w:r>
    </w:p>
    <w:p w14:paraId="58A4D6F8" w14:textId="77777777" w:rsidR="001B29AA" w:rsidRPr="001B29AA" w:rsidRDefault="001B29AA" w:rsidP="001B29AA">
      <w:pPr>
        <w:spacing w:before="120" w:after="0" w:line="276" w:lineRule="auto"/>
        <w:ind w:firstLine="709"/>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La ley y el reglamento no determinan la forma ni el momento para requerir a los proponentes para que justifiquen el precio ofertado. Por tanto, la determinación de tales asuntos es facultativa para cada entidad pública, para lo cual debe tener presentes las particularidades de cada modalidad de selección de contratistas, partiendo de la base de que la entidad solo podrá pedir explicaciones al proponente cuando conozca su oferta económica. Por su parte, el requerimiento debe ser comunicado al proponente por el medio que la entidad considere más eficaz e idóneo, de acuerdo con el caso y las circunstancias particulares de la información objeto de requerimiento. </w:t>
      </w:r>
    </w:p>
    <w:p w14:paraId="46D7D471" w14:textId="77777777" w:rsidR="001B29AA" w:rsidRPr="001B29AA" w:rsidRDefault="001B29AA" w:rsidP="001B29AA">
      <w:pPr>
        <w:spacing w:before="120"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En cuanto al término que se debe otorgar a los proponentes para que expliquen el precio ofertado, es preciso indicar que es un asunto que también se supedita a la discrecionalidad de la entidad. Sin embargo, la discrecionalidad debe ejercerse de manera sensata, con buen criterio y de forma prudente. Así lo estableció la Sección Quinta del Consejo de Estado en la sentencia del 10 de junio de 1992</w:t>
      </w:r>
      <w:r w:rsidRPr="001B29AA">
        <w:rPr>
          <w:rFonts w:ascii="Arial" w:eastAsia="Times New Roman" w:hAnsi="Arial" w:cs="Arial"/>
          <w:color w:val="000000"/>
          <w:szCs w:val="24"/>
          <w:vertAlign w:val="superscript"/>
          <w:lang w:val="es-ES" w:eastAsia="es-ES_tradnl"/>
        </w:rPr>
        <w:footnoteReference w:id="10"/>
      </w:r>
      <w:r w:rsidRPr="001B29AA">
        <w:rPr>
          <w:rFonts w:ascii="Arial" w:eastAsia="Times New Roman" w:hAnsi="Arial" w:cs="Arial"/>
          <w:color w:val="000000"/>
          <w:szCs w:val="24"/>
          <w:lang w:val="es-ES" w:eastAsia="es-ES_tradnl"/>
        </w:rPr>
        <w:t xml:space="preserve">,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w:t>
      </w:r>
    </w:p>
    <w:p w14:paraId="60FDBF8D" w14:textId="77777777" w:rsidR="001B29AA" w:rsidRPr="001B29AA" w:rsidRDefault="001B29AA" w:rsidP="001B29AA">
      <w:pPr>
        <w:spacing w:before="120" w:after="0" w:line="276" w:lineRule="auto"/>
        <w:ind w:firstLine="708"/>
        <w:jc w:val="both"/>
        <w:rPr>
          <w:rFonts w:ascii="Arial" w:eastAsia="Times New Roman" w:hAnsi="Arial" w:cs="Arial"/>
          <w:color w:val="000000"/>
          <w:szCs w:val="24"/>
          <w:lang w:eastAsia="es-ES_tradnl"/>
        </w:rPr>
      </w:pPr>
      <w:r w:rsidRPr="001D067A">
        <w:rPr>
          <w:rFonts w:ascii="Arial" w:eastAsia="Times New Roman" w:hAnsi="Arial" w:cs="Arial"/>
          <w:color w:val="000000"/>
          <w:szCs w:val="24"/>
          <w:lang w:eastAsia="es-ES_tradnl"/>
        </w:rPr>
        <w:lastRenderedPageBreak/>
        <w:t xml:space="preserve">La doctrina foránea se ha pronunciado en similar sentido, al argumentar que la discrecionalidad administrativa tiene dos limitantes: una, el respeto a la finalidad jurídica que justifica, que no es nada distinto a satisfacer el interés general; y otra, que el uso de la discrecionalidad sea </w:t>
      </w:r>
      <w:proofErr w:type="gramStart"/>
      <w:r w:rsidRPr="001D067A">
        <w:rPr>
          <w:rFonts w:ascii="Arial" w:eastAsia="Times New Roman" w:hAnsi="Arial" w:cs="Arial"/>
          <w:color w:val="000000"/>
          <w:szCs w:val="24"/>
          <w:lang w:eastAsia="es-ES_tradnl"/>
        </w:rPr>
        <w:t>necesaria</w:t>
      </w:r>
      <w:proofErr w:type="gramEnd"/>
      <w:r w:rsidRPr="001D067A">
        <w:rPr>
          <w:rFonts w:ascii="Arial" w:eastAsia="Times New Roman" w:hAnsi="Arial" w:cs="Arial"/>
          <w:color w:val="000000"/>
          <w:szCs w:val="24"/>
          <w:lang w:eastAsia="es-ES_tradnl"/>
        </w:rPr>
        <w:t xml:space="preserve"> para cumplir el interés jurídico que se tutela. En estos términos, la entidad deberá adoptar una medida que esté acorde con el interés general</w:t>
      </w:r>
      <w:r w:rsidRPr="001D067A">
        <w:rPr>
          <w:rFonts w:ascii="Arial" w:eastAsia="Times New Roman" w:hAnsi="Arial" w:cs="Arial"/>
          <w:color w:val="000000"/>
          <w:szCs w:val="24"/>
          <w:vertAlign w:val="superscript"/>
          <w:lang w:eastAsia="es-ES_tradnl"/>
        </w:rPr>
        <w:footnoteReference w:id="11"/>
      </w:r>
      <w:r w:rsidRPr="001D067A">
        <w:rPr>
          <w:rFonts w:ascii="Arial" w:eastAsia="Times New Roman" w:hAnsi="Arial" w:cs="Arial"/>
          <w:color w:val="000000"/>
          <w:szCs w:val="24"/>
          <w:lang w:eastAsia="es-ES_tradnl"/>
        </w:rPr>
        <w:t>.</w:t>
      </w:r>
    </w:p>
    <w:p w14:paraId="01AA6F86" w14:textId="72C4EDA2" w:rsidR="001B29AA" w:rsidRPr="001B29AA" w:rsidRDefault="001B29AA" w:rsidP="001B29AA">
      <w:pPr>
        <w:spacing w:before="120" w:after="0" w:line="276" w:lineRule="auto"/>
        <w:ind w:firstLine="708"/>
        <w:jc w:val="both"/>
        <w:rPr>
          <w:rFonts w:ascii="Arial" w:eastAsia="Times New Roman" w:hAnsi="Arial" w:cs="Arial"/>
          <w:color w:val="000000"/>
          <w:szCs w:val="24"/>
          <w:lang w:val="es-ES" w:eastAsia="es-ES_tradnl"/>
        </w:rPr>
      </w:pPr>
      <w:r w:rsidRPr="001B29AA">
        <w:rPr>
          <w:rFonts w:ascii="Arial" w:eastAsia="Times New Roman" w:hAnsi="Arial" w:cs="Arial"/>
          <w:color w:val="000000"/>
          <w:szCs w:val="24"/>
          <w:lang w:val="es-ES" w:eastAsia="es-ES_tradnl"/>
        </w:rPr>
        <w:t xml:space="preserve"> La entidad tiene entonces la facultad de definir el término que otorgará a los proponentes para aclarar el precio </w:t>
      </w:r>
      <w:r w:rsidR="00C477F1">
        <w:rPr>
          <w:rFonts w:ascii="Arial" w:eastAsia="Times New Roman" w:hAnsi="Arial" w:cs="Arial"/>
          <w:color w:val="000000"/>
          <w:szCs w:val="24"/>
          <w:lang w:val="es-ES" w:eastAsia="es-ES_tradnl"/>
        </w:rPr>
        <w:t xml:space="preserve">que parece ser </w:t>
      </w:r>
      <w:r w:rsidRPr="001B29AA">
        <w:rPr>
          <w:rFonts w:ascii="Arial" w:eastAsia="Times New Roman" w:hAnsi="Arial" w:cs="Arial"/>
          <w:color w:val="000000"/>
          <w:szCs w:val="24"/>
          <w:lang w:val="es-ES" w:eastAsia="es-ES_tradnl"/>
        </w:rPr>
        <w:t xml:space="preserve">artificialmente bajo. Sin embargo, dicho término debe estar acorde, por un lado, con el interés general y, por el otro, con los principios de proporcionalidad y razonabilidad, así como también con los principios del Estatuto General de Contratación de la Administración Pública. </w:t>
      </w:r>
    </w:p>
    <w:p w14:paraId="02851F5B" w14:textId="518A188A" w:rsidR="001B29AA" w:rsidRPr="001D067A" w:rsidRDefault="001B29AA" w:rsidP="001B29AA">
      <w:pPr>
        <w:spacing w:before="120" w:after="0" w:line="276" w:lineRule="auto"/>
        <w:ind w:firstLine="708"/>
        <w:jc w:val="both"/>
        <w:rPr>
          <w:rFonts w:ascii="Arial" w:eastAsia="Calibri" w:hAnsi="Arial" w:cs="Arial"/>
          <w:color w:val="000000"/>
          <w:lang w:val="es-ES"/>
        </w:rPr>
      </w:pPr>
      <w:r w:rsidRPr="001D067A">
        <w:rPr>
          <w:rFonts w:ascii="Arial" w:eastAsia="Calibri" w:hAnsi="Arial" w:cs="Arial"/>
          <w:color w:val="000000"/>
          <w:lang w:val="es-ES"/>
        </w:rPr>
        <w:t xml:space="preserve">Finalmente, verificada la información remitida por el proponente, la entidad debe definir si rechaza o no la oferta. En la «Guía para el manejo de ofertas artificialmente bajas en Procesos de Contratación», la </w:t>
      </w:r>
      <w:r w:rsidRPr="001D067A">
        <w:rPr>
          <w:rFonts w:ascii="Arial" w:eastAsia="Times New Roman" w:hAnsi="Arial" w:cs="Arial"/>
          <w:color w:val="000000"/>
          <w:szCs w:val="24"/>
          <w:lang w:val="es-US" w:eastAsia="es-ES_tradnl"/>
        </w:rPr>
        <w:t xml:space="preserve">Agencia Nacional de Contratación Pública </w:t>
      </w:r>
      <w:r w:rsidR="00C477F1">
        <w:rPr>
          <w:rFonts w:ascii="Arial" w:eastAsia="Calibri" w:hAnsi="Arial" w:cs="Arial"/>
          <w:color w:val="000000"/>
          <w:lang w:val="es-ES"/>
        </w:rPr>
        <w:t>señala</w:t>
      </w:r>
      <w:r w:rsidR="00C477F1" w:rsidRPr="001D067A">
        <w:rPr>
          <w:rFonts w:ascii="Arial" w:eastAsia="Calibri" w:hAnsi="Arial" w:cs="Arial"/>
          <w:color w:val="000000"/>
          <w:lang w:val="es-ES"/>
        </w:rPr>
        <w:t xml:space="preserve"> </w:t>
      </w:r>
      <w:r w:rsidRPr="001D067A">
        <w:rPr>
          <w:rFonts w:ascii="Arial" w:eastAsia="Calibri" w:hAnsi="Arial" w:cs="Arial"/>
          <w:color w:val="000000"/>
          <w:lang w:val="es-ES"/>
        </w:rPr>
        <w:t xml:space="preserve">que </w:t>
      </w:r>
      <w:r w:rsidR="00C477F1">
        <w:rPr>
          <w:rFonts w:ascii="Arial" w:eastAsia="Calibri" w:hAnsi="Arial" w:cs="Arial"/>
          <w:color w:val="000000"/>
          <w:lang w:val="es-ES"/>
        </w:rPr>
        <w:t xml:space="preserve">procedería el rechazo de la oferta </w:t>
      </w:r>
      <w:r w:rsidRPr="001D067A">
        <w:rPr>
          <w:rFonts w:ascii="Arial" w:eastAsia="Calibri" w:hAnsi="Arial" w:cs="Arial"/>
          <w:color w:val="000000"/>
          <w:lang w:val="es-ES"/>
        </w:rPr>
        <w:t xml:space="preserve">en los siguientes eventos: i) «el proponente no presenta por escrito a la entidad estatal la aclaración de la oferta», </w:t>
      </w:r>
      <w:proofErr w:type="spellStart"/>
      <w:r w:rsidRPr="001D067A">
        <w:rPr>
          <w:rFonts w:ascii="Arial" w:eastAsia="Calibri" w:hAnsi="Arial" w:cs="Arial"/>
          <w:color w:val="000000"/>
          <w:lang w:val="es-ES"/>
        </w:rPr>
        <w:t>ii</w:t>
      </w:r>
      <w:proofErr w:type="spellEnd"/>
      <w:r w:rsidRPr="001D067A">
        <w:rPr>
          <w:rFonts w:ascii="Arial" w:eastAsia="Calibri" w:hAnsi="Arial" w:cs="Arial"/>
          <w:color w:val="000000"/>
          <w:lang w:val="es-ES"/>
        </w:rPr>
        <w:t xml:space="preserve">) «el proponente no envía parte o la totalidad de la información solicitada por la entidad estatal», </w:t>
      </w:r>
      <w:proofErr w:type="spellStart"/>
      <w:r w:rsidRPr="001D067A">
        <w:rPr>
          <w:rFonts w:ascii="Arial" w:eastAsia="Calibri" w:hAnsi="Arial" w:cs="Arial"/>
          <w:color w:val="000000"/>
          <w:lang w:val="es-ES"/>
        </w:rPr>
        <w:t>iii</w:t>
      </w:r>
      <w:proofErr w:type="spellEnd"/>
      <w:r w:rsidRPr="001D067A">
        <w:rPr>
          <w:rFonts w:ascii="Arial" w:eastAsia="Calibri" w:hAnsi="Arial" w:cs="Arial"/>
          <w:color w:val="000000"/>
          <w:lang w:val="es-ES"/>
        </w:rPr>
        <w:t xml:space="preserve">) «las aclaraciones del proponente no son satisfactorias para garantizar la sostenibilidad de la oferta durante la ejecución del contrato» y </w:t>
      </w:r>
      <w:proofErr w:type="spellStart"/>
      <w:r w:rsidRPr="001D067A">
        <w:rPr>
          <w:rFonts w:ascii="Arial" w:eastAsia="Calibri" w:hAnsi="Arial" w:cs="Arial"/>
          <w:color w:val="000000"/>
          <w:lang w:val="es-ES"/>
        </w:rPr>
        <w:t>iv</w:t>
      </w:r>
      <w:proofErr w:type="spellEnd"/>
      <w:r w:rsidRPr="001D067A">
        <w:rPr>
          <w:rFonts w:ascii="Arial" w:eastAsia="Calibri" w:hAnsi="Arial" w:cs="Arial"/>
          <w:color w:val="000000"/>
          <w:lang w:val="es-ES"/>
        </w:rPr>
        <w:t>) «las aclaraciones del proponente no desvirtúan la teoría de que está utilizando su oferta como parte de una estrategia colusoria o […] anticompetitiva durante el proceso de selección». Lo anterior, sin perjuicio de los eventos señalados en la Sección VII de la «Guía para el manejo de ofertas artificialmente bajas en Procesos de Contratación de Colombia Compra Eficiente», los cuales, debe advertirse, son criterios orientadores para las entidades públicas y no «causales de rechazo» en estricto sentido.</w:t>
      </w:r>
    </w:p>
    <w:p w14:paraId="481097F7" w14:textId="77777777" w:rsidR="001B29AA" w:rsidRPr="001B29AA" w:rsidRDefault="001B29AA" w:rsidP="001B29AA">
      <w:pPr>
        <w:spacing w:before="120" w:after="0" w:line="276" w:lineRule="auto"/>
        <w:ind w:firstLine="708"/>
        <w:jc w:val="both"/>
        <w:rPr>
          <w:rFonts w:ascii="Arial" w:eastAsia="Calibri" w:hAnsi="Arial" w:cs="Arial"/>
          <w:color w:val="000000"/>
          <w:lang w:val="es-ES"/>
        </w:rPr>
      </w:pPr>
      <w:r w:rsidRPr="001D067A">
        <w:rPr>
          <w:rFonts w:ascii="Arial" w:eastAsia="Times New Roman" w:hAnsi="Arial" w:cs="Arial"/>
          <w:color w:val="000000"/>
          <w:shd w:val="clear" w:color="auto" w:fill="FFFFFF"/>
          <w:lang w:val="es-US" w:eastAsia="es-ES_tradnl"/>
        </w:rPr>
        <w:t>Todo lo anterior, teniendo en cuenta que la referida Guía contiene criterios orientadores para las entidades públicas, los cuales, en consecuencia, no son vinculantes ni de obligatorio acatamiento. En otras palabras, las entidades están facultadas para aplicar los criterios contenidos en la Guía o acudir, si bien lo tienen, a otro tipo de criterios que consideren más apropiados para cada proceso de contratación</w:t>
      </w:r>
      <w:r w:rsidRPr="001D067A">
        <w:rPr>
          <w:rFonts w:ascii="Arial" w:eastAsia="Calibri" w:hAnsi="Arial" w:cs="Arial"/>
          <w:color w:val="000000"/>
          <w:lang w:val="es-ES"/>
        </w:rPr>
        <w:t>.</w:t>
      </w:r>
    </w:p>
    <w:p w14:paraId="3FA2A828" w14:textId="77777777" w:rsidR="001B29AA" w:rsidRPr="001B29AA" w:rsidRDefault="001B29AA" w:rsidP="001B29AA">
      <w:pPr>
        <w:tabs>
          <w:tab w:val="left" w:pos="0"/>
        </w:tabs>
        <w:spacing w:after="0" w:line="240" w:lineRule="auto"/>
        <w:jc w:val="both"/>
        <w:rPr>
          <w:rFonts w:ascii="Arial" w:eastAsia="Calibri" w:hAnsi="Arial" w:cs="Arial"/>
          <w:b/>
          <w:bCs/>
          <w:color w:val="000000"/>
          <w:sz w:val="20"/>
          <w:szCs w:val="20"/>
          <w:lang w:val="es-ES_tradnl"/>
        </w:rPr>
      </w:pPr>
    </w:p>
    <w:p w14:paraId="5E19D907" w14:textId="488A4D2C" w:rsidR="001B29AA" w:rsidRPr="001B29AA" w:rsidRDefault="001B29AA" w:rsidP="001B29AA">
      <w:pPr>
        <w:tabs>
          <w:tab w:val="left" w:pos="0"/>
        </w:tabs>
        <w:spacing w:after="0" w:line="276" w:lineRule="auto"/>
        <w:jc w:val="both"/>
        <w:rPr>
          <w:rFonts w:ascii="Arial" w:eastAsia="Times New Roman" w:hAnsi="Arial" w:cs="Arial"/>
          <w:b/>
          <w:bCs/>
          <w:color w:val="000000"/>
          <w:szCs w:val="24"/>
          <w:lang w:val="es-ES" w:eastAsia="es-ES_tradnl"/>
        </w:rPr>
      </w:pPr>
      <w:r w:rsidRPr="001B29AA">
        <w:rPr>
          <w:rFonts w:ascii="Arial" w:eastAsia="Calibri" w:hAnsi="Arial" w:cs="Arial"/>
          <w:b/>
          <w:bCs/>
          <w:color w:val="000000"/>
          <w:szCs w:val="24"/>
          <w:lang w:val="es-ES_tradnl" w:eastAsia="en-GB"/>
        </w:rPr>
        <w:t xml:space="preserve">2.6.2 </w:t>
      </w:r>
      <w:r w:rsidRPr="001B29AA">
        <w:rPr>
          <w:rFonts w:ascii="Arial" w:eastAsia="Times New Roman" w:hAnsi="Arial" w:cs="Arial"/>
          <w:b/>
          <w:bCs/>
          <w:color w:val="000000"/>
          <w:szCs w:val="24"/>
          <w:lang w:val="es-ES" w:eastAsia="es-ES_tradnl"/>
        </w:rPr>
        <w:t xml:space="preserve">Ofertas con posibles precios artificialmente bajos en los </w:t>
      </w:r>
      <w:r w:rsidR="00C477F1">
        <w:rPr>
          <w:rFonts w:ascii="Arial" w:eastAsia="Times New Roman" w:hAnsi="Arial" w:cs="Arial"/>
          <w:b/>
          <w:bCs/>
          <w:color w:val="000000"/>
          <w:szCs w:val="24"/>
          <w:lang w:val="es-ES" w:eastAsia="es-ES_tradnl"/>
        </w:rPr>
        <w:t xml:space="preserve">procesos regidos por los </w:t>
      </w:r>
      <w:r w:rsidRPr="001B29AA">
        <w:rPr>
          <w:rFonts w:ascii="Arial" w:eastAsia="Times New Roman" w:hAnsi="Arial" w:cs="Arial"/>
          <w:b/>
          <w:bCs/>
          <w:color w:val="000000"/>
          <w:szCs w:val="24"/>
          <w:lang w:val="es-ES" w:eastAsia="es-ES_tradnl"/>
        </w:rPr>
        <w:t>documentos tipo</w:t>
      </w:r>
    </w:p>
    <w:p w14:paraId="20A7BADC" w14:textId="77777777" w:rsidR="001B29AA" w:rsidRPr="001B29AA" w:rsidRDefault="001B29AA" w:rsidP="001B29AA">
      <w:pPr>
        <w:tabs>
          <w:tab w:val="left" w:pos="0"/>
        </w:tabs>
        <w:spacing w:after="0" w:line="276" w:lineRule="auto"/>
        <w:jc w:val="both"/>
        <w:rPr>
          <w:rFonts w:ascii="Arial" w:eastAsia="Calibri" w:hAnsi="Arial" w:cs="Arial"/>
          <w:b/>
          <w:bCs/>
          <w:color w:val="000000"/>
          <w:szCs w:val="24"/>
          <w:lang w:val="es-ES_tradnl" w:eastAsia="en-GB"/>
        </w:rPr>
      </w:pPr>
    </w:p>
    <w:p w14:paraId="5DB8512D" w14:textId="68456268" w:rsidR="001B29AA" w:rsidRPr="001B29AA" w:rsidRDefault="001B29AA" w:rsidP="00BA7A20">
      <w:pPr>
        <w:jc w:val="both"/>
        <w:rPr>
          <w:rFonts w:ascii="Arial" w:eastAsia="Times New Roman" w:hAnsi="Arial" w:cs="Arial"/>
          <w:color w:val="000000"/>
          <w:szCs w:val="24"/>
          <w:lang w:eastAsia="es-ES_tradnl"/>
        </w:rPr>
      </w:pPr>
      <w:r w:rsidRPr="001B29AA">
        <w:rPr>
          <w:rFonts w:ascii="Arial" w:eastAsia="Times New Roman" w:hAnsi="Arial" w:cs="Arial"/>
          <w:color w:val="000000"/>
          <w:szCs w:val="24"/>
          <w:lang w:eastAsia="es-ES_tradnl"/>
        </w:rPr>
        <w:t xml:space="preserve">El numeral 4.1.3. del Capítulo IV «Criterios de Evaluación, Asignación de Puntaje y Criterios de Desempate», del documento base de </w:t>
      </w:r>
      <w:r w:rsidR="00BA2786" w:rsidRPr="00BA7A20">
        <w:rPr>
          <w:rFonts w:ascii="Arial" w:eastAsia="Times New Roman" w:hAnsi="Arial" w:cs="Arial"/>
          <w:color w:val="000000"/>
          <w:szCs w:val="24"/>
          <w:lang w:eastAsia="es-ES_tradnl"/>
        </w:rPr>
        <w:t xml:space="preserve">licitación de obra pública de infraestructura de transporte – versión 3 </w:t>
      </w:r>
      <w:r w:rsidRPr="001B29AA">
        <w:rPr>
          <w:rFonts w:ascii="Arial" w:eastAsia="Times New Roman" w:hAnsi="Arial" w:cs="Arial"/>
          <w:color w:val="000000"/>
          <w:szCs w:val="24"/>
          <w:lang w:eastAsia="es-ES_tradnl"/>
        </w:rPr>
        <w:t>regula lo referente al precio artificialmente bajo. Según esta disposición, «</w:t>
      </w:r>
      <w:r w:rsidR="00BA7A20">
        <w:rPr>
          <w:rFonts w:ascii="Arial" w:hAnsi="Arial" w:cs="Arial"/>
          <w:lang w:val="es-MX"/>
        </w:rPr>
        <w:t>[e]</w:t>
      </w:r>
      <w:r w:rsidR="00BA7A20" w:rsidRPr="00BA7A20">
        <w:rPr>
          <w:rFonts w:ascii="Arial" w:hAnsi="Arial" w:cs="Arial"/>
          <w:lang w:val="es-MX"/>
        </w:rPr>
        <w:t xml:space="preserve">n el evento en el que el precio de una oferta, al momento de su evaluación, </w:t>
      </w:r>
      <w:r w:rsidR="00BA7A20" w:rsidRPr="00BA7A20">
        <w:rPr>
          <w:rFonts w:ascii="Arial" w:hAnsi="Arial" w:cs="Arial"/>
          <w:lang w:val="es-MX"/>
        </w:rPr>
        <w:lastRenderedPageBreak/>
        <w:t>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r w:rsidRPr="001B29AA">
        <w:rPr>
          <w:rFonts w:ascii="Arial" w:eastAsia="Times New Roman" w:hAnsi="Arial" w:cs="Arial"/>
          <w:color w:val="000000"/>
          <w:szCs w:val="24"/>
          <w:lang w:eastAsia="es-ES_tradnl"/>
        </w:rPr>
        <w:t>».</w:t>
      </w:r>
    </w:p>
    <w:p w14:paraId="030F2197" w14:textId="43399EE9" w:rsidR="001B29AA" w:rsidRPr="001B29AA" w:rsidRDefault="001B29AA" w:rsidP="001D067A">
      <w:pPr>
        <w:spacing w:before="120" w:after="120" w:line="276" w:lineRule="auto"/>
        <w:ind w:firstLine="709"/>
        <w:jc w:val="both"/>
        <w:rPr>
          <w:rFonts w:ascii="Arial" w:eastAsia="Times New Roman" w:hAnsi="Arial" w:cs="Arial"/>
          <w:color w:val="000000"/>
        </w:rPr>
      </w:pPr>
      <w:r w:rsidRPr="001B29AA">
        <w:rPr>
          <w:rFonts w:ascii="Arial" w:eastAsia="Times New Roman" w:hAnsi="Arial" w:cs="Arial"/>
          <w:color w:val="000000"/>
          <w:szCs w:val="24"/>
          <w:lang w:eastAsia="es-ES_tradnl"/>
        </w:rPr>
        <w:t xml:space="preserve">Como se evidencia, en los casos en que se presente una oferta </w:t>
      </w:r>
      <w:r w:rsidR="00C477F1">
        <w:rPr>
          <w:rFonts w:ascii="Arial" w:eastAsia="Times New Roman" w:hAnsi="Arial" w:cs="Arial"/>
          <w:color w:val="000000"/>
          <w:szCs w:val="24"/>
          <w:lang w:eastAsia="es-ES_tradnl"/>
        </w:rPr>
        <w:t xml:space="preserve">que parece ser </w:t>
      </w:r>
      <w:r w:rsidRPr="001B29AA">
        <w:rPr>
          <w:rFonts w:ascii="Arial" w:eastAsia="Times New Roman" w:hAnsi="Arial" w:cs="Arial"/>
          <w:color w:val="000000"/>
          <w:szCs w:val="24"/>
          <w:lang w:eastAsia="es-ES_tradnl"/>
        </w:rPr>
        <w:t>artificialmente baja, el numeral 4.1.3 del Capítulo IV del documento base remite expresamente al procedimiento previsto en el artículo 2.2.1.1.2.2.4 del Decreto 1082 de 2015. Además, la entidad pública podrá acudir a los parámetros definidos en la Guía para el manejo de ofertas artificialmente bajas en procesos de contratación, como un criterio metodológico.</w:t>
      </w:r>
    </w:p>
    <w:p w14:paraId="76884318" w14:textId="1BA54D41" w:rsidR="001B29AA" w:rsidRDefault="001B29AA" w:rsidP="001D067A">
      <w:pPr>
        <w:spacing w:before="120" w:after="120" w:line="276" w:lineRule="auto"/>
        <w:ind w:firstLine="709"/>
        <w:jc w:val="both"/>
        <w:rPr>
          <w:rFonts w:ascii="Arial" w:eastAsia="Times New Roman" w:hAnsi="Arial" w:cs="Arial"/>
          <w:color w:val="000000"/>
          <w:szCs w:val="24"/>
          <w:lang w:eastAsia="es-ES_tradnl"/>
        </w:rPr>
      </w:pPr>
      <w:r w:rsidRPr="001D067A">
        <w:rPr>
          <w:rFonts w:ascii="Arial" w:eastAsia="Times New Roman" w:hAnsi="Arial" w:cs="Arial"/>
          <w:color w:val="000000"/>
          <w:szCs w:val="24"/>
          <w:lang w:eastAsia="es-ES_tradnl"/>
        </w:rPr>
        <w:t xml:space="preserve">Como se explicó, el artículo 2.2.1.1.2.2.4 del Decreto 1082 de 2015 impone el deber a las entidades públicas de requerir al oferente para que explique las razones que sustentan el valor ofrecido, para posteriormente analizarlas y, con base en ello, definir si procede el rechazo de la oferta o se continúa con el análisis de </w:t>
      </w:r>
      <w:proofErr w:type="gramStart"/>
      <w:r w:rsidRPr="001D067A">
        <w:rPr>
          <w:rFonts w:ascii="Arial" w:eastAsia="Times New Roman" w:hAnsi="Arial" w:cs="Arial"/>
          <w:color w:val="000000"/>
          <w:szCs w:val="24"/>
          <w:lang w:eastAsia="es-ES_tradnl"/>
        </w:rPr>
        <w:t>la misma</w:t>
      </w:r>
      <w:proofErr w:type="gramEnd"/>
      <w:r w:rsidRPr="001D067A">
        <w:rPr>
          <w:rFonts w:ascii="Arial" w:eastAsia="Times New Roman" w:hAnsi="Arial" w:cs="Arial"/>
          <w:color w:val="000000"/>
          <w:szCs w:val="24"/>
          <w:lang w:eastAsia="es-ES_tradnl"/>
        </w:rPr>
        <w:t xml:space="preserve"> en la evaluación de las </w:t>
      </w:r>
      <w:r w:rsidR="00C477F1">
        <w:rPr>
          <w:rFonts w:ascii="Arial" w:eastAsia="Times New Roman" w:hAnsi="Arial" w:cs="Arial"/>
          <w:color w:val="000000"/>
          <w:szCs w:val="24"/>
          <w:lang w:eastAsia="es-ES_tradnl"/>
        </w:rPr>
        <w:t>propuestas</w:t>
      </w:r>
      <w:r w:rsidRPr="001D067A">
        <w:rPr>
          <w:rFonts w:ascii="Arial" w:eastAsia="Times New Roman" w:hAnsi="Arial" w:cs="Arial"/>
          <w:color w:val="000000"/>
          <w:szCs w:val="24"/>
          <w:lang w:eastAsia="es-ES_tradnl"/>
        </w:rPr>
        <w:t xml:space="preserve">. Por su parte, la Guía para el manejo de ofertas artificialmente bajas en Procesos de Contratación establece criterios orientadores para las entidades públicas, que podrán aplicar para determinar si una oferta parece ser artificialmente baja. Sin embargo, no se trata de criterios vinculantes, de manera que las entidades pueden, a partir de los datos de los que dispongan, servirse de otros métodos razonables, </w:t>
      </w:r>
      <w:r w:rsidR="005F2D97">
        <w:rPr>
          <w:rFonts w:ascii="Arial" w:eastAsia="Times New Roman" w:hAnsi="Arial" w:cs="Arial"/>
          <w:color w:val="000000"/>
          <w:szCs w:val="24"/>
          <w:lang w:eastAsia="es-ES_tradnl"/>
        </w:rPr>
        <w:t xml:space="preserve">para aplicar el procedimiento establecido en el artículo </w:t>
      </w:r>
      <w:r w:rsidR="005F2D97" w:rsidRPr="001D067A">
        <w:rPr>
          <w:rFonts w:ascii="Arial" w:eastAsia="Times New Roman" w:hAnsi="Arial" w:cs="Arial"/>
          <w:color w:val="000000"/>
          <w:szCs w:val="24"/>
          <w:lang w:eastAsia="es-ES_tradnl"/>
        </w:rPr>
        <w:t>2.2.1.1.2.2.4</w:t>
      </w:r>
      <w:r w:rsidR="005F2D97">
        <w:rPr>
          <w:rFonts w:ascii="Arial" w:eastAsia="Times New Roman" w:hAnsi="Arial" w:cs="Arial"/>
          <w:color w:val="000000"/>
          <w:szCs w:val="24"/>
          <w:lang w:eastAsia="es-ES_tradnl"/>
        </w:rPr>
        <w:t xml:space="preserve"> del Decreto 1082 de 2015.</w:t>
      </w:r>
    </w:p>
    <w:p w14:paraId="5C4D2B2D" w14:textId="7B5486DB" w:rsidR="00C81E0E" w:rsidRPr="00C81E0E" w:rsidRDefault="005F2D97" w:rsidP="00C81E0E">
      <w:pPr>
        <w:spacing w:after="120" w:line="276" w:lineRule="auto"/>
        <w:ind w:firstLine="709"/>
        <w:jc w:val="both"/>
        <w:rPr>
          <w:rFonts w:ascii="Arial" w:hAnsi="Arial" w:cs="Arial"/>
          <w:color w:val="000000" w:themeColor="text1"/>
          <w:lang w:val="es-MX"/>
        </w:rPr>
      </w:pPr>
      <w:r>
        <w:rPr>
          <w:rFonts w:ascii="Arial" w:hAnsi="Arial" w:cs="Arial"/>
          <w:color w:val="000000" w:themeColor="text1"/>
          <w:lang w:val="es-MX"/>
        </w:rPr>
        <w:t>En este sentido, e</w:t>
      </w:r>
      <w:r w:rsidR="00C81E0E" w:rsidRPr="00C81E0E">
        <w:rPr>
          <w:rFonts w:ascii="Arial" w:hAnsi="Arial" w:cs="Arial"/>
          <w:color w:val="000000" w:themeColor="text1"/>
          <w:lang w:val="es-MX"/>
        </w:rPr>
        <w:t>l reglamento establece la forma y momento para requerir a los proponentes</w:t>
      </w:r>
      <w:r>
        <w:rPr>
          <w:rFonts w:ascii="Arial" w:hAnsi="Arial" w:cs="Arial"/>
          <w:color w:val="000000" w:themeColor="text1"/>
          <w:lang w:val="es-MX"/>
        </w:rPr>
        <w:t xml:space="preserve"> para</w:t>
      </w:r>
      <w:r w:rsidR="00C81E0E" w:rsidRPr="00C81E0E">
        <w:rPr>
          <w:rFonts w:ascii="Arial" w:hAnsi="Arial" w:cs="Arial"/>
          <w:color w:val="000000" w:themeColor="text1"/>
          <w:lang w:val="es-MX"/>
        </w:rPr>
        <w:t xml:space="preserve"> que justifiquen el precio</w:t>
      </w:r>
      <w:r>
        <w:rPr>
          <w:rFonts w:ascii="Arial" w:hAnsi="Arial" w:cs="Arial"/>
          <w:color w:val="000000" w:themeColor="text1"/>
          <w:lang w:val="es-MX"/>
        </w:rPr>
        <w:t xml:space="preserve"> ofrecido</w:t>
      </w:r>
      <w:r w:rsidR="000D623B">
        <w:rPr>
          <w:rFonts w:ascii="Arial" w:hAnsi="Arial" w:cs="Arial"/>
          <w:color w:val="000000" w:themeColor="text1"/>
          <w:lang w:val="es-MX"/>
        </w:rPr>
        <w:t>, dejando un margen de discrecionalidad al interior de dicha oportunidad</w:t>
      </w:r>
      <w:r w:rsidR="00C81E0E" w:rsidRPr="00C81E0E">
        <w:rPr>
          <w:rFonts w:ascii="Arial" w:hAnsi="Arial" w:cs="Arial"/>
          <w:color w:val="000000" w:themeColor="text1"/>
          <w:lang w:val="es-MX"/>
        </w:rPr>
        <w:t xml:space="preserve">: durante la evaluación de las ofertas. </w:t>
      </w:r>
      <w:r w:rsidR="000D623B">
        <w:rPr>
          <w:rFonts w:ascii="Arial" w:hAnsi="Arial" w:cs="Arial"/>
          <w:color w:val="000000" w:themeColor="text1"/>
          <w:lang w:val="es-MX"/>
        </w:rPr>
        <w:t>De esta manera, l</w:t>
      </w:r>
      <w:r w:rsidR="00C81E0E" w:rsidRPr="00C81E0E">
        <w:rPr>
          <w:rFonts w:ascii="Arial" w:hAnsi="Arial" w:cs="Arial"/>
          <w:color w:val="000000" w:themeColor="text1"/>
          <w:lang w:val="es-MX"/>
        </w:rPr>
        <w:t xml:space="preserve">a determinación le corresponde a cada entidad pública, para lo cual debe tener presente las particularidades de cada modalidad de selección, partiendo de la base de que la entidad solo podrá pedir explicaciones cuando conozca las ofertas económicas. </w:t>
      </w:r>
    </w:p>
    <w:p w14:paraId="177E4DBE" w14:textId="206027A7" w:rsidR="00C81E0E" w:rsidRPr="00C81E0E" w:rsidRDefault="00C81E0E" w:rsidP="00B82D89">
      <w:pPr>
        <w:spacing w:before="120" w:after="120" w:line="276" w:lineRule="auto"/>
        <w:ind w:firstLine="709"/>
        <w:jc w:val="both"/>
        <w:rPr>
          <w:rFonts w:ascii="Arial" w:hAnsi="Arial" w:cs="Arial"/>
          <w:color w:val="000000" w:themeColor="text1"/>
          <w:lang w:val="es-MX"/>
        </w:rPr>
      </w:pPr>
      <w:r w:rsidRPr="00C81E0E">
        <w:rPr>
          <w:rFonts w:ascii="Arial" w:hAnsi="Arial" w:cs="Arial"/>
          <w:color w:val="000000" w:themeColor="text1"/>
          <w:lang w:val="es-MX"/>
        </w:rPr>
        <w:t>En desarrollo de una licitación pública para seleccionar a contratistas de obra, una vez publicado el informe de evaluación de los documentos e información de los requisitos habilitantes y de los documentos a los que se les asigne puntaje, diferentes a la oferta económica, y transcurrido el término para que los proponentes presenten observaciones y, de ser el caso, aporten la documentación que se les hubiere solicitado, la entidad debe publicar el «informe final de evaluación». Posteriormente, en la fecha establecida en el Anexo 2 – Cronograma, se debe llevar a cabo la «audiencia efectiva de adjudicación», durante la cual la entidad</w:t>
      </w:r>
      <w:r w:rsidR="00AA0F09">
        <w:rPr>
          <w:rFonts w:ascii="Arial" w:hAnsi="Arial" w:cs="Arial"/>
          <w:color w:val="000000" w:themeColor="text1"/>
          <w:lang w:val="es-MX"/>
        </w:rPr>
        <w:t>,</w:t>
      </w:r>
      <w:r w:rsidR="00AA0F09" w:rsidRPr="00AA0F09">
        <w:rPr>
          <w:rFonts w:ascii="Arial" w:hAnsi="Arial" w:cs="Arial"/>
        </w:rPr>
        <w:t xml:space="preserve"> </w:t>
      </w:r>
      <w:r w:rsidR="00AA0F09">
        <w:rPr>
          <w:rFonts w:ascii="Arial" w:hAnsi="Arial" w:cs="Arial"/>
        </w:rPr>
        <w:t>además de adelantar otras actuaciones,</w:t>
      </w:r>
      <w:r w:rsidRPr="00C81E0E">
        <w:rPr>
          <w:rFonts w:ascii="Arial" w:hAnsi="Arial" w:cs="Arial"/>
          <w:color w:val="000000" w:themeColor="text1"/>
          <w:lang w:val="es-MX"/>
        </w:rPr>
        <w:t xml:space="preserve"> abrirá el Sobre 2, que contiene las ofertas económicas, de los proponentes habilitados y evaluará las ofertas económicas. Es en este momento en donde se conoce, por primera vez, la oferta económica de los proponentes.</w:t>
      </w:r>
    </w:p>
    <w:p w14:paraId="6379372E" w14:textId="74C68394" w:rsidR="00C81E0E" w:rsidRPr="00C81E0E" w:rsidRDefault="00C81E0E" w:rsidP="00B82D89">
      <w:pPr>
        <w:spacing w:before="120" w:after="120" w:line="276" w:lineRule="auto"/>
        <w:ind w:firstLine="709"/>
        <w:jc w:val="both"/>
        <w:rPr>
          <w:rFonts w:ascii="Arial" w:hAnsi="Arial" w:cs="Arial"/>
          <w:color w:val="000000" w:themeColor="text1"/>
          <w:lang w:val="es-MX"/>
        </w:rPr>
      </w:pPr>
      <w:bookmarkStart w:id="7" w:name="_Hlk57051537"/>
      <w:r w:rsidRPr="00C81E0E">
        <w:rPr>
          <w:rFonts w:ascii="Arial" w:hAnsi="Arial" w:cs="Arial"/>
          <w:color w:val="000000" w:themeColor="text1"/>
          <w:lang w:val="es-MX"/>
        </w:rPr>
        <w:t xml:space="preserve">Es del caso precisar </w:t>
      </w:r>
      <w:proofErr w:type="gramStart"/>
      <w:r w:rsidRPr="00C81E0E">
        <w:rPr>
          <w:rFonts w:ascii="Arial" w:hAnsi="Arial" w:cs="Arial"/>
          <w:color w:val="000000" w:themeColor="text1"/>
          <w:lang w:val="es-MX"/>
        </w:rPr>
        <w:t>que</w:t>
      </w:r>
      <w:proofErr w:type="gramEnd"/>
      <w:r w:rsidRPr="00C81E0E">
        <w:rPr>
          <w:rFonts w:ascii="Arial" w:hAnsi="Arial" w:cs="Arial"/>
          <w:color w:val="000000" w:themeColor="text1"/>
          <w:lang w:val="es-MX"/>
        </w:rPr>
        <w:t xml:space="preserve"> aunque es cierto que </w:t>
      </w:r>
      <w:bookmarkStart w:id="8" w:name="_Hlk57053256"/>
      <w:r w:rsidRPr="00C81E0E">
        <w:rPr>
          <w:rFonts w:ascii="Arial" w:hAnsi="Arial" w:cs="Arial"/>
          <w:color w:val="000000" w:themeColor="text1"/>
          <w:lang w:val="es-MX"/>
        </w:rPr>
        <w:t xml:space="preserve">tratándose de procesos de licitación de obra pública de infraestructura de transporte el requerimiento que hace la entidad y la respuesta que brinda el oferente debe hacerse en la «audiencia efectiva de adjudicación», </w:t>
      </w:r>
      <w:r w:rsidRPr="00C81E0E">
        <w:rPr>
          <w:rFonts w:ascii="Arial" w:hAnsi="Arial" w:cs="Arial"/>
          <w:color w:val="000000" w:themeColor="text1"/>
          <w:lang w:val="es-MX"/>
        </w:rPr>
        <w:lastRenderedPageBreak/>
        <w:t>también lo es que la entidad, excepcionalmente, podrá suspender la audiencia para analizar el caso y contar con mejores elementos de juicio para adoptar las decisiones que le correspondiere tomar. Esta autorización tiene como fundamento el artículo 2.2.1.2.1.1.2., numeral 1, del Decreto 1082 de 2015, que establece que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bookmarkEnd w:id="7"/>
    <w:bookmarkEnd w:id="8"/>
    <w:p w14:paraId="3C46D2A7" w14:textId="5CE6175E" w:rsidR="00C81E0E" w:rsidRPr="00C81E0E" w:rsidRDefault="00C81E0E" w:rsidP="00B82D89">
      <w:pPr>
        <w:spacing w:before="120" w:after="120" w:line="276" w:lineRule="auto"/>
        <w:ind w:firstLine="709"/>
        <w:jc w:val="both"/>
        <w:rPr>
          <w:rFonts w:ascii="Arial" w:hAnsi="Arial" w:cs="Arial"/>
          <w:color w:val="000000" w:themeColor="text1"/>
          <w:lang w:val="es-MX"/>
        </w:rPr>
      </w:pPr>
      <w:r w:rsidRPr="00C81E0E">
        <w:rPr>
          <w:rFonts w:ascii="Arial" w:hAnsi="Arial" w:cs="Arial"/>
          <w:color w:val="000000" w:themeColor="text1"/>
          <w:lang w:val="es-MX"/>
        </w:rPr>
        <w:t xml:space="preserve">Incluso, de considerarlo procedente, la entidad podrá suspender la diligencia de adjudicación para permitirle al proponente que recopile mejores elementos de juicio para responder al requerimiento, claro está, justificando tal determinación. En todo caso, se debe tener en cuenta que dicha decisión es facultativa, lo que significa que no es obligatorio hacerlo en todos los casos, aun cuando lo hubiere solicitado el proponente expresamente. De todos modos, el artículo 2.2.1.1.2.2.4. del Decreto 1082 de 2015 prevé que el comité evaluador una vez analice las explicaciones que justifican el precio decidirá si rechaza o no la oferta. Ahora, si el proponente no allega información, será una omisión que deberá analizar el comité evaluador y, de ser el caso, podrá rechazar la oferta. </w:t>
      </w:r>
    </w:p>
    <w:p w14:paraId="59AFB443" w14:textId="646723D2" w:rsidR="000A7547" w:rsidRDefault="009F5175" w:rsidP="007E4C0A">
      <w:pPr>
        <w:spacing w:after="120" w:line="276" w:lineRule="auto"/>
        <w:ind w:firstLine="709"/>
        <w:jc w:val="both"/>
        <w:rPr>
          <w:rFonts w:ascii="Arial" w:hAnsi="Arial" w:cs="Arial"/>
          <w:color w:val="000000" w:themeColor="text1"/>
          <w:lang w:val="es-ES"/>
        </w:rPr>
      </w:pPr>
      <w:r>
        <w:rPr>
          <w:rFonts w:ascii="Arial" w:eastAsia="Calibri" w:hAnsi="Arial" w:cs="Arial"/>
          <w:color w:val="000000" w:themeColor="text1"/>
          <w:lang w:val="es-ES"/>
        </w:rPr>
        <w:t>Visto lo anterior</w:t>
      </w:r>
      <w:r w:rsidR="007E4C0A">
        <w:rPr>
          <w:rFonts w:ascii="Arial" w:eastAsia="Calibri" w:hAnsi="Arial" w:cs="Arial"/>
          <w:color w:val="000000" w:themeColor="text1"/>
          <w:lang w:val="es-ES"/>
        </w:rPr>
        <w:t xml:space="preserve">, </w:t>
      </w:r>
      <w:r w:rsidR="0087547A">
        <w:rPr>
          <w:rFonts w:ascii="Arial" w:eastAsia="Calibri" w:hAnsi="Arial" w:cs="Arial"/>
          <w:color w:val="000000" w:themeColor="text1"/>
          <w:lang w:val="es-ES"/>
        </w:rPr>
        <w:t>teniendo en cuenta</w:t>
      </w:r>
      <w:r>
        <w:rPr>
          <w:rFonts w:ascii="Arial" w:eastAsia="Calibri" w:hAnsi="Arial" w:cs="Arial"/>
          <w:color w:val="000000" w:themeColor="text1"/>
          <w:lang w:val="es-ES"/>
        </w:rPr>
        <w:t xml:space="preserve"> </w:t>
      </w:r>
      <w:r w:rsidR="0087547A">
        <w:rPr>
          <w:rFonts w:ascii="Arial" w:eastAsia="Calibri" w:hAnsi="Arial" w:cs="Arial"/>
          <w:color w:val="000000" w:themeColor="text1"/>
          <w:lang w:val="es-ES"/>
        </w:rPr>
        <w:t xml:space="preserve">algunas </w:t>
      </w:r>
      <w:r w:rsidR="007E4C0A">
        <w:rPr>
          <w:rFonts w:ascii="Arial" w:eastAsia="Calibri" w:hAnsi="Arial" w:cs="Arial"/>
          <w:color w:val="000000" w:themeColor="text1"/>
          <w:lang w:val="es-ES"/>
        </w:rPr>
        <w:t>pregunta</w:t>
      </w:r>
      <w:r>
        <w:rPr>
          <w:rFonts w:ascii="Arial" w:eastAsia="Calibri" w:hAnsi="Arial" w:cs="Arial"/>
          <w:color w:val="000000" w:themeColor="text1"/>
          <w:lang w:val="es-ES"/>
        </w:rPr>
        <w:t>s</w:t>
      </w:r>
      <w:r w:rsidR="007E4C0A">
        <w:rPr>
          <w:rFonts w:ascii="Arial" w:eastAsia="Calibri" w:hAnsi="Arial" w:cs="Arial"/>
          <w:color w:val="000000" w:themeColor="text1"/>
          <w:lang w:val="es-ES"/>
        </w:rPr>
        <w:t xml:space="preserve"> del peticionario, </w:t>
      </w:r>
      <w:r w:rsidR="00BB1216">
        <w:rPr>
          <w:rFonts w:ascii="Arial" w:eastAsia="Calibri" w:hAnsi="Arial" w:cs="Arial"/>
          <w:color w:val="000000" w:themeColor="text1"/>
          <w:lang w:val="es-ES"/>
        </w:rPr>
        <w:t xml:space="preserve">se debe precisar </w:t>
      </w:r>
      <w:r w:rsidR="007E4C0A">
        <w:rPr>
          <w:rFonts w:ascii="Arial" w:eastAsia="Calibri" w:hAnsi="Arial" w:cs="Arial"/>
          <w:color w:val="000000" w:themeColor="text1"/>
          <w:lang w:val="es-ES"/>
        </w:rPr>
        <w:t xml:space="preserve">que </w:t>
      </w:r>
      <w:r w:rsidR="007E4C0A">
        <w:rPr>
          <w:rFonts w:ascii="Arial" w:eastAsia="Calibri" w:hAnsi="Arial" w:cs="Arial"/>
          <w:color w:val="000000"/>
          <w:sz w:val="21"/>
          <w:szCs w:val="21"/>
          <w:lang w:val="es-ES"/>
        </w:rPr>
        <w:t>l</w:t>
      </w:r>
      <w:r w:rsidR="007E4C0A" w:rsidRPr="008E0D03">
        <w:rPr>
          <w:rFonts w:ascii="Arial" w:hAnsi="Arial" w:cs="Arial"/>
          <w:color w:val="000000" w:themeColor="text1"/>
        </w:rPr>
        <w:t xml:space="preserve">a determinación de propuestas </w:t>
      </w:r>
      <w:r w:rsidR="007E4C0A">
        <w:rPr>
          <w:rFonts w:ascii="Arial" w:hAnsi="Arial" w:cs="Arial"/>
          <w:color w:val="000000" w:themeColor="text1"/>
        </w:rPr>
        <w:t xml:space="preserve">como </w:t>
      </w:r>
      <w:r w:rsidR="007E4C0A" w:rsidRPr="008E0D03">
        <w:rPr>
          <w:rFonts w:ascii="Arial" w:hAnsi="Arial" w:cs="Arial"/>
          <w:color w:val="000000" w:themeColor="text1"/>
        </w:rPr>
        <w:t xml:space="preserve">artificialmente bajas y la selección aleatoria del método de ponderación </w:t>
      </w:r>
      <w:r w:rsidR="007E4C0A">
        <w:rPr>
          <w:rFonts w:ascii="Arial" w:hAnsi="Arial" w:cs="Arial"/>
          <w:color w:val="000000" w:themeColor="text1"/>
        </w:rPr>
        <w:t xml:space="preserve">de las ofertas </w:t>
      </w:r>
      <w:r w:rsidR="007E4C0A" w:rsidRPr="008E0D03">
        <w:rPr>
          <w:rFonts w:ascii="Arial" w:hAnsi="Arial" w:cs="Arial"/>
          <w:color w:val="000000" w:themeColor="text1"/>
        </w:rPr>
        <w:t>económica</w:t>
      </w:r>
      <w:r w:rsidR="007E4C0A">
        <w:rPr>
          <w:rFonts w:ascii="Arial" w:hAnsi="Arial" w:cs="Arial"/>
          <w:color w:val="000000" w:themeColor="text1"/>
        </w:rPr>
        <w:t>s</w:t>
      </w:r>
      <w:r w:rsidR="009C4489">
        <w:rPr>
          <w:rStyle w:val="Refdenotaalpie"/>
          <w:rFonts w:ascii="Arial" w:hAnsi="Arial" w:cs="Arial"/>
          <w:color w:val="000000" w:themeColor="text1"/>
        </w:rPr>
        <w:footnoteReference w:id="12"/>
      </w:r>
      <w:r w:rsidR="007E4C0A" w:rsidRPr="008E0D03">
        <w:rPr>
          <w:rFonts w:ascii="Arial" w:hAnsi="Arial" w:cs="Arial"/>
          <w:color w:val="000000" w:themeColor="text1"/>
        </w:rPr>
        <w:t xml:space="preserve"> son procedimientos de diferente naturaleza que deben ser agotados por la entidad estatal</w:t>
      </w:r>
      <w:r w:rsidR="00BB1216">
        <w:rPr>
          <w:rFonts w:ascii="Arial" w:hAnsi="Arial" w:cs="Arial"/>
          <w:color w:val="000000" w:themeColor="text1"/>
          <w:lang w:val="es-ES"/>
        </w:rPr>
        <w:t xml:space="preserve">, cómo se expondrá de forma sucinta a </w:t>
      </w:r>
      <w:r w:rsidR="000A7547">
        <w:rPr>
          <w:rFonts w:ascii="Arial" w:hAnsi="Arial" w:cs="Arial"/>
          <w:color w:val="000000" w:themeColor="text1"/>
          <w:lang w:val="es-ES"/>
        </w:rPr>
        <w:t>continuación</w:t>
      </w:r>
      <w:r w:rsidR="00BB1216">
        <w:rPr>
          <w:rFonts w:ascii="Arial" w:hAnsi="Arial" w:cs="Arial"/>
          <w:color w:val="000000" w:themeColor="text1"/>
          <w:lang w:val="es-ES"/>
        </w:rPr>
        <w:t xml:space="preserve">. </w:t>
      </w:r>
      <w:r w:rsidR="007E4C0A" w:rsidRPr="00066A9A">
        <w:rPr>
          <w:rFonts w:ascii="Arial" w:hAnsi="Arial" w:cs="Arial"/>
          <w:color w:val="000000" w:themeColor="text1"/>
          <w:lang w:val="es-ES"/>
        </w:rPr>
        <w:t xml:space="preserve"> </w:t>
      </w:r>
    </w:p>
    <w:p w14:paraId="2D29DDFD" w14:textId="66B09582" w:rsidR="007E4C0A" w:rsidRPr="00066A9A" w:rsidRDefault="000A7547" w:rsidP="007E4C0A">
      <w:pPr>
        <w:spacing w:after="120" w:line="276" w:lineRule="auto"/>
        <w:ind w:firstLine="709"/>
        <w:jc w:val="both"/>
        <w:rPr>
          <w:rFonts w:ascii="Arial" w:hAnsi="Arial" w:cs="Arial"/>
          <w:color w:val="000000" w:themeColor="text1"/>
          <w:lang w:val="es-ES"/>
        </w:rPr>
      </w:pPr>
      <w:r>
        <w:rPr>
          <w:rFonts w:ascii="Arial" w:eastAsia="Calibri" w:hAnsi="Arial" w:cs="Arial"/>
          <w:color w:val="000000"/>
          <w:sz w:val="21"/>
          <w:szCs w:val="21"/>
          <w:lang w:val="es-ES"/>
        </w:rPr>
        <w:t>L</w:t>
      </w:r>
      <w:r w:rsidRPr="008E0D03">
        <w:rPr>
          <w:rFonts w:ascii="Arial" w:hAnsi="Arial" w:cs="Arial"/>
          <w:color w:val="000000" w:themeColor="text1"/>
        </w:rPr>
        <w:t xml:space="preserve">a determinación de propuestas </w:t>
      </w:r>
      <w:r>
        <w:rPr>
          <w:rFonts w:ascii="Arial" w:hAnsi="Arial" w:cs="Arial"/>
          <w:color w:val="000000" w:themeColor="text1"/>
        </w:rPr>
        <w:t xml:space="preserve">como </w:t>
      </w:r>
      <w:r w:rsidRPr="008E0D03">
        <w:rPr>
          <w:rFonts w:ascii="Arial" w:hAnsi="Arial" w:cs="Arial"/>
          <w:color w:val="000000" w:themeColor="text1"/>
        </w:rPr>
        <w:t>artificialmente bajas</w:t>
      </w:r>
      <w:r w:rsidR="00FD0CB9">
        <w:rPr>
          <w:rFonts w:ascii="Arial" w:hAnsi="Arial" w:cs="Arial"/>
          <w:color w:val="000000" w:themeColor="text1"/>
          <w:lang w:val="es-ES"/>
        </w:rPr>
        <w:t>, como se mencionó</w:t>
      </w:r>
      <w:r w:rsidR="007E4C0A" w:rsidRPr="00066A9A">
        <w:rPr>
          <w:rFonts w:ascii="Arial" w:hAnsi="Arial" w:cs="Arial"/>
          <w:color w:val="000000" w:themeColor="text1"/>
          <w:lang w:val="es-ES"/>
        </w:rPr>
        <w:t>, se relaciona con la obligación que tiene la entidad de verificar que las ofertas presentadas y, eventualmente, la adjudicación del contrato se realice bajo condiciones idóneas y garanticen una correcta ejecución del contrato. En desarrollo de este procedimiento, la entidad deberá: i) requerir al oferente para que explique las razones que sustentan el valor ofrecido</w:t>
      </w:r>
      <w:r w:rsidR="007E4C0A">
        <w:rPr>
          <w:rFonts w:ascii="Arial" w:hAnsi="Arial" w:cs="Arial"/>
          <w:color w:val="000000" w:themeColor="text1"/>
          <w:lang w:val="es-ES"/>
        </w:rPr>
        <w:t>,</w:t>
      </w:r>
      <w:r w:rsidR="007E4C0A" w:rsidRPr="00066A9A">
        <w:rPr>
          <w:rFonts w:ascii="Arial" w:hAnsi="Arial" w:cs="Arial"/>
          <w:color w:val="000000" w:themeColor="text1"/>
          <w:lang w:val="es-ES"/>
        </w:rPr>
        <w:t xml:space="preserve"> </w:t>
      </w:r>
      <w:proofErr w:type="spellStart"/>
      <w:r w:rsidR="007E4C0A" w:rsidRPr="00066A9A">
        <w:rPr>
          <w:rFonts w:ascii="Arial" w:hAnsi="Arial" w:cs="Arial"/>
          <w:color w:val="000000" w:themeColor="text1"/>
          <w:lang w:val="es-ES"/>
        </w:rPr>
        <w:t>ii</w:t>
      </w:r>
      <w:proofErr w:type="spellEnd"/>
      <w:r w:rsidR="007E4C0A" w:rsidRPr="00066A9A">
        <w:rPr>
          <w:rFonts w:ascii="Arial" w:hAnsi="Arial" w:cs="Arial"/>
          <w:color w:val="000000" w:themeColor="text1"/>
          <w:lang w:val="es-ES"/>
        </w:rPr>
        <w:t xml:space="preserve">) analizar las explicaciones y </w:t>
      </w:r>
      <w:proofErr w:type="spellStart"/>
      <w:r w:rsidR="007E4C0A" w:rsidRPr="00066A9A">
        <w:rPr>
          <w:rFonts w:ascii="Arial" w:hAnsi="Arial" w:cs="Arial"/>
          <w:color w:val="000000" w:themeColor="text1"/>
          <w:lang w:val="es-ES"/>
        </w:rPr>
        <w:t>iii</w:t>
      </w:r>
      <w:proofErr w:type="spellEnd"/>
      <w:r w:rsidR="007E4C0A" w:rsidRPr="00066A9A">
        <w:rPr>
          <w:rFonts w:ascii="Arial" w:hAnsi="Arial" w:cs="Arial"/>
          <w:color w:val="000000" w:themeColor="text1"/>
          <w:lang w:val="es-ES"/>
        </w:rPr>
        <w:t xml:space="preserve">) con base en lo anterior, rechazar la oferta o continuar con el análisis de </w:t>
      </w:r>
      <w:proofErr w:type="gramStart"/>
      <w:r w:rsidR="007E4C0A" w:rsidRPr="00066A9A">
        <w:rPr>
          <w:rFonts w:ascii="Arial" w:hAnsi="Arial" w:cs="Arial"/>
          <w:color w:val="000000" w:themeColor="text1"/>
          <w:lang w:val="es-ES"/>
        </w:rPr>
        <w:t>la misma</w:t>
      </w:r>
      <w:proofErr w:type="gramEnd"/>
      <w:r w:rsidR="007E4C0A" w:rsidRPr="00066A9A">
        <w:rPr>
          <w:rFonts w:ascii="Arial" w:hAnsi="Arial" w:cs="Arial"/>
          <w:color w:val="000000" w:themeColor="text1"/>
          <w:lang w:val="es-ES"/>
        </w:rPr>
        <w:t xml:space="preserve"> en la evaluación de las ofertas. </w:t>
      </w:r>
    </w:p>
    <w:p w14:paraId="3A35FF43" w14:textId="77777777" w:rsidR="007E4C0A" w:rsidRPr="00066A9A" w:rsidRDefault="007E4C0A" w:rsidP="007E4C0A">
      <w:pPr>
        <w:spacing w:before="120" w:after="120" w:line="276" w:lineRule="auto"/>
        <w:ind w:firstLine="708"/>
        <w:jc w:val="both"/>
        <w:rPr>
          <w:rFonts w:ascii="Arial" w:hAnsi="Arial" w:cs="Arial"/>
          <w:color w:val="000000" w:themeColor="text1"/>
          <w:lang w:val="es-ES"/>
        </w:rPr>
      </w:pPr>
      <w:r w:rsidRPr="00066A9A">
        <w:rPr>
          <w:rFonts w:ascii="Arial" w:hAnsi="Arial" w:cs="Arial"/>
          <w:color w:val="000000" w:themeColor="text1"/>
          <w:lang w:val="es-ES"/>
        </w:rPr>
        <w:t xml:space="preserve">En cuanto a la elección del método de ponderación de las ofertas económicas, se trata de un mecanismo diseñado para asignar, aleatoriamente, el puntaje aplicable al factor económico. Su procedimiento fue parcialmente modificado en la tercera versión de los Documentos Tipo para obra pública de infraestructura de transporte, la cual señala que la </w:t>
      </w:r>
      <w:r w:rsidRPr="00066A9A">
        <w:rPr>
          <w:rFonts w:ascii="Arial" w:hAnsi="Arial" w:cs="Arial"/>
          <w:color w:val="000000" w:themeColor="text1"/>
          <w:lang w:val="es-ES"/>
        </w:rPr>
        <w:lastRenderedPageBreak/>
        <w:t xml:space="preserve">apertura de los sobres contentivos del ofrecimiento económico y la selección del método de ponderación debe realizarse en un mismo día, antes de las 3:00 P.M., aplicando la TRM certificada por la Superintendencia Financiera que rija para el día siguiente a la apertura de los sobres. </w:t>
      </w:r>
    </w:p>
    <w:p w14:paraId="448E8AB3" w14:textId="77777777" w:rsidR="007E4C0A" w:rsidRPr="00F0768B" w:rsidRDefault="007E4C0A" w:rsidP="007E4C0A">
      <w:pPr>
        <w:spacing w:before="120" w:after="120" w:line="276" w:lineRule="auto"/>
        <w:ind w:firstLine="708"/>
        <w:jc w:val="both"/>
        <w:rPr>
          <w:rFonts w:ascii="Arial" w:hAnsi="Arial" w:cs="Arial"/>
          <w:color w:val="000000" w:themeColor="text1"/>
          <w:lang w:val="es-ES"/>
        </w:rPr>
      </w:pPr>
      <w:r w:rsidRPr="00F0768B">
        <w:rPr>
          <w:rFonts w:ascii="Arial" w:hAnsi="Arial" w:cs="Arial"/>
          <w:color w:val="000000" w:themeColor="text1"/>
          <w:lang w:val="es-ES"/>
        </w:rPr>
        <w:t xml:space="preserve">Por tal motivo, el conocimiento o no de la Tasa Representativa del Mercado por parte de la entidad estatal no tiene relación directa con su deber de solicitar justificación al proponente que presenta una oferta con precio artificialmente bajo, máxime cuando </w:t>
      </w:r>
      <w:r w:rsidRPr="00F0768B">
        <w:rPr>
          <w:rStyle w:val="normaltextrun"/>
          <w:rFonts w:ascii="Arial" w:hAnsi="Arial" w:cs="Arial"/>
          <w:color w:val="000000"/>
          <w:shd w:val="clear" w:color="auto" w:fill="FFFFFF"/>
        </w:rPr>
        <w:t>aquel se trata de un criterio para seleccionar el mecanismo de ponderación de las ofertas económicas y no hace parte del procedimiento ni de los lineamientos para determinar que una oferta se caracterice por ser artificialmente baja. En tal sentido, independientemente del método de ponderación seleccionado en función de la TRM es posible aplicar el tratamiento señalado respecto a las ofertas con posibles precios artificialmente bajos</w:t>
      </w:r>
      <w:r w:rsidRPr="00F0768B">
        <w:rPr>
          <w:rFonts w:ascii="Arial" w:hAnsi="Arial" w:cs="Arial"/>
          <w:color w:val="000000" w:themeColor="text1"/>
          <w:lang w:val="es-ES"/>
        </w:rPr>
        <w:t xml:space="preserve">. </w:t>
      </w:r>
    </w:p>
    <w:p w14:paraId="2388D9CF" w14:textId="33896751" w:rsidR="0052548A" w:rsidRDefault="007E4C0A" w:rsidP="0052548A">
      <w:pPr>
        <w:spacing w:after="0" w:line="276" w:lineRule="auto"/>
        <w:ind w:firstLine="708"/>
        <w:jc w:val="both"/>
        <w:rPr>
          <w:rFonts w:ascii="Arial" w:hAnsi="Arial" w:cs="Arial"/>
          <w:color w:val="000000" w:themeColor="text1"/>
          <w:lang w:val="es-ES"/>
        </w:rPr>
      </w:pPr>
      <w:bookmarkStart w:id="9" w:name="_Hlk94167205"/>
      <w:r w:rsidRPr="00F0768B">
        <w:rPr>
          <w:rFonts w:ascii="Arial" w:hAnsi="Arial" w:cs="Arial"/>
          <w:color w:val="000000" w:themeColor="text1"/>
          <w:lang w:val="es-ES"/>
        </w:rPr>
        <w:t xml:space="preserve">De esta manera, en los procesos de contratación que utilicen los documentos tipo de licitación de obra pública de infraestructura de transporte, la aplicación del proceso descrito en el artículo 2.2.1.1.2.2.4 del Decreto 1082 de 2015 puede realizarse desde la apertura de los sobres </w:t>
      </w:r>
      <w:r w:rsidR="0087547A">
        <w:rPr>
          <w:rFonts w:ascii="Arial" w:hAnsi="Arial" w:cs="Arial"/>
          <w:color w:val="000000" w:themeColor="text1"/>
          <w:lang w:val="es-ES"/>
        </w:rPr>
        <w:t xml:space="preserve">que contienen </w:t>
      </w:r>
      <w:r w:rsidRPr="00F0768B">
        <w:rPr>
          <w:rFonts w:ascii="Arial" w:hAnsi="Arial" w:cs="Arial"/>
          <w:color w:val="000000" w:themeColor="text1"/>
          <w:lang w:val="es-ES"/>
        </w:rPr>
        <w:t xml:space="preserve">las ofertas económicas. Así, la entidad estatal podría determinar si una oferta </w:t>
      </w:r>
      <w:r w:rsidR="0087547A">
        <w:rPr>
          <w:rFonts w:ascii="Arial" w:hAnsi="Arial" w:cs="Arial"/>
          <w:color w:val="000000" w:themeColor="text1"/>
          <w:lang w:val="es-ES"/>
        </w:rPr>
        <w:t>parece ser</w:t>
      </w:r>
      <w:r w:rsidRPr="00F0768B">
        <w:rPr>
          <w:rFonts w:ascii="Arial" w:hAnsi="Arial" w:cs="Arial"/>
          <w:color w:val="000000" w:themeColor="text1"/>
          <w:lang w:val="es-ES"/>
        </w:rPr>
        <w:t xml:space="preserve"> artificialmente baja antes o después de conocer la TRM, pues lo importante es que –de acuerdo con el numeral 4.1.3 del documento base– esta actuación se realice durante la evaluación de la oferta económica. No obstante, se considera como buena práctica contractual que el proceso para determinar si una oferta es artificialmente baja inicie desde la apertura de los sobres de las ofertas económicas, pues en este momento la entidad ya tendría conocimiento el valor de la oferta presentada y podría compararla con la información recogida durante el estudio del sector.</w:t>
      </w:r>
      <w:r>
        <w:rPr>
          <w:rFonts w:ascii="Arial" w:hAnsi="Arial" w:cs="Arial"/>
          <w:color w:val="000000" w:themeColor="text1"/>
          <w:lang w:val="es-ES"/>
        </w:rPr>
        <w:t xml:space="preserve"> </w:t>
      </w:r>
      <w:bookmarkEnd w:id="9"/>
    </w:p>
    <w:p w14:paraId="3B49DA36" w14:textId="66361B34" w:rsidR="0052548A" w:rsidRDefault="0052548A" w:rsidP="0052548A">
      <w:pPr>
        <w:spacing w:after="0" w:line="276" w:lineRule="auto"/>
        <w:jc w:val="both"/>
        <w:rPr>
          <w:rFonts w:ascii="Arial" w:hAnsi="Arial" w:cs="Arial"/>
          <w:color w:val="000000" w:themeColor="text1"/>
          <w:lang w:val="es-ES"/>
        </w:rPr>
      </w:pPr>
    </w:p>
    <w:p w14:paraId="4ABFF062" w14:textId="43E9650A" w:rsidR="00F15218" w:rsidRPr="000E11CB" w:rsidRDefault="00F15218" w:rsidP="00F15218">
      <w:pPr>
        <w:spacing w:after="0" w:line="276" w:lineRule="auto"/>
        <w:jc w:val="both"/>
        <w:rPr>
          <w:rFonts w:ascii="Arial" w:eastAsia="Arial" w:hAnsi="Arial" w:cs="Arial"/>
          <w:b/>
          <w:bCs/>
          <w:color w:val="000000"/>
          <w:szCs w:val="24"/>
          <w:lang w:val="es-ES_tradnl" w:eastAsia="es-ES_tradnl"/>
        </w:rPr>
      </w:pPr>
      <w:r w:rsidRPr="00F15218">
        <w:rPr>
          <w:rFonts w:ascii="Arial" w:eastAsia="Arial" w:hAnsi="Arial" w:cs="Arial"/>
          <w:b/>
          <w:bCs/>
          <w:color w:val="000000"/>
          <w:szCs w:val="24"/>
          <w:lang w:val="es-ES_tradnl" w:eastAsia="es-ES_tradnl"/>
        </w:rPr>
        <w:t>2.</w:t>
      </w:r>
      <w:r w:rsidR="00F419CE">
        <w:rPr>
          <w:rFonts w:ascii="Arial" w:eastAsia="Arial" w:hAnsi="Arial" w:cs="Arial"/>
          <w:b/>
          <w:bCs/>
          <w:color w:val="000000"/>
          <w:szCs w:val="24"/>
          <w:lang w:val="es-ES_tradnl" w:eastAsia="es-ES_tradnl"/>
        </w:rPr>
        <w:t>4</w:t>
      </w:r>
      <w:r w:rsidRPr="00F15218">
        <w:rPr>
          <w:rFonts w:ascii="Arial" w:eastAsia="Arial" w:hAnsi="Arial" w:cs="Arial"/>
          <w:b/>
          <w:bCs/>
          <w:color w:val="000000"/>
          <w:szCs w:val="24"/>
          <w:lang w:val="es-ES_tradnl" w:eastAsia="es-ES_tradnl"/>
        </w:rPr>
        <w:t xml:space="preserve">. </w:t>
      </w:r>
      <w:r w:rsidR="00465886" w:rsidRPr="000E11CB">
        <w:rPr>
          <w:rFonts w:ascii="Arial" w:eastAsia="Arial" w:hAnsi="Arial" w:cs="Arial"/>
          <w:b/>
          <w:bCs/>
          <w:color w:val="000000"/>
          <w:szCs w:val="24"/>
          <w:lang w:val="es-ES_tradnl" w:eastAsia="es-ES_tradnl"/>
        </w:rPr>
        <w:t>S</w:t>
      </w:r>
      <w:r w:rsidR="00F419CE" w:rsidRPr="000E11CB">
        <w:rPr>
          <w:rFonts w:ascii="Arial" w:eastAsia="Arial" w:hAnsi="Arial" w:cs="Arial"/>
          <w:b/>
          <w:bCs/>
          <w:color w:val="000000"/>
          <w:szCs w:val="24"/>
          <w:lang w:val="es-ES_tradnl" w:eastAsia="es-ES_tradnl"/>
        </w:rPr>
        <w:t>obre 1</w:t>
      </w:r>
      <w:r w:rsidR="009A49FB">
        <w:rPr>
          <w:rFonts w:ascii="Arial" w:eastAsia="Arial" w:hAnsi="Arial" w:cs="Arial"/>
          <w:b/>
          <w:bCs/>
          <w:color w:val="000000"/>
          <w:szCs w:val="24"/>
          <w:lang w:val="es-ES_tradnl" w:eastAsia="es-ES_tradnl"/>
        </w:rPr>
        <w:t>:</w:t>
      </w:r>
      <w:r w:rsidR="00A163FC" w:rsidRPr="000E11CB">
        <w:rPr>
          <w:rFonts w:ascii="Arial" w:eastAsia="Arial" w:hAnsi="Arial" w:cs="Arial"/>
          <w:b/>
          <w:bCs/>
          <w:color w:val="000000"/>
          <w:szCs w:val="24"/>
          <w:lang w:val="es-ES_tradnl" w:eastAsia="es-ES_tradnl"/>
        </w:rPr>
        <w:t xml:space="preserve"> requisitos habilitantes </w:t>
      </w:r>
      <w:r w:rsidR="000E11CB" w:rsidRPr="000E11CB">
        <w:rPr>
          <w:rFonts w:ascii="Arial" w:eastAsia="Arial" w:hAnsi="Arial" w:cs="Arial"/>
          <w:b/>
          <w:bCs/>
          <w:color w:val="000000"/>
          <w:szCs w:val="24"/>
          <w:lang w:val="es-ES_tradnl" w:eastAsia="es-ES_tradnl"/>
        </w:rPr>
        <w:t xml:space="preserve">y </w:t>
      </w:r>
      <w:r w:rsidR="000E11CB" w:rsidRPr="001D067A">
        <w:rPr>
          <w:rFonts w:ascii="Arial" w:eastAsia="Calibri" w:hAnsi="Arial" w:cs="Arial"/>
          <w:b/>
          <w:bCs/>
          <w:color w:val="000000"/>
          <w:lang w:val="es-MX"/>
        </w:rPr>
        <w:t>puntuables diferentes a la oferta económica</w:t>
      </w:r>
    </w:p>
    <w:p w14:paraId="4075CECC" w14:textId="77777777" w:rsidR="00F15218" w:rsidRPr="00F15218" w:rsidRDefault="00F15218" w:rsidP="00F15218">
      <w:pPr>
        <w:spacing w:after="0" w:line="276" w:lineRule="auto"/>
        <w:jc w:val="both"/>
        <w:rPr>
          <w:rFonts w:ascii="Arial" w:eastAsia="Times New Roman" w:hAnsi="Arial" w:cs="Arial"/>
          <w:shd w:val="clear" w:color="auto" w:fill="FFFFFF"/>
          <w:lang w:val="es-ES_tradnl" w:eastAsia="es-ES_tradnl"/>
        </w:rPr>
      </w:pPr>
    </w:p>
    <w:p w14:paraId="184F232D" w14:textId="77777777" w:rsidR="006F30D2" w:rsidRDefault="00F15218" w:rsidP="001D067A">
      <w:pPr>
        <w:spacing w:after="120" w:line="276" w:lineRule="auto"/>
        <w:jc w:val="both"/>
        <w:rPr>
          <w:rFonts w:ascii="Arial" w:eastAsia="Calibri" w:hAnsi="Arial" w:cs="Arial"/>
          <w:color w:val="000000"/>
          <w:lang w:val="es-MX"/>
        </w:rPr>
      </w:pPr>
      <w:bookmarkStart w:id="10" w:name="_Hlk81820377"/>
      <w:r w:rsidRPr="00F15218">
        <w:rPr>
          <w:rFonts w:ascii="Arial" w:eastAsia="Calibri" w:hAnsi="Arial" w:cs="Arial"/>
          <w:lang w:val="es-MX"/>
        </w:rPr>
        <w:t>Teniendo en cuenta que su consulta se relaciona con el sobre</w:t>
      </w:r>
      <w:r w:rsidR="00881E77">
        <w:rPr>
          <w:rFonts w:ascii="Arial" w:eastAsia="Calibri" w:hAnsi="Arial" w:cs="Arial"/>
          <w:lang w:val="es-MX"/>
        </w:rPr>
        <w:t xml:space="preserve"> 1</w:t>
      </w:r>
      <w:r w:rsidRPr="00F15218">
        <w:rPr>
          <w:rFonts w:ascii="Arial" w:eastAsia="Calibri" w:hAnsi="Arial" w:cs="Arial"/>
          <w:lang w:val="es-MX"/>
        </w:rPr>
        <w:t xml:space="preserve">, </w:t>
      </w:r>
      <w:r w:rsidRPr="00F15218">
        <w:rPr>
          <w:rFonts w:ascii="Arial" w:eastAsia="Calibri" w:hAnsi="Arial" w:cs="Arial"/>
          <w:color w:val="000000"/>
          <w:lang w:val="es-ES_tradnl"/>
        </w:rPr>
        <w:t xml:space="preserve">es necesario mencionar que, </w:t>
      </w:r>
      <w:r w:rsidRPr="00F15218">
        <w:rPr>
          <w:rFonts w:ascii="Arial" w:eastAsia="Calibri" w:hAnsi="Arial" w:cs="Arial"/>
          <w:color w:val="000000"/>
          <w:lang w:val="es-MX"/>
        </w:rPr>
        <w:t>al tratarse de una obra pública de infraestructura de transporte, la Ley 1882 de 2018, en el artículo 1</w:t>
      </w:r>
      <w:r w:rsidRPr="00F15218">
        <w:rPr>
          <w:rFonts w:ascii="Arial" w:eastAsia="Calibri" w:hAnsi="Arial" w:cs="Arial"/>
          <w:color w:val="000000"/>
          <w:vertAlign w:val="superscript"/>
          <w:lang w:val="es-MX"/>
        </w:rPr>
        <w:footnoteReference w:id="13"/>
      </w:r>
      <w:r w:rsidRPr="00F15218">
        <w:rPr>
          <w:rFonts w:ascii="Arial" w:eastAsia="Calibri" w:hAnsi="Arial" w:cs="Arial"/>
          <w:color w:val="000000"/>
          <w:lang w:val="es-MX"/>
        </w:rPr>
        <w:t xml:space="preserve">, señala que las ofertas deben estar conformadas por dos sobres: i) sobre 1: requisitos habilitantes y requisitos puntuables, diferentes a la oferta económica y </w:t>
      </w:r>
      <w:proofErr w:type="spellStart"/>
      <w:r w:rsidRPr="00F15218">
        <w:rPr>
          <w:rFonts w:ascii="Arial" w:eastAsia="Calibri" w:hAnsi="Arial" w:cs="Arial"/>
          <w:color w:val="000000"/>
          <w:lang w:val="es-MX"/>
        </w:rPr>
        <w:t>ii</w:t>
      </w:r>
      <w:proofErr w:type="spellEnd"/>
      <w:r w:rsidRPr="00F15218">
        <w:rPr>
          <w:rFonts w:ascii="Arial" w:eastAsia="Calibri" w:hAnsi="Arial" w:cs="Arial"/>
          <w:color w:val="000000"/>
          <w:lang w:val="es-MX"/>
        </w:rPr>
        <w:t xml:space="preserve">) sobre 2: oferta económica. </w:t>
      </w:r>
    </w:p>
    <w:p w14:paraId="5BCEC909" w14:textId="7E2A9DD4" w:rsidR="005500F9" w:rsidRDefault="00636E87" w:rsidP="0062271A">
      <w:pPr>
        <w:spacing w:after="120" w:line="276" w:lineRule="auto"/>
        <w:ind w:firstLine="708"/>
        <w:jc w:val="both"/>
        <w:rPr>
          <w:rFonts w:ascii="Arial" w:eastAsia="Calibri" w:hAnsi="Arial" w:cs="Arial"/>
          <w:color w:val="000000"/>
          <w:lang w:val="es-MX"/>
        </w:rPr>
      </w:pPr>
      <w:r>
        <w:rPr>
          <w:rFonts w:ascii="Arial" w:eastAsia="Calibri" w:hAnsi="Arial" w:cs="Arial"/>
          <w:color w:val="000000"/>
          <w:lang w:val="es-MX"/>
        </w:rPr>
        <w:t xml:space="preserve">En relación con los </w:t>
      </w:r>
      <w:r w:rsidR="00035A7B">
        <w:rPr>
          <w:rFonts w:ascii="Arial" w:eastAsia="Calibri" w:hAnsi="Arial" w:cs="Arial"/>
          <w:color w:val="000000"/>
          <w:lang w:val="es-MX"/>
        </w:rPr>
        <w:t xml:space="preserve">documentos contenidos en el sobre 1, </w:t>
      </w:r>
      <w:r w:rsidR="00D23830">
        <w:rPr>
          <w:rFonts w:ascii="Arial" w:eastAsia="Calibri" w:hAnsi="Arial" w:cs="Arial"/>
          <w:color w:val="000000"/>
          <w:lang w:val="es-MX"/>
        </w:rPr>
        <w:t xml:space="preserve">en los documentos tipo </w:t>
      </w:r>
      <w:r w:rsidR="004D07DC">
        <w:rPr>
          <w:rFonts w:ascii="Arial" w:eastAsia="Calibri" w:hAnsi="Arial" w:cs="Arial"/>
          <w:color w:val="000000"/>
          <w:lang w:val="es-MX"/>
        </w:rPr>
        <w:t xml:space="preserve">se establece que </w:t>
      </w:r>
      <w:r w:rsidR="00035A7B">
        <w:rPr>
          <w:rFonts w:ascii="Arial" w:eastAsia="Calibri" w:hAnsi="Arial" w:cs="Arial"/>
          <w:color w:val="000000"/>
          <w:lang w:val="es-MX"/>
        </w:rPr>
        <w:t xml:space="preserve">los requisitos </w:t>
      </w:r>
      <w:r>
        <w:rPr>
          <w:rFonts w:ascii="Arial" w:eastAsia="Calibri" w:hAnsi="Arial" w:cs="Arial"/>
          <w:color w:val="000000"/>
          <w:lang w:val="es-MX"/>
        </w:rPr>
        <w:t>habilitantes</w:t>
      </w:r>
      <w:r w:rsidR="004D07DC">
        <w:rPr>
          <w:rFonts w:ascii="Arial" w:eastAsia="Calibri" w:hAnsi="Arial" w:cs="Arial"/>
          <w:color w:val="000000"/>
          <w:lang w:val="es-MX"/>
        </w:rPr>
        <w:t xml:space="preserve"> </w:t>
      </w:r>
      <w:r w:rsidR="00957350">
        <w:rPr>
          <w:rFonts w:ascii="Arial" w:eastAsia="Calibri" w:hAnsi="Arial" w:cs="Arial"/>
          <w:color w:val="000000"/>
          <w:lang w:val="es-MX"/>
        </w:rPr>
        <w:t xml:space="preserve">serán </w:t>
      </w:r>
      <w:r w:rsidR="00B96D71">
        <w:rPr>
          <w:rFonts w:ascii="Arial" w:eastAsia="Calibri" w:hAnsi="Arial" w:cs="Arial"/>
          <w:color w:val="000000"/>
          <w:lang w:val="es-MX"/>
        </w:rPr>
        <w:t xml:space="preserve">objeto de verificación por parte de la entidad estatal </w:t>
      </w:r>
      <w:r w:rsidR="00686053">
        <w:rPr>
          <w:rFonts w:ascii="Arial" w:eastAsia="Calibri" w:hAnsi="Arial" w:cs="Arial"/>
          <w:color w:val="000000"/>
          <w:lang w:val="es-MX"/>
        </w:rPr>
        <w:t>con base en la información contenida en el RUP y los documentos señalado</w:t>
      </w:r>
      <w:r w:rsidR="003747F8">
        <w:rPr>
          <w:rFonts w:ascii="Arial" w:eastAsia="Calibri" w:hAnsi="Arial" w:cs="Arial"/>
          <w:color w:val="000000"/>
          <w:lang w:val="es-MX"/>
        </w:rPr>
        <w:t>s</w:t>
      </w:r>
      <w:r w:rsidR="00686053">
        <w:rPr>
          <w:rFonts w:ascii="Arial" w:eastAsia="Calibri" w:hAnsi="Arial" w:cs="Arial"/>
          <w:color w:val="000000"/>
          <w:lang w:val="es-MX"/>
        </w:rPr>
        <w:t xml:space="preserve"> en los documentos tipo. </w:t>
      </w:r>
      <w:r w:rsidR="000871C1">
        <w:rPr>
          <w:rFonts w:ascii="Arial" w:eastAsia="Calibri" w:hAnsi="Arial" w:cs="Arial"/>
          <w:color w:val="000000"/>
          <w:lang w:val="es-MX"/>
        </w:rPr>
        <w:t xml:space="preserve">Ahora bien, </w:t>
      </w:r>
      <w:r w:rsidR="004D07DC">
        <w:rPr>
          <w:rFonts w:ascii="Arial" w:eastAsia="Calibri" w:hAnsi="Arial" w:cs="Arial"/>
          <w:color w:val="000000"/>
          <w:lang w:val="es-MX"/>
        </w:rPr>
        <w:t xml:space="preserve">en cuanto a </w:t>
      </w:r>
      <w:r w:rsidR="000871C1">
        <w:rPr>
          <w:rFonts w:ascii="Arial" w:eastAsia="Calibri" w:hAnsi="Arial" w:cs="Arial"/>
          <w:color w:val="000000"/>
          <w:lang w:val="es-MX"/>
        </w:rPr>
        <w:t xml:space="preserve">los requisitos puntuables diferentes a la </w:t>
      </w:r>
      <w:r w:rsidR="000871C1">
        <w:rPr>
          <w:rFonts w:ascii="Arial" w:eastAsia="Calibri" w:hAnsi="Arial" w:cs="Arial"/>
          <w:color w:val="000000"/>
          <w:lang w:val="es-MX"/>
        </w:rPr>
        <w:lastRenderedPageBreak/>
        <w:t>oferta económica, estos corresponden a</w:t>
      </w:r>
      <w:r w:rsidR="00FF4843">
        <w:rPr>
          <w:rFonts w:ascii="Arial" w:eastAsia="Calibri" w:hAnsi="Arial" w:cs="Arial"/>
          <w:color w:val="000000"/>
          <w:lang w:val="es-MX"/>
        </w:rPr>
        <w:t>l factor de calidad, apoyo a la industria nacional y vinculación de personas con discapacidad.</w:t>
      </w:r>
      <w:r w:rsidR="006C3AC1">
        <w:rPr>
          <w:rFonts w:ascii="Arial" w:eastAsia="Calibri" w:hAnsi="Arial" w:cs="Arial"/>
          <w:color w:val="000000"/>
          <w:lang w:val="es-MX"/>
        </w:rPr>
        <w:t xml:space="preserve"> </w:t>
      </w:r>
      <w:r w:rsidR="00DE63E4">
        <w:rPr>
          <w:rFonts w:ascii="Arial" w:eastAsia="Calibri" w:hAnsi="Arial" w:cs="Arial"/>
          <w:color w:val="000000"/>
          <w:lang w:val="es-MX"/>
        </w:rPr>
        <w:t>Adicionalmente</w:t>
      </w:r>
      <w:r w:rsidR="003747F8">
        <w:rPr>
          <w:rFonts w:ascii="Arial" w:eastAsia="Calibri" w:hAnsi="Arial" w:cs="Arial"/>
          <w:color w:val="000000"/>
          <w:lang w:val="es-MX"/>
        </w:rPr>
        <w:t>,</w:t>
      </w:r>
      <w:r w:rsidR="00DE63E4">
        <w:rPr>
          <w:rFonts w:ascii="Arial" w:eastAsia="Calibri" w:hAnsi="Arial" w:cs="Arial"/>
          <w:color w:val="000000"/>
          <w:lang w:val="es-MX"/>
        </w:rPr>
        <w:t xml:space="preserve"> debe precisarse que</w:t>
      </w:r>
      <w:r w:rsidR="003747F8">
        <w:rPr>
          <w:rFonts w:ascii="Arial" w:eastAsia="Calibri" w:hAnsi="Arial" w:cs="Arial"/>
          <w:color w:val="000000"/>
          <w:lang w:val="es-MX"/>
        </w:rPr>
        <w:t xml:space="preserve"> </w:t>
      </w:r>
      <w:r w:rsidR="006C259C">
        <w:rPr>
          <w:rFonts w:ascii="Arial" w:eastAsia="Calibri" w:hAnsi="Arial" w:cs="Arial"/>
          <w:color w:val="000000"/>
          <w:lang w:val="es-MX"/>
        </w:rPr>
        <w:t xml:space="preserve">no hacen parte de los documentos que debe contener este sobre, los señalados en su petición de consulta, esto </w:t>
      </w:r>
      <w:r w:rsidR="006F470F">
        <w:rPr>
          <w:rFonts w:ascii="Arial" w:eastAsia="Calibri" w:hAnsi="Arial" w:cs="Arial"/>
          <w:color w:val="000000"/>
          <w:lang w:val="es-MX"/>
        </w:rPr>
        <w:t>es: «</w:t>
      </w:r>
      <w:r w:rsidR="003814C7">
        <w:rPr>
          <w:rFonts w:ascii="Arial" w:eastAsia="Calibri" w:hAnsi="Arial" w:cs="Arial"/>
          <w:color w:val="000000"/>
          <w:lang w:val="es-MX"/>
        </w:rPr>
        <w:t xml:space="preserve">[…] </w:t>
      </w:r>
      <w:r w:rsidR="006C259C">
        <w:rPr>
          <w:rFonts w:ascii="Arial" w:eastAsia="Calibri" w:hAnsi="Arial" w:cs="Arial"/>
          <w:color w:val="000000"/>
          <w:lang w:val="es-MX"/>
        </w:rPr>
        <w:t xml:space="preserve">el Anexo </w:t>
      </w:r>
      <w:r w:rsidR="00FC3CDC">
        <w:rPr>
          <w:rFonts w:ascii="Arial" w:eastAsia="Calibri" w:hAnsi="Arial" w:cs="Arial"/>
          <w:color w:val="000000"/>
          <w:lang w:val="es-MX"/>
        </w:rPr>
        <w:t>técnico, pliegos, cronograma, estudio del sector, entre otros</w:t>
      </w:r>
      <w:r w:rsidR="003814C7">
        <w:rPr>
          <w:rFonts w:ascii="Arial" w:eastAsia="Calibri" w:hAnsi="Arial" w:cs="Arial"/>
          <w:color w:val="000000"/>
          <w:lang w:val="es-MX"/>
        </w:rPr>
        <w:t>»</w:t>
      </w:r>
      <w:r w:rsidR="00FC3CDC">
        <w:rPr>
          <w:rFonts w:ascii="Arial" w:eastAsia="Calibri" w:hAnsi="Arial" w:cs="Arial"/>
          <w:color w:val="000000"/>
          <w:lang w:val="es-MX"/>
        </w:rPr>
        <w:t xml:space="preserve">. </w:t>
      </w:r>
      <w:r w:rsidR="003814C7">
        <w:rPr>
          <w:rFonts w:ascii="Arial" w:eastAsia="Calibri" w:hAnsi="Arial" w:cs="Arial"/>
          <w:color w:val="000000"/>
          <w:lang w:val="es-MX"/>
        </w:rPr>
        <w:t xml:space="preserve">En este sentido, </w:t>
      </w:r>
      <w:r w:rsidR="00A62C0D">
        <w:rPr>
          <w:rFonts w:ascii="Arial" w:eastAsia="Calibri" w:hAnsi="Arial" w:cs="Arial"/>
          <w:color w:val="000000"/>
          <w:lang w:val="es-MX"/>
        </w:rPr>
        <w:t>los documentos señalados,</w:t>
      </w:r>
      <w:r w:rsidR="002D6DF8">
        <w:rPr>
          <w:rFonts w:ascii="Arial" w:eastAsia="Calibri" w:hAnsi="Arial" w:cs="Arial"/>
          <w:color w:val="000000"/>
          <w:lang w:val="es-MX"/>
        </w:rPr>
        <w:t xml:space="preserve"> no deberán anexarse firmados en el sobre 1</w:t>
      </w:r>
      <w:r w:rsidR="00DE63E4">
        <w:rPr>
          <w:rFonts w:ascii="Arial" w:eastAsia="Calibri" w:hAnsi="Arial" w:cs="Arial"/>
          <w:color w:val="000000"/>
          <w:lang w:val="es-MX"/>
        </w:rPr>
        <w:t>, ya que dichos documentos corresponde elaborarlos a la entidad estatal contratante.</w:t>
      </w:r>
    </w:p>
    <w:p w14:paraId="1E151779" w14:textId="43F5D6AF" w:rsidR="008D59C1" w:rsidRDefault="00854EB6" w:rsidP="001D067A">
      <w:pPr>
        <w:spacing w:after="120" w:line="276" w:lineRule="auto"/>
        <w:ind w:firstLine="709"/>
        <w:jc w:val="both"/>
        <w:rPr>
          <w:rFonts w:ascii="Arial" w:eastAsia="Calibri" w:hAnsi="Arial" w:cs="Arial"/>
          <w:color w:val="000000"/>
          <w:lang w:val="es-ES_tradnl"/>
        </w:rPr>
      </w:pPr>
      <w:r>
        <w:rPr>
          <w:rFonts w:ascii="Arial" w:eastAsia="Calibri" w:hAnsi="Arial" w:cs="Arial"/>
          <w:color w:val="000000"/>
          <w:lang w:val="es-MX"/>
        </w:rPr>
        <w:t>En todo caso</w:t>
      </w:r>
      <w:r w:rsidR="00E57293">
        <w:rPr>
          <w:rFonts w:ascii="Arial" w:eastAsia="Calibri" w:hAnsi="Arial" w:cs="Arial"/>
          <w:color w:val="000000"/>
          <w:lang w:val="es-MX"/>
        </w:rPr>
        <w:t>, es necesario precisar que</w:t>
      </w:r>
      <w:r w:rsidR="002D6DF8">
        <w:rPr>
          <w:rFonts w:ascii="Arial" w:eastAsia="Calibri" w:hAnsi="Arial" w:cs="Arial"/>
          <w:color w:val="000000"/>
          <w:lang w:val="es-MX"/>
        </w:rPr>
        <w:t xml:space="preserve">, </w:t>
      </w:r>
      <w:r w:rsidR="007C4814">
        <w:rPr>
          <w:rFonts w:ascii="Arial" w:eastAsia="Calibri" w:hAnsi="Arial" w:cs="Arial"/>
          <w:color w:val="000000"/>
          <w:lang w:val="es-MX"/>
        </w:rPr>
        <w:t>d</w:t>
      </w:r>
      <w:proofErr w:type="spellStart"/>
      <w:r w:rsidR="00A163FC" w:rsidRPr="00A20B04">
        <w:rPr>
          <w:rFonts w:ascii="Arial" w:eastAsia="Calibri" w:hAnsi="Arial" w:cs="Arial"/>
          <w:color w:val="000000"/>
          <w:lang w:val="es-ES_tradnl"/>
        </w:rPr>
        <w:t>e</w:t>
      </w:r>
      <w:proofErr w:type="spellEnd"/>
      <w:r w:rsidR="00A163FC" w:rsidRPr="00A20B04">
        <w:rPr>
          <w:rFonts w:ascii="Arial" w:eastAsia="Calibri" w:hAnsi="Arial" w:cs="Arial"/>
          <w:color w:val="000000"/>
          <w:lang w:val="es-ES_tradnl"/>
        </w:rPr>
        <w:t xml:space="preserve"> conformidad con los documentos tipo, el proponente suscribe y presenta el «Formato 1 – Carta de presentación de la oferta», para manifestar su intención de participar en el proceso de contratación. Este documento contiene manifestaciones en las que el oferente debe señalar, entre otros, encontrarse autorizado para suscribir y presentar la oferta; suscribir el contrato en caso de resultar adjudicatario; conocer las normas que rigen el proceso de contratación; conocer las características, condiciones de ejecución del contrato y riesgos previsibles; y no encontrarse incurso en causales de inhabilidad e incompatibilidad o conflicto de intereses, entre otros. </w:t>
      </w:r>
    </w:p>
    <w:p w14:paraId="26CA5E2B" w14:textId="0CB53092" w:rsidR="0062271A" w:rsidRDefault="00A163FC" w:rsidP="001D067A">
      <w:pPr>
        <w:spacing w:after="120" w:line="276" w:lineRule="auto"/>
        <w:ind w:firstLine="709"/>
        <w:jc w:val="both"/>
        <w:rPr>
          <w:rFonts w:ascii="Arial" w:eastAsia="Calibri" w:hAnsi="Arial" w:cs="Arial"/>
        </w:rPr>
      </w:pPr>
      <w:r w:rsidRPr="002E6AF8">
        <w:rPr>
          <w:rFonts w:ascii="Arial" w:eastAsia="Calibri" w:hAnsi="Arial" w:cs="Arial"/>
          <w:color w:val="000000"/>
          <w:lang w:val="es-ES_tradnl"/>
        </w:rPr>
        <w:t>Además,</w:t>
      </w:r>
      <w:r w:rsidRPr="00A20B04">
        <w:rPr>
          <w:rFonts w:ascii="Arial" w:eastAsia="Calibri" w:hAnsi="Arial" w:cs="Arial"/>
          <w:color w:val="000000"/>
          <w:lang w:val="es-ES_tradnl"/>
        </w:rPr>
        <w:t xml:space="preserve"> </w:t>
      </w:r>
      <w:r w:rsidR="005500F9">
        <w:rPr>
          <w:rFonts w:ascii="Arial" w:eastAsia="Calibri" w:hAnsi="Arial" w:cs="Arial"/>
          <w:color w:val="000000"/>
          <w:lang w:val="es-ES_tradnl"/>
        </w:rPr>
        <w:t xml:space="preserve">con la </w:t>
      </w:r>
      <w:r w:rsidR="0062271A">
        <w:rPr>
          <w:rFonts w:ascii="Arial" w:eastAsia="Calibri" w:hAnsi="Arial" w:cs="Arial"/>
          <w:color w:val="000000"/>
          <w:lang w:val="es-MX"/>
        </w:rPr>
        <w:t xml:space="preserve">firma del </w:t>
      </w:r>
      <w:r w:rsidR="0062271A">
        <w:rPr>
          <w:rFonts w:ascii="Arial" w:eastAsia="Calibri" w:hAnsi="Arial" w:cs="Arial"/>
        </w:rPr>
        <w:t>«</w:t>
      </w:r>
      <w:r w:rsidR="0062271A" w:rsidRPr="00165891">
        <w:rPr>
          <w:rFonts w:ascii="Arial" w:eastAsia="Calibri" w:hAnsi="Arial" w:cs="Arial"/>
        </w:rPr>
        <w:t>Formato 1</w:t>
      </w:r>
      <w:r w:rsidR="0062271A">
        <w:rPr>
          <w:rFonts w:ascii="Arial" w:eastAsia="Calibri" w:hAnsi="Arial" w:cs="Arial"/>
        </w:rPr>
        <w:t xml:space="preserve"> – </w:t>
      </w:r>
      <w:r w:rsidR="0062271A" w:rsidRPr="00165891">
        <w:rPr>
          <w:rFonts w:ascii="Arial" w:eastAsia="Calibri" w:hAnsi="Arial" w:cs="Arial"/>
        </w:rPr>
        <w:t>Carta de Presentación de la Oferta</w:t>
      </w:r>
      <w:r w:rsidR="0062271A">
        <w:rPr>
          <w:rFonts w:ascii="Arial" w:eastAsia="Calibri" w:hAnsi="Arial" w:cs="Arial"/>
        </w:rPr>
        <w:t>» el proponente, bajo la gravedad de juramento, manifiesta que c</w:t>
      </w:r>
      <w:r w:rsidR="0062271A" w:rsidRPr="005C6C32">
        <w:rPr>
          <w:rFonts w:ascii="Arial" w:eastAsia="Calibri" w:hAnsi="Arial" w:cs="Arial"/>
        </w:rPr>
        <w:t>ono</w:t>
      </w:r>
      <w:r w:rsidR="0062271A">
        <w:rPr>
          <w:rFonts w:ascii="Arial" w:eastAsia="Calibri" w:hAnsi="Arial" w:cs="Arial"/>
        </w:rPr>
        <w:t>ce</w:t>
      </w:r>
      <w:r w:rsidR="0062271A" w:rsidRPr="005C6C32">
        <w:rPr>
          <w:rFonts w:ascii="Arial" w:eastAsia="Calibri" w:hAnsi="Arial" w:cs="Arial"/>
        </w:rPr>
        <w:t xml:space="preserve"> los </w:t>
      </w:r>
      <w:r w:rsidR="0062271A">
        <w:rPr>
          <w:rFonts w:ascii="Arial" w:eastAsia="Calibri" w:hAnsi="Arial" w:cs="Arial"/>
        </w:rPr>
        <w:t>documentos del procedimiento de selección</w:t>
      </w:r>
      <w:r w:rsidR="0062271A" w:rsidRPr="005C6C32">
        <w:rPr>
          <w:rFonts w:ascii="Arial" w:eastAsia="Calibri" w:hAnsi="Arial" w:cs="Arial"/>
        </w:rPr>
        <w:t>, incluyendo adendas, y</w:t>
      </w:r>
      <w:r w:rsidR="0062271A">
        <w:rPr>
          <w:rFonts w:ascii="Arial" w:eastAsia="Calibri" w:hAnsi="Arial" w:cs="Arial"/>
        </w:rPr>
        <w:t xml:space="preserve"> que </w:t>
      </w:r>
      <w:r w:rsidR="0062271A" w:rsidRPr="005C6C32">
        <w:rPr>
          <w:rFonts w:ascii="Arial" w:eastAsia="Calibri" w:hAnsi="Arial" w:cs="Arial"/>
        </w:rPr>
        <w:t>acept</w:t>
      </w:r>
      <w:r w:rsidR="0062271A">
        <w:rPr>
          <w:rFonts w:ascii="Arial" w:eastAsia="Calibri" w:hAnsi="Arial" w:cs="Arial"/>
        </w:rPr>
        <w:t>a</w:t>
      </w:r>
      <w:r w:rsidR="0062271A" w:rsidRPr="005C6C32">
        <w:rPr>
          <w:rFonts w:ascii="Arial" w:eastAsia="Calibri" w:hAnsi="Arial" w:cs="Arial"/>
        </w:rPr>
        <w:t xml:space="preserve"> los requisitos en ellos contenidos</w:t>
      </w:r>
      <w:r w:rsidR="0062271A">
        <w:rPr>
          <w:rFonts w:ascii="Arial" w:eastAsia="Calibri" w:hAnsi="Arial" w:cs="Arial"/>
        </w:rPr>
        <w:t>.</w:t>
      </w:r>
      <w:r w:rsidR="00094C27">
        <w:rPr>
          <w:rFonts w:ascii="Arial" w:eastAsia="Calibri" w:hAnsi="Arial" w:cs="Arial"/>
        </w:rPr>
        <w:t xml:space="preserve"> </w:t>
      </w:r>
      <w:r w:rsidR="00422A14">
        <w:rPr>
          <w:rFonts w:ascii="Arial" w:eastAsia="Calibri" w:hAnsi="Arial" w:cs="Arial"/>
        </w:rPr>
        <w:t>Asimismo</w:t>
      </w:r>
      <w:r w:rsidR="00094C27">
        <w:rPr>
          <w:rFonts w:ascii="Arial" w:eastAsia="Calibri" w:hAnsi="Arial" w:cs="Arial"/>
        </w:rPr>
        <w:t xml:space="preserve">, </w:t>
      </w:r>
      <w:r w:rsidR="00422A14">
        <w:rPr>
          <w:rFonts w:ascii="Arial" w:eastAsia="Calibri" w:hAnsi="Arial" w:cs="Arial"/>
        </w:rPr>
        <w:t xml:space="preserve">declara que la </w:t>
      </w:r>
      <w:r w:rsidR="00094C27" w:rsidRPr="00094C27">
        <w:rPr>
          <w:rFonts w:ascii="Arial" w:eastAsia="Calibri" w:hAnsi="Arial" w:cs="Arial"/>
        </w:rPr>
        <w:t>oferta está constituida por todos los Formatos, Formularios, Anexos y Matrices requeridos en los documentos del proceso aplicables al proponente y documentos de soporte presentados.</w:t>
      </w:r>
    </w:p>
    <w:p w14:paraId="2CAF3031" w14:textId="77777777" w:rsidR="00A163FC" w:rsidRDefault="00A163FC" w:rsidP="00A163FC">
      <w:pPr>
        <w:spacing w:after="120" w:line="276" w:lineRule="auto"/>
        <w:ind w:firstLine="708"/>
        <w:jc w:val="both"/>
        <w:rPr>
          <w:rFonts w:ascii="Arial" w:eastAsia="Calibri" w:hAnsi="Arial" w:cs="Arial"/>
        </w:rPr>
      </w:pPr>
      <w:r w:rsidRPr="00C53A67">
        <w:rPr>
          <w:rFonts w:ascii="Arial" w:eastAsia="Calibri" w:hAnsi="Arial" w:cs="Arial"/>
        </w:rPr>
        <w:t xml:space="preserve">Este formato permite a la entidad conocer al proponente y eventual adjudicatario del proceso de contratación desde el aspecto jurídico, financiero, técnico, económico y comercial, lo cual será verificado, para algunos de los aspectos, con la acreditación y cumplimiento de los requisitos habilitantes. Sin embargo, aquellos que no son susceptibles de verificación por parte de la entidad </w:t>
      </w:r>
      <w:r>
        <w:rPr>
          <w:rFonts w:ascii="Arial" w:eastAsia="Calibri" w:hAnsi="Arial" w:cs="Arial"/>
        </w:rPr>
        <w:t>mediante</w:t>
      </w:r>
      <w:r w:rsidRPr="00C53A67">
        <w:rPr>
          <w:rFonts w:ascii="Arial" w:eastAsia="Calibri" w:hAnsi="Arial" w:cs="Arial"/>
        </w:rPr>
        <w:t xml:space="preserve"> estos requisitos, deben ser manifestados por parte del proponente, de quien se exige un comportamiento integral, honesto</w:t>
      </w:r>
      <w:r>
        <w:rPr>
          <w:rFonts w:ascii="Arial" w:eastAsia="Calibri" w:hAnsi="Arial" w:cs="Arial"/>
        </w:rPr>
        <w:t xml:space="preserve"> y</w:t>
      </w:r>
      <w:r w:rsidRPr="00C53A67">
        <w:rPr>
          <w:rFonts w:ascii="Arial" w:eastAsia="Calibri" w:hAnsi="Arial" w:cs="Arial"/>
        </w:rPr>
        <w:t xml:space="preserve"> serio</w:t>
      </w:r>
      <w:r>
        <w:rPr>
          <w:rFonts w:ascii="Arial" w:eastAsia="Calibri" w:hAnsi="Arial" w:cs="Arial"/>
        </w:rPr>
        <w:t>,</w:t>
      </w:r>
      <w:r w:rsidRPr="00C53A67">
        <w:rPr>
          <w:rFonts w:ascii="Arial" w:eastAsia="Calibri" w:hAnsi="Arial" w:cs="Arial"/>
        </w:rPr>
        <w:t xml:space="preserve"> en el marco del principio de la buena fe</w:t>
      </w:r>
      <w:r>
        <w:rPr>
          <w:rFonts w:ascii="Arial" w:eastAsia="Calibri" w:hAnsi="Arial" w:cs="Arial"/>
        </w:rPr>
        <w:t xml:space="preserve"> contractual</w:t>
      </w:r>
      <w:r w:rsidRPr="00C53A67">
        <w:rPr>
          <w:rFonts w:ascii="Arial" w:eastAsia="Calibri" w:hAnsi="Arial" w:cs="Arial"/>
        </w:rPr>
        <w:t xml:space="preserve">. </w:t>
      </w:r>
    </w:p>
    <w:p w14:paraId="57D8A396" w14:textId="5919C475" w:rsidR="00A163FC" w:rsidRDefault="00A163FC" w:rsidP="001D067A">
      <w:pPr>
        <w:spacing w:after="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 xml:space="preserve">Conforme con lo anterior, la carta de Presentación de la oferta, </w:t>
      </w:r>
      <w:r w:rsidRPr="00F15218">
        <w:rPr>
          <w:rFonts w:ascii="Arial" w:eastAsia="Calibri" w:hAnsi="Arial" w:cs="Arial"/>
          <w:color w:val="000000"/>
          <w:lang w:val="es-ES_tradnl"/>
        </w:rPr>
        <w:t xml:space="preserve">como su nombre lo indica, es solo la forma como se introduce al destinatario, en este caso, a la entidad estatal, la totalidad de los elementos que conforman la oferta. En consecuencia, el entendimiento de la oferta debe estar guiado por la comprensión de todos los documentos que integran y la función que cumple cada uno de ellos, </w:t>
      </w:r>
      <w:r>
        <w:rPr>
          <w:rFonts w:ascii="Arial" w:eastAsia="Calibri" w:hAnsi="Arial" w:cs="Arial"/>
          <w:color w:val="000000"/>
          <w:lang w:val="es-ES_tradnl"/>
        </w:rPr>
        <w:t>e</w:t>
      </w:r>
      <w:r w:rsidRPr="00F15218">
        <w:rPr>
          <w:rFonts w:ascii="Arial" w:eastAsia="Calibri" w:hAnsi="Arial" w:cs="Arial"/>
          <w:color w:val="000000"/>
          <w:lang w:val="es-ES_tradnl"/>
        </w:rPr>
        <w:t>s decir, la carta de presentación de la oferta permite poner en contexto a la entidad contratante frente a una serie de documentos que en su conjunto forman un acervo probatorio de los requisitos que se pretenden hacer valer, y que permiten determinar, entre varias ofertas, la que represente la mejor condición de elegibilidad.</w:t>
      </w:r>
    </w:p>
    <w:p w14:paraId="4C92A6D4" w14:textId="77777777" w:rsidR="00A163FC" w:rsidRPr="00F15218" w:rsidRDefault="00A163FC" w:rsidP="001D067A">
      <w:pPr>
        <w:spacing w:after="0" w:line="276" w:lineRule="auto"/>
        <w:ind w:firstLine="709"/>
        <w:jc w:val="both"/>
        <w:rPr>
          <w:rFonts w:ascii="Arial" w:eastAsia="Calibri" w:hAnsi="Arial" w:cs="Arial"/>
          <w:color w:val="000000"/>
          <w:lang w:val="es-ES_tradnl"/>
        </w:rPr>
      </w:pPr>
    </w:p>
    <w:bookmarkEnd w:id="10"/>
    <w:p w14:paraId="63C916DA" w14:textId="5880A401" w:rsidR="007E4C0A" w:rsidRPr="0052548A" w:rsidRDefault="00165AB1" w:rsidP="00A163FC">
      <w:pPr>
        <w:spacing w:after="0" w:line="276" w:lineRule="auto"/>
        <w:jc w:val="both"/>
        <w:rPr>
          <w:rFonts w:ascii="Arial" w:hAnsi="Arial" w:cs="Arial"/>
          <w:b/>
          <w:bCs/>
          <w:color w:val="0C0C0C"/>
        </w:rPr>
      </w:pPr>
      <w:r w:rsidRPr="0052548A">
        <w:rPr>
          <w:rFonts w:ascii="Arial" w:hAnsi="Arial" w:cs="Arial"/>
          <w:b/>
          <w:bCs/>
        </w:rPr>
        <w:t xml:space="preserve">2.4 </w:t>
      </w:r>
      <w:r w:rsidR="0052548A" w:rsidRPr="0052548A">
        <w:rPr>
          <w:rFonts w:ascii="Arial" w:hAnsi="Arial" w:cs="Arial"/>
          <w:b/>
          <w:bCs/>
          <w:color w:val="0C0C0C"/>
        </w:rPr>
        <w:t>Inalterabilidad</w:t>
      </w:r>
      <w:r w:rsidR="0052548A" w:rsidRPr="0052548A">
        <w:rPr>
          <w:rFonts w:ascii="Arial" w:hAnsi="Arial" w:cs="Arial"/>
          <w:b/>
          <w:bCs/>
          <w:color w:val="0C0C0C"/>
          <w:spacing w:val="2"/>
        </w:rPr>
        <w:t xml:space="preserve"> </w:t>
      </w:r>
      <w:r w:rsidR="0052548A" w:rsidRPr="0052548A">
        <w:rPr>
          <w:rFonts w:ascii="Arial" w:hAnsi="Arial" w:cs="Arial"/>
          <w:b/>
          <w:bCs/>
          <w:color w:val="0C0C0C"/>
        </w:rPr>
        <w:t>de las causales</w:t>
      </w:r>
      <w:r w:rsidR="0052548A" w:rsidRPr="0052548A">
        <w:rPr>
          <w:rFonts w:ascii="Arial" w:hAnsi="Arial" w:cs="Arial"/>
          <w:b/>
          <w:bCs/>
          <w:color w:val="0C0C0C"/>
          <w:spacing w:val="1"/>
        </w:rPr>
        <w:t xml:space="preserve"> </w:t>
      </w:r>
      <w:r w:rsidR="0052548A" w:rsidRPr="0052548A">
        <w:rPr>
          <w:rFonts w:ascii="Arial" w:hAnsi="Arial" w:cs="Arial"/>
          <w:b/>
          <w:bCs/>
          <w:color w:val="0C0C0C"/>
        </w:rPr>
        <w:t>de rechazo en</w:t>
      </w:r>
      <w:r w:rsidR="0052548A" w:rsidRPr="0052548A">
        <w:rPr>
          <w:rFonts w:ascii="Arial" w:hAnsi="Arial" w:cs="Arial"/>
          <w:b/>
          <w:bCs/>
          <w:color w:val="0C0C0C"/>
          <w:spacing w:val="-1"/>
        </w:rPr>
        <w:t xml:space="preserve"> </w:t>
      </w:r>
      <w:r w:rsidR="0052548A" w:rsidRPr="0052548A">
        <w:rPr>
          <w:rFonts w:ascii="Arial" w:hAnsi="Arial" w:cs="Arial"/>
          <w:b/>
          <w:bCs/>
          <w:color w:val="0C0C0C"/>
        </w:rPr>
        <w:t>los documentos tipo de licitación de obra pública de infraestructura de transporte – Versión 3</w:t>
      </w:r>
    </w:p>
    <w:p w14:paraId="5A20A309" w14:textId="28CB189F" w:rsidR="0052548A" w:rsidRDefault="0052548A" w:rsidP="00A163FC">
      <w:pPr>
        <w:spacing w:after="0" w:line="276" w:lineRule="auto"/>
        <w:jc w:val="both"/>
        <w:rPr>
          <w:rFonts w:ascii="Arial" w:hAnsi="Arial" w:cs="Arial"/>
          <w:color w:val="000000" w:themeColor="text1"/>
          <w:lang w:val="es-ES"/>
        </w:rPr>
      </w:pPr>
    </w:p>
    <w:p w14:paraId="2CA1D265" w14:textId="77777777" w:rsidR="007210F9" w:rsidRPr="007210F9" w:rsidRDefault="007210F9" w:rsidP="00A163FC">
      <w:pPr>
        <w:widowControl w:val="0"/>
        <w:autoSpaceDE w:val="0"/>
        <w:autoSpaceDN w:val="0"/>
        <w:spacing w:after="0" w:line="276" w:lineRule="auto"/>
        <w:jc w:val="both"/>
        <w:rPr>
          <w:rFonts w:ascii="Arial" w:eastAsia="Arial" w:hAnsi="Arial" w:cs="Arial"/>
          <w:lang w:val="es-ES"/>
        </w:rPr>
      </w:pPr>
      <w:r w:rsidRPr="007210F9">
        <w:rPr>
          <w:rFonts w:ascii="Arial" w:eastAsia="Arial" w:hAnsi="Arial" w:cs="Arial"/>
          <w:color w:val="0C0C0C"/>
          <w:lang w:val="es-ES"/>
        </w:rPr>
        <w:lastRenderedPageBreak/>
        <w:t>Uno de los aspectos regulados en los Documentos Tipo sobre el cual resulta aplicable</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el principio de inalterabilidad tiene relación con las causales de rechazo, frente a las</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cuales la entidad solo puede modificar los aspectos concretos que el documento base</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o la invitación dispongan. No obstante, se establece la regla consistente en que las</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entidades estatales no pueden incluir nuevas causales de rechazo o modificar las</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existentes, salvo que se permita modificar aspectos puntuales en los lugares entre</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corchetes</w:t>
      </w:r>
      <w:r w:rsidRPr="007210F9">
        <w:rPr>
          <w:rFonts w:ascii="Arial" w:eastAsia="Arial" w:hAnsi="Arial" w:cs="Arial"/>
          <w:color w:val="0C0C0C"/>
          <w:spacing w:val="-2"/>
          <w:lang w:val="es-ES"/>
        </w:rPr>
        <w:t xml:space="preserve"> </w:t>
      </w:r>
      <w:r w:rsidRPr="007210F9">
        <w:rPr>
          <w:rFonts w:ascii="Arial" w:eastAsia="Arial" w:hAnsi="Arial" w:cs="Arial"/>
          <w:color w:val="0C0C0C"/>
          <w:lang w:val="es-ES"/>
        </w:rPr>
        <w:t>y</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resaltado</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en</w:t>
      </w:r>
      <w:r w:rsidRPr="007210F9">
        <w:rPr>
          <w:rFonts w:ascii="Arial" w:eastAsia="Arial" w:hAnsi="Arial" w:cs="Arial"/>
          <w:color w:val="0C0C0C"/>
          <w:spacing w:val="-1"/>
          <w:lang w:val="es-ES"/>
        </w:rPr>
        <w:t xml:space="preserve"> </w:t>
      </w:r>
      <w:r w:rsidRPr="007210F9">
        <w:rPr>
          <w:rFonts w:ascii="Arial" w:eastAsia="Arial" w:hAnsi="Arial" w:cs="Arial"/>
          <w:color w:val="0C0C0C"/>
          <w:lang w:val="es-ES"/>
        </w:rPr>
        <w:t>gris.</w:t>
      </w:r>
    </w:p>
    <w:p w14:paraId="57113944" w14:textId="4D8C4F45" w:rsidR="007210F9" w:rsidRPr="007210F9" w:rsidRDefault="007210F9" w:rsidP="004D3D6F">
      <w:pPr>
        <w:widowControl w:val="0"/>
        <w:autoSpaceDE w:val="0"/>
        <w:autoSpaceDN w:val="0"/>
        <w:spacing w:before="120" w:after="0" w:line="276" w:lineRule="auto"/>
        <w:ind w:firstLine="709"/>
        <w:jc w:val="both"/>
        <w:rPr>
          <w:rFonts w:ascii="Arial" w:eastAsia="Arial" w:hAnsi="Arial" w:cs="Arial"/>
          <w:lang w:val="es-ES"/>
        </w:rPr>
      </w:pPr>
      <w:r w:rsidRPr="007210F9">
        <w:rPr>
          <w:rFonts w:ascii="Arial" w:eastAsia="Arial" w:hAnsi="Arial" w:cs="Arial"/>
          <w:lang w:val="es-ES"/>
        </w:rPr>
        <w:t>Del numeral 1.15 del pliego de condiciones para los procesos de licitación y</w:t>
      </w:r>
      <w:r w:rsidRPr="007210F9">
        <w:rPr>
          <w:rFonts w:ascii="Arial" w:eastAsia="Arial" w:hAnsi="Arial" w:cs="Arial"/>
          <w:spacing w:val="1"/>
          <w:lang w:val="es-ES"/>
        </w:rPr>
        <w:t xml:space="preserve"> </w:t>
      </w:r>
      <w:r w:rsidRPr="007210F9">
        <w:rPr>
          <w:rFonts w:ascii="Arial" w:eastAsia="Arial" w:hAnsi="Arial" w:cs="Arial"/>
          <w:lang w:val="es-ES"/>
        </w:rPr>
        <w:t>selección abreviada de menor cuantía, así como del numeral 1.15 de la invitación de</w:t>
      </w:r>
      <w:r w:rsidRPr="007210F9">
        <w:rPr>
          <w:rFonts w:ascii="Arial" w:eastAsia="Arial" w:hAnsi="Arial" w:cs="Arial"/>
          <w:spacing w:val="1"/>
          <w:lang w:val="es-ES"/>
        </w:rPr>
        <w:t xml:space="preserve"> </w:t>
      </w:r>
      <w:r w:rsidRPr="007210F9">
        <w:rPr>
          <w:rFonts w:ascii="Arial" w:eastAsia="Arial" w:hAnsi="Arial" w:cs="Arial"/>
          <w:lang w:val="es-ES"/>
        </w:rPr>
        <w:t>mínima cuantía, se desprende que las causales de rechazo de ofertas consagradas en</w:t>
      </w:r>
      <w:r w:rsidRPr="007210F9">
        <w:rPr>
          <w:rFonts w:ascii="Arial" w:eastAsia="Arial" w:hAnsi="Arial" w:cs="Arial"/>
          <w:spacing w:val="-59"/>
          <w:lang w:val="es-ES"/>
        </w:rPr>
        <w:t xml:space="preserve"> </w:t>
      </w:r>
      <w:r w:rsidRPr="007210F9">
        <w:rPr>
          <w:rFonts w:ascii="Arial" w:eastAsia="Arial" w:hAnsi="Arial" w:cs="Arial"/>
          <w:lang w:val="es-ES"/>
        </w:rPr>
        <w:t>los documentos tipo son taxativas, descartándose que la entidad introduzca causales,</w:t>
      </w:r>
      <w:r w:rsidRPr="007210F9">
        <w:rPr>
          <w:rFonts w:ascii="Arial" w:eastAsia="Arial" w:hAnsi="Arial" w:cs="Arial"/>
          <w:spacing w:val="1"/>
          <w:lang w:val="es-ES"/>
        </w:rPr>
        <w:t xml:space="preserve"> </w:t>
      </w:r>
      <w:r w:rsidRPr="007210F9">
        <w:rPr>
          <w:rFonts w:ascii="Arial" w:eastAsia="Arial" w:hAnsi="Arial" w:cs="Arial"/>
          <w:lang w:val="es-ES"/>
        </w:rPr>
        <w:t xml:space="preserve">salvo </w:t>
      </w:r>
      <w:r w:rsidR="001E3298">
        <w:rPr>
          <w:rFonts w:ascii="Arial" w:eastAsia="Arial" w:hAnsi="Arial" w:cs="Arial"/>
          <w:lang w:val="es-ES"/>
        </w:rPr>
        <w:t>que aplique las</w:t>
      </w:r>
      <w:r w:rsidR="001E3298" w:rsidRPr="007210F9">
        <w:rPr>
          <w:rFonts w:ascii="Arial" w:eastAsia="Arial" w:hAnsi="Arial" w:cs="Arial"/>
          <w:lang w:val="es-ES"/>
        </w:rPr>
        <w:t xml:space="preserve"> </w:t>
      </w:r>
      <w:r w:rsidRPr="007210F9">
        <w:rPr>
          <w:rFonts w:ascii="Arial" w:eastAsia="Arial" w:hAnsi="Arial" w:cs="Arial"/>
          <w:lang w:val="es-ES"/>
        </w:rPr>
        <w:t>contempladas directamente en la ley. Igualmente, por la naturaleza de las</w:t>
      </w:r>
      <w:r w:rsidRPr="007210F9">
        <w:rPr>
          <w:rFonts w:ascii="Arial" w:eastAsia="Arial" w:hAnsi="Arial" w:cs="Arial"/>
          <w:spacing w:val="1"/>
          <w:lang w:val="es-ES"/>
        </w:rPr>
        <w:t xml:space="preserve"> </w:t>
      </w:r>
      <w:r w:rsidRPr="007210F9">
        <w:rPr>
          <w:rFonts w:ascii="Arial" w:eastAsia="Arial" w:hAnsi="Arial" w:cs="Arial"/>
          <w:lang w:val="es-ES"/>
        </w:rPr>
        <w:t>causales de rechazo, su aplicación es estricta. Esto significa que su interpretación</w:t>
      </w:r>
      <w:r w:rsidRPr="007210F9">
        <w:rPr>
          <w:rFonts w:ascii="Arial" w:eastAsia="Arial" w:hAnsi="Arial" w:cs="Arial"/>
          <w:spacing w:val="1"/>
          <w:lang w:val="es-ES"/>
        </w:rPr>
        <w:t xml:space="preserve"> </w:t>
      </w:r>
      <w:r w:rsidRPr="007210F9">
        <w:rPr>
          <w:rFonts w:ascii="Arial" w:eastAsia="Arial" w:hAnsi="Arial" w:cs="Arial"/>
          <w:lang w:val="es-ES"/>
        </w:rPr>
        <w:t>gramatical</w:t>
      </w:r>
      <w:r w:rsidRPr="007210F9">
        <w:rPr>
          <w:rFonts w:ascii="Arial" w:eastAsia="Arial" w:hAnsi="Arial" w:cs="Arial"/>
          <w:spacing w:val="-11"/>
          <w:lang w:val="es-ES"/>
        </w:rPr>
        <w:t xml:space="preserve"> </w:t>
      </w:r>
      <w:r w:rsidRPr="007210F9">
        <w:rPr>
          <w:rFonts w:ascii="Arial" w:eastAsia="Arial" w:hAnsi="Arial" w:cs="Arial"/>
          <w:lang w:val="es-ES"/>
        </w:rPr>
        <w:t>prevalece</w:t>
      </w:r>
      <w:r w:rsidRPr="007210F9">
        <w:rPr>
          <w:rFonts w:ascii="Arial" w:eastAsia="Arial" w:hAnsi="Arial" w:cs="Arial"/>
          <w:spacing w:val="-10"/>
          <w:lang w:val="es-ES"/>
        </w:rPr>
        <w:t xml:space="preserve"> </w:t>
      </w:r>
      <w:r w:rsidRPr="007210F9">
        <w:rPr>
          <w:rFonts w:ascii="Arial" w:eastAsia="Arial" w:hAnsi="Arial" w:cs="Arial"/>
          <w:lang w:val="es-ES"/>
        </w:rPr>
        <w:t>sobre</w:t>
      </w:r>
      <w:r w:rsidRPr="007210F9">
        <w:rPr>
          <w:rFonts w:ascii="Arial" w:eastAsia="Arial" w:hAnsi="Arial" w:cs="Arial"/>
          <w:spacing w:val="-11"/>
          <w:lang w:val="es-ES"/>
        </w:rPr>
        <w:t xml:space="preserve"> </w:t>
      </w:r>
      <w:r w:rsidRPr="007210F9">
        <w:rPr>
          <w:rFonts w:ascii="Arial" w:eastAsia="Arial" w:hAnsi="Arial" w:cs="Arial"/>
          <w:lang w:val="es-ES"/>
        </w:rPr>
        <w:t>una</w:t>
      </w:r>
      <w:r w:rsidRPr="007210F9">
        <w:rPr>
          <w:rFonts w:ascii="Arial" w:eastAsia="Arial" w:hAnsi="Arial" w:cs="Arial"/>
          <w:spacing w:val="-12"/>
          <w:lang w:val="es-ES"/>
        </w:rPr>
        <w:t xml:space="preserve"> </w:t>
      </w:r>
      <w:r w:rsidRPr="007210F9">
        <w:rPr>
          <w:rFonts w:ascii="Arial" w:eastAsia="Arial" w:hAnsi="Arial" w:cs="Arial"/>
          <w:lang w:val="es-ES"/>
        </w:rPr>
        <w:t>extensiva</w:t>
      </w:r>
      <w:r w:rsidRPr="007210F9">
        <w:rPr>
          <w:rFonts w:ascii="Arial" w:eastAsia="Arial" w:hAnsi="Arial" w:cs="Arial"/>
          <w:spacing w:val="-10"/>
          <w:lang w:val="es-ES"/>
        </w:rPr>
        <w:t xml:space="preserve"> </w:t>
      </w:r>
      <w:r w:rsidRPr="007210F9">
        <w:rPr>
          <w:rFonts w:ascii="Arial" w:eastAsia="Arial" w:hAnsi="Arial" w:cs="Arial"/>
          <w:lang w:val="es-ES"/>
        </w:rPr>
        <w:t>o</w:t>
      </w:r>
      <w:r w:rsidRPr="007210F9">
        <w:rPr>
          <w:rFonts w:ascii="Arial" w:eastAsia="Arial" w:hAnsi="Arial" w:cs="Arial"/>
          <w:spacing w:val="-11"/>
          <w:lang w:val="es-ES"/>
        </w:rPr>
        <w:t xml:space="preserve"> </w:t>
      </w:r>
      <w:r w:rsidRPr="007210F9">
        <w:rPr>
          <w:rFonts w:ascii="Arial" w:eastAsia="Arial" w:hAnsi="Arial" w:cs="Arial"/>
          <w:lang w:val="es-ES"/>
        </w:rPr>
        <w:t>de</w:t>
      </w:r>
      <w:r w:rsidRPr="007210F9">
        <w:rPr>
          <w:rFonts w:ascii="Arial" w:eastAsia="Arial" w:hAnsi="Arial" w:cs="Arial"/>
          <w:spacing w:val="-12"/>
          <w:lang w:val="es-ES"/>
        </w:rPr>
        <w:t xml:space="preserve"> </w:t>
      </w:r>
      <w:r w:rsidRPr="007210F9">
        <w:rPr>
          <w:rFonts w:ascii="Arial" w:eastAsia="Arial" w:hAnsi="Arial" w:cs="Arial"/>
          <w:lang w:val="es-ES"/>
        </w:rPr>
        <w:t>otra</w:t>
      </w:r>
      <w:r w:rsidRPr="007210F9">
        <w:rPr>
          <w:rFonts w:ascii="Arial" w:eastAsia="Arial" w:hAnsi="Arial" w:cs="Arial"/>
          <w:spacing w:val="-11"/>
          <w:lang w:val="es-ES"/>
        </w:rPr>
        <w:t xml:space="preserve"> </w:t>
      </w:r>
      <w:r w:rsidRPr="007210F9">
        <w:rPr>
          <w:rFonts w:ascii="Arial" w:eastAsia="Arial" w:hAnsi="Arial" w:cs="Arial"/>
          <w:lang w:val="es-ES"/>
        </w:rPr>
        <w:t>índole,</w:t>
      </w:r>
      <w:r w:rsidRPr="007210F9">
        <w:rPr>
          <w:rFonts w:ascii="Arial" w:eastAsia="Arial" w:hAnsi="Arial" w:cs="Arial"/>
          <w:spacing w:val="-10"/>
          <w:lang w:val="es-ES"/>
        </w:rPr>
        <w:t xml:space="preserve"> </w:t>
      </w:r>
      <w:r w:rsidRPr="007210F9">
        <w:rPr>
          <w:rFonts w:ascii="Arial" w:eastAsia="Arial" w:hAnsi="Arial" w:cs="Arial"/>
          <w:lang w:val="es-ES"/>
        </w:rPr>
        <w:t>mediante</w:t>
      </w:r>
      <w:r w:rsidRPr="007210F9">
        <w:rPr>
          <w:rFonts w:ascii="Arial" w:eastAsia="Arial" w:hAnsi="Arial" w:cs="Arial"/>
          <w:spacing w:val="-11"/>
          <w:lang w:val="es-ES"/>
        </w:rPr>
        <w:t xml:space="preserve"> </w:t>
      </w:r>
      <w:r w:rsidRPr="007210F9">
        <w:rPr>
          <w:rFonts w:ascii="Arial" w:eastAsia="Arial" w:hAnsi="Arial" w:cs="Arial"/>
          <w:lang w:val="es-ES"/>
        </w:rPr>
        <w:t>la</w:t>
      </w:r>
      <w:r w:rsidRPr="007210F9">
        <w:rPr>
          <w:rFonts w:ascii="Arial" w:eastAsia="Arial" w:hAnsi="Arial" w:cs="Arial"/>
          <w:spacing w:val="-12"/>
          <w:lang w:val="es-ES"/>
        </w:rPr>
        <w:t xml:space="preserve"> </w:t>
      </w:r>
      <w:r w:rsidRPr="007210F9">
        <w:rPr>
          <w:rFonts w:ascii="Arial" w:eastAsia="Arial" w:hAnsi="Arial" w:cs="Arial"/>
          <w:lang w:val="es-ES"/>
        </w:rPr>
        <w:t>cual</w:t>
      </w:r>
      <w:r w:rsidRPr="007210F9">
        <w:rPr>
          <w:rFonts w:ascii="Arial" w:eastAsia="Arial" w:hAnsi="Arial" w:cs="Arial"/>
          <w:spacing w:val="-11"/>
          <w:lang w:val="es-ES"/>
        </w:rPr>
        <w:t xml:space="preserve"> </w:t>
      </w:r>
      <w:r w:rsidRPr="007210F9">
        <w:rPr>
          <w:rFonts w:ascii="Arial" w:eastAsia="Arial" w:hAnsi="Arial" w:cs="Arial"/>
          <w:lang w:val="es-ES"/>
        </w:rPr>
        <w:t>se</w:t>
      </w:r>
      <w:r w:rsidRPr="007210F9">
        <w:rPr>
          <w:rFonts w:ascii="Arial" w:eastAsia="Arial" w:hAnsi="Arial" w:cs="Arial"/>
          <w:spacing w:val="-11"/>
          <w:lang w:val="es-ES"/>
        </w:rPr>
        <w:t xml:space="preserve"> </w:t>
      </w:r>
      <w:r w:rsidRPr="007210F9">
        <w:rPr>
          <w:rFonts w:ascii="Arial" w:eastAsia="Arial" w:hAnsi="Arial" w:cs="Arial"/>
          <w:lang w:val="es-ES"/>
        </w:rPr>
        <w:t>pretenda</w:t>
      </w:r>
      <w:r w:rsidRPr="007210F9">
        <w:rPr>
          <w:rFonts w:ascii="Arial" w:eastAsia="Arial" w:hAnsi="Arial" w:cs="Arial"/>
          <w:spacing w:val="-59"/>
          <w:lang w:val="es-ES"/>
        </w:rPr>
        <w:t xml:space="preserve"> </w:t>
      </w:r>
      <w:r w:rsidRPr="007210F9">
        <w:rPr>
          <w:rFonts w:ascii="Arial" w:eastAsia="Arial" w:hAnsi="Arial" w:cs="Arial"/>
          <w:lang w:val="es-ES"/>
        </w:rPr>
        <w:t>ampliar</w:t>
      </w:r>
      <w:r w:rsidRPr="007210F9">
        <w:rPr>
          <w:rFonts w:ascii="Arial" w:eastAsia="Arial" w:hAnsi="Arial" w:cs="Arial"/>
          <w:spacing w:val="-2"/>
          <w:lang w:val="es-ES"/>
        </w:rPr>
        <w:t xml:space="preserve"> </w:t>
      </w:r>
      <w:r w:rsidRPr="007210F9">
        <w:rPr>
          <w:rFonts w:ascii="Arial" w:eastAsia="Arial" w:hAnsi="Arial" w:cs="Arial"/>
          <w:lang w:val="es-ES"/>
        </w:rPr>
        <w:t>su</w:t>
      </w:r>
      <w:r w:rsidRPr="007210F9">
        <w:rPr>
          <w:rFonts w:ascii="Arial" w:eastAsia="Arial" w:hAnsi="Arial" w:cs="Arial"/>
          <w:spacing w:val="-1"/>
          <w:lang w:val="es-ES"/>
        </w:rPr>
        <w:t xml:space="preserve"> </w:t>
      </w:r>
      <w:r w:rsidRPr="007210F9">
        <w:rPr>
          <w:rFonts w:ascii="Arial" w:eastAsia="Arial" w:hAnsi="Arial" w:cs="Arial"/>
          <w:lang w:val="es-ES"/>
        </w:rPr>
        <w:t>alcance.</w:t>
      </w:r>
    </w:p>
    <w:p w14:paraId="42F2685E" w14:textId="40398890" w:rsidR="007210F9" w:rsidRDefault="007210F9" w:rsidP="004D3D6F">
      <w:pPr>
        <w:widowControl w:val="0"/>
        <w:autoSpaceDE w:val="0"/>
        <w:autoSpaceDN w:val="0"/>
        <w:spacing w:before="120" w:after="120" w:line="276" w:lineRule="auto"/>
        <w:ind w:firstLine="709"/>
        <w:jc w:val="both"/>
        <w:rPr>
          <w:rFonts w:ascii="Arial" w:eastAsia="Arial" w:hAnsi="Arial" w:cs="Arial"/>
          <w:lang w:val="es-ES"/>
        </w:rPr>
      </w:pPr>
      <w:r w:rsidRPr="007210F9">
        <w:rPr>
          <w:rFonts w:ascii="Arial" w:eastAsia="Arial" w:hAnsi="Arial" w:cs="Arial"/>
          <w:lang w:val="es-ES"/>
        </w:rPr>
        <w:t>De lo anterior se infiere que: i) las entidades estatales no pueden incluir nuevas</w:t>
      </w:r>
      <w:r w:rsidRPr="007210F9">
        <w:rPr>
          <w:rFonts w:ascii="Arial" w:eastAsia="Arial" w:hAnsi="Arial" w:cs="Arial"/>
          <w:spacing w:val="-59"/>
          <w:lang w:val="es-ES"/>
        </w:rPr>
        <w:t xml:space="preserve"> </w:t>
      </w:r>
      <w:r w:rsidRPr="007210F9">
        <w:rPr>
          <w:rFonts w:ascii="Arial" w:eastAsia="Arial" w:hAnsi="Arial" w:cs="Arial"/>
          <w:lang w:val="es-ES"/>
        </w:rPr>
        <w:t>causales de rechazo en sus pliegos de condiciones distintas a las establecidas en los</w:t>
      </w:r>
      <w:r w:rsidRPr="007210F9">
        <w:rPr>
          <w:rFonts w:ascii="Arial" w:eastAsia="Arial" w:hAnsi="Arial" w:cs="Arial"/>
          <w:spacing w:val="1"/>
          <w:lang w:val="es-ES"/>
        </w:rPr>
        <w:t xml:space="preserve"> </w:t>
      </w:r>
      <w:r w:rsidRPr="007210F9">
        <w:rPr>
          <w:rFonts w:ascii="Arial" w:eastAsia="Arial" w:hAnsi="Arial" w:cs="Arial"/>
          <w:lang w:val="es-ES"/>
        </w:rPr>
        <w:t>documentos tipo, ya que al inicio de la regulación se establece que «las Entidades no</w:t>
      </w:r>
      <w:r w:rsidRPr="007210F9">
        <w:rPr>
          <w:rFonts w:ascii="Arial" w:eastAsia="Arial" w:hAnsi="Arial" w:cs="Arial"/>
          <w:spacing w:val="1"/>
          <w:lang w:val="es-ES"/>
        </w:rPr>
        <w:t xml:space="preserve"> </w:t>
      </w:r>
      <w:r w:rsidRPr="007210F9">
        <w:rPr>
          <w:rFonts w:ascii="Arial" w:eastAsia="Arial" w:hAnsi="Arial" w:cs="Arial"/>
          <w:lang w:val="es-ES"/>
        </w:rPr>
        <w:t>podrán</w:t>
      </w:r>
      <w:r w:rsidRPr="007210F9">
        <w:rPr>
          <w:rFonts w:ascii="Arial" w:eastAsia="Arial" w:hAnsi="Arial" w:cs="Arial"/>
          <w:spacing w:val="1"/>
          <w:lang w:val="es-ES"/>
        </w:rPr>
        <w:t xml:space="preserve"> </w:t>
      </w:r>
      <w:r w:rsidRPr="007210F9">
        <w:rPr>
          <w:rFonts w:ascii="Arial" w:eastAsia="Arial" w:hAnsi="Arial" w:cs="Arial"/>
          <w:lang w:val="es-ES"/>
        </w:rPr>
        <w:t>modificar</w:t>
      </w:r>
      <w:r w:rsidRPr="007210F9">
        <w:rPr>
          <w:rFonts w:ascii="Arial" w:eastAsia="Arial" w:hAnsi="Arial" w:cs="Arial"/>
          <w:spacing w:val="2"/>
          <w:lang w:val="es-ES"/>
        </w:rPr>
        <w:t xml:space="preserve"> </w:t>
      </w:r>
      <w:r w:rsidRPr="007210F9">
        <w:rPr>
          <w:rFonts w:ascii="Arial" w:eastAsia="Arial" w:hAnsi="Arial" w:cs="Arial"/>
          <w:lang w:val="es-ES"/>
        </w:rPr>
        <w:t>o</w:t>
      </w:r>
      <w:r w:rsidRPr="007210F9">
        <w:rPr>
          <w:rFonts w:ascii="Arial" w:eastAsia="Arial" w:hAnsi="Arial" w:cs="Arial"/>
          <w:spacing w:val="1"/>
          <w:lang w:val="es-ES"/>
        </w:rPr>
        <w:t xml:space="preserve"> </w:t>
      </w:r>
      <w:r w:rsidRPr="007210F9">
        <w:rPr>
          <w:rFonts w:ascii="Arial" w:eastAsia="Arial" w:hAnsi="Arial" w:cs="Arial"/>
          <w:lang w:val="es-ES"/>
        </w:rPr>
        <w:t>incluir</w:t>
      </w:r>
      <w:r w:rsidRPr="007210F9">
        <w:rPr>
          <w:rFonts w:ascii="Arial" w:eastAsia="Arial" w:hAnsi="Arial" w:cs="Arial"/>
          <w:spacing w:val="2"/>
          <w:lang w:val="es-ES"/>
        </w:rPr>
        <w:t xml:space="preserve"> </w:t>
      </w:r>
      <w:r w:rsidRPr="007210F9">
        <w:rPr>
          <w:rFonts w:ascii="Arial" w:eastAsia="Arial" w:hAnsi="Arial" w:cs="Arial"/>
          <w:lang w:val="es-ES"/>
        </w:rPr>
        <w:t>causales</w:t>
      </w:r>
      <w:r w:rsidRPr="007210F9">
        <w:rPr>
          <w:rFonts w:ascii="Arial" w:eastAsia="Arial" w:hAnsi="Arial" w:cs="Arial"/>
          <w:spacing w:val="2"/>
          <w:lang w:val="es-ES"/>
        </w:rPr>
        <w:t xml:space="preserve"> </w:t>
      </w:r>
      <w:r w:rsidRPr="007210F9">
        <w:rPr>
          <w:rFonts w:ascii="Arial" w:eastAsia="Arial" w:hAnsi="Arial" w:cs="Arial"/>
          <w:lang w:val="es-ES"/>
        </w:rPr>
        <w:t>de</w:t>
      </w:r>
      <w:r w:rsidRPr="007210F9">
        <w:rPr>
          <w:rFonts w:ascii="Arial" w:eastAsia="Arial" w:hAnsi="Arial" w:cs="Arial"/>
          <w:spacing w:val="1"/>
          <w:lang w:val="es-ES"/>
        </w:rPr>
        <w:t xml:space="preserve"> </w:t>
      </w:r>
      <w:r w:rsidRPr="007210F9">
        <w:rPr>
          <w:rFonts w:ascii="Arial" w:eastAsia="Arial" w:hAnsi="Arial" w:cs="Arial"/>
          <w:lang w:val="es-ES"/>
        </w:rPr>
        <w:t>rechazo</w:t>
      </w:r>
      <w:r w:rsidRPr="007210F9">
        <w:rPr>
          <w:rFonts w:ascii="Arial" w:eastAsia="Arial" w:hAnsi="Arial" w:cs="Arial"/>
          <w:spacing w:val="2"/>
          <w:lang w:val="es-ES"/>
        </w:rPr>
        <w:t xml:space="preserve"> </w:t>
      </w:r>
      <w:r w:rsidRPr="007210F9">
        <w:rPr>
          <w:rFonts w:ascii="Arial" w:eastAsia="Arial" w:hAnsi="Arial" w:cs="Arial"/>
          <w:lang w:val="es-ES"/>
        </w:rPr>
        <w:t>distintas</w:t>
      </w:r>
      <w:r w:rsidRPr="007210F9">
        <w:rPr>
          <w:rFonts w:ascii="Arial" w:eastAsia="Arial" w:hAnsi="Arial" w:cs="Arial"/>
          <w:spacing w:val="2"/>
          <w:lang w:val="es-ES"/>
        </w:rPr>
        <w:t xml:space="preserve"> </w:t>
      </w:r>
      <w:r w:rsidRPr="007210F9">
        <w:rPr>
          <w:rFonts w:ascii="Arial" w:eastAsia="Arial" w:hAnsi="Arial" w:cs="Arial"/>
          <w:lang w:val="es-ES"/>
        </w:rPr>
        <w:t>a</w:t>
      </w:r>
      <w:r w:rsidRPr="007210F9">
        <w:rPr>
          <w:rFonts w:ascii="Arial" w:eastAsia="Arial" w:hAnsi="Arial" w:cs="Arial"/>
          <w:spacing w:val="1"/>
          <w:lang w:val="es-ES"/>
        </w:rPr>
        <w:t xml:space="preserve"> </w:t>
      </w:r>
      <w:r w:rsidRPr="007210F9">
        <w:rPr>
          <w:rFonts w:ascii="Arial" w:eastAsia="Arial" w:hAnsi="Arial" w:cs="Arial"/>
          <w:lang w:val="es-ES"/>
        </w:rPr>
        <w:t>las</w:t>
      </w:r>
      <w:r w:rsidRPr="007210F9">
        <w:rPr>
          <w:rFonts w:ascii="Arial" w:eastAsia="Arial" w:hAnsi="Arial" w:cs="Arial"/>
          <w:spacing w:val="2"/>
          <w:lang w:val="es-ES"/>
        </w:rPr>
        <w:t xml:space="preserve"> </w:t>
      </w:r>
      <w:r w:rsidRPr="007210F9">
        <w:rPr>
          <w:rFonts w:ascii="Arial" w:eastAsia="Arial" w:hAnsi="Arial" w:cs="Arial"/>
          <w:lang w:val="es-ES"/>
        </w:rPr>
        <w:t>señaladas</w:t>
      </w:r>
      <w:r w:rsidRPr="007210F9">
        <w:rPr>
          <w:rFonts w:ascii="Arial" w:eastAsia="Arial" w:hAnsi="Arial" w:cs="Arial"/>
          <w:spacing w:val="2"/>
          <w:lang w:val="es-ES"/>
        </w:rPr>
        <w:t xml:space="preserve"> </w:t>
      </w:r>
      <w:r w:rsidRPr="007210F9">
        <w:rPr>
          <w:rFonts w:ascii="Arial" w:eastAsia="Arial" w:hAnsi="Arial" w:cs="Arial"/>
          <w:lang w:val="es-ES"/>
        </w:rPr>
        <w:t>en</w:t>
      </w:r>
      <w:r w:rsidRPr="007210F9">
        <w:rPr>
          <w:rFonts w:ascii="Arial" w:eastAsia="Arial" w:hAnsi="Arial" w:cs="Arial"/>
          <w:spacing w:val="1"/>
          <w:lang w:val="es-ES"/>
        </w:rPr>
        <w:t xml:space="preserve"> </w:t>
      </w:r>
      <w:r w:rsidRPr="007210F9">
        <w:rPr>
          <w:rFonts w:ascii="Arial" w:eastAsia="Arial" w:hAnsi="Arial" w:cs="Arial"/>
          <w:lang w:val="es-ES"/>
        </w:rPr>
        <w:t>la</w:t>
      </w:r>
      <w:r w:rsidRPr="007210F9">
        <w:rPr>
          <w:rFonts w:ascii="Arial" w:eastAsia="Arial" w:hAnsi="Arial" w:cs="Arial"/>
          <w:spacing w:val="2"/>
          <w:lang w:val="es-ES"/>
        </w:rPr>
        <w:t xml:space="preserve"> </w:t>
      </w:r>
      <w:r w:rsidRPr="007210F9">
        <w:rPr>
          <w:rFonts w:ascii="Arial" w:eastAsia="Arial" w:hAnsi="Arial" w:cs="Arial"/>
          <w:lang w:val="es-ES"/>
        </w:rPr>
        <w:t>presente</w:t>
      </w:r>
      <w:r w:rsidR="00592E42">
        <w:rPr>
          <w:rFonts w:ascii="Arial" w:eastAsia="Arial" w:hAnsi="Arial" w:cs="Arial"/>
          <w:lang w:val="es-ES"/>
        </w:rPr>
        <w:t xml:space="preserve"> </w:t>
      </w:r>
      <w:r w:rsidR="00180074">
        <w:rPr>
          <w:rFonts w:ascii="Arial" w:eastAsia="Arial" w:hAnsi="Arial" w:cs="Arial"/>
          <w:lang w:val="es-ES"/>
        </w:rPr>
        <w:t>proceso de sel</w:t>
      </w:r>
      <w:r w:rsidRPr="007210F9">
        <w:rPr>
          <w:rFonts w:ascii="Arial" w:eastAsia="Arial" w:hAnsi="Arial" w:cs="Arial"/>
          <w:spacing w:val="-1"/>
          <w:lang w:val="es-ES"/>
        </w:rPr>
        <w:t>ección»;</w:t>
      </w:r>
      <w:r w:rsidRPr="007210F9">
        <w:rPr>
          <w:rFonts w:ascii="Arial" w:eastAsia="Arial" w:hAnsi="Arial" w:cs="Arial"/>
          <w:spacing w:val="-15"/>
          <w:lang w:val="es-ES"/>
        </w:rPr>
        <w:t xml:space="preserve"> </w:t>
      </w:r>
      <w:proofErr w:type="spellStart"/>
      <w:r w:rsidRPr="007210F9">
        <w:rPr>
          <w:rFonts w:ascii="Arial" w:eastAsia="Arial" w:hAnsi="Arial" w:cs="Arial"/>
          <w:spacing w:val="-1"/>
          <w:lang w:val="es-ES"/>
        </w:rPr>
        <w:t>ii</w:t>
      </w:r>
      <w:proofErr w:type="spellEnd"/>
      <w:r w:rsidRPr="007210F9">
        <w:rPr>
          <w:rFonts w:ascii="Arial" w:eastAsia="Arial" w:hAnsi="Arial" w:cs="Arial"/>
          <w:spacing w:val="-1"/>
          <w:lang w:val="es-ES"/>
        </w:rPr>
        <w:t>)</w:t>
      </w:r>
      <w:r w:rsidRPr="007210F9">
        <w:rPr>
          <w:rFonts w:ascii="Arial" w:eastAsia="Arial" w:hAnsi="Arial" w:cs="Arial"/>
          <w:spacing w:val="-14"/>
          <w:lang w:val="es-ES"/>
        </w:rPr>
        <w:t xml:space="preserve"> </w:t>
      </w:r>
      <w:r w:rsidRPr="007210F9">
        <w:rPr>
          <w:rFonts w:ascii="Arial" w:eastAsia="Arial" w:hAnsi="Arial" w:cs="Arial"/>
          <w:spacing w:val="-1"/>
          <w:lang w:val="es-ES"/>
        </w:rPr>
        <w:t>las</w:t>
      </w:r>
      <w:r w:rsidRPr="007210F9">
        <w:rPr>
          <w:rFonts w:ascii="Arial" w:eastAsia="Arial" w:hAnsi="Arial" w:cs="Arial"/>
          <w:spacing w:val="-14"/>
          <w:lang w:val="es-ES"/>
        </w:rPr>
        <w:t xml:space="preserve"> </w:t>
      </w:r>
      <w:r w:rsidRPr="007210F9">
        <w:rPr>
          <w:rFonts w:ascii="Arial" w:eastAsia="Arial" w:hAnsi="Arial" w:cs="Arial"/>
          <w:spacing w:val="-1"/>
          <w:lang w:val="es-ES"/>
        </w:rPr>
        <w:t>entidades</w:t>
      </w:r>
      <w:r w:rsidRPr="007210F9">
        <w:rPr>
          <w:rFonts w:ascii="Arial" w:eastAsia="Arial" w:hAnsi="Arial" w:cs="Arial"/>
          <w:spacing w:val="-14"/>
          <w:lang w:val="es-ES"/>
        </w:rPr>
        <w:t xml:space="preserve"> </w:t>
      </w:r>
      <w:r w:rsidRPr="007210F9">
        <w:rPr>
          <w:rFonts w:ascii="Arial" w:eastAsia="Arial" w:hAnsi="Arial" w:cs="Arial"/>
          <w:spacing w:val="-1"/>
          <w:lang w:val="es-ES"/>
        </w:rPr>
        <w:t>solo</w:t>
      </w:r>
      <w:r w:rsidRPr="007210F9">
        <w:rPr>
          <w:rFonts w:ascii="Arial" w:eastAsia="Arial" w:hAnsi="Arial" w:cs="Arial"/>
          <w:spacing w:val="-14"/>
          <w:lang w:val="es-ES"/>
        </w:rPr>
        <w:t xml:space="preserve"> </w:t>
      </w:r>
      <w:r w:rsidRPr="007210F9">
        <w:rPr>
          <w:rFonts w:ascii="Arial" w:eastAsia="Arial" w:hAnsi="Arial" w:cs="Arial"/>
          <w:spacing w:val="-1"/>
          <w:lang w:val="es-ES"/>
        </w:rPr>
        <w:t>pueden</w:t>
      </w:r>
      <w:r w:rsidRPr="007210F9">
        <w:rPr>
          <w:rFonts w:ascii="Arial" w:eastAsia="Arial" w:hAnsi="Arial" w:cs="Arial"/>
          <w:spacing w:val="-14"/>
          <w:lang w:val="es-ES"/>
        </w:rPr>
        <w:t xml:space="preserve"> </w:t>
      </w:r>
      <w:r w:rsidRPr="007210F9">
        <w:rPr>
          <w:rFonts w:ascii="Arial" w:eastAsia="Arial" w:hAnsi="Arial" w:cs="Arial"/>
          <w:lang w:val="es-ES"/>
        </w:rPr>
        <w:t>modificar</w:t>
      </w:r>
      <w:r w:rsidRPr="007210F9">
        <w:rPr>
          <w:rFonts w:ascii="Arial" w:eastAsia="Arial" w:hAnsi="Arial" w:cs="Arial"/>
          <w:spacing w:val="-15"/>
          <w:lang w:val="es-ES"/>
        </w:rPr>
        <w:t xml:space="preserve"> </w:t>
      </w:r>
      <w:r w:rsidRPr="007210F9">
        <w:rPr>
          <w:rFonts w:ascii="Arial" w:eastAsia="Arial" w:hAnsi="Arial" w:cs="Arial"/>
          <w:lang w:val="es-ES"/>
        </w:rPr>
        <w:t>los</w:t>
      </w:r>
      <w:r w:rsidRPr="007210F9">
        <w:rPr>
          <w:rFonts w:ascii="Arial" w:eastAsia="Arial" w:hAnsi="Arial" w:cs="Arial"/>
          <w:spacing w:val="-14"/>
          <w:lang w:val="es-ES"/>
        </w:rPr>
        <w:t xml:space="preserve"> </w:t>
      </w:r>
      <w:r w:rsidRPr="007210F9">
        <w:rPr>
          <w:rFonts w:ascii="Arial" w:eastAsia="Arial" w:hAnsi="Arial" w:cs="Arial"/>
          <w:lang w:val="es-ES"/>
        </w:rPr>
        <w:t>aspectos</w:t>
      </w:r>
      <w:r w:rsidRPr="007210F9">
        <w:rPr>
          <w:rFonts w:ascii="Arial" w:eastAsia="Arial" w:hAnsi="Arial" w:cs="Arial"/>
          <w:spacing w:val="-14"/>
          <w:lang w:val="es-ES"/>
        </w:rPr>
        <w:t xml:space="preserve"> </w:t>
      </w:r>
      <w:r w:rsidRPr="007210F9">
        <w:rPr>
          <w:rFonts w:ascii="Arial" w:eastAsia="Arial" w:hAnsi="Arial" w:cs="Arial"/>
          <w:lang w:val="es-ES"/>
        </w:rPr>
        <w:t>puntuales</w:t>
      </w:r>
      <w:r w:rsidRPr="007210F9">
        <w:rPr>
          <w:rFonts w:ascii="Arial" w:eastAsia="Arial" w:hAnsi="Arial" w:cs="Arial"/>
          <w:spacing w:val="-14"/>
          <w:lang w:val="es-ES"/>
        </w:rPr>
        <w:t xml:space="preserve"> </w:t>
      </w:r>
      <w:r w:rsidRPr="007210F9">
        <w:rPr>
          <w:rFonts w:ascii="Arial" w:eastAsia="Arial" w:hAnsi="Arial" w:cs="Arial"/>
          <w:lang w:val="es-ES"/>
        </w:rPr>
        <w:t>de</w:t>
      </w:r>
      <w:r w:rsidRPr="007210F9">
        <w:rPr>
          <w:rFonts w:ascii="Arial" w:eastAsia="Arial" w:hAnsi="Arial" w:cs="Arial"/>
          <w:spacing w:val="-14"/>
          <w:lang w:val="es-ES"/>
        </w:rPr>
        <w:t xml:space="preserve"> </w:t>
      </w:r>
      <w:r w:rsidRPr="007210F9">
        <w:rPr>
          <w:rFonts w:ascii="Arial" w:eastAsia="Arial" w:hAnsi="Arial" w:cs="Arial"/>
          <w:lang w:val="es-ES"/>
        </w:rPr>
        <w:t>las</w:t>
      </w:r>
      <w:r w:rsidRPr="007210F9">
        <w:rPr>
          <w:rFonts w:ascii="Arial" w:eastAsia="Arial" w:hAnsi="Arial" w:cs="Arial"/>
          <w:spacing w:val="-14"/>
          <w:lang w:val="es-ES"/>
        </w:rPr>
        <w:t xml:space="preserve"> </w:t>
      </w:r>
      <w:r w:rsidRPr="007210F9">
        <w:rPr>
          <w:rFonts w:ascii="Arial" w:eastAsia="Arial" w:hAnsi="Arial" w:cs="Arial"/>
          <w:lang w:val="es-ES"/>
        </w:rPr>
        <w:t>causales,</w:t>
      </w:r>
      <w:r w:rsidRPr="007210F9">
        <w:rPr>
          <w:rFonts w:ascii="Arial" w:eastAsia="Arial" w:hAnsi="Arial" w:cs="Arial"/>
          <w:spacing w:val="-59"/>
          <w:lang w:val="es-ES"/>
        </w:rPr>
        <w:t xml:space="preserve"> </w:t>
      </w:r>
      <w:r w:rsidRPr="007210F9">
        <w:rPr>
          <w:rFonts w:ascii="Arial" w:eastAsia="Arial" w:hAnsi="Arial" w:cs="Arial"/>
          <w:lang w:val="es-ES"/>
        </w:rPr>
        <w:t>respecto</w:t>
      </w:r>
      <w:r w:rsidRPr="007210F9">
        <w:rPr>
          <w:rFonts w:ascii="Arial" w:eastAsia="Arial" w:hAnsi="Arial" w:cs="Arial"/>
          <w:spacing w:val="-13"/>
          <w:lang w:val="es-ES"/>
        </w:rPr>
        <w:t xml:space="preserve"> </w:t>
      </w:r>
      <w:r w:rsidRPr="007210F9">
        <w:rPr>
          <w:rFonts w:ascii="Arial" w:eastAsia="Arial" w:hAnsi="Arial" w:cs="Arial"/>
          <w:lang w:val="es-ES"/>
        </w:rPr>
        <w:t>los</w:t>
      </w:r>
      <w:r w:rsidRPr="007210F9">
        <w:rPr>
          <w:rFonts w:ascii="Arial" w:eastAsia="Arial" w:hAnsi="Arial" w:cs="Arial"/>
          <w:spacing w:val="-12"/>
          <w:lang w:val="es-ES"/>
        </w:rPr>
        <w:t xml:space="preserve"> </w:t>
      </w:r>
      <w:r w:rsidRPr="007210F9">
        <w:rPr>
          <w:rFonts w:ascii="Arial" w:eastAsia="Arial" w:hAnsi="Arial" w:cs="Arial"/>
          <w:lang w:val="es-ES"/>
        </w:rPr>
        <w:t>apartes</w:t>
      </w:r>
      <w:r w:rsidRPr="007210F9">
        <w:rPr>
          <w:rFonts w:ascii="Arial" w:eastAsia="Arial" w:hAnsi="Arial" w:cs="Arial"/>
          <w:spacing w:val="-12"/>
          <w:lang w:val="es-ES"/>
        </w:rPr>
        <w:t xml:space="preserve"> </w:t>
      </w:r>
      <w:r w:rsidRPr="007210F9">
        <w:rPr>
          <w:rFonts w:ascii="Arial" w:eastAsia="Arial" w:hAnsi="Arial" w:cs="Arial"/>
          <w:lang w:val="es-ES"/>
        </w:rPr>
        <w:t>entre</w:t>
      </w:r>
      <w:r w:rsidRPr="007210F9">
        <w:rPr>
          <w:rFonts w:ascii="Arial" w:eastAsia="Arial" w:hAnsi="Arial" w:cs="Arial"/>
          <w:spacing w:val="-12"/>
          <w:lang w:val="es-ES"/>
        </w:rPr>
        <w:t xml:space="preserve"> </w:t>
      </w:r>
      <w:r w:rsidRPr="007210F9">
        <w:rPr>
          <w:rFonts w:ascii="Arial" w:eastAsia="Arial" w:hAnsi="Arial" w:cs="Arial"/>
          <w:lang w:val="es-ES"/>
        </w:rPr>
        <w:t>corchetes</w:t>
      </w:r>
      <w:r w:rsidRPr="007210F9">
        <w:rPr>
          <w:rFonts w:ascii="Arial" w:eastAsia="Arial" w:hAnsi="Arial" w:cs="Arial"/>
          <w:spacing w:val="-12"/>
          <w:lang w:val="es-ES"/>
        </w:rPr>
        <w:t xml:space="preserve"> </w:t>
      </w:r>
      <w:r w:rsidRPr="007210F9">
        <w:rPr>
          <w:rFonts w:ascii="Arial" w:eastAsia="Arial" w:hAnsi="Arial" w:cs="Arial"/>
          <w:lang w:val="es-ES"/>
        </w:rPr>
        <w:t>y</w:t>
      </w:r>
      <w:r w:rsidRPr="007210F9">
        <w:rPr>
          <w:rFonts w:ascii="Arial" w:eastAsia="Arial" w:hAnsi="Arial" w:cs="Arial"/>
          <w:spacing w:val="-13"/>
          <w:lang w:val="es-ES"/>
        </w:rPr>
        <w:t xml:space="preserve"> </w:t>
      </w:r>
      <w:r w:rsidRPr="007210F9">
        <w:rPr>
          <w:rFonts w:ascii="Arial" w:eastAsia="Arial" w:hAnsi="Arial" w:cs="Arial"/>
          <w:lang w:val="es-ES"/>
        </w:rPr>
        <w:t>resaltados</w:t>
      </w:r>
      <w:r w:rsidRPr="007210F9">
        <w:rPr>
          <w:rFonts w:ascii="Arial" w:eastAsia="Arial" w:hAnsi="Arial" w:cs="Arial"/>
          <w:spacing w:val="-12"/>
          <w:lang w:val="es-ES"/>
        </w:rPr>
        <w:t xml:space="preserve"> </w:t>
      </w:r>
      <w:r w:rsidRPr="007210F9">
        <w:rPr>
          <w:rFonts w:ascii="Arial" w:eastAsia="Arial" w:hAnsi="Arial" w:cs="Arial"/>
          <w:lang w:val="es-ES"/>
        </w:rPr>
        <w:t>en</w:t>
      </w:r>
      <w:r w:rsidRPr="007210F9">
        <w:rPr>
          <w:rFonts w:ascii="Arial" w:eastAsia="Arial" w:hAnsi="Arial" w:cs="Arial"/>
          <w:spacing w:val="-12"/>
          <w:lang w:val="es-ES"/>
        </w:rPr>
        <w:t xml:space="preserve"> </w:t>
      </w:r>
      <w:r w:rsidRPr="007210F9">
        <w:rPr>
          <w:rFonts w:ascii="Arial" w:eastAsia="Arial" w:hAnsi="Arial" w:cs="Arial"/>
          <w:lang w:val="es-ES"/>
        </w:rPr>
        <w:t>gris,</w:t>
      </w:r>
      <w:r w:rsidRPr="007210F9">
        <w:rPr>
          <w:rFonts w:ascii="Arial" w:eastAsia="Arial" w:hAnsi="Arial" w:cs="Arial"/>
          <w:spacing w:val="-12"/>
          <w:lang w:val="es-ES"/>
        </w:rPr>
        <w:t xml:space="preserve"> </w:t>
      </w:r>
      <w:r w:rsidRPr="007210F9">
        <w:rPr>
          <w:rFonts w:ascii="Arial" w:eastAsia="Arial" w:hAnsi="Arial" w:cs="Arial"/>
          <w:lang w:val="es-ES"/>
        </w:rPr>
        <w:t>atendiendo</w:t>
      </w:r>
      <w:r w:rsidRPr="007210F9">
        <w:rPr>
          <w:rFonts w:ascii="Arial" w:eastAsia="Arial" w:hAnsi="Arial" w:cs="Arial"/>
          <w:spacing w:val="-12"/>
          <w:lang w:val="es-ES"/>
        </w:rPr>
        <w:t xml:space="preserve"> </w:t>
      </w:r>
      <w:r w:rsidRPr="007210F9">
        <w:rPr>
          <w:rFonts w:ascii="Arial" w:eastAsia="Arial" w:hAnsi="Arial" w:cs="Arial"/>
          <w:lang w:val="es-ES"/>
        </w:rPr>
        <w:t>a</w:t>
      </w:r>
      <w:r w:rsidRPr="007210F9">
        <w:rPr>
          <w:rFonts w:ascii="Arial" w:eastAsia="Arial" w:hAnsi="Arial" w:cs="Arial"/>
          <w:spacing w:val="-13"/>
          <w:lang w:val="es-ES"/>
        </w:rPr>
        <w:t xml:space="preserve"> </w:t>
      </w:r>
      <w:r w:rsidRPr="007210F9">
        <w:rPr>
          <w:rFonts w:ascii="Arial" w:eastAsia="Arial" w:hAnsi="Arial" w:cs="Arial"/>
          <w:lang w:val="es-ES"/>
        </w:rPr>
        <w:t>las</w:t>
      </w:r>
      <w:r w:rsidRPr="007210F9">
        <w:rPr>
          <w:rFonts w:ascii="Arial" w:eastAsia="Arial" w:hAnsi="Arial" w:cs="Arial"/>
          <w:spacing w:val="-12"/>
          <w:lang w:val="es-ES"/>
        </w:rPr>
        <w:t xml:space="preserve"> </w:t>
      </w:r>
      <w:r w:rsidRPr="007210F9">
        <w:rPr>
          <w:rFonts w:ascii="Arial" w:eastAsia="Arial" w:hAnsi="Arial" w:cs="Arial"/>
          <w:lang w:val="es-ES"/>
        </w:rPr>
        <w:t>instrucciones</w:t>
      </w:r>
      <w:r w:rsidRPr="006F64D5">
        <w:rPr>
          <w:rFonts w:ascii="Arial" w:eastAsia="Arial" w:hAnsi="Arial" w:cs="Arial"/>
          <w:lang w:val="es-ES"/>
        </w:rPr>
        <w:t xml:space="preserve"> </w:t>
      </w:r>
      <w:r w:rsidRPr="007210F9">
        <w:rPr>
          <w:rFonts w:ascii="Arial" w:eastAsia="Arial" w:hAnsi="Arial" w:cs="Arial"/>
          <w:lang w:val="es-ES"/>
        </w:rPr>
        <w:t xml:space="preserve">establecidas en esos lugares; </w:t>
      </w:r>
      <w:proofErr w:type="spellStart"/>
      <w:r w:rsidRPr="007210F9">
        <w:rPr>
          <w:rFonts w:ascii="Arial" w:eastAsia="Arial" w:hAnsi="Arial" w:cs="Arial"/>
          <w:lang w:val="es-ES"/>
        </w:rPr>
        <w:t>iii</w:t>
      </w:r>
      <w:proofErr w:type="spellEnd"/>
      <w:r w:rsidRPr="007210F9">
        <w:rPr>
          <w:rFonts w:ascii="Arial" w:eastAsia="Arial" w:hAnsi="Arial" w:cs="Arial"/>
          <w:lang w:val="es-ES"/>
        </w:rPr>
        <w:t>) teniendo en cuenta el contenido prohibitivo de las</w:t>
      </w:r>
      <w:r w:rsidRPr="007210F9">
        <w:rPr>
          <w:rFonts w:ascii="Arial" w:eastAsia="Arial" w:hAnsi="Arial" w:cs="Arial"/>
          <w:spacing w:val="1"/>
          <w:lang w:val="es-ES"/>
        </w:rPr>
        <w:t xml:space="preserve"> </w:t>
      </w:r>
      <w:r w:rsidRPr="007210F9">
        <w:rPr>
          <w:rFonts w:ascii="Arial" w:eastAsia="Arial" w:hAnsi="Arial" w:cs="Arial"/>
          <w:lang w:val="es-ES"/>
        </w:rPr>
        <w:t>causales de rechazo, estas deben interpretarse de forma estricta, es decir, evitando</w:t>
      </w:r>
      <w:r w:rsidRPr="007210F9">
        <w:rPr>
          <w:rFonts w:ascii="Arial" w:eastAsia="Arial" w:hAnsi="Arial" w:cs="Arial"/>
          <w:spacing w:val="1"/>
          <w:lang w:val="es-ES"/>
        </w:rPr>
        <w:t xml:space="preserve"> </w:t>
      </w:r>
      <w:r w:rsidRPr="007210F9">
        <w:rPr>
          <w:rFonts w:ascii="Arial" w:eastAsia="Arial" w:hAnsi="Arial" w:cs="Arial"/>
          <w:lang w:val="es-ES"/>
        </w:rPr>
        <w:t>interpretaciones</w:t>
      </w:r>
      <w:r w:rsidRPr="007210F9">
        <w:rPr>
          <w:rFonts w:ascii="Arial" w:eastAsia="Arial" w:hAnsi="Arial" w:cs="Arial"/>
          <w:spacing w:val="-2"/>
          <w:lang w:val="es-ES"/>
        </w:rPr>
        <w:t xml:space="preserve"> </w:t>
      </w:r>
      <w:r w:rsidRPr="007210F9">
        <w:rPr>
          <w:rFonts w:ascii="Arial" w:eastAsia="Arial" w:hAnsi="Arial" w:cs="Arial"/>
          <w:lang w:val="es-ES"/>
        </w:rPr>
        <w:t>extensivas.</w:t>
      </w:r>
    </w:p>
    <w:p w14:paraId="453F21CC" w14:textId="58E2B050" w:rsidR="00F44467" w:rsidRDefault="00F44467" w:rsidP="00A16AFA">
      <w:pPr>
        <w:tabs>
          <w:tab w:val="left" w:pos="709"/>
          <w:tab w:val="left" w:pos="851"/>
        </w:tabs>
        <w:spacing w:after="0" w:line="276" w:lineRule="auto"/>
        <w:ind w:firstLine="709"/>
        <w:jc w:val="both"/>
        <w:rPr>
          <w:rFonts w:ascii="Arial" w:eastAsia="Calibri" w:hAnsi="Arial" w:cs="Arial"/>
          <w:color w:val="000000"/>
        </w:rPr>
      </w:pPr>
      <w:r w:rsidRPr="00BA6C38">
        <w:rPr>
          <w:rFonts w:ascii="Arial" w:eastAsia="Calibri" w:hAnsi="Arial" w:cs="Arial"/>
          <w:szCs w:val="20"/>
        </w:rPr>
        <w:t>De acuerdo con lo anterior, al consultar el</w:t>
      </w:r>
      <w:r w:rsidRPr="00BA6C38">
        <w:rPr>
          <w:rFonts w:ascii="Arial" w:eastAsia="Calibri" w:hAnsi="Arial" w:cs="Arial"/>
          <w:color w:val="000000"/>
        </w:rPr>
        <w:t xml:space="preserve"> numeral 1.15</w:t>
      </w:r>
      <w:r w:rsidRPr="00BA6C38">
        <w:rPr>
          <w:rFonts w:ascii="Calibri" w:eastAsia="Calibri" w:hAnsi="Calibri" w:cs="Times New Roman"/>
        </w:rPr>
        <w:t xml:space="preserve"> </w:t>
      </w:r>
      <w:r w:rsidRPr="00BA6C38">
        <w:rPr>
          <w:rFonts w:ascii="Arial" w:eastAsia="Calibri" w:hAnsi="Arial" w:cs="Arial"/>
          <w:color w:val="000000"/>
        </w:rPr>
        <w:t>del pliego tipo «Documento Base» de «licitación de obra pública de infraestructura de transporte – Versión 3», que consagra el listado de las causales de rechazo aplicables a estos procedimientos de selección, se observa:</w:t>
      </w:r>
    </w:p>
    <w:p w14:paraId="0B92D0A5" w14:textId="77777777" w:rsidR="004D3D6F" w:rsidRDefault="004D3D6F" w:rsidP="00A16AFA">
      <w:pPr>
        <w:tabs>
          <w:tab w:val="left" w:pos="709"/>
          <w:tab w:val="left" w:pos="851"/>
        </w:tabs>
        <w:spacing w:after="0" w:line="276" w:lineRule="auto"/>
        <w:ind w:firstLine="709"/>
        <w:jc w:val="both"/>
        <w:rPr>
          <w:rFonts w:ascii="Arial" w:eastAsia="Calibri" w:hAnsi="Arial" w:cs="Arial"/>
          <w:color w:val="000000"/>
        </w:rPr>
      </w:pPr>
    </w:p>
    <w:p w14:paraId="2B46A463" w14:textId="77777777" w:rsidR="00A33AAC" w:rsidRPr="00A33AAC" w:rsidRDefault="00A33AAC" w:rsidP="004D3D6F">
      <w:pPr>
        <w:ind w:left="709" w:right="709"/>
        <w:jc w:val="both"/>
        <w:rPr>
          <w:rFonts w:ascii="Arial" w:hAnsi="Arial"/>
          <w:color w:val="000000" w:themeColor="text1"/>
          <w:sz w:val="20"/>
          <w:lang w:val="es-MX"/>
        </w:rPr>
      </w:pPr>
      <w:r w:rsidRPr="00A33AAC">
        <w:rPr>
          <w:rFonts w:ascii="Arial" w:hAnsi="Arial"/>
          <w:color w:val="000000" w:themeColor="text1"/>
          <w:sz w:val="20"/>
          <w:lang w:val="es-MX"/>
        </w:rPr>
        <w:t xml:space="preserve">Son causales de rechazo de las propuestas las siguientes </w:t>
      </w:r>
      <w:r w:rsidRPr="00A33AAC">
        <w:rPr>
          <w:rFonts w:ascii="Arial" w:hAnsi="Arial"/>
          <w:color w:val="000000" w:themeColor="text1"/>
          <w:sz w:val="20"/>
          <w:highlight w:val="lightGray"/>
          <w:lang w:val="es-MX"/>
        </w:rPr>
        <w:t>[Las entidades no podrán incluir causales de rechazo distintas a las señaladas en la presente sección]</w:t>
      </w:r>
      <w:r w:rsidRPr="00A33AAC">
        <w:rPr>
          <w:rFonts w:ascii="Arial" w:hAnsi="Arial"/>
          <w:color w:val="000000" w:themeColor="text1"/>
          <w:sz w:val="20"/>
          <w:lang w:val="es-MX"/>
        </w:rPr>
        <w:t>:</w:t>
      </w:r>
    </w:p>
    <w:p w14:paraId="501D3245"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Que el proponente o alguno de los integrantes del proponente plural esté incurso en causal de inhabilidad, incompatibilidad o prohibición previstas en la legislación para contratar.</w:t>
      </w:r>
    </w:p>
    <w:p w14:paraId="0B1E65C6" w14:textId="77777777" w:rsidR="00A33AAC" w:rsidRPr="00A33AAC" w:rsidRDefault="00A33AAC" w:rsidP="004D3D6F">
      <w:pPr>
        <w:ind w:left="709" w:right="709"/>
        <w:contextualSpacing/>
        <w:jc w:val="both"/>
        <w:rPr>
          <w:rFonts w:ascii="Arial" w:hAnsi="Arial"/>
          <w:color w:val="000000" w:themeColor="text1"/>
          <w:sz w:val="20"/>
          <w:lang w:val="es-MX"/>
        </w:rPr>
      </w:pPr>
      <w:r w:rsidRPr="00A33AAC">
        <w:rPr>
          <w:rFonts w:ascii="Arial" w:hAnsi="Arial"/>
          <w:color w:val="000000" w:themeColor="text1"/>
          <w:sz w:val="20"/>
          <w:highlight w:val="lightGray"/>
          <w:lang w:val="es-MX"/>
        </w:rPr>
        <w:t>[Cuando en el mismo proceso de contratación se presentan oferentes en la situación descrita por los literales g) y h) del numeral 1 del artículo 8 de la Ley 80 de 1993, la entidad solo admitirá la oferta presentada primero en el tiempo]</w:t>
      </w:r>
    </w:p>
    <w:p w14:paraId="28331534"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Cuando una misma persona natural o jurídica, o integrante de un proponente plural presente o haga parte en más de una propuesta para el presente proceso de contratación.</w:t>
      </w:r>
    </w:p>
    <w:p w14:paraId="4AC12F2D" w14:textId="77777777" w:rsidR="00A33AAC" w:rsidRPr="00A33AAC" w:rsidRDefault="00A33AAC" w:rsidP="004D3D6F">
      <w:pPr>
        <w:ind w:left="709" w:right="709"/>
        <w:contextualSpacing/>
        <w:jc w:val="both"/>
        <w:rPr>
          <w:rFonts w:ascii="Arial" w:hAnsi="Arial"/>
          <w:color w:val="000000" w:themeColor="text1"/>
          <w:sz w:val="20"/>
          <w:lang w:val="es-MX"/>
        </w:rPr>
      </w:pPr>
      <w:r w:rsidRPr="00A33AAC">
        <w:rPr>
          <w:rFonts w:ascii="Arial" w:hAnsi="Arial"/>
          <w:color w:val="000000" w:themeColor="text1"/>
          <w:sz w:val="20"/>
          <w:highlight w:val="lightGray"/>
          <w:lang w:val="es-MX"/>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A33AAC">
        <w:rPr>
          <w:rFonts w:ascii="Arial" w:hAnsi="Arial"/>
          <w:color w:val="000000" w:themeColor="text1"/>
          <w:sz w:val="20"/>
          <w:lang w:val="es-MX"/>
        </w:rPr>
        <w:t xml:space="preserve"> </w:t>
      </w:r>
    </w:p>
    <w:p w14:paraId="703BAF88"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lastRenderedPageBreak/>
        <w:t xml:space="preserve">Que el proponente o alguno de los integrantes del proponente plural esté reportado en el Boletín de </w:t>
      </w:r>
      <w:proofErr w:type="gramStart"/>
      <w:r w:rsidRPr="00A33AAC">
        <w:rPr>
          <w:rFonts w:ascii="Arial" w:hAnsi="Arial"/>
          <w:color w:val="000000" w:themeColor="text1"/>
          <w:sz w:val="20"/>
          <w:lang w:val="es-MX"/>
        </w:rPr>
        <w:t>Responsables</w:t>
      </w:r>
      <w:proofErr w:type="gramEnd"/>
      <w:r w:rsidRPr="00A33AAC">
        <w:rPr>
          <w:rFonts w:ascii="Arial" w:hAnsi="Arial"/>
          <w:color w:val="000000" w:themeColor="text1"/>
          <w:sz w:val="20"/>
          <w:lang w:val="es-MX"/>
        </w:rPr>
        <w:t xml:space="preserve"> Fiscales emitido por la Contraloría General de la República.</w:t>
      </w:r>
    </w:p>
    <w:p w14:paraId="3CC9DA9C"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Que la persona jurídica proponente individual o integrante del proponente plural esté incursa en la situación descrita en el numeral 1 del artículo 38 de la Ley 1116 de 2006.</w:t>
      </w:r>
    </w:p>
    <w:p w14:paraId="26D46339"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Que el proponente no aclare, subsane o aporte documentos necesarios para cumplir un requisito habilitante o aportándolos no lo haga de forma correcta, en los términos establecidos en la sección 1.6.</w:t>
      </w:r>
    </w:p>
    <w:p w14:paraId="3CEF3F4C"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Que la inscripción en el Registro Único de Proponentes (RUP) que realice el proponente, por primera vez o cuando han cesado los efectos y debe volver a inscribirse, no esté en firme en la fecha prevista para el cierre del proceso de contratación.</w:t>
      </w:r>
    </w:p>
    <w:p w14:paraId="415C2C4A"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081BD905"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Que el proponente aporte información inexacta sobre la cual pueda existir una posible falsedad en los términos de la sección 1.11.</w:t>
      </w:r>
    </w:p>
    <w:p w14:paraId="2F6148E5"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Que el proponente se encuentre inmerso en un conflicto de interés previsto en una norma de rango constitucional o legal o en la causal prevista en el numeral 1.14 del pliego de condiciones.</w:t>
      </w:r>
    </w:p>
    <w:p w14:paraId="423635E2"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highlight w:val="lightGray"/>
          <w:lang w:val="es-MX"/>
        </w:rPr>
        <w:t>[Incluir esta causal cuando las ofertas se presente en el SECOP I]</w:t>
      </w:r>
      <w:r w:rsidRPr="00A33AAC">
        <w:rPr>
          <w:rFonts w:ascii="Arial" w:hAnsi="Arial"/>
          <w:color w:val="000000" w:themeColor="text1"/>
          <w:sz w:val="20"/>
          <w:lang w:val="es-MX"/>
        </w:rPr>
        <w:t xml:space="preserve"> Que la propuesta económica no se aporte firmada.</w:t>
      </w:r>
    </w:p>
    <w:p w14:paraId="34BDFDE3"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No entregar la Garantía de seriedad de la oferta junto con la propuesta.</w:t>
      </w:r>
    </w:p>
    <w:p w14:paraId="77C1BEAF"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Que el objeto social del proponente o el de sus integrantes no le permita ejecutar el objeto del contrato.</w:t>
      </w:r>
    </w:p>
    <w:p w14:paraId="5EBD3BE1"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Que el valor total de la oferta o aquel revisado en la audiencia efectiva de adjudicación exceda el presupuesto oficial estimado para el proceso de contratación.</w:t>
      </w:r>
    </w:p>
    <w:p w14:paraId="1CAF0DC4"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Presentar la oferta con tachaduras o enmendaduras que no estén convalidadas en la forma indicada en la sección 2.3 del pliego de condiciones.</w:t>
      </w:r>
    </w:p>
    <w:p w14:paraId="02AFE8AE"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317E11D6"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highlight w:val="lightGray"/>
          <w:lang w:val="es-MX"/>
        </w:rPr>
        <w:t>[Incluir solo cuando la forma de pago sea por precios unitarios]</w:t>
      </w:r>
      <w:r w:rsidRPr="00A33AAC">
        <w:rPr>
          <w:rFonts w:ascii="Arial" w:hAnsi="Arial"/>
          <w:color w:val="000000" w:themeColor="text1"/>
          <w:sz w:val="20"/>
          <w:lang w:val="es-MX"/>
        </w:rPr>
        <w:t xml:space="preserve"> No ofrecer el valor de un precio unitario u ofrecerlo en cero (0) pesos. </w:t>
      </w:r>
    </w:p>
    <w:p w14:paraId="4C7F022E"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highlight w:val="lightGray"/>
          <w:lang w:val="es-MX"/>
        </w:rPr>
        <w:t>[Incluir solo cuando la forma de pago sea por precios unitarios</w:t>
      </w:r>
      <w:r w:rsidRPr="00A33AAC">
        <w:rPr>
          <w:rFonts w:ascii="Arial" w:hAnsi="Arial"/>
          <w:color w:val="000000" w:themeColor="text1"/>
          <w:sz w:val="20"/>
          <w:lang w:val="es-MX"/>
        </w:rPr>
        <w:t>] Superar el valor unitario de alguno o algunos de los siguientes ítems ofrecidos con respecto al valor establecido para cada ítem del presupuesto oficial: [</w:t>
      </w:r>
      <w:r w:rsidRPr="00A33AAC">
        <w:rPr>
          <w:rFonts w:ascii="Arial" w:hAnsi="Arial"/>
          <w:color w:val="000000" w:themeColor="text1"/>
          <w:sz w:val="20"/>
          <w:highlight w:val="lightGray"/>
          <w:lang w:val="es-MX"/>
        </w:rPr>
        <w:t>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w:t>
      </w:r>
      <w:r w:rsidRPr="00A33AAC">
        <w:rPr>
          <w:rFonts w:ascii="Arial" w:hAnsi="Arial"/>
          <w:color w:val="000000" w:themeColor="text1"/>
          <w:sz w:val="20"/>
          <w:lang w:val="es-MX"/>
        </w:rPr>
        <w:t xml:space="preserve">]. </w:t>
      </w:r>
    </w:p>
    <w:p w14:paraId="3F837B79" w14:textId="77777777" w:rsidR="00A33AAC" w:rsidRPr="00A33AAC" w:rsidRDefault="00A33AAC" w:rsidP="004D3D6F">
      <w:pPr>
        <w:ind w:left="709" w:right="709"/>
        <w:contextualSpacing/>
        <w:jc w:val="both"/>
        <w:rPr>
          <w:rFonts w:ascii="Arial" w:hAnsi="Arial"/>
          <w:color w:val="000000" w:themeColor="text1"/>
          <w:sz w:val="20"/>
          <w:lang w:val="es-MX"/>
        </w:rPr>
      </w:pPr>
      <w:r w:rsidRPr="00A33AAC">
        <w:rPr>
          <w:rFonts w:ascii="Arial" w:hAnsi="Arial"/>
          <w:color w:val="000000" w:themeColor="text1"/>
          <w:sz w:val="20"/>
          <w:lang w:val="es-MX"/>
        </w:rPr>
        <w:t xml:space="preserve">Para la aplicación de esta causal la entidad debe tener en cuenta que el valor unitario establecido en el Formulario 1 – Formulario de Presupuesto Oficial incluye el valor de AIU] </w:t>
      </w:r>
    </w:p>
    <w:p w14:paraId="3224A5DA"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highlight w:val="lightGray"/>
          <w:lang w:val="es-MX"/>
        </w:rPr>
        <w:t>[Esta causal aplica de acuerdo con la configuración de la oferta económica por parte de la entidad</w:t>
      </w:r>
      <w:r w:rsidRPr="00A33AAC">
        <w:rPr>
          <w:rFonts w:ascii="Arial" w:hAnsi="Arial"/>
          <w:color w:val="000000" w:themeColor="text1"/>
          <w:sz w:val="20"/>
          <w:lang w:val="es-MX"/>
        </w:rPr>
        <w:t xml:space="preserve">] No discriminar en la oferta económica el porcentaje de AIU en la forma como lo establece el Pliego de Condiciones y el Formulario 1 – Formulario de presupuesto oficial. </w:t>
      </w:r>
      <w:r w:rsidRPr="00A33AAC">
        <w:rPr>
          <w:rFonts w:ascii="Arial" w:hAnsi="Arial"/>
          <w:color w:val="000000" w:themeColor="text1"/>
          <w:sz w:val="20"/>
          <w:highlight w:val="lightGray"/>
          <w:lang w:val="es-MX"/>
        </w:rPr>
        <w:t xml:space="preserve">[Se entiende que el proponente discrimina en la oferta </w:t>
      </w:r>
      <w:r w:rsidRPr="00A33AAC">
        <w:rPr>
          <w:rFonts w:ascii="Arial" w:hAnsi="Arial"/>
          <w:color w:val="000000" w:themeColor="text1"/>
          <w:sz w:val="20"/>
          <w:highlight w:val="lightGray"/>
          <w:lang w:val="es-MX"/>
        </w:rPr>
        <w:lastRenderedPageBreak/>
        <w:t>económica el porcentaje de AIU cuando señala el porcentaje (%) correspondiente a la Administración, los Imprevistos y la Utilidad. En ningún caso la entidad rechazará la oferta por no presentar el desglose del AIU]</w:t>
      </w:r>
    </w:p>
    <w:p w14:paraId="42FB6E51"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 xml:space="preserve">Ofrecer como AIU un porcentaje cuya sumatoria sea superior al establecido por la Entidad en el </w:t>
      </w:r>
      <w:r w:rsidRPr="00A33AAC">
        <w:rPr>
          <w:rFonts w:ascii="Arial" w:hAnsi="Arial"/>
          <w:color w:val="000000" w:themeColor="text1"/>
          <w:sz w:val="20"/>
          <w:lang w:val="es-MX"/>
        </w:rPr>
        <w:fldChar w:fldCharType="begin"/>
      </w:r>
      <w:r w:rsidRPr="00A33AAC">
        <w:rPr>
          <w:rFonts w:ascii="Arial" w:hAnsi="Arial"/>
          <w:color w:val="000000" w:themeColor="text1"/>
          <w:sz w:val="20"/>
          <w:lang w:val="es-MX"/>
        </w:rPr>
        <w:instrText xml:space="preserve"> REF _Ref57725061 \h </w:instrText>
      </w:r>
      <w:r w:rsidRPr="00A33AAC">
        <w:rPr>
          <w:rFonts w:ascii="Arial" w:hAnsi="Arial"/>
          <w:color w:val="000000" w:themeColor="text1"/>
          <w:sz w:val="20"/>
          <w:lang w:val="es-MX"/>
        </w:rPr>
      </w:r>
      <w:r w:rsidRPr="00A33AAC">
        <w:rPr>
          <w:rFonts w:ascii="Arial" w:hAnsi="Arial"/>
          <w:color w:val="000000" w:themeColor="text1"/>
          <w:sz w:val="20"/>
          <w:lang w:val="es-MX"/>
        </w:rPr>
        <w:fldChar w:fldCharType="separate"/>
      </w:r>
      <w:r w:rsidRPr="00A33AAC">
        <w:rPr>
          <w:rFonts w:ascii="Arial" w:hAnsi="Arial"/>
          <w:color w:val="000000" w:themeColor="text1"/>
          <w:sz w:val="20"/>
          <w:lang w:val="es-MX"/>
        </w:rPr>
        <w:t>Formulario 1– Formulario de Presupuesto Oficial</w:t>
      </w:r>
      <w:r w:rsidRPr="00A33AAC">
        <w:rPr>
          <w:rFonts w:ascii="Arial" w:hAnsi="Arial"/>
          <w:color w:val="000000" w:themeColor="text1"/>
          <w:sz w:val="20"/>
          <w:lang w:val="es-MX"/>
        </w:rPr>
        <w:fldChar w:fldCharType="end"/>
      </w:r>
      <w:r w:rsidRPr="00A33AAC">
        <w:rPr>
          <w:rFonts w:ascii="Arial" w:hAnsi="Arial"/>
          <w:color w:val="000000" w:themeColor="text1"/>
          <w:sz w:val="20"/>
          <w:lang w:val="es-MX"/>
        </w:rPr>
        <w:t>.</w:t>
      </w:r>
    </w:p>
    <w:p w14:paraId="42C3F643"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Cuando se presente propuesta condicionada para la adjudicación del contrato.</w:t>
      </w:r>
    </w:p>
    <w:p w14:paraId="72CB4433"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Presentar la oferta extemporáneamente.</w:t>
      </w:r>
    </w:p>
    <w:p w14:paraId="7B044CE3"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No presentar oferta económica. Entregar la información de la propuesta económica en el sobre que no corresponda.</w:t>
      </w:r>
    </w:p>
    <w:p w14:paraId="6F06A41C"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 xml:space="preserve">Presentar más de una oferta económica con valores distintos en el Sobre 2. </w:t>
      </w:r>
      <w:r w:rsidRPr="00A33AAC">
        <w:rPr>
          <w:rFonts w:ascii="Arial" w:hAnsi="Arial"/>
          <w:color w:val="000000" w:themeColor="text1"/>
          <w:sz w:val="20"/>
          <w:highlight w:val="lightGray"/>
          <w:lang w:val="es-MX"/>
        </w:rPr>
        <w:t>[Cuando el proceso se estructure por lotes o grupos reemplazar el texto anterior por el siguiente: Presentar más de una oferta económica con valores distintos para el mismo lote o grupo]</w:t>
      </w:r>
    </w:p>
    <w:p w14:paraId="6CD2CBEB"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 xml:space="preserve">Cuando se determine que el valor total de la oferta es artificialmente bajo, de acuerdo con lo establecido en la sección 4.1.3 </w:t>
      </w:r>
    </w:p>
    <w:p w14:paraId="6DE5D90D"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Cuando se presenten propuestas parciales y esta posibilidad no haya sido establecida en el pliego de condiciones.</w:t>
      </w:r>
    </w:p>
    <w:p w14:paraId="25C4AA1B"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No informar todos los contratos que el proponente tenga en ejecución antes del cierre, necesarios para acreditar su capacidad residual conforme a la sección 3.10.</w:t>
      </w:r>
    </w:p>
    <w:p w14:paraId="04BE9452"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Ofrecer un plazo superior al señalado por la entidad en el Anexo 1 – Anexo Técnico.</w:t>
      </w:r>
    </w:p>
    <w:p w14:paraId="1E4CBE58"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012F046C" w14:textId="77777777" w:rsidR="00A33AAC" w:rsidRPr="00A33AAC" w:rsidRDefault="00A33AAC" w:rsidP="004D3D6F">
      <w:pPr>
        <w:numPr>
          <w:ilvl w:val="0"/>
          <w:numId w:val="2"/>
        </w:numPr>
        <w:ind w:left="709" w:right="709" w:hanging="426"/>
        <w:contextualSpacing/>
        <w:jc w:val="both"/>
        <w:rPr>
          <w:rFonts w:ascii="Arial" w:hAnsi="Arial"/>
          <w:color w:val="000000" w:themeColor="text1"/>
          <w:sz w:val="20"/>
          <w:lang w:val="es-MX"/>
        </w:rPr>
      </w:pPr>
      <w:r w:rsidRPr="00A33AAC">
        <w:rPr>
          <w:rFonts w:ascii="Arial" w:hAnsi="Arial"/>
          <w:color w:val="000000" w:themeColor="text1"/>
          <w:sz w:val="20"/>
          <w:lang w:val="es-MX"/>
        </w:rPr>
        <w:t>Las demás previstas en la ley.</w:t>
      </w:r>
    </w:p>
    <w:p w14:paraId="3D539C54" w14:textId="3657F868" w:rsidR="00EF3A3E" w:rsidRDefault="00EF3A3E" w:rsidP="00F71D86">
      <w:pPr>
        <w:tabs>
          <w:tab w:val="left" w:pos="709"/>
          <w:tab w:val="left" w:pos="851"/>
        </w:tabs>
        <w:spacing w:after="0" w:line="276" w:lineRule="auto"/>
        <w:jc w:val="both"/>
        <w:rPr>
          <w:rFonts w:ascii="Arial" w:eastAsia="Calibri" w:hAnsi="Arial" w:cs="Arial"/>
          <w:color w:val="000000"/>
        </w:rPr>
      </w:pPr>
    </w:p>
    <w:p w14:paraId="0B92FA12" w14:textId="51132C1B" w:rsidR="00CB3676" w:rsidRDefault="004E3D5D" w:rsidP="00CB3676">
      <w:pPr>
        <w:tabs>
          <w:tab w:val="left" w:pos="709"/>
        </w:tabs>
        <w:spacing w:after="120" w:line="276" w:lineRule="auto"/>
        <w:ind w:firstLine="709"/>
        <w:jc w:val="both"/>
        <w:rPr>
          <w:rFonts w:ascii="Arial" w:eastAsia="Calibri" w:hAnsi="Arial" w:cs="Arial"/>
          <w:lang w:val="es-MX"/>
        </w:rPr>
      </w:pPr>
      <w:r>
        <w:rPr>
          <w:rFonts w:ascii="Arial" w:hAnsi="Arial" w:cs="Arial"/>
        </w:rPr>
        <w:t>Conforme con lo anterior</w:t>
      </w:r>
      <w:r w:rsidR="00B2578E" w:rsidRPr="00483330">
        <w:rPr>
          <w:rFonts w:ascii="Arial" w:hAnsi="Arial" w:cs="Arial"/>
        </w:rPr>
        <w:t xml:space="preserve">, las causales de rechazo aplicables a los procedimientos de contratación que se adelanten utilizando los Documentos Tipo únicamente son las establecidas directamente en la Ley y las contenidas en el numeral 1.15 del </w:t>
      </w:r>
      <w:r w:rsidR="00B2578E" w:rsidRPr="00483330">
        <w:rPr>
          <w:rFonts w:ascii="Arial" w:hAnsi="Arial" w:cs="Arial"/>
          <w:sz w:val="19"/>
          <w:szCs w:val="19"/>
        </w:rPr>
        <w:t>«</w:t>
      </w:r>
      <w:r w:rsidR="00B2578E" w:rsidRPr="00483330">
        <w:rPr>
          <w:rFonts w:ascii="Arial" w:hAnsi="Arial" w:cs="Arial"/>
        </w:rPr>
        <w:t>Documento Base</w:t>
      </w:r>
      <w:r w:rsidR="00B2578E" w:rsidRPr="00483330">
        <w:rPr>
          <w:rFonts w:ascii="Arial" w:hAnsi="Arial" w:cs="Arial"/>
          <w:sz w:val="19"/>
          <w:szCs w:val="19"/>
        </w:rPr>
        <w:t>»</w:t>
      </w:r>
      <w:r w:rsidR="00B2578E" w:rsidRPr="00483330">
        <w:rPr>
          <w:rFonts w:ascii="Arial" w:hAnsi="Arial" w:cs="Arial"/>
        </w:rPr>
        <w:t>.</w:t>
      </w:r>
      <w:r w:rsidR="00034654">
        <w:rPr>
          <w:rFonts w:ascii="Arial" w:eastAsia="Calibri" w:hAnsi="Arial" w:cs="Arial"/>
          <w:lang w:val="es-MX"/>
        </w:rPr>
        <w:t xml:space="preserve"> </w:t>
      </w:r>
      <w:r w:rsidR="00CB3676" w:rsidRPr="00CB3676">
        <w:rPr>
          <w:rFonts w:ascii="Arial" w:eastAsia="Calibri" w:hAnsi="Arial" w:cs="Arial"/>
          <w:lang w:val="es-MX"/>
        </w:rPr>
        <w:t xml:space="preserve">En este sentido, la Administración no tiene la facultad de descalificar una oferta de forma discrecional, toda vez que solo es posible por las causales previamente definidas en la ley o en el pliego de condiciones. </w:t>
      </w:r>
    </w:p>
    <w:p w14:paraId="20903E16" w14:textId="678FD642" w:rsidR="00CB3676" w:rsidRPr="005E7310" w:rsidRDefault="00CB3676" w:rsidP="001D067A">
      <w:pPr>
        <w:autoSpaceDE w:val="0"/>
        <w:autoSpaceDN w:val="0"/>
        <w:adjustRightInd w:val="0"/>
        <w:spacing w:after="120" w:line="276" w:lineRule="auto"/>
        <w:ind w:firstLine="709"/>
        <w:jc w:val="both"/>
        <w:rPr>
          <w:rFonts w:ascii="Arial" w:eastAsia="Calibri" w:hAnsi="Arial" w:cs="Arial"/>
          <w:lang w:val="es-ES" w:eastAsia="es-ES" w:bidi="es-ES"/>
        </w:rPr>
      </w:pPr>
      <w:r w:rsidRPr="005E7310">
        <w:rPr>
          <w:rFonts w:ascii="Arial" w:eastAsia="Arial" w:hAnsi="Arial" w:cs="Arial"/>
          <w:bCs/>
          <w:lang w:val="es-ES" w:eastAsia="es-ES" w:bidi="es-ES"/>
        </w:rPr>
        <w:t>En lo que respecta a las causales de rechazo establecidas en el numeral 1.15 del Documento Base de los «Documentos Tipo – Versión 3», y en relación con su consulta, es necesario aclarar que en ninguna de ellas se contempla algún supuesto de hecho que consista en</w:t>
      </w:r>
      <w:r w:rsidR="00CF7F5D" w:rsidRPr="005E7310">
        <w:rPr>
          <w:rFonts w:ascii="Arial" w:eastAsia="Arial" w:hAnsi="Arial" w:cs="Arial"/>
          <w:bCs/>
          <w:lang w:val="es-ES" w:eastAsia="es-ES" w:bidi="es-ES"/>
        </w:rPr>
        <w:t xml:space="preserve"> </w:t>
      </w:r>
      <w:r w:rsidR="005E7310" w:rsidRPr="001D067A">
        <w:rPr>
          <w:rFonts w:ascii="Arial" w:hAnsi="Arial" w:cs="Arial"/>
        </w:rPr>
        <w:t xml:space="preserve">«[…] </w:t>
      </w:r>
      <w:r w:rsidR="00CF7F5D" w:rsidRPr="001D067A">
        <w:rPr>
          <w:rFonts w:ascii="Arial" w:hAnsi="Arial" w:cs="Arial"/>
        </w:rPr>
        <w:t xml:space="preserve">no anexar todos o algunos de los documentos del proceso (anexo técnico, pliegos, cronograma, estudio del sector </w:t>
      </w:r>
      <w:proofErr w:type="spellStart"/>
      <w:r w:rsidR="00CF7F5D" w:rsidRPr="001D067A">
        <w:rPr>
          <w:rFonts w:ascii="Arial" w:hAnsi="Arial" w:cs="Arial"/>
        </w:rPr>
        <w:t>etc</w:t>
      </w:r>
      <w:proofErr w:type="spellEnd"/>
      <w:r w:rsidR="005E7310" w:rsidRPr="001D067A">
        <w:rPr>
          <w:rFonts w:ascii="Arial" w:hAnsi="Arial" w:cs="Arial"/>
        </w:rPr>
        <w:t>»</w:t>
      </w:r>
      <w:r w:rsidRPr="005E7310">
        <w:rPr>
          <w:rFonts w:ascii="Arial" w:eastAsia="Arial" w:hAnsi="Arial" w:cs="Arial"/>
          <w:bCs/>
          <w:lang w:val="es-ES" w:eastAsia="es-ES" w:bidi="es-ES"/>
        </w:rPr>
        <w:t>. Por tanto,</w:t>
      </w:r>
      <w:r w:rsidRPr="005E7310">
        <w:rPr>
          <w:rFonts w:ascii="Arial" w:eastAsia="Calibri" w:hAnsi="Arial" w:cs="Arial"/>
          <w:lang w:val="es-ES" w:eastAsia="es-ES" w:bidi="es-ES"/>
        </w:rPr>
        <w:t xml:space="preserve"> ante la imposibilidad de incluir nuevas causales, con fundamento en el principio de inalterabilidad, las entidades estatales deben evaluar la configuración de causales de rechazo del pliego, determinando en cada caso concreto si la situación evidenciada configura en estricto sentido alguno de los supuestos de hecho establecidos en las mismas, sin valerse de interpretaciones extensivas o finalistas</w:t>
      </w:r>
      <w:r w:rsidRPr="005E7310">
        <w:rPr>
          <w:rFonts w:ascii="Arial" w:eastAsia="Calibri" w:hAnsi="Arial" w:cs="Arial"/>
          <w:vertAlign w:val="superscript"/>
          <w:lang w:val="es-ES" w:eastAsia="es-ES" w:bidi="es-ES"/>
        </w:rPr>
        <w:footnoteReference w:id="14"/>
      </w:r>
      <w:r w:rsidRPr="005E7310">
        <w:rPr>
          <w:rFonts w:ascii="Arial" w:eastAsia="Calibri" w:hAnsi="Arial" w:cs="Arial"/>
          <w:lang w:val="es-ES" w:eastAsia="es-ES" w:bidi="es-ES"/>
        </w:rPr>
        <w:t>.</w:t>
      </w:r>
      <w:r w:rsidR="001E3298">
        <w:rPr>
          <w:rFonts w:ascii="Arial" w:eastAsia="Calibri" w:hAnsi="Arial" w:cs="Arial"/>
          <w:lang w:val="es-ES" w:eastAsia="es-ES" w:bidi="es-ES"/>
        </w:rPr>
        <w:t xml:space="preserve"> En tal sentido, no procedería el rechazo por la ausencia en la </w:t>
      </w:r>
      <w:r w:rsidR="00EF343B">
        <w:rPr>
          <w:rFonts w:ascii="Arial" w:eastAsia="Calibri" w:hAnsi="Arial" w:cs="Arial"/>
          <w:lang w:val="es-ES" w:eastAsia="es-ES" w:bidi="es-ES"/>
        </w:rPr>
        <w:t>oferta</w:t>
      </w:r>
      <w:r w:rsidR="001E3298">
        <w:rPr>
          <w:rFonts w:ascii="Arial" w:eastAsia="Calibri" w:hAnsi="Arial" w:cs="Arial"/>
          <w:lang w:val="es-ES" w:eastAsia="es-ES" w:bidi="es-ES"/>
        </w:rPr>
        <w:t xml:space="preserve"> de los documentos indicados, los cuales corresponde elaborar a la entidad estatal contratante.</w:t>
      </w:r>
      <w:r w:rsidRPr="005E7310">
        <w:rPr>
          <w:rFonts w:ascii="Arial" w:eastAsia="Calibri" w:hAnsi="Arial" w:cs="Arial"/>
          <w:lang w:val="es-ES" w:eastAsia="es-ES" w:bidi="es-ES"/>
        </w:rPr>
        <w:t xml:space="preserve"> </w:t>
      </w:r>
    </w:p>
    <w:p w14:paraId="58AA98A6" w14:textId="7E6F66D3" w:rsidR="00CB3676" w:rsidRPr="00CB3676" w:rsidRDefault="00CB3676" w:rsidP="001D067A">
      <w:pPr>
        <w:widowControl w:val="0"/>
        <w:autoSpaceDE w:val="0"/>
        <w:autoSpaceDN w:val="0"/>
        <w:spacing w:after="0" w:line="276" w:lineRule="auto"/>
        <w:ind w:firstLine="709"/>
        <w:jc w:val="both"/>
        <w:rPr>
          <w:rFonts w:ascii="Arial" w:eastAsia="Calibri" w:hAnsi="Arial" w:cs="Arial"/>
          <w:lang w:val="es-ES" w:eastAsia="es-ES" w:bidi="es-ES"/>
        </w:rPr>
      </w:pPr>
      <w:r w:rsidRPr="00CB3676">
        <w:rPr>
          <w:rFonts w:ascii="Arial" w:eastAsia="Calibri" w:hAnsi="Arial" w:cs="Arial"/>
          <w:lang w:val="es-ES" w:eastAsia="es-ES" w:bidi="es-ES"/>
        </w:rPr>
        <w:lastRenderedPageBreak/>
        <w:t>En todo caso, resulta pertinente mencionar que, de</w:t>
      </w:r>
      <w:r w:rsidR="00687D08">
        <w:rPr>
          <w:rFonts w:ascii="Arial" w:eastAsia="Calibri" w:hAnsi="Arial" w:cs="Arial"/>
          <w:lang w:val="es-ES" w:eastAsia="es-ES" w:bidi="es-ES"/>
        </w:rPr>
        <w:t>be ser la entidad estatal quien determine si algun</w:t>
      </w:r>
      <w:r w:rsidR="0022208B">
        <w:rPr>
          <w:rFonts w:ascii="Arial" w:eastAsia="Calibri" w:hAnsi="Arial" w:cs="Arial"/>
          <w:lang w:val="es-ES" w:eastAsia="es-ES" w:bidi="es-ES"/>
        </w:rPr>
        <w:t>o de los supuestos de hecho contenidos en</w:t>
      </w:r>
      <w:r w:rsidR="00687D08">
        <w:rPr>
          <w:rFonts w:ascii="Arial" w:eastAsia="Calibri" w:hAnsi="Arial" w:cs="Arial"/>
          <w:lang w:val="es-ES" w:eastAsia="es-ES" w:bidi="es-ES"/>
        </w:rPr>
        <w:t xml:space="preserve"> </w:t>
      </w:r>
      <w:r w:rsidRPr="00CB3676">
        <w:rPr>
          <w:rFonts w:ascii="Arial" w:eastAsia="Calibri" w:hAnsi="Arial" w:cs="Arial"/>
          <w:lang w:val="es-ES" w:eastAsia="es-ES" w:bidi="es-ES"/>
        </w:rPr>
        <w:t xml:space="preserve">las causales de rechazo contenidas </w:t>
      </w:r>
      <w:r w:rsidR="0022208B">
        <w:rPr>
          <w:rFonts w:ascii="Arial" w:eastAsia="Calibri" w:hAnsi="Arial" w:cs="Arial"/>
          <w:lang w:val="es-ES" w:eastAsia="es-ES" w:bidi="es-ES"/>
        </w:rPr>
        <w:t>del</w:t>
      </w:r>
      <w:r w:rsidRPr="00CB3676">
        <w:rPr>
          <w:rFonts w:ascii="Arial" w:eastAsia="Calibri" w:hAnsi="Arial" w:cs="Arial"/>
          <w:lang w:val="es-ES" w:eastAsia="es-ES" w:bidi="es-ES"/>
        </w:rPr>
        <w:t xml:space="preserve"> numeral 1.15 del Documento Base </w:t>
      </w:r>
      <w:r w:rsidRPr="00CB3676">
        <w:rPr>
          <w:rFonts w:ascii="Arial" w:eastAsia="Arial" w:hAnsi="Arial" w:cs="Arial"/>
          <w:bCs/>
          <w:lang w:val="es-ES" w:eastAsia="es-ES" w:bidi="es-ES"/>
        </w:rPr>
        <w:t>de los «Documentos Tipo – Versión 3»,</w:t>
      </w:r>
      <w:r w:rsidR="0022208B">
        <w:rPr>
          <w:rFonts w:ascii="Arial" w:eastAsia="Arial" w:hAnsi="Arial" w:cs="Arial"/>
          <w:bCs/>
          <w:lang w:val="es-ES" w:eastAsia="es-ES" w:bidi="es-ES"/>
        </w:rPr>
        <w:t xml:space="preserve"> aplican </w:t>
      </w:r>
      <w:r w:rsidR="00254FBA">
        <w:rPr>
          <w:rFonts w:ascii="Arial" w:eastAsia="Arial" w:hAnsi="Arial" w:cs="Arial"/>
          <w:bCs/>
          <w:lang w:val="es-ES" w:eastAsia="es-ES" w:bidi="es-ES"/>
        </w:rPr>
        <w:t>frente a</w:t>
      </w:r>
      <w:r w:rsidR="001273E2">
        <w:rPr>
          <w:rFonts w:ascii="Arial" w:eastAsia="Arial" w:hAnsi="Arial" w:cs="Arial"/>
          <w:bCs/>
          <w:lang w:val="es-ES" w:eastAsia="es-ES" w:bidi="es-ES"/>
        </w:rPr>
        <w:t xml:space="preserve"> la situación particular</w:t>
      </w:r>
      <w:r w:rsidR="00EF343B">
        <w:rPr>
          <w:rFonts w:ascii="Arial" w:eastAsia="Arial" w:hAnsi="Arial" w:cs="Arial"/>
          <w:bCs/>
          <w:lang w:val="es-ES" w:eastAsia="es-ES" w:bidi="es-ES"/>
        </w:rPr>
        <w:t>.</w:t>
      </w:r>
    </w:p>
    <w:p w14:paraId="14CD2EE8" w14:textId="1E7D89DA" w:rsidR="00F20888" w:rsidRPr="000B66F1" w:rsidRDefault="00F20888" w:rsidP="00F20888">
      <w:pPr>
        <w:spacing w:after="0" w:line="276" w:lineRule="auto"/>
        <w:jc w:val="both"/>
        <w:rPr>
          <w:rFonts w:ascii="Arial" w:eastAsia="Times New Roman" w:hAnsi="Arial" w:cs="Arial"/>
          <w:b/>
          <w:bCs/>
          <w:color w:val="000000"/>
          <w:szCs w:val="24"/>
          <w:lang w:eastAsia="es-ES_tradnl"/>
        </w:rPr>
      </w:pPr>
    </w:p>
    <w:p w14:paraId="1E8D25F8" w14:textId="77777777" w:rsidR="00F20888" w:rsidRPr="00D7149D" w:rsidRDefault="00F20888" w:rsidP="00F20888">
      <w:pPr>
        <w:spacing w:after="0" w:line="276" w:lineRule="auto"/>
        <w:jc w:val="both"/>
        <w:rPr>
          <w:rFonts w:ascii="Arial" w:eastAsia="Calibri" w:hAnsi="Arial" w:cs="Arial"/>
          <w:b/>
        </w:rPr>
      </w:pPr>
      <w:r w:rsidRPr="00D7149D">
        <w:rPr>
          <w:rFonts w:ascii="Arial" w:eastAsia="Calibri" w:hAnsi="Arial" w:cs="Arial"/>
          <w:b/>
        </w:rPr>
        <w:t xml:space="preserve">3. Respuesta </w:t>
      </w:r>
    </w:p>
    <w:p w14:paraId="27F64A9A" w14:textId="5E534750" w:rsidR="00F20888" w:rsidRDefault="00F20888" w:rsidP="00F20888">
      <w:pPr>
        <w:spacing w:after="0" w:line="276" w:lineRule="auto"/>
        <w:ind w:left="709" w:right="709"/>
        <w:jc w:val="center"/>
        <w:rPr>
          <w:rFonts w:ascii="Arial" w:hAnsi="Arial" w:cs="Arial"/>
          <w:sz w:val="21"/>
          <w:szCs w:val="21"/>
        </w:rPr>
      </w:pPr>
    </w:p>
    <w:p w14:paraId="122B717D" w14:textId="77777777" w:rsidR="001D067A" w:rsidRPr="001D067A" w:rsidRDefault="001D067A" w:rsidP="001D067A">
      <w:pPr>
        <w:numPr>
          <w:ilvl w:val="0"/>
          <w:numId w:val="5"/>
        </w:numPr>
        <w:spacing w:after="120" w:line="240" w:lineRule="auto"/>
        <w:ind w:right="709"/>
        <w:contextualSpacing/>
        <w:jc w:val="both"/>
        <w:rPr>
          <w:rFonts w:ascii="Arial" w:hAnsi="Arial" w:cs="Arial"/>
          <w:sz w:val="21"/>
          <w:szCs w:val="21"/>
        </w:rPr>
      </w:pPr>
      <w:r w:rsidRPr="001D067A">
        <w:rPr>
          <w:rFonts w:ascii="Arial" w:hAnsi="Arial" w:cs="Arial"/>
          <w:sz w:val="21"/>
          <w:szCs w:val="21"/>
        </w:rPr>
        <w:t xml:space="preserve">Es obligatorio que un proponente deba anexar en el sobre 1 en señal de aceptación (firmados) los documentos del proceso, como el anexo técnico, pliegos, cronograma, estudio del sector </w:t>
      </w:r>
      <w:proofErr w:type="spellStart"/>
      <w:r w:rsidRPr="001D067A">
        <w:rPr>
          <w:rFonts w:ascii="Arial" w:hAnsi="Arial" w:cs="Arial"/>
          <w:sz w:val="21"/>
          <w:szCs w:val="21"/>
        </w:rPr>
        <w:t>etc</w:t>
      </w:r>
      <w:proofErr w:type="spellEnd"/>
      <w:r w:rsidRPr="001D067A">
        <w:rPr>
          <w:rFonts w:ascii="Arial" w:hAnsi="Arial" w:cs="Arial"/>
          <w:sz w:val="21"/>
          <w:szCs w:val="21"/>
        </w:rPr>
        <w:t>, aun cuando en los pliegos tipo no lo solicitan.</w:t>
      </w:r>
    </w:p>
    <w:p w14:paraId="27AD840E" w14:textId="77777777" w:rsidR="001D067A" w:rsidRPr="001D067A" w:rsidRDefault="001D067A" w:rsidP="001D067A">
      <w:pPr>
        <w:spacing w:after="0" w:line="240" w:lineRule="auto"/>
        <w:ind w:left="1429" w:right="709"/>
        <w:contextualSpacing/>
        <w:jc w:val="both"/>
        <w:rPr>
          <w:rFonts w:ascii="Arial" w:hAnsi="Arial" w:cs="Arial"/>
          <w:sz w:val="21"/>
          <w:szCs w:val="21"/>
        </w:rPr>
      </w:pPr>
    </w:p>
    <w:p w14:paraId="46AFD70A" w14:textId="77777777" w:rsidR="001D067A" w:rsidRPr="001D067A" w:rsidRDefault="001D067A" w:rsidP="006F64D5">
      <w:pPr>
        <w:spacing w:after="120" w:line="276" w:lineRule="auto"/>
        <w:jc w:val="both"/>
        <w:rPr>
          <w:rFonts w:ascii="Arial" w:hAnsi="Arial" w:cs="Arial"/>
        </w:rPr>
      </w:pPr>
      <w:r w:rsidRPr="001D067A">
        <w:rPr>
          <w:rFonts w:ascii="Arial" w:hAnsi="Arial" w:cs="Arial"/>
        </w:rPr>
        <w:t xml:space="preserve">Al tratarse de una obra pública de infraestructura de transporte, la Ley 1882 de 2018, en el artículo 1, señala que las ofertas deben estar conformadas por dos sobres: i) sobre 1: requisitos habilitantes y requisitos puntuables, diferentes a la oferta económica y </w:t>
      </w:r>
      <w:proofErr w:type="spellStart"/>
      <w:r w:rsidRPr="001D067A">
        <w:rPr>
          <w:rFonts w:ascii="Arial" w:hAnsi="Arial" w:cs="Arial"/>
        </w:rPr>
        <w:t>ii</w:t>
      </w:r>
      <w:proofErr w:type="spellEnd"/>
      <w:r w:rsidRPr="001D067A">
        <w:rPr>
          <w:rFonts w:ascii="Arial" w:hAnsi="Arial" w:cs="Arial"/>
        </w:rPr>
        <w:t xml:space="preserve">) sobre 2: oferta económica. </w:t>
      </w:r>
    </w:p>
    <w:p w14:paraId="62D97F2F" w14:textId="6F6209E7" w:rsidR="001D067A" w:rsidRPr="001D067A" w:rsidRDefault="001D067A" w:rsidP="006F64D5">
      <w:pPr>
        <w:spacing w:after="120" w:line="276" w:lineRule="auto"/>
        <w:ind w:firstLine="708"/>
        <w:jc w:val="both"/>
        <w:rPr>
          <w:rFonts w:ascii="Arial" w:hAnsi="Arial" w:cs="Arial"/>
        </w:rPr>
      </w:pPr>
      <w:r w:rsidRPr="001D067A">
        <w:rPr>
          <w:rFonts w:ascii="Arial" w:hAnsi="Arial" w:cs="Arial"/>
        </w:rPr>
        <w:t xml:space="preserve">En relación con los documentos contenidos en el sobre 1, en los documentos tipo se establece que los requisitos habilitantes serán objeto de verificación por parte de la entidad estatal con base en la información contenida en el RUP y los documentos señalados en los documentos tipo. Ahora bien, en cuanto a los requisitos puntuables diferentes a la oferta económica, estos corresponden al factor de calidad, apoyo a la industria nacional y vinculación de personas con discapacidad. </w:t>
      </w:r>
      <w:r w:rsidR="00537433">
        <w:rPr>
          <w:rFonts w:ascii="Arial" w:hAnsi="Arial" w:cs="Arial"/>
        </w:rPr>
        <w:t>Adicionalmente, debe precisarse que</w:t>
      </w:r>
      <w:r w:rsidRPr="001D067A">
        <w:rPr>
          <w:rFonts w:ascii="Arial" w:hAnsi="Arial" w:cs="Arial"/>
        </w:rPr>
        <w:t xml:space="preserve"> no hacen parte de los documentos que debe contener este sobre, los señalados en su petición de consulta, esto es: «[…] el Anexo técnico, pliegos, cronograma, estudio del sector, entre otros». En este sentido, los documentos señalados, no deberán anexarse firmados en el sobre 1</w:t>
      </w:r>
      <w:r w:rsidR="00537433">
        <w:rPr>
          <w:rFonts w:ascii="Arial" w:hAnsi="Arial" w:cs="Arial"/>
        </w:rPr>
        <w:t xml:space="preserve">, </w:t>
      </w:r>
      <w:r w:rsidR="00537433">
        <w:rPr>
          <w:rFonts w:ascii="Arial" w:eastAsia="Calibri" w:hAnsi="Arial" w:cs="Arial"/>
          <w:color w:val="000000"/>
          <w:lang w:val="es-MX"/>
        </w:rPr>
        <w:t>ya que dichos documentos corresponde elaborarlos a la entidad estatal contratante.</w:t>
      </w:r>
    </w:p>
    <w:p w14:paraId="4CF12523" w14:textId="1F22D9FB" w:rsidR="001D067A" w:rsidRPr="001D067A" w:rsidRDefault="001D067A" w:rsidP="006F64D5">
      <w:pPr>
        <w:spacing w:after="0" w:line="276" w:lineRule="auto"/>
        <w:ind w:firstLine="709"/>
        <w:jc w:val="both"/>
        <w:rPr>
          <w:rFonts w:ascii="Arial" w:hAnsi="Arial" w:cs="Arial"/>
        </w:rPr>
      </w:pPr>
      <w:r w:rsidRPr="001D067A">
        <w:rPr>
          <w:rFonts w:ascii="Arial" w:hAnsi="Arial" w:cs="Arial"/>
        </w:rPr>
        <w:t xml:space="preserve">En todo caso, es necesario precisar que, de conformidad con los documentos tipo, el proponente suscribe y presenta el «Formato 1 – Carta de presentación de la oferta», para manifestar su intención de participar en el proceso de contratación. Este documento contiene manifestaciones en las que el oferente debe señalar, entre otros, encontrarse autorizado para suscribir y presentar la oferta; suscribir el contrato en caso de resultar adjudicatario; conocer las normas que rigen el proceso de contratación; conocer las características, condiciones de ejecución del contrato y riesgos previsibles; y no encontrarse incurso en causales de inhabilidad e incompatibilidad o conflicto de intereses, entre otros. Además, con la firma del «Formato 1 – Carta de Presentación de la Oferta» el proponente, bajo la gravedad de juramento, manifiesta que conoce los documentos del </w:t>
      </w:r>
      <w:r w:rsidRPr="001D067A">
        <w:rPr>
          <w:rFonts w:ascii="Arial" w:hAnsi="Arial" w:cs="Arial"/>
        </w:rPr>
        <w:lastRenderedPageBreak/>
        <w:t>procedimiento de selección, incluyendo adendas, y que acepta los requisitos en ellos contenidos.</w:t>
      </w:r>
    </w:p>
    <w:p w14:paraId="5A2A7B3E" w14:textId="77777777" w:rsidR="001D067A" w:rsidRPr="001D067A" w:rsidRDefault="001D067A" w:rsidP="001D067A">
      <w:pPr>
        <w:spacing w:after="0" w:line="240" w:lineRule="auto"/>
        <w:ind w:right="709" w:firstLine="709"/>
        <w:jc w:val="both"/>
        <w:rPr>
          <w:rFonts w:ascii="Arial" w:hAnsi="Arial" w:cs="Arial"/>
        </w:rPr>
      </w:pPr>
    </w:p>
    <w:p w14:paraId="2AC6D6F6" w14:textId="77777777" w:rsidR="001D067A" w:rsidRPr="001D067A" w:rsidRDefault="001D067A" w:rsidP="001D067A">
      <w:pPr>
        <w:numPr>
          <w:ilvl w:val="0"/>
          <w:numId w:val="5"/>
        </w:numPr>
        <w:spacing w:after="120" w:line="240" w:lineRule="auto"/>
        <w:ind w:right="709"/>
        <w:contextualSpacing/>
        <w:jc w:val="both"/>
        <w:rPr>
          <w:rFonts w:ascii="Arial" w:hAnsi="Arial" w:cs="Arial"/>
          <w:sz w:val="21"/>
          <w:szCs w:val="21"/>
        </w:rPr>
      </w:pPr>
      <w:r w:rsidRPr="001D067A">
        <w:rPr>
          <w:rFonts w:ascii="Arial" w:hAnsi="Arial" w:cs="Arial"/>
          <w:sz w:val="21"/>
          <w:szCs w:val="21"/>
        </w:rPr>
        <w:t xml:space="preserve">Es procedente que una Entidad cualquiera llámese Alcaldía, Gobernación etc. Rechace a un proponente por no anexar todos o algunos de los documentos del proceso (anexo técnico, pliegos, cronograma, estudio del sector </w:t>
      </w:r>
      <w:proofErr w:type="spellStart"/>
      <w:r w:rsidRPr="001D067A">
        <w:rPr>
          <w:rFonts w:ascii="Arial" w:hAnsi="Arial" w:cs="Arial"/>
          <w:sz w:val="21"/>
          <w:szCs w:val="21"/>
        </w:rPr>
        <w:t>etc</w:t>
      </w:r>
      <w:proofErr w:type="spellEnd"/>
      <w:r w:rsidRPr="001D067A">
        <w:rPr>
          <w:rFonts w:ascii="Arial" w:hAnsi="Arial" w:cs="Arial"/>
          <w:sz w:val="21"/>
          <w:szCs w:val="21"/>
        </w:rPr>
        <w:t>)</w:t>
      </w:r>
    </w:p>
    <w:p w14:paraId="29316240" w14:textId="77777777" w:rsidR="001D067A" w:rsidRPr="001D067A" w:rsidRDefault="001D067A" w:rsidP="001D067A">
      <w:pPr>
        <w:spacing w:after="0" w:line="240" w:lineRule="auto"/>
        <w:ind w:left="1429" w:right="709"/>
        <w:contextualSpacing/>
        <w:jc w:val="both"/>
        <w:rPr>
          <w:rFonts w:ascii="Arial" w:hAnsi="Arial" w:cs="Arial"/>
          <w:sz w:val="21"/>
          <w:szCs w:val="21"/>
        </w:rPr>
      </w:pPr>
    </w:p>
    <w:p w14:paraId="669304A5" w14:textId="77777777" w:rsidR="001D067A" w:rsidRPr="001D067A" w:rsidRDefault="001D067A" w:rsidP="006F64D5">
      <w:pPr>
        <w:spacing w:after="120" w:line="276" w:lineRule="auto"/>
        <w:jc w:val="both"/>
        <w:rPr>
          <w:rFonts w:ascii="Arial" w:hAnsi="Arial" w:cs="Arial"/>
        </w:rPr>
      </w:pPr>
      <w:r w:rsidRPr="001D067A">
        <w:rPr>
          <w:rFonts w:ascii="Arial" w:hAnsi="Arial" w:cs="Arial"/>
        </w:rPr>
        <w:t>Uno de los aspectos regulados en los Documentos Tipo sobre el cual resulta aplicable el principio de inalterabilidad tiene relación con las causales de rechazo, frente a las cuales la entidad solo puede modificar los aspectos concretos que el documento base o la invitación dispongan. No obstante, se establece la regla consistente en que las entidades estatales no pueden incluir nuevas causales de rechazo o modificar las existentes, salvo que se permita modificar aspectos puntuales en los lugares entre corchetes y resaltado en gris.</w:t>
      </w:r>
    </w:p>
    <w:p w14:paraId="31260E27" w14:textId="7379AA17" w:rsidR="001D067A" w:rsidRPr="001D067A" w:rsidRDefault="001D067A" w:rsidP="006F64D5">
      <w:pPr>
        <w:spacing w:after="120" w:line="276" w:lineRule="auto"/>
        <w:ind w:firstLine="708"/>
        <w:jc w:val="both"/>
        <w:rPr>
          <w:rFonts w:ascii="Arial" w:hAnsi="Arial" w:cs="Arial"/>
        </w:rPr>
      </w:pPr>
      <w:r w:rsidRPr="001D067A">
        <w:rPr>
          <w:rFonts w:ascii="Arial" w:hAnsi="Arial" w:cs="Arial"/>
        </w:rPr>
        <w:t>Del numeral 1.15 del pliego de condiciones para los procesos de licitación y selección abreviada de menor cuantía, así como del numeral 1.15 de la invitación de mínima cuantía, se desprende que las causales de rechazo de ofertas consagradas en los documentos tipo son taxativas, descartándose que la entidad introduzca causales, salvo</w:t>
      </w:r>
      <w:r w:rsidR="00537433">
        <w:rPr>
          <w:rFonts w:ascii="Arial" w:hAnsi="Arial" w:cs="Arial"/>
        </w:rPr>
        <w:t xml:space="preserve"> que aplique</w:t>
      </w:r>
      <w:r w:rsidRPr="001D067A">
        <w:rPr>
          <w:rFonts w:ascii="Arial" w:hAnsi="Arial" w:cs="Arial"/>
        </w:rPr>
        <w:t xml:space="preserve"> las contempladas directamente en la ley. Igualmente, por la naturaleza de las causales de rechazo, su aplicación es estricta. Esto significa que su interpretación gramatical prevalece sobre una extensiva o de otra índole, mediante la cual se pretenda ampliar su alcance.</w:t>
      </w:r>
    </w:p>
    <w:p w14:paraId="48AE290E" w14:textId="0B7C2C6D" w:rsidR="00EF343B" w:rsidRPr="005E7310" w:rsidRDefault="001D067A" w:rsidP="00EF343B">
      <w:pPr>
        <w:autoSpaceDE w:val="0"/>
        <w:autoSpaceDN w:val="0"/>
        <w:adjustRightInd w:val="0"/>
        <w:spacing w:after="120" w:line="276" w:lineRule="auto"/>
        <w:ind w:firstLine="709"/>
        <w:jc w:val="both"/>
        <w:rPr>
          <w:rFonts w:ascii="Arial" w:eastAsia="Calibri" w:hAnsi="Arial" w:cs="Arial"/>
          <w:lang w:val="es-ES" w:eastAsia="es-ES" w:bidi="es-ES"/>
        </w:rPr>
      </w:pPr>
      <w:r w:rsidRPr="001D067A">
        <w:rPr>
          <w:rFonts w:ascii="Arial" w:eastAsia="Arial" w:hAnsi="Arial" w:cs="Arial"/>
          <w:bCs/>
          <w:lang w:val="es-ES" w:eastAsia="es-ES" w:bidi="es-ES"/>
        </w:rPr>
        <w:t xml:space="preserve">En lo que respecta a las causales de rechazo establecidas en el numeral 1.15 del Documento Base de los «Documentos Tipo – Versión 3», y en relación con su consulta, es necesario aclarar que en ninguna de ellas se contempla algún supuesto de hecho que consista en </w:t>
      </w:r>
      <w:r w:rsidRPr="001D067A">
        <w:rPr>
          <w:rFonts w:ascii="Arial" w:hAnsi="Arial" w:cs="Arial"/>
        </w:rPr>
        <w:t xml:space="preserve">«[…] no anexar todos o algunos de los documentos del proceso (anexo técnico, pliegos, cronograma, estudio del sector </w:t>
      </w:r>
      <w:proofErr w:type="spellStart"/>
      <w:r w:rsidRPr="001D067A">
        <w:rPr>
          <w:rFonts w:ascii="Arial" w:hAnsi="Arial" w:cs="Arial"/>
        </w:rPr>
        <w:t>etc</w:t>
      </w:r>
      <w:proofErr w:type="spellEnd"/>
      <w:r w:rsidRPr="001D067A">
        <w:rPr>
          <w:rFonts w:ascii="Arial" w:hAnsi="Arial" w:cs="Arial"/>
        </w:rPr>
        <w:t>»</w:t>
      </w:r>
      <w:r w:rsidRPr="001D067A">
        <w:rPr>
          <w:rFonts w:ascii="Arial" w:eastAsia="Arial" w:hAnsi="Arial" w:cs="Arial"/>
          <w:bCs/>
          <w:lang w:val="es-ES" w:eastAsia="es-ES" w:bidi="es-ES"/>
        </w:rPr>
        <w:t>. Por tanto,</w:t>
      </w:r>
      <w:r w:rsidRPr="001D067A">
        <w:rPr>
          <w:rFonts w:ascii="Arial" w:eastAsia="Calibri" w:hAnsi="Arial" w:cs="Arial"/>
          <w:lang w:val="es-ES" w:eastAsia="es-ES" w:bidi="es-ES"/>
        </w:rPr>
        <w:t xml:space="preserve"> ante la imposibilidad de incluir nuevas causales, con fundamento en el principio de inalterabilidad, las entidades estatales deben evaluar la configuración de causales de rechazo del pliego, determinando en cada caso concreto si la situación evidenciada configura en estricto sentido alguno de los supuestos de hecho establecidos en las mismas, sin valerse de interpretaciones extensivas. </w:t>
      </w:r>
      <w:r w:rsidR="00EF343B">
        <w:rPr>
          <w:rFonts w:ascii="Arial" w:eastAsia="Calibri" w:hAnsi="Arial" w:cs="Arial"/>
          <w:lang w:val="es-ES" w:eastAsia="es-ES" w:bidi="es-ES"/>
        </w:rPr>
        <w:t>En tal sentido, no procedería el rechazo por la ausencia en la oferta de los documentos indicados, los cuales corresponde elaborar a la entidad estatal contratante.</w:t>
      </w:r>
      <w:r w:rsidR="00EF343B" w:rsidRPr="005E7310">
        <w:rPr>
          <w:rFonts w:ascii="Arial" w:eastAsia="Calibri" w:hAnsi="Arial" w:cs="Arial"/>
          <w:lang w:val="es-ES" w:eastAsia="es-ES" w:bidi="es-ES"/>
        </w:rPr>
        <w:t xml:space="preserve"> </w:t>
      </w:r>
    </w:p>
    <w:p w14:paraId="5C69D8AC" w14:textId="1F5F0D63" w:rsidR="00EF343B" w:rsidRPr="00CB3676" w:rsidRDefault="00EF343B" w:rsidP="00EF343B">
      <w:pPr>
        <w:widowControl w:val="0"/>
        <w:autoSpaceDE w:val="0"/>
        <w:autoSpaceDN w:val="0"/>
        <w:spacing w:after="0" w:line="276" w:lineRule="auto"/>
        <w:ind w:firstLine="709"/>
        <w:jc w:val="both"/>
        <w:rPr>
          <w:rFonts w:ascii="Arial" w:eastAsia="Calibri" w:hAnsi="Arial" w:cs="Arial"/>
          <w:lang w:val="es-ES" w:eastAsia="es-ES" w:bidi="es-ES"/>
        </w:rPr>
      </w:pPr>
      <w:r w:rsidRPr="00CB3676">
        <w:rPr>
          <w:rFonts w:ascii="Arial" w:eastAsia="Calibri" w:hAnsi="Arial" w:cs="Arial"/>
          <w:lang w:val="es-ES" w:eastAsia="es-ES" w:bidi="es-ES"/>
        </w:rPr>
        <w:t>En todo caso, resulta pertinente mencionar que, de</w:t>
      </w:r>
      <w:r>
        <w:rPr>
          <w:rFonts w:ascii="Arial" w:eastAsia="Calibri" w:hAnsi="Arial" w:cs="Arial"/>
          <w:lang w:val="es-ES" w:eastAsia="es-ES" w:bidi="es-ES"/>
        </w:rPr>
        <w:t xml:space="preserve">be ser la entidad estatal quien determine si alguno de los supuestos de hecho contenidos en </w:t>
      </w:r>
      <w:r w:rsidRPr="00CB3676">
        <w:rPr>
          <w:rFonts w:ascii="Arial" w:eastAsia="Calibri" w:hAnsi="Arial" w:cs="Arial"/>
          <w:lang w:val="es-ES" w:eastAsia="es-ES" w:bidi="es-ES"/>
        </w:rPr>
        <w:t xml:space="preserve">las causales de rechazo contenidas </w:t>
      </w:r>
      <w:r>
        <w:rPr>
          <w:rFonts w:ascii="Arial" w:eastAsia="Calibri" w:hAnsi="Arial" w:cs="Arial"/>
          <w:lang w:val="es-ES" w:eastAsia="es-ES" w:bidi="es-ES"/>
        </w:rPr>
        <w:t>del</w:t>
      </w:r>
      <w:r w:rsidRPr="00CB3676">
        <w:rPr>
          <w:rFonts w:ascii="Arial" w:eastAsia="Calibri" w:hAnsi="Arial" w:cs="Arial"/>
          <w:lang w:val="es-ES" w:eastAsia="es-ES" w:bidi="es-ES"/>
        </w:rPr>
        <w:t xml:space="preserve"> numeral 1.15 del Documento Base </w:t>
      </w:r>
      <w:r w:rsidRPr="00CB3676">
        <w:rPr>
          <w:rFonts w:ascii="Arial" w:eastAsia="Arial" w:hAnsi="Arial" w:cs="Arial"/>
          <w:bCs/>
          <w:lang w:val="es-ES" w:eastAsia="es-ES" w:bidi="es-ES"/>
        </w:rPr>
        <w:t>de los «Documentos Tipo – Versión 3»,</w:t>
      </w:r>
      <w:r>
        <w:rPr>
          <w:rFonts w:ascii="Arial" w:eastAsia="Arial" w:hAnsi="Arial" w:cs="Arial"/>
          <w:bCs/>
          <w:lang w:val="es-ES" w:eastAsia="es-ES" w:bidi="es-ES"/>
        </w:rPr>
        <w:t xml:space="preserve"> aplican frente a la situación particular. </w:t>
      </w:r>
      <w:r w:rsidRPr="00CB3676">
        <w:rPr>
          <w:rFonts w:ascii="Arial" w:eastAsia="Arial" w:hAnsi="Arial" w:cs="Arial"/>
          <w:bCs/>
          <w:lang w:val="es-ES" w:eastAsia="es-ES" w:bidi="es-ES"/>
        </w:rPr>
        <w:t xml:space="preserve"> </w:t>
      </w:r>
    </w:p>
    <w:p w14:paraId="1BF9AA57" w14:textId="63AA2F79" w:rsidR="001D067A" w:rsidRPr="001D067A" w:rsidRDefault="001D067A" w:rsidP="00105977">
      <w:pPr>
        <w:autoSpaceDE w:val="0"/>
        <w:autoSpaceDN w:val="0"/>
        <w:adjustRightInd w:val="0"/>
        <w:spacing w:after="0" w:line="276" w:lineRule="auto"/>
        <w:ind w:firstLine="709"/>
        <w:jc w:val="both"/>
        <w:rPr>
          <w:rFonts w:ascii="Arial" w:eastAsia="Calibri" w:hAnsi="Arial" w:cs="Arial"/>
          <w:lang w:val="es-ES" w:eastAsia="es-ES" w:bidi="es-ES"/>
        </w:rPr>
      </w:pPr>
    </w:p>
    <w:p w14:paraId="5408799C" w14:textId="77777777" w:rsidR="001D067A" w:rsidRPr="001D067A" w:rsidRDefault="001D067A" w:rsidP="001D067A">
      <w:pPr>
        <w:spacing w:after="0" w:line="240" w:lineRule="auto"/>
        <w:ind w:right="709"/>
        <w:jc w:val="both"/>
      </w:pPr>
    </w:p>
    <w:p w14:paraId="642E43BD" w14:textId="77777777" w:rsidR="001D067A" w:rsidRPr="001D067A" w:rsidRDefault="001D067A" w:rsidP="001D067A">
      <w:pPr>
        <w:numPr>
          <w:ilvl w:val="0"/>
          <w:numId w:val="5"/>
        </w:numPr>
        <w:spacing w:after="120" w:line="240" w:lineRule="auto"/>
        <w:ind w:right="709"/>
        <w:contextualSpacing/>
        <w:jc w:val="both"/>
        <w:rPr>
          <w:rFonts w:ascii="Arial" w:hAnsi="Arial" w:cs="Arial"/>
          <w:sz w:val="21"/>
          <w:szCs w:val="21"/>
        </w:rPr>
      </w:pPr>
      <w:r w:rsidRPr="001D067A">
        <w:rPr>
          <w:rFonts w:ascii="Arial" w:hAnsi="Arial" w:cs="Arial"/>
          <w:sz w:val="21"/>
          <w:szCs w:val="21"/>
        </w:rPr>
        <w:t xml:space="preserve">Solicitamos a Colombia Compra se nos indique que políticas, planes, normas etc. está adelantando o próximo a adelantar con el ánimo de evitar el mal manejo que las Entidades hacen del uso indebido de las propuestas artificialmente, en el entendido que se presta para que </w:t>
      </w:r>
      <w:proofErr w:type="spellStart"/>
      <w:r w:rsidRPr="001D067A">
        <w:rPr>
          <w:rFonts w:ascii="Arial" w:hAnsi="Arial" w:cs="Arial"/>
          <w:sz w:val="21"/>
          <w:szCs w:val="21"/>
        </w:rPr>
        <w:t>halla</w:t>
      </w:r>
      <w:proofErr w:type="spellEnd"/>
      <w:r w:rsidRPr="001D067A">
        <w:rPr>
          <w:rFonts w:ascii="Arial" w:hAnsi="Arial" w:cs="Arial"/>
          <w:sz w:val="21"/>
          <w:szCs w:val="21"/>
        </w:rPr>
        <w:t xml:space="preserve"> </w:t>
      </w:r>
      <w:r w:rsidRPr="001D067A">
        <w:rPr>
          <w:rFonts w:ascii="Arial" w:hAnsi="Arial" w:cs="Arial"/>
          <w:sz w:val="21"/>
          <w:szCs w:val="21"/>
        </w:rPr>
        <w:lastRenderedPageBreak/>
        <w:t>(sic) contubernios entre los proponentes para ajustar la fórmula de evaluación, esto es, a unos sacan o a otros meten.</w:t>
      </w:r>
    </w:p>
    <w:p w14:paraId="5DE9A358" w14:textId="77777777" w:rsidR="001D067A" w:rsidRPr="001D067A" w:rsidRDefault="001D067A" w:rsidP="001D067A">
      <w:pPr>
        <w:spacing w:after="0" w:line="276" w:lineRule="auto"/>
        <w:ind w:left="1429" w:right="709"/>
        <w:contextualSpacing/>
        <w:jc w:val="both"/>
      </w:pPr>
    </w:p>
    <w:p w14:paraId="672C4035" w14:textId="35C1145C" w:rsidR="001D067A" w:rsidRPr="001D067A" w:rsidRDefault="001D067A" w:rsidP="006F64D5">
      <w:pPr>
        <w:spacing w:after="0" w:line="276" w:lineRule="auto"/>
        <w:jc w:val="both"/>
        <w:rPr>
          <w:rFonts w:ascii="Arial" w:eastAsia="Times New Roman" w:hAnsi="Arial" w:cs="Arial"/>
          <w:color w:val="000000"/>
          <w:szCs w:val="24"/>
          <w:lang w:eastAsia="es-ES_tradnl"/>
        </w:rPr>
      </w:pPr>
      <w:r w:rsidRPr="001D067A">
        <w:rPr>
          <w:rFonts w:ascii="Arial" w:hAnsi="Arial" w:cs="Arial"/>
        </w:rPr>
        <w:t xml:space="preserve">La Agencia Nacional de Contratación Pública – Colombia Compra Eficiente expidió la «Guía para el manejo de ofertas artificialmente bajas en Procesos de Contratación», en la cual se señalan las causas y consecuencias de que en los procedimientos contractuales existan este tipo de ofertas, y las herramientas y pasos para identificarlas y manejarlas; además de estrategias para reducir la posibilidad de recibir ofertas con «precios artificialmente bajos». Esta Guía brinda recomendaciones a los participantes de la contratación pública, en cumplimiento del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 </w:t>
      </w:r>
      <w:r w:rsidRPr="001D067A">
        <w:rPr>
          <w:rFonts w:ascii="Arial" w:eastAsia="Times New Roman" w:hAnsi="Arial" w:cs="Arial"/>
          <w:color w:val="000000"/>
          <w:szCs w:val="24"/>
          <w:lang w:eastAsia="es-ES_tradnl"/>
        </w:rPr>
        <w:t xml:space="preserve">Sin embargo, no se trata de criterios vinculantes, de manera que las entidades pueden, a partir de los datos de los que dispongan, servirse de otros métodos razonables, </w:t>
      </w:r>
      <w:r w:rsidR="00EF343B">
        <w:rPr>
          <w:rFonts w:ascii="Arial" w:eastAsia="Times New Roman" w:hAnsi="Arial" w:cs="Arial"/>
          <w:color w:val="000000"/>
          <w:szCs w:val="24"/>
          <w:lang w:eastAsia="es-ES_tradnl"/>
        </w:rPr>
        <w:t xml:space="preserve">para aplicar el procedimiento establecido en el artículo </w:t>
      </w:r>
      <w:r w:rsidR="00EF343B" w:rsidRPr="001D067A">
        <w:rPr>
          <w:rFonts w:ascii="Arial" w:eastAsia="Times New Roman" w:hAnsi="Arial" w:cs="Arial"/>
          <w:color w:val="000000"/>
          <w:szCs w:val="24"/>
          <w:lang w:eastAsia="es-ES_tradnl"/>
        </w:rPr>
        <w:t>2.2.1.1.2.2.4</w:t>
      </w:r>
      <w:r w:rsidR="00EF343B">
        <w:rPr>
          <w:rFonts w:ascii="Arial" w:eastAsia="Times New Roman" w:hAnsi="Arial" w:cs="Arial"/>
          <w:color w:val="000000"/>
          <w:szCs w:val="24"/>
          <w:lang w:eastAsia="es-ES_tradnl"/>
        </w:rPr>
        <w:t xml:space="preserve"> del Decreto 1082 de 2015.</w:t>
      </w:r>
    </w:p>
    <w:p w14:paraId="27A817E8" w14:textId="77777777" w:rsidR="001D067A" w:rsidRPr="001D067A" w:rsidRDefault="001D067A" w:rsidP="001D067A">
      <w:pPr>
        <w:spacing w:after="120" w:line="240" w:lineRule="auto"/>
        <w:ind w:right="709"/>
        <w:jc w:val="both"/>
      </w:pPr>
    </w:p>
    <w:p w14:paraId="76A9F346" w14:textId="77777777" w:rsidR="001D067A" w:rsidRPr="001D067A" w:rsidRDefault="001D067A" w:rsidP="001D067A">
      <w:pPr>
        <w:numPr>
          <w:ilvl w:val="0"/>
          <w:numId w:val="5"/>
        </w:numPr>
        <w:spacing w:after="0" w:line="240" w:lineRule="auto"/>
        <w:ind w:right="709"/>
        <w:contextualSpacing/>
        <w:jc w:val="both"/>
        <w:rPr>
          <w:rFonts w:ascii="Arial" w:hAnsi="Arial" w:cs="Arial"/>
          <w:sz w:val="21"/>
          <w:szCs w:val="21"/>
        </w:rPr>
      </w:pPr>
      <w:r w:rsidRPr="001D067A">
        <w:rPr>
          <w:rFonts w:ascii="Arial" w:hAnsi="Arial" w:cs="Arial"/>
          <w:sz w:val="21"/>
          <w:szCs w:val="21"/>
        </w:rPr>
        <w:t>Sobre las propuestas artificialmente bajas, esta metodología es solo aplicable cuando la formula (sic) de la TRM cae para las medias bajas, Menor Valor y Media Aritmética Baja, o para todas sin distinción.</w:t>
      </w:r>
    </w:p>
    <w:p w14:paraId="70E6B605" w14:textId="77777777" w:rsidR="001D067A" w:rsidRPr="001D067A" w:rsidRDefault="001D067A" w:rsidP="001D067A">
      <w:pPr>
        <w:spacing w:after="0" w:line="240" w:lineRule="auto"/>
        <w:ind w:right="709"/>
        <w:jc w:val="both"/>
      </w:pPr>
    </w:p>
    <w:p w14:paraId="5DE1C5BE" w14:textId="77777777" w:rsidR="001D067A" w:rsidRPr="001D067A" w:rsidRDefault="001D067A" w:rsidP="001D067A">
      <w:pPr>
        <w:spacing w:after="120" w:line="276" w:lineRule="auto"/>
        <w:jc w:val="both"/>
        <w:rPr>
          <w:rFonts w:ascii="Arial" w:hAnsi="Arial" w:cs="Arial"/>
        </w:rPr>
      </w:pPr>
      <w:r w:rsidRPr="001D067A">
        <w:rPr>
          <w:rFonts w:ascii="Arial" w:hAnsi="Arial" w:cs="Arial"/>
        </w:rPr>
        <w:t xml:space="preserve">Se debe precisar que la determinación de propuestas como artificialmente bajas y la selección aleatoria del método de ponderación de las ofertas económicas son procedimientos de diferente naturaleza que deben ser agotados por la entidad estatal, cómo se expondrá de forma sucinta a continuación.  </w:t>
      </w:r>
    </w:p>
    <w:p w14:paraId="396BE177" w14:textId="4B36E131" w:rsidR="001D067A" w:rsidRPr="001D067A" w:rsidRDefault="001D067A" w:rsidP="001D067A">
      <w:pPr>
        <w:spacing w:after="120" w:line="276" w:lineRule="auto"/>
        <w:ind w:firstLine="708"/>
        <w:jc w:val="both"/>
        <w:rPr>
          <w:rFonts w:ascii="Arial" w:hAnsi="Arial" w:cs="Arial"/>
        </w:rPr>
      </w:pPr>
      <w:r w:rsidRPr="001D067A">
        <w:rPr>
          <w:rFonts w:ascii="Arial" w:hAnsi="Arial" w:cs="Arial"/>
        </w:rPr>
        <w:t xml:space="preserve">La determinación de propuestas como artificialmente bajas, como se </w:t>
      </w:r>
      <w:r w:rsidR="00EF343B">
        <w:rPr>
          <w:rFonts w:ascii="Arial" w:hAnsi="Arial" w:cs="Arial"/>
        </w:rPr>
        <w:t xml:space="preserve">analizó en </w:t>
      </w:r>
      <w:proofErr w:type="gramStart"/>
      <w:r w:rsidR="00EF343B">
        <w:rPr>
          <w:rFonts w:ascii="Arial" w:hAnsi="Arial" w:cs="Arial"/>
        </w:rPr>
        <w:t>el las</w:t>
      </w:r>
      <w:proofErr w:type="gramEnd"/>
      <w:r w:rsidR="00EF343B">
        <w:rPr>
          <w:rFonts w:ascii="Arial" w:hAnsi="Arial" w:cs="Arial"/>
        </w:rPr>
        <w:t xml:space="preserve"> consideraciones</w:t>
      </w:r>
      <w:r w:rsidRPr="001D067A">
        <w:rPr>
          <w:rFonts w:ascii="Arial" w:hAnsi="Arial" w:cs="Arial"/>
        </w:rPr>
        <w:t xml:space="preserve">, se relaciona con la obligación que tiene la entidad de verificar que las ofertas presentadas y, eventualmente, la adjudicación del contrato se realice bajo condiciones idóneas y garanticen una correcta ejecución del contrato. En desarrollo de este procedimiento, la entidad deberá: i) requerir al oferente para que explique las razones que sustentan el valor ofrecido, </w:t>
      </w:r>
      <w:proofErr w:type="spellStart"/>
      <w:r w:rsidRPr="001D067A">
        <w:rPr>
          <w:rFonts w:ascii="Arial" w:hAnsi="Arial" w:cs="Arial"/>
        </w:rPr>
        <w:t>ii</w:t>
      </w:r>
      <w:proofErr w:type="spellEnd"/>
      <w:r w:rsidRPr="001D067A">
        <w:rPr>
          <w:rFonts w:ascii="Arial" w:hAnsi="Arial" w:cs="Arial"/>
        </w:rPr>
        <w:t xml:space="preserve">) analizar las explicaciones y </w:t>
      </w:r>
      <w:proofErr w:type="spellStart"/>
      <w:r w:rsidRPr="001D067A">
        <w:rPr>
          <w:rFonts w:ascii="Arial" w:hAnsi="Arial" w:cs="Arial"/>
        </w:rPr>
        <w:t>iii</w:t>
      </w:r>
      <w:proofErr w:type="spellEnd"/>
      <w:r w:rsidRPr="001D067A">
        <w:rPr>
          <w:rFonts w:ascii="Arial" w:hAnsi="Arial" w:cs="Arial"/>
        </w:rPr>
        <w:t xml:space="preserve">) con base en lo anterior, rechazar la oferta o continuar con el análisis de </w:t>
      </w:r>
      <w:proofErr w:type="gramStart"/>
      <w:r w:rsidRPr="001D067A">
        <w:rPr>
          <w:rFonts w:ascii="Arial" w:hAnsi="Arial" w:cs="Arial"/>
        </w:rPr>
        <w:t>la misma</w:t>
      </w:r>
      <w:proofErr w:type="gramEnd"/>
      <w:r w:rsidRPr="001D067A">
        <w:rPr>
          <w:rFonts w:ascii="Arial" w:hAnsi="Arial" w:cs="Arial"/>
        </w:rPr>
        <w:t xml:space="preserve"> en la evaluación de las ofertas. </w:t>
      </w:r>
    </w:p>
    <w:p w14:paraId="7AB56B18" w14:textId="77777777" w:rsidR="001D067A" w:rsidRPr="001D067A" w:rsidRDefault="001D067A" w:rsidP="001D067A">
      <w:pPr>
        <w:spacing w:after="120" w:line="276" w:lineRule="auto"/>
        <w:ind w:firstLine="708"/>
        <w:jc w:val="both"/>
        <w:rPr>
          <w:rFonts w:ascii="Arial" w:hAnsi="Arial" w:cs="Arial"/>
        </w:rPr>
      </w:pPr>
      <w:r w:rsidRPr="001D067A">
        <w:rPr>
          <w:rFonts w:ascii="Arial" w:hAnsi="Arial" w:cs="Arial"/>
        </w:rPr>
        <w:t xml:space="preserve">En cuanto a la elección del método de ponderación de las ofertas económicas, se trata de un mecanismo diseñado para asignar, aleatoriamente, el puntaje aplicable al factor económico. Su procedimiento fue parcialmente modificado en la tercera versión de los Documentos Tipo para obra pública de infraestructura de transporte, la cual señala que la apertura de los sobres contentivos del ofrecimiento económico y la selección del método de ponderación debe realizarse en un mismo día, antes de las 3:00 P.M., aplicando la TRM certificada por la Superintendencia Financiera que rija para el día siguiente a la apertura de los sobres. </w:t>
      </w:r>
    </w:p>
    <w:p w14:paraId="1CDA61E5" w14:textId="77777777" w:rsidR="001D067A" w:rsidRPr="001D067A" w:rsidRDefault="001D067A" w:rsidP="001D067A">
      <w:pPr>
        <w:spacing w:after="0" w:line="276" w:lineRule="auto"/>
        <w:ind w:firstLine="708"/>
        <w:jc w:val="both"/>
        <w:rPr>
          <w:rFonts w:ascii="Arial" w:hAnsi="Arial" w:cs="Arial"/>
        </w:rPr>
      </w:pPr>
      <w:r w:rsidRPr="001D067A">
        <w:rPr>
          <w:rFonts w:ascii="Arial" w:hAnsi="Arial" w:cs="Arial"/>
        </w:rPr>
        <w:t xml:space="preserve">Por tal motivo, el conocimiento o no de la Tasa Representativa del Mercado por parte de la entidad estatal no tiene relación directa con su deber de solicitar justificación al proponente que presenta una oferta con precio artificialmente bajo, máxime cuando aquel </w:t>
      </w:r>
      <w:r w:rsidRPr="001D067A">
        <w:rPr>
          <w:rFonts w:ascii="Arial" w:hAnsi="Arial" w:cs="Arial"/>
        </w:rPr>
        <w:lastRenderedPageBreak/>
        <w:t xml:space="preserve">se trata de un criterio para seleccionar el mecanismo de ponderación de las ofertas económicas y no hace parte del procedimiento ni de los lineamientos para determinar que una oferta se caracterice por ser artificialmente baja. En tal sentido, independientemente del método de ponderación seleccionado en función de la TRM es posible aplicar el tratamiento señalado respecto a las ofertas con posibles precios artificialmente bajos. </w:t>
      </w:r>
    </w:p>
    <w:p w14:paraId="00EA5082" w14:textId="77777777" w:rsidR="001D067A" w:rsidRPr="001D067A" w:rsidRDefault="001D067A" w:rsidP="001D067A">
      <w:pPr>
        <w:spacing w:after="0" w:line="240" w:lineRule="auto"/>
        <w:ind w:right="709"/>
        <w:jc w:val="both"/>
      </w:pPr>
    </w:p>
    <w:p w14:paraId="381F3530" w14:textId="77777777" w:rsidR="001D067A" w:rsidRPr="001D067A" w:rsidRDefault="001D067A" w:rsidP="001D067A">
      <w:pPr>
        <w:numPr>
          <w:ilvl w:val="0"/>
          <w:numId w:val="5"/>
        </w:numPr>
        <w:spacing w:after="0" w:line="240" w:lineRule="auto"/>
        <w:ind w:right="709"/>
        <w:contextualSpacing/>
        <w:jc w:val="both"/>
        <w:rPr>
          <w:rFonts w:ascii="Arial" w:hAnsi="Arial" w:cs="Arial"/>
          <w:sz w:val="21"/>
          <w:szCs w:val="21"/>
        </w:rPr>
      </w:pPr>
      <w:r w:rsidRPr="001D067A">
        <w:rPr>
          <w:rFonts w:ascii="Arial" w:hAnsi="Arial" w:cs="Arial"/>
          <w:sz w:val="21"/>
          <w:szCs w:val="21"/>
        </w:rPr>
        <w:t>Que tiempo debe concederse a aquellos proponentes que las Entidades requieren para sustentar las ofertas artificialmente bajas.</w:t>
      </w:r>
    </w:p>
    <w:p w14:paraId="2048417E" w14:textId="77777777" w:rsidR="001D067A" w:rsidRPr="001D067A" w:rsidRDefault="001D067A" w:rsidP="001D067A">
      <w:pPr>
        <w:spacing w:after="0" w:line="276" w:lineRule="auto"/>
        <w:ind w:left="1429" w:right="709"/>
        <w:contextualSpacing/>
        <w:jc w:val="both"/>
        <w:rPr>
          <w:rFonts w:ascii="Arial" w:hAnsi="Arial" w:cs="Arial"/>
          <w:sz w:val="21"/>
          <w:szCs w:val="21"/>
        </w:rPr>
      </w:pPr>
    </w:p>
    <w:p w14:paraId="42685920" w14:textId="1B34169D" w:rsidR="00AA0F09" w:rsidRPr="001D067A" w:rsidRDefault="001D067A" w:rsidP="001D067A">
      <w:pPr>
        <w:spacing w:after="120" w:line="276" w:lineRule="auto"/>
        <w:jc w:val="both"/>
        <w:rPr>
          <w:rFonts w:ascii="Arial" w:hAnsi="Arial" w:cs="Arial"/>
        </w:rPr>
      </w:pPr>
      <w:r w:rsidRPr="001D067A">
        <w:rPr>
          <w:rFonts w:ascii="Arial" w:hAnsi="Arial" w:cs="Arial"/>
        </w:rPr>
        <w:t xml:space="preserve">El reglamento establece la forma y momento para requerir a los proponentes </w:t>
      </w:r>
      <w:r w:rsidR="00AA0F09">
        <w:rPr>
          <w:rFonts w:ascii="Arial" w:hAnsi="Arial" w:cs="Arial"/>
          <w:color w:val="000000" w:themeColor="text1"/>
          <w:lang w:val="es-MX"/>
        </w:rPr>
        <w:t>para</w:t>
      </w:r>
      <w:r w:rsidR="00AA0F09" w:rsidRPr="00C81E0E">
        <w:rPr>
          <w:rFonts w:ascii="Arial" w:hAnsi="Arial" w:cs="Arial"/>
          <w:color w:val="000000" w:themeColor="text1"/>
          <w:lang w:val="es-MX"/>
        </w:rPr>
        <w:t xml:space="preserve"> que justifiquen el precio</w:t>
      </w:r>
      <w:r w:rsidR="00AA0F09">
        <w:rPr>
          <w:rFonts w:ascii="Arial" w:hAnsi="Arial" w:cs="Arial"/>
          <w:color w:val="000000" w:themeColor="text1"/>
          <w:lang w:val="es-MX"/>
        </w:rPr>
        <w:t xml:space="preserve"> ofrecido, dejando un margen de discrecionalidad al interior de dicha oportunidad</w:t>
      </w:r>
      <w:r w:rsidR="00AA0F09" w:rsidRPr="00C81E0E">
        <w:rPr>
          <w:rFonts w:ascii="Arial" w:hAnsi="Arial" w:cs="Arial"/>
          <w:color w:val="000000" w:themeColor="text1"/>
          <w:lang w:val="es-MX"/>
        </w:rPr>
        <w:t xml:space="preserve">: durante la evaluación de las ofertas. </w:t>
      </w:r>
      <w:r w:rsidR="00AA0F09">
        <w:rPr>
          <w:rFonts w:ascii="Arial" w:hAnsi="Arial" w:cs="Arial"/>
          <w:color w:val="000000" w:themeColor="text1"/>
          <w:lang w:val="es-MX"/>
        </w:rPr>
        <w:t>De esta manera, l</w:t>
      </w:r>
      <w:r w:rsidR="00AA0F09" w:rsidRPr="00C81E0E">
        <w:rPr>
          <w:rFonts w:ascii="Arial" w:hAnsi="Arial" w:cs="Arial"/>
          <w:color w:val="000000" w:themeColor="text1"/>
          <w:lang w:val="es-MX"/>
        </w:rPr>
        <w:t>a determinación le corresponde a cada entidad pública, para lo cual debe tener presente las particularidades de cada modalidad de selección, partiendo de la base de que la entidad solo podrá pedir explicaciones cuando conozca las ofertas económicas.</w:t>
      </w:r>
    </w:p>
    <w:p w14:paraId="54FE1794" w14:textId="69027EE4" w:rsidR="001D067A" w:rsidRPr="001D067A" w:rsidRDefault="001D067A" w:rsidP="006F64D5">
      <w:pPr>
        <w:spacing w:after="120" w:line="276" w:lineRule="auto"/>
        <w:ind w:firstLine="708"/>
        <w:jc w:val="both"/>
        <w:rPr>
          <w:rFonts w:ascii="Arial" w:hAnsi="Arial" w:cs="Arial"/>
        </w:rPr>
      </w:pPr>
      <w:r w:rsidRPr="001D067A">
        <w:rPr>
          <w:rFonts w:ascii="Arial" w:hAnsi="Arial" w:cs="Arial"/>
        </w:rPr>
        <w:t>En desarrollo de una licitación pública para seleccionar a contratistas de obra, una vez publicado el informe de evaluación de los documentos e información de los requisitos habilitantes y de los documentos a los que se les asigne puntaje, diferentes a la oferta económica, y transcurrido el término para que los proponentes presenten observaciones y, de ser el caso, aporten la documentación que se les hubiere solicitado, la entidad debe publicar el «informe final de evaluación». Posteriormente, en la fecha establecida en el Anexo 2 – Cronograma, se debe llevar a cabo la «audiencia efectiva de adjudicación», durante la cual la entidad</w:t>
      </w:r>
      <w:r w:rsidR="00AA0F09">
        <w:rPr>
          <w:rFonts w:ascii="Arial" w:hAnsi="Arial" w:cs="Arial"/>
        </w:rPr>
        <w:t>, además de adelantar otras actuaciones,</w:t>
      </w:r>
      <w:r w:rsidRPr="001D067A">
        <w:rPr>
          <w:rFonts w:ascii="Arial" w:hAnsi="Arial" w:cs="Arial"/>
        </w:rPr>
        <w:t xml:space="preserve"> abrirá el Sobre 2, que contiene las ofertas económicas, de los proponentes habilitados y evaluará las ofertas económicas. Es en este momento en donde se conoce, por primera vez, la oferta económica de los proponentes.</w:t>
      </w:r>
    </w:p>
    <w:p w14:paraId="32DB5D10" w14:textId="38544147" w:rsidR="001D067A" w:rsidRPr="001D067A" w:rsidRDefault="001D067A" w:rsidP="001D067A">
      <w:pPr>
        <w:spacing w:after="120" w:line="276" w:lineRule="auto"/>
        <w:ind w:firstLine="708"/>
        <w:jc w:val="both"/>
        <w:rPr>
          <w:rFonts w:ascii="Arial" w:hAnsi="Arial" w:cs="Arial"/>
        </w:rPr>
      </w:pPr>
      <w:r w:rsidRPr="001D067A">
        <w:rPr>
          <w:rFonts w:ascii="Arial" w:hAnsi="Arial" w:cs="Arial"/>
        </w:rPr>
        <w:t xml:space="preserve">Es del caso precisar </w:t>
      </w:r>
      <w:proofErr w:type="gramStart"/>
      <w:r w:rsidRPr="001D067A">
        <w:rPr>
          <w:rFonts w:ascii="Arial" w:hAnsi="Arial" w:cs="Arial"/>
        </w:rPr>
        <w:t>que</w:t>
      </w:r>
      <w:proofErr w:type="gramEnd"/>
      <w:r w:rsidRPr="001D067A">
        <w:rPr>
          <w:rFonts w:ascii="Arial" w:hAnsi="Arial" w:cs="Arial"/>
        </w:rPr>
        <w:t xml:space="preserve"> aunque es cierto que tratándose de procesos de licitación de obra pública de infraestructura de transporte el requerimiento que hace la entidad y la respuesta que brinda el oferente debe hacerse en la «audiencia efectiva de adjudicación», también lo es que la entidad, excepcionalmente, podrá suspender la audiencia para analizar el caso y contar con mejores elementos de juicio para adoptar las decisiones que le correspondiere tomar. Esta autorización tiene como fundamento el artículo 2.2.1.2.1.1.2., numeral 1, del Decreto 1082 de 2015, que establece que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248DEF8D" w14:textId="5C9907EF" w:rsidR="001D067A" w:rsidRDefault="001D067A" w:rsidP="001D067A">
      <w:pPr>
        <w:spacing w:after="0" w:line="276" w:lineRule="auto"/>
        <w:ind w:firstLine="708"/>
        <w:jc w:val="both"/>
        <w:rPr>
          <w:rFonts w:ascii="Arial" w:hAnsi="Arial" w:cs="Arial"/>
        </w:rPr>
      </w:pPr>
      <w:r w:rsidRPr="001D067A">
        <w:rPr>
          <w:rFonts w:ascii="Arial" w:hAnsi="Arial" w:cs="Arial"/>
        </w:rPr>
        <w:t>Incluso, de considerarlo procedente, la entidad podrá suspender la diligencia de adjudicación para permitirle al proponente que recopile mejores elementos de juicio para responder al requerimiento, claro está, justificando tal determinación. En todo caso, se debe tener en cuenta que dicha decisión es facultativa, lo que significa que no es obligatorio hacerlo en todos los casos, aun cuando lo hubiere solicitado el proponente expresamente.</w:t>
      </w:r>
      <w:r w:rsidR="0003202C">
        <w:rPr>
          <w:rFonts w:ascii="Arial" w:hAnsi="Arial" w:cs="Arial"/>
        </w:rPr>
        <w:t xml:space="preserve"> En este sentido, como se explicó en las consideraciones existe discrecionalidad para que las entidades definan el término que otorgarán a los proponente</w:t>
      </w:r>
      <w:r w:rsidR="004407A0">
        <w:rPr>
          <w:rFonts w:ascii="Arial" w:hAnsi="Arial" w:cs="Arial"/>
        </w:rPr>
        <w:t>s</w:t>
      </w:r>
      <w:r w:rsidR="0003202C">
        <w:rPr>
          <w:rFonts w:ascii="Arial" w:hAnsi="Arial" w:cs="Arial"/>
        </w:rPr>
        <w:t xml:space="preserve"> para presentar las </w:t>
      </w:r>
      <w:r w:rsidR="004407A0">
        <w:rPr>
          <w:rFonts w:ascii="Arial" w:hAnsi="Arial" w:cs="Arial"/>
        </w:rPr>
        <w:lastRenderedPageBreak/>
        <w:t>explicaciones</w:t>
      </w:r>
      <w:r w:rsidR="0003202C">
        <w:rPr>
          <w:rFonts w:ascii="Arial" w:hAnsi="Arial" w:cs="Arial"/>
        </w:rPr>
        <w:t xml:space="preserve"> frente a las propuestas que parecen ser </w:t>
      </w:r>
      <w:r w:rsidR="004407A0">
        <w:rPr>
          <w:rFonts w:ascii="Arial" w:hAnsi="Arial" w:cs="Arial"/>
        </w:rPr>
        <w:t>artificialmente</w:t>
      </w:r>
      <w:r w:rsidR="0003202C">
        <w:rPr>
          <w:rFonts w:ascii="Arial" w:hAnsi="Arial" w:cs="Arial"/>
        </w:rPr>
        <w:t xml:space="preserve"> bajas.</w:t>
      </w:r>
      <w:r w:rsidRPr="001D067A">
        <w:rPr>
          <w:rFonts w:ascii="Arial" w:hAnsi="Arial" w:cs="Arial"/>
        </w:rPr>
        <w:t xml:space="preserve"> De todos modos, el artículo 2.2.1.1.2.2.4. del Decreto 1082 de 2015 prevé que el comité evaluador una vez analice las explicaciones que justifican el precio decidirá si rechaza o no la oferta. Ahora, si el proponente no allega información, será una omisión que deberá analizar el comité evaluador y, de ser el caso, podrá rechazar la oferta. </w:t>
      </w:r>
    </w:p>
    <w:p w14:paraId="1AD943E1" w14:textId="77777777" w:rsidR="00577602" w:rsidRPr="006F64D5" w:rsidRDefault="00577602" w:rsidP="001D067A">
      <w:pPr>
        <w:spacing w:after="0" w:line="276" w:lineRule="auto"/>
        <w:ind w:firstLine="708"/>
        <w:jc w:val="both"/>
        <w:rPr>
          <w:rFonts w:ascii="Arial" w:hAnsi="Arial" w:cs="Arial"/>
          <w:lang w:val="es-ES"/>
        </w:rPr>
      </w:pPr>
    </w:p>
    <w:p w14:paraId="2FB779D3" w14:textId="59F2197C" w:rsidR="00F20888" w:rsidRDefault="00F20888" w:rsidP="001D067A">
      <w:pPr>
        <w:spacing w:after="0" w:line="276" w:lineRule="auto"/>
        <w:jc w:val="both"/>
        <w:rPr>
          <w:rFonts w:ascii="Arial" w:eastAsia="Times New Roman" w:hAnsi="Arial" w:cs="Arial"/>
          <w:color w:val="000000"/>
          <w:lang w:val="es-ES_tradnl" w:eastAsia="es-CO"/>
        </w:rPr>
      </w:pPr>
    </w:p>
    <w:p w14:paraId="37C87E7E" w14:textId="1D6E2EAD" w:rsidR="00105977" w:rsidRDefault="00105977" w:rsidP="001D067A">
      <w:pPr>
        <w:spacing w:after="0" w:line="276" w:lineRule="auto"/>
        <w:jc w:val="both"/>
        <w:rPr>
          <w:rFonts w:ascii="Arial" w:eastAsia="Times New Roman" w:hAnsi="Arial" w:cs="Arial"/>
          <w:color w:val="000000"/>
          <w:lang w:val="es-ES_tradnl" w:eastAsia="es-CO"/>
        </w:rPr>
      </w:pPr>
      <w:r w:rsidRPr="00B749D1">
        <w:rPr>
          <w:rFonts w:ascii="Arial" w:eastAsia="Calibri" w:hAnsi="Arial" w:cs="Arial"/>
          <w:color w:val="000000"/>
          <w:lang w:val="es-ES_tradnl"/>
        </w:rPr>
        <w:t>Este concepto tiene el alcance previsto en el artículo 28 del Código de Procedimiento Administrativo y de lo Contencioso Administrativo.</w:t>
      </w:r>
    </w:p>
    <w:p w14:paraId="72126781" w14:textId="77777777" w:rsidR="00105977" w:rsidRPr="00D7149D" w:rsidRDefault="00105977" w:rsidP="001D067A">
      <w:pPr>
        <w:spacing w:after="0" w:line="276" w:lineRule="auto"/>
        <w:jc w:val="both"/>
        <w:rPr>
          <w:rFonts w:ascii="Arial" w:eastAsia="Times New Roman" w:hAnsi="Arial" w:cs="Arial"/>
          <w:color w:val="000000"/>
          <w:lang w:val="es-ES_tradnl" w:eastAsia="es-CO"/>
        </w:rPr>
      </w:pPr>
    </w:p>
    <w:p w14:paraId="2CC95A50" w14:textId="77777777" w:rsidR="00F20888" w:rsidRPr="00D7149D" w:rsidRDefault="00F20888" w:rsidP="001D067A">
      <w:pPr>
        <w:spacing w:after="0" w:line="276" w:lineRule="auto"/>
        <w:jc w:val="both"/>
        <w:rPr>
          <w:rFonts w:ascii="Arial" w:eastAsia="Times New Roman" w:hAnsi="Arial" w:cs="Arial"/>
          <w:color w:val="000000"/>
          <w:lang w:val="es-ES_tradnl" w:eastAsia="es-CO"/>
        </w:rPr>
      </w:pPr>
      <w:r w:rsidRPr="00D7149D">
        <w:rPr>
          <w:rFonts w:ascii="Arial" w:eastAsia="Times New Roman" w:hAnsi="Arial" w:cs="Arial"/>
          <w:color w:val="000000"/>
          <w:lang w:val="es-ES_tradnl" w:eastAsia="es-CO"/>
        </w:rPr>
        <w:t>Atentamente,</w:t>
      </w:r>
    </w:p>
    <w:p w14:paraId="439A6D8E" w14:textId="77777777" w:rsidR="00F20888" w:rsidRPr="00D7149D" w:rsidRDefault="00F20888" w:rsidP="00F20888">
      <w:pPr>
        <w:spacing w:after="0" w:line="276" w:lineRule="auto"/>
        <w:jc w:val="center"/>
        <w:rPr>
          <w:rFonts w:ascii="Arial" w:eastAsia="Times New Roman" w:hAnsi="Arial" w:cs="Arial"/>
          <w:color w:val="000000"/>
          <w:lang w:val="es-ES_tradnl" w:eastAsia="es-CO"/>
        </w:rPr>
      </w:pPr>
      <w:r w:rsidRPr="00D7149D">
        <w:rPr>
          <w:noProof/>
          <w:lang w:val="es-ES" w:eastAsia="es-ES"/>
        </w:rPr>
        <w:drawing>
          <wp:inline distT="0" distB="0" distL="0" distR="0" wp14:anchorId="70D1B45F" wp14:editId="38018764">
            <wp:extent cx="2418545" cy="1207698"/>
            <wp:effectExtent l="0" t="0" r="1270" b="0"/>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rotWithShape="1">
                    <a:blip r:embed="rId13"/>
                    <a:srcRect l="16213" t="29010" r="14837"/>
                    <a:stretch/>
                  </pic:blipFill>
                  <pic:spPr bwMode="auto">
                    <a:xfrm>
                      <a:off x="0" y="0"/>
                      <a:ext cx="2613924" cy="13052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1669A6CC" w14:textId="77777777" w:rsidR="00F20888" w:rsidRPr="00D7149D" w:rsidRDefault="00F20888" w:rsidP="00F20888">
      <w:pPr>
        <w:spacing w:after="0" w:line="240" w:lineRule="auto"/>
        <w:rPr>
          <w:rFonts w:ascii="Arial" w:eastAsia="Calibri" w:hAnsi="Arial" w:cs="Arial"/>
          <w:color w:val="000000"/>
          <w:sz w:val="18"/>
          <w:szCs w:val="2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0888" w:rsidRPr="00D7149D" w14:paraId="6A2DD1E1" w14:textId="77777777" w:rsidTr="00A20B04">
        <w:trPr>
          <w:trHeight w:val="315"/>
        </w:trPr>
        <w:tc>
          <w:tcPr>
            <w:tcW w:w="812" w:type="dxa"/>
            <w:vAlign w:val="center"/>
            <w:hideMark/>
          </w:tcPr>
          <w:p w14:paraId="6E309B26" w14:textId="77777777" w:rsidR="00F20888" w:rsidRPr="00D7149D" w:rsidRDefault="00F20888" w:rsidP="00A20B04">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9BD061A" w14:textId="77777777" w:rsidR="00F20888" w:rsidRPr="00D7149D" w:rsidRDefault="00F20888" w:rsidP="00A20B04">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Carlos Mario Castrillón Endo</w:t>
            </w:r>
          </w:p>
          <w:p w14:paraId="439FF2AE" w14:textId="77777777" w:rsidR="00F20888" w:rsidRPr="00D7149D" w:rsidRDefault="00F20888" w:rsidP="00A20B04">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Contratista de la Subdirección de Gestión Contractual</w:t>
            </w:r>
          </w:p>
        </w:tc>
      </w:tr>
      <w:tr w:rsidR="00F20888" w:rsidRPr="00D7149D" w14:paraId="180D0EDA" w14:textId="77777777" w:rsidTr="00A20B04">
        <w:trPr>
          <w:trHeight w:val="330"/>
        </w:trPr>
        <w:tc>
          <w:tcPr>
            <w:tcW w:w="812" w:type="dxa"/>
            <w:vAlign w:val="center"/>
            <w:hideMark/>
          </w:tcPr>
          <w:p w14:paraId="7AD98851" w14:textId="77777777" w:rsidR="00F20888" w:rsidRPr="00D7149D" w:rsidRDefault="00F20888" w:rsidP="00A20B04">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64F74A1" w14:textId="77777777" w:rsidR="00F20888" w:rsidRPr="00D7149D" w:rsidRDefault="00F20888" w:rsidP="00A20B04">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 xml:space="preserve">Sebastián Ramírez Grisales </w:t>
            </w:r>
          </w:p>
          <w:p w14:paraId="3139F8DD" w14:textId="77777777" w:rsidR="00F20888" w:rsidRPr="00D7149D" w:rsidRDefault="00F20888" w:rsidP="00A20B04">
            <w:pPr>
              <w:rPr>
                <w:rFonts w:ascii="Arial" w:eastAsia="Calibri" w:hAnsi="Arial" w:cs="Arial"/>
                <w:sz w:val="16"/>
                <w:szCs w:val="16"/>
                <w:lang w:val="es-ES_tradnl" w:eastAsia="es-ES"/>
              </w:rPr>
            </w:pPr>
            <w:r>
              <w:rPr>
                <w:rFonts w:ascii="Arial" w:hAnsi="Arial" w:cs="Arial"/>
                <w:color w:val="000000" w:themeColor="text1"/>
                <w:sz w:val="16"/>
                <w:szCs w:val="16"/>
                <w:lang w:val="es-ES_tradnl" w:eastAsia="es-ES"/>
              </w:rPr>
              <w:t>Contratista</w:t>
            </w:r>
            <w:r w:rsidRPr="00D7149D">
              <w:rPr>
                <w:rFonts w:ascii="Arial" w:hAnsi="Arial" w:cs="Arial"/>
                <w:color w:val="000000" w:themeColor="text1"/>
                <w:sz w:val="16"/>
                <w:szCs w:val="16"/>
                <w:lang w:val="es-ES_tradnl" w:eastAsia="es-ES"/>
              </w:rPr>
              <w:t xml:space="preserve"> de la Subdirección de Gestión Contractual  </w:t>
            </w:r>
          </w:p>
        </w:tc>
      </w:tr>
      <w:tr w:rsidR="00F20888" w:rsidRPr="00D7149D" w14:paraId="27CD0B8D" w14:textId="77777777" w:rsidTr="00A20B04">
        <w:trPr>
          <w:trHeight w:val="300"/>
        </w:trPr>
        <w:tc>
          <w:tcPr>
            <w:tcW w:w="812" w:type="dxa"/>
            <w:vAlign w:val="center"/>
            <w:hideMark/>
          </w:tcPr>
          <w:p w14:paraId="47FF8F7F" w14:textId="77777777" w:rsidR="00F20888" w:rsidRPr="00D7149D" w:rsidRDefault="00F20888" w:rsidP="00A20B04">
            <w:pPr>
              <w:rPr>
                <w:rFonts w:ascii="Arial" w:eastAsia="Calibri" w:hAnsi="Arial" w:cs="Arial"/>
                <w:sz w:val="16"/>
                <w:szCs w:val="16"/>
                <w:lang w:val="es-ES_tradnl" w:eastAsia="es-ES"/>
              </w:rPr>
            </w:pPr>
            <w:r w:rsidRPr="00D7149D">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3230CDDC" w14:textId="77777777" w:rsidR="00F20888" w:rsidRPr="00D7149D" w:rsidRDefault="00F20888" w:rsidP="00A20B04">
            <w:pPr>
              <w:rPr>
                <w:rFonts w:ascii="Arial" w:eastAsia="Calibri" w:hAnsi="Arial" w:cs="Arial"/>
                <w:sz w:val="16"/>
                <w:szCs w:val="16"/>
                <w:lang w:val="pt-BR" w:eastAsia="es-ES"/>
              </w:rPr>
            </w:pPr>
            <w:r w:rsidRPr="00D7149D">
              <w:rPr>
                <w:rFonts w:ascii="Arial" w:eastAsia="Calibri" w:hAnsi="Arial" w:cs="Arial"/>
                <w:sz w:val="16"/>
                <w:szCs w:val="16"/>
                <w:lang w:val="pt-BR" w:eastAsia="es-ES"/>
              </w:rPr>
              <w:t>Jorge Augusto Tirado Navarro</w:t>
            </w:r>
          </w:p>
          <w:p w14:paraId="155638C8" w14:textId="77777777" w:rsidR="00F20888" w:rsidRPr="00D7149D" w:rsidRDefault="00F20888" w:rsidP="00A20B04">
            <w:pPr>
              <w:rPr>
                <w:rFonts w:ascii="Arial" w:eastAsia="Calibri" w:hAnsi="Arial" w:cs="Arial"/>
                <w:sz w:val="16"/>
                <w:szCs w:val="16"/>
                <w:lang w:val="pt-BR" w:eastAsia="es-ES"/>
              </w:rPr>
            </w:pPr>
            <w:proofErr w:type="spellStart"/>
            <w:r w:rsidRPr="00D7149D">
              <w:rPr>
                <w:rFonts w:ascii="Arial" w:eastAsia="Calibri" w:hAnsi="Arial" w:cs="Arial"/>
                <w:sz w:val="16"/>
                <w:szCs w:val="16"/>
                <w:lang w:val="pt-BR" w:eastAsia="es-ES"/>
              </w:rPr>
              <w:t>Subdirector</w:t>
            </w:r>
            <w:proofErr w:type="spellEnd"/>
            <w:r w:rsidRPr="00D7149D">
              <w:rPr>
                <w:rFonts w:ascii="Arial" w:eastAsia="Calibri" w:hAnsi="Arial" w:cs="Arial"/>
                <w:sz w:val="16"/>
                <w:szCs w:val="16"/>
                <w:lang w:val="pt-BR" w:eastAsia="es-ES"/>
              </w:rPr>
              <w:t xml:space="preserve"> de Gestión </w:t>
            </w:r>
            <w:proofErr w:type="spellStart"/>
            <w:r w:rsidRPr="00D7149D">
              <w:rPr>
                <w:rFonts w:ascii="Arial" w:eastAsia="Calibri" w:hAnsi="Arial" w:cs="Arial"/>
                <w:sz w:val="16"/>
                <w:szCs w:val="16"/>
                <w:lang w:val="pt-BR" w:eastAsia="es-ES"/>
              </w:rPr>
              <w:t>Contractual</w:t>
            </w:r>
            <w:proofErr w:type="spellEnd"/>
            <w:r w:rsidRPr="00D7149D">
              <w:rPr>
                <w:rFonts w:ascii="Arial" w:eastAsia="Calibri" w:hAnsi="Arial" w:cs="Arial"/>
                <w:sz w:val="16"/>
                <w:szCs w:val="16"/>
                <w:lang w:val="pt-BR" w:eastAsia="es-ES"/>
              </w:rPr>
              <w:t xml:space="preserve"> ANCP – CCE</w:t>
            </w:r>
          </w:p>
        </w:tc>
      </w:tr>
    </w:tbl>
    <w:p w14:paraId="0040F139" w14:textId="77777777" w:rsidR="00F20888" w:rsidRPr="00D7149D" w:rsidRDefault="00F20888" w:rsidP="00F20888">
      <w:pPr>
        <w:spacing w:after="0" w:line="240" w:lineRule="auto"/>
        <w:rPr>
          <w:rFonts w:ascii="Arial" w:eastAsia="Calibri" w:hAnsi="Arial" w:cs="Arial"/>
          <w:sz w:val="16"/>
          <w:szCs w:val="16"/>
          <w:lang w:val="pt-BR" w:eastAsia="es-ES"/>
        </w:rPr>
      </w:pPr>
    </w:p>
    <w:p w14:paraId="5672D8BE" w14:textId="77777777" w:rsidR="00F20888" w:rsidRPr="00D7149D" w:rsidRDefault="00F20888" w:rsidP="00F20888"/>
    <w:p w14:paraId="0EF1E458" w14:textId="77777777" w:rsidR="00F20888" w:rsidRPr="00583AED" w:rsidRDefault="00F20888" w:rsidP="00F20888">
      <w:pPr>
        <w:spacing w:after="0"/>
        <w:jc w:val="both"/>
        <w:rPr>
          <w:rFonts w:ascii="Arial" w:hAnsi="Arial" w:cs="Arial"/>
          <w:b/>
          <w:bCs/>
        </w:rPr>
      </w:pPr>
    </w:p>
    <w:p w14:paraId="0F4B3678" w14:textId="77777777" w:rsidR="003255AD" w:rsidRDefault="003255AD"/>
    <w:sectPr w:rsidR="003255AD">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FB6C" w14:textId="77777777" w:rsidR="0098344B" w:rsidRDefault="0098344B" w:rsidP="00F20888">
      <w:pPr>
        <w:spacing w:after="0" w:line="240" w:lineRule="auto"/>
      </w:pPr>
      <w:r>
        <w:separator/>
      </w:r>
    </w:p>
  </w:endnote>
  <w:endnote w:type="continuationSeparator" w:id="0">
    <w:p w14:paraId="381227F2" w14:textId="77777777" w:rsidR="0098344B" w:rsidRDefault="0098344B" w:rsidP="00F2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290" w14:textId="77777777" w:rsidR="00F20888" w:rsidRPr="007210F9" w:rsidRDefault="00F20888" w:rsidP="00F20888">
    <w:pPr>
      <w:pStyle w:val="Piedepgina"/>
      <w:jc w:val="right"/>
      <w:rPr>
        <w:rFonts w:ascii="Arial" w:hAnsi="Arial" w:cs="Arial"/>
        <w:color w:val="7F7F7F"/>
        <w:sz w:val="16"/>
        <w:szCs w:val="16"/>
      </w:rPr>
    </w:pPr>
    <w:r w:rsidRPr="007210F9">
      <w:rPr>
        <w:rFonts w:ascii="Arial" w:hAnsi="Arial" w:cs="Arial"/>
        <w:bCs/>
        <w:color w:val="7F7F7F"/>
        <w:sz w:val="16"/>
        <w:szCs w:val="16"/>
      </w:rPr>
      <w:t xml:space="preserve">Página </w:t>
    </w:r>
    <w:r w:rsidRPr="007210F9">
      <w:rPr>
        <w:rFonts w:ascii="Arial" w:hAnsi="Arial" w:cs="Arial"/>
        <w:b/>
        <w:bCs/>
        <w:color w:val="7F7F7F"/>
        <w:sz w:val="16"/>
        <w:szCs w:val="16"/>
      </w:rPr>
      <w:fldChar w:fldCharType="begin"/>
    </w:r>
    <w:r w:rsidRPr="007210F9">
      <w:rPr>
        <w:rFonts w:ascii="Arial" w:hAnsi="Arial" w:cs="Arial"/>
        <w:b/>
        <w:bCs/>
        <w:color w:val="7F7F7F"/>
        <w:sz w:val="16"/>
        <w:szCs w:val="16"/>
      </w:rPr>
      <w:instrText>PAGE  \* Arabic  \* MERGEFORMAT</w:instrText>
    </w:r>
    <w:r w:rsidRPr="007210F9">
      <w:rPr>
        <w:rFonts w:ascii="Arial" w:hAnsi="Arial" w:cs="Arial"/>
        <w:b/>
        <w:bCs/>
        <w:color w:val="7F7F7F"/>
        <w:sz w:val="16"/>
        <w:szCs w:val="16"/>
      </w:rPr>
      <w:fldChar w:fldCharType="separate"/>
    </w:r>
    <w:r w:rsidRPr="007210F9">
      <w:rPr>
        <w:rFonts w:ascii="Arial" w:hAnsi="Arial" w:cs="Arial"/>
        <w:b/>
        <w:bCs/>
        <w:color w:val="7F7F7F"/>
        <w:sz w:val="16"/>
        <w:szCs w:val="16"/>
      </w:rPr>
      <w:t>10</w:t>
    </w:r>
    <w:r w:rsidRPr="007210F9">
      <w:rPr>
        <w:rFonts w:ascii="Arial" w:hAnsi="Arial" w:cs="Arial"/>
        <w:b/>
        <w:bCs/>
        <w:color w:val="7F7F7F"/>
        <w:sz w:val="16"/>
        <w:szCs w:val="16"/>
      </w:rPr>
      <w:fldChar w:fldCharType="end"/>
    </w:r>
    <w:r w:rsidRPr="007210F9">
      <w:rPr>
        <w:rFonts w:ascii="Arial" w:hAnsi="Arial" w:cs="Arial"/>
        <w:color w:val="7F7F7F"/>
        <w:sz w:val="16"/>
        <w:szCs w:val="16"/>
      </w:rPr>
      <w:t xml:space="preserve"> de </w:t>
    </w:r>
    <w:r w:rsidRPr="007210F9">
      <w:rPr>
        <w:rFonts w:ascii="Arial" w:hAnsi="Arial" w:cs="Arial"/>
        <w:b/>
        <w:bCs/>
        <w:color w:val="7F7F7F"/>
        <w:sz w:val="16"/>
        <w:szCs w:val="16"/>
      </w:rPr>
      <w:fldChar w:fldCharType="begin"/>
    </w:r>
    <w:r w:rsidRPr="007210F9">
      <w:rPr>
        <w:rFonts w:ascii="Arial" w:hAnsi="Arial" w:cs="Arial"/>
        <w:b/>
        <w:bCs/>
        <w:color w:val="7F7F7F"/>
        <w:sz w:val="16"/>
        <w:szCs w:val="16"/>
      </w:rPr>
      <w:instrText>NUMPAGES  \* Arabic  \* MERGEFORMAT</w:instrText>
    </w:r>
    <w:r w:rsidRPr="007210F9">
      <w:rPr>
        <w:rFonts w:ascii="Arial" w:hAnsi="Arial" w:cs="Arial"/>
        <w:b/>
        <w:bCs/>
        <w:color w:val="7F7F7F"/>
        <w:sz w:val="16"/>
        <w:szCs w:val="16"/>
      </w:rPr>
      <w:fldChar w:fldCharType="separate"/>
    </w:r>
    <w:r w:rsidRPr="007210F9">
      <w:rPr>
        <w:rFonts w:ascii="Arial" w:hAnsi="Arial" w:cs="Arial"/>
        <w:b/>
        <w:bCs/>
        <w:color w:val="7F7F7F"/>
        <w:sz w:val="16"/>
        <w:szCs w:val="16"/>
      </w:rPr>
      <w:t>17</w:t>
    </w:r>
    <w:r w:rsidRPr="007210F9">
      <w:rPr>
        <w:rFonts w:ascii="Arial" w:hAnsi="Arial" w:cs="Arial"/>
        <w:b/>
        <w:bCs/>
        <w:color w:val="7F7F7F"/>
        <w:sz w:val="16"/>
        <w:szCs w:val="16"/>
      </w:rPr>
      <w:fldChar w:fldCharType="end"/>
    </w:r>
  </w:p>
  <w:p w14:paraId="7EF4FFE6" w14:textId="77777777" w:rsidR="00F20888" w:rsidRDefault="00F20888" w:rsidP="00F20888">
    <w:pPr>
      <w:pStyle w:val="Piedepgina"/>
      <w:jc w:val="center"/>
      <w:rPr>
        <w:lang w:val="es-ES"/>
      </w:rPr>
    </w:pPr>
    <w:r>
      <w:rPr>
        <w:noProof/>
        <w:lang w:val="en-US"/>
      </w:rPr>
      <w:drawing>
        <wp:inline distT="0" distB="0" distL="0" distR="0" wp14:anchorId="58CDBDE9" wp14:editId="67FB6C82">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5E26" w14:textId="77777777" w:rsidR="0098344B" w:rsidRDefault="0098344B" w:rsidP="00F20888">
      <w:pPr>
        <w:spacing w:after="0" w:line="240" w:lineRule="auto"/>
      </w:pPr>
      <w:r>
        <w:separator/>
      </w:r>
    </w:p>
  </w:footnote>
  <w:footnote w:type="continuationSeparator" w:id="0">
    <w:p w14:paraId="2A7918E0" w14:textId="77777777" w:rsidR="0098344B" w:rsidRDefault="0098344B" w:rsidP="00F20888">
      <w:pPr>
        <w:spacing w:after="0" w:line="240" w:lineRule="auto"/>
      </w:pPr>
      <w:r>
        <w:continuationSeparator/>
      </w:r>
    </w:p>
  </w:footnote>
  <w:footnote w:id="1">
    <w:p w14:paraId="7790ACEB" w14:textId="77777777" w:rsidR="004C5557" w:rsidRPr="00AE5764" w:rsidRDefault="004C5557" w:rsidP="004C5557">
      <w:pPr>
        <w:pStyle w:val="Textonotapie"/>
        <w:ind w:firstLine="709"/>
        <w:jc w:val="both"/>
        <w:rPr>
          <w:rFonts w:ascii="Arial" w:hAnsi="Arial" w:cs="Arial"/>
          <w:sz w:val="19"/>
          <w:szCs w:val="19"/>
          <w:lang w:val="es-CO"/>
        </w:rPr>
      </w:pPr>
      <w:r w:rsidRPr="00AE5764">
        <w:rPr>
          <w:rStyle w:val="Refdenotaalpie"/>
          <w:rFonts w:ascii="Arial" w:hAnsi="Arial" w:cs="Arial"/>
          <w:sz w:val="19"/>
          <w:szCs w:val="19"/>
        </w:rPr>
        <w:footnoteRef/>
      </w:r>
      <w:r w:rsidRPr="00AE5764">
        <w:rPr>
          <w:rFonts w:ascii="Arial" w:hAnsi="Arial" w:cs="Arial"/>
          <w:sz w:val="19"/>
          <w:szCs w:val="19"/>
        </w:rPr>
        <w:t xml:space="preserve"> </w:t>
      </w:r>
      <w:r w:rsidRPr="00AE5764">
        <w:rPr>
          <w:rFonts w:ascii="Arial" w:hAnsi="Arial" w:cs="Arial"/>
          <w:sz w:val="19"/>
          <w:szCs w:val="19"/>
          <w:lang w:val="es-CO"/>
        </w:rPr>
        <w:t xml:space="preserve">Estos conceptos pueden ser consultados en: </w:t>
      </w:r>
      <w:hyperlink r:id="rId1" w:history="1">
        <w:r w:rsidRPr="00AE5764">
          <w:rPr>
            <w:rStyle w:val="Hipervnculo"/>
            <w:rFonts w:ascii="Arial" w:hAnsi="Arial" w:cs="Arial"/>
            <w:color w:val="000000" w:themeColor="text1"/>
            <w:sz w:val="19"/>
            <w:szCs w:val="19"/>
            <w:lang w:val="es-CO"/>
          </w:rPr>
          <w:t>https://relatoria.colombiacompra.gov.co/busqueda/conceptos#</w:t>
        </w:r>
      </w:hyperlink>
      <w:r w:rsidRPr="00AE5764">
        <w:rPr>
          <w:rFonts w:ascii="Arial" w:hAnsi="Arial" w:cs="Arial"/>
          <w:sz w:val="19"/>
          <w:szCs w:val="19"/>
          <w:lang w:val="es-CO"/>
        </w:rPr>
        <w:t xml:space="preserve"> </w:t>
      </w:r>
    </w:p>
  </w:footnote>
  <w:footnote w:id="2">
    <w:p w14:paraId="521DDC87" w14:textId="77777777" w:rsidR="00F20888" w:rsidRPr="00E74C09" w:rsidRDefault="00F20888" w:rsidP="00F20888">
      <w:pPr>
        <w:pStyle w:val="Textonotapie"/>
        <w:ind w:firstLine="709"/>
        <w:jc w:val="both"/>
        <w:rPr>
          <w:rFonts w:ascii="Arial" w:hAnsi="Arial" w:cs="Arial"/>
          <w:sz w:val="19"/>
          <w:szCs w:val="19"/>
          <w:lang w:val="es-CO"/>
        </w:rPr>
      </w:pPr>
      <w:r w:rsidRPr="00E74C09">
        <w:rPr>
          <w:rStyle w:val="Refdenotaalpie"/>
          <w:rFonts w:ascii="Arial" w:hAnsi="Arial" w:cs="Arial"/>
          <w:sz w:val="19"/>
          <w:szCs w:val="19"/>
        </w:rPr>
        <w:footnoteRef/>
      </w:r>
      <w:r w:rsidRPr="00E74C09">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5EA21A95" w14:textId="77777777" w:rsidR="00F20888" w:rsidRPr="00E74C09" w:rsidRDefault="00F20888" w:rsidP="00F20888">
      <w:pPr>
        <w:pStyle w:val="Textonotapie"/>
        <w:ind w:firstLine="709"/>
        <w:jc w:val="both"/>
        <w:rPr>
          <w:rFonts w:ascii="Arial" w:hAnsi="Arial" w:cs="Arial"/>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w:t>
      </w:r>
      <w:r w:rsidRPr="00E74C09">
        <w:rPr>
          <w:rFonts w:ascii="Arial" w:hAnsi="Arial" w:cs="Arial"/>
          <w:sz w:val="19"/>
          <w:szCs w:val="19"/>
          <w:lang w:val="es-CO"/>
        </w:rPr>
        <w:t xml:space="preserve">Ley 1882 de 2018: «Artículo 4. </w:t>
      </w:r>
      <w:r w:rsidRPr="00E74C0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BE2A36B" w14:textId="77777777" w:rsidR="00F20888" w:rsidRPr="00E74C09" w:rsidRDefault="00F20888" w:rsidP="00F20888">
      <w:pPr>
        <w:pStyle w:val="Textonotapie"/>
        <w:ind w:firstLine="709"/>
        <w:jc w:val="both"/>
        <w:rPr>
          <w:rFonts w:ascii="Arial" w:hAnsi="Arial" w:cs="Arial"/>
          <w:sz w:val="19"/>
          <w:szCs w:val="19"/>
          <w:lang w:val="es-CO"/>
        </w:rPr>
      </w:pPr>
      <w:proofErr w:type="gramStart"/>
      <w:r w:rsidRPr="00E74C09">
        <w:rPr>
          <w:rFonts w:ascii="Arial" w:hAnsi="Arial" w:cs="Arial"/>
          <w:sz w:val="19"/>
          <w:szCs w:val="19"/>
          <w:lang w:val="es-CO"/>
        </w:rPr>
        <w:t>»La</w:t>
      </w:r>
      <w:proofErr w:type="gramEnd"/>
      <w:r w:rsidRPr="00E74C09">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10A3F8D2" w14:textId="77777777" w:rsidR="00F20888" w:rsidRPr="00E74C09" w:rsidRDefault="00F20888" w:rsidP="00F20888">
      <w:pPr>
        <w:pStyle w:val="Textonotapie"/>
        <w:ind w:firstLine="709"/>
        <w:jc w:val="both"/>
        <w:rPr>
          <w:rFonts w:ascii="Arial" w:hAnsi="Arial" w:cs="Arial"/>
          <w:sz w:val="19"/>
          <w:szCs w:val="19"/>
          <w:lang w:val="es-CO"/>
        </w:rPr>
      </w:pPr>
      <w:proofErr w:type="gramStart"/>
      <w:r w:rsidRPr="00E74C09">
        <w:rPr>
          <w:rFonts w:ascii="Arial" w:hAnsi="Arial" w:cs="Arial"/>
          <w:sz w:val="19"/>
          <w:szCs w:val="19"/>
          <w:lang w:val="es-CO"/>
        </w:rPr>
        <w:t>»Los</w:t>
      </w:r>
      <w:proofErr w:type="gramEnd"/>
      <w:r w:rsidRPr="00E74C09">
        <w:rPr>
          <w:rFonts w:ascii="Arial" w:hAnsi="Arial" w:cs="Arial"/>
          <w:sz w:val="19"/>
          <w:szCs w:val="19"/>
          <w:lang w:val="es-CO"/>
        </w:rPr>
        <w:t xml:space="preserve"> pliegos tipo se adoptarán por categorías de acuerdo con la cuantía de la contratación, según la reglamentación que expida el Gobierno nacional».</w:t>
      </w:r>
    </w:p>
  </w:footnote>
  <w:footnote w:id="4">
    <w:p w14:paraId="7D8D458F" w14:textId="77777777" w:rsidR="00F20888" w:rsidRPr="00E74C09" w:rsidRDefault="00F20888" w:rsidP="00F20888">
      <w:pPr>
        <w:pStyle w:val="Textonotapie"/>
        <w:ind w:firstLine="709"/>
        <w:jc w:val="both"/>
        <w:rPr>
          <w:rFonts w:ascii="Arial" w:hAnsi="Arial" w:cs="Arial"/>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FB284C6" w14:textId="77777777" w:rsidR="00F20888" w:rsidRPr="00E74C09" w:rsidRDefault="00F20888" w:rsidP="00F20888">
      <w:pPr>
        <w:pStyle w:val="Textonotapie"/>
        <w:ind w:firstLine="709"/>
        <w:jc w:val="both"/>
        <w:rPr>
          <w:rFonts w:ascii="Arial" w:hAnsi="Arial" w:cs="Arial"/>
          <w:sz w:val="19"/>
          <w:szCs w:val="19"/>
        </w:rPr>
      </w:pPr>
    </w:p>
  </w:footnote>
  <w:footnote w:id="5">
    <w:p w14:paraId="6E9C634A" w14:textId="77777777" w:rsidR="00F20888" w:rsidRPr="006F64D5" w:rsidRDefault="00F20888" w:rsidP="00F20888">
      <w:pPr>
        <w:pStyle w:val="NormalWeb"/>
        <w:spacing w:before="0" w:beforeAutospacing="0" w:after="0" w:afterAutospacing="0"/>
        <w:ind w:firstLine="708"/>
        <w:jc w:val="both"/>
        <w:rPr>
          <w:rFonts w:ascii="Arial" w:hAnsi="Arial" w:cs="Arial"/>
          <w:color w:val="000000" w:themeColor="text1"/>
          <w:sz w:val="19"/>
          <w:szCs w:val="19"/>
        </w:rPr>
      </w:pPr>
      <w:r w:rsidRPr="00E74C09">
        <w:rPr>
          <w:rStyle w:val="Refdenotaalpie"/>
          <w:rFonts w:ascii="Arial" w:hAnsi="Arial" w:cs="Arial"/>
          <w:sz w:val="19"/>
          <w:szCs w:val="19"/>
        </w:rPr>
        <w:footnoteRef/>
      </w:r>
      <w:r w:rsidRPr="00E74C09">
        <w:rPr>
          <w:rFonts w:ascii="Arial" w:hAnsi="Arial" w:cs="Arial"/>
          <w:sz w:val="19"/>
          <w:szCs w:val="19"/>
        </w:rPr>
        <w:t xml:space="preserve"> </w:t>
      </w:r>
      <w:r w:rsidRPr="006F64D5">
        <w:rPr>
          <w:rFonts w:ascii="Arial" w:hAnsi="Arial" w:cs="Arial"/>
          <w:color w:val="000000" w:themeColor="text1"/>
          <w:sz w:val="19"/>
          <w:szCs w:val="19"/>
        </w:rPr>
        <w:t>Ley 2022 de 2020: «</w:t>
      </w:r>
      <w:r w:rsidRPr="006F64D5">
        <w:rPr>
          <w:rStyle w:val="Textoennegrita"/>
          <w:rFonts w:ascii="Arial" w:hAnsi="Arial" w:cs="Arial"/>
          <w:b w:val="0"/>
          <w:bCs w:val="0"/>
          <w:color w:val="000000" w:themeColor="text1"/>
          <w:sz w:val="19"/>
          <w:szCs w:val="19"/>
        </w:rPr>
        <w:t>Artículo 1º.</w:t>
      </w:r>
      <w:r w:rsidRPr="006F64D5">
        <w:rPr>
          <w:rFonts w:ascii="Arial" w:hAnsi="Arial" w:cs="Arial"/>
          <w:color w:val="000000" w:themeColor="text1"/>
          <w:sz w:val="19"/>
          <w:szCs w:val="19"/>
        </w:rPr>
        <w:t> Modifíquese el artículo 4º de la Ley 1882 de 2018, el cual quedará así: </w:t>
      </w:r>
    </w:p>
    <w:p w14:paraId="0099F30A" w14:textId="77777777" w:rsidR="00F20888" w:rsidRPr="006F64D5" w:rsidRDefault="00F20888" w:rsidP="00F20888">
      <w:pPr>
        <w:pStyle w:val="NormalWeb"/>
        <w:spacing w:before="0" w:beforeAutospacing="0" w:after="0" w:afterAutospacing="0"/>
        <w:ind w:firstLine="708"/>
        <w:jc w:val="both"/>
        <w:rPr>
          <w:rFonts w:ascii="Arial" w:hAnsi="Arial" w:cs="Arial"/>
          <w:color w:val="000000" w:themeColor="text1"/>
          <w:sz w:val="19"/>
          <w:szCs w:val="19"/>
        </w:rPr>
      </w:pPr>
      <w:proofErr w:type="gramStart"/>
      <w:r w:rsidRPr="006F64D5">
        <w:rPr>
          <w:rStyle w:val="Textoennegrita"/>
          <w:rFonts w:ascii="Arial" w:hAnsi="Arial" w:cs="Arial"/>
          <w:b w:val="0"/>
          <w:bCs w:val="0"/>
          <w:color w:val="000000" w:themeColor="text1"/>
          <w:sz w:val="19"/>
          <w:szCs w:val="19"/>
        </w:rPr>
        <w:t>»Artículo</w:t>
      </w:r>
      <w:proofErr w:type="gramEnd"/>
      <w:r w:rsidRPr="006F64D5">
        <w:rPr>
          <w:rStyle w:val="Textoennegrita"/>
          <w:rFonts w:ascii="Arial" w:hAnsi="Arial" w:cs="Arial"/>
          <w:b w:val="0"/>
          <w:bCs w:val="0"/>
          <w:color w:val="000000" w:themeColor="text1"/>
          <w:sz w:val="19"/>
          <w:szCs w:val="19"/>
        </w:rPr>
        <w:t xml:space="preserve"> 4º.</w:t>
      </w:r>
      <w:r w:rsidRPr="006F64D5">
        <w:rPr>
          <w:rFonts w:ascii="Arial" w:hAnsi="Arial" w:cs="Arial"/>
          <w:color w:val="000000" w:themeColor="text1"/>
          <w:sz w:val="19"/>
          <w:szCs w:val="19"/>
        </w:rPr>
        <w:t> Adiciónese el siguiente parágrafo al artículo 2º de la Ley 1150 de 2007. </w:t>
      </w:r>
    </w:p>
    <w:p w14:paraId="2D0D8281" w14:textId="77777777" w:rsidR="00F20888" w:rsidRPr="00E74C09" w:rsidRDefault="00F20888" w:rsidP="00F20888">
      <w:pPr>
        <w:pStyle w:val="NormalWeb"/>
        <w:spacing w:before="0" w:beforeAutospacing="0" w:after="0" w:afterAutospacing="0"/>
        <w:ind w:firstLine="708"/>
        <w:jc w:val="both"/>
        <w:rPr>
          <w:rFonts w:ascii="Arial" w:hAnsi="Arial" w:cs="Arial"/>
          <w:color w:val="000000"/>
          <w:sz w:val="19"/>
          <w:szCs w:val="19"/>
        </w:rPr>
      </w:pPr>
      <w:proofErr w:type="gramStart"/>
      <w:r w:rsidRPr="006F64D5">
        <w:rPr>
          <w:rStyle w:val="Textoennegrita"/>
          <w:rFonts w:ascii="Arial" w:hAnsi="Arial" w:cs="Arial"/>
          <w:b w:val="0"/>
          <w:bCs w:val="0"/>
          <w:color w:val="000000" w:themeColor="text1"/>
          <w:sz w:val="19"/>
          <w:szCs w:val="19"/>
        </w:rPr>
        <w:t>»Parágrafo</w:t>
      </w:r>
      <w:proofErr w:type="gramEnd"/>
      <w:r w:rsidRPr="006F64D5">
        <w:rPr>
          <w:rStyle w:val="Textoennegrita"/>
          <w:rFonts w:ascii="Arial" w:hAnsi="Arial" w:cs="Arial"/>
          <w:b w:val="0"/>
          <w:bCs w:val="0"/>
          <w:color w:val="000000" w:themeColor="text1"/>
          <w:sz w:val="19"/>
          <w:szCs w:val="19"/>
        </w:rPr>
        <w:t xml:space="preserve"> 7º</w:t>
      </w:r>
      <w:r w:rsidRPr="00A20B04">
        <w:rPr>
          <w:rStyle w:val="Textoennegrita"/>
          <w:rFonts w:ascii="Arial" w:hAnsi="Arial" w:cs="Arial"/>
          <w:color w:val="000000"/>
          <w:sz w:val="19"/>
          <w:szCs w:val="19"/>
        </w:rPr>
        <w:t>.</w:t>
      </w:r>
      <w:r w:rsidRPr="00E74C09">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A54475B" w14:textId="77777777" w:rsidR="00F20888" w:rsidRPr="00E74C09" w:rsidRDefault="00F20888" w:rsidP="00F20888">
      <w:pPr>
        <w:pStyle w:val="NormalWeb"/>
        <w:spacing w:before="0" w:beforeAutospacing="0" w:after="0" w:afterAutospacing="0"/>
        <w:ind w:firstLine="708"/>
        <w:jc w:val="both"/>
        <w:rPr>
          <w:rFonts w:ascii="Arial" w:hAnsi="Arial" w:cs="Arial"/>
          <w:color w:val="000000"/>
          <w:sz w:val="19"/>
          <w:szCs w:val="19"/>
        </w:rPr>
      </w:pPr>
      <w:proofErr w:type="gramStart"/>
      <w:r w:rsidRPr="00E74C09">
        <w:rPr>
          <w:rFonts w:ascii="Arial" w:hAnsi="Arial" w:cs="Arial"/>
          <w:color w:val="000000"/>
          <w:sz w:val="19"/>
          <w:szCs w:val="19"/>
        </w:rPr>
        <w:t>»Dentro</w:t>
      </w:r>
      <w:proofErr w:type="gramEnd"/>
      <w:r w:rsidRPr="00E74C09">
        <w:rPr>
          <w:rFonts w:ascii="Arial" w:hAnsi="Arial" w:cs="Arial"/>
          <w:color w:val="000000"/>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E42781E" w14:textId="77777777" w:rsidR="00F20888" w:rsidRPr="00E74C09" w:rsidRDefault="00F20888" w:rsidP="00F20888">
      <w:pPr>
        <w:pStyle w:val="NormalWeb"/>
        <w:spacing w:before="0" w:beforeAutospacing="0" w:after="0" w:afterAutospacing="0"/>
        <w:ind w:firstLine="708"/>
        <w:jc w:val="both"/>
        <w:rPr>
          <w:rFonts w:ascii="Arial" w:hAnsi="Arial" w:cs="Arial"/>
          <w:color w:val="000000"/>
          <w:sz w:val="19"/>
          <w:szCs w:val="19"/>
        </w:rPr>
      </w:pPr>
      <w:proofErr w:type="gramStart"/>
      <w:r w:rsidRPr="00E74C09">
        <w:rPr>
          <w:rFonts w:ascii="Arial" w:hAnsi="Arial" w:cs="Arial"/>
          <w:color w:val="000000"/>
          <w:sz w:val="19"/>
          <w:szCs w:val="19"/>
        </w:rPr>
        <w:t>»Con</w:t>
      </w:r>
      <w:proofErr w:type="gramEnd"/>
      <w:r w:rsidRPr="00E74C09">
        <w:rPr>
          <w:rFonts w:ascii="Arial" w:hAnsi="Arial" w:cs="Arial"/>
          <w:color w:val="000000"/>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706D11F" w14:textId="77777777" w:rsidR="00F20888" w:rsidRPr="00E74C09" w:rsidRDefault="00F20888" w:rsidP="00F20888">
      <w:pPr>
        <w:pStyle w:val="NormalWeb"/>
        <w:spacing w:before="0" w:beforeAutospacing="0" w:after="0" w:afterAutospacing="0"/>
        <w:ind w:firstLine="708"/>
        <w:jc w:val="both"/>
        <w:rPr>
          <w:rFonts w:ascii="Arial" w:hAnsi="Arial" w:cs="Arial"/>
          <w:color w:val="000000"/>
          <w:sz w:val="19"/>
          <w:szCs w:val="19"/>
        </w:rPr>
      </w:pPr>
      <w:r w:rsidRPr="00E74C09">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B914AE8" w14:textId="77777777" w:rsidR="00F20888" w:rsidRPr="00E74C09" w:rsidRDefault="00F20888" w:rsidP="00F20888">
      <w:pPr>
        <w:pStyle w:val="NormalWeb"/>
        <w:spacing w:before="0" w:beforeAutospacing="0" w:after="0" w:afterAutospacing="0"/>
        <w:ind w:firstLine="708"/>
        <w:jc w:val="both"/>
        <w:rPr>
          <w:rFonts w:ascii="Arial" w:hAnsi="Arial" w:cs="Arial"/>
          <w:sz w:val="19"/>
          <w:szCs w:val="19"/>
        </w:rPr>
      </w:pPr>
      <w:proofErr w:type="gramStart"/>
      <w:r w:rsidRPr="00E74C09">
        <w:rPr>
          <w:rFonts w:ascii="Arial" w:hAnsi="Arial" w:cs="Arial"/>
          <w:color w:val="000000"/>
          <w:sz w:val="19"/>
          <w:szCs w:val="19"/>
        </w:rPr>
        <w:t>»En</w:t>
      </w:r>
      <w:proofErr w:type="gramEnd"/>
      <w:r w:rsidRPr="00E74C09">
        <w:rPr>
          <w:rFonts w:ascii="Arial" w:hAnsi="Arial" w:cs="Arial"/>
          <w:color w:val="000000"/>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1FF38C69" w14:textId="77777777" w:rsidR="00F20888" w:rsidRPr="00E74C09" w:rsidRDefault="00F20888" w:rsidP="00F20888">
      <w:pPr>
        <w:pStyle w:val="Textonotapie"/>
        <w:ind w:firstLine="709"/>
        <w:jc w:val="both"/>
        <w:rPr>
          <w:rFonts w:ascii="Arial" w:hAnsi="Arial" w:cs="Arial"/>
          <w:sz w:val="19"/>
          <w:szCs w:val="19"/>
          <w:lang w:val="es-ES"/>
        </w:rPr>
      </w:pPr>
      <w:r w:rsidRPr="00E74C09">
        <w:rPr>
          <w:rStyle w:val="Refdenotaalpie"/>
          <w:rFonts w:ascii="Arial" w:hAnsi="Arial" w:cs="Arial"/>
          <w:sz w:val="19"/>
          <w:szCs w:val="19"/>
        </w:rPr>
        <w:footnoteRef/>
      </w:r>
      <w:r w:rsidRPr="00E74C09">
        <w:rPr>
          <w:rFonts w:ascii="Arial" w:hAnsi="Arial" w:cs="Arial"/>
          <w:sz w:val="19"/>
          <w:szCs w:val="19"/>
        </w:rPr>
        <w:t xml:space="preserve"> </w:t>
      </w:r>
      <w:r w:rsidRPr="00E74C09">
        <w:rPr>
          <w:rFonts w:ascii="Arial" w:hAnsi="Arial" w:cs="Arial"/>
          <w:sz w:val="19"/>
          <w:szCs w:val="19"/>
          <w:lang w:val="es-ES"/>
        </w:rPr>
        <w:t>En cuanto a las resoluciones vigentes, dicha regla se observa en el artículo 3 de las Resoluciones 240, 241, 248, 249, 256, 269 de 2020 y 193, 219, 220, 392 y 454 del 2021, así como en el artículo 2 de la Resolución 094 de 2020.</w:t>
      </w:r>
    </w:p>
  </w:footnote>
  <w:footnote w:id="7">
    <w:p w14:paraId="08D33C20" w14:textId="50865159" w:rsidR="00DD0B7D" w:rsidRPr="00DD0B7D" w:rsidRDefault="00DD0B7D" w:rsidP="00DD0B7D">
      <w:pPr>
        <w:spacing w:after="120" w:line="240" w:lineRule="auto"/>
        <w:ind w:firstLine="708"/>
        <w:jc w:val="both"/>
        <w:rPr>
          <w:rFonts w:ascii="Arial" w:eastAsia="Calibri" w:hAnsi="Arial" w:cs="Arial"/>
          <w:sz w:val="19"/>
          <w:szCs w:val="19"/>
        </w:rPr>
      </w:pPr>
      <w:r>
        <w:rPr>
          <w:rStyle w:val="Refdenotaalpie"/>
        </w:rPr>
        <w:footnoteRef/>
      </w:r>
      <w:r>
        <w:t xml:space="preserve"> </w:t>
      </w:r>
      <w:r w:rsidRPr="00DD0B7D">
        <w:rPr>
          <w:rFonts w:ascii="Arial" w:hAnsi="Arial" w:cs="Arial"/>
          <w:sz w:val="19"/>
          <w:szCs w:val="19"/>
        </w:rPr>
        <w:t>La Agencia Nacional de Contratación Pública – Colombia Compra Eficiente expidió la «Guía para el manejo de ofertas artificialmente bajas en Procesos de Contratación», en la cual se señalan las causas y consecuencias de que en los procedimientos contractuales existan este tipo de ofertas, y las herramientas y pasos para identificarlas y manejarlas; además de estrategias para reducir la posibilidad de recibir ofertas con «precios artificialmente bajos». Esta Guía brinda recomendaciones a los participantes de la contratación pública, en cumplimiento d</w:t>
      </w:r>
      <w:r w:rsidRPr="00DD0B7D">
        <w:rPr>
          <w:rFonts w:ascii="Arial" w:eastAsia="Calibri" w:hAnsi="Arial" w:cs="Arial"/>
          <w:sz w:val="19"/>
          <w:szCs w:val="19"/>
        </w:rPr>
        <w:t xml:space="preserve">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 </w:t>
      </w:r>
    </w:p>
    <w:p w14:paraId="2AB64DCD" w14:textId="77777777" w:rsidR="00DD0B7D" w:rsidRPr="00DD0B7D" w:rsidRDefault="00DD0B7D" w:rsidP="00DD0B7D">
      <w:pPr>
        <w:spacing w:after="120" w:line="240" w:lineRule="auto"/>
        <w:ind w:firstLine="708"/>
        <w:jc w:val="both"/>
        <w:rPr>
          <w:rFonts w:ascii="Arial" w:eastAsia="Calibri" w:hAnsi="Arial" w:cs="Arial"/>
          <w:sz w:val="19"/>
          <w:szCs w:val="19"/>
        </w:rPr>
      </w:pPr>
      <w:r w:rsidRPr="00DD0B7D">
        <w:rPr>
          <w:rFonts w:ascii="Arial" w:eastAsia="Calibri" w:hAnsi="Arial" w:cs="Arial"/>
          <w:sz w:val="19"/>
          <w:szCs w:val="19"/>
        </w:rPr>
        <w:t xml:space="preserve">Entre las funciones asignadas se contempla el desarrollo y publicación de instrumentos y herramientas que ayuden a los </w:t>
      </w:r>
      <w:r w:rsidRPr="00DD0B7D">
        <w:rPr>
          <w:rFonts w:ascii="Arial" w:hAnsi="Arial" w:cs="Arial"/>
          <w:sz w:val="19"/>
          <w:szCs w:val="19"/>
        </w:rPr>
        <w:t>participantes de la contratación pública</w:t>
      </w:r>
      <w:r w:rsidRPr="00DD0B7D">
        <w:rPr>
          <w:rFonts w:ascii="Arial" w:eastAsia="Calibri" w:hAnsi="Arial" w:cs="Arial"/>
          <w:sz w:val="19"/>
          <w:szCs w:val="19"/>
        </w:rPr>
        <w:t xml:space="preserve">, los cuales fueron denominados por la Agencia como manuales y guías. Los lineamientos y orientaciones que esta entidad propone tienen en cuenta la aplicación de normas de carácter general en materia de compras y contratación pública, y por ende se dirigen a facilitar la actividad contractual de las entidades públicas en general. </w:t>
      </w:r>
    </w:p>
    <w:p w14:paraId="4576049A" w14:textId="2ED37176" w:rsidR="00DD0B7D" w:rsidRPr="00DD0B7D" w:rsidRDefault="00DD0B7D" w:rsidP="00DD0B7D">
      <w:pPr>
        <w:pStyle w:val="Textonotapie"/>
        <w:rPr>
          <w:lang w:val="es-CO"/>
        </w:rPr>
      </w:pPr>
    </w:p>
  </w:footnote>
  <w:footnote w:id="8">
    <w:p w14:paraId="1C19CD2C" w14:textId="77777777" w:rsidR="001B29AA" w:rsidRPr="001B29AA" w:rsidRDefault="001B29AA" w:rsidP="001B29AA">
      <w:pPr>
        <w:pStyle w:val="Textonotapie"/>
        <w:ind w:firstLine="709"/>
        <w:jc w:val="both"/>
        <w:rPr>
          <w:rFonts w:ascii="Arial" w:hAnsi="Arial" w:cs="Arial"/>
          <w:color w:val="000000"/>
          <w:sz w:val="19"/>
          <w:szCs w:val="19"/>
          <w:lang w:val="es-ES"/>
        </w:rPr>
      </w:pPr>
      <w:r w:rsidRPr="001B29AA">
        <w:rPr>
          <w:rStyle w:val="Refdenotaalpie"/>
          <w:rFonts w:ascii="Arial" w:hAnsi="Arial" w:cs="Arial"/>
          <w:color w:val="000000"/>
          <w:sz w:val="19"/>
          <w:szCs w:val="19"/>
        </w:rPr>
        <w:footnoteRef/>
      </w:r>
      <w:r w:rsidRPr="001B29AA">
        <w:rPr>
          <w:rFonts w:ascii="Arial" w:hAnsi="Arial" w:cs="Arial"/>
          <w:color w:val="000000"/>
          <w:sz w:val="19"/>
          <w:szCs w:val="19"/>
        </w:rPr>
        <w:t xml:space="preserve"> Consejo de Estado. Sección Tercera. Sentencia del 4 de junio de 2008. </w:t>
      </w:r>
      <w:proofErr w:type="spellStart"/>
      <w:r w:rsidRPr="001B29AA">
        <w:rPr>
          <w:rFonts w:ascii="Arial" w:hAnsi="Arial" w:cs="Arial"/>
          <w:color w:val="000000"/>
          <w:sz w:val="19"/>
          <w:szCs w:val="19"/>
        </w:rPr>
        <w:t>Exp</w:t>
      </w:r>
      <w:proofErr w:type="spellEnd"/>
      <w:r w:rsidRPr="001B29AA">
        <w:rPr>
          <w:rFonts w:ascii="Arial" w:hAnsi="Arial" w:cs="Arial"/>
          <w:color w:val="000000"/>
          <w:sz w:val="19"/>
          <w:szCs w:val="19"/>
        </w:rPr>
        <w:t>. No. 17.783. C.P. Myriam Guerrero de Escobar.</w:t>
      </w:r>
    </w:p>
  </w:footnote>
  <w:footnote w:id="9">
    <w:p w14:paraId="24E0C044" w14:textId="77777777" w:rsidR="001B29AA" w:rsidRPr="001B29AA" w:rsidRDefault="001B29AA" w:rsidP="001B29AA">
      <w:pPr>
        <w:pStyle w:val="Textonotapie"/>
        <w:ind w:firstLine="709"/>
        <w:jc w:val="both"/>
        <w:rPr>
          <w:rFonts w:ascii="Arial" w:hAnsi="Arial" w:cs="Arial"/>
          <w:color w:val="000000"/>
          <w:sz w:val="19"/>
          <w:szCs w:val="19"/>
          <w:lang w:val="es-ES"/>
        </w:rPr>
      </w:pPr>
      <w:r w:rsidRPr="001B29AA">
        <w:rPr>
          <w:rStyle w:val="Refdenotaalpie"/>
          <w:rFonts w:ascii="Arial" w:hAnsi="Arial" w:cs="Arial"/>
          <w:color w:val="000000"/>
          <w:sz w:val="19"/>
          <w:szCs w:val="19"/>
        </w:rPr>
        <w:footnoteRef/>
      </w:r>
      <w:r w:rsidRPr="001B29AA">
        <w:rPr>
          <w:rFonts w:ascii="Arial" w:hAnsi="Arial" w:cs="Arial"/>
          <w:color w:val="000000"/>
          <w:sz w:val="19"/>
          <w:szCs w:val="19"/>
        </w:rPr>
        <w:t xml:space="preserve"> Guía para el manejo de ofertas artificialmente bajas en Procesos de Contratación. Pág. 5.</w:t>
      </w:r>
    </w:p>
  </w:footnote>
  <w:footnote w:id="10">
    <w:p w14:paraId="5D3CBBC8" w14:textId="77777777" w:rsidR="001B29AA" w:rsidRPr="001B29AA" w:rsidRDefault="001B29AA" w:rsidP="001B29AA">
      <w:pPr>
        <w:pStyle w:val="Textonotapie"/>
        <w:ind w:firstLine="709"/>
        <w:jc w:val="both"/>
        <w:rPr>
          <w:rFonts w:ascii="Arial" w:hAnsi="Arial" w:cs="Arial"/>
          <w:color w:val="000000"/>
          <w:sz w:val="19"/>
          <w:szCs w:val="19"/>
          <w:lang w:val="es-ES"/>
        </w:rPr>
      </w:pPr>
      <w:r w:rsidRPr="001B29AA">
        <w:rPr>
          <w:rStyle w:val="Refdenotaalpie"/>
          <w:rFonts w:ascii="Arial" w:hAnsi="Arial" w:cs="Arial"/>
          <w:color w:val="000000"/>
          <w:sz w:val="19"/>
          <w:szCs w:val="19"/>
        </w:rPr>
        <w:footnoteRef/>
      </w:r>
      <w:r w:rsidRPr="001B29AA">
        <w:rPr>
          <w:rFonts w:ascii="Arial" w:hAnsi="Arial" w:cs="Arial"/>
          <w:color w:val="000000"/>
          <w:sz w:val="19"/>
          <w:szCs w:val="19"/>
        </w:rPr>
        <w:t xml:space="preserve"> </w:t>
      </w:r>
      <w:r w:rsidRPr="001B29AA">
        <w:rPr>
          <w:rFonts w:ascii="Arial" w:hAnsi="Arial" w:cs="Arial"/>
          <w:color w:val="000000"/>
          <w:sz w:val="19"/>
          <w:szCs w:val="19"/>
          <w:lang w:val="es-ES"/>
        </w:rPr>
        <w:t xml:space="preserve">Consejo de Estado. Sección Segunda. Sentencia del 10 de junio de 1992. </w:t>
      </w:r>
      <w:proofErr w:type="spellStart"/>
      <w:r w:rsidRPr="001B29AA">
        <w:rPr>
          <w:rFonts w:ascii="Arial" w:hAnsi="Arial" w:cs="Arial"/>
          <w:color w:val="000000"/>
          <w:sz w:val="19"/>
          <w:szCs w:val="19"/>
          <w:lang w:val="es-ES"/>
        </w:rPr>
        <w:t>Exp</w:t>
      </w:r>
      <w:proofErr w:type="spellEnd"/>
      <w:r w:rsidRPr="001B29AA">
        <w:rPr>
          <w:rFonts w:ascii="Arial" w:hAnsi="Arial" w:cs="Arial"/>
          <w:color w:val="000000"/>
          <w:sz w:val="19"/>
          <w:szCs w:val="19"/>
          <w:lang w:val="es-ES"/>
        </w:rPr>
        <w:t xml:space="preserve">. No. 4.249. C.P. Álvaro </w:t>
      </w:r>
      <w:proofErr w:type="spellStart"/>
      <w:r w:rsidRPr="001B29AA">
        <w:rPr>
          <w:rFonts w:ascii="Arial" w:hAnsi="Arial" w:cs="Arial"/>
          <w:color w:val="000000"/>
          <w:sz w:val="19"/>
          <w:szCs w:val="19"/>
          <w:lang w:val="es-ES"/>
        </w:rPr>
        <w:t>Lecompte</w:t>
      </w:r>
      <w:proofErr w:type="spellEnd"/>
      <w:r w:rsidRPr="001B29AA">
        <w:rPr>
          <w:rFonts w:ascii="Arial" w:hAnsi="Arial" w:cs="Arial"/>
          <w:color w:val="000000"/>
          <w:sz w:val="19"/>
          <w:szCs w:val="19"/>
          <w:lang w:val="es-ES"/>
        </w:rPr>
        <w:t xml:space="preserve"> Luna.</w:t>
      </w:r>
    </w:p>
    <w:p w14:paraId="7DFCC1A4" w14:textId="77777777" w:rsidR="001B29AA" w:rsidRPr="001B29AA" w:rsidRDefault="001B29AA" w:rsidP="001B29AA">
      <w:pPr>
        <w:pStyle w:val="Textonotapie"/>
        <w:ind w:firstLine="709"/>
        <w:jc w:val="both"/>
        <w:rPr>
          <w:rFonts w:ascii="Arial" w:hAnsi="Arial" w:cs="Arial"/>
          <w:color w:val="000000"/>
          <w:sz w:val="19"/>
          <w:szCs w:val="19"/>
          <w:lang w:val="es-ES"/>
        </w:rPr>
      </w:pPr>
    </w:p>
  </w:footnote>
  <w:footnote w:id="11">
    <w:p w14:paraId="649DB68C" w14:textId="77777777" w:rsidR="001B29AA" w:rsidRPr="001B29AA" w:rsidRDefault="001B29AA" w:rsidP="001B29AA">
      <w:pPr>
        <w:pStyle w:val="Textonotapie"/>
        <w:ind w:firstLine="709"/>
        <w:jc w:val="both"/>
        <w:rPr>
          <w:rFonts w:ascii="Arial" w:hAnsi="Arial" w:cs="Arial"/>
          <w:color w:val="000000"/>
          <w:sz w:val="19"/>
          <w:szCs w:val="19"/>
        </w:rPr>
      </w:pPr>
      <w:r w:rsidRPr="001B29AA">
        <w:rPr>
          <w:rStyle w:val="Refdenotaalpie"/>
          <w:rFonts w:ascii="Arial" w:hAnsi="Arial" w:cs="Arial"/>
          <w:color w:val="000000"/>
          <w:sz w:val="19"/>
          <w:szCs w:val="19"/>
        </w:rPr>
        <w:footnoteRef/>
      </w:r>
      <w:r w:rsidRPr="001B29AA">
        <w:rPr>
          <w:rFonts w:ascii="Arial" w:hAnsi="Arial" w:cs="Arial"/>
          <w:color w:val="000000"/>
          <w:sz w:val="19"/>
          <w:szCs w:val="19"/>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w:t>
      </w:r>
      <w:proofErr w:type="gramStart"/>
      <w:r w:rsidRPr="001B29AA">
        <w:rPr>
          <w:rFonts w:ascii="Arial" w:hAnsi="Arial" w:cs="Arial"/>
          <w:color w:val="000000"/>
          <w:sz w:val="19"/>
          <w:szCs w:val="19"/>
        </w:rPr>
        <w:t>que</w:t>
      </w:r>
      <w:proofErr w:type="gramEnd"/>
      <w:r w:rsidRPr="001B29AA">
        <w:rPr>
          <w:rFonts w:ascii="Arial" w:hAnsi="Arial" w:cs="Arial"/>
          <w:color w:val="000000"/>
          <w:sz w:val="19"/>
          <w:szCs w:val="19"/>
        </w:rPr>
        <w:t xml:space="preserve"> si la finalidad que justifica cierta decisión discrecional es la de satisfacer adecuadamente el interés público, sólo él puede servir como criterio para la adopción de la medida».</w:t>
      </w:r>
    </w:p>
  </w:footnote>
  <w:footnote w:id="12">
    <w:p w14:paraId="638ED6B0" w14:textId="77777777" w:rsidR="009C4489" w:rsidRPr="009C4489" w:rsidRDefault="009C4489" w:rsidP="009C4489">
      <w:pPr>
        <w:spacing w:line="240" w:lineRule="auto"/>
        <w:ind w:firstLine="708"/>
        <w:jc w:val="both"/>
        <w:rPr>
          <w:sz w:val="19"/>
          <w:szCs w:val="19"/>
        </w:rPr>
      </w:pPr>
      <w:r>
        <w:rPr>
          <w:rStyle w:val="Refdenotaalpie"/>
        </w:rPr>
        <w:footnoteRef/>
      </w:r>
      <w:r>
        <w:t xml:space="preserve"> </w:t>
      </w:r>
      <w:r w:rsidRPr="009C4489">
        <w:rPr>
          <w:rFonts w:ascii="Arial" w:eastAsia="Calibri" w:hAnsi="Arial" w:cs="Arial"/>
          <w:color w:val="000000"/>
          <w:sz w:val="19"/>
          <w:szCs w:val="19"/>
          <w:lang w:val="es-ES" w:eastAsia="en-GB"/>
        </w:rPr>
        <w:t xml:space="preserve">En cuanto al concepto y el alcance de los métodos de ponderación de las ofertas económicas, esta Agencia se ha pronunciado mediante los conceptos 2201913000005978 del 16 de agosto de 2019, 2201913000006222 del 26 de agosto de 2019, 2201913000007164 del 26 de septiembre de 2019, 2201913000007353 del 3 de octubre de 2019, 2201913000008810 del 28 de noviembre de 2019, 2201913000009534 del 23 de diciembre de 2019, C-056 del 28 de enero de 2020, C-279 del 25 de mayo de 2020, C-349 del 23 de junio de 2020, C-412 del 23 de julio de 2020, C-431 del 9 de julio de 2020, C-435 y C-472 del 30 de julio de 2020, C-793 del 20 de enero de 2021, C–042 del 3 de marzo de 2021, C–011 del 17 de febrero de 2021, C–071 del 17 de marzo de 2021,  C–161 del 19 de abril de 2021, C-205 y C-332 del 7 de mayo de 2021, C-722 del 20 de diciembre de 2021, C-737 del 27 de enero de 2022 y C-751 del 7 de febrero de 2022. </w:t>
      </w:r>
    </w:p>
    <w:p w14:paraId="6D7D1DE4" w14:textId="79CF1419" w:rsidR="009C4489" w:rsidRPr="009C4489" w:rsidRDefault="009C4489">
      <w:pPr>
        <w:pStyle w:val="Textonotapie"/>
        <w:rPr>
          <w:lang w:val="es-CO"/>
        </w:rPr>
      </w:pPr>
    </w:p>
  </w:footnote>
  <w:footnote w:id="13">
    <w:p w14:paraId="2492DC61" w14:textId="77777777" w:rsidR="00F15218" w:rsidRPr="0018418C" w:rsidRDefault="00F15218" w:rsidP="00F15218">
      <w:pPr>
        <w:pStyle w:val="Textonotapie"/>
        <w:ind w:firstLine="708"/>
        <w:jc w:val="both"/>
        <w:rPr>
          <w:rFonts w:ascii="Arial" w:hAnsi="Arial" w:cs="Arial"/>
          <w:sz w:val="19"/>
          <w:szCs w:val="19"/>
        </w:rPr>
      </w:pPr>
      <w:r>
        <w:rPr>
          <w:rStyle w:val="Refdenotaalpie"/>
        </w:rPr>
        <w:footnoteRef/>
      </w:r>
      <w:r>
        <w:t xml:space="preserve"> </w:t>
      </w:r>
      <w:r w:rsidRPr="0018418C">
        <w:rPr>
          <w:rFonts w:ascii="Arial" w:hAnsi="Arial" w:cs="Arial"/>
          <w:sz w:val="19"/>
          <w:szCs w:val="19"/>
        </w:rPr>
        <w:t>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311D3B5F" w14:textId="77777777" w:rsidR="00F15218" w:rsidRPr="0018418C" w:rsidRDefault="00F15218" w:rsidP="00F15218">
      <w:pPr>
        <w:pStyle w:val="Textonotapie"/>
        <w:ind w:firstLine="708"/>
        <w:jc w:val="both"/>
        <w:rPr>
          <w:rFonts w:ascii="Arial" w:hAnsi="Arial" w:cs="Arial"/>
          <w:sz w:val="19"/>
          <w:szCs w:val="19"/>
        </w:rPr>
      </w:pPr>
      <w:proofErr w:type="gramStart"/>
      <w:r w:rsidRPr="0018418C">
        <w:rPr>
          <w:rFonts w:ascii="Arial" w:hAnsi="Arial" w:cs="Arial"/>
          <w:sz w:val="19"/>
          <w:szCs w:val="19"/>
        </w:rPr>
        <w:t>»El</w:t>
      </w:r>
      <w:proofErr w:type="gramEnd"/>
      <w:r w:rsidRPr="0018418C">
        <w:rPr>
          <w:rFonts w:ascii="Arial" w:hAnsi="Arial" w:cs="Arial"/>
          <w:sz w:val="19"/>
          <w:szCs w:val="19"/>
        </w:rPr>
        <w:t xml:space="preserve"> segundo sobre deberá incluir únicamente la propuesta económica de conformidad con todos los requisitos exigidos en el pliego de condiciones.</w:t>
      </w:r>
    </w:p>
    <w:p w14:paraId="497B85F3" w14:textId="77777777" w:rsidR="00F15218" w:rsidRPr="0018418C" w:rsidRDefault="00F15218" w:rsidP="00F15218">
      <w:pPr>
        <w:pStyle w:val="Textonotapie"/>
        <w:ind w:firstLine="708"/>
        <w:jc w:val="both"/>
        <w:rPr>
          <w:rFonts w:ascii="Arial" w:hAnsi="Arial" w:cs="Arial"/>
          <w:sz w:val="19"/>
          <w:szCs w:val="19"/>
          <w:lang w:val="es-CO"/>
        </w:rPr>
      </w:pPr>
      <w:r w:rsidRPr="0018418C">
        <w:rPr>
          <w:rFonts w:ascii="Arial" w:hAnsi="Arial" w:cs="Arial"/>
          <w:sz w:val="19"/>
          <w:szCs w:val="19"/>
        </w:rPr>
        <w:t>[…]</w:t>
      </w:r>
      <w:r w:rsidRPr="0018418C">
        <w:rPr>
          <w:rFonts w:ascii="Arial" w:eastAsia="Calibri" w:hAnsi="Arial" w:cs="Arial"/>
          <w:sz w:val="19"/>
          <w:szCs w:val="19"/>
        </w:rPr>
        <w:t>»</w:t>
      </w:r>
      <w:r w:rsidRPr="0018418C">
        <w:rPr>
          <w:rFonts w:ascii="Arial" w:hAnsi="Arial" w:cs="Arial"/>
          <w:sz w:val="19"/>
          <w:szCs w:val="19"/>
        </w:rPr>
        <w:t>.</w:t>
      </w:r>
    </w:p>
    <w:p w14:paraId="22CE9E56" w14:textId="77777777" w:rsidR="00F15218" w:rsidRPr="009F11CD" w:rsidRDefault="00F15218" w:rsidP="00F15218">
      <w:pPr>
        <w:pStyle w:val="Textonotapie"/>
        <w:rPr>
          <w:lang w:val="es-CO"/>
        </w:rPr>
      </w:pPr>
    </w:p>
  </w:footnote>
  <w:footnote w:id="14">
    <w:p w14:paraId="23AEFD29" w14:textId="77777777" w:rsidR="00CB3676" w:rsidRPr="00336F97" w:rsidRDefault="00CB3676" w:rsidP="00CB3676">
      <w:pPr>
        <w:pStyle w:val="Textonotapie"/>
        <w:ind w:firstLine="708"/>
        <w:jc w:val="both"/>
        <w:rPr>
          <w:rFonts w:ascii="Arial" w:hAnsi="Arial" w:cs="Arial"/>
          <w:sz w:val="19"/>
          <w:szCs w:val="19"/>
          <w:lang w:val="es-CO"/>
        </w:rPr>
      </w:pPr>
      <w:r w:rsidRPr="00336F97">
        <w:rPr>
          <w:rStyle w:val="Refdenotaalpie"/>
          <w:rFonts w:ascii="Arial" w:hAnsi="Arial" w:cs="Arial"/>
          <w:sz w:val="19"/>
          <w:szCs w:val="19"/>
        </w:rPr>
        <w:footnoteRef/>
      </w:r>
      <w:r w:rsidRPr="00336F97">
        <w:rPr>
          <w:rFonts w:ascii="Arial" w:hAnsi="Arial" w:cs="Arial"/>
          <w:sz w:val="19"/>
          <w:szCs w:val="19"/>
        </w:rPr>
        <w:t xml:space="preserve"> </w:t>
      </w:r>
      <w:r w:rsidRPr="00336F97">
        <w:rPr>
          <w:rFonts w:ascii="Arial" w:hAnsi="Arial" w:cs="Arial"/>
          <w:sz w:val="19"/>
          <w:szCs w:val="19"/>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52CB" w14:textId="4EEF9409" w:rsidR="00F20888" w:rsidRDefault="00F20888">
    <w:pPr>
      <w:pStyle w:val="Encabezado"/>
    </w:pPr>
    <w:r>
      <w:rPr>
        <w:noProof/>
        <w:lang w:val="en-US"/>
      </w:rPr>
      <w:drawing>
        <wp:anchor distT="0" distB="0" distL="114300" distR="114300" simplePos="0" relativeHeight="251659264" behindDoc="1" locked="0" layoutInCell="1" allowOverlap="1" wp14:anchorId="580F080B" wp14:editId="07BFC606">
          <wp:simplePos x="0" y="0"/>
          <wp:positionH relativeFrom="margin">
            <wp:posOffset>4695825</wp:posOffset>
          </wp:positionH>
          <wp:positionV relativeFrom="paragraph">
            <wp:posOffset>-67310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305"/>
    <w:multiLevelType w:val="hybridMultilevel"/>
    <w:tmpl w:val="D9C02704"/>
    <w:lvl w:ilvl="0" w:tplc="1D024254">
      <w:start w:val="1"/>
      <w:numFmt w:val="lowerRoman"/>
      <w:lvlText w:val="%1)"/>
      <w:lvlJc w:val="left"/>
      <w:pPr>
        <w:ind w:left="1414" w:hanging="705"/>
      </w:pPr>
      <w:rPr>
        <w:rFonts w:ascii="Arial" w:eastAsiaTheme="minorHAnsi" w:hAnsi="Arial" w:cs="Arial"/>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abstractNum w:abstractNumId="2" w15:restartNumberingAfterBreak="0">
    <w:nsid w:val="310D0840"/>
    <w:multiLevelType w:val="hybridMultilevel"/>
    <w:tmpl w:val="35B23F2C"/>
    <w:lvl w:ilvl="0" w:tplc="FDD80B12">
      <w:start w:val="1"/>
      <w:numFmt w:val="lowerRoman"/>
      <w:lvlText w:val="%1)"/>
      <w:lvlJc w:val="left"/>
      <w:pPr>
        <w:ind w:left="1069" w:hanging="360"/>
      </w:pPr>
      <w:rPr>
        <w:rFonts w:ascii="Arial" w:eastAsia="Arial" w:hAnsi="Arial" w:cs="Arial"/>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55955F5"/>
    <w:multiLevelType w:val="hybridMultilevel"/>
    <w:tmpl w:val="24342136"/>
    <w:lvl w:ilvl="0" w:tplc="999A3E58">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1235313577">
    <w:abstractNumId w:val="2"/>
  </w:num>
  <w:num w:numId="2" w16cid:durableId="1128622420">
    <w:abstractNumId w:val="3"/>
  </w:num>
  <w:num w:numId="3" w16cid:durableId="1989478296">
    <w:abstractNumId w:val="1"/>
  </w:num>
  <w:num w:numId="4" w16cid:durableId="430398414">
    <w:abstractNumId w:val="0"/>
  </w:num>
  <w:num w:numId="5" w16cid:durableId="1308391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88"/>
    <w:rsid w:val="0003202C"/>
    <w:rsid w:val="00034654"/>
    <w:rsid w:val="00035A7B"/>
    <w:rsid w:val="00044DEB"/>
    <w:rsid w:val="000676D9"/>
    <w:rsid w:val="00076D36"/>
    <w:rsid w:val="000871C1"/>
    <w:rsid w:val="00090B98"/>
    <w:rsid w:val="00094C27"/>
    <w:rsid w:val="000A7547"/>
    <w:rsid w:val="000B1503"/>
    <w:rsid w:val="000B29F2"/>
    <w:rsid w:val="000B66F1"/>
    <w:rsid w:val="000D623B"/>
    <w:rsid w:val="000E11CB"/>
    <w:rsid w:val="000F72CB"/>
    <w:rsid w:val="00105977"/>
    <w:rsid w:val="00111C39"/>
    <w:rsid w:val="001273E2"/>
    <w:rsid w:val="00165AB1"/>
    <w:rsid w:val="001718EE"/>
    <w:rsid w:val="00177EB2"/>
    <w:rsid w:val="00180074"/>
    <w:rsid w:val="001B29AA"/>
    <w:rsid w:val="001D067A"/>
    <w:rsid w:val="001E3298"/>
    <w:rsid w:val="001E3ED5"/>
    <w:rsid w:val="0022208B"/>
    <w:rsid w:val="00254FBA"/>
    <w:rsid w:val="00263C2E"/>
    <w:rsid w:val="00264CB3"/>
    <w:rsid w:val="002B5C3A"/>
    <w:rsid w:val="002C3106"/>
    <w:rsid w:val="002D6DF8"/>
    <w:rsid w:val="002E6AF8"/>
    <w:rsid w:val="002F4550"/>
    <w:rsid w:val="003255AD"/>
    <w:rsid w:val="003747F8"/>
    <w:rsid w:val="003814C7"/>
    <w:rsid w:val="00394B15"/>
    <w:rsid w:val="0039743B"/>
    <w:rsid w:val="003B6A48"/>
    <w:rsid w:val="00422A14"/>
    <w:rsid w:val="004407A0"/>
    <w:rsid w:val="00465886"/>
    <w:rsid w:val="004A30DA"/>
    <w:rsid w:val="004C5557"/>
    <w:rsid w:val="004D07DC"/>
    <w:rsid w:val="004D3D6F"/>
    <w:rsid w:val="004D44A8"/>
    <w:rsid w:val="004E272E"/>
    <w:rsid w:val="004E3D5D"/>
    <w:rsid w:val="0052548A"/>
    <w:rsid w:val="00537433"/>
    <w:rsid w:val="00545968"/>
    <w:rsid w:val="005500F9"/>
    <w:rsid w:val="00572FC0"/>
    <w:rsid w:val="005756CE"/>
    <w:rsid w:val="00577602"/>
    <w:rsid w:val="00592E42"/>
    <w:rsid w:val="005D0390"/>
    <w:rsid w:val="005E7310"/>
    <w:rsid w:val="005F2D97"/>
    <w:rsid w:val="00611CB4"/>
    <w:rsid w:val="00616AF7"/>
    <w:rsid w:val="0062271A"/>
    <w:rsid w:val="00636E87"/>
    <w:rsid w:val="0064256D"/>
    <w:rsid w:val="0066416F"/>
    <w:rsid w:val="006652B2"/>
    <w:rsid w:val="00665BEB"/>
    <w:rsid w:val="00686053"/>
    <w:rsid w:val="00687D08"/>
    <w:rsid w:val="006B1238"/>
    <w:rsid w:val="006C259C"/>
    <w:rsid w:val="006C3AC1"/>
    <w:rsid w:val="006C4E86"/>
    <w:rsid w:val="006F0613"/>
    <w:rsid w:val="006F30D2"/>
    <w:rsid w:val="006F470F"/>
    <w:rsid w:val="006F64D5"/>
    <w:rsid w:val="00707268"/>
    <w:rsid w:val="007161DB"/>
    <w:rsid w:val="007210F9"/>
    <w:rsid w:val="0077000D"/>
    <w:rsid w:val="007C4814"/>
    <w:rsid w:val="007D54A4"/>
    <w:rsid w:val="007D7374"/>
    <w:rsid w:val="007E4C0A"/>
    <w:rsid w:val="008416F4"/>
    <w:rsid w:val="00854EB6"/>
    <w:rsid w:val="0087547A"/>
    <w:rsid w:val="00877EB0"/>
    <w:rsid w:val="00881E77"/>
    <w:rsid w:val="00891872"/>
    <w:rsid w:val="008B3AAA"/>
    <w:rsid w:val="008D59C1"/>
    <w:rsid w:val="008F298A"/>
    <w:rsid w:val="00927CDC"/>
    <w:rsid w:val="00931681"/>
    <w:rsid w:val="00944031"/>
    <w:rsid w:val="00957350"/>
    <w:rsid w:val="0096365D"/>
    <w:rsid w:val="0097018C"/>
    <w:rsid w:val="00971500"/>
    <w:rsid w:val="0098344B"/>
    <w:rsid w:val="009958CE"/>
    <w:rsid w:val="009A49FB"/>
    <w:rsid w:val="009C4489"/>
    <w:rsid w:val="009D3D11"/>
    <w:rsid w:val="009F5175"/>
    <w:rsid w:val="00A163FC"/>
    <w:rsid w:val="00A16AFA"/>
    <w:rsid w:val="00A33AAC"/>
    <w:rsid w:val="00A62C0D"/>
    <w:rsid w:val="00AA0F09"/>
    <w:rsid w:val="00AE1F93"/>
    <w:rsid w:val="00AF1961"/>
    <w:rsid w:val="00B2578E"/>
    <w:rsid w:val="00B30CAA"/>
    <w:rsid w:val="00B82D89"/>
    <w:rsid w:val="00B83EB9"/>
    <w:rsid w:val="00B90E97"/>
    <w:rsid w:val="00B96D71"/>
    <w:rsid w:val="00BA2786"/>
    <w:rsid w:val="00BA7A20"/>
    <w:rsid w:val="00BB1216"/>
    <w:rsid w:val="00C477F1"/>
    <w:rsid w:val="00C60767"/>
    <w:rsid w:val="00C81E0E"/>
    <w:rsid w:val="00CB3676"/>
    <w:rsid w:val="00CC6C0B"/>
    <w:rsid w:val="00CF7F5D"/>
    <w:rsid w:val="00D23830"/>
    <w:rsid w:val="00DD0B7D"/>
    <w:rsid w:val="00DE63E4"/>
    <w:rsid w:val="00E57293"/>
    <w:rsid w:val="00E57A2C"/>
    <w:rsid w:val="00E70E32"/>
    <w:rsid w:val="00E72F58"/>
    <w:rsid w:val="00E83CAD"/>
    <w:rsid w:val="00ED421B"/>
    <w:rsid w:val="00ED7327"/>
    <w:rsid w:val="00EF343B"/>
    <w:rsid w:val="00EF3A3E"/>
    <w:rsid w:val="00EF6058"/>
    <w:rsid w:val="00F15218"/>
    <w:rsid w:val="00F16719"/>
    <w:rsid w:val="00F20888"/>
    <w:rsid w:val="00F419CE"/>
    <w:rsid w:val="00F44467"/>
    <w:rsid w:val="00F71D86"/>
    <w:rsid w:val="00FC3CDC"/>
    <w:rsid w:val="00FD0CB9"/>
    <w:rsid w:val="00FE4DF9"/>
    <w:rsid w:val="00FF4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E909"/>
  <w15:chartTrackingRefBased/>
  <w15:docId w15:val="{0B97BA33-846A-4A2F-9007-6DD53CBC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qFormat/>
    <w:locked/>
    <w:rsid w:val="00F20888"/>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20888"/>
    <w:rPr>
      <w:vertAlign w:val="superscript"/>
    </w:rPr>
  </w:style>
  <w:style w:type="paragraph" w:customStyle="1" w:styleId="Appelnotedebasde">
    <w:name w:val="Appel note de bas de..."/>
    <w:basedOn w:val="Normal"/>
    <w:link w:val="Refdenotaalpie"/>
    <w:uiPriority w:val="99"/>
    <w:rsid w:val="00F20888"/>
    <w:pPr>
      <w:spacing w:line="240" w:lineRule="exact"/>
    </w:pPr>
    <w:rPr>
      <w:vertAlign w:val="superscript"/>
    </w:r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Nota a pie/Bibliog,ft,BVI fnr"/>
    <w:basedOn w:val="Normal"/>
    <w:link w:val="TextonotapieCar"/>
    <w:uiPriority w:val="99"/>
    <w:unhideWhenUsed/>
    <w:qFormat/>
    <w:rsid w:val="00F20888"/>
    <w:pPr>
      <w:spacing w:after="0" w:line="240" w:lineRule="auto"/>
    </w:pPr>
    <w:rPr>
      <w:sz w:val="20"/>
      <w:szCs w:val="20"/>
      <w:lang w:val="es-MX"/>
    </w:rPr>
  </w:style>
  <w:style w:type="character" w:customStyle="1" w:styleId="TextonotapieCar1">
    <w:name w:val="Texto nota pie Car1"/>
    <w:basedOn w:val="Fuentedeprrafopredeter"/>
    <w:uiPriority w:val="99"/>
    <w:semiHidden/>
    <w:rsid w:val="00F20888"/>
    <w:rPr>
      <w:sz w:val="20"/>
      <w:szCs w:val="20"/>
    </w:rPr>
  </w:style>
  <w:style w:type="paragraph" w:styleId="NormalWeb">
    <w:name w:val="Normal (Web)"/>
    <w:basedOn w:val="Normal"/>
    <w:uiPriority w:val="99"/>
    <w:unhideWhenUsed/>
    <w:rsid w:val="00F20888"/>
    <w:pPr>
      <w:spacing w:before="100" w:beforeAutospacing="1" w:after="100" w:afterAutospacing="1" w:line="240" w:lineRule="auto"/>
    </w:pPr>
    <w:rPr>
      <w:rFonts w:ascii="Times New Roman" w:eastAsia="Times New Roman" w:hAnsi="Times New Roman" w:cs="Times New Roman"/>
      <w:color w:val="002060"/>
      <w:sz w:val="24"/>
      <w:szCs w:val="24"/>
      <w:lang w:eastAsia="es-CO"/>
    </w:rPr>
  </w:style>
  <w:style w:type="table" w:customStyle="1" w:styleId="Tablaconcuadrcula1">
    <w:name w:val="Tabla con cuadrícula1"/>
    <w:basedOn w:val="Tablanormal"/>
    <w:next w:val="Tablaconcuadrcula"/>
    <w:uiPriority w:val="39"/>
    <w:rsid w:val="00F20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20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0888"/>
    <w:rPr>
      <w:color w:val="0000FF"/>
      <w:u w:val="single"/>
    </w:rPr>
  </w:style>
  <w:style w:type="character" w:styleId="Textoennegrita">
    <w:name w:val="Strong"/>
    <w:basedOn w:val="Fuentedeprrafopredeter"/>
    <w:uiPriority w:val="22"/>
    <w:qFormat/>
    <w:rsid w:val="00F20888"/>
    <w:rPr>
      <w:b/>
      <w:bCs/>
    </w:rPr>
  </w:style>
  <w:style w:type="character" w:styleId="Refdecomentario">
    <w:name w:val="annotation reference"/>
    <w:basedOn w:val="Fuentedeprrafopredeter"/>
    <w:uiPriority w:val="99"/>
    <w:semiHidden/>
    <w:unhideWhenUsed/>
    <w:rsid w:val="00F20888"/>
    <w:rPr>
      <w:sz w:val="16"/>
      <w:szCs w:val="16"/>
    </w:rPr>
  </w:style>
  <w:style w:type="paragraph" w:styleId="Textocomentario">
    <w:name w:val="annotation text"/>
    <w:basedOn w:val="Normal"/>
    <w:link w:val="TextocomentarioCar"/>
    <w:uiPriority w:val="99"/>
    <w:unhideWhenUsed/>
    <w:rsid w:val="00F20888"/>
    <w:pPr>
      <w:spacing w:line="240" w:lineRule="auto"/>
    </w:pPr>
    <w:rPr>
      <w:sz w:val="20"/>
      <w:szCs w:val="20"/>
    </w:rPr>
  </w:style>
  <w:style w:type="character" w:customStyle="1" w:styleId="TextocomentarioCar">
    <w:name w:val="Texto comentario Car"/>
    <w:basedOn w:val="Fuentedeprrafopredeter"/>
    <w:link w:val="Textocomentario"/>
    <w:uiPriority w:val="99"/>
    <w:rsid w:val="00F20888"/>
    <w:rPr>
      <w:sz w:val="20"/>
      <w:szCs w:val="20"/>
    </w:rPr>
  </w:style>
  <w:style w:type="table" w:styleId="Tablaconcuadrcula">
    <w:name w:val="Table Grid"/>
    <w:basedOn w:val="Tablanormal"/>
    <w:uiPriority w:val="39"/>
    <w:rsid w:val="00F20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08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0888"/>
  </w:style>
  <w:style w:type="paragraph" w:styleId="Piedepgina">
    <w:name w:val="footer"/>
    <w:basedOn w:val="Normal"/>
    <w:link w:val="PiedepginaCar"/>
    <w:uiPriority w:val="99"/>
    <w:unhideWhenUsed/>
    <w:rsid w:val="00F208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0888"/>
  </w:style>
  <w:style w:type="paragraph" w:styleId="Prrafodelista">
    <w:name w:val="List Paragraph"/>
    <w:basedOn w:val="Normal"/>
    <w:link w:val="PrrafodelistaCar"/>
    <w:uiPriority w:val="34"/>
    <w:qFormat/>
    <w:rsid w:val="000B66F1"/>
    <w:pPr>
      <w:ind w:left="720"/>
      <w:contextualSpacing/>
    </w:pPr>
  </w:style>
  <w:style w:type="character" w:customStyle="1" w:styleId="normaltextrun">
    <w:name w:val="normaltextrun"/>
    <w:basedOn w:val="Fuentedeprrafopredeter"/>
    <w:rsid w:val="007E4C0A"/>
  </w:style>
  <w:style w:type="paragraph" w:styleId="Revisin">
    <w:name w:val="Revision"/>
    <w:hidden/>
    <w:uiPriority w:val="99"/>
    <w:semiHidden/>
    <w:rsid w:val="00034654"/>
    <w:pPr>
      <w:spacing w:after="0" w:line="240" w:lineRule="auto"/>
    </w:pPr>
  </w:style>
  <w:style w:type="character" w:customStyle="1" w:styleId="PrrafodelistaCar">
    <w:name w:val="Párrafo de lista Car"/>
    <w:basedOn w:val="Fuentedeprrafopredeter"/>
    <w:link w:val="Prrafodelista"/>
    <w:uiPriority w:val="34"/>
    <w:locked/>
    <w:rsid w:val="002E6AF8"/>
  </w:style>
  <w:style w:type="paragraph" w:styleId="Asuntodelcomentario">
    <w:name w:val="annotation subject"/>
    <w:basedOn w:val="Textocomentario"/>
    <w:next w:val="Textocomentario"/>
    <w:link w:val="AsuntodelcomentarioCar"/>
    <w:uiPriority w:val="99"/>
    <w:semiHidden/>
    <w:unhideWhenUsed/>
    <w:rsid w:val="00944031"/>
    <w:rPr>
      <w:b/>
      <w:bCs/>
    </w:rPr>
  </w:style>
  <w:style w:type="character" w:customStyle="1" w:styleId="AsuntodelcomentarioCar">
    <w:name w:val="Asunto del comentario Car"/>
    <w:basedOn w:val="TextocomentarioCar"/>
    <w:link w:val="Asuntodelcomentario"/>
    <w:uiPriority w:val="99"/>
    <w:semiHidden/>
    <w:rsid w:val="00944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76B9D6-FCB5-4091-A634-352D29BB4854}">
  <ds:schemaRefs>
    <ds:schemaRef ds:uri="http://schemas.microsoft.com/sharepoint/v3/contenttype/forms"/>
  </ds:schemaRefs>
</ds:datastoreItem>
</file>

<file path=customXml/itemProps2.xml><?xml version="1.0" encoding="utf-8"?>
<ds:datastoreItem xmlns:ds="http://schemas.openxmlformats.org/officeDocument/2006/customXml" ds:itemID="{FB8C3091-120A-41D4-B1CF-2435AC9364E1}">
  <ds:schemaRefs>
    <ds:schemaRef ds:uri="http://schemas.openxmlformats.org/officeDocument/2006/bibliography"/>
  </ds:schemaRefs>
</ds:datastoreItem>
</file>

<file path=customXml/itemProps3.xml><?xml version="1.0" encoding="utf-8"?>
<ds:datastoreItem xmlns:ds="http://schemas.openxmlformats.org/officeDocument/2006/customXml" ds:itemID="{5DBF3FCE-A9FA-4F7B-B53C-CA692D04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0674F-8F86-4E51-9F3C-C0CC3F757C3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27</Pages>
  <Words>11856</Words>
  <Characters>65210</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dc:description/>
  <cp:lastModifiedBy>ANCP-Alejandro Sarmiento</cp:lastModifiedBy>
  <cp:revision>141</cp:revision>
  <dcterms:created xsi:type="dcterms:W3CDTF">2022-06-20T19:32:00Z</dcterms:created>
  <dcterms:modified xsi:type="dcterms:W3CDTF">2022-07-21T14:31:00Z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