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C718" w14:textId="77777777" w:rsidR="00F555BF" w:rsidRDefault="00B723F4" w:rsidP="00697062">
      <w:pPr>
        <w:ind w:left="720" w:hanging="720"/>
        <w:jc w:val="right"/>
        <w:rPr>
          <w:rFonts w:ascii="Arial" w:eastAsia="Arial" w:hAnsi="Arial" w:cs="Arial"/>
          <w:color w:val="000000"/>
          <w:sz w:val="16"/>
          <w:szCs w:val="16"/>
        </w:rPr>
      </w:pPr>
      <w:bookmarkStart w:id="0" w:name="_gjdgxs" w:colFirst="0" w:colLast="0"/>
      <w:bookmarkEnd w:id="0"/>
      <w:r>
        <w:rPr>
          <w:rFonts w:ascii="Arial" w:eastAsia="Arial" w:hAnsi="Arial" w:cs="Arial"/>
          <w:b/>
          <w:color w:val="000000"/>
          <w:sz w:val="16"/>
          <w:szCs w:val="16"/>
        </w:rPr>
        <w:tab/>
      </w:r>
      <w:r>
        <w:rPr>
          <w:rFonts w:ascii="Arial" w:eastAsia="Arial" w:hAnsi="Arial" w:cs="Arial"/>
          <w:color w:val="000000"/>
          <w:sz w:val="16"/>
          <w:szCs w:val="16"/>
        </w:rPr>
        <w:t>CCE-DES-FM-17</w:t>
      </w:r>
    </w:p>
    <w:p w14:paraId="1BDFAFEC" w14:textId="77777777" w:rsidR="00F555BF" w:rsidRDefault="00B723F4">
      <w:pPr>
        <w:spacing w:before="240" w:after="240"/>
        <w:jc w:val="both"/>
        <w:rPr>
          <w:rFonts w:ascii="Arial" w:eastAsia="Arial" w:hAnsi="Arial" w:cs="Arial"/>
          <w:b/>
          <w:color w:val="000000"/>
          <w:sz w:val="22"/>
          <w:szCs w:val="22"/>
        </w:rPr>
      </w:pPr>
      <w:bookmarkStart w:id="1" w:name="_30j0zll" w:colFirst="0" w:colLast="0"/>
      <w:bookmarkEnd w:id="1"/>
      <w:r>
        <w:rPr>
          <w:rFonts w:ascii="Arial" w:eastAsia="Arial" w:hAnsi="Arial" w:cs="Arial"/>
          <w:b/>
          <w:color w:val="000000"/>
          <w:sz w:val="22"/>
          <w:szCs w:val="22"/>
        </w:rPr>
        <w:t xml:space="preserve">ACUERDOS COMERCIALES – Fuentes – Aplicabilidad – Incorporación </w:t>
      </w:r>
    </w:p>
    <w:p w14:paraId="482BDC92" w14:textId="164867EC" w:rsidR="00EE312D" w:rsidRPr="00EE312D" w:rsidRDefault="000033A3" w:rsidP="00EE312D">
      <w:pPr>
        <w:spacing w:before="240" w:after="240"/>
        <w:jc w:val="both"/>
        <w:rPr>
          <w:rFonts w:ascii="Arial" w:eastAsia="Arial" w:hAnsi="Arial" w:cs="Arial"/>
          <w:color w:val="000000"/>
          <w:sz w:val="20"/>
          <w:szCs w:val="20"/>
        </w:rPr>
      </w:pPr>
      <w:r>
        <w:rPr>
          <w:rFonts w:ascii="Arial" w:eastAsia="Arial" w:hAnsi="Arial" w:cs="Arial"/>
          <w:color w:val="000000"/>
          <w:sz w:val="20"/>
          <w:szCs w:val="20"/>
        </w:rPr>
        <w:t>[…]</w:t>
      </w:r>
      <w:r w:rsidR="00EE312D" w:rsidRPr="00EE312D">
        <w:rPr>
          <w:rFonts w:ascii="Arial" w:eastAsia="Arial" w:hAnsi="Arial" w:cs="Arial"/>
          <w:color w:val="000000"/>
          <w:sz w:val="20"/>
          <w:szCs w:val="20"/>
        </w:rPr>
        <w:t xml:space="preserve"> los acuerdos comerciales son tratados internacionales celebrados entre Estados e incorporados a los ordenamientos nacionales, cuyo contenido consagra derechos y obligaciones en distintas materias, entre estas las compras públicas. En el caso colombiano, cada acuerdo comercial, por ser un tratado que celebra el Gobierno con otros Estados, debe ser aprobado y posteriormente incorporado al ordenamiento </w:t>
      </w:r>
      <w:r w:rsidRPr="00EE312D">
        <w:rPr>
          <w:rFonts w:ascii="Arial" w:eastAsia="Arial" w:hAnsi="Arial" w:cs="Arial"/>
          <w:color w:val="000000"/>
          <w:sz w:val="20"/>
          <w:szCs w:val="20"/>
        </w:rPr>
        <w:t>jurídico</w:t>
      </w:r>
      <w:r w:rsidR="00EE312D" w:rsidRPr="00EE312D">
        <w:rPr>
          <w:rFonts w:ascii="Arial" w:eastAsia="Arial" w:hAnsi="Arial" w:cs="Arial"/>
          <w:color w:val="000000"/>
          <w:sz w:val="20"/>
          <w:szCs w:val="20"/>
        </w:rPr>
        <w:t xml:space="preserve"> colombiano por una ley de la Repúblic</w:t>
      </w:r>
      <w:r>
        <w:rPr>
          <w:rFonts w:ascii="Arial" w:eastAsia="Arial" w:hAnsi="Arial" w:cs="Arial"/>
          <w:color w:val="000000"/>
          <w:sz w:val="20"/>
          <w:szCs w:val="20"/>
        </w:rPr>
        <w:t>a.</w:t>
      </w:r>
      <w:r w:rsidR="00EE312D" w:rsidRPr="00EE312D">
        <w:rPr>
          <w:rFonts w:ascii="Arial" w:eastAsia="Arial" w:hAnsi="Arial" w:cs="Arial"/>
          <w:color w:val="000000"/>
          <w:sz w:val="20"/>
          <w:szCs w:val="20"/>
        </w:rPr>
        <w:t xml:space="preserve"> </w:t>
      </w:r>
    </w:p>
    <w:p w14:paraId="3A14AD0D" w14:textId="55B99904" w:rsidR="00F555BF" w:rsidRDefault="00F555BF" w:rsidP="00EE312D">
      <w:pPr>
        <w:spacing w:before="240" w:after="240"/>
        <w:jc w:val="both"/>
        <w:rPr>
          <w:rFonts w:ascii="Arial" w:eastAsia="Arial" w:hAnsi="Arial" w:cs="Arial"/>
          <w:color w:val="000000"/>
          <w:sz w:val="20"/>
          <w:szCs w:val="20"/>
        </w:rPr>
      </w:pPr>
    </w:p>
    <w:p w14:paraId="463FA291" w14:textId="4435D3EF" w:rsidR="00F555BF" w:rsidRDefault="00B723F4">
      <w:pPr>
        <w:spacing w:before="240" w:after="240"/>
        <w:jc w:val="both"/>
        <w:rPr>
          <w:rFonts w:ascii="Arial" w:eastAsia="Arial" w:hAnsi="Arial" w:cs="Arial"/>
          <w:b/>
          <w:color w:val="000000"/>
          <w:sz w:val="22"/>
          <w:szCs w:val="22"/>
        </w:rPr>
      </w:pPr>
      <w:r>
        <w:rPr>
          <w:rFonts w:ascii="Arial" w:eastAsia="Arial" w:hAnsi="Arial" w:cs="Arial"/>
          <w:b/>
          <w:color w:val="000000"/>
          <w:sz w:val="22"/>
          <w:szCs w:val="22"/>
        </w:rPr>
        <w:t>ACUERDOS COMERCIALES</w:t>
      </w:r>
      <w:r w:rsidR="00FE5B77">
        <w:rPr>
          <w:rFonts w:ascii="Arial" w:eastAsia="Arial" w:hAnsi="Arial" w:cs="Arial"/>
          <w:b/>
          <w:color w:val="000000"/>
          <w:sz w:val="22"/>
          <w:szCs w:val="22"/>
        </w:rPr>
        <w:t xml:space="preserve"> – </w:t>
      </w:r>
      <w:r>
        <w:rPr>
          <w:rFonts w:ascii="Arial" w:eastAsia="Arial" w:hAnsi="Arial" w:cs="Arial"/>
          <w:b/>
          <w:color w:val="000000"/>
          <w:sz w:val="22"/>
          <w:szCs w:val="22"/>
        </w:rPr>
        <w:t xml:space="preserve">Entidades estatales </w:t>
      </w:r>
      <w:r w:rsidR="00FE5B77">
        <w:rPr>
          <w:rFonts w:ascii="Arial" w:eastAsia="Arial" w:hAnsi="Arial" w:cs="Arial"/>
          <w:b/>
          <w:color w:val="000000"/>
          <w:sz w:val="22"/>
          <w:szCs w:val="22"/>
        </w:rPr>
        <w:t>–</w:t>
      </w:r>
      <w:r>
        <w:rPr>
          <w:rFonts w:ascii="Arial" w:eastAsia="Arial" w:hAnsi="Arial" w:cs="Arial"/>
          <w:b/>
          <w:color w:val="000000"/>
          <w:sz w:val="22"/>
          <w:szCs w:val="22"/>
        </w:rPr>
        <w:t xml:space="preserve"> Deber de verificación </w:t>
      </w:r>
    </w:p>
    <w:p w14:paraId="3A99A1AE" w14:textId="1258E939" w:rsidR="000033A3" w:rsidRPr="000033A3" w:rsidRDefault="00B723F4" w:rsidP="000033A3">
      <w:pPr>
        <w:spacing w:before="240" w:after="240"/>
        <w:jc w:val="both"/>
        <w:rPr>
          <w:rFonts w:ascii="Arial" w:eastAsia="Arial" w:hAnsi="Arial" w:cs="Arial"/>
          <w:color w:val="000000"/>
          <w:sz w:val="20"/>
          <w:szCs w:val="20"/>
        </w:rPr>
      </w:pPr>
      <w:r>
        <w:rPr>
          <w:rFonts w:ascii="Arial" w:eastAsia="Arial" w:hAnsi="Arial" w:cs="Arial"/>
          <w:color w:val="000000"/>
          <w:sz w:val="20"/>
          <w:szCs w:val="20"/>
        </w:rPr>
        <w:t xml:space="preserve">[…] </w:t>
      </w:r>
      <w:r w:rsidR="000033A3" w:rsidRPr="000033A3">
        <w:rPr>
          <w:rFonts w:ascii="Arial" w:eastAsia="Arial" w:hAnsi="Arial" w:cs="Arial"/>
          <w:color w:val="000000"/>
          <w:sz w:val="20"/>
          <w:szCs w:val="20"/>
        </w:rPr>
        <w:t>la finalidad de celebrar acuerdos comerciales es el cumplimiento recíproco de las obligaciones que estos contienen. Por ello, dependiendo del tratado y su contenido, se podrá determinar específicamente el tipo de obligaciones que Colombia tendrá que cumplir. </w:t>
      </w:r>
    </w:p>
    <w:p w14:paraId="124C5C29" w14:textId="32DC64F5" w:rsidR="00F555BF" w:rsidRDefault="00F555BF">
      <w:pPr>
        <w:spacing w:before="240" w:after="240"/>
        <w:jc w:val="both"/>
        <w:rPr>
          <w:rFonts w:ascii="Arial" w:eastAsia="Arial" w:hAnsi="Arial" w:cs="Arial"/>
          <w:color w:val="000000"/>
          <w:sz w:val="20"/>
          <w:szCs w:val="20"/>
        </w:rPr>
      </w:pPr>
    </w:p>
    <w:p w14:paraId="16784F50" w14:textId="77777777" w:rsidR="00F555BF" w:rsidRDefault="00B723F4">
      <w:pPr>
        <w:spacing w:before="240" w:after="240"/>
        <w:jc w:val="both"/>
        <w:rPr>
          <w:rFonts w:ascii="Arial" w:eastAsia="Arial" w:hAnsi="Arial" w:cs="Arial"/>
          <w:b/>
          <w:color w:val="000000"/>
          <w:sz w:val="22"/>
          <w:szCs w:val="22"/>
        </w:rPr>
      </w:pPr>
      <w:r>
        <w:rPr>
          <w:rFonts w:ascii="Arial" w:eastAsia="Arial" w:hAnsi="Arial" w:cs="Arial"/>
          <w:b/>
          <w:color w:val="000000"/>
          <w:sz w:val="22"/>
          <w:szCs w:val="22"/>
        </w:rPr>
        <w:t>UMBRAL – ACUERDO COMERCIAL – DERECHOS ESPECIALES DE GIRO – DEG – Valor a partir del cual es aplicable un acuerdo comercial</w:t>
      </w:r>
    </w:p>
    <w:p w14:paraId="7CC1E902" w14:textId="77777777" w:rsidR="000033A3" w:rsidRPr="000033A3" w:rsidRDefault="000033A3" w:rsidP="000033A3">
      <w:pPr>
        <w:jc w:val="both"/>
        <w:rPr>
          <w:rFonts w:ascii="Arial" w:eastAsia="Arial" w:hAnsi="Arial" w:cs="Arial"/>
          <w:bCs/>
          <w:color w:val="000000"/>
          <w:sz w:val="20"/>
          <w:szCs w:val="20"/>
          <w:lang w:val="es-ES_tradnl"/>
        </w:rPr>
      </w:pPr>
      <w:r w:rsidRPr="000033A3">
        <w:rPr>
          <w:rFonts w:ascii="Arial" w:eastAsia="Arial" w:hAnsi="Arial" w:cs="Arial"/>
          <w:color w:val="000000"/>
          <w:sz w:val="20"/>
          <w:szCs w:val="20"/>
        </w:rPr>
        <w:t>Respecto de los valores o umbrales a partir de los cuales se determina la aplicación de Acuerdos Comerciales e los procesos de contratación, debe señalarse que estos son generalmente negociados en dólares de los Estados Unidos de América o en Derechos Especiales de Giro «DEG» –</w:t>
      </w:r>
      <w:proofErr w:type="spellStart"/>
      <w:r w:rsidRPr="000033A3">
        <w:rPr>
          <w:rFonts w:ascii="Arial" w:eastAsia="Arial" w:hAnsi="Arial" w:cs="Arial"/>
          <w:color w:val="000000"/>
          <w:sz w:val="20"/>
          <w:szCs w:val="20"/>
        </w:rPr>
        <w:t>Special</w:t>
      </w:r>
      <w:proofErr w:type="spellEnd"/>
      <w:r w:rsidRPr="000033A3">
        <w:rPr>
          <w:rFonts w:ascii="Arial" w:eastAsia="Arial" w:hAnsi="Arial" w:cs="Arial"/>
          <w:color w:val="000000"/>
          <w:sz w:val="20"/>
          <w:szCs w:val="20"/>
        </w:rPr>
        <w:t xml:space="preserve"> </w:t>
      </w:r>
      <w:proofErr w:type="spellStart"/>
      <w:r w:rsidRPr="000033A3">
        <w:rPr>
          <w:rFonts w:ascii="Arial" w:eastAsia="Arial" w:hAnsi="Arial" w:cs="Arial"/>
          <w:color w:val="000000"/>
          <w:sz w:val="20"/>
          <w:szCs w:val="20"/>
        </w:rPr>
        <w:t>Drawing</w:t>
      </w:r>
      <w:proofErr w:type="spellEnd"/>
      <w:r w:rsidRPr="000033A3">
        <w:rPr>
          <w:rFonts w:ascii="Arial" w:eastAsia="Arial" w:hAnsi="Arial" w:cs="Arial"/>
          <w:color w:val="000000"/>
          <w:sz w:val="20"/>
          <w:szCs w:val="20"/>
        </w:rPr>
        <w:t xml:space="preserve"> </w:t>
      </w:r>
      <w:proofErr w:type="spellStart"/>
      <w:r w:rsidRPr="000033A3">
        <w:rPr>
          <w:rFonts w:ascii="Arial" w:eastAsia="Arial" w:hAnsi="Arial" w:cs="Arial"/>
          <w:color w:val="000000"/>
          <w:sz w:val="20"/>
          <w:szCs w:val="20"/>
        </w:rPr>
        <w:t>Rights</w:t>
      </w:r>
      <w:proofErr w:type="spellEnd"/>
      <w:r w:rsidRPr="000033A3">
        <w:rPr>
          <w:rFonts w:ascii="Arial" w:eastAsia="Arial" w:hAnsi="Arial" w:cs="Arial"/>
          <w:color w:val="000000"/>
          <w:sz w:val="20"/>
          <w:szCs w:val="20"/>
        </w:rPr>
        <w:t xml:space="preserve">, SDR por sus siglas en inglés–, </w:t>
      </w:r>
      <w:r w:rsidRPr="000033A3">
        <w:rPr>
          <w:rFonts w:ascii="Arial" w:eastAsia="Arial" w:hAnsi="Arial" w:cs="Arial"/>
          <w:bCs/>
          <w:color w:val="000000"/>
          <w:sz w:val="20"/>
          <w:szCs w:val="20"/>
          <w:lang w:val="es-ES_tradnl"/>
        </w:rPr>
        <w:t xml:space="preserve">y cada acuerdo comercial, de igual forma, determina la periodicidad y condiciones de ajuste de dichos valores. </w:t>
      </w:r>
    </w:p>
    <w:p w14:paraId="5ECD2D5E" w14:textId="77777777" w:rsidR="00F555BF" w:rsidRDefault="00F555BF">
      <w:pPr>
        <w:jc w:val="both"/>
        <w:rPr>
          <w:rFonts w:ascii="Arial" w:eastAsia="Arial" w:hAnsi="Arial" w:cs="Arial"/>
          <w:sz w:val="20"/>
          <w:szCs w:val="20"/>
        </w:rPr>
      </w:pPr>
    </w:p>
    <w:p w14:paraId="24741396" w14:textId="77777777" w:rsidR="00F555BF" w:rsidRDefault="00F555BF">
      <w:pPr>
        <w:jc w:val="both"/>
        <w:rPr>
          <w:rFonts w:ascii="Arial" w:eastAsia="Arial" w:hAnsi="Arial" w:cs="Arial"/>
          <w:sz w:val="20"/>
          <w:szCs w:val="20"/>
        </w:rPr>
      </w:pPr>
    </w:p>
    <w:p w14:paraId="14201AAA" w14:textId="77777777" w:rsidR="00F555BF" w:rsidRDefault="00B723F4">
      <w:pPr>
        <w:jc w:val="both"/>
        <w:rPr>
          <w:rFonts w:ascii="Arial" w:eastAsia="Arial" w:hAnsi="Arial" w:cs="Arial"/>
          <w:color w:val="000000"/>
          <w:sz w:val="20"/>
          <w:szCs w:val="20"/>
        </w:rPr>
      </w:pPr>
      <w:r>
        <w:rPr>
          <w:rFonts w:ascii="Arial" w:eastAsia="Arial" w:hAnsi="Arial" w:cs="Arial"/>
          <w:b/>
          <w:sz w:val="22"/>
          <w:szCs w:val="22"/>
        </w:rPr>
        <w:t xml:space="preserve">ACUERDOS COMERCIALES – MANUALES – Alcance </w:t>
      </w:r>
    </w:p>
    <w:p w14:paraId="2EABB5F0" w14:textId="77777777" w:rsidR="00F555BF" w:rsidRDefault="00F555BF">
      <w:pPr>
        <w:jc w:val="both"/>
        <w:rPr>
          <w:rFonts w:ascii="Arial" w:eastAsia="Arial" w:hAnsi="Arial" w:cs="Arial"/>
          <w:b/>
          <w:color w:val="000000"/>
          <w:sz w:val="18"/>
          <w:szCs w:val="18"/>
        </w:rPr>
      </w:pPr>
    </w:p>
    <w:p w14:paraId="148947F1" w14:textId="20B9F0AD" w:rsidR="000033A3" w:rsidRDefault="00B723F4" w:rsidP="000033A3">
      <w:pPr>
        <w:jc w:val="both"/>
        <w:rPr>
          <w:rFonts w:ascii="Arial" w:eastAsia="Arial" w:hAnsi="Arial" w:cs="Arial"/>
          <w:bCs/>
          <w:color w:val="000000"/>
          <w:sz w:val="20"/>
          <w:szCs w:val="20"/>
          <w:lang w:val="es-ES_tradnl"/>
        </w:rPr>
      </w:pPr>
      <w:r>
        <w:rPr>
          <w:rFonts w:ascii="Arial" w:eastAsia="Arial" w:hAnsi="Arial" w:cs="Arial"/>
          <w:color w:val="000000"/>
          <w:sz w:val="20"/>
          <w:szCs w:val="20"/>
        </w:rPr>
        <w:t xml:space="preserve">Ahora </w:t>
      </w:r>
      <w:r w:rsidR="000033A3" w:rsidRPr="000033A3">
        <w:rPr>
          <w:rFonts w:ascii="Arial" w:eastAsia="Arial" w:hAnsi="Arial" w:cs="Arial"/>
          <w:bCs/>
          <w:color w:val="000000"/>
          <w:sz w:val="20"/>
          <w:szCs w:val="20"/>
          <w:lang w:val="es-ES_tradnl"/>
        </w:rPr>
        <w:t>En términos generales, los acuerdos comerciales suelen determinar que los umbrales tienen una vigencia por un período de dos años, por lo que transcurrido dicho termino su valor es actualizado teniendo en cuenta las demás condiciones que para el efecto establezca el correspondiente acuerdo comercial.</w:t>
      </w:r>
    </w:p>
    <w:p w14:paraId="1852EDD9" w14:textId="77777777" w:rsidR="000033A3" w:rsidRPr="000033A3" w:rsidRDefault="000033A3" w:rsidP="000033A3">
      <w:pPr>
        <w:jc w:val="both"/>
        <w:rPr>
          <w:rFonts w:ascii="Arial" w:eastAsia="Arial" w:hAnsi="Arial" w:cs="Arial"/>
          <w:bCs/>
          <w:color w:val="000000"/>
          <w:sz w:val="20"/>
          <w:szCs w:val="20"/>
          <w:lang w:val="es-ES_tradnl"/>
        </w:rPr>
      </w:pPr>
    </w:p>
    <w:p w14:paraId="71999761" w14:textId="77777777" w:rsidR="000033A3" w:rsidRPr="000033A3" w:rsidRDefault="000033A3" w:rsidP="000033A3">
      <w:pPr>
        <w:jc w:val="both"/>
        <w:rPr>
          <w:rFonts w:ascii="Arial" w:eastAsia="Arial" w:hAnsi="Arial" w:cs="Arial"/>
          <w:bCs/>
          <w:color w:val="000000"/>
          <w:sz w:val="20"/>
          <w:szCs w:val="20"/>
          <w:lang w:val="es-ES_tradnl"/>
        </w:rPr>
      </w:pPr>
      <w:r w:rsidRPr="000033A3">
        <w:rPr>
          <w:rFonts w:ascii="Arial" w:eastAsia="Arial" w:hAnsi="Arial" w:cs="Arial"/>
          <w:bCs/>
          <w:color w:val="000000"/>
          <w:sz w:val="20"/>
          <w:szCs w:val="20"/>
          <w:lang w:val="es-ES_tradnl"/>
        </w:rPr>
        <w:t>A manera de ejemplo, el Acuerdo Marco de Alianza Pacifico en la «Sección H: Umbrales», establece el umbral aplicable para cada nivel de Gobierno de cada país miembro – Secciones A, B o C – en relación con el objeto de la contratación – mercancías y servicios o servicios de construcción</w:t>
      </w:r>
      <w:r w:rsidRPr="000033A3">
        <w:rPr>
          <w:rFonts w:ascii="Arial" w:eastAsia="Arial" w:hAnsi="Arial" w:cs="Arial"/>
          <w:color w:val="000000"/>
          <w:sz w:val="20"/>
          <w:szCs w:val="20"/>
        </w:rPr>
        <w:t xml:space="preserve"> </w:t>
      </w:r>
      <w:r w:rsidRPr="000033A3">
        <w:rPr>
          <w:rFonts w:ascii="Arial" w:eastAsia="Arial" w:hAnsi="Arial" w:cs="Arial"/>
          <w:bCs/>
          <w:color w:val="000000"/>
          <w:sz w:val="20"/>
          <w:szCs w:val="20"/>
          <w:lang w:val="es-ES_tradnl"/>
        </w:rPr>
        <w:t xml:space="preserve">–. Para el caso del Estado colombiano, los umbrales se transcriben a continuación: </w:t>
      </w:r>
    </w:p>
    <w:p w14:paraId="0C6F8B49" w14:textId="2C51693D" w:rsidR="00F555BF" w:rsidRDefault="00F555BF">
      <w:pPr>
        <w:jc w:val="both"/>
        <w:rPr>
          <w:rFonts w:ascii="Arial" w:eastAsia="Arial" w:hAnsi="Arial" w:cs="Arial"/>
          <w:color w:val="000000"/>
          <w:sz w:val="20"/>
          <w:szCs w:val="20"/>
        </w:rPr>
      </w:pPr>
    </w:p>
    <w:p w14:paraId="0A98B099" w14:textId="1EBB9721" w:rsidR="005D4555" w:rsidRDefault="005D4555">
      <w:pPr>
        <w:rPr>
          <w:rFonts w:ascii="Arial" w:eastAsia="Arial" w:hAnsi="Arial" w:cs="Arial"/>
          <w:b/>
          <w:color w:val="000000"/>
          <w:sz w:val="22"/>
          <w:szCs w:val="22"/>
        </w:rPr>
      </w:pPr>
    </w:p>
    <w:p w14:paraId="1DA193A6" w14:textId="5AAA05CB" w:rsidR="005D4555" w:rsidRDefault="005D4555">
      <w:pPr>
        <w:rPr>
          <w:rFonts w:ascii="Arial" w:eastAsia="Arial" w:hAnsi="Arial" w:cs="Arial"/>
          <w:b/>
          <w:color w:val="000000"/>
          <w:sz w:val="22"/>
          <w:szCs w:val="22"/>
        </w:rPr>
      </w:pPr>
    </w:p>
    <w:p w14:paraId="58ABB82C" w14:textId="407B5EDF" w:rsidR="00676880" w:rsidRDefault="00676880">
      <w:pPr>
        <w:rPr>
          <w:rFonts w:ascii="Arial" w:eastAsia="Arial" w:hAnsi="Arial" w:cs="Arial"/>
          <w:color w:val="000000"/>
          <w:sz w:val="22"/>
          <w:szCs w:val="22"/>
        </w:rPr>
      </w:pPr>
    </w:p>
    <w:p w14:paraId="57F35DF6" w14:textId="2E68951D" w:rsidR="000033A3" w:rsidRDefault="000033A3">
      <w:pPr>
        <w:rPr>
          <w:rFonts w:ascii="Arial" w:eastAsia="Arial" w:hAnsi="Arial" w:cs="Arial"/>
          <w:color w:val="000000"/>
          <w:sz w:val="22"/>
          <w:szCs w:val="22"/>
        </w:rPr>
      </w:pPr>
    </w:p>
    <w:p w14:paraId="7D2D3ED7" w14:textId="4BD0BEFB" w:rsidR="000033A3" w:rsidRDefault="000033A3">
      <w:pPr>
        <w:rPr>
          <w:rFonts w:ascii="Arial" w:eastAsia="Arial" w:hAnsi="Arial" w:cs="Arial"/>
          <w:color w:val="000000"/>
          <w:sz w:val="22"/>
          <w:szCs w:val="22"/>
        </w:rPr>
      </w:pPr>
    </w:p>
    <w:p w14:paraId="223B8D36" w14:textId="61A504EA" w:rsidR="000033A3" w:rsidRDefault="000033A3">
      <w:pPr>
        <w:rPr>
          <w:rFonts w:ascii="Arial" w:eastAsia="Arial" w:hAnsi="Arial" w:cs="Arial"/>
          <w:color w:val="000000"/>
          <w:sz w:val="22"/>
          <w:szCs w:val="22"/>
        </w:rPr>
      </w:pPr>
    </w:p>
    <w:p w14:paraId="12BA7CF9" w14:textId="17590885" w:rsidR="000033A3" w:rsidRDefault="000033A3">
      <w:pPr>
        <w:rPr>
          <w:rFonts w:ascii="Arial" w:eastAsia="Arial" w:hAnsi="Arial" w:cs="Arial"/>
          <w:color w:val="000000"/>
          <w:sz w:val="22"/>
          <w:szCs w:val="22"/>
        </w:rPr>
      </w:pPr>
    </w:p>
    <w:p w14:paraId="4DA8824C" w14:textId="549B8F59" w:rsidR="000033A3" w:rsidRDefault="000033A3">
      <w:pPr>
        <w:rPr>
          <w:rFonts w:ascii="Arial" w:eastAsia="Arial" w:hAnsi="Arial" w:cs="Arial"/>
          <w:color w:val="000000"/>
          <w:sz w:val="22"/>
          <w:szCs w:val="22"/>
        </w:rPr>
      </w:pPr>
    </w:p>
    <w:p w14:paraId="6ED73F31" w14:textId="52A0304A" w:rsidR="000033A3" w:rsidRDefault="000033A3">
      <w:pPr>
        <w:rPr>
          <w:rFonts w:ascii="Arial" w:eastAsia="Arial" w:hAnsi="Arial" w:cs="Arial"/>
          <w:color w:val="000000"/>
          <w:sz w:val="22"/>
          <w:szCs w:val="22"/>
        </w:rPr>
      </w:pPr>
    </w:p>
    <w:p w14:paraId="66695987" w14:textId="224E73FE" w:rsidR="000033A3" w:rsidRDefault="000033A3">
      <w:pPr>
        <w:rPr>
          <w:rFonts w:ascii="Arial" w:eastAsia="Arial" w:hAnsi="Arial" w:cs="Arial"/>
          <w:color w:val="000000"/>
          <w:sz w:val="22"/>
          <w:szCs w:val="22"/>
        </w:rPr>
      </w:pPr>
    </w:p>
    <w:p w14:paraId="36C4904B" w14:textId="517E81FF" w:rsidR="00BE2C77" w:rsidRDefault="00BE2C77" w:rsidP="00BE2C77">
      <w:pPr>
        <w:jc w:val="right"/>
        <w:rPr>
          <w:rFonts w:ascii="Arial" w:eastAsia="Arial" w:hAnsi="Arial" w:cs="Arial"/>
          <w:color w:val="000000"/>
          <w:sz w:val="22"/>
          <w:szCs w:val="22"/>
        </w:rPr>
      </w:pPr>
      <w:r w:rsidRPr="00BE2C77">
        <w:rPr>
          <w:rFonts w:ascii="Arial" w:eastAsia="Arial" w:hAnsi="Arial" w:cs="Arial"/>
          <w:noProof/>
          <w:color w:val="000000"/>
          <w:sz w:val="22"/>
          <w:szCs w:val="22"/>
        </w:rPr>
        <w:drawing>
          <wp:inline distT="0" distB="0" distL="0" distR="0" wp14:anchorId="5168CB77" wp14:editId="07ABB9E3">
            <wp:extent cx="3747465" cy="819785"/>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7573" cy="824184"/>
                    </a:xfrm>
                    <a:prstGeom prst="rect">
                      <a:avLst/>
                    </a:prstGeom>
                    <a:noFill/>
                    <a:ln>
                      <a:noFill/>
                    </a:ln>
                  </pic:spPr>
                </pic:pic>
              </a:graphicData>
            </a:graphic>
          </wp:inline>
        </w:drawing>
      </w:r>
    </w:p>
    <w:p w14:paraId="162FD989" w14:textId="44B9205B" w:rsidR="00BE2C77" w:rsidRDefault="00BE2C77">
      <w:pPr>
        <w:rPr>
          <w:rFonts w:ascii="Arial" w:eastAsia="Arial" w:hAnsi="Arial" w:cs="Arial"/>
          <w:color w:val="000000"/>
          <w:sz w:val="22"/>
          <w:szCs w:val="22"/>
        </w:rPr>
      </w:pPr>
    </w:p>
    <w:p w14:paraId="0D1B16C2" w14:textId="77777777" w:rsidR="00BE2C77" w:rsidRDefault="00BE2C77">
      <w:pPr>
        <w:rPr>
          <w:rFonts w:ascii="Arial" w:eastAsia="Arial" w:hAnsi="Arial" w:cs="Arial"/>
          <w:color w:val="000000"/>
          <w:sz w:val="22"/>
          <w:szCs w:val="22"/>
        </w:rPr>
      </w:pPr>
    </w:p>
    <w:p w14:paraId="015D78F3" w14:textId="77777777" w:rsidR="00676880" w:rsidRDefault="00676880">
      <w:pPr>
        <w:rPr>
          <w:rFonts w:ascii="Arial" w:eastAsia="Arial" w:hAnsi="Arial" w:cs="Arial"/>
          <w:color w:val="000000"/>
          <w:sz w:val="22"/>
          <w:szCs w:val="22"/>
        </w:rPr>
      </w:pPr>
    </w:p>
    <w:p w14:paraId="63B1C3E7" w14:textId="4EC547BA" w:rsidR="00F555BF" w:rsidRDefault="00B723F4">
      <w:pPr>
        <w:rPr>
          <w:rFonts w:ascii="Arial" w:eastAsia="Arial" w:hAnsi="Arial" w:cs="Arial"/>
          <w:color w:val="000000"/>
          <w:sz w:val="22"/>
          <w:szCs w:val="22"/>
        </w:rPr>
      </w:pPr>
      <w:r>
        <w:rPr>
          <w:rFonts w:ascii="Arial" w:eastAsia="Arial" w:hAnsi="Arial" w:cs="Arial"/>
          <w:color w:val="000000"/>
          <w:sz w:val="22"/>
          <w:szCs w:val="22"/>
        </w:rPr>
        <w:t>Señor</w:t>
      </w:r>
      <w:r w:rsidR="00397EA6">
        <w:rPr>
          <w:rFonts w:ascii="Arial" w:eastAsia="Arial" w:hAnsi="Arial" w:cs="Arial"/>
          <w:color w:val="000000"/>
          <w:sz w:val="22"/>
          <w:szCs w:val="22"/>
        </w:rPr>
        <w:t>a</w:t>
      </w:r>
    </w:p>
    <w:p w14:paraId="35B56D07" w14:textId="2AC175CF" w:rsidR="00F555BF" w:rsidRDefault="00371A66">
      <w:pPr>
        <w:rPr>
          <w:rFonts w:ascii="Arial" w:eastAsia="Arial" w:hAnsi="Arial" w:cs="Arial"/>
          <w:b/>
          <w:color w:val="000000"/>
          <w:sz w:val="22"/>
          <w:szCs w:val="22"/>
        </w:rPr>
      </w:pPr>
      <w:r>
        <w:rPr>
          <w:rFonts w:ascii="Arial" w:eastAsia="Arial" w:hAnsi="Arial" w:cs="Arial"/>
          <w:b/>
          <w:color w:val="000000"/>
          <w:sz w:val="22"/>
          <w:szCs w:val="22"/>
        </w:rPr>
        <w:t xml:space="preserve">Luisa Fernanda Castro Torres </w:t>
      </w:r>
    </w:p>
    <w:p w14:paraId="0C2485E7" w14:textId="1D7508A7" w:rsidR="00F555BF" w:rsidRDefault="009E7F53">
      <w:pPr>
        <w:rPr>
          <w:rFonts w:ascii="Arial" w:eastAsia="Arial" w:hAnsi="Arial" w:cs="Arial"/>
          <w:color w:val="000000"/>
          <w:sz w:val="22"/>
          <w:szCs w:val="22"/>
        </w:rPr>
      </w:pPr>
      <w:r>
        <w:rPr>
          <w:rFonts w:ascii="Arial" w:eastAsia="Arial" w:hAnsi="Arial" w:cs="Arial"/>
          <w:color w:val="000000"/>
          <w:sz w:val="22"/>
          <w:szCs w:val="22"/>
        </w:rPr>
        <w:t>Bogotá D.C.</w:t>
      </w:r>
    </w:p>
    <w:p w14:paraId="3E93E74F" w14:textId="5D798A9F" w:rsidR="00F555BF" w:rsidRDefault="00B723F4">
      <w:pPr>
        <w:jc w:val="center"/>
        <w:rPr>
          <w:rFonts w:ascii="Arial" w:eastAsia="Arial" w:hAnsi="Arial" w:cs="Arial"/>
          <w:b/>
          <w:color w:val="000000"/>
          <w:sz w:val="22"/>
          <w:szCs w:val="22"/>
        </w:rPr>
      </w:pPr>
      <w:r>
        <w:rPr>
          <w:rFonts w:ascii="Arial" w:eastAsia="Arial" w:hAnsi="Arial" w:cs="Arial"/>
          <w:b/>
          <w:color w:val="000000"/>
          <w:sz w:val="22"/>
          <w:szCs w:val="22"/>
        </w:rPr>
        <w:t xml:space="preserve">Concepto C – </w:t>
      </w:r>
      <w:r w:rsidR="00397EA6">
        <w:rPr>
          <w:rFonts w:ascii="Arial" w:eastAsia="Arial" w:hAnsi="Arial" w:cs="Arial"/>
          <w:b/>
          <w:color w:val="000000"/>
          <w:sz w:val="22"/>
          <w:szCs w:val="22"/>
        </w:rPr>
        <w:t>3</w:t>
      </w:r>
      <w:r w:rsidR="00371A66">
        <w:rPr>
          <w:rFonts w:ascii="Arial" w:eastAsia="Arial" w:hAnsi="Arial" w:cs="Arial"/>
          <w:b/>
          <w:color w:val="000000"/>
          <w:sz w:val="22"/>
          <w:szCs w:val="22"/>
        </w:rPr>
        <w:t>78</w:t>
      </w:r>
      <w:r>
        <w:rPr>
          <w:rFonts w:ascii="Arial" w:eastAsia="Arial" w:hAnsi="Arial" w:cs="Arial"/>
          <w:b/>
          <w:color w:val="000000"/>
          <w:sz w:val="22"/>
          <w:szCs w:val="22"/>
        </w:rPr>
        <w:t xml:space="preserve"> de 2022</w:t>
      </w:r>
    </w:p>
    <w:p w14:paraId="4B1D8A28" w14:textId="77777777" w:rsidR="00F555BF" w:rsidRDefault="00F555BF">
      <w:pPr>
        <w:rPr>
          <w:rFonts w:ascii="Arial" w:eastAsia="Arial" w:hAnsi="Arial" w:cs="Arial"/>
          <w:color w:val="000000"/>
          <w:sz w:val="22"/>
          <w:szCs w:val="22"/>
        </w:rPr>
      </w:pPr>
    </w:p>
    <w:tbl>
      <w:tblPr>
        <w:tblW w:w="8926" w:type="dxa"/>
        <w:tblBorders>
          <w:top w:val="nil"/>
          <w:left w:val="nil"/>
          <w:bottom w:val="nil"/>
          <w:right w:val="nil"/>
          <w:insideH w:val="nil"/>
          <w:insideV w:val="nil"/>
        </w:tblBorders>
        <w:tblLayout w:type="fixed"/>
        <w:tblCellMar>
          <w:left w:w="0" w:type="dxa"/>
          <w:right w:w="0" w:type="dxa"/>
        </w:tblCellMar>
        <w:tblLook w:val="0400" w:firstRow="0" w:lastRow="0" w:firstColumn="0" w:lastColumn="0" w:noHBand="0" w:noVBand="1"/>
      </w:tblPr>
      <w:tblGrid>
        <w:gridCol w:w="2689"/>
        <w:gridCol w:w="6237"/>
      </w:tblGrid>
      <w:tr w:rsidR="00F555BF" w14:paraId="0191A2C2" w14:textId="77777777">
        <w:tc>
          <w:tcPr>
            <w:tcW w:w="2689" w:type="dxa"/>
          </w:tcPr>
          <w:p w14:paraId="4749ECCF" w14:textId="77777777" w:rsidR="00F555BF" w:rsidRDefault="00B723F4">
            <w:pPr>
              <w:rPr>
                <w:rFonts w:ascii="Arial" w:eastAsia="Arial" w:hAnsi="Arial" w:cs="Arial"/>
                <w:color w:val="000000"/>
                <w:sz w:val="22"/>
                <w:szCs w:val="22"/>
              </w:rPr>
            </w:pPr>
            <w:r>
              <w:rPr>
                <w:rFonts w:ascii="Arial" w:eastAsia="Arial" w:hAnsi="Arial" w:cs="Arial"/>
                <w:b/>
                <w:color w:val="000000"/>
                <w:sz w:val="22"/>
                <w:szCs w:val="22"/>
              </w:rPr>
              <w:t>Temas:</w:t>
            </w:r>
            <w:r>
              <w:rPr>
                <w:rFonts w:ascii="Arial" w:eastAsia="Arial" w:hAnsi="Arial" w:cs="Arial"/>
                <w:color w:val="000000"/>
                <w:sz w:val="22"/>
                <w:szCs w:val="22"/>
              </w:rPr>
              <w:t xml:space="preserve">           </w:t>
            </w:r>
          </w:p>
          <w:p w14:paraId="7A0E9797" w14:textId="77777777" w:rsidR="00F555BF" w:rsidRDefault="00B723F4">
            <w:pPr>
              <w:rPr>
                <w:rFonts w:ascii="Arial" w:eastAsia="Arial" w:hAnsi="Arial" w:cs="Arial"/>
                <w:color w:val="000000"/>
                <w:sz w:val="22"/>
                <w:szCs w:val="22"/>
              </w:rPr>
            </w:pPr>
            <w:r>
              <w:rPr>
                <w:rFonts w:ascii="Arial" w:eastAsia="Arial" w:hAnsi="Arial" w:cs="Arial"/>
                <w:color w:val="000000"/>
                <w:sz w:val="22"/>
                <w:szCs w:val="22"/>
              </w:rPr>
              <w:t xml:space="preserve">                           </w:t>
            </w:r>
          </w:p>
        </w:tc>
        <w:tc>
          <w:tcPr>
            <w:tcW w:w="6237" w:type="dxa"/>
          </w:tcPr>
          <w:p w14:paraId="1CDA6642" w14:textId="0CED549E" w:rsidR="00F555BF" w:rsidRDefault="00B723F4">
            <w:pPr>
              <w:spacing w:after="120"/>
              <w:jc w:val="both"/>
              <w:rPr>
                <w:rFonts w:ascii="Arial" w:eastAsia="Arial" w:hAnsi="Arial" w:cs="Arial"/>
                <w:color w:val="000000"/>
                <w:sz w:val="22"/>
                <w:szCs w:val="22"/>
              </w:rPr>
            </w:pPr>
            <w:r>
              <w:rPr>
                <w:rFonts w:ascii="Arial" w:eastAsia="Arial" w:hAnsi="Arial" w:cs="Arial"/>
                <w:color w:val="000000"/>
                <w:sz w:val="22"/>
                <w:szCs w:val="22"/>
              </w:rPr>
              <w:t>ACUERDOS COMERCIALES – Fuentes – Aplicabilidad – Incorporación / ACUERDOS COMERCIALES ― Entidades estatales ― Deber de verificación / UMBRAL – ACUERDO COMERCIAL – DERECHOS ESPECIALES DE GIRO – DEG – Valor a partir del cual es aplicable un acuerdo comercial</w:t>
            </w:r>
            <w:r w:rsidR="00CF5EDE">
              <w:rPr>
                <w:rFonts w:ascii="Arial" w:eastAsia="Arial" w:hAnsi="Arial" w:cs="Arial"/>
                <w:color w:val="000000"/>
                <w:sz w:val="22"/>
                <w:szCs w:val="22"/>
              </w:rPr>
              <w:t xml:space="preserve"> </w:t>
            </w:r>
            <w:r>
              <w:rPr>
                <w:rFonts w:ascii="Arial" w:eastAsia="Arial" w:hAnsi="Arial" w:cs="Arial"/>
                <w:color w:val="000000"/>
                <w:sz w:val="22"/>
                <w:szCs w:val="22"/>
              </w:rPr>
              <w:t>/ ACUERDOS COMERCIALES – MANUALES – Alcance</w:t>
            </w:r>
          </w:p>
        </w:tc>
      </w:tr>
      <w:tr w:rsidR="00F555BF" w14:paraId="7F28DB07" w14:textId="77777777">
        <w:tc>
          <w:tcPr>
            <w:tcW w:w="2689" w:type="dxa"/>
          </w:tcPr>
          <w:p w14:paraId="4B1DA978" w14:textId="77777777" w:rsidR="00F555BF" w:rsidRDefault="00B723F4">
            <w:pPr>
              <w:spacing w:before="120"/>
              <w:rPr>
                <w:rFonts w:ascii="Arial" w:eastAsia="Arial" w:hAnsi="Arial" w:cs="Arial"/>
                <w:b/>
                <w:color w:val="000000"/>
                <w:sz w:val="22"/>
                <w:szCs w:val="22"/>
              </w:rPr>
            </w:pPr>
            <w:r>
              <w:rPr>
                <w:rFonts w:ascii="Arial" w:eastAsia="Arial" w:hAnsi="Arial" w:cs="Arial"/>
                <w:b/>
                <w:color w:val="000000"/>
                <w:sz w:val="22"/>
                <w:szCs w:val="22"/>
              </w:rPr>
              <w:t>Radicación:</w:t>
            </w:r>
            <w:r>
              <w:rPr>
                <w:rFonts w:ascii="Arial" w:eastAsia="Arial" w:hAnsi="Arial" w:cs="Arial"/>
                <w:color w:val="000000"/>
                <w:sz w:val="22"/>
                <w:szCs w:val="22"/>
              </w:rPr>
              <w:t xml:space="preserve">                              </w:t>
            </w:r>
          </w:p>
        </w:tc>
        <w:tc>
          <w:tcPr>
            <w:tcW w:w="6237" w:type="dxa"/>
          </w:tcPr>
          <w:p w14:paraId="4BFB34E4" w14:textId="71754813" w:rsidR="00F555BF" w:rsidRDefault="00B723F4">
            <w:pPr>
              <w:spacing w:before="120"/>
              <w:jc w:val="both"/>
              <w:rPr>
                <w:rFonts w:ascii="Arial" w:eastAsia="Arial" w:hAnsi="Arial" w:cs="Arial"/>
                <w:color w:val="000000"/>
                <w:sz w:val="22"/>
                <w:szCs w:val="22"/>
              </w:rPr>
            </w:pPr>
            <w:r>
              <w:rPr>
                <w:rFonts w:ascii="Arial" w:eastAsia="Arial" w:hAnsi="Arial" w:cs="Arial"/>
                <w:color w:val="000000"/>
                <w:sz w:val="22"/>
                <w:szCs w:val="22"/>
              </w:rPr>
              <w:t>Respuesta a consulta P2022</w:t>
            </w:r>
            <w:r w:rsidR="00764DFD">
              <w:rPr>
                <w:rFonts w:ascii="Arial" w:eastAsia="Arial" w:hAnsi="Arial" w:cs="Arial"/>
                <w:color w:val="000000"/>
                <w:sz w:val="22"/>
                <w:szCs w:val="22"/>
              </w:rPr>
              <w:t>0502004247</w:t>
            </w:r>
          </w:p>
        </w:tc>
      </w:tr>
      <w:tr w:rsidR="00F555BF" w14:paraId="386F5A0A" w14:textId="77777777">
        <w:tc>
          <w:tcPr>
            <w:tcW w:w="2689" w:type="dxa"/>
          </w:tcPr>
          <w:p w14:paraId="5D679154" w14:textId="77777777" w:rsidR="00F555BF" w:rsidRDefault="00F555BF">
            <w:pPr>
              <w:spacing w:before="120"/>
              <w:rPr>
                <w:rFonts w:ascii="Arial" w:eastAsia="Arial" w:hAnsi="Arial" w:cs="Arial"/>
                <w:b/>
                <w:color w:val="000000"/>
                <w:sz w:val="22"/>
                <w:szCs w:val="22"/>
              </w:rPr>
            </w:pPr>
          </w:p>
        </w:tc>
        <w:tc>
          <w:tcPr>
            <w:tcW w:w="6237" w:type="dxa"/>
          </w:tcPr>
          <w:p w14:paraId="693F3208" w14:textId="77777777" w:rsidR="00F555BF" w:rsidRDefault="00F555BF">
            <w:pPr>
              <w:spacing w:before="120"/>
              <w:jc w:val="both"/>
              <w:rPr>
                <w:rFonts w:ascii="Arial" w:eastAsia="Arial" w:hAnsi="Arial" w:cs="Arial"/>
                <w:color w:val="000000"/>
                <w:sz w:val="22"/>
                <w:szCs w:val="22"/>
              </w:rPr>
            </w:pPr>
          </w:p>
        </w:tc>
      </w:tr>
    </w:tbl>
    <w:p w14:paraId="379F5E58" w14:textId="3F6F3CB1" w:rsidR="00F555BF" w:rsidRDefault="00B723F4">
      <w:pPr>
        <w:rPr>
          <w:rFonts w:ascii="Arial" w:eastAsia="Arial" w:hAnsi="Arial" w:cs="Arial"/>
          <w:color w:val="000000"/>
          <w:sz w:val="22"/>
          <w:szCs w:val="22"/>
        </w:rPr>
      </w:pPr>
      <w:r>
        <w:rPr>
          <w:rFonts w:ascii="Arial" w:eastAsia="Arial" w:hAnsi="Arial" w:cs="Arial"/>
          <w:color w:val="000000"/>
          <w:sz w:val="22"/>
          <w:szCs w:val="22"/>
        </w:rPr>
        <w:t xml:space="preserve">Estimada señora </w:t>
      </w:r>
      <w:r w:rsidR="00764DFD">
        <w:rPr>
          <w:rFonts w:ascii="Arial" w:eastAsia="Arial" w:hAnsi="Arial" w:cs="Arial"/>
          <w:color w:val="000000"/>
          <w:sz w:val="22"/>
          <w:szCs w:val="22"/>
        </w:rPr>
        <w:t>Castro Torres</w:t>
      </w:r>
      <w:r>
        <w:rPr>
          <w:rFonts w:ascii="Arial" w:eastAsia="Arial" w:hAnsi="Arial" w:cs="Arial"/>
          <w:color w:val="000000"/>
          <w:sz w:val="22"/>
          <w:szCs w:val="22"/>
        </w:rPr>
        <w:t>:</w:t>
      </w:r>
      <w:r w:rsidR="00764DFD">
        <w:rPr>
          <w:rFonts w:ascii="Arial" w:eastAsia="Arial" w:hAnsi="Arial" w:cs="Arial"/>
          <w:color w:val="000000"/>
          <w:sz w:val="22"/>
          <w:szCs w:val="22"/>
        </w:rPr>
        <w:t xml:space="preserve">  </w:t>
      </w:r>
    </w:p>
    <w:p w14:paraId="77F314D5" w14:textId="77777777" w:rsidR="00F555BF" w:rsidRDefault="00F555BF">
      <w:pPr>
        <w:rPr>
          <w:rFonts w:ascii="Arial" w:eastAsia="Arial" w:hAnsi="Arial" w:cs="Arial"/>
          <w:color w:val="000000"/>
          <w:sz w:val="22"/>
          <w:szCs w:val="22"/>
        </w:rPr>
      </w:pPr>
    </w:p>
    <w:p w14:paraId="4373186E" w14:textId="4E5EEC4A" w:rsidR="00F555BF" w:rsidRDefault="00B723F4">
      <w:pPr>
        <w:spacing w:line="276" w:lineRule="auto"/>
        <w:jc w:val="both"/>
        <w:rPr>
          <w:rFonts w:ascii="Arial" w:eastAsia="Arial" w:hAnsi="Arial" w:cs="Arial"/>
          <w:color w:val="000000"/>
          <w:sz w:val="22"/>
          <w:szCs w:val="22"/>
        </w:rPr>
      </w:pPr>
      <w:r>
        <w:rPr>
          <w:rFonts w:ascii="Arial" w:eastAsia="Arial" w:hAnsi="Arial" w:cs="Arial"/>
          <w:sz w:val="22"/>
          <w:szCs w:val="22"/>
        </w:rPr>
        <w:t>En ejercicio de la competencia otorgada por el numeral 8 del artículo 11 y el numeral 5 del artículo 3 del Decreto Ley 4170 de 2011, la Agencia Nacional de Contratación Pública</w:t>
      </w:r>
      <w:r w:rsidR="00B35B08">
        <w:rPr>
          <w:rFonts w:ascii="Arial" w:eastAsia="Arial" w:hAnsi="Arial" w:cs="Arial"/>
          <w:sz w:val="22"/>
          <w:szCs w:val="22"/>
        </w:rPr>
        <w:t xml:space="preserve"> </w:t>
      </w:r>
      <w:r>
        <w:rPr>
          <w:rFonts w:ascii="Arial" w:eastAsia="Arial" w:hAnsi="Arial" w:cs="Arial"/>
          <w:sz w:val="22"/>
          <w:szCs w:val="22"/>
        </w:rPr>
        <w:t xml:space="preserve">− Colombia Compra Eficiente responde </w:t>
      </w:r>
      <w:r w:rsidR="006C2E5A">
        <w:rPr>
          <w:rFonts w:ascii="Arial" w:eastAsia="Arial" w:hAnsi="Arial" w:cs="Arial"/>
          <w:sz w:val="22"/>
          <w:szCs w:val="22"/>
        </w:rPr>
        <w:t>la</w:t>
      </w:r>
      <w:r>
        <w:rPr>
          <w:rFonts w:ascii="Arial" w:eastAsia="Arial" w:hAnsi="Arial" w:cs="Arial"/>
          <w:sz w:val="22"/>
          <w:szCs w:val="22"/>
        </w:rPr>
        <w:t xml:space="preserve"> consulta</w:t>
      </w:r>
      <w:r w:rsidR="006C2E5A">
        <w:rPr>
          <w:rFonts w:ascii="Arial" w:eastAsia="Arial" w:hAnsi="Arial" w:cs="Arial"/>
          <w:sz w:val="22"/>
          <w:szCs w:val="22"/>
        </w:rPr>
        <w:t xml:space="preserve"> radicada</w:t>
      </w:r>
      <w:r>
        <w:rPr>
          <w:rFonts w:ascii="Arial" w:eastAsia="Arial" w:hAnsi="Arial" w:cs="Arial"/>
          <w:sz w:val="22"/>
          <w:szCs w:val="22"/>
        </w:rPr>
        <w:t xml:space="preserve"> </w:t>
      </w:r>
      <w:r w:rsidR="006C2E5A">
        <w:rPr>
          <w:rFonts w:ascii="Arial" w:eastAsia="Arial" w:hAnsi="Arial" w:cs="Arial"/>
          <w:color w:val="000000"/>
          <w:sz w:val="22"/>
          <w:szCs w:val="22"/>
        </w:rPr>
        <w:t>el</w:t>
      </w:r>
      <w:r>
        <w:rPr>
          <w:rFonts w:ascii="Arial" w:eastAsia="Arial" w:hAnsi="Arial" w:cs="Arial"/>
          <w:color w:val="000000"/>
          <w:sz w:val="22"/>
          <w:szCs w:val="22"/>
        </w:rPr>
        <w:t xml:space="preserve"> </w:t>
      </w:r>
      <w:r w:rsidR="00277811">
        <w:rPr>
          <w:rFonts w:ascii="Arial" w:eastAsia="Arial" w:hAnsi="Arial" w:cs="Arial"/>
          <w:color w:val="000000"/>
          <w:sz w:val="22"/>
          <w:szCs w:val="22"/>
        </w:rPr>
        <w:t>2</w:t>
      </w:r>
      <w:r>
        <w:rPr>
          <w:rFonts w:ascii="Arial" w:eastAsia="Arial" w:hAnsi="Arial" w:cs="Arial"/>
          <w:color w:val="000000"/>
          <w:sz w:val="22"/>
          <w:szCs w:val="22"/>
        </w:rPr>
        <w:t xml:space="preserve"> de </w:t>
      </w:r>
      <w:r w:rsidR="006C2E5A">
        <w:rPr>
          <w:rFonts w:ascii="Arial" w:eastAsia="Arial" w:hAnsi="Arial" w:cs="Arial"/>
          <w:color w:val="000000"/>
          <w:sz w:val="22"/>
          <w:szCs w:val="22"/>
        </w:rPr>
        <w:t>mayo</w:t>
      </w:r>
      <w:r>
        <w:rPr>
          <w:rFonts w:ascii="Arial" w:eastAsia="Arial" w:hAnsi="Arial" w:cs="Arial"/>
          <w:color w:val="000000"/>
          <w:sz w:val="22"/>
          <w:szCs w:val="22"/>
        </w:rPr>
        <w:t xml:space="preserve"> de 2022</w:t>
      </w:r>
      <w:r w:rsidR="006C2E5A">
        <w:rPr>
          <w:rFonts w:ascii="Arial" w:eastAsia="Arial" w:hAnsi="Arial" w:cs="Arial"/>
          <w:color w:val="000000"/>
          <w:sz w:val="22"/>
          <w:szCs w:val="22"/>
        </w:rPr>
        <w:t>.</w:t>
      </w:r>
      <w:r>
        <w:rPr>
          <w:rFonts w:ascii="Arial" w:eastAsia="Arial" w:hAnsi="Arial" w:cs="Arial"/>
          <w:color w:val="000000"/>
          <w:sz w:val="22"/>
          <w:szCs w:val="22"/>
        </w:rPr>
        <w:t xml:space="preserve"> </w:t>
      </w:r>
    </w:p>
    <w:p w14:paraId="317D00EA" w14:textId="77777777" w:rsidR="00F555BF" w:rsidRDefault="00F555BF">
      <w:pPr>
        <w:spacing w:line="276" w:lineRule="auto"/>
        <w:jc w:val="both"/>
        <w:rPr>
          <w:rFonts w:ascii="Arial" w:eastAsia="Arial" w:hAnsi="Arial" w:cs="Arial"/>
          <w:color w:val="000000"/>
          <w:sz w:val="22"/>
          <w:szCs w:val="22"/>
        </w:rPr>
      </w:pPr>
    </w:p>
    <w:p w14:paraId="2398D964" w14:textId="4F40DBC5" w:rsidR="00F555BF" w:rsidRPr="002E3AAA" w:rsidRDefault="00B723F4">
      <w:pPr>
        <w:numPr>
          <w:ilvl w:val="0"/>
          <w:numId w:val="5"/>
        </w:numPr>
        <w:tabs>
          <w:tab w:val="left" w:pos="284"/>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 xml:space="preserve">Problema planteado </w:t>
      </w:r>
    </w:p>
    <w:p w14:paraId="063BFBE5" w14:textId="77777777" w:rsidR="002E3AAA" w:rsidRDefault="002E3AAA" w:rsidP="002E3AAA">
      <w:pPr>
        <w:tabs>
          <w:tab w:val="left" w:pos="284"/>
        </w:tabs>
        <w:spacing w:line="276" w:lineRule="auto"/>
        <w:jc w:val="both"/>
        <w:rPr>
          <w:rFonts w:ascii="Arial" w:eastAsia="Arial" w:hAnsi="Arial" w:cs="Arial"/>
          <w:sz w:val="22"/>
          <w:szCs w:val="22"/>
        </w:rPr>
      </w:pPr>
    </w:p>
    <w:p w14:paraId="69B04D79" w14:textId="2B01CA58" w:rsidR="009600D7" w:rsidRDefault="00B723F4" w:rsidP="002E3AAA">
      <w:pPr>
        <w:pBdr>
          <w:top w:val="nil"/>
          <w:left w:val="nil"/>
          <w:bottom w:val="nil"/>
          <w:right w:val="nil"/>
          <w:between w:val="nil"/>
        </w:pBdr>
        <w:shd w:val="clear" w:color="auto" w:fill="FFFFFF"/>
        <w:spacing w:line="276" w:lineRule="auto"/>
        <w:jc w:val="both"/>
        <w:rPr>
          <w:rFonts w:ascii="Arial" w:eastAsia="Arial" w:hAnsi="Arial" w:cs="Arial"/>
          <w:color w:val="000000"/>
          <w:sz w:val="22"/>
          <w:szCs w:val="22"/>
        </w:rPr>
      </w:pPr>
      <w:bookmarkStart w:id="2" w:name="_1fob9te" w:colFirst="0" w:colLast="0"/>
      <w:bookmarkEnd w:id="2"/>
      <w:r>
        <w:rPr>
          <w:rFonts w:ascii="Arial" w:eastAsia="Arial" w:hAnsi="Arial" w:cs="Arial"/>
          <w:color w:val="000000"/>
          <w:sz w:val="22"/>
          <w:szCs w:val="22"/>
        </w:rPr>
        <w:t>Usted realiza la siguiente</w:t>
      </w:r>
      <w:r w:rsidR="00B35B08">
        <w:rPr>
          <w:rFonts w:ascii="Arial" w:eastAsia="Arial" w:hAnsi="Arial" w:cs="Arial"/>
          <w:color w:val="000000"/>
          <w:sz w:val="22"/>
          <w:szCs w:val="22"/>
        </w:rPr>
        <w:t xml:space="preserve"> consulta, en relación con</w:t>
      </w:r>
      <w:r w:rsidR="00C648BD">
        <w:rPr>
          <w:rFonts w:ascii="Arial" w:eastAsia="Arial" w:hAnsi="Arial" w:cs="Arial"/>
          <w:color w:val="000000"/>
          <w:sz w:val="22"/>
          <w:szCs w:val="22"/>
        </w:rPr>
        <w:t xml:space="preserve"> el</w:t>
      </w:r>
      <w:r w:rsidR="00F07460">
        <w:rPr>
          <w:rFonts w:ascii="Arial" w:eastAsia="Arial" w:hAnsi="Arial" w:cs="Arial"/>
          <w:color w:val="000000"/>
          <w:sz w:val="22"/>
          <w:szCs w:val="22"/>
        </w:rPr>
        <w:t xml:space="preserve"> Manual para el Manejo de los Acuerdos Comerciales en Procesos de Contratación, referente a los valores </w:t>
      </w:r>
      <w:r w:rsidR="00307B6F">
        <w:rPr>
          <w:rFonts w:ascii="Arial" w:eastAsia="Arial" w:hAnsi="Arial" w:cs="Arial"/>
          <w:color w:val="000000"/>
          <w:sz w:val="22"/>
          <w:szCs w:val="22"/>
        </w:rPr>
        <w:t>de aplicabilidad del acuerdo para entidades del orden nacional y los Derechos Especiales de Giro –DEG–, al respecto pregunta</w:t>
      </w:r>
      <w:r>
        <w:rPr>
          <w:rFonts w:ascii="Arial" w:eastAsia="Arial" w:hAnsi="Arial" w:cs="Arial"/>
          <w:color w:val="000000"/>
          <w:sz w:val="22"/>
          <w:szCs w:val="22"/>
        </w:rPr>
        <w:t xml:space="preserve">: </w:t>
      </w:r>
    </w:p>
    <w:p w14:paraId="3E453806" w14:textId="77777777" w:rsidR="002E3AAA" w:rsidRDefault="002E3AAA" w:rsidP="002E3AAA">
      <w:pPr>
        <w:pBdr>
          <w:top w:val="nil"/>
          <w:left w:val="nil"/>
          <w:bottom w:val="nil"/>
          <w:right w:val="nil"/>
          <w:between w:val="nil"/>
        </w:pBdr>
        <w:shd w:val="clear" w:color="auto" w:fill="FFFFFF"/>
        <w:ind w:left="709" w:right="709"/>
        <w:jc w:val="both"/>
        <w:rPr>
          <w:rFonts w:ascii="Arial" w:eastAsia="Arial" w:hAnsi="Arial" w:cs="Arial"/>
          <w:color w:val="000000"/>
          <w:sz w:val="21"/>
          <w:szCs w:val="21"/>
        </w:rPr>
      </w:pPr>
      <w:bookmarkStart w:id="3" w:name="_Hlk105669736"/>
    </w:p>
    <w:p w14:paraId="39D896A3" w14:textId="00831686" w:rsidR="00F555BF" w:rsidRDefault="00B723F4" w:rsidP="002E3AAA">
      <w:pPr>
        <w:pBdr>
          <w:top w:val="nil"/>
          <w:left w:val="nil"/>
          <w:bottom w:val="nil"/>
          <w:right w:val="nil"/>
          <w:between w:val="nil"/>
        </w:pBdr>
        <w:shd w:val="clear" w:color="auto" w:fill="FFFFFF"/>
        <w:ind w:left="709" w:right="709"/>
        <w:jc w:val="both"/>
        <w:rPr>
          <w:rFonts w:ascii="Arial" w:eastAsia="Arial" w:hAnsi="Arial" w:cs="Arial"/>
          <w:color w:val="000000"/>
          <w:sz w:val="21"/>
          <w:szCs w:val="21"/>
        </w:rPr>
      </w:pPr>
      <w:r w:rsidRPr="009600D7">
        <w:rPr>
          <w:rFonts w:ascii="Arial" w:eastAsia="Arial" w:hAnsi="Arial" w:cs="Arial"/>
          <w:color w:val="000000"/>
          <w:sz w:val="21"/>
          <w:szCs w:val="21"/>
        </w:rPr>
        <w:t>«</w:t>
      </w:r>
      <w:r w:rsidR="009600D7" w:rsidRPr="009600D7">
        <w:rPr>
          <w:rFonts w:ascii="Arial" w:eastAsia="Arial" w:hAnsi="Arial" w:cs="Arial"/>
          <w:color w:val="000000"/>
          <w:sz w:val="21"/>
          <w:szCs w:val="21"/>
        </w:rPr>
        <w:t>Cómo</w:t>
      </w:r>
      <w:r w:rsidR="002F213F">
        <w:rPr>
          <w:rFonts w:ascii="Arial" w:eastAsia="Arial" w:hAnsi="Arial" w:cs="Arial"/>
          <w:color w:val="000000"/>
          <w:sz w:val="21"/>
          <w:szCs w:val="21"/>
        </w:rPr>
        <w:t xml:space="preserve"> </w:t>
      </w:r>
      <w:r w:rsidR="002F213F" w:rsidRPr="002F213F">
        <w:rPr>
          <w:rFonts w:ascii="Arial" w:eastAsia="Arial" w:hAnsi="Arial" w:cs="Arial"/>
          <w:color w:val="000000"/>
          <w:sz w:val="21"/>
          <w:szCs w:val="21"/>
        </w:rPr>
        <w:t>el manual de acuerdos comerciales actualizado para el valor para la</w:t>
      </w:r>
      <w:r w:rsidR="002F213F">
        <w:rPr>
          <w:rFonts w:ascii="Arial" w:eastAsia="Arial" w:hAnsi="Arial" w:cs="Arial"/>
          <w:color w:val="000000"/>
          <w:sz w:val="21"/>
          <w:szCs w:val="21"/>
        </w:rPr>
        <w:t xml:space="preserve"> (sic)</w:t>
      </w:r>
      <w:r w:rsidR="002F213F" w:rsidRPr="002F213F">
        <w:rPr>
          <w:rFonts w:ascii="Arial" w:eastAsia="Arial" w:hAnsi="Arial" w:cs="Arial"/>
          <w:color w:val="000000"/>
          <w:sz w:val="21"/>
          <w:szCs w:val="21"/>
        </w:rPr>
        <w:t xml:space="preserve"> entidades del</w:t>
      </w:r>
      <w:r w:rsidR="002F213F">
        <w:rPr>
          <w:rFonts w:ascii="Arial" w:eastAsia="Arial" w:hAnsi="Arial" w:cs="Arial"/>
          <w:color w:val="000000"/>
          <w:sz w:val="21"/>
          <w:szCs w:val="21"/>
        </w:rPr>
        <w:t xml:space="preserve"> </w:t>
      </w:r>
      <w:r w:rsidR="002F213F" w:rsidRPr="002F213F">
        <w:rPr>
          <w:rFonts w:ascii="Arial" w:eastAsia="Arial" w:hAnsi="Arial" w:cs="Arial"/>
          <w:color w:val="000000"/>
          <w:sz w:val="21"/>
          <w:szCs w:val="21"/>
        </w:rPr>
        <w:t>orden nacional indican que para alianza pacifica, indican un</w:t>
      </w:r>
      <w:r w:rsidR="002F213F">
        <w:rPr>
          <w:rFonts w:ascii="Arial" w:eastAsia="Arial" w:hAnsi="Arial" w:cs="Arial"/>
          <w:color w:val="000000"/>
          <w:sz w:val="21"/>
          <w:szCs w:val="21"/>
        </w:rPr>
        <w:t xml:space="preserve"> (sic)</w:t>
      </w:r>
      <w:r w:rsidR="002F213F" w:rsidRPr="002F213F">
        <w:rPr>
          <w:rFonts w:ascii="Arial" w:eastAsia="Arial" w:hAnsi="Arial" w:cs="Arial"/>
          <w:color w:val="000000"/>
          <w:sz w:val="21"/>
          <w:szCs w:val="21"/>
        </w:rPr>
        <w:t xml:space="preserve"> valores representados en</w:t>
      </w:r>
      <w:r w:rsidR="002F213F">
        <w:rPr>
          <w:rFonts w:ascii="Arial" w:eastAsia="Arial" w:hAnsi="Arial" w:cs="Arial"/>
          <w:color w:val="000000"/>
          <w:sz w:val="21"/>
          <w:szCs w:val="21"/>
        </w:rPr>
        <w:t xml:space="preserve"> </w:t>
      </w:r>
      <w:r w:rsidR="002F213F" w:rsidRPr="002F213F">
        <w:rPr>
          <w:rFonts w:ascii="Arial" w:eastAsia="Arial" w:hAnsi="Arial" w:cs="Arial"/>
          <w:color w:val="000000"/>
          <w:sz w:val="21"/>
          <w:szCs w:val="21"/>
        </w:rPr>
        <w:t>DEG, cuando se revisa el documento adicional con los umbrales para el acuerdo marco</w:t>
      </w:r>
      <w:r w:rsidR="002F213F">
        <w:rPr>
          <w:rFonts w:ascii="Arial" w:eastAsia="Arial" w:hAnsi="Arial" w:cs="Arial"/>
          <w:color w:val="000000"/>
          <w:sz w:val="21"/>
          <w:szCs w:val="21"/>
        </w:rPr>
        <w:t xml:space="preserve"> </w:t>
      </w:r>
      <w:r w:rsidR="002F213F" w:rsidRPr="002F213F">
        <w:rPr>
          <w:rFonts w:ascii="Arial" w:eastAsia="Arial" w:hAnsi="Arial" w:cs="Arial"/>
          <w:color w:val="000000"/>
          <w:sz w:val="21"/>
          <w:szCs w:val="21"/>
        </w:rPr>
        <w:t>de la alianza pacifica, indican que se divide en sección B, sección A y sección C, como</w:t>
      </w:r>
      <w:r w:rsidR="002F213F">
        <w:rPr>
          <w:rFonts w:ascii="Arial" w:eastAsia="Arial" w:hAnsi="Arial" w:cs="Arial"/>
          <w:color w:val="000000"/>
          <w:sz w:val="21"/>
          <w:szCs w:val="21"/>
        </w:rPr>
        <w:t xml:space="preserve"> </w:t>
      </w:r>
      <w:r w:rsidR="002F213F" w:rsidRPr="002F213F">
        <w:rPr>
          <w:rFonts w:ascii="Arial" w:eastAsia="Arial" w:hAnsi="Arial" w:cs="Arial"/>
          <w:color w:val="000000"/>
          <w:sz w:val="21"/>
          <w:szCs w:val="21"/>
        </w:rPr>
        <w:t>se debe determinar cuál sección es aplicable para una entidad de orden nacional</w:t>
      </w:r>
      <w:r w:rsidRPr="009600D7">
        <w:rPr>
          <w:rFonts w:ascii="Arial" w:eastAsia="Arial" w:hAnsi="Arial" w:cs="Arial"/>
          <w:color w:val="000000"/>
          <w:sz w:val="21"/>
          <w:szCs w:val="21"/>
        </w:rPr>
        <w:t>».</w:t>
      </w:r>
    </w:p>
    <w:p w14:paraId="4003CC13" w14:textId="7DD65741" w:rsidR="002E3AAA" w:rsidRDefault="002E3AAA" w:rsidP="002E3AAA">
      <w:pPr>
        <w:pBdr>
          <w:top w:val="nil"/>
          <w:left w:val="nil"/>
          <w:bottom w:val="nil"/>
          <w:right w:val="nil"/>
          <w:between w:val="nil"/>
        </w:pBdr>
        <w:shd w:val="clear" w:color="auto" w:fill="FFFFFF"/>
        <w:ind w:left="709" w:right="709"/>
        <w:jc w:val="both"/>
        <w:rPr>
          <w:rFonts w:ascii="Arial" w:eastAsia="Arial" w:hAnsi="Arial" w:cs="Arial"/>
          <w:color w:val="000000"/>
          <w:sz w:val="21"/>
          <w:szCs w:val="21"/>
        </w:rPr>
      </w:pPr>
    </w:p>
    <w:p w14:paraId="22DE4A0F" w14:textId="0CFE5B86" w:rsidR="00676880" w:rsidRDefault="00676880" w:rsidP="002E3AAA">
      <w:pPr>
        <w:pBdr>
          <w:top w:val="nil"/>
          <w:left w:val="nil"/>
          <w:bottom w:val="nil"/>
          <w:right w:val="nil"/>
          <w:between w:val="nil"/>
        </w:pBdr>
        <w:shd w:val="clear" w:color="auto" w:fill="FFFFFF"/>
        <w:ind w:left="709" w:right="709"/>
        <w:jc w:val="both"/>
        <w:rPr>
          <w:rFonts w:ascii="Arial" w:eastAsia="Arial" w:hAnsi="Arial" w:cs="Arial"/>
          <w:color w:val="000000"/>
          <w:sz w:val="21"/>
          <w:szCs w:val="21"/>
        </w:rPr>
      </w:pPr>
    </w:p>
    <w:p w14:paraId="1509CD0B" w14:textId="682F6401" w:rsidR="00676880" w:rsidRDefault="00676880" w:rsidP="002E3AAA">
      <w:pPr>
        <w:pBdr>
          <w:top w:val="nil"/>
          <w:left w:val="nil"/>
          <w:bottom w:val="nil"/>
          <w:right w:val="nil"/>
          <w:between w:val="nil"/>
        </w:pBdr>
        <w:shd w:val="clear" w:color="auto" w:fill="FFFFFF"/>
        <w:ind w:left="709" w:right="709"/>
        <w:jc w:val="both"/>
        <w:rPr>
          <w:rFonts w:ascii="Arial" w:eastAsia="Arial" w:hAnsi="Arial" w:cs="Arial"/>
          <w:color w:val="000000"/>
          <w:sz w:val="21"/>
          <w:szCs w:val="21"/>
        </w:rPr>
      </w:pPr>
    </w:p>
    <w:p w14:paraId="7D1C7B89" w14:textId="03E2DAF1" w:rsidR="00676880" w:rsidRDefault="00676880" w:rsidP="002E3AAA">
      <w:pPr>
        <w:pBdr>
          <w:top w:val="nil"/>
          <w:left w:val="nil"/>
          <w:bottom w:val="nil"/>
          <w:right w:val="nil"/>
          <w:between w:val="nil"/>
        </w:pBdr>
        <w:shd w:val="clear" w:color="auto" w:fill="FFFFFF"/>
        <w:ind w:left="709" w:right="709"/>
        <w:jc w:val="both"/>
        <w:rPr>
          <w:rFonts w:ascii="Arial" w:eastAsia="Arial" w:hAnsi="Arial" w:cs="Arial"/>
          <w:color w:val="000000"/>
          <w:sz w:val="21"/>
          <w:szCs w:val="21"/>
        </w:rPr>
      </w:pPr>
    </w:p>
    <w:p w14:paraId="30F60FEA" w14:textId="77777777" w:rsidR="00676880" w:rsidRDefault="00676880" w:rsidP="002E3AAA">
      <w:pPr>
        <w:pBdr>
          <w:top w:val="nil"/>
          <w:left w:val="nil"/>
          <w:bottom w:val="nil"/>
          <w:right w:val="nil"/>
          <w:between w:val="nil"/>
        </w:pBdr>
        <w:shd w:val="clear" w:color="auto" w:fill="FFFFFF"/>
        <w:ind w:left="709" w:right="709"/>
        <w:jc w:val="both"/>
        <w:rPr>
          <w:rFonts w:ascii="Arial" w:eastAsia="Arial" w:hAnsi="Arial" w:cs="Arial"/>
          <w:color w:val="000000"/>
          <w:sz w:val="21"/>
          <w:szCs w:val="21"/>
        </w:rPr>
      </w:pPr>
    </w:p>
    <w:bookmarkEnd w:id="3"/>
    <w:p w14:paraId="4517C5BA" w14:textId="77777777" w:rsidR="00F555BF" w:rsidRDefault="00B723F4">
      <w:pPr>
        <w:numPr>
          <w:ilvl w:val="0"/>
          <w:numId w:val="5"/>
        </w:numPr>
        <w:tabs>
          <w:tab w:val="left" w:pos="426"/>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Consideraciones</w:t>
      </w:r>
    </w:p>
    <w:p w14:paraId="51BA9441" w14:textId="77777777" w:rsidR="00676880" w:rsidRDefault="00676880" w:rsidP="0036180E">
      <w:pPr>
        <w:spacing w:line="276" w:lineRule="auto"/>
        <w:jc w:val="both"/>
        <w:rPr>
          <w:rFonts w:ascii="Arial" w:eastAsia="Arial" w:hAnsi="Arial" w:cs="Arial"/>
          <w:sz w:val="22"/>
          <w:szCs w:val="22"/>
        </w:rPr>
      </w:pPr>
    </w:p>
    <w:p w14:paraId="14A6846E" w14:textId="4B09CAEC" w:rsidR="0036180E" w:rsidRDefault="0036180E" w:rsidP="0036180E">
      <w:pPr>
        <w:spacing w:line="276" w:lineRule="auto"/>
        <w:jc w:val="both"/>
        <w:rPr>
          <w:rFonts w:ascii="Arial" w:eastAsia="Arial" w:hAnsi="Arial" w:cs="Arial"/>
          <w:sz w:val="22"/>
          <w:szCs w:val="22"/>
        </w:rPr>
      </w:pPr>
      <w:r w:rsidRPr="0036180E">
        <w:rPr>
          <w:rFonts w:ascii="Arial" w:eastAsia="Arial" w:hAnsi="Arial" w:cs="Arial"/>
          <w:sz w:val="22"/>
          <w:szCs w:val="22"/>
        </w:rPr>
        <w:t>La Agencia Nacional de Contratación Pública – Colombia Compra Eficiente se pronunció sobre  los tratados o acuerdos comerciales en la contratación estatal en los conceptos con radicado No. 2201913000006925 del 17 de septiembre de 2019, 2201913000008236 del 6 de noviembre de 2019, 2201913000008425 del 13 de noviembre de 2019, C–360 del 16 de julio de 2020, C–417 del 16 de julio de 2020, C–611 del 2 de octubre de 2020, C–613 del 26 de octubre de 2020, C–694 del 26 de noviembre de 2020, C–755 del 6 de enero de 2021 y C–285 del 11 de junio de 2021</w:t>
      </w:r>
      <w:r>
        <w:rPr>
          <w:rFonts w:ascii="Arial" w:eastAsia="Arial" w:hAnsi="Arial" w:cs="Arial"/>
          <w:sz w:val="22"/>
          <w:szCs w:val="22"/>
        </w:rPr>
        <w:t xml:space="preserve">, de igual forma </w:t>
      </w:r>
      <w:r w:rsidRPr="0036180E">
        <w:rPr>
          <w:rFonts w:ascii="Arial" w:eastAsia="Arial" w:hAnsi="Arial" w:cs="Arial"/>
          <w:sz w:val="22"/>
          <w:szCs w:val="22"/>
        </w:rPr>
        <w:t>se ha pronunciado sobre la naturaleza de las guías y los manuales en los Conceptos C-451 del 31 de agosto de 2021</w:t>
      </w:r>
      <w:r>
        <w:rPr>
          <w:rFonts w:ascii="Arial" w:eastAsia="Arial" w:hAnsi="Arial" w:cs="Arial"/>
          <w:sz w:val="22"/>
          <w:szCs w:val="22"/>
        </w:rPr>
        <w:t xml:space="preserve">, </w:t>
      </w:r>
      <w:r w:rsidRPr="0036180E">
        <w:rPr>
          <w:rFonts w:ascii="Arial" w:eastAsia="Arial" w:hAnsi="Arial" w:cs="Arial"/>
          <w:sz w:val="22"/>
          <w:szCs w:val="22"/>
        </w:rPr>
        <w:t>C-519 del 23 de septiembre de 2021</w:t>
      </w:r>
      <w:r>
        <w:rPr>
          <w:rFonts w:ascii="Arial" w:eastAsia="Arial" w:hAnsi="Arial" w:cs="Arial"/>
          <w:sz w:val="22"/>
          <w:szCs w:val="22"/>
        </w:rPr>
        <w:t>,</w:t>
      </w:r>
      <w:r w:rsidR="00F94B7F">
        <w:rPr>
          <w:rFonts w:ascii="Arial" w:eastAsia="Arial" w:hAnsi="Arial" w:cs="Arial"/>
          <w:sz w:val="22"/>
          <w:szCs w:val="22"/>
        </w:rPr>
        <w:t xml:space="preserve"> C-117 del 24 de marzo de 2022</w:t>
      </w:r>
      <w:r>
        <w:rPr>
          <w:rFonts w:ascii="Arial" w:eastAsia="Arial" w:hAnsi="Arial" w:cs="Arial"/>
          <w:sz w:val="22"/>
          <w:szCs w:val="22"/>
        </w:rPr>
        <w:t xml:space="preserve"> </w:t>
      </w:r>
      <w:r w:rsidR="00F94B7F">
        <w:rPr>
          <w:rFonts w:ascii="Arial" w:eastAsia="Arial" w:hAnsi="Arial" w:cs="Arial"/>
          <w:sz w:val="22"/>
          <w:szCs w:val="22"/>
        </w:rPr>
        <w:t xml:space="preserve">y </w:t>
      </w:r>
      <w:r>
        <w:rPr>
          <w:rFonts w:ascii="Arial" w:eastAsia="Arial" w:hAnsi="Arial" w:cs="Arial"/>
          <w:sz w:val="22"/>
          <w:szCs w:val="22"/>
        </w:rPr>
        <w:t>C-149 del 5 de abril de 2022</w:t>
      </w:r>
      <w:r w:rsidRPr="0036180E">
        <w:rPr>
          <w:rFonts w:ascii="Arial" w:eastAsia="Arial" w:hAnsi="Arial" w:cs="Arial"/>
          <w:sz w:val="22"/>
          <w:szCs w:val="22"/>
        </w:rPr>
        <w:t>, refiriéndose específicamente al «Manual para el manejo de los Acuerdos Comerciales en Procesos de Contratación» en el Concepto C-124 del 5 de abril de 2021. Las ideas expuestas en dichas oportunidades se reiterarán a continuación y se complementarán en lo pertinente: </w:t>
      </w:r>
    </w:p>
    <w:p w14:paraId="71CFD6B2" w14:textId="77777777" w:rsidR="00F555BF" w:rsidRDefault="00B723F4">
      <w:p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 </w:t>
      </w:r>
    </w:p>
    <w:p w14:paraId="4D6C6373" w14:textId="65EE0574" w:rsidR="00F555BF" w:rsidRDefault="00B723F4">
      <w:pPr>
        <w:spacing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2.1. </w:t>
      </w:r>
      <w:r w:rsidR="00D713E2">
        <w:rPr>
          <w:rFonts w:ascii="Arial" w:eastAsia="Arial" w:hAnsi="Arial" w:cs="Arial"/>
          <w:b/>
          <w:color w:val="000000"/>
          <w:sz w:val="22"/>
          <w:szCs w:val="22"/>
        </w:rPr>
        <w:t xml:space="preserve">Aplicación de umbrales previstos en Acuerdos Comerciales </w:t>
      </w:r>
      <w:r w:rsidR="007E365F">
        <w:rPr>
          <w:rFonts w:ascii="Arial" w:eastAsia="Arial" w:hAnsi="Arial" w:cs="Arial"/>
          <w:b/>
          <w:color w:val="000000"/>
          <w:sz w:val="22"/>
          <w:szCs w:val="22"/>
        </w:rPr>
        <w:t xml:space="preserve">para la contratación de entidades estatales del orden nacional. Alcance del </w:t>
      </w:r>
      <w:r w:rsidR="00676880" w:rsidRPr="00676880">
        <w:rPr>
          <w:rFonts w:ascii="Arial" w:eastAsia="Arial" w:hAnsi="Arial" w:cs="Arial"/>
          <w:b/>
          <w:color w:val="000000"/>
          <w:sz w:val="22"/>
          <w:szCs w:val="22"/>
        </w:rPr>
        <w:t>Manual para el manejo de los Acuerdos Comerciales en Procesos de Contratació</w:t>
      </w:r>
      <w:r w:rsidR="00676880">
        <w:rPr>
          <w:rFonts w:ascii="Arial" w:eastAsia="Arial" w:hAnsi="Arial" w:cs="Arial"/>
          <w:b/>
          <w:color w:val="000000"/>
          <w:sz w:val="22"/>
          <w:szCs w:val="22"/>
        </w:rPr>
        <w:t>n y sus anexos.</w:t>
      </w:r>
    </w:p>
    <w:p w14:paraId="5230051F" w14:textId="77777777" w:rsidR="00F555BF" w:rsidRDefault="00F555BF">
      <w:pPr>
        <w:tabs>
          <w:tab w:val="left" w:pos="0"/>
        </w:tabs>
        <w:spacing w:line="276" w:lineRule="auto"/>
        <w:jc w:val="both"/>
        <w:rPr>
          <w:rFonts w:ascii="Arial" w:eastAsia="Arial" w:hAnsi="Arial" w:cs="Arial"/>
          <w:color w:val="000000"/>
          <w:sz w:val="22"/>
          <w:szCs w:val="22"/>
        </w:rPr>
      </w:pPr>
    </w:p>
    <w:p w14:paraId="17416801" w14:textId="77777777" w:rsidR="00F555BF" w:rsidRDefault="00B723F4">
      <w:pPr>
        <w:tabs>
          <w:tab w:val="left" w:pos="0"/>
        </w:tabs>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El derecho de la contratación estatal ha dejado de ser un fenómeno estrictamente doméstico. Desde hace varias décadas existen instrumentos normativos, buenas prácticas y </w:t>
      </w:r>
      <w:proofErr w:type="spellStart"/>
      <w:r>
        <w:rPr>
          <w:rFonts w:ascii="Arial" w:eastAsia="Arial" w:hAnsi="Arial" w:cs="Arial"/>
          <w:i/>
          <w:color w:val="000000"/>
          <w:sz w:val="22"/>
          <w:szCs w:val="22"/>
        </w:rPr>
        <w:t>soft</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law</w:t>
      </w:r>
      <w:proofErr w:type="spellEnd"/>
      <w:r>
        <w:rPr>
          <w:rFonts w:ascii="Arial" w:eastAsia="Arial" w:hAnsi="Arial" w:cs="Arial"/>
          <w:color w:val="000000"/>
          <w:sz w:val="22"/>
          <w:szCs w:val="22"/>
        </w:rPr>
        <w:t xml:space="preserve"> que hacen parte del «nuevo sistema de fuentes» de la contratación pública en diversos ordenamientos jurídicos en el mundo. La transformación de los sistemas locales ha sido de tal magnitud y tan evidente resulta la existencia de un orden internacional que la doctrina se refirió, hace más de dos décadas, a este cuerpo de normas e ideas sobre contratación estatal como «una reforma global»</w:t>
      </w:r>
      <w:r>
        <w:rPr>
          <w:rFonts w:ascii="Arial" w:eastAsia="Arial" w:hAnsi="Arial" w:cs="Arial"/>
          <w:color w:val="000000"/>
          <w:sz w:val="22"/>
          <w:szCs w:val="22"/>
          <w:vertAlign w:val="superscript"/>
        </w:rPr>
        <w:footnoteReference w:id="2"/>
      </w:r>
      <w:r>
        <w:rPr>
          <w:rFonts w:ascii="Arial" w:eastAsia="Arial" w:hAnsi="Arial" w:cs="Arial"/>
          <w:color w:val="000000"/>
          <w:sz w:val="22"/>
          <w:szCs w:val="22"/>
        </w:rPr>
        <w:t xml:space="preserve"> o, incluso, una «revolución global»</w:t>
      </w:r>
      <w:r>
        <w:rPr>
          <w:rFonts w:ascii="Arial" w:eastAsia="Arial" w:hAnsi="Arial" w:cs="Arial"/>
          <w:color w:val="000000"/>
          <w:sz w:val="22"/>
          <w:szCs w:val="22"/>
          <w:vertAlign w:val="superscript"/>
        </w:rPr>
        <w:footnoteReference w:id="3"/>
      </w:r>
      <w:r>
        <w:rPr>
          <w:rFonts w:ascii="Arial" w:eastAsia="Arial" w:hAnsi="Arial" w:cs="Arial"/>
          <w:color w:val="000000"/>
          <w:sz w:val="22"/>
          <w:szCs w:val="22"/>
        </w:rPr>
        <w:t>.</w:t>
      </w:r>
    </w:p>
    <w:p w14:paraId="433FBDDD" w14:textId="77777777" w:rsidR="00F555BF" w:rsidRDefault="00B723F4">
      <w:pPr>
        <w:tabs>
          <w:tab w:val="left" w:pos="0"/>
        </w:tabs>
        <w:spacing w:after="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 xml:space="preserve">Esta revolución global en materia de contratación estatal es un fenómeno jurídico, en alguna medida imbricado con el fenómeno más amplio de la globalización, en el cual se cuentan actores diversos, como la Comisión de las Naciones Unidas para el Derecho </w:t>
      </w:r>
      <w:r>
        <w:rPr>
          <w:rFonts w:ascii="Arial" w:eastAsia="Arial" w:hAnsi="Arial" w:cs="Arial"/>
          <w:color w:val="000000"/>
          <w:sz w:val="22"/>
          <w:szCs w:val="22"/>
        </w:rPr>
        <w:lastRenderedPageBreak/>
        <w:t>Mercantil, que cuenta con una ley modelo en materia de contratación pública</w:t>
      </w:r>
      <w:r>
        <w:rPr>
          <w:rFonts w:ascii="Arial" w:eastAsia="Arial" w:hAnsi="Arial" w:cs="Arial"/>
          <w:color w:val="000000"/>
          <w:sz w:val="22"/>
          <w:szCs w:val="22"/>
          <w:vertAlign w:val="superscript"/>
        </w:rPr>
        <w:footnoteReference w:id="4"/>
      </w:r>
      <w:r>
        <w:rPr>
          <w:rFonts w:ascii="Arial" w:eastAsia="Arial" w:hAnsi="Arial" w:cs="Arial"/>
          <w:color w:val="000000"/>
          <w:sz w:val="22"/>
          <w:szCs w:val="22"/>
        </w:rPr>
        <w:t>, los organismos multilaterales de crédito que han actuado como catalizadores de reforma de los sistemas locales</w:t>
      </w:r>
      <w:r>
        <w:rPr>
          <w:rFonts w:ascii="Arial" w:eastAsia="Arial" w:hAnsi="Arial" w:cs="Arial"/>
          <w:color w:val="000000"/>
          <w:sz w:val="22"/>
          <w:szCs w:val="22"/>
          <w:vertAlign w:val="superscript"/>
        </w:rPr>
        <w:footnoteReference w:id="5"/>
      </w:r>
      <w:r>
        <w:rPr>
          <w:rFonts w:ascii="Arial" w:eastAsia="Arial" w:hAnsi="Arial" w:cs="Arial"/>
          <w:color w:val="000000"/>
          <w:sz w:val="22"/>
          <w:szCs w:val="22"/>
        </w:rPr>
        <w:t xml:space="preserve">. De igual forma, la liberalización de los mercados de contratación mediante acuerdos plurilaterales de comercio como el Acuerdo sobre Contratación Pública de la OMC, acuerdos regionales como la Unión Europea, o acuerdos bilaterales de comercio con capítulos de contratación estatal, lo cual tiene importantes efectos para el asunto analizado en este concepto. </w:t>
      </w:r>
    </w:p>
    <w:p w14:paraId="7F639668" w14:textId="77777777" w:rsidR="00F555BF" w:rsidRDefault="00B723F4">
      <w:pPr>
        <w:tabs>
          <w:tab w:val="left" w:pos="0"/>
        </w:tabs>
        <w:spacing w:after="120" w:line="276" w:lineRule="auto"/>
        <w:ind w:firstLine="709"/>
        <w:jc w:val="both"/>
        <w:rPr>
          <w:rFonts w:ascii="Arial" w:eastAsia="Arial" w:hAnsi="Arial" w:cs="Arial"/>
          <w:color w:val="000000"/>
          <w:sz w:val="22"/>
          <w:szCs w:val="22"/>
        </w:rPr>
      </w:pPr>
      <w:bookmarkStart w:id="4" w:name="_3znysh7" w:colFirst="0" w:colLast="0"/>
      <w:bookmarkEnd w:id="4"/>
      <w:r>
        <w:rPr>
          <w:rFonts w:ascii="Arial" w:eastAsia="Arial" w:hAnsi="Arial" w:cs="Arial"/>
          <w:color w:val="000000"/>
          <w:sz w:val="22"/>
          <w:szCs w:val="22"/>
        </w:rPr>
        <w:t xml:space="preserve">Los tratados bilaterales de comercio con capítulos sobre contratación pública son hoy en día una realidad en el ordenamiento jurídico colombiano y las normas de contratación nacionales, como el Estatuto General de Contratación de la Administración Pública, deben ser aplicadas en la práctica con la debida observancia de las obligaciones internacionales del Estado, so pena de causar responsabilidad por incumplimiento de dichas obligaciones. </w:t>
      </w:r>
    </w:p>
    <w:p w14:paraId="2A8E0CCB" w14:textId="77777777" w:rsidR="00F555BF" w:rsidRDefault="00B723F4">
      <w:pPr>
        <w:tabs>
          <w:tab w:val="left" w:pos="0"/>
        </w:tabs>
        <w:spacing w:before="120" w:line="276" w:lineRule="auto"/>
        <w:ind w:firstLine="709"/>
        <w:jc w:val="both"/>
        <w:rPr>
          <w:rFonts w:ascii="Arial" w:eastAsia="Arial" w:hAnsi="Arial" w:cs="Arial"/>
          <w:color w:val="000000"/>
          <w:sz w:val="22"/>
          <w:szCs w:val="22"/>
        </w:rPr>
      </w:pPr>
      <w:bookmarkStart w:id="5" w:name="_Hlk106016854"/>
      <w:r>
        <w:rPr>
          <w:rFonts w:ascii="Arial" w:eastAsia="Arial" w:hAnsi="Arial" w:cs="Arial"/>
          <w:sz w:val="22"/>
          <w:szCs w:val="22"/>
        </w:rPr>
        <w:t xml:space="preserve">De esta forma, los acuerdos comerciales son tratados internacionales celebrados entre Estados e incorporados a los ordenamientos nacionales, cuyo contenido consagra derechos y obligaciones en distintas materias, entre estas las compras públicas. En el caso colombiano, </w:t>
      </w:r>
      <w:r>
        <w:rPr>
          <w:rFonts w:ascii="Arial" w:eastAsia="Arial" w:hAnsi="Arial" w:cs="Arial"/>
          <w:color w:val="000000"/>
          <w:sz w:val="22"/>
          <w:szCs w:val="22"/>
        </w:rPr>
        <w:t xml:space="preserve">cada acuerdo comercial, por ser un tratado que celebra el Gobierno con otros Estados, debe ser aprobado y posteriormente incorporado al ordenamiento </w:t>
      </w:r>
      <w:proofErr w:type="spellStart"/>
      <w:r>
        <w:rPr>
          <w:rFonts w:ascii="Arial" w:eastAsia="Arial" w:hAnsi="Arial" w:cs="Arial"/>
          <w:color w:val="000000"/>
          <w:sz w:val="22"/>
          <w:szCs w:val="22"/>
        </w:rPr>
        <w:t>jurídico</w:t>
      </w:r>
      <w:proofErr w:type="spellEnd"/>
      <w:r>
        <w:rPr>
          <w:rFonts w:ascii="Arial" w:eastAsia="Arial" w:hAnsi="Arial" w:cs="Arial"/>
          <w:color w:val="000000"/>
          <w:sz w:val="22"/>
          <w:szCs w:val="22"/>
        </w:rPr>
        <w:t xml:space="preserve"> colombiano por una ley de la República</w:t>
      </w:r>
      <w:r>
        <w:rPr>
          <w:rFonts w:ascii="Arial" w:eastAsia="Arial" w:hAnsi="Arial" w:cs="Arial"/>
          <w:color w:val="000000"/>
          <w:sz w:val="22"/>
          <w:szCs w:val="22"/>
          <w:vertAlign w:val="superscript"/>
        </w:rPr>
        <w:footnoteReference w:id="6"/>
      </w:r>
      <w:r>
        <w:rPr>
          <w:rFonts w:ascii="Arial" w:eastAsia="Arial" w:hAnsi="Arial" w:cs="Arial"/>
          <w:color w:val="000000"/>
          <w:sz w:val="22"/>
          <w:szCs w:val="22"/>
        </w:rPr>
        <w:t xml:space="preserve">. </w:t>
      </w:r>
    </w:p>
    <w:bookmarkEnd w:id="5"/>
    <w:p w14:paraId="268D88B6" w14:textId="77777777" w:rsidR="00F555BF" w:rsidRDefault="00B723F4">
      <w:pPr>
        <w:tabs>
          <w:tab w:val="left" w:pos="0"/>
        </w:tabs>
        <w:spacing w:before="120" w:after="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 xml:space="preserve">Uno de los aspectos que presenta mayor complejidad a nivel internacional en materia de contratación pública se refiere al concepto de contratación pública cubierta. Esto es, las transacciones que se entienden comprendidas dentro del acuerdo, y a las cuales deben, en consecuencia, aplicarse los estándares de protección acordados. Para poder determinar qué es </w:t>
      </w:r>
      <w:r>
        <w:rPr>
          <w:rFonts w:ascii="Arial" w:eastAsia="Arial" w:hAnsi="Arial" w:cs="Arial"/>
          <w:i/>
          <w:color w:val="000000"/>
          <w:sz w:val="22"/>
          <w:szCs w:val="22"/>
        </w:rPr>
        <w:t>contratación cubierta</w:t>
      </w:r>
      <w:r>
        <w:rPr>
          <w:rFonts w:ascii="Arial" w:eastAsia="Arial" w:hAnsi="Arial" w:cs="Arial"/>
          <w:color w:val="000000"/>
          <w:sz w:val="22"/>
          <w:szCs w:val="22"/>
        </w:rPr>
        <w:t xml:space="preserve"> es necesario revisar el instrumento </w:t>
      </w:r>
      <w:r>
        <w:rPr>
          <w:rFonts w:ascii="Arial" w:eastAsia="Arial" w:hAnsi="Arial" w:cs="Arial"/>
          <w:color w:val="000000"/>
          <w:sz w:val="22"/>
          <w:szCs w:val="22"/>
        </w:rPr>
        <w:lastRenderedPageBreak/>
        <w:t xml:space="preserve">normativo preciso cuya protección se invoca –el tratado– y determinar si la transacción que se alega como cubierta lo está o no. </w:t>
      </w:r>
    </w:p>
    <w:p w14:paraId="1EC2741A" w14:textId="77777777" w:rsidR="00F555BF" w:rsidRDefault="00B723F4">
      <w:pPr>
        <w:spacing w:before="120" w:line="276" w:lineRule="auto"/>
        <w:ind w:firstLine="709"/>
        <w:jc w:val="both"/>
        <w:rPr>
          <w:rFonts w:ascii="Arial" w:eastAsia="Arial" w:hAnsi="Arial" w:cs="Arial"/>
          <w:color w:val="000000"/>
          <w:sz w:val="22"/>
          <w:szCs w:val="22"/>
        </w:rPr>
      </w:pPr>
      <w:bookmarkStart w:id="6" w:name="_2et92p0" w:colFirst="0" w:colLast="0"/>
      <w:bookmarkEnd w:id="6"/>
      <w:r>
        <w:rPr>
          <w:rFonts w:ascii="Arial" w:eastAsia="Arial" w:hAnsi="Arial" w:cs="Arial"/>
          <w:color w:val="000000"/>
          <w:sz w:val="22"/>
          <w:szCs w:val="22"/>
        </w:rPr>
        <w:t xml:space="preserve">Por esta razón, las entidades estatales tienen la obligación de identificar los Acuerdos Comerciales aplicables a sus procesos de contratación, y de esta manera cumplir con las obligaciones previstas en materia de compras y contratación pública. Para ello, las entidades estatales deben tener en cuenta que los capítulos de compras y contratación pública de los acuerdos comerciales contienen: i) una lista de las entidades estatales incluidas en el acuerdo comercial; ii) los valores a partir de los cuales el Acuerdo Comercial es aplicable al proceso de contratación; y, </w:t>
      </w:r>
      <w:proofErr w:type="spellStart"/>
      <w:r>
        <w:rPr>
          <w:rFonts w:ascii="Arial" w:eastAsia="Arial" w:hAnsi="Arial" w:cs="Arial"/>
          <w:color w:val="000000"/>
          <w:sz w:val="22"/>
          <w:szCs w:val="22"/>
        </w:rPr>
        <w:t>iii</w:t>
      </w:r>
      <w:proofErr w:type="spellEnd"/>
      <w:r>
        <w:rPr>
          <w:rFonts w:ascii="Arial" w:eastAsia="Arial" w:hAnsi="Arial" w:cs="Arial"/>
          <w:color w:val="000000"/>
          <w:sz w:val="22"/>
          <w:szCs w:val="22"/>
        </w:rPr>
        <w:t>) las excepciones a la aplicación del acuerdo comercial.</w:t>
      </w:r>
    </w:p>
    <w:p w14:paraId="24ECD5F3" w14:textId="77777777" w:rsidR="00F555BF" w:rsidRDefault="00B723F4">
      <w:pPr>
        <w:tabs>
          <w:tab w:val="left" w:pos="0"/>
        </w:tabs>
        <w:spacing w:before="120" w:line="276" w:lineRule="auto"/>
        <w:ind w:firstLine="709"/>
        <w:jc w:val="both"/>
        <w:rPr>
          <w:rFonts w:ascii="Arial" w:eastAsia="Arial" w:hAnsi="Arial" w:cs="Arial"/>
          <w:sz w:val="22"/>
          <w:szCs w:val="22"/>
        </w:rPr>
      </w:pPr>
      <w:r>
        <w:rPr>
          <w:rFonts w:ascii="Arial" w:eastAsia="Arial" w:hAnsi="Arial" w:cs="Arial"/>
          <w:sz w:val="22"/>
          <w:szCs w:val="22"/>
        </w:rPr>
        <w:t>En suma, la finalidad de celebrar acuerdos comerciales es el cumplimiento recíproco de las obligaciones que estos contienen. Por ello, dependiendo del tratado y su contenido, se podrá determinar específicamente el tipo de obligaciones que Colombia tendrá que cumplir. </w:t>
      </w:r>
    </w:p>
    <w:p w14:paraId="493A456E" w14:textId="77777777" w:rsidR="00FB4E2C" w:rsidRPr="005B2598" w:rsidRDefault="00B723F4" w:rsidP="00FB4E2C">
      <w:pPr>
        <w:spacing w:before="120" w:line="276" w:lineRule="auto"/>
        <w:ind w:firstLine="708"/>
        <w:jc w:val="both"/>
        <w:rPr>
          <w:rFonts w:ascii="Arial" w:eastAsia="Calibri" w:hAnsi="Arial" w:cs="Arial"/>
          <w:bCs/>
          <w:color w:val="000000" w:themeColor="text1"/>
          <w:sz w:val="22"/>
          <w:lang w:val="es-ES_tradnl"/>
        </w:rPr>
      </w:pPr>
      <w:r>
        <w:rPr>
          <w:rFonts w:ascii="Arial" w:eastAsia="Arial" w:hAnsi="Arial" w:cs="Arial"/>
          <w:color w:val="000000"/>
          <w:sz w:val="22"/>
          <w:szCs w:val="22"/>
        </w:rPr>
        <w:t xml:space="preserve">Respecto de los valores </w:t>
      </w:r>
      <w:r w:rsidR="00114BE5">
        <w:rPr>
          <w:rFonts w:ascii="Arial" w:eastAsia="Arial" w:hAnsi="Arial" w:cs="Arial"/>
          <w:color w:val="000000"/>
          <w:sz w:val="22"/>
          <w:szCs w:val="22"/>
        </w:rPr>
        <w:t xml:space="preserve">o umbrales </w:t>
      </w:r>
      <w:r>
        <w:rPr>
          <w:rFonts w:ascii="Arial" w:eastAsia="Arial" w:hAnsi="Arial" w:cs="Arial"/>
          <w:color w:val="000000"/>
          <w:sz w:val="22"/>
          <w:szCs w:val="22"/>
        </w:rPr>
        <w:t xml:space="preserve">a partir de los cuales </w:t>
      </w:r>
      <w:r w:rsidR="00114BE5">
        <w:rPr>
          <w:rFonts w:ascii="Arial" w:eastAsia="Arial" w:hAnsi="Arial" w:cs="Arial"/>
          <w:color w:val="000000"/>
          <w:sz w:val="22"/>
          <w:szCs w:val="22"/>
        </w:rPr>
        <w:t xml:space="preserve">se determina la aplicación de </w:t>
      </w:r>
      <w:r>
        <w:rPr>
          <w:rFonts w:ascii="Arial" w:eastAsia="Arial" w:hAnsi="Arial" w:cs="Arial"/>
          <w:color w:val="000000"/>
          <w:sz w:val="22"/>
          <w:szCs w:val="22"/>
        </w:rPr>
        <w:t>Acuerdo</w:t>
      </w:r>
      <w:r w:rsidR="00114BE5">
        <w:rPr>
          <w:rFonts w:ascii="Arial" w:eastAsia="Arial" w:hAnsi="Arial" w:cs="Arial"/>
          <w:color w:val="000000"/>
          <w:sz w:val="22"/>
          <w:szCs w:val="22"/>
        </w:rPr>
        <w:t>s</w:t>
      </w:r>
      <w:r>
        <w:rPr>
          <w:rFonts w:ascii="Arial" w:eastAsia="Arial" w:hAnsi="Arial" w:cs="Arial"/>
          <w:color w:val="000000"/>
          <w:sz w:val="22"/>
          <w:szCs w:val="22"/>
        </w:rPr>
        <w:t xml:space="preserve"> Comercial</w:t>
      </w:r>
      <w:r w:rsidR="00114BE5">
        <w:rPr>
          <w:rFonts w:ascii="Arial" w:eastAsia="Arial" w:hAnsi="Arial" w:cs="Arial"/>
          <w:color w:val="000000"/>
          <w:sz w:val="22"/>
          <w:szCs w:val="22"/>
        </w:rPr>
        <w:t>e</w:t>
      </w:r>
      <w:r w:rsidR="007C6C46">
        <w:rPr>
          <w:rFonts w:ascii="Arial" w:eastAsia="Arial" w:hAnsi="Arial" w:cs="Arial"/>
          <w:color w:val="000000"/>
          <w:sz w:val="22"/>
          <w:szCs w:val="22"/>
        </w:rPr>
        <w:t>s</w:t>
      </w:r>
      <w:r>
        <w:rPr>
          <w:rFonts w:ascii="Arial" w:eastAsia="Arial" w:hAnsi="Arial" w:cs="Arial"/>
          <w:color w:val="000000"/>
          <w:sz w:val="22"/>
          <w:szCs w:val="22"/>
        </w:rPr>
        <w:t xml:space="preserve"> e</w:t>
      </w:r>
      <w:r w:rsidR="007C6C46">
        <w:rPr>
          <w:rFonts w:ascii="Arial" w:eastAsia="Arial" w:hAnsi="Arial" w:cs="Arial"/>
          <w:color w:val="000000"/>
          <w:sz w:val="22"/>
          <w:szCs w:val="22"/>
        </w:rPr>
        <w:t xml:space="preserve"> los</w:t>
      </w:r>
      <w:r>
        <w:rPr>
          <w:rFonts w:ascii="Arial" w:eastAsia="Arial" w:hAnsi="Arial" w:cs="Arial"/>
          <w:color w:val="000000"/>
          <w:sz w:val="22"/>
          <w:szCs w:val="22"/>
        </w:rPr>
        <w:t xml:space="preserve"> proceso</w:t>
      </w:r>
      <w:r w:rsidR="007C6C46">
        <w:rPr>
          <w:rFonts w:ascii="Arial" w:eastAsia="Arial" w:hAnsi="Arial" w:cs="Arial"/>
          <w:color w:val="000000"/>
          <w:sz w:val="22"/>
          <w:szCs w:val="22"/>
        </w:rPr>
        <w:t>s</w:t>
      </w:r>
      <w:r>
        <w:rPr>
          <w:rFonts w:ascii="Arial" w:eastAsia="Arial" w:hAnsi="Arial" w:cs="Arial"/>
          <w:color w:val="000000"/>
          <w:sz w:val="22"/>
          <w:szCs w:val="22"/>
        </w:rPr>
        <w:t xml:space="preserve"> de contratación, debe señalarse que </w:t>
      </w:r>
      <w:r w:rsidR="007C6C46">
        <w:rPr>
          <w:rFonts w:ascii="Arial" w:eastAsia="Arial" w:hAnsi="Arial" w:cs="Arial"/>
          <w:color w:val="000000"/>
          <w:sz w:val="22"/>
          <w:szCs w:val="22"/>
        </w:rPr>
        <w:t>estos son</w:t>
      </w:r>
      <w:r>
        <w:rPr>
          <w:rFonts w:ascii="Arial" w:eastAsia="Arial" w:hAnsi="Arial" w:cs="Arial"/>
          <w:color w:val="000000"/>
          <w:sz w:val="22"/>
          <w:szCs w:val="22"/>
        </w:rPr>
        <w:t xml:space="preserve"> generalmente negociados en dólares de los Estados Unidos de América o en Derechos Especiales de Giro </w:t>
      </w:r>
      <w:bookmarkStart w:id="7" w:name="_Hlk105510969"/>
      <w:r w:rsidR="006F6829">
        <w:rPr>
          <w:rFonts w:ascii="Arial" w:eastAsia="Arial" w:hAnsi="Arial" w:cs="Arial"/>
          <w:color w:val="000000"/>
          <w:sz w:val="22"/>
          <w:szCs w:val="22"/>
        </w:rPr>
        <w:t>«</w:t>
      </w:r>
      <w:r>
        <w:rPr>
          <w:rFonts w:ascii="Arial" w:eastAsia="Arial" w:hAnsi="Arial" w:cs="Arial"/>
          <w:color w:val="000000"/>
          <w:sz w:val="22"/>
          <w:szCs w:val="22"/>
        </w:rPr>
        <w:t>DEG</w:t>
      </w:r>
      <w:r w:rsidR="006F6829">
        <w:rPr>
          <w:rFonts w:ascii="Arial" w:eastAsia="Arial" w:hAnsi="Arial" w:cs="Arial"/>
          <w:color w:val="000000"/>
          <w:sz w:val="22"/>
          <w:szCs w:val="22"/>
        </w:rPr>
        <w:t>»</w:t>
      </w:r>
      <w:r>
        <w:rPr>
          <w:rFonts w:ascii="Arial" w:eastAsia="Arial" w:hAnsi="Arial" w:cs="Arial"/>
          <w:color w:val="000000"/>
          <w:sz w:val="22"/>
          <w:szCs w:val="22"/>
        </w:rPr>
        <w:t xml:space="preserve"> </w:t>
      </w:r>
      <w:bookmarkEnd w:id="7"/>
      <w:r>
        <w:rPr>
          <w:rFonts w:ascii="Arial" w:eastAsia="Arial" w:hAnsi="Arial" w:cs="Arial"/>
          <w:color w:val="000000"/>
          <w:sz w:val="22"/>
          <w:szCs w:val="22"/>
        </w:rPr>
        <w:t>–</w:t>
      </w:r>
      <w:proofErr w:type="spellStart"/>
      <w:r>
        <w:rPr>
          <w:rFonts w:ascii="Arial" w:eastAsia="Arial" w:hAnsi="Arial" w:cs="Arial"/>
          <w:color w:val="000000"/>
          <w:sz w:val="22"/>
          <w:szCs w:val="22"/>
        </w:rPr>
        <w:t>Special</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Drawing</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Rights</w:t>
      </w:r>
      <w:proofErr w:type="spellEnd"/>
      <w:r>
        <w:rPr>
          <w:rFonts w:ascii="Arial" w:eastAsia="Arial" w:hAnsi="Arial" w:cs="Arial"/>
          <w:color w:val="000000"/>
          <w:sz w:val="22"/>
          <w:szCs w:val="22"/>
        </w:rPr>
        <w:t>, SDR por sus siglas en inglés–</w:t>
      </w:r>
      <w:r w:rsidR="00FB4E2C">
        <w:rPr>
          <w:rFonts w:ascii="Arial" w:eastAsia="Arial" w:hAnsi="Arial" w:cs="Arial"/>
          <w:color w:val="000000"/>
          <w:sz w:val="22"/>
          <w:szCs w:val="22"/>
        </w:rPr>
        <w:t xml:space="preserve">, </w:t>
      </w:r>
      <w:r w:rsidR="00FB4E2C" w:rsidRPr="005B2598">
        <w:rPr>
          <w:rFonts w:ascii="Arial" w:eastAsia="Calibri" w:hAnsi="Arial" w:cs="Arial"/>
          <w:bCs/>
          <w:color w:val="000000" w:themeColor="text1"/>
          <w:sz w:val="22"/>
          <w:lang w:val="es-ES_tradnl"/>
        </w:rPr>
        <w:t xml:space="preserve">y cada acuerdo comercial, de igual forma, determina la periodicidad y condiciones de ajuste de dichos valores. </w:t>
      </w:r>
    </w:p>
    <w:p w14:paraId="5B867868" w14:textId="6EED9588" w:rsidR="00FB4E2C" w:rsidRDefault="00FB4E2C" w:rsidP="00FB4E2C">
      <w:pPr>
        <w:spacing w:before="120" w:line="276" w:lineRule="auto"/>
        <w:ind w:firstLine="708"/>
        <w:jc w:val="both"/>
        <w:rPr>
          <w:rFonts w:ascii="Arial" w:eastAsia="Calibri" w:hAnsi="Arial" w:cs="Arial"/>
          <w:bCs/>
          <w:color w:val="000000" w:themeColor="text1"/>
          <w:sz w:val="22"/>
          <w:lang w:val="es-ES_tradnl"/>
        </w:rPr>
      </w:pPr>
      <w:bookmarkStart w:id="8" w:name="_Hlk106017055"/>
      <w:r>
        <w:rPr>
          <w:rFonts w:ascii="Arial" w:eastAsia="Calibri" w:hAnsi="Arial" w:cs="Arial"/>
          <w:bCs/>
          <w:color w:val="000000" w:themeColor="text1"/>
          <w:sz w:val="22"/>
          <w:lang w:val="es-ES_tradnl"/>
        </w:rPr>
        <w:t>E</w:t>
      </w:r>
      <w:r w:rsidRPr="005B2598">
        <w:rPr>
          <w:rFonts w:ascii="Arial" w:eastAsia="Calibri" w:hAnsi="Arial" w:cs="Arial"/>
          <w:bCs/>
          <w:color w:val="000000" w:themeColor="text1"/>
          <w:sz w:val="22"/>
          <w:lang w:val="es-ES_tradnl"/>
        </w:rPr>
        <w:t xml:space="preserve">n términos generales, los acuerdos comerciales suelen determinar que los umbrales tienen una vigencia por </w:t>
      </w:r>
      <w:r>
        <w:rPr>
          <w:rFonts w:ascii="Arial" w:eastAsia="Calibri" w:hAnsi="Arial" w:cs="Arial"/>
          <w:bCs/>
          <w:color w:val="000000" w:themeColor="text1"/>
          <w:sz w:val="22"/>
          <w:lang w:val="es-ES_tradnl"/>
        </w:rPr>
        <w:t xml:space="preserve">un </w:t>
      </w:r>
      <w:r w:rsidRPr="005B2598">
        <w:rPr>
          <w:rFonts w:ascii="Arial" w:eastAsia="Calibri" w:hAnsi="Arial" w:cs="Arial"/>
          <w:bCs/>
          <w:color w:val="000000" w:themeColor="text1"/>
          <w:sz w:val="22"/>
          <w:lang w:val="es-ES_tradnl"/>
        </w:rPr>
        <w:t>período de dos años, por lo que transcurrido dicho termino su valor es actualizado teniendo en cuenta las demás condiciones que para el efecto establezca el correspondiente acuerdo</w:t>
      </w:r>
      <w:r>
        <w:rPr>
          <w:rFonts w:ascii="Arial" w:eastAsia="Calibri" w:hAnsi="Arial" w:cs="Arial"/>
          <w:bCs/>
          <w:color w:val="000000" w:themeColor="text1"/>
          <w:sz w:val="22"/>
          <w:lang w:val="es-ES_tradnl"/>
        </w:rPr>
        <w:t xml:space="preserve"> comercial.</w:t>
      </w:r>
    </w:p>
    <w:p w14:paraId="11305AB8" w14:textId="77777777" w:rsidR="00E02C6F" w:rsidRPr="00397D40" w:rsidRDefault="00E02C6F" w:rsidP="00E02C6F">
      <w:pPr>
        <w:spacing w:before="120" w:line="276" w:lineRule="auto"/>
        <w:ind w:firstLine="708"/>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A manera de ejemplo, el Acuerdo Marco de Alianza Pacifico en </w:t>
      </w:r>
      <w:r>
        <w:rPr>
          <w:rFonts w:ascii="Arial" w:eastAsia="Calibri" w:hAnsi="Arial" w:cs="Arial"/>
          <w:bCs/>
          <w:color w:val="000000" w:themeColor="text1"/>
          <w:sz w:val="22"/>
          <w:szCs w:val="22"/>
          <w:lang w:val="es-ES_tradnl"/>
        </w:rPr>
        <w:t xml:space="preserve">la «Sección H: Umbrales», establece el umbral aplicable para cada nivel de Gobierno de cada país miembro – Secciones A, B o C – en relación con el objeto de la contratación – </w:t>
      </w:r>
      <w:r w:rsidRPr="00FD5283">
        <w:rPr>
          <w:rFonts w:ascii="Arial" w:eastAsia="Calibri" w:hAnsi="Arial" w:cs="Arial"/>
          <w:bCs/>
          <w:color w:val="000000" w:themeColor="text1"/>
          <w:sz w:val="22"/>
          <w:szCs w:val="22"/>
          <w:lang w:val="es-ES_tradnl"/>
        </w:rPr>
        <w:t>mercancías y servicios o servicios de construcción</w:t>
      </w:r>
      <w:r>
        <w:rPr>
          <w:rFonts w:ascii="Arial" w:hAnsi="Arial" w:cs="Arial"/>
          <w:sz w:val="21"/>
          <w:szCs w:val="21"/>
        </w:rPr>
        <w:t xml:space="preserve"> </w:t>
      </w:r>
      <w:r>
        <w:rPr>
          <w:rFonts w:ascii="Arial" w:eastAsia="Calibri" w:hAnsi="Arial" w:cs="Arial"/>
          <w:bCs/>
          <w:color w:val="000000" w:themeColor="text1"/>
          <w:sz w:val="22"/>
          <w:szCs w:val="22"/>
          <w:lang w:val="es-ES_tradnl"/>
        </w:rPr>
        <w:t xml:space="preserve">–. Para el caso del Estado colombiano, los umbrales se transcriben a continuación: </w:t>
      </w:r>
    </w:p>
    <w:bookmarkEnd w:id="8"/>
    <w:p w14:paraId="07151060" w14:textId="77777777" w:rsidR="00E02C6F" w:rsidRPr="00006E92" w:rsidRDefault="00E02C6F" w:rsidP="00E02C6F">
      <w:pPr>
        <w:tabs>
          <w:tab w:val="left" w:pos="0"/>
        </w:tabs>
        <w:spacing w:before="240" w:after="240" w:line="276" w:lineRule="auto"/>
        <w:ind w:left="709" w:right="709"/>
        <w:jc w:val="center"/>
        <w:rPr>
          <w:rFonts w:ascii="Arial" w:hAnsi="Arial" w:cs="Arial"/>
          <w:b/>
          <w:bCs/>
          <w:sz w:val="21"/>
          <w:szCs w:val="21"/>
        </w:rPr>
      </w:pPr>
      <w:r w:rsidRPr="00006E92">
        <w:rPr>
          <w:rFonts w:ascii="Arial" w:hAnsi="Arial" w:cs="Arial"/>
          <w:b/>
          <w:bCs/>
          <w:sz w:val="21"/>
          <w:szCs w:val="21"/>
        </w:rPr>
        <w:t>Colombia</w:t>
      </w:r>
    </w:p>
    <w:p w14:paraId="4E21E9F2" w14:textId="77777777" w:rsidR="00E02C6F" w:rsidRPr="00006E92" w:rsidRDefault="00E02C6F" w:rsidP="00E02C6F">
      <w:pPr>
        <w:tabs>
          <w:tab w:val="left" w:pos="0"/>
        </w:tabs>
        <w:spacing w:before="120" w:after="240" w:line="276" w:lineRule="auto"/>
        <w:ind w:left="709" w:right="709"/>
        <w:jc w:val="both"/>
        <w:rPr>
          <w:rFonts w:ascii="Arial" w:hAnsi="Arial" w:cs="Arial"/>
          <w:b/>
          <w:bCs/>
          <w:sz w:val="21"/>
          <w:szCs w:val="21"/>
        </w:rPr>
      </w:pPr>
      <w:r w:rsidRPr="00006E92">
        <w:rPr>
          <w:rFonts w:ascii="Arial" w:hAnsi="Arial" w:cs="Arial"/>
          <w:b/>
          <w:bCs/>
          <w:sz w:val="21"/>
          <w:szCs w:val="21"/>
        </w:rPr>
        <w:t xml:space="preserve">Para la Sección A: </w:t>
      </w:r>
    </w:p>
    <w:p w14:paraId="0618D62A" w14:textId="77777777" w:rsidR="00E02C6F" w:rsidRPr="00006E92" w:rsidRDefault="00E02C6F" w:rsidP="00E02C6F">
      <w:pPr>
        <w:tabs>
          <w:tab w:val="left" w:pos="0"/>
        </w:tabs>
        <w:spacing w:before="120" w:after="240" w:line="276" w:lineRule="auto"/>
        <w:ind w:left="709" w:right="709"/>
        <w:jc w:val="both"/>
        <w:rPr>
          <w:rFonts w:ascii="Arial" w:hAnsi="Arial" w:cs="Arial"/>
          <w:sz w:val="21"/>
          <w:szCs w:val="21"/>
        </w:rPr>
      </w:pPr>
      <w:r w:rsidRPr="00006E92">
        <w:rPr>
          <w:rFonts w:ascii="Arial" w:hAnsi="Arial" w:cs="Arial"/>
          <w:sz w:val="21"/>
          <w:szCs w:val="21"/>
        </w:rPr>
        <w:t xml:space="preserve">(a) Para la contratación pública de mercancías y servicios: DEG 50.000. Excepto para el Perú en cuyo caso será: DEG 95.000. </w:t>
      </w:r>
    </w:p>
    <w:p w14:paraId="01DCB64B" w14:textId="77777777" w:rsidR="00E02C6F" w:rsidRPr="00006E92" w:rsidRDefault="00E02C6F" w:rsidP="00E02C6F">
      <w:pPr>
        <w:tabs>
          <w:tab w:val="left" w:pos="0"/>
        </w:tabs>
        <w:spacing w:before="120" w:after="240" w:line="276" w:lineRule="auto"/>
        <w:ind w:left="709" w:right="709"/>
        <w:jc w:val="both"/>
        <w:rPr>
          <w:rFonts w:ascii="Arial" w:hAnsi="Arial" w:cs="Arial"/>
          <w:sz w:val="21"/>
          <w:szCs w:val="21"/>
        </w:rPr>
      </w:pPr>
      <w:r w:rsidRPr="00006E92">
        <w:rPr>
          <w:rFonts w:ascii="Arial" w:hAnsi="Arial" w:cs="Arial"/>
          <w:sz w:val="21"/>
          <w:szCs w:val="21"/>
        </w:rPr>
        <w:lastRenderedPageBreak/>
        <w:t xml:space="preserve">(b) Para la contratación pública de servicios de la construcción DEG 5.000.000. Excepto para México en cuyo caso será: 10,335,931 dólares de los Estados Unidos de América. </w:t>
      </w:r>
    </w:p>
    <w:p w14:paraId="0B4A1518" w14:textId="77777777" w:rsidR="00E02C6F" w:rsidRPr="00862DCA" w:rsidRDefault="00E02C6F" w:rsidP="00E02C6F">
      <w:pPr>
        <w:tabs>
          <w:tab w:val="left" w:pos="0"/>
        </w:tabs>
        <w:spacing w:before="120" w:after="240" w:line="276" w:lineRule="auto"/>
        <w:ind w:left="709" w:right="709"/>
        <w:jc w:val="both"/>
        <w:rPr>
          <w:rFonts w:ascii="Arial" w:hAnsi="Arial" w:cs="Arial"/>
          <w:b/>
          <w:bCs/>
          <w:sz w:val="21"/>
          <w:szCs w:val="21"/>
        </w:rPr>
      </w:pPr>
      <w:r w:rsidRPr="00862DCA">
        <w:rPr>
          <w:rFonts w:ascii="Arial" w:hAnsi="Arial" w:cs="Arial"/>
          <w:b/>
          <w:bCs/>
          <w:sz w:val="21"/>
          <w:szCs w:val="21"/>
        </w:rPr>
        <w:t xml:space="preserve">Para la Sección B: </w:t>
      </w:r>
    </w:p>
    <w:p w14:paraId="3417F5E4" w14:textId="77777777" w:rsidR="00E02C6F" w:rsidRPr="00006E92" w:rsidRDefault="00E02C6F" w:rsidP="00E02C6F">
      <w:pPr>
        <w:tabs>
          <w:tab w:val="left" w:pos="0"/>
        </w:tabs>
        <w:spacing w:before="120" w:after="240" w:line="276" w:lineRule="auto"/>
        <w:ind w:left="709" w:right="709"/>
        <w:jc w:val="both"/>
        <w:rPr>
          <w:rFonts w:ascii="Arial" w:hAnsi="Arial" w:cs="Arial"/>
          <w:sz w:val="21"/>
          <w:szCs w:val="21"/>
        </w:rPr>
      </w:pPr>
      <w:r w:rsidRPr="00006E92">
        <w:rPr>
          <w:rFonts w:ascii="Arial" w:hAnsi="Arial" w:cs="Arial"/>
          <w:sz w:val="21"/>
          <w:szCs w:val="21"/>
        </w:rPr>
        <w:t xml:space="preserve">(a) Para la contratación pública de mercancías y servicios: DEG 200.000. </w:t>
      </w:r>
    </w:p>
    <w:p w14:paraId="1640F0D5" w14:textId="77777777" w:rsidR="00E02C6F" w:rsidRPr="00006E92" w:rsidRDefault="00E02C6F" w:rsidP="00E02C6F">
      <w:pPr>
        <w:tabs>
          <w:tab w:val="left" w:pos="0"/>
        </w:tabs>
        <w:spacing w:before="120" w:after="240" w:line="276" w:lineRule="auto"/>
        <w:ind w:left="709" w:right="709"/>
        <w:jc w:val="both"/>
        <w:rPr>
          <w:rFonts w:ascii="Arial" w:hAnsi="Arial" w:cs="Arial"/>
          <w:sz w:val="21"/>
          <w:szCs w:val="21"/>
        </w:rPr>
      </w:pPr>
      <w:r w:rsidRPr="00006E92">
        <w:rPr>
          <w:rFonts w:ascii="Arial" w:hAnsi="Arial" w:cs="Arial"/>
          <w:sz w:val="21"/>
          <w:szCs w:val="21"/>
        </w:rPr>
        <w:t>(b) Para la contratación pública de servicios de la construcción: DEG 5.000.000.</w:t>
      </w:r>
    </w:p>
    <w:p w14:paraId="5463CAC5" w14:textId="77777777" w:rsidR="00E02C6F" w:rsidRPr="00862DCA" w:rsidRDefault="00E02C6F" w:rsidP="00E02C6F">
      <w:pPr>
        <w:pStyle w:val="Textoindependiente"/>
        <w:spacing w:after="240"/>
        <w:ind w:left="709" w:right="709"/>
        <w:jc w:val="both"/>
        <w:rPr>
          <w:rFonts w:ascii="Arial" w:eastAsia="Times New Roman" w:hAnsi="Arial" w:cs="Arial"/>
          <w:b/>
          <w:bCs/>
          <w:sz w:val="21"/>
          <w:szCs w:val="21"/>
          <w:lang w:eastAsia="en-US"/>
        </w:rPr>
      </w:pPr>
      <w:r w:rsidRPr="00862DCA">
        <w:rPr>
          <w:rFonts w:ascii="Arial" w:eastAsia="Times New Roman" w:hAnsi="Arial" w:cs="Arial"/>
          <w:b/>
          <w:bCs/>
          <w:sz w:val="21"/>
          <w:szCs w:val="21"/>
          <w:lang w:eastAsia="en-US"/>
        </w:rPr>
        <w:t xml:space="preserve">Para la Sección C: </w:t>
      </w:r>
    </w:p>
    <w:p w14:paraId="1366D048" w14:textId="77777777" w:rsidR="00E02C6F" w:rsidRPr="00006E92" w:rsidRDefault="00E02C6F" w:rsidP="00E02C6F">
      <w:pPr>
        <w:pStyle w:val="Textoindependiente"/>
        <w:spacing w:after="240"/>
        <w:ind w:left="709" w:right="709"/>
        <w:jc w:val="both"/>
        <w:rPr>
          <w:rFonts w:ascii="Arial" w:eastAsia="Times New Roman" w:hAnsi="Arial" w:cs="Arial"/>
          <w:sz w:val="21"/>
          <w:szCs w:val="21"/>
          <w:lang w:eastAsia="en-US"/>
        </w:rPr>
      </w:pPr>
      <w:r w:rsidRPr="00006E92">
        <w:rPr>
          <w:rFonts w:ascii="Arial" w:eastAsia="Times New Roman" w:hAnsi="Arial" w:cs="Arial"/>
          <w:sz w:val="21"/>
          <w:szCs w:val="21"/>
          <w:lang w:eastAsia="en-US"/>
        </w:rPr>
        <w:t xml:space="preserve">(a) Para la contratación pública de mercancías y servicios: DEG 220.000. Anexo 8.2-36 Excepto para México en cuyo caso será: 397,535 dólares de los Estados Unidos de América. </w:t>
      </w:r>
    </w:p>
    <w:p w14:paraId="6A511ABE" w14:textId="77777777" w:rsidR="00E02C6F" w:rsidRDefault="00E02C6F" w:rsidP="00E02C6F">
      <w:pPr>
        <w:pStyle w:val="Textoindependiente"/>
        <w:spacing w:after="240"/>
        <w:ind w:left="709" w:right="709"/>
        <w:jc w:val="both"/>
        <w:rPr>
          <w:rFonts w:ascii="Arial" w:eastAsia="Times New Roman" w:hAnsi="Arial" w:cs="Arial"/>
          <w:sz w:val="21"/>
          <w:szCs w:val="21"/>
          <w:lang w:eastAsia="en-US"/>
        </w:rPr>
      </w:pPr>
      <w:r w:rsidRPr="00006E92">
        <w:rPr>
          <w:rFonts w:ascii="Arial" w:eastAsia="Times New Roman" w:hAnsi="Arial" w:cs="Arial"/>
          <w:sz w:val="21"/>
          <w:szCs w:val="21"/>
          <w:lang w:eastAsia="en-US"/>
        </w:rPr>
        <w:t>(b) Para la contratación pública de servicios de la construcción: DEG 5.000.000. Excepto para México en cuyo caso será: 12,721,740 dólares de los Estados Unidos de América.</w:t>
      </w:r>
    </w:p>
    <w:p w14:paraId="447BDAE4" w14:textId="77777777" w:rsidR="00E02C6F" w:rsidRDefault="00E02C6F" w:rsidP="00E02C6F">
      <w:pPr>
        <w:spacing w:before="120" w:line="276" w:lineRule="auto"/>
        <w:ind w:firstLine="708"/>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Por su parte, la «Sección I:</w:t>
      </w:r>
      <w:r w:rsidRPr="00397D40">
        <w:t xml:space="preserve"> </w:t>
      </w:r>
      <w:r w:rsidRPr="00397D40">
        <w:rPr>
          <w:rFonts w:ascii="Arial" w:eastAsia="Calibri" w:hAnsi="Arial" w:cs="Arial"/>
          <w:bCs/>
          <w:color w:val="000000" w:themeColor="text1"/>
          <w:sz w:val="22"/>
          <w:lang w:val="es-ES_tradnl"/>
        </w:rPr>
        <w:t>Valor De Los Umbrales</w:t>
      </w:r>
      <w:r>
        <w:rPr>
          <w:rFonts w:ascii="Arial" w:eastAsia="Calibri" w:hAnsi="Arial" w:cs="Arial"/>
          <w:bCs/>
          <w:color w:val="000000" w:themeColor="text1"/>
          <w:sz w:val="22"/>
          <w:lang w:val="es-ES_tradnl"/>
        </w:rPr>
        <w:t>» del Acuerdo Marco de Alianza Pacifico establece las condiciones de aplicabilidad, temporalidad y conversión de aquellos en cada país miembro; para el caso de Colombia indica:</w:t>
      </w:r>
    </w:p>
    <w:p w14:paraId="5E893DEF" w14:textId="77777777" w:rsidR="00E02C6F" w:rsidRPr="00353F03" w:rsidRDefault="00E02C6F" w:rsidP="00E02C6F">
      <w:pPr>
        <w:spacing w:before="120" w:line="276" w:lineRule="auto"/>
        <w:ind w:left="709" w:right="709"/>
        <w:jc w:val="center"/>
        <w:rPr>
          <w:rFonts w:ascii="Arial" w:hAnsi="Arial" w:cs="Arial"/>
          <w:b/>
          <w:bCs/>
          <w:sz w:val="21"/>
          <w:szCs w:val="21"/>
        </w:rPr>
      </w:pPr>
      <w:r w:rsidRPr="00353F03">
        <w:rPr>
          <w:rFonts w:ascii="Arial" w:hAnsi="Arial" w:cs="Arial"/>
          <w:b/>
          <w:bCs/>
          <w:sz w:val="21"/>
          <w:szCs w:val="21"/>
        </w:rPr>
        <w:t>Colombia</w:t>
      </w:r>
    </w:p>
    <w:p w14:paraId="5219E33F" w14:textId="77777777" w:rsidR="00E02C6F" w:rsidRDefault="00E02C6F" w:rsidP="00E02C6F">
      <w:pPr>
        <w:spacing w:before="120" w:line="276" w:lineRule="auto"/>
        <w:ind w:left="709" w:right="709"/>
        <w:jc w:val="both"/>
        <w:rPr>
          <w:rFonts w:ascii="Arial" w:hAnsi="Arial" w:cs="Arial"/>
          <w:sz w:val="21"/>
          <w:szCs w:val="21"/>
        </w:rPr>
      </w:pPr>
      <w:r w:rsidRPr="00353F03">
        <w:rPr>
          <w:rFonts w:ascii="Arial" w:hAnsi="Arial" w:cs="Arial"/>
          <w:sz w:val="21"/>
          <w:szCs w:val="21"/>
        </w:rPr>
        <w:t xml:space="preserve">1. Para el caso de los umbrales expresados en DEG, Colombia calculará y convertirá el valor a su respectiva moneda nacional utilizando las tasas de conversión de los valores diarios de la respectiva moneda nacional en términos de DEG, publicados mensualmente por el FMI en las “Estadísticas Financieras Internacionales”, </w:t>
      </w:r>
      <w:r w:rsidRPr="00353F03">
        <w:rPr>
          <w:rFonts w:ascii="Arial" w:hAnsi="Arial" w:cs="Arial"/>
          <w:b/>
          <w:bCs/>
          <w:sz w:val="21"/>
          <w:szCs w:val="21"/>
        </w:rPr>
        <w:t>sobre un período de dos años anterior al 1 de octubre o del 1 de noviembre del año previo a que los umbrales se hagan efectivos, que será a partir del 1 de enero del año siguiente.</w:t>
      </w:r>
      <w:r w:rsidRPr="00353F03">
        <w:rPr>
          <w:rFonts w:ascii="Arial" w:hAnsi="Arial" w:cs="Arial"/>
          <w:sz w:val="21"/>
          <w:szCs w:val="21"/>
        </w:rPr>
        <w:t xml:space="preserve"> </w:t>
      </w:r>
    </w:p>
    <w:p w14:paraId="462FD788" w14:textId="77777777" w:rsidR="00E02C6F" w:rsidRPr="003D283E" w:rsidRDefault="00E02C6F" w:rsidP="00E02C6F">
      <w:pPr>
        <w:spacing w:before="120" w:line="276" w:lineRule="auto"/>
        <w:ind w:left="709" w:right="709"/>
        <w:jc w:val="both"/>
        <w:rPr>
          <w:rFonts w:ascii="Arial" w:hAnsi="Arial" w:cs="Arial"/>
          <w:b/>
          <w:bCs/>
          <w:sz w:val="21"/>
          <w:szCs w:val="21"/>
        </w:rPr>
      </w:pPr>
      <w:r w:rsidRPr="00353F03">
        <w:rPr>
          <w:rFonts w:ascii="Arial" w:hAnsi="Arial" w:cs="Arial"/>
          <w:sz w:val="21"/>
          <w:szCs w:val="21"/>
        </w:rPr>
        <w:t xml:space="preserve">2. Para el caso de los umbrales para servicios de construcción que se establecen con </w:t>
      </w:r>
      <w:r w:rsidRPr="003D283E">
        <w:rPr>
          <w:rFonts w:ascii="Arial" w:hAnsi="Arial" w:cs="Arial"/>
          <w:b/>
          <w:bCs/>
          <w:sz w:val="21"/>
          <w:szCs w:val="21"/>
        </w:rPr>
        <w:t>México, estos serán ajustados de conformidad con el Tratado de Libre Comercio entre los Estados Unidos Mexicanos y la República de Colombia</w:t>
      </w:r>
      <w:r>
        <w:rPr>
          <w:rStyle w:val="Refdenotaalpie"/>
          <w:rFonts w:ascii="Arial" w:hAnsi="Arial" w:cs="Arial"/>
          <w:b/>
          <w:bCs/>
          <w:sz w:val="21"/>
          <w:szCs w:val="21"/>
        </w:rPr>
        <w:footnoteReference w:id="7"/>
      </w:r>
      <w:r w:rsidRPr="003D283E">
        <w:rPr>
          <w:rFonts w:ascii="Arial" w:hAnsi="Arial" w:cs="Arial"/>
          <w:b/>
          <w:bCs/>
          <w:sz w:val="21"/>
          <w:szCs w:val="21"/>
        </w:rPr>
        <w:t xml:space="preserve">. </w:t>
      </w:r>
    </w:p>
    <w:p w14:paraId="346C489C" w14:textId="77777777" w:rsidR="00E02C6F" w:rsidRPr="00353F03" w:rsidRDefault="00E02C6F" w:rsidP="00E02C6F">
      <w:pPr>
        <w:spacing w:before="120" w:line="276" w:lineRule="auto"/>
        <w:ind w:left="709" w:right="709"/>
        <w:jc w:val="both"/>
        <w:rPr>
          <w:rFonts w:ascii="Arial" w:hAnsi="Arial" w:cs="Arial"/>
          <w:sz w:val="21"/>
          <w:szCs w:val="21"/>
        </w:rPr>
      </w:pPr>
      <w:r w:rsidRPr="00353F03">
        <w:rPr>
          <w:rFonts w:ascii="Arial" w:hAnsi="Arial" w:cs="Arial"/>
          <w:sz w:val="21"/>
          <w:szCs w:val="21"/>
        </w:rPr>
        <w:lastRenderedPageBreak/>
        <w:t xml:space="preserve">3. Colombia notificará a las otras Partes en su respectiva moneda nacional sobre el valor de los nuevos umbrales calculados a más tardar un mes antes de que dichos umbrales surtan efecto. </w:t>
      </w:r>
      <w:r w:rsidRPr="00353F03">
        <w:rPr>
          <w:rFonts w:ascii="Arial" w:hAnsi="Arial" w:cs="Arial"/>
          <w:b/>
          <w:bCs/>
          <w:sz w:val="21"/>
          <w:szCs w:val="21"/>
        </w:rPr>
        <w:t>Los umbrales expresados en la respectiva moneda nacional serán fijados para un período de dos años, es decir, años calendario.</w:t>
      </w:r>
      <w:r>
        <w:rPr>
          <w:rFonts w:ascii="Arial" w:hAnsi="Arial" w:cs="Arial"/>
          <w:b/>
          <w:bCs/>
          <w:sz w:val="21"/>
          <w:szCs w:val="21"/>
        </w:rPr>
        <w:t xml:space="preserve"> </w:t>
      </w:r>
      <w:r>
        <w:rPr>
          <w:rFonts w:ascii="Arial" w:hAnsi="Arial" w:cs="Arial"/>
          <w:sz w:val="21"/>
          <w:szCs w:val="21"/>
        </w:rPr>
        <w:t>[Negrilla fuera de texto]</w:t>
      </w:r>
    </w:p>
    <w:p w14:paraId="392A5819" w14:textId="4407D147" w:rsidR="00E02C6F" w:rsidRDefault="00E02C6F" w:rsidP="00E02C6F">
      <w:pPr>
        <w:spacing w:before="120" w:line="276" w:lineRule="auto"/>
        <w:ind w:firstLine="708"/>
        <w:jc w:val="both"/>
        <w:rPr>
          <w:rFonts w:ascii="Arial" w:eastAsia="Calibri" w:hAnsi="Arial" w:cs="Arial"/>
          <w:bCs/>
          <w:color w:val="000000" w:themeColor="text1"/>
          <w:sz w:val="22"/>
          <w:lang w:val="es-ES_tradnl"/>
        </w:rPr>
      </w:pPr>
      <w:r w:rsidRPr="003D283E">
        <w:rPr>
          <w:rFonts w:ascii="Arial" w:eastAsia="Calibri" w:hAnsi="Arial" w:cs="Arial"/>
          <w:bCs/>
          <w:color w:val="000000" w:themeColor="text1"/>
          <w:sz w:val="22"/>
          <w:lang w:val="es-ES_tradnl"/>
        </w:rPr>
        <w:t>Es así como</w:t>
      </w:r>
      <w:r>
        <w:rPr>
          <w:rFonts w:ascii="Arial" w:eastAsia="Calibri" w:hAnsi="Arial" w:cs="Arial"/>
          <w:bCs/>
          <w:color w:val="000000" w:themeColor="text1"/>
          <w:sz w:val="22"/>
          <w:lang w:val="es-ES_tradnl"/>
        </w:rPr>
        <w:t>,</w:t>
      </w:r>
      <w:r w:rsidRPr="003D283E">
        <w:rPr>
          <w:rFonts w:ascii="Arial" w:eastAsia="Calibri" w:hAnsi="Arial" w:cs="Arial"/>
          <w:bCs/>
          <w:color w:val="000000" w:themeColor="text1"/>
          <w:sz w:val="22"/>
          <w:lang w:val="es-ES_tradnl"/>
        </w:rPr>
        <w:t xml:space="preserve"> las condiciones de conversión a pesos colombianos de los valores negociados en dólares de los Estados Unidos de América o en Derechos Especiales de Giro (DEG</w:t>
      </w:r>
      <w:r w:rsidRPr="005B2598">
        <w:rPr>
          <w:rFonts w:ascii="Arial" w:eastAsia="Calibri" w:hAnsi="Arial" w:cs="Arial"/>
          <w:bCs/>
          <w:color w:val="000000" w:themeColor="text1"/>
          <w:sz w:val="22"/>
          <w:lang w:val="es-ES_tradnl"/>
        </w:rPr>
        <w:t xml:space="preserve">) a partir de los cuales el Acuerdo Comercial es aplicable al proceso de contratación, </w:t>
      </w:r>
      <w:r>
        <w:rPr>
          <w:rFonts w:ascii="Arial" w:eastAsia="Calibri" w:hAnsi="Arial" w:cs="Arial"/>
          <w:bCs/>
          <w:color w:val="000000" w:themeColor="text1"/>
          <w:sz w:val="22"/>
          <w:lang w:val="es-ES_tradnl"/>
        </w:rPr>
        <w:t>pueden variar de acuerdo con lo negociado en cada acuerdo comercial particular.</w:t>
      </w:r>
    </w:p>
    <w:p w14:paraId="0B2AA2D5" w14:textId="6197E9EF" w:rsidR="00D170DC" w:rsidRDefault="00D170DC" w:rsidP="00D170DC">
      <w:pPr>
        <w:tabs>
          <w:tab w:val="left" w:pos="0"/>
        </w:tabs>
        <w:spacing w:before="120" w:after="120" w:line="276" w:lineRule="auto"/>
        <w:jc w:val="both"/>
        <w:rPr>
          <w:rFonts w:ascii="Arial" w:eastAsia="Calibri" w:hAnsi="Arial" w:cs="Arial"/>
          <w:bCs/>
          <w:color w:val="000000" w:themeColor="text1"/>
          <w:sz w:val="22"/>
          <w:szCs w:val="22"/>
          <w:lang w:val="es-ES_tradnl"/>
        </w:rPr>
      </w:pPr>
      <w:r>
        <w:rPr>
          <w:rFonts w:ascii="Arial" w:eastAsia="Calibri" w:hAnsi="Arial" w:cs="Arial"/>
          <w:bCs/>
          <w:color w:val="000000" w:themeColor="text1"/>
          <w:sz w:val="22"/>
          <w:szCs w:val="22"/>
          <w:lang w:val="es-ES_tradnl"/>
        </w:rPr>
        <w:tab/>
      </w:r>
      <w:r w:rsidRPr="00D06ECB">
        <w:rPr>
          <w:rFonts w:ascii="Arial" w:eastAsia="Calibri" w:hAnsi="Arial" w:cs="Arial"/>
          <w:bCs/>
          <w:color w:val="000000" w:themeColor="text1"/>
          <w:sz w:val="22"/>
          <w:szCs w:val="22"/>
          <w:lang w:val="es-ES_tradnl"/>
        </w:rPr>
        <w:t>En este marco, la Agencia Nacional de Contratación Pública – Colombia Compra Eficiente expidió el Manual para el manejo de los Acuerdos Comerciales en Procesos de Contratación con el fin de lograr que las entidades estatales cumplan, en la práctica, de manera sencilla y pacífica las obligaciones internacionales adquiridas por el Estado. Este manual, sin introducir ninguna modificación o restricción a los tratados, condensa y explica los deberes internacionales del estado colombiano que deben iluminar la actuación de las entidades estatales contratantes</w:t>
      </w:r>
      <w:r>
        <w:rPr>
          <w:rFonts w:ascii="Arial" w:eastAsia="Calibri" w:hAnsi="Arial" w:cs="Arial"/>
          <w:bCs/>
          <w:color w:val="000000" w:themeColor="text1"/>
          <w:sz w:val="22"/>
          <w:szCs w:val="22"/>
          <w:lang w:val="es-ES_tradnl"/>
        </w:rPr>
        <w:t>, así como las entidades cubiertas y los umbrales aplicables</w:t>
      </w:r>
      <w:r w:rsidRPr="00D06ECB">
        <w:rPr>
          <w:rFonts w:ascii="Arial" w:eastAsia="Calibri" w:hAnsi="Arial" w:cs="Arial"/>
          <w:bCs/>
          <w:color w:val="000000" w:themeColor="text1"/>
          <w:sz w:val="22"/>
          <w:szCs w:val="22"/>
          <w:lang w:val="es-ES_tradnl"/>
        </w:rPr>
        <w:t>.</w:t>
      </w:r>
    </w:p>
    <w:p w14:paraId="634CB3EC" w14:textId="3F08458E" w:rsidR="008A67BD" w:rsidRDefault="00E40EAE" w:rsidP="006E1AA7">
      <w:pPr>
        <w:spacing w:before="120" w:line="276" w:lineRule="auto"/>
        <w:ind w:firstLine="708"/>
        <w:jc w:val="both"/>
        <w:rPr>
          <w:rFonts w:ascii="Arial" w:eastAsia="Calibri" w:hAnsi="Arial" w:cs="Arial"/>
          <w:bCs/>
          <w:color w:val="000000" w:themeColor="text1"/>
          <w:sz w:val="22"/>
          <w:szCs w:val="22"/>
          <w:lang w:val="es-ES_tradnl"/>
        </w:rPr>
      </w:pPr>
      <w:r>
        <w:rPr>
          <w:rFonts w:ascii="Arial" w:eastAsia="Calibri" w:hAnsi="Arial" w:cs="Arial"/>
          <w:bCs/>
          <w:color w:val="000000" w:themeColor="text1"/>
          <w:sz w:val="22"/>
          <w:szCs w:val="22"/>
          <w:lang w:val="es-ES_tradnl"/>
        </w:rPr>
        <w:tab/>
        <w:t xml:space="preserve">El referido Manual además cuenta con cuatro anexos </w:t>
      </w:r>
      <w:r w:rsidR="001E3208">
        <w:rPr>
          <w:rFonts w:ascii="Arial" w:eastAsia="Calibri" w:hAnsi="Arial" w:cs="Arial"/>
          <w:bCs/>
          <w:color w:val="000000" w:themeColor="text1"/>
          <w:sz w:val="22"/>
          <w:szCs w:val="22"/>
          <w:lang w:val="es-ES_tradnl"/>
        </w:rPr>
        <w:t xml:space="preserve">en los que se detallan  parámetros para establecer </w:t>
      </w:r>
      <w:r w:rsidR="006C1041">
        <w:rPr>
          <w:rFonts w:ascii="Arial" w:eastAsia="Calibri" w:hAnsi="Arial" w:cs="Arial"/>
          <w:bCs/>
          <w:color w:val="000000" w:themeColor="text1"/>
          <w:sz w:val="22"/>
          <w:szCs w:val="22"/>
          <w:lang w:val="es-ES_tradnl"/>
        </w:rPr>
        <w:t xml:space="preserve">en la práctica en cuales </w:t>
      </w:r>
      <w:r w:rsidR="001E3208">
        <w:rPr>
          <w:rFonts w:ascii="Arial" w:eastAsia="Calibri" w:hAnsi="Arial" w:cs="Arial"/>
          <w:bCs/>
          <w:color w:val="000000" w:themeColor="text1"/>
          <w:sz w:val="22"/>
          <w:szCs w:val="22"/>
          <w:lang w:val="es-ES_tradnl"/>
        </w:rPr>
        <w:t xml:space="preserve"> procesos de contratación </w:t>
      </w:r>
      <w:r w:rsidR="006C1041">
        <w:rPr>
          <w:rFonts w:ascii="Arial" w:eastAsia="Calibri" w:hAnsi="Arial" w:cs="Arial"/>
          <w:bCs/>
          <w:color w:val="000000" w:themeColor="text1"/>
          <w:sz w:val="22"/>
          <w:szCs w:val="22"/>
          <w:lang w:val="es-ES_tradnl"/>
        </w:rPr>
        <w:t>se</w:t>
      </w:r>
      <w:r w:rsidR="001E3208">
        <w:rPr>
          <w:rFonts w:ascii="Arial" w:eastAsia="Calibri" w:hAnsi="Arial" w:cs="Arial"/>
          <w:bCs/>
          <w:color w:val="000000" w:themeColor="text1"/>
          <w:sz w:val="22"/>
          <w:szCs w:val="22"/>
          <w:lang w:val="es-ES_tradnl"/>
        </w:rPr>
        <w:t xml:space="preserve"> deben aplicar los acuerdos comerciales</w:t>
      </w:r>
      <w:r w:rsidR="006C1041">
        <w:rPr>
          <w:rFonts w:ascii="Arial" w:eastAsia="Calibri" w:hAnsi="Arial" w:cs="Arial"/>
          <w:bCs/>
          <w:color w:val="000000" w:themeColor="text1"/>
          <w:sz w:val="22"/>
          <w:szCs w:val="22"/>
          <w:lang w:val="es-ES_tradnl"/>
        </w:rPr>
        <w:t>,</w:t>
      </w:r>
      <w:r w:rsidR="00BC20DA">
        <w:rPr>
          <w:rFonts w:ascii="Arial" w:eastAsia="Calibri" w:hAnsi="Arial" w:cs="Arial"/>
          <w:bCs/>
          <w:color w:val="000000" w:themeColor="text1"/>
          <w:sz w:val="22"/>
          <w:szCs w:val="22"/>
          <w:lang w:val="es-ES_tradnl"/>
        </w:rPr>
        <w:t xml:space="preserve"> a saber: i) el Anexo 1 dirigido a las entidades </w:t>
      </w:r>
      <w:r w:rsidR="004D21EC">
        <w:rPr>
          <w:rFonts w:ascii="Arial" w:eastAsia="Calibri" w:hAnsi="Arial" w:cs="Arial"/>
          <w:bCs/>
          <w:color w:val="000000" w:themeColor="text1"/>
          <w:sz w:val="22"/>
          <w:szCs w:val="22"/>
          <w:lang w:val="es-ES_tradnl"/>
        </w:rPr>
        <w:t>estatales del orden nacional y de régimen especial</w:t>
      </w:r>
      <w:r w:rsidR="00AC7F44">
        <w:rPr>
          <w:rFonts w:ascii="Arial" w:eastAsia="Calibri" w:hAnsi="Arial" w:cs="Arial"/>
          <w:bCs/>
          <w:color w:val="000000" w:themeColor="text1"/>
          <w:sz w:val="22"/>
          <w:szCs w:val="22"/>
          <w:lang w:val="es-ES_tradnl"/>
        </w:rPr>
        <w:t xml:space="preserve">; ii) el Anexo 2 aplicable a las entidades del nivel departamental, </w:t>
      </w:r>
      <w:proofErr w:type="spellStart"/>
      <w:r w:rsidR="001B5990">
        <w:rPr>
          <w:rFonts w:ascii="Arial" w:eastAsia="Calibri" w:hAnsi="Arial" w:cs="Arial"/>
          <w:bCs/>
          <w:color w:val="000000" w:themeColor="text1"/>
          <w:sz w:val="22"/>
          <w:szCs w:val="22"/>
          <w:lang w:val="es-ES_tradnl"/>
        </w:rPr>
        <w:t>iii</w:t>
      </w:r>
      <w:proofErr w:type="spellEnd"/>
      <w:r w:rsidR="001B5990">
        <w:rPr>
          <w:rFonts w:ascii="Arial" w:eastAsia="Calibri" w:hAnsi="Arial" w:cs="Arial"/>
          <w:bCs/>
          <w:color w:val="000000" w:themeColor="text1"/>
          <w:sz w:val="22"/>
          <w:szCs w:val="22"/>
          <w:lang w:val="es-ES_tradnl"/>
        </w:rPr>
        <w:t>) el Anexo 3 para entidades del nivel municipal</w:t>
      </w:r>
      <w:r w:rsidR="00252CFF">
        <w:rPr>
          <w:rFonts w:ascii="Arial" w:eastAsia="Calibri" w:hAnsi="Arial" w:cs="Arial"/>
          <w:bCs/>
          <w:color w:val="000000" w:themeColor="text1"/>
          <w:sz w:val="22"/>
          <w:szCs w:val="22"/>
          <w:lang w:val="es-ES_tradnl"/>
        </w:rPr>
        <w:t xml:space="preserve">, </w:t>
      </w:r>
      <w:r w:rsidR="00B571DB">
        <w:rPr>
          <w:rFonts w:ascii="Arial" w:eastAsia="Calibri" w:hAnsi="Arial" w:cs="Arial"/>
          <w:bCs/>
          <w:color w:val="000000" w:themeColor="text1"/>
          <w:sz w:val="22"/>
          <w:szCs w:val="22"/>
          <w:lang w:val="es-ES_tradnl"/>
        </w:rPr>
        <w:t>y iv)</w:t>
      </w:r>
      <w:r w:rsidR="00465B77">
        <w:rPr>
          <w:rFonts w:ascii="Arial" w:eastAsia="Calibri" w:hAnsi="Arial" w:cs="Arial"/>
          <w:bCs/>
          <w:color w:val="000000" w:themeColor="text1"/>
          <w:sz w:val="22"/>
          <w:szCs w:val="22"/>
          <w:lang w:val="es-ES_tradnl"/>
        </w:rPr>
        <w:t xml:space="preserve"> </w:t>
      </w:r>
      <w:r w:rsidR="00B571DB">
        <w:rPr>
          <w:rFonts w:ascii="Arial" w:eastAsia="Calibri" w:hAnsi="Arial" w:cs="Arial"/>
          <w:bCs/>
          <w:color w:val="000000" w:themeColor="text1"/>
          <w:sz w:val="22"/>
          <w:szCs w:val="22"/>
          <w:lang w:val="es-ES_tradnl"/>
        </w:rPr>
        <w:t xml:space="preserve">el Anexo 4, el cual </w:t>
      </w:r>
      <w:r w:rsidR="00E11CC2">
        <w:rPr>
          <w:rFonts w:ascii="Arial" w:eastAsia="Calibri" w:hAnsi="Arial" w:cs="Arial"/>
          <w:bCs/>
          <w:color w:val="000000" w:themeColor="text1"/>
          <w:sz w:val="22"/>
          <w:szCs w:val="22"/>
          <w:lang w:val="es-ES_tradnl"/>
        </w:rPr>
        <w:lastRenderedPageBreak/>
        <w:t xml:space="preserve">detalla una serie de excepciones </w:t>
      </w:r>
      <w:r w:rsidR="00497FC7">
        <w:rPr>
          <w:rFonts w:ascii="Arial" w:eastAsia="Calibri" w:hAnsi="Arial" w:cs="Arial"/>
          <w:bCs/>
          <w:color w:val="000000" w:themeColor="text1"/>
          <w:sz w:val="22"/>
          <w:szCs w:val="22"/>
          <w:lang w:val="es-ES_tradnl"/>
        </w:rPr>
        <w:t>incluidas en los respectivos acuerdos, en relación con ciertos objetos contractuales, bienes y servicios</w:t>
      </w:r>
      <w:r w:rsidR="007543A1">
        <w:rPr>
          <w:rFonts w:ascii="Arial" w:eastAsia="Calibri" w:hAnsi="Arial" w:cs="Arial"/>
          <w:bCs/>
          <w:color w:val="000000" w:themeColor="text1"/>
          <w:sz w:val="22"/>
          <w:szCs w:val="22"/>
          <w:lang w:val="es-ES_tradnl"/>
        </w:rPr>
        <w:t>.</w:t>
      </w:r>
      <w:r w:rsidR="006E1AA7">
        <w:rPr>
          <w:rFonts w:ascii="Arial" w:eastAsia="Calibri" w:hAnsi="Arial" w:cs="Arial"/>
          <w:bCs/>
          <w:color w:val="000000" w:themeColor="text1"/>
          <w:sz w:val="22"/>
          <w:szCs w:val="22"/>
          <w:lang w:val="es-ES_tradnl"/>
        </w:rPr>
        <w:t xml:space="preserve"> </w:t>
      </w:r>
      <w:r w:rsidR="008A67BD">
        <w:rPr>
          <w:rFonts w:ascii="Arial" w:eastAsia="Calibri" w:hAnsi="Arial" w:cs="Arial"/>
          <w:bCs/>
          <w:color w:val="000000" w:themeColor="text1"/>
          <w:sz w:val="22"/>
          <w:szCs w:val="22"/>
          <w:lang w:val="es-ES_tradnl"/>
        </w:rPr>
        <w:t xml:space="preserve">Para las entidades estatales del orden nacional y las de régimen especial el Anexo 1, </w:t>
      </w:r>
      <w:r w:rsidR="006E754F">
        <w:rPr>
          <w:rFonts w:ascii="Arial" w:eastAsia="Calibri" w:hAnsi="Arial" w:cs="Arial"/>
          <w:bCs/>
          <w:color w:val="000000" w:themeColor="text1"/>
          <w:sz w:val="22"/>
          <w:szCs w:val="22"/>
          <w:lang w:val="es-ES_tradnl"/>
        </w:rPr>
        <w:t xml:space="preserve">en sus cuatro literales </w:t>
      </w:r>
      <w:r w:rsidR="008A67BD">
        <w:rPr>
          <w:rFonts w:ascii="Arial" w:eastAsia="Calibri" w:hAnsi="Arial" w:cs="Arial"/>
          <w:bCs/>
          <w:color w:val="000000" w:themeColor="text1"/>
          <w:sz w:val="22"/>
          <w:szCs w:val="22"/>
          <w:lang w:val="es-ES_tradnl"/>
        </w:rPr>
        <w:t>enlista las entidades del orden nacional–literal a–</w:t>
      </w:r>
      <w:r w:rsidR="006E754F">
        <w:rPr>
          <w:rFonts w:ascii="Arial" w:eastAsia="Calibri" w:hAnsi="Arial" w:cs="Arial"/>
          <w:bCs/>
          <w:color w:val="000000" w:themeColor="text1"/>
          <w:sz w:val="22"/>
          <w:szCs w:val="22"/>
          <w:lang w:val="es-ES_tradnl"/>
        </w:rPr>
        <w:t xml:space="preserve"> y</w:t>
      </w:r>
      <w:r w:rsidR="008A67BD">
        <w:rPr>
          <w:rFonts w:ascii="Arial" w:eastAsia="Calibri" w:hAnsi="Arial" w:cs="Arial"/>
          <w:bCs/>
          <w:color w:val="000000" w:themeColor="text1"/>
          <w:sz w:val="22"/>
          <w:szCs w:val="22"/>
          <w:lang w:val="es-ES_tradnl"/>
        </w:rPr>
        <w:t xml:space="preserve"> las entidades exceptuadas cubiertas –literal b–, </w:t>
      </w:r>
      <w:r w:rsidR="006E754F">
        <w:rPr>
          <w:rFonts w:ascii="Arial" w:eastAsia="Calibri" w:hAnsi="Arial" w:cs="Arial"/>
          <w:bCs/>
          <w:color w:val="000000" w:themeColor="text1"/>
          <w:sz w:val="22"/>
          <w:szCs w:val="22"/>
          <w:lang w:val="es-ES_tradnl"/>
        </w:rPr>
        <w:t xml:space="preserve">indica </w:t>
      </w:r>
      <w:r w:rsidR="008A67BD">
        <w:rPr>
          <w:rFonts w:ascii="Arial" w:eastAsia="Calibri" w:hAnsi="Arial" w:cs="Arial"/>
          <w:bCs/>
          <w:color w:val="000000" w:themeColor="text1"/>
          <w:sz w:val="22"/>
          <w:szCs w:val="22"/>
          <w:lang w:val="es-ES_tradnl"/>
        </w:rPr>
        <w:t xml:space="preserve">los bienes, servicios y umbrales a partir de los cuales aplican los acuerdos–literal c– y </w:t>
      </w:r>
      <w:r w:rsidR="001D47C1">
        <w:rPr>
          <w:rFonts w:ascii="Arial" w:eastAsia="Calibri" w:hAnsi="Arial" w:cs="Arial"/>
          <w:bCs/>
          <w:color w:val="000000" w:themeColor="text1"/>
          <w:sz w:val="22"/>
          <w:szCs w:val="22"/>
          <w:lang w:val="es-ES_tradnl"/>
        </w:rPr>
        <w:t>consagra unas</w:t>
      </w:r>
      <w:r w:rsidR="008A67BD">
        <w:rPr>
          <w:rFonts w:ascii="Arial" w:eastAsia="Calibri" w:hAnsi="Arial" w:cs="Arial"/>
          <w:bCs/>
          <w:color w:val="000000" w:themeColor="text1"/>
          <w:sz w:val="22"/>
          <w:szCs w:val="22"/>
          <w:lang w:val="es-ES_tradnl"/>
        </w:rPr>
        <w:t xml:space="preserve"> excepciones</w:t>
      </w:r>
      <w:r w:rsidR="001D47C1">
        <w:rPr>
          <w:rFonts w:ascii="Arial" w:eastAsia="Calibri" w:hAnsi="Arial" w:cs="Arial"/>
          <w:bCs/>
          <w:color w:val="000000" w:themeColor="text1"/>
          <w:sz w:val="22"/>
          <w:szCs w:val="22"/>
          <w:lang w:val="es-ES_tradnl"/>
        </w:rPr>
        <w:t xml:space="preserve"> establecidas en los propios acuerdos</w:t>
      </w:r>
      <w:r w:rsidR="008A67BD">
        <w:rPr>
          <w:rFonts w:ascii="Arial" w:eastAsia="Calibri" w:hAnsi="Arial" w:cs="Arial"/>
          <w:bCs/>
          <w:color w:val="000000" w:themeColor="text1"/>
          <w:sz w:val="22"/>
          <w:szCs w:val="22"/>
          <w:lang w:val="es-ES_tradnl"/>
        </w:rPr>
        <w:t xml:space="preserve"> –literal d–-. </w:t>
      </w:r>
    </w:p>
    <w:p w14:paraId="7DB56EA9" w14:textId="296B442E" w:rsidR="00D170DC" w:rsidRDefault="00504CB1" w:rsidP="001D47C1">
      <w:pPr>
        <w:pStyle w:val="Textoindependiente"/>
        <w:spacing w:before="120"/>
        <w:ind w:right="-65" w:firstLine="708"/>
        <w:jc w:val="both"/>
        <w:rPr>
          <w:rFonts w:ascii="Arial" w:eastAsia="Calibri" w:hAnsi="Arial" w:cs="Arial"/>
          <w:bCs/>
          <w:color w:val="000000" w:themeColor="text1"/>
          <w:szCs w:val="22"/>
          <w:lang w:val="es-ES_tradnl" w:eastAsia="en-US"/>
        </w:rPr>
      </w:pPr>
      <w:r>
        <w:rPr>
          <w:rFonts w:ascii="Arial" w:eastAsia="Calibri" w:hAnsi="Arial" w:cs="Arial"/>
          <w:bCs/>
          <w:color w:val="000000" w:themeColor="text1"/>
          <w:szCs w:val="22"/>
          <w:lang w:val="es-ES_tradnl" w:eastAsia="en-US"/>
        </w:rPr>
        <w:t>Con relación a</w:t>
      </w:r>
      <w:r w:rsidR="00D170DC">
        <w:rPr>
          <w:rFonts w:ascii="Arial" w:eastAsia="Calibri" w:hAnsi="Arial" w:cs="Arial"/>
          <w:bCs/>
          <w:color w:val="000000" w:themeColor="text1"/>
          <w:szCs w:val="22"/>
          <w:lang w:val="es-ES_tradnl" w:eastAsia="en-US"/>
        </w:rPr>
        <w:t xml:space="preserve"> los umbrales aplicables, </w:t>
      </w:r>
      <w:r w:rsidR="00D170DC" w:rsidRPr="00031834">
        <w:rPr>
          <w:rFonts w:ascii="Arial" w:eastAsia="Calibri" w:hAnsi="Arial" w:cs="Arial"/>
          <w:bCs/>
          <w:color w:val="000000" w:themeColor="text1"/>
          <w:szCs w:val="22"/>
          <w:lang w:val="es-ES_tradnl" w:eastAsia="en-US"/>
        </w:rPr>
        <w:t xml:space="preserve">la Agencia Nacional de Contratación Pública – Colombia Compra Eficiente </w:t>
      </w:r>
      <w:r w:rsidR="00D170DC">
        <w:rPr>
          <w:rFonts w:ascii="Arial" w:eastAsia="Calibri" w:hAnsi="Arial" w:cs="Arial"/>
          <w:bCs/>
          <w:color w:val="000000" w:themeColor="text1"/>
          <w:szCs w:val="22"/>
          <w:lang w:val="es-ES_tradnl" w:eastAsia="en-US"/>
        </w:rPr>
        <w:t>publicó</w:t>
      </w:r>
      <w:r w:rsidR="00D170DC" w:rsidRPr="00031834">
        <w:rPr>
          <w:rFonts w:ascii="Arial" w:eastAsia="Calibri" w:hAnsi="Arial" w:cs="Arial"/>
          <w:bCs/>
          <w:color w:val="000000" w:themeColor="text1"/>
          <w:szCs w:val="22"/>
          <w:lang w:val="es-ES_tradnl" w:eastAsia="en-US"/>
        </w:rPr>
        <w:t xml:space="preserve"> el documento de </w:t>
      </w:r>
      <w:r w:rsidR="00D170DC">
        <w:rPr>
          <w:rFonts w:ascii="Arial" w:eastAsia="Calibri" w:hAnsi="Arial" w:cs="Arial"/>
          <w:bCs/>
          <w:color w:val="000000" w:themeColor="text1"/>
          <w:szCs w:val="22"/>
          <w:lang w:val="es-ES_tradnl" w:eastAsia="en-US"/>
        </w:rPr>
        <w:t>«</w:t>
      </w:r>
      <w:r w:rsidR="00D170DC" w:rsidRPr="00031834">
        <w:rPr>
          <w:rFonts w:ascii="Arial" w:eastAsia="Calibri" w:hAnsi="Arial" w:cs="Arial"/>
          <w:bCs/>
          <w:color w:val="000000" w:themeColor="text1"/>
          <w:szCs w:val="22"/>
          <w:lang w:val="es-ES_tradnl" w:eastAsia="en-US"/>
        </w:rPr>
        <w:t>actualización de los umbrales 2022 – 2023</w:t>
      </w:r>
      <w:r w:rsidR="00D170DC">
        <w:rPr>
          <w:rFonts w:ascii="Arial" w:eastAsia="Calibri" w:hAnsi="Arial" w:cs="Arial"/>
          <w:bCs/>
          <w:color w:val="000000" w:themeColor="text1"/>
          <w:szCs w:val="22"/>
          <w:lang w:val="es-ES_tradnl" w:eastAsia="en-US"/>
        </w:rPr>
        <w:t xml:space="preserve">» de acuerdo con la información elaborada y compartida por la Oficina de Asuntos Legales Internacionales del Ministerio de Comercio, Industria y Turismo. Lo anterior, dado que dicha Oficina </w:t>
      </w:r>
      <w:r w:rsidR="00D170DC" w:rsidRPr="005B2598">
        <w:rPr>
          <w:rFonts w:ascii="Arial" w:eastAsia="Calibri" w:hAnsi="Arial" w:cs="Arial"/>
          <w:bCs/>
          <w:color w:val="000000" w:themeColor="text1"/>
          <w:szCs w:val="22"/>
          <w:lang w:val="es-ES_tradnl" w:eastAsia="en-US"/>
        </w:rPr>
        <w:t xml:space="preserve">se encuentra encargada de asesorar en la aplicación de la normatividad internacional y nacional relacionada con la misión del Ministerio en virtud de la competencia otorgada por el artículo 10 del Decreto Ley 210 de 2003, así como acorde con lo establecido en los artículos 13 y siguientes de la Ley 1437 de 2011, sustituidos por el artículo 1 de la Ley </w:t>
      </w:r>
      <w:r w:rsidR="00D170DC" w:rsidRPr="00C52CAF">
        <w:rPr>
          <w:rFonts w:ascii="Arial" w:eastAsia="Calibri" w:hAnsi="Arial" w:cs="Arial"/>
          <w:bCs/>
          <w:color w:val="000000" w:themeColor="text1"/>
          <w:szCs w:val="22"/>
          <w:lang w:val="es-ES_tradnl" w:eastAsia="en-US"/>
        </w:rPr>
        <w:t>1755 de 2015.</w:t>
      </w:r>
    </w:p>
    <w:p w14:paraId="0CF651F0" w14:textId="0F69FC9A" w:rsidR="00474267" w:rsidRDefault="002C44FD" w:rsidP="001D47C1">
      <w:pPr>
        <w:spacing w:before="120" w:line="276" w:lineRule="auto"/>
        <w:ind w:firstLine="708"/>
        <w:jc w:val="both"/>
        <w:rPr>
          <w:rFonts w:ascii="Arial" w:eastAsia="Calibri" w:hAnsi="Arial" w:cs="Arial"/>
          <w:bCs/>
          <w:color w:val="000000" w:themeColor="text1"/>
          <w:sz w:val="22"/>
          <w:szCs w:val="22"/>
          <w:lang w:val="es-ES_tradnl"/>
        </w:rPr>
      </w:pPr>
      <w:r w:rsidRPr="00C52CAF">
        <w:rPr>
          <w:rFonts w:ascii="Arial" w:eastAsia="Calibri" w:hAnsi="Arial" w:cs="Arial"/>
          <w:bCs/>
          <w:color w:val="000000" w:themeColor="text1"/>
          <w:sz w:val="22"/>
          <w:lang w:val="es-ES_tradnl"/>
        </w:rPr>
        <w:t>En suma, la determinación del valor en pesos colombianos de los valores negociados en dólares de los Estados Unidos de América o en Derechos Especiales de Giro (DEG) en los acuerdos comerciales, debe tener en cuenta las condiciones y periodicidad de conversión establecidas en cada acuerdo.</w:t>
      </w:r>
      <w:r>
        <w:rPr>
          <w:rFonts w:ascii="Arial" w:eastAsia="Calibri" w:hAnsi="Arial" w:cs="Arial"/>
          <w:bCs/>
          <w:color w:val="000000" w:themeColor="text1"/>
          <w:sz w:val="22"/>
          <w:lang w:val="es-ES_tradnl"/>
        </w:rPr>
        <w:t xml:space="preserve"> Para tales efectos los parámetros e informaci</w:t>
      </w:r>
      <w:r w:rsidR="00474267">
        <w:rPr>
          <w:rFonts w:ascii="Arial" w:eastAsia="Calibri" w:hAnsi="Arial" w:cs="Arial"/>
          <w:bCs/>
          <w:color w:val="000000" w:themeColor="text1"/>
          <w:sz w:val="22"/>
          <w:lang w:val="es-ES_tradnl"/>
        </w:rPr>
        <w:t xml:space="preserve">ón incluida en </w:t>
      </w:r>
      <w:r w:rsidR="00D170DC" w:rsidRPr="00031834">
        <w:rPr>
          <w:rFonts w:ascii="Arial" w:hAnsi="Arial" w:cs="Arial"/>
          <w:sz w:val="22"/>
          <w:szCs w:val="22"/>
        </w:rPr>
        <w:t>el Manual para manejo de los Acuerdos Comerciales en Procesos de Contratación</w:t>
      </w:r>
      <w:r w:rsidR="00D170DC">
        <w:rPr>
          <w:rFonts w:ascii="Arial" w:hAnsi="Arial" w:cs="Arial"/>
          <w:sz w:val="22"/>
          <w:szCs w:val="22"/>
        </w:rPr>
        <w:t>, así como el documento actualización de los u</w:t>
      </w:r>
      <w:r w:rsidR="00D170DC" w:rsidRPr="002C4FC7">
        <w:rPr>
          <w:rFonts w:ascii="Arial" w:hAnsi="Arial" w:cs="Arial"/>
          <w:sz w:val="22"/>
          <w:szCs w:val="22"/>
        </w:rPr>
        <w:t xml:space="preserve">mbrales 2022 – 2023, </w:t>
      </w:r>
      <w:r w:rsidR="00D170DC" w:rsidRPr="00031834">
        <w:rPr>
          <w:rFonts w:ascii="Arial" w:hAnsi="Arial" w:cs="Arial"/>
          <w:sz w:val="22"/>
          <w:szCs w:val="22"/>
        </w:rPr>
        <w:t>expedido por la Agencia Nacional de Contratación Pública – Colombia Compra Eficiente, se constituye</w:t>
      </w:r>
      <w:r w:rsidR="00D170DC">
        <w:rPr>
          <w:rFonts w:ascii="Arial" w:hAnsi="Arial" w:cs="Arial"/>
          <w:sz w:val="22"/>
          <w:szCs w:val="22"/>
        </w:rPr>
        <w:t>n</w:t>
      </w:r>
      <w:r w:rsidR="00D170DC" w:rsidRPr="00031834">
        <w:rPr>
          <w:rFonts w:ascii="Arial" w:hAnsi="Arial" w:cs="Arial"/>
          <w:sz w:val="22"/>
          <w:szCs w:val="22"/>
        </w:rPr>
        <w:t xml:space="preserve"> como </w:t>
      </w:r>
      <w:r w:rsidR="00D170DC" w:rsidRPr="002C4FC7">
        <w:rPr>
          <w:rFonts w:ascii="Arial" w:hAnsi="Arial" w:cs="Arial"/>
          <w:sz w:val="22"/>
          <w:szCs w:val="22"/>
        </w:rPr>
        <w:t>herramientas orientadoras para conocer la cobertura, excepciones y los plazos correspondientes contemplados en los acuerdos comerciales</w:t>
      </w:r>
      <w:r w:rsidR="00474267">
        <w:rPr>
          <w:rFonts w:ascii="Arial" w:hAnsi="Arial" w:cs="Arial"/>
          <w:sz w:val="22"/>
          <w:szCs w:val="22"/>
        </w:rPr>
        <w:t xml:space="preserve">. </w:t>
      </w:r>
      <w:r w:rsidR="00D170DC" w:rsidRPr="002C4FC7">
        <w:rPr>
          <w:rFonts w:ascii="Arial" w:hAnsi="Arial" w:cs="Arial"/>
          <w:sz w:val="22"/>
          <w:szCs w:val="22"/>
        </w:rPr>
        <w:t xml:space="preserve"> </w:t>
      </w:r>
      <w:r w:rsidR="00474267">
        <w:rPr>
          <w:rFonts w:ascii="Arial" w:hAnsi="Arial" w:cs="Arial"/>
          <w:sz w:val="22"/>
          <w:szCs w:val="22"/>
        </w:rPr>
        <w:t>S</w:t>
      </w:r>
      <w:r w:rsidR="00D170DC" w:rsidRPr="002C4FC7">
        <w:rPr>
          <w:rFonts w:ascii="Arial" w:hAnsi="Arial" w:cs="Arial"/>
          <w:sz w:val="22"/>
          <w:szCs w:val="22"/>
        </w:rPr>
        <w:t xml:space="preserve">in embargo, </w:t>
      </w:r>
      <w:r w:rsidR="00474267">
        <w:rPr>
          <w:rFonts w:ascii="Arial" w:hAnsi="Arial" w:cs="Arial"/>
          <w:sz w:val="22"/>
          <w:szCs w:val="22"/>
        </w:rPr>
        <w:t>el</w:t>
      </w:r>
      <w:r w:rsidR="00D170DC" w:rsidRPr="002C4FC7">
        <w:rPr>
          <w:rFonts w:ascii="Arial" w:hAnsi="Arial" w:cs="Arial"/>
          <w:sz w:val="22"/>
          <w:szCs w:val="22"/>
        </w:rPr>
        <w:t xml:space="preserve"> uso </w:t>
      </w:r>
      <w:r w:rsidR="00474267">
        <w:rPr>
          <w:rFonts w:ascii="Arial" w:hAnsi="Arial" w:cs="Arial"/>
          <w:sz w:val="22"/>
          <w:szCs w:val="22"/>
        </w:rPr>
        <w:t xml:space="preserve">de estos instrumentos </w:t>
      </w:r>
      <w:r w:rsidR="00D170DC" w:rsidRPr="002C4FC7">
        <w:rPr>
          <w:rFonts w:ascii="Arial" w:hAnsi="Arial" w:cs="Arial"/>
          <w:sz w:val="22"/>
          <w:szCs w:val="22"/>
        </w:rPr>
        <w:t>no</w:t>
      </w:r>
      <w:r w:rsidR="00D170DC" w:rsidRPr="00031834">
        <w:rPr>
          <w:rFonts w:ascii="Arial" w:eastAsia="Calibri" w:hAnsi="Arial" w:cs="Arial"/>
          <w:bCs/>
          <w:color w:val="000000" w:themeColor="text1"/>
          <w:sz w:val="22"/>
          <w:szCs w:val="22"/>
          <w:lang w:val="es-ES_tradnl"/>
        </w:rPr>
        <w:t xml:space="preserve"> exime a la entidad del deber de conocer y aplicar cada acuerdo comercial</w:t>
      </w:r>
      <w:r w:rsidR="00474267">
        <w:rPr>
          <w:rFonts w:ascii="Arial" w:eastAsia="Calibri" w:hAnsi="Arial" w:cs="Arial"/>
          <w:bCs/>
          <w:color w:val="000000" w:themeColor="text1"/>
          <w:sz w:val="22"/>
          <w:szCs w:val="22"/>
          <w:lang w:val="es-ES_tradnl"/>
        </w:rPr>
        <w:t xml:space="preserve"> de acuerdo con su contenido</w:t>
      </w:r>
      <w:r w:rsidR="004C1B86">
        <w:rPr>
          <w:rFonts w:ascii="Arial" w:eastAsia="Calibri" w:hAnsi="Arial" w:cs="Arial"/>
          <w:bCs/>
          <w:color w:val="000000" w:themeColor="text1"/>
          <w:sz w:val="22"/>
          <w:szCs w:val="22"/>
          <w:lang w:val="es-ES_tradnl"/>
        </w:rPr>
        <w:t>.</w:t>
      </w:r>
      <w:r w:rsidR="00D170DC" w:rsidRPr="00031834">
        <w:rPr>
          <w:rFonts w:ascii="Arial" w:eastAsia="Calibri" w:hAnsi="Arial" w:cs="Arial"/>
          <w:bCs/>
          <w:color w:val="000000" w:themeColor="text1"/>
          <w:sz w:val="22"/>
          <w:szCs w:val="22"/>
          <w:lang w:val="es-ES_tradnl"/>
        </w:rPr>
        <w:t xml:space="preserve"> </w:t>
      </w:r>
    </w:p>
    <w:p w14:paraId="214FBF1A" w14:textId="0067AF30" w:rsidR="009925B8" w:rsidRDefault="009925B8" w:rsidP="001D47C1">
      <w:pPr>
        <w:tabs>
          <w:tab w:val="left" w:pos="426"/>
        </w:tabs>
        <w:spacing w:before="120" w:line="276" w:lineRule="auto"/>
        <w:jc w:val="both"/>
        <w:rPr>
          <w:rFonts w:ascii="Arial" w:hAnsi="Arial" w:cs="Arial"/>
          <w:sz w:val="22"/>
          <w:szCs w:val="22"/>
        </w:rPr>
      </w:pPr>
      <w:r>
        <w:rPr>
          <w:rFonts w:ascii="Arial" w:eastAsia="Calibri" w:hAnsi="Arial" w:cs="Arial"/>
          <w:bCs/>
          <w:color w:val="000000" w:themeColor="text1"/>
          <w:sz w:val="22"/>
          <w:szCs w:val="22"/>
          <w:lang w:val="es-ES_tradnl"/>
        </w:rPr>
        <w:tab/>
      </w:r>
      <w:r>
        <w:rPr>
          <w:rFonts w:ascii="Arial" w:eastAsia="Calibri" w:hAnsi="Arial" w:cs="Arial"/>
          <w:bCs/>
          <w:color w:val="000000" w:themeColor="text1"/>
          <w:sz w:val="22"/>
          <w:szCs w:val="22"/>
          <w:lang w:val="es-ES_tradnl"/>
        </w:rPr>
        <w:tab/>
      </w:r>
      <w:r w:rsidR="00644B35">
        <w:rPr>
          <w:rFonts w:ascii="Arial" w:eastAsia="Calibri" w:hAnsi="Arial" w:cs="Arial"/>
          <w:bCs/>
          <w:color w:val="000000" w:themeColor="text1"/>
          <w:sz w:val="22"/>
          <w:szCs w:val="22"/>
          <w:lang w:val="es-ES_tradnl"/>
        </w:rPr>
        <w:t xml:space="preserve">Por </w:t>
      </w:r>
      <w:r>
        <w:rPr>
          <w:rFonts w:ascii="Arial" w:eastAsia="Calibri" w:hAnsi="Arial" w:cs="Arial"/>
          <w:bCs/>
          <w:color w:val="000000" w:themeColor="text1"/>
          <w:sz w:val="22"/>
          <w:szCs w:val="22"/>
          <w:lang w:val="es-ES_tradnl"/>
        </w:rPr>
        <w:t>último,</w:t>
      </w:r>
      <w:r w:rsidR="00644B35">
        <w:rPr>
          <w:rFonts w:ascii="Arial" w:eastAsia="Calibri" w:hAnsi="Arial" w:cs="Arial"/>
          <w:bCs/>
          <w:color w:val="000000" w:themeColor="text1"/>
          <w:sz w:val="22"/>
          <w:szCs w:val="22"/>
          <w:lang w:val="es-ES_tradnl"/>
        </w:rPr>
        <w:t xml:space="preserve"> debe advertirse que</w:t>
      </w:r>
      <w:r w:rsidR="00D170DC">
        <w:rPr>
          <w:rFonts w:ascii="Arial" w:eastAsia="Calibri" w:hAnsi="Arial" w:cs="Arial"/>
          <w:bCs/>
          <w:color w:val="000000" w:themeColor="text1"/>
          <w:sz w:val="22"/>
          <w:szCs w:val="22"/>
          <w:lang w:val="es-ES_tradnl"/>
        </w:rPr>
        <w:t xml:space="preserve">, </w:t>
      </w:r>
      <w:r w:rsidR="00D170DC" w:rsidRPr="00031834">
        <w:rPr>
          <w:rFonts w:ascii="Arial" w:hAnsi="Arial" w:cs="Arial"/>
          <w:sz w:val="22"/>
          <w:szCs w:val="22"/>
          <w:lang w:val="es-ES" w:eastAsia="es-ES_tradnl"/>
        </w:rPr>
        <w:t>la información contenida en el documento</w:t>
      </w:r>
      <w:r w:rsidR="00D170DC">
        <w:rPr>
          <w:rFonts w:ascii="Arial" w:hAnsi="Arial" w:cs="Arial"/>
          <w:sz w:val="22"/>
          <w:szCs w:val="22"/>
          <w:lang w:val="es-ES" w:eastAsia="es-ES_tradnl"/>
        </w:rPr>
        <w:t xml:space="preserve"> de </w:t>
      </w:r>
      <w:r w:rsidR="00D170DC">
        <w:rPr>
          <w:rFonts w:ascii="Arial" w:hAnsi="Arial" w:cs="Arial"/>
          <w:sz w:val="22"/>
          <w:szCs w:val="22"/>
        </w:rPr>
        <w:t xml:space="preserve">actualización de </w:t>
      </w:r>
      <w:r w:rsidR="00D170DC" w:rsidRPr="002C4FC7">
        <w:rPr>
          <w:rFonts w:ascii="Arial" w:eastAsia="Calibri" w:hAnsi="Arial" w:cs="Arial"/>
          <w:bCs/>
          <w:color w:val="000000" w:themeColor="text1"/>
          <w:sz w:val="22"/>
          <w:szCs w:val="22"/>
          <w:lang w:val="es-ES_tradnl"/>
        </w:rPr>
        <w:t>los umbrales 2022 – 2023 es elaborada por la Oficina de Asuntos Legales Internacionales del Ministerio</w:t>
      </w:r>
      <w:r w:rsidR="00D170DC">
        <w:rPr>
          <w:rFonts w:ascii="Arial" w:hAnsi="Arial" w:cs="Arial"/>
          <w:sz w:val="22"/>
          <w:szCs w:val="22"/>
          <w:lang w:val="es-ES" w:eastAsia="es-ES_tradnl"/>
        </w:rPr>
        <w:t xml:space="preserve"> de Comercio, Industria y Turismo, </w:t>
      </w:r>
      <w:r w:rsidR="00D170DC" w:rsidRPr="00031834">
        <w:rPr>
          <w:rFonts w:ascii="Arial" w:hAnsi="Arial" w:cs="Arial"/>
          <w:sz w:val="22"/>
          <w:szCs w:val="22"/>
          <w:lang w:val="es-ES" w:eastAsia="es-ES_tradnl"/>
        </w:rPr>
        <w:t>y la Agencia solo cumple una función de publicidad por su importancia para las entidades públicas y los participantes en la contratación.</w:t>
      </w:r>
      <w:r>
        <w:rPr>
          <w:rFonts w:ascii="Arial" w:hAnsi="Arial" w:cs="Arial"/>
          <w:sz w:val="22"/>
          <w:szCs w:val="22"/>
          <w:lang w:val="es-ES" w:eastAsia="es-ES_tradnl"/>
        </w:rPr>
        <w:t xml:space="preserve"> </w:t>
      </w:r>
      <w:r>
        <w:rPr>
          <w:rFonts w:ascii="Arial" w:eastAsia="Calibri" w:hAnsi="Arial" w:cs="Arial"/>
          <w:bCs/>
          <w:color w:val="000000" w:themeColor="text1"/>
          <w:sz w:val="22"/>
          <w:lang w:val="es-ES_tradnl"/>
        </w:rPr>
        <w:t xml:space="preserve">Por tanto, en caso de que persistan dudas sobre la interpretación o alcance de un acuerdo comercial, le sugerimos dirigirse a la </w:t>
      </w:r>
      <w:r>
        <w:rPr>
          <w:rFonts w:ascii="Arial" w:hAnsi="Arial" w:cs="Arial"/>
          <w:sz w:val="22"/>
          <w:szCs w:val="22"/>
        </w:rPr>
        <w:t>Oficina de Asuntos Legales Internacionales del Ministerio de Comercio, Industria y Turismo, por ser la competente para resolver dichos asuntos en virtud de la competencia otorgada por el artículo 10 del Decreto Ley 210 de 2003.</w:t>
      </w:r>
    </w:p>
    <w:p w14:paraId="4041E946" w14:textId="77777777" w:rsidR="00F555BF" w:rsidRDefault="00F555BF">
      <w:pPr>
        <w:pBdr>
          <w:top w:val="nil"/>
          <w:left w:val="nil"/>
          <w:bottom w:val="nil"/>
          <w:right w:val="nil"/>
          <w:between w:val="nil"/>
        </w:pBdr>
        <w:spacing w:line="276" w:lineRule="auto"/>
        <w:rPr>
          <w:rFonts w:ascii="Arial" w:eastAsia="Arial" w:hAnsi="Arial" w:cs="Arial"/>
          <w:color w:val="000000"/>
          <w:sz w:val="22"/>
          <w:szCs w:val="22"/>
        </w:rPr>
      </w:pPr>
    </w:p>
    <w:p w14:paraId="3B9F0184" w14:textId="77777777" w:rsidR="00F555BF" w:rsidRDefault="00B723F4">
      <w:pPr>
        <w:numPr>
          <w:ilvl w:val="0"/>
          <w:numId w:val="5"/>
        </w:numPr>
        <w:tabs>
          <w:tab w:val="left" w:pos="284"/>
        </w:tabs>
        <w:spacing w:line="276" w:lineRule="auto"/>
        <w:ind w:left="0" w:firstLine="0"/>
        <w:rPr>
          <w:rFonts w:ascii="Arial" w:eastAsia="Arial" w:hAnsi="Arial" w:cs="Arial"/>
          <w:sz w:val="22"/>
          <w:szCs w:val="22"/>
        </w:rPr>
      </w:pPr>
      <w:r>
        <w:rPr>
          <w:rFonts w:ascii="Arial" w:eastAsia="Arial" w:hAnsi="Arial" w:cs="Arial"/>
          <w:b/>
          <w:color w:val="000000"/>
          <w:sz w:val="22"/>
          <w:szCs w:val="22"/>
        </w:rPr>
        <w:t xml:space="preserve">Respuesta </w:t>
      </w:r>
    </w:p>
    <w:p w14:paraId="5E09EBAF" w14:textId="77777777" w:rsidR="00F555BF" w:rsidRDefault="00F555BF" w:rsidP="00751BB6">
      <w:pPr>
        <w:ind w:right="709"/>
        <w:jc w:val="both"/>
        <w:rPr>
          <w:rFonts w:ascii="Arial" w:eastAsia="Arial" w:hAnsi="Arial" w:cs="Arial"/>
          <w:color w:val="000000"/>
          <w:sz w:val="21"/>
          <w:szCs w:val="21"/>
        </w:rPr>
      </w:pPr>
    </w:p>
    <w:p w14:paraId="3DA38466" w14:textId="5E9606D1" w:rsidR="00F555BF" w:rsidRDefault="0072042A" w:rsidP="0072042A">
      <w:pPr>
        <w:tabs>
          <w:tab w:val="left" w:pos="426"/>
        </w:tabs>
        <w:ind w:left="709" w:right="709"/>
        <w:jc w:val="both"/>
        <w:rPr>
          <w:rFonts w:ascii="Arial" w:eastAsia="Arial" w:hAnsi="Arial" w:cs="Arial"/>
          <w:color w:val="000000"/>
          <w:sz w:val="21"/>
          <w:szCs w:val="21"/>
        </w:rPr>
      </w:pPr>
      <w:r w:rsidRPr="0072042A">
        <w:rPr>
          <w:rFonts w:ascii="Arial" w:eastAsia="Arial" w:hAnsi="Arial" w:cs="Arial"/>
          <w:color w:val="000000"/>
          <w:sz w:val="21"/>
          <w:szCs w:val="21"/>
        </w:rPr>
        <w:lastRenderedPageBreak/>
        <w:t>«Cómo el manual de acuerdos comerciales actualizado para el valor para la (sic) entidades del orden nacional indican que para alianza pacifica, indican un (sic) valores representados en DEG, cuando se revisa el documento adicional con los umbrales para el acuerdo marco de la alianza pacifica, indican que se divide en sección B, sección A y sección C, como se debe determinar cuál sección es aplicable para una entidad de orden nacional.».</w:t>
      </w:r>
    </w:p>
    <w:p w14:paraId="451AFF24" w14:textId="77777777" w:rsidR="00F555BF" w:rsidRDefault="00F555BF">
      <w:pPr>
        <w:tabs>
          <w:tab w:val="left" w:pos="426"/>
        </w:tabs>
        <w:ind w:left="709" w:right="709"/>
        <w:jc w:val="both"/>
        <w:rPr>
          <w:rFonts w:ascii="Arial" w:eastAsia="Arial" w:hAnsi="Arial" w:cs="Arial"/>
          <w:sz w:val="22"/>
          <w:szCs w:val="22"/>
        </w:rPr>
      </w:pPr>
    </w:p>
    <w:p w14:paraId="37BAE9DC" w14:textId="77777777" w:rsidR="00F555BF" w:rsidRPr="00676880" w:rsidRDefault="00B723F4" w:rsidP="00676880">
      <w:pPr>
        <w:tabs>
          <w:tab w:val="left" w:pos="426"/>
        </w:tabs>
        <w:spacing w:after="120" w:line="276" w:lineRule="auto"/>
        <w:jc w:val="both"/>
        <w:rPr>
          <w:rFonts w:ascii="Arial" w:eastAsia="Arial" w:hAnsi="Arial" w:cs="Arial"/>
          <w:color w:val="000000"/>
          <w:sz w:val="22"/>
          <w:szCs w:val="22"/>
        </w:rPr>
      </w:pPr>
      <w:r w:rsidRPr="00676880">
        <w:rPr>
          <w:rFonts w:ascii="Arial" w:eastAsia="Arial" w:hAnsi="Arial" w:cs="Arial"/>
          <w:sz w:val="22"/>
          <w:szCs w:val="22"/>
        </w:rPr>
        <w:t xml:space="preserve">Los acuerdos comerciales son tratados internacionales celebrados entre Estados e incorporados a los ordenamientos nacionales, cuyo contenido consagra derechos y obligaciones en distintas materias, entre estas las compras públicas. </w:t>
      </w:r>
      <w:r w:rsidRPr="00676880">
        <w:rPr>
          <w:rFonts w:ascii="Arial" w:eastAsia="Arial" w:hAnsi="Arial" w:cs="Arial"/>
          <w:color w:val="000000"/>
          <w:sz w:val="22"/>
          <w:szCs w:val="22"/>
        </w:rPr>
        <w:t xml:space="preserve">Por esta razón, las entidades estatales tienen la obligación de identificar los Acuerdos Comerciales aplicables a sus procesos de contratación, y de esta manera cumplir con las obligaciones previstas en materia de compras y contratación pública. Para ello, las entidades estatales deben tener en cuenta que los capítulos de compras y contratación pública de los acuerdos comerciales contienen: i) una lista de las entidades estatales incluidas en el acuerdo comercial; ii) los valores a partir de los cuales el Acuerdo Comercial es aplicable al proceso de contratación –umbrales–; y, </w:t>
      </w:r>
      <w:proofErr w:type="spellStart"/>
      <w:r w:rsidRPr="00676880">
        <w:rPr>
          <w:rFonts w:ascii="Arial" w:eastAsia="Arial" w:hAnsi="Arial" w:cs="Arial"/>
          <w:color w:val="000000"/>
          <w:sz w:val="22"/>
          <w:szCs w:val="22"/>
        </w:rPr>
        <w:t>iii</w:t>
      </w:r>
      <w:proofErr w:type="spellEnd"/>
      <w:r w:rsidRPr="00676880">
        <w:rPr>
          <w:rFonts w:ascii="Arial" w:eastAsia="Arial" w:hAnsi="Arial" w:cs="Arial"/>
          <w:color w:val="000000"/>
          <w:sz w:val="22"/>
          <w:szCs w:val="22"/>
        </w:rPr>
        <w:t>) las excepciones a la aplicación del acuerdo comercial.</w:t>
      </w:r>
    </w:p>
    <w:p w14:paraId="18AA7856" w14:textId="217EE6F7" w:rsidR="00F555BF" w:rsidRPr="00676880" w:rsidRDefault="00B723F4" w:rsidP="00676880">
      <w:pPr>
        <w:spacing w:after="120" w:line="276" w:lineRule="auto"/>
        <w:ind w:firstLine="851"/>
        <w:jc w:val="both"/>
        <w:rPr>
          <w:rFonts w:ascii="Arial" w:eastAsia="Arial" w:hAnsi="Arial" w:cs="Arial"/>
          <w:color w:val="000000"/>
          <w:sz w:val="22"/>
          <w:szCs w:val="22"/>
        </w:rPr>
      </w:pPr>
      <w:r w:rsidRPr="00676880">
        <w:rPr>
          <w:rFonts w:ascii="Arial" w:eastAsia="Arial" w:hAnsi="Arial" w:cs="Arial"/>
          <w:color w:val="000000"/>
          <w:sz w:val="22"/>
          <w:szCs w:val="22"/>
        </w:rPr>
        <w:t xml:space="preserve">Respecto de los valores –umbrales– a partir de los cuales el Acuerdo Comercial es aplicable al proceso de contratación, es de anotar que los valores </w:t>
      </w:r>
      <w:r w:rsidR="00F350B0" w:rsidRPr="00676880">
        <w:rPr>
          <w:rFonts w:ascii="Arial" w:eastAsia="Arial" w:hAnsi="Arial" w:cs="Arial"/>
          <w:color w:val="000000"/>
          <w:sz w:val="22"/>
          <w:szCs w:val="22"/>
        </w:rPr>
        <w:t>generalmente son</w:t>
      </w:r>
      <w:r w:rsidRPr="00676880">
        <w:rPr>
          <w:rFonts w:ascii="Arial" w:eastAsia="Arial" w:hAnsi="Arial" w:cs="Arial"/>
          <w:color w:val="000000"/>
          <w:sz w:val="22"/>
          <w:szCs w:val="22"/>
        </w:rPr>
        <w:t xml:space="preserve"> negociados en dólares de los Estados Unidos de América o en Derechos Especiales de Giro </w:t>
      </w:r>
      <w:bookmarkStart w:id="9" w:name="_Hlk105592945"/>
      <w:r w:rsidR="00F350B0" w:rsidRPr="00676880">
        <w:rPr>
          <w:rFonts w:ascii="Arial" w:eastAsia="Arial" w:hAnsi="Arial" w:cs="Arial"/>
          <w:color w:val="000000"/>
          <w:sz w:val="22"/>
          <w:szCs w:val="22"/>
        </w:rPr>
        <w:t>«</w:t>
      </w:r>
      <w:r w:rsidRPr="00676880">
        <w:rPr>
          <w:rFonts w:ascii="Arial" w:eastAsia="Arial" w:hAnsi="Arial" w:cs="Arial"/>
          <w:color w:val="000000"/>
          <w:sz w:val="22"/>
          <w:szCs w:val="22"/>
        </w:rPr>
        <w:t>DEG</w:t>
      </w:r>
      <w:r w:rsidR="00F350B0" w:rsidRPr="00676880">
        <w:rPr>
          <w:rFonts w:ascii="Arial" w:eastAsia="Arial" w:hAnsi="Arial" w:cs="Arial"/>
          <w:color w:val="000000"/>
          <w:sz w:val="22"/>
          <w:szCs w:val="22"/>
        </w:rPr>
        <w:t>»</w:t>
      </w:r>
      <w:r w:rsidRPr="00676880">
        <w:rPr>
          <w:rFonts w:ascii="Arial" w:eastAsia="Arial" w:hAnsi="Arial" w:cs="Arial"/>
          <w:color w:val="000000"/>
          <w:sz w:val="22"/>
          <w:szCs w:val="22"/>
        </w:rPr>
        <w:t xml:space="preserve"> </w:t>
      </w:r>
      <w:bookmarkEnd w:id="9"/>
      <w:r w:rsidRPr="00676880">
        <w:rPr>
          <w:rFonts w:ascii="Arial" w:eastAsia="Arial" w:hAnsi="Arial" w:cs="Arial"/>
          <w:color w:val="000000"/>
          <w:sz w:val="22"/>
          <w:szCs w:val="22"/>
        </w:rPr>
        <w:t>–</w:t>
      </w:r>
      <w:proofErr w:type="spellStart"/>
      <w:r w:rsidRPr="00676880">
        <w:rPr>
          <w:rFonts w:ascii="Arial" w:eastAsia="Arial" w:hAnsi="Arial" w:cs="Arial"/>
          <w:color w:val="000000"/>
          <w:sz w:val="22"/>
          <w:szCs w:val="22"/>
        </w:rPr>
        <w:t>Special</w:t>
      </w:r>
      <w:proofErr w:type="spellEnd"/>
      <w:r w:rsidRPr="00676880">
        <w:rPr>
          <w:rFonts w:ascii="Arial" w:eastAsia="Arial" w:hAnsi="Arial" w:cs="Arial"/>
          <w:color w:val="000000"/>
          <w:sz w:val="22"/>
          <w:szCs w:val="22"/>
        </w:rPr>
        <w:t xml:space="preserve"> </w:t>
      </w:r>
      <w:proofErr w:type="spellStart"/>
      <w:r w:rsidRPr="00676880">
        <w:rPr>
          <w:rFonts w:ascii="Arial" w:eastAsia="Arial" w:hAnsi="Arial" w:cs="Arial"/>
          <w:color w:val="000000"/>
          <w:sz w:val="22"/>
          <w:szCs w:val="22"/>
        </w:rPr>
        <w:t>Drawing</w:t>
      </w:r>
      <w:proofErr w:type="spellEnd"/>
      <w:r w:rsidRPr="00676880">
        <w:rPr>
          <w:rFonts w:ascii="Arial" w:eastAsia="Arial" w:hAnsi="Arial" w:cs="Arial"/>
          <w:color w:val="000000"/>
          <w:sz w:val="22"/>
          <w:szCs w:val="22"/>
        </w:rPr>
        <w:t xml:space="preserve"> </w:t>
      </w:r>
      <w:proofErr w:type="spellStart"/>
      <w:r w:rsidRPr="00676880">
        <w:rPr>
          <w:rFonts w:ascii="Arial" w:eastAsia="Arial" w:hAnsi="Arial" w:cs="Arial"/>
          <w:color w:val="000000"/>
          <w:sz w:val="22"/>
          <w:szCs w:val="22"/>
        </w:rPr>
        <w:t>Rights</w:t>
      </w:r>
      <w:proofErr w:type="spellEnd"/>
      <w:r w:rsidRPr="00676880">
        <w:rPr>
          <w:rFonts w:ascii="Arial" w:eastAsia="Arial" w:hAnsi="Arial" w:cs="Arial"/>
          <w:color w:val="000000"/>
          <w:sz w:val="22"/>
          <w:szCs w:val="22"/>
        </w:rPr>
        <w:t xml:space="preserve">, SDR por sus siglas en inglés–. Frente a este último, el Ministerio de Comercio, Industria y Turismo es el encargado de señalar, con la periodicidad definida en cada Acuerdo Comercial, el valor de conversión de estas monedas a pesos colombianos para determinar el umbral aplicable y la Agencia pone dichos valores a disposición de los partícipes del Sistema de Compra Pública en el siguiente enlace: </w:t>
      </w:r>
    </w:p>
    <w:p w14:paraId="6864F27A" w14:textId="77777777" w:rsidR="00496B5A" w:rsidRPr="00676880" w:rsidRDefault="00EF7DF3" w:rsidP="00676880">
      <w:pPr>
        <w:spacing w:before="120" w:after="120" w:line="276" w:lineRule="auto"/>
        <w:jc w:val="both"/>
        <w:rPr>
          <w:rFonts w:ascii="Arial" w:eastAsia="Arial" w:hAnsi="Arial" w:cs="Arial"/>
          <w:color w:val="000000"/>
          <w:sz w:val="22"/>
          <w:szCs w:val="22"/>
        </w:rPr>
      </w:pPr>
      <w:hyperlink r:id="rId12" w:history="1">
        <w:r w:rsidR="00496B5A" w:rsidRPr="00676880">
          <w:rPr>
            <w:rStyle w:val="Hipervnculo"/>
            <w:rFonts w:ascii="Arial" w:eastAsia="Arial" w:hAnsi="Arial" w:cs="Arial"/>
            <w:sz w:val="22"/>
            <w:szCs w:val="22"/>
          </w:rPr>
          <w:t>https://www.colombiacompra.gov.co/sites/cce_public/files/files_2020/umbrales_tratados_comerciales_-_2022_-_2023.pdf</w:t>
        </w:r>
      </w:hyperlink>
    </w:p>
    <w:p w14:paraId="4092E80F" w14:textId="77777777" w:rsidR="00725A21" w:rsidRPr="00676880" w:rsidRDefault="00A65266" w:rsidP="00676880">
      <w:pPr>
        <w:tabs>
          <w:tab w:val="left" w:pos="0"/>
        </w:tabs>
        <w:spacing w:before="120" w:after="120" w:line="276" w:lineRule="auto"/>
        <w:jc w:val="both"/>
        <w:rPr>
          <w:rFonts w:ascii="Arial" w:eastAsia="Calibri" w:hAnsi="Arial" w:cs="Arial"/>
          <w:bCs/>
          <w:color w:val="000000" w:themeColor="text1"/>
          <w:sz w:val="22"/>
          <w:szCs w:val="22"/>
          <w:lang w:val="es-ES_tradnl"/>
        </w:rPr>
      </w:pPr>
      <w:r w:rsidRPr="00676880">
        <w:rPr>
          <w:rFonts w:ascii="Arial" w:eastAsia="Calibri" w:hAnsi="Arial" w:cs="Arial"/>
          <w:bCs/>
          <w:color w:val="000000" w:themeColor="text1"/>
          <w:sz w:val="22"/>
          <w:szCs w:val="22"/>
          <w:lang w:val="es-ES_tradnl"/>
        </w:rPr>
        <w:tab/>
        <w:t>La Agencia Nacional de Contratación Pública – Colombia Compra Eficiente con el fin de lograr que las entidades estatales cumplan de manera sencilla y pacífica las obligaciones internacionales adquiridas por el Estado expidió el Manual para el manejo de los Acuerdos Comerciales en Procesos de Contratación. Este manual, sin introducir ninguna modificación o restricción a los tratados, condensa y explica los deberes internacionales del estado colombiano que deben iluminar la actuación de las entidades estatales contratantes, así como las entidades cubiertas y los umbrales aplicables.</w:t>
      </w:r>
      <w:r w:rsidR="002471AE" w:rsidRPr="00676880">
        <w:rPr>
          <w:rFonts w:ascii="Arial" w:eastAsia="Calibri" w:hAnsi="Arial" w:cs="Arial"/>
          <w:bCs/>
          <w:color w:val="000000" w:themeColor="text1"/>
          <w:sz w:val="22"/>
          <w:szCs w:val="22"/>
          <w:lang w:val="es-ES_tradnl"/>
        </w:rPr>
        <w:t xml:space="preserve"> </w:t>
      </w:r>
    </w:p>
    <w:p w14:paraId="13C55B85" w14:textId="77777777" w:rsidR="004B6D4E" w:rsidRPr="00676880" w:rsidRDefault="00725A21" w:rsidP="00676880">
      <w:pPr>
        <w:tabs>
          <w:tab w:val="left" w:pos="0"/>
        </w:tabs>
        <w:spacing w:before="120" w:after="120" w:line="276" w:lineRule="auto"/>
        <w:jc w:val="both"/>
        <w:rPr>
          <w:rFonts w:ascii="Arial" w:eastAsia="Calibri" w:hAnsi="Arial" w:cs="Arial"/>
          <w:bCs/>
          <w:color w:val="000000" w:themeColor="text1"/>
          <w:sz w:val="22"/>
          <w:szCs w:val="22"/>
          <w:lang w:val="es-ES_tradnl"/>
        </w:rPr>
      </w:pPr>
      <w:r w:rsidRPr="00676880">
        <w:rPr>
          <w:rFonts w:ascii="Arial" w:eastAsia="Calibri" w:hAnsi="Arial" w:cs="Arial"/>
          <w:bCs/>
          <w:color w:val="000000" w:themeColor="text1"/>
          <w:sz w:val="22"/>
          <w:szCs w:val="22"/>
          <w:lang w:val="es-ES_tradnl"/>
        </w:rPr>
        <w:tab/>
      </w:r>
      <w:r w:rsidR="001605C3" w:rsidRPr="00676880">
        <w:rPr>
          <w:rFonts w:ascii="Arial" w:eastAsia="Calibri" w:hAnsi="Arial" w:cs="Arial"/>
          <w:bCs/>
          <w:color w:val="000000" w:themeColor="text1"/>
          <w:sz w:val="22"/>
          <w:szCs w:val="22"/>
          <w:lang w:val="es-ES_tradnl"/>
        </w:rPr>
        <w:t xml:space="preserve">Para estos efectos, </w:t>
      </w:r>
      <w:r w:rsidRPr="00676880">
        <w:rPr>
          <w:rFonts w:ascii="Arial" w:eastAsia="Calibri" w:hAnsi="Arial" w:cs="Arial"/>
          <w:bCs/>
          <w:color w:val="000000" w:themeColor="text1"/>
          <w:sz w:val="22"/>
          <w:szCs w:val="22"/>
          <w:lang w:val="es-ES_tradnl"/>
        </w:rPr>
        <w:t>e</w:t>
      </w:r>
      <w:r w:rsidR="001605C3" w:rsidRPr="00676880">
        <w:rPr>
          <w:rFonts w:ascii="Arial" w:eastAsia="Calibri" w:hAnsi="Arial" w:cs="Arial"/>
          <w:bCs/>
          <w:color w:val="000000" w:themeColor="text1"/>
          <w:sz w:val="22"/>
          <w:szCs w:val="22"/>
          <w:lang w:val="es-ES_tradnl"/>
        </w:rPr>
        <w:t xml:space="preserve">l </w:t>
      </w:r>
      <w:r w:rsidRPr="00676880">
        <w:rPr>
          <w:rFonts w:ascii="Arial" w:eastAsia="Calibri" w:hAnsi="Arial" w:cs="Arial"/>
          <w:bCs/>
          <w:color w:val="000000" w:themeColor="text1"/>
          <w:sz w:val="22"/>
          <w:szCs w:val="22"/>
          <w:lang w:val="es-ES_tradnl"/>
        </w:rPr>
        <w:t>M</w:t>
      </w:r>
      <w:r w:rsidR="001605C3" w:rsidRPr="00676880">
        <w:rPr>
          <w:rFonts w:ascii="Arial" w:eastAsia="Calibri" w:hAnsi="Arial" w:cs="Arial"/>
          <w:bCs/>
          <w:color w:val="000000" w:themeColor="text1"/>
          <w:sz w:val="22"/>
          <w:szCs w:val="22"/>
          <w:lang w:val="es-ES_tradnl"/>
        </w:rPr>
        <w:t xml:space="preserve">anual </w:t>
      </w:r>
      <w:r w:rsidRPr="00676880">
        <w:rPr>
          <w:rFonts w:ascii="Arial" w:eastAsia="Calibri" w:hAnsi="Arial" w:cs="Arial"/>
          <w:bCs/>
          <w:color w:val="000000" w:themeColor="text1"/>
          <w:sz w:val="22"/>
          <w:szCs w:val="22"/>
          <w:lang w:val="es-ES_tradnl"/>
        </w:rPr>
        <w:t xml:space="preserve">consta de cuatro anexos en los que se establecen diferentes parámetros y excepciones para determinar en la practica que procesos de contratación se encuentran cubiertos por los diferentes tratados. Para las entidades estatales del orden nacional </w:t>
      </w:r>
      <w:r w:rsidR="007206E9" w:rsidRPr="00676880">
        <w:rPr>
          <w:rFonts w:ascii="Arial" w:eastAsia="Calibri" w:hAnsi="Arial" w:cs="Arial"/>
          <w:bCs/>
          <w:color w:val="000000" w:themeColor="text1"/>
          <w:sz w:val="22"/>
          <w:szCs w:val="22"/>
          <w:lang w:val="es-ES_tradnl"/>
        </w:rPr>
        <w:t>y las de régimen especial resulta relevante</w:t>
      </w:r>
      <w:r w:rsidRPr="00676880">
        <w:rPr>
          <w:rFonts w:ascii="Arial" w:eastAsia="Calibri" w:hAnsi="Arial" w:cs="Arial"/>
          <w:bCs/>
          <w:color w:val="000000" w:themeColor="text1"/>
          <w:sz w:val="22"/>
          <w:szCs w:val="22"/>
          <w:lang w:val="es-ES_tradnl"/>
        </w:rPr>
        <w:t xml:space="preserve"> </w:t>
      </w:r>
      <w:r w:rsidR="00A65266" w:rsidRPr="00676880">
        <w:rPr>
          <w:rFonts w:ascii="Arial" w:eastAsia="Calibri" w:hAnsi="Arial" w:cs="Arial"/>
          <w:bCs/>
          <w:color w:val="000000" w:themeColor="text1"/>
          <w:sz w:val="22"/>
          <w:szCs w:val="22"/>
          <w:lang w:val="es-ES_tradnl"/>
        </w:rPr>
        <w:t>el Anexo 1</w:t>
      </w:r>
      <w:r w:rsidR="002471AE" w:rsidRPr="00676880">
        <w:rPr>
          <w:rFonts w:ascii="Arial" w:eastAsia="Calibri" w:hAnsi="Arial" w:cs="Arial"/>
          <w:bCs/>
          <w:color w:val="000000" w:themeColor="text1"/>
          <w:sz w:val="22"/>
          <w:szCs w:val="22"/>
          <w:lang w:val="es-ES_tradnl"/>
        </w:rPr>
        <w:t xml:space="preserve">, </w:t>
      </w:r>
      <w:r w:rsidR="007206E9" w:rsidRPr="00676880">
        <w:rPr>
          <w:rFonts w:ascii="Arial" w:eastAsia="Calibri" w:hAnsi="Arial" w:cs="Arial"/>
          <w:bCs/>
          <w:color w:val="000000" w:themeColor="text1"/>
          <w:sz w:val="22"/>
          <w:szCs w:val="22"/>
          <w:lang w:val="es-ES_tradnl"/>
        </w:rPr>
        <w:t xml:space="preserve">el cual consta de diferentes literales en los que se enlistan las entidades del orden nacional </w:t>
      </w:r>
      <w:r w:rsidR="007206E9" w:rsidRPr="00676880">
        <w:rPr>
          <w:rFonts w:ascii="Arial" w:eastAsia="Calibri" w:hAnsi="Arial" w:cs="Arial"/>
          <w:bCs/>
          <w:color w:val="000000" w:themeColor="text1"/>
          <w:sz w:val="22"/>
          <w:szCs w:val="22"/>
          <w:lang w:val="es-ES_tradnl"/>
        </w:rPr>
        <w:lastRenderedPageBreak/>
        <w:t>cubiertas –literal a–, las entidades exceptuadas cubiertas –literal b–, los bienes, servicios y umbrales a partir de los cuales aplican los acuerdos</w:t>
      </w:r>
      <w:r w:rsidR="004B6D4E" w:rsidRPr="00676880">
        <w:rPr>
          <w:rFonts w:ascii="Arial" w:eastAsia="Calibri" w:hAnsi="Arial" w:cs="Arial"/>
          <w:bCs/>
          <w:color w:val="000000" w:themeColor="text1"/>
          <w:sz w:val="22"/>
          <w:szCs w:val="22"/>
          <w:lang w:val="es-ES_tradnl"/>
        </w:rPr>
        <w:t xml:space="preserve">–literal c– y las excepciones –literal d–-. </w:t>
      </w:r>
    </w:p>
    <w:p w14:paraId="4A4579AB" w14:textId="3DCAE210" w:rsidR="00F555BF" w:rsidRPr="00676880" w:rsidRDefault="004B6D4E" w:rsidP="00676880">
      <w:pPr>
        <w:tabs>
          <w:tab w:val="left" w:pos="0"/>
        </w:tabs>
        <w:spacing w:before="120" w:after="120" w:line="276" w:lineRule="auto"/>
        <w:jc w:val="both"/>
        <w:rPr>
          <w:rFonts w:ascii="Arial" w:eastAsia="Arial" w:hAnsi="Arial" w:cs="Arial"/>
          <w:color w:val="000000"/>
          <w:sz w:val="22"/>
          <w:szCs w:val="22"/>
        </w:rPr>
      </w:pPr>
      <w:r w:rsidRPr="00676880">
        <w:rPr>
          <w:rFonts w:ascii="Arial" w:eastAsia="Arial" w:hAnsi="Arial" w:cs="Arial"/>
          <w:sz w:val="22"/>
          <w:szCs w:val="22"/>
        </w:rPr>
        <w:tab/>
        <w:t>Sin perjuicio de lo anterior</w:t>
      </w:r>
      <w:r w:rsidR="00B723F4" w:rsidRPr="00676880">
        <w:rPr>
          <w:rFonts w:ascii="Arial" w:eastAsia="Arial" w:hAnsi="Arial" w:cs="Arial"/>
          <w:sz w:val="22"/>
          <w:szCs w:val="22"/>
        </w:rPr>
        <w:t xml:space="preserve">, </w:t>
      </w:r>
      <w:r w:rsidRPr="00676880">
        <w:rPr>
          <w:rFonts w:ascii="Arial" w:eastAsia="Arial" w:hAnsi="Arial" w:cs="Arial"/>
          <w:sz w:val="22"/>
          <w:szCs w:val="22"/>
        </w:rPr>
        <w:t xml:space="preserve">es preciso advertir </w:t>
      </w:r>
      <w:r w:rsidR="00B723F4" w:rsidRPr="00676880">
        <w:rPr>
          <w:rFonts w:ascii="Arial" w:eastAsia="Arial" w:hAnsi="Arial" w:cs="Arial"/>
          <w:sz w:val="22"/>
          <w:szCs w:val="22"/>
        </w:rPr>
        <w:t xml:space="preserve">que el Manual para manejo de los Acuerdos Comerciales en Procesos de Contratación expedido por la Agencia Nacional de Contratación Pública – Colombia Compra Eficiente, constituye una </w:t>
      </w:r>
      <w:r w:rsidR="00B723F4" w:rsidRPr="00676880">
        <w:rPr>
          <w:rFonts w:ascii="Arial" w:eastAsia="Arial" w:hAnsi="Arial" w:cs="Arial"/>
          <w:color w:val="000000"/>
          <w:sz w:val="22"/>
          <w:szCs w:val="22"/>
        </w:rPr>
        <w:t>herramienta orientadora para conocer la cobertura, excepciones y los plazos correspondientes contemplados en los acuerdos comerciales</w:t>
      </w:r>
      <w:r w:rsidRPr="00676880">
        <w:rPr>
          <w:rFonts w:ascii="Arial" w:eastAsia="Arial" w:hAnsi="Arial" w:cs="Arial"/>
          <w:color w:val="000000"/>
          <w:sz w:val="22"/>
          <w:szCs w:val="22"/>
        </w:rPr>
        <w:t xml:space="preserve">, por lo que </w:t>
      </w:r>
      <w:r w:rsidR="00B723F4" w:rsidRPr="00676880">
        <w:rPr>
          <w:rFonts w:ascii="Arial" w:eastAsia="Arial" w:hAnsi="Arial" w:cs="Arial"/>
          <w:color w:val="000000"/>
          <w:sz w:val="22"/>
          <w:szCs w:val="22"/>
        </w:rPr>
        <w:t xml:space="preserve">el uso del manual no exime a la entidad del deber de conocer y aplicar cada acuerdo comercial. </w:t>
      </w:r>
    </w:p>
    <w:p w14:paraId="665963A5" w14:textId="7DE95E34" w:rsidR="00F555BF" w:rsidRPr="00676880" w:rsidRDefault="00B723F4" w:rsidP="00676880">
      <w:pPr>
        <w:tabs>
          <w:tab w:val="left" w:pos="426"/>
        </w:tabs>
        <w:spacing w:before="120" w:after="120" w:line="276" w:lineRule="auto"/>
        <w:jc w:val="both"/>
        <w:rPr>
          <w:rFonts w:ascii="Arial" w:eastAsia="Arial" w:hAnsi="Arial" w:cs="Arial"/>
          <w:sz w:val="22"/>
          <w:szCs w:val="22"/>
        </w:rPr>
      </w:pPr>
      <w:r w:rsidRPr="00676880">
        <w:rPr>
          <w:rFonts w:ascii="Arial" w:eastAsia="Arial" w:hAnsi="Arial" w:cs="Arial"/>
          <w:color w:val="000000"/>
          <w:sz w:val="22"/>
          <w:szCs w:val="22"/>
        </w:rPr>
        <w:tab/>
      </w:r>
      <w:r w:rsidRPr="00676880">
        <w:rPr>
          <w:rFonts w:ascii="Arial" w:eastAsia="Arial" w:hAnsi="Arial" w:cs="Arial"/>
          <w:color w:val="000000"/>
          <w:sz w:val="22"/>
          <w:szCs w:val="22"/>
        </w:rPr>
        <w:tab/>
      </w:r>
      <w:r w:rsidR="000547E2" w:rsidRPr="00676880">
        <w:rPr>
          <w:rFonts w:ascii="Arial" w:eastAsia="Arial" w:hAnsi="Arial" w:cs="Arial"/>
          <w:color w:val="000000"/>
          <w:sz w:val="22"/>
          <w:szCs w:val="22"/>
        </w:rPr>
        <w:t>Con todo</w:t>
      </w:r>
      <w:r w:rsidRPr="00676880">
        <w:rPr>
          <w:rFonts w:ascii="Arial" w:eastAsia="Arial" w:hAnsi="Arial" w:cs="Arial"/>
          <w:color w:val="000000"/>
          <w:sz w:val="22"/>
          <w:szCs w:val="22"/>
        </w:rPr>
        <w:t xml:space="preserve">, en caso de que persistan dudas sobre la interpretación o alcance de un acuerdo comercial, le sugerimos dirigirse a la </w:t>
      </w:r>
      <w:r w:rsidRPr="00676880">
        <w:rPr>
          <w:rFonts w:ascii="Arial" w:eastAsia="Arial" w:hAnsi="Arial" w:cs="Arial"/>
          <w:sz w:val="22"/>
          <w:szCs w:val="22"/>
        </w:rPr>
        <w:t>Oficina de Asuntos Legales Internacionales del Ministerio de Comercio, Industria y Turismo, por ser la competente para resolver dichos asuntos en virtud de la competencia otorgada por el artículo 10 del Decreto Ley 210 de 2003.</w:t>
      </w:r>
    </w:p>
    <w:p w14:paraId="0E509892" w14:textId="77777777" w:rsidR="00F555BF" w:rsidRDefault="00F555BF" w:rsidP="00676880">
      <w:pPr>
        <w:tabs>
          <w:tab w:val="left" w:pos="426"/>
        </w:tabs>
        <w:spacing w:line="276" w:lineRule="auto"/>
        <w:jc w:val="both"/>
        <w:rPr>
          <w:rFonts w:ascii="Arial" w:eastAsia="Arial" w:hAnsi="Arial" w:cs="Arial"/>
          <w:sz w:val="22"/>
          <w:szCs w:val="22"/>
        </w:rPr>
      </w:pPr>
    </w:p>
    <w:p w14:paraId="44F9D488" w14:textId="77777777" w:rsidR="00F555BF" w:rsidRDefault="00B723F4">
      <w:pPr>
        <w:spacing w:before="120" w:line="276" w:lineRule="auto"/>
        <w:jc w:val="both"/>
        <w:rPr>
          <w:rFonts w:ascii="Arial" w:eastAsia="Arial" w:hAnsi="Arial" w:cs="Arial"/>
          <w:color w:val="000000"/>
          <w:sz w:val="22"/>
          <w:szCs w:val="22"/>
        </w:rPr>
      </w:pPr>
      <w:r>
        <w:rPr>
          <w:rFonts w:ascii="Arial" w:eastAsia="Arial" w:hAnsi="Arial" w:cs="Arial"/>
          <w:color w:val="000000"/>
          <w:sz w:val="22"/>
          <w:szCs w:val="22"/>
        </w:rPr>
        <w:t>Este concepto tiene el alcance previsto en el artículo 28 del Código de Procedimiento Administrativo y de lo Contencioso Administrativo.</w:t>
      </w:r>
    </w:p>
    <w:p w14:paraId="3F5B47CA" w14:textId="77777777" w:rsidR="00F555BF" w:rsidRDefault="00F555BF">
      <w:pPr>
        <w:ind w:firstLine="709"/>
        <w:jc w:val="both"/>
        <w:rPr>
          <w:rFonts w:ascii="Arial" w:eastAsia="Arial" w:hAnsi="Arial" w:cs="Arial"/>
          <w:color w:val="000000"/>
        </w:rPr>
      </w:pPr>
    </w:p>
    <w:p w14:paraId="2BDDD6D1" w14:textId="77777777" w:rsidR="00F555BF" w:rsidRDefault="00B723F4">
      <w:pPr>
        <w:tabs>
          <w:tab w:val="left" w:pos="5529"/>
        </w:tabs>
        <w:jc w:val="both"/>
        <w:rPr>
          <w:rFonts w:ascii="Arial" w:eastAsia="Arial" w:hAnsi="Arial" w:cs="Arial"/>
          <w:color w:val="000000"/>
        </w:rPr>
      </w:pPr>
      <w:r>
        <w:rPr>
          <w:rFonts w:ascii="Arial" w:eastAsia="Arial" w:hAnsi="Arial" w:cs="Arial"/>
          <w:color w:val="000000"/>
        </w:rPr>
        <w:t>Atentamente,</w:t>
      </w:r>
    </w:p>
    <w:p w14:paraId="7886DFDF" w14:textId="57D9A580" w:rsidR="00F555BF" w:rsidRDefault="00BE2C77">
      <w:pPr>
        <w:tabs>
          <w:tab w:val="left" w:pos="426"/>
          <w:tab w:val="left" w:pos="5529"/>
        </w:tabs>
        <w:spacing w:after="120" w:line="276" w:lineRule="auto"/>
        <w:ind w:firstLine="709"/>
        <w:jc w:val="center"/>
        <w:rPr>
          <w:rFonts w:ascii="Arial" w:eastAsia="Arial" w:hAnsi="Arial" w:cs="Arial"/>
          <w:color w:val="000000"/>
        </w:rPr>
      </w:pPr>
      <w:r w:rsidRPr="00BE2C77">
        <w:rPr>
          <w:rFonts w:ascii="Arial" w:hAnsi="Arial" w:cs="Arial"/>
          <w:noProof/>
          <w:color w:val="000000"/>
          <w:sz w:val="22"/>
          <w:lang w:eastAsia="es-ES_tradnl"/>
        </w:rPr>
        <w:drawing>
          <wp:inline distT="0" distB="0" distL="0" distR="0" wp14:anchorId="53AEFFC8" wp14:editId="7B978527">
            <wp:extent cx="2714625" cy="1152525"/>
            <wp:effectExtent l="0" t="0" r="9525"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735371" cy="1161333"/>
                    </a:xfrm>
                    <a:prstGeom prst="rect">
                      <a:avLst/>
                    </a:prstGeom>
                  </pic:spPr>
                </pic:pic>
              </a:graphicData>
            </a:graphic>
          </wp:inline>
        </w:drawing>
      </w:r>
    </w:p>
    <w:tbl>
      <w:tblPr>
        <w:tblW w:w="5705" w:type="dxa"/>
        <w:tblBorders>
          <w:top w:val="nil"/>
          <w:left w:val="nil"/>
          <w:bottom w:val="nil"/>
          <w:right w:val="nil"/>
          <w:insideH w:val="nil"/>
          <w:insideV w:val="nil"/>
        </w:tblBorders>
        <w:tblLayout w:type="fixed"/>
        <w:tblLook w:val="0400" w:firstRow="0" w:lastRow="0" w:firstColumn="0" w:lastColumn="0" w:noHBand="0" w:noVBand="1"/>
      </w:tblPr>
      <w:tblGrid>
        <w:gridCol w:w="886"/>
        <w:gridCol w:w="4819"/>
      </w:tblGrid>
      <w:tr w:rsidR="00F555BF" w14:paraId="3AA4CAF0" w14:textId="77777777">
        <w:trPr>
          <w:trHeight w:val="362"/>
        </w:trPr>
        <w:tc>
          <w:tcPr>
            <w:tcW w:w="886" w:type="dxa"/>
            <w:vAlign w:val="center"/>
          </w:tcPr>
          <w:p w14:paraId="694766F2" w14:textId="77777777" w:rsidR="00F555BF" w:rsidRDefault="00B723F4">
            <w:pPr>
              <w:tabs>
                <w:tab w:val="left" w:pos="5529"/>
              </w:tabs>
              <w:rPr>
                <w:rFonts w:ascii="Arial" w:eastAsia="Arial" w:hAnsi="Arial" w:cs="Arial"/>
                <w:color w:val="000000"/>
                <w:sz w:val="16"/>
                <w:szCs w:val="16"/>
              </w:rPr>
            </w:pPr>
            <w:r>
              <w:rPr>
                <w:rFonts w:ascii="Arial" w:eastAsia="Arial" w:hAnsi="Arial" w:cs="Arial"/>
                <w:color w:val="000000"/>
                <w:sz w:val="16"/>
                <w:szCs w:val="16"/>
              </w:rPr>
              <w:t>Elaboró:</w:t>
            </w:r>
          </w:p>
        </w:tc>
        <w:tc>
          <w:tcPr>
            <w:tcW w:w="4819" w:type="dxa"/>
            <w:tcBorders>
              <w:top w:val="nil"/>
              <w:left w:val="nil"/>
              <w:bottom w:val="dotted" w:sz="4" w:space="0" w:color="7F7F7F"/>
              <w:right w:val="nil"/>
            </w:tcBorders>
            <w:vAlign w:val="center"/>
          </w:tcPr>
          <w:p w14:paraId="0A4001CC" w14:textId="77777777" w:rsidR="00411D19" w:rsidRPr="00411D19" w:rsidRDefault="00411D19" w:rsidP="00411D19">
            <w:pPr>
              <w:tabs>
                <w:tab w:val="left" w:pos="5529"/>
              </w:tabs>
              <w:rPr>
                <w:rFonts w:ascii="Arial" w:eastAsia="Arial" w:hAnsi="Arial" w:cs="Arial"/>
                <w:color w:val="000000"/>
                <w:sz w:val="16"/>
                <w:szCs w:val="16"/>
              </w:rPr>
            </w:pPr>
            <w:r w:rsidRPr="00411D19">
              <w:rPr>
                <w:rFonts w:ascii="Arial" w:eastAsia="Arial" w:hAnsi="Arial" w:cs="Arial"/>
                <w:color w:val="000000"/>
                <w:sz w:val="16"/>
                <w:szCs w:val="16"/>
              </w:rPr>
              <w:t>Gabriel Alejandro Murcia Taboada</w:t>
            </w:r>
          </w:p>
          <w:p w14:paraId="40A95168" w14:textId="150C0C49" w:rsidR="00F555BF" w:rsidRPr="00411D19" w:rsidRDefault="00411D19" w:rsidP="00411D19">
            <w:pPr>
              <w:tabs>
                <w:tab w:val="left" w:pos="5529"/>
              </w:tabs>
              <w:rPr>
                <w:rFonts w:ascii="Arial" w:hAnsi="Arial" w:cs="Arial"/>
                <w:color w:val="000000"/>
                <w:sz w:val="16"/>
                <w:szCs w:val="16"/>
                <w:lang w:eastAsia="es-ES"/>
              </w:rPr>
            </w:pPr>
            <w:r w:rsidRPr="00411D19">
              <w:rPr>
                <w:rFonts w:ascii="Arial" w:eastAsia="Arial" w:hAnsi="Arial" w:cs="Arial"/>
                <w:color w:val="000000"/>
                <w:sz w:val="16"/>
                <w:szCs w:val="16"/>
              </w:rPr>
              <w:t>Contratista de la Subdirección de Gestión Contractual</w:t>
            </w:r>
          </w:p>
        </w:tc>
      </w:tr>
      <w:tr w:rsidR="00F555BF" w14:paraId="04C9DA6D" w14:textId="77777777">
        <w:trPr>
          <w:trHeight w:val="379"/>
        </w:trPr>
        <w:tc>
          <w:tcPr>
            <w:tcW w:w="886" w:type="dxa"/>
            <w:vAlign w:val="center"/>
          </w:tcPr>
          <w:p w14:paraId="5F0A2FF4" w14:textId="77777777" w:rsidR="00F555BF" w:rsidRDefault="00B723F4">
            <w:pPr>
              <w:tabs>
                <w:tab w:val="left" w:pos="5529"/>
              </w:tabs>
              <w:rPr>
                <w:rFonts w:ascii="Arial" w:eastAsia="Arial" w:hAnsi="Arial" w:cs="Arial"/>
                <w:color w:val="000000"/>
                <w:sz w:val="16"/>
                <w:szCs w:val="16"/>
              </w:rPr>
            </w:pPr>
            <w:r>
              <w:rPr>
                <w:rFonts w:ascii="Arial" w:eastAsia="Arial" w:hAnsi="Arial" w:cs="Arial"/>
                <w:color w:val="000000"/>
                <w:sz w:val="16"/>
                <w:szCs w:val="16"/>
              </w:rPr>
              <w:t>Revisó:</w:t>
            </w:r>
          </w:p>
        </w:tc>
        <w:tc>
          <w:tcPr>
            <w:tcW w:w="4819" w:type="dxa"/>
            <w:tcBorders>
              <w:top w:val="dotted" w:sz="4" w:space="0" w:color="7F7F7F"/>
              <w:left w:val="nil"/>
              <w:bottom w:val="dotted" w:sz="4" w:space="0" w:color="7F7F7F"/>
              <w:right w:val="nil"/>
            </w:tcBorders>
            <w:vAlign w:val="center"/>
          </w:tcPr>
          <w:p w14:paraId="61D761B3" w14:textId="77777777" w:rsidR="00DE61AC" w:rsidRPr="00DE61AC" w:rsidRDefault="00DE61AC" w:rsidP="00DE61AC">
            <w:pPr>
              <w:tabs>
                <w:tab w:val="left" w:pos="5529"/>
              </w:tabs>
              <w:rPr>
                <w:rFonts w:ascii="Arial" w:eastAsia="Arial" w:hAnsi="Arial" w:cs="Arial"/>
                <w:color w:val="000000"/>
                <w:sz w:val="16"/>
                <w:szCs w:val="16"/>
              </w:rPr>
            </w:pPr>
            <w:r w:rsidRPr="00DE61AC">
              <w:rPr>
                <w:rFonts w:ascii="Arial" w:eastAsia="Arial" w:hAnsi="Arial" w:cs="Arial"/>
                <w:color w:val="000000"/>
                <w:sz w:val="16"/>
                <w:szCs w:val="16"/>
              </w:rPr>
              <w:t>Alejandro Sarmiento Cantillo</w:t>
            </w:r>
          </w:p>
          <w:p w14:paraId="0874D2DB" w14:textId="1ECC0C30" w:rsidR="00F555BF" w:rsidRDefault="00DE61AC" w:rsidP="00DE61AC">
            <w:pPr>
              <w:tabs>
                <w:tab w:val="left" w:pos="5529"/>
              </w:tabs>
              <w:rPr>
                <w:rFonts w:ascii="Arial" w:eastAsia="Arial" w:hAnsi="Arial" w:cs="Arial"/>
                <w:color w:val="000000"/>
                <w:sz w:val="16"/>
                <w:szCs w:val="16"/>
              </w:rPr>
            </w:pPr>
            <w:r w:rsidRPr="00DE61AC">
              <w:rPr>
                <w:rFonts w:ascii="Arial" w:eastAsia="Arial" w:hAnsi="Arial" w:cs="Arial"/>
                <w:color w:val="000000"/>
                <w:sz w:val="16"/>
                <w:szCs w:val="16"/>
              </w:rPr>
              <w:t>Gestor T1-15 de la Subdirección de Gestión Contractual</w:t>
            </w:r>
          </w:p>
        </w:tc>
      </w:tr>
      <w:tr w:rsidR="00F555BF" w14:paraId="6882D421" w14:textId="77777777">
        <w:trPr>
          <w:trHeight w:val="344"/>
        </w:trPr>
        <w:tc>
          <w:tcPr>
            <w:tcW w:w="886" w:type="dxa"/>
            <w:vAlign w:val="center"/>
          </w:tcPr>
          <w:p w14:paraId="4ECD4A49" w14:textId="77777777" w:rsidR="00F555BF" w:rsidRDefault="00B723F4">
            <w:pPr>
              <w:tabs>
                <w:tab w:val="left" w:pos="5529"/>
              </w:tabs>
              <w:rPr>
                <w:rFonts w:ascii="Arial" w:eastAsia="Arial" w:hAnsi="Arial" w:cs="Arial"/>
                <w:color w:val="000000"/>
                <w:sz w:val="16"/>
                <w:szCs w:val="16"/>
              </w:rPr>
            </w:pPr>
            <w:r>
              <w:rPr>
                <w:rFonts w:ascii="Arial" w:eastAsia="Arial" w:hAnsi="Arial" w:cs="Arial"/>
                <w:color w:val="000000"/>
                <w:sz w:val="16"/>
                <w:szCs w:val="16"/>
              </w:rPr>
              <w:t>Aprobó:</w:t>
            </w:r>
          </w:p>
        </w:tc>
        <w:tc>
          <w:tcPr>
            <w:tcW w:w="4819" w:type="dxa"/>
            <w:tcBorders>
              <w:top w:val="dotted" w:sz="4" w:space="0" w:color="7F7F7F"/>
              <w:left w:val="nil"/>
              <w:bottom w:val="dotted" w:sz="4" w:space="0" w:color="7F7F7F"/>
              <w:right w:val="nil"/>
            </w:tcBorders>
            <w:vAlign w:val="center"/>
          </w:tcPr>
          <w:p w14:paraId="34A79F52" w14:textId="77777777" w:rsidR="00F555BF" w:rsidRDefault="00B723F4">
            <w:pPr>
              <w:tabs>
                <w:tab w:val="left" w:pos="5529"/>
              </w:tabs>
              <w:rPr>
                <w:rFonts w:ascii="Arial" w:eastAsia="Arial" w:hAnsi="Arial" w:cs="Arial"/>
                <w:color w:val="000000"/>
                <w:sz w:val="16"/>
                <w:szCs w:val="16"/>
              </w:rPr>
            </w:pPr>
            <w:r>
              <w:rPr>
                <w:rFonts w:ascii="Arial" w:eastAsia="Arial" w:hAnsi="Arial" w:cs="Arial"/>
                <w:color w:val="000000"/>
                <w:sz w:val="16"/>
                <w:szCs w:val="16"/>
              </w:rPr>
              <w:t>Jorge Augusto Tirado Navarro</w:t>
            </w:r>
          </w:p>
          <w:p w14:paraId="1D97ED99" w14:textId="77777777" w:rsidR="00F555BF" w:rsidRDefault="00B723F4">
            <w:pPr>
              <w:tabs>
                <w:tab w:val="left" w:pos="5529"/>
              </w:tabs>
              <w:rPr>
                <w:rFonts w:ascii="Arial" w:eastAsia="Arial" w:hAnsi="Arial" w:cs="Arial"/>
                <w:color w:val="000000"/>
                <w:sz w:val="16"/>
                <w:szCs w:val="16"/>
              </w:rPr>
            </w:pPr>
            <w:r>
              <w:rPr>
                <w:rFonts w:ascii="Arial" w:eastAsia="Arial" w:hAnsi="Arial" w:cs="Arial"/>
                <w:color w:val="000000"/>
                <w:sz w:val="16"/>
                <w:szCs w:val="16"/>
              </w:rPr>
              <w:t>Subdirector de Gestión Contractual</w:t>
            </w:r>
          </w:p>
        </w:tc>
      </w:tr>
    </w:tbl>
    <w:p w14:paraId="7E10F61D" w14:textId="77777777" w:rsidR="00F555BF" w:rsidRDefault="00F555BF"/>
    <w:sectPr w:rsidR="00F555BF">
      <w:headerReference w:type="even" r:id="rId14"/>
      <w:headerReference w:type="default" r:id="rId15"/>
      <w:footerReference w:type="even" r:id="rId16"/>
      <w:footerReference w:type="default" r:id="rId17"/>
      <w:headerReference w:type="first" r:id="rId18"/>
      <w:footerReference w:type="first" r:id="rId19"/>
      <w:pgSz w:w="12240" w:h="15840"/>
      <w:pgMar w:top="2041" w:right="1758" w:bottom="1474" w:left="1758"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39D3E" w14:textId="77777777" w:rsidR="00AB6942" w:rsidRDefault="00B723F4">
      <w:r>
        <w:separator/>
      </w:r>
    </w:p>
  </w:endnote>
  <w:endnote w:type="continuationSeparator" w:id="0">
    <w:p w14:paraId="493A4510" w14:textId="77777777" w:rsidR="00AB6942" w:rsidRDefault="00B723F4">
      <w:r>
        <w:continuationSeparator/>
      </w:r>
    </w:p>
  </w:endnote>
  <w:endnote w:type="continuationNotice" w:id="1">
    <w:p w14:paraId="7B97E301" w14:textId="77777777" w:rsidR="00AB7004" w:rsidRDefault="00AB7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ork Sans">
    <w:panose1 w:val="00000000000000000000"/>
    <w:charset w:val="4D"/>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97AE" w14:textId="77777777" w:rsidR="00F555BF" w:rsidRDefault="00F555B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21254" w14:textId="77777777" w:rsidR="00F555BF" w:rsidRDefault="00F555BF">
    <w:pPr>
      <w:pBdr>
        <w:top w:val="nil"/>
        <w:left w:val="nil"/>
        <w:bottom w:val="nil"/>
        <w:right w:val="nil"/>
        <w:between w:val="nil"/>
      </w:pBdr>
      <w:jc w:val="right"/>
      <w:rPr>
        <w:rFonts w:ascii="Arial" w:eastAsia="Arial" w:hAnsi="Arial" w:cs="Arial"/>
        <w:color w:val="000000"/>
        <w:sz w:val="18"/>
        <w:szCs w:val="18"/>
      </w:rPr>
    </w:pPr>
  </w:p>
  <w:p w14:paraId="1585F0FE" w14:textId="77777777" w:rsidR="00F555BF" w:rsidRDefault="00B723F4">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176557">
      <w:rPr>
        <w:rFonts w:ascii="Arial" w:eastAsia="Arial" w:hAnsi="Arial" w:cs="Arial"/>
        <w:b/>
        <w:noProof/>
        <w:color w:val="7F7F7F"/>
        <w:sz w:val="16"/>
        <w:szCs w:val="16"/>
      </w:rPr>
      <w:t>1</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176557">
      <w:rPr>
        <w:rFonts w:ascii="Arial" w:eastAsia="Arial" w:hAnsi="Arial" w:cs="Arial"/>
        <w:b/>
        <w:noProof/>
        <w:color w:val="7F7F7F"/>
        <w:sz w:val="16"/>
        <w:szCs w:val="16"/>
      </w:rPr>
      <w:t>2</w:t>
    </w:r>
    <w:r>
      <w:rPr>
        <w:rFonts w:ascii="Arial" w:eastAsia="Arial" w:hAnsi="Arial" w:cs="Arial"/>
        <w:b/>
        <w:color w:val="7F7F7F"/>
        <w:sz w:val="16"/>
        <w:szCs w:val="16"/>
      </w:rPr>
      <w:fldChar w:fldCharType="end"/>
    </w:r>
  </w:p>
  <w:p w14:paraId="4E7AF6E5" w14:textId="77777777" w:rsidR="00F555BF" w:rsidRDefault="00B723F4">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16147F5A" wp14:editId="2B664D8E">
          <wp:extent cx="3700130" cy="519139"/>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700130" cy="519139"/>
                  </a:xfrm>
                  <a:prstGeom prst="rect">
                    <a:avLst/>
                  </a:prstGeom>
                  <a:ln/>
                </pic:spPr>
              </pic:pic>
            </a:graphicData>
          </a:graphic>
        </wp:inline>
      </w:drawing>
    </w:r>
  </w:p>
  <w:p w14:paraId="5E5E98FD" w14:textId="77777777" w:rsidR="00F555BF" w:rsidRDefault="00F555BF">
    <w:pPr>
      <w:pBdr>
        <w:top w:val="nil"/>
        <w:left w:val="nil"/>
        <w:bottom w:val="nil"/>
        <w:right w:val="nil"/>
        <w:between w:val="nil"/>
      </w:pBdr>
      <w:tabs>
        <w:tab w:val="center" w:pos="4419"/>
        <w:tab w:val="right" w:pos="8838"/>
      </w:tabs>
      <w:jc w:val="center"/>
      <w:rPr>
        <w:color w:val="000000"/>
      </w:rPr>
    </w:pPr>
  </w:p>
  <w:p w14:paraId="6E200E07" w14:textId="77777777" w:rsidR="00F555BF" w:rsidRDefault="00F555BF">
    <w:pPr>
      <w:pBdr>
        <w:top w:val="nil"/>
        <w:left w:val="nil"/>
        <w:bottom w:val="nil"/>
        <w:right w:val="nil"/>
        <w:between w:val="nil"/>
      </w:pBdr>
      <w:tabs>
        <w:tab w:val="center" w:pos="4419"/>
        <w:tab w:val="right" w:pos="8838"/>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53043" w14:textId="77777777" w:rsidR="00F555BF" w:rsidRDefault="00F555B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35B11" w14:textId="77777777" w:rsidR="00AB6942" w:rsidRDefault="00B723F4">
      <w:r>
        <w:separator/>
      </w:r>
    </w:p>
  </w:footnote>
  <w:footnote w:type="continuationSeparator" w:id="0">
    <w:p w14:paraId="01563A07" w14:textId="77777777" w:rsidR="00AB6942" w:rsidRDefault="00B723F4">
      <w:r>
        <w:continuationSeparator/>
      </w:r>
    </w:p>
  </w:footnote>
  <w:footnote w:type="continuationNotice" w:id="1">
    <w:p w14:paraId="09592D98" w14:textId="77777777" w:rsidR="00AB7004" w:rsidRDefault="00AB7004"/>
  </w:footnote>
  <w:footnote w:id="2">
    <w:p w14:paraId="0EB9FA5C" w14:textId="77777777" w:rsidR="00F555BF" w:rsidRPr="00676880" w:rsidRDefault="00B723F4">
      <w:pPr>
        <w:pBdr>
          <w:top w:val="nil"/>
          <w:left w:val="nil"/>
          <w:bottom w:val="nil"/>
          <w:right w:val="nil"/>
          <w:between w:val="nil"/>
        </w:pBdr>
        <w:ind w:firstLine="708"/>
        <w:jc w:val="both"/>
        <w:rPr>
          <w:rFonts w:ascii="Arial" w:eastAsia="Arial" w:hAnsi="Arial" w:cs="Arial"/>
          <w:color w:val="000000"/>
          <w:sz w:val="19"/>
          <w:szCs w:val="19"/>
        </w:rPr>
      </w:pPr>
      <w:r w:rsidRPr="00676880">
        <w:rPr>
          <w:rFonts w:ascii="Arial" w:hAnsi="Arial" w:cs="Arial"/>
          <w:sz w:val="19"/>
          <w:szCs w:val="19"/>
          <w:vertAlign w:val="superscript"/>
        </w:rPr>
        <w:footnoteRef/>
      </w:r>
      <w:r w:rsidRPr="00676880">
        <w:rPr>
          <w:rFonts w:ascii="Arial" w:eastAsia="Arial" w:hAnsi="Arial" w:cs="Arial"/>
          <w:color w:val="000000"/>
          <w:sz w:val="19"/>
          <w:szCs w:val="19"/>
        </w:rPr>
        <w:t xml:space="preserve"> DON WALLACE. </w:t>
      </w:r>
      <w:r w:rsidRPr="00676880">
        <w:rPr>
          <w:rFonts w:ascii="Arial" w:eastAsia="Arial" w:hAnsi="Arial" w:cs="Arial"/>
          <w:i/>
          <w:color w:val="000000"/>
          <w:sz w:val="19"/>
          <w:szCs w:val="19"/>
        </w:rPr>
        <w:t>The changing world of national procurement systems: global reformation.</w:t>
      </w:r>
      <w:r w:rsidRPr="00676880">
        <w:rPr>
          <w:rFonts w:ascii="Arial" w:eastAsia="Arial" w:hAnsi="Arial" w:cs="Arial"/>
          <w:color w:val="000000"/>
          <w:sz w:val="19"/>
          <w:szCs w:val="19"/>
        </w:rPr>
        <w:t xml:space="preserve"> Public procurement law review 4.2, 1995: 57-62.</w:t>
      </w:r>
    </w:p>
    <w:p w14:paraId="0FC650A0" w14:textId="77777777" w:rsidR="00F555BF" w:rsidRPr="00676880" w:rsidRDefault="00F555BF">
      <w:pPr>
        <w:pBdr>
          <w:top w:val="nil"/>
          <w:left w:val="nil"/>
          <w:bottom w:val="nil"/>
          <w:right w:val="nil"/>
          <w:between w:val="nil"/>
        </w:pBdr>
        <w:jc w:val="both"/>
        <w:rPr>
          <w:rFonts w:ascii="Arial" w:eastAsia="Arial" w:hAnsi="Arial" w:cs="Arial"/>
          <w:color w:val="000000"/>
          <w:sz w:val="19"/>
          <w:szCs w:val="19"/>
        </w:rPr>
      </w:pPr>
    </w:p>
  </w:footnote>
  <w:footnote w:id="3">
    <w:p w14:paraId="460FBC41" w14:textId="77777777" w:rsidR="00F555BF" w:rsidRPr="00676880" w:rsidRDefault="00B723F4">
      <w:pPr>
        <w:pBdr>
          <w:top w:val="nil"/>
          <w:left w:val="nil"/>
          <w:bottom w:val="nil"/>
          <w:right w:val="nil"/>
          <w:between w:val="nil"/>
        </w:pBdr>
        <w:ind w:firstLine="708"/>
        <w:jc w:val="both"/>
        <w:rPr>
          <w:rFonts w:ascii="Arial" w:eastAsia="Arial" w:hAnsi="Arial" w:cs="Arial"/>
          <w:color w:val="000000"/>
          <w:sz w:val="19"/>
          <w:szCs w:val="19"/>
        </w:rPr>
      </w:pPr>
      <w:r w:rsidRPr="00676880">
        <w:rPr>
          <w:rFonts w:ascii="Arial" w:hAnsi="Arial" w:cs="Arial"/>
          <w:sz w:val="19"/>
          <w:szCs w:val="19"/>
          <w:vertAlign w:val="superscript"/>
        </w:rPr>
        <w:footnoteRef/>
      </w:r>
      <w:r w:rsidRPr="00676880">
        <w:rPr>
          <w:rFonts w:ascii="Arial" w:eastAsia="Arial" w:hAnsi="Arial" w:cs="Arial"/>
          <w:color w:val="000000"/>
          <w:sz w:val="19"/>
          <w:szCs w:val="19"/>
        </w:rPr>
        <w:t xml:space="preserve"> SUE ARROWSMITH; LINARELLI, John; WALLACE, Don. </w:t>
      </w:r>
      <w:r w:rsidRPr="00676880">
        <w:rPr>
          <w:rFonts w:ascii="Arial" w:eastAsia="Arial" w:hAnsi="Arial" w:cs="Arial"/>
          <w:color w:val="000000"/>
          <w:sz w:val="19"/>
          <w:szCs w:val="19"/>
        </w:rPr>
        <w:t>Regulation public procurement-national and international perspectives. Kluwer Law International BV, 2000.</w:t>
      </w:r>
    </w:p>
    <w:p w14:paraId="64B5D0F1" w14:textId="77777777" w:rsidR="00F555BF" w:rsidRPr="00676880" w:rsidRDefault="00F555BF">
      <w:pPr>
        <w:pBdr>
          <w:top w:val="nil"/>
          <w:left w:val="nil"/>
          <w:bottom w:val="nil"/>
          <w:right w:val="nil"/>
          <w:between w:val="nil"/>
        </w:pBdr>
        <w:ind w:firstLine="708"/>
        <w:jc w:val="both"/>
        <w:rPr>
          <w:rFonts w:ascii="Arial" w:eastAsia="Arial" w:hAnsi="Arial" w:cs="Arial"/>
          <w:color w:val="000000"/>
          <w:sz w:val="19"/>
          <w:szCs w:val="19"/>
        </w:rPr>
      </w:pPr>
    </w:p>
  </w:footnote>
  <w:footnote w:id="4">
    <w:p w14:paraId="432C9BF5" w14:textId="535AD035" w:rsidR="00F555BF" w:rsidRPr="00676880" w:rsidRDefault="00B723F4">
      <w:pPr>
        <w:pBdr>
          <w:top w:val="nil"/>
          <w:left w:val="nil"/>
          <w:bottom w:val="nil"/>
          <w:right w:val="nil"/>
          <w:between w:val="nil"/>
        </w:pBdr>
        <w:ind w:firstLine="708"/>
        <w:jc w:val="both"/>
        <w:rPr>
          <w:rFonts w:ascii="Arial" w:eastAsia="Arial" w:hAnsi="Arial" w:cs="Arial"/>
          <w:color w:val="000000"/>
          <w:sz w:val="19"/>
          <w:szCs w:val="19"/>
        </w:rPr>
      </w:pPr>
      <w:r w:rsidRPr="00676880">
        <w:rPr>
          <w:rFonts w:ascii="Arial" w:hAnsi="Arial" w:cs="Arial"/>
          <w:sz w:val="19"/>
          <w:szCs w:val="19"/>
          <w:vertAlign w:val="superscript"/>
        </w:rPr>
        <w:footnoteRef/>
      </w:r>
      <w:r w:rsidRPr="00676880">
        <w:rPr>
          <w:rFonts w:ascii="Arial" w:eastAsia="Arial" w:hAnsi="Arial" w:cs="Arial"/>
          <w:color w:val="000000"/>
          <w:sz w:val="19"/>
          <w:szCs w:val="19"/>
        </w:rPr>
        <w:t xml:space="preserve"> SUE ARROWSMITH. </w:t>
      </w:r>
      <w:r w:rsidRPr="00676880">
        <w:rPr>
          <w:rFonts w:ascii="Arial" w:eastAsia="Arial" w:hAnsi="Arial" w:cs="Arial"/>
          <w:color w:val="000000"/>
          <w:sz w:val="19"/>
          <w:szCs w:val="19"/>
        </w:rPr>
        <w:t>Public procurement: An appraisal of the UNCITRAL model law as a global standard. </w:t>
      </w:r>
      <w:r w:rsidRPr="00676880">
        <w:rPr>
          <w:rFonts w:ascii="Arial" w:eastAsia="Arial" w:hAnsi="Arial" w:cs="Arial"/>
          <w:i/>
          <w:color w:val="000000"/>
          <w:sz w:val="19"/>
          <w:szCs w:val="19"/>
        </w:rPr>
        <w:t>International &amp; Comparative Law Quarterly</w:t>
      </w:r>
      <w:r w:rsidRPr="00676880">
        <w:rPr>
          <w:rFonts w:ascii="Arial" w:eastAsia="Arial" w:hAnsi="Arial" w:cs="Arial"/>
          <w:color w:val="000000"/>
          <w:sz w:val="19"/>
          <w:szCs w:val="19"/>
        </w:rPr>
        <w:t>, 2004, vol. 53, no 1, p. 17-46.</w:t>
      </w:r>
    </w:p>
  </w:footnote>
  <w:footnote w:id="5">
    <w:p w14:paraId="2167EAC9" w14:textId="77777777" w:rsidR="00F555BF" w:rsidRPr="00676880" w:rsidRDefault="00B723F4">
      <w:pPr>
        <w:pBdr>
          <w:top w:val="nil"/>
          <w:left w:val="nil"/>
          <w:bottom w:val="nil"/>
          <w:right w:val="nil"/>
          <w:between w:val="nil"/>
        </w:pBdr>
        <w:ind w:firstLine="708"/>
        <w:jc w:val="both"/>
        <w:rPr>
          <w:rFonts w:ascii="Arial" w:eastAsia="Arial" w:hAnsi="Arial" w:cs="Arial"/>
          <w:color w:val="000000"/>
          <w:sz w:val="19"/>
          <w:szCs w:val="19"/>
        </w:rPr>
      </w:pPr>
      <w:r w:rsidRPr="00676880">
        <w:rPr>
          <w:rFonts w:ascii="Arial" w:hAnsi="Arial" w:cs="Arial"/>
          <w:sz w:val="19"/>
          <w:szCs w:val="19"/>
          <w:vertAlign w:val="superscript"/>
        </w:rPr>
        <w:footnoteRef/>
      </w:r>
      <w:r w:rsidRPr="00676880">
        <w:rPr>
          <w:rFonts w:ascii="Arial" w:eastAsia="Arial" w:hAnsi="Arial" w:cs="Arial"/>
          <w:color w:val="000000"/>
          <w:sz w:val="19"/>
          <w:szCs w:val="19"/>
        </w:rPr>
        <w:t xml:space="preserve"> SOPE WILLIAMS-ELEGBE. </w:t>
      </w:r>
      <w:r w:rsidRPr="00676880">
        <w:rPr>
          <w:rFonts w:ascii="Arial" w:eastAsia="Arial" w:hAnsi="Arial" w:cs="Arial"/>
          <w:color w:val="000000"/>
          <w:sz w:val="19"/>
          <w:szCs w:val="19"/>
        </w:rPr>
        <w:t>The World Bank's influence on procurement reform in Africa. </w:t>
      </w:r>
      <w:r w:rsidRPr="00676880">
        <w:rPr>
          <w:rFonts w:ascii="Arial" w:eastAsia="Arial" w:hAnsi="Arial" w:cs="Arial"/>
          <w:i/>
          <w:color w:val="000000"/>
          <w:sz w:val="19"/>
          <w:szCs w:val="19"/>
        </w:rPr>
        <w:t>African Journal of International and Comparative Law</w:t>
      </w:r>
      <w:r w:rsidRPr="00676880">
        <w:rPr>
          <w:rFonts w:ascii="Arial" w:eastAsia="Arial" w:hAnsi="Arial" w:cs="Arial"/>
          <w:color w:val="000000"/>
          <w:sz w:val="19"/>
          <w:szCs w:val="19"/>
        </w:rPr>
        <w:t>, 2013, vol. 21, no 1, p. 95-119; SOPE WILLIAMS-ELEGBE. Public Procurement and Multilateral Development Banks: Law, Practice and Problems. Bloomsbury Publishing, 2017.</w:t>
      </w:r>
    </w:p>
    <w:p w14:paraId="2AA6E043" w14:textId="77777777" w:rsidR="00F555BF" w:rsidRPr="00676880" w:rsidRDefault="00F555BF">
      <w:pPr>
        <w:pBdr>
          <w:top w:val="nil"/>
          <w:left w:val="nil"/>
          <w:bottom w:val="nil"/>
          <w:right w:val="nil"/>
          <w:between w:val="nil"/>
        </w:pBdr>
        <w:ind w:firstLine="708"/>
        <w:jc w:val="both"/>
        <w:rPr>
          <w:rFonts w:ascii="Arial" w:eastAsia="Arial" w:hAnsi="Arial" w:cs="Arial"/>
          <w:color w:val="000000"/>
          <w:sz w:val="19"/>
          <w:szCs w:val="19"/>
        </w:rPr>
      </w:pPr>
    </w:p>
  </w:footnote>
  <w:footnote w:id="6">
    <w:p w14:paraId="5EF62981" w14:textId="77777777" w:rsidR="00F555BF" w:rsidRPr="00676880" w:rsidRDefault="00B723F4">
      <w:pPr>
        <w:pBdr>
          <w:top w:val="nil"/>
          <w:left w:val="nil"/>
          <w:bottom w:val="nil"/>
          <w:right w:val="nil"/>
          <w:between w:val="nil"/>
        </w:pBdr>
        <w:ind w:firstLine="709"/>
        <w:jc w:val="both"/>
        <w:rPr>
          <w:rFonts w:ascii="Arial" w:eastAsia="Arial" w:hAnsi="Arial" w:cs="Arial"/>
          <w:color w:val="000000"/>
          <w:sz w:val="19"/>
          <w:szCs w:val="19"/>
        </w:rPr>
      </w:pPr>
      <w:r w:rsidRPr="00676880">
        <w:rPr>
          <w:rFonts w:ascii="Arial" w:hAnsi="Arial" w:cs="Arial"/>
          <w:sz w:val="19"/>
          <w:szCs w:val="19"/>
          <w:vertAlign w:val="superscript"/>
        </w:rPr>
        <w:footnoteRef/>
      </w:r>
      <w:r w:rsidRPr="00676880">
        <w:rPr>
          <w:rFonts w:ascii="Arial" w:eastAsia="Arial" w:hAnsi="Arial" w:cs="Arial"/>
          <w:color w:val="000000"/>
          <w:sz w:val="19"/>
          <w:szCs w:val="19"/>
        </w:rPr>
        <w:t xml:space="preserve"> La </w:t>
      </w:r>
      <w:r w:rsidRPr="00676880">
        <w:rPr>
          <w:rFonts w:ascii="Arial" w:eastAsia="Arial" w:hAnsi="Arial" w:cs="Arial"/>
          <w:color w:val="000000"/>
          <w:sz w:val="19"/>
          <w:szCs w:val="19"/>
        </w:rPr>
        <w:t xml:space="preserve">Constitución Política, en el artículo 189, numeral 2, dispone que el </w:t>
      </w:r>
      <w:r w:rsidRPr="00676880">
        <w:rPr>
          <w:rFonts w:ascii="Arial" w:eastAsia="Arial" w:hAnsi="Arial" w:cs="Arial"/>
          <w:color w:val="000000"/>
          <w:sz w:val="19"/>
          <w:szCs w:val="19"/>
        </w:rPr>
        <w:t>Presidente de la República debe: «Dirigir las relaciones internacionales. Nombrar a los agentes diplomáticos y consulares, recibir a los agentes respectivos y celebrar con otros Estados y entidades de derecho internacional tratados o convenios que se someterán a la aprobación del Congreso». Así mismo, en el artículo 150, numeral 16, establece que el Congreso de la República debe: «Aprobar o improbar los tratados que el Gobierno celebre con otros Estados o con entidades de derecho internacional. Por medio de dichos tratados podrá el Estado, sobre bases de equidad, reciprocidad y conveniencia nacional, transferir parcialmente determinadas atribuciones a organismos internacionales, que tengan por objeto promover o consolidar la integración económica con otros Estados».</w:t>
      </w:r>
    </w:p>
    <w:p w14:paraId="24A3186D" w14:textId="77777777" w:rsidR="00F555BF" w:rsidRPr="00676880" w:rsidRDefault="00F555BF">
      <w:pPr>
        <w:pBdr>
          <w:top w:val="nil"/>
          <w:left w:val="nil"/>
          <w:bottom w:val="nil"/>
          <w:right w:val="nil"/>
          <w:between w:val="nil"/>
        </w:pBdr>
        <w:ind w:firstLine="709"/>
        <w:jc w:val="both"/>
        <w:rPr>
          <w:rFonts w:ascii="Arial" w:eastAsia="Arial" w:hAnsi="Arial" w:cs="Arial"/>
          <w:color w:val="000000"/>
          <w:sz w:val="19"/>
          <w:szCs w:val="19"/>
        </w:rPr>
      </w:pPr>
    </w:p>
  </w:footnote>
  <w:footnote w:id="7">
    <w:p w14:paraId="28827F3D" w14:textId="77777777" w:rsidR="00E02C6F" w:rsidRPr="00676880" w:rsidRDefault="00E02C6F" w:rsidP="00676880">
      <w:pPr>
        <w:ind w:firstLine="709"/>
        <w:jc w:val="both"/>
        <w:rPr>
          <w:rFonts w:ascii="Arial" w:hAnsi="Arial" w:cs="Arial"/>
          <w:sz w:val="19"/>
          <w:szCs w:val="19"/>
        </w:rPr>
      </w:pPr>
      <w:r w:rsidRPr="00676880">
        <w:rPr>
          <w:rStyle w:val="Refdenotaalpie"/>
          <w:rFonts w:ascii="Arial" w:hAnsi="Arial" w:cs="Arial"/>
          <w:sz w:val="19"/>
          <w:szCs w:val="19"/>
        </w:rPr>
        <w:footnoteRef/>
      </w:r>
      <w:r w:rsidRPr="00676880">
        <w:rPr>
          <w:rFonts w:ascii="Arial" w:hAnsi="Arial" w:cs="Arial"/>
          <w:sz w:val="19"/>
          <w:szCs w:val="19"/>
        </w:rPr>
        <w:t xml:space="preserve"> El acuerdo comercial suscrito entre Colombia y los Estados Unidos Mexicanos, respecto de los umbrales, establece: «Artículo 15-02: Ámbito de aplicación y cobertura de las obligaciones. 1. Este capítulo se aplica a las medidas que una Parte adopte o mantenga con relación a las compras: […]</w:t>
      </w:r>
    </w:p>
    <w:p w14:paraId="31581DEE" w14:textId="77777777" w:rsidR="00E02C6F" w:rsidRPr="00676880" w:rsidRDefault="00E02C6F" w:rsidP="00676880">
      <w:pPr>
        <w:ind w:firstLine="709"/>
        <w:jc w:val="both"/>
        <w:rPr>
          <w:rFonts w:ascii="Arial" w:hAnsi="Arial" w:cs="Arial"/>
          <w:sz w:val="19"/>
          <w:szCs w:val="19"/>
        </w:rPr>
      </w:pPr>
      <w:r w:rsidRPr="00676880">
        <w:rPr>
          <w:rFonts w:ascii="Arial" w:hAnsi="Arial" w:cs="Arial"/>
          <w:sz w:val="19"/>
          <w:szCs w:val="19"/>
        </w:rPr>
        <w:t>»c) cuando se estime que el valor del contrato que será adjudicado iguale o supere el valor de los siguientes umbrales, calculados y ajustados de conformidad con la tasa inflacionaria de los de Estados Unidos de América según lo dispuesto en el anexo 6 a este artículo,</w:t>
      </w:r>
    </w:p>
    <w:p w14:paraId="1C80F3FA" w14:textId="77777777" w:rsidR="00E02C6F" w:rsidRPr="00676880" w:rsidRDefault="00E02C6F" w:rsidP="00676880">
      <w:pPr>
        <w:ind w:firstLine="709"/>
        <w:jc w:val="both"/>
        <w:rPr>
          <w:rFonts w:ascii="Arial" w:hAnsi="Arial" w:cs="Arial"/>
          <w:sz w:val="19"/>
          <w:szCs w:val="19"/>
        </w:rPr>
      </w:pPr>
      <w:r w:rsidRPr="00676880">
        <w:rPr>
          <w:rFonts w:ascii="Arial" w:hAnsi="Arial" w:cs="Arial"/>
          <w:sz w:val="19"/>
          <w:szCs w:val="19"/>
        </w:rPr>
        <w:t>[…]</w:t>
      </w:r>
    </w:p>
    <w:p w14:paraId="1A1C805C" w14:textId="77777777" w:rsidR="00E02C6F" w:rsidRPr="00676880" w:rsidRDefault="00E02C6F" w:rsidP="00676880">
      <w:pPr>
        <w:ind w:firstLine="720"/>
        <w:jc w:val="both"/>
        <w:rPr>
          <w:rFonts w:ascii="Arial" w:hAnsi="Arial" w:cs="Arial"/>
          <w:sz w:val="19"/>
          <w:szCs w:val="19"/>
        </w:rPr>
      </w:pPr>
      <w:r w:rsidRPr="00676880">
        <w:rPr>
          <w:rFonts w:ascii="Arial" w:hAnsi="Arial" w:cs="Arial"/>
          <w:sz w:val="19"/>
          <w:szCs w:val="19"/>
        </w:rPr>
        <w:t xml:space="preserve">»Anexo 6 al artículo 15-02 Indización y conversión del valor de los umbrales </w:t>
      </w:r>
    </w:p>
    <w:p w14:paraId="52750849" w14:textId="77777777" w:rsidR="00E02C6F" w:rsidRPr="00676880" w:rsidRDefault="00E02C6F" w:rsidP="00676880">
      <w:pPr>
        <w:ind w:firstLine="720"/>
        <w:jc w:val="both"/>
        <w:rPr>
          <w:rFonts w:ascii="Arial" w:hAnsi="Arial" w:cs="Arial"/>
          <w:sz w:val="19"/>
          <w:szCs w:val="19"/>
        </w:rPr>
      </w:pPr>
      <w:r w:rsidRPr="00676880">
        <w:rPr>
          <w:rFonts w:ascii="Arial" w:hAnsi="Arial" w:cs="Arial"/>
          <w:sz w:val="19"/>
          <w:szCs w:val="19"/>
        </w:rPr>
        <w:t xml:space="preserve">»1. Los cálculos a los que se refiere el artículo 15-02, párrafo 1 literal c), se realizarán de acuerdo a lo siguiente: </w:t>
      </w:r>
    </w:p>
    <w:p w14:paraId="6ECBC191" w14:textId="77777777" w:rsidR="00E02C6F" w:rsidRPr="00676880" w:rsidRDefault="00E02C6F" w:rsidP="00676880">
      <w:pPr>
        <w:ind w:firstLine="720"/>
        <w:jc w:val="both"/>
        <w:rPr>
          <w:rFonts w:ascii="Arial" w:hAnsi="Arial" w:cs="Arial"/>
          <w:sz w:val="19"/>
          <w:szCs w:val="19"/>
        </w:rPr>
      </w:pPr>
      <w:r w:rsidRPr="00676880">
        <w:rPr>
          <w:rFonts w:ascii="Arial" w:hAnsi="Arial" w:cs="Arial"/>
          <w:sz w:val="19"/>
          <w:szCs w:val="19"/>
        </w:rPr>
        <w:t xml:space="preserve">»a) la tasa de inflación de los Estados Unidos de América será medida por el Índice de Precios al Mayoreo para productos terminados publicado por el Bureau </w:t>
      </w:r>
      <w:r w:rsidRPr="00676880">
        <w:rPr>
          <w:rFonts w:ascii="Arial" w:hAnsi="Arial" w:cs="Arial"/>
          <w:sz w:val="19"/>
          <w:szCs w:val="19"/>
        </w:rPr>
        <w:t xml:space="preserve">of Labor Statistics de Estados Unidos; </w:t>
      </w:r>
    </w:p>
    <w:p w14:paraId="19CDCAD8" w14:textId="77777777" w:rsidR="00E02C6F" w:rsidRPr="00676880" w:rsidRDefault="00E02C6F" w:rsidP="00676880">
      <w:pPr>
        <w:ind w:firstLine="720"/>
        <w:jc w:val="both"/>
        <w:rPr>
          <w:rFonts w:ascii="Arial" w:hAnsi="Arial" w:cs="Arial"/>
          <w:sz w:val="19"/>
          <w:szCs w:val="19"/>
        </w:rPr>
      </w:pPr>
      <w:r w:rsidRPr="00676880">
        <w:rPr>
          <w:rFonts w:ascii="Arial" w:hAnsi="Arial" w:cs="Arial"/>
          <w:sz w:val="19"/>
          <w:szCs w:val="19"/>
        </w:rPr>
        <w:t>»b) el primer ajuste por inflación, que surtirá efecto el 1 de enero de 1997, se calculará tomando como base el periodo del 1 de enero de 1995 al 31 de diciembre de 1996;</w:t>
      </w:r>
    </w:p>
    <w:p w14:paraId="06EB7AFE" w14:textId="77777777" w:rsidR="00E02C6F" w:rsidRPr="00676880" w:rsidRDefault="00E02C6F" w:rsidP="00676880">
      <w:pPr>
        <w:ind w:firstLine="720"/>
        <w:jc w:val="both"/>
        <w:rPr>
          <w:rFonts w:ascii="Arial" w:hAnsi="Arial" w:cs="Arial"/>
          <w:sz w:val="19"/>
          <w:szCs w:val="19"/>
        </w:rPr>
      </w:pPr>
      <w:r w:rsidRPr="00676880">
        <w:rPr>
          <w:rFonts w:ascii="Arial" w:hAnsi="Arial" w:cs="Arial"/>
          <w:sz w:val="19"/>
          <w:szCs w:val="19"/>
        </w:rPr>
        <w:t xml:space="preserve">»c) todos los ajustes subsecuentes se calcularán sobre periodos bienales, que comenzarán el 1º de noviembre, y surtirán efecto el 1º de enero del año siguiente inmediato; d) el ajuste inflacionario se estimará de acuerdo con la siguiente fórmula: T0 x (1+Ði)= T1; donde T0 : valor del umbral en el periodo base; Ði : tasa de inflación acumulada en Estados Unidos en el i-ésimo periodo bienal; y T1 : nuevo valor del umbral. </w:t>
      </w:r>
    </w:p>
    <w:p w14:paraId="12DA106F" w14:textId="77777777" w:rsidR="00E02C6F" w:rsidRPr="00676880" w:rsidRDefault="00E02C6F" w:rsidP="00676880">
      <w:pPr>
        <w:ind w:firstLine="720"/>
        <w:jc w:val="both"/>
        <w:rPr>
          <w:rFonts w:ascii="Arial" w:hAnsi="Arial" w:cs="Arial"/>
          <w:sz w:val="19"/>
          <w:szCs w:val="19"/>
        </w:rPr>
      </w:pPr>
      <w:r w:rsidRPr="00676880">
        <w:rPr>
          <w:rFonts w:ascii="Arial" w:hAnsi="Arial" w:cs="Arial"/>
          <w:sz w:val="19"/>
          <w:szCs w:val="19"/>
        </w:rPr>
        <w:t>»2. La tasa de cambio para la determinación del valor de los umbrales, para propósitos de este capítulo, será el valor vigente del peso colombiano, el peso mexicano y el bolivar venezolano en relación con el dólar estadounidense a partir de la fecha de publicación del aviso del contrato proyectado. Las Partes calcularán y convertirán el valor de los umbrales a sus propias monedas. Se entiende que esos cálculos se basarán en el tipo de cambio oficial, del Banco de México, del Banco Central de Venezuela y en la tasa representativa del mercado divulgada por la Superintendencia Bancaria de Colombia.»</w:t>
      </w:r>
    </w:p>
    <w:p w14:paraId="52B5219A" w14:textId="77777777" w:rsidR="00E02C6F" w:rsidRPr="00676880" w:rsidRDefault="00E02C6F" w:rsidP="00E02C6F">
      <w:pPr>
        <w:pStyle w:val="Textonotapie"/>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7E94" w14:textId="77777777" w:rsidR="00F555BF" w:rsidRDefault="00F555BF">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C655" w14:textId="77777777" w:rsidR="00F555BF" w:rsidRDefault="00B723F4">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7CFD6B34" wp14:editId="21069F28">
          <wp:simplePos x="0" y="0"/>
          <wp:positionH relativeFrom="column">
            <wp:posOffset>4382135</wp:posOffset>
          </wp:positionH>
          <wp:positionV relativeFrom="paragraph">
            <wp:posOffset>483225</wp:posOffset>
          </wp:positionV>
          <wp:extent cx="1257300" cy="51625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E419" w14:textId="77777777" w:rsidR="00F555BF" w:rsidRDefault="00F555BF">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A0F76"/>
    <w:multiLevelType w:val="multilevel"/>
    <w:tmpl w:val="88A816A6"/>
    <w:lvl w:ilvl="0">
      <w:numFmt w:val="bullet"/>
      <w:lvlText w:val="-"/>
      <w:lvlJc w:val="left"/>
      <w:pPr>
        <w:ind w:left="108" w:hanging="134"/>
      </w:pPr>
      <w:rPr>
        <w:rFonts w:ascii="Arial" w:eastAsia="Arial" w:hAnsi="Arial" w:cs="Arial"/>
        <w:color w:val="58595B"/>
        <w:sz w:val="20"/>
        <w:szCs w:val="20"/>
      </w:rPr>
    </w:lvl>
    <w:lvl w:ilvl="1">
      <w:numFmt w:val="bullet"/>
      <w:lvlText w:val="•"/>
      <w:lvlJc w:val="left"/>
      <w:pPr>
        <w:ind w:left="922" w:hanging="134"/>
      </w:pPr>
    </w:lvl>
    <w:lvl w:ilvl="2">
      <w:numFmt w:val="bullet"/>
      <w:lvlText w:val="•"/>
      <w:lvlJc w:val="left"/>
      <w:pPr>
        <w:ind w:left="1745" w:hanging="134"/>
      </w:pPr>
    </w:lvl>
    <w:lvl w:ilvl="3">
      <w:numFmt w:val="bullet"/>
      <w:lvlText w:val="•"/>
      <w:lvlJc w:val="left"/>
      <w:pPr>
        <w:ind w:left="2568" w:hanging="134"/>
      </w:pPr>
    </w:lvl>
    <w:lvl w:ilvl="4">
      <w:numFmt w:val="bullet"/>
      <w:lvlText w:val="•"/>
      <w:lvlJc w:val="left"/>
      <w:pPr>
        <w:ind w:left="3391" w:hanging="133"/>
      </w:pPr>
    </w:lvl>
    <w:lvl w:ilvl="5">
      <w:numFmt w:val="bullet"/>
      <w:lvlText w:val="•"/>
      <w:lvlJc w:val="left"/>
      <w:pPr>
        <w:ind w:left="4214" w:hanging="134"/>
      </w:pPr>
    </w:lvl>
    <w:lvl w:ilvl="6">
      <w:numFmt w:val="bullet"/>
      <w:lvlText w:val="•"/>
      <w:lvlJc w:val="left"/>
      <w:pPr>
        <w:ind w:left="5037" w:hanging="134"/>
      </w:pPr>
    </w:lvl>
    <w:lvl w:ilvl="7">
      <w:numFmt w:val="bullet"/>
      <w:lvlText w:val="•"/>
      <w:lvlJc w:val="left"/>
      <w:pPr>
        <w:ind w:left="5860" w:hanging="134"/>
      </w:pPr>
    </w:lvl>
    <w:lvl w:ilvl="8">
      <w:numFmt w:val="bullet"/>
      <w:lvlText w:val="•"/>
      <w:lvlJc w:val="left"/>
      <w:pPr>
        <w:ind w:left="6683" w:hanging="134"/>
      </w:pPr>
    </w:lvl>
  </w:abstractNum>
  <w:abstractNum w:abstractNumId="1" w15:restartNumberingAfterBreak="0">
    <w:nsid w:val="3F834304"/>
    <w:multiLevelType w:val="multilevel"/>
    <w:tmpl w:val="75FE098C"/>
    <w:lvl w:ilvl="0">
      <w:numFmt w:val="bullet"/>
      <w:lvlText w:val="-"/>
      <w:lvlJc w:val="left"/>
      <w:pPr>
        <w:ind w:left="108" w:hanging="116"/>
      </w:pPr>
      <w:rPr>
        <w:rFonts w:ascii="Arial" w:eastAsia="Arial" w:hAnsi="Arial" w:cs="Arial"/>
        <w:color w:val="58595B"/>
        <w:sz w:val="20"/>
        <w:szCs w:val="20"/>
      </w:rPr>
    </w:lvl>
    <w:lvl w:ilvl="1">
      <w:numFmt w:val="bullet"/>
      <w:lvlText w:val="•"/>
      <w:lvlJc w:val="left"/>
      <w:pPr>
        <w:ind w:left="922" w:hanging="117"/>
      </w:pPr>
    </w:lvl>
    <w:lvl w:ilvl="2">
      <w:numFmt w:val="bullet"/>
      <w:lvlText w:val="•"/>
      <w:lvlJc w:val="left"/>
      <w:pPr>
        <w:ind w:left="1745" w:hanging="117"/>
      </w:pPr>
    </w:lvl>
    <w:lvl w:ilvl="3">
      <w:numFmt w:val="bullet"/>
      <w:lvlText w:val="•"/>
      <w:lvlJc w:val="left"/>
      <w:pPr>
        <w:ind w:left="2568" w:hanging="117"/>
      </w:pPr>
    </w:lvl>
    <w:lvl w:ilvl="4">
      <w:numFmt w:val="bullet"/>
      <w:lvlText w:val="•"/>
      <w:lvlJc w:val="left"/>
      <w:pPr>
        <w:ind w:left="3391" w:hanging="116"/>
      </w:pPr>
    </w:lvl>
    <w:lvl w:ilvl="5">
      <w:numFmt w:val="bullet"/>
      <w:lvlText w:val="•"/>
      <w:lvlJc w:val="left"/>
      <w:pPr>
        <w:ind w:left="4214" w:hanging="117"/>
      </w:pPr>
    </w:lvl>
    <w:lvl w:ilvl="6">
      <w:numFmt w:val="bullet"/>
      <w:lvlText w:val="•"/>
      <w:lvlJc w:val="left"/>
      <w:pPr>
        <w:ind w:left="5037" w:hanging="117"/>
      </w:pPr>
    </w:lvl>
    <w:lvl w:ilvl="7">
      <w:numFmt w:val="bullet"/>
      <w:lvlText w:val="•"/>
      <w:lvlJc w:val="left"/>
      <w:pPr>
        <w:ind w:left="5860" w:hanging="117"/>
      </w:pPr>
    </w:lvl>
    <w:lvl w:ilvl="8">
      <w:numFmt w:val="bullet"/>
      <w:lvlText w:val="•"/>
      <w:lvlJc w:val="left"/>
      <w:pPr>
        <w:ind w:left="6683" w:hanging="117"/>
      </w:pPr>
    </w:lvl>
  </w:abstractNum>
  <w:abstractNum w:abstractNumId="2" w15:restartNumberingAfterBreak="0">
    <w:nsid w:val="45017B10"/>
    <w:multiLevelType w:val="multilevel"/>
    <w:tmpl w:val="F3DA9768"/>
    <w:lvl w:ilvl="0">
      <w:numFmt w:val="bullet"/>
      <w:lvlText w:val="-"/>
      <w:lvlJc w:val="left"/>
      <w:pPr>
        <w:ind w:left="241" w:hanging="134"/>
      </w:pPr>
      <w:rPr>
        <w:rFonts w:ascii="Arial" w:eastAsia="Arial" w:hAnsi="Arial" w:cs="Arial"/>
        <w:color w:val="58595B"/>
        <w:sz w:val="20"/>
        <w:szCs w:val="20"/>
      </w:rPr>
    </w:lvl>
    <w:lvl w:ilvl="1">
      <w:numFmt w:val="bullet"/>
      <w:lvlText w:val="•"/>
      <w:lvlJc w:val="left"/>
      <w:pPr>
        <w:ind w:left="1048" w:hanging="134"/>
      </w:pPr>
    </w:lvl>
    <w:lvl w:ilvl="2">
      <w:numFmt w:val="bullet"/>
      <w:lvlText w:val="•"/>
      <w:lvlJc w:val="left"/>
      <w:pPr>
        <w:ind w:left="1857" w:hanging="134"/>
      </w:pPr>
    </w:lvl>
    <w:lvl w:ilvl="3">
      <w:numFmt w:val="bullet"/>
      <w:lvlText w:val="•"/>
      <w:lvlJc w:val="left"/>
      <w:pPr>
        <w:ind w:left="2666" w:hanging="134"/>
      </w:pPr>
    </w:lvl>
    <w:lvl w:ilvl="4">
      <w:numFmt w:val="bullet"/>
      <w:lvlText w:val="•"/>
      <w:lvlJc w:val="left"/>
      <w:pPr>
        <w:ind w:left="3475" w:hanging="134"/>
      </w:pPr>
    </w:lvl>
    <w:lvl w:ilvl="5">
      <w:numFmt w:val="bullet"/>
      <w:lvlText w:val="•"/>
      <w:lvlJc w:val="left"/>
      <w:pPr>
        <w:ind w:left="4284" w:hanging="134"/>
      </w:pPr>
    </w:lvl>
    <w:lvl w:ilvl="6">
      <w:numFmt w:val="bullet"/>
      <w:lvlText w:val="•"/>
      <w:lvlJc w:val="left"/>
      <w:pPr>
        <w:ind w:left="5093" w:hanging="134"/>
      </w:pPr>
    </w:lvl>
    <w:lvl w:ilvl="7">
      <w:numFmt w:val="bullet"/>
      <w:lvlText w:val="•"/>
      <w:lvlJc w:val="left"/>
      <w:pPr>
        <w:ind w:left="5902" w:hanging="133"/>
      </w:pPr>
    </w:lvl>
    <w:lvl w:ilvl="8">
      <w:numFmt w:val="bullet"/>
      <w:lvlText w:val="•"/>
      <w:lvlJc w:val="left"/>
      <w:pPr>
        <w:ind w:left="6711" w:hanging="134"/>
      </w:pPr>
    </w:lvl>
  </w:abstractNum>
  <w:abstractNum w:abstractNumId="3" w15:restartNumberingAfterBreak="0">
    <w:nsid w:val="54F452CB"/>
    <w:multiLevelType w:val="multilevel"/>
    <w:tmpl w:val="FB30E75A"/>
    <w:lvl w:ilvl="0">
      <w:start w:val="1"/>
      <w:numFmt w:val="decimal"/>
      <w:lvlText w:val="%1."/>
      <w:lvlJc w:val="left"/>
      <w:pPr>
        <w:ind w:left="6601" w:hanging="360"/>
      </w:pPr>
      <w:rPr>
        <w:b/>
        <w:color w:val="000000"/>
      </w:rPr>
    </w:lvl>
    <w:lvl w:ilvl="1">
      <w:start w:val="2"/>
      <w:numFmt w:val="decimal"/>
      <w:lvlText w:val="%1.%2"/>
      <w:lvlJc w:val="left"/>
      <w:pPr>
        <w:ind w:left="6241" w:hanging="360"/>
      </w:pPr>
    </w:lvl>
    <w:lvl w:ilvl="2">
      <w:start w:val="1"/>
      <w:numFmt w:val="decimal"/>
      <w:lvlText w:val="%1.%2.%3"/>
      <w:lvlJc w:val="left"/>
      <w:pPr>
        <w:ind w:left="6961" w:hanging="720"/>
      </w:pPr>
    </w:lvl>
    <w:lvl w:ilvl="3">
      <w:start w:val="1"/>
      <w:numFmt w:val="decimal"/>
      <w:lvlText w:val="%1.%2.%3.%4"/>
      <w:lvlJc w:val="left"/>
      <w:pPr>
        <w:ind w:left="6961" w:hanging="720"/>
      </w:pPr>
    </w:lvl>
    <w:lvl w:ilvl="4">
      <w:start w:val="1"/>
      <w:numFmt w:val="decimal"/>
      <w:lvlText w:val="%1.%2.%3.%4.%5"/>
      <w:lvlJc w:val="left"/>
      <w:pPr>
        <w:ind w:left="7321" w:hanging="1080"/>
      </w:pPr>
    </w:lvl>
    <w:lvl w:ilvl="5">
      <w:start w:val="1"/>
      <w:numFmt w:val="decimal"/>
      <w:lvlText w:val="%1.%2.%3.%4.%5.%6"/>
      <w:lvlJc w:val="left"/>
      <w:pPr>
        <w:ind w:left="7321" w:hanging="1080"/>
      </w:pPr>
    </w:lvl>
    <w:lvl w:ilvl="6">
      <w:start w:val="1"/>
      <w:numFmt w:val="decimal"/>
      <w:lvlText w:val="%1.%2.%3.%4.%5.%6.%7"/>
      <w:lvlJc w:val="left"/>
      <w:pPr>
        <w:ind w:left="7681" w:hanging="1440"/>
      </w:pPr>
    </w:lvl>
    <w:lvl w:ilvl="7">
      <w:start w:val="1"/>
      <w:numFmt w:val="decimal"/>
      <w:lvlText w:val="%1.%2.%3.%4.%5.%6.%7.%8"/>
      <w:lvlJc w:val="left"/>
      <w:pPr>
        <w:ind w:left="7681" w:hanging="1440"/>
      </w:pPr>
    </w:lvl>
    <w:lvl w:ilvl="8">
      <w:start w:val="1"/>
      <w:numFmt w:val="decimal"/>
      <w:lvlText w:val="%1.%2.%3.%4.%5.%6.%7.%8.%9"/>
      <w:lvlJc w:val="left"/>
      <w:pPr>
        <w:ind w:left="8041" w:hanging="1800"/>
      </w:pPr>
    </w:lvl>
  </w:abstractNum>
  <w:abstractNum w:abstractNumId="4" w15:restartNumberingAfterBreak="0">
    <w:nsid w:val="783C6103"/>
    <w:multiLevelType w:val="multilevel"/>
    <w:tmpl w:val="D9F673F6"/>
    <w:lvl w:ilvl="0">
      <w:numFmt w:val="bullet"/>
      <w:lvlText w:val="-"/>
      <w:lvlJc w:val="left"/>
      <w:pPr>
        <w:ind w:left="108" w:hanging="151"/>
      </w:pPr>
      <w:rPr>
        <w:rFonts w:ascii="Arial" w:eastAsia="Arial" w:hAnsi="Arial" w:cs="Arial"/>
        <w:color w:val="58595B"/>
        <w:sz w:val="20"/>
        <w:szCs w:val="20"/>
      </w:rPr>
    </w:lvl>
    <w:lvl w:ilvl="1">
      <w:numFmt w:val="bullet"/>
      <w:lvlText w:val="•"/>
      <w:lvlJc w:val="left"/>
      <w:pPr>
        <w:ind w:left="922" w:hanging="150"/>
      </w:pPr>
    </w:lvl>
    <w:lvl w:ilvl="2">
      <w:numFmt w:val="bullet"/>
      <w:lvlText w:val="•"/>
      <w:lvlJc w:val="left"/>
      <w:pPr>
        <w:ind w:left="1745" w:hanging="151"/>
      </w:pPr>
    </w:lvl>
    <w:lvl w:ilvl="3">
      <w:numFmt w:val="bullet"/>
      <w:lvlText w:val="•"/>
      <w:lvlJc w:val="left"/>
      <w:pPr>
        <w:ind w:left="2568" w:hanging="151"/>
      </w:pPr>
    </w:lvl>
    <w:lvl w:ilvl="4">
      <w:numFmt w:val="bullet"/>
      <w:lvlText w:val="•"/>
      <w:lvlJc w:val="left"/>
      <w:pPr>
        <w:ind w:left="3391" w:hanging="151"/>
      </w:pPr>
    </w:lvl>
    <w:lvl w:ilvl="5">
      <w:numFmt w:val="bullet"/>
      <w:lvlText w:val="•"/>
      <w:lvlJc w:val="left"/>
      <w:pPr>
        <w:ind w:left="4214" w:hanging="151"/>
      </w:pPr>
    </w:lvl>
    <w:lvl w:ilvl="6">
      <w:numFmt w:val="bullet"/>
      <w:lvlText w:val="•"/>
      <w:lvlJc w:val="left"/>
      <w:pPr>
        <w:ind w:left="5037" w:hanging="151"/>
      </w:pPr>
    </w:lvl>
    <w:lvl w:ilvl="7">
      <w:numFmt w:val="bullet"/>
      <w:lvlText w:val="•"/>
      <w:lvlJc w:val="left"/>
      <w:pPr>
        <w:ind w:left="5860" w:hanging="151"/>
      </w:pPr>
    </w:lvl>
    <w:lvl w:ilvl="8">
      <w:numFmt w:val="bullet"/>
      <w:lvlText w:val="•"/>
      <w:lvlJc w:val="left"/>
      <w:pPr>
        <w:ind w:left="6683" w:hanging="151"/>
      </w:pPr>
    </w:lvl>
  </w:abstractNum>
  <w:num w:numId="1" w16cid:durableId="1869248677">
    <w:abstractNumId w:val="1"/>
  </w:num>
  <w:num w:numId="2" w16cid:durableId="766312605">
    <w:abstractNumId w:val="4"/>
  </w:num>
  <w:num w:numId="3" w16cid:durableId="120614963">
    <w:abstractNumId w:val="2"/>
  </w:num>
  <w:num w:numId="4" w16cid:durableId="743065984">
    <w:abstractNumId w:val="0"/>
  </w:num>
  <w:num w:numId="5" w16cid:durableId="1280337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5BF"/>
    <w:rsid w:val="000033A3"/>
    <w:rsid w:val="00042B6E"/>
    <w:rsid w:val="000547E2"/>
    <w:rsid w:val="00082132"/>
    <w:rsid w:val="00096F2E"/>
    <w:rsid w:val="000A0134"/>
    <w:rsid w:val="000D5224"/>
    <w:rsid w:val="000E6560"/>
    <w:rsid w:val="000E701D"/>
    <w:rsid w:val="000F60D1"/>
    <w:rsid w:val="0011359C"/>
    <w:rsid w:val="00114BE5"/>
    <w:rsid w:val="001243AB"/>
    <w:rsid w:val="0012478A"/>
    <w:rsid w:val="001605C3"/>
    <w:rsid w:val="00176557"/>
    <w:rsid w:val="001B5990"/>
    <w:rsid w:val="001D47C1"/>
    <w:rsid w:val="001E3208"/>
    <w:rsid w:val="001F1340"/>
    <w:rsid w:val="00233FE4"/>
    <w:rsid w:val="002471AE"/>
    <w:rsid w:val="00252CFF"/>
    <w:rsid w:val="00277811"/>
    <w:rsid w:val="00290ABA"/>
    <w:rsid w:val="002B0A5B"/>
    <w:rsid w:val="002B3F34"/>
    <w:rsid w:val="002C44FD"/>
    <w:rsid w:val="002E3AAA"/>
    <w:rsid w:val="002F213F"/>
    <w:rsid w:val="00307B6F"/>
    <w:rsid w:val="00310C68"/>
    <w:rsid w:val="0036180E"/>
    <w:rsid w:val="003624EB"/>
    <w:rsid w:val="00371A66"/>
    <w:rsid w:val="00383CA9"/>
    <w:rsid w:val="00397EA6"/>
    <w:rsid w:val="003A4E2A"/>
    <w:rsid w:val="003E684B"/>
    <w:rsid w:val="00411D19"/>
    <w:rsid w:val="00414808"/>
    <w:rsid w:val="00437234"/>
    <w:rsid w:val="00465B77"/>
    <w:rsid w:val="00474267"/>
    <w:rsid w:val="00496B5A"/>
    <w:rsid w:val="00497FC7"/>
    <w:rsid w:val="004B6D4E"/>
    <w:rsid w:val="004C1B86"/>
    <w:rsid w:val="004D21EC"/>
    <w:rsid w:val="00504C82"/>
    <w:rsid w:val="00504CB1"/>
    <w:rsid w:val="005554AA"/>
    <w:rsid w:val="0058309F"/>
    <w:rsid w:val="005941EE"/>
    <w:rsid w:val="00597EC8"/>
    <w:rsid w:val="005A27A4"/>
    <w:rsid w:val="005A4E3B"/>
    <w:rsid w:val="005D09E3"/>
    <w:rsid w:val="005D4555"/>
    <w:rsid w:val="005F06DF"/>
    <w:rsid w:val="00644B35"/>
    <w:rsid w:val="00676880"/>
    <w:rsid w:val="00697062"/>
    <w:rsid w:val="006C1041"/>
    <w:rsid w:val="006C2E5A"/>
    <w:rsid w:val="006E1AA7"/>
    <w:rsid w:val="006E754F"/>
    <w:rsid w:val="006F6829"/>
    <w:rsid w:val="006F6975"/>
    <w:rsid w:val="0072042A"/>
    <w:rsid w:val="007206E9"/>
    <w:rsid w:val="00725A21"/>
    <w:rsid w:val="00751BB6"/>
    <w:rsid w:val="007543A1"/>
    <w:rsid w:val="00764DFD"/>
    <w:rsid w:val="007B7094"/>
    <w:rsid w:val="007C6C46"/>
    <w:rsid w:val="007E365F"/>
    <w:rsid w:val="007E4116"/>
    <w:rsid w:val="00847747"/>
    <w:rsid w:val="008A67BD"/>
    <w:rsid w:val="008B7D88"/>
    <w:rsid w:val="008D2122"/>
    <w:rsid w:val="008D714C"/>
    <w:rsid w:val="0091232D"/>
    <w:rsid w:val="009139EA"/>
    <w:rsid w:val="00943749"/>
    <w:rsid w:val="009600D7"/>
    <w:rsid w:val="009914FE"/>
    <w:rsid w:val="00992528"/>
    <w:rsid w:val="009925B8"/>
    <w:rsid w:val="00996850"/>
    <w:rsid w:val="009E7F53"/>
    <w:rsid w:val="00A65266"/>
    <w:rsid w:val="00A81CF5"/>
    <w:rsid w:val="00AB6942"/>
    <w:rsid w:val="00AB7004"/>
    <w:rsid w:val="00AC7F44"/>
    <w:rsid w:val="00AF0F37"/>
    <w:rsid w:val="00B2041F"/>
    <w:rsid w:val="00B22830"/>
    <w:rsid w:val="00B35B08"/>
    <w:rsid w:val="00B571DB"/>
    <w:rsid w:val="00B57300"/>
    <w:rsid w:val="00B723F4"/>
    <w:rsid w:val="00B75ABE"/>
    <w:rsid w:val="00BC20DA"/>
    <w:rsid w:val="00BD4C25"/>
    <w:rsid w:val="00BE2C77"/>
    <w:rsid w:val="00BF5F39"/>
    <w:rsid w:val="00C648BD"/>
    <w:rsid w:val="00CF5EDE"/>
    <w:rsid w:val="00D00264"/>
    <w:rsid w:val="00D170DC"/>
    <w:rsid w:val="00D452DB"/>
    <w:rsid w:val="00D713E2"/>
    <w:rsid w:val="00D810CD"/>
    <w:rsid w:val="00DE4B63"/>
    <w:rsid w:val="00DE61AC"/>
    <w:rsid w:val="00E02C6F"/>
    <w:rsid w:val="00E0581D"/>
    <w:rsid w:val="00E11CC2"/>
    <w:rsid w:val="00E2307B"/>
    <w:rsid w:val="00E37DD5"/>
    <w:rsid w:val="00E40EAE"/>
    <w:rsid w:val="00E922A0"/>
    <w:rsid w:val="00EC4C81"/>
    <w:rsid w:val="00ED60DF"/>
    <w:rsid w:val="00ED6EEA"/>
    <w:rsid w:val="00EE312D"/>
    <w:rsid w:val="00EF4CB2"/>
    <w:rsid w:val="00EF7DF3"/>
    <w:rsid w:val="00F07460"/>
    <w:rsid w:val="00F350B0"/>
    <w:rsid w:val="00F43DA6"/>
    <w:rsid w:val="00F555BF"/>
    <w:rsid w:val="00F562AD"/>
    <w:rsid w:val="00F76790"/>
    <w:rsid w:val="00F80CBD"/>
    <w:rsid w:val="00F94B7F"/>
    <w:rsid w:val="00FB4E2C"/>
    <w:rsid w:val="00FE5B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C800F"/>
  <w15:docId w15:val="{00BD2DAD-AA29-4A95-B980-55D015D0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widowControl w:val="0"/>
    </w:pPr>
    <w:tblPr>
      <w:tblStyleRowBandSize w:val="1"/>
      <w:tblStyleColBandSize w:val="1"/>
    </w:tblPr>
  </w:style>
  <w:style w:type="table" w:customStyle="1" w:styleId="a1">
    <w:basedOn w:val="TableNormal"/>
    <w:tblPr>
      <w:tblStyleRowBandSize w:val="1"/>
      <w:tblStyleColBandSize w:val="1"/>
      <w:tblCellMar>
        <w:left w:w="108" w:type="dxa"/>
        <w:right w:w="108" w:type="dxa"/>
      </w:tblCellMar>
    </w:tbl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290ABA"/>
    <w:rPr>
      <w:sz w:val="20"/>
      <w:szCs w:val="20"/>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rsid w:val="00290ABA"/>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uiPriority w:val="99"/>
    <w:unhideWhenUsed/>
    <w:qFormat/>
    <w:rsid w:val="00290ABA"/>
    <w:rPr>
      <w:vertAlign w:val="superscript"/>
    </w:rPr>
  </w:style>
  <w:style w:type="character" w:styleId="Hipervnculo">
    <w:name w:val="Hyperlink"/>
    <w:basedOn w:val="Fuentedeprrafopredeter"/>
    <w:uiPriority w:val="99"/>
    <w:unhideWhenUsed/>
    <w:rsid w:val="00BD4C25"/>
    <w:rPr>
      <w:color w:val="0000FF" w:themeColor="hyperlink"/>
      <w:u w:val="single"/>
    </w:rPr>
  </w:style>
  <w:style w:type="character" w:styleId="Mencinsinresolver">
    <w:name w:val="Unresolved Mention"/>
    <w:basedOn w:val="Fuentedeprrafopredeter"/>
    <w:uiPriority w:val="99"/>
    <w:semiHidden/>
    <w:unhideWhenUsed/>
    <w:rsid w:val="00BD4C25"/>
    <w:rPr>
      <w:color w:val="605E5C"/>
      <w:shd w:val="clear" w:color="auto" w:fill="E1DFDD"/>
    </w:rPr>
  </w:style>
  <w:style w:type="paragraph" w:customStyle="1" w:styleId="Default">
    <w:name w:val="Default"/>
    <w:rsid w:val="00E922A0"/>
    <w:pPr>
      <w:autoSpaceDE w:val="0"/>
      <w:autoSpaceDN w:val="0"/>
      <w:adjustRightInd w:val="0"/>
    </w:pPr>
    <w:rPr>
      <w:rFonts w:ascii="Work Sans" w:hAnsi="Work Sans" w:cs="Work Sans"/>
      <w:color w:val="000000"/>
    </w:rPr>
  </w:style>
  <w:style w:type="paragraph" w:styleId="Encabezado">
    <w:name w:val="header"/>
    <w:basedOn w:val="Normal"/>
    <w:link w:val="EncabezadoCar"/>
    <w:uiPriority w:val="99"/>
    <w:semiHidden/>
    <w:unhideWhenUsed/>
    <w:rsid w:val="00AB7004"/>
    <w:pPr>
      <w:tabs>
        <w:tab w:val="center" w:pos="4419"/>
        <w:tab w:val="right" w:pos="8838"/>
      </w:tabs>
    </w:pPr>
  </w:style>
  <w:style w:type="character" w:customStyle="1" w:styleId="EncabezadoCar">
    <w:name w:val="Encabezado Car"/>
    <w:basedOn w:val="Fuentedeprrafopredeter"/>
    <w:link w:val="Encabezado"/>
    <w:uiPriority w:val="99"/>
    <w:semiHidden/>
    <w:rsid w:val="00AB7004"/>
  </w:style>
  <w:style w:type="paragraph" w:styleId="Piedepgina">
    <w:name w:val="footer"/>
    <w:basedOn w:val="Normal"/>
    <w:link w:val="PiedepginaCar"/>
    <w:uiPriority w:val="99"/>
    <w:semiHidden/>
    <w:unhideWhenUsed/>
    <w:rsid w:val="00AB7004"/>
    <w:pPr>
      <w:tabs>
        <w:tab w:val="center" w:pos="4419"/>
        <w:tab w:val="right" w:pos="8838"/>
      </w:tabs>
    </w:pPr>
  </w:style>
  <w:style w:type="character" w:customStyle="1" w:styleId="PiedepginaCar">
    <w:name w:val="Pie de página Car"/>
    <w:basedOn w:val="Fuentedeprrafopredeter"/>
    <w:link w:val="Piedepgina"/>
    <w:uiPriority w:val="99"/>
    <w:semiHidden/>
    <w:rsid w:val="00AB7004"/>
  </w:style>
  <w:style w:type="paragraph" w:styleId="Textoindependiente">
    <w:name w:val="Body Text"/>
    <w:basedOn w:val="Normal"/>
    <w:link w:val="TextoindependienteCar"/>
    <w:uiPriority w:val="99"/>
    <w:unhideWhenUsed/>
    <w:rsid w:val="00E02C6F"/>
    <w:pPr>
      <w:spacing w:after="120" w:line="276" w:lineRule="auto"/>
    </w:pPr>
    <w:rPr>
      <w:rFonts w:eastAsiaTheme="minorEastAsia"/>
      <w:sz w:val="22"/>
    </w:rPr>
  </w:style>
  <w:style w:type="character" w:customStyle="1" w:styleId="TextoindependienteCar">
    <w:name w:val="Texto independiente Car"/>
    <w:basedOn w:val="Fuentedeprrafopredeter"/>
    <w:link w:val="Textoindependiente"/>
    <w:uiPriority w:val="99"/>
    <w:rsid w:val="00E02C6F"/>
    <w:rPr>
      <w:rFonts w:eastAsiaTheme="minorEastAsia"/>
      <w:sz w:val="22"/>
    </w:rPr>
  </w:style>
  <w:style w:type="character" w:styleId="Refdecomentario">
    <w:name w:val="annotation reference"/>
    <w:basedOn w:val="Fuentedeprrafopredeter"/>
    <w:uiPriority w:val="99"/>
    <w:semiHidden/>
    <w:unhideWhenUsed/>
    <w:rsid w:val="00676880"/>
    <w:rPr>
      <w:sz w:val="16"/>
      <w:szCs w:val="16"/>
    </w:rPr>
  </w:style>
  <w:style w:type="paragraph" w:styleId="Textocomentario">
    <w:name w:val="annotation text"/>
    <w:basedOn w:val="Normal"/>
    <w:link w:val="TextocomentarioCar"/>
    <w:uiPriority w:val="99"/>
    <w:semiHidden/>
    <w:unhideWhenUsed/>
    <w:rsid w:val="00676880"/>
    <w:rPr>
      <w:sz w:val="20"/>
      <w:szCs w:val="20"/>
    </w:rPr>
  </w:style>
  <w:style w:type="character" w:customStyle="1" w:styleId="TextocomentarioCar">
    <w:name w:val="Texto comentario Car"/>
    <w:basedOn w:val="Fuentedeprrafopredeter"/>
    <w:link w:val="Textocomentario"/>
    <w:uiPriority w:val="99"/>
    <w:semiHidden/>
    <w:rsid w:val="00676880"/>
    <w:rPr>
      <w:sz w:val="20"/>
      <w:szCs w:val="20"/>
    </w:rPr>
  </w:style>
  <w:style w:type="paragraph" w:styleId="Asuntodelcomentario">
    <w:name w:val="annotation subject"/>
    <w:basedOn w:val="Textocomentario"/>
    <w:next w:val="Textocomentario"/>
    <w:link w:val="AsuntodelcomentarioCar"/>
    <w:uiPriority w:val="99"/>
    <w:semiHidden/>
    <w:unhideWhenUsed/>
    <w:rsid w:val="00676880"/>
    <w:rPr>
      <w:b/>
      <w:bCs/>
    </w:rPr>
  </w:style>
  <w:style w:type="character" w:customStyle="1" w:styleId="AsuntodelcomentarioCar">
    <w:name w:val="Asunto del comentario Car"/>
    <w:basedOn w:val="TextocomentarioCar"/>
    <w:link w:val="Asuntodelcomentario"/>
    <w:uiPriority w:val="99"/>
    <w:semiHidden/>
    <w:rsid w:val="006768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olombiacompra.gov.co/sites/cce_public/files/files_2020/umbrales_tratados_comerciales_-_2022_-_2023.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FD7C3-163A-40D0-AD85-72227D40C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975FA9-9076-4A18-AC40-B77CF8EA2CC5}">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DB2187C1-C63F-421A-96BB-C7FCD474E765}">
  <ds:schemaRefs>
    <ds:schemaRef ds:uri="http://schemas.microsoft.com/sharepoint/v3/contenttype/forms"/>
  </ds:schemaRefs>
</ds:datastoreItem>
</file>

<file path=customXml/itemProps4.xml><?xml version="1.0" encoding="utf-8"?>
<ds:datastoreItem xmlns:ds="http://schemas.openxmlformats.org/officeDocument/2006/customXml" ds:itemID="{BD9C18AA-9209-4F2A-8C6E-961C2CFF0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3247</Words>
  <Characters>17860</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murcia</dc:creator>
  <cp:lastModifiedBy>MARIA CLAUDIA DE LA OSSA BOBADILLA</cp:lastModifiedBy>
  <cp:revision>2</cp:revision>
  <dcterms:created xsi:type="dcterms:W3CDTF">2022-07-25T21:14:00Z</dcterms:created>
  <dcterms:modified xsi:type="dcterms:W3CDTF">2022-07-25T21:14:00Z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