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8472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8472A">
        <w:rPr>
          <w:rFonts w:ascii="Arial" w:hAnsi="Arial" w:cs="Arial"/>
          <w:bCs/>
          <w:color w:val="000000" w:themeColor="text1"/>
          <w:sz w:val="16"/>
          <w:szCs w:val="16"/>
          <w:lang w:val="es-ES_tradnl" w:eastAsia="es-ES"/>
        </w:rPr>
        <w:t>CCE-DES-FM-17</w:t>
      </w:r>
      <w:bookmarkEnd w:id="0"/>
      <w:bookmarkEnd w:id="1"/>
    </w:p>
    <w:p w14:paraId="55FBD910" w14:textId="77777777" w:rsidR="008536BB" w:rsidRPr="0088472A" w:rsidRDefault="008536BB" w:rsidP="00B95C30">
      <w:pPr>
        <w:spacing w:line="276" w:lineRule="auto"/>
        <w:jc w:val="both"/>
        <w:rPr>
          <w:rFonts w:ascii="Arial" w:hAnsi="Arial" w:cs="Arial"/>
          <w:noProof/>
          <w:color w:val="000000" w:themeColor="text1"/>
          <w:sz w:val="22"/>
          <w:lang w:val="es-ES_tradnl"/>
        </w:rPr>
      </w:pPr>
    </w:p>
    <w:p w14:paraId="171F3E4F" w14:textId="77777777" w:rsidR="001672FC" w:rsidRPr="0088472A" w:rsidRDefault="001672FC"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 xml:space="preserve">INHABILIDADES E INCOMPATIBILIDADES ― Límites a la capacidad ― Régimen </w:t>
      </w:r>
    </w:p>
    <w:p w14:paraId="24A6174C" w14:textId="77777777" w:rsidR="001672FC" w:rsidRPr="0088472A" w:rsidRDefault="001672FC" w:rsidP="00757250">
      <w:pPr>
        <w:jc w:val="both"/>
        <w:rPr>
          <w:rFonts w:ascii="Arial" w:eastAsia="Calibri" w:hAnsi="Arial" w:cs="Arial"/>
          <w:b/>
          <w:bCs/>
          <w:color w:val="000000" w:themeColor="text1"/>
          <w:sz w:val="20"/>
          <w:szCs w:val="20"/>
          <w:lang w:val="es-ES_tradnl"/>
        </w:rPr>
      </w:pPr>
    </w:p>
    <w:p w14:paraId="12D873BD" w14:textId="77777777" w:rsidR="001672FC" w:rsidRPr="0088472A" w:rsidRDefault="001672FC"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 xml:space="preserve">En la contratación estatal, la </w:t>
      </w:r>
      <w:r w:rsidRPr="0088472A">
        <w:rPr>
          <w:rFonts w:ascii="Arial" w:eastAsia="Calibri" w:hAnsi="Arial" w:cs="Arial"/>
          <w:i/>
          <w:iCs/>
          <w:color w:val="000000" w:themeColor="text1"/>
          <w:sz w:val="20"/>
          <w:szCs w:val="20"/>
          <w:lang w:val="es-ES_tradnl"/>
        </w:rPr>
        <w:t>capacidad</w:t>
      </w:r>
      <w:r w:rsidRPr="0088472A">
        <w:rPr>
          <w:rFonts w:ascii="Arial" w:eastAsia="Calibri" w:hAnsi="Arial" w:cs="Arial"/>
          <w:color w:val="000000" w:themeColor="text1"/>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w14:paraId="14DCC4D2" w14:textId="77777777" w:rsidR="001672FC" w:rsidRPr="0088472A" w:rsidRDefault="001672FC" w:rsidP="00757250">
      <w:pPr>
        <w:jc w:val="both"/>
        <w:rPr>
          <w:rFonts w:ascii="Arial" w:eastAsia="Calibri" w:hAnsi="Arial" w:cs="Arial"/>
          <w:color w:val="000000" w:themeColor="text1"/>
          <w:sz w:val="20"/>
          <w:szCs w:val="20"/>
          <w:lang w:val="es-ES_tradnl"/>
        </w:rPr>
      </w:pPr>
    </w:p>
    <w:p w14:paraId="747777BD" w14:textId="77777777" w:rsidR="001672FC" w:rsidRPr="0088472A" w:rsidRDefault="001672FC"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 xml:space="preserve">INHABILIDADES E INCOMPATIBILIDADES ― Concepto ― Diferencias </w:t>
      </w:r>
    </w:p>
    <w:p w14:paraId="26398A7E" w14:textId="77777777" w:rsidR="001672FC" w:rsidRPr="0088472A" w:rsidRDefault="001672FC" w:rsidP="00757250">
      <w:pPr>
        <w:jc w:val="both"/>
        <w:rPr>
          <w:rFonts w:ascii="Arial" w:eastAsia="Calibri" w:hAnsi="Arial" w:cs="Arial"/>
          <w:color w:val="000000" w:themeColor="text1"/>
          <w:sz w:val="20"/>
          <w:szCs w:val="20"/>
          <w:lang w:val="es-ES_tradnl"/>
        </w:rPr>
      </w:pPr>
    </w:p>
    <w:p w14:paraId="0882CEEE" w14:textId="77777777" w:rsidR="001672FC" w:rsidRPr="0088472A" w:rsidRDefault="001672FC"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88472A">
        <w:rPr>
          <w:rFonts w:ascii="Arial" w:eastAsia="Calibri" w:hAnsi="Arial" w:cs="Arial"/>
          <w:color w:val="000000" w:themeColor="text1"/>
          <w:sz w:val="20"/>
          <w:szCs w:val="20"/>
          <w:lang w:val="es-ES_tradnl"/>
        </w:rPr>
        <w:t>ii</w:t>
      </w:r>
      <w:proofErr w:type="spellEnd"/>
      <w:r w:rsidRPr="0088472A">
        <w:rPr>
          <w:rFonts w:ascii="Arial" w:eastAsia="Calibri" w:hAnsi="Arial" w:cs="Arial"/>
          <w:color w:val="000000" w:themeColor="text1"/>
          <w:sz w:val="20"/>
          <w:szCs w:val="20"/>
          <w:lang w:val="es-ES_tradnl"/>
        </w:rPr>
        <w:t xml:space="preserve">) de vínculos personales relativos al parentesco o al estado civil o </w:t>
      </w:r>
      <w:proofErr w:type="spellStart"/>
      <w:r w:rsidRPr="0088472A">
        <w:rPr>
          <w:rFonts w:ascii="Arial" w:eastAsia="Calibri" w:hAnsi="Arial" w:cs="Arial"/>
          <w:color w:val="000000" w:themeColor="text1"/>
          <w:sz w:val="20"/>
          <w:szCs w:val="20"/>
          <w:lang w:val="es-ES_tradnl"/>
        </w:rPr>
        <w:t>iii</w:t>
      </w:r>
      <w:proofErr w:type="spellEnd"/>
      <w:r w:rsidRPr="0088472A">
        <w:rPr>
          <w:rFonts w:ascii="Arial" w:eastAsia="Calibri" w:hAnsi="Arial" w:cs="Arial"/>
          <w:color w:val="000000" w:themeColor="text1"/>
          <w:sz w:val="20"/>
          <w:szCs w:val="20"/>
          <w:lang w:val="es-ES_tradnl"/>
        </w:rPr>
        <w:t xml:space="preserve">)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1D493B0F" w14:textId="77777777" w:rsidR="001672FC" w:rsidRPr="0088472A" w:rsidRDefault="001672FC" w:rsidP="00757250">
      <w:pPr>
        <w:jc w:val="both"/>
        <w:rPr>
          <w:rFonts w:ascii="Arial" w:eastAsia="Calibri" w:hAnsi="Arial" w:cs="Arial"/>
          <w:color w:val="000000" w:themeColor="text1"/>
          <w:sz w:val="20"/>
          <w:szCs w:val="20"/>
          <w:lang w:val="es-ES_tradnl"/>
        </w:rPr>
      </w:pPr>
    </w:p>
    <w:p w14:paraId="1D6B6393" w14:textId="77777777" w:rsidR="001672FC" w:rsidRPr="0088472A" w:rsidRDefault="001672FC"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 xml:space="preserve">INHABILIDADES E INCOMPATIBILIDADES ― Interpretación restrictiva ― Principio </w:t>
      </w:r>
      <w:r w:rsidRPr="0088472A">
        <w:rPr>
          <w:rFonts w:ascii="Arial" w:eastAsia="Calibri" w:hAnsi="Arial" w:cs="Arial"/>
          <w:b/>
          <w:bCs/>
          <w:i/>
          <w:iCs/>
          <w:color w:val="000000" w:themeColor="text1"/>
          <w:sz w:val="22"/>
          <w:lang w:val="es-ES_tradnl"/>
        </w:rPr>
        <w:t xml:space="preserve">pro </w:t>
      </w:r>
      <w:proofErr w:type="spellStart"/>
      <w:r w:rsidRPr="0088472A">
        <w:rPr>
          <w:rFonts w:ascii="Arial" w:eastAsia="Calibri" w:hAnsi="Arial" w:cs="Arial"/>
          <w:b/>
          <w:bCs/>
          <w:i/>
          <w:iCs/>
          <w:color w:val="000000" w:themeColor="text1"/>
          <w:sz w:val="22"/>
          <w:lang w:val="es-ES_tradnl"/>
        </w:rPr>
        <w:t>libertate</w:t>
      </w:r>
      <w:proofErr w:type="spellEnd"/>
    </w:p>
    <w:p w14:paraId="3BD7CFED" w14:textId="77777777" w:rsidR="001672FC" w:rsidRPr="0088472A" w:rsidRDefault="001672FC" w:rsidP="00757250">
      <w:pPr>
        <w:jc w:val="both"/>
        <w:rPr>
          <w:rFonts w:ascii="Arial" w:eastAsia="Calibri" w:hAnsi="Arial" w:cs="Arial"/>
          <w:color w:val="000000" w:themeColor="text1"/>
          <w:sz w:val="20"/>
          <w:szCs w:val="20"/>
          <w:lang w:val="es-ES_tradnl"/>
        </w:rPr>
      </w:pPr>
    </w:p>
    <w:p w14:paraId="6150828C" w14:textId="77777777" w:rsidR="001672FC" w:rsidRPr="0088472A" w:rsidRDefault="001672FC"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88472A">
        <w:rPr>
          <w:rFonts w:ascii="Arial" w:eastAsia="Calibri" w:hAnsi="Arial" w:cs="Arial"/>
          <w:i/>
          <w:iCs/>
          <w:color w:val="000000" w:themeColor="text1"/>
          <w:sz w:val="20"/>
          <w:szCs w:val="20"/>
          <w:lang w:val="es-ES_tradnl"/>
        </w:rPr>
        <w:t>restrictiva</w:t>
      </w:r>
      <w:r w:rsidRPr="0088472A">
        <w:rPr>
          <w:rFonts w:ascii="Arial" w:eastAsia="Calibri" w:hAnsi="Arial" w:cs="Arial"/>
          <w:color w:val="000000" w:themeColor="text1"/>
          <w:sz w:val="20"/>
          <w:szCs w:val="20"/>
          <w:lang w:val="es-ES_tradnl"/>
        </w:rPr>
        <w:t>,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68AD31B0" w14:textId="77777777" w:rsidR="001672FC" w:rsidRPr="0088472A" w:rsidRDefault="001672FC" w:rsidP="00757250">
      <w:pPr>
        <w:spacing w:after="120"/>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w:t>
      </w:r>
    </w:p>
    <w:p w14:paraId="57581E4E" w14:textId="77777777" w:rsidR="001672FC" w:rsidRPr="0088472A" w:rsidRDefault="001672FC"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 xml:space="preserve">Como se aprecia, el principio </w:t>
      </w:r>
      <w:r w:rsidRPr="0088472A">
        <w:rPr>
          <w:rFonts w:ascii="Arial" w:eastAsia="Calibri" w:hAnsi="Arial" w:cs="Arial"/>
          <w:i/>
          <w:iCs/>
          <w:color w:val="000000" w:themeColor="text1"/>
          <w:sz w:val="20"/>
          <w:szCs w:val="20"/>
          <w:lang w:val="es-ES_tradnl"/>
        </w:rPr>
        <w:t xml:space="preserve">pro </w:t>
      </w:r>
      <w:proofErr w:type="spellStart"/>
      <w:r w:rsidRPr="0088472A">
        <w:rPr>
          <w:rFonts w:ascii="Arial" w:eastAsia="Calibri" w:hAnsi="Arial" w:cs="Arial"/>
          <w:i/>
          <w:iCs/>
          <w:color w:val="000000" w:themeColor="text1"/>
          <w:sz w:val="20"/>
          <w:szCs w:val="20"/>
          <w:lang w:val="es-ES_tradnl"/>
        </w:rPr>
        <w:t>libertate</w:t>
      </w:r>
      <w:proofErr w:type="spellEnd"/>
      <w:r w:rsidRPr="0088472A">
        <w:rPr>
          <w:rFonts w:ascii="Arial" w:eastAsia="Calibri" w:hAnsi="Arial"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w:t>
      </w:r>
    </w:p>
    <w:p w14:paraId="6A8F695B" w14:textId="77777777" w:rsidR="001672FC" w:rsidRPr="0088472A" w:rsidRDefault="001672FC" w:rsidP="00757250">
      <w:pPr>
        <w:jc w:val="both"/>
        <w:rPr>
          <w:rFonts w:ascii="Arial" w:hAnsi="Arial" w:cs="Arial"/>
          <w:iCs/>
          <w:color w:val="000000" w:themeColor="text1"/>
          <w:sz w:val="20"/>
          <w:szCs w:val="20"/>
          <w:lang w:val="es-ES_tradnl"/>
        </w:rPr>
      </w:pPr>
    </w:p>
    <w:p w14:paraId="1AC9ABCA" w14:textId="77777777" w:rsidR="001672FC" w:rsidRPr="0088472A" w:rsidRDefault="001672FC"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PRINCIPIO DE FAVORABILIDAD ― Inhabilidades ― Incompatibilidades ― Aplicación ― Debido proceso</w:t>
      </w:r>
    </w:p>
    <w:p w14:paraId="45D03528" w14:textId="77777777" w:rsidR="001672FC" w:rsidRPr="0088472A" w:rsidRDefault="001672FC" w:rsidP="00757250">
      <w:pPr>
        <w:jc w:val="both"/>
        <w:rPr>
          <w:rFonts w:ascii="Arial" w:hAnsi="Arial" w:cs="Arial"/>
          <w:iCs/>
          <w:color w:val="000000" w:themeColor="text1"/>
          <w:sz w:val="20"/>
          <w:szCs w:val="20"/>
          <w:lang w:val="es-ES_tradnl"/>
        </w:rPr>
      </w:pPr>
    </w:p>
    <w:p w14:paraId="5F941207" w14:textId="77777777" w:rsidR="001672FC" w:rsidRPr="0088472A" w:rsidRDefault="001672FC"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 xml:space="preserve">[…] si una disposición normativa consagra un término menos gravoso para una inhabilidad, y es posterior, cronológicamente, debe interpretarse que este es el término vigente, en virtud del </w:t>
      </w:r>
      <w:r w:rsidRPr="0088472A">
        <w:rPr>
          <w:rFonts w:ascii="Arial" w:eastAsia="Calibri" w:hAnsi="Arial" w:cs="Arial"/>
          <w:i/>
          <w:iCs/>
          <w:color w:val="000000" w:themeColor="text1"/>
          <w:sz w:val="20"/>
          <w:szCs w:val="20"/>
          <w:lang w:val="es-ES_tradnl"/>
        </w:rPr>
        <w:t>principio de favorabilidad</w:t>
      </w:r>
      <w:r w:rsidRPr="0088472A">
        <w:rPr>
          <w:rFonts w:ascii="Arial" w:eastAsia="Calibri" w:hAnsi="Arial" w:cs="Arial"/>
          <w:color w:val="000000" w:themeColor="text1"/>
          <w:sz w:val="20"/>
          <w:szCs w:val="20"/>
          <w:lang w:val="es-ES_tradnl"/>
        </w:rPr>
        <w:t xml:space="preserve">, que también se aplica en los procedimientos administrativos. Así lo ha reconocido tanto la Corte Constitucional, como el Consejo de Estado, en desarrollo del primer inciso del artículo 29 de la Constitución, que extiende a las actuaciones administrativas el derecho fundamental al debido proceso. Verbigracia, en la sentencia T-1087 de 2005, la Corte Constitucional hizo un interesante recuento de su jurisprudencial, concluyendo que la regla contenida en el tercer inciso del </w:t>
      </w:r>
      <w:r w:rsidRPr="0088472A">
        <w:rPr>
          <w:rFonts w:ascii="Arial" w:eastAsia="Calibri" w:hAnsi="Arial" w:cs="Arial"/>
          <w:color w:val="000000" w:themeColor="text1"/>
          <w:sz w:val="20"/>
          <w:szCs w:val="20"/>
          <w:lang w:val="es-ES_tradnl"/>
        </w:rPr>
        <w:lastRenderedPageBreak/>
        <w:t>artículo 29 de la Constitución –que establece que «la ley permisiva o favorable, aun cuando sea posterior, se aplicará de preferencia a la restrictiva o desfavorable» también rige en el ámbito del derecho administrativo sancionador, o sea que no puede interpretarse como exclusiva del derecho penal. En armonía con esta tesis, el Consejo de Estado ha admitido la aplicación del principio de favorabilidad en materia sancionatoria y, concretamente, en la contratación estatal, […].</w:t>
      </w:r>
    </w:p>
    <w:p w14:paraId="1C9E88B1" w14:textId="434E9BD1" w:rsidR="00E10CC7" w:rsidRPr="0088472A" w:rsidRDefault="00E10CC7" w:rsidP="00757250">
      <w:pPr>
        <w:tabs>
          <w:tab w:val="left" w:pos="426"/>
        </w:tabs>
        <w:jc w:val="both"/>
        <w:rPr>
          <w:rFonts w:ascii="Arial" w:hAnsi="Arial" w:cs="Arial"/>
          <w:bCs/>
          <w:color w:val="000000" w:themeColor="text1"/>
          <w:sz w:val="20"/>
          <w:szCs w:val="20"/>
          <w:lang w:val="es-ES_tradnl" w:eastAsia="es-CO"/>
        </w:rPr>
      </w:pPr>
    </w:p>
    <w:p w14:paraId="1095EDAB" w14:textId="545092C0" w:rsidR="001521BC" w:rsidRPr="0088472A" w:rsidRDefault="001521BC"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INCUMPLIMIENTO REITERADO ― Inhabilidad ― Ley 1474 ― Artículo 90 ― Redacción original ― Ley 1955 – Modificación</w:t>
      </w:r>
    </w:p>
    <w:p w14:paraId="39BC870E" w14:textId="77777777" w:rsidR="001521BC" w:rsidRPr="0088472A" w:rsidRDefault="001521BC" w:rsidP="00757250">
      <w:pPr>
        <w:tabs>
          <w:tab w:val="left" w:pos="426"/>
        </w:tabs>
        <w:jc w:val="both"/>
        <w:rPr>
          <w:rFonts w:ascii="Arial" w:hAnsi="Arial" w:cs="Arial"/>
          <w:bCs/>
          <w:color w:val="000000" w:themeColor="text1"/>
          <w:sz w:val="20"/>
          <w:szCs w:val="20"/>
          <w:lang w:val="es-ES_tradnl" w:eastAsia="es-CO"/>
        </w:rPr>
      </w:pPr>
    </w:p>
    <w:p w14:paraId="39EF4061" w14:textId="6DE0B6EC" w:rsidR="001521BC" w:rsidRPr="0088472A" w:rsidRDefault="001521BC"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Como se aprecia, el texto original de la Ley 1474 de 2011, contemplaba tres supuestos de hecho que daban lugar a la configuración de la inhabilidad: a) el primero relativo a la imposición de cinco (5) multas por incumplimiento –parcial– durante una misma vigencia fiscal, con una o varias entidades estatales; b) un segundo supuesto que consistía en la concurrencia de dos (2) declaratorias de incumplimiento –definitivo</w:t>
      </w:r>
      <w:r w:rsidRPr="0088472A">
        <w:rPr>
          <w:rFonts w:ascii="Arial" w:eastAsia="Calibri" w:hAnsi="Arial" w:cs="Arial"/>
          <w:color w:val="000000" w:themeColor="text1"/>
          <w:sz w:val="20"/>
          <w:szCs w:val="20"/>
          <w:lang w:val="es-ES_tradnl"/>
        </w:rPr>
        <w:softHyphen/>
        <w:t>– de contratos durante una misma vigencia fiscal, con una o varias entidades estatales; y c) un tercer supuesto alusivo a la imposición de dos (2) multas y una (1) declaratoria de incumplimiento –definitivo–, durante una misma vigencia fiscal con una o varias entidades estatales. Ante la configuración de cualquiera de tales supuestos, la persona incursa en los mismos quedaba inhabilitada por un periodo de tres (3) años contados a partir de la fecha de inscripción en el RUP de la última multa o declaratoria de incumplimiento.</w:t>
      </w:r>
    </w:p>
    <w:p w14:paraId="601498F6" w14:textId="77777777" w:rsidR="001521BC" w:rsidRPr="0088472A" w:rsidRDefault="001521BC" w:rsidP="00757250">
      <w:pPr>
        <w:jc w:val="both"/>
        <w:rPr>
          <w:rFonts w:ascii="Arial" w:eastAsia="Calibri" w:hAnsi="Arial" w:cs="Arial"/>
          <w:color w:val="000000" w:themeColor="text1"/>
          <w:sz w:val="20"/>
          <w:szCs w:val="20"/>
          <w:lang w:val="es-ES_tradnl"/>
        </w:rPr>
      </w:pPr>
    </w:p>
    <w:p w14:paraId="62BAF8FF" w14:textId="2A8598BD" w:rsidR="001521BC" w:rsidRPr="0088472A" w:rsidRDefault="001521BC"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Posteriormente, los literales a) y b) transcritos fueron modificados por el artículo 43 de la Ley 1955 de 2019, en lo atinente al intervalo de tiempo dentro del que se deben presentar las multas y declaratorias de incumplimiento para que se den los dos primeros supuestos que dan lugar a la configuración de la inhabilidad por incumplimiento reiterado.</w:t>
      </w:r>
    </w:p>
    <w:p w14:paraId="64CAA1BD" w14:textId="77777777" w:rsidR="001E2880" w:rsidRPr="0088472A" w:rsidRDefault="001E2880" w:rsidP="00757250">
      <w:pPr>
        <w:jc w:val="both"/>
        <w:rPr>
          <w:rFonts w:ascii="Arial" w:hAnsi="Arial" w:cs="Arial"/>
          <w:noProof/>
          <w:color w:val="000000" w:themeColor="text1"/>
          <w:sz w:val="22"/>
          <w:lang w:val="es-ES_tradnl"/>
        </w:rPr>
      </w:pPr>
    </w:p>
    <w:p w14:paraId="46AEB854" w14:textId="08F4930D" w:rsidR="001521BC" w:rsidRPr="0088472A" w:rsidRDefault="001521BC"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 xml:space="preserve">INCUMPLIMIENTO REITERADO ― Inhabilidad ― </w:t>
      </w:r>
      <w:r w:rsidR="00FF417C" w:rsidRPr="0088472A">
        <w:rPr>
          <w:rFonts w:ascii="Arial" w:eastAsia="Calibri" w:hAnsi="Arial" w:cs="Arial"/>
          <w:b/>
          <w:bCs/>
          <w:color w:val="000000" w:themeColor="text1"/>
          <w:sz w:val="22"/>
          <w:lang w:val="es-ES_tradnl"/>
        </w:rPr>
        <w:t>Ley 2195 ― Artículo 51</w:t>
      </w:r>
      <w:r w:rsidR="00310899" w:rsidRPr="0088472A">
        <w:rPr>
          <w:rFonts w:ascii="Arial" w:eastAsia="Calibri" w:hAnsi="Arial" w:cs="Arial"/>
          <w:b/>
          <w:bCs/>
          <w:color w:val="000000" w:themeColor="text1"/>
          <w:sz w:val="22"/>
          <w:lang w:val="es-ES_tradnl"/>
        </w:rPr>
        <w:t xml:space="preserve"> ―</w:t>
      </w:r>
      <w:r w:rsidR="00FF417C" w:rsidRPr="0088472A">
        <w:rPr>
          <w:rFonts w:ascii="Arial" w:eastAsia="Calibri" w:hAnsi="Arial" w:cs="Arial"/>
          <w:b/>
          <w:bCs/>
          <w:color w:val="000000" w:themeColor="text1"/>
          <w:sz w:val="22"/>
          <w:lang w:val="es-ES_tradnl"/>
        </w:rPr>
        <w:t xml:space="preserve"> Adición ― Literal d</w:t>
      </w:r>
      <w:r w:rsidR="00310899" w:rsidRPr="0088472A">
        <w:rPr>
          <w:rFonts w:ascii="Arial" w:eastAsia="Calibri" w:hAnsi="Arial" w:cs="Arial"/>
          <w:b/>
          <w:bCs/>
          <w:color w:val="000000" w:themeColor="text1"/>
          <w:sz w:val="22"/>
          <w:lang w:val="es-ES_tradnl"/>
        </w:rPr>
        <w:t>) ― PAE</w:t>
      </w:r>
    </w:p>
    <w:p w14:paraId="73CCD006" w14:textId="77777777" w:rsidR="001E2880" w:rsidRPr="0088472A" w:rsidRDefault="001E2880" w:rsidP="00757250">
      <w:pPr>
        <w:jc w:val="both"/>
        <w:rPr>
          <w:rFonts w:ascii="Arial" w:hAnsi="Arial" w:cs="Arial"/>
          <w:noProof/>
          <w:color w:val="000000" w:themeColor="text1"/>
          <w:sz w:val="22"/>
          <w:lang w:val="es-ES_tradnl"/>
        </w:rPr>
      </w:pPr>
    </w:p>
    <w:p w14:paraId="1C027857" w14:textId="4B716E48" w:rsidR="00FF417C" w:rsidRPr="0088472A" w:rsidRDefault="00FF417C"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El artículo 51 de la Ley 2195 de 2022 adicionó el literal d) al artículo 43 de la Ley 1955 de 2019, mediante el cual se modificó el artículo 90 de la Ley 1474 de 2011. En el mencionado literal el legislador establece que quedará inhabilitado el contratista que incurra en la siguiente conducta: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51CAD26A" w14:textId="4DBFC058" w:rsidR="001E2880" w:rsidRPr="0088472A" w:rsidRDefault="001E2880" w:rsidP="00757250">
      <w:pPr>
        <w:jc w:val="both"/>
        <w:rPr>
          <w:rFonts w:ascii="Arial" w:hAnsi="Arial" w:cs="Arial"/>
          <w:noProof/>
          <w:color w:val="000000" w:themeColor="text1"/>
          <w:sz w:val="22"/>
          <w:lang w:val="es-ES_tradnl"/>
        </w:rPr>
      </w:pPr>
    </w:p>
    <w:p w14:paraId="2B6D7115" w14:textId="09BC5210" w:rsidR="00310899" w:rsidRPr="0088472A" w:rsidRDefault="00310899"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INHABILIDAD ― Incumplimiento reiterado ― Ley 2195 ― Artículo 51 ― PAE</w:t>
      </w:r>
    </w:p>
    <w:p w14:paraId="3AEED1B7" w14:textId="77777777" w:rsidR="00310899" w:rsidRPr="0088472A" w:rsidRDefault="00310899" w:rsidP="00757250">
      <w:pPr>
        <w:jc w:val="both"/>
        <w:rPr>
          <w:rFonts w:ascii="Arial" w:eastAsia="Calibri" w:hAnsi="Arial" w:cs="Arial"/>
          <w:color w:val="000000" w:themeColor="text1"/>
          <w:sz w:val="20"/>
          <w:szCs w:val="20"/>
          <w:lang w:val="es-ES_tradnl"/>
        </w:rPr>
      </w:pPr>
    </w:p>
    <w:p w14:paraId="284DFA90" w14:textId="761D99E9" w:rsidR="00310899" w:rsidRPr="0088472A" w:rsidRDefault="00310899" w:rsidP="00757250">
      <w:pPr>
        <w:jc w:val="both"/>
        <w:rPr>
          <w:rFonts w:ascii="Arial" w:eastAsia="Calibri" w:hAnsi="Arial" w:cs="Arial"/>
          <w:color w:val="000000" w:themeColor="text1"/>
          <w:sz w:val="20"/>
          <w:szCs w:val="20"/>
          <w:lang w:val="es-ES_tradnl"/>
        </w:rPr>
      </w:pPr>
      <w:r w:rsidRPr="0088472A">
        <w:rPr>
          <w:rFonts w:ascii="Arial" w:eastAsia="Calibri" w:hAnsi="Arial" w:cs="Arial"/>
          <w:color w:val="000000" w:themeColor="text1"/>
          <w:sz w:val="20"/>
          <w:szCs w:val="20"/>
          <w:lang w:val="es-ES_tradnl"/>
        </w:rPr>
        <w:t>[…] La causa jurídica que da lugar a la inhabilidad es «Haber sido objeto de incumplimiento contractual o de imposición de dos (2) o más multas, con una o varias entidades» durante la ejecución de contratos de alimentación escolar. En otras palabras, para que se aplique la causal de inhabilidad del literal d) del artículo en comento –adicionada por el artículo 51 de la Ley 2195 de 2022– es necesario que al contratista se le haya impuesto dos (2) o más incumplimientos o multas en uno o varios contratos de alimentación escolar. Aunque de la redacción de la norma pareciera desprenderse la idea de que basta un incumplimiento –pues comienza diciendo que la inhabilidad se aplica por «Haber sido objeto de incumplimiento contractual […]»–, […].</w:t>
      </w:r>
    </w:p>
    <w:p w14:paraId="45DDC3DD" w14:textId="77777777" w:rsidR="00CE210E" w:rsidRPr="0088472A" w:rsidRDefault="00CE210E" w:rsidP="00757250">
      <w:pPr>
        <w:jc w:val="both"/>
        <w:rPr>
          <w:rFonts w:ascii="Arial" w:eastAsia="Calibri" w:hAnsi="Arial" w:cs="Arial"/>
          <w:b/>
          <w:bCs/>
          <w:color w:val="000000" w:themeColor="text1"/>
          <w:sz w:val="22"/>
          <w:lang w:val="es-ES_tradnl"/>
        </w:rPr>
      </w:pPr>
    </w:p>
    <w:p w14:paraId="3E6828F4" w14:textId="101662EC" w:rsidR="00CE2047" w:rsidRPr="0088472A" w:rsidRDefault="00CE2047"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 xml:space="preserve">CLÁUSULAS EXCEPCIONALES ― </w:t>
      </w:r>
      <w:r w:rsidR="00180E36" w:rsidRPr="0088472A">
        <w:rPr>
          <w:rFonts w:ascii="Arial" w:eastAsia="Calibri" w:hAnsi="Arial" w:cs="Arial"/>
          <w:b/>
          <w:bCs/>
          <w:color w:val="000000" w:themeColor="text1"/>
          <w:sz w:val="22"/>
          <w:lang w:val="es-ES_tradnl"/>
        </w:rPr>
        <w:t>Concepto</w:t>
      </w:r>
      <w:r w:rsidRPr="0088472A">
        <w:rPr>
          <w:rFonts w:ascii="Arial" w:eastAsia="Calibri" w:hAnsi="Arial" w:cs="Arial"/>
          <w:b/>
          <w:bCs/>
          <w:color w:val="000000" w:themeColor="text1"/>
          <w:sz w:val="22"/>
          <w:lang w:val="es-ES_tradnl"/>
        </w:rPr>
        <w:t xml:space="preserve"> ― </w:t>
      </w:r>
      <w:r w:rsidR="00180E36" w:rsidRPr="0088472A">
        <w:rPr>
          <w:rFonts w:ascii="Arial" w:eastAsia="Calibri" w:hAnsi="Arial" w:cs="Arial"/>
          <w:b/>
          <w:bCs/>
          <w:color w:val="000000" w:themeColor="text1"/>
          <w:sz w:val="22"/>
          <w:lang w:val="es-ES_tradnl"/>
        </w:rPr>
        <w:t>Ley 80</w:t>
      </w:r>
      <w:r w:rsidR="00EF1E5B" w:rsidRPr="0088472A">
        <w:rPr>
          <w:rFonts w:ascii="Arial" w:eastAsia="Calibri" w:hAnsi="Arial" w:cs="Arial"/>
          <w:b/>
          <w:bCs/>
          <w:color w:val="000000" w:themeColor="text1"/>
          <w:sz w:val="22"/>
          <w:lang w:val="es-ES_tradnl"/>
        </w:rPr>
        <w:t xml:space="preserve"> </w:t>
      </w:r>
      <w:r w:rsidRPr="0088472A">
        <w:rPr>
          <w:rFonts w:ascii="Arial" w:eastAsia="Calibri" w:hAnsi="Arial" w:cs="Arial"/>
          <w:b/>
          <w:bCs/>
          <w:color w:val="000000" w:themeColor="text1"/>
          <w:sz w:val="22"/>
          <w:lang w:val="es-ES_tradnl"/>
        </w:rPr>
        <w:t xml:space="preserve">― Artículo </w:t>
      </w:r>
      <w:r w:rsidR="00EF1E5B" w:rsidRPr="0088472A">
        <w:rPr>
          <w:rFonts w:ascii="Arial" w:eastAsia="Calibri" w:hAnsi="Arial" w:cs="Arial"/>
          <w:b/>
          <w:bCs/>
          <w:color w:val="000000" w:themeColor="text1"/>
          <w:sz w:val="22"/>
          <w:lang w:val="es-ES_tradnl"/>
        </w:rPr>
        <w:t>14</w:t>
      </w:r>
      <w:r w:rsidRPr="0088472A">
        <w:rPr>
          <w:rFonts w:ascii="Arial" w:eastAsia="Calibri" w:hAnsi="Arial" w:cs="Arial"/>
          <w:b/>
          <w:bCs/>
          <w:color w:val="000000" w:themeColor="text1"/>
          <w:sz w:val="22"/>
          <w:lang w:val="es-ES_tradnl"/>
        </w:rPr>
        <w:t xml:space="preserve"> </w:t>
      </w:r>
    </w:p>
    <w:p w14:paraId="3886D960" w14:textId="77777777" w:rsidR="00310899" w:rsidRPr="0088472A" w:rsidRDefault="00310899" w:rsidP="00757250">
      <w:pPr>
        <w:jc w:val="both"/>
        <w:rPr>
          <w:rFonts w:ascii="Arial" w:hAnsi="Arial" w:cs="Arial"/>
          <w:noProof/>
          <w:color w:val="000000" w:themeColor="text1"/>
          <w:sz w:val="22"/>
          <w:lang w:val="es-ES_tradnl"/>
        </w:rPr>
      </w:pPr>
    </w:p>
    <w:p w14:paraId="2D474D2D" w14:textId="77777777" w:rsidR="00CE2047" w:rsidRPr="0088472A" w:rsidRDefault="00CE2047" w:rsidP="00757250">
      <w:pPr>
        <w:jc w:val="both"/>
        <w:rPr>
          <w:rFonts w:ascii="Arial" w:hAnsi="Arial" w:cs="Arial"/>
          <w:iCs/>
          <w:color w:val="000000" w:themeColor="text1"/>
          <w:sz w:val="20"/>
          <w:szCs w:val="20"/>
          <w:lang w:val="es-ES_tradnl"/>
        </w:rPr>
      </w:pPr>
      <w:r w:rsidRPr="0088472A">
        <w:rPr>
          <w:rFonts w:ascii="Arial" w:hAnsi="Arial" w:cs="Arial"/>
          <w:iCs/>
          <w:color w:val="000000" w:themeColor="text1"/>
          <w:sz w:val="20"/>
          <w:szCs w:val="20"/>
          <w:lang w:val="es-ES_tradnl"/>
        </w:rPr>
        <w:lastRenderedPageBreak/>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88472A">
        <w:rPr>
          <w:rFonts w:ascii="Arial" w:hAnsi="Arial" w:cs="Arial"/>
          <w:i/>
          <w:color w:val="000000" w:themeColor="text1"/>
          <w:sz w:val="20"/>
          <w:szCs w:val="20"/>
          <w:lang w:val="es-ES_tradnl"/>
        </w:rPr>
        <w:t>ibidem</w:t>
      </w:r>
      <w:r w:rsidRPr="0088472A">
        <w:rPr>
          <w:rFonts w:ascii="Arial" w:hAnsi="Arial" w:cs="Arial"/>
          <w:iCs/>
          <w:color w:val="000000" w:themeColor="text1"/>
          <w:sz w:val="20"/>
          <w:szCs w:val="20"/>
          <w:lang w:val="es-ES_tradnl"/>
        </w:rPr>
        <w:t xml:space="preserve">. </w:t>
      </w:r>
      <w:proofErr w:type="spellStart"/>
      <w:r w:rsidRPr="0088472A">
        <w:rPr>
          <w:rFonts w:ascii="Arial" w:hAnsi="Arial" w:cs="Arial"/>
          <w:iCs/>
          <w:color w:val="000000" w:themeColor="text1"/>
          <w:sz w:val="20"/>
          <w:szCs w:val="20"/>
          <w:lang w:val="es-ES_tradnl"/>
        </w:rPr>
        <w:t>ii</w:t>
      </w:r>
      <w:proofErr w:type="spellEnd"/>
      <w:r w:rsidRPr="0088472A">
        <w:rPr>
          <w:rFonts w:ascii="Arial" w:hAnsi="Arial" w:cs="Arial"/>
          <w:iCs/>
          <w:color w:val="000000" w:themeColor="text1"/>
          <w:sz w:val="20"/>
          <w:szCs w:val="20"/>
          <w:lang w:val="es-ES_tradnl"/>
        </w:rPr>
        <w:t xml:space="preserve">) Algunas disposiciones también establecen otras potestades exorbitantes, como la liquidación unilateral y la declaratoria unilateral del siniestro –artículos 7 y 11 de la Ley 1150 de 2007–. Dentro de las potestades unilaterales también se encuentran </w:t>
      </w:r>
      <w:proofErr w:type="spellStart"/>
      <w:r w:rsidRPr="0088472A">
        <w:rPr>
          <w:rFonts w:ascii="Arial" w:hAnsi="Arial" w:cs="Arial"/>
          <w:iCs/>
          <w:color w:val="000000" w:themeColor="text1"/>
          <w:sz w:val="20"/>
          <w:szCs w:val="20"/>
          <w:lang w:val="es-ES_tradnl"/>
        </w:rPr>
        <w:t>iii</w:t>
      </w:r>
      <w:proofErr w:type="spellEnd"/>
      <w:r w:rsidRPr="0088472A">
        <w:rPr>
          <w:rFonts w:ascii="Arial" w:hAnsi="Arial" w:cs="Arial"/>
          <w:iCs/>
          <w:color w:val="000000" w:themeColor="text1"/>
          <w:sz w:val="20"/>
          <w:szCs w:val="20"/>
          <w:lang w:val="es-ES_tradnl"/>
        </w:rPr>
        <w:t xml:space="preserve">) las cláusulas excepcionales de </w:t>
      </w:r>
      <w:r w:rsidRPr="0088472A">
        <w:rPr>
          <w:rFonts w:ascii="Arial" w:hAnsi="Arial" w:cs="Arial"/>
          <w:i/>
          <w:color w:val="000000" w:themeColor="text1"/>
          <w:sz w:val="20"/>
          <w:szCs w:val="20"/>
          <w:lang w:val="es-ES_tradnl"/>
        </w:rPr>
        <w:t>imposición unilateral</w:t>
      </w:r>
      <w:r w:rsidRPr="0088472A">
        <w:rPr>
          <w:rFonts w:ascii="Arial" w:hAnsi="Arial" w:cs="Arial"/>
          <w:iCs/>
          <w:color w:val="000000" w:themeColor="text1"/>
          <w:sz w:val="20"/>
          <w:szCs w:val="20"/>
          <w:lang w:val="es-ES_tradnl"/>
        </w:rPr>
        <w:t xml:space="preserve"> de las cláusulas penales y de multas –artículo 17 de la Ley 1150 de 2007–, aclarando que su exorbitancia se refiere a su imposición unilateral, no a su pacto, que es posible en virtud de las normas civiles y comerciales.</w:t>
      </w:r>
    </w:p>
    <w:p w14:paraId="525C12D3" w14:textId="77777777" w:rsidR="00EF1E5B" w:rsidRPr="0088472A" w:rsidRDefault="00EF1E5B" w:rsidP="00757250">
      <w:pPr>
        <w:jc w:val="both"/>
        <w:rPr>
          <w:rFonts w:ascii="Arial" w:hAnsi="Arial" w:cs="Arial"/>
          <w:iCs/>
          <w:color w:val="000000" w:themeColor="text1"/>
          <w:sz w:val="20"/>
          <w:szCs w:val="20"/>
          <w:lang w:val="es-ES_tradnl"/>
        </w:rPr>
      </w:pPr>
    </w:p>
    <w:p w14:paraId="23688EDE" w14:textId="44E64E71" w:rsidR="00CE2047" w:rsidRPr="0088472A" w:rsidRDefault="00CE2047" w:rsidP="00757250">
      <w:pPr>
        <w:jc w:val="both"/>
        <w:rPr>
          <w:rFonts w:ascii="Arial" w:hAnsi="Arial" w:cs="Arial"/>
          <w:iCs/>
          <w:color w:val="000000" w:themeColor="text1"/>
          <w:sz w:val="20"/>
          <w:szCs w:val="20"/>
          <w:lang w:val="es-ES_tradnl"/>
        </w:rPr>
      </w:pPr>
      <w:r w:rsidRPr="0088472A">
        <w:rPr>
          <w:rFonts w:ascii="Arial" w:hAnsi="Arial" w:cs="Arial"/>
          <w:iCs/>
          <w:color w:val="000000" w:themeColor="text1"/>
          <w:sz w:val="20"/>
          <w:szCs w:val="20"/>
          <w:lang w:val="es-ES_tradnl"/>
        </w:rPr>
        <w:t xml:space="preserve">Las primeras, esto es, las cláusulas excepcionales del artículo 14 de la Ley 80 de 1993, son estipulaciones virtuales en los contratos de concesión, obra, prestación de servicios públicos, aquellos que tengan por objeto el ejercicio de una actividad que constituya monopolio estatal </w:t>
      </w:r>
      <w:r w:rsidRPr="0088472A">
        <w:rPr>
          <w:rFonts w:ascii="Arial" w:eastAsia="Calibri" w:hAnsi="Arial" w:cs="Arial"/>
          <w:color w:val="000000" w:themeColor="text1"/>
          <w:sz w:val="20"/>
          <w:szCs w:val="20"/>
        </w:rPr>
        <w:t>y los relacionados con el programa de alimentación escolar – según lo dispuso la modificación realizada por el artículo 52 de la Ley 2195 de 2022–</w:t>
      </w:r>
      <w:r w:rsidRPr="0088472A">
        <w:rPr>
          <w:rFonts w:ascii="Arial" w:hAnsi="Arial" w:cs="Arial"/>
          <w:iCs/>
          <w:color w:val="000000" w:themeColor="text1"/>
          <w:sz w:val="20"/>
          <w:szCs w:val="20"/>
          <w:lang w:val="es-ES_tradnl"/>
        </w:rPr>
        <w:t>. En tales contratos, sin importar si se incorporaron o no dentro de estos, las exorbitancias se entienden incluidas por el ministerio de la ley, como lo dispone el artículo 14 de la Ley 80 de 1993.</w:t>
      </w:r>
    </w:p>
    <w:p w14:paraId="5E30D9AE" w14:textId="77777777" w:rsidR="001E2880" w:rsidRPr="0088472A" w:rsidRDefault="001E2880" w:rsidP="00757250">
      <w:pPr>
        <w:jc w:val="both"/>
        <w:rPr>
          <w:rFonts w:ascii="Arial" w:hAnsi="Arial" w:cs="Arial"/>
          <w:noProof/>
          <w:color w:val="000000" w:themeColor="text1"/>
          <w:sz w:val="22"/>
          <w:lang w:val="es-ES_tradnl"/>
        </w:rPr>
      </w:pPr>
    </w:p>
    <w:p w14:paraId="28CA897F" w14:textId="16CC1093" w:rsidR="00EF1E5B" w:rsidRPr="0088472A" w:rsidRDefault="00EF1E5B"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 xml:space="preserve">CLÁUSULAS EXCEPCIONALES ― Ley 2195 ― </w:t>
      </w:r>
      <w:r w:rsidR="00612268" w:rsidRPr="0088472A">
        <w:rPr>
          <w:rFonts w:ascii="Arial" w:eastAsia="Calibri" w:hAnsi="Arial" w:cs="Arial"/>
          <w:b/>
          <w:bCs/>
          <w:color w:val="000000" w:themeColor="text1"/>
          <w:sz w:val="22"/>
          <w:lang w:val="es-ES_tradnl"/>
        </w:rPr>
        <w:t xml:space="preserve">Artículo 52 ― </w:t>
      </w:r>
      <w:r w:rsidRPr="0088472A">
        <w:rPr>
          <w:rFonts w:ascii="Arial" w:eastAsia="Calibri" w:hAnsi="Arial" w:cs="Arial"/>
          <w:b/>
          <w:bCs/>
          <w:color w:val="000000" w:themeColor="text1"/>
          <w:sz w:val="22"/>
          <w:lang w:val="es-ES_tradnl"/>
        </w:rPr>
        <w:t xml:space="preserve">PAE ― Inclusión </w:t>
      </w:r>
      <w:r w:rsidRPr="0088472A">
        <w:rPr>
          <w:rFonts w:ascii="Arial" w:eastAsia="Calibri" w:hAnsi="Arial" w:cs="Arial"/>
          <w:b/>
          <w:bCs/>
          <w:color w:val="000000" w:themeColor="text1"/>
          <w:sz w:val="22"/>
          <w:lang w:val="es-ES_tradnl"/>
        </w:rPr>
        <w:softHyphen/>
      </w:r>
      <w:r w:rsidRPr="0088472A">
        <w:rPr>
          <w:rFonts w:ascii="Arial" w:eastAsia="Calibri" w:hAnsi="Arial" w:cs="Arial"/>
          <w:b/>
          <w:bCs/>
          <w:color w:val="000000" w:themeColor="text1"/>
          <w:sz w:val="22"/>
          <w:lang w:val="es-ES_tradnl"/>
        </w:rPr>
        <w:softHyphen/>
        <w:t>― Elementos de la naturaleza</w:t>
      </w:r>
    </w:p>
    <w:p w14:paraId="2D9C5F9E" w14:textId="02A229E4" w:rsidR="001E2880" w:rsidRPr="0088472A" w:rsidRDefault="001E2880" w:rsidP="00757250">
      <w:pPr>
        <w:jc w:val="both"/>
        <w:rPr>
          <w:rFonts w:ascii="Arial" w:eastAsia="Calibri" w:hAnsi="Arial" w:cs="Arial"/>
          <w:color w:val="000000" w:themeColor="text1"/>
          <w:sz w:val="20"/>
          <w:szCs w:val="20"/>
        </w:rPr>
      </w:pPr>
    </w:p>
    <w:p w14:paraId="33E27BCF" w14:textId="10611BC5" w:rsidR="00EF1E5B" w:rsidRPr="0088472A" w:rsidRDefault="00EF1E5B" w:rsidP="00757250">
      <w:pPr>
        <w:jc w:val="both"/>
        <w:rPr>
          <w:rFonts w:ascii="Arial" w:hAnsi="Arial" w:cs="Arial"/>
          <w:iCs/>
          <w:color w:val="000000" w:themeColor="text1"/>
          <w:sz w:val="20"/>
          <w:szCs w:val="20"/>
          <w:lang w:val="es-ES_tradnl"/>
        </w:rPr>
      </w:pPr>
      <w:r w:rsidRPr="0088472A">
        <w:rPr>
          <w:rFonts w:ascii="Arial" w:hAnsi="Arial" w:cs="Arial"/>
          <w:color w:val="000000" w:themeColor="text1"/>
          <w:sz w:val="20"/>
          <w:szCs w:val="20"/>
          <w:lang w:val="es-ES_tradnl"/>
        </w:rPr>
        <w:t xml:space="preserve">[…] el artículo 52 de la Ley 2195 de 2022 establece que las entidades estatales deben pactar «las cláusulas excepcionales al derecho común de terminación, interpretación y modificación unilaterales, de sometimiento a las leyes nacionales y de caducidad en […] los contratos relacionados con el programa de alimentación escolar». En otras palabras, el legislador </w:t>
      </w:r>
      <w:r w:rsidR="00666891" w:rsidRPr="0088472A">
        <w:rPr>
          <w:rFonts w:ascii="Arial" w:hAnsi="Arial" w:cs="Arial"/>
          <w:color w:val="000000" w:themeColor="text1"/>
          <w:sz w:val="20"/>
          <w:szCs w:val="20"/>
          <w:lang w:val="es-ES_tradnl"/>
        </w:rPr>
        <w:t>modificó</w:t>
      </w:r>
      <w:r w:rsidRPr="0088472A">
        <w:rPr>
          <w:rFonts w:ascii="Arial" w:hAnsi="Arial" w:cs="Arial"/>
          <w:color w:val="000000" w:themeColor="text1"/>
          <w:sz w:val="20"/>
          <w:szCs w:val="20"/>
          <w:lang w:val="es-ES_tradnl"/>
        </w:rPr>
        <w:t xml:space="preserve"> el numeral 2 del artículo 14 de la Ley 80 de 1993, para incluir los contratos que tengan por objeto la ejecución del Programa de Alimentación Escolar (PAE) dentro del listado de contratos que admiten las cláusulas excepcionales al derecho común –también conocidas con el nombre de cláusulas o potestades exorbitantes– mencionadas en el referido numeral, salvo la de reversión, que continúa estando permitida solo para los contratos de concesión. </w:t>
      </w:r>
    </w:p>
    <w:p w14:paraId="0A3BDB88" w14:textId="77777777" w:rsidR="00EF1E5B" w:rsidRPr="0088472A" w:rsidRDefault="00EF1E5B" w:rsidP="00757250">
      <w:pPr>
        <w:jc w:val="both"/>
        <w:rPr>
          <w:rFonts w:ascii="Arial" w:hAnsi="Arial" w:cs="Arial"/>
          <w:color w:val="000000" w:themeColor="text1"/>
          <w:sz w:val="20"/>
          <w:szCs w:val="20"/>
          <w:lang w:val="es-ES_tradnl"/>
        </w:rPr>
      </w:pPr>
    </w:p>
    <w:p w14:paraId="2826A960" w14:textId="0D89F8E3" w:rsidR="00EF1E5B" w:rsidRPr="0088472A" w:rsidRDefault="00EF1E5B" w:rsidP="00757250">
      <w:pPr>
        <w:jc w:val="both"/>
        <w:rPr>
          <w:rFonts w:ascii="Arial" w:hAnsi="Arial" w:cs="Arial"/>
          <w:iCs/>
          <w:color w:val="000000" w:themeColor="text1"/>
          <w:sz w:val="20"/>
          <w:szCs w:val="20"/>
          <w:lang w:val="es-ES_tradnl"/>
        </w:rPr>
      </w:pPr>
      <w:r w:rsidRPr="0088472A">
        <w:rPr>
          <w:rFonts w:ascii="Arial" w:hAnsi="Arial" w:cs="Arial"/>
          <w:color w:val="000000" w:themeColor="text1"/>
          <w:sz w:val="20"/>
          <w:szCs w:val="20"/>
          <w:lang w:val="es-ES_tradnl"/>
        </w:rPr>
        <w:t>Al respecto, conviene precisar</w:t>
      </w:r>
      <w:r w:rsidR="00612268" w:rsidRPr="0088472A">
        <w:rPr>
          <w:rFonts w:ascii="Arial" w:hAnsi="Arial" w:cs="Arial"/>
          <w:color w:val="000000" w:themeColor="text1"/>
          <w:sz w:val="20"/>
          <w:szCs w:val="20"/>
          <w:lang w:val="es-ES_tradnl"/>
        </w:rPr>
        <w:t xml:space="preserve"> </w:t>
      </w:r>
      <w:proofErr w:type="gramStart"/>
      <w:r w:rsidRPr="0088472A">
        <w:rPr>
          <w:rFonts w:ascii="Arial" w:hAnsi="Arial" w:cs="Arial"/>
          <w:color w:val="000000" w:themeColor="text1"/>
          <w:sz w:val="20"/>
          <w:szCs w:val="20"/>
          <w:lang w:val="es-ES_tradnl"/>
        </w:rPr>
        <w:t>que</w:t>
      </w:r>
      <w:proofErr w:type="gramEnd"/>
      <w:r w:rsidRPr="0088472A">
        <w:rPr>
          <w:rFonts w:ascii="Arial" w:hAnsi="Arial" w:cs="Arial"/>
          <w:color w:val="000000" w:themeColor="text1"/>
          <w:sz w:val="20"/>
          <w:szCs w:val="20"/>
          <w:lang w:val="es-ES_tradnl"/>
        </w:rPr>
        <w:t xml:space="preserve"> aunque, en principio, el legislador emplea una expresión imperativa –al decir que las entidades estatales </w:t>
      </w:r>
      <w:r w:rsidRPr="0088472A">
        <w:rPr>
          <w:rFonts w:ascii="Arial" w:hAnsi="Arial" w:cs="Arial"/>
          <w:i/>
          <w:iCs/>
          <w:color w:val="000000" w:themeColor="text1"/>
          <w:sz w:val="20"/>
          <w:szCs w:val="20"/>
          <w:lang w:val="es-ES_tradnl"/>
        </w:rPr>
        <w:t>pactarán</w:t>
      </w:r>
      <w:r w:rsidRPr="0088472A">
        <w:rPr>
          <w:rFonts w:ascii="Arial" w:hAnsi="Arial" w:cs="Arial"/>
          <w:color w:val="000000" w:themeColor="text1"/>
          <w:sz w:val="20"/>
          <w:szCs w:val="20"/>
          <w:lang w:val="es-ES_tradnl"/>
        </w:rPr>
        <w:t xml:space="preserve"> dichas cláusulas en los contratos de alimentación escolar</w:t>
      </w:r>
      <w:r w:rsidRPr="0088472A">
        <w:rPr>
          <w:rFonts w:ascii="Arial" w:hAnsi="Arial" w:cs="Arial"/>
          <w:color w:val="000000" w:themeColor="text1"/>
          <w:sz w:val="20"/>
          <w:szCs w:val="20"/>
          <w:lang w:val="es-ES_tradnl"/>
        </w:rPr>
        <w:softHyphen/>
        <w:t xml:space="preserve">–, de allí </w:t>
      </w:r>
      <w:r w:rsidRPr="0088472A">
        <w:rPr>
          <w:rFonts w:ascii="Arial" w:hAnsi="Arial" w:cs="Arial"/>
          <w:i/>
          <w:iCs/>
          <w:color w:val="000000" w:themeColor="text1"/>
          <w:sz w:val="20"/>
          <w:szCs w:val="20"/>
          <w:lang w:val="es-ES_tradnl"/>
        </w:rPr>
        <w:t>no</w:t>
      </w:r>
      <w:r w:rsidRPr="0088472A">
        <w:rPr>
          <w:rFonts w:ascii="Arial" w:hAnsi="Arial" w:cs="Arial"/>
          <w:color w:val="000000" w:themeColor="text1"/>
          <w:sz w:val="20"/>
          <w:szCs w:val="20"/>
          <w:lang w:val="es-ES_tradnl"/>
        </w:rPr>
        <w:t xml:space="preserve"> se sigue que si falta la estipulación –o sea, la cláusula exorbitante señalada de manera explícita en el contrato– entonces el contrato de alimentación escolar carece de cláusulas excepcionales. Esta inferencia no puede realizarse, ya que el tercer inciso del referido numeral 2 –reiterado por el artículo 52 de la Ley 2195 de 2022– dispone que «</w:t>
      </w:r>
      <w:r w:rsidRPr="0088472A">
        <w:rPr>
          <w:rFonts w:ascii="Arial" w:hAnsi="Arial" w:cs="Arial"/>
          <w:color w:val="000000" w:themeColor="text1"/>
          <w:sz w:val="20"/>
          <w:szCs w:val="20"/>
        </w:rPr>
        <w:t>En los casos previstos en este numeral, las cláusulas excepcionales se entienden pactadas aun cuando no se consignen expresamente». Esto significa que, de acuerdo con el artículo 1501 del Código Civil, las cláusulas excepcionales –salvo la de reversión– son elementos de la naturaleza de los contratos que tengan por objeto prestaciones relacionadas con el Plan de Alimentación Escolar (PAE), pues aunque no se pacten, se entienden incorporadas por ministerio de la Ley.</w:t>
      </w:r>
    </w:p>
    <w:p w14:paraId="222DC94D" w14:textId="0108CF06" w:rsidR="00EF1E5B" w:rsidRPr="0088472A" w:rsidRDefault="00EF1E5B" w:rsidP="00757250">
      <w:pPr>
        <w:jc w:val="both"/>
        <w:rPr>
          <w:rFonts w:ascii="Arial" w:hAnsi="Arial" w:cs="Arial"/>
          <w:noProof/>
          <w:color w:val="000000" w:themeColor="text1"/>
          <w:sz w:val="20"/>
          <w:szCs w:val="20"/>
          <w:lang w:val="es-ES_tradnl"/>
        </w:rPr>
      </w:pPr>
    </w:p>
    <w:p w14:paraId="15BCE4F2" w14:textId="77777777" w:rsidR="00CE210E" w:rsidRPr="0088472A" w:rsidRDefault="00CE210E" w:rsidP="00757250">
      <w:pPr>
        <w:jc w:val="both"/>
        <w:rPr>
          <w:rFonts w:ascii="Arial" w:eastAsia="Calibri" w:hAnsi="Arial" w:cs="Arial"/>
          <w:b/>
          <w:bCs/>
          <w:color w:val="000000" w:themeColor="text1"/>
          <w:sz w:val="22"/>
          <w:lang w:val="es-ES_tradnl"/>
        </w:rPr>
      </w:pPr>
    </w:p>
    <w:p w14:paraId="37C34119" w14:textId="38119639" w:rsidR="00612268" w:rsidRPr="0088472A" w:rsidRDefault="00612268" w:rsidP="00757250">
      <w:pPr>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CLÁUSULAS EXCEPCIONALES ― Contratos ― PAE ― Aplicación ― Debido proceso ― Equilibrio contractual</w:t>
      </w:r>
    </w:p>
    <w:p w14:paraId="49FADB7E" w14:textId="77777777" w:rsidR="00612268" w:rsidRPr="0088472A" w:rsidRDefault="00612268" w:rsidP="00757250">
      <w:pPr>
        <w:jc w:val="both"/>
        <w:rPr>
          <w:rFonts w:ascii="Arial" w:hAnsi="Arial" w:cs="Arial"/>
          <w:noProof/>
          <w:color w:val="000000" w:themeColor="text1"/>
          <w:sz w:val="20"/>
          <w:szCs w:val="20"/>
          <w:lang w:val="es-ES_tradnl"/>
        </w:rPr>
      </w:pPr>
    </w:p>
    <w:p w14:paraId="5DC72756" w14:textId="2B747A93" w:rsidR="00612268" w:rsidRPr="0088472A" w:rsidRDefault="00612268" w:rsidP="00757250">
      <w:pPr>
        <w:jc w:val="both"/>
        <w:rPr>
          <w:rFonts w:ascii="Arial" w:hAnsi="Arial" w:cs="Arial"/>
          <w:color w:val="000000" w:themeColor="text1"/>
          <w:sz w:val="20"/>
          <w:szCs w:val="20"/>
          <w:lang w:val="es-ES_tradnl"/>
        </w:rPr>
      </w:pPr>
      <w:r w:rsidRPr="0088472A">
        <w:rPr>
          <w:rFonts w:ascii="Arial" w:hAnsi="Arial" w:cs="Arial"/>
          <w:color w:val="000000" w:themeColor="text1"/>
          <w:sz w:val="20"/>
          <w:szCs w:val="20"/>
        </w:rPr>
        <w:lastRenderedPageBreak/>
        <w:t xml:space="preserve">Para hacer efectivas las cláusulas excepcionales al derecho común las entidades estatales deberán, por un lado, respetar el debido proceso del contratista y, por otro, garantizar el principio del equilibrio económico del contrato cuando a ello haya lugar. Frente a lo primero, conviene recordar que el artículo 29 de la Constitución establece que «El debido proceso se aplicará a toda clase de actuaciones judiciales y administrativas», y así lo reiteran los artículos 17 de la Ley 1150 de 2007 y 3, numeral 1, de la Ley 1437 de 2011. De este modo, dependiendo de si la cláusula excepcional tiene o no un carácter sancionatorio, la entidad estatal deberá aplicar el procedimiento administrativo </w:t>
      </w:r>
      <w:r w:rsidRPr="0088472A">
        <w:rPr>
          <w:rFonts w:ascii="Arial" w:hAnsi="Arial" w:cs="Arial"/>
          <w:i/>
          <w:iCs/>
          <w:color w:val="000000" w:themeColor="text1"/>
          <w:sz w:val="20"/>
          <w:szCs w:val="20"/>
        </w:rPr>
        <w:t>general o común</w:t>
      </w:r>
      <w:r w:rsidRPr="0088472A">
        <w:rPr>
          <w:rFonts w:ascii="Arial" w:hAnsi="Arial" w:cs="Arial"/>
          <w:color w:val="000000" w:themeColor="text1"/>
          <w:sz w:val="20"/>
          <w:szCs w:val="20"/>
        </w:rPr>
        <w:t xml:space="preserve"> regulado en los artículos 34 al 45 de la Ley 1437 de 2011 –aplicable por remisión del artículo 77 de la Ley 80 de 1993– o el procedimiento administrativo </w:t>
      </w:r>
      <w:r w:rsidRPr="0088472A">
        <w:rPr>
          <w:rFonts w:ascii="Arial" w:hAnsi="Arial" w:cs="Arial"/>
          <w:i/>
          <w:iCs/>
          <w:color w:val="000000" w:themeColor="text1"/>
          <w:sz w:val="20"/>
          <w:szCs w:val="20"/>
        </w:rPr>
        <w:t>sancionatorio</w:t>
      </w:r>
      <w:r w:rsidRPr="0088472A">
        <w:rPr>
          <w:rFonts w:ascii="Arial" w:hAnsi="Arial" w:cs="Arial"/>
          <w:color w:val="000000" w:themeColor="text1"/>
          <w:sz w:val="20"/>
          <w:szCs w:val="20"/>
        </w:rPr>
        <w:t xml:space="preserve"> consagrado en el artículo 86 de la Ley 1437 de 2011. El primero de los procedimientos mencionados, por ejemplo, sería el aplicable a la interpretación unilateral y el segundo, a la declaratoria de caducidad. Por su parte, la garantía del equilibrio económico del contrato es un deber que se encuentra previsto en el numeral 1, inciso 2, del artículo 14 de la Ley 80 de 1993, según el cual «</w:t>
      </w:r>
      <w:r w:rsidRPr="0088472A">
        <w:rPr>
          <w:rFonts w:ascii="Arial" w:hAnsi="Arial" w:cs="Arial"/>
          <w:color w:val="000000" w:themeColor="text1"/>
          <w:sz w:val="20"/>
          <w:szCs w:val="20"/>
          <w:lang w:val="es-ES_tradnl"/>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  Ahora bien, esto deberá ser analizado por cada entidad estatal, según la naturaleza de la cláusula excepcional que pretenda ejercer, pues, por ejemplo, en la caducidad no tiene sentido que el contratista reciba una compensación económica por supuesto desequilibrio financiero, cuando ha sido él quien ha incumplido gravemente el contrato; pero, en cambio, una modificación unilateral sí podría afectar dicha ecuación y hacer al contratista merecedor del restablecimiento subsecuente.</w:t>
      </w:r>
    </w:p>
    <w:p w14:paraId="4913685E" w14:textId="77777777" w:rsidR="00757250" w:rsidRPr="0088472A" w:rsidRDefault="00757250" w:rsidP="00757250">
      <w:pPr>
        <w:jc w:val="both"/>
        <w:rPr>
          <w:rFonts w:ascii="Arial" w:hAnsi="Arial" w:cs="Arial"/>
          <w:color w:val="000000" w:themeColor="text1"/>
          <w:sz w:val="20"/>
          <w:szCs w:val="20"/>
          <w:lang w:val="es-ES_tradnl"/>
        </w:rPr>
      </w:pPr>
    </w:p>
    <w:p w14:paraId="3C3CF6C5" w14:textId="2168B5CE" w:rsidR="00612268" w:rsidRPr="0088472A" w:rsidRDefault="00612268" w:rsidP="00757250">
      <w:pPr>
        <w:jc w:val="both"/>
        <w:rPr>
          <w:rFonts w:ascii="Arial" w:hAnsi="Arial" w:cs="Arial"/>
          <w:color w:val="000000" w:themeColor="text1"/>
          <w:sz w:val="20"/>
          <w:szCs w:val="20"/>
          <w:lang w:val="es-ES_tradnl"/>
        </w:rPr>
      </w:pPr>
      <w:r w:rsidRPr="0088472A">
        <w:rPr>
          <w:rFonts w:ascii="Arial" w:hAnsi="Arial" w:cs="Arial"/>
          <w:color w:val="000000" w:themeColor="text1"/>
          <w:sz w:val="20"/>
          <w:szCs w:val="20"/>
          <w:lang w:val="es-ES_tradnl"/>
        </w:rPr>
        <w:t xml:space="preserve">Finalmente, de acuerdo con los artículos 11 y 12 de la Ley 80 de 1993, son los representantes legales de las entidades públicas o sus delegatarios los llamados a adelantar los procedimientos administrativos tendientes a la aplicación de las cláusulas excepcionales en forma adecuada, de manera que no se afecte injustificadamente la ejecución del Programa de Alimentación Escolar. Esto último sucedería, por ejemplo, si la entidad estatal incurre en dilaciones injustificadas en el trámite del procedimiento, conduciendo a un desgaste administrativo que se manifiesta también negativamente en la ejecución del contrato, o cuando aplica una cláusula excepcional sin que se presente el supuesto fáctico y jurídico correspondiente –verbigracia, cuando declara la caducidad sin que haya existido incumplimiento, haciendo que el contrato termine–. En tal sentido, el ejercicio de los poderes exorbitantes incluidos por el legislador en los contratos cuyo objeto está relacionado con la ejecución del PAE debe ser acorde con el ordenamiento jurídico, lo que supone, </w:t>
      </w:r>
      <w:r w:rsidRPr="0088472A">
        <w:rPr>
          <w:rFonts w:ascii="Arial" w:hAnsi="Arial" w:cs="Arial"/>
          <w:i/>
          <w:iCs/>
          <w:color w:val="000000" w:themeColor="text1"/>
          <w:sz w:val="20"/>
          <w:szCs w:val="20"/>
          <w:lang w:val="es-ES_tradnl"/>
        </w:rPr>
        <w:t>entre otros elementos</w:t>
      </w:r>
      <w:r w:rsidRPr="0088472A">
        <w:rPr>
          <w:rFonts w:ascii="Arial" w:hAnsi="Arial" w:cs="Arial"/>
          <w:color w:val="000000" w:themeColor="text1"/>
          <w:sz w:val="20"/>
          <w:szCs w:val="20"/>
          <w:lang w:val="es-ES_tradnl"/>
        </w:rPr>
        <w:t>, garantizar los principios de celeridad, proporcionalidad y legalidad.</w:t>
      </w:r>
    </w:p>
    <w:p w14:paraId="02FBBE1E" w14:textId="77777777" w:rsidR="001E2880" w:rsidRPr="0088472A" w:rsidRDefault="001E2880" w:rsidP="00757250">
      <w:pPr>
        <w:jc w:val="both"/>
        <w:rPr>
          <w:rFonts w:ascii="Arial" w:hAnsi="Arial" w:cs="Arial"/>
          <w:noProof/>
          <w:color w:val="000000" w:themeColor="text1"/>
          <w:sz w:val="22"/>
          <w:lang w:val="es-ES_tradnl"/>
        </w:rPr>
      </w:pPr>
    </w:p>
    <w:p w14:paraId="71785AC6" w14:textId="77777777" w:rsidR="001E2880" w:rsidRPr="0088472A" w:rsidRDefault="001E2880" w:rsidP="001C661B">
      <w:pPr>
        <w:spacing w:line="276" w:lineRule="auto"/>
        <w:jc w:val="both"/>
        <w:rPr>
          <w:rFonts w:ascii="Arial" w:hAnsi="Arial" w:cs="Arial"/>
          <w:noProof/>
          <w:color w:val="000000" w:themeColor="text1"/>
          <w:sz w:val="22"/>
          <w:lang w:val="es-ES_tradnl"/>
        </w:rPr>
      </w:pPr>
    </w:p>
    <w:p w14:paraId="639E579E" w14:textId="77777777" w:rsidR="001E2880" w:rsidRPr="0088472A" w:rsidRDefault="001E2880" w:rsidP="001C661B">
      <w:pPr>
        <w:spacing w:line="276" w:lineRule="auto"/>
        <w:jc w:val="both"/>
        <w:rPr>
          <w:rFonts w:ascii="Arial" w:hAnsi="Arial" w:cs="Arial"/>
          <w:noProof/>
          <w:color w:val="000000" w:themeColor="text1"/>
          <w:sz w:val="22"/>
          <w:lang w:val="es-ES_tradnl"/>
        </w:rPr>
      </w:pPr>
    </w:p>
    <w:p w14:paraId="6A9BE833" w14:textId="77777777" w:rsidR="001E2880" w:rsidRPr="0088472A" w:rsidRDefault="001E2880" w:rsidP="001C661B">
      <w:pPr>
        <w:spacing w:line="276" w:lineRule="auto"/>
        <w:jc w:val="both"/>
        <w:rPr>
          <w:rFonts w:ascii="Arial" w:hAnsi="Arial" w:cs="Arial"/>
          <w:noProof/>
          <w:color w:val="000000" w:themeColor="text1"/>
          <w:sz w:val="22"/>
          <w:lang w:val="es-ES_tradnl"/>
        </w:rPr>
      </w:pPr>
    </w:p>
    <w:p w14:paraId="66AF0AC1" w14:textId="77777777" w:rsidR="001E2880" w:rsidRPr="0088472A" w:rsidRDefault="001E2880" w:rsidP="001C661B">
      <w:pPr>
        <w:spacing w:line="276" w:lineRule="auto"/>
        <w:jc w:val="both"/>
        <w:rPr>
          <w:rFonts w:ascii="Arial" w:hAnsi="Arial" w:cs="Arial"/>
          <w:noProof/>
          <w:color w:val="000000" w:themeColor="text1"/>
          <w:sz w:val="22"/>
          <w:lang w:val="es-ES_tradnl"/>
        </w:rPr>
      </w:pPr>
    </w:p>
    <w:p w14:paraId="7DAEBED3" w14:textId="77777777" w:rsidR="001E2880" w:rsidRPr="0088472A" w:rsidRDefault="001E2880" w:rsidP="001C661B">
      <w:pPr>
        <w:spacing w:line="276" w:lineRule="auto"/>
        <w:jc w:val="both"/>
        <w:rPr>
          <w:rFonts w:ascii="Arial" w:hAnsi="Arial" w:cs="Arial"/>
          <w:noProof/>
          <w:color w:val="000000" w:themeColor="text1"/>
          <w:sz w:val="22"/>
          <w:lang w:val="es-ES_tradnl"/>
        </w:rPr>
      </w:pPr>
    </w:p>
    <w:p w14:paraId="26522C48" w14:textId="77777777" w:rsidR="00593C7A" w:rsidRPr="0088472A" w:rsidRDefault="00593C7A" w:rsidP="001C661B">
      <w:pPr>
        <w:spacing w:line="276" w:lineRule="auto"/>
        <w:jc w:val="both"/>
        <w:rPr>
          <w:rFonts w:ascii="Arial" w:hAnsi="Arial" w:cs="Arial"/>
          <w:noProof/>
          <w:color w:val="000000" w:themeColor="text1"/>
          <w:sz w:val="22"/>
          <w:lang w:val="es-ES_tradnl"/>
        </w:rPr>
      </w:pPr>
    </w:p>
    <w:p w14:paraId="05B49C96" w14:textId="77777777" w:rsidR="00593C7A" w:rsidRPr="0088472A" w:rsidRDefault="00593C7A" w:rsidP="001C661B">
      <w:pPr>
        <w:spacing w:line="276" w:lineRule="auto"/>
        <w:jc w:val="both"/>
        <w:rPr>
          <w:rFonts w:ascii="Arial" w:hAnsi="Arial" w:cs="Arial"/>
          <w:noProof/>
          <w:color w:val="000000" w:themeColor="text1"/>
          <w:sz w:val="22"/>
          <w:lang w:val="es-ES_tradnl"/>
        </w:rPr>
      </w:pPr>
    </w:p>
    <w:p w14:paraId="65263653" w14:textId="77777777" w:rsidR="00593C7A" w:rsidRPr="0088472A" w:rsidRDefault="00593C7A" w:rsidP="001C661B">
      <w:pPr>
        <w:spacing w:line="276" w:lineRule="auto"/>
        <w:jc w:val="both"/>
        <w:rPr>
          <w:rFonts w:ascii="Arial" w:hAnsi="Arial" w:cs="Arial"/>
          <w:noProof/>
          <w:color w:val="000000" w:themeColor="text1"/>
          <w:sz w:val="22"/>
          <w:lang w:val="es-ES_tradnl"/>
        </w:rPr>
      </w:pPr>
    </w:p>
    <w:p w14:paraId="6D3ED2F8" w14:textId="77777777" w:rsidR="00A22B43" w:rsidRPr="0088472A" w:rsidRDefault="00A22B43" w:rsidP="001C661B">
      <w:pPr>
        <w:spacing w:line="276" w:lineRule="auto"/>
        <w:jc w:val="both"/>
        <w:rPr>
          <w:rFonts w:ascii="Arial" w:hAnsi="Arial" w:cs="Arial"/>
          <w:noProof/>
          <w:color w:val="000000" w:themeColor="text1"/>
          <w:sz w:val="22"/>
          <w:lang w:val="es-ES_tradnl"/>
        </w:rPr>
      </w:pPr>
    </w:p>
    <w:p w14:paraId="6741A1D1" w14:textId="77777777" w:rsidR="0088472A" w:rsidRPr="0088472A" w:rsidRDefault="0088472A" w:rsidP="001C661B">
      <w:pPr>
        <w:spacing w:line="276" w:lineRule="auto"/>
        <w:jc w:val="both"/>
        <w:rPr>
          <w:rFonts w:ascii="Arial" w:hAnsi="Arial" w:cs="Arial"/>
          <w:noProof/>
          <w:color w:val="000000" w:themeColor="text1"/>
          <w:sz w:val="22"/>
          <w:lang w:val="es-ES_tradnl"/>
        </w:rPr>
      </w:pPr>
    </w:p>
    <w:p w14:paraId="31AB0E75" w14:textId="77777777" w:rsidR="0088472A" w:rsidRPr="0088472A" w:rsidRDefault="0088472A" w:rsidP="001C661B">
      <w:pPr>
        <w:spacing w:line="276" w:lineRule="auto"/>
        <w:jc w:val="both"/>
        <w:rPr>
          <w:rFonts w:ascii="Arial" w:hAnsi="Arial" w:cs="Arial"/>
          <w:noProof/>
          <w:color w:val="000000" w:themeColor="text1"/>
          <w:sz w:val="22"/>
          <w:lang w:val="es-ES_tradnl"/>
        </w:rPr>
      </w:pPr>
    </w:p>
    <w:p w14:paraId="30E969F0" w14:textId="77777777" w:rsidR="0088472A" w:rsidRPr="0088472A" w:rsidRDefault="0088472A" w:rsidP="001C661B">
      <w:pPr>
        <w:spacing w:line="276" w:lineRule="auto"/>
        <w:jc w:val="both"/>
        <w:rPr>
          <w:rFonts w:ascii="Arial" w:hAnsi="Arial" w:cs="Arial"/>
          <w:noProof/>
          <w:color w:val="000000" w:themeColor="text1"/>
          <w:sz w:val="22"/>
          <w:lang w:val="es-ES_tradnl"/>
        </w:rPr>
      </w:pPr>
    </w:p>
    <w:p w14:paraId="48DADBC5" w14:textId="77777777" w:rsidR="0088472A" w:rsidRPr="0088472A" w:rsidRDefault="0088472A" w:rsidP="001C661B">
      <w:pPr>
        <w:spacing w:line="276" w:lineRule="auto"/>
        <w:jc w:val="both"/>
        <w:rPr>
          <w:rFonts w:ascii="Arial" w:hAnsi="Arial" w:cs="Arial"/>
          <w:noProof/>
          <w:color w:val="000000" w:themeColor="text1"/>
          <w:sz w:val="22"/>
          <w:lang w:val="es-ES_tradnl"/>
        </w:rPr>
      </w:pPr>
    </w:p>
    <w:p w14:paraId="28D35FFE" w14:textId="326604FD" w:rsidR="001C661B" w:rsidRPr="0088472A" w:rsidRDefault="001C661B" w:rsidP="001C661B">
      <w:pPr>
        <w:spacing w:line="276" w:lineRule="auto"/>
        <w:jc w:val="both"/>
        <w:rPr>
          <w:rFonts w:ascii="Arial" w:hAnsi="Arial" w:cs="Arial"/>
          <w:b/>
          <w:color w:val="000000" w:themeColor="text1"/>
          <w:sz w:val="22"/>
          <w:lang w:val="es-ES_tradnl"/>
        </w:rPr>
      </w:pPr>
      <w:r w:rsidRPr="0088472A">
        <w:rPr>
          <w:rFonts w:ascii="Arial" w:hAnsi="Arial" w:cs="Arial"/>
          <w:noProof/>
          <w:color w:val="000000" w:themeColor="text1"/>
          <w:sz w:val="22"/>
          <w:lang w:val="es-ES_tradnl"/>
        </w:rPr>
        <w:lastRenderedPageBreak/>
        <w:t xml:space="preserve">Bogotá D.C., </w:t>
      </w:r>
      <w:r w:rsidR="00263D44">
        <w:rPr>
          <w:rFonts w:ascii="Arial" w:hAnsi="Arial" w:cs="Arial"/>
          <w:b/>
          <w:color w:val="000000" w:themeColor="text1"/>
          <w:sz w:val="22"/>
          <w:lang w:val="es-ES_tradnl"/>
        </w:rPr>
        <w:t>07/06/2022 08:23:23</w:t>
      </w:r>
    </w:p>
    <w:p w14:paraId="50165522" w14:textId="77777777" w:rsidR="001C661B" w:rsidRPr="0088472A" w:rsidRDefault="001C661B" w:rsidP="001C661B">
      <w:pPr>
        <w:spacing w:line="276" w:lineRule="auto"/>
        <w:jc w:val="both"/>
        <w:rPr>
          <w:rFonts w:ascii="Arial" w:eastAsia="Calibri" w:hAnsi="Arial" w:cs="Arial"/>
          <w:noProof/>
          <w:color w:val="000000" w:themeColor="text1"/>
          <w:sz w:val="22"/>
          <w:szCs w:val="22"/>
          <w:lang w:val="es-ES_tradnl"/>
        </w:rPr>
      </w:pPr>
    </w:p>
    <w:p w14:paraId="628CB3E2" w14:textId="0EE51121" w:rsidR="00DF7420" w:rsidRPr="0088472A" w:rsidRDefault="00263D44" w:rsidP="00263D44">
      <w:pPr>
        <w:jc w:val="right"/>
        <w:rPr>
          <w:rFonts w:ascii="Arial" w:hAnsi="Arial" w:cs="Arial"/>
          <w:bCs/>
          <w:color w:val="000000" w:themeColor="text1"/>
          <w:sz w:val="22"/>
          <w:lang w:val="es-ES_tradnl"/>
        </w:rPr>
      </w:pPr>
      <w:r w:rsidRPr="00263D44">
        <w:rPr>
          <w:rFonts w:ascii="Arial" w:hAnsi="Arial" w:cs="Arial"/>
          <w:b/>
          <w:noProof/>
          <w:color w:val="000000" w:themeColor="text1"/>
          <w:sz w:val="22"/>
          <w:lang w:val="es-ES_tradnl"/>
        </w:rPr>
        <w:drawing>
          <wp:inline distT="0" distB="0" distL="0" distR="0" wp14:anchorId="04CEE354" wp14:editId="0FF3B3CF">
            <wp:extent cx="2489200" cy="660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9200" cy="660400"/>
                    </a:xfrm>
                    <a:prstGeom prst="rect">
                      <a:avLst/>
                    </a:prstGeom>
                  </pic:spPr>
                </pic:pic>
              </a:graphicData>
            </a:graphic>
          </wp:inline>
        </w:drawing>
      </w:r>
    </w:p>
    <w:p w14:paraId="0BABB61F" w14:textId="1416E140" w:rsidR="00D63A42" w:rsidRPr="0088472A" w:rsidRDefault="00D63A42" w:rsidP="00D63A42">
      <w:pPr>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Doctor</w:t>
      </w:r>
    </w:p>
    <w:p w14:paraId="557675C3" w14:textId="102F0BFE" w:rsidR="00D63A42" w:rsidRPr="0088472A" w:rsidRDefault="00F1097C" w:rsidP="00D63A42">
      <w:pPr>
        <w:rPr>
          <w:rFonts w:ascii="Arial" w:eastAsia="Calibri" w:hAnsi="Arial" w:cs="Arial"/>
          <w:b/>
          <w:color w:val="000000" w:themeColor="text1"/>
          <w:sz w:val="22"/>
          <w:lang w:val="es-ES_tradnl"/>
        </w:rPr>
      </w:pPr>
      <w:r w:rsidRPr="0088472A">
        <w:rPr>
          <w:rFonts w:ascii="Arial" w:eastAsia="Calibri" w:hAnsi="Arial" w:cs="Arial"/>
          <w:b/>
          <w:color w:val="000000" w:themeColor="text1"/>
          <w:sz w:val="22"/>
          <w:lang w:val="es-ES_tradnl"/>
        </w:rPr>
        <w:t>Juan Carlos Martínez Martín</w:t>
      </w:r>
    </w:p>
    <w:p w14:paraId="3C90A404" w14:textId="417547B0" w:rsidR="00D63A42" w:rsidRPr="0088472A" w:rsidRDefault="001A2B34" w:rsidP="00D63A42">
      <w:pPr>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Director General</w:t>
      </w:r>
    </w:p>
    <w:p w14:paraId="7B9CA97A" w14:textId="77777777" w:rsidR="00F2659F" w:rsidRPr="0088472A" w:rsidRDefault="00F2659F" w:rsidP="00F2659F">
      <w:pPr>
        <w:rPr>
          <w:rFonts w:ascii="Arial" w:eastAsia="Calibri" w:hAnsi="Arial" w:cs="Arial"/>
          <w:color w:val="000000" w:themeColor="text1"/>
          <w:sz w:val="22"/>
        </w:rPr>
      </w:pPr>
      <w:r w:rsidRPr="0088472A">
        <w:rPr>
          <w:rFonts w:ascii="Arial" w:eastAsia="Calibri" w:hAnsi="Arial" w:cs="Arial"/>
          <w:color w:val="000000" w:themeColor="text1"/>
          <w:sz w:val="22"/>
        </w:rPr>
        <w:t>Unidad Administrativa Especial de Alimentación Escolar</w:t>
      </w:r>
    </w:p>
    <w:p w14:paraId="13F0EFB1" w14:textId="77777777" w:rsidR="00D63A42" w:rsidRPr="0088472A" w:rsidRDefault="00D63A42" w:rsidP="00D63A42">
      <w:pPr>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Bogotá, D.C.</w:t>
      </w:r>
    </w:p>
    <w:p w14:paraId="0A3EDA97" w14:textId="3B537491" w:rsidR="00DF7420" w:rsidRPr="0088472A" w:rsidRDefault="00DF7420" w:rsidP="00DF7420">
      <w:pPr>
        <w:jc w:val="both"/>
        <w:rPr>
          <w:rFonts w:ascii="Arial" w:eastAsia="Calibri" w:hAnsi="Arial" w:cs="Arial"/>
          <w:color w:val="000000" w:themeColor="text1"/>
          <w:sz w:val="22"/>
          <w:lang w:val="es-ES_tradnl"/>
        </w:rPr>
      </w:pPr>
    </w:p>
    <w:p w14:paraId="3F3D1203" w14:textId="77777777" w:rsidR="00B95C30" w:rsidRPr="0088472A" w:rsidRDefault="00B95C30" w:rsidP="00B95C30">
      <w:pPr>
        <w:jc w:val="both"/>
        <w:rPr>
          <w:rFonts w:ascii="Arial" w:eastAsia="Calibri" w:hAnsi="Arial" w:cs="Arial"/>
          <w:color w:val="000000" w:themeColor="text1"/>
          <w:sz w:val="22"/>
          <w:lang w:val="es-ES_tradnl"/>
        </w:rPr>
      </w:pPr>
    </w:p>
    <w:p w14:paraId="24E8D2A9" w14:textId="77777777" w:rsidR="00B95C30" w:rsidRPr="0088472A" w:rsidRDefault="00B95C30" w:rsidP="00B95C30">
      <w:pPr>
        <w:jc w:val="both"/>
        <w:rPr>
          <w:rFonts w:ascii="Arial" w:eastAsia="Calibri" w:hAnsi="Arial" w:cs="Arial"/>
          <w:color w:val="000000" w:themeColor="text1"/>
          <w:sz w:val="22"/>
          <w:lang w:val="es-ES_tradnl"/>
        </w:rPr>
      </w:pPr>
    </w:p>
    <w:p w14:paraId="12E66182" w14:textId="473AA408" w:rsidR="00B95C30" w:rsidRPr="0088472A" w:rsidRDefault="008815D1" w:rsidP="00B06C81">
      <w:pPr>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 xml:space="preserve">                                            </w:t>
      </w:r>
      <w:r w:rsidR="00B95C30" w:rsidRPr="0088472A">
        <w:rPr>
          <w:rFonts w:ascii="Arial" w:eastAsia="Calibri" w:hAnsi="Arial" w:cs="Arial"/>
          <w:b/>
          <w:bCs/>
          <w:color w:val="000000" w:themeColor="text1"/>
          <w:sz w:val="22"/>
          <w:lang w:val="es-ES_tradnl"/>
        </w:rPr>
        <w:t xml:space="preserve">Concepto C ‒ </w:t>
      </w:r>
      <w:r w:rsidR="0027341C" w:rsidRPr="0088472A">
        <w:rPr>
          <w:rFonts w:ascii="Arial" w:eastAsia="Calibri" w:hAnsi="Arial" w:cs="Arial"/>
          <w:b/>
          <w:bCs/>
          <w:color w:val="000000" w:themeColor="text1"/>
          <w:sz w:val="22"/>
          <w:lang w:val="es-ES_tradnl"/>
        </w:rPr>
        <w:t>394</w:t>
      </w:r>
      <w:r w:rsidR="001429DA" w:rsidRPr="0088472A">
        <w:rPr>
          <w:rFonts w:ascii="Arial" w:eastAsia="Calibri" w:hAnsi="Arial" w:cs="Arial"/>
          <w:b/>
          <w:bCs/>
          <w:color w:val="000000" w:themeColor="text1"/>
          <w:sz w:val="22"/>
          <w:lang w:val="es-ES_tradnl"/>
        </w:rPr>
        <w:t xml:space="preserve"> </w:t>
      </w:r>
      <w:r w:rsidR="00B95C30" w:rsidRPr="0088472A">
        <w:rPr>
          <w:rFonts w:ascii="Arial" w:eastAsia="Calibri" w:hAnsi="Arial" w:cs="Arial"/>
          <w:b/>
          <w:bCs/>
          <w:color w:val="000000" w:themeColor="text1"/>
          <w:sz w:val="22"/>
          <w:lang w:val="es-ES_tradnl"/>
        </w:rPr>
        <w:t>de 202</w:t>
      </w:r>
      <w:r w:rsidR="00A40781" w:rsidRPr="0088472A">
        <w:rPr>
          <w:rFonts w:ascii="Arial" w:eastAsia="Calibri" w:hAnsi="Arial" w:cs="Arial"/>
          <w:b/>
          <w:bCs/>
          <w:color w:val="000000" w:themeColor="text1"/>
          <w:sz w:val="22"/>
          <w:lang w:val="es-ES_tradnl"/>
        </w:rPr>
        <w:t>2</w:t>
      </w:r>
    </w:p>
    <w:p w14:paraId="1BD594F9" w14:textId="77777777" w:rsidR="00B95C30" w:rsidRPr="0088472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66EFB" w:rsidRPr="0088472A" w14:paraId="19DFC051" w14:textId="77777777" w:rsidTr="0015145A">
        <w:tc>
          <w:tcPr>
            <w:tcW w:w="2689" w:type="dxa"/>
          </w:tcPr>
          <w:p w14:paraId="6BC0D1AC" w14:textId="77777777" w:rsidR="0000556F" w:rsidRPr="0088472A" w:rsidRDefault="0000556F" w:rsidP="0000556F">
            <w:pPr>
              <w:jc w:val="both"/>
              <w:rPr>
                <w:rFonts w:ascii="Arial" w:eastAsia="Calibri" w:hAnsi="Arial" w:cs="Arial"/>
                <w:color w:val="000000" w:themeColor="text1"/>
                <w:sz w:val="22"/>
                <w:lang w:val="es-ES_tradnl"/>
              </w:rPr>
            </w:pPr>
            <w:r w:rsidRPr="0088472A">
              <w:rPr>
                <w:rFonts w:ascii="Arial" w:eastAsia="Calibri" w:hAnsi="Arial" w:cs="Arial"/>
                <w:b/>
                <w:color w:val="000000" w:themeColor="text1"/>
                <w:sz w:val="22"/>
                <w:lang w:val="es-ES_tradnl"/>
              </w:rPr>
              <w:t>Temas:</w:t>
            </w:r>
            <w:r w:rsidRPr="0088472A">
              <w:rPr>
                <w:rFonts w:ascii="Arial" w:eastAsia="Calibri" w:hAnsi="Arial" w:cs="Arial"/>
                <w:color w:val="000000" w:themeColor="text1"/>
                <w:sz w:val="22"/>
                <w:lang w:val="es-ES_tradnl"/>
              </w:rPr>
              <w:t xml:space="preserve">                                      </w:t>
            </w:r>
          </w:p>
        </w:tc>
        <w:tc>
          <w:tcPr>
            <w:tcW w:w="6237" w:type="dxa"/>
          </w:tcPr>
          <w:p w14:paraId="5F389CAF" w14:textId="7D11509C" w:rsidR="0000556F" w:rsidRPr="0088472A" w:rsidRDefault="0000556F" w:rsidP="0000556F">
            <w:pPr>
              <w:pStyle w:val="Sinespaciado"/>
              <w:jc w:val="both"/>
              <w:rPr>
                <w:rFonts w:ascii="Arial" w:hAnsi="Arial" w:cs="Arial"/>
                <w:bCs/>
                <w:color w:val="000000" w:themeColor="text1"/>
                <w:sz w:val="22"/>
                <w:lang w:val="es-CO"/>
              </w:rPr>
            </w:pPr>
            <w:r w:rsidRPr="0088472A">
              <w:rPr>
                <w:rFonts w:ascii="Arial" w:eastAsia="Calibri" w:hAnsi="Arial" w:cs="Arial"/>
                <w:color w:val="000000" w:themeColor="text1"/>
                <w:sz w:val="22"/>
                <w:lang w:val="es-ES_tradnl"/>
              </w:rPr>
              <w:t xml:space="preserve">INHABILIDADES E INCOMPATIBILIDADES ― Límites a la capacidad ― Régimen / INHABILIDADES E INCOMPATIBILIDADES ― Concepto ― Diferencias / INHABILIDADES E INCOMPATIBILIDADES ― Interpretación restrictiva ― Principio </w:t>
            </w:r>
            <w:r w:rsidRPr="0088472A">
              <w:rPr>
                <w:rFonts w:ascii="Arial" w:eastAsia="Calibri" w:hAnsi="Arial" w:cs="Arial"/>
                <w:i/>
                <w:iCs/>
                <w:color w:val="000000" w:themeColor="text1"/>
                <w:sz w:val="22"/>
                <w:lang w:val="es-ES_tradnl"/>
              </w:rPr>
              <w:t xml:space="preserve">pro </w:t>
            </w:r>
            <w:proofErr w:type="spellStart"/>
            <w:r w:rsidRPr="0088472A">
              <w:rPr>
                <w:rFonts w:ascii="Arial" w:eastAsia="Calibri" w:hAnsi="Arial" w:cs="Arial"/>
                <w:i/>
                <w:iCs/>
                <w:color w:val="000000" w:themeColor="text1"/>
                <w:sz w:val="22"/>
                <w:lang w:val="es-ES_tradnl"/>
              </w:rPr>
              <w:t>libertate</w:t>
            </w:r>
            <w:proofErr w:type="spellEnd"/>
            <w:r w:rsidRPr="0088472A">
              <w:rPr>
                <w:rFonts w:ascii="Arial" w:eastAsia="Calibri" w:hAnsi="Arial" w:cs="Arial"/>
                <w:color w:val="000000" w:themeColor="text1"/>
                <w:sz w:val="22"/>
                <w:lang w:val="es-ES_tradnl"/>
              </w:rPr>
              <w:t xml:space="preserve"> / PRINCIPIO DE FAVORABILIDAD ― Inhabilidades ― Incompatibilidades ― Aplicación ― Debido proceso</w:t>
            </w:r>
            <w:r w:rsidR="00CE210E" w:rsidRPr="0088472A">
              <w:rPr>
                <w:rFonts w:ascii="Arial" w:eastAsia="Calibri" w:hAnsi="Arial" w:cs="Arial"/>
                <w:color w:val="000000" w:themeColor="text1"/>
                <w:sz w:val="22"/>
                <w:lang w:val="es-ES_tradnl"/>
              </w:rPr>
              <w:t xml:space="preserve"> / INCUMPLIMIENTO REITERADO ― Inhabilidad ― Ley 1474 ― Artículo 90 ― Redacción original ― Ley 1955 – Modificación / INCUMPLIMIENTO REITERADO ― Inhabilidad ― Ley 2195 ― Artículo 51 ― Adición ― Literal d) ― PAE / INHABILIDAD ― Incumplimiento reiterado ― Ley 2195 ― Artículo 51 ― PAE / CLÁUSULAS EXCEPCIONALES ― Concepto ― Ley 80 ― Artículo 14 / CLÁUSULAS EXCEPCIONALES ― Ley 2195 ― Artículo 52 ― PAE ― Inclusión ― Elementos de la naturaleza / CLÁUSULAS EXCEPCIONALES ― Contratos ― PAE ― Aplicación ― Debido proceso ― Equilibrio contractual.</w:t>
            </w:r>
          </w:p>
        </w:tc>
      </w:tr>
      <w:tr w:rsidR="0000556F" w:rsidRPr="0088472A" w14:paraId="27CD52AB" w14:textId="77777777" w:rsidTr="0015145A">
        <w:tc>
          <w:tcPr>
            <w:tcW w:w="2689" w:type="dxa"/>
          </w:tcPr>
          <w:p w14:paraId="37E195A1" w14:textId="4C368209" w:rsidR="0000556F" w:rsidRPr="0088472A" w:rsidRDefault="0000556F" w:rsidP="0000556F">
            <w:pPr>
              <w:spacing w:before="120"/>
              <w:jc w:val="both"/>
              <w:rPr>
                <w:rFonts w:ascii="Arial" w:eastAsia="Calibri" w:hAnsi="Arial" w:cs="Arial"/>
                <w:b/>
                <w:color w:val="000000" w:themeColor="text1"/>
                <w:sz w:val="22"/>
                <w:lang w:val="es-ES_tradnl"/>
              </w:rPr>
            </w:pPr>
            <w:r w:rsidRPr="0088472A">
              <w:rPr>
                <w:rFonts w:ascii="Arial" w:eastAsia="Calibri" w:hAnsi="Arial" w:cs="Arial"/>
                <w:b/>
                <w:color w:val="000000" w:themeColor="text1"/>
                <w:sz w:val="22"/>
                <w:lang w:val="es-ES_tradnl"/>
              </w:rPr>
              <w:t>Radicación:</w:t>
            </w:r>
            <w:r w:rsidRPr="0088472A">
              <w:rPr>
                <w:rFonts w:ascii="Arial" w:eastAsia="Calibri" w:hAnsi="Arial" w:cs="Arial"/>
                <w:color w:val="000000" w:themeColor="text1"/>
                <w:sz w:val="22"/>
                <w:lang w:val="es-ES_tradnl"/>
              </w:rPr>
              <w:t xml:space="preserve">                              </w:t>
            </w:r>
          </w:p>
        </w:tc>
        <w:tc>
          <w:tcPr>
            <w:tcW w:w="6237" w:type="dxa"/>
          </w:tcPr>
          <w:p w14:paraId="09088B1B" w14:textId="26FDB53A" w:rsidR="0000556F" w:rsidRPr="0088472A" w:rsidRDefault="0000556F" w:rsidP="0000556F">
            <w:pPr>
              <w:spacing w:before="120"/>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Respuesta a consulta # P20220505004422</w:t>
            </w:r>
          </w:p>
        </w:tc>
      </w:tr>
    </w:tbl>
    <w:p w14:paraId="1BBCEF05" w14:textId="77777777" w:rsidR="008815D1" w:rsidRPr="0088472A" w:rsidRDefault="008815D1" w:rsidP="003C3339">
      <w:pPr>
        <w:jc w:val="both"/>
        <w:rPr>
          <w:rFonts w:ascii="Arial" w:eastAsia="Calibri" w:hAnsi="Arial" w:cs="Arial"/>
          <w:color w:val="000000" w:themeColor="text1"/>
          <w:sz w:val="22"/>
          <w:lang w:val="es-ES_tradnl"/>
        </w:rPr>
      </w:pPr>
    </w:p>
    <w:p w14:paraId="4F7A4DD4" w14:textId="77777777" w:rsidR="008815D1" w:rsidRPr="0088472A" w:rsidRDefault="008815D1" w:rsidP="003C3339">
      <w:pPr>
        <w:jc w:val="both"/>
        <w:rPr>
          <w:rFonts w:ascii="Arial" w:eastAsia="Calibri" w:hAnsi="Arial" w:cs="Arial"/>
          <w:color w:val="000000" w:themeColor="text1"/>
          <w:sz w:val="22"/>
          <w:lang w:val="es-ES_tradnl"/>
        </w:rPr>
      </w:pPr>
    </w:p>
    <w:p w14:paraId="40F93D15" w14:textId="7CA300FB" w:rsidR="003A74FC" w:rsidRPr="0088472A" w:rsidRDefault="003A74FC" w:rsidP="003A74FC">
      <w:pPr>
        <w:spacing w:before="12" w:line="276" w:lineRule="auto"/>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Estimad</w:t>
      </w:r>
      <w:r w:rsidR="00275DAA" w:rsidRPr="0088472A">
        <w:rPr>
          <w:rFonts w:ascii="Arial" w:eastAsia="Calibri" w:hAnsi="Arial" w:cs="Arial"/>
          <w:color w:val="000000" w:themeColor="text1"/>
          <w:sz w:val="22"/>
          <w:lang w:val="es-ES_tradnl"/>
        </w:rPr>
        <w:t>o</w:t>
      </w:r>
      <w:r w:rsidRPr="0088472A">
        <w:rPr>
          <w:rFonts w:ascii="Arial" w:eastAsia="Calibri" w:hAnsi="Arial" w:cs="Arial"/>
          <w:color w:val="000000" w:themeColor="text1"/>
          <w:sz w:val="22"/>
          <w:lang w:val="es-ES_tradnl"/>
        </w:rPr>
        <w:t xml:space="preserve"> Doctor </w:t>
      </w:r>
      <w:r w:rsidR="00275DAA" w:rsidRPr="0088472A">
        <w:rPr>
          <w:rFonts w:ascii="Arial" w:eastAsia="Calibri" w:hAnsi="Arial" w:cs="Arial"/>
          <w:color w:val="000000" w:themeColor="text1"/>
          <w:sz w:val="22"/>
          <w:lang w:val="es-ES_tradnl"/>
        </w:rPr>
        <w:t>Martínez</w:t>
      </w:r>
      <w:r w:rsidRPr="0088472A">
        <w:rPr>
          <w:rFonts w:ascii="Arial" w:eastAsia="Calibri" w:hAnsi="Arial" w:cs="Arial"/>
          <w:color w:val="000000" w:themeColor="text1"/>
          <w:sz w:val="22"/>
          <w:lang w:val="es-ES_tradnl"/>
        </w:rPr>
        <w:t>:</w:t>
      </w:r>
    </w:p>
    <w:p w14:paraId="1EAE5543" w14:textId="77777777" w:rsidR="00DD5B04" w:rsidRPr="0088472A" w:rsidRDefault="00DD5B04" w:rsidP="00DF76A2">
      <w:pPr>
        <w:jc w:val="both"/>
        <w:rPr>
          <w:rFonts w:ascii="Arial" w:eastAsia="Calibri" w:hAnsi="Arial" w:cs="Arial"/>
          <w:color w:val="000000" w:themeColor="text1"/>
          <w:sz w:val="22"/>
          <w:lang w:val="es-ES_tradnl"/>
        </w:rPr>
      </w:pPr>
    </w:p>
    <w:p w14:paraId="2109B2D3" w14:textId="26398D22" w:rsidR="00DD5B04" w:rsidRPr="0088472A" w:rsidRDefault="00DD5B04" w:rsidP="00DF76A2">
      <w:pPr>
        <w:spacing w:line="276" w:lineRule="auto"/>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8472A">
        <w:rPr>
          <w:rFonts w:ascii="Arial" w:eastAsia="Calibri" w:hAnsi="Arial" w:cs="Arial"/>
          <w:color w:val="000000" w:themeColor="text1"/>
          <w:sz w:val="22"/>
          <w:lang w:val="es-ES_tradnl"/>
        </w:rPr>
        <w:t xml:space="preserve"> </w:t>
      </w:r>
      <w:r w:rsidRPr="0088472A">
        <w:rPr>
          <w:rFonts w:ascii="Arial" w:eastAsia="Calibri" w:hAnsi="Arial" w:cs="Arial"/>
          <w:color w:val="000000" w:themeColor="text1"/>
          <w:sz w:val="22"/>
          <w:lang w:val="es-ES_tradnl"/>
        </w:rPr>
        <w:t xml:space="preserve">responde su consulta del </w:t>
      </w:r>
      <w:r w:rsidR="00275DAA" w:rsidRPr="0088472A">
        <w:rPr>
          <w:rFonts w:ascii="Arial" w:eastAsia="Calibri" w:hAnsi="Arial" w:cs="Arial"/>
          <w:color w:val="000000" w:themeColor="text1"/>
          <w:sz w:val="22"/>
          <w:lang w:val="es-ES_tradnl"/>
        </w:rPr>
        <w:t>5</w:t>
      </w:r>
      <w:r w:rsidR="00FD4AF3" w:rsidRPr="0088472A">
        <w:rPr>
          <w:rFonts w:ascii="Arial" w:eastAsia="Calibri" w:hAnsi="Arial" w:cs="Arial"/>
          <w:color w:val="000000" w:themeColor="text1"/>
          <w:sz w:val="22"/>
          <w:lang w:val="es-ES_tradnl"/>
        </w:rPr>
        <w:t xml:space="preserve"> de </w:t>
      </w:r>
      <w:r w:rsidR="00E6390B" w:rsidRPr="0088472A">
        <w:rPr>
          <w:rFonts w:ascii="Arial" w:eastAsia="Calibri" w:hAnsi="Arial" w:cs="Arial"/>
          <w:color w:val="000000" w:themeColor="text1"/>
          <w:sz w:val="22"/>
          <w:lang w:val="es-ES_tradnl"/>
        </w:rPr>
        <w:t>mayo</w:t>
      </w:r>
      <w:r w:rsidRPr="0088472A">
        <w:rPr>
          <w:rFonts w:ascii="Arial" w:eastAsia="Calibri" w:hAnsi="Arial" w:cs="Arial"/>
          <w:color w:val="000000" w:themeColor="text1"/>
          <w:sz w:val="22"/>
          <w:lang w:val="es-ES_tradnl"/>
        </w:rPr>
        <w:t xml:space="preserve"> del</w:t>
      </w:r>
      <w:r w:rsidR="007E74BF" w:rsidRPr="0088472A">
        <w:rPr>
          <w:rFonts w:ascii="Arial" w:eastAsia="Calibri" w:hAnsi="Arial" w:cs="Arial"/>
          <w:color w:val="000000" w:themeColor="text1"/>
          <w:sz w:val="22"/>
          <w:lang w:val="es-ES_tradnl"/>
        </w:rPr>
        <w:t xml:space="preserve"> </w:t>
      </w:r>
      <w:r w:rsidRPr="0088472A">
        <w:rPr>
          <w:rFonts w:ascii="Arial" w:eastAsia="Calibri" w:hAnsi="Arial" w:cs="Arial"/>
          <w:color w:val="000000" w:themeColor="text1"/>
          <w:sz w:val="22"/>
          <w:lang w:val="es-ES_tradnl"/>
        </w:rPr>
        <w:t>202</w:t>
      </w:r>
      <w:r w:rsidR="00FF5DBF" w:rsidRPr="0088472A">
        <w:rPr>
          <w:rFonts w:ascii="Arial" w:eastAsia="Calibri" w:hAnsi="Arial" w:cs="Arial"/>
          <w:color w:val="000000" w:themeColor="text1"/>
          <w:sz w:val="22"/>
          <w:lang w:val="es-ES_tradnl"/>
        </w:rPr>
        <w:t>2</w:t>
      </w:r>
      <w:r w:rsidR="008C3C57" w:rsidRPr="0088472A">
        <w:rPr>
          <w:rFonts w:ascii="Arial" w:eastAsia="Calibri" w:hAnsi="Arial" w:cs="Arial"/>
          <w:color w:val="000000" w:themeColor="text1"/>
          <w:sz w:val="22"/>
          <w:lang w:val="es-ES_tradnl"/>
        </w:rPr>
        <w:t>.</w:t>
      </w:r>
    </w:p>
    <w:p w14:paraId="0C1E0712" w14:textId="77777777" w:rsidR="00DD5B04" w:rsidRPr="0088472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8472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8472A">
        <w:rPr>
          <w:rFonts w:ascii="Arial" w:eastAsia="Calibri" w:hAnsi="Arial" w:cs="Arial"/>
          <w:b/>
          <w:color w:val="000000" w:themeColor="text1"/>
          <w:sz w:val="22"/>
          <w:lang w:val="es-ES_tradnl"/>
        </w:rPr>
        <w:t xml:space="preserve">Problema planteado </w:t>
      </w:r>
    </w:p>
    <w:p w14:paraId="224B43D3" w14:textId="77777777" w:rsidR="00DD5B04" w:rsidRPr="0088472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DF22405" w:rsidR="00443B55" w:rsidRPr="0088472A" w:rsidRDefault="00DD5B04" w:rsidP="0099583D">
      <w:pPr>
        <w:spacing w:line="276" w:lineRule="auto"/>
        <w:jc w:val="both"/>
        <w:rPr>
          <w:rFonts w:ascii="Arial" w:hAnsi="Arial" w:cs="Arial"/>
          <w:color w:val="000000" w:themeColor="text1"/>
          <w:sz w:val="22"/>
          <w:lang w:val="es-ES_tradnl"/>
        </w:rPr>
      </w:pPr>
      <w:r w:rsidRPr="0088472A">
        <w:rPr>
          <w:rFonts w:ascii="Arial" w:hAnsi="Arial" w:cs="Arial"/>
          <w:color w:val="000000" w:themeColor="text1"/>
          <w:sz w:val="22"/>
          <w:lang w:val="es-ES_tradnl"/>
        </w:rPr>
        <w:lastRenderedPageBreak/>
        <w:t xml:space="preserve">Usted </w:t>
      </w:r>
      <w:r w:rsidR="00B422C0" w:rsidRPr="0088472A">
        <w:rPr>
          <w:rFonts w:ascii="Arial" w:hAnsi="Arial" w:cs="Arial"/>
          <w:color w:val="000000" w:themeColor="text1"/>
          <w:sz w:val="22"/>
          <w:lang w:val="es-ES_tradnl"/>
        </w:rPr>
        <w:t>formula</w:t>
      </w:r>
      <w:r w:rsidR="006D46A3" w:rsidRPr="0088472A">
        <w:rPr>
          <w:rFonts w:ascii="Arial" w:hAnsi="Arial" w:cs="Arial"/>
          <w:color w:val="000000" w:themeColor="text1"/>
          <w:sz w:val="22"/>
          <w:lang w:val="es-ES_tradnl"/>
        </w:rPr>
        <w:t xml:space="preserve"> la siguiente </w:t>
      </w:r>
      <w:r w:rsidR="00B46915" w:rsidRPr="0088472A">
        <w:rPr>
          <w:rFonts w:ascii="Arial" w:hAnsi="Arial" w:cs="Arial"/>
          <w:color w:val="000000" w:themeColor="text1"/>
          <w:sz w:val="22"/>
          <w:lang w:val="es-ES_tradnl"/>
        </w:rPr>
        <w:t>consulta</w:t>
      </w:r>
      <w:r w:rsidR="0019324F" w:rsidRPr="0088472A">
        <w:rPr>
          <w:rFonts w:ascii="Arial" w:hAnsi="Arial" w:cs="Arial"/>
          <w:color w:val="000000" w:themeColor="text1"/>
          <w:sz w:val="22"/>
          <w:lang w:val="es-ES_tradnl"/>
        </w:rPr>
        <w:t xml:space="preserve">, relacionada con </w:t>
      </w:r>
      <w:r w:rsidR="000859B9" w:rsidRPr="0088472A">
        <w:rPr>
          <w:rFonts w:ascii="Arial" w:hAnsi="Arial" w:cs="Arial"/>
          <w:color w:val="000000" w:themeColor="text1"/>
          <w:sz w:val="22"/>
          <w:lang w:val="es-ES_tradnl"/>
        </w:rPr>
        <w:t>los artículos 51 y 52 de la Ley 2195 de 2022</w:t>
      </w:r>
      <w:r w:rsidR="00B422C0" w:rsidRPr="0088472A">
        <w:rPr>
          <w:rFonts w:ascii="Arial" w:hAnsi="Arial" w:cs="Arial"/>
          <w:color w:val="000000" w:themeColor="text1"/>
          <w:sz w:val="22"/>
          <w:lang w:val="es-ES_tradnl"/>
        </w:rPr>
        <w:t>:</w:t>
      </w:r>
      <w:r w:rsidR="007E18DF" w:rsidRPr="0088472A">
        <w:rPr>
          <w:rFonts w:ascii="Arial" w:hAnsi="Arial" w:cs="Arial"/>
          <w:color w:val="000000" w:themeColor="text1"/>
          <w:sz w:val="22"/>
          <w:lang w:val="es-ES_tradnl"/>
        </w:rPr>
        <w:t xml:space="preserve"> </w:t>
      </w:r>
    </w:p>
    <w:p w14:paraId="559EE20C" w14:textId="77777777" w:rsidR="00443B55" w:rsidRPr="0088472A" w:rsidRDefault="00443B55" w:rsidP="00E965BC">
      <w:pPr>
        <w:jc w:val="both"/>
        <w:rPr>
          <w:rFonts w:ascii="Arial" w:hAnsi="Arial" w:cs="Arial"/>
          <w:color w:val="000000" w:themeColor="text1"/>
          <w:sz w:val="22"/>
          <w:lang w:val="es-ES_tradnl"/>
        </w:rPr>
      </w:pPr>
    </w:p>
    <w:p w14:paraId="460487B2" w14:textId="119D117E" w:rsidR="008A7808" w:rsidRPr="0088472A" w:rsidRDefault="00F40FD8" w:rsidP="003300B3">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w:t>
      </w:r>
      <w:r w:rsidR="008A7808" w:rsidRPr="0088472A">
        <w:rPr>
          <w:rFonts w:ascii="Arial" w:hAnsi="Arial" w:cs="Arial"/>
          <w:color w:val="000000" w:themeColor="text1"/>
          <w:sz w:val="21"/>
          <w:szCs w:val="21"/>
          <w:lang w:val="es-ES_tradnl"/>
        </w:rPr>
        <w:t>Entendiendo que el referido artículo 51 cita: “INHABILIDAD POR INCUMPLIMIENTO REITERADO EN CONTRATOS DE ALIMENTACION ESCOLAR”, se hace necesario que desde la Unidad se pueda transmitir a las diferentes entidades territoriales como materializar este precepto legal en la realidad de su territorio y como es el proceso para establecer que el incumplimiento y/o imposición de multas es reiterado? ¿Quién lo establece y reporta?</w:t>
      </w:r>
      <w:r w:rsidR="008D32E2" w:rsidRPr="0088472A">
        <w:rPr>
          <w:rFonts w:ascii="Arial" w:hAnsi="Arial" w:cs="Arial"/>
          <w:color w:val="000000" w:themeColor="text1"/>
          <w:sz w:val="21"/>
          <w:szCs w:val="21"/>
          <w:lang w:val="es-ES_tradnl"/>
        </w:rPr>
        <w:t xml:space="preserve"> (sic)</w:t>
      </w:r>
    </w:p>
    <w:p w14:paraId="7EEEE330" w14:textId="77777777" w:rsidR="00397A4C" w:rsidRPr="0088472A" w:rsidRDefault="00397A4C" w:rsidP="008A7808">
      <w:pPr>
        <w:ind w:left="709" w:right="709"/>
        <w:jc w:val="both"/>
        <w:rPr>
          <w:rFonts w:ascii="Arial" w:hAnsi="Arial" w:cs="Arial"/>
          <w:color w:val="000000" w:themeColor="text1"/>
          <w:sz w:val="21"/>
          <w:szCs w:val="21"/>
          <w:lang w:val="es-ES_tradnl"/>
        </w:rPr>
      </w:pPr>
    </w:p>
    <w:p w14:paraId="45F2BEC6" w14:textId="08B766C9" w:rsidR="00A62DB2" w:rsidRPr="0088472A" w:rsidRDefault="003300B3" w:rsidP="008A7808">
      <w:pPr>
        <w:ind w:left="709" w:right="709"/>
        <w:jc w:val="both"/>
        <w:rPr>
          <w:rFonts w:ascii="Arial" w:hAnsi="Arial" w:cs="Arial"/>
          <w:color w:val="000000" w:themeColor="text1"/>
          <w:sz w:val="21"/>
          <w:szCs w:val="21"/>
          <w:lang w:val="es-ES_tradnl"/>
        </w:rPr>
      </w:pPr>
      <w:proofErr w:type="gramStart"/>
      <w:r w:rsidRPr="0088472A">
        <w:rPr>
          <w:rFonts w:ascii="Arial" w:hAnsi="Arial" w:cs="Arial"/>
          <w:color w:val="000000" w:themeColor="text1"/>
          <w:sz w:val="21"/>
          <w:szCs w:val="21"/>
          <w:lang w:val="es-ES_tradnl"/>
        </w:rPr>
        <w:t>»</w:t>
      </w:r>
      <w:r w:rsidR="008A7808" w:rsidRPr="0088472A">
        <w:rPr>
          <w:rFonts w:ascii="Arial" w:hAnsi="Arial" w:cs="Arial"/>
          <w:color w:val="000000" w:themeColor="text1"/>
          <w:sz w:val="21"/>
          <w:szCs w:val="21"/>
          <w:lang w:val="es-ES_tradnl"/>
        </w:rPr>
        <w:t>En</w:t>
      </w:r>
      <w:proofErr w:type="gramEnd"/>
      <w:r w:rsidR="008A7808" w:rsidRPr="0088472A">
        <w:rPr>
          <w:rFonts w:ascii="Arial" w:hAnsi="Arial" w:cs="Arial"/>
          <w:color w:val="000000" w:themeColor="text1"/>
          <w:sz w:val="21"/>
          <w:szCs w:val="21"/>
          <w:lang w:val="es-ES_tradnl"/>
        </w:rPr>
        <w:t xml:space="preserve"> cuanto a lo previsto en el artículo 52. “CLAUSULAS EXCEPCIONALES EN CONTRATOS DE ALIMENTACION ESCOLAR”,</w:t>
      </w:r>
      <w:r w:rsidR="00A737DD" w:rsidRPr="0088472A">
        <w:rPr>
          <w:rFonts w:ascii="Arial" w:hAnsi="Arial" w:cs="Arial"/>
          <w:color w:val="000000" w:themeColor="text1"/>
          <w:sz w:val="21"/>
          <w:szCs w:val="21"/>
          <w:lang w:val="es-ES_tradnl"/>
        </w:rPr>
        <w:t xml:space="preserve"> </w:t>
      </w:r>
      <w:r w:rsidR="008A7808" w:rsidRPr="0088472A">
        <w:rPr>
          <w:rFonts w:ascii="Arial" w:hAnsi="Arial" w:cs="Arial"/>
          <w:color w:val="000000" w:themeColor="text1"/>
          <w:sz w:val="21"/>
          <w:szCs w:val="21"/>
          <w:lang w:val="es-ES_tradnl"/>
        </w:rPr>
        <w:t>¿cuáles son las posibilidades legales que tiene los gobernantes para que el servicio de alimentación</w:t>
      </w:r>
      <w:r w:rsidR="008D32E2" w:rsidRPr="0088472A">
        <w:rPr>
          <w:rFonts w:ascii="Arial" w:hAnsi="Arial" w:cs="Arial"/>
          <w:color w:val="000000" w:themeColor="text1"/>
          <w:sz w:val="21"/>
          <w:szCs w:val="21"/>
          <w:lang w:val="es-ES_tradnl"/>
        </w:rPr>
        <w:t xml:space="preserve"> </w:t>
      </w:r>
      <w:r w:rsidR="008A7808" w:rsidRPr="0088472A">
        <w:rPr>
          <w:rFonts w:ascii="Arial" w:hAnsi="Arial" w:cs="Arial"/>
          <w:color w:val="000000" w:themeColor="text1"/>
          <w:sz w:val="21"/>
          <w:szCs w:val="21"/>
          <w:lang w:val="es-ES_tradnl"/>
        </w:rPr>
        <w:t>que de manera conexa garantiza el derecho fundamental a la educación, se vea afectado</w:t>
      </w:r>
      <w:r w:rsidR="00A737DD" w:rsidRPr="0088472A">
        <w:rPr>
          <w:rFonts w:ascii="Arial" w:hAnsi="Arial" w:cs="Arial"/>
          <w:color w:val="000000" w:themeColor="text1"/>
          <w:sz w:val="21"/>
          <w:szCs w:val="21"/>
          <w:lang w:val="es-ES_tradnl"/>
        </w:rPr>
        <w:t xml:space="preserve"> </w:t>
      </w:r>
      <w:r w:rsidR="008A7808" w:rsidRPr="0088472A">
        <w:rPr>
          <w:rFonts w:ascii="Arial" w:hAnsi="Arial" w:cs="Arial"/>
          <w:color w:val="000000" w:themeColor="text1"/>
          <w:sz w:val="21"/>
          <w:szCs w:val="21"/>
          <w:lang w:val="es-ES_tradnl"/>
        </w:rPr>
        <w:t>lo menos posible</w:t>
      </w:r>
      <w:r w:rsidR="00A737DD" w:rsidRPr="0088472A">
        <w:rPr>
          <w:rFonts w:ascii="Arial" w:hAnsi="Arial" w:cs="Arial"/>
          <w:color w:val="000000" w:themeColor="text1"/>
          <w:sz w:val="21"/>
          <w:szCs w:val="21"/>
          <w:lang w:val="es-ES_tradnl"/>
        </w:rPr>
        <w:t xml:space="preserve"> </w:t>
      </w:r>
      <w:r w:rsidR="008A7808" w:rsidRPr="0088472A">
        <w:rPr>
          <w:rFonts w:ascii="Arial" w:hAnsi="Arial" w:cs="Arial"/>
          <w:color w:val="000000" w:themeColor="text1"/>
          <w:sz w:val="21"/>
          <w:szCs w:val="21"/>
          <w:lang w:val="es-ES_tradnl"/>
        </w:rPr>
        <w:t>cuando estamos ante el trámite de</w:t>
      </w:r>
      <w:r w:rsidR="00A737DD" w:rsidRPr="0088472A">
        <w:rPr>
          <w:rFonts w:ascii="Arial" w:hAnsi="Arial" w:cs="Arial"/>
          <w:color w:val="000000" w:themeColor="text1"/>
          <w:sz w:val="21"/>
          <w:szCs w:val="21"/>
          <w:lang w:val="es-ES_tradnl"/>
        </w:rPr>
        <w:t xml:space="preserve"> </w:t>
      </w:r>
      <w:r w:rsidR="008A7808" w:rsidRPr="0088472A">
        <w:rPr>
          <w:rFonts w:ascii="Arial" w:hAnsi="Arial" w:cs="Arial"/>
          <w:color w:val="000000" w:themeColor="text1"/>
          <w:sz w:val="21"/>
          <w:szCs w:val="21"/>
          <w:lang w:val="es-ES_tradnl"/>
        </w:rPr>
        <w:t>que prevé</w:t>
      </w:r>
      <w:r w:rsidR="008D32E2" w:rsidRPr="0088472A">
        <w:rPr>
          <w:rFonts w:ascii="Arial" w:hAnsi="Arial" w:cs="Arial"/>
          <w:color w:val="000000" w:themeColor="text1"/>
          <w:sz w:val="21"/>
          <w:szCs w:val="21"/>
          <w:lang w:val="es-ES_tradnl"/>
        </w:rPr>
        <w:t xml:space="preserve"> </w:t>
      </w:r>
      <w:r w:rsidR="008A7808" w:rsidRPr="0088472A">
        <w:rPr>
          <w:rFonts w:ascii="Arial" w:hAnsi="Arial" w:cs="Arial"/>
          <w:color w:val="000000" w:themeColor="text1"/>
          <w:sz w:val="21"/>
          <w:szCs w:val="21"/>
          <w:lang w:val="es-ES_tradnl"/>
        </w:rPr>
        <w:t>estas cláusulas?</w:t>
      </w:r>
      <w:r w:rsidR="00A737DD" w:rsidRPr="0088472A">
        <w:rPr>
          <w:rFonts w:ascii="Arial" w:hAnsi="Arial" w:cs="Arial"/>
          <w:color w:val="000000" w:themeColor="text1"/>
          <w:sz w:val="21"/>
          <w:szCs w:val="21"/>
          <w:lang w:val="es-ES_tradnl"/>
        </w:rPr>
        <w:t xml:space="preserve"> (sic)</w:t>
      </w:r>
      <w:r w:rsidRPr="0088472A">
        <w:rPr>
          <w:rFonts w:ascii="Arial" w:hAnsi="Arial" w:cs="Arial"/>
          <w:color w:val="000000" w:themeColor="text1"/>
          <w:sz w:val="21"/>
          <w:szCs w:val="21"/>
          <w:lang w:val="es-ES_tradnl"/>
        </w:rPr>
        <w:t>»</w:t>
      </w:r>
    </w:p>
    <w:p w14:paraId="092C7A1E" w14:textId="77777777" w:rsidR="003300B3" w:rsidRPr="0088472A" w:rsidRDefault="003300B3" w:rsidP="008A7808">
      <w:pPr>
        <w:ind w:left="709" w:right="709"/>
        <w:jc w:val="both"/>
        <w:rPr>
          <w:rFonts w:ascii="Arial" w:hAnsi="Arial" w:cs="Arial"/>
          <w:color w:val="000000" w:themeColor="text1"/>
          <w:sz w:val="21"/>
          <w:szCs w:val="21"/>
          <w:lang w:val="es-ES_tradnl"/>
        </w:rPr>
      </w:pPr>
    </w:p>
    <w:p w14:paraId="4E86570E" w14:textId="77777777" w:rsidR="000A0DF7" w:rsidRPr="0088472A"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8472A">
        <w:rPr>
          <w:rFonts w:ascii="Arial" w:eastAsia="Calibri" w:hAnsi="Arial" w:cs="Arial"/>
          <w:b/>
          <w:color w:val="000000" w:themeColor="text1"/>
          <w:sz w:val="22"/>
          <w:lang w:val="es-ES_tradnl"/>
        </w:rPr>
        <w:t>Consideraciones</w:t>
      </w:r>
    </w:p>
    <w:p w14:paraId="7B1C37D1" w14:textId="010E31D1" w:rsidR="00AF09A9" w:rsidRPr="0088472A" w:rsidRDefault="00AF09A9" w:rsidP="00AF09A9">
      <w:pPr>
        <w:spacing w:line="276" w:lineRule="auto"/>
        <w:jc w:val="both"/>
        <w:rPr>
          <w:rFonts w:ascii="Arial" w:eastAsia="Calibri" w:hAnsi="Arial" w:cs="Arial"/>
          <w:color w:val="000000" w:themeColor="text1"/>
          <w:sz w:val="22"/>
          <w:lang w:val="es-ES_tradnl"/>
        </w:rPr>
      </w:pPr>
    </w:p>
    <w:p w14:paraId="61405E8B" w14:textId="48786054" w:rsidR="005311C4" w:rsidRPr="0088472A" w:rsidRDefault="005311C4" w:rsidP="005311C4">
      <w:pPr>
        <w:spacing w:line="276" w:lineRule="auto"/>
        <w:jc w:val="both"/>
        <w:rPr>
          <w:rFonts w:ascii="Arial" w:hAnsi="Arial" w:cs="Arial"/>
          <w:color w:val="000000" w:themeColor="text1"/>
          <w:sz w:val="22"/>
          <w:lang w:val="es-ES_tradnl"/>
        </w:rPr>
      </w:pPr>
      <w:r w:rsidRPr="0088472A">
        <w:rPr>
          <w:rFonts w:ascii="Arial" w:hAnsi="Arial" w:cs="Arial"/>
          <w:color w:val="000000" w:themeColor="text1"/>
          <w:sz w:val="22"/>
          <w:lang w:val="es-ES_tradnl"/>
        </w:rPr>
        <w:t xml:space="preserve">Para resolver su consulta, se analizarán los siguientes temas: i) características del régimen de inhabilidades e incompatibilidades en la contratación estatal y principios que orientan su aplicación, </w:t>
      </w:r>
      <w:proofErr w:type="spellStart"/>
      <w:r w:rsidR="004C76C1" w:rsidRPr="0088472A">
        <w:rPr>
          <w:rFonts w:ascii="Arial" w:hAnsi="Arial" w:cs="Arial"/>
          <w:color w:val="000000" w:themeColor="text1"/>
          <w:sz w:val="22"/>
          <w:lang w:val="es-ES_tradnl"/>
        </w:rPr>
        <w:t>ii</w:t>
      </w:r>
      <w:proofErr w:type="spellEnd"/>
      <w:r w:rsidR="004C76C1" w:rsidRPr="0088472A">
        <w:rPr>
          <w:rFonts w:ascii="Arial" w:hAnsi="Arial" w:cs="Arial"/>
          <w:color w:val="000000" w:themeColor="text1"/>
          <w:sz w:val="22"/>
          <w:lang w:val="es-ES_tradnl"/>
        </w:rPr>
        <w:t xml:space="preserve">) interpretación de la causal de inhabilidad consagrada en el artículo 51 de la Ley 2195 de 2022, </w:t>
      </w:r>
      <w:proofErr w:type="spellStart"/>
      <w:r w:rsidR="0035375F" w:rsidRPr="0088472A">
        <w:rPr>
          <w:rFonts w:ascii="Arial" w:hAnsi="Arial" w:cs="Arial"/>
          <w:color w:val="000000" w:themeColor="text1"/>
          <w:sz w:val="22"/>
          <w:lang w:val="es-ES_tradnl"/>
        </w:rPr>
        <w:t>ii</w:t>
      </w:r>
      <w:r w:rsidR="004C76C1" w:rsidRPr="0088472A">
        <w:rPr>
          <w:rFonts w:ascii="Arial" w:hAnsi="Arial" w:cs="Arial"/>
          <w:color w:val="000000" w:themeColor="text1"/>
          <w:sz w:val="22"/>
          <w:lang w:val="es-ES_tradnl"/>
        </w:rPr>
        <w:t>i</w:t>
      </w:r>
      <w:proofErr w:type="spellEnd"/>
      <w:r w:rsidR="0035375F" w:rsidRPr="0088472A">
        <w:rPr>
          <w:rFonts w:ascii="Arial" w:hAnsi="Arial" w:cs="Arial"/>
          <w:color w:val="000000" w:themeColor="text1"/>
          <w:sz w:val="22"/>
          <w:lang w:val="es-ES_tradnl"/>
        </w:rPr>
        <w:t>) cláusulas excepcionales al derecho común en la contratación estatal</w:t>
      </w:r>
      <w:r w:rsidR="00147040" w:rsidRPr="0088472A">
        <w:rPr>
          <w:rFonts w:ascii="Arial" w:hAnsi="Arial" w:cs="Arial"/>
          <w:color w:val="000000" w:themeColor="text1"/>
          <w:sz w:val="22"/>
          <w:lang w:val="es-ES_tradnl"/>
        </w:rPr>
        <w:t xml:space="preserve"> </w:t>
      </w:r>
      <w:r w:rsidR="00FD67F0" w:rsidRPr="0088472A">
        <w:rPr>
          <w:rFonts w:ascii="Arial" w:hAnsi="Arial" w:cs="Arial"/>
          <w:color w:val="000000" w:themeColor="text1"/>
          <w:sz w:val="22"/>
          <w:lang w:val="es-ES_tradnl"/>
        </w:rPr>
        <w:t>y</w:t>
      </w:r>
      <w:r w:rsidR="008637FF" w:rsidRPr="0088472A">
        <w:rPr>
          <w:rFonts w:ascii="Arial" w:hAnsi="Arial" w:cs="Arial"/>
          <w:color w:val="000000" w:themeColor="text1"/>
          <w:sz w:val="22"/>
          <w:lang w:val="es-ES_tradnl"/>
        </w:rPr>
        <w:t xml:space="preserve"> en especial en los contratos de alimentación escolar</w:t>
      </w:r>
      <w:r w:rsidR="00EE318E" w:rsidRPr="0088472A">
        <w:rPr>
          <w:rFonts w:ascii="Arial" w:hAnsi="Arial" w:cs="Arial"/>
          <w:color w:val="000000" w:themeColor="text1"/>
          <w:sz w:val="22"/>
          <w:lang w:val="es-ES_tradnl"/>
        </w:rPr>
        <w:t xml:space="preserve"> y</w:t>
      </w:r>
      <w:r w:rsidR="00FD67F0" w:rsidRPr="0088472A">
        <w:rPr>
          <w:rFonts w:ascii="Arial" w:hAnsi="Arial" w:cs="Arial"/>
          <w:color w:val="000000" w:themeColor="text1"/>
          <w:sz w:val="22"/>
          <w:lang w:val="es-ES_tradnl"/>
        </w:rPr>
        <w:t xml:space="preserve"> </w:t>
      </w:r>
      <w:proofErr w:type="spellStart"/>
      <w:r w:rsidR="00FD67F0" w:rsidRPr="0088472A">
        <w:rPr>
          <w:rFonts w:ascii="Arial" w:hAnsi="Arial" w:cs="Arial"/>
          <w:color w:val="000000" w:themeColor="text1"/>
          <w:sz w:val="22"/>
          <w:lang w:val="es-ES_tradnl"/>
        </w:rPr>
        <w:t>i</w:t>
      </w:r>
      <w:r w:rsidR="00147040" w:rsidRPr="0088472A">
        <w:rPr>
          <w:rFonts w:ascii="Arial" w:hAnsi="Arial" w:cs="Arial"/>
          <w:color w:val="000000" w:themeColor="text1"/>
          <w:sz w:val="22"/>
          <w:lang w:val="es-ES_tradnl"/>
        </w:rPr>
        <w:t>v</w:t>
      </w:r>
      <w:proofErr w:type="spellEnd"/>
      <w:r w:rsidR="00FD67F0" w:rsidRPr="0088472A">
        <w:rPr>
          <w:rFonts w:ascii="Arial" w:hAnsi="Arial" w:cs="Arial"/>
          <w:color w:val="000000" w:themeColor="text1"/>
          <w:sz w:val="22"/>
          <w:lang w:val="es-ES_tradnl"/>
        </w:rPr>
        <w:t xml:space="preserve">) </w:t>
      </w:r>
      <w:r w:rsidR="00EE318E" w:rsidRPr="0088472A">
        <w:rPr>
          <w:rFonts w:ascii="Arial" w:hAnsi="Arial" w:cs="Arial"/>
          <w:color w:val="000000" w:themeColor="text1"/>
          <w:sz w:val="22"/>
          <w:lang w:val="es-ES_tradnl"/>
        </w:rPr>
        <w:t>procedimiento administrativo sancionatorio contractual</w:t>
      </w:r>
      <w:r w:rsidR="00A773E5" w:rsidRPr="0088472A">
        <w:rPr>
          <w:rFonts w:ascii="Arial" w:hAnsi="Arial" w:cs="Arial"/>
          <w:color w:val="000000" w:themeColor="text1"/>
          <w:sz w:val="22"/>
          <w:lang w:val="es-ES_tradnl"/>
        </w:rPr>
        <w:t>.</w:t>
      </w:r>
    </w:p>
    <w:p w14:paraId="6CD198A5" w14:textId="1F457200" w:rsidR="0066432E" w:rsidRPr="0088472A" w:rsidRDefault="00406E6D" w:rsidP="00984CA0">
      <w:pPr>
        <w:spacing w:before="120" w:line="276" w:lineRule="auto"/>
        <w:ind w:firstLine="709"/>
        <w:jc w:val="both"/>
        <w:rPr>
          <w:rFonts w:ascii="Arial" w:hAnsi="Arial" w:cs="Arial"/>
          <w:color w:val="000000" w:themeColor="text1"/>
          <w:sz w:val="22"/>
          <w:lang w:val="es-ES_tradnl"/>
        </w:rPr>
      </w:pPr>
      <w:r w:rsidRPr="0088472A">
        <w:rPr>
          <w:rFonts w:ascii="Arial" w:eastAsia="Calibri" w:hAnsi="Arial" w:cs="Arial"/>
          <w:color w:val="000000" w:themeColor="text1"/>
          <w:sz w:val="22"/>
          <w:lang w:val="es-ES_tradnl"/>
        </w:rPr>
        <w:t>L</w:t>
      </w:r>
      <w:r w:rsidR="005311C4" w:rsidRPr="0088472A">
        <w:rPr>
          <w:rFonts w:ascii="Arial" w:hAnsi="Arial" w:cs="Arial"/>
          <w:color w:val="000000" w:themeColor="text1"/>
          <w:sz w:val="22"/>
          <w:lang w:val="es-ES_tradnl"/>
        </w:rPr>
        <w:t xml:space="preserve">a Agencia Nacional de Contratación Pública ― Colombia Compra Eficiente analizó el régimen de inhabilidades e incompatibilidades en la contratación pública, sus criterios de interpretación –restrictivo y </w:t>
      </w:r>
      <w:r w:rsidR="005311C4" w:rsidRPr="0088472A">
        <w:rPr>
          <w:rFonts w:ascii="Arial" w:hAnsi="Arial" w:cs="Arial"/>
          <w:i/>
          <w:iCs/>
          <w:color w:val="000000" w:themeColor="text1"/>
          <w:sz w:val="22"/>
          <w:lang w:val="es-ES_tradnl"/>
        </w:rPr>
        <w:t xml:space="preserve">pro </w:t>
      </w:r>
      <w:proofErr w:type="spellStart"/>
      <w:r w:rsidR="005311C4" w:rsidRPr="0088472A">
        <w:rPr>
          <w:rFonts w:ascii="Arial" w:hAnsi="Arial" w:cs="Arial"/>
          <w:i/>
          <w:iCs/>
          <w:color w:val="000000" w:themeColor="text1"/>
          <w:sz w:val="22"/>
          <w:lang w:val="es-ES_tradnl"/>
        </w:rPr>
        <w:t>libertate</w:t>
      </w:r>
      <w:proofErr w:type="spellEnd"/>
      <w:r w:rsidR="005311C4" w:rsidRPr="0088472A">
        <w:rPr>
          <w:rFonts w:ascii="Arial" w:hAnsi="Arial" w:cs="Arial"/>
          <w:color w:val="000000" w:themeColor="text1"/>
          <w:sz w:val="22"/>
          <w:lang w:val="es-ES_tradnl"/>
        </w:rPr>
        <w:t>–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w:t>
      </w:r>
      <w:r w:rsidR="00EE6D02" w:rsidRPr="0088472A">
        <w:rPr>
          <w:rFonts w:ascii="Arial" w:hAnsi="Arial" w:cs="Arial"/>
          <w:color w:val="000000" w:themeColor="text1"/>
          <w:sz w:val="22"/>
          <w:lang w:val="es-ES_tradnl"/>
        </w:rPr>
        <w:t xml:space="preserve">, </w:t>
      </w:r>
      <w:r w:rsidR="005311C4" w:rsidRPr="0088472A">
        <w:rPr>
          <w:rFonts w:ascii="Arial" w:hAnsi="Arial" w:cs="Arial"/>
          <w:color w:val="000000" w:themeColor="text1"/>
          <w:sz w:val="22"/>
          <w:lang w:val="es-ES_tradnl"/>
        </w:rPr>
        <w:t>C-449 del 31 de agosto de 2021</w:t>
      </w:r>
      <w:r w:rsidR="00EE6D02" w:rsidRPr="0088472A">
        <w:rPr>
          <w:rFonts w:ascii="Arial" w:hAnsi="Arial" w:cs="Arial"/>
          <w:color w:val="000000" w:themeColor="text1"/>
          <w:sz w:val="22"/>
          <w:lang w:val="es-ES_tradnl"/>
        </w:rPr>
        <w:t xml:space="preserve"> y C</w:t>
      </w:r>
      <w:r w:rsidR="00A344A2" w:rsidRPr="0088472A">
        <w:rPr>
          <w:rFonts w:ascii="Arial" w:hAnsi="Arial" w:cs="Arial"/>
          <w:color w:val="000000" w:themeColor="text1"/>
          <w:sz w:val="22"/>
          <w:lang w:val="es-ES_tradnl"/>
        </w:rPr>
        <w:t>-252 del 3 de mayo de 2022</w:t>
      </w:r>
      <w:r w:rsidR="005311C4" w:rsidRPr="0088472A">
        <w:rPr>
          <w:rFonts w:ascii="Arial" w:hAnsi="Arial" w:cs="Arial"/>
          <w:color w:val="000000" w:themeColor="text1"/>
          <w:sz w:val="22"/>
          <w:lang w:val="es-ES_tradnl"/>
        </w:rPr>
        <w:t>.</w:t>
      </w:r>
      <w:r w:rsidR="00984CA0" w:rsidRPr="0088472A">
        <w:rPr>
          <w:rFonts w:ascii="Arial" w:hAnsi="Arial" w:cs="Arial"/>
          <w:color w:val="000000" w:themeColor="text1"/>
          <w:sz w:val="22"/>
          <w:lang w:val="es-ES_tradnl"/>
        </w:rPr>
        <w:t xml:space="preserve"> </w:t>
      </w:r>
      <w:r w:rsidR="00B04D99" w:rsidRPr="0088472A">
        <w:rPr>
          <w:rFonts w:ascii="Arial" w:hAnsi="Arial" w:cs="Arial"/>
          <w:color w:val="000000" w:themeColor="text1"/>
          <w:sz w:val="22"/>
          <w:lang w:val="es-ES_tradnl"/>
        </w:rPr>
        <w:t xml:space="preserve">Así mismo, </w:t>
      </w:r>
      <w:r w:rsidR="009E7A97" w:rsidRPr="0088472A">
        <w:rPr>
          <w:rFonts w:ascii="Arial" w:eastAsia="Calibri" w:hAnsi="Arial" w:cs="Arial"/>
          <w:color w:val="000000" w:themeColor="text1"/>
          <w:sz w:val="22"/>
        </w:rPr>
        <w:t>en los conceptos con radicado No. 4201913000005694 del 3 de octubre de 2019, 4201912000006259 del 13 de noviembre de 2019, 4201912000007281 del 5 de diciembre de 2019</w:t>
      </w:r>
      <w:r w:rsidR="00B92755" w:rsidRPr="0088472A">
        <w:rPr>
          <w:rFonts w:ascii="Arial" w:eastAsia="Calibri" w:hAnsi="Arial" w:cs="Arial"/>
          <w:color w:val="000000" w:themeColor="text1"/>
          <w:sz w:val="22"/>
        </w:rPr>
        <w:t xml:space="preserve">, </w:t>
      </w:r>
      <w:r w:rsidR="009E7A97" w:rsidRPr="0088472A">
        <w:rPr>
          <w:rFonts w:ascii="Arial" w:eastAsia="Calibri" w:hAnsi="Arial" w:cs="Arial"/>
          <w:color w:val="000000" w:themeColor="text1"/>
          <w:sz w:val="22"/>
        </w:rPr>
        <w:t>4201912000007060 del 11 de diciembre de 2019</w:t>
      </w:r>
      <w:r w:rsidR="00B92755" w:rsidRPr="0088472A">
        <w:rPr>
          <w:rFonts w:ascii="Arial" w:eastAsia="Calibri" w:hAnsi="Arial" w:cs="Arial"/>
          <w:color w:val="000000" w:themeColor="text1"/>
          <w:sz w:val="22"/>
        </w:rPr>
        <w:t xml:space="preserve"> y </w:t>
      </w:r>
      <w:r w:rsidR="00B92755" w:rsidRPr="0088472A">
        <w:rPr>
          <w:rFonts w:ascii="Arial" w:hAnsi="Arial" w:cs="Arial"/>
          <w:color w:val="000000" w:themeColor="text1"/>
          <w:sz w:val="22"/>
          <w:lang w:val="es-ES_tradnl"/>
        </w:rPr>
        <w:t>C-709 del 7 de diciembre de 2020</w:t>
      </w:r>
      <w:r w:rsidR="009E7A97" w:rsidRPr="0088472A">
        <w:rPr>
          <w:rFonts w:ascii="Arial" w:eastAsia="Calibri" w:hAnsi="Arial" w:cs="Arial"/>
          <w:color w:val="000000" w:themeColor="text1"/>
          <w:sz w:val="22"/>
        </w:rPr>
        <w:t xml:space="preserve">, se analizó la aplicación de la inhabilidad por incumplimiento reiterado consagrada en el artículo 90 de la Ley 1474 de 2011, tras la modificación introducida por la Ley 1955 de 2019. </w:t>
      </w:r>
      <w:r w:rsidR="0066432E" w:rsidRPr="0088472A">
        <w:rPr>
          <w:rFonts w:ascii="Arial" w:hAnsi="Arial" w:cs="Arial"/>
          <w:color w:val="000000" w:themeColor="text1"/>
          <w:sz w:val="22"/>
          <w:lang w:val="es-ES_tradnl"/>
        </w:rPr>
        <w:t xml:space="preserve">Igualmente, en los conceptos C-147 del 17 de marzo de 2020, C-219 del 29 de abril de 2020, </w:t>
      </w:r>
      <w:r w:rsidR="0066432E" w:rsidRPr="0088472A">
        <w:rPr>
          <w:rFonts w:ascii="Arial" w:hAnsi="Arial" w:cs="Arial"/>
          <w:iCs/>
          <w:color w:val="000000" w:themeColor="text1"/>
          <w:sz w:val="22"/>
          <w:lang w:val="es-ES_tradnl"/>
        </w:rPr>
        <w:t xml:space="preserve">C-434 del 29 de julio de 2020, C-569 del 31 de agosto de 2020, C-641 del 4 de noviembre de 2020, C-060 del 8 de marzo de 2021, C-528 del 5 de abril de 2021, </w:t>
      </w:r>
      <w:r w:rsidR="0066432E" w:rsidRPr="0088472A">
        <w:rPr>
          <w:rFonts w:ascii="Arial" w:hAnsi="Arial" w:cs="Arial"/>
          <w:color w:val="000000" w:themeColor="text1"/>
          <w:sz w:val="22"/>
          <w:lang w:val="es-ES_tradnl"/>
        </w:rPr>
        <w:t>C-035 y C-040 del 2 de marzo de 2022, C-061 del 8 de marzo de 2022</w:t>
      </w:r>
      <w:r w:rsidR="00984CA0" w:rsidRPr="0088472A">
        <w:rPr>
          <w:rFonts w:ascii="Arial" w:hAnsi="Arial" w:cs="Arial"/>
          <w:color w:val="000000" w:themeColor="text1"/>
          <w:sz w:val="22"/>
          <w:lang w:val="es-ES_tradnl"/>
        </w:rPr>
        <w:t xml:space="preserve"> y C-162 del 5 de abril de 2022</w:t>
      </w:r>
      <w:r w:rsidR="008E3F52" w:rsidRPr="0088472A">
        <w:rPr>
          <w:rFonts w:ascii="Arial" w:hAnsi="Arial" w:cs="Arial"/>
          <w:color w:val="000000" w:themeColor="text1"/>
          <w:sz w:val="22"/>
          <w:lang w:val="es-ES_tradnl"/>
        </w:rPr>
        <w:t xml:space="preserve">, </w:t>
      </w:r>
      <w:r w:rsidR="0066432E" w:rsidRPr="0088472A">
        <w:rPr>
          <w:rFonts w:ascii="Arial" w:hAnsi="Arial" w:cs="Arial"/>
          <w:color w:val="000000" w:themeColor="text1"/>
          <w:sz w:val="22"/>
          <w:lang w:val="es-ES_tradnl"/>
        </w:rPr>
        <w:t>estudió las cláusulas excepcionales al derecho común y el procedimiento administrativo que deben efectuar</w:t>
      </w:r>
      <w:r w:rsidR="00B512B3" w:rsidRPr="0088472A">
        <w:rPr>
          <w:rFonts w:ascii="Arial" w:hAnsi="Arial" w:cs="Arial"/>
          <w:color w:val="000000" w:themeColor="text1"/>
          <w:sz w:val="22"/>
          <w:lang w:val="es-ES_tradnl"/>
        </w:rPr>
        <w:t xml:space="preserve"> las </w:t>
      </w:r>
      <w:r w:rsidR="00B512B3" w:rsidRPr="0088472A">
        <w:rPr>
          <w:rFonts w:ascii="Arial" w:hAnsi="Arial" w:cs="Arial"/>
          <w:color w:val="000000" w:themeColor="text1"/>
          <w:sz w:val="22"/>
          <w:lang w:val="es-ES_tradnl"/>
        </w:rPr>
        <w:lastRenderedPageBreak/>
        <w:t xml:space="preserve">entidades estatales </w:t>
      </w:r>
      <w:r w:rsidR="0066432E" w:rsidRPr="0088472A">
        <w:rPr>
          <w:rFonts w:ascii="Arial" w:hAnsi="Arial" w:cs="Arial"/>
          <w:color w:val="000000" w:themeColor="text1"/>
          <w:sz w:val="22"/>
          <w:lang w:val="es-ES_tradnl"/>
        </w:rPr>
        <w:t>para declarar el incumplimiento y aplicar las sanciones correspondientes, destacando la necesidad de garantizar el debido proceso.</w:t>
      </w:r>
      <w:r w:rsidR="00CA663D" w:rsidRPr="0088472A">
        <w:rPr>
          <w:rFonts w:ascii="Arial" w:hAnsi="Arial" w:cs="Arial"/>
          <w:color w:val="000000" w:themeColor="text1"/>
          <w:sz w:val="22"/>
          <w:lang w:val="es-ES_tradnl"/>
        </w:rPr>
        <w:t xml:space="preserve"> </w:t>
      </w:r>
      <w:r w:rsidR="0066432E" w:rsidRPr="0088472A">
        <w:rPr>
          <w:rFonts w:ascii="Arial" w:hAnsi="Arial" w:cs="Arial"/>
          <w:color w:val="000000" w:themeColor="text1"/>
          <w:sz w:val="22"/>
          <w:lang w:val="es-ES_tradnl"/>
        </w:rPr>
        <w:t>Las ideas expuestas en dichas oportunidades se reiteran a continuación, complementándolas con la interpretación de la</w:t>
      </w:r>
      <w:r w:rsidR="0059796D" w:rsidRPr="0088472A">
        <w:rPr>
          <w:rFonts w:ascii="Arial" w:hAnsi="Arial" w:cs="Arial"/>
          <w:color w:val="000000" w:themeColor="text1"/>
          <w:sz w:val="22"/>
          <w:lang w:val="es-ES_tradnl"/>
        </w:rPr>
        <w:t>s</w:t>
      </w:r>
      <w:r w:rsidR="0066432E" w:rsidRPr="0088472A">
        <w:rPr>
          <w:rFonts w:ascii="Arial" w:hAnsi="Arial" w:cs="Arial"/>
          <w:color w:val="000000" w:themeColor="text1"/>
          <w:sz w:val="22"/>
          <w:lang w:val="es-ES_tradnl"/>
        </w:rPr>
        <w:t xml:space="preserve"> norma</w:t>
      </w:r>
      <w:r w:rsidR="0059796D" w:rsidRPr="0088472A">
        <w:rPr>
          <w:rFonts w:ascii="Arial" w:hAnsi="Arial" w:cs="Arial"/>
          <w:color w:val="000000" w:themeColor="text1"/>
          <w:sz w:val="22"/>
          <w:lang w:val="es-ES_tradnl"/>
        </w:rPr>
        <w:t>s</w:t>
      </w:r>
      <w:r w:rsidR="0066432E" w:rsidRPr="0088472A">
        <w:rPr>
          <w:rFonts w:ascii="Arial" w:hAnsi="Arial" w:cs="Arial"/>
          <w:color w:val="000000" w:themeColor="text1"/>
          <w:sz w:val="22"/>
          <w:lang w:val="es-ES_tradnl"/>
        </w:rPr>
        <w:t xml:space="preserve"> que suscita</w:t>
      </w:r>
      <w:r w:rsidR="0059796D" w:rsidRPr="0088472A">
        <w:rPr>
          <w:rFonts w:ascii="Arial" w:hAnsi="Arial" w:cs="Arial"/>
          <w:color w:val="000000" w:themeColor="text1"/>
          <w:sz w:val="22"/>
          <w:lang w:val="es-ES_tradnl"/>
        </w:rPr>
        <w:t>n</w:t>
      </w:r>
      <w:r w:rsidR="0066432E" w:rsidRPr="0088472A">
        <w:rPr>
          <w:rFonts w:ascii="Arial" w:hAnsi="Arial" w:cs="Arial"/>
          <w:color w:val="000000" w:themeColor="text1"/>
          <w:sz w:val="22"/>
          <w:lang w:val="es-ES_tradnl"/>
        </w:rPr>
        <w:t xml:space="preserve"> las inquietudes del peticionario.</w:t>
      </w:r>
    </w:p>
    <w:p w14:paraId="4BA1D57C" w14:textId="77777777" w:rsidR="007E35CE" w:rsidRPr="0088472A" w:rsidRDefault="007E35CE" w:rsidP="005311C4">
      <w:pPr>
        <w:spacing w:line="276" w:lineRule="auto"/>
        <w:jc w:val="both"/>
        <w:rPr>
          <w:rFonts w:ascii="Arial" w:eastAsia="Calibri" w:hAnsi="Arial" w:cs="Arial"/>
          <w:b/>
          <w:color w:val="000000" w:themeColor="text1"/>
          <w:sz w:val="22"/>
          <w:lang w:val="es-ES_tradnl"/>
        </w:rPr>
      </w:pPr>
    </w:p>
    <w:p w14:paraId="64192EDC" w14:textId="08CE10F0" w:rsidR="005311C4" w:rsidRPr="0088472A" w:rsidRDefault="005311C4" w:rsidP="005311C4">
      <w:pPr>
        <w:tabs>
          <w:tab w:val="left" w:pos="426"/>
        </w:tabs>
        <w:spacing w:line="276" w:lineRule="auto"/>
        <w:jc w:val="both"/>
        <w:rPr>
          <w:rFonts w:ascii="Arial" w:eastAsia="Calibri" w:hAnsi="Arial" w:cs="Arial"/>
          <w:b/>
          <w:color w:val="000000" w:themeColor="text1"/>
          <w:sz w:val="22"/>
          <w:lang w:val="es-ES_tradnl"/>
        </w:rPr>
      </w:pPr>
      <w:r w:rsidRPr="0088472A">
        <w:rPr>
          <w:rFonts w:ascii="Arial" w:eastAsia="Calibri" w:hAnsi="Arial" w:cs="Arial"/>
          <w:b/>
          <w:color w:val="000000" w:themeColor="text1"/>
          <w:sz w:val="22"/>
          <w:lang w:val="es-ES_tradnl"/>
        </w:rPr>
        <w:t>2.1. Régimen de inhabilidades e incompatibilidades en la contratación estatal: un límite a la capacidad contractual.</w:t>
      </w:r>
      <w:r w:rsidR="00F90508" w:rsidRPr="0088472A">
        <w:rPr>
          <w:rFonts w:ascii="Arial" w:eastAsia="Calibri" w:hAnsi="Arial" w:cs="Arial"/>
          <w:b/>
          <w:color w:val="000000" w:themeColor="text1"/>
          <w:sz w:val="22"/>
          <w:lang w:val="es-ES_tradnl"/>
        </w:rPr>
        <w:t xml:space="preserve"> </w:t>
      </w:r>
      <w:r w:rsidRPr="0088472A">
        <w:rPr>
          <w:rFonts w:ascii="Arial" w:eastAsia="Calibri" w:hAnsi="Arial" w:cs="Arial"/>
          <w:b/>
          <w:color w:val="000000" w:themeColor="text1"/>
          <w:sz w:val="22"/>
          <w:lang w:val="es-ES_tradnl"/>
        </w:rPr>
        <w:t xml:space="preserve">La interpretación restrictiva como criterio hermenéutico de los enunciados normativos gravosos </w:t>
      </w:r>
    </w:p>
    <w:p w14:paraId="35279E8A" w14:textId="77777777" w:rsidR="005311C4" w:rsidRPr="0088472A" w:rsidRDefault="005311C4" w:rsidP="005311C4">
      <w:pPr>
        <w:spacing w:line="276" w:lineRule="auto"/>
        <w:jc w:val="both"/>
        <w:rPr>
          <w:rFonts w:ascii="Arial" w:eastAsia="Calibri" w:hAnsi="Arial" w:cs="Arial"/>
          <w:color w:val="000000" w:themeColor="text1"/>
          <w:sz w:val="22"/>
          <w:lang w:val="es-ES_tradnl"/>
        </w:rPr>
      </w:pPr>
    </w:p>
    <w:p w14:paraId="4BF9EE32" w14:textId="77777777" w:rsidR="005311C4" w:rsidRPr="0088472A" w:rsidRDefault="005311C4" w:rsidP="005311C4">
      <w:pPr>
        <w:spacing w:line="276" w:lineRule="auto"/>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 xml:space="preserve">En la contratación estatal la </w:t>
      </w:r>
      <w:r w:rsidRPr="0088472A">
        <w:rPr>
          <w:rFonts w:ascii="Arial" w:eastAsia="Calibri" w:hAnsi="Arial" w:cs="Arial"/>
          <w:i/>
          <w:iCs/>
          <w:color w:val="000000" w:themeColor="text1"/>
          <w:sz w:val="22"/>
          <w:lang w:val="es-ES_tradnl"/>
        </w:rPr>
        <w:t>capacidad</w:t>
      </w:r>
      <w:r w:rsidRPr="0088472A">
        <w:rPr>
          <w:rFonts w:ascii="Arial" w:eastAsia="Calibri" w:hAnsi="Arial" w:cs="Arial"/>
          <w:color w:val="000000" w:themeColor="text1"/>
          <w:sz w:val="22"/>
          <w:lang w:val="es-ES_tradnl"/>
        </w:rPr>
        <w:t xml:space="preserve"> también es un requisito de validez de los contratos, tanto en el régimen de las entidades sujetas al Estatuto General de Contratación de la Administración Pública</w:t>
      </w:r>
      <w:r w:rsidRPr="0088472A">
        <w:rPr>
          <w:rStyle w:val="Refdenotaalpie"/>
          <w:rFonts w:ascii="Arial" w:eastAsia="Calibri" w:hAnsi="Arial" w:cs="Arial"/>
        </w:rPr>
        <w:footnoteReference w:id="2"/>
      </w:r>
      <w:r w:rsidRPr="0088472A">
        <w:rPr>
          <w:rFonts w:ascii="Arial" w:eastAsia="Calibri" w:hAnsi="Arial" w:cs="Arial"/>
          <w:color w:val="000000" w:themeColor="text1"/>
          <w:sz w:val="22"/>
          <w:lang w:val="es-ES_tradnl"/>
        </w:rPr>
        <w:t xml:space="preserve"> como en el de las entidades exceptuadas de aquel</w:t>
      </w:r>
      <w:r w:rsidRPr="0088472A">
        <w:rPr>
          <w:rStyle w:val="Refdenotaalpie"/>
          <w:rFonts w:ascii="Arial" w:eastAsia="Calibri" w:hAnsi="Arial" w:cs="Arial"/>
        </w:rPr>
        <w:footnoteReference w:id="3"/>
      </w:r>
      <w:r w:rsidRPr="0088472A">
        <w:rPr>
          <w:rFonts w:ascii="Arial" w:eastAsia="Calibri" w:hAnsi="Arial" w:cs="Arial"/>
          <w:color w:val="000000" w:themeColor="text1"/>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88472A">
        <w:rPr>
          <w:rStyle w:val="Refdenotaalpie"/>
          <w:rFonts w:ascii="Arial" w:eastAsia="Calibri" w:hAnsi="Arial" w:cs="Arial"/>
        </w:rPr>
        <w:footnoteReference w:id="4"/>
      </w:r>
      <w:r w:rsidRPr="0088472A">
        <w:rPr>
          <w:rFonts w:ascii="Arial" w:eastAsia="Calibri" w:hAnsi="Arial" w:cs="Arial"/>
          <w:color w:val="000000" w:themeColor="text1"/>
          <w:sz w:val="22"/>
          <w:lang w:val="es-ES_tradnl"/>
        </w:rPr>
        <w:t xml:space="preserve">–, se destaca el régimen de inhabilidades e incompatibilidades como un conjunto de enunciados normativos que imponen restricciones para los sujetos </w:t>
      </w:r>
      <w:r w:rsidRPr="0088472A">
        <w:rPr>
          <w:rFonts w:ascii="Arial" w:eastAsia="Calibri" w:hAnsi="Arial" w:cs="Arial"/>
          <w:color w:val="000000" w:themeColor="text1"/>
          <w:sz w:val="22"/>
          <w:lang w:val="es-ES_tradnl"/>
        </w:rPr>
        <w:lastRenderedPageBreak/>
        <w:t>que, eventualmente, pretendan participar en los procedimientos de selección o celebrar contratos con las entidades estatales</w:t>
      </w:r>
      <w:r w:rsidRPr="0088472A">
        <w:rPr>
          <w:rStyle w:val="Refdenotaalpie"/>
          <w:rFonts w:ascii="Arial" w:eastAsia="Calibri" w:hAnsi="Arial" w:cs="Arial"/>
        </w:rPr>
        <w:footnoteReference w:id="5"/>
      </w:r>
      <w:r w:rsidRPr="0088472A">
        <w:rPr>
          <w:rFonts w:ascii="Arial" w:eastAsia="Calibri" w:hAnsi="Arial" w:cs="Arial"/>
          <w:color w:val="000000" w:themeColor="text1"/>
          <w:sz w:val="22"/>
          <w:lang w:val="es-ES_tradnl"/>
        </w:rPr>
        <w:t>.</w:t>
      </w:r>
    </w:p>
    <w:p w14:paraId="4E33DABE" w14:textId="77777777" w:rsidR="005311C4" w:rsidRPr="0088472A" w:rsidRDefault="005311C4" w:rsidP="005311C4">
      <w:pPr>
        <w:spacing w:before="120" w:after="120" w:line="276" w:lineRule="auto"/>
        <w:ind w:firstLine="709"/>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88472A">
        <w:rPr>
          <w:rStyle w:val="Refdenotaalpie"/>
          <w:rFonts w:ascii="Arial" w:eastAsia="Calibri" w:hAnsi="Arial" w:cs="Arial"/>
        </w:rPr>
        <w:footnoteReference w:id="6"/>
      </w:r>
      <w:r w:rsidRPr="0088472A">
        <w:rPr>
          <w:rFonts w:ascii="Arial" w:eastAsia="Calibri" w:hAnsi="Arial" w:cs="Arial"/>
          <w:color w:val="000000" w:themeColor="text1"/>
          <w:sz w:val="22"/>
          <w:lang w:val="es-ES_tradnl"/>
        </w:rPr>
        <w:t xml:space="preserve">, </w:t>
      </w:r>
      <w:proofErr w:type="spellStart"/>
      <w:r w:rsidRPr="0088472A">
        <w:rPr>
          <w:rFonts w:ascii="Arial" w:eastAsia="Calibri" w:hAnsi="Arial" w:cs="Arial"/>
          <w:color w:val="000000" w:themeColor="text1"/>
          <w:sz w:val="22"/>
          <w:lang w:val="es-ES_tradnl"/>
        </w:rPr>
        <w:t>ii</w:t>
      </w:r>
      <w:proofErr w:type="spellEnd"/>
      <w:r w:rsidRPr="0088472A">
        <w:rPr>
          <w:rFonts w:ascii="Arial" w:eastAsia="Calibri" w:hAnsi="Arial" w:cs="Arial"/>
          <w:color w:val="000000" w:themeColor="text1"/>
          <w:sz w:val="22"/>
          <w:lang w:val="es-ES_tradnl"/>
        </w:rPr>
        <w:t>) de vínculos personales relativos al parentesco o al estado civil</w:t>
      </w:r>
      <w:r w:rsidRPr="0088472A">
        <w:rPr>
          <w:rStyle w:val="Refdenotaalpie"/>
          <w:rFonts w:ascii="Arial" w:eastAsia="Calibri" w:hAnsi="Arial" w:cs="Arial"/>
        </w:rPr>
        <w:footnoteReference w:id="7"/>
      </w:r>
      <w:r w:rsidRPr="0088472A">
        <w:rPr>
          <w:rFonts w:ascii="Arial" w:eastAsia="Calibri" w:hAnsi="Arial" w:cs="Arial"/>
          <w:color w:val="000000" w:themeColor="text1"/>
          <w:sz w:val="22"/>
          <w:lang w:val="es-ES_tradnl"/>
        </w:rPr>
        <w:t xml:space="preserve"> o </w:t>
      </w:r>
      <w:proofErr w:type="spellStart"/>
      <w:r w:rsidRPr="0088472A">
        <w:rPr>
          <w:rFonts w:ascii="Arial" w:eastAsia="Calibri" w:hAnsi="Arial" w:cs="Arial"/>
          <w:color w:val="000000" w:themeColor="text1"/>
          <w:sz w:val="22"/>
          <w:lang w:val="es-ES_tradnl"/>
        </w:rPr>
        <w:t>iii</w:t>
      </w:r>
      <w:proofErr w:type="spellEnd"/>
      <w:r w:rsidRPr="0088472A">
        <w:rPr>
          <w:rFonts w:ascii="Arial" w:eastAsia="Calibri" w:hAnsi="Arial" w:cs="Arial"/>
          <w:color w:val="000000" w:themeColor="text1"/>
          <w:sz w:val="22"/>
          <w:lang w:val="es-ES_tradnl"/>
        </w:rPr>
        <w:t xml:space="preserve">) de una actividad u oficio que se desempeñó en el </w:t>
      </w:r>
      <w:r w:rsidRPr="0088472A">
        <w:rPr>
          <w:rFonts w:ascii="Arial" w:eastAsia="Calibri" w:hAnsi="Arial" w:cs="Arial"/>
          <w:color w:val="000000" w:themeColor="text1"/>
          <w:sz w:val="22"/>
          <w:lang w:val="es-ES_tradnl"/>
        </w:rPr>
        <w:lastRenderedPageBreak/>
        <w:t>pasado</w:t>
      </w:r>
      <w:r w:rsidRPr="0088472A">
        <w:rPr>
          <w:rStyle w:val="Refdenotaalpie"/>
          <w:rFonts w:ascii="Arial" w:eastAsia="Calibri" w:hAnsi="Arial" w:cs="Arial"/>
        </w:rPr>
        <w:footnoteReference w:id="8"/>
      </w:r>
      <w:r w:rsidRPr="0088472A">
        <w:rPr>
          <w:rFonts w:ascii="Arial" w:eastAsia="Calibri" w:hAnsi="Arial" w:cs="Arial"/>
          <w:color w:val="000000" w:themeColor="text1"/>
          <w:sz w:val="22"/>
          <w:lang w:val="es-ES_tradnl"/>
        </w:rPr>
        <w:t>. De otro lado, las incompatibilidades son prohibiciones para participar en los procedimientos de selección y para celebrar contratos estatales, fundadas en la calidad que ostenta el sujeto interesado en realizar alguna de dichas actividades, que no puede coexistir con su calidad de proponente o contratista del Estado</w:t>
      </w:r>
      <w:r w:rsidRPr="0088472A">
        <w:rPr>
          <w:rStyle w:val="Refdenotaalpie"/>
          <w:rFonts w:ascii="Arial" w:eastAsia="Calibri" w:hAnsi="Arial" w:cs="Arial"/>
        </w:rPr>
        <w:footnoteReference w:id="9"/>
      </w:r>
      <w:r w:rsidRPr="0088472A">
        <w:rPr>
          <w:rFonts w:ascii="Arial" w:eastAsia="Calibri" w:hAnsi="Arial" w:cs="Arial"/>
          <w:color w:val="000000" w:themeColor="text1"/>
          <w:sz w:val="22"/>
          <w:lang w:val="es-ES_tradnl"/>
        </w:rPr>
        <w:t xml:space="preserve">. </w:t>
      </w:r>
    </w:p>
    <w:p w14:paraId="365B780D" w14:textId="77777777" w:rsidR="005311C4" w:rsidRPr="0088472A" w:rsidRDefault="005311C4" w:rsidP="005311C4">
      <w:pPr>
        <w:spacing w:before="120" w:after="120" w:line="276" w:lineRule="auto"/>
        <w:ind w:firstLine="709"/>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w:t>
      </w:r>
      <w:r w:rsidRPr="0088472A">
        <w:rPr>
          <w:rFonts w:ascii="Arial" w:eastAsia="Calibri" w:hAnsi="Arial" w:cs="Arial"/>
          <w:color w:val="000000" w:themeColor="text1"/>
          <w:sz w:val="22"/>
          <w:lang w:val="es-ES_tradnl"/>
        </w:rPr>
        <w:lastRenderedPageBreak/>
        <w:t xml:space="preserve">la función administrativa y de la gestión fiscal, especialmente con probidad y transparencia. Es por ello </w:t>
      </w:r>
      <w:proofErr w:type="gramStart"/>
      <w:r w:rsidRPr="0088472A">
        <w:rPr>
          <w:rFonts w:ascii="Arial" w:eastAsia="Calibri" w:hAnsi="Arial" w:cs="Arial"/>
          <w:color w:val="000000" w:themeColor="text1"/>
          <w:sz w:val="22"/>
          <w:lang w:val="es-ES_tradnl"/>
        </w:rPr>
        <w:t>que</w:t>
      </w:r>
      <w:proofErr w:type="gramEnd"/>
      <w:r w:rsidRPr="0088472A">
        <w:rPr>
          <w:rFonts w:ascii="Arial" w:eastAsia="Calibri" w:hAnsi="Arial" w:cs="Arial"/>
          <w:color w:val="000000" w:themeColor="text1"/>
          <w:sz w:val="22"/>
          <w:lang w:val="es-ES_tradnl"/>
        </w:rPr>
        <w:t>, como lo ha destacado la doctrina, las inhabilidades e incompatibilidades se han convertido en herramientas en la lucha contra la corrupción, adoptando paulatinamente un cariz sancionatorio o «</w:t>
      </w:r>
      <w:proofErr w:type="spellStart"/>
      <w:r w:rsidRPr="0088472A">
        <w:rPr>
          <w:rFonts w:ascii="Arial" w:eastAsia="Calibri" w:hAnsi="Arial" w:cs="Arial"/>
          <w:color w:val="000000" w:themeColor="text1"/>
          <w:sz w:val="22"/>
          <w:lang w:val="es-ES_tradnl"/>
        </w:rPr>
        <w:t>neopunitivo</w:t>
      </w:r>
      <w:proofErr w:type="spellEnd"/>
      <w:r w:rsidRPr="0088472A">
        <w:rPr>
          <w:rFonts w:ascii="Arial" w:eastAsia="Calibri" w:hAnsi="Arial" w:cs="Arial"/>
          <w:color w:val="000000" w:themeColor="text1"/>
          <w:sz w:val="22"/>
          <w:lang w:val="es-ES_tradnl"/>
        </w:rPr>
        <w:t>»</w:t>
      </w:r>
      <w:r w:rsidRPr="0088472A">
        <w:rPr>
          <w:rStyle w:val="Refdenotaalpie"/>
          <w:rFonts w:ascii="Arial" w:eastAsia="Calibri" w:hAnsi="Arial" w:cs="Arial"/>
        </w:rPr>
        <w:footnoteReference w:id="10"/>
      </w:r>
      <w:r w:rsidRPr="0088472A">
        <w:rPr>
          <w:rFonts w:ascii="Arial" w:eastAsia="Calibri" w:hAnsi="Arial" w:cs="Arial"/>
          <w:color w:val="000000" w:themeColor="text1"/>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E195A12" w14:textId="77777777" w:rsidR="005311C4" w:rsidRPr="0088472A" w:rsidRDefault="005311C4" w:rsidP="005311C4">
      <w:pPr>
        <w:spacing w:before="120" w:after="120" w:line="276" w:lineRule="auto"/>
        <w:ind w:firstLine="709"/>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88472A">
        <w:rPr>
          <w:rFonts w:ascii="Arial" w:eastAsia="Calibri" w:hAnsi="Arial" w:cs="Arial"/>
          <w:i/>
          <w:iCs/>
          <w:color w:val="000000" w:themeColor="text1"/>
          <w:sz w:val="22"/>
          <w:lang w:val="es-ES_tradnl"/>
        </w:rPr>
        <w:t>restrictiva</w:t>
      </w:r>
      <w:r w:rsidRPr="0088472A">
        <w:rPr>
          <w:rStyle w:val="Refdenotaalpie"/>
          <w:rFonts w:ascii="Arial" w:eastAsia="Calibri" w:hAnsi="Arial" w:cs="Arial"/>
        </w:rPr>
        <w:footnoteReference w:id="11"/>
      </w:r>
      <w:r w:rsidRPr="0088472A">
        <w:rPr>
          <w:rFonts w:ascii="Arial" w:eastAsia="Calibri" w:hAnsi="Arial" w:cs="Arial"/>
          <w:color w:val="000000" w:themeColor="text1"/>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5DA14C17" w14:textId="77777777" w:rsidR="005311C4" w:rsidRPr="0088472A" w:rsidRDefault="005311C4" w:rsidP="005311C4">
      <w:pPr>
        <w:spacing w:line="276" w:lineRule="auto"/>
        <w:ind w:firstLine="709"/>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En efecto, el máximo tribunal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88472A">
        <w:rPr>
          <w:rStyle w:val="Refdenotaalpie"/>
          <w:rFonts w:ascii="Arial" w:eastAsia="Calibri" w:hAnsi="Arial" w:cs="Arial"/>
        </w:rPr>
        <w:footnoteReference w:id="12"/>
      </w:r>
      <w:r w:rsidRPr="0088472A">
        <w:rPr>
          <w:rFonts w:ascii="Arial" w:eastAsia="Calibri" w:hAnsi="Arial" w:cs="Arial"/>
          <w:color w:val="000000" w:themeColor="text1"/>
          <w:sz w:val="22"/>
          <w:lang w:val="es-ES_tradnl"/>
        </w:rPr>
        <w:t xml:space="preserve">.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w:t>
      </w:r>
      <w:r w:rsidRPr="0088472A">
        <w:rPr>
          <w:rFonts w:ascii="Arial" w:eastAsia="Calibri" w:hAnsi="Arial" w:cs="Arial"/>
          <w:color w:val="000000" w:themeColor="text1"/>
          <w:sz w:val="22"/>
          <w:lang w:val="es-ES_tradnl"/>
        </w:rPr>
        <w:lastRenderedPageBreak/>
        <w:t>las leyes” lo que se traduce en que pueden hacer todo aquello que no les esté expresamente prohibido»</w:t>
      </w:r>
      <w:r w:rsidRPr="0088472A">
        <w:rPr>
          <w:rStyle w:val="Refdenotaalpie"/>
          <w:rFonts w:ascii="Arial" w:eastAsia="Calibri" w:hAnsi="Arial" w:cs="Arial"/>
        </w:rPr>
        <w:footnoteReference w:id="13"/>
      </w:r>
      <w:r w:rsidRPr="0088472A">
        <w:rPr>
          <w:rFonts w:ascii="Arial" w:eastAsia="Calibri" w:hAnsi="Arial" w:cs="Arial"/>
          <w:color w:val="000000" w:themeColor="text1"/>
          <w:sz w:val="22"/>
          <w:lang w:val="es-ES_tradnl"/>
        </w:rPr>
        <w:t>. En tal sentido, la Sección Tercera ha señalado que:</w:t>
      </w:r>
    </w:p>
    <w:p w14:paraId="0FF0E966" w14:textId="77777777" w:rsidR="005311C4" w:rsidRPr="0088472A" w:rsidRDefault="005311C4" w:rsidP="005311C4">
      <w:pPr>
        <w:spacing w:line="276" w:lineRule="auto"/>
        <w:ind w:firstLine="709"/>
        <w:jc w:val="both"/>
        <w:rPr>
          <w:rFonts w:ascii="Arial" w:eastAsia="Calibri" w:hAnsi="Arial" w:cs="Arial"/>
          <w:color w:val="000000" w:themeColor="text1"/>
          <w:sz w:val="22"/>
          <w:lang w:val="es-ES_tradnl"/>
        </w:rPr>
      </w:pPr>
    </w:p>
    <w:p w14:paraId="283695C5" w14:textId="77777777" w:rsidR="005311C4" w:rsidRPr="0088472A" w:rsidRDefault="005311C4" w:rsidP="005311C4">
      <w:pPr>
        <w:ind w:left="709" w:right="709"/>
        <w:jc w:val="both"/>
        <w:rPr>
          <w:rFonts w:ascii="Arial" w:hAnsi="Arial" w:cs="Arial"/>
          <w:bCs/>
          <w:color w:val="000000" w:themeColor="text1"/>
          <w:sz w:val="21"/>
          <w:szCs w:val="21"/>
          <w:lang w:val="es-ES_tradnl"/>
        </w:rPr>
      </w:pPr>
      <w:r w:rsidRPr="0088472A">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88472A">
        <w:rPr>
          <w:rStyle w:val="Refdenotaalpie"/>
          <w:rFonts w:ascii="Arial" w:hAnsi="Arial" w:cs="Arial"/>
        </w:rPr>
        <w:footnoteReference w:id="14"/>
      </w:r>
      <w:r w:rsidRPr="0088472A">
        <w:rPr>
          <w:rFonts w:ascii="Arial" w:hAnsi="Arial" w:cs="Arial"/>
          <w:color w:val="000000" w:themeColor="text1"/>
          <w:sz w:val="21"/>
          <w:szCs w:val="21"/>
          <w:lang w:val="es-ES_tradnl"/>
        </w:rPr>
        <w:t>.</w:t>
      </w:r>
    </w:p>
    <w:p w14:paraId="511C6462" w14:textId="77777777" w:rsidR="005311C4" w:rsidRPr="0088472A" w:rsidRDefault="005311C4" w:rsidP="005311C4">
      <w:pPr>
        <w:spacing w:line="276" w:lineRule="auto"/>
        <w:ind w:firstLine="709"/>
        <w:jc w:val="both"/>
        <w:rPr>
          <w:rFonts w:ascii="Arial" w:eastAsia="Calibri" w:hAnsi="Arial" w:cs="Arial"/>
          <w:color w:val="000000" w:themeColor="text1"/>
          <w:sz w:val="22"/>
          <w:lang w:val="es-ES_tradnl"/>
        </w:rPr>
      </w:pPr>
    </w:p>
    <w:p w14:paraId="4943D7D2" w14:textId="77777777" w:rsidR="005311C4" w:rsidRPr="0088472A" w:rsidRDefault="005311C4" w:rsidP="005311C4">
      <w:pPr>
        <w:spacing w:line="276" w:lineRule="auto"/>
        <w:ind w:firstLine="709"/>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También ha dicho que:</w:t>
      </w:r>
    </w:p>
    <w:p w14:paraId="4ABB736C" w14:textId="77777777" w:rsidR="005311C4" w:rsidRPr="0088472A" w:rsidRDefault="005311C4" w:rsidP="005311C4">
      <w:pPr>
        <w:spacing w:line="276" w:lineRule="auto"/>
        <w:ind w:firstLine="709"/>
        <w:jc w:val="both"/>
        <w:rPr>
          <w:rFonts w:ascii="Arial" w:eastAsia="Calibri" w:hAnsi="Arial" w:cs="Arial"/>
          <w:color w:val="000000" w:themeColor="text1"/>
          <w:sz w:val="22"/>
          <w:lang w:val="es-ES_tradnl"/>
        </w:rPr>
      </w:pPr>
    </w:p>
    <w:p w14:paraId="1447D1CD" w14:textId="77777777" w:rsidR="005311C4" w:rsidRPr="0088472A" w:rsidRDefault="005311C4" w:rsidP="005311C4">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88472A">
        <w:rPr>
          <w:rFonts w:ascii="Arial" w:hAnsi="Arial" w:cs="Arial"/>
          <w:i/>
          <w:iCs/>
          <w:color w:val="000000" w:themeColor="text1"/>
          <w:sz w:val="21"/>
          <w:szCs w:val="21"/>
          <w:lang w:val="es-ES_tradnl"/>
        </w:rPr>
        <w:t xml:space="preserve">pro </w:t>
      </w:r>
      <w:proofErr w:type="spellStart"/>
      <w:r w:rsidRPr="0088472A">
        <w:rPr>
          <w:rFonts w:ascii="Arial" w:hAnsi="Arial" w:cs="Arial"/>
          <w:i/>
          <w:iCs/>
          <w:color w:val="000000" w:themeColor="text1"/>
          <w:sz w:val="21"/>
          <w:szCs w:val="21"/>
          <w:lang w:val="es-ES_tradnl"/>
        </w:rPr>
        <w:t>libertate</w:t>
      </w:r>
      <w:proofErr w:type="spellEnd"/>
      <w:r w:rsidRPr="0088472A">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88472A">
        <w:rPr>
          <w:rStyle w:val="Refdenotaalpie"/>
          <w:rFonts w:ascii="Arial" w:hAnsi="Arial" w:cs="Arial"/>
        </w:rPr>
        <w:footnoteReference w:id="15"/>
      </w:r>
      <w:r w:rsidRPr="0088472A">
        <w:rPr>
          <w:rFonts w:ascii="Arial" w:hAnsi="Arial" w:cs="Arial"/>
          <w:color w:val="000000" w:themeColor="text1"/>
          <w:sz w:val="21"/>
          <w:szCs w:val="21"/>
          <w:lang w:val="es-ES_tradnl"/>
        </w:rPr>
        <w:t>.</w:t>
      </w:r>
    </w:p>
    <w:p w14:paraId="2248579A" w14:textId="77777777" w:rsidR="005311C4" w:rsidRPr="0088472A" w:rsidRDefault="005311C4" w:rsidP="005311C4">
      <w:pPr>
        <w:spacing w:line="276" w:lineRule="auto"/>
        <w:jc w:val="both"/>
        <w:rPr>
          <w:rFonts w:ascii="Arial" w:eastAsia="Calibri" w:hAnsi="Arial" w:cs="Arial"/>
          <w:color w:val="000000" w:themeColor="text1"/>
          <w:sz w:val="22"/>
          <w:lang w:val="es-ES_tradnl"/>
        </w:rPr>
      </w:pPr>
    </w:p>
    <w:p w14:paraId="4C557647" w14:textId="77777777" w:rsidR="005311C4" w:rsidRPr="0088472A" w:rsidRDefault="005311C4" w:rsidP="005311C4">
      <w:pPr>
        <w:spacing w:line="276" w:lineRule="auto"/>
        <w:ind w:firstLine="709"/>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 xml:space="preserve">Como se aprecia, el principio </w:t>
      </w:r>
      <w:r w:rsidRPr="0088472A">
        <w:rPr>
          <w:rFonts w:ascii="Arial" w:eastAsia="Calibri" w:hAnsi="Arial" w:cs="Arial"/>
          <w:i/>
          <w:iCs/>
          <w:color w:val="000000" w:themeColor="text1"/>
          <w:sz w:val="22"/>
          <w:lang w:val="es-ES_tradnl"/>
        </w:rPr>
        <w:t xml:space="preserve">pro </w:t>
      </w:r>
      <w:proofErr w:type="spellStart"/>
      <w:r w:rsidRPr="0088472A">
        <w:rPr>
          <w:rFonts w:ascii="Arial" w:eastAsia="Calibri" w:hAnsi="Arial" w:cs="Arial"/>
          <w:i/>
          <w:iCs/>
          <w:color w:val="000000" w:themeColor="text1"/>
          <w:sz w:val="22"/>
          <w:lang w:val="es-ES_tradnl"/>
        </w:rPr>
        <w:t>libertate</w:t>
      </w:r>
      <w:proofErr w:type="spellEnd"/>
      <w:r w:rsidRPr="0088472A">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 </w:t>
      </w:r>
      <w:r w:rsidRPr="0088472A">
        <w:rPr>
          <w:rStyle w:val="normaltextrun"/>
          <w:rFonts w:ascii="Arial" w:hAnsi="Arial" w:cs="Arial"/>
          <w:color w:val="000000" w:themeColor="text1"/>
          <w:sz w:val="22"/>
          <w:szCs w:val="22"/>
          <w:shd w:val="clear" w:color="auto" w:fill="FFFFFF"/>
          <w:lang w:val="es-ES"/>
        </w:rPr>
        <w:t>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05A758A4" w14:textId="03ACAEDF" w:rsidR="005311C4" w:rsidRPr="0088472A" w:rsidRDefault="005311C4" w:rsidP="005311C4">
      <w:pPr>
        <w:spacing w:line="276" w:lineRule="auto"/>
        <w:jc w:val="both"/>
        <w:rPr>
          <w:rFonts w:ascii="Arial" w:eastAsia="Calibri" w:hAnsi="Arial" w:cs="Arial"/>
          <w:color w:val="000000" w:themeColor="text1"/>
          <w:sz w:val="22"/>
          <w:lang w:val="es-ES_tradnl"/>
        </w:rPr>
      </w:pPr>
    </w:p>
    <w:p w14:paraId="051428F0" w14:textId="5C77EC80" w:rsidR="00E53C32" w:rsidRPr="0088472A" w:rsidRDefault="00E53C32" w:rsidP="00E53C32">
      <w:pPr>
        <w:spacing w:line="276" w:lineRule="auto"/>
        <w:jc w:val="both"/>
        <w:rPr>
          <w:rFonts w:ascii="Arial" w:hAnsi="Arial" w:cs="Arial"/>
          <w:b/>
          <w:bCs/>
          <w:color w:val="000000" w:themeColor="text1"/>
          <w:sz w:val="22"/>
          <w:lang w:val="es-ES_tradnl"/>
        </w:rPr>
      </w:pPr>
      <w:r w:rsidRPr="0088472A">
        <w:rPr>
          <w:rFonts w:ascii="Arial" w:hAnsi="Arial" w:cs="Arial"/>
          <w:b/>
          <w:bCs/>
          <w:color w:val="000000" w:themeColor="text1"/>
          <w:sz w:val="22"/>
          <w:lang w:val="es-ES_tradnl"/>
        </w:rPr>
        <w:t>2.2. Interpretación de la causal de inhabilidad por incumplimiento reiterado en contratos de alimentación escolar</w:t>
      </w:r>
      <w:r w:rsidR="008075D1" w:rsidRPr="0088472A">
        <w:rPr>
          <w:rFonts w:ascii="Arial" w:hAnsi="Arial" w:cs="Arial"/>
          <w:b/>
          <w:bCs/>
          <w:color w:val="000000" w:themeColor="text1"/>
          <w:sz w:val="22"/>
          <w:lang w:val="es-ES_tradnl"/>
        </w:rPr>
        <w:t>,</w:t>
      </w:r>
      <w:r w:rsidRPr="0088472A">
        <w:rPr>
          <w:rFonts w:ascii="Arial" w:hAnsi="Arial" w:cs="Arial"/>
          <w:b/>
          <w:bCs/>
          <w:color w:val="000000" w:themeColor="text1"/>
          <w:sz w:val="22"/>
          <w:lang w:val="es-ES_tradnl"/>
        </w:rPr>
        <w:t xml:space="preserve"> consagrada en el artículo 51 de la Ley 2195 de 2022</w:t>
      </w:r>
    </w:p>
    <w:p w14:paraId="12BD5936" w14:textId="22516BD6" w:rsidR="00E53C32" w:rsidRPr="0088472A" w:rsidRDefault="00E53C32" w:rsidP="005311C4">
      <w:pPr>
        <w:spacing w:line="276" w:lineRule="auto"/>
        <w:jc w:val="both"/>
        <w:rPr>
          <w:rFonts w:ascii="Arial" w:eastAsia="Calibri" w:hAnsi="Arial" w:cs="Arial"/>
          <w:color w:val="000000" w:themeColor="text1"/>
          <w:sz w:val="22"/>
          <w:lang w:val="es-ES_tradnl"/>
        </w:rPr>
      </w:pPr>
    </w:p>
    <w:p w14:paraId="38ABD53D" w14:textId="77777777" w:rsidR="009B2925" w:rsidRPr="0088472A" w:rsidRDefault="009B2925" w:rsidP="009B2925">
      <w:pPr>
        <w:widowControl w:val="0"/>
        <w:autoSpaceDE w:val="0"/>
        <w:autoSpaceDN w:val="0"/>
        <w:spacing w:after="120" w:line="276" w:lineRule="auto"/>
        <w:ind w:right="49"/>
        <w:jc w:val="both"/>
        <w:rPr>
          <w:rFonts w:ascii="Arial" w:eastAsia="Arial" w:hAnsi="Arial" w:cs="Arial"/>
          <w:color w:val="000000" w:themeColor="text1"/>
          <w:sz w:val="22"/>
          <w:szCs w:val="22"/>
          <w:lang w:val="es-ES" w:eastAsia="en-US"/>
        </w:rPr>
      </w:pPr>
      <w:r w:rsidRPr="0088472A">
        <w:rPr>
          <w:rFonts w:ascii="Arial" w:eastAsia="Arial" w:hAnsi="Arial" w:cs="Arial"/>
          <w:color w:val="000000" w:themeColor="text1"/>
          <w:sz w:val="22"/>
          <w:szCs w:val="22"/>
          <w:lang w:val="es-ES" w:eastAsia="en-US"/>
        </w:rPr>
        <w:t xml:space="preserve">Las multas y la declaratoria de incumplimiento son sanciones administrativas impuestas </w:t>
      </w:r>
      <w:r w:rsidRPr="0088472A">
        <w:rPr>
          <w:rFonts w:ascii="Arial" w:eastAsia="Arial" w:hAnsi="Arial" w:cs="Arial"/>
          <w:color w:val="000000" w:themeColor="text1"/>
          <w:sz w:val="22"/>
          <w:szCs w:val="22"/>
          <w:lang w:val="es-ES" w:eastAsia="en-US"/>
        </w:rPr>
        <w:lastRenderedPageBreak/>
        <w:t>por la entidad en cada contrato, frente al incumplimiento, parcial o definitivo, de las obligaciones pactadas. En principio, las consecuencias de estas sanciones no se proyectan</w:t>
      </w:r>
      <w:r w:rsidRPr="0088472A">
        <w:rPr>
          <w:rFonts w:ascii="Arial" w:eastAsia="Arial" w:hAnsi="Arial" w:cs="Arial"/>
          <w:color w:val="000000" w:themeColor="text1"/>
          <w:spacing w:val="34"/>
          <w:sz w:val="22"/>
          <w:szCs w:val="22"/>
          <w:lang w:val="es-ES" w:eastAsia="en-US"/>
        </w:rPr>
        <w:t xml:space="preserve"> </w:t>
      </w:r>
      <w:r w:rsidRPr="0088472A">
        <w:rPr>
          <w:rFonts w:ascii="Arial" w:eastAsia="Arial" w:hAnsi="Arial" w:cs="Arial"/>
          <w:color w:val="000000" w:themeColor="text1"/>
          <w:sz w:val="22"/>
          <w:szCs w:val="22"/>
          <w:lang w:val="es-ES" w:eastAsia="en-US"/>
        </w:rPr>
        <w:t>más</w:t>
      </w:r>
      <w:r w:rsidRPr="0088472A">
        <w:rPr>
          <w:rFonts w:ascii="Arial" w:eastAsia="Arial" w:hAnsi="Arial" w:cs="Arial"/>
          <w:color w:val="000000" w:themeColor="text1"/>
          <w:spacing w:val="35"/>
          <w:sz w:val="22"/>
          <w:szCs w:val="22"/>
          <w:lang w:val="es-ES" w:eastAsia="en-US"/>
        </w:rPr>
        <w:t xml:space="preserve"> </w:t>
      </w:r>
      <w:r w:rsidRPr="0088472A">
        <w:rPr>
          <w:rFonts w:ascii="Arial" w:eastAsia="Arial" w:hAnsi="Arial" w:cs="Arial"/>
          <w:color w:val="000000" w:themeColor="text1"/>
          <w:sz w:val="22"/>
          <w:szCs w:val="22"/>
          <w:lang w:val="es-ES" w:eastAsia="en-US"/>
        </w:rPr>
        <w:t>allá</w:t>
      </w:r>
      <w:r w:rsidRPr="0088472A">
        <w:rPr>
          <w:rFonts w:ascii="Arial" w:eastAsia="Arial" w:hAnsi="Arial" w:cs="Arial"/>
          <w:color w:val="000000" w:themeColor="text1"/>
          <w:spacing w:val="33"/>
          <w:sz w:val="22"/>
          <w:szCs w:val="22"/>
          <w:lang w:val="es-ES" w:eastAsia="en-US"/>
        </w:rPr>
        <w:t xml:space="preserve"> </w:t>
      </w:r>
      <w:r w:rsidRPr="0088472A">
        <w:rPr>
          <w:rFonts w:ascii="Arial" w:eastAsia="Arial" w:hAnsi="Arial" w:cs="Arial"/>
          <w:color w:val="000000" w:themeColor="text1"/>
          <w:sz w:val="22"/>
          <w:szCs w:val="22"/>
          <w:lang w:val="es-ES" w:eastAsia="en-US"/>
        </w:rPr>
        <w:t>del</w:t>
      </w:r>
      <w:r w:rsidRPr="0088472A">
        <w:rPr>
          <w:rFonts w:ascii="Arial" w:eastAsia="Arial" w:hAnsi="Arial" w:cs="Arial"/>
          <w:color w:val="000000" w:themeColor="text1"/>
          <w:spacing w:val="32"/>
          <w:sz w:val="22"/>
          <w:szCs w:val="22"/>
          <w:lang w:val="es-ES" w:eastAsia="en-US"/>
        </w:rPr>
        <w:t xml:space="preserve"> </w:t>
      </w:r>
      <w:r w:rsidRPr="0088472A">
        <w:rPr>
          <w:rFonts w:ascii="Arial" w:eastAsia="Arial" w:hAnsi="Arial" w:cs="Arial"/>
          <w:color w:val="000000" w:themeColor="text1"/>
          <w:sz w:val="22"/>
          <w:szCs w:val="22"/>
          <w:lang w:val="es-ES" w:eastAsia="en-US"/>
        </w:rPr>
        <w:t>marco</w:t>
      </w:r>
      <w:r w:rsidRPr="0088472A">
        <w:rPr>
          <w:rFonts w:ascii="Arial" w:eastAsia="Arial" w:hAnsi="Arial" w:cs="Arial"/>
          <w:color w:val="000000" w:themeColor="text1"/>
          <w:spacing w:val="35"/>
          <w:sz w:val="22"/>
          <w:szCs w:val="22"/>
          <w:lang w:val="es-ES" w:eastAsia="en-US"/>
        </w:rPr>
        <w:t xml:space="preserve"> </w:t>
      </w:r>
      <w:r w:rsidRPr="0088472A">
        <w:rPr>
          <w:rFonts w:ascii="Arial" w:eastAsia="Arial" w:hAnsi="Arial" w:cs="Arial"/>
          <w:color w:val="000000" w:themeColor="text1"/>
          <w:sz w:val="22"/>
          <w:szCs w:val="22"/>
          <w:lang w:val="es-ES" w:eastAsia="en-US"/>
        </w:rPr>
        <w:t>del</w:t>
      </w:r>
      <w:r w:rsidRPr="0088472A">
        <w:rPr>
          <w:rFonts w:ascii="Arial" w:eastAsia="Arial" w:hAnsi="Arial" w:cs="Arial"/>
          <w:color w:val="000000" w:themeColor="text1"/>
          <w:spacing w:val="34"/>
          <w:sz w:val="22"/>
          <w:szCs w:val="22"/>
          <w:lang w:val="es-ES" w:eastAsia="en-US"/>
        </w:rPr>
        <w:t xml:space="preserve"> </w:t>
      </w:r>
      <w:r w:rsidRPr="0088472A">
        <w:rPr>
          <w:rFonts w:ascii="Arial" w:eastAsia="Arial" w:hAnsi="Arial" w:cs="Arial"/>
          <w:color w:val="000000" w:themeColor="text1"/>
          <w:sz w:val="22"/>
          <w:szCs w:val="22"/>
          <w:lang w:val="es-ES" w:eastAsia="en-US"/>
        </w:rPr>
        <w:t>contrato</w:t>
      </w:r>
      <w:r w:rsidRPr="0088472A">
        <w:rPr>
          <w:rFonts w:ascii="Arial" w:eastAsia="Arial" w:hAnsi="Arial" w:cs="Arial"/>
          <w:color w:val="000000" w:themeColor="text1"/>
          <w:spacing w:val="35"/>
          <w:sz w:val="22"/>
          <w:szCs w:val="22"/>
          <w:lang w:val="es-ES" w:eastAsia="en-US"/>
        </w:rPr>
        <w:t xml:space="preserve"> </w:t>
      </w:r>
      <w:r w:rsidRPr="0088472A">
        <w:rPr>
          <w:rFonts w:ascii="Arial" w:eastAsia="Arial" w:hAnsi="Arial" w:cs="Arial"/>
          <w:color w:val="000000" w:themeColor="text1"/>
          <w:sz w:val="22"/>
          <w:szCs w:val="22"/>
          <w:lang w:val="es-ES" w:eastAsia="en-US"/>
        </w:rPr>
        <w:t>en</w:t>
      </w:r>
      <w:r w:rsidRPr="0088472A">
        <w:rPr>
          <w:rFonts w:ascii="Arial" w:eastAsia="Arial" w:hAnsi="Arial" w:cs="Arial"/>
          <w:color w:val="000000" w:themeColor="text1"/>
          <w:spacing w:val="35"/>
          <w:sz w:val="22"/>
          <w:szCs w:val="22"/>
          <w:lang w:val="es-ES" w:eastAsia="en-US"/>
        </w:rPr>
        <w:t xml:space="preserve"> </w:t>
      </w:r>
      <w:r w:rsidRPr="0088472A">
        <w:rPr>
          <w:rFonts w:ascii="Arial" w:eastAsia="Arial" w:hAnsi="Arial" w:cs="Arial"/>
          <w:color w:val="000000" w:themeColor="text1"/>
          <w:sz w:val="22"/>
          <w:szCs w:val="22"/>
          <w:lang w:val="es-ES" w:eastAsia="en-US"/>
        </w:rPr>
        <w:t>el</w:t>
      </w:r>
      <w:r w:rsidRPr="0088472A">
        <w:rPr>
          <w:rFonts w:ascii="Arial" w:eastAsia="Arial" w:hAnsi="Arial" w:cs="Arial"/>
          <w:color w:val="000000" w:themeColor="text1"/>
          <w:spacing w:val="34"/>
          <w:sz w:val="22"/>
          <w:szCs w:val="22"/>
          <w:lang w:val="es-ES" w:eastAsia="en-US"/>
        </w:rPr>
        <w:t xml:space="preserve"> </w:t>
      </w:r>
      <w:r w:rsidRPr="0088472A">
        <w:rPr>
          <w:rFonts w:ascii="Arial" w:eastAsia="Arial" w:hAnsi="Arial" w:cs="Arial"/>
          <w:color w:val="000000" w:themeColor="text1"/>
          <w:sz w:val="22"/>
          <w:szCs w:val="22"/>
          <w:lang w:val="es-ES" w:eastAsia="en-US"/>
        </w:rPr>
        <w:t>que</w:t>
      </w:r>
      <w:r w:rsidRPr="0088472A">
        <w:rPr>
          <w:rFonts w:ascii="Arial" w:eastAsia="Arial" w:hAnsi="Arial" w:cs="Arial"/>
          <w:color w:val="000000" w:themeColor="text1"/>
          <w:spacing w:val="33"/>
          <w:sz w:val="22"/>
          <w:szCs w:val="22"/>
          <w:lang w:val="es-ES" w:eastAsia="en-US"/>
        </w:rPr>
        <w:t xml:space="preserve"> </w:t>
      </w:r>
      <w:r w:rsidRPr="0088472A">
        <w:rPr>
          <w:rFonts w:ascii="Arial" w:eastAsia="Arial" w:hAnsi="Arial" w:cs="Arial"/>
          <w:color w:val="000000" w:themeColor="text1"/>
          <w:sz w:val="22"/>
          <w:szCs w:val="22"/>
          <w:lang w:val="es-ES" w:eastAsia="en-US"/>
        </w:rPr>
        <w:t>fueron</w:t>
      </w:r>
      <w:r w:rsidRPr="0088472A">
        <w:rPr>
          <w:rFonts w:ascii="Arial" w:eastAsia="Arial" w:hAnsi="Arial" w:cs="Arial"/>
          <w:color w:val="000000" w:themeColor="text1"/>
          <w:spacing w:val="35"/>
          <w:sz w:val="22"/>
          <w:szCs w:val="22"/>
          <w:lang w:val="es-ES" w:eastAsia="en-US"/>
        </w:rPr>
        <w:t xml:space="preserve"> </w:t>
      </w:r>
      <w:r w:rsidRPr="0088472A">
        <w:rPr>
          <w:rFonts w:ascii="Arial" w:eastAsia="Arial" w:hAnsi="Arial" w:cs="Arial"/>
          <w:color w:val="000000" w:themeColor="text1"/>
          <w:sz w:val="22"/>
          <w:szCs w:val="22"/>
          <w:lang w:val="es-ES" w:eastAsia="en-US"/>
        </w:rPr>
        <w:t>impuestas.</w:t>
      </w:r>
      <w:r w:rsidRPr="0088472A">
        <w:rPr>
          <w:rFonts w:ascii="Arial" w:eastAsia="Arial" w:hAnsi="Arial" w:cs="Arial"/>
          <w:color w:val="000000" w:themeColor="text1"/>
          <w:spacing w:val="31"/>
          <w:sz w:val="22"/>
          <w:szCs w:val="22"/>
          <w:lang w:val="es-ES" w:eastAsia="en-US"/>
        </w:rPr>
        <w:t xml:space="preserve"> </w:t>
      </w:r>
      <w:r w:rsidRPr="0088472A">
        <w:rPr>
          <w:rFonts w:ascii="Arial" w:eastAsia="Arial" w:hAnsi="Arial" w:cs="Arial"/>
          <w:color w:val="000000" w:themeColor="text1"/>
          <w:sz w:val="22"/>
          <w:szCs w:val="22"/>
          <w:lang w:val="es-ES" w:eastAsia="en-US"/>
        </w:rPr>
        <w:t>No</w:t>
      </w:r>
      <w:r w:rsidRPr="0088472A">
        <w:rPr>
          <w:rFonts w:ascii="Arial" w:eastAsia="Arial" w:hAnsi="Arial" w:cs="Arial"/>
          <w:color w:val="000000" w:themeColor="text1"/>
          <w:spacing w:val="35"/>
          <w:sz w:val="22"/>
          <w:szCs w:val="22"/>
          <w:lang w:val="es-ES" w:eastAsia="en-US"/>
        </w:rPr>
        <w:t xml:space="preserve"> </w:t>
      </w:r>
      <w:r w:rsidRPr="0088472A">
        <w:rPr>
          <w:rFonts w:ascii="Arial" w:eastAsia="Arial" w:hAnsi="Arial" w:cs="Arial"/>
          <w:color w:val="000000" w:themeColor="text1"/>
          <w:sz w:val="22"/>
          <w:szCs w:val="22"/>
          <w:lang w:val="es-ES" w:eastAsia="en-US"/>
        </w:rPr>
        <w:t xml:space="preserve">obstante, en aras de hacer prevalecer los principios de 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 los incumplimientos contractuales que las generaron. </w:t>
      </w:r>
    </w:p>
    <w:p w14:paraId="33204C31" w14:textId="18805D5E" w:rsidR="009B2925" w:rsidRPr="0088472A" w:rsidRDefault="009B2925" w:rsidP="009B2925">
      <w:pPr>
        <w:widowControl w:val="0"/>
        <w:autoSpaceDE w:val="0"/>
        <w:autoSpaceDN w:val="0"/>
        <w:spacing w:line="276" w:lineRule="auto"/>
        <w:ind w:right="49" w:firstLine="708"/>
        <w:jc w:val="both"/>
        <w:rPr>
          <w:rFonts w:ascii="Arial" w:eastAsia="Arial" w:hAnsi="Arial" w:cs="Arial"/>
          <w:color w:val="000000" w:themeColor="text1"/>
          <w:sz w:val="22"/>
          <w:szCs w:val="22"/>
          <w:lang w:val="es-ES" w:eastAsia="en-US"/>
        </w:rPr>
      </w:pPr>
      <w:r w:rsidRPr="0088472A">
        <w:rPr>
          <w:rFonts w:ascii="Arial" w:eastAsia="Arial" w:hAnsi="Arial" w:cs="Arial"/>
          <w:color w:val="000000" w:themeColor="text1"/>
          <w:sz w:val="22"/>
          <w:szCs w:val="22"/>
          <w:lang w:val="es-ES" w:eastAsia="en-US"/>
        </w:rPr>
        <w:t xml:space="preserve">En ese sentido, dentro del conjunto de medidas administrativas, fiscales y penales adoptadas por la Ley 1474 de 2011, conocida como Estatuto Anticorrupción, se incluyó la creación de una inhabilidad para contratar </w:t>
      </w:r>
      <w:proofErr w:type="gramStart"/>
      <w:r w:rsidRPr="0088472A">
        <w:rPr>
          <w:rFonts w:ascii="Arial" w:eastAsia="Arial" w:hAnsi="Arial" w:cs="Arial"/>
          <w:color w:val="000000" w:themeColor="text1"/>
          <w:sz w:val="22"/>
          <w:szCs w:val="22"/>
          <w:lang w:val="es-ES" w:eastAsia="en-US"/>
        </w:rPr>
        <w:t>en razón del</w:t>
      </w:r>
      <w:proofErr w:type="gramEnd"/>
      <w:r w:rsidRPr="0088472A">
        <w:rPr>
          <w:rFonts w:ascii="Arial" w:eastAsia="Arial" w:hAnsi="Arial" w:cs="Arial"/>
          <w:color w:val="000000" w:themeColor="text1"/>
          <w:sz w:val="22"/>
          <w:szCs w:val="22"/>
          <w:lang w:val="es-ES" w:eastAsia="en-US"/>
        </w:rPr>
        <w:t xml:space="preserve"> incumplimiento reiterado de los oferentes en la ejecución de otros contratos estatales. Conforme a esto, el artículo 90 de la Ley 1474 de 2011 estableció</w:t>
      </w:r>
      <w:r w:rsidR="00C43931" w:rsidRPr="0088472A">
        <w:rPr>
          <w:rFonts w:ascii="Arial" w:eastAsia="Arial" w:hAnsi="Arial" w:cs="Arial"/>
          <w:color w:val="000000" w:themeColor="text1"/>
          <w:sz w:val="22"/>
          <w:szCs w:val="22"/>
          <w:lang w:val="es-ES" w:eastAsia="en-US"/>
        </w:rPr>
        <w:t>, originalmente,</w:t>
      </w:r>
      <w:r w:rsidRPr="0088472A">
        <w:rPr>
          <w:rFonts w:ascii="Arial" w:eastAsia="Arial" w:hAnsi="Arial" w:cs="Arial"/>
          <w:color w:val="000000" w:themeColor="text1"/>
          <w:sz w:val="22"/>
          <w:szCs w:val="22"/>
          <w:lang w:val="es-ES" w:eastAsia="en-US"/>
        </w:rPr>
        <w:t xml:space="preserve"> la inhabilidad de 3 años, que se configura</w:t>
      </w:r>
      <w:r w:rsidR="00C43931" w:rsidRPr="0088472A">
        <w:rPr>
          <w:rFonts w:ascii="Arial" w:eastAsia="Arial" w:hAnsi="Arial" w:cs="Arial"/>
          <w:color w:val="000000" w:themeColor="text1"/>
          <w:sz w:val="22"/>
          <w:szCs w:val="22"/>
          <w:lang w:val="es-ES" w:eastAsia="en-US"/>
        </w:rPr>
        <w:t>ba</w:t>
      </w:r>
      <w:r w:rsidRPr="0088472A">
        <w:rPr>
          <w:rFonts w:ascii="Arial" w:eastAsia="Arial" w:hAnsi="Arial" w:cs="Arial"/>
          <w:color w:val="000000" w:themeColor="text1"/>
          <w:sz w:val="22"/>
          <w:szCs w:val="22"/>
          <w:lang w:val="es-ES" w:eastAsia="en-US"/>
        </w:rPr>
        <w:t xml:space="preserve"> bajo las siguientes tres causales:</w:t>
      </w:r>
    </w:p>
    <w:p w14:paraId="7917D521" w14:textId="77777777" w:rsidR="009B2925" w:rsidRPr="0088472A" w:rsidRDefault="009B2925" w:rsidP="009B2925">
      <w:pPr>
        <w:widowControl w:val="0"/>
        <w:autoSpaceDE w:val="0"/>
        <w:autoSpaceDN w:val="0"/>
        <w:spacing w:line="276" w:lineRule="auto"/>
        <w:ind w:right="105" w:firstLine="708"/>
        <w:jc w:val="both"/>
        <w:rPr>
          <w:rFonts w:ascii="Arial" w:eastAsia="Arial" w:hAnsi="Arial" w:cs="Arial"/>
          <w:color w:val="000000" w:themeColor="text1"/>
          <w:sz w:val="22"/>
          <w:szCs w:val="22"/>
          <w:lang w:val="es-ES" w:eastAsia="en-US"/>
        </w:rPr>
      </w:pPr>
    </w:p>
    <w:p w14:paraId="22585152" w14:textId="77777777" w:rsidR="009B2925" w:rsidRPr="0088472A" w:rsidRDefault="009B2925" w:rsidP="009B2925">
      <w:pPr>
        <w:widowControl w:val="0"/>
        <w:autoSpaceDE w:val="0"/>
        <w:autoSpaceDN w:val="0"/>
        <w:ind w:left="709" w:right="709"/>
        <w:jc w:val="both"/>
        <w:rPr>
          <w:rFonts w:ascii="Arial" w:eastAsia="Arial" w:hAnsi="Arial" w:cs="Arial"/>
          <w:color w:val="000000" w:themeColor="text1"/>
          <w:sz w:val="21"/>
          <w:szCs w:val="21"/>
          <w:lang w:val="es-ES" w:eastAsia="en-US"/>
        </w:rPr>
      </w:pPr>
      <w:r w:rsidRPr="0088472A">
        <w:rPr>
          <w:rFonts w:ascii="Arial" w:eastAsia="Arial" w:hAnsi="Arial" w:cs="Arial"/>
          <w:color w:val="000000" w:themeColor="text1"/>
          <w:sz w:val="21"/>
          <w:szCs w:val="21"/>
          <w:lang w:val="es-ES" w:eastAsia="en-US"/>
        </w:rPr>
        <w:t xml:space="preserve">Artículo 90. Inhabilidad por incumplimiento reiterado. Quedará inhabilitado el contratista que incurra en alguna de las siguientes conductas:  </w:t>
      </w:r>
    </w:p>
    <w:p w14:paraId="313473DB" w14:textId="77777777" w:rsidR="009B2925" w:rsidRPr="0088472A" w:rsidRDefault="009B2925" w:rsidP="009B2925">
      <w:pPr>
        <w:widowControl w:val="0"/>
        <w:autoSpaceDE w:val="0"/>
        <w:autoSpaceDN w:val="0"/>
        <w:spacing w:before="3"/>
        <w:ind w:left="709" w:right="709"/>
        <w:rPr>
          <w:rFonts w:ascii="Arial" w:eastAsia="Arial" w:hAnsi="Arial" w:cs="Arial"/>
          <w:color w:val="000000" w:themeColor="text1"/>
          <w:sz w:val="21"/>
          <w:szCs w:val="21"/>
          <w:lang w:val="es-ES" w:eastAsia="en-US"/>
        </w:rPr>
      </w:pPr>
    </w:p>
    <w:p w14:paraId="444D73D2" w14:textId="77777777" w:rsidR="009B2925" w:rsidRPr="0088472A" w:rsidRDefault="009B2925" w:rsidP="009B2925">
      <w:pPr>
        <w:widowControl w:val="0"/>
        <w:numPr>
          <w:ilvl w:val="2"/>
          <w:numId w:val="29"/>
        </w:numPr>
        <w:tabs>
          <w:tab w:val="left" w:pos="1078"/>
        </w:tabs>
        <w:autoSpaceDE w:val="0"/>
        <w:autoSpaceDN w:val="0"/>
        <w:ind w:left="709" w:right="709" w:firstLine="0"/>
        <w:jc w:val="both"/>
        <w:rPr>
          <w:rFonts w:ascii="Arial" w:eastAsia="Arial" w:hAnsi="Arial" w:cs="Arial"/>
          <w:color w:val="000000" w:themeColor="text1"/>
          <w:sz w:val="21"/>
          <w:szCs w:val="21"/>
          <w:lang w:val="es-ES" w:eastAsia="en-US"/>
        </w:rPr>
      </w:pPr>
      <w:r w:rsidRPr="0088472A">
        <w:rPr>
          <w:rFonts w:ascii="Arial" w:eastAsia="Arial" w:hAnsi="Arial" w:cs="Arial"/>
          <w:color w:val="000000" w:themeColor="text1"/>
          <w:sz w:val="21"/>
          <w:szCs w:val="21"/>
          <w:lang w:val="es-ES" w:eastAsia="en-US"/>
        </w:rPr>
        <w:t>Haber sido objeto de imposición de cinco (5) o más multas durante la ejecución de uno o varios contratos, durante una misma vigencia fiscal con una o varias entidades</w:t>
      </w:r>
      <w:r w:rsidRPr="0088472A">
        <w:rPr>
          <w:rFonts w:ascii="Arial" w:eastAsia="Arial" w:hAnsi="Arial" w:cs="Arial"/>
          <w:color w:val="000000" w:themeColor="text1"/>
          <w:spacing w:val="-3"/>
          <w:sz w:val="21"/>
          <w:szCs w:val="21"/>
          <w:lang w:val="es-ES" w:eastAsia="en-US"/>
        </w:rPr>
        <w:t xml:space="preserve"> </w:t>
      </w:r>
      <w:r w:rsidRPr="0088472A">
        <w:rPr>
          <w:rFonts w:ascii="Arial" w:eastAsia="Arial" w:hAnsi="Arial" w:cs="Arial"/>
          <w:color w:val="000000" w:themeColor="text1"/>
          <w:sz w:val="21"/>
          <w:szCs w:val="21"/>
          <w:lang w:val="es-ES" w:eastAsia="en-US"/>
        </w:rPr>
        <w:t>estatales;</w:t>
      </w:r>
    </w:p>
    <w:p w14:paraId="6A612244" w14:textId="77777777" w:rsidR="009B2925" w:rsidRPr="0088472A" w:rsidRDefault="009B2925" w:rsidP="009B2925">
      <w:pPr>
        <w:widowControl w:val="0"/>
        <w:autoSpaceDE w:val="0"/>
        <w:autoSpaceDN w:val="0"/>
        <w:spacing w:before="1"/>
        <w:ind w:left="709" w:right="709"/>
        <w:rPr>
          <w:rFonts w:ascii="Arial" w:eastAsia="Arial" w:hAnsi="Arial" w:cs="Arial"/>
          <w:color w:val="000000" w:themeColor="text1"/>
          <w:sz w:val="21"/>
          <w:szCs w:val="21"/>
          <w:lang w:val="es-ES" w:eastAsia="en-US"/>
        </w:rPr>
      </w:pPr>
    </w:p>
    <w:p w14:paraId="2B6C88E2" w14:textId="77777777" w:rsidR="009B2925" w:rsidRPr="0088472A" w:rsidRDefault="009B2925" w:rsidP="009B2925">
      <w:pPr>
        <w:widowControl w:val="0"/>
        <w:numPr>
          <w:ilvl w:val="2"/>
          <w:numId w:val="29"/>
        </w:numPr>
        <w:tabs>
          <w:tab w:val="left" w:pos="1118"/>
        </w:tabs>
        <w:autoSpaceDE w:val="0"/>
        <w:autoSpaceDN w:val="0"/>
        <w:ind w:left="709" w:right="709" w:firstLine="0"/>
        <w:jc w:val="both"/>
        <w:rPr>
          <w:rFonts w:ascii="Arial" w:eastAsia="Arial" w:hAnsi="Arial" w:cs="Arial"/>
          <w:color w:val="000000" w:themeColor="text1"/>
          <w:sz w:val="21"/>
          <w:szCs w:val="21"/>
          <w:lang w:val="es-ES" w:eastAsia="en-US"/>
        </w:rPr>
      </w:pPr>
      <w:r w:rsidRPr="0088472A">
        <w:rPr>
          <w:rFonts w:ascii="Arial" w:eastAsia="Arial" w:hAnsi="Arial" w:cs="Arial"/>
          <w:color w:val="000000" w:themeColor="text1"/>
          <w:sz w:val="21"/>
          <w:szCs w:val="21"/>
          <w:lang w:val="es-ES" w:eastAsia="en-US"/>
        </w:rPr>
        <w:t>Haber sido objeto de declaratorias de incumplimiento contractual en por los menos dos (2) contratos durante una misma vigencia fiscal, con una o varias entidades</w:t>
      </w:r>
      <w:r w:rsidRPr="0088472A">
        <w:rPr>
          <w:rFonts w:ascii="Arial" w:eastAsia="Arial" w:hAnsi="Arial" w:cs="Arial"/>
          <w:color w:val="000000" w:themeColor="text1"/>
          <w:spacing w:val="-3"/>
          <w:sz w:val="21"/>
          <w:szCs w:val="21"/>
          <w:lang w:val="es-ES" w:eastAsia="en-US"/>
        </w:rPr>
        <w:t xml:space="preserve"> </w:t>
      </w:r>
      <w:r w:rsidRPr="0088472A">
        <w:rPr>
          <w:rFonts w:ascii="Arial" w:eastAsia="Arial" w:hAnsi="Arial" w:cs="Arial"/>
          <w:color w:val="000000" w:themeColor="text1"/>
          <w:sz w:val="21"/>
          <w:szCs w:val="21"/>
          <w:lang w:val="es-ES" w:eastAsia="en-US"/>
        </w:rPr>
        <w:t>estatales;</w:t>
      </w:r>
    </w:p>
    <w:p w14:paraId="7DCC1B71" w14:textId="77777777" w:rsidR="009B2925" w:rsidRPr="0088472A" w:rsidRDefault="009B2925" w:rsidP="009B2925">
      <w:pPr>
        <w:widowControl w:val="0"/>
        <w:autoSpaceDE w:val="0"/>
        <w:autoSpaceDN w:val="0"/>
        <w:spacing w:before="9"/>
        <w:ind w:left="709" w:right="709"/>
        <w:rPr>
          <w:rFonts w:ascii="Arial" w:eastAsia="Arial" w:hAnsi="Arial" w:cs="Arial"/>
          <w:color w:val="000000" w:themeColor="text1"/>
          <w:sz w:val="21"/>
          <w:szCs w:val="21"/>
          <w:lang w:val="es-ES" w:eastAsia="en-US"/>
        </w:rPr>
      </w:pPr>
    </w:p>
    <w:p w14:paraId="1A45B9FC" w14:textId="77777777" w:rsidR="009B2925" w:rsidRPr="0088472A" w:rsidRDefault="009B2925" w:rsidP="009B2925">
      <w:pPr>
        <w:widowControl w:val="0"/>
        <w:numPr>
          <w:ilvl w:val="2"/>
          <w:numId w:val="29"/>
        </w:numPr>
        <w:tabs>
          <w:tab w:val="left" w:pos="1108"/>
        </w:tabs>
        <w:autoSpaceDE w:val="0"/>
        <w:autoSpaceDN w:val="0"/>
        <w:spacing w:before="1"/>
        <w:ind w:left="709" w:right="709" w:firstLine="0"/>
        <w:jc w:val="both"/>
        <w:rPr>
          <w:rFonts w:ascii="Arial" w:eastAsia="Arial" w:hAnsi="Arial" w:cs="Arial"/>
          <w:color w:val="000000" w:themeColor="text1"/>
          <w:sz w:val="21"/>
          <w:szCs w:val="21"/>
          <w:lang w:val="es-ES" w:eastAsia="en-US"/>
        </w:rPr>
      </w:pPr>
      <w:r w:rsidRPr="0088472A">
        <w:rPr>
          <w:rFonts w:ascii="Arial" w:eastAsia="Arial" w:hAnsi="Arial" w:cs="Arial"/>
          <w:color w:val="000000" w:themeColor="text1"/>
          <w:sz w:val="21"/>
          <w:szCs w:val="21"/>
          <w:lang w:val="es-ES" w:eastAsia="en-US"/>
        </w:rPr>
        <w:t>Haber sido objeto de imposición de dos (2) multas y un (1) incumplimiento durante una misma vigencia fiscal, con una o varias entidades</w:t>
      </w:r>
      <w:r w:rsidRPr="0088472A">
        <w:rPr>
          <w:rFonts w:ascii="Arial" w:eastAsia="Arial" w:hAnsi="Arial" w:cs="Arial"/>
          <w:color w:val="000000" w:themeColor="text1"/>
          <w:spacing w:val="-24"/>
          <w:sz w:val="21"/>
          <w:szCs w:val="21"/>
          <w:lang w:val="es-ES" w:eastAsia="en-US"/>
        </w:rPr>
        <w:t xml:space="preserve"> </w:t>
      </w:r>
      <w:r w:rsidRPr="0088472A">
        <w:rPr>
          <w:rFonts w:ascii="Arial" w:eastAsia="Arial" w:hAnsi="Arial" w:cs="Arial"/>
          <w:color w:val="000000" w:themeColor="text1"/>
          <w:sz w:val="21"/>
          <w:szCs w:val="21"/>
          <w:lang w:val="es-ES" w:eastAsia="en-US"/>
        </w:rPr>
        <w:t>estatales.</w:t>
      </w:r>
    </w:p>
    <w:p w14:paraId="7FFCBCCE" w14:textId="77777777" w:rsidR="009B2925" w:rsidRPr="0088472A" w:rsidRDefault="009B2925" w:rsidP="009B2925">
      <w:pPr>
        <w:widowControl w:val="0"/>
        <w:autoSpaceDE w:val="0"/>
        <w:autoSpaceDN w:val="0"/>
        <w:ind w:left="709" w:right="709"/>
        <w:rPr>
          <w:rFonts w:ascii="Arial" w:eastAsia="Arial" w:hAnsi="Arial" w:cs="Arial"/>
          <w:color w:val="000000" w:themeColor="text1"/>
          <w:sz w:val="21"/>
          <w:szCs w:val="21"/>
          <w:lang w:val="es-ES" w:eastAsia="en-US"/>
        </w:rPr>
      </w:pPr>
    </w:p>
    <w:p w14:paraId="1DE416E3" w14:textId="77777777" w:rsidR="009B2925" w:rsidRPr="0088472A" w:rsidRDefault="009B2925" w:rsidP="009B2925">
      <w:pPr>
        <w:widowControl w:val="0"/>
        <w:autoSpaceDE w:val="0"/>
        <w:autoSpaceDN w:val="0"/>
        <w:spacing w:before="1"/>
        <w:ind w:left="709" w:right="709"/>
        <w:jc w:val="both"/>
        <w:rPr>
          <w:rFonts w:ascii="Arial" w:eastAsia="Arial" w:hAnsi="Arial" w:cs="Arial"/>
          <w:color w:val="000000" w:themeColor="text1"/>
          <w:sz w:val="21"/>
          <w:szCs w:val="21"/>
          <w:lang w:val="es-ES" w:eastAsia="en-US"/>
        </w:rPr>
      </w:pPr>
      <w:r w:rsidRPr="0088472A">
        <w:rPr>
          <w:rFonts w:ascii="Arial" w:eastAsia="Arial" w:hAnsi="Arial" w:cs="Arial"/>
          <w:color w:val="000000" w:themeColor="text1"/>
          <w:sz w:val="21"/>
          <w:szCs w:val="21"/>
          <w:lang w:val="es-ES" w:eastAsia="en-US"/>
        </w:rPr>
        <w:t>La inhabilidad se extenderá por un término de tres (3) años, contados a partir de la inscripción de la última multa o incumplimiento en el Registro Único de Proponentes, de acuerdo con la información remitida por las entidades públicas. La inhabilidad pertinente se hará explícita en el texto del respectivo</w:t>
      </w:r>
      <w:r w:rsidRPr="0088472A">
        <w:rPr>
          <w:rFonts w:ascii="Arial" w:eastAsia="Arial" w:hAnsi="Arial" w:cs="Arial"/>
          <w:color w:val="000000" w:themeColor="text1"/>
          <w:spacing w:val="-25"/>
          <w:sz w:val="21"/>
          <w:szCs w:val="21"/>
          <w:lang w:val="es-ES" w:eastAsia="en-US"/>
        </w:rPr>
        <w:t xml:space="preserve"> </w:t>
      </w:r>
      <w:r w:rsidRPr="0088472A">
        <w:rPr>
          <w:rFonts w:ascii="Arial" w:eastAsia="Arial" w:hAnsi="Arial" w:cs="Arial"/>
          <w:color w:val="000000" w:themeColor="text1"/>
          <w:sz w:val="21"/>
          <w:szCs w:val="21"/>
          <w:lang w:val="es-ES" w:eastAsia="en-US"/>
        </w:rPr>
        <w:t>certificado.</w:t>
      </w:r>
    </w:p>
    <w:p w14:paraId="524EB33E" w14:textId="77777777" w:rsidR="009B2925" w:rsidRPr="0088472A" w:rsidRDefault="009B2925" w:rsidP="009B2925">
      <w:pPr>
        <w:widowControl w:val="0"/>
        <w:autoSpaceDE w:val="0"/>
        <w:autoSpaceDN w:val="0"/>
        <w:ind w:left="709" w:right="709"/>
        <w:rPr>
          <w:rFonts w:ascii="Arial" w:eastAsia="Arial" w:hAnsi="Arial" w:cs="Arial"/>
          <w:color w:val="000000" w:themeColor="text1"/>
          <w:sz w:val="21"/>
          <w:szCs w:val="21"/>
          <w:lang w:val="es-ES" w:eastAsia="en-US"/>
        </w:rPr>
      </w:pPr>
    </w:p>
    <w:p w14:paraId="303F34E1" w14:textId="77777777" w:rsidR="009B2925" w:rsidRPr="0088472A" w:rsidRDefault="009B2925" w:rsidP="009B2925">
      <w:pPr>
        <w:widowControl w:val="0"/>
        <w:autoSpaceDE w:val="0"/>
        <w:autoSpaceDN w:val="0"/>
        <w:ind w:left="709" w:right="709"/>
        <w:jc w:val="both"/>
        <w:rPr>
          <w:rFonts w:ascii="Arial" w:eastAsia="Arial" w:hAnsi="Arial" w:cs="Arial"/>
          <w:color w:val="000000" w:themeColor="text1"/>
          <w:sz w:val="21"/>
          <w:szCs w:val="21"/>
          <w:lang w:val="es-ES" w:eastAsia="en-US"/>
        </w:rPr>
      </w:pPr>
      <w:r w:rsidRPr="0088472A">
        <w:rPr>
          <w:rFonts w:ascii="Arial" w:eastAsia="Arial" w:hAnsi="Arial" w:cs="Arial"/>
          <w:color w:val="000000" w:themeColor="text1"/>
          <w:sz w:val="21"/>
          <w:szCs w:val="21"/>
          <w:lang w:val="es-ES" w:eastAsia="en-US"/>
        </w:rPr>
        <w:t>Parágrafo. La inhabilidad a que se refiere el presente artículo se extenderá a los socios de sociedades de personas a las cuales se haya declarado esta inhabilidad, así como las sociedades de personas de las que aquellos formen parte con posterioridad a dicha declaratoria.</w:t>
      </w:r>
    </w:p>
    <w:p w14:paraId="03DC7009" w14:textId="77777777" w:rsidR="009B2925" w:rsidRPr="0088472A" w:rsidRDefault="009B2925" w:rsidP="009B2925">
      <w:pPr>
        <w:widowControl w:val="0"/>
        <w:autoSpaceDE w:val="0"/>
        <w:autoSpaceDN w:val="0"/>
        <w:spacing w:line="276" w:lineRule="auto"/>
        <w:ind w:left="100" w:right="108" w:firstLine="608"/>
        <w:jc w:val="both"/>
        <w:rPr>
          <w:rFonts w:ascii="Arial" w:eastAsia="Arial" w:hAnsi="Arial" w:cs="Arial"/>
          <w:color w:val="000000" w:themeColor="text1"/>
          <w:sz w:val="22"/>
          <w:szCs w:val="22"/>
          <w:lang w:val="es-ES" w:eastAsia="en-US"/>
        </w:rPr>
      </w:pPr>
    </w:p>
    <w:p w14:paraId="3AC2CA02" w14:textId="69AAE274" w:rsidR="009B2925" w:rsidRPr="0088472A" w:rsidRDefault="009B2925" w:rsidP="009B2925">
      <w:pPr>
        <w:widowControl w:val="0"/>
        <w:autoSpaceDE w:val="0"/>
        <w:autoSpaceDN w:val="0"/>
        <w:spacing w:after="120" w:line="276" w:lineRule="auto"/>
        <w:ind w:left="102" w:right="108" w:firstLine="607"/>
        <w:jc w:val="both"/>
        <w:rPr>
          <w:rFonts w:ascii="Arial" w:eastAsia="Arial" w:hAnsi="Arial" w:cs="Arial"/>
          <w:color w:val="000000" w:themeColor="text1"/>
          <w:sz w:val="22"/>
          <w:szCs w:val="22"/>
          <w:lang w:val="es-ES" w:eastAsia="en-US"/>
        </w:rPr>
      </w:pPr>
      <w:r w:rsidRPr="0088472A">
        <w:rPr>
          <w:rFonts w:ascii="Arial" w:eastAsia="Arial" w:hAnsi="Arial" w:cs="Arial"/>
          <w:color w:val="000000" w:themeColor="text1"/>
          <w:sz w:val="22"/>
          <w:szCs w:val="22"/>
          <w:lang w:val="es-ES" w:eastAsia="en-US"/>
        </w:rPr>
        <w:t>Como se aprecia, el texto original de la Ley 1474 de 2011, contempla</w:t>
      </w:r>
      <w:r w:rsidR="00A577BC" w:rsidRPr="0088472A">
        <w:rPr>
          <w:rFonts w:ascii="Arial" w:eastAsia="Arial" w:hAnsi="Arial" w:cs="Arial"/>
          <w:color w:val="000000" w:themeColor="text1"/>
          <w:sz w:val="22"/>
          <w:szCs w:val="22"/>
          <w:lang w:val="es-ES" w:eastAsia="en-US"/>
        </w:rPr>
        <w:t>ba</w:t>
      </w:r>
      <w:r w:rsidRPr="0088472A">
        <w:rPr>
          <w:rFonts w:ascii="Arial" w:eastAsia="Arial" w:hAnsi="Arial" w:cs="Arial"/>
          <w:color w:val="000000" w:themeColor="text1"/>
          <w:sz w:val="22"/>
          <w:szCs w:val="22"/>
          <w:lang w:val="es-ES" w:eastAsia="en-US"/>
        </w:rPr>
        <w:t xml:space="preserve"> tres supuestos de hecho que da</w:t>
      </w:r>
      <w:r w:rsidR="00A577BC" w:rsidRPr="0088472A">
        <w:rPr>
          <w:rFonts w:ascii="Arial" w:eastAsia="Arial" w:hAnsi="Arial" w:cs="Arial"/>
          <w:color w:val="000000" w:themeColor="text1"/>
          <w:sz w:val="22"/>
          <w:szCs w:val="22"/>
          <w:lang w:val="es-ES" w:eastAsia="en-US"/>
        </w:rPr>
        <w:t>ban</w:t>
      </w:r>
      <w:r w:rsidRPr="0088472A">
        <w:rPr>
          <w:rFonts w:ascii="Arial" w:eastAsia="Arial" w:hAnsi="Arial" w:cs="Arial"/>
          <w:color w:val="000000" w:themeColor="text1"/>
          <w:sz w:val="22"/>
          <w:szCs w:val="22"/>
          <w:lang w:val="es-ES" w:eastAsia="en-US"/>
        </w:rPr>
        <w:t xml:space="preserve"> lugar a la configuración de la inhabilidad: a) el primero relativo a </w:t>
      </w:r>
      <w:r w:rsidR="00A577BC" w:rsidRPr="0088472A">
        <w:rPr>
          <w:rFonts w:ascii="Arial" w:eastAsia="Arial" w:hAnsi="Arial" w:cs="Arial"/>
          <w:color w:val="000000" w:themeColor="text1"/>
          <w:sz w:val="22"/>
          <w:szCs w:val="22"/>
          <w:lang w:val="es-ES" w:eastAsia="en-US"/>
        </w:rPr>
        <w:t xml:space="preserve">la </w:t>
      </w:r>
      <w:r w:rsidRPr="0088472A">
        <w:rPr>
          <w:rFonts w:ascii="Arial" w:eastAsia="Arial" w:hAnsi="Arial" w:cs="Arial"/>
          <w:color w:val="000000" w:themeColor="text1"/>
          <w:sz w:val="22"/>
          <w:szCs w:val="22"/>
          <w:lang w:val="es-ES" w:eastAsia="en-US"/>
        </w:rPr>
        <w:t>imposición de cinco (5) multas por incumplimiento –parcial– durante una misma vigencia fiscal, con una o varias entidades estatales; b) un segundo supuesto que consist</w:t>
      </w:r>
      <w:r w:rsidR="00A577BC" w:rsidRPr="0088472A">
        <w:rPr>
          <w:rFonts w:ascii="Arial" w:eastAsia="Arial" w:hAnsi="Arial" w:cs="Arial"/>
          <w:color w:val="000000" w:themeColor="text1"/>
          <w:sz w:val="22"/>
          <w:szCs w:val="22"/>
          <w:lang w:val="es-ES" w:eastAsia="en-US"/>
        </w:rPr>
        <w:t>ía</w:t>
      </w:r>
      <w:r w:rsidRPr="0088472A">
        <w:rPr>
          <w:rFonts w:ascii="Arial" w:eastAsia="Arial" w:hAnsi="Arial" w:cs="Arial"/>
          <w:color w:val="000000" w:themeColor="text1"/>
          <w:sz w:val="22"/>
          <w:szCs w:val="22"/>
          <w:lang w:val="es-ES" w:eastAsia="en-US"/>
        </w:rPr>
        <w:t xml:space="preserve"> en la concurrencia de dos (2) declaratorias de incumplimiento –definitivo</w:t>
      </w:r>
      <w:r w:rsidRPr="0088472A">
        <w:rPr>
          <w:rFonts w:ascii="Arial" w:eastAsia="Arial" w:hAnsi="Arial" w:cs="Arial"/>
          <w:color w:val="000000" w:themeColor="text1"/>
          <w:sz w:val="22"/>
          <w:szCs w:val="22"/>
          <w:lang w:val="es-ES" w:eastAsia="en-US"/>
        </w:rPr>
        <w:softHyphen/>
        <w:t xml:space="preserve">– de </w:t>
      </w:r>
      <w:r w:rsidRPr="0088472A">
        <w:rPr>
          <w:rFonts w:ascii="Arial" w:eastAsia="Arial" w:hAnsi="Arial" w:cs="Arial"/>
          <w:color w:val="000000" w:themeColor="text1"/>
          <w:sz w:val="22"/>
          <w:szCs w:val="22"/>
          <w:lang w:val="es-ES" w:eastAsia="en-US"/>
        </w:rPr>
        <w:lastRenderedPageBreak/>
        <w:t xml:space="preserve">contratos durante una misma vigencia fiscal, con una o varias </w:t>
      </w:r>
      <w:r w:rsidR="007F6D51" w:rsidRPr="0088472A">
        <w:rPr>
          <w:rFonts w:ascii="Arial" w:eastAsia="Arial" w:hAnsi="Arial" w:cs="Arial"/>
          <w:color w:val="000000" w:themeColor="text1"/>
          <w:sz w:val="22"/>
          <w:szCs w:val="22"/>
          <w:lang w:val="es-ES" w:eastAsia="en-US"/>
        </w:rPr>
        <w:t>entidades estatales</w:t>
      </w:r>
      <w:r w:rsidRPr="0088472A">
        <w:rPr>
          <w:rFonts w:ascii="Arial" w:eastAsia="Arial" w:hAnsi="Arial" w:cs="Arial"/>
          <w:color w:val="000000" w:themeColor="text1"/>
          <w:sz w:val="22"/>
          <w:szCs w:val="22"/>
          <w:lang w:val="es-ES" w:eastAsia="en-US"/>
        </w:rPr>
        <w:t>; y c) un tercer supuesto alusivo a la imposición de dos (2) multas y una (1) declaratoria de incumplimiento</w:t>
      </w:r>
      <w:r w:rsidR="00A26824" w:rsidRPr="0088472A">
        <w:rPr>
          <w:rFonts w:ascii="Arial" w:eastAsia="Arial" w:hAnsi="Arial" w:cs="Arial"/>
          <w:color w:val="000000" w:themeColor="text1"/>
          <w:sz w:val="22"/>
          <w:szCs w:val="22"/>
          <w:lang w:val="es-ES" w:eastAsia="en-US"/>
        </w:rPr>
        <w:t xml:space="preserve"> </w:t>
      </w:r>
      <w:r w:rsidRPr="0088472A">
        <w:rPr>
          <w:rFonts w:ascii="Arial" w:eastAsia="Arial" w:hAnsi="Arial" w:cs="Arial"/>
          <w:color w:val="000000" w:themeColor="text1"/>
          <w:sz w:val="22"/>
          <w:szCs w:val="22"/>
          <w:lang w:val="es-ES" w:eastAsia="en-US"/>
        </w:rPr>
        <w:t>–definitivo–, durante una misma vigencia fiscal con una o varias entidades estatales</w:t>
      </w:r>
      <w:r w:rsidRPr="0088472A">
        <w:rPr>
          <w:rStyle w:val="Refdenotaalpie"/>
          <w:rFonts w:ascii="Arial" w:eastAsia="Arial" w:hAnsi="Arial" w:cs="Arial"/>
        </w:rPr>
        <w:footnoteReference w:id="16"/>
      </w:r>
      <w:r w:rsidRPr="0088472A">
        <w:rPr>
          <w:rFonts w:ascii="Arial" w:eastAsia="Arial" w:hAnsi="Arial" w:cs="Arial"/>
          <w:color w:val="000000" w:themeColor="text1"/>
          <w:sz w:val="22"/>
          <w:szCs w:val="22"/>
          <w:lang w:val="es-ES" w:eastAsia="en-US"/>
        </w:rPr>
        <w:t xml:space="preserve">. Ante la configuración de cualquiera de tales supuestos, la persona incursa en los mismos </w:t>
      </w:r>
      <w:r w:rsidR="00A26824" w:rsidRPr="0088472A">
        <w:rPr>
          <w:rFonts w:ascii="Arial" w:eastAsia="Arial" w:hAnsi="Arial" w:cs="Arial"/>
          <w:color w:val="000000" w:themeColor="text1"/>
          <w:sz w:val="22"/>
          <w:szCs w:val="22"/>
          <w:lang w:val="es-ES" w:eastAsia="en-US"/>
        </w:rPr>
        <w:t>quedaba</w:t>
      </w:r>
      <w:r w:rsidRPr="0088472A">
        <w:rPr>
          <w:rFonts w:ascii="Arial" w:eastAsia="Arial" w:hAnsi="Arial" w:cs="Arial"/>
          <w:color w:val="000000" w:themeColor="text1"/>
          <w:sz w:val="22"/>
          <w:szCs w:val="22"/>
          <w:lang w:val="es-ES" w:eastAsia="en-US"/>
        </w:rPr>
        <w:t xml:space="preserve"> inhabilitada por un periodo de tres (3) años contados a partir de la fecha de inscripción en el RUP de la última multa o declaratoria de incumplimiento.</w:t>
      </w:r>
    </w:p>
    <w:p w14:paraId="5DCC862B" w14:textId="2CA0E4C4" w:rsidR="009B2925" w:rsidRPr="0088472A" w:rsidRDefault="00AE4662" w:rsidP="009B2925">
      <w:pPr>
        <w:widowControl w:val="0"/>
        <w:autoSpaceDE w:val="0"/>
        <w:autoSpaceDN w:val="0"/>
        <w:spacing w:line="276" w:lineRule="auto"/>
        <w:ind w:left="100" w:right="108" w:firstLine="608"/>
        <w:jc w:val="both"/>
        <w:rPr>
          <w:rFonts w:ascii="Arial" w:eastAsia="Arial" w:hAnsi="Arial" w:cs="Arial"/>
          <w:color w:val="000000" w:themeColor="text1"/>
          <w:sz w:val="22"/>
          <w:szCs w:val="22"/>
          <w:lang w:val="es-ES" w:eastAsia="en-US"/>
        </w:rPr>
      </w:pPr>
      <w:r w:rsidRPr="0088472A">
        <w:rPr>
          <w:rFonts w:ascii="Arial" w:eastAsia="Arial" w:hAnsi="Arial" w:cs="Arial"/>
          <w:color w:val="000000" w:themeColor="text1"/>
          <w:sz w:val="22"/>
          <w:szCs w:val="22"/>
          <w:lang w:val="es-ES" w:eastAsia="en-US"/>
        </w:rPr>
        <w:t>Posteriormente</w:t>
      </w:r>
      <w:r w:rsidR="009B2925" w:rsidRPr="0088472A">
        <w:rPr>
          <w:rFonts w:ascii="Arial" w:eastAsia="Arial" w:hAnsi="Arial" w:cs="Arial"/>
          <w:color w:val="000000" w:themeColor="text1"/>
          <w:sz w:val="22"/>
          <w:szCs w:val="22"/>
          <w:lang w:val="es-ES" w:eastAsia="en-US"/>
        </w:rPr>
        <w:t xml:space="preserve">, los literales a) y b) transcritos fueron modificados por el artículo 43 de la Ley 1955 de 2019, en lo atinente al intervalo de tiempo dentro del que se deben presentar las multas y declaratorias de incumplimiento para que se </w:t>
      </w:r>
      <w:r w:rsidR="00C4081E" w:rsidRPr="0088472A">
        <w:rPr>
          <w:rFonts w:ascii="Arial" w:eastAsia="Arial" w:hAnsi="Arial" w:cs="Arial"/>
          <w:color w:val="000000" w:themeColor="text1"/>
          <w:sz w:val="22"/>
          <w:szCs w:val="22"/>
          <w:lang w:val="es-ES" w:eastAsia="en-US"/>
        </w:rPr>
        <w:t>den</w:t>
      </w:r>
      <w:r w:rsidR="009B2925" w:rsidRPr="0088472A">
        <w:rPr>
          <w:rFonts w:ascii="Arial" w:eastAsia="Arial" w:hAnsi="Arial" w:cs="Arial"/>
          <w:color w:val="000000" w:themeColor="text1"/>
          <w:sz w:val="22"/>
          <w:szCs w:val="22"/>
          <w:lang w:val="es-ES" w:eastAsia="en-US"/>
        </w:rPr>
        <w:t xml:space="preserve"> los dos primeros supuestos que dan lugar a la configuración de la inhabilidad por incumplimiento reiterado. Los literales a) y b) quedaron así:</w:t>
      </w:r>
    </w:p>
    <w:p w14:paraId="0A43F87D" w14:textId="77777777" w:rsidR="009B2925" w:rsidRPr="0088472A" w:rsidRDefault="009B2925" w:rsidP="009B2925">
      <w:pPr>
        <w:widowControl w:val="0"/>
        <w:autoSpaceDE w:val="0"/>
        <w:autoSpaceDN w:val="0"/>
        <w:spacing w:before="3"/>
        <w:rPr>
          <w:rFonts w:ascii="Arial" w:eastAsia="Arial" w:hAnsi="Arial" w:cs="Arial"/>
          <w:color w:val="000000" w:themeColor="text1"/>
          <w:sz w:val="25"/>
          <w:szCs w:val="22"/>
          <w:lang w:val="es-ES" w:eastAsia="en-US"/>
        </w:rPr>
      </w:pPr>
    </w:p>
    <w:p w14:paraId="6CA09738" w14:textId="77777777" w:rsidR="009B2925" w:rsidRPr="0088472A" w:rsidRDefault="009B2925" w:rsidP="009B2925">
      <w:pPr>
        <w:widowControl w:val="0"/>
        <w:numPr>
          <w:ilvl w:val="0"/>
          <w:numId w:val="30"/>
        </w:numPr>
        <w:tabs>
          <w:tab w:val="left" w:pos="1078"/>
        </w:tabs>
        <w:autoSpaceDE w:val="0"/>
        <w:autoSpaceDN w:val="0"/>
        <w:spacing w:before="1"/>
        <w:ind w:left="709" w:right="709" w:firstLine="0"/>
        <w:jc w:val="both"/>
        <w:rPr>
          <w:rFonts w:ascii="Arial" w:eastAsia="Arial" w:hAnsi="Arial" w:cs="Arial"/>
          <w:color w:val="000000" w:themeColor="text1"/>
          <w:sz w:val="21"/>
          <w:szCs w:val="21"/>
          <w:lang w:val="es-ES" w:eastAsia="en-US"/>
        </w:rPr>
      </w:pPr>
      <w:r w:rsidRPr="0088472A">
        <w:rPr>
          <w:rFonts w:ascii="Arial" w:eastAsia="Arial" w:hAnsi="Arial" w:cs="Arial"/>
          <w:color w:val="000000" w:themeColor="text1"/>
          <w:sz w:val="21"/>
          <w:szCs w:val="21"/>
          <w:lang w:val="es-ES" w:eastAsia="en-US"/>
        </w:rPr>
        <w:t xml:space="preserve">Haber sido objeto de imposición de cinco (5) o más multas durante la ejecución de uno o varios contratos, con una o varias entidades estatales, </w:t>
      </w:r>
      <w:r w:rsidRPr="0088472A">
        <w:rPr>
          <w:rFonts w:ascii="Arial" w:eastAsia="Arial" w:hAnsi="Arial" w:cs="Arial"/>
          <w:i/>
          <w:color w:val="000000" w:themeColor="text1"/>
          <w:sz w:val="21"/>
          <w:szCs w:val="21"/>
          <w:lang w:val="es-ES" w:eastAsia="en-US"/>
        </w:rPr>
        <w:t>durante los últimos tres (3)</w:t>
      </w:r>
      <w:r w:rsidRPr="0088472A">
        <w:rPr>
          <w:rFonts w:ascii="Arial" w:eastAsia="Arial" w:hAnsi="Arial" w:cs="Arial"/>
          <w:i/>
          <w:color w:val="000000" w:themeColor="text1"/>
          <w:spacing w:val="-4"/>
          <w:sz w:val="21"/>
          <w:szCs w:val="21"/>
          <w:lang w:val="es-ES" w:eastAsia="en-US"/>
        </w:rPr>
        <w:t xml:space="preserve"> </w:t>
      </w:r>
      <w:r w:rsidRPr="0088472A">
        <w:rPr>
          <w:rFonts w:ascii="Arial" w:eastAsia="Arial" w:hAnsi="Arial" w:cs="Arial"/>
          <w:i/>
          <w:color w:val="000000" w:themeColor="text1"/>
          <w:sz w:val="21"/>
          <w:szCs w:val="21"/>
          <w:lang w:val="es-ES" w:eastAsia="en-US"/>
        </w:rPr>
        <w:t>años</w:t>
      </w:r>
      <w:r w:rsidRPr="0088472A">
        <w:rPr>
          <w:rFonts w:ascii="Arial" w:eastAsia="Arial" w:hAnsi="Arial" w:cs="Arial"/>
          <w:color w:val="000000" w:themeColor="text1"/>
          <w:sz w:val="21"/>
          <w:szCs w:val="21"/>
          <w:lang w:val="es-ES" w:eastAsia="en-US"/>
        </w:rPr>
        <w:t>;</w:t>
      </w:r>
    </w:p>
    <w:p w14:paraId="67D627F1" w14:textId="77777777" w:rsidR="009B2925" w:rsidRPr="0088472A" w:rsidRDefault="009B2925" w:rsidP="009B2925">
      <w:pPr>
        <w:widowControl w:val="0"/>
        <w:autoSpaceDE w:val="0"/>
        <w:autoSpaceDN w:val="0"/>
        <w:ind w:left="709" w:right="709"/>
        <w:rPr>
          <w:rFonts w:ascii="Arial" w:eastAsia="Arial" w:hAnsi="Arial" w:cs="Arial"/>
          <w:color w:val="000000" w:themeColor="text1"/>
          <w:sz w:val="21"/>
          <w:szCs w:val="21"/>
          <w:lang w:val="es-ES" w:eastAsia="en-US"/>
        </w:rPr>
      </w:pPr>
    </w:p>
    <w:p w14:paraId="1DC73845" w14:textId="77777777" w:rsidR="009B2925" w:rsidRPr="0088472A" w:rsidRDefault="009B2925" w:rsidP="009B2925">
      <w:pPr>
        <w:widowControl w:val="0"/>
        <w:numPr>
          <w:ilvl w:val="0"/>
          <w:numId w:val="30"/>
        </w:numPr>
        <w:tabs>
          <w:tab w:val="left" w:pos="1063"/>
        </w:tabs>
        <w:autoSpaceDE w:val="0"/>
        <w:autoSpaceDN w:val="0"/>
        <w:spacing w:before="1"/>
        <w:ind w:left="709" w:right="709" w:firstLine="0"/>
        <w:jc w:val="both"/>
        <w:rPr>
          <w:rFonts w:ascii="Arial" w:eastAsia="Arial" w:hAnsi="Arial" w:cs="Arial"/>
          <w:color w:val="000000" w:themeColor="text1"/>
          <w:sz w:val="21"/>
          <w:szCs w:val="21"/>
          <w:lang w:val="es-ES" w:eastAsia="en-US"/>
        </w:rPr>
      </w:pPr>
      <w:r w:rsidRPr="0088472A">
        <w:rPr>
          <w:rFonts w:ascii="Arial" w:eastAsia="Arial" w:hAnsi="Arial" w:cs="Arial"/>
          <w:color w:val="000000" w:themeColor="text1"/>
          <w:sz w:val="21"/>
          <w:szCs w:val="21"/>
          <w:lang w:val="es-ES" w:eastAsia="en-US"/>
        </w:rPr>
        <w:t xml:space="preserve">Haber sido objeto de declaratorias de incumplimiento contractual en por lo menos dos (2) contratos, con una o varias entidades estatales, </w:t>
      </w:r>
      <w:r w:rsidRPr="0088472A">
        <w:rPr>
          <w:rFonts w:ascii="Arial" w:eastAsia="Arial" w:hAnsi="Arial" w:cs="Arial"/>
          <w:i/>
          <w:color w:val="000000" w:themeColor="text1"/>
          <w:sz w:val="21"/>
          <w:szCs w:val="21"/>
          <w:lang w:val="es-ES" w:eastAsia="en-US"/>
        </w:rPr>
        <w:t xml:space="preserve">durante los últimos tres (3) años </w:t>
      </w:r>
      <w:r w:rsidRPr="0088472A">
        <w:rPr>
          <w:rFonts w:ascii="Arial" w:eastAsia="Arial" w:hAnsi="Arial" w:cs="Arial"/>
          <w:color w:val="000000" w:themeColor="text1"/>
          <w:sz w:val="21"/>
          <w:szCs w:val="21"/>
          <w:lang w:val="es-ES" w:eastAsia="en-US"/>
        </w:rPr>
        <w:t>[…]. (Cursivas fuera de</w:t>
      </w:r>
      <w:r w:rsidRPr="0088472A">
        <w:rPr>
          <w:rFonts w:ascii="Arial" w:eastAsia="Arial" w:hAnsi="Arial" w:cs="Arial"/>
          <w:color w:val="000000" w:themeColor="text1"/>
          <w:spacing w:val="-6"/>
          <w:sz w:val="21"/>
          <w:szCs w:val="21"/>
          <w:lang w:val="es-ES" w:eastAsia="en-US"/>
        </w:rPr>
        <w:t xml:space="preserve"> </w:t>
      </w:r>
      <w:r w:rsidRPr="0088472A">
        <w:rPr>
          <w:rFonts w:ascii="Arial" w:eastAsia="Arial" w:hAnsi="Arial" w:cs="Arial"/>
          <w:color w:val="000000" w:themeColor="text1"/>
          <w:sz w:val="21"/>
          <w:szCs w:val="21"/>
          <w:lang w:val="es-ES" w:eastAsia="en-US"/>
        </w:rPr>
        <w:t>texto).</w:t>
      </w:r>
    </w:p>
    <w:p w14:paraId="7EC6823C" w14:textId="77777777" w:rsidR="009B2925" w:rsidRPr="0088472A" w:rsidRDefault="009B2925" w:rsidP="009B2925">
      <w:pPr>
        <w:widowControl w:val="0"/>
        <w:autoSpaceDE w:val="0"/>
        <w:autoSpaceDN w:val="0"/>
        <w:rPr>
          <w:rFonts w:ascii="Arial" w:eastAsia="Arial" w:hAnsi="Arial" w:cs="Arial"/>
          <w:color w:val="000000" w:themeColor="text1"/>
          <w:sz w:val="22"/>
          <w:szCs w:val="22"/>
          <w:lang w:val="es-ES" w:eastAsia="en-US"/>
        </w:rPr>
      </w:pPr>
    </w:p>
    <w:p w14:paraId="207F2977" w14:textId="77777777" w:rsidR="009B2925" w:rsidRPr="0088472A" w:rsidRDefault="009B2925" w:rsidP="009B2925">
      <w:pPr>
        <w:widowControl w:val="0"/>
        <w:autoSpaceDE w:val="0"/>
        <w:autoSpaceDN w:val="0"/>
        <w:spacing w:line="276" w:lineRule="auto"/>
        <w:ind w:right="114" w:firstLine="708"/>
        <w:jc w:val="both"/>
        <w:rPr>
          <w:rFonts w:ascii="Arial" w:eastAsia="Arial" w:hAnsi="Arial" w:cs="Arial"/>
          <w:color w:val="000000" w:themeColor="text1"/>
          <w:sz w:val="22"/>
          <w:szCs w:val="22"/>
          <w:lang w:val="es-ES" w:eastAsia="en-US"/>
        </w:rPr>
      </w:pPr>
      <w:r w:rsidRPr="0088472A">
        <w:rPr>
          <w:rFonts w:ascii="Arial" w:eastAsia="Arial" w:hAnsi="Arial" w:cs="Arial"/>
          <w:color w:val="000000" w:themeColor="text1"/>
          <w:sz w:val="22"/>
          <w:szCs w:val="22"/>
          <w:lang w:val="es-ES" w:eastAsia="en-US"/>
        </w:rPr>
        <w:t>En ese orden, a la luz del texto original de la Ley 1474 de 2011, para que se configurara la inhabilidad era necesario que las cinco multas –literal a)– o los dos incumplimientos –literal b)– fueran declarados en la misma vigencia fiscal, esto es, en el mismo año. Después de la modificación introducida por la Ley 1955 de 2019, basta que las dos declaratorias de incumplimiento o las cinco multas se hayan impuesto dentro de los últimos tres años.</w:t>
      </w:r>
    </w:p>
    <w:p w14:paraId="496682D6" w14:textId="77777777" w:rsidR="009B2925" w:rsidRPr="0088472A" w:rsidRDefault="009B2925" w:rsidP="009B2925">
      <w:pPr>
        <w:spacing w:before="120" w:line="276" w:lineRule="auto"/>
        <w:jc w:val="both"/>
        <w:rPr>
          <w:rFonts w:ascii="Arial" w:eastAsiaTheme="minorHAnsi" w:hAnsi="Arial" w:cs="Arial"/>
          <w:color w:val="000000" w:themeColor="text1"/>
          <w:sz w:val="22"/>
          <w:szCs w:val="22"/>
          <w:lang w:val="es-MX" w:eastAsia="en-US"/>
        </w:rPr>
      </w:pPr>
      <w:r w:rsidRPr="0088472A">
        <w:rPr>
          <w:rFonts w:ascii="Arial" w:eastAsia="Calibri" w:hAnsi="Arial" w:cs="Arial"/>
          <w:color w:val="000000" w:themeColor="text1"/>
          <w:sz w:val="22"/>
          <w:szCs w:val="22"/>
          <w:lang w:val="es-ES_tradnl" w:eastAsia="en-US"/>
        </w:rPr>
        <w:tab/>
        <w:t xml:space="preserve">Ahora bien, tal modificación, conlleva, en principio, un problema hermenéutico relativo a la aplicación de la ley en el tiempo. Al respecto conviene recordar que </w:t>
      </w:r>
      <w:r w:rsidRPr="0088472A">
        <w:rPr>
          <w:rFonts w:ascii="Arial" w:eastAsiaTheme="minorHAnsi" w:hAnsi="Arial" w:cs="Arial"/>
          <w:color w:val="000000" w:themeColor="text1"/>
          <w:sz w:val="22"/>
          <w:szCs w:val="22"/>
          <w:lang w:val="es-MX" w:eastAsia="en-US"/>
        </w:rPr>
        <w:t>los efectos de una ley se producen a partir de su vigencia, lo que quiere decir que, por regla general, en las leyes colombianas opera la irretroactividad. Así se desprende de la Ley 153 de 1887, que dispuso que la ley posterior prevalece sobre la ley anterior y en el evento en que existan discrepancias entre las mismas se debe aplicar la ley posterior</w:t>
      </w:r>
      <w:r w:rsidRPr="0088472A">
        <w:rPr>
          <w:rStyle w:val="Refdenotaalpie"/>
          <w:rFonts w:ascii="Arial" w:eastAsiaTheme="minorHAnsi" w:hAnsi="Arial" w:cs="Arial"/>
        </w:rPr>
        <w:footnoteReference w:id="17"/>
      </w:r>
      <w:r w:rsidRPr="0088472A">
        <w:rPr>
          <w:rFonts w:ascii="Arial" w:eastAsiaTheme="minorHAnsi" w:hAnsi="Arial" w:cs="Arial"/>
          <w:color w:val="000000" w:themeColor="text1"/>
          <w:sz w:val="22"/>
          <w:szCs w:val="22"/>
          <w:lang w:val="es-MX" w:eastAsia="en-US"/>
        </w:rPr>
        <w:t xml:space="preserve">. No obstante, si en vigencia de la anterior ley se consolidó una situación jurídica no deberá aplicarse la ley posterior, pues de acuerdo con la Constitución Política los derechos adquiridos no pueden ser desconocidos ni vulnerados por leyes posteriores, a menos que se trate de leyes </w:t>
      </w:r>
      <w:r w:rsidRPr="0088472A">
        <w:rPr>
          <w:rFonts w:ascii="Arial" w:eastAsiaTheme="minorHAnsi" w:hAnsi="Arial" w:cs="Arial"/>
          <w:color w:val="000000" w:themeColor="text1"/>
          <w:sz w:val="22"/>
          <w:szCs w:val="22"/>
          <w:lang w:val="es-MX" w:eastAsia="en-US"/>
        </w:rPr>
        <w:lastRenderedPageBreak/>
        <w:t>penales que beneficien al reo –principio de favorabilidad– o que comprometan el interés público o social</w:t>
      </w:r>
      <w:r w:rsidRPr="0088472A">
        <w:rPr>
          <w:rStyle w:val="Refdenotaalpie"/>
          <w:rFonts w:ascii="Arial" w:eastAsiaTheme="minorHAnsi" w:hAnsi="Arial" w:cs="Arial"/>
        </w:rPr>
        <w:footnoteReference w:id="18"/>
      </w:r>
      <w:r w:rsidRPr="0088472A">
        <w:rPr>
          <w:rFonts w:ascii="Arial" w:eastAsiaTheme="minorHAnsi" w:hAnsi="Arial" w:cs="Arial"/>
          <w:color w:val="000000" w:themeColor="text1"/>
          <w:sz w:val="22"/>
          <w:szCs w:val="22"/>
          <w:lang w:val="es-MX" w:eastAsia="en-US"/>
        </w:rPr>
        <w:t>.</w:t>
      </w:r>
    </w:p>
    <w:p w14:paraId="7CB625F4" w14:textId="77777777" w:rsidR="009B2925" w:rsidRPr="0088472A" w:rsidRDefault="009B2925" w:rsidP="009B2925">
      <w:pPr>
        <w:widowControl w:val="0"/>
        <w:autoSpaceDE w:val="0"/>
        <w:autoSpaceDN w:val="0"/>
        <w:spacing w:after="120" w:line="274" w:lineRule="auto"/>
        <w:ind w:right="51" w:firstLine="709"/>
        <w:jc w:val="both"/>
        <w:rPr>
          <w:rFonts w:ascii="Arial" w:eastAsia="Arial" w:hAnsi="Arial" w:cs="Arial"/>
          <w:color w:val="000000" w:themeColor="text1"/>
          <w:sz w:val="22"/>
          <w:szCs w:val="22"/>
          <w:lang w:val="es-ES" w:eastAsia="es-ES" w:bidi="es-ES"/>
        </w:rPr>
      </w:pPr>
      <w:r w:rsidRPr="0088472A">
        <w:rPr>
          <w:rFonts w:ascii="Arial" w:eastAsia="Arial" w:hAnsi="Arial" w:cs="Arial"/>
          <w:color w:val="000000" w:themeColor="text1"/>
          <w:sz w:val="22"/>
          <w:szCs w:val="22"/>
          <w:lang w:val="es-ES" w:eastAsia="es-ES" w:bidi="es-ES"/>
        </w:rPr>
        <w:t>Conforme a lo anterior, el conflicto sobre la aplicación de una ley se presenta cuando en vigencia de la ley anterior nace un hecho allí previsto, sin que se consolide situación jurídica alguna, pero los efectos se producen bajo la vigencia de la ley posterior. De igual forma, cuando se realiza un hecho jurídico bajo la ley anterior pero la ley posterior contempla nuevas condiciones para el reconocimiento de sus efectos, es decir, en vigencia de la ley anterior solo se presentaron situaciones que generaron una simple expectativa</w:t>
      </w:r>
      <w:r w:rsidRPr="0088472A">
        <w:rPr>
          <w:rStyle w:val="Refdenotaalpie"/>
          <w:rFonts w:ascii="Arial" w:eastAsia="Arial" w:hAnsi="Arial" w:cs="Arial"/>
        </w:rPr>
        <w:footnoteReference w:id="19"/>
      </w:r>
      <w:r w:rsidRPr="0088472A">
        <w:rPr>
          <w:rFonts w:ascii="Arial" w:eastAsia="Arial" w:hAnsi="Arial" w:cs="Arial"/>
          <w:color w:val="000000" w:themeColor="text1"/>
          <w:sz w:val="22"/>
          <w:szCs w:val="22"/>
          <w:lang w:val="es-ES" w:eastAsia="es-ES" w:bidi="es-ES"/>
        </w:rPr>
        <w:t>.</w:t>
      </w:r>
    </w:p>
    <w:p w14:paraId="72DAF627" w14:textId="6B34BF0C" w:rsidR="009B2925" w:rsidRPr="0088472A" w:rsidRDefault="009B2925" w:rsidP="009B2925">
      <w:pPr>
        <w:widowControl w:val="0"/>
        <w:autoSpaceDE w:val="0"/>
        <w:autoSpaceDN w:val="0"/>
        <w:spacing w:line="276" w:lineRule="auto"/>
        <w:ind w:right="49" w:firstLine="708"/>
        <w:jc w:val="both"/>
        <w:rPr>
          <w:rFonts w:ascii="Arial" w:eastAsia="Arial" w:hAnsi="Arial" w:cs="Arial"/>
          <w:color w:val="000000" w:themeColor="text1"/>
          <w:sz w:val="22"/>
          <w:szCs w:val="22"/>
          <w:lang w:val="es-ES" w:eastAsia="es-ES" w:bidi="es-ES"/>
        </w:rPr>
      </w:pPr>
      <w:r w:rsidRPr="0088472A">
        <w:rPr>
          <w:rFonts w:ascii="Arial" w:eastAsia="Arial" w:hAnsi="Arial" w:cs="Arial"/>
          <w:color w:val="000000" w:themeColor="text1"/>
          <w:sz w:val="22"/>
          <w:szCs w:val="22"/>
          <w:lang w:val="es-ES" w:eastAsia="es-ES" w:bidi="es-ES"/>
        </w:rPr>
        <w:t xml:space="preserve">En ese sentido, </w:t>
      </w:r>
      <w:r w:rsidR="004D53EE" w:rsidRPr="0088472A">
        <w:rPr>
          <w:rFonts w:ascii="Arial" w:eastAsia="Arial" w:hAnsi="Arial" w:cs="Arial"/>
          <w:color w:val="000000" w:themeColor="text1"/>
          <w:sz w:val="22"/>
          <w:szCs w:val="22"/>
          <w:lang w:val="es-ES" w:eastAsia="es-ES" w:bidi="es-ES"/>
        </w:rPr>
        <w:t>¿</w:t>
      </w:r>
      <w:r w:rsidRPr="0088472A">
        <w:rPr>
          <w:rFonts w:ascii="Arial" w:eastAsia="Arial" w:hAnsi="Arial" w:cs="Arial"/>
          <w:color w:val="000000" w:themeColor="text1"/>
          <w:sz w:val="22"/>
          <w:szCs w:val="22"/>
          <w:lang w:val="es-ES" w:eastAsia="es-ES" w:bidi="es-ES"/>
        </w:rPr>
        <w:t>cómo debe resolverse el conflicto de la aplicación de la ley en el tiempo en lo relativo al supuesto de hecho del literal b) del artículo 90 de la Ley 1474 de 2011, tras su modificación por cuenta del artículo 43 de la Ley 1955 de 2019</w:t>
      </w:r>
      <w:r w:rsidR="004D53EE" w:rsidRPr="0088472A">
        <w:rPr>
          <w:rFonts w:ascii="Arial" w:eastAsia="Arial" w:hAnsi="Arial" w:cs="Arial"/>
          <w:color w:val="000000" w:themeColor="text1"/>
          <w:sz w:val="22"/>
          <w:szCs w:val="22"/>
          <w:lang w:val="es-ES" w:eastAsia="es-ES" w:bidi="es-ES"/>
        </w:rPr>
        <w:t>?</w:t>
      </w:r>
      <w:r w:rsidRPr="0088472A">
        <w:rPr>
          <w:rFonts w:ascii="Arial" w:eastAsia="Arial" w:hAnsi="Arial" w:cs="Arial"/>
          <w:color w:val="000000" w:themeColor="text1"/>
          <w:sz w:val="22"/>
          <w:szCs w:val="22"/>
          <w:lang w:val="es-ES" w:eastAsia="es-ES" w:bidi="es-ES"/>
        </w:rPr>
        <w:t xml:space="preserve"> Lo anterior obliga a determinar a partir de cu</w:t>
      </w:r>
      <w:r w:rsidR="004D53EE" w:rsidRPr="0088472A">
        <w:rPr>
          <w:rFonts w:ascii="Arial" w:eastAsia="Arial" w:hAnsi="Arial" w:cs="Arial"/>
          <w:color w:val="000000" w:themeColor="text1"/>
          <w:sz w:val="22"/>
          <w:szCs w:val="22"/>
          <w:lang w:val="es-ES" w:eastAsia="es-ES" w:bidi="es-ES"/>
        </w:rPr>
        <w:t>á</w:t>
      </w:r>
      <w:r w:rsidRPr="0088472A">
        <w:rPr>
          <w:rFonts w:ascii="Arial" w:eastAsia="Arial" w:hAnsi="Arial" w:cs="Arial"/>
          <w:color w:val="000000" w:themeColor="text1"/>
          <w:sz w:val="22"/>
          <w:szCs w:val="22"/>
          <w:lang w:val="es-ES" w:eastAsia="es-ES" w:bidi="es-ES"/>
        </w:rPr>
        <w:t xml:space="preserve">ndo debe contarse el término de tres (3) años, o si para la configuración de la inhabilidad resulta válido tener en cuenta declaratorias de incumplimiento consolidadas antes de la </w:t>
      </w:r>
      <w:proofErr w:type="gramStart"/>
      <w:r w:rsidRPr="0088472A">
        <w:rPr>
          <w:rFonts w:ascii="Arial" w:eastAsia="Arial" w:hAnsi="Arial" w:cs="Arial"/>
          <w:color w:val="000000" w:themeColor="text1"/>
          <w:sz w:val="22"/>
          <w:szCs w:val="22"/>
          <w:lang w:val="es-ES" w:eastAsia="es-ES" w:bidi="es-ES"/>
        </w:rPr>
        <w:t>entrada en vigencia</w:t>
      </w:r>
      <w:proofErr w:type="gramEnd"/>
      <w:r w:rsidRPr="0088472A">
        <w:rPr>
          <w:rFonts w:ascii="Arial" w:eastAsia="Arial" w:hAnsi="Arial" w:cs="Arial"/>
          <w:color w:val="000000" w:themeColor="text1"/>
          <w:sz w:val="22"/>
          <w:szCs w:val="22"/>
          <w:lang w:val="es-ES" w:eastAsia="es-ES" w:bidi="es-ES"/>
        </w:rPr>
        <w:t xml:space="preserve"> de la Ley 1955 de 2019. Sobre este particular esta Agencia, en concepto de 3 de octubre de 2019, manifestó lo siguiente:</w:t>
      </w:r>
    </w:p>
    <w:p w14:paraId="55222164" w14:textId="77777777" w:rsidR="009B2925" w:rsidRPr="0088472A" w:rsidRDefault="009B2925" w:rsidP="009B2925">
      <w:pPr>
        <w:widowControl w:val="0"/>
        <w:autoSpaceDE w:val="0"/>
        <w:autoSpaceDN w:val="0"/>
        <w:spacing w:line="276" w:lineRule="auto"/>
        <w:ind w:right="49" w:firstLine="708"/>
        <w:jc w:val="both"/>
        <w:rPr>
          <w:rFonts w:ascii="Arial" w:eastAsia="Arial" w:hAnsi="Arial" w:cs="Arial"/>
          <w:color w:val="000000" w:themeColor="text1"/>
          <w:sz w:val="22"/>
          <w:szCs w:val="22"/>
          <w:lang w:val="es-ES" w:eastAsia="es-ES" w:bidi="es-ES"/>
        </w:rPr>
      </w:pPr>
    </w:p>
    <w:p w14:paraId="1967D079" w14:textId="77777777" w:rsidR="009B2925" w:rsidRPr="0088472A" w:rsidRDefault="009B2925" w:rsidP="009B2925">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 xml:space="preserve">El 25 de mayo del presente año entró a regir la Ley 1955 de 2019, la cual modificó lo dispuesto en el artículo 90 de la Ley 1474 de 2011, ampliando el </w:t>
      </w:r>
      <w:r w:rsidRPr="0088472A">
        <w:rPr>
          <w:rFonts w:ascii="Arial" w:eastAsia="Arial" w:hAnsi="Arial" w:cs="Arial"/>
          <w:color w:val="000000" w:themeColor="text1"/>
          <w:sz w:val="21"/>
          <w:szCs w:val="21"/>
          <w:lang w:val="es-ES" w:eastAsia="es-ES" w:bidi="es-ES"/>
        </w:rPr>
        <w:lastRenderedPageBreak/>
        <w:t>plazo durante el cual se deben declarar las sanciones a un contratista para que se configure la inhabilidad por incumplimiento reiterado.</w:t>
      </w:r>
    </w:p>
    <w:p w14:paraId="3EB56EF3" w14:textId="77777777" w:rsidR="009B2925" w:rsidRPr="0088472A" w:rsidRDefault="009B2925" w:rsidP="009B2925">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El legislador no contemplo excepción frente a la aplicación retroactiva de la Ley 1955 de 2019, y si bien la inhabilidad del artículo 43 es de carácter sancionatorio, por tratarse de la potestad punitiva del Estado, el principio de favorabilidad es aplicable al proceso sancionatorio administrativo en virtud de lo establecido en el artículo 29 de la Constitución Política y en la Ley 1437 de 2011.</w:t>
      </w:r>
    </w:p>
    <w:p w14:paraId="516E3492" w14:textId="77777777" w:rsidR="009B2925" w:rsidRPr="0088472A" w:rsidRDefault="009B2925" w:rsidP="009B2925">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 xml:space="preserve">Ahora, la Ley en mención tampoco contempló su aplicación retrospectiva a las situaciones de hecho que tuvieron lugar antes de su </w:t>
      </w:r>
      <w:proofErr w:type="gramStart"/>
      <w:r w:rsidRPr="0088472A">
        <w:rPr>
          <w:rFonts w:ascii="Arial" w:eastAsia="Arial" w:hAnsi="Arial" w:cs="Arial"/>
          <w:color w:val="000000" w:themeColor="text1"/>
          <w:sz w:val="21"/>
          <w:szCs w:val="21"/>
          <w:lang w:val="es-ES" w:eastAsia="es-ES" w:bidi="es-ES"/>
        </w:rPr>
        <w:t>entrada en vigencia</w:t>
      </w:r>
      <w:proofErr w:type="gramEnd"/>
      <w:r w:rsidRPr="0088472A">
        <w:rPr>
          <w:rFonts w:ascii="Arial" w:eastAsia="Arial" w:hAnsi="Arial" w:cs="Arial"/>
          <w:color w:val="000000" w:themeColor="text1"/>
          <w:sz w:val="21"/>
          <w:szCs w:val="21"/>
          <w:lang w:val="es-ES" w:eastAsia="es-ES" w:bidi="es-ES"/>
        </w:rPr>
        <w:t xml:space="preserve">, porque sencillamente si dichas situaciones se hubiesen presentado en vigencia del artículo 90 de la Ley 1474 de 2011 se hubiera configurado la inhabilidad; en este sentido sus efectos tampoco serían </w:t>
      </w:r>
      <w:proofErr w:type="spellStart"/>
      <w:r w:rsidRPr="0088472A">
        <w:rPr>
          <w:rFonts w:ascii="Arial" w:eastAsia="Arial" w:hAnsi="Arial" w:cs="Arial"/>
          <w:color w:val="000000" w:themeColor="text1"/>
          <w:sz w:val="21"/>
          <w:szCs w:val="21"/>
          <w:lang w:val="es-ES" w:eastAsia="es-ES" w:bidi="es-ES"/>
        </w:rPr>
        <w:t>ultraactivos</w:t>
      </w:r>
      <w:proofErr w:type="spellEnd"/>
      <w:r w:rsidRPr="0088472A">
        <w:rPr>
          <w:rFonts w:ascii="Arial" w:eastAsia="Arial" w:hAnsi="Arial" w:cs="Arial"/>
          <w:color w:val="000000" w:themeColor="text1"/>
          <w:sz w:val="21"/>
          <w:szCs w:val="21"/>
          <w:lang w:val="es-ES" w:eastAsia="es-ES" w:bidi="es-ES"/>
        </w:rPr>
        <w:t>.</w:t>
      </w:r>
    </w:p>
    <w:p w14:paraId="0BE3AC25" w14:textId="77777777" w:rsidR="009B2925" w:rsidRPr="0088472A" w:rsidRDefault="009B2925" w:rsidP="009B2925">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Así las cosas, los efectos del artículo 43 de la Ley 1955 de 2019 se producen hacia el futuro, y en este sentido no se podrán tener en cuenta las sanciones impuestas antes del 25 de mayo de 2019, ya que la Ley 1955 de 2019 derogó todas las disposiciones contrarias. Entonces, como quiera que desde el 25 de mayo de 2019 entró a regir una nueva disposición normativa para la inhabilidad por incumplimiento reiterado, a partir de esta fecha se deberá contabilizar los tres (3) años durante los cuales al contratista le han sido impuestas cinco (5) o más multas, o declaratorias de incumplimiento contractual en por lo menos dos (2) contratos. Esto quiere decir que no es posible acumular las sanciones anteriores ni tampoco los años durante los cuales aquellas fueron impuestas.</w:t>
      </w:r>
    </w:p>
    <w:p w14:paraId="384FB885" w14:textId="77777777" w:rsidR="009B2925" w:rsidRPr="0088472A" w:rsidRDefault="009B2925" w:rsidP="009B2925">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 xml:space="preserve">[…] la Constitución Política dispone en materia del derecho al debido proceso, que nadie podrá ser juzgado sino conforme a leyes preexistentes al acto que se le imputa, lo cual aplica para el caso de las inhabilidades de naturaleza sancionatoria, pues como se anotó en precedencia, estas limitan derechos subjetivos. Por lo anterior, la inhabilidad por incumplimiento reiterado después del 25 de mayo de 2019 se debe configurar según lo indicado en el artículo 43 de la Ley 1955 de 2019, a menos que antes de su </w:t>
      </w:r>
      <w:proofErr w:type="gramStart"/>
      <w:r w:rsidRPr="0088472A">
        <w:rPr>
          <w:rFonts w:ascii="Arial" w:eastAsia="Arial" w:hAnsi="Arial" w:cs="Arial"/>
          <w:color w:val="000000" w:themeColor="text1"/>
          <w:sz w:val="21"/>
          <w:szCs w:val="21"/>
          <w:lang w:val="es-ES" w:eastAsia="es-ES" w:bidi="es-ES"/>
        </w:rPr>
        <w:t>entrada en vigencia</w:t>
      </w:r>
      <w:proofErr w:type="gramEnd"/>
      <w:r w:rsidRPr="0088472A">
        <w:rPr>
          <w:rFonts w:ascii="Arial" w:eastAsia="Arial" w:hAnsi="Arial" w:cs="Arial"/>
          <w:color w:val="000000" w:themeColor="text1"/>
          <w:sz w:val="21"/>
          <w:szCs w:val="21"/>
          <w:lang w:val="es-ES" w:eastAsia="es-ES" w:bidi="es-ES"/>
        </w:rPr>
        <w:t xml:space="preserve"> se hubiese consolidado la situación jurídica prevista en el artículo 90 de la Ley 1474 de 2011</w:t>
      </w:r>
      <w:r w:rsidRPr="0088472A">
        <w:rPr>
          <w:rStyle w:val="Refdenotaalpie"/>
          <w:rFonts w:ascii="Arial" w:eastAsia="Arial" w:hAnsi="Arial" w:cs="Arial"/>
        </w:rPr>
        <w:footnoteReference w:id="20"/>
      </w:r>
      <w:r w:rsidRPr="0088472A">
        <w:rPr>
          <w:rFonts w:ascii="Arial" w:eastAsia="Arial" w:hAnsi="Arial" w:cs="Arial"/>
          <w:color w:val="000000" w:themeColor="text1"/>
          <w:sz w:val="21"/>
          <w:szCs w:val="21"/>
          <w:lang w:val="es-ES" w:eastAsia="es-ES" w:bidi="es-ES"/>
        </w:rPr>
        <w:t>.</w:t>
      </w:r>
    </w:p>
    <w:p w14:paraId="65669F2E" w14:textId="77777777" w:rsidR="009B2925" w:rsidRPr="0088472A" w:rsidRDefault="009B2925" w:rsidP="009B2925">
      <w:pPr>
        <w:widowControl w:val="0"/>
        <w:autoSpaceDE w:val="0"/>
        <w:autoSpaceDN w:val="0"/>
        <w:spacing w:line="273" w:lineRule="auto"/>
        <w:ind w:right="49" w:firstLine="708"/>
        <w:jc w:val="both"/>
        <w:rPr>
          <w:rFonts w:ascii="Arial" w:eastAsia="Arial" w:hAnsi="Arial" w:cs="Arial"/>
          <w:color w:val="000000" w:themeColor="text1"/>
          <w:sz w:val="22"/>
          <w:szCs w:val="22"/>
          <w:lang w:val="es-ES" w:eastAsia="es-ES" w:bidi="es-ES"/>
        </w:rPr>
      </w:pPr>
    </w:p>
    <w:p w14:paraId="2CF591E3" w14:textId="13A3BD46" w:rsidR="009B2925" w:rsidRPr="0088472A" w:rsidRDefault="009B2925" w:rsidP="009B2925">
      <w:pPr>
        <w:spacing w:after="120" w:line="276" w:lineRule="auto"/>
        <w:jc w:val="both"/>
        <w:rPr>
          <w:rFonts w:ascii="Arial" w:eastAsiaTheme="minorHAnsi" w:hAnsi="Arial" w:cs="Arial"/>
          <w:color w:val="000000" w:themeColor="text1"/>
          <w:sz w:val="22"/>
          <w:szCs w:val="22"/>
          <w:lang w:val="es-MX" w:eastAsia="en-US"/>
        </w:rPr>
      </w:pPr>
      <w:r w:rsidRPr="0088472A">
        <w:rPr>
          <w:rFonts w:ascii="Arial" w:eastAsiaTheme="minorHAnsi" w:hAnsi="Arial" w:cs="Arial"/>
          <w:color w:val="000000" w:themeColor="text1"/>
          <w:sz w:val="22"/>
          <w:szCs w:val="22"/>
          <w:lang w:val="es-MX" w:eastAsia="en-US"/>
        </w:rPr>
        <w:tab/>
        <w:t>De acuerdo con tales consideraciones, comoquiera que los efectos del artículo 43 de la Ley 1955 de 2019 se producen hacia al futuro, y al haberse derogado el texto original de los literales a y b del artículo 90 de la Ley 1474 de 2011 –</w:t>
      </w:r>
      <w:r w:rsidR="00A62D1E" w:rsidRPr="0088472A">
        <w:rPr>
          <w:rFonts w:ascii="Arial" w:eastAsiaTheme="minorHAnsi" w:hAnsi="Arial" w:cs="Arial"/>
          <w:color w:val="000000" w:themeColor="text1"/>
          <w:sz w:val="22"/>
          <w:szCs w:val="22"/>
          <w:lang w:val="es-MX" w:eastAsia="en-US"/>
        </w:rPr>
        <w:t>y no</w:t>
      </w:r>
      <w:r w:rsidRPr="0088472A">
        <w:rPr>
          <w:rFonts w:ascii="Arial" w:eastAsiaTheme="minorHAnsi" w:hAnsi="Arial" w:cs="Arial"/>
          <w:color w:val="000000" w:themeColor="text1"/>
          <w:sz w:val="22"/>
          <w:szCs w:val="22"/>
          <w:lang w:val="es-MX" w:eastAsia="en-US"/>
        </w:rPr>
        <w:t xml:space="preserve"> haberse dispuesto efectos ultractivos–, para que se configure la causal de inhabilidad aludida</w:t>
      </w:r>
      <w:r w:rsidR="00A62D1E" w:rsidRPr="0088472A">
        <w:rPr>
          <w:rFonts w:ascii="Arial" w:eastAsiaTheme="minorHAnsi" w:hAnsi="Arial" w:cs="Arial"/>
          <w:color w:val="000000" w:themeColor="text1"/>
          <w:sz w:val="22"/>
          <w:szCs w:val="22"/>
          <w:lang w:val="es-MX" w:eastAsia="en-US"/>
        </w:rPr>
        <w:t xml:space="preserve"> </w:t>
      </w:r>
      <w:r w:rsidRPr="0088472A">
        <w:rPr>
          <w:rFonts w:ascii="Arial" w:eastAsiaTheme="minorHAnsi" w:hAnsi="Arial" w:cs="Arial"/>
          <w:color w:val="000000" w:themeColor="text1"/>
          <w:sz w:val="22"/>
          <w:szCs w:val="22"/>
          <w:lang w:val="es-MX" w:eastAsia="en-US"/>
        </w:rPr>
        <w:t>es necesario que las declaratorias de incumplimiento se hayan consolidado con posterioridad a la entrada en vigencia de la Ley 1955 de 2019, esto es, del 25 de mayo de 2019 en adelante.</w:t>
      </w:r>
    </w:p>
    <w:p w14:paraId="63EA73B3" w14:textId="377107AB" w:rsidR="009B2925" w:rsidRPr="0088472A" w:rsidRDefault="009B2925" w:rsidP="009B2925">
      <w:pPr>
        <w:spacing w:after="120" w:line="276" w:lineRule="auto"/>
        <w:jc w:val="both"/>
        <w:rPr>
          <w:rFonts w:ascii="Arial" w:eastAsiaTheme="minorHAnsi" w:hAnsi="Arial" w:cs="Arial"/>
          <w:color w:val="000000" w:themeColor="text1"/>
          <w:sz w:val="22"/>
          <w:szCs w:val="22"/>
          <w:lang w:val="es-MX" w:eastAsia="en-US"/>
        </w:rPr>
      </w:pPr>
      <w:r w:rsidRPr="0088472A">
        <w:rPr>
          <w:rFonts w:ascii="Arial" w:eastAsiaTheme="minorHAnsi" w:hAnsi="Arial" w:cs="Arial"/>
          <w:color w:val="000000" w:themeColor="text1"/>
          <w:sz w:val="22"/>
          <w:szCs w:val="22"/>
          <w:lang w:val="es-MX" w:eastAsia="en-US"/>
        </w:rPr>
        <w:tab/>
        <w:t xml:space="preserve">Tal interpretación además se impone con ocasión del carácter sancionador o </w:t>
      </w:r>
      <w:r w:rsidRPr="0088472A">
        <w:rPr>
          <w:rFonts w:ascii="Arial" w:eastAsiaTheme="minorHAnsi" w:hAnsi="Arial" w:cs="Arial"/>
          <w:i/>
          <w:iCs/>
          <w:color w:val="000000" w:themeColor="text1"/>
          <w:sz w:val="22"/>
          <w:szCs w:val="22"/>
          <w:lang w:val="es-MX" w:eastAsia="en-US"/>
        </w:rPr>
        <w:t>punitivo</w:t>
      </w:r>
      <w:r w:rsidRPr="0088472A">
        <w:rPr>
          <w:rStyle w:val="Refdenotaalpie"/>
          <w:rFonts w:ascii="Arial" w:eastAsiaTheme="minorHAnsi" w:hAnsi="Arial" w:cs="Arial"/>
        </w:rPr>
        <w:footnoteReference w:id="21"/>
      </w:r>
      <w:r w:rsidRPr="0088472A">
        <w:rPr>
          <w:rFonts w:ascii="Arial" w:eastAsiaTheme="minorHAnsi" w:hAnsi="Arial" w:cs="Arial"/>
          <w:color w:val="000000" w:themeColor="text1"/>
          <w:sz w:val="22"/>
          <w:szCs w:val="22"/>
          <w:lang w:val="es-MX" w:eastAsia="en-US"/>
        </w:rPr>
        <w:t xml:space="preserve"> de la inhabilidad por incumplimiento reiterado, que implica que su aplicación deba </w:t>
      </w:r>
      <w:r w:rsidRPr="0088472A">
        <w:rPr>
          <w:rFonts w:ascii="Arial" w:eastAsiaTheme="minorHAnsi" w:hAnsi="Arial" w:cs="Arial"/>
          <w:color w:val="000000" w:themeColor="text1"/>
          <w:sz w:val="22"/>
          <w:szCs w:val="22"/>
          <w:lang w:val="es-MX" w:eastAsia="en-US"/>
        </w:rPr>
        <w:lastRenderedPageBreak/>
        <w:t>ser respetuosa del debido proceso</w:t>
      </w:r>
      <w:r w:rsidRPr="0088472A">
        <w:rPr>
          <w:rStyle w:val="Refdenotaalpie"/>
          <w:rFonts w:ascii="Arial" w:eastAsiaTheme="minorHAnsi" w:hAnsi="Arial" w:cs="Arial"/>
        </w:rPr>
        <w:footnoteReference w:id="22"/>
      </w:r>
      <w:r w:rsidRPr="0088472A">
        <w:rPr>
          <w:rFonts w:ascii="Arial" w:eastAsiaTheme="minorHAnsi" w:hAnsi="Arial" w:cs="Arial"/>
          <w:color w:val="000000" w:themeColor="text1"/>
          <w:sz w:val="22"/>
          <w:szCs w:val="22"/>
          <w:lang w:val="es-MX" w:eastAsia="en-US"/>
        </w:rPr>
        <w:t xml:space="preserve"> y el principio de legalidad de las faltas y de las sanciones</w:t>
      </w:r>
      <w:r w:rsidRPr="0088472A">
        <w:rPr>
          <w:rStyle w:val="Refdenotaalpie"/>
          <w:rFonts w:ascii="Arial" w:eastAsiaTheme="minorHAnsi" w:hAnsi="Arial" w:cs="Arial"/>
        </w:rPr>
        <w:footnoteReference w:id="23"/>
      </w:r>
      <w:r w:rsidRPr="0088472A">
        <w:rPr>
          <w:rFonts w:ascii="Arial" w:eastAsiaTheme="minorHAnsi" w:hAnsi="Arial" w:cs="Arial"/>
          <w:color w:val="000000" w:themeColor="text1"/>
          <w:sz w:val="22"/>
          <w:szCs w:val="22"/>
          <w:lang w:val="es-MX" w:eastAsia="en-US"/>
        </w:rPr>
        <w:t xml:space="preserve">, por lo que circunstancias consolidadas con anterioridad a la entrada en vigencia de la Ley 1955 de 2019 no pueden ser tenidas en cuenta a efectos de configurar la referida inhabilidad, en la medida que el contenido del supuesto de hecho de la falta sancionada con la inhabilidad cambió con la entrada en vigencia de la Ley 1955 de 2019. En tal sentido, admitir la configuración de la inhabilidad conforme al supuesto de hecho vigente respecto de circunstancias anteriores a su entrada en vigor no solo constituiría una aplicación retroactiva de la ley, sino también una vulneración al principio de legalidad y los postulados del derecho al debido proceso. </w:t>
      </w:r>
    </w:p>
    <w:p w14:paraId="346589BF" w14:textId="5B915133" w:rsidR="009B2925" w:rsidRPr="0088472A" w:rsidRDefault="009B2925" w:rsidP="009B2925">
      <w:pPr>
        <w:spacing w:after="120" w:line="276" w:lineRule="auto"/>
        <w:ind w:firstLine="709"/>
        <w:jc w:val="both"/>
        <w:rPr>
          <w:rFonts w:ascii="Arial" w:eastAsia="Calibri" w:hAnsi="Arial" w:cs="Arial"/>
          <w:color w:val="000000" w:themeColor="text1"/>
          <w:sz w:val="22"/>
          <w:szCs w:val="22"/>
          <w:lang w:val="es-ES_tradnl" w:eastAsia="en-US"/>
        </w:rPr>
      </w:pPr>
      <w:r w:rsidRPr="0088472A">
        <w:rPr>
          <w:rFonts w:ascii="Arial" w:eastAsia="Calibri" w:hAnsi="Arial" w:cs="Arial"/>
          <w:color w:val="000000" w:themeColor="text1"/>
          <w:sz w:val="22"/>
          <w:szCs w:val="22"/>
          <w:lang w:val="es-ES_tradnl" w:eastAsia="en-US"/>
        </w:rPr>
        <w:t xml:space="preserve">La postura anterior además se encuentra de acuerdo con el principio </w:t>
      </w:r>
      <w:r w:rsidRPr="0088472A">
        <w:rPr>
          <w:rFonts w:ascii="Arial" w:eastAsia="Calibri" w:hAnsi="Arial" w:cs="Arial"/>
          <w:i/>
          <w:iCs/>
          <w:color w:val="000000" w:themeColor="text1"/>
          <w:sz w:val="22"/>
          <w:szCs w:val="22"/>
          <w:lang w:val="es-ES_tradnl" w:eastAsia="en-US"/>
        </w:rPr>
        <w:t xml:space="preserve">pro </w:t>
      </w:r>
      <w:proofErr w:type="spellStart"/>
      <w:r w:rsidRPr="0088472A">
        <w:rPr>
          <w:rFonts w:ascii="Arial" w:eastAsia="Calibri" w:hAnsi="Arial" w:cs="Arial"/>
          <w:i/>
          <w:iCs/>
          <w:color w:val="000000" w:themeColor="text1"/>
          <w:sz w:val="22"/>
          <w:szCs w:val="22"/>
          <w:lang w:val="es-ES_tradnl" w:eastAsia="en-US"/>
        </w:rPr>
        <w:t>libertate</w:t>
      </w:r>
      <w:proofErr w:type="spellEnd"/>
      <w:r w:rsidRPr="0088472A">
        <w:rPr>
          <w:rFonts w:ascii="Arial" w:eastAsia="Calibri" w:hAnsi="Arial" w:cs="Arial"/>
          <w:color w:val="000000" w:themeColor="text1"/>
          <w:sz w:val="22"/>
          <w:szCs w:val="22"/>
          <w:lang w:val="es-ES_tradnl" w:eastAsia="en-US"/>
        </w:rPr>
        <w:t xml:space="preserve"> que debe dirigir la interpretación de las disposiciones normativas que consagran restricciones de derechos, como son las inhabilidades. Esto en la medida </w:t>
      </w:r>
      <w:r w:rsidR="0037376B" w:rsidRPr="0088472A">
        <w:rPr>
          <w:rFonts w:ascii="Arial" w:eastAsia="Calibri" w:hAnsi="Arial" w:cs="Arial"/>
          <w:color w:val="000000" w:themeColor="text1"/>
          <w:sz w:val="22"/>
          <w:szCs w:val="22"/>
          <w:lang w:val="es-ES_tradnl" w:eastAsia="en-US"/>
        </w:rPr>
        <w:t xml:space="preserve">en </w:t>
      </w:r>
      <w:r w:rsidRPr="0088472A">
        <w:rPr>
          <w:rFonts w:ascii="Arial" w:eastAsia="Calibri" w:hAnsi="Arial" w:cs="Arial"/>
          <w:color w:val="000000" w:themeColor="text1"/>
          <w:sz w:val="22"/>
          <w:szCs w:val="22"/>
          <w:lang w:val="es-ES_tradnl" w:eastAsia="en-US"/>
        </w:rPr>
        <w:t xml:space="preserve">que asumir </w:t>
      </w:r>
      <w:r w:rsidR="0037376B" w:rsidRPr="0088472A">
        <w:rPr>
          <w:rFonts w:ascii="Arial" w:eastAsia="Calibri" w:hAnsi="Arial" w:cs="Arial"/>
          <w:color w:val="000000" w:themeColor="text1"/>
          <w:sz w:val="22"/>
          <w:szCs w:val="22"/>
          <w:lang w:val="es-ES_tradnl" w:eastAsia="en-US"/>
        </w:rPr>
        <w:t>una</w:t>
      </w:r>
      <w:r w:rsidRPr="0088472A">
        <w:rPr>
          <w:rFonts w:ascii="Arial" w:eastAsia="Calibri" w:hAnsi="Arial" w:cs="Arial"/>
          <w:color w:val="000000" w:themeColor="text1"/>
          <w:sz w:val="22"/>
          <w:szCs w:val="22"/>
          <w:lang w:val="es-ES_tradnl" w:eastAsia="en-US"/>
        </w:rPr>
        <w:t xml:space="preserve"> interpretación contraria a la esbozada, esto es, la que indicaría que </w:t>
      </w:r>
      <w:r w:rsidR="00FC1155" w:rsidRPr="0088472A">
        <w:rPr>
          <w:rFonts w:ascii="Arial" w:eastAsia="Calibri" w:hAnsi="Arial" w:cs="Arial"/>
          <w:color w:val="000000" w:themeColor="text1"/>
          <w:sz w:val="22"/>
          <w:szCs w:val="22"/>
          <w:lang w:val="es-ES_tradnl" w:eastAsia="en-US"/>
        </w:rPr>
        <w:t xml:space="preserve">configurar </w:t>
      </w:r>
      <w:r w:rsidRPr="0088472A">
        <w:rPr>
          <w:rFonts w:ascii="Arial" w:eastAsia="Calibri" w:hAnsi="Arial" w:cs="Arial"/>
          <w:color w:val="000000" w:themeColor="text1"/>
          <w:sz w:val="22"/>
          <w:szCs w:val="22"/>
          <w:lang w:val="es-ES_tradnl" w:eastAsia="en-US"/>
        </w:rPr>
        <w:t xml:space="preserve">la causal de inhabilidad en comento resultaría válido considerar hechos ocurridos –en un intervalo de 3 años–, antes de la entrada en vigencia de la Ley 1955 de 2019, implicaría una mayor restricción de derechos, ya que se extenderían los efectos de la norma a un mayor número </w:t>
      </w:r>
      <w:r w:rsidRPr="0088472A">
        <w:rPr>
          <w:rFonts w:ascii="Arial" w:eastAsia="Calibri" w:hAnsi="Arial" w:cs="Arial"/>
          <w:color w:val="000000" w:themeColor="text1"/>
          <w:sz w:val="22"/>
          <w:szCs w:val="22"/>
          <w:lang w:val="es-ES_tradnl" w:eastAsia="en-US"/>
        </w:rPr>
        <w:lastRenderedPageBreak/>
        <w:t xml:space="preserve">de casos particulares, lo cual resultaría contrario a la interpretación restrictiva que amerita la norma bajo estudio. </w:t>
      </w:r>
    </w:p>
    <w:p w14:paraId="3662378F" w14:textId="0C13784E" w:rsidR="009B2925" w:rsidRPr="0088472A" w:rsidRDefault="009B2925" w:rsidP="009B2925">
      <w:pPr>
        <w:spacing w:after="120" w:line="276" w:lineRule="auto"/>
        <w:ind w:firstLine="709"/>
        <w:jc w:val="both"/>
        <w:rPr>
          <w:rFonts w:ascii="Arial" w:eastAsiaTheme="minorHAnsi" w:hAnsi="Arial" w:cs="Arial"/>
          <w:color w:val="000000" w:themeColor="text1"/>
          <w:sz w:val="22"/>
          <w:szCs w:val="22"/>
          <w:lang w:val="es-MX" w:eastAsia="en-US"/>
        </w:rPr>
      </w:pPr>
      <w:r w:rsidRPr="0088472A">
        <w:rPr>
          <w:rFonts w:ascii="Arial" w:eastAsia="Calibri" w:hAnsi="Arial" w:cs="Arial"/>
          <w:color w:val="000000" w:themeColor="text1"/>
          <w:sz w:val="22"/>
          <w:szCs w:val="22"/>
          <w:lang w:val="es-ES_tradnl" w:eastAsia="en-US"/>
        </w:rPr>
        <w:t xml:space="preserve">De otra parte, conviene recordar </w:t>
      </w:r>
      <w:r w:rsidRPr="0088472A">
        <w:rPr>
          <w:rFonts w:ascii="Arial" w:eastAsiaTheme="minorHAnsi" w:hAnsi="Arial" w:cs="Arial"/>
          <w:color w:val="000000" w:themeColor="text1"/>
          <w:sz w:val="22"/>
          <w:szCs w:val="22"/>
          <w:lang w:val="es-MX" w:eastAsia="en-US"/>
        </w:rPr>
        <w:t>que</w:t>
      </w:r>
      <w:r w:rsidR="008105DC" w:rsidRPr="0088472A">
        <w:rPr>
          <w:rFonts w:ascii="Arial" w:eastAsiaTheme="minorHAnsi" w:hAnsi="Arial" w:cs="Arial"/>
          <w:color w:val="000000" w:themeColor="text1"/>
          <w:sz w:val="22"/>
          <w:szCs w:val="22"/>
          <w:lang w:val="es-MX" w:eastAsia="en-US"/>
        </w:rPr>
        <w:t>,</w:t>
      </w:r>
      <w:r w:rsidRPr="0088472A">
        <w:rPr>
          <w:rFonts w:ascii="Arial" w:eastAsiaTheme="minorHAnsi" w:hAnsi="Arial" w:cs="Arial"/>
          <w:color w:val="000000" w:themeColor="text1"/>
          <w:sz w:val="22"/>
          <w:szCs w:val="22"/>
          <w:lang w:val="es-MX" w:eastAsia="en-US"/>
        </w:rPr>
        <w:t xml:space="preserve"> de conformidad con el inciso anterior al parágrafo del artículo 90 de la Ley 1474 de 2011, la inhabilidad por incumplimiento reiterado se configura a partir de la inscripción en el Registro Único de Proponentes de la última multa o declaratoria de incumplimiento requerida para su configuración. Por lo tanto, no se podrá extender la inhabilidad desde que se declaró la sanción por parte de la entidad, pues esto implicaría afectar la interpretación restrictiva que rige en el régimen de inhabilidades e incompatibilidades.</w:t>
      </w:r>
    </w:p>
    <w:p w14:paraId="23EAB335" w14:textId="6861C226" w:rsidR="009B2925" w:rsidRPr="0088472A" w:rsidRDefault="009B2925" w:rsidP="009B2925">
      <w:pPr>
        <w:widowControl w:val="0"/>
        <w:autoSpaceDE w:val="0"/>
        <w:autoSpaceDN w:val="0"/>
        <w:spacing w:after="120" w:line="274" w:lineRule="auto"/>
        <w:ind w:right="51" w:firstLine="709"/>
        <w:jc w:val="both"/>
        <w:rPr>
          <w:rFonts w:ascii="Arial" w:eastAsia="Arial" w:hAnsi="Arial" w:cs="Arial"/>
          <w:color w:val="000000" w:themeColor="text1"/>
          <w:sz w:val="22"/>
          <w:szCs w:val="22"/>
          <w:lang w:val="es-ES" w:eastAsia="es-ES" w:bidi="es-ES"/>
        </w:rPr>
      </w:pPr>
      <w:r w:rsidRPr="0088472A">
        <w:rPr>
          <w:rFonts w:ascii="Arial" w:eastAsia="Arial" w:hAnsi="Arial" w:cs="Arial"/>
          <w:color w:val="000000" w:themeColor="text1"/>
          <w:sz w:val="22"/>
          <w:szCs w:val="22"/>
          <w:lang w:val="es-ES" w:eastAsia="es-ES" w:bidi="es-ES"/>
        </w:rPr>
        <w:t xml:space="preserve"> Resulta relevante poner esto de presente</w:t>
      </w:r>
      <w:r w:rsidR="005912BB" w:rsidRPr="0088472A">
        <w:rPr>
          <w:rFonts w:ascii="Arial" w:eastAsia="Arial" w:hAnsi="Arial" w:cs="Arial"/>
          <w:color w:val="000000" w:themeColor="text1"/>
          <w:sz w:val="22"/>
          <w:szCs w:val="22"/>
          <w:lang w:val="es-ES" w:eastAsia="es-ES" w:bidi="es-ES"/>
        </w:rPr>
        <w:t>,</w:t>
      </w:r>
      <w:r w:rsidRPr="0088472A">
        <w:rPr>
          <w:rFonts w:ascii="Arial" w:eastAsia="Arial" w:hAnsi="Arial" w:cs="Arial"/>
          <w:color w:val="000000" w:themeColor="text1"/>
          <w:sz w:val="22"/>
          <w:szCs w:val="22"/>
          <w:lang w:val="es-ES" w:eastAsia="es-ES" w:bidi="es-ES"/>
        </w:rPr>
        <w:t xml:space="preserve"> </w:t>
      </w:r>
      <w:r w:rsidR="005912BB" w:rsidRPr="0088472A">
        <w:rPr>
          <w:rFonts w:ascii="Arial" w:eastAsia="Arial" w:hAnsi="Arial" w:cs="Arial"/>
          <w:color w:val="000000" w:themeColor="text1"/>
          <w:sz w:val="22"/>
          <w:szCs w:val="22"/>
          <w:lang w:val="es-ES" w:eastAsia="es-ES" w:bidi="es-ES"/>
        </w:rPr>
        <w:t>pues</w:t>
      </w:r>
      <w:r w:rsidRPr="0088472A">
        <w:rPr>
          <w:rFonts w:ascii="Arial" w:eastAsia="Arial" w:hAnsi="Arial" w:cs="Arial"/>
          <w:color w:val="000000" w:themeColor="text1"/>
          <w:sz w:val="22"/>
          <w:szCs w:val="22"/>
          <w:lang w:val="es-ES" w:eastAsia="es-ES" w:bidi="es-ES"/>
        </w:rPr>
        <w:t xml:space="preserve"> frente </w:t>
      </w:r>
      <w:r w:rsidR="005912BB" w:rsidRPr="0088472A">
        <w:rPr>
          <w:rFonts w:ascii="Arial" w:eastAsia="Arial" w:hAnsi="Arial" w:cs="Arial"/>
          <w:color w:val="000000" w:themeColor="text1"/>
          <w:sz w:val="22"/>
          <w:szCs w:val="22"/>
          <w:lang w:val="es-ES" w:eastAsia="es-ES" w:bidi="es-ES"/>
        </w:rPr>
        <w:t xml:space="preserve">a </w:t>
      </w:r>
      <w:r w:rsidRPr="0088472A">
        <w:rPr>
          <w:rFonts w:ascii="Arial" w:eastAsia="Arial" w:hAnsi="Arial" w:cs="Arial"/>
          <w:color w:val="000000" w:themeColor="text1"/>
          <w:sz w:val="22"/>
          <w:szCs w:val="22"/>
          <w:lang w:val="es-ES" w:eastAsia="es-ES" w:bidi="es-ES"/>
        </w:rPr>
        <w:t>otras causales de inhabilidad e incompatibilidad</w:t>
      </w:r>
      <w:r w:rsidR="005912BB" w:rsidRPr="0088472A">
        <w:rPr>
          <w:rFonts w:ascii="Arial" w:eastAsia="Arial" w:hAnsi="Arial" w:cs="Arial"/>
          <w:color w:val="000000" w:themeColor="text1"/>
          <w:sz w:val="22"/>
          <w:szCs w:val="22"/>
          <w:lang w:val="es-ES" w:eastAsia="es-ES" w:bidi="es-ES"/>
        </w:rPr>
        <w:t xml:space="preserve"> </w:t>
      </w:r>
      <w:r w:rsidRPr="0088472A">
        <w:rPr>
          <w:rFonts w:ascii="Arial" w:eastAsia="Arial" w:hAnsi="Arial" w:cs="Arial"/>
          <w:color w:val="000000" w:themeColor="text1"/>
          <w:sz w:val="22"/>
          <w:szCs w:val="22"/>
          <w:lang w:val="es-ES" w:eastAsia="es-ES" w:bidi="es-ES"/>
        </w:rPr>
        <w:t>el legislador sí previó que la inhabilidad se cuent</w:t>
      </w:r>
      <w:r w:rsidR="005912BB" w:rsidRPr="0088472A">
        <w:rPr>
          <w:rFonts w:ascii="Arial" w:eastAsia="Arial" w:hAnsi="Arial" w:cs="Arial"/>
          <w:color w:val="000000" w:themeColor="text1"/>
          <w:sz w:val="22"/>
          <w:szCs w:val="22"/>
          <w:lang w:val="es-ES" w:eastAsia="es-ES" w:bidi="es-ES"/>
        </w:rPr>
        <w:t>a</w:t>
      </w:r>
      <w:r w:rsidRPr="0088472A">
        <w:rPr>
          <w:rFonts w:ascii="Arial" w:eastAsia="Arial" w:hAnsi="Arial" w:cs="Arial"/>
          <w:color w:val="000000" w:themeColor="text1"/>
          <w:sz w:val="22"/>
          <w:szCs w:val="22"/>
          <w:lang w:val="es-ES" w:eastAsia="es-ES" w:bidi="es-ES"/>
        </w:rPr>
        <w:t xml:space="preserve"> desde el momento en que se materializa en un acto administrativo </w:t>
      </w:r>
      <w:r w:rsidR="005912BB" w:rsidRPr="0088472A">
        <w:rPr>
          <w:rFonts w:ascii="Arial" w:eastAsia="Arial" w:hAnsi="Arial" w:cs="Arial"/>
          <w:color w:val="000000" w:themeColor="text1"/>
          <w:sz w:val="22"/>
          <w:szCs w:val="22"/>
          <w:lang w:val="es-ES" w:eastAsia="es-ES" w:bidi="es-ES"/>
        </w:rPr>
        <w:t>en firme</w:t>
      </w:r>
      <w:r w:rsidRPr="0088472A">
        <w:rPr>
          <w:rFonts w:ascii="Arial" w:eastAsia="Arial" w:hAnsi="Arial" w:cs="Arial"/>
          <w:color w:val="000000" w:themeColor="text1"/>
          <w:sz w:val="22"/>
          <w:szCs w:val="22"/>
          <w:lang w:val="es-ES" w:eastAsia="es-ES" w:bidi="es-ES"/>
        </w:rPr>
        <w:t xml:space="preserve"> el hecho sancionado con la inhabilidad, como en los casos de la declaratoria de la caducidad del contrato o cuando se declara el incumplimiento del interventor. Es así como el literal c) del numeral 1, del artículo 8 de la Ley 80 de 1993, referido a la declaratoria de caducidad, señala que la inhabilidad de cinco (5) años empezará a contar a partir de la ejecutoria del acto administrativo que declara la caducidad del contrato</w:t>
      </w:r>
      <w:r w:rsidRPr="0088472A">
        <w:rPr>
          <w:rStyle w:val="Refdenotaalpie"/>
          <w:rFonts w:ascii="Arial" w:eastAsia="Arial" w:hAnsi="Arial" w:cs="Arial"/>
        </w:rPr>
        <w:footnoteReference w:id="24"/>
      </w:r>
      <w:r w:rsidRPr="0088472A">
        <w:rPr>
          <w:rFonts w:ascii="Arial" w:eastAsia="Arial" w:hAnsi="Arial" w:cs="Arial"/>
          <w:color w:val="000000" w:themeColor="text1"/>
          <w:sz w:val="22"/>
          <w:szCs w:val="22"/>
          <w:lang w:val="es-ES" w:eastAsia="es-ES" w:bidi="es-ES"/>
        </w:rPr>
        <w:t>; y el literal k) establece que la inhabilidad se extenderá por cinco (5) años, contados a partir de la ejecutoria del acto administrativo que declare el incumplimiento por parte del interventor al deber de entregar información a la entidad contratante</w:t>
      </w:r>
      <w:r w:rsidRPr="0088472A">
        <w:rPr>
          <w:rStyle w:val="Refdenotaalpie"/>
          <w:rFonts w:ascii="Arial" w:eastAsia="Arial" w:hAnsi="Arial" w:cs="Arial"/>
        </w:rPr>
        <w:footnoteReference w:id="25"/>
      </w:r>
      <w:r w:rsidRPr="0088472A">
        <w:rPr>
          <w:rFonts w:ascii="Arial" w:eastAsia="Arial" w:hAnsi="Arial" w:cs="Arial"/>
          <w:color w:val="000000" w:themeColor="text1"/>
          <w:sz w:val="22"/>
          <w:szCs w:val="22"/>
          <w:lang w:val="es-ES" w:eastAsia="es-ES" w:bidi="es-ES"/>
        </w:rPr>
        <w:t xml:space="preserve">. Conforme a esto, no fue accidental que el legislador, en el artículo 90 de la Ley 1474 de 2011, dispusiera que la inhabilidad se configura con la </w:t>
      </w:r>
      <w:r w:rsidRPr="0088472A">
        <w:rPr>
          <w:rFonts w:ascii="Arial" w:eastAsia="Arial" w:hAnsi="Arial" w:cs="Arial"/>
          <w:i/>
          <w:iCs/>
          <w:color w:val="000000" w:themeColor="text1"/>
          <w:sz w:val="22"/>
          <w:szCs w:val="22"/>
          <w:lang w:val="es-ES" w:eastAsia="es-ES" w:bidi="es-ES"/>
        </w:rPr>
        <w:t>publicación</w:t>
      </w:r>
      <w:r w:rsidRPr="0088472A">
        <w:rPr>
          <w:rFonts w:ascii="Arial" w:eastAsia="Arial" w:hAnsi="Arial" w:cs="Arial"/>
          <w:color w:val="000000" w:themeColor="text1"/>
          <w:sz w:val="22"/>
          <w:szCs w:val="22"/>
          <w:lang w:val="es-ES" w:eastAsia="es-ES" w:bidi="es-ES"/>
        </w:rPr>
        <w:t xml:space="preserve"> del acto administrativo que impone la inscripción de la última multa o incumplimiento en el Registro Único de Proponentes y no cuando la entidad lo declara en el acto administrativo.</w:t>
      </w:r>
    </w:p>
    <w:p w14:paraId="0DCB4144" w14:textId="570827C8" w:rsidR="00E6123D" w:rsidRPr="0088472A" w:rsidRDefault="00C15E7E" w:rsidP="00C15E7E">
      <w:pPr>
        <w:widowControl w:val="0"/>
        <w:autoSpaceDE w:val="0"/>
        <w:autoSpaceDN w:val="0"/>
        <w:spacing w:before="120" w:line="274" w:lineRule="auto"/>
        <w:ind w:firstLine="709"/>
        <w:jc w:val="both"/>
        <w:rPr>
          <w:rFonts w:ascii="Arial" w:eastAsiaTheme="minorHAnsi" w:hAnsi="Arial" w:cs="Arial"/>
          <w:color w:val="000000" w:themeColor="text1"/>
          <w:szCs w:val="22"/>
          <w:lang w:val="es-MX" w:eastAsia="en-US"/>
        </w:rPr>
      </w:pPr>
      <w:r w:rsidRPr="0088472A">
        <w:rPr>
          <w:rFonts w:ascii="Arial" w:hAnsi="Arial" w:cs="Arial"/>
          <w:color w:val="000000" w:themeColor="text1"/>
          <w:sz w:val="22"/>
          <w:szCs w:val="22"/>
          <w:lang w:val="es-ES_tradnl"/>
        </w:rPr>
        <w:t>Ahora bien, e</w:t>
      </w:r>
      <w:r w:rsidR="00E6123D" w:rsidRPr="0088472A">
        <w:rPr>
          <w:rFonts w:ascii="Arial" w:hAnsi="Arial" w:cs="Arial"/>
          <w:color w:val="000000" w:themeColor="text1"/>
          <w:sz w:val="22"/>
          <w:szCs w:val="22"/>
          <w:lang w:val="es-ES_tradnl"/>
        </w:rPr>
        <w:t>l artículo 51 de la Ley 2195 de 2022</w:t>
      </w:r>
      <w:r w:rsidR="00542C95" w:rsidRPr="0088472A">
        <w:rPr>
          <w:rFonts w:ascii="Arial" w:hAnsi="Arial" w:cs="Arial"/>
          <w:color w:val="000000" w:themeColor="text1"/>
          <w:sz w:val="22"/>
          <w:szCs w:val="22"/>
          <w:lang w:val="es-ES_tradnl"/>
        </w:rPr>
        <w:t xml:space="preserve"> </w:t>
      </w:r>
      <w:r w:rsidR="00E6123D" w:rsidRPr="0088472A">
        <w:rPr>
          <w:rFonts w:ascii="Arial" w:hAnsi="Arial" w:cs="Arial"/>
          <w:color w:val="000000" w:themeColor="text1"/>
          <w:sz w:val="22"/>
          <w:szCs w:val="22"/>
          <w:lang w:val="es-ES_tradnl"/>
        </w:rPr>
        <w:t xml:space="preserve">adicionó el literal d) al artículo 43 </w:t>
      </w:r>
      <w:r w:rsidR="00E6123D" w:rsidRPr="0088472A">
        <w:rPr>
          <w:rFonts w:ascii="Arial" w:hAnsi="Arial" w:cs="Arial"/>
          <w:color w:val="000000" w:themeColor="text1"/>
          <w:sz w:val="22"/>
          <w:szCs w:val="22"/>
          <w:lang w:val="es-ES_tradnl"/>
        </w:rPr>
        <w:lastRenderedPageBreak/>
        <w:t xml:space="preserve">de la Ley 1955 de 2019, mediante </w:t>
      </w:r>
      <w:r w:rsidR="00542C95" w:rsidRPr="0088472A">
        <w:rPr>
          <w:rFonts w:ascii="Arial" w:hAnsi="Arial" w:cs="Arial"/>
          <w:color w:val="000000" w:themeColor="text1"/>
          <w:sz w:val="22"/>
          <w:szCs w:val="22"/>
          <w:lang w:val="es-ES_tradnl"/>
        </w:rPr>
        <w:t>el</w:t>
      </w:r>
      <w:r w:rsidR="00E6123D" w:rsidRPr="0088472A">
        <w:rPr>
          <w:rFonts w:ascii="Arial" w:hAnsi="Arial" w:cs="Arial"/>
          <w:color w:val="000000" w:themeColor="text1"/>
          <w:sz w:val="22"/>
          <w:szCs w:val="22"/>
          <w:lang w:val="es-ES_tradnl"/>
        </w:rPr>
        <w:t xml:space="preserve"> cual se modificó el </w:t>
      </w:r>
      <w:r w:rsidR="00542C95" w:rsidRPr="0088472A">
        <w:rPr>
          <w:rFonts w:ascii="Arial" w:hAnsi="Arial" w:cs="Arial"/>
          <w:color w:val="000000" w:themeColor="text1"/>
          <w:sz w:val="22"/>
          <w:szCs w:val="22"/>
          <w:lang w:val="es-ES_tradnl"/>
        </w:rPr>
        <w:t>a</w:t>
      </w:r>
      <w:r w:rsidR="00E6123D" w:rsidRPr="0088472A">
        <w:rPr>
          <w:rFonts w:ascii="Arial" w:hAnsi="Arial" w:cs="Arial"/>
          <w:color w:val="000000" w:themeColor="text1"/>
          <w:sz w:val="22"/>
          <w:szCs w:val="22"/>
          <w:lang w:val="es-ES_tradnl"/>
        </w:rPr>
        <w:t>rtículo 90 de la Ley 1474 de 2011. En el mencionado literal el legislador establece que quedará inhabilitado el contratista que incurra en la siguiente conducta: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49937A6F" w14:textId="77777777" w:rsidR="00E6123D" w:rsidRPr="0088472A" w:rsidRDefault="00E6123D" w:rsidP="00E6123D">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Como se observa, de esta disposición normativa se deducen las reglas que a continuación se indican:</w:t>
      </w:r>
    </w:p>
    <w:p w14:paraId="39CCDF06" w14:textId="77777777" w:rsidR="00E6123D" w:rsidRPr="0088472A" w:rsidRDefault="00E6123D" w:rsidP="00E6123D">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i) Dicho precepto solo se aplica a los contratos que tengan por objeto la ejecución del Programa de Alimentación Escolar. Este se define por el Ministerio de Educación Nacional como el programa que «brinda un complemento alimentario a los niños, niñas y adolescentes de todo el territorio nacional, registrados en el Sistema de Matrícula -SIMAT- como estudiantes oficiales, financiados con recursos del Sistema General de Participaciones»</w:t>
      </w:r>
      <w:r w:rsidRPr="0088472A">
        <w:rPr>
          <w:rStyle w:val="Refdenotaalpie"/>
          <w:rFonts w:ascii="Arial" w:hAnsi="Arial" w:cs="Arial"/>
        </w:rPr>
        <w:footnoteReference w:id="26"/>
      </w:r>
      <w:r w:rsidRPr="0088472A">
        <w:rPr>
          <w:rFonts w:ascii="Arial" w:hAnsi="Arial" w:cs="Arial"/>
          <w:color w:val="000000" w:themeColor="text1"/>
          <w:sz w:val="22"/>
          <w:szCs w:val="22"/>
          <w:lang w:val="es-ES_tradnl"/>
        </w:rPr>
        <w:t>, indicando, a su vez, que el objetivo de este programa es «contribuir con la permanencia de los estudiantes del sistema escolar y aportar, durante la jornada escolar, macronutrientes (carbohidratos, proteínas y grasas) y los micronutrientes (zinc, hierro, vitamina A y calcio) en los porcentajes que se definan para cada modalidad»</w:t>
      </w:r>
      <w:r w:rsidRPr="0088472A">
        <w:rPr>
          <w:rStyle w:val="Refdenotaalpie"/>
          <w:rFonts w:ascii="Arial" w:hAnsi="Arial" w:cs="Arial"/>
        </w:rPr>
        <w:footnoteReference w:id="27"/>
      </w:r>
      <w:r w:rsidRPr="0088472A">
        <w:rPr>
          <w:rFonts w:ascii="Arial" w:hAnsi="Arial" w:cs="Arial"/>
          <w:color w:val="000000" w:themeColor="text1"/>
          <w:sz w:val="22"/>
          <w:szCs w:val="22"/>
          <w:lang w:val="es-ES_tradnl"/>
        </w:rPr>
        <w:t>.</w:t>
      </w:r>
    </w:p>
    <w:p w14:paraId="0394B5D6" w14:textId="0BC5D074" w:rsidR="00E6123D" w:rsidRPr="0088472A" w:rsidRDefault="00E6123D" w:rsidP="00E6123D">
      <w:pPr>
        <w:spacing w:before="120" w:line="276" w:lineRule="auto"/>
        <w:ind w:firstLine="709"/>
        <w:jc w:val="both"/>
        <w:rPr>
          <w:rFonts w:ascii="Arial" w:hAnsi="Arial" w:cs="Arial"/>
          <w:color w:val="000000" w:themeColor="text1"/>
          <w:sz w:val="22"/>
          <w:szCs w:val="22"/>
          <w:lang w:val="es-ES_tradnl"/>
        </w:rPr>
      </w:pPr>
      <w:proofErr w:type="spellStart"/>
      <w:r w:rsidRPr="0088472A">
        <w:rPr>
          <w:rFonts w:ascii="Arial" w:hAnsi="Arial" w:cs="Arial"/>
          <w:color w:val="000000" w:themeColor="text1"/>
          <w:sz w:val="22"/>
          <w:szCs w:val="22"/>
          <w:lang w:val="es-ES_tradnl"/>
        </w:rPr>
        <w:t>ii</w:t>
      </w:r>
      <w:proofErr w:type="spellEnd"/>
      <w:r w:rsidRPr="0088472A">
        <w:rPr>
          <w:rFonts w:ascii="Arial" w:hAnsi="Arial" w:cs="Arial"/>
          <w:color w:val="000000" w:themeColor="text1"/>
          <w:sz w:val="22"/>
          <w:szCs w:val="22"/>
          <w:lang w:val="es-ES_tradnl"/>
        </w:rPr>
        <w:t xml:space="preserve">) La causa jurídica que da lugar a la inhabilidad es «Haber sido objeto de incumplimiento contractual o de imposición de dos (2) o más multas, con una o varias entidades» durante la ejecución de contratos de alimentación escolar. En otras palabras, para que se aplique la causal de inhabilidad del literal d) del artículo en comento –adicionada por el artículo 51 de la Ley 2195 de 2022– es necesario que al contratista se le haya impuesto </w:t>
      </w:r>
      <w:r w:rsidRPr="0088472A">
        <w:rPr>
          <w:rFonts w:ascii="Arial" w:hAnsi="Arial" w:cs="Arial"/>
          <w:i/>
          <w:iCs/>
          <w:color w:val="000000" w:themeColor="text1"/>
          <w:sz w:val="22"/>
          <w:szCs w:val="22"/>
          <w:lang w:val="es-ES_tradnl"/>
        </w:rPr>
        <w:t>dos (2) o más incumplimientos o multas</w:t>
      </w:r>
      <w:r w:rsidRPr="0088472A">
        <w:rPr>
          <w:rFonts w:ascii="Arial" w:hAnsi="Arial" w:cs="Arial"/>
          <w:color w:val="000000" w:themeColor="text1"/>
          <w:sz w:val="22"/>
          <w:szCs w:val="22"/>
          <w:lang w:val="es-ES_tradnl"/>
        </w:rPr>
        <w:t xml:space="preserve"> en uno o varios contratos de alimentación escolar. Aunque de la redacción de la norma pareciera desprenderse la idea de que basta un incumplimiento –pues comienza diciendo que la inhabilidad se aplica por «Haber sido objeto de incumplimiento contractual […]»–, para la Agencia esta no es la interpretación válida</w:t>
      </w:r>
      <w:r w:rsidR="00F34396" w:rsidRPr="0088472A">
        <w:rPr>
          <w:rFonts w:ascii="Arial" w:hAnsi="Arial" w:cs="Arial"/>
          <w:color w:val="000000" w:themeColor="text1"/>
          <w:sz w:val="22"/>
          <w:szCs w:val="22"/>
          <w:lang w:val="es-ES_tradnl"/>
        </w:rPr>
        <w:t>,</w:t>
      </w:r>
      <w:r w:rsidRPr="0088472A">
        <w:rPr>
          <w:rFonts w:ascii="Arial" w:hAnsi="Arial" w:cs="Arial"/>
          <w:color w:val="000000" w:themeColor="text1"/>
          <w:sz w:val="22"/>
          <w:szCs w:val="22"/>
          <w:lang w:val="es-ES_tradnl"/>
        </w:rPr>
        <w:t xml:space="preserve"> por varias razones: </w:t>
      </w:r>
    </w:p>
    <w:p w14:paraId="7B107F3F" w14:textId="77777777" w:rsidR="00E6123D" w:rsidRPr="0088472A" w:rsidRDefault="00E6123D" w:rsidP="00E6123D">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En primer lugar, porque el título del artículo 51 señala que esta norma consagra una «inhabilidad por incumplimiento </w:t>
      </w:r>
      <w:r w:rsidRPr="0088472A">
        <w:rPr>
          <w:rFonts w:ascii="Arial" w:hAnsi="Arial" w:cs="Arial"/>
          <w:i/>
          <w:iCs/>
          <w:color w:val="000000" w:themeColor="text1"/>
          <w:sz w:val="22"/>
          <w:szCs w:val="22"/>
          <w:lang w:val="es-ES_tradnl"/>
        </w:rPr>
        <w:t>reiterado</w:t>
      </w:r>
      <w:r w:rsidRPr="0088472A">
        <w:rPr>
          <w:rFonts w:ascii="Arial" w:hAnsi="Arial" w:cs="Arial"/>
          <w:color w:val="000000" w:themeColor="text1"/>
          <w:sz w:val="22"/>
          <w:szCs w:val="22"/>
          <w:lang w:val="es-ES_tradnl"/>
        </w:rPr>
        <w:t xml:space="preserve"> en contratos de alimentación escolar» (énfasis fuera de texto), es decir que el incumplimiento </w:t>
      </w:r>
      <w:r w:rsidRPr="0088472A">
        <w:rPr>
          <w:rFonts w:ascii="Arial" w:hAnsi="Arial" w:cs="Arial"/>
          <w:i/>
          <w:iCs/>
          <w:color w:val="000000" w:themeColor="text1"/>
          <w:sz w:val="22"/>
          <w:szCs w:val="22"/>
          <w:lang w:val="es-ES_tradnl"/>
        </w:rPr>
        <w:t>no</w:t>
      </w:r>
      <w:r w:rsidRPr="0088472A">
        <w:rPr>
          <w:rFonts w:ascii="Arial" w:hAnsi="Arial" w:cs="Arial"/>
          <w:color w:val="000000" w:themeColor="text1"/>
          <w:sz w:val="22"/>
          <w:szCs w:val="22"/>
          <w:lang w:val="es-ES_tradnl"/>
        </w:rPr>
        <w:t xml:space="preserve"> reiterado –o sea, el que solo se impone una vez– está excluido del ámbito de aplicación de dicho artículo.</w:t>
      </w:r>
    </w:p>
    <w:p w14:paraId="42EE900B" w14:textId="0DCD2ECC" w:rsidR="00E6123D" w:rsidRPr="0088472A" w:rsidRDefault="00E6123D" w:rsidP="00E6123D">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lastRenderedPageBreak/>
        <w:t>En segundo lugar, porque el literal d) dispone que el término de diez (10) años</w:t>
      </w:r>
      <w:r w:rsidR="00382813" w:rsidRPr="0088472A">
        <w:rPr>
          <w:rFonts w:ascii="Arial" w:hAnsi="Arial" w:cs="Arial"/>
          <w:color w:val="000000" w:themeColor="text1"/>
          <w:sz w:val="22"/>
          <w:szCs w:val="22"/>
          <w:lang w:val="es-ES_tradnl"/>
        </w:rPr>
        <w:t>,</w:t>
      </w:r>
      <w:r w:rsidRPr="0088472A">
        <w:rPr>
          <w:rFonts w:ascii="Arial" w:hAnsi="Arial" w:cs="Arial"/>
          <w:color w:val="000000" w:themeColor="text1"/>
          <w:sz w:val="22"/>
          <w:szCs w:val="22"/>
          <w:lang w:val="es-ES_tradnl"/>
        </w:rPr>
        <w:t xml:space="preserve"> </w:t>
      </w:r>
      <w:r w:rsidR="00382813" w:rsidRPr="0088472A">
        <w:rPr>
          <w:rFonts w:ascii="Arial" w:hAnsi="Arial" w:cs="Arial"/>
          <w:color w:val="000000" w:themeColor="text1"/>
          <w:sz w:val="22"/>
          <w:szCs w:val="22"/>
          <w:lang w:val="es-ES_tradnl"/>
        </w:rPr>
        <w:t>de duración de</w:t>
      </w:r>
      <w:r w:rsidRPr="0088472A">
        <w:rPr>
          <w:rFonts w:ascii="Arial" w:hAnsi="Arial" w:cs="Arial"/>
          <w:color w:val="000000" w:themeColor="text1"/>
          <w:sz w:val="22"/>
          <w:szCs w:val="22"/>
          <w:lang w:val="es-ES_tradnl"/>
        </w:rPr>
        <w:t xml:space="preserve"> la inhabilidad</w:t>
      </w:r>
      <w:r w:rsidR="00382813" w:rsidRPr="0088472A">
        <w:rPr>
          <w:rFonts w:ascii="Arial" w:hAnsi="Arial" w:cs="Arial"/>
          <w:color w:val="000000" w:themeColor="text1"/>
          <w:sz w:val="22"/>
          <w:szCs w:val="22"/>
          <w:lang w:val="es-ES_tradnl"/>
        </w:rPr>
        <w:t xml:space="preserve">, </w:t>
      </w:r>
      <w:r w:rsidRPr="0088472A">
        <w:rPr>
          <w:rFonts w:ascii="Arial" w:hAnsi="Arial" w:cs="Arial"/>
          <w:color w:val="000000" w:themeColor="text1"/>
          <w:sz w:val="22"/>
          <w:szCs w:val="22"/>
          <w:lang w:val="es-ES_tradnl"/>
        </w:rPr>
        <w:t xml:space="preserve">se cuenta «a partir de la publicación del acto administrativo que impone la inscripción </w:t>
      </w:r>
      <w:r w:rsidRPr="0088472A">
        <w:rPr>
          <w:rFonts w:ascii="Arial" w:hAnsi="Arial" w:cs="Arial"/>
          <w:i/>
          <w:iCs/>
          <w:color w:val="000000" w:themeColor="text1"/>
          <w:sz w:val="22"/>
          <w:szCs w:val="22"/>
          <w:lang w:val="es-ES_tradnl"/>
        </w:rPr>
        <w:t>de la última multa o incumplimiento</w:t>
      </w:r>
      <w:r w:rsidRPr="0088472A">
        <w:rPr>
          <w:rFonts w:ascii="Arial" w:hAnsi="Arial" w:cs="Arial"/>
          <w:color w:val="000000" w:themeColor="text1"/>
          <w:sz w:val="22"/>
          <w:szCs w:val="22"/>
          <w:lang w:val="es-ES_tradnl"/>
        </w:rPr>
        <w:t xml:space="preserve"> en el Registro Único de Proponentes» (énfasis fuera de texto), lo que significa que debe haber varios incumplimientos, pues no tendría sentido que se hable de</w:t>
      </w:r>
      <w:r w:rsidR="009877BB" w:rsidRPr="0088472A">
        <w:rPr>
          <w:rFonts w:ascii="Arial" w:hAnsi="Arial" w:cs="Arial"/>
          <w:color w:val="000000" w:themeColor="text1"/>
          <w:sz w:val="22"/>
          <w:szCs w:val="22"/>
          <w:lang w:val="es-ES_tradnl"/>
        </w:rPr>
        <w:t>l</w:t>
      </w:r>
      <w:r w:rsidRPr="0088472A">
        <w:rPr>
          <w:rFonts w:ascii="Arial" w:hAnsi="Arial" w:cs="Arial"/>
          <w:color w:val="000000" w:themeColor="text1"/>
          <w:sz w:val="22"/>
          <w:szCs w:val="22"/>
          <w:lang w:val="es-ES_tradnl"/>
        </w:rPr>
        <w:t xml:space="preserve"> «último» si solo se ha declarado uno solo –de hecho la RAE define «último» como algo «Que está al final de una línea, de una serie o de una sucesión»</w:t>
      </w:r>
      <w:r w:rsidRPr="0088472A">
        <w:rPr>
          <w:rStyle w:val="Refdenotaalpie"/>
          <w:rFonts w:ascii="Arial" w:hAnsi="Arial" w:cs="Arial"/>
        </w:rPr>
        <w:footnoteReference w:id="28"/>
      </w:r>
      <w:r w:rsidRPr="0088472A">
        <w:rPr>
          <w:rFonts w:ascii="Arial" w:hAnsi="Arial" w:cs="Arial"/>
          <w:color w:val="000000" w:themeColor="text1"/>
          <w:sz w:val="22"/>
          <w:szCs w:val="22"/>
          <w:lang w:val="es-ES_tradnl"/>
        </w:rPr>
        <w:t>, es decir, como el lugar final ocupado por algo en una lista plural de elementos o circunstancias.</w:t>
      </w:r>
    </w:p>
    <w:p w14:paraId="4A3F17E9" w14:textId="2530B498" w:rsidR="003D2759" w:rsidRPr="0088472A" w:rsidRDefault="00E6123D" w:rsidP="003D2759">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En tercer lugar, porque, como se explicó, en la lectura de las causales de inhabilidad e incompatibilidad debe primar una </w:t>
      </w:r>
      <w:r w:rsidRPr="0088472A">
        <w:rPr>
          <w:rFonts w:ascii="Arial" w:hAnsi="Arial" w:cs="Arial"/>
          <w:i/>
          <w:iCs/>
          <w:color w:val="000000" w:themeColor="text1"/>
          <w:sz w:val="22"/>
          <w:szCs w:val="22"/>
          <w:lang w:val="es-ES_tradnl"/>
        </w:rPr>
        <w:t>interpretación favorable</w:t>
      </w:r>
      <w:r w:rsidRPr="0088472A">
        <w:rPr>
          <w:rFonts w:ascii="Arial" w:hAnsi="Arial" w:cs="Arial"/>
          <w:color w:val="000000" w:themeColor="text1"/>
          <w:sz w:val="22"/>
          <w:szCs w:val="22"/>
          <w:lang w:val="es-ES_tradnl"/>
        </w:rPr>
        <w:t xml:space="preserve">, en caso de dudas o aparentes antinomias en el lenguaje empleado por el autor del enunciado normativo –de allí que deba prevalecer el entendimiento de que el incumplimiento singular, esto es, el no reiterado, no da lugar por sí solo a la causal de inhabilidad regulada en el referido literal d)–. </w:t>
      </w:r>
      <w:r w:rsidR="003D2759" w:rsidRPr="0088472A">
        <w:rPr>
          <w:rFonts w:ascii="Arial" w:hAnsi="Arial" w:cs="Arial"/>
          <w:color w:val="000000" w:themeColor="text1"/>
          <w:sz w:val="22"/>
          <w:szCs w:val="22"/>
          <w:lang w:val="es-ES_tradnl"/>
        </w:rPr>
        <w:t xml:space="preserve">Esto guarda consonancia con lo que ha indicado la jurisprudencia contencioso-administrativa, según la cual «la aplicación de estos preceptos exige una interpretación restrictiva, dado que según el principio hermenéutico </w:t>
      </w:r>
      <w:r w:rsidR="003D2759" w:rsidRPr="0088472A">
        <w:rPr>
          <w:rFonts w:ascii="Arial" w:hAnsi="Arial" w:cs="Arial"/>
          <w:i/>
          <w:iCs/>
          <w:color w:val="000000" w:themeColor="text1"/>
          <w:sz w:val="22"/>
          <w:szCs w:val="22"/>
          <w:lang w:val="es-ES_tradnl"/>
        </w:rPr>
        <w:t xml:space="preserve">pro </w:t>
      </w:r>
      <w:proofErr w:type="spellStart"/>
      <w:r w:rsidR="003D2759" w:rsidRPr="0088472A">
        <w:rPr>
          <w:rFonts w:ascii="Arial" w:hAnsi="Arial" w:cs="Arial"/>
          <w:i/>
          <w:iCs/>
          <w:color w:val="000000" w:themeColor="text1"/>
          <w:sz w:val="22"/>
          <w:szCs w:val="22"/>
          <w:lang w:val="es-ES_tradnl"/>
        </w:rPr>
        <w:t>libertate</w:t>
      </w:r>
      <w:proofErr w:type="spellEnd"/>
      <w:r w:rsidR="003D2759" w:rsidRPr="0088472A">
        <w:rPr>
          <w:rFonts w:ascii="Arial" w:hAnsi="Arial" w:cs="Arial"/>
          <w:color w:val="000000" w:themeColor="text1"/>
          <w:sz w:val="22"/>
          <w:szCs w:val="22"/>
          <w:lang w:val="es-ES_tradnl"/>
        </w:rPr>
        <w:t>, entre varias interpretaciones posibles de una norma que regula una inhabilidad, debe preferirse aquella que menos limita el derecho de las personas</w:t>
      </w:r>
      <w:r w:rsidR="005B385E" w:rsidRPr="0088472A">
        <w:rPr>
          <w:rFonts w:ascii="Arial" w:hAnsi="Arial" w:cs="Arial"/>
          <w:color w:val="000000" w:themeColor="text1"/>
          <w:sz w:val="22"/>
          <w:szCs w:val="22"/>
          <w:lang w:val="es-ES_tradnl"/>
        </w:rPr>
        <w:t>»</w:t>
      </w:r>
      <w:r w:rsidR="003D2759" w:rsidRPr="0088472A">
        <w:rPr>
          <w:rStyle w:val="Refdenotaalpie"/>
          <w:rFonts w:ascii="Arial" w:hAnsi="Arial" w:cs="Arial"/>
        </w:rPr>
        <w:footnoteReference w:id="29"/>
      </w:r>
      <w:r w:rsidR="003D2759" w:rsidRPr="0088472A">
        <w:rPr>
          <w:rFonts w:ascii="Arial" w:hAnsi="Arial" w:cs="Arial"/>
          <w:color w:val="000000" w:themeColor="text1"/>
          <w:sz w:val="22"/>
          <w:szCs w:val="22"/>
          <w:lang w:val="es-ES_tradnl"/>
        </w:rPr>
        <w:t>.</w:t>
      </w:r>
    </w:p>
    <w:p w14:paraId="33CD57B5" w14:textId="77777777" w:rsidR="00E6123D" w:rsidRPr="0088472A" w:rsidRDefault="00E6123D" w:rsidP="00E6123D">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Y, en cuarto lugar, porque si se revisan los antecedentes de la Ley 2195 de 2022 se advierte que la voluntad del legislador estuvo dirigida a sancionar con esta causal de inhabilidad a quien incurriera en </w:t>
      </w:r>
      <w:r w:rsidRPr="0088472A">
        <w:rPr>
          <w:rFonts w:ascii="Arial" w:hAnsi="Arial" w:cs="Arial"/>
          <w:i/>
          <w:iCs/>
          <w:color w:val="000000" w:themeColor="text1"/>
          <w:sz w:val="22"/>
          <w:szCs w:val="22"/>
          <w:lang w:val="es-ES_tradnl"/>
        </w:rPr>
        <w:t>incumplimientos</w:t>
      </w:r>
      <w:r w:rsidRPr="0088472A">
        <w:rPr>
          <w:rFonts w:ascii="Arial" w:hAnsi="Arial" w:cs="Arial"/>
          <w:color w:val="000000" w:themeColor="text1"/>
          <w:sz w:val="22"/>
          <w:szCs w:val="22"/>
          <w:lang w:val="es-ES_tradnl"/>
        </w:rPr>
        <w:t xml:space="preserve"> –es decir, en la inobservancia reiterada de sus obligaciones– en contratos de alimentación escolar. Así se lee en la exposición de motivos:</w:t>
      </w:r>
    </w:p>
    <w:p w14:paraId="67AA96FD" w14:textId="77777777" w:rsidR="00E6123D" w:rsidRPr="0088472A" w:rsidRDefault="00E6123D" w:rsidP="00E6123D">
      <w:pPr>
        <w:ind w:left="709" w:right="709"/>
        <w:jc w:val="both"/>
        <w:rPr>
          <w:rFonts w:ascii="Arial" w:hAnsi="Arial" w:cs="Arial"/>
          <w:color w:val="000000" w:themeColor="text1"/>
          <w:sz w:val="21"/>
          <w:szCs w:val="21"/>
          <w:lang w:val="es-ES_tradnl"/>
        </w:rPr>
      </w:pPr>
    </w:p>
    <w:p w14:paraId="166F58C1" w14:textId="77777777" w:rsidR="00E6123D" w:rsidRPr="0088472A" w:rsidRDefault="00E6123D" w:rsidP="00E6123D">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Por último, la importancia del buen manejo de los recursos del Plan de Alimentación Escolar (en adelante PAE), es fundamental para la transparencia y lucha contra la corrupción, y más aún cuando se habla de los recursos que están destinados a la niñez del país.</w:t>
      </w:r>
    </w:p>
    <w:p w14:paraId="48ACACB8" w14:textId="77777777" w:rsidR="00E6123D" w:rsidRPr="0088472A" w:rsidRDefault="00E6123D" w:rsidP="00E6123D">
      <w:pPr>
        <w:ind w:left="709" w:right="709"/>
        <w:jc w:val="both"/>
        <w:rPr>
          <w:rFonts w:ascii="Arial" w:hAnsi="Arial" w:cs="Arial"/>
          <w:color w:val="000000" w:themeColor="text1"/>
          <w:sz w:val="21"/>
          <w:szCs w:val="21"/>
          <w:lang w:val="es-ES_tradnl"/>
        </w:rPr>
      </w:pPr>
    </w:p>
    <w:p w14:paraId="236AE90F" w14:textId="77777777" w:rsidR="00E6123D" w:rsidRPr="0088472A" w:rsidRDefault="00E6123D" w:rsidP="00E6123D">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 xml:space="preserve">Por ello, con esta propuesta se busca incorporar tres medidas para que se cumplan los contratos del PAE, en garantía de los derechos fundamentales de los niños, niñas y adolescentes de Colombia. Estas consisten en: i) mayor tiempo de inhabilidad por la imposición de dos (2) multas por </w:t>
      </w:r>
      <w:r w:rsidRPr="0088472A">
        <w:rPr>
          <w:rFonts w:ascii="Arial" w:hAnsi="Arial" w:cs="Arial"/>
          <w:i/>
          <w:iCs/>
          <w:color w:val="000000" w:themeColor="text1"/>
          <w:sz w:val="21"/>
          <w:szCs w:val="21"/>
          <w:lang w:val="es-ES_tradnl"/>
        </w:rPr>
        <w:t>incumplimientos</w:t>
      </w:r>
      <w:r w:rsidRPr="0088472A">
        <w:rPr>
          <w:rFonts w:ascii="Arial" w:hAnsi="Arial" w:cs="Arial"/>
          <w:color w:val="000000" w:themeColor="text1"/>
          <w:sz w:val="21"/>
          <w:szCs w:val="21"/>
          <w:lang w:val="es-ES_tradnl"/>
        </w:rPr>
        <w:t xml:space="preserve"> o mora en el cumplimiento de las obligaciones contractuales; […]</w:t>
      </w:r>
      <w:r w:rsidRPr="0088472A">
        <w:rPr>
          <w:rStyle w:val="Refdenotaalpie"/>
          <w:rFonts w:ascii="Arial" w:hAnsi="Arial" w:cs="Arial"/>
        </w:rPr>
        <w:footnoteReference w:id="30"/>
      </w:r>
      <w:r w:rsidRPr="0088472A">
        <w:rPr>
          <w:rFonts w:ascii="Arial" w:hAnsi="Arial" w:cs="Arial"/>
          <w:color w:val="000000" w:themeColor="text1"/>
          <w:sz w:val="21"/>
          <w:szCs w:val="21"/>
          <w:lang w:val="es-ES_tradnl"/>
        </w:rPr>
        <w:t xml:space="preserve"> (resalto fuera de texto).</w:t>
      </w:r>
    </w:p>
    <w:p w14:paraId="577BB299" w14:textId="77777777" w:rsidR="00E6123D" w:rsidRPr="0088472A" w:rsidRDefault="00E6123D" w:rsidP="00E6123D">
      <w:pPr>
        <w:spacing w:line="276" w:lineRule="auto"/>
        <w:ind w:firstLine="709"/>
        <w:jc w:val="both"/>
        <w:rPr>
          <w:rFonts w:ascii="Arial" w:hAnsi="Arial" w:cs="Arial"/>
          <w:color w:val="000000" w:themeColor="text1"/>
          <w:sz w:val="21"/>
          <w:szCs w:val="21"/>
          <w:lang w:val="es-ES_tradnl"/>
        </w:rPr>
      </w:pPr>
    </w:p>
    <w:p w14:paraId="3F7F82BB" w14:textId="3593D416" w:rsidR="00E6123D" w:rsidRPr="0088472A" w:rsidRDefault="00E6123D" w:rsidP="00E6123D">
      <w:pPr>
        <w:spacing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Se destaca que en la exposición de motivos se alude al término «</w:t>
      </w:r>
      <w:r w:rsidRPr="0088472A">
        <w:rPr>
          <w:rFonts w:ascii="Arial" w:hAnsi="Arial" w:cs="Arial"/>
          <w:i/>
          <w:iCs/>
          <w:color w:val="000000" w:themeColor="text1"/>
          <w:sz w:val="22"/>
          <w:szCs w:val="22"/>
          <w:lang w:val="es-ES_tradnl"/>
        </w:rPr>
        <w:t>incumplimientos</w:t>
      </w:r>
      <w:r w:rsidRPr="0088472A">
        <w:rPr>
          <w:rFonts w:ascii="Arial" w:hAnsi="Arial" w:cs="Arial"/>
          <w:color w:val="000000" w:themeColor="text1"/>
          <w:sz w:val="22"/>
          <w:szCs w:val="22"/>
          <w:lang w:val="es-ES_tradnl"/>
        </w:rPr>
        <w:t>» –en plural</w:t>
      </w:r>
      <w:r w:rsidR="009706C4" w:rsidRPr="0088472A">
        <w:rPr>
          <w:rFonts w:ascii="Arial" w:hAnsi="Arial" w:cs="Arial"/>
          <w:color w:val="000000" w:themeColor="text1"/>
          <w:sz w:val="22"/>
          <w:szCs w:val="22"/>
          <w:lang w:val="es-ES_tradnl"/>
        </w:rPr>
        <w:t>–</w:t>
      </w:r>
      <w:r w:rsidRPr="0088472A">
        <w:rPr>
          <w:rFonts w:ascii="Arial" w:hAnsi="Arial" w:cs="Arial"/>
          <w:color w:val="000000" w:themeColor="text1"/>
          <w:sz w:val="22"/>
          <w:szCs w:val="22"/>
          <w:lang w:val="es-ES_tradnl"/>
        </w:rPr>
        <w:t>, lo que supone concurrencia; y además se otorga claridad en que deben ser, como mínimo, dos (2) incumplimientos o multas.</w:t>
      </w:r>
    </w:p>
    <w:p w14:paraId="19C71009" w14:textId="77777777" w:rsidR="00E6123D" w:rsidRPr="0088472A" w:rsidRDefault="00E6123D" w:rsidP="00E6123D">
      <w:pPr>
        <w:spacing w:before="120" w:line="276" w:lineRule="auto"/>
        <w:ind w:firstLine="709"/>
        <w:jc w:val="both"/>
        <w:rPr>
          <w:rFonts w:ascii="Arial" w:hAnsi="Arial" w:cs="Arial"/>
          <w:color w:val="000000" w:themeColor="text1"/>
          <w:sz w:val="22"/>
          <w:szCs w:val="22"/>
          <w:lang w:val="es-ES_tradnl"/>
        </w:rPr>
      </w:pPr>
      <w:proofErr w:type="spellStart"/>
      <w:r w:rsidRPr="0088472A">
        <w:rPr>
          <w:rFonts w:ascii="Arial" w:hAnsi="Arial" w:cs="Arial"/>
          <w:color w:val="000000" w:themeColor="text1"/>
          <w:sz w:val="22"/>
          <w:szCs w:val="22"/>
          <w:lang w:val="es-ES_tradnl"/>
        </w:rPr>
        <w:t>iii</w:t>
      </w:r>
      <w:proofErr w:type="spellEnd"/>
      <w:r w:rsidRPr="0088472A">
        <w:rPr>
          <w:rFonts w:ascii="Arial" w:hAnsi="Arial" w:cs="Arial"/>
          <w:color w:val="000000" w:themeColor="text1"/>
          <w:sz w:val="22"/>
          <w:szCs w:val="22"/>
          <w:lang w:val="es-ES_tradnl"/>
        </w:rPr>
        <w:t>) Finalmente, el literal d), adicionado por el artículo 51 de la Ley 2195 de 2022, indica que el término de la inhabilidad es de diez (10) años, «contados a partir de la publicación del acto administrativo que impone la inscripción de la última multa o incumplimiento en el Registro Único de Proponentes, de acuerdo con la información remitida por las entidades públicas». Esta norma debe interpretarse en armonía con el artículo 6 –numeral 6.2– de la Ley 1150 de 2007, que indica:</w:t>
      </w:r>
    </w:p>
    <w:p w14:paraId="04BEE36B" w14:textId="77777777" w:rsidR="00E6123D" w:rsidRPr="0088472A" w:rsidRDefault="00E6123D" w:rsidP="00E6123D">
      <w:pPr>
        <w:ind w:left="709" w:right="709"/>
        <w:jc w:val="both"/>
        <w:rPr>
          <w:rFonts w:ascii="Arial" w:hAnsi="Arial" w:cs="Arial"/>
          <w:color w:val="000000" w:themeColor="text1"/>
          <w:sz w:val="21"/>
          <w:szCs w:val="21"/>
          <w:lang w:val="es-ES_tradnl"/>
        </w:rPr>
      </w:pPr>
    </w:p>
    <w:p w14:paraId="2A27318D" w14:textId="77777777" w:rsidR="00E6123D" w:rsidRPr="0088472A" w:rsidRDefault="00E6123D" w:rsidP="00E6123D">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De la información sobre contratos, multas y sanciones a los inscritos.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p>
    <w:p w14:paraId="3CA4B21C" w14:textId="77777777" w:rsidR="00E6123D" w:rsidRPr="0088472A" w:rsidRDefault="00E6123D" w:rsidP="00E6123D">
      <w:pPr>
        <w:ind w:left="709" w:right="709"/>
        <w:jc w:val="both"/>
        <w:rPr>
          <w:rFonts w:ascii="Arial" w:hAnsi="Arial" w:cs="Arial"/>
          <w:color w:val="000000" w:themeColor="text1"/>
          <w:sz w:val="21"/>
          <w:szCs w:val="21"/>
          <w:lang w:val="es-ES_tradnl"/>
        </w:rPr>
      </w:pPr>
    </w:p>
    <w:p w14:paraId="1551A561" w14:textId="77777777" w:rsidR="00E6123D" w:rsidRPr="0088472A" w:rsidRDefault="00E6123D" w:rsidP="00E6123D">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 xml:space="preserve">Las condiciones de remisión de la información y los plazos de permanencia de la misma en el registro serán </w:t>
      </w:r>
      <w:proofErr w:type="gramStart"/>
      <w:r w:rsidRPr="0088472A">
        <w:rPr>
          <w:rFonts w:ascii="Arial" w:hAnsi="Arial" w:cs="Arial"/>
          <w:color w:val="000000" w:themeColor="text1"/>
          <w:sz w:val="21"/>
          <w:szCs w:val="21"/>
          <w:lang w:val="es-ES_tradnl"/>
        </w:rPr>
        <w:t>señalados</w:t>
      </w:r>
      <w:proofErr w:type="gramEnd"/>
      <w:r w:rsidRPr="0088472A">
        <w:rPr>
          <w:rFonts w:ascii="Arial" w:hAnsi="Arial" w:cs="Arial"/>
          <w:color w:val="000000" w:themeColor="text1"/>
          <w:sz w:val="21"/>
          <w:szCs w:val="21"/>
          <w:lang w:val="es-ES_tradnl"/>
        </w:rPr>
        <w:t xml:space="preserve"> por el Gobierno Nacional.</w:t>
      </w:r>
    </w:p>
    <w:p w14:paraId="78423F78" w14:textId="77777777" w:rsidR="00E6123D" w:rsidRPr="0088472A" w:rsidRDefault="00E6123D" w:rsidP="00E6123D">
      <w:pPr>
        <w:ind w:left="709" w:right="709"/>
        <w:jc w:val="both"/>
        <w:rPr>
          <w:rFonts w:ascii="Arial" w:hAnsi="Arial" w:cs="Arial"/>
          <w:color w:val="000000" w:themeColor="text1"/>
          <w:sz w:val="21"/>
          <w:szCs w:val="21"/>
          <w:lang w:val="es-ES_tradnl"/>
        </w:rPr>
      </w:pPr>
    </w:p>
    <w:p w14:paraId="2089D881" w14:textId="77777777" w:rsidR="00E6123D" w:rsidRPr="0088472A" w:rsidRDefault="00E6123D" w:rsidP="00E6123D">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El servidor público encargado de remitir la información, que incumpla esta obligación incurrirá en causal de mala conducta.</w:t>
      </w:r>
    </w:p>
    <w:p w14:paraId="634394B8" w14:textId="77777777" w:rsidR="00E6123D" w:rsidRPr="0088472A" w:rsidRDefault="00E6123D" w:rsidP="00E6123D">
      <w:pPr>
        <w:ind w:right="709"/>
        <w:jc w:val="both"/>
        <w:rPr>
          <w:rFonts w:ascii="Arial" w:hAnsi="Arial" w:cs="Arial"/>
          <w:color w:val="000000" w:themeColor="text1"/>
          <w:sz w:val="21"/>
          <w:szCs w:val="21"/>
          <w:lang w:val="es-ES_tradnl"/>
        </w:rPr>
      </w:pPr>
    </w:p>
    <w:p w14:paraId="32AD381A" w14:textId="77777777" w:rsidR="00E6123D" w:rsidRPr="0088472A" w:rsidRDefault="00E6123D" w:rsidP="00E6123D">
      <w:pPr>
        <w:spacing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En desarrollo de este mandato legal, el artículo 2.2.1.1.1.5.7. del Decreto 1082 de 2015 establece:</w:t>
      </w:r>
    </w:p>
    <w:p w14:paraId="3A4E0E72" w14:textId="77777777" w:rsidR="00E6123D" w:rsidRPr="0088472A" w:rsidRDefault="00E6123D" w:rsidP="00E6123D">
      <w:pPr>
        <w:ind w:left="709" w:right="709"/>
        <w:jc w:val="both"/>
        <w:rPr>
          <w:rFonts w:ascii="Arial" w:hAnsi="Arial" w:cs="Arial"/>
          <w:color w:val="000000" w:themeColor="text1"/>
          <w:sz w:val="21"/>
          <w:szCs w:val="21"/>
          <w:lang w:val="es-ES_tradnl"/>
        </w:rPr>
      </w:pPr>
    </w:p>
    <w:p w14:paraId="5F8CEC73" w14:textId="77777777" w:rsidR="00E6123D" w:rsidRPr="0088472A" w:rsidRDefault="00E6123D" w:rsidP="00E6123D">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 xml:space="preserve">Información de multas, sanciones, inhabilidades y actividad contractual. 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inhabilidad. La información relativa a multas debe permanecer en el certificado del RUP por un año, contado a partir de la publicación de </w:t>
      </w:r>
      <w:proofErr w:type="gramStart"/>
      <w:r w:rsidRPr="0088472A">
        <w:rPr>
          <w:rFonts w:ascii="Arial" w:hAnsi="Arial" w:cs="Arial"/>
          <w:color w:val="000000" w:themeColor="text1"/>
          <w:sz w:val="21"/>
          <w:szCs w:val="21"/>
          <w:lang w:val="es-ES_tradnl"/>
        </w:rPr>
        <w:t>la misma</w:t>
      </w:r>
      <w:proofErr w:type="gramEnd"/>
      <w:r w:rsidRPr="0088472A">
        <w:rPr>
          <w:rFonts w:ascii="Arial" w:hAnsi="Arial" w:cs="Arial"/>
          <w:color w:val="000000" w:themeColor="text1"/>
          <w:sz w:val="21"/>
          <w:szCs w:val="21"/>
          <w:lang w:val="es-ES_tradnl"/>
        </w:rPr>
        <w:t>.</w:t>
      </w:r>
    </w:p>
    <w:p w14:paraId="3C57EB18" w14:textId="77777777" w:rsidR="00E6123D" w:rsidRPr="0088472A" w:rsidRDefault="00E6123D" w:rsidP="00E6123D">
      <w:pPr>
        <w:ind w:left="709" w:right="709"/>
        <w:jc w:val="both"/>
        <w:rPr>
          <w:rFonts w:ascii="Arial" w:hAnsi="Arial" w:cs="Arial"/>
          <w:color w:val="000000" w:themeColor="text1"/>
          <w:sz w:val="21"/>
          <w:szCs w:val="21"/>
          <w:lang w:val="es-ES_tradnl"/>
        </w:rPr>
      </w:pPr>
    </w:p>
    <w:p w14:paraId="13E2C01A" w14:textId="77777777" w:rsidR="00E6123D" w:rsidRPr="0088472A" w:rsidRDefault="00E6123D" w:rsidP="00E6123D">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Las cámaras de comercio deben tener un mecanismo de interoperabilidad con el SECOP para el registro de la información de que trata el presente artículo.</w:t>
      </w:r>
    </w:p>
    <w:p w14:paraId="7CF06AC0" w14:textId="77777777" w:rsidR="00E6123D" w:rsidRPr="0088472A" w:rsidRDefault="00E6123D" w:rsidP="00E6123D">
      <w:pPr>
        <w:ind w:left="709" w:right="709"/>
        <w:jc w:val="both"/>
        <w:rPr>
          <w:rFonts w:ascii="Arial" w:hAnsi="Arial" w:cs="Arial"/>
          <w:color w:val="000000" w:themeColor="text1"/>
          <w:sz w:val="21"/>
          <w:szCs w:val="21"/>
          <w:lang w:val="es-ES_tradnl"/>
        </w:rPr>
      </w:pPr>
    </w:p>
    <w:p w14:paraId="2E3C48A1" w14:textId="31EB8332" w:rsidR="00E6123D" w:rsidRPr="0088472A" w:rsidRDefault="00E6123D" w:rsidP="00E6123D">
      <w:pPr>
        <w:spacing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lastRenderedPageBreak/>
        <w:t xml:space="preserve">Por tanto, se concluye que el término de diez (10) años de la causal de inhabilidad prevista en el artículo 51 de la Ley 2195 de 2022 se comienza a contar a partir de la publicación del último incumplimiento o multa en el Registro Único de Proponentes. En consecuencia, el término de la inhabilidad no se activa con la sola expedición del acto administrativo que declara el incumplimiento o la multa y ni siquiera con su </w:t>
      </w:r>
      <w:r w:rsidRPr="0088472A">
        <w:rPr>
          <w:rFonts w:ascii="Arial" w:hAnsi="Arial" w:cs="Arial"/>
          <w:i/>
          <w:iCs/>
          <w:color w:val="000000" w:themeColor="text1"/>
          <w:sz w:val="22"/>
          <w:szCs w:val="22"/>
          <w:lang w:val="es-ES_tradnl"/>
        </w:rPr>
        <w:t>firmeza</w:t>
      </w:r>
      <w:r w:rsidRPr="0088472A">
        <w:rPr>
          <w:rStyle w:val="Refdenotaalpie"/>
          <w:rFonts w:ascii="Arial" w:hAnsi="Arial" w:cs="Arial"/>
        </w:rPr>
        <w:footnoteReference w:id="31"/>
      </w:r>
      <w:r w:rsidRPr="0088472A">
        <w:rPr>
          <w:rFonts w:ascii="Arial" w:hAnsi="Arial" w:cs="Arial"/>
          <w:color w:val="000000" w:themeColor="text1"/>
          <w:sz w:val="22"/>
          <w:szCs w:val="22"/>
          <w:lang w:val="es-ES_tradnl"/>
        </w:rPr>
        <w:t xml:space="preserve"> o desde la publicación </w:t>
      </w:r>
      <w:r w:rsidRPr="0088472A">
        <w:rPr>
          <w:rFonts w:ascii="Arial" w:hAnsi="Arial" w:cs="Arial"/>
          <w:i/>
          <w:iCs/>
          <w:color w:val="000000" w:themeColor="text1"/>
          <w:sz w:val="22"/>
          <w:szCs w:val="22"/>
          <w:lang w:val="es-ES_tradnl"/>
        </w:rPr>
        <w:t>del primer</w:t>
      </w:r>
      <w:r w:rsidRPr="0088472A">
        <w:rPr>
          <w:rFonts w:ascii="Arial" w:hAnsi="Arial" w:cs="Arial"/>
          <w:color w:val="000000" w:themeColor="text1"/>
          <w:sz w:val="22"/>
          <w:szCs w:val="22"/>
          <w:lang w:val="es-ES_tradnl"/>
        </w:rPr>
        <w:t xml:space="preserve"> incumplimiento o multa, sino desde la publicación en el Registro Único de Proponentes del acto administrativo que impone </w:t>
      </w:r>
      <w:r w:rsidRPr="0088472A">
        <w:rPr>
          <w:rFonts w:ascii="Arial" w:hAnsi="Arial" w:cs="Arial"/>
          <w:i/>
          <w:iCs/>
          <w:color w:val="000000" w:themeColor="text1"/>
          <w:sz w:val="22"/>
          <w:szCs w:val="22"/>
          <w:lang w:val="es-ES_tradnl"/>
        </w:rPr>
        <w:t>la última</w:t>
      </w:r>
      <w:r w:rsidRPr="0088472A">
        <w:rPr>
          <w:rFonts w:ascii="Arial" w:hAnsi="Arial" w:cs="Arial"/>
          <w:color w:val="000000" w:themeColor="text1"/>
          <w:sz w:val="22"/>
          <w:szCs w:val="22"/>
          <w:lang w:val="es-ES_tradnl"/>
        </w:rPr>
        <w:t xml:space="preserve"> multa o incumplimiento, luego del trámite del procedimiento administrativo sancionatorio correspondiente. Así pues, las entidades estatales están obligadas a enviar a las cámaras de comercio la copia de los actos administrativos en firme que han declarado los incumplimientos o multas, para que estas hagan la anotación en el RUP, pues el artículo 51 de la Ley 2195 de 2022, en el último inciso, establece que «La inhabilidad pertinente se hará explicita en el Registro Único de Proponentes cuando a ello haya lugar». En tal sentido, las cámaras de comercio deben revisar las anotaciones vigentes en el RUP, contrastándolas con cada incumplimiento o multa que hayan reportado las entidades estatales en los contratos de alimentación escolar, para dejar explícita la anotación de la inhabilidad a partir del último incumplimiento o multa. Si, por ejemplo, solo se ha impuesto una multa –y no hay otros incumplimientos o multas en contratos de alimentación escolar frente a un proponente–, debe quedar la anotación de esta en el RUP, pero aún no </w:t>
      </w:r>
      <w:r w:rsidR="00211A05" w:rsidRPr="0088472A">
        <w:rPr>
          <w:rFonts w:ascii="Arial" w:hAnsi="Arial" w:cs="Arial"/>
          <w:color w:val="000000" w:themeColor="text1"/>
          <w:sz w:val="22"/>
          <w:szCs w:val="22"/>
          <w:lang w:val="es-ES_tradnl"/>
        </w:rPr>
        <w:t>la</w:t>
      </w:r>
      <w:r w:rsidRPr="0088472A">
        <w:rPr>
          <w:rFonts w:ascii="Arial" w:hAnsi="Arial" w:cs="Arial"/>
          <w:color w:val="000000" w:themeColor="text1"/>
          <w:sz w:val="22"/>
          <w:szCs w:val="22"/>
          <w:lang w:val="es-ES_tradnl"/>
        </w:rPr>
        <w:t xml:space="preserve"> de la inhabilidad, dado que todavía no existiría incumplimiento </w:t>
      </w:r>
      <w:r w:rsidRPr="0088472A">
        <w:rPr>
          <w:rFonts w:ascii="Arial" w:hAnsi="Arial" w:cs="Arial"/>
          <w:i/>
          <w:iCs/>
          <w:color w:val="000000" w:themeColor="text1"/>
          <w:sz w:val="22"/>
          <w:szCs w:val="22"/>
          <w:lang w:val="es-ES_tradnl"/>
        </w:rPr>
        <w:t>reiterado</w:t>
      </w:r>
      <w:r w:rsidRPr="0088472A">
        <w:rPr>
          <w:rFonts w:ascii="Arial" w:hAnsi="Arial" w:cs="Arial"/>
          <w:color w:val="000000" w:themeColor="text1"/>
          <w:sz w:val="22"/>
          <w:szCs w:val="22"/>
          <w:lang w:val="es-ES_tradnl"/>
        </w:rPr>
        <w:t>. Sin embargo, esta anotación ha de ser tenida en cuenta por la cámara de comercio respectiva para cuando le envíen copia de otro incumplimiento o multa en contra del mismo proponente, para hacer explícita, a partir de allí, la inhabilidad regulada en el artículo 51 de la Ley 2195 de 2022, por el período que esta norma establece.</w:t>
      </w:r>
    </w:p>
    <w:p w14:paraId="3C39EC6C" w14:textId="77777777" w:rsidR="00B24516" w:rsidRPr="0088472A" w:rsidRDefault="00B24516" w:rsidP="005311C4">
      <w:pPr>
        <w:spacing w:line="276" w:lineRule="auto"/>
        <w:jc w:val="both"/>
        <w:rPr>
          <w:rFonts w:ascii="Arial" w:eastAsia="Calibri" w:hAnsi="Arial" w:cs="Arial"/>
          <w:b/>
          <w:bCs/>
          <w:color w:val="000000" w:themeColor="text1"/>
          <w:sz w:val="22"/>
          <w:lang w:val="es-ES_tradnl"/>
        </w:rPr>
      </w:pPr>
    </w:p>
    <w:p w14:paraId="1C126095" w14:textId="30D109C7" w:rsidR="00E07CDA" w:rsidRPr="0088472A" w:rsidRDefault="00E07CDA" w:rsidP="005311C4">
      <w:pPr>
        <w:spacing w:line="276" w:lineRule="auto"/>
        <w:jc w:val="both"/>
        <w:rPr>
          <w:rFonts w:ascii="Arial" w:eastAsia="Calibri" w:hAnsi="Arial" w:cs="Arial"/>
          <w:b/>
          <w:bCs/>
          <w:color w:val="000000" w:themeColor="text1"/>
          <w:sz w:val="22"/>
          <w:lang w:val="es-ES_tradnl"/>
        </w:rPr>
      </w:pPr>
      <w:r w:rsidRPr="0088472A">
        <w:rPr>
          <w:rFonts w:ascii="Arial" w:eastAsia="Calibri" w:hAnsi="Arial" w:cs="Arial"/>
          <w:b/>
          <w:bCs/>
          <w:color w:val="000000" w:themeColor="text1"/>
          <w:sz w:val="22"/>
          <w:lang w:val="es-ES_tradnl"/>
        </w:rPr>
        <w:t>2.</w:t>
      </w:r>
      <w:r w:rsidR="00E53C32" w:rsidRPr="0088472A">
        <w:rPr>
          <w:rFonts w:ascii="Arial" w:eastAsia="Calibri" w:hAnsi="Arial" w:cs="Arial"/>
          <w:b/>
          <w:bCs/>
          <w:color w:val="000000" w:themeColor="text1"/>
          <w:sz w:val="22"/>
          <w:lang w:val="es-ES_tradnl"/>
        </w:rPr>
        <w:t>3</w:t>
      </w:r>
      <w:r w:rsidRPr="0088472A">
        <w:rPr>
          <w:rFonts w:ascii="Arial" w:eastAsia="Calibri" w:hAnsi="Arial" w:cs="Arial"/>
          <w:b/>
          <w:bCs/>
          <w:color w:val="000000" w:themeColor="text1"/>
          <w:sz w:val="22"/>
          <w:lang w:val="es-ES_tradnl"/>
        </w:rPr>
        <w:t xml:space="preserve">. </w:t>
      </w:r>
      <w:r w:rsidRPr="0088472A">
        <w:rPr>
          <w:rFonts w:ascii="Arial" w:hAnsi="Arial" w:cs="Arial"/>
          <w:b/>
          <w:bCs/>
          <w:color w:val="000000" w:themeColor="text1"/>
          <w:sz w:val="22"/>
          <w:lang w:val="es-ES_tradnl"/>
        </w:rPr>
        <w:t>Cláusulas excepcionales al derecho común en la contratación estatal</w:t>
      </w:r>
      <w:r w:rsidR="00461DCB" w:rsidRPr="0088472A">
        <w:rPr>
          <w:rFonts w:ascii="Arial" w:hAnsi="Arial" w:cs="Arial"/>
          <w:b/>
          <w:bCs/>
          <w:color w:val="000000" w:themeColor="text1"/>
          <w:sz w:val="22"/>
          <w:lang w:val="es-ES_tradnl"/>
        </w:rPr>
        <w:t xml:space="preserve"> y en especial en </w:t>
      </w:r>
      <w:r w:rsidR="00F029E6" w:rsidRPr="0088472A">
        <w:rPr>
          <w:rFonts w:ascii="Arial" w:hAnsi="Arial" w:cs="Arial"/>
          <w:b/>
          <w:bCs/>
          <w:color w:val="000000" w:themeColor="text1"/>
          <w:sz w:val="22"/>
          <w:lang w:val="es-ES_tradnl"/>
        </w:rPr>
        <w:t>los contratos de alimentación escolar</w:t>
      </w:r>
    </w:p>
    <w:p w14:paraId="564FC45E" w14:textId="77777777" w:rsidR="00F90508" w:rsidRPr="0088472A" w:rsidRDefault="00F90508" w:rsidP="00F90508">
      <w:pPr>
        <w:spacing w:line="276" w:lineRule="auto"/>
        <w:jc w:val="both"/>
        <w:rPr>
          <w:rFonts w:ascii="Arial" w:eastAsia="Calibri" w:hAnsi="Arial" w:cs="Arial"/>
          <w:b/>
          <w:bCs/>
          <w:color w:val="000000" w:themeColor="text1"/>
          <w:sz w:val="22"/>
          <w:lang w:val="es-ES_tradnl"/>
        </w:rPr>
      </w:pPr>
    </w:p>
    <w:p w14:paraId="4D2D26D6" w14:textId="77777777" w:rsidR="00F90508" w:rsidRPr="0088472A" w:rsidRDefault="00F90508" w:rsidP="00F90508">
      <w:pPr>
        <w:spacing w:line="276" w:lineRule="auto"/>
        <w:jc w:val="both"/>
        <w:rPr>
          <w:rFonts w:ascii="Arial" w:hAnsi="Arial" w:cs="Arial"/>
          <w:iCs/>
          <w:color w:val="000000" w:themeColor="text1"/>
          <w:sz w:val="22"/>
          <w:lang w:val="es-ES_tradnl"/>
        </w:rPr>
      </w:pPr>
      <w:r w:rsidRPr="0088472A">
        <w:rPr>
          <w:rFonts w:ascii="Arial" w:hAnsi="Arial" w:cs="Arial"/>
          <w:iCs/>
          <w:color w:val="000000" w:themeColor="text1"/>
          <w:sz w:val="22"/>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w:t>
      </w:r>
      <w:r w:rsidRPr="0088472A">
        <w:rPr>
          <w:rFonts w:ascii="Arial" w:hAnsi="Arial" w:cs="Arial"/>
          <w:iCs/>
          <w:color w:val="000000" w:themeColor="text1"/>
          <w:sz w:val="22"/>
          <w:lang w:val="es-ES_tradnl"/>
        </w:rPr>
        <w:lastRenderedPageBreak/>
        <w:t xml:space="preserve">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88472A">
        <w:rPr>
          <w:rFonts w:ascii="Arial" w:hAnsi="Arial" w:cs="Arial"/>
          <w:i/>
          <w:color w:val="000000" w:themeColor="text1"/>
          <w:sz w:val="22"/>
          <w:lang w:val="es-ES_tradnl"/>
        </w:rPr>
        <w:t>ibidem</w:t>
      </w:r>
      <w:r w:rsidRPr="0088472A">
        <w:rPr>
          <w:rFonts w:ascii="Arial" w:hAnsi="Arial" w:cs="Arial"/>
          <w:iCs/>
          <w:color w:val="000000" w:themeColor="text1"/>
          <w:sz w:val="22"/>
          <w:lang w:val="es-ES_tradnl"/>
        </w:rPr>
        <w:t xml:space="preserve">. </w:t>
      </w:r>
      <w:proofErr w:type="spellStart"/>
      <w:r w:rsidRPr="0088472A">
        <w:rPr>
          <w:rFonts w:ascii="Arial" w:hAnsi="Arial" w:cs="Arial"/>
          <w:iCs/>
          <w:color w:val="000000" w:themeColor="text1"/>
          <w:sz w:val="22"/>
          <w:lang w:val="es-ES_tradnl"/>
        </w:rPr>
        <w:t>ii</w:t>
      </w:r>
      <w:proofErr w:type="spellEnd"/>
      <w:r w:rsidRPr="0088472A">
        <w:rPr>
          <w:rFonts w:ascii="Arial" w:hAnsi="Arial" w:cs="Arial"/>
          <w:iCs/>
          <w:color w:val="000000" w:themeColor="text1"/>
          <w:sz w:val="22"/>
          <w:lang w:val="es-ES_tradnl"/>
        </w:rPr>
        <w:t xml:space="preserve">) Algunas disposiciones también establecen otras potestades exorbitantes, como la liquidación unilateral y la declaratoria unilateral del siniestro –artículos 7 y 11 de la Ley 1150 de 2007–. Dentro de las potestades unilaterales también se encuentran </w:t>
      </w:r>
      <w:proofErr w:type="spellStart"/>
      <w:r w:rsidRPr="0088472A">
        <w:rPr>
          <w:rFonts w:ascii="Arial" w:hAnsi="Arial" w:cs="Arial"/>
          <w:iCs/>
          <w:color w:val="000000" w:themeColor="text1"/>
          <w:sz w:val="22"/>
          <w:lang w:val="es-ES_tradnl"/>
        </w:rPr>
        <w:t>iii</w:t>
      </w:r>
      <w:proofErr w:type="spellEnd"/>
      <w:r w:rsidRPr="0088472A">
        <w:rPr>
          <w:rFonts w:ascii="Arial" w:hAnsi="Arial" w:cs="Arial"/>
          <w:iCs/>
          <w:color w:val="000000" w:themeColor="text1"/>
          <w:sz w:val="22"/>
          <w:lang w:val="es-ES_tradnl"/>
        </w:rPr>
        <w:t xml:space="preserve">) las cláusulas excepcionales de </w:t>
      </w:r>
      <w:r w:rsidRPr="0088472A">
        <w:rPr>
          <w:rFonts w:ascii="Arial" w:hAnsi="Arial" w:cs="Arial"/>
          <w:i/>
          <w:color w:val="000000" w:themeColor="text1"/>
          <w:sz w:val="22"/>
          <w:lang w:val="es-ES_tradnl"/>
        </w:rPr>
        <w:t>imposición unilateral</w:t>
      </w:r>
      <w:r w:rsidRPr="0088472A">
        <w:rPr>
          <w:rFonts w:ascii="Arial" w:hAnsi="Arial" w:cs="Arial"/>
          <w:iCs/>
          <w:color w:val="000000" w:themeColor="text1"/>
          <w:sz w:val="22"/>
          <w:lang w:val="es-ES_tradnl"/>
        </w:rPr>
        <w:t xml:space="preserve"> de las cláusulas penales y de multas –artículo 17 de la Ley 1150 de 2007–, aclarando que su exorbitancia se refiere a su imposición unilateral, no a su pacto, que es posible en virtud de las normas civiles y comerciales.</w:t>
      </w:r>
    </w:p>
    <w:p w14:paraId="79A3A7AD" w14:textId="77777777" w:rsidR="008B6F68" w:rsidRPr="0088472A" w:rsidRDefault="00F90508" w:rsidP="008B6F68">
      <w:pPr>
        <w:spacing w:before="120" w:line="276" w:lineRule="auto"/>
        <w:ind w:firstLine="709"/>
        <w:jc w:val="both"/>
        <w:rPr>
          <w:rFonts w:ascii="Arial" w:hAnsi="Arial" w:cs="Arial"/>
          <w:iCs/>
          <w:color w:val="000000" w:themeColor="text1"/>
          <w:sz w:val="22"/>
          <w:lang w:val="es-ES_tradnl"/>
        </w:rPr>
      </w:pPr>
      <w:r w:rsidRPr="0088472A">
        <w:rPr>
          <w:rFonts w:ascii="Arial" w:hAnsi="Arial" w:cs="Arial"/>
          <w:iCs/>
          <w:color w:val="000000" w:themeColor="text1"/>
          <w:sz w:val="22"/>
          <w:lang w:val="es-ES_tradnl"/>
        </w:rPr>
        <w:t xml:space="preserve">Las primeras, esto es, las cláusulas excepcionales del artículo 14 de la Ley 80 de 1993, son estipulaciones virtuales en los contratos de concesión, obra, prestación de servicios públicos, aquellos que tengan por objeto el ejercicio de una actividad que constituya monopolio estatal </w:t>
      </w:r>
      <w:r w:rsidRPr="0088472A">
        <w:rPr>
          <w:rFonts w:ascii="Arial" w:eastAsia="Calibri" w:hAnsi="Arial" w:cs="Arial"/>
          <w:color w:val="000000" w:themeColor="text1"/>
          <w:sz w:val="22"/>
        </w:rPr>
        <w:t>y los relacionados con el programa de alimentación escolar – según lo dispuso la modificación realizada por el artículo 52 de la Ley 2195 de 2022–</w:t>
      </w:r>
      <w:r w:rsidRPr="0088472A">
        <w:rPr>
          <w:rFonts w:ascii="Arial" w:hAnsi="Arial" w:cs="Arial"/>
          <w:iCs/>
          <w:color w:val="000000" w:themeColor="text1"/>
          <w:sz w:val="22"/>
          <w:lang w:val="es-ES_tradnl"/>
        </w:rPr>
        <w:t>. En tales contratos, sin importar si se incorporaron o no dentro de estos, las exorbitancias se entienden incluidas por el ministerio de la ley, como lo dispone el artículo 14 de la Ley 80 de 1993.</w:t>
      </w:r>
    </w:p>
    <w:p w14:paraId="2638CFB1" w14:textId="5478C39C" w:rsidR="008B6F68" w:rsidRPr="0088472A" w:rsidRDefault="00711EAA" w:rsidP="008B6F68">
      <w:pPr>
        <w:spacing w:before="120" w:line="276" w:lineRule="auto"/>
        <w:ind w:firstLine="709"/>
        <w:jc w:val="both"/>
        <w:rPr>
          <w:rFonts w:ascii="Arial" w:hAnsi="Arial" w:cs="Arial"/>
          <w:iCs/>
          <w:color w:val="000000" w:themeColor="text1"/>
          <w:sz w:val="22"/>
          <w:lang w:val="es-ES_tradnl"/>
        </w:rPr>
      </w:pPr>
      <w:r w:rsidRPr="0088472A">
        <w:rPr>
          <w:rFonts w:ascii="Arial" w:hAnsi="Arial" w:cs="Arial"/>
          <w:iCs/>
          <w:color w:val="000000" w:themeColor="text1"/>
          <w:sz w:val="22"/>
          <w:lang w:val="es-ES_tradnl"/>
        </w:rPr>
        <w:t xml:space="preserve">En efecto, </w:t>
      </w:r>
      <w:r w:rsidRPr="0088472A">
        <w:rPr>
          <w:rFonts w:ascii="Arial" w:hAnsi="Arial" w:cs="Arial"/>
          <w:color w:val="000000" w:themeColor="text1"/>
          <w:sz w:val="22"/>
          <w:szCs w:val="22"/>
          <w:lang w:val="es-ES_tradnl"/>
        </w:rPr>
        <w:t>e</w:t>
      </w:r>
      <w:r w:rsidR="008B6F68" w:rsidRPr="0088472A">
        <w:rPr>
          <w:rFonts w:ascii="Arial" w:hAnsi="Arial" w:cs="Arial"/>
          <w:color w:val="000000" w:themeColor="text1"/>
          <w:sz w:val="22"/>
          <w:szCs w:val="22"/>
          <w:lang w:val="es-ES_tradnl"/>
        </w:rPr>
        <w:t>l artículo 52 de la Ley 2195 de 2022 establece que las entidades estatales deben pactar «las cl</w:t>
      </w:r>
      <w:r w:rsidR="0086082D" w:rsidRPr="0088472A">
        <w:rPr>
          <w:rFonts w:ascii="Arial" w:hAnsi="Arial" w:cs="Arial"/>
          <w:color w:val="000000" w:themeColor="text1"/>
          <w:sz w:val="22"/>
          <w:szCs w:val="22"/>
          <w:lang w:val="es-ES_tradnl"/>
        </w:rPr>
        <w:t>á</w:t>
      </w:r>
      <w:r w:rsidR="008B6F68" w:rsidRPr="0088472A">
        <w:rPr>
          <w:rFonts w:ascii="Arial" w:hAnsi="Arial" w:cs="Arial"/>
          <w:color w:val="000000" w:themeColor="text1"/>
          <w:sz w:val="22"/>
          <w:szCs w:val="22"/>
          <w:lang w:val="es-ES_tradnl"/>
        </w:rPr>
        <w:t xml:space="preserve">usulas excepcionales al derecho común de terminación, interpretación y modificación unilaterales, de sometimiento a las leyes nacionales y de caducidad en […] los contratos relacionados con el programa de alimentación escolar». En otras palabras, el legislador </w:t>
      </w:r>
      <w:r w:rsidR="00D95378" w:rsidRPr="0088472A">
        <w:rPr>
          <w:rFonts w:ascii="Arial" w:hAnsi="Arial" w:cs="Arial"/>
          <w:color w:val="000000" w:themeColor="text1"/>
          <w:sz w:val="22"/>
          <w:szCs w:val="22"/>
          <w:lang w:val="es-ES_tradnl"/>
        </w:rPr>
        <w:t>modificó</w:t>
      </w:r>
      <w:r w:rsidR="008B6F68" w:rsidRPr="0088472A">
        <w:rPr>
          <w:rFonts w:ascii="Arial" w:hAnsi="Arial" w:cs="Arial"/>
          <w:color w:val="000000" w:themeColor="text1"/>
          <w:sz w:val="22"/>
          <w:szCs w:val="22"/>
          <w:lang w:val="es-ES_tradnl"/>
        </w:rPr>
        <w:t xml:space="preserve"> el numeral 2 del artículo 14 de la Ley 80 de 1993, para incluir los contratos que tengan por objeto la ejecución del </w:t>
      </w:r>
      <w:r w:rsidR="0086082D" w:rsidRPr="0088472A">
        <w:rPr>
          <w:rFonts w:ascii="Arial" w:hAnsi="Arial" w:cs="Arial"/>
          <w:color w:val="000000" w:themeColor="text1"/>
          <w:sz w:val="22"/>
          <w:szCs w:val="22"/>
          <w:lang w:val="es-ES_tradnl"/>
        </w:rPr>
        <w:t>P</w:t>
      </w:r>
      <w:r w:rsidR="008B6F68" w:rsidRPr="0088472A">
        <w:rPr>
          <w:rFonts w:ascii="Arial" w:hAnsi="Arial" w:cs="Arial"/>
          <w:color w:val="000000" w:themeColor="text1"/>
          <w:sz w:val="22"/>
          <w:szCs w:val="22"/>
          <w:lang w:val="es-ES_tradnl"/>
        </w:rPr>
        <w:t xml:space="preserve">rograma de </w:t>
      </w:r>
      <w:r w:rsidR="0086082D" w:rsidRPr="0088472A">
        <w:rPr>
          <w:rFonts w:ascii="Arial" w:hAnsi="Arial" w:cs="Arial"/>
          <w:color w:val="000000" w:themeColor="text1"/>
          <w:sz w:val="22"/>
          <w:szCs w:val="22"/>
          <w:lang w:val="es-ES_tradnl"/>
        </w:rPr>
        <w:t>A</w:t>
      </w:r>
      <w:r w:rsidR="008B6F68" w:rsidRPr="0088472A">
        <w:rPr>
          <w:rFonts w:ascii="Arial" w:hAnsi="Arial" w:cs="Arial"/>
          <w:color w:val="000000" w:themeColor="text1"/>
          <w:sz w:val="22"/>
          <w:szCs w:val="22"/>
          <w:lang w:val="es-ES_tradnl"/>
        </w:rPr>
        <w:t xml:space="preserve">limentación </w:t>
      </w:r>
      <w:r w:rsidR="0086082D" w:rsidRPr="0088472A">
        <w:rPr>
          <w:rFonts w:ascii="Arial" w:hAnsi="Arial" w:cs="Arial"/>
          <w:color w:val="000000" w:themeColor="text1"/>
          <w:sz w:val="22"/>
          <w:szCs w:val="22"/>
          <w:lang w:val="es-ES_tradnl"/>
        </w:rPr>
        <w:t>E</w:t>
      </w:r>
      <w:r w:rsidR="008B6F68" w:rsidRPr="0088472A">
        <w:rPr>
          <w:rFonts w:ascii="Arial" w:hAnsi="Arial" w:cs="Arial"/>
          <w:color w:val="000000" w:themeColor="text1"/>
          <w:sz w:val="22"/>
          <w:szCs w:val="22"/>
          <w:lang w:val="es-ES_tradnl"/>
        </w:rPr>
        <w:t>scolar</w:t>
      </w:r>
      <w:r w:rsidR="0086082D" w:rsidRPr="0088472A">
        <w:rPr>
          <w:rFonts w:ascii="Arial" w:hAnsi="Arial" w:cs="Arial"/>
          <w:color w:val="000000" w:themeColor="text1"/>
          <w:sz w:val="22"/>
          <w:szCs w:val="22"/>
          <w:lang w:val="es-ES_tradnl"/>
        </w:rPr>
        <w:t xml:space="preserve"> (PAE)</w:t>
      </w:r>
      <w:r w:rsidR="008B6F68" w:rsidRPr="0088472A">
        <w:rPr>
          <w:rFonts w:ascii="Arial" w:hAnsi="Arial" w:cs="Arial"/>
          <w:color w:val="000000" w:themeColor="text1"/>
          <w:sz w:val="22"/>
          <w:szCs w:val="22"/>
          <w:lang w:val="es-ES_tradnl"/>
        </w:rPr>
        <w:t xml:space="preserve"> dentro del listado de contratos que admiten las cláusulas excepcionales al derecho común –también conocidas con el nombre de cláusulas o potestades exorbitantes– mencionadas en el referido numeral, salvo la de reversión, que continúa estando permitida solo para los contratos de concesión. </w:t>
      </w:r>
    </w:p>
    <w:p w14:paraId="6C8486B3" w14:textId="77777777" w:rsidR="008B6F68" w:rsidRPr="0088472A" w:rsidRDefault="008B6F68" w:rsidP="008B6F68">
      <w:pPr>
        <w:spacing w:before="120" w:line="276" w:lineRule="auto"/>
        <w:ind w:firstLine="709"/>
        <w:jc w:val="both"/>
        <w:rPr>
          <w:rFonts w:ascii="Arial" w:hAnsi="Arial" w:cs="Arial"/>
          <w:color w:val="000000" w:themeColor="text1"/>
          <w:sz w:val="22"/>
          <w:szCs w:val="22"/>
        </w:rPr>
      </w:pPr>
      <w:r w:rsidRPr="0088472A">
        <w:rPr>
          <w:rFonts w:ascii="Arial" w:hAnsi="Arial" w:cs="Arial"/>
          <w:color w:val="000000" w:themeColor="text1"/>
          <w:sz w:val="22"/>
          <w:szCs w:val="22"/>
          <w:lang w:val="es-ES_tradnl"/>
        </w:rPr>
        <w:t xml:space="preserve">Al respecto, conviene precisar </w:t>
      </w:r>
      <w:proofErr w:type="gramStart"/>
      <w:r w:rsidRPr="0088472A">
        <w:rPr>
          <w:rFonts w:ascii="Arial" w:hAnsi="Arial" w:cs="Arial"/>
          <w:color w:val="000000" w:themeColor="text1"/>
          <w:sz w:val="22"/>
          <w:szCs w:val="22"/>
          <w:lang w:val="es-ES_tradnl"/>
        </w:rPr>
        <w:t>que</w:t>
      </w:r>
      <w:proofErr w:type="gramEnd"/>
      <w:r w:rsidRPr="0088472A">
        <w:rPr>
          <w:rFonts w:ascii="Arial" w:hAnsi="Arial" w:cs="Arial"/>
          <w:color w:val="000000" w:themeColor="text1"/>
          <w:sz w:val="22"/>
          <w:szCs w:val="22"/>
          <w:lang w:val="es-ES_tradnl"/>
        </w:rPr>
        <w:t xml:space="preserve"> aunque, en principio, el legislador emplea una expresión imperativa –al decir que las entidades estatales </w:t>
      </w:r>
      <w:r w:rsidRPr="0088472A">
        <w:rPr>
          <w:rFonts w:ascii="Arial" w:hAnsi="Arial" w:cs="Arial"/>
          <w:i/>
          <w:iCs/>
          <w:color w:val="000000" w:themeColor="text1"/>
          <w:sz w:val="22"/>
          <w:szCs w:val="22"/>
          <w:lang w:val="es-ES_tradnl"/>
        </w:rPr>
        <w:t>pactarán</w:t>
      </w:r>
      <w:r w:rsidRPr="0088472A">
        <w:rPr>
          <w:rFonts w:ascii="Arial" w:hAnsi="Arial" w:cs="Arial"/>
          <w:color w:val="000000" w:themeColor="text1"/>
          <w:sz w:val="22"/>
          <w:szCs w:val="22"/>
          <w:lang w:val="es-ES_tradnl"/>
        </w:rPr>
        <w:t xml:space="preserve"> dichas cláusulas en los contratos de alimentación escolar</w:t>
      </w:r>
      <w:r w:rsidRPr="0088472A">
        <w:rPr>
          <w:rFonts w:ascii="Arial" w:hAnsi="Arial" w:cs="Arial"/>
          <w:color w:val="000000" w:themeColor="text1"/>
          <w:sz w:val="22"/>
          <w:szCs w:val="22"/>
          <w:lang w:val="es-ES_tradnl"/>
        </w:rPr>
        <w:softHyphen/>
        <w:t xml:space="preserve">–, de allí </w:t>
      </w:r>
      <w:r w:rsidRPr="0088472A">
        <w:rPr>
          <w:rFonts w:ascii="Arial" w:hAnsi="Arial" w:cs="Arial"/>
          <w:i/>
          <w:iCs/>
          <w:color w:val="000000" w:themeColor="text1"/>
          <w:sz w:val="22"/>
          <w:szCs w:val="22"/>
          <w:lang w:val="es-ES_tradnl"/>
        </w:rPr>
        <w:t>no</w:t>
      </w:r>
      <w:r w:rsidRPr="0088472A">
        <w:rPr>
          <w:rFonts w:ascii="Arial" w:hAnsi="Arial" w:cs="Arial"/>
          <w:color w:val="000000" w:themeColor="text1"/>
          <w:sz w:val="22"/>
          <w:szCs w:val="22"/>
          <w:lang w:val="es-ES_tradnl"/>
        </w:rPr>
        <w:t xml:space="preserve"> se sigue que si falta la estipulación –o sea, la cláusula exorbitante señalada de manera explícita en el contrato– entonces el contrato de alimentación escolar carece de cláusulas excepcionales. Esta inferencia no puede realizarse, ya que el tercer inciso del referido numeral 2 –reiterado por el artículo 52 de la Ley 2195 de 2022– dispone que «</w:t>
      </w:r>
      <w:r w:rsidRPr="0088472A">
        <w:rPr>
          <w:rFonts w:ascii="Arial" w:hAnsi="Arial" w:cs="Arial"/>
          <w:color w:val="000000" w:themeColor="text1"/>
          <w:sz w:val="22"/>
          <w:szCs w:val="22"/>
        </w:rPr>
        <w:t xml:space="preserve">En los casos previstos en este numeral, las cláusulas excepcionales se entienden pactadas aun cuando no se consignen expresamente». Esto </w:t>
      </w:r>
      <w:r w:rsidRPr="0088472A">
        <w:rPr>
          <w:rFonts w:ascii="Arial" w:hAnsi="Arial" w:cs="Arial"/>
          <w:color w:val="000000" w:themeColor="text1"/>
          <w:sz w:val="22"/>
          <w:szCs w:val="22"/>
        </w:rPr>
        <w:lastRenderedPageBreak/>
        <w:t>significa que, de acuerdo con el artículo 1501 del Código Civil</w:t>
      </w:r>
      <w:r w:rsidRPr="0088472A">
        <w:rPr>
          <w:rStyle w:val="Refdenotaalpie"/>
          <w:rFonts w:ascii="Arial" w:hAnsi="Arial" w:cs="Arial"/>
        </w:rPr>
        <w:footnoteReference w:id="32"/>
      </w:r>
      <w:r w:rsidRPr="0088472A">
        <w:rPr>
          <w:rFonts w:ascii="Arial" w:hAnsi="Arial" w:cs="Arial"/>
          <w:color w:val="000000" w:themeColor="text1"/>
          <w:sz w:val="22"/>
          <w:szCs w:val="22"/>
        </w:rPr>
        <w:t>, las cláusulas excepcionales –salvo la de reversión– son elementos de la naturaleza de los contratos que tengan por objeto prestaciones relacionadas con el Plan de Alimentación Escolar (PAE), pues aunque no se pacten, se entienden incorporadas por ministerio de la Ley.</w:t>
      </w:r>
    </w:p>
    <w:p w14:paraId="33307338" w14:textId="0797E88A" w:rsidR="008B6F68" w:rsidRPr="0088472A" w:rsidRDefault="008B6F68" w:rsidP="008B6F68">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rPr>
        <w:t>Para hacer efectivas las cláusulas excepcionales al derecho común las entidades estatales deberán, por un lado, respetar el debido proceso del contratista y, por otro, garantizar el principio del equilibrio económico del contrato cuando a ello haya lugar. Frente a lo primero, conviene recordar que el artículo 29 de la Constitución establece que «El debido proceso se aplicará a toda clase de actuaciones judiciales y administrativas», y así lo reiteran los artículos 17 de la Ley 1150 de 2007</w:t>
      </w:r>
      <w:r w:rsidRPr="0088472A">
        <w:rPr>
          <w:rStyle w:val="Refdenotaalpie"/>
          <w:rFonts w:ascii="Arial" w:hAnsi="Arial" w:cs="Arial"/>
        </w:rPr>
        <w:footnoteReference w:id="33"/>
      </w:r>
      <w:r w:rsidRPr="0088472A">
        <w:rPr>
          <w:rFonts w:ascii="Arial" w:hAnsi="Arial" w:cs="Arial"/>
          <w:color w:val="000000" w:themeColor="text1"/>
          <w:sz w:val="22"/>
          <w:szCs w:val="22"/>
        </w:rPr>
        <w:t xml:space="preserve"> y 3, numeral 1, de la Ley 1437 de 2011</w:t>
      </w:r>
      <w:r w:rsidRPr="0088472A">
        <w:rPr>
          <w:rStyle w:val="Refdenotaalpie"/>
          <w:rFonts w:ascii="Arial" w:hAnsi="Arial" w:cs="Arial"/>
        </w:rPr>
        <w:footnoteReference w:id="34"/>
      </w:r>
      <w:r w:rsidRPr="0088472A">
        <w:rPr>
          <w:rFonts w:ascii="Arial" w:hAnsi="Arial" w:cs="Arial"/>
          <w:color w:val="000000" w:themeColor="text1"/>
          <w:sz w:val="22"/>
          <w:szCs w:val="22"/>
        </w:rPr>
        <w:t xml:space="preserve">. De este modo, dependiendo de si la cláusula excepcional tiene o no un carácter sancionatorio, la entidad estatal deberá aplicar el procedimiento administrativo </w:t>
      </w:r>
      <w:r w:rsidRPr="0088472A">
        <w:rPr>
          <w:rFonts w:ascii="Arial" w:hAnsi="Arial" w:cs="Arial"/>
          <w:i/>
          <w:iCs/>
          <w:color w:val="000000" w:themeColor="text1"/>
          <w:sz w:val="22"/>
          <w:szCs w:val="22"/>
        </w:rPr>
        <w:t>general o común</w:t>
      </w:r>
      <w:r w:rsidRPr="0088472A">
        <w:rPr>
          <w:rFonts w:ascii="Arial" w:hAnsi="Arial" w:cs="Arial"/>
          <w:color w:val="000000" w:themeColor="text1"/>
          <w:sz w:val="22"/>
          <w:szCs w:val="22"/>
        </w:rPr>
        <w:t xml:space="preserve"> regulado en los artículos 34 al 45 de la Ley 1437 de 2011 –aplicable por remisión del artículo 77 de la Ley 80 de 1993</w:t>
      </w:r>
      <w:r w:rsidRPr="0088472A">
        <w:rPr>
          <w:rStyle w:val="Refdenotaalpie"/>
          <w:rFonts w:ascii="Arial" w:hAnsi="Arial" w:cs="Arial"/>
        </w:rPr>
        <w:footnoteReference w:id="35"/>
      </w:r>
      <w:r w:rsidRPr="0088472A">
        <w:rPr>
          <w:rFonts w:ascii="Arial" w:hAnsi="Arial" w:cs="Arial"/>
          <w:color w:val="000000" w:themeColor="text1"/>
          <w:sz w:val="22"/>
          <w:szCs w:val="22"/>
        </w:rPr>
        <w:t xml:space="preserve">– o el procedimiento administrativo </w:t>
      </w:r>
      <w:r w:rsidRPr="0088472A">
        <w:rPr>
          <w:rFonts w:ascii="Arial" w:hAnsi="Arial" w:cs="Arial"/>
          <w:i/>
          <w:iCs/>
          <w:color w:val="000000" w:themeColor="text1"/>
          <w:sz w:val="22"/>
          <w:szCs w:val="22"/>
        </w:rPr>
        <w:t>sancionatorio</w:t>
      </w:r>
      <w:r w:rsidRPr="0088472A">
        <w:rPr>
          <w:rFonts w:ascii="Arial" w:hAnsi="Arial" w:cs="Arial"/>
          <w:color w:val="000000" w:themeColor="text1"/>
          <w:sz w:val="22"/>
          <w:szCs w:val="22"/>
        </w:rPr>
        <w:t xml:space="preserve"> </w:t>
      </w:r>
      <w:r w:rsidRPr="0088472A">
        <w:rPr>
          <w:rFonts w:ascii="Arial" w:hAnsi="Arial" w:cs="Arial"/>
          <w:color w:val="000000" w:themeColor="text1"/>
          <w:sz w:val="22"/>
          <w:szCs w:val="22"/>
        </w:rPr>
        <w:lastRenderedPageBreak/>
        <w:t>consagrado en el artículo 86 de la Ley 1437 de 2011. El primero de los procedimientos mencionados, por ejemplo, sería el aplicable a la interpretación unilateral y el segundo, a la declaratoria de caducidad. Por su parte, la garantía del equilibrio económico del contrato es un deber que se encuentra previsto en el numeral 1, inciso 2, del artículo 14 de la Ley 80 de 1993, según el cual «</w:t>
      </w:r>
      <w:r w:rsidRPr="0088472A">
        <w:rPr>
          <w:rFonts w:ascii="Arial" w:hAnsi="Arial" w:cs="Arial"/>
          <w:color w:val="000000" w:themeColor="text1"/>
          <w:sz w:val="22"/>
          <w:szCs w:val="22"/>
          <w:lang w:val="es-ES_tradnl"/>
        </w:rPr>
        <w:t xml:space="preserve">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  Ahora bien, esto deberá ser analizado por cada entidad estatal, según la naturaleza de la cláusula excepcional que pretenda ejercer, pues, por ejemplo, en la caducidad no tiene sentido que el contratista reciba una compensación económica por </w:t>
      </w:r>
      <w:r w:rsidR="00717722" w:rsidRPr="0088472A">
        <w:rPr>
          <w:rFonts w:ascii="Arial" w:hAnsi="Arial" w:cs="Arial"/>
          <w:color w:val="000000" w:themeColor="text1"/>
          <w:sz w:val="22"/>
          <w:szCs w:val="22"/>
          <w:lang w:val="es-ES_tradnl"/>
        </w:rPr>
        <w:t xml:space="preserve">un </w:t>
      </w:r>
      <w:r w:rsidRPr="0088472A">
        <w:rPr>
          <w:rFonts w:ascii="Arial" w:hAnsi="Arial" w:cs="Arial"/>
          <w:color w:val="000000" w:themeColor="text1"/>
          <w:sz w:val="22"/>
          <w:szCs w:val="22"/>
          <w:lang w:val="es-ES_tradnl"/>
        </w:rPr>
        <w:t>supuesto desequilibrio financiero, cuando ha sido él quien ha incumplido gravemente el contrato; pero, en cambio, una modificación unilateral sí podría afectar dicha ecuación y hacer al contratista merecedor del restablecimiento subsecuente.</w:t>
      </w:r>
    </w:p>
    <w:p w14:paraId="69C0A915" w14:textId="5F0DED82" w:rsidR="008D0FEC" w:rsidRPr="0088472A" w:rsidRDefault="008D0FEC" w:rsidP="008B6F68">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Además, para el ejercicio de estas potestades, las entidades estatales deben analizar que se configuren los supuestos que dan lugar a su utilización, de acuerdo con lo establecido en las disposiciones que regulan cada una de estas atribuciones, teniendo en cuenta que, entre otras cosas, para el ejercicio de la interpretación </w:t>
      </w:r>
      <w:r w:rsidR="00435EBA" w:rsidRPr="0088472A">
        <w:rPr>
          <w:rFonts w:ascii="Arial" w:hAnsi="Arial" w:cs="Arial"/>
          <w:color w:val="000000" w:themeColor="text1"/>
          <w:sz w:val="22"/>
          <w:szCs w:val="22"/>
          <w:lang w:val="es-ES_tradnl"/>
        </w:rPr>
        <w:t>o</w:t>
      </w:r>
      <w:r w:rsidRPr="0088472A">
        <w:rPr>
          <w:rFonts w:ascii="Arial" w:hAnsi="Arial" w:cs="Arial"/>
          <w:color w:val="000000" w:themeColor="text1"/>
          <w:sz w:val="22"/>
          <w:szCs w:val="22"/>
          <w:lang w:val="es-ES_tradnl"/>
        </w:rPr>
        <w:t xml:space="preserve"> modificación unilaterales </w:t>
      </w:r>
      <w:r w:rsidR="00580BA0" w:rsidRPr="0088472A">
        <w:rPr>
          <w:rFonts w:ascii="Arial" w:hAnsi="Arial" w:cs="Arial"/>
          <w:color w:val="000000" w:themeColor="text1"/>
          <w:sz w:val="22"/>
          <w:szCs w:val="22"/>
          <w:lang w:val="es-ES_tradnl"/>
        </w:rPr>
        <w:t>es indispensable que previamente se intente llegar a un acuerdo con el contratista respecto a la interpretación o modificación del contrato –artículos 15 y 16 de la Ley 80 de 1993–.</w:t>
      </w:r>
    </w:p>
    <w:p w14:paraId="64C0FE4A" w14:textId="77777777" w:rsidR="008B6F68" w:rsidRPr="0088472A" w:rsidRDefault="008B6F68" w:rsidP="008B6F68">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Finalmente, de acuerdo con los artículos 11 y 12 de la Ley 80 de 1993, son los representantes legales de las entidades públicas o sus delegatarios los llamados a adelantar los procedimientos administrativos tendientes a la aplicación de las cláusulas excepcionales en forma adecuada, de manera que no se afecte injustificadamente la ejecución del Programa de Alimentación Escolar. Esto último sucedería, por ejemplo, si la entidad estatal incurre en dilaciones injustificadas en el trámite del procedimiento, conduciendo a un desgaste administrativo que se manifiesta también negativamente en la ejecución del contrato, o cuando aplica una cláusula excepcional sin que se presente el supuesto fáctico y jurídico correspondiente –verbigracia, cuando declara la caducidad sin que haya existido incumplimiento, haciendo que el contrato termine–. En tal sentido, el </w:t>
      </w:r>
      <w:r w:rsidRPr="0088472A">
        <w:rPr>
          <w:rFonts w:ascii="Arial" w:hAnsi="Arial" w:cs="Arial"/>
          <w:color w:val="000000" w:themeColor="text1"/>
          <w:sz w:val="22"/>
          <w:szCs w:val="22"/>
          <w:lang w:val="es-ES_tradnl"/>
        </w:rPr>
        <w:lastRenderedPageBreak/>
        <w:t xml:space="preserve">ejercicio de los poderes exorbitantes incluidos por el legislador en los contratos cuyo objeto está relacionado con la ejecución del PAE debe ser acorde con el ordenamiento jurídico, lo que supone, </w:t>
      </w:r>
      <w:r w:rsidRPr="0088472A">
        <w:rPr>
          <w:rFonts w:ascii="Arial" w:hAnsi="Arial" w:cs="Arial"/>
          <w:i/>
          <w:iCs/>
          <w:color w:val="000000" w:themeColor="text1"/>
          <w:sz w:val="22"/>
          <w:szCs w:val="22"/>
          <w:lang w:val="es-ES_tradnl"/>
        </w:rPr>
        <w:t>entre otros elementos</w:t>
      </w:r>
      <w:r w:rsidRPr="0088472A">
        <w:rPr>
          <w:rFonts w:ascii="Arial" w:hAnsi="Arial" w:cs="Arial"/>
          <w:color w:val="000000" w:themeColor="text1"/>
          <w:sz w:val="22"/>
          <w:szCs w:val="22"/>
          <w:lang w:val="es-ES_tradnl"/>
        </w:rPr>
        <w:t>, garantizar los principios de celeridad, proporcionalidad y legalidad.</w:t>
      </w:r>
    </w:p>
    <w:p w14:paraId="4C0FF202" w14:textId="77777777" w:rsidR="00F90508" w:rsidRPr="0088472A" w:rsidRDefault="00F90508" w:rsidP="00F90508">
      <w:pPr>
        <w:spacing w:line="276" w:lineRule="auto"/>
        <w:ind w:firstLine="709"/>
        <w:jc w:val="both"/>
        <w:rPr>
          <w:rFonts w:ascii="Arial" w:hAnsi="Arial" w:cs="Arial"/>
          <w:iCs/>
          <w:color w:val="000000" w:themeColor="text1"/>
          <w:sz w:val="22"/>
          <w:lang w:val="es-ES_tradnl"/>
        </w:rPr>
      </w:pPr>
    </w:p>
    <w:p w14:paraId="1AC42540" w14:textId="7176A83D" w:rsidR="00F90508" w:rsidRPr="0088472A" w:rsidRDefault="00F90508" w:rsidP="00F90508">
      <w:pPr>
        <w:spacing w:line="276" w:lineRule="auto"/>
        <w:jc w:val="both"/>
        <w:rPr>
          <w:rFonts w:ascii="Arial" w:hAnsi="Arial" w:cs="Arial"/>
          <w:b/>
          <w:bCs/>
          <w:iCs/>
          <w:color w:val="000000" w:themeColor="text1"/>
          <w:sz w:val="22"/>
          <w:lang w:val="es-ES_tradnl"/>
        </w:rPr>
      </w:pPr>
      <w:r w:rsidRPr="0088472A">
        <w:rPr>
          <w:rFonts w:ascii="Arial" w:hAnsi="Arial" w:cs="Arial"/>
          <w:b/>
          <w:bCs/>
          <w:iCs/>
          <w:color w:val="000000" w:themeColor="text1"/>
          <w:sz w:val="22"/>
          <w:lang w:val="es-ES_tradnl"/>
        </w:rPr>
        <w:t>2.</w:t>
      </w:r>
      <w:r w:rsidR="008C1C82" w:rsidRPr="0088472A">
        <w:rPr>
          <w:rFonts w:ascii="Arial" w:hAnsi="Arial" w:cs="Arial"/>
          <w:b/>
          <w:bCs/>
          <w:iCs/>
          <w:color w:val="000000" w:themeColor="text1"/>
          <w:sz w:val="22"/>
          <w:lang w:val="es-ES_tradnl"/>
        </w:rPr>
        <w:t>4</w:t>
      </w:r>
      <w:r w:rsidRPr="0088472A">
        <w:rPr>
          <w:rFonts w:ascii="Arial" w:hAnsi="Arial" w:cs="Arial"/>
          <w:b/>
          <w:bCs/>
          <w:iCs/>
          <w:color w:val="000000" w:themeColor="text1"/>
          <w:sz w:val="22"/>
          <w:lang w:val="es-ES_tradnl"/>
        </w:rPr>
        <w:t>. Procedimiento administrativo sancionatorio contractual: artículo 86 de la Ley 1474 de 2011</w:t>
      </w:r>
    </w:p>
    <w:p w14:paraId="71D5B8A7" w14:textId="77777777" w:rsidR="00F90508" w:rsidRPr="0088472A" w:rsidRDefault="00F90508" w:rsidP="00F90508">
      <w:pPr>
        <w:spacing w:line="276" w:lineRule="auto"/>
        <w:ind w:firstLine="709"/>
        <w:jc w:val="both"/>
        <w:rPr>
          <w:rFonts w:ascii="Arial" w:hAnsi="Arial" w:cs="Arial"/>
          <w:b/>
          <w:bCs/>
          <w:iCs/>
          <w:color w:val="000000" w:themeColor="text1"/>
          <w:sz w:val="22"/>
          <w:lang w:val="es-ES_tradnl"/>
        </w:rPr>
      </w:pPr>
    </w:p>
    <w:p w14:paraId="2F19C58C" w14:textId="6A393446" w:rsidR="00F90508" w:rsidRPr="0088472A" w:rsidRDefault="009F4200" w:rsidP="00F90508">
      <w:pPr>
        <w:spacing w:after="120" w:line="276" w:lineRule="auto"/>
        <w:jc w:val="both"/>
        <w:rPr>
          <w:rFonts w:ascii="Arial" w:hAnsi="Arial" w:cs="Arial"/>
          <w:iCs/>
          <w:color w:val="000000" w:themeColor="text1"/>
          <w:sz w:val="22"/>
          <w:lang w:val="es-ES_tradnl"/>
        </w:rPr>
      </w:pPr>
      <w:r w:rsidRPr="0088472A">
        <w:rPr>
          <w:rFonts w:ascii="Arial" w:hAnsi="Arial" w:cs="Arial"/>
          <w:iCs/>
          <w:color w:val="000000" w:themeColor="text1"/>
          <w:sz w:val="22"/>
          <w:lang w:val="es-ES_tradnl"/>
        </w:rPr>
        <w:t xml:space="preserve">Teniendo en cuenta que la </w:t>
      </w:r>
      <w:r w:rsidR="00666EFB" w:rsidRPr="0088472A">
        <w:rPr>
          <w:rFonts w:ascii="Arial" w:hAnsi="Arial" w:cs="Arial"/>
          <w:iCs/>
          <w:color w:val="000000" w:themeColor="text1"/>
          <w:sz w:val="22"/>
          <w:lang w:val="es-ES_tradnl"/>
        </w:rPr>
        <w:t>aplicación</w:t>
      </w:r>
      <w:r w:rsidRPr="0088472A">
        <w:rPr>
          <w:rFonts w:ascii="Arial" w:hAnsi="Arial" w:cs="Arial"/>
          <w:iCs/>
          <w:color w:val="000000" w:themeColor="text1"/>
          <w:sz w:val="22"/>
          <w:lang w:val="es-ES_tradnl"/>
        </w:rPr>
        <w:t xml:space="preserve"> de los artículos 51 y 52 de la Ley 2195 de 2022 podrían dar lugar a la </w:t>
      </w:r>
      <w:r w:rsidR="00666EFB" w:rsidRPr="0088472A">
        <w:rPr>
          <w:rFonts w:ascii="Arial" w:hAnsi="Arial" w:cs="Arial"/>
          <w:iCs/>
          <w:color w:val="000000" w:themeColor="text1"/>
          <w:sz w:val="22"/>
          <w:lang w:val="es-ES_tradnl"/>
        </w:rPr>
        <w:t>imposición</w:t>
      </w:r>
      <w:r w:rsidRPr="0088472A">
        <w:rPr>
          <w:rFonts w:ascii="Arial" w:hAnsi="Arial" w:cs="Arial"/>
          <w:iCs/>
          <w:color w:val="000000" w:themeColor="text1"/>
          <w:sz w:val="22"/>
          <w:lang w:val="es-ES_tradnl"/>
        </w:rPr>
        <w:t xml:space="preserve"> de sanciones contractuales por parte de las entidades estatales –aunque, como se indicó, también hay cláusulas excepcionales no sancionatorias–, se considera pertinente reiterar los comentarios que en otras oportunidades ha hecho esta Agencia en relación con el procedimiento administrativo sancionatorio, en materia contractual. </w:t>
      </w:r>
      <w:r w:rsidR="00AC1BED" w:rsidRPr="0088472A">
        <w:rPr>
          <w:rFonts w:ascii="Arial" w:hAnsi="Arial" w:cs="Arial"/>
          <w:iCs/>
          <w:color w:val="000000" w:themeColor="text1"/>
          <w:sz w:val="22"/>
          <w:lang w:val="es-ES_tradnl"/>
        </w:rPr>
        <w:t xml:space="preserve">Además, en la consulta se indaga por la forma de proceder en estos casos. </w:t>
      </w:r>
      <w:r w:rsidRPr="0088472A">
        <w:rPr>
          <w:rFonts w:ascii="Arial" w:hAnsi="Arial" w:cs="Arial"/>
          <w:iCs/>
          <w:color w:val="000000" w:themeColor="text1"/>
          <w:sz w:val="22"/>
          <w:lang w:val="es-ES_tradnl"/>
        </w:rPr>
        <w:t>Al respecto, conviene recordar que e</w:t>
      </w:r>
      <w:r w:rsidR="00F90508" w:rsidRPr="0088472A">
        <w:rPr>
          <w:rFonts w:ascii="Arial" w:hAnsi="Arial" w:cs="Arial"/>
          <w:iCs/>
          <w:color w:val="000000" w:themeColor="text1"/>
          <w:sz w:val="22"/>
          <w:lang w:val="es-ES_tradnl"/>
        </w:rPr>
        <w:t xml:space="preserv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14:paraId="0ABC4E79" w14:textId="77777777" w:rsidR="00F90508" w:rsidRPr="0088472A" w:rsidRDefault="00F90508" w:rsidP="00F90508">
      <w:pPr>
        <w:spacing w:after="120" w:line="276" w:lineRule="auto"/>
        <w:ind w:firstLine="709"/>
        <w:jc w:val="both"/>
        <w:rPr>
          <w:rFonts w:ascii="Arial" w:hAnsi="Arial" w:cs="Arial"/>
          <w:iCs/>
          <w:color w:val="000000" w:themeColor="text1"/>
          <w:sz w:val="22"/>
          <w:lang w:val="es-ES_tradnl"/>
        </w:rPr>
      </w:pPr>
      <w:r w:rsidRPr="0088472A">
        <w:rPr>
          <w:rFonts w:ascii="Arial" w:hAnsi="Arial" w:cs="Arial"/>
          <w:iCs/>
          <w:color w:val="000000" w:themeColor="text1"/>
          <w:sz w:val="22"/>
          <w:lang w:val="es-ES_tradnl"/>
        </w:rPr>
        <w:t>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88472A">
        <w:rPr>
          <w:rStyle w:val="Refdenotaalpie"/>
          <w:rFonts w:ascii="Arial" w:hAnsi="Arial" w:cs="Arial"/>
        </w:rPr>
        <w:footnoteReference w:id="36"/>
      </w:r>
      <w:r w:rsidRPr="0088472A">
        <w:rPr>
          <w:rFonts w:ascii="Arial" w:hAnsi="Arial" w:cs="Arial"/>
          <w:iCs/>
          <w:color w:val="000000" w:themeColor="text1"/>
          <w:sz w:val="22"/>
          <w:lang w:val="es-ES_tradnl"/>
        </w:rPr>
        <w:t xml:space="preserve">. A la misma conclusión se llega si se tiene en consideración la necesidad de respetar el debido proceso en «todas las actuaciones administrativas» como lo ordena el artículo 29 superior. </w:t>
      </w:r>
    </w:p>
    <w:p w14:paraId="751B3DCA" w14:textId="77777777" w:rsidR="00F90508" w:rsidRPr="0088472A" w:rsidRDefault="00F90508" w:rsidP="00F90508">
      <w:pPr>
        <w:spacing w:after="120" w:line="276" w:lineRule="auto"/>
        <w:ind w:firstLine="709"/>
        <w:jc w:val="both"/>
        <w:rPr>
          <w:rFonts w:ascii="Arial" w:hAnsi="Arial" w:cs="Arial"/>
          <w:iCs/>
          <w:color w:val="000000" w:themeColor="text1"/>
          <w:sz w:val="22"/>
          <w:lang w:val="es-ES_tradnl"/>
        </w:rPr>
      </w:pPr>
      <w:r w:rsidRPr="0088472A">
        <w:rPr>
          <w:rFonts w:ascii="Arial" w:hAnsi="Arial" w:cs="Arial"/>
          <w:iCs/>
          <w:color w:val="000000" w:themeColor="text1"/>
          <w:sz w:val="22"/>
          <w:lang w:val="es-ES_tradnl"/>
        </w:rPr>
        <w:t>De conformidad con lo anterior, el artículo 86 de la Ley 1474 de 2011 establece las etapas del procedimiento que se deben seguir, las cuales se sintetizan, de forma esquemática, así:  i) c</w:t>
      </w:r>
      <w:r w:rsidRPr="0088472A">
        <w:rPr>
          <w:rFonts w:ascii="Arial" w:hAnsi="Arial" w:cs="Arial"/>
          <w:i/>
          <w:iCs/>
          <w:color w:val="000000" w:themeColor="text1"/>
          <w:sz w:val="22"/>
          <w:lang w:val="es-ES_tradnl"/>
        </w:rPr>
        <w:t>itación a audiencia</w:t>
      </w:r>
      <w:r w:rsidRPr="0088472A">
        <w:rPr>
          <w:rFonts w:ascii="Arial" w:hAnsi="Arial" w:cs="Arial"/>
          <w:iCs/>
          <w:color w:val="000000" w:themeColor="text1"/>
          <w:sz w:val="22"/>
          <w:lang w:val="es-ES_tradnl"/>
        </w:rPr>
        <w:t xml:space="preserve">. Es necesario remitir una citación a audiencia al contratista y al garante –cuando proceda–, cuyo contenido de señalará más adelante. </w:t>
      </w:r>
      <w:proofErr w:type="spellStart"/>
      <w:r w:rsidRPr="0088472A">
        <w:rPr>
          <w:rFonts w:ascii="Arial" w:hAnsi="Arial" w:cs="Arial"/>
          <w:iCs/>
          <w:color w:val="000000" w:themeColor="text1"/>
          <w:sz w:val="22"/>
          <w:lang w:val="es-ES_tradnl"/>
        </w:rPr>
        <w:t>ii</w:t>
      </w:r>
      <w:proofErr w:type="spellEnd"/>
      <w:r w:rsidRPr="0088472A">
        <w:rPr>
          <w:rFonts w:ascii="Arial" w:hAnsi="Arial" w:cs="Arial"/>
          <w:iCs/>
          <w:color w:val="000000" w:themeColor="text1"/>
          <w:sz w:val="22"/>
          <w:lang w:val="es-ES_tradnl"/>
        </w:rPr>
        <w:t xml:space="preserve">) </w:t>
      </w:r>
      <w:r w:rsidRPr="0088472A">
        <w:rPr>
          <w:rFonts w:ascii="Arial" w:hAnsi="Arial" w:cs="Arial"/>
          <w:i/>
          <w:iCs/>
          <w:color w:val="000000" w:themeColor="text1"/>
          <w:sz w:val="22"/>
          <w:lang w:val="es-ES_tradnl"/>
        </w:rPr>
        <w:t>Audiencia</w:t>
      </w:r>
      <w:r w:rsidRPr="0088472A">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88472A">
        <w:rPr>
          <w:rFonts w:ascii="Arial" w:hAnsi="Arial" w:cs="Arial"/>
          <w:iCs/>
          <w:color w:val="000000" w:themeColor="text1"/>
          <w:sz w:val="22"/>
          <w:lang w:val="es-ES_tradnl"/>
        </w:rPr>
        <w:t>iii</w:t>
      </w:r>
      <w:proofErr w:type="spellEnd"/>
      <w:r w:rsidRPr="0088472A">
        <w:rPr>
          <w:rFonts w:ascii="Arial" w:hAnsi="Arial" w:cs="Arial"/>
          <w:iCs/>
          <w:color w:val="000000" w:themeColor="text1"/>
          <w:sz w:val="22"/>
          <w:lang w:val="es-ES_tradnl"/>
        </w:rPr>
        <w:t xml:space="preserve">) </w:t>
      </w:r>
      <w:r w:rsidRPr="0088472A">
        <w:rPr>
          <w:rFonts w:ascii="Arial" w:hAnsi="Arial" w:cs="Arial"/>
          <w:i/>
          <w:iCs/>
          <w:color w:val="000000" w:themeColor="text1"/>
          <w:sz w:val="22"/>
          <w:lang w:val="es-ES_tradnl"/>
        </w:rPr>
        <w:t>Decisión</w:t>
      </w:r>
      <w:r w:rsidRPr="0088472A">
        <w:rPr>
          <w:rFonts w:ascii="Arial" w:hAnsi="Arial" w:cs="Arial"/>
          <w:iCs/>
          <w:color w:val="000000" w:themeColor="text1"/>
          <w:sz w:val="22"/>
          <w:lang w:val="es-ES_tradnl"/>
        </w:rPr>
        <w:t xml:space="preserve">. Debe estar contenida en resolución motivada donde se consigne, por un lado, lo ocurrido en el desarrollo de la diligencia y, por el otro, lo relativo a la imposición o no de multas y sanciones </w:t>
      </w:r>
      <w:r w:rsidRPr="0088472A">
        <w:rPr>
          <w:rFonts w:ascii="Arial" w:hAnsi="Arial" w:cs="Arial"/>
          <w:iCs/>
          <w:color w:val="000000" w:themeColor="text1"/>
          <w:sz w:val="22"/>
          <w:lang w:val="es-ES_tradnl"/>
        </w:rPr>
        <w:lastRenderedPageBreak/>
        <w:t>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311E5350" w14:textId="77777777" w:rsidR="00F90508" w:rsidRPr="0088472A" w:rsidRDefault="00F90508" w:rsidP="00F90508">
      <w:pPr>
        <w:spacing w:line="276" w:lineRule="auto"/>
        <w:ind w:firstLine="709"/>
        <w:jc w:val="both"/>
        <w:rPr>
          <w:rFonts w:ascii="Arial" w:eastAsia="Calibri" w:hAnsi="Arial" w:cs="Arial"/>
          <w:color w:val="000000" w:themeColor="text1"/>
          <w:sz w:val="22"/>
          <w:lang w:val="es-ES_tradnl"/>
        </w:rPr>
      </w:pPr>
      <w:r w:rsidRPr="0088472A">
        <w:rPr>
          <w:rFonts w:ascii="Arial" w:hAnsi="Arial" w:cs="Arial"/>
          <w:iCs/>
          <w:color w:val="000000" w:themeColor="text1"/>
          <w:sz w:val="22"/>
          <w:lang w:val="es-ES_tradnl"/>
        </w:rPr>
        <w:t>Como precisión previa, vale la pena aclarar que e</w:t>
      </w:r>
      <w:r w:rsidRPr="0088472A">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88472A">
        <w:rPr>
          <w:rStyle w:val="Refdenotaalpie"/>
          <w:rFonts w:ascii="Arial" w:eastAsia="Calibri" w:hAnsi="Arial" w:cs="Arial"/>
        </w:rPr>
        <w:footnoteReference w:id="37"/>
      </w:r>
      <w:r w:rsidRPr="0088472A">
        <w:rPr>
          <w:rFonts w:ascii="Arial" w:eastAsia="Calibri" w:hAnsi="Arial" w:cs="Arial"/>
          <w:color w:val="000000" w:themeColor="text1"/>
          <w:sz w:val="22"/>
          <w:lang w:val="es-ES_tradnl"/>
        </w:rPr>
        <w:t xml:space="preserve">. De ahí que las entidades de </w:t>
      </w:r>
      <w:r w:rsidRPr="0088472A">
        <w:rPr>
          <w:rFonts w:ascii="Arial" w:eastAsia="Calibri" w:hAnsi="Arial" w:cs="Arial"/>
          <w:i/>
          <w:iCs/>
          <w:color w:val="000000" w:themeColor="text1"/>
          <w:sz w:val="22"/>
          <w:lang w:val="es-ES_tradnl"/>
        </w:rPr>
        <w:t>régimen especial</w:t>
      </w:r>
      <w:r w:rsidRPr="0088472A">
        <w:rPr>
          <w:rStyle w:val="Refdenotaalpie"/>
          <w:rFonts w:ascii="Arial" w:eastAsia="Calibri" w:hAnsi="Arial" w:cs="Arial"/>
        </w:rPr>
        <w:footnoteReference w:id="38"/>
      </w:r>
      <w:r w:rsidRPr="0088472A">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88472A">
        <w:rPr>
          <w:rStyle w:val="Refdenotaalpie"/>
          <w:rFonts w:ascii="Arial" w:eastAsia="Calibri" w:hAnsi="Arial" w:cs="Arial"/>
        </w:rPr>
        <w:footnoteReference w:id="39"/>
      </w:r>
      <w:r w:rsidRPr="0088472A">
        <w:rPr>
          <w:rFonts w:ascii="Arial" w:eastAsia="Calibri" w:hAnsi="Arial" w:cs="Arial"/>
          <w:color w:val="000000" w:themeColor="text1"/>
          <w:sz w:val="22"/>
          <w:lang w:val="es-ES_tradnl"/>
        </w:rPr>
        <w:t>. La norma indicada desarrolla el procedimiento de la siguiente manera:</w:t>
      </w:r>
    </w:p>
    <w:p w14:paraId="736EF150" w14:textId="77777777" w:rsidR="00F90508" w:rsidRPr="0088472A" w:rsidRDefault="00F90508" w:rsidP="00F90508">
      <w:pPr>
        <w:spacing w:line="276" w:lineRule="auto"/>
        <w:ind w:right="142" w:firstLine="709"/>
        <w:jc w:val="both"/>
        <w:rPr>
          <w:rFonts w:ascii="Arial" w:eastAsia="Calibri" w:hAnsi="Arial" w:cs="Arial"/>
          <w:color w:val="000000" w:themeColor="text1"/>
          <w:sz w:val="22"/>
          <w:lang w:val="es-ES_tradnl"/>
        </w:rPr>
      </w:pPr>
    </w:p>
    <w:p w14:paraId="022C6E52" w14:textId="77777777" w:rsidR="00F90508" w:rsidRPr="0088472A" w:rsidRDefault="00F90508" w:rsidP="00F90508">
      <w:pPr>
        <w:pStyle w:val="Prrafodelista"/>
        <w:ind w:left="709" w:right="709"/>
        <w:jc w:val="both"/>
        <w:rPr>
          <w:rFonts w:ascii="Arial" w:hAnsi="Arial" w:cs="Arial"/>
          <w:iCs/>
          <w:color w:val="000000" w:themeColor="text1"/>
          <w:sz w:val="21"/>
          <w:szCs w:val="21"/>
          <w:lang w:val="es-ES_tradnl"/>
        </w:rPr>
      </w:pPr>
      <w:bookmarkStart w:id="2" w:name="86"/>
      <w:r w:rsidRPr="0088472A">
        <w:rPr>
          <w:rFonts w:ascii="Arial" w:hAnsi="Arial" w:cs="Arial"/>
          <w:iCs/>
          <w:color w:val="000000" w:themeColor="text1"/>
          <w:sz w:val="21"/>
          <w:szCs w:val="21"/>
          <w:lang w:val="es-ES_tradnl"/>
        </w:rPr>
        <w:t>Artículo 86. Imposición de multas, sanciones y declaratorias de incumplimiento.</w:t>
      </w:r>
      <w:bookmarkEnd w:id="2"/>
      <w:r w:rsidRPr="0088472A">
        <w:rPr>
          <w:rFonts w:ascii="Arial" w:hAnsi="Arial" w:cs="Arial"/>
          <w:iCs/>
          <w:color w:val="000000" w:themeColor="text1"/>
          <w:sz w:val="21"/>
          <w:szCs w:val="21"/>
          <w:lang w:val="es-ES_tradnl"/>
        </w:rPr>
        <w:t xml:space="preserve"> Las entidades sometidas al Estatuto General de Contratación de la Administración Pública podrán declarar el incumplimiento, cuantificando los perjuicios </w:t>
      </w:r>
      <w:proofErr w:type="gramStart"/>
      <w:r w:rsidRPr="0088472A">
        <w:rPr>
          <w:rFonts w:ascii="Arial" w:hAnsi="Arial" w:cs="Arial"/>
          <w:iCs/>
          <w:color w:val="000000" w:themeColor="text1"/>
          <w:sz w:val="21"/>
          <w:szCs w:val="21"/>
          <w:lang w:val="es-ES_tradnl"/>
        </w:rPr>
        <w:t>del mismo</w:t>
      </w:r>
      <w:proofErr w:type="gramEnd"/>
      <w:r w:rsidRPr="0088472A">
        <w:rPr>
          <w:rFonts w:ascii="Arial" w:hAnsi="Arial" w:cs="Arial"/>
          <w:iCs/>
          <w:color w:val="000000" w:themeColor="text1"/>
          <w:sz w:val="21"/>
          <w:szCs w:val="21"/>
          <w:lang w:val="es-ES_tradnl"/>
        </w:rPr>
        <w:t>, imponer las multas y sanciones pactadas en el contrato, y hacer efectiva la cláusula penal. Para tal efecto observarán el siguiente procedimiento:</w:t>
      </w:r>
    </w:p>
    <w:p w14:paraId="7D90F4C3" w14:textId="77777777" w:rsidR="00F90508" w:rsidRPr="0088472A" w:rsidRDefault="00F90508" w:rsidP="00F90508">
      <w:pPr>
        <w:pStyle w:val="Prrafodelista"/>
        <w:ind w:left="709" w:right="709"/>
        <w:jc w:val="both"/>
        <w:rPr>
          <w:rFonts w:ascii="Arial" w:hAnsi="Arial" w:cs="Arial"/>
          <w:iCs/>
          <w:color w:val="000000" w:themeColor="text1"/>
          <w:sz w:val="21"/>
          <w:szCs w:val="21"/>
          <w:lang w:val="es-ES_tradnl"/>
        </w:rPr>
      </w:pPr>
    </w:p>
    <w:p w14:paraId="3D0AC6CB" w14:textId="77777777" w:rsidR="00F90508" w:rsidRPr="0088472A" w:rsidRDefault="00F90508" w:rsidP="00F90508">
      <w:pPr>
        <w:pStyle w:val="Prrafodelista"/>
        <w:ind w:left="709" w:right="709"/>
        <w:jc w:val="both"/>
        <w:rPr>
          <w:rFonts w:ascii="Arial" w:hAnsi="Arial" w:cs="Arial"/>
          <w:iCs/>
          <w:color w:val="000000" w:themeColor="text1"/>
          <w:sz w:val="21"/>
          <w:szCs w:val="21"/>
          <w:lang w:val="es-ES_tradnl"/>
        </w:rPr>
      </w:pPr>
      <w:r w:rsidRPr="0088472A">
        <w:rPr>
          <w:rFonts w:ascii="Arial" w:hAnsi="Arial" w:cs="Arial"/>
          <w:iCs/>
          <w:color w:val="000000" w:themeColor="text1"/>
          <w:sz w:val="21"/>
          <w:szCs w:val="21"/>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61791E27" w14:textId="77777777" w:rsidR="00F90508" w:rsidRPr="0088472A" w:rsidRDefault="00F90508" w:rsidP="00F90508">
      <w:pPr>
        <w:pStyle w:val="Prrafodelista"/>
        <w:ind w:left="709" w:right="709"/>
        <w:jc w:val="both"/>
        <w:rPr>
          <w:rFonts w:ascii="Arial" w:hAnsi="Arial" w:cs="Arial"/>
          <w:color w:val="000000" w:themeColor="text1"/>
          <w:lang w:val="es-ES_tradnl"/>
        </w:rPr>
      </w:pPr>
    </w:p>
    <w:p w14:paraId="7E86B826" w14:textId="77777777" w:rsidR="00F90508" w:rsidRPr="0088472A" w:rsidRDefault="00F90508" w:rsidP="00F90508">
      <w:pPr>
        <w:pStyle w:val="Prrafodelista"/>
        <w:ind w:left="709" w:right="709"/>
        <w:jc w:val="both"/>
        <w:rPr>
          <w:rFonts w:ascii="Arial" w:hAnsi="Arial" w:cs="Arial"/>
          <w:iCs/>
          <w:color w:val="000000" w:themeColor="text1"/>
          <w:sz w:val="21"/>
          <w:szCs w:val="21"/>
          <w:lang w:val="es-ES_tradnl"/>
        </w:rPr>
      </w:pPr>
      <w:r w:rsidRPr="0088472A">
        <w:rPr>
          <w:rFonts w:ascii="Arial" w:hAnsi="Arial" w:cs="Arial"/>
          <w:iCs/>
          <w:color w:val="000000" w:themeColor="text1"/>
          <w:sz w:val="21"/>
          <w:szCs w:val="21"/>
          <w:lang w:val="es-ES_tradnl"/>
        </w:rPr>
        <w:t xml:space="preserve">b) En desarrollo de la audiencia, el jefe de la entidad o su </w:t>
      </w:r>
      <w:proofErr w:type="gramStart"/>
      <w:r w:rsidRPr="0088472A">
        <w:rPr>
          <w:rFonts w:ascii="Arial" w:hAnsi="Arial" w:cs="Arial"/>
          <w:iCs/>
          <w:color w:val="000000" w:themeColor="text1"/>
          <w:sz w:val="21"/>
          <w:szCs w:val="21"/>
          <w:lang w:val="es-ES_tradnl"/>
        </w:rPr>
        <w:t>delegado,</w:t>
      </w:r>
      <w:proofErr w:type="gramEnd"/>
      <w:r w:rsidRPr="0088472A">
        <w:rPr>
          <w:rFonts w:ascii="Arial" w:hAnsi="Arial" w:cs="Arial"/>
          <w:iCs/>
          <w:color w:val="000000" w:themeColor="text1"/>
          <w:sz w:val="21"/>
          <w:szCs w:val="21"/>
          <w:lang w:val="es-ES_tradnl"/>
        </w:rPr>
        <w:t xml:space="preserve"> presentará las circunstancias de hecho que motivan la actuación, enunciará las posibles normas o cláusulas posiblemente violadas y las consecuencias que podrían </w:t>
      </w:r>
      <w:r w:rsidRPr="0088472A">
        <w:rPr>
          <w:rFonts w:ascii="Arial" w:hAnsi="Arial" w:cs="Arial"/>
          <w:iCs/>
          <w:color w:val="000000" w:themeColor="text1"/>
          <w:sz w:val="21"/>
          <w:szCs w:val="21"/>
          <w:lang w:val="es-ES_tradnl"/>
        </w:rPr>
        <w:lastRenderedPageBreak/>
        <w:t>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11537EEC" w14:textId="77777777" w:rsidR="00F90508" w:rsidRPr="0088472A" w:rsidRDefault="00F90508" w:rsidP="00F90508">
      <w:pPr>
        <w:pStyle w:val="Prrafodelista"/>
        <w:ind w:left="709" w:right="709"/>
        <w:jc w:val="both"/>
        <w:rPr>
          <w:rFonts w:ascii="Arial" w:hAnsi="Arial" w:cs="Arial"/>
          <w:iCs/>
          <w:color w:val="000000" w:themeColor="text1"/>
          <w:sz w:val="21"/>
          <w:szCs w:val="21"/>
          <w:lang w:val="es-ES_tradnl"/>
        </w:rPr>
      </w:pPr>
    </w:p>
    <w:p w14:paraId="4B38D39D" w14:textId="77777777" w:rsidR="00F90508" w:rsidRPr="0088472A" w:rsidRDefault="00F90508" w:rsidP="00F90508">
      <w:pPr>
        <w:pStyle w:val="Prrafodelista"/>
        <w:ind w:left="709" w:right="709"/>
        <w:jc w:val="both"/>
        <w:rPr>
          <w:rFonts w:ascii="Arial" w:hAnsi="Arial" w:cs="Arial"/>
          <w:iCs/>
          <w:color w:val="000000" w:themeColor="text1"/>
          <w:sz w:val="21"/>
          <w:szCs w:val="21"/>
          <w:lang w:val="es-ES_tradnl"/>
        </w:rPr>
      </w:pPr>
      <w:r w:rsidRPr="0088472A">
        <w:rPr>
          <w:rFonts w:ascii="Arial" w:hAnsi="Arial" w:cs="Arial"/>
          <w:iCs/>
          <w:color w:val="000000" w:themeColor="text1"/>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5E1B0A7F" w14:textId="77777777" w:rsidR="00F90508" w:rsidRPr="0088472A" w:rsidRDefault="00F90508" w:rsidP="00F90508">
      <w:pPr>
        <w:pStyle w:val="Prrafodelista"/>
        <w:ind w:left="709" w:right="709"/>
        <w:jc w:val="both"/>
        <w:rPr>
          <w:rFonts w:ascii="Arial" w:hAnsi="Arial" w:cs="Arial"/>
          <w:iCs/>
          <w:color w:val="000000" w:themeColor="text1"/>
          <w:sz w:val="21"/>
          <w:szCs w:val="21"/>
          <w:lang w:val="es-ES_tradnl"/>
        </w:rPr>
      </w:pPr>
    </w:p>
    <w:p w14:paraId="4E6E8985" w14:textId="77777777" w:rsidR="00F90508" w:rsidRPr="0088472A" w:rsidRDefault="00F90508" w:rsidP="00F90508">
      <w:pPr>
        <w:pStyle w:val="Prrafodelista"/>
        <w:ind w:left="709" w:right="709"/>
        <w:jc w:val="both"/>
        <w:rPr>
          <w:rFonts w:ascii="Arial" w:hAnsi="Arial" w:cs="Arial"/>
          <w:iCs/>
          <w:color w:val="000000" w:themeColor="text1"/>
          <w:sz w:val="21"/>
          <w:szCs w:val="21"/>
          <w:lang w:val="es-ES_tradnl"/>
        </w:rPr>
      </w:pPr>
      <w:r w:rsidRPr="0088472A">
        <w:rPr>
          <w:rFonts w:ascii="Arial" w:hAnsi="Arial" w:cs="Arial"/>
          <w:iCs/>
          <w:color w:val="000000" w:themeColor="text1"/>
          <w:sz w:val="21"/>
          <w:szCs w:val="21"/>
          <w:lang w:val="es-ES_tradnl"/>
        </w:rPr>
        <w:t xml:space="preserve">d) En cualquier momento del desarrollo de la audiencia, el jefe de la entidad o su </w:t>
      </w:r>
      <w:proofErr w:type="gramStart"/>
      <w:r w:rsidRPr="0088472A">
        <w:rPr>
          <w:rFonts w:ascii="Arial" w:hAnsi="Arial" w:cs="Arial"/>
          <w:iCs/>
          <w:color w:val="000000" w:themeColor="text1"/>
          <w:sz w:val="21"/>
          <w:szCs w:val="21"/>
          <w:lang w:val="es-ES_tradnl"/>
        </w:rPr>
        <w:t>delegado,</w:t>
      </w:r>
      <w:proofErr w:type="gramEnd"/>
      <w:r w:rsidRPr="0088472A">
        <w:rPr>
          <w:rFonts w:ascii="Arial" w:hAnsi="Arial" w:cs="Arial"/>
          <w:iCs/>
          <w:color w:val="000000" w:themeColor="text1"/>
          <w:sz w:val="21"/>
          <w:szCs w:val="21"/>
          <w:lang w:val="es-ES_tradnl"/>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019E95ED" w14:textId="77777777" w:rsidR="00F90508" w:rsidRPr="0088472A" w:rsidRDefault="00F90508" w:rsidP="00F90508">
      <w:pPr>
        <w:spacing w:line="276" w:lineRule="auto"/>
        <w:ind w:right="142"/>
        <w:jc w:val="both"/>
        <w:rPr>
          <w:rFonts w:ascii="Arial" w:eastAsia="Calibri" w:hAnsi="Arial" w:cs="Arial"/>
          <w:color w:val="000000" w:themeColor="text1"/>
          <w:sz w:val="22"/>
          <w:lang w:val="es-ES_tradnl"/>
        </w:rPr>
      </w:pPr>
    </w:p>
    <w:p w14:paraId="3BEA5A13" w14:textId="77777777" w:rsidR="00F90508" w:rsidRPr="0088472A" w:rsidRDefault="00F90508" w:rsidP="00F90508">
      <w:pPr>
        <w:spacing w:after="120" w:line="276" w:lineRule="auto"/>
        <w:ind w:firstLine="709"/>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t xml:space="preserve">Como se observa, la citación a la audiencia debe cumplir mínimamente los siguientes aspectos: i) señalar los </w:t>
      </w:r>
      <w:r w:rsidRPr="0088472A">
        <w:rPr>
          <w:rFonts w:ascii="Arial" w:eastAsia="Calibri" w:hAnsi="Arial" w:cs="Arial"/>
          <w:i/>
          <w:iCs/>
          <w:color w:val="000000" w:themeColor="text1"/>
          <w:sz w:val="22"/>
          <w:lang w:val="es-ES_tradnl"/>
        </w:rPr>
        <w:t>hechos</w:t>
      </w:r>
      <w:r w:rsidRPr="0088472A">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Además, se deben </w:t>
      </w:r>
      <w:proofErr w:type="spellStart"/>
      <w:r w:rsidRPr="0088472A">
        <w:rPr>
          <w:rFonts w:ascii="Arial" w:eastAsia="Calibri" w:hAnsi="Arial" w:cs="Arial"/>
          <w:color w:val="000000" w:themeColor="text1"/>
          <w:sz w:val="22"/>
          <w:lang w:val="es-ES_tradnl"/>
        </w:rPr>
        <w:t>ii</w:t>
      </w:r>
      <w:proofErr w:type="spellEnd"/>
      <w:r w:rsidRPr="0088472A">
        <w:rPr>
          <w:rFonts w:ascii="Arial" w:eastAsia="Calibri" w:hAnsi="Arial" w:cs="Arial"/>
          <w:color w:val="000000" w:themeColor="text1"/>
          <w:sz w:val="22"/>
          <w:lang w:val="es-ES_tradnl"/>
        </w:rPr>
        <w:t xml:space="preserve">) adjuntar los informes de supervisión o de interventoría que soportan la actuación, donde la entidad fundamenta su decisión de iniciar el procedimiento sancionatorio. Asimismo, </w:t>
      </w:r>
      <w:proofErr w:type="spellStart"/>
      <w:r w:rsidRPr="0088472A">
        <w:rPr>
          <w:rFonts w:ascii="Arial" w:eastAsia="Calibri" w:hAnsi="Arial" w:cs="Arial"/>
          <w:color w:val="000000" w:themeColor="text1"/>
          <w:sz w:val="22"/>
          <w:lang w:val="es-ES_tradnl"/>
        </w:rPr>
        <w:t>iii</w:t>
      </w:r>
      <w:proofErr w:type="spellEnd"/>
      <w:r w:rsidRPr="0088472A">
        <w:rPr>
          <w:rFonts w:ascii="Arial" w:eastAsia="Calibri" w:hAnsi="Arial" w:cs="Arial"/>
          <w:color w:val="000000" w:themeColor="text1"/>
          <w:sz w:val="22"/>
          <w:lang w:val="es-ES_tradnl"/>
        </w:rPr>
        <w:t xml:space="preserve">) lo anterior debe acompañarse de las pruebas adicionales con que cuente la entidad y que sirven para acreditar el incumplimiento. </w:t>
      </w:r>
      <w:proofErr w:type="spellStart"/>
      <w:r w:rsidRPr="0088472A">
        <w:rPr>
          <w:rFonts w:ascii="Arial" w:eastAsia="Calibri" w:hAnsi="Arial" w:cs="Arial"/>
          <w:color w:val="000000" w:themeColor="text1"/>
          <w:sz w:val="22"/>
          <w:lang w:val="es-ES_tradnl"/>
        </w:rPr>
        <w:t>iv</w:t>
      </w:r>
      <w:proofErr w:type="spellEnd"/>
      <w:r w:rsidRPr="0088472A">
        <w:rPr>
          <w:rFonts w:ascii="Arial" w:eastAsia="Calibri" w:hAnsi="Arial" w:cs="Arial"/>
          <w:color w:val="000000" w:themeColor="text1"/>
          <w:sz w:val="22"/>
          <w:lang w:val="es-ES_tradnl"/>
        </w:rPr>
        <w:t xml:space="preserve">)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88472A">
        <w:rPr>
          <w:rFonts w:ascii="Arial" w:eastAsia="Calibri" w:hAnsi="Arial" w:cs="Arial"/>
          <w:color w:val="000000" w:themeColor="text1"/>
          <w:sz w:val="22"/>
          <w:lang w:val="es-ES_tradnl"/>
        </w:rPr>
        <w:t>vii</w:t>
      </w:r>
      <w:proofErr w:type="spellEnd"/>
      <w:r w:rsidRPr="0088472A">
        <w:rPr>
          <w:rFonts w:ascii="Arial" w:eastAsia="Calibri" w:hAnsi="Arial" w:cs="Arial"/>
          <w:color w:val="000000" w:themeColor="text1"/>
          <w:sz w:val="22"/>
          <w:lang w:val="es-ES_tradnl"/>
        </w:rPr>
        <w:t>) deben indicar el lugar, fecha y hora para la realización de la audiencia, sin perjuicio de que esta se pueda efectuar por medios electrónicos</w:t>
      </w:r>
      <w:r w:rsidRPr="0088472A">
        <w:rPr>
          <w:rStyle w:val="Refdenotaalpie"/>
          <w:rFonts w:ascii="Arial" w:eastAsia="Calibri" w:hAnsi="Arial" w:cs="Arial"/>
        </w:rPr>
        <w:footnoteReference w:id="40"/>
      </w:r>
      <w:r w:rsidRPr="0088472A">
        <w:rPr>
          <w:rFonts w:ascii="Arial" w:eastAsia="Calibri" w:hAnsi="Arial" w:cs="Arial"/>
          <w:color w:val="000000" w:themeColor="text1"/>
          <w:sz w:val="22"/>
          <w:lang w:val="es-ES_tradnl"/>
        </w:rPr>
        <w:t>.</w:t>
      </w:r>
    </w:p>
    <w:p w14:paraId="288E4E7E" w14:textId="12A08233" w:rsidR="00F90508" w:rsidRPr="0088472A" w:rsidRDefault="00F90508" w:rsidP="00F90508">
      <w:pPr>
        <w:spacing w:line="276" w:lineRule="auto"/>
        <w:ind w:firstLine="709"/>
        <w:jc w:val="both"/>
        <w:rPr>
          <w:rFonts w:ascii="Arial" w:eastAsia="Calibri" w:hAnsi="Arial" w:cs="Arial"/>
          <w:color w:val="000000" w:themeColor="text1"/>
          <w:sz w:val="22"/>
          <w:lang w:val="es-ES_tradnl"/>
        </w:rPr>
      </w:pPr>
      <w:r w:rsidRPr="0088472A">
        <w:rPr>
          <w:rFonts w:ascii="Arial" w:eastAsia="Calibri" w:hAnsi="Arial" w:cs="Arial"/>
          <w:color w:val="000000" w:themeColor="text1"/>
          <w:sz w:val="22"/>
          <w:lang w:val="es-ES_tradnl"/>
        </w:rPr>
        <w:lastRenderedPageBreak/>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88472A">
        <w:rPr>
          <w:rStyle w:val="Refdenotaalpie"/>
          <w:rFonts w:ascii="Arial" w:eastAsia="Calibri" w:hAnsi="Arial" w:cs="Arial"/>
        </w:rPr>
        <w:footnoteReference w:id="41"/>
      </w:r>
      <w:r w:rsidRPr="0088472A">
        <w:rPr>
          <w:rFonts w:ascii="Arial" w:eastAsia="Calibri" w:hAnsi="Arial" w:cs="Arial"/>
          <w:color w:val="000000" w:themeColor="text1"/>
          <w:sz w:val="22"/>
          <w:lang w:val="es-ES_tradnl"/>
        </w:rPr>
        <w:t>.</w:t>
      </w:r>
    </w:p>
    <w:p w14:paraId="2D740475" w14:textId="77777777" w:rsidR="00177CA1" w:rsidRPr="0088472A" w:rsidRDefault="00177CA1" w:rsidP="00C2344D">
      <w:pPr>
        <w:spacing w:line="276" w:lineRule="auto"/>
        <w:jc w:val="both"/>
        <w:rPr>
          <w:rFonts w:ascii="Arial" w:eastAsia="Calibri" w:hAnsi="Arial" w:cs="Arial"/>
          <w:b/>
          <w:bCs/>
          <w:color w:val="000000" w:themeColor="text1"/>
          <w:sz w:val="22"/>
          <w:lang w:val="es-ES_tradnl"/>
        </w:rPr>
      </w:pPr>
    </w:p>
    <w:p w14:paraId="05F5364A" w14:textId="3D11DA9D" w:rsidR="000A0DF7" w:rsidRPr="0088472A" w:rsidRDefault="000A0DF7" w:rsidP="00AF1748">
      <w:pPr>
        <w:tabs>
          <w:tab w:val="left" w:pos="0"/>
        </w:tabs>
        <w:jc w:val="both"/>
        <w:outlineLvl w:val="0"/>
        <w:rPr>
          <w:rFonts w:ascii="Arial" w:eastAsia="Calibri" w:hAnsi="Arial" w:cs="Arial"/>
          <w:b/>
          <w:color w:val="000000" w:themeColor="text1"/>
          <w:sz w:val="22"/>
          <w:lang w:val="es-ES_tradnl"/>
        </w:rPr>
      </w:pPr>
      <w:r w:rsidRPr="0088472A">
        <w:rPr>
          <w:rFonts w:ascii="Arial" w:eastAsia="Calibri" w:hAnsi="Arial" w:cs="Arial"/>
          <w:b/>
          <w:color w:val="000000" w:themeColor="text1"/>
          <w:sz w:val="22"/>
          <w:lang w:val="es-ES_tradnl"/>
        </w:rPr>
        <w:t>3. Respuesta</w:t>
      </w:r>
    </w:p>
    <w:p w14:paraId="2B3071BA" w14:textId="366BC37F" w:rsidR="000A0DF7" w:rsidRPr="0088472A" w:rsidRDefault="000A0DF7" w:rsidP="000A0DF7">
      <w:pPr>
        <w:tabs>
          <w:tab w:val="left" w:pos="0"/>
        </w:tabs>
        <w:jc w:val="both"/>
        <w:rPr>
          <w:rFonts w:ascii="Arial" w:eastAsia="Calibri" w:hAnsi="Arial" w:cs="Arial"/>
          <w:color w:val="000000" w:themeColor="text1"/>
          <w:sz w:val="21"/>
          <w:szCs w:val="21"/>
          <w:lang w:val="es-ES_tradnl"/>
        </w:rPr>
      </w:pPr>
    </w:p>
    <w:p w14:paraId="030B4C47" w14:textId="6D5FF521" w:rsidR="00690E4A" w:rsidRPr="0088472A" w:rsidRDefault="005311C4" w:rsidP="00690E4A">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«Entendiendo que el referido artículo 51 cita: “INHABILIDAD POR INCUMPLIMIENTO REITERADO EN CONTRATOS DE ALIMENTACION ESCOLAR”, se hace necesario que desde la Unidad se pueda transmitir a las diferentes entidades territoriales como materializar este precepto legal en la realidad de su territorio y como es el proceso para establecer que el incumplimiento y/o imposición de multas es reiterado? ¿Quién lo establece y reporta?</w:t>
      </w:r>
      <w:r w:rsidR="003432D9" w:rsidRPr="0088472A">
        <w:rPr>
          <w:rFonts w:ascii="Arial" w:hAnsi="Arial" w:cs="Arial"/>
          <w:color w:val="000000" w:themeColor="text1"/>
          <w:sz w:val="21"/>
          <w:szCs w:val="21"/>
          <w:lang w:val="es-ES_tradnl"/>
        </w:rPr>
        <w:t>»</w:t>
      </w:r>
      <w:r w:rsidRPr="0088472A">
        <w:rPr>
          <w:rFonts w:ascii="Arial" w:hAnsi="Arial" w:cs="Arial"/>
          <w:color w:val="000000" w:themeColor="text1"/>
          <w:sz w:val="21"/>
          <w:szCs w:val="21"/>
          <w:lang w:val="es-ES_tradnl"/>
        </w:rPr>
        <w:t xml:space="preserve"> (sic)</w:t>
      </w:r>
    </w:p>
    <w:p w14:paraId="57683BE5" w14:textId="36060DF8" w:rsidR="00690E4A" w:rsidRPr="0088472A" w:rsidRDefault="00690E4A" w:rsidP="00BA533E">
      <w:pPr>
        <w:ind w:right="709"/>
        <w:jc w:val="both"/>
        <w:rPr>
          <w:rFonts w:ascii="Arial" w:hAnsi="Arial" w:cs="Arial"/>
          <w:color w:val="000000" w:themeColor="text1"/>
          <w:sz w:val="21"/>
          <w:szCs w:val="21"/>
          <w:lang w:val="es-ES_tradnl"/>
        </w:rPr>
      </w:pPr>
    </w:p>
    <w:p w14:paraId="3B7EF55C" w14:textId="3C05EA26" w:rsidR="00D61305" w:rsidRPr="0088472A" w:rsidRDefault="00D61305" w:rsidP="00D61305">
      <w:pPr>
        <w:widowControl w:val="0"/>
        <w:autoSpaceDE w:val="0"/>
        <w:autoSpaceDN w:val="0"/>
        <w:spacing w:line="274" w:lineRule="auto"/>
        <w:jc w:val="both"/>
        <w:rPr>
          <w:rFonts w:ascii="Arial" w:eastAsiaTheme="minorHAnsi" w:hAnsi="Arial" w:cs="Arial"/>
          <w:color w:val="000000" w:themeColor="text1"/>
          <w:szCs w:val="22"/>
          <w:lang w:val="es-MX" w:eastAsia="en-US"/>
        </w:rPr>
      </w:pPr>
      <w:r w:rsidRPr="0088472A">
        <w:rPr>
          <w:rFonts w:ascii="Arial" w:hAnsi="Arial" w:cs="Arial"/>
          <w:color w:val="000000" w:themeColor="text1"/>
          <w:sz w:val="22"/>
          <w:szCs w:val="22"/>
          <w:lang w:val="es-ES_tradnl"/>
        </w:rPr>
        <w:t>El artículo 51 de la Ley 2195 de 2022 adicionó el literal d) al artículo 43 de la Ley 1955 de 2019, mediante el cual se modificó el artículo 90 de la Ley 1474 de 2011. En el mencionado literal el legislador establece que quedará inhabilitado el contratista que incurra en la siguiente conducta: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1097983D" w14:textId="77777777" w:rsidR="00D61305" w:rsidRPr="0088472A" w:rsidRDefault="00D61305" w:rsidP="00D61305">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lastRenderedPageBreak/>
        <w:t>Como se observa, de esta disposición normativa se deducen las reglas que a continuación se indican:</w:t>
      </w:r>
    </w:p>
    <w:p w14:paraId="22B814CF" w14:textId="77777777" w:rsidR="00D61305" w:rsidRPr="0088472A" w:rsidRDefault="00D61305" w:rsidP="00D61305">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i) Dicho precepto solo se aplica a los contratos que tengan por objeto la ejecución del Programa de Alimentación Escolar. Este se define por el Ministerio de Educación Nacional como el programa que «brinda un complemento alimentario a los niños, niñas y adolescentes de todo el territorio nacional, registrados en el Sistema de Matrícula -SIMAT- como estudiantes oficiales, financiados con recursos del Sistema General de Participaciones»</w:t>
      </w:r>
      <w:r w:rsidRPr="0088472A">
        <w:rPr>
          <w:rStyle w:val="Refdenotaalpie"/>
          <w:rFonts w:ascii="Arial" w:hAnsi="Arial" w:cs="Arial"/>
        </w:rPr>
        <w:footnoteReference w:id="42"/>
      </w:r>
      <w:r w:rsidRPr="0088472A">
        <w:rPr>
          <w:rFonts w:ascii="Arial" w:hAnsi="Arial" w:cs="Arial"/>
          <w:color w:val="000000" w:themeColor="text1"/>
          <w:sz w:val="22"/>
          <w:szCs w:val="22"/>
          <w:lang w:val="es-ES_tradnl"/>
        </w:rPr>
        <w:t>, indicando, a su vez, que el objetivo de este programa es «contribuir con la permanencia de los estudiantes del sistema escolar y aportar, durante la jornada escolar, macronutrientes (carbohidratos, proteínas y grasas) y los micronutrientes (zinc, hierro, vitamina A y calcio) en los porcentajes que se definan para cada modalidad»</w:t>
      </w:r>
      <w:r w:rsidRPr="0088472A">
        <w:rPr>
          <w:rStyle w:val="Refdenotaalpie"/>
          <w:rFonts w:ascii="Arial" w:hAnsi="Arial" w:cs="Arial"/>
        </w:rPr>
        <w:footnoteReference w:id="43"/>
      </w:r>
      <w:r w:rsidRPr="0088472A">
        <w:rPr>
          <w:rFonts w:ascii="Arial" w:hAnsi="Arial" w:cs="Arial"/>
          <w:color w:val="000000" w:themeColor="text1"/>
          <w:sz w:val="22"/>
          <w:szCs w:val="22"/>
          <w:lang w:val="es-ES_tradnl"/>
        </w:rPr>
        <w:t>.</w:t>
      </w:r>
    </w:p>
    <w:p w14:paraId="0B0308F7" w14:textId="77777777" w:rsidR="00D61305" w:rsidRPr="0088472A" w:rsidRDefault="00D61305" w:rsidP="00D61305">
      <w:pPr>
        <w:spacing w:before="120" w:line="276" w:lineRule="auto"/>
        <w:ind w:firstLine="709"/>
        <w:jc w:val="both"/>
        <w:rPr>
          <w:rFonts w:ascii="Arial" w:hAnsi="Arial" w:cs="Arial"/>
          <w:color w:val="000000" w:themeColor="text1"/>
          <w:sz w:val="22"/>
          <w:szCs w:val="22"/>
          <w:lang w:val="es-ES_tradnl"/>
        </w:rPr>
      </w:pPr>
      <w:proofErr w:type="spellStart"/>
      <w:r w:rsidRPr="0088472A">
        <w:rPr>
          <w:rFonts w:ascii="Arial" w:hAnsi="Arial" w:cs="Arial"/>
          <w:color w:val="000000" w:themeColor="text1"/>
          <w:sz w:val="22"/>
          <w:szCs w:val="22"/>
          <w:lang w:val="es-ES_tradnl"/>
        </w:rPr>
        <w:t>ii</w:t>
      </w:r>
      <w:proofErr w:type="spellEnd"/>
      <w:r w:rsidRPr="0088472A">
        <w:rPr>
          <w:rFonts w:ascii="Arial" w:hAnsi="Arial" w:cs="Arial"/>
          <w:color w:val="000000" w:themeColor="text1"/>
          <w:sz w:val="22"/>
          <w:szCs w:val="22"/>
          <w:lang w:val="es-ES_tradnl"/>
        </w:rPr>
        <w:t xml:space="preserve">) La causa jurídica que da lugar a la inhabilidad es «Haber sido objeto de incumplimiento contractual o de imposición de dos (2) o más multas, con una o varias entidades» durante la ejecución de contratos de alimentación escolar. En otras palabras, para que se aplique la causal de inhabilidad del literal d) del artículo en comento –adicionada por el artículo 51 de la Ley 2195 de 2022– es necesario que al contratista se le haya impuesto </w:t>
      </w:r>
      <w:r w:rsidRPr="0088472A">
        <w:rPr>
          <w:rFonts w:ascii="Arial" w:hAnsi="Arial" w:cs="Arial"/>
          <w:i/>
          <w:iCs/>
          <w:color w:val="000000" w:themeColor="text1"/>
          <w:sz w:val="22"/>
          <w:szCs w:val="22"/>
          <w:lang w:val="es-ES_tradnl"/>
        </w:rPr>
        <w:t>dos (2) o más incumplimientos o multas</w:t>
      </w:r>
      <w:r w:rsidRPr="0088472A">
        <w:rPr>
          <w:rFonts w:ascii="Arial" w:hAnsi="Arial" w:cs="Arial"/>
          <w:color w:val="000000" w:themeColor="text1"/>
          <w:sz w:val="22"/>
          <w:szCs w:val="22"/>
          <w:lang w:val="es-ES_tradnl"/>
        </w:rPr>
        <w:t xml:space="preserve"> en uno o varios contratos de alimentación escolar. Aunque de la redacción de la norma pareciera desprenderse la idea de que basta un incumplimiento –pues comienza diciendo que la inhabilidad se aplica por «Haber sido objeto de incumplimiento contractual […]»–, para la Agencia esta no es la interpretación válida, por varias razones: </w:t>
      </w:r>
    </w:p>
    <w:p w14:paraId="0E7BB550" w14:textId="77777777" w:rsidR="00D61305" w:rsidRPr="0088472A" w:rsidRDefault="00D61305" w:rsidP="00D61305">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En primer lugar, porque el título del artículo 51 señala que esta norma consagra una «inhabilidad por incumplimiento </w:t>
      </w:r>
      <w:r w:rsidRPr="0088472A">
        <w:rPr>
          <w:rFonts w:ascii="Arial" w:hAnsi="Arial" w:cs="Arial"/>
          <w:i/>
          <w:iCs/>
          <w:color w:val="000000" w:themeColor="text1"/>
          <w:sz w:val="22"/>
          <w:szCs w:val="22"/>
          <w:lang w:val="es-ES_tradnl"/>
        </w:rPr>
        <w:t>reiterado</w:t>
      </w:r>
      <w:r w:rsidRPr="0088472A">
        <w:rPr>
          <w:rFonts w:ascii="Arial" w:hAnsi="Arial" w:cs="Arial"/>
          <w:color w:val="000000" w:themeColor="text1"/>
          <w:sz w:val="22"/>
          <w:szCs w:val="22"/>
          <w:lang w:val="es-ES_tradnl"/>
        </w:rPr>
        <w:t xml:space="preserve"> en contratos de alimentación escolar» (énfasis fuera de texto), es decir que el incumplimiento </w:t>
      </w:r>
      <w:r w:rsidRPr="0088472A">
        <w:rPr>
          <w:rFonts w:ascii="Arial" w:hAnsi="Arial" w:cs="Arial"/>
          <w:i/>
          <w:iCs/>
          <w:color w:val="000000" w:themeColor="text1"/>
          <w:sz w:val="22"/>
          <w:szCs w:val="22"/>
          <w:lang w:val="es-ES_tradnl"/>
        </w:rPr>
        <w:t>no</w:t>
      </w:r>
      <w:r w:rsidRPr="0088472A">
        <w:rPr>
          <w:rFonts w:ascii="Arial" w:hAnsi="Arial" w:cs="Arial"/>
          <w:color w:val="000000" w:themeColor="text1"/>
          <w:sz w:val="22"/>
          <w:szCs w:val="22"/>
          <w:lang w:val="es-ES_tradnl"/>
        </w:rPr>
        <w:t xml:space="preserve"> reiterado –o sea, el que solo se impone una vez– está excluido del ámbito de aplicación de dicho artículo.</w:t>
      </w:r>
    </w:p>
    <w:p w14:paraId="3AE77FC6" w14:textId="77777777" w:rsidR="00D61305" w:rsidRPr="0088472A" w:rsidRDefault="00D61305" w:rsidP="00D61305">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En segundo lugar, porque el literal d) dispone que el término de diez (10) años, de duración de la inhabilidad, se cuenta «a partir de la publicación del acto administrativo que impone la inscripción </w:t>
      </w:r>
      <w:r w:rsidRPr="0088472A">
        <w:rPr>
          <w:rFonts w:ascii="Arial" w:hAnsi="Arial" w:cs="Arial"/>
          <w:i/>
          <w:iCs/>
          <w:color w:val="000000" w:themeColor="text1"/>
          <w:sz w:val="22"/>
          <w:szCs w:val="22"/>
          <w:lang w:val="es-ES_tradnl"/>
        </w:rPr>
        <w:t>de la última multa o incumplimiento</w:t>
      </w:r>
      <w:r w:rsidRPr="0088472A">
        <w:rPr>
          <w:rFonts w:ascii="Arial" w:hAnsi="Arial" w:cs="Arial"/>
          <w:color w:val="000000" w:themeColor="text1"/>
          <w:sz w:val="22"/>
          <w:szCs w:val="22"/>
          <w:lang w:val="es-ES_tradnl"/>
        </w:rPr>
        <w:t xml:space="preserve"> en el Registro Único de Proponentes» (énfasis fuera de texto), lo que significa que debe haber varios incumplimientos, pues no tendría sentido que se hable del «último» si solo se ha declarado uno solo –de hecho la RAE define «último» como algo «Que está al final de una línea, de una serie o de una sucesión»</w:t>
      </w:r>
      <w:r w:rsidRPr="0088472A">
        <w:rPr>
          <w:rStyle w:val="Refdenotaalpie"/>
          <w:rFonts w:ascii="Arial" w:hAnsi="Arial" w:cs="Arial"/>
        </w:rPr>
        <w:footnoteReference w:id="44"/>
      </w:r>
      <w:r w:rsidRPr="0088472A">
        <w:rPr>
          <w:rFonts w:ascii="Arial" w:hAnsi="Arial" w:cs="Arial"/>
          <w:color w:val="000000" w:themeColor="text1"/>
          <w:sz w:val="22"/>
          <w:szCs w:val="22"/>
          <w:lang w:val="es-ES_tradnl"/>
        </w:rPr>
        <w:t>, es decir, como el lugar final ocupado por algo en una lista plural de elementos o circunstancias.</w:t>
      </w:r>
    </w:p>
    <w:p w14:paraId="5E1DB43B" w14:textId="77777777" w:rsidR="00D61305" w:rsidRPr="0088472A" w:rsidRDefault="00D61305" w:rsidP="00D61305">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lastRenderedPageBreak/>
        <w:t xml:space="preserve">En tercer lugar, porque, como se explicó, en la lectura de las causales de inhabilidad e incompatibilidad debe primar una </w:t>
      </w:r>
      <w:r w:rsidRPr="0088472A">
        <w:rPr>
          <w:rFonts w:ascii="Arial" w:hAnsi="Arial" w:cs="Arial"/>
          <w:i/>
          <w:iCs/>
          <w:color w:val="000000" w:themeColor="text1"/>
          <w:sz w:val="22"/>
          <w:szCs w:val="22"/>
          <w:lang w:val="es-ES_tradnl"/>
        </w:rPr>
        <w:t>interpretación favorable</w:t>
      </w:r>
      <w:r w:rsidRPr="0088472A">
        <w:rPr>
          <w:rFonts w:ascii="Arial" w:hAnsi="Arial" w:cs="Arial"/>
          <w:color w:val="000000" w:themeColor="text1"/>
          <w:sz w:val="22"/>
          <w:szCs w:val="22"/>
          <w:lang w:val="es-ES_tradnl"/>
        </w:rPr>
        <w:t xml:space="preserve">, en caso de dudas o aparentes antinomias en el lenguaje empleado por el autor del enunciado normativo –de allí que deba prevalecer el entendimiento de que el incumplimiento singular, esto es, el no reiterado, no da lugar por sí solo a la causal de inhabilidad regulada en el referido literal d)–. Esto guarda consonancia con lo que ha indicado la jurisprudencia contencioso-administrativa, según la cual «la aplicación de estos preceptos exige una interpretación restrictiva, dado que según el principio hermenéutico </w:t>
      </w:r>
      <w:r w:rsidRPr="0088472A">
        <w:rPr>
          <w:rFonts w:ascii="Arial" w:hAnsi="Arial" w:cs="Arial"/>
          <w:i/>
          <w:iCs/>
          <w:color w:val="000000" w:themeColor="text1"/>
          <w:sz w:val="22"/>
          <w:szCs w:val="22"/>
          <w:lang w:val="es-ES_tradnl"/>
        </w:rPr>
        <w:t xml:space="preserve">pro </w:t>
      </w:r>
      <w:proofErr w:type="spellStart"/>
      <w:r w:rsidRPr="0088472A">
        <w:rPr>
          <w:rFonts w:ascii="Arial" w:hAnsi="Arial" w:cs="Arial"/>
          <w:i/>
          <w:iCs/>
          <w:color w:val="000000" w:themeColor="text1"/>
          <w:sz w:val="22"/>
          <w:szCs w:val="22"/>
          <w:lang w:val="es-ES_tradnl"/>
        </w:rPr>
        <w:t>libertate</w:t>
      </w:r>
      <w:proofErr w:type="spellEnd"/>
      <w:r w:rsidRPr="0088472A">
        <w:rPr>
          <w:rFonts w:ascii="Arial" w:hAnsi="Arial" w:cs="Arial"/>
          <w:color w:val="000000" w:themeColor="text1"/>
          <w:sz w:val="22"/>
          <w:szCs w:val="22"/>
          <w:lang w:val="es-ES_tradnl"/>
        </w:rPr>
        <w:t>, entre varias interpretaciones posibles de una norma que regula una inhabilidad, debe preferirse aquella que menos limita el derecho de las personas»</w:t>
      </w:r>
      <w:r w:rsidRPr="0088472A">
        <w:rPr>
          <w:rStyle w:val="Refdenotaalpie"/>
          <w:rFonts w:ascii="Arial" w:hAnsi="Arial" w:cs="Arial"/>
        </w:rPr>
        <w:footnoteReference w:id="45"/>
      </w:r>
      <w:r w:rsidRPr="0088472A">
        <w:rPr>
          <w:rFonts w:ascii="Arial" w:hAnsi="Arial" w:cs="Arial"/>
          <w:color w:val="000000" w:themeColor="text1"/>
          <w:sz w:val="22"/>
          <w:szCs w:val="22"/>
          <w:lang w:val="es-ES_tradnl"/>
        </w:rPr>
        <w:t>.</w:t>
      </w:r>
    </w:p>
    <w:p w14:paraId="34982B74" w14:textId="77777777" w:rsidR="00D61305" w:rsidRPr="0088472A" w:rsidRDefault="00D61305" w:rsidP="00D61305">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Y, en cuarto lugar, porque si se revisan los antecedentes de la Ley 2195 de 2022 se advierte que la voluntad del legislador estuvo dirigida a sancionar con esta causal de inhabilidad a quien incurriera en </w:t>
      </w:r>
      <w:r w:rsidRPr="0088472A">
        <w:rPr>
          <w:rFonts w:ascii="Arial" w:hAnsi="Arial" w:cs="Arial"/>
          <w:i/>
          <w:iCs/>
          <w:color w:val="000000" w:themeColor="text1"/>
          <w:sz w:val="22"/>
          <w:szCs w:val="22"/>
          <w:lang w:val="es-ES_tradnl"/>
        </w:rPr>
        <w:t>incumplimientos</w:t>
      </w:r>
      <w:r w:rsidRPr="0088472A">
        <w:rPr>
          <w:rFonts w:ascii="Arial" w:hAnsi="Arial" w:cs="Arial"/>
          <w:color w:val="000000" w:themeColor="text1"/>
          <w:sz w:val="22"/>
          <w:szCs w:val="22"/>
          <w:lang w:val="es-ES_tradnl"/>
        </w:rPr>
        <w:t xml:space="preserve"> –es decir, en la inobservancia reiterada de sus obligaciones– en contratos de alimentación escolar. Así se lee en la exposición de motivos:</w:t>
      </w:r>
    </w:p>
    <w:p w14:paraId="4CC7C9D2" w14:textId="77777777" w:rsidR="00D61305" w:rsidRPr="0088472A" w:rsidRDefault="00D61305" w:rsidP="00D61305">
      <w:pPr>
        <w:ind w:left="709" w:right="709"/>
        <w:jc w:val="both"/>
        <w:rPr>
          <w:rFonts w:ascii="Arial" w:hAnsi="Arial" w:cs="Arial"/>
          <w:color w:val="000000" w:themeColor="text1"/>
          <w:sz w:val="21"/>
          <w:szCs w:val="21"/>
          <w:lang w:val="es-ES_tradnl"/>
        </w:rPr>
      </w:pPr>
    </w:p>
    <w:p w14:paraId="27965E79" w14:textId="77777777" w:rsidR="00D61305" w:rsidRPr="0088472A" w:rsidRDefault="00D61305" w:rsidP="00D61305">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Por último, la importancia del buen manejo de los recursos del Plan de Alimentación Escolar (en adelante PAE), es fundamental para la transparencia y lucha contra la corrupción, y más aún cuando se habla de los recursos que están destinados a la niñez del país.</w:t>
      </w:r>
    </w:p>
    <w:p w14:paraId="4EB311FC" w14:textId="77777777" w:rsidR="00D61305" w:rsidRPr="0088472A" w:rsidRDefault="00D61305" w:rsidP="00D61305">
      <w:pPr>
        <w:ind w:left="709" w:right="709"/>
        <w:jc w:val="both"/>
        <w:rPr>
          <w:rFonts w:ascii="Arial" w:hAnsi="Arial" w:cs="Arial"/>
          <w:color w:val="000000" w:themeColor="text1"/>
          <w:sz w:val="21"/>
          <w:szCs w:val="21"/>
          <w:lang w:val="es-ES_tradnl"/>
        </w:rPr>
      </w:pPr>
    </w:p>
    <w:p w14:paraId="46C5DC12" w14:textId="77777777" w:rsidR="00D61305" w:rsidRPr="0088472A" w:rsidRDefault="00D61305" w:rsidP="00D61305">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 xml:space="preserve">Por ello, con esta propuesta se busca incorporar tres medidas para que se cumplan los contratos del PAE, en garantía de los derechos fundamentales de los niños, niñas y adolescentes de Colombia. Estas consisten en: i) mayor tiempo de inhabilidad por la imposición de dos (2) multas por </w:t>
      </w:r>
      <w:r w:rsidRPr="0088472A">
        <w:rPr>
          <w:rFonts w:ascii="Arial" w:hAnsi="Arial" w:cs="Arial"/>
          <w:i/>
          <w:iCs/>
          <w:color w:val="000000" w:themeColor="text1"/>
          <w:sz w:val="21"/>
          <w:szCs w:val="21"/>
          <w:lang w:val="es-ES_tradnl"/>
        </w:rPr>
        <w:t>incumplimientos</w:t>
      </w:r>
      <w:r w:rsidRPr="0088472A">
        <w:rPr>
          <w:rFonts w:ascii="Arial" w:hAnsi="Arial" w:cs="Arial"/>
          <w:color w:val="000000" w:themeColor="text1"/>
          <w:sz w:val="21"/>
          <w:szCs w:val="21"/>
          <w:lang w:val="es-ES_tradnl"/>
        </w:rPr>
        <w:t xml:space="preserve"> o mora en el cumplimiento de las obligaciones contractuales; […]</w:t>
      </w:r>
      <w:r w:rsidRPr="0088472A">
        <w:rPr>
          <w:rStyle w:val="Refdenotaalpie"/>
          <w:rFonts w:ascii="Arial" w:hAnsi="Arial" w:cs="Arial"/>
        </w:rPr>
        <w:footnoteReference w:id="46"/>
      </w:r>
      <w:r w:rsidRPr="0088472A">
        <w:rPr>
          <w:rFonts w:ascii="Arial" w:hAnsi="Arial" w:cs="Arial"/>
          <w:color w:val="000000" w:themeColor="text1"/>
          <w:sz w:val="21"/>
          <w:szCs w:val="21"/>
          <w:lang w:val="es-ES_tradnl"/>
        </w:rPr>
        <w:t xml:space="preserve"> (resalto fuera de texto).</w:t>
      </w:r>
    </w:p>
    <w:p w14:paraId="2F986B1E" w14:textId="77777777" w:rsidR="00D61305" w:rsidRPr="0088472A" w:rsidRDefault="00D61305" w:rsidP="00D61305">
      <w:pPr>
        <w:spacing w:line="276" w:lineRule="auto"/>
        <w:ind w:firstLine="709"/>
        <w:jc w:val="both"/>
        <w:rPr>
          <w:rFonts w:ascii="Arial" w:hAnsi="Arial" w:cs="Arial"/>
          <w:color w:val="000000" w:themeColor="text1"/>
          <w:sz w:val="21"/>
          <w:szCs w:val="21"/>
          <w:lang w:val="es-ES_tradnl"/>
        </w:rPr>
      </w:pPr>
    </w:p>
    <w:p w14:paraId="055229CE" w14:textId="77777777" w:rsidR="00D61305" w:rsidRPr="0088472A" w:rsidRDefault="00D61305" w:rsidP="00D61305">
      <w:pPr>
        <w:spacing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Se destaca que en la exposición de motivos se alude al término «</w:t>
      </w:r>
      <w:r w:rsidRPr="0088472A">
        <w:rPr>
          <w:rFonts w:ascii="Arial" w:hAnsi="Arial" w:cs="Arial"/>
          <w:i/>
          <w:iCs/>
          <w:color w:val="000000" w:themeColor="text1"/>
          <w:sz w:val="22"/>
          <w:szCs w:val="22"/>
          <w:lang w:val="es-ES_tradnl"/>
        </w:rPr>
        <w:t>incumplimientos</w:t>
      </w:r>
      <w:r w:rsidRPr="0088472A">
        <w:rPr>
          <w:rFonts w:ascii="Arial" w:hAnsi="Arial" w:cs="Arial"/>
          <w:color w:val="000000" w:themeColor="text1"/>
          <w:sz w:val="22"/>
          <w:szCs w:val="22"/>
          <w:lang w:val="es-ES_tradnl"/>
        </w:rPr>
        <w:t>» –en plural–, lo que supone concurrencia; y además se otorga claridad en que deben ser, como mínimo, dos (2) incumplimientos o multas.</w:t>
      </w:r>
    </w:p>
    <w:p w14:paraId="3C1A7763" w14:textId="77777777" w:rsidR="00D61305" w:rsidRPr="0088472A" w:rsidRDefault="00D61305" w:rsidP="00D61305">
      <w:pPr>
        <w:spacing w:before="120" w:line="276" w:lineRule="auto"/>
        <w:ind w:firstLine="709"/>
        <w:jc w:val="both"/>
        <w:rPr>
          <w:rFonts w:ascii="Arial" w:hAnsi="Arial" w:cs="Arial"/>
          <w:color w:val="000000" w:themeColor="text1"/>
          <w:sz w:val="22"/>
          <w:szCs w:val="22"/>
          <w:lang w:val="es-ES_tradnl"/>
        </w:rPr>
      </w:pPr>
      <w:proofErr w:type="spellStart"/>
      <w:r w:rsidRPr="0088472A">
        <w:rPr>
          <w:rFonts w:ascii="Arial" w:hAnsi="Arial" w:cs="Arial"/>
          <w:color w:val="000000" w:themeColor="text1"/>
          <w:sz w:val="22"/>
          <w:szCs w:val="22"/>
          <w:lang w:val="es-ES_tradnl"/>
        </w:rPr>
        <w:t>iii</w:t>
      </w:r>
      <w:proofErr w:type="spellEnd"/>
      <w:r w:rsidRPr="0088472A">
        <w:rPr>
          <w:rFonts w:ascii="Arial" w:hAnsi="Arial" w:cs="Arial"/>
          <w:color w:val="000000" w:themeColor="text1"/>
          <w:sz w:val="22"/>
          <w:szCs w:val="22"/>
          <w:lang w:val="es-ES_tradnl"/>
        </w:rPr>
        <w:t xml:space="preserve">) Finalmente, el literal d), adicionado por el artículo 51 de la Ley 2195 de 2022, indica que el término de la inhabilidad es de diez (10) años, «contados a partir de la publicación del acto administrativo que impone la inscripción de la última multa o incumplimiento en el Registro Único de Proponentes, de acuerdo con la información </w:t>
      </w:r>
      <w:r w:rsidRPr="0088472A">
        <w:rPr>
          <w:rFonts w:ascii="Arial" w:hAnsi="Arial" w:cs="Arial"/>
          <w:color w:val="000000" w:themeColor="text1"/>
          <w:sz w:val="22"/>
          <w:szCs w:val="22"/>
          <w:lang w:val="es-ES_tradnl"/>
        </w:rPr>
        <w:lastRenderedPageBreak/>
        <w:t>remitida por las entidades públicas». Esta norma debe interpretarse en armonía con el artículo 6 –numeral 6.2– de la Ley 1150 de 2007, que indica:</w:t>
      </w:r>
    </w:p>
    <w:p w14:paraId="5E62E99A" w14:textId="77777777" w:rsidR="00D61305" w:rsidRPr="0088472A" w:rsidRDefault="00D61305" w:rsidP="00D61305">
      <w:pPr>
        <w:ind w:left="709" w:right="709"/>
        <w:jc w:val="both"/>
        <w:rPr>
          <w:rFonts w:ascii="Arial" w:hAnsi="Arial" w:cs="Arial"/>
          <w:color w:val="000000" w:themeColor="text1"/>
          <w:sz w:val="21"/>
          <w:szCs w:val="21"/>
          <w:lang w:val="es-ES_tradnl"/>
        </w:rPr>
      </w:pPr>
    </w:p>
    <w:p w14:paraId="13A8B494" w14:textId="77777777" w:rsidR="00D61305" w:rsidRPr="0088472A" w:rsidRDefault="00D61305" w:rsidP="00D61305">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De la información sobre contratos, multas y sanciones a los inscritos.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p>
    <w:p w14:paraId="4A24605D" w14:textId="77777777" w:rsidR="00D61305" w:rsidRPr="0088472A" w:rsidRDefault="00D61305" w:rsidP="00D61305">
      <w:pPr>
        <w:ind w:left="709" w:right="709"/>
        <w:jc w:val="both"/>
        <w:rPr>
          <w:rFonts w:ascii="Arial" w:hAnsi="Arial" w:cs="Arial"/>
          <w:color w:val="000000" w:themeColor="text1"/>
          <w:sz w:val="21"/>
          <w:szCs w:val="21"/>
          <w:lang w:val="es-ES_tradnl"/>
        </w:rPr>
      </w:pPr>
    </w:p>
    <w:p w14:paraId="7091BE60" w14:textId="77777777" w:rsidR="00D61305" w:rsidRPr="0088472A" w:rsidRDefault="00D61305" w:rsidP="00D61305">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 xml:space="preserve">Las condiciones de remisión de la información y los plazos de permanencia de la misma en el registro serán </w:t>
      </w:r>
      <w:proofErr w:type="gramStart"/>
      <w:r w:rsidRPr="0088472A">
        <w:rPr>
          <w:rFonts w:ascii="Arial" w:hAnsi="Arial" w:cs="Arial"/>
          <w:color w:val="000000" w:themeColor="text1"/>
          <w:sz w:val="21"/>
          <w:szCs w:val="21"/>
          <w:lang w:val="es-ES_tradnl"/>
        </w:rPr>
        <w:t>señalados</w:t>
      </w:r>
      <w:proofErr w:type="gramEnd"/>
      <w:r w:rsidRPr="0088472A">
        <w:rPr>
          <w:rFonts w:ascii="Arial" w:hAnsi="Arial" w:cs="Arial"/>
          <w:color w:val="000000" w:themeColor="text1"/>
          <w:sz w:val="21"/>
          <w:szCs w:val="21"/>
          <w:lang w:val="es-ES_tradnl"/>
        </w:rPr>
        <w:t xml:space="preserve"> por el Gobierno Nacional.</w:t>
      </w:r>
    </w:p>
    <w:p w14:paraId="22416CFA" w14:textId="77777777" w:rsidR="00D61305" w:rsidRPr="0088472A" w:rsidRDefault="00D61305" w:rsidP="00D61305">
      <w:pPr>
        <w:ind w:left="709" w:right="709"/>
        <w:jc w:val="both"/>
        <w:rPr>
          <w:rFonts w:ascii="Arial" w:hAnsi="Arial" w:cs="Arial"/>
          <w:color w:val="000000" w:themeColor="text1"/>
          <w:sz w:val="21"/>
          <w:szCs w:val="21"/>
          <w:lang w:val="es-ES_tradnl"/>
        </w:rPr>
      </w:pPr>
    </w:p>
    <w:p w14:paraId="42FE6F4A" w14:textId="77777777" w:rsidR="00D61305" w:rsidRPr="0088472A" w:rsidRDefault="00D61305" w:rsidP="00D61305">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El servidor público encargado de remitir la información, que incumpla esta obligación incurrirá en causal de mala conducta.</w:t>
      </w:r>
    </w:p>
    <w:p w14:paraId="360033C3" w14:textId="77777777" w:rsidR="00D61305" w:rsidRPr="0088472A" w:rsidRDefault="00D61305" w:rsidP="00D61305">
      <w:pPr>
        <w:ind w:right="709"/>
        <w:jc w:val="both"/>
        <w:rPr>
          <w:rFonts w:ascii="Arial" w:hAnsi="Arial" w:cs="Arial"/>
          <w:color w:val="000000" w:themeColor="text1"/>
          <w:sz w:val="21"/>
          <w:szCs w:val="21"/>
          <w:lang w:val="es-ES_tradnl"/>
        </w:rPr>
      </w:pPr>
    </w:p>
    <w:p w14:paraId="40CE9D6D" w14:textId="77777777" w:rsidR="00D61305" w:rsidRPr="0088472A" w:rsidRDefault="00D61305" w:rsidP="00D61305">
      <w:pPr>
        <w:spacing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En desarrollo de este mandato legal, el artículo 2.2.1.1.1.5.7. del Decreto 1082 de 2015 establece:</w:t>
      </w:r>
    </w:p>
    <w:p w14:paraId="517A336A" w14:textId="77777777" w:rsidR="00D61305" w:rsidRPr="0088472A" w:rsidRDefault="00D61305" w:rsidP="00D61305">
      <w:pPr>
        <w:ind w:left="709" w:right="709"/>
        <w:jc w:val="both"/>
        <w:rPr>
          <w:rFonts w:ascii="Arial" w:hAnsi="Arial" w:cs="Arial"/>
          <w:color w:val="000000" w:themeColor="text1"/>
          <w:sz w:val="21"/>
          <w:szCs w:val="21"/>
          <w:lang w:val="es-ES_tradnl"/>
        </w:rPr>
      </w:pPr>
    </w:p>
    <w:p w14:paraId="58135B06" w14:textId="77777777" w:rsidR="00D61305" w:rsidRPr="0088472A" w:rsidRDefault="00D61305" w:rsidP="00D61305">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 xml:space="preserve">Información de multas, sanciones, inhabilidades y actividad contractual. 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inhabilidad. La información relativa a multas debe permanecer en el certificado del RUP por un año, contado a partir de la publicación de </w:t>
      </w:r>
      <w:proofErr w:type="gramStart"/>
      <w:r w:rsidRPr="0088472A">
        <w:rPr>
          <w:rFonts w:ascii="Arial" w:hAnsi="Arial" w:cs="Arial"/>
          <w:color w:val="000000" w:themeColor="text1"/>
          <w:sz w:val="21"/>
          <w:szCs w:val="21"/>
          <w:lang w:val="es-ES_tradnl"/>
        </w:rPr>
        <w:t>la misma</w:t>
      </w:r>
      <w:proofErr w:type="gramEnd"/>
      <w:r w:rsidRPr="0088472A">
        <w:rPr>
          <w:rFonts w:ascii="Arial" w:hAnsi="Arial" w:cs="Arial"/>
          <w:color w:val="000000" w:themeColor="text1"/>
          <w:sz w:val="21"/>
          <w:szCs w:val="21"/>
          <w:lang w:val="es-ES_tradnl"/>
        </w:rPr>
        <w:t>.</w:t>
      </w:r>
    </w:p>
    <w:p w14:paraId="7997D622" w14:textId="77777777" w:rsidR="00D61305" w:rsidRPr="0088472A" w:rsidRDefault="00D61305" w:rsidP="00D61305">
      <w:pPr>
        <w:ind w:left="709" w:right="709"/>
        <w:jc w:val="both"/>
        <w:rPr>
          <w:rFonts w:ascii="Arial" w:hAnsi="Arial" w:cs="Arial"/>
          <w:color w:val="000000" w:themeColor="text1"/>
          <w:sz w:val="21"/>
          <w:szCs w:val="21"/>
          <w:lang w:val="es-ES_tradnl"/>
        </w:rPr>
      </w:pPr>
    </w:p>
    <w:p w14:paraId="50FED834" w14:textId="77777777" w:rsidR="00D61305" w:rsidRPr="0088472A" w:rsidRDefault="00D61305" w:rsidP="00D61305">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Las cámaras de comercio deben tener un mecanismo de interoperabilidad con el SECOP para el registro de la información de que trata el presente artículo.</w:t>
      </w:r>
    </w:p>
    <w:p w14:paraId="5BB9147C" w14:textId="77777777" w:rsidR="00D61305" w:rsidRPr="0088472A" w:rsidRDefault="00D61305" w:rsidP="00D61305">
      <w:pPr>
        <w:ind w:left="709" w:right="709"/>
        <w:jc w:val="both"/>
        <w:rPr>
          <w:rFonts w:ascii="Arial" w:hAnsi="Arial" w:cs="Arial"/>
          <w:color w:val="000000" w:themeColor="text1"/>
          <w:sz w:val="21"/>
          <w:szCs w:val="21"/>
          <w:lang w:val="es-ES_tradnl"/>
        </w:rPr>
      </w:pPr>
    </w:p>
    <w:p w14:paraId="2353A0B7" w14:textId="043DE612" w:rsidR="00CB4F31" w:rsidRPr="0088472A" w:rsidRDefault="00D61305" w:rsidP="00D61305">
      <w:pPr>
        <w:spacing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Por tanto, se concluye que el término de diez (10) años de la causal de inhabilidad prevista en el artículo 51 de la Ley 2195 de 2022 se comienza a contar a partir de la publicación del último incumplimiento o multa en el Registro Único de Proponentes. En consecuencia, el término de la inhabilidad no se activa con la sola expedición del acto administrativo que declara el incumplimiento o la multa y ni siquiera con su </w:t>
      </w:r>
      <w:r w:rsidRPr="0088472A">
        <w:rPr>
          <w:rFonts w:ascii="Arial" w:hAnsi="Arial" w:cs="Arial"/>
          <w:i/>
          <w:iCs/>
          <w:color w:val="000000" w:themeColor="text1"/>
          <w:sz w:val="22"/>
          <w:szCs w:val="22"/>
          <w:lang w:val="es-ES_tradnl"/>
        </w:rPr>
        <w:t>firmeza</w:t>
      </w:r>
      <w:r w:rsidRPr="0088472A">
        <w:rPr>
          <w:rFonts w:ascii="Arial" w:hAnsi="Arial" w:cs="Arial"/>
          <w:color w:val="000000" w:themeColor="text1"/>
          <w:sz w:val="22"/>
          <w:szCs w:val="22"/>
          <w:lang w:val="es-ES_tradnl"/>
        </w:rPr>
        <w:t xml:space="preserve"> o desde la publicación </w:t>
      </w:r>
      <w:r w:rsidRPr="0088472A">
        <w:rPr>
          <w:rFonts w:ascii="Arial" w:hAnsi="Arial" w:cs="Arial"/>
          <w:i/>
          <w:iCs/>
          <w:color w:val="000000" w:themeColor="text1"/>
          <w:sz w:val="22"/>
          <w:szCs w:val="22"/>
          <w:lang w:val="es-ES_tradnl"/>
        </w:rPr>
        <w:t>del primer</w:t>
      </w:r>
      <w:r w:rsidRPr="0088472A">
        <w:rPr>
          <w:rFonts w:ascii="Arial" w:hAnsi="Arial" w:cs="Arial"/>
          <w:color w:val="000000" w:themeColor="text1"/>
          <w:sz w:val="22"/>
          <w:szCs w:val="22"/>
          <w:lang w:val="es-ES_tradnl"/>
        </w:rPr>
        <w:t xml:space="preserve"> incumplimiento o multa, sino desde la publicación en el Registro Único de Proponentes del acto administrativo que impone </w:t>
      </w:r>
      <w:r w:rsidRPr="0088472A">
        <w:rPr>
          <w:rFonts w:ascii="Arial" w:hAnsi="Arial" w:cs="Arial"/>
          <w:i/>
          <w:iCs/>
          <w:color w:val="000000" w:themeColor="text1"/>
          <w:sz w:val="22"/>
          <w:szCs w:val="22"/>
          <w:lang w:val="es-ES_tradnl"/>
        </w:rPr>
        <w:t>la última</w:t>
      </w:r>
      <w:r w:rsidRPr="0088472A">
        <w:rPr>
          <w:rFonts w:ascii="Arial" w:hAnsi="Arial" w:cs="Arial"/>
          <w:color w:val="000000" w:themeColor="text1"/>
          <w:sz w:val="22"/>
          <w:szCs w:val="22"/>
          <w:lang w:val="es-ES_tradnl"/>
        </w:rPr>
        <w:t xml:space="preserve"> multa o incumplimiento, luego del trámite del procedimiento administrativo sancionatorio correspondiente. Así pues, las entidades estatales están obligadas a enviar a las cámaras de comercio la copia de los actos administrativos en firme que han declarado los incumplimientos o multas, para que estas hagan la anotación en el RUP, pues el artículo 51 de la Ley 2195 de 2022, en el último inciso, establece que «La inhabilidad pertinente se hará explicita en el Registro Único de Proponentes cuando a ello haya lugar». En tal sentido, las cámaras de comercio deben </w:t>
      </w:r>
      <w:r w:rsidRPr="0088472A">
        <w:rPr>
          <w:rFonts w:ascii="Arial" w:hAnsi="Arial" w:cs="Arial"/>
          <w:color w:val="000000" w:themeColor="text1"/>
          <w:sz w:val="22"/>
          <w:szCs w:val="22"/>
          <w:lang w:val="es-ES_tradnl"/>
        </w:rPr>
        <w:lastRenderedPageBreak/>
        <w:t xml:space="preserve">revisar las anotaciones vigentes en el RUP, contrastándolas con cada incumplimiento o multa que hayan reportado las entidades estatales en los contratos de alimentación escolar, para dejar explícita la anotación de la inhabilidad a partir del último incumplimiento o multa. Si, por ejemplo, solo se ha impuesto una multa –y no hay otros incumplimientos o multas en contratos de alimentación escolar frente a un proponente–, debe quedar la anotación de esta en el RUP, pero aún no la de la inhabilidad, dado que todavía no existiría incumplimiento </w:t>
      </w:r>
      <w:r w:rsidRPr="0088472A">
        <w:rPr>
          <w:rFonts w:ascii="Arial" w:hAnsi="Arial" w:cs="Arial"/>
          <w:i/>
          <w:iCs/>
          <w:color w:val="000000" w:themeColor="text1"/>
          <w:sz w:val="22"/>
          <w:szCs w:val="22"/>
          <w:lang w:val="es-ES_tradnl"/>
        </w:rPr>
        <w:t>reiterado</w:t>
      </w:r>
      <w:r w:rsidRPr="0088472A">
        <w:rPr>
          <w:rFonts w:ascii="Arial" w:hAnsi="Arial" w:cs="Arial"/>
          <w:color w:val="000000" w:themeColor="text1"/>
          <w:sz w:val="22"/>
          <w:szCs w:val="22"/>
          <w:lang w:val="es-ES_tradnl"/>
        </w:rPr>
        <w:t>. Sin embargo, esta anotación ha de ser tenida en cuenta por la cámara de comercio respectiva para cuando le envíen copia de otro incumplimiento o multa en contra del mismo proponente, para hacer explícita, a partir de allí, la inhabilidad regulada en el artículo 51 de la Ley 2195 de 2022, por el período que esta norma establece.</w:t>
      </w:r>
    </w:p>
    <w:p w14:paraId="77F210F5" w14:textId="77777777" w:rsidR="003B7ECB" w:rsidRPr="0088472A" w:rsidRDefault="003B7ECB" w:rsidP="00690E4A">
      <w:pPr>
        <w:ind w:left="709" w:right="709"/>
        <w:jc w:val="both"/>
        <w:rPr>
          <w:rFonts w:ascii="Arial" w:hAnsi="Arial" w:cs="Arial"/>
          <w:color w:val="000000" w:themeColor="text1"/>
          <w:sz w:val="21"/>
          <w:szCs w:val="21"/>
          <w:lang w:val="es-ES_tradnl"/>
        </w:rPr>
      </w:pPr>
    </w:p>
    <w:p w14:paraId="5F37AA4A" w14:textId="3BA5946A" w:rsidR="005311C4" w:rsidRPr="0088472A" w:rsidRDefault="00E6123D" w:rsidP="00690E4A">
      <w:pPr>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w:t>
      </w:r>
      <w:r w:rsidR="005311C4" w:rsidRPr="0088472A">
        <w:rPr>
          <w:rFonts w:ascii="Arial" w:hAnsi="Arial" w:cs="Arial"/>
          <w:color w:val="000000" w:themeColor="text1"/>
          <w:sz w:val="21"/>
          <w:szCs w:val="21"/>
          <w:lang w:val="es-ES_tradnl"/>
        </w:rPr>
        <w:t>En cuanto a lo previsto en el artículo 52. “CLAUSULAS EXCEPCIONALES EN CONTRATOS DE ALIMENTACION ESCOLAR”, ¿cuáles son las posibilidades legales que tiene los gobernantes para que el servicio de alimentación que de manera conexa garantiza el derecho fundamental a la educación, se vea afectado lo menos posible cuando estamos ante el trámite de que prevé estas cláusulas? (sic)»</w:t>
      </w:r>
    </w:p>
    <w:p w14:paraId="4A474133" w14:textId="52C13CD3" w:rsidR="00F63C06" w:rsidRPr="0088472A" w:rsidRDefault="009015B5" w:rsidP="00F63C06">
      <w:pPr>
        <w:spacing w:line="276" w:lineRule="auto"/>
        <w:ind w:firstLine="709"/>
        <w:jc w:val="both"/>
        <w:rPr>
          <w:rFonts w:ascii="Arial" w:hAnsi="Arial" w:cs="Arial"/>
          <w:iCs/>
          <w:color w:val="000000" w:themeColor="text1"/>
          <w:sz w:val="22"/>
          <w:lang w:val="es-ES_tradnl"/>
        </w:rPr>
      </w:pPr>
      <w:r w:rsidRPr="0088472A">
        <w:rPr>
          <w:rFonts w:ascii="Arial" w:hAnsi="Arial" w:cs="Arial"/>
          <w:color w:val="000000" w:themeColor="text1"/>
          <w:sz w:val="22"/>
          <w:szCs w:val="22"/>
          <w:lang w:val="es-ES_tradnl"/>
        </w:rPr>
        <w:br/>
      </w:r>
      <w:r w:rsidR="00F63C06" w:rsidRPr="0088472A">
        <w:rPr>
          <w:rFonts w:ascii="Arial" w:hAnsi="Arial" w:cs="Arial"/>
          <w:iCs/>
          <w:color w:val="000000" w:themeColor="text1"/>
          <w:sz w:val="22"/>
          <w:lang w:val="es-ES_tradnl"/>
        </w:rPr>
        <w:t>E</w:t>
      </w:r>
      <w:r w:rsidR="00F63C06" w:rsidRPr="0088472A">
        <w:rPr>
          <w:rFonts w:ascii="Arial" w:hAnsi="Arial" w:cs="Arial"/>
          <w:color w:val="000000" w:themeColor="text1"/>
          <w:sz w:val="22"/>
          <w:szCs w:val="22"/>
          <w:lang w:val="es-ES_tradnl"/>
        </w:rPr>
        <w:t xml:space="preserve">l artículo 52 de la Ley 2195 de 2022 establece que las entidades estatales deben pactar «las cláusulas excepcionales al derecho común de terminación, interpretación y modificación unilaterales, de sometimiento a las leyes nacionales y de caducidad en […] los contratos relacionados con el programa de alimentación escolar». En otras palabras, el legislador </w:t>
      </w:r>
      <w:r w:rsidR="005979EC" w:rsidRPr="0088472A">
        <w:rPr>
          <w:rFonts w:ascii="Arial" w:hAnsi="Arial" w:cs="Arial"/>
          <w:color w:val="000000" w:themeColor="text1"/>
          <w:sz w:val="22"/>
          <w:szCs w:val="22"/>
          <w:lang w:val="es-ES_tradnl"/>
        </w:rPr>
        <w:t>modificó</w:t>
      </w:r>
      <w:r w:rsidR="00F63C06" w:rsidRPr="0088472A">
        <w:rPr>
          <w:rFonts w:ascii="Arial" w:hAnsi="Arial" w:cs="Arial"/>
          <w:color w:val="000000" w:themeColor="text1"/>
          <w:sz w:val="22"/>
          <w:szCs w:val="22"/>
          <w:lang w:val="es-ES_tradnl"/>
        </w:rPr>
        <w:t xml:space="preserve"> el numeral 2 del artículo 14 de la Ley 80 de 1993, para incluir los contratos que tengan por objeto la ejecución del Programa de Alimentación Escolar (PAE) dentro del listado de contratos que admiten las cláusulas excepcionales al derecho común –también conocidas con el nombre de cláusulas o potestades exorbitantes– mencionadas en el referido numeral, salvo la de reversión, que continúa estando permitida solo para los contratos de concesión. </w:t>
      </w:r>
    </w:p>
    <w:p w14:paraId="2A9D28A1" w14:textId="6A55C56E" w:rsidR="00F63C06" w:rsidRPr="0088472A" w:rsidRDefault="00F63C06" w:rsidP="00F63C06">
      <w:pPr>
        <w:spacing w:before="120" w:line="276" w:lineRule="auto"/>
        <w:ind w:firstLine="709"/>
        <w:jc w:val="both"/>
        <w:rPr>
          <w:rFonts w:ascii="Arial" w:hAnsi="Arial" w:cs="Arial"/>
          <w:color w:val="000000" w:themeColor="text1"/>
          <w:sz w:val="22"/>
          <w:szCs w:val="22"/>
        </w:rPr>
      </w:pPr>
      <w:r w:rsidRPr="0088472A">
        <w:rPr>
          <w:rFonts w:ascii="Arial" w:hAnsi="Arial" w:cs="Arial"/>
          <w:color w:val="000000" w:themeColor="text1"/>
          <w:sz w:val="22"/>
          <w:szCs w:val="22"/>
          <w:lang w:val="es-ES_tradnl"/>
        </w:rPr>
        <w:t xml:space="preserve">Al respecto, conviene precisar </w:t>
      </w:r>
      <w:proofErr w:type="gramStart"/>
      <w:r w:rsidRPr="0088472A">
        <w:rPr>
          <w:rFonts w:ascii="Arial" w:hAnsi="Arial" w:cs="Arial"/>
          <w:color w:val="000000" w:themeColor="text1"/>
          <w:sz w:val="22"/>
          <w:szCs w:val="22"/>
          <w:lang w:val="es-ES_tradnl"/>
        </w:rPr>
        <w:t>que</w:t>
      </w:r>
      <w:proofErr w:type="gramEnd"/>
      <w:r w:rsidRPr="0088472A">
        <w:rPr>
          <w:rFonts w:ascii="Arial" w:hAnsi="Arial" w:cs="Arial"/>
          <w:color w:val="000000" w:themeColor="text1"/>
          <w:sz w:val="22"/>
          <w:szCs w:val="22"/>
          <w:lang w:val="es-ES_tradnl"/>
        </w:rPr>
        <w:t xml:space="preserve"> aunque, en principio, el legislador emplea una expresión imperativa –al decir que las entidades estatales </w:t>
      </w:r>
      <w:r w:rsidRPr="0088472A">
        <w:rPr>
          <w:rFonts w:ascii="Arial" w:hAnsi="Arial" w:cs="Arial"/>
          <w:i/>
          <w:iCs/>
          <w:color w:val="000000" w:themeColor="text1"/>
          <w:sz w:val="22"/>
          <w:szCs w:val="22"/>
          <w:lang w:val="es-ES_tradnl"/>
        </w:rPr>
        <w:t>pactarán</w:t>
      </w:r>
      <w:r w:rsidRPr="0088472A">
        <w:rPr>
          <w:rFonts w:ascii="Arial" w:hAnsi="Arial" w:cs="Arial"/>
          <w:color w:val="000000" w:themeColor="text1"/>
          <w:sz w:val="22"/>
          <w:szCs w:val="22"/>
          <w:lang w:val="es-ES_tradnl"/>
        </w:rPr>
        <w:t xml:space="preserve"> dichas cláusulas en los contratos de alimentación escolar</w:t>
      </w:r>
      <w:r w:rsidRPr="0088472A">
        <w:rPr>
          <w:rFonts w:ascii="Arial" w:hAnsi="Arial" w:cs="Arial"/>
          <w:color w:val="000000" w:themeColor="text1"/>
          <w:sz w:val="22"/>
          <w:szCs w:val="22"/>
          <w:lang w:val="es-ES_tradnl"/>
        </w:rPr>
        <w:softHyphen/>
        <w:t xml:space="preserve">–, de allí </w:t>
      </w:r>
      <w:r w:rsidRPr="0088472A">
        <w:rPr>
          <w:rFonts w:ascii="Arial" w:hAnsi="Arial" w:cs="Arial"/>
          <w:i/>
          <w:iCs/>
          <w:color w:val="000000" w:themeColor="text1"/>
          <w:sz w:val="22"/>
          <w:szCs w:val="22"/>
          <w:lang w:val="es-ES_tradnl"/>
        </w:rPr>
        <w:t>no</w:t>
      </w:r>
      <w:r w:rsidRPr="0088472A">
        <w:rPr>
          <w:rFonts w:ascii="Arial" w:hAnsi="Arial" w:cs="Arial"/>
          <w:color w:val="000000" w:themeColor="text1"/>
          <w:sz w:val="22"/>
          <w:szCs w:val="22"/>
          <w:lang w:val="es-ES_tradnl"/>
        </w:rPr>
        <w:t xml:space="preserve"> se sigue que si falta la estipulación –o sea, la cláusula exorbitante señalada de manera explícita en el contrato– entonces el contrato de alimentación escolar carece de cláusulas excepcionales. Esta inferencia no puede realizarse, ya que el tercer inciso del referido numeral 2 –reiterado por el artículo 52 de la Ley 2195 de 2022– dispone que «</w:t>
      </w:r>
      <w:r w:rsidRPr="0088472A">
        <w:rPr>
          <w:rFonts w:ascii="Arial" w:hAnsi="Arial" w:cs="Arial"/>
          <w:color w:val="000000" w:themeColor="text1"/>
          <w:sz w:val="22"/>
          <w:szCs w:val="22"/>
        </w:rPr>
        <w:t>En los casos previstos en este numeral, las cláusulas excepcionales se entienden pactadas aun cuando no se consignen expresamente». Esto significa que, de acuerdo con el artículo 1501 del Código Civil, las cláusulas excepcionales –salvo la de reversión– son elementos de la naturaleza de los contratos que tengan por objeto prestaciones relacionadas con el Plan de Alimentación Escolar (PAE), pues aunque no se pacten, se entienden incorporadas por ministerio de la Ley.</w:t>
      </w:r>
    </w:p>
    <w:p w14:paraId="6A2C7FED" w14:textId="6FC3DAC9" w:rsidR="00F63C06" w:rsidRPr="0088472A" w:rsidRDefault="00F63C06" w:rsidP="00F63C06">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rPr>
        <w:lastRenderedPageBreak/>
        <w:t xml:space="preserve">Para hacer efectivas las cláusulas excepcionales al derecho común las entidades estatales deberán, por un lado, respetar el debido proceso del contratista y, por otro, garantizar el principio del equilibrio económico del contrato cuando a ello haya lugar. Frente a lo primero, conviene recordar que el artículo 29 de la Constitución establece que «El debido proceso se aplicará a toda clase de actuaciones judiciales y administrativas», y así lo reiteran los artículos 17 de la Ley 1150 de 2007 y 3, numeral 1, de la Ley 1437 de 2011. De este modo, dependiendo de si la cláusula excepcional tiene o no un carácter sancionatorio, la entidad estatal deberá aplicar el procedimiento administrativo </w:t>
      </w:r>
      <w:r w:rsidRPr="0088472A">
        <w:rPr>
          <w:rFonts w:ascii="Arial" w:hAnsi="Arial" w:cs="Arial"/>
          <w:i/>
          <w:iCs/>
          <w:color w:val="000000" w:themeColor="text1"/>
          <w:sz w:val="22"/>
          <w:szCs w:val="22"/>
        </w:rPr>
        <w:t>general o común</w:t>
      </w:r>
      <w:r w:rsidRPr="0088472A">
        <w:rPr>
          <w:rFonts w:ascii="Arial" w:hAnsi="Arial" w:cs="Arial"/>
          <w:color w:val="000000" w:themeColor="text1"/>
          <w:sz w:val="22"/>
          <w:szCs w:val="22"/>
        </w:rPr>
        <w:t xml:space="preserve"> regulado en los artículos 34 al 45 de la Ley 1437 de 2011 –aplicable por remisión del artículo 77 de la Ley 80 de 1993– o el procedimiento administrativo </w:t>
      </w:r>
      <w:r w:rsidRPr="0088472A">
        <w:rPr>
          <w:rFonts w:ascii="Arial" w:hAnsi="Arial" w:cs="Arial"/>
          <w:i/>
          <w:iCs/>
          <w:color w:val="000000" w:themeColor="text1"/>
          <w:sz w:val="22"/>
          <w:szCs w:val="22"/>
        </w:rPr>
        <w:t>sancionatorio</w:t>
      </w:r>
      <w:r w:rsidRPr="0088472A">
        <w:rPr>
          <w:rFonts w:ascii="Arial" w:hAnsi="Arial" w:cs="Arial"/>
          <w:color w:val="000000" w:themeColor="text1"/>
          <w:sz w:val="22"/>
          <w:szCs w:val="22"/>
        </w:rPr>
        <w:t xml:space="preserve"> consagrado en el artículo 86 de la Ley 1437 de 2011. El primero de los procedimientos mencionados, por ejemplo, sería el aplicable a la interpretación unilateral y el segundo, a la declaratoria de caducidad. Por su parte, la garantía del equilibrio económico del contrato es un deber que se encuentra previsto en el numeral 1, inciso 2, del artículo 14 de la Ley 80 de 1993, según el cual «</w:t>
      </w:r>
      <w:r w:rsidRPr="0088472A">
        <w:rPr>
          <w:rFonts w:ascii="Arial" w:hAnsi="Arial" w:cs="Arial"/>
          <w:color w:val="000000" w:themeColor="text1"/>
          <w:sz w:val="22"/>
          <w:szCs w:val="22"/>
          <w:lang w:val="es-ES_tradnl"/>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  Ahora bien, esto deberá ser analizado por cada entidad estatal, según la naturaleza de la cláusula excepcional que pretenda ejercer, pues, por ejemplo, en la caducidad no tiene sentido que el contratista reciba una compensación económica por supuesto desequilibrio financiero, cuando ha sido él quien ha incumplido gravemente el contrato; pero, en cambio, una modificación unilateral sí podría afectar dicha ecuación y hacer al contratista merecedor del restablecimiento subsecuente.</w:t>
      </w:r>
    </w:p>
    <w:p w14:paraId="47AD3400" w14:textId="6324CD7A" w:rsidR="005979EC" w:rsidRPr="0088472A" w:rsidRDefault="005979EC" w:rsidP="00F63C06">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Además, para el ejercicio de estas potestades, las entidades estatales deben analizar que se configuren los supuestos que dan lugar a su utilización, de acuerdo con lo establecido en las disposiciones que regulan cada una de estas atribuciones, teniendo en cuenta que, entre otras cosas, para el ejercicio de la interpretación o modificación unilaterales es indispensable que previamente se intente llegar a un acuerdo con el contratista respecto a la interpretación o modificación del contrato –artículos 15 y 16 de la Ley 80 de 1993–.</w:t>
      </w:r>
    </w:p>
    <w:p w14:paraId="4834A653" w14:textId="77777777" w:rsidR="00F63C06" w:rsidRPr="0088472A" w:rsidRDefault="00F63C06" w:rsidP="00F63C06">
      <w:pPr>
        <w:spacing w:before="120" w:line="276" w:lineRule="auto"/>
        <w:ind w:firstLine="709"/>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 xml:space="preserve">Finalmente, de acuerdo con los artículos 11 y 12 de la Ley 80 de 1993, son los representantes legales de las entidades públicas o sus delegatarios los llamados a adelantar los procedimientos administrativos tendientes a la aplicación de las cláusulas excepcionales en forma adecuada, de manera que no se afecte injustificadamente la ejecución del Programa de Alimentación Escolar. Esto último sucedería, por ejemplo, si la entidad estatal incurre en dilaciones injustificadas en el trámite del procedimiento, conduciendo a un desgaste administrativo que se manifiesta también negativamente en la ejecución del contrato, o cuando aplica una cláusula excepcional sin que se presente el </w:t>
      </w:r>
      <w:r w:rsidRPr="0088472A">
        <w:rPr>
          <w:rFonts w:ascii="Arial" w:hAnsi="Arial" w:cs="Arial"/>
          <w:color w:val="000000" w:themeColor="text1"/>
          <w:sz w:val="22"/>
          <w:szCs w:val="22"/>
          <w:lang w:val="es-ES_tradnl"/>
        </w:rPr>
        <w:lastRenderedPageBreak/>
        <w:t xml:space="preserve">supuesto fáctico y jurídico correspondiente –verbigracia, cuando declara la caducidad sin que haya existido incumplimiento, haciendo que el contrato termine–. En tal sentido, el ejercicio de los poderes exorbitantes incluidos por el legislador en los contratos cuyo objeto está relacionado con la ejecución del PAE debe ser acorde con el ordenamiento jurídico, lo que supone, </w:t>
      </w:r>
      <w:r w:rsidRPr="0088472A">
        <w:rPr>
          <w:rFonts w:ascii="Arial" w:hAnsi="Arial" w:cs="Arial"/>
          <w:i/>
          <w:iCs/>
          <w:color w:val="000000" w:themeColor="text1"/>
          <w:sz w:val="22"/>
          <w:szCs w:val="22"/>
          <w:lang w:val="es-ES_tradnl"/>
        </w:rPr>
        <w:t>entre otros elementos</w:t>
      </w:r>
      <w:r w:rsidRPr="0088472A">
        <w:rPr>
          <w:rFonts w:ascii="Arial" w:hAnsi="Arial" w:cs="Arial"/>
          <w:color w:val="000000" w:themeColor="text1"/>
          <w:sz w:val="22"/>
          <w:szCs w:val="22"/>
          <w:lang w:val="es-ES_tradnl"/>
        </w:rPr>
        <w:t>, garantizar los principios de celeridad, proporcionalidad y legalidad.</w:t>
      </w:r>
    </w:p>
    <w:p w14:paraId="5A3547D5" w14:textId="26DDA854" w:rsidR="003B07F6" w:rsidRPr="0088472A" w:rsidRDefault="003B07F6" w:rsidP="00F63C06">
      <w:pPr>
        <w:spacing w:line="276" w:lineRule="auto"/>
        <w:jc w:val="both"/>
        <w:rPr>
          <w:rFonts w:ascii="Arial" w:hAnsi="Arial" w:cs="Arial"/>
          <w:color w:val="000000" w:themeColor="text1"/>
          <w:sz w:val="22"/>
          <w:szCs w:val="22"/>
          <w:lang w:val="es-ES_tradnl"/>
        </w:rPr>
      </w:pPr>
    </w:p>
    <w:p w14:paraId="0A7BABD1" w14:textId="06071ECD" w:rsidR="000A0DF7" w:rsidRPr="0088472A" w:rsidRDefault="000A0DF7" w:rsidP="00BD6A55">
      <w:pPr>
        <w:spacing w:after="120" w:line="276" w:lineRule="auto"/>
        <w:jc w:val="both"/>
        <w:rPr>
          <w:rFonts w:ascii="Arial" w:hAnsi="Arial" w:cs="Arial"/>
          <w:color w:val="000000" w:themeColor="text1"/>
          <w:sz w:val="22"/>
          <w:szCs w:val="22"/>
          <w:bdr w:val="none" w:sz="0" w:space="0" w:color="auto" w:frame="1"/>
          <w:lang w:val="es-ES_tradnl"/>
        </w:rPr>
      </w:pPr>
      <w:r w:rsidRPr="0088472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88472A"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88472A"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8472A">
        <w:rPr>
          <w:rFonts w:ascii="Arial" w:hAnsi="Arial" w:cs="Arial"/>
          <w:color w:val="000000" w:themeColor="text1"/>
          <w:sz w:val="22"/>
          <w:szCs w:val="22"/>
          <w:lang w:val="es-ES_tradnl"/>
        </w:rPr>
        <w:t>Atentamente,</w:t>
      </w:r>
    </w:p>
    <w:p w14:paraId="63C9E481" w14:textId="77777777" w:rsidR="004A33AD" w:rsidRPr="0088472A"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4F8AE97" w14:textId="77777777" w:rsidR="00A542A7" w:rsidRPr="0088472A" w:rsidRDefault="00A542A7" w:rsidP="00A542A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34E981D" w14:textId="4B86551C" w:rsidR="00A542A7" w:rsidRPr="0088472A" w:rsidRDefault="00573714" w:rsidP="00573714">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7B7BE836" wp14:editId="5B88660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92E98C2" w14:textId="77777777" w:rsidR="00A542A7" w:rsidRPr="0088472A" w:rsidRDefault="00A542A7" w:rsidP="00A542A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66EFB" w:rsidRPr="0088472A" w14:paraId="758CE8A0" w14:textId="77777777" w:rsidTr="008928C2">
        <w:trPr>
          <w:trHeight w:val="315"/>
        </w:trPr>
        <w:tc>
          <w:tcPr>
            <w:tcW w:w="812" w:type="dxa"/>
            <w:vAlign w:val="center"/>
            <w:hideMark/>
          </w:tcPr>
          <w:p w14:paraId="7BA706A4" w14:textId="77777777" w:rsidR="00A542A7" w:rsidRPr="0088472A" w:rsidRDefault="00A542A7"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B6BC4F" w14:textId="77777777" w:rsidR="00A542A7" w:rsidRPr="0088472A" w:rsidRDefault="00A542A7"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Cristian Andrés Díaz Díez</w:t>
            </w:r>
          </w:p>
          <w:p w14:paraId="6A6310EB" w14:textId="77777777" w:rsidR="00A542A7" w:rsidRPr="0088472A" w:rsidRDefault="00A542A7"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Contratista de la Subdirección de Gestión Contractual</w:t>
            </w:r>
          </w:p>
        </w:tc>
      </w:tr>
      <w:tr w:rsidR="00666EFB" w:rsidRPr="0088472A" w14:paraId="172E9935" w14:textId="77777777" w:rsidTr="008928C2">
        <w:trPr>
          <w:trHeight w:val="330"/>
        </w:trPr>
        <w:tc>
          <w:tcPr>
            <w:tcW w:w="812" w:type="dxa"/>
            <w:vAlign w:val="center"/>
            <w:hideMark/>
          </w:tcPr>
          <w:p w14:paraId="39C5397D" w14:textId="77777777" w:rsidR="00A542A7" w:rsidRPr="0088472A" w:rsidRDefault="00A542A7"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3B3185" w14:textId="228F8599" w:rsidR="00A542A7" w:rsidRPr="0088472A" w:rsidRDefault="00A737DD"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Sebastián Ramírez Grisales</w:t>
            </w:r>
          </w:p>
          <w:p w14:paraId="1FE7B59A" w14:textId="043B5D33" w:rsidR="00A542A7" w:rsidRPr="0088472A" w:rsidRDefault="00A737DD"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Contratista</w:t>
            </w:r>
            <w:r w:rsidR="00A542A7" w:rsidRPr="0088472A">
              <w:rPr>
                <w:rFonts w:ascii="Arial" w:hAnsi="Arial" w:cs="Arial"/>
                <w:color w:val="000000" w:themeColor="text1"/>
                <w:sz w:val="16"/>
                <w:szCs w:val="16"/>
                <w:lang w:val="es-ES_tradnl" w:eastAsia="es-ES"/>
              </w:rPr>
              <w:t xml:space="preserve"> de la Subdirección de Gestión Contractual</w:t>
            </w:r>
          </w:p>
        </w:tc>
      </w:tr>
      <w:tr w:rsidR="00A542A7" w:rsidRPr="0088472A" w14:paraId="76747564" w14:textId="77777777" w:rsidTr="008928C2">
        <w:trPr>
          <w:trHeight w:val="300"/>
        </w:trPr>
        <w:tc>
          <w:tcPr>
            <w:tcW w:w="812" w:type="dxa"/>
            <w:vAlign w:val="center"/>
            <w:hideMark/>
          </w:tcPr>
          <w:p w14:paraId="71B84BEF" w14:textId="77777777" w:rsidR="00A542A7" w:rsidRPr="0088472A" w:rsidRDefault="00A542A7"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460D2E" w14:textId="77777777" w:rsidR="00A542A7" w:rsidRPr="0088472A" w:rsidRDefault="00A542A7"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Jorge Augusto Tirado Navarro</w:t>
            </w:r>
          </w:p>
          <w:p w14:paraId="08747335" w14:textId="77777777" w:rsidR="00A542A7" w:rsidRPr="0088472A" w:rsidRDefault="00A542A7" w:rsidP="008928C2">
            <w:pPr>
              <w:jc w:val="both"/>
              <w:rPr>
                <w:rFonts w:ascii="Arial" w:hAnsi="Arial" w:cs="Arial"/>
                <w:color w:val="000000" w:themeColor="text1"/>
                <w:sz w:val="16"/>
                <w:szCs w:val="16"/>
                <w:lang w:val="es-ES_tradnl" w:eastAsia="es-ES"/>
              </w:rPr>
            </w:pPr>
            <w:r w:rsidRPr="0088472A">
              <w:rPr>
                <w:rFonts w:ascii="Arial" w:hAnsi="Arial" w:cs="Arial"/>
                <w:color w:val="000000" w:themeColor="text1"/>
                <w:sz w:val="16"/>
                <w:szCs w:val="16"/>
                <w:lang w:val="es-ES_tradnl" w:eastAsia="es-ES"/>
              </w:rPr>
              <w:t>Subdirector de Gestión Contractual ANCP – CCE</w:t>
            </w:r>
          </w:p>
        </w:tc>
      </w:tr>
    </w:tbl>
    <w:p w14:paraId="6CC885EC" w14:textId="77777777" w:rsidR="00A542A7" w:rsidRPr="0088472A" w:rsidRDefault="00A542A7" w:rsidP="00A542A7">
      <w:pPr>
        <w:rPr>
          <w:rFonts w:ascii="Arial" w:hAnsi="Arial" w:cs="Arial"/>
          <w:color w:val="000000" w:themeColor="text1"/>
          <w:lang w:val="es-ES_tradnl"/>
        </w:rPr>
      </w:pPr>
    </w:p>
    <w:p w14:paraId="60A4FBE6" w14:textId="77777777" w:rsidR="004A33AD" w:rsidRPr="0088472A" w:rsidRDefault="004A33AD" w:rsidP="004A33AD">
      <w:pPr>
        <w:jc w:val="both"/>
        <w:rPr>
          <w:rFonts w:ascii="Arial" w:hAnsi="Arial" w:cs="Arial"/>
          <w:color w:val="000000" w:themeColor="text1"/>
          <w:lang w:val="es-ES_tradnl"/>
        </w:rPr>
      </w:pPr>
    </w:p>
    <w:p w14:paraId="35B56F46" w14:textId="77777777" w:rsidR="00746E08" w:rsidRPr="0088472A" w:rsidRDefault="00746E08" w:rsidP="004A33AD">
      <w:pPr>
        <w:pStyle w:val="NormalWeb"/>
        <w:spacing w:before="0" w:beforeAutospacing="0" w:after="0" w:afterAutospacing="0" w:line="276" w:lineRule="auto"/>
        <w:jc w:val="both"/>
        <w:rPr>
          <w:rFonts w:ascii="Arial" w:hAnsi="Arial" w:cs="Arial"/>
          <w:color w:val="000000" w:themeColor="text1"/>
          <w:lang w:val="es-ES_tradnl"/>
        </w:rPr>
      </w:pPr>
    </w:p>
    <w:sectPr w:rsidR="00746E08" w:rsidRPr="0088472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8183" w14:textId="77777777" w:rsidR="003539D2" w:rsidRDefault="003539D2">
      <w:r>
        <w:separator/>
      </w:r>
    </w:p>
  </w:endnote>
  <w:endnote w:type="continuationSeparator" w:id="0">
    <w:p w14:paraId="290F014B" w14:textId="77777777" w:rsidR="003539D2" w:rsidRDefault="003539D2">
      <w:r>
        <w:continuationSeparator/>
      </w:r>
    </w:p>
  </w:endnote>
  <w:endnote w:type="continuationNotice" w:id="1">
    <w:p w14:paraId="149CEEBB" w14:textId="77777777" w:rsidR="003539D2" w:rsidRDefault="00353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CB50" w14:textId="77777777" w:rsidR="003539D2" w:rsidRDefault="003539D2">
      <w:r>
        <w:separator/>
      </w:r>
    </w:p>
  </w:footnote>
  <w:footnote w:type="continuationSeparator" w:id="0">
    <w:p w14:paraId="7D668EB5" w14:textId="77777777" w:rsidR="003539D2" w:rsidRDefault="003539D2">
      <w:r>
        <w:continuationSeparator/>
      </w:r>
    </w:p>
  </w:footnote>
  <w:footnote w:type="continuationNotice" w:id="1">
    <w:p w14:paraId="0830D26B" w14:textId="77777777" w:rsidR="003539D2" w:rsidRDefault="003539D2"/>
  </w:footnote>
  <w:footnote w:id="2">
    <w:p w14:paraId="24D92CE4"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r w:rsidRPr="0088472A">
        <w:rPr>
          <w:rStyle w:val="Refdenotaalpie"/>
          <w:rFonts w:ascii="Arial" w:hAnsi="Arial" w:cs="Arial"/>
        </w:rPr>
        <w:footnoteRef/>
      </w:r>
      <w:r w:rsidRPr="0088472A">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3A9BF97A"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r w:rsidRPr="0088472A">
        <w:rPr>
          <w:rFonts w:ascii="Arial" w:hAnsi="Arial" w:cs="Arial"/>
          <w:color w:val="000000" w:themeColor="text1"/>
          <w:sz w:val="19"/>
          <w:szCs w:val="19"/>
        </w:rPr>
        <w:t>»Las personas jurídicas nacionales y extranjeras deberán acreditar que su duración no será inferior a la del plazo del contrato y un año más».</w:t>
      </w:r>
    </w:p>
    <w:p w14:paraId="0CBE7E36"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p>
  </w:footnote>
  <w:footnote w:id="3">
    <w:p w14:paraId="02FC9CA3"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r w:rsidRPr="0088472A">
        <w:rPr>
          <w:rStyle w:val="Refdenotaalpie"/>
          <w:rFonts w:ascii="Arial" w:hAnsi="Arial" w:cs="Arial"/>
        </w:rPr>
        <w:footnoteRef/>
      </w:r>
      <w:r w:rsidRPr="0088472A">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3011C37A"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r w:rsidRPr="0088472A">
        <w:rPr>
          <w:rFonts w:ascii="Arial" w:hAnsi="Arial" w:cs="Arial"/>
          <w:color w:val="000000" w:themeColor="text1"/>
          <w:sz w:val="19"/>
          <w:szCs w:val="19"/>
        </w:rPr>
        <w:t>»1o.) que sea legalmente capaz.</w:t>
      </w:r>
    </w:p>
    <w:p w14:paraId="3484E3E2"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r w:rsidRPr="0088472A">
        <w:rPr>
          <w:rFonts w:ascii="Arial" w:hAnsi="Arial" w:cs="Arial"/>
          <w:color w:val="000000" w:themeColor="text1"/>
          <w:sz w:val="19"/>
          <w:szCs w:val="19"/>
        </w:rPr>
        <w:t>[…]</w:t>
      </w:r>
    </w:p>
    <w:p w14:paraId="6927274C"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r w:rsidRPr="0088472A">
        <w:rPr>
          <w:rFonts w:ascii="Arial" w:hAnsi="Arial" w:cs="Arial"/>
          <w:color w:val="000000" w:themeColor="text1"/>
          <w:sz w:val="19"/>
          <w:szCs w:val="19"/>
        </w:rPr>
        <w:t>»La capacidad legal de una persona consiste en poderse obligar por sí misma, sin el ministerio o la autorización de otra».</w:t>
      </w:r>
    </w:p>
    <w:p w14:paraId="1E1B726B"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p>
  </w:footnote>
  <w:footnote w:id="4">
    <w:p w14:paraId="1E012440"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Los incisos 1 y 2 de dicho artículo disponen: </w:t>
      </w:r>
      <w:r w:rsidRPr="0088472A">
        <w:rPr>
          <w:rFonts w:ascii="Arial" w:hAnsi="Arial" w:cs="Arial"/>
          <w:color w:val="000000" w:themeColor="text1"/>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CD879A0"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7BEC8D1"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p>
  </w:footnote>
  <w:footnote w:id="5">
    <w:p w14:paraId="3D2ABDA9" w14:textId="7C59C9A8"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88472A">
        <w:rPr>
          <w:rFonts w:ascii="Arial" w:hAnsi="Arial" w:cs="Arial"/>
          <w:i/>
          <w:iCs/>
          <w:color w:val="000000" w:themeColor="text1"/>
          <w:sz w:val="19"/>
          <w:szCs w:val="19"/>
          <w:lang w:val="es-ES"/>
        </w:rPr>
        <w:t>el régimen de inhabilidades e incompatibilidades</w:t>
      </w:r>
      <w:r w:rsidRPr="0088472A">
        <w:rPr>
          <w:rFonts w:ascii="Arial" w:hAnsi="Arial" w:cs="Arial"/>
          <w:color w:val="000000" w:themeColor="text1"/>
          <w:sz w:val="19"/>
          <w:szCs w:val="19"/>
          <w:lang w:val="es-ES"/>
        </w:rPr>
        <w:t xml:space="preserve"> (1) y la obligación de ciertos proponentes de inscribirse en el </w:t>
      </w:r>
      <w:r w:rsidRPr="0088472A">
        <w:rPr>
          <w:rFonts w:ascii="Arial" w:hAnsi="Arial" w:cs="Arial"/>
          <w:i/>
          <w:iCs/>
          <w:color w:val="000000" w:themeColor="text1"/>
          <w:sz w:val="19"/>
          <w:szCs w:val="19"/>
          <w:lang w:val="es-ES"/>
        </w:rPr>
        <w:t>registro único</w:t>
      </w:r>
      <w:r w:rsidRPr="0088472A">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w:t>
      </w:r>
    </w:p>
    <w:p w14:paraId="2BBADE07"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p>
  </w:footnote>
  <w:footnote w:id="6">
    <w:p w14:paraId="3AE48005" w14:textId="77777777" w:rsidR="005311C4" w:rsidRPr="0088472A" w:rsidRDefault="005311C4" w:rsidP="00222F3F">
      <w:pPr>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r w:rsidRPr="0088472A">
        <w:rPr>
          <w:rFonts w:ascii="Arial" w:hAnsi="Arial" w:cs="Arial"/>
          <w:color w:val="000000" w:themeColor="text1"/>
          <w:sz w:val="19"/>
          <w:szCs w:val="19"/>
          <w:lang w:val="es-ES"/>
        </w:rPr>
        <w:t>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6B10129C" w14:textId="77777777" w:rsidR="005311C4" w:rsidRPr="0088472A" w:rsidRDefault="005311C4" w:rsidP="00222F3F">
      <w:pPr>
        <w:ind w:firstLine="709"/>
        <w:jc w:val="both"/>
        <w:outlineLvl w:val="0"/>
        <w:rPr>
          <w:rFonts w:ascii="Arial" w:hAnsi="Arial" w:cs="Arial"/>
          <w:color w:val="000000" w:themeColor="text1"/>
          <w:sz w:val="19"/>
          <w:szCs w:val="19"/>
          <w:lang w:val="es-ES"/>
        </w:rPr>
      </w:pPr>
    </w:p>
  </w:footnote>
  <w:footnote w:id="7">
    <w:p w14:paraId="62A6DFDC"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r w:rsidRPr="0088472A">
        <w:rPr>
          <w:rFonts w:ascii="Arial" w:hAnsi="Arial" w:cs="Arial"/>
          <w:color w:val="000000" w:themeColor="text1"/>
          <w:sz w:val="19"/>
          <w:szCs w:val="19"/>
          <w:lang w:val="es-ES"/>
        </w:rPr>
        <w:t>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36E6D80F"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p>
  </w:footnote>
  <w:footnote w:id="8">
    <w:p w14:paraId="50FB88D2" w14:textId="1B9A3323"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r w:rsidRPr="0088472A">
        <w:rPr>
          <w:rFonts w:ascii="Arial" w:hAnsi="Arial" w:cs="Arial"/>
          <w:color w:val="000000" w:themeColor="text1"/>
          <w:sz w:val="19"/>
          <w:szCs w:val="19"/>
          <w:lang w:val="es-ES"/>
        </w:rPr>
        <w:t>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w:t>
      </w:r>
    </w:p>
    <w:p w14:paraId="5CBCC42B" w14:textId="05A877FF" w:rsidR="005311C4" w:rsidRPr="0088472A" w:rsidRDefault="005311C4" w:rsidP="00222F3F">
      <w:pPr>
        <w:pStyle w:val="Textonotapie"/>
        <w:ind w:firstLine="709"/>
        <w:jc w:val="both"/>
        <w:outlineLvl w:val="0"/>
        <w:rPr>
          <w:rFonts w:ascii="Arial" w:hAnsi="Arial" w:cs="Arial"/>
          <w:color w:val="000000" w:themeColor="text1"/>
          <w:sz w:val="19"/>
          <w:szCs w:val="19"/>
        </w:rPr>
      </w:pPr>
    </w:p>
  </w:footnote>
  <w:footnote w:id="9">
    <w:p w14:paraId="50BE8454" w14:textId="2B10208B" w:rsidR="005311C4" w:rsidRPr="0088472A" w:rsidRDefault="005311C4" w:rsidP="00222F3F">
      <w:pPr>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 xml:space="preserve">Como las señaladas a continuación: «Los servidores públicos» (art. 8, </w:t>
      </w:r>
      <w:r w:rsidRPr="0088472A">
        <w:rPr>
          <w:rFonts w:ascii="Arial" w:hAnsi="Arial" w:cs="Arial"/>
          <w:color w:val="000000" w:themeColor="text1"/>
          <w:sz w:val="19"/>
          <w:szCs w:val="19"/>
          <w:lang w:val="es-ES"/>
        </w:rPr>
        <w:t>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w:t>
      </w:r>
    </w:p>
    <w:p w14:paraId="37E77B22" w14:textId="77777777" w:rsidR="005311C4" w:rsidRPr="0088472A" w:rsidRDefault="005311C4" w:rsidP="00222F3F">
      <w:pPr>
        <w:ind w:firstLine="709"/>
        <w:jc w:val="both"/>
        <w:outlineLvl w:val="0"/>
        <w:rPr>
          <w:rFonts w:ascii="Arial" w:hAnsi="Arial" w:cs="Arial"/>
          <w:color w:val="000000" w:themeColor="text1"/>
          <w:sz w:val="19"/>
          <w:szCs w:val="19"/>
          <w:lang w:val="es-ES"/>
        </w:rPr>
      </w:pPr>
    </w:p>
  </w:footnote>
  <w:footnote w:id="10">
    <w:p w14:paraId="466BA16A"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 xml:space="preserve">BARRETO ROZO, Antonio Alejandro. Inhabilidades de la contratación estatal, efectos y </w:t>
      </w:r>
      <w:r w:rsidRPr="0088472A">
        <w:rPr>
          <w:rFonts w:ascii="Arial" w:hAnsi="Arial" w:cs="Arial"/>
          <w:color w:val="000000" w:themeColor="text1"/>
          <w:sz w:val="19"/>
          <w:szCs w:val="19"/>
          <w:lang w:val="es-ES"/>
        </w:rPr>
        <w:t>neopunitivismo en el Estatuto Anticorrupción. En: ALVIAR GARCÍA, Helena (Coordinadora). Nuevas tendencias del Derecho administrativo. Bogotá: Universidad de los Andes; Temis, 2016. pp. 63-99.</w:t>
      </w:r>
    </w:p>
    <w:p w14:paraId="2A1C4616"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p>
  </w:footnote>
  <w:footnote w:id="11">
    <w:p w14:paraId="19B98705"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Ibíd., p. 69.</w:t>
      </w:r>
    </w:p>
    <w:p w14:paraId="7D7D9A29"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p>
  </w:footnote>
  <w:footnote w:id="12">
    <w:p w14:paraId="569024CF" w14:textId="24BD4319"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72E0F43C"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p>
  </w:footnote>
  <w:footnote w:id="13">
    <w:p w14:paraId="3B06963C"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r w:rsidRPr="0088472A">
        <w:rPr>
          <w:rStyle w:val="Refdenotaalpie"/>
          <w:rFonts w:ascii="Arial" w:hAnsi="Arial" w:cs="Arial"/>
        </w:rPr>
        <w:footnoteRef/>
      </w:r>
      <w:r w:rsidRPr="0088472A">
        <w:rPr>
          <w:rFonts w:ascii="Arial" w:hAnsi="Arial" w:cs="Arial"/>
          <w:color w:val="000000" w:themeColor="text1"/>
          <w:sz w:val="19"/>
          <w:szCs w:val="19"/>
        </w:rPr>
        <w:t xml:space="preserve"> </w:t>
      </w:r>
      <w:r w:rsidRPr="0088472A">
        <w:rPr>
          <w:rFonts w:ascii="Arial" w:hAnsi="Arial" w:cs="Arial"/>
          <w:color w:val="000000" w:themeColor="text1"/>
          <w:sz w:val="19"/>
          <w:szCs w:val="19"/>
          <w:lang w:val="es-ES"/>
        </w:rPr>
        <w:t xml:space="preserve">Consejo de Estado. Sala de Consulta y Servicio Civil. Concepto del 30 de abril de 2015. Expediente: 2.251. Consejero Ponente: Álvaro </w:t>
      </w:r>
      <w:r w:rsidRPr="0088472A">
        <w:rPr>
          <w:rFonts w:ascii="Arial" w:hAnsi="Arial" w:cs="Arial"/>
          <w:color w:val="000000" w:themeColor="text1"/>
          <w:sz w:val="19"/>
          <w:szCs w:val="19"/>
          <w:lang w:val="es-ES"/>
        </w:rPr>
        <w:t>Namén Vargas.</w:t>
      </w:r>
    </w:p>
    <w:p w14:paraId="06BE6021"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p>
  </w:footnote>
  <w:footnote w:id="14">
    <w:p w14:paraId="507A8DC8"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r w:rsidRPr="0088472A">
        <w:rPr>
          <w:rStyle w:val="Refdenotaalpie"/>
          <w:rFonts w:ascii="Arial" w:hAnsi="Arial" w:cs="Arial"/>
        </w:rPr>
        <w:footnoteRef/>
      </w:r>
      <w:r w:rsidRPr="0088472A">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089E098D"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p>
  </w:footnote>
  <w:footnote w:id="15">
    <w:p w14:paraId="31E11C2C" w14:textId="77777777" w:rsidR="005311C4" w:rsidRPr="0088472A" w:rsidRDefault="005311C4" w:rsidP="00222F3F">
      <w:pPr>
        <w:pStyle w:val="Textonotapie"/>
        <w:ind w:firstLine="709"/>
        <w:jc w:val="both"/>
        <w:outlineLvl w:val="0"/>
        <w:rPr>
          <w:rFonts w:ascii="Arial" w:hAnsi="Arial" w:cs="Arial"/>
          <w:color w:val="000000" w:themeColor="text1"/>
          <w:sz w:val="19"/>
          <w:szCs w:val="19"/>
        </w:rPr>
      </w:pPr>
      <w:r w:rsidRPr="0088472A">
        <w:rPr>
          <w:rStyle w:val="Refdenotaalpie"/>
          <w:rFonts w:ascii="Arial" w:hAnsi="Arial" w:cs="Arial"/>
        </w:rPr>
        <w:footnoteRef/>
      </w:r>
      <w:r w:rsidRPr="0088472A">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2402956F" w14:textId="77777777" w:rsidR="005311C4" w:rsidRPr="0088472A" w:rsidRDefault="005311C4" w:rsidP="00222F3F">
      <w:pPr>
        <w:pStyle w:val="Textonotapie"/>
        <w:ind w:firstLine="709"/>
        <w:jc w:val="both"/>
        <w:outlineLvl w:val="0"/>
        <w:rPr>
          <w:rFonts w:ascii="Arial" w:hAnsi="Arial" w:cs="Arial"/>
          <w:color w:val="000000" w:themeColor="text1"/>
          <w:sz w:val="19"/>
          <w:szCs w:val="19"/>
          <w:lang w:val="es-ES"/>
        </w:rPr>
      </w:pPr>
    </w:p>
  </w:footnote>
  <w:footnote w:id="16">
    <w:p w14:paraId="02FBE0B1" w14:textId="0BC3DE51" w:rsidR="009B2925" w:rsidRPr="0088472A" w:rsidRDefault="009B2925" w:rsidP="00222F3F">
      <w:pPr>
        <w:pStyle w:val="Textonotapie"/>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AGENCIA NACIONAL DE CONTRATACIÓN PÚBLICA, Concepto de 11 de diciembre de 2019. Radicado de entrada No. 4201912000007060, Radicado de salida No. 2201913000009165.</w:t>
      </w:r>
    </w:p>
    <w:p w14:paraId="13E79236" w14:textId="77777777" w:rsidR="009B2925" w:rsidRPr="0088472A" w:rsidRDefault="009B2925" w:rsidP="00222F3F">
      <w:pPr>
        <w:pStyle w:val="Textonotapie"/>
        <w:ind w:firstLine="709"/>
        <w:jc w:val="both"/>
        <w:outlineLvl w:val="0"/>
        <w:rPr>
          <w:rFonts w:ascii="Arial" w:hAnsi="Arial" w:cs="Arial"/>
          <w:sz w:val="19"/>
          <w:szCs w:val="19"/>
          <w:lang w:val="es-CO"/>
        </w:rPr>
      </w:pPr>
    </w:p>
  </w:footnote>
  <w:footnote w:id="17">
    <w:p w14:paraId="35E0E608" w14:textId="32CC3817" w:rsidR="009B2925" w:rsidRPr="0088472A" w:rsidRDefault="009B2925" w:rsidP="00222F3F">
      <w:pPr>
        <w:pStyle w:val="Textonotapie"/>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Ley 153 de 1887 «Artículo 2. La ley posterior prevalece sobre la ley anterior. En caso de que una ley posterior sea contraria a otra anterior, y ambas preexistentes al hecho que se juzga, se aplicará la ley posterior».</w:t>
      </w:r>
    </w:p>
    <w:p w14:paraId="5F90888B" w14:textId="77777777" w:rsidR="00444E29" w:rsidRPr="0088472A" w:rsidRDefault="00444E29" w:rsidP="00222F3F">
      <w:pPr>
        <w:pStyle w:val="Textonotapie"/>
        <w:ind w:firstLine="709"/>
        <w:jc w:val="both"/>
        <w:outlineLvl w:val="0"/>
        <w:rPr>
          <w:rFonts w:ascii="Arial" w:hAnsi="Arial" w:cs="Arial"/>
          <w:sz w:val="19"/>
          <w:szCs w:val="19"/>
          <w:lang w:val="es-CO"/>
        </w:rPr>
      </w:pPr>
    </w:p>
  </w:footnote>
  <w:footnote w:id="18">
    <w:p w14:paraId="0FE5852B" w14:textId="77777777" w:rsidR="009B2925" w:rsidRPr="0088472A" w:rsidRDefault="009B2925" w:rsidP="00222F3F">
      <w:pPr>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Constitución Política de Colombia «Artículo 29. El debido proceso se aplicará a toda clase de actuaciones judiciales y administrativas.</w:t>
      </w:r>
    </w:p>
    <w:p w14:paraId="7332884D"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w:t>
      </w:r>
    </w:p>
    <w:p w14:paraId="74A3EF53"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»Nadie podrá ser juzgado sino conforme a leyes preexistentes al acto que se le imputa, ante juez o tribunal competente y con observancia de la plenitud de las formas propias de cada juicio».</w:t>
      </w:r>
    </w:p>
    <w:p w14:paraId="50213F02"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»En materia penal, la ley permisiva o favorable, aun cuando sea posterior, se aplicará de preferencia a la restrictiva o desfavorable.</w:t>
      </w:r>
    </w:p>
    <w:p w14:paraId="267B134F" w14:textId="743480CC" w:rsidR="009B2925" w:rsidRPr="0088472A" w:rsidRDefault="009B2925" w:rsidP="00222F3F">
      <w:pPr>
        <w:pStyle w:val="Textoindependiente"/>
        <w:spacing w:after="0" w:line="240" w:lineRule="auto"/>
        <w:ind w:firstLine="709"/>
        <w:jc w:val="both"/>
        <w:outlineLvl w:val="0"/>
        <w:rPr>
          <w:rFonts w:ascii="Arial" w:hAnsi="Arial" w:cs="Arial"/>
          <w:sz w:val="19"/>
          <w:szCs w:val="19"/>
        </w:rPr>
      </w:pPr>
      <w:r w:rsidRPr="0088472A">
        <w:rPr>
          <w:rFonts w:ascii="Arial" w:hAnsi="Arial" w:cs="Arial"/>
          <w:sz w:val="19"/>
          <w:szCs w:val="19"/>
        </w:rPr>
        <w:t>[…]</w:t>
      </w:r>
    </w:p>
    <w:p w14:paraId="5AA08089"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5A6FE282" w14:textId="77777777" w:rsidR="009B2925" w:rsidRPr="0088472A" w:rsidRDefault="009B2925" w:rsidP="00222F3F">
      <w:pPr>
        <w:ind w:firstLine="709"/>
        <w:jc w:val="both"/>
        <w:outlineLvl w:val="0"/>
        <w:rPr>
          <w:rFonts w:ascii="Arial" w:hAnsi="Arial" w:cs="Arial"/>
          <w:sz w:val="19"/>
          <w:szCs w:val="19"/>
        </w:rPr>
      </w:pPr>
    </w:p>
  </w:footnote>
  <w:footnote w:id="19">
    <w:p w14:paraId="11516DCC" w14:textId="77777777" w:rsidR="009B2925" w:rsidRPr="0088472A" w:rsidRDefault="009B2925" w:rsidP="00222F3F">
      <w:pPr>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CORTE CONSTITUCIONAL, Sentencia C -619 de 2001, M.P. Marco Gerardo Monroy Cabra: «La noción de derecho adquirido se contrapone a la de mera expectativa. Por derecho adquirido ha entendido la doctrina y la jurisprudencia aquel derecho que ha entrado al patrimonio de una persona natural o jurídica y que hace parte de</w:t>
      </w:r>
      <w:r w:rsidRPr="0088472A">
        <w:rPr>
          <w:rFonts w:ascii="Arial" w:hAnsi="Arial" w:cs="Arial"/>
          <w:spacing w:val="-4"/>
          <w:sz w:val="19"/>
          <w:szCs w:val="19"/>
        </w:rPr>
        <w:t xml:space="preserve"> </w:t>
      </w:r>
      <w:r w:rsidRPr="0088472A">
        <w:rPr>
          <w:rFonts w:ascii="Arial" w:hAnsi="Arial" w:cs="Arial"/>
          <w:sz w:val="19"/>
          <w:szCs w:val="19"/>
        </w:rPr>
        <w:t>él,</w:t>
      </w:r>
      <w:r w:rsidRPr="0088472A">
        <w:rPr>
          <w:rFonts w:ascii="Arial" w:hAnsi="Arial" w:cs="Arial"/>
          <w:spacing w:val="-3"/>
          <w:sz w:val="19"/>
          <w:szCs w:val="19"/>
        </w:rPr>
        <w:t xml:space="preserve"> </w:t>
      </w:r>
      <w:r w:rsidRPr="0088472A">
        <w:rPr>
          <w:rFonts w:ascii="Arial" w:hAnsi="Arial" w:cs="Arial"/>
          <w:sz w:val="19"/>
          <w:szCs w:val="19"/>
        </w:rPr>
        <w:t>y</w:t>
      </w:r>
      <w:r w:rsidRPr="0088472A">
        <w:rPr>
          <w:rFonts w:ascii="Arial" w:hAnsi="Arial" w:cs="Arial"/>
          <w:spacing w:val="-6"/>
          <w:sz w:val="19"/>
          <w:szCs w:val="19"/>
        </w:rPr>
        <w:t xml:space="preserve"> </w:t>
      </w:r>
      <w:r w:rsidRPr="0088472A">
        <w:rPr>
          <w:rFonts w:ascii="Arial" w:hAnsi="Arial" w:cs="Arial"/>
          <w:sz w:val="19"/>
          <w:szCs w:val="19"/>
        </w:rPr>
        <w:t>que</w:t>
      </w:r>
      <w:r w:rsidRPr="0088472A">
        <w:rPr>
          <w:rFonts w:ascii="Arial" w:hAnsi="Arial" w:cs="Arial"/>
          <w:spacing w:val="-3"/>
          <w:sz w:val="19"/>
          <w:szCs w:val="19"/>
        </w:rPr>
        <w:t xml:space="preserve"> </w:t>
      </w:r>
      <w:r w:rsidRPr="0088472A">
        <w:rPr>
          <w:rFonts w:ascii="Arial" w:hAnsi="Arial" w:cs="Arial"/>
          <w:sz w:val="19"/>
          <w:szCs w:val="19"/>
        </w:rPr>
        <w:t>por</w:t>
      </w:r>
      <w:r w:rsidRPr="0088472A">
        <w:rPr>
          <w:rFonts w:ascii="Arial" w:hAnsi="Arial" w:cs="Arial"/>
          <w:spacing w:val="-3"/>
          <w:sz w:val="19"/>
          <w:szCs w:val="19"/>
        </w:rPr>
        <w:t xml:space="preserve"> </w:t>
      </w:r>
      <w:r w:rsidRPr="0088472A">
        <w:rPr>
          <w:rFonts w:ascii="Arial" w:hAnsi="Arial" w:cs="Arial"/>
          <w:sz w:val="19"/>
          <w:szCs w:val="19"/>
        </w:rPr>
        <w:t>lo</w:t>
      </w:r>
      <w:r w:rsidRPr="0088472A">
        <w:rPr>
          <w:rFonts w:ascii="Arial" w:hAnsi="Arial" w:cs="Arial"/>
          <w:spacing w:val="-1"/>
          <w:sz w:val="19"/>
          <w:szCs w:val="19"/>
        </w:rPr>
        <w:t xml:space="preserve"> </w:t>
      </w:r>
      <w:r w:rsidRPr="0088472A">
        <w:rPr>
          <w:rFonts w:ascii="Arial" w:hAnsi="Arial" w:cs="Arial"/>
          <w:sz w:val="19"/>
          <w:szCs w:val="19"/>
        </w:rPr>
        <w:t>mismo,</w:t>
      </w:r>
      <w:r w:rsidRPr="0088472A">
        <w:rPr>
          <w:rFonts w:ascii="Arial" w:hAnsi="Arial" w:cs="Arial"/>
          <w:spacing w:val="-3"/>
          <w:sz w:val="19"/>
          <w:szCs w:val="19"/>
        </w:rPr>
        <w:t xml:space="preserve"> </w:t>
      </w:r>
      <w:r w:rsidRPr="0088472A">
        <w:rPr>
          <w:rFonts w:ascii="Arial" w:hAnsi="Arial" w:cs="Arial"/>
          <w:sz w:val="19"/>
          <w:szCs w:val="19"/>
        </w:rPr>
        <w:t>no</w:t>
      </w:r>
      <w:r w:rsidRPr="0088472A">
        <w:rPr>
          <w:rFonts w:ascii="Arial" w:hAnsi="Arial" w:cs="Arial"/>
          <w:spacing w:val="-1"/>
          <w:sz w:val="19"/>
          <w:szCs w:val="19"/>
        </w:rPr>
        <w:t xml:space="preserve"> </w:t>
      </w:r>
      <w:r w:rsidRPr="0088472A">
        <w:rPr>
          <w:rFonts w:ascii="Arial" w:hAnsi="Arial" w:cs="Arial"/>
          <w:sz w:val="19"/>
          <w:szCs w:val="19"/>
        </w:rPr>
        <w:t>puede</w:t>
      </w:r>
      <w:r w:rsidRPr="0088472A">
        <w:rPr>
          <w:rFonts w:ascii="Arial" w:hAnsi="Arial" w:cs="Arial"/>
          <w:spacing w:val="-3"/>
          <w:sz w:val="19"/>
          <w:szCs w:val="19"/>
        </w:rPr>
        <w:t xml:space="preserve"> </w:t>
      </w:r>
      <w:r w:rsidRPr="0088472A">
        <w:rPr>
          <w:rFonts w:ascii="Arial" w:hAnsi="Arial" w:cs="Arial"/>
          <w:sz w:val="19"/>
          <w:szCs w:val="19"/>
        </w:rPr>
        <w:t>ser</w:t>
      </w:r>
      <w:r w:rsidRPr="0088472A">
        <w:rPr>
          <w:rFonts w:ascii="Arial" w:hAnsi="Arial" w:cs="Arial"/>
          <w:spacing w:val="-4"/>
          <w:sz w:val="19"/>
          <w:szCs w:val="19"/>
        </w:rPr>
        <w:t xml:space="preserve"> </w:t>
      </w:r>
      <w:r w:rsidRPr="0088472A">
        <w:rPr>
          <w:rFonts w:ascii="Arial" w:hAnsi="Arial" w:cs="Arial"/>
          <w:sz w:val="19"/>
          <w:szCs w:val="19"/>
        </w:rPr>
        <w:t>arrebatado</w:t>
      </w:r>
      <w:r w:rsidRPr="0088472A">
        <w:rPr>
          <w:rFonts w:ascii="Arial" w:hAnsi="Arial" w:cs="Arial"/>
          <w:spacing w:val="-3"/>
          <w:sz w:val="19"/>
          <w:szCs w:val="19"/>
        </w:rPr>
        <w:t xml:space="preserve"> </w:t>
      </w:r>
      <w:r w:rsidRPr="0088472A">
        <w:rPr>
          <w:rFonts w:ascii="Arial" w:hAnsi="Arial" w:cs="Arial"/>
          <w:sz w:val="19"/>
          <w:szCs w:val="19"/>
        </w:rPr>
        <w:t>o</w:t>
      </w:r>
      <w:r w:rsidRPr="0088472A">
        <w:rPr>
          <w:rFonts w:ascii="Arial" w:hAnsi="Arial" w:cs="Arial"/>
          <w:spacing w:val="-3"/>
          <w:sz w:val="19"/>
          <w:szCs w:val="19"/>
        </w:rPr>
        <w:t xml:space="preserve"> </w:t>
      </w:r>
      <w:r w:rsidRPr="0088472A">
        <w:rPr>
          <w:rFonts w:ascii="Arial" w:hAnsi="Arial" w:cs="Arial"/>
          <w:sz w:val="19"/>
          <w:szCs w:val="19"/>
        </w:rPr>
        <w:t>vulnerado</w:t>
      </w:r>
      <w:r w:rsidRPr="0088472A">
        <w:rPr>
          <w:rFonts w:ascii="Arial" w:hAnsi="Arial" w:cs="Arial"/>
          <w:spacing w:val="-4"/>
          <w:sz w:val="19"/>
          <w:szCs w:val="19"/>
        </w:rPr>
        <w:t xml:space="preserve"> </w:t>
      </w:r>
      <w:r w:rsidRPr="0088472A">
        <w:rPr>
          <w:rFonts w:ascii="Arial" w:hAnsi="Arial" w:cs="Arial"/>
          <w:sz w:val="19"/>
          <w:szCs w:val="19"/>
        </w:rPr>
        <w:t>por</w:t>
      </w:r>
      <w:r w:rsidRPr="0088472A">
        <w:rPr>
          <w:rFonts w:ascii="Arial" w:hAnsi="Arial" w:cs="Arial"/>
          <w:spacing w:val="-3"/>
          <w:sz w:val="19"/>
          <w:szCs w:val="19"/>
        </w:rPr>
        <w:t xml:space="preserve"> </w:t>
      </w:r>
      <w:r w:rsidRPr="0088472A">
        <w:rPr>
          <w:rFonts w:ascii="Arial" w:hAnsi="Arial" w:cs="Arial"/>
          <w:sz w:val="19"/>
          <w:szCs w:val="19"/>
        </w:rPr>
        <w:t>quien</w:t>
      </w:r>
      <w:r w:rsidRPr="0088472A">
        <w:rPr>
          <w:rFonts w:ascii="Arial" w:hAnsi="Arial" w:cs="Arial"/>
          <w:spacing w:val="-3"/>
          <w:sz w:val="19"/>
          <w:szCs w:val="19"/>
        </w:rPr>
        <w:t xml:space="preserve"> </w:t>
      </w:r>
      <w:r w:rsidRPr="0088472A">
        <w:rPr>
          <w:rFonts w:ascii="Arial" w:hAnsi="Arial" w:cs="Arial"/>
          <w:sz w:val="19"/>
          <w:szCs w:val="19"/>
        </w:rPr>
        <w:t>lo</w:t>
      </w:r>
      <w:r w:rsidRPr="0088472A">
        <w:rPr>
          <w:rFonts w:ascii="Arial" w:hAnsi="Arial" w:cs="Arial"/>
          <w:spacing w:val="-4"/>
          <w:sz w:val="19"/>
          <w:szCs w:val="19"/>
        </w:rPr>
        <w:t xml:space="preserve"> </w:t>
      </w:r>
      <w:r w:rsidRPr="0088472A">
        <w:rPr>
          <w:rFonts w:ascii="Arial" w:hAnsi="Arial" w:cs="Arial"/>
          <w:sz w:val="19"/>
          <w:szCs w:val="19"/>
        </w:rPr>
        <w:t>creó</w:t>
      </w:r>
      <w:r w:rsidRPr="0088472A">
        <w:rPr>
          <w:rFonts w:ascii="Arial" w:hAnsi="Arial" w:cs="Arial"/>
          <w:spacing w:val="-3"/>
          <w:sz w:val="19"/>
          <w:szCs w:val="19"/>
        </w:rPr>
        <w:t xml:space="preserve"> </w:t>
      </w:r>
      <w:r w:rsidRPr="0088472A">
        <w:rPr>
          <w:rFonts w:ascii="Arial" w:hAnsi="Arial" w:cs="Arial"/>
          <w:sz w:val="19"/>
          <w:szCs w:val="19"/>
        </w:rPr>
        <w:t>o</w:t>
      </w:r>
      <w:r w:rsidRPr="0088472A">
        <w:rPr>
          <w:rFonts w:ascii="Arial" w:hAnsi="Arial" w:cs="Arial"/>
          <w:spacing w:val="-4"/>
          <w:sz w:val="19"/>
          <w:szCs w:val="19"/>
        </w:rPr>
        <w:t xml:space="preserve"> </w:t>
      </w:r>
      <w:r w:rsidRPr="0088472A">
        <w:rPr>
          <w:rFonts w:ascii="Arial" w:hAnsi="Arial" w:cs="Arial"/>
          <w:sz w:val="19"/>
          <w:szCs w:val="19"/>
        </w:rPr>
        <w:t>reconoció legítimamente.</w:t>
      </w:r>
    </w:p>
    <w:p w14:paraId="7BEDD30B"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»Lo anterior conduce a afirmar que el derecho adquirido es la ventaja o el beneficio cuya conservación o integridad, está garantizada, en favor del titular del derecho, por una acción o por una excepción.</w:t>
      </w:r>
    </w:p>
    <w:p w14:paraId="6DC64614"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»Ajusta mejor con la técnica denominar 'situación jurídica concreta o subjetiva', al derecho adquirido o constituido de que trata la Constitución en sus artículos 30 y 202; y 'situación jurídica abstracta u objetiva', a la mera expectativa de derecho. Se está en presencia de la primera cuando el texto legal que la crea ha jugado ya, jurídicamente, su papel en favor o en contra de una persona en el momento en que ha entrado a regir una ley nueva. A la inversa, se está frente a la segunda, cuando el texto legal que ha creado esa situación aún no ha jugado su papel jurídico en favor o en contra de una persona».</w:t>
      </w:r>
    </w:p>
    <w:p w14:paraId="6A7B5B7C" w14:textId="77777777" w:rsidR="009B2925" w:rsidRPr="0088472A" w:rsidRDefault="009B2925" w:rsidP="00222F3F">
      <w:pPr>
        <w:pStyle w:val="Textonotapie"/>
        <w:ind w:firstLine="709"/>
        <w:jc w:val="both"/>
        <w:outlineLvl w:val="0"/>
        <w:rPr>
          <w:rFonts w:ascii="Arial" w:hAnsi="Arial" w:cs="Arial"/>
          <w:sz w:val="19"/>
          <w:szCs w:val="19"/>
          <w:lang w:val="es-CO"/>
        </w:rPr>
      </w:pPr>
    </w:p>
  </w:footnote>
  <w:footnote w:id="20">
    <w:p w14:paraId="19718562" w14:textId="77777777" w:rsidR="009B2925" w:rsidRPr="0088472A" w:rsidRDefault="009B2925" w:rsidP="00222F3F">
      <w:pPr>
        <w:pStyle w:val="Textonotapie"/>
        <w:ind w:firstLine="709"/>
        <w:jc w:val="both"/>
        <w:outlineLvl w:val="0"/>
        <w:rPr>
          <w:rFonts w:ascii="Arial" w:hAnsi="Arial" w:cs="Arial"/>
          <w:sz w:val="19"/>
          <w:szCs w:val="19"/>
          <w:lang w:val="es-CO"/>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CO"/>
        </w:rPr>
        <w:t xml:space="preserve">AGENCIA NACIONAL DE CONTRATACIÓN PÚBLICA, Concepto de 3 de octubre de 2019, Radicado de entrada No. </w:t>
      </w:r>
      <w:r w:rsidRPr="0088472A">
        <w:rPr>
          <w:rFonts w:ascii="Arial" w:hAnsi="Arial" w:cs="Arial"/>
          <w:sz w:val="19"/>
          <w:szCs w:val="19"/>
        </w:rPr>
        <w:t>4201913000005694, Radicado de salida No. 2201913000007385.</w:t>
      </w:r>
    </w:p>
  </w:footnote>
  <w:footnote w:id="21">
    <w:p w14:paraId="3316B235" w14:textId="77777777" w:rsidR="009B2925" w:rsidRPr="0088472A" w:rsidRDefault="009B2925" w:rsidP="00222F3F">
      <w:pPr>
        <w:pStyle w:val="Textonotapie"/>
        <w:ind w:firstLine="709"/>
        <w:jc w:val="both"/>
        <w:outlineLvl w:val="0"/>
        <w:rPr>
          <w:rFonts w:ascii="Arial" w:hAnsi="Arial" w:cs="Arial"/>
          <w:sz w:val="19"/>
          <w:szCs w:val="19"/>
        </w:rPr>
      </w:pPr>
    </w:p>
    <w:p w14:paraId="08BF582D" w14:textId="1D3DF4DE" w:rsidR="009B2925" w:rsidRPr="0088472A" w:rsidRDefault="009B2925" w:rsidP="00222F3F">
      <w:pPr>
        <w:pStyle w:val="Textonotapie"/>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Dicha naturaleza sancionatoria de la inhabilidad por incumplimiento reiterado, la hace asimilable a una pena en los términos del artículo 38 de la Ley 153 de 1887, que dispone que para efectos de determinar la pena procedente la infracción correspondiente deberá ser castigada con arreglo a la ley bajo la cual se hubiere cometido. Este artículo señala que: «En todo contrato se entenderán incorporadas las leyes vigentes al tiempo de su celebración.</w:t>
      </w:r>
    </w:p>
    <w:p w14:paraId="2FA65D50" w14:textId="6CE7ABB5" w:rsidR="009B2925" w:rsidRPr="0088472A" w:rsidRDefault="009B2925" w:rsidP="00222F3F">
      <w:pPr>
        <w:pStyle w:val="Textonotapie"/>
        <w:ind w:firstLine="709"/>
        <w:jc w:val="both"/>
        <w:outlineLvl w:val="0"/>
        <w:rPr>
          <w:rFonts w:ascii="Arial" w:hAnsi="Arial" w:cs="Arial"/>
          <w:sz w:val="19"/>
          <w:szCs w:val="19"/>
        </w:rPr>
      </w:pPr>
      <w:r w:rsidRPr="0088472A">
        <w:rPr>
          <w:rFonts w:ascii="Arial" w:hAnsi="Arial" w:cs="Arial"/>
          <w:sz w:val="19"/>
          <w:szCs w:val="19"/>
        </w:rPr>
        <w:t>»Exceptúanse de esta disposición:</w:t>
      </w:r>
    </w:p>
    <w:p w14:paraId="1C568AED" w14:textId="0EB32E67" w:rsidR="009B2925" w:rsidRPr="0088472A" w:rsidRDefault="009B2925" w:rsidP="00222F3F">
      <w:pPr>
        <w:pStyle w:val="Textonotapie"/>
        <w:ind w:firstLine="709"/>
        <w:jc w:val="both"/>
        <w:outlineLvl w:val="0"/>
        <w:rPr>
          <w:rFonts w:ascii="Arial" w:hAnsi="Arial" w:cs="Arial"/>
          <w:sz w:val="19"/>
          <w:szCs w:val="19"/>
        </w:rPr>
      </w:pPr>
      <w:r w:rsidRPr="0088472A">
        <w:rPr>
          <w:rFonts w:ascii="Arial" w:hAnsi="Arial" w:cs="Arial"/>
          <w:sz w:val="19"/>
          <w:szCs w:val="19"/>
        </w:rPr>
        <w:t>»1. Las leyes concernientes al modo de reclamar en juicio los derechos que resultaren del contrato, y</w:t>
      </w:r>
    </w:p>
    <w:p w14:paraId="3F1C56CD" w14:textId="77777777" w:rsidR="009B2925" w:rsidRPr="0088472A" w:rsidRDefault="009B2925" w:rsidP="00222F3F">
      <w:pPr>
        <w:pStyle w:val="Textonotapie"/>
        <w:ind w:firstLine="709"/>
        <w:jc w:val="both"/>
        <w:outlineLvl w:val="0"/>
        <w:rPr>
          <w:rFonts w:ascii="Arial" w:hAnsi="Arial" w:cs="Arial"/>
          <w:sz w:val="19"/>
          <w:szCs w:val="19"/>
          <w:lang w:val="es-CO"/>
        </w:rPr>
      </w:pPr>
      <w:r w:rsidRPr="0088472A">
        <w:rPr>
          <w:rFonts w:ascii="Arial" w:hAnsi="Arial" w:cs="Arial"/>
          <w:sz w:val="19"/>
          <w:szCs w:val="19"/>
        </w:rPr>
        <w:t>»2. Las que señalan penas para el caso de infracción de lo estipulado; la cual infracción será castigada con arreglo á la ley bajo la cual se hubiere cometido».</w:t>
      </w:r>
    </w:p>
  </w:footnote>
  <w:footnote w:id="22">
    <w:p w14:paraId="3D3AD2DC" w14:textId="0B07CB69" w:rsidR="009B2925" w:rsidRPr="0088472A" w:rsidRDefault="009B2925" w:rsidP="00222F3F">
      <w:pPr>
        <w:pStyle w:val="Textonotapie"/>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Constitución Política de Colombia «Artículo 29. El debido proceso se aplicará a toda clase de actuaciones judiciales y administrativas.</w:t>
      </w:r>
    </w:p>
    <w:p w14:paraId="14B81A57" w14:textId="45133224" w:rsidR="009B2925" w:rsidRPr="0088472A" w:rsidRDefault="009B2925" w:rsidP="00222F3F">
      <w:pPr>
        <w:pStyle w:val="Textonotapie"/>
        <w:ind w:firstLine="709"/>
        <w:jc w:val="both"/>
        <w:outlineLvl w:val="0"/>
        <w:rPr>
          <w:rFonts w:ascii="Arial" w:hAnsi="Arial" w:cs="Arial"/>
          <w:sz w:val="19"/>
          <w:szCs w:val="19"/>
        </w:rPr>
      </w:pPr>
      <w:r w:rsidRPr="0088472A">
        <w:rPr>
          <w:rFonts w:ascii="Arial" w:hAnsi="Arial" w:cs="Arial"/>
          <w:sz w:val="19"/>
          <w:szCs w:val="19"/>
        </w:rPr>
        <w:t>»Nadie podrá ser juzgado sino conforme a leyes preexistentes al acto que se le imputa, ante juez o tribunal competente y con observancia de la plenitud de las formas propias de cada juicio.</w:t>
      </w:r>
    </w:p>
    <w:p w14:paraId="75D73BF7" w14:textId="0C77755C" w:rsidR="009B2925" w:rsidRPr="0088472A" w:rsidRDefault="009B2925" w:rsidP="00222F3F">
      <w:pPr>
        <w:pStyle w:val="Textonotapie"/>
        <w:ind w:firstLine="709"/>
        <w:jc w:val="both"/>
        <w:outlineLvl w:val="0"/>
        <w:rPr>
          <w:rFonts w:ascii="Arial" w:hAnsi="Arial" w:cs="Arial"/>
          <w:sz w:val="19"/>
          <w:szCs w:val="19"/>
          <w:lang w:val="es-CO"/>
        </w:rPr>
      </w:pPr>
      <w:r w:rsidRPr="0088472A">
        <w:rPr>
          <w:rFonts w:ascii="Arial" w:hAnsi="Arial" w:cs="Arial"/>
          <w:sz w:val="19"/>
          <w:szCs w:val="19"/>
        </w:rPr>
        <w:t>»En materia penal, la ley permisiva o favorable, aun cuando sea posterior, se aplicará de preferencia a la restrictiva o desfavorable […]».</w:t>
      </w:r>
    </w:p>
  </w:footnote>
  <w:footnote w:id="23">
    <w:p w14:paraId="5D24740E" w14:textId="77777777" w:rsidR="009B2925" w:rsidRPr="0088472A" w:rsidRDefault="009B2925" w:rsidP="00222F3F">
      <w:pPr>
        <w:pStyle w:val="Textonotapie"/>
        <w:ind w:firstLine="709"/>
        <w:jc w:val="both"/>
        <w:outlineLvl w:val="0"/>
        <w:rPr>
          <w:rFonts w:ascii="Arial" w:hAnsi="Arial" w:cs="Arial"/>
          <w:sz w:val="19"/>
          <w:szCs w:val="19"/>
        </w:rPr>
      </w:pPr>
    </w:p>
    <w:p w14:paraId="5A852AB4" w14:textId="5DDDFB93" w:rsidR="009B2925" w:rsidRPr="0088472A" w:rsidRDefault="009B2925" w:rsidP="00222F3F">
      <w:pPr>
        <w:pStyle w:val="Textonotapie"/>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Ley 1437 de 2011 «Artículo 3°.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41C431A1" w14:textId="2809163D" w:rsidR="009B2925" w:rsidRPr="0088472A" w:rsidRDefault="009B2925" w:rsidP="00222F3F">
      <w:pPr>
        <w:pStyle w:val="Textonotapie"/>
        <w:ind w:firstLine="709"/>
        <w:jc w:val="both"/>
        <w:outlineLvl w:val="0"/>
        <w:rPr>
          <w:rFonts w:ascii="Arial" w:hAnsi="Arial" w:cs="Arial"/>
          <w:sz w:val="19"/>
          <w:szCs w:val="19"/>
        </w:rPr>
      </w:pPr>
      <w:r w:rsidRPr="0088472A">
        <w:rPr>
          <w:rFonts w:ascii="Arial" w:hAnsi="Arial" w:cs="Arial"/>
          <w:sz w:val="19"/>
          <w:szCs w:val="19"/>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1EB0B918" w14:textId="7FA6E1D8" w:rsidR="009B2925" w:rsidRPr="0088472A" w:rsidRDefault="009B2925" w:rsidP="00222F3F">
      <w:pPr>
        <w:pStyle w:val="Textonotapie"/>
        <w:ind w:firstLine="709"/>
        <w:jc w:val="both"/>
        <w:outlineLvl w:val="0"/>
        <w:rPr>
          <w:rFonts w:ascii="Arial" w:hAnsi="Arial" w:cs="Arial"/>
          <w:sz w:val="19"/>
          <w:szCs w:val="19"/>
        </w:rPr>
      </w:pPr>
      <w:r w:rsidRPr="0088472A">
        <w:rPr>
          <w:rFonts w:ascii="Arial" w:hAnsi="Arial" w:cs="Arial"/>
          <w:sz w:val="19"/>
          <w:szCs w:val="19"/>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7CB98BC2" w14:textId="40332ACF" w:rsidR="009B2925" w:rsidRPr="0088472A" w:rsidRDefault="009B2925" w:rsidP="00222F3F">
      <w:pPr>
        <w:pStyle w:val="Textonotapie"/>
        <w:ind w:firstLine="709"/>
        <w:jc w:val="both"/>
        <w:outlineLvl w:val="0"/>
        <w:rPr>
          <w:rFonts w:ascii="Arial" w:hAnsi="Arial" w:cs="Arial"/>
          <w:sz w:val="19"/>
          <w:szCs w:val="19"/>
          <w:lang w:val="es-CO"/>
        </w:rPr>
      </w:pPr>
      <w:r w:rsidRPr="0088472A">
        <w:rPr>
          <w:rFonts w:ascii="Arial" w:hAnsi="Arial" w:cs="Arial"/>
          <w:sz w:val="19"/>
          <w:szCs w:val="19"/>
        </w:rPr>
        <w:t>»En materia administrativa sancionatoria, se observarán adicionalmente los principios de legalidad de las faltas y de las sanciones, de presunción de inocencia, de no reformatio in pejus y non bis in idem […]».</w:t>
      </w:r>
    </w:p>
  </w:footnote>
  <w:footnote w:id="24">
    <w:p w14:paraId="75337A99" w14:textId="77777777" w:rsidR="009B2925" w:rsidRPr="0088472A" w:rsidRDefault="009B2925" w:rsidP="00222F3F">
      <w:pPr>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Ley 80 de 1993: «Artículo 8 De las inhabilidades e incompatibilidades para contratar:</w:t>
      </w:r>
    </w:p>
    <w:p w14:paraId="52F339CA"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w:t>
      </w:r>
    </w:p>
    <w:p w14:paraId="57FCDE1C"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»c) Quienes dieron lugar a la declaratoria de caducidad.</w:t>
      </w:r>
    </w:p>
    <w:p w14:paraId="1AE1CF4F" w14:textId="77777777" w:rsidR="009B2925" w:rsidRPr="0088472A" w:rsidRDefault="009B2925" w:rsidP="00222F3F">
      <w:pPr>
        <w:pStyle w:val="Textonotapie"/>
        <w:ind w:firstLine="709"/>
        <w:jc w:val="both"/>
        <w:outlineLvl w:val="0"/>
        <w:rPr>
          <w:rFonts w:ascii="Arial" w:hAnsi="Arial" w:cs="Arial"/>
          <w:sz w:val="19"/>
          <w:szCs w:val="19"/>
          <w:lang w:val="es-CO"/>
        </w:rPr>
      </w:pPr>
      <w:r w:rsidRPr="0088472A">
        <w:rPr>
          <w:rFonts w:ascii="Arial" w:hAnsi="Arial" w:cs="Arial"/>
          <w:sz w:val="19"/>
          <w:szCs w:val="19"/>
          <w:lang w:val="es-CO"/>
        </w:rPr>
        <w:t>[…]</w:t>
      </w:r>
    </w:p>
    <w:p w14:paraId="63DADC32"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de la de celebración del contrato, o de la de expiración del plazo para su</w:t>
      </w:r>
      <w:r w:rsidRPr="0088472A">
        <w:rPr>
          <w:rFonts w:ascii="Arial" w:hAnsi="Arial" w:cs="Arial"/>
          <w:spacing w:val="-19"/>
          <w:sz w:val="19"/>
          <w:szCs w:val="19"/>
        </w:rPr>
        <w:t xml:space="preserve"> </w:t>
      </w:r>
      <w:r w:rsidRPr="0088472A">
        <w:rPr>
          <w:rFonts w:ascii="Arial" w:hAnsi="Arial" w:cs="Arial"/>
          <w:sz w:val="19"/>
          <w:szCs w:val="19"/>
        </w:rPr>
        <w:t>firma».</w:t>
      </w:r>
    </w:p>
  </w:footnote>
  <w:footnote w:id="25">
    <w:p w14:paraId="5E3E437A" w14:textId="77777777" w:rsidR="009B2925" w:rsidRPr="0088472A" w:rsidRDefault="009B2925" w:rsidP="00222F3F">
      <w:pPr>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Ley 80 de 1993: »Artículo 8 De las inhabilidades e incompatibilidades para contratar</w:t>
      </w:r>
    </w:p>
    <w:p w14:paraId="15AF8CF1"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»k)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0ABEC96E" w14:textId="77777777" w:rsidR="009B2925" w:rsidRPr="0088472A" w:rsidRDefault="009B2925" w:rsidP="00222F3F">
      <w:pPr>
        <w:ind w:firstLine="709"/>
        <w:jc w:val="both"/>
        <w:outlineLvl w:val="0"/>
        <w:rPr>
          <w:rFonts w:ascii="Arial" w:hAnsi="Arial" w:cs="Arial"/>
          <w:sz w:val="19"/>
          <w:szCs w:val="19"/>
        </w:rPr>
      </w:pPr>
      <w:r w:rsidRPr="0088472A">
        <w:rPr>
          <w:rFonts w:ascii="Arial" w:hAnsi="Arial" w:cs="Arial"/>
          <w:sz w:val="19"/>
          <w:szCs w:val="19"/>
        </w:rPr>
        <w:t>»Esta inhabilidad se extenderá por un término de cinco (5) años, contados a partir de la ejecutoria del acto administrativo que así lo declare, previa la actuación administrativa correspondiente».</w:t>
      </w:r>
    </w:p>
    <w:p w14:paraId="54422633" w14:textId="05FE0D1C" w:rsidR="009B2925" w:rsidRPr="0088472A" w:rsidRDefault="009B2925" w:rsidP="00222F3F">
      <w:pPr>
        <w:pStyle w:val="Textonotapie"/>
        <w:ind w:firstLine="709"/>
        <w:jc w:val="both"/>
        <w:outlineLvl w:val="0"/>
        <w:rPr>
          <w:rFonts w:ascii="Arial" w:hAnsi="Arial" w:cs="Arial"/>
          <w:sz w:val="19"/>
          <w:szCs w:val="19"/>
          <w:lang w:val="es-CO"/>
        </w:rPr>
      </w:pPr>
    </w:p>
  </w:footnote>
  <w:footnote w:id="26">
    <w:p w14:paraId="59BB0C26"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En sitio web: https://www.mineducacion.gov.co/1621/w3-printer-235135.html#:~:text=%C2%BFQu%C3%A9%20es%20el%20PAE%3F,del%20Sistema%20General%20de%20Participaciones.</w:t>
      </w:r>
    </w:p>
  </w:footnote>
  <w:footnote w:id="27">
    <w:p w14:paraId="6F2DC089" w14:textId="77777777" w:rsidR="00382813" w:rsidRPr="0088472A" w:rsidRDefault="00382813" w:rsidP="00E6123D">
      <w:pPr>
        <w:pStyle w:val="Textonotapie"/>
        <w:ind w:firstLine="709"/>
        <w:jc w:val="both"/>
        <w:outlineLvl w:val="0"/>
        <w:rPr>
          <w:rFonts w:ascii="Arial" w:hAnsi="Arial" w:cs="Arial"/>
          <w:sz w:val="19"/>
          <w:szCs w:val="19"/>
        </w:rPr>
      </w:pPr>
    </w:p>
    <w:p w14:paraId="77CDE877" w14:textId="74AAEAB2" w:rsidR="00E6123D" w:rsidRPr="0088472A" w:rsidRDefault="00E6123D" w:rsidP="00E6123D">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ES"/>
        </w:rPr>
        <w:t>Ibíd.</w:t>
      </w:r>
    </w:p>
    <w:p w14:paraId="5BFAA965" w14:textId="77777777" w:rsidR="00FC1155" w:rsidRPr="0088472A" w:rsidRDefault="00FC1155" w:rsidP="00E6123D">
      <w:pPr>
        <w:pStyle w:val="Textonotapie"/>
        <w:ind w:firstLine="709"/>
        <w:jc w:val="both"/>
        <w:outlineLvl w:val="0"/>
        <w:rPr>
          <w:rFonts w:ascii="Arial" w:hAnsi="Arial" w:cs="Arial"/>
          <w:sz w:val="19"/>
          <w:szCs w:val="19"/>
          <w:lang w:val="es-ES"/>
        </w:rPr>
      </w:pPr>
    </w:p>
  </w:footnote>
  <w:footnote w:id="28">
    <w:p w14:paraId="315C1531"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https://dle.rae.es/%C3%BAltimo</w:t>
      </w:r>
    </w:p>
  </w:footnote>
  <w:footnote w:id="29">
    <w:p w14:paraId="4C8F511A" w14:textId="77777777" w:rsidR="005B385E" w:rsidRPr="0088472A" w:rsidRDefault="005B385E" w:rsidP="003D2759">
      <w:pPr>
        <w:pStyle w:val="Textonotapie"/>
        <w:ind w:firstLine="709"/>
        <w:jc w:val="both"/>
        <w:outlineLvl w:val="0"/>
        <w:rPr>
          <w:rFonts w:ascii="Arial" w:hAnsi="Arial" w:cs="Arial"/>
          <w:color w:val="000000" w:themeColor="text1"/>
          <w:sz w:val="19"/>
          <w:szCs w:val="19"/>
        </w:rPr>
      </w:pPr>
    </w:p>
    <w:p w14:paraId="1A9FCF06" w14:textId="6BB652B1" w:rsidR="003D2759" w:rsidRPr="0088472A" w:rsidRDefault="003D2759" w:rsidP="003D2759">
      <w:pPr>
        <w:pStyle w:val="Textonotapie"/>
        <w:ind w:firstLine="709"/>
        <w:jc w:val="both"/>
        <w:outlineLvl w:val="0"/>
        <w:rPr>
          <w:rFonts w:ascii="Arial" w:hAnsi="Arial" w:cs="Arial"/>
          <w:color w:val="000000" w:themeColor="text1"/>
          <w:sz w:val="19"/>
          <w:szCs w:val="19"/>
        </w:rPr>
      </w:pPr>
      <w:r w:rsidRPr="0088472A">
        <w:rPr>
          <w:rStyle w:val="Refdenotaalpie"/>
          <w:rFonts w:ascii="Arial" w:hAnsi="Arial" w:cs="Arial"/>
        </w:rPr>
        <w:footnoteRef/>
      </w:r>
      <w:r w:rsidRPr="0088472A">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7FD5DBCA" w14:textId="77777777" w:rsidR="003D2759" w:rsidRPr="0088472A" w:rsidRDefault="003D2759" w:rsidP="003D2759">
      <w:pPr>
        <w:pStyle w:val="Textonotapie"/>
        <w:ind w:firstLine="709"/>
        <w:jc w:val="both"/>
        <w:outlineLvl w:val="0"/>
        <w:rPr>
          <w:rFonts w:ascii="Arial" w:hAnsi="Arial" w:cs="Arial"/>
          <w:color w:val="000000" w:themeColor="text1"/>
          <w:sz w:val="19"/>
          <w:szCs w:val="19"/>
          <w:lang w:val="es-ES"/>
        </w:rPr>
      </w:pPr>
    </w:p>
  </w:footnote>
  <w:footnote w:id="30">
    <w:p w14:paraId="34A5CB4C" w14:textId="77777777" w:rsidR="00E6123D" w:rsidRPr="0088472A" w:rsidRDefault="00E6123D" w:rsidP="00E6123D">
      <w:pPr>
        <w:pStyle w:val="Textonotapie"/>
        <w:ind w:firstLine="709"/>
        <w:jc w:val="both"/>
        <w:outlineLvl w:val="0"/>
        <w:rPr>
          <w:rFonts w:ascii="Arial" w:hAnsi="Arial" w:cs="Arial"/>
          <w:sz w:val="19"/>
          <w:szCs w:val="19"/>
        </w:rPr>
      </w:pPr>
    </w:p>
    <w:p w14:paraId="5774FBEC"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ES"/>
        </w:rPr>
        <w:t>Gaceta No. 1249. Año XXIX, del 4 de noviembre de 2020, p. 28. En: http://leyes.senado.gov.co/proyectos/images/documentos/Textos%20Radicados/Ponencias/2020/gaceta_1249.pdf</w:t>
      </w:r>
    </w:p>
  </w:footnote>
  <w:footnote w:id="31">
    <w:p w14:paraId="3DF17A5B"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ES"/>
        </w:rPr>
        <w:t>El fenómeno de la firmeza de los actos administrativos se define en el artículo 87 de la Ley 1437 de 2011, del siguiente modo: «Los actos administrativos quedarán en firme:</w:t>
      </w:r>
    </w:p>
    <w:p w14:paraId="73EFC4EE"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»1. Cuando contra ellos no proceda ningún recurso, desde el día siguiente al de su notificación, comunicación o publicación según el caso.</w:t>
      </w:r>
    </w:p>
    <w:p w14:paraId="5062D06D"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»2. Desde el día siguiente a la publicación, comunicación o notificación de la decisión sobre los recursos interpuestos.</w:t>
      </w:r>
    </w:p>
    <w:p w14:paraId="79E2CA13"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»3. Desde el día siguiente al del vencimiento del término para interponer los recursos, si estos no fueron interpuestos, o se hubiere renunciado expresamente a ellos.</w:t>
      </w:r>
    </w:p>
    <w:p w14:paraId="0C6F2B00"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»4. Desde el día siguiente al de la notificación de la aceptación del desistimiento de los recursos.</w:t>
      </w:r>
    </w:p>
    <w:p w14:paraId="1FD1484A" w14:textId="77777777" w:rsidR="00E6123D" w:rsidRPr="0088472A" w:rsidRDefault="00E6123D" w:rsidP="00E6123D">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»5. Desde el día siguiente al de la protocolización a que alude el artículo 85 para el silencio administrativo positivo».</w:t>
      </w:r>
    </w:p>
  </w:footnote>
  <w:footnote w:id="32">
    <w:p w14:paraId="5AE839A5" w14:textId="77777777" w:rsidR="008B6F68" w:rsidRPr="0088472A" w:rsidRDefault="008B6F68" w:rsidP="008B6F68">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ES"/>
        </w:rPr>
        <w:t xml:space="preserve">Esta norma establece: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w:t>
      </w:r>
      <w:r w:rsidRPr="0088472A">
        <w:rPr>
          <w:rFonts w:ascii="Arial" w:hAnsi="Arial" w:cs="Arial"/>
          <w:sz w:val="19"/>
          <w:szCs w:val="19"/>
          <w:lang w:val="es-ES"/>
        </w:rPr>
        <w:t>que no siendo esenciales en él, se entienden pertenecerle, sin necesidad de una cláusula especial; y son accidentales a un contrato aquellas que ni esencial ni naturalmente le pertenecen, y que se le agregan por medio de cláusulas especiales».</w:t>
      </w:r>
    </w:p>
  </w:footnote>
  <w:footnote w:id="33">
    <w:p w14:paraId="19F843D6" w14:textId="77777777" w:rsidR="008B6F68" w:rsidRPr="0088472A" w:rsidRDefault="008B6F68" w:rsidP="008B6F68">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ES"/>
        </w:rPr>
        <w:t>El cual señala lo siguiente: «El debido proceso será un principio rector en materia sancionatoria de las actuaciones contractuales.</w:t>
      </w:r>
    </w:p>
    <w:p w14:paraId="644F3ADD" w14:textId="77777777" w:rsidR="008B6F68" w:rsidRPr="0088472A" w:rsidRDefault="008B6F68" w:rsidP="008B6F68">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4E920D1F" w14:textId="77777777" w:rsidR="008B6F68" w:rsidRPr="0088472A" w:rsidRDefault="008B6F68" w:rsidP="008B6F68">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40E3A1F" w14:textId="77777777" w:rsidR="008B6F68" w:rsidRPr="0088472A" w:rsidRDefault="008B6F68" w:rsidP="008B6F68">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34">
    <w:p w14:paraId="40D8ABA0" w14:textId="77777777" w:rsidR="008B6F68" w:rsidRPr="0088472A" w:rsidRDefault="008B6F68" w:rsidP="008B6F68">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Que dispone: </w:t>
      </w:r>
      <w:r w:rsidRPr="0088472A">
        <w:rPr>
          <w:rFonts w:ascii="Arial" w:hAnsi="Arial" w:cs="Arial"/>
          <w:sz w:val="19"/>
          <w:szCs w:val="19"/>
          <w:lang w:val="es-ES"/>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533CF656" w14:textId="77777777" w:rsidR="008B6F68" w:rsidRPr="0088472A" w:rsidRDefault="008B6F68" w:rsidP="008B6F68">
      <w:pPr>
        <w:pStyle w:val="Textonotapie"/>
        <w:ind w:firstLine="709"/>
        <w:jc w:val="both"/>
        <w:outlineLvl w:val="0"/>
        <w:rPr>
          <w:rFonts w:ascii="Arial" w:hAnsi="Arial" w:cs="Arial"/>
          <w:sz w:val="19"/>
          <w:szCs w:val="19"/>
          <w:lang w:val="es-ES"/>
        </w:rPr>
      </w:pPr>
      <w:r w:rsidRPr="0088472A">
        <w:rPr>
          <w:rFonts w:ascii="Arial" w:hAnsi="Arial" w:cs="Arial"/>
          <w:sz w:val="19"/>
          <w:szCs w:val="19"/>
          <w:lang w:val="es-ES"/>
        </w:rPr>
        <w:t xml:space="preserve">»En materia administrativa sancionatoria, se observarán adicionalmente los principios de legalidad de las faltas y de las sanciones, de presunción de inocencia, de </w:t>
      </w:r>
      <w:r w:rsidRPr="0088472A">
        <w:rPr>
          <w:rFonts w:ascii="Arial" w:hAnsi="Arial" w:cs="Arial"/>
          <w:i/>
          <w:iCs/>
          <w:sz w:val="19"/>
          <w:szCs w:val="19"/>
          <w:lang w:val="es-ES"/>
        </w:rPr>
        <w:t xml:space="preserve">no </w:t>
      </w:r>
      <w:r w:rsidRPr="0088472A">
        <w:rPr>
          <w:rFonts w:ascii="Arial" w:hAnsi="Arial" w:cs="Arial"/>
          <w:i/>
          <w:iCs/>
          <w:sz w:val="19"/>
          <w:szCs w:val="19"/>
          <w:lang w:val="es-ES"/>
        </w:rPr>
        <w:t>reformatio in pejus</w:t>
      </w:r>
      <w:r w:rsidRPr="0088472A">
        <w:rPr>
          <w:rFonts w:ascii="Arial" w:hAnsi="Arial" w:cs="Arial"/>
          <w:sz w:val="19"/>
          <w:szCs w:val="19"/>
          <w:lang w:val="es-ES"/>
        </w:rPr>
        <w:t xml:space="preserve"> y </w:t>
      </w:r>
      <w:r w:rsidRPr="0088472A">
        <w:rPr>
          <w:rFonts w:ascii="Arial" w:hAnsi="Arial" w:cs="Arial"/>
          <w:i/>
          <w:iCs/>
          <w:sz w:val="19"/>
          <w:szCs w:val="19"/>
          <w:lang w:val="es-ES"/>
        </w:rPr>
        <w:t>non bis in idem</w:t>
      </w:r>
      <w:r w:rsidRPr="0088472A">
        <w:rPr>
          <w:rFonts w:ascii="Arial" w:hAnsi="Arial" w:cs="Arial"/>
          <w:sz w:val="19"/>
          <w:szCs w:val="19"/>
          <w:lang w:val="es-ES"/>
        </w:rPr>
        <w:t>».</w:t>
      </w:r>
    </w:p>
  </w:footnote>
  <w:footnote w:id="35">
    <w:p w14:paraId="64C31995" w14:textId="77777777" w:rsidR="008B6F68" w:rsidRPr="0088472A" w:rsidRDefault="008B6F68" w:rsidP="008B6F68">
      <w:pPr>
        <w:pStyle w:val="Textonotapie"/>
        <w:ind w:firstLine="709"/>
        <w:jc w:val="both"/>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ES"/>
        </w:rPr>
        <w:t>Este artículo establece: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2BB948E4" w14:textId="77777777" w:rsidR="008B6F68" w:rsidRPr="0088472A" w:rsidRDefault="008B6F68" w:rsidP="008B6F68">
      <w:pPr>
        <w:pStyle w:val="Textonotapie"/>
        <w:ind w:firstLine="709"/>
        <w:jc w:val="both"/>
        <w:rPr>
          <w:rFonts w:ascii="Arial" w:hAnsi="Arial" w:cs="Arial"/>
          <w:sz w:val="19"/>
          <w:szCs w:val="19"/>
          <w:lang w:val="es-ES"/>
        </w:rPr>
      </w:pPr>
      <w:r w:rsidRPr="0088472A">
        <w:rPr>
          <w:rFonts w:ascii="Arial" w:hAnsi="Arial" w:cs="Arial"/>
          <w:sz w:val="19"/>
          <w:szCs w:val="19"/>
          <w:lang w:val="es-ES"/>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7E2E0B8C" w14:textId="77777777" w:rsidR="008B6F68" w:rsidRPr="0088472A" w:rsidRDefault="008B6F68" w:rsidP="008B6F68">
      <w:pPr>
        <w:pStyle w:val="Textonotapie"/>
        <w:ind w:firstLine="709"/>
        <w:jc w:val="both"/>
        <w:rPr>
          <w:rFonts w:ascii="Arial" w:hAnsi="Arial" w:cs="Arial"/>
          <w:sz w:val="19"/>
          <w:szCs w:val="19"/>
          <w:lang w:val="es-ES"/>
        </w:rPr>
      </w:pPr>
      <w:r w:rsidRPr="0088472A">
        <w:rPr>
          <w:rFonts w:ascii="Arial" w:hAnsi="Arial" w:cs="Arial"/>
          <w:sz w:val="19"/>
          <w:szCs w:val="19"/>
          <w:lang w:val="es-ES"/>
        </w:rPr>
        <w:t>»PARÁGRAFO 1o. &lt;Ver Notas del Editor&gt; El acto de adjudicación no tendrá recursos por la vía gubernativa. Este podrá impugnarse mediante el ejercicio de la acción de nulidad y restablecimiento del derecho, según las reglas del Código Contencioso administrativo.</w:t>
      </w:r>
    </w:p>
    <w:p w14:paraId="477DE6F4" w14:textId="77777777" w:rsidR="008B6F68" w:rsidRPr="0088472A" w:rsidRDefault="008B6F68" w:rsidP="008B6F68">
      <w:pPr>
        <w:pStyle w:val="Textonotapie"/>
        <w:ind w:firstLine="709"/>
        <w:jc w:val="both"/>
        <w:rPr>
          <w:rFonts w:ascii="Arial" w:hAnsi="Arial" w:cs="Arial"/>
          <w:sz w:val="19"/>
          <w:szCs w:val="19"/>
          <w:lang w:val="es-ES"/>
        </w:rPr>
      </w:pPr>
      <w:r w:rsidRPr="0088472A">
        <w:rPr>
          <w:rFonts w:ascii="Arial" w:hAnsi="Arial" w:cs="Arial"/>
          <w:sz w:val="19"/>
          <w:szCs w:val="19"/>
          <w:lang w:val="es-ES"/>
        </w:rPr>
        <w:t>»PARÁGRAFO 2o. Para el ejercicio de las acciones contra los actos administrativos de la actividad contractual no es necesario demandar el contrato que los origina».</w:t>
      </w:r>
    </w:p>
  </w:footnote>
  <w:footnote w:id="36">
    <w:p w14:paraId="5D982C3B" w14:textId="6C0CD8CE" w:rsidR="00F90508" w:rsidRPr="0088472A" w:rsidRDefault="00F90508" w:rsidP="00222F3F">
      <w:pPr>
        <w:pStyle w:val="Textonotapie"/>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Corte Constitucional. Sentencia C-317 de 2012. M.P. María Victoria Calle Correa.</w:t>
      </w:r>
    </w:p>
    <w:p w14:paraId="31E5B85D" w14:textId="77777777" w:rsidR="00F90508" w:rsidRPr="0088472A" w:rsidRDefault="00F90508" w:rsidP="00222F3F">
      <w:pPr>
        <w:pStyle w:val="Textonotapie"/>
        <w:ind w:firstLine="709"/>
        <w:jc w:val="both"/>
        <w:outlineLvl w:val="0"/>
        <w:rPr>
          <w:rFonts w:ascii="Arial" w:hAnsi="Arial" w:cs="Arial"/>
          <w:sz w:val="19"/>
          <w:szCs w:val="19"/>
        </w:rPr>
      </w:pPr>
    </w:p>
  </w:footnote>
  <w:footnote w:id="37">
    <w:p w14:paraId="54DE94F6" w14:textId="77777777" w:rsidR="00F90508" w:rsidRPr="0088472A" w:rsidRDefault="00F90508" w:rsidP="00222F3F">
      <w:pPr>
        <w:pStyle w:val="Textonotapie"/>
        <w:ind w:firstLine="709"/>
        <w:jc w:val="both"/>
        <w:outlineLvl w:val="0"/>
        <w:rPr>
          <w:rFonts w:ascii="Arial" w:hAnsi="Arial" w:cs="Arial"/>
          <w:color w:val="000000" w:themeColor="text1"/>
          <w:sz w:val="19"/>
          <w:szCs w:val="19"/>
        </w:rPr>
      </w:pPr>
      <w:r w:rsidRPr="0088472A">
        <w:rPr>
          <w:rStyle w:val="Refdenotaalpie"/>
          <w:rFonts w:ascii="Arial" w:hAnsi="Arial" w:cs="Arial"/>
        </w:rPr>
        <w:footnoteRef/>
      </w:r>
      <w:r w:rsidRPr="0088472A">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7A057EA6" w14:textId="77777777" w:rsidR="00F90508" w:rsidRPr="0088472A" w:rsidRDefault="00F90508" w:rsidP="00222F3F">
      <w:pPr>
        <w:pStyle w:val="Textonotapie"/>
        <w:ind w:firstLine="709"/>
        <w:jc w:val="both"/>
        <w:outlineLvl w:val="0"/>
        <w:rPr>
          <w:rFonts w:ascii="Arial" w:hAnsi="Arial" w:cs="Arial"/>
          <w:color w:val="000000" w:themeColor="text1"/>
          <w:sz w:val="19"/>
          <w:szCs w:val="19"/>
        </w:rPr>
      </w:pPr>
    </w:p>
  </w:footnote>
  <w:footnote w:id="38">
    <w:p w14:paraId="3FD8ABFA" w14:textId="77777777" w:rsidR="00F90508" w:rsidRPr="0088472A" w:rsidRDefault="00F90508" w:rsidP="00222F3F">
      <w:pPr>
        <w:pStyle w:val="Textonotapie"/>
        <w:ind w:firstLine="709"/>
        <w:jc w:val="both"/>
        <w:outlineLvl w:val="0"/>
        <w:rPr>
          <w:rFonts w:ascii="Arial" w:hAnsi="Arial" w:cs="Arial"/>
          <w:color w:val="000000" w:themeColor="text1"/>
          <w:sz w:val="19"/>
          <w:szCs w:val="19"/>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color w:val="000000" w:themeColor="text1"/>
          <w:sz w:val="19"/>
          <w:szCs w:val="19"/>
        </w:rPr>
        <w:t xml:space="preserve">Se entiende por entidades de </w:t>
      </w:r>
      <w:r w:rsidRPr="0088472A">
        <w:rPr>
          <w:rFonts w:ascii="Arial" w:hAnsi="Arial" w:cs="Arial"/>
          <w:i/>
          <w:iCs/>
          <w:color w:val="000000" w:themeColor="text1"/>
          <w:sz w:val="19"/>
          <w:szCs w:val="19"/>
        </w:rPr>
        <w:t xml:space="preserve">régimen especial </w:t>
      </w:r>
      <w:r w:rsidRPr="0088472A">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764A7174" w14:textId="77777777" w:rsidR="00F90508" w:rsidRPr="0088472A" w:rsidRDefault="00F90508" w:rsidP="00222F3F">
      <w:pPr>
        <w:pStyle w:val="Textonotapie"/>
        <w:ind w:firstLine="709"/>
        <w:jc w:val="both"/>
        <w:outlineLvl w:val="0"/>
        <w:rPr>
          <w:rFonts w:ascii="Arial" w:hAnsi="Arial" w:cs="Arial"/>
          <w:sz w:val="19"/>
          <w:szCs w:val="19"/>
          <w:lang w:val="es-CO"/>
        </w:rPr>
      </w:pPr>
    </w:p>
  </w:footnote>
  <w:footnote w:id="39">
    <w:p w14:paraId="20EF74F7" w14:textId="77777777" w:rsidR="00F90508" w:rsidRPr="0088472A" w:rsidRDefault="00F90508" w:rsidP="00222F3F">
      <w:pPr>
        <w:pStyle w:val="Textonotapie"/>
        <w:ind w:firstLine="709"/>
        <w:jc w:val="both"/>
        <w:outlineLvl w:val="0"/>
        <w:rPr>
          <w:rFonts w:ascii="Arial" w:hAnsi="Arial" w:cs="Arial"/>
          <w:sz w:val="19"/>
          <w:szCs w:val="19"/>
          <w:lang w:val="es-CO"/>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color w:val="000000" w:themeColor="text1"/>
          <w:sz w:val="19"/>
          <w:szCs w:val="19"/>
        </w:rPr>
        <w:t>Esto se ha señalado en distintos conceptos de esta Subdirección, como el C-219 del 29 de abril de 2020, el C-280 del 6 de julio de 2020 y el C–434 del 29 de julio de 2020.</w:t>
      </w:r>
    </w:p>
  </w:footnote>
  <w:footnote w:id="40">
    <w:p w14:paraId="1D66EB18" w14:textId="77777777" w:rsidR="00F90508" w:rsidRPr="0088472A" w:rsidRDefault="00F90508" w:rsidP="00222F3F">
      <w:pPr>
        <w:pStyle w:val="Textonotapie"/>
        <w:ind w:firstLine="709"/>
        <w:jc w:val="both"/>
        <w:outlineLvl w:val="0"/>
        <w:rPr>
          <w:rFonts w:ascii="Arial" w:hAnsi="Arial" w:cs="Arial"/>
          <w:sz w:val="19"/>
          <w:szCs w:val="19"/>
        </w:rPr>
      </w:pPr>
      <w:r w:rsidRPr="0088472A">
        <w:rPr>
          <w:rStyle w:val="Refdenotaalpie"/>
          <w:rFonts w:ascii="Arial" w:hAnsi="Arial" w:cs="Arial"/>
        </w:rPr>
        <w:footnoteRef/>
      </w:r>
      <w:r w:rsidRPr="0088472A">
        <w:rPr>
          <w:rFonts w:ascii="Arial" w:hAnsi="Arial" w:cs="Arial"/>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1055B683" w14:textId="77777777" w:rsidR="00F90508" w:rsidRPr="0088472A" w:rsidRDefault="00F90508" w:rsidP="00222F3F">
      <w:pPr>
        <w:pStyle w:val="Textonotapie"/>
        <w:ind w:firstLine="709"/>
        <w:jc w:val="both"/>
        <w:outlineLvl w:val="0"/>
        <w:rPr>
          <w:rFonts w:ascii="Arial" w:hAnsi="Arial" w:cs="Arial"/>
          <w:sz w:val="19"/>
          <w:szCs w:val="19"/>
        </w:rPr>
      </w:pPr>
      <w:r w:rsidRPr="0088472A">
        <w:rPr>
          <w:rFonts w:ascii="Arial" w:hAnsi="Arial" w:cs="Arial"/>
          <w:sz w:val="19"/>
          <w:szCs w:val="19"/>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43477B4F" w14:textId="77777777" w:rsidR="00F90508" w:rsidRPr="0088472A" w:rsidRDefault="00F90508" w:rsidP="00222F3F">
      <w:pPr>
        <w:pStyle w:val="Textonotapie"/>
        <w:ind w:firstLine="709"/>
        <w:jc w:val="both"/>
        <w:outlineLvl w:val="0"/>
        <w:rPr>
          <w:rFonts w:ascii="Arial" w:hAnsi="Arial" w:cs="Arial"/>
          <w:sz w:val="19"/>
          <w:szCs w:val="19"/>
        </w:rPr>
      </w:pPr>
      <w:r w:rsidRPr="0088472A">
        <w:rPr>
          <w:rFonts w:ascii="Arial" w:hAnsi="Arial" w:cs="Arial"/>
          <w:sz w:val="19"/>
          <w:szCs w:val="19"/>
        </w:rPr>
        <w:t>»La entidad estatal debe elegir y garantizar los medios electrónicos y de comunicación que utilizará, así como los mecanismos para el registro de la Información generada.</w:t>
      </w:r>
    </w:p>
    <w:p w14:paraId="285256A0" w14:textId="77777777" w:rsidR="00F90508" w:rsidRPr="0088472A" w:rsidRDefault="00F90508" w:rsidP="00222F3F">
      <w:pPr>
        <w:pStyle w:val="Textonotapie"/>
        <w:ind w:firstLine="709"/>
        <w:jc w:val="both"/>
        <w:outlineLvl w:val="0"/>
        <w:rPr>
          <w:rFonts w:ascii="Arial" w:hAnsi="Arial" w:cs="Arial"/>
          <w:sz w:val="19"/>
          <w:szCs w:val="19"/>
        </w:rPr>
      </w:pPr>
      <w:r w:rsidRPr="0088472A">
        <w:rPr>
          <w:rFonts w:ascii="Arial" w:hAnsi="Arial" w:cs="Arial"/>
          <w:sz w:val="19"/>
          <w:szCs w:val="19"/>
        </w:rPr>
        <w:t>»Sin perjuicio de lo anterior, el ordenador del gasto o funcionario competente podrá decretar la suspensión de términos, inclusive los iniciados con anterioridad a la vigencia de este Decreto».</w:t>
      </w:r>
    </w:p>
    <w:p w14:paraId="79D1F231" w14:textId="43E65AEF" w:rsidR="00F90508" w:rsidRPr="0088472A" w:rsidRDefault="00F90508" w:rsidP="00222F3F">
      <w:pPr>
        <w:pStyle w:val="Textonotapie"/>
        <w:ind w:firstLine="709"/>
        <w:jc w:val="both"/>
        <w:outlineLvl w:val="0"/>
        <w:rPr>
          <w:rFonts w:ascii="Arial" w:hAnsi="Arial" w:cs="Arial"/>
          <w:sz w:val="19"/>
          <w:szCs w:val="19"/>
          <w:lang w:val="es-CO"/>
        </w:rPr>
      </w:pPr>
    </w:p>
  </w:footnote>
  <w:footnote w:id="41">
    <w:p w14:paraId="0645393E" w14:textId="77777777" w:rsidR="00F90508" w:rsidRPr="0088472A" w:rsidRDefault="00F90508" w:rsidP="00222F3F">
      <w:pPr>
        <w:pStyle w:val="Textonotapie"/>
        <w:ind w:firstLine="709"/>
        <w:jc w:val="both"/>
        <w:outlineLvl w:val="0"/>
        <w:rPr>
          <w:rFonts w:ascii="Arial" w:hAnsi="Arial" w:cs="Arial"/>
          <w:sz w:val="19"/>
          <w:szCs w:val="19"/>
          <w:lang w:val="es-CO"/>
        </w:rPr>
      </w:pPr>
      <w:r w:rsidRPr="0088472A">
        <w:rPr>
          <w:rStyle w:val="Refdenotaalpie"/>
          <w:rFonts w:ascii="Arial" w:hAnsi="Arial" w:cs="Arial"/>
        </w:rPr>
        <w:footnoteRef/>
      </w:r>
      <w:r w:rsidRPr="0088472A">
        <w:rPr>
          <w:rFonts w:ascii="Arial" w:hAnsi="Arial" w:cs="Arial"/>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42">
    <w:p w14:paraId="38A5AABA" w14:textId="77777777" w:rsidR="00D61305" w:rsidRPr="0088472A" w:rsidRDefault="00D61305" w:rsidP="00D61305">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En sitio web: https://www.mineducacion.gov.co/1621/w3-printer-235135.html#:~:text=%C2%BFQu%C3%A9%20es%20el%20PAE%3F,del%20Sistema%20General%20de%20Participaciones.</w:t>
      </w:r>
    </w:p>
  </w:footnote>
  <w:footnote w:id="43">
    <w:p w14:paraId="46936CF3" w14:textId="77777777" w:rsidR="00D61305" w:rsidRPr="0088472A" w:rsidRDefault="00D61305" w:rsidP="00D61305">
      <w:pPr>
        <w:pStyle w:val="Textonotapie"/>
        <w:ind w:firstLine="709"/>
        <w:jc w:val="both"/>
        <w:outlineLvl w:val="0"/>
        <w:rPr>
          <w:rFonts w:ascii="Arial" w:hAnsi="Arial" w:cs="Arial"/>
          <w:sz w:val="19"/>
          <w:szCs w:val="19"/>
        </w:rPr>
      </w:pPr>
    </w:p>
    <w:p w14:paraId="20C775C7" w14:textId="74545BB1" w:rsidR="00D61305" w:rsidRPr="0088472A" w:rsidRDefault="00D61305" w:rsidP="00D61305">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ES"/>
        </w:rPr>
        <w:t>Ibíd.</w:t>
      </w:r>
    </w:p>
    <w:p w14:paraId="634E8D8F" w14:textId="77777777" w:rsidR="00743881" w:rsidRPr="0088472A" w:rsidRDefault="00743881" w:rsidP="00D61305">
      <w:pPr>
        <w:pStyle w:val="Textonotapie"/>
        <w:ind w:firstLine="709"/>
        <w:jc w:val="both"/>
        <w:outlineLvl w:val="0"/>
        <w:rPr>
          <w:rFonts w:ascii="Arial" w:hAnsi="Arial" w:cs="Arial"/>
          <w:sz w:val="19"/>
          <w:szCs w:val="19"/>
          <w:lang w:val="es-ES"/>
        </w:rPr>
      </w:pPr>
    </w:p>
  </w:footnote>
  <w:footnote w:id="44">
    <w:p w14:paraId="1EFE226B" w14:textId="77777777" w:rsidR="00D61305" w:rsidRPr="0088472A" w:rsidRDefault="00D61305" w:rsidP="00D61305">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https://dle.rae.es/%C3%BAltimo</w:t>
      </w:r>
    </w:p>
  </w:footnote>
  <w:footnote w:id="45">
    <w:p w14:paraId="167B3585" w14:textId="77777777" w:rsidR="00D61305" w:rsidRPr="0088472A" w:rsidRDefault="00D61305" w:rsidP="00D61305">
      <w:pPr>
        <w:pStyle w:val="Textonotapie"/>
        <w:ind w:firstLine="709"/>
        <w:jc w:val="both"/>
        <w:outlineLvl w:val="0"/>
        <w:rPr>
          <w:rFonts w:ascii="Arial" w:hAnsi="Arial" w:cs="Arial"/>
          <w:color w:val="000000" w:themeColor="text1"/>
          <w:sz w:val="19"/>
          <w:szCs w:val="19"/>
        </w:rPr>
      </w:pPr>
    </w:p>
    <w:p w14:paraId="0FC0F035" w14:textId="77777777" w:rsidR="00D61305" w:rsidRPr="0088472A" w:rsidRDefault="00D61305" w:rsidP="00D61305">
      <w:pPr>
        <w:pStyle w:val="Textonotapie"/>
        <w:ind w:firstLine="709"/>
        <w:jc w:val="both"/>
        <w:outlineLvl w:val="0"/>
        <w:rPr>
          <w:rFonts w:ascii="Arial" w:hAnsi="Arial" w:cs="Arial"/>
          <w:color w:val="000000" w:themeColor="text1"/>
          <w:sz w:val="19"/>
          <w:szCs w:val="19"/>
        </w:rPr>
      </w:pPr>
      <w:r w:rsidRPr="0088472A">
        <w:rPr>
          <w:rStyle w:val="Refdenotaalpie"/>
          <w:rFonts w:ascii="Arial" w:hAnsi="Arial" w:cs="Arial"/>
        </w:rPr>
        <w:footnoteRef/>
      </w:r>
      <w:r w:rsidRPr="0088472A">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77CBE044" w14:textId="77777777" w:rsidR="00D61305" w:rsidRPr="0088472A" w:rsidRDefault="00D61305" w:rsidP="00D61305">
      <w:pPr>
        <w:pStyle w:val="Textonotapie"/>
        <w:ind w:firstLine="709"/>
        <w:jc w:val="both"/>
        <w:outlineLvl w:val="0"/>
        <w:rPr>
          <w:rFonts w:ascii="Arial" w:hAnsi="Arial" w:cs="Arial"/>
          <w:color w:val="000000" w:themeColor="text1"/>
          <w:sz w:val="19"/>
          <w:szCs w:val="19"/>
          <w:lang w:val="es-ES"/>
        </w:rPr>
      </w:pPr>
    </w:p>
  </w:footnote>
  <w:footnote w:id="46">
    <w:p w14:paraId="636787B0" w14:textId="77777777" w:rsidR="00D61305" w:rsidRPr="0088472A" w:rsidRDefault="00D61305" w:rsidP="00D61305">
      <w:pPr>
        <w:pStyle w:val="Textonotapie"/>
        <w:ind w:firstLine="709"/>
        <w:jc w:val="both"/>
        <w:outlineLvl w:val="0"/>
        <w:rPr>
          <w:rFonts w:ascii="Arial" w:hAnsi="Arial" w:cs="Arial"/>
          <w:sz w:val="19"/>
          <w:szCs w:val="19"/>
        </w:rPr>
      </w:pPr>
    </w:p>
    <w:p w14:paraId="15CD55DD" w14:textId="77777777" w:rsidR="00D61305" w:rsidRPr="0088472A" w:rsidRDefault="00D61305" w:rsidP="00D61305">
      <w:pPr>
        <w:pStyle w:val="Textonotapie"/>
        <w:ind w:firstLine="709"/>
        <w:jc w:val="both"/>
        <w:outlineLvl w:val="0"/>
        <w:rPr>
          <w:rFonts w:ascii="Arial" w:hAnsi="Arial" w:cs="Arial"/>
          <w:sz w:val="19"/>
          <w:szCs w:val="19"/>
          <w:lang w:val="es-ES"/>
        </w:rPr>
      </w:pPr>
      <w:r w:rsidRPr="0088472A">
        <w:rPr>
          <w:rStyle w:val="Refdenotaalpie"/>
          <w:rFonts w:ascii="Arial" w:hAnsi="Arial" w:cs="Arial"/>
        </w:rPr>
        <w:footnoteRef/>
      </w:r>
      <w:r w:rsidRPr="0088472A">
        <w:rPr>
          <w:rFonts w:ascii="Arial" w:hAnsi="Arial" w:cs="Arial"/>
          <w:sz w:val="19"/>
          <w:szCs w:val="19"/>
        </w:rPr>
        <w:t xml:space="preserve"> </w:t>
      </w:r>
      <w:r w:rsidRPr="0088472A">
        <w:rPr>
          <w:rFonts w:ascii="Arial" w:hAnsi="Arial" w:cs="Arial"/>
          <w:sz w:val="19"/>
          <w:szCs w:val="19"/>
          <w:lang w:val="es-ES"/>
        </w:rPr>
        <w:t>Gaceta No. 1249. Año XXIX, del 4 de noviembre de 2020, p. 28. En: http://leyes.senado.gov.co/proyectos/images/documentos/Textos%20Radicados/Ponencias/2020/gaceta_1249.pdf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F62C12"/>
    <w:multiLevelType w:val="hybridMultilevel"/>
    <w:tmpl w:val="1A0A7BAC"/>
    <w:lvl w:ilvl="0" w:tplc="E75435B0">
      <w:start w:val="2"/>
      <w:numFmt w:val="bullet"/>
      <w:lvlText w:val="-"/>
      <w:lvlJc w:val="left"/>
      <w:pPr>
        <w:ind w:left="1069" w:hanging="360"/>
      </w:pPr>
      <w:rPr>
        <w:rFonts w:ascii="Arial" w:eastAsia="Times New Roman" w:hAnsi="Arial" w:cs="Arial"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025742729">
    <w:abstractNumId w:val="10"/>
  </w:num>
  <w:num w:numId="2" w16cid:durableId="448427386">
    <w:abstractNumId w:val="8"/>
  </w:num>
  <w:num w:numId="3" w16cid:durableId="1927380431">
    <w:abstractNumId w:val="13"/>
  </w:num>
  <w:num w:numId="4" w16cid:durableId="1593314023">
    <w:abstractNumId w:val="18"/>
  </w:num>
  <w:num w:numId="5" w16cid:durableId="30806932">
    <w:abstractNumId w:val="23"/>
  </w:num>
  <w:num w:numId="6" w16cid:durableId="184597084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734835">
    <w:abstractNumId w:val="20"/>
  </w:num>
  <w:num w:numId="8" w16cid:durableId="1350913664">
    <w:abstractNumId w:val="0"/>
  </w:num>
  <w:num w:numId="9" w16cid:durableId="615647783">
    <w:abstractNumId w:val="3"/>
  </w:num>
  <w:num w:numId="10" w16cid:durableId="1904608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080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6311533">
    <w:abstractNumId w:val="9"/>
  </w:num>
  <w:num w:numId="13" w16cid:durableId="152838438">
    <w:abstractNumId w:val="12"/>
  </w:num>
  <w:num w:numId="14" w16cid:durableId="46494856">
    <w:abstractNumId w:val="7"/>
  </w:num>
  <w:num w:numId="15" w16cid:durableId="122056005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785537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6375188">
    <w:abstractNumId w:val="25"/>
  </w:num>
  <w:num w:numId="18" w16cid:durableId="651445132">
    <w:abstractNumId w:val="14"/>
  </w:num>
  <w:num w:numId="19" w16cid:durableId="1393381847">
    <w:abstractNumId w:val="2"/>
  </w:num>
  <w:num w:numId="20" w16cid:durableId="1762145552">
    <w:abstractNumId w:val="26"/>
  </w:num>
  <w:num w:numId="21" w16cid:durableId="561335043">
    <w:abstractNumId w:val="16"/>
  </w:num>
  <w:num w:numId="22" w16cid:durableId="306476573">
    <w:abstractNumId w:val="6"/>
  </w:num>
  <w:num w:numId="23" w16cid:durableId="1843427448">
    <w:abstractNumId w:val="4"/>
  </w:num>
  <w:num w:numId="24" w16cid:durableId="1144155100">
    <w:abstractNumId w:val="24"/>
  </w:num>
  <w:num w:numId="25" w16cid:durableId="306783194">
    <w:abstractNumId w:val="19"/>
  </w:num>
  <w:num w:numId="26" w16cid:durableId="1059749392">
    <w:abstractNumId w:val="27"/>
  </w:num>
  <w:num w:numId="27" w16cid:durableId="1952781346">
    <w:abstractNumId w:val="17"/>
  </w:num>
  <w:num w:numId="28" w16cid:durableId="11345198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3489545">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18431811">
    <w:abstractNumId w:val="21"/>
    <w:lvlOverride w:ilvl="0">
      <w:startOverride w:val="1"/>
    </w:lvlOverride>
    <w:lvlOverride w:ilvl="1"/>
    <w:lvlOverride w:ilvl="2"/>
    <w:lvlOverride w:ilvl="3"/>
    <w:lvlOverride w:ilvl="4"/>
    <w:lvlOverride w:ilvl="5"/>
    <w:lvlOverride w:ilvl="6"/>
    <w:lvlOverride w:ilvl="7"/>
    <w:lvlOverride w:ilvl="8"/>
  </w:num>
  <w:num w:numId="31" w16cid:durableId="1903638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6A7"/>
    <w:rsid w:val="00001A1C"/>
    <w:rsid w:val="00001EED"/>
    <w:rsid w:val="00001FFD"/>
    <w:rsid w:val="00002027"/>
    <w:rsid w:val="000020FE"/>
    <w:rsid w:val="00002173"/>
    <w:rsid w:val="00002916"/>
    <w:rsid w:val="000031A3"/>
    <w:rsid w:val="000031A8"/>
    <w:rsid w:val="00003896"/>
    <w:rsid w:val="00003C5C"/>
    <w:rsid w:val="000040D7"/>
    <w:rsid w:val="00004556"/>
    <w:rsid w:val="000051AF"/>
    <w:rsid w:val="0000556F"/>
    <w:rsid w:val="0000572B"/>
    <w:rsid w:val="000057BD"/>
    <w:rsid w:val="000059D3"/>
    <w:rsid w:val="00005B6D"/>
    <w:rsid w:val="0000600A"/>
    <w:rsid w:val="00006081"/>
    <w:rsid w:val="000069F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5BE"/>
    <w:rsid w:val="00014624"/>
    <w:rsid w:val="00014CA7"/>
    <w:rsid w:val="000154E8"/>
    <w:rsid w:val="00015B44"/>
    <w:rsid w:val="00015D13"/>
    <w:rsid w:val="00016081"/>
    <w:rsid w:val="000165AC"/>
    <w:rsid w:val="00016651"/>
    <w:rsid w:val="00016739"/>
    <w:rsid w:val="000168A1"/>
    <w:rsid w:val="000171A2"/>
    <w:rsid w:val="00017B65"/>
    <w:rsid w:val="00020158"/>
    <w:rsid w:val="00020231"/>
    <w:rsid w:val="000207E0"/>
    <w:rsid w:val="000209E2"/>
    <w:rsid w:val="00020F8F"/>
    <w:rsid w:val="00021464"/>
    <w:rsid w:val="0002147E"/>
    <w:rsid w:val="000215A6"/>
    <w:rsid w:val="00021748"/>
    <w:rsid w:val="00021A95"/>
    <w:rsid w:val="00022223"/>
    <w:rsid w:val="0002256F"/>
    <w:rsid w:val="00023DAE"/>
    <w:rsid w:val="0002427B"/>
    <w:rsid w:val="0002432D"/>
    <w:rsid w:val="0002465F"/>
    <w:rsid w:val="00024896"/>
    <w:rsid w:val="00025483"/>
    <w:rsid w:val="00025600"/>
    <w:rsid w:val="00025D0A"/>
    <w:rsid w:val="00025E0C"/>
    <w:rsid w:val="000263A5"/>
    <w:rsid w:val="000263F0"/>
    <w:rsid w:val="000263FE"/>
    <w:rsid w:val="00026407"/>
    <w:rsid w:val="00026608"/>
    <w:rsid w:val="00026A88"/>
    <w:rsid w:val="00027787"/>
    <w:rsid w:val="000278D2"/>
    <w:rsid w:val="00030FF6"/>
    <w:rsid w:val="00031158"/>
    <w:rsid w:val="00031364"/>
    <w:rsid w:val="000315E1"/>
    <w:rsid w:val="000319B1"/>
    <w:rsid w:val="000319F3"/>
    <w:rsid w:val="0003236E"/>
    <w:rsid w:val="00033281"/>
    <w:rsid w:val="0003339A"/>
    <w:rsid w:val="0003370C"/>
    <w:rsid w:val="00033D07"/>
    <w:rsid w:val="000341F2"/>
    <w:rsid w:val="00035046"/>
    <w:rsid w:val="000351F2"/>
    <w:rsid w:val="00036D53"/>
    <w:rsid w:val="00036E03"/>
    <w:rsid w:val="00036EC8"/>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592"/>
    <w:rsid w:val="000449D4"/>
    <w:rsid w:val="00045169"/>
    <w:rsid w:val="00045668"/>
    <w:rsid w:val="00045A95"/>
    <w:rsid w:val="00045E8A"/>
    <w:rsid w:val="000463B5"/>
    <w:rsid w:val="00046717"/>
    <w:rsid w:val="00046A63"/>
    <w:rsid w:val="00046C09"/>
    <w:rsid w:val="0004716A"/>
    <w:rsid w:val="00047385"/>
    <w:rsid w:val="000473E8"/>
    <w:rsid w:val="000504DE"/>
    <w:rsid w:val="00051074"/>
    <w:rsid w:val="00051A08"/>
    <w:rsid w:val="000526F0"/>
    <w:rsid w:val="0005273D"/>
    <w:rsid w:val="00052844"/>
    <w:rsid w:val="00052B79"/>
    <w:rsid w:val="00052EA0"/>
    <w:rsid w:val="00053680"/>
    <w:rsid w:val="000536A7"/>
    <w:rsid w:val="000536E3"/>
    <w:rsid w:val="00053896"/>
    <w:rsid w:val="000540ED"/>
    <w:rsid w:val="0005474D"/>
    <w:rsid w:val="00055CB9"/>
    <w:rsid w:val="00055EEE"/>
    <w:rsid w:val="00056F66"/>
    <w:rsid w:val="0005702F"/>
    <w:rsid w:val="00057270"/>
    <w:rsid w:val="00061010"/>
    <w:rsid w:val="0006120E"/>
    <w:rsid w:val="00061D06"/>
    <w:rsid w:val="00062407"/>
    <w:rsid w:val="00062556"/>
    <w:rsid w:val="00062CDD"/>
    <w:rsid w:val="000635D9"/>
    <w:rsid w:val="00063C5F"/>
    <w:rsid w:val="00063E36"/>
    <w:rsid w:val="00063F7D"/>
    <w:rsid w:val="00063FB0"/>
    <w:rsid w:val="000640AF"/>
    <w:rsid w:val="000642C1"/>
    <w:rsid w:val="00064940"/>
    <w:rsid w:val="00064CAE"/>
    <w:rsid w:val="00064DB7"/>
    <w:rsid w:val="00064FA7"/>
    <w:rsid w:val="00065195"/>
    <w:rsid w:val="0006536C"/>
    <w:rsid w:val="00066813"/>
    <w:rsid w:val="00066D62"/>
    <w:rsid w:val="0006764C"/>
    <w:rsid w:val="00067A2D"/>
    <w:rsid w:val="00070325"/>
    <w:rsid w:val="00070AF1"/>
    <w:rsid w:val="000714DE"/>
    <w:rsid w:val="0007194E"/>
    <w:rsid w:val="0007254F"/>
    <w:rsid w:val="00072CEB"/>
    <w:rsid w:val="00073C30"/>
    <w:rsid w:val="00073F80"/>
    <w:rsid w:val="00074305"/>
    <w:rsid w:val="000744A0"/>
    <w:rsid w:val="000744D0"/>
    <w:rsid w:val="00074B2A"/>
    <w:rsid w:val="00074EEE"/>
    <w:rsid w:val="000753D5"/>
    <w:rsid w:val="00075B3E"/>
    <w:rsid w:val="00076456"/>
    <w:rsid w:val="000764F1"/>
    <w:rsid w:val="0007779B"/>
    <w:rsid w:val="000777E7"/>
    <w:rsid w:val="0007790A"/>
    <w:rsid w:val="00077D90"/>
    <w:rsid w:val="00077F6A"/>
    <w:rsid w:val="0008017B"/>
    <w:rsid w:val="000804FE"/>
    <w:rsid w:val="000808C5"/>
    <w:rsid w:val="00080ACD"/>
    <w:rsid w:val="000811ED"/>
    <w:rsid w:val="000817D0"/>
    <w:rsid w:val="00081818"/>
    <w:rsid w:val="00081D62"/>
    <w:rsid w:val="0008260D"/>
    <w:rsid w:val="000827C5"/>
    <w:rsid w:val="00082B74"/>
    <w:rsid w:val="00083099"/>
    <w:rsid w:val="00083139"/>
    <w:rsid w:val="00083452"/>
    <w:rsid w:val="0008347C"/>
    <w:rsid w:val="00083EDC"/>
    <w:rsid w:val="000842B0"/>
    <w:rsid w:val="000842BE"/>
    <w:rsid w:val="000844E7"/>
    <w:rsid w:val="00084B97"/>
    <w:rsid w:val="0008510E"/>
    <w:rsid w:val="000856DE"/>
    <w:rsid w:val="000859B9"/>
    <w:rsid w:val="00085F17"/>
    <w:rsid w:val="00085FB0"/>
    <w:rsid w:val="00085FB3"/>
    <w:rsid w:val="0008686B"/>
    <w:rsid w:val="00086B2A"/>
    <w:rsid w:val="00086ED2"/>
    <w:rsid w:val="00087C52"/>
    <w:rsid w:val="00087D59"/>
    <w:rsid w:val="000911B6"/>
    <w:rsid w:val="000914D6"/>
    <w:rsid w:val="00091569"/>
    <w:rsid w:val="00091C9A"/>
    <w:rsid w:val="0009217E"/>
    <w:rsid w:val="00092A2C"/>
    <w:rsid w:val="00092CDB"/>
    <w:rsid w:val="00092DCA"/>
    <w:rsid w:val="000935DA"/>
    <w:rsid w:val="00093630"/>
    <w:rsid w:val="00093B65"/>
    <w:rsid w:val="00094121"/>
    <w:rsid w:val="000942EB"/>
    <w:rsid w:val="000948E0"/>
    <w:rsid w:val="00095813"/>
    <w:rsid w:val="00095B70"/>
    <w:rsid w:val="0009617E"/>
    <w:rsid w:val="0009628D"/>
    <w:rsid w:val="0009670F"/>
    <w:rsid w:val="00097342"/>
    <w:rsid w:val="000974E9"/>
    <w:rsid w:val="000979CF"/>
    <w:rsid w:val="000A03C8"/>
    <w:rsid w:val="000A0419"/>
    <w:rsid w:val="000A05F2"/>
    <w:rsid w:val="000A06C4"/>
    <w:rsid w:val="000A0861"/>
    <w:rsid w:val="000A0DF7"/>
    <w:rsid w:val="000A0ED1"/>
    <w:rsid w:val="000A1179"/>
    <w:rsid w:val="000A12DB"/>
    <w:rsid w:val="000A17C8"/>
    <w:rsid w:val="000A1B74"/>
    <w:rsid w:val="000A20D7"/>
    <w:rsid w:val="000A2128"/>
    <w:rsid w:val="000A222E"/>
    <w:rsid w:val="000A236C"/>
    <w:rsid w:val="000A2B06"/>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354D"/>
    <w:rsid w:val="000B3D40"/>
    <w:rsid w:val="000B3F59"/>
    <w:rsid w:val="000B419B"/>
    <w:rsid w:val="000B4D46"/>
    <w:rsid w:val="000B5343"/>
    <w:rsid w:val="000B53C4"/>
    <w:rsid w:val="000B5781"/>
    <w:rsid w:val="000B5789"/>
    <w:rsid w:val="000B5CB1"/>
    <w:rsid w:val="000B633F"/>
    <w:rsid w:val="000B6D08"/>
    <w:rsid w:val="000B7ED3"/>
    <w:rsid w:val="000C0185"/>
    <w:rsid w:val="000C01D5"/>
    <w:rsid w:val="000C063D"/>
    <w:rsid w:val="000C0F81"/>
    <w:rsid w:val="000C128D"/>
    <w:rsid w:val="000C179F"/>
    <w:rsid w:val="000C17A3"/>
    <w:rsid w:val="000C1D4B"/>
    <w:rsid w:val="000C29E4"/>
    <w:rsid w:val="000C2DC4"/>
    <w:rsid w:val="000C3260"/>
    <w:rsid w:val="000C3B77"/>
    <w:rsid w:val="000C3D82"/>
    <w:rsid w:val="000C3F6D"/>
    <w:rsid w:val="000C4A40"/>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0F62"/>
    <w:rsid w:val="000D127B"/>
    <w:rsid w:val="000D1CEB"/>
    <w:rsid w:val="000D2563"/>
    <w:rsid w:val="000D25BF"/>
    <w:rsid w:val="000D2FCC"/>
    <w:rsid w:val="000D3282"/>
    <w:rsid w:val="000D3FDC"/>
    <w:rsid w:val="000D490B"/>
    <w:rsid w:val="000D4E38"/>
    <w:rsid w:val="000D4F79"/>
    <w:rsid w:val="000D50DB"/>
    <w:rsid w:val="000D53F2"/>
    <w:rsid w:val="000D6288"/>
    <w:rsid w:val="000D6FAA"/>
    <w:rsid w:val="000D719E"/>
    <w:rsid w:val="000D7541"/>
    <w:rsid w:val="000D75E1"/>
    <w:rsid w:val="000D79F4"/>
    <w:rsid w:val="000E0259"/>
    <w:rsid w:val="000E047D"/>
    <w:rsid w:val="000E0A36"/>
    <w:rsid w:val="000E110E"/>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2AF"/>
    <w:rsid w:val="000E6BE1"/>
    <w:rsid w:val="000E7A6C"/>
    <w:rsid w:val="000E7E0B"/>
    <w:rsid w:val="000E7E48"/>
    <w:rsid w:val="000F0136"/>
    <w:rsid w:val="000F0772"/>
    <w:rsid w:val="000F078A"/>
    <w:rsid w:val="000F122D"/>
    <w:rsid w:val="000F1450"/>
    <w:rsid w:val="000F14E8"/>
    <w:rsid w:val="000F1BBD"/>
    <w:rsid w:val="000F233C"/>
    <w:rsid w:val="000F2489"/>
    <w:rsid w:val="000F290F"/>
    <w:rsid w:val="000F3061"/>
    <w:rsid w:val="000F394D"/>
    <w:rsid w:val="000F4403"/>
    <w:rsid w:val="000F459A"/>
    <w:rsid w:val="000F4702"/>
    <w:rsid w:val="000F480B"/>
    <w:rsid w:val="000F4DFC"/>
    <w:rsid w:val="000F4E17"/>
    <w:rsid w:val="000F6578"/>
    <w:rsid w:val="000F6C78"/>
    <w:rsid w:val="000F701F"/>
    <w:rsid w:val="000F7E8F"/>
    <w:rsid w:val="000F7FBB"/>
    <w:rsid w:val="001000FB"/>
    <w:rsid w:val="00100314"/>
    <w:rsid w:val="00100A9E"/>
    <w:rsid w:val="00100F6A"/>
    <w:rsid w:val="00101850"/>
    <w:rsid w:val="001024C5"/>
    <w:rsid w:val="00102605"/>
    <w:rsid w:val="00102686"/>
    <w:rsid w:val="00102745"/>
    <w:rsid w:val="00102D06"/>
    <w:rsid w:val="00103795"/>
    <w:rsid w:val="00103915"/>
    <w:rsid w:val="00103CD5"/>
    <w:rsid w:val="00103EA0"/>
    <w:rsid w:val="00104F1C"/>
    <w:rsid w:val="00104FD0"/>
    <w:rsid w:val="001051E5"/>
    <w:rsid w:val="00105A74"/>
    <w:rsid w:val="00105ACB"/>
    <w:rsid w:val="00105AEF"/>
    <w:rsid w:val="00105C63"/>
    <w:rsid w:val="00106259"/>
    <w:rsid w:val="0010653E"/>
    <w:rsid w:val="001068EB"/>
    <w:rsid w:val="00106D84"/>
    <w:rsid w:val="0010741E"/>
    <w:rsid w:val="001077CB"/>
    <w:rsid w:val="001078CE"/>
    <w:rsid w:val="0011044C"/>
    <w:rsid w:val="00110AA1"/>
    <w:rsid w:val="00110F61"/>
    <w:rsid w:val="001111BD"/>
    <w:rsid w:val="00111281"/>
    <w:rsid w:val="00111325"/>
    <w:rsid w:val="0011165A"/>
    <w:rsid w:val="001116C6"/>
    <w:rsid w:val="00111B2B"/>
    <w:rsid w:val="00111BC5"/>
    <w:rsid w:val="00112774"/>
    <w:rsid w:val="00112B2E"/>
    <w:rsid w:val="00113003"/>
    <w:rsid w:val="00113062"/>
    <w:rsid w:val="00113705"/>
    <w:rsid w:val="00113975"/>
    <w:rsid w:val="00113CFC"/>
    <w:rsid w:val="00113FEA"/>
    <w:rsid w:val="001141A6"/>
    <w:rsid w:val="00114A22"/>
    <w:rsid w:val="00114E9D"/>
    <w:rsid w:val="00114ED2"/>
    <w:rsid w:val="0011507B"/>
    <w:rsid w:val="0011527B"/>
    <w:rsid w:val="0011627A"/>
    <w:rsid w:val="001162D6"/>
    <w:rsid w:val="00116328"/>
    <w:rsid w:val="00116334"/>
    <w:rsid w:val="001163CF"/>
    <w:rsid w:val="00117276"/>
    <w:rsid w:val="001174C9"/>
    <w:rsid w:val="00117646"/>
    <w:rsid w:val="0011764D"/>
    <w:rsid w:val="001176F2"/>
    <w:rsid w:val="00117716"/>
    <w:rsid w:val="00117AB4"/>
    <w:rsid w:val="00117E69"/>
    <w:rsid w:val="001204D2"/>
    <w:rsid w:val="00120A45"/>
    <w:rsid w:val="00120BEF"/>
    <w:rsid w:val="00120E10"/>
    <w:rsid w:val="00120EF7"/>
    <w:rsid w:val="00121103"/>
    <w:rsid w:val="0012180F"/>
    <w:rsid w:val="00121BAB"/>
    <w:rsid w:val="00121E3C"/>
    <w:rsid w:val="0012203E"/>
    <w:rsid w:val="00122B23"/>
    <w:rsid w:val="00122B7E"/>
    <w:rsid w:val="0012340B"/>
    <w:rsid w:val="00123AE0"/>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841"/>
    <w:rsid w:val="00140A4F"/>
    <w:rsid w:val="001413AB"/>
    <w:rsid w:val="00141DBF"/>
    <w:rsid w:val="001429DA"/>
    <w:rsid w:val="00142E3A"/>
    <w:rsid w:val="00142EFD"/>
    <w:rsid w:val="00142F55"/>
    <w:rsid w:val="0014363C"/>
    <w:rsid w:val="00144335"/>
    <w:rsid w:val="0014502F"/>
    <w:rsid w:val="00145282"/>
    <w:rsid w:val="001453B0"/>
    <w:rsid w:val="001454D9"/>
    <w:rsid w:val="00145D8E"/>
    <w:rsid w:val="00146046"/>
    <w:rsid w:val="00146083"/>
    <w:rsid w:val="001462F7"/>
    <w:rsid w:val="001467CA"/>
    <w:rsid w:val="00147040"/>
    <w:rsid w:val="00147F35"/>
    <w:rsid w:val="00150005"/>
    <w:rsid w:val="00150015"/>
    <w:rsid w:val="00150BE7"/>
    <w:rsid w:val="0015145A"/>
    <w:rsid w:val="001518D7"/>
    <w:rsid w:val="00151AEB"/>
    <w:rsid w:val="00151B99"/>
    <w:rsid w:val="001521B2"/>
    <w:rsid w:val="001521BC"/>
    <w:rsid w:val="001522B7"/>
    <w:rsid w:val="0015237F"/>
    <w:rsid w:val="00152532"/>
    <w:rsid w:val="00152E4A"/>
    <w:rsid w:val="00152EDD"/>
    <w:rsid w:val="00152FC2"/>
    <w:rsid w:val="00153491"/>
    <w:rsid w:val="0015358C"/>
    <w:rsid w:val="0015361C"/>
    <w:rsid w:val="0015372F"/>
    <w:rsid w:val="00153BFB"/>
    <w:rsid w:val="0015407E"/>
    <w:rsid w:val="0015448E"/>
    <w:rsid w:val="00154A6F"/>
    <w:rsid w:val="001552BD"/>
    <w:rsid w:val="00155D08"/>
    <w:rsid w:val="001560D3"/>
    <w:rsid w:val="00156BE5"/>
    <w:rsid w:val="00156F04"/>
    <w:rsid w:val="00157232"/>
    <w:rsid w:val="00157A58"/>
    <w:rsid w:val="00160401"/>
    <w:rsid w:val="00160A60"/>
    <w:rsid w:val="00160B86"/>
    <w:rsid w:val="00160D18"/>
    <w:rsid w:val="00160D4E"/>
    <w:rsid w:val="00160DF9"/>
    <w:rsid w:val="0016157C"/>
    <w:rsid w:val="00161DDA"/>
    <w:rsid w:val="00161E62"/>
    <w:rsid w:val="00161F1C"/>
    <w:rsid w:val="0016200B"/>
    <w:rsid w:val="00162013"/>
    <w:rsid w:val="001625C8"/>
    <w:rsid w:val="00163102"/>
    <w:rsid w:val="00163D7A"/>
    <w:rsid w:val="00164281"/>
    <w:rsid w:val="00164ACE"/>
    <w:rsid w:val="00165703"/>
    <w:rsid w:val="00166191"/>
    <w:rsid w:val="001662D8"/>
    <w:rsid w:val="0016685F"/>
    <w:rsid w:val="00166B27"/>
    <w:rsid w:val="0016712F"/>
    <w:rsid w:val="001672FC"/>
    <w:rsid w:val="00167503"/>
    <w:rsid w:val="001676A9"/>
    <w:rsid w:val="00167A15"/>
    <w:rsid w:val="00167A50"/>
    <w:rsid w:val="00167DF5"/>
    <w:rsid w:val="00170001"/>
    <w:rsid w:val="001704CE"/>
    <w:rsid w:val="00172198"/>
    <w:rsid w:val="00172612"/>
    <w:rsid w:val="00172817"/>
    <w:rsid w:val="001734E3"/>
    <w:rsid w:val="001742BF"/>
    <w:rsid w:val="00175567"/>
    <w:rsid w:val="00175E49"/>
    <w:rsid w:val="0017649F"/>
    <w:rsid w:val="0017655D"/>
    <w:rsid w:val="00177B7C"/>
    <w:rsid w:val="00177CA1"/>
    <w:rsid w:val="001805C1"/>
    <w:rsid w:val="00180833"/>
    <w:rsid w:val="00180A2E"/>
    <w:rsid w:val="00180E36"/>
    <w:rsid w:val="00180F2A"/>
    <w:rsid w:val="001813AF"/>
    <w:rsid w:val="001829CD"/>
    <w:rsid w:val="00182F01"/>
    <w:rsid w:val="00182FC4"/>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D39"/>
    <w:rsid w:val="00191E63"/>
    <w:rsid w:val="001923E3"/>
    <w:rsid w:val="00192531"/>
    <w:rsid w:val="00192D68"/>
    <w:rsid w:val="00192DF7"/>
    <w:rsid w:val="0019324F"/>
    <w:rsid w:val="0019388B"/>
    <w:rsid w:val="001939C1"/>
    <w:rsid w:val="00193B9A"/>
    <w:rsid w:val="001940ED"/>
    <w:rsid w:val="001946AE"/>
    <w:rsid w:val="001946D5"/>
    <w:rsid w:val="00194E8C"/>
    <w:rsid w:val="001962EC"/>
    <w:rsid w:val="001963DD"/>
    <w:rsid w:val="001965DB"/>
    <w:rsid w:val="00196975"/>
    <w:rsid w:val="00196D01"/>
    <w:rsid w:val="00196D1B"/>
    <w:rsid w:val="00196DC9"/>
    <w:rsid w:val="00196E95"/>
    <w:rsid w:val="001979D6"/>
    <w:rsid w:val="001A005D"/>
    <w:rsid w:val="001A0236"/>
    <w:rsid w:val="001A0529"/>
    <w:rsid w:val="001A0AF8"/>
    <w:rsid w:val="001A171A"/>
    <w:rsid w:val="001A18D5"/>
    <w:rsid w:val="001A1A38"/>
    <w:rsid w:val="001A1B20"/>
    <w:rsid w:val="001A1BE0"/>
    <w:rsid w:val="001A1D4A"/>
    <w:rsid w:val="001A2B34"/>
    <w:rsid w:val="001A3011"/>
    <w:rsid w:val="001A3137"/>
    <w:rsid w:val="001A4A9B"/>
    <w:rsid w:val="001A4DAF"/>
    <w:rsid w:val="001A4E37"/>
    <w:rsid w:val="001A54CD"/>
    <w:rsid w:val="001A66DF"/>
    <w:rsid w:val="001A66F1"/>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2C35"/>
    <w:rsid w:val="001B3154"/>
    <w:rsid w:val="001B3465"/>
    <w:rsid w:val="001B3706"/>
    <w:rsid w:val="001B3C8A"/>
    <w:rsid w:val="001B449C"/>
    <w:rsid w:val="001B4AA2"/>
    <w:rsid w:val="001B4ADE"/>
    <w:rsid w:val="001B4D3A"/>
    <w:rsid w:val="001B4D4E"/>
    <w:rsid w:val="001B5EF8"/>
    <w:rsid w:val="001B615D"/>
    <w:rsid w:val="001B61E9"/>
    <w:rsid w:val="001B6417"/>
    <w:rsid w:val="001B6791"/>
    <w:rsid w:val="001B731A"/>
    <w:rsid w:val="001C07C6"/>
    <w:rsid w:val="001C19CD"/>
    <w:rsid w:val="001C22D5"/>
    <w:rsid w:val="001C250A"/>
    <w:rsid w:val="001C2515"/>
    <w:rsid w:val="001C26FB"/>
    <w:rsid w:val="001C2BE4"/>
    <w:rsid w:val="001C33C1"/>
    <w:rsid w:val="001C3E30"/>
    <w:rsid w:val="001C3E5C"/>
    <w:rsid w:val="001C4A20"/>
    <w:rsid w:val="001C5072"/>
    <w:rsid w:val="001C55F2"/>
    <w:rsid w:val="001C5B2A"/>
    <w:rsid w:val="001C600B"/>
    <w:rsid w:val="001C6306"/>
    <w:rsid w:val="001C65AA"/>
    <w:rsid w:val="001C661B"/>
    <w:rsid w:val="001C6898"/>
    <w:rsid w:val="001C6DD8"/>
    <w:rsid w:val="001C702D"/>
    <w:rsid w:val="001C75EF"/>
    <w:rsid w:val="001C7C7B"/>
    <w:rsid w:val="001D068D"/>
    <w:rsid w:val="001D12D1"/>
    <w:rsid w:val="001D15DF"/>
    <w:rsid w:val="001D2973"/>
    <w:rsid w:val="001D2B3F"/>
    <w:rsid w:val="001D2B74"/>
    <w:rsid w:val="001D30F3"/>
    <w:rsid w:val="001D31A0"/>
    <w:rsid w:val="001D338E"/>
    <w:rsid w:val="001D426C"/>
    <w:rsid w:val="001D4C83"/>
    <w:rsid w:val="001D56E9"/>
    <w:rsid w:val="001D58B9"/>
    <w:rsid w:val="001D5C5C"/>
    <w:rsid w:val="001D5EE1"/>
    <w:rsid w:val="001D6FC3"/>
    <w:rsid w:val="001D70EF"/>
    <w:rsid w:val="001D796A"/>
    <w:rsid w:val="001D7A84"/>
    <w:rsid w:val="001D7C79"/>
    <w:rsid w:val="001E003B"/>
    <w:rsid w:val="001E027B"/>
    <w:rsid w:val="001E04D8"/>
    <w:rsid w:val="001E056E"/>
    <w:rsid w:val="001E0837"/>
    <w:rsid w:val="001E1CC4"/>
    <w:rsid w:val="001E1D38"/>
    <w:rsid w:val="001E2880"/>
    <w:rsid w:val="001E28A0"/>
    <w:rsid w:val="001E35FA"/>
    <w:rsid w:val="001E4258"/>
    <w:rsid w:val="001E4963"/>
    <w:rsid w:val="001E5AEF"/>
    <w:rsid w:val="001E5D6A"/>
    <w:rsid w:val="001E6644"/>
    <w:rsid w:val="001E6A94"/>
    <w:rsid w:val="001E70FB"/>
    <w:rsid w:val="001E780A"/>
    <w:rsid w:val="001F08FE"/>
    <w:rsid w:val="001F0FA0"/>
    <w:rsid w:val="001F1349"/>
    <w:rsid w:val="001F1863"/>
    <w:rsid w:val="001F232B"/>
    <w:rsid w:val="001F2356"/>
    <w:rsid w:val="001F2A68"/>
    <w:rsid w:val="001F3BF5"/>
    <w:rsid w:val="001F3F86"/>
    <w:rsid w:val="001F4773"/>
    <w:rsid w:val="001F4E6F"/>
    <w:rsid w:val="001F5008"/>
    <w:rsid w:val="001F508B"/>
    <w:rsid w:val="001F51A9"/>
    <w:rsid w:val="001F56AA"/>
    <w:rsid w:val="001F58AA"/>
    <w:rsid w:val="001F5A4E"/>
    <w:rsid w:val="001F5EF6"/>
    <w:rsid w:val="001F657F"/>
    <w:rsid w:val="001F6F17"/>
    <w:rsid w:val="001F6FB6"/>
    <w:rsid w:val="001F72BB"/>
    <w:rsid w:val="001F7758"/>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CB6"/>
    <w:rsid w:val="00204E6B"/>
    <w:rsid w:val="0020526F"/>
    <w:rsid w:val="002053EF"/>
    <w:rsid w:val="002058D4"/>
    <w:rsid w:val="00205D9F"/>
    <w:rsid w:val="0020632A"/>
    <w:rsid w:val="0020697F"/>
    <w:rsid w:val="0020795A"/>
    <w:rsid w:val="00210D5C"/>
    <w:rsid w:val="002110EB"/>
    <w:rsid w:val="00211338"/>
    <w:rsid w:val="00211388"/>
    <w:rsid w:val="0021148C"/>
    <w:rsid w:val="00211694"/>
    <w:rsid w:val="00211A05"/>
    <w:rsid w:val="0021201A"/>
    <w:rsid w:val="00212D27"/>
    <w:rsid w:val="00212E0C"/>
    <w:rsid w:val="002131BC"/>
    <w:rsid w:val="002138FE"/>
    <w:rsid w:val="00213A1F"/>
    <w:rsid w:val="00213C63"/>
    <w:rsid w:val="00213EC5"/>
    <w:rsid w:val="00214502"/>
    <w:rsid w:val="00214741"/>
    <w:rsid w:val="0021522D"/>
    <w:rsid w:val="0021539A"/>
    <w:rsid w:val="00215618"/>
    <w:rsid w:val="00215852"/>
    <w:rsid w:val="00215853"/>
    <w:rsid w:val="00215B8E"/>
    <w:rsid w:val="00216264"/>
    <w:rsid w:val="0021660D"/>
    <w:rsid w:val="00217499"/>
    <w:rsid w:val="002176B6"/>
    <w:rsid w:val="0021792D"/>
    <w:rsid w:val="00217DB8"/>
    <w:rsid w:val="002202CE"/>
    <w:rsid w:val="0022032A"/>
    <w:rsid w:val="00220ADF"/>
    <w:rsid w:val="00220B2D"/>
    <w:rsid w:val="002216C0"/>
    <w:rsid w:val="0022194E"/>
    <w:rsid w:val="002219C9"/>
    <w:rsid w:val="002220B1"/>
    <w:rsid w:val="002221CE"/>
    <w:rsid w:val="00222BE8"/>
    <w:rsid w:val="00222F3F"/>
    <w:rsid w:val="00222FBF"/>
    <w:rsid w:val="00223102"/>
    <w:rsid w:val="002232CB"/>
    <w:rsid w:val="00224022"/>
    <w:rsid w:val="00224A66"/>
    <w:rsid w:val="00226055"/>
    <w:rsid w:val="0022613F"/>
    <w:rsid w:val="00226236"/>
    <w:rsid w:val="002270C9"/>
    <w:rsid w:val="002277A8"/>
    <w:rsid w:val="00227A2B"/>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67C1"/>
    <w:rsid w:val="00237065"/>
    <w:rsid w:val="00237589"/>
    <w:rsid w:val="0023758D"/>
    <w:rsid w:val="002375A7"/>
    <w:rsid w:val="0023798D"/>
    <w:rsid w:val="00237D62"/>
    <w:rsid w:val="0024019A"/>
    <w:rsid w:val="00240B18"/>
    <w:rsid w:val="00241146"/>
    <w:rsid w:val="0024120F"/>
    <w:rsid w:val="0024131D"/>
    <w:rsid w:val="002415B8"/>
    <w:rsid w:val="00241ED1"/>
    <w:rsid w:val="00242248"/>
    <w:rsid w:val="00242D62"/>
    <w:rsid w:val="002430BF"/>
    <w:rsid w:val="002430D0"/>
    <w:rsid w:val="002431D7"/>
    <w:rsid w:val="002436E9"/>
    <w:rsid w:val="00243C4B"/>
    <w:rsid w:val="00243F31"/>
    <w:rsid w:val="00244058"/>
    <w:rsid w:val="00244440"/>
    <w:rsid w:val="00245718"/>
    <w:rsid w:val="00245DD8"/>
    <w:rsid w:val="00245E07"/>
    <w:rsid w:val="00246912"/>
    <w:rsid w:val="00246BFB"/>
    <w:rsid w:val="00247610"/>
    <w:rsid w:val="00247712"/>
    <w:rsid w:val="00247949"/>
    <w:rsid w:val="00250EC6"/>
    <w:rsid w:val="002515C7"/>
    <w:rsid w:val="00251866"/>
    <w:rsid w:val="00251A9F"/>
    <w:rsid w:val="00251D8D"/>
    <w:rsid w:val="00252492"/>
    <w:rsid w:val="00252B35"/>
    <w:rsid w:val="0025316D"/>
    <w:rsid w:val="00253A02"/>
    <w:rsid w:val="00253A8F"/>
    <w:rsid w:val="00253AAF"/>
    <w:rsid w:val="00253B81"/>
    <w:rsid w:val="002547CB"/>
    <w:rsid w:val="002554DE"/>
    <w:rsid w:val="00255575"/>
    <w:rsid w:val="00255E11"/>
    <w:rsid w:val="00256835"/>
    <w:rsid w:val="002569F0"/>
    <w:rsid w:val="00256E1A"/>
    <w:rsid w:val="00256ECF"/>
    <w:rsid w:val="00257730"/>
    <w:rsid w:val="00257999"/>
    <w:rsid w:val="002604AA"/>
    <w:rsid w:val="0026129B"/>
    <w:rsid w:val="002613F0"/>
    <w:rsid w:val="00261560"/>
    <w:rsid w:val="0026157A"/>
    <w:rsid w:val="00261715"/>
    <w:rsid w:val="00261CF9"/>
    <w:rsid w:val="00261EC0"/>
    <w:rsid w:val="0026231B"/>
    <w:rsid w:val="00262EA6"/>
    <w:rsid w:val="00263101"/>
    <w:rsid w:val="002631D1"/>
    <w:rsid w:val="00263201"/>
    <w:rsid w:val="00263224"/>
    <w:rsid w:val="002634CA"/>
    <w:rsid w:val="00263A37"/>
    <w:rsid w:val="00263A8A"/>
    <w:rsid w:val="00263B49"/>
    <w:rsid w:val="00263D44"/>
    <w:rsid w:val="00264676"/>
    <w:rsid w:val="0026478A"/>
    <w:rsid w:val="0026480D"/>
    <w:rsid w:val="00264A13"/>
    <w:rsid w:val="00264E8D"/>
    <w:rsid w:val="002653A6"/>
    <w:rsid w:val="00265A92"/>
    <w:rsid w:val="00265F9D"/>
    <w:rsid w:val="00265FD3"/>
    <w:rsid w:val="002661F1"/>
    <w:rsid w:val="00266209"/>
    <w:rsid w:val="00266DB6"/>
    <w:rsid w:val="00267736"/>
    <w:rsid w:val="002710FA"/>
    <w:rsid w:val="002711A4"/>
    <w:rsid w:val="00271F13"/>
    <w:rsid w:val="0027278E"/>
    <w:rsid w:val="00272CC8"/>
    <w:rsid w:val="0027341C"/>
    <w:rsid w:val="00273C26"/>
    <w:rsid w:val="0027482E"/>
    <w:rsid w:val="00274DB5"/>
    <w:rsid w:val="00274E6C"/>
    <w:rsid w:val="00275BB1"/>
    <w:rsid w:val="00275DAA"/>
    <w:rsid w:val="00277933"/>
    <w:rsid w:val="00277F8D"/>
    <w:rsid w:val="00277FA7"/>
    <w:rsid w:val="00280046"/>
    <w:rsid w:val="00280B4F"/>
    <w:rsid w:val="00280F3D"/>
    <w:rsid w:val="0028106A"/>
    <w:rsid w:val="0028130C"/>
    <w:rsid w:val="00281A2B"/>
    <w:rsid w:val="00281EB4"/>
    <w:rsid w:val="0028308E"/>
    <w:rsid w:val="002834E9"/>
    <w:rsid w:val="00283975"/>
    <w:rsid w:val="00283A52"/>
    <w:rsid w:val="00283C5E"/>
    <w:rsid w:val="00283E26"/>
    <w:rsid w:val="0028428F"/>
    <w:rsid w:val="00284C62"/>
    <w:rsid w:val="00284CFC"/>
    <w:rsid w:val="00284EB7"/>
    <w:rsid w:val="00285832"/>
    <w:rsid w:val="00285969"/>
    <w:rsid w:val="00285D4C"/>
    <w:rsid w:val="00285D8C"/>
    <w:rsid w:val="0028663B"/>
    <w:rsid w:val="00286C21"/>
    <w:rsid w:val="00286CEC"/>
    <w:rsid w:val="00286D52"/>
    <w:rsid w:val="002870F9"/>
    <w:rsid w:val="002871A9"/>
    <w:rsid w:val="002872F5"/>
    <w:rsid w:val="00287505"/>
    <w:rsid w:val="0029043A"/>
    <w:rsid w:val="00290781"/>
    <w:rsid w:val="00290922"/>
    <w:rsid w:val="00290D27"/>
    <w:rsid w:val="00290DD0"/>
    <w:rsid w:val="002910A6"/>
    <w:rsid w:val="00291717"/>
    <w:rsid w:val="00291784"/>
    <w:rsid w:val="002920DF"/>
    <w:rsid w:val="0029273C"/>
    <w:rsid w:val="002929BB"/>
    <w:rsid w:val="00292E33"/>
    <w:rsid w:val="00292FF2"/>
    <w:rsid w:val="002942D8"/>
    <w:rsid w:val="00294368"/>
    <w:rsid w:val="00294B78"/>
    <w:rsid w:val="00295416"/>
    <w:rsid w:val="00295885"/>
    <w:rsid w:val="00295949"/>
    <w:rsid w:val="00295CAA"/>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24E"/>
    <w:rsid w:val="002A6AFB"/>
    <w:rsid w:val="002A6B66"/>
    <w:rsid w:val="002A733D"/>
    <w:rsid w:val="002A774A"/>
    <w:rsid w:val="002A78F3"/>
    <w:rsid w:val="002A7938"/>
    <w:rsid w:val="002A7E5C"/>
    <w:rsid w:val="002A7F6D"/>
    <w:rsid w:val="002B03E6"/>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11C1"/>
    <w:rsid w:val="002C1AEE"/>
    <w:rsid w:val="002C24B4"/>
    <w:rsid w:val="002C26CF"/>
    <w:rsid w:val="002C28A6"/>
    <w:rsid w:val="002C2B3A"/>
    <w:rsid w:val="002C2B87"/>
    <w:rsid w:val="002C37FA"/>
    <w:rsid w:val="002C3CF4"/>
    <w:rsid w:val="002C441A"/>
    <w:rsid w:val="002C475A"/>
    <w:rsid w:val="002C4A73"/>
    <w:rsid w:val="002C4B84"/>
    <w:rsid w:val="002C4C0C"/>
    <w:rsid w:val="002C4C48"/>
    <w:rsid w:val="002C5016"/>
    <w:rsid w:val="002C5068"/>
    <w:rsid w:val="002C55FF"/>
    <w:rsid w:val="002C5C2F"/>
    <w:rsid w:val="002C5C87"/>
    <w:rsid w:val="002C5D0F"/>
    <w:rsid w:val="002C60B9"/>
    <w:rsid w:val="002C6292"/>
    <w:rsid w:val="002C62B0"/>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6E57"/>
    <w:rsid w:val="002D7D88"/>
    <w:rsid w:val="002E03E8"/>
    <w:rsid w:val="002E0557"/>
    <w:rsid w:val="002E055C"/>
    <w:rsid w:val="002E063F"/>
    <w:rsid w:val="002E1050"/>
    <w:rsid w:val="002E107C"/>
    <w:rsid w:val="002E107E"/>
    <w:rsid w:val="002E1459"/>
    <w:rsid w:val="002E17B9"/>
    <w:rsid w:val="002E18E5"/>
    <w:rsid w:val="002E1953"/>
    <w:rsid w:val="002E1F40"/>
    <w:rsid w:val="002E2515"/>
    <w:rsid w:val="002E273B"/>
    <w:rsid w:val="002E2CB5"/>
    <w:rsid w:val="002E2D7D"/>
    <w:rsid w:val="002E32D0"/>
    <w:rsid w:val="002E3D76"/>
    <w:rsid w:val="002E40A1"/>
    <w:rsid w:val="002E48EC"/>
    <w:rsid w:val="002E4B44"/>
    <w:rsid w:val="002E4ECB"/>
    <w:rsid w:val="002E4F23"/>
    <w:rsid w:val="002E4F6C"/>
    <w:rsid w:val="002E53C7"/>
    <w:rsid w:val="002E57B7"/>
    <w:rsid w:val="002E5999"/>
    <w:rsid w:val="002E5E8E"/>
    <w:rsid w:val="002E635A"/>
    <w:rsid w:val="002E657C"/>
    <w:rsid w:val="002E6D68"/>
    <w:rsid w:val="002E7847"/>
    <w:rsid w:val="002E7AB7"/>
    <w:rsid w:val="002F0073"/>
    <w:rsid w:val="002F0852"/>
    <w:rsid w:val="002F0D81"/>
    <w:rsid w:val="002F0E20"/>
    <w:rsid w:val="002F167F"/>
    <w:rsid w:val="002F1790"/>
    <w:rsid w:val="002F1C67"/>
    <w:rsid w:val="002F240B"/>
    <w:rsid w:val="002F26B7"/>
    <w:rsid w:val="002F2F50"/>
    <w:rsid w:val="002F33EC"/>
    <w:rsid w:val="002F34E3"/>
    <w:rsid w:val="002F3601"/>
    <w:rsid w:val="002F37F2"/>
    <w:rsid w:val="002F45F6"/>
    <w:rsid w:val="002F479A"/>
    <w:rsid w:val="002F5A6F"/>
    <w:rsid w:val="002F6411"/>
    <w:rsid w:val="002F692F"/>
    <w:rsid w:val="002F71C9"/>
    <w:rsid w:val="002F73F7"/>
    <w:rsid w:val="002F7AD4"/>
    <w:rsid w:val="002F7B66"/>
    <w:rsid w:val="00300CB4"/>
    <w:rsid w:val="00300E24"/>
    <w:rsid w:val="00301409"/>
    <w:rsid w:val="00302ED6"/>
    <w:rsid w:val="003031F6"/>
    <w:rsid w:val="0030333C"/>
    <w:rsid w:val="003033BA"/>
    <w:rsid w:val="00303926"/>
    <w:rsid w:val="00303974"/>
    <w:rsid w:val="00303C19"/>
    <w:rsid w:val="00304150"/>
    <w:rsid w:val="00304200"/>
    <w:rsid w:val="003043A3"/>
    <w:rsid w:val="003049BE"/>
    <w:rsid w:val="00304BD4"/>
    <w:rsid w:val="0030500A"/>
    <w:rsid w:val="003052EB"/>
    <w:rsid w:val="00305FCB"/>
    <w:rsid w:val="003060BC"/>
    <w:rsid w:val="003063C3"/>
    <w:rsid w:val="00306435"/>
    <w:rsid w:val="00306616"/>
    <w:rsid w:val="00306881"/>
    <w:rsid w:val="003069DC"/>
    <w:rsid w:val="00306B44"/>
    <w:rsid w:val="00306D4D"/>
    <w:rsid w:val="00307C44"/>
    <w:rsid w:val="00310066"/>
    <w:rsid w:val="003100AF"/>
    <w:rsid w:val="00310196"/>
    <w:rsid w:val="0031088E"/>
    <w:rsid w:val="00310899"/>
    <w:rsid w:val="00310D01"/>
    <w:rsid w:val="00311376"/>
    <w:rsid w:val="00311929"/>
    <w:rsid w:val="00311A1F"/>
    <w:rsid w:val="00311B47"/>
    <w:rsid w:val="00311D52"/>
    <w:rsid w:val="00312015"/>
    <w:rsid w:val="00312190"/>
    <w:rsid w:val="003123CC"/>
    <w:rsid w:val="003125E0"/>
    <w:rsid w:val="0031271D"/>
    <w:rsid w:val="00312AFA"/>
    <w:rsid w:val="003131F5"/>
    <w:rsid w:val="003132BB"/>
    <w:rsid w:val="00313337"/>
    <w:rsid w:val="00313447"/>
    <w:rsid w:val="00313748"/>
    <w:rsid w:val="00313EA3"/>
    <w:rsid w:val="00314B5C"/>
    <w:rsid w:val="0031535E"/>
    <w:rsid w:val="00315365"/>
    <w:rsid w:val="00315457"/>
    <w:rsid w:val="00315C55"/>
    <w:rsid w:val="003161A4"/>
    <w:rsid w:val="003165B6"/>
    <w:rsid w:val="00316955"/>
    <w:rsid w:val="0031720A"/>
    <w:rsid w:val="0031749B"/>
    <w:rsid w:val="003174E5"/>
    <w:rsid w:val="003175CE"/>
    <w:rsid w:val="00317A3D"/>
    <w:rsid w:val="00317C9D"/>
    <w:rsid w:val="00317CD2"/>
    <w:rsid w:val="00317D99"/>
    <w:rsid w:val="0032078D"/>
    <w:rsid w:val="0032086F"/>
    <w:rsid w:val="00320ADF"/>
    <w:rsid w:val="0032137B"/>
    <w:rsid w:val="00321BD6"/>
    <w:rsid w:val="00321C61"/>
    <w:rsid w:val="00321FA3"/>
    <w:rsid w:val="003227D3"/>
    <w:rsid w:val="0032284F"/>
    <w:rsid w:val="00322937"/>
    <w:rsid w:val="00322BA1"/>
    <w:rsid w:val="003232D1"/>
    <w:rsid w:val="00323881"/>
    <w:rsid w:val="00324093"/>
    <w:rsid w:val="003247ED"/>
    <w:rsid w:val="003251A8"/>
    <w:rsid w:val="003254B1"/>
    <w:rsid w:val="003257E1"/>
    <w:rsid w:val="0032586E"/>
    <w:rsid w:val="00325D98"/>
    <w:rsid w:val="0032682A"/>
    <w:rsid w:val="00326DAB"/>
    <w:rsid w:val="00327781"/>
    <w:rsid w:val="00327898"/>
    <w:rsid w:val="00327A5C"/>
    <w:rsid w:val="003300B3"/>
    <w:rsid w:val="0033080A"/>
    <w:rsid w:val="0033092C"/>
    <w:rsid w:val="00330E4A"/>
    <w:rsid w:val="0033112A"/>
    <w:rsid w:val="0033122A"/>
    <w:rsid w:val="003315AC"/>
    <w:rsid w:val="00331646"/>
    <w:rsid w:val="00331932"/>
    <w:rsid w:val="00332382"/>
    <w:rsid w:val="00332453"/>
    <w:rsid w:val="0033251B"/>
    <w:rsid w:val="00332F8C"/>
    <w:rsid w:val="00333A88"/>
    <w:rsid w:val="00333BC9"/>
    <w:rsid w:val="00334CE9"/>
    <w:rsid w:val="00335B15"/>
    <w:rsid w:val="00335B21"/>
    <w:rsid w:val="00335D3F"/>
    <w:rsid w:val="00336104"/>
    <w:rsid w:val="0033660B"/>
    <w:rsid w:val="00336729"/>
    <w:rsid w:val="00336FCA"/>
    <w:rsid w:val="0033726D"/>
    <w:rsid w:val="0033746A"/>
    <w:rsid w:val="00337CA8"/>
    <w:rsid w:val="00340771"/>
    <w:rsid w:val="00340D3F"/>
    <w:rsid w:val="0034174B"/>
    <w:rsid w:val="0034177C"/>
    <w:rsid w:val="00341EBD"/>
    <w:rsid w:val="0034204E"/>
    <w:rsid w:val="003420E9"/>
    <w:rsid w:val="00342345"/>
    <w:rsid w:val="00342C27"/>
    <w:rsid w:val="00342F14"/>
    <w:rsid w:val="00343080"/>
    <w:rsid w:val="003430C8"/>
    <w:rsid w:val="003432C8"/>
    <w:rsid w:val="003432D9"/>
    <w:rsid w:val="00343418"/>
    <w:rsid w:val="003434B3"/>
    <w:rsid w:val="00343536"/>
    <w:rsid w:val="00343EFB"/>
    <w:rsid w:val="00344026"/>
    <w:rsid w:val="0034437F"/>
    <w:rsid w:val="00344760"/>
    <w:rsid w:val="003454E8"/>
    <w:rsid w:val="00345574"/>
    <w:rsid w:val="003462AB"/>
    <w:rsid w:val="0034680A"/>
    <w:rsid w:val="00346C62"/>
    <w:rsid w:val="00347202"/>
    <w:rsid w:val="003474A1"/>
    <w:rsid w:val="003476A0"/>
    <w:rsid w:val="0034777C"/>
    <w:rsid w:val="0034778E"/>
    <w:rsid w:val="00347A5A"/>
    <w:rsid w:val="003501E2"/>
    <w:rsid w:val="0035166C"/>
    <w:rsid w:val="00351E10"/>
    <w:rsid w:val="00352091"/>
    <w:rsid w:val="003533F4"/>
    <w:rsid w:val="003536F6"/>
    <w:rsid w:val="0035375F"/>
    <w:rsid w:val="003539D2"/>
    <w:rsid w:val="00353BBC"/>
    <w:rsid w:val="00353DD5"/>
    <w:rsid w:val="00354002"/>
    <w:rsid w:val="00354964"/>
    <w:rsid w:val="00354CAC"/>
    <w:rsid w:val="00355131"/>
    <w:rsid w:val="0035585E"/>
    <w:rsid w:val="00355C52"/>
    <w:rsid w:val="00355F74"/>
    <w:rsid w:val="003560DB"/>
    <w:rsid w:val="003564C4"/>
    <w:rsid w:val="003564DB"/>
    <w:rsid w:val="00356F87"/>
    <w:rsid w:val="00360B2E"/>
    <w:rsid w:val="00360CE8"/>
    <w:rsid w:val="00360CF3"/>
    <w:rsid w:val="003612F3"/>
    <w:rsid w:val="00361A59"/>
    <w:rsid w:val="00363348"/>
    <w:rsid w:val="00363725"/>
    <w:rsid w:val="00363857"/>
    <w:rsid w:val="00363D59"/>
    <w:rsid w:val="003640F7"/>
    <w:rsid w:val="003649F8"/>
    <w:rsid w:val="00365D3A"/>
    <w:rsid w:val="003661AF"/>
    <w:rsid w:val="003664FF"/>
    <w:rsid w:val="00366BD2"/>
    <w:rsid w:val="00366F1C"/>
    <w:rsid w:val="003670B8"/>
    <w:rsid w:val="00367519"/>
    <w:rsid w:val="00367F2C"/>
    <w:rsid w:val="00370044"/>
    <w:rsid w:val="00370427"/>
    <w:rsid w:val="003704A3"/>
    <w:rsid w:val="003706F2"/>
    <w:rsid w:val="00370A81"/>
    <w:rsid w:val="00371152"/>
    <w:rsid w:val="0037124F"/>
    <w:rsid w:val="0037162B"/>
    <w:rsid w:val="00372051"/>
    <w:rsid w:val="003722B3"/>
    <w:rsid w:val="003722E6"/>
    <w:rsid w:val="00372C04"/>
    <w:rsid w:val="0037376B"/>
    <w:rsid w:val="00373827"/>
    <w:rsid w:val="0037401C"/>
    <w:rsid w:val="0037453B"/>
    <w:rsid w:val="00374D49"/>
    <w:rsid w:val="0037507B"/>
    <w:rsid w:val="00375C7C"/>
    <w:rsid w:val="00376182"/>
    <w:rsid w:val="00377027"/>
    <w:rsid w:val="00377135"/>
    <w:rsid w:val="00377FEF"/>
    <w:rsid w:val="00380272"/>
    <w:rsid w:val="003805DB"/>
    <w:rsid w:val="0038079F"/>
    <w:rsid w:val="0038152A"/>
    <w:rsid w:val="00382529"/>
    <w:rsid w:val="00382813"/>
    <w:rsid w:val="00382BAD"/>
    <w:rsid w:val="0038333E"/>
    <w:rsid w:val="003835FD"/>
    <w:rsid w:val="00383632"/>
    <w:rsid w:val="0038492B"/>
    <w:rsid w:val="00384DF1"/>
    <w:rsid w:val="00384FF3"/>
    <w:rsid w:val="0038512F"/>
    <w:rsid w:val="00386456"/>
    <w:rsid w:val="003865A9"/>
    <w:rsid w:val="00387BD8"/>
    <w:rsid w:val="0039038D"/>
    <w:rsid w:val="00390811"/>
    <w:rsid w:val="0039092B"/>
    <w:rsid w:val="00390C01"/>
    <w:rsid w:val="00390C57"/>
    <w:rsid w:val="00390EB1"/>
    <w:rsid w:val="00390F32"/>
    <w:rsid w:val="0039135E"/>
    <w:rsid w:val="00391EBF"/>
    <w:rsid w:val="00392A0C"/>
    <w:rsid w:val="0039319C"/>
    <w:rsid w:val="00393498"/>
    <w:rsid w:val="00393577"/>
    <w:rsid w:val="00393C2B"/>
    <w:rsid w:val="00393CAE"/>
    <w:rsid w:val="00394178"/>
    <w:rsid w:val="003945F4"/>
    <w:rsid w:val="0039471F"/>
    <w:rsid w:val="00394A67"/>
    <w:rsid w:val="00394EB5"/>
    <w:rsid w:val="0039514F"/>
    <w:rsid w:val="003953B4"/>
    <w:rsid w:val="00395E67"/>
    <w:rsid w:val="0039615F"/>
    <w:rsid w:val="003966A0"/>
    <w:rsid w:val="00396A29"/>
    <w:rsid w:val="00397007"/>
    <w:rsid w:val="0039773A"/>
    <w:rsid w:val="00397A4C"/>
    <w:rsid w:val="00397A8F"/>
    <w:rsid w:val="00397FF0"/>
    <w:rsid w:val="003A0878"/>
    <w:rsid w:val="003A1244"/>
    <w:rsid w:val="003A1561"/>
    <w:rsid w:val="003A1D25"/>
    <w:rsid w:val="003A2111"/>
    <w:rsid w:val="003A22A2"/>
    <w:rsid w:val="003A236C"/>
    <w:rsid w:val="003A2447"/>
    <w:rsid w:val="003A2AA1"/>
    <w:rsid w:val="003A31A5"/>
    <w:rsid w:val="003A329A"/>
    <w:rsid w:val="003A3501"/>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A7F59"/>
    <w:rsid w:val="003B0341"/>
    <w:rsid w:val="003B06E2"/>
    <w:rsid w:val="003B07F6"/>
    <w:rsid w:val="003B1AF1"/>
    <w:rsid w:val="003B1DAF"/>
    <w:rsid w:val="003B1E57"/>
    <w:rsid w:val="003B27C9"/>
    <w:rsid w:val="003B2DFA"/>
    <w:rsid w:val="003B2E90"/>
    <w:rsid w:val="003B2EF3"/>
    <w:rsid w:val="003B342D"/>
    <w:rsid w:val="003B34B5"/>
    <w:rsid w:val="003B36B3"/>
    <w:rsid w:val="003B45AD"/>
    <w:rsid w:val="003B4A4D"/>
    <w:rsid w:val="003B534F"/>
    <w:rsid w:val="003B5391"/>
    <w:rsid w:val="003B58CE"/>
    <w:rsid w:val="003B65D7"/>
    <w:rsid w:val="003B65E0"/>
    <w:rsid w:val="003B6721"/>
    <w:rsid w:val="003B6BD4"/>
    <w:rsid w:val="003B6F4D"/>
    <w:rsid w:val="003B6FE7"/>
    <w:rsid w:val="003B7ECB"/>
    <w:rsid w:val="003B7ED6"/>
    <w:rsid w:val="003B7F37"/>
    <w:rsid w:val="003B7F87"/>
    <w:rsid w:val="003C0012"/>
    <w:rsid w:val="003C06ED"/>
    <w:rsid w:val="003C087C"/>
    <w:rsid w:val="003C095A"/>
    <w:rsid w:val="003C0D1F"/>
    <w:rsid w:val="003C0E41"/>
    <w:rsid w:val="003C116A"/>
    <w:rsid w:val="003C13CD"/>
    <w:rsid w:val="003C1647"/>
    <w:rsid w:val="003C1AF4"/>
    <w:rsid w:val="003C1B50"/>
    <w:rsid w:val="003C1C9C"/>
    <w:rsid w:val="003C1CB8"/>
    <w:rsid w:val="003C22DA"/>
    <w:rsid w:val="003C2550"/>
    <w:rsid w:val="003C287F"/>
    <w:rsid w:val="003C2A4D"/>
    <w:rsid w:val="003C31A1"/>
    <w:rsid w:val="003C3339"/>
    <w:rsid w:val="003C375A"/>
    <w:rsid w:val="003C3F06"/>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1775"/>
    <w:rsid w:val="003D21C1"/>
    <w:rsid w:val="003D2759"/>
    <w:rsid w:val="003D2FDB"/>
    <w:rsid w:val="003D3632"/>
    <w:rsid w:val="003D3B15"/>
    <w:rsid w:val="003D3B2E"/>
    <w:rsid w:val="003D4101"/>
    <w:rsid w:val="003D484D"/>
    <w:rsid w:val="003D49CB"/>
    <w:rsid w:val="003D6823"/>
    <w:rsid w:val="003D6B8F"/>
    <w:rsid w:val="003D6F7A"/>
    <w:rsid w:val="003D7566"/>
    <w:rsid w:val="003D7FB3"/>
    <w:rsid w:val="003E006D"/>
    <w:rsid w:val="003E0224"/>
    <w:rsid w:val="003E064F"/>
    <w:rsid w:val="003E067E"/>
    <w:rsid w:val="003E09BB"/>
    <w:rsid w:val="003E0FB3"/>
    <w:rsid w:val="003E159D"/>
    <w:rsid w:val="003E20EA"/>
    <w:rsid w:val="003E210C"/>
    <w:rsid w:val="003E245E"/>
    <w:rsid w:val="003E2F55"/>
    <w:rsid w:val="003E2FA3"/>
    <w:rsid w:val="003E3239"/>
    <w:rsid w:val="003E34DB"/>
    <w:rsid w:val="003E3833"/>
    <w:rsid w:val="003E3AF9"/>
    <w:rsid w:val="003E44BB"/>
    <w:rsid w:val="003E4A70"/>
    <w:rsid w:val="003E4C48"/>
    <w:rsid w:val="003E4CD9"/>
    <w:rsid w:val="003E52C2"/>
    <w:rsid w:val="003E54B3"/>
    <w:rsid w:val="003E5780"/>
    <w:rsid w:val="003E5B9F"/>
    <w:rsid w:val="003E6072"/>
    <w:rsid w:val="003E64E0"/>
    <w:rsid w:val="003E67DE"/>
    <w:rsid w:val="003E6AB6"/>
    <w:rsid w:val="003E6E0B"/>
    <w:rsid w:val="003E71CD"/>
    <w:rsid w:val="003E72F0"/>
    <w:rsid w:val="003E78DA"/>
    <w:rsid w:val="003E7A8B"/>
    <w:rsid w:val="003F060E"/>
    <w:rsid w:val="003F0F73"/>
    <w:rsid w:val="003F0F7F"/>
    <w:rsid w:val="003F115C"/>
    <w:rsid w:val="003F155A"/>
    <w:rsid w:val="003F2B26"/>
    <w:rsid w:val="003F300D"/>
    <w:rsid w:val="003F31C0"/>
    <w:rsid w:val="003F391F"/>
    <w:rsid w:val="003F4599"/>
    <w:rsid w:val="003F45E1"/>
    <w:rsid w:val="003F4F6C"/>
    <w:rsid w:val="003F559E"/>
    <w:rsid w:val="003F560A"/>
    <w:rsid w:val="003F6181"/>
    <w:rsid w:val="003F662E"/>
    <w:rsid w:val="003F6BFC"/>
    <w:rsid w:val="003F7343"/>
    <w:rsid w:val="003F74EB"/>
    <w:rsid w:val="00400002"/>
    <w:rsid w:val="00400054"/>
    <w:rsid w:val="004004EA"/>
    <w:rsid w:val="00400C41"/>
    <w:rsid w:val="004010C2"/>
    <w:rsid w:val="004016A3"/>
    <w:rsid w:val="00401B31"/>
    <w:rsid w:val="00401EEA"/>
    <w:rsid w:val="0040202B"/>
    <w:rsid w:val="00402502"/>
    <w:rsid w:val="0040284C"/>
    <w:rsid w:val="00402DE1"/>
    <w:rsid w:val="00402EEB"/>
    <w:rsid w:val="004037C2"/>
    <w:rsid w:val="00404041"/>
    <w:rsid w:val="004047DF"/>
    <w:rsid w:val="00404B43"/>
    <w:rsid w:val="00404C61"/>
    <w:rsid w:val="00405184"/>
    <w:rsid w:val="00405487"/>
    <w:rsid w:val="00405B8A"/>
    <w:rsid w:val="0040602B"/>
    <w:rsid w:val="00406359"/>
    <w:rsid w:val="004064E8"/>
    <w:rsid w:val="00406599"/>
    <w:rsid w:val="00406DF5"/>
    <w:rsid w:val="00406E6D"/>
    <w:rsid w:val="00406F35"/>
    <w:rsid w:val="00406F8E"/>
    <w:rsid w:val="0040798E"/>
    <w:rsid w:val="00407A7A"/>
    <w:rsid w:val="00407ABC"/>
    <w:rsid w:val="00407F1E"/>
    <w:rsid w:val="00407F98"/>
    <w:rsid w:val="004101CA"/>
    <w:rsid w:val="00410A88"/>
    <w:rsid w:val="00411317"/>
    <w:rsid w:val="00411692"/>
    <w:rsid w:val="00411A9E"/>
    <w:rsid w:val="004122CD"/>
    <w:rsid w:val="0041259F"/>
    <w:rsid w:val="00412B4D"/>
    <w:rsid w:val="00412C51"/>
    <w:rsid w:val="00413262"/>
    <w:rsid w:val="0041329C"/>
    <w:rsid w:val="00413920"/>
    <w:rsid w:val="004139F4"/>
    <w:rsid w:val="00413FFA"/>
    <w:rsid w:val="00414229"/>
    <w:rsid w:val="00414246"/>
    <w:rsid w:val="00414D9A"/>
    <w:rsid w:val="00415194"/>
    <w:rsid w:val="00415379"/>
    <w:rsid w:val="00415816"/>
    <w:rsid w:val="00415B88"/>
    <w:rsid w:val="00415D32"/>
    <w:rsid w:val="004160A2"/>
    <w:rsid w:val="004170D7"/>
    <w:rsid w:val="004177A6"/>
    <w:rsid w:val="00417C23"/>
    <w:rsid w:val="00417E46"/>
    <w:rsid w:val="00417EFD"/>
    <w:rsid w:val="004200EE"/>
    <w:rsid w:val="004209D2"/>
    <w:rsid w:val="00420D6E"/>
    <w:rsid w:val="00420DFA"/>
    <w:rsid w:val="00420ECA"/>
    <w:rsid w:val="0042158C"/>
    <w:rsid w:val="00421A52"/>
    <w:rsid w:val="00421BD2"/>
    <w:rsid w:val="00421E00"/>
    <w:rsid w:val="00421F51"/>
    <w:rsid w:val="00421F8A"/>
    <w:rsid w:val="00421FCB"/>
    <w:rsid w:val="004220F8"/>
    <w:rsid w:val="004224A4"/>
    <w:rsid w:val="00422DCA"/>
    <w:rsid w:val="00423BAB"/>
    <w:rsid w:val="00423CB4"/>
    <w:rsid w:val="00423F9F"/>
    <w:rsid w:val="00425845"/>
    <w:rsid w:val="00425C43"/>
    <w:rsid w:val="00425D70"/>
    <w:rsid w:val="00425DD1"/>
    <w:rsid w:val="00426058"/>
    <w:rsid w:val="004266A1"/>
    <w:rsid w:val="004273FA"/>
    <w:rsid w:val="004275A7"/>
    <w:rsid w:val="00430186"/>
    <w:rsid w:val="004302C2"/>
    <w:rsid w:val="004303D2"/>
    <w:rsid w:val="00430682"/>
    <w:rsid w:val="00431017"/>
    <w:rsid w:val="00431599"/>
    <w:rsid w:val="00431C0B"/>
    <w:rsid w:val="0043269A"/>
    <w:rsid w:val="00432A23"/>
    <w:rsid w:val="00432B3C"/>
    <w:rsid w:val="00432C6D"/>
    <w:rsid w:val="004333C2"/>
    <w:rsid w:val="00434787"/>
    <w:rsid w:val="0043488C"/>
    <w:rsid w:val="00434C13"/>
    <w:rsid w:val="00435703"/>
    <w:rsid w:val="00435BD5"/>
    <w:rsid w:val="00435EBA"/>
    <w:rsid w:val="00436156"/>
    <w:rsid w:val="00436323"/>
    <w:rsid w:val="0043676B"/>
    <w:rsid w:val="0043683F"/>
    <w:rsid w:val="00436F40"/>
    <w:rsid w:val="004370FA"/>
    <w:rsid w:val="00437D55"/>
    <w:rsid w:val="00440096"/>
    <w:rsid w:val="0044017F"/>
    <w:rsid w:val="004403DD"/>
    <w:rsid w:val="004405CD"/>
    <w:rsid w:val="00440CF3"/>
    <w:rsid w:val="00440DB0"/>
    <w:rsid w:val="00440DD6"/>
    <w:rsid w:val="00440DDC"/>
    <w:rsid w:val="00440FAD"/>
    <w:rsid w:val="00441291"/>
    <w:rsid w:val="00441E04"/>
    <w:rsid w:val="004420AB"/>
    <w:rsid w:val="004422D6"/>
    <w:rsid w:val="004427AC"/>
    <w:rsid w:val="00442823"/>
    <w:rsid w:val="00442C7D"/>
    <w:rsid w:val="00442D4D"/>
    <w:rsid w:val="004435DF"/>
    <w:rsid w:val="0044374D"/>
    <w:rsid w:val="00443B55"/>
    <w:rsid w:val="00443D27"/>
    <w:rsid w:val="0044414B"/>
    <w:rsid w:val="004445EB"/>
    <w:rsid w:val="0044478A"/>
    <w:rsid w:val="00444D02"/>
    <w:rsid w:val="00444E29"/>
    <w:rsid w:val="00445001"/>
    <w:rsid w:val="0044500B"/>
    <w:rsid w:val="004451FC"/>
    <w:rsid w:val="00446037"/>
    <w:rsid w:val="0044642F"/>
    <w:rsid w:val="004473C9"/>
    <w:rsid w:val="004476D6"/>
    <w:rsid w:val="0044772C"/>
    <w:rsid w:val="00447D53"/>
    <w:rsid w:val="0045074A"/>
    <w:rsid w:val="00450846"/>
    <w:rsid w:val="00451A52"/>
    <w:rsid w:val="0045271D"/>
    <w:rsid w:val="00452755"/>
    <w:rsid w:val="00452803"/>
    <w:rsid w:val="004529A6"/>
    <w:rsid w:val="004529C6"/>
    <w:rsid w:val="00452C53"/>
    <w:rsid w:val="00452EAD"/>
    <w:rsid w:val="004533A8"/>
    <w:rsid w:val="004533D1"/>
    <w:rsid w:val="004534D1"/>
    <w:rsid w:val="00454390"/>
    <w:rsid w:val="00454548"/>
    <w:rsid w:val="00454717"/>
    <w:rsid w:val="00454F20"/>
    <w:rsid w:val="00454FC6"/>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57FCD"/>
    <w:rsid w:val="00460915"/>
    <w:rsid w:val="00460946"/>
    <w:rsid w:val="004614A9"/>
    <w:rsid w:val="00461DCB"/>
    <w:rsid w:val="00461E97"/>
    <w:rsid w:val="004623D1"/>
    <w:rsid w:val="0046268F"/>
    <w:rsid w:val="0046284F"/>
    <w:rsid w:val="00462B10"/>
    <w:rsid w:val="00462C04"/>
    <w:rsid w:val="0046320A"/>
    <w:rsid w:val="004632E2"/>
    <w:rsid w:val="004636EE"/>
    <w:rsid w:val="004638E2"/>
    <w:rsid w:val="00464030"/>
    <w:rsid w:val="004647F8"/>
    <w:rsid w:val="004647FB"/>
    <w:rsid w:val="00465347"/>
    <w:rsid w:val="00465677"/>
    <w:rsid w:val="00465745"/>
    <w:rsid w:val="00466616"/>
    <w:rsid w:val="00466A0C"/>
    <w:rsid w:val="00466A53"/>
    <w:rsid w:val="004673A8"/>
    <w:rsid w:val="0046753A"/>
    <w:rsid w:val="00467CA9"/>
    <w:rsid w:val="00467D4E"/>
    <w:rsid w:val="0047098A"/>
    <w:rsid w:val="00470A6A"/>
    <w:rsid w:val="00470D73"/>
    <w:rsid w:val="00470D92"/>
    <w:rsid w:val="004711D0"/>
    <w:rsid w:val="0047188F"/>
    <w:rsid w:val="00471DF7"/>
    <w:rsid w:val="00471FD5"/>
    <w:rsid w:val="004720F3"/>
    <w:rsid w:val="00472450"/>
    <w:rsid w:val="00472E6B"/>
    <w:rsid w:val="004734CF"/>
    <w:rsid w:val="004737EA"/>
    <w:rsid w:val="00473BD9"/>
    <w:rsid w:val="00474665"/>
    <w:rsid w:val="00475A10"/>
    <w:rsid w:val="00475C5A"/>
    <w:rsid w:val="00475C78"/>
    <w:rsid w:val="00475C9C"/>
    <w:rsid w:val="00475D37"/>
    <w:rsid w:val="0047676B"/>
    <w:rsid w:val="004768D3"/>
    <w:rsid w:val="00476E01"/>
    <w:rsid w:val="00477031"/>
    <w:rsid w:val="0047736D"/>
    <w:rsid w:val="0047773C"/>
    <w:rsid w:val="00477C5F"/>
    <w:rsid w:val="00477D59"/>
    <w:rsid w:val="00477F7E"/>
    <w:rsid w:val="00480050"/>
    <w:rsid w:val="004800E5"/>
    <w:rsid w:val="0048011C"/>
    <w:rsid w:val="00480770"/>
    <w:rsid w:val="004808DE"/>
    <w:rsid w:val="0048117B"/>
    <w:rsid w:val="00481AC4"/>
    <w:rsid w:val="00481DC1"/>
    <w:rsid w:val="00482117"/>
    <w:rsid w:val="00482507"/>
    <w:rsid w:val="0048268A"/>
    <w:rsid w:val="00482E12"/>
    <w:rsid w:val="004835CA"/>
    <w:rsid w:val="004836F8"/>
    <w:rsid w:val="004836FE"/>
    <w:rsid w:val="00484C97"/>
    <w:rsid w:val="00484F0F"/>
    <w:rsid w:val="00484F40"/>
    <w:rsid w:val="004850A3"/>
    <w:rsid w:val="004853CD"/>
    <w:rsid w:val="0048540C"/>
    <w:rsid w:val="00485D18"/>
    <w:rsid w:val="004861B4"/>
    <w:rsid w:val="0048638B"/>
    <w:rsid w:val="00486BD0"/>
    <w:rsid w:val="00486D00"/>
    <w:rsid w:val="00487263"/>
    <w:rsid w:val="0048734F"/>
    <w:rsid w:val="004877B4"/>
    <w:rsid w:val="0048785D"/>
    <w:rsid w:val="00487B34"/>
    <w:rsid w:val="0049015B"/>
    <w:rsid w:val="0049029D"/>
    <w:rsid w:val="0049030C"/>
    <w:rsid w:val="004903C0"/>
    <w:rsid w:val="004907FA"/>
    <w:rsid w:val="0049114B"/>
    <w:rsid w:val="004912A8"/>
    <w:rsid w:val="00491577"/>
    <w:rsid w:val="0049196A"/>
    <w:rsid w:val="0049196E"/>
    <w:rsid w:val="00491B54"/>
    <w:rsid w:val="0049241A"/>
    <w:rsid w:val="0049250D"/>
    <w:rsid w:val="00492C1F"/>
    <w:rsid w:val="00492E4C"/>
    <w:rsid w:val="00493664"/>
    <w:rsid w:val="004936A9"/>
    <w:rsid w:val="004938E1"/>
    <w:rsid w:val="004939C1"/>
    <w:rsid w:val="00493E04"/>
    <w:rsid w:val="004940E3"/>
    <w:rsid w:val="00494269"/>
    <w:rsid w:val="0049530F"/>
    <w:rsid w:val="00495E35"/>
    <w:rsid w:val="00496046"/>
    <w:rsid w:val="00496664"/>
    <w:rsid w:val="00496786"/>
    <w:rsid w:val="0049695B"/>
    <w:rsid w:val="00496D8F"/>
    <w:rsid w:val="00497463"/>
    <w:rsid w:val="004977E5"/>
    <w:rsid w:val="004A0381"/>
    <w:rsid w:val="004A03FC"/>
    <w:rsid w:val="004A054C"/>
    <w:rsid w:val="004A08D1"/>
    <w:rsid w:val="004A12F3"/>
    <w:rsid w:val="004A16C1"/>
    <w:rsid w:val="004A1CE2"/>
    <w:rsid w:val="004A1DF9"/>
    <w:rsid w:val="004A24BC"/>
    <w:rsid w:val="004A2A99"/>
    <w:rsid w:val="004A33AD"/>
    <w:rsid w:val="004A34D2"/>
    <w:rsid w:val="004A3A10"/>
    <w:rsid w:val="004A3C96"/>
    <w:rsid w:val="004A4301"/>
    <w:rsid w:val="004A4D70"/>
    <w:rsid w:val="004A4D93"/>
    <w:rsid w:val="004A58EE"/>
    <w:rsid w:val="004A59B7"/>
    <w:rsid w:val="004A5C13"/>
    <w:rsid w:val="004A6051"/>
    <w:rsid w:val="004A623B"/>
    <w:rsid w:val="004A6334"/>
    <w:rsid w:val="004A65AC"/>
    <w:rsid w:val="004A6A04"/>
    <w:rsid w:val="004A6A52"/>
    <w:rsid w:val="004A71AB"/>
    <w:rsid w:val="004B02CF"/>
    <w:rsid w:val="004B0A44"/>
    <w:rsid w:val="004B0F0B"/>
    <w:rsid w:val="004B0F13"/>
    <w:rsid w:val="004B1323"/>
    <w:rsid w:val="004B1A5A"/>
    <w:rsid w:val="004B2197"/>
    <w:rsid w:val="004B28BB"/>
    <w:rsid w:val="004B298A"/>
    <w:rsid w:val="004B2B14"/>
    <w:rsid w:val="004B3751"/>
    <w:rsid w:val="004B4BCC"/>
    <w:rsid w:val="004B50CB"/>
    <w:rsid w:val="004B52D4"/>
    <w:rsid w:val="004B578D"/>
    <w:rsid w:val="004B5835"/>
    <w:rsid w:val="004B5BE7"/>
    <w:rsid w:val="004B5E2D"/>
    <w:rsid w:val="004B6C07"/>
    <w:rsid w:val="004B74D3"/>
    <w:rsid w:val="004B788E"/>
    <w:rsid w:val="004B78E1"/>
    <w:rsid w:val="004B7CE5"/>
    <w:rsid w:val="004B7E5D"/>
    <w:rsid w:val="004C033C"/>
    <w:rsid w:val="004C1033"/>
    <w:rsid w:val="004C13E9"/>
    <w:rsid w:val="004C1F58"/>
    <w:rsid w:val="004C2180"/>
    <w:rsid w:val="004C22F7"/>
    <w:rsid w:val="004C2310"/>
    <w:rsid w:val="004C2B27"/>
    <w:rsid w:val="004C3929"/>
    <w:rsid w:val="004C4AB0"/>
    <w:rsid w:val="004C4AE5"/>
    <w:rsid w:val="004C4D4D"/>
    <w:rsid w:val="004C5212"/>
    <w:rsid w:val="004C580A"/>
    <w:rsid w:val="004C5EF0"/>
    <w:rsid w:val="004C64C9"/>
    <w:rsid w:val="004C6862"/>
    <w:rsid w:val="004C6B9F"/>
    <w:rsid w:val="004C7226"/>
    <w:rsid w:val="004C74C9"/>
    <w:rsid w:val="004C76C1"/>
    <w:rsid w:val="004C7915"/>
    <w:rsid w:val="004C7D70"/>
    <w:rsid w:val="004D02F9"/>
    <w:rsid w:val="004D03FE"/>
    <w:rsid w:val="004D0446"/>
    <w:rsid w:val="004D052E"/>
    <w:rsid w:val="004D06A3"/>
    <w:rsid w:val="004D0F95"/>
    <w:rsid w:val="004D106A"/>
    <w:rsid w:val="004D12DC"/>
    <w:rsid w:val="004D1C7E"/>
    <w:rsid w:val="004D245A"/>
    <w:rsid w:val="004D2AD8"/>
    <w:rsid w:val="004D2F4A"/>
    <w:rsid w:val="004D3106"/>
    <w:rsid w:val="004D31EE"/>
    <w:rsid w:val="004D36AF"/>
    <w:rsid w:val="004D3BD1"/>
    <w:rsid w:val="004D40E3"/>
    <w:rsid w:val="004D4A03"/>
    <w:rsid w:val="004D4BA1"/>
    <w:rsid w:val="004D4EC1"/>
    <w:rsid w:val="004D53EE"/>
    <w:rsid w:val="004D584D"/>
    <w:rsid w:val="004D5A7E"/>
    <w:rsid w:val="004D5ED1"/>
    <w:rsid w:val="004D6120"/>
    <w:rsid w:val="004D636B"/>
    <w:rsid w:val="004D6826"/>
    <w:rsid w:val="004D6E7F"/>
    <w:rsid w:val="004D768D"/>
    <w:rsid w:val="004D7CEC"/>
    <w:rsid w:val="004E023F"/>
    <w:rsid w:val="004E0546"/>
    <w:rsid w:val="004E06FC"/>
    <w:rsid w:val="004E0742"/>
    <w:rsid w:val="004E0C64"/>
    <w:rsid w:val="004E0EBC"/>
    <w:rsid w:val="004E0F6B"/>
    <w:rsid w:val="004E1545"/>
    <w:rsid w:val="004E1F1C"/>
    <w:rsid w:val="004E24CE"/>
    <w:rsid w:val="004E2716"/>
    <w:rsid w:val="004E2A35"/>
    <w:rsid w:val="004E3924"/>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0FAF"/>
    <w:rsid w:val="004F163F"/>
    <w:rsid w:val="004F18A0"/>
    <w:rsid w:val="004F1A08"/>
    <w:rsid w:val="004F2B64"/>
    <w:rsid w:val="004F2D2A"/>
    <w:rsid w:val="004F31B8"/>
    <w:rsid w:val="004F375E"/>
    <w:rsid w:val="004F3764"/>
    <w:rsid w:val="004F386A"/>
    <w:rsid w:val="004F3DB4"/>
    <w:rsid w:val="004F3EEF"/>
    <w:rsid w:val="004F4A8C"/>
    <w:rsid w:val="004F5180"/>
    <w:rsid w:val="004F57C9"/>
    <w:rsid w:val="004F5930"/>
    <w:rsid w:val="004F5970"/>
    <w:rsid w:val="004F5E19"/>
    <w:rsid w:val="004F5F0C"/>
    <w:rsid w:val="004F5F46"/>
    <w:rsid w:val="004F6121"/>
    <w:rsid w:val="004F6161"/>
    <w:rsid w:val="004F66BC"/>
    <w:rsid w:val="004F6B63"/>
    <w:rsid w:val="004F6C26"/>
    <w:rsid w:val="004F7214"/>
    <w:rsid w:val="004F7AC9"/>
    <w:rsid w:val="0050062F"/>
    <w:rsid w:val="00500E74"/>
    <w:rsid w:val="0050160F"/>
    <w:rsid w:val="0050275F"/>
    <w:rsid w:val="0050284E"/>
    <w:rsid w:val="00502C8C"/>
    <w:rsid w:val="0050306F"/>
    <w:rsid w:val="005044C9"/>
    <w:rsid w:val="005047A0"/>
    <w:rsid w:val="00504A78"/>
    <w:rsid w:val="00505DCB"/>
    <w:rsid w:val="005075CA"/>
    <w:rsid w:val="00507B06"/>
    <w:rsid w:val="00507B79"/>
    <w:rsid w:val="00507BF1"/>
    <w:rsid w:val="0051047A"/>
    <w:rsid w:val="0051074C"/>
    <w:rsid w:val="00510CB7"/>
    <w:rsid w:val="00510DE9"/>
    <w:rsid w:val="00510F21"/>
    <w:rsid w:val="00510F51"/>
    <w:rsid w:val="005111E2"/>
    <w:rsid w:val="00511231"/>
    <w:rsid w:val="0051197C"/>
    <w:rsid w:val="005126ED"/>
    <w:rsid w:val="00512C4F"/>
    <w:rsid w:val="00513042"/>
    <w:rsid w:val="005131D9"/>
    <w:rsid w:val="0051334F"/>
    <w:rsid w:val="00513399"/>
    <w:rsid w:val="00513AF2"/>
    <w:rsid w:val="00514575"/>
    <w:rsid w:val="00514745"/>
    <w:rsid w:val="00514C03"/>
    <w:rsid w:val="00514D67"/>
    <w:rsid w:val="0051522A"/>
    <w:rsid w:val="00515515"/>
    <w:rsid w:val="00515EA6"/>
    <w:rsid w:val="0051635C"/>
    <w:rsid w:val="00516C5B"/>
    <w:rsid w:val="005174CE"/>
    <w:rsid w:val="00517612"/>
    <w:rsid w:val="0051782E"/>
    <w:rsid w:val="00517CFB"/>
    <w:rsid w:val="00517F85"/>
    <w:rsid w:val="00520235"/>
    <w:rsid w:val="00520899"/>
    <w:rsid w:val="00520922"/>
    <w:rsid w:val="005209FC"/>
    <w:rsid w:val="005212D7"/>
    <w:rsid w:val="00521A30"/>
    <w:rsid w:val="00521A4A"/>
    <w:rsid w:val="005224E5"/>
    <w:rsid w:val="00523496"/>
    <w:rsid w:val="00523903"/>
    <w:rsid w:val="005239B6"/>
    <w:rsid w:val="00523C45"/>
    <w:rsid w:val="00523D35"/>
    <w:rsid w:val="0052413E"/>
    <w:rsid w:val="00524165"/>
    <w:rsid w:val="005246E7"/>
    <w:rsid w:val="00524B08"/>
    <w:rsid w:val="00524C38"/>
    <w:rsid w:val="00524FD2"/>
    <w:rsid w:val="00525621"/>
    <w:rsid w:val="0052627D"/>
    <w:rsid w:val="00526431"/>
    <w:rsid w:val="00527064"/>
    <w:rsid w:val="00527532"/>
    <w:rsid w:val="00527703"/>
    <w:rsid w:val="00527A23"/>
    <w:rsid w:val="00527DEB"/>
    <w:rsid w:val="00527E57"/>
    <w:rsid w:val="00527F2C"/>
    <w:rsid w:val="00530405"/>
    <w:rsid w:val="00530522"/>
    <w:rsid w:val="005305E5"/>
    <w:rsid w:val="00530CBA"/>
    <w:rsid w:val="00530F38"/>
    <w:rsid w:val="005311C4"/>
    <w:rsid w:val="00531F26"/>
    <w:rsid w:val="00532299"/>
    <w:rsid w:val="005323DA"/>
    <w:rsid w:val="0053277C"/>
    <w:rsid w:val="005327C0"/>
    <w:rsid w:val="00533101"/>
    <w:rsid w:val="00533255"/>
    <w:rsid w:val="00533568"/>
    <w:rsid w:val="00533CA9"/>
    <w:rsid w:val="00533EA7"/>
    <w:rsid w:val="005346AD"/>
    <w:rsid w:val="00534EFB"/>
    <w:rsid w:val="00534F60"/>
    <w:rsid w:val="005357F1"/>
    <w:rsid w:val="00536053"/>
    <w:rsid w:val="00536985"/>
    <w:rsid w:val="005369E6"/>
    <w:rsid w:val="00537079"/>
    <w:rsid w:val="005371AC"/>
    <w:rsid w:val="005375DA"/>
    <w:rsid w:val="00537672"/>
    <w:rsid w:val="0053772F"/>
    <w:rsid w:val="00537B77"/>
    <w:rsid w:val="00537EA2"/>
    <w:rsid w:val="00540AF0"/>
    <w:rsid w:val="00540C4C"/>
    <w:rsid w:val="00541469"/>
    <w:rsid w:val="00541571"/>
    <w:rsid w:val="00541B1F"/>
    <w:rsid w:val="00541F69"/>
    <w:rsid w:val="005420C0"/>
    <w:rsid w:val="0054275A"/>
    <w:rsid w:val="005428B8"/>
    <w:rsid w:val="00542BD7"/>
    <w:rsid w:val="00542C95"/>
    <w:rsid w:val="00543084"/>
    <w:rsid w:val="00543584"/>
    <w:rsid w:val="00543A9E"/>
    <w:rsid w:val="0054413A"/>
    <w:rsid w:val="00544288"/>
    <w:rsid w:val="005446BB"/>
    <w:rsid w:val="005448C8"/>
    <w:rsid w:val="00544DA5"/>
    <w:rsid w:val="00544F43"/>
    <w:rsid w:val="00544F86"/>
    <w:rsid w:val="00545E30"/>
    <w:rsid w:val="00545EA3"/>
    <w:rsid w:val="005465E8"/>
    <w:rsid w:val="00546C9B"/>
    <w:rsid w:val="00547167"/>
    <w:rsid w:val="0054745E"/>
    <w:rsid w:val="005476A5"/>
    <w:rsid w:val="00547BF6"/>
    <w:rsid w:val="00547FB3"/>
    <w:rsid w:val="00550E50"/>
    <w:rsid w:val="00551098"/>
    <w:rsid w:val="00551598"/>
    <w:rsid w:val="0055162B"/>
    <w:rsid w:val="00551BFF"/>
    <w:rsid w:val="00551D68"/>
    <w:rsid w:val="00551DFF"/>
    <w:rsid w:val="0055256B"/>
    <w:rsid w:val="005525C9"/>
    <w:rsid w:val="00552B3E"/>
    <w:rsid w:val="00552FB2"/>
    <w:rsid w:val="00553ACB"/>
    <w:rsid w:val="005546AD"/>
    <w:rsid w:val="00554D57"/>
    <w:rsid w:val="00555142"/>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646"/>
    <w:rsid w:val="00564704"/>
    <w:rsid w:val="00564712"/>
    <w:rsid w:val="005657A8"/>
    <w:rsid w:val="00565952"/>
    <w:rsid w:val="00566866"/>
    <w:rsid w:val="005670A5"/>
    <w:rsid w:val="00567285"/>
    <w:rsid w:val="00567723"/>
    <w:rsid w:val="0056772D"/>
    <w:rsid w:val="00567AB8"/>
    <w:rsid w:val="00570A26"/>
    <w:rsid w:val="00570CFD"/>
    <w:rsid w:val="00571872"/>
    <w:rsid w:val="00572076"/>
    <w:rsid w:val="0057221F"/>
    <w:rsid w:val="00572539"/>
    <w:rsid w:val="0057272E"/>
    <w:rsid w:val="00572835"/>
    <w:rsid w:val="00572996"/>
    <w:rsid w:val="00572E46"/>
    <w:rsid w:val="00573355"/>
    <w:rsid w:val="0057337D"/>
    <w:rsid w:val="00573450"/>
    <w:rsid w:val="00573504"/>
    <w:rsid w:val="00573714"/>
    <w:rsid w:val="00573907"/>
    <w:rsid w:val="00573BA3"/>
    <w:rsid w:val="00573C8C"/>
    <w:rsid w:val="005745F3"/>
    <w:rsid w:val="00574708"/>
    <w:rsid w:val="00574D81"/>
    <w:rsid w:val="005756AA"/>
    <w:rsid w:val="0057696F"/>
    <w:rsid w:val="00576C37"/>
    <w:rsid w:val="00576E5C"/>
    <w:rsid w:val="00577458"/>
    <w:rsid w:val="005774FE"/>
    <w:rsid w:val="00577880"/>
    <w:rsid w:val="00577A2D"/>
    <w:rsid w:val="00577EEB"/>
    <w:rsid w:val="0058040C"/>
    <w:rsid w:val="00580937"/>
    <w:rsid w:val="00580BA0"/>
    <w:rsid w:val="00580D6D"/>
    <w:rsid w:val="00580ED1"/>
    <w:rsid w:val="005812E4"/>
    <w:rsid w:val="005813DE"/>
    <w:rsid w:val="00581768"/>
    <w:rsid w:val="00581796"/>
    <w:rsid w:val="00581B45"/>
    <w:rsid w:val="0058239C"/>
    <w:rsid w:val="00582480"/>
    <w:rsid w:val="00582805"/>
    <w:rsid w:val="0058290E"/>
    <w:rsid w:val="00582CAB"/>
    <w:rsid w:val="00582D08"/>
    <w:rsid w:val="00582FA6"/>
    <w:rsid w:val="005834A1"/>
    <w:rsid w:val="0058375E"/>
    <w:rsid w:val="005840B1"/>
    <w:rsid w:val="00584233"/>
    <w:rsid w:val="005842D0"/>
    <w:rsid w:val="005845FB"/>
    <w:rsid w:val="00585128"/>
    <w:rsid w:val="005855AE"/>
    <w:rsid w:val="00585829"/>
    <w:rsid w:val="00585C52"/>
    <w:rsid w:val="00585CA8"/>
    <w:rsid w:val="00586412"/>
    <w:rsid w:val="005864B9"/>
    <w:rsid w:val="005866C4"/>
    <w:rsid w:val="00587645"/>
    <w:rsid w:val="005908C9"/>
    <w:rsid w:val="00590F1A"/>
    <w:rsid w:val="005912BB"/>
    <w:rsid w:val="00591C03"/>
    <w:rsid w:val="00591D9E"/>
    <w:rsid w:val="00591E2A"/>
    <w:rsid w:val="0059206B"/>
    <w:rsid w:val="005923C4"/>
    <w:rsid w:val="00592CF1"/>
    <w:rsid w:val="00593C7A"/>
    <w:rsid w:val="00593EA2"/>
    <w:rsid w:val="00593F75"/>
    <w:rsid w:val="005940A0"/>
    <w:rsid w:val="0059429A"/>
    <w:rsid w:val="005943D4"/>
    <w:rsid w:val="00594462"/>
    <w:rsid w:val="005949E5"/>
    <w:rsid w:val="00594CBE"/>
    <w:rsid w:val="00594DE2"/>
    <w:rsid w:val="005950CB"/>
    <w:rsid w:val="005966FB"/>
    <w:rsid w:val="00596AF7"/>
    <w:rsid w:val="00596CCE"/>
    <w:rsid w:val="005971AC"/>
    <w:rsid w:val="00597568"/>
    <w:rsid w:val="0059796D"/>
    <w:rsid w:val="005979EC"/>
    <w:rsid w:val="00597B2F"/>
    <w:rsid w:val="005A0E70"/>
    <w:rsid w:val="005A11F8"/>
    <w:rsid w:val="005A13FE"/>
    <w:rsid w:val="005A14F1"/>
    <w:rsid w:val="005A1976"/>
    <w:rsid w:val="005A2120"/>
    <w:rsid w:val="005A2501"/>
    <w:rsid w:val="005A2A10"/>
    <w:rsid w:val="005A2C80"/>
    <w:rsid w:val="005A3066"/>
    <w:rsid w:val="005A3B35"/>
    <w:rsid w:val="005A3C4B"/>
    <w:rsid w:val="005A3C85"/>
    <w:rsid w:val="005A3E5A"/>
    <w:rsid w:val="005A4399"/>
    <w:rsid w:val="005A43F3"/>
    <w:rsid w:val="005A496F"/>
    <w:rsid w:val="005A4A56"/>
    <w:rsid w:val="005A5608"/>
    <w:rsid w:val="005A5A11"/>
    <w:rsid w:val="005A5A3D"/>
    <w:rsid w:val="005A6035"/>
    <w:rsid w:val="005A64C2"/>
    <w:rsid w:val="005A6B75"/>
    <w:rsid w:val="005A6E00"/>
    <w:rsid w:val="005A70A9"/>
    <w:rsid w:val="005A718A"/>
    <w:rsid w:val="005A7209"/>
    <w:rsid w:val="005A7752"/>
    <w:rsid w:val="005A7885"/>
    <w:rsid w:val="005A7BC7"/>
    <w:rsid w:val="005B11B0"/>
    <w:rsid w:val="005B12B2"/>
    <w:rsid w:val="005B143B"/>
    <w:rsid w:val="005B150B"/>
    <w:rsid w:val="005B19BD"/>
    <w:rsid w:val="005B1E45"/>
    <w:rsid w:val="005B1F85"/>
    <w:rsid w:val="005B21C4"/>
    <w:rsid w:val="005B2A28"/>
    <w:rsid w:val="005B2E9F"/>
    <w:rsid w:val="005B3621"/>
    <w:rsid w:val="005B371B"/>
    <w:rsid w:val="005B385E"/>
    <w:rsid w:val="005B4948"/>
    <w:rsid w:val="005B501D"/>
    <w:rsid w:val="005B54CC"/>
    <w:rsid w:val="005B568B"/>
    <w:rsid w:val="005B74AD"/>
    <w:rsid w:val="005B7551"/>
    <w:rsid w:val="005B78C9"/>
    <w:rsid w:val="005B7B2D"/>
    <w:rsid w:val="005B7E96"/>
    <w:rsid w:val="005C0429"/>
    <w:rsid w:val="005C0627"/>
    <w:rsid w:val="005C084F"/>
    <w:rsid w:val="005C0EE9"/>
    <w:rsid w:val="005C12DB"/>
    <w:rsid w:val="005C16A8"/>
    <w:rsid w:val="005C1716"/>
    <w:rsid w:val="005C1954"/>
    <w:rsid w:val="005C1C0B"/>
    <w:rsid w:val="005C2011"/>
    <w:rsid w:val="005C2A47"/>
    <w:rsid w:val="005C3DCB"/>
    <w:rsid w:val="005C3EA3"/>
    <w:rsid w:val="005C4161"/>
    <w:rsid w:val="005C44DE"/>
    <w:rsid w:val="005C4E6D"/>
    <w:rsid w:val="005C5011"/>
    <w:rsid w:val="005C5241"/>
    <w:rsid w:val="005C529E"/>
    <w:rsid w:val="005C57BA"/>
    <w:rsid w:val="005C5B1C"/>
    <w:rsid w:val="005C5C52"/>
    <w:rsid w:val="005C5D3D"/>
    <w:rsid w:val="005C5F05"/>
    <w:rsid w:val="005C6186"/>
    <w:rsid w:val="005C71CB"/>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57"/>
    <w:rsid w:val="005D466F"/>
    <w:rsid w:val="005D49F0"/>
    <w:rsid w:val="005D51F7"/>
    <w:rsid w:val="005D51FA"/>
    <w:rsid w:val="005D53E8"/>
    <w:rsid w:val="005D577C"/>
    <w:rsid w:val="005D5A9D"/>
    <w:rsid w:val="005D608D"/>
    <w:rsid w:val="005D6651"/>
    <w:rsid w:val="005D691D"/>
    <w:rsid w:val="005D6A72"/>
    <w:rsid w:val="005D6EAC"/>
    <w:rsid w:val="005D6F38"/>
    <w:rsid w:val="005D7176"/>
    <w:rsid w:val="005D72A9"/>
    <w:rsid w:val="005D72AD"/>
    <w:rsid w:val="005D7516"/>
    <w:rsid w:val="005D75C1"/>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83B"/>
    <w:rsid w:val="005E3A24"/>
    <w:rsid w:val="005E3E52"/>
    <w:rsid w:val="005E5AAC"/>
    <w:rsid w:val="005E6E1D"/>
    <w:rsid w:val="005F1044"/>
    <w:rsid w:val="005F1712"/>
    <w:rsid w:val="005F1E4E"/>
    <w:rsid w:val="005F20D8"/>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5F93"/>
    <w:rsid w:val="005F619F"/>
    <w:rsid w:val="005F6CE2"/>
    <w:rsid w:val="005F6F24"/>
    <w:rsid w:val="005F72E9"/>
    <w:rsid w:val="005F765D"/>
    <w:rsid w:val="005F76AE"/>
    <w:rsid w:val="005F7797"/>
    <w:rsid w:val="005F780B"/>
    <w:rsid w:val="005F7A29"/>
    <w:rsid w:val="00600473"/>
    <w:rsid w:val="0060139A"/>
    <w:rsid w:val="006013C9"/>
    <w:rsid w:val="00601689"/>
    <w:rsid w:val="00601F72"/>
    <w:rsid w:val="0060218C"/>
    <w:rsid w:val="00602B45"/>
    <w:rsid w:val="00603499"/>
    <w:rsid w:val="006035F5"/>
    <w:rsid w:val="00603CC2"/>
    <w:rsid w:val="00604537"/>
    <w:rsid w:val="006047D1"/>
    <w:rsid w:val="00604A55"/>
    <w:rsid w:val="00604D4E"/>
    <w:rsid w:val="00604E3E"/>
    <w:rsid w:val="00605AC3"/>
    <w:rsid w:val="00606908"/>
    <w:rsid w:val="00606B13"/>
    <w:rsid w:val="0060724E"/>
    <w:rsid w:val="00607996"/>
    <w:rsid w:val="00607A37"/>
    <w:rsid w:val="00607E0A"/>
    <w:rsid w:val="00607E9F"/>
    <w:rsid w:val="0061085E"/>
    <w:rsid w:val="00611142"/>
    <w:rsid w:val="00611398"/>
    <w:rsid w:val="00612268"/>
    <w:rsid w:val="00612322"/>
    <w:rsid w:val="006123C0"/>
    <w:rsid w:val="00612550"/>
    <w:rsid w:val="00612570"/>
    <w:rsid w:val="00612DF1"/>
    <w:rsid w:val="006130D4"/>
    <w:rsid w:val="00613191"/>
    <w:rsid w:val="006133F9"/>
    <w:rsid w:val="006134B3"/>
    <w:rsid w:val="00613766"/>
    <w:rsid w:val="00613DE1"/>
    <w:rsid w:val="0061401F"/>
    <w:rsid w:val="00614166"/>
    <w:rsid w:val="00614771"/>
    <w:rsid w:val="00614817"/>
    <w:rsid w:val="006149CC"/>
    <w:rsid w:val="00614FF0"/>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1E42"/>
    <w:rsid w:val="00622470"/>
    <w:rsid w:val="00622725"/>
    <w:rsid w:val="00622F49"/>
    <w:rsid w:val="00622FC3"/>
    <w:rsid w:val="006231AA"/>
    <w:rsid w:val="00623482"/>
    <w:rsid w:val="00623AC2"/>
    <w:rsid w:val="00623EBC"/>
    <w:rsid w:val="00624034"/>
    <w:rsid w:val="006244CF"/>
    <w:rsid w:val="00624606"/>
    <w:rsid w:val="00624E03"/>
    <w:rsid w:val="006266D7"/>
    <w:rsid w:val="0062698D"/>
    <w:rsid w:val="00626D42"/>
    <w:rsid w:val="00626EE3"/>
    <w:rsid w:val="00626FCA"/>
    <w:rsid w:val="006274AD"/>
    <w:rsid w:val="00627519"/>
    <w:rsid w:val="00627532"/>
    <w:rsid w:val="00627652"/>
    <w:rsid w:val="006302AA"/>
    <w:rsid w:val="006310C3"/>
    <w:rsid w:val="0063143E"/>
    <w:rsid w:val="0063161E"/>
    <w:rsid w:val="00631BB5"/>
    <w:rsid w:val="00631DD0"/>
    <w:rsid w:val="006323D3"/>
    <w:rsid w:val="006332EC"/>
    <w:rsid w:val="006334D8"/>
    <w:rsid w:val="00633DBF"/>
    <w:rsid w:val="00634072"/>
    <w:rsid w:val="00634122"/>
    <w:rsid w:val="00634261"/>
    <w:rsid w:val="006343F1"/>
    <w:rsid w:val="0063502A"/>
    <w:rsid w:val="00635D25"/>
    <w:rsid w:val="00635E00"/>
    <w:rsid w:val="00635E32"/>
    <w:rsid w:val="006360FC"/>
    <w:rsid w:val="006364DB"/>
    <w:rsid w:val="006365DE"/>
    <w:rsid w:val="00636BE4"/>
    <w:rsid w:val="00636F88"/>
    <w:rsid w:val="0063732C"/>
    <w:rsid w:val="00637802"/>
    <w:rsid w:val="00637836"/>
    <w:rsid w:val="00637C26"/>
    <w:rsid w:val="00637F44"/>
    <w:rsid w:val="00640481"/>
    <w:rsid w:val="006408BD"/>
    <w:rsid w:val="0064095F"/>
    <w:rsid w:val="00641078"/>
    <w:rsid w:val="00641242"/>
    <w:rsid w:val="00642A32"/>
    <w:rsid w:val="006433D5"/>
    <w:rsid w:val="00643412"/>
    <w:rsid w:val="00643416"/>
    <w:rsid w:val="00643796"/>
    <w:rsid w:val="006445C1"/>
    <w:rsid w:val="00644BD9"/>
    <w:rsid w:val="00645099"/>
    <w:rsid w:val="00645693"/>
    <w:rsid w:val="00645CEB"/>
    <w:rsid w:val="00645E6E"/>
    <w:rsid w:val="00646B20"/>
    <w:rsid w:val="00646D0F"/>
    <w:rsid w:val="00646F39"/>
    <w:rsid w:val="00647A36"/>
    <w:rsid w:val="00647DCC"/>
    <w:rsid w:val="00647EFA"/>
    <w:rsid w:val="00647F14"/>
    <w:rsid w:val="00650027"/>
    <w:rsid w:val="006505BE"/>
    <w:rsid w:val="00651B35"/>
    <w:rsid w:val="00651B9C"/>
    <w:rsid w:val="00651C47"/>
    <w:rsid w:val="00652C71"/>
    <w:rsid w:val="00652E70"/>
    <w:rsid w:val="0065339A"/>
    <w:rsid w:val="00653469"/>
    <w:rsid w:val="006540D6"/>
    <w:rsid w:val="00654971"/>
    <w:rsid w:val="00654A38"/>
    <w:rsid w:val="00655301"/>
    <w:rsid w:val="00655371"/>
    <w:rsid w:val="0065548D"/>
    <w:rsid w:val="00655507"/>
    <w:rsid w:val="00655D10"/>
    <w:rsid w:val="00656C4B"/>
    <w:rsid w:val="006573EA"/>
    <w:rsid w:val="0065791C"/>
    <w:rsid w:val="00660342"/>
    <w:rsid w:val="0066073F"/>
    <w:rsid w:val="00661029"/>
    <w:rsid w:val="0066135A"/>
    <w:rsid w:val="00661A38"/>
    <w:rsid w:val="00662004"/>
    <w:rsid w:val="0066272D"/>
    <w:rsid w:val="00662E58"/>
    <w:rsid w:val="00662F39"/>
    <w:rsid w:val="006635A0"/>
    <w:rsid w:val="0066432E"/>
    <w:rsid w:val="00664351"/>
    <w:rsid w:val="00664FA8"/>
    <w:rsid w:val="00665968"/>
    <w:rsid w:val="00665BF7"/>
    <w:rsid w:val="00665DF9"/>
    <w:rsid w:val="00666178"/>
    <w:rsid w:val="0066639E"/>
    <w:rsid w:val="00666473"/>
    <w:rsid w:val="00666754"/>
    <w:rsid w:val="00666891"/>
    <w:rsid w:val="00666C72"/>
    <w:rsid w:val="00666E6C"/>
    <w:rsid w:val="00666EFB"/>
    <w:rsid w:val="0066707F"/>
    <w:rsid w:val="006671DB"/>
    <w:rsid w:val="00667ED8"/>
    <w:rsid w:val="0067064C"/>
    <w:rsid w:val="00670B20"/>
    <w:rsid w:val="00670BA4"/>
    <w:rsid w:val="00670E12"/>
    <w:rsid w:val="00670F27"/>
    <w:rsid w:val="00670F76"/>
    <w:rsid w:val="00670FEC"/>
    <w:rsid w:val="0067105C"/>
    <w:rsid w:val="00671B38"/>
    <w:rsid w:val="006727FE"/>
    <w:rsid w:val="00672E80"/>
    <w:rsid w:val="0067333F"/>
    <w:rsid w:val="006739E4"/>
    <w:rsid w:val="00673AE1"/>
    <w:rsid w:val="00673ECF"/>
    <w:rsid w:val="00674208"/>
    <w:rsid w:val="0067426B"/>
    <w:rsid w:val="0067454E"/>
    <w:rsid w:val="006749F5"/>
    <w:rsid w:val="00674A1B"/>
    <w:rsid w:val="00674F1C"/>
    <w:rsid w:val="0067519F"/>
    <w:rsid w:val="006754F8"/>
    <w:rsid w:val="00675A4C"/>
    <w:rsid w:val="00676127"/>
    <w:rsid w:val="00676866"/>
    <w:rsid w:val="00676AED"/>
    <w:rsid w:val="00677CAD"/>
    <w:rsid w:val="00677E9C"/>
    <w:rsid w:val="00677F26"/>
    <w:rsid w:val="00677F75"/>
    <w:rsid w:val="00677F92"/>
    <w:rsid w:val="006800EE"/>
    <w:rsid w:val="00680297"/>
    <w:rsid w:val="006802A7"/>
    <w:rsid w:val="00680F3E"/>
    <w:rsid w:val="006811C9"/>
    <w:rsid w:val="006812CE"/>
    <w:rsid w:val="00681FD5"/>
    <w:rsid w:val="006826B1"/>
    <w:rsid w:val="006826C1"/>
    <w:rsid w:val="00682C89"/>
    <w:rsid w:val="00682EC1"/>
    <w:rsid w:val="006832B8"/>
    <w:rsid w:val="006837B2"/>
    <w:rsid w:val="00683800"/>
    <w:rsid w:val="0068408B"/>
    <w:rsid w:val="00684462"/>
    <w:rsid w:val="006846D7"/>
    <w:rsid w:val="006847B7"/>
    <w:rsid w:val="0068482E"/>
    <w:rsid w:val="00684C8A"/>
    <w:rsid w:val="00684CF5"/>
    <w:rsid w:val="006853B5"/>
    <w:rsid w:val="0068553E"/>
    <w:rsid w:val="00685DD1"/>
    <w:rsid w:val="00685E7B"/>
    <w:rsid w:val="00686447"/>
    <w:rsid w:val="00686551"/>
    <w:rsid w:val="006866B4"/>
    <w:rsid w:val="00686CAB"/>
    <w:rsid w:val="00686E4D"/>
    <w:rsid w:val="0068717F"/>
    <w:rsid w:val="0068730C"/>
    <w:rsid w:val="00687504"/>
    <w:rsid w:val="006877A1"/>
    <w:rsid w:val="00687A14"/>
    <w:rsid w:val="00687A8C"/>
    <w:rsid w:val="00690839"/>
    <w:rsid w:val="006908DB"/>
    <w:rsid w:val="00690DE9"/>
    <w:rsid w:val="00690E4A"/>
    <w:rsid w:val="00691DE9"/>
    <w:rsid w:val="00691EAA"/>
    <w:rsid w:val="00692172"/>
    <w:rsid w:val="00692245"/>
    <w:rsid w:val="00692FFA"/>
    <w:rsid w:val="00693772"/>
    <w:rsid w:val="00693984"/>
    <w:rsid w:val="00693B77"/>
    <w:rsid w:val="00694160"/>
    <w:rsid w:val="0069529C"/>
    <w:rsid w:val="006959A5"/>
    <w:rsid w:val="00695C0C"/>
    <w:rsid w:val="0069613A"/>
    <w:rsid w:val="00696736"/>
    <w:rsid w:val="00696A05"/>
    <w:rsid w:val="00697584"/>
    <w:rsid w:val="00697665"/>
    <w:rsid w:val="006979BF"/>
    <w:rsid w:val="00697C9A"/>
    <w:rsid w:val="00697E68"/>
    <w:rsid w:val="00697FC1"/>
    <w:rsid w:val="006A0274"/>
    <w:rsid w:val="006A0FDD"/>
    <w:rsid w:val="006A103E"/>
    <w:rsid w:val="006A21BC"/>
    <w:rsid w:val="006A27BC"/>
    <w:rsid w:val="006A2A43"/>
    <w:rsid w:val="006A2BEE"/>
    <w:rsid w:val="006A2BF1"/>
    <w:rsid w:val="006A2F6D"/>
    <w:rsid w:val="006A2F9A"/>
    <w:rsid w:val="006A34E4"/>
    <w:rsid w:val="006A39CC"/>
    <w:rsid w:val="006A3A5A"/>
    <w:rsid w:val="006A44CF"/>
    <w:rsid w:val="006A457D"/>
    <w:rsid w:val="006A4C06"/>
    <w:rsid w:val="006A55EE"/>
    <w:rsid w:val="006A575B"/>
    <w:rsid w:val="006A57C9"/>
    <w:rsid w:val="006A57FA"/>
    <w:rsid w:val="006A59DE"/>
    <w:rsid w:val="006A5A3C"/>
    <w:rsid w:val="006A64C6"/>
    <w:rsid w:val="006A6655"/>
    <w:rsid w:val="006A6B6B"/>
    <w:rsid w:val="006A6BF9"/>
    <w:rsid w:val="006A7CB5"/>
    <w:rsid w:val="006A7FD0"/>
    <w:rsid w:val="006B00E4"/>
    <w:rsid w:val="006B025C"/>
    <w:rsid w:val="006B08ED"/>
    <w:rsid w:val="006B0BFD"/>
    <w:rsid w:val="006B1686"/>
    <w:rsid w:val="006B2534"/>
    <w:rsid w:val="006B2A05"/>
    <w:rsid w:val="006B2CB2"/>
    <w:rsid w:val="006B347D"/>
    <w:rsid w:val="006B3E19"/>
    <w:rsid w:val="006B4488"/>
    <w:rsid w:val="006B49FC"/>
    <w:rsid w:val="006B50C4"/>
    <w:rsid w:val="006B53AE"/>
    <w:rsid w:val="006B58B4"/>
    <w:rsid w:val="006B67AC"/>
    <w:rsid w:val="006B6ECF"/>
    <w:rsid w:val="006B6EE4"/>
    <w:rsid w:val="006B786A"/>
    <w:rsid w:val="006B7E4E"/>
    <w:rsid w:val="006C003A"/>
    <w:rsid w:val="006C0860"/>
    <w:rsid w:val="006C107C"/>
    <w:rsid w:val="006C1BA5"/>
    <w:rsid w:val="006C1C01"/>
    <w:rsid w:val="006C2454"/>
    <w:rsid w:val="006C2518"/>
    <w:rsid w:val="006C2551"/>
    <w:rsid w:val="006C37CA"/>
    <w:rsid w:val="006C3886"/>
    <w:rsid w:val="006C40D2"/>
    <w:rsid w:val="006C4273"/>
    <w:rsid w:val="006C4BBD"/>
    <w:rsid w:val="006C50FA"/>
    <w:rsid w:val="006C5B15"/>
    <w:rsid w:val="006C5D32"/>
    <w:rsid w:val="006C5DCB"/>
    <w:rsid w:val="006C6475"/>
    <w:rsid w:val="006C698D"/>
    <w:rsid w:val="006C6A17"/>
    <w:rsid w:val="006C6C54"/>
    <w:rsid w:val="006C70C4"/>
    <w:rsid w:val="006C71AD"/>
    <w:rsid w:val="006C741F"/>
    <w:rsid w:val="006D04DA"/>
    <w:rsid w:val="006D080E"/>
    <w:rsid w:val="006D10F6"/>
    <w:rsid w:val="006D1544"/>
    <w:rsid w:val="006D1688"/>
    <w:rsid w:val="006D1DD3"/>
    <w:rsid w:val="006D1FF3"/>
    <w:rsid w:val="006D2410"/>
    <w:rsid w:val="006D2C65"/>
    <w:rsid w:val="006D2D0E"/>
    <w:rsid w:val="006D32C6"/>
    <w:rsid w:val="006D3491"/>
    <w:rsid w:val="006D360E"/>
    <w:rsid w:val="006D3697"/>
    <w:rsid w:val="006D39D2"/>
    <w:rsid w:val="006D3F2A"/>
    <w:rsid w:val="006D41A9"/>
    <w:rsid w:val="006D4370"/>
    <w:rsid w:val="006D46A3"/>
    <w:rsid w:val="006D5DAB"/>
    <w:rsid w:val="006D62E0"/>
    <w:rsid w:val="006D658F"/>
    <w:rsid w:val="006D6A12"/>
    <w:rsid w:val="006D6E5E"/>
    <w:rsid w:val="006D6F4D"/>
    <w:rsid w:val="006D712D"/>
    <w:rsid w:val="006D741C"/>
    <w:rsid w:val="006D7687"/>
    <w:rsid w:val="006D784A"/>
    <w:rsid w:val="006D7CF3"/>
    <w:rsid w:val="006D7D1F"/>
    <w:rsid w:val="006D7D8A"/>
    <w:rsid w:val="006E0572"/>
    <w:rsid w:val="006E05D8"/>
    <w:rsid w:val="006E08EE"/>
    <w:rsid w:val="006E1217"/>
    <w:rsid w:val="006E155A"/>
    <w:rsid w:val="006E2C34"/>
    <w:rsid w:val="006E2F7F"/>
    <w:rsid w:val="006E359B"/>
    <w:rsid w:val="006E37F2"/>
    <w:rsid w:val="006E39D1"/>
    <w:rsid w:val="006E3B05"/>
    <w:rsid w:val="006E437F"/>
    <w:rsid w:val="006E4D5B"/>
    <w:rsid w:val="006E5EEB"/>
    <w:rsid w:val="006E602F"/>
    <w:rsid w:val="006E6720"/>
    <w:rsid w:val="006E68AE"/>
    <w:rsid w:val="006E7275"/>
    <w:rsid w:val="006E77B8"/>
    <w:rsid w:val="006F08AD"/>
    <w:rsid w:val="006F08B2"/>
    <w:rsid w:val="006F13BA"/>
    <w:rsid w:val="006F15CC"/>
    <w:rsid w:val="006F15F6"/>
    <w:rsid w:val="006F273C"/>
    <w:rsid w:val="006F2BA2"/>
    <w:rsid w:val="006F2E84"/>
    <w:rsid w:val="006F36EA"/>
    <w:rsid w:val="006F3C27"/>
    <w:rsid w:val="006F4147"/>
    <w:rsid w:val="006F4315"/>
    <w:rsid w:val="006F43FD"/>
    <w:rsid w:val="006F4CB0"/>
    <w:rsid w:val="006F4E65"/>
    <w:rsid w:val="006F4F78"/>
    <w:rsid w:val="006F547E"/>
    <w:rsid w:val="006F59C7"/>
    <w:rsid w:val="006F5CCF"/>
    <w:rsid w:val="006F60F8"/>
    <w:rsid w:val="006F6E67"/>
    <w:rsid w:val="006F6F04"/>
    <w:rsid w:val="006F71F5"/>
    <w:rsid w:val="006F7924"/>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4F"/>
    <w:rsid w:val="007101B7"/>
    <w:rsid w:val="00710668"/>
    <w:rsid w:val="00710A24"/>
    <w:rsid w:val="007110F4"/>
    <w:rsid w:val="007112B1"/>
    <w:rsid w:val="0071130F"/>
    <w:rsid w:val="00711612"/>
    <w:rsid w:val="007119F3"/>
    <w:rsid w:val="00711EAA"/>
    <w:rsid w:val="00712714"/>
    <w:rsid w:val="007129AB"/>
    <w:rsid w:val="00712B63"/>
    <w:rsid w:val="00712CBB"/>
    <w:rsid w:val="00713526"/>
    <w:rsid w:val="007136E4"/>
    <w:rsid w:val="00713FC5"/>
    <w:rsid w:val="007149EE"/>
    <w:rsid w:val="00714DCA"/>
    <w:rsid w:val="00714F38"/>
    <w:rsid w:val="00715883"/>
    <w:rsid w:val="007159F5"/>
    <w:rsid w:val="00715BBF"/>
    <w:rsid w:val="00715C29"/>
    <w:rsid w:val="00715CBD"/>
    <w:rsid w:val="00715EAA"/>
    <w:rsid w:val="00716963"/>
    <w:rsid w:val="00716CAD"/>
    <w:rsid w:val="00716EEE"/>
    <w:rsid w:val="00716F01"/>
    <w:rsid w:val="00716F18"/>
    <w:rsid w:val="007171F8"/>
    <w:rsid w:val="00717347"/>
    <w:rsid w:val="00717363"/>
    <w:rsid w:val="00717722"/>
    <w:rsid w:val="00717786"/>
    <w:rsid w:val="007179AE"/>
    <w:rsid w:val="00717ACB"/>
    <w:rsid w:val="00720AB3"/>
    <w:rsid w:val="0072118A"/>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2B8"/>
    <w:rsid w:val="00726603"/>
    <w:rsid w:val="00727B1D"/>
    <w:rsid w:val="00727DDC"/>
    <w:rsid w:val="00730CD6"/>
    <w:rsid w:val="00730F74"/>
    <w:rsid w:val="0073114B"/>
    <w:rsid w:val="00731847"/>
    <w:rsid w:val="0073196D"/>
    <w:rsid w:val="007319F6"/>
    <w:rsid w:val="007319FA"/>
    <w:rsid w:val="00731FD7"/>
    <w:rsid w:val="00732151"/>
    <w:rsid w:val="0073223D"/>
    <w:rsid w:val="00732415"/>
    <w:rsid w:val="00732FAE"/>
    <w:rsid w:val="007333AF"/>
    <w:rsid w:val="007338C5"/>
    <w:rsid w:val="00734106"/>
    <w:rsid w:val="007342A2"/>
    <w:rsid w:val="00734952"/>
    <w:rsid w:val="00734990"/>
    <w:rsid w:val="00734FF5"/>
    <w:rsid w:val="00735B78"/>
    <w:rsid w:val="00735CF5"/>
    <w:rsid w:val="00735DA7"/>
    <w:rsid w:val="007368B4"/>
    <w:rsid w:val="007370F9"/>
    <w:rsid w:val="007378E0"/>
    <w:rsid w:val="00737D92"/>
    <w:rsid w:val="00740529"/>
    <w:rsid w:val="00740876"/>
    <w:rsid w:val="00741358"/>
    <w:rsid w:val="00741626"/>
    <w:rsid w:val="00742332"/>
    <w:rsid w:val="00742595"/>
    <w:rsid w:val="00742886"/>
    <w:rsid w:val="00742DD2"/>
    <w:rsid w:val="00742F60"/>
    <w:rsid w:val="00743095"/>
    <w:rsid w:val="007437C6"/>
    <w:rsid w:val="00743881"/>
    <w:rsid w:val="007440CB"/>
    <w:rsid w:val="007441A2"/>
    <w:rsid w:val="00744E80"/>
    <w:rsid w:val="00745035"/>
    <w:rsid w:val="0074531C"/>
    <w:rsid w:val="00745547"/>
    <w:rsid w:val="00745548"/>
    <w:rsid w:val="007459D0"/>
    <w:rsid w:val="00745A1E"/>
    <w:rsid w:val="00745F81"/>
    <w:rsid w:val="0074608B"/>
    <w:rsid w:val="0074623A"/>
    <w:rsid w:val="00746420"/>
    <w:rsid w:val="0074651B"/>
    <w:rsid w:val="00746A60"/>
    <w:rsid w:val="00746E04"/>
    <w:rsid w:val="00746E08"/>
    <w:rsid w:val="00746E3D"/>
    <w:rsid w:val="007473B9"/>
    <w:rsid w:val="007473D5"/>
    <w:rsid w:val="0074740B"/>
    <w:rsid w:val="00747C96"/>
    <w:rsid w:val="00750075"/>
    <w:rsid w:val="007502EC"/>
    <w:rsid w:val="00750382"/>
    <w:rsid w:val="0075094E"/>
    <w:rsid w:val="00750FA8"/>
    <w:rsid w:val="00750FB5"/>
    <w:rsid w:val="007519B0"/>
    <w:rsid w:val="007520F0"/>
    <w:rsid w:val="007522E8"/>
    <w:rsid w:val="00753BAC"/>
    <w:rsid w:val="00753E9B"/>
    <w:rsid w:val="00754A0B"/>
    <w:rsid w:val="007552DB"/>
    <w:rsid w:val="00755920"/>
    <w:rsid w:val="00755B08"/>
    <w:rsid w:val="00755DD0"/>
    <w:rsid w:val="007563D0"/>
    <w:rsid w:val="0075647A"/>
    <w:rsid w:val="0075653F"/>
    <w:rsid w:val="0075666A"/>
    <w:rsid w:val="00756A2F"/>
    <w:rsid w:val="00757250"/>
    <w:rsid w:val="007573E1"/>
    <w:rsid w:val="0075749E"/>
    <w:rsid w:val="00757722"/>
    <w:rsid w:val="00757B2D"/>
    <w:rsid w:val="00757BAD"/>
    <w:rsid w:val="00757D62"/>
    <w:rsid w:val="00760021"/>
    <w:rsid w:val="00760429"/>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742"/>
    <w:rsid w:val="00763805"/>
    <w:rsid w:val="00763E0E"/>
    <w:rsid w:val="0076445F"/>
    <w:rsid w:val="00764EC5"/>
    <w:rsid w:val="00764F2E"/>
    <w:rsid w:val="00765BCA"/>
    <w:rsid w:val="00766A4A"/>
    <w:rsid w:val="00766ECC"/>
    <w:rsid w:val="007672F3"/>
    <w:rsid w:val="007677B5"/>
    <w:rsid w:val="007678B1"/>
    <w:rsid w:val="00767AF9"/>
    <w:rsid w:val="00767F6E"/>
    <w:rsid w:val="00770093"/>
    <w:rsid w:val="007703DB"/>
    <w:rsid w:val="00770632"/>
    <w:rsid w:val="00770690"/>
    <w:rsid w:val="007708A8"/>
    <w:rsid w:val="00771EE8"/>
    <w:rsid w:val="00772100"/>
    <w:rsid w:val="00772275"/>
    <w:rsid w:val="00772752"/>
    <w:rsid w:val="007731FA"/>
    <w:rsid w:val="007734E4"/>
    <w:rsid w:val="0077380D"/>
    <w:rsid w:val="00773BC8"/>
    <w:rsid w:val="00773EA9"/>
    <w:rsid w:val="0077466F"/>
    <w:rsid w:val="007752B7"/>
    <w:rsid w:val="007759A8"/>
    <w:rsid w:val="00775C27"/>
    <w:rsid w:val="00775D98"/>
    <w:rsid w:val="00776DBF"/>
    <w:rsid w:val="00776FE5"/>
    <w:rsid w:val="00777101"/>
    <w:rsid w:val="007774E7"/>
    <w:rsid w:val="0077768C"/>
    <w:rsid w:val="00777696"/>
    <w:rsid w:val="00777897"/>
    <w:rsid w:val="00777FF4"/>
    <w:rsid w:val="0078022F"/>
    <w:rsid w:val="00780251"/>
    <w:rsid w:val="007804FE"/>
    <w:rsid w:val="00780F32"/>
    <w:rsid w:val="00781004"/>
    <w:rsid w:val="0078122E"/>
    <w:rsid w:val="00781939"/>
    <w:rsid w:val="00781D29"/>
    <w:rsid w:val="007825EF"/>
    <w:rsid w:val="0078286B"/>
    <w:rsid w:val="00782D2C"/>
    <w:rsid w:val="00782F16"/>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23D"/>
    <w:rsid w:val="0079146D"/>
    <w:rsid w:val="007918DF"/>
    <w:rsid w:val="00791B8D"/>
    <w:rsid w:val="00791C32"/>
    <w:rsid w:val="00791FF0"/>
    <w:rsid w:val="007923D0"/>
    <w:rsid w:val="007930D3"/>
    <w:rsid w:val="007936F2"/>
    <w:rsid w:val="0079381F"/>
    <w:rsid w:val="00793A57"/>
    <w:rsid w:val="00793B2E"/>
    <w:rsid w:val="007948F5"/>
    <w:rsid w:val="00795647"/>
    <w:rsid w:val="007963F6"/>
    <w:rsid w:val="007968B8"/>
    <w:rsid w:val="00796908"/>
    <w:rsid w:val="00796DC8"/>
    <w:rsid w:val="00796E80"/>
    <w:rsid w:val="0079744F"/>
    <w:rsid w:val="00797467"/>
    <w:rsid w:val="007979AD"/>
    <w:rsid w:val="00797A9C"/>
    <w:rsid w:val="007A00FA"/>
    <w:rsid w:val="007A02DD"/>
    <w:rsid w:val="007A0EAB"/>
    <w:rsid w:val="007A2341"/>
    <w:rsid w:val="007A2754"/>
    <w:rsid w:val="007A2932"/>
    <w:rsid w:val="007A38A1"/>
    <w:rsid w:val="007A3BBE"/>
    <w:rsid w:val="007A464E"/>
    <w:rsid w:val="007A4766"/>
    <w:rsid w:val="007A4947"/>
    <w:rsid w:val="007A5747"/>
    <w:rsid w:val="007A5947"/>
    <w:rsid w:val="007A595F"/>
    <w:rsid w:val="007A5C22"/>
    <w:rsid w:val="007A5DB3"/>
    <w:rsid w:val="007A6526"/>
    <w:rsid w:val="007A717B"/>
    <w:rsid w:val="007B0313"/>
    <w:rsid w:val="007B0854"/>
    <w:rsid w:val="007B0E48"/>
    <w:rsid w:val="007B105C"/>
    <w:rsid w:val="007B1D1B"/>
    <w:rsid w:val="007B2086"/>
    <w:rsid w:val="007B303E"/>
    <w:rsid w:val="007B32C0"/>
    <w:rsid w:val="007B32F7"/>
    <w:rsid w:val="007B334C"/>
    <w:rsid w:val="007B3659"/>
    <w:rsid w:val="007B38B5"/>
    <w:rsid w:val="007B3BF3"/>
    <w:rsid w:val="007B431B"/>
    <w:rsid w:val="007B4558"/>
    <w:rsid w:val="007B4617"/>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598"/>
    <w:rsid w:val="007C1672"/>
    <w:rsid w:val="007C29A0"/>
    <w:rsid w:val="007C2EA7"/>
    <w:rsid w:val="007C2F60"/>
    <w:rsid w:val="007C312A"/>
    <w:rsid w:val="007C3209"/>
    <w:rsid w:val="007C338A"/>
    <w:rsid w:val="007C34A9"/>
    <w:rsid w:val="007C3570"/>
    <w:rsid w:val="007C3F3B"/>
    <w:rsid w:val="007C4241"/>
    <w:rsid w:val="007C425E"/>
    <w:rsid w:val="007C51A1"/>
    <w:rsid w:val="007C55FF"/>
    <w:rsid w:val="007C5A87"/>
    <w:rsid w:val="007C5DA2"/>
    <w:rsid w:val="007C6339"/>
    <w:rsid w:val="007C74AB"/>
    <w:rsid w:val="007C753F"/>
    <w:rsid w:val="007C7C43"/>
    <w:rsid w:val="007C7F0D"/>
    <w:rsid w:val="007D06E3"/>
    <w:rsid w:val="007D1134"/>
    <w:rsid w:val="007D17F0"/>
    <w:rsid w:val="007D23F7"/>
    <w:rsid w:val="007D2566"/>
    <w:rsid w:val="007D2C18"/>
    <w:rsid w:val="007D2D74"/>
    <w:rsid w:val="007D3693"/>
    <w:rsid w:val="007D3C6D"/>
    <w:rsid w:val="007D42D3"/>
    <w:rsid w:val="007D449A"/>
    <w:rsid w:val="007D481A"/>
    <w:rsid w:val="007D4D52"/>
    <w:rsid w:val="007D4ED0"/>
    <w:rsid w:val="007D5648"/>
    <w:rsid w:val="007D584A"/>
    <w:rsid w:val="007D58C5"/>
    <w:rsid w:val="007D594A"/>
    <w:rsid w:val="007D5DE8"/>
    <w:rsid w:val="007D6E16"/>
    <w:rsid w:val="007D6FE9"/>
    <w:rsid w:val="007D7CFC"/>
    <w:rsid w:val="007E0812"/>
    <w:rsid w:val="007E18DF"/>
    <w:rsid w:val="007E22B2"/>
    <w:rsid w:val="007E2C36"/>
    <w:rsid w:val="007E3309"/>
    <w:rsid w:val="007E350D"/>
    <w:rsid w:val="007E35CE"/>
    <w:rsid w:val="007E35D7"/>
    <w:rsid w:val="007E3ACA"/>
    <w:rsid w:val="007E4D7B"/>
    <w:rsid w:val="007E4EC4"/>
    <w:rsid w:val="007E564D"/>
    <w:rsid w:val="007E5C4A"/>
    <w:rsid w:val="007E5D18"/>
    <w:rsid w:val="007E64D4"/>
    <w:rsid w:val="007E66E9"/>
    <w:rsid w:val="007E69F2"/>
    <w:rsid w:val="007E7432"/>
    <w:rsid w:val="007E74BF"/>
    <w:rsid w:val="007F063B"/>
    <w:rsid w:val="007F14D3"/>
    <w:rsid w:val="007F160A"/>
    <w:rsid w:val="007F1D9D"/>
    <w:rsid w:val="007F1E28"/>
    <w:rsid w:val="007F1F63"/>
    <w:rsid w:val="007F22A0"/>
    <w:rsid w:val="007F2903"/>
    <w:rsid w:val="007F2F90"/>
    <w:rsid w:val="007F3320"/>
    <w:rsid w:val="007F382B"/>
    <w:rsid w:val="007F3AC1"/>
    <w:rsid w:val="007F42AF"/>
    <w:rsid w:val="007F4976"/>
    <w:rsid w:val="007F4BB8"/>
    <w:rsid w:val="007F52AF"/>
    <w:rsid w:val="007F55F7"/>
    <w:rsid w:val="007F561C"/>
    <w:rsid w:val="007F5A56"/>
    <w:rsid w:val="007F616E"/>
    <w:rsid w:val="007F6B46"/>
    <w:rsid w:val="007F6D51"/>
    <w:rsid w:val="007F72CB"/>
    <w:rsid w:val="007F736A"/>
    <w:rsid w:val="007F7635"/>
    <w:rsid w:val="007F785F"/>
    <w:rsid w:val="007F7961"/>
    <w:rsid w:val="007F7AF6"/>
    <w:rsid w:val="007F7B36"/>
    <w:rsid w:val="007F7CC8"/>
    <w:rsid w:val="007F7E36"/>
    <w:rsid w:val="007F7F8E"/>
    <w:rsid w:val="00800295"/>
    <w:rsid w:val="00800B4D"/>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5D1"/>
    <w:rsid w:val="00807C35"/>
    <w:rsid w:val="00807F35"/>
    <w:rsid w:val="00807F69"/>
    <w:rsid w:val="008100F7"/>
    <w:rsid w:val="00810206"/>
    <w:rsid w:val="008105DC"/>
    <w:rsid w:val="00811561"/>
    <w:rsid w:val="0081166C"/>
    <w:rsid w:val="00811898"/>
    <w:rsid w:val="00811CDC"/>
    <w:rsid w:val="008124D8"/>
    <w:rsid w:val="0081250A"/>
    <w:rsid w:val="00813A7B"/>
    <w:rsid w:val="00813F04"/>
    <w:rsid w:val="008148E3"/>
    <w:rsid w:val="00814C2C"/>
    <w:rsid w:val="0081513E"/>
    <w:rsid w:val="008154AF"/>
    <w:rsid w:val="00815DA5"/>
    <w:rsid w:val="00816221"/>
    <w:rsid w:val="00817063"/>
    <w:rsid w:val="00817500"/>
    <w:rsid w:val="0081766B"/>
    <w:rsid w:val="00817D03"/>
    <w:rsid w:val="00820094"/>
    <w:rsid w:val="00820705"/>
    <w:rsid w:val="00820BA7"/>
    <w:rsid w:val="00820CBF"/>
    <w:rsid w:val="00820DBC"/>
    <w:rsid w:val="00820FA8"/>
    <w:rsid w:val="008212FD"/>
    <w:rsid w:val="00821489"/>
    <w:rsid w:val="008217B7"/>
    <w:rsid w:val="00822123"/>
    <w:rsid w:val="0082239B"/>
    <w:rsid w:val="008227CD"/>
    <w:rsid w:val="0082292E"/>
    <w:rsid w:val="00822D06"/>
    <w:rsid w:val="00822EC4"/>
    <w:rsid w:val="00823452"/>
    <w:rsid w:val="0082348D"/>
    <w:rsid w:val="008235ED"/>
    <w:rsid w:val="00823624"/>
    <w:rsid w:val="008236BE"/>
    <w:rsid w:val="008241CE"/>
    <w:rsid w:val="00825136"/>
    <w:rsid w:val="008251BA"/>
    <w:rsid w:val="00825240"/>
    <w:rsid w:val="00825625"/>
    <w:rsid w:val="00825B43"/>
    <w:rsid w:val="00826094"/>
    <w:rsid w:val="00826F71"/>
    <w:rsid w:val="00827CC0"/>
    <w:rsid w:val="00831026"/>
    <w:rsid w:val="0083119B"/>
    <w:rsid w:val="008314AD"/>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7E8"/>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07"/>
    <w:rsid w:val="008444F0"/>
    <w:rsid w:val="00844CC1"/>
    <w:rsid w:val="00844D4F"/>
    <w:rsid w:val="008452FB"/>
    <w:rsid w:val="00845AE3"/>
    <w:rsid w:val="008466A0"/>
    <w:rsid w:val="00847535"/>
    <w:rsid w:val="00847B6D"/>
    <w:rsid w:val="00850172"/>
    <w:rsid w:val="0085092D"/>
    <w:rsid w:val="00850C6C"/>
    <w:rsid w:val="00850C79"/>
    <w:rsid w:val="00850D82"/>
    <w:rsid w:val="00850F79"/>
    <w:rsid w:val="0085100B"/>
    <w:rsid w:val="0085296E"/>
    <w:rsid w:val="00852C43"/>
    <w:rsid w:val="0085304C"/>
    <w:rsid w:val="008536BB"/>
    <w:rsid w:val="00853A3C"/>
    <w:rsid w:val="00854041"/>
    <w:rsid w:val="008548CA"/>
    <w:rsid w:val="00854ACB"/>
    <w:rsid w:val="00856B9F"/>
    <w:rsid w:val="00856C06"/>
    <w:rsid w:val="008575ED"/>
    <w:rsid w:val="0085790B"/>
    <w:rsid w:val="008579B9"/>
    <w:rsid w:val="00857C95"/>
    <w:rsid w:val="00857E78"/>
    <w:rsid w:val="0086082D"/>
    <w:rsid w:val="00860AEF"/>
    <w:rsid w:val="00860B18"/>
    <w:rsid w:val="00860D5E"/>
    <w:rsid w:val="0086122C"/>
    <w:rsid w:val="00861310"/>
    <w:rsid w:val="0086136D"/>
    <w:rsid w:val="00861F53"/>
    <w:rsid w:val="0086289E"/>
    <w:rsid w:val="008629CB"/>
    <w:rsid w:val="00862E11"/>
    <w:rsid w:val="008637FF"/>
    <w:rsid w:val="0086394E"/>
    <w:rsid w:val="00863F8A"/>
    <w:rsid w:val="00863FE3"/>
    <w:rsid w:val="00864241"/>
    <w:rsid w:val="0086468A"/>
    <w:rsid w:val="008647C9"/>
    <w:rsid w:val="008650BE"/>
    <w:rsid w:val="008659CD"/>
    <w:rsid w:val="0086633B"/>
    <w:rsid w:val="00866495"/>
    <w:rsid w:val="008667E0"/>
    <w:rsid w:val="00866866"/>
    <w:rsid w:val="00866881"/>
    <w:rsid w:val="00866931"/>
    <w:rsid w:val="00866AAA"/>
    <w:rsid w:val="00866ADC"/>
    <w:rsid w:val="00867512"/>
    <w:rsid w:val="008678A3"/>
    <w:rsid w:val="00867C13"/>
    <w:rsid w:val="00867C1D"/>
    <w:rsid w:val="0087033C"/>
    <w:rsid w:val="00870A84"/>
    <w:rsid w:val="00870C8D"/>
    <w:rsid w:val="008715ED"/>
    <w:rsid w:val="008717D8"/>
    <w:rsid w:val="00871E3C"/>
    <w:rsid w:val="00872ABD"/>
    <w:rsid w:val="00872CC1"/>
    <w:rsid w:val="00872F97"/>
    <w:rsid w:val="00873149"/>
    <w:rsid w:val="00873E79"/>
    <w:rsid w:val="00874607"/>
    <w:rsid w:val="00874915"/>
    <w:rsid w:val="00874ACD"/>
    <w:rsid w:val="00874B89"/>
    <w:rsid w:val="00875403"/>
    <w:rsid w:val="00875434"/>
    <w:rsid w:val="00875C1F"/>
    <w:rsid w:val="00876215"/>
    <w:rsid w:val="0087646C"/>
    <w:rsid w:val="0087665D"/>
    <w:rsid w:val="00876815"/>
    <w:rsid w:val="00876C0C"/>
    <w:rsid w:val="00876F10"/>
    <w:rsid w:val="00877932"/>
    <w:rsid w:val="008808C7"/>
    <w:rsid w:val="0088106B"/>
    <w:rsid w:val="0088107D"/>
    <w:rsid w:val="008815D1"/>
    <w:rsid w:val="00881E64"/>
    <w:rsid w:val="00882E39"/>
    <w:rsid w:val="0088472A"/>
    <w:rsid w:val="008850EB"/>
    <w:rsid w:val="00885228"/>
    <w:rsid w:val="0088676E"/>
    <w:rsid w:val="0088680C"/>
    <w:rsid w:val="00886DF2"/>
    <w:rsid w:val="00886F25"/>
    <w:rsid w:val="00886FB9"/>
    <w:rsid w:val="00887057"/>
    <w:rsid w:val="00887080"/>
    <w:rsid w:val="00887563"/>
    <w:rsid w:val="00887B9E"/>
    <w:rsid w:val="00887C79"/>
    <w:rsid w:val="00887C8A"/>
    <w:rsid w:val="0089091B"/>
    <w:rsid w:val="0089107B"/>
    <w:rsid w:val="00891334"/>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C1"/>
    <w:rsid w:val="008A07D5"/>
    <w:rsid w:val="008A12C9"/>
    <w:rsid w:val="008A187A"/>
    <w:rsid w:val="008A1CC7"/>
    <w:rsid w:val="008A1FB7"/>
    <w:rsid w:val="008A229A"/>
    <w:rsid w:val="008A2535"/>
    <w:rsid w:val="008A2A23"/>
    <w:rsid w:val="008A2AF5"/>
    <w:rsid w:val="008A2B5A"/>
    <w:rsid w:val="008A34D3"/>
    <w:rsid w:val="008A3F9D"/>
    <w:rsid w:val="008A4799"/>
    <w:rsid w:val="008A4AFC"/>
    <w:rsid w:val="008A511F"/>
    <w:rsid w:val="008A517B"/>
    <w:rsid w:val="008A5474"/>
    <w:rsid w:val="008A5C9A"/>
    <w:rsid w:val="008A6005"/>
    <w:rsid w:val="008A614F"/>
    <w:rsid w:val="008A6273"/>
    <w:rsid w:val="008A6A55"/>
    <w:rsid w:val="008A6DF0"/>
    <w:rsid w:val="008A6F6E"/>
    <w:rsid w:val="008A720F"/>
    <w:rsid w:val="008A7808"/>
    <w:rsid w:val="008A7888"/>
    <w:rsid w:val="008A796E"/>
    <w:rsid w:val="008B0862"/>
    <w:rsid w:val="008B088C"/>
    <w:rsid w:val="008B1475"/>
    <w:rsid w:val="008B1BF5"/>
    <w:rsid w:val="008B2332"/>
    <w:rsid w:val="008B263F"/>
    <w:rsid w:val="008B2B10"/>
    <w:rsid w:val="008B3045"/>
    <w:rsid w:val="008B3544"/>
    <w:rsid w:val="008B47A6"/>
    <w:rsid w:val="008B559F"/>
    <w:rsid w:val="008B5E48"/>
    <w:rsid w:val="008B5F43"/>
    <w:rsid w:val="008B672C"/>
    <w:rsid w:val="008B6B42"/>
    <w:rsid w:val="008B6B8E"/>
    <w:rsid w:val="008B6F68"/>
    <w:rsid w:val="008B7234"/>
    <w:rsid w:val="008C00B0"/>
    <w:rsid w:val="008C065F"/>
    <w:rsid w:val="008C0743"/>
    <w:rsid w:val="008C0B4C"/>
    <w:rsid w:val="008C0E3D"/>
    <w:rsid w:val="008C11F0"/>
    <w:rsid w:val="008C1C82"/>
    <w:rsid w:val="008C1DBA"/>
    <w:rsid w:val="008C24E7"/>
    <w:rsid w:val="008C2500"/>
    <w:rsid w:val="008C2CAC"/>
    <w:rsid w:val="008C2D70"/>
    <w:rsid w:val="008C3C57"/>
    <w:rsid w:val="008C3E2A"/>
    <w:rsid w:val="008C45A3"/>
    <w:rsid w:val="008C45BD"/>
    <w:rsid w:val="008C4B19"/>
    <w:rsid w:val="008C62D4"/>
    <w:rsid w:val="008C6B89"/>
    <w:rsid w:val="008D0FEC"/>
    <w:rsid w:val="008D15DB"/>
    <w:rsid w:val="008D18AA"/>
    <w:rsid w:val="008D18E2"/>
    <w:rsid w:val="008D1A2A"/>
    <w:rsid w:val="008D1ADE"/>
    <w:rsid w:val="008D27C5"/>
    <w:rsid w:val="008D2A01"/>
    <w:rsid w:val="008D32B6"/>
    <w:rsid w:val="008D32E2"/>
    <w:rsid w:val="008D35D9"/>
    <w:rsid w:val="008D3B79"/>
    <w:rsid w:val="008D3B85"/>
    <w:rsid w:val="008D417D"/>
    <w:rsid w:val="008D462D"/>
    <w:rsid w:val="008D4645"/>
    <w:rsid w:val="008D510F"/>
    <w:rsid w:val="008D560B"/>
    <w:rsid w:val="008D5EC6"/>
    <w:rsid w:val="008D6084"/>
    <w:rsid w:val="008D63B5"/>
    <w:rsid w:val="008D64AC"/>
    <w:rsid w:val="008D66CA"/>
    <w:rsid w:val="008D69B1"/>
    <w:rsid w:val="008D7338"/>
    <w:rsid w:val="008D785E"/>
    <w:rsid w:val="008D7EE4"/>
    <w:rsid w:val="008E0012"/>
    <w:rsid w:val="008E0952"/>
    <w:rsid w:val="008E09FE"/>
    <w:rsid w:val="008E0A0A"/>
    <w:rsid w:val="008E0DF7"/>
    <w:rsid w:val="008E0FAD"/>
    <w:rsid w:val="008E1177"/>
    <w:rsid w:val="008E11E4"/>
    <w:rsid w:val="008E1252"/>
    <w:rsid w:val="008E1347"/>
    <w:rsid w:val="008E16E0"/>
    <w:rsid w:val="008E1C15"/>
    <w:rsid w:val="008E1C9A"/>
    <w:rsid w:val="008E2134"/>
    <w:rsid w:val="008E2709"/>
    <w:rsid w:val="008E28BD"/>
    <w:rsid w:val="008E30C4"/>
    <w:rsid w:val="008E30D0"/>
    <w:rsid w:val="008E331C"/>
    <w:rsid w:val="008E38B4"/>
    <w:rsid w:val="008E3BA4"/>
    <w:rsid w:val="008E3F52"/>
    <w:rsid w:val="008E44AB"/>
    <w:rsid w:val="008E4F5E"/>
    <w:rsid w:val="008E4FB1"/>
    <w:rsid w:val="008E5179"/>
    <w:rsid w:val="008E51F0"/>
    <w:rsid w:val="008E57FE"/>
    <w:rsid w:val="008E6598"/>
    <w:rsid w:val="008E7214"/>
    <w:rsid w:val="008E7884"/>
    <w:rsid w:val="008E7D6E"/>
    <w:rsid w:val="008F1056"/>
    <w:rsid w:val="008F2977"/>
    <w:rsid w:val="008F2E8D"/>
    <w:rsid w:val="008F361D"/>
    <w:rsid w:val="008F387B"/>
    <w:rsid w:val="008F3DD9"/>
    <w:rsid w:val="008F42F1"/>
    <w:rsid w:val="008F46E0"/>
    <w:rsid w:val="008F4814"/>
    <w:rsid w:val="008F4A67"/>
    <w:rsid w:val="008F4DA6"/>
    <w:rsid w:val="008F538E"/>
    <w:rsid w:val="008F5A20"/>
    <w:rsid w:val="008F5ABA"/>
    <w:rsid w:val="008F67B9"/>
    <w:rsid w:val="008F71AB"/>
    <w:rsid w:val="008F75C8"/>
    <w:rsid w:val="008F7905"/>
    <w:rsid w:val="008F7989"/>
    <w:rsid w:val="00900890"/>
    <w:rsid w:val="0090103E"/>
    <w:rsid w:val="009010DF"/>
    <w:rsid w:val="00901369"/>
    <w:rsid w:val="0090156E"/>
    <w:rsid w:val="009015B5"/>
    <w:rsid w:val="00901F1D"/>
    <w:rsid w:val="009020B3"/>
    <w:rsid w:val="009028E8"/>
    <w:rsid w:val="00902E5C"/>
    <w:rsid w:val="00902F36"/>
    <w:rsid w:val="0090363E"/>
    <w:rsid w:val="00903C2E"/>
    <w:rsid w:val="009046E5"/>
    <w:rsid w:val="009047C5"/>
    <w:rsid w:val="00904DFE"/>
    <w:rsid w:val="009050AC"/>
    <w:rsid w:val="0090648C"/>
    <w:rsid w:val="0090675B"/>
    <w:rsid w:val="009067E3"/>
    <w:rsid w:val="00906ECE"/>
    <w:rsid w:val="0090700A"/>
    <w:rsid w:val="0091067B"/>
    <w:rsid w:val="00910683"/>
    <w:rsid w:val="00910764"/>
    <w:rsid w:val="00910D31"/>
    <w:rsid w:val="00910E00"/>
    <w:rsid w:val="009116CE"/>
    <w:rsid w:val="00911714"/>
    <w:rsid w:val="00911774"/>
    <w:rsid w:val="00911D04"/>
    <w:rsid w:val="00911EFF"/>
    <w:rsid w:val="009126F0"/>
    <w:rsid w:val="00912DEF"/>
    <w:rsid w:val="009136D4"/>
    <w:rsid w:val="00913A90"/>
    <w:rsid w:val="00914385"/>
    <w:rsid w:val="00914B9A"/>
    <w:rsid w:val="00914C3F"/>
    <w:rsid w:val="00914F33"/>
    <w:rsid w:val="00915FCE"/>
    <w:rsid w:val="00916AFE"/>
    <w:rsid w:val="00916FC8"/>
    <w:rsid w:val="009170D3"/>
    <w:rsid w:val="00917258"/>
    <w:rsid w:val="0091759C"/>
    <w:rsid w:val="00920026"/>
    <w:rsid w:val="0092024E"/>
    <w:rsid w:val="009203E2"/>
    <w:rsid w:val="00920D62"/>
    <w:rsid w:val="00920F61"/>
    <w:rsid w:val="00921304"/>
    <w:rsid w:val="00921395"/>
    <w:rsid w:val="00921805"/>
    <w:rsid w:val="00921E63"/>
    <w:rsid w:val="0092316D"/>
    <w:rsid w:val="009232B9"/>
    <w:rsid w:val="009232E0"/>
    <w:rsid w:val="00923396"/>
    <w:rsid w:val="009239E6"/>
    <w:rsid w:val="00923B36"/>
    <w:rsid w:val="00923F56"/>
    <w:rsid w:val="00923F84"/>
    <w:rsid w:val="00924E7A"/>
    <w:rsid w:val="00925346"/>
    <w:rsid w:val="00925743"/>
    <w:rsid w:val="0092579F"/>
    <w:rsid w:val="00925F4F"/>
    <w:rsid w:val="00926203"/>
    <w:rsid w:val="0092643A"/>
    <w:rsid w:val="00926EF7"/>
    <w:rsid w:val="00927E8D"/>
    <w:rsid w:val="00927F23"/>
    <w:rsid w:val="00930144"/>
    <w:rsid w:val="009307CD"/>
    <w:rsid w:val="00930C37"/>
    <w:rsid w:val="00930C72"/>
    <w:rsid w:val="009312BE"/>
    <w:rsid w:val="0093133D"/>
    <w:rsid w:val="00931365"/>
    <w:rsid w:val="00931451"/>
    <w:rsid w:val="009314FA"/>
    <w:rsid w:val="0093194F"/>
    <w:rsid w:val="00931BF3"/>
    <w:rsid w:val="00931C55"/>
    <w:rsid w:val="00931D27"/>
    <w:rsid w:val="00933333"/>
    <w:rsid w:val="0093349A"/>
    <w:rsid w:val="009338BA"/>
    <w:rsid w:val="00933F0F"/>
    <w:rsid w:val="00933FCB"/>
    <w:rsid w:val="00934CEC"/>
    <w:rsid w:val="00934E69"/>
    <w:rsid w:val="00935E70"/>
    <w:rsid w:val="0093609A"/>
    <w:rsid w:val="00936882"/>
    <w:rsid w:val="00936B04"/>
    <w:rsid w:val="00937401"/>
    <w:rsid w:val="009376FB"/>
    <w:rsid w:val="00937D6B"/>
    <w:rsid w:val="00937F1B"/>
    <w:rsid w:val="00940477"/>
    <w:rsid w:val="00940876"/>
    <w:rsid w:val="00940A53"/>
    <w:rsid w:val="00940C0B"/>
    <w:rsid w:val="00940F3C"/>
    <w:rsid w:val="009410E0"/>
    <w:rsid w:val="00941FA9"/>
    <w:rsid w:val="00942089"/>
    <w:rsid w:val="00943214"/>
    <w:rsid w:val="00943BA6"/>
    <w:rsid w:val="00943D84"/>
    <w:rsid w:val="009444B4"/>
    <w:rsid w:val="00944644"/>
    <w:rsid w:val="009447C7"/>
    <w:rsid w:val="00945623"/>
    <w:rsid w:val="00945C62"/>
    <w:rsid w:val="00945D98"/>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6C7D"/>
    <w:rsid w:val="0095780A"/>
    <w:rsid w:val="009578C3"/>
    <w:rsid w:val="009579E4"/>
    <w:rsid w:val="00957AA4"/>
    <w:rsid w:val="00957ACB"/>
    <w:rsid w:val="00957EAC"/>
    <w:rsid w:val="00957F27"/>
    <w:rsid w:val="00960156"/>
    <w:rsid w:val="00960BDB"/>
    <w:rsid w:val="0096105C"/>
    <w:rsid w:val="0096147D"/>
    <w:rsid w:val="0096158E"/>
    <w:rsid w:val="00961BD7"/>
    <w:rsid w:val="00961D53"/>
    <w:rsid w:val="00961E5F"/>
    <w:rsid w:val="009625C6"/>
    <w:rsid w:val="00962980"/>
    <w:rsid w:val="009629B5"/>
    <w:rsid w:val="00962A50"/>
    <w:rsid w:val="00963347"/>
    <w:rsid w:val="0096409A"/>
    <w:rsid w:val="00964138"/>
    <w:rsid w:val="009648D6"/>
    <w:rsid w:val="00964A0B"/>
    <w:rsid w:val="00964B3F"/>
    <w:rsid w:val="00964C98"/>
    <w:rsid w:val="00965FB2"/>
    <w:rsid w:val="009660A2"/>
    <w:rsid w:val="00967100"/>
    <w:rsid w:val="009672D8"/>
    <w:rsid w:val="00967A6F"/>
    <w:rsid w:val="009706C4"/>
    <w:rsid w:val="00970BD2"/>
    <w:rsid w:val="00971441"/>
    <w:rsid w:val="009715D4"/>
    <w:rsid w:val="0097179A"/>
    <w:rsid w:val="00971F1F"/>
    <w:rsid w:val="00972105"/>
    <w:rsid w:val="00972490"/>
    <w:rsid w:val="009732A4"/>
    <w:rsid w:val="009737C7"/>
    <w:rsid w:val="009739CC"/>
    <w:rsid w:val="00973B4A"/>
    <w:rsid w:val="00973C05"/>
    <w:rsid w:val="009741FF"/>
    <w:rsid w:val="0097494E"/>
    <w:rsid w:val="00974999"/>
    <w:rsid w:val="00974B58"/>
    <w:rsid w:val="00975445"/>
    <w:rsid w:val="009761ED"/>
    <w:rsid w:val="009762F0"/>
    <w:rsid w:val="0097764C"/>
    <w:rsid w:val="0098022F"/>
    <w:rsid w:val="009808BE"/>
    <w:rsid w:val="00980BDB"/>
    <w:rsid w:val="00980EAB"/>
    <w:rsid w:val="00980F26"/>
    <w:rsid w:val="00981036"/>
    <w:rsid w:val="00981042"/>
    <w:rsid w:val="009810DE"/>
    <w:rsid w:val="00981B91"/>
    <w:rsid w:val="00981DFC"/>
    <w:rsid w:val="009822D7"/>
    <w:rsid w:val="009827E6"/>
    <w:rsid w:val="00982F84"/>
    <w:rsid w:val="00983875"/>
    <w:rsid w:val="00983A33"/>
    <w:rsid w:val="0098427D"/>
    <w:rsid w:val="0098433F"/>
    <w:rsid w:val="00984567"/>
    <w:rsid w:val="00984AF1"/>
    <w:rsid w:val="00984CA0"/>
    <w:rsid w:val="00984E90"/>
    <w:rsid w:val="00985102"/>
    <w:rsid w:val="00985386"/>
    <w:rsid w:val="009854BC"/>
    <w:rsid w:val="00985D08"/>
    <w:rsid w:val="0098606C"/>
    <w:rsid w:val="009865D5"/>
    <w:rsid w:val="0098667E"/>
    <w:rsid w:val="00986B2A"/>
    <w:rsid w:val="00986DF4"/>
    <w:rsid w:val="00986E96"/>
    <w:rsid w:val="00987426"/>
    <w:rsid w:val="0098743A"/>
    <w:rsid w:val="009876F2"/>
    <w:rsid w:val="009877BB"/>
    <w:rsid w:val="00987872"/>
    <w:rsid w:val="00987B3A"/>
    <w:rsid w:val="00987C77"/>
    <w:rsid w:val="00987FED"/>
    <w:rsid w:val="00990345"/>
    <w:rsid w:val="00990701"/>
    <w:rsid w:val="00990779"/>
    <w:rsid w:val="009909C6"/>
    <w:rsid w:val="00990CE4"/>
    <w:rsid w:val="00990E2B"/>
    <w:rsid w:val="0099119C"/>
    <w:rsid w:val="0099137A"/>
    <w:rsid w:val="009917A5"/>
    <w:rsid w:val="00991AED"/>
    <w:rsid w:val="00992043"/>
    <w:rsid w:val="0099211C"/>
    <w:rsid w:val="00992BCA"/>
    <w:rsid w:val="00992DF9"/>
    <w:rsid w:val="00992FC9"/>
    <w:rsid w:val="0099349E"/>
    <w:rsid w:val="00993B78"/>
    <w:rsid w:val="00993DBE"/>
    <w:rsid w:val="00994433"/>
    <w:rsid w:val="00995119"/>
    <w:rsid w:val="0099531F"/>
    <w:rsid w:val="009953AD"/>
    <w:rsid w:val="0099583D"/>
    <w:rsid w:val="00996020"/>
    <w:rsid w:val="0099638A"/>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B46"/>
    <w:rsid w:val="009A6FDF"/>
    <w:rsid w:val="009A715F"/>
    <w:rsid w:val="009A76D6"/>
    <w:rsid w:val="009B016E"/>
    <w:rsid w:val="009B0E0F"/>
    <w:rsid w:val="009B1DA0"/>
    <w:rsid w:val="009B209C"/>
    <w:rsid w:val="009B2374"/>
    <w:rsid w:val="009B2514"/>
    <w:rsid w:val="009B2925"/>
    <w:rsid w:val="009B2E29"/>
    <w:rsid w:val="009B3163"/>
    <w:rsid w:val="009B3BCD"/>
    <w:rsid w:val="009B3F81"/>
    <w:rsid w:val="009B422F"/>
    <w:rsid w:val="009B46BC"/>
    <w:rsid w:val="009B4D1A"/>
    <w:rsid w:val="009B4D85"/>
    <w:rsid w:val="009B502F"/>
    <w:rsid w:val="009B558B"/>
    <w:rsid w:val="009B5BA1"/>
    <w:rsid w:val="009B5F29"/>
    <w:rsid w:val="009B61D7"/>
    <w:rsid w:val="009B66C4"/>
    <w:rsid w:val="009B6A34"/>
    <w:rsid w:val="009B6D21"/>
    <w:rsid w:val="009B6E80"/>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EDC"/>
    <w:rsid w:val="009C3FEE"/>
    <w:rsid w:val="009C4384"/>
    <w:rsid w:val="009C4987"/>
    <w:rsid w:val="009C4FDE"/>
    <w:rsid w:val="009C523F"/>
    <w:rsid w:val="009C5647"/>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81A"/>
    <w:rsid w:val="009D1A14"/>
    <w:rsid w:val="009D1E2A"/>
    <w:rsid w:val="009D1FA0"/>
    <w:rsid w:val="009D23A4"/>
    <w:rsid w:val="009D2562"/>
    <w:rsid w:val="009D2BDF"/>
    <w:rsid w:val="009D328F"/>
    <w:rsid w:val="009D3736"/>
    <w:rsid w:val="009D3EC2"/>
    <w:rsid w:val="009D421F"/>
    <w:rsid w:val="009D4529"/>
    <w:rsid w:val="009D5CFD"/>
    <w:rsid w:val="009D604F"/>
    <w:rsid w:val="009D61BB"/>
    <w:rsid w:val="009D6410"/>
    <w:rsid w:val="009D65B8"/>
    <w:rsid w:val="009D6856"/>
    <w:rsid w:val="009D68BB"/>
    <w:rsid w:val="009D6E3A"/>
    <w:rsid w:val="009D7056"/>
    <w:rsid w:val="009D70C2"/>
    <w:rsid w:val="009D75A0"/>
    <w:rsid w:val="009D7ADB"/>
    <w:rsid w:val="009D7B33"/>
    <w:rsid w:val="009E06C3"/>
    <w:rsid w:val="009E0703"/>
    <w:rsid w:val="009E1035"/>
    <w:rsid w:val="009E133A"/>
    <w:rsid w:val="009E16DA"/>
    <w:rsid w:val="009E1CD4"/>
    <w:rsid w:val="009E2391"/>
    <w:rsid w:val="009E34A5"/>
    <w:rsid w:val="009E35FE"/>
    <w:rsid w:val="009E41A0"/>
    <w:rsid w:val="009E453C"/>
    <w:rsid w:val="009E476A"/>
    <w:rsid w:val="009E4E05"/>
    <w:rsid w:val="009E56FF"/>
    <w:rsid w:val="009E5CB1"/>
    <w:rsid w:val="009E5E56"/>
    <w:rsid w:val="009E6051"/>
    <w:rsid w:val="009E61EA"/>
    <w:rsid w:val="009E642B"/>
    <w:rsid w:val="009E6990"/>
    <w:rsid w:val="009E6FEE"/>
    <w:rsid w:val="009E7A97"/>
    <w:rsid w:val="009F00B9"/>
    <w:rsid w:val="009F060F"/>
    <w:rsid w:val="009F0781"/>
    <w:rsid w:val="009F0850"/>
    <w:rsid w:val="009F1BDF"/>
    <w:rsid w:val="009F1EAE"/>
    <w:rsid w:val="009F20A6"/>
    <w:rsid w:val="009F311F"/>
    <w:rsid w:val="009F369D"/>
    <w:rsid w:val="009F36FE"/>
    <w:rsid w:val="009F3ED7"/>
    <w:rsid w:val="009F4200"/>
    <w:rsid w:val="009F4990"/>
    <w:rsid w:val="009F4F25"/>
    <w:rsid w:val="009F54F9"/>
    <w:rsid w:val="009F59C2"/>
    <w:rsid w:val="009F6FED"/>
    <w:rsid w:val="009F7263"/>
    <w:rsid w:val="009F76EA"/>
    <w:rsid w:val="009F78EB"/>
    <w:rsid w:val="009F7F32"/>
    <w:rsid w:val="009F7F8C"/>
    <w:rsid w:val="009F7FEB"/>
    <w:rsid w:val="00A0006F"/>
    <w:rsid w:val="00A003D5"/>
    <w:rsid w:val="00A010FD"/>
    <w:rsid w:val="00A0111D"/>
    <w:rsid w:val="00A0144E"/>
    <w:rsid w:val="00A014B5"/>
    <w:rsid w:val="00A01852"/>
    <w:rsid w:val="00A0188B"/>
    <w:rsid w:val="00A01E73"/>
    <w:rsid w:val="00A023E7"/>
    <w:rsid w:val="00A02685"/>
    <w:rsid w:val="00A02B88"/>
    <w:rsid w:val="00A02BB5"/>
    <w:rsid w:val="00A02C9B"/>
    <w:rsid w:val="00A02E50"/>
    <w:rsid w:val="00A03160"/>
    <w:rsid w:val="00A036AC"/>
    <w:rsid w:val="00A0374D"/>
    <w:rsid w:val="00A0385E"/>
    <w:rsid w:val="00A03C54"/>
    <w:rsid w:val="00A03DE5"/>
    <w:rsid w:val="00A04194"/>
    <w:rsid w:val="00A041BC"/>
    <w:rsid w:val="00A0447F"/>
    <w:rsid w:val="00A046D2"/>
    <w:rsid w:val="00A04A54"/>
    <w:rsid w:val="00A0523A"/>
    <w:rsid w:val="00A05587"/>
    <w:rsid w:val="00A05732"/>
    <w:rsid w:val="00A05B4B"/>
    <w:rsid w:val="00A05FED"/>
    <w:rsid w:val="00A066C3"/>
    <w:rsid w:val="00A06754"/>
    <w:rsid w:val="00A069E0"/>
    <w:rsid w:val="00A06E4A"/>
    <w:rsid w:val="00A06EE8"/>
    <w:rsid w:val="00A070E9"/>
    <w:rsid w:val="00A07799"/>
    <w:rsid w:val="00A078FB"/>
    <w:rsid w:val="00A07D3B"/>
    <w:rsid w:val="00A1036D"/>
    <w:rsid w:val="00A1069F"/>
    <w:rsid w:val="00A10ACA"/>
    <w:rsid w:val="00A10D08"/>
    <w:rsid w:val="00A11E78"/>
    <w:rsid w:val="00A120A7"/>
    <w:rsid w:val="00A12355"/>
    <w:rsid w:val="00A125D9"/>
    <w:rsid w:val="00A127D2"/>
    <w:rsid w:val="00A12DED"/>
    <w:rsid w:val="00A1382C"/>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0DC7"/>
    <w:rsid w:val="00A213DD"/>
    <w:rsid w:val="00A21454"/>
    <w:rsid w:val="00A216CE"/>
    <w:rsid w:val="00A22025"/>
    <w:rsid w:val="00A22498"/>
    <w:rsid w:val="00A22571"/>
    <w:rsid w:val="00A22644"/>
    <w:rsid w:val="00A2298D"/>
    <w:rsid w:val="00A22B43"/>
    <w:rsid w:val="00A22B72"/>
    <w:rsid w:val="00A23387"/>
    <w:rsid w:val="00A23BD4"/>
    <w:rsid w:val="00A24409"/>
    <w:rsid w:val="00A24560"/>
    <w:rsid w:val="00A25B0F"/>
    <w:rsid w:val="00A25BBB"/>
    <w:rsid w:val="00A26363"/>
    <w:rsid w:val="00A26824"/>
    <w:rsid w:val="00A27207"/>
    <w:rsid w:val="00A2727F"/>
    <w:rsid w:val="00A27FB6"/>
    <w:rsid w:val="00A30121"/>
    <w:rsid w:val="00A30368"/>
    <w:rsid w:val="00A3043A"/>
    <w:rsid w:val="00A30E02"/>
    <w:rsid w:val="00A30F6A"/>
    <w:rsid w:val="00A3157B"/>
    <w:rsid w:val="00A31C3E"/>
    <w:rsid w:val="00A32D73"/>
    <w:rsid w:val="00A32DA4"/>
    <w:rsid w:val="00A33EBA"/>
    <w:rsid w:val="00A342DF"/>
    <w:rsid w:val="00A3430A"/>
    <w:rsid w:val="00A344A2"/>
    <w:rsid w:val="00A34538"/>
    <w:rsid w:val="00A34677"/>
    <w:rsid w:val="00A3540F"/>
    <w:rsid w:val="00A35587"/>
    <w:rsid w:val="00A3559E"/>
    <w:rsid w:val="00A35630"/>
    <w:rsid w:val="00A35692"/>
    <w:rsid w:val="00A35914"/>
    <w:rsid w:val="00A35A6B"/>
    <w:rsid w:val="00A35E2B"/>
    <w:rsid w:val="00A36189"/>
    <w:rsid w:val="00A37E73"/>
    <w:rsid w:val="00A37F66"/>
    <w:rsid w:val="00A37FB6"/>
    <w:rsid w:val="00A40310"/>
    <w:rsid w:val="00A40457"/>
    <w:rsid w:val="00A40781"/>
    <w:rsid w:val="00A409E2"/>
    <w:rsid w:val="00A40F08"/>
    <w:rsid w:val="00A4104A"/>
    <w:rsid w:val="00A41081"/>
    <w:rsid w:val="00A411CA"/>
    <w:rsid w:val="00A42080"/>
    <w:rsid w:val="00A42096"/>
    <w:rsid w:val="00A421A4"/>
    <w:rsid w:val="00A426F3"/>
    <w:rsid w:val="00A4271D"/>
    <w:rsid w:val="00A42FDF"/>
    <w:rsid w:val="00A430A9"/>
    <w:rsid w:val="00A431FE"/>
    <w:rsid w:val="00A4324A"/>
    <w:rsid w:val="00A439E5"/>
    <w:rsid w:val="00A43C3E"/>
    <w:rsid w:val="00A43F2F"/>
    <w:rsid w:val="00A44087"/>
    <w:rsid w:val="00A4470B"/>
    <w:rsid w:val="00A4495C"/>
    <w:rsid w:val="00A4497A"/>
    <w:rsid w:val="00A44BE8"/>
    <w:rsid w:val="00A44C96"/>
    <w:rsid w:val="00A44CDD"/>
    <w:rsid w:val="00A44F54"/>
    <w:rsid w:val="00A45EA7"/>
    <w:rsid w:val="00A45EC5"/>
    <w:rsid w:val="00A45F9B"/>
    <w:rsid w:val="00A46574"/>
    <w:rsid w:val="00A470E1"/>
    <w:rsid w:val="00A47D08"/>
    <w:rsid w:val="00A500B1"/>
    <w:rsid w:val="00A52478"/>
    <w:rsid w:val="00A52A53"/>
    <w:rsid w:val="00A52C69"/>
    <w:rsid w:val="00A52EE5"/>
    <w:rsid w:val="00A52FD9"/>
    <w:rsid w:val="00A53037"/>
    <w:rsid w:val="00A532B9"/>
    <w:rsid w:val="00A5351D"/>
    <w:rsid w:val="00A53AC2"/>
    <w:rsid w:val="00A53B95"/>
    <w:rsid w:val="00A53E79"/>
    <w:rsid w:val="00A54031"/>
    <w:rsid w:val="00A5426D"/>
    <w:rsid w:val="00A542A7"/>
    <w:rsid w:val="00A5471D"/>
    <w:rsid w:val="00A54FC2"/>
    <w:rsid w:val="00A55122"/>
    <w:rsid w:val="00A55CEA"/>
    <w:rsid w:val="00A563BD"/>
    <w:rsid w:val="00A5694A"/>
    <w:rsid w:val="00A56DE7"/>
    <w:rsid w:val="00A57606"/>
    <w:rsid w:val="00A577BC"/>
    <w:rsid w:val="00A57EB2"/>
    <w:rsid w:val="00A60065"/>
    <w:rsid w:val="00A60077"/>
    <w:rsid w:val="00A6009E"/>
    <w:rsid w:val="00A60265"/>
    <w:rsid w:val="00A60B1F"/>
    <w:rsid w:val="00A60BF3"/>
    <w:rsid w:val="00A6155D"/>
    <w:rsid w:val="00A61C60"/>
    <w:rsid w:val="00A6202C"/>
    <w:rsid w:val="00A62335"/>
    <w:rsid w:val="00A62442"/>
    <w:rsid w:val="00A62589"/>
    <w:rsid w:val="00A6276A"/>
    <w:rsid w:val="00A62AD0"/>
    <w:rsid w:val="00A62AE4"/>
    <w:rsid w:val="00A62C3A"/>
    <w:rsid w:val="00A62D1E"/>
    <w:rsid w:val="00A62DB2"/>
    <w:rsid w:val="00A62FD9"/>
    <w:rsid w:val="00A6319C"/>
    <w:rsid w:val="00A6326A"/>
    <w:rsid w:val="00A63812"/>
    <w:rsid w:val="00A63DF7"/>
    <w:rsid w:val="00A644CC"/>
    <w:rsid w:val="00A6454D"/>
    <w:rsid w:val="00A64CA9"/>
    <w:rsid w:val="00A64F18"/>
    <w:rsid w:val="00A64F2F"/>
    <w:rsid w:val="00A6570D"/>
    <w:rsid w:val="00A65A1C"/>
    <w:rsid w:val="00A65C09"/>
    <w:rsid w:val="00A65EDE"/>
    <w:rsid w:val="00A6611E"/>
    <w:rsid w:val="00A668BA"/>
    <w:rsid w:val="00A66FA7"/>
    <w:rsid w:val="00A67E16"/>
    <w:rsid w:val="00A67EB1"/>
    <w:rsid w:val="00A67F7F"/>
    <w:rsid w:val="00A70229"/>
    <w:rsid w:val="00A703CC"/>
    <w:rsid w:val="00A70C5C"/>
    <w:rsid w:val="00A710A2"/>
    <w:rsid w:val="00A71E8C"/>
    <w:rsid w:val="00A71EA7"/>
    <w:rsid w:val="00A71F57"/>
    <w:rsid w:val="00A726DD"/>
    <w:rsid w:val="00A72D67"/>
    <w:rsid w:val="00A730AD"/>
    <w:rsid w:val="00A73741"/>
    <w:rsid w:val="00A737DD"/>
    <w:rsid w:val="00A73855"/>
    <w:rsid w:val="00A73D64"/>
    <w:rsid w:val="00A74216"/>
    <w:rsid w:val="00A744B4"/>
    <w:rsid w:val="00A74609"/>
    <w:rsid w:val="00A751E3"/>
    <w:rsid w:val="00A75504"/>
    <w:rsid w:val="00A7559A"/>
    <w:rsid w:val="00A75FD7"/>
    <w:rsid w:val="00A76357"/>
    <w:rsid w:val="00A763CD"/>
    <w:rsid w:val="00A77168"/>
    <w:rsid w:val="00A7723B"/>
    <w:rsid w:val="00A773E5"/>
    <w:rsid w:val="00A7782A"/>
    <w:rsid w:val="00A77879"/>
    <w:rsid w:val="00A7793C"/>
    <w:rsid w:val="00A77D21"/>
    <w:rsid w:val="00A77FDE"/>
    <w:rsid w:val="00A80085"/>
    <w:rsid w:val="00A8043B"/>
    <w:rsid w:val="00A804ED"/>
    <w:rsid w:val="00A80703"/>
    <w:rsid w:val="00A80DA0"/>
    <w:rsid w:val="00A81323"/>
    <w:rsid w:val="00A81E08"/>
    <w:rsid w:val="00A81E43"/>
    <w:rsid w:val="00A820CB"/>
    <w:rsid w:val="00A82342"/>
    <w:rsid w:val="00A82454"/>
    <w:rsid w:val="00A83646"/>
    <w:rsid w:val="00A83BEF"/>
    <w:rsid w:val="00A84443"/>
    <w:rsid w:val="00A8487F"/>
    <w:rsid w:val="00A849A3"/>
    <w:rsid w:val="00A849DB"/>
    <w:rsid w:val="00A84A0E"/>
    <w:rsid w:val="00A86694"/>
    <w:rsid w:val="00A86E0B"/>
    <w:rsid w:val="00A87873"/>
    <w:rsid w:val="00A90F12"/>
    <w:rsid w:val="00A913C7"/>
    <w:rsid w:val="00A91514"/>
    <w:rsid w:val="00A91689"/>
    <w:rsid w:val="00A91D24"/>
    <w:rsid w:val="00A91DAA"/>
    <w:rsid w:val="00A93101"/>
    <w:rsid w:val="00A9366B"/>
    <w:rsid w:val="00A93B63"/>
    <w:rsid w:val="00A9413E"/>
    <w:rsid w:val="00A94281"/>
    <w:rsid w:val="00A94293"/>
    <w:rsid w:val="00A9496E"/>
    <w:rsid w:val="00A949F0"/>
    <w:rsid w:val="00A94BDE"/>
    <w:rsid w:val="00A94CD7"/>
    <w:rsid w:val="00A94FCA"/>
    <w:rsid w:val="00A95011"/>
    <w:rsid w:val="00A952CC"/>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0E6"/>
    <w:rsid w:val="00AA3D7B"/>
    <w:rsid w:val="00AA42A0"/>
    <w:rsid w:val="00AA442B"/>
    <w:rsid w:val="00AA46A4"/>
    <w:rsid w:val="00AA4FD9"/>
    <w:rsid w:val="00AA5779"/>
    <w:rsid w:val="00AA58A1"/>
    <w:rsid w:val="00AA61C7"/>
    <w:rsid w:val="00AA669D"/>
    <w:rsid w:val="00AA66ED"/>
    <w:rsid w:val="00AA6B59"/>
    <w:rsid w:val="00AA6BE1"/>
    <w:rsid w:val="00AA7416"/>
    <w:rsid w:val="00AA7A60"/>
    <w:rsid w:val="00AA7B42"/>
    <w:rsid w:val="00AB041C"/>
    <w:rsid w:val="00AB0553"/>
    <w:rsid w:val="00AB13D2"/>
    <w:rsid w:val="00AB14E8"/>
    <w:rsid w:val="00AB1B1D"/>
    <w:rsid w:val="00AB1B32"/>
    <w:rsid w:val="00AB2216"/>
    <w:rsid w:val="00AB2B0B"/>
    <w:rsid w:val="00AB312F"/>
    <w:rsid w:val="00AB358D"/>
    <w:rsid w:val="00AB37A1"/>
    <w:rsid w:val="00AB3BAD"/>
    <w:rsid w:val="00AB3CFD"/>
    <w:rsid w:val="00AB410C"/>
    <w:rsid w:val="00AB4244"/>
    <w:rsid w:val="00AB43A8"/>
    <w:rsid w:val="00AB49BC"/>
    <w:rsid w:val="00AB4DEE"/>
    <w:rsid w:val="00AB4E32"/>
    <w:rsid w:val="00AB5649"/>
    <w:rsid w:val="00AB5C19"/>
    <w:rsid w:val="00AB61AD"/>
    <w:rsid w:val="00AB6534"/>
    <w:rsid w:val="00AB724B"/>
    <w:rsid w:val="00AB726C"/>
    <w:rsid w:val="00AB72B4"/>
    <w:rsid w:val="00AB74D6"/>
    <w:rsid w:val="00AB7A86"/>
    <w:rsid w:val="00AB7B86"/>
    <w:rsid w:val="00AC02AA"/>
    <w:rsid w:val="00AC0537"/>
    <w:rsid w:val="00AC0A84"/>
    <w:rsid w:val="00AC1508"/>
    <w:rsid w:val="00AC1BED"/>
    <w:rsid w:val="00AC2A0B"/>
    <w:rsid w:val="00AC2BEE"/>
    <w:rsid w:val="00AC2E53"/>
    <w:rsid w:val="00AC3EBE"/>
    <w:rsid w:val="00AC42E6"/>
    <w:rsid w:val="00AC455E"/>
    <w:rsid w:val="00AC484F"/>
    <w:rsid w:val="00AC4B20"/>
    <w:rsid w:val="00AC56F2"/>
    <w:rsid w:val="00AC6F34"/>
    <w:rsid w:val="00AC71C3"/>
    <w:rsid w:val="00AC7AC6"/>
    <w:rsid w:val="00AD09F7"/>
    <w:rsid w:val="00AD0A8C"/>
    <w:rsid w:val="00AD11B2"/>
    <w:rsid w:val="00AD1EFA"/>
    <w:rsid w:val="00AD2072"/>
    <w:rsid w:val="00AD2AF9"/>
    <w:rsid w:val="00AD2DBD"/>
    <w:rsid w:val="00AD2FBF"/>
    <w:rsid w:val="00AD31F5"/>
    <w:rsid w:val="00AD33AC"/>
    <w:rsid w:val="00AD340E"/>
    <w:rsid w:val="00AD409A"/>
    <w:rsid w:val="00AD455D"/>
    <w:rsid w:val="00AD463C"/>
    <w:rsid w:val="00AD4F60"/>
    <w:rsid w:val="00AD5044"/>
    <w:rsid w:val="00AD5114"/>
    <w:rsid w:val="00AD6236"/>
    <w:rsid w:val="00AD69D5"/>
    <w:rsid w:val="00AD6CF7"/>
    <w:rsid w:val="00AD73D0"/>
    <w:rsid w:val="00AD7619"/>
    <w:rsid w:val="00AD7770"/>
    <w:rsid w:val="00AD79FB"/>
    <w:rsid w:val="00AD7B14"/>
    <w:rsid w:val="00AD7BE4"/>
    <w:rsid w:val="00AE04B0"/>
    <w:rsid w:val="00AE1772"/>
    <w:rsid w:val="00AE1990"/>
    <w:rsid w:val="00AE249C"/>
    <w:rsid w:val="00AE25C0"/>
    <w:rsid w:val="00AE25E8"/>
    <w:rsid w:val="00AE2AD4"/>
    <w:rsid w:val="00AE2CA7"/>
    <w:rsid w:val="00AE2F1D"/>
    <w:rsid w:val="00AE4662"/>
    <w:rsid w:val="00AE4C81"/>
    <w:rsid w:val="00AE511B"/>
    <w:rsid w:val="00AE534E"/>
    <w:rsid w:val="00AE586F"/>
    <w:rsid w:val="00AE6582"/>
    <w:rsid w:val="00AE6CFD"/>
    <w:rsid w:val="00AE6DC5"/>
    <w:rsid w:val="00AE6E4D"/>
    <w:rsid w:val="00AE7686"/>
    <w:rsid w:val="00AE799A"/>
    <w:rsid w:val="00AE7B2A"/>
    <w:rsid w:val="00AE7C09"/>
    <w:rsid w:val="00AF041E"/>
    <w:rsid w:val="00AF052E"/>
    <w:rsid w:val="00AF09A9"/>
    <w:rsid w:val="00AF0E81"/>
    <w:rsid w:val="00AF117A"/>
    <w:rsid w:val="00AF15A7"/>
    <w:rsid w:val="00AF16CA"/>
    <w:rsid w:val="00AF1748"/>
    <w:rsid w:val="00AF186E"/>
    <w:rsid w:val="00AF19DF"/>
    <w:rsid w:val="00AF1D41"/>
    <w:rsid w:val="00AF2143"/>
    <w:rsid w:val="00AF26CF"/>
    <w:rsid w:val="00AF2CC5"/>
    <w:rsid w:val="00AF2D7A"/>
    <w:rsid w:val="00AF313F"/>
    <w:rsid w:val="00AF344D"/>
    <w:rsid w:val="00AF39B3"/>
    <w:rsid w:val="00AF4169"/>
    <w:rsid w:val="00AF4402"/>
    <w:rsid w:val="00AF4639"/>
    <w:rsid w:val="00AF4E92"/>
    <w:rsid w:val="00AF554B"/>
    <w:rsid w:val="00AF5C9B"/>
    <w:rsid w:val="00AF5CED"/>
    <w:rsid w:val="00AF5D53"/>
    <w:rsid w:val="00AF5E2D"/>
    <w:rsid w:val="00AF644B"/>
    <w:rsid w:val="00AF69EB"/>
    <w:rsid w:val="00AF6CA6"/>
    <w:rsid w:val="00AF6EB6"/>
    <w:rsid w:val="00AF7796"/>
    <w:rsid w:val="00AF7C20"/>
    <w:rsid w:val="00AF7EA2"/>
    <w:rsid w:val="00B011A7"/>
    <w:rsid w:val="00B011A9"/>
    <w:rsid w:val="00B01BAF"/>
    <w:rsid w:val="00B02407"/>
    <w:rsid w:val="00B024ED"/>
    <w:rsid w:val="00B026B8"/>
    <w:rsid w:val="00B02A68"/>
    <w:rsid w:val="00B02B49"/>
    <w:rsid w:val="00B02EB3"/>
    <w:rsid w:val="00B02FCB"/>
    <w:rsid w:val="00B033F8"/>
    <w:rsid w:val="00B03965"/>
    <w:rsid w:val="00B03C1E"/>
    <w:rsid w:val="00B03FE5"/>
    <w:rsid w:val="00B04259"/>
    <w:rsid w:val="00B043FA"/>
    <w:rsid w:val="00B04400"/>
    <w:rsid w:val="00B04835"/>
    <w:rsid w:val="00B04BD4"/>
    <w:rsid w:val="00B04D99"/>
    <w:rsid w:val="00B053A0"/>
    <w:rsid w:val="00B05A55"/>
    <w:rsid w:val="00B05DC5"/>
    <w:rsid w:val="00B05DE1"/>
    <w:rsid w:val="00B06037"/>
    <w:rsid w:val="00B06595"/>
    <w:rsid w:val="00B0687E"/>
    <w:rsid w:val="00B06C81"/>
    <w:rsid w:val="00B07439"/>
    <w:rsid w:val="00B10109"/>
    <w:rsid w:val="00B1029D"/>
    <w:rsid w:val="00B10776"/>
    <w:rsid w:val="00B1085E"/>
    <w:rsid w:val="00B10FD1"/>
    <w:rsid w:val="00B1125B"/>
    <w:rsid w:val="00B1158E"/>
    <w:rsid w:val="00B11E1D"/>
    <w:rsid w:val="00B11F65"/>
    <w:rsid w:val="00B1219D"/>
    <w:rsid w:val="00B12735"/>
    <w:rsid w:val="00B12DAC"/>
    <w:rsid w:val="00B12F44"/>
    <w:rsid w:val="00B13C48"/>
    <w:rsid w:val="00B13E35"/>
    <w:rsid w:val="00B13EC0"/>
    <w:rsid w:val="00B14102"/>
    <w:rsid w:val="00B14D32"/>
    <w:rsid w:val="00B1557C"/>
    <w:rsid w:val="00B155DC"/>
    <w:rsid w:val="00B15766"/>
    <w:rsid w:val="00B15E4A"/>
    <w:rsid w:val="00B1666A"/>
    <w:rsid w:val="00B1686D"/>
    <w:rsid w:val="00B16B4F"/>
    <w:rsid w:val="00B16B58"/>
    <w:rsid w:val="00B16BF7"/>
    <w:rsid w:val="00B17129"/>
    <w:rsid w:val="00B1741D"/>
    <w:rsid w:val="00B17447"/>
    <w:rsid w:val="00B1771D"/>
    <w:rsid w:val="00B17B91"/>
    <w:rsid w:val="00B20209"/>
    <w:rsid w:val="00B203C9"/>
    <w:rsid w:val="00B20609"/>
    <w:rsid w:val="00B2088D"/>
    <w:rsid w:val="00B208FF"/>
    <w:rsid w:val="00B20943"/>
    <w:rsid w:val="00B21E5A"/>
    <w:rsid w:val="00B22D56"/>
    <w:rsid w:val="00B22E22"/>
    <w:rsid w:val="00B22F5F"/>
    <w:rsid w:val="00B231D9"/>
    <w:rsid w:val="00B23813"/>
    <w:rsid w:val="00B23D42"/>
    <w:rsid w:val="00B23FD9"/>
    <w:rsid w:val="00B24342"/>
    <w:rsid w:val="00B243CA"/>
    <w:rsid w:val="00B24516"/>
    <w:rsid w:val="00B24591"/>
    <w:rsid w:val="00B245D5"/>
    <w:rsid w:val="00B245EF"/>
    <w:rsid w:val="00B2464D"/>
    <w:rsid w:val="00B24C36"/>
    <w:rsid w:val="00B24DE5"/>
    <w:rsid w:val="00B24F94"/>
    <w:rsid w:val="00B25126"/>
    <w:rsid w:val="00B25A52"/>
    <w:rsid w:val="00B25FC3"/>
    <w:rsid w:val="00B263B3"/>
    <w:rsid w:val="00B26F6F"/>
    <w:rsid w:val="00B274B3"/>
    <w:rsid w:val="00B27722"/>
    <w:rsid w:val="00B27875"/>
    <w:rsid w:val="00B27979"/>
    <w:rsid w:val="00B27B4E"/>
    <w:rsid w:val="00B30001"/>
    <w:rsid w:val="00B3008D"/>
    <w:rsid w:val="00B3050F"/>
    <w:rsid w:val="00B30E11"/>
    <w:rsid w:val="00B30EAE"/>
    <w:rsid w:val="00B30EEB"/>
    <w:rsid w:val="00B31423"/>
    <w:rsid w:val="00B323E0"/>
    <w:rsid w:val="00B329CE"/>
    <w:rsid w:val="00B32DC0"/>
    <w:rsid w:val="00B3346C"/>
    <w:rsid w:val="00B335E4"/>
    <w:rsid w:val="00B33C23"/>
    <w:rsid w:val="00B345B4"/>
    <w:rsid w:val="00B34688"/>
    <w:rsid w:val="00B348B1"/>
    <w:rsid w:val="00B34A28"/>
    <w:rsid w:val="00B34BE2"/>
    <w:rsid w:val="00B34DF5"/>
    <w:rsid w:val="00B34E51"/>
    <w:rsid w:val="00B35046"/>
    <w:rsid w:val="00B35A9C"/>
    <w:rsid w:val="00B35B6A"/>
    <w:rsid w:val="00B35FDE"/>
    <w:rsid w:val="00B3608B"/>
    <w:rsid w:val="00B36114"/>
    <w:rsid w:val="00B36D2B"/>
    <w:rsid w:val="00B37171"/>
    <w:rsid w:val="00B37657"/>
    <w:rsid w:val="00B37AFD"/>
    <w:rsid w:val="00B37B07"/>
    <w:rsid w:val="00B4046F"/>
    <w:rsid w:val="00B406B3"/>
    <w:rsid w:val="00B40A36"/>
    <w:rsid w:val="00B40F3D"/>
    <w:rsid w:val="00B41D39"/>
    <w:rsid w:val="00B41EC3"/>
    <w:rsid w:val="00B422C0"/>
    <w:rsid w:val="00B4231D"/>
    <w:rsid w:val="00B426CA"/>
    <w:rsid w:val="00B426E1"/>
    <w:rsid w:val="00B42854"/>
    <w:rsid w:val="00B4387A"/>
    <w:rsid w:val="00B440D5"/>
    <w:rsid w:val="00B44731"/>
    <w:rsid w:val="00B44746"/>
    <w:rsid w:val="00B44854"/>
    <w:rsid w:val="00B44BA5"/>
    <w:rsid w:val="00B458D0"/>
    <w:rsid w:val="00B45921"/>
    <w:rsid w:val="00B46093"/>
    <w:rsid w:val="00B46915"/>
    <w:rsid w:val="00B46A84"/>
    <w:rsid w:val="00B471FE"/>
    <w:rsid w:val="00B4750B"/>
    <w:rsid w:val="00B4792C"/>
    <w:rsid w:val="00B504D4"/>
    <w:rsid w:val="00B50CAE"/>
    <w:rsid w:val="00B512AD"/>
    <w:rsid w:val="00B512B3"/>
    <w:rsid w:val="00B5196C"/>
    <w:rsid w:val="00B51D2C"/>
    <w:rsid w:val="00B51D8B"/>
    <w:rsid w:val="00B521BD"/>
    <w:rsid w:val="00B525CB"/>
    <w:rsid w:val="00B52697"/>
    <w:rsid w:val="00B537EA"/>
    <w:rsid w:val="00B53A99"/>
    <w:rsid w:val="00B54D8F"/>
    <w:rsid w:val="00B55857"/>
    <w:rsid w:val="00B55C69"/>
    <w:rsid w:val="00B56851"/>
    <w:rsid w:val="00B569D4"/>
    <w:rsid w:val="00B56BA8"/>
    <w:rsid w:val="00B56D6E"/>
    <w:rsid w:val="00B572F7"/>
    <w:rsid w:val="00B57B3D"/>
    <w:rsid w:val="00B57B9D"/>
    <w:rsid w:val="00B57DAF"/>
    <w:rsid w:val="00B60094"/>
    <w:rsid w:val="00B6022C"/>
    <w:rsid w:val="00B60269"/>
    <w:rsid w:val="00B60360"/>
    <w:rsid w:val="00B614F8"/>
    <w:rsid w:val="00B61994"/>
    <w:rsid w:val="00B61FD4"/>
    <w:rsid w:val="00B62880"/>
    <w:rsid w:val="00B63872"/>
    <w:rsid w:val="00B63CB2"/>
    <w:rsid w:val="00B64246"/>
    <w:rsid w:val="00B64863"/>
    <w:rsid w:val="00B64EDB"/>
    <w:rsid w:val="00B65010"/>
    <w:rsid w:val="00B65938"/>
    <w:rsid w:val="00B65C8A"/>
    <w:rsid w:val="00B65CE2"/>
    <w:rsid w:val="00B660AD"/>
    <w:rsid w:val="00B66109"/>
    <w:rsid w:val="00B66349"/>
    <w:rsid w:val="00B663F4"/>
    <w:rsid w:val="00B66CB4"/>
    <w:rsid w:val="00B67282"/>
    <w:rsid w:val="00B6754A"/>
    <w:rsid w:val="00B67903"/>
    <w:rsid w:val="00B67FBF"/>
    <w:rsid w:val="00B70832"/>
    <w:rsid w:val="00B71376"/>
    <w:rsid w:val="00B71617"/>
    <w:rsid w:val="00B716D7"/>
    <w:rsid w:val="00B72110"/>
    <w:rsid w:val="00B72777"/>
    <w:rsid w:val="00B72B91"/>
    <w:rsid w:val="00B73019"/>
    <w:rsid w:val="00B7315F"/>
    <w:rsid w:val="00B73202"/>
    <w:rsid w:val="00B7323A"/>
    <w:rsid w:val="00B73421"/>
    <w:rsid w:val="00B73525"/>
    <w:rsid w:val="00B7353B"/>
    <w:rsid w:val="00B737FB"/>
    <w:rsid w:val="00B73A3E"/>
    <w:rsid w:val="00B73E5D"/>
    <w:rsid w:val="00B73EF3"/>
    <w:rsid w:val="00B7423D"/>
    <w:rsid w:val="00B74D05"/>
    <w:rsid w:val="00B757ED"/>
    <w:rsid w:val="00B75893"/>
    <w:rsid w:val="00B777FA"/>
    <w:rsid w:val="00B77850"/>
    <w:rsid w:val="00B7796B"/>
    <w:rsid w:val="00B77BCF"/>
    <w:rsid w:val="00B80BFD"/>
    <w:rsid w:val="00B80C72"/>
    <w:rsid w:val="00B81586"/>
    <w:rsid w:val="00B81964"/>
    <w:rsid w:val="00B81BCE"/>
    <w:rsid w:val="00B81E6F"/>
    <w:rsid w:val="00B82123"/>
    <w:rsid w:val="00B8225B"/>
    <w:rsid w:val="00B826E5"/>
    <w:rsid w:val="00B82BB5"/>
    <w:rsid w:val="00B83182"/>
    <w:rsid w:val="00B831FF"/>
    <w:rsid w:val="00B839F0"/>
    <w:rsid w:val="00B84769"/>
    <w:rsid w:val="00B848D0"/>
    <w:rsid w:val="00B84F06"/>
    <w:rsid w:val="00B851E4"/>
    <w:rsid w:val="00B854CE"/>
    <w:rsid w:val="00B855D7"/>
    <w:rsid w:val="00B85681"/>
    <w:rsid w:val="00B857EB"/>
    <w:rsid w:val="00B86162"/>
    <w:rsid w:val="00B866A4"/>
    <w:rsid w:val="00B86783"/>
    <w:rsid w:val="00B86877"/>
    <w:rsid w:val="00B8695D"/>
    <w:rsid w:val="00B86E66"/>
    <w:rsid w:val="00B873BA"/>
    <w:rsid w:val="00B8746F"/>
    <w:rsid w:val="00B8760D"/>
    <w:rsid w:val="00B87706"/>
    <w:rsid w:val="00B879F2"/>
    <w:rsid w:val="00B87F13"/>
    <w:rsid w:val="00B90A49"/>
    <w:rsid w:val="00B90A73"/>
    <w:rsid w:val="00B90CC5"/>
    <w:rsid w:val="00B90E0D"/>
    <w:rsid w:val="00B91B8E"/>
    <w:rsid w:val="00B91DFA"/>
    <w:rsid w:val="00B91EF1"/>
    <w:rsid w:val="00B92531"/>
    <w:rsid w:val="00B92618"/>
    <w:rsid w:val="00B92751"/>
    <w:rsid w:val="00B92755"/>
    <w:rsid w:val="00B92B69"/>
    <w:rsid w:val="00B92CC6"/>
    <w:rsid w:val="00B934F5"/>
    <w:rsid w:val="00B935C9"/>
    <w:rsid w:val="00B93E3D"/>
    <w:rsid w:val="00B945E3"/>
    <w:rsid w:val="00B95464"/>
    <w:rsid w:val="00B9586C"/>
    <w:rsid w:val="00B95C30"/>
    <w:rsid w:val="00B95E3D"/>
    <w:rsid w:val="00B95F81"/>
    <w:rsid w:val="00B96863"/>
    <w:rsid w:val="00B9691F"/>
    <w:rsid w:val="00B96EEC"/>
    <w:rsid w:val="00B97392"/>
    <w:rsid w:val="00B97669"/>
    <w:rsid w:val="00B976C7"/>
    <w:rsid w:val="00BA0B40"/>
    <w:rsid w:val="00BA0C54"/>
    <w:rsid w:val="00BA0E5F"/>
    <w:rsid w:val="00BA1382"/>
    <w:rsid w:val="00BA15E3"/>
    <w:rsid w:val="00BA1A8C"/>
    <w:rsid w:val="00BA1DFD"/>
    <w:rsid w:val="00BA20D8"/>
    <w:rsid w:val="00BA2140"/>
    <w:rsid w:val="00BA22FC"/>
    <w:rsid w:val="00BA290F"/>
    <w:rsid w:val="00BA2C2A"/>
    <w:rsid w:val="00BA2F30"/>
    <w:rsid w:val="00BA3982"/>
    <w:rsid w:val="00BA3BF9"/>
    <w:rsid w:val="00BA3F04"/>
    <w:rsid w:val="00BA4771"/>
    <w:rsid w:val="00BA4CEC"/>
    <w:rsid w:val="00BA4DD0"/>
    <w:rsid w:val="00BA5027"/>
    <w:rsid w:val="00BA533E"/>
    <w:rsid w:val="00BA59F2"/>
    <w:rsid w:val="00BA6573"/>
    <w:rsid w:val="00BA665B"/>
    <w:rsid w:val="00BA6B43"/>
    <w:rsid w:val="00BA6FE8"/>
    <w:rsid w:val="00BA732D"/>
    <w:rsid w:val="00BA7370"/>
    <w:rsid w:val="00BA7455"/>
    <w:rsid w:val="00BA778B"/>
    <w:rsid w:val="00BA7E10"/>
    <w:rsid w:val="00BB06A1"/>
    <w:rsid w:val="00BB0888"/>
    <w:rsid w:val="00BB0DF1"/>
    <w:rsid w:val="00BB0E81"/>
    <w:rsid w:val="00BB0E9B"/>
    <w:rsid w:val="00BB19CD"/>
    <w:rsid w:val="00BB2841"/>
    <w:rsid w:val="00BB2C39"/>
    <w:rsid w:val="00BB300F"/>
    <w:rsid w:val="00BB32C9"/>
    <w:rsid w:val="00BB35C5"/>
    <w:rsid w:val="00BB3960"/>
    <w:rsid w:val="00BB45F7"/>
    <w:rsid w:val="00BB4C8E"/>
    <w:rsid w:val="00BB5336"/>
    <w:rsid w:val="00BB57ED"/>
    <w:rsid w:val="00BB65C3"/>
    <w:rsid w:val="00BB662E"/>
    <w:rsid w:val="00BB67A9"/>
    <w:rsid w:val="00BB6C01"/>
    <w:rsid w:val="00BB7113"/>
    <w:rsid w:val="00BB7198"/>
    <w:rsid w:val="00BB7942"/>
    <w:rsid w:val="00BB7A1E"/>
    <w:rsid w:val="00BB7CD1"/>
    <w:rsid w:val="00BC095D"/>
    <w:rsid w:val="00BC0F33"/>
    <w:rsid w:val="00BC14A7"/>
    <w:rsid w:val="00BC15C8"/>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056"/>
    <w:rsid w:val="00BC73A7"/>
    <w:rsid w:val="00BC7BC1"/>
    <w:rsid w:val="00BD0140"/>
    <w:rsid w:val="00BD02CC"/>
    <w:rsid w:val="00BD088E"/>
    <w:rsid w:val="00BD0F18"/>
    <w:rsid w:val="00BD194C"/>
    <w:rsid w:val="00BD2063"/>
    <w:rsid w:val="00BD2636"/>
    <w:rsid w:val="00BD33D9"/>
    <w:rsid w:val="00BD38C5"/>
    <w:rsid w:val="00BD3DEA"/>
    <w:rsid w:val="00BD3E97"/>
    <w:rsid w:val="00BD40E4"/>
    <w:rsid w:val="00BD4385"/>
    <w:rsid w:val="00BD4550"/>
    <w:rsid w:val="00BD52FE"/>
    <w:rsid w:val="00BD5790"/>
    <w:rsid w:val="00BD5FD5"/>
    <w:rsid w:val="00BD62CF"/>
    <w:rsid w:val="00BD651F"/>
    <w:rsid w:val="00BD67B2"/>
    <w:rsid w:val="00BD68E2"/>
    <w:rsid w:val="00BD6A55"/>
    <w:rsid w:val="00BD6C11"/>
    <w:rsid w:val="00BD703C"/>
    <w:rsid w:val="00BD7624"/>
    <w:rsid w:val="00BD76E5"/>
    <w:rsid w:val="00BD78FE"/>
    <w:rsid w:val="00BD7D10"/>
    <w:rsid w:val="00BD7D8A"/>
    <w:rsid w:val="00BE0149"/>
    <w:rsid w:val="00BE0767"/>
    <w:rsid w:val="00BE0A2B"/>
    <w:rsid w:val="00BE12D7"/>
    <w:rsid w:val="00BE1372"/>
    <w:rsid w:val="00BE1775"/>
    <w:rsid w:val="00BE18DA"/>
    <w:rsid w:val="00BE26C0"/>
    <w:rsid w:val="00BE3090"/>
    <w:rsid w:val="00BE3442"/>
    <w:rsid w:val="00BE37CD"/>
    <w:rsid w:val="00BE3FF2"/>
    <w:rsid w:val="00BE47B2"/>
    <w:rsid w:val="00BE488E"/>
    <w:rsid w:val="00BE48C7"/>
    <w:rsid w:val="00BE48F2"/>
    <w:rsid w:val="00BE4C4F"/>
    <w:rsid w:val="00BE4F66"/>
    <w:rsid w:val="00BE5238"/>
    <w:rsid w:val="00BE56EE"/>
    <w:rsid w:val="00BE6074"/>
    <w:rsid w:val="00BE6B24"/>
    <w:rsid w:val="00BE6FF2"/>
    <w:rsid w:val="00BE7257"/>
    <w:rsid w:val="00BE7611"/>
    <w:rsid w:val="00BF020D"/>
    <w:rsid w:val="00BF0609"/>
    <w:rsid w:val="00BF0A80"/>
    <w:rsid w:val="00BF0E64"/>
    <w:rsid w:val="00BF0EE8"/>
    <w:rsid w:val="00BF1DD2"/>
    <w:rsid w:val="00BF23A3"/>
    <w:rsid w:val="00BF2480"/>
    <w:rsid w:val="00BF29FF"/>
    <w:rsid w:val="00BF2A7E"/>
    <w:rsid w:val="00BF3331"/>
    <w:rsid w:val="00BF3A45"/>
    <w:rsid w:val="00BF436F"/>
    <w:rsid w:val="00BF5C05"/>
    <w:rsid w:val="00BF6FC6"/>
    <w:rsid w:val="00BF78ED"/>
    <w:rsid w:val="00BF7C52"/>
    <w:rsid w:val="00BF7F99"/>
    <w:rsid w:val="00C0015F"/>
    <w:rsid w:val="00C00713"/>
    <w:rsid w:val="00C009A0"/>
    <w:rsid w:val="00C01912"/>
    <w:rsid w:val="00C01F74"/>
    <w:rsid w:val="00C02558"/>
    <w:rsid w:val="00C0285F"/>
    <w:rsid w:val="00C02F35"/>
    <w:rsid w:val="00C03305"/>
    <w:rsid w:val="00C03515"/>
    <w:rsid w:val="00C03738"/>
    <w:rsid w:val="00C037A6"/>
    <w:rsid w:val="00C0427E"/>
    <w:rsid w:val="00C043F5"/>
    <w:rsid w:val="00C044E3"/>
    <w:rsid w:val="00C04607"/>
    <w:rsid w:val="00C04BDB"/>
    <w:rsid w:val="00C0500C"/>
    <w:rsid w:val="00C052C6"/>
    <w:rsid w:val="00C055AB"/>
    <w:rsid w:val="00C05A61"/>
    <w:rsid w:val="00C05FEE"/>
    <w:rsid w:val="00C06CCF"/>
    <w:rsid w:val="00C06F3F"/>
    <w:rsid w:val="00C0794D"/>
    <w:rsid w:val="00C10688"/>
    <w:rsid w:val="00C10D37"/>
    <w:rsid w:val="00C10E78"/>
    <w:rsid w:val="00C114A0"/>
    <w:rsid w:val="00C1159D"/>
    <w:rsid w:val="00C1233E"/>
    <w:rsid w:val="00C123F6"/>
    <w:rsid w:val="00C12475"/>
    <w:rsid w:val="00C12FB3"/>
    <w:rsid w:val="00C138BC"/>
    <w:rsid w:val="00C13BFD"/>
    <w:rsid w:val="00C13D85"/>
    <w:rsid w:val="00C13F99"/>
    <w:rsid w:val="00C14639"/>
    <w:rsid w:val="00C14E82"/>
    <w:rsid w:val="00C14FF6"/>
    <w:rsid w:val="00C154B3"/>
    <w:rsid w:val="00C15A85"/>
    <w:rsid w:val="00C15CC3"/>
    <w:rsid w:val="00C15E7E"/>
    <w:rsid w:val="00C1637C"/>
    <w:rsid w:val="00C1641B"/>
    <w:rsid w:val="00C165FC"/>
    <w:rsid w:val="00C16731"/>
    <w:rsid w:val="00C1684D"/>
    <w:rsid w:val="00C16932"/>
    <w:rsid w:val="00C17109"/>
    <w:rsid w:val="00C17492"/>
    <w:rsid w:val="00C176D5"/>
    <w:rsid w:val="00C17D24"/>
    <w:rsid w:val="00C17DF9"/>
    <w:rsid w:val="00C20539"/>
    <w:rsid w:val="00C2082C"/>
    <w:rsid w:val="00C20EB0"/>
    <w:rsid w:val="00C21004"/>
    <w:rsid w:val="00C21005"/>
    <w:rsid w:val="00C2143A"/>
    <w:rsid w:val="00C220B6"/>
    <w:rsid w:val="00C22CF5"/>
    <w:rsid w:val="00C22D7C"/>
    <w:rsid w:val="00C22DDE"/>
    <w:rsid w:val="00C2338B"/>
    <w:rsid w:val="00C233CE"/>
    <w:rsid w:val="00C2344D"/>
    <w:rsid w:val="00C23639"/>
    <w:rsid w:val="00C237DD"/>
    <w:rsid w:val="00C238F4"/>
    <w:rsid w:val="00C23A99"/>
    <w:rsid w:val="00C23A9E"/>
    <w:rsid w:val="00C245EE"/>
    <w:rsid w:val="00C24AE1"/>
    <w:rsid w:val="00C24B8D"/>
    <w:rsid w:val="00C24BD7"/>
    <w:rsid w:val="00C25813"/>
    <w:rsid w:val="00C26861"/>
    <w:rsid w:val="00C26C0C"/>
    <w:rsid w:val="00C27143"/>
    <w:rsid w:val="00C272CE"/>
    <w:rsid w:val="00C27490"/>
    <w:rsid w:val="00C27D37"/>
    <w:rsid w:val="00C30945"/>
    <w:rsid w:val="00C309E8"/>
    <w:rsid w:val="00C31081"/>
    <w:rsid w:val="00C314E9"/>
    <w:rsid w:val="00C31EEA"/>
    <w:rsid w:val="00C32017"/>
    <w:rsid w:val="00C32571"/>
    <w:rsid w:val="00C325CD"/>
    <w:rsid w:val="00C32815"/>
    <w:rsid w:val="00C3322E"/>
    <w:rsid w:val="00C332AD"/>
    <w:rsid w:val="00C333B4"/>
    <w:rsid w:val="00C337F5"/>
    <w:rsid w:val="00C33B90"/>
    <w:rsid w:val="00C34161"/>
    <w:rsid w:val="00C34B5F"/>
    <w:rsid w:val="00C358D4"/>
    <w:rsid w:val="00C35AAA"/>
    <w:rsid w:val="00C362D4"/>
    <w:rsid w:val="00C365C6"/>
    <w:rsid w:val="00C366F4"/>
    <w:rsid w:val="00C36785"/>
    <w:rsid w:val="00C36895"/>
    <w:rsid w:val="00C36D17"/>
    <w:rsid w:val="00C3711C"/>
    <w:rsid w:val="00C37256"/>
    <w:rsid w:val="00C37A7B"/>
    <w:rsid w:val="00C37AF2"/>
    <w:rsid w:val="00C37FFE"/>
    <w:rsid w:val="00C4081E"/>
    <w:rsid w:val="00C40B50"/>
    <w:rsid w:val="00C41348"/>
    <w:rsid w:val="00C419E3"/>
    <w:rsid w:val="00C419F4"/>
    <w:rsid w:val="00C41E6A"/>
    <w:rsid w:val="00C41FE0"/>
    <w:rsid w:val="00C42093"/>
    <w:rsid w:val="00C42247"/>
    <w:rsid w:val="00C43931"/>
    <w:rsid w:val="00C439BE"/>
    <w:rsid w:val="00C4494B"/>
    <w:rsid w:val="00C4539B"/>
    <w:rsid w:val="00C45466"/>
    <w:rsid w:val="00C454EB"/>
    <w:rsid w:val="00C455C1"/>
    <w:rsid w:val="00C45620"/>
    <w:rsid w:val="00C4581D"/>
    <w:rsid w:val="00C45FE3"/>
    <w:rsid w:val="00C46269"/>
    <w:rsid w:val="00C47472"/>
    <w:rsid w:val="00C500F0"/>
    <w:rsid w:val="00C504A7"/>
    <w:rsid w:val="00C506C9"/>
    <w:rsid w:val="00C50A16"/>
    <w:rsid w:val="00C51C9A"/>
    <w:rsid w:val="00C51FAA"/>
    <w:rsid w:val="00C5222E"/>
    <w:rsid w:val="00C52C68"/>
    <w:rsid w:val="00C52D98"/>
    <w:rsid w:val="00C52DA1"/>
    <w:rsid w:val="00C53D24"/>
    <w:rsid w:val="00C54640"/>
    <w:rsid w:val="00C547A6"/>
    <w:rsid w:val="00C547EB"/>
    <w:rsid w:val="00C54A3A"/>
    <w:rsid w:val="00C55B52"/>
    <w:rsid w:val="00C55C32"/>
    <w:rsid w:val="00C56976"/>
    <w:rsid w:val="00C56A67"/>
    <w:rsid w:val="00C56CC2"/>
    <w:rsid w:val="00C57498"/>
    <w:rsid w:val="00C5763C"/>
    <w:rsid w:val="00C5780C"/>
    <w:rsid w:val="00C5796B"/>
    <w:rsid w:val="00C602BF"/>
    <w:rsid w:val="00C60519"/>
    <w:rsid w:val="00C612C4"/>
    <w:rsid w:val="00C619A1"/>
    <w:rsid w:val="00C61B46"/>
    <w:rsid w:val="00C61D71"/>
    <w:rsid w:val="00C62027"/>
    <w:rsid w:val="00C621FC"/>
    <w:rsid w:val="00C62370"/>
    <w:rsid w:val="00C62BBB"/>
    <w:rsid w:val="00C6305F"/>
    <w:rsid w:val="00C6325B"/>
    <w:rsid w:val="00C63491"/>
    <w:rsid w:val="00C63E99"/>
    <w:rsid w:val="00C64183"/>
    <w:rsid w:val="00C649B8"/>
    <w:rsid w:val="00C64A64"/>
    <w:rsid w:val="00C64C39"/>
    <w:rsid w:val="00C65151"/>
    <w:rsid w:val="00C657F4"/>
    <w:rsid w:val="00C6598D"/>
    <w:rsid w:val="00C660FE"/>
    <w:rsid w:val="00C66119"/>
    <w:rsid w:val="00C66292"/>
    <w:rsid w:val="00C672A3"/>
    <w:rsid w:val="00C672F1"/>
    <w:rsid w:val="00C673D0"/>
    <w:rsid w:val="00C6742E"/>
    <w:rsid w:val="00C67437"/>
    <w:rsid w:val="00C67B0B"/>
    <w:rsid w:val="00C67D3B"/>
    <w:rsid w:val="00C67FDE"/>
    <w:rsid w:val="00C70012"/>
    <w:rsid w:val="00C708D6"/>
    <w:rsid w:val="00C71437"/>
    <w:rsid w:val="00C71C91"/>
    <w:rsid w:val="00C71E2A"/>
    <w:rsid w:val="00C733BA"/>
    <w:rsid w:val="00C741A4"/>
    <w:rsid w:val="00C754A1"/>
    <w:rsid w:val="00C760DC"/>
    <w:rsid w:val="00C761FC"/>
    <w:rsid w:val="00C761FF"/>
    <w:rsid w:val="00C762D5"/>
    <w:rsid w:val="00C767D6"/>
    <w:rsid w:val="00C76931"/>
    <w:rsid w:val="00C76972"/>
    <w:rsid w:val="00C77FAB"/>
    <w:rsid w:val="00C802F2"/>
    <w:rsid w:val="00C8082B"/>
    <w:rsid w:val="00C812CE"/>
    <w:rsid w:val="00C815E1"/>
    <w:rsid w:val="00C81A88"/>
    <w:rsid w:val="00C81D46"/>
    <w:rsid w:val="00C82298"/>
    <w:rsid w:val="00C82A80"/>
    <w:rsid w:val="00C833B4"/>
    <w:rsid w:val="00C838B0"/>
    <w:rsid w:val="00C83B74"/>
    <w:rsid w:val="00C83D95"/>
    <w:rsid w:val="00C841DE"/>
    <w:rsid w:val="00C84284"/>
    <w:rsid w:val="00C84B35"/>
    <w:rsid w:val="00C84E33"/>
    <w:rsid w:val="00C8540F"/>
    <w:rsid w:val="00C85F28"/>
    <w:rsid w:val="00C85FFC"/>
    <w:rsid w:val="00C860DB"/>
    <w:rsid w:val="00C861FC"/>
    <w:rsid w:val="00C86C87"/>
    <w:rsid w:val="00C86C93"/>
    <w:rsid w:val="00C87F29"/>
    <w:rsid w:val="00C9005E"/>
    <w:rsid w:val="00C90111"/>
    <w:rsid w:val="00C9038E"/>
    <w:rsid w:val="00C9077B"/>
    <w:rsid w:val="00C90CA9"/>
    <w:rsid w:val="00C90F88"/>
    <w:rsid w:val="00C911A3"/>
    <w:rsid w:val="00C913B5"/>
    <w:rsid w:val="00C915F2"/>
    <w:rsid w:val="00C917B1"/>
    <w:rsid w:val="00C9193C"/>
    <w:rsid w:val="00C91AB6"/>
    <w:rsid w:val="00C91B77"/>
    <w:rsid w:val="00C920E2"/>
    <w:rsid w:val="00C920FD"/>
    <w:rsid w:val="00C924EF"/>
    <w:rsid w:val="00C926E0"/>
    <w:rsid w:val="00C93765"/>
    <w:rsid w:val="00C93877"/>
    <w:rsid w:val="00C93D8C"/>
    <w:rsid w:val="00C93E07"/>
    <w:rsid w:val="00C946CC"/>
    <w:rsid w:val="00C94D4E"/>
    <w:rsid w:val="00C94DD8"/>
    <w:rsid w:val="00C959BD"/>
    <w:rsid w:val="00C95D65"/>
    <w:rsid w:val="00C95DFE"/>
    <w:rsid w:val="00C95F44"/>
    <w:rsid w:val="00C96D1B"/>
    <w:rsid w:val="00C96D2A"/>
    <w:rsid w:val="00C97106"/>
    <w:rsid w:val="00C978D4"/>
    <w:rsid w:val="00C979B3"/>
    <w:rsid w:val="00CA0031"/>
    <w:rsid w:val="00CA00DE"/>
    <w:rsid w:val="00CA0413"/>
    <w:rsid w:val="00CA043A"/>
    <w:rsid w:val="00CA0CBA"/>
    <w:rsid w:val="00CA0E51"/>
    <w:rsid w:val="00CA0E81"/>
    <w:rsid w:val="00CA13AA"/>
    <w:rsid w:val="00CA1691"/>
    <w:rsid w:val="00CA1D65"/>
    <w:rsid w:val="00CA25D0"/>
    <w:rsid w:val="00CA2738"/>
    <w:rsid w:val="00CA2798"/>
    <w:rsid w:val="00CA2D2E"/>
    <w:rsid w:val="00CA2D98"/>
    <w:rsid w:val="00CA4120"/>
    <w:rsid w:val="00CA41E7"/>
    <w:rsid w:val="00CA4A99"/>
    <w:rsid w:val="00CA5520"/>
    <w:rsid w:val="00CA5812"/>
    <w:rsid w:val="00CA5A97"/>
    <w:rsid w:val="00CA5BD4"/>
    <w:rsid w:val="00CA5C14"/>
    <w:rsid w:val="00CA5D46"/>
    <w:rsid w:val="00CA663D"/>
    <w:rsid w:val="00CA6ABB"/>
    <w:rsid w:val="00CA6DBF"/>
    <w:rsid w:val="00CA76FC"/>
    <w:rsid w:val="00CA781A"/>
    <w:rsid w:val="00CA7E7B"/>
    <w:rsid w:val="00CB0236"/>
    <w:rsid w:val="00CB0404"/>
    <w:rsid w:val="00CB143B"/>
    <w:rsid w:val="00CB1969"/>
    <w:rsid w:val="00CB19E3"/>
    <w:rsid w:val="00CB1B20"/>
    <w:rsid w:val="00CB1F3A"/>
    <w:rsid w:val="00CB2AE8"/>
    <w:rsid w:val="00CB2C3A"/>
    <w:rsid w:val="00CB2D38"/>
    <w:rsid w:val="00CB3448"/>
    <w:rsid w:val="00CB375A"/>
    <w:rsid w:val="00CB39CD"/>
    <w:rsid w:val="00CB4137"/>
    <w:rsid w:val="00CB4378"/>
    <w:rsid w:val="00CB44BD"/>
    <w:rsid w:val="00CB4F31"/>
    <w:rsid w:val="00CB52D0"/>
    <w:rsid w:val="00CB5578"/>
    <w:rsid w:val="00CB5671"/>
    <w:rsid w:val="00CB591C"/>
    <w:rsid w:val="00CB5943"/>
    <w:rsid w:val="00CB61B3"/>
    <w:rsid w:val="00CB6F83"/>
    <w:rsid w:val="00CB72AE"/>
    <w:rsid w:val="00CB7399"/>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877"/>
    <w:rsid w:val="00CC390A"/>
    <w:rsid w:val="00CC3D38"/>
    <w:rsid w:val="00CC40C3"/>
    <w:rsid w:val="00CC4C95"/>
    <w:rsid w:val="00CC4E5D"/>
    <w:rsid w:val="00CC50AE"/>
    <w:rsid w:val="00CC5FFE"/>
    <w:rsid w:val="00CC61B7"/>
    <w:rsid w:val="00CC61CA"/>
    <w:rsid w:val="00CC66B8"/>
    <w:rsid w:val="00CC69EC"/>
    <w:rsid w:val="00CC71D3"/>
    <w:rsid w:val="00CC724B"/>
    <w:rsid w:val="00CC7292"/>
    <w:rsid w:val="00CC7414"/>
    <w:rsid w:val="00CC743D"/>
    <w:rsid w:val="00CC78D7"/>
    <w:rsid w:val="00CC7A62"/>
    <w:rsid w:val="00CD0392"/>
    <w:rsid w:val="00CD050A"/>
    <w:rsid w:val="00CD1017"/>
    <w:rsid w:val="00CD205D"/>
    <w:rsid w:val="00CD2A22"/>
    <w:rsid w:val="00CD2B50"/>
    <w:rsid w:val="00CD3172"/>
    <w:rsid w:val="00CD3E1C"/>
    <w:rsid w:val="00CD405C"/>
    <w:rsid w:val="00CD4506"/>
    <w:rsid w:val="00CD520B"/>
    <w:rsid w:val="00CD523D"/>
    <w:rsid w:val="00CD54B8"/>
    <w:rsid w:val="00CD592E"/>
    <w:rsid w:val="00CD5982"/>
    <w:rsid w:val="00CD5A1A"/>
    <w:rsid w:val="00CD5FE8"/>
    <w:rsid w:val="00CD7B98"/>
    <w:rsid w:val="00CD7EFA"/>
    <w:rsid w:val="00CE020E"/>
    <w:rsid w:val="00CE02A6"/>
    <w:rsid w:val="00CE0566"/>
    <w:rsid w:val="00CE0B60"/>
    <w:rsid w:val="00CE1520"/>
    <w:rsid w:val="00CE1CD4"/>
    <w:rsid w:val="00CE2047"/>
    <w:rsid w:val="00CE210E"/>
    <w:rsid w:val="00CE2761"/>
    <w:rsid w:val="00CE28FC"/>
    <w:rsid w:val="00CE2C18"/>
    <w:rsid w:val="00CE314E"/>
    <w:rsid w:val="00CE38BF"/>
    <w:rsid w:val="00CE39BA"/>
    <w:rsid w:val="00CE3D5C"/>
    <w:rsid w:val="00CE3E09"/>
    <w:rsid w:val="00CE3E14"/>
    <w:rsid w:val="00CE4176"/>
    <w:rsid w:val="00CE41C5"/>
    <w:rsid w:val="00CE44C7"/>
    <w:rsid w:val="00CE53B7"/>
    <w:rsid w:val="00CE53CC"/>
    <w:rsid w:val="00CE65A7"/>
    <w:rsid w:val="00CE68FE"/>
    <w:rsid w:val="00CE697B"/>
    <w:rsid w:val="00CE69CC"/>
    <w:rsid w:val="00CE6A78"/>
    <w:rsid w:val="00CE6C7D"/>
    <w:rsid w:val="00CE6EC4"/>
    <w:rsid w:val="00CE7F26"/>
    <w:rsid w:val="00CF0A8D"/>
    <w:rsid w:val="00CF1226"/>
    <w:rsid w:val="00CF12D4"/>
    <w:rsid w:val="00CF1ABB"/>
    <w:rsid w:val="00CF1BCA"/>
    <w:rsid w:val="00CF1E1D"/>
    <w:rsid w:val="00CF24FE"/>
    <w:rsid w:val="00CF287F"/>
    <w:rsid w:val="00CF2F00"/>
    <w:rsid w:val="00CF3064"/>
    <w:rsid w:val="00CF35D0"/>
    <w:rsid w:val="00CF3B57"/>
    <w:rsid w:val="00CF3DD5"/>
    <w:rsid w:val="00CF3FF9"/>
    <w:rsid w:val="00CF413E"/>
    <w:rsid w:val="00CF481B"/>
    <w:rsid w:val="00CF4AF7"/>
    <w:rsid w:val="00CF4D20"/>
    <w:rsid w:val="00CF4D64"/>
    <w:rsid w:val="00CF4F85"/>
    <w:rsid w:val="00CF5838"/>
    <w:rsid w:val="00CF63C4"/>
    <w:rsid w:val="00CF673F"/>
    <w:rsid w:val="00CF73F8"/>
    <w:rsid w:val="00CF7550"/>
    <w:rsid w:val="00CF7928"/>
    <w:rsid w:val="00CF7CA2"/>
    <w:rsid w:val="00CF7D8A"/>
    <w:rsid w:val="00D00911"/>
    <w:rsid w:val="00D00A8E"/>
    <w:rsid w:val="00D00B6A"/>
    <w:rsid w:val="00D00DE0"/>
    <w:rsid w:val="00D00F79"/>
    <w:rsid w:val="00D012B1"/>
    <w:rsid w:val="00D012BF"/>
    <w:rsid w:val="00D01760"/>
    <w:rsid w:val="00D01EC1"/>
    <w:rsid w:val="00D030BD"/>
    <w:rsid w:val="00D0368E"/>
    <w:rsid w:val="00D0393E"/>
    <w:rsid w:val="00D03AC3"/>
    <w:rsid w:val="00D03D2D"/>
    <w:rsid w:val="00D03E7B"/>
    <w:rsid w:val="00D0401A"/>
    <w:rsid w:val="00D046C1"/>
    <w:rsid w:val="00D047E0"/>
    <w:rsid w:val="00D0490E"/>
    <w:rsid w:val="00D04B9F"/>
    <w:rsid w:val="00D04FFB"/>
    <w:rsid w:val="00D051C5"/>
    <w:rsid w:val="00D055FE"/>
    <w:rsid w:val="00D058E9"/>
    <w:rsid w:val="00D0612A"/>
    <w:rsid w:val="00D06E6B"/>
    <w:rsid w:val="00D06F14"/>
    <w:rsid w:val="00D072DE"/>
    <w:rsid w:val="00D07315"/>
    <w:rsid w:val="00D07FA1"/>
    <w:rsid w:val="00D1060D"/>
    <w:rsid w:val="00D10E7C"/>
    <w:rsid w:val="00D11182"/>
    <w:rsid w:val="00D1137B"/>
    <w:rsid w:val="00D1171B"/>
    <w:rsid w:val="00D11807"/>
    <w:rsid w:val="00D119AA"/>
    <w:rsid w:val="00D11DB3"/>
    <w:rsid w:val="00D12D82"/>
    <w:rsid w:val="00D12F77"/>
    <w:rsid w:val="00D1306E"/>
    <w:rsid w:val="00D1328C"/>
    <w:rsid w:val="00D134CD"/>
    <w:rsid w:val="00D14B5F"/>
    <w:rsid w:val="00D14E13"/>
    <w:rsid w:val="00D14F23"/>
    <w:rsid w:val="00D14FFE"/>
    <w:rsid w:val="00D15CC9"/>
    <w:rsid w:val="00D160F6"/>
    <w:rsid w:val="00D16740"/>
    <w:rsid w:val="00D16A8B"/>
    <w:rsid w:val="00D16E39"/>
    <w:rsid w:val="00D172A4"/>
    <w:rsid w:val="00D1771A"/>
    <w:rsid w:val="00D17951"/>
    <w:rsid w:val="00D17A6C"/>
    <w:rsid w:val="00D17AD8"/>
    <w:rsid w:val="00D207C8"/>
    <w:rsid w:val="00D2098B"/>
    <w:rsid w:val="00D2104A"/>
    <w:rsid w:val="00D21BB5"/>
    <w:rsid w:val="00D21FFC"/>
    <w:rsid w:val="00D2205F"/>
    <w:rsid w:val="00D223B6"/>
    <w:rsid w:val="00D223E8"/>
    <w:rsid w:val="00D224E1"/>
    <w:rsid w:val="00D22DC8"/>
    <w:rsid w:val="00D22DF3"/>
    <w:rsid w:val="00D22F78"/>
    <w:rsid w:val="00D233A6"/>
    <w:rsid w:val="00D23D40"/>
    <w:rsid w:val="00D2477B"/>
    <w:rsid w:val="00D2522A"/>
    <w:rsid w:val="00D2531C"/>
    <w:rsid w:val="00D2553E"/>
    <w:rsid w:val="00D255B7"/>
    <w:rsid w:val="00D25B7E"/>
    <w:rsid w:val="00D25E64"/>
    <w:rsid w:val="00D26F0B"/>
    <w:rsid w:val="00D26FFB"/>
    <w:rsid w:val="00D27266"/>
    <w:rsid w:val="00D2742F"/>
    <w:rsid w:val="00D2754F"/>
    <w:rsid w:val="00D2777A"/>
    <w:rsid w:val="00D277C5"/>
    <w:rsid w:val="00D279D9"/>
    <w:rsid w:val="00D300E3"/>
    <w:rsid w:val="00D3011D"/>
    <w:rsid w:val="00D305EC"/>
    <w:rsid w:val="00D312DC"/>
    <w:rsid w:val="00D31B84"/>
    <w:rsid w:val="00D31C6A"/>
    <w:rsid w:val="00D31EDF"/>
    <w:rsid w:val="00D31FF9"/>
    <w:rsid w:val="00D32149"/>
    <w:rsid w:val="00D32256"/>
    <w:rsid w:val="00D32A27"/>
    <w:rsid w:val="00D32ABC"/>
    <w:rsid w:val="00D32E70"/>
    <w:rsid w:val="00D338F9"/>
    <w:rsid w:val="00D33FA4"/>
    <w:rsid w:val="00D346AE"/>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3452"/>
    <w:rsid w:val="00D4498E"/>
    <w:rsid w:val="00D4515F"/>
    <w:rsid w:val="00D451E8"/>
    <w:rsid w:val="00D46185"/>
    <w:rsid w:val="00D4641D"/>
    <w:rsid w:val="00D466C9"/>
    <w:rsid w:val="00D46FAA"/>
    <w:rsid w:val="00D47275"/>
    <w:rsid w:val="00D47449"/>
    <w:rsid w:val="00D50689"/>
    <w:rsid w:val="00D51064"/>
    <w:rsid w:val="00D511DC"/>
    <w:rsid w:val="00D517F6"/>
    <w:rsid w:val="00D51E15"/>
    <w:rsid w:val="00D52411"/>
    <w:rsid w:val="00D52B7E"/>
    <w:rsid w:val="00D52E2F"/>
    <w:rsid w:val="00D52F59"/>
    <w:rsid w:val="00D53445"/>
    <w:rsid w:val="00D53E3E"/>
    <w:rsid w:val="00D54620"/>
    <w:rsid w:val="00D554E8"/>
    <w:rsid w:val="00D55904"/>
    <w:rsid w:val="00D5616F"/>
    <w:rsid w:val="00D56CBC"/>
    <w:rsid w:val="00D57861"/>
    <w:rsid w:val="00D57940"/>
    <w:rsid w:val="00D57E9C"/>
    <w:rsid w:val="00D60327"/>
    <w:rsid w:val="00D61305"/>
    <w:rsid w:val="00D61384"/>
    <w:rsid w:val="00D61526"/>
    <w:rsid w:val="00D61556"/>
    <w:rsid w:val="00D61F81"/>
    <w:rsid w:val="00D6271A"/>
    <w:rsid w:val="00D6276C"/>
    <w:rsid w:val="00D62BE6"/>
    <w:rsid w:val="00D62BFC"/>
    <w:rsid w:val="00D63286"/>
    <w:rsid w:val="00D63766"/>
    <w:rsid w:val="00D63912"/>
    <w:rsid w:val="00D63923"/>
    <w:rsid w:val="00D63A42"/>
    <w:rsid w:val="00D6451B"/>
    <w:rsid w:val="00D64A76"/>
    <w:rsid w:val="00D64B57"/>
    <w:rsid w:val="00D651A1"/>
    <w:rsid w:val="00D6528F"/>
    <w:rsid w:val="00D65DEA"/>
    <w:rsid w:val="00D66556"/>
    <w:rsid w:val="00D66579"/>
    <w:rsid w:val="00D66A0A"/>
    <w:rsid w:val="00D676D3"/>
    <w:rsid w:val="00D67B06"/>
    <w:rsid w:val="00D67BC7"/>
    <w:rsid w:val="00D701F1"/>
    <w:rsid w:val="00D705D3"/>
    <w:rsid w:val="00D7096C"/>
    <w:rsid w:val="00D709C2"/>
    <w:rsid w:val="00D70E00"/>
    <w:rsid w:val="00D70F7C"/>
    <w:rsid w:val="00D7145B"/>
    <w:rsid w:val="00D715AC"/>
    <w:rsid w:val="00D71851"/>
    <w:rsid w:val="00D718CF"/>
    <w:rsid w:val="00D728F5"/>
    <w:rsid w:val="00D72E9D"/>
    <w:rsid w:val="00D73249"/>
    <w:rsid w:val="00D73419"/>
    <w:rsid w:val="00D73CA9"/>
    <w:rsid w:val="00D7422E"/>
    <w:rsid w:val="00D751B7"/>
    <w:rsid w:val="00D7524B"/>
    <w:rsid w:val="00D75396"/>
    <w:rsid w:val="00D759C0"/>
    <w:rsid w:val="00D75E99"/>
    <w:rsid w:val="00D765CE"/>
    <w:rsid w:val="00D766C7"/>
    <w:rsid w:val="00D7692B"/>
    <w:rsid w:val="00D7734F"/>
    <w:rsid w:val="00D77E42"/>
    <w:rsid w:val="00D8044C"/>
    <w:rsid w:val="00D805D6"/>
    <w:rsid w:val="00D8075E"/>
    <w:rsid w:val="00D80860"/>
    <w:rsid w:val="00D80D4C"/>
    <w:rsid w:val="00D812F4"/>
    <w:rsid w:val="00D8184D"/>
    <w:rsid w:val="00D81957"/>
    <w:rsid w:val="00D81A7B"/>
    <w:rsid w:val="00D8223C"/>
    <w:rsid w:val="00D82B57"/>
    <w:rsid w:val="00D82CE5"/>
    <w:rsid w:val="00D830C9"/>
    <w:rsid w:val="00D831E3"/>
    <w:rsid w:val="00D83329"/>
    <w:rsid w:val="00D8342C"/>
    <w:rsid w:val="00D83B40"/>
    <w:rsid w:val="00D850BB"/>
    <w:rsid w:val="00D85494"/>
    <w:rsid w:val="00D8582C"/>
    <w:rsid w:val="00D85D61"/>
    <w:rsid w:val="00D8616D"/>
    <w:rsid w:val="00D86757"/>
    <w:rsid w:val="00D8711B"/>
    <w:rsid w:val="00D87384"/>
    <w:rsid w:val="00D90650"/>
    <w:rsid w:val="00D90683"/>
    <w:rsid w:val="00D90B2A"/>
    <w:rsid w:val="00D91483"/>
    <w:rsid w:val="00D915C8"/>
    <w:rsid w:val="00D91F06"/>
    <w:rsid w:val="00D9284B"/>
    <w:rsid w:val="00D92C14"/>
    <w:rsid w:val="00D9310B"/>
    <w:rsid w:val="00D931F3"/>
    <w:rsid w:val="00D9326A"/>
    <w:rsid w:val="00D93726"/>
    <w:rsid w:val="00D937D4"/>
    <w:rsid w:val="00D93F3E"/>
    <w:rsid w:val="00D9405B"/>
    <w:rsid w:val="00D94382"/>
    <w:rsid w:val="00D94942"/>
    <w:rsid w:val="00D94C7F"/>
    <w:rsid w:val="00D95145"/>
    <w:rsid w:val="00D951DA"/>
    <w:rsid w:val="00D95378"/>
    <w:rsid w:val="00D96594"/>
    <w:rsid w:val="00D967CB"/>
    <w:rsid w:val="00D968D4"/>
    <w:rsid w:val="00D96EE0"/>
    <w:rsid w:val="00D97BD1"/>
    <w:rsid w:val="00D97DAD"/>
    <w:rsid w:val="00DA06B8"/>
    <w:rsid w:val="00DA14A9"/>
    <w:rsid w:val="00DA1F4B"/>
    <w:rsid w:val="00DA286D"/>
    <w:rsid w:val="00DA2969"/>
    <w:rsid w:val="00DA29B7"/>
    <w:rsid w:val="00DA337C"/>
    <w:rsid w:val="00DA4351"/>
    <w:rsid w:val="00DA4842"/>
    <w:rsid w:val="00DA4D91"/>
    <w:rsid w:val="00DA5989"/>
    <w:rsid w:val="00DA5AB1"/>
    <w:rsid w:val="00DA5E90"/>
    <w:rsid w:val="00DA5F9D"/>
    <w:rsid w:val="00DA5FFB"/>
    <w:rsid w:val="00DA6918"/>
    <w:rsid w:val="00DA69B2"/>
    <w:rsid w:val="00DA7462"/>
    <w:rsid w:val="00DA7AD0"/>
    <w:rsid w:val="00DA7FAB"/>
    <w:rsid w:val="00DB02D7"/>
    <w:rsid w:val="00DB03CC"/>
    <w:rsid w:val="00DB12D4"/>
    <w:rsid w:val="00DB14F0"/>
    <w:rsid w:val="00DB1745"/>
    <w:rsid w:val="00DB19BB"/>
    <w:rsid w:val="00DB1AFF"/>
    <w:rsid w:val="00DB219A"/>
    <w:rsid w:val="00DB239C"/>
    <w:rsid w:val="00DB23BE"/>
    <w:rsid w:val="00DB24BE"/>
    <w:rsid w:val="00DB3165"/>
    <w:rsid w:val="00DB37F3"/>
    <w:rsid w:val="00DB4292"/>
    <w:rsid w:val="00DB5023"/>
    <w:rsid w:val="00DB5222"/>
    <w:rsid w:val="00DB5FD9"/>
    <w:rsid w:val="00DB66A7"/>
    <w:rsid w:val="00DB6B8D"/>
    <w:rsid w:val="00DB6E46"/>
    <w:rsid w:val="00DB7117"/>
    <w:rsid w:val="00DB726E"/>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62E5"/>
    <w:rsid w:val="00DC6C9C"/>
    <w:rsid w:val="00DC6D70"/>
    <w:rsid w:val="00DC6F33"/>
    <w:rsid w:val="00DC7349"/>
    <w:rsid w:val="00DD0D6A"/>
    <w:rsid w:val="00DD0FC1"/>
    <w:rsid w:val="00DD14D8"/>
    <w:rsid w:val="00DD1599"/>
    <w:rsid w:val="00DD1B03"/>
    <w:rsid w:val="00DD1C4A"/>
    <w:rsid w:val="00DD1E43"/>
    <w:rsid w:val="00DD20A7"/>
    <w:rsid w:val="00DD2688"/>
    <w:rsid w:val="00DD2A62"/>
    <w:rsid w:val="00DD2F2F"/>
    <w:rsid w:val="00DD2F7A"/>
    <w:rsid w:val="00DD3885"/>
    <w:rsid w:val="00DD3D76"/>
    <w:rsid w:val="00DD44D1"/>
    <w:rsid w:val="00DD4EE3"/>
    <w:rsid w:val="00DD4F78"/>
    <w:rsid w:val="00DD51C3"/>
    <w:rsid w:val="00DD5808"/>
    <w:rsid w:val="00DD5946"/>
    <w:rsid w:val="00DD5B04"/>
    <w:rsid w:val="00DD5DAE"/>
    <w:rsid w:val="00DD5EC6"/>
    <w:rsid w:val="00DD603B"/>
    <w:rsid w:val="00DD605F"/>
    <w:rsid w:val="00DD7260"/>
    <w:rsid w:val="00DD72A0"/>
    <w:rsid w:val="00DD735D"/>
    <w:rsid w:val="00DE0159"/>
    <w:rsid w:val="00DE064A"/>
    <w:rsid w:val="00DE082D"/>
    <w:rsid w:val="00DE0FA5"/>
    <w:rsid w:val="00DE0FEE"/>
    <w:rsid w:val="00DE1410"/>
    <w:rsid w:val="00DE1786"/>
    <w:rsid w:val="00DE2038"/>
    <w:rsid w:val="00DE20C6"/>
    <w:rsid w:val="00DE2926"/>
    <w:rsid w:val="00DE3119"/>
    <w:rsid w:val="00DE3920"/>
    <w:rsid w:val="00DE3FF0"/>
    <w:rsid w:val="00DE4105"/>
    <w:rsid w:val="00DE41C4"/>
    <w:rsid w:val="00DE4853"/>
    <w:rsid w:val="00DE5189"/>
    <w:rsid w:val="00DE5B5A"/>
    <w:rsid w:val="00DE64DE"/>
    <w:rsid w:val="00DE7108"/>
    <w:rsid w:val="00DE71E3"/>
    <w:rsid w:val="00DE7779"/>
    <w:rsid w:val="00DE78D1"/>
    <w:rsid w:val="00DE78FF"/>
    <w:rsid w:val="00DF0263"/>
    <w:rsid w:val="00DF04F1"/>
    <w:rsid w:val="00DF0EB4"/>
    <w:rsid w:val="00DF158B"/>
    <w:rsid w:val="00DF193C"/>
    <w:rsid w:val="00DF1BE8"/>
    <w:rsid w:val="00DF1E36"/>
    <w:rsid w:val="00DF236B"/>
    <w:rsid w:val="00DF2A91"/>
    <w:rsid w:val="00DF32A4"/>
    <w:rsid w:val="00DF3889"/>
    <w:rsid w:val="00DF3CC9"/>
    <w:rsid w:val="00DF4076"/>
    <w:rsid w:val="00DF4158"/>
    <w:rsid w:val="00DF4451"/>
    <w:rsid w:val="00DF49FF"/>
    <w:rsid w:val="00DF4A0E"/>
    <w:rsid w:val="00DF4FFB"/>
    <w:rsid w:val="00DF5236"/>
    <w:rsid w:val="00DF6051"/>
    <w:rsid w:val="00DF619D"/>
    <w:rsid w:val="00DF6223"/>
    <w:rsid w:val="00DF651F"/>
    <w:rsid w:val="00DF670E"/>
    <w:rsid w:val="00DF6ADB"/>
    <w:rsid w:val="00DF6ED5"/>
    <w:rsid w:val="00DF6F43"/>
    <w:rsid w:val="00DF7420"/>
    <w:rsid w:val="00DF752F"/>
    <w:rsid w:val="00DF76A2"/>
    <w:rsid w:val="00E00585"/>
    <w:rsid w:val="00E00A74"/>
    <w:rsid w:val="00E00B7A"/>
    <w:rsid w:val="00E01FDD"/>
    <w:rsid w:val="00E02186"/>
    <w:rsid w:val="00E02628"/>
    <w:rsid w:val="00E026BB"/>
    <w:rsid w:val="00E027C5"/>
    <w:rsid w:val="00E02B52"/>
    <w:rsid w:val="00E03124"/>
    <w:rsid w:val="00E031C3"/>
    <w:rsid w:val="00E03951"/>
    <w:rsid w:val="00E03D02"/>
    <w:rsid w:val="00E03DB8"/>
    <w:rsid w:val="00E03F17"/>
    <w:rsid w:val="00E03F20"/>
    <w:rsid w:val="00E0420C"/>
    <w:rsid w:val="00E04EDD"/>
    <w:rsid w:val="00E05905"/>
    <w:rsid w:val="00E05E70"/>
    <w:rsid w:val="00E064BC"/>
    <w:rsid w:val="00E06975"/>
    <w:rsid w:val="00E06EA3"/>
    <w:rsid w:val="00E07225"/>
    <w:rsid w:val="00E076B4"/>
    <w:rsid w:val="00E07B55"/>
    <w:rsid w:val="00E07CDA"/>
    <w:rsid w:val="00E10579"/>
    <w:rsid w:val="00E109DD"/>
    <w:rsid w:val="00E10CC7"/>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4EA"/>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643"/>
    <w:rsid w:val="00E34E6C"/>
    <w:rsid w:val="00E353E2"/>
    <w:rsid w:val="00E36345"/>
    <w:rsid w:val="00E366A0"/>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111"/>
    <w:rsid w:val="00E4640D"/>
    <w:rsid w:val="00E469D6"/>
    <w:rsid w:val="00E46BBC"/>
    <w:rsid w:val="00E4759C"/>
    <w:rsid w:val="00E47F58"/>
    <w:rsid w:val="00E50A7B"/>
    <w:rsid w:val="00E50B0B"/>
    <w:rsid w:val="00E50E1F"/>
    <w:rsid w:val="00E510FE"/>
    <w:rsid w:val="00E516C0"/>
    <w:rsid w:val="00E516C7"/>
    <w:rsid w:val="00E51A83"/>
    <w:rsid w:val="00E51E25"/>
    <w:rsid w:val="00E5205B"/>
    <w:rsid w:val="00E521AE"/>
    <w:rsid w:val="00E529A3"/>
    <w:rsid w:val="00E52C38"/>
    <w:rsid w:val="00E52CB8"/>
    <w:rsid w:val="00E53A21"/>
    <w:rsid w:val="00E53BCA"/>
    <w:rsid w:val="00E53BF4"/>
    <w:rsid w:val="00E53C32"/>
    <w:rsid w:val="00E53DE2"/>
    <w:rsid w:val="00E53F02"/>
    <w:rsid w:val="00E54534"/>
    <w:rsid w:val="00E548C3"/>
    <w:rsid w:val="00E54C5A"/>
    <w:rsid w:val="00E54F27"/>
    <w:rsid w:val="00E55FF1"/>
    <w:rsid w:val="00E56090"/>
    <w:rsid w:val="00E56440"/>
    <w:rsid w:val="00E565B9"/>
    <w:rsid w:val="00E56E7B"/>
    <w:rsid w:val="00E5733B"/>
    <w:rsid w:val="00E57515"/>
    <w:rsid w:val="00E5756C"/>
    <w:rsid w:val="00E57811"/>
    <w:rsid w:val="00E57A3D"/>
    <w:rsid w:val="00E57D1A"/>
    <w:rsid w:val="00E601BE"/>
    <w:rsid w:val="00E60B5F"/>
    <w:rsid w:val="00E60F87"/>
    <w:rsid w:val="00E6123D"/>
    <w:rsid w:val="00E613AE"/>
    <w:rsid w:val="00E61429"/>
    <w:rsid w:val="00E61ABB"/>
    <w:rsid w:val="00E61FD7"/>
    <w:rsid w:val="00E623E6"/>
    <w:rsid w:val="00E626B8"/>
    <w:rsid w:val="00E630BF"/>
    <w:rsid w:val="00E630C0"/>
    <w:rsid w:val="00E63107"/>
    <w:rsid w:val="00E6312C"/>
    <w:rsid w:val="00E634E6"/>
    <w:rsid w:val="00E63655"/>
    <w:rsid w:val="00E6390B"/>
    <w:rsid w:val="00E63DCE"/>
    <w:rsid w:val="00E6453E"/>
    <w:rsid w:val="00E64700"/>
    <w:rsid w:val="00E64BD8"/>
    <w:rsid w:val="00E65020"/>
    <w:rsid w:val="00E6502E"/>
    <w:rsid w:val="00E65074"/>
    <w:rsid w:val="00E65E70"/>
    <w:rsid w:val="00E66087"/>
    <w:rsid w:val="00E6655E"/>
    <w:rsid w:val="00E66D79"/>
    <w:rsid w:val="00E66FF9"/>
    <w:rsid w:val="00E6706F"/>
    <w:rsid w:val="00E67155"/>
    <w:rsid w:val="00E67856"/>
    <w:rsid w:val="00E679C8"/>
    <w:rsid w:val="00E70314"/>
    <w:rsid w:val="00E7036D"/>
    <w:rsid w:val="00E70540"/>
    <w:rsid w:val="00E709EC"/>
    <w:rsid w:val="00E7153B"/>
    <w:rsid w:val="00E7194C"/>
    <w:rsid w:val="00E724E7"/>
    <w:rsid w:val="00E72775"/>
    <w:rsid w:val="00E7289D"/>
    <w:rsid w:val="00E72B41"/>
    <w:rsid w:val="00E72EFE"/>
    <w:rsid w:val="00E73012"/>
    <w:rsid w:val="00E7347B"/>
    <w:rsid w:val="00E73792"/>
    <w:rsid w:val="00E73D03"/>
    <w:rsid w:val="00E74040"/>
    <w:rsid w:val="00E7471C"/>
    <w:rsid w:val="00E7498A"/>
    <w:rsid w:val="00E7514E"/>
    <w:rsid w:val="00E75B57"/>
    <w:rsid w:val="00E75CB1"/>
    <w:rsid w:val="00E76537"/>
    <w:rsid w:val="00E76670"/>
    <w:rsid w:val="00E77784"/>
    <w:rsid w:val="00E77AF5"/>
    <w:rsid w:val="00E82027"/>
    <w:rsid w:val="00E823F9"/>
    <w:rsid w:val="00E82C1F"/>
    <w:rsid w:val="00E82EC6"/>
    <w:rsid w:val="00E83647"/>
    <w:rsid w:val="00E83671"/>
    <w:rsid w:val="00E83C97"/>
    <w:rsid w:val="00E840EE"/>
    <w:rsid w:val="00E84820"/>
    <w:rsid w:val="00E84A71"/>
    <w:rsid w:val="00E84DC3"/>
    <w:rsid w:val="00E85743"/>
    <w:rsid w:val="00E85786"/>
    <w:rsid w:val="00E86556"/>
    <w:rsid w:val="00E86BD3"/>
    <w:rsid w:val="00E86D35"/>
    <w:rsid w:val="00E86DC2"/>
    <w:rsid w:val="00E86E32"/>
    <w:rsid w:val="00E86F2E"/>
    <w:rsid w:val="00E86FC5"/>
    <w:rsid w:val="00E8732E"/>
    <w:rsid w:val="00E87A3E"/>
    <w:rsid w:val="00E9011F"/>
    <w:rsid w:val="00E906EB"/>
    <w:rsid w:val="00E90A66"/>
    <w:rsid w:val="00E919FB"/>
    <w:rsid w:val="00E91BF6"/>
    <w:rsid w:val="00E9241E"/>
    <w:rsid w:val="00E92460"/>
    <w:rsid w:val="00E925D7"/>
    <w:rsid w:val="00E92E62"/>
    <w:rsid w:val="00E93804"/>
    <w:rsid w:val="00E9429D"/>
    <w:rsid w:val="00E94626"/>
    <w:rsid w:val="00E95434"/>
    <w:rsid w:val="00E9583E"/>
    <w:rsid w:val="00E96467"/>
    <w:rsid w:val="00E965BC"/>
    <w:rsid w:val="00E966DA"/>
    <w:rsid w:val="00E96948"/>
    <w:rsid w:val="00E9737B"/>
    <w:rsid w:val="00E9744A"/>
    <w:rsid w:val="00E97A3F"/>
    <w:rsid w:val="00E97F0A"/>
    <w:rsid w:val="00EA0100"/>
    <w:rsid w:val="00EA058D"/>
    <w:rsid w:val="00EA0BCE"/>
    <w:rsid w:val="00EA1610"/>
    <w:rsid w:val="00EA2744"/>
    <w:rsid w:val="00EA37B9"/>
    <w:rsid w:val="00EA39F7"/>
    <w:rsid w:val="00EA3DC2"/>
    <w:rsid w:val="00EA3F20"/>
    <w:rsid w:val="00EA434E"/>
    <w:rsid w:val="00EA4757"/>
    <w:rsid w:val="00EA560B"/>
    <w:rsid w:val="00EA5669"/>
    <w:rsid w:val="00EA5CC6"/>
    <w:rsid w:val="00EA5EBD"/>
    <w:rsid w:val="00EA63EF"/>
    <w:rsid w:val="00EA6515"/>
    <w:rsid w:val="00EA75FD"/>
    <w:rsid w:val="00EB0A89"/>
    <w:rsid w:val="00EB0C53"/>
    <w:rsid w:val="00EB1573"/>
    <w:rsid w:val="00EB184F"/>
    <w:rsid w:val="00EB1910"/>
    <w:rsid w:val="00EB291E"/>
    <w:rsid w:val="00EB2D83"/>
    <w:rsid w:val="00EB2E97"/>
    <w:rsid w:val="00EB3108"/>
    <w:rsid w:val="00EB3416"/>
    <w:rsid w:val="00EB3A93"/>
    <w:rsid w:val="00EB3B54"/>
    <w:rsid w:val="00EB4AE1"/>
    <w:rsid w:val="00EB52F4"/>
    <w:rsid w:val="00EB5694"/>
    <w:rsid w:val="00EB5779"/>
    <w:rsid w:val="00EB5D2F"/>
    <w:rsid w:val="00EB67F1"/>
    <w:rsid w:val="00EB6C66"/>
    <w:rsid w:val="00EB72CD"/>
    <w:rsid w:val="00EB749A"/>
    <w:rsid w:val="00EB76B6"/>
    <w:rsid w:val="00EB7D8A"/>
    <w:rsid w:val="00EC05E2"/>
    <w:rsid w:val="00EC082C"/>
    <w:rsid w:val="00EC08AC"/>
    <w:rsid w:val="00EC0C67"/>
    <w:rsid w:val="00EC0E84"/>
    <w:rsid w:val="00EC16E2"/>
    <w:rsid w:val="00EC182D"/>
    <w:rsid w:val="00EC1CE7"/>
    <w:rsid w:val="00EC2510"/>
    <w:rsid w:val="00EC26F1"/>
    <w:rsid w:val="00EC3373"/>
    <w:rsid w:val="00EC3C94"/>
    <w:rsid w:val="00EC44DF"/>
    <w:rsid w:val="00EC4FB9"/>
    <w:rsid w:val="00EC5393"/>
    <w:rsid w:val="00EC5741"/>
    <w:rsid w:val="00EC5C4B"/>
    <w:rsid w:val="00EC5DA3"/>
    <w:rsid w:val="00EC6014"/>
    <w:rsid w:val="00EC6B3E"/>
    <w:rsid w:val="00EC6E7E"/>
    <w:rsid w:val="00EC6FAE"/>
    <w:rsid w:val="00EC73DE"/>
    <w:rsid w:val="00EC7637"/>
    <w:rsid w:val="00EC7CF2"/>
    <w:rsid w:val="00ED046C"/>
    <w:rsid w:val="00ED053A"/>
    <w:rsid w:val="00ED0AED"/>
    <w:rsid w:val="00ED0C3D"/>
    <w:rsid w:val="00ED1161"/>
    <w:rsid w:val="00ED19B4"/>
    <w:rsid w:val="00ED1F03"/>
    <w:rsid w:val="00ED2BBB"/>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4B2"/>
    <w:rsid w:val="00ED77F0"/>
    <w:rsid w:val="00ED7C60"/>
    <w:rsid w:val="00ED7FBC"/>
    <w:rsid w:val="00EE0253"/>
    <w:rsid w:val="00EE0297"/>
    <w:rsid w:val="00EE1258"/>
    <w:rsid w:val="00EE13DA"/>
    <w:rsid w:val="00EE1668"/>
    <w:rsid w:val="00EE1EDB"/>
    <w:rsid w:val="00EE2295"/>
    <w:rsid w:val="00EE24E2"/>
    <w:rsid w:val="00EE318E"/>
    <w:rsid w:val="00EE366D"/>
    <w:rsid w:val="00EE3BB0"/>
    <w:rsid w:val="00EE4AC9"/>
    <w:rsid w:val="00EE4CDF"/>
    <w:rsid w:val="00EE5454"/>
    <w:rsid w:val="00EE5636"/>
    <w:rsid w:val="00EE59B5"/>
    <w:rsid w:val="00EE5FB7"/>
    <w:rsid w:val="00EE6256"/>
    <w:rsid w:val="00EE6783"/>
    <w:rsid w:val="00EE6D02"/>
    <w:rsid w:val="00EE7B54"/>
    <w:rsid w:val="00EE7C47"/>
    <w:rsid w:val="00EE7C88"/>
    <w:rsid w:val="00EE7C8B"/>
    <w:rsid w:val="00EF0209"/>
    <w:rsid w:val="00EF0508"/>
    <w:rsid w:val="00EF0EA4"/>
    <w:rsid w:val="00EF185A"/>
    <w:rsid w:val="00EF1E5B"/>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34A"/>
    <w:rsid w:val="00EF55C4"/>
    <w:rsid w:val="00EF57BC"/>
    <w:rsid w:val="00EF6784"/>
    <w:rsid w:val="00EF688A"/>
    <w:rsid w:val="00EF6A03"/>
    <w:rsid w:val="00EF6DC2"/>
    <w:rsid w:val="00EF7506"/>
    <w:rsid w:val="00EF78AB"/>
    <w:rsid w:val="00EF799B"/>
    <w:rsid w:val="00EF7BF4"/>
    <w:rsid w:val="00EF7E7F"/>
    <w:rsid w:val="00F0030F"/>
    <w:rsid w:val="00F0057D"/>
    <w:rsid w:val="00F00674"/>
    <w:rsid w:val="00F01657"/>
    <w:rsid w:val="00F01E67"/>
    <w:rsid w:val="00F02744"/>
    <w:rsid w:val="00F02926"/>
    <w:rsid w:val="00F029E6"/>
    <w:rsid w:val="00F02BFD"/>
    <w:rsid w:val="00F02D25"/>
    <w:rsid w:val="00F0318F"/>
    <w:rsid w:val="00F03C3D"/>
    <w:rsid w:val="00F041DE"/>
    <w:rsid w:val="00F0435D"/>
    <w:rsid w:val="00F04580"/>
    <w:rsid w:val="00F04ECA"/>
    <w:rsid w:val="00F04F8B"/>
    <w:rsid w:val="00F067BC"/>
    <w:rsid w:val="00F06E19"/>
    <w:rsid w:val="00F06F84"/>
    <w:rsid w:val="00F07286"/>
    <w:rsid w:val="00F07542"/>
    <w:rsid w:val="00F07585"/>
    <w:rsid w:val="00F076E7"/>
    <w:rsid w:val="00F07AA1"/>
    <w:rsid w:val="00F105AE"/>
    <w:rsid w:val="00F10618"/>
    <w:rsid w:val="00F1097C"/>
    <w:rsid w:val="00F10DFE"/>
    <w:rsid w:val="00F1108B"/>
    <w:rsid w:val="00F1112A"/>
    <w:rsid w:val="00F114FA"/>
    <w:rsid w:val="00F11768"/>
    <w:rsid w:val="00F11951"/>
    <w:rsid w:val="00F11F2F"/>
    <w:rsid w:val="00F12262"/>
    <w:rsid w:val="00F12564"/>
    <w:rsid w:val="00F12AF8"/>
    <w:rsid w:val="00F12C52"/>
    <w:rsid w:val="00F13E62"/>
    <w:rsid w:val="00F148B7"/>
    <w:rsid w:val="00F14D67"/>
    <w:rsid w:val="00F14EA9"/>
    <w:rsid w:val="00F15505"/>
    <w:rsid w:val="00F15BFF"/>
    <w:rsid w:val="00F16B79"/>
    <w:rsid w:val="00F16E1D"/>
    <w:rsid w:val="00F16E4F"/>
    <w:rsid w:val="00F17244"/>
    <w:rsid w:val="00F17D82"/>
    <w:rsid w:val="00F17F38"/>
    <w:rsid w:val="00F204CC"/>
    <w:rsid w:val="00F20736"/>
    <w:rsid w:val="00F20801"/>
    <w:rsid w:val="00F213A0"/>
    <w:rsid w:val="00F21D54"/>
    <w:rsid w:val="00F21EF4"/>
    <w:rsid w:val="00F22216"/>
    <w:rsid w:val="00F223B3"/>
    <w:rsid w:val="00F23113"/>
    <w:rsid w:val="00F2319C"/>
    <w:rsid w:val="00F23255"/>
    <w:rsid w:val="00F23393"/>
    <w:rsid w:val="00F23759"/>
    <w:rsid w:val="00F238B4"/>
    <w:rsid w:val="00F24644"/>
    <w:rsid w:val="00F25215"/>
    <w:rsid w:val="00F25947"/>
    <w:rsid w:val="00F25B81"/>
    <w:rsid w:val="00F262D6"/>
    <w:rsid w:val="00F2659F"/>
    <w:rsid w:val="00F26F33"/>
    <w:rsid w:val="00F26FD1"/>
    <w:rsid w:val="00F2748A"/>
    <w:rsid w:val="00F300A8"/>
    <w:rsid w:val="00F302C6"/>
    <w:rsid w:val="00F30400"/>
    <w:rsid w:val="00F3079E"/>
    <w:rsid w:val="00F322A2"/>
    <w:rsid w:val="00F32EF2"/>
    <w:rsid w:val="00F331E1"/>
    <w:rsid w:val="00F3379D"/>
    <w:rsid w:val="00F33968"/>
    <w:rsid w:val="00F3399B"/>
    <w:rsid w:val="00F33F4B"/>
    <w:rsid w:val="00F34396"/>
    <w:rsid w:val="00F346ED"/>
    <w:rsid w:val="00F34945"/>
    <w:rsid w:val="00F34CF0"/>
    <w:rsid w:val="00F34E1E"/>
    <w:rsid w:val="00F34F5B"/>
    <w:rsid w:val="00F3570C"/>
    <w:rsid w:val="00F360E8"/>
    <w:rsid w:val="00F363A4"/>
    <w:rsid w:val="00F366C0"/>
    <w:rsid w:val="00F36765"/>
    <w:rsid w:val="00F368FF"/>
    <w:rsid w:val="00F37026"/>
    <w:rsid w:val="00F37068"/>
    <w:rsid w:val="00F37108"/>
    <w:rsid w:val="00F37385"/>
    <w:rsid w:val="00F375D8"/>
    <w:rsid w:val="00F37962"/>
    <w:rsid w:val="00F37F3F"/>
    <w:rsid w:val="00F4050C"/>
    <w:rsid w:val="00F40992"/>
    <w:rsid w:val="00F40F72"/>
    <w:rsid w:val="00F40FD8"/>
    <w:rsid w:val="00F41596"/>
    <w:rsid w:val="00F41D8B"/>
    <w:rsid w:val="00F42121"/>
    <w:rsid w:val="00F42388"/>
    <w:rsid w:val="00F424B3"/>
    <w:rsid w:val="00F428B1"/>
    <w:rsid w:val="00F428B4"/>
    <w:rsid w:val="00F433F7"/>
    <w:rsid w:val="00F4345D"/>
    <w:rsid w:val="00F4387B"/>
    <w:rsid w:val="00F448EE"/>
    <w:rsid w:val="00F44F44"/>
    <w:rsid w:val="00F451D4"/>
    <w:rsid w:val="00F45612"/>
    <w:rsid w:val="00F45921"/>
    <w:rsid w:val="00F45B91"/>
    <w:rsid w:val="00F4613E"/>
    <w:rsid w:val="00F46639"/>
    <w:rsid w:val="00F46DBB"/>
    <w:rsid w:val="00F4753C"/>
    <w:rsid w:val="00F476FD"/>
    <w:rsid w:val="00F50183"/>
    <w:rsid w:val="00F50D92"/>
    <w:rsid w:val="00F51765"/>
    <w:rsid w:val="00F517E5"/>
    <w:rsid w:val="00F51A51"/>
    <w:rsid w:val="00F51BC6"/>
    <w:rsid w:val="00F51CB4"/>
    <w:rsid w:val="00F52324"/>
    <w:rsid w:val="00F52833"/>
    <w:rsid w:val="00F52950"/>
    <w:rsid w:val="00F52C9D"/>
    <w:rsid w:val="00F533F1"/>
    <w:rsid w:val="00F539F6"/>
    <w:rsid w:val="00F53D10"/>
    <w:rsid w:val="00F54170"/>
    <w:rsid w:val="00F55679"/>
    <w:rsid w:val="00F561E3"/>
    <w:rsid w:val="00F565E6"/>
    <w:rsid w:val="00F56772"/>
    <w:rsid w:val="00F56AFA"/>
    <w:rsid w:val="00F56C39"/>
    <w:rsid w:val="00F575E2"/>
    <w:rsid w:val="00F579FF"/>
    <w:rsid w:val="00F600E0"/>
    <w:rsid w:val="00F605EC"/>
    <w:rsid w:val="00F60742"/>
    <w:rsid w:val="00F60B8D"/>
    <w:rsid w:val="00F60F60"/>
    <w:rsid w:val="00F612CE"/>
    <w:rsid w:val="00F6133C"/>
    <w:rsid w:val="00F61F64"/>
    <w:rsid w:val="00F62049"/>
    <w:rsid w:val="00F624A7"/>
    <w:rsid w:val="00F62AB6"/>
    <w:rsid w:val="00F63C06"/>
    <w:rsid w:val="00F6478E"/>
    <w:rsid w:val="00F65A3C"/>
    <w:rsid w:val="00F65BA3"/>
    <w:rsid w:val="00F66039"/>
    <w:rsid w:val="00F66282"/>
    <w:rsid w:val="00F6639E"/>
    <w:rsid w:val="00F664EF"/>
    <w:rsid w:val="00F66777"/>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5F12"/>
    <w:rsid w:val="00F7685E"/>
    <w:rsid w:val="00F769CC"/>
    <w:rsid w:val="00F76C11"/>
    <w:rsid w:val="00F77021"/>
    <w:rsid w:val="00F77E61"/>
    <w:rsid w:val="00F77E9A"/>
    <w:rsid w:val="00F80221"/>
    <w:rsid w:val="00F80269"/>
    <w:rsid w:val="00F807F6"/>
    <w:rsid w:val="00F80C81"/>
    <w:rsid w:val="00F81265"/>
    <w:rsid w:val="00F815AC"/>
    <w:rsid w:val="00F8187D"/>
    <w:rsid w:val="00F81AA6"/>
    <w:rsid w:val="00F834DD"/>
    <w:rsid w:val="00F83B33"/>
    <w:rsid w:val="00F83CAE"/>
    <w:rsid w:val="00F840BF"/>
    <w:rsid w:val="00F8427A"/>
    <w:rsid w:val="00F843DF"/>
    <w:rsid w:val="00F84899"/>
    <w:rsid w:val="00F85585"/>
    <w:rsid w:val="00F855A1"/>
    <w:rsid w:val="00F859F0"/>
    <w:rsid w:val="00F85CC1"/>
    <w:rsid w:val="00F86280"/>
    <w:rsid w:val="00F86B5D"/>
    <w:rsid w:val="00F875E1"/>
    <w:rsid w:val="00F87634"/>
    <w:rsid w:val="00F87C13"/>
    <w:rsid w:val="00F87C5A"/>
    <w:rsid w:val="00F87E29"/>
    <w:rsid w:val="00F87F18"/>
    <w:rsid w:val="00F87F68"/>
    <w:rsid w:val="00F90508"/>
    <w:rsid w:val="00F90C4D"/>
    <w:rsid w:val="00F9167D"/>
    <w:rsid w:val="00F91CB2"/>
    <w:rsid w:val="00F926FA"/>
    <w:rsid w:val="00F927E8"/>
    <w:rsid w:val="00F9289C"/>
    <w:rsid w:val="00F93D5B"/>
    <w:rsid w:val="00F93DBC"/>
    <w:rsid w:val="00F93E41"/>
    <w:rsid w:val="00F93FB6"/>
    <w:rsid w:val="00F94011"/>
    <w:rsid w:val="00F94644"/>
    <w:rsid w:val="00F952E4"/>
    <w:rsid w:val="00F9537B"/>
    <w:rsid w:val="00F95D82"/>
    <w:rsid w:val="00F963FC"/>
    <w:rsid w:val="00F965CA"/>
    <w:rsid w:val="00F97107"/>
    <w:rsid w:val="00F97141"/>
    <w:rsid w:val="00F97CF1"/>
    <w:rsid w:val="00FA015F"/>
    <w:rsid w:val="00FA0160"/>
    <w:rsid w:val="00FA0993"/>
    <w:rsid w:val="00FA0FAC"/>
    <w:rsid w:val="00FA10F7"/>
    <w:rsid w:val="00FA17EA"/>
    <w:rsid w:val="00FA1DA2"/>
    <w:rsid w:val="00FA2589"/>
    <w:rsid w:val="00FA3414"/>
    <w:rsid w:val="00FA347A"/>
    <w:rsid w:val="00FA3CDE"/>
    <w:rsid w:val="00FA3EDB"/>
    <w:rsid w:val="00FA495A"/>
    <w:rsid w:val="00FA49B7"/>
    <w:rsid w:val="00FA4DFD"/>
    <w:rsid w:val="00FA5043"/>
    <w:rsid w:val="00FA62B4"/>
    <w:rsid w:val="00FA6569"/>
    <w:rsid w:val="00FA6B82"/>
    <w:rsid w:val="00FA6F8B"/>
    <w:rsid w:val="00FA727C"/>
    <w:rsid w:val="00FA7788"/>
    <w:rsid w:val="00FA7A30"/>
    <w:rsid w:val="00FB033F"/>
    <w:rsid w:val="00FB0507"/>
    <w:rsid w:val="00FB12E3"/>
    <w:rsid w:val="00FB1570"/>
    <w:rsid w:val="00FB193B"/>
    <w:rsid w:val="00FB1E5B"/>
    <w:rsid w:val="00FB1FBC"/>
    <w:rsid w:val="00FB27B7"/>
    <w:rsid w:val="00FB2A6A"/>
    <w:rsid w:val="00FB3295"/>
    <w:rsid w:val="00FB35E3"/>
    <w:rsid w:val="00FB4105"/>
    <w:rsid w:val="00FB4893"/>
    <w:rsid w:val="00FB4C98"/>
    <w:rsid w:val="00FB4CE3"/>
    <w:rsid w:val="00FB534D"/>
    <w:rsid w:val="00FB583C"/>
    <w:rsid w:val="00FB61EE"/>
    <w:rsid w:val="00FB630E"/>
    <w:rsid w:val="00FB6738"/>
    <w:rsid w:val="00FB67AD"/>
    <w:rsid w:val="00FB691B"/>
    <w:rsid w:val="00FB6B66"/>
    <w:rsid w:val="00FB6BE6"/>
    <w:rsid w:val="00FB731C"/>
    <w:rsid w:val="00FB7628"/>
    <w:rsid w:val="00FB77C9"/>
    <w:rsid w:val="00FB7D76"/>
    <w:rsid w:val="00FC05A0"/>
    <w:rsid w:val="00FC07E7"/>
    <w:rsid w:val="00FC0811"/>
    <w:rsid w:val="00FC1155"/>
    <w:rsid w:val="00FC1196"/>
    <w:rsid w:val="00FC13D1"/>
    <w:rsid w:val="00FC15EB"/>
    <w:rsid w:val="00FC162C"/>
    <w:rsid w:val="00FC18DC"/>
    <w:rsid w:val="00FC2477"/>
    <w:rsid w:val="00FC28B0"/>
    <w:rsid w:val="00FC2AC4"/>
    <w:rsid w:val="00FC2CAC"/>
    <w:rsid w:val="00FC2F73"/>
    <w:rsid w:val="00FC30FA"/>
    <w:rsid w:val="00FC327D"/>
    <w:rsid w:val="00FC341C"/>
    <w:rsid w:val="00FC3830"/>
    <w:rsid w:val="00FC3A5F"/>
    <w:rsid w:val="00FC3A9B"/>
    <w:rsid w:val="00FC3AE1"/>
    <w:rsid w:val="00FC3DFC"/>
    <w:rsid w:val="00FC3EF4"/>
    <w:rsid w:val="00FC431B"/>
    <w:rsid w:val="00FC434C"/>
    <w:rsid w:val="00FC472C"/>
    <w:rsid w:val="00FC4FDF"/>
    <w:rsid w:val="00FC5CF4"/>
    <w:rsid w:val="00FC5D64"/>
    <w:rsid w:val="00FC6097"/>
    <w:rsid w:val="00FC61A4"/>
    <w:rsid w:val="00FC6A39"/>
    <w:rsid w:val="00FC7640"/>
    <w:rsid w:val="00FC76A9"/>
    <w:rsid w:val="00FC79AB"/>
    <w:rsid w:val="00FC7BE7"/>
    <w:rsid w:val="00FC7C3E"/>
    <w:rsid w:val="00FC7DAC"/>
    <w:rsid w:val="00FC7F00"/>
    <w:rsid w:val="00FD005D"/>
    <w:rsid w:val="00FD023A"/>
    <w:rsid w:val="00FD04AE"/>
    <w:rsid w:val="00FD0CCF"/>
    <w:rsid w:val="00FD0DFA"/>
    <w:rsid w:val="00FD128D"/>
    <w:rsid w:val="00FD1606"/>
    <w:rsid w:val="00FD1890"/>
    <w:rsid w:val="00FD1994"/>
    <w:rsid w:val="00FD29F3"/>
    <w:rsid w:val="00FD3097"/>
    <w:rsid w:val="00FD31DC"/>
    <w:rsid w:val="00FD3508"/>
    <w:rsid w:val="00FD393C"/>
    <w:rsid w:val="00FD3AFF"/>
    <w:rsid w:val="00FD4343"/>
    <w:rsid w:val="00FD43BB"/>
    <w:rsid w:val="00FD456F"/>
    <w:rsid w:val="00FD48CD"/>
    <w:rsid w:val="00FD4AF3"/>
    <w:rsid w:val="00FD528C"/>
    <w:rsid w:val="00FD67F0"/>
    <w:rsid w:val="00FD798D"/>
    <w:rsid w:val="00FD7AE0"/>
    <w:rsid w:val="00FE0FDA"/>
    <w:rsid w:val="00FE141E"/>
    <w:rsid w:val="00FE144E"/>
    <w:rsid w:val="00FE1768"/>
    <w:rsid w:val="00FE2163"/>
    <w:rsid w:val="00FE24F4"/>
    <w:rsid w:val="00FE2560"/>
    <w:rsid w:val="00FE3016"/>
    <w:rsid w:val="00FE35D0"/>
    <w:rsid w:val="00FE3730"/>
    <w:rsid w:val="00FE3A4F"/>
    <w:rsid w:val="00FE40EA"/>
    <w:rsid w:val="00FE42ED"/>
    <w:rsid w:val="00FE497D"/>
    <w:rsid w:val="00FE4E06"/>
    <w:rsid w:val="00FE55A7"/>
    <w:rsid w:val="00FE571C"/>
    <w:rsid w:val="00FE5C5A"/>
    <w:rsid w:val="00FE6432"/>
    <w:rsid w:val="00FE6A5D"/>
    <w:rsid w:val="00FE6D66"/>
    <w:rsid w:val="00FE72A0"/>
    <w:rsid w:val="00FE765C"/>
    <w:rsid w:val="00FE76F9"/>
    <w:rsid w:val="00FE784E"/>
    <w:rsid w:val="00FF0050"/>
    <w:rsid w:val="00FF045F"/>
    <w:rsid w:val="00FF0B21"/>
    <w:rsid w:val="00FF13D4"/>
    <w:rsid w:val="00FF1F26"/>
    <w:rsid w:val="00FF2053"/>
    <w:rsid w:val="00FF2C8B"/>
    <w:rsid w:val="00FF399E"/>
    <w:rsid w:val="00FF3B37"/>
    <w:rsid w:val="00FF3CC7"/>
    <w:rsid w:val="00FF3D6F"/>
    <w:rsid w:val="00FF417C"/>
    <w:rsid w:val="00FF4810"/>
    <w:rsid w:val="00FF4BD8"/>
    <w:rsid w:val="00FF4D11"/>
    <w:rsid w:val="00FF5214"/>
    <w:rsid w:val="00FF53DC"/>
    <w:rsid w:val="00FF54F1"/>
    <w:rsid w:val="00FF57FC"/>
    <w:rsid w:val="00FF596E"/>
    <w:rsid w:val="00FF5B59"/>
    <w:rsid w:val="00FF5BFD"/>
    <w:rsid w:val="00FF5DBF"/>
    <w:rsid w:val="00FF6095"/>
    <w:rsid w:val="00FF62FE"/>
    <w:rsid w:val="00FF6553"/>
    <w:rsid w:val="00FF6788"/>
    <w:rsid w:val="00FF68EB"/>
    <w:rsid w:val="00FF7A39"/>
    <w:rsid w:val="00FF7A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5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306">
      <w:bodyDiv w:val="1"/>
      <w:marLeft w:val="0"/>
      <w:marRight w:val="0"/>
      <w:marTop w:val="0"/>
      <w:marBottom w:val="0"/>
      <w:divBdr>
        <w:top w:val="none" w:sz="0" w:space="0" w:color="auto"/>
        <w:left w:val="none" w:sz="0" w:space="0" w:color="auto"/>
        <w:bottom w:val="none" w:sz="0" w:space="0" w:color="auto"/>
        <w:right w:val="none" w:sz="0" w:space="0" w:color="auto"/>
      </w:divBdr>
    </w:div>
    <w:div w:id="606087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1927464">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21441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290">
      <w:bodyDiv w:val="1"/>
      <w:marLeft w:val="0"/>
      <w:marRight w:val="0"/>
      <w:marTop w:val="0"/>
      <w:marBottom w:val="0"/>
      <w:divBdr>
        <w:top w:val="none" w:sz="0" w:space="0" w:color="auto"/>
        <w:left w:val="none" w:sz="0" w:space="0" w:color="auto"/>
        <w:bottom w:val="none" w:sz="0" w:space="0" w:color="auto"/>
        <w:right w:val="none" w:sz="0" w:space="0" w:color="auto"/>
      </w:divBdr>
    </w:div>
    <w:div w:id="5003652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776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839210">
      <w:bodyDiv w:val="1"/>
      <w:marLeft w:val="0"/>
      <w:marRight w:val="0"/>
      <w:marTop w:val="0"/>
      <w:marBottom w:val="0"/>
      <w:divBdr>
        <w:top w:val="none" w:sz="0" w:space="0" w:color="auto"/>
        <w:left w:val="none" w:sz="0" w:space="0" w:color="auto"/>
        <w:bottom w:val="none" w:sz="0" w:space="0" w:color="auto"/>
        <w:right w:val="none" w:sz="0" w:space="0" w:color="auto"/>
      </w:divBdr>
    </w:div>
    <w:div w:id="72705508">
      <w:bodyDiv w:val="1"/>
      <w:marLeft w:val="0"/>
      <w:marRight w:val="0"/>
      <w:marTop w:val="0"/>
      <w:marBottom w:val="0"/>
      <w:divBdr>
        <w:top w:val="none" w:sz="0" w:space="0" w:color="auto"/>
        <w:left w:val="none" w:sz="0" w:space="0" w:color="auto"/>
        <w:bottom w:val="none" w:sz="0" w:space="0" w:color="auto"/>
        <w:right w:val="none" w:sz="0" w:space="0" w:color="auto"/>
      </w:divBdr>
    </w:div>
    <w:div w:id="7655772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8527464">
      <w:bodyDiv w:val="1"/>
      <w:marLeft w:val="0"/>
      <w:marRight w:val="0"/>
      <w:marTop w:val="0"/>
      <w:marBottom w:val="0"/>
      <w:divBdr>
        <w:top w:val="none" w:sz="0" w:space="0" w:color="auto"/>
        <w:left w:val="none" w:sz="0" w:space="0" w:color="auto"/>
        <w:bottom w:val="none" w:sz="0" w:space="0" w:color="auto"/>
        <w:right w:val="none" w:sz="0" w:space="0" w:color="auto"/>
      </w:divBdr>
    </w:div>
    <w:div w:id="101000020">
      <w:bodyDiv w:val="1"/>
      <w:marLeft w:val="0"/>
      <w:marRight w:val="0"/>
      <w:marTop w:val="0"/>
      <w:marBottom w:val="0"/>
      <w:divBdr>
        <w:top w:val="none" w:sz="0" w:space="0" w:color="auto"/>
        <w:left w:val="none" w:sz="0" w:space="0" w:color="auto"/>
        <w:bottom w:val="none" w:sz="0" w:space="0" w:color="auto"/>
        <w:right w:val="none" w:sz="0" w:space="0" w:color="auto"/>
      </w:divBdr>
      <w:divsChild>
        <w:div w:id="955869365">
          <w:marLeft w:val="0"/>
          <w:marRight w:val="0"/>
          <w:marTop w:val="0"/>
          <w:marBottom w:val="0"/>
          <w:divBdr>
            <w:top w:val="none" w:sz="0" w:space="0" w:color="auto"/>
            <w:left w:val="none" w:sz="0" w:space="0" w:color="auto"/>
            <w:bottom w:val="none" w:sz="0" w:space="0" w:color="auto"/>
            <w:right w:val="none" w:sz="0" w:space="0" w:color="auto"/>
          </w:divBdr>
          <w:divsChild>
            <w:div w:id="665330568">
              <w:marLeft w:val="0"/>
              <w:marRight w:val="0"/>
              <w:marTop w:val="0"/>
              <w:marBottom w:val="0"/>
              <w:divBdr>
                <w:top w:val="none" w:sz="0" w:space="0" w:color="auto"/>
                <w:left w:val="none" w:sz="0" w:space="0" w:color="auto"/>
                <w:bottom w:val="none" w:sz="0" w:space="0" w:color="auto"/>
                <w:right w:val="none" w:sz="0" w:space="0" w:color="auto"/>
              </w:divBdr>
              <w:divsChild>
                <w:div w:id="1999069472">
                  <w:marLeft w:val="0"/>
                  <w:marRight w:val="0"/>
                  <w:marTop w:val="0"/>
                  <w:marBottom w:val="0"/>
                  <w:divBdr>
                    <w:top w:val="none" w:sz="0" w:space="0" w:color="auto"/>
                    <w:left w:val="none" w:sz="0" w:space="0" w:color="auto"/>
                    <w:bottom w:val="none" w:sz="0" w:space="0" w:color="auto"/>
                    <w:right w:val="none" w:sz="0" w:space="0" w:color="auto"/>
                  </w:divBdr>
                  <w:divsChild>
                    <w:div w:id="1706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9726">
      <w:bodyDiv w:val="1"/>
      <w:marLeft w:val="0"/>
      <w:marRight w:val="0"/>
      <w:marTop w:val="0"/>
      <w:marBottom w:val="0"/>
      <w:divBdr>
        <w:top w:val="none" w:sz="0" w:space="0" w:color="auto"/>
        <w:left w:val="none" w:sz="0" w:space="0" w:color="auto"/>
        <w:bottom w:val="none" w:sz="0" w:space="0" w:color="auto"/>
        <w:right w:val="none" w:sz="0" w:space="0" w:color="auto"/>
      </w:divBdr>
    </w:div>
    <w:div w:id="117603263">
      <w:bodyDiv w:val="1"/>
      <w:marLeft w:val="0"/>
      <w:marRight w:val="0"/>
      <w:marTop w:val="0"/>
      <w:marBottom w:val="0"/>
      <w:divBdr>
        <w:top w:val="none" w:sz="0" w:space="0" w:color="auto"/>
        <w:left w:val="none" w:sz="0" w:space="0" w:color="auto"/>
        <w:bottom w:val="none" w:sz="0" w:space="0" w:color="auto"/>
        <w:right w:val="none" w:sz="0" w:space="0" w:color="auto"/>
      </w:divBdr>
    </w:div>
    <w:div w:id="11923264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887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43473144">
      <w:bodyDiv w:val="1"/>
      <w:marLeft w:val="0"/>
      <w:marRight w:val="0"/>
      <w:marTop w:val="0"/>
      <w:marBottom w:val="0"/>
      <w:divBdr>
        <w:top w:val="none" w:sz="0" w:space="0" w:color="auto"/>
        <w:left w:val="none" w:sz="0" w:space="0" w:color="auto"/>
        <w:bottom w:val="none" w:sz="0" w:space="0" w:color="auto"/>
        <w:right w:val="none" w:sz="0" w:space="0" w:color="auto"/>
      </w:divBdr>
    </w:div>
    <w:div w:id="146366278">
      <w:bodyDiv w:val="1"/>
      <w:marLeft w:val="0"/>
      <w:marRight w:val="0"/>
      <w:marTop w:val="0"/>
      <w:marBottom w:val="0"/>
      <w:divBdr>
        <w:top w:val="none" w:sz="0" w:space="0" w:color="auto"/>
        <w:left w:val="none" w:sz="0" w:space="0" w:color="auto"/>
        <w:bottom w:val="none" w:sz="0" w:space="0" w:color="auto"/>
        <w:right w:val="none" w:sz="0" w:space="0" w:color="auto"/>
      </w:divBdr>
    </w:div>
    <w:div w:id="151341048">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6457625">
      <w:bodyDiv w:val="1"/>
      <w:marLeft w:val="0"/>
      <w:marRight w:val="0"/>
      <w:marTop w:val="0"/>
      <w:marBottom w:val="0"/>
      <w:divBdr>
        <w:top w:val="none" w:sz="0" w:space="0" w:color="auto"/>
        <w:left w:val="none" w:sz="0" w:space="0" w:color="auto"/>
        <w:bottom w:val="none" w:sz="0" w:space="0" w:color="auto"/>
        <w:right w:val="none" w:sz="0" w:space="0" w:color="auto"/>
      </w:divBdr>
    </w:div>
    <w:div w:id="16471195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77306708">
      <w:bodyDiv w:val="1"/>
      <w:marLeft w:val="0"/>
      <w:marRight w:val="0"/>
      <w:marTop w:val="0"/>
      <w:marBottom w:val="0"/>
      <w:divBdr>
        <w:top w:val="none" w:sz="0" w:space="0" w:color="auto"/>
        <w:left w:val="none" w:sz="0" w:space="0" w:color="auto"/>
        <w:bottom w:val="none" w:sz="0" w:space="0" w:color="auto"/>
        <w:right w:val="none" w:sz="0" w:space="0" w:color="auto"/>
      </w:divBdr>
    </w:div>
    <w:div w:id="181746846">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805385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199902163">
      <w:bodyDiv w:val="1"/>
      <w:marLeft w:val="0"/>
      <w:marRight w:val="0"/>
      <w:marTop w:val="0"/>
      <w:marBottom w:val="0"/>
      <w:divBdr>
        <w:top w:val="none" w:sz="0" w:space="0" w:color="auto"/>
        <w:left w:val="none" w:sz="0" w:space="0" w:color="auto"/>
        <w:bottom w:val="none" w:sz="0" w:space="0" w:color="auto"/>
        <w:right w:val="none" w:sz="0" w:space="0" w:color="auto"/>
      </w:divBdr>
    </w:div>
    <w:div w:id="206719320">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4295434">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7713">
      <w:bodyDiv w:val="1"/>
      <w:marLeft w:val="0"/>
      <w:marRight w:val="0"/>
      <w:marTop w:val="0"/>
      <w:marBottom w:val="0"/>
      <w:divBdr>
        <w:top w:val="none" w:sz="0" w:space="0" w:color="auto"/>
        <w:left w:val="none" w:sz="0" w:space="0" w:color="auto"/>
        <w:bottom w:val="none" w:sz="0" w:space="0" w:color="auto"/>
        <w:right w:val="none" w:sz="0" w:space="0" w:color="auto"/>
      </w:divBdr>
      <w:divsChild>
        <w:div w:id="1287389645">
          <w:marLeft w:val="0"/>
          <w:marRight w:val="0"/>
          <w:marTop w:val="0"/>
          <w:marBottom w:val="0"/>
          <w:divBdr>
            <w:top w:val="none" w:sz="0" w:space="0" w:color="auto"/>
            <w:left w:val="none" w:sz="0" w:space="0" w:color="auto"/>
            <w:bottom w:val="none" w:sz="0" w:space="0" w:color="auto"/>
            <w:right w:val="none" w:sz="0" w:space="0" w:color="auto"/>
          </w:divBdr>
          <w:divsChild>
            <w:div w:id="1523713160">
              <w:marLeft w:val="0"/>
              <w:marRight w:val="0"/>
              <w:marTop w:val="0"/>
              <w:marBottom w:val="0"/>
              <w:divBdr>
                <w:top w:val="none" w:sz="0" w:space="0" w:color="auto"/>
                <w:left w:val="none" w:sz="0" w:space="0" w:color="auto"/>
                <w:bottom w:val="none" w:sz="0" w:space="0" w:color="auto"/>
                <w:right w:val="none" w:sz="0" w:space="0" w:color="auto"/>
              </w:divBdr>
              <w:divsChild>
                <w:div w:id="1560248264">
                  <w:marLeft w:val="0"/>
                  <w:marRight w:val="0"/>
                  <w:marTop w:val="0"/>
                  <w:marBottom w:val="0"/>
                  <w:divBdr>
                    <w:top w:val="none" w:sz="0" w:space="0" w:color="auto"/>
                    <w:left w:val="none" w:sz="0" w:space="0" w:color="auto"/>
                    <w:bottom w:val="none" w:sz="0" w:space="0" w:color="auto"/>
                    <w:right w:val="none" w:sz="0" w:space="0" w:color="auto"/>
                  </w:divBdr>
                  <w:divsChild>
                    <w:div w:id="139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162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8009203">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3149947">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097278">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3435595">
      <w:bodyDiv w:val="1"/>
      <w:marLeft w:val="0"/>
      <w:marRight w:val="0"/>
      <w:marTop w:val="0"/>
      <w:marBottom w:val="0"/>
      <w:divBdr>
        <w:top w:val="none" w:sz="0" w:space="0" w:color="auto"/>
        <w:left w:val="none" w:sz="0" w:space="0" w:color="auto"/>
        <w:bottom w:val="none" w:sz="0" w:space="0" w:color="auto"/>
        <w:right w:val="none" w:sz="0" w:space="0" w:color="auto"/>
      </w:divBdr>
    </w:div>
    <w:div w:id="30469818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213970">
      <w:bodyDiv w:val="1"/>
      <w:marLeft w:val="0"/>
      <w:marRight w:val="0"/>
      <w:marTop w:val="0"/>
      <w:marBottom w:val="0"/>
      <w:divBdr>
        <w:top w:val="none" w:sz="0" w:space="0" w:color="auto"/>
        <w:left w:val="none" w:sz="0" w:space="0" w:color="auto"/>
        <w:bottom w:val="none" w:sz="0" w:space="0" w:color="auto"/>
        <w:right w:val="none" w:sz="0" w:space="0" w:color="auto"/>
      </w:divBdr>
      <w:divsChild>
        <w:div w:id="1411003973">
          <w:marLeft w:val="0"/>
          <w:marRight w:val="0"/>
          <w:marTop w:val="0"/>
          <w:marBottom w:val="0"/>
          <w:divBdr>
            <w:top w:val="none" w:sz="0" w:space="0" w:color="auto"/>
            <w:left w:val="none" w:sz="0" w:space="0" w:color="auto"/>
            <w:bottom w:val="none" w:sz="0" w:space="0" w:color="auto"/>
            <w:right w:val="none" w:sz="0" w:space="0" w:color="auto"/>
          </w:divBdr>
          <w:divsChild>
            <w:div w:id="1977569114">
              <w:marLeft w:val="0"/>
              <w:marRight w:val="0"/>
              <w:marTop w:val="0"/>
              <w:marBottom w:val="0"/>
              <w:divBdr>
                <w:top w:val="none" w:sz="0" w:space="0" w:color="auto"/>
                <w:left w:val="none" w:sz="0" w:space="0" w:color="auto"/>
                <w:bottom w:val="none" w:sz="0" w:space="0" w:color="auto"/>
                <w:right w:val="none" w:sz="0" w:space="0" w:color="auto"/>
              </w:divBdr>
              <w:divsChild>
                <w:div w:id="582497867">
                  <w:marLeft w:val="0"/>
                  <w:marRight w:val="0"/>
                  <w:marTop w:val="0"/>
                  <w:marBottom w:val="0"/>
                  <w:divBdr>
                    <w:top w:val="none" w:sz="0" w:space="0" w:color="auto"/>
                    <w:left w:val="none" w:sz="0" w:space="0" w:color="auto"/>
                    <w:bottom w:val="none" w:sz="0" w:space="0" w:color="auto"/>
                    <w:right w:val="none" w:sz="0" w:space="0" w:color="auto"/>
                  </w:divBdr>
                  <w:divsChild>
                    <w:div w:id="1962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9452978">
      <w:bodyDiv w:val="1"/>
      <w:marLeft w:val="0"/>
      <w:marRight w:val="0"/>
      <w:marTop w:val="0"/>
      <w:marBottom w:val="0"/>
      <w:divBdr>
        <w:top w:val="none" w:sz="0" w:space="0" w:color="auto"/>
        <w:left w:val="none" w:sz="0" w:space="0" w:color="auto"/>
        <w:bottom w:val="none" w:sz="0" w:space="0" w:color="auto"/>
        <w:right w:val="none" w:sz="0" w:space="0" w:color="auto"/>
      </w:divBdr>
    </w:div>
    <w:div w:id="35114764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4891818">
      <w:bodyDiv w:val="1"/>
      <w:marLeft w:val="0"/>
      <w:marRight w:val="0"/>
      <w:marTop w:val="0"/>
      <w:marBottom w:val="0"/>
      <w:divBdr>
        <w:top w:val="none" w:sz="0" w:space="0" w:color="auto"/>
        <w:left w:val="none" w:sz="0" w:space="0" w:color="auto"/>
        <w:bottom w:val="none" w:sz="0" w:space="0" w:color="auto"/>
        <w:right w:val="none" w:sz="0" w:space="0" w:color="auto"/>
      </w:divBdr>
    </w:div>
    <w:div w:id="357121767">
      <w:bodyDiv w:val="1"/>
      <w:marLeft w:val="0"/>
      <w:marRight w:val="0"/>
      <w:marTop w:val="0"/>
      <w:marBottom w:val="0"/>
      <w:divBdr>
        <w:top w:val="none" w:sz="0" w:space="0" w:color="auto"/>
        <w:left w:val="none" w:sz="0" w:space="0" w:color="auto"/>
        <w:bottom w:val="none" w:sz="0" w:space="0" w:color="auto"/>
        <w:right w:val="none" w:sz="0" w:space="0" w:color="auto"/>
      </w:divBdr>
    </w:div>
    <w:div w:id="372388601">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6054">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069396">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6879186">
      <w:bodyDiv w:val="1"/>
      <w:marLeft w:val="0"/>
      <w:marRight w:val="0"/>
      <w:marTop w:val="0"/>
      <w:marBottom w:val="0"/>
      <w:divBdr>
        <w:top w:val="none" w:sz="0" w:space="0" w:color="auto"/>
        <w:left w:val="none" w:sz="0" w:space="0" w:color="auto"/>
        <w:bottom w:val="none" w:sz="0" w:space="0" w:color="auto"/>
        <w:right w:val="none" w:sz="0" w:space="0" w:color="auto"/>
      </w:divBdr>
      <w:divsChild>
        <w:div w:id="693189310">
          <w:marLeft w:val="0"/>
          <w:marRight w:val="0"/>
          <w:marTop w:val="0"/>
          <w:marBottom w:val="0"/>
          <w:divBdr>
            <w:top w:val="none" w:sz="0" w:space="0" w:color="auto"/>
            <w:left w:val="none" w:sz="0" w:space="0" w:color="auto"/>
            <w:bottom w:val="none" w:sz="0" w:space="0" w:color="auto"/>
            <w:right w:val="none" w:sz="0" w:space="0" w:color="auto"/>
          </w:divBdr>
          <w:divsChild>
            <w:div w:id="375592956">
              <w:marLeft w:val="0"/>
              <w:marRight w:val="0"/>
              <w:marTop w:val="0"/>
              <w:marBottom w:val="0"/>
              <w:divBdr>
                <w:top w:val="none" w:sz="0" w:space="0" w:color="auto"/>
                <w:left w:val="none" w:sz="0" w:space="0" w:color="auto"/>
                <w:bottom w:val="none" w:sz="0" w:space="0" w:color="auto"/>
                <w:right w:val="none" w:sz="0" w:space="0" w:color="auto"/>
              </w:divBdr>
              <w:divsChild>
                <w:div w:id="58288069">
                  <w:marLeft w:val="0"/>
                  <w:marRight w:val="0"/>
                  <w:marTop w:val="0"/>
                  <w:marBottom w:val="0"/>
                  <w:divBdr>
                    <w:top w:val="none" w:sz="0" w:space="0" w:color="auto"/>
                    <w:left w:val="none" w:sz="0" w:space="0" w:color="auto"/>
                    <w:bottom w:val="none" w:sz="0" w:space="0" w:color="auto"/>
                    <w:right w:val="none" w:sz="0" w:space="0" w:color="auto"/>
                  </w:divBdr>
                  <w:divsChild>
                    <w:div w:id="446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2816543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37333884">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6317522">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58105767">
      <w:bodyDiv w:val="1"/>
      <w:marLeft w:val="0"/>
      <w:marRight w:val="0"/>
      <w:marTop w:val="0"/>
      <w:marBottom w:val="0"/>
      <w:divBdr>
        <w:top w:val="none" w:sz="0" w:space="0" w:color="auto"/>
        <w:left w:val="none" w:sz="0" w:space="0" w:color="auto"/>
        <w:bottom w:val="none" w:sz="0" w:space="0" w:color="auto"/>
        <w:right w:val="none" w:sz="0" w:space="0" w:color="auto"/>
      </w:divBdr>
    </w:div>
    <w:div w:id="464591888">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7401094">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210664">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389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278024">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262262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70">
          <w:marLeft w:val="0"/>
          <w:marRight w:val="0"/>
          <w:marTop w:val="0"/>
          <w:marBottom w:val="0"/>
          <w:divBdr>
            <w:top w:val="none" w:sz="0" w:space="0" w:color="auto"/>
            <w:left w:val="none" w:sz="0" w:space="0" w:color="auto"/>
            <w:bottom w:val="none" w:sz="0" w:space="0" w:color="auto"/>
            <w:right w:val="none" w:sz="0" w:space="0" w:color="auto"/>
          </w:divBdr>
          <w:divsChild>
            <w:div w:id="1250309890">
              <w:marLeft w:val="0"/>
              <w:marRight w:val="0"/>
              <w:marTop w:val="0"/>
              <w:marBottom w:val="0"/>
              <w:divBdr>
                <w:top w:val="none" w:sz="0" w:space="0" w:color="auto"/>
                <w:left w:val="none" w:sz="0" w:space="0" w:color="auto"/>
                <w:bottom w:val="none" w:sz="0" w:space="0" w:color="auto"/>
                <w:right w:val="none" w:sz="0" w:space="0" w:color="auto"/>
              </w:divBdr>
              <w:divsChild>
                <w:div w:id="843515816">
                  <w:marLeft w:val="0"/>
                  <w:marRight w:val="0"/>
                  <w:marTop w:val="0"/>
                  <w:marBottom w:val="0"/>
                  <w:divBdr>
                    <w:top w:val="none" w:sz="0" w:space="0" w:color="auto"/>
                    <w:left w:val="none" w:sz="0" w:space="0" w:color="auto"/>
                    <w:bottom w:val="none" w:sz="0" w:space="0" w:color="auto"/>
                    <w:right w:val="none" w:sz="0" w:space="0" w:color="auto"/>
                  </w:divBdr>
                  <w:divsChild>
                    <w:div w:id="4402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4999144">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76979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99125">
      <w:bodyDiv w:val="1"/>
      <w:marLeft w:val="0"/>
      <w:marRight w:val="0"/>
      <w:marTop w:val="0"/>
      <w:marBottom w:val="0"/>
      <w:divBdr>
        <w:top w:val="none" w:sz="0" w:space="0" w:color="auto"/>
        <w:left w:val="none" w:sz="0" w:space="0" w:color="auto"/>
        <w:bottom w:val="none" w:sz="0" w:space="0" w:color="auto"/>
        <w:right w:val="none" w:sz="0" w:space="0" w:color="auto"/>
      </w:divBdr>
      <w:divsChild>
        <w:div w:id="660427669">
          <w:marLeft w:val="0"/>
          <w:marRight w:val="0"/>
          <w:marTop w:val="0"/>
          <w:marBottom w:val="0"/>
          <w:divBdr>
            <w:top w:val="none" w:sz="0" w:space="0" w:color="auto"/>
            <w:left w:val="none" w:sz="0" w:space="0" w:color="auto"/>
            <w:bottom w:val="none" w:sz="0" w:space="0" w:color="auto"/>
            <w:right w:val="none" w:sz="0" w:space="0" w:color="auto"/>
          </w:divBdr>
          <w:divsChild>
            <w:div w:id="1656108607">
              <w:marLeft w:val="0"/>
              <w:marRight w:val="0"/>
              <w:marTop w:val="0"/>
              <w:marBottom w:val="0"/>
              <w:divBdr>
                <w:top w:val="none" w:sz="0" w:space="0" w:color="auto"/>
                <w:left w:val="none" w:sz="0" w:space="0" w:color="auto"/>
                <w:bottom w:val="none" w:sz="0" w:space="0" w:color="auto"/>
                <w:right w:val="none" w:sz="0" w:space="0" w:color="auto"/>
              </w:divBdr>
              <w:divsChild>
                <w:div w:id="611936683">
                  <w:marLeft w:val="0"/>
                  <w:marRight w:val="0"/>
                  <w:marTop w:val="0"/>
                  <w:marBottom w:val="0"/>
                  <w:divBdr>
                    <w:top w:val="none" w:sz="0" w:space="0" w:color="auto"/>
                    <w:left w:val="none" w:sz="0" w:space="0" w:color="auto"/>
                    <w:bottom w:val="none" w:sz="0" w:space="0" w:color="auto"/>
                    <w:right w:val="none" w:sz="0" w:space="0" w:color="auto"/>
                  </w:divBdr>
                  <w:divsChild>
                    <w:div w:id="9230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599485212">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42073">
      <w:bodyDiv w:val="1"/>
      <w:marLeft w:val="0"/>
      <w:marRight w:val="0"/>
      <w:marTop w:val="0"/>
      <w:marBottom w:val="0"/>
      <w:divBdr>
        <w:top w:val="none" w:sz="0" w:space="0" w:color="auto"/>
        <w:left w:val="none" w:sz="0" w:space="0" w:color="auto"/>
        <w:bottom w:val="none" w:sz="0" w:space="0" w:color="auto"/>
        <w:right w:val="none" w:sz="0" w:space="0" w:color="auto"/>
      </w:divBdr>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4990464">
      <w:bodyDiv w:val="1"/>
      <w:marLeft w:val="0"/>
      <w:marRight w:val="0"/>
      <w:marTop w:val="0"/>
      <w:marBottom w:val="0"/>
      <w:divBdr>
        <w:top w:val="none" w:sz="0" w:space="0" w:color="auto"/>
        <w:left w:val="none" w:sz="0" w:space="0" w:color="auto"/>
        <w:bottom w:val="none" w:sz="0" w:space="0" w:color="auto"/>
        <w:right w:val="none" w:sz="0" w:space="0" w:color="auto"/>
      </w:divBdr>
    </w:div>
    <w:div w:id="705376428">
      <w:bodyDiv w:val="1"/>
      <w:marLeft w:val="0"/>
      <w:marRight w:val="0"/>
      <w:marTop w:val="0"/>
      <w:marBottom w:val="0"/>
      <w:divBdr>
        <w:top w:val="none" w:sz="0" w:space="0" w:color="auto"/>
        <w:left w:val="none" w:sz="0" w:space="0" w:color="auto"/>
        <w:bottom w:val="none" w:sz="0" w:space="0" w:color="auto"/>
        <w:right w:val="none" w:sz="0" w:space="0" w:color="auto"/>
      </w:divBdr>
    </w:div>
    <w:div w:id="706680212">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6827353">
      <w:bodyDiv w:val="1"/>
      <w:marLeft w:val="0"/>
      <w:marRight w:val="0"/>
      <w:marTop w:val="0"/>
      <w:marBottom w:val="0"/>
      <w:divBdr>
        <w:top w:val="none" w:sz="0" w:space="0" w:color="auto"/>
        <w:left w:val="none" w:sz="0" w:space="0" w:color="auto"/>
        <w:bottom w:val="none" w:sz="0" w:space="0" w:color="auto"/>
        <w:right w:val="none" w:sz="0" w:space="0" w:color="auto"/>
      </w:divBdr>
    </w:div>
    <w:div w:id="73787156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7386185">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124751">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799881065">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25361052">
      <w:bodyDiv w:val="1"/>
      <w:marLeft w:val="0"/>
      <w:marRight w:val="0"/>
      <w:marTop w:val="0"/>
      <w:marBottom w:val="0"/>
      <w:divBdr>
        <w:top w:val="none" w:sz="0" w:space="0" w:color="auto"/>
        <w:left w:val="none" w:sz="0" w:space="0" w:color="auto"/>
        <w:bottom w:val="none" w:sz="0" w:space="0" w:color="auto"/>
        <w:right w:val="none" w:sz="0" w:space="0" w:color="auto"/>
      </w:divBdr>
    </w:div>
    <w:div w:id="827207205">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7513">
      <w:bodyDiv w:val="1"/>
      <w:marLeft w:val="0"/>
      <w:marRight w:val="0"/>
      <w:marTop w:val="0"/>
      <w:marBottom w:val="0"/>
      <w:divBdr>
        <w:top w:val="none" w:sz="0" w:space="0" w:color="auto"/>
        <w:left w:val="none" w:sz="0" w:space="0" w:color="auto"/>
        <w:bottom w:val="none" w:sz="0" w:space="0" w:color="auto"/>
        <w:right w:val="none" w:sz="0" w:space="0" w:color="auto"/>
      </w:divBdr>
    </w:div>
    <w:div w:id="845173425">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421530">
      <w:bodyDiv w:val="1"/>
      <w:marLeft w:val="0"/>
      <w:marRight w:val="0"/>
      <w:marTop w:val="0"/>
      <w:marBottom w:val="0"/>
      <w:divBdr>
        <w:top w:val="none" w:sz="0" w:space="0" w:color="auto"/>
        <w:left w:val="none" w:sz="0" w:space="0" w:color="auto"/>
        <w:bottom w:val="none" w:sz="0" w:space="0" w:color="auto"/>
        <w:right w:val="none" w:sz="0" w:space="0" w:color="auto"/>
      </w:divBdr>
    </w:div>
    <w:div w:id="873233902">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5137826">
      <w:bodyDiv w:val="1"/>
      <w:marLeft w:val="0"/>
      <w:marRight w:val="0"/>
      <w:marTop w:val="0"/>
      <w:marBottom w:val="0"/>
      <w:divBdr>
        <w:top w:val="none" w:sz="0" w:space="0" w:color="auto"/>
        <w:left w:val="none" w:sz="0" w:space="0" w:color="auto"/>
        <w:bottom w:val="none" w:sz="0" w:space="0" w:color="auto"/>
        <w:right w:val="none" w:sz="0" w:space="0" w:color="auto"/>
      </w:divBdr>
    </w:div>
    <w:div w:id="886524702">
      <w:bodyDiv w:val="1"/>
      <w:marLeft w:val="0"/>
      <w:marRight w:val="0"/>
      <w:marTop w:val="0"/>
      <w:marBottom w:val="0"/>
      <w:divBdr>
        <w:top w:val="none" w:sz="0" w:space="0" w:color="auto"/>
        <w:left w:val="none" w:sz="0" w:space="0" w:color="auto"/>
        <w:bottom w:val="none" w:sz="0" w:space="0" w:color="auto"/>
        <w:right w:val="none" w:sz="0" w:space="0" w:color="auto"/>
      </w:divBdr>
    </w:div>
    <w:div w:id="893809642">
      <w:bodyDiv w:val="1"/>
      <w:marLeft w:val="0"/>
      <w:marRight w:val="0"/>
      <w:marTop w:val="0"/>
      <w:marBottom w:val="0"/>
      <w:divBdr>
        <w:top w:val="none" w:sz="0" w:space="0" w:color="auto"/>
        <w:left w:val="none" w:sz="0" w:space="0" w:color="auto"/>
        <w:bottom w:val="none" w:sz="0" w:space="0" w:color="auto"/>
        <w:right w:val="none" w:sz="0" w:space="0" w:color="auto"/>
      </w:divBdr>
    </w:div>
    <w:div w:id="906651491">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1778753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125639">
      <w:bodyDiv w:val="1"/>
      <w:marLeft w:val="0"/>
      <w:marRight w:val="0"/>
      <w:marTop w:val="0"/>
      <w:marBottom w:val="0"/>
      <w:divBdr>
        <w:top w:val="none" w:sz="0" w:space="0" w:color="auto"/>
        <w:left w:val="none" w:sz="0" w:space="0" w:color="auto"/>
        <w:bottom w:val="none" w:sz="0" w:space="0" w:color="auto"/>
        <w:right w:val="none" w:sz="0" w:space="0" w:color="auto"/>
      </w:divBdr>
    </w:div>
    <w:div w:id="968898270">
      <w:bodyDiv w:val="1"/>
      <w:marLeft w:val="0"/>
      <w:marRight w:val="0"/>
      <w:marTop w:val="0"/>
      <w:marBottom w:val="0"/>
      <w:divBdr>
        <w:top w:val="none" w:sz="0" w:space="0" w:color="auto"/>
        <w:left w:val="none" w:sz="0" w:space="0" w:color="auto"/>
        <w:bottom w:val="none" w:sz="0" w:space="0" w:color="auto"/>
        <w:right w:val="none" w:sz="0" w:space="0" w:color="auto"/>
      </w:divBdr>
      <w:divsChild>
        <w:div w:id="337080379">
          <w:marLeft w:val="0"/>
          <w:marRight w:val="0"/>
          <w:marTop w:val="0"/>
          <w:marBottom w:val="0"/>
          <w:divBdr>
            <w:top w:val="none" w:sz="0" w:space="0" w:color="auto"/>
            <w:left w:val="none" w:sz="0" w:space="0" w:color="auto"/>
            <w:bottom w:val="none" w:sz="0" w:space="0" w:color="auto"/>
            <w:right w:val="none" w:sz="0" w:space="0" w:color="auto"/>
          </w:divBdr>
          <w:divsChild>
            <w:div w:id="1920215794">
              <w:marLeft w:val="0"/>
              <w:marRight w:val="0"/>
              <w:marTop w:val="0"/>
              <w:marBottom w:val="0"/>
              <w:divBdr>
                <w:top w:val="none" w:sz="0" w:space="0" w:color="auto"/>
                <w:left w:val="none" w:sz="0" w:space="0" w:color="auto"/>
                <w:bottom w:val="none" w:sz="0" w:space="0" w:color="auto"/>
                <w:right w:val="none" w:sz="0" w:space="0" w:color="auto"/>
              </w:divBdr>
              <w:divsChild>
                <w:div w:id="304314403">
                  <w:marLeft w:val="0"/>
                  <w:marRight w:val="0"/>
                  <w:marTop w:val="0"/>
                  <w:marBottom w:val="0"/>
                  <w:divBdr>
                    <w:top w:val="none" w:sz="0" w:space="0" w:color="auto"/>
                    <w:left w:val="none" w:sz="0" w:space="0" w:color="auto"/>
                    <w:bottom w:val="none" w:sz="0" w:space="0" w:color="auto"/>
                    <w:right w:val="none" w:sz="0" w:space="0" w:color="auto"/>
                  </w:divBdr>
                  <w:divsChild>
                    <w:div w:id="66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0644477">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6614463">
      <w:bodyDiv w:val="1"/>
      <w:marLeft w:val="0"/>
      <w:marRight w:val="0"/>
      <w:marTop w:val="0"/>
      <w:marBottom w:val="0"/>
      <w:divBdr>
        <w:top w:val="none" w:sz="0" w:space="0" w:color="auto"/>
        <w:left w:val="none" w:sz="0" w:space="0" w:color="auto"/>
        <w:bottom w:val="none" w:sz="0" w:space="0" w:color="auto"/>
        <w:right w:val="none" w:sz="0" w:space="0" w:color="auto"/>
      </w:divBdr>
      <w:divsChild>
        <w:div w:id="92484123">
          <w:marLeft w:val="0"/>
          <w:marRight w:val="0"/>
          <w:marTop w:val="0"/>
          <w:marBottom w:val="0"/>
          <w:divBdr>
            <w:top w:val="none" w:sz="0" w:space="0" w:color="auto"/>
            <w:left w:val="none" w:sz="0" w:space="0" w:color="auto"/>
            <w:bottom w:val="none" w:sz="0" w:space="0" w:color="auto"/>
            <w:right w:val="none" w:sz="0" w:space="0" w:color="auto"/>
          </w:divBdr>
          <w:divsChild>
            <w:div w:id="1853446794">
              <w:marLeft w:val="0"/>
              <w:marRight w:val="0"/>
              <w:marTop w:val="0"/>
              <w:marBottom w:val="0"/>
              <w:divBdr>
                <w:top w:val="none" w:sz="0" w:space="0" w:color="auto"/>
                <w:left w:val="none" w:sz="0" w:space="0" w:color="auto"/>
                <w:bottom w:val="none" w:sz="0" w:space="0" w:color="auto"/>
                <w:right w:val="none" w:sz="0" w:space="0" w:color="auto"/>
              </w:divBdr>
              <w:divsChild>
                <w:div w:id="1903059431">
                  <w:marLeft w:val="0"/>
                  <w:marRight w:val="0"/>
                  <w:marTop w:val="0"/>
                  <w:marBottom w:val="0"/>
                  <w:divBdr>
                    <w:top w:val="none" w:sz="0" w:space="0" w:color="auto"/>
                    <w:left w:val="none" w:sz="0" w:space="0" w:color="auto"/>
                    <w:bottom w:val="none" w:sz="0" w:space="0" w:color="auto"/>
                    <w:right w:val="none" w:sz="0" w:space="0" w:color="auto"/>
                  </w:divBdr>
                  <w:divsChild>
                    <w:div w:id="1251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3361132">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2557467">
      <w:bodyDiv w:val="1"/>
      <w:marLeft w:val="0"/>
      <w:marRight w:val="0"/>
      <w:marTop w:val="0"/>
      <w:marBottom w:val="0"/>
      <w:divBdr>
        <w:top w:val="none" w:sz="0" w:space="0" w:color="auto"/>
        <w:left w:val="none" w:sz="0" w:space="0" w:color="auto"/>
        <w:bottom w:val="none" w:sz="0" w:space="0" w:color="auto"/>
        <w:right w:val="none" w:sz="0" w:space="0" w:color="auto"/>
      </w:divBdr>
    </w:div>
    <w:div w:id="1063605715">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0520579">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4010394">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20106178">
      <w:bodyDiv w:val="1"/>
      <w:marLeft w:val="0"/>
      <w:marRight w:val="0"/>
      <w:marTop w:val="0"/>
      <w:marBottom w:val="0"/>
      <w:divBdr>
        <w:top w:val="none" w:sz="0" w:space="0" w:color="auto"/>
        <w:left w:val="none" w:sz="0" w:space="0" w:color="auto"/>
        <w:bottom w:val="none" w:sz="0" w:space="0" w:color="auto"/>
        <w:right w:val="none" w:sz="0" w:space="0" w:color="auto"/>
      </w:divBdr>
    </w:div>
    <w:div w:id="1120147497">
      <w:bodyDiv w:val="1"/>
      <w:marLeft w:val="0"/>
      <w:marRight w:val="0"/>
      <w:marTop w:val="0"/>
      <w:marBottom w:val="0"/>
      <w:divBdr>
        <w:top w:val="none" w:sz="0" w:space="0" w:color="auto"/>
        <w:left w:val="none" w:sz="0" w:space="0" w:color="auto"/>
        <w:bottom w:val="none" w:sz="0" w:space="0" w:color="auto"/>
        <w:right w:val="none" w:sz="0" w:space="0" w:color="auto"/>
      </w:divBdr>
    </w:div>
    <w:div w:id="1121613371">
      <w:bodyDiv w:val="1"/>
      <w:marLeft w:val="0"/>
      <w:marRight w:val="0"/>
      <w:marTop w:val="0"/>
      <w:marBottom w:val="0"/>
      <w:divBdr>
        <w:top w:val="none" w:sz="0" w:space="0" w:color="auto"/>
        <w:left w:val="none" w:sz="0" w:space="0" w:color="auto"/>
        <w:bottom w:val="none" w:sz="0" w:space="0" w:color="auto"/>
        <w:right w:val="none" w:sz="0" w:space="0" w:color="auto"/>
      </w:divBdr>
    </w:div>
    <w:div w:id="1125542542">
      <w:bodyDiv w:val="1"/>
      <w:marLeft w:val="0"/>
      <w:marRight w:val="0"/>
      <w:marTop w:val="0"/>
      <w:marBottom w:val="0"/>
      <w:divBdr>
        <w:top w:val="none" w:sz="0" w:space="0" w:color="auto"/>
        <w:left w:val="none" w:sz="0" w:space="0" w:color="auto"/>
        <w:bottom w:val="none" w:sz="0" w:space="0" w:color="auto"/>
        <w:right w:val="none" w:sz="0" w:space="0" w:color="auto"/>
      </w:divBdr>
    </w:div>
    <w:div w:id="1126967237">
      <w:bodyDiv w:val="1"/>
      <w:marLeft w:val="0"/>
      <w:marRight w:val="0"/>
      <w:marTop w:val="0"/>
      <w:marBottom w:val="0"/>
      <w:divBdr>
        <w:top w:val="none" w:sz="0" w:space="0" w:color="auto"/>
        <w:left w:val="none" w:sz="0" w:space="0" w:color="auto"/>
        <w:bottom w:val="none" w:sz="0" w:space="0" w:color="auto"/>
        <w:right w:val="none" w:sz="0" w:space="0" w:color="auto"/>
      </w:divBdr>
      <w:divsChild>
        <w:div w:id="1799493842">
          <w:marLeft w:val="0"/>
          <w:marRight w:val="0"/>
          <w:marTop w:val="0"/>
          <w:marBottom w:val="0"/>
          <w:divBdr>
            <w:top w:val="none" w:sz="0" w:space="0" w:color="auto"/>
            <w:left w:val="none" w:sz="0" w:space="0" w:color="auto"/>
            <w:bottom w:val="none" w:sz="0" w:space="0" w:color="auto"/>
            <w:right w:val="none" w:sz="0" w:space="0" w:color="auto"/>
          </w:divBdr>
          <w:divsChild>
            <w:div w:id="337079680">
              <w:marLeft w:val="0"/>
              <w:marRight w:val="0"/>
              <w:marTop w:val="0"/>
              <w:marBottom w:val="0"/>
              <w:divBdr>
                <w:top w:val="none" w:sz="0" w:space="0" w:color="auto"/>
                <w:left w:val="none" w:sz="0" w:space="0" w:color="auto"/>
                <w:bottom w:val="none" w:sz="0" w:space="0" w:color="auto"/>
                <w:right w:val="none" w:sz="0" w:space="0" w:color="auto"/>
              </w:divBdr>
              <w:divsChild>
                <w:div w:id="794296561">
                  <w:marLeft w:val="0"/>
                  <w:marRight w:val="0"/>
                  <w:marTop w:val="0"/>
                  <w:marBottom w:val="0"/>
                  <w:divBdr>
                    <w:top w:val="none" w:sz="0" w:space="0" w:color="auto"/>
                    <w:left w:val="none" w:sz="0" w:space="0" w:color="auto"/>
                    <w:bottom w:val="none" w:sz="0" w:space="0" w:color="auto"/>
                    <w:right w:val="none" w:sz="0" w:space="0" w:color="auto"/>
                  </w:divBdr>
                  <w:divsChild>
                    <w:div w:id="12515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44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4007809">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3356932">
      <w:bodyDiv w:val="1"/>
      <w:marLeft w:val="0"/>
      <w:marRight w:val="0"/>
      <w:marTop w:val="0"/>
      <w:marBottom w:val="0"/>
      <w:divBdr>
        <w:top w:val="none" w:sz="0" w:space="0" w:color="auto"/>
        <w:left w:val="none" w:sz="0" w:space="0" w:color="auto"/>
        <w:bottom w:val="none" w:sz="0" w:space="0" w:color="auto"/>
        <w:right w:val="none" w:sz="0" w:space="0" w:color="auto"/>
      </w:divBdr>
    </w:div>
    <w:div w:id="11634729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67">
          <w:marLeft w:val="0"/>
          <w:marRight w:val="0"/>
          <w:marTop w:val="0"/>
          <w:marBottom w:val="0"/>
          <w:divBdr>
            <w:top w:val="none" w:sz="0" w:space="0" w:color="auto"/>
            <w:left w:val="none" w:sz="0" w:space="0" w:color="auto"/>
            <w:bottom w:val="none" w:sz="0" w:space="0" w:color="auto"/>
            <w:right w:val="none" w:sz="0" w:space="0" w:color="auto"/>
          </w:divBdr>
          <w:divsChild>
            <w:div w:id="378865178">
              <w:marLeft w:val="0"/>
              <w:marRight w:val="0"/>
              <w:marTop w:val="0"/>
              <w:marBottom w:val="0"/>
              <w:divBdr>
                <w:top w:val="none" w:sz="0" w:space="0" w:color="auto"/>
                <w:left w:val="none" w:sz="0" w:space="0" w:color="auto"/>
                <w:bottom w:val="none" w:sz="0" w:space="0" w:color="auto"/>
                <w:right w:val="none" w:sz="0" w:space="0" w:color="auto"/>
              </w:divBdr>
              <w:divsChild>
                <w:div w:id="30300640">
                  <w:marLeft w:val="0"/>
                  <w:marRight w:val="0"/>
                  <w:marTop w:val="0"/>
                  <w:marBottom w:val="0"/>
                  <w:divBdr>
                    <w:top w:val="none" w:sz="0" w:space="0" w:color="auto"/>
                    <w:left w:val="none" w:sz="0" w:space="0" w:color="auto"/>
                    <w:bottom w:val="none" w:sz="0" w:space="0" w:color="auto"/>
                    <w:right w:val="none" w:sz="0" w:space="0" w:color="auto"/>
                  </w:divBdr>
                  <w:divsChild>
                    <w:div w:id="1202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7315">
      <w:bodyDiv w:val="1"/>
      <w:marLeft w:val="0"/>
      <w:marRight w:val="0"/>
      <w:marTop w:val="0"/>
      <w:marBottom w:val="0"/>
      <w:divBdr>
        <w:top w:val="none" w:sz="0" w:space="0" w:color="auto"/>
        <w:left w:val="none" w:sz="0" w:space="0" w:color="auto"/>
        <w:bottom w:val="none" w:sz="0" w:space="0" w:color="auto"/>
        <w:right w:val="none" w:sz="0" w:space="0" w:color="auto"/>
      </w:divBdr>
    </w:div>
    <w:div w:id="116759817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6040320">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199200413">
      <w:bodyDiv w:val="1"/>
      <w:marLeft w:val="0"/>
      <w:marRight w:val="0"/>
      <w:marTop w:val="0"/>
      <w:marBottom w:val="0"/>
      <w:divBdr>
        <w:top w:val="none" w:sz="0" w:space="0" w:color="auto"/>
        <w:left w:val="none" w:sz="0" w:space="0" w:color="auto"/>
        <w:bottom w:val="none" w:sz="0" w:space="0" w:color="auto"/>
        <w:right w:val="none" w:sz="0" w:space="0" w:color="auto"/>
      </w:divBdr>
    </w:div>
    <w:div w:id="1206799393">
      <w:bodyDiv w:val="1"/>
      <w:marLeft w:val="0"/>
      <w:marRight w:val="0"/>
      <w:marTop w:val="0"/>
      <w:marBottom w:val="0"/>
      <w:divBdr>
        <w:top w:val="none" w:sz="0" w:space="0" w:color="auto"/>
        <w:left w:val="none" w:sz="0" w:space="0" w:color="auto"/>
        <w:bottom w:val="none" w:sz="0" w:space="0" w:color="auto"/>
        <w:right w:val="none" w:sz="0" w:space="0" w:color="auto"/>
      </w:divBdr>
      <w:divsChild>
        <w:div w:id="1401171663">
          <w:marLeft w:val="0"/>
          <w:marRight w:val="0"/>
          <w:marTop w:val="0"/>
          <w:marBottom w:val="0"/>
          <w:divBdr>
            <w:top w:val="none" w:sz="0" w:space="0" w:color="auto"/>
            <w:left w:val="none" w:sz="0" w:space="0" w:color="auto"/>
            <w:bottom w:val="none" w:sz="0" w:space="0" w:color="auto"/>
            <w:right w:val="none" w:sz="0" w:space="0" w:color="auto"/>
          </w:divBdr>
          <w:divsChild>
            <w:div w:id="2008434932">
              <w:marLeft w:val="0"/>
              <w:marRight w:val="0"/>
              <w:marTop w:val="0"/>
              <w:marBottom w:val="0"/>
              <w:divBdr>
                <w:top w:val="none" w:sz="0" w:space="0" w:color="auto"/>
                <w:left w:val="none" w:sz="0" w:space="0" w:color="auto"/>
                <w:bottom w:val="none" w:sz="0" w:space="0" w:color="auto"/>
                <w:right w:val="none" w:sz="0" w:space="0" w:color="auto"/>
              </w:divBdr>
              <w:divsChild>
                <w:div w:id="220213628">
                  <w:marLeft w:val="0"/>
                  <w:marRight w:val="0"/>
                  <w:marTop w:val="0"/>
                  <w:marBottom w:val="0"/>
                  <w:divBdr>
                    <w:top w:val="none" w:sz="0" w:space="0" w:color="auto"/>
                    <w:left w:val="none" w:sz="0" w:space="0" w:color="auto"/>
                    <w:bottom w:val="none" w:sz="0" w:space="0" w:color="auto"/>
                    <w:right w:val="none" w:sz="0" w:space="0" w:color="auto"/>
                  </w:divBdr>
                  <w:divsChild>
                    <w:div w:id="17426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2428">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1767123">
      <w:bodyDiv w:val="1"/>
      <w:marLeft w:val="0"/>
      <w:marRight w:val="0"/>
      <w:marTop w:val="0"/>
      <w:marBottom w:val="0"/>
      <w:divBdr>
        <w:top w:val="none" w:sz="0" w:space="0" w:color="auto"/>
        <w:left w:val="none" w:sz="0" w:space="0" w:color="auto"/>
        <w:bottom w:val="none" w:sz="0" w:space="0" w:color="auto"/>
        <w:right w:val="none" w:sz="0" w:space="0" w:color="auto"/>
      </w:divBdr>
    </w:div>
    <w:div w:id="1235816180">
      <w:bodyDiv w:val="1"/>
      <w:marLeft w:val="0"/>
      <w:marRight w:val="0"/>
      <w:marTop w:val="0"/>
      <w:marBottom w:val="0"/>
      <w:divBdr>
        <w:top w:val="none" w:sz="0" w:space="0" w:color="auto"/>
        <w:left w:val="none" w:sz="0" w:space="0" w:color="auto"/>
        <w:bottom w:val="none" w:sz="0" w:space="0" w:color="auto"/>
        <w:right w:val="none" w:sz="0" w:space="0" w:color="auto"/>
      </w:divBdr>
    </w:div>
    <w:div w:id="1241208689">
      <w:bodyDiv w:val="1"/>
      <w:marLeft w:val="0"/>
      <w:marRight w:val="0"/>
      <w:marTop w:val="0"/>
      <w:marBottom w:val="0"/>
      <w:divBdr>
        <w:top w:val="none" w:sz="0" w:space="0" w:color="auto"/>
        <w:left w:val="none" w:sz="0" w:space="0" w:color="auto"/>
        <w:bottom w:val="none" w:sz="0" w:space="0" w:color="auto"/>
        <w:right w:val="none" w:sz="0" w:space="0" w:color="auto"/>
      </w:divBdr>
    </w:div>
    <w:div w:id="1266696291">
      <w:bodyDiv w:val="1"/>
      <w:marLeft w:val="0"/>
      <w:marRight w:val="0"/>
      <w:marTop w:val="0"/>
      <w:marBottom w:val="0"/>
      <w:divBdr>
        <w:top w:val="none" w:sz="0" w:space="0" w:color="auto"/>
        <w:left w:val="none" w:sz="0" w:space="0" w:color="auto"/>
        <w:bottom w:val="none" w:sz="0" w:space="0" w:color="auto"/>
        <w:right w:val="none" w:sz="0" w:space="0" w:color="auto"/>
      </w:divBdr>
    </w:div>
    <w:div w:id="1275404329">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8127692">
      <w:bodyDiv w:val="1"/>
      <w:marLeft w:val="0"/>
      <w:marRight w:val="0"/>
      <w:marTop w:val="0"/>
      <w:marBottom w:val="0"/>
      <w:divBdr>
        <w:top w:val="none" w:sz="0" w:space="0" w:color="auto"/>
        <w:left w:val="none" w:sz="0" w:space="0" w:color="auto"/>
        <w:bottom w:val="none" w:sz="0" w:space="0" w:color="auto"/>
        <w:right w:val="none" w:sz="0" w:space="0" w:color="auto"/>
      </w:divBdr>
    </w:div>
    <w:div w:id="1289319761">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1590257">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0839788">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425649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6882401">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3415469">
      <w:bodyDiv w:val="1"/>
      <w:marLeft w:val="0"/>
      <w:marRight w:val="0"/>
      <w:marTop w:val="0"/>
      <w:marBottom w:val="0"/>
      <w:divBdr>
        <w:top w:val="none" w:sz="0" w:space="0" w:color="auto"/>
        <w:left w:val="none" w:sz="0" w:space="0" w:color="auto"/>
        <w:bottom w:val="none" w:sz="0" w:space="0" w:color="auto"/>
        <w:right w:val="none" w:sz="0" w:space="0" w:color="auto"/>
      </w:divBdr>
    </w:div>
    <w:div w:id="135518383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379">
      <w:bodyDiv w:val="1"/>
      <w:marLeft w:val="0"/>
      <w:marRight w:val="0"/>
      <w:marTop w:val="0"/>
      <w:marBottom w:val="0"/>
      <w:divBdr>
        <w:top w:val="none" w:sz="0" w:space="0" w:color="auto"/>
        <w:left w:val="none" w:sz="0" w:space="0" w:color="auto"/>
        <w:bottom w:val="none" w:sz="0" w:space="0" w:color="auto"/>
        <w:right w:val="none" w:sz="0" w:space="0" w:color="auto"/>
      </w:divBdr>
    </w:div>
    <w:div w:id="1373119408">
      <w:bodyDiv w:val="1"/>
      <w:marLeft w:val="0"/>
      <w:marRight w:val="0"/>
      <w:marTop w:val="0"/>
      <w:marBottom w:val="0"/>
      <w:divBdr>
        <w:top w:val="none" w:sz="0" w:space="0" w:color="auto"/>
        <w:left w:val="none" w:sz="0" w:space="0" w:color="auto"/>
        <w:bottom w:val="none" w:sz="0" w:space="0" w:color="auto"/>
        <w:right w:val="none" w:sz="0" w:space="0" w:color="auto"/>
      </w:divBdr>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8528395">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947305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2606332">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209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027748">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687234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0074920">
      <w:bodyDiv w:val="1"/>
      <w:marLeft w:val="0"/>
      <w:marRight w:val="0"/>
      <w:marTop w:val="0"/>
      <w:marBottom w:val="0"/>
      <w:divBdr>
        <w:top w:val="none" w:sz="0" w:space="0" w:color="auto"/>
        <w:left w:val="none" w:sz="0" w:space="0" w:color="auto"/>
        <w:bottom w:val="none" w:sz="0" w:space="0" w:color="auto"/>
        <w:right w:val="none" w:sz="0" w:space="0" w:color="auto"/>
      </w:divBdr>
      <w:divsChild>
        <w:div w:id="657613826">
          <w:marLeft w:val="0"/>
          <w:marRight w:val="0"/>
          <w:marTop w:val="0"/>
          <w:marBottom w:val="0"/>
          <w:divBdr>
            <w:top w:val="none" w:sz="0" w:space="0" w:color="auto"/>
            <w:left w:val="none" w:sz="0" w:space="0" w:color="auto"/>
            <w:bottom w:val="none" w:sz="0" w:space="0" w:color="auto"/>
            <w:right w:val="none" w:sz="0" w:space="0" w:color="auto"/>
          </w:divBdr>
          <w:divsChild>
            <w:div w:id="473302484">
              <w:marLeft w:val="0"/>
              <w:marRight w:val="0"/>
              <w:marTop w:val="0"/>
              <w:marBottom w:val="0"/>
              <w:divBdr>
                <w:top w:val="none" w:sz="0" w:space="0" w:color="auto"/>
                <w:left w:val="none" w:sz="0" w:space="0" w:color="auto"/>
                <w:bottom w:val="none" w:sz="0" w:space="0" w:color="auto"/>
                <w:right w:val="none" w:sz="0" w:space="0" w:color="auto"/>
              </w:divBdr>
              <w:divsChild>
                <w:div w:id="1723283904">
                  <w:marLeft w:val="0"/>
                  <w:marRight w:val="0"/>
                  <w:marTop w:val="0"/>
                  <w:marBottom w:val="0"/>
                  <w:divBdr>
                    <w:top w:val="none" w:sz="0" w:space="0" w:color="auto"/>
                    <w:left w:val="none" w:sz="0" w:space="0" w:color="auto"/>
                    <w:bottom w:val="none" w:sz="0" w:space="0" w:color="auto"/>
                    <w:right w:val="none" w:sz="0" w:space="0" w:color="auto"/>
                  </w:divBdr>
                  <w:divsChild>
                    <w:div w:id="20965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8445935">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6217">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424550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589330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3172">
      <w:bodyDiv w:val="1"/>
      <w:marLeft w:val="0"/>
      <w:marRight w:val="0"/>
      <w:marTop w:val="0"/>
      <w:marBottom w:val="0"/>
      <w:divBdr>
        <w:top w:val="none" w:sz="0" w:space="0" w:color="auto"/>
        <w:left w:val="none" w:sz="0" w:space="0" w:color="auto"/>
        <w:bottom w:val="none" w:sz="0" w:space="0" w:color="auto"/>
        <w:right w:val="none" w:sz="0" w:space="0" w:color="auto"/>
      </w:divBdr>
      <w:divsChild>
        <w:div w:id="1911766513">
          <w:marLeft w:val="0"/>
          <w:marRight w:val="0"/>
          <w:marTop w:val="0"/>
          <w:marBottom w:val="0"/>
          <w:divBdr>
            <w:top w:val="none" w:sz="0" w:space="0" w:color="auto"/>
            <w:left w:val="none" w:sz="0" w:space="0" w:color="auto"/>
            <w:bottom w:val="none" w:sz="0" w:space="0" w:color="auto"/>
            <w:right w:val="none" w:sz="0" w:space="0" w:color="auto"/>
          </w:divBdr>
          <w:divsChild>
            <w:div w:id="574440866">
              <w:marLeft w:val="0"/>
              <w:marRight w:val="0"/>
              <w:marTop w:val="0"/>
              <w:marBottom w:val="0"/>
              <w:divBdr>
                <w:top w:val="none" w:sz="0" w:space="0" w:color="auto"/>
                <w:left w:val="none" w:sz="0" w:space="0" w:color="auto"/>
                <w:bottom w:val="none" w:sz="0" w:space="0" w:color="auto"/>
                <w:right w:val="none" w:sz="0" w:space="0" w:color="auto"/>
              </w:divBdr>
              <w:divsChild>
                <w:div w:id="1554779278">
                  <w:marLeft w:val="0"/>
                  <w:marRight w:val="0"/>
                  <w:marTop w:val="0"/>
                  <w:marBottom w:val="0"/>
                  <w:divBdr>
                    <w:top w:val="none" w:sz="0" w:space="0" w:color="auto"/>
                    <w:left w:val="none" w:sz="0" w:space="0" w:color="auto"/>
                    <w:bottom w:val="none" w:sz="0" w:space="0" w:color="auto"/>
                    <w:right w:val="none" w:sz="0" w:space="0" w:color="auto"/>
                  </w:divBdr>
                  <w:divsChild>
                    <w:div w:id="930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04994571">
      <w:bodyDiv w:val="1"/>
      <w:marLeft w:val="0"/>
      <w:marRight w:val="0"/>
      <w:marTop w:val="0"/>
      <w:marBottom w:val="0"/>
      <w:divBdr>
        <w:top w:val="none" w:sz="0" w:space="0" w:color="auto"/>
        <w:left w:val="none" w:sz="0" w:space="0" w:color="auto"/>
        <w:bottom w:val="none" w:sz="0" w:space="0" w:color="auto"/>
        <w:right w:val="none" w:sz="0" w:space="0" w:color="auto"/>
      </w:divBdr>
      <w:divsChild>
        <w:div w:id="1680890505">
          <w:marLeft w:val="0"/>
          <w:marRight w:val="0"/>
          <w:marTop w:val="0"/>
          <w:marBottom w:val="0"/>
          <w:divBdr>
            <w:top w:val="none" w:sz="0" w:space="0" w:color="auto"/>
            <w:left w:val="none" w:sz="0" w:space="0" w:color="auto"/>
            <w:bottom w:val="none" w:sz="0" w:space="0" w:color="auto"/>
            <w:right w:val="none" w:sz="0" w:space="0" w:color="auto"/>
          </w:divBdr>
        </w:div>
        <w:div w:id="1611820662">
          <w:marLeft w:val="0"/>
          <w:marRight w:val="0"/>
          <w:marTop w:val="0"/>
          <w:marBottom w:val="0"/>
          <w:divBdr>
            <w:top w:val="none" w:sz="0" w:space="0" w:color="auto"/>
            <w:left w:val="none" w:sz="0" w:space="0" w:color="auto"/>
            <w:bottom w:val="none" w:sz="0" w:space="0" w:color="auto"/>
            <w:right w:val="none" w:sz="0" w:space="0" w:color="auto"/>
          </w:divBdr>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2436435">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211194">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432717">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673763">
      <w:bodyDiv w:val="1"/>
      <w:marLeft w:val="0"/>
      <w:marRight w:val="0"/>
      <w:marTop w:val="0"/>
      <w:marBottom w:val="0"/>
      <w:divBdr>
        <w:top w:val="none" w:sz="0" w:space="0" w:color="auto"/>
        <w:left w:val="none" w:sz="0" w:space="0" w:color="auto"/>
        <w:bottom w:val="none" w:sz="0" w:space="0" w:color="auto"/>
        <w:right w:val="none" w:sz="0" w:space="0" w:color="auto"/>
      </w:divBdr>
      <w:divsChild>
        <w:div w:id="926842691">
          <w:marLeft w:val="0"/>
          <w:marRight w:val="0"/>
          <w:marTop w:val="0"/>
          <w:marBottom w:val="0"/>
          <w:divBdr>
            <w:top w:val="none" w:sz="0" w:space="0" w:color="auto"/>
            <w:left w:val="none" w:sz="0" w:space="0" w:color="auto"/>
            <w:bottom w:val="none" w:sz="0" w:space="0" w:color="auto"/>
            <w:right w:val="none" w:sz="0" w:space="0" w:color="auto"/>
          </w:divBdr>
          <w:divsChild>
            <w:div w:id="767892457">
              <w:marLeft w:val="0"/>
              <w:marRight w:val="0"/>
              <w:marTop w:val="0"/>
              <w:marBottom w:val="0"/>
              <w:divBdr>
                <w:top w:val="none" w:sz="0" w:space="0" w:color="auto"/>
                <w:left w:val="none" w:sz="0" w:space="0" w:color="auto"/>
                <w:bottom w:val="none" w:sz="0" w:space="0" w:color="auto"/>
                <w:right w:val="none" w:sz="0" w:space="0" w:color="auto"/>
              </w:divBdr>
              <w:divsChild>
                <w:div w:id="97800122">
                  <w:marLeft w:val="0"/>
                  <w:marRight w:val="0"/>
                  <w:marTop w:val="0"/>
                  <w:marBottom w:val="0"/>
                  <w:divBdr>
                    <w:top w:val="none" w:sz="0" w:space="0" w:color="auto"/>
                    <w:left w:val="none" w:sz="0" w:space="0" w:color="auto"/>
                    <w:bottom w:val="none" w:sz="0" w:space="0" w:color="auto"/>
                    <w:right w:val="none" w:sz="0" w:space="0" w:color="auto"/>
                  </w:divBdr>
                  <w:divsChild>
                    <w:div w:id="411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829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541">
      <w:bodyDiv w:val="1"/>
      <w:marLeft w:val="0"/>
      <w:marRight w:val="0"/>
      <w:marTop w:val="0"/>
      <w:marBottom w:val="0"/>
      <w:divBdr>
        <w:top w:val="none" w:sz="0" w:space="0" w:color="auto"/>
        <w:left w:val="none" w:sz="0" w:space="0" w:color="auto"/>
        <w:bottom w:val="none" w:sz="0" w:space="0" w:color="auto"/>
        <w:right w:val="none" w:sz="0" w:space="0" w:color="auto"/>
      </w:divBdr>
    </w:div>
    <w:div w:id="171141533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946454">
      <w:bodyDiv w:val="1"/>
      <w:marLeft w:val="0"/>
      <w:marRight w:val="0"/>
      <w:marTop w:val="0"/>
      <w:marBottom w:val="0"/>
      <w:divBdr>
        <w:top w:val="none" w:sz="0" w:space="0" w:color="auto"/>
        <w:left w:val="none" w:sz="0" w:space="0" w:color="auto"/>
        <w:bottom w:val="none" w:sz="0" w:space="0" w:color="auto"/>
        <w:right w:val="none" w:sz="0" w:space="0" w:color="auto"/>
      </w:divBdr>
    </w:div>
    <w:div w:id="172906673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3041663">
      <w:bodyDiv w:val="1"/>
      <w:marLeft w:val="0"/>
      <w:marRight w:val="0"/>
      <w:marTop w:val="0"/>
      <w:marBottom w:val="0"/>
      <w:divBdr>
        <w:top w:val="none" w:sz="0" w:space="0" w:color="auto"/>
        <w:left w:val="none" w:sz="0" w:space="0" w:color="auto"/>
        <w:bottom w:val="none" w:sz="0" w:space="0" w:color="auto"/>
        <w:right w:val="none" w:sz="0" w:space="0" w:color="auto"/>
      </w:divBdr>
    </w:div>
    <w:div w:id="1737777637">
      <w:bodyDiv w:val="1"/>
      <w:marLeft w:val="0"/>
      <w:marRight w:val="0"/>
      <w:marTop w:val="0"/>
      <w:marBottom w:val="0"/>
      <w:divBdr>
        <w:top w:val="none" w:sz="0" w:space="0" w:color="auto"/>
        <w:left w:val="none" w:sz="0" w:space="0" w:color="auto"/>
        <w:bottom w:val="none" w:sz="0" w:space="0" w:color="auto"/>
        <w:right w:val="none" w:sz="0" w:space="0" w:color="auto"/>
      </w:divBdr>
    </w:div>
    <w:div w:id="173797551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7976">
      <w:bodyDiv w:val="1"/>
      <w:marLeft w:val="0"/>
      <w:marRight w:val="0"/>
      <w:marTop w:val="0"/>
      <w:marBottom w:val="0"/>
      <w:divBdr>
        <w:top w:val="none" w:sz="0" w:space="0" w:color="auto"/>
        <w:left w:val="none" w:sz="0" w:space="0" w:color="auto"/>
        <w:bottom w:val="none" w:sz="0" w:space="0" w:color="auto"/>
        <w:right w:val="none" w:sz="0" w:space="0" w:color="auto"/>
      </w:divBdr>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592745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173243">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1839">
      <w:bodyDiv w:val="1"/>
      <w:marLeft w:val="0"/>
      <w:marRight w:val="0"/>
      <w:marTop w:val="0"/>
      <w:marBottom w:val="0"/>
      <w:divBdr>
        <w:top w:val="none" w:sz="0" w:space="0" w:color="auto"/>
        <w:left w:val="none" w:sz="0" w:space="0" w:color="auto"/>
        <w:bottom w:val="none" w:sz="0" w:space="0" w:color="auto"/>
        <w:right w:val="none" w:sz="0" w:space="0" w:color="auto"/>
      </w:divBdr>
    </w:div>
    <w:div w:id="1839998538">
      <w:bodyDiv w:val="1"/>
      <w:marLeft w:val="0"/>
      <w:marRight w:val="0"/>
      <w:marTop w:val="0"/>
      <w:marBottom w:val="0"/>
      <w:divBdr>
        <w:top w:val="none" w:sz="0" w:space="0" w:color="auto"/>
        <w:left w:val="none" w:sz="0" w:space="0" w:color="auto"/>
        <w:bottom w:val="none" w:sz="0" w:space="0" w:color="auto"/>
        <w:right w:val="none" w:sz="0" w:space="0" w:color="auto"/>
      </w:divBdr>
    </w:div>
    <w:div w:id="1840656689">
      <w:bodyDiv w:val="1"/>
      <w:marLeft w:val="0"/>
      <w:marRight w:val="0"/>
      <w:marTop w:val="0"/>
      <w:marBottom w:val="0"/>
      <w:divBdr>
        <w:top w:val="none" w:sz="0" w:space="0" w:color="auto"/>
        <w:left w:val="none" w:sz="0" w:space="0" w:color="auto"/>
        <w:bottom w:val="none" w:sz="0" w:space="0" w:color="auto"/>
        <w:right w:val="none" w:sz="0" w:space="0" w:color="auto"/>
      </w:divBdr>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1919580">
      <w:bodyDiv w:val="1"/>
      <w:marLeft w:val="0"/>
      <w:marRight w:val="0"/>
      <w:marTop w:val="0"/>
      <w:marBottom w:val="0"/>
      <w:divBdr>
        <w:top w:val="none" w:sz="0" w:space="0" w:color="auto"/>
        <w:left w:val="none" w:sz="0" w:space="0" w:color="auto"/>
        <w:bottom w:val="none" w:sz="0" w:space="0" w:color="auto"/>
        <w:right w:val="none" w:sz="0" w:space="0" w:color="auto"/>
      </w:divBdr>
    </w:div>
    <w:div w:id="1842699079">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4569514">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4974769">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602168">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1604190">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5533217">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317743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0966244">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283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8611946">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3713425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7154">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828031">
      <w:bodyDiv w:val="1"/>
      <w:marLeft w:val="0"/>
      <w:marRight w:val="0"/>
      <w:marTop w:val="0"/>
      <w:marBottom w:val="0"/>
      <w:divBdr>
        <w:top w:val="none" w:sz="0" w:space="0" w:color="auto"/>
        <w:left w:val="none" w:sz="0" w:space="0" w:color="auto"/>
        <w:bottom w:val="none" w:sz="0" w:space="0" w:color="auto"/>
        <w:right w:val="none" w:sz="0" w:space="0" w:color="auto"/>
      </w:divBdr>
    </w:div>
    <w:div w:id="1963656370">
      <w:bodyDiv w:val="1"/>
      <w:marLeft w:val="0"/>
      <w:marRight w:val="0"/>
      <w:marTop w:val="0"/>
      <w:marBottom w:val="0"/>
      <w:divBdr>
        <w:top w:val="none" w:sz="0" w:space="0" w:color="auto"/>
        <w:left w:val="none" w:sz="0" w:space="0" w:color="auto"/>
        <w:bottom w:val="none" w:sz="0" w:space="0" w:color="auto"/>
        <w:right w:val="none" w:sz="0" w:space="0" w:color="auto"/>
      </w:divBdr>
    </w:div>
    <w:div w:id="1971668427">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970972">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601768">
      <w:bodyDiv w:val="1"/>
      <w:marLeft w:val="0"/>
      <w:marRight w:val="0"/>
      <w:marTop w:val="0"/>
      <w:marBottom w:val="0"/>
      <w:divBdr>
        <w:top w:val="none" w:sz="0" w:space="0" w:color="auto"/>
        <w:left w:val="none" w:sz="0" w:space="0" w:color="auto"/>
        <w:bottom w:val="none" w:sz="0" w:space="0" w:color="auto"/>
        <w:right w:val="none" w:sz="0" w:space="0" w:color="auto"/>
      </w:divBdr>
      <w:divsChild>
        <w:div w:id="1802840313">
          <w:marLeft w:val="0"/>
          <w:marRight w:val="0"/>
          <w:marTop w:val="0"/>
          <w:marBottom w:val="0"/>
          <w:divBdr>
            <w:top w:val="none" w:sz="0" w:space="0" w:color="auto"/>
            <w:left w:val="none" w:sz="0" w:space="0" w:color="auto"/>
            <w:bottom w:val="none" w:sz="0" w:space="0" w:color="auto"/>
            <w:right w:val="none" w:sz="0" w:space="0" w:color="auto"/>
          </w:divBdr>
          <w:divsChild>
            <w:div w:id="809177058">
              <w:marLeft w:val="0"/>
              <w:marRight w:val="0"/>
              <w:marTop w:val="0"/>
              <w:marBottom w:val="0"/>
              <w:divBdr>
                <w:top w:val="none" w:sz="0" w:space="0" w:color="auto"/>
                <w:left w:val="none" w:sz="0" w:space="0" w:color="auto"/>
                <w:bottom w:val="none" w:sz="0" w:space="0" w:color="auto"/>
                <w:right w:val="none" w:sz="0" w:space="0" w:color="auto"/>
              </w:divBdr>
              <w:divsChild>
                <w:div w:id="1647661830">
                  <w:marLeft w:val="0"/>
                  <w:marRight w:val="0"/>
                  <w:marTop w:val="0"/>
                  <w:marBottom w:val="0"/>
                  <w:divBdr>
                    <w:top w:val="none" w:sz="0" w:space="0" w:color="auto"/>
                    <w:left w:val="none" w:sz="0" w:space="0" w:color="auto"/>
                    <w:bottom w:val="none" w:sz="0" w:space="0" w:color="auto"/>
                    <w:right w:val="none" w:sz="0" w:space="0" w:color="auto"/>
                  </w:divBdr>
                  <w:divsChild>
                    <w:div w:id="17361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02">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69717838">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101">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7919846">
      <w:bodyDiv w:val="1"/>
      <w:marLeft w:val="0"/>
      <w:marRight w:val="0"/>
      <w:marTop w:val="0"/>
      <w:marBottom w:val="0"/>
      <w:divBdr>
        <w:top w:val="none" w:sz="0" w:space="0" w:color="auto"/>
        <w:left w:val="none" w:sz="0" w:space="0" w:color="auto"/>
        <w:bottom w:val="none" w:sz="0" w:space="0" w:color="auto"/>
        <w:right w:val="none" w:sz="0" w:space="0" w:color="auto"/>
      </w:divBdr>
    </w:div>
    <w:div w:id="2118017437">
      <w:bodyDiv w:val="1"/>
      <w:marLeft w:val="0"/>
      <w:marRight w:val="0"/>
      <w:marTop w:val="0"/>
      <w:marBottom w:val="0"/>
      <w:divBdr>
        <w:top w:val="none" w:sz="0" w:space="0" w:color="auto"/>
        <w:left w:val="none" w:sz="0" w:space="0" w:color="auto"/>
        <w:bottom w:val="none" w:sz="0" w:space="0" w:color="auto"/>
        <w:right w:val="none" w:sz="0" w:space="0" w:color="auto"/>
      </w:divBdr>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7060BFC1-39D0-44B9-8626-9EFD5176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34</Pages>
  <Words>12577</Words>
  <Characters>69174</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2022-07-25T21:50:00Z</dcterms:created>
  <dcterms:modified xsi:type="dcterms:W3CDTF">2022-07-25T21:50:00Z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