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26BB0" w14:textId="77777777" w:rsidR="009F0A44" w:rsidRPr="00C00312" w:rsidRDefault="003C7067" w:rsidP="009F0A44">
      <w:pPr>
        <w:jc w:val="right"/>
        <w:rPr>
          <w:rFonts w:ascii="Arial" w:hAnsi="Arial" w:cs="Arial"/>
          <w:b/>
          <w:sz w:val="16"/>
          <w:szCs w:val="16"/>
          <w:lang w:val="es-ES" w:eastAsia="es-ES"/>
        </w:rPr>
      </w:pPr>
      <w:r w:rsidRPr="00C00312">
        <w:rPr>
          <w:rFonts w:ascii="Arial" w:hAnsi="Arial" w:cs="Arial"/>
          <w:b/>
          <w:sz w:val="16"/>
          <w:szCs w:val="16"/>
          <w:lang w:val="es-ES" w:eastAsia="es-ES"/>
        </w:rPr>
        <w:t>CCE-DES-FM-17</w:t>
      </w:r>
    </w:p>
    <w:p w14:paraId="71ED7C01" w14:textId="77777777" w:rsidR="007A4047" w:rsidRDefault="007A4047" w:rsidP="009F0A44">
      <w:pPr>
        <w:rPr>
          <w:rFonts w:ascii="Arial" w:hAnsi="Arial" w:cs="Arial"/>
          <w:b/>
          <w:sz w:val="22"/>
          <w:szCs w:val="22"/>
          <w:lang w:val="es-ES" w:eastAsia="es-ES"/>
        </w:rPr>
      </w:pPr>
    </w:p>
    <w:p w14:paraId="74EF1458" w14:textId="45AC8DFE" w:rsidR="00B41C03" w:rsidRDefault="00B41C03" w:rsidP="00B41C03">
      <w:pPr>
        <w:jc w:val="both"/>
        <w:rPr>
          <w:rFonts w:ascii="Arial" w:eastAsia="Calibri" w:hAnsi="Arial" w:cs="Arial"/>
          <w:b/>
          <w:sz w:val="22"/>
        </w:rPr>
      </w:pPr>
      <w:r w:rsidRPr="0045129A">
        <w:rPr>
          <w:rFonts w:ascii="Arial" w:eastAsia="Calibri" w:hAnsi="Arial" w:cs="Arial"/>
          <w:b/>
          <w:sz w:val="22"/>
        </w:rPr>
        <w:t>DOCUMENTOS TIPO</w:t>
      </w:r>
      <w:r w:rsidR="00854B30">
        <w:rPr>
          <w:rFonts w:ascii="Arial" w:eastAsia="Calibri" w:hAnsi="Arial" w:cs="Arial"/>
          <w:b/>
          <w:sz w:val="22"/>
        </w:rPr>
        <w:t xml:space="preserve"> – Infraestructura de transporte</w:t>
      </w:r>
      <w:r w:rsidRPr="0045129A">
        <w:rPr>
          <w:rFonts w:ascii="Arial" w:eastAsia="Calibri" w:hAnsi="Arial" w:cs="Arial"/>
          <w:b/>
          <w:sz w:val="22"/>
        </w:rPr>
        <w:t xml:space="preserve"> </w:t>
      </w:r>
      <w:r w:rsidRPr="0045129A">
        <w:rPr>
          <w:rFonts w:ascii="Arial" w:eastAsia="Calibri" w:hAnsi="Arial" w:cs="Arial"/>
          <w:b/>
          <w:sz w:val="22"/>
        </w:rPr>
        <w:softHyphen/>
        <w:t xml:space="preserve">– Versión 3 – </w:t>
      </w:r>
      <w:r w:rsidR="00EA44B1">
        <w:rPr>
          <w:rFonts w:ascii="Arial" w:eastAsia="Calibri" w:hAnsi="Arial" w:cs="Arial"/>
          <w:b/>
          <w:sz w:val="22"/>
        </w:rPr>
        <w:t>Actividades de mejoramiento</w:t>
      </w:r>
    </w:p>
    <w:p w14:paraId="151429ED" w14:textId="363FB754" w:rsidR="00B41C03" w:rsidRDefault="00B41C03" w:rsidP="00B41C03">
      <w:pPr>
        <w:jc w:val="both"/>
        <w:rPr>
          <w:rFonts w:ascii="Arial" w:eastAsia="Calibri" w:hAnsi="Arial" w:cs="Arial"/>
          <w:b/>
          <w:sz w:val="22"/>
        </w:rPr>
      </w:pPr>
    </w:p>
    <w:p w14:paraId="0F9CCC1D" w14:textId="6031929E" w:rsidR="0023456D" w:rsidRDefault="0023456D" w:rsidP="0023456D">
      <w:pPr>
        <w:jc w:val="both"/>
        <w:rPr>
          <w:rFonts w:ascii="Arial" w:eastAsiaTheme="minorHAnsi" w:hAnsi="Arial" w:cs="Arial"/>
          <w:sz w:val="20"/>
          <w:szCs w:val="20"/>
          <w:lang w:val="es-MX" w:eastAsia="en-US"/>
        </w:rPr>
      </w:pPr>
      <w:r w:rsidRPr="0023456D">
        <w:rPr>
          <w:rFonts w:ascii="Arial" w:eastAsiaTheme="minorHAnsi" w:hAnsi="Arial" w:cs="Arial"/>
          <w:sz w:val="20"/>
          <w:szCs w:val="20"/>
          <w:lang w:val="es-MX" w:eastAsia="en-US"/>
        </w:rPr>
        <w:t>En cuanto a las actividades susceptibles de ser catalogas como mejoramiento, el artículo 12 de la Ley 1682 de 2013 y el Anexo 3 no prevén un listado específico. Lo anterior, obedece a que la referida ley determinó que esas actividades debían ser objeto de reglamentación, estableciendo incluso un plazo para ello. De conformidad con lo anterior, el artículo 44 de la Ley 1682 de 2013 atribuyó al Gobierno Nacional, conformado por los Ministerios de Transporte y Ambiente, en coordinación con la Autoridad Nacional de Licencias Ambientales, la competencia para reglamentar el listado de actividades de mejoramiento en proyectos de infraestructura de transporte. Dicha competencia fue ejercida mediante la expedición del Decreto 769 de 2014 –actualmente compilado en el Decreto 1076 de 2015–, cuyo artículo 1 enlista una serie de actividades consideradas de mejoramiento, las cuales fueron agrupadas en los siguientes literales referidos a cada uno de los modos de infraestructura vial: A. Modo terrestre-carretero; B. Modo terrestre-férreo; C. Modo acuático-fluvial y Modo acuático de infraestructura portuaria, y D. Modo Aéreo.</w:t>
      </w:r>
    </w:p>
    <w:p w14:paraId="433EEDB2" w14:textId="77777777" w:rsidR="0023456D" w:rsidRPr="0023456D" w:rsidRDefault="0023456D" w:rsidP="0023456D">
      <w:pPr>
        <w:jc w:val="both"/>
        <w:rPr>
          <w:rFonts w:ascii="Arial" w:eastAsiaTheme="minorHAnsi" w:hAnsi="Arial" w:cs="Arial"/>
          <w:sz w:val="20"/>
          <w:szCs w:val="20"/>
          <w:lang w:val="es-MX" w:eastAsia="en-US"/>
        </w:rPr>
      </w:pPr>
    </w:p>
    <w:p w14:paraId="2C76C2FE" w14:textId="0D4F2BFC" w:rsidR="00D6418E" w:rsidRPr="003423AE" w:rsidRDefault="0023456D" w:rsidP="0023456D">
      <w:pPr>
        <w:jc w:val="both"/>
        <w:rPr>
          <w:rFonts w:ascii="Arial" w:eastAsiaTheme="minorHAnsi" w:hAnsi="Arial" w:cs="Arial"/>
          <w:sz w:val="20"/>
          <w:szCs w:val="20"/>
          <w:lang w:val="es-MX" w:eastAsia="en-US"/>
        </w:rPr>
      </w:pPr>
      <w:r w:rsidRPr="0023456D">
        <w:rPr>
          <w:rFonts w:ascii="Arial" w:eastAsiaTheme="minorHAnsi" w:hAnsi="Arial" w:cs="Arial"/>
          <w:sz w:val="20"/>
          <w:szCs w:val="20"/>
          <w:lang w:val="es-MX" w:eastAsia="en-US"/>
        </w:rPr>
        <w:t xml:space="preserve">Al respecto, debe precisarse que, en materia de infraestructura de transporte, la Ley 1682 de 2013 constituye el principal instrumento normativo para determinar qué constituye infraestructura de transporte, así como las actividades que implican su intervención y que, por tanto, deben ser contratadas aplicando los documentos tipo. En ese sentido, como se indicó, el legislador atribuyó al Gobierno Nacional la competencia para definir lo que debe entenderse por mejoramiento de infraestructura de transporte, al otorgarle la competencia para expedir la norma reglamentaria que enlistara las actividades que suponen tal tipo de intervención, lo cual es fundamental para la aplicación de los documentos tipo de infraestructura transporte.  </w:t>
      </w:r>
    </w:p>
    <w:p w14:paraId="7E4D91BF" w14:textId="77777777" w:rsidR="00EA44B1" w:rsidRPr="00D6418E" w:rsidRDefault="00EA44B1" w:rsidP="00EA44B1">
      <w:pPr>
        <w:pStyle w:val="Sinespaciado"/>
        <w:rPr>
          <w:lang w:val="es-CO"/>
        </w:rPr>
      </w:pPr>
    </w:p>
    <w:p w14:paraId="2BB1444D" w14:textId="3A5BDEDF" w:rsidR="00B41C03" w:rsidRDefault="00702A9E" w:rsidP="00702A9E">
      <w:pPr>
        <w:jc w:val="both"/>
        <w:rPr>
          <w:rFonts w:ascii="Arial" w:hAnsi="Arial" w:cs="Arial"/>
          <w:sz w:val="20"/>
          <w:szCs w:val="20"/>
        </w:rPr>
      </w:pPr>
      <w:r w:rsidRPr="00702A9E">
        <w:rPr>
          <w:rFonts w:ascii="Arial" w:eastAsia="Calibri" w:hAnsi="Arial" w:cs="Arial"/>
          <w:b/>
          <w:sz w:val="22"/>
        </w:rPr>
        <w:t xml:space="preserve">OBRAS DE INFRAESTRUCTURA – </w:t>
      </w:r>
      <w:r w:rsidR="00EA44B1">
        <w:rPr>
          <w:rFonts w:ascii="Arial" w:eastAsia="Calibri" w:hAnsi="Arial" w:cs="Arial"/>
          <w:b/>
          <w:sz w:val="22"/>
        </w:rPr>
        <w:t>Actividades de mejoramiento</w:t>
      </w:r>
    </w:p>
    <w:p w14:paraId="26C37394" w14:textId="4D946638" w:rsidR="007A4047" w:rsidRPr="003A4E31" w:rsidRDefault="007A4047" w:rsidP="00D6418E">
      <w:pPr>
        <w:jc w:val="both"/>
        <w:rPr>
          <w:rFonts w:ascii="Arial" w:hAnsi="Arial" w:cs="Arial"/>
          <w:sz w:val="20"/>
          <w:szCs w:val="20"/>
        </w:rPr>
      </w:pPr>
    </w:p>
    <w:p w14:paraId="0471C3E8" w14:textId="7B72BBA4" w:rsidR="0023456D" w:rsidRDefault="003A4E31" w:rsidP="0023456D">
      <w:pPr>
        <w:jc w:val="both"/>
        <w:rPr>
          <w:rFonts w:ascii="Arial" w:hAnsi="Arial" w:cs="Arial"/>
          <w:sz w:val="20"/>
          <w:szCs w:val="20"/>
        </w:rPr>
      </w:pPr>
      <w:r w:rsidRPr="00344490">
        <w:rPr>
          <w:rFonts w:ascii="Arial" w:hAnsi="Arial" w:cs="Arial"/>
          <w:sz w:val="20"/>
          <w:szCs w:val="20"/>
        </w:rPr>
        <w:t xml:space="preserve">[…] </w:t>
      </w:r>
      <w:r w:rsidR="0023456D" w:rsidRPr="0023456D">
        <w:rPr>
          <w:rFonts w:ascii="Arial" w:hAnsi="Arial" w:cs="Arial"/>
          <w:sz w:val="20"/>
          <w:szCs w:val="20"/>
        </w:rPr>
        <w:t>las nociones de las actividades que suponen intervenciones de la infraestructura de transporte, como es el caso de las actividades de mejoramiento, en el marco de los documentos tipo de dicho sector, se determinarán, en primera medida, por lo dispuesto en la Ley 1682 de 2013 y sus decretos reglamentarios.</w:t>
      </w:r>
    </w:p>
    <w:p w14:paraId="7B957B82" w14:textId="77777777" w:rsidR="0023456D" w:rsidRPr="0023456D" w:rsidRDefault="0023456D" w:rsidP="0023456D">
      <w:pPr>
        <w:jc w:val="both"/>
        <w:rPr>
          <w:rFonts w:ascii="Arial" w:hAnsi="Arial" w:cs="Arial"/>
          <w:sz w:val="20"/>
          <w:szCs w:val="20"/>
        </w:rPr>
      </w:pPr>
    </w:p>
    <w:p w14:paraId="685F3B32" w14:textId="1B753B5A" w:rsidR="00D6418E" w:rsidRPr="00344490" w:rsidRDefault="0023456D" w:rsidP="0023456D">
      <w:pPr>
        <w:jc w:val="both"/>
        <w:rPr>
          <w:rFonts w:ascii="Arial" w:hAnsi="Arial" w:cs="Arial"/>
          <w:sz w:val="20"/>
          <w:szCs w:val="20"/>
        </w:rPr>
      </w:pPr>
      <w:r w:rsidRPr="0023456D">
        <w:rPr>
          <w:rFonts w:ascii="Arial" w:hAnsi="Arial" w:cs="Arial"/>
          <w:sz w:val="20"/>
          <w:szCs w:val="20"/>
        </w:rPr>
        <w:t>En síntesis, para el caso que nos ocupa, la definición de mejoramiento fue introducida por la referida ley, pero fue desarrollada por el artículo 1 del Decreto 769 de 2014, actualmente compilado en el Decreto 1076 de 2015, en los artículos 2.2.2.5.1.1–Modo Terrestre-Carretero–, 2.2.2.5.2.1 –Modo Terrestre-Férreo–, 2.2.2.5.3.1 –Modo Acuático-Fluvial y Modo Acuático de Infraestructura Portuaria–, 2.2.2.5.3.2 –Modo acuático-infraestructura portuaria– y 2.2.2.5.4.1 –Modo Aéreo–.  En ese sentido, las actividades que se consideran como mejoramiento son las establecidas en los referidos artículos del Decreto 1076 de 2015.</w:t>
      </w:r>
    </w:p>
    <w:p w14:paraId="02376B74" w14:textId="3ED7CBE3" w:rsidR="00763584" w:rsidRDefault="00763584" w:rsidP="00D6418E">
      <w:pPr>
        <w:jc w:val="both"/>
        <w:rPr>
          <w:rFonts w:ascii="Arial" w:eastAsia="Calibri" w:hAnsi="Arial" w:cs="Arial"/>
          <w:bCs/>
          <w:sz w:val="22"/>
          <w:szCs w:val="22"/>
          <w:lang w:val="es-MX"/>
        </w:rPr>
      </w:pPr>
    </w:p>
    <w:p w14:paraId="4A66FBCA" w14:textId="5E9A138E" w:rsidR="00702A9E" w:rsidRPr="00702A9E" w:rsidRDefault="008E2C35" w:rsidP="00702A9E">
      <w:pPr>
        <w:jc w:val="both"/>
        <w:rPr>
          <w:rFonts w:ascii="Arial" w:eastAsia="Calibri" w:hAnsi="Arial" w:cs="Arial"/>
          <w:b/>
          <w:sz w:val="22"/>
        </w:rPr>
      </w:pPr>
      <w:r>
        <w:rPr>
          <w:rFonts w:ascii="Arial" w:eastAsia="Calibri" w:hAnsi="Arial" w:cs="Arial"/>
          <w:b/>
          <w:sz w:val="22"/>
        </w:rPr>
        <w:t>DOCUMENTOS TIPO DE INFRAESTRUCTURA DE TRANSPORTE – Actividades de mejoramiento – Matriz 1 – Experiencia</w:t>
      </w:r>
    </w:p>
    <w:p w14:paraId="6DD5A3A9" w14:textId="77777777" w:rsidR="00702A9E" w:rsidRPr="00872CC7" w:rsidRDefault="00702A9E" w:rsidP="00946E02">
      <w:pPr>
        <w:tabs>
          <w:tab w:val="left" w:pos="426"/>
        </w:tabs>
        <w:jc w:val="both"/>
        <w:rPr>
          <w:rFonts w:ascii="Arial" w:hAnsi="Arial" w:cs="Arial"/>
          <w:sz w:val="20"/>
          <w:szCs w:val="20"/>
        </w:rPr>
      </w:pPr>
    </w:p>
    <w:p w14:paraId="70141626" w14:textId="4FEF4589" w:rsidR="00E81D9C" w:rsidRDefault="00E81D9C" w:rsidP="00E81D9C">
      <w:pPr>
        <w:jc w:val="both"/>
        <w:rPr>
          <w:rFonts w:ascii="Arial" w:hAnsi="Arial" w:cs="Arial"/>
          <w:sz w:val="20"/>
          <w:szCs w:val="20"/>
        </w:rPr>
      </w:pPr>
      <w:r w:rsidRPr="00E81D9C">
        <w:rPr>
          <w:rFonts w:ascii="Arial" w:hAnsi="Arial" w:cs="Arial"/>
          <w:sz w:val="20"/>
          <w:szCs w:val="20"/>
        </w:rPr>
        <w:t xml:space="preserve">Ahora bien, la mayoría de los requisitos de experiencia general contemplados por la Matriz 1 consisten en exigir del proponente haber ejecutado determinadas actividades respecto de un tipo específico de infraestructura. Así, por ejemplo, por relacionarse con el objeto de la consulta, la Matriz 1 para proyectos de complejidad media–baja, adoptada por la Resolución No. 304 de 2021, en relación con el tipo de obra «obras en vías primarias o secundarias», frente a la actividad «1.2 </w:t>
      </w:r>
      <w:r w:rsidRPr="00E81D9C">
        <w:rPr>
          <w:rFonts w:ascii="Arial" w:hAnsi="Arial" w:cs="Arial"/>
          <w:sz w:val="20"/>
          <w:szCs w:val="20"/>
        </w:rPr>
        <w:lastRenderedPageBreak/>
        <w:t xml:space="preserve">PROYECTOS DE MEJORAMIENTO DE VÍAS», establece como requisito de experiencia general la «CONSTRUCCIÓN O MEJORAMIENTO EN PAVIMENTO ASFALTICO O CONCRETO HIDRÁULICO DE VÍAS PRIMARIAS O SECUNDARIAS O VIAS URBANAS O PISTAS DE AEROPUERTOS». Aquel será el requisito de experiencia general que deberá consignar –sin alteraciones– en el literal A del numeral 3.5.2 del Documento Base junto con la experiencia específica. </w:t>
      </w:r>
    </w:p>
    <w:p w14:paraId="294B680C" w14:textId="77777777" w:rsidR="00E81D9C" w:rsidRPr="00E81D9C" w:rsidRDefault="00E81D9C" w:rsidP="00E81D9C">
      <w:pPr>
        <w:jc w:val="both"/>
        <w:rPr>
          <w:rFonts w:ascii="Arial" w:hAnsi="Arial" w:cs="Arial"/>
          <w:sz w:val="20"/>
          <w:szCs w:val="20"/>
        </w:rPr>
      </w:pPr>
    </w:p>
    <w:p w14:paraId="7EB1F87B" w14:textId="4DA2A152" w:rsidR="00946E02" w:rsidRPr="00344490" w:rsidRDefault="00E81D9C" w:rsidP="00E81D9C">
      <w:pPr>
        <w:jc w:val="both"/>
        <w:rPr>
          <w:rFonts w:ascii="Arial" w:hAnsi="Arial" w:cs="Arial"/>
          <w:color w:val="000000" w:themeColor="text1"/>
          <w:sz w:val="20"/>
          <w:szCs w:val="20"/>
        </w:rPr>
      </w:pPr>
      <w:r w:rsidRPr="00E81D9C">
        <w:rPr>
          <w:rFonts w:ascii="Arial" w:hAnsi="Arial" w:cs="Arial"/>
          <w:sz w:val="20"/>
          <w:szCs w:val="20"/>
        </w:rPr>
        <w:t>En cuanto a la actividad de mejoramiento establecida en el anterior requisito de experiencia general, así como en otros de la Matriz 1, resulta indispensable tener en cuenta lo explicado en el numeral 2.2 del presente concepto. Esto es, la interpretación de lo que se considera mejoramiento a efectos de cumplir con estos requisitos de experiencia, se encuentra determinada tanto por el numeral 2.50 del Anexo 3, como por definición del artículo 12 de la Ley 1682 de 2013 y el artículo 1 del Decreto 769 de 2014, compilado en el Decreto 1076 de 2015. En ese sentido, cuando un requisito de experiencia –general o específica– contempla la actividad de mejoramiento, debe entenderse que se refiere a cambios en la infraestructura de transporte existentes concretados a partir del desarrollo de las actividades enlistadas en el Decreto 1076 de 2015, bastando la acreditación de alguna de las actividades referidas para establecer que se tiene experiencia en mejoramiento.</w:t>
      </w:r>
    </w:p>
    <w:p w14:paraId="38B84969" w14:textId="77777777" w:rsidR="00957364" w:rsidRPr="0094584C" w:rsidRDefault="00957364" w:rsidP="0094584C">
      <w:pPr>
        <w:tabs>
          <w:tab w:val="left" w:pos="426"/>
        </w:tabs>
        <w:jc w:val="both"/>
        <w:rPr>
          <w:rFonts w:ascii="Arial" w:eastAsia="Calibri" w:hAnsi="Arial" w:cs="Arial"/>
          <w:b/>
          <w:bCs/>
          <w:sz w:val="22"/>
          <w:szCs w:val="22"/>
        </w:rPr>
      </w:pPr>
    </w:p>
    <w:p w14:paraId="4868E1D2" w14:textId="77777777" w:rsidR="0000763E" w:rsidRDefault="0000763E" w:rsidP="00763584">
      <w:pPr>
        <w:jc w:val="both"/>
        <w:rPr>
          <w:rFonts w:ascii="Arial" w:eastAsia="Calibri" w:hAnsi="Arial" w:cs="Arial"/>
          <w:b/>
          <w:sz w:val="22"/>
          <w:szCs w:val="22"/>
          <w:lang w:val="es-MX"/>
        </w:rPr>
      </w:pPr>
    </w:p>
    <w:p w14:paraId="02DC1A78" w14:textId="56CC7CFA" w:rsidR="00862B07" w:rsidRDefault="00862B07" w:rsidP="00763584">
      <w:pPr>
        <w:jc w:val="both"/>
        <w:rPr>
          <w:rFonts w:ascii="Arial" w:eastAsia="Calibri" w:hAnsi="Arial" w:cs="Arial"/>
          <w:b/>
          <w:sz w:val="22"/>
          <w:szCs w:val="22"/>
          <w:lang w:val="es-MX"/>
        </w:rPr>
      </w:pPr>
    </w:p>
    <w:p w14:paraId="7DE35B75" w14:textId="77777777" w:rsidR="00862B07" w:rsidRPr="0094584C" w:rsidRDefault="00862B07" w:rsidP="00763584">
      <w:pPr>
        <w:jc w:val="both"/>
        <w:rPr>
          <w:rFonts w:ascii="Arial" w:eastAsia="Calibri" w:hAnsi="Arial" w:cs="Arial"/>
          <w:b/>
          <w:sz w:val="22"/>
          <w:szCs w:val="22"/>
          <w:lang w:val="es-MX"/>
        </w:rPr>
      </w:pPr>
    </w:p>
    <w:p w14:paraId="695F397E" w14:textId="052D750A" w:rsidR="00A425A1" w:rsidRDefault="00A425A1" w:rsidP="00763584">
      <w:pPr>
        <w:jc w:val="both"/>
        <w:rPr>
          <w:rFonts w:ascii="Arial" w:eastAsia="Calibri" w:hAnsi="Arial" w:cs="Arial"/>
          <w:bCs/>
          <w:sz w:val="22"/>
          <w:szCs w:val="22"/>
          <w:lang w:val="es-MX"/>
        </w:rPr>
      </w:pPr>
    </w:p>
    <w:p w14:paraId="3BEFA114" w14:textId="730348B1" w:rsidR="00A425A1" w:rsidRDefault="00A425A1" w:rsidP="00763584">
      <w:pPr>
        <w:jc w:val="both"/>
        <w:rPr>
          <w:rFonts w:ascii="Arial" w:eastAsia="Calibri" w:hAnsi="Arial" w:cs="Arial"/>
          <w:bCs/>
          <w:sz w:val="22"/>
          <w:szCs w:val="22"/>
          <w:lang w:val="es-MX"/>
        </w:rPr>
      </w:pPr>
    </w:p>
    <w:p w14:paraId="600892A1" w14:textId="27D0DF32" w:rsidR="00A425A1" w:rsidRDefault="00A425A1" w:rsidP="00763584">
      <w:pPr>
        <w:jc w:val="both"/>
        <w:rPr>
          <w:rFonts w:ascii="Arial" w:eastAsia="Calibri" w:hAnsi="Arial" w:cs="Arial"/>
          <w:bCs/>
          <w:sz w:val="22"/>
          <w:szCs w:val="22"/>
          <w:lang w:val="es-MX"/>
        </w:rPr>
      </w:pPr>
    </w:p>
    <w:p w14:paraId="130F444E" w14:textId="4BBC19B9" w:rsidR="00E62296" w:rsidRDefault="00E62296" w:rsidP="00763584">
      <w:pPr>
        <w:jc w:val="both"/>
        <w:rPr>
          <w:rFonts w:ascii="Arial" w:eastAsia="Calibri" w:hAnsi="Arial" w:cs="Arial"/>
          <w:bCs/>
          <w:sz w:val="22"/>
          <w:szCs w:val="22"/>
          <w:lang w:val="es-MX"/>
        </w:rPr>
      </w:pPr>
    </w:p>
    <w:p w14:paraId="0A33A4F1" w14:textId="7A4B5B5C" w:rsidR="00E62296" w:rsidRDefault="00E62296" w:rsidP="00763584">
      <w:pPr>
        <w:jc w:val="both"/>
        <w:rPr>
          <w:rFonts w:ascii="Arial" w:eastAsia="Calibri" w:hAnsi="Arial" w:cs="Arial"/>
          <w:bCs/>
          <w:sz w:val="22"/>
          <w:szCs w:val="22"/>
          <w:lang w:val="es-MX"/>
        </w:rPr>
      </w:pPr>
    </w:p>
    <w:p w14:paraId="37FCBFE6" w14:textId="765AAE8C" w:rsidR="00E62296" w:rsidRDefault="00E62296" w:rsidP="00763584">
      <w:pPr>
        <w:jc w:val="both"/>
        <w:rPr>
          <w:rFonts w:ascii="Arial" w:eastAsia="Calibri" w:hAnsi="Arial" w:cs="Arial"/>
          <w:bCs/>
          <w:sz w:val="22"/>
          <w:szCs w:val="22"/>
          <w:lang w:val="es-MX"/>
        </w:rPr>
      </w:pPr>
    </w:p>
    <w:p w14:paraId="0FE72274" w14:textId="31217DB4" w:rsidR="00E62296" w:rsidRDefault="00E62296" w:rsidP="00763584">
      <w:pPr>
        <w:jc w:val="both"/>
        <w:rPr>
          <w:rFonts w:ascii="Arial" w:eastAsia="Calibri" w:hAnsi="Arial" w:cs="Arial"/>
          <w:bCs/>
          <w:sz w:val="22"/>
          <w:szCs w:val="22"/>
          <w:lang w:val="es-MX"/>
        </w:rPr>
      </w:pPr>
    </w:p>
    <w:p w14:paraId="6CE039C1" w14:textId="7114995F" w:rsidR="00E62296" w:rsidRDefault="00E62296" w:rsidP="00763584">
      <w:pPr>
        <w:jc w:val="both"/>
        <w:rPr>
          <w:rFonts w:ascii="Arial" w:eastAsia="Calibri" w:hAnsi="Arial" w:cs="Arial"/>
          <w:bCs/>
          <w:sz w:val="22"/>
          <w:szCs w:val="22"/>
          <w:lang w:val="es-MX"/>
        </w:rPr>
      </w:pPr>
    </w:p>
    <w:p w14:paraId="3E4CBFE2" w14:textId="216A0A02" w:rsidR="00E62296" w:rsidRDefault="00E62296" w:rsidP="00763584">
      <w:pPr>
        <w:jc w:val="both"/>
        <w:rPr>
          <w:rFonts w:ascii="Arial" w:eastAsia="Calibri" w:hAnsi="Arial" w:cs="Arial"/>
          <w:bCs/>
          <w:sz w:val="22"/>
          <w:szCs w:val="22"/>
          <w:lang w:val="es-MX"/>
        </w:rPr>
      </w:pPr>
    </w:p>
    <w:p w14:paraId="7C0EBE72" w14:textId="5CAD25CE" w:rsidR="00E62296" w:rsidRDefault="00E62296" w:rsidP="00763584">
      <w:pPr>
        <w:jc w:val="both"/>
        <w:rPr>
          <w:rFonts w:ascii="Arial" w:eastAsia="Calibri" w:hAnsi="Arial" w:cs="Arial"/>
          <w:bCs/>
          <w:sz w:val="22"/>
          <w:szCs w:val="22"/>
          <w:lang w:val="es-MX"/>
        </w:rPr>
      </w:pPr>
    </w:p>
    <w:p w14:paraId="79903C8E" w14:textId="2D7002EE" w:rsidR="00E62296" w:rsidRDefault="00E62296" w:rsidP="00763584">
      <w:pPr>
        <w:jc w:val="both"/>
        <w:rPr>
          <w:rFonts w:ascii="Arial" w:eastAsia="Calibri" w:hAnsi="Arial" w:cs="Arial"/>
          <w:bCs/>
          <w:sz w:val="22"/>
          <w:szCs w:val="22"/>
          <w:lang w:val="es-MX"/>
        </w:rPr>
      </w:pPr>
    </w:p>
    <w:p w14:paraId="3D2D3B4E" w14:textId="0B48E6D2" w:rsidR="00E62296" w:rsidRDefault="00E62296" w:rsidP="00763584">
      <w:pPr>
        <w:jc w:val="both"/>
        <w:rPr>
          <w:rFonts w:ascii="Arial" w:eastAsia="Calibri" w:hAnsi="Arial" w:cs="Arial"/>
          <w:bCs/>
          <w:sz w:val="22"/>
          <w:szCs w:val="22"/>
          <w:lang w:val="es-MX"/>
        </w:rPr>
      </w:pPr>
    </w:p>
    <w:p w14:paraId="06CBC4B5" w14:textId="524612FE" w:rsidR="00E62296" w:rsidRDefault="00E62296" w:rsidP="00763584">
      <w:pPr>
        <w:jc w:val="both"/>
        <w:rPr>
          <w:rFonts w:ascii="Arial" w:eastAsia="Calibri" w:hAnsi="Arial" w:cs="Arial"/>
          <w:bCs/>
          <w:sz w:val="22"/>
          <w:szCs w:val="22"/>
          <w:lang w:val="es-MX"/>
        </w:rPr>
      </w:pPr>
    </w:p>
    <w:p w14:paraId="65537FCD" w14:textId="77777777" w:rsidR="00E62296" w:rsidRDefault="00E62296" w:rsidP="00763584">
      <w:pPr>
        <w:jc w:val="both"/>
        <w:rPr>
          <w:rFonts w:ascii="Arial" w:eastAsia="Calibri" w:hAnsi="Arial" w:cs="Arial"/>
          <w:bCs/>
          <w:sz w:val="22"/>
          <w:szCs w:val="22"/>
          <w:lang w:val="es-MX"/>
        </w:rPr>
      </w:pPr>
    </w:p>
    <w:p w14:paraId="1E6ACDB5" w14:textId="02624A96" w:rsidR="00A425A1" w:rsidRDefault="00A425A1" w:rsidP="00763584">
      <w:pPr>
        <w:jc w:val="both"/>
        <w:rPr>
          <w:rFonts w:ascii="Arial" w:eastAsia="Calibri" w:hAnsi="Arial" w:cs="Arial"/>
          <w:bCs/>
          <w:sz w:val="22"/>
          <w:szCs w:val="22"/>
          <w:lang w:val="es-MX"/>
        </w:rPr>
      </w:pPr>
    </w:p>
    <w:p w14:paraId="0FD407F4" w14:textId="5441DC9B" w:rsidR="00A425A1" w:rsidRDefault="00A425A1" w:rsidP="00763584">
      <w:pPr>
        <w:jc w:val="both"/>
        <w:rPr>
          <w:rFonts w:ascii="Arial" w:eastAsia="Calibri" w:hAnsi="Arial" w:cs="Arial"/>
          <w:bCs/>
          <w:sz w:val="22"/>
          <w:szCs w:val="22"/>
          <w:lang w:val="es-MX"/>
        </w:rPr>
      </w:pPr>
    </w:p>
    <w:p w14:paraId="7DB9034B" w14:textId="3DC03E0C" w:rsidR="00A425A1" w:rsidRDefault="00A425A1" w:rsidP="00763584">
      <w:pPr>
        <w:jc w:val="both"/>
        <w:rPr>
          <w:rFonts w:ascii="Arial" w:eastAsia="Calibri" w:hAnsi="Arial" w:cs="Arial"/>
          <w:bCs/>
          <w:sz w:val="22"/>
          <w:szCs w:val="22"/>
          <w:lang w:val="es-MX"/>
        </w:rPr>
      </w:pPr>
    </w:p>
    <w:p w14:paraId="1319181F" w14:textId="44BF14DC" w:rsidR="00A425A1" w:rsidRDefault="00A425A1" w:rsidP="00763584">
      <w:pPr>
        <w:jc w:val="both"/>
        <w:rPr>
          <w:rFonts w:ascii="Arial" w:eastAsia="Calibri" w:hAnsi="Arial" w:cs="Arial"/>
          <w:bCs/>
          <w:sz w:val="22"/>
          <w:szCs w:val="22"/>
          <w:lang w:val="es-MX"/>
        </w:rPr>
      </w:pPr>
    </w:p>
    <w:p w14:paraId="71900D37" w14:textId="3E57FA41" w:rsidR="00A425A1" w:rsidRDefault="00A425A1" w:rsidP="00763584">
      <w:pPr>
        <w:jc w:val="both"/>
        <w:rPr>
          <w:rFonts w:ascii="Arial" w:eastAsia="Calibri" w:hAnsi="Arial" w:cs="Arial"/>
          <w:bCs/>
          <w:sz w:val="22"/>
          <w:szCs w:val="22"/>
          <w:lang w:val="es-MX"/>
        </w:rPr>
      </w:pPr>
    </w:p>
    <w:p w14:paraId="50287271" w14:textId="3ABB494B" w:rsidR="00A425A1" w:rsidRDefault="00A425A1" w:rsidP="00763584">
      <w:pPr>
        <w:jc w:val="both"/>
        <w:rPr>
          <w:rFonts w:ascii="Arial" w:eastAsia="Calibri" w:hAnsi="Arial" w:cs="Arial"/>
          <w:bCs/>
          <w:sz w:val="22"/>
          <w:szCs w:val="22"/>
          <w:lang w:val="es-MX"/>
        </w:rPr>
      </w:pPr>
    </w:p>
    <w:p w14:paraId="52FDE51F" w14:textId="1D9932F4" w:rsidR="003A4E31" w:rsidRDefault="003A4E31" w:rsidP="003C7067">
      <w:pPr>
        <w:rPr>
          <w:rFonts w:ascii="Arial" w:eastAsia="Calibri" w:hAnsi="Arial" w:cs="Arial"/>
          <w:sz w:val="22"/>
          <w:szCs w:val="22"/>
          <w:lang w:val="es-ES"/>
        </w:rPr>
      </w:pPr>
    </w:p>
    <w:p w14:paraId="1944698C" w14:textId="7091EE75" w:rsidR="0061018B" w:rsidRDefault="0061018B" w:rsidP="003C7067">
      <w:pPr>
        <w:rPr>
          <w:rFonts w:ascii="Arial" w:eastAsia="Calibri" w:hAnsi="Arial" w:cs="Arial"/>
          <w:sz w:val="22"/>
          <w:szCs w:val="22"/>
          <w:lang w:val="es-ES"/>
        </w:rPr>
      </w:pPr>
    </w:p>
    <w:p w14:paraId="2975ED1A" w14:textId="2C15B5D2" w:rsidR="0061018B" w:rsidRDefault="0061018B" w:rsidP="003C7067">
      <w:pPr>
        <w:rPr>
          <w:rFonts w:ascii="Arial" w:eastAsia="Calibri" w:hAnsi="Arial" w:cs="Arial"/>
          <w:sz w:val="22"/>
          <w:szCs w:val="22"/>
          <w:lang w:val="es-ES"/>
        </w:rPr>
      </w:pPr>
    </w:p>
    <w:p w14:paraId="57ECF5AE" w14:textId="3899FD7C" w:rsidR="0061018B" w:rsidRDefault="0061018B" w:rsidP="003C7067">
      <w:pPr>
        <w:rPr>
          <w:rFonts w:ascii="Arial" w:eastAsia="Calibri" w:hAnsi="Arial" w:cs="Arial"/>
          <w:sz w:val="22"/>
          <w:szCs w:val="22"/>
          <w:lang w:val="es-ES"/>
        </w:rPr>
      </w:pPr>
    </w:p>
    <w:p w14:paraId="069E5FC2" w14:textId="04CC4390" w:rsidR="0061018B" w:rsidRDefault="0061018B" w:rsidP="003C7067">
      <w:pPr>
        <w:rPr>
          <w:rFonts w:ascii="Arial" w:eastAsia="Calibri" w:hAnsi="Arial" w:cs="Arial"/>
          <w:sz w:val="22"/>
          <w:szCs w:val="22"/>
          <w:lang w:val="es-ES"/>
        </w:rPr>
      </w:pPr>
    </w:p>
    <w:p w14:paraId="0123DDA3" w14:textId="0679EBA0" w:rsidR="0061018B" w:rsidRDefault="0061018B" w:rsidP="003C7067">
      <w:pPr>
        <w:rPr>
          <w:rFonts w:ascii="Arial" w:eastAsia="Calibri" w:hAnsi="Arial" w:cs="Arial"/>
          <w:sz w:val="22"/>
          <w:szCs w:val="22"/>
          <w:lang w:val="es-ES"/>
        </w:rPr>
      </w:pPr>
    </w:p>
    <w:p w14:paraId="0E511B71" w14:textId="58966802" w:rsidR="00344490" w:rsidRDefault="00344490" w:rsidP="003C7067">
      <w:pPr>
        <w:rPr>
          <w:rFonts w:ascii="Arial" w:eastAsia="Calibri" w:hAnsi="Arial" w:cs="Arial"/>
          <w:sz w:val="22"/>
          <w:szCs w:val="22"/>
          <w:lang w:val="es-ES"/>
        </w:rPr>
      </w:pPr>
    </w:p>
    <w:p w14:paraId="649B3A98" w14:textId="77777777" w:rsidR="0093787C" w:rsidRDefault="0093787C" w:rsidP="003C7067">
      <w:pPr>
        <w:rPr>
          <w:rFonts w:ascii="Arial" w:eastAsia="Calibri" w:hAnsi="Arial" w:cs="Arial"/>
          <w:sz w:val="22"/>
          <w:szCs w:val="22"/>
          <w:lang w:val="es-ES"/>
        </w:rPr>
      </w:pPr>
    </w:p>
    <w:p w14:paraId="6FA198AE" w14:textId="596F5496" w:rsidR="0095706D" w:rsidRDefault="00097294" w:rsidP="00097294">
      <w:pPr>
        <w:jc w:val="right"/>
        <w:rPr>
          <w:rFonts w:ascii="Arial" w:eastAsia="Calibri" w:hAnsi="Arial" w:cs="Arial"/>
          <w:sz w:val="22"/>
          <w:szCs w:val="22"/>
          <w:lang w:val="es-ES"/>
        </w:rPr>
      </w:pPr>
      <w:r>
        <w:rPr>
          <w:rFonts w:ascii="Arial" w:eastAsia="Calibri" w:hAnsi="Arial" w:cs="Arial"/>
          <w:noProof/>
          <w:sz w:val="22"/>
          <w:szCs w:val="22"/>
          <w:lang w:val="es-ES"/>
        </w:rPr>
        <w:drawing>
          <wp:inline distT="0" distB="0" distL="0" distR="0" wp14:anchorId="1F0CD8EF" wp14:editId="0F22DF1A">
            <wp:extent cx="3006884" cy="831503"/>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06751" cy="859120"/>
                    </a:xfrm>
                    <a:prstGeom prst="rect">
                      <a:avLst/>
                    </a:prstGeom>
                  </pic:spPr>
                </pic:pic>
              </a:graphicData>
            </a:graphic>
          </wp:inline>
        </w:drawing>
      </w:r>
    </w:p>
    <w:p w14:paraId="5226F75A" w14:textId="3BEC08D8" w:rsidR="0095706D" w:rsidRDefault="0095706D" w:rsidP="003C7067">
      <w:pPr>
        <w:rPr>
          <w:rFonts w:ascii="Arial" w:eastAsia="Calibri" w:hAnsi="Arial" w:cs="Arial"/>
          <w:sz w:val="22"/>
          <w:szCs w:val="22"/>
          <w:lang w:val="es-ES"/>
        </w:rPr>
      </w:pPr>
    </w:p>
    <w:p w14:paraId="19907BB1" w14:textId="56E5FCB5" w:rsidR="0095706D" w:rsidRDefault="0095706D" w:rsidP="003C7067">
      <w:pPr>
        <w:rPr>
          <w:rFonts w:ascii="Arial" w:eastAsia="Calibri" w:hAnsi="Arial" w:cs="Arial"/>
          <w:sz w:val="22"/>
          <w:szCs w:val="22"/>
          <w:lang w:val="es-ES"/>
        </w:rPr>
      </w:pPr>
    </w:p>
    <w:p w14:paraId="501C8990" w14:textId="77777777" w:rsidR="0095706D" w:rsidRDefault="0095706D" w:rsidP="003C7067">
      <w:pPr>
        <w:rPr>
          <w:rFonts w:ascii="Arial" w:eastAsia="Calibri" w:hAnsi="Arial" w:cs="Arial"/>
          <w:sz w:val="22"/>
          <w:szCs w:val="22"/>
          <w:lang w:val="es-ES"/>
        </w:rPr>
      </w:pPr>
    </w:p>
    <w:p w14:paraId="20A34E66" w14:textId="77777777" w:rsidR="0095706D" w:rsidRDefault="0095706D" w:rsidP="003C7067">
      <w:pPr>
        <w:rPr>
          <w:rFonts w:ascii="Arial" w:eastAsia="Calibri" w:hAnsi="Arial" w:cs="Arial"/>
          <w:sz w:val="22"/>
          <w:szCs w:val="22"/>
          <w:lang w:val="es-ES"/>
        </w:rPr>
      </w:pPr>
    </w:p>
    <w:p w14:paraId="2EB81414" w14:textId="256B4E30" w:rsidR="003C7067" w:rsidRPr="00C00312" w:rsidRDefault="003C7067" w:rsidP="003C7067">
      <w:pPr>
        <w:rPr>
          <w:rFonts w:ascii="Arial" w:eastAsia="Calibri" w:hAnsi="Arial" w:cs="Arial"/>
          <w:sz w:val="22"/>
          <w:szCs w:val="22"/>
          <w:lang w:val="es-ES"/>
        </w:rPr>
      </w:pPr>
      <w:r w:rsidRPr="00C00312">
        <w:rPr>
          <w:rFonts w:ascii="Arial" w:eastAsia="Calibri" w:hAnsi="Arial" w:cs="Arial"/>
          <w:sz w:val="22"/>
          <w:szCs w:val="22"/>
          <w:lang w:val="es-ES"/>
        </w:rPr>
        <w:t>Señor</w:t>
      </w:r>
    </w:p>
    <w:p w14:paraId="10837C8F" w14:textId="15E0C9AE" w:rsidR="003C7067" w:rsidRDefault="001A0317" w:rsidP="003C7067">
      <w:pPr>
        <w:rPr>
          <w:rFonts w:ascii="Arial" w:eastAsia="Calibri" w:hAnsi="Arial" w:cs="Arial"/>
          <w:b/>
          <w:sz w:val="22"/>
          <w:szCs w:val="22"/>
          <w:lang w:val="es-ES"/>
        </w:rPr>
      </w:pPr>
      <w:r>
        <w:rPr>
          <w:rFonts w:ascii="Arial" w:eastAsia="Calibri" w:hAnsi="Arial" w:cs="Arial"/>
          <w:b/>
          <w:sz w:val="22"/>
          <w:szCs w:val="22"/>
          <w:lang w:val="es-ES"/>
        </w:rPr>
        <w:t xml:space="preserve">Cesar Mauricio </w:t>
      </w:r>
      <w:r w:rsidR="00903E92">
        <w:rPr>
          <w:rFonts w:ascii="Arial" w:eastAsia="Calibri" w:hAnsi="Arial" w:cs="Arial"/>
          <w:b/>
          <w:sz w:val="22"/>
          <w:szCs w:val="22"/>
          <w:lang w:val="es-ES"/>
        </w:rPr>
        <w:t>Bello Leal</w:t>
      </w:r>
    </w:p>
    <w:p w14:paraId="20D3E4A0" w14:textId="156B32F6" w:rsidR="002C56DB" w:rsidRPr="00903E92" w:rsidRDefault="00903E92" w:rsidP="003C7067">
      <w:pPr>
        <w:rPr>
          <w:rFonts w:ascii="Arial" w:eastAsia="Calibri" w:hAnsi="Arial" w:cs="Arial"/>
          <w:bCs/>
          <w:sz w:val="22"/>
          <w:szCs w:val="22"/>
          <w:lang w:val="es-ES"/>
        </w:rPr>
      </w:pPr>
      <w:r w:rsidRPr="00903E92">
        <w:rPr>
          <w:rFonts w:ascii="Arial" w:eastAsia="Calibri" w:hAnsi="Arial" w:cs="Arial"/>
          <w:bCs/>
          <w:sz w:val="22"/>
          <w:szCs w:val="22"/>
          <w:lang w:val="es-ES"/>
        </w:rPr>
        <w:t>Bogotá, D.C.</w:t>
      </w:r>
    </w:p>
    <w:p w14:paraId="55808E35" w14:textId="77777777" w:rsidR="00903E92" w:rsidRDefault="00903E92" w:rsidP="003C7067">
      <w:pPr>
        <w:rPr>
          <w:rFonts w:ascii="Arial" w:eastAsia="Calibri" w:hAnsi="Arial" w:cs="Arial"/>
          <w:b/>
          <w:sz w:val="22"/>
          <w:szCs w:val="22"/>
          <w:lang w:val="es-ES"/>
        </w:rPr>
      </w:pPr>
    </w:p>
    <w:p w14:paraId="1F4E36CB" w14:textId="5432016B" w:rsidR="003C7067" w:rsidRDefault="003C7067" w:rsidP="003C7067">
      <w:pPr>
        <w:rPr>
          <w:rFonts w:ascii="Arial" w:eastAsia="Calibri" w:hAnsi="Arial" w:cs="Arial"/>
          <w:b/>
          <w:sz w:val="22"/>
          <w:szCs w:val="22"/>
          <w:lang w:val="es-ES"/>
        </w:rPr>
      </w:pPr>
      <w:r w:rsidRPr="00C00312">
        <w:rPr>
          <w:rFonts w:ascii="Arial" w:eastAsia="Calibri" w:hAnsi="Arial" w:cs="Arial"/>
          <w:b/>
          <w:sz w:val="22"/>
          <w:szCs w:val="22"/>
          <w:lang w:val="es-ES"/>
        </w:rPr>
        <w:t xml:space="preserve">                                            Concepto C –</w:t>
      </w:r>
      <w:r w:rsidR="00741EE1">
        <w:rPr>
          <w:rFonts w:ascii="Arial" w:eastAsia="Calibri" w:hAnsi="Arial" w:cs="Arial"/>
          <w:b/>
          <w:sz w:val="22"/>
          <w:szCs w:val="22"/>
          <w:lang w:val="es-ES"/>
        </w:rPr>
        <w:t xml:space="preserve"> </w:t>
      </w:r>
      <w:r w:rsidR="001A0317">
        <w:rPr>
          <w:rFonts w:ascii="Arial" w:eastAsia="Calibri" w:hAnsi="Arial" w:cs="Arial"/>
          <w:b/>
          <w:sz w:val="22"/>
          <w:szCs w:val="22"/>
          <w:lang w:val="es-ES"/>
        </w:rPr>
        <w:t>417</w:t>
      </w:r>
      <w:r w:rsidR="00741EE1">
        <w:rPr>
          <w:rFonts w:ascii="Arial" w:eastAsia="Calibri" w:hAnsi="Arial" w:cs="Arial"/>
          <w:b/>
          <w:sz w:val="22"/>
          <w:szCs w:val="22"/>
          <w:lang w:val="es-ES"/>
        </w:rPr>
        <w:t xml:space="preserve"> </w:t>
      </w:r>
      <w:r w:rsidRPr="00C00312">
        <w:rPr>
          <w:rFonts w:ascii="Arial" w:eastAsia="Calibri" w:hAnsi="Arial" w:cs="Arial"/>
          <w:b/>
          <w:sz w:val="22"/>
          <w:szCs w:val="22"/>
          <w:lang w:val="es-ES"/>
        </w:rPr>
        <w:t>de 202</w:t>
      </w:r>
      <w:r w:rsidR="001A0317">
        <w:rPr>
          <w:rFonts w:ascii="Arial" w:eastAsia="Calibri" w:hAnsi="Arial" w:cs="Arial"/>
          <w:b/>
          <w:sz w:val="22"/>
          <w:szCs w:val="22"/>
          <w:lang w:val="es-ES"/>
        </w:rPr>
        <w:t>2</w:t>
      </w:r>
    </w:p>
    <w:p w14:paraId="1698D01B" w14:textId="77777777" w:rsidR="003C7067" w:rsidRPr="00C00312" w:rsidRDefault="003C7067" w:rsidP="003C7067">
      <w:pPr>
        <w:rPr>
          <w:rFonts w:ascii="Arial" w:eastAsia="Calibri" w:hAnsi="Arial" w:cs="Arial"/>
          <w:b/>
          <w:sz w:val="22"/>
          <w:szCs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C7067" w:rsidRPr="00C00312" w14:paraId="7C1768E2" w14:textId="77777777" w:rsidTr="00C96E18">
        <w:trPr>
          <w:trHeight w:val="735"/>
        </w:trPr>
        <w:tc>
          <w:tcPr>
            <w:tcW w:w="2689" w:type="dxa"/>
          </w:tcPr>
          <w:p w14:paraId="7F7464C9" w14:textId="77777777" w:rsidR="003C7067" w:rsidRPr="00C00312" w:rsidRDefault="003C7067" w:rsidP="00406F4B">
            <w:pPr>
              <w:rPr>
                <w:rFonts w:ascii="Arial" w:eastAsia="Calibri" w:hAnsi="Arial" w:cs="Arial"/>
                <w:lang w:val="es-ES"/>
              </w:rPr>
            </w:pPr>
            <w:r w:rsidRPr="00C00312">
              <w:rPr>
                <w:rFonts w:ascii="Arial" w:eastAsia="Calibri" w:hAnsi="Arial" w:cs="Arial"/>
                <w:b/>
                <w:lang w:val="es-ES"/>
              </w:rPr>
              <w:t>Temas:</w:t>
            </w:r>
            <w:r w:rsidRPr="00C00312">
              <w:rPr>
                <w:rFonts w:ascii="Arial" w:eastAsia="Calibri" w:hAnsi="Arial" w:cs="Arial"/>
                <w:lang w:val="es-ES"/>
              </w:rPr>
              <w:t xml:space="preserve">                                      </w:t>
            </w:r>
          </w:p>
        </w:tc>
        <w:tc>
          <w:tcPr>
            <w:tcW w:w="6237" w:type="dxa"/>
          </w:tcPr>
          <w:p w14:paraId="68C37369" w14:textId="533DE96A" w:rsidR="007915CC" w:rsidRDefault="00176B64" w:rsidP="00F50819">
            <w:pPr>
              <w:jc w:val="both"/>
              <w:rPr>
                <w:rFonts w:ascii="Arial" w:eastAsia="Calibri" w:hAnsi="Arial" w:cs="Arial"/>
                <w:bCs/>
              </w:rPr>
            </w:pPr>
            <w:r w:rsidRPr="00176B64">
              <w:rPr>
                <w:rFonts w:ascii="Arial" w:eastAsia="Calibri" w:hAnsi="Arial" w:cs="Arial"/>
                <w:bCs/>
              </w:rPr>
              <w:t>DOCUMENTOS TIPO – Infraestructura de transporte – Versión 3 – Actividades de mejoramiento</w:t>
            </w:r>
            <w:r w:rsidR="0091605A">
              <w:rPr>
                <w:rFonts w:ascii="Arial" w:eastAsia="Calibri" w:hAnsi="Arial" w:cs="Arial"/>
                <w:bCs/>
              </w:rPr>
              <w:t xml:space="preserve"> / </w:t>
            </w:r>
            <w:r w:rsidR="00795911" w:rsidRPr="00795911">
              <w:rPr>
                <w:rFonts w:ascii="Arial" w:eastAsia="Calibri" w:hAnsi="Arial" w:cs="Arial"/>
                <w:bCs/>
              </w:rPr>
              <w:t>OBRAS DE INFRAESTRUCTURA – Actividades de mejoramiento</w:t>
            </w:r>
            <w:r w:rsidR="00795911">
              <w:rPr>
                <w:rFonts w:ascii="Arial" w:eastAsia="Calibri" w:hAnsi="Arial" w:cs="Arial"/>
                <w:bCs/>
              </w:rPr>
              <w:t xml:space="preserve"> / </w:t>
            </w:r>
            <w:r w:rsidR="00795911" w:rsidRPr="00795911">
              <w:rPr>
                <w:rFonts w:ascii="Arial" w:eastAsia="Calibri" w:hAnsi="Arial" w:cs="Arial"/>
                <w:bCs/>
              </w:rPr>
              <w:t>DOCUMENTOS TIPO DE INFRAESTRUCTURA DE TRANSPORTE – Actividades de mejoramiento – Matriz 1 – Experiencia</w:t>
            </w:r>
          </w:p>
          <w:p w14:paraId="2F4B7014" w14:textId="22E93C85" w:rsidR="00D6418E" w:rsidRPr="00F50819" w:rsidRDefault="00D6418E" w:rsidP="00F50819">
            <w:pPr>
              <w:jc w:val="both"/>
              <w:rPr>
                <w:rFonts w:ascii="Arial" w:hAnsi="Arial" w:cs="Arial"/>
                <w:bCs/>
                <w:sz w:val="20"/>
                <w:szCs w:val="20"/>
              </w:rPr>
            </w:pPr>
          </w:p>
        </w:tc>
      </w:tr>
      <w:tr w:rsidR="003C7067" w:rsidRPr="00C00312" w14:paraId="60D249F0" w14:textId="77777777" w:rsidTr="00406F4B">
        <w:tc>
          <w:tcPr>
            <w:tcW w:w="2689" w:type="dxa"/>
          </w:tcPr>
          <w:p w14:paraId="291F9A18" w14:textId="768E00AF" w:rsidR="003C7067" w:rsidRPr="00C00312" w:rsidRDefault="0094584C" w:rsidP="00406F4B">
            <w:pPr>
              <w:rPr>
                <w:rFonts w:ascii="Arial" w:eastAsia="Calibri" w:hAnsi="Arial" w:cs="Arial"/>
                <w:lang w:val="es-ES"/>
              </w:rPr>
            </w:pPr>
            <w:r>
              <w:rPr>
                <w:rFonts w:ascii="Arial" w:eastAsia="Calibri" w:hAnsi="Arial" w:cs="Arial"/>
                <w:b/>
                <w:lang w:val="es-ES"/>
              </w:rPr>
              <w:t xml:space="preserve">  </w:t>
            </w:r>
            <w:r w:rsidR="003C7067" w:rsidRPr="00C00312">
              <w:rPr>
                <w:rFonts w:ascii="Arial" w:eastAsia="Calibri" w:hAnsi="Arial" w:cs="Arial"/>
                <w:b/>
                <w:lang w:val="es-ES"/>
              </w:rPr>
              <w:t>Radicación:</w:t>
            </w:r>
            <w:r w:rsidR="003C7067" w:rsidRPr="00C00312">
              <w:rPr>
                <w:rFonts w:ascii="Arial" w:eastAsia="Calibri" w:hAnsi="Arial" w:cs="Arial"/>
                <w:lang w:val="es-ES"/>
              </w:rPr>
              <w:t xml:space="preserve">                              </w:t>
            </w:r>
          </w:p>
        </w:tc>
        <w:tc>
          <w:tcPr>
            <w:tcW w:w="6237" w:type="dxa"/>
          </w:tcPr>
          <w:p w14:paraId="3C674517" w14:textId="486E9569" w:rsidR="003C7067" w:rsidRPr="00C00312" w:rsidRDefault="003C7067" w:rsidP="00406F4B">
            <w:pPr>
              <w:rPr>
                <w:rFonts w:ascii="Arial" w:eastAsia="Calibri" w:hAnsi="Arial" w:cs="Arial"/>
                <w:lang w:val="es-ES"/>
              </w:rPr>
            </w:pPr>
            <w:r w:rsidRPr="00C00312">
              <w:rPr>
                <w:rFonts w:ascii="Arial" w:eastAsia="Calibri" w:hAnsi="Arial" w:cs="Arial"/>
                <w:lang w:val="es-ES"/>
              </w:rPr>
              <w:t xml:space="preserve">Respuesta a consulta </w:t>
            </w:r>
            <w:r w:rsidR="00741EE1" w:rsidRPr="008B2DD4">
              <w:rPr>
                <w:rFonts w:ascii="Arial" w:hAnsi="Arial" w:cs="Arial"/>
                <w:lang w:val="es-ES"/>
              </w:rPr>
              <w:t>P202</w:t>
            </w:r>
            <w:r w:rsidR="00903E92">
              <w:rPr>
                <w:rFonts w:ascii="Arial" w:hAnsi="Arial" w:cs="Arial"/>
                <w:lang w:val="es-ES"/>
              </w:rPr>
              <w:t>20516004817</w:t>
            </w:r>
          </w:p>
        </w:tc>
      </w:tr>
    </w:tbl>
    <w:p w14:paraId="7E6B5A12" w14:textId="77777777" w:rsidR="003C7067" w:rsidRPr="00C00312" w:rsidRDefault="003C7067" w:rsidP="003C7067">
      <w:pPr>
        <w:spacing w:line="276" w:lineRule="auto"/>
        <w:rPr>
          <w:rFonts w:ascii="Arial" w:eastAsia="Calibri" w:hAnsi="Arial" w:cs="Arial"/>
          <w:sz w:val="22"/>
          <w:szCs w:val="22"/>
          <w:lang w:val="es-ES"/>
        </w:rPr>
      </w:pPr>
    </w:p>
    <w:p w14:paraId="776B553A" w14:textId="77777777" w:rsidR="003C7067" w:rsidRPr="00C00312" w:rsidRDefault="003C7067" w:rsidP="003C7067">
      <w:pPr>
        <w:spacing w:line="276" w:lineRule="auto"/>
        <w:rPr>
          <w:rFonts w:ascii="Arial" w:eastAsia="Calibri" w:hAnsi="Arial" w:cs="Arial"/>
          <w:sz w:val="22"/>
          <w:szCs w:val="22"/>
          <w:lang w:val="es-ES"/>
        </w:rPr>
      </w:pPr>
    </w:p>
    <w:p w14:paraId="6BB19977" w14:textId="0D874BAA" w:rsidR="003C7067" w:rsidRPr="00C00312" w:rsidRDefault="0094584C" w:rsidP="003C7067">
      <w:pPr>
        <w:tabs>
          <w:tab w:val="left" w:pos="3736"/>
        </w:tabs>
        <w:spacing w:line="276" w:lineRule="auto"/>
        <w:rPr>
          <w:rFonts w:ascii="Arial" w:eastAsia="Calibri" w:hAnsi="Arial" w:cs="Arial"/>
          <w:sz w:val="22"/>
          <w:szCs w:val="22"/>
          <w:lang w:val="es-ES"/>
        </w:rPr>
      </w:pPr>
      <w:r w:rsidRPr="00C00312">
        <w:rPr>
          <w:rFonts w:ascii="Arial" w:eastAsia="Calibri" w:hAnsi="Arial" w:cs="Arial"/>
          <w:sz w:val="22"/>
          <w:szCs w:val="22"/>
          <w:lang w:val="es-ES"/>
        </w:rPr>
        <w:t>Estimado señor</w:t>
      </w:r>
      <w:r w:rsidR="00903E92">
        <w:rPr>
          <w:rFonts w:ascii="Arial" w:eastAsia="Calibri" w:hAnsi="Arial" w:cs="Arial"/>
          <w:sz w:val="22"/>
          <w:szCs w:val="22"/>
          <w:lang w:val="es-ES"/>
        </w:rPr>
        <w:t xml:space="preserve"> Bello Leal</w:t>
      </w:r>
      <w:r w:rsidR="003C7067" w:rsidRPr="00C00312">
        <w:rPr>
          <w:rFonts w:ascii="Arial" w:eastAsia="Calibri" w:hAnsi="Arial" w:cs="Arial"/>
          <w:sz w:val="22"/>
          <w:szCs w:val="22"/>
          <w:lang w:val="es-ES"/>
        </w:rPr>
        <w:t>:</w:t>
      </w:r>
      <w:r w:rsidR="003C7067" w:rsidRPr="00C00312">
        <w:rPr>
          <w:rFonts w:ascii="Arial" w:eastAsia="Calibri" w:hAnsi="Arial" w:cs="Arial"/>
          <w:sz w:val="22"/>
          <w:szCs w:val="22"/>
          <w:lang w:val="es-ES"/>
        </w:rPr>
        <w:tab/>
      </w:r>
    </w:p>
    <w:p w14:paraId="17594CC4" w14:textId="77777777" w:rsidR="003C7067" w:rsidRPr="00C00312" w:rsidRDefault="003C7067" w:rsidP="003C7067">
      <w:pPr>
        <w:spacing w:line="276" w:lineRule="auto"/>
        <w:rPr>
          <w:rFonts w:ascii="Arial" w:eastAsia="Calibri" w:hAnsi="Arial" w:cs="Arial"/>
          <w:sz w:val="22"/>
          <w:szCs w:val="22"/>
          <w:lang w:val="es-ES"/>
        </w:rPr>
      </w:pPr>
    </w:p>
    <w:p w14:paraId="57E2A948" w14:textId="748050FE" w:rsidR="003C7067" w:rsidRPr="00C00312" w:rsidRDefault="003C7067" w:rsidP="003C7067">
      <w:pPr>
        <w:spacing w:line="276" w:lineRule="auto"/>
        <w:jc w:val="both"/>
        <w:rPr>
          <w:rFonts w:ascii="Arial" w:eastAsia="Calibri" w:hAnsi="Arial" w:cs="Arial"/>
          <w:sz w:val="22"/>
          <w:szCs w:val="22"/>
          <w:lang w:val="es-ES"/>
        </w:rPr>
      </w:pPr>
      <w:r w:rsidRPr="00C00312">
        <w:rPr>
          <w:rFonts w:ascii="Arial" w:eastAsia="Calibri" w:hAnsi="Arial" w:cs="Arial"/>
          <w:sz w:val="22"/>
          <w:szCs w:val="22"/>
          <w:lang w:val="es-ES"/>
        </w:rPr>
        <w:t xml:space="preserve">La Agencia Nacional de Contratación Pública – Colombia Compra Eficiente responde su consulta del </w:t>
      </w:r>
      <w:r w:rsidR="00903E92">
        <w:rPr>
          <w:rFonts w:ascii="Arial" w:eastAsia="Calibri" w:hAnsi="Arial" w:cs="Arial"/>
          <w:sz w:val="22"/>
          <w:szCs w:val="22"/>
          <w:lang w:val="es-ES"/>
        </w:rPr>
        <w:t>16</w:t>
      </w:r>
      <w:r w:rsidR="00741EE1" w:rsidRPr="00C00312">
        <w:rPr>
          <w:rFonts w:ascii="Arial" w:eastAsia="Calibri" w:hAnsi="Arial" w:cs="Arial"/>
          <w:sz w:val="22"/>
          <w:szCs w:val="22"/>
          <w:lang w:val="es-ES"/>
        </w:rPr>
        <w:t xml:space="preserve"> </w:t>
      </w:r>
      <w:r w:rsidRPr="00C00312">
        <w:rPr>
          <w:rFonts w:ascii="Arial" w:eastAsia="Calibri" w:hAnsi="Arial" w:cs="Arial"/>
          <w:sz w:val="22"/>
          <w:szCs w:val="22"/>
          <w:lang w:val="es-ES"/>
        </w:rPr>
        <w:t>de</w:t>
      </w:r>
      <w:r w:rsidR="001F772D">
        <w:rPr>
          <w:rFonts w:ascii="Arial" w:eastAsia="Calibri" w:hAnsi="Arial" w:cs="Arial"/>
          <w:sz w:val="22"/>
          <w:szCs w:val="22"/>
          <w:lang w:val="es-ES"/>
        </w:rPr>
        <w:t xml:space="preserve"> </w:t>
      </w:r>
      <w:r w:rsidR="00903E92">
        <w:rPr>
          <w:rFonts w:ascii="Arial" w:eastAsia="Calibri" w:hAnsi="Arial" w:cs="Arial"/>
          <w:sz w:val="22"/>
          <w:szCs w:val="22"/>
          <w:lang w:val="es-ES"/>
        </w:rPr>
        <w:t>mayo</w:t>
      </w:r>
      <w:r w:rsidRPr="00C00312">
        <w:rPr>
          <w:rFonts w:ascii="Arial" w:eastAsia="Calibri" w:hAnsi="Arial" w:cs="Arial"/>
          <w:sz w:val="22"/>
          <w:szCs w:val="22"/>
          <w:lang w:val="es-ES"/>
        </w:rPr>
        <w:t xml:space="preserve"> de 202</w:t>
      </w:r>
      <w:r w:rsidR="00903E92">
        <w:rPr>
          <w:rFonts w:ascii="Arial" w:eastAsia="Calibri" w:hAnsi="Arial" w:cs="Arial"/>
          <w:sz w:val="22"/>
          <w:szCs w:val="22"/>
          <w:lang w:val="es-ES"/>
        </w:rPr>
        <w:t>2</w:t>
      </w:r>
      <w:r w:rsidRPr="00C00312">
        <w:rPr>
          <w:rFonts w:ascii="Arial" w:eastAsia="Calibri" w:hAnsi="Arial" w:cs="Arial"/>
          <w:sz w:val="22"/>
          <w:szCs w:val="22"/>
          <w:lang w:val="es-ES"/>
        </w:rPr>
        <w:t xml:space="preserve">, en ejercicio de la competencia otorgada por el numeral 8 del artículo 11 y el numeral 5 del artículo 3 del Decreto Ley 4170 de 2011. </w:t>
      </w:r>
    </w:p>
    <w:p w14:paraId="2D852432" w14:textId="77777777" w:rsidR="003C7067" w:rsidRPr="00C00312" w:rsidRDefault="003C7067" w:rsidP="003C7067">
      <w:pPr>
        <w:pStyle w:val="Prrafodelista"/>
        <w:spacing w:line="276" w:lineRule="auto"/>
        <w:ind w:left="0"/>
        <w:rPr>
          <w:rFonts w:ascii="Arial" w:eastAsia="Calibri" w:hAnsi="Arial" w:cs="Arial"/>
          <w:sz w:val="22"/>
          <w:lang w:val="es-ES"/>
        </w:rPr>
      </w:pPr>
    </w:p>
    <w:p w14:paraId="67CA615C" w14:textId="77777777" w:rsidR="003C7067" w:rsidRPr="00C00312" w:rsidRDefault="003C7067" w:rsidP="003C7067">
      <w:pPr>
        <w:tabs>
          <w:tab w:val="left" w:pos="0"/>
        </w:tabs>
        <w:spacing w:line="276" w:lineRule="auto"/>
        <w:jc w:val="both"/>
        <w:rPr>
          <w:rFonts w:ascii="Arial" w:eastAsia="Calibri" w:hAnsi="Arial" w:cs="Arial"/>
          <w:b/>
          <w:sz w:val="22"/>
          <w:szCs w:val="22"/>
          <w:lang w:val="es-ES"/>
        </w:rPr>
      </w:pPr>
      <w:r w:rsidRPr="00C00312">
        <w:rPr>
          <w:rFonts w:ascii="Arial" w:eastAsia="Calibri" w:hAnsi="Arial" w:cs="Arial"/>
          <w:b/>
          <w:sz w:val="22"/>
          <w:szCs w:val="22"/>
          <w:lang w:val="es-ES"/>
        </w:rPr>
        <w:t>1. Problema planteado</w:t>
      </w:r>
    </w:p>
    <w:p w14:paraId="5A060666" w14:textId="77777777" w:rsidR="003C7067" w:rsidRPr="00C00312" w:rsidRDefault="003C7067" w:rsidP="003C7067">
      <w:pPr>
        <w:rPr>
          <w:rFonts w:ascii="Arial" w:eastAsia="Calibri" w:hAnsi="Arial" w:cs="Arial"/>
          <w:sz w:val="22"/>
          <w:szCs w:val="22"/>
          <w:lang w:val="es-ES"/>
        </w:rPr>
      </w:pPr>
    </w:p>
    <w:p w14:paraId="061C407B" w14:textId="52D38C46" w:rsidR="00741EE1" w:rsidRPr="00C00312" w:rsidRDefault="003C7067" w:rsidP="003C7067">
      <w:pPr>
        <w:spacing w:line="276" w:lineRule="auto"/>
        <w:jc w:val="both"/>
        <w:rPr>
          <w:rFonts w:ascii="Arial" w:eastAsia="Calibri" w:hAnsi="Arial" w:cs="Arial"/>
          <w:sz w:val="22"/>
          <w:szCs w:val="22"/>
          <w:lang w:val="es-ES"/>
        </w:rPr>
      </w:pPr>
      <w:r w:rsidRPr="00C00312">
        <w:rPr>
          <w:rFonts w:ascii="Arial" w:eastAsia="Calibri" w:hAnsi="Arial" w:cs="Arial"/>
          <w:sz w:val="22"/>
          <w:szCs w:val="22"/>
          <w:lang w:val="es-ES"/>
        </w:rPr>
        <w:t xml:space="preserve">Usted realiza la siguiente pregunta: </w:t>
      </w:r>
    </w:p>
    <w:p w14:paraId="3E00A2D4" w14:textId="77777777" w:rsidR="003C7067" w:rsidRPr="00C00312" w:rsidRDefault="003C7067" w:rsidP="003C7067">
      <w:pPr>
        <w:spacing w:line="276" w:lineRule="auto"/>
        <w:jc w:val="both"/>
        <w:rPr>
          <w:rFonts w:ascii="Arial" w:eastAsia="Calibri" w:hAnsi="Arial" w:cs="Arial"/>
          <w:sz w:val="22"/>
          <w:szCs w:val="22"/>
          <w:lang w:val="es-ES"/>
        </w:rPr>
      </w:pPr>
    </w:p>
    <w:p w14:paraId="2C4B2B60" w14:textId="246C1A93" w:rsidR="003C7067" w:rsidRPr="00903E92" w:rsidRDefault="003C7067" w:rsidP="00903E92">
      <w:pPr>
        <w:pStyle w:val="NormalWeb"/>
        <w:spacing w:before="0" w:beforeAutospacing="0" w:after="0" w:afterAutospacing="0"/>
        <w:ind w:left="709" w:right="709"/>
        <w:jc w:val="both"/>
        <w:rPr>
          <w:rFonts w:ascii="Arial" w:eastAsia="Calibri" w:hAnsi="Arial" w:cs="Arial"/>
          <w:sz w:val="22"/>
          <w:szCs w:val="22"/>
          <w:lang w:val="es-ES"/>
        </w:rPr>
      </w:pPr>
      <w:r w:rsidRPr="00B41C03">
        <w:rPr>
          <w:rFonts w:ascii="Arial" w:eastAsia="Calibri" w:hAnsi="Arial" w:cs="Arial"/>
          <w:sz w:val="22"/>
          <w:szCs w:val="22"/>
          <w:lang w:val="es-ES"/>
        </w:rPr>
        <w:t>«</w:t>
      </w:r>
      <w:r w:rsidR="00903E92" w:rsidRPr="00903E92">
        <w:rPr>
          <w:rFonts w:ascii="Arial" w:eastAsia="Calibri" w:hAnsi="Arial" w:cs="Arial"/>
          <w:sz w:val="22"/>
          <w:szCs w:val="22"/>
          <w:lang w:val="es-ES"/>
        </w:rPr>
        <w:t>Elevamos</w:t>
      </w:r>
      <w:r w:rsidR="00903E92">
        <w:rPr>
          <w:rFonts w:ascii="Arial" w:eastAsia="Calibri" w:hAnsi="Arial" w:cs="Arial"/>
          <w:sz w:val="22"/>
          <w:szCs w:val="22"/>
          <w:lang w:val="es-ES"/>
        </w:rPr>
        <w:t xml:space="preserve"> </w:t>
      </w:r>
      <w:r w:rsidR="00903E92" w:rsidRPr="00903E92">
        <w:rPr>
          <w:rFonts w:ascii="Arial" w:eastAsia="Calibri" w:hAnsi="Arial" w:cs="Arial"/>
          <w:sz w:val="22"/>
          <w:szCs w:val="22"/>
          <w:lang w:val="es-ES"/>
        </w:rPr>
        <w:t>esta</w:t>
      </w:r>
      <w:r w:rsidR="00903E92">
        <w:rPr>
          <w:rFonts w:ascii="Arial" w:eastAsia="Calibri" w:hAnsi="Arial" w:cs="Arial"/>
          <w:sz w:val="22"/>
          <w:szCs w:val="22"/>
          <w:lang w:val="es-ES"/>
        </w:rPr>
        <w:t xml:space="preserve"> </w:t>
      </w:r>
      <w:r w:rsidR="00903E92" w:rsidRPr="00903E92">
        <w:rPr>
          <w:rFonts w:ascii="Arial" w:eastAsia="Calibri" w:hAnsi="Arial" w:cs="Arial"/>
          <w:sz w:val="22"/>
          <w:szCs w:val="22"/>
          <w:lang w:val="es-ES"/>
        </w:rPr>
        <w:t>consulta</w:t>
      </w:r>
      <w:r w:rsidR="00903E92">
        <w:rPr>
          <w:rFonts w:ascii="Arial" w:eastAsia="Calibri" w:hAnsi="Arial" w:cs="Arial"/>
          <w:sz w:val="22"/>
          <w:szCs w:val="22"/>
          <w:lang w:val="es-ES"/>
        </w:rPr>
        <w:t xml:space="preserve"> </w:t>
      </w:r>
      <w:r w:rsidR="00903E92" w:rsidRPr="00903E92">
        <w:rPr>
          <w:rFonts w:ascii="Arial" w:eastAsia="Calibri" w:hAnsi="Arial" w:cs="Arial"/>
          <w:sz w:val="22"/>
          <w:szCs w:val="22"/>
          <w:lang w:val="es-ES"/>
        </w:rPr>
        <w:t>a</w:t>
      </w:r>
      <w:r w:rsidR="00903E92">
        <w:rPr>
          <w:rFonts w:ascii="Arial" w:eastAsia="Calibri" w:hAnsi="Arial" w:cs="Arial"/>
          <w:sz w:val="22"/>
          <w:szCs w:val="22"/>
          <w:lang w:val="es-ES"/>
        </w:rPr>
        <w:t xml:space="preserve"> </w:t>
      </w:r>
      <w:r w:rsidR="00903E92" w:rsidRPr="00903E92">
        <w:rPr>
          <w:rFonts w:ascii="Arial" w:eastAsia="Calibri" w:hAnsi="Arial" w:cs="Arial"/>
          <w:sz w:val="22"/>
          <w:szCs w:val="22"/>
          <w:lang w:val="es-ES"/>
        </w:rPr>
        <w:t>Colombia</w:t>
      </w:r>
      <w:r w:rsidR="00903E92">
        <w:rPr>
          <w:rFonts w:ascii="Arial" w:eastAsia="Calibri" w:hAnsi="Arial" w:cs="Arial"/>
          <w:sz w:val="22"/>
          <w:szCs w:val="22"/>
          <w:lang w:val="es-ES"/>
        </w:rPr>
        <w:t xml:space="preserve"> </w:t>
      </w:r>
      <w:r w:rsidR="00903E92" w:rsidRPr="00903E92">
        <w:rPr>
          <w:rFonts w:ascii="Arial" w:eastAsia="Calibri" w:hAnsi="Arial" w:cs="Arial"/>
          <w:sz w:val="22"/>
          <w:szCs w:val="22"/>
          <w:lang w:val="es-ES"/>
        </w:rPr>
        <w:t>Compra</w:t>
      </w:r>
      <w:r w:rsidR="00903E92">
        <w:rPr>
          <w:rFonts w:ascii="Arial" w:eastAsia="Calibri" w:hAnsi="Arial" w:cs="Arial"/>
          <w:sz w:val="22"/>
          <w:szCs w:val="22"/>
          <w:lang w:val="es-ES"/>
        </w:rPr>
        <w:t xml:space="preserve"> </w:t>
      </w:r>
      <w:r w:rsidR="00903E92" w:rsidRPr="00903E92">
        <w:rPr>
          <w:rFonts w:ascii="Arial" w:eastAsia="Calibri" w:hAnsi="Arial" w:cs="Arial"/>
          <w:sz w:val="22"/>
          <w:szCs w:val="22"/>
          <w:lang w:val="es-ES"/>
        </w:rPr>
        <w:t>Eficiente,</w:t>
      </w:r>
      <w:r w:rsidR="00903E92">
        <w:rPr>
          <w:rFonts w:ascii="Arial" w:eastAsia="Calibri" w:hAnsi="Arial" w:cs="Arial"/>
          <w:sz w:val="22"/>
          <w:szCs w:val="22"/>
          <w:lang w:val="es-ES"/>
        </w:rPr>
        <w:t xml:space="preserve"> </w:t>
      </w:r>
      <w:r w:rsidR="00903E92" w:rsidRPr="00903E92">
        <w:rPr>
          <w:rFonts w:ascii="Arial" w:eastAsia="Calibri" w:hAnsi="Arial" w:cs="Arial"/>
          <w:sz w:val="22"/>
          <w:szCs w:val="22"/>
          <w:lang w:val="es-ES"/>
        </w:rPr>
        <w:t>para</w:t>
      </w:r>
      <w:r w:rsidR="00903E92">
        <w:rPr>
          <w:rFonts w:ascii="Arial" w:eastAsia="Calibri" w:hAnsi="Arial" w:cs="Arial"/>
          <w:sz w:val="22"/>
          <w:szCs w:val="22"/>
          <w:lang w:val="es-ES"/>
        </w:rPr>
        <w:t xml:space="preserve"> </w:t>
      </w:r>
      <w:r w:rsidR="00903E92" w:rsidRPr="00903E92">
        <w:rPr>
          <w:rFonts w:ascii="Arial" w:eastAsia="Calibri" w:hAnsi="Arial" w:cs="Arial"/>
          <w:sz w:val="22"/>
          <w:szCs w:val="22"/>
          <w:lang w:val="es-ES"/>
        </w:rPr>
        <w:t>que</w:t>
      </w:r>
      <w:r w:rsidR="00903E92">
        <w:rPr>
          <w:rFonts w:ascii="Arial" w:eastAsia="Calibri" w:hAnsi="Arial" w:cs="Arial"/>
          <w:sz w:val="22"/>
          <w:szCs w:val="22"/>
          <w:lang w:val="es-ES"/>
        </w:rPr>
        <w:t xml:space="preserve"> </w:t>
      </w:r>
      <w:r w:rsidR="00903E92" w:rsidRPr="00903E92">
        <w:rPr>
          <w:rFonts w:ascii="Arial" w:eastAsia="Calibri" w:hAnsi="Arial" w:cs="Arial"/>
          <w:sz w:val="22"/>
          <w:szCs w:val="22"/>
          <w:lang w:val="es-ES"/>
        </w:rPr>
        <w:t>se</w:t>
      </w:r>
      <w:r w:rsidR="00903E92">
        <w:rPr>
          <w:rFonts w:ascii="Arial" w:eastAsia="Calibri" w:hAnsi="Arial" w:cs="Arial"/>
          <w:sz w:val="22"/>
          <w:szCs w:val="22"/>
          <w:lang w:val="es-ES"/>
        </w:rPr>
        <w:t xml:space="preserve"> </w:t>
      </w:r>
      <w:r w:rsidR="00903E92" w:rsidRPr="00903E92">
        <w:rPr>
          <w:rFonts w:ascii="Arial" w:eastAsia="Calibri" w:hAnsi="Arial" w:cs="Arial"/>
          <w:sz w:val="22"/>
          <w:szCs w:val="22"/>
          <w:lang w:val="es-ES"/>
        </w:rPr>
        <w:t>nos</w:t>
      </w:r>
      <w:r w:rsidR="00903E92">
        <w:rPr>
          <w:rFonts w:ascii="Arial" w:eastAsia="Calibri" w:hAnsi="Arial" w:cs="Arial"/>
          <w:sz w:val="22"/>
          <w:szCs w:val="22"/>
          <w:lang w:val="es-ES"/>
        </w:rPr>
        <w:t xml:space="preserve"> </w:t>
      </w:r>
      <w:r w:rsidR="00903E92" w:rsidRPr="00903E92">
        <w:rPr>
          <w:rFonts w:ascii="Arial" w:eastAsia="Calibri" w:hAnsi="Arial" w:cs="Arial"/>
          <w:sz w:val="22"/>
          <w:szCs w:val="22"/>
          <w:lang w:val="es-ES"/>
        </w:rPr>
        <w:t>aclare</w:t>
      </w:r>
      <w:r w:rsidR="00903E92">
        <w:rPr>
          <w:rFonts w:ascii="Arial" w:eastAsia="Calibri" w:hAnsi="Arial" w:cs="Arial"/>
          <w:sz w:val="22"/>
          <w:szCs w:val="22"/>
          <w:lang w:val="es-ES"/>
        </w:rPr>
        <w:t xml:space="preserve"> </w:t>
      </w:r>
      <w:r w:rsidR="00903E92" w:rsidRPr="00903E92">
        <w:rPr>
          <w:rFonts w:ascii="Arial" w:eastAsia="Calibri" w:hAnsi="Arial" w:cs="Arial"/>
          <w:sz w:val="22"/>
          <w:szCs w:val="22"/>
          <w:lang w:val="es-ES"/>
        </w:rPr>
        <w:t>si</w:t>
      </w:r>
      <w:r w:rsidR="00903E92">
        <w:rPr>
          <w:rFonts w:ascii="Arial" w:eastAsia="Calibri" w:hAnsi="Arial" w:cs="Arial"/>
          <w:sz w:val="22"/>
          <w:szCs w:val="22"/>
          <w:lang w:val="es-ES"/>
        </w:rPr>
        <w:t xml:space="preserve"> </w:t>
      </w:r>
      <w:r w:rsidR="00903E92" w:rsidRPr="00903E92">
        <w:rPr>
          <w:rFonts w:ascii="Arial" w:eastAsia="Calibri" w:hAnsi="Arial" w:cs="Arial"/>
          <w:sz w:val="22"/>
          <w:szCs w:val="22"/>
          <w:lang w:val="es-ES"/>
        </w:rPr>
        <w:t>es</w:t>
      </w:r>
      <w:r w:rsidR="00903E92">
        <w:rPr>
          <w:rFonts w:ascii="Arial" w:eastAsia="Calibri" w:hAnsi="Arial" w:cs="Arial"/>
          <w:sz w:val="22"/>
          <w:szCs w:val="22"/>
          <w:lang w:val="es-ES"/>
        </w:rPr>
        <w:t xml:space="preserve"> </w:t>
      </w:r>
      <w:r w:rsidR="00903E92" w:rsidRPr="00903E92">
        <w:rPr>
          <w:rFonts w:ascii="Arial" w:eastAsia="Calibri" w:hAnsi="Arial" w:cs="Arial"/>
          <w:sz w:val="22"/>
          <w:szCs w:val="22"/>
          <w:lang w:val="es-ES"/>
        </w:rPr>
        <w:t>posible</w:t>
      </w:r>
      <w:r w:rsidR="00903E92">
        <w:rPr>
          <w:rFonts w:ascii="Arial" w:eastAsia="Calibri" w:hAnsi="Arial" w:cs="Arial"/>
          <w:sz w:val="22"/>
          <w:szCs w:val="22"/>
          <w:lang w:val="es-ES"/>
        </w:rPr>
        <w:t xml:space="preserve"> </w:t>
      </w:r>
      <w:r w:rsidR="00903E92" w:rsidRPr="00903E92">
        <w:rPr>
          <w:rFonts w:ascii="Arial" w:eastAsia="Calibri" w:hAnsi="Arial" w:cs="Arial"/>
          <w:sz w:val="22"/>
          <w:szCs w:val="22"/>
          <w:lang w:val="es-ES"/>
        </w:rPr>
        <w:t>que</w:t>
      </w:r>
      <w:r w:rsidR="00903E92">
        <w:rPr>
          <w:rFonts w:ascii="Arial" w:eastAsia="Calibri" w:hAnsi="Arial" w:cs="Arial"/>
          <w:sz w:val="22"/>
          <w:szCs w:val="22"/>
          <w:lang w:val="es-ES"/>
        </w:rPr>
        <w:t xml:space="preserve"> </w:t>
      </w:r>
      <w:r w:rsidR="00903E92" w:rsidRPr="00903E92">
        <w:rPr>
          <w:rFonts w:ascii="Arial" w:eastAsia="Calibri" w:hAnsi="Arial" w:cs="Arial"/>
          <w:sz w:val="22"/>
          <w:szCs w:val="22"/>
          <w:lang w:val="es-ES"/>
        </w:rPr>
        <w:t>los</w:t>
      </w:r>
      <w:r w:rsidR="00903E92">
        <w:rPr>
          <w:rFonts w:ascii="Arial" w:eastAsia="Calibri" w:hAnsi="Arial" w:cs="Arial"/>
          <w:sz w:val="22"/>
          <w:szCs w:val="22"/>
          <w:lang w:val="es-ES"/>
        </w:rPr>
        <w:t xml:space="preserve"> </w:t>
      </w:r>
      <w:r w:rsidR="00903E92" w:rsidRPr="00903E92">
        <w:rPr>
          <w:rFonts w:ascii="Arial" w:eastAsia="Calibri" w:hAnsi="Arial" w:cs="Arial"/>
          <w:sz w:val="22"/>
          <w:szCs w:val="22"/>
          <w:lang w:val="es-ES"/>
        </w:rPr>
        <w:t>contratos</w:t>
      </w:r>
      <w:r w:rsidR="00903E92">
        <w:rPr>
          <w:rFonts w:ascii="Arial" w:eastAsia="Calibri" w:hAnsi="Arial" w:cs="Arial"/>
          <w:sz w:val="22"/>
          <w:szCs w:val="22"/>
          <w:lang w:val="es-ES"/>
        </w:rPr>
        <w:t xml:space="preserve"> </w:t>
      </w:r>
      <w:r w:rsidR="00903E92" w:rsidRPr="00903E92">
        <w:rPr>
          <w:rFonts w:ascii="Arial" w:eastAsia="Calibri" w:hAnsi="Arial" w:cs="Arial"/>
          <w:sz w:val="22"/>
          <w:szCs w:val="22"/>
          <w:lang w:val="es-ES"/>
        </w:rPr>
        <w:t>de</w:t>
      </w:r>
      <w:r w:rsidR="00903E92">
        <w:rPr>
          <w:rFonts w:ascii="Arial" w:eastAsia="Calibri" w:hAnsi="Arial" w:cs="Arial"/>
          <w:sz w:val="22"/>
          <w:szCs w:val="22"/>
          <w:lang w:val="es-ES"/>
        </w:rPr>
        <w:t xml:space="preserve"> </w:t>
      </w:r>
      <w:r w:rsidR="00903E92" w:rsidRPr="00903E92">
        <w:rPr>
          <w:rFonts w:ascii="Arial" w:eastAsia="Calibri" w:hAnsi="Arial" w:cs="Arial"/>
          <w:sz w:val="22"/>
          <w:szCs w:val="22"/>
          <w:lang w:val="es-ES"/>
        </w:rPr>
        <w:t>ACONDICIONAMIENTO</w:t>
      </w:r>
      <w:r w:rsidR="00903E92">
        <w:rPr>
          <w:rFonts w:ascii="Arial" w:eastAsia="Calibri" w:hAnsi="Arial" w:cs="Arial"/>
          <w:sz w:val="22"/>
          <w:szCs w:val="22"/>
          <w:lang w:val="es-ES"/>
        </w:rPr>
        <w:t xml:space="preserve"> </w:t>
      </w:r>
      <w:r w:rsidR="00903E92" w:rsidRPr="00903E92">
        <w:rPr>
          <w:rFonts w:ascii="Arial" w:eastAsia="Calibri" w:hAnsi="Arial" w:cs="Arial"/>
          <w:sz w:val="22"/>
          <w:szCs w:val="22"/>
          <w:lang w:val="es-ES"/>
        </w:rPr>
        <w:t>DE</w:t>
      </w:r>
      <w:r w:rsidR="00903E92">
        <w:rPr>
          <w:rFonts w:ascii="Arial" w:eastAsia="Calibri" w:hAnsi="Arial" w:cs="Arial"/>
          <w:sz w:val="22"/>
          <w:szCs w:val="22"/>
          <w:lang w:val="es-ES"/>
        </w:rPr>
        <w:t xml:space="preserve"> </w:t>
      </w:r>
      <w:r w:rsidR="00903E92" w:rsidRPr="00903E92">
        <w:rPr>
          <w:rFonts w:ascii="Arial" w:eastAsia="Calibri" w:hAnsi="Arial" w:cs="Arial"/>
          <w:sz w:val="22"/>
          <w:szCs w:val="22"/>
          <w:lang w:val="es-ES"/>
        </w:rPr>
        <w:t>VÍAS</w:t>
      </w:r>
      <w:r w:rsidR="00903E92">
        <w:rPr>
          <w:rFonts w:ascii="Arial" w:eastAsia="Calibri" w:hAnsi="Arial" w:cs="Arial"/>
          <w:sz w:val="22"/>
          <w:szCs w:val="22"/>
          <w:lang w:val="es-ES"/>
        </w:rPr>
        <w:t xml:space="preserve"> </w:t>
      </w:r>
      <w:r w:rsidR="00903E92" w:rsidRPr="00903E92">
        <w:rPr>
          <w:rFonts w:ascii="Arial" w:eastAsia="Calibri" w:hAnsi="Arial" w:cs="Arial"/>
          <w:sz w:val="22"/>
          <w:szCs w:val="22"/>
          <w:lang w:val="es-ES"/>
        </w:rPr>
        <w:t>Y/O</w:t>
      </w:r>
      <w:r w:rsidR="00903E92">
        <w:rPr>
          <w:rFonts w:ascii="Arial" w:eastAsia="Calibri" w:hAnsi="Arial" w:cs="Arial"/>
          <w:sz w:val="22"/>
          <w:szCs w:val="22"/>
          <w:lang w:val="es-ES"/>
        </w:rPr>
        <w:t xml:space="preserve"> </w:t>
      </w:r>
      <w:r w:rsidR="00903E92" w:rsidRPr="00903E92">
        <w:rPr>
          <w:rFonts w:ascii="Arial" w:eastAsia="Calibri" w:hAnsi="Arial" w:cs="Arial"/>
          <w:sz w:val="22"/>
          <w:szCs w:val="22"/>
          <w:lang w:val="es-ES"/>
        </w:rPr>
        <w:t>CARRETERAS</w:t>
      </w:r>
      <w:r w:rsidR="00903E92">
        <w:rPr>
          <w:rFonts w:ascii="Arial" w:eastAsia="Calibri" w:hAnsi="Arial" w:cs="Arial"/>
          <w:sz w:val="22"/>
          <w:szCs w:val="22"/>
          <w:lang w:val="es-ES"/>
        </w:rPr>
        <w:t xml:space="preserve"> </w:t>
      </w:r>
      <w:r w:rsidR="00903E92" w:rsidRPr="00903E92">
        <w:rPr>
          <w:rFonts w:ascii="Arial" w:eastAsia="Calibri" w:hAnsi="Arial" w:cs="Arial"/>
          <w:sz w:val="22"/>
          <w:szCs w:val="22"/>
          <w:lang w:val="es-ES"/>
        </w:rPr>
        <w:t>se</w:t>
      </w:r>
      <w:r w:rsidR="00903E92">
        <w:rPr>
          <w:rFonts w:ascii="Arial" w:eastAsia="Calibri" w:hAnsi="Arial" w:cs="Arial"/>
          <w:sz w:val="22"/>
          <w:szCs w:val="22"/>
          <w:lang w:val="es-ES"/>
        </w:rPr>
        <w:t xml:space="preserve"> </w:t>
      </w:r>
      <w:r w:rsidR="00903E92" w:rsidRPr="00903E92">
        <w:rPr>
          <w:rFonts w:ascii="Arial" w:eastAsia="Calibri" w:hAnsi="Arial" w:cs="Arial"/>
          <w:sz w:val="22"/>
          <w:szCs w:val="22"/>
          <w:lang w:val="es-ES"/>
        </w:rPr>
        <w:t>puedan</w:t>
      </w:r>
      <w:r w:rsidR="00903E92">
        <w:rPr>
          <w:rFonts w:ascii="Arial" w:eastAsia="Calibri" w:hAnsi="Arial" w:cs="Arial"/>
          <w:sz w:val="22"/>
          <w:szCs w:val="22"/>
          <w:lang w:val="es-ES"/>
        </w:rPr>
        <w:t xml:space="preserve"> </w:t>
      </w:r>
      <w:r w:rsidR="00903E92" w:rsidRPr="00903E92">
        <w:rPr>
          <w:rFonts w:ascii="Arial" w:eastAsia="Calibri" w:hAnsi="Arial" w:cs="Arial"/>
          <w:sz w:val="22"/>
          <w:szCs w:val="22"/>
          <w:lang w:val="es-ES"/>
        </w:rPr>
        <w:t>considerar</w:t>
      </w:r>
      <w:r w:rsidR="00903E92">
        <w:rPr>
          <w:rFonts w:ascii="Arial" w:eastAsia="Calibri" w:hAnsi="Arial" w:cs="Arial"/>
          <w:sz w:val="22"/>
          <w:szCs w:val="22"/>
          <w:lang w:val="es-ES"/>
        </w:rPr>
        <w:t xml:space="preserve"> </w:t>
      </w:r>
      <w:r w:rsidR="00903E92" w:rsidRPr="00903E92">
        <w:rPr>
          <w:rFonts w:ascii="Arial" w:eastAsia="Calibri" w:hAnsi="Arial" w:cs="Arial"/>
          <w:sz w:val="22"/>
          <w:szCs w:val="22"/>
          <w:lang w:val="es-ES"/>
        </w:rPr>
        <w:t>dentro</w:t>
      </w:r>
      <w:r w:rsidR="00903E92">
        <w:rPr>
          <w:rFonts w:ascii="Arial" w:eastAsia="Calibri" w:hAnsi="Arial" w:cs="Arial"/>
          <w:sz w:val="22"/>
          <w:szCs w:val="22"/>
          <w:lang w:val="es-ES"/>
        </w:rPr>
        <w:t xml:space="preserve"> </w:t>
      </w:r>
      <w:r w:rsidR="00903E92" w:rsidRPr="00903E92">
        <w:rPr>
          <w:rFonts w:ascii="Arial" w:eastAsia="Calibri" w:hAnsi="Arial" w:cs="Arial"/>
          <w:sz w:val="22"/>
          <w:szCs w:val="22"/>
          <w:lang w:val="es-ES"/>
        </w:rPr>
        <w:t>de</w:t>
      </w:r>
      <w:r w:rsidR="00903E92">
        <w:rPr>
          <w:rFonts w:ascii="Arial" w:eastAsia="Calibri" w:hAnsi="Arial" w:cs="Arial"/>
          <w:sz w:val="22"/>
          <w:szCs w:val="22"/>
          <w:lang w:val="es-ES"/>
        </w:rPr>
        <w:t xml:space="preserve"> </w:t>
      </w:r>
      <w:r w:rsidR="00903E92" w:rsidRPr="00903E92">
        <w:rPr>
          <w:rFonts w:ascii="Arial" w:eastAsia="Calibri" w:hAnsi="Arial" w:cs="Arial"/>
          <w:sz w:val="22"/>
          <w:szCs w:val="22"/>
          <w:lang w:val="es-ES"/>
        </w:rPr>
        <w:t>las</w:t>
      </w:r>
      <w:r w:rsidR="00903E92">
        <w:rPr>
          <w:rFonts w:ascii="Arial" w:eastAsia="Calibri" w:hAnsi="Arial" w:cs="Arial"/>
          <w:sz w:val="22"/>
          <w:szCs w:val="22"/>
          <w:lang w:val="es-ES"/>
        </w:rPr>
        <w:t xml:space="preserve"> </w:t>
      </w:r>
      <w:r w:rsidR="00903E92" w:rsidRPr="00903E92">
        <w:rPr>
          <w:rFonts w:ascii="Arial" w:eastAsia="Calibri" w:hAnsi="Arial" w:cs="Arial"/>
          <w:sz w:val="22"/>
          <w:szCs w:val="22"/>
          <w:lang w:val="es-ES"/>
        </w:rPr>
        <w:t>obras</w:t>
      </w:r>
      <w:r w:rsidR="00903E92">
        <w:rPr>
          <w:rFonts w:ascii="Arial" w:eastAsia="Calibri" w:hAnsi="Arial" w:cs="Arial"/>
          <w:sz w:val="22"/>
          <w:szCs w:val="22"/>
          <w:lang w:val="es-ES"/>
        </w:rPr>
        <w:t xml:space="preserve"> </w:t>
      </w:r>
      <w:r w:rsidR="00903E92" w:rsidRPr="00903E92">
        <w:rPr>
          <w:rFonts w:ascii="Arial" w:eastAsia="Calibri" w:hAnsi="Arial" w:cs="Arial"/>
          <w:sz w:val="22"/>
          <w:szCs w:val="22"/>
          <w:lang w:val="es-ES"/>
        </w:rPr>
        <w:t>de</w:t>
      </w:r>
      <w:r w:rsidR="00903E92">
        <w:rPr>
          <w:rFonts w:ascii="Arial" w:eastAsia="Calibri" w:hAnsi="Arial" w:cs="Arial"/>
          <w:sz w:val="22"/>
          <w:szCs w:val="22"/>
          <w:lang w:val="es-ES"/>
        </w:rPr>
        <w:t xml:space="preserve"> </w:t>
      </w:r>
      <w:r w:rsidR="00903E92" w:rsidRPr="00903E92">
        <w:rPr>
          <w:rFonts w:ascii="Arial" w:eastAsia="Calibri" w:hAnsi="Arial" w:cs="Arial"/>
          <w:sz w:val="22"/>
          <w:szCs w:val="22"/>
          <w:lang w:val="es-ES"/>
        </w:rPr>
        <w:t>PROYECTOS</w:t>
      </w:r>
      <w:r w:rsidR="00903E92">
        <w:rPr>
          <w:rFonts w:ascii="Arial" w:eastAsia="Calibri" w:hAnsi="Arial" w:cs="Arial"/>
          <w:sz w:val="22"/>
          <w:szCs w:val="22"/>
          <w:lang w:val="es-ES"/>
        </w:rPr>
        <w:t xml:space="preserve"> </w:t>
      </w:r>
      <w:r w:rsidR="00903E92" w:rsidRPr="00903E92">
        <w:rPr>
          <w:rFonts w:ascii="Arial" w:eastAsia="Calibri" w:hAnsi="Arial" w:cs="Arial"/>
          <w:sz w:val="22"/>
          <w:szCs w:val="22"/>
          <w:lang w:val="es-ES"/>
        </w:rPr>
        <w:t>DE</w:t>
      </w:r>
      <w:r w:rsidR="00903E92">
        <w:rPr>
          <w:rFonts w:ascii="Arial" w:eastAsia="Calibri" w:hAnsi="Arial" w:cs="Arial"/>
          <w:sz w:val="22"/>
          <w:szCs w:val="22"/>
          <w:lang w:val="es-ES"/>
        </w:rPr>
        <w:t xml:space="preserve"> </w:t>
      </w:r>
      <w:r w:rsidR="00903E92" w:rsidRPr="00903E92">
        <w:rPr>
          <w:rFonts w:ascii="Arial" w:eastAsia="Calibri" w:hAnsi="Arial" w:cs="Arial"/>
          <w:sz w:val="22"/>
          <w:szCs w:val="22"/>
          <w:lang w:val="es-ES"/>
        </w:rPr>
        <w:t>MEJORAMIENTO</w:t>
      </w:r>
      <w:r w:rsidR="00903E92">
        <w:rPr>
          <w:rFonts w:ascii="Arial" w:eastAsia="Calibri" w:hAnsi="Arial" w:cs="Arial"/>
          <w:sz w:val="22"/>
          <w:szCs w:val="22"/>
          <w:lang w:val="es-ES"/>
        </w:rPr>
        <w:t xml:space="preserve"> </w:t>
      </w:r>
      <w:r w:rsidR="00903E92" w:rsidRPr="00903E92">
        <w:rPr>
          <w:rFonts w:ascii="Arial" w:eastAsia="Calibri" w:hAnsi="Arial" w:cs="Arial"/>
          <w:sz w:val="22"/>
          <w:szCs w:val="22"/>
          <w:lang w:val="es-ES"/>
        </w:rPr>
        <w:t>DE</w:t>
      </w:r>
      <w:r w:rsidR="00903E92">
        <w:rPr>
          <w:rFonts w:ascii="Arial" w:eastAsia="Calibri" w:hAnsi="Arial" w:cs="Arial"/>
          <w:sz w:val="22"/>
          <w:szCs w:val="22"/>
          <w:lang w:val="es-ES"/>
        </w:rPr>
        <w:t xml:space="preserve"> </w:t>
      </w:r>
      <w:r w:rsidR="00903E92" w:rsidRPr="00903E92">
        <w:rPr>
          <w:rFonts w:ascii="Arial" w:eastAsia="Calibri" w:hAnsi="Arial" w:cs="Arial"/>
          <w:sz w:val="22"/>
          <w:szCs w:val="22"/>
          <w:lang w:val="es-ES"/>
        </w:rPr>
        <w:t>VÍAS</w:t>
      </w:r>
      <w:r w:rsidR="00903E92">
        <w:rPr>
          <w:rFonts w:ascii="Arial" w:eastAsia="Calibri" w:hAnsi="Arial" w:cs="Arial"/>
          <w:sz w:val="22"/>
          <w:szCs w:val="22"/>
          <w:lang w:val="es-ES"/>
        </w:rPr>
        <w:t xml:space="preserve"> </w:t>
      </w:r>
      <w:r w:rsidR="00903E92" w:rsidRPr="00903E92">
        <w:rPr>
          <w:rFonts w:ascii="Arial" w:eastAsia="Calibri" w:hAnsi="Arial" w:cs="Arial"/>
          <w:sz w:val="22"/>
          <w:szCs w:val="22"/>
          <w:lang w:val="es-ES"/>
        </w:rPr>
        <w:t>como</w:t>
      </w:r>
      <w:r w:rsidR="00903E92">
        <w:rPr>
          <w:rFonts w:ascii="Arial" w:eastAsia="Calibri" w:hAnsi="Arial" w:cs="Arial"/>
          <w:sz w:val="22"/>
          <w:szCs w:val="22"/>
          <w:lang w:val="es-ES"/>
        </w:rPr>
        <w:t xml:space="preserve"> </w:t>
      </w:r>
      <w:r w:rsidR="00903E92" w:rsidRPr="00903E92">
        <w:rPr>
          <w:rFonts w:ascii="Arial" w:eastAsia="Calibri" w:hAnsi="Arial" w:cs="Arial"/>
          <w:sz w:val="22"/>
          <w:szCs w:val="22"/>
          <w:lang w:val="es-ES"/>
        </w:rPr>
        <w:t>concepto</w:t>
      </w:r>
      <w:r w:rsidR="00903E92">
        <w:rPr>
          <w:rFonts w:ascii="Arial" w:eastAsia="Calibri" w:hAnsi="Arial" w:cs="Arial"/>
          <w:sz w:val="22"/>
          <w:szCs w:val="22"/>
          <w:lang w:val="es-ES"/>
        </w:rPr>
        <w:t xml:space="preserve"> </w:t>
      </w:r>
      <w:r w:rsidR="00903E92" w:rsidRPr="00903E92">
        <w:rPr>
          <w:rFonts w:ascii="Arial" w:eastAsia="Calibri" w:hAnsi="Arial" w:cs="Arial"/>
          <w:sz w:val="22"/>
          <w:szCs w:val="22"/>
          <w:lang w:val="es-ES"/>
        </w:rPr>
        <w:t>técnico</w:t>
      </w:r>
      <w:r w:rsidR="00903E92">
        <w:rPr>
          <w:rFonts w:ascii="Arial" w:eastAsia="Calibri" w:hAnsi="Arial" w:cs="Arial"/>
          <w:sz w:val="22"/>
          <w:szCs w:val="22"/>
          <w:lang w:val="es-ES"/>
        </w:rPr>
        <w:t xml:space="preserve"> </w:t>
      </w:r>
      <w:r w:rsidR="00903E92" w:rsidRPr="00903E92">
        <w:rPr>
          <w:rFonts w:ascii="Arial" w:eastAsia="Calibri" w:hAnsi="Arial" w:cs="Arial"/>
          <w:sz w:val="22"/>
          <w:szCs w:val="22"/>
          <w:lang w:val="es-ES"/>
        </w:rPr>
        <w:t>valido</w:t>
      </w:r>
      <w:r w:rsidR="007E5728">
        <w:rPr>
          <w:rFonts w:ascii="Arial" w:eastAsia="Calibri" w:hAnsi="Arial" w:cs="Arial"/>
          <w:sz w:val="22"/>
          <w:szCs w:val="22"/>
          <w:lang w:val="es-ES"/>
        </w:rPr>
        <w:t xml:space="preserve"> [sic] </w:t>
      </w:r>
      <w:r w:rsidR="00903E92" w:rsidRPr="00903E92">
        <w:rPr>
          <w:rFonts w:ascii="Arial" w:eastAsia="Calibri" w:hAnsi="Arial" w:cs="Arial"/>
          <w:sz w:val="22"/>
          <w:szCs w:val="22"/>
          <w:lang w:val="es-ES"/>
        </w:rPr>
        <w:t>para</w:t>
      </w:r>
      <w:r w:rsidR="007E5728">
        <w:rPr>
          <w:rFonts w:ascii="Arial" w:eastAsia="Calibri" w:hAnsi="Arial" w:cs="Arial"/>
          <w:sz w:val="22"/>
          <w:szCs w:val="22"/>
          <w:lang w:val="es-ES"/>
        </w:rPr>
        <w:t xml:space="preserve"> </w:t>
      </w:r>
      <w:r w:rsidR="00903E92" w:rsidRPr="00903E92">
        <w:rPr>
          <w:rFonts w:ascii="Arial" w:eastAsia="Calibri" w:hAnsi="Arial" w:cs="Arial"/>
          <w:sz w:val="22"/>
          <w:szCs w:val="22"/>
          <w:lang w:val="es-ES"/>
        </w:rPr>
        <w:t>las</w:t>
      </w:r>
      <w:r w:rsidR="007E5728">
        <w:rPr>
          <w:rFonts w:ascii="Arial" w:eastAsia="Calibri" w:hAnsi="Arial" w:cs="Arial"/>
          <w:sz w:val="22"/>
          <w:szCs w:val="22"/>
          <w:lang w:val="es-ES"/>
        </w:rPr>
        <w:t xml:space="preserve"> </w:t>
      </w:r>
      <w:r w:rsidR="00903E92" w:rsidRPr="00903E92">
        <w:rPr>
          <w:rFonts w:ascii="Arial" w:eastAsia="Calibri" w:hAnsi="Arial" w:cs="Arial"/>
          <w:sz w:val="22"/>
          <w:szCs w:val="22"/>
          <w:lang w:val="es-ES"/>
        </w:rPr>
        <w:t>diferentes</w:t>
      </w:r>
      <w:r w:rsidR="007E5728">
        <w:rPr>
          <w:rFonts w:ascii="Arial" w:eastAsia="Calibri" w:hAnsi="Arial" w:cs="Arial"/>
          <w:sz w:val="22"/>
          <w:szCs w:val="22"/>
          <w:lang w:val="es-ES"/>
        </w:rPr>
        <w:t xml:space="preserve"> </w:t>
      </w:r>
      <w:r w:rsidR="00903E92" w:rsidRPr="00903E92">
        <w:rPr>
          <w:rFonts w:ascii="Arial" w:eastAsia="Calibri" w:hAnsi="Arial" w:cs="Arial"/>
          <w:sz w:val="22"/>
          <w:szCs w:val="22"/>
          <w:lang w:val="es-ES"/>
        </w:rPr>
        <w:t>entidades</w:t>
      </w:r>
      <w:r w:rsidR="007E5728">
        <w:rPr>
          <w:rFonts w:ascii="Arial" w:eastAsia="Calibri" w:hAnsi="Arial" w:cs="Arial"/>
          <w:sz w:val="22"/>
          <w:szCs w:val="22"/>
          <w:lang w:val="es-ES"/>
        </w:rPr>
        <w:t xml:space="preserve"> </w:t>
      </w:r>
      <w:r w:rsidR="00903E92" w:rsidRPr="00903E92">
        <w:rPr>
          <w:rFonts w:ascii="Arial" w:eastAsia="Calibri" w:hAnsi="Arial" w:cs="Arial"/>
          <w:sz w:val="22"/>
          <w:szCs w:val="22"/>
          <w:lang w:val="es-ES"/>
        </w:rPr>
        <w:t>en</w:t>
      </w:r>
      <w:r w:rsidR="007E5728">
        <w:rPr>
          <w:rFonts w:ascii="Arial" w:eastAsia="Calibri" w:hAnsi="Arial" w:cs="Arial"/>
          <w:sz w:val="22"/>
          <w:szCs w:val="22"/>
          <w:lang w:val="es-ES"/>
        </w:rPr>
        <w:t xml:space="preserve"> </w:t>
      </w:r>
      <w:r w:rsidR="00903E92" w:rsidRPr="00903E92">
        <w:rPr>
          <w:rFonts w:ascii="Arial" w:eastAsia="Calibri" w:hAnsi="Arial" w:cs="Arial"/>
          <w:sz w:val="22"/>
          <w:szCs w:val="22"/>
          <w:lang w:val="es-ES"/>
        </w:rPr>
        <w:t>licitaciones</w:t>
      </w:r>
      <w:r w:rsidR="007E5728">
        <w:rPr>
          <w:rFonts w:ascii="Arial" w:eastAsia="Calibri" w:hAnsi="Arial" w:cs="Arial"/>
          <w:sz w:val="22"/>
          <w:szCs w:val="22"/>
          <w:lang w:val="es-ES"/>
        </w:rPr>
        <w:t xml:space="preserve"> </w:t>
      </w:r>
      <w:proofErr w:type="spellStart"/>
      <w:r w:rsidR="00903E92" w:rsidRPr="00903E92">
        <w:rPr>
          <w:rFonts w:ascii="Arial" w:eastAsia="Calibri" w:hAnsi="Arial" w:cs="Arial"/>
          <w:sz w:val="22"/>
          <w:szCs w:val="22"/>
          <w:lang w:val="es-ES"/>
        </w:rPr>
        <w:t>publicas</w:t>
      </w:r>
      <w:proofErr w:type="spellEnd"/>
      <w:r w:rsidR="007E5728">
        <w:rPr>
          <w:rFonts w:ascii="Arial" w:eastAsia="Calibri" w:hAnsi="Arial" w:cs="Arial"/>
          <w:sz w:val="22"/>
          <w:szCs w:val="22"/>
          <w:lang w:val="es-ES"/>
        </w:rPr>
        <w:t xml:space="preserve"> [sic] </w:t>
      </w:r>
      <w:r w:rsidR="00903E92" w:rsidRPr="00903E92">
        <w:rPr>
          <w:rFonts w:ascii="Arial" w:eastAsia="Calibri" w:hAnsi="Arial" w:cs="Arial"/>
          <w:sz w:val="22"/>
          <w:szCs w:val="22"/>
          <w:lang w:val="es-ES"/>
        </w:rPr>
        <w:t>para</w:t>
      </w:r>
      <w:r w:rsidR="007E5728">
        <w:rPr>
          <w:rFonts w:ascii="Arial" w:eastAsia="Calibri" w:hAnsi="Arial" w:cs="Arial"/>
          <w:sz w:val="22"/>
          <w:szCs w:val="22"/>
          <w:lang w:val="es-ES"/>
        </w:rPr>
        <w:t xml:space="preserve"> </w:t>
      </w:r>
      <w:r w:rsidR="00903E92" w:rsidRPr="00903E92">
        <w:rPr>
          <w:rFonts w:ascii="Arial" w:eastAsia="Calibri" w:hAnsi="Arial" w:cs="Arial"/>
          <w:sz w:val="22"/>
          <w:szCs w:val="22"/>
          <w:lang w:val="es-ES"/>
        </w:rPr>
        <w:t>el</w:t>
      </w:r>
      <w:r w:rsidR="007E5728">
        <w:rPr>
          <w:rFonts w:ascii="Arial" w:eastAsia="Calibri" w:hAnsi="Arial" w:cs="Arial"/>
          <w:sz w:val="22"/>
          <w:szCs w:val="22"/>
          <w:lang w:val="es-ES"/>
        </w:rPr>
        <w:t xml:space="preserve"> </w:t>
      </w:r>
      <w:r w:rsidR="00903E92" w:rsidRPr="00903E92">
        <w:rPr>
          <w:rFonts w:ascii="Arial" w:eastAsia="Calibri" w:hAnsi="Arial" w:cs="Arial"/>
          <w:sz w:val="22"/>
          <w:szCs w:val="22"/>
          <w:lang w:val="es-ES"/>
        </w:rPr>
        <w:t>cumplimiento</w:t>
      </w:r>
      <w:r w:rsidR="007E5728">
        <w:rPr>
          <w:rFonts w:ascii="Arial" w:eastAsia="Calibri" w:hAnsi="Arial" w:cs="Arial"/>
          <w:sz w:val="22"/>
          <w:szCs w:val="22"/>
          <w:lang w:val="es-ES"/>
        </w:rPr>
        <w:t xml:space="preserve"> </w:t>
      </w:r>
      <w:r w:rsidR="00903E92" w:rsidRPr="00903E92">
        <w:rPr>
          <w:rFonts w:ascii="Arial" w:eastAsia="Calibri" w:hAnsi="Arial" w:cs="Arial"/>
          <w:sz w:val="22"/>
          <w:szCs w:val="22"/>
          <w:lang w:val="es-ES"/>
        </w:rPr>
        <w:t>de</w:t>
      </w:r>
      <w:r w:rsidR="007E5728">
        <w:rPr>
          <w:rFonts w:ascii="Arial" w:eastAsia="Calibri" w:hAnsi="Arial" w:cs="Arial"/>
          <w:sz w:val="22"/>
          <w:szCs w:val="22"/>
          <w:lang w:val="es-ES"/>
        </w:rPr>
        <w:t xml:space="preserve"> </w:t>
      </w:r>
      <w:r w:rsidR="00903E92" w:rsidRPr="00903E92">
        <w:rPr>
          <w:rFonts w:ascii="Arial" w:eastAsia="Calibri" w:hAnsi="Arial" w:cs="Arial"/>
          <w:sz w:val="22"/>
          <w:szCs w:val="22"/>
          <w:lang w:val="es-ES"/>
        </w:rPr>
        <w:t>requisitos</w:t>
      </w:r>
      <w:r w:rsidR="007E5728">
        <w:rPr>
          <w:rFonts w:ascii="Arial" w:eastAsia="Calibri" w:hAnsi="Arial" w:cs="Arial"/>
          <w:sz w:val="22"/>
          <w:szCs w:val="22"/>
          <w:lang w:val="es-ES"/>
        </w:rPr>
        <w:t xml:space="preserve"> </w:t>
      </w:r>
      <w:r w:rsidR="00903E92" w:rsidRPr="00903E92">
        <w:rPr>
          <w:rFonts w:ascii="Arial" w:eastAsia="Calibri" w:hAnsi="Arial" w:cs="Arial"/>
          <w:sz w:val="22"/>
          <w:szCs w:val="22"/>
          <w:lang w:val="es-ES"/>
        </w:rPr>
        <w:t>habilitantes</w:t>
      </w:r>
      <w:r w:rsidR="007E5728">
        <w:rPr>
          <w:rFonts w:ascii="Arial" w:eastAsia="Calibri" w:hAnsi="Arial" w:cs="Arial"/>
          <w:sz w:val="22"/>
          <w:szCs w:val="22"/>
          <w:lang w:val="es-ES"/>
        </w:rPr>
        <w:t xml:space="preserve"> </w:t>
      </w:r>
      <w:r w:rsidR="00903E92" w:rsidRPr="00903E92">
        <w:rPr>
          <w:rFonts w:ascii="Arial" w:eastAsia="Calibri" w:hAnsi="Arial" w:cs="Arial"/>
          <w:sz w:val="22"/>
          <w:szCs w:val="22"/>
          <w:lang w:val="es-ES"/>
        </w:rPr>
        <w:t>para</w:t>
      </w:r>
      <w:r w:rsidR="007E5728">
        <w:rPr>
          <w:rFonts w:ascii="Arial" w:eastAsia="Calibri" w:hAnsi="Arial" w:cs="Arial"/>
          <w:sz w:val="22"/>
          <w:szCs w:val="22"/>
          <w:lang w:val="es-ES"/>
        </w:rPr>
        <w:t xml:space="preserve"> </w:t>
      </w:r>
      <w:r w:rsidR="00903E92" w:rsidRPr="00903E92">
        <w:rPr>
          <w:rFonts w:ascii="Arial" w:eastAsia="Calibri" w:hAnsi="Arial" w:cs="Arial"/>
          <w:sz w:val="22"/>
          <w:szCs w:val="22"/>
          <w:lang w:val="es-ES"/>
        </w:rPr>
        <w:t>la</w:t>
      </w:r>
      <w:r w:rsidR="007E5728">
        <w:rPr>
          <w:rFonts w:ascii="Arial" w:eastAsia="Calibri" w:hAnsi="Arial" w:cs="Arial"/>
          <w:sz w:val="22"/>
          <w:szCs w:val="22"/>
          <w:lang w:val="es-ES"/>
        </w:rPr>
        <w:t xml:space="preserve"> </w:t>
      </w:r>
      <w:r w:rsidR="00903E92" w:rsidRPr="00903E92">
        <w:rPr>
          <w:rFonts w:ascii="Arial" w:eastAsia="Calibri" w:hAnsi="Arial" w:cs="Arial"/>
          <w:sz w:val="22"/>
          <w:szCs w:val="22"/>
          <w:lang w:val="es-ES"/>
        </w:rPr>
        <w:t>experiencia</w:t>
      </w:r>
      <w:r w:rsidR="007E5728">
        <w:rPr>
          <w:rFonts w:ascii="Arial" w:eastAsia="Calibri" w:hAnsi="Arial" w:cs="Arial"/>
          <w:sz w:val="22"/>
          <w:szCs w:val="22"/>
          <w:lang w:val="es-ES"/>
        </w:rPr>
        <w:t xml:space="preserve"> </w:t>
      </w:r>
      <w:r w:rsidR="00903E92" w:rsidRPr="00903E92">
        <w:rPr>
          <w:rFonts w:ascii="Arial" w:eastAsia="Calibri" w:hAnsi="Arial" w:cs="Arial"/>
          <w:sz w:val="22"/>
          <w:szCs w:val="22"/>
          <w:lang w:val="es-ES"/>
        </w:rPr>
        <w:t>especifica</w:t>
      </w:r>
      <w:r w:rsidR="007E5728">
        <w:rPr>
          <w:rFonts w:ascii="Arial" w:eastAsia="Calibri" w:hAnsi="Arial" w:cs="Arial"/>
          <w:sz w:val="22"/>
          <w:szCs w:val="22"/>
          <w:lang w:val="es-ES"/>
        </w:rPr>
        <w:t xml:space="preserve"> [sic]»</w:t>
      </w:r>
      <w:r w:rsidR="00903E92" w:rsidRPr="00903E92">
        <w:rPr>
          <w:rFonts w:ascii="Arial" w:eastAsia="Calibri" w:hAnsi="Arial" w:cs="Arial"/>
          <w:sz w:val="22"/>
          <w:szCs w:val="22"/>
          <w:lang w:val="es-ES"/>
        </w:rPr>
        <w:t>.</w:t>
      </w:r>
    </w:p>
    <w:p w14:paraId="1BD49DE7" w14:textId="77777777" w:rsidR="00741EE1" w:rsidRPr="00741EE1" w:rsidRDefault="00741EE1" w:rsidP="00B41C03">
      <w:pPr>
        <w:pStyle w:val="NormalWeb"/>
        <w:spacing w:before="0" w:beforeAutospacing="0" w:after="0" w:afterAutospacing="0"/>
        <w:ind w:left="709" w:right="709"/>
        <w:jc w:val="both"/>
        <w:rPr>
          <w:rFonts w:ascii="Arial" w:eastAsia="Calibri" w:hAnsi="Arial" w:cs="Arial"/>
          <w:b/>
          <w:sz w:val="22"/>
          <w:szCs w:val="22"/>
          <w:lang w:val="es-ES"/>
        </w:rPr>
      </w:pPr>
    </w:p>
    <w:p w14:paraId="5914F486" w14:textId="52BDEE55" w:rsidR="003C7067" w:rsidRDefault="003C7067" w:rsidP="003C7067">
      <w:pPr>
        <w:spacing w:line="276" w:lineRule="auto"/>
        <w:jc w:val="both"/>
        <w:rPr>
          <w:rFonts w:ascii="Arial" w:eastAsia="Calibri" w:hAnsi="Arial" w:cs="Arial"/>
          <w:b/>
          <w:sz w:val="22"/>
          <w:szCs w:val="22"/>
          <w:lang w:val="es-ES"/>
        </w:rPr>
      </w:pPr>
      <w:r w:rsidRPr="00C00312">
        <w:rPr>
          <w:rFonts w:ascii="Arial" w:eastAsia="Calibri" w:hAnsi="Arial" w:cs="Arial"/>
          <w:b/>
          <w:sz w:val="22"/>
          <w:szCs w:val="22"/>
          <w:lang w:val="es-ES"/>
        </w:rPr>
        <w:lastRenderedPageBreak/>
        <w:t>2. Consideraciones</w:t>
      </w:r>
    </w:p>
    <w:p w14:paraId="5B6D1928" w14:textId="77777777" w:rsidR="00F17C3F" w:rsidRPr="00C00312" w:rsidRDefault="00F17C3F" w:rsidP="003C7067">
      <w:pPr>
        <w:spacing w:line="276" w:lineRule="auto"/>
        <w:jc w:val="both"/>
        <w:rPr>
          <w:rFonts w:ascii="Arial" w:eastAsia="Calibri" w:hAnsi="Arial" w:cs="Arial"/>
          <w:b/>
          <w:sz w:val="22"/>
          <w:szCs w:val="22"/>
          <w:lang w:val="es-ES"/>
        </w:rPr>
      </w:pPr>
    </w:p>
    <w:p w14:paraId="234D639A" w14:textId="201F4A2A" w:rsidR="00F50819" w:rsidRDefault="00F50819" w:rsidP="003E582E">
      <w:pPr>
        <w:tabs>
          <w:tab w:val="left" w:pos="426"/>
        </w:tabs>
        <w:spacing w:line="276" w:lineRule="auto"/>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En primer lugar</w:t>
      </w:r>
      <w:r w:rsidR="004B3476" w:rsidRPr="00C00312">
        <w:rPr>
          <w:rFonts w:ascii="Arial" w:eastAsia="Calibri" w:hAnsi="Arial" w:cs="Arial"/>
          <w:color w:val="000000" w:themeColor="text1"/>
          <w:sz w:val="22"/>
          <w:szCs w:val="22"/>
          <w:lang w:val="es-ES_tradnl"/>
        </w:rPr>
        <w:t xml:space="preserve">, </w:t>
      </w:r>
      <w:r>
        <w:rPr>
          <w:rFonts w:ascii="Arial" w:eastAsia="Calibri" w:hAnsi="Arial" w:cs="Arial"/>
          <w:color w:val="000000" w:themeColor="text1"/>
          <w:sz w:val="22"/>
          <w:szCs w:val="22"/>
          <w:lang w:val="es-ES_tradnl"/>
        </w:rPr>
        <w:t xml:space="preserve">es pertinente </w:t>
      </w:r>
      <w:r w:rsidR="004B3476" w:rsidRPr="00C00312">
        <w:rPr>
          <w:rFonts w:ascii="Arial" w:eastAsia="Calibri" w:hAnsi="Arial" w:cs="Arial"/>
          <w:color w:val="000000" w:themeColor="text1"/>
          <w:sz w:val="22"/>
          <w:szCs w:val="22"/>
          <w:lang w:val="es-ES_tradnl"/>
        </w:rPr>
        <w:t>indicar que la Agencia Nacional de Contratación Pública – Colombia Compra Eficiente</w:t>
      </w:r>
      <w:r>
        <w:rPr>
          <w:rFonts w:ascii="Arial" w:eastAsia="Calibri" w:hAnsi="Arial" w:cs="Arial"/>
          <w:color w:val="000000" w:themeColor="text1"/>
          <w:sz w:val="22"/>
          <w:szCs w:val="22"/>
          <w:lang w:val="es-ES_tradnl"/>
        </w:rPr>
        <w:t xml:space="preserve"> </w:t>
      </w:r>
      <w:r w:rsidRPr="00F50819">
        <w:rPr>
          <w:rFonts w:ascii="Arial" w:eastAsia="Calibri" w:hAnsi="Arial" w:cs="Arial"/>
          <w:color w:val="000000" w:themeColor="text1"/>
          <w:sz w:val="22"/>
          <w:szCs w:val="22"/>
          <w:lang w:val="es-ES_tradnl"/>
        </w:rPr>
        <w:t xml:space="preserve">en </w:t>
      </w:r>
      <w:r w:rsidR="004953FD">
        <w:rPr>
          <w:rFonts w:ascii="Arial" w:eastAsia="Calibri" w:hAnsi="Arial" w:cs="Arial"/>
          <w:color w:val="000000" w:themeColor="text1"/>
          <w:sz w:val="22"/>
          <w:szCs w:val="22"/>
          <w:lang w:val="es-ES_tradnl"/>
        </w:rPr>
        <w:t>los</w:t>
      </w:r>
      <w:r w:rsidR="004953FD" w:rsidRPr="00F50819">
        <w:rPr>
          <w:rFonts w:ascii="Arial" w:eastAsia="Calibri" w:hAnsi="Arial" w:cs="Arial"/>
          <w:color w:val="000000" w:themeColor="text1"/>
          <w:sz w:val="22"/>
          <w:szCs w:val="22"/>
          <w:lang w:val="es-ES_tradnl"/>
        </w:rPr>
        <w:t xml:space="preserve"> </w:t>
      </w:r>
      <w:r w:rsidR="004953FD">
        <w:rPr>
          <w:rFonts w:ascii="Arial" w:eastAsia="Calibri" w:hAnsi="Arial" w:cs="Arial"/>
          <w:color w:val="000000" w:themeColor="text1"/>
          <w:sz w:val="22"/>
          <w:szCs w:val="22"/>
          <w:lang w:val="es-ES_tradnl"/>
        </w:rPr>
        <w:t xml:space="preserve">siguientes </w:t>
      </w:r>
      <w:r w:rsidRPr="00F50819">
        <w:rPr>
          <w:rFonts w:ascii="Arial" w:eastAsia="Calibri" w:hAnsi="Arial" w:cs="Arial"/>
          <w:color w:val="000000" w:themeColor="text1"/>
          <w:sz w:val="22"/>
          <w:szCs w:val="22"/>
          <w:lang w:val="es-ES_tradnl"/>
        </w:rPr>
        <w:t>concepto</w:t>
      </w:r>
      <w:r w:rsidR="004953FD">
        <w:rPr>
          <w:rFonts w:ascii="Arial" w:eastAsia="Calibri" w:hAnsi="Arial" w:cs="Arial"/>
          <w:color w:val="000000" w:themeColor="text1"/>
          <w:sz w:val="22"/>
          <w:szCs w:val="22"/>
          <w:lang w:val="es-ES_tradnl"/>
        </w:rPr>
        <w:t>s</w:t>
      </w:r>
      <w:r w:rsidRPr="00F50819">
        <w:rPr>
          <w:rFonts w:ascii="Arial" w:eastAsia="Calibri" w:hAnsi="Arial" w:cs="Arial"/>
          <w:color w:val="000000" w:themeColor="text1"/>
          <w:sz w:val="22"/>
          <w:szCs w:val="22"/>
          <w:lang w:val="es-ES_tradnl"/>
        </w:rPr>
        <w:t xml:space="preserve"> </w:t>
      </w:r>
      <w:r w:rsidR="004953FD" w:rsidRPr="00F50819">
        <w:rPr>
          <w:rFonts w:ascii="Arial" w:eastAsia="Calibri" w:hAnsi="Arial" w:cs="Arial"/>
          <w:color w:val="000000" w:themeColor="text1"/>
          <w:sz w:val="22"/>
          <w:szCs w:val="22"/>
          <w:lang w:val="es-ES_tradnl"/>
        </w:rPr>
        <w:t>se pronunció sobre la definición y el alcance de los documentos tipo y la solicitud de experiencia</w:t>
      </w:r>
      <w:r w:rsidR="004953FD">
        <w:rPr>
          <w:rFonts w:ascii="Arial" w:eastAsia="Calibri" w:hAnsi="Arial" w:cs="Arial"/>
          <w:color w:val="000000" w:themeColor="text1"/>
          <w:sz w:val="22"/>
          <w:szCs w:val="22"/>
          <w:lang w:val="es-ES_tradnl"/>
        </w:rPr>
        <w:t>:</w:t>
      </w:r>
      <w:r w:rsidR="004953FD" w:rsidRPr="00F50819">
        <w:rPr>
          <w:rFonts w:ascii="Arial" w:eastAsia="Calibri" w:hAnsi="Arial" w:cs="Arial"/>
          <w:color w:val="000000" w:themeColor="text1"/>
          <w:sz w:val="22"/>
          <w:szCs w:val="22"/>
          <w:lang w:val="es-ES_tradnl"/>
        </w:rPr>
        <w:t xml:space="preserve"> </w:t>
      </w:r>
      <w:r w:rsidRPr="00F50819">
        <w:rPr>
          <w:rFonts w:ascii="Arial" w:eastAsia="Calibri" w:hAnsi="Arial" w:cs="Arial"/>
          <w:color w:val="000000" w:themeColor="text1"/>
          <w:sz w:val="22"/>
          <w:szCs w:val="22"/>
          <w:lang w:val="es-ES_tradnl"/>
        </w:rPr>
        <w:t>radicado No. 4201912000004855 del 13 de agosto de 2019, reiterado y desarrollado en los conceptos No. 4201912000006117 del 7 de septiembre de 2019, 4201912000005786 del 7 de octubre de 2019, 4201912000006928, 4201912000006929 y 4201913000006952 del 8 de octubre de 2019, 4201912000006613 del 24 de octubre de 2019, 4201912000006576 del 6 de noviembre de 2019, 4201912000007375 y 4201912000007452 del 14 de noviembre de 2019, 4201912000007166 del 2 de diciembre de 2019, 4201912000007996 del 9 de diciembre de 2019, 4201912000007465 del 13 de diciembre de 2019, 4201912000007755 y 4201912000007931 del 20 de diciembre de 2019, 4201912000008017 del 26 de diciembre de 2019, 4201912000008465 del 8 de enero de 2020, C-133 del 30 de marzo de 2020, C-144 del 2 de marzo de 2020, C-143 del 18 de marzo de 2020, C-286 del 26 de mayo de 2020, C-450 del 3 de agosto de 2020, C-596 del 8 de septiembre de 2020, C-643 del 26 de octubre de 2020, C-773 del 14 de enero de 2021, C-789 del 19 de enero de 2021, C-033 del 1 de marzo de 2021, C-064 del 8 de marzo de 2021, C-142 del 7 de abril de 2021, C-157 del 13 de abril del 2021, C-186 del 19 de abril de 2021, C-244 del 4 de mayo de 2021, C-224 del 20 de mayo de 2020, C-233 del 24 de mayo de 2021, C-251 del 2 de junio de 2021, C-273 del 11 de junio de 2021</w:t>
      </w:r>
      <w:r w:rsidR="008839DE">
        <w:rPr>
          <w:rFonts w:ascii="Arial" w:eastAsia="Calibri" w:hAnsi="Arial" w:cs="Arial"/>
          <w:color w:val="000000" w:themeColor="text1"/>
          <w:sz w:val="22"/>
          <w:szCs w:val="22"/>
          <w:lang w:val="es-ES_tradnl"/>
        </w:rPr>
        <w:t>,</w:t>
      </w:r>
      <w:r w:rsidRPr="00F50819">
        <w:rPr>
          <w:rFonts w:ascii="Arial" w:eastAsia="Calibri" w:hAnsi="Arial" w:cs="Arial"/>
          <w:color w:val="000000" w:themeColor="text1"/>
          <w:sz w:val="22"/>
          <w:szCs w:val="22"/>
          <w:lang w:val="es-ES_tradnl"/>
        </w:rPr>
        <w:t xml:space="preserve"> C-541 del 27 de septiembre de 2021</w:t>
      </w:r>
      <w:r w:rsidR="008839DE">
        <w:rPr>
          <w:rFonts w:ascii="Arial" w:eastAsia="Calibri" w:hAnsi="Arial" w:cs="Arial"/>
          <w:color w:val="000000" w:themeColor="text1"/>
          <w:sz w:val="22"/>
          <w:szCs w:val="22"/>
          <w:lang w:val="es-ES_tradnl"/>
        </w:rPr>
        <w:t>,</w:t>
      </w:r>
      <w:r w:rsidR="00E74B0C">
        <w:rPr>
          <w:rFonts w:ascii="Arial" w:eastAsia="Calibri" w:hAnsi="Arial" w:cs="Arial"/>
          <w:color w:val="000000" w:themeColor="text1"/>
          <w:sz w:val="22"/>
          <w:szCs w:val="22"/>
          <w:lang w:val="es-ES_tradnl"/>
        </w:rPr>
        <w:t xml:space="preserve"> C-649 del 17 de noviembre de 2021,</w:t>
      </w:r>
      <w:r w:rsidR="00190D9B">
        <w:rPr>
          <w:rFonts w:ascii="Arial" w:eastAsia="Calibri" w:hAnsi="Arial" w:cs="Arial"/>
          <w:color w:val="000000" w:themeColor="text1"/>
          <w:sz w:val="22"/>
          <w:szCs w:val="22"/>
          <w:lang w:val="es-ES_tradnl"/>
        </w:rPr>
        <w:t xml:space="preserve"> C-690 del 27 de diciembre de </w:t>
      </w:r>
      <w:r w:rsidR="00B36F3B">
        <w:rPr>
          <w:rFonts w:ascii="Arial" w:eastAsia="Calibri" w:hAnsi="Arial" w:cs="Arial"/>
          <w:color w:val="000000" w:themeColor="text1"/>
          <w:sz w:val="22"/>
          <w:szCs w:val="22"/>
          <w:lang w:val="es-ES_tradnl"/>
        </w:rPr>
        <w:t>2021,</w:t>
      </w:r>
      <w:r w:rsidR="008839DE">
        <w:rPr>
          <w:rFonts w:ascii="Arial" w:eastAsia="Calibri" w:hAnsi="Arial" w:cs="Arial"/>
          <w:color w:val="000000" w:themeColor="text1"/>
          <w:sz w:val="22"/>
          <w:szCs w:val="22"/>
          <w:lang w:val="es-ES_tradnl"/>
        </w:rPr>
        <w:t xml:space="preserve"> </w:t>
      </w:r>
      <w:r w:rsidR="00E440CB">
        <w:rPr>
          <w:rFonts w:ascii="Arial" w:eastAsia="Calibri" w:hAnsi="Arial" w:cs="Arial"/>
          <w:color w:val="000000" w:themeColor="text1"/>
          <w:sz w:val="22"/>
          <w:szCs w:val="22"/>
          <w:lang w:val="es-ES_tradnl"/>
        </w:rPr>
        <w:t xml:space="preserve">C-006 del 7 de marzo de 2022, </w:t>
      </w:r>
      <w:r w:rsidR="00F01A82">
        <w:rPr>
          <w:rFonts w:ascii="Arial" w:eastAsia="Calibri" w:hAnsi="Arial" w:cs="Arial"/>
          <w:color w:val="000000" w:themeColor="text1"/>
          <w:sz w:val="22"/>
          <w:szCs w:val="22"/>
          <w:lang w:val="es-ES_tradnl"/>
        </w:rPr>
        <w:t>C-130 del 22 de marzo de 2022</w:t>
      </w:r>
      <w:r w:rsidR="00E440CB">
        <w:rPr>
          <w:rFonts w:ascii="Arial" w:eastAsia="Calibri" w:hAnsi="Arial" w:cs="Arial"/>
          <w:color w:val="000000" w:themeColor="text1"/>
          <w:sz w:val="22"/>
          <w:szCs w:val="22"/>
          <w:lang w:val="es-ES_tradnl"/>
        </w:rPr>
        <w:t xml:space="preserve"> y </w:t>
      </w:r>
      <w:r w:rsidR="008839DE">
        <w:rPr>
          <w:rFonts w:ascii="Arial" w:eastAsia="Calibri" w:hAnsi="Arial" w:cs="Arial"/>
          <w:color w:val="000000" w:themeColor="text1"/>
          <w:sz w:val="22"/>
          <w:szCs w:val="22"/>
          <w:lang w:val="es-ES_tradnl"/>
        </w:rPr>
        <w:t>C-218 de 22 de abril de 2022</w:t>
      </w:r>
      <w:r w:rsidRPr="00F50819">
        <w:rPr>
          <w:rFonts w:ascii="Arial" w:eastAsia="Calibri" w:hAnsi="Arial" w:cs="Arial"/>
          <w:color w:val="000000" w:themeColor="text1"/>
          <w:sz w:val="22"/>
          <w:szCs w:val="22"/>
          <w:lang w:val="es-ES_tradnl"/>
        </w:rPr>
        <w:t xml:space="preserve">. Adicionalmente, </w:t>
      </w:r>
      <w:r w:rsidR="00366E39">
        <w:rPr>
          <w:rFonts w:ascii="Arial" w:eastAsia="Calibri" w:hAnsi="Arial" w:cs="Arial"/>
          <w:color w:val="000000" w:themeColor="text1"/>
          <w:sz w:val="22"/>
          <w:szCs w:val="22"/>
          <w:lang w:val="es-ES_tradnl"/>
        </w:rPr>
        <w:t>los conceptos</w:t>
      </w:r>
      <w:r w:rsidRPr="00F50819">
        <w:rPr>
          <w:rFonts w:ascii="Arial" w:eastAsia="Calibri" w:hAnsi="Arial" w:cs="Arial"/>
          <w:color w:val="000000" w:themeColor="text1"/>
          <w:sz w:val="22"/>
          <w:szCs w:val="22"/>
          <w:lang w:val="es-ES_tradnl"/>
        </w:rPr>
        <w:t xml:space="preserve"> C-152 de 12 de abril de 2021</w:t>
      </w:r>
      <w:r w:rsidR="002A6EE4">
        <w:rPr>
          <w:rFonts w:ascii="Arial" w:eastAsia="Calibri" w:hAnsi="Arial" w:cs="Arial"/>
          <w:color w:val="000000" w:themeColor="text1"/>
          <w:sz w:val="22"/>
          <w:szCs w:val="22"/>
          <w:lang w:val="es-ES_tradnl"/>
        </w:rPr>
        <w:t xml:space="preserve"> y </w:t>
      </w:r>
      <w:r w:rsidR="001B5EB6">
        <w:rPr>
          <w:rFonts w:ascii="Arial" w:eastAsia="Calibri" w:hAnsi="Arial" w:cs="Arial"/>
          <w:color w:val="000000" w:themeColor="text1"/>
          <w:sz w:val="22"/>
          <w:szCs w:val="22"/>
          <w:lang w:val="es-ES_tradnl"/>
        </w:rPr>
        <w:t>C-679 del 24 de enero de 2022</w:t>
      </w:r>
      <w:r w:rsidRPr="00F50819">
        <w:rPr>
          <w:rFonts w:ascii="Arial" w:eastAsia="Calibri" w:hAnsi="Arial" w:cs="Arial"/>
          <w:color w:val="000000" w:themeColor="text1"/>
          <w:sz w:val="22"/>
          <w:szCs w:val="22"/>
          <w:lang w:val="es-ES_tradnl"/>
        </w:rPr>
        <w:t xml:space="preserve"> se estudi</w:t>
      </w:r>
      <w:r>
        <w:rPr>
          <w:rFonts w:ascii="Arial" w:eastAsia="Calibri" w:hAnsi="Arial" w:cs="Arial"/>
          <w:color w:val="000000" w:themeColor="text1"/>
          <w:sz w:val="22"/>
          <w:szCs w:val="22"/>
          <w:lang w:val="es-ES_tradnl"/>
        </w:rPr>
        <w:t>ó</w:t>
      </w:r>
      <w:r w:rsidRPr="00F50819">
        <w:rPr>
          <w:rFonts w:ascii="Arial" w:eastAsia="Calibri" w:hAnsi="Arial" w:cs="Arial"/>
          <w:color w:val="000000" w:themeColor="text1"/>
          <w:sz w:val="22"/>
          <w:szCs w:val="22"/>
          <w:lang w:val="es-ES_tradnl"/>
        </w:rPr>
        <w:t xml:space="preserve"> la interpretación contextual que debe realizarse de la Ley de infraestructura y los decretos que la desarrollan, junto con los documentos tipo en su última versión. </w:t>
      </w:r>
      <w:r w:rsidR="00FD0C66">
        <w:rPr>
          <w:rFonts w:ascii="Arial" w:eastAsia="Calibri" w:hAnsi="Arial" w:cs="Arial"/>
          <w:color w:val="000000" w:themeColor="text1"/>
          <w:sz w:val="22"/>
          <w:szCs w:val="22"/>
          <w:lang w:val="es-ES_tradnl"/>
        </w:rPr>
        <w:t>En lo pertinente, l</w:t>
      </w:r>
      <w:r w:rsidRPr="00F50819">
        <w:rPr>
          <w:rFonts w:ascii="Arial" w:eastAsia="Calibri" w:hAnsi="Arial" w:cs="Arial"/>
          <w:color w:val="000000" w:themeColor="text1"/>
          <w:sz w:val="22"/>
          <w:szCs w:val="22"/>
          <w:lang w:val="es-ES_tradnl"/>
        </w:rPr>
        <w:t>as tesis propuestas</w:t>
      </w:r>
      <w:r w:rsidR="00FD0C66">
        <w:rPr>
          <w:rFonts w:ascii="Arial" w:eastAsia="Calibri" w:hAnsi="Arial" w:cs="Arial"/>
          <w:color w:val="000000" w:themeColor="text1"/>
          <w:sz w:val="22"/>
          <w:szCs w:val="22"/>
          <w:lang w:val="es-ES_tradnl"/>
        </w:rPr>
        <w:t xml:space="preserve"> se reiteran y se complementan a continuación. </w:t>
      </w:r>
    </w:p>
    <w:p w14:paraId="1D3542AF" w14:textId="77777777" w:rsidR="00F17C3F" w:rsidRPr="00C00312" w:rsidRDefault="00F17C3F" w:rsidP="003E582E">
      <w:pPr>
        <w:spacing w:line="276" w:lineRule="auto"/>
        <w:ind w:firstLine="708"/>
        <w:jc w:val="both"/>
        <w:rPr>
          <w:rFonts w:ascii="Arial" w:hAnsi="Arial" w:cs="Arial"/>
          <w:sz w:val="22"/>
          <w:szCs w:val="22"/>
          <w:lang w:val="es-MX"/>
        </w:rPr>
      </w:pPr>
    </w:p>
    <w:p w14:paraId="6EAC6DA6" w14:textId="7907E767" w:rsidR="008B7A9B" w:rsidRDefault="008B7A9B" w:rsidP="008B7A9B">
      <w:pPr>
        <w:spacing w:line="276" w:lineRule="auto"/>
        <w:jc w:val="both"/>
        <w:rPr>
          <w:rFonts w:ascii="Arial" w:eastAsia="Calibri" w:hAnsi="Arial" w:cs="Arial"/>
          <w:b/>
          <w:bCs/>
          <w:sz w:val="22"/>
          <w:szCs w:val="22"/>
          <w:lang w:val="es-ES"/>
        </w:rPr>
      </w:pPr>
      <w:r>
        <w:rPr>
          <w:rFonts w:ascii="Arial" w:eastAsia="Calibri" w:hAnsi="Arial" w:cs="Arial"/>
          <w:b/>
          <w:bCs/>
          <w:sz w:val="22"/>
          <w:szCs w:val="22"/>
          <w:lang w:val="es-ES"/>
        </w:rPr>
        <w:t xml:space="preserve">2.1. </w:t>
      </w:r>
      <w:r w:rsidR="004953FD">
        <w:rPr>
          <w:rFonts w:ascii="Arial" w:eastAsia="Calibri" w:hAnsi="Arial" w:cs="Arial"/>
          <w:b/>
          <w:bCs/>
          <w:sz w:val="22"/>
          <w:szCs w:val="22"/>
          <w:lang w:val="es-ES"/>
        </w:rPr>
        <w:t>N</w:t>
      </w:r>
      <w:r>
        <w:rPr>
          <w:rFonts w:ascii="Arial" w:eastAsia="Calibri" w:hAnsi="Arial" w:cs="Arial"/>
          <w:b/>
          <w:bCs/>
          <w:sz w:val="22"/>
          <w:szCs w:val="22"/>
          <w:lang w:val="es-ES"/>
        </w:rPr>
        <w:t>ormativ</w:t>
      </w:r>
      <w:r w:rsidR="004953FD">
        <w:rPr>
          <w:rFonts w:ascii="Arial" w:eastAsia="Calibri" w:hAnsi="Arial" w:cs="Arial"/>
          <w:b/>
          <w:bCs/>
          <w:sz w:val="22"/>
          <w:szCs w:val="22"/>
          <w:lang w:val="es-ES"/>
        </w:rPr>
        <w:t>a</w:t>
      </w:r>
      <w:r>
        <w:rPr>
          <w:rFonts w:ascii="Arial" w:eastAsia="Calibri" w:hAnsi="Arial" w:cs="Arial"/>
          <w:b/>
          <w:bCs/>
          <w:sz w:val="22"/>
          <w:szCs w:val="22"/>
          <w:lang w:val="es-ES"/>
        </w:rPr>
        <w:t xml:space="preserve"> aplicable a los documentos tipo de infraestructura de transporte</w:t>
      </w:r>
    </w:p>
    <w:p w14:paraId="67F77BE8" w14:textId="77777777" w:rsidR="008B7A9B" w:rsidRDefault="008B7A9B" w:rsidP="008B7A9B">
      <w:pPr>
        <w:spacing w:line="276" w:lineRule="auto"/>
        <w:jc w:val="both"/>
        <w:rPr>
          <w:rFonts w:ascii="Arial" w:eastAsia="Calibri" w:hAnsi="Arial" w:cs="Arial"/>
          <w:b/>
          <w:bCs/>
          <w:sz w:val="22"/>
          <w:szCs w:val="22"/>
          <w:lang w:val="es-ES"/>
        </w:rPr>
      </w:pPr>
    </w:p>
    <w:p w14:paraId="0B23FC72" w14:textId="77777777" w:rsidR="00394E7A" w:rsidRPr="000418EA" w:rsidRDefault="00394E7A" w:rsidP="00394E7A">
      <w:pPr>
        <w:shd w:val="clear" w:color="auto" w:fill="FFFFFF"/>
        <w:spacing w:line="276" w:lineRule="auto"/>
        <w:jc w:val="both"/>
        <w:rPr>
          <w:rFonts w:ascii="Arial" w:hAnsi="Arial" w:cs="Arial"/>
          <w:color w:val="0D0D0D"/>
          <w:sz w:val="22"/>
          <w:bdr w:val="none" w:sz="0" w:space="0" w:color="auto" w:frame="1"/>
          <w:lang w:eastAsia="es-CO"/>
        </w:rPr>
      </w:pPr>
      <w:r w:rsidRPr="000418EA">
        <w:rPr>
          <w:rFonts w:ascii="Arial" w:hAnsi="Arial" w:cs="Arial"/>
          <w:color w:val="0D0D0D"/>
          <w:sz w:val="22"/>
          <w:bdr w:val="none" w:sz="0" w:space="0" w:color="auto" w:frame="1"/>
          <w:lang w:eastAsia="es-CO"/>
        </w:rPr>
        <w:t>Los pliegos tipo surgen en el 2007 cuando el legislador facultó al Gobierno Nacional para adoptarlos en la compra o suministro de bienes de características técnicas uniformes</w:t>
      </w:r>
      <w:r w:rsidRPr="000418EA">
        <w:rPr>
          <w:rFonts w:ascii="Arial" w:hAnsi="Arial" w:cs="Arial"/>
          <w:color w:val="0D0D0D"/>
          <w:sz w:val="22"/>
          <w:bdr w:val="none" w:sz="0" w:space="0" w:color="auto" w:frame="1"/>
          <w:vertAlign w:val="superscript"/>
          <w:lang w:eastAsia="es-CO"/>
        </w:rPr>
        <w:footnoteReference w:id="1"/>
      </w:r>
      <w:r w:rsidRPr="000418EA">
        <w:rPr>
          <w:rFonts w:ascii="Arial" w:hAnsi="Arial" w:cs="Arial"/>
          <w:color w:val="0D0D0D"/>
          <w:sz w:val="22"/>
          <w:bdr w:val="none" w:sz="0" w:space="0" w:color="auto" w:frame="1"/>
          <w:lang w:eastAsia="es-CO"/>
        </w:rPr>
        <w:t xml:space="preserve">. La orientación inicial del proyecto que se convirtió en la Ley 1150 de 2007 era facultar al Gobierno Nacional para adoptar los pliegos tipo en todos los contratos estatales, pues en </w:t>
      </w:r>
      <w:r w:rsidRPr="000418EA">
        <w:rPr>
          <w:rFonts w:ascii="Arial" w:hAnsi="Arial" w:cs="Arial"/>
          <w:color w:val="0D0D0D"/>
          <w:sz w:val="22"/>
          <w:bdr w:val="none" w:sz="0" w:space="0" w:color="auto" w:frame="1"/>
          <w:lang w:eastAsia="es-CO"/>
        </w:rPr>
        <w:lastRenderedPageBreak/>
        <w:t xml:space="preserve">el proyecto el parágrafo 3º </w:t>
      </w:r>
      <w:r>
        <w:rPr>
          <w:rFonts w:ascii="Arial" w:hAnsi="Arial" w:cs="Arial"/>
          <w:color w:val="0D0D0D"/>
          <w:sz w:val="22"/>
          <w:bdr w:val="none" w:sz="0" w:space="0" w:color="auto" w:frame="1"/>
          <w:lang w:eastAsia="es-CO"/>
        </w:rPr>
        <w:t xml:space="preserve">del artículo 2 </w:t>
      </w:r>
      <w:r w:rsidRPr="000418EA">
        <w:rPr>
          <w:rFonts w:ascii="Arial" w:hAnsi="Arial" w:cs="Arial"/>
          <w:color w:val="0D0D0D"/>
          <w:sz w:val="22"/>
          <w:bdr w:val="none" w:sz="0" w:space="0" w:color="auto" w:frame="1"/>
          <w:lang w:eastAsia="es-CO"/>
        </w:rPr>
        <w:t>disponía que: «El Gobierno Nacional tendrá la facultad de estandarizar los pliegos de condiciones o términos de referencia y los contratos de las entidades estatales»</w:t>
      </w:r>
      <w:r w:rsidRPr="000418EA">
        <w:rPr>
          <w:rFonts w:ascii="Arial" w:hAnsi="Arial" w:cs="Arial"/>
          <w:color w:val="0D0D0D"/>
          <w:sz w:val="22"/>
          <w:bdr w:val="none" w:sz="0" w:space="0" w:color="auto" w:frame="1"/>
          <w:vertAlign w:val="superscript"/>
          <w:lang w:eastAsia="es-CO"/>
        </w:rPr>
        <w:footnoteReference w:id="2"/>
      </w:r>
      <w:r w:rsidRPr="000418EA">
        <w:rPr>
          <w:rFonts w:ascii="Arial" w:hAnsi="Arial" w:cs="Arial"/>
          <w:color w:val="0D0D0D"/>
          <w:sz w:val="22"/>
          <w:bdr w:val="none" w:sz="0" w:space="0" w:color="auto" w:frame="1"/>
          <w:lang w:eastAsia="es-CO"/>
        </w:rPr>
        <w:t>. </w:t>
      </w:r>
    </w:p>
    <w:p w14:paraId="7E985F87" w14:textId="77777777" w:rsidR="00394E7A" w:rsidRPr="000418EA" w:rsidRDefault="00394E7A" w:rsidP="00394E7A">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0418EA">
        <w:rPr>
          <w:rFonts w:ascii="Arial" w:hAnsi="Arial" w:cs="Arial"/>
          <w:color w:val="0D0D0D"/>
          <w:sz w:val="22"/>
          <w:bdr w:val="none" w:sz="0" w:space="0" w:color="auto" w:frame="1"/>
          <w:lang w:eastAsia="es-CO"/>
        </w:rPr>
        <w:t>La intención era agilizar y dar mayor transparencia a los procedimientos de selección, así como evitar el direccionamiento, razón por la cual –conforme a lo explicado en la exposición de motivos– «[…] se asigna al Gobierno Nacional la facultad de estandarizar los pliegos de condiciones y términos de referencia de los contratos, medida que redundará en la agilidad y claridad de los procedimientos»</w:t>
      </w:r>
      <w:r w:rsidRPr="000418EA">
        <w:rPr>
          <w:rFonts w:ascii="Arial" w:hAnsi="Arial" w:cs="Arial"/>
          <w:color w:val="0D0D0D"/>
          <w:sz w:val="22"/>
          <w:bdr w:val="none" w:sz="0" w:space="0" w:color="auto" w:frame="1"/>
          <w:vertAlign w:val="superscript"/>
          <w:lang w:eastAsia="es-CO"/>
        </w:rPr>
        <w:footnoteReference w:id="3"/>
      </w:r>
      <w:r w:rsidRPr="000418EA">
        <w:rPr>
          <w:rFonts w:ascii="Arial" w:hAnsi="Arial" w:cs="Arial"/>
          <w:color w:val="0D0D0D"/>
          <w:sz w:val="22"/>
          <w:bdr w:val="none" w:sz="0" w:space="0" w:color="auto" w:frame="1"/>
          <w:lang w:eastAsia="es-CO"/>
        </w:rPr>
        <w:t>. Sin embargo, en el texto aprobado, los pliegos tipo se limitaron a la adquisición o suministro de bienes de características técnicas uniformes</w:t>
      </w:r>
      <w:r w:rsidRPr="000418EA">
        <w:rPr>
          <w:rFonts w:ascii="Arial" w:hAnsi="Arial" w:cs="Arial"/>
          <w:color w:val="0D0D0D"/>
          <w:sz w:val="22"/>
          <w:bdr w:val="none" w:sz="0" w:space="0" w:color="auto" w:frame="1"/>
          <w:vertAlign w:val="superscript"/>
          <w:lang w:eastAsia="es-CO"/>
        </w:rPr>
        <w:footnoteReference w:id="4"/>
      </w:r>
      <w:r w:rsidRPr="000418EA">
        <w:rPr>
          <w:rFonts w:ascii="Arial" w:hAnsi="Arial" w:cs="Arial"/>
          <w:color w:val="0D0D0D"/>
          <w:sz w:val="22"/>
          <w:bdr w:val="none" w:sz="0" w:space="0" w:color="auto" w:frame="1"/>
          <w:lang w:eastAsia="es-CO"/>
        </w:rPr>
        <w:t>. </w:t>
      </w:r>
    </w:p>
    <w:p w14:paraId="3695AE23" w14:textId="67E353EB" w:rsidR="00394E7A" w:rsidRPr="000418EA" w:rsidRDefault="00472D0E" w:rsidP="00394E7A">
      <w:pPr>
        <w:shd w:val="clear" w:color="auto" w:fill="FFFFFF"/>
        <w:spacing w:before="120" w:line="276" w:lineRule="auto"/>
        <w:ind w:firstLine="709"/>
        <w:jc w:val="both"/>
        <w:rPr>
          <w:rFonts w:ascii="Arial" w:hAnsi="Arial" w:cs="Arial"/>
          <w:color w:val="0D0D0D"/>
          <w:sz w:val="22"/>
          <w:bdr w:val="none" w:sz="0" w:space="0" w:color="auto" w:frame="1"/>
          <w:lang w:eastAsia="es-CO"/>
        </w:rPr>
      </w:pPr>
      <w:r>
        <w:rPr>
          <w:rFonts w:ascii="Arial" w:hAnsi="Arial" w:cs="Arial"/>
          <w:color w:val="0D0D0D"/>
          <w:sz w:val="22"/>
          <w:bdr w:val="none" w:sz="0" w:space="0" w:color="auto" w:frame="1"/>
          <w:lang w:eastAsia="es-CO"/>
        </w:rPr>
        <w:t>Después</w:t>
      </w:r>
      <w:r w:rsidR="00394E7A" w:rsidRPr="000418EA">
        <w:rPr>
          <w:rFonts w:ascii="Arial" w:hAnsi="Arial" w:cs="Arial"/>
          <w:color w:val="0D0D0D"/>
          <w:sz w:val="22"/>
          <w:bdr w:val="none" w:sz="0" w:space="0" w:color="auto" w:frame="1"/>
          <w:lang w:eastAsia="es-CO"/>
        </w:rPr>
        <w:t>, el artículo 2, parágrafo 7º, de la Ley 1150 de 2007, adicionado por el artículo 4 de la Ley 1882 de 2018, establece la obligatoriedad de la adopción de documentos tipo para algunos contratos, en los siguientes términos: </w:t>
      </w:r>
    </w:p>
    <w:p w14:paraId="2746445E" w14:textId="77777777" w:rsidR="00394E7A" w:rsidRPr="000418EA" w:rsidRDefault="00394E7A" w:rsidP="00394E7A">
      <w:pPr>
        <w:shd w:val="clear" w:color="auto" w:fill="FFFFFF"/>
        <w:spacing w:line="276" w:lineRule="auto"/>
        <w:ind w:firstLine="709"/>
        <w:jc w:val="both"/>
        <w:rPr>
          <w:rFonts w:ascii="Arial" w:hAnsi="Arial" w:cs="Arial"/>
          <w:color w:val="000000"/>
          <w:sz w:val="22"/>
          <w:lang w:eastAsia="es-CO"/>
        </w:rPr>
      </w:pPr>
    </w:p>
    <w:p w14:paraId="4DB980D8" w14:textId="77777777" w:rsidR="00394E7A" w:rsidRPr="00946E02" w:rsidRDefault="00394E7A" w:rsidP="00394E7A">
      <w:pPr>
        <w:shd w:val="clear" w:color="auto" w:fill="FFFFFF"/>
        <w:ind w:left="709" w:right="709"/>
        <w:jc w:val="both"/>
        <w:rPr>
          <w:rFonts w:ascii="Arial" w:hAnsi="Arial" w:cs="Arial"/>
          <w:color w:val="0D0D0D"/>
          <w:sz w:val="21"/>
          <w:szCs w:val="21"/>
          <w:bdr w:val="none" w:sz="0" w:space="0" w:color="auto" w:frame="1"/>
          <w:lang w:eastAsia="es-CO"/>
        </w:rPr>
      </w:pPr>
      <w:r w:rsidRPr="000418EA">
        <w:rPr>
          <w:rFonts w:ascii="Arial" w:hAnsi="Arial" w:cs="Arial"/>
          <w:color w:val="0D0D0D"/>
          <w:sz w:val="21"/>
          <w:szCs w:val="21"/>
          <w:bdr w:val="none" w:sz="0" w:space="0" w:color="auto" w:frame="1"/>
          <w:lang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0418EA">
        <w:rPr>
          <w:rFonts w:ascii="Arial" w:hAnsi="Arial" w:cs="Arial"/>
          <w:i/>
          <w:iCs/>
          <w:color w:val="0D0D0D"/>
          <w:sz w:val="21"/>
          <w:szCs w:val="21"/>
          <w:bdr w:val="none" w:sz="0" w:space="0" w:color="auto" w:frame="1"/>
          <w:lang w:eastAsia="es-CO"/>
        </w:rPr>
        <w:t xml:space="preserve">Dentro de los documentos tipo el Gobierno adoptará de manera general y con alcance obligatorio para todas las entidades sometidas al Estatuto General de Contratación de la Administración Pública, las condiciones </w:t>
      </w:r>
      <w:r w:rsidRPr="00946E02">
        <w:rPr>
          <w:rFonts w:ascii="Arial" w:hAnsi="Arial" w:cs="Arial"/>
          <w:i/>
          <w:iCs/>
          <w:color w:val="0D0D0D"/>
          <w:sz w:val="21"/>
          <w:szCs w:val="21"/>
          <w:bdr w:val="none" w:sz="0" w:space="0" w:color="auto" w:frame="1"/>
          <w:lang w:eastAsia="es-CO"/>
        </w:rPr>
        <w:t>habilitantes, así como los factores técnicos y económicos de escogencia</w:t>
      </w:r>
      <w:r w:rsidRPr="00946E02">
        <w:rPr>
          <w:rFonts w:ascii="Arial" w:hAnsi="Arial" w:cs="Arial"/>
          <w:color w:val="0D0D0D"/>
          <w:sz w:val="21"/>
          <w:szCs w:val="21"/>
          <w:bdr w:val="none" w:sz="0" w:space="0" w:color="auto" w:frame="1"/>
          <w:lang w:eastAsia="es-CO"/>
        </w:rPr>
        <w:t> […] </w:t>
      </w:r>
      <w:r w:rsidRPr="00946E02">
        <w:rPr>
          <w:rFonts w:ascii="Arial" w:hAnsi="Arial" w:cs="Arial"/>
          <w:i/>
          <w:iCs/>
          <w:color w:val="0D0D0D"/>
          <w:sz w:val="21"/>
          <w:szCs w:val="21"/>
          <w:bdr w:val="none" w:sz="0" w:space="0" w:color="auto" w:frame="1"/>
          <w:lang w:eastAsia="es-CO"/>
        </w:rPr>
        <w:t>teniendo en cuenta la naturaleza y cuantía de los contratos</w:t>
      </w:r>
      <w:r w:rsidRPr="00946E02">
        <w:rPr>
          <w:rFonts w:ascii="Arial" w:hAnsi="Arial" w:cs="Arial"/>
          <w:color w:val="0D0D0D"/>
          <w:sz w:val="21"/>
          <w:szCs w:val="21"/>
          <w:bdr w:val="none" w:sz="0" w:space="0" w:color="auto" w:frame="1"/>
          <w:lang w:eastAsia="es-CO"/>
        </w:rPr>
        <w:t> […]. (Énfasis fuera de texto) </w:t>
      </w:r>
    </w:p>
    <w:p w14:paraId="6090CF3C" w14:textId="77777777" w:rsidR="00394E7A" w:rsidRPr="00946E02" w:rsidRDefault="00394E7A" w:rsidP="00394E7A">
      <w:pPr>
        <w:shd w:val="clear" w:color="auto" w:fill="FFFFFF"/>
        <w:spacing w:line="276" w:lineRule="auto"/>
        <w:ind w:left="709" w:right="709"/>
        <w:jc w:val="both"/>
        <w:rPr>
          <w:rFonts w:ascii="Arial" w:hAnsi="Arial" w:cs="Arial"/>
          <w:color w:val="000000"/>
          <w:sz w:val="22"/>
          <w:lang w:eastAsia="es-CO"/>
        </w:rPr>
      </w:pPr>
    </w:p>
    <w:p w14:paraId="2E6B18CC" w14:textId="2F9D3291" w:rsidR="00394E7A" w:rsidRPr="00946E02" w:rsidRDefault="00394E7A" w:rsidP="00394E7A">
      <w:pPr>
        <w:shd w:val="clear" w:color="auto" w:fill="FFFFFF"/>
        <w:spacing w:line="276" w:lineRule="auto"/>
        <w:ind w:firstLine="708"/>
        <w:jc w:val="both"/>
        <w:rPr>
          <w:rFonts w:ascii="Arial" w:hAnsi="Arial" w:cs="Arial"/>
          <w:color w:val="0D0D0D"/>
          <w:sz w:val="22"/>
          <w:bdr w:val="none" w:sz="0" w:space="0" w:color="auto" w:frame="1"/>
          <w:lang w:eastAsia="es-CO"/>
        </w:rPr>
      </w:pPr>
      <w:r w:rsidRPr="00946E02">
        <w:rPr>
          <w:rFonts w:ascii="Arial" w:hAnsi="Arial" w:cs="Arial"/>
          <w:color w:val="0D0D0D"/>
          <w:sz w:val="22"/>
          <w:bdr w:val="none" w:sz="0" w:space="0" w:color="auto" w:frame="1"/>
          <w:lang w:eastAsia="es-CO"/>
        </w:rPr>
        <w:t xml:space="preserve">Posteriormente, el 22 de julio de 2020, el Gobierno Nacional sancionó la Ley 2022, llamada la «ley de pliegos tipo», que rige a partir de su publicación y cuyo artículo 1 modificó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w:t>
      </w:r>
      <w:proofErr w:type="spellStart"/>
      <w:r w:rsidRPr="00946E02">
        <w:rPr>
          <w:rFonts w:ascii="Arial" w:hAnsi="Arial" w:cs="Arial"/>
          <w:color w:val="0D0D0D"/>
          <w:sz w:val="22"/>
          <w:bdr w:val="none" w:sz="0" w:space="0" w:color="auto" w:frame="1"/>
          <w:lang w:eastAsia="es-CO"/>
        </w:rPr>
        <w:t>ii</w:t>
      </w:r>
      <w:proofErr w:type="spellEnd"/>
      <w:r w:rsidRPr="00946E02">
        <w:rPr>
          <w:rFonts w:ascii="Arial" w:hAnsi="Arial" w:cs="Arial"/>
          <w:color w:val="0D0D0D"/>
          <w:sz w:val="22"/>
          <w:bdr w:val="none" w:sz="0" w:space="0" w:color="auto" w:frame="1"/>
          <w:lang w:eastAsia="es-CO"/>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Pr="00946E02">
        <w:rPr>
          <w:rFonts w:ascii="Arial" w:hAnsi="Arial" w:cs="Arial"/>
          <w:color w:val="0D0D0D"/>
          <w:sz w:val="22"/>
          <w:bdr w:val="none" w:sz="0" w:space="0" w:color="auto" w:frame="1"/>
          <w:lang w:eastAsia="es-CO"/>
        </w:rPr>
        <w:t>iii</w:t>
      </w:r>
      <w:proofErr w:type="spellEnd"/>
      <w:r w:rsidRPr="00946E02">
        <w:rPr>
          <w:rFonts w:ascii="Arial" w:hAnsi="Arial" w:cs="Arial"/>
          <w:color w:val="0D0D0D"/>
          <w:sz w:val="22"/>
          <w:bdr w:val="none" w:sz="0" w:space="0" w:color="auto" w:frame="1"/>
          <w:lang w:eastAsia="es-CO"/>
        </w:rPr>
        <w:t xml:space="preserve">) la implementación de procesos de capacitación en los municipios </w:t>
      </w:r>
      <w:r w:rsidRPr="00946E02">
        <w:rPr>
          <w:rFonts w:ascii="Arial" w:hAnsi="Arial" w:cs="Arial"/>
          <w:color w:val="0D0D0D"/>
          <w:sz w:val="22"/>
          <w:bdr w:val="none" w:sz="0" w:space="0" w:color="auto" w:frame="1"/>
          <w:lang w:eastAsia="es-CO"/>
        </w:rPr>
        <w:lastRenderedPageBreak/>
        <w:t xml:space="preserve">para la utilización de los documentos tipo buscando el desarrollo de la economía local; y </w:t>
      </w:r>
      <w:proofErr w:type="spellStart"/>
      <w:r w:rsidRPr="00946E02">
        <w:rPr>
          <w:rFonts w:ascii="Arial" w:hAnsi="Arial" w:cs="Arial"/>
          <w:color w:val="0D0D0D"/>
          <w:sz w:val="22"/>
          <w:bdr w:val="none" w:sz="0" w:space="0" w:color="auto" w:frame="1"/>
          <w:lang w:eastAsia="es-CO"/>
        </w:rPr>
        <w:t>iv</w:t>
      </w:r>
      <w:proofErr w:type="spellEnd"/>
      <w:r w:rsidRPr="00946E02">
        <w:rPr>
          <w:rFonts w:ascii="Arial" w:hAnsi="Arial" w:cs="Arial"/>
          <w:color w:val="0D0D0D"/>
          <w:sz w:val="22"/>
          <w:bdr w:val="none" w:sz="0" w:space="0" w:color="auto" w:frame="1"/>
          <w:lang w:eastAsia="es-CO"/>
        </w:rPr>
        <w:t>) las responsabilidades para Colombia Compra Eficiente en la definición del desarrollo e implementación de los documentos tipo mediante cronogramas, en coordinación con otras entidades especializadas, recepción de comentarios de los interesados y revisión de los documentos tipo expedidos</w:t>
      </w:r>
      <w:r w:rsidRPr="00946E02">
        <w:rPr>
          <w:rFonts w:ascii="Arial" w:hAnsi="Arial" w:cs="Arial"/>
          <w:color w:val="0D0D0D"/>
          <w:sz w:val="22"/>
          <w:bdr w:val="none" w:sz="0" w:space="0" w:color="auto" w:frame="1"/>
          <w:vertAlign w:val="superscript"/>
          <w:lang w:eastAsia="es-CO"/>
        </w:rPr>
        <w:footnoteReference w:id="5"/>
      </w:r>
      <w:r w:rsidRPr="00946E02">
        <w:rPr>
          <w:rFonts w:ascii="Arial" w:hAnsi="Arial" w:cs="Arial"/>
          <w:color w:val="0D0D0D"/>
          <w:sz w:val="22"/>
          <w:bdr w:val="none" w:sz="0" w:space="0" w:color="auto" w:frame="1"/>
          <w:lang w:eastAsia="es-CO"/>
        </w:rPr>
        <w:t>.  </w:t>
      </w:r>
    </w:p>
    <w:p w14:paraId="5DA32871" w14:textId="77777777" w:rsidR="00394E7A" w:rsidRPr="00946E02" w:rsidRDefault="00394E7A" w:rsidP="00394E7A">
      <w:pPr>
        <w:spacing w:before="120" w:line="276" w:lineRule="auto"/>
        <w:ind w:firstLine="709"/>
        <w:jc w:val="both"/>
        <w:rPr>
          <w:rFonts w:ascii="Arial" w:hAnsi="Arial" w:cs="Arial"/>
          <w:color w:val="0D0D0D"/>
          <w:sz w:val="22"/>
          <w:bdr w:val="none" w:sz="0" w:space="0" w:color="auto" w:frame="1"/>
          <w:lang w:val="es-ES_tradnl" w:eastAsia="es-CO"/>
        </w:rPr>
      </w:pPr>
      <w:r w:rsidRPr="00946E02">
        <w:rPr>
          <w:rFonts w:ascii="Arial" w:hAnsi="Arial" w:cs="Arial"/>
          <w:color w:val="0D0D0D"/>
          <w:sz w:val="22"/>
          <w:bdr w:val="none" w:sz="0" w:space="0" w:color="auto" w:frame="1"/>
          <w:lang w:eastAsia="es-CO"/>
        </w:rPr>
        <w:t>Con fundamento en las facultades anteriores</w:t>
      </w:r>
      <w:r w:rsidRPr="00946E02">
        <w:rPr>
          <w:rFonts w:ascii="Arial" w:hAnsi="Arial" w:cs="Arial"/>
          <w:color w:val="0D0D0D"/>
          <w:sz w:val="22"/>
          <w:bdr w:val="none" w:sz="0" w:space="0" w:color="auto" w:frame="1"/>
          <w:lang w:val="es-ES_tradnl" w:eastAsia="es-CO"/>
        </w:rPr>
        <w:t xml:space="preserve">, esta Agencia, consciente de la afectación económica que causaron las medidas adoptadas para contener la pandemia COVID – 19 en el país, decidió actualizar los documentos tipo para los procesos de licitación de obra pública y selección abreviada de menor cuantía de infraestructura de transporte y, en consecuencia, adoptó medidas de apoyo a la industria nacional. Por tanto, bajo la competencia prevista en la Ley 2022 de 2020, Colombia Compra Eficiente expidió las Resoluciones No. 240 y 241 del 27 de noviembre 2020 mediante las cuales se adoptaron los documentos tipo de licitación de obra pública – versión 3 y de selección abreviada de menor cuantía – versión 2 de infraestructura de transporte, los cuales son obligatorios a partir del 1º de enero de 2021. </w:t>
      </w:r>
    </w:p>
    <w:p w14:paraId="57536B30" w14:textId="20770492" w:rsidR="00394E7A" w:rsidRPr="00946E02" w:rsidRDefault="00394E7A" w:rsidP="00394E7A">
      <w:pPr>
        <w:spacing w:before="120" w:line="276" w:lineRule="auto"/>
        <w:ind w:firstLine="709"/>
        <w:jc w:val="both"/>
        <w:rPr>
          <w:rFonts w:ascii="Arial" w:hAnsi="Arial" w:cs="Arial"/>
          <w:color w:val="0D0D0D"/>
          <w:sz w:val="22"/>
          <w:bdr w:val="none" w:sz="0" w:space="0" w:color="auto" w:frame="1"/>
          <w:lang w:val="es-ES_tradnl" w:eastAsia="es-CO"/>
        </w:rPr>
      </w:pPr>
      <w:r w:rsidRPr="00946E02">
        <w:rPr>
          <w:rFonts w:ascii="Arial" w:hAnsi="Arial" w:cs="Arial"/>
          <w:color w:val="0D0D0D"/>
          <w:sz w:val="22"/>
          <w:bdr w:val="none" w:sz="0" w:space="0" w:color="auto" w:frame="1"/>
          <w:lang w:val="es-ES_tradnl" w:eastAsia="es-CO"/>
        </w:rPr>
        <w:t>Adicionalmente, con la expedición de la Ley de Emprendimiento –2069 de 2020–, estos</w:t>
      </w:r>
      <w:r w:rsidR="003364C0">
        <w:rPr>
          <w:rFonts w:ascii="Arial" w:hAnsi="Arial" w:cs="Arial"/>
          <w:color w:val="0D0D0D"/>
          <w:sz w:val="22"/>
          <w:bdr w:val="none" w:sz="0" w:space="0" w:color="auto" w:frame="1"/>
          <w:lang w:val="es-ES_tradnl" w:eastAsia="es-CO"/>
        </w:rPr>
        <w:t xml:space="preserve"> documentos</w:t>
      </w:r>
      <w:r w:rsidRPr="00946E02">
        <w:rPr>
          <w:rFonts w:ascii="Arial" w:hAnsi="Arial" w:cs="Arial"/>
          <w:color w:val="0D0D0D"/>
          <w:sz w:val="22"/>
          <w:bdr w:val="none" w:sz="0" w:space="0" w:color="auto" w:frame="1"/>
          <w:lang w:val="es-ES_tradnl" w:eastAsia="es-CO"/>
        </w:rPr>
        <w:t xml:space="preserve"> se modificaron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Por último, para ajustar el contenido a las normas de la regla de origen del Decreto </w:t>
      </w:r>
      <w:r w:rsidRPr="00946E02">
        <w:rPr>
          <w:rFonts w:ascii="Arial" w:hAnsi="Arial" w:cs="Arial"/>
          <w:color w:val="0D0D0D"/>
          <w:sz w:val="22"/>
          <w:bdr w:val="none" w:sz="0" w:space="0" w:color="auto" w:frame="1"/>
          <w:lang w:val="es-ES_tradnl" w:eastAsia="es-CO"/>
        </w:rPr>
        <w:lastRenderedPageBreak/>
        <w:t>680 del 22 de junio de 2021, la Agencia modificó los documentos tipo mediante la Resolución No. 304 del 13 de octubre de 2021, la cual comenzó a regir para los procesos de contratación cuyo aviso de convocatoria se hubiere publicado a partir del 2 de noviembre de 2021.</w:t>
      </w:r>
    </w:p>
    <w:p w14:paraId="1F8606AD" w14:textId="77777777" w:rsidR="00394E7A" w:rsidRPr="00946E02" w:rsidRDefault="00394E7A" w:rsidP="008B7A9B">
      <w:pPr>
        <w:jc w:val="both"/>
        <w:rPr>
          <w:rFonts w:ascii="Arial" w:eastAsia="Calibri" w:hAnsi="Arial" w:cs="Arial"/>
          <w:b/>
          <w:sz w:val="22"/>
          <w:szCs w:val="22"/>
          <w:lang w:val="es-MX"/>
        </w:rPr>
      </w:pPr>
    </w:p>
    <w:p w14:paraId="4C37F763" w14:textId="150A76CC" w:rsidR="00F92B22" w:rsidRPr="00946E02" w:rsidRDefault="008B7A9B" w:rsidP="00AC0AEF">
      <w:pPr>
        <w:pStyle w:val="Normal11pt"/>
        <w:spacing w:line="276" w:lineRule="auto"/>
        <w:ind w:left="0"/>
        <w:rPr>
          <w:b/>
          <w:bCs/>
          <w:shd w:val="clear" w:color="auto" w:fill="FFFFFF"/>
          <w:lang w:eastAsia="es-ES_tradnl"/>
        </w:rPr>
      </w:pPr>
      <w:r w:rsidRPr="00946E02">
        <w:rPr>
          <w:b/>
          <w:bCs/>
          <w:shd w:val="clear" w:color="auto" w:fill="FFFFFF"/>
          <w:lang w:eastAsia="es-ES_tradnl"/>
        </w:rPr>
        <w:t>2.</w:t>
      </w:r>
      <w:r w:rsidR="00394E7A" w:rsidRPr="00946E02">
        <w:rPr>
          <w:b/>
          <w:bCs/>
          <w:shd w:val="clear" w:color="auto" w:fill="FFFFFF"/>
          <w:lang w:eastAsia="es-ES_tradnl"/>
        </w:rPr>
        <w:t>2</w:t>
      </w:r>
      <w:r w:rsidRPr="00946E02">
        <w:rPr>
          <w:b/>
          <w:bCs/>
          <w:shd w:val="clear" w:color="auto" w:fill="FFFFFF"/>
          <w:lang w:eastAsia="es-ES_tradnl"/>
        </w:rPr>
        <w:t xml:space="preserve">. </w:t>
      </w:r>
      <w:r w:rsidR="00CB6D97" w:rsidRPr="00946E02">
        <w:rPr>
          <w:b/>
          <w:bCs/>
          <w:shd w:val="clear" w:color="auto" w:fill="FFFFFF"/>
          <w:lang w:eastAsia="es-ES_tradnl"/>
        </w:rPr>
        <w:t>A</w:t>
      </w:r>
      <w:r w:rsidR="00394E7A" w:rsidRPr="00946E02">
        <w:rPr>
          <w:b/>
          <w:bCs/>
          <w:shd w:val="clear" w:color="auto" w:fill="FFFFFF"/>
          <w:lang w:eastAsia="es-ES_tradnl"/>
        </w:rPr>
        <w:t>ctividades de mejoramiento</w:t>
      </w:r>
      <w:r w:rsidR="00355D0A" w:rsidRPr="00946E02">
        <w:rPr>
          <w:b/>
          <w:bCs/>
          <w:shd w:val="clear" w:color="auto" w:fill="FFFFFF"/>
          <w:lang w:eastAsia="es-ES_tradnl"/>
        </w:rPr>
        <w:t>,</w:t>
      </w:r>
      <w:r w:rsidR="00394E7A" w:rsidRPr="00946E02">
        <w:rPr>
          <w:b/>
          <w:bCs/>
          <w:shd w:val="clear" w:color="auto" w:fill="FFFFFF"/>
          <w:lang w:eastAsia="es-ES_tradnl"/>
        </w:rPr>
        <w:t xml:space="preserve"> de acuerdo con la </w:t>
      </w:r>
      <w:r w:rsidRPr="00946E02">
        <w:rPr>
          <w:b/>
          <w:bCs/>
          <w:shd w:val="clear" w:color="auto" w:fill="FFFFFF"/>
          <w:lang w:eastAsia="es-ES_tradnl"/>
        </w:rPr>
        <w:t xml:space="preserve">Ley </w:t>
      </w:r>
      <w:r w:rsidR="00C00863" w:rsidRPr="00946E02">
        <w:rPr>
          <w:b/>
          <w:bCs/>
          <w:shd w:val="clear" w:color="auto" w:fill="FFFFFF"/>
          <w:lang w:eastAsia="es-ES_tradnl"/>
        </w:rPr>
        <w:t>1682 de 2013</w:t>
      </w:r>
      <w:r w:rsidR="00394E7A" w:rsidRPr="00946E02">
        <w:rPr>
          <w:b/>
          <w:bCs/>
          <w:shd w:val="clear" w:color="auto" w:fill="FFFFFF"/>
          <w:lang w:eastAsia="es-ES_tradnl"/>
        </w:rPr>
        <w:t xml:space="preserve"> </w:t>
      </w:r>
      <w:r w:rsidR="006A616D" w:rsidRPr="00946E02">
        <w:rPr>
          <w:b/>
          <w:bCs/>
          <w:shd w:val="clear" w:color="auto" w:fill="FFFFFF"/>
          <w:lang w:eastAsia="es-ES_tradnl"/>
        </w:rPr>
        <w:t xml:space="preserve">y </w:t>
      </w:r>
      <w:r w:rsidR="00C00863" w:rsidRPr="00946E02">
        <w:rPr>
          <w:b/>
          <w:bCs/>
          <w:shd w:val="clear" w:color="auto" w:fill="FFFFFF"/>
          <w:lang w:eastAsia="es-ES_tradnl"/>
        </w:rPr>
        <w:t xml:space="preserve">el </w:t>
      </w:r>
      <w:r w:rsidR="006A616D" w:rsidRPr="00946E02">
        <w:rPr>
          <w:b/>
          <w:bCs/>
          <w:shd w:val="clear" w:color="auto" w:fill="FFFFFF"/>
          <w:lang w:eastAsia="es-ES_tradnl"/>
        </w:rPr>
        <w:t xml:space="preserve">Decreto </w:t>
      </w:r>
      <w:r w:rsidR="00AC0AEF" w:rsidRPr="00946E02">
        <w:rPr>
          <w:b/>
          <w:bCs/>
          <w:shd w:val="clear" w:color="auto" w:fill="FFFFFF"/>
          <w:lang w:eastAsia="es-ES_tradnl"/>
        </w:rPr>
        <w:t>1076 de 2015</w:t>
      </w:r>
      <w:r w:rsidR="00E30212" w:rsidRPr="00946E02">
        <w:rPr>
          <w:b/>
          <w:bCs/>
          <w:shd w:val="clear" w:color="auto" w:fill="FFFFFF"/>
          <w:lang w:eastAsia="es-ES_tradnl"/>
        </w:rPr>
        <w:t>:</w:t>
      </w:r>
      <w:r w:rsidR="009364CE" w:rsidRPr="00946E02">
        <w:rPr>
          <w:b/>
          <w:bCs/>
          <w:shd w:val="clear" w:color="auto" w:fill="FFFFFF"/>
          <w:lang w:eastAsia="es-ES_tradnl"/>
        </w:rPr>
        <w:t xml:space="preserve"> </w:t>
      </w:r>
      <w:r w:rsidR="00E30212" w:rsidRPr="00946E02">
        <w:rPr>
          <w:b/>
          <w:bCs/>
          <w:shd w:val="clear" w:color="auto" w:fill="FFFFFF"/>
          <w:lang w:eastAsia="es-ES_tradnl"/>
        </w:rPr>
        <w:t>s</w:t>
      </w:r>
      <w:r w:rsidR="009364CE" w:rsidRPr="00946E02">
        <w:rPr>
          <w:b/>
          <w:bCs/>
          <w:shd w:val="clear" w:color="auto" w:fill="FFFFFF"/>
          <w:lang w:eastAsia="es-ES_tradnl"/>
        </w:rPr>
        <w:t>u relación con los documentos tipo de licitación de obra pública de infraestructura de transporte</w:t>
      </w:r>
    </w:p>
    <w:p w14:paraId="6B82ABC2" w14:textId="77777777" w:rsidR="00AC0AEF" w:rsidRPr="00946E02" w:rsidRDefault="00AC0AEF" w:rsidP="00B41C03">
      <w:pPr>
        <w:pStyle w:val="Normal11pt"/>
        <w:spacing w:line="276" w:lineRule="auto"/>
        <w:ind w:left="0"/>
        <w:rPr>
          <w:b/>
          <w:bCs/>
          <w:shd w:val="clear" w:color="auto" w:fill="FFFFFF"/>
          <w:lang w:eastAsia="es-ES_tradnl"/>
        </w:rPr>
      </w:pPr>
    </w:p>
    <w:p w14:paraId="25C37E8D" w14:textId="661F5B55" w:rsidR="00F92B22" w:rsidRPr="00946E02" w:rsidRDefault="00F92B22" w:rsidP="00F92B22">
      <w:pPr>
        <w:spacing w:line="276" w:lineRule="auto"/>
        <w:jc w:val="both"/>
        <w:rPr>
          <w:rFonts w:ascii="Arial" w:hAnsi="Arial" w:cs="Arial"/>
          <w:sz w:val="22"/>
        </w:rPr>
      </w:pPr>
      <w:r w:rsidRPr="00946E02">
        <w:rPr>
          <w:rFonts w:ascii="Arial" w:hAnsi="Arial" w:cs="Arial"/>
          <w:sz w:val="22"/>
        </w:rPr>
        <w:t xml:space="preserve">El numeral 1.10 del Documento Base de licitación de obra pública de infraestructura de transporte – versión 3 establece, respecto de la terminología empleada en estos documentos tipo, que «[…] a menos que expresamente se estipule de otra manera, los términos deben entenderse de acuerdo con la definición contenida en el artículo 2.2.1.1.1.3.1 del Decreto 1082 de 2015, la Ley 1682 de 2013 y el Anexo 3 – Glosario». En particular, sobre la noción de </w:t>
      </w:r>
      <w:r w:rsidRPr="00946E02">
        <w:rPr>
          <w:rFonts w:ascii="Arial" w:hAnsi="Arial" w:cs="Arial"/>
          <w:i/>
          <w:iCs/>
          <w:sz w:val="22"/>
        </w:rPr>
        <w:t>Mejoramiento</w:t>
      </w:r>
      <w:r w:rsidR="00BA2D60" w:rsidRPr="00946E02">
        <w:rPr>
          <w:rFonts w:ascii="Arial" w:hAnsi="Arial" w:cs="Arial"/>
          <w:sz w:val="22"/>
        </w:rPr>
        <w:t xml:space="preserve">, como </w:t>
      </w:r>
      <w:r w:rsidRPr="00946E02">
        <w:rPr>
          <w:rFonts w:ascii="Arial" w:hAnsi="Arial" w:cs="Arial"/>
          <w:sz w:val="22"/>
        </w:rPr>
        <w:t>una de las actividades que deben</w:t>
      </w:r>
      <w:r w:rsidR="00BE2865">
        <w:rPr>
          <w:rFonts w:ascii="Arial" w:hAnsi="Arial" w:cs="Arial"/>
          <w:sz w:val="22"/>
        </w:rPr>
        <w:t>,</w:t>
      </w:r>
      <w:r w:rsidRPr="00946E02">
        <w:rPr>
          <w:rFonts w:ascii="Arial" w:hAnsi="Arial" w:cs="Arial"/>
          <w:sz w:val="22"/>
        </w:rPr>
        <w:t xml:space="preserve"> por regla general</w:t>
      </w:r>
      <w:r w:rsidR="00BE2865">
        <w:rPr>
          <w:rFonts w:ascii="Arial" w:hAnsi="Arial" w:cs="Arial"/>
          <w:sz w:val="22"/>
        </w:rPr>
        <w:t>,</w:t>
      </w:r>
      <w:r w:rsidRPr="00946E02">
        <w:rPr>
          <w:rFonts w:ascii="Arial" w:hAnsi="Arial" w:cs="Arial"/>
          <w:sz w:val="22"/>
        </w:rPr>
        <w:t xml:space="preserve"> contratarse aplicando documentos tipo, el numeral 2.</w:t>
      </w:r>
      <w:r w:rsidR="00BA2D60" w:rsidRPr="00946E02">
        <w:rPr>
          <w:rFonts w:ascii="Arial" w:hAnsi="Arial" w:cs="Arial"/>
          <w:sz w:val="22"/>
        </w:rPr>
        <w:t>5</w:t>
      </w:r>
      <w:r w:rsidRPr="00946E02">
        <w:rPr>
          <w:rFonts w:ascii="Arial" w:hAnsi="Arial" w:cs="Arial"/>
          <w:sz w:val="22"/>
        </w:rPr>
        <w:t>0 del «Anexo 3 – Glosario»</w:t>
      </w:r>
      <w:r w:rsidR="009364CE" w:rsidRPr="00946E02">
        <w:rPr>
          <w:rFonts w:ascii="Arial" w:hAnsi="Arial" w:cs="Arial"/>
          <w:sz w:val="22"/>
        </w:rPr>
        <w:t xml:space="preserve"> –modificado por la Resolución 161 del </w:t>
      </w:r>
      <w:r w:rsidR="0055345F" w:rsidRPr="00946E02">
        <w:rPr>
          <w:rFonts w:ascii="Arial" w:hAnsi="Arial" w:cs="Arial"/>
          <w:color w:val="0D0D0D"/>
          <w:sz w:val="22"/>
          <w:bdr w:val="none" w:sz="0" w:space="0" w:color="auto" w:frame="1"/>
          <w:lang w:val="es-ES_tradnl" w:eastAsia="es-CO"/>
        </w:rPr>
        <w:t>del 17 de junio de 2021–</w:t>
      </w:r>
      <w:r w:rsidRPr="00946E02">
        <w:rPr>
          <w:rFonts w:ascii="Arial" w:hAnsi="Arial" w:cs="Arial"/>
          <w:sz w:val="22"/>
        </w:rPr>
        <w:t xml:space="preserve"> establece: </w:t>
      </w:r>
    </w:p>
    <w:p w14:paraId="57DAC016" w14:textId="77777777" w:rsidR="00F92B22" w:rsidRPr="00946E02" w:rsidRDefault="00F92B22" w:rsidP="00F92B22">
      <w:pPr>
        <w:spacing w:line="276" w:lineRule="auto"/>
        <w:jc w:val="both"/>
        <w:rPr>
          <w:rFonts w:ascii="Arial" w:hAnsi="Arial" w:cs="Arial"/>
          <w:bCs/>
          <w:sz w:val="20"/>
          <w:szCs w:val="20"/>
          <w:lang w:eastAsia="es-ES"/>
        </w:rPr>
      </w:pPr>
    </w:p>
    <w:p w14:paraId="127B91DC" w14:textId="2A9B7FF1" w:rsidR="00F92B22" w:rsidRPr="00946E02" w:rsidRDefault="006938B4" w:rsidP="00F92B22">
      <w:pPr>
        <w:spacing w:after="120"/>
        <w:ind w:left="709" w:right="709"/>
        <w:jc w:val="both"/>
        <w:rPr>
          <w:rFonts w:ascii="Arial" w:hAnsi="Arial" w:cs="Arial"/>
          <w:bCs/>
          <w:sz w:val="20"/>
          <w:szCs w:val="20"/>
          <w:lang w:eastAsia="es-ES"/>
        </w:rPr>
      </w:pPr>
      <w:r w:rsidRPr="00946E02">
        <w:rPr>
          <w:rFonts w:ascii="Arial" w:hAnsi="Arial" w:cs="Arial"/>
          <w:bCs/>
          <w:sz w:val="20"/>
          <w:szCs w:val="20"/>
          <w:lang w:eastAsia="es-ES"/>
        </w:rPr>
        <w:t>«</w:t>
      </w:r>
      <w:r w:rsidR="00F92B22" w:rsidRPr="00946E02">
        <w:rPr>
          <w:rFonts w:ascii="Arial" w:hAnsi="Arial" w:cs="Arial"/>
          <w:bCs/>
          <w:sz w:val="20"/>
          <w:szCs w:val="20"/>
          <w:lang w:eastAsia="es-ES"/>
        </w:rPr>
        <w:t>[…]</w:t>
      </w:r>
    </w:p>
    <w:p w14:paraId="4A4F20CD" w14:textId="204860E6" w:rsidR="00F92B22" w:rsidRPr="00946E02" w:rsidRDefault="000B0135" w:rsidP="00D6418E">
      <w:pPr>
        <w:pStyle w:val="Invias-VietaNumerada"/>
        <w:autoSpaceDE w:val="0"/>
        <w:autoSpaceDN w:val="0"/>
        <w:adjustRightInd w:val="0"/>
        <w:spacing w:before="0" w:after="0"/>
        <w:ind w:left="786" w:right="709"/>
        <w:rPr>
          <w:rFonts w:ascii="Arial" w:hAnsi="Arial" w:cs="Arial"/>
          <w:sz w:val="20"/>
          <w:szCs w:val="20"/>
          <w:lang w:val="es-CO"/>
        </w:rPr>
      </w:pPr>
      <w:r w:rsidRPr="00946E02">
        <w:rPr>
          <w:rFonts w:ascii="Arial" w:hAnsi="Arial" w:cs="Arial"/>
          <w:bCs/>
          <w:sz w:val="20"/>
          <w:szCs w:val="20"/>
          <w:lang w:val="es-CO"/>
        </w:rPr>
        <w:t>2.50</w:t>
      </w:r>
      <w:r w:rsidRPr="00946E02">
        <w:rPr>
          <w:lang w:val="es-CO"/>
        </w:rPr>
        <w:t xml:space="preserve"> </w:t>
      </w:r>
      <w:r w:rsidRPr="00946E02">
        <w:rPr>
          <w:rFonts w:ascii="Arial" w:hAnsi="Arial" w:cs="Arial"/>
          <w:bCs/>
          <w:sz w:val="20"/>
          <w:szCs w:val="20"/>
          <w:lang w:val="es-CO"/>
        </w:rPr>
        <w:t>Mejoramiento: Cambios en una infraestructura de transporte con el propósito de mejorar sus especificaciones técnicas iniciales</w:t>
      </w:r>
      <w:r w:rsidR="0055345F" w:rsidRPr="00946E02">
        <w:rPr>
          <w:rStyle w:val="Refdenotaalpie"/>
          <w:rFonts w:ascii="Arial" w:hAnsi="Arial" w:cs="Arial"/>
          <w:bCs/>
          <w:sz w:val="20"/>
          <w:szCs w:val="20"/>
          <w:lang w:val="es-CO"/>
        </w:rPr>
        <w:footnoteReference w:id="6"/>
      </w:r>
      <w:r w:rsidR="006938B4" w:rsidRPr="00946E02">
        <w:rPr>
          <w:rFonts w:ascii="Arial" w:hAnsi="Arial" w:cs="Arial"/>
          <w:sz w:val="20"/>
          <w:szCs w:val="20"/>
          <w:lang w:val="es-CO"/>
        </w:rPr>
        <w:t>»</w:t>
      </w:r>
      <w:r w:rsidR="0055345F" w:rsidRPr="00946E02">
        <w:rPr>
          <w:rFonts w:ascii="Arial" w:hAnsi="Arial" w:cs="Arial"/>
          <w:sz w:val="20"/>
          <w:szCs w:val="20"/>
          <w:lang w:val="es-CO"/>
        </w:rPr>
        <w:t>.</w:t>
      </w:r>
    </w:p>
    <w:p w14:paraId="03C9D3D4" w14:textId="77777777" w:rsidR="00F92B22" w:rsidRPr="00946E02" w:rsidRDefault="00F92B22" w:rsidP="0055345F">
      <w:pPr>
        <w:rPr>
          <w:lang w:eastAsia="es-ES"/>
        </w:rPr>
      </w:pPr>
    </w:p>
    <w:p w14:paraId="0020032F" w14:textId="7B7E7957" w:rsidR="001D3943" w:rsidRPr="00946E02" w:rsidRDefault="00325CE5" w:rsidP="00C84D48">
      <w:pPr>
        <w:spacing w:line="276" w:lineRule="auto"/>
        <w:ind w:firstLine="709"/>
        <w:jc w:val="both"/>
        <w:rPr>
          <w:rFonts w:ascii="Arial" w:hAnsi="Arial" w:cs="Arial"/>
          <w:sz w:val="22"/>
        </w:rPr>
      </w:pPr>
      <w:r w:rsidRPr="00946E02">
        <w:rPr>
          <w:rFonts w:ascii="Arial" w:hAnsi="Arial" w:cs="Arial"/>
          <w:sz w:val="22"/>
        </w:rPr>
        <w:t>Esta definición</w:t>
      </w:r>
      <w:r w:rsidR="0055345F" w:rsidRPr="00946E02">
        <w:rPr>
          <w:rFonts w:ascii="Arial" w:hAnsi="Arial" w:cs="Arial"/>
          <w:sz w:val="22"/>
        </w:rPr>
        <w:t>,</w:t>
      </w:r>
      <w:r w:rsidRPr="00946E02">
        <w:rPr>
          <w:rFonts w:ascii="Arial" w:hAnsi="Arial" w:cs="Arial"/>
          <w:sz w:val="22"/>
        </w:rPr>
        <w:t xml:space="preserve"> contenida en el glosario de los documentos tipo de licitación de obra pública de infraestructura de transporte – versión 3 se enmarca y coincide con la definición de </w:t>
      </w:r>
      <w:r w:rsidRPr="00946E02">
        <w:rPr>
          <w:rFonts w:ascii="Arial" w:hAnsi="Arial" w:cs="Arial"/>
          <w:i/>
          <w:iCs/>
          <w:sz w:val="22"/>
        </w:rPr>
        <w:t>mejoramiento</w:t>
      </w:r>
      <w:r w:rsidR="001D3943" w:rsidRPr="00946E02">
        <w:rPr>
          <w:rFonts w:ascii="Arial" w:hAnsi="Arial" w:cs="Arial"/>
          <w:sz w:val="22"/>
        </w:rPr>
        <w:t xml:space="preserve"> contenida en el artículo 12 de la Ley 1682 de 2013, según la cual:</w:t>
      </w:r>
    </w:p>
    <w:p w14:paraId="0345B31C" w14:textId="77777777" w:rsidR="00C84D48" w:rsidRDefault="00C84D48" w:rsidP="00D6418E">
      <w:pPr>
        <w:ind w:left="709" w:right="709"/>
        <w:jc w:val="both"/>
        <w:rPr>
          <w:rFonts w:ascii="Arial" w:hAnsi="Arial" w:cs="Arial"/>
          <w:bCs/>
          <w:sz w:val="20"/>
          <w:szCs w:val="20"/>
          <w:lang w:eastAsia="es-ES"/>
        </w:rPr>
      </w:pPr>
    </w:p>
    <w:p w14:paraId="472EDB9D" w14:textId="665919F5" w:rsidR="001D3943" w:rsidRPr="00946E02" w:rsidRDefault="001D3943" w:rsidP="00D6418E">
      <w:pPr>
        <w:ind w:left="709" w:right="709"/>
        <w:jc w:val="both"/>
        <w:rPr>
          <w:rFonts w:ascii="Arial" w:hAnsi="Arial" w:cs="Arial"/>
          <w:bCs/>
          <w:sz w:val="20"/>
          <w:szCs w:val="20"/>
          <w:lang w:eastAsia="es-ES"/>
        </w:rPr>
      </w:pPr>
      <w:r w:rsidRPr="00946E02">
        <w:rPr>
          <w:rFonts w:ascii="Arial" w:hAnsi="Arial" w:cs="Arial"/>
          <w:bCs/>
          <w:sz w:val="20"/>
          <w:szCs w:val="20"/>
          <w:lang w:eastAsia="es-ES"/>
        </w:rPr>
        <w:t>«Artículo 12. En lo que se refiere a la infraestructura de transporte terrestre, aeronáutica, aeroportuaria y acuática, se tendrán en cuenta las siguientes definiciones:</w:t>
      </w:r>
    </w:p>
    <w:p w14:paraId="4014D525" w14:textId="7A41BF9C" w:rsidR="001D3943" w:rsidRPr="00946E02" w:rsidRDefault="001D3943" w:rsidP="00D6418E">
      <w:pPr>
        <w:ind w:left="709" w:right="709"/>
        <w:jc w:val="both"/>
        <w:rPr>
          <w:rFonts w:ascii="Arial" w:hAnsi="Arial" w:cs="Arial"/>
          <w:bCs/>
          <w:sz w:val="20"/>
          <w:szCs w:val="20"/>
          <w:lang w:eastAsia="es-ES"/>
        </w:rPr>
      </w:pPr>
      <w:r w:rsidRPr="00946E02">
        <w:rPr>
          <w:rFonts w:ascii="Arial" w:hAnsi="Arial" w:cs="Arial"/>
          <w:bCs/>
          <w:sz w:val="20"/>
          <w:szCs w:val="20"/>
          <w:lang w:eastAsia="es-ES"/>
        </w:rPr>
        <w:t>[…]</w:t>
      </w:r>
    </w:p>
    <w:p w14:paraId="0650FCA8" w14:textId="79136DCB" w:rsidR="00325CE5" w:rsidRPr="00946E02" w:rsidRDefault="001D3943" w:rsidP="00D6418E">
      <w:pPr>
        <w:ind w:left="709" w:right="709"/>
        <w:jc w:val="both"/>
        <w:rPr>
          <w:rFonts w:ascii="Arial" w:hAnsi="Arial" w:cs="Arial"/>
          <w:bCs/>
          <w:sz w:val="20"/>
          <w:szCs w:val="20"/>
          <w:lang w:eastAsia="es-ES"/>
        </w:rPr>
      </w:pPr>
      <w:r w:rsidRPr="00946E02">
        <w:rPr>
          <w:rFonts w:ascii="Arial" w:hAnsi="Arial" w:cs="Arial"/>
          <w:bCs/>
          <w:sz w:val="20"/>
          <w:szCs w:val="20"/>
          <w:lang w:eastAsia="es-ES"/>
        </w:rPr>
        <w:t>Mejoramiento. Cambios en una infraestructura de transporte con el propósito de mejorar sus especificaciones técnicas iniciales. Estas actividades están sujetas a reglamentación dentro de los ciento veinte (120) días calendario siguientes.</w:t>
      </w:r>
    </w:p>
    <w:p w14:paraId="25A6FAA1" w14:textId="1645805A" w:rsidR="001D3943" w:rsidRPr="00946E02" w:rsidRDefault="001D3943" w:rsidP="00D6418E">
      <w:pPr>
        <w:pStyle w:val="Invias-VietaNumerada"/>
        <w:autoSpaceDE w:val="0"/>
        <w:autoSpaceDN w:val="0"/>
        <w:adjustRightInd w:val="0"/>
        <w:spacing w:before="0" w:after="0"/>
        <w:ind w:left="786" w:right="709"/>
        <w:rPr>
          <w:rFonts w:ascii="Arial" w:hAnsi="Arial" w:cs="Arial"/>
          <w:sz w:val="20"/>
          <w:szCs w:val="20"/>
          <w:lang w:val="es-CO"/>
        </w:rPr>
      </w:pPr>
      <w:r w:rsidRPr="00946E02">
        <w:rPr>
          <w:rFonts w:ascii="Arial" w:hAnsi="Arial" w:cs="Arial"/>
          <w:sz w:val="20"/>
          <w:szCs w:val="20"/>
          <w:lang w:val="es-CO"/>
        </w:rPr>
        <w:t>[…]»</w:t>
      </w:r>
    </w:p>
    <w:p w14:paraId="6844C6D8" w14:textId="77777777" w:rsidR="0055345F" w:rsidRPr="00946E02" w:rsidRDefault="0055345F" w:rsidP="00D6418E">
      <w:pPr>
        <w:spacing w:line="276" w:lineRule="auto"/>
        <w:ind w:firstLine="709"/>
        <w:jc w:val="both"/>
        <w:rPr>
          <w:rFonts w:ascii="Arial" w:eastAsiaTheme="minorHAnsi" w:hAnsi="Arial" w:cs="Arial"/>
          <w:sz w:val="22"/>
          <w:szCs w:val="22"/>
          <w:lang w:val="es-MX" w:eastAsia="en-US"/>
        </w:rPr>
      </w:pPr>
    </w:p>
    <w:p w14:paraId="1A7AE658" w14:textId="78A4B686" w:rsidR="00D02095" w:rsidRPr="00946E02" w:rsidRDefault="00CD78C4" w:rsidP="00D02095">
      <w:pPr>
        <w:spacing w:after="120" w:line="276" w:lineRule="auto"/>
        <w:ind w:firstLine="709"/>
        <w:jc w:val="both"/>
        <w:rPr>
          <w:rFonts w:ascii="Arial" w:eastAsiaTheme="minorHAnsi" w:hAnsi="Arial" w:cs="Arial"/>
          <w:b/>
          <w:bCs/>
          <w:sz w:val="22"/>
          <w:szCs w:val="22"/>
          <w:lang w:val="es-MX" w:eastAsia="en-US"/>
        </w:rPr>
      </w:pPr>
      <w:r w:rsidRPr="00946E02">
        <w:rPr>
          <w:rFonts w:ascii="Arial" w:eastAsiaTheme="minorHAnsi" w:hAnsi="Arial" w:cs="Arial"/>
          <w:sz w:val="22"/>
          <w:szCs w:val="22"/>
          <w:lang w:val="es-MX" w:eastAsia="en-US"/>
        </w:rPr>
        <w:t>E</w:t>
      </w:r>
      <w:r w:rsidR="00D02095" w:rsidRPr="00946E02">
        <w:rPr>
          <w:rFonts w:ascii="Arial" w:eastAsiaTheme="minorHAnsi" w:hAnsi="Arial" w:cs="Arial"/>
          <w:sz w:val="22"/>
          <w:szCs w:val="22"/>
          <w:lang w:val="es-MX" w:eastAsia="en-US"/>
        </w:rPr>
        <w:t xml:space="preserve">n cuanto a las actividades susceptibles de ser catalogas como </w:t>
      </w:r>
      <w:r w:rsidR="00D02095" w:rsidRPr="00946E02">
        <w:rPr>
          <w:rFonts w:ascii="Arial" w:eastAsiaTheme="minorHAnsi" w:hAnsi="Arial" w:cs="Arial"/>
          <w:i/>
          <w:iCs/>
          <w:sz w:val="22"/>
          <w:szCs w:val="22"/>
          <w:lang w:val="es-MX" w:eastAsia="en-US"/>
        </w:rPr>
        <w:t>mejoramiento</w:t>
      </w:r>
      <w:r w:rsidR="0055345F" w:rsidRPr="00946E02">
        <w:rPr>
          <w:rFonts w:ascii="Arial" w:eastAsiaTheme="minorHAnsi" w:hAnsi="Arial" w:cs="Arial"/>
          <w:i/>
          <w:iCs/>
          <w:sz w:val="22"/>
          <w:szCs w:val="22"/>
          <w:lang w:val="es-MX" w:eastAsia="en-US"/>
        </w:rPr>
        <w:t>,</w:t>
      </w:r>
      <w:r w:rsidR="00D02095" w:rsidRPr="00946E02">
        <w:rPr>
          <w:rFonts w:ascii="Arial" w:eastAsiaTheme="minorHAnsi" w:hAnsi="Arial" w:cs="Arial"/>
          <w:sz w:val="22"/>
          <w:szCs w:val="22"/>
          <w:lang w:val="es-MX" w:eastAsia="en-US"/>
        </w:rPr>
        <w:t xml:space="preserve"> el artículo 12 de la Ley 1682 de 2013 y el Anexo 3</w:t>
      </w:r>
      <w:r w:rsidR="000D229C" w:rsidRPr="00946E02">
        <w:rPr>
          <w:rFonts w:ascii="Arial" w:eastAsiaTheme="minorHAnsi" w:hAnsi="Arial" w:cs="Arial"/>
          <w:sz w:val="22"/>
          <w:szCs w:val="22"/>
          <w:lang w:val="es-MX" w:eastAsia="en-US"/>
        </w:rPr>
        <w:t xml:space="preserve"> no prevén un listado específico. Lo anterior</w:t>
      </w:r>
      <w:r w:rsidR="00D02095" w:rsidRPr="00946E02">
        <w:rPr>
          <w:rFonts w:ascii="Arial" w:eastAsiaTheme="minorHAnsi" w:hAnsi="Arial" w:cs="Arial"/>
          <w:sz w:val="22"/>
          <w:szCs w:val="22"/>
          <w:lang w:val="es-MX" w:eastAsia="en-US"/>
        </w:rPr>
        <w:t>,</w:t>
      </w:r>
      <w:r w:rsidR="000D229C" w:rsidRPr="00946E02">
        <w:rPr>
          <w:rFonts w:ascii="Arial" w:eastAsiaTheme="minorHAnsi" w:hAnsi="Arial" w:cs="Arial"/>
          <w:sz w:val="22"/>
          <w:szCs w:val="22"/>
          <w:lang w:val="es-MX" w:eastAsia="en-US"/>
        </w:rPr>
        <w:t xml:space="preserve"> obedece a que la referida </w:t>
      </w:r>
      <w:r w:rsidR="00D02095" w:rsidRPr="00946E02">
        <w:rPr>
          <w:rFonts w:ascii="Arial" w:eastAsiaTheme="minorHAnsi" w:hAnsi="Arial" w:cs="Arial"/>
          <w:sz w:val="22"/>
          <w:szCs w:val="22"/>
          <w:lang w:val="es-MX" w:eastAsia="en-US"/>
        </w:rPr>
        <w:t xml:space="preserve">ley determinó que </w:t>
      </w:r>
      <w:r w:rsidR="000D229C" w:rsidRPr="00946E02">
        <w:rPr>
          <w:rFonts w:ascii="Arial" w:eastAsiaTheme="minorHAnsi" w:hAnsi="Arial" w:cs="Arial"/>
          <w:sz w:val="22"/>
          <w:szCs w:val="22"/>
          <w:lang w:val="es-MX" w:eastAsia="en-US"/>
        </w:rPr>
        <w:t xml:space="preserve">esas actividades </w:t>
      </w:r>
      <w:r w:rsidR="00D02095" w:rsidRPr="00946E02">
        <w:rPr>
          <w:rFonts w:ascii="Arial" w:eastAsiaTheme="minorHAnsi" w:hAnsi="Arial" w:cs="Arial"/>
          <w:sz w:val="22"/>
          <w:szCs w:val="22"/>
          <w:lang w:val="es-MX" w:eastAsia="en-US"/>
        </w:rPr>
        <w:t xml:space="preserve">debían ser objeto de reglamentación, estableciendo incluso un plazo para ello. </w:t>
      </w:r>
      <w:r w:rsidR="00614BF3" w:rsidRPr="00946E02">
        <w:rPr>
          <w:rFonts w:ascii="Arial" w:eastAsiaTheme="minorHAnsi" w:hAnsi="Arial" w:cs="Arial"/>
          <w:sz w:val="22"/>
          <w:szCs w:val="22"/>
          <w:lang w:val="es-MX" w:eastAsia="en-US"/>
        </w:rPr>
        <w:t>De conformidad con lo anterior,</w:t>
      </w:r>
      <w:r w:rsidR="00D02095" w:rsidRPr="00946E02">
        <w:rPr>
          <w:rFonts w:ascii="Arial" w:eastAsiaTheme="minorHAnsi" w:hAnsi="Arial" w:cs="Arial"/>
          <w:sz w:val="22"/>
          <w:szCs w:val="22"/>
          <w:lang w:val="es-MX" w:eastAsia="en-US"/>
        </w:rPr>
        <w:t xml:space="preserve"> </w:t>
      </w:r>
      <w:r w:rsidR="00D02095" w:rsidRPr="00946E02">
        <w:rPr>
          <w:rFonts w:ascii="Arial" w:eastAsiaTheme="minorHAnsi" w:hAnsi="Arial" w:cs="Arial"/>
          <w:sz w:val="22"/>
          <w:szCs w:val="22"/>
          <w:lang w:val="es-MX" w:eastAsia="en-US"/>
        </w:rPr>
        <w:lastRenderedPageBreak/>
        <w:t xml:space="preserve">el artículo 44 de la Ley 1682 de 2013 atribuyó al Gobierno Nacional, conformado por los Ministerios de Transporte y Ambiente, en coordinación con la Autoridad Nacional de Licencias Ambientales, la competencia para reglamentar el listado de actividades de </w:t>
      </w:r>
      <w:r w:rsidR="00D02095" w:rsidRPr="00946E02">
        <w:rPr>
          <w:rFonts w:ascii="Arial" w:eastAsiaTheme="minorHAnsi" w:hAnsi="Arial" w:cs="Arial"/>
          <w:i/>
          <w:iCs/>
          <w:sz w:val="22"/>
          <w:szCs w:val="22"/>
          <w:lang w:val="es-MX" w:eastAsia="en-US"/>
        </w:rPr>
        <w:t>mejoramiento</w:t>
      </w:r>
      <w:r w:rsidR="00D02095" w:rsidRPr="00946E02">
        <w:rPr>
          <w:rFonts w:ascii="Arial" w:eastAsiaTheme="minorHAnsi" w:hAnsi="Arial" w:cs="Arial"/>
          <w:sz w:val="22"/>
          <w:szCs w:val="22"/>
          <w:lang w:val="es-MX" w:eastAsia="en-US"/>
        </w:rPr>
        <w:t xml:space="preserve"> en proyectos de infraestructura de transporte</w:t>
      </w:r>
      <w:r w:rsidR="00D02095" w:rsidRPr="00946E02">
        <w:rPr>
          <w:rFonts w:ascii="Arial" w:eastAsiaTheme="minorHAnsi" w:hAnsi="Arial" w:cs="Arial"/>
          <w:sz w:val="22"/>
          <w:szCs w:val="22"/>
          <w:vertAlign w:val="superscript"/>
          <w:lang w:val="es-MX" w:eastAsia="en-US"/>
        </w:rPr>
        <w:footnoteReference w:id="7"/>
      </w:r>
      <w:r w:rsidR="00D02095" w:rsidRPr="00946E02">
        <w:rPr>
          <w:rFonts w:ascii="Arial" w:eastAsiaTheme="minorHAnsi" w:hAnsi="Arial" w:cs="Arial"/>
          <w:sz w:val="22"/>
          <w:szCs w:val="22"/>
          <w:lang w:val="es-MX" w:eastAsia="en-US"/>
        </w:rPr>
        <w:t>. Dicha competencia fue ejercida mediante la expedición del Decreto 769 de 2014</w:t>
      </w:r>
      <w:r w:rsidR="00614BF3" w:rsidRPr="00946E02">
        <w:rPr>
          <w:rFonts w:ascii="Arial" w:eastAsiaTheme="minorHAnsi" w:hAnsi="Arial" w:cs="Arial"/>
          <w:sz w:val="22"/>
          <w:szCs w:val="22"/>
          <w:lang w:val="es-MX" w:eastAsia="en-US"/>
        </w:rPr>
        <w:t xml:space="preserve"> –</w:t>
      </w:r>
      <w:r w:rsidR="00614BF3" w:rsidRPr="00946E02">
        <w:rPr>
          <w:rFonts w:ascii="Arial" w:hAnsi="Arial" w:cs="Arial"/>
          <w:sz w:val="22"/>
          <w:szCs w:val="22"/>
        </w:rPr>
        <w:t xml:space="preserve">actualmente compilado en el </w:t>
      </w:r>
      <w:r w:rsidR="00614BF3" w:rsidRPr="00946E02">
        <w:rPr>
          <w:rFonts w:ascii="Arial" w:hAnsi="Arial" w:cs="Arial" w:hint="cs"/>
          <w:sz w:val="22"/>
          <w:szCs w:val="22"/>
        </w:rPr>
        <w:t>Decreto 1076 de 2015</w:t>
      </w:r>
      <w:r w:rsidR="00614BF3" w:rsidRPr="00946E02">
        <w:rPr>
          <w:rFonts w:ascii="Arial" w:hAnsi="Arial" w:cs="Arial" w:hint="eastAsia"/>
          <w:sz w:val="22"/>
          <w:szCs w:val="22"/>
        </w:rPr>
        <w:t>–</w:t>
      </w:r>
      <w:r w:rsidR="00D02095" w:rsidRPr="00946E02">
        <w:rPr>
          <w:rFonts w:ascii="Arial" w:eastAsiaTheme="minorHAnsi" w:hAnsi="Arial" w:cs="Arial"/>
          <w:sz w:val="22"/>
          <w:szCs w:val="22"/>
          <w:lang w:val="es-MX" w:eastAsia="en-US"/>
        </w:rPr>
        <w:t>,</w:t>
      </w:r>
      <w:r w:rsidR="00B11D91">
        <w:rPr>
          <w:rFonts w:ascii="Arial" w:eastAsiaTheme="minorHAnsi" w:hAnsi="Arial" w:cs="Arial"/>
          <w:sz w:val="22"/>
          <w:szCs w:val="22"/>
          <w:lang w:val="es-MX" w:eastAsia="en-US"/>
        </w:rPr>
        <w:t xml:space="preserve"> </w:t>
      </w:r>
      <w:r w:rsidR="00D02095" w:rsidRPr="00946E02">
        <w:rPr>
          <w:rFonts w:ascii="Arial" w:eastAsiaTheme="minorHAnsi" w:hAnsi="Arial" w:cs="Arial"/>
          <w:sz w:val="22"/>
          <w:szCs w:val="22"/>
          <w:lang w:val="es-MX" w:eastAsia="en-US"/>
        </w:rPr>
        <w:t>cuyo artículo 1 enlista una serie de actividades consideradas de mejoramiento, las cuales fueron agrupadas en los siguientes literales referidos a cada uno de los modos de infraestructura vial: A. Modo terrestre-carretero;</w:t>
      </w:r>
      <w:r w:rsidR="00D02095" w:rsidRPr="00946E02">
        <w:rPr>
          <w:rFonts w:ascii="Arial" w:eastAsiaTheme="minorHAnsi" w:hAnsi="Arial" w:cs="Arial"/>
          <w:b/>
          <w:bCs/>
          <w:sz w:val="22"/>
          <w:szCs w:val="22"/>
          <w:lang w:val="es-MX" w:eastAsia="en-US"/>
        </w:rPr>
        <w:t xml:space="preserve"> </w:t>
      </w:r>
      <w:r w:rsidR="00D02095" w:rsidRPr="00946E02">
        <w:rPr>
          <w:rFonts w:ascii="Arial" w:eastAsiaTheme="minorHAnsi" w:hAnsi="Arial" w:cs="Arial"/>
          <w:sz w:val="22"/>
          <w:szCs w:val="22"/>
          <w:lang w:val="es-MX" w:eastAsia="en-US"/>
        </w:rPr>
        <w:t>B. Modo terrestre-férreo;</w:t>
      </w:r>
      <w:r w:rsidR="00D02095" w:rsidRPr="00946E02">
        <w:rPr>
          <w:rFonts w:ascii="Arial" w:eastAsiaTheme="minorHAnsi" w:hAnsi="Arial" w:cs="Arial"/>
          <w:b/>
          <w:bCs/>
          <w:sz w:val="22"/>
          <w:szCs w:val="22"/>
          <w:lang w:val="es-MX" w:eastAsia="en-US"/>
        </w:rPr>
        <w:t> </w:t>
      </w:r>
      <w:r w:rsidR="00D02095" w:rsidRPr="00946E02">
        <w:rPr>
          <w:rFonts w:ascii="Arial" w:eastAsiaTheme="minorHAnsi" w:hAnsi="Arial" w:cs="Arial"/>
          <w:sz w:val="22"/>
          <w:szCs w:val="22"/>
          <w:lang w:val="es-MX" w:eastAsia="en-US"/>
        </w:rPr>
        <w:t>C. Modo acuático-fluvial y Modo acuático de infraestructura portuaria</w:t>
      </w:r>
      <w:r w:rsidR="00DF141D">
        <w:rPr>
          <w:rFonts w:ascii="Arial" w:eastAsiaTheme="minorHAnsi" w:hAnsi="Arial" w:cs="Arial"/>
          <w:sz w:val="22"/>
          <w:szCs w:val="22"/>
          <w:lang w:val="es-MX" w:eastAsia="en-US"/>
        </w:rPr>
        <w:t>,</w:t>
      </w:r>
      <w:r w:rsidR="00D02095" w:rsidRPr="00946E02">
        <w:rPr>
          <w:rFonts w:ascii="Arial" w:eastAsiaTheme="minorHAnsi" w:hAnsi="Arial" w:cs="Arial"/>
          <w:b/>
          <w:bCs/>
          <w:sz w:val="22"/>
          <w:szCs w:val="22"/>
          <w:lang w:val="es-MX" w:eastAsia="en-US"/>
        </w:rPr>
        <w:t> </w:t>
      </w:r>
      <w:r w:rsidR="00D02095" w:rsidRPr="00946E02">
        <w:rPr>
          <w:rFonts w:ascii="Arial" w:eastAsiaTheme="minorHAnsi" w:hAnsi="Arial" w:cs="Arial"/>
          <w:sz w:val="22"/>
          <w:szCs w:val="22"/>
          <w:lang w:val="es-MX" w:eastAsia="en-US"/>
        </w:rPr>
        <w:t>y D.</w:t>
      </w:r>
      <w:r w:rsidR="00D02095" w:rsidRPr="00946E02">
        <w:rPr>
          <w:rFonts w:ascii="Arial" w:eastAsiaTheme="minorHAnsi" w:hAnsi="Arial" w:cs="Arial"/>
          <w:b/>
          <w:bCs/>
          <w:sz w:val="22"/>
          <w:szCs w:val="22"/>
          <w:lang w:val="es-MX" w:eastAsia="en-US"/>
        </w:rPr>
        <w:t> </w:t>
      </w:r>
      <w:r w:rsidR="00D02095" w:rsidRPr="00946E02">
        <w:rPr>
          <w:rFonts w:ascii="Arial" w:eastAsiaTheme="minorHAnsi" w:hAnsi="Arial" w:cs="Arial"/>
          <w:sz w:val="22"/>
          <w:szCs w:val="22"/>
          <w:lang w:val="es-MX" w:eastAsia="en-US"/>
        </w:rPr>
        <w:t>Modo Aéreo.</w:t>
      </w:r>
    </w:p>
    <w:p w14:paraId="6B1998DE" w14:textId="1A9F42B6" w:rsidR="00D02095" w:rsidRPr="00946E02" w:rsidRDefault="00D02095" w:rsidP="00D02095">
      <w:pPr>
        <w:spacing w:after="120" w:line="276" w:lineRule="auto"/>
        <w:ind w:firstLine="709"/>
        <w:jc w:val="both"/>
        <w:rPr>
          <w:rFonts w:ascii="Arial" w:eastAsiaTheme="minorHAnsi" w:hAnsi="Arial" w:cs="Arial"/>
          <w:sz w:val="22"/>
          <w:szCs w:val="22"/>
          <w:lang w:val="es-MX" w:eastAsia="en-US"/>
        </w:rPr>
      </w:pPr>
      <w:r w:rsidRPr="00946E02">
        <w:rPr>
          <w:rFonts w:ascii="Arial" w:eastAsiaTheme="minorHAnsi" w:hAnsi="Arial" w:cs="Arial"/>
          <w:sz w:val="22"/>
          <w:szCs w:val="22"/>
          <w:lang w:val="es-MX" w:eastAsia="en-US"/>
        </w:rPr>
        <w:t>Al respecto, debe precisarse que, en materia de infraestructura de transporte, la Ley 1682 de 2013</w:t>
      </w:r>
      <w:r w:rsidR="00426D2A" w:rsidRPr="00946E02">
        <w:rPr>
          <w:rFonts w:ascii="Arial" w:eastAsiaTheme="minorHAnsi" w:hAnsi="Arial" w:cs="Arial"/>
          <w:sz w:val="22"/>
          <w:szCs w:val="22"/>
          <w:lang w:val="es-MX" w:eastAsia="en-US"/>
        </w:rPr>
        <w:t xml:space="preserve"> </w:t>
      </w:r>
      <w:r w:rsidRPr="00946E02">
        <w:rPr>
          <w:rFonts w:ascii="Arial" w:eastAsiaTheme="minorHAnsi" w:hAnsi="Arial" w:cs="Arial"/>
          <w:sz w:val="22"/>
          <w:szCs w:val="22"/>
          <w:lang w:val="es-MX" w:eastAsia="en-US"/>
        </w:rPr>
        <w:t xml:space="preserve">constituye el principal instrumento normativo </w:t>
      </w:r>
      <w:r w:rsidR="006F1F39" w:rsidRPr="00946E02">
        <w:rPr>
          <w:rFonts w:ascii="Arial" w:eastAsiaTheme="minorHAnsi" w:hAnsi="Arial" w:cs="Arial"/>
          <w:sz w:val="22"/>
          <w:szCs w:val="22"/>
          <w:lang w:val="es-MX" w:eastAsia="en-US"/>
        </w:rPr>
        <w:t>para</w:t>
      </w:r>
      <w:r w:rsidRPr="00946E02">
        <w:rPr>
          <w:rFonts w:ascii="Arial" w:eastAsiaTheme="minorHAnsi" w:hAnsi="Arial" w:cs="Arial"/>
          <w:sz w:val="22"/>
          <w:szCs w:val="22"/>
          <w:lang w:val="es-MX" w:eastAsia="en-US"/>
        </w:rPr>
        <w:t xml:space="preserve"> determinar qué constituye infraestructura de transporte, así como las actividades que implican su intervención y que, por tanto, deben ser contratadas aplicando </w:t>
      </w:r>
      <w:r w:rsidR="006F1F39" w:rsidRPr="00946E02">
        <w:rPr>
          <w:rFonts w:ascii="Arial" w:eastAsiaTheme="minorHAnsi" w:hAnsi="Arial" w:cs="Arial"/>
          <w:sz w:val="22"/>
          <w:szCs w:val="22"/>
          <w:lang w:val="es-MX" w:eastAsia="en-US"/>
        </w:rPr>
        <w:t xml:space="preserve">los </w:t>
      </w:r>
      <w:r w:rsidRPr="00946E02">
        <w:rPr>
          <w:rFonts w:ascii="Arial" w:eastAsiaTheme="minorHAnsi" w:hAnsi="Arial" w:cs="Arial"/>
          <w:sz w:val="22"/>
          <w:szCs w:val="22"/>
          <w:lang w:val="es-MX" w:eastAsia="en-US"/>
        </w:rPr>
        <w:t xml:space="preserve">documentos tipo. En ese sentido, </w:t>
      </w:r>
      <w:r w:rsidR="0003067A" w:rsidRPr="00946E02">
        <w:rPr>
          <w:rFonts w:ascii="Arial" w:eastAsiaTheme="minorHAnsi" w:hAnsi="Arial" w:cs="Arial"/>
          <w:sz w:val="22"/>
          <w:szCs w:val="22"/>
          <w:lang w:val="es-MX" w:eastAsia="en-US"/>
        </w:rPr>
        <w:t xml:space="preserve">como se </w:t>
      </w:r>
      <w:r w:rsidR="006F1F39" w:rsidRPr="00946E02">
        <w:rPr>
          <w:rFonts w:ascii="Arial" w:eastAsiaTheme="minorHAnsi" w:hAnsi="Arial" w:cs="Arial"/>
          <w:sz w:val="22"/>
          <w:szCs w:val="22"/>
          <w:lang w:val="es-MX" w:eastAsia="en-US"/>
        </w:rPr>
        <w:t>indicó</w:t>
      </w:r>
      <w:r w:rsidR="0003067A" w:rsidRPr="00946E02">
        <w:rPr>
          <w:rFonts w:ascii="Arial" w:eastAsiaTheme="minorHAnsi" w:hAnsi="Arial" w:cs="Arial"/>
          <w:sz w:val="22"/>
          <w:szCs w:val="22"/>
          <w:lang w:val="es-MX" w:eastAsia="en-US"/>
        </w:rPr>
        <w:t xml:space="preserve">, </w:t>
      </w:r>
      <w:r w:rsidRPr="00946E02">
        <w:rPr>
          <w:rFonts w:ascii="Arial" w:eastAsiaTheme="minorHAnsi" w:hAnsi="Arial" w:cs="Arial"/>
          <w:sz w:val="22"/>
          <w:szCs w:val="22"/>
          <w:lang w:val="es-MX" w:eastAsia="en-US"/>
        </w:rPr>
        <w:t xml:space="preserve">el legislador atribuyó al Gobierno Nacional la competencia para definir lo que debe </w:t>
      </w:r>
      <w:r w:rsidR="00426D2A" w:rsidRPr="00946E02">
        <w:rPr>
          <w:rFonts w:ascii="Arial" w:eastAsiaTheme="minorHAnsi" w:hAnsi="Arial" w:cs="Arial"/>
          <w:sz w:val="22"/>
          <w:szCs w:val="22"/>
          <w:lang w:val="es-MX" w:eastAsia="en-US"/>
        </w:rPr>
        <w:t>entenderse por</w:t>
      </w:r>
      <w:r w:rsidRPr="00946E02">
        <w:rPr>
          <w:rFonts w:ascii="Arial" w:eastAsiaTheme="minorHAnsi" w:hAnsi="Arial" w:cs="Arial"/>
          <w:sz w:val="22"/>
          <w:szCs w:val="22"/>
          <w:lang w:val="es-MX" w:eastAsia="en-US"/>
        </w:rPr>
        <w:t xml:space="preserve"> </w:t>
      </w:r>
      <w:r w:rsidR="0003067A" w:rsidRPr="00946E02">
        <w:rPr>
          <w:rFonts w:ascii="Arial" w:eastAsiaTheme="minorHAnsi" w:hAnsi="Arial" w:cs="Arial"/>
          <w:i/>
          <w:iCs/>
          <w:sz w:val="22"/>
          <w:szCs w:val="22"/>
          <w:lang w:val="es-MX" w:eastAsia="en-US"/>
        </w:rPr>
        <w:t xml:space="preserve">mejoramiento </w:t>
      </w:r>
      <w:r w:rsidRPr="00946E02">
        <w:rPr>
          <w:rFonts w:ascii="Arial" w:eastAsiaTheme="minorHAnsi" w:hAnsi="Arial" w:cs="Arial"/>
          <w:sz w:val="22"/>
          <w:szCs w:val="22"/>
          <w:lang w:val="es-MX" w:eastAsia="en-US"/>
        </w:rPr>
        <w:t xml:space="preserve">de infraestructura de transporte, al </w:t>
      </w:r>
      <w:r w:rsidR="00426D2A" w:rsidRPr="00946E02">
        <w:rPr>
          <w:rFonts w:ascii="Arial" w:eastAsiaTheme="minorHAnsi" w:hAnsi="Arial" w:cs="Arial"/>
          <w:sz w:val="22"/>
          <w:szCs w:val="22"/>
          <w:lang w:val="es-MX" w:eastAsia="en-US"/>
        </w:rPr>
        <w:t xml:space="preserve">otorgarle </w:t>
      </w:r>
      <w:r w:rsidRPr="00946E02">
        <w:rPr>
          <w:rFonts w:ascii="Arial" w:eastAsiaTheme="minorHAnsi" w:hAnsi="Arial" w:cs="Arial"/>
          <w:sz w:val="22"/>
          <w:szCs w:val="22"/>
          <w:lang w:val="es-MX" w:eastAsia="en-US"/>
        </w:rPr>
        <w:t>la competencia para expedir la norma reglamentaria que enlistara las actividades que suponen tal tipo de intervención</w:t>
      </w:r>
      <w:r w:rsidR="007D36D7" w:rsidRPr="00946E02">
        <w:rPr>
          <w:rFonts w:ascii="Arial" w:eastAsiaTheme="minorHAnsi" w:hAnsi="Arial" w:cs="Arial"/>
          <w:sz w:val="22"/>
          <w:szCs w:val="22"/>
          <w:lang w:val="es-MX" w:eastAsia="en-US"/>
        </w:rPr>
        <w:t xml:space="preserve">, lo cual es fundamental para la </w:t>
      </w:r>
      <w:r w:rsidRPr="00946E02">
        <w:rPr>
          <w:rFonts w:ascii="Arial" w:eastAsiaTheme="minorHAnsi" w:hAnsi="Arial" w:cs="Arial"/>
          <w:sz w:val="22"/>
          <w:szCs w:val="22"/>
          <w:lang w:val="es-MX" w:eastAsia="en-US"/>
        </w:rPr>
        <w:t xml:space="preserve">aplicación de los documentos tipo de infraestructura transporte.  </w:t>
      </w:r>
    </w:p>
    <w:p w14:paraId="5B60023C" w14:textId="5CEA7363" w:rsidR="0074426D" w:rsidRPr="00946E02" w:rsidRDefault="0074426D" w:rsidP="0074426D">
      <w:pPr>
        <w:spacing w:after="120" w:line="276" w:lineRule="auto"/>
        <w:ind w:firstLine="709"/>
        <w:jc w:val="both"/>
        <w:rPr>
          <w:rFonts w:ascii="Arial" w:hAnsi="Arial" w:cs="Arial"/>
          <w:sz w:val="22"/>
        </w:rPr>
      </w:pPr>
      <w:r w:rsidRPr="00946E02">
        <w:rPr>
          <w:rFonts w:ascii="Arial" w:hAnsi="Arial" w:cs="Arial"/>
          <w:sz w:val="22"/>
        </w:rPr>
        <w:t>En ese sentido, las nociones de las actividades que suponen intervenciones de la infraestructura de transporte, como es el caso de l</w:t>
      </w:r>
      <w:r w:rsidR="007D36D7" w:rsidRPr="00946E02">
        <w:rPr>
          <w:rFonts w:ascii="Arial" w:hAnsi="Arial" w:cs="Arial"/>
          <w:sz w:val="22"/>
        </w:rPr>
        <w:t>as actividades d</w:t>
      </w:r>
      <w:r w:rsidRPr="00946E02">
        <w:rPr>
          <w:rFonts w:ascii="Arial" w:hAnsi="Arial" w:cs="Arial"/>
          <w:sz w:val="22"/>
        </w:rPr>
        <w:t xml:space="preserve">e </w:t>
      </w:r>
      <w:r w:rsidRPr="00946E02">
        <w:rPr>
          <w:rFonts w:ascii="Arial" w:hAnsi="Arial" w:cs="Arial"/>
          <w:i/>
          <w:iCs/>
          <w:sz w:val="22"/>
        </w:rPr>
        <w:t>mejoramiento</w:t>
      </w:r>
      <w:r w:rsidRPr="00946E02">
        <w:rPr>
          <w:rFonts w:ascii="Arial" w:hAnsi="Arial" w:cs="Arial"/>
          <w:sz w:val="22"/>
        </w:rPr>
        <w:t>, en el marco de los documentos tipo de dicho sector, se determinar</w:t>
      </w:r>
      <w:r w:rsidR="007D36D7" w:rsidRPr="00946E02">
        <w:rPr>
          <w:rFonts w:ascii="Arial" w:hAnsi="Arial" w:cs="Arial"/>
          <w:sz w:val="22"/>
        </w:rPr>
        <w:t>á</w:t>
      </w:r>
      <w:r w:rsidRPr="00946E02">
        <w:rPr>
          <w:rFonts w:ascii="Arial" w:hAnsi="Arial" w:cs="Arial"/>
          <w:sz w:val="22"/>
        </w:rPr>
        <w:t>n, en primera medida, por lo dispuesto en la Ley 1682 de 2013</w:t>
      </w:r>
      <w:r w:rsidR="00217768">
        <w:rPr>
          <w:rFonts w:ascii="Arial" w:hAnsi="Arial" w:cs="Arial"/>
          <w:sz w:val="22"/>
        </w:rPr>
        <w:t xml:space="preserve"> y sus decretos reglamentarios</w:t>
      </w:r>
      <w:r w:rsidRPr="00946E02">
        <w:rPr>
          <w:rFonts w:ascii="Arial" w:hAnsi="Arial" w:cs="Arial"/>
          <w:sz w:val="22"/>
        </w:rPr>
        <w:t>.</w:t>
      </w:r>
    </w:p>
    <w:p w14:paraId="5E07680D" w14:textId="38C860F6" w:rsidR="0074426D" w:rsidRPr="00946E02" w:rsidRDefault="007D36D7" w:rsidP="0074426D">
      <w:pPr>
        <w:spacing w:after="120" w:line="276" w:lineRule="auto"/>
        <w:ind w:firstLine="709"/>
        <w:jc w:val="both"/>
        <w:rPr>
          <w:rStyle w:val="nfasis"/>
          <w:rFonts w:ascii="Arial" w:hAnsi="Arial" w:cs="Arial"/>
          <w:b/>
          <w:bCs/>
          <w:i w:val="0"/>
          <w:iCs w:val="0"/>
          <w:sz w:val="22"/>
          <w:szCs w:val="22"/>
        </w:rPr>
      </w:pPr>
      <w:r w:rsidRPr="00946E02">
        <w:rPr>
          <w:rFonts w:ascii="Arial" w:hAnsi="Arial" w:cs="Arial"/>
          <w:sz w:val="22"/>
          <w:szCs w:val="22"/>
          <w:shd w:val="clear" w:color="auto" w:fill="FFFFFF"/>
          <w:lang w:eastAsia="es-ES_tradnl"/>
        </w:rPr>
        <w:t>En síntesis, p</w:t>
      </w:r>
      <w:r w:rsidR="0074426D" w:rsidRPr="00946E02">
        <w:rPr>
          <w:rFonts w:ascii="Arial" w:hAnsi="Arial" w:cs="Arial" w:hint="cs"/>
          <w:sz w:val="22"/>
          <w:szCs w:val="22"/>
          <w:shd w:val="clear" w:color="auto" w:fill="FFFFFF"/>
          <w:lang w:eastAsia="es-ES_tradnl"/>
        </w:rPr>
        <w:t xml:space="preserve">ara el caso que nos ocupa, la definición de </w:t>
      </w:r>
      <w:r w:rsidR="00702A9E" w:rsidRPr="00946E02">
        <w:rPr>
          <w:rFonts w:ascii="Arial" w:hAnsi="Arial" w:cs="Arial"/>
          <w:i/>
          <w:iCs/>
          <w:sz w:val="22"/>
          <w:szCs w:val="22"/>
          <w:shd w:val="clear" w:color="auto" w:fill="FFFFFF"/>
          <w:lang w:eastAsia="es-ES_tradnl"/>
        </w:rPr>
        <w:t>mejoramiento</w:t>
      </w:r>
      <w:r w:rsidR="0074426D" w:rsidRPr="00946E02">
        <w:rPr>
          <w:rFonts w:ascii="Arial" w:hAnsi="Arial" w:cs="Arial" w:hint="cs"/>
          <w:sz w:val="22"/>
          <w:szCs w:val="22"/>
          <w:shd w:val="clear" w:color="auto" w:fill="FFFFFF"/>
          <w:lang w:eastAsia="es-ES_tradnl"/>
        </w:rPr>
        <w:t xml:space="preserve"> </w:t>
      </w:r>
      <w:r w:rsidR="0074426D" w:rsidRPr="00946E02">
        <w:rPr>
          <w:rFonts w:ascii="Arial" w:hAnsi="Arial" w:cs="Arial" w:hint="cs"/>
          <w:sz w:val="22"/>
          <w:szCs w:val="22"/>
        </w:rPr>
        <w:t xml:space="preserve">fue introducida por la referida ley, pero fue desarrollada por el artículo 1 del Decreto 769 de 2014, </w:t>
      </w:r>
      <w:r w:rsidR="00426D2A" w:rsidRPr="00946E02">
        <w:rPr>
          <w:rFonts w:ascii="Arial" w:hAnsi="Arial" w:cs="Arial"/>
          <w:sz w:val="22"/>
          <w:szCs w:val="22"/>
        </w:rPr>
        <w:t>actualmente</w:t>
      </w:r>
      <w:r w:rsidR="00426D2A" w:rsidRPr="00946E02">
        <w:rPr>
          <w:rFonts w:ascii="Arial" w:hAnsi="Arial" w:cs="Arial" w:hint="cs"/>
          <w:sz w:val="22"/>
          <w:szCs w:val="22"/>
        </w:rPr>
        <w:t xml:space="preserve"> </w:t>
      </w:r>
      <w:r w:rsidR="0074426D" w:rsidRPr="00946E02">
        <w:rPr>
          <w:rFonts w:ascii="Arial" w:hAnsi="Arial" w:cs="Arial" w:hint="cs"/>
          <w:sz w:val="22"/>
          <w:szCs w:val="22"/>
        </w:rPr>
        <w:t xml:space="preserve">compilado en el Decreto 1076 de 2015, en los artículos </w:t>
      </w:r>
      <w:r w:rsidR="0074426D" w:rsidRPr="00946E02">
        <w:rPr>
          <w:rStyle w:val="Textoennegrita"/>
          <w:rFonts w:ascii="Arial" w:hAnsi="Arial" w:cs="Arial" w:hint="cs"/>
          <w:b w:val="0"/>
          <w:bCs w:val="0"/>
          <w:sz w:val="22"/>
          <w:szCs w:val="22"/>
        </w:rPr>
        <w:t>2.2.2.5.1.1</w:t>
      </w:r>
      <w:r w:rsidR="0074426D" w:rsidRPr="00946E02">
        <w:rPr>
          <w:rStyle w:val="Textoennegrita"/>
          <w:rFonts w:ascii="Arial" w:hAnsi="Arial" w:cs="Arial" w:hint="cs"/>
          <w:b w:val="0"/>
          <w:bCs w:val="0"/>
          <w:i/>
          <w:iCs/>
          <w:sz w:val="22"/>
          <w:szCs w:val="22"/>
        </w:rPr>
        <w:t>–</w:t>
      </w:r>
      <w:r w:rsidR="0074426D" w:rsidRPr="00946E02">
        <w:rPr>
          <w:rStyle w:val="nfasis"/>
          <w:rFonts w:ascii="Arial" w:hAnsi="Arial" w:cs="Arial" w:hint="cs"/>
          <w:i w:val="0"/>
          <w:iCs w:val="0"/>
          <w:sz w:val="22"/>
          <w:szCs w:val="22"/>
        </w:rPr>
        <w:t>Modo Terrestre-Carretero–,</w:t>
      </w:r>
      <w:r w:rsidR="0074426D" w:rsidRPr="00946E02">
        <w:rPr>
          <w:rStyle w:val="nfasis"/>
          <w:rFonts w:ascii="Arial" w:hAnsi="Arial" w:cs="Arial" w:hint="cs"/>
          <w:b/>
          <w:bCs/>
          <w:i w:val="0"/>
          <w:iCs w:val="0"/>
          <w:sz w:val="22"/>
          <w:szCs w:val="22"/>
        </w:rPr>
        <w:t xml:space="preserve"> </w:t>
      </w:r>
      <w:r w:rsidR="0074426D" w:rsidRPr="00946E02">
        <w:rPr>
          <w:rStyle w:val="Textoennegrita"/>
          <w:rFonts w:ascii="Arial" w:hAnsi="Arial" w:cs="Arial" w:hint="cs"/>
          <w:b w:val="0"/>
          <w:bCs w:val="0"/>
          <w:i/>
          <w:iCs/>
          <w:sz w:val="22"/>
          <w:szCs w:val="22"/>
        </w:rPr>
        <w:t>2.2.2.5.2.1 –</w:t>
      </w:r>
      <w:r w:rsidR="0074426D" w:rsidRPr="00946E02">
        <w:rPr>
          <w:rStyle w:val="nfasis"/>
          <w:rFonts w:ascii="Arial" w:hAnsi="Arial" w:cs="Arial" w:hint="cs"/>
          <w:i w:val="0"/>
          <w:iCs w:val="0"/>
          <w:sz w:val="22"/>
          <w:szCs w:val="22"/>
        </w:rPr>
        <w:t>Modo Terrestre-Férreo–,</w:t>
      </w:r>
      <w:r w:rsidR="0074426D" w:rsidRPr="00946E02">
        <w:rPr>
          <w:rStyle w:val="nfasis"/>
          <w:rFonts w:ascii="Arial" w:hAnsi="Arial" w:cs="Arial" w:hint="cs"/>
          <w:b/>
          <w:bCs/>
          <w:i w:val="0"/>
          <w:iCs w:val="0"/>
          <w:sz w:val="22"/>
          <w:szCs w:val="22"/>
        </w:rPr>
        <w:t xml:space="preserve"> </w:t>
      </w:r>
      <w:r w:rsidR="0074426D" w:rsidRPr="00946E02">
        <w:rPr>
          <w:rStyle w:val="nfasis"/>
          <w:rFonts w:ascii="Arial" w:hAnsi="Arial" w:cs="Arial" w:hint="cs"/>
          <w:i w:val="0"/>
          <w:iCs w:val="0"/>
          <w:sz w:val="22"/>
          <w:szCs w:val="22"/>
        </w:rPr>
        <w:t>2.2.2.5.3.1 –Modo Acuático-Fluvial y Modo Acuático de Infraestructura Portuaria–, 2.2.2.5.3.2 –Modo acuático-</w:t>
      </w:r>
      <w:r w:rsidR="0074426D" w:rsidRPr="00946E02">
        <w:rPr>
          <w:rStyle w:val="nfasis"/>
          <w:rFonts w:ascii="Arial" w:hAnsi="Arial" w:cs="Arial" w:hint="cs"/>
          <w:i w:val="0"/>
          <w:iCs w:val="0"/>
          <w:sz w:val="22"/>
          <w:szCs w:val="22"/>
        </w:rPr>
        <w:lastRenderedPageBreak/>
        <w:t>infraestructura portuaria– y 2.2.2.5.4.1 –Modo Aéreo–</w:t>
      </w:r>
      <w:r w:rsidR="0074426D" w:rsidRPr="00946E02">
        <w:rPr>
          <w:rStyle w:val="nfasis"/>
          <w:rFonts w:ascii="Arial" w:hAnsi="Arial" w:cs="Arial" w:hint="cs"/>
          <w:b/>
          <w:bCs/>
          <w:i w:val="0"/>
          <w:iCs w:val="0"/>
          <w:sz w:val="22"/>
          <w:szCs w:val="22"/>
        </w:rPr>
        <w:t xml:space="preserve">.  </w:t>
      </w:r>
      <w:r w:rsidR="0074426D" w:rsidRPr="00946E02">
        <w:rPr>
          <w:rStyle w:val="nfasis"/>
          <w:rFonts w:ascii="Arial" w:hAnsi="Arial" w:cs="Arial" w:hint="cs"/>
          <w:i w:val="0"/>
          <w:iCs w:val="0"/>
          <w:sz w:val="22"/>
          <w:szCs w:val="22"/>
        </w:rPr>
        <w:t xml:space="preserve">En ese sentido, las actividades que se consideran </w:t>
      </w:r>
      <w:r w:rsidR="00426D2A" w:rsidRPr="00946E02">
        <w:rPr>
          <w:rStyle w:val="nfasis"/>
          <w:rFonts w:ascii="Arial" w:hAnsi="Arial" w:cs="Arial"/>
          <w:i w:val="0"/>
          <w:iCs w:val="0"/>
          <w:sz w:val="22"/>
          <w:szCs w:val="22"/>
        </w:rPr>
        <w:t>como</w:t>
      </w:r>
      <w:r w:rsidR="00426D2A" w:rsidRPr="00946E02">
        <w:rPr>
          <w:rStyle w:val="nfasis"/>
          <w:rFonts w:ascii="Arial" w:hAnsi="Arial" w:cs="Arial" w:hint="cs"/>
          <w:i w:val="0"/>
          <w:iCs w:val="0"/>
          <w:sz w:val="22"/>
          <w:szCs w:val="22"/>
        </w:rPr>
        <w:t xml:space="preserve"> </w:t>
      </w:r>
      <w:r w:rsidR="0074426D" w:rsidRPr="00946E02">
        <w:rPr>
          <w:rStyle w:val="nfasis"/>
          <w:rFonts w:ascii="Arial" w:hAnsi="Arial" w:cs="Arial" w:hint="cs"/>
          <w:sz w:val="22"/>
          <w:szCs w:val="22"/>
        </w:rPr>
        <w:t>mejoramiento</w:t>
      </w:r>
      <w:r w:rsidR="0074426D" w:rsidRPr="00946E02">
        <w:rPr>
          <w:rStyle w:val="nfasis"/>
          <w:rFonts w:ascii="Arial" w:hAnsi="Arial" w:cs="Arial" w:hint="cs"/>
          <w:i w:val="0"/>
          <w:iCs w:val="0"/>
          <w:sz w:val="22"/>
          <w:szCs w:val="22"/>
        </w:rPr>
        <w:t xml:space="preserve"> son las </w:t>
      </w:r>
      <w:r w:rsidR="00426D2A" w:rsidRPr="00946E02">
        <w:rPr>
          <w:rStyle w:val="nfasis"/>
          <w:rFonts w:ascii="Arial" w:hAnsi="Arial" w:cs="Arial"/>
          <w:i w:val="0"/>
          <w:iCs w:val="0"/>
          <w:sz w:val="22"/>
          <w:szCs w:val="22"/>
        </w:rPr>
        <w:t>establecidas</w:t>
      </w:r>
      <w:r w:rsidR="0074426D" w:rsidRPr="00946E02">
        <w:rPr>
          <w:rStyle w:val="nfasis"/>
          <w:rFonts w:ascii="Arial" w:hAnsi="Arial" w:cs="Arial" w:hint="cs"/>
          <w:i w:val="0"/>
          <w:iCs w:val="0"/>
          <w:sz w:val="22"/>
          <w:szCs w:val="22"/>
        </w:rPr>
        <w:t xml:space="preserve"> en los referidos artículos del Decreto 1076 de 2015</w:t>
      </w:r>
      <w:r w:rsidR="0074426D" w:rsidRPr="00946E02">
        <w:rPr>
          <w:rStyle w:val="nfasis"/>
          <w:rFonts w:ascii="Arial" w:hAnsi="Arial" w:cs="Arial" w:hint="cs"/>
          <w:sz w:val="22"/>
          <w:szCs w:val="22"/>
        </w:rPr>
        <w:t xml:space="preserve">. </w:t>
      </w:r>
    </w:p>
    <w:p w14:paraId="6A23238F" w14:textId="726B94F1" w:rsidR="0074426D" w:rsidRPr="00946E02" w:rsidRDefault="0074426D" w:rsidP="0074426D">
      <w:pPr>
        <w:spacing w:after="120" w:line="276" w:lineRule="auto"/>
        <w:ind w:firstLine="709"/>
        <w:jc w:val="both"/>
        <w:rPr>
          <w:rFonts w:ascii="Arial" w:eastAsiaTheme="minorHAnsi" w:hAnsi="Arial" w:cs="Arial"/>
          <w:sz w:val="22"/>
          <w:szCs w:val="22"/>
          <w:lang w:val="es-MX" w:eastAsia="en-US"/>
        </w:rPr>
      </w:pPr>
      <w:r w:rsidRPr="00946E02">
        <w:rPr>
          <w:rFonts w:ascii="Arial" w:eastAsiaTheme="minorHAnsi" w:hAnsi="Arial" w:cs="Arial"/>
          <w:sz w:val="22"/>
          <w:szCs w:val="22"/>
          <w:lang w:val="es-MX" w:eastAsia="en-US"/>
        </w:rPr>
        <w:t xml:space="preserve">Estas consideraciones son relevantes a efectos de aplicar los documentos tipo de infraestructura de transporte, principalmente, </w:t>
      </w:r>
      <w:r w:rsidR="002773AB" w:rsidRPr="00946E02">
        <w:rPr>
          <w:rFonts w:ascii="Arial" w:eastAsiaTheme="minorHAnsi" w:hAnsi="Arial" w:cs="Arial"/>
          <w:sz w:val="22"/>
          <w:szCs w:val="22"/>
          <w:lang w:val="es-MX" w:eastAsia="en-US"/>
        </w:rPr>
        <w:t>en cuanto a</w:t>
      </w:r>
      <w:r w:rsidRPr="00946E02">
        <w:rPr>
          <w:rFonts w:ascii="Arial" w:eastAsiaTheme="minorHAnsi" w:hAnsi="Arial" w:cs="Arial"/>
          <w:sz w:val="22"/>
          <w:szCs w:val="22"/>
          <w:lang w:val="es-MX" w:eastAsia="en-US"/>
        </w:rPr>
        <w:t xml:space="preserve"> dos aspectos. En primer lugar, para determinar su ámbito de aplicación. En ese sentido, se aclara que, al constituir actividades de mejoramiento las enlistadas en el Decreto 1076 de 2015, las mismas</w:t>
      </w:r>
      <w:r w:rsidRPr="00946E02">
        <w:rPr>
          <w:rFonts w:ascii="Arial" w:eastAsiaTheme="minorHAnsi" w:hAnsi="Arial" w:cs="Arial"/>
          <w:i/>
          <w:iCs/>
          <w:sz w:val="22"/>
          <w:szCs w:val="22"/>
          <w:lang w:val="es-MX" w:eastAsia="en-US"/>
        </w:rPr>
        <w:t xml:space="preserve"> </w:t>
      </w:r>
      <w:r w:rsidRPr="00946E02">
        <w:rPr>
          <w:rFonts w:ascii="Arial" w:eastAsiaTheme="minorHAnsi" w:hAnsi="Arial" w:cs="Arial"/>
          <w:sz w:val="22"/>
          <w:szCs w:val="22"/>
          <w:lang w:val="es-MX" w:eastAsia="en-US"/>
        </w:rPr>
        <w:t>deben ser contratadas por las entidades estatales –sometidas al Estatuto General de Contratación de la Administración Pública– aplicando los documentos tipo de infraestructura de transporte que correspondan. Conforme a esto, cuando se requiera contratar una actividad de mejoramiento de infraestructura vial, siempre que se encuentre dentro de las enlistadas por los artículos 2.2.2.5.1.1,</w:t>
      </w:r>
      <w:r w:rsidRPr="00946E02">
        <w:rPr>
          <w:rFonts w:ascii="Arial" w:eastAsiaTheme="minorHAnsi" w:hAnsi="Arial" w:cs="Arial"/>
          <w:b/>
          <w:bCs/>
          <w:sz w:val="22"/>
          <w:szCs w:val="22"/>
          <w:lang w:val="es-MX" w:eastAsia="en-US"/>
        </w:rPr>
        <w:t xml:space="preserve"> </w:t>
      </w:r>
      <w:r w:rsidRPr="00946E02">
        <w:rPr>
          <w:rFonts w:ascii="Arial" w:eastAsiaTheme="minorHAnsi" w:hAnsi="Arial" w:cs="Arial"/>
          <w:sz w:val="22"/>
          <w:szCs w:val="22"/>
          <w:lang w:val="es-MX" w:eastAsia="en-US"/>
        </w:rPr>
        <w:t>2.2.2.5.2.1,</w:t>
      </w:r>
      <w:r w:rsidRPr="00946E02">
        <w:rPr>
          <w:rFonts w:ascii="Arial" w:eastAsiaTheme="minorHAnsi" w:hAnsi="Arial" w:cs="Arial"/>
          <w:b/>
          <w:bCs/>
          <w:sz w:val="22"/>
          <w:szCs w:val="22"/>
          <w:lang w:val="es-MX" w:eastAsia="en-US"/>
        </w:rPr>
        <w:t xml:space="preserve"> </w:t>
      </w:r>
      <w:r w:rsidRPr="00946E02">
        <w:rPr>
          <w:rFonts w:ascii="Arial" w:eastAsiaTheme="minorHAnsi" w:hAnsi="Arial" w:cs="Arial"/>
          <w:sz w:val="22"/>
          <w:szCs w:val="22"/>
          <w:lang w:val="es-MX" w:eastAsia="en-US"/>
        </w:rPr>
        <w:t>2.2.2.5.3.1, 2.2.2.5.3.2 o 2.2.2.5.4.1 del Decreto 1076 de 2015, su contratación deberá llevarse a cabo aplicando documentos tipo de infraestructura de transporte.</w:t>
      </w:r>
    </w:p>
    <w:p w14:paraId="4DAA99F5" w14:textId="14EA2217" w:rsidR="006A616D" w:rsidRPr="00946E02" w:rsidRDefault="0074426D" w:rsidP="006A616D">
      <w:pPr>
        <w:pStyle w:val="Normal11pt"/>
        <w:spacing w:before="120" w:line="276" w:lineRule="auto"/>
        <w:ind w:left="0" w:firstLine="708"/>
        <w:rPr>
          <w:rFonts w:eastAsiaTheme="minorHAnsi"/>
          <w:lang w:val="es-MX" w:eastAsia="en-US"/>
        </w:rPr>
      </w:pPr>
      <w:r w:rsidRPr="00946E02">
        <w:rPr>
          <w:rStyle w:val="nfasis"/>
          <w:i w:val="0"/>
          <w:iCs w:val="0"/>
        </w:rPr>
        <w:t>Por otro lado, el segundo aspecto tiene que ver con la evaluación de la experiencia.</w:t>
      </w:r>
      <w:r w:rsidR="006A616D" w:rsidRPr="00946E02">
        <w:rPr>
          <w:rStyle w:val="nfasis"/>
          <w:i w:val="0"/>
          <w:iCs w:val="0"/>
        </w:rPr>
        <w:t xml:space="preserve"> Esto quiere decir que, para determinar si un proponente tiene o no experiencia en </w:t>
      </w:r>
      <w:r w:rsidR="002B0C37" w:rsidRPr="00946E02">
        <w:rPr>
          <w:rStyle w:val="nfasis"/>
          <w:i w:val="0"/>
          <w:iCs w:val="0"/>
        </w:rPr>
        <w:t xml:space="preserve">el </w:t>
      </w:r>
      <w:r w:rsidR="006A616D" w:rsidRPr="00946E02">
        <w:rPr>
          <w:rStyle w:val="nfasis"/>
        </w:rPr>
        <w:t>mejoramiento</w:t>
      </w:r>
      <w:r w:rsidR="006A616D" w:rsidRPr="00946E02">
        <w:rPr>
          <w:rStyle w:val="nfasis"/>
          <w:i w:val="0"/>
          <w:iCs w:val="0"/>
        </w:rPr>
        <w:t xml:space="preserve"> de determinado tipo de infraestructura, a la entidad le corresponde verificar que el desarrollo de los contratos acreditados haya involucrado efectivamente la ejecución de alguna de las actividades señaladas en los artículos </w:t>
      </w:r>
      <w:r w:rsidR="006A616D" w:rsidRPr="00946E02">
        <w:rPr>
          <w:rStyle w:val="Textoennegrita"/>
          <w:b w:val="0"/>
          <w:bCs w:val="0"/>
        </w:rPr>
        <w:t>2.2.2.5.1.1</w:t>
      </w:r>
      <w:r w:rsidR="006A616D" w:rsidRPr="00946E02">
        <w:rPr>
          <w:rStyle w:val="nfasis"/>
          <w:i w:val="0"/>
          <w:iCs w:val="0"/>
        </w:rPr>
        <w:t xml:space="preserve">, </w:t>
      </w:r>
      <w:r w:rsidR="006A616D" w:rsidRPr="00946E02">
        <w:rPr>
          <w:rStyle w:val="Textoennegrita"/>
          <w:b w:val="0"/>
          <w:bCs w:val="0"/>
        </w:rPr>
        <w:t>2.2.2.5.2.1</w:t>
      </w:r>
      <w:r w:rsidR="006A616D" w:rsidRPr="00946E02">
        <w:rPr>
          <w:rStyle w:val="nfasis"/>
          <w:i w:val="0"/>
          <w:iCs w:val="0"/>
        </w:rPr>
        <w:t>,</w:t>
      </w:r>
      <w:r w:rsidR="006A616D" w:rsidRPr="00946E02">
        <w:rPr>
          <w:rStyle w:val="nfasis"/>
          <w:b/>
          <w:bCs/>
          <w:i w:val="0"/>
          <w:iCs w:val="0"/>
        </w:rPr>
        <w:t xml:space="preserve"> </w:t>
      </w:r>
      <w:r w:rsidR="006A616D" w:rsidRPr="00946E02">
        <w:rPr>
          <w:rStyle w:val="nfasis"/>
          <w:i w:val="0"/>
          <w:iCs w:val="0"/>
        </w:rPr>
        <w:t xml:space="preserve">2.2.2.5.3.1, 2.2.2.5.3.2 o 2.2.2.5.4.1 </w:t>
      </w:r>
      <w:r w:rsidR="00927931" w:rsidRPr="00946E02">
        <w:rPr>
          <w:rStyle w:val="nfasis"/>
        </w:rPr>
        <w:t>ibidem</w:t>
      </w:r>
      <w:r w:rsidR="006A616D" w:rsidRPr="00946E02">
        <w:rPr>
          <w:rStyle w:val="nfasis"/>
          <w:i w:val="0"/>
          <w:iCs w:val="0"/>
        </w:rPr>
        <w:t>.</w:t>
      </w:r>
      <w:r w:rsidR="002B0C37" w:rsidRPr="00946E02">
        <w:rPr>
          <w:rStyle w:val="nfasis"/>
          <w:i w:val="0"/>
          <w:iCs w:val="0"/>
        </w:rPr>
        <w:t xml:space="preserve"> </w:t>
      </w:r>
      <w:r w:rsidR="006A616D" w:rsidRPr="00946E02">
        <w:rPr>
          <w:rStyle w:val="nfasis"/>
          <w:i w:val="0"/>
          <w:iCs w:val="0"/>
        </w:rPr>
        <w:t>Conforme a lo anterior, la</w:t>
      </w:r>
      <w:r w:rsidR="002B0C37" w:rsidRPr="00946E02">
        <w:rPr>
          <w:rStyle w:val="nfasis"/>
          <w:i w:val="0"/>
          <w:iCs w:val="0"/>
        </w:rPr>
        <w:t>s</w:t>
      </w:r>
      <w:r w:rsidR="006A616D" w:rsidRPr="00946E02">
        <w:rPr>
          <w:rStyle w:val="nfasis"/>
          <w:i w:val="0"/>
          <w:iCs w:val="0"/>
        </w:rPr>
        <w:t xml:space="preserve"> referencias a </w:t>
      </w:r>
      <w:r w:rsidR="006A616D" w:rsidRPr="00946E02">
        <w:rPr>
          <w:rFonts w:eastAsiaTheme="minorHAnsi"/>
          <w:lang w:val="es-MX" w:eastAsia="en-US"/>
        </w:rPr>
        <w:t xml:space="preserve">las actividades catalogadas como </w:t>
      </w:r>
      <w:r w:rsidR="006A616D" w:rsidRPr="00946E02">
        <w:rPr>
          <w:rFonts w:eastAsiaTheme="minorHAnsi"/>
          <w:i/>
          <w:iCs/>
          <w:lang w:val="es-MX" w:eastAsia="en-US"/>
        </w:rPr>
        <w:t>mejoramiento</w:t>
      </w:r>
      <w:r w:rsidR="006A616D" w:rsidRPr="00946E02">
        <w:rPr>
          <w:rFonts w:eastAsiaTheme="minorHAnsi"/>
          <w:lang w:val="es-MX" w:eastAsia="en-US"/>
        </w:rPr>
        <w:t xml:space="preserve"> deben ser </w:t>
      </w:r>
      <w:r w:rsidR="002B0C37" w:rsidRPr="00946E02">
        <w:rPr>
          <w:rFonts w:eastAsiaTheme="minorHAnsi"/>
          <w:lang w:val="es-MX" w:eastAsia="en-US"/>
        </w:rPr>
        <w:t xml:space="preserve">precisadas de acuerdo con </w:t>
      </w:r>
      <w:r w:rsidR="006A616D" w:rsidRPr="00946E02">
        <w:rPr>
          <w:rFonts w:eastAsiaTheme="minorHAnsi"/>
          <w:lang w:val="es-MX" w:eastAsia="en-US"/>
        </w:rPr>
        <w:t>el Decreto 1076 de 2015</w:t>
      </w:r>
      <w:r w:rsidR="002B0C37" w:rsidRPr="00946E02">
        <w:rPr>
          <w:rFonts w:eastAsiaTheme="minorHAnsi"/>
          <w:lang w:val="es-MX" w:eastAsia="en-US"/>
        </w:rPr>
        <w:t xml:space="preserve">, norma a la que se hace referencia el pie de página del «Anexo 3 – Glosario» en el lugar donde se desarrolla la noción de </w:t>
      </w:r>
      <w:r w:rsidR="002B0C37" w:rsidRPr="00946E02">
        <w:rPr>
          <w:rFonts w:eastAsiaTheme="minorHAnsi"/>
          <w:i/>
          <w:iCs/>
          <w:lang w:val="es-MX" w:eastAsia="en-US"/>
        </w:rPr>
        <w:t>mejoramiento</w:t>
      </w:r>
      <w:r w:rsidR="006A616D" w:rsidRPr="00946E02">
        <w:rPr>
          <w:rFonts w:eastAsiaTheme="minorHAnsi"/>
          <w:lang w:val="es-MX" w:eastAsia="en-US"/>
        </w:rPr>
        <w:t xml:space="preserve">. </w:t>
      </w:r>
    </w:p>
    <w:p w14:paraId="6EF46AA1" w14:textId="77777777" w:rsidR="006A616D" w:rsidRPr="00946E02" w:rsidRDefault="006A616D" w:rsidP="00B41C03">
      <w:pPr>
        <w:pStyle w:val="Normal11pt"/>
        <w:spacing w:line="276" w:lineRule="auto"/>
        <w:ind w:left="0"/>
        <w:rPr>
          <w:rFonts w:eastAsiaTheme="minorHAnsi"/>
          <w:lang w:val="es-MX" w:eastAsia="en-US"/>
        </w:rPr>
      </w:pPr>
    </w:p>
    <w:p w14:paraId="0E36805D" w14:textId="752A7D22" w:rsidR="006A616D" w:rsidRPr="00946E02" w:rsidRDefault="006A616D" w:rsidP="006A616D">
      <w:pPr>
        <w:spacing w:line="276" w:lineRule="auto"/>
        <w:jc w:val="both"/>
        <w:rPr>
          <w:rFonts w:ascii="Arial" w:hAnsi="Arial" w:cs="Arial"/>
          <w:b/>
          <w:bCs/>
          <w:sz w:val="22"/>
        </w:rPr>
      </w:pPr>
      <w:r w:rsidRPr="00946E02">
        <w:rPr>
          <w:rFonts w:ascii="Arial" w:hAnsi="Arial" w:cs="Arial"/>
          <w:b/>
          <w:bCs/>
          <w:sz w:val="22"/>
        </w:rPr>
        <w:t>2.</w:t>
      </w:r>
      <w:r w:rsidR="005E74AD" w:rsidRPr="00946E02">
        <w:rPr>
          <w:rFonts w:ascii="Arial" w:hAnsi="Arial" w:cs="Arial"/>
          <w:b/>
          <w:bCs/>
          <w:sz w:val="22"/>
        </w:rPr>
        <w:t>3</w:t>
      </w:r>
      <w:r w:rsidRPr="00946E02">
        <w:rPr>
          <w:rFonts w:ascii="Arial" w:hAnsi="Arial" w:cs="Arial"/>
          <w:b/>
          <w:bCs/>
          <w:sz w:val="22"/>
        </w:rPr>
        <w:t xml:space="preserve">. </w:t>
      </w:r>
      <w:bookmarkStart w:id="0" w:name="_Hlk66720321"/>
      <w:r w:rsidRPr="00946E02">
        <w:rPr>
          <w:rFonts w:ascii="Arial" w:hAnsi="Arial" w:cs="Arial"/>
          <w:b/>
          <w:bCs/>
          <w:sz w:val="22"/>
        </w:rPr>
        <w:t xml:space="preserve">Acreditación y evaluación de los requisitos de experiencia </w:t>
      </w:r>
      <w:bookmarkEnd w:id="0"/>
      <w:r w:rsidRPr="00946E02">
        <w:rPr>
          <w:rFonts w:ascii="Arial" w:hAnsi="Arial" w:cs="Arial"/>
          <w:b/>
          <w:bCs/>
          <w:sz w:val="22"/>
        </w:rPr>
        <w:t>en procesos adelantados con documentos tipo de infraestructura de transporte</w:t>
      </w:r>
    </w:p>
    <w:p w14:paraId="5BE7226F" w14:textId="77777777" w:rsidR="006A616D" w:rsidRPr="00946E02" w:rsidRDefault="006A616D" w:rsidP="006A616D">
      <w:pPr>
        <w:jc w:val="both"/>
        <w:rPr>
          <w:rFonts w:ascii="Arial" w:hAnsi="Arial" w:cs="Arial"/>
          <w:b/>
          <w:bCs/>
          <w:sz w:val="22"/>
        </w:rPr>
      </w:pPr>
    </w:p>
    <w:p w14:paraId="4D20F46F" w14:textId="44042A37" w:rsidR="006A616D" w:rsidRPr="00946E02" w:rsidRDefault="0048677A" w:rsidP="006A616D">
      <w:pPr>
        <w:spacing w:after="120" w:line="276" w:lineRule="auto"/>
        <w:ind w:right="51"/>
        <w:jc w:val="both"/>
        <w:rPr>
          <w:rFonts w:ascii="Arial" w:hAnsi="Arial" w:cs="Arial"/>
          <w:sz w:val="22"/>
        </w:rPr>
      </w:pPr>
      <w:r w:rsidRPr="00946E02">
        <w:rPr>
          <w:rFonts w:ascii="Arial" w:hAnsi="Arial" w:cs="Arial"/>
          <w:sz w:val="22"/>
        </w:rPr>
        <w:t>Como se señaló anteriormente,</w:t>
      </w:r>
      <w:r w:rsidR="006A616D" w:rsidRPr="00946E02">
        <w:rPr>
          <w:rFonts w:ascii="Arial" w:hAnsi="Arial" w:cs="Arial"/>
          <w:sz w:val="22"/>
        </w:rPr>
        <w:t xml:space="preserve"> la Resolución No. 240 del 27 de noviembre de 2020</w:t>
      </w:r>
      <w:r w:rsidR="00D143F4" w:rsidRPr="00946E02">
        <w:rPr>
          <w:rFonts w:ascii="Arial" w:hAnsi="Arial" w:cs="Arial"/>
          <w:sz w:val="22"/>
        </w:rPr>
        <w:t xml:space="preserve"> </w:t>
      </w:r>
      <w:r w:rsidR="006A616D" w:rsidRPr="00946E02">
        <w:rPr>
          <w:rFonts w:ascii="Arial" w:hAnsi="Arial" w:cs="Arial"/>
          <w:sz w:val="22"/>
        </w:rPr>
        <w:t>actualizó los documentos tipo de licitación de obra pública de infraestructura de transporte, implementando la versión 3 de los mismos.</w:t>
      </w:r>
      <w:r w:rsidR="00B03108" w:rsidRPr="00946E02">
        <w:rPr>
          <w:rFonts w:ascii="Arial" w:hAnsi="Arial" w:cs="Arial"/>
          <w:sz w:val="22"/>
        </w:rPr>
        <w:t xml:space="preserve"> </w:t>
      </w:r>
      <w:r w:rsidR="00D143F4" w:rsidRPr="00946E02">
        <w:rPr>
          <w:rFonts w:ascii="Arial" w:hAnsi="Arial" w:cs="Arial"/>
          <w:sz w:val="22"/>
        </w:rPr>
        <w:t xml:space="preserve"> </w:t>
      </w:r>
      <w:r w:rsidR="004C709A" w:rsidRPr="00946E02">
        <w:rPr>
          <w:rFonts w:ascii="Arial" w:hAnsi="Arial" w:cs="Arial"/>
          <w:sz w:val="22"/>
        </w:rPr>
        <w:t>P</w:t>
      </w:r>
      <w:r w:rsidR="00D143F4" w:rsidRPr="00946E02">
        <w:rPr>
          <w:rFonts w:ascii="Arial" w:hAnsi="Arial" w:cs="Arial"/>
          <w:sz w:val="22"/>
        </w:rPr>
        <w:t>osteriormente</w:t>
      </w:r>
      <w:r w:rsidR="00B03108" w:rsidRPr="00946E02">
        <w:rPr>
          <w:rFonts w:ascii="Arial" w:hAnsi="Arial" w:cs="Arial"/>
          <w:sz w:val="22"/>
        </w:rPr>
        <w:t xml:space="preserve"> se expidieron las Resoluciones 161 de 2021 y 304 de 2021, que </w:t>
      </w:r>
      <w:r w:rsidRPr="00946E02">
        <w:rPr>
          <w:rFonts w:ascii="Arial" w:hAnsi="Arial" w:cs="Arial"/>
          <w:sz w:val="22"/>
        </w:rPr>
        <w:t xml:space="preserve">modificaron </w:t>
      </w:r>
      <w:r w:rsidR="00B03108" w:rsidRPr="00946E02">
        <w:rPr>
          <w:rFonts w:ascii="Arial" w:hAnsi="Arial" w:cs="Arial"/>
          <w:sz w:val="22"/>
        </w:rPr>
        <w:t xml:space="preserve">la versión 3 de los documentos tipo, </w:t>
      </w:r>
      <w:r w:rsidR="00D8787B" w:rsidRPr="00946E02">
        <w:rPr>
          <w:rFonts w:ascii="Arial" w:hAnsi="Arial" w:cs="Arial"/>
          <w:sz w:val="22"/>
        </w:rPr>
        <w:t>las cuales están</w:t>
      </w:r>
      <w:r w:rsidR="00B03108" w:rsidRPr="00946E02">
        <w:rPr>
          <w:rFonts w:ascii="Arial" w:hAnsi="Arial" w:cs="Arial"/>
          <w:sz w:val="22"/>
        </w:rPr>
        <w:t xml:space="preserve"> vigentes desde el 1 de noviembre de 2021 y el 2 de noviembre de 2021, respectivamente.</w:t>
      </w:r>
    </w:p>
    <w:p w14:paraId="044E26B0" w14:textId="03E29F8E" w:rsidR="006A616D" w:rsidRPr="00946E02" w:rsidRDefault="006A616D" w:rsidP="006A616D">
      <w:pPr>
        <w:spacing w:after="120" w:line="276" w:lineRule="auto"/>
        <w:ind w:right="51"/>
        <w:jc w:val="both"/>
        <w:rPr>
          <w:rFonts w:ascii="Arial" w:hAnsi="Arial" w:cs="Arial"/>
          <w:sz w:val="22"/>
        </w:rPr>
      </w:pPr>
      <w:r w:rsidRPr="00946E02">
        <w:rPr>
          <w:rFonts w:ascii="Arial" w:hAnsi="Arial" w:cs="Arial"/>
          <w:sz w:val="22"/>
        </w:rPr>
        <w:t xml:space="preserve"> </w:t>
      </w:r>
      <w:r w:rsidRPr="00946E02">
        <w:rPr>
          <w:rFonts w:ascii="Arial" w:hAnsi="Arial" w:cs="Arial"/>
          <w:sz w:val="22"/>
        </w:rPr>
        <w:tab/>
      </w:r>
      <w:r w:rsidR="00D143F4" w:rsidRPr="00946E02">
        <w:rPr>
          <w:rFonts w:ascii="Arial" w:hAnsi="Arial" w:cs="Arial"/>
          <w:sz w:val="22"/>
        </w:rPr>
        <w:t>E</w:t>
      </w:r>
      <w:r w:rsidRPr="00946E02">
        <w:rPr>
          <w:rFonts w:ascii="Arial" w:hAnsi="Arial" w:cs="Arial"/>
          <w:sz w:val="22"/>
        </w:rPr>
        <w:t xml:space="preserve">l Documento Base adoptado por </w:t>
      </w:r>
      <w:r w:rsidR="00B03108" w:rsidRPr="00946E02">
        <w:rPr>
          <w:rFonts w:ascii="Arial" w:hAnsi="Arial" w:cs="Arial"/>
          <w:sz w:val="22"/>
        </w:rPr>
        <w:t>la</w:t>
      </w:r>
      <w:r w:rsidRPr="00946E02">
        <w:rPr>
          <w:rFonts w:ascii="Arial" w:hAnsi="Arial" w:cs="Arial"/>
          <w:sz w:val="22"/>
        </w:rPr>
        <w:t xml:space="preserve"> última resolución</w:t>
      </w:r>
      <w:r w:rsidR="00B03108" w:rsidRPr="00946E02">
        <w:rPr>
          <w:rFonts w:ascii="Arial" w:hAnsi="Arial" w:cs="Arial"/>
          <w:sz w:val="22"/>
        </w:rPr>
        <w:t xml:space="preserve"> referida</w:t>
      </w:r>
      <w:r w:rsidRPr="00946E02">
        <w:rPr>
          <w:rFonts w:ascii="Arial" w:hAnsi="Arial" w:cs="Arial"/>
          <w:sz w:val="22"/>
        </w:rPr>
        <w:t xml:space="preserve"> </w:t>
      </w:r>
      <w:r w:rsidR="00B03108" w:rsidRPr="00946E02">
        <w:rPr>
          <w:rFonts w:ascii="Arial" w:hAnsi="Arial" w:cs="Arial"/>
          <w:sz w:val="22"/>
        </w:rPr>
        <w:t>contiene</w:t>
      </w:r>
      <w:r w:rsidRPr="00946E02">
        <w:rPr>
          <w:rFonts w:ascii="Arial" w:hAnsi="Arial" w:cs="Arial"/>
          <w:sz w:val="22"/>
        </w:rPr>
        <w:t xml:space="preserve"> el numeral «3.5.1 Determinación de los requisitos mínimos de experiencia según la Matriz 1 – Experiencia», en el cual la entidad debe justificar, expresa y suficientemente la complejidad del proyecto, determinando si es de baja, media o alta complejidad, y en función de ello implementar alguna de  las variantes de la «Matriz 1 – Experiencia», ya sea la de proyectos de baja–media, o la elaborada para proyectos de alta complejidad técnica. En otras </w:t>
      </w:r>
      <w:r w:rsidRPr="00946E02">
        <w:rPr>
          <w:rFonts w:ascii="Arial" w:hAnsi="Arial" w:cs="Arial"/>
          <w:sz w:val="22"/>
        </w:rPr>
        <w:lastRenderedPageBreak/>
        <w:t>palabras, a partir de la actualización de los documentos tipo de licitación de obra pública de infraestructura de transporte – versión 3 se crean dos Matrices de experiencia: i) para proyectos de baja o media complejidad técnica</w:t>
      </w:r>
      <w:r w:rsidR="00B15498">
        <w:rPr>
          <w:rFonts w:ascii="Arial" w:hAnsi="Arial" w:cs="Arial"/>
          <w:sz w:val="22"/>
        </w:rPr>
        <w:t>,</w:t>
      </w:r>
      <w:r w:rsidRPr="00946E02">
        <w:rPr>
          <w:rFonts w:ascii="Arial" w:hAnsi="Arial" w:cs="Arial"/>
          <w:sz w:val="22"/>
        </w:rPr>
        <w:t xml:space="preserve"> y </w:t>
      </w:r>
      <w:proofErr w:type="spellStart"/>
      <w:r w:rsidRPr="00946E02">
        <w:rPr>
          <w:rFonts w:ascii="Arial" w:hAnsi="Arial" w:cs="Arial"/>
          <w:sz w:val="22"/>
        </w:rPr>
        <w:t>ii</w:t>
      </w:r>
      <w:proofErr w:type="spellEnd"/>
      <w:r w:rsidRPr="00946E02">
        <w:rPr>
          <w:rFonts w:ascii="Arial" w:hAnsi="Arial" w:cs="Arial"/>
          <w:sz w:val="22"/>
        </w:rPr>
        <w:t xml:space="preserve">) para proyectos de alta complejidad técnica. </w:t>
      </w:r>
    </w:p>
    <w:p w14:paraId="452ED1AE" w14:textId="77777777" w:rsidR="006A616D" w:rsidRPr="00946E02" w:rsidRDefault="006A616D" w:rsidP="006A616D">
      <w:pPr>
        <w:spacing w:after="120" w:line="276" w:lineRule="auto"/>
        <w:ind w:right="51"/>
        <w:jc w:val="both"/>
        <w:rPr>
          <w:rFonts w:ascii="Arial" w:hAnsi="Arial" w:cs="Arial"/>
          <w:sz w:val="22"/>
        </w:rPr>
      </w:pPr>
      <w:r w:rsidRPr="00946E02">
        <w:rPr>
          <w:rFonts w:ascii="Arial" w:hAnsi="Arial" w:cs="Arial"/>
          <w:sz w:val="22"/>
        </w:rPr>
        <w:tab/>
        <w:t xml:space="preserve">Sin perjuicio de la implementación de este cambio, el método para determinar los requisitos de experiencia estandarizados a partir de la Matriz 1 sigue siendo el mismo que en las versiones anteriores, con la salvedad de que ahora, antes de proceder a acotar el requisito a exigirse, la entidad debe determinar y justificar si el proyecto es de media-baja o alta complejidad técnica y en función de ello aplicar alguna de las Matrices 1. En ese orden, la entidad deberá establecer si aplica la Matriz 1 de proyectos de complejidad media-baja o la de proyectos de complejidad alta, para luego subsumir el objeto contractual en alguno de los tipos de obra y actividades incluidos en la matriz, estableciendo los requisitos de experiencia exigibles según la cantidad de SMMLV del presupuesto oficial del respectivo proceso de contratación. </w:t>
      </w:r>
    </w:p>
    <w:p w14:paraId="302ECC57" w14:textId="77777777" w:rsidR="006A616D" w:rsidRPr="00946E02" w:rsidRDefault="006A616D" w:rsidP="006A616D">
      <w:pPr>
        <w:spacing w:before="120" w:line="276" w:lineRule="auto"/>
        <w:ind w:firstLine="708"/>
        <w:jc w:val="both"/>
        <w:rPr>
          <w:rFonts w:ascii="Arial" w:hAnsi="Arial" w:cs="Arial"/>
          <w:sz w:val="22"/>
        </w:rPr>
      </w:pPr>
      <w:r w:rsidRPr="00946E02">
        <w:rPr>
          <w:rFonts w:ascii="Arial" w:hAnsi="Arial" w:cs="Arial"/>
          <w:sz w:val="22"/>
        </w:rPr>
        <w:t>De esta manera, la entidad estatal que adelanta un proceso de contratación de licitación de obra pública de infraestructura de transporte debe definir la experiencia exigible teniendo en cuenta las condiciones fijadas en la Matriz 1, de acuerdo con los siguientes pasos:</w:t>
      </w:r>
    </w:p>
    <w:p w14:paraId="0E61EE11" w14:textId="6E245026" w:rsidR="006A616D" w:rsidRPr="00946E02" w:rsidRDefault="006A616D" w:rsidP="006A616D">
      <w:pPr>
        <w:spacing w:before="120" w:line="276" w:lineRule="auto"/>
        <w:ind w:firstLine="708"/>
        <w:jc w:val="both"/>
        <w:rPr>
          <w:rFonts w:ascii="Arial" w:hAnsi="Arial" w:cs="Arial"/>
          <w:sz w:val="22"/>
        </w:rPr>
      </w:pPr>
      <w:r w:rsidRPr="00946E02">
        <w:rPr>
          <w:rFonts w:ascii="Arial" w:hAnsi="Arial" w:cs="Arial"/>
          <w:sz w:val="22"/>
        </w:rPr>
        <w:t xml:space="preserve">a) Establecer si se trata de un proyecto de complejidad baja-media o alta, y en función de ello </w:t>
      </w:r>
      <w:r w:rsidR="00D143F4" w:rsidRPr="00946E02">
        <w:rPr>
          <w:rFonts w:ascii="Arial" w:hAnsi="Arial" w:cs="Arial"/>
          <w:sz w:val="22"/>
        </w:rPr>
        <w:t xml:space="preserve">definir </w:t>
      </w:r>
      <w:r w:rsidRPr="00946E02">
        <w:rPr>
          <w:rFonts w:ascii="Arial" w:hAnsi="Arial" w:cs="Arial"/>
          <w:sz w:val="22"/>
        </w:rPr>
        <w:t>la Matriz 1 aplicable.</w:t>
      </w:r>
    </w:p>
    <w:p w14:paraId="5DF6A817" w14:textId="77777777" w:rsidR="006A616D" w:rsidRPr="00946E02" w:rsidRDefault="006A616D" w:rsidP="006A616D">
      <w:pPr>
        <w:spacing w:before="120" w:line="276" w:lineRule="auto"/>
        <w:ind w:firstLine="708"/>
        <w:jc w:val="both"/>
        <w:rPr>
          <w:rFonts w:ascii="Arial" w:hAnsi="Arial" w:cs="Arial"/>
          <w:sz w:val="22"/>
        </w:rPr>
      </w:pPr>
      <w:r w:rsidRPr="00946E02">
        <w:rPr>
          <w:rFonts w:ascii="Arial" w:hAnsi="Arial" w:cs="Arial"/>
          <w:sz w:val="22"/>
        </w:rPr>
        <w:t xml:space="preserve"> b) Identificada la respectiva Matriz 1, la entidad deberá determinar el tipo de infraestructura sobre el cual recae la obra a ejecutar. Al respecto esta matriz contiene ocho (8) secciones que corresponden a los tipos de infraestructura estandarizados.</w:t>
      </w:r>
    </w:p>
    <w:p w14:paraId="5A9B50BF" w14:textId="77777777" w:rsidR="006A616D" w:rsidRPr="00946E02" w:rsidRDefault="006A616D" w:rsidP="006A616D">
      <w:pPr>
        <w:spacing w:before="120" w:line="276" w:lineRule="auto"/>
        <w:ind w:firstLine="708"/>
        <w:jc w:val="both"/>
        <w:rPr>
          <w:rFonts w:ascii="Arial" w:hAnsi="Arial" w:cs="Arial"/>
          <w:sz w:val="22"/>
        </w:rPr>
      </w:pPr>
      <w:r w:rsidRPr="00946E02">
        <w:rPr>
          <w:rFonts w:ascii="Arial" w:hAnsi="Arial" w:cs="Arial"/>
          <w:sz w:val="22"/>
        </w:rPr>
        <w:t xml:space="preserve">c) Definido el tipo de infraestructura, identificar la </w:t>
      </w:r>
      <w:r w:rsidRPr="00946E02">
        <w:rPr>
          <w:rFonts w:ascii="Arial" w:eastAsia="Calibri" w:hAnsi="Arial" w:cs="Arial"/>
          <w:sz w:val="22"/>
        </w:rPr>
        <w:t>«</w:t>
      </w:r>
      <w:r w:rsidRPr="00946E02">
        <w:rPr>
          <w:rFonts w:ascii="Arial" w:hAnsi="Arial" w:cs="Arial"/>
          <w:sz w:val="22"/>
        </w:rPr>
        <w:t>ACTIVIDAD A CONTRATAR</w:t>
      </w:r>
      <w:r w:rsidRPr="00946E02">
        <w:rPr>
          <w:rFonts w:ascii="Arial" w:eastAsia="Calibri" w:hAnsi="Arial" w:cs="Arial"/>
          <w:sz w:val="22"/>
        </w:rPr>
        <w:t>»</w:t>
      </w:r>
      <w:r w:rsidRPr="00946E02">
        <w:rPr>
          <w:rFonts w:ascii="Arial" w:hAnsi="Arial" w:cs="Arial"/>
          <w:sz w:val="22"/>
        </w:rPr>
        <w:t xml:space="preserve"> acorde con la Matriz 1. </w:t>
      </w:r>
    </w:p>
    <w:p w14:paraId="137599CA" w14:textId="77777777" w:rsidR="006A616D" w:rsidRPr="00946E02" w:rsidRDefault="006A616D" w:rsidP="006A616D">
      <w:pPr>
        <w:spacing w:before="120" w:line="276" w:lineRule="auto"/>
        <w:ind w:firstLine="708"/>
        <w:jc w:val="both"/>
        <w:rPr>
          <w:rFonts w:ascii="Arial" w:hAnsi="Arial" w:cs="Arial"/>
          <w:sz w:val="22"/>
        </w:rPr>
      </w:pPr>
      <w:r w:rsidRPr="00946E02">
        <w:rPr>
          <w:rFonts w:ascii="Arial" w:hAnsi="Arial" w:cs="Arial"/>
          <w:sz w:val="22"/>
        </w:rPr>
        <w:t xml:space="preserve">c) Identificar el rango en el cual se encuentra el Proceso de Contratación de acuerdo con el presupuesto oficial. </w:t>
      </w:r>
    </w:p>
    <w:p w14:paraId="21998B2A" w14:textId="77777777" w:rsidR="006A616D" w:rsidRPr="00946E02" w:rsidRDefault="006A616D" w:rsidP="006A616D">
      <w:pPr>
        <w:spacing w:before="120" w:after="120" w:line="276" w:lineRule="auto"/>
        <w:ind w:firstLine="709"/>
        <w:jc w:val="both"/>
        <w:rPr>
          <w:rFonts w:ascii="Arial" w:hAnsi="Arial" w:cs="Arial"/>
          <w:sz w:val="22"/>
        </w:rPr>
      </w:pPr>
      <w:r w:rsidRPr="00946E02">
        <w:rPr>
          <w:rFonts w:ascii="Arial" w:hAnsi="Arial" w:cs="Arial"/>
          <w:sz w:val="22"/>
        </w:rPr>
        <w:t xml:space="preserve">d) Identificar la </w:t>
      </w:r>
      <w:r w:rsidRPr="00946E02">
        <w:rPr>
          <w:rFonts w:ascii="Arial" w:eastAsia="Calibri" w:hAnsi="Arial" w:cs="Arial"/>
          <w:sz w:val="22"/>
        </w:rPr>
        <w:t>«</w:t>
      </w:r>
      <w:r w:rsidRPr="00946E02">
        <w:rPr>
          <w:rFonts w:ascii="Arial" w:hAnsi="Arial" w:cs="Arial"/>
          <w:sz w:val="22"/>
        </w:rPr>
        <w:t>experiencia general</w:t>
      </w:r>
      <w:r w:rsidRPr="00946E02">
        <w:rPr>
          <w:rFonts w:ascii="Arial" w:eastAsia="Calibri" w:hAnsi="Arial" w:cs="Arial"/>
          <w:sz w:val="22"/>
        </w:rPr>
        <w:t>»</w:t>
      </w:r>
      <w:r w:rsidRPr="00946E02">
        <w:rPr>
          <w:rFonts w:ascii="Arial" w:hAnsi="Arial" w:cs="Arial"/>
          <w:sz w:val="22"/>
        </w:rPr>
        <w:t xml:space="preserve"> exigible acorde con la Matriz 1 teniendo en cuenta la actividad a contratar y el rango de la cuantía del Proceso de Contratación. </w:t>
      </w:r>
    </w:p>
    <w:p w14:paraId="1A7C8741" w14:textId="77777777" w:rsidR="006A616D" w:rsidRPr="00946E02" w:rsidRDefault="006A616D" w:rsidP="006A616D">
      <w:pPr>
        <w:spacing w:after="120" w:line="276" w:lineRule="auto"/>
        <w:ind w:firstLine="709"/>
        <w:jc w:val="both"/>
        <w:rPr>
          <w:rFonts w:ascii="Arial" w:hAnsi="Arial" w:cs="Arial"/>
          <w:sz w:val="22"/>
        </w:rPr>
      </w:pPr>
      <w:r w:rsidRPr="00946E02">
        <w:rPr>
          <w:rFonts w:ascii="Arial" w:hAnsi="Arial" w:cs="Arial"/>
          <w:sz w:val="22"/>
        </w:rPr>
        <w:t xml:space="preserve">e) Identificar la </w:t>
      </w:r>
      <w:r w:rsidRPr="00946E02">
        <w:rPr>
          <w:rFonts w:ascii="Arial" w:eastAsia="Calibri" w:hAnsi="Arial" w:cs="Arial"/>
          <w:sz w:val="22"/>
        </w:rPr>
        <w:t>«</w:t>
      </w:r>
      <w:r w:rsidRPr="00946E02">
        <w:rPr>
          <w:rFonts w:ascii="Arial" w:hAnsi="Arial" w:cs="Arial"/>
          <w:sz w:val="22"/>
        </w:rPr>
        <w:t>experiencia específica</w:t>
      </w:r>
      <w:r w:rsidRPr="00946E02">
        <w:rPr>
          <w:rFonts w:ascii="Arial" w:eastAsia="Calibri" w:hAnsi="Arial" w:cs="Arial"/>
          <w:sz w:val="22"/>
        </w:rPr>
        <w:t>»</w:t>
      </w:r>
      <w:r w:rsidRPr="00946E02">
        <w:rPr>
          <w:rFonts w:ascii="Arial" w:hAnsi="Arial" w:cs="Arial"/>
          <w:sz w:val="22"/>
        </w:rPr>
        <w:t xml:space="preserve"> exigible y el porcentaje de dimensionamiento que se puede solicitar acorde con la longitud a ejecutar, de acuerdo con la cuantía del proceso de contratación. Cuando en la </w:t>
      </w:r>
      <w:r w:rsidRPr="00946E02">
        <w:rPr>
          <w:rFonts w:ascii="Arial" w:eastAsia="Calibri" w:hAnsi="Arial" w:cs="Arial"/>
          <w:sz w:val="22"/>
        </w:rPr>
        <w:t>«</w:t>
      </w:r>
      <w:r w:rsidRPr="00946E02">
        <w:rPr>
          <w:rFonts w:ascii="Arial" w:hAnsi="Arial" w:cs="Arial"/>
          <w:sz w:val="22"/>
        </w:rPr>
        <w:t>experiencia específica</w:t>
      </w:r>
      <w:r w:rsidRPr="00946E02">
        <w:rPr>
          <w:rFonts w:ascii="Arial" w:eastAsia="Calibri" w:hAnsi="Arial" w:cs="Arial"/>
          <w:sz w:val="22"/>
        </w:rPr>
        <w:t>»</w:t>
      </w:r>
      <w:r w:rsidRPr="00946E02">
        <w:rPr>
          <w:rFonts w:ascii="Arial" w:hAnsi="Arial" w:cs="Arial"/>
          <w:sz w:val="22"/>
        </w:rPr>
        <w:t xml:space="preserve"> se indiquen las siglas </w:t>
      </w:r>
      <w:r w:rsidRPr="00946E02">
        <w:rPr>
          <w:rFonts w:ascii="Arial" w:hAnsi="Arial" w:cs="Arial"/>
          <w:i/>
          <w:iCs/>
          <w:sz w:val="22"/>
        </w:rPr>
        <w:t>N.A</w:t>
      </w:r>
      <w:r w:rsidRPr="00946E02">
        <w:rPr>
          <w:rFonts w:ascii="Arial" w:hAnsi="Arial" w:cs="Arial"/>
          <w:sz w:val="22"/>
        </w:rPr>
        <w:t xml:space="preserve"> significa que la entidad estatal no puede exigir a los proponentes experiencia específica en los procesos de contratación. </w:t>
      </w:r>
    </w:p>
    <w:p w14:paraId="365D768C" w14:textId="3CBFFBC6" w:rsidR="006A616D" w:rsidRPr="00946E02" w:rsidRDefault="006A616D" w:rsidP="002C3315">
      <w:pPr>
        <w:spacing w:after="120" w:line="276" w:lineRule="auto"/>
        <w:ind w:firstLine="709"/>
        <w:jc w:val="both"/>
        <w:rPr>
          <w:rFonts w:ascii="Arial" w:hAnsi="Arial" w:cs="Arial"/>
          <w:sz w:val="22"/>
        </w:rPr>
      </w:pPr>
      <w:r w:rsidRPr="00946E02">
        <w:rPr>
          <w:rFonts w:ascii="Arial" w:hAnsi="Arial" w:cs="Arial"/>
          <w:sz w:val="22"/>
        </w:rPr>
        <w:t xml:space="preserve">f) Establecidos los requisitos de experiencia, la entidad deberá consignarlos en los apartados grises entre corchetes del literal A del numeral 3.5.2 del Documento Base, para </w:t>
      </w:r>
      <w:r w:rsidRPr="00946E02">
        <w:rPr>
          <w:rFonts w:ascii="Arial" w:hAnsi="Arial" w:cs="Arial"/>
          <w:sz w:val="22"/>
        </w:rPr>
        <w:lastRenderedPageBreak/>
        <w:t>que los oferentes puedan conocer los requisitos de experiencia general y espec</w:t>
      </w:r>
      <w:r w:rsidR="00A77A09" w:rsidRPr="00946E02">
        <w:rPr>
          <w:rFonts w:ascii="Arial" w:hAnsi="Arial" w:cs="Arial"/>
          <w:sz w:val="22"/>
        </w:rPr>
        <w:t>í</w:t>
      </w:r>
      <w:r w:rsidRPr="00946E02">
        <w:rPr>
          <w:rFonts w:ascii="Arial" w:hAnsi="Arial" w:cs="Arial"/>
          <w:sz w:val="22"/>
        </w:rPr>
        <w:t>fica exigidos por la entidad.</w:t>
      </w:r>
    </w:p>
    <w:p w14:paraId="3A999999" w14:textId="08F5B50A" w:rsidR="006A616D" w:rsidRPr="00946E02" w:rsidRDefault="006A616D" w:rsidP="006A616D">
      <w:pPr>
        <w:spacing w:before="120" w:line="276" w:lineRule="auto"/>
        <w:ind w:firstLine="708"/>
        <w:jc w:val="both"/>
        <w:rPr>
          <w:rFonts w:ascii="Arial" w:hAnsi="Arial" w:cs="Arial"/>
          <w:sz w:val="22"/>
        </w:rPr>
      </w:pPr>
      <w:r w:rsidRPr="00946E02">
        <w:rPr>
          <w:rFonts w:ascii="Arial" w:hAnsi="Arial" w:cs="Arial"/>
          <w:sz w:val="22"/>
        </w:rPr>
        <w:t xml:space="preserve"> Varios de los requisitos de experiencia general y espec</w:t>
      </w:r>
      <w:r w:rsidR="00E95CE9" w:rsidRPr="00946E02">
        <w:rPr>
          <w:rFonts w:ascii="Arial" w:hAnsi="Arial" w:cs="Arial"/>
          <w:sz w:val="22"/>
        </w:rPr>
        <w:t>í</w:t>
      </w:r>
      <w:r w:rsidRPr="00946E02">
        <w:rPr>
          <w:rFonts w:ascii="Arial" w:hAnsi="Arial" w:cs="Arial"/>
          <w:sz w:val="22"/>
        </w:rPr>
        <w:t xml:space="preserve">fica contemplados en la Matriz 1 exigen que los contratos que se aporten para acreditarlos den cuenta de la ejecución de cierto porcentaje de dimensionamiento respecto del proyecto ofertado, o un porcentaje del presupuesto oficial del mismo. </w:t>
      </w:r>
    </w:p>
    <w:p w14:paraId="31A65A06" w14:textId="552EEC17" w:rsidR="006A616D" w:rsidRPr="00946E02" w:rsidRDefault="006A616D" w:rsidP="006A616D">
      <w:pPr>
        <w:spacing w:before="120" w:after="120" w:line="276" w:lineRule="auto"/>
        <w:ind w:firstLine="709"/>
        <w:jc w:val="both"/>
        <w:rPr>
          <w:rFonts w:ascii="Arial" w:hAnsi="Arial" w:cs="Arial"/>
          <w:sz w:val="22"/>
        </w:rPr>
      </w:pPr>
      <w:r w:rsidRPr="00946E02">
        <w:rPr>
          <w:rFonts w:ascii="Arial" w:hAnsi="Arial" w:cs="Arial"/>
          <w:sz w:val="22"/>
        </w:rPr>
        <w:t>El dimensionamiento supone que la experiencia a exigirse estará determinada por la longitud –u otra magnitud– que se pretende intervenir, de tal manera que a quienes estén interesados en participar se le</w:t>
      </w:r>
      <w:r w:rsidR="0037067E" w:rsidRPr="00946E02">
        <w:rPr>
          <w:rFonts w:ascii="Arial" w:hAnsi="Arial" w:cs="Arial"/>
          <w:sz w:val="22"/>
        </w:rPr>
        <w:t>s</w:t>
      </w:r>
      <w:r w:rsidRPr="00946E02">
        <w:rPr>
          <w:rFonts w:ascii="Arial" w:hAnsi="Arial" w:cs="Arial"/>
          <w:sz w:val="22"/>
        </w:rPr>
        <w:t xml:space="preserve"> exigirá, por ejemplo, acreditar experiencia específica en proyectos en donde hayan intervenido un porcentaje de dicha longitud establecida en kilómetros (km) en la Matriz 1. De</w:t>
      </w:r>
      <w:r w:rsidR="00E95CE9" w:rsidRPr="00946E02">
        <w:rPr>
          <w:rFonts w:ascii="Arial" w:hAnsi="Arial" w:cs="Arial"/>
          <w:sz w:val="22"/>
        </w:rPr>
        <w:t xml:space="preserve"> igua</w:t>
      </w:r>
      <w:r w:rsidRPr="00946E02">
        <w:rPr>
          <w:rFonts w:ascii="Arial" w:hAnsi="Arial" w:cs="Arial"/>
          <w:sz w:val="22"/>
        </w:rPr>
        <w:t>l</w:t>
      </w:r>
      <w:r w:rsidR="00E95CE9" w:rsidRPr="00946E02">
        <w:rPr>
          <w:rFonts w:ascii="Arial" w:hAnsi="Arial" w:cs="Arial"/>
          <w:sz w:val="22"/>
        </w:rPr>
        <w:t xml:space="preserve"> forma</w:t>
      </w:r>
      <w:r w:rsidRPr="00946E02">
        <w:rPr>
          <w:rFonts w:ascii="Arial" w:hAnsi="Arial" w:cs="Arial"/>
          <w:sz w:val="22"/>
        </w:rPr>
        <w:t>, cuando se exijan requisitos en función del porcentaje del presupuesto oficial, el valor de el o los contratos que se aporten deberán igualar o superar la equivalencia del porcentaje exigible expresado en SMMLV.</w:t>
      </w:r>
    </w:p>
    <w:p w14:paraId="55D8710B" w14:textId="50FC5A73" w:rsidR="006A616D" w:rsidRPr="00946E02" w:rsidRDefault="006A616D" w:rsidP="006A616D">
      <w:pPr>
        <w:spacing w:after="120" w:line="276" w:lineRule="auto"/>
        <w:ind w:right="51" w:firstLine="708"/>
        <w:jc w:val="both"/>
        <w:rPr>
          <w:rFonts w:ascii="Arial" w:hAnsi="Arial" w:cs="Arial"/>
          <w:sz w:val="22"/>
        </w:rPr>
      </w:pPr>
      <w:r w:rsidRPr="00946E02">
        <w:rPr>
          <w:rFonts w:ascii="Arial" w:hAnsi="Arial" w:cs="Arial"/>
          <w:sz w:val="22"/>
        </w:rPr>
        <w:t xml:space="preserve">Para que un proponente pueda habilitarse en lo referente a la experiencia debe demostrar haber ejecutado en los contratos con los que la acredita, determinado porcentaje del presupuesto oficial, lo cual, de conformidad con los literales C y D del numeral 3.5.2 podrá demostrar con mínimo uno (1) y máximo seis (6) contratos, que debieron terminar antes de la fecha de cierre del proceso de contratación. El número de contratos aportados por el proponente debe certificar un valor mínimo correspondiente a un porcentaje del presupuesto oficial del proceso de obra expresado en SMMLV establecido en el numeral 3.5.8, cuya verificación se hará con </w:t>
      </w:r>
      <w:r w:rsidR="00E95CE9" w:rsidRPr="00946E02">
        <w:rPr>
          <w:rFonts w:ascii="Arial" w:hAnsi="Arial" w:cs="Arial"/>
          <w:sz w:val="22"/>
        </w:rPr>
        <w:t>b</w:t>
      </w:r>
      <w:r w:rsidRPr="00946E02">
        <w:rPr>
          <w:rFonts w:ascii="Arial" w:hAnsi="Arial" w:cs="Arial"/>
          <w:sz w:val="22"/>
        </w:rPr>
        <w:t xml:space="preserve">ase en la sumatoria de los valores totales ejecutados de los contratos que cumplan con los requisitos establecidos en el pliego de condiciones. </w:t>
      </w:r>
      <w:r w:rsidR="00E95CE9" w:rsidRPr="00946E02">
        <w:rPr>
          <w:rFonts w:ascii="Arial" w:hAnsi="Arial" w:cs="Arial"/>
          <w:sz w:val="22"/>
        </w:rPr>
        <w:t>Además, m</w:t>
      </w:r>
      <w:r w:rsidRPr="00946E02">
        <w:rPr>
          <w:rFonts w:ascii="Arial" w:hAnsi="Arial" w:cs="Arial"/>
          <w:sz w:val="22"/>
        </w:rPr>
        <w:t xml:space="preserve">ediante estos contratos deberá demostrarse que la experiencia satisface las particularidades del requisito de experiencia determinadas por la Matriz 1 y el numeral 3.5.1 del Documento Base. </w:t>
      </w:r>
    </w:p>
    <w:p w14:paraId="6B759D2B" w14:textId="3641763E" w:rsidR="006A616D" w:rsidRPr="00946E02" w:rsidRDefault="006A616D" w:rsidP="006A616D">
      <w:pPr>
        <w:spacing w:after="120" w:line="276" w:lineRule="auto"/>
        <w:ind w:right="51" w:firstLine="708"/>
        <w:jc w:val="both"/>
        <w:rPr>
          <w:rFonts w:ascii="Arial" w:hAnsi="Arial" w:cs="Arial"/>
          <w:sz w:val="22"/>
        </w:rPr>
      </w:pPr>
      <w:r w:rsidRPr="00946E02">
        <w:rPr>
          <w:rFonts w:ascii="Arial" w:hAnsi="Arial" w:cs="Arial"/>
          <w:sz w:val="22"/>
        </w:rPr>
        <w:t>Respecto de cada uno de estos contratos, conforme lo indica el numeral 3.5.5 del Documento Base, los proponentes deberán acreditar: a) Contratante; b) Objeto del contrato; c) principales actividades ejecutadas; d) las longitudes, volúmenes, dimensiones, tipologías y demás condiciones de experiencia establecidas en la Matriz 1 – Experiencia, si aplica; e) la fecha de iniciación de la ejecución del contrato; f) la fecha de terminación de la ejecución del contrato; g) nombre y cargo de la persona que expide la certificación; h) el porcentaje de participación del integrante del contratista plural; e i) el porcentaje de participación en el valor ejecutado en el caso de contratistas plurales</w:t>
      </w:r>
      <w:r w:rsidRPr="00946E02">
        <w:rPr>
          <w:rStyle w:val="Refdenotaalpie"/>
          <w:rFonts w:ascii="Arial" w:hAnsi="Arial" w:cs="Arial"/>
          <w:sz w:val="22"/>
        </w:rPr>
        <w:footnoteReference w:id="8"/>
      </w:r>
      <w:r w:rsidRPr="00946E02">
        <w:rPr>
          <w:rFonts w:ascii="Arial" w:hAnsi="Arial" w:cs="Arial"/>
          <w:sz w:val="22"/>
        </w:rPr>
        <w:t>. Si</w:t>
      </w:r>
      <w:r w:rsidR="00FF721A">
        <w:rPr>
          <w:rFonts w:ascii="Arial" w:hAnsi="Arial" w:cs="Arial"/>
          <w:sz w:val="22"/>
        </w:rPr>
        <w:t xml:space="preserve"> </w:t>
      </w:r>
      <w:r w:rsidRPr="00946E02">
        <w:rPr>
          <w:rFonts w:ascii="Arial" w:hAnsi="Arial" w:cs="Arial"/>
          <w:sz w:val="22"/>
        </w:rPr>
        <w:t xml:space="preserve">bien de </w:t>
      </w:r>
      <w:r w:rsidRPr="00946E02">
        <w:rPr>
          <w:rFonts w:ascii="Arial" w:hAnsi="Arial" w:cs="Arial"/>
          <w:sz w:val="22"/>
        </w:rPr>
        <w:lastRenderedPageBreak/>
        <w:t>conformidad con el artículo 6 de la Ley 1150 de 2007 el requisito habilitante de experiencia debe ser acreditado mediante el RUP, en la medida que este no registra toda la información relacionada en el numeral 3.5.5, los proponentes deberán recurrir a los documentos del numeral 3.5.6 para acreditar dicha información</w:t>
      </w:r>
      <w:r w:rsidRPr="00946E02">
        <w:rPr>
          <w:rStyle w:val="Refdenotaalpie"/>
          <w:rFonts w:ascii="Arial" w:hAnsi="Arial" w:cs="Arial"/>
          <w:sz w:val="22"/>
        </w:rPr>
        <w:footnoteReference w:id="9"/>
      </w:r>
      <w:r w:rsidRPr="00946E02">
        <w:rPr>
          <w:rFonts w:ascii="Arial" w:hAnsi="Arial" w:cs="Arial"/>
          <w:sz w:val="22"/>
        </w:rPr>
        <w:t>.</w:t>
      </w:r>
    </w:p>
    <w:p w14:paraId="1A1B6339" w14:textId="58075183" w:rsidR="006A616D" w:rsidRPr="00946E02" w:rsidRDefault="006A616D" w:rsidP="006A616D">
      <w:pPr>
        <w:spacing w:after="120" w:line="276" w:lineRule="auto"/>
        <w:ind w:right="51" w:firstLine="708"/>
        <w:jc w:val="both"/>
        <w:rPr>
          <w:rFonts w:ascii="Arial" w:hAnsi="Arial" w:cs="Arial"/>
          <w:sz w:val="22"/>
        </w:rPr>
      </w:pPr>
      <w:r w:rsidRPr="00946E02">
        <w:rPr>
          <w:rFonts w:ascii="Arial" w:hAnsi="Arial" w:cs="Arial"/>
          <w:sz w:val="22"/>
        </w:rPr>
        <w:lastRenderedPageBreak/>
        <w:t>Conforme a lo anterior, la Matriz 1 propende por la estandarización de los requisitos habilitantes, para lo cual establece unos requisitos de experiencia general para cada una de las actividades que contempla, y unos requisitos de experiencia específica determinables a partir del monto del presupuesto oficial de</w:t>
      </w:r>
      <w:r w:rsidR="006D2641">
        <w:rPr>
          <w:rFonts w:ascii="Arial" w:hAnsi="Arial" w:cs="Arial"/>
          <w:sz w:val="22"/>
        </w:rPr>
        <w:t xml:space="preserve">l </w:t>
      </w:r>
      <w:r w:rsidRPr="00946E02">
        <w:rPr>
          <w:rFonts w:ascii="Arial" w:hAnsi="Arial" w:cs="Arial"/>
          <w:sz w:val="22"/>
        </w:rPr>
        <w:t xml:space="preserve">proceso de contratación y el alcance físico de la obra. Al respecto, se </w:t>
      </w:r>
      <w:r w:rsidR="00362C88" w:rsidRPr="00946E02">
        <w:rPr>
          <w:rFonts w:ascii="Arial" w:hAnsi="Arial" w:cs="Arial"/>
          <w:sz w:val="22"/>
        </w:rPr>
        <w:t>advierte</w:t>
      </w:r>
      <w:r w:rsidRPr="00946E02">
        <w:rPr>
          <w:rFonts w:ascii="Arial" w:hAnsi="Arial" w:cs="Arial"/>
          <w:sz w:val="22"/>
        </w:rPr>
        <w:t xml:space="preserve"> que los requisitos de experiencia establecidos por la Matriz 1 son inalterables y de obligatoria observancia para las entidades, por lo que estas, en principio, no pueden exigir requisitos de experiencia distintos a los que surgen de la aplicación de la matriz</w:t>
      </w:r>
      <w:r w:rsidRPr="00946E02">
        <w:rPr>
          <w:rStyle w:val="Refdenotaalpie"/>
          <w:rFonts w:ascii="Arial" w:hAnsi="Arial" w:cs="Arial"/>
          <w:sz w:val="22"/>
        </w:rPr>
        <w:footnoteReference w:id="10"/>
      </w:r>
      <w:r w:rsidRPr="00946E02">
        <w:rPr>
          <w:rFonts w:ascii="Arial" w:hAnsi="Arial" w:cs="Arial"/>
          <w:sz w:val="22"/>
        </w:rPr>
        <w:t xml:space="preserve">. </w:t>
      </w:r>
    </w:p>
    <w:p w14:paraId="27BA4B10" w14:textId="50EF4897" w:rsidR="006A616D" w:rsidRPr="00D46E9E" w:rsidRDefault="006A616D" w:rsidP="006A616D">
      <w:pPr>
        <w:spacing w:after="120" w:line="276" w:lineRule="auto"/>
        <w:ind w:right="51" w:firstLine="708"/>
        <w:jc w:val="both"/>
        <w:rPr>
          <w:rFonts w:ascii="Arial" w:hAnsi="Arial" w:cs="Arial"/>
          <w:sz w:val="22"/>
          <w:szCs w:val="22"/>
        </w:rPr>
      </w:pPr>
      <w:r w:rsidRPr="00D46E9E">
        <w:rPr>
          <w:rFonts w:ascii="Arial" w:hAnsi="Arial" w:cs="Arial"/>
          <w:sz w:val="22"/>
          <w:szCs w:val="22"/>
        </w:rPr>
        <w:t xml:space="preserve">Ahora bien, </w:t>
      </w:r>
      <w:r w:rsidR="00A259EC" w:rsidRPr="00D46E9E">
        <w:rPr>
          <w:rFonts w:ascii="Arial" w:hAnsi="Arial" w:cs="Arial"/>
          <w:sz w:val="22"/>
          <w:szCs w:val="22"/>
        </w:rPr>
        <w:t>la mayoría</w:t>
      </w:r>
      <w:r w:rsidRPr="00D46E9E">
        <w:rPr>
          <w:rFonts w:ascii="Arial" w:hAnsi="Arial" w:cs="Arial"/>
          <w:sz w:val="22"/>
          <w:szCs w:val="22"/>
        </w:rPr>
        <w:t xml:space="preserve"> de los requisitos de experiencia general contemplados por la Matriz 1 consisten en exigir del proponente haber ejecutado determinadas actividades respecto de un tipo específico de infraestructura. Así, por ejemplo,</w:t>
      </w:r>
      <w:r w:rsidR="00004309" w:rsidRPr="00D46E9E">
        <w:rPr>
          <w:rFonts w:ascii="Arial" w:hAnsi="Arial" w:cs="Arial"/>
          <w:sz w:val="22"/>
          <w:szCs w:val="22"/>
        </w:rPr>
        <w:t xml:space="preserve"> </w:t>
      </w:r>
      <w:r w:rsidR="00362C88" w:rsidRPr="00D46E9E">
        <w:rPr>
          <w:rFonts w:ascii="Arial" w:hAnsi="Arial" w:cs="Arial"/>
          <w:sz w:val="22"/>
          <w:szCs w:val="22"/>
        </w:rPr>
        <w:t xml:space="preserve">por relacionarse con el objeto de la </w:t>
      </w:r>
      <w:r w:rsidR="00004309" w:rsidRPr="00D46E9E">
        <w:rPr>
          <w:rFonts w:ascii="Arial" w:hAnsi="Arial" w:cs="Arial"/>
          <w:sz w:val="22"/>
          <w:szCs w:val="22"/>
        </w:rPr>
        <w:t>consulta,</w:t>
      </w:r>
      <w:r w:rsidRPr="00D46E9E">
        <w:rPr>
          <w:rFonts w:ascii="Arial" w:hAnsi="Arial" w:cs="Arial"/>
          <w:sz w:val="22"/>
          <w:szCs w:val="22"/>
        </w:rPr>
        <w:t xml:space="preserve"> la Matriz 1 para proyectos de complejidad media–baja, adoptada por la Resolución No. </w:t>
      </w:r>
      <w:r w:rsidR="00CA4C52" w:rsidRPr="00D46E9E">
        <w:rPr>
          <w:rFonts w:ascii="Arial" w:hAnsi="Arial" w:cs="Arial"/>
          <w:sz w:val="22"/>
          <w:szCs w:val="22"/>
        </w:rPr>
        <w:t>304</w:t>
      </w:r>
      <w:r w:rsidRPr="00D46E9E">
        <w:rPr>
          <w:rFonts w:ascii="Arial" w:hAnsi="Arial" w:cs="Arial"/>
          <w:sz w:val="22"/>
          <w:szCs w:val="22"/>
        </w:rPr>
        <w:t xml:space="preserve"> de 202</w:t>
      </w:r>
      <w:r w:rsidR="00927931" w:rsidRPr="00D46E9E">
        <w:rPr>
          <w:rFonts w:ascii="Arial" w:hAnsi="Arial" w:cs="Arial"/>
          <w:sz w:val="22"/>
          <w:szCs w:val="22"/>
        </w:rPr>
        <w:t>1</w:t>
      </w:r>
      <w:r w:rsidRPr="00D46E9E">
        <w:rPr>
          <w:rFonts w:ascii="Arial" w:hAnsi="Arial" w:cs="Arial"/>
          <w:sz w:val="22"/>
          <w:szCs w:val="22"/>
        </w:rPr>
        <w:t xml:space="preserve">, </w:t>
      </w:r>
      <w:r w:rsidR="00362C88" w:rsidRPr="00D46E9E">
        <w:rPr>
          <w:rFonts w:ascii="Arial" w:hAnsi="Arial" w:cs="Arial"/>
          <w:sz w:val="22"/>
          <w:szCs w:val="22"/>
        </w:rPr>
        <w:t xml:space="preserve">en relación con </w:t>
      </w:r>
      <w:r w:rsidR="005E74AD" w:rsidRPr="00D46E9E">
        <w:rPr>
          <w:rFonts w:ascii="Arial" w:hAnsi="Arial" w:cs="Arial"/>
          <w:sz w:val="22"/>
          <w:szCs w:val="22"/>
        </w:rPr>
        <w:t xml:space="preserve">el tipo de obra «obras en vías </w:t>
      </w:r>
      <w:r w:rsidR="00BB21C8" w:rsidRPr="00D46E9E">
        <w:rPr>
          <w:rFonts w:ascii="Arial" w:hAnsi="Arial" w:cs="Arial"/>
          <w:sz w:val="22"/>
          <w:szCs w:val="22"/>
        </w:rPr>
        <w:t>primarias o secundarias</w:t>
      </w:r>
      <w:r w:rsidR="005E74AD" w:rsidRPr="00D46E9E">
        <w:rPr>
          <w:rFonts w:ascii="Arial" w:hAnsi="Arial" w:cs="Arial"/>
          <w:sz w:val="22"/>
          <w:szCs w:val="22"/>
        </w:rPr>
        <w:t>», frente a la actividad «</w:t>
      </w:r>
      <w:r w:rsidR="00365162" w:rsidRPr="007A0A66">
        <w:rPr>
          <w:rFonts w:ascii="Arial" w:hAnsi="Arial" w:cs="Arial"/>
          <w:sz w:val="22"/>
          <w:szCs w:val="22"/>
        </w:rPr>
        <w:t>1</w:t>
      </w:r>
      <w:r w:rsidR="00365162" w:rsidRPr="00D46E9E">
        <w:rPr>
          <w:rFonts w:ascii="Arial" w:hAnsi="Arial" w:cs="Arial"/>
          <w:sz w:val="22"/>
          <w:szCs w:val="22"/>
        </w:rPr>
        <w:t xml:space="preserve">.2 PROYECTOS DE MEJORAMIENTO DE VÍAS», </w:t>
      </w:r>
      <w:r w:rsidRPr="00D46E9E">
        <w:rPr>
          <w:rFonts w:ascii="Arial" w:hAnsi="Arial" w:cs="Arial"/>
          <w:sz w:val="22"/>
          <w:szCs w:val="22"/>
        </w:rPr>
        <w:t xml:space="preserve">establece como requisito de experiencia general </w:t>
      </w:r>
      <w:r w:rsidR="005E74AD" w:rsidRPr="00D46E9E">
        <w:rPr>
          <w:rFonts w:ascii="Arial" w:hAnsi="Arial" w:cs="Arial"/>
          <w:sz w:val="22"/>
          <w:szCs w:val="22"/>
        </w:rPr>
        <w:t xml:space="preserve">la </w:t>
      </w:r>
      <w:r w:rsidRPr="00D46E9E">
        <w:rPr>
          <w:rFonts w:ascii="Arial" w:hAnsi="Arial" w:cs="Arial"/>
          <w:sz w:val="22"/>
          <w:szCs w:val="22"/>
        </w:rPr>
        <w:t>«</w:t>
      </w:r>
      <w:r w:rsidR="00DF7664" w:rsidRPr="00D46E9E">
        <w:rPr>
          <w:rFonts w:ascii="Arial" w:hAnsi="Arial" w:cs="Arial"/>
          <w:sz w:val="22"/>
          <w:szCs w:val="22"/>
        </w:rPr>
        <w:t>CONSTRUCCIÓN O MEJORAMIENTO EN PAVIMENTO ASFALTICO O CONCRETO HIDRÁULICO DE VÍAS PRIMARIAS O SECUNDARIAS O VIAS URBANAS O PISTAS DE AEROPUERTOS».</w:t>
      </w:r>
      <w:r w:rsidR="008B1AEB" w:rsidRPr="00D46E9E">
        <w:rPr>
          <w:rFonts w:ascii="Arial" w:hAnsi="Arial" w:cs="Arial"/>
          <w:sz w:val="22"/>
          <w:szCs w:val="22"/>
        </w:rPr>
        <w:t xml:space="preserve"> </w:t>
      </w:r>
      <w:r w:rsidRPr="00D46E9E">
        <w:rPr>
          <w:rFonts w:ascii="Arial" w:hAnsi="Arial" w:cs="Arial"/>
          <w:sz w:val="22"/>
          <w:szCs w:val="22"/>
        </w:rPr>
        <w:t xml:space="preserve">Aquel será el requisito de experiencia general que deberá consignar –sin alteraciones– en el literal A del numeral 3.5.2 del Documento Base junto con la experiencia específica. </w:t>
      </w:r>
    </w:p>
    <w:p w14:paraId="30DE77FC" w14:textId="22D960CA" w:rsidR="006A616D" w:rsidRPr="00946E02" w:rsidRDefault="00CA4C52" w:rsidP="006A616D">
      <w:pPr>
        <w:spacing w:after="120" w:line="276" w:lineRule="auto"/>
        <w:ind w:right="51" w:firstLine="708"/>
        <w:jc w:val="both"/>
        <w:rPr>
          <w:rFonts w:ascii="Arial" w:hAnsi="Arial" w:cs="Arial"/>
          <w:sz w:val="22"/>
        </w:rPr>
      </w:pPr>
      <w:r w:rsidRPr="00946E02">
        <w:rPr>
          <w:rFonts w:ascii="Arial" w:hAnsi="Arial" w:cs="Arial"/>
          <w:sz w:val="22"/>
        </w:rPr>
        <w:t>E</w:t>
      </w:r>
      <w:r w:rsidR="006A616D" w:rsidRPr="00946E02">
        <w:rPr>
          <w:rFonts w:ascii="Arial" w:hAnsi="Arial" w:cs="Arial"/>
          <w:sz w:val="22"/>
        </w:rPr>
        <w:t xml:space="preserve">n cuanto a la actividad de </w:t>
      </w:r>
      <w:r w:rsidR="006A616D" w:rsidRPr="00946E02">
        <w:rPr>
          <w:rFonts w:ascii="Arial" w:hAnsi="Arial" w:cs="Arial"/>
          <w:i/>
          <w:iCs/>
          <w:sz w:val="22"/>
        </w:rPr>
        <w:t>mejoramiento</w:t>
      </w:r>
      <w:r w:rsidR="006A616D" w:rsidRPr="00946E02">
        <w:rPr>
          <w:rFonts w:ascii="Arial" w:hAnsi="Arial" w:cs="Arial"/>
          <w:sz w:val="22"/>
        </w:rPr>
        <w:t xml:space="preserve"> establecida en el anterior requisito de experiencia general, así como en otros de la Matriz 1, resulta indispensable tener en cuenta lo explicado en el numeral 2.</w:t>
      </w:r>
      <w:r w:rsidR="005E74AD" w:rsidRPr="00946E02">
        <w:rPr>
          <w:rFonts w:ascii="Arial" w:hAnsi="Arial" w:cs="Arial"/>
          <w:sz w:val="22"/>
        </w:rPr>
        <w:t>2</w:t>
      </w:r>
      <w:r w:rsidR="006A616D" w:rsidRPr="00946E02">
        <w:rPr>
          <w:rFonts w:ascii="Arial" w:hAnsi="Arial" w:cs="Arial"/>
          <w:sz w:val="22"/>
        </w:rPr>
        <w:t xml:space="preserve"> del presente concepto.</w:t>
      </w:r>
      <w:r w:rsidRPr="00946E02">
        <w:rPr>
          <w:rFonts w:ascii="Arial" w:hAnsi="Arial" w:cs="Arial"/>
          <w:sz w:val="22"/>
        </w:rPr>
        <w:t xml:space="preserve"> Esto es, l</w:t>
      </w:r>
      <w:r w:rsidR="006A616D" w:rsidRPr="00946E02">
        <w:rPr>
          <w:rFonts w:ascii="Arial" w:hAnsi="Arial" w:cs="Arial"/>
          <w:sz w:val="22"/>
        </w:rPr>
        <w:t>a interpretación de lo que se considera</w:t>
      </w:r>
      <w:r w:rsidR="006A616D" w:rsidRPr="00946E02">
        <w:rPr>
          <w:rFonts w:ascii="Arial" w:hAnsi="Arial" w:cs="Arial"/>
          <w:i/>
          <w:iCs/>
          <w:sz w:val="22"/>
        </w:rPr>
        <w:t xml:space="preserve"> mejoramiento</w:t>
      </w:r>
      <w:r w:rsidR="006A616D" w:rsidRPr="00946E02">
        <w:rPr>
          <w:rFonts w:ascii="Arial" w:hAnsi="Arial" w:cs="Arial"/>
          <w:sz w:val="22"/>
        </w:rPr>
        <w:t xml:space="preserve"> a efectos de cumplir con estos requisitos de experiencia,</w:t>
      </w:r>
      <w:r w:rsidRPr="00946E02">
        <w:rPr>
          <w:rFonts w:ascii="Arial" w:hAnsi="Arial" w:cs="Arial"/>
          <w:sz w:val="22"/>
        </w:rPr>
        <w:t xml:space="preserve"> </w:t>
      </w:r>
      <w:r w:rsidR="006A616D" w:rsidRPr="00946E02">
        <w:rPr>
          <w:rFonts w:ascii="Arial" w:hAnsi="Arial" w:cs="Arial"/>
          <w:sz w:val="22"/>
        </w:rPr>
        <w:t>se encuentra determinada tanto por el numeral 2.</w:t>
      </w:r>
      <w:r w:rsidRPr="00946E02">
        <w:rPr>
          <w:rFonts w:ascii="Arial" w:hAnsi="Arial" w:cs="Arial"/>
          <w:sz w:val="22"/>
        </w:rPr>
        <w:t>5</w:t>
      </w:r>
      <w:r w:rsidR="006A616D" w:rsidRPr="00946E02">
        <w:rPr>
          <w:rFonts w:ascii="Arial" w:hAnsi="Arial" w:cs="Arial"/>
          <w:sz w:val="22"/>
        </w:rPr>
        <w:t xml:space="preserve">0 del Anexo 3, como por definición del </w:t>
      </w:r>
      <w:r w:rsidR="006A616D" w:rsidRPr="00946E02">
        <w:rPr>
          <w:rFonts w:ascii="Arial" w:hAnsi="Arial" w:cs="Arial"/>
          <w:sz w:val="22"/>
        </w:rPr>
        <w:lastRenderedPageBreak/>
        <w:t>artículo 12 de la Ley 1682 de 2013 y el artículo 1 del Decreto 769 de 2014, compilado en el Decreto 1076 de 2015. En ese sentido, cuando un requisito de experiencia</w:t>
      </w:r>
      <w:r w:rsidR="00E00DF0">
        <w:rPr>
          <w:rFonts w:ascii="Arial" w:hAnsi="Arial" w:cs="Arial"/>
          <w:sz w:val="22"/>
        </w:rPr>
        <w:t xml:space="preserve"> –general o específica–</w:t>
      </w:r>
      <w:r w:rsidR="006A616D" w:rsidRPr="00946E02">
        <w:rPr>
          <w:rFonts w:ascii="Arial" w:hAnsi="Arial" w:cs="Arial"/>
          <w:sz w:val="22"/>
        </w:rPr>
        <w:t xml:space="preserve"> contempla la actividad de </w:t>
      </w:r>
      <w:r w:rsidR="006A616D" w:rsidRPr="00946E02">
        <w:rPr>
          <w:rFonts w:ascii="Arial" w:hAnsi="Arial" w:cs="Arial"/>
          <w:i/>
          <w:iCs/>
          <w:sz w:val="22"/>
        </w:rPr>
        <w:t>mejoramiento</w:t>
      </w:r>
      <w:r w:rsidR="006A616D" w:rsidRPr="00946E02">
        <w:rPr>
          <w:rFonts w:ascii="Arial" w:hAnsi="Arial" w:cs="Arial"/>
          <w:sz w:val="22"/>
        </w:rPr>
        <w:t xml:space="preserve">, debe entenderse que se refiere a cambios en la infraestructura de transporte existentes concretados a partir del desarrollo de las actividades enlistadas en el Decreto 1076 de 2015, bastando la acreditación de alguna de las actividades referidas para establecer que se tiene experiencia en </w:t>
      </w:r>
      <w:r w:rsidR="006A616D" w:rsidRPr="00946E02">
        <w:rPr>
          <w:rFonts w:ascii="Arial" w:hAnsi="Arial" w:cs="Arial"/>
          <w:i/>
          <w:iCs/>
          <w:sz w:val="22"/>
        </w:rPr>
        <w:t>mejoramiento</w:t>
      </w:r>
      <w:r w:rsidR="006A616D" w:rsidRPr="00946E02">
        <w:rPr>
          <w:rFonts w:ascii="Arial" w:hAnsi="Arial" w:cs="Arial"/>
          <w:sz w:val="22"/>
        </w:rPr>
        <w:t>.</w:t>
      </w:r>
    </w:p>
    <w:p w14:paraId="61ADC9D9" w14:textId="7316E452" w:rsidR="006A616D" w:rsidRPr="00946E02" w:rsidRDefault="006A616D" w:rsidP="006A616D">
      <w:pPr>
        <w:spacing w:after="120" w:line="276" w:lineRule="auto"/>
        <w:ind w:firstLine="709"/>
        <w:jc w:val="both"/>
        <w:rPr>
          <w:rStyle w:val="nfasis"/>
          <w:rFonts w:ascii="Arial" w:hAnsi="Arial" w:cs="Arial"/>
          <w:i w:val="0"/>
          <w:iCs w:val="0"/>
          <w:sz w:val="22"/>
        </w:rPr>
      </w:pPr>
      <w:r w:rsidRPr="00946E02">
        <w:rPr>
          <w:rFonts w:ascii="Arial" w:hAnsi="Arial" w:cs="Arial"/>
          <w:sz w:val="22"/>
        </w:rPr>
        <w:t xml:space="preserve">Lo anterior supone que, para establecer si un contrato aportado por un proponente es válido para acreditar que el mismo tiene experiencia en </w:t>
      </w:r>
      <w:r w:rsidRPr="00946E02">
        <w:rPr>
          <w:rFonts w:ascii="Arial" w:hAnsi="Arial" w:cs="Arial"/>
          <w:i/>
          <w:iCs/>
          <w:sz w:val="22"/>
        </w:rPr>
        <w:t>mejoramiento</w:t>
      </w:r>
      <w:r w:rsidRPr="00946E02">
        <w:rPr>
          <w:rFonts w:ascii="Arial" w:hAnsi="Arial" w:cs="Arial"/>
          <w:sz w:val="22"/>
        </w:rPr>
        <w:t xml:space="preserve">, </w:t>
      </w:r>
      <w:r w:rsidR="005E74AD" w:rsidRPr="00946E02">
        <w:rPr>
          <w:rFonts w:ascii="Arial" w:hAnsi="Arial" w:cs="Arial"/>
          <w:sz w:val="22"/>
        </w:rPr>
        <w:t>para cumplir</w:t>
      </w:r>
      <w:r w:rsidRPr="00946E02">
        <w:rPr>
          <w:rFonts w:ascii="Arial" w:hAnsi="Arial" w:cs="Arial"/>
          <w:sz w:val="22"/>
        </w:rPr>
        <w:t xml:space="preserve"> los requisitos de experiencia general que contemplan dicha actividad, basta con verificar: i) que el o los contratos acreditados hayan implicado la intervención de alguno de los tipos de infraestructura considerados en el requisito de experiencia general</w:t>
      </w:r>
      <w:r w:rsidR="005E74AD" w:rsidRPr="00946E02">
        <w:rPr>
          <w:rFonts w:ascii="Arial" w:hAnsi="Arial" w:cs="Arial"/>
          <w:sz w:val="22"/>
        </w:rPr>
        <w:t xml:space="preserve">, </w:t>
      </w:r>
      <w:r w:rsidRPr="00946E02">
        <w:rPr>
          <w:rFonts w:ascii="Arial" w:hAnsi="Arial" w:cs="Arial"/>
          <w:sz w:val="22"/>
        </w:rPr>
        <w:t>en el anterior ejemplo: «[…]</w:t>
      </w:r>
      <w:r w:rsidR="00F75BF5" w:rsidRPr="00F75BF5">
        <w:t xml:space="preserve"> </w:t>
      </w:r>
      <w:r w:rsidR="00F75BF5" w:rsidRPr="00F75BF5">
        <w:rPr>
          <w:rFonts w:ascii="Arial" w:hAnsi="Arial" w:cs="Arial"/>
          <w:sz w:val="22"/>
        </w:rPr>
        <w:t>PAVIMENTO ASFALTICO O CONCRETO HIDRÁULICO DE VÍAS PRIMARIAS O SECUNDARIAS O VIAS URBANAS O PISTAS DE AEROPUERTOS</w:t>
      </w:r>
      <w:r w:rsidRPr="00946E02">
        <w:rPr>
          <w:rFonts w:ascii="Arial" w:hAnsi="Arial" w:cs="Arial"/>
          <w:sz w:val="22"/>
        </w:rPr>
        <w:t xml:space="preserve">»– y </w:t>
      </w:r>
      <w:proofErr w:type="spellStart"/>
      <w:r w:rsidRPr="00946E02">
        <w:rPr>
          <w:rFonts w:ascii="Arial" w:hAnsi="Arial" w:cs="Arial"/>
          <w:sz w:val="22"/>
        </w:rPr>
        <w:t>ii</w:t>
      </w:r>
      <w:proofErr w:type="spellEnd"/>
      <w:r w:rsidRPr="00946E02">
        <w:rPr>
          <w:rFonts w:ascii="Arial" w:hAnsi="Arial" w:cs="Arial"/>
          <w:sz w:val="22"/>
        </w:rPr>
        <w:t>) que el mejoramiento haya consistido en el cambio de especificaciones técnicas de infraestructura existente mediante el desarrollo de alguna las actividades enlistadas en los artículos 2</w:t>
      </w:r>
      <w:r w:rsidRPr="00946E02">
        <w:rPr>
          <w:rStyle w:val="Textoennegrita"/>
          <w:rFonts w:ascii="Arial" w:hAnsi="Arial" w:cs="Arial"/>
          <w:b w:val="0"/>
          <w:bCs w:val="0"/>
          <w:sz w:val="22"/>
        </w:rPr>
        <w:t>.2.2.5.1.1</w:t>
      </w:r>
      <w:r w:rsidR="00940934" w:rsidRPr="00946E02">
        <w:rPr>
          <w:rStyle w:val="Refdenotaalpie"/>
          <w:rFonts w:ascii="Arial" w:hAnsi="Arial" w:cs="Arial"/>
          <w:sz w:val="22"/>
        </w:rPr>
        <w:footnoteReference w:id="11"/>
      </w:r>
      <w:r w:rsidRPr="00946E02">
        <w:rPr>
          <w:rStyle w:val="nfasis"/>
          <w:rFonts w:ascii="Arial" w:hAnsi="Arial" w:cs="Arial"/>
          <w:i w:val="0"/>
          <w:iCs w:val="0"/>
          <w:sz w:val="22"/>
        </w:rPr>
        <w:t xml:space="preserve">, </w:t>
      </w:r>
      <w:r w:rsidRPr="00946E02">
        <w:rPr>
          <w:rStyle w:val="Textoennegrita"/>
          <w:rFonts w:ascii="Arial" w:hAnsi="Arial" w:cs="Arial"/>
          <w:b w:val="0"/>
          <w:bCs w:val="0"/>
          <w:sz w:val="22"/>
        </w:rPr>
        <w:t>2.2.2.5.2.1</w:t>
      </w:r>
      <w:r w:rsidRPr="00946E02">
        <w:rPr>
          <w:rStyle w:val="nfasis"/>
          <w:rFonts w:ascii="Arial" w:hAnsi="Arial" w:cs="Arial"/>
          <w:sz w:val="22"/>
        </w:rPr>
        <w:t>,</w:t>
      </w:r>
      <w:r w:rsidRPr="00946E02">
        <w:rPr>
          <w:rStyle w:val="nfasis"/>
          <w:rFonts w:ascii="Arial" w:hAnsi="Arial" w:cs="Arial"/>
          <w:b/>
          <w:bCs/>
          <w:sz w:val="22"/>
        </w:rPr>
        <w:t xml:space="preserve"> </w:t>
      </w:r>
      <w:r w:rsidRPr="00946E02">
        <w:rPr>
          <w:rStyle w:val="nfasis"/>
          <w:rFonts w:ascii="Arial" w:hAnsi="Arial" w:cs="Arial"/>
          <w:i w:val="0"/>
          <w:iCs w:val="0"/>
          <w:sz w:val="22"/>
        </w:rPr>
        <w:t>2.2.2.5.3.1,</w:t>
      </w:r>
      <w:r w:rsidRPr="00946E02">
        <w:rPr>
          <w:rStyle w:val="nfasis"/>
          <w:rFonts w:ascii="Arial" w:hAnsi="Arial" w:cs="Arial"/>
          <w:sz w:val="22"/>
        </w:rPr>
        <w:t xml:space="preserve"> </w:t>
      </w:r>
      <w:r w:rsidRPr="00946E02">
        <w:rPr>
          <w:rStyle w:val="nfasis"/>
          <w:rFonts w:ascii="Arial" w:hAnsi="Arial" w:cs="Arial"/>
          <w:i w:val="0"/>
          <w:iCs w:val="0"/>
          <w:sz w:val="22"/>
        </w:rPr>
        <w:t xml:space="preserve">2.2.2.5.3.2 o 2.2.2.5.4.1 del Decreto 1076 de 2015. En </w:t>
      </w:r>
      <w:r w:rsidRPr="00946E02">
        <w:rPr>
          <w:rStyle w:val="nfasis"/>
          <w:rFonts w:ascii="Arial" w:hAnsi="Arial" w:cs="Arial"/>
          <w:i w:val="0"/>
          <w:iCs w:val="0"/>
          <w:sz w:val="22"/>
        </w:rPr>
        <w:lastRenderedPageBreak/>
        <w:t>ese sentido, para establecer si un proponente tiene experiencia en mejoramiento debe demostrar que ha ejecutado al menos alguna de las actividades enlistadas en los mencionados artículos del Decreto 1076 de 2015, sin que sea necesario acreditar todas las actividades enlistadas.</w:t>
      </w:r>
    </w:p>
    <w:p w14:paraId="62BC02D5" w14:textId="71A07D45" w:rsidR="00D57FD9" w:rsidRDefault="006A616D" w:rsidP="00D46E9E">
      <w:pPr>
        <w:spacing w:line="276" w:lineRule="auto"/>
        <w:ind w:firstLine="709"/>
        <w:jc w:val="both"/>
        <w:rPr>
          <w:rStyle w:val="nfasis"/>
          <w:rFonts w:ascii="Arial" w:hAnsi="Arial" w:cs="Arial"/>
          <w:i w:val="0"/>
          <w:iCs w:val="0"/>
          <w:sz w:val="22"/>
        </w:rPr>
      </w:pPr>
      <w:r w:rsidRPr="00946E02">
        <w:rPr>
          <w:rStyle w:val="nfasis"/>
          <w:rFonts w:ascii="Arial" w:hAnsi="Arial" w:cs="Arial"/>
          <w:i w:val="0"/>
          <w:iCs w:val="0"/>
          <w:sz w:val="22"/>
        </w:rPr>
        <w:t xml:space="preserve">Teniendo en cuenta lo anterior, debe aclararse que los requisitos de experiencia de la Matriz 1 deben interpretarse conforme con lo establecido el numeral 1.10 del Documento Base, esto es, conforme con la Ley 1682 de 2013, el Decreto 1082 de 2015 y el Anexo 3. En ese sentido, cuando, por ejemplo, la Matriz 1 alude a la actividad de </w:t>
      </w:r>
      <w:r w:rsidRPr="00946E02">
        <w:rPr>
          <w:rStyle w:val="nfasis"/>
          <w:rFonts w:ascii="Arial" w:hAnsi="Arial" w:cs="Arial"/>
          <w:sz w:val="22"/>
        </w:rPr>
        <w:t>mejoramiento</w:t>
      </w:r>
      <w:r w:rsidRPr="00946E02">
        <w:rPr>
          <w:rStyle w:val="nfasis"/>
          <w:rFonts w:ascii="Arial" w:hAnsi="Arial" w:cs="Arial"/>
          <w:i w:val="0"/>
          <w:iCs w:val="0"/>
          <w:sz w:val="22"/>
        </w:rPr>
        <w:t>, tales referencias involucran todas las actividades consideradas como mejoramiento por el Anexo 3 y el Decreto 1076 de 2015.</w:t>
      </w:r>
      <w:r w:rsidR="00A020DD">
        <w:rPr>
          <w:rStyle w:val="nfasis"/>
          <w:rFonts w:ascii="Arial" w:hAnsi="Arial" w:cs="Arial"/>
          <w:i w:val="0"/>
          <w:iCs w:val="0"/>
          <w:sz w:val="22"/>
        </w:rPr>
        <w:t xml:space="preserve"> </w:t>
      </w:r>
      <w:r w:rsidR="00E75C98" w:rsidRPr="00946E02">
        <w:rPr>
          <w:rStyle w:val="nfasis"/>
          <w:rFonts w:ascii="Arial" w:hAnsi="Arial" w:cs="Arial"/>
          <w:i w:val="0"/>
          <w:iCs w:val="0"/>
          <w:sz w:val="22"/>
        </w:rPr>
        <w:t>Por ello</w:t>
      </w:r>
      <w:r w:rsidR="00993288" w:rsidRPr="00946E02">
        <w:rPr>
          <w:rStyle w:val="nfasis"/>
          <w:rFonts w:ascii="Arial" w:hAnsi="Arial" w:cs="Arial"/>
          <w:i w:val="0"/>
          <w:iCs w:val="0"/>
          <w:sz w:val="22"/>
        </w:rPr>
        <w:t>, est</w:t>
      </w:r>
      <w:r w:rsidR="00071118" w:rsidRPr="00946E02">
        <w:rPr>
          <w:rStyle w:val="nfasis"/>
          <w:rFonts w:ascii="Arial" w:hAnsi="Arial" w:cs="Arial"/>
          <w:i w:val="0"/>
          <w:iCs w:val="0"/>
          <w:sz w:val="22"/>
        </w:rPr>
        <w:t xml:space="preserve">a Agencia </w:t>
      </w:r>
      <w:r w:rsidR="00993288" w:rsidRPr="00946E02">
        <w:rPr>
          <w:rStyle w:val="nfasis"/>
          <w:rFonts w:ascii="Arial" w:hAnsi="Arial" w:cs="Arial"/>
          <w:i w:val="0"/>
          <w:iCs w:val="0"/>
          <w:sz w:val="22"/>
        </w:rPr>
        <w:t xml:space="preserve">considera que </w:t>
      </w:r>
      <w:r w:rsidR="00F9764A">
        <w:rPr>
          <w:rStyle w:val="nfasis"/>
          <w:rFonts w:ascii="Arial" w:hAnsi="Arial" w:cs="Arial"/>
          <w:i w:val="0"/>
          <w:iCs w:val="0"/>
          <w:sz w:val="22"/>
        </w:rPr>
        <w:t xml:space="preserve">cada entidad debe valorar </w:t>
      </w:r>
      <w:r w:rsidR="004C3000">
        <w:rPr>
          <w:rStyle w:val="nfasis"/>
          <w:rFonts w:ascii="Arial" w:hAnsi="Arial" w:cs="Arial"/>
          <w:i w:val="0"/>
          <w:iCs w:val="0"/>
          <w:sz w:val="22"/>
        </w:rPr>
        <w:t xml:space="preserve">desde el aspecto técnico </w:t>
      </w:r>
      <w:r w:rsidR="00F9764A">
        <w:rPr>
          <w:rStyle w:val="nfasis"/>
          <w:rFonts w:ascii="Arial" w:hAnsi="Arial" w:cs="Arial"/>
          <w:i w:val="0"/>
          <w:iCs w:val="0"/>
          <w:sz w:val="22"/>
        </w:rPr>
        <w:t xml:space="preserve">si </w:t>
      </w:r>
      <w:r w:rsidR="00F21E62">
        <w:rPr>
          <w:rStyle w:val="nfasis"/>
          <w:rFonts w:ascii="Arial" w:hAnsi="Arial" w:cs="Arial"/>
          <w:i w:val="0"/>
          <w:iCs w:val="0"/>
          <w:sz w:val="22"/>
        </w:rPr>
        <w:t xml:space="preserve">el objeto y alcance del proyecto </w:t>
      </w:r>
      <w:r w:rsidR="008B0ADB">
        <w:rPr>
          <w:rStyle w:val="nfasis"/>
          <w:rFonts w:ascii="Arial" w:hAnsi="Arial" w:cs="Arial"/>
          <w:i w:val="0"/>
          <w:iCs w:val="0"/>
          <w:sz w:val="22"/>
        </w:rPr>
        <w:t>se enmarcan en el</w:t>
      </w:r>
      <w:r w:rsidR="00FF18E3">
        <w:rPr>
          <w:rStyle w:val="nfasis"/>
          <w:rFonts w:ascii="Arial" w:hAnsi="Arial" w:cs="Arial"/>
          <w:i w:val="0"/>
          <w:iCs w:val="0"/>
          <w:sz w:val="22"/>
        </w:rPr>
        <w:t xml:space="preserve"> co</w:t>
      </w:r>
      <w:r w:rsidR="001D4809">
        <w:rPr>
          <w:rStyle w:val="nfasis"/>
          <w:rFonts w:ascii="Arial" w:hAnsi="Arial" w:cs="Arial"/>
          <w:i w:val="0"/>
          <w:iCs w:val="0"/>
          <w:sz w:val="22"/>
        </w:rPr>
        <w:t xml:space="preserve">ncepto de </w:t>
      </w:r>
      <w:r w:rsidR="001D4809" w:rsidRPr="00FD4F87">
        <w:rPr>
          <w:rStyle w:val="nfasis"/>
          <w:rFonts w:ascii="Arial" w:hAnsi="Arial" w:cs="Arial"/>
          <w:sz w:val="22"/>
        </w:rPr>
        <w:t>mejoramiento</w:t>
      </w:r>
      <w:r w:rsidR="001D4809">
        <w:rPr>
          <w:rStyle w:val="nfasis"/>
          <w:rFonts w:ascii="Arial" w:hAnsi="Arial" w:cs="Arial"/>
          <w:i w:val="0"/>
          <w:iCs w:val="0"/>
          <w:sz w:val="22"/>
        </w:rPr>
        <w:t xml:space="preserve">, en los términos explicados </w:t>
      </w:r>
      <w:r w:rsidR="00A020DD">
        <w:rPr>
          <w:rStyle w:val="nfasis"/>
          <w:rFonts w:ascii="Arial" w:hAnsi="Arial" w:cs="Arial"/>
          <w:i w:val="0"/>
          <w:iCs w:val="0"/>
          <w:sz w:val="22"/>
        </w:rPr>
        <w:t>con anterioridad</w:t>
      </w:r>
      <w:r w:rsidR="00F21E62">
        <w:rPr>
          <w:rStyle w:val="nfasis"/>
          <w:rFonts w:ascii="Arial" w:hAnsi="Arial" w:cs="Arial"/>
          <w:i w:val="0"/>
          <w:iCs w:val="0"/>
          <w:sz w:val="22"/>
        </w:rPr>
        <w:t xml:space="preserve"> </w:t>
      </w:r>
      <w:r w:rsidR="00BE4EAD">
        <w:rPr>
          <w:rStyle w:val="nfasis"/>
          <w:rFonts w:ascii="Arial" w:hAnsi="Arial" w:cs="Arial"/>
          <w:i w:val="0"/>
          <w:iCs w:val="0"/>
          <w:sz w:val="22"/>
        </w:rPr>
        <w:t>bajo el marco normativo y los conceptos propios de la ingeniería aplicables a la materia</w:t>
      </w:r>
      <w:r w:rsidR="00A020DD">
        <w:rPr>
          <w:rStyle w:val="nfasis"/>
          <w:rFonts w:ascii="Arial" w:hAnsi="Arial" w:cs="Arial"/>
          <w:i w:val="0"/>
          <w:iCs w:val="0"/>
          <w:sz w:val="22"/>
        </w:rPr>
        <w:t xml:space="preserve">. </w:t>
      </w:r>
    </w:p>
    <w:p w14:paraId="34F2BD7F" w14:textId="5F5C8DAC" w:rsidR="001754BC" w:rsidRDefault="001754BC" w:rsidP="00D46E9E">
      <w:pPr>
        <w:spacing w:line="276" w:lineRule="auto"/>
        <w:ind w:firstLine="709"/>
        <w:jc w:val="both"/>
        <w:rPr>
          <w:rStyle w:val="nfasis"/>
          <w:rFonts w:ascii="Arial" w:hAnsi="Arial" w:cs="Arial"/>
          <w:i w:val="0"/>
          <w:iCs w:val="0"/>
          <w:sz w:val="22"/>
        </w:rPr>
      </w:pPr>
    </w:p>
    <w:p w14:paraId="7CB3E5D5" w14:textId="1C85213B" w:rsidR="001754BC" w:rsidRDefault="001754BC" w:rsidP="00D46E9E">
      <w:pPr>
        <w:spacing w:line="276" w:lineRule="auto"/>
        <w:ind w:firstLine="709"/>
        <w:jc w:val="both"/>
        <w:rPr>
          <w:rStyle w:val="nfasis"/>
          <w:rFonts w:ascii="Arial" w:hAnsi="Arial" w:cs="Arial"/>
          <w:i w:val="0"/>
          <w:iCs w:val="0"/>
          <w:sz w:val="22"/>
        </w:rPr>
      </w:pPr>
    </w:p>
    <w:p w14:paraId="3A5889DC" w14:textId="71AD83F4" w:rsidR="001754BC" w:rsidRDefault="001754BC" w:rsidP="00D46E9E">
      <w:pPr>
        <w:spacing w:line="276" w:lineRule="auto"/>
        <w:ind w:firstLine="709"/>
        <w:jc w:val="both"/>
        <w:rPr>
          <w:rStyle w:val="nfasis"/>
          <w:rFonts w:ascii="Arial" w:hAnsi="Arial" w:cs="Arial"/>
          <w:i w:val="0"/>
          <w:iCs w:val="0"/>
          <w:sz w:val="22"/>
        </w:rPr>
      </w:pPr>
    </w:p>
    <w:p w14:paraId="28AC08F9" w14:textId="6AE1107F" w:rsidR="001754BC" w:rsidRDefault="001754BC" w:rsidP="00D46E9E">
      <w:pPr>
        <w:spacing w:line="276" w:lineRule="auto"/>
        <w:ind w:firstLine="709"/>
        <w:jc w:val="both"/>
        <w:rPr>
          <w:rStyle w:val="nfasis"/>
          <w:rFonts w:ascii="Arial" w:hAnsi="Arial" w:cs="Arial"/>
          <w:i w:val="0"/>
          <w:iCs w:val="0"/>
          <w:sz w:val="22"/>
        </w:rPr>
      </w:pPr>
    </w:p>
    <w:p w14:paraId="5742C262" w14:textId="37281952" w:rsidR="001754BC" w:rsidRDefault="001754BC" w:rsidP="00D46E9E">
      <w:pPr>
        <w:spacing w:line="276" w:lineRule="auto"/>
        <w:ind w:firstLine="709"/>
        <w:jc w:val="both"/>
        <w:rPr>
          <w:rStyle w:val="nfasis"/>
          <w:rFonts w:ascii="Arial" w:hAnsi="Arial" w:cs="Arial"/>
          <w:i w:val="0"/>
          <w:iCs w:val="0"/>
          <w:sz w:val="22"/>
        </w:rPr>
      </w:pPr>
    </w:p>
    <w:p w14:paraId="186031F6" w14:textId="77777777" w:rsidR="001754BC" w:rsidRDefault="001754BC" w:rsidP="00D46E9E">
      <w:pPr>
        <w:spacing w:line="276" w:lineRule="auto"/>
        <w:ind w:firstLine="709"/>
        <w:jc w:val="both"/>
        <w:rPr>
          <w:rStyle w:val="nfasis"/>
          <w:rFonts w:ascii="Arial" w:hAnsi="Arial" w:cs="Arial"/>
          <w:i w:val="0"/>
          <w:iCs w:val="0"/>
          <w:sz w:val="22"/>
        </w:rPr>
      </w:pPr>
    </w:p>
    <w:p w14:paraId="211F7D52" w14:textId="77777777" w:rsidR="00A020DD" w:rsidRDefault="00A020DD" w:rsidP="003C7067">
      <w:pPr>
        <w:tabs>
          <w:tab w:val="left" w:pos="709"/>
        </w:tabs>
        <w:spacing w:line="276" w:lineRule="auto"/>
        <w:jc w:val="both"/>
        <w:rPr>
          <w:rFonts w:ascii="Arial" w:eastAsia="Calibri" w:hAnsi="Arial" w:cs="Arial"/>
          <w:b/>
          <w:sz w:val="22"/>
          <w:szCs w:val="22"/>
          <w:lang w:val="es-ES"/>
        </w:rPr>
      </w:pPr>
    </w:p>
    <w:p w14:paraId="1C1BEAFF" w14:textId="1D675B1F" w:rsidR="003C7067" w:rsidRPr="00946E02" w:rsidRDefault="003C7067" w:rsidP="003C7067">
      <w:pPr>
        <w:tabs>
          <w:tab w:val="left" w:pos="709"/>
        </w:tabs>
        <w:spacing w:line="276" w:lineRule="auto"/>
        <w:jc w:val="both"/>
        <w:rPr>
          <w:rFonts w:ascii="Arial" w:eastAsia="Calibri" w:hAnsi="Arial" w:cs="Arial"/>
          <w:b/>
          <w:sz w:val="22"/>
          <w:szCs w:val="22"/>
          <w:lang w:val="es-ES"/>
        </w:rPr>
      </w:pPr>
      <w:r w:rsidRPr="00946E02">
        <w:rPr>
          <w:rFonts w:ascii="Arial" w:eastAsia="Calibri" w:hAnsi="Arial" w:cs="Arial"/>
          <w:b/>
          <w:sz w:val="22"/>
          <w:szCs w:val="22"/>
          <w:lang w:val="es-ES"/>
        </w:rPr>
        <w:lastRenderedPageBreak/>
        <w:t>3. Respuesta</w:t>
      </w:r>
    </w:p>
    <w:p w14:paraId="7612FEFE" w14:textId="77777777" w:rsidR="003C7067" w:rsidRPr="00946E02" w:rsidRDefault="003C7067" w:rsidP="003C7067">
      <w:pPr>
        <w:tabs>
          <w:tab w:val="left" w:pos="709"/>
        </w:tabs>
        <w:spacing w:line="276" w:lineRule="auto"/>
        <w:ind w:left="709" w:right="709"/>
        <w:jc w:val="both"/>
        <w:rPr>
          <w:rFonts w:ascii="Arial" w:eastAsia="Calibri" w:hAnsi="Arial" w:cs="Arial"/>
          <w:b/>
          <w:sz w:val="22"/>
          <w:szCs w:val="22"/>
          <w:lang w:val="es-ES"/>
        </w:rPr>
      </w:pPr>
    </w:p>
    <w:p w14:paraId="2279B735" w14:textId="4246BFDC" w:rsidR="006778CE" w:rsidRPr="00903E92" w:rsidRDefault="006778CE" w:rsidP="006778CE">
      <w:pPr>
        <w:pStyle w:val="NormalWeb"/>
        <w:spacing w:before="0" w:beforeAutospacing="0" w:after="0" w:afterAutospacing="0"/>
        <w:ind w:left="709" w:right="709"/>
        <w:jc w:val="both"/>
        <w:rPr>
          <w:rFonts w:ascii="Arial" w:eastAsia="Calibri" w:hAnsi="Arial" w:cs="Arial"/>
          <w:sz w:val="22"/>
          <w:szCs w:val="22"/>
          <w:lang w:val="es-ES"/>
        </w:rPr>
      </w:pPr>
      <w:r w:rsidRPr="00B41C03">
        <w:rPr>
          <w:rFonts w:ascii="Arial" w:eastAsia="Calibri" w:hAnsi="Arial" w:cs="Arial"/>
          <w:sz w:val="22"/>
          <w:szCs w:val="22"/>
          <w:lang w:val="es-ES"/>
        </w:rPr>
        <w:t>«</w:t>
      </w:r>
      <w:r w:rsidRPr="00903E92">
        <w:rPr>
          <w:rFonts w:ascii="Arial" w:eastAsia="Calibri" w:hAnsi="Arial" w:cs="Arial"/>
          <w:sz w:val="22"/>
          <w:szCs w:val="22"/>
          <w:lang w:val="es-ES"/>
        </w:rPr>
        <w:t>Elevamos</w:t>
      </w:r>
      <w:r>
        <w:rPr>
          <w:rFonts w:ascii="Arial" w:eastAsia="Calibri" w:hAnsi="Arial" w:cs="Arial"/>
          <w:sz w:val="22"/>
          <w:szCs w:val="22"/>
          <w:lang w:val="es-ES"/>
        </w:rPr>
        <w:t xml:space="preserve"> </w:t>
      </w:r>
      <w:r w:rsidRPr="00903E92">
        <w:rPr>
          <w:rFonts w:ascii="Arial" w:eastAsia="Calibri" w:hAnsi="Arial" w:cs="Arial"/>
          <w:sz w:val="22"/>
          <w:szCs w:val="22"/>
          <w:lang w:val="es-ES"/>
        </w:rPr>
        <w:t>esta</w:t>
      </w:r>
      <w:r>
        <w:rPr>
          <w:rFonts w:ascii="Arial" w:eastAsia="Calibri" w:hAnsi="Arial" w:cs="Arial"/>
          <w:sz w:val="22"/>
          <w:szCs w:val="22"/>
          <w:lang w:val="es-ES"/>
        </w:rPr>
        <w:t xml:space="preserve"> </w:t>
      </w:r>
      <w:r w:rsidRPr="00903E92">
        <w:rPr>
          <w:rFonts w:ascii="Arial" w:eastAsia="Calibri" w:hAnsi="Arial" w:cs="Arial"/>
          <w:sz w:val="22"/>
          <w:szCs w:val="22"/>
          <w:lang w:val="es-ES"/>
        </w:rPr>
        <w:t>consulta</w:t>
      </w:r>
      <w:r>
        <w:rPr>
          <w:rFonts w:ascii="Arial" w:eastAsia="Calibri" w:hAnsi="Arial" w:cs="Arial"/>
          <w:sz w:val="22"/>
          <w:szCs w:val="22"/>
          <w:lang w:val="es-ES"/>
        </w:rPr>
        <w:t xml:space="preserve"> </w:t>
      </w:r>
      <w:r w:rsidRPr="00903E92">
        <w:rPr>
          <w:rFonts w:ascii="Arial" w:eastAsia="Calibri" w:hAnsi="Arial" w:cs="Arial"/>
          <w:sz w:val="22"/>
          <w:szCs w:val="22"/>
          <w:lang w:val="es-ES"/>
        </w:rPr>
        <w:t>a</w:t>
      </w:r>
      <w:r>
        <w:rPr>
          <w:rFonts w:ascii="Arial" w:eastAsia="Calibri" w:hAnsi="Arial" w:cs="Arial"/>
          <w:sz w:val="22"/>
          <w:szCs w:val="22"/>
          <w:lang w:val="es-ES"/>
        </w:rPr>
        <w:t xml:space="preserve"> </w:t>
      </w:r>
      <w:r w:rsidRPr="00903E92">
        <w:rPr>
          <w:rFonts w:ascii="Arial" w:eastAsia="Calibri" w:hAnsi="Arial" w:cs="Arial"/>
          <w:sz w:val="22"/>
          <w:szCs w:val="22"/>
          <w:lang w:val="es-ES"/>
        </w:rPr>
        <w:t>Colombia</w:t>
      </w:r>
      <w:r>
        <w:rPr>
          <w:rFonts w:ascii="Arial" w:eastAsia="Calibri" w:hAnsi="Arial" w:cs="Arial"/>
          <w:sz w:val="22"/>
          <w:szCs w:val="22"/>
          <w:lang w:val="es-ES"/>
        </w:rPr>
        <w:t xml:space="preserve"> </w:t>
      </w:r>
      <w:r w:rsidRPr="00903E92">
        <w:rPr>
          <w:rFonts w:ascii="Arial" w:eastAsia="Calibri" w:hAnsi="Arial" w:cs="Arial"/>
          <w:sz w:val="22"/>
          <w:szCs w:val="22"/>
          <w:lang w:val="es-ES"/>
        </w:rPr>
        <w:t>Compra</w:t>
      </w:r>
      <w:r>
        <w:rPr>
          <w:rFonts w:ascii="Arial" w:eastAsia="Calibri" w:hAnsi="Arial" w:cs="Arial"/>
          <w:sz w:val="22"/>
          <w:szCs w:val="22"/>
          <w:lang w:val="es-ES"/>
        </w:rPr>
        <w:t xml:space="preserve"> </w:t>
      </w:r>
      <w:r w:rsidRPr="00903E92">
        <w:rPr>
          <w:rFonts w:ascii="Arial" w:eastAsia="Calibri" w:hAnsi="Arial" w:cs="Arial"/>
          <w:sz w:val="22"/>
          <w:szCs w:val="22"/>
          <w:lang w:val="es-ES"/>
        </w:rPr>
        <w:t>Eficiente,</w:t>
      </w:r>
      <w:r>
        <w:rPr>
          <w:rFonts w:ascii="Arial" w:eastAsia="Calibri" w:hAnsi="Arial" w:cs="Arial"/>
          <w:sz w:val="22"/>
          <w:szCs w:val="22"/>
          <w:lang w:val="es-ES"/>
        </w:rPr>
        <w:t xml:space="preserve"> </w:t>
      </w:r>
      <w:r w:rsidRPr="00903E92">
        <w:rPr>
          <w:rFonts w:ascii="Arial" w:eastAsia="Calibri" w:hAnsi="Arial" w:cs="Arial"/>
          <w:sz w:val="22"/>
          <w:szCs w:val="22"/>
          <w:lang w:val="es-ES"/>
        </w:rPr>
        <w:t>para</w:t>
      </w:r>
      <w:r>
        <w:rPr>
          <w:rFonts w:ascii="Arial" w:eastAsia="Calibri" w:hAnsi="Arial" w:cs="Arial"/>
          <w:sz w:val="22"/>
          <w:szCs w:val="22"/>
          <w:lang w:val="es-ES"/>
        </w:rPr>
        <w:t xml:space="preserve"> </w:t>
      </w:r>
      <w:r w:rsidRPr="00903E92">
        <w:rPr>
          <w:rFonts w:ascii="Arial" w:eastAsia="Calibri" w:hAnsi="Arial" w:cs="Arial"/>
          <w:sz w:val="22"/>
          <w:szCs w:val="22"/>
          <w:lang w:val="es-ES"/>
        </w:rPr>
        <w:t>que</w:t>
      </w:r>
      <w:r>
        <w:rPr>
          <w:rFonts w:ascii="Arial" w:eastAsia="Calibri" w:hAnsi="Arial" w:cs="Arial"/>
          <w:sz w:val="22"/>
          <w:szCs w:val="22"/>
          <w:lang w:val="es-ES"/>
        </w:rPr>
        <w:t xml:space="preserve"> </w:t>
      </w:r>
      <w:r w:rsidRPr="00903E92">
        <w:rPr>
          <w:rFonts w:ascii="Arial" w:eastAsia="Calibri" w:hAnsi="Arial" w:cs="Arial"/>
          <w:sz w:val="22"/>
          <w:szCs w:val="22"/>
          <w:lang w:val="es-ES"/>
        </w:rPr>
        <w:t>se</w:t>
      </w:r>
      <w:r>
        <w:rPr>
          <w:rFonts w:ascii="Arial" w:eastAsia="Calibri" w:hAnsi="Arial" w:cs="Arial"/>
          <w:sz w:val="22"/>
          <w:szCs w:val="22"/>
          <w:lang w:val="es-ES"/>
        </w:rPr>
        <w:t xml:space="preserve"> </w:t>
      </w:r>
      <w:r w:rsidRPr="00903E92">
        <w:rPr>
          <w:rFonts w:ascii="Arial" w:eastAsia="Calibri" w:hAnsi="Arial" w:cs="Arial"/>
          <w:sz w:val="22"/>
          <w:szCs w:val="22"/>
          <w:lang w:val="es-ES"/>
        </w:rPr>
        <w:t>nos</w:t>
      </w:r>
      <w:r>
        <w:rPr>
          <w:rFonts w:ascii="Arial" w:eastAsia="Calibri" w:hAnsi="Arial" w:cs="Arial"/>
          <w:sz w:val="22"/>
          <w:szCs w:val="22"/>
          <w:lang w:val="es-ES"/>
        </w:rPr>
        <w:t xml:space="preserve"> </w:t>
      </w:r>
      <w:r w:rsidRPr="00903E92">
        <w:rPr>
          <w:rFonts w:ascii="Arial" w:eastAsia="Calibri" w:hAnsi="Arial" w:cs="Arial"/>
          <w:sz w:val="22"/>
          <w:szCs w:val="22"/>
          <w:lang w:val="es-ES"/>
        </w:rPr>
        <w:t>aclare</w:t>
      </w:r>
      <w:r>
        <w:rPr>
          <w:rFonts w:ascii="Arial" w:eastAsia="Calibri" w:hAnsi="Arial" w:cs="Arial"/>
          <w:sz w:val="22"/>
          <w:szCs w:val="22"/>
          <w:lang w:val="es-ES"/>
        </w:rPr>
        <w:t xml:space="preserve"> </w:t>
      </w:r>
      <w:r w:rsidRPr="00903E92">
        <w:rPr>
          <w:rFonts w:ascii="Arial" w:eastAsia="Calibri" w:hAnsi="Arial" w:cs="Arial"/>
          <w:sz w:val="22"/>
          <w:szCs w:val="22"/>
          <w:lang w:val="es-ES"/>
        </w:rPr>
        <w:t>si</w:t>
      </w:r>
      <w:r>
        <w:rPr>
          <w:rFonts w:ascii="Arial" w:eastAsia="Calibri" w:hAnsi="Arial" w:cs="Arial"/>
          <w:sz w:val="22"/>
          <w:szCs w:val="22"/>
          <w:lang w:val="es-ES"/>
        </w:rPr>
        <w:t xml:space="preserve"> </w:t>
      </w:r>
      <w:r w:rsidRPr="00903E92">
        <w:rPr>
          <w:rFonts w:ascii="Arial" w:eastAsia="Calibri" w:hAnsi="Arial" w:cs="Arial"/>
          <w:sz w:val="22"/>
          <w:szCs w:val="22"/>
          <w:lang w:val="es-ES"/>
        </w:rPr>
        <w:t>es</w:t>
      </w:r>
      <w:r>
        <w:rPr>
          <w:rFonts w:ascii="Arial" w:eastAsia="Calibri" w:hAnsi="Arial" w:cs="Arial"/>
          <w:sz w:val="22"/>
          <w:szCs w:val="22"/>
          <w:lang w:val="es-ES"/>
        </w:rPr>
        <w:t xml:space="preserve"> </w:t>
      </w:r>
      <w:r w:rsidRPr="00903E92">
        <w:rPr>
          <w:rFonts w:ascii="Arial" w:eastAsia="Calibri" w:hAnsi="Arial" w:cs="Arial"/>
          <w:sz w:val="22"/>
          <w:szCs w:val="22"/>
          <w:lang w:val="es-ES"/>
        </w:rPr>
        <w:t>posible</w:t>
      </w:r>
      <w:r>
        <w:rPr>
          <w:rFonts w:ascii="Arial" w:eastAsia="Calibri" w:hAnsi="Arial" w:cs="Arial"/>
          <w:sz w:val="22"/>
          <w:szCs w:val="22"/>
          <w:lang w:val="es-ES"/>
        </w:rPr>
        <w:t xml:space="preserve"> </w:t>
      </w:r>
      <w:r w:rsidRPr="00903E92">
        <w:rPr>
          <w:rFonts w:ascii="Arial" w:eastAsia="Calibri" w:hAnsi="Arial" w:cs="Arial"/>
          <w:sz w:val="22"/>
          <w:szCs w:val="22"/>
          <w:lang w:val="es-ES"/>
        </w:rPr>
        <w:t>que</w:t>
      </w:r>
      <w:r>
        <w:rPr>
          <w:rFonts w:ascii="Arial" w:eastAsia="Calibri" w:hAnsi="Arial" w:cs="Arial"/>
          <w:sz w:val="22"/>
          <w:szCs w:val="22"/>
          <w:lang w:val="es-ES"/>
        </w:rPr>
        <w:t xml:space="preserve"> </w:t>
      </w:r>
      <w:r w:rsidRPr="00903E92">
        <w:rPr>
          <w:rFonts w:ascii="Arial" w:eastAsia="Calibri" w:hAnsi="Arial" w:cs="Arial"/>
          <w:sz w:val="22"/>
          <w:szCs w:val="22"/>
          <w:lang w:val="es-ES"/>
        </w:rPr>
        <w:t>los</w:t>
      </w:r>
      <w:r>
        <w:rPr>
          <w:rFonts w:ascii="Arial" w:eastAsia="Calibri" w:hAnsi="Arial" w:cs="Arial"/>
          <w:sz w:val="22"/>
          <w:szCs w:val="22"/>
          <w:lang w:val="es-ES"/>
        </w:rPr>
        <w:t xml:space="preserve"> </w:t>
      </w:r>
      <w:r w:rsidRPr="00903E92">
        <w:rPr>
          <w:rFonts w:ascii="Arial" w:eastAsia="Calibri" w:hAnsi="Arial" w:cs="Arial"/>
          <w:sz w:val="22"/>
          <w:szCs w:val="22"/>
          <w:lang w:val="es-ES"/>
        </w:rPr>
        <w:t>contratos</w:t>
      </w:r>
      <w:r>
        <w:rPr>
          <w:rFonts w:ascii="Arial" w:eastAsia="Calibri" w:hAnsi="Arial" w:cs="Arial"/>
          <w:sz w:val="22"/>
          <w:szCs w:val="22"/>
          <w:lang w:val="es-ES"/>
        </w:rPr>
        <w:t xml:space="preserve"> </w:t>
      </w:r>
      <w:r w:rsidRPr="00903E92">
        <w:rPr>
          <w:rFonts w:ascii="Arial" w:eastAsia="Calibri" w:hAnsi="Arial" w:cs="Arial"/>
          <w:sz w:val="22"/>
          <w:szCs w:val="22"/>
          <w:lang w:val="es-ES"/>
        </w:rPr>
        <w:t>de</w:t>
      </w:r>
      <w:r>
        <w:rPr>
          <w:rFonts w:ascii="Arial" w:eastAsia="Calibri" w:hAnsi="Arial" w:cs="Arial"/>
          <w:sz w:val="22"/>
          <w:szCs w:val="22"/>
          <w:lang w:val="es-ES"/>
        </w:rPr>
        <w:t xml:space="preserve"> </w:t>
      </w:r>
      <w:r w:rsidRPr="00903E92">
        <w:rPr>
          <w:rFonts w:ascii="Arial" w:eastAsia="Calibri" w:hAnsi="Arial" w:cs="Arial"/>
          <w:sz w:val="22"/>
          <w:szCs w:val="22"/>
          <w:lang w:val="es-ES"/>
        </w:rPr>
        <w:t>ACONDICIONAMIENTO</w:t>
      </w:r>
      <w:r>
        <w:rPr>
          <w:rFonts w:ascii="Arial" w:eastAsia="Calibri" w:hAnsi="Arial" w:cs="Arial"/>
          <w:sz w:val="22"/>
          <w:szCs w:val="22"/>
          <w:lang w:val="es-ES"/>
        </w:rPr>
        <w:t xml:space="preserve"> </w:t>
      </w:r>
      <w:r w:rsidRPr="00903E92">
        <w:rPr>
          <w:rFonts w:ascii="Arial" w:eastAsia="Calibri" w:hAnsi="Arial" w:cs="Arial"/>
          <w:sz w:val="22"/>
          <w:szCs w:val="22"/>
          <w:lang w:val="es-ES"/>
        </w:rPr>
        <w:t>DE</w:t>
      </w:r>
      <w:r>
        <w:rPr>
          <w:rFonts w:ascii="Arial" w:eastAsia="Calibri" w:hAnsi="Arial" w:cs="Arial"/>
          <w:sz w:val="22"/>
          <w:szCs w:val="22"/>
          <w:lang w:val="es-ES"/>
        </w:rPr>
        <w:t xml:space="preserve"> </w:t>
      </w:r>
      <w:r w:rsidRPr="00903E92">
        <w:rPr>
          <w:rFonts w:ascii="Arial" w:eastAsia="Calibri" w:hAnsi="Arial" w:cs="Arial"/>
          <w:sz w:val="22"/>
          <w:szCs w:val="22"/>
          <w:lang w:val="es-ES"/>
        </w:rPr>
        <w:t>VÍAS</w:t>
      </w:r>
      <w:r>
        <w:rPr>
          <w:rFonts w:ascii="Arial" w:eastAsia="Calibri" w:hAnsi="Arial" w:cs="Arial"/>
          <w:sz w:val="22"/>
          <w:szCs w:val="22"/>
          <w:lang w:val="es-ES"/>
        </w:rPr>
        <w:t xml:space="preserve"> </w:t>
      </w:r>
      <w:r w:rsidRPr="00903E92">
        <w:rPr>
          <w:rFonts w:ascii="Arial" w:eastAsia="Calibri" w:hAnsi="Arial" w:cs="Arial"/>
          <w:sz w:val="22"/>
          <w:szCs w:val="22"/>
          <w:lang w:val="es-ES"/>
        </w:rPr>
        <w:t>Y/O</w:t>
      </w:r>
      <w:r>
        <w:rPr>
          <w:rFonts w:ascii="Arial" w:eastAsia="Calibri" w:hAnsi="Arial" w:cs="Arial"/>
          <w:sz w:val="22"/>
          <w:szCs w:val="22"/>
          <w:lang w:val="es-ES"/>
        </w:rPr>
        <w:t xml:space="preserve"> </w:t>
      </w:r>
      <w:r w:rsidRPr="00903E92">
        <w:rPr>
          <w:rFonts w:ascii="Arial" w:eastAsia="Calibri" w:hAnsi="Arial" w:cs="Arial"/>
          <w:sz w:val="22"/>
          <w:szCs w:val="22"/>
          <w:lang w:val="es-ES"/>
        </w:rPr>
        <w:t>CARRETERAS</w:t>
      </w:r>
      <w:r>
        <w:rPr>
          <w:rFonts w:ascii="Arial" w:eastAsia="Calibri" w:hAnsi="Arial" w:cs="Arial"/>
          <w:sz w:val="22"/>
          <w:szCs w:val="22"/>
          <w:lang w:val="es-ES"/>
        </w:rPr>
        <w:t xml:space="preserve"> </w:t>
      </w:r>
      <w:r w:rsidRPr="00903E92">
        <w:rPr>
          <w:rFonts w:ascii="Arial" w:eastAsia="Calibri" w:hAnsi="Arial" w:cs="Arial"/>
          <w:sz w:val="22"/>
          <w:szCs w:val="22"/>
          <w:lang w:val="es-ES"/>
        </w:rPr>
        <w:t>se</w:t>
      </w:r>
      <w:r>
        <w:rPr>
          <w:rFonts w:ascii="Arial" w:eastAsia="Calibri" w:hAnsi="Arial" w:cs="Arial"/>
          <w:sz w:val="22"/>
          <w:szCs w:val="22"/>
          <w:lang w:val="es-ES"/>
        </w:rPr>
        <w:t xml:space="preserve"> </w:t>
      </w:r>
      <w:r w:rsidRPr="00903E92">
        <w:rPr>
          <w:rFonts w:ascii="Arial" w:eastAsia="Calibri" w:hAnsi="Arial" w:cs="Arial"/>
          <w:sz w:val="22"/>
          <w:szCs w:val="22"/>
          <w:lang w:val="es-ES"/>
        </w:rPr>
        <w:t>puedan</w:t>
      </w:r>
      <w:r>
        <w:rPr>
          <w:rFonts w:ascii="Arial" w:eastAsia="Calibri" w:hAnsi="Arial" w:cs="Arial"/>
          <w:sz w:val="22"/>
          <w:szCs w:val="22"/>
          <w:lang w:val="es-ES"/>
        </w:rPr>
        <w:t xml:space="preserve"> </w:t>
      </w:r>
      <w:r w:rsidRPr="00903E92">
        <w:rPr>
          <w:rFonts w:ascii="Arial" w:eastAsia="Calibri" w:hAnsi="Arial" w:cs="Arial"/>
          <w:sz w:val="22"/>
          <w:szCs w:val="22"/>
          <w:lang w:val="es-ES"/>
        </w:rPr>
        <w:t>considerar</w:t>
      </w:r>
      <w:r>
        <w:rPr>
          <w:rFonts w:ascii="Arial" w:eastAsia="Calibri" w:hAnsi="Arial" w:cs="Arial"/>
          <w:sz w:val="22"/>
          <w:szCs w:val="22"/>
          <w:lang w:val="es-ES"/>
        </w:rPr>
        <w:t xml:space="preserve"> </w:t>
      </w:r>
      <w:r w:rsidRPr="00903E92">
        <w:rPr>
          <w:rFonts w:ascii="Arial" w:eastAsia="Calibri" w:hAnsi="Arial" w:cs="Arial"/>
          <w:sz w:val="22"/>
          <w:szCs w:val="22"/>
          <w:lang w:val="es-ES"/>
        </w:rPr>
        <w:t>dentro</w:t>
      </w:r>
      <w:r>
        <w:rPr>
          <w:rFonts w:ascii="Arial" w:eastAsia="Calibri" w:hAnsi="Arial" w:cs="Arial"/>
          <w:sz w:val="22"/>
          <w:szCs w:val="22"/>
          <w:lang w:val="es-ES"/>
        </w:rPr>
        <w:t xml:space="preserve"> </w:t>
      </w:r>
      <w:r w:rsidRPr="00903E92">
        <w:rPr>
          <w:rFonts w:ascii="Arial" w:eastAsia="Calibri" w:hAnsi="Arial" w:cs="Arial"/>
          <w:sz w:val="22"/>
          <w:szCs w:val="22"/>
          <w:lang w:val="es-ES"/>
        </w:rPr>
        <w:t>de</w:t>
      </w:r>
      <w:r>
        <w:rPr>
          <w:rFonts w:ascii="Arial" w:eastAsia="Calibri" w:hAnsi="Arial" w:cs="Arial"/>
          <w:sz w:val="22"/>
          <w:szCs w:val="22"/>
          <w:lang w:val="es-ES"/>
        </w:rPr>
        <w:t xml:space="preserve"> </w:t>
      </w:r>
      <w:r w:rsidRPr="00903E92">
        <w:rPr>
          <w:rFonts w:ascii="Arial" w:eastAsia="Calibri" w:hAnsi="Arial" w:cs="Arial"/>
          <w:sz w:val="22"/>
          <w:szCs w:val="22"/>
          <w:lang w:val="es-ES"/>
        </w:rPr>
        <w:t>las</w:t>
      </w:r>
      <w:r>
        <w:rPr>
          <w:rFonts w:ascii="Arial" w:eastAsia="Calibri" w:hAnsi="Arial" w:cs="Arial"/>
          <w:sz w:val="22"/>
          <w:szCs w:val="22"/>
          <w:lang w:val="es-ES"/>
        </w:rPr>
        <w:t xml:space="preserve"> </w:t>
      </w:r>
      <w:r w:rsidRPr="00903E92">
        <w:rPr>
          <w:rFonts w:ascii="Arial" w:eastAsia="Calibri" w:hAnsi="Arial" w:cs="Arial"/>
          <w:sz w:val="22"/>
          <w:szCs w:val="22"/>
          <w:lang w:val="es-ES"/>
        </w:rPr>
        <w:t>obras</w:t>
      </w:r>
      <w:r>
        <w:rPr>
          <w:rFonts w:ascii="Arial" w:eastAsia="Calibri" w:hAnsi="Arial" w:cs="Arial"/>
          <w:sz w:val="22"/>
          <w:szCs w:val="22"/>
          <w:lang w:val="es-ES"/>
        </w:rPr>
        <w:t xml:space="preserve"> </w:t>
      </w:r>
      <w:r w:rsidRPr="00903E92">
        <w:rPr>
          <w:rFonts w:ascii="Arial" w:eastAsia="Calibri" w:hAnsi="Arial" w:cs="Arial"/>
          <w:sz w:val="22"/>
          <w:szCs w:val="22"/>
          <w:lang w:val="es-ES"/>
        </w:rPr>
        <w:t>de</w:t>
      </w:r>
      <w:r>
        <w:rPr>
          <w:rFonts w:ascii="Arial" w:eastAsia="Calibri" w:hAnsi="Arial" w:cs="Arial"/>
          <w:sz w:val="22"/>
          <w:szCs w:val="22"/>
          <w:lang w:val="es-ES"/>
        </w:rPr>
        <w:t xml:space="preserve"> </w:t>
      </w:r>
      <w:r w:rsidRPr="00903E92">
        <w:rPr>
          <w:rFonts w:ascii="Arial" w:eastAsia="Calibri" w:hAnsi="Arial" w:cs="Arial"/>
          <w:sz w:val="22"/>
          <w:szCs w:val="22"/>
          <w:lang w:val="es-ES"/>
        </w:rPr>
        <w:t>PROYECTOS</w:t>
      </w:r>
      <w:r>
        <w:rPr>
          <w:rFonts w:ascii="Arial" w:eastAsia="Calibri" w:hAnsi="Arial" w:cs="Arial"/>
          <w:sz w:val="22"/>
          <w:szCs w:val="22"/>
          <w:lang w:val="es-ES"/>
        </w:rPr>
        <w:t xml:space="preserve"> </w:t>
      </w:r>
      <w:r w:rsidRPr="00903E92">
        <w:rPr>
          <w:rFonts w:ascii="Arial" w:eastAsia="Calibri" w:hAnsi="Arial" w:cs="Arial"/>
          <w:sz w:val="22"/>
          <w:szCs w:val="22"/>
          <w:lang w:val="es-ES"/>
        </w:rPr>
        <w:t>DE</w:t>
      </w:r>
      <w:r>
        <w:rPr>
          <w:rFonts w:ascii="Arial" w:eastAsia="Calibri" w:hAnsi="Arial" w:cs="Arial"/>
          <w:sz w:val="22"/>
          <w:szCs w:val="22"/>
          <w:lang w:val="es-ES"/>
        </w:rPr>
        <w:t xml:space="preserve"> </w:t>
      </w:r>
      <w:r w:rsidRPr="00903E92">
        <w:rPr>
          <w:rFonts w:ascii="Arial" w:eastAsia="Calibri" w:hAnsi="Arial" w:cs="Arial"/>
          <w:sz w:val="22"/>
          <w:szCs w:val="22"/>
          <w:lang w:val="es-ES"/>
        </w:rPr>
        <w:t>MEJORAMIENTO</w:t>
      </w:r>
      <w:r>
        <w:rPr>
          <w:rFonts w:ascii="Arial" w:eastAsia="Calibri" w:hAnsi="Arial" w:cs="Arial"/>
          <w:sz w:val="22"/>
          <w:szCs w:val="22"/>
          <w:lang w:val="es-ES"/>
        </w:rPr>
        <w:t xml:space="preserve"> </w:t>
      </w:r>
      <w:r w:rsidRPr="00903E92">
        <w:rPr>
          <w:rFonts w:ascii="Arial" w:eastAsia="Calibri" w:hAnsi="Arial" w:cs="Arial"/>
          <w:sz w:val="22"/>
          <w:szCs w:val="22"/>
          <w:lang w:val="es-ES"/>
        </w:rPr>
        <w:t>DE</w:t>
      </w:r>
      <w:r>
        <w:rPr>
          <w:rFonts w:ascii="Arial" w:eastAsia="Calibri" w:hAnsi="Arial" w:cs="Arial"/>
          <w:sz w:val="22"/>
          <w:szCs w:val="22"/>
          <w:lang w:val="es-ES"/>
        </w:rPr>
        <w:t xml:space="preserve"> </w:t>
      </w:r>
      <w:r w:rsidRPr="00903E92">
        <w:rPr>
          <w:rFonts w:ascii="Arial" w:eastAsia="Calibri" w:hAnsi="Arial" w:cs="Arial"/>
          <w:sz w:val="22"/>
          <w:szCs w:val="22"/>
          <w:lang w:val="es-ES"/>
        </w:rPr>
        <w:t>VÍAS</w:t>
      </w:r>
      <w:r>
        <w:rPr>
          <w:rFonts w:ascii="Arial" w:eastAsia="Calibri" w:hAnsi="Arial" w:cs="Arial"/>
          <w:sz w:val="22"/>
          <w:szCs w:val="22"/>
          <w:lang w:val="es-ES"/>
        </w:rPr>
        <w:t xml:space="preserve"> </w:t>
      </w:r>
      <w:r w:rsidRPr="00903E92">
        <w:rPr>
          <w:rFonts w:ascii="Arial" w:eastAsia="Calibri" w:hAnsi="Arial" w:cs="Arial"/>
          <w:sz w:val="22"/>
          <w:szCs w:val="22"/>
          <w:lang w:val="es-ES"/>
        </w:rPr>
        <w:t>como</w:t>
      </w:r>
      <w:r>
        <w:rPr>
          <w:rFonts w:ascii="Arial" w:eastAsia="Calibri" w:hAnsi="Arial" w:cs="Arial"/>
          <w:sz w:val="22"/>
          <w:szCs w:val="22"/>
          <w:lang w:val="es-ES"/>
        </w:rPr>
        <w:t xml:space="preserve"> </w:t>
      </w:r>
      <w:r w:rsidRPr="00903E92">
        <w:rPr>
          <w:rFonts w:ascii="Arial" w:eastAsia="Calibri" w:hAnsi="Arial" w:cs="Arial"/>
          <w:sz w:val="22"/>
          <w:szCs w:val="22"/>
          <w:lang w:val="es-ES"/>
        </w:rPr>
        <w:t>concepto</w:t>
      </w:r>
      <w:r>
        <w:rPr>
          <w:rFonts w:ascii="Arial" w:eastAsia="Calibri" w:hAnsi="Arial" w:cs="Arial"/>
          <w:sz w:val="22"/>
          <w:szCs w:val="22"/>
          <w:lang w:val="es-ES"/>
        </w:rPr>
        <w:t xml:space="preserve"> </w:t>
      </w:r>
      <w:r w:rsidRPr="00903E92">
        <w:rPr>
          <w:rFonts w:ascii="Arial" w:eastAsia="Calibri" w:hAnsi="Arial" w:cs="Arial"/>
          <w:sz w:val="22"/>
          <w:szCs w:val="22"/>
          <w:lang w:val="es-ES"/>
        </w:rPr>
        <w:t>técnico</w:t>
      </w:r>
      <w:r>
        <w:rPr>
          <w:rFonts w:ascii="Arial" w:eastAsia="Calibri" w:hAnsi="Arial" w:cs="Arial"/>
          <w:sz w:val="22"/>
          <w:szCs w:val="22"/>
          <w:lang w:val="es-ES"/>
        </w:rPr>
        <w:t xml:space="preserve"> </w:t>
      </w:r>
      <w:r w:rsidRPr="00903E92">
        <w:rPr>
          <w:rFonts w:ascii="Arial" w:eastAsia="Calibri" w:hAnsi="Arial" w:cs="Arial"/>
          <w:sz w:val="22"/>
          <w:szCs w:val="22"/>
          <w:lang w:val="es-ES"/>
        </w:rPr>
        <w:t>valido</w:t>
      </w:r>
      <w:r>
        <w:rPr>
          <w:rFonts w:ascii="Arial" w:eastAsia="Calibri" w:hAnsi="Arial" w:cs="Arial"/>
          <w:sz w:val="22"/>
          <w:szCs w:val="22"/>
          <w:lang w:val="es-ES"/>
        </w:rPr>
        <w:t xml:space="preserve"> [sic] </w:t>
      </w:r>
      <w:r w:rsidRPr="00903E92">
        <w:rPr>
          <w:rFonts w:ascii="Arial" w:eastAsia="Calibri" w:hAnsi="Arial" w:cs="Arial"/>
          <w:sz w:val="22"/>
          <w:szCs w:val="22"/>
          <w:lang w:val="es-ES"/>
        </w:rPr>
        <w:t>para</w:t>
      </w:r>
      <w:r>
        <w:rPr>
          <w:rFonts w:ascii="Arial" w:eastAsia="Calibri" w:hAnsi="Arial" w:cs="Arial"/>
          <w:sz w:val="22"/>
          <w:szCs w:val="22"/>
          <w:lang w:val="es-ES"/>
        </w:rPr>
        <w:t xml:space="preserve"> </w:t>
      </w:r>
      <w:r w:rsidRPr="00903E92">
        <w:rPr>
          <w:rFonts w:ascii="Arial" w:eastAsia="Calibri" w:hAnsi="Arial" w:cs="Arial"/>
          <w:sz w:val="22"/>
          <w:szCs w:val="22"/>
          <w:lang w:val="es-ES"/>
        </w:rPr>
        <w:t>las</w:t>
      </w:r>
      <w:r>
        <w:rPr>
          <w:rFonts w:ascii="Arial" w:eastAsia="Calibri" w:hAnsi="Arial" w:cs="Arial"/>
          <w:sz w:val="22"/>
          <w:szCs w:val="22"/>
          <w:lang w:val="es-ES"/>
        </w:rPr>
        <w:t xml:space="preserve"> </w:t>
      </w:r>
      <w:r w:rsidRPr="00903E92">
        <w:rPr>
          <w:rFonts w:ascii="Arial" w:eastAsia="Calibri" w:hAnsi="Arial" w:cs="Arial"/>
          <w:sz w:val="22"/>
          <w:szCs w:val="22"/>
          <w:lang w:val="es-ES"/>
        </w:rPr>
        <w:t>diferentes</w:t>
      </w:r>
      <w:r>
        <w:rPr>
          <w:rFonts w:ascii="Arial" w:eastAsia="Calibri" w:hAnsi="Arial" w:cs="Arial"/>
          <w:sz w:val="22"/>
          <w:szCs w:val="22"/>
          <w:lang w:val="es-ES"/>
        </w:rPr>
        <w:t xml:space="preserve"> </w:t>
      </w:r>
      <w:r w:rsidRPr="00903E92">
        <w:rPr>
          <w:rFonts w:ascii="Arial" w:eastAsia="Calibri" w:hAnsi="Arial" w:cs="Arial"/>
          <w:sz w:val="22"/>
          <w:szCs w:val="22"/>
          <w:lang w:val="es-ES"/>
        </w:rPr>
        <w:t>entidades</w:t>
      </w:r>
      <w:r>
        <w:rPr>
          <w:rFonts w:ascii="Arial" w:eastAsia="Calibri" w:hAnsi="Arial" w:cs="Arial"/>
          <w:sz w:val="22"/>
          <w:szCs w:val="22"/>
          <w:lang w:val="es-ES"/>
        </w:rPr>
        <w:t xml:space="preserve"> </w:t>
      </w:r>
      <w:r w:rsidRPr="00903E92">
        <w:rPr>
          <w:rFonts w:ascii="Arial" w:eastAsia="Calibri" w:hAnsi="Arial" w:cs="Arial"/>
          <w:sz w:val="22"/>
          <w:szCs w:val="22"/>
          <w:lang w:val="es-ES"/>
        </w:rPr>
        <w:t>en</w:t>
      </w:r>
      <w:r>
        <w:rPr>
          <w:rFonts w:ascii="Arial" w:eastAsia="Calibri" w:hAnsi="Arial" w:cs="Arial"/>
          <w:sz w:val="22"/>
          <w:szCs w:val="22"/>
          <w:lang w:val="es-ES"/>
        </w:rPr>
        <w:t xml:space="preserve"> </w:t>
      </w:r>
      <w:r w:rsidRPr="00903E92">
        <w:rPr>
          <w:rFonts w:ascii="Arial" w:eastAsia="Calibri" w:hAnsi="Arial" w:cs="Arial"/>
          <w:sz w:val="22"/>
          <w:szCs w:val="22"/>
          <w:lang w:val="es-ES"/>
        </w:rPr>
        <w:t>licitaciones</w:t>
      </w:r>
      <w:r>
        <w:rPr>
          <w:rFonts w:ascii="Arial" w:eastAsia="Calibri" w:hAnsi="Arial" w:cs="Arial"/>
          <w:sz w:val="22"/>
          <w:szCs w:val="22"/>
          <w:lang w:val="es-ES"/>
        </w:rPr>
        <w:t xml:space="preserve"> </w:t>
      </w:r>
      <w:proofErr w:type="spellStart"/>
      <w:r w:rsidRPr="00903E92">
        <w:rPr>
          <w:rFonts w:ascii="Arial" w:eastAsia="Calibri" w:hAnsi="Arial" w:cs="Arial"/>
          <w:sz w:val="22"/>
          <w:szCs w:val="22"/>
          <w:lang w:val="es-ES"/>
        </w:rPr>
        <w:t>publicas</w:t>
      </w:r>
      <w:proofErr w:type="spellEnd"/>
      <w:r>
        <w:rPr>
          <w:rFonts w:ascii="Arial" w:eastAsia="Calibri" w:hAnsi="Arial" w:cs="Arial"/>
          <w:sz w:val="22"/>
          <w:szCs w:val="22"/>
          <w:lang w:val="es-ES"/>
        </w:rPr>
        <w:t xml:space="preserve"> [sic] </w:t>
      </w:r>
      <w:r w:rsidRPr="00903E92">
        <w:rPr>
          <w:rFonts w:ascii="Arial" w:eastAsia="Calibri" w:hAnsi="Arial" w:cs="Arial"/>
          <w:sz w:val="22"/>
          <w:szCs w:val="22"/>
          <w:lang w:val="es-ES"/>
        </w:rPr>
        <w:t>para</w:t>
      </w:r>
      <w:r>
        <w:rPr>
          <w:rFonts w:ascii="Arial" w:eastAsia="Calibri" w:hAnsi="Arial" w:cs="Arial"/>
          <w:sz w:val="22"/>
          <w:szCs w:val="22"/>
          <w:lang w:val="es-ES"/>
        </w:rPr>
        <w:t xml:space="preserve"> </w:t>
      </w:r>
      <w:r w:rsidRPr="00903E92">
        <w:rPr>
          <w:rFonts w:ascii="Arial" w:eastAsia="Calibri" w:hAnsi="Arial" w:cs="Arial"/>
          <w:sz w:val="22"/>
          <w:szCs w:val="22"/>
          <w:lang w:val="es-ES"/>
        </w:rPr>
        <w:t>el</w:t>
      </w:r>
      <w:r>
        <w:rPr>
          <w:rFonts w:ascii="Arial" w:eastAsia="Calibri" w:hAnsi="Arial" w:cs="Arial"/>
          <w:sz w:val="22"/>
          <w:szCs w:val="22"/>
          <w:lang w:val="es-ES"/>
        </w:rPr>
        <w:t xml:space="preserve"> </w:t>
      </w:r>
      <w:r w:rsidRPr="00903E92">
        <w:rPr>
          <w:rFonts w:ascii="Arial" w:eastAsia="Calibri" w:hAnsi="Arial" w:cs="Arial"/>
          <w:sz w:val="22"/>
          <w:szCs w:val="22"/>
          <w:lang w:val="es-ES"/>
        </w:rPr>
        <w:t>cumplimiento</w:t>
      </w:r>
      <w:r>
        <w:rPr>
          <w:rFonts w:ascii="Arial" w:eastAsia="Calibri" w:hAnsi="Arial" w:cs="Arial"/>
          <w:sz w:val="22"/>
          <w:szCs w:val="22"/>
          <w:lang w:val="es-ES"/>
        </w:rPr>
        <w:t xml:space="preserve"> </w:t>
      </w:r>
      <w:r w:rsidRPr="00903E92">
        <w:rPr>
          <w:rFonts w:ascii="Arial" w:eastAsia="Calibri" w:hAnsi="Arial" w:cs="Arial"/>
          <w:sz w:val="22"/>
          <w:szCs w:val="22"/>
          <w:lang w:val="es-ES"/>
        </w:rPr>
        <w:t>de</w:t>
      </w:r>
      <w:r>
        <w:rPr>
          <w:rFonts w:ascii="Arial" w:eastAsia="Calibri" w:hAnsi="Arial" w:cs="Arial"/>
          <w:sz w:val="22"/>
          <w:szCs w:val="22"/>
          <w:lang w:val="es-ES"/>
        </w:rPr>
        <w:t xml:space="preserve"> </w:t>
      </w:r>
      <w:r w:rsidRPr="00903E92">
        <w:rPr>
          <w:rFonts w:ascii="Arial" w:eastAsia="Calibri" w:hAnsi="Arial" w:cs="Arial"/>
          <w:sz w:val="22"/>
          <w:szCs w:val="22"/>
          <w:lang w:val="es-ES"/>
        </w:rPr>
        <w:t>requisitos</w:t>
      </w:r>
      <w:r>
        <w:rPr>
          <w:rFonts w:ascii="Arial" w:eastAsia="Calibri" w:hAnsi="Arial" w:cs="Arial"/>
          <w:sz w:val="22"/>
          <w:szCs w:val="22"/>
          <w:lang w:val="es-ES"/>
        </w:rPr>
        <w:t xml:space="preserve"> </w:t>
      </w:r>
      <w:r w:rsidRPr="00903E92">
        <w:rPr>
          <w:rFonts w:ascii="Arial" w:eastAsia="Calibri" w:hAnsi="Arial" w:cs="Arial"/>
          <w:sz w:val="22"/>
          <w:szCs w:val="22"/>
          <w:lang w:val="es-ES"/>
        </w:rPr>
        <w:t>habilitantes</w:t>
      </w:r>
      <w:r>
        <w:rPr>
          <w:rFonts w:ascii="Arial" w:eastAsia="Calibri" w:hAnsi="Arial" w:cs="Arial"/>
          <w:sz w:val="22"/>
          <w:szCs w:val="22"/>
          <w:lang w:val="es-ES"/>
        </w:rPr>
        <w:t xml:space="preserve"> </w:t>
      </w:r>
      <w:r w:rsidRPr="00903E92">
        <w:rPr>
          <w:rFonts w:ascii="Arial" w:eastAsia="Calibri" w:hAnsi="Arial" w:cs="Arial"/>
          <w:sz w:val="22"/>
          <w:szCs w:val="22"/>
          <w:lang w:val="es-ES"/>
        </w:rPr>
        <w:t>para</w:t>
      </w:r>
      <w:r>
        <w:rPr>
          <w:rFonts w:ascii="Arial" w:eastAsia="Calibri" w:hAnsi="Arial" w:cs="Arial"/>
          <w:sz w:val="22"/>
          <w:szCs w:val="22"/>
          <w:lang w:val="es-ES"/>
        </w:rPr>
        <w:t xml:space="preserve"> </w:t>
      </w:r>
      <w:r w:rsidRPr="00903E92">
        <w:rPr>
          <w:rFonts w:ascii="Arial" w:eastAsia="Calibri" w:hAnsi="Arial" w:cs="Arial"/>
          <w:sz w:val="22"/>
          <w:szCs w:val="22"/>
          <w:lang w:val="es-ES"/>
        </w:rPr>
        <w:t>la</w:t>
      </w:r>
      <w:r>
        <w:rPr>
          <w:rFonts w:ascii="Arial" w:eastAsia="Calibri" w:hAnsi="Arial" w:cs="Arial"/>
          <w:sz w:val="22"/>
          <w:szCs w:val="22"/>
          <w:lang w:val="es-ES"/>
        </w:rPr>
        <w:t xml:space="preserve"> </w:t>
      </w:r>
      <w:r w:rsidRPr="00903E92">
        <w:rPr>
          <w:rFonts w:ascii="Arial" w:eastAsia="Calibri" w:hAnsi="Arial" w:cs="Arial"/>
          <w:sz w:val="22"/>
          <w:szCs w:val="22"/>
          <w:lang w:val="es-ES"/>
        </w:rPr>
        <w:t>experiencia</w:t>
      </w:r>
      <w:r>
        <w:rPr>
          <w:rFonts w:ascii="Arial" w:eastAsia="Calibri" w:hAnsi="Arial" w:cs="Arial"/>
          <w:sz w:val="22"/>
          <w:szCs w:val="22"/>
          <w:lang w:val="es-ES"/>
        </w:rPr>
        <w:t xml:space="preserve"> </w:t>
      </w:r>
      <w:r w:rsidRPr="00903E92">
        <w:rPr>
          <w:rFonts w:ascii="Arial" w:eastAsia="Calibri" w:hAnsi="Arial" w:cs="Arial"/>
          <w:sz w:val="22"/>
          <w:szCs w:val="22"/>
          <w:lang w:val="es-ES"/>
        </w:rPr>
        <w:t>especifica</w:t>
      </w:r>
      <w:r>
        <w:rPr>
          <w:rFonts w:ascii="Arial" w:eastAsia="Calibri" w:hAnsi="Arial" w:cs="Arial"/>
          <w:sz w:val="22"/>
          <w:szCs w:val="22"/>
          <w:lang w:val="es-ES"/>
        </w:rPr>
        <w:t xml:space="preserve"> [sic]»</w:t>
      </w:r>
      <w:r w:rsidRPr="00903E92">
        <w:rPr>
          <w:rFonts w:ascii="Arial" w:eastAsia="Calibri" w:hAnsi="Arial" w:cs="Arial"/>
          <w:sz w:val="22"/>
          <w:szCs w:val="22"/>
          <w:lang w:val="es-ES"/>
        </w:rPr>
        <w:t>.</w:t>
      </w:r>
    </w:p>
    <w:p w14:paraId="7174C1F4" w14:textId="32762679" w:rsidR="005871D6" w:rsidRPr="006778CE" w:rsidRDefault="005871D6" w:rsidP="005871D6">
      <w:pPr>
        <w:pStyle w:val="NormalWeb"/>
        <w:spacing w:before="0" w:beforeAutospacing="0" w:after="0" w:afterAutospacing="0"/>
        <w:ind w:left="709" w:right="709"/>
        <w:jc w:val="both"/>
        <w:rPr>
          <w:rFonts w:ascii="Arial" w:hAnsi="Arial" w:cs="Arial"/>
          <w:sz w:val="21"/>
          <w:szCs w:val="21"/>
          <w:lang w:val="es-ES"/>
        </w:rPr>
      </w:pPr>
    </w:p>
    <w:p w14:paraId="13FCEBB4" w14:textId="043F4533" w:rsidR="007A4047" w:rsidRPr="00946E02" w:rsidRDefault="0064603D" w:rsidP="006778CE">
      <w:pPr>
        <w:spacing w:after="120" w:line="276" w:lineRule="auto"/>
        <w:jc w:val="both"/>
        <w:rPr>
          <w:rStyle w:val="nfasis"/>
          <w:rFonts w:ascii="Arial" w:hAnsi="Arial" w:cs="Arial"/>
          <w:sz w:val="22"/>
          <w:szCs w:val="22"/>
        </w:rPr>
      </w:pPr>
      <w:r w:rsidRPr="00946E02">
        <w:rPr>
          <w:rFonts w:ascii="Arial" w:hAnsi="Arial" w:cs="Arial"/>
          <w:sz w:val="22"/>
          <w:szCs w:val="22"/>
          <w:lang w:val="es-ES"/>
        </w:rPr>
        <w:t>De acuerdo con las consideraciones</w:t>
      </w:r>
      <w:r w:rsidR="00F93C05" w:rsidRPr="00946E02">
        <w:rPr>
          <w:rFonts w:ascii="Arial" w:hAnsi="Arial" w:cs="Arial"/>
          <w:sz w:val="22"/>
          <w:szCs w:val="22"/>
          <w:lang w:val="es-ES"/>
        </w:rPr>
        <w:t>, es posible concluir que</w:t>
      </w:r>
      <w:r w:rsidR="007A4047" w:rsidRPr="00946E02">
        <w:rPr>
          <w:rFonts w:ascii="Arial" w:hAnsi="Arial" w:cs="Arial"/>
          <w:sz w:val="22"/>
          <w:szCs w:val="22"/>
          <w:lang w:val="es-ES"/>
        </w:rPr>
        <w:t xml:space="preserve"> la experiencia frente a las obras de </w:t>
      </w:r>
      <w:r w:rsidR="007A4047" w:rsidRPr="00946E02">
        <w:rPr>
          <w:rFonts w:ascii="Arial" w:hAnsi="Arial" w:cs="Arial"/>
          <w:i/>
          <w:iCs/>
          <w:sz w:val="22"/>
          <w:szCs w:val="22"/>
          <w:lang w:val="es-ES"/>
        </w:rPr>
        <w:t>mejoramiento</w:t>
      </w:r>
      <w:r w:rsidR="007A4047" w:rsidRPr="00946E02">
        <w:rPr>
          <w:rFonts w:ascii="Arial" w:hAnsi="Arial" w:cs="Arial"/>
          <w:sz w:val="22"/>
          <w:szCs w:val="22"/>
          <w:lang w:val="es-ES"/>
        </w:rPr>
        <w:t xml:space="preserve"> debe comprenderse</w:t>
      </w:r>
      <w:r w:rsidR="00872CC7" w:rsidRPr="00946E02">
        <w:rPr>
          <w:rFonts w:ascii="Arial" w:hAnsi="Arial" w:cs="Arial"/>
          <w:sz w:val="22"/>
          <w:szCs w:val="22"/>
          <w:lang w:val="es-ES"/>
        </w:rPr>
        <w:t xml:space="preserve"> y evaluarse</w:t>
      </w:r>
      <w:r w:rsidR="007A4047" w:rsidRPr="00946E02">
        <w:rPr>
          <w:rFonts w:ascii="Arial" w:hAnsi="Arial" w:cs="Arial"/>
          <w:sz w:val="22"/>
          <w:szCs w:val="22"/>
          <w:lang w:val="es-ES"/>
        </w:rPr>
        <w:t xml:space="preserve"> de manera </w:t>
      </w:r>
      <w:r w:rsidR="00872CC7" w:rsidRPr="00946E02">
        <w:rPr>
          <w:rFonts w:ascii="Arial" w:hAnsi="Arial" w:cs="Arial"/>
          <w:sz w:val="22"/>
          <w:szCs w:val="22"/>
          <w:lang w:val="es-ES"/>
        </w:rPr>
        <w:t>sistemática</w:t>
      </w:r>
      <w:r w:rsidR="007A4047" w:rsidRPr="00946E02">
        <w:rPr>
          <w:rFonts w:ascii="Arial" w:hAnsi="Arial" w:cs="Arial"/>
          <w:sz w:val="22"/>
          <w:szCs w:val="22"/>
          <w:lang w:val="es-ES"/>
        </w:rPr>
        <w:t>, no solo con</w:t>
      </w:r>
      <w:r w:rsidR="00872CC7" w:rsidRPr="00946E02">
        <w:rPr>
          <w:rFonts w:ascii="Arial" w:hAnsi="Arial" w:cs="Arial"/>
          <w:sz w:val="22"/>
          <w:szCs w:val="22"/>
          <w:lang w:val="es-ES"/>
        </w:rPr>
        <w:t xml:space="preserve"> base en</w:t>
      </w:r>
      <w:r w:rsidR="007A4047" w:rsidRPr="00946E02">
        <w:rPr>
          <w:rFonts w:ascii="Arial" w:hAnsi="Arial" w:cs="Arial"/>
          <w:sz w:val="22"/>
          <w:szCs w:val="22"/>
          <w:lang w:val="es-ES"/>
        </w:rPr>
        <w:t xml:space="preserve"> los documentos tipo de infraestructura</w:t>
      </w:r>
      <w:r w:rsidR="00CE6043" w:rsidRPr="00946E02">
        <w:rPr>
          <w:rFonts w:ascii="Arial" w:hAnsi="Arial" w:cs="Arial"/>
          <w:sz w:val="22"/>
          <w:szCs w:val="22"/>
          <w:lang w:val="es-ES"/>
        </w:rPr>
        <w:t xml:space="preserve"> de transporte</w:t>
      </w:r>
      <w:r w:rsidR="006B5404">
        <w:rPr>
          <w:rFonts w:ascii="Arial" w:hAnsi="Arial" w:cs="Arial"/>
          <w:sz w:val="22"/>
          <w:szCs w:val="22"/>
          <w:lang w:val="es-ES"/>
        </w:rPr>
        <w:t xml:space="preserve"> –incluyendo el Anexo 3</w:t>
      </w:r>
      <w:r w:rsidR="00E831BC">
        <w:rPr>
          <w:rFonts w:ascii="Arial" w:hAnsi="Arial" w:cs="Arial"/>
          <w:sz w:val="22"/>
          <w:szCs w:val="22"/>
          <w:lang w:val="es-ES"/>
        </w:rPr>
        <w:t xml:space="preserve"> – Glosario–</w:t>
      </w:r>
      <w:r w:rsidR="00872CC7" w:rsidRPr="00946E02">
        <w:rPr>
          <w:rFonts w:ascii="Arial" w:hAnsi="Arial" w:cs="Arial"/>
          <w:sz w:val="22"/>
          <w:szCs w:val="22"/>
          <w:lang w:val="es-ES"/>
        </w:rPr>
        <w:t>,</w:t>
      </w:r>
      <w:r w:rsidR="007A4047" w:rsidRPr="00946E02">
        <w:rPr>
          <w:rFonts w:ascii="Arial" w:hAnsi="Arial" w:cs="Arial"/>
          <w:sz w:val="22"/>
          <w:szCs w:val="22"/>
          <w:lang w:val="es-ES"/>
        </w:rPr>
        <w:t xml:space="preserve"> sino de acuerdo con</w:t>
      </w:r>
      <w:r w:rsidR="00E75C98" w:rsidRPr="00946E02">
        <w:rPr>
          <w:rFonts w:ascii="Arial" w:hAnsi="Arial" w:cs="Arial"/>
          <w:sz w:val="22"/>
          <w:szCs w:val="22"/>
          <w:lang w:val="es-ES"/>
        </w:rPr>
        <w:t xml:space="preserve"> la </w:t>
      </w:r>
      <w:r w:rsidR="00CE6043" w:rsidRPr="00946E02">
        <w:rPr>
          <w:rFonts w:ascii="Arial" w:hAnsi="Arial" w:cs="Arial"/>
          <w:sz w:val="22"/>
          <w:szCs w:val="22"/>
          <w:lang w:val="es-ES"/>
        </w:rPr>
        <w:t>Ley</w:t>
      </w:r>
      <w:r w:rsidR="00FE4C18" w:rsidRPr="00946E02">
        <w:rPr>
          <w:rFonts w:ascii="Arial" w:hAnsi="Arial" w:cs="Arial"/>
          <w:sz w:val="22"/>
          <w:szCs w:val="22"/>
          <w:lang w:val="es-ES"/>
        </w:rPr>
        <w:t xml:space="preserve"> 1682 de 2013</w:t>
      </w:r>
      <w:r w:rsidR="007A4047" w:rsidRPr="00946E02">
        <w:rPr>
          <w:rFonts w:ascii="Arial" w:hAnsi="Arial" w:cs="Arial"/>
          <w:sz w:val="22"/>
          <w:szCs w:val="22"/>
          <w:lang w:val="es-ES"/>
        </w:rPr>
        <w:t xml:space="preserve"> y</w:t>
      </w:r>
      <w:r w:rsidR="00872CC7" w:rsidRPr="00946E02">
        <w:rPr>
          <w:rFonts w:ascii="Arial" w:hAnsi="Arial" w:cs="Arial"/>
          <w:sz w:val="22"/>
          <w:szCs w:val="22"/>
          <w:lang w:val="es-ES"/>
        </w:rPr>
        <w:t>,</w:t>
      </w:r>
      <w:r w:rsidR="007A4047" w:rsidRPr="00946E02">
        <w:rPr>
          <w:rFonts w:ascii="Arial" w:hAnsi="Arial" w:cs="Arial"/>
          <w:sz w:val="22"/>
          <w:szCs w:val="22"/>
          <w:lang w:val="es-ES"/>
        </w:rPr>
        <w:t xml:space="preserve"> </w:t>
      </w:r>
      <w:r w:rsidR="005E1995">
        <w:rPr>
          <w:rFonts w:ascii="Arial" w:hAnsi="Arial" w:cs="Arial"/>
          <w:sz w:val="22"/>
          <w:szCs w:val="22"/>
          <w:lang w:val="es-ES"/>
        </w:rPr>
        <w:t>en consecuencia</w:t>
      </w:r>
      <w:r w:rsidR="00872CC7" w:rsidRPr="00946E02">
        <w:rPr>
          <w:rFonts w:ascii="Arial" w:hAnsi="Arial" w:cs="Arial"/>
          <w:sz w:val="22"/>
          <w:szCs w:val="22"/>
          <w:lang w:val="es-ES"/>
        </w:rPr>
        <w:t>,</w:t>
      </w:r>
      <w:r w:rsidR="007A4047" w:rsidRPr="00946E02">
        <w:rPr>
          <w:rFonts w:ascii="Arial" w:hAnsi="Arial" w:cs="Arial"/>
          <w:sz w:val="22"/>
          <w:szCs w:val="22"/>
          <w:lang w:val="es-ES"/>
        </w:rPr>
        <w:t xml:space="preserve"> con</w:t>
      </w:r>
      <w:r w:rsidR="00FE4C18" w:rsidRPr="00946E02">
        <w:rPr>
          <w:rFonts w:ascii="Arial" w:hAnsi="Arial" w:cs="Arial"/>
          <w:sz w:val="22"/>
          <w:szCs w:val="22"/>
          <w:lang w:val="es-ES"/>
        </w:rPr>
        <w:t xml:space="preserve"> base</w:t>
      </w:r>
      <w:r w:rsidR="007A4047" w:rsidRPr="00946E02">
        <w:rPr>
          <w:rFonts w:ascii="Arial" w:hAnsi="Arial" w:cs="Arial"/>
          <w:sz w:val="22"/>
          <w:szCs w:val="22"/>
          <w:lang w:val="es-ES"/>
        </w:rPr>
        <w:t xml:space="preserve"> </w:t>
      </w:r>
      <w:r w:rsidR="00FE4C18" w:rsidRPr="00946E02">
        <w:rPr>
          <w:rFonts w:ascii="Arial" w:hAnsi="Arial" w:cs="Arial"/>
          <w:sz w:val="22"/>
          <w:szCs w:val="22"/>
          <w:lang w:val="es-ES"/>
        </w:rPr>
        <w:t>en e</w:t>
      </w:r>
      <w:r w:rsidR="007A4047" w:rsidRPr="00946E02">
        <w:rPr>
          <w:rFonts w:ascii="Arial" w:hAnsi="Arial" w:cs="Arial"/>
          <w:sz w:val="22"/>
          <w:szCs w:val="22"/>
          <w:lang w:val="es-ES"/>
        </w:rPr>
        <w:t>l decreto que se encarg</w:t>
      </w:r>
      <w:r w:rsidRPr="00946E02">
        <w:rPr>
          <w:rFonts w:ascii="Arial" w:hAnsi="Arial" w:cs="Arial"/>
          <w:sz w:val="22"/>
          <w:szCs w:val="22"/>
          <w:lang w:val="es-ES"/>
        </w:rPr>
        <w:t>ó</w:t>
      </w:r>
      <w:r w:rsidR="007A4047" w:rsidRPr="00946E02">
        <w:rPr>
          <w:rFonts w:ascii="Arial" w:hAnsi="Arial" w:cs="Arial"/>
          <w:sz w:val="22"/>
          <w:szCs w:val="22"/>
          <w:lang w:val="es-ES"/>
        </w:rPr>
        <w:t xml:space="preserve"> de desarrollar dicha Ley, es decir</w:t>
      </w:r>
      <w:r w:rsidR="00872CC7" w:rsidRPr="00946E02">
        <w:rPr>
          <w:rFonts w:ascii="Arial" w:hAnsi="Arial" w:cs="Arial"/>
          <w:sz w:val="22"/>
          <w:szCs w:val="22"/>
          <w:lang w:val="es-ES"/>
        </w:rPr>
        <w:t>,</w:t>
      </w:r>
      <w:r w:rsidR="007A4047" w:rsidRPr="00946E02">
        <w:rPr>
          <w:rFonts w:ascii="Arial" w:hAnsi="Arial" w:cs="Arial"/>
          <w:sz w:val="22"/>
          <w:szCs w:val="22"/>
          <w:lang w:val="es-ES"/>
        </w:rPr>
        <w:t xml:space="preserve"> el </w:t>
      </w:r>
      <w:r w:rsidR="007A4047" w:rsidRPr="00946E02">
        <w:rPr>
          <w:rFonts w:ascii="Arial" w:hAnsi="Arial" w:cs="Arial" w:hint="cs"/>
          <w:sz w:val="22"/>
          <w:szCs w:val="22"/>
        </w:rPr>
        <w:t xml:space="preserve">Decreto 769 de 2014, </w:t>
      </w:r>
      <w:r w:rsidRPr="00946E02">
        <w:rPr>
          <w:rFonts w:ascii="Arial" w:hAnsi="Arial" w:cs="Arial"/>
          <w:sz w:val="22"/>
          <w:szCs w:val="22"/>
        </w:rPr>
        <w:t>actualmente compilado</w:t>
      </w:r>
      <w:r w:rsidR="007A4047" w:rsidRPr="00946E02">
        <w:rPr>
          <w:rFonts w:ascii="Arial" w:hAnsi="Arial" w:cs="Arial" w:hint="cs"/>
          <w:sz w:val="22"/>
          <w:szCs w:val="22"/>
        </w:rPr>
        <w:t xml:space="preserve"> en el Decreto 1076 de 2015</w:t>
      </w:r>
      <w:r w:rsidR="00872CC7" w:rsidRPr="00946E02">
        <w:rPr>
          <w:rFonts w:ascii="Arial" w:hAnsi="Arial" w:cs="Arial"/>
          <w:sz w:val="22"/>
          <w:szCs w:val="22"/>
        </w:rPr>
        <w:t xml:space="preserve">. En concreto, deben tenerse en cuenta </w:t>
      </w:r>
      <w:r w:rsidR="007A4047" w:rsidRPr="00946E02">
        <w:rPr>
          <w:rFonts w:ascii="Arial" w:hAnsi="Arial" w:cs="Arial"/>
          <w:sz w:val="22"/>
          <w:szCs w:val="22"/>
        </w:rPr>
        <w:t>los</w:t>
      </w:r>
      <w:r w:rsidR="007A4047" w:rsidRPr="00946E02">
        <w:rPr>
          <w:rFonts w:ascii="Arial" w:hAnsi="Arial" w:cs="Arial" w:hint="cs"/>
          <w:sz w:val="22"/>
          <w:szCs w:val="22"/>
        </w:rPr>
        <w:t xml:space="preserve"> artículos </w:t>
      </w:r>
      <w:r w:rsidR="007A4047" w:rsidRPr="00946E02">
        <w:rPr>
          <w:rStyle w:val="Textoennegrita"/>
          <w:rFonts w:ascii="Arial" w:hAnsi="Arial" w:cs="Arial" w:hint="cs"/>
          <w:b w:val="0"/>
          <w:bCs w:val="0"/>
          <w:sz w:val="22"/>
          <w:szCs w:val="22"/>
        </w:rPr>
        <w:t>2.2.2.5.1.1</w:t>
      </w:r>
      <w:r w:rsidR="00872CC7" w:rsidRPr="00946E02">
        <w:rPr>
          <w:rStyle w:val="Textoennegrita"/>
          <w:rFonts w:ascii="Arial" w:hAnsi="Arial" w:cs="Arial"/>
          <w:b w:val="0"/>
          <w:bCs w:val="0"/>
          <w:sz w:val="22"/>
          <w:szCs w:val="22"/>
        </w:rPr>
        <w:t xml:space="preserve"> </w:t>
      </w:r>
      <w:r w:rsidR="007A4047" w:rsidRPr="00946E02">
        <w:rPr>
          <w:rStyle w:val="Textoennegrita"/>
          <w:rFonts w:ascii="Arial" w:hAnsi="Arial" w:cs="Arial" w:hint="cs"/>
          <w:b w:val="0"/>
          <w:bCs w:val="0"/>
          <w:i/>
          <w:iCs/>
          <w:sz w:val="22"/>
          <w:szCs w:val="22"/>
        </w:rPr>
        <w:t>–</w:t>
      </w:r>
      <w:r w:rsidR="007A4047" w:rsidRPr="00946E02">
        <w:rPr>
          <w:rStyle w:val="nfasis"/>
          <w:rFonts w:ascii="Arial" w:hAnsi="Arial" w:cs="Arial" w:hint="cs"/>
          <w:i w:val="0"/>
          <w:iCs w:val="0"/>
          <w:sz w:val="22"/>
          <w:szCs w:val="22"/>
        </w:rPr>
        <w:t xml:space="preserve">Modo Terrestre-Carretero–, </w:t>
      </w:r>
      <w:r w:rsidR="007A4047" w:rsidRPr="005E1995">
        <w:rPr>
          <w:rStyle w:val="Textoennegrita"/>
          <w:rFonts w:ascii="Arial" w:hAnsi="Arial" w:cs="Arial" w:hint="cs"/>
          <w:b w:val="0"/>
          <w:bCs w:val="0"/>
          <w:sz w:val="22"/>
          <w:szCs w:val="22"/>
        </w:rPr>
        <w:t>2.2.2.5.2.1 –</w:t>
      </w:r>
      <w:r w:rsidR="007A4047" w:rsidRPr="00946E02">
        <w:rPr>
          <w:rStyle w:val="nfasis"/>
          <w:rFonts w:ascii="Arial" w:hAnsi="Arial" w:cs="Arial" w:hint="cs"/>
          <w:i w:val="0"/>
          <w:iCs w:val="0"/>
          <w:sz w:val="22"/>
          <w:szCs w:val="22"/>
        </w:rPr>
        <w:t>Modo Terrestre-Férreo–, 2.2.2.5.3.1 –Modo Acuático-Fluvial y Modo Acuático de Infraestructura Portuaria–, 2.2.2.5.3.2 –Modo acuático-infraestructura portuaria– y 2.2.2.5.4.1 –Modo Aéreo–.</w:t>
      </w:r>
      <w:r w:rsidR="007A4047" w:rsidRPr="00946E02">
        <w:rPr>
          <w:rStyle w:val="nfasis"/>
          <w:rFonts w:ascii="Arial" w:hAnsi="Arial" w:cs="Arial"/>
          <w:sz w:val="22"/>
          <w:szCs w:val="22"/>
        </w:rPr>
        <w:tab/>
      </w:r>
    </w:p>
    <w:p w14:paraId="6613CB39" w14:textId="59A664CA" w:rsidR="007A4047" w:rsidRPr="00946E02" w:rsidRDefault="007A4047" w:rsidP="007A4047">
      <w:pPr>
        <w:spacing w:after="120" w:line="276" w:lineRule="auto"/>
        <w:ind w:firstLine="709"/>
        <w:jc w:val="both"/>
        <w:rPr>
          <w:rFonts w:ascii="Arial" w:hAnsi="Arial" w:cs="Arial"/>
          <w:sz w:val="22"/>
        </w:rPr>
      </w:pPr>
      <w:r w:rsidRPr="00946E02">
        <w:rPr>
          <w:rStyle w:val="nfasis"/>
          <w:rFonts w:ascii="Arial" w:hAnsi="Arial" w:cs="Arial"/>
          <w:i w:val="0"/>
          <w:iCs w:val="0"/>
          <w:sz w:val="22"/>
          <w:szCs w:val="22"/>
        </w:rPr>
        <w:t>Lo anterior, toda vez que</w:t>
      </w:r>
      <w:r w:rsidR="00416333" w:rsidRPr="00946E02">
        <w:rPr>
          <w:rStyle w:val="nfasis"/>
          <w:rFonts w:ascii="Arial" w:hAnsi="Arial" w:cs="Arial"/>
          <w:i w:val="0"/>
          <w:iCs w:val="0"/>
          <w:sz w:val="22"/>
          <w:szCs w:val="22"/>
        </w:rPr>
        <w:t xml:space="preserve"> </w:t>
      </w:r>
      <w:r w:rsidRPr="00946E02">
        <w:rPr>
          <w:rFonts w:ascii="Arial" w:hAnsi="Arial" w:cs="Arial"/>
          <w:sz w:val="22"/>
        </w:rPr>
        <w:t>las nociones de las actividades que suponen intervenciones de la infraestructura de transporte, como es el caso de</w:t>
      </w:r>
      <w:r w:rsidR="00FE4C18" w:rsidRPr="00946E02">
        <w:rPr>
          <w:rFonts w:ascii="Arial" w:hAnsi="Arial" w:cs="Arial"/>
          <w:sz w:val="22"/>
        </w:rPr>
        <w:t xml:space="preserve"> las actividades de </w:t>
      </w:r>
      <w:r w:rsidRPr="00946E02">
        <w:rPr>
          <w:rFonts w:ascii="Arial" w:hAnsi="Arial" w:cs="Arial"/>
          <w:i/>
          <w:iCs/>
          <w:sz w:val="22"/>
        </w:rPr>
        <w:t>mejoramiento</w:t>
      </w:r>
      <w:r w:rsidRPr="00946E02">
        <w:rPr>
          <w:rFonts w:ascii="Arial" w:hAnsi="Arial" w:cs="Arial"/>
          <w:sz w:val="22"/>
        </w:rPr>
        <w:t>, en el marco de los documentos tipo de dicho sector, se determinar</w:t>
      </w:r>
      <w:r w:rsidR="00FE4C18" w:rsidRPr="00946E02">
        <w:rPr>
          <w:rFonts w:ascii="Arial" w:hAnsi="Arial" w:cs="Arial"/>
          <w:sz w:val="22"/>
        </w:rPr>
        <w:t>á</w:t>
      </w:r>
      <w:r w:rsidRPr="00946E02">
        <w:rPr>
          <w:rFonts w:ascii="Arial" w:hAnsi="Arial" w:cs="Arial"/>
          <w:sz w:val="22"/>
        </w:rPr>
        <w:t xml:space="preserve">n, en </w:t>
      </w:r>
      <w:r w:rsidR="00FE4C18" w:rsidRPr="00946E02">
        <w:rPr>
          <w:rFonts w:ascii="Arial" w:hAnsi="Arial" w:cs="Arial"/>
          <w:sz w:val="22"/>
        </w:rPr>
        <w:t>conjunto,</w:t>
      </w:r>
      <w:r w:rsidRPr="00946E02">
        <w:rPr>
          <w:rFonts w:ascii="Arial" w:hAnsi="Arial" w:cs="Arial"/>
          <w:sz w:val="22"/>
        </w:rPr>
        <w:t xml:space="preserve"> por lo dispuesto en la Ley 1682 de 2013</w:t>
      </w:r>
      <w:r w:rsidR="00FE4C18" w:rsidRPr="00946E02">
        <w:rPr>
          <w:rFonts w:ascii="Arial" w:hAnsi="Arial" w:cs="Arial"/>
          <w:sz w:val="22"/>
        </w:rPr>
        <w:t xml:space="preserve">, </w:t>
      </w:r>
      <w:r w:rsidR="0064603D" w:rsidRPr="00946E02">
        <w:rPr>
          <w:rFonts w:ascii="Arial" w:hAnsi="Arial" w:cs="Arial"/>
          <w:sz w:val="22"/>
        </w:rPr>
        <w:t xml:space="preserve">el </w:t>
      </w:r>
      <w:r w:rsidR="00FE4C18" w:rsidRPr="00946E02">
        <w:rPr>
          <w:rFonts w:ascii="Arial" w:hAnsi="Arial" w:cs="Arial"/>
          <w:sz w:val="22"/>
        </w:rPr>
        <w:t xml:space="preserve">Decreto 1076 de 2015 </w:t>
      </w:r>
      <w:r w:rsidR="0064603D" w:rsidRPr="00946E02">
        <w:rPr>
          <w:rFonts w:ascii="Arial" w:hAnsi="Arial" w:cs="Arial"/>
          <w:sz w:val="22"/>
        </w:rPr>
        <w:t>–</w:t>
      </w:r>
      <w:r w:rsidR="00FE4C18" w:rsidRPr="00946E02">
        <w:rPr>
          <w:rFonts w:ascii="Arial" w:hAnsi="Arial" w:cs="Arial"/>
          <w:sz w:val="22"/>
        </w:rPr>
        <w:t>que compila el Decreto 769 de 2014</w:t>
      </w:r>
      <w:r w:rsidR="0064603D" w:rsidRPr="00946E02">
        <w:rPr>
          <w:rFonts w:ascii="Arial" w:hAnsi="Arial" w:cs="Arial"/>
          <w:sz w:val="22"/>
        </w:rPr>
        <w:t>–</w:t>
      </w:r>
      <w:r w:rsidR="00FE4C18" w:rsidRPr="00946E02">
        <w:rPr>
          <w:rFonts w:ascii="Arial" w:hAnsi="Arial" w:cs="Arial"/>
          <w:sz w:val="22"/>
        </w:rPr>
        <w:t xml:space="preserve"> y el Anexo 3 – Glosario de los Documentos tipo</w:t>
      </w:r>
      <w:r w:rsidRPr="00946E02">
        <w:rPr>
          <w:rFonts w:ascii="Arial" w:hAnsi="Arial" w:cs="Arial"/>
          <w:sz w:val="22"/>
        </w:rPr>
        <w:t>.</w:t>
      </w:r>
    </w:p>
    <w:p w14:paraId="200681C3" w14:textId="483FEE98" w:rsidR="00416333" w:rsidRPr="00946E02" w:rsidRDefault="007A4047" w:rsidP="001F1358">
      <w:pPr>
        <w:spacing w:before="120" w:line="276" w:lineRule="auto"/>
        <w:jc w:val="both"/>
        <w:rPr>
          <w:rFonts w:ascii="Arial" w:hAnsi="Arial" w:cs="Arial"/>
          <w:sz w:val="22"/>
          <w:szCs w:val="22"/>
          <w:lang w:val="es-ES"/>
        </w:rPr>
      </w:pPr>
      <w:r w:rsidRPr="00946E02">
        <w:rPr>
          <w:rFonts w:ascii="Arial" w:hAnsi="Arial" w:cs="Arial"/>
          <w:sz w:val="22"/>
          <w:szCs w:val="22"/>
          <w:lang w:val="es-ES"/>
        </w:rPr>
        <w:tab/>
      </w:r>
      <w:r w:rsidR="00416333" w:rsidRPr="00946E02">
        <w:rPr>
          <w:rFonts w:ascii="Arial" w:hAnsi="Arial" w:cs="Arial"/>
          <w:sz w:val="22"/>
          <w:szCs w:val="22"/>
          <w:lang w:val="es-ES"/>
        </w:rPr>
        <w:t>Así las cosas,</w:t>
      </w:r>
      <w:r w:rsidR="00156F2E">
        <w:rPr>
          <w:rFonts w:ascii="Arial" w:hAnsi="Arial" w:cs="Arial"/>
          <w:sz w:val="22"/>
          <w:szCs w:val="22"/>
          <w:lang w:val="es-ES"/>
        </w:rPr>
        <w:t xml:space="preserve"> c</w:t>
      </w:r>
      <w:r w:rsidR="00041577">
        <w:rPr>
          <w:rFonts w:ascii="Arial" w:hAnsi="Arial" w:cs="Arial"/>
          <w:sz w:val="22"/>
          <w:szCs w:val="22"/>
          <w:lang w:val="es-ES"/>
        </w:rPr>
        <w:t xml:space="preserve">orresponde a cada entidad </w:t>
      </w:r>
      <w:r w:rsidR="00156F2E">
        <w:rPr>
          <w:rFonts w:ascii="Arial" w:hAnsi="Arial" w:cs="Arial"/>
          <w:sz w:val="22"/>
          <w:szCs w:val="22"/>
          <w:lang w:val="es-ES"/>
        </w:rPr>
        <w:t>contratante</w:t>
      </w:r>
      <w:r w:rsidR="00C12FF1">
        <w:rPr>
          <w:rFonts w:ascii="Arial" w:hAnsi="Arial" w:cs="Arial"/>
          <w:sz w:val="22"/>
          <w:szCs w:val="22"/>
          <w:lang w:val="es-ES"/>
        </w:rPr>
        <w:t xml:space="preserve"> valorar </w:t>
      </w:r>
      <w:r w:rsidR="00246098">
        <w:rPr>
          <w:rFonts w:ascii="Arial" w:hAnsi="Arial" w:cs="Arial"/>
          <w:sz w:val="22"/>
          <w:szCs w:val="22"/>
          <w:lang w:val="es-ES"/>
        </w:rPr>
        <w:t xml:space="preserve">desde el aspecto técnico si </w:t>
      </w:r>
      <w:r w:rsidR="003260D1">
        <w:rPr>
          <w:rFonts w:ascii="Arial" w:hAnsi="Arial" w:cs="Arial"/>
          <w:sz w:val="22"/>
          <w:szCs w:val="22"/>
          <w:lang w:val="es-ES"/>
        </w:rPr>
        <w:t xml:space="preserve">el objeto del proyecto de infraestructura de transporte, así como </w:t>
      </w:r>
      <w:r w:rsidR="00C12FF1">
        <w:rPr>
          <w:rFonts w:ascii="Arial" w:hAnsi="Arial" w:cs="Arial"/>
          <w:sz w:val="22"/>
          <w:szCs w:val="22"/>
          <w:lang w:val="es-ES"/>
        </w:rPr>
        <w:t xml:space="preserve">la experiencia aportada por los </w:t>
      </w:r>
      <w:r w:rsidR="00156F2E">
        <w:rPr>
          <w:rFonts w:ascii="Arial" w:hAnsi="Arial" w:cs="Arial"/>
          <w:sz w:val="22"/>
          <w:szCs w:val="22"/>
          <w:lang w:val="es-ES"/>
        </w:rPr>
        <w:t>proponentes</w:t>
      </w:r>
      <w:r w:rsidR="00C12FF1">
        <w:rPr>
          <w:rFonts w:ascii="Arial" w:hAnsi="Arial" w:cs="Arial"/>
          <w:sz w:val="22"/>
          <w:szCs w:val="22"/>
          <w:lang w:val="es-ES"/>
        </w:rPr>
        <w:t xml:space="preserve"> a efectos de participar en procesos de selección</w:t>
      </w:r>
      <w:r w:rsidR="00393D96">
        <w:rPr>
          <w:rFonts w:ascii="Arial" w:hAnsi="Arial" w:cs="Arial"/>
          <w:sz w:val="22"/>
          <w:szCs w:val="22"/>
          <w:lang w:val="es-ES"/>
        </w:rPr>
        <w:t xml:space="preserve"> y, en consecuencia,</w:t>
      </w:r>
      <w:r w:rsidR="00041577">
        <w:rPr>
          <w:rFonts w:ascii="Arial" w:hAnsi="Arial" w:cs="Arial"/>
          <w:sz w:val="22"/>
          <w:szCs w:val="22"/>
          <w:lang w:val="es-ES"/>
        </w:rPr>
        <w:t xml:space="preserve"> determinar si </w:t>
      </w:r>
      <w:r w:rsidR="00B83E63">
        <w:rPr>
          <w:rFonts w:ascii="Arial" w:hAnsi="Arial" w:cs="Arial"/>
          <w:sz w:val="22"/>
          <w:szCs w:val="22"/>
          <w:lang w:val="es-ES"/>
        </w:rPr>
        <w:t xml:space="preserve">el proyecto de infraestructura de transporte </w:t>
      </w:r>
      <w:r w:rsidR="00041577">
        <w:rPr>
          <w:rFonts w:ascii="Arial" w:hAnsi="Arial" w:cs="Arial"/>
          <w:sz w:val="22"/>
          <w:szCs w:val="22"/>
          <w:lang w:val="es-ES"/>
        </w:rPr>
        <w:t xml:space="preserve">puede </w:t>
      </w:r>
      <w:r w:rsidR="00412843">
        <w:rPr>
          <w:rFonts w:ascii="Arial" w:hAnsi="Arial" w:cs="Arial"/>
          <w:sz w:val="22"/>
          <w:szCs w:val="22"/>
          <w:lang w:val="es-ES"/>
        </w:rPr>
        <w:t>enmarcarse en</w:t>
      </w:r>
      <w:r w:rsidR="00041577">
        <w:rPr>
          <w:rFonts w:ascii="Arial" w:hAnsi="Arial" w:cs="Arial"/>
          <w:sz w:val="22"/>
          <w:szCs w:val="22"/>
          <w:lang w:val="es-ES"/>
        </w:rPr>
        <w:t xml:space="preserve"> la noción de </w:t>
      </w:r>
      <w:r w:rsidR="00041577" w:rsidRPr="00393D96">
        <w:rPr>
          <w:rFonts w:ascii="Arial" w:hAnsi="Arial" w:cs="Arial"/>
          <w:i/>
          <w:iCs/>
          <w:sz w:val="22"/>
          <w:szCs w:val="22"/>
          <w:lang w:val="es-ES"/>
        </w:rPr>
        <w:t>mejoramiento</w:t>
      </w:r>
      <w:r w:rsidR="00B83E63">
        <w:rPr>
          <w:rFonts w:ascii="Arial" w:hAnsi="Arial" w:cs="Arial"/>
          <w:sz w:val="22"/>
          <w:szCs w:val="22"/>
          <w:lang w:val="es-ES"/>
        </w:rPr>
        <w:t xml:space="preserve"> </w:t>
      </w:r>
      <w:r w:rsidR="00393D96">
        <w:rPr>
          <w:rFonts w:ascii="Arial" w:hAnsi="Arial" w:cs="Arial"/>
          <w:sz w:val="22"/>
          <w:szCs w:val="22"/>
          <w:lang w:val="es-ES"/>
        </w:rPr>
        <w:t>en los términos explicados en el presente concepto</w:t>
      </w:r>
      <w:r w:rsidR="00B83E63">
        <w:rPr>
          <w:rFonts w:ascii="Arial" w:hAnsi="Arial" w:cs="Arial"/>
          <w:sz w:val="22"/>
          <w:szCs w:val="22"/>
          <w:lang w:val="es-ES"/>
        </w:rPr>
        <w:t xml:space="preserve"> fundamentado en las nociones normativas y de ingeniería aplicables en la materia</w:t>
      </w:r>
      <w:r w:rsidR="00393D96">
        <w:rPr>
          <w:rFonts w:ascii="Arial" w:hAnsi="Arial" w:cs="Arial"/>
          <w:sz w:val="22"/>
          <w:szCs w:val="22"/>
          <w:lang w:val="es-ES"/>
        </w:rPr>
        <w:t>.</w:t>
      </w:r>
    </w:p>
    <w:p w14:paraId="6F3379BE" w14:textId="3D6975AC" w:rsidR="001F1358" w:rsidRDefault="001F1358" w:rsidP="001F1358">
      <w:pPr>
        <w:spacing w:after="120" w:line="276" w:lineRule="auto"/>
        <w:jc w:val="both"/>
        <w:rPr>
          <w:rFonts w:ascii="Arial" w:eastAsia="Calibri" w:hAnsi="Arial" w:cs="Arial"/>
          <w:sz w:val="22"/>
          <w:szCs w:val="22"/>
          <w:lang w:val="es-ES"/>
        </w:rPr>
      </w:pPr>
    </w:p>
    <w:p w14:paraId="11D41005" w14:textId="0F773CB4" w:rsidR="001754BC" w:rsidRDefault="001754BC" w:rsidP="001F1358">
      <w:pPr>
        <w:spacing w:after="120" w:line="276" w:lineRule="auto"/>
        <w:jc w:val="both"/>
        <w:rPr>
          <w:rFonts w:ascii="Arial" w:eastAsia="Calibri" w:hAnsi="Arial" w:cs="Arial"/>
          <w:sz w:val="22"/>
          <w:szCs w:val="22"/>
          <w:lang w:val="es-ES"/>
        </w:rPr>
      </w:pPr>
    </w:p>
    <w:p w14:paraId="6C60714C" w14:textId="4AE75B62" w:rsidR="001754BC" w:rsidRDefault="001754BC" w:rsidP="001F1358">
      <w:pPr>
        <w:spacing w:after="120" w:line="276" w:lineRule="auto"/>
        <w:jc w:val="both"/>
        <w:rPr>
          <w:rFonts w:ascii="Arial" w:eastAsia="Calibri" w:hAnsi="Arial" w:cs="Arial"/>
          <w:sz w:val="22"/>
          <w:szCs w:val="22"/>
          <w:lang w:val="es-ES"/>
        </w:rPr>
      </w:pPr>
    </w:p>
    <w:p w14:paraId="28A9924C" w14:textId="0C5E4355" w:rsidR="001754BC" w:rsidRDefault="001754BC" w:rsidP="001F1358">
      <w:pPr>
        <w:spacing w:after="120" w:line="276" w:lineRule="auto"/>
        <w:jc w:val="both"/>
        <w:rPr>
          <w:rFonts w:ascii="Arial" w:eastAsia="Calibri" w:hAnsi="Arial" w:cs="Arial"/>
          <w:sz w:val="22"/>
          <w:szCs w:val="22"/>
          <w:lang w:val="es-ES"/>
        </w:rPr>
      </w:pPr>
    </w:p>
    <w:p w14:paraId="1749BF91" w14:textId="0346CD2F" w:rsidR="001754BC" w:rsidRDefault="001754BC" w:rsidP="001F1358">
      <w:pPr>
        <w:spacing w:after="120" w:line="276" w:lineRule="auto"/>
        <w:jc w:val="both"/>
        <w:rPr>
          <w:rFonts w:ascii="Arial" w:eastAsia="Calibri" w:hAnsi="Arial" w:cs="Arial"/>
          <w:sz w:val="22"/>
          <w:szCs w:val="22"/>
          <w:lang w:val="es-ES"/>
        </w:rPr>
      </w:pPr>
    </w:p>
    <w:p w14:paraId="4E3A3DB2" w14:textId="2B5DA34B" w:rsidR="001754BC" w:rsidRDefault="001754BC" w:rsidP="001F1358">
      <w:pPr>
        <w:spacing w:after="120" w:line="276" w:lineRule="auto"/>
        <w:jc w:val="both"/>
        <w:rPr>
          <w:rFonts w:ascii="Arial" w:eastAsia="Calibri" w:hAnsi="Arial" w:cs="Arial"/>
          <w:sz w:val="22"/>
          <w:szCs w:val="22"/>
          <w:lang w:val="es-ES"/>
        </w:rPr>
      </w:pPr>
    </w:p>
    <w:p w14:paraId="424E459E" w14:textId="77777777" w:rsidR="001754BC" w:rsidRDefault="001754BC" w:rsidP="001F1358">
      <w:pPr>
        <w:spacing w:after="120" w:line="276" w:lineRule="auto"/>
        <w:jc w:val="both"/>
        <w:rPr>
          <w:rFonts w:ascii="Arial" w:eastAsia="Calibri" w:hAnsi="Arial" w:cs="Arial"/>
          <w:sz w:val="22"/>
          <w:szCs w:val="22"/>
          <w:lang w:val="es-ES"/>
        </w:rPr>
      </w:pPr>
    </w:p>
    <w:p w14:paraId="31DA7007" w14:textId="2F371528" w:rsidR="003C7067" w:rsidRPr="00946E02" w:rsidRDefault="003C7067" w:rsidP="001F1358">
      <w:pPr>
        <w:spacing w:after="120" w:line="276" w:lineRule="auto"/>
        <w:jc w:val="both"/>
        <w:rPr>
          <w:rFonts w:ascii="Arial" w:eastAsia="Calibri" w:hAnsi="Arial" w:cs="Arial"/>
          <w:sz w:val="22"/>
          <w:szCs w:val="22"/>
          <w:lang w:val="es-ES"/>
        </w:rPr>
      </w:pPr>
      <w:r w:rsidRPr="00946E02">
        <w:rPr>
          <w:rFonts w:ascii="Arial" w:eastAsia="Calibri" w:hAnsi="Arial" w:cs="Arial"/>
          <w:sz w:val="22"/>
          <w:szCs w:val="22"/>
          <w:lang w:val="es-ES"/>
        </w:rPr>
        <w:lastRenderedPageBreak/>
        <w:t>Este concepto tiene el alcance previsto en el artículo 28 del Código de Procedimiento Administrativo y de lo Contencioso Administrativo.</w:t>
      </w:r>
    </w:p>
    <w:p w14:paraId="2408787D" w14:textId="77777777" w:rsidR="003C7067" w:rsidRPr="00946E02" w:rsidRDefault="003C7067" w:rsidP="003C7067">
      <w:pPr>
        <w:jc w:val="both"/>
        <w:rPr>
          <w:rFonts w:ascii="Arial" w:eastAsia="Calibri" w:hAnsi="Arial" w:cs="Arial"/>
          <w:sz w:val="22"/>
          <w:szCs w:val="22"/>
          <w:lang w:val="es-ES"/>
        </w:rPr>
      </w:pPr>
    </w:p>
    <w:p w14:paraId="740312DF" w14:textId="66677734" w:rsidR="003C7067" w:rsidRDefault="003C7067" w:rsidP="003C7067">
      <w:pPr>
        <w:jc w:val="both"/>
        <w:rPr>
          <w:rFonts w:ascii="Arial" w:hAnsi="Arial" w:cs="Arial"/>
          <w:sz w:val="22"/>
          <w:szCs w:val="22"/>
          <w:lang w:val="es-ES" w:eastAsia="es-CO"/>
        </w:rPr>
      </w:pPr>
      <w:r w:rsidRPr="00946E02">
        <w:rPr>
          <w:rFonts w:ascii="Arial" w:hAnsi="Arial" w:cs="Arial"/>
          <w:sz w:val="22"/>
          <w:szCs w:val="22"/>
          <w:lang w:val="es-ES" w:eastAsia="es-CO"/>
        </w:rPr>
        <w:t>Atentamente,</w:t>
      </w:r>
    </w:p>
    <w:p w14:paraId="34F7EF72" w14:textId="105BF80F" w:rsidR="003C7067" w:rsidRPr="00BB10CE" w:rsidRDefault="00BB10CE" w:rsidP="00BB10CE">
      <w:pPr>
        <w:jc w:val="center"/>
        <w:rPr>
          <w:rFonts w:ascii="Arial" w:hAnsi="Arial" w:cs="Arial"/>
          <w:sz w:val="22"/>
          <w:szCs w:val="22"/>
          <w:lang w:val="es-ES" w:eastAsia="es-CO"/>
        </w:rPr>
      </w:pPr>
      <w:r>
        <w:rPr>
          <w:rFonts w:ascii="Arial" w:hAnsi="Arial" w:cs="Arial"/>
          <w:noProof/>
          <w:sz w:val="22"/>
          <w:szCs w:val="22"/>
          <w:lang w:val="es-ES" w:eastAsia="es-CO"/>
        </w:rPr>
        <w:drawing>
          <wp:inline distT="0" distB="0" distL="0" distR="0" wp14:anchorId="18BA02DB" wp14:editId="69EB7354">
            <wp:extent cx="2534004" cy="981212"/>
            <wp:effectExtent l="0" t="0" r="0" b="9525"/>
            <wp:docPr id="2" name="Imagen 2"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Carta&#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534004" cy="981212"/>
                    </a:xfrm>
                    <a:prstGeom prst="rect">
                      <a:avLst/>
                    </a:prstGeom>
                  </pic:spPr>
                </pic:pic>
              </a:graphicData>
            </a:graphic>
          </wp:inline>
        </w:drawing>
      </w:r>
    </w:p>
    <w:p w14:paraId="5D5DF9A4" w14:textId="19D012A9" w:rsidR="0015002D" w:rsidRPr="00946E02" w:rsidRDefault="0015002D" w:rsidP="003C7067">
      <w:pPr>
        <w:jc w:val="center"/>
        <w:rPr>
          <w:rFonts w:ascii="Arial" w:hAnsi="Arial" w:cs="Arial"/>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C7067" w:rsidRPr="00946E02" w14:paraId="67DFEBDD" w14:textId="77777777" w:rsidTr="00406F4B">
        <w:trPr>
          <w:trHeight w:val="315"/>
        </w:trPr>
        <w:tc>
          <w:tcPr>
            <w:tcW w:w="812" w:type="dxa"/>
            <w:vAlign w:val="center"/>
            <w:hideMark/>
          </w:tcPr>
          <w:p w14:paraId="586E9637" w14:textId="77777777" w:rsidR="003C7067" w:rsidRPr="00946E02" w:rsidRDefault="003C7067" w:rsidP="00406F4B">
            <w:pPr>
              <w:rPr>
                <w:rFonts w:ascii="Arial" w:hAnsi="Arial" w:cs="Arial"/>
                <w:sz w:val="16"/>
                <w:szCs w:val="16"/>
                <w:lang w:val="es-ES" w:eastAsia="es-ES"/>
              </w:rPr>
            </w:pPr>
            <w:r w:rsidRPr="00946E02">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2585B1D8" w14:textId="672FB878" w:rsidR="003C7067" w:rsidRPr="00946E02" w:rsidRDefault="001002B7" w:rsidP="00406F4B">
            <w:pPr>
              <w:rPr>
                <w:rFonts w:ascii="Arial" w:hAnsi="Arial" w:cs="Arial"/>
                <w:sz w:val="16"/>
                <w:szCs w:val="16"/>
                <w:lang w:val="es-ES" w:eastAsia="es-ES"/>
              </w:rPr>
            </w:pPr>
            <w:r>
              <w:rPr>
                <w:rFonts w:ascii="Arial" w:hAnsi="Arial" w:cs="Arial"/>
                <w:sz w:val="16"/>
                <w:szCs w:val="16"/>
                <w:lang w:val="es-ES" w:eastAsia="es-ES"/>
              </w:rPr>
              <w:t xml:space="preserve">Kevin </w:t>
            </w:r>
            <w:proofErr w:type="spellStart"/>
            <w:r>
              <w:rPr>
                <w:rFonts w:ascii="Arial" w:hAnsi="Arial" w:cs="Arial"/>
                <w:sz w:val="16"/>
                <w:szCs w:val="16"/>
                <w:lang w:val="es-ES" w:eastAsia="es-ES"/>
              </w:rPr>
              <w:t>Arlid</w:t>
            </w:r>
            <w:proofErr w:type="spellEnd"/>
            <w:r>
              <w:rPr>
                <w:rFonts w:ascii="Arial" w:hAnsi="Arial" w:cs="Arial"/>
                <w:sz w:val="16"/>
                <w:szCs w:val="16"/>
                <w:lang w:val="es-ES" w:eastAsia="es-ES"/>
              </w:rPr>
              <w:t xml:space="preserve"> Herrera Santa</w:t>
            </w:r>
          </w:p>
          <w:p w14:paraId="15047A99" w14:textId="0C833329" w:rsidR="003C7067" w:rsidRPr="00946E02" w:rsidRDefault="001002B7" w:rsidP="00406F4B">
            <w:pPr>
              <w:rPr>
                <w:rFonts w:ascii="Arial" w:hAnsi="Arial" w:cs="Arial"/>
                <w:sz w:val="16"/>
                <w:szCs w:val="16"/>
                <w:lang w:val="es-ES" w:eastAsia="es-ES"/>
              </w:rPr>
            </w:pPr>
            <w:r>
              <w:rPr>
                <w:rFonts w:ascii="Arial" w:hAnsi="Arial" w:cs="Arial"/>
                <w:sz w:val="16"/>
                <w:szCs w:val="16"/>
                <w:lang w:val="es-ES" w:eastAsia="es-ES"/>
              </w:rPr>
              <w:t>Analista T2-04</w:t>
            </w:r>
            <w:r w:rsidR="003C7067" w:rsidRPr="00946E02">
              <w:rPr>
                <w:rFonts w:ascii="Arial" w:hAnsi="Arial" w:cs="Arial"/>
                <w:sz w:val="16"/>
                <w:szCs w:val="16"/>
                <w:lang w:val="es-ES" w:eastAsia="es-ES"/>
              </w:rPr>
              <w:t xml:space="preserve"> de la Subdirección de Gestión Contractual</w:t>
            </w:r>
          </w:p>
        </w:tc>
      </w:tr>
      <w:tr w:rsidR="003C7067" w:rsidRPr="00946E02" w14:paraId="5E040385" w14:textId="77777777" w:rsidTr="00406F4B">
        <w:trPr>
          <w:trHeight w:val="330"/>
        </w:trPr>
        <w:tc>
          <w:tcPr>
            <w:tcW w:w="812" w:type="dxa"/>
            <w:vAlign w:val="center"/>
            <w:hideMark/>
          </w:tcPr>
          <w:p w14:paraId="1468648A" w14:textId="77777777" w:rsidR="003C7067" w:rsidRPr="00946E02" w:rsidRDefault="003C7067" w:rsidP="00406F4B">
            <w:pPr>
              <w:rPr>
                <w:rFonts w:ascii="Arial" w:hAnsi="Arial" w:cs="Arial"/>
                <w:sz w:val="16"/>
                <w:szCs w:val="16"/>
                <w:lang w:val="es-ES" w:eastAsia="es-ES"/>
              </w:rPr>
            </w:pPr>
            <w:r w:rsidRPr="00946E02">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E5C127" w14:textId="28B63FA1" w:rsidR="003C7067" w:rsidRPr="00946E02" w:rsidRDefault="007925B4" w:rsidP="00406F4B">
            <w:pPr>
              <w:rPr>
                <w:rFonts w:ascii="Arial" w:hAnsi="Arial" w:cs="Arial"/>
                <w:sz w:val="16"/>
                <w:szCs w:val="16"/>
                <w:lang w:val="es-ES" w:eastAsia="es-ES"/>
              </w:rPr>
            </w:pPr>
            <w:r>
              <w:rPr>
                <w:rFonts w:ascii="Arial" w:hAnsi="Arial" w:cs="Arial"/>
                <w:sz w:val="16"/>
                <w:szCs w:val="16"/>
                <w:lang w:val="es-ES" w:eastAsia="es-ES"/>
              </w:rPr>
              <w:t>Alejandro Sarmiento Cantillo</w:t>
            </w:r>
          </w:p>
          <w:p w14:paraId="75F78D0C" w14:textId="144EDFD0" w:rsidR="003C7067" w:rsidRPr="00946E02" w:rsidRDefault="007925B4" w:rsidP="00406F4B">
            <w:pPr>
              <w:rPr>
                <w:rFonts w:ascii="Arial" w:hAnsi="Arial" w:cs="Arial"/>
                <w:sz w:val="16"/>
                <w:szCs w:val="16"/>
                <w:lang w:val="es-ES" w:eastAsia="es-ES"/>
              </w:rPr>
            </w:pPr>
            <w:r>
              <w:rPr>
                <w:rFonts w:ascii="Arial" w:hAnsi="Arial" w:cs="Arial"/>
                <w:sz w:val="16"/>
                <w:szCs w:val="16"/>
                <w:lang w:val="es-ES" w:eastAsia="es-ES"/>
              </w:rPr>
              <w:t xml:space="preserve">Gestor </w:t>
            </w:r>
            <w:r w:rsidR="00394378">
              <w:rPr>
                <w:rFonts w:ascii="Arial" w:hAnsi="Arial" w:cs="Arial"/>
                <w:sz w:val="16"/>
                <w:szCs w:val="16"/>
                <w:lang w:val="es-ES" w:eastAsia="es-ES"/>
              </w:rPr>
              <w:t xml:space="preserve">T1-15 </w:t>
            </w:r>
            <w:r w:rsidR="00394378" w:rsidRPr="00946E02">
              <w:rPr>
                <w:rFonts w:ascii="Arial" w:hAnsi="Arial" w:cs="Arial"/>
                <w:sz w:val="16"/>
                <w:szCs w:val="16"/>
                <w:lang w:val="es-ES" w:eastAsia="es-ES"/>
              </w:rPr>
              <w:t xml:space="preserve">de la Subdirección de Gestión Contractual </w:t>
            </w:r>
          </w:p>
          <w:p w14:paraId="47648BCD" w14:textId="7D01CFDB" w:rsidR="00F502DF" w:rsidRPr="00946E02" w:rsidRDefault="00F502DF" w:rsidP="00406F4B">
            <w:pPr>
              <w:rPr>
                <w:rFonts w:ascii="Arial" w:hAnsi="Arial" w:cs="Arial"/>
                <w:sz w:val="16"/>
                <w:szCs w:val="16"/>
                <w:lang w:val="es-ES" w:eastAsia="es-ES"/>
              </w:rPr>
            </w:pPr>
            <w:proofErr w:type="spellStart"/>
            <w:r w:rsidRPr="00946E02">
              <w:rPr>
                <w:rFonts w:ascii="Arial" w:hAnsi="Arial" w:cs="Arial"/>
                <w:sz w:val="16"/>
                <w:szCs w:val="16"/>
                <w:lang w:val="es-ES" w:eastAsia="es-ES"/>
              </w:rPr>
              <w:t>Karlo</w:t>
            </w:r>
            <w:proofErr w:type="spellEnd"/>
            <w:r w:rsidRPr="00946E02">
              <w:rPr>
                <w:rFonts w:ascii="Arial" w:hAnsi="Arial" w:cs="Arial"/>
                <w:sz w:val="16"/>
                <w:szCs w:val="16"/>
                <w:lang w:val="es-ES" w:eastAsia="es-ES"/>
              </w:rPr>
              <w:t xml:space="preserve"> Fernández Cala</w:t>
            </w:r>
          </w:p>
          <w:p w14:paraId="202F9F6E" w14:textId="766F81DE" w:rsidR="007D2560" w:rsidRPr="00946E02" w:rsidRDefault="00F502DF" w:rsidP="00D46E9E">
            <w:pPr>
              <w:rPr>
                <w:rFonts w:ascii="Arial" w:hAnsi="Arial" w:cs="Arial"/>
                <w:sz w:val="16"/>
                <w:szCs w:val="16"/>
                <w:lang w:val="es-ES" w:eastAsia="es-ES"/>
              </w:rPr>
            </w:pPr>
            <w:r w:rsidRPr="00946E02">
              <w:rPr>
                <w:rFonts w:ascii="Arial" w:hAnsi="Arial" w:cs="Arial"/>
                <w:sz w:val="16"/>
                <w:szCs w:val="16"/>
                <w:lang w:val="es-ES" w:eastAsia="es-ES"/>
              </w:rPr>
              <w:t>Gestor T1-15 de la Dirección General</w:t>
            </w:r>
          </w:p>
        </w:tc>
      </w:tr>
      <w:tr w:rsidR="003C7067" w:rsidRPr="00C00312" w14:paraId="65581C44" w14:textId="77777777" w:rsidTr="00406F4B">
        <w:trPr>
          <w:trHeight w:val="300"/>
        </w:trPr>
        <w:tc>
          <w:tcPr>
            <w:tcW w:w="812" w:type="dxa"/>
            <w:vAlign w:val="center"/>
            <w:hideMark/>
          </w:tcPr>
          <w:p w14:paraId="5B07E6DF" w14:textId="77777777" w:rsidR="003C7067" w:rsidRPr="00946E02" w:rsidRDefault="003C7067" w:rsidP="00406F4B">
            <w:pPr>
              <w:rPr>
                <w:rFonts w:ascii="Arial" w:hAnsi="Arial" w:cs="Arial"/>
                <w:sz w:val="16"/>
                <w:szCs w:val="16"/>
                <w:lang w:val="es-ES" w:eastAsia="es-ES"/>
              </w:rPr>
            </w:pPr>
            <w:r w:rsidRPr="00946E02">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930E5E2" w14:textId="77777777" w:rsidR="003C7067" w:rsidRPr="00946E02" w:rsidRDefault="003C7067" w:rsidP="00406F4B">
            <w:pPr>
              <w:rPr>
                <w:rFonts w:ascii="Arial" w:hAnsi="Arial" w:cs="Arial"/>
                <w:sz w:val="16"/>
                <w:szCs w:val="16"/>
                <w:lang w:val="es-ES" w:eastAsia="es-ES"/>
              </w:rPr>
            </w:pPr>
            <w:r w:rsidRPr="00946E02">
              <w:rPr>
                <w:rFonts w:ascii="Arial" w:hAnsi="Arial" w:cs="Arial"/>
                <w:sz w:val="16"/>
                <w:szCs w:val="16"/>
                <w:lang w:val="es-ES" w:eastAsia="es-ES"/>
              </w:rPr>
              <w:t>Jorge Augusto Tirado Navarro</w:t>
            </w:r>
          </w:p>
          <w:p w14:paraId="43EFE605" w14:textId="10D147D3" w:rsidR="003C7067" w:rsidRPr="00C00312" w:rsidRDefault="003C7067" w:rsidP="00406F4B">
            <w:pPr>
              <w:rPr>
                <w:rFonts w:ascii="Arial" w:hAnsi="Arial" w:cs="Arial"/>
                <w:sz w:val="16"/>
                <w:szCs w:val="16"/>
                <w:lang w:val="es-ES" w:eastAsia="es-ES"/>
              </w:rPr>
            </w:pPr>
            <w:r w:rsidRPr="00946E02">
              <w:rPr>
                <w:rFonts w:ascii="Arial" w:hAnsi="Arial" w:cs="Arial"/>
                <w:sz w:val="16"/>
                <w:szCs w:val="16"/>
                <w:lang w:val="es-ES" w:eastAsia="es-ES"/>
              </w:rPr>
              <w:t>Subdirector de Gestión Contractual</w:t>
            </w:r>
            <w:r w:rsidR="005F3114">
              <w:rPr>
                <w:rFonts w:ascii="Arial" w:hAnsi="Arial" w:cs="Arial"/>
                <w:sz w:val="16"/>
                <w:szCs w:val="16"/>
                <w:lang w:val="es-ES" w:eastAsia="es-ES"/>
              </w:rPr>
              <w:t xml:space="preserve"> (E)</w:t>
            </w:r>
            <w:r w:rsidRPr="00946E02">
              <w:rPr>
                <w:rFonts w:ascii="Arial" w:hAnsi="Arial" w:cs="Arial"/>
                <w:sz w:val="16"/>
                <w:szCs w:val="16"/>
                <w:lang w:val="es-ES" w:eastAsia="es-ES"/>
              </w:rPr>
              <w:t xml:space="preserve"> ANCP – CCE</w:t>
            </w:r>
          </w:p>
        </w:tc>
      </w:tr>
    </w:tbl>
    <w:p w14:paraId="019B7BEC" w14:textId="77777777" w:rsidR="003C7067" w:rsidRPr="00C00312" w:rsidRDefault="003C7067" w:rsidP="009702D5">
      <w:pPr>
        <w:rPr>
          <w:rFonts w:ascii="Arial" w:hAnsi="Arial" w:cs="Arial"/>
        </w:rPr>
      </w:pPr>
    </w:p>
    <w:sectPr w:rsidR="003C7067" w:rsidRPr="00C00312" w:rsidSect="007F1895">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0C310" w14:textId="77777777" w:rsidR="003A1253" w:rsidRDefault="003A1253" w:rsidP="003C7067">
      <w:r>
        <w:separator/>
      </w:r>
    </w:p>
  </w:endnote>
  <w:endnote w:type="continuationSeparator" w:id="0">
    <w:p w14:paraId="41B33EF3" w14:textId="77777777" w:rsidR="003A1253" w:rsidRDefault="003A1253" w:rsidP="003C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F19D" w14:textId="77777777" w:rsidR="00387886" w:rsidRDefault="00E527DC" w:rsidP="007F1895">
    <w:pPr>
      <w:pStyle w:val="Sinespaciado"/>
      <w:jc w:val="right"/>
      <w:rPr>
        <w:rFonts w:ascii="Arial" w:hAnsi="Arial" w:cs="Arial"/>
        <w:sz w:val="18"/>
        <w:szCs w:val="18"/>
      </w:rPr>
    </w:pPr>
  </w:p>
  <w:p w14:paraId="7EE0D30C" w14:textId="77777777" w:rsidR="00387886" w:rsidRDefault="00E527DC" w:rsidP="007F1895">
    <w:pPr>
      <w:pStyle w:val="Sinespaciado"/>
      <w:jc w:val="right"/>
      <w:rPr>
        <w:rFonts w:ascii="Arial" w:hAnsi="Arial" w:cs="Arial"/>
        <w:sz w:val="18"/>
        <w:szCs w:val="18"/>
      </w:rPr>
    </w:pPr>
  </w:p>
  <w:p w14:paraId="120D6A59" w14:textId="77777777" w:rsidR="00387886" w:rsidRPr="008217B7" w:rsidRDefault="000965D3"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7B59CE5" w14:textId="77777777" w:rsidR="00387886" w:rsidRDefault="000965D3" w:rsidP="007F1895">
    <w:pPr>
      <w:pStyle w:val="Piedepgina"/>
      <w:jc w:val="center"/>
      <w:rPr>
        <w:lang w:val="es-ES"/>
      </w:rPr>
    </w:pPr>
    <w:r>
      <w:rPr>
        <w:noProof/>
      </w:rPr>
      <w:drawing>
        <wp:inline distT="0" distB="0" distL="0" distR="0" wp14:anchorId="467852E1" wp14:editId="11106060">
          <wp:extent cx="3700130" cy="519139"/>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7D50B862" w14:textId="77777777" w:rsidR="00387886" w:rsidRPr="00E756AC" w:rsidRDefault="00E527DC" w:rsidP="007F1895">
    <w:pPr>
      <w:pStyle w:val="Piedepgina"/>
      <w:jc w:val="center"/>
      <w:rPr>
        <w:sz w:val="18"/>
        <w:szCs w:val="18"/>
        <w:lang w:val="es-ES"/>
      </w:rPr>
    </w:pPr>
  </w:p>
  <w:p w14:paraId="1CBE747A" w14:textId="77777777" w:rsidR="00387886" w:rsidRPr="00E756AC" w:rsidRDefault="00E527DC"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5CD8" w14:textId="77777777" w:rsidR="003A1253" w:rsidRDefault="003A1253" w:rsidP="003C7067">
      <w:r>
        <w:separator/>
      </w:r>
    </w:p>
  </w:footnote>
  <w:footnote w:type="continuationSeparator" w:id="0">
    <w:p w14:paraId="5E850040" w14:textId="77777777" w:rsidR="003A1253" w:rsidRDefault="003A1253" w:rsidP="003C7067">
      <w:r>
        <w:continuationSeparator/>
      </w:r>
    </w:p>
  </w:footnote>
  <w:footnote w:id="1">
    <w:p w14:paraId="3643FF1C" w14:textId="77777777" w:rsidR="00394E7A" w:rsidRPr="0055345F" w:rsidRDefault="00394E7A" w:rsidP="0055345F">
      <w:pPr>
        <w:pStyle w:val="Textonotapie"/>
        <w:ind w:firstLine="709"/>
        <w:jc w:val="both"/>
        <w:rPr>
          <w:rFonts w:ascii="Arial" w:eastAsia="Times New Roman" w:hAnsi="Arial" w:cs="Arial"/>
          <w:sz w:val="19"/>
          <w:szCs w:val="19"/>
          <w:bdr w:val="none" w:sz="0" w:space="0" w:color="auto" w:frame="1"/>
          <w:lang w:eastAsia="es-CO"/>
        </w:rPr>
      </w:pPr>
      <w:r w:rsidRPr="00D6418E">
        <w:rPr>
          <w:rStyle w:val="Refdenotaalpie"/>
          <w:rFonts w:ascii="Arial" w:hAnsi="Arial" w:cs="Arial"/>
          <w:sz w:val="19"/>
          <w:szCs w:val="19"/>
        </w:rPr>
        <w:footnoteRef/>
      </w:r>
      <w:r w:rsidRPr="00D6418E">
        <w:rPr>
          <w:rFonts w:ascii="Arial" w:hAnsi="Arial" w:cs="Arial"/>
          <w:sz w:val="19"/>
          <w:szCs w:val="19"/>
        </w:rPr>
        <w:t xml:space="preserve"> </w:t>
      </w:r>
      <w:r w:rsidRPr="0055345F">
        <w:rPr>
          <w:rFonts w:ascii="Arial" w:eastAsia="Times New Roman" w:hAnsi="Arial" w:cs="Arial"/>
          <w:sz w:val="19"/>
          <w:szCs w:val="19"/>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699E9383" w14:textId="77777777" w:rsidR="00394E7A" w:rsidRPr="00D6418E" w:rsidRDefault="00394E7A" w:rsidP="00D6418E">
      <w:pPr>
        <w:pStyle w:val="Textonotapie"/>
        <w:ind w:firstLine="709"/>
        <w:jc w:val="both"/>
        <w:rPr>
          <w:rFonts w:ascii="Arial" w:hAnsi="Arial" w:cs="Arial"/>
          <w:sz w:val="19"/>
          <w:szCs w:val="19"/>
        </w:rPr>
      </w:pPr>
    </w:p>
  </w:footnote>
  <w:footnote w:id="2">
    <w:p w14:paraId="038DE73A" w14:textId="77777777" w:rsidR="00394E7A" w:rsidRPr="0055345F" w:rsidRDefault="00394E7A" w:rsidP="00D6418E">
      <w:pPr>
        <w:pStyle w:val="Textonotapie"/>
        <w:ind w:firstLine="709"/>
        <w:jc w:val="both"/>
        <w:rPr>
          <w:rFonts w:ascii="Arial" w:eastAsia="Times New Roman" w:hAnsi="Arial" w:cs="Arial"/>
          <w:sz w:val="19"/>
          <w:szCs w:val="19"/>
          <w:bdr w:val="none" w:sz="0" w:space="0" w:color="auto" w:frame="1"/>
          <w:lang w:eastAsia="es-CO"/>
        </w:rPr>
      </w:pPr>
      <w:r w:rsidRPr="00D6418E">
        <w:rPr>
          <w:rStyle w:val="Refdenotaalpie"/>
          <w:rFonts w:ascii="Arial" w:hAnsi="Arial" w:cs="Arial"/>
          <w:sz w:val="19"/>
          <w:szCs w:val="19"/>
        </w:rPr>
        <w:footnoteRef/>
      </w:r>
      <w:r w:rsidRPr="00D6418E">
        <w:rPr>
          <w:rFonts w:ascii="Arial" w:hAnsi="Arial" w:cs="Arial"/>
          <w:sz w:val="19"/>
          <w:szCs w:val="19"/>
        </w:rPr>
        <w:t xml:space="preserve"> </w:t>
      </w:r>
      <w:r w:rsidRPr="0055345F">
        <w:rPr>
          <w:rFonts w:ascii="Arial" w:eastAsia="Times New Roman" w:hAnsi="Arial" w:cs="Arial"/>
          <w:sz w:val="19"/>
          <w:szCs w:val="19"/>
          <w:bdr w:val="none" w:sz="0" w:space="0" w:color="auto" w:frame="1"/>
          <w:lang w:eastAsia="es-CO"/>
        </w:rPr>
        <w:t>Diario Oficial. Gaceta del Congreso 458 de 2005.  </w:t>
      </w:r>
    </w:p>
    <w:p w14:paraId="75EC5F5A" w14:textId="77777777" w:rsidR="00394E7A" w:rsidRPr="00D6418E" w:rsidRDefault="00394E7A" w:rsidP="00D6418E">
      <w:pPr>
        <w:pStyle w:val="Textonotapie"/>
        <w:ind w:firstLine="709"/>
        <w:jc w:val="both"/>
        <w:rPr>
          <w:rFonts w:ascii="Arial" w:hAnsi="Arial" w:cs="Arial"/>
          <w:sz w:val="19"/>
          <w:szCs w:val="19"/>
        </w:rPr>
      </w:pPr>
    </w:p>
  </w:footnote>
  <w:footnote w:id="3">
    <w:p w14:paraId="0813043F" w14:textId="77777777" w:rsidR="00394E7A" w:rsidRPr="00D6418E" w:rsidRDefault="00394E7A" w:rsidP="00D6418E">
      <w:pPr>
        <w:pStyle w:val="Textonotapie"/>
        <w:ind w:firstLine="709"/>
        <w:jc w:val="both"/>
        <w:rPr>
          <w:rFonts w:ascii="Arial" w:hAnsi="Arial" w:cs="Arial"/>
          <w:sz w:val="19"/>
          <w:szCs w:val="19"/>
        </w:rPr>
      </w:pPr>
      <w:r w:rsidRPr="00D6418E">
        <w:rPr>
          <w:rStyle w:val="Refdenotaalpie"/>
          <w:rFonts w:ascii="Arial" w:hAnsi="Arial" w:cs="Arial"/>
          <w:sz w:val="19"/>
          <w:szCs w:val="19"/>
        </w:rPr>
        <w:footnoteRef/>
      </w:r>
      <w:r w:rsidRPr="00D6418E">
        <w:rPr>
          <w:rFonts w:ascii="Arial" w:hAnsi="Arial" w:cs="Arial"/>
          <w:sz w:val="19"/>
          <w:szCs w:val="19"/>
        </w:rPr>
        <w:t xml:space="preserve"> </w:t>
      </w:r>
      <w:r w:rsidRPr="0055345F">
        <w:rPr>
          <w:rFonts w:ascii="Arial" w:hAnsi="Arial" w:cs="Arial"/>
          <w:sz w:val="19"/>
          <w:szCs w:val="19"/>
        </w:rPr>
        <w:t>Ibidem</w:t>
      </w:r>
    </w:p>
    <w:p w14:paraId="5C96A4CD" w14:textId="77777777" w:rsidR="00394E7A" w:rsidRPr="00D6418E" w:rsidRDefault="00394E7A" w:rsidP="00D6418E">
      <w:pPr>
        <w:pStyle w:val="Textonotapie"/>
        <w:ind w:firstLine="709"/>
        <w:jc w:val="both"/>
        <w:rPr>
          <w:rFonts w:ascii="Arial" w:hAnsi="Arial" w:cs="Arial"/>
          <w:sz w:val="19"/>
          <w:szCs w:val="19"/>
        </w:rPr>
      </w:pPr>
    </w:p>
  </w:footnote>
  <w:footnote w:id="4">
    <w:p w14:paraId="1A3D23FE" w14:textId="476010B0" w:rsidR="00394E7A" w:rsidRDefault="00394E7A" w:rsidP="0055345F">
      <w:pPr>
        <w:shd w:val="clear" w:color="auto" w:fill="FFFFFF"/>
        <w:ind w:firstLine="709"/>
        <w:jc w:val="both"/>
        <w:textAlignment w:val="baseline"/>
        <w:rPr>
          <w:rFonts w:ascii="Arial" w:hAnsi="Arial" w:cs="Arial"/>
          <w:sz w:val="19"/>
          <w:szCs w:val="19"/>
          <w:bdr w:val="none" w:sz="0" w:space="0" w:color="auto" w:frame="1"/>
          <w:lang w:eastAsia="es-CO"/>
        </w:rPr>
      </w:pPr>
      <w:r w:rsidRPr="00D6418E">
        <w:rPr>
          <w:rStyle w:val="Refdenotaalpie"/>
          <w:rFonts w:ascii="Arial" w:hAnsi="Arial" w:cs="Arial"/>
          <w:sz w:val="19"/>
          <w:szCs w:val="19"/>
        </w:rPr>
        <w:footnoteRef/>
      </w:r>
      <w:r w:rsidRPr="00D6418E">
        <w:rPr>
          <w:rFonts w:ascii="Arial" w:hAnsi="Arial" w:cs="Arial"/>
          <w:sz w:val="19"/>
          <w:szCs w:val="19"/>
        </w:rPr>
        <w:t xml:space="preserve"> </w:t>
      </w:r>
      <w:r w:rsidRPr="0055345F">
        <w:rPr>
          <w:rFonts w:ascii="Arial" w:hAnsi="Arial" w:cs="Arial"/>
          <w:sz w:val="19"/>
          <w:szCs w:val="19"/>
          <w:bdr w:val="none" w:sz="0" w:space="0" w:color="auto" w:frame="1"/>
          <w:lang w:eastAsia="es-CO"/>
        </w:rPr>
        <w:t>Diario Oficial. Gaceta del Congreso 416 de 2007, Informe de Conciliación Senado. </w:t>
      </w:r>
    </w:p>
    <w:p w14:paraId="4B6D1072" w14:textId="77777777" w:rsidR="0025688C" w:rsidRPr="0055345F" w:rsidRDefault="0025688C" w:rsidP="0055345F">
      <w:pPr>
        <w:shd w:val="clear" w:color="auto" w:fill="FFFFFF"/>
        <w:ind w:firstLine="709"/>
        <w:jc w:val="both"/>
        <w:textAlignment w:val="baseline"/>
        <w:rPr>
          <w:rFonts w:ascii="Arial" w:hAnsi="Arial" w:cs="Arial"/>
          <w:sz w:val="19"/>
          <w:szCs w:val="19"/>
          <w:bdr w:val="none" w:sz="0" w:space="0" w:color="auto" w:frame="1"/>
          <w:lang w:eastAsia="es-CO"/>
        </w:rPr>
      </w:pPr>
    </w:p>
  </w:footnote>
  <w:footnote w:id="5">
    <w:p w14:paraId="369A80BF" w14:textId="77777777" w:rsidR="00394E7A" w:rsidRPr="00D6418E" w:rsidRDefault="00394E7A" w:rsidP="0055345F">
      <w:pPr>
        <w:shd w:val="clear" w:color="auto" w:fill="FFFFFF"/>
        <w:ind w:firstLine="709"/>
        <w:jc w:val="both"/>
        <w:textAlignment w:val="baseline"/>
        <w:rPr>
          <w:rFonts w:ascii="Arial" w:hAnsi="Arial" w:cs="Arial"/>
          <w:sz w:val="19"/>
          <w:szCs w:val="19"/>
          <w:lang w:eastAsia="es-CO"/>
        </w:rPr>
      </w:pPr>
      <w:r w:rsidRPr="00D6418E">
        <w:rPr>
          <w:rStyle w:val="Refdenotaalpie"/>
          <w:rFonts w:ascii="Arial" w:hAnsi="Arial" w:cs="Arial"/>
          <w:sz w:val="19"/>
          <w:szCs w:val="19"/>
        </w:rPr>
        <w:footnoteRef/>
      </w:r>
      <w:r w:rsidRPr="00D6418E">
        <w:rPr>
          <w:rFonts w:ascii="Arial" w:hAnsi="Arial" w:cs="Arial"/>
          <w:sz w:val="19"/>
          <w:szCs w:val="19"/>
        </w:rPr>
        <w:t xml:space="preserve"> </w:t>
      </w:r>
      <w:r w:rsidRPr="0055345F">
        <w:rPr>
          <w:rFonts w:ascii="Arial" w:hAnsi="Arial" w:cs="Arial"/>
          <w:sz w:val="19"/>
          <w:szCs w:val="19"/>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6049DF13" w14:textId="77777777" w:rsidR="00394E7A" w:rsidRPr="00D6418E" w:rsidRDefault="00394E7A" w:rsidP="0055345F">
      <w:pPr>
        <w:shd w:val="clear" w:color="auto" w:fill="FFFFFF"/>
        <w:ind w:firstLine="709"/>
        <w:jc w:val="both"/>
        <w:textAlignment w:val="baseline"/>
        <w:rPr>
          <w:rFonts w:ascii="Arial" w:hAnsi="Arial" w:cs="Arial"/>
          <w:sz w:val="19"/>
          <w:szCs w:val="19"/>
          <w:lang w:eastAsia="es-CO"/>
        </w:rPr>
      </w:pPr>
      <w:r w:rsidRPr="0055345F">
        <w:rPr>
          <w:rFonts w:ascii="Arial" w:hAnsi="Arial" w:cs="Arial"/>
          <w:sz w:val="19"/>
          <w:szCs w:val="19"/>
          <w:bdr w:val="none" w:sz="0" w:space="0" w:color="auto" w:frame="1"/>
          <w:lang w:eastAsia="es-CO"/>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0CFFC4E1" w14:textId="77777777" w:rsidR="00394E7A" w:rsidRPr="00D6418E" w:rsidRDefault="00394E7A" w:rsidP="0055345F">
      <w:pPr>
        <w:shd w:val="clear" w:color="auto" w:fill="FFFFFF"/>
        <w:ind w:firstLine="709"/>
        <w:jc w:val="both"/>
        <w:textAlignment w:val="baseline"/>
        <w:rPr>
          <w:rFonts w:ascii="Arial" w:hAnsi="Arial" w:cs="Arial"/>
          <w:sz w:val="19"/>
          <w:szCs w:val="19"/>
          <w:lang w:eastAsia="es-CO"/>
        </w:rPr>
      </w:pPr>
      <w:r w:rsidRPr="0055345F">
        <w:rPr>
          <w:rFonts w:ascii="Arial" w:hAnsi="Arial" w:cs="Arial"/>
          <w:sz w:val="19"/>
          <w:szCs w:val="19"/>
          <w:bdr w:val="none" w:sz="0" w:space="0" w:color="auto" w:frame="1"/>
          <w:lang w:eastAsia="es-CO"/>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4B30B192" w14:textId="77777777" w:rsidR="00394E7A" w:rsidRPr="00D6418E" w:rsidRDefault="00394E7A" w:rsidP="0055345F">
      <w:pPr>
        <w:shd w:val="clear" w:color="auto" w:fill="FFFFFF"/>
        <w:ind w:firstLine="709"/>
        <w:jc w:val="both"/>
        <w:textAlignment w:val="baseline"/>
        <w:rPr>
          <w:rFonts w:ascii="Arial" w:hAnsi="Arial" w:cs="Arial"/>
          <w:sz w:val="19"/>
          <w:szCs w:val="19"/>
          <w:lang w:eastAsia="es-CO"/>
        </w:rPr>
      </w:pPr>
      <w:r w:rsidRPr="0055345F">
        <w:rPr>
          <w:rFonts w:ascii="Arial" w:hAnsi="Arial" w:cs="Arial"/>
          <w:sz w:val="19"/>
          <w:szCs w:val="19"/>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261912F8" w14:textId="77777777" w:rsidR="00394E7A" w:rsidRPr="00D6418E" w:rsidRDefault="00394E7A" w:rsidP="0055345F">
      <w:pPr>
        <w:shd w:val="clear" w:color="auto" w:fill="FFFFFF"/>
        <w:ind w:firstLine="708"/>
        <w:jc w:val="both"/>
        <w:textAlignment w:val="baseline"/>
        <w:rPr>
          <w:rFonts w:ascii="Arial" w:hAnsi="Arial" w:cs="Arial"/>
          <w:sz w:val="19"/>
          <w:szCs w:val="19"/>
          <w:lang w:eastAsia="es-CO"/>
        </w:rPr>
      </w:pPr>
      <w:r w:rsidRPr="0055345F">
        <w:rPr>
          <w:rFonts w:ascii="Arial" w:hAnsi="Arial" w:cs="Arial"/>
          <w:sz w:val="19"/>
          <w:szCs w:val="19"/>
          <w:bdr w:val="none" w:sz="0" w:space="0" w:color="auto" w:frame="1"/>
          <w:lang w:eastAsia="es-CO"/>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6">
    <w:p w14:paraId="269E3FA5" w14:textId="321CBD75" w:rsidR="0055345F" w:rsidRDefault="0055345F" w:rsidP="00D6418E">
      <w:pPr>
        <w:pStyle w:val="Textonotapie"/>
        <w:ind w:firstLine="708"/>
        <w:jc w:val="both"/>
        <w:rPr>
          <w:rFonts w:ascii="Arial" w:hAnsi="Arial" w:cs="Arial"/>
          <w:sz w:val="19"/>
          <w:szCs w:val="19"/>
        </w:rPr>
      </w:pPr>
      <w:r w:rsidRPr="00D6418E">
        <w:rPr>
          <w:rStyle w:val="Refdenotaalpie"/>
          <w:rFonts w:ascii="Arial" w:hAnsi="Arial" w:cs="Arial"/>
          <w:sz w:val="19"/>
          <w:szCs w:val="19"/>
        </w:rPr>
        <w:footnoteRef/>
      </w:r>
      <w:r w:rsidRPr="00D6418E">
        <w:rPr>
          <w:rFonts w:ascii="Arial" w:hAnsi="Arial" w:cs="Arial"/>
          <w:sz w:val="19"/>
          <w:szCs w:val="19"/>
        </w:rPr>
        <w:t xml:space="preserve"> [Referencia original del texto citado] Decreto Reglamentario No. 769 de 2014, compilado en el Decreto Único Reglamentario No. 1076 de 2015.</w:t>
      </w:r>
    </w:p>
    <w:p w14:paraId="139CF564" w14:textId="77777777" w:rsidR="0025688C" w:rsidRPr="00D6418E" w:rsidRDefault="0025688C" w:rsidP="00D6418E">
      <w:pPr>
        <w:pStyle w:val="Textonotapie"/>
        <w:ind w:firstLine="708"/>
        <w:jc w:val="both"/>
        <w:rPr>
          <w:rFonts w:ascii="Arial" w:hAnsi="Arial" w:cs="Arial"/>
          <w:sz w:val="19"/>
          <w:szCs w:val="19"/>
        </w:rPr>
      </w:pPr>
    </w:p>
  </w:footnote>
  <w:footnote w:id="7">
    <w:p w14:paraId="3D30CB45" w14:textId="77777777" w:rsidR="00D02095" w:rsidRPr="0055345F" w:rsidRDefault="00D02095" w:rsidP="0055345F">
      <w:pPr>
        <w:pStyle w:val="NormalWeb"/>
        <w:spacing w:before="0" w:beforeAutospacing="0" w:after="0" w:afterAutospacing="0"/>
        <w:ind w:firstLine="708"/>
        <w:jc w:val="both"/>
        <w:rPr>
          <w:rFonts w:ascii="Arial" w:hAnsi="Arial" w:cs="Arial"/>
          <w:color w:val="000000" w:themeColor="text1"/>
          <w:sz w:val="19"/>
          <w:szCs w:val="19"/>
        </w:rPr>
      </w:pPr>
      <w:r w:rsidRPr="0055345F">
        <w:rPr>
          <w:rStyle w:val="Refdenotaalpie"/>
          <w:rFonts w:ascii="Arial" w:hAnsi="Arial" w:cs="Arial"/>
          <w:color w:val="000000" w:themeColor="text1"/>
          <w:sz w:val="19"/>
          <w:szCs w:val="19"/>
        </w:rPr>
        <w:footnoteRef/>
      </w:r>
      <w:r w:rsidRPr="0055345F">
        <w:rPr>
          <w:rFonts w:ascii="Arial" w:hAnsi="Arial" w:cs="Arial"/>
          <w:color w:val="000000" w:themeColor="text1"/>
          <w:sz w:val="19"/>
          <w:szCs w:val="19"/>
        </w:rPr>
        <w:t xml:space="preserve"> Ley 1682 de 2013 «</w:t>
      </w:r>
      <w:r w:rsidRPr="0055345F">
        <w:rPr>
          <w:rStyle w:val="Textoennegrita"/>
          <w:rFonts w:ascii="Arial" w:hAnsi="Arial" w:cs="Arial"/>
          <w:b w:val="0"/>
          <w:bCs w:val="0"/>
          <w:color w:val="000000" w:themeColor="text1"/>
          <w:sz w:val="19"/>
          <w:szCs w:val="19"/>
        </w:rPr>
        <w:t>Artículo 44.</w:t>
      </w:r>
      <w:r w:rsidRPr="0055345F">
        <w:rPr>
          <w:rFonts w:ascii="Arial" w:hAnsi="Arial" w:cs="Arial"/>
          <w:color w:val="000000" w:themeColor="text1"/>
          <w:sz w:val="19"/>
          <w:szCs w:val="19"/>
        </w:rPr>
        <w:t> Los siguientes Proyectos de Infraestructura de Transporte no requerirán Licencia Ambiental: </w:t>
      </w:r>
    </w:p>
    <w:p w14:paraId="13F2F3E1" w14:textId="77777777" w:rsidR="00D02095" w:rsidRPr="0055345F" w:rsidRDefault="00D02095" w:rsidP="0055345F">
      <w:pPr>
        <w:pStyle w:val="NormalWeb"/>
        <w:spacing w:before="0" w:beforeAutospacing="0" w:after="0" w:afterAutospacing="0"/>
        <w:jc w:val="both"/>
        <w:rPr>
          <w:rFonts w:ascii="Arial" w:hAnsi="Arial" w:cs="Arial"/>
          <w:color w:val="000000" w:themeColor="text1"/>
          <w:sz w:val="19"/>
          <w:szCs w:val="19"/>
        </w:rPr>
      </w:pPr>
      <w:r w:rsidRPr="0055345F">
        <w:rPr>
          <w:rFonts w:ascii="Arial" w:hAnsi="Arial" w:cs="Arial"/>
          <w:color w:val="000000" w:themeColor="text1"/>
          <w:sz w:val="19"/>
          <w:szCs w:val="19"/>
        </w:rPr>
        <w:t>  </w:t>
      </w:r>
      <w:r w:rsidRPr="0055345F">
        <w:rPr>
          <w:rFonts w:ascii="Arial" w:hAnsi="Arial" w:cs="Arial"/>
          <w:color w:val="000000" w:themeColor="text1"/>
          <w:sz w:val="19"/>
          <w:szCs w:val="19"/>
        </w:rPr>
        <w:tab/>
        <w:t>»a) Proyectos de mantenimiento; </w:t>
      </w:r>
    </w:p>
    <w:p w14:paraId="6A82C219" w14:textId="77777777" w:rsidR="00D02095" w:rsidRPr="0055345F" w:rsidRDefault="00D02095" w:rsidP="0055345F">
      <w:pPr>
        <w:pStyle w:val="NormalWeb"/>
        <w:spacing w:before="0" w:beforeAutospacing="0" w:after="0" w:afterAutospacing="0"/>
        <w:jc w:val="both"/>
        <w:rPr>
          <w:rFonts w:ascii="Arial" w:hAnsi="Arial" w:cs="Arial"/>
          <w:color w:val="000000" w:themeColor="text1"/>
          <w:sz w:val="19"/>
          <w:szCs w:val="19"/>
        </w:rPr>
      </w:pPr>
      <w:r w:rsidRPr="0055345F">
        <w:rPr>
          <w:rFonts w:ascii="Arial" w:hAnsi="Arial" w:cs="Arial"/>
          <w:color w:val="000000" w:themeColor="text1"/>
          <w:sz w:val="19"/>
          <w:szCs w:val="19"/>
        </w:rPr>
        <w:t>  </w:t>
      </w:r>
      <w:r w:rsidRPr="0055345F">
        <w:rPr>
          <w:rFonts w:ascii="Arial" w:hAnsi="Arial" w:cs="Arial"/>
          <w:color w:val="000000" w:themeColor="text1"/>
          <w:sz w:val="19"/>
          <w:szCs w:val="19"/>
        </w:rPr>
        <w:tab/>
        <w:t>»b) Proyectos de rehabilitación; </w:t>
      </w:r>
    </w:p>
    <w:p w14:paraId="355D1E3C" w14:textId="77777777" w:rsidR="00D02095" w:rsidRPr="0055345F" w:rsidRDefault="00D02095" w:rsidP="0055345F">
      <w:pPr>
        <w:pStyle w:val="NormalWeb"/>
        <w:spacing w:before="0" w:beforeAutospacing="0" w:after="0" w:afterAutospacing="0"/>
        <w:jc w:val="both"/>
        <w:rPr>
          <w:rFonts w:ascii="Arial" w:hAnsi="Arial" w:cs="Arial"/>
          <w:color w:val="000000" w:themeColor="text1"/>
          <w:sz w:val="19"/>
          <w:szCs w:val="19"/>
        </w:rPr>
      </w:pPr>
      <w:r w:rsidRPr="0055345F">
        <w:rPr>
          <w:rFonts w:ascii="Arial" w:hAnsi="Arial" w:cs="Arial"/>
          <w:color w:val="000000" w:themeColor="text1"/>
          <w:sz w:val="19"/>
          <w:szCs w:val="19"/>
        </w:rPr>
        <w:t>  </w:t>
      </w:r>
      <w:r w:rsidRPr="0055345F">
        <w:rPr>
          <w:rFonts w:ascii="Arial" w:hAnsi="Arial" w:cs="Arial"/>
          <w:color w:val="000000" w:themeColor="text1"/>
          <w:sz w:val="19"/>
          <w:szCs w:val="19"/>
        </w:rPr>
        <w:tab/>
        <w:t>»c) Proyectos de mejoramiento. </w:t>
      </w:r>
    </w:p>
    <w:p w14:paraId="505DC5E1" w14:textId="77777777" w:rsidR="00D02095" w:rsidRPr="0055345F" w:rsidRDefault="00D02095" w:rsidP="0055345F">
      <w:pPr>
        <w:pStyle w:val="NormalWeb"/>
        <w:spacing w:before="0" w:beforeAutospacing="0" w:after="0" w:afterAutospacing="0"/>
        <w:jc w:val="both"/>
        <w:rPr>
          <w:rFonts w:ascii="Arial" w:hAnsi="Arial" w:cs="Arial"/>
          <w:color w:val="000000" w:themeColor="text1"/>
          <w:sz w:val="19"/>
          <w:szCs w:val="19"/>
        </w:rPr>
      </w:pPr>
      <w:r w:rsidRPr="0055345F">
        <w:rPr>
          <w:rFonts w:ascii="Arial" w:hAnsi="Arial" w:cs="Arial"/>
          <w:color w:val="000000" w:themeColor="text1"/>
          <w:sz w:val="19"/>
          <w:szCs w:val="19"/>
        </w:rPr>
        <w:t>  </w:t>
      </w:r>
      <w:r w:rsidRPr="0055345F">
        <w:rPr>
          <w:rFonts w:ascii="Arial" w:hAnsi="Arial" w:cs="Arial"/>
          <w:color w:val="000000" w:themeColor="text1"/>
          <w:sz w:val="19"/>
          <w:szCs w:val="19"/>
        </w:rPr>
        <w:tab/>
        <w:t>»Para el debido cumplimiento de la presente disposición, el Gobierno Nacional, que para estos efectos se entiende conformado por los Ministerios de Transporte y Ambiente, en coordinación con la Autoridad Nacional de Licencias Ambientales, reglamentará en un término máximo de noventa (90) días calendario, a partir de la fecha de expedición de esta ley, el listado de actividades de mejoramiento en proyectos de infraestructura de transporte. </w:t>
      </w:r>
    </w:p>
    <w:p w14:paraId="387D19A9" w14:textId="77777777" w:rsidR="00D02095" w:rsidRPr="0055345F" w:rsidRDefault="00D02095" w:rsidP="0055345F">
      <w:pPr>
        <w:pStyle w:val="NormalWeb"/>
        <w:spacing w:before="0" w:beforeAutospacing="0" w:after="0" w:afterAutospacing="0"/>
        <w:ind w:firstLine="708"/>
        <w:jc w:val="both"/>
        <w:rPr>
          <w:rFonts w:ascii="Arial" w:hAnsi="Arial" w:cs="Arial"/>
          <w:color w:val="000000" w:themeColor="text1"/>
          <w:sz w:val="19"/>
          <w:szCs w:val="19"/>
        </w:rPr>
      </w:pPr>
      <w:r w:rsidRPr="0055345F">
        <w:rPr>
          <w:rStyle w:val="Textoennegrita"/>
          <w:rFonts w:ascii="Arial" w:hAnsi="Arial" w:cs="Arial"/>
          <w:b w:val="0"/>
          <w:bCs w:val="0"/>
          <w:color w:val="000000" w:themeColor="text1"/>
          <w:sz w:val="19"/>
          <w:szCs w:val="19"/>
        </w:rPr>
        <w:t>»Parágrafo.</w:t>
      </w:r>
      <w:r w:rsidRPr="0055345F">
        <w:rPr>
          <w:rFonts w:ascii="Arial" w:hAnsi="Arial" w:cs="Arial"/>
          <w:color w:val="000000" w:themeColor="text1"/>
          <w:sz w:val="19"/>
          <w:szCs w:val="19"/>
        </w:rPr>
        <w:t> En el evento que una o más actividades de mejoramiento requiera permisos o autorizaciones ambientales, la entidad pública responsable del proyecto de infraestructura de transporte o quien haga sus veces, deberá tramitarlos y obtenerlos, cuando a ello haya lugar». </w:t>
      </w:r>
    </w:p>
  </w:footnote>
  <w:footnote w:id="8">
    <w:p w14:paraId="58C26508" w14:textId="37704B4E" w:rsidR="006A616D" w:rsidRPr="0055345F" w:rsidRDefault="006A616D" w:rsidP="0055345F">
      <w:pPr>
        <w:pStyle w:val="Textonotapie"/>
        <w:ind w:firstLine="708"/>
        <w:jc w:val="both"/>
        <w:rPr>
          <w:rFonts w:ascii="Arial" w:hAnsi="Arial" w:cs="Arial"/>
          <w:color w:val="000000" w:themeColor="text1"/>
          <w:sz w:val="19"/>
          <w:szCs w:val="19"/>
        </w:rPr>
      </w:pPr>
      <w:r w:rsidRPr="0055345F">
        <w:rPr>
          <w:rStyle w:val="Refdenotaalpie"/>
          <w:rFonts w:ascii="Arial" w:hAnsi="Arial" w:cs="Arial"/>
          <w:color w:val="000000" w:themeColor="text1"/>
          <w:sz w:val="19"/>
          <w:szCs w:val="19"/>
        </w:rPr>
        <w:footnoteRef/>
      </w:r>
      <w:r w:rsidRPr="0055345F">
        <w:rPr>
          <w:rFonts w:ascii="Arial" w:hAnsi="Arial" w:cs="Arial"/>
          <w:color w:val="000000" w:themeColor="text1"/>
          <w:sz w:val="19"/>
          <w:szCs w:val="19"/>
        </w:rPr>
        <w:t xml:space="preserve"> Agencia Nacional de Contratación Pública – Colombia Compra Eficiente. Documento Base</w:t>
      </w:r>
      <w:r w:rsidR="00585FCD">
        <w:rPr>
          <w:rFonts w:ascii="Arial" w:hAnsi="Arial" w:cs="Arial"/>
          <w:color w:val="000000" w:themeColor="text1"/>
          <w:sz w:val="19"/>
          <w:szCs w:val="19"/>
        </w:rPr>
        <w:t xml:space="preserve"> del documento tipo de licitación de obra pública de infraestructura de </w:t>
      </w:r>
      <w:r w:rsidR="00E232D4">
        <w:rPr>
          <w:rFonts w:ascii="Arial" w:hAnsi="Arial" w:cs="Arial"/>
          <w:color w:val="000000" w:themeColor="text1"/>
          <w:sz w:val="19"/>
          <w:szCs w:val="19"/>
        </w:rPr>
        <w:t>transporte</w:t>
      </w:r>
      <w:r w:rsidRPr="0055345F">
        <w:rPr>
          <w:rFonts w:ascii="Arial" w:hAnsi="Arial" w:cs="Arial"/>
          <w:color w:val="000000" w:themeColor="text1"/>
          <w:sz w:val="19"/>
          <w:szCs w:val="19"/>
        </w:rPr>
        <w:t>:</w:t>
      </w:r>
      <w:r w:rsidR="00CD5A6D" w:rsidRPr="0055345F">
        <w:rPr>
          <w:rFonts w:ascii="Arial" w:hAnsi="Arial" w:cs="Arial"/>
          <w:color w:val="000000" w:themeColor="text1"/>
          <w:sz w:val="19"/>
          <w:szCs w:val="19"/>
        </w:rPr>
        <w:t xml:space="preserve"> </w:t>
      </w:r>
      <w:r w:rsidRPr="0055345F">
        <w:rPr>
          <w:rFonts w:ascii="Arial" w:hAnsi="Arial" w:cs="Arial"/>
          <w:color w:val="000000" w:themeColor="text1"/>
          <w:sz w:val="19"/>
          <w:szCs w:val="19"/>
        </w:rPr>
        <w:t>«3.5.5.</w:t>
      </w:r>
      <w:r w:rsidRPr="0055345F">
        <w:rPr>
          <w:rFonts w:ascii="Arial" w:hAnsi="Arial" w:cs="Arial"/>
          <w:color w:val="000000" w:themeColor="text1"/>
          <w:sz w:val="19"/>
          <w:szCs w:val="19"/>
        </w:rPr>
        <w:tab/>
        <w:t>ACREDITACIÓN DE LA EXPERIENCIA REQUERIDA</w:t>
      </w:r>
    </w:p>
    <w:p w14:paraId="34AAC384" w14:textId="77777777" w:rsidR="006A616D" w:rsidRPr="0055345F" w:rsidRDefault="006A616D" w:rsidP="0055345F">
      <w:pPr>
        <w:pStyle w:val="Textonotapie"/>
        <w:ind w:firstLine="708"/>
        <w:jc w:val="both"/>
        <w:rPr>
          <w:rFonts w:ascii="Arial" w:hAnsi="Arial" w:cs="Arial"/>
          <w:color w:val="000000" w:themeColor="text1"/>
          <w:sz w:val="19"/>
          <w:szCs w:val="19"/>
        </w:rPr>
      </w:pPr>
      <w:r w:rsidRPr="0055345F">
        <w:rPr>
          <w:rFonts w:ascii="Arial" w:hAnsi="Arial" w:cs="Arial"/>
          <w:color w:val="000000" w:themeColor="text1"/>
          <w:sz w:val="19"/>
          <w:szCs w:val="19"/>
        </w:rPr>
        <w:t xml:space="preserve">»Los proponentes acreditarán para cada uno de los contratos aportados la siguiente información mediante alguno de los documentos señalados en la sección 3.5.5 del pliego de condiciones: </w:t>
      </w:r>
    </w:p>
    <w:p w14:paraId="161B701A" w14:textId="77777777" w:rsidR="006A616D" w:rsidRPr="0055345F" w:rsidRDefault="006A616D" w:rsidP="0055345F">
      <w:pPr>
        <w:pStyle w:val="Textonotapie"/>
        <w:ind w:firstLine="708"/>
        <w:jc w:val="both"/>
        <w:rPr>
          <w:rFonts w:ascii="Arial" w:hAnsi="Arial" w:cs="Arial"/>
          <w:color w:val="000000" w:themeColor="text1"/>
          <w:sz w:val="19"/>
          <w:szCs w:val="19"/>
        </w:rPr>
      </w:pPr>
      <w:r w:rsidRPr="0055345F">
        <w:rPr>
          <w:rFonts w:ascii="Arial" w:hAnsi="Arial" w:cs="Arial"/>
          <w:color w:val="000000" w:themeColor="text1"/>
          <w:sz w:val="19"/>
          <w:szCs w:val="19"/>
        </w:rPr>
        <w:t>»A.</w:t>
      </w:r>
      <w:r w:rsidRPr="0055345F">
        <w:rPr>
          <w:rFonts w:ascii="Arial" w:hAnsi="Arial" w:cs="Arial"/>
          <w:color w:val="000000" w:themeColor="text1"/>
          <w:sz w:val="19"/>
          <w:szCs w:val="19"/>
        </w:rPr>
        <w:tab/>
        <w:t>Contratante</w:t>
      </w:r>
    </w:p>
    <w:p w14:paraId="35A8646C" w14:textId="77777777" w:rsidR="006A616D" w:rsidRPr="0055345F" w:rsidRDefault="006A616D" w:rsidP="0055345F">
      <w:pPr>
        <w:pStyle w:val="Textonotapie"/>
        <w:ind w:firstLine="708"/>
        <w:jc w:val="both"/>
        <w:rPr>
          <w:rFonts w:ascii="Arial" w:hAnsi="Arial" w:cs="Arial"/>
          <w:color w:val="000000" w:themeColor="text1"/>
          <w:sz w:val="19"/>
          <w:szCs w:val="19"/>
        </w:rPr>
      </w:pPr>
      <w:r w:rsidRPr="0055345F">
        <w:rPr>
          <w:rFonts w:ascii="Arial" w:hAnsi="Arial" w:cs="Arial"/>
          <w:color w:val="000000" w:themeColor="text1"/>
          <w:sz w:val="19"/>
          <w:szCs w:val="19"/>
        </w:rPr>
        <w:t>»B.</w:t>
      </w:r>
      <w:r w:rsidRPr="0055345F">
        <w:rPr>
          <w:rFonts w:ascii="Arial" w:hAnsi="Arial" w:cs="Arial"/>
          <w:color w:val="000000" w:themeColor="text1"/>
          <w:sz w:val="19"/>
          <w:szCs w:val="19"/>
        </w:rPr>
        <w:tab/>
        <w:t>Objeto del contrato</w:t>
      </w:r>
    </w:p>
    <w:p w14:paraId="182147F2" w14:textId="77777777" w:rsidR="006A616D" w:rsidRPr="0055345F" w:rsidRDefault="006A616D" w:rsidP="0055345F">
      <w:pPr>
        <w:pStyle w:val="Textonotapie"/>
        <w:ind w:firstLine="708"/>
        <w:jc w:val="both"/>
        <w:rPr>
          <w:rFonts w:ascii="Arial" w:hAnsi="Arial" w:cs="Arial"/>
          <w:color w:val="000000" w:themeColor="text1"/>
          <w:sz w:val="19"/>
          <w:szCs w:val="19"/>
        </w:rPr>
      </w:pPr>
      <w:r w:rsidRPr="0055345F">
        <w:rPr>
          <w:rFonts w:ascii="Arial" w:hAnsi="Arial" w:cs="Arial"/>
          <w:color w:val="000000" w:themeColor="text1"/>
          <w:sz w:val="19"/>
          <w:szCs w:val="19"/>
        </w:rPr>
        <w:t>»C.</w:t>
      </w:r>
      <w:r w:rsidRPr="0055345F">
        <w:rPr>
          <w:rFonts w:ascii="Arial" w:hAnsi="Arial" w:cs="Arial"/>
          <w:color w:val="000000" w:themeColor="text1"/>
          <w:sz w:val="19"/>
          <w:szCs w:val="19"/>
        </w:rPr>
        <w:tab/>
        <w:t>Principales actividades ejecutadas</w:t>
      </w:r>
    </w:p>
    <w:p w14:paraId="4FD1D80B" w14:textId="77777777" w:rsidR="006A616D" w:rsidRPr="0055345F" w:rsidRDefault="006A616D" w:rsidP="0055345F">
      <w:pPr>
        <w:pStyle w:val="Textonotapie"/>
        <w:ind w:firstLine="708"/>
        <w:jc w:val="both"/>
        <w:rPr>
          <w:rFonts w:ascii="Arial" w:hAnsi="Arial" w:cs="Arial"/>
          <w:color w:val="000000" w:themeColor="text1"/>
          <w:sz w:val="19"/>
          <w:szCs w:val="19"/>
        </w:rPr>
      </w:pPr>
      <w:r w:rsidRPr="0055345F">
        <w:rPr>
          <w:rFonts w:ascii="Arial" w:hAnsi="Arial" w:cs="Arial"/>
          <w:color w:val="000000" w:themeColor="text1"/>
          <w:sz w:val="19"/>
          <w:szCs w:val="19"/>
        </w:rPr>
        <w:t>»D.</w:t>
      </w:r>
      <w:r w:rsidRPr="0055345F">
        <w:rPr>
          <w:rFonts w:ascii="Arial" w:hAnsi="Arial" w:cs="Arial"/>
          <w:color w:val="000000" w:themeColor="text1"/>
          <w:sz w:val="19"/>
          <w:szCs w:val="19"/>
        </w:rPr>
        <w:tab/>
        <w:t>Las longitudes, volúmenes, dimensiones, tipologías y demás condiciones de experiencia establecidas en la Matriz 1 – Experiencia, si aplica.</w:t>
      </w:r>
    </w:p>
    <w:p w14:paraId="405A02A0" w14:textId="77777777" w:rsidR="006A616D" w:rsidRPr="0055345F" w:rsidRDefault="006A616D" w:rsidP="0055345F">
      <w:pPr>
        <w:pStyle w:val="Textonotapie"/>
        <w:ind w:firstLine="708"/>
        <w:jc w:val="both"/>
        <w:rPr>
          <w:rFonts w:ascii="Arial" w:hAnsi="Arial" w:cs="Arial"/>
          <w:color w:val="000000" w:themeColor="text1"/>
          <w:sz w:val="19"/>
          <w:szCs w:val="19"/>
        </w:rPr>
      </w:pPr>
      <w:r w:rsidRPr="0055345F">
        <w:rPr>
          <w:rFonts w:ascii="Arial" w:hAnsi="Arial" w:cs="Arial"/>
          <w:color w:val="000000" w:themeColor="text1"/>
          <w:sz w:val="19"/>
          <w:szCs w:val="19"/>
        </w:rPr>
        <w:t>»E.</w:t>
      </w:r>
      <w:r w:rsidRPr="0055345F">
        <w:rPr>
          <w:rFonts w:ascii="Arial" w:hAnsi="Arial" w:cs="Arial"/>
          <w:color w:val="000000" w:themeColor="text1"/>
          <w:sz w:val="19"/>
          <w:szCs w:val="19"/>
        </w:rPr>
        <w:tab/>
        <w:t xml:space="preserve">La fecha de iniciación de la ejecución del contrato: Esta fecha es diferente a la de suscripción del contrato, a menos que de los documentos del numeral 3.5.5 de forma expresa así se determine. </w:t>
      </w:r>
    </w:p>
    <w:p w14:paraId="58238BCA" w14:textId="77777777" w:rsidR="006A616D" w:rsidRPr="0055345F" w:rsidRDefault="006A616D" w:rsidP="0055345F">
      <w:pPr>
        <w:pStyle w:val="Textonotapie"/>
        <w:ind w:firstLine="708"/>
        <w:jc w:val="both"/>
        <w:rPr>
          <w:rFonts w:ascii="Arial" w:hAnsi="Arial" w:cs="Arial"/>
          <w:color w:val="000000" w:themeColor="text1"/>
          <w:sz w:val="19"/>
          <w:szCs w:val="19"/>
        </w:rPr>
      </w:pPr>
      <w:r w:rsidRPr="0055345F">
        <w:rPr>
          <w:rFonts w:ascii="Arial" w:hAnsi="Arial" w:cs="Arial"/>
          <w:color w:val="000000" w:themeColor="text1"/>
          <w:sz w:val="19"/>
          <w:szCs w:val="19"/>
        </w:rPr>
        <w:t>»Si en los documentos válidos aportados para la acreditación de experiencia solo se evidencia fecha (mes, año) de suscripción y/o inicio del contrato: se tendrá en cuenta el último día del mes que se encuentre señalado en la certificación.</w:t>
      </w:r>
    </w:p>
    <w:p w14:paraId="66B6B227" w14:textId="77777777" w:rsidR="006A616D" w:rsidRPr="0055345F" w:rsidRDefault="006A616D" w:rsidP="0055345F">
      <w:pPr>
        <w:pStyle w:val="Textonotapie"/>
        <w:ind w:firstLine="708"/>
        <w:jc w:val="both"/>
        <w:rPr>
          <w:rFonts w:ascii="Arial" w:hAnsi="Arial" w:cs="Arial"/>
          <w:color w:val="000000" w:themeColor="text1"/>
          <w:sz w:val="19"/>
          <w:szCs w:val="19"/>
        </w:rPr>
      </w:pPr>
      <w:r w:rsidRPr="0055345F">
        <w:rPr>
          <w:rFonts w:ascii="Arial" w:hAnsi="Arial" w:cs="Arial"/>
          <w:color w:val="000000" w:themeColor="text1"/>
          <w:sz w:val="19"/>
          <w:szCs w:val="19"/>
        </w:rPr>
        <w:t>»F.</w:t>
      </w:r>
      <w:r w:rsidRPr="0055345F">
        <w:rPr>
          <w:rFonts w:ascii="Arial" w:hAnsi="Arial" w:cs="Arial"/>
          <w:color w:val="000000" w:themeColor="text1"/>
          <w:sz w:val="19"/>
          <w:szCs w:val="19"/>
        </w:rPr>
        <w:tab/>
        <w:t xml:space="preserve">La fecha de terminación de la ejecución del contrato: Esta fecha de terminación no es la fecha de entrega y/o recibo final, liquidación, o acta final, salvo que de los documentos del numeral 3.5.5 de forma expresa así se determine.  </w:t>
      </w:r>
    </w:p>
    <w:p w14:paraId="09DD5FFB" w14:textId="77777777" w:rsidR="006A616D" w:rsidRPr="0055345F" w:rsidRDefault="006A616D" w:rsidP="0055345F">
      <w:pPr>
        <w:pStyle w:val="Textonotapie"/>
        <w:jc w:val="both"/>
        <w:rPr>
          <w:rFonts w:ascii="Arial" w:hAnsi="Arial" w:cs="Arial"/>
          <w:color w:val="000000" w:themeColor="text1"/>
          <w:sz w:val="19"/>
          <w:szCs w:val="19"/>
        </w:rPr>
      </w:pPr>
      <w:r w:rsidRPr="0055345F">
        <w:rPr>
          <w:rFonts w:ascii="Arial" w:hAnsi="Arial" w:cs="Arial"/>
          <w:color w:val="000000" w:themeColor="text1"/>
          <w:sz w:val="19"/>
          <w:szCs w:val="19"/>
        </w:rPr>
        <w:t>Si en los documentos válidos aportados para la acreditación de experiencia solo se evidencia fecha (mes, año) de terminación del contrato: se tendrá en cuenta el primer día del mes que se encuentre señalado en la certificación.</w:t>
      </w:r>
    </w:p>
    <w:p w14:paraId="0CB7E38C" w14:textId="77777777" w:rsidR="006A616D" w:rsidRPr="0055345F" w:rsidRDefault="006A616D" w:rsidP="0055345F">
      <w:pPr>
        <w:pStyle w:val="Textonotapie"/>
        <w:ind w:firstLine="708"/>
        <w:jc w:val="both"/>
        <w:rPr>
          <w:rFonts w:ascii="Arial" w:hAnsi="Arial" w:cs="Arial"/>
          <w:color w:val="000000" w:themeColor="text1"/>
          <w:sz w:val="19"/>
          <w:szCs w:val="19"/>
        </w:rPr>
      </w:pPr>
      <w:r w:rsidRPr="0055345F">
        <w:rPr>
          <w:rFonts w:ascii="Arial" w:hAnsi="Arial" w:cs="Arial"/>
          <w:color w:val="000000" w:themeColor="text1"/>
          <w:sz w:val="19"/>
          <w:szCs w:val="19"/>
        </w:rPr>
        <w:t>»G.</w:t>
      </w:r>
      <w:r w:rsidRPr="0055345F">
        <w:rPr>
          <w:rFonts w:ascii="Arial" w:hAnsi="Arial" w:cs="Arial"/>
          <w:color w:val="000000" w:themeColor="text1"/>
          <w:sz w:val="19"/>
          <w:szCs w:val="19"/>
        </w:rPr>
        <w:tab/>
        <w:t>Nombre y cargo de la persona que expide la certificación.</w:t>
      </w:r>
    </w:p>
    <w:p w14:paraId="05A130A7" w14:textId="77777777" w:rsidR="006A616D" w:rsidRPr="0055345F" w:rsidRDefault="006A616D" w:rsidP="0055345F">
      <w:pPr>
        <w:pStyle w:val="Textonotapie"/>
        <w:ind w:firstLine="708"/>
        <w:jc w:val="both"/>
        <w:rPr>
          <w:rFonts w:ascii="Arial" w:hAnsi="Arial" w:cs="Arial"/>
          <w:color w:val="000000" w:themeColor="text1"/>
          <w:sz w:val="19"/>
          <w:szCs w:val="19"/>
        </w:rPr>
      </w:pPr>
      <w:r w:rsidRPr="0055345F">
        <w:rPr>
          <w:rFonts w:ascii="Arial" w:hAnsi="Arial" w:cs="Arial"/>
          <w:color w:val="000000" w:themeColor="text1"/>
          <w:sz w:val="19"/>
          <w:szCs w:val="19"/>
        </w:rPr>
        <w:t>»H.</w:t>
      </w:r>
      <w:r w:rsidRPr="0055345F">
        <w:rPr>
          <w:rFonts w:ascii="Arial" w:hAnsi="Arial" w:cs="Arial"/>
          <w:color w:val="000000" w:themeColor="text1"/>
          <w:sz w:val="19"/>
          <w:szCs w:val="19"/>
        </w:rPr>
        <w:tab/>
        <w:t>El porcentaje de participación del integrante del contratista plural.</w:t>
      </w:r>
    </w:p>
    <w:p w14:paraId="13D43264" w14:textId="77777777" w:rsidR="006A616D" w:rsidRPr="0055345F" w:rsidRDefault="006A616D" w:rsidP="0055345F">
      <w:pPr>
        <w:pStyle w:val="Textonotapie"/>
        <w:ind w:firstLine="708"/>
        <w:jc w:val="both"/>
        <w:rPr>
          <w:rFonts w:ascii="Arial" w:hAnsi="Arial" w:cs="Arial"/>
          <w:color w:val="000000" w:themeColor="text1"/>
          <w:sz w:val="19"/>
          <w:szCs w:val="19"/>
        </w:rPr>
      </w:pPr>
      <w:r w:rsidRPr="0055345F">
        <w:rPr>
          <w:rFonts w:ascii="Arial" w:hAnsi="Arial" w:cs="Arial"/>
          <w:color w:val="000000" w:themeColor="text1"/>
          <w:sz w:val="19"/>
          <w:szCs w:val="19"/>
        </w:rPr>
        <w:t>»I.</w:t>
      </w:r>
      <w:r w:rsidRPr="0055345F">
        <w:rPr>
          <w:rFonts w:ascii="Arial" w:hAnsi="Arial" w:cs="Arial"/>
          <w:color w:val="000000" w:themeColor="text1"/>
          <w:sz w:val="19"/>
          <w:szCs w:val="19"/>
        </w:rPr>
        <w:tab/>
        <w:t>El porcentaje de participación en el valor ejecutado en el caso de contratistas plurales».</w:t>
      </w:r>
    </w:p>
  </w:footnote>
  <w:footnote w:id="9">
    <w:p w14:paraId="4E9DD0E3" w14:textId="77777777" w:rsidR="006A616D" w:rsidRPr="0055345F" w:rsidRDefault="006A616D" w:rsidP="0055345F">
      <w:pPr>
        <w:pStyle w:val="Textonotapie"/>
        <w:ind w:firstLine="708"/>
        <w:jc w:val="both"/>
        <w:rPr>
          <w:rFonts w:ascii="Arial" w:hAnsi="Arial" w:cs="Arial"/>
          <w:color w:val="000000" w:themeColor="text1"/>
          <w:sz w:val="19"/>
          <w:szCs w:val="19"/>
        </w:rPr>
      </w:pPr>
    </w:p>
    <w:p w14:paraId="176374E6" w14:textId="7505025C" w:rsidR="006A616D" w:rsidRPr="0055345F" w:rsidRDefault="006A616D" w:rsidP="0055345F">
      <w:pPr>
        <w:pStyle w:val="Textonotapie"/>
        <w:ind w:firstLine="708"/>
        <w:jc w:val="both"/>
        <w:rPr>
          <w:rFonts w:ascii="Arial" w:hAnsi="Arial" w:cs="Arial"/>
          <w:color w:val="000000" w:themeColor="text1"/>
          <w:sz w:val="19"/>
          <w:szCs w:val="19"/>
        </w:rPr>
      </w:pPr>
      <w:r w:rsidRPr="0055345F">
        <w:rPr>
          <w:rStyle w:val="Refdenotaalpie"/>
          <w:rFonts w:ascii="Arial" w:hAnsi="Arial" w:cs="Arial"/>
          <w:color w:val="000000" w:themeColor="text1"/>
          <w:sz w:val="19"/>
          <w:szCs w:val="19"/>
        </w:rPr>
        <w:footnoteRef/>
      </w:r>
      <w:r w:rsidRPr="0055345F">
        <w:rPr>
          <w:rFonts w:ascii="Arial" w:hAnsi="Arial" w:cs="Arial"/>
          <w:color w:val="000000" w:themeColor="text1"/>
          <w:sz w:val="19"/>
          <w:szCs w:val="19"/>
        </w:rPr>
        <w:t xml:space="preserve"> </w:t>
      </w:r>
      <w:r w:rsidR="00E232D4">
        <w:rPr>
          <w:rFonts w:ascii="Arial" w:hAnsi="Arial" w:cs="Arial"/>
          <w:color w:val="000000" w:themeColor="text1"/>
          <w:sz w:val="19"/>
          <w:szCs w:val="19"/>
        </w:rPr>
        <w:t xml:space="preserve">Ibíd. </w:t>
      </w:r>
      <w:r w:rsidRPr="0055345F">
        <w:rPr>
          <w:rFonts w:ascii="Arial" w:hAnsi="Arial" w:cs="Arial"/>
          <w:color w:val="000000" w:themeColor="text1"/>
          <w:sz w:val="19"/>
          <w:szCs w:val="19"/>
        </w:rPr>
        <w:t>«3.5.6.</w:t>
      </w:r>
      <w:r w:rsidRPr="0055345F">
        <w:rPr>
          <w:rFonts w:ascii="Arial" w:hAnsi="Arial" w:cs="Arial"/>
          <w:color w:val="000000" w:themeColor="text1"/>
          <w:sz w:val="19"/>
          <w:szCs w:val="19"/>
        </w:rPr>
        <w:tab/>
        <w:t>DOCUMENTOS VÁLIDOS PARA LA ACREDITACIÓN DE LA EXPERIENCIA REQUERIDA</w:t>
      </w:r>
    </w:p>
    <w:p w14:paraId="5D886CA0" w14:textId="77777777" w:rsidR="006A616D" w:rsidRPr="0055345F" w:rsidRDefault="006A616D" w:rsidP="0055345F">
      <w:pPr>
        <w:pStyle w:val="Textonotapie"/>
        <w:ind w:firstLine="708"/>
        <w:jc w:val="both"/>
        <w:rPr>
          <w:rFonts w:ascii="Arial" w:hAnsi="Arial" w:cs="Arial"/>
          <w:color w:val="000000" w:themeColor="text1"/>
          <w:sz w:val="19"/>
          <w:szCs w:val="19"/>
        </w:rPr>
      </w:pPr>
      <w:r w:rsidRPr="0055345F">
        <w:rPr>
          <w:rFonts w:ascii="Arial" w:hAnsi="Arial" w:cs="Arial"/>
          <w:color w:val="000000" w:themeColor="text1"/>
          <w:sz w:val="19"/>
          <w:szCs w:val="19"/>
        </w:rPr>
        <w:t>»En aquellos casos en que por las características del objeto a contratar se requiera verificar información adicional a la contenida en el RUP, el proponente podrá aportar uno o algunos de los documentos que se establecen a continuación, para que la entidad realice la verificación en forma directa. Los mismos deberán estar debidamente diligenciados y suscritos por el contratante, el contratista o el interventor, según corresponda. En caso de existir discrepancias entre dos (2) o más documentos aportados por el proponente para la acreditación de experiencia, se tendrá en cuenta el orden de prevalencia establecido a continuación:</w:t>
      </w:r>
    </w:p>
    <w:p w14:paraId="55BC247E" w14:textId="77777777" w:rsidR="006A616D" w:rsidRPr="0055345F" w:rsidRDefault="006A616D" w:rsidP="0055345F">
      <w:pPr>
        <w:pStyle w:val="Textonotapie"/>
        <w:ind w:firstLine="708"/>
        <w:jc w:val="both"/>
        <w:rPr>
          <w:rFonts w:ascii="Arial" w:hAnsi="Arial" w:cs="Arial"/>
          <w:color w:val="000000" w:themeColor="text1"/>
          <w:sz w:val="19"/>
          <w:szCs w:val="19"/>
        </w:rPr>
      </w:pPr>
      <w:r w:rsidRPr="0055345F">
        <w:rPr>
          <w:rFonts w:ascii="Arial" w:hAnsi="Arial" w:cs="Arial"/>
          <w:color w:val="000000" w:themeColor="text1"/>
          <w:sz w:val="19"/>
          <w:szCs w:val="19"/>
        </w:rPr>
        <w:t>»A.</w:t>
      </w:r>
      <w:r w:rsidRPr="0055345F">
        <w:rPr>
          <w:rFonts w:ascii="Arial" w:hAnsi="Arial" w:cs="Arial"/>
          <w:color w:val="000000" w:themeColor="text1"/>
          <w:sz w:val="19"/>
          <w:szCs w:val="19"/>
        </w:rPr>
        <w:tab/>
        <w:t>Acta de liquidación</w:t>
      </w:r>
    </w:p>
    <w:p w14:paraId="2DD0E4F8" w14:textId="77777777" w:rsidR="006A616D" w:rsidRPr="0055345F" w:rsidRDefault="006A616D" w:rsidP="0055345F">
      <w:pPr>
        <w:pStyle w:val="Textonotapie"/>
        <w:ind w:firstLine="708"/>
        <w:jc w:val="both"/>
        <w:rPr>
          <w:rFonts w:ascii="Arial" w:hAnsi="Arial" w:cs="Arial"/>
          <w:color w:val="000000" w:themeColor="text1"/>
          <w:sz w:val="19"/>
          <w:szCs w:val="19"/>
        </w:rPr>
      </w:pPr>
      <w:r w:rsidRPr="0055345F">
        <w:rPr>
          <w:rFonts w:ascii="Arial" w:hAnsi="Arial" w:cs="Arial"/>
          <w:color w:val="000000" w:themeColor="text1"/>
          <w:sz w:val="19"/>
          <w:szCs w:val="19"/>
        </w:rPr>
        <w:t>»B.</w:t>
      </w:r>
      <w:r w:rsidRPr="0055345F">
        <w:rPr>
          <w:rFonts w:ascii="Arial" w:hAnsi="Arial" w:cs="Arial"/>
          <w:color w:val="000000" w:themeColor="text1"/>
          <w:sz w:val="19"/>
          <w:szCs w:val="19"/>
        </w:rPr>
        <w:tab/>
        <w:t xml:space="preserve">Acta de entrega, terminación, final o de recibo definitivo. </w:t>
      </w:r>
    </w:p>
    <w:p w14:paraId="41ECC6D9" w14:textId="77777777" w:rsidR="006A616D" w:rsidRPr="0055345F" w:rsidRDefault="006A616D" w:rsidP="0055345F">
      <w:pPr>
        <w:pStyle w:val="Textonotapie"/>
        <w:ind w:firstLine="708"/>
        <w:jc w:val="both"/>
        <w:rPr>
          <w:rFonts w:ascii="Arial" w:hAnsi="Arial" w:cs="Arial"/>
          <w:color w:val="000000" w:themeColor="text1"/>
          <w:sz w:val="19"/>
          <w:szCs w:val="19"/>
        </w:rPr>
      </w:pPr>
      <w:r w:rsidRPr="0055345F">
        <w:rPr>
          <w:rFonts w:ascii="Arial" w:hAnsi="Arial" w:cs="Arial"/>
          <w:color w:val="000000" w:themeColor="text1"/>
          <w:sz w:val="19"/>
          <w:szCs w:val="19"/>
        </w:rPr>
        <w:t>»C.</w:t>
      </w:r>
      <w:r w:rsidRPr="0055345F">
        <w:rPr>
          <w:rFonts w:ascii="Arial" w:hAnsi="Arial" w:cs="Arial"/>
          <w:color w:val="000000" w:themeColor="text1"/>
          <w:sz w:val="19"/>
          <w:szCs w:val="19"/>
        </w:rPr>
        <w:tab/>
        <w:t>Certificación de experiencia. Expedida con posterioridad a la fecha de terminación del contrato en la que conste el recibo a satisfacción de la obra contratada debidamente suscrita por quien esté en capacidad u obligación de hacerlo.</w:t>
      </w:r>
    </w:p>
    <w:p w14:paraId="33955AFC" w14:textId="77777777" w:rsidR="006A616D" w:rsidRPr="0055345F" w:rsidRDefault="006A616D" w:rsidP="0055345F">
      <w:pPr>
        <w:pStyle w:val="Textonotapie"/>
        <w:ind w:firstLine="708"/>
        <w:jc w:val="both"/>
        <w:rPr>
          <w:rFonts w:ascii="Arial" w:hAnsi="Arial" w:cs="Arial"/>
          <w:color w:val="000000" w:themeColor="text1"/>
          <w:sz w:val="19"/>
          <w:szCs w:val="19"/>
        </w:rPr>
      </w:pPr>
      <w:r w:rsidRPr="0055345F">
        <w:rPr>
          <w:rFonts w:ascii="Arial" w:hAnsi="Arial" w:cs="Arial"/>
          <w:color w:val="000000" w:themeColor="text1"/>
          <w:sz w:val="19"/>
          <w:szCs w:val="19"/>
        </w:rPr>
        <w:t>»D.</w:t>
      </w:r>
      <w:r w:rsidRPr="0055345F">
        <w:rPr>
          <w:rFonts w:ascii="Arial" w:hAnsi="Arial" w:cs="Arial"/>
          <w:color w:val="000000" w:themeColor="text1"/>
          <w:sz w:val="19"/>
          <w:szCs w:val="19"/>
        </w:rPr>
        <w:tab/>
        <w:t>Acta de inicio o la orden de inicio. La misma sólo será válida para efectos de acreditar la fecha de inicio.</w:t>
      </w:r>
    </w:p>
    <w:p w14:paraId="03D03B75" w14:textId="77777777" w:rsidR="006A616D" w:rsidRPr="0055345F" w:rsidRDefault="006A616D" w:rsidP="0055345F">
      <w:pPr>
        <w:pStyle w:val="Textonotapie"/>
        <w:ind w:firstLine="708"/>
        <w:jc w:val="both"/>
        <w:rPr>
          <w:rFonts w:ascii="Arial" w:hAnsi="Arial" w:cs="Arial"/>
          <w:color w:val="000000" w:themeColor="text1"/>
          <w:sz w:val="19"/>
          <w:szCs w:val="19"/>
        </w:rPr>
      </w:pPr>
      <w:r w:rsidRPr="0055345F">
        <w:rPr>
          <w:rFonts w:ascii="Arial" w:hAnsi="Arial" w:cs="Arial"/>
          <w:color w:val="000000" w:themeColor="text1"/>
          <w:sz w:val="19"/>
          <w:szCs w:val="19"/>
        </w:rPr>
        <w:t>»E.</w:t>
      </w:r>
      <w:r w:rsidRPr="0055345F">
        <w:rPr>
          <w:rFonts w:ascii="Arial" w:hAnsi="Arial" w:cs="Arial"/>
          <w:color w:val="000000" w:themeColor="text1"/>
          <w:sz w:val="19"/>
          <w:szCs w:val="19"/>
        </w:rPr>
        <w:tab/>
        <w:t>Para los contratos que hayan sido objeto de cesión, el contrato deberá encontrarse debidamente inscrito y clasificado en el RUP o en uno o alguno de los documentos considerados como válidos para la acreditación de experiencia de la empresa cesionaria, según aplique. La experiencia se admitirá para el cesionario y no se reconocerá experiencia alguna al cedente.</w:t>
      </w:r>
    </w:p>
    <w:p w14:paraId="6685BD09" w14:textId="77777777" w:rsidR="006A616D" w:rsidRPr="0055345F" w:rsidRDefault="006A616D" w:rsidP="0055345F">
      <w:pPr>
        <w:pStyle w:val="Textonotapie"/>
        <w:ind w:firstLine="708"/>
        <w:jc w:val="both"/>
        <w:rPr>
          <w:rFonts w:ascii="Arial" w:hAnsi="Arial" w:cs="Arial"/>
          <w:color w:val="000000" w:themeColor="text1"/>
          <w:sz w:val="19"/>
          <w:szCs w:val="19"/>
        </w:rPr>
      </w:pPr>
      <w:r w:rsidRPr="0055345F">
        <w:rPr>
          <w:rFonts w:ascii="Arial" w:hAnsi="Arial" w:cs="Arial"/>
          <w:color w:val="000000" w:themeColor="text1"/>
          <w:sz w:val="19"/>
          <w:szCs w:val="19"/>
        </w:rPr>
        <w:t xml:space="preserve">»Para efectos de acreditación de experiencia entre particulares, el proponente deberá aportar adicionalmente alguno de los documentos que se describen a continuación: </w:t>
      </w:r>
    </w:p>
    <w:p w14:paraId="33B1F1B0" w14:textId="77777777" w:rsidR="006A616D" w:rsidRPr="0055345F" w:rsidRDefault="006A616D" w:rsidP="0055345F">
      <w:pPr>
        <w:pStyle w:val="Textonotapie"/>
        <w:ind w:firstLine="708"/>
        <w:jc w:val="both"/>
        <w:rPr>
          <w:rFonts w:ascii="Arial" w:hAnsi="Arial" w:cs="Arial"/>
          <w:color w:val="000000" w:themeColor="text1"/>
          <w:sz w:val="19"/>
          <w:szCs w:val="19"/>
        </w:rPr>
      </w:pPr>
      <w:r w:rsidRPr="0055345F">
        <w:rPr>
          <w:rFonts w:ascii="Arial" w:hAnsi="Arial" w:cs="Arial"/>
          <w:color w:val="000000" w:themeColor="text1"/>
          <w:sz w:val="19"/>
          <w:szCs w:val="19"/>
        </w:rPr>
        <w:t>»A.</w:t>
      </w:r>
      <w:r w:rsidRPr="0055345F">
        <w:rPr>
          <w:rFonts w:ascii="Arial" w:hAnsi="Arial" w:cs="Arial"/>
          <w:color w:val="000000" w:themeColor="text1"/>
          <w:sz w:val="19"/>
          <w:szCs w:val="19"/>
        </w:rPr>
        <w:tab/>
        <w:t>Certificación de facturación expedida con posterioridad a la fecha de terminación del contrato emitida por el revisor fiscal o contador público del proponente que acredita la experiencia, según corresponda, con la copia de la tarjeta profesional y certificado de antecedente disciplinarios vigente, expedido por la Junta Central de Contadores, o los documentos equivalentes que hagan sus veces en el país donde se expide el documento del profesional.</w:t>
      </w:r>
    </w:p>
    <w:p w14:paraId="4C91CA99" w14:textId="77777777" w:rsidR="006A616D" w:rsidRPr="0055345F" w:rsidRDefault="006A616D" w:rsidP="0055345F">
      <w:pPr>
        <w:pStyle w:val="Textonotapie"/>
        <w:ind w:firstLine="708"/>
        <w:jc w:val="both"/>
        <w:rPr>
          <w:rFonts w:ascii="Arial" w:hAnsi="Arial" w:cs="Arial"/>
          <w:color w:val="000000" w:themeColor="text1"/>
          <w:sz w:val="19"/>
          <w:szCs w:val="19"/>
        </w:rPr>
      </w:pPr>
      <w:r w:rsidRPr="0055345F">
        <w:rPr>
          <w:rFonts w:ascii="Arial" w:hAnsi="Arial" w:cs="Arial"/>
          <w:color w:val="000000" w:themeColor="text1"/>
          <w:sz w:val="19"/>
          <w:szCs w:val="19"/>
        </w:rPr>
        <w:t>»</w:t>
      </w:r>
      <w:r w:rsidRPr="0055345F">
        <w:rPr>
          <w:rFonts w:ascii="Arial" w:hAnsi="Arial" w:cs="Arial"/>
          <w:color w:val="000000" w:themeColor="text1"/>
          <w:sz w:val="19"/>
          <w:szCs w:val="19"/>
          <w:highlight w:val="lightGray"/>
        </w:rPr>
        <w:t>[Para efectos de acreditar la experiencia en relación con la clasificación de las vías, ya sea, “primaria”, “secundaria” o “terciaria”, la entidad empleará los sistemas de información disponibles para identificar el tipo de clasificación de la vía, en caso tal que ningún documento del numeral 3.5.5 establezca dicha condición. Si a través de la averiguación de la entidad estatal no es posible determinarlo, no será válida dicha experiencia.]</w:t>
      </w:r>
      <w:r w:rsidRPr="0055345F">
        <w:rPr>
          <w:rFonts w:ascii="Arial" w:hAnsi="Arial" w:cs="Arial"/>
          <w:color w:val="000000" w:themeColor="text1"/>
          <w:sz w:val="19"/>
          <w:szCs w:val="19"/>
        </w:rPr>
        <w:t xml:space="preserve">». </w:t>
      </w:r>
    </w:p>
    <w:p w14:paraId="10162B5F" w14:textId="77777777" w:rsidR="006A616D" w:rsidRPr="0055345F" w:rsidRDefault="006A616D" w:rsidP="0055345F">
      <w:pPr>
        <w:pStyle w:val="Textonotapie"/>
        <w:ind w:firstLine="708"/>
        <w:jc w:val="both"/>
        <w:rPr>
          <w:rFonts w:ascii="Arial" w:hAnsi="Arial" w:cs="Arial"/>
          <w:color w:val="000000" w:themeColor="text1"/>
          <w:sz w:val="19"/>
          <w:szCs w:val="19"/>
        </w:rPr>
      </w:pPr>
    </w:p>
  </w:footnote>
  <w:footnote w:id="10">
    <w:p w14:paraId="3D8AA28B" w14:textId="77777777" w:rsidR="006A616D" w:rsidRPr="0055345F" w:rsidRDefault="006A616D" w:rsidP="0055345F">
      <w:pPr>
        <w:pStyle w:val="Textonotapie"/>
        <w:ind w:firstLine="709"/>
        <w:jc w:val="both"/>
        <w:rPr>
          <w:rFonts w:ascii="Arial" w:hAnsi="Arial" w:cs="Arial"/>
          <w:b/>
          <w:bCs/>
          <w:color w:val="000000" w:themeColor="text1"/>
          <w:sz w:val="19"/>
          <w:szCs w:val="19"/>
        </w:rPr>
      </w:pPr>
      <w:r w:rsidRPr="0055345F">
        <w:rPr>
          <w:rStyle w:val="Refdenotaalpie"/>
          <w:rFonts w:ascii="Arial" w:hAnsi="Arial" w:cs="Arial"/>
          <w:color w:val="000000" w:themeColor="text1"/>
          <w:sz w:val="19"/>
          <w:szCs w:val="19"/>
        </w:rPr>
        <w:footnoteRef/>
      </w:r>
      <w:r w:rsidRPr="0055345F">
        <w:rPr>
          <w:rFonts w:ascii="Arial" w:hAnsi="Arial" w:cs="Arial"/>
          <w:color w:val="000000" w:themeColor="text1"/>
          <w:sz w:val="19"/>
          <w:szCs w:val="19"/>
        </w:rPr>
        <w:t xml:space="preserve"> En materia del procedimiento de licitación pública, el Decreto 1082 de 2015 establece: </w:t>
      </w:r>
      <w:r w:rsidRPr="00235172">
        <w:rPr>
          <w:rFonts w:ascii="Arial" w:hAnsi="Arial" w:cs="Arial"/>
          <w:color w:val="000000" w:themeColor="text1"/>
          <w:sz w:val="19"/>
          <w:szCs w:val="19"/>
        </w:rPr>
        <w:t>«</w:t>
      </w:r>
      <w:r w:rsidRPr="0055345F">
        <w:rPr>
          <w:rStyle w:val="Textoennegrita"/>
          <w:rFonts w:ascii="Arial" w:hAnsi="Arial" w:cs="Arial"/>
          <w:b w:val="0"/>
          <w:bCs w:val="0"/>
          <w:color w:val="000000" w:themeColor="text1"/>
          <w:sz w:val="19"/>
          <w:szCs w:val="19"/>
        </w:rPr>
        <w:t>2.2.1.2.6.1.4. Inalterabilidad de los Documentos Tipo</w:t>
      </w:r>
      <w:r w:rsidRPr="0055345F">
        <w:rPr>
          <w:rFonts w:ascii="Arial" w:hAnsi="Arial" w:cs="Arial"/>
          <w:b/>
          <w:bCs/>
          <w:color w:val="000000" w:themeColor="text1"/>
          <w:sz w:val="19"/>
          <w:szCs w:val="19"/>
        </w:rPr>
        <w:t xml:space="preserve">. </w:t>
      </w:r>
      <w:r w:rsidRPr="0055345F">
        <w:rPr>
          <w:rFonts w:ascii="Arial" w:hAnsi="Arial" w:cs="Arial"/>
          <w:color w:val="000000" w:themeColor="text1"/>
          <w:sz w:val="19"/>
          <w:szCs w:val="19"/>
        </w:rPr>
        <w:t>Las entidades estatales contratantes no podrán incluir o modificar dentro de los Documentos del Proceso las condiciones habilitantes, los factores técnicos y económicos de escogencia y los sistemas de ponderación distintos a los señalados en los Documentos Tipo».</w:t>
      </w:r>
      <w:r w:rsidRPr="0055345F">
        <w:rPr>
          <w:rFonts w:ascii="Arial" w:hAnsi="Arial" w:cs="Arial"/>
          <w:b/>
          <w:bCs/>
          <w:color w:val="000000" w:themeColor="text1"/>
          <w:sz w:val="19"/>
          <w:szCs w:val="19"/>
        </w:rPr>
        <w:t> </w:t>
      </w:r>
    </w:p>
    <w:p w14:paraId="0A8A8FD5" w14:textId="77777777" w:rsidR="006A616D" w:rsidRPr="0055345F" w:rsidRDefault="006A616D" w:rsidP="0055345F">
      <w:pPr>
        <w:pStyle w:val="Textonotapie"/>
        <w:ind w:firstLine="709"/>
        <w:jc w:val="both"/>
        <w:rPr>
          <w:rFonts w:ascii="Arial" w:hAnsi="Arial" w:cs="Arial"/>
          <w:color w:val="000000" w:themeColor="text1"/>
          <w:sz w:val="19"/>
          <w:szCs w:val="19"/>
        </w:rPr>
      </w:pPr>
      <w:r w:rsidRPr="0055345F">
        <w:rPr>
          <w:rFonts w:ascii="Arial" w:hAnsi="Arial" w:cs="Arial"/>
          <w:color w:val="000000" w:themeColor="text1"/>
          <w:sz w:val="19"/>
          <w:szCs w:val="19"/>
        </w:rPr>
        <w:t>En el mismo sentido, la Resolución No. 240 de 2020, a través de la cual esta Agencia expidió los documentos tipo de licitación de obra pública de infraestructura de transporte – versión 3, señala: «Artículo 3. Inalterabilidad de los Documentos Tipo. Las entidades estatales contratantes no podrán incluir o modificar dentro de los documentos del proceso de selección las condiciones habilitantes, los factores técnicos y económicos de escogencia y los sistemas de ponderación distintos a los señalados en los Documentos Tipo».</w:t>
      </w:r>
    </w:p>
  </w:footnote>
  <w:footnote w:id="11">
    <w:p w14:paraId="4BA93CFB" w14:textId="401CE4AE" w:rsidR="00940934" w:rsidRPr="0055345F" w:rsidRDefault="00940934" w:rsidP="00D6418E">
      <w:pPr>
        <w:pStyle w:val="NormalWeb"/>
        <w:spacing w:before="0" w:beforeAutospacing="0" w:after="0" w:afterAutospacing="0"/>
        <w:ind w:firstLine="708"/>
        <w:jc w:val="both"/>
        <w:rPr>
          <w:rFonts w:ascii="Arial" w:hAnsi="Arial" w:cs="Arial"/>
          <w:color w:val="000000" w:themeColor="text1"/>
          <w:sz w:val="19"/>
          <w:szCs w:val="19"/>
        </w:rPr>
      </w:pPr>
      <w:r w:rsidRPr="0055345F">
        <w:rPr>
          <w:rStyle w:val="Refdenotaalpie"/>
          <w:rFonts w:ascii="Arial" w:hAnsi="Arial" w:cs="Arial"/>
          <w:color w:val="000000" w:themeColor="text1"/>
          <w:sz w:val="19"/>
          <w:szCs w:val="19"/>
        </w:rPr>
        <w:footnoteRef/>
      </w:r>
      <w:r w:rsidRPr="0055345F">
        <w:rPr>
          <w:rFonts w:ascii="Arial" w:hAnsi="Arial" w:cs="Arial"/>
          <w:color w:val="000000" w:themeColor="text1"/>
          <w:sz w:val="19"/>
          <w:szCs w:val="19"/>
        </w:rPr>
        <w:t xml:space="preserve"> </w:t>
      </w:r>
      <w:r w:rsidR="00235172">
        <w:rPr>
          <w:rFonts w:ascii="Arial" w:hAnsi="Arial" w:cs="Arial"/>
          <w:color w:val="000000" w:themeColor="text1"/>
          <w:sz w:val="19"/>
          <w:szCs w:val="19"/>
        </w:rPr>
        <w:t>«Artículo</w:t>
      </w:r>
      <w:r w:rsidRPr="0055345F">
        <w:rPr>
          <w:rStyle w:val="apple-converted-space"/>
          <w:rFonts w:ascii="Arial" w:hAnsi="Arial" w:cs="Arial"/>
          <w:color w:val="000000" w:themeColor="text1"/>
          <w:sz w:val="19"/>
          <w:szCs w:val="19"/>
        </w:rPr>
        <w:t> </w:t>
      </w:r>
      <w:bookmarkStart w:id="1" w:name="2.2.2.5.1.1"/>
      <w:bookmarkEnd w:id="1"/>
      <w:r w:rsidRPr="0055345F">
        <w:rPr>
          <w:rFonts w:ascii="Arial" w:hAnsi="Arial" w:cs="Arial"/>
          <w:color w:val="000000" w:themeColor="text1"/>
          <w:sz w:val="19"/>
          <w:szCs w:val="19"/>
        </w:rPr>
        <w:t>2.2.2.5.1.1.</w:t>
      </w:r>
      <w:r w:rsidRPr="0055345F">
        <w:rPr>
          <w:rStyle w:val="apple-converted-space"/>
          <w:rFonts w:ascii="Arial" w:hAnsi="Arial" w:cs="Arial"/>
          <w:color w:val="000000" w:themeColor="text1"/>
          <w:sz w:val="19"/>
          <w:szCs w:val="19"/>
        </w:rPr>
        <w:t> </w:t>
      </w:r>
      <w:r w:rsidRPr="0055345F">
        <w:rPr>
          <w:rFonts w:ascii="Arial" w:hAnsi="Arial" w:cs="Arial"/>
          <w:color w:val="000000" w:themeColor="text1"/>
          <w:sz w:val="19"/>
          <w:szCs w:val="19"/>
        </w:rPr>
        <w:t>Modo Terrestre-Carretero, Las actividades que se listan a continuación que se desarrollen en infraestructura existente no requerirán licencia ambiental:</w:t>
      </w:r>
    </w:p>
    <w:p w14:paraId="36953CA8" w14:textId="0033033E"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bookmarkStart w:id="2" w:name="2.2.2.5.1.1.1"/>
      <w:bookmarkEnd w:id="2"/>
      <w:r>
        <w:rPr>
          <w:rFonts w:ascii="Arial" w:hAnsi="Arial" w:cs="Arial"/>
          <w:color w:val="000000" w:themeColor="text1"/>
          <w:sz w:val="19"/>
          <w:szCs w:val="19"/>
        </w:rPr>
        <w:t>»</w:t>
      </w:r>
      <w:r w:rsidR="00940934" w:rsidRPr="0055345F">
        <w:rPr>
          <w:rFonts w:ascii="Arial" w:hAnsi="Arial" w:cs="Arial"/>
          <w:color w:val="000000" w:themeColor="text1"/>
          <w:sz w:val="19"/>
          <w:szCs w:val="19"/>
        </w:rPr>
        <w:t>1. Construcción de un carril adicional a las calzadas existentes y demás obras asociadas a esta actividad, siempre y cuando no implique la materialización de un segundo eje y se mantenga dentro del derecho de vía correspondiente a cada categoría vial (vía primaria, secundaria, terciaria).</w:t>
      </w:r>
    </w:p>
    <w:p w14:paraId="1644B9D9" w14:textId="6A8A2F89"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bookmarkStart w:id="3" w:name="2.2.2.5.1.1.2"/>
      <w:bookmarkEnd w:id="3"/>
      <w:r>
        <w:rPr>
          <w:rFonts w:ascii="Arial" w:hAnsi="Arial" w:cs="Arial"/>
          <w:color w:val="000000" w:themeColor="text1"/>
          <w:sz w:val="19"/>
          <w:szCs w:val="19"/>
        </w:rPr>
        <w:t>»</w:t>
      </w:r>
      <w:r w:rsidR="00940934" w:rsidRPr="0055345F">
        <w:rPr>
          <w:rFonts w:ascii="Arial" w:hAnsi="Arial" w:cs="Arial"/>
          <w:color w:val="000000" w:themeColor="text1"/>
          <w:sz w:val="19"/>
          <w:szCs w:val="19"/>
        </w:rPr>
        <w:t>2. El ajuste de las vías existentes conforme a las especificaciones establecidas en la Ley 105 de 1993 o aquella que la modifique o sustituya y las normas técnicas vigentes, de calzadas, carriles, bermas, puentes, pontones y obras de drenaje existentes.</w:t>
      </w:r>
    </w:p>
    <w:p w14:paraId="659A71E0" w14:textId="156961B2"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bookmarkStart w:id="4" w:name="2.2.2.5.1.1.3"/>
      <w:bookmarkEnd w:id="4"/>
      <w:r>
        <w:rPr>
          <w:rFonts w:ascii="Arial" w:hAnsi="Arial" w:cs="Arial"/>
          <w:color w:val="000000" w:themeColor="text1"/>
          <w:sz w:val="19"/>
          <w:szCs w:val="19"/>
        </w:rPr>
        <w:t>»</w:t>
      </w:r>
      <w:r w:rsidR="00940934" w:rsidRPr="0055345F">
        <w:rPr>
          <w:rFonts w:ascii="Arial" w:hAnsi="Arial" w:cs="Arial"/>
          <w:color w:val="000000" w:themeColor="text1"/>
          <w:sz w:val="19"/>
          <w:szCs w:val="19"/>
        </w:rPr>
        <w:t>3. Ajustes de diseño geométrico y realineamiento vertical u horizontal, incluyendo cortes y/o rellenos para la construcción del tercer carril, siempre y cuando no impliquen la materialización de un nuevo eje.</w:t>
      </w:r>
    </w:p>
    <w:p w14:paraId="710F997B" w14:textId="12353B66"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bookmarkStart w:id="5" w:name="2.2.2.5.1.1.4"/>
      <w:bookmarkEnd w:id="5"/>
      <w:r>
        <w:rPr>
          <w:rFonts w:ascii="Arial" w:hAnsi="Arial" w:cs="Arial"/>
          <w:color w:val="000000" w:themeColor="text1"/>
          <w:sz w:val="19"/>
          <w:szCs w:val="19"/>
        </w:rPr>
        <w:t>»</w:t>
      </w:r>
      <w:r w:rsidR="00940934" w:rsidRPr="0055345F">
        <w:rPr>
          <w:rFonts w:ascii="Arial" w:hAnsi="Arial" w:cs="Arial"/>
          <w:color w:val="000000" w:themeColor="text1"/>
          <w:sz w:val="19"/>
          <w:szCs w:val="19"/>
        </w:rPr>
        <w:t>4. La adecuación, ampliación, reforzamiento, reemplazo de puentes, estructuras deprimidas y/o pontones vehiculares en vías existentes.</w:t>
      </w:r>
    </w:p>
    <w:p w14:paraId="7E7FEE3A" w14:textId="13EB942E"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bookmarkStart w:id="6" w:name="2.2.2.5.1.1.5"/>
      <w:bookmarkEnd w:id="6"/>
      <w:r>
        <w:rPr>
          <w:rFonts w:ascii="Arial" w:hAnsi="Arial" w:cs="Arial"/>
          <w:color w:val="000000" w:themeColor="text1"/>
          <w:sz w:val="19"/>
          <w:szCs w:val="19"/>
        </w:rPr>
        <w:t>»</w:t>
      </w:r>
      <w:r w:rsidR="00940934" w:rsidRPr="0055345F">
        <w:rPr>
          <w:rFonts w:ascii="Arial" w:hAnsi="Arial" w:cs="Arial"/>
          <w:color w:val="000000" w:themeColor="text1"/>
          <w:sz w:val="19"/>
          <w:szCs w:val="19"/>
        </w:rPr>
        <w:t>5. La adecuación, reforzamiento, reemplazo y/o construcción de puentes peatonales, estructuras deprimidas y/o pontones peatonales.</w:t>
      </w:r>
    </w:p>
    <w:p w14:paraId="0CE332AA" w14:textId="7FB1423F"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bookmarkStart w:id="7" w:name="2.2.2.5.1.1.6"/>
      <w:bookmarkEnd w:id="7"/>
      <w:r>
        <w:rPr>
          <w:rFonts w:ascii="Arial" w:hAnsi="Arial" w:cs="Arial"/>
          <w:color w:val="000000" w:themeColor="text1"/>
          <w:sz w:val="19"/>
          <w:szCs w:val="19"/>
        </w:rPr>
        <w:t>»</w:t>
      </w:r>
      <w:r w:rsidR="00940934" w:rsidRPr="0055345F">
        <w:rPr>
          <w:rFonts w:ascii="Arial" w:hAnsi="Arial" w:cs="Arial"/>
          <w:color w:val="000000" w:themeColor="text1"/>
          <w:sz w:val="19"/>
          <w:szCs w:val="19"/>
        </w:rPr>
        <w:t>6. La adecuación y construcción de obras de drenaje y subdrenaje transversal y longitudinal.</w:t>
      </w:r>
    </w:p>
    <w:p w14:paraId="031B6686" w14:textId="56303F46"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bookmarkStart w:id="8" w:name="2.2.2.5.1.1.7"/>
      <w:bookmarkEnd w:id="8"/>
      <w:r>
        <w:rPr>
          <w:rFonts w:ascii="Arial" w:hAnsi="Arial" w:cs="Arial"/>
          <w:color w:val="000000" w:themeColor="text1"/>
          <w:sz w:val="19"/>
          <w:szCs w:val="19"/>
        </w:rPr>
        <w:t>»</w:t>
      </w:r>
      <w:r w:rsidR="00940934" w:rsidRPr="0055345F">
        <w:rPr>
          <w:rFonts w:ascii="Arial" w:hAnsi="Arial" w:cs="Arial"/>
          <w:color w:val="000000" w:themeColor="text1"/>
          <w:sz w:val="19"/>
          <w:szCs w:val="19"/>
        </w:rPr>
        <w:t>7. La construcción de bermas.</w:t>
      </w:r>
    </w:p>
    <w:p w14:paraId="4D38D016" w14:textId="5DDB5C22"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bookmarkStart w:id="9" w:name="2.2.2.5.1.1.8"/>
      <w:bookmarkEnd w:id="9"/>
      <w:r>
        <w:rPr>
          <w:rFonts w:ascii="Arial" w:hAnsi="Arial" w:cs="Arial"/>
          <w:color w:val="000000" w:themeColor="text1"/>
          <w:sz w:val="19"/>
          <w:szCs w:val="19"/>
        </w:rPr>
        <w:t>»</w:t>
      </w:r>
      <w:r w:rsidR="00940934" w:rsidRPr="0055345F">
        <w:rPr>
          <w:rFonts w:ascii="Arial" w:hAnsi="Arial" w:cs="Arial"/>
          <w:color w:val="000000" w:themeColor="text1"/>
          <w:sz w:val="19"/>
          <w:szCs w:val="19"/>
        </w:rPr>
        <w:t>8. La pavimentación de vías incluyendo la colocación y conformación de sub - base, base y capa de rodadura</w:t>
      </w:r>
      <w:r>
        <w:rPr>
          <w:rFonts w:ascii="Arial" w:hAnsi="Arial" w:cs="Arial"/>
          <w:color w:val="000000" w:themeColor="text1"/>
          <w:sz w:val="19"/>
          <w:szCs w:val="19"/>
        </w:rPr>
        <w:t>»</w:t>
      </w:r>
      <w:r w:rsidR="00940934" w:rsidRPr="0055345F">
        <w:rPr>
          <w:rFonts w:ascii="Arial" w:hAnsi="Arial" w:cs="Arial"/>
          <w:color w:val="000000" w:themeColor="text1"/>
          <w:sz w:val="19"/>
          <w:szCs w:val="19"/>
        </w:rPr>
        <w:t>.</w:t>
      </w:r>
    </w:p>
    <w:p w14:paraId="1793B8AF" w14:textId="3214892B"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bookmarkStart w:id="10" w:name="2.2.2.5.1.1.9"/>
      <w:bookmarkEnd w:id="10"/>
      <w:r>
        <w:rPr>
          <w:rFonts w:ascii="Arial" w:hAnsi="Arial" w:cs="Arial"/>
          <w:color w:val="000000" w:themeColor="text1"/>
          <w:sz w:val="19"/>
          <w:szCs w:val="19"/>
        </w:rPr>
        <w:t>»</w:t>
      </w:r>
      <w:r w:rsidR="00940934" w:rsidRPr="0055345F">
        <w:rPr>
          <w:rFonts w:ascii="Arial" w:hAnsi="Arial" w:cs="Arial"/>
          <w:color w:val="000000" w:themeColor="text1"/>
          <w:sz w:val="19"/>
          <w:szCs w:val="19"/>
        </w:rPr>
        <w:t>9. La instalación, reubicación y operación temporal de plantas de trituración de materiales pétreos, plantas de producción de asfaltos o de concretos en cercanía a las obras principales o del área de influencia del proyecto, durante el tiempo en que se realice la actividad de mejoramiento.</w:t>
      </w:r>
    </w:p>
    <w:p w14:paraId="1920D024" w14:textId="27B95F79"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bookmarkStart w:id="11" w:name="2.2.2.5.1.1.10"/>
      <w:bookmarkEnd w:id="11"/>
      <w:r>
        <w:rPr>
          <w:rFonts w:ascii="Arial" w:hAnsi="Arial" w:cs="Arial"/>
          <w:color w:val="000000" w:themeColor="text1"/>
          <w:sz w:val="19"/>
          <w:szCs w:val="19"/>
        </w:rPr>
        <w:t>»</w:t>
      </w:r>
      <w:r w:rsidR="00940934" w:rsidRPr="0055345F">
        <w:rPr>
          <w:rFonts w:ascii="Arial" w:hAnsi="Arial" w:cs="Arial"/>
          <w:color w:val="000000" w:themeColor="text1"/>
          <w:sz w:val="19"/>
          <w:szCs w:val="19"/>
        </w:rPr>
        <w:t>10. La instalación y operación de campamentos temporales e infraestructura asociada durante el tiempo en que se realice la actividad de mejoramiento.</w:t>
      </w:r>
    </w:p>
    <w:p w14:paraId="1ADDC242" w14:textId="2FF99B61"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bookmarkStart w:id="12" w:name="2.2.2.5.1.1.11"/>
      <w:bookmarkEnd w:id="12"/>
      <w:r>
        <w:rPr>
          <w:rFonts w:ascii="Arial" w:hAnsi="Arial" w:cs="Arial"/>
          <w:color w:val="000000" w:themeColor="text1"/>
          <w:sz w:val="19"/>
          <w:szCs w:val="19"/>
        </w:rPr>
        <w:t>»</w:t>
      </w:r>
      <w:r w:rsidR="00940934" w:rsidRPr="0055345F">
        <w:rPr>
          <w:rFonts w:ascii="Arial" w:hAnsi="Arial" w:cs="Arial"/>
          <w:color w:val="000000" w:themeColor="text1"/>
          <w:sz w:val="19"/>
          <w:szCs w:val="19"/>
        </w:rPr>
        <w:t>11. La construcción de obras de protección, contención, perfilado y/o terraceo de taludes.</w:t>
      </w:r>
    </w:p>
    <w:p w14:paraId="487214E6" w14:textId="7E220E3E"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bookmarkStart w:id="13" w:name="2.2.2.5.1.1.12"/>
      <w:bookmarkEnd w:id="13"/>
      <w:r>
        <w:rPr>
          <w:rFonts w:ascii="Arial" w:hAnsi="Arial" w:cs="Arial"/>
          <w:color w:val="000000" w:themeColor="text1"/>
          <w:sz w:val="19"/>
          <w:szCs w:val="19"/>
        </w:rPr>
        <w:t>»</w:t>
      </w:r>
      <w:r w:rsidR="00940934" w:rsidRPr="0055345F">
        <w:rPr>
          <w:rFonts w:ascii="Arial" w:hAnsi="Arial" w:cs="Arial"/>
          <w:color w:val="000000" w:themeColor="text1"/>
          <w:sz w:val="19"/>
          <w:szCs w:val="19"/>
        </w:rPr>
        <w:t>12. La reubicación, adecuación, ampliación o construcción de estaciones de pesaje fijas con zonas de parqueo.</w:t>
      </w:r>
    </w:p>
    <w:p w14:paraId="5B989ADD" w14:textId="11748A3D"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bookmarkStart w:id="14" w:name="2.2.2.5.1.1.13"/>
      <w:bookmarkEnd w:id="14"/>
      <w:r>
        <w:rPr>
          <w:rFonts w:ascii="Arial" w:hAnsi="Arial" w:cs="Arial"/>
          <w:color w:val="000000" w:themeColor="text1"/>
          <w:sz w:val="19"/>
          <w:szCs w:val="19"/>
        </w:rPr>
        <w:t>»</w:t>
      </w:r>
      <w:r w:rsidR="00940934" w:rsidRPr="0055345F">
        <w:rPr>
          <w:rFonts w:ascii="Arial" w:hAnsi="Arial" w:cs="Arial"/>
          <w:color w:val="000000" w:themeColor="text1"/>
          <w:sz w:val="19"/>
          <w:szCs w:val="19"/>
        </w:rPr>
        <w:t>13. La reubicación, adecuación, ampliación o construcción de estaciones de peaje y centros de control de operación.</w:t>
      </w:r>
    </w:p>
    <w:p w14:paraId="0879EBED" w14:textId="31FC783D"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bookmarkStart w:id="15" w:name="2.2.2.5.1.1.14"/>
      <w:bookmarkEnd w:id="15"/>
      <w:r>
        <w:rPr>
          <w:rFonts w:ascii="Arial" w:hAnsi="Arial" w:cs="Arial"/>
          <w:color w:val="000000" w:themeColor="text1"/>
          <w:sz w:val="19"/>
          <w:szCs w:val="19"/>
        </w:rPr>
        <w:t>»</w:t>
      </w:r>
      <w:r w:rsidR="00940934" w:rsidRPr="0055345F">
        <w:rPr>
          <w:rFonts w:ascii="Arial" w:hAnsi="Arial" w:cs="Arial"/>
          <w:color w:val="000000" w:themeColor="text1"/>
          <w:sz w:val="19"/>
          <w:szCs w:val="19"/>
        </w:rPr>
        <w:t>14. La construcción de andenes, ciclorutas, paraderos.</w:t>
      </w:r>
    </w:p>
    <w:p w14:paraId="485C9C31" w14:textId="28B5CF08"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bookmarkStart w:id="16" w:name="2.2.2.5.1.1.15"/>
      <w:bookmarkEnd w:id="16"/>
      <w:r>
        <w:rPr>
          <w:rFonts w:ascii="Arial" w:hAnsi="Arial" w:cs="Arial"/>
          <w:color w:val="000000" w:themeColor="text1"/>
          <w:sz w:val="19"/>
          <w:szCs w:val="19"/>
        </w:rPr>
        <w:t>»</w:t>
      </w:r>
      <w:r w:rsidR="00940934" w:rsidRPr="0055345F">
        <w:rPr>
          <w:rFonts w:ascii="Arial" w:hAnsi="Arial" w:cs="Arial"/>
          <w:color w:val="000000" w:themeColor="text1"/>
          <w:sz w:val="19"/>
          <w:szCs w:val="19"/>
        </w:rPr>
        <w:t>15. La ampliación o construcción de separadores centrales.</w:t>
      </w:r>
    </w:p>
    <w:p w14:paraId="23E0ED60" w14:textId="3A43DDE4"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bookmarkStart w:id="17" w:name="2.2.2.5.1.1.16"/>
      <w:bookmarkEnd w:id="17"/>
      <w:r>
        <w:rPr>
          <w:rFonts w:ascii="Arial" w:hAnsi="Arial" w:cs="Arial"/>
          <w:color w:val="000000" w:themeColor="text1"/>
          <w:sz w:val="19"/>
          <w:szCs w:val="19"/>
        </w:rPr>
        <w:t>»</w:t>
      </w:r>
      <w:r w:rsidR="00940934" w:rsidRPr="0055345F">
        <w:rPr>
          <w:rFonts w:ascii="Arial" w:hAnsi="Arial" w:cs="Arial"/>
          <w:color w:val="000000" w:themeColor="text1"/>
          <w:sz w:val="19"/>
          <w:szCs w:val="19"/>
        </w:rPr>
        <w:t>16. La construcción de túneles falsos en vías, y a la entrada y salida de túneles.</w:t>
      </w:r>
    </w:p>
    <w:p w14:paraId="06FF5318" w14:textId="53E75D3E"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bookmarkStart w:id="18" w:name="2.2.2.5.1.1.17"/>
      <w:bookmarkEnd w:id="18"/>
      <w:r>
        <w:rPr>
          <w:rFonts w:ascii="Arial" w:hAnsi="Arial" w:cs="Arial"/>
          <w:color w:val="000000" w:themeColor="text1"/>
          <w:sz w:val="19"/>
          <w:szCs w:val="19"/>
        </w:rPr>
        <w:t>»</w:t>
      </w:r>
      <w:r w:rsidR="00940934" w:rsidRPr="0055345F">
        <w:rPr>
          <w:rFonts w:ascii="Arial" w:hAnsi="Arial" w:cs="Arial"/>
          <w:color w:val="000000" w:themeColor="text1"/>
          <w:sz w:val="19"/>
          <w:szCs w:val="19"/>
        </w:rPr>
        <w:t>17. Construcción de corredores de servicio en túneles.</w:t>
      </w:r>
    </w:p>
    <w:p w14:paraId="0C2383AF" w14:textId="60F392F1"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bookmarkStart w:id="19" w:name="2.2.2.5.1.1.18"/>
      <w:bookmarkEnd w:id="19"/>
      <w:r>
        <w:rPr>
          <w:rFonts w:ascii="Arial" w:hAnsi="Arial" w:cs="Arial"/>
          <w:color w:val="000000" w:themeColor="text1"/>
          <w:sz w:val="19"/>
          <w:szCs w:val="19"/>
        </w:rPr>
        <w:t>»</w:t>
      </w:r>
      <w:r w:rsidR="00940934" w:rsidRPr="0055345F">
        <w:rPr>
          <w:rFonts w:ascii="Arial" w:hAnsi="Arial" w:cs="Arial"/>
          <w:color w:val="000000" w:themeColor="text1"/>
          <w:sz w:val="19"/>
          <w:szCs w:val="19"/>
        </w:rPr>
        <w:t>18. Rectificación, perfilado y/o adecuación de la sección transversal de túneles con fines de mejoramiento del flujo vehicular y de conformidad con las especificaciones establecidas en la Ley 105 de 1993 o aquella que la modifique o sustituya. No se considerará una rectificación, la ampliación de la sección transversal del túnel sí el objetivo es la construcción de nuevas calzadas.</w:t>
      </w:r>
    </w:p>
    <w:p w14:paraId="497F7A62" w14:textId="41D7F48C"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bookmarkStart w:id="20" w:name="2.2.2.5.1.1.19"/>
      <w:bookmarkEnd w:id="20"/>
      <w:r>
        <w:rPr>
          <w:rFonts w:ascii="Arial" w:hAnsi="Arial" w:cs="Arial"/>
          <w:color w:val="000000" w:themeColor="text1"/>
          <w:sz w:val="19"/>
          <w:szCs w:val="19"/>
        </w:rPr>
        <w:t>»</w:t>
      </w:r>
      <w:r w:rsidR="00940934" w:rsidRPr="0055345F">
        <w:rPr>
          <w:rFonts w:ascii="Arial" w:hAnsi="Arial" w:cs="Arial"/>
          <w:color w:val="000000" w:themeColor="text1"/>
          <w:sz w:val="19"/>
          <w:szCs w:val="19"/>
        </w:rPr>
        <w:t>19. La instalación de señalización vertical y horizontal, barreras y defensas metálicas.</w:t>
      </w:r>
    </w:p>
    <w:p w14:paraId="3A86E914" w14:textId="3808DD55"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bookmarkStart w:id="21" w:name="2.2.2.5.1.1.20"/>
      <w:bookmarkEnd w:id="21"/>
      <w:r>
        <w:rPr>
          <w:rFonts w:ascii="Arial" w:hAnsi="Arial" w:cs="Arial"/>
          <w:color w:val="000000" w:themeColor="text1"/>
          <w:sz w:val="19"/>
          <w:szCs w:val="19"/>
        </w:rPr>
        <w:t>»</w:t>
      </w:r>
      <w:r w:rsidR="00940934" w:rsidRPr="0055345F">
        <w:rPr>
          <w:rFonts w:ascii="Arial" w:hAnsi="Arial" w:cs="Arial"/>
          <w:color w:val="000000" w:themeColor="text1"/>
          <w:sz w:val="19"/>
          <w:szCs w:val="19"/>
        </w:rPr>
        <w:t>20. Las segundas calzadas, siempre y cuando se dé cumplimiento a lo dispuesto en el parágrafo del presente artículo.</w:t>
      </w:r>
    </w:p>
    <w:p w14:paraId="64A8782F" w14:textId="7BEC0E8C"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r>
        <w:rPr>
          <w:rFonts w:ascii="Arial" w:hAnsi="Arial" w:cs="Arial"/>
          <w:color w:val="000000" w:themeColor="text1"/>
          <w:sz w:val="19"/>
          <w:szCs w:val="19"/>
        </w:rPr>
        <w:t>»</w:t>
      </w:r>
      <w:r w:rsidR="00940934" w:rsidRPr="0055345F">
        <w:rPr>
          <w:rFonts w:ascii="Arial" w:hAnsi="Arial" w:cs="Arial"/>
          <w:color w:val="000000" w:themeColor="text1"/>
          <w:sz w:val="19"/>
          <w:szCs w:val="19"/>
        </w:rPr>
        <w:t>PARÁGRAFO</w:t>
      </w:r>
      <w:bookmarkStart w:id="22" w:name="2.2.2.5.1.1.pt1"/>
      <w:r w:rsidR="00940934" w:rsidRPr="0055345F">
        <w:rPr>
          <w:rFonts w:ascii="Arial" w:hAnsi="Arial" w:cs="Arial"/>
          <w:color w:val="000000" w:themeColor="text1"/>
          <w:sz w:val="19"/>
          <w:szCs w:val="19"/>
        </w:rPr>
        <w:t> </w:t>
      </w:r>
      <w:bookmarkEnd w:id="22"/>
      <w:r w:rsidR="00940934" w:rsidRPr="0055345F">
        <w:rPr>
          <w:rStyle w:val="apple-converted-space"/>
          <w:rFonts w:ascii="Arial" w:hAnsi="Arial" w:cs="Arial"/>
          <w:color w:val="000000" w:themeColor="text1"/>
          <w:sz w:val="19"/>
          <w:szCs w:val="19"/>
        </w:rPr>
        <w:t> </w:t>
      </w:r>
      <w:bookmarkStart w:id="23" w:name="2.2.2.5.1.1.p1"/>
      <w:bookmarkEnd w:id="23"/>
      <w:r w:rsidR="00940934" w:rsidRPr="0055345F">
        <w:rPr>
          <w:rFonts w:ascii="Arial" w:hAnsi="Arial" w:cs="Arial"/>
          <w:color w:val="000000" w:themeColor="text1"/>
          <w:sz w:val="19"/>
          <w:szCs w:val="19"/>
        </w:rPr>
        <w:t>1.-</w:t>
      </w:r>
      <w:r w:rsidR="00940934" w:rsidRPr="0055345F">
        <w:rPr>
          <w:rStyle w:val="apple-converted-space"/>
          <w:rFonts w:ascii="Arial" w:hAnsi="Arial" w:cs="Arial"/>
          <w:b/>
          <w:bCs/>
          <w:color w:val="000000" w:themeColor="text1"/>
          <w:sz w:val="19"/>
          <w:szCs w:val="19"/>
        </w:rPr>
        <w:t> </w:t>
      </w:r>
      <w:r w:rsidR="00940934" w:rsidRPr="0055345F">
        <w:rPr>
          <w:rFonts w:ascii="Arial" w:hAnsi="Arial" w:cs="Arial"/>
          <w:color w:val="000000" w:themeColor="text1"/>
          <w:sz w:val="19"/>
          <w:szCs w:val="19"/>
        </w:rPr>
        <w:t>La construcción de segundas calzadas, la construcción de túneles con sus accesos o la construcción de carreteras incluyendo puentes y demás infraestructura asociada a la misma requerirán de la expedición de la correspondiente licencia ambiental.</w:t>
      </w:r>
    </w:p>
    <w:p w14:paraId="2E178DB3" w14:textId="1573B343"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r>
        <w:rPr>
          <w:rFonts w:ascii="Arial" w:hAnsi="Arial" w:cs="Arial"/>
          <w:color w:val="000000" w:themeColor="text1"/>
          <w:sz w:val="19"/>
          <w:szCs w:val="19"/>
        </w:rPr>
        <w:t>»</w:t>
      </w:r>
      <w:r w:rsidR="00940934" w:rsidRPr="0055345F">
        <w:rPr>
          <w:rFonts w:ascii="Arial" w:hAnsi="Arial" w:cs="Arial"/>
          <w:color w:val="000000" w:themeColor="text1"/>
          <w:sz w:val="19"/>
          <w:szCs w:val="19"/>
        </w:rPr>
        <w:t>PARÁGRAFO</w:t>
      </w:r>
      <w:bookmarkStart w:id="24" w:name="2.2.2.5.1.1.pt2"/>
      <w:r w:rsidR="00940934" w:rsidRPr="0055345F">
        <w:rPr>
          <w:rFonts w:ascii="Arial" w:hAnsi="Arial" w:cs="Arial"/>
          <w:color w:val="000000" w:themeColor="text1"/>
          <w:sz w:val="19"/>
          <w:szCs w:val="19"/>
        </w:rPr>
        <w:t> </w:t>
      </w:r>
      <w:bookmarkEnd w:id="24"/>
      <w:r w:rsidR="00940934" w:rsidRPr="0055345F">
        <w:rPr>
          <w:rStyle w:val="apple-converted-space"/>
          <w:rFonts w:ascii="Arial" w:hAnsi="Arial" w:cs="Arial"/>
          <w:color w:val="000000" w:themeColor="text1"/>
          <w:sz w:val="19"/>
          <w:szCs w:val="19"/>
        </w:rPr>
        <w:t> </w:t>
      </w:r>
      <w:bookmarkStart w:id="25" w:name="2.2.2.5.1.1.p2"/>
      <w:bookmarkEnd w:id="25"/>
      <w:r w:rsidR="00940934" w:rsidRPr="0055345F">
        <w:rPr>
          <w:rFonts w:ascii="Arial" w:hAnsi="Arial" w:cs="Arial"/>
          <w:color w:val="000000" w:themeColor="text1"/>
          <w:sz w:val="19"/>
          <w:szCs w:val="19"/>
        </w:rPr>
        <w:t>2.-</w:t>
      </w:r>
      <w:r w:rsidR="00940934" w:rsidRPr="0055345F">
        <w:rPr>
          <w:rStyle w:val="apple-converted-space"/>
          <w:rFonts w:ascii="Arial" w:hAnsi="Arial" w:cs="Arial"/>
          <w:b/>
          <w:bCs/>
          <w:color w:val="000000" w:themeColor="text1"/>
          <w:sz w:val="19"/>
          <w:szCs w:val="19"/>
        </w:rPr>
        <w:t> </w:t>
      </w:r>
      <w:r w:rsidR="00940934" w:rsidRPr="0055345F">
        <w:rPr>
          <w:rFonts w:ascii="Arial" w:hAnsi="Arial" w:cs="Arial"/>
          <w:color w:val="000000" w:themeColor="text1"/>
          <w:sz w:val="19"/>
          <w:szCs w:val="19"/>
        </w:rPr>
        <w:t>No obstante el parágrafo anterior, las segundas calzadas podrán ser consideradas como actividades de mejoramiento, en aquellos eventos en que la autoridad ambiental así lo determine.</w:t>
      </w:r>
    </w:p>
    <w:p w14:paraId="58A3D1B6" w14:textId="233D3FBA"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r>
        <w:rPr>
          <w:rFonts w:ascii="Arial" w:hAnsi="Arial" w:cs="Arial"/>
          <w:color w:val="000000" w:themeColor="text1"/>
          <w:sz w:val="19"/>
          <w:szCs w:val="19"/>
        </w:rPr>
        <w:t>»</w:t>
      </w:r>
      <w:r w:rsidR="00940934" w:rsidRPr="0055345F">
        <w:rPr>
          <w:rFonts w:ascii="Arial" w:hAnsi="Arial" w:cs="Arial"/>
          <w:color w:val="000000" w:themeColor="text1"/>
          <w:sz w:val="19"/>
          <w:szCs w:val="19"/>
        </w:rPr>
        <w:t>Para el efecto, el titular deberá allegar ante la autoridad ambiental competente un documento en el que de acuerdo con los impactos que éste pueda generar, justifique las razones por las cuales la ejecución del mismo no genera deterioro grave a los recursos naturales renovables o al medio ambiente o introducir modificaciones considerables o notorias al paisaje. La autoridad ambiental en un término máximo de veinte (20) días hábiles contados a partir de la radicación de la solicitud deberá emitir, mediante oficio, el correspondiente pronunciamiento.</w:t>
      </w:r>
    </w:p>
    <w:p w14:paraId="0A3EA342" w14:textId="4F558124" w:rsidR="00940934" w:rsidRPr="00D6418E" w:rsidRDefault="00235172" w:rsidP="00D6418E">
      <w:pPr>
        <w:pStyle w:val="NormalWeb"/>
        <w:spacing w:before="0" w:beforeAutospacing="0" w:after="0" w:afterAutospacing="0"/>
        <w:ind w:firstLine="708"/>
        <w:jc w:val="both"/>
        <w:rPr>
          <w:rFonts w:ascii="Arial" w:hAnsi="Arial" w:cs="Arial"/>
          <w:sz w:val="19"/>
          <w:szCs w:val="19"/>
          <w:lang w:val="en-US"/>
        </w:rPr>
      </w:pPr>
      <w:r>
        <w:rPr>
          <w:rFonts w:ascii="Arial" w:hAnsi="Arial" w:cs="Arial"/>
          <w:i/>
          <w:iCs/>
          <w:color w:val="000000" w:themeColor="text1"/>
          <w:sz w:val="19"/>
          <w:szCs w:val="19"/>
          <w:lang w:val="en-US"/>
        </w:rPr>
        <w:t>»</w:t>
      </w:r>
      <w:r w:rsidR="00940934" w:rsidRPr="00D6418E">
        <w:rPr>
          <w:rFonts w:ascii="Arial" w:hAnsi="Arial" w:cs="Arial"/>
          <w:i/>
          <w:iCs/>
          <w:color w:val="000000" w:themeColor="text1"/>
          <w:sz w:val="19"/>
          <w:szCs w:val="19"/>
          <w:lang w:val="en-US"/>
        </w:rPr>
        <w:t>(Decreto 769 de 2014, art.1)</w:t>
      </w:r>
      <w:r>
        <w:rPr>
          <w:rFonts w:ascii="Arial" w:hAnsi="Arial" w:cs="Arial"/>
          <w:i/>
          <w:iCs/>
          <w:color w:val="000000" w:themeColor="text1"/>
          <w:sz w:val="19"/>
          <w:szCs w:val="19"/>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AC93" w14:textId="77777777" w:rsidR="00387886" w:rsidRDefault="000965D3">
    <w:pPr>
      <w:pStyle w:val="Encabezado"/>
    </w:pPr>
    <w:r>
      <w:rPr>
        <w:noProof/>
        <w:lang w:val="es-CO" w:eastAsia="es-CO"/>
      </w:rPr>
      <w:drawing>
        <wp:anchor distT="0" distB="0" distL="114300" distR="114300" simplePos="0" relativeHeight="251659264" behindDoc="1" locked="0" layoutInCell="1" allowOverlap="1" wp14:anchorId="476E6BB2" wp14:editId="7226683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529E0"/>
    <w:multiLevelType w:val="multilevel"/>
    <w:tmpl w:val="22A6AAD4"/>
    <w:lvl w:ilvl="0">
      <w:start w:val="2"/>
      <w:numFmt w:val="decimal"/>
      <w:lvlText w:val="%1."/>
      <w:lvlJc w:val="left"/>
      <w:pPr>
        <w:ind w:left="435" w:hanging="435"/>
      </w:pPr>
      <w:rPr>
        <w:rFonts w:hint="default"/>
        <w:b/>
      </w:rPr>
    </w:lvl>
    <w:lvl w:ilvl="1">
      <w:start w:val="70"/>
      <w:numFmt w:val="decimal"/>
      <w:lvlText w:val="%1.%2."/>
      <w:lvlJc w:val="left"/>
      <w:pPr>
        <w:ind w:left="1221" w:hanging="435"/>
      </w:pPr>
      <w:rPr>
        <w:rFonts w:hint="default"/>
        <w:b w:val="0"/>
        <w:bCs/>
        <w:i w:val="0"/>
        <w:iCs w:val="0"/>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5796" w:hanging="108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7728" w:hanging="1440"/>
      </w:pPr>
      <w:rPr>
        <w:rFonts w:hint="default"/>
        <w:b/>
      </w:rPr>
    </w:lvl>
  </w:abstractNum>
  <w:num w:numId="1" w16cid:durableId="7490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67"/>
    <w:rsid w:val="00000213"/>
    <w:rsid w:val="00004309"/>
    <w:rsid w:val="0000763E"/>
    <w:rsid w:val="0001639E"/>
    <w:rsid w:val="0003067A"/>
    <w:rsid w:val="00041577"/>
    <w:rsid w:val="000549D1"/>
    <w:rsid w:val="00071118"/>
    <w:rsid w:val="0007164B"/>
    <w:rsid w:val="000965D3"/>
    <w:rsid w:val="00097294"/>
    <w:rsid w:val="000A6CC7"/>
    <w:rsid w:val="000B0135"/>
    <w:rsid w:val="000B322A"/>
    <w:rsid w:val="000D229C"/>
    <w:rsid w:val="001002B7"/>
    <w:rsid w:val="00101763"/>
    <w:rsid w:val="00103032"/>
    <w:rsid w:val="00112BF8"/>
    <w:rsid w:val="0013313E"/>
    <w:rsid w:val="001432C4"/>
    <w:rsid w:val="0015002D"/>
    <w:rsid w:val="00150167"/>
    <w:rsid w:val="00156F2E"/>
    <w:rsid w:val="00172E23"/>
    <w:rsid w:val="001754BC"/>
    <w:rsid w:val="00176B64"/>
    <w:rsid w:val="00184B87"/>
    <w:rsid w:val="00186073"/>
    <w:rsid w:val="00190D9B"/>
    <w:rsid w:val="001A0317"/>
    <w:rsid w:val="001A2813"/>
    <w:rsid w:val="001B5EB6"/>
    <w:rsid w:val="001C4907"/>
    <w:rsid w:val="001D3943"/>
    <w:rsid w:val="001D4809"/>
    <w:rsid w:val="001E52B9"/>
    <w:rsid w:val="001F1358"/>
    <w:rsid w:val="001F711A"/>
    <w:rsid w:val="001F772D"/>
    <w:rsid w:val="00207B71"/>
    <w:rsid w:val="00217768"/>
    <w:rsid w:val="0023456D"/>
    <w:rsid w:val="00235172"/>
    <w:rsid w:val="00240A92"/>
    <w:rsid w:val="00246098"/>
    <w:rsid w:val="0025688C"/>
    <w:rsid w:val="00263409"/>
    <w:rsid w:val="002773AB"/>
    <w:rsid w:val="002A0373"/>
    <w:rsid w:val="002A6EE4"/>
    <w:rsid w:val="002B0C37"/>
    <w:rsid w:val="002C3315"/>
    <w:rsid w:val="002C56DB"/>
    <w:rsid w:val="002D55E0"/>
    <w:rsid w:val="002E1C4A"/>
    <w:rsid w:val="002E7608"/>
    <w:rsid w:val="003037F6"/>
    <w:rsid w:val="00313D4A"/>
    <w:rsid w:val="00325CE5"/>
    <w:rsid w:val="003260D1"/>
    <w:rsid w:val="003305CC"/>
    <w:rsid w:val="003364C0"/>
    <w:rsid w:val="003423AE"/>
    <w:rsid w:val="00344490"/>
    <w:rsid w:val="00355D0A"/>
    <w:rsid w:val="00362C88"/>
    <w:rsid w:val="00365162"/>
    <w:rsid w:val="00365F74"/>
    <w:rsid w:val="003668F9"/>
    <w:rsid w:val="00366E39"/>
    <w:rsid w:val="0037067E"/>
    <w:rsid w:val="00393D96"/>
    <w:rsid w:val="00394378"/>
    <w:rsid w:val="00394E7A"/>
    <w:rsid w:val="00395B41"/>
    <w:rsid w:val="003A0131"/>
    <w:rsid w:val="003A1253"/>
    <w:rsid w:val="003A4E31"/>
    <w:rsid w:val="003C0050"/>
    <w:rsid w:val="003C7067"/>
    <w:rsid w:val="003D2D2A"/>
    <w:rsid w:val="003D36CE"/>
    <w:rsid w:val="003D3A2F"/>
    <w:rsid w:val="003E060B"/>
    <w:rsid w:val="003E582E"/>
    <w:rsid w:val="004079E3"/>
    <w:rsid w:val="00412843"/>
    <w:rsid w:val="00413899"/>
    <w:rsid w:val="00416333"/>
    <w:rsid w:val="00426D2A"/>
    <w:rsid w:val="00427DCC"/>
    <w:rsid w:val="004416C7"/>
    <w:rsid w:val="004662C1"/>
    <w:rsid w:val="00470EFA"/>
    <w:rsid w:val="00472D0E"/>
    <w:rsid w:val="0048244C"/>
    <w:rsid w:val="0048677A"/>
    <w:rsid w:val="00492BE0"/>
    <w:rsid w:val="004953FD"/>
    <w:rsid w:val="004A1498"/>
    <w:rsid w:val="004B3476"/>
    <w:rsid w:val="004C03F9"/>
    <w:rsid w:val="004C3000"/>
    <w:rsid w:val="004C709A"/>
    <w:rsid w:val="004D05D4"/>
    <w:rsid w:val="004D4E4E"/>
    <w:rsid w:val="004D7BB0"/>
    <w:rsid w:val="004F010F"/>
    <w:rsid w:val="005016F6"/>
    <w:rsid w:val="0051003B"/>
    <w:rsid w:val="00513EEE"/>
    <w:rsid w:val="005222BE"/>
    <w:rsid w:val="00546932"/>
    <w:rsid w:val="00550E22"/>
    <w:rsid w:val="0055345F"/>
    <w:rsid w:val="005556E0"/>
    <w:rsid w:val="00585FCD"/>
    <w:rsid w:val="005871D6"/>
    <w:rsid w:val="00593050"/>
    <w:rsid w:val="00596825"/>
    <w:rsid w:val="005E1995"/>
    <w:rsid w:val="005E74AD"/>
    <w:rsid w:val="005F3114"/>
    <w:rsid w:val="005F6429"/>
    <w:rsid w:val="00605231"/>
    <w:rsid w:val="0061018B"/>
    <w:rsid w:val="00614A64"/>
    <w:rsid w:val="00614BF3"/>
    <w:rsid w:val="00621B9A"/>
    <w:rsid w:val="00645FB0"/>
    <w:rsid w:val="0064603D"/>
    <w:rsid w:val="0065269D"/>
    <w:rsid w:val="006602EB"/>
    <w:rsid w:val="006778CE"/>
    <w:rsid w:val="00677E9E"/>
    <w:rsid w:val="00682FE9"/>
    <w:rsid w:val="006938B4"/>
    <w:rsid w:val="006A616D"/>
    <w:rsid w:val="006B5404"/>
    <w:rsid w:val="006D2641"/>
    <w:rsid w:val="006F1F39"/>
    <w:rsid w:val="00701776"/>
    <w:rsid w:val="00702A9E"/>
    <w:rsid w:val="00741AC8"/>
    <w:rsid w:val="00741EE1"/>
    <w:rsid w:val="0074426D"/>
    <w:rsid w:val="00756C59"/>
    <w:rsid w:val="00760CDC"/>
    <w:rsid w:val="00763584"/>
    <w:rsid w:val="007915CC"/>
    <w:rsid w:val="007925B4"/>
    <w:rsid w:val="00792ABB"/>
    <w:rsid w:val="00793E8F"/>
    <w:rsid w:val="00795911"/>
    <w:rsid w:val="007A0A66"/>
    <w:rsid w:val="007A1E56"/>
    <w:rsid w:val="007A4047"/>
    <w:rsid w:val="007A48A1"/>
    <w:rsid w:val="007C14A7"/>
    <w:rsid w:val="007C3E50"/>
    <w:rsid w:val="007C57D2"/>
    <w:rsid w:val="007D2560"/>
    <w:rsid w:val="007D36D7"/>
    <w:rsid w:val="007E5728"/>
    <w:rsid w:val="00821001"/>
    <w:rsid w:val="008308AB"/>
    <w:rsid w:val="00831710"/>
    <w:rsid w:val="00831A92"/>
    <w:rsid w:val="00833A9F"/>
    <w:rsid w:val="00854B30"/>
    <w:rsid w:val="00862B07"/>
    <w:rsid w:val="0086673C"/>
    <w:rsid w:val="00872CC7"/>
    <w:rsid w:val="00882AEE"/>
    <w:rsid w:val="008839DE"/>
    <w:rsid w:val="00886C32"/>
    <w:rsid w:val="00892D4C"/>
    <w:rsid w:val="008A5998"/>
    <w:rsid w:val="008B0ADB"/>
    <w:rsid w:val="008B1AEB"/>
    <w:rsid w:val="008B7A9B"/>
    <w:rsid w:val="008E2C35"/>
    <w:rsid w:val="008E3A2D"/>
    <w:rsid w:val="008E5E11"/>
    <w:rsid w:val="008F66B0"/>
    <w:rsid w:val="00903E92"/>
    <w:rsid w:val="00904C5A"/>
    <w:rsid w:val="0091605A"/>
    <w:rsid w:val="00920707"/>
    <w:rsid w:val="00927931"/>
    <w:rsid w:val="009364CE"/>
    <w:rsid w:val="0093787C"/>
    <w:rsid w:val="00940934"/>
    <w:rsid w:val="00941524"/>
    <w:rsid w:val="0094584C"/>
    <w:rsid w:val="00946E02"/>
    <w:rsid w:val="0095706D"/>
    <w:rsid w:val="00957364"/>
    <w:rsid w:val="009702D5"/>
    <w:rsid w:val="00987E9F"/>
    <w:rsid w:val="00993288"/>
    <w:rsid w:val="009B557F"/>
    <w:rsid w:val="009B5E61"/>
    <w:rsid w:val="009E5D06"/>
    <w:rsid w:val="009E6EEC"/>
    <w:rsid w:val="009F0A44"/>
    <w:rsid w:val="00A020DD"/>
    <w:rsid w:val="00A24C7E"/>
    <w:rsid w:val="00A259EC"/>
    <w:rsid w:val="00A264B4"/>
    <w:rsid w:val="00A34932"/>
    <w:rsid w:val="00A425A1"/>
    <w:rsid w:val="00A65986"/>
    <w:rsid w:val="00A77A09"/>
    <w:rsid w:val="00AA2E65"/>
    <w:rsid w:val="00AC0AEF"/>
    <w:rsid w:val="00AC5023"/>
    <w:rsid w:val="00AD73B1"/>
    <w:rsid w:val="00AE4F53"/>
    <w:rsid w:val="00AF0095"/>
    <w:rsid w:val="00B02CB4"/>
    <w:rsid w:val="00B03108"/>
    <w:rsid w:val="00B11D91"/>
    <w:rsid w:val="00B15498"/>
    <w:rsid w:val="00B20FA2"/>
    <w:rsid w:val="00B24B11"/>
    <w:rsid w:val="00B36F3B"/>
    <w:rsid w:val="00B41C03"/>
    <w:rsid w:val="00B50E9C"/>
    <w:rsid w:val="00B640BC"/>
    <w:rsid w:val="00B70AA1"/>
    <w:rsid w:val="00B80B20"/>
    <w:rsid w:val="00B83E63"/>
    <w:rsid w:val="00B922E3"/>
    <w:rsid w:val="00BA2D60"/>
    <w:rsid w:val="00BB10CE"/>
    <w:rsid w:val="00BB21C8"/>
    <w:rsid w:val="00BE2865"/>
    <w:rsid w:val="00BE4EAD"/>
    <w:rsid w:val="00BE7294"/>
    <w:rsid w:val="00C00312"/>
    <w:rsid w:val="00C00863"/>
    <w:rsid w:val="00C04454"/>
    <w:rsid w:val="00C12FF1"/>
    <w:rsid w:val="00C346E3"/>
    <w:rsid w:val="00C41C91"/>
    <w:rsid w:val="00C443D5"/>
    <w:rsid w:val="00C4671B"/>
    <w:rsid w:val="00C7267B"/>
    <w:rsid w:val="00C84D48"/>
    <w:rsid w:val="00C84F70"/>
    <w:rsid w:val="00C96E18"/>
    <w:rsid w:val="00CA4C52"/>
    <w:rsid w:val="00CB6D97"/>
    <w:rsid w:val="00CD5A6D"/>
    <w:rsid w:val="00CD78C4"/>
    <w:rsid w:val="00CE6043"/>
    <w:rsid w:val="00CE7050"/>
    <w:rsid w:val="00CF4DA2"/>
    <w:rsid w:val="00D02095"/>
    <w:rsid w:val="00D13CB6"/>
    <w:rsid w:val="00D143F4"/>
    <w:rsid w:val="00D27D8F"/>
    <w:rsid w:val="00D3573C"/>
    <w:rsid w:val="00D46E9E"/>
    <w:rsid w:val="00D56AA1"/>
    <w:rsid w:val="00D57FD9"/>
    <w:rsid w:val="00D6418E"/>
    <w:rsid w:val="00D7628C"/>
    <w:rsid w:val="00D84B8B"/>
    <w:rsid w:val="00D8787B"/>
    <w:rsid w:val="00DE7D3C"/>
    <w:rsid w:val="00DF141D"/>
    <w:rsid w:val="00DF7664"/>
    <w:rsid w:val="00E00DF0"/>
    <w:rsid w:val="00E03801"/>
    <w:rsid w:val="00E232D4"/>
    <w:rsid w:val="00E25234"/>
    <w:rsid w:val="00E30212"/>
    <w:rsid w:val="00E40AF8"/>
    <w:rsid w:val="00E416E6"/>
    <w:rsid w:val="00E440CB"/>
    <w:rsid w:val="00E463DA"/>
    <w:rsid w:val="00E527DC"/>
    <w:rsid w:val="00E62296"/>
    <w:rsid w:val="00E700EA"/>
    <w:rsid w:val="00E74B0C"/>
    <w:rsid w:val="00E75C98"/>
    <w:rsid w:val="00E81D9C"/>
    <w:rsid w:val="00E831BC"/>
    <w:rsid w:val="00E846EA"/>
    <w:rsid w:val="00E95CE9"/>
    <w:rsid w:val="00EA0F07"/>
    <w:rsid w:val="00EA44B1"/>
    <w:rsid w:val="00EA4609"/>
    <w:rsid w:val="00EA714D"/>
    <w:rsid w:val="00F00588"/>
    <w:rsid w:val="00F01A82"/>
    <w:rsid w:val="00F17C3F"/>
    <w:rsid w:val="00F21E62"/>
    <w:rsid w:val="00F502DF"/>
    <w:rsid w:val="00F50819"/>
    <w:rsid w:val="00F75BF5"/>
    <w:rsid w:val="00F8617A"/>
    <w:rsid w:val="00F92B22"/>
    <w:rsid w:val="00F93C05"/>
    <w:rsid w:val="00F9764A"/>
    <w:rsid w:val="00FB4302"/>
    <w:rsid w:val="00FD0C66"/>
    <w:rsid w:val="00FD4F87"/>
    <w:rsid w:val="00FE4C18"/>
    <w:rsid w:val="00FF18E3"/>
    <w:rsid w:val="00FF72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49E1"/>
  <w15:chartTrackingRefBased/>
  <w15:docId w15:val="{714D969C-E74C-7348-842B-D1DEAF5C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943"/>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C706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3C7067"/>
    <w:rPr>
      <w:szCs w:val="22"/>
      <w:lang w:val="es-MX"/>
    </w:rPr>
  </w:style>
  <w:style w:type="paragraph" w:styleId="Encabezado">
    <w:name w:val="header"/>
    <w:basedOn w:val="Normal"/>
    <w:link w:val="EncabezadoCar"/>
    <w:uiPriority w:val="99"/>
    <w:unhideWhenUsed/>
    <w:rsid w:val="003C706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3C7067"/>
    <w:rPr>
      <w:szCs w:val="22"/>
      <w:lang w:val="es-MX"/>
    </w:rPr>
  </w:style>
  <w:style w:type="table" w:styleId="Tablaconcuadrcula">
    <w:name w:val="Table Grid"/>
    <w:basedOn w:val="Tablanormal"/>
    <w:uiPriority w:val="39"/>
    <w:qFormat/>
    <w:rsid w:val="003C70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3C7067"/>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3C7067"/>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C706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3C7067"/>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3C7067"/>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C7067"/>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3C7067"/>
    <w:rPr>
      <w:vertAlign w:val="superscript"/>
    </w:rPr>
  </w:style>
  <w:style w:type="paragraph" w:styleId="Textoindependiente">
    <w:name w:val="Body Text"/>
    <w:basedOn w:val="Normal"/>
    <w:link w:val="TextoindependienteCar"/>
    <w:uiPriority w:val="1"/>
    <w:qFormat/>
    <w:rsid w:val="003C7067"/>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3C7067"/>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3C7067"/>
    <w:pPr>
      <w:spacing w:after="160" w:line="240" w:lineRule="exact"/>
    </w:pPr>
    <w:rPr>
      <w:rFonts w:asciiTheme="minorHAnsi" w:eastAsiaTheme="minorHAnsi" w:hAnsiTheme="minorHAnsi" w:cstheme="minorBidi"/>
      <w:vertAlign w:val="superscript"/>
      <w:lang w:eastAsia="en-US"/>
    </w:rPr>
  </w:style>
  <w:style w:type="paragraph" w:styleId="Textocomentario">
    <w:name w:val="annotation text"/>
    <w:basedOn w:val="Normal"/>
    <w:link w:val="TextocomentarioCar"/>
    <w:uiPriority w:val="99"/>
    <w:unhideWhenUsed/>
    <w:rsid w:val="003C7067"/>
    <w:rPr>
      <w:sz w:val="20"/>
      <w:szCs w:val="20"/>
    </w:rPr>
  </w:style>
  <w:style w:type="character" w:customStyle="1" w:styleId="TextocomentarioCar">
    <w:name w:val="Texto comentario Car"/>
    <w:basedOn w:val="Fuentedeprrafopredeter"/>
    <w:link w:val="Textocomentario"/>
    <w:uiPriority w:val="99"/>
    <w:rsid w:val="003C7067"/>
    <w:rPr>
      <w:rFonts w:ascii="Times New Roman" w:eastAsia="Times New Roman" w:hAnsi="Times New Roman" w:cs="Times New Roman"/>
      <w:sz w:val="20"/>
      <w:szCs w:val="20"/>
      <w:lang w:eastAsia="es-MX"/>
    </w:rPr>
  </w:style>
  <w:style w:type="character" w:customStyle="1" w:styleId="normaltextrun">
    <w:name w:val="normaltextrun"/>
    <w:basedOn w:val="Fuentedeprrafopredeter"/>
    <w:rsid w:val="003C7067"/>
  </w:style>
  <w:style w:type="character" w:customStyle="1" w:styleId="eop">
    <w:name w:val="eop"/>
    <w:basedOn w:val="Fuentedeprrafopredeter"/>
    <w:rsid w:val="003C7067"/>
  </w:style>
  <w:style w:type="paragraph" w:customStyle="1" w:styleId="ql-align-justify">
    <w:name w:val="ql-align-justify"/>
    <w:basedOn w:val="Normal"/>
    <w:rsid w:val="003E060B"/>
    <w:pPr>
      <w:spacing w:before="100" w:beforeAutospacing="1" w:after="100" w:afterAutospacing="1"/>
    </w:pPr>
  </w:style>
  <w:style w:type="character" w:customStyle="1" w:styleId="apple-converted-space">
    <w:name w:val="apple-converted-space"/>
    <w:basedOn w:val="Fuentedeprrafopredeter"/>
    <w:rsid w:val="003E060B"/>
  </w:style>
  <w:style w:type="character" w:styleId="Hipervnculo">
    <w:name w:val="Hyperlink"/>
    <w:basedOn w:val="Fuentedeprrafopredeter"/>
    <w:uiPriority w:val="99"/>
    <w:unhideWhenUsed/>
    <w:rsid w:val="00C84F70"/>
    <w:rPr>
      <w:color w:val="0563C1" w:themeColor="hyperlink"/>
      <w:u w:val="single"/>
    </w:rPr>
  </w:style>
  <w:style w:type="character" w:styleId="Mencinsinresolver">
    <w:name w:val="Unresolved Mention"/>
    <w:basedOn w:val="Fuentedeprrafopredeter"/>
    <w:uiPriority w:val="99"/>
    <w:semiHidden/>
    <w:unhideWhenUsed/>
    <w:rsid w:val="00C84F70"/>
    <w:rPr>
      <w:color w:val="605E5C"/>
      <w:shd w:val="clear" w:color="auto" w:fill="E1DFDD"/>
    </w:rPr>
  </w:style>
  <w:style w:type="character" w:styleId="Hipervnculovisitado">
    <w:name w:val="FollowedHyperlink"/>
    <w:basedOn w:val="Fuentedeprrafopredeter"/>
    <w:uiPriority w:val="99"/>
    <w:semiHidden/>
    <w:unhideWhenUsed/>
    <w:rsid w:val="00EA4609"/>
    <w:rPr>
      <w:color w:val="954F72" w:themeColor="followedHyperlink"/>
      <w:u w:val="single"/>
    </w:rPr>
  </w:style>
  <w:style w:type="paragraph" w:styleId="Revisin">
    <w:name w:val="Revision"/>
    <w:hidden/>
    <w:uiPriority w:val="99"/>
    <w:semiHidden/>
    <w:rsid w:val="00E700EA"/>
    <w:rPr>
      <w:rFonts w:ascii="Times New Roman" w:eastAsia="Times New Roman" w:hAnsi="Times New Roman" w:cs="Times New Roman"/>
      <w:lang w:eastAsia="es-MX"/>
    </w:rPr>
  </w:style>
  <w:style w:type="character" w:styleId="Refdecomentario">
    <w:name w:val="annotation reference"/>
    <w:basedOn w:val="Fuentedeprrafopredeter"/>
    <w:uiPriority w:val="99"/>
    <w:semiHidden/>
    <w:unhideWhenUsed/>
    <w:rsid w:val="00C7267B"/>
    <w:rPr>
      <w:sz w:val="16"/>
      <w:szCs w:val="16"/>
    </w:rPr>
  </w:style>
  <w:style w:type="paragraph" w:styleId="Asuntodelcomentario">
    <w:name w:val="annotation subject"/>
    <w:basedOn w:val="Textocomentario"/>
    <w:next w:val="Textocomentario"/>
    <w:link w:val="AsuntodelcomentarioCar"/>
    <w:uiPriority w:val="99"/>
    <w:semiHidden/>
    <w:unhideWhenUsed/>
    <w:rsid w:val="00C7267B"/>
    <w:rPr>
      <w:b/>
      <w:bCs/>
    </w:rPr>
  </w:style>
  <w:style w:type="character" w:customStyle="1" w:styleId="AsuntodelcomentarioCar">
    <w:name w:val="Asunto del comentario Car"/>
    <w:basedOn w:val="TextocomentarioCar"/>
    <w:link w:val="Asuntodelcomentario"/>
    <w:uiPriority w:val="99"/>
    <w:semiHidden/>
    <w:rsid w:val="00C7267B"/>
    <w:rPr>
      <w:rFonts w:ascii="Times New Roman" w:eastAsia="Times New Roman" w:hAnsi="Times New Roman" w:cs="Times New Roman"/>
      <w:b/>
      <w:bCs/>
      <w:sz w:val="20"/>
      <w:szCs w:val="20"/>
      <w:lang w:eastAsia="es-MX"/>
    </w:rPr>
  </w:style>
  <w:style w:type="paragraph" w:styleId="NormalWeb">
    <w:name w:val="Normal (Web)"/>
    <w:basedOn w:val="Normal"/>
    <w:link w:val="NormalWebCar"/>
    <w:uiPriority w:val="99"/>
    <w:unhideWhenUsed/>
    <w:rsid w:val="001F772D"/>
    <w:pPr>
      <w:spacing w:before="100" w:beforeAutospacing="1" w:after="100" w:afterAutospacing="1"/>
    </w:pPr>
  </w:style>
  <w:style w:type="character" w:customStyle="1" w:styleId="NormalWebCar">
    <w:name w:val="Normal (Web) Car"/>
    <w:link w:val="NormalWeb"/>
    <w:uiPriority w:val="99"/>
    <w:rsid w:val="001F772D"/>
    <w:rPr>
      <w:rFonts w:ascii="Times New Roman" w:eastAsia="Times New Roman" w:hAnsi="Times New Roman" w:cs="Times New Roman"/>
      <w:lang w:eastAsia="es-MX"/>
    </w:rPr>
  </w:style>
  <w:style w:type="character" w:customStyle="1" w:styleId="baj">
    <w:name w:val="b_aj"/>
    <w:basedOn w:val="Fuentedeprrafopredeter"/>
    <w:rsid w:val="00F93C05"/>
  </w:style>
  <w:style w:type="paragraph" w:customStyle="1" w:styleId="Normal11pt">
    <w:name w:val="Normal + 11 pt"/>
    <w:aliases w:val="Negro,Justificado,Izquierda:  -0,95 cm,Derecha:  0,04 cm"/>
    <w:basedOn w:val="Normal"/>
    <w:uiPriority w:val="99"/>
    <w:rsid w:val="008B7A9B"/>
    <w:pPr>
      <w:ind w:left="-540"/>
      <w:jc w:val="both"/>
    </w:pPr>
    <w:rPr>
      <w:rFonts w:ascii="Arial" w:hAnsi="Arial" w:cs="Arial"/>
      <w:color w:val="000000"/>
      <w:sz w:val="22"/>
      <w:szCs w:val="22"/>
      <w:lang w:val="es-ES_tradnl" w:eastAsia="es-ES"/>
    </w:rPr>
  </w:style>
  <w:style w:type="character" w:customStyle="1" w:styleId="Invias-VietaNumeradaCar">
    <w:name w:val="Invias-Viñeta Numerada Car"/>
    <w:link w:val="Invias-VietaNumerada"/>
    <w:uiPriority w:val="99"/>
    <w:locked/>
    <w:rsid w:val="00F92B22"/>
    <w:rPr>
      <w:rFonts w:ascii="Arial Narrow" w:eastAsia="Times New Roman" w:hAnsi="Arial Narrow" w:cs="Times New Roman"/>
      <w:lang w:val="en-US" w:eastAsia="es-ES"/>
    </w:rPr>
  </w:style>
  <w:style w:type="paragraph" w:customStyle="1" w:styleId="Invias-VietaNumerada">
    <w:name w:val="Invias-Viñeta Numerada"/>
    <w:next w:val="Normal"/>
    <w:link w:val="Invias-VietaNumeradaCar"/>
    <w:uiPriority w:val="99"/>
    <w:qFormat/>
    <w:rsid w:val="00F92B22"/>
    <w:pPr>
      <w:spacing w:before="240" w:after="120"/>
      <w:jc w:val="both"/>
    </w:pPr>
    <w:rPr>
      <w:rFonts w:ascii="Arial Narrow" w:eastAsia="Times New Roman" w:hAnsi="Arial Narrow" w:cs="Times New Roman"/>
      <w:lang w:val="en-US" w:eastAsia="es-ES"/>
    </w:rPr>
  </w:style>
  <w:style w:type="character" w:styleId="Textoennegrita">
    <w:name w:val="Strong"/>
    <w:basedOn w:val="Fuentedeprrafopredeter"/>
    <w:uiPriority w:val="22"/>
    <w:qFormat/>
    <w:rsid w:val="00F92B22"/>
    <w:rPr>
      <w:b/>
      <w:bCs/>
    </w:rPr>
  </w:style>
  <w:style w:type="character" w:styleId="nfasis">
    <w:name w:val="Emphasis"/>
    <w:basedOn w:val="Fuentedeprrafopredeter"/>
    <w:uiPriority w:val="20"/>
    <w:qFormat/>
    <w:rsid w:val="0074426D"/>
    <w:rPr>
      <w:i/>
      <w:iCs/>
    </w:rPr>
  </w:style>
  <w:style w:type="character" w:styleId="Textodelmarcadordeposicin">
    <w:name w:val="Placeholder Text"/>
    <w:basedOn w:val="Fuentedeprrafopredeter"/>
    <w:uiPriority w:val="99"/>
    <w:semiHidden/>
    <w:rsid w:val="005871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21424">
      <w:bodyDiv w:val="1"/>
      <w:marLeft w:val="0"/>
      <w:marRight w:val="0"/>
      <w:marTop w:val="0"/>
      <w:marBottom w:val="0"/>
      <w:divBdr>
        <w:top w:val="none" w:sz="0" w:space="0" w:color="auto"/>
        <w:left w:val="none" w:sz="0" w:space="0" w:color="auto"/>
        <w:bottom w:val="none" w:sz="0" w:space="0" w:color="auto"/>
        <w:right w:val="none" w:sz="0" w:space="0" w:color="auto"/>
      </w:divBdr>
    </w:div>
    <w:div w:id="1616476814">
      <w:bodyDiv w:val="1"/>
      <w:marLeft w:val="0"/>
      <w:marRight w:val="0"/>
      <w:marTop w:val="0"/>
      <w:marBottom w:val="0"/>
      <w:divBdr>
        <w:top w:val="none" w:sz="0" w:space="0" w:color="auto"/>
        <w:left w:val="none" w:sz="0" w:space="0" w:color="auto"/>
        <w:bottom w:val="none" w:sz="0" w:space="0" w:color="auto"/>
        <w:right w:val="none" w:sz="0" w:space="0" w:color="auto"/>
      </w:divBdr>
      <w:divsChild>
        <w:div w:id="162018617">
          <w:marLeft w:val="0"/>
          <w:marRight w:val="0"/>
          <w:marTop w:val="0"/>
          <w:marBottom w:val="0"/>
          <w:divBdr>
            <w:top w:val="none" w:sz="0" w:space="0" w:color="auto"/>
            <w:left w:val="none" w:sz="0" w:space="0" w:color="auto"/>
            <w:bottom w:val="none" w:sz="0" w:space="0" w:color="auto"/>
            <w:right w:val="none" w:sz="0" w:space="0" w:color="auto"/>
          </w:divBdr>
        </w:div>
      </w:divsChild>
    </w:div>
    <w:div w:id="190757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78042-9A97-42B0-AF2E-C27B994A5796}">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D21460D3-AB41-4F93-AAD8-F4C8408A0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F7D1AF-155D-4D51-B315-BE94498E7427}">
  <ds:schemaRefs>
    <ds:schemaRef ds:uri="http://schemas.microsoft.com/sharepoint/v3/contenttype/forms"/>
  </ds:schemaRefs>
</ds:datastoreItem>
</file>

<file path=customXml/itemProps4.xml><?xml version="1.0" encoding="utf-8"?>
<ds:datastoreItem xmlns:ds="http://schemas.openxmlformats.org/officeDocument/2006/customXml" ds:itemID="{4D5E5F2F-E601-453B-8C08-B9BAE9F8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5159</Words>
  <Characters>28379</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MARIA CLAUDIA DE LA OSSA BOBADILLA</cp:lastModifiedBy>
  <cp:revision>2</cp:revision>
  <dcterms:created xsi:type="dcterms:W3CDTF">2022-07-26T14:11:00Z</dcterms:created>
  <dcterms:modified xsi:type="dcterms:W3CDTF">2022-07-26T14:11:00Z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