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83744B" w:rsidRDefault="009F59C2" w:rsidP="00D66CC3">
      <w:pPr>
        <w:jc w:val="right"/>
        <w:rPr>
          <w:rFonts w:ascii="Arial" w:hAnsi="Arial" w:cs="Arial"/>
          <w:b/>
          <w:color w:val="000000" w:themeColor="text1"/>
          <w:sz w:val="16"/>
          <w:szCs w:val="16"/>
          <w:lang w:eastAsia="es-ES"/>
        </w:rPr>
      </w:pPr>
      <w:bookmarkStart w:id="0" w:name="_Hlk28946138"/>
      <w:bookmarkStart w:id="1" w:name="_Hlk29548183"/>
      <w:bookmarkStart w:id="2" w:name="_Hlk70520488"/>
      <w:r w:rsidRPr="0083744B">
        <w:rPr>
          <w:rFonts w:ascii="Arial" w:hAnsi="Arial" w:cs="Arial"/>
          <w:b/>
          <w:color w:val="000000" w:themeColor="text1"/>
          <w:sz w:val="16"/>
          <w:szCs w:val="16"/>
          <w:lang w:eastAsia="es-ES"/>
        </w:rPr>
        <w:tab/>
      </w:r>
      <w:r w:rsidR="0034177C" w:rsidRPr="0083744B">
        <w:rPr>
          <w:rFonts w:ascii="Arial" w:hAnsi="Arial" w:cs="Arial"/>
          <w:b/>
          <w:color w:val="000000" w:themeColor="text1"/>
          <w:sz w:val="16"/>
          <w:szCs w:val="16"/>
          <w:lang w:eastAsia="es-ES"/>
        </w:rPr>
        <w:t>CCE-DES-FM-17</w:t>
      </w:r>
    </w:p>
    <w:p w14:paraId="721AC8FB" w14:textId="01985E14" w:rsidR="00056AFD" w:rsidRPr="0083744B" w:rsidRDefault="00056AFD" w:rsidP="00D66CC3">
      <w:pPr>
        <w:jc w:val="both"/>
        <w:rPr>
          <w:rFonts w:ascii="Arial" w:eastAsia="Calibri" w:hAnsi="Arial" w:cs="Arial"/>
          <w:color w:val="000000" w:themeColor="text1"/>
          <w:sz w:val="20"/>
          <w:szCs w:val="20"/>
          <w:lang w:val="es-ES_tradnl"/>
        </w:rPr>
      </w:pPr>
    </w:p>
    <w:p w14:paraId="704CDD92" w14:textId="77777777" w:rsidR="0083744B" w:rsidRPr="00EF5E4C" w:rsidRDefault="0083744B" w:rsidP="0083744B">
      <w:pPr>
        <w:jc w:val="both"/>
        <w:rPr>
          <w:rFonts w:ascii="Arial" w:eastAsia="Calibri" w:hAnsi="Arial" w:cs="Arial"/>
          <w:color w:val="000000" w:themeColor="text1"/>
          <w:sz w:val="22"/>
          <w:lang w:val="es-ES_tradnl"/>
        </w:rPr>
      </w:pPr>
      <w:r w:rsidRPr="00EF5E4C">
        <w:rPr>
          <w:rFonts w:ascii="Arial" w:eastAsia="Calibri" w:hAnsi="Arial" w:cs="Arial"/>
          <w:b/>
          <w:bCs/>
          <w:color w:val="000000" w:themeColor="text1"/>
          <w:sz w:val="22"/>
          <w:lang w:val="es-ES_tradnl"/>
        </w:rPr>
        <w:t xml:space="preserve">INHABILIDADES E INCOMPATIBILIDADES – Carácter sancionatorio – Restricción </w:t>
      </w:r>
    </w:p>
    <w:p w14:paraId="4FDD309C" w14:textId="77777777" w:rsidR="0083744B" w:rsidRPr="00EF5E4C" w:rsidRDefault="0083744B" w:rsidP="0083744B">
      <w:pPr>
        <w:jc w:val="both"/>
        <w:rPr>
          <w:rFonts w:ascii="Arial" w:eastAsia="Calibri" w:hAnsi="Arial" w:cs="Arial"/>
          <w:color w:val="000000" w:themeColor="text1"/>
          <w:sz w:val="20"/>
          <w:szCs w:val="20"/>
          <w:lang w:val="es-ES_tradnl"/>
        </w:rPr>
      </w:pPr>
    </w:p>
    <w:p w14:paraId="739EB333" w14:textId="77777777" w:rsidR="0083744B" w:rsidRPr="00EF5E4C" w:rsidRDefault="0083744B" w:rsidP="0083744B">
      <w:pPr>
        <w:jc w:val="both"/>
        <w:rPr>
          <w:rFonts w:ascii="Arial" w:eastAsia="Calibri" w:hAnsi="Arial" w:cs="Arial"/>
          <w:color w:val="000000" w:themeColor="text1"/>
          <w:sz w:val="20"/>
          <w:szCs w:val="20"/>
          <w:lang w:val="es-ES_tradnl"/>
        </w:rPr>
      </w:pPr>
      <w:r w:rsidRPr="000173A3">
        <w:rPr>
          <w:rFonts w:ascii="Arial" w:eastAsia="Calibri" w:hAnsi="Arial" w:cs="Arial"/>
          <w:color w:val="000000" w:themeColor="text1"/>
          <w:sz w:val="20"/>
          <w:szCs w:val="20"/>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w:t>
      </w:r>
      <w:proofErr w:type="spellStart"/>
      <w:r w:rsidRPr="000173A3">
        <w:rPr>
          <w:rFonts w:ascii="Arial" w:eastAsia="Calibri" w:hAnsi="Arial" w:cs="Arial"/>
          <w:color w:val="000000" w:themeColor="text1"/>
          <w:sz w:val="20"/>
          <w:szCs w:val="20"/>
          <w:lang w:val="es-ES_tradnl"/>
        </w:rPr>
        <w:t>neopunitivo</w:t>
      </w:r>
      <w:proofErr w:type="spellEnd"/>
      <w:proofErr w:type="gramStart"/>
      <w:r w:rsidRPr="000173A3">
        <w:rPr>
          <w:rFonts w:ascii="Arial" w:eastAsia="Calibri" w:hAnsi="Arial" w:cs="Arial"/>
          <w:color w:val="000000" w:themeColor="text1"/>
          <w:sz w:val="20"/>
          <w:szCs w:val="20"/>
          <w:lang w:val="es-ES_tradnl"/>
        </w:rPr>
        <w:t>» .</w:t>
      </w:r>
      <w:proofErr w:type="gramEnd"/>
      <w:r w:rsidRPr="000173A3">
        <w:rPr>
          <w:rFonts w:ascii="Arial" w:eastAsia="Calibri" w:hAnsi="Arial" w:cs="Arial"/>
          <w:color w:val="000000" w:themeColor="text1"/>
          <w:sz w:val="20"/>
          <w:szCs w:val="20"/>
          <w:lang w:val="es-ES_tradnl"/>
        </w:rPr>
        <w:t xml:space="preserve">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w:t>
      </w:r>
      <w:proofErr w:type="gramStart"/>
      <w:r w:rsidRPr="000173A3">
        <w:rPr>
          <w:rFonts w:ascii="Arial" w:eastAsia="Calibri" w:hAnsi="Arial" w:cs="Arial"/>
          <w:color w:val="000000" w:themeColor="text1"/>
          <w:sz w:val="20"/>
          <w:szCs w:val="20"/>
          <w:lang w:val="es-ES_tradnl"/>
        </w:rPr>
        <w:t>conductas.</w:t>
      </w:r>
      <w:r w:rsidRPr="00EF5E4C">
        <w:rPr>
          <w:rFonts w:ascii="Arial" w:eastAsia="Calibri" w:hAnsi="Arial" w:cs="Arial"/>
          <w:color w:val="000000" w:themeColor="text1"/>
          <w:sz w:val="20"/>
          <w:szCs w:val="20"/>
          <w:lang w:val="es-ES_tradnl"/>
        </w:rPr>
        <w:t>.</w:t>
      </w:r>
      <w:proofErr w:type="gramEnd"/>
      <w:r w:rsidRPr="00EF5E4C">
        <w:rPr>
          <w:rFonts w:ascii="Arial" w:eastAsia="Calibri" w:hAnsi="Arial" w:cs="Arial"/>
          <w:color w:val="000000" w:themeColor="text1"/>
          <w:sz w:val="20"/>
          <w:szCs w:val="20"/>
          <w:lang w:val="es-ES_tradnl"/>
        </w:rPr>
        <w:t xml:space="preserve"> </w:t>
      </w:r>
    </w:p>
    <w:p w14:paraId="2A4DA643" w14:textId="77777777" w:rsidR="0083744B" w:rsidRPr="00EF5E4C" w:rsidRDefault="0083744B" w:rsidP="0083744B">
      <w:pPr>
        <w:jc w:val="both"/>
        <w:rPr>
          <w:rFonts w:ascii="Arial" w:eastAsia="Calibri" w:hAnsi="Arial" w:cs="Arial"/>
          <w:b/>
          <w:bCs/>
          <w:color w:val="000000" w:themeColor="text1"/>
          <w:sz w:val="22"/>
          <w:lang w:val="es-ES_tradnl"/>
        </w:rPr>
      </w:pPr>
    </w:p>
    <w:p w14:paraId="7FF02031" w14:textId="77777777" w:rsidR="0083744B" w:rsidRPr="00EF5E4C" w:rsidRDefault="0083744B" w:rsidP="0083744B">
      <w:pPr>
        <w:jc w:val="both"/>
        <w:rPr>
          <w:rFonts w:ascii="Arial" w:eastAsia="Calibri" w:hAnsi="Arial" w:cs="Arial"/>
          <w:b/>
          <w:bCs/>
          <w:color w:val="000000" w:themeColor="text1"/>
          <w:sz w:val="22"/>
        </w:rPr>
      </w:pPr>
      <w:r w:rsidRPr="00EF5E4C">
        <w:rPr>
          <w:rFonts w:ascii="Arial" w:eastAsia="Calibri" w:hAnsi="Arial" w:cs="Arial"/>
          <w:b/>
          <w:bCs/>
          <w:color w:val="000000" w:themeColor="text1"/>
          <w:sz w:val="22"/>
        </w:rPr>
        <w:t xml:space="preserve">REPORTE DE SANCIONES – Entidades públicas – Deber de reporte – Sanciones – Multas – Cámaras de comercio </w:t>
      </w:r>
    </w:p>
    <w:p w14:paraId="3A0FFF6C" w14:textId="77777777" w:rsidR="0083744B" w:rsidRPr="00EF5E4C" w:rsidRDefault="0083744B" w:rsidP="0083744B">
      <w:pPr>
        <w:jc w:val="both"/>
        <w:rPr>
          <w:rFonts w:ascii="Arial" w:eastAsia="Calibri" w:hAnsi="Arial" w:cs="Arial"/>
          <w:color w:val="000000" w:themeColor="text1"/>
          <w:sz w:val="22"/>
        </w:rPr>
      </w:pPr>
    </w:p>
    <w:p w14:paraId="12C6A363" w14:textId="77777777" w:rsidR="0083744B" w:rsidRPr="00EF5E4C" w:rsidRDefault="0083744B" w:rsidP="0083744B">
      <w:pPr>
        <w:jc w:val="both"/>
        <w:rPr>
          <w:rFonts w:ascii="Arial" w:hAnsi="Arial" w:cs="Arial"/>
          <w:color w:val="000000" w:themeColor="text1"/>
          <w:sz w:val="20"/>
          <w:szCs w:val="20"/>
        </w:rPr>
      </w:pPr>
      <w:r w:rsidRPr="00EF5E4C">
        <w:rPr>
          <w:rFonts w:ascii="Arial" w:eastAsia="Calibri" w:hAnsi="Arial" w:cs="Arial"/>
          <w:color w:val="000000" w:themeColor="text1"/>
          <w:sz w:val="20"/>
          <w:szCs w:val="20"/>
        </w:rPr>
        <w:t>El artículo 6.2 de la Ley 1150 de 2007 obliga a las entidades públicas a reportar a la Cámara de Comercio correspondiente la información sobre contratos, multas y sanciones</w:t>
      </w:r>
      <w:r w:rsidRPr="00EF5E4C">
        <w:rPr>
          <w:rStyle w:val="Refdenotaalpie"/>
          <w:rFonts w:ascii="Arial" w:hAnsi="Arial" w:cs="Arial"/>
          <w:color w:val="000000" w:themeColor="text1"/>
          <w:sz w:val="20"/>
          <w:szCs w:val="20"/>
        </w:rPr>
        <w:footnoteReference w:id="1"/>
      </w:r>
      <w:r w:rsidRPr="00EF5E4C">
        <w:rPr>
          <w:rFonts w:ascii="Arial" w:eastAsia="Calibri" w:hAnsi="Arial" w:cs="Arial"/>
          <w:color w:val="000000" w:themeColor="text1"/>
          <w:sz w:val="20"/>
          <w:szCs w:val="20"/>
        </w:rPr>
        <w:t>. Esta norma</w:t>
      </w:r>
      <w:r w:rsidRPr="00EF5E4C">
        <w:rPr>
          <w:rFonts w:ascii="Arial" w:hAnsi="Arial" w:cs="Arial"/>
          <w:color w:val="000000" w:themeColor="text1"/>
          <w:sz w:val="20"/>
          <w:szCs w:val="20"/>
        </w:rPr>
        <w:t xml:space="preserve"> pretende poner en conocimiento de todos los participantes del sistema de compras públicas la información de sanciones y multas impuestas a los inscritos en el RUP, como una forma de ejercer control a la ejecución de los contratos suscritos por las entidades estatales. Dicha obligación también es congruente con el artículo 31 de la Ley 80 de 1993, modificado por el artículo 218 del Decreto 19 de 2012, que estableció los deberes de publicar en el SECOP y de comunicar a las Cámaras de Comercio, la parte resolutiva, de los actos que impongan multas y sanciones, entre otras decisiones</w:t>
      </w:r>
      <w:r>
        <w:rPr>
          <w:rFonts w:ascii="Arial" w:hAnsi="Arial" w:cs="Arial"/>
          <w:color w:val="000000" w:themeColor="text1"/>
          <w:sz w:val="20"/>
          <w:szCs w:val="20"/>
        </w:rPr>
        <w:t xml:space="preserve">. </w:t>
      </w:r>
    </w:p>
    <w:p w14:paraId="6976B593" w14:textId="77777777" w:rsidR="0083744B" w:rsidRPr="00EF5E4C" w:rsidRDefault="0083744B" w:rsidP="0083744B">
      <w:pPr>
        <w:jc w:val="both"/>
        <w:rPr>
          <w:rFonts w:ascii="Arial" w:eastAsia="Calibri" w:hAnsi="Arial" w:cs="Arial"/>
          <w:b/>
          <w:bCs/>
          <w:color w:val="000000" w:themeColor="text1"/>
          <w:sz w:val="22"/>
          <w:lang w:val="es-ES_tradnl"/>
        </w:rPr>
      </w:pPr>
    </w:p>
    <w:p w14:paraId="0A20B37A" w14:textId="77777777" w:rsidR="0083744B" w:rsidRPr="00EF5E4C" w:rsidRDefault="0083744B" w:rsidP="0083744B">
      <w:pPr>
        <w:jc w:val="both"/>
        <w:rPr>
          <w:rFonts w:ascii="Arial" w:eastAsia="Calibri" w:hAnsi="Arial" w:cs="Arial"/>
          <w:b/>
          <w:bCs/>
          <w:color w:val="000000" w:themeColor="text1"/>
          <w:sz w:val="22"/>
        </w:rPr>
      </w:pPr>
      <w:r w:rsidRPr="00EF5E4C">
        <w:rPr>
          <w:rFonts w:ascii="Arial" w:eastAsia="Calibri" w:hAnsi="Arial" w:cs="Arial"/>
          <w:b/>
          <w:bCs/>
          <w:color w:val="000000" w:themeColor="text1"/>
          <w:sz w:val="22"/>
        </w:rPr>
        <w:t xml:space="preserve">ARTÍCULO 2.2.1.1.1.5.7 DECRETO 1082 DE 2015 – Deber de reporte – Sanciones – Multas – Entidades públicas – Sometidas – Estatuto General de Contratación de la Administración Pública </w:t>
      </w:r>
    </w:p>
    <w:p w14:paraId="23921874" w14:textId="77777777" w:rsidR="0083744B" w:rsidRPr="00EF5E4C" w:rsidRDefault="0083744B" w:rsidP="0083744B">
      <w:pPr>
        <w:jc w:val="both"/>
        <w:rPr>
          <w:rFonts w:ascii="Arial" w:eastAsia="Calibri" w:hAnsi="Arial" w:cs="Arial"/>
          <w:b/>
          <w:bCs/>
          <w:color w:val="000000" w:themeColor="text1"/>
          <w:sz w:val="22"/>
        </w:rPr>
      </w:pPr>
      <w:r w:rsidRPr="00EF5E4C">
        <w:rPr>
          <w:rFonts w:ascii="Arial" w:eastAsia="Calibri" w:hAnsi="Arial" w:cs="Arial"/>
          <w:b/>
          <w:bCs/>
          <w:color w:val="000000" w:themeColor="text1"/>
          <w:sz w:val="22"/>
        </w:rPr>
        <w:t xml:space="preserve"> </w:t>
      </w:r>
    </w:p>
    <w:p w14:paraId="36C0D868" w14:textId="77777777" w:rsidR="0083744B" w:rsidRPr="00EF5E4C" w:rsidRDefault="0083744B" w:rsidP="0083744B">
      <w:pPr>
        <w:jc w:val="both"/>
        <w:rPr>
          <w:rFonts w:ascii="Arial" w:eastAsia="Calibri" w:hAnsi="Arial" w:cs="Arial"/>
          <w:b/>
          <w:bCs/>
          <w:color w:val="000000" w:themeColor="text1"/>
          <w:sz w:val="22"/>
        </w:rPr>
      </w:pPr>
      <w:r>
        <w:rPr>
          <w:rFonts w:ascii="Arial" w:hAnsi="Arial" w:cs="Arial"/>
          <w:color w:val="000000" w:themeColor="text1"/>
          <w:sz w:val="20"/>
          <w:szCs w:val="20"/>
          <w:lang w:val="es-CO"/>
        </w:rPr>
        <w:t>E</w:t>
      </w:r>
      <w:r w:rsidRPr="000173A3">
        <w:rPr>
          <w:rFonts w:ascii="Arial" w:hAnsi="Arial" w:cs="Arial"/>
          <w:color w:val="000000" w:themeColor="text1"/>
          <w:sz w:val="20"/>
          <w:szCs w:val="20"/>
          <w:lang w:val="es-CO"/>
        </w:rPr>
        <w:t xml:space="preserve">l artículo 2.2.1.1.1.5.7 del Decreto 1082 de 2015 definió la manera en que debe ser remitida la información referida a las Cámaras de Comercio por parte de las Entidades Estatales. La norma señaló que las entidades deben remitir a los mecanismos electrónicos que las Cámaras de comercio establezcan para esta finalidad, lo siguiente:  i) copia de los actos administrativos en firme por medio de los cuales se impongan multas y sanciones </w:t>
      </w:r>
      <w:proofErr w:type="spellStart"/>
      <w:r w:rsidRPr="000173A3">
        <w:rPr>
          <w:rFonts w:ascii="Arial" w:hAnsi="Arial" w:cs="Arial"/>
          <w:color w:val="000000" w:themeColor="text1"/>
          <w:sz w:val="20"/>
          <w:szCs w:val="20"/>
          <w:lang w:val="es-CO"/>
        </w:rPr>
        <w:t>ii</w:t>
      </w:r>
      <w:proofErr w:type="spellEnd"/>
      <w:r w:rsidRPr="000173A3">
        <w:rPr>
          <w:rFonts w:ascii="Arial" w:hAnsi="Arial" w:cs="Arial"/>
          <w:color w:val="000000" w:themeColor="text1"/>
          <w:sz w:val="20"/>
          <w:szCs w:val="20"/>
          <w:lang w:val="es-CO"/>
        </w:rPr>
        <w:t xml:space="preserve">) copia de las inhabilidades resultantes de los contratos que hayan suscrito, y </w:t>
      </w:r>
      <w:proofErr w:type="spellStart"/>
      <w:r w:rsidRPr="000173A3">
        <w:rPr>
          <w:rFonts w:ascii="Arial" w:hAnsi="Arial" w:cs="Arial"/>
          <w:color w:val="000000" w:themeColor="text1"/>
          <w:sz w:val="20"/>
          <w:szCs w:val="20"/>
          <w:lang w:val="es-CO"/>
        </w:rPr>
        <w:t>iii</w:t>
      </w:r>
      <w:proofErr w:type="spellEnd"/>
      <w:r w:rsidRPr="000173A3">
        <w:rPr>
          <w:rFonts w:ascii="Arial" w:hAnsi="Arial" w:cs="Arial"/>
          <w:color w:val="000000" w:themeColor="text1"/>
          <w:sz w:val="20"/>
          <w:szCs w:val="20"/>
          <w:lang w:val="es-CO"/>
        </w:rPr>
        <w:t xml:space="preserve">) copia de la información de los Procesos de Contratación en los términos del artículo 6 de la Ley 1150 de 2007. De la literalidad de la norma referida se encuentra que, </w:t>
      </w:r>
      <w:proofErr w:type="spellStart"/>
      <w:proofErr w:type="gramStart"/>
      <w:r w:rsidRPr="000173A3">
        <w:rPr>
          <w:rFonts w:ascii="Arial" w:hAnsi="Arial" w:cs="Arial"/>
          <w:color w:val="000000" w:themeColor="text1"/>
          <w:sz w:val="20"/>
          <w:szCs w:val="20"/>
          <w:lang w:val="es-CO"/>
        </w:rPr>
        <w:t>el los</w:t>
      </w:r>
      <w:proofErr w:type="spellEnd"/>
      <w:proofErr w:type="gramEnd"/>
      <w:r w:rsidRPr="000173A3">
        <w:rPr>
          <w:rFonts w:ascii="Arial" w:hAnsi="Arial" w:cs="Arial"/>
          <w:color w:val="000000" w:themeColor="text1"/>
          <w:sz w:val="20"/>
          <w:szCs w:val="20"/>
          <w:lang w:val="es-CO"/>
        </w:rPr>
        <w:t xml:space="preserve"> sujetos destinatarios de esta disposición son las entidades públicas que, por estar escritas con mayúscula inicial en el artículo precitado, deben ser entendidas con el significado establecido en el artículo 2.2.1.1.1.3.1.del Decreto 1082 de 2015</w:t>
      </w:r>
      <w:r>
        <w:rPr>
          <w:rFonts w:ascii="Arial" w:hAnsi="Arial" w:cs="Arial"/>
          <w:color w:val="000000" w:themeColor="text1"/>
          <w:sz w:val="20"/>
          <w:szCs w:val="20"/>
          <w:lang w:val="es-CO"/>
        </w:rPr>
        <w:t xml:space="preserve">. </w:t>
      </w:r>
      <w:r w:rsidRPr="000173A3">
        <w:rPr>
          <w:rFonts w:ascii="Arial" w:hAnsi="Arial" w:cs="Arial"/>
          <w:color w:val="000000" w:themeColor="text1"/>
          <w:sz w:val="20"/>
          <w:szCs w:val="20"/>
          <w:lang w:val="es-CO"/>
        </w:rPr>
        <w:t xml:space="preserve"> </w:t>
      </w:r>
    </w:p>
    <w:p w14:paraId="1F3AE573" w14:textId="77777777" w:rsidR="0083744B" w:rsidRPr="00EF5E4C" w:rsidRDefault="0083744B" w:rsidP="0083744B">
      <w:pPr>
        <w:jc w:val="both"/>
        <w:rPr>
          <w:rFonts w:ascii="Arial" w:eastAsia="Calibri" w:hAnsi="Arial" w:cs="Arial"/>
          <w:b/>
          <w:bCs/>
          <w:color w:val="000000" w:themeColor="text1"/>
          <w:sz w:val="22"/>
        </w:rPr>
      </w:pPr>
      <w:r w:rsidRPr="00EF5E4C">
        <w:rPr>
          <w:rFonts w:ascii="Arial" w:eastAsia="Calibri" w:hAnsi="Arial" w:cs="Arial"/>
          <w:b/>
          <w:bCs/>
          <w:color w:val="000000" w:themeColor="text1"/>
          <w:sz w:val="22"/>
        </w:rPr>
        <w:lastRenderedPageBreak/>
        <w:t>ARTÍCULO 2.2.1.1.1.5.7 DECRETO 1082 DE 2015 – Deber de reporte – Sanciones – Multas – Entidades públicas – Régimen exceptuado</w:t>
      </w:r>
      <w:r>
        <w:rPr>
          <w:rFonts w:ascii="Arial" w:eastAsia="Calibri" w:hAnsi="Arial" w:cs="Arial"/>
          <w:b/>
          <w:bCs/>
          <w:color w:val="000000" w:themeColor="text1"/>
          <w:sz w:val="22"/>
        </w:rPr>
        <w:t xml:space="preserve"> – </w:t>
      </w:r>
      <w:r w:rsidRPr="00EF5E4C">
        <w:rPr>
          <w:rFonts w:ascii="Arial" w:eastAsia="Calibri" w:hAnsi="Arial" w:cs="Arial"/>
          <w:b/>
          <w:bCs/>
          <w:color w:val="000000" w:themeColor="text1"/>
          <w:sz w:val="22"/>
        </w:rPr>
        <w:t xml:space="preserve">Aplicabilidad </w:t>
      </w:r>
    </w:p>
    <w:p w14:paraId="3181342F" w14:textId="77777777" w:rsidR="0083744B" w:rsidRPr="00EF5E4C" w:rsidRDefault="0083744B" w:rsidP="0083744B">
      <w:pPr>
        <w:jc w:val="both"/>
        <w:rPr>
          <w:rFonts w:ascii="Arial" w:eastAsia="Calibri" w:hAnsi="Arial" w:cs="Arial"/>
          <w:b/>
          <w:bCs/>
          <w:color w:val="000000" w:themeColor="text1"/>
          <w:sz w:val="22"/>
          <w:lang w:val="es-ES_tradnl"/>
        </w:rPr>
      </w:pPr>
    </w:p>
    <w:p w14:paraId="44BBCCE2" w14:textId="77777777" w:rsidR="0083744B" w:rsidRDefault="0083744B" w:rsidP="0083744B">
      <w:pPr>
        <w:spacing w:after="120"/>
        <w:jc w:val="both"/>
        <w:rPr>
          <w:rFonts w:ascii="Arial" w:hAnsi="Arial" w:cs="Arial"/>
          <w:color w:val="000000" w:themeColor="text1"/>
          <w:sz w:val="20"/>
          <w:szCs w:val="20"/>
        </w:rPr>
      </w:pPr>
      <w:r>
        <w:rPr>
          <w:rFonts w:ascii="Arial" w:hAnsi="Arial" w:cs="Arial"/>
          <w:color w:val="000000" w:themeColor="text1"/>
          <w:sz w:val="20"/>
          <w:szCs w:val="20"/>
        </w:rPr>
        <w:t>L</w:t>
      </w:r>
      <w:r w:rsidRPr="000173A3">
        <w:rPr>
          <w:rFonts w:ascii="Arial" w:hAnsi="Arial" w:cs="Arial"/>
          <w:color w:val="000000" w:themeColor="text1"/>
          <w:sz w:val="20"/>
          <w:szCs w:val="20"/>
        </w:rPr>
        <w:t xml:space="preserve">as entidades sometidas, en materia contractual, al régimen de derecho privado no les resulta aplicable el artículo 2.2.1.1.1.5.7. del Decreto 1082 de 2015, porque es claro que la obligación de remitir información sobre sanciones e inhabilidades de naturaleza contractual a las cámaras de comercio es predicable solo respecto de las entidades públicas que estén sometidas Estatuto General de la Contratación de la Administración Pública. Lo anterior, por cuanto son estas quienes tienen competencia para proferir actos administrativos en ejercicio de potestades exorbitantes o poderes sancionatorios, previamente autorizados por el legislador. </w:t>
      </w:r>
    </w:p>
    <w:p w14:paraId="73AFE3D3" w14:textId="321C921E" w:rsidR="0083744B" w:rsidRDefault="0083744B" w:rsidP="0083744B">
      <w:pPr>
        <w:jc w:val="both"/>
        <w:rPr>
          <w:rFonts w:ascii="Arial" w:hAnsi="Arial" w:cs="Arial"/>
          <w:color w:val="000000" w:themeColor="text1"/>
          <w:sz w:val="20"/>
          <w:szCs w:val="20"/>
        </w:rPr>
      </w:pPr>
      <w:r w:rsidRPr="000173A3">
        <w:rPr>
          <w:rFonts w:ascii="Arial" w:hAnsi="Arial" w:cs="Arial"/>
          <w:color w:val="000000" w:themeColor="text1"/>
          <w:sz w:val="20"/>
          <w:szCs w:val="20"/>
        </w:rPr>
        <w:t>Con todo, será cada entidad estatal la que, en cada caso concreto, deberá establecer si corresponde o no reportar a las cámaras de comercio las sanciones que imponga a sus contratistas en el marco de la ejecución de sus contratos, pues son quienes conocen la naturaleza jurídica de las decisiones que adoptan y en ejercicio de qué facultades lo hacen. Esto no obsta para que las entidades estatales cumplan lo establecido en el artículo 13 de la Ley 1150 de 2007 y acudan al juez del contrato, para que declare el incumplimiento e imponga las medidas estipuladas en el negocio jurídico, cuando concurran las circunstancias que lo hagan procedente.</w:t>
      </w:r>
    </w:p>
    <w:p w14:paraId="0D1E69A2" w14:textId="77777777" w:rsidR="0083744B" w:rsidRPr="00EF5E4C" w:rsidRDefault="0083744B" w:rsidP="0083744B">
      <w:pPr>
        <w:jc w:val="both"/>
        <w:rPr>
          <w:rFonts w:ascii="Arial" w:eastAsia="Calibri" w:hAnsi="Arial" w:cs="Arial"/>
          <w:color w:val="000000" w:themeColor="text1"/>
          <w:sz w:val="20"/>
          <w:szCs w:val="20"/>
          <w:lang w:val="es-ES_tradnl"/>
        </w:rPr>
      </w:pPr>
    </w:p>
    <w:p w14:paraId="3DC3FACE" w14:textId="77777777" w:rsidR="0083744B" w:rsidRPr="00EF5E4C" w:rsidRDefault="0083744B" w:rsidP="0083744B">
      <w:pPr>
        <w:spacing w:line="276" w:lineRule="auto"/>
        <w:jc w:val="both"/>
        <w:rPr>
          <w:rFonts w:ascii="Arial" w:eastAsia="Calibri" w:hAnsi="Arial" w:cs="Arial"/>
          <w:b/>
          <w:bCs/>
          <w:color w:val="000000" w:themeColor="text1"/>
          <w:sz w:val="22"/>
          <w:lang w:val="es-ES_tradnl"/>
        </w:rPr>
      </w:pPr>
      <w:r w:rsidRPr="00EF5E4C">
        <w:rPr>
          <w:rFonts w:ascii="Arial" w:eastAsia="Calibri" w:hAnsi="Arial" w:cs="Arial"/>
          <w:b/>
          <w:bCs/>
          <w:color w:val="000000" w:themeColor="text1"/>
          <w:sz w:val="22"/>
          <w:lang w:val="es-ES_tradnl"/>
        </w:rPr>
        <w:t xml:space="preserve">ENTIDADES CON RÉGIMEN ESPECIAL – Manuales de contratación – Derecho privado – Artículo 13 – Ley 1150 de 2007 – Alcance </w:t>
      </w:r>
    </w:p>
    <w:p w14:paraId="22799312" w14:textId="77777777" w:rsidR="0083744B" w:rsidRDefault="0083744B" w:rsidP="0083744B">
      <w:pPr>
        <w:spacing w:line="276" w:lineRule="auto"/>
        <w:jc w:val="both"/>
        <w:rPr>
          <w:rFonts w:ascii="Arial" w:eastAsia="Calibri" w:hAnsi="Arial" w:cs="Arial"/>
          <w:color w:val="000000" w:themeColor="text1"/>
          <w:sz w:val="20"/>
          <w:szCs w:val="20"/>
          <w:lang w:val="es-ES_tradnl"/>
        </w:rPr>
      </w:pPr>
    </w:p>
    <w:p w14:paraId="2D0BD209" w14:textId="77777777" w:rsidR="0083744B" w:rsidRPr="00EF5E4C" w:rsidRDefault="0083744B" w:rsidP="0083744B">
      <w:pPr>
        <w:spacing w:line="276" w:lineRule="auto"/>
        <w:jc w:val="both"/>
        <w:rPr>
          <w:rFonts w:ascii="Arial" w:eastAsia="Calibri" w:hAnsi="Arial" w:cs="Arial"/>
          <w:color w:val="000000" w:themeColor="text1"/>
          <w:sz w:val="20"/>
          <w:szCs w:val="20"/>
          <w:lang w:val="es-ES_tradnl"/>
        </w:rPr>
      </w:pPr>
      <w:r w:rsidRPr="00EF5E4C">
        <w:rPr>
          <w:rFonts w:ascii="Arial" w:eastAsia="Calibri" w:hAnsi="Arial" w:cs="Arial"/>
          <w:color w:val="000000" w:themeColor="text1"/>
          <w:sz w:val="20"/>
          <w:szCs w:val="20"/>
          <w:lang w:val="es-ES_tradnl"/>
        </w:rPr>
        <w:t>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39857B76" w14:textId="77777777" w:rsidR="0083744B" w:rsidRPr="00EF5E4C" w:rsidRDefault="0083744B" w:rsidP="0083744B">
      <w:pPr>
        <w:spacing w:line="276" w:lineRule="auto"/>
        <w:jc w:val="both"/>
        <w:rPr>
          <w:rFonts w:ascii="Arial" w:eastAsia="Calibri" w:hAnsi="Arial" w:cs="Arial"/>
          <w:color w:val="000000" w:themeColor="text1"/>
          <w:sz w:val="20"/>
          <w:szCs w:val="20"/>
          <w:lang w:val="es-ES_tradnl"/>
        </w:rPr>
      </w:pPr>
      <w:r w:rsidRPr="00EF5E4C">
        <w:rPr>
          <w:rFonts w:ascii="Arial" w:eastAsia="Calibri" w:hAnsi="Arial" w:cs="Arial"/>
          <w:color w:val="000000" w:themeColor="text1"/>
          <w:sz w:val="20"/>
          <w:szCs w:val="20"/>
          <w:lang w:val="es-ES_tradnl"/>
        </w:rPr>
        <w:t>Como se explicó, el hecho de que algunas entidades estatales se rijan por el derecho privado en materia contractual no puede entenderse como una negación de lo que establece el artículo 13 de la Ley 1150 de 2007.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w:t>
      </w:r>
    </w:p>
    <w:p w14:paraId="421CA3F2" w14:textId="77777777" w:rsidR="0083744B" w:rsidRDefault="0083744B" w:rsidP="0083744B">
      <w:pPr>
        <w:spacing w:after="120" w:line="276" w:lineRule="auto"/>
        <w:jc w:val="both"/>
        <w:rPr>
          <w:rFonts w:ascii="Arial" w:hAnsi="Arial" w:cs="Arial"/>
          <w:color w:val="000000" w:themeColor="text1"/>
          <w:sz w:val="22"/>
          <w:lang w:val="es-CO"/>
        </w:rPr>
      </w:pPr>
    </w:p>
    <w:p w14:paraId="7136355E" w14:textId="1998EEF9" w:rsidR="0083744B" w:rsidRPr="0083744B" w:rsidRDefault="0083744B" w:rsidP="0083744B">
      <w:pPr>
        <w:spacing w:after="120" w:line="276" w:lineRule="auto"/>
        <w:jc w:val="both"/>
        <w:rPr>
          <w:rFonts w:ascii="Arial" w:hAnsi="Arial" w:cs="Arial"/>
          <w:b/>
          <w:bCs/>
          <w:color w:val="000000" w:themeColor="text1"/>
          <w:sz w:val="22"/>
          <w:lang w:val="es-CO"/>
        </w:rPr>
      </w:pPr>
      <w:r>
        <w:rPr>
          <w:rFonts w:ascii="Arial" w:hAnsi="Arial" w:cs="Arial"/>
          <w:b/>
          <w:bCs/>
          <w:color w:val="000000" w:themeColor="text1"/>
          <w:sz w:val="22"/>
          <w:lang w:val="es-CO"/>
        </w:rPr>
        <w:t xml:space="preserve">DEBER DE REPORTAR – Cámaras de comercio – Entidades con régimen especial – Alcance </w:t>
      </w:r>
    </w:p>
    <w:p w14:paraId="62C7326F" w14:textId="5FCA5BF2" w:rsidR="0083744B" w:rsidRPr="0083744B" w:rsidRDefault="0083744B" w:rsidP="0083744B">
      <w:pPr>
        <w:spacing w:after="120" w:line="276" w:lineRule="auto"/>
        <w:jc w:val="both"/>
        <w:rPr>
          <w:rFonts w:ascii="Arial" w:hAnsi="Arial" w:cs="Arial"/>
          <w:color w:val="000000" w:themeColor="text1"/>
          <w:sz w:val="22"/>
          <w:lang w:val="es-CO"/>
        </w:rPr>
      </w:pPr>
      <w:r w:rsidRPr="0083744B">
        <w:rPr>
          <w:rFonts w:ascii="Arial" w:hAnsi="Arial" w:cs="Arial"/>
          <w:color w:val="000000" w:themeColor="text1"/>
          <w:sz w:val="22"/>
          <w:lang w:val="es-CO"/>
        </w:rPr>
        <w:t xml:space="preserve">Lo anterior guarda consonancia con que el artículo 2.2.1.1.1.5.7 </w:t>
      </w:r>
      <w:r w:rsidRPr="0083744B">
        <w:rPr>
          <w:rStyle w:val="Textoennegrita"/>
          <w:rFonts w:ascii="Arial" w:hAnsi="Arial" w:cs="Arial"/>
          <w:b w:val="0"/>
          <w:bCs w:val="0"/>
          <w:color w:val="000000" w:themeColor="text1"/>
          <w:sz w:val="22"/>
          <w:shd w:val="clear" w:color="auto" w:fill="FFFFFF"/>
        </w:rPr>
        <w:t xml:space="preserve">del Decreto 1082 de 2015, al reglamentar las condiciones de la información sobre sanciones e inhabilidades de los contratos suscritos por entidades públicas, estableció que las entidades estatales deben </w:t>
      </w:r>
      <w:r w:rsidRPr="0083744B">
        <w:rPr>
          <w:rStyle w:val="Textoennegrita"/>
          <w:rFonts w:ascii="Arial" w:hAnsi="Arial" w:cs="Arial"/>
          <w:b w:val="0"/>
          <w:bCs w:val="0"/>
          <w:color w:val="000000" w:themeColor="text1"/>
          <w:sz w:val="22"/>
          <w:shd w:val="clear" w:color="auto" w:fill="FFFFFF"/>
        </w:rPr>
        <w:lastRenderedPageBreak/>
        <w:t xml:space="preserve">remitir copia del acto administrativo que haya impuesto la sanción. </w:t>
      </w:r>
      <w:r w:rsidRPr="0083744B">
        <w:rPr>
          <w:rFonts w:ascii="Arial" w:hAnsi="Arial" w:cs="Arial"/>
          <w:color w:val="000000" w:themeColor="text1"/>
          <w:sz w:val="22"/>
        </w:rPr>
        <w:t xml:space="preserve">Esta disposición restringe </w:t>
      </w:r>
      <w:proofErr w:type="spellStart"/>
      <w:r w:rsidRPr="0083744B">
        <w:rPr>
          <w:rFonts w:ascii="Arial" w:hAnsi="Arial" w:cs="Arial"/>
          <w:color w:val="000000" w:themeColor="text1"/>
          <w:sz w:val="22"/>
        </w:rPr>
        <w:t>aun</w:t>
      </w:r>
      <w:proofErr w:type="spellEnd"/>
      <w:r w:rsidRPr="0083744B">
        <w:rPr>
          <w:rFonts w:ascii="Arial" w:hAnsi="Arial" w:cs="Arial"/>
          <w:color w:val="000000" w:themeColor="text1"/>
          <w:sz w:val="22"/>
        </w:rPr>
        <w:t xml:space="preserve"> más el alcance de los sujetos destinatarios de esta norma, porque las entidades exceptuadas del Estatuto General de Contratación de la Administración Pública, cuyos negocios jurídicos se rigen por el derecho privado, no imponen sanciones y multas a través de la expedición de actos administrativos.</w:t>
      </w:r>
      <w:r w:rsidRPr="0083744B">
        <w:rPr>
          <w:rFonts w:ascii="Arial" w:hAnsi="Arial" w:cs="Arial"/>
          <w:color w:val="000000" w:themeColor="text1"/>
          <w:sz w:val="22"/>
          <w:lang w:val="es-CO"/>
        </w:rPr>
        <w:t xml:space="preserve"> </w:t>
      </w:r>
    </w:p>
    <w:p w14:paraId="50DE2FB0" w14:textId="77777777" w:rsidR="0083744B" w:rsidRPr="00EF5E4C" w:rsidRDefault="0083744B" w:rsidP="0083744B">
      <w:pPr>
        <w:spacing w:after="200" w:line="276" w:lineRule="auto"/>
        <w:rPr>
          <w:rFonts w:ascii="Arial" w:eastAsia="Calibri" w:hAnsi="Arial" w:cs="Arial"/>
          <w:color w:val="000000" w:themeColor="text1"/>
          <w:sz w:val="20"/>
          <w:szCs w:val="20"/>
          <w:lang w:val="es-ES_tradnl"/>
        </w:rPr>
      </w:pPr>
      <w:r w:rsidRPr="00EF5E4C">
        <w:rPr>
          <w:rFonts w:ascii="Arial" w:eastAsia="Calibri" w:hAnsi="Arial" w:cs="Arial"/>
          <w:color w:val="000000" w:themeColor="text1"/>
          <w:sz w:val="20"/>
          <w:szCs w:val="20"/>
          <w:lang w:val="es-ES_tradnl"/>
        </w:rPr>
        <w:br w:type="page"/>
      </w:r>
    </w:p>
    <w:p w14:paraId="76D85A43" w14:textId="77777777" w:rsidR="0083744B" w:rsidRPr="00EF5E4C" w:rsidRDefault="0083744B" w:rsidP="0083744B">
      <w:pPr>
        <w:autoSpaceDE w:val="0"/>
        <w:autoSpaceDN w:val="0"/>
        <w:adjustRightInd w:val="0"/>
        <w:rPr>
          <w:rFonts w:ascii="Arial" w:hAnsi="Arial" w:cs="Arial"/>
          <w:color w:val="000000" w:themeColor="text1"/>
          <w:sz w:val="22"/>
          <w:lang w:val="es-CO"/>
        </w:rPr>
      </w:pPr>
    </w:p>
    <w:p w14:paraId="650BA8AF" w14:textId="736DBE00" w:rsidR="0083744B" w:rsidRPr="00EF5E4C" w:rsidRDefault="00A51763" w:rsidP="00A51763">
      <w:pPr>
        <w:autoSpaceDE w:val="0"/>
        <w:autoSpaceDN w:val="0"/>
        <w:adjustRightInd w:val="0"/>
        <w:jc w:val="right"/>
        <w:rPr>
          <w:rFonts w:ascii="Arial" w:hAnsi="Arial" w:cs="Arial"/>
          <w:color w:val="000000" w:themeColor="text1"/>
          <w:sz w:val="22"/>
          <w:lang w:val="es-CO"/>
        </w:rPr>
      </w:pPr>
      <w:r>
        <w:rPr>
          <w:noProof/>
        </w:rPr>
        <w:drawing>
          <wp:inline distT="0" distB="0" distL="0" distR="0" wp14:anchorId="541EFD6F" wp14:editId="2979A224">
            <wp:extent cx="2448791" cy="866775"/>
            <wp:effectExtent l="0" t="0" r="889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51086" cy="867587"/>
                    </a:xfrm>
                    <a:prstGeom prst="rect">
                      <a:avLst/>
                    </a:prstGeom>
                  </pic:spPr>
                </pic:pic>
              </a:graphicData>
            </a:graphic>
          </wp:inline>
        </w:drawing>
      </w:r>
    </w:p>
    <w:p w14:paraId="0B533498" w14:textId="0C3B647C" w:rsidR="0083744B" w:rsidRPr="00EF5E4C" w:rsidRDefault="0083744B" w:rsidP="0083744B">
      <w:pPr>
        <w:spacing w:line="276" w:lineRule="auto"/>
        <w:rPr>
          <w:rFonts w:ascii="Arial" w:hAnsi="Arial" w:cs="Arial"/>
          <w:color w:val="000000" w:themeColor="text1"/>
          <w:sz w:val="22"/>
          <w:szCs w:val="20"/>
          <w:lang w:val="es-CO"/>
        </w:rPr>
      </w:pPr>
      <w:bookmarkStart w:id="3" w:name="_Hlk108533238"/>
      <w:r w:rsidRPr="00EF5E4C">
        <w:rPr>
          <w:rFonts w:ascii="Arial" w:hAnsi="Arial" w:cs="Arial"/>
          <w:color w:val="000000" w:themeColor="text1"/>
          <w:sz w:val="22"/>
          <w:szCs w:val="20"/>
          <w:lang w:val="es-CO"/>
        </w:rPr>
        <w:t xml:space="preserve">Bogotá, </w:t>
      </w:r>
      <w:r w:rsidR="00A51763">
        <w:rPr>
          <w:rFonts w:ascii="Arial" w:hAnsi="Arial" w:cs="Arial"/>
          <w:color w:val="000000" w:themeColor="text1"/>
          <w:sz w:val="22"/>
          <w:szCs w:val="20"/>
          <w:lang w:val="es-CO"/>
        </w:rPr>
        <w:t>12 Julio 2022</w:t>
      </w:r>
    </w:p>
    <w:p w14:paraId="121557BB" w14:textId="77777777" w:rsidR="0083744B" w:rsidRPr="00EF5E4C" w:rsidRDefault="0083744B" w:rsidP="0083744B">
      <w:pPr>
        <w:spacing w:line="276" w:lineRule="auto"/>
        <w:rPr>
          <w:rFonts w:ascii="Arial" w:hAnsi="Arial" w:cs="Arial"/>
          <w:color w:val="000000" w:themeColor="text1"/>
          <w:sz w:val="22"/>
          <w:lang w:val="es-CO"/>
        </w:rPr>
      </w:pPr>
    </w:p>
    <w:p w14:paraId="57D3505D" w14:textId="77777777" w:rsidR="0083744B" w:rsidRPr="00EF5E4C" w:rsidRDefault="0083744B" w:rsidP="0083744B">
      <w:pPr>
        <w:rPr>
          <w:rFonts w:ascii="Arial" w:eastAsia="Calibri" w:hAnsi="Arial" w:cs="Arial"/>
          <w:color w:val="000000" w:themeColor="text1"/>
          <w:sz w:val="22"/>
          <w:lang w:val="pt-BR"/>
        </w:rPr>
      </w:pPr>
    </w:p>
    <w:p w14:paraId="60BED8CC" w14:textId="77777777" w:rsidR="0083744B" w:rsidRPr="00D96938" w:rsidRDefault="0083744B" w:rsidP="0083744B">
      <w:pPr>
        <w:jc w:val="both"/>
        <w:rPr>
          <w:rFonts w:ascii="Arial" w:eastAsia="Calibri" w:hAnsi="Arial" w:cs="Arial"/>
          <w:color w:val="000000" w:themeColor="text1"/>
          <w:sz w:val="22"/>
          <w:lang w:val="es-ES_tradnl"/>
        </w:rPr>
      </w:pPr>
      <w:bookmarkStart w:id="4" w:name="_Hlk108532247"/>
      <w:r w:rsidRPr="00D96938">
        <w:rPr>
          <w:rFonts w:ascii="Arial" w:eastAsia="Calibri" w:hAnsi="Arial" w:cs="Arial"/>
          <w:color w:val="000000" w:themeColor="text1"/>
          <w:sz w:val="22"/>
          <w:lang w:val="es-ES_tradnl"/>
        </w:rPr>
        <w:t>Señora</w:t>
      </w:r>
    </w:p>
    <w:p w14:paraId="14900239" w14:textId="77777777" w:rsidR="0083744B" w:rsidRPr="00D96938" w:rsidRDefault="0083744B" w:rsidP="0083744B">
      <w:pPr>
        <w:jc w:val="both"/>
        <w:rPr>
          <w:rFonts w:ascii="Arial" w:eastAsia="Calibri" w:hAnsi="Arial" w:cs="Arial"/>
          <w:b/>
          <w:bCs/>
          <w:color w:val="000000" w:themeColor="text1"/>
          <w:sz w:val="22"/>
          <w:lang w:val="es-ES_tradnl"/>
        </w:rPr>
      </w:pPr>
      <w:r w:rsidRPr="00D96938">
        <w:rPr>
          <w:rFonts w:ascii="Arial" w:eastAsia="Calibri" w:hAnsi="Arial" w:cs="Arial"/>
          <w:b/>
          <w:bCs/>
          <w:color w:val="000000" w:themeColor="text1"/>
          <w:sz w:val="22"/>
          <w:lang w:val="es-ES_tradnl"/>
        </w:rPr>
        <w:t xml:space="preserve">Juliana Peralta Rivera </w:t>
      </w:r>
    </w:p>
    <w:p w14:paraId="73B1FEB3" w14:textId="77777777" w:rsidR="0083744B" w:rsidRPr="00D96938" w:rsidRDefault="0083744B" w:rsidP="0083744B">
      <w:pPr>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Directora</w:t>
      </w:r>
    </w:p>
    <w:p w14:paraId="0E850980" w14:textId="77777777" w:rsidR="0083744B" w:rsidRPr="00D96938" w:rsidRDefault="0083744B" w:rsidP="0083744B">
      <w:pPr>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 xml:space="preserve">Unidad de Gestión – Patrimonio Autónomo </w:t>
      </w:r>
      <w:proofErr w:type="spellStart"/>
      <w:r w:rsidRPr="00D96938">
        <w:rPr>
          <w:rFonts w:ascii="Arial" w:eastAsia="Calibri" w:hAnsi="Arial" w:cs="Arial"/>
          <w:color w:val="000000" w:themeColor="text1"/>
          <w:sz w:val="22"/>
          <w:lang w:val="es-ES_tradnl"/>
        </w:rPr>
        <w:t>Aerocafé</w:t>
      </w:r>
      <w:proofErr w:type="spellEnd"/>
      <w:r w:rsidRPr="00D96938">
        <w:rPr>
          <w:rFonts w:ascii="Arial" w:eastAsia="Calibri" w:hAnsi="Arial" w:cs="Arial"/>
          <w:color w:val="000000" w:themeColor="text1"/>
          <w:sz w:val="22"/>
          <w:lang w:val="es-ES_tradnl"/>
        </w:rPr>
        <w:t xml:space="preserve"> </w:t>
      </w:r>
    </w:p>
    <w:p w14:paraId="20CA1957" w14:textId="77777777" w:rsidR="0083744B" w:rsidRPr="00D96938" w:rsidRDefault="0083744B" w:rsidP="0083744B">
      <w:pPr>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 xml:space="preserve">Ciudad </w:t>
      </w:r>
    </w:p>
    <w:p w14:paraId="043AEE09" w14:textId="77777777" w:rsidR="0083744B" w:rsidRPr="00D96938" w:rsidRDefault="0083744B" w:rsidP="0083744B">
      <w:pPr>
        <w:jc w:val="both"/>
        <w:rPr>
          <w:rFonts w:ascii="Arial" w:eastAsia="Calibri" w:hAnsi="Arial" w:cs="Arial"/>
          <w:color w:val="000000" w:themeColor="text1"/>
          <w:sz w:val="22"/>
          <w:lang w:val="es-ES_tradnl"/>
        </w:rPr>
      </w:pPr>
    </w:p>
    <w:p w14:paraId="63CA710F" w14:textId="77777777" w:rsidR="0083744B" w:rsidRPr="00D96938" w:rsidRDefault="0083744B" w:rsidP="0083744B">
      <w:pPr>
        <w:jc w:val="both"/>
        <w:rPr>
          <w:rFonts w:ascii="Arial" w:eastAsia="Calibri" w:hAnsi="Arial" w:cs="Arial"/>
          <w:color w:val="000000" w:themeColor="text1"/>
          <w:sz w:val="22"/>
          <w:lang w:val="es-ES_tradnl"/>
        </w:rPr>
      </w:pPr>
    </w:p>
    <w:p w14:paraId="68604994" w14:textId="77777777" w:rsidR="0083744B" w:rsidRPr="00D96938" w:rsidRDefault="0083744B" w:rsidP="0083744B">
      <w:pPr>
        <w:rPr>
          <w:rFonts w:ascii="Arial" w:eastAsia="Calibri" w:hAnsi="Arial" w:cs="Arial"/>
          <w:b/>
          <w:bCs/>
          <w:color w:val="000000" w:themeColor="text1"/>
          <w:sz w:val="22"/>
          <w:lang w:val="es-ES_tradnl"/>
        </w:rPr>
      </w:pPr>
      <w:r w:rsidRPr="00D96938">
        <w:rPr>
          <w:rFonts w:ascii="Arial" w:eastAsia="Calibri" w:hAnsi="Arial" w:cs="Arial"/>
          <w:b/>
          <w:bCs/>
          <w:color w:val="000000" w:themeColor="text1"/>
          <w:sz w:val="22"/>
          <w:lang w:val="es-ES_tradnl"/>
        </w:rPr>
        <w:t xml:space="preserve">                                            Concepto C ‒ 457 de 2022</w:t>
      </w:r>
    </w:p>
    <w:p w14:paraId="50F399A4" w14:textId="77777777" w:rsidR="0083744B" w:rsidRPr="00D96938" w:rsidRDefault="0083744B" w:rsidP="0083744B">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3744B" w:rsidRPr="00D96938" w14:paraId="4B7613BE" w14:textId="77777777" w:rsidTr="00EF5E4C">
        <w:tc>
          <w:tcPr>
            <w:tcW w:w="2689" w:type="dxa"/>
          </w:tcPr>
          <w:p w14:paraId="2C5A117B" w14:textId="77777777" w:rsidR="0083744B" w:rsidRPr="00D96938" w:rsidRDefault="0083744B" w:rsidP="00EF5E4C">
            <w:pPr>
              <w:jc w:val="both"/>
              <w:rPr>
                <w:rFonts w:ascii="Arial" w:eastAsia="Calibri" w:hAnsi="Arial" w:cs="Arial"/>
                <w:color w:val="000000" w:themeColor="text1"/>
                <w:sz w:val="22"/>
                <w:lang w:val="es-ES_tradnl"/>
              </w:rPr>
            </w:pPr>
            <w:r w:rsidRPr="00D96938">
              <w:rPr>
                <w:rFonts w:ascii="Arial" w:eastAsia="Calibri" w:hAnsi="Arial" w:cs="Arial"/>
                <w:b/>
                <w:color w:val="000000" w:themeColor="text1"/>
                <w:sz w:val="22"/>
                <w:lang w:val="es-ES_tradnl"/>
              </w:rPr>
              <w:t>Temas:</w:t>
            </w:r>
            <w:r w:rsidRPr="00D96938">
              <w:rPr>
                <w:rFonts w:ascii="Arial" w:eastAsia="Calibri" w:hAnsi="Arial" w:cs="Arial"/>
                <w:color w:val="000000" w:themeColor="text1"/>
                <w:sz w:val="22"/>
                <w:lang w:val="es-ES_tradnl"/>
              </w:rPr>
              <w:t xml:space="preserve">                                      </w:t>
            </w:r>
          </w:p>
        </w:tc>
        <w:tc>
          <w:tcPr>
            <w:tcW w:w="6237" w:type="dxa"/>
          </w:tcPr>
          <w:p w14:paraId="165D5A8D" w14:textId="77777777" w:rsidR="0083744B" w:rsidRPr="0083744B" w:rsidRDefault="0083744B" w:rsidP="00EF5E4C">
            <w:pPr>
              <w:jc w:val="both"/>
              <w:rPr>
                <w:rFonts w:ascii="Arial" w:eastAsia="Calibri" w:hAnsi="Arial" w:cs="Arial"/>
                <w:color w:val="000000" w:themeColor="text1"/>
                <w:sz w:val="22"/>
              </w:rPr>
            </w:pPr>
            <w:r w:rsidRPr="0083744B">
              <w:rPr>
                <w:rFonts w:ascii="Arial" w:eastAsia="Calibri" w:hAnsi="Arial" w:cs="Arial"/>
                <w:color w:val="000000" w:themeColor="text1"/>
                <w:sz w:val="22"/>
                <w:lang w:val="es-ES_tradnl"/>
              </w:rPr>
              <w:t>INHABILIDADES E INCOMPATIBILIDADES – Carácter sancionatorio – Restricción /</w:t>
            </w:r>
            <w:r w:rsidRPr="0083744B">
              <w:rPr>
                <w:rFonts w:ascii="Arial" w:eastAsia="Calibri" w:hAnsi="Arial" w:cs="Arial"/>
                <w:color w:val="000000" w:themeColor="text1"/>
                <w:sz w:val="22"/>
              </w:rPr>
              <w:t xml:space="preserve"> REPORTE DE SANCIONES – Entidades públicas – Deber de reporte – Sanciones – Multas – Cámaras de comercio /</w:t>
            </w:r>
            <w:r w:rsidRPr="0083744B">
              <w:rPr>
                <w:rFonts w:eastAsia="Calibri"/>
                <w:color w:val="000000" w:themeColor="text1"/>
              </w:rPr>
              <w:t xml:space="preserve"> </w:t>
            </w:r>
          </w:p>
          <w:p w14:paraId="2E7B4E42" w14:textId="01033B49" w:rsidR="0083744B" w:rsidRPr="0083744B" w:rsidRDefault="0083744B" w:rsidP="0083744B">
            <w:pPr>
              <w:spacing w:after="120" w:line="276" w:lineRule="auto"/>
              <w:jc w:val="both"/>
              <w:rPr>
                <w:rFonts w:ascii="Arial" w:hAnsi="Arial" w:cs="Arial"/>
                <w:color w:val="000000" w:themeColor="text1"/>
                <w:sz w:val="22"/>
                <w:lang w:val="es-CO"/>
              </w:rPr>
            </w:pPr>
            <w:r w:rsidRPr="0083744B">
              <w:rPr>
                <w:rFonts w:ascii="Arial" w:eastAsia="Calibri" w:hAnsi="Arial" w:cs="Arial"/>
                <w:color w:val="000000" w:themeColor="text1"/>
                <w:sz w:val="22"/>
                <w:lang w:val="es-ES_tradnl"/>
              </w:rPr>
              <w:t xml:space="preserve"> </w:t>
            </w:r>
            <w:r w:rsidRPr="0083744B">
              <w:rPr>
                <w:rFonts w:ascii="Arial" w:eastAsia="Calibri" w:hAnsi="Arial" w:cs="Arial"/>
                <w:color w:val="000000" w:themeColor="text1"/>
                <w:sz w:val="22"/>
              </w:rPr>
              <w:t xml:space="preserve">ARTÍCULO 2.2.1.1.1.5.7 DECRETO 1082 DE 2015 – Deber de reporte – Sanciones – Multas – Entidades públicas – Sometidas – Estatuto General de Contratación de la Administración Pública / ARTÍCULO 2.2.1.1.1.5.7 DECRETO 1082 DE 2015 – Deber de reporte – Sanciones – Multas – Entidades públicas – Régimen exceptuado- Aplicabilidad / </w:t>
            </w:r>
            <w:r w:rsidRPr="0083744B">
              <w:rPr>
                <w:rFonts w:ascii="Arial" w:eastAsia="Calibri" w:hAnsi="Arial" w:cs="Arial"/>
                <w:color w:val="000000" w:themeColor="text1"/>
                <w:sz w:val="22"/>
                <w:lang w:val="es-ES_tradnl"/>
              </w:rPr>
              <w:t xml:space="preserve">ENTIDADES CON RÉGIMEN ESPECIAL – Manuales de contratación – Derecho privado – Artículo 13 – Ley 1150 de 2007 – Alcance/ </w:t>
            </w:r>
            <w:r w:rsidRPr="0083744B">
              <w:rPr>
                <w:rFonts w:ascii="Arial" w:hAnsi="Arial" w:cs="Arial"/>
                <w:color w:val="000000" w:themeColor="text1"/>
                <w:sz w:val="22"/>
                <w:lang w:val="es-CO"/>
              </w:rPr>
              <w:t xml:space="preserve">DEBER DE REPORTAR – Cámaras de comercio – Entidades con régimen especial – Alcance/ </w:t>
            </w:r>
          </w:p>
        </w:tc>
      </w:tr>
      <w:tr w:rsidR="0083744B" w:rsidRPr="00D96938" w14:paraId="2CED967B" w14:textId="77777777" w:rsidTr="00EF5E4C">
        <w:tc>
          <w:tcPr>
            <w:tcW w:w="2689" w:type="dxa"/>
          </w:tcPr>
          <w:p w14:paraId="0BE02ABB" w14:textId="77777777" w:rsidR="0083744B" w:rsidRPr="00D96938" w:rsidRDefault="0083744B" w:rsidP="00EF5E4C">
            <w:pPr>
              <w:spacing w:before="120"/>
              <w:jc w:val="both"/>
              <w:rPr>
                <w:rFonts w:ascii="Arial" w:eastAsia="Calibri" w:hAnsi="Arial" w:cs="Arial"/>
                <w:b/>
                <w:color w:val="000000" w:themeColor="text1"/>
                <w:sz w:val="22"/>
                <w:lang w:val="es-ES_tradnl"/>
              </w:rPr>
            </w:pPr>
            <w:r w:rsidRPr="00D96938">
              <w:rPr>
                <w:rFonts w:ascii="Arial" w:eastAsia="Calibri" w:hAnsi="Arial" w:cs="Arial"/>
                <w:b/>
                <w:color w:val="000000" w:themeColor="text1"/>
                <w:sz w:val="22"/>
                <w:lang w:val="es-ES_tradnl"/>
              </w:rPr>
              <w:t>Radicación:</w:t>
            </w:r>
            <w:r w:rsidRPr="00D96938">
              <w:rPr>
                <w:rFonts w:ascii="Arial" w:eastAsia="Calibri" w:hAnsi="Arial" w:cs="Arial"/>
                <w:color w:val="000000" w:themeColor="text1"/>
                <w:sz w:val="22"/>
                <w:lang w:val="es-ES_tradnl"/>
              </w:rPr>
              <w:t xml:space="preserve">                              </w:t>
            </w:r>
          </w:p>
        </w:tc>
        <w:tc>
          <w:tcPr>
            <w:tcW w:w="6237" w:type="dxa"/>
          </w:tcPr>
          <w:p w14:paraId="31D3FF15" w14:textId="77777777" w:rsidR="0083744B" w:rsidRPr="00D96938" w:rsidRDefault="0083744B" w:rsidP="00EF5E4C">
            <w:pPr>
              <w:spacing w:before="120"/>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Respuesta a consulta</w:t>
            </w:r>
            <w:r>
              <w:rPr>
                <w:rFonts w:ascii="Arial" w:eastAsia="Calibri" w:hAnsi="Arial" w:cs="Arial"/>
                <w:color w:val="000000" w:themeColor="text1"/>
                <w:sz w:val="22"/>
                <w:lang w:val="es-ES_tradnl"/>
              </w:rPr>
              <w:t xml:space="preserve">s </w:t>
            </w:r>
            <w:proofErr w:type="gramStart"/>
            <w:r>
              <w:rPr>
                <w:rFonts w:ascii="Arial" w:eastAsia="Calibri" w:hAnsi="Arial" w:cs="Arial"/>
                <w:color w:val="000000" w:themeColor="text1"/>
                <w:sz w:val="22"/>
                <w:lang w:val="es-ES_tradnl"/>
              </w:rPr>
              <w:t xml:space="preserve">acumuladas </w:t>
            </w:r>
            <w:r w:rsidRPr="00D96938">
              <w:rPr>
                <w:rFonts w:ascii="Arial" w:eastAsia="Calibri" w:hAnsi="Arial" w:cs="Arial"/>
                <w:color w:val="000000" w:themeColor="text1"/>
                <w:sz w:val="22"/>
                <w:lang w:val="es-ES_tradnl"/>
              </w:rPr>
              <w:t xml:space="preserve"> #</w:t>
            </w:r>
            <w:proofErr w:type="gramEnd"/>
            <w:r w:rsidRPr="00D96938">
              <w:rPr>
                <w:rFonts w:ascii="Arial" w:eastAsia="Calibri" w:hAnsi="Arial" w:cs="Arial"/>
                <w:color w:val="000000" w:themeColor="text1"/>
                <w:sz w:val="22"/>
                <w:lang w:val="es-ES_tradnl"/>
              </w:rPr>
              <w:t xml:space="preserve"> P20220531005359</w:t>
            </w:r>
            <w:r>
              <w:rPr>
                <w:rFonts w:ascii="Arial" w:eastAsia="Calibri" w:hAnsi="Arial" w:cs="Arial"/>
                <w:color w:val="000000" w:themeColor="text1"/>
                <w:sz w:val="22"/>
                <w:lang w:val="es-ES_tradnl"/>
              </w:rPr>
              <w:t xml:space="preserve"> – P2022628006367 – P2022628006368 </w:t>
            </w:r>
          </w:p>
        </w:tc>
      </w:tr>
    </w:tbl>
    <w:p w14:paraId="31B2BBF5" w14:textId="77777777" w:rsidR="0083744B" w:rsidRPr="00D96938" w:rsidRDefault="0083744B" w:rsidP="0083744B">
      <w:pPr>
        <w:jc w:val="both"/>
        <w:rPr>
          <w:rFonts w:ascii="Arial" w:eastAsia="Calibri" w:hAnsi="Arial" w:cs="Arial"/>
          <w:color w:val="000000" w:themeColor="text1"/>
          <w:sz w:val="22"/>
          <w:lang w:val="es-ES_tradnl"/>
        </w:rPr>
      </w:pPr>
    </w:p>
    <w:p w14:paraId="30E18696" w14:textId="77777777" w:rsidR="0083744B" w:rsidRPr="00D96938" w:rsidRDefault="0083744B" w:rsidP="0083744B">
      <w:pPr>
        <w:jc w:val="both"/>
        <w:rPr>
          <w:rFonts w:ascii="Arial" w:eastAsia="Calibri" w:hAnsi="Arial" w:cs="Arial"/>
          <w:color w:val="000000" w:themeColor="text1"/>
          <w:sz w:val="22"/>
          <w:lang w:val="es-ES_tradnl"/>
        </w:rPr>
      </w:pPr>
    </w:p>
    <w:p w14:paraId="56F50780" w14:textId="77777777" w:rsidR="0083744B" w:rsidRPr="00D96938" w:rsidRDefault="0083744B" w:rsidP="0083744B">
      <w:pPr>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Estimada doctora Peralta:</w:t>
      </w:r>
    </w:p>
    <w:p w14:paraId="112D9FA1" w14:textId="77777777" w:rsidR="0083744B" w:rsidRPr="00D96938" w:rsidRDefault="0083744B" w:rsidP="0083744B">
      <w:pPr>
        <w:jc w:val="both"/>
        <w:rPr>
          <w:rFonts w:ascii="Arial" w:eastAsia="Calibri" w:hAnsi="Arial" w:cs="Arial"/>
          <w:color w:val="000000" w:themeColor="text1"/>
          <w:sz w:val="22"/>
          <w:lang w:val="es-ES_tradnl"/>
        </w:rPr>
      </w:pPr>
    </w:p>
    <w:p w14:paraId="1E51AD12" w14:textId="77777777" w:rsidR="0083744B" w:rsidRPr="00D96938" w:rsidRDefault="0083744B" w:rsidP="0083744B">
      <w:pPr>
        <w:spacing w:line="276" w:lineRule="auto"/>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w:t>
      </w:r>
      <w:r w:rsidRPr="00D96938">
        <w:rPr>
          <w:rFonts w:ascii="Arial" w:eastAsia="Calibri" w:hAnsi="Arial" w:cs="Arial"/>
          <w:color w:val="000000" w:themeColor="text1"/>
          <w:sz w:val="22"/>
          <w:lang w:val="es-ES_tradnl"/>
        </w:rPr>
        <w:lastRenderedPageBreak/>
        <w:t>Colombia Compra Eficiente responde su</w:t>
      </w:r>
      <w:r>
        <w:rPr>
          <w:rFonts w:ascii="Arial" w:eastAsia="Calibri" w:hAnsi="Arial" w:cs="Arial"/>
          <w:color w:val="000000" w:themeColor="text1"/>
          <w:sz w:val="22"/>
          <w:lang w:val="es-ES_tradnl"/>
        </w:rPr>
        <w:t>s</w:t>
      </w:r>
      <w:r w:rsidRPr="00D96938">
        <w:rPr>
          <w:rFonts w:ascii="Arial" w:eastAsia="Calibri" w:hAnsi="Arial" w:cs="Arial"/>
          <w:color w:val="000000" w:themeColor="text1"/>
          <w:sz w:val="22"/>
          <w:lang w:val="es-ES_tradnl"/>
        </w:rPr>
        <w:t xml:space="preserve"> consulta</w:t>
      </w:r>
      <w:r>
        <w:rPr>
          <w:rFonts w:ascii="Arial" w:eastAsia="Calibri" w:hAnsi="Arial" w:cs="Arial"/>
          <w:color w:val="000000" w:themeColor="text1"/>
          <w:sz w:val="22"/>
          <w:lang w:val="es-ES_tradnl"/>
        </w:rPr>
        <w:t>s</w:t>
      </w:r>
      <w:r w:rsidRPr="00D96938">
        <w:rPr>
          <w:rFonts w:ascii="Arial" w:eastAsia="Calibri" w:hAnsi="Arial" w:cs="Arial"/>
          <w:color w:val="000000" w:themeColor="text1"/>
          <w:sz w:val="22"/>
          <w:lang w:val="es-ES_tradnl"/>
        </w:rPr>
        <w:t xml:space="preserve"> del 31 de mayo de 2022</w:t>
      </w:r>
      <w:r>
        <w:rPr>
          <w:rFonts w:ascii="Arial" w:eastAsia="Calibri" w:hAnsi="Arial" w:cs="Arial"/>
          <w:color w:val="000000" w:themeColor="text1"/>
          <w:sz w:val="22"/>
          <w:lang w:val="es-ES_tradnl"/>
        </w:rPr>
        <w:t xml:space="preserve"> y 29 de junio de 2022.</w:t>
      </w:r>
    </w:p>
    <w:p w14:paraId="0DAFC354" w14:textId="77777777" w:rsidR="00D30BDC" w:rsidRPr="00D96938" w:rsidRDefault="00D30BDC" w:rsidP="00D30BDC">
      <w:pPr>
        <w:spacing w:line="276" w:lineRule="auto"/>
        <w:jc w:val="both"/>
        <w:rPr>
          <w:rFonts w:ascii="Arial" w:eastAsia="Calibri" w:hAnsi="Arial" w:cs="Arial"/>
          <w:b/>
          <w:color w:val="000000" w:themeColor="text1"/>
          <w:sz w:val="22"/>
          <w:lang w:val="es-ES_tradnl"/>
        </w:rPr>
      </w:pPr>
      <w:bookmarkStart w:id="5" w:name="_Hlk58263829"/>
      <w:bookmarkStart w:id="6" w:name="_Hlk70522007"/>
    </w:p>
    <w:p w14:paraId="2AE518C0" w14:textId="77777777" w:rsidR="00D30BDC" w:rsidRPr="00D96938" w:rsidRDefault="00D30BDC" w:rsidP="00D30BDC">
      <w:pPr>
        <w:pStyle w:val="Prrafodelista"/>
        <w:numPr>
          <w:ilvl w:val="0"/>
          <w:numId w:val="10"/>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96938">
        <w:rPr>
          <w:rFonts w:ascii="Arial" w:eastAsia="Calibri" w:hAnsi="Arial" w:cs="Arial"/>
          <w:b/>
          <w:color w:val="000000" w:themeColor="text1"/>
          <w:sz w:val="22"/>
          <w:lang w:val="es-ES_tradnl"/>
        </w:rPr>
        <w:t xml:space="preserve">Problema planteado </w:t>
      </w:r>
    </w:p>
    <w:p w14:paraId="31F3502C" w14:textId="77777777" w:rsidR="00D30BDC" w:rsidRPr="00D96938" w:rsidRDefault="00D30BDC" w:rsidP="00D30BDC">
      <w:pPr>
        <w:tabs>
          <w:tab w:val="left" w:pos="426"/>
        </w:tabs>
        <w:spacing w:line="276" w:lineRule="auto"/>
        <w:jc w:val="both"/>
        <w:rPr>
          <w:rFonts w:ascii="Arial" w:eastAsia="Calibri" w:hAnsi="Arial" w:cs="Arial"/>
          <w:b/>
          <w:color w:val="000000" w:themeColor="text1"/>
          <w:sz w:val="22"/>
          <w:lang w:val="es-ES_tradnl"/>
        </w:rPr>
      </w:pPr>
    </w:p>
    <w:p w14:paraId="5E577A54" w14:textId="545A9624" w:rsidR="00D30BDC" w:rsidRPr="00D96938" w:rsidRDefault="00A027F5" w:rsidP="00D30BDC">
      <w:pPr>
        <w:spacing w:line="276" w:lineRule="auto"/>
        <w:jc w:val="both"/>
        <w:rPr>
          <w:rFonts w:ascii="Arial" w:hAnsi="Arial" w:cs="Arial"/>
          <w:color w:val="000000" w:themeColor="text1"/>
          <w:sz w:val="22"/>
          <w:lang w:val="es-ES_tradnl"/>
        </w:rPr>
      </w:pPr>
      <w:r w:rsidRPr="00D96938">
        <w:rPr>
          <w:rFonts w:ascii="Arial" w:hAnsi="Arial" w:cs="Arial"/>
          <w:color w:val="000000" w:themeColor="text1"/>
          <w:sz w:val="22"/>
          <w:lang w:val="es-ES_tradnl"/>
        </w:rPr>
        <w:t>E</w:t>
      </w:r>
      <w:r w:rsidR="00D30BDC" w:rsidRPr="00D96938">
        <w:rPr>
          <w:rFonts w:ascii="Arial" w:hAnsi="Arial" w:cs="Arial"/>
          <w:color w:val="000000" w:themeColor="text1"/>
          <w:sz w:val="22"/>
          <w:lang w:val="es-ES_tradnl"/>
        </w:rPr>
        <w:t>n relación con</w:t>
      </w:r>
      <w:r w:rsidR="008072AB" w:rsidRPr="00D96938">
        <w:rPr>
          <w:rFonts w:ascii="Arial" w:hAnsi="Arial" w:cs="Arial"/>
          <w:color w:val="000000" w:themeColor="text1"/>
          <w:sz w:val="22"/>
          <w:lang w:val="es-ES_tradnl"/>
        </w:rPr>
        <w:t xml:space="preserve"> el alcan</w:t>
      </w:r>
      <w:r w:rsidR="00722DA0" w:rsidRPr="00D96938">
        <w:rPr>
          <w:rFonts w:ascii="Arial" w:hAnsi="Arial" w:cs="Arial"/>
          <w:color w:val="000000" w:themeColor="text1"/>
          <w:sz w:val="22"/>
          <w:lang w:val="es-ES_tradnl"/>
        </w:rPr>
        <w:t>c</w:t>
      </w:r>
      <w:r w:rsidR="008072AB" w:rsidRPr="00D96938">
        <w:rPr>
          <w:rFonts w:ascii="Arial" w:hAnsi="Arial" w:cs="Arial"/>
          <w:color w:val="000000" w:themeColor="text1"/>
          <w:sz w:val="22"/>
          <w:lang w:val="es-ES_tradnl"/>
        </w:rPr>
        <w:t>e del deber de reporte de que trata el artículo 2.2.1.1.1.5.7 del Decreto 1082 de 2015</w:t>
      </w:r>
      <w:r w:rsidRPr="00D96938">
        <w:rPr>
          <w:rFonts w:ascii="Arial" w:hAnsi="Arial" w:cs="Arial"/>
          <w:color w:val="000000" w:themeColor="text1"/>
          <w:sz w:val="22"/>
          <w:lang w:val="es-ES_tradnl"/>
        </w:rPr>
        <w:t>, usted realiza la siguiente pregunta</w:t>
      </w:r>
      <w:r w:rsidR="00D30BDC" w:rsidRPr="00D96938">
        <w:rPr>
          <w:rFonts w:ascii="Arial" w:hAnsi="Arial" w:cs="Arial"/>
          <w:color w:val="000000" w:themeColor="text1"/>
          <w:sz w:val="22"/>
          <w:lang w:val="es-ES_tradnl"/>
        </w:rPr>
        <w:t xml:space="preserve">: </w:t>
      </w:r>
    </w:p>
    <w:p w14:paraId="5CFCDA41" w14:textId="77777777" w:rsidR="00D30BDC" w:rsidRPr="00D96938" w:rsidRDefault="00D30BDC" w:rsidP="00D30BDC">
      <w:pPr>
        <w:ind w:left="709" w:right="709"/>
        <w:jc w:val="both"/>
        <w:rPr>
          <w:rFonts w:ascii="Arial" w:hAnsi="Arial" w:cs="Arial"/>
          <w:color w:val="000000" w:themeColor="text1"/>
          <w:sz w:val="22"/>
          <w:lang w:val="es-ES_tradnl"/>
        </w:rPr>
      </w:pPr>
    </w:p>
    <w:p w14:paraId="08639F73" w14:textId="77777777" w:rsidR="008072AB" w:rsidRPr="0083744B" w:rsidRDefault="00D30BDC" w:rsidP="008072AB">
      <w:pPr>
        <w:spacing w:after="120"/>
        <w:ind w:left="709" w:right="709"/>
        <w:jc w:val="both"/>
        <w:rPr>
          <w:rFonts w:ascii="Arial" w:hAnsi="Arial" w:cs="Arial"/>
          <w:color w:val="000000" w:themeColor="text1"/>
          <w:sz w:val="21"/>
          <w:szCs w:val="21"/>
        </w:rPr>
      </w:pPr>
      <w:r w:rsidRPr="00D96938">
        <w:rPr>
          <w:rFonts w:ascii="Arial" w:hAnsi="Arial" w:cs="Arial"/>
          <w:color w:val="000000" w:themeColor="text1"/>
          <w:sz w:val="21"/>
          <w:szCs w:val="21"/>
          <w:lang w:val="es-ES_tradnl"/>
        </w:rPr>
        <w:t>«</w:t>
      </w:r>
      <w:r w:rsidR="008072AB" w:rsidRPr="0083744B">
        <w:rPr>
          <w:rFonts w:ascii="Arial" w:hAnsi="Arial" w:cs="Arial"/>
          <w:color w:val="000000" w:themeColor="text1"/>
          <w:sz w:val="21"/>
          <w:szCs w:val="21"/>
        </w:rPr>
        <w:t xml:space="preserve">1. ¿Las disposiciones incluidas en el Articulo 2.2.1.1.1.5.7 del Decreto 1082 de 2015, resultan aplicables a la gestión contractual adelantada por el Patrimonio Autónomo </w:t>
      </w:r>
      <w:proofErr w:type="spellStart"/>
      <w:r w:rsidR="008072AB" w:rsidRPr="0083744B">
        <w:rPr>
          <w:rFonts w:ascii="Arial" w:hAnsi="Arial" w:cs="Arial"/>
          <w:color w:val="000000" w:themeColor="text1"/>
          <w:sz w:val="21"/>
          <w:szCs w:val="21"/>
        </w:rPr>
        <w:t>Aerocafé</w:t>
      </w:r>
      <w:proofErr w:type="spellEnd"/>
      <w:r w:rsidR="008072AB" w:rsidRPr="0083744B">
        <w:rPr>
          <w:rFonts w:ascii="Arial" w:hAnsi="Arial" w:cs="Arial"/>
          <w:color w:val="000000" w:themeColor="text1"/>
          <w:sz w:val="21"/>
          <w:szCs w:val="21"/>
        </w:rPr>
        <w:t>, cuyo régimen de contratación es el del derecho privado, pero que debe dar plena observancia de los principios de transparencia, economía, igualdad y publicidad, definidos por la Constitución y la Ley en el sentido que administra recursos públicos provenientes de su Fideicomitente Aeronáutica Civil el cual, es una entidad del estado del orden nacional, así como aportes de la región?</w:t>
      </w:r>
    </w:p>
    <w:p w14:paraId="0C6EFC15" w14:textId="77777777" w:rsidR="008072AB" w:rsidRPr="0083744B" w:rsidRDefault="008072AB" w:rsidP="008072AB">
      <w:pPr>
        <w:spacing w:after="120"/>
        <w:ind w:left="709" w:right="709"/>
        <w:jc w:val="both"/>
        <w:rPr>
          <w:rFonts w:ascii="Arial" w:hAnsi="Arial" w:cs="Arial"/>
          <w:color w:val="000000" w:themeColor="text1"/>
          <w:sz w:val="21"/>
          <w:szCs w:val="21"/>
        </w:rPr>
      </w:pPr>
      <w:r w:rsidRPr="0083744B">
        <w:rPr>
          <w:rFonts w:ascii="Arial" w:hAnsi="Arial" w:cs="Arial"/>
          <w:color w:val="000000" w:themeColor="text1"/>
          <w:sz w:val="21"/>
          <w:szCs w:val="21"/>
        </w:rPr>
        <w:t xml:space="preserve">2. El Patrimonio Autónomo </w:t>
      </w:r>
      <w:proofErr w:type="spellStart"/>
      <w:r w:rsidRPr="0083744B">
        <w:rPr>
          <w:rFonts w:ascii="Arial" w:hAnsi="Arial" w:cs="Arial"/>
          <w:color w:val="000000" w:themeColor="text1"/>
          <w:sz w:val="21"/>
          <w:szCs w:val="21"/>
        </w:rPr>
        <w:t>Aerocafé</w:t>
      </w:r>
      <w:proofErr w:type="spellEnd"/>
      <w:r w:rsidRPr="0083744B">
        <w:rPr>
          <w:rFonts w:ascii="Arial" w:hAnsi="Arial" w:cs="Arial"/>
          <w:color w:val="000000" w:themeColor="text1"/>
          <w:sz w:val="21"/>
          <w:szCs w:val="21"/>
        </w:rPr>
        <w:t>, constituido con recursos públicos de aportes región y Nación según CONPES 4026 del 08 de marzo de 2021 y cuyo fideicomitente es Aeronáutica Civil, en cumplimiento de lo señalado en el artículo 67 de la Ley 1955, debe dar plena observancia de los principios de transparencia, economía, igualdad y publicidad, definidos por la Constitución y la Ley, le debe enviar mensualmente a las cámaras de comercio de su domicilio, copia de los actos administrativos en firme, por medio de los cuales impusieron multas y sanciones de los contratos que hayan suscrito?</w:t>
      </w:r>
    </w:p>
    <w:p w14:paraId="6C1B1DC4" w14:textId="77777777" w:rsidR="008072AB" w:rsidRPr="0083744B" w:rsidRDefault="008072AB" w:rsidP="008072AB">
      <w:pPr>
        <w:spacing w:after="120"/>
        <w:ind w:left="709" w:right="709"/>
        <w:jc w:val="both"/>
        <w:rPr>
          <w:rFonts w:ascii="Arial" w:hAnsi="Arial" w:cs="Arial"/>
          <w:color w:val="000000" w:themeColor="text1"/>
          <w:sz w:val="21"/>
          <w:szCs w:val="21"/>
        </w:rPr>
      </w:pPr>
      <w:r w:rsidRPr="0083744B">
        <w:rPr>
          <w:rFonts w:ascii="Arial" w:hAnsi="Arial" w:cs="Arial"/>
          <w:color w:val="000000" w:themeColor="text1"/>
          <w:sz w:val="21"/>
          <w:szCs w:val="21"/>
        </w:rPr>
        <w:t xml:space="preserve">3. En caso afirmativo respecto de lo planteado en el numeral en el numeral 1, se solicita indicar cuales son las medidas y/o acciones que se deben adelantar respecto al reporte de la información a las Cámaras de Comercio de los actos ejecutoriados que declaren la caducidad, impongan multas, sanciones o declaren el incumplimiento? </w:t>
      </w:r>
    </w:p>
    <w:p w14:paraId="0C013B00" w14:textId="77777777" w:rsidR="008072AB" w:rsidRPr="0083744B" w:rsidRDefault="008072AB" w:rsidP="008072AB">
      <w:pPr>
        <w:spacing w:after="120"/>
        <w:ind w:left="709" w:right="709"/>
        <w:jc w:val="both"/>
        <w:rPr>
          <w:rFonts w:ascii="Arial" w:hAnsi="Arial" w:cs="Arial"/>
          <w:color w:val="000000" w:themeColor="text1"/>
          <w:sz w:val="21"/>
          <w:szCs w:val="21"/>
        </w:rPr>
      </w:pPr>
      <w:r w:rsidRPr="0083744B">
        <w:rPr>
          <w:rFonts w:ascii="Arial" w:hAnsi="Arial" w:cs="Arial"/>
          <w:color w:val="000000" w:themeColor="text1"/>
          <w:sz w:val="21"/>
          <w:szCs w:val="21"/>
        </w:rPr>
        <w:t xml:space="preserve">4. ¿En caso afirmativo respecto de lo planteado en el numeral 1, se solicita indicar que entidad estaría obligada a realizar dicho reporte, es decir, el fideicomitente del Patrimonio Autónomo AEROCAFE, Aerocivil, la Unidad de Gestión o la Fiduciaria Scotiabank Colpatria S.A. actuando como vocero y administrador del Patrimonio Autónomo </w:t>
      </w:r>
      <w:proofErr w:type="spellStart"/>
      <w:r w:rsidRPr="0083744B">
        <w:rPr>
          <w:rFonts w:ascii="Arial" w:hAnsi="Arial" w:cs="Arial"/>
          <w:color w:val="000000" w:themeColor="text1"/>
          <w:sz w:val="21"/>
          <w:szCs w:val="21"/>
        </w:rPr>
        <w:t>Aerocafé</w:t>
      </w:r>
      <w:proofErr w:type="spellEnd"/>
      <w:r w:rsidRPr="0083744B">
        <w:rPr>
          <w:rFonts w:ascii="Arial" w:hAnsi="Arial" w:cs="Arial"/>
          <w:color w:val="000000" w:themeColor="text1"/>
          <w:sz w:val="21"/>
          <w:szCs w:val="21"/>
        </w:rPr>
        <w:t>?</w:t>
      </w:r>
    </w:p>
    <w:p w14:paraId="6B4DE579" w14:textId="6CECB2A4" w:rsidR="00D30BDC" w:rsidRPr="00D96938" w:rsidRDefault="008072AB" w:rsidP="008072AB">
      <w:pPr>
        <w:spacing w:after="120"/>
        <w:ind w:left="709" w:right="709"/>
        <w:jc w:val="both"/>
        <w:rPr>
          <w:rFonts w:ascii="Arial" w:hAnsi="Arial" w:cs="Arial"/>
          <w:color w:val="000000" w:themeColor="text1"/>
          <w:sz w:val="21"/>
          <w:szCs w:val="21"/>
          <w:lang w:val="es-ES_tradnl"/>
        </w:rPr>
      </w:pPr>
      <w:r w:rsidRPr="0083744B">
        <w:rPr>
          <w:rFonts w:ascii="Arial" w:hAnsi="Arial" w:cs="Arial"/>
          <w:color w:val="000000" w:themeColor="text1"/>
          <w:sz w:val="21"/>
          <w:szCs w:val="21"/>
        </w:rPr>
        <w:t xml:space="preserve">5. ¿En caso afirmativo respecto de lo planteado en el numeral 1, con base en la normativa expuesta, frente a la naturaleza jurídica del Patrimonio Autónomo </w:t>
      </w:r>
      <w:proofErr w:type="spellStart"/>
      <w:r w:rsidRPr="0083744B">
        <w:rPr>
          <w:rFonts w:ascii="Arial" w:hAnsi="Arial" w:cs="Arial"/>
          <w:color w:val="000000" w:themeColor="text1"/>
          <w:sz w:val="21"/>
          <w:szCs w:val="21"/>
        </w:rPr>
        <w:t>Aerocafé</w:t>
      </w:r>
      <w:proofErr w:type="spellEnd"/>
      <w:r w:rsidRPr="0083744B">
        <w:rPr>
          <w:rFonts w:ascii="Arial" w:hAnsi="Arial" w:cs="Arial"/>
          <w:color w:val="000000" w:themeColor="text1"/>
          <w:sz w:val="21"/>
          <w:szCs w:val="21"/>
        </w:rPr>
        <w:t xml:space="preserve"> y como quiera que el mismo no emite actos administrativos en el marco de su gestión contractual, con base en que documentación se debe adelantar el reporte de la información?</w:t>
      </w:r>
      <w:r w:rsidR="00D30BDC" w:rsidRPr="00D96938">
        <w:rPr>
          <w:rFonts w:ascii="Arial" w:hAnsi="Arial" w:cs="Arial"/>
          <w:color w:val="000000" w:themeColor="text1"/>
          <w:sz w:val="21"/>
          <w:szCs w:val="21"/>
          <w:lang w:val="es-ES_tradnl"/>
        </w:rPr>
        <w:t>».</w:t>
      </w:r>
    </w:p>
    <w:p w14:paraId="6A982790" w14:textId="77777777" w:rsidR="00A37FB6" w:rsidRPr="0083744B" w:rsidRDefault="00A37FB6" w:rsidP="00F23E3A">
      <w:pPr>
        <w:tabs>
          <w:tab w:val="left" w:pos="426"/>
        </w:tabs>
        <w:spacing w:line="276" w:lineRule="auto"/>
        <w:jc w:val="both"/>
        <w:rPr>
          <w:rFonts w:ascii="Arial" w:eastAsia="Calibri" w:hAnsi="Arial" w:cs="Arial"/>
          <w:color w:val="000000" w:themeColor="text1"/>
          <w:sz w:val="22"/>
        </w:rPr>
      </w:pPr>
    </w:p>
    <w:p w14:paraId="6A32A1B1" w14:textId="6D84C886" w:rsidR="00A37FB6" w:rsidRPr="0083744B" w:rsidRDefault="002277B9" w:rsidP="002277B9">
      <w:pPr>
        <w:tabs>
          <w:tab w:val="left" w:pos="426"/>
        </w:tabs>
        <w:spacing w:line="276" w:lineRule="auto"/>
        <w:jc w:val="both"/>
        <w:rPr>
          <w:rFonts w:ascii="Arial" w:eastAsia="Calibri" w:hAnsi="Arial" w:cs="Arial"/>
          <w:b/>
          <w:color w:val="000000" w:themeColor="text1"/>
          <w:sz w:val="22"/>
        </w:rPr>
      </w:pPr>
      <w:r w:rsidRPr="0083744B">
        <w:rPr>
          <w:rFonts w:ascii="Arial" w:eastAsia="Calibri" w:hAnsi="Arial" w:cs="Arial"/>
          <w:b/>
          <w:color w:val="000000" w:themeColor="text1"/>
          <w:sz w:val="22"/>
        </w:rPr>
        <w:t xml:space="preserve">2. </w:t>
      </w:r>
      <w:r w:rsidR="00A37FB6" w:rsidRPr="0083744B">
        <w:rPr>
          <w:rFonts w:ascii="Arial" w:eastAsia="Calibri" w:hAnsi="Arial" w:cs="Arial"/>
          <w:b/>
          <w:color w:val="000000" w:themeColor="text1"/>
          <w:sz w:val="22"/>
        </w:rPr>
        <w:t>Consideraciones</w:t>
      </w:r>
    </w:p>
    <w:bookmarkEnd w:id="0"/>
    <w:bookmarkEnd w:id="1"/>
    <w:p w14:paraId="5D8BAB86" w14:textId="77777777" w:rsidR="00D94962" w:rsidRPr="0083744B" w:rsidRDefault="00D94962" w:rsidP="006E3288">
      <w:pPr>
        <w:jc w:val="both"/>
        <w:rPr>
          <w:rFonts w:ascii="Arial" w:hAnsi="Arial" w:cs="Arial"/>
          <w:color w:val="000000" w:themeColor="text1"/>
          <w:sz w:val="22"/>
          <w:lang w:val="es-ES_tradnl"/>
        </w:rPr>
      </w:pPr>
    </w:p>
    <w:p w14:paraId="6694445C" w14:textId="77777777" w:rsidR="002B6D04" w:rsidRPr="0083744B" w:rsidRDefault="002B6D04" w:rsidP="002B6D04">
      <w:pPr>
        <w:spacing w:after="120" w:line="276" w:lineRule="auto"/>
        <w:jc w:val="both"/>
        <w:rPr>
          <w:rFonts w:ascii="Arial" w:hAnsi="Arial" w:cs="Arial"/>
          <w:color w:val="000000" w:themeColor="text1"/>
          <w:sz w:val="22"/>
          <w:lang w:val="es-ES"/>
        </w:rPr>
      </w:pPr>
      <w:r w:rsidRPr="0083744B">
        <w:rPr>
          <w:rFonts w:ascii="Arial" w:hAnsi="Arial" w:cs="Arial"/>
          <w:bCs/>
          <w:color w:val="000000" w:themeColor="text1"/>
          <w:sz w:val="22"/>
        </w:rPr>
        <w:lastRenderedPageBreak/>
        <w:t xml:space="preserve">En ejercicio de las competencias establecidas en los artículos 3.5 y 11.8 del Decreto 4170 de 2011, la Agencia Nacional de Contratación Pública – Colombia Compra Eficiente resuelve consultas sobre </w:t>
      </w:r>
      <w:r w:rsidRPr="0083744B">
        <w:rPr>
          <w:rFonts w:ascii="Arial" w:hAnsi="Arial" w:cs="Arial"/>
          <w:color w:val="000000" w:themeColor="text1"/>
          <w:sz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83744B">
        <w:rPr>
          <w:rFonts w:ascii="Arial" w:hAnsi="Arial" w:cs="Arial"/>
          <w:bCs/>
          <w:color w:val="000000" w:themeColor="text1"/>
          <w:sz w:val="22"/>
        </w:rPr>
        <w:t xml:space="preserve"> de todos los partícipes de la contratación estatal.</w:t>
      </w:r>
    </w:p>
    <w:p w14:paraId="610F796D" w14:textId="4075DDFF" w:rsidR="002B6D04" w:rsidRPr="0083744B" w:rsidRDefault="002B6D04" w:rsidP="002B6D04">
      <w:pPr>
        <w:spacing w:after="120" w:line="276" w:lineRule="auto"/>
        <w:ind w:firstLine="708"/>
        <w:jc w:val="both"/>
        <w:rPr>
          <w:rFonts w:ascii="Arial" w:hAnsi="Arial" w:cs="Arial"/>
          <w:color w:val="000000" w:themeColor="text1"/>
          <w:sz w:val="22"/>
          <w:lang w:val="es-ES"/>
        </w:rPr>
      </w:pPr>
      <w:r w:rsidRPr="0083744B">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3744B">
        <w:rPr>
          <w:rFonts w:ascii="Arial" w:hAnsi="Arial" w:cs="Arial"/>
          <w:color w:val="000000" w:themeColor="text1"/>
          <w:sz w:val="22"/>
          <w:vertAlign w:val="superscript"/>
          <w:lang w:val="es-ES"/>
        </w:rPr>
        <w:footnoteReference w:id="2"/>
      </w:r>
      <w:r w:rsidRPr="0083744B">
        <w:rPr>
          <w:rFonts w:ascii="Arial" w:hAnsi="Arial" w:cs="Arial"/>
          <w:color w:val="000000" w:themeColor="text1"/>
          <w:sz w:val="22"/>
          <w:lang w:val="es-ES"/>
        </w:rPr>
        <w:t xml:space="preserve">. Esta competencia de interpretación de normas generales, por definición, no puede extenderse a la resolución de controversias ni </w:t>
      </w:r>
      <w:r w:rsidR="00DC0553" w:rsidRPr="0083744B">
        <w:rPr>
          <w:rFonts w:ascii="Arial" w:hAnsi="Arial" w:cs="Arial"/>
          <w:color w:val="000000" w:themeColor="text1"/>
          <w:sz w:val="22"/>
          <w:lang w:val="es-ES"/>
        </w:rPr>
        <w:t xml:space="preserve">a </w:t>
      </w:r>
      <w:r w:rsidRPr="0083744B">
        <w:rPr>
          <w:rFonts w:ascii="Arial" w:hAnsi="Arial" w:cs="Arial"/>
          <w:color w:val="000000" w:themeColor="text1"/>
          <w:sz w:val="22"/>
          <w:lang w:val="es-ES"/>
        </w:rPr>
        <w:t xml:space="preserve">brindar asesorías sobre casos puntuales. Por lo anterior, previo concepto de sus órganos asesores, la solución de estos temas corresponde a la entidad de adoptar la decisión correspondiente y, en caso de conflicto, a las autoridades judiciales, fiscales y disciplinarias. </w:t>
      </w:r>
    </w:p>
    <w:p w14:paraId="29B23C0A" w14:textId="77777777" w:rsidR="002B6D04" w:rsidRPr="0083744B" w:rsidRDefault="002B6D04" w:rsidP="002B6D04">
      <w:pPr>
        <w:spacing w:before="120" w:after="120" w:line="276" w:lineRule="auto"/>
        <w:ind w:firstLine="709"/>
        <w:jc w:val="both"/>
        <w:rPr>
          <w:rFonts w:ascii="Arial" w:eastAsia="Calibri" w:hAnsi="Arial" w:cs="Arial"/>
          <w:bCs/>
          <w:color w:val="000000" w:themeColor="text1"/>
          <w:sz w:val="22"/>
          <w:lang w:eastAsia="es-CO"/>
        </w:rPr>
      </w:pPr>
      <w:r w:rsidRPr="0083744B">
        <w:rPr>
          <w:rFonts w:ascii="Arial" w:eastAsia="Calibri" w:hAnsi="Arial" w:cs="Arial"/>
          <w:bCs/>
          <w:color w:val="000000" w:themeColor="text1"/>
          <w:sz w:val="22"/>
          <w:lang w:eastAsia="es-CO"/>
        </w:rPr>
        <w:t>Bajo estas consideraciones, corresponde a cada entidad pública, en ejercicio de su competencia y previa valoración de los elementos fácticos y jurídicos, determinar la forma de adelantar un determinado objeto contractual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35512DD5" w14:textId="0DF356D9" w:rsidR="003B1A11" w:rsidRPr="0083744B" w:rsidRDefault="002B6D04" w:rsidP="003B1A11">
      <w:pPr>
        <w:spacing w:after="120" w:line="276" w:lineRule="auto"/>
        <w:ind w:firstLine="708"/>
        <w:jc w:val="both"/>
        <w:rPr>
          <w:rFonts w:ascii="Arial" w:hAnsi="Arial" w:cs="Arial"/>
          <w:color w:val="000000" w:themeColor="text1"/>
          <w:sz w:val="22"/>
          <w:lang w:val="es-ES"/>
        </w:rPr>
      </w:pPr>
      <w:r w:rsidRPr="0083744B">
        <w:rPr>
          <w:rFonts w:ascii="Arial" w:hAnsi="Arial" w:cs="Arial"/>
          <w:color w:val="000000" w:themeColor="text1"/>
          <w:sz w:val="22"/>
          <w:lang w:val="es-ES"/>
        </w:rPr>
        <w:t xml:space="preserve">Sin perjuicio de lo anterior, la Agencia –dentro de los límites de sus atribuciones, es decir, </w:t>
      </w:r>
      <w:bookmarkStart w:id="7" w:name="_Hlk61025408"/>
      <w:r w:rsidRPr="0083744B">
        <w:rPr>
          <w:rFonts w:ascii="Arial" w:hAnsi="Arial" w:cs="Arial"/>
          <w:color w:val="000000" w:themeColor="text1"/>
          <w:sz w:val="22"/>
          <w:lang w:val="es-ES"/>
        </w:rPr>
        <w:t xml:space="preserve">haciendo abstracción del caso particular </w:t>
      </w:r>
      <w:bookmarkEnd w:id="7"/>
      <w:r w:rsidRPr="0083744B">
        <w:rPr>
          <w:rFonts w:ascii="Arial" w:hAnsi="Arial" w:cs="Arial"/>
          <w:color w:val="000000" w:themeColor="text1"/>
          <w:sz w:val="22"/>
          <w:lang w:val="es-ES"/>
        </w:rPr>
        <w:t xml:space="preserve">expuesto en la petición– resolverá la consulta conforme a las normas generales del sistema de compras públicas, </w:t>
      </w:r>
      <w:r w:rsidR="00D566B3" w:rsidRPr="0083744B">
        <w:rPr>
          <w:rFonts w:ascii="Arial" w:hAnsi="Arial" w:cs="Arial"/>
          <w:color w:val="000000" w:themeColor="text1"/>
          <w:sz w:val="22"/>
          <w:lang w:val="es-ES"/>
        </w:rPr>
        <w:t xml:space="preserve">para lo cual abordará los siguientes temas: </w:t>
      </w:r>
      <w:r w:rsidR="00BA5C48" w:rsidRPr="0083744B">
        <w:rPr>
          <w:rFonts w:ascii="Arial" w:hAnsi="Arial" w:cs="Arial"/>
          <w:color w:val="000000" w:themeColor="text1"/>
          <w:sz w:val="22"/>
          <w:lang w:val="es-ES"/>
        </w:rPr>
        <w:t xml:space="preserve">i) </w:t>
      </w:r>
      <w:r w:rsidR="00DA59A8" w:rsidRPr="0083744B">
        <w:rPr>
          <w:rFonts w:ascii="Arial" w:hAnsi="Arial" w:cs="Arial"/>
          <w:color w:val="000000" w:themeColor="text1"/>
          <w:sz w:val="22"/>
          <w:lang w:val="es-ES"/>
        </w:rPr>
        <w:t xml:space="preserve">consideraciones generales sobre los regímenes especiales en materia de contratación pública, </w:t>
      </w:r>
      <w:proofErr w:type="spellStart"/>
      <w:r w:rsidR="00DA59A8" w:rsidRPr="0083744B">
        <w:rPr>
          <w:rFonts w:ascii="Arial" w:hAnsi="Arial" w:cs="Arial"/>
          <w:color w:val="000000" w:themeColor="text1"/>
          <w:sz w:val="22"/>
          <w:lang w:val="es-ES"/>
        </w:rPr>
        <w:t>ii</w:t>
      </w:r>
      <w:proofErr w:type="spellEnd"/>
      <w:r w:rsidR="00DA59A8" w:rsidRPr="0083744B">
        <w:rPr>
          <w:rFonts w:ascii="Arial" w:hAnsi="Arial" w:cs="Arial"/>
          <w:color w:val="000000" w:themeColor="text1"/>
          <w:sz w:val="22"/>
          <w:lang w:val="es-ES"/>
        </w:rPr>
        <w:t xml:space="preserve">) </w:t>
      </w:r>
      <w:r w:rsidR="00BA5C48" w:rsidRPr="0083744B">
        <w:rPr>
          <w:rFonts w:ascii="Arial" w:hAnsi="Arial" w:cs="Arial"/>
          <w:color w:val="000000" w:themeColor="text1"/>
          <w:sz w:val="22"/>
          <w:lang w:val="es-ES"/>
        </w:rPr>
        <w:t>régimen de inhabilidades e incompatibilidades en la contratación estatal</w:t>
      </w:r>
      <w:r w:rsidR="00B12769" w:rsidRPr="0083744B">
        <w:rPr>
          <w:rFonts w:ascii="Arial" w:hAnsi="Arial" w:cs="Arial"/>
          <w:color w:val="000000" w:themeColor="text1"/>
          <w:sz w:val="22"/>
          <w:lang w:val="es-ES"/>
        </w:rPr>
        <w:t>,</w:t>
      </w:r>
      <w:r w:rsidR="00BA5C48" w:rsidRPr="0083744B">
        <w:rPr>
          <w:rFonts w:ascii="Arial" w:hAnsi="Arial" w:cs="Arial"/>
          <w:color w:val="000000" w:themeColor="text1"/>
          <w:sz w:val="22"/>
          <w:lang w:val="es-ES"/>
        </w:rPr>
        <w:t xml:space="preserve"> </w:t>
      </w:r>
      <w:r w:rsidR="003B1A11" w:rsidRPr="0083744B">
        <w:rPr>
          <w:rFonts w:ascii="Arial" w:hAnsi="Arial" w:cs="Arial"/>
          <w:color w:val="000000" w:themeColor="text1"/>
          <w:sz w:val="22"/>
          <w:lang w:val="es-ES"/>
        </w:rPr>
        <w:t xml:space="preserve">y </w:t>
      </w:r>
      <w:proofErr w:type="spellStart"/>
      <w:r w:rsidR="003B1A11" w:rsidRPr="0083744B">
        <w:rPr>
          <w:rFonts w:ascii="Arial" w:hAnsi="Arial" w:cs="Arial"/>
          <w:color w:val="000000" w:themeColor="text1"/>
          <w:sz w:val="22"/>
          <w:lang w:val="es-ES"/>
        </w:rPr>
        <w:t>i</w:t>
      </w:r>
      <w:r w:rsidR="00EF3D8D" w:rsidRPr="0083744B">
        <w:rPr>
          <w:rFonts w:ascii="Arial" w:hAnsi="Arial" w:cs="Arial"/>
          <w:color w:val="000000" w:themeColor="text1"/>
          <w:sz w:val="22"/>
          <w:lang w:val="es-ES"/>
        </w:rPr>
        <w:t>i</w:t>
      </w:r>
      <w:r w:rsidR="00DA59A8" w:rsidRPr="0083744B">
        <w:rPr>
          <w:rFonts w:ascii="Arial" w:hAnsi="Arial" w:cs="Arial"/>
          <w:color w:val="000000" w:themeColor="text1"/>
          <w:sz w:val="22"/>
          <w:lang w:val="es-ES"/>
        </w:rPr>
        <w:t>i</w:t>
      </w:r>
      <w:proofErr w:type="spellEnd"/>
      <w:r w:rsidR="003B1A11" w:rsidRPr="0083744B">
        <w:rPr>
          <w:rFonts w:ascii="Arial" w:hAnsi="Arial" w:cs="Arial"/>
          <w:color w:val="000000" w:themeColor="text1"/>
          <w:sz w:val="22"/>
          <w:lang w:val="es-ES"/>
        </w:rPr>
        <w:t xml:space="preserve">) </w:t>
      </w:r>
      <w:r w:rsidR="00B12769" w:rsidRPr="0083744B">
        <w:rPr>
          <w:rFonts w:ascii="Arial" w:hAnsi="Arial" w:cs="Arial"/>
          <w:color w:val="000000" w:themeColor="text1"/>
          <w:sz w:val="22"/>
          <w:lang w:val="es-ES"/>
        </w:rPr>
        <w:t>d</w:t>
      </w:r>
      <w:r w:rsidR="003B1A11" w:rsidRPr="0083744B">
        <w:rPr>
          <w:rFonts w:ascii="Arial" w:hAnsi="Arial" w:cs="Arial"/>
          <w:color w:val="000000" w:themeColor="text1"/>
          <w:sz w:val="22"/>
          <w:lang w:val="es-ES"/>
        </w:rPr>
        <w:t xml:space="preserve">eber de reporte de multas, sanciones e inhabilidades a </w:t>
      </w:r>
      <w:r w:rsidR="00DA59A8" w:rsidRPr="0083744B">
        <w:rPr>
          <w:rFonts w:ascii="Arial" w:hAnsi="Arial" w:cs="Arial"/>
          <w:color w:val="000000" w:themeColor="text1"/>
          <w:sz w:val="22"/>
          <w:lang w:val="es-ES"/>
        </w:rPr>
        <w:t xml:space="preserve">las </w:t>
      </w:r>
      <w:r w:rsidR="003B1A11" w:rsidRPr="0083744B">
        <w:rPr>
          <w:rFonts w:ascii="Arial" w:hAnsi="Arial" w:cs="Arial"/>
          <w:color w:val="000000" w:themeColor="text1"/>
          <w:sz w:val="22"/>
          <w:lang w:val="es-ES"/>
        </w:rPr>
        <w:t xml:space="preserve">cámaras de comercio por parte de las entidades públicas. </w:t>
      </w:r>
    </w:p>
    <w:p w14:paraId="5C186F40" w14:textId="0D1A8422" w:rsidR="00503206" w:rsidRPr="0083744B" w:rsidRDefault="00D566B3" w:rsidP="0083744B">
      <w:pPr>
        <w:spacing w:line="276" w:lineRule="auto"/>
        <w:ind w:firstLine="709"/>
        <w:jc w:val="both"/>
        <w:rPr>
          <w:rFonts w:ascii="Arial" w:hAnsi="Arial" w:cs="Arial"/>
          <w:color w:val="000000" w:themeColor="text1"/>
          <w:sz w:val="22"/>
          <w:lang w:val="es-ES"/>
        </w:rPr>
      </w:pPr>
      <w:r w:rsidRPr="0083744B">
        <w:rPr>
          <w:rFonts w:ascii="Arial" w:hAnsi="Arial" w:cs="Arial"/>
          <w:color w:val="000000" w:themeColor="text1"/>
          <w:sz w:val="22"/>
          <w:lang w:val="es-ES"/>
        </w:rPr>
        <w:t xml:space="preserve">Esta Agencia, </w:t>
      </w:r>
      <w:r w:rsidR="00DA59A8" w:rsidRPr="0083744B">
        <w:rPr>
          <w:rFonts w:ascii="Arial" w:hAnsi="Arial" w:cs="Arial"/>
          <w:color w:val="000000" w:themeColor="text1"/>
          <w:sz w:val="22"/>
          <w:lang w:val="es-ES_tradnl"/>
        </w:rPr>
        <w:t xml:space="preserve">estudió el régimen de las entidades exceptuadas de la aplicación del Estatuto General de Contratación de la Administración Pública, entre otros, en los </w:t>
      </w:r>
      <w:r w:rsidR="00DA59A8" w:rsidRPr="0083744B">
        <w:rPr>
          <w:rFonts w:ascii="Arial" w:hAnsi="Arial" w:cs="Arial"/>
          <w:color w:val="000000" w:themeColor="text1"/>
          <w:sz w:val="22"/>
          <w:lang w:val="es-ES_tradnl"/>
        </w:rPr>
        <w:lastRenderedPageBreak/>
        <w:t xml:space="preserve">conceptos con radicado: C-147 del 17 de marzo de 2020, C-157 del 17 de marzo de 2020, C-191 del 16 de marzo de 2020 y C-168 del 31 de marzo de 2020, C-158 del 3 de abril de 2020 y C-717 del 21 de enero de 2022. Asimismo, </w:t>
      </w:r>
      <w:r w:rsidRPr="0083744B">
        <w:rPr>
          <w:rFonts w:ascii="Arial" w:hAnsi="Arial" w:cs="Arial"/>
          <w:color w:val="000000" w:themeColor="text1"/>
          <w:sz w:val="22"/>
          <w:lang w:val="es-ES"/>
        </w:rPr>
        <w:t xml:space="preserve">se refirió a la materia objeto de esta consulta </w:t>
      </w:r>
      <w:r w:rsidR="006D10B1" w:rsidRPr="0083744B">
        <w:rPr>
          <w:rFonts w:ascii="Arial" w:hAnsi="Arial" w:cs="Arial"/>
          <w:color w:val="000000" w:themeColor="text1"/>
          <w:sz w:val="22"/>
          <w:lang w:val="es-ES"/>
        </w:rPr>
        <w:t xml:space="preserve">en los </w:t>
      </w:r>
      <w:r w:rsidR="00583188" w:rsidRPr="0083744B">
        <w:rPr>
          <w:rFonts w:ascii="Arial" w:hAnsi="Arial" w:cs="Arial"/>
          <w:color w:val="000000" w:themeColor="text1"/>
          <w:sz w:val="22"/>
          <w:lang w:val="es-ES"/>
        </w:rPr>
        <w:t>C</w:t>
      </w:r>
      <w:r w:rsidR="006D10B1" w:rsidRPr="0083744B">
        <w:rPr>
          <w:rFonts w:ascii="Arial" w:hAnsi="Arial" w:cs="Arial"/>
          <w:color w:val="000000" w:themeColor="text1"/>
          <w:sz w:val="22"/>
          <w:lang w:val="es-ES"/>
        </w:rPr>
        <w:t xml:space="preserve">onceptos </w:t>
      </w:r>
      <w:r w:rsidR="00503206" w:rsidRPr="0083744B">
        <w:rPr>
          <w:rFonts w:ascii="Arial" w:hAnsi="Arial" w:cs="Arial"/>
          <w:color w:val="000000" w:themeColor="text1"/>
          <w:sz w:val="22"/>
          <w:lang w:val="es-ES"/>
        </w:rPr>
        <w:t>con radicado No.</w:t>
      </w:r>
      <w:r w:rsidR="00070501" w:rsidRPr="0083744B">
        <w:rPr>
          <w:rFonts w:ascii="Arial" w:hAnsi="Arial" w:cs="Arial"/>
          <w:color w:val="000000" w:themeColor="text1"/>
          <w:sz w:val="22"/>
          <w:lang w:val="es-ES"/>
        </w:rPr>
        <w:t xml:space="preserve"> 4201912000003368 del 21 de mayo de 2019,</w:t>
      </w:r>
      <w:r w:rsidR="00503206" w:rsidRPr="0083744B">
        <w:rPr>
          <w:rFonts w:ascii="Arial" w:hAnsi="Arial" w:cs="Arial"/>
          <w:color w:val="000000" w:themeColor="text1"/>
          <w:sz w:val="22"/>
          <w:lang w:val="es-ES"/>
        </w:rPr>
        <w:t xml:space="preserve"> 4201912000003592 del 28 de agosto de 2019, 4201913000005649 del 17 de septiembre de 2019,</w:t>
      </w:r>
      <w:r w:rsidR="00070501" w:rsidRPr="0083744B">
        <w:rPr>
          <w:rFonts w:ascii="Arial" w:hAnsi="Arial" w:cs="Arial"/>
          <w:color w:val="000000" w:themeColor="text1"/>
          <w:sz w:val="22"/>
          <w:lang w:val="es-ES"/>
        </w:rPr>
        <w:t xml:space="preserve"> 4201913000006917 del 7 de octubre de 2019, </w:t>
      </w:r>
      <w:r w:rsidR="00503206" w:rsidRPr="0083744B">
        <w:rPr>
          <w:rFonts w:ascii="Arial" w:hAnsi="Arial" w:cs="Arial"/>
          <w:color w:val="000000" w:themeColor="text1"/>
          <w:sz w:val="22"/>
          <w:lang w:val="es-ES"/>
        </w:rPr>
        <w:t>4201912000006692 del 12 de noviembre de 2019</w:t>
      </w:r>
      <w:r w:rsidR="00D536D4" w:rsidRPr="0083744B">
        <w:rPr>
          <w:rFonts w:ascii="Arial" w:hAnsi="Arial" w:cs="Arial"/>
          <w:color w:val="000000" w:themeColor="text1"/>
          <w:sz w:val="22"/>
          <w:lang w:val="es-ES"/>
        </w:rPr>
        <w:t>. De igual forma</w:t>
      </w:r>
      <w:r w:rsidR="001A09AC" w:rsidRPr="0083744B">
        <w:rPr>
          <w:rFonts w:ascii="Arial" w:hAnsi="Arial" w:cs="Arial"/>
          <w:color w:val="000000" w:themeColor="text1"/>
          <w:sz w:val="22"/>
          <w:lang w:val="es-ES"/>
        </w:rPr>
        <w:t>,</w:t>
      </w:r>
      <w:r w:rsidR="00070501" w:rsidRPr="0083744B">
        <w:rPr>
          <w:rFonts w:ascii="Arial" w:hAnsi="Arial" w:cs="Arial"/>
          <w:color w:val="000000" w:themeColor="text1"/>
          <w:sz w:val="22"/>
          <w:lang w:val="es-ES"/>
        </w:rPr>
        <w:t xml:space="preserve"> en los </w:t>
      </w:r>
      <w:r w:rsidR="009B6C85" w:rsidRPr="0083744B">
        <w:rPr>
          <w:rFonts w:ascii="Arial" w:hAnsi="Arial" w:cs="Arial"/>
          <w:color w:val="000000" w:themeColor="text1"/>
          <w:sz w:val="22"/>
          <w:lang w:val="es-ES"/>
        </w:rPr>
        <w:t>C</w:t>
      </w:r>
      <w:r w:rsidR="00070501" w:rsidRPr="0083744B">
        <w:rPr>
          <w:rFonts w:ascii="Arial" w:hAnsi="Arial" w:cs="Arial"/>
          <w:color w:val="000000" w:themeColor="text1"/>
          <w:sz w:val="22"/>
          <w:lang w:val="es-ES"/>
        </w:rPr>
        <w:t>onceptos</w:t>
      </w:r>
      <w:r w:rsidR="00B35A63" w:rsidRPr="0083744B">
        <w:rPr>
          <w:rFonts w:ascii="Arial" w:hAnsi="Arial" w:cs="Arial"/>
          <w:color w:val="000000" w:themeColor="text1"/>
          <w:sz w:val="22"/>
          <w:lang w:val="es-ES"/>
        </w:rPr>
        <w:t xml:space="preserve"> C-</w:t>
      </w:r>
      <w:r w:rsidR="009B6C85" w:rsidRPr="0083744B">
        <w:rPr>
          <w:rFonts w:ascii="Arial" w:hAnsi="Arial" w:cs="Arial"/>
          <w:color w:val="000000" w:themeColor="text1"/>
          <w:sz w:val="22"/>
          <w:lang w:val="es-ES"/>
        </w:rPr>
        <w:t>0</w:t>
      </w:r>
      <w:r w:rsidR="00B35A63" w:rsidRPr="0083744B">
        <w:rPr>
          <w:rFonts w:ascii="Arial" w:hAnsi="Arial" w:cs="Arial"/>
          <w:color w:val="000000" w:themeColor="text1"/>
          <w:sz w:val="22"/>
          <w:lang w:val="es-ES"/>
        </w:rPr>
        <w:t>90 del 24 de febrero de 2020, C-125 del 3 de marzo de 2020,</w:t>
      </w:r>
      <w:r w:rsidR="00070501" w:rsidRPr="0083744B">
        <w:rPr>
          <w:rFonts w:ascii="Arial" w:hAnsi="Arial" w:cs="Arial"/>
          <w:color w:val="000000" w:themeColor="text1"/>
          <w:sz w:val="22"/>
          <w:lang w:val="es-ES"/>
        </w:rPr>
        <w:t xml:space="preserve"> C-085 de</w:t>
      </w:r>
      <w:r w:rsidR="00B35A63" w:rsidRPr="0083744B">
        <w:rPr>
          <w:rFonts w:ascii="Arial" w:hAnsi="Arial" w:cs="Arial"/>
          <w:color w:val="000000" w:themeColor="text1"/>
          <w:sz w:val="22"/>
          <w:lang w:val="es-ES"/>
        </w:rPr>
        <w:t>l 4 de marzo de</w:t>
      </w:r>
      <w:r w:rsidR="00070501" w:rsidRPr="0083744B">
        <w:rPr>
          <w:rFonts w:ascii="Arial" w:hAnsi="Arial" w:cs="Arial"/>
          <w:color w:val="000000" w:themeColor="text1"/>
          <w:sz w:val="22"/>
          <w:lang w:val="es-ES"/>
        </w:rPr>
        <w:t xml:space="preserve"> 2020,</w:t>
      </w:r>
      <w:r w:rsidR="00B35A63" w:rsidRPr="0083744B">
        <w:rPr>
          <w:rFonts w:ascii="Arial" w:hAnsi="Arial" w:cs="Arial"/>
          <w:color w:val="000000" w:themeColor="text1"/>
          <w:sz w:val="22"/>
          <w:lang w:val="es-ES"/>
        </w:rPr>
        <w:t xml:space="preserve"> C-246 del 3 de abril de 2020, C-273 del 21 de mayo de 2020, C-402 de 22 de junio de 2020, C-585</w:t>
      </w:r>
      <w:r w:rsidR="00583188" w:rsidRPr="0083744B">
        <w:rPr>
          <w:rFonts w:ascii="Arial" w:hAnsi="Arial" w:cs="Arial"/>
          <w:color w:val="000000" w:themeColor="text1"/>
          <w:sz w:val="22"/>
          <w:lang w:val="es-ES"/>
        </w:rPr>
        <w:t xml:space="preserve">, </w:t>
      </w:r>
      <w:r w:rsidR="00B35A63" w:rsidRPr="0083744B">
        <w:rPr>
          <w:rFonts w:ascii="Arial" w:hAnsi="Arial" w:cs="Arial"/>
          <w:color w:val="000000" w:themeColor="text1"/>
          <w:sz w:val="22"/>
          <w:lang w:val="es-ES"/>
        </w:rPr>
        <w:t>C-592 del 14 de septiembre de 2020 y C</w:t>
      </w:r>
      <w:r w:rsidR="00583188" w:rsidRPr="0083744B">
        <w:rPr>
          <w:rFonts w:ascii="Arial" w:hAnsi="Arial" w:cs="Arial"/>
          <w:color w:val="000000" w:themeColor="text1"/>
          <w:sz w:val="22"/>
          <w:lang w:val="es-ES"/>
        </w:rPr>
        <w:t>-</w:t>
      </w:r>
      <w:r w:rsidR="00B35A63" w:rsidRPr="0083744B">
        <w:rPr>
          <w:rFonts w:ascii="Arial" w:hAnsi="Arial" w:cs="Arial"/>
          <w:color w:val="000000" w:themeColor="text1"/>
          <w:sz w:val="22"/>
          <w:lang w:val="es-ES"/>
        </w:rPr>
        <w:t xml:space="preserve">580 del 21 de septiembre de 2020, entre otros. </w:t>
      </w:r>
      <w:r w:rsidR="009B6C85" w:rsidRPr="0083744B">
        <w:rPr>
          <w:rFonts w:ascii="Arial" w:hAnsi="Arial" w:cs="Arial"/>
          <w:color w:val="000000" w:themeColor="text1"/>
          <w:sz w:val="22"/>
          <w:lang w:val="es-ES"/>
        </w:rPr>
        <w:t>Además</w:t>
      </w:r>
      <w:r w:rsidR="001D7C8A" w:rsidRPr="0083744B">
        <w:rPr>
          <w:rFonts w:ascii="Arial" w:hAnsi="Arial" w:cs="Arial"/>
          <w:color w:val="000000" w:themeColor="text1"/>
          <w:sz w:val="22"/>
          <w:lang w:val="es-ES"/>
        </w:rPr>
        <w:t>,</w:t>
      </w:r>
      <w:r w:rsidR="00B35A63" w:rsidRPr="0083744B">
        <w:rPr>
          <w:rFonts w:ascii="Arial" w:hAnsi="Arial" w:cs="Arial"/>
          <w:color w:val="000000" w:themeColor="text1"/>
          <w:sz w:val="22"/>
          <w:lang w:val="es-ES"/>
        </w:rPr>
        <w:t xml:space="preserve"> en los </w:t>
      </w:r>
      <w:r w:rsidR="00583188" w:rsidRPr="0083744B">
        <w:rPr>
          <w:rFonts w:ascii="Arial" w:hAnsi="Arial" w:cs="Arial"/>
          <w:color w:val="000000" w:themeColor="text1"/>
          <w:sz w:val="22"/>
          <w:lang w:val="es-ES"/>
        </w:rPr>
        <w:t>C</w:t>
      </w:r>
      <w:r w:rsidR="00B35A63" w:rsidRPr="0083744B">
        <w:rPr>
          <w:rFonts w:ascii="Arial" w:hAnsi="Arial" w:cs="Arial"/>
          <w:color w:val="000000" w:themeColor="text1"/>
          <w:sz w:val="22"/>
          <w:lang w:val="es-ES"/>
        </w:rPr>
        <w:t>onceptos con radicado</w:t>
      </w:r>
      <w:r w:rsidR="009E3277" w:rsidRPr="0083744B">
        <w:rPr>
          <w:rFonts w:ascii="Arial" w:hAnsi="Arial" w:cs="Arial"/>
          <w:color w:val="000000" w:themeColor="text1"/>
          <w:sz w:val="22"/>
          <w:lang w:val="es-ES"/>
        </w:rPr>
        <w:t xml:space="preserve"> No.</w:t>
      </w:r>
      <w:r w:rsidR="00B35A63" w:rsidRPr="0083744B">
        <w:rPr>
          <w:rFonts w:ascii="Arial" w:hAnsi="Arial" w:cs="Arial"/>
          <w:color w:val="000000" w:themeColor="text1"/>
          <w:sz w:val="22"/>
          <w:lang w:val="es-ES"/>
        </w:rPr>
        <w:t xml:space="preserve"> 4201913000005694 del 3 de octubre de 2019, 4201912000006259 del 13 de noviembre de 2019</w:t>
      </w:r>
      <w:r w:rsidR="009E3277" w:rsidRPr="0083744B">
        <w:rPr>
          <w:rFonts w:ascii="Arial" w:hAnsi="Arial" w:cs="Arial"/>
          <w:color w:val="000000" w:themeColor="text1"/>
          <w:sz w:val="22"/>
          <w:lang w:val="es-ES"/>
        </w:rPr>
        <w:t xml:space="preserve">, </w:t>
      </w:r>
      <w:r w:rsidR="00B35A63" w:rsidRPr="0083744B">
        <w:rPr>
          <w:rFonts w:ascii="Arial" w:hAnsi="Arial" w:cs="Arial"/>
          <w:color w:val="000000" w:themeColor="text1"/>
          <w:sz w:val="22"/>
          <w:lang w:val="es-ES"/>
        </w:rPr>
        <w:t>4201912000007281 del 5 de diciembre de 2019</w:t>
      </w:r>
      <w:r w:rsidR="00D30BDC" w:rsidRPr="0083744B">
        <w:rPr>
          <w:rFonts w:ascii="Arial" w:hAnsi="Arial" w:cs="Arial"/>
          <w:color w:val="000000" w:themeColor="text1"/>
          <w:sz w:val="22"/>
          <w:lang w:val="es-ES"/>
        </w:rPr>
        <w:t xml:space="preserve">, </w:t>
      </w:r>
      <w:r w:rsidR="00B35A63" w:rsidRPr="0083744B">
        <w:rPr>
          <w:rFonts w:ascii="Arial" w:hAnsi="Arial" w:cs="Arial"/>
          <w:color w:val="000000" w:themeColor="text1"/>
          <w:sz w:val="22"/>
          <w:lang w:val="es-ES"/>
        </w:rPr>
        <w:t>4201912000007060 del 11 de diciembre de 2019</w:t>
      </w:r>
      <w:r w:rsidR="00A90CFF" w:rsidRPr="0083744B">
        <w:rPr>
          <w:rFonts w:ascii="Arial" w:hAnsi="Arial" w:cs="Arial"/>
          <w:color w:val="000000" w:themeColor="text1"/>
          <w:sz w:val="22"/>
          <w:lang w:val="es-ES"/>
        </w:rPr>
        <w:t xml:space="preserve">, </w:t>
      </w:r>
      <w:r w:rsidR="00D30BDC" w:rsidRPr="0083744B">
        <w:rPr>
          <w:rFonts w:ascii="Arial" w:hAnsi="Arial" w:cs="Arial"/>
          <w:color w:val="000000" w:themeColor="text1"/>
          <w:sz w:val="22"/>
          <w:lang w:val="es-ES"/>
        </w:rPr>
        <w:t>C</w:t>
      </w:r>
      <w:r w:rsidR="00583188" w:rsidRPr="0083744B">
        <w:rPr>
          <w:rFonts w:ascii="Arial" w:hAnsi="Arial" w:cs="Arial"/>
          <w:color w:val="000000" w:themeColor="text1"/>
          <w:sz w:val="22"/>
          <w:lang w:val="es-ES"/>
        </w:rPr>
        <w:t>-</w:t>
      </w:r>
      <w:r w:rsidR="00D30BDC" w:rsidRPr="0083744B">
        <w:rPr>
          <w:rFonts w:ascii="Arial" w:hAnsi="Arial" w:cs="Arial"/>
          <w:color w:val="000000" w:themeColor="text1"/>
          <w:sz w:val="22"/>
          <w:lang w:val="es-ES"/>
        </w:rPr>
        <w:t>178 de 26 de abril de 2021</w:t>
      </w:r>
      <w:r w:rsidR="00B12769" w:rsidRPr="0083744B">
        <w:rPr>
          <w:rFonts w:ascii="Arial" w:hAnsi="Arial" w:cs="Arial"/>
          <w:color w:val="000000" w:themeColor="text1"/>
          <w:sz w:val="22"/>
          <w:lang w:val="es-ES"/>
        </w:rPr>
        <w:t xml:space="preserve"> y </w:t>
      </w:r>
      <w:r w:rsidR="00A90CFF" w:rsidRPr="0083744B">
        <w:rPr>
          <w:rFonts w:ascii="Arial" w:hAnsi="Arial" w:cs="Arial"/>
          <w:color w:val="000000" w:themeColor="text1"/>
          <w:sz w:val="22"/>
          <w:lang w:val="es-ES"/>
        </w:rPr>
        <w:t xml:space="preserve">C-128 de </w:t>
      </w:r>
      <w:r w:rsidR="00E41DC1" w:rsidRPr="0083744B">
        <w:rPr>
          <w:rFonts w:ascii="Arial" w:hAnsi="Arial" w:cs="Arial"/>
          <w:color w:val="000000" w:themeColor="text1"/>
          <w:sz w:val="22"/>
          <w:lang w:val="es-ES"/>
        </w:rPr>
        <w:t xml:space="preserve">28 de marzo de </w:t>
      </w:r>
      <w:proofErr w:type="gramStart"/>
      <w:r w:rsidR="00E41DC1" w:rsidRPr="0083744B">
        <w:rPr>
          <w:rFonts w:ascii="Arial" w:hAnsi="Arial" w:cs="Arial"/>
          <w:color w:val="000000" w:themeColor="text1"/>
          <w:sz w:val="22"/>
          <w:lang w:val="es-ES"/>
        </w:rPr>
        <w:t>2022,  se</w:t>
      </w:r>
      <w:proofErr w:type="gramEnd"/>
      <w:r w:rsidR="00E41DC1" w:rsidRPr="0083744B">
        <w:rPr>
          <w:rFonts w:ascii="Arial" w:hAnsi="Arial" w:cs="Arial"/>
          <w:color w:val="000000" w:themeColor="text1"/>
          <w:sz w:val="22"/>
          <w:lang w:val="es-ES"/>
        </w:rPr>
        <w:t xml:space="preserve"> analizó el deber de reportar a las cámaras de comercio las multas, sanciones e inhabilidades</w:t>
      </w:r>
      <w:r w:rsidR="00D03ED1" w:rsidRPr="0083744B">
        <w:rPr>
          <w:rFonts w:ascii="Arial" w:hAnsi="Arial" w:cs="Arial"/>
          <w:color w:val="000000" w:themeColor="text1"/>
          <w:sz w:val="22"/>
          <w:lang w:val="es-ES"/>
        </w:rPr>
        <w:t>,</w:t>
      </w:r>
      <w:r w:rsidR="00E41DC1" w:rsidRPr="0083744B">
        <w:rPr>
          <w:rFonts w:ascii="Arial" w:hAnsi="Arial" w:cs="Arial"/>
          <w:color w:val="000000" w:themeColor="text1"/>
          <w:sz w:val="22"/>
          <w:lang w:val="es-ES"/>
        </w:rPr>
        <w:t xml:space="preserve"> </w:t>
      </w:r>
      <w:r w:rsidR="004D4249" w:rsidRPr="0083744B">
        <w:rPr>
          <w:rFonts w:ascii="Arial" w:hAnsi="Arial" w:cs="Arial"/>
          <w:color w:val="000000" w:themeColor="text1"/>
          <w:sz w:val="22"/>
          <w:lang w:val="es-ES"/>
        </w:rPr>
        <w:t xml:space="preserve">durante la ejecución del contrato. </w:t>
      </w:r>
      <w:r w:rsidR="001D7C8A" w:rsidRPr="0083744B">
        <w:rPr>
          <w:rFonts w:ascii="Arial" w:hAnsi="Arial" w:cs="Arial"/>
          <w:color w:val="000000" w:themeColor="text1"/>
          <w:sz w:val="22"/>
          <w:lang w:val="es-ES"/>
        </w:rPr>
        <w:t>Algunos de los argumentos entonces expuesto</w:t>
      </w:r>
      <w:r w:rsidR="00064065" w:rsidRPr="0083744B">
        <w:rPr>
          <w:rFonts w:ascii="Arial" w:hAnsi="Arial" w:cs="Arial"/>
          <w:color w:val="000000" w:themeColor="text1"/>
          <w:sz w:val="22"/>
          <w:lang w:val="es-ES"/>
        </w:rPr>
        <w:t>s</w:t>
      </w:r>
      <w:r w:rsidR="001D7C8A" w:rsidRPr="0083744B">
        <w:rPr>
          <w:rFonts w:ascii="Arial" w:hAnsi="Arial" w:cs="Arial"/>
          <w:color w:val="000000" w:themeColor="text1"/>
          <w:sz w:val="22"/>
          <w:lang w:val="es-ES"/>
        </w:rPr>
        <w:t xml:space="preserve"> se reiteran a continuación</w:t>
      </w:r>
      <w:r w:rsidR="00583188" w:rsidRPr="0083744B">
        <w:rPr>
          <w:rFonts w:ascii="Arial" w:hAnsi="Arial" w:cs="Arial"/>
          <w:color w:val="000000" w:themeColor="text1"/>
          <w:sz w:val="22"/>
          <w:lang w:val="es-ES"/>
        </w:rPr>
        <w:t>:</w:t>
      </w:r>
    </w:p>
    <w:p w14:paraId="4D3146A4" w14:textId="77777777" w:rsidR="00C62FA4" w:rsidRPr="00D96938" w:rsidRDefault="00C62FA4" w:rsidP="00C62FA4">
      <w:pPr>
        <w:spacing w:line="276" w:lineRule="auto"/>
        <w:jc w:val="both"/>
        <w:rPr>
          <w:rFonts w:ascii="Arial" w:hAnsi="Arial" w:cs="Arial"/>
          <w:b/>
          <w:bCs/>
          <w:iCs/>
          <w:color w:val="000000" w:themeColor="text1"/>
          <w:sz w:val="22"/>
          <w:lang w:val="es-ES_tradnl"/>
        </w:rPr>
      </w:pPr>
    </w:p>
    <w:p w14:paraId="17E8A3C2" w14:textId="7BECF99F" w:rsidR="00C62FA4" w:rsidRPr="00D96938" w:rsidRDefault="00C62FA4" w:rsidP="00C62FA4">
      <w:pPr>
        <w:spacing w:line="276" w:lineRule="auto"/>
        <w:jc w:val="both"/>
        <w:rPr>
          <w:rFonts w:ascii="Arial" w:hAnsi="Arial" w:cs="Arial"/>
          <w:b/>
          <w:bCs/>
          <w:iCs/>
          <w:color w:val="000000" w:themeColor="text1"/>
          <w:sz w:val="22"/>
          <w:lang w:val="es-ES_tradnl"/>
        </w:rPr>
      </w:pPr>
      <w:r w:rsidRPr="00D96938">
        <w:rPr>
          <w:rFonts w:ascii="Arial" w:hAnsi="Arial" w:cs="Arial"/>
          <w:b/>
          <w:bCs/>
          <w:iCs/>
          <w:color w:val="000000" w:themeColor="text1"/>
          <w:sz w:val="22"/>
          <w:lang w:val="es-ES_tradnl"/>
        </w:rPr>
        <w:t xml:space="preserve">2.1. Consideraciones generales sobre los regímenes especiales en materia de contratación pública </w:t>
      </w:r>
    </w:p>
    <w:p w14:paraId="52DEFBAD" w14:textId="77777777" w:rsidR="00C62FA4" w:rsidRPr="00D96938" w:rsidRDefault="00C62FA4" w:rsidP="00C62FA4">
      <w:pPr>
        <w:spacing w:line="276" w:lineRule="auto"/>
        <w:jc w:val="both"/>
        <w:rPr>
          <w:rFonts w:ascii="Arial" w:hAnsi="Arial" w:cs="Arial"/>
          <w:b/>
          <w:bCs/>
          <w:iCs/>
          <w:color w:val="000000" w:themeColor="text1"/>
          <w:sz w:val="22"/>
          <w:lang w:val="es-ES_tradnl"/>
        </w:rPr>
      </w:pPr>
    </w:p>
    <w:p w14:paraId="4F6A1083" w14:textId="77777777" w:rsidR="00C62FA4" w:rsidRPr="00D96938" w:rsidRDefault="00C62FA4" w:rsidP="00C62FA4">
      <w:pPr>
        <w:tabs>
          <w:tab w:val="left" w:pos="426"/>
        </w:tabs>
        <w:spacing w:line="276" w:lineRule="auto"/>
        <w:jc w:val="both"/>
        <w:rPr>
          <w:rFonts w:ascii="Arial" w:eastAsia="Calibri" w:hAnsi="Arial" w:cs="Arial"/>
          <w:b/>
          <w:color w:val="000000" w:themeColor="text1"/>
          <w:sz w:val="22"/>
          <w:lang w:val="es-ES_tradnl"/>
        </w:rPr>
      </w:pPr>
      <w:r w:rsidRPr="00D96938">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33084450" w14:textId="77777777" w:rsidR="00C62FA4" w:rsidRPr="00D96938" w:rsidRDefault="00C62FA4" w:rsidP="00C62FA4">
      <w:pPr>
        <w:spacing w:before="120" w:after="120" w:line="276" w:lineRule="auto"/>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D96938">
        <w:rPr>
          <w:rStyle w:val="Refdenotaalpie"/>
          <w:rFonts w:ascii="Arial" w:eastAsia="Calibri" w:hAnsi="Arial" w:cs="Arial"/>
          <w:color w:val="000000" w:themeColor="text1"/>
          <w:sz w:val="22"/>
          <w:lang w:val="es-ES_tradnl"/>
        </w:rPr>
        <w:footnoteReference w:id="3"/>
      </w:r>
      <w:r w:rsidRPr="00D96938">
        <w:rPr>
          <w:rFonts w:ascii="Arial" w:eastAsia="Calibri" w:hAnsi="Arial" w:cs="Arial"/>
          <w:color w:val="000000" w:themeColor="text1"/>
          <w:sz w:val="22"/>
          <w:lang w:val="es-ES_tradnl"/>
        </w:rPr>
        <w:t>.</w:t>
      </w:r>
    </w:p>
    <w:p w14:paraId="5F3178EB" w14:textId="77777777" w:rsidR="00C62FA4" w:rsidRPr="00D96938" w:rsidRDefault="00C62FA4" w:rsidP="00C62FA4">
      <w:pPr>
        <w:spacing w:line="276" w:lineRule="auto"/>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lastRenderedPageBreak/>
        <w:tab/>
        <w:t xml:space="preserve">No </w:t>
      </w:r>
      <w:proofErr w:type="gramStart"/>
      <w:r w:rsidRPr="00D96938">
        <w:rPr>
          <w:rFonts w:ascii="Arial" w:eastAsia="Calibri" w:hAnsi="Arial" w:cs="Arial"/>
          <w:color w:val="000000" w:themeColor="text1"/>
          <w:sz w:val="22"/>
          <w:lang w:val="es-ES_tradnl"/>
        </w:rPr>
        <w:t>obstante</w:t>
      </w:r>
      <w:proofErr w:type="gramEnd"/>
      <w:r w:rsidRPr="00D96938">
        <w:rPr>
          <w:rFonts w:ascii="Arial" w:eastAsia="Calibri" w:hAnsi="Arial" w:cs="Arial"/>
          <w:color w:val="000000" w:themeColor="text1"/>
          <w:sz w:val="22"/>
          <w:lang w:val="es-ES_tradnl"/>
        </w:rPr>
        <w:t xml:space="preserv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07F8B0A2" w14:textId="77777777" w:rsidR="00C62FA4" w:rsidRPr="00D96938" w:rsidRDefault="00C62FA4" w:rsidP="00C62FA4">
      <w:pPr>
        <w:jc w:val="both"/>
        <w:rPr>
          <w:rFonts w:ascii="Arial" w:eastAsia="Calibri" w:hAnsi="Arial" w:cs="Arial"/>
          <w:color w:val="000000" w:themeColor="text1"/>
          <w:sz w:val="22"/>
          <w:lang w:val="es-ES_tradnl"/>
        </w:rPr>
      </w:pPr>
    </w:p>
    <w:p w14:paraId="6A9CE17C" w14:textId="77777777" w:rsidR="00C62FA4" w:rsidRPr="00D96938" w:rsidRDefault="00C62FA4" w:rsidP="00C62FA4">
      <w:pPr>
        <w:ind w:left="709" w:right="709"/>
        <w:jc w:val="both"/>
        <w:rPr>
          <w:rFonts w:ascii="Arial" w:eastAsia="Calibri" w:hAnsi="Arial" w:cs="Arial"/>
          <w:color w:val="000000" w:themeColor="text1"/>
          <w:sz w:val="21"/>
          <w:szCs w:val="21"/>
          <w:lang w:val="es-ES_tradnl"/>
        </w:rPr>
      </w:pPr>
      <w:r w:rsidRPr="00D96938">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1F833973" w14:textId="77777777" w:rsidR="00C62FA4" w:rsidRPr="00D96938" w:rsidRDefault="00C62FA4" w:rsidP="00C62FA4">
      <w:pPr>
        <w:ind w:left="709" w:right="709"/>
        <w:jc w:val="both"/>
        <w:rPr>
          <w:rFonts w:ascii="Arial" w:eastAsia="Calibri" w:hAnsi="Arial" w:cs="Arial"/>
          <w:color w:val="000000" w:themeColor="text1"/>
          <w:sz w:val="21"/>
          <w:szCs w:val="21"/>
          <w:lang w:val="es-ES_tradnl"/>
        </w:rPr>
      </w:pPr>
    </w:p>
    <w:p w14:paraId="083FBDBC" w14:textId="77777777" w:rsidR="00C62FA4" w:rsidRPr="00D96938" w:rsidRDefault="00C62FA4" w:rsidP="00C62FA4">
      <w:pPr>
        <w:ind w:left="709" w:right="709"/>
        <w:jc w:val="both"/>
        <w:rPr>
          <w:rFonts w:ascii="Arial" w:eastAsia="Calibri" w:hAnsi="Arial" w:cs="Arial"/>
          <w:color w:val="000000" w:themeColor="text1"/>
          <w:sz w:val="21"/>
          <w:szCs w:val="21"/>
          <w:lang w:val="es-ES_tradnl"/>
        </w:rPr>
      </w:pPr>
      <w:r w:rsidRPr="00D96938">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D96938">
        <w:rPr>
          <w:rFonts w:ascii="Arial" w:eastAsia="Calibri" w:hAnsi="Arial" w:cs="Arial"/>
          <w:color w:val="000000" w:themeColor="text1"/>
          <w:sz w:val="21"/>
          <w:szCs w:val="21"/>
          <w:lang w:val="es-ES_tradnl"/>
        </w:rPr>
        <w:t>interpretar</w:t>
      </w:r>
      <w:proofErr w:type="gramEnd"/>
      <w:r w:rsidRPr="00D96938">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105E7751" w14:textId="77777777" w:rsidR="00C62FA4" w:rsidRPr="00D96938" w:rsidRDefault="00C62FA4" w:rsidP="00C62FA4">
      <w:pPr>
        <w:ind w:left="709" w:right="709"/>
        <w:jc w:val="both"/>
        <w:rPr>
          <w:rFonts w:ascii="Arial" w:eastAsia="Calibri" w:hAnsi="Arial" w:cs="Arial"/>
          <w:color w:val="000000" w:themeColor="text1"/>
          <w:sz w:val="21"/>
          <w:szCs w:val="21"/>
          <w:lang w:val="es-ES_tradnl"/>
        </w:rPr>
      </w:pPr>
    </w:p>
    <w:p w14:paraId="131423BD" w14:textId="77777777" w:rsidR="00C62FA4" w:rsidRPr="00D96938" w:rsidRDefault="00C62FA4" w:rsidP="00C62FA4">
      <w:pPr>
        <w:ind w:left="709" w:right="709"/>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D96938">
        <w:rPr>
          <w:rStyle w:val="Refdenotaalpie"/>
          <w:rFonts w:ascii="Arial" w:eastAsia="Calibri" w:hAnsi="Arial" w:cs="Arial"/>
          <w:color w:val="000000" w:themeColor="text1"/>
          <w:sz w:val="22"/>
          <w:lang w:val="es-ES_tradnl"/>
        </w:rPr>
        <w:footnoteReference w:id="4"/>
      </w:r>
      <w:r w:rsidRPr="00D96938">
        <w:rPr>
          <w:rFonts w:ascii="Arial" w:eastAsia="Calibri" w:hAnsi="Arial" w:cs="Arial"/>
          <w:color w:val="000000" w:themeColor="text1"/>
          <w:sz w:val="22"/>
          <w:lang w:val="es-ES_tradnl"/>
        </w:rPr>
        <w:t>.</w:t>
      </w:r>
    </w:p>
    <w:p w14:paraId="06ABBDD0" w14:textId="77777777" w:rsidR="00C62FA4" w:rsidRPr="00D96938" w:rsidRDefault="00C62FA4" w:rsidP="00C62FA4">
      <w:pPr>
        <w:spacing w:line="276" w:lineRule="auto"/>
        <w:jc w:val="both"/>
        <w:rPr>
          <w:rFonts w:ascii="Arial" w:eastAsia="Calibri" w:hAnsi="Arial" w:cs="Arial"/>
          <w:color w:val="000000" w:themeColor="text1"/>
          <w:sz w:val="22"/>
          <w:lang w:val="es-ES_tradnl"/>
        </w:rPr>
      </w:pPr>
    </w:p>
    <w:p w14:paraId="059D983A" w14:textId="77777777" w:rsidR="00C62FA4" w:rsidRPr="00D96938" w:rsidRDefault="00C62FA4" w:rsidP="00C62FA4">
      <w:pPr>
        <w:spacing w:line="276" w:lineRule="auto"/>
        <w:ind w:firstLine="708"/>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 xml:space="preserve">Considerando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w:t>
      </w:r>
      <w:r w:rsidRPr="00D96938">
        <w:rPr>
          <w:rFonts w:ascii="Arial" w:eastAsia="Calibri" w:hAnsi="Arial" w:cs="Arial"/>
          <w:color w:val="000000" w:themeColor="text1"/>
          <w:sz w:val="22"/>
          <w:lang w:val="es-ES_tradnl"/>
        </w:rPr>
        <w:lastRenderedPageBreak/>
        <w:t>general. Lo anterior, sin perjuicio de que algunas de estas reglas se establezcan, complementen o detallen en los documentos que se expiden en desarrollo de sus procedimientos contractuales.</w:t>
      </w:r>
    </w:p>
    <w:p w14:paraId="09E59D60" w14:textId="77777777" w:rsidR="00C62FA4" w:rsidRPr="00D96938" w:rsidRDefault="00C62FA4" w:rsidP="00C62FA4">
      <w:pPr>
        <w:spacing w:before="120" w:after="120" w:line="276" w:lineRule="auto"/>
        <w:ind w:firstLine="708"/>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652A5F97" w14:textId="77777777" w:rsidR="00C62FA4" w:rsidRPr="00D96938" w:rsidRDefault="00C62FA4" w:rsidP="00C62FA4">
      <w:pPr>
        <w:spacing w:before="120" w:line="276" w:lineRule="auto"/>
        <w:ind w:firstLine="709"/>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Como se explicó, el hecho de que algunas entidades estatales se rijan por el derecho privado en materia contractual no puede entenderse como una negación de lo que establece el artículo 13 de la Ley 1150 de 2007.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contratación estatal; y ahora también publicar su actividad contractual en el SECOP II, de conformidad con el artículo 53 de la Ley 2195 de 2022</w:t>
      </w:r>
      <w:r w:rsidRPr="00D96938">
        <w:rPr>
          <w:rStyle w:val="Refdenotaalpie"/>
          <w:rFonts w:ascii="Arial" w:eastAsia="Calibri" w:hAnsi="Arial" w:cs="Arial"/>
          <w:color w:val="000000" w:themeColor="text1"/>
          <w:sz w:val="22"/>
          <w:lang w:val="es-ES_tradnl"/>
        </w:rPr>
        <w:footnoteReference w:id="5"/>
      </w:r>
      <w:r w:rsidRPr="00D96938">
        <w:rPr>
          <w:rFonts w:ascii="Arial" w:eastAsia="Calibri" w:hAnsi="Arial" w:cs="Arial"/>
          <w:color w:val="000000" w:themeColor="text1"/>
          <w:sz w:val="22"/>
          <w:lang w:val="es-ES_tradnl"/>
        </w:rPr>
        <w:t xml:space="preserve">. </w:t>
      </w:r>
    </w:p>
    <w:p w14:paraId="25A21C91" w14:textId="77777777" w:rsidR="00C62FA4" w:rsidRPr="00D96938" w:rsidRDefault="00C62FA4" w:rsidP="00C62FA4">
      <w:pPr>
        <w:spacing w:before="120" w:line="276" w:lineRule="auto"/>
        <w:ind w:firstLine="709"/>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Adicionalmente, las entidades estatales que, por disposición legal, cuentan con un régimen especial</w:t>
      </w:r>
      <w:r w:rsidRPr="00D96938">
        <w:rPr>
          <w:rStyle w:val="Refdenotaalpie"/>
          <w:rFonts w:ascii="Arial" w:eastAsia="Calibri" w:hAnsi="Arial" w:cs="Arial"/>
          <w:color w:val="000000" w:themeColor="text1"/>
          <w:sz w:val="22"/>
          <w:lang w:val="es-ES_tradnl"/>
        </w:rPr>
        <w:footnoteReference w:id="6"/>
      </w:r>
      <w:r w:rsidRPr="00D96938">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D96938">
        <w:rPr>
          <w:rStyle w:val="Refdenotaalpie"/>
          <w:rFonts w:ascii="Arial" w:eastAsia="Calibri" w:hAnsi="Arial" w:cs="Arial"/>
          <w:color w:val="000000" w:themeColor="text1"/>
          <w:sz w:val="22"/>
          <w:lang w:val="es-ES_tradnl"/>
        </w:rPr>
        <w:footnoteReference w:id="7"/>
      </w:r>
      <w:r w:rsidRPr="00D96938">
        <w:rPr>
          <w:rFonts w:ascii="Arial" w:eastAsia="Calibri" w:hAnsi="Arial" w:cs="Arial"/>
          <w:color w:val="000000" w:themeColor="text1"/>
          <w:sz w:val="22"/>
          <w:lang w:val="es-ES_tradnl"/>
        </w:rPr>
        <w:t xml:space="preserve">– pueden expedir un reglamento interno de contratación –comúnmente denominado </w:t>
      </w:r>
      <w:r w:rsidRPr="00D96938">
        <w:rPr>
          <w:rFonts w:ascii="Arial" w:eastAsia="Calibri" w:hAnsi="Arial" w:cs="Arial"/>
          <w:i/>
          <w:color w:val="000000" w:themeColor="text1"/>
          <w:sz w:val="22"/>
          <w:lang w:val="es-ES_tradnl"/>
        </w:rPr>
        <w:t>manual de contratación</w:t>
      </w:r>
      <w:r w:rsidRPr="00D96938">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w:t>
      </w:r>
      <w:r w:rsidRPr="00D96938">
        <w:rPr>
          <w:rFonts w:ascii="Arial" w:eastAsia="Calibri" w:hAnsi="Arial" w:cs="Arial"/>
          <w:color w:val="000000" w:themeColor="text1"/>
          <w:sz w:val="22"/>
          <w:lang w:val="es-ES_tradnl"/>
        </w:rPr>
        <w:lastRenderedPageBreak/>
        <w:t xml:space="preserve">función administrativa, dirigida a producir efectos jurídicos, tiene vocación de permanencia en el tiempo. Esto significa que el manual de contratación despliega sus efectos de manera indefinida en el futuro, no agotándose con una sola aplicación. </w:t>
      </w:r>
    </w:p>
    <w:p w14:paraId="572EB20D" w14:textId="625ED68C" w:rsidR="00C62FA4" w:rsidRPr="00D96938" w:rsidRDefault="00C62FA4" w:rsidP="00C62FA4">
      <w:pPr>
        <w:spacing w:before="120" w:line="276" w:lineRule="auto"/>
        <w:ind w:firstLine="709"/>
        <w:jc w:val="both"/>
        <w:rPr>
          <w:rFonts w:ascii="Arial" w:eastAsia="Calibri" w:hAnsi="Arial" w:cs="Arial"/>
          <w:color w:val="000000" w:themeColor="text1"/>
          <w:sz w:val="22"/>
          <w:lang w:val="es-ES_tradnl"/>
        </w:rPr>
      </w:pPr>
      <w:r w:rsidRPr="00D96938">
        <w:rPr>
          <w:rFonts w:ascii="Arial" w:eastAsia="Calibri" w:hAnsi="Arial" w:cs="Arial"/>
          <w:color w:val="000000" w:themeColor="text1"/>
          <w:sz w:val="22"/>
          <w:lang w:val="es-ES_tradnl"/>
        </w:rPr>
        <w:t xml:space="preserve">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D96938">
        <w:rPr>
          <w:rFonts w:ascii="Arial" w:eastAsia="Calibri" w:hAnsi="Arial" w:cs="Arial"/>
          <w:color w:val="000000" w:themeColor="text1"/>
          <w:sz w:val="22"/>
          <w:lang w:val="es-ES_tradnl"/>
        </w:rPr>
        <w:t>ii</w:t>
      </w:r>
      <w:proofErr w:type="spellEnd"/>
      <w:r w:rsidRPr="00D96938">
        <w:rPr>
          <w:rFonts w:ascii="Arial" w:eastAsia="Calibri" w:hAnsi="Arial" w:cs="Arial"/>
          <w:color w:val="000000" w:themeColor="text1"/>
          <w:sz w:val="22"/>
          <w:lang w:val="es-ES_tradnl"/>
        </w:rPr>
        <w:t xml:space="preserve">) sanciones, sin perjuicio de las que pueden pactar de acuerdo con las normas civiles y comerciales, </w:t>
      </w:r>
      <w:proofErr w:type="spellStart"/>
      <w:r w:rsidRPr="00D96938">
        <w:rPr>
          <w:rFonts w:ascii="Arial" w:eastAsia="Calibri" w:hAnsi="Arial" w:cs="Arial"/>
          <w:color w:val="000000" w:themeColor="text1"/>
          <w:sz w:val="22"/>
          <w:lang w:val="es-ES_tradnl"/>
        </w:rPr>
        <w:t>i</w:t>
      </w:r>
      <w:r w:rsidR="007A4402">
        <w:rPr>
          <w:rFonts w:ascii="Arial" w:eastAsia="Calibri" w:hAnsi="Arial" w:cs="Arial"/>
          <w:color w:val="000000" w:themeColor="text1"/>
          <w:sz w:val="22"/>
          <w:lang w:val="es-ES_tradnl"/>
        </w:rPr>
        <w:t>ii</w:t>
      </w:r>
      <w:proofErr w:type="spellEnd"/>
      <w:r w:rsidRPr="00D96938">
        <w:rPr>
          <w:rFonts w:ascii="Arial" w:eastAsia="Calibri" w:hAnsi="Arial" w:cs="Arial"/>
          <w:color w:val="000000" w:themeColor="text1"/>
          <w:sz w:val="22"/>
          <w:lang w:val="es-ES_tradnl"/>
        </w:rPr>
        <w:t xml:space="preserve">) causales de inhabilidad e incompatibilidad, </w:t>
      </w:r>
      <w:proofErr w:type="spellStart"/>
      <w:r w:rsidR="007A4402">
        <w:rPr>
          <w:rFonts w:ascii="Arial" w:eastAsia="Calibri" w:hAnsi="Arial" w:cs="Arial"/>
          <w:color w:val="000000" w:themeColor="text1"/>
          <w:sz w:val="22"/>
          <w:lang w:val="es-ES_tradnl"/>
        </w:rPr>
        <w:t>i</w:t>
      </w:r>
      <w:r w:rsidRPr="00D96938">
        <w:rPr>
          <w:rFonts w:ascii="Arial" w:eastAsia="Calibri" w:hAnsi="Arial" w:cs="Arial"/>
          <w:color w:val="000000" w:themeColor="text1"/>
          <w:sz w:val="22"/>
          <w:lang w:val="es-ES_tradnl"/>
        </w:rPr>
        <w:t>v</w:t>
      </w:r>
      <w:proofErr w:type="spellEnd"/>
      <w:r w:rsidRPr="00D96938">
        <w:rPr>
          <w:rFonts w:ascii="Arial" w:eastAsia="Calibri" w:hAnsi="Arial" w:cs="Arial"/>
          <w:color w:val="000000" w:themeColor="text1"/>
          <w:sz w:val="22"/>
          <w:lang w:val="es-ES_tradnl"/>
        </w:rPr>
        <w:t>) el principio de anualidad del gasto, y v)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3BBB72CD" w14:textId="77777777" w:rsidR="001D7C8A" w:rsidRPr="0083744B" w:rsidRDefault="001D7C8A" w:rsidP="001D7C8A">
      <w:pPr>
        <w:spacing w:line="276" w:lineRule="auto"/>
        <w:jc w:val="both"/>
        <w:rPr>
          <w:rFonts w:ascii="Arial" w:hAnsi="Arial" w:cs="Arial"/>
          <w:b/>
          <w:bCs/>
          <w:color w:val="000000" w:themeColor="text1"/>
          <w:sz w:val="22"/>
        </w:rPr>
      </w:pPr>
    </w:p>
    <w:p w14:paraId="5A2BD6F4" w14:textId="6B599EAF" w:rsidR="001D7C8A" w:rsidRPr="0083744B" w:rsidRDefault="001D7C8A" w:rsidP="00244069">
      <w:pPr>
        <w:spacing w:line="276" w:lineRule="auto"/>
        <w:jc w:val="both"/>
        <w:rPr>
          <w:rFonts w:ascii="Arial" w:hAnsi="Arial" w:cs="Arial"/>
          <w:b/>
          <w:bCs/>
          <w:color w:val="000000" w:themeColor="text1"/>
          <w:sz w:val="22"/>
        </w:rPr>
      </w:pPr>
      <w:r w:rsidRPr="0083744B">
        <w:rPr>
          <w:rFonts w:ascii="Arial" w:hAnsi="Arial" w:cs="Arial"/>
          <w:b/>
          <w:bCs/>
          <w:color w:val="000000" w:themeColor="text1"/>
          <w:sz w:val="22"/>
        </w:rPr>
        <w:t>2.</w:t>
      </w:r>
      <w:r w:rsidR="00C62FA4" w:rsidRPr="0083744B">
        <w:rPr>
          <w:rFonts w:ascii="Arial" w:hAnsi="Arial" w:cs="Arial"/>
          <w:b/>
          <w:bCs/>
          <w:color w:val="000000" w:themeColor="text1"/>
          <w:sz w:val="22"/>
        </w:rPr>
        <w:t>2</w:t>
      </w:r>
      <w:r w:rsidRPr="0083744B">
        <w:rPr>
          <w:rFonts w:ascii="Arial" w:hAnsi="Arial" w:cs="Arial"/>
          <w:b/>
          <w:bCs/>
          <w:color w:val="000000" w:themeColor="text1"/>
          <w:sz w:val="22"/>
        </w:rPr>
        <w:t>. El régimen de inhabilidades e incompatibilidades en la contratación estatal</w:t>
      </w:r>
    </w:p>
    <w:p w14:paraId="39856C6C" w14:textId="77777777" w:rsidR="006978FD" w:rsidRPr="0083744B" w:rsidRDefault="006978FD" w:rsidP="00244069">
      <w:pPr>
        <w:spacing w:line="276" w:lineRule="auto"/>
        <w:jc w:val="both"/>
        <w:rPr>
          <w:rFonts w:ascii="Arial" w:hAnsi="Arial" w:cs="Arial"/>
          <w:b/>
          <w:bCs/>
          <w:color w:val="000000" w:themeColor="text1"/>
          <w:sz w:val="22"/>
        </w:rPr>
      </w:pPr>
    </w:p>
    <w:p w14:paraId="1A8179DD" w14:textId="594F8957" w:rsidR="0096318D" w:rsidRPr="0083744B" w:rsidRDefault="0096318D" w:rsidP="00244069">
      <w:pPr>
        <w:spacing w:after="120" w:line="276" w:lineRule="auto"/>
        <w:jc w:val="both"/>
        <w:rPr>
          <w:rFonts w:ascii="Arial" w:eastAsia="Calibri" w:hAnsi="Arial" w:cs="Arial"/>
          <w:color w:val="000000" w:themeColor="text1"/>
          <w:sz w:val="22"/>
          <w:lang w:val="es-ES_tradnl"/>
        </w:rPr>
      </w:pPr>
      <w:r w:rsidRPr="0083744B">
        <w:rPr>
          <w:rFonts w:ascii="Arial" w:eastAsia="Calibri" w:hAnsi="Arial" w:cs="Arial"/>
          <w:color w:val="000000" w:themeColor="text1"/>
          <w:sz w:val="22"/>
        </w:rPr>
        <w:t>En la contratación estatal, la capacidad también es un requisito de validez de los contratos, tanto en el régimen de las entidades sujetas al Estatuto General de Contratación de la Administración Pública</w:t>
      </w:r>
      <w:r w:rsidRPr="0083744B">
        <w:rPr>
          <w:rFonts w:ascii="Arial" w:eastAsia="Calibri" w:hAnsi="Arial" w:cs="Arial"/>
          <w:color w:val="000000" w:themeColor="text1"/>
          <w:sz w:val="22"/>
          <w:vertAlign w:val="superscript"/>
        </w:rPr>
        <w:footnoteReference w:id="8"/>
      </w:r>
      <w:r w:rsidRPr="0083744B">
        <w:rPr>
          <w:rFonts w:ascii="Arial" w:eastAsia="Calibri" w:hAnsi="Arial" w:cs="Arial"/>
          <w:color w:val="000000" w:themeColor="text1"/>
          <w:sz w:val="22"/>
        </w:rPr>
        <w:t xml:space="preserve"> como en el de las exceptuadas de aquel</w:t>
      </w:r>
      <w:r w:rsidRPr="0083744B">
        <w:rPr>
          <w:rFonts w:ascii="Arial" w:eastAsia="Calibri" w:hAnsi="Arial" w:cs="Arial"/>
          <w:color w:val="000000" w:themeColor="text1"/>
          <w:sz w:val="22"/>
          <w:vertAlign w:val="superscript"/>
        </w:rPr>
        <w:footnoteReference w:id="9"/>
      </w:r>
      <w:r w:rsidRPr="0083744B">
        <w:rPr>
          <w:rFonts w:ascii="Arial" w:eastAsia="Calibri" w:hAnsi="Arial" w:cs="Arial"/>
          <w:color w:val="000000" w:themeColor="text1"/>
          <w:sz w:val="22"/>
        </w:rPr>
        <w:t xml:space="preserve">. </w:t>
      </w:r>
      <w:r w:rsidR="00ED7C47" w:rsidRPr="0083744B">
        <w:rPr>
          <w:rFonts w:ascii="Arial" w:eastAsia="Calibri" w:hAnsi="Arial" w:cs="Arial"/>
          <w:color w:val="000000" w:themeColor="text1"/>
          <w:sz w:val="22"/>
        </w:rPr>
        <w:t>En relación con la capacidad jurídica</w:t>
      </w:r>
      <w:r w:rsidRPr="0083744B">
        <w:rPr>
          <w:rFonts w:ascii="Arial" w:eastAsia="Calibri" w:hAnsi="Arial" w:cs="Arial"/>
          <w:color w:val="000000" w:themeColor="text1"/>
          <w:sz w:val="22"/>
        </w:rPr>
        <w:t xml:space="preserve">, se destaca el régimen de inhabilidades e incompatibilidades como un conjunto de normas que imponen restricciones </w:t>
      </w:r>
      <w:r w:rsidR="0033505E" w:rsidRPr="0083744B">
        <w:rPr>
          <w:rFonts w:ascii="Arial" w:eastAsia="Calibri" w:hAnsi="Arial" w:cs="Arial"/>
          <w:color w:val="000000" w:themeColor="text1"/>
          <w:sz w:val="22"/>
        </w:rPr>
        <w:t>a</w:t>
      </w:r>
      <w:r w:rsidRPr="0083744B">
        <w:rPr>
          <w:rFonts w:ascii="Arial" w:eastAsia="Calibri" w:hAnsi="Arial" w:cs="Arial"/>
          <w:color w:val="000000" w:themeColor="text1"/>
          <w:sz w:val="22"/>
        </w:rPr>
        <w:t xml:space="preserve"> los sujetos que, eventualmente, pretendan</w:t>
      </w:r>
      <w:r w:rsidRPr="0083744B">
        <w:rPr>
          <w:rFonts w:ascii="Arial" w:eastAsia="Calibri" w:hAnsi="Arial" w:cs="Arial"/>
          <w:color w:val="000000" w:themeColor="text1"/>
          <w:sz w:val="22"/>
          <w:lang w:val="es-ES_tradnl"/>
        </w:rPr>
        <w:t xml:space="preserve"> participar en los procedimientos de selección o celebrar contratos con las entidades estatales</w:t>
      </w:r>
      <w:r w:rsidRPr="0083744B">
        <w:rPr>
          <w:rFonts w:ascii="Arial" w:eastAsia="Calibri" w:hAnsi="Arial" w:cs="Arial"/>
          <w:color w:val="000000" w:themeColor="text1"/>
          <w:sz w:val="22"/>
          <w:vertAlign w:val="superscript"/>
          <w:lang w:val="es-ES_tradnl"/>
        </w:rPr>
        <w:footnoteReference w:id="10"/>
      </w:r>
      <w:r w:rsidRPr="0083744B">
        <w:rPr>
          <w:rFonts w:ascii="Arial" w:eastAsia="Calibri" w:hAnsi="Arial" w:cs="Arial"/>
          <w:color w:val="000000" w:themeColor="text1"/>
          <w:sz w:val="22"/>
          <w:lang w:val="es-ES_tradnl"/>
        </w:rPr>
        <w:t>.</w:t>
      </w:r>
    </w:p>
    <w:p w14:paraId="7630A8BB" w14:textId="507BA80C" w:rsidR="0096318D" w:rsidRPr="0083744B" w:rsidRDefault="0096318D" w:rsidP="00B75B2B">
      <w:pPr>
        <w:spacing w:before="120" w:after="120" w:line="276" w:lineRule="auto"/>
        <w:ind w:firstLine="709"/>
        <w:jc w:val="both"/>
        <w:rPr>
          <w:rFonts w:ascii="Arial" w:eastAsia="Calibri" w:hAnsi="Arial" w:cs="Arial"/>
          <w:color w:val="000000" w:themeColor="text1"/>
          <w:sz w:val="22"/>
          <w:lang w:val="es-ES_tradnl"/>
        </w:rPr>
      </w:pPr>
      <w:r w:rsidRPr="0083744B">
        <w:rPr>
          <w:rFonts w:ascii="Arial" w:eastAsia="Calibri" w:hAnsi="Arial" w:cs="Arial"/>
          <w:color w:val="000000" w:themeColor="text1"/>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w:t>
      </w:r>
      <w:r w:rsidRPr="0083744B">
        <w:rPr>
          <w:rFonts w:ascii="Arial" w:eastAsia="Calibri" w:hAnsi="Arial" w:cs="Arial"/>
          <w:color w:val="000000" w:themeColor="text1"/>
          <w:sz w:val="22"/>
          <w:lang w:val="es-ES_tradnl"/>
        </w:rPr>
        <w:lastRenderedPageBreak/>
        <w:t xml:space="preserve">la función administrativa y de la gestión fiscal, especialmente con probidad y transparencia. Es por ello </w:t>
      </w:r>
      <w:proofErr w:type="gramStart"/>
      <w:r w:rsidRPr="0083744B">
        <w:rPr>
          <w:rFonts w:ascii="Arial" w:eastAsia="Calibri" w:hAnsi="Arial" w:cs="Arial"/>
          <w:color w:val="000000" w:themeColor="text1"/>
          <w:sz w:val="22"/>
          <w:lang w:val="es-ES_tradnl"/>
        </w:rPr>
        <w:t>que</w:t>
      </w:r>
      <w:proofErr w:type="gramEnd"/>
      <w:r w:rsidRPr="0083744B">
        <w:rPr>
          <w:rFonts w:ascii="Arial" w:eastAsia="Calibri" w:hAnsi="Arial" w:cs="Arial"/>
          <w:color w:val="000000" w:themeColor="text1"/>
          <w:sz w:val="22"/>
          <w:lang w:val="es-ES_tradnl"/>
        </w:rPr>
        <w:t>, como lo ha destacado la doctrina, las inhabilidades e incompatibilidades se han convertido en herramientas en la lucha contra la corrupción, adoptando paulatinamente un cariz sancionatorio o «</w:t>
      </w:r>
      <w:proofErr w:type="spellStart"/>
      <w:r w:rsidRPr="0083744B">
        <w:rPr>
          <w:rFonts w:ascii="Arial" w:eastAsia="Calibri" w:hAnsi="Arial" w:cs="Arial"/>
          <w:color w:val="000000" w:themeColor="text1"/>
          <w:sz w:val="22"/>
          <w:lang w:val="es-ES_tradnl"/>
        </w:rPr>
        <w:t>neopunitivo</w:t>
      </w:r>
      <w:proofErr w:type="spellEnd"/>
      <w:r w:rsidRPr="0083744B">
        <w:rPr>
          <w:rFonts w:ascii="Arial" w:eastAsia="Calibri" w:hAnsi="Arial" w:cs="Arial"/>
          <w:color w:val="000000" w:themeColor="text1"/>
          <w:sz w:val="22"/>
          <w:lang w:val="es-ES_tradnl"/>
        </w:rPr>
        <w:t>»</w:t>
      </w:r>
      <w:r w:rsidRPr="0083744B">
        <w:rPr>
          <w:rFonts w:ascii="Arial" w:eastAsia="Calibri" w:hAnsi="Arial" w:cs="Arial"/>
          <w:color w:val="000000" w:themeColor="text1"/>
          <w:sz w:val="22"/>
          <w:vertAlign w:val="superscript"/>
          <w:lang w:val="es-ES_tradnl"/>
        </w:rPr>
        <w:footnoteReference w:id="11"/>
      </w:r>
      <w:r w:rsidRPr="0083744B">
        <w:rPr>
          <w:rFonts w:ascii="Arial" w:eastAsia="Calibri" w:hAnsi="Arial" w:cs="Arial"/>
          <w:color w:val="000000" w:themeColor="text1"/>
          <w:sz w:val="22"/>
          <w:lang w:val="es-ES_tradnl"/>
        </w:rPr>
        <w:t>.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3C609A4" w14:textId="37E1EB64" w:rsidR="0096318D" w:rsidRPr="0083744B" w:rsidRDefault="0096318D" w:rsidP="00B75B2B">
      <w:pPr>
        <w:spacing w:before="120" w:after="120" w:line="276" w:lineRule="auto"/>
        <w:ind w:firstLine="709"/>
        <w:jc w:val="both"/>
        <w:rPr>
          <w:rFonts w:ascii="Arial" w:eastAsia="Calibri" w:hAnsi="Arial" w:cs="Arial"/>
          <w:color w:val="000000" w:themeColor="text1"/>
          <w:sz w:val="22"/>
          <w:lang w:val="es-ES_tradnl"/>
        </w:rPr>
      </w:pPr>
      <w:r w:rsidRPr="0083744B">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83744B">
        <w:rPr>
          <w:rFonts w:ascii="Arial" w:eastAsia="Calibri" w:hAnsi="Arial" w:cs="Arial"/>
          <w:i/>
          <w:iCs/>
          <w:color w:val="000000" w:themeColor="text1"/>
          <w:sz w:val="22"/>
          <w:lang w:val="es-ES_tradnl"/>
        </w:rPr>
        <w:t>restrictiva</w:t>
      </w:r>
      <w:r w:rsidRPr="0083744B">
        <w:rPr>
          <w:rFonts w:ascii="Arial" w:eastAsia="Calibri" w:hAnsi="Arial" w:cs="Arial"/>
          <w:color w:val="000000" w:themeColor="text1"/>
          <w:sz w:val="22"/>
          <w:vertAlign w:val="superscript"/>
          <w:lang w:val="es-ES_tradnl"/>
        </w:rPr>
        <w:footnoteReference w:id="12"/>
      </w:r>
      <w:r w:rsidR="00876480" w:rsidRPr="0083744B">
        <w:rPr>
          <w:rFonts w:ascii="Arial" w:eastAsia="Calibri" w:hAnsi="Arial" w:cs="Arial"/>
          <w:i/>
          <w:iCs/>
          <w:color w:val="000000" w:themeColor="text1"/>
          <w:sz w:val="22"/>
          <w:lang w:val="es-ES_tradnl"/>
        </w:rPr>
        <w:t xml:space="preserve"> </w:t>
      </w:r>
      <w:r w:rsidR="00876480" w:rsidRPr="0083744B">
        <w:rPr>
          <w:rFonts w:ascii="Arial" w:eastAsia="Calibri" w:hAnsi="Arial" w:cs="Arial"/>
          <w:color w:val="000000" w:themeColor="text1"/>
          <w:sz w:val="22"/>
          <w:lang w:val="es-ES_tradnl"/>
        </w:rPr>
        <w:t xml:space="preserve">y </w:t>
      </w:r>
      <w:r w:rsidR="00105467" w:rsidRPr="0083744B">
        <w:rPr>
          <w:rFonts w:ascii="Arial" w:eastAsia="Calibri" w:hAnsi="Arial" w:cs="Arial"/>
          <w:color w:val="000000" w:themeColor="text1"/>
          <w:sz w:val="22"/>
          <w:lang w:val="es-ES_tradnl"/>
        </w:rPr>
        <w:t>apegada al texto normativo.</w:t>
      </w:r>
      <w:r w:rsidRPr="0083744B">
        <w:rPr>
          <w:rFonts w:ascii="Arial" w:eastAsia="Calibri" w:hAnsi="Arial" w:cs="Arial"/>
          <w:color w:val="000000" w:themeColor="text1"/>
          <w:sz w:val="22"/>
          <w:lang w:val="es-ES_tradnl"/>
        </w:rPr>
        <w:t xml:space="preserve"> </w:t>
      </w:r>
      <w:r w:rsidR="00105467" w:rsidRPr="0083744B">
        <w:rPr>
          <w:rFonts w:ascii="Arial" w:eastAsia="Calibri" w:hAnsi="Arial" w:cs="Arial"/>
          <w:color w:val="000000" w:themeColor="text1"/>
          <w:sz w:val="22"/>
          <w:lang w:val="es-ES_tradnl"/>
        </w:rPr>
        <w:t>S</w:t>
      </w:r>
      <w:r w:rsidRPr="0083744B">
        <w:rPr>
          <w:rFonts w:ascii="Arial" w:eastAsia="Calibri" w:hAnsi="Arial" w:cs="Arial"/>
          <w:color w:val="000000" w:themeColor="text1"/>
          <w:sz w:val="22"/>
          <w:lang w:val="es-ES_tradnl"/>
        </w:rPr>
        <w:t>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jurisprudencia</w:t>
      </w:r>
      <w:r w:rsidR="00032B71" w:rsidRPr="0083744B">
        <w:rPr>
          <w:rFonts w:ascii="Arial" w:eastAsia="Calibri" w:hAnsi="Arial" w:cs="Arial"/>
          <w:color w:val="000000" w:themeColor="text1"/>
          <w:sz w:val="22"/>
          <w:lang w:val="es-ES_tradnl"/>
        </w:rPr>
        <w:t>l</w:t>
      </w:r>
      <w:r w:rsidRPr="0083744B">
        <w:rPr>
          <w:rFonts w:ascii="Arial" w:eastAsia="Calibri" w:hAnsi="Arial" w:cs="Arial"/>
          <w:color w:val="000000" w:themeColor="text1"/>
          <w:sz w:val="22"/>
          <w:lang w:val="es-ES_tradnl"/>
        </w:rPr>
        <w:t xml:space="preserve">, tanto de la Corte Constitucional como de la Sección Tercera del Consejo de Estado. </w:t>
      </w:r>
    </w:p>
    <w:p w14:paraId="1F6CAE39" w14:textId="5B54B914" w:rsidR="0096318D" w:rsidRPr="0083744B" w:rsidRDefault="0096318D" w:rsidP="00B75B2B">
      <w:pPr>
        <w:spacing w:before="120" w:line="276" w:lineRule="auto"/>
        <w:ind w:firstLine="709"/>
        <w:jc w:val="both"/>
        <w:rPr>
          <w:rFonts w:ascii="Arial" w:eastAsia="Calibri" w:hAnsi="Arial" w:cs="Arial"/>
          <w:color w:val="000000" w:themeColor="text1"/>
          <w:sz w:val="22"/>
          <w:lang w:val="es-ES_tradnl"/>
        </w:rPr>
      </w:pPr>
      <w:r w:rsidRPr="0083744B">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83744B">
        <w:rPr>
          <w:rFonts w:ascii="Arial" w:eastAsia="Calibri" w:hAnsi="Arial" w:cs="Arial"/>
          <w:color w:val="000000" w:themeColor="text1"/>
          <w:sz w:val="22"/>
          <w:vertAlign w:val="superscript"/>
          <w:lang w:val="es-ES_tradnl"/>
        </w:rPr>
        <w:footnoteReference w:id="13"/>
      </w:r>
      <w:r w:rsidRPr="0083744B">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83744B">
        <w:rPr>
          <w:rFonts w:ascii="Arial" w:eastAsia="Calibri" w:hAnsi="Arial" w:cs="Arial"/>
          <w:color w:val="000000" w:themeColor="text1"/>
          <w:sz w:val="22"/>
          <w:vertAlign w:val="superscript"/>
          <w:lang w:val="es-ES_tradnl"/>
        </w:rPr>
        <w:footnoteReference w:id="14"/>
      </w:r>
      <w:r w:rsidRPr="0083744B">
        <w:rPr>
          <w:rFonts w:ascii="Arial" w:eastAsia="Calibri" w:hAnsi="Arial" w:cs="Arial"/>
          <w:color w:val="000000" w:themeColor="text1"/>
          <w:sz w:val="22"/>
          <w:lang w:val="es-ES_tradnl"/>
        </w:rPr>
        <w:t xml:space="preserve">. En tal sentido, la Sección Tercera ha señalado </w:t>
      </w:r>
      <w:r w:rsidR="00093B65" w:rsidRPr="0083744B">
        <w:rPr>
          <w:rFonts w:ascii="Arial" w:eastAsia="Calibri" w:hAnsi="Arial" w:cs="Arial"/>
          <w:color w:val="000000" w:themeColor="text1"/>
          <w:sz w:val="22"/>
          <w:lang w:val="es-ES_tradnl"/>
        </w:rPr>
        <w:t>lo siguiente</w:t>
      </w:r>
      <w:r w:rsidRPr="0083744B">
        <w:rPr>
          <w:rFonts w:ascii="Arial" w:eastAsia="Calibri" w:hAnsi="Arial" w:cs="Arial"/>
          <w:color w:val="000000" w:themeColor="text1"/>
          <w:sz w:val="22"/>
          <w:lang w:val="es-ES_tradnl"/>
        </w:rPr>
        <w:t>:</w:t>
      </w:r>
    </w:p>
    <w:p w14:paraId="27648BC9" w14:textId="77777777" w:rsidR="0096318D" w:rsidRPr="0083744B" w:rsidRDefault="0096318D" w:rsidP="00F23E3A">
      <w:pPr>
        <w:spacing w:line="276" w:lineRule="auto"/>
        <w:ind w:firstLine="709"/>
        <w:jc w:val="both"/>
        <w:rPr>
          <w:rFonts w:ascii="Arial" w:eastAsia="Calibri" w:hAnsi="Arial" w:cs="Arial"/>
          <w:color w:val="000000" w:themeColor="text1"/>
          <w:sz w:val="22"/>
          <w:lang w:val="es-ES_tradnl"/>
        </w:rPr>
      </w:pPr>
    </w:p>
    <w:p w14:paraId="382FC456" w14:textId="3FEE3D83" w:rsidR="0096318D" w:rsidRPr="0083744B" w:rsidRDefault="0096318D" w:rsidP="00150BAE">
      <w:pPr>
        <w:ind w:left="709" w:right="709"/>
        <w:jc w:val="both"/>
        <w:rPr>
          <w:rFonts w:ascii="Arial" w:hAnsi="Arial" w:cs="Arial"/>
          <w:color w:val="000000" w:themeColor="text1"/>
          <w:sz w:val="21"/>
          <w:szCs w:val="21"/>
          <w:lang w:val="es-ES_tradnl"/>
        </w:rPr>
      </w:pPr>
      <w:r w:rsidRPr="0083744B">
        <w:rPr>
          <w:rFonts w:ascii="Arial" w:hAnsi="Arial" w:cs="Arial"/>
          <w:color w:val="000000" w:themeColor="text1"/>
          <w:sz w:val="21"/>
          <w:szCs w:val="21"/>
          <w:lang w:val="es-ES_tradnl"/>
        </w:rPr>
        <w:lastRenderedPageBreak/>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83744B">
        <w:rPr>
          <w:rFonts w:ascii="Arial" w:hAnsi="Arial" w:cs="Arial"/>
          <w:color w:val="000000" w:themeColor="text1"/>
          <w:sz w:val="21"/>
          <w:szCs w:val="21"/>
          <w:vertAlign w:val="superscript"/>
          <w:lang w:val="es-ES_tradnl"/>
        </w:rPr>
        <w:footnoteReference w:id="15"/>
      </w:r>
      <w:r w:rsidRPr="0083744B">
        <w:rPr>
          <w:rFonts w:ascii="Arial" w:hAnsi="Arial" w:cs="Arial"/>
          <w:color w:val="000000" w:themeColor="text1"/>
          <w:sz w:val="21"/>
          <w:szCs w:val="21"/>
          <w:lang w:val="es-ES_tradnl"/>
        </w:rPr>
        <w:t>.</w:t>
      </w:r>
    </w:p>
    <w:p w14:paraId="31BAA1A8" w14:textId="77777777" w:rsidR="00F23E3A" w:rsidRPr="0083744B" w:rsidRDefault="00F23E3A" w:rsidP="00150BAE">
      <w:pPr>
        <w:ind w:left="709" w:right="709"/>
        <w:jc w:val="both"/>
        <w:rPr>
          <w:rFonts w:ascii="Arial" w:hAnsi="Arial" w:cs="Arial"/>
          <w:bCs/>
          <w:color w:val="000000" w:themeColor="text1"/>
          <w:sz w:val="21"/>
          <w:szCs w:val="21"/>
          <w:lang w:val="es-ES_tradnl"/>
        </w:rPr>
      </w:pPr>
    </w:p>
    <w:p w14:paraId="615F134D" w14:textId="13C6CC1D" w:rsidR="0096318D" w:rsidRPr="0083744B" w:rsidRDefault="0096318D" w:rsidP="00150BAE">
      <w:pPr>
        <w:spacing w:line="276" w:lineRule="auto"/>
        <w:ind w:firstLine="709"/>
        <w:jc w:val="both"/>
        <w:rPr>
          <w:rFonts w:ascii="Arial" w:eastAsia="Calibri" w:hAnsi="Arial" w:cs="Arial"/>
          <w:color w:val="000000" w:themeColor="text1"/>
          <w:sz w:val="22"/>
          <w:lang w:val="es-ES_tradnl"/>
        </w:rPr>
      </w:pPr>
      <w:r w:rsidRPr="0083744B">
        <w:rPr>
          <w:rFonts w:ascii="Arial" w:eastAsia="Calibri" w:hAnsi="Arial" w:cs="Arial"/>
          <w:color w:val="000000" w:themeColor="text1"/>
          <w:sz w:val="22"/>
          <w:lang w:val="es-ES_tradnl"/>
        </w:rPr>
        <w:t xml:space="preserve">También </w:t>
      </w:r>
      <w:r w:rsidR="003D1614" w:rsidRPr="0083744B">
        <w:rPr>
          <w:rFonts w:ascii="Arial" w:eastAsia="Calibri" w:hAnsi="Arial" w:cs="Arial"/>
          <w:color w:val="000000" w:themeColor="text1"/>
          <w:sz w:val="22"/>
          <w:lang w:val="es-ES_tradnl"/>
        </w:rPr>
        <w:t xml:space="preserve">explicó </w:t>
      </w:r>
      <w:r w:rsidR="00093B65" w:rsidRPr="0083744B">
        <w:rPr>
          <w:rFonts w:ascii="Arial" w:eastAsia="Calibri" w:hAnsi="Arial" w:cs="Arial"/>
          <w:color w:val="000000" w:themeColor="text1"/>
          <w:sz w:val="22"/>
          <w:lang w:val="es-ES_tradnl"/>
        </w:rPr>
        <w:t>que</w:t>
      </w:r>
      <w:r w:rsidRPr="0083744B">
        <w:rPr>
          <w:rFonts w:ascii="Arial" w:eastAsia="Calibri" w:hAnsi="Arial" w:cs="Arial"/>
          <w:color w:val="000000" w:themeColor="text1"/>
          <w:sz w:val="22"/>
          <w:lang w:val="es-ES_tradnl"/>
        </w:rPr>
        <w:t>:</w:t>
      </w:r>
    </w:p>
    <w:p w14:paraId="10A98F4A" w14:textId="77777777" w:rsidR="00F23E3A" w:rsidRPr="0083744B" w:rsidRDefault="00F23E3A" w:rsidP="00150BAE">
      <w:pPr>
        <w:ind w:firstLine="709"/>
        <w:jc w:val="both"/>
        <w:rPr>
          <w:rFonts w:ascii="Arial" w:eastAsia="Calibri" w:hAnsi="Arial" w:cs="Arial"/>
          <w:color w:val="000000" w:themeColor="text1"/>
          <w:sz w:val="21"/>
          <w:szCs w:val="21"/>
          <w:lang w:val="es-ES_tradnl"/>
        </w:rPr>
      </w:pPr>
    </w:p>
    <w:p w14:paraId="65FC017D" w14:textId="53EACA3F" w:rsidR="0096318D" w:rsidRPr="0083744B" w:rsidRDefault="0096318D" w:rsidP="00150BAE">
      <w:pPr>
        <w:ind w:left="709" w:right="709"/>
        <w:jc w:val="both"/>
        <w:rPr>
          <w:rFonts w:ascii="Arial" w:hAnsi="Arial" w:cs="Arial"/>
          <w:color w:val="000000" w:themeColor="text1"/>
          <w:sz w:val="21"/>
          <w:szCs w:val="21"/>
          <w:lang w:val="es-ES_tradnl"/>
        </w:rPr>
      </w:pPr>
      <w:r w:rsidRPr="0083744B">
        <w:rPr>
          <w:rFonts w:ascii="Arial" w:hAnsi="Arial" w:cs="Arial"/>
          <w:color w:val="000000" w:themeColor="text1"/>
          <w:sz w:val="21"/>
          <w:szCs w:val="21"/>
          <w:lang w:val="es-ES_tradnl"/>
        </w:rPr>
        <w:t xml:space="preserve">[…] la aplicación de estos preceptos exige una interpretación restrictiva, dado que según el principio </w:t>
      </w:r>
      <w:bookmarkStart w:id="8" w:name="_Hlk36113778"/>
      <w:r w:rsidRPr="0083744B">
        <w:rPr>
          <w:rFonts w:ascii="Arial" w:hAnsi="Arial" w:cs="Arial"/>
          <w:color w:val="000000" w:themeColor="text1"/>
          <w:sz w:val="21"/>
          <w:szCs w:val="21"/>
          <w:lang w:val="es-ES_tradnl"/>
        </w:rPr>
        <w:t xml:space="preserve">hermenéutico </w:t>
      </w:r>
      <w:r w:rsidRPr="0083744B">
        <w:rPr>
          <w:rFonts w:ascii="Arial" w:hAnsi="Arial" w:cs="Arial"/>
          <w:i/>
          <w:iCs/>
          <w:color w:val="000000" w:themeColor="text1"/>
          <w:sz w:val="21"/>
          <w:szCs w:val="21"/>
          <w:lang w:val="es-ES_tradnl"/>
        </w:rPr>
        <w:t xml:space="preserve">pro </w:t>
      </w:r>
      <w:proofErr w:type="spellStart"/>
      <w:r w:rsidRPr="0083744B">
        <w:rPr>
          <w:rFonts w:ascii="Arial" w:hAnsi="Arial" w:cs="Arial"/>
          <w:i/>
          <w:iCs/>
          <w:color w:val="000000" w:themeColor="text1"/>
          <w:sz w:val="21"/>
          <w:szCs w:val="21"/>
          <w:lang w:val="es-ES_tradnl"/>
        </w:rPr>
        <w:t>libertate</w:t>
      </w:r>
      <w:proofErr w:type="spellEnd"/>
      <w:r w:rsidRPr="0083744B">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w:t>
      </w:r>
      <w:bookmarkEnd w:id="8"/>
      <w:r w:rsidRPr="0083744B">
        <w:rPr>
          <w:rFonts w:ascii="Arial" w:hAnsi="Arial" w:cs="Arial"/>
          <w:color w:val="000000" w:themeColor="text1"/>
          <w:sz w:val="21"/>
          <w:szCs w:val="21"/>
          <w:lang w:val="es-ES_tradnl"/>
        </w:rPr>
        <w:t>, toda vez que las palabras de la ley son la frontera que no se puede traspasar en el ejercicio hermenéutico de las mismas, pues de hacerlo se vulnerarían los derechos fundamentales al debido proceso (art. 29 CN) y a la igualdad (art. 13 Ibid.); […]</w:t>
      </w:r>
      <w:r w:rsidRPr="0083744B">
        <w:rPr>
          <w:rFonts w:ascii="Arial" w:hAnsi="Arial" w:cs="Arial"/>
          <w:color w:val="000000" w:themeColor="text1"/>
          <w:sz w:val="21"/>
          <w:szCs w:val="21"/>
          <w:vertAlign w:val="superscript"/>
          <w:lang w:val="es-ES_tradnl"/>
        </w:rPr>
        <w:footnoteReference w:id="16"/>
      </w:r>
      <w:r w:rsidRPr="0083744B">
        <w:rPr>
          <w:rFonts w:ascii="Arial" w:hAnsi="Arial" w:cs="Arial"/>
          <w:color w:val="000000" w:themeColor="text1"/>
          <w:sz w:val="21"/>
          <w:szCs w:val="21"/>
          <w:lang w:val="es-ES_tradnl"/>
        </w:rPr>
        <w:t>.</w:t>
      </w:r>
    </w:p>
    <w:p w14:paraId="715DADD9" w14:textId="77777777" w:rsidR="00F23E3A" w:rsidRPr="0083744B" w:rsidRDefault="00F23E3A" w:rsidP="00F23E3A">
      <w:pPr>
        <w:spacing w:line="276" w:lineRule="auto"/>
        <w:ind w:left="709" w:right="709"/>
        <w:jc w:val="both"/>
        <w:rPr>
          <w:rFonts w:ascii="Arial" w:hAnsi="Arial" w:cs="Arial"/>
          <w:color w:val="000000" w:themeColor="text1"/>
          <w:sz w:val="21"/>
          <w:szCs w:val="21"/>
          <w:lang w:val="es-ES_tradnl"/>
        </w:rPr>
      </w:pPr>
    </w:p>
    <w:p w14:paraId="57CB424E" w14:textId="0035D220" w:rsidR="00064065" w:rsidRPr="0083744B" w:rsidRDefault="00172581" w:rsidP="00016FC3">
      <w:pPr>
        <w:spacing w:after="240" w:line="276" w:lineRule="auto"/>
        <w:jc w:val="both"/>
        <w:rPr>
          <w:rFonts w:ascii="Arial" w:eastAsia="Calibri" w:hAnsi="Arial" w:cs="Arial"/>
          <w:b/>
          <w:bCs/>
          <w:color w:val="000000" w:themeColor="text1"/>
          <w:sz w:val="22"/>
          <w:lang w:val="es-ES_tradnl"/>
        </w:rPr>
      </w:pPr>
      <w:r w:rsidRPr="0083744B">
        <w:rPr>
          <w:rFonts w:ascii="Arial" w:eastAsia="Calibri" w:hAnsi="Arial" w:cs="Arial"/>
          <w:color w:val="000000" w:themeColor="text1"/>
          <w:sz w:val="22"/>
          <w:lang w:val="es-ES_tradnl"/>
        </w:rPr>
        <w:tab/>
        <w:t xml:space="preserve">En </w:t>
      </w:r>
      <w:r w:rsidR="007E0383" w:rsidRPr="0083744B">
        <w:rPr>
          <w:rFonts w:ascii="Arial" w:eastAsia="Calibri" w:hAnsi="Arial" w:cs="Arial"/>
          <w:color w:val="000000" w:themeColor="text1"/>
          <w:sz w:val="22"/>
          <w:lang w:val="es-ES_tradnl"/>
        </w:rPr>
        <w:t>conclusión</w:t>
      </w:r>
      <w:r w:rsidRPr="0083744B">
        <w:rPr>
          <w:rFonts w:ascii="Arial" w:eastAsia="Calibri" w:hAnsi="Arial" w:cs="Arial"/>
          <w:color w:val="000000" w:themeColor="text1"/>
          <w:sz w:val="22"/>
          <w:lang w:val="es-ES_tradnl"/>
        </w:rPr>
        <w:t>, el régimen de inhabilidades e incompatibilidades está concebido como un conjunto de restricciones a la capacidad para presentar ofertas y contratar con el Estado, por lo que ninguna persona natural o jurídica que se encuentre incurs</w:t>
      </w:r>
      <w:r w:rsidR="004333D6" w:rsidRPr="0083744B">
        <w:rPr>
          <w:rFonts w:ascii="Arial" w:eastAsia="Calibri" w:hAnsi="Arial" w:cs="Arial"/>
          <w:color w:val="000000" w:themeColor="text1"/>
          <w:sz w:val="22"/>
          <w:lang w:val="es-ES_tradnl"/>
        </w:rPr>
        <w:t>a</w:t>
      </w:r>
      <w:r w:rsidRPr="0083744B">
        <w:rPr>
          <w:rFonts w:ascii="Arial" w:eastAsia="Calibri" w:hAnsi="Arial" w:cs="Arial"/>
          <w:color w:val="000000" w:themeColor="text1"/>
          <w:sz w:val="22"/>
          <w:lang w:val="es-ES_tradnl"/>
        </w:rPr>
        <w:t xml:space="preserve"> en alguna causal </w:t>
      </w:r>
      <w:r w:rsidR="007E0383" w:rsidRPr="0083744B">
        <w:rPr>
          <w:rFonts w:ascii="Arial" w:eastAsia="Calibri" w:hAnsi="Arial" w:cs="Arial"/>
          <w:color w:val="000000" w:themeColor="text1"/>
          <w:sz w:val="22"/>
          <w:lang w:val="es-ES_tradnl"/>
        </w:rPr>
        <w:t>estará en la posibilidad de suscribir contratos con alguna entidad estatal. No obstante, al estar estas causales sometidas a interpretación y aplicación restrictiva, deberá analizarse en el caso concreto si efectivamente la respectiva persona se encuentra incursa en el supuesto de hecho que da lugar a la configuración de la inhabilidad o incompatibilidad, en virtud de la que opera la restricción a la capacidad para contratar.</w:t>
      </w:r>
    </w:p>
    <w:p w14:paraId="5FEE1A7F" w14:textId="0F6A3466" w:rsidR="00AB7CF1" w:rsidRPr="0083744B" w:rsidRDefault="00AB7CF1">
      <w:pPr>
        <w:pStyle w:val="Textoindependiente"/>
        <w:spacing w:line="278" w:lineRule="auto"/>
        <w:ind w:right="49"/>
        <w:jc w:val="both"/>
        <w:rPr>
          <w:b/>
          <w:bCs/>
          <w:color w:val="000000" w:themeColor="text1"/>
        </w:rPr>
      </w:pPr>
      <w:r w:rsidRPr="0083744B">
        <w:rPr>
          <w:b/>
          <w:bCs/>
          <w:color w:val="000000" w:themeColor="text1"/>
        </w:rPr>
        <w:t>2.</w:t>
      </w:r>
      <w:r w:rsidR="00C62FA4" w:rsidRPr="0083744B">
        <w:rPr>
          <w:b/>
          <w:bCs/>
          <w:color w:val="000000" w:themeColor="text1"/>
        </w:rPr>
        <w:t>3</w:t>
      </w:r>
      <w:r w:rsidRPr="0083744B">
        <w:rPr>
          <w:b/>
          <w:bCs/>
          <w:color w:val="000000" w:themeColor="text1"/>
        </w:rPr>
        <w:t>.</w:t>
      </w:r>
      <w:r w:rsidR="009526DD" w:rsidRPr="0083744B">
        <w:rPr>
          <w:b/>
          <w:bCs/>
          <w:color w:val="000000" w:themeColor="text1"/>
        </w:rPr>
        <w:t xml:space="preserve"> </w:t>
      </w:r>
      <w:r w:rsidR="003B1A11" w:rsidRPr="0083744B">
        <w:rPr>
          <w:b/>
          <w:bCs/>
          <w:color w:val="000000" w:themeColor="text1"/>
        </w:rPr>
        <w:t>Deber de reporte de multas, sanciones e inhabilidades a cámaras de comercio por parte de las entidades públicas</w:t>
      </w:r>
    </w:p>
    <w:p w14:paraId="3BC0A305" w14:textId="77777777" w:rsidR="00950775" w:rsidRPr="0083744B" w:rsidRDefault="00950775" w:rsidP="007246C7">
      <w:pPr>
        <w:pStyle w:val="Textoindependiente"/>
        <w:spacing w:line="278" w:lineRule="auto"/>
        <w:ind w:right="49"/>
        <w:jc w:val="both"/>
        <w:rPr>
          <w:b/>
          <w:bCs/>
          <w:color w:val="000000" w:themeColor="text1"/>
        </w:rPr>
      </w:pPr>
    </w:p>
    <w:p w14:paraId="1452D16F" w14:textId="488D0226" w:rsidR="00863622" w:rsidRPr="0083744B" w:rsidRDefault="002F605D" w:rsidP="0083744B">
      <w:pPr>
        <w:spacing w:after="120" w:line="276" w:lineRule="auto"/>
        <w:ind w:firstLine="709"/>
        <w:jc w:val="both"/>
        <w:rPr>
          <w:rFonts w:ascii="Arial" w:hAnsi="Arial" w:cs="Arial"/>
          <w:color w:val="000000" w:themeColor="text1"/>
          <w:sz w:val="22"/>
        </w:rPr>
      </w:pPr>
      <w:r w:rsidRPr="0083744B">
        <w:rPr>
          <w:rFonts w:ascii="Arial" w:eastAsia="Calibri" w:hAnsi="Arial" w:cs="Arial"/>
          <w:color w:val="000000" w:themeColor="text1"/>
          <w:sz w:val="22"/>
        </w:rPr>
        <w:t>Dicho lo anterior, conviene señalar que e</w:t>
      </w:r>
      <w:r w:rsidR="00863622" w:rsidRPr="0083744B">
        <w:rPr>
          <w:rFonts w:ascii="Arial" w:eastAsia="Calibri" w:hAnsi="Arial" w:cs="Arial"/>
          <w:color w:val="000000" w:themeColor="text1"/>
          <w:sz w:val="22"/>
        </w:rPr>
        <w:t xml:space="preserve">l </w:t>
      </w:r>
      <w:r w:rsidR="00950775" w:rsidRPr="0083744B">
        <w:rPr>
          <w:rFonts w:ascii="Arial" w:eastAsia="Calibri" w:hAnsi="Arial" w:cs="Arial"/>
          <w:color w:val="000000" w:themeColor="text1"/>
          <w:sz w:val="22"/>
        </w:rPr>
        <w:t xml:space="preserve">artículo </w:t>
      </w:r>
      <w:r w:rsidR="00863622" w:rsidRPr="0083744B">
        <w:rPr>
          <w:rFonts w:ascii="Arial" w:eastAsia="Calibri" w:hAnsi="Arial" w:cs="Arial"/>
          <w:color w:val="000000" w:themeColor="text1"/>
          <w:sz w:val="22"/>
        </w:rPr>
        <w:t>6.2 de la Ley 1150 de 2007 obliga a las entidades públicas</w:t>
      </w:r>
      <w:r w:rsidRPr="0083744B">
        <w:rPr>
          <w:rFonts w:ascii="Arial" w:eastAsia="Calibri" w:hAnsi="Arial" w:cs="Arial"/>
          <w:color w:val="000000" w:themeColor="text1"/>
          <w:sz w:val="22"/>
        </w:rPr>
        <w:t xml:space="preserve"> </w:t>
      </w:r>
      <w:r w:rsidR="00226B51" w:rsidRPr="0083744B">
        <w:rPr>
          <w:rFonts w:ascii="Arial" w:eastAsia="Calibri" w:hAnsi="Arial" w:cs="Arial"/>
          <w:color w:val="000000" w:themeColor="text1"/>
          <w:sz w:val="22"/>
        </w:rPr>
        <w:t>a</w:t>
      </w:r>
      <w:r w:rsidR="00863622" w:rsidRPr="0083744B">
        <w:rPr>
          <w:rFonts w:ascii="Arial" w:eastAsia="Calibri" w:hAnsi="Arial" w:cs="Arial"/>
          <w:color w:val="000000" w:themeColor="text1"/>
          <w:sz w:val="22"/>
        </w:rPr>
        <w:t xml:space="preserve"> reportar a la Cámara de Comercio correspondiente la información sobre contratos, multas y sanciones</w:t>
      </w:r>
      <w:r w:rsidR="00184F87" w:rsidRPr="0083744B">
        <w:rPr>
          <w:rStyle w:val="Refdenotaalpie"/>
          <w:rFonts w:ascii="Arial" w:hAnsi="Arial" w:cs="Arial"/>
          <w:color w:val="000000" w:themeColor="text1"/>
          <w:sz w:val="22"/>
        </w:rPr>
        <w:footnoteReference w:id="17"/>
      </w:r>
      <w:r w:rsidR="00863622" w:rsidRPr="0083744B">
        <w:rPr>
          <w:rFonts w:ascii="Arial" w:eastAsia="Calibri" w:hAnsi="Arial" w:cs="Arial"/>
          <w:color w:val="000000" w:themeColor="text1"/>
          <w:sz w:val="22"/>
        </w:rPr>
        <w:t xml:space="preserve">. </w:t>
      </w:r>
      <w:r w:rsidR="00184F87" w:rsidRPr="0083744B">
        <w:rPr>
          <w:rFonts w:ascii="Arial" w:eastAsia="Calibri" w:hAnsi="Arial" w:cs="Arial"/>
          <w:color w:val="000000" w:themeColor="text1"/>
          <w:sz w:val="22"/>
        </w:rPr>
        <w:t>Esta norma</w:t>
      </w:r>
      <w:r w:rsidR="00863622" w:rsidRPr="0083744B">
        <w:rPr>
          <w:rFonts w:ascii="Arial" w:hAnsi="Arial" w:cs="Arial"/>
          <w:color w:val="000000" w:themeColor="text1"/>
          <w:sz w:val="22"/>
        </w:rPr>
        <w:t xml:space="preserve"> pretende poner en conocimiento de </w:t>
      </w:r>
      <w:r w:rsidR="00863622" w:rsidRPr="0083744B">
        <w:rPr>
          <w:rFonts w:ascii="Arial" w:hAnsi="Arial" w:cs="Arial"/>
          <w:color w:val="000000" w:themeColor="text1"/>
          <w:sz w:val="22"/>
        </w:rPr>
        <w:lastRenderedPageBreak/>
        <w:t xml:space="preserve">todos los participantes </w:t>
      </w:r>
      <w:r w:rsidR="009A7034" w:rsidRPr="0083744B">
        <w:rPr>
          <w:rFonts w:ascii="Arial" w:hAnsi="Arial" w:cs="Arial"/>
          <w:color w:val="000000" w:themeColor="text1"/>
          <w:sz w:val="22"/>
        </w:rPr>
        <w:t>d</w:t>
      </w:r>
      <w:r w:rsidR="00863622" w:rsidRPr="0083744B">
        <w:rPr>
          <w:rFonts w:ascii="Arial" w:hAnsi="Arial" w:cs="Arial"/>
          <w:color w:val="000000" w:themeColor="text1"/>
          <w:sz w:val="22"/>
        </w:rPr>
        <w:t xml:space="preserve">el sistema de compras públicas la información de sanciones y multas impuestas a los inscritos en el RUP, como una forma de ejercer control a la ejecución de los contratos suscritos por las entidades estatales. </w:t>
      </w:r>
      <w:r w:rsidR="00184F87" w:rsidRPr="0083744B">
        <w:rPr>
          <w:rFonts w:ascii="Arial" w:hAnsi="Arial" w:cs="Arial"/>
          <w:color w:val="000000" w:themeColor="text1"/>
          <w:sz w:val="22"/>
        </w:rPr>
        <w:t xml:space="preserve">Dicha </w:t>
      </w:r>
      <w:r w:rsidR="00863622" w:rsidRPr="0083744B">
        <w:rPr>
          <w:rFonts w:ascii="Arial" w:hAnsi="Arial" w:cs="Arial"/>
          <w:color w:val="000000" w:themeColor="text1"/>
          <w:sz w:val="22"/>
        </w:rPr>
        <w:t xml:space="preserve">obligación </w:t>
      </w:r>
      <w:r w:rsidR="00184F87" w:rsidRPr="0083744B">
        <w:rPr>
          <w:rFonts w:ascii="Arial" w:hAnsi="Arial" w:cs="Arial"/>
          <w:color w:val="000000" w:themeColor="text1"/>
          <w:sz w:val="22"/>
        </w:rPr>
        <w:t>también es congruente</w:t>
      </w:r>
      <w:r w:rsidR="00863622" w:rsidRPr="0083744B">
        <w:rPr>
          <w:rFonts w:ascii="Arial" w:hAnsi="Arial" w:cs="Arial"/>
          <w:color w:val="000000" w:themeColor="text1"/>
          <w:sz w:val="22"/>
        </w:rPr>
        <w:t xml:space="preserve"> con el artículo 31 de la Ley 80 de 1993, modificado por el artículo 218 del Decreto 19 de 2012, que estableció los deberes de publicar en el SECOP y de comunicar a las Cámaras de Comercio</w:t>
      </w:r>
      <w:r w:rsidR="00126F54" w:rsidRPr="0083744B">
        <w:rPr>
          <w:rFonts w:ascii="Arial" w:hAnsi="Arial" w:cs="Arial"/>
          <w:color w:val="000000" w:themeColor="text1"/>
          <w:sz w:val="22"/>
        </w:rPr>
        <w:t xml:space="preserve"> </w:t>
      </w:r>
      <w:r w:rsidR="00863622" w:rsidRPr="0083744B">
        <w:rPr>
          <w:rFonts w:ascii="Arial" w:hAnsi="Arial" w:cs="Arial"/>
          <w:color w:val="000000" w:themeColor="text1"/>
          <w:sz w:val="22"/>
        </w:rPr>
        <w:t>la parte resolutiva</w:t>
      </w:r>
      <w:r w:rsidR="00CD1BDC" w:rsidRPr="0083744B">
        <w:rPr>
          <w:rFonts w:ascii="Arial" w:hAnsi="Arial" w:cs="Arial"/>
          <w:color w:val="000000" w:themeColor="text1"/>
          <w:sz w:val="22"/>
        </w:rPr>
        <w:t xml:space="preserve"> </w:t>
      </w:r>
      <w:r w:rsidR="00863622" w:rsidRPr="0083744B">
        <w:rPr>
          <w:rFonts w:ascii="Arial" w:hAnsi="Arial" w:cs="Arial"/>
          <w:color w:val="000000" w:themeColor="text1"/>
          <w:sz w:val="22"/>
        </w:rPr>
        <w:t>de los actos que impongan multas y sanciones, entre otras decisiones</w:t>
      </w:r>
      <w:r w:rsidR="00184F87" w:rsidRPr="0083744B">
        <w:rPr>
          <w:rStyle w:val="Refdenotaalpie"/>
          <w:rFonts w:ascii="Arial" w:hAnsi="Arial" w:cs="Arial"/>
          <w:color w:val="000000" w:themeColor="text1"/>
          <w:sz w:val="22"/>
        </w:rPr>
        <w:footnoteReference w:id="18"/>
      </w:r>
      <w:r w:rsidR="00863622" w:rsidRPr="0083744B">
        <w:rPr>
          <w:rFonts w:ascii="Arial" w:hAnsi="Arial" w:cs="Arial"/>
          <w:color w:val="000000" w:themeColor="text1"/>
          <w:sz w:val="22"/>
        </w:rPr>
        <w:t xml:space="preserve">. </w:t>
      </w:r>
    </w:p>
    <w:p w14:paraId="48393A2F" w14:textId="5C764C97" w:rsidR="00863622" w:rsidRPr="0083744B" w:rsidRDefault="00226B51" w:rsidP="00863622">
      <w:pPr>
        <w:spacing w:after="120" w:line="276" w:lineRule="auto"/>
        <w:ind w:firstLine="708"/>
        <w:jc w:val="both"/>
        <w:rPr>
          <w:rFonts w:ascii="Arial" w:hAnsi="Arial" w:cs="Arial"/>
          <w:color w:val="000000" w:themeColor="text1"/>
          <w:sz w:val="22"/>
        </w:rPr>
      </w:pPr>
      <w:r w:rsidRPr="0083744B">
        <w:rPr>
          <w:rFonts w:ascii="Arial" w:hAnsi="Arial" w:cs="Arial"/>
          <w:color w:val="000000" w:themeColor="text1"/>
          <w:sz w:val="22"/>
        </w:rPr>
        <w:t>En</w:t>
      </w:r>
      <w:r w:rsidR="00863622" w:rsidRPr="0083744B">
        <w:rPr>
          <w:rFonts w:ascii="Arial" w:hAnsi="Arial" w:cs="Arial"/>
          <w:color w:val="000000" w:themeColor="text1"/>
          <w:sz w:val="22"/>
        </w:rPr>
        <w:t xml:space="preserve"> la Ley 80 de 1993 se observa la voluntad del legislador </w:t>
      </w:r>
      <w:r w:rsidR="00002F47" w:rsidRPr="0083744B">
        <w:rPr>
          <w:rFonts w:ascii="Arial" w:hAnsi="Arial" w:cs="Arial"/>
          <w:color w:val="000000" w:themeColor="text1"/>
          <w:sz w:val="22"/>
        </w:rPr>
        <w:t xml:space="preserve">de </w:t>
      </w:r>
      <w:r w:rsidR="00863622" w:rsidRPr="0083744B">
        <w:rPr>
          <w:rFonts w:ascii="Arial" w:hAnsi="Arial" w:cs="Arial"/>
          <w:color w:val="000000" w:themeColor="text1"/>
          <w:sz w:val="22"/>
        </w:rPr>
        <w:t>divulgar el comportamiento contractual de los participantes en el sistema de compras públicas</w:t>
      </w:r>
      <w:r w:rsidR="00BC61DE" w:rsidRPr="0083744B">
        <w:rPr>
          <w:rFonts w:ascii="Arial" w:hAnsi="Arial" w:cs="Arial"/>
          <w:color w:val="000000" w:themeColor="text1"/>
          <w:sz w:val="22"/>
        </w:rPr>
        <w:t>.</w:t>
      </w:r>
      <w:r w:rsidR="000669E2" w:rsidRPr="0083744B">
        <w:rPr>
          <w:rFonts w:ascii="Arial" w:hAnsi="Arial" w:cs="Arial"/>
          <w:color w:val="000000" w:themeColor="text1"/>
          <w:sz w:val="22"/>
        </w:rPr>
        <w:t xml:space="preserve"> </w:t>
      </w:r>
      <w:r w:rsidR="00BC61DE" w:rsidRPr="0083744B">
        <w:rPr>
          <w:rFonts w:ascii="Arial" w:hAnsi="Arial" w:cs="Arial"/>
          <w:color w:val="000000" w:themeColor="text1"/>
          <w:sz w:val="22"/>
        </w:rPr>
        <w:t>E</w:t>
      </w:r>
      <w:r w:rsidR="000669E2" w:rsidRPr="0083744B">
        <w:rPr>
          <w:rFonts w:ascii="Arial" w:hAnsi="Arial" w:cs="Arial"/>
          <w:color w:val="000000" w:themeColor="text1"/>
          <w:sz w:val="22"/>
        </w:rPr>
        <w:t xml:space="preserve">s por esto que en </w:t>
      </w:r>
      <w:r w:rsidR="00BC61DE" w:rsidRPr="0083744B">
        <w:rPr>
          <w:rFonts w:ascii="Arial" w:hAnsi="Arial" w:cs="Arial"/>
          <w:color w:val="000000" w:themeColor="text1"/>
          <w:sz w:val="22"/>
        </w:rPr>
        <w:t xml:space="preserve">el referido </w:t>
      </w:r>
      <w:r w:rsidR="000669E2" w:rsidRPr="0083744B">
        <w:rPr>
          <w:rFonts w:ascii="Arial" w:hAnsi="Arial" w:cs="Arial"/>
          <w:color w:val="000000" w:themeColor="text1"/>
          <w:sz w:val="22"/>
        </w:rPr>
        <w:t>artículo estableció</w:t>
      </w:r>
      <w:r w:rsidR="00BC61DE" w:rsidRPr="0083744B">
        <w:rPr>
          <w:rFonts w:ascii="Arial" w:hAnsi="Arial" w:cs="Arial"/>
          <w:color w:val="000000" w:themeColor="text1"/>
          <w:sz w:val="22"/>
        </w:rPr>
        <w:t>,</w:t>
      </w:r>
      <w:r w:rsidR="000669E2" w:rsidRPr="0083744B">
        <w:rPr>
          <w:rFonts w:ascii="Arial" w:hAnsi="Arial" w:cs="Arial"/>
          <w:color w:val="000000" w:themeColor="text1"/>
          <w:sz w:val="22"/>
        </w:rPr>
        <w:t xml:space="preserve"> </w:t>
      </w:r>
      <w:r w:rsidR="00583E5F" w:rsidRPr="0083744B">
        <w:rPr>
          <w:rFonts w:ascii="Arial" w:hAnsi="Arial" w:cs="Arial"/>
          <w:color w:val="000000" w:themeColor="text1"/>
          <w:sz w:val="22"/>
        </w:rPr>
        <w:t xml:space="preserve">de un lado, </w:t>
      </w:r>
      <w:r w:rsidR="000669E2" w:rsidRPr="0083744B">
        <w:rPr>
          <w:rFonts w:ascii="Arial" w:hAnsi="Arial" w:cs="Arial"/>
          <w:color w:val="000000" w:themeColor="text1"/>
          <w:sz w:val="22"/>
        </w:rPr>
        <w:t xml:space="preserve">la obligación </w:t>
      </w:r>
      <w:r w:rsidR="00BE46DD" w:rsidRPr="0083744B">
        <w:rPr>
          <w:rFonts w:ascii="Arial" w:hAnsi="Arial" w:cs="Arial"/>
          <w:color w:val="000000" w:themeColor="text1"/>
          <w:sz w:val="22"/>
        </w:rPr>
        <w:t xml:space="preserve">de publicar en el SECOP la parte resolutiva de los actos que declaren caducidad, </w:t>
      </w:r>
      <w:r w:rsidR="007908A6" w:rsidRPr="0083744B">
        <w:rPr>
          <w:rFonts w:ascii="Arial" w:hAnsi="Arial" w:cs="Arial"/>
          <w:color w:val="000000" w:themeColor="text1"/>
          <w:sz w:val="22"/>
        </w:rPr>
        <w:t>impongan multas</w:t>
      </w:r>
      <w:r w:rsidR="003A53EA" w:rsidRPr="0083744B">
        <w:rPr>
          <w:rFonts w:ascii="Arial" w:hAnsi="Arial" w:cs="Arial"/>
          <w:color w:val="000000" w:themeColor="text1"/>
          <w:sz w:val="22"/>
        </w:rPr>
        <w:t xml:space="preserve">, sanciones o declaren </w:t>
      </w:r>
      <w:proofErr w:type="gramStart"/>
      <w:r w:rsidR="003A53EA" w:rsidRPr="0083744B">
        <w:rPr>
          <w:rFonts w:ascii="Arial" w:hAnsi="Arial" w:cs="Arial"/>
          <w:color w:val="000000" w:themeColor="text1"/>
          <w:sz w:val="22"/>
        </w:rPr>
        <w:t>el incumplimientos</w:t>
      </w:r>
      <w:proofErr w:type="gramEnd"/>
      <w:r w:rsidR="003A53EA" w:rsidRPr="0083744B">
        <w:rPr>
          <w:rFonts w:ascii="Arial" w:hAnsi="Arial" w:cs="Arial"/>
          <w:color w:val="000000" w:themeColor="text1"/>
          <w:sz w:val="22"/>
        </w:rPr>
        <w:t>, cuando se encuentren ejecutoriadas</w:t>
      </w:r>
      <w:r w:rsidR="008505E7" w:rsidRPr="0083744B">
        <w:rPr>
          <w:rFonts w:ascii="Arial" w:hAnsi="Arial" w:cs="Arial"/>
          <w:color w:val="000000" w:themeColor="text1"/>
          <w:sz w:val="22"/>
        </w:rPr>
        <w:t>,</w:t>
      </w:r>
      <w:r w:rsidR="00583E5F" w:rsidRPr="0083744B">
        <w:rPr>
          <w:rFonts w:ascii="Arial" w:hAnsi="Arial" w:cs="Arial"/>
          <w:color w:val="000000" w:themeColor="text1"/>
          <w:sz w:val="22"/>
        </w:rPr>
        <w:t xml:space="preserve"> </w:t>
      </w:r>
      <w:r w:rsidR="008505E7" w:rsidRPr="0083744B">
        <w:rPr>
          <w:rFonts w:ascii="Arial" w:hAnsi="Arial" w:cs="Arial"/>
          <w:color w:val="000000" w:themeColor="text1"/>
          <w:sz w:val="22"/>
        </w:rPr>
        <w:t xml:space="preserve">y </w:t>
      </w:r>
      <w:r w:rsidR="00583E5F" w:rsidRPr="0083744B">
        <w:rPr>
          <w:rFonts w:ascii="Arial" w:hAnsi="Arial" w:cs="Arial"/>
          <w:color w:val="000000" w:themeColor="text1"/>
          <w:sz w:val="22"/>
        </w:rPr>
        <w:t>de otro, el deber de comunicar</w:t>
      </w:r>
      <w:r w:rsidR="00CD1BDC" w:rsidRPr="0083744B">
        <w:rPr>
          <w:rFonts w:ascii="Arial" w:hAnsi="Arial" w:cs="Arial"/>
          <w:color w:val="000000" w:themeColor="text1"/>
          <w:sz w:val="22"/>
        </w:rPr>
        <w:t>les estas decisiones</w:t>
      </w:r>
      <w:r w:rsidR="00583E5F" w:rsidRPr="0083744B">
        <w:rPr>
          <w:rFonts w:ascii="Arial" w:hAnsi="Arial" w:cs="Arial"/>
          <w:color w:val="000000" w:themeColor="text1"/>
          <w:sz w:val="22"/>
        </w:rPr>
        <w:t xml:space="preserve"> </w:t>
      </w:r>
      <w:r w:rsidR="008505E7" w:rsidRPr="0083744B">
        <w:rPr>
          <w:rFonts w:ascii="Arial" w:hAnsi="Arial" w:cs="Arial"/>
          <w:color w:val="000000" w:themeColor="text1"/>
          <w:sz w:val="22"/>
        </w:rPr>
        <w:t xml:space="preserve">a las cámaras de comercio en que se encuentre inscrito el contratista respectivo. </w:t>
      </w:r>
      <w:r w:rsidR="00080897" w:rsidRPr="0083744B">
        <w:rPr>
          <w:rFonts w:ascii="Arial" w:hAnsi="Arial" w:cs="Arial"/>
          <w:color w:val="000000" w:themeColor="text1"/>
          <w:sz w:val="22"/>
        </w:rPr>
        <w:t>En este contexto</w:t>
      </w:r>
      <w:r w:rsidR="00863622" w:rsidRPr="0083744B">
        <w:rPr>
          <w:rFonts w:ascii="Arial" w:hAnsi="Arial" w:cs="Arial"/>
          <w:color w:val="000000" w:themeColor="text1"/>
          <w:sz w:val="22"/>
        </w:rPr>
        <w:t xml:space="preserve">, el </w:t>
      </w:r>
      <w:r w:rsidR="00080897" w:rsidRPr="0083744B">
        <w:rPr>
          <w:rFonts w:ascii="Arial" w:hAnsi="Arial" w:cs="Arial"/>
          <w:color w:val="000000" w:themeColor="text1"/>
          <w:sz w:val="22"/>
        </w:rPr>
        <w:t xml:space="preserve">artículo </w:t>
      </w:r>
      <w:r w:rsidR="00863622" w:rsidRPr="0083744B">
        <w:rPr>
          <w:rFonts w:ascii="Arial" w:hAnsi="Arial" w:cs="Arial"/>
          <w:color w:val="000000" w:themeColor="text1"/>
          <w:sz w:val="22"/>
        </w:rPr>
        <w:t>6.2</w:t>
      </w:r>
      <w:r w:rsidR="00080897" w:rsidRPr="0083744B">
        <w:rPr>
          <w:rFonts w:ascii="Arial" w:hAnsi="Arial" w:cs="Arial"/>
          <w:color w:val="000000" w:themeColor="text1"/>
          <w:sz w:val="22"/>
        </w:rPr>
        <w:t xml:space="preserve"> de la Ley 1150 de 2007</w:t>
      </w:r>
      <w:r w:rsidR="00863622" w:rsidRPr="0083744B">
        <w:rPr>
          <w:rFonts w:ascii="Arial" w:hAnsi="Arial" w:cs="Arial"/>
          <w:color w:val="000000" w:themeColor="text1"/>
          <w:sz w:val="22"/>
        </w:rPr>
        <w:t xml:space="preserve"> constituye un desarrollo material </w:t>
      </w:r>
      <w:r w:rsidR="00863622" w:rsidRPr="0083744B">
        <w:rPr>
          <w:rFonts w:ascii="Arial" w:eastAsia="Calibri" w:hAnsi="Arial" w:cs="Arial"/>
          <w:color w:val="000000" w:themeColor="text1"/>
          <w:sz w:val="22"/>
        </w:rPr>
        <w:t xml:space="preserve">de los principios aplicables a las actuaciones contractuales </w:t>
      </w:r>
      <w:r w:rsidR="00080897" w:rsidRPr="0083744B">
        <w:rPr>
          <w:rFonts w:ascii="Arial" w:eastAsia="Calibri" w:hAnsi="Arial" w:cs="Arial"/>
          <w:color w:val="000000" w:themeColor="text1"/>
          <w:sz w:val="22"/>
        </w:rPr>
        <w:t>en los términos</w:t>
      </w:r>
      <w:r w:rsidR="00863622" w:rsidRPr="0083744B">
        <w:rPr>
          <w:rFonts w:ascii="Arial" w:eastAsia="Calibri" w:hAnsi="Arial" w:cs="Arial"/>
          <w:color w:val="000000" w:themeColor="text1"/>
          <w:sz w:val="22"/>
        </w:rPr>
        <w:t xml:space="preserve"> </w:t>
      </w:r>
      <w:r w:rsidR="00080897" w:rsidRPr="0083744B">
        <w:rPr>
          <w:rFonts w:ascii="Arial" w:eastAsia="Calibri" w:hAnsi="Arial" w:cs="Arial"/>
          <w:color w:val="000000" w:themeColor="text1"/>
          <w:sz w:val="22"/>
        </w:rPr>
        <w:t>d</w:t>
      </w:r>
      <w:r w:rsidR="00863622" w:rsidRPr="0083744B">
        <w:rPr>
          <w:rFonts w:ascii="Arial" w:eastAsia="Calibri" w:hAnsi="Arial" w:cs="Arial"/>
          <w:color w:val="000000" w:themeColor="text1"/>
          <w:sz w:val="22"/>
        </w:rPr>
        <w:t>el artículo 23 de</w:t>
      </w:r>
      <w:r w:rsidR="00080897" w:rsidRPr="0083744B">
        <w:rPr>
          <w:rFonts w:ascii="Arial" w:eastAsia="Calibri" w:hAnsi="Arial" w:cs="Arial"/>
          <w:color w:val="000000" w:themeColor="text1"/>
          <w:sz w:val="22"/>
        </w:rPr>
        <w:t>l Estatuto General de Contratación de la Administración Pública</w:t>
      </w:r>
      <w:r w:rsidR="00863622" w:rsidRPr="0083744B">
        <w:rPr>
          <w:rStyle w:val="Refdenotaalpie"/>
          <w:rFonts w:ascii="Arial" w:eastAsia="Calibri" w:hAnsi="Arial" w:cs="Arial"/>
          <w:color w:val="000000" w:themeColor="text1"/>
          <w:sz w:val="22"/>
        </w:rPr>
        <w:footnoteReference w:id="19"/>
      </w:r>
      <w:r w:rsidR="00080897" w:rsidRPr="0083744B">
        <w:rPr>
          <w:rFonts w:ascii="Arial" w:eastAsia="Calibri" w:hAnsi="Arial" w:cs="Arial"/>
          <w:color w:val="000000" w:themeColor="text1"/>
          <w:sz w:val="22"/>
        </w:rPr>
        <w:t>.</w:t>
      </w:r>
      <w:r w:rsidR="00863622" w:rsidRPr="0083744B">
        <w:rPr>
          <w:rFonts w:ascii="Arial" w:eastAsia="Calibri" w:hAnsi="Arial" w:cs="Arial"/>
          <w:color w:val="000000" w:themeColor="text1"/>
          <w:sz w:val="22"/>
        </w:rPr>
        <w:t xml:space="preserve"> </w:t>
      </w:r>
      <w:r w:rsidR="00080897" w:rsidRPr="0083744B">
        <w:rPr>
          <w:rFonts w:ascii="Arial" w:eastAsia="Calibri" w:hAnsi="Arial" w:cs="Arial"/>
          <w:color w:val="000000" w:themeColor="text1"/>
          <w:sz w:val="22"/>
        </w:rPr>
        <w:t>E</w:t>
      </w:r>
      <w:r w:rsidR="00863622" w:rsidRPr="0083744B">
        <w:rPr>
          <w:rFonts w:ascii="Arial" w:eastAsia="Calibri" w:hAnsi="Arial" w:cs="Arial"/>
          <w:color w:val="000000" w:themeColor="text1"/>
          <w:sz w:val="22"/>
        </w:rPr>
        <w:t>ntre otros,</w:t>
      </w:r>
      <w:r w:rsidR="00080897" w:rsidRPr="0083744B">
        <w:rPr>
          <w:rFonts w:ascii="Arial" w:eastAsia="Calibri" w:hAnsi="Arial" w:cs="Arial"/>
          <w:color w:val="000000" w:themeColor="text1"/>
          <w:sz w:val="22"/>
        </w:rPr>
        <w:t xml:space="preserve"> la Ley 80 de 1993 concreta</w:t>
      </w:r>
      <w:r w:rsidR="00863622" w:rsidRPr="0083744B">
        <w:rPr>
          <w:rFonts w:ascii="Arial" w:eastAsia="Calibri" w:hAnsi="Arial" w:cs="Arial"/>
          <w:color w:val="000000" w:themeColor="text1"/>
          <w:sz w:val="22"/>
        </w:rPr>
        <w:t xml:space="preserve"> el principio de transparencia de la actividad contractual, objeto de regulación expresa en el artículo 24 </w:t>
      </w:r>
      <w:r w:rsidR="00080897" w:rsidRPr="0083744B">
        <w:rPr>
          <w:rFonts w:ascii="Arial" w:eastAsia="Calibri" w:hAnsi="Arial" w:cs="Arial"/>
          <w:i/>
          <w:iCs/>
          <w:color w:val="000000" w:themeColor="text1"/>
          <w:sz w:val="22"/>
        </w:rPr>
        <w:t>ibidem</w:t>
      </w:r>
      <w:r w:rsidR="00863622" w:rsidRPr="0083744B">
        <w:rPr>
          <w:rFonts w:ascii="Arial" w:eastAsia="Calibri" w:hAnsi="Arial" w:cs="Arial"/>
          <w:color w:val="000000" w:themeColor="text1"/>
          <w:sz w:val="22"/>
        </w:rPr>
        <w:t>, que guarda estrecha relación con el de publicidad, el cual rige el ejercicio de la función administrativa</w:t>
      </w:r>
      <w:r w:rsidR="0073233A" w:rsidRPr="0083744B">
        <w:rPr>
          <w:rFonts w:ascii="Arial" w:eastAsia="Calibri" w:hAnsi="Arial" w:cs="Arial"/>
          <w:color w:val="000000" w:themeColor="text1"/>
          <w:sz w:val="22"/>
        </w:rPr>
        <w:t>,</w:t>
      </w:r>
      <w:r w:rsidR="00863622" w:rsidRPr="0083744B">
        <w:rPr>
          <w:rFonts w:ascii="Arial" w:eastAsia="Calibri" w:hAnsi="Arial" w:cs="Arial"/>
          <w:color w:val="000000" w:themeColor="text1"/>
          <w:sz w:val="22"/>
        </w:rPr>
        <w:t xml:space="preserve"> según el artículo 209 </w:t>
      </w:r>
      <w:r w:rsidR="00080897" w:rsidRPr="0083744B">
        <w:rPr>
          <w:rFonts w:ascii="Arial" w:eastAsia="Calibri" w:hAnsi="Arial" w:cs="Arial"/>
          <w:color w:val="000000" w:themeColor="text1"/>
          <w:sz w:val="22"/>
        </w:rPr>
        <w:t>de la C</w:t>
      </w:r>
      <w:r w:rsidR="00863622" w:rsidRPr="0083744B">
        <w:rPr>
          <w:rFonts w:ascii="Arial" w:eastAsia="Calibri" w:hAnsi="Arial" w:cs="Arial"/>
          <w:color w:val="000000" w:themeColor="text1"/>
          <w:sz w:val="22"/>
        </w:rPr>
        <w:t>onstituci</w:t>
      </w:r>
      <w:r w:rsidR="00080897" w:rsidRPr="0083744B">
        <w:rPr>
          <w:rFonts w:ascii="Arial" w:eastAsia="Calibri" w:hAnsi="Arial" w:cs="Arial"/>
          <w:color w:val="000000" w:themeColor="text1"/>
          <w:sz w:val="22"/>
        </w:rPr>
        <w:t>ón Política</w:t>
      </w:r>
      <w:r w:rsidR="00863622" w:rsidRPr="0083744B">
        <w:rPr>
          <w:rFonts w:ascii="Arial" w:eastAsia="Calibri" w:hAnsi="Arial" w:cs="Arial"/>
          <w:color w:val="000000" w:themeColor="text1"/>
          <w:sz w:val="22"/>
        </w:rPr>
        <w:t xml:space="preserve">.  </w:t>
      </w:r>
    </w:p>
    <w:p w14:paraId="181BFA0A" w14:textId="416531E5" w:rsidR="000C19C5" w:rsidRPr="0083744B" w:rsidRDefault="00863622" w:rsidP="000C19C5">
      <w:pPr>
        <w:spacing w:after="120" w:line="276" w:lineRule="auto"/>
        <w:ind w:firstLine="708"/>
        <w:jc w:val="both"/>
        <w:rPr>
          <w:rFonts w:ascii="Arial" w:hAnsi="Arial" w:cs="Arial"/>
          <w:color w:val="000000" w:themeColor="text1"/>
          <w:sz w:val="22"/>
          <w:lang w:val="es-CO"/>
        </w:rPr>
      </w:pPr>
      <w:r w:rsidRPr="0083744B">
        <w:rPr>
          <w:rFonts w:ascii="Arial" w:hAnsi="Arial" w:cs="Arial"/>
          <w:color w:val="000000" w:themeColor="text1"/>
          <w:sz w:val="22"/>
        </w:rPr>
        <w:t>Ahora</w:t>
      </w:r>
      <w:r w:rsidR="00773509" w:rsidRPr="0083744B">
        <w:rPr>
          <w:rFonts w:ascii="Arial" w:hAnsi="Arial" w:cs="Arial"/>
          <w:color w:val="000000" w:themeColor="text1"/>
          <w:sz w:val="22"/>
        </w:rPr>
        <w:t xml:space="preserve"> bien</w:t>
      </w:r>
      <w:r w:rsidRPr="0083744B">
        <w:rPr>
          <w:rFonts w:ascii="Arial" w:hAnsi="Arial" w:cs="Arial"/>
          <w:color w:val="000000" w:themeColor="text1"/>
          <w:sz w:val="22"/>
        </w:rPr>
        <w:t xml:space="preserve">, el numeral 6.2. de la Ley 1150 de 2007 estableció la información que deberá registrarse en el Registro Único de Proponentes, </w:t>
      </w:r>
      <w:r w:rsidR="00543D89" w:rsidRPr="0083744B">
        <w:rPr>
          <w:rFonts w:ascii="Arial" w:hAnsi="Arial" w:cs="Arial"/>
          <w:color w:val="000000" w:themeColor="text1"/>
          <w:sz w:val="22"/>
        </w:rPr>
        <w:t>precisando que «</w:t>
      </w:r>
      <w:r w:rsidR="0089774D" w:rsidRPr="0083744B">
        <w:rPr>
          <w:rFonts w:ascii="Arial" w:hAnsi="Arial" w:cs="Arial"/>
          <w:color w:val="000000" w:themeColor="text1"/>
          <w:sz w:val="22"/>
          <w:lang w:val="es-CO"/>
        </w:rPr>
        <w:t>l</w:t>
      </w:r>
      <w:r w:rsidR="00543D89" w:rsidRPr="0083744B">
        <w:rPr>
          <w:rFonts w:ascii="Arial" w:hAnsi="Arial" w:cs="Arial"/>
          <w:color w:val="000000" w:themeColor="text1"/>
          <w:sz w:val="22"/>
          <w:lang w:val="es-CO"/>
        </w:rPr>
        <w:t>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r w:rsidR="002756E3" w:rsidRPr="0083744B">
        <w:rPr>
          <w:rFonts w:ascii="Arial" w:hAnsi="Arial" w:cs="Arial"/>
          <w:color w:val="000000" w:themeColor="text1"/>
          <w:sz w:val="22"/>
          <w:lang w:val="es-CO"/>
        </w:rPr>
        <w:t xml:space="preserve">. </w:t>
      </w:r>
      <w:r w:rsidR="00F06841" w:rsidRPr="0083744B">
        <w:rPr>
          <w:rFonts w:ascii="Arial" w:hAnsi="Arial" w:cs="Arial"/>
          <w:color w:val="000000" w:themeColor="text1"/>
          <w:sz w:val="22"/>
          <w:lang w:val="es-CO"/>
        </w:rPr>
        <w:t xml:space="preserve">Las condiciones de remisión de la información y los plazos de permanencia de la misma en el registro serán </w:t>
      </w:r>
      <w:proofErr w:type="gramStart"/>
      <w:r w:rsidR="00F06841" w:rsidRPr="0083744B">
        <w:rPr>
          <w:rFonts w:ascii="Arial" w:hAnsi="Arial" w:cs="Arial"/>
          <w:color w:val="000000" w:themeColor="text1"/>
          <w:sz w:val="22"/>
          <w:lang w:val="es-CO"/>
        </w:rPr>
        <w:t>señalados</w:t>
      </w:r>
      <w:proofErr w:type="gramEnd"/>
      <w:r w:rsidR="00F06841" w:rsidRPr="0083744B">
        <w:rPr>
          <w:rFonts w:ascii="Arial" w:hAnsi="Arial" w:cs="Arial"/>
          <w:color w:val="000000" w:themeColor="text1"/>
          <w:sz w:val="22"/>
          <w:lang w:val="es-CO"/>
        </w:rPr>
        <w:t xml:space="preserve"> por el Gobierno Nacional</w:t>
      </w:r>
      <w:r w:rsidR="002756E3" w:rsidRPr="0083744B">
        <w:rPr>
          <w:rFonts w:ascii="Arial" w:hAnsi="Arial" w:cs="Arial"/>
          <w:color w:val="000000" w:themeColor="text1"/>
          <w:sz w:val="22"/>
          <w:lang w:val="es-CO"/>
        </w:rPr>
        <w:t xml:space="preserve"> […]</w:t>
      </w:r>
      <w:r w:rsidR="00543D89" w:rsidRPr="0083744B">
        <w:rPr>
          <w:rFonts w:ascii="Arial" w:hAnsi="Arial" w:cs="Arial"/>
          <w:color w:val="000000" w:themeColor="text1"/>
          <w:sz w:val="22"/>
          <w:lang w:val="es-CO"/>
        </w:rPr>
        <w:t>»</w:t>
      </w:r>
      <w:r w:rsidR="0052454C" w:rsidRPr="0083744B">
        <w:rPr>
          <w:rFonts w:ascii="Arial" w:hAnsi="Arial" w:cs="Arial"/>
          <w:color w:val="000000" w:themeColor="text1"/>
          <w:sz w:val="22"/>
          <w:lang w:val="es-CO"/>
        </w:rPr>
        <w:t xml:space="preserve">. </w:t>
      </w:r>
      <w:r w:rsidR="00C637A6" w:rsidRPr="0083744B">
        <w:rPr>
          <w:rFonts w:ascii="Arial" w:hAnsi="Arial" w:cs="Arial"/>
          <w:color w:val="000000" w:themeColor="text1"/>
          <w:sz w:val="22"/>
          <w:lang w:val="es-CO"/>
        </w:rPr>
        <w:t xml:space="preserve">La norma trascrita consagra el deber de las entidades públicas sometidas al Estatuto </w:t>
      </w:r>
      <w:r w:rsidR="00B160FC" w:rsidRPr="0083744B">
        <w:rPr>
          <w:rFonts w:ascii="Arial" w:hAnsi="Arial" w:cs="Arial"/>
          <w:color w:val="000000" w:themeColor="text1"/>
          <w:sz w:val="22"/>
          <w:lang w:val="es-CO"/>
        </w:rPr>
        <w:t>General de Contratación de la Administración Pública de r</w:t>
      </w:r>
      <w:r w:rsidR="00461D0B" w:rsidRPr="0083744B">
        <w:rPr>
          <w:rFonts w:ascii="Arial" w:hAnsi="Arial" w:cs="Arial"/>
          <w:color w:val="000000" w:themeColor="text1"/>
          <w:sz w:val="22"/>
          <w:lang w:val="es-CO"/>
        </w:rPr>
        <w:t>eport</w:t>
      </w:r>
      <w:r w:rsidR="00EF626A" w:rsidRPr="0083744B">
        <w:rPr>
          <w:rFonts w:ascii="Arial" w:hAnsi="Arial" w:cs="Arial"/>
          <w:color w:val="000000" w:themeColor="text1"/>
          <w:sz w:val="22"/>
          <w:lang w:val="es-CO"/>
        </w:rPr>
        <w:t>ar a las Cámaras de Comercio</w:t>
      </w:r>
      <w:r w:rsidR="00461D0B" w:rsidRPr="0083744B">
        <w:rPr>
          <w:rFonts w:ascii="Arial" w:hAnsi="Arial" w:cs="Arial"/>
          <w:color w:val="000000" w:themeColor="text1"/>
          <w:sz w:val="22"/>
          <w:lang w:val="es-CO"/>
        </w:rPr>
        <w:t xml:space="preserve"> las sanciones y multas relacionadas en los contratos que hayan sido adjudicado</w:t>
      </w:r>
      <w:r w:rsidR="004D2A02" w:rsidRPr="0083744B">
        <w:rPr>
          <w:rFonts w:ascii="Arial" w:hAnsi="Arial" w:cs="Arial"/>
          <w:color w:val="000000" w:themeColor="text1"/>
          <w:sz w:val="22"/>
          <w:lang w:val="es-CO"/>
        </w:rPr>
        <w:t>s</w:t>
      </w:r>
      <w:r w:rsidR="007A1D3C" w:rsidRPr="0083744B">
        <w:rPr>
          <w:rFonts w:ascii="Arial" w:hAnsi="Arial" w:cs="Arial"/>
          <w:color w:val="000000" w:themeColor="text1"/>
          <w:sz w:val="22"/>
          <w:lang w:val="es-CO"/>
        </w:rPr>
        <w:t xml:space="preserve"> o en ejecución o que hayan sido ejecutados. </w:t>
      </w:r>
      <w:r w:rsidR="000C19C5" w:rsidRPr="0083744B">
        <w:rPr>
          <w:rFonts w:ascii="Arial" w:hAnsi="Arial" w:cs="Arial"/>
          <w:color w:val="000000" w:themeColor="text1"/>
          <w:sz w:val="22"/>
          <w:lang w:val="es-CO"/>
        </w:rPr>
        <w:t xml:space="preserve">Asimismo, </w:t>
      </w:r>
      <w:r w:rsidR="003869D5" w:rsidRPr="0083744B">
        <w:rPr>
          <w:rFonts w:ascii="Arial" w:hAnsi="Arial" w:cs="Arial"/>
          <w:color w:val="000000" w:themeColor="text1"/>
          <w:sz w:val="22"/>
          <w:lang w:val="es-CO"/>
        </w:rPr>
        <w:t xml:space="preserve">otorgó competencia al </w:t>
      </w:r>
      <w:r w:rsidR="00DD4E26" w:rsidRPr="0083744B">
        <w:rPr>
          <w:rFonts w:ascii="Arial" w:hAnsi="Arial" w:cs="Arial"/>
          <w:color w:val="000000" w:themeColor="text1"/>
          <w:sz w:val="22"/>
          <w:lang w:val="es-CO"/>
        </w:rPr>
        <w:t xml:space="preserve">Gobierno para reglamentar </w:t>
      </w:r>
      <w:r w:rsidR="008B490C" w:rsidRPr="0083744B">
        <w:rPr>
          <w:rFonts w:ascii="Arial" w:hAnsi="Arial" w:cs="Arial"/>
          <w:color w:val="000000" w:themeColor="text1"/>
          <w:sz w:val="22"/>
          <w:lang w:val="es-CO"/>
        </w:rPr>
        <w:t xml:space="preserve">la definición de </w:t>
      </w:r>
      <w:r w:rsidR="008B490C" w:rsidRPr="0083744B">
        <w:rPr>
          <w:rFonts w:ascii="Arial" w:hAnsi="Arial" w:cs="Arial"/>
          <w:color w:val="000000" w:themeColor="text1"/>
          <w:sz w:val="22"/>
          <w:lang w:val="es-CO"/>
        </w:rPr>
        <w:lastRenderedPageBreak/>
        <w:t xml:space="preserve">las condiciones </w:t>
      </w:r>
      <w:r w:rsidR="00EF626A" w:rsidRPr="0083744B">
        <w:rPr>
          <w:rFonts w:ascii="Arial" w:hAnsi="Arial" w:cs="Arial"/>
          <w:color w:val="000000" w:themeColor="text1"/>
          <w:sz w:val="22"/>
          <w:lang w:val="es-CO"/>
        </w:rPr>
        <w:t>en que deberá remitirse dicha información a las cámaras de comercio</w:t>
      </w:r>
      <w:r w:rsidR="00C22F98" w:rsidRPr="0083744B">
        <w:rPr>
          <w:rFonts w:ascii="Arial" w:hAnsi="Arial" w:cs="Arial"/>
          <w:color w:val="000000" w:themeColor="text1"/>
          <w:sz w:val="22"/>
          <w:lang w:val="es-CO"/>
        </w:rPr>
        <w:t xml:space="preserve"> y los plazos de permanencia de </w:t>
      </w:r>
      <w:proofErr w:type="gramStart"/>
      <w:r w:rsidR="00C22F98" w:rsidRPr="0083744B">
        <w:rPr>
          <w:rFonts w:ascii="Arial" w:hAnsi="Arial" w:cs="Arial"/>
          <w:color w:val="000000" w:themeColor="text1"/>
          <w:sz w:val="22"/>
          <w:lang w:val="es-CO"/>
        </w:rPr>
        <w:t xml:space="preserve">la </w:t>
      </w:r>
      <w:r w:rsidR="00A80D07" w:rsidRPr="0083744B">
        <w:rPr>
          <w:rFonts w:ascii="Arial" w:hAnsi="Arial" w:cs="Arial"/>
          <w:color w:val="000000" w:themeColor="text1"/>
          <w:sz w:val="22"/>
          <w:lang w:val="es-CO"/>
        </w:rPr>
        <w:t>misma</w:t>
      </w:r>
      <w:proofErr w:type="gramEnd"/>
      <w:r w:rsidR="00A80D07" w:rsidRPr="0083744B">
        <w:rPr>
          <w:rFonts w:ascii="Arial" w:hAnsi="Arial" w:cs="Arial"/>
          <w:color w:val="000000" w:themeColor="text1"/>
          <w:sz w:val="22"/>
          <w:lang w:val="es-CO"/>
        </w:rPr>
        <w:t xml:space="preserve"> </w:t>
      </w:r>
      <w:r w:rsidR="00C22F98" w:rsidRPr="0083744B">
        <w:rPr>
          <w:rFonts w:ascii="Arial" w:hAnsi="Arial" w:cs="Arial"/>
          <w:color w:val="000000" w:themeColor="text1"/>
          <w:sz w:val="22"/>
          <w:lang w:val="es-CO"/>
        </w:rPr>
        <w:t>en el registro</w:t>
      </w:r>
      <w:r w:rsidR="00DD4E26" w:rsidRPr="0083744B">
        <w:rPr>
          <w:rFonts w:ascii="Arial" w:hAnsi="Arial" w:cs="Arial"/>
          <w:color w:val="000000" w:themeColor="text1"/>
          <w:sz w:val="22"/>
          <w:lang w:val="es-CO"/>
        </w:rPr>
        <w:t xml:space="preserve"> referido</w:t>
      </w:r>
      <w:r w:rsidR="00313095" w:rsidRPr="0083744B">
        <w:rPr>
          <w:rFonts w:ascii="Arial" w:hAnsi="Arial" w:cs="Arial"/>
          <w:color w:val="000000" w:themeColor="text1"/>
          <w:sz w:val="22"/>
          <w:lang w:val="es-CO"/>
        </w:rPr>
        <w:t xml:space="preserve">. </w:t>
      </w:r>
    </w:p>
    <w:p w14:paraId="54578623" w14:textId="50CD76AE" w:rsidR="00D54576" w:rsidRPr="0083744B" w:rsidRDefault="00C22F98" w:rsidP="00443095">
      <w:pPr>
        <w:spacing w:after="120" w:line="276" w:lineRule="auto"/>
        <w:ind w:firstLine="708"/>
        <w:jc w:val="both"/>
        <w:rPr>
          <w:rStyle w:val="Textoennegrita"/>
          <w:rFonts w:ascii="Arial" w:hAnsi="Arial" w:cs="Arial"/>
          <w:b w:val="0"/>
          <w:bCs w:val="0"/>
          <w:color w:val="000000" w:themeColor="text1"/>
          <w:sz w:val="22"/>
          <w:shd w:val="clear" w:color="auto" w:fill="FFFFFF"/>
        </w:rPr>
      </w:pPr>
      <w:r w:rsidRPr="0083744B">
        <w:rPr>
          <w:rFonts w:ascii="Arial" w:hAnsi="Arial" w:cs="Arial"/>
          <w:color w:val="000000" w:themeColor="text1"/>
          <w:sz w:val="22"/>
          <w:lang w:val="es-CO"/>
        </w:rPr>
        <w:t xml:space="preserve">En </w:t>
      </w:r>
      <w:r w:rsidR="000D7AF2" w:rsidRPr="0083744B">
        <w:rPr>
          <w:rFonts w:ascii="Arial" w:hAnsi="Arial" w:cs="Arial"/>
          <w:color w:val="000000" w:themeColor="text1"/>
          <w:sz w:val="22"/>
          <w:lang w:val="es-CO"/>
        </w:rPr>
        <w:t>desarrollo de esto,</w:t>
      </w:r>
      <w:r w:rsidR="006F25BC" w:rsidRPr="0083744B">
        <w:rPr>
          <w:rFonts w:ascii="Arial" w:hAnsi="Arial" w:cs="Arial"/>
          <w:color w:val="000000" w:themeColor="text1"/>
          <w:sz w:val="22"/>
          <w:lang w:val="es-CO"/>
        </w:rPr>
        <w:t xml:space="preserve"> el artículo 2.2.1.1.1.5.7 del Decreto 1082 de 2015 </w:t>
      </w:r>
      <w:r w:rsidR="00002665" w:rsidRPr="0083744B">
        <w:rPr>
          <w:rFonts w:ascii="Arial" w:hAnsi="Arial" w:cs="Arial"/>
          <w:color w:val="000000" w:themeColor="text1"/>
          <w:sz w:val="22"/>
          <w:lang w:val="es-CO"/>
        </w:rPr>
        <w:t xml:space="preserve">definió la manera en que debe ser remitida la información referida a las Cámaras de Comercio por parte de las Entidades Estatales. La norma señaló que las entidades deben remitir </w:t>
      </w:r>
      <w:r w:rsidR="001508E7" w:rsidRPr="0083744B">
        <w:rPr>
          <w:rFonts w:ascii="Arial" w:hAnsi="Arial" w:cs="Arial"/>
          <w:color w:val="000000" w:themeColor="text1"/>
          <w:sz w:val="22"/>
          <w:lang w:val="es-CO"/>
        </w:rPr>
        <w:t>a los mecanismos electrónicos que las Cámaras de comercio establezcan para esta finalidad</w:t>
      </w:r>
      <w:r w:rsidR="004D2A02" w:rsidRPr="0083744B">
        <w:rPr>
          <w:rFonts w:ascii="Arial" w:hAnsi="Arial" w:cs="Arial"/>
          <w:color w:val="000000" w:themeColor="text1"/>
          <w:sz w:val="22"/>
          <w:lang w:val="es-CO"/>
        </w:rPr>
        <w:t xml:space="preserve">, lo siguiente: </w:t>
      </w:r>
      <w:r w:rsidR="00360566" w:rsidRPr="0083744B">
        <w:rPr>
          <w:rFonts w:ascii="Arial" w:hAnsi="Arial" w:cs="Arial"/>
          <w:color w:val="000000" w:themeColor="text1"/>
          <w:sz w:val="22"/>
          <w:lang w:val="es-CO"/>
        </w:rPr>
        <w:t xml:space="preserve">i) </w:t>
      </w:r>
      <w:r w:rsidR="00002665" w:rsidRPr="0083744B">
        <w:rPr>
          <w:rFonts w:ascii="Arial" w:hAnsi="Arial" w:cs="Arial"/>
          <w:color w:val="000000" w:themeColor="text1"/>
          <w:sz w:val="22"/>
          <w:lang w:val="es-CO"/>
        </w:rPr>
        <w:t xml:space="preserve">copia de los actos administrativos en firme por medio de los cuales </w:t>
      </w:r>
      <w:r w:rsidR="008E26C1" w:rsidRPr="0083744B">
        <w:rPr>
          <w:rFonts w:ascii="Arial" w:hAnsi="Arial" w:cs="Arial"/>
          <w:color w:val="000000" w:themeColor="text1"/>
          <w:sz w:val="22"/>
          <w:lang w:val="es-CO"/>
        </w:rPr>
        <w:t xml:space="preserve">se impongan </w:t>
      </w:r>
      <w:r w:rsidR="00002665" w:rsidRPr="0083744B">
        <w:rPr>
          <w:rFonts w:ascii="Arial" w:hAnsi="Arial" w:cs="Arial"/>
          <w:color w:val="000000" w:themeColor="text1"/>
          <w:sz w:val="22"/>
          <w:lang w:val="es-CO"/>
        </w:rPr>
        <w:t xml:space="preserve">multas y sanciones </w:t>
      </w:r>
      <w:proofErr w:type="spellStart"/>
      <w:r w:rsidR="00360566" w:rsidRPr="0083744B">
        <w:rPr>
          <w:rFonts w:ascii="Arial" w:hAnsi="Arial" w:cs="Arial"/>
          <w:color w:val="000000" w:themeColor="text1"/>
          <w:sz w:val="22"/>
          <w:lang w:val="es-CO"/>
        </w:rPr>
        <w:t>ii</w:t>
      </w:r>
      <w:proofErr w:type="spellEnd"/>
      <w:r w:rsidR="00360566" w:rsidRPr="0083744B">
        <w:rPr>
          <w:rFonts w:ascii="Arial" w:hAnsi="Arial" w:cs="Arial"/>
          <w:color w:val="000000" w:themeColor="text1"/>
          <w:sz w:val="22"/>
          <w:lang w:val="es-CO"/>
        </w:rPr>
        <w:t xml:space="preserve">) copia </w:t>
      </w:r>
      <w:r w:rsidR="00002665" w:rsidRPr="0083744B">
        <w:rPr>
          <w:rFonts w:ascii="Arial" w:hAnsi="Arial" w:cs="Arial"/>
          <w:color w:val="000000" w:themeColor="text1"/>
          <w:sz w:val="22"/>
          <w:lang w:val="es-CO"/>
        </w:rPr>
        <w:t>de las inhabilidades resultantes de los contratos que hayan suscrito, y</w:t>
      </w:r>
      <w:r w:rsidR="00360566" w:rsidRPr="0083744B">
        <w:rPr>
          <w:rFonts w:ascii="Arial" w:hAnsi="Arial" w:cs="Arial"/>
          <w:color w:val="000000" w:themeColor="text1"/>
          <w:sz w:val="22"/>
          <w:lang w:val="es-CO"/>
        </w:rPr>
        <w:t xml:space="preserve"> </w:t>
      </w:r>
      <w:proofErr w:type="spellStart"/>
      <w:r w:rsidR="00360566" w:rsidRPr="0083744B">
        <w:rPr>
          <w:rFonts w:ascii="Arial" w:hAnsi="Arial" w:cs="Arial"/>
          <w:color w:val="000000" w:themeColor="text1"/>
          <w:sz w:val="22"/>
          <w:lang w:val="es-CO"/>
        </w:rPr>
        <w:t>iii</w:t>
      </w:r>
      <w:proofErr w:type="spellEnd"/>
      <w:r w:rsidR="00360566" w:rsidRPr="0083744B">
        <w:rPr>
          <w:rFonts w:ascii="Arial" w:hAnsi="Arial" w:cs="Arial"/>
          <w:color w:val="000000" w:themeColor="text1"/>
          <w:sz w:val="22"/>
          <w:lang w:val="es-CO"/>
        </w:rPr>
        <w:t>) copia</w:t>
      </w:r>
      <w:r w:rsidR="00002665" w:rsidRPr="0083744B">
        <w:rPr>
          <w:rFonts w:ascii="Arial" w:hAnsi="Arial" w:cs="Arial"/>
          <w:color w:val="000000" w:themeColor="text1"/>
          <w:sz w:val="22"/>
          <w:lang w:val="es-CO"/>
        </w:rPr>
        <w:t xml:space="preserve"> de la información de los Procesos de Contratación en los términos del artículo 6 de la Ley 1150 de 2007</w:t>
      </w:r>
      <w:r w:rsidR="0002052B" w:rsidRPr="0083744B">
        <w:rPr>
          <w:rFonts w:ascii="Arial" w:hAnsi="Arial" w:cs="Arial"/>
          <w:color w:val="000000" w:themeColor="text1"/>
          <w:sz w:val="22"/>
          <w:lang w:val="es-CO"/>
        </w:rPr>
        <w:t>.</w:t>
      </w:r>
      <w:r w:rsidR="00DF11CF" w:rsidRPr="0083744B">
        <w:rPr>
          <w:rFonts w:ascii="Arial" w:hAnsi="Arial" w:cs="Arial"/>
          <w:color w:val="000000" w:themeColor="text1"/>
          <w:sz w:val="22"/>
          <w:lang w:val="es-CO"/>
        </w:rPr>
        <w:t xml:space="preserve"> De la literalidad de la norma referida se encuentra</w:t>
      </w:r>
      <w:r w:rsidR="004D2A02" w:rsidRPr="0083744B">
        <w:rPr>
          <w:rFonts w:ascii="Arial" w:hAnsi="Arial" w:cs="Arial"/>
          <w:color w:val="000000" w:themeColor="text1"/>
          <w:sz w:val="22"/>
          <w:lang w:val="es-CO"/>
        </w:rPr>
        <w:t xml:space="preserve"> que</w:t>
      </w:r>
      <w:r w:rsidR="00B7645B" w:rsidRPr="0083744B">
        <w:rPr>
          <w:rFonts w:ascii="Arial" w:hAnsi="Arial" w:cs="Arial"/>
          <w:color w:val="000000" w:themeColor="text1"/>
          <w:sz w:val="22"/>
          <w:lang w:val="es-CO"/>
        </w:rPr>
        <w:t>,</w:t>
      </w:r>
      <w:r w:rsidR="00DF11CF" w:rsidRPr="0083744B">
        <w:rPr>
          <w:rFonts w:ascii="Arial" w:hAnsi="Arial" w:cs="Arial"/>
          <w:color w:val="000000" w:themeColor="text1"/>
          <w:sz w:val="22"/>
          <w:lang w:val="es-CO"/>
        </w:rPr>
        <w:t xml:space="preserve"> </w:t>
      </w:r>
      <w:r w:rsidR="001C307E" w:rsidRPr="0083744B">
        <w:rPr>
          <w:rFonts w:ascii="Arial" w:hAnsi="Arial" w:cs="Arial"/>
          <w:color w:val="000000" w:themeColor="text1"/>
          <w:sz w:val="22"/>
          <w:lang w:val="es-CO"/>
        </w:rPr>
        <w:t xml:space="preserve">los </w:t>
      </w:r>
      <w:r w:rsidR="00DF11CF" w:rsidRPr="0083744B">
        <w:rPr>
          <w:rFonts w:ascii="Arial" w:hAnsi="Arial" w:cs="Arial"/>
          <w:color w:val="000000" w:themeColor="text1"/>
          <w:sz w:val="22"/>
          <w:lang w:val="es-CO"/>
        </w:rPr>
        <w:t>sujeto</w:t>
      </w:r>
      <w:r w:rsidR="001C307E" w:rsidRPr="0083744B">
        <w:rPr>
          <w:rFonts w:ascii="Arial" w:hAnsi="Arial" w:cs="Arial"/>
          <w:color w:val="000000" w:themeColor="text1"/>
          <w:sz w:val="22"/>
          <w:lang w:val="es-CO"/>
        </w:rPr>
        <w:t>s</w:t>
      </w:r>
      <w:r w:rsidR="00DF11CF" w:rsidRPr="0083744B">
        <w:rPr>
          <w:rFonts w:ascii="Arial" w:hAnsi="Arial" w:cs="Arial"/>
          <w:color w:val="000000" w:themeColor="text1"/>
          <w:sz w:val="22"/>
          <w:lang w:val="es-CO"/>
        </w:rPr>
        <w:t xml:space="preserve"> destinatario</w:t>
      </w:r>
      <w:r w:rsidR="001C307E" w:rsidRPr="0083744B">
        <w:rPr>
          <w:rFonts w:ascii="Arial" w:hAnsi="Arial" w:cs="Arial"/>
          <w:color w:val="000000" w:themeColor="text1"/>
          <w:sz w:val="22"/>
          <w:lang w:val="es-CO"/>
        </w:rPr>
        <w:t>s</w:t>
      </w:r>
      <w:r w:rsidR="00DF11CF" w:rsidRPr="0083744B">
        <w:rPr>
          <w:rFonts w:ascii="Arial" w:hAnsi="Arial" w:cs="Arial"/>
          <w:color w:val="000000" w:themeColor="text1"/>
          <w:sz w:val="22"/>
          <w:lang w:val="es-CO"/>
        </w:rPr>
        <w:t xml:space="preserve"> de esta disposición</w:t>
      </w:r>
      <w:r w:rsidR="00B7645B" w:rsidRPr="0083744B">
        <w:rPr>
          <w:rFonts w:ascii="Arial" w:hAnsi="Arial" w:cs="Arial"/>
          <w:color w:val="000000" w:themeColor="text1"/>
          <w:sz w:val="22"/>
          <w:lang w:val="es-CO"/>
        </w:rPr>
        <w:t xml:space="preserve"> son las entidades públicas que, por estar escritas con mayúscula inicial</w:t>
      </w:r>
      <w:r w:rsidR="005C501E" w:rsidRPr="0083744B">
        <w:rPr>
          <w:rFonts w:ascii="Arial" w:hAnsi="Arial" w:cs="Arial"/>
          <w:color w:val="000000" w:themeColor="text1"/>
          <w:sz w:val="22"/>
          <w:lang w:val="es-CO"/>
        </w:rPr>
        <w:t xml:space="preserve"> en el artículo precitado</w:t>
      </w:r>
      <w:r w:rsidR="00360566" w:rsidRPr="0083744B">
        <w:rPr>
          <w:rFonts w:ascii="Arial" w:hAnsi="Arial" w:cs="Arial"/>
          <w:color w:val="000000" w:themeColor="text1"/>
          <w:sz w:val="22"/>
          <w:lang w:val="es-CO"/>
        </w:rPr>
        <w:t>,</w:t>
      </w:r>
      <w:r w:rsidR="00B7645B" w:rsidRPr="0083744B">
        <w:rPr>
          <w:rFonts w:ascii="Arial" w:hAnsi="Arial" w:cs="Arial"/>
          <w:color w:val="000000" w:themeColor="text1"/>
          <w:sz w:val="22"/>
          <w:lang w:val="es-CO"/>
        </w:rPr>
        <w:t xml:space="preserve"> </w:t>
      </w:r>
      <w:r w:rsidR="0067712D" w:rsidRPr="0083744B">
        <w:rPr>
          <w:rFonts w:ascii="Arial" w:hAnsi="Arial" w:cs="Arial"/>
          <w:color w:val="000000" w:themeColor="text1"/>
          <w:sz w:val="22"/>
          <w:lang w:val="es-CO"/>
        </w:rPr>
        <w:t xml:space="preserve">deben ser entendidas con el significado establecido en el artículo </w:t>
      </w:r>
      <w:r w:rsidR="0067712D" w:rsidRPr="0083744B">
        <w:rPr>
          <w:rStyle w:val="Textoennegrita"/>
          <w:rFonts w:ascii="Arial" w:hAnsi="Arial" w:cs="Arial"/>
          <w:b w:val="0"/>
          <w:bCs w:val="0"/>
          <w:color w:val="000000" w:themeColor="text1"/>
          <w:sz w:val="22"/>
          <w:shd w:val="clear" w:color="auto" w:fill="FFFFFF"/>
        </w:rPr>
        <w:t>2.2.1.1.1.3.1.</w:t>
      </w:r>
      <w:r w:rsidR="00D54576" w:rsidRPr="0083744B">
        <w:rPr>
          <w:rStyle w:val="Textoennegrita"/>
          <w:rFonts w:ascii="Arial" w:hAnsi="Arial" w:cs="Arial"/>
          <w:b w:val="0"/>
          <w:bCs w:val="0"/>
          <w:color w:val="000000" w:themeColor="text1"/>
          <w:sz w:val="22"/>
          <w:shd w:val="clear" w:color="auto" w:fill="FFFFFF"/>
        </w:rPr>
        <w:t xml:space="preserve">del Decreto 1082 de </w:t>
      </w:r>
      <w:proofErr w:type="gramStart"/>
      <w:r w:rsidR="00D54576" w:rsidRPr="0083744B">
        <w:rPr>
          <w:rStyle w:val="Textoennegrita"/>
          <w:rFonts w:ascii="Arial" w:hAnsi="Arial" w:cs="Arial"/>
          <w:b w:val="0"/>
          <w:bCs w:val="0"/>
          <w:color w:val="000000" w:themeColor="text1"/>
          <w:sz w:val="22"/>
          <w:shd w:val="clear" w:color="auto" w:fill="FFFFFF"/>
        </w:rPr>
        <w:t xml:space="preserve">2015 </w:t>
      </w:r>
      <w:r w:rsidR="005C501E" w:rsidRPr="0083744B">
        <w:rPr>
          <w:rStyle w:val="Textoennegrita"/>
          <w:rFonts w:ascii="Arial" w:hAnsi="Arial" w:cs="Arial"/>
          <w:b w:val="0"/>
          <w:bCs w:val="0"/>
          <w:color w:val="000000" w:themeColor="text1"/>
          <w:sz w:val="22"/>
          <w:shd w:val="clear" w:color="auto" w:fill="FFFFFF"/>
        </w:rPr>
        <w:t>,</w:t>
      </w:r>
      <w:proofErr w:type="gramEnd"/>
      <w:r w:rsidR="005C501E" w:rsidRPr="0083744B">
        <w:rPr>
          <w:rStyle w:val="Textoennegrita"/>
          <w:rFonts w:ascii="Arial" w:hAnsi="Arial" w:cs="Arial"/>
          <w:b w:val="0"/>
          <w:bCs w:val="0"/>
          <w:color w:val="000000" w:themeColor="text1"/>
          <w:sz w:val="22"/>
          <w:shd w:val="clear" w:color="auto" w:fill="FFFFFF"/>
        </w:rPr>
        <w:t xml:space="preserve"> </w:t>
      </w:r>
      <w:r w:rsidR="00901CE5" w:rsidRPr="0083744B">
        <w:rPr>
          <w:rStyle w:val="Textoennegrita"/>
          <w:rFonts w:ascii="Arial" w:hAnsi="Arial" w:cs="Arial"/>
          <w:b w:val="0"/>
          <w:bCs w:val="0"/>
          <w:color w:val="000000" w:themeColor="text1"/>
          <w:sz w:val="22"/>
          <w:shd w:val="clear" w:color="auto" w:fill="FFFFFF"/>
        </w:rPr>
        <w:t>que las</w:t>
      </w:r>
      <w:r w:rsidR="005C501E" w:rsidRPr="0083744B">
        <w:rPr>
          <w:rStyle w:val="Textoennegrita"/>
          <w:rFonts w:ascii="Arial" w:hAnsi="Arial" w:cs="Arial"/>
          <w:b w:val="0"/>
          <w:bCs w:val="0"/>
          <w:color w:val="000000" w:themeColor="text1"/>
          <w:sz w:val="22"/>
          <w:shd w:val="clear" w:color="auto" w:fill="FFFFFF"/>
        </w:rPr>
        <w:t xml:space="preserve"> </w:t>
      </w:r>
      <w:r w:rsidR="00D54576" w:rsidRPr="0083744B">
        <w:rPr>
          <w:rStyle w:val="Textoennegrita"/>
          <w:rFonts w:ascii="Arial" w:hAnsi="Arial" w:cs="Arial"/>
          <w:b w:val="0"/>
          <w:bCs w:val="0"/>
          <w:color w:val="000000" w:themeColor="text1"/>
          <w:sz w:val="22"/>
          <w:shd w:val="clear" w:color="auto" w:fill="FFFFFF"/>
        </w:rPr>
        <w:t>defin</w:t>
      </w:r>
      <w:r w:rsidR="005C501E" w:rsidRPr="0083744B">
        <w:rPr>
          <w:rStyle w:val="Textoennegrita"/>
          <w:rFonts w:ascii="Arial" w:hAnsi="Arial" w:cs="Arial"/>
          <w:b w:val="0"/>
          <w:bCs w:val="0"/>
          <w:color w:val="000000" w:themeColor="text1"/>
          <w:sz w:val="22"/>
          <w:shd w:val="clear" w:color="auto" w:fill="FFFFFF"/>
        </w:rPr>
        <w:t>e</w:t>
      </w:r>
      <w:r w:rsidR="00D54576" w:rsidRPr="0083744B">
        <w:rPr>
          <w:rStyle w:val="Textoennegrita"/>
          <w:rFonts w:ascii="Arial" w:hAnsi="Arial" w:cs="Arial"/>
          <w:b w:val="0"/>
          <w:bCs w:val="0"/>
          <w:color w:val="000000" w:themeColor="text1"/>
          <w:sz w:val="22"/>
          <w:shd w:val="clear" w:color="auto" w:fill="FFFFFF"/>
        </w:rPr>
        <w:t xml:space="preserve"> así: </w:t>
      </w:r>
    </w:p>
    <w:p w14:paraId="4B8EAF76" w14:textId="5A0957C5" w:rsidR="00473897" w:rsidRPr="0083744B" w:rsidRDefault="00755D3E" w:rsidP="00755D3E">
      <w:pPr>
        <w:spacing w:after="120"/>
        <w:ind w:left="709" w:right="709"/>
        <w:jc w:val="both"/>
        <w:rPr>
          <w:rFonts w:ascii="Arial" w:hAnsi="Arial" w:cs="Arial"/>
          <w:color w:val="000000" w:themeColor="text1"/>
          <w:sz w:val="21"/>
          <w:szCs w:val="21"/>
          <w:lang w:val="es-CO"/>
        </w:rPr>
      </w:pPr>
      <w:r w:rsidRPr="0083744B">
        <w:rPr>
          <w:rFonts w:ascii="Arial" w:hAnsi="Arial" w:cs="Arial"/>
          <w:i/>
          <w:iCs/>
          <w:color w:val="000000" w:themeColor="text1"/>
          <w:sz w:val="21"/>
          <w:szCs w:val="21"/>
          <w:shd w:val="clear" w:color="auto" w:fill="FFFFFF"/>
        </w:rPr>
        <w:t>Cada</w:t>
      </w:r>
      <w:r w:rsidRPr="0083744B">
        <w:rPr>
          <w:rFonts w:ascii="Arial" w:hAnsi="Arial" w:cs="Arial"/>
          <w:color w:val="000000" w:themeColor="text1"/>
          <w:sz w:val="21"/>
          <w:szCs w:val="21"/>
          <w:shd w:val="clear" w:color="auto" w:fill="FFFFFF"/>
        </w:rPr>
        <w:t xml:space="preserve"> una de las entidades: (a) a las que se refiere el artículo 2 de la </w:t>
      </w:r>
      <w:hyperlink r:id="rId12" w:history="1">
        <w:r w:rsidRPr="0083744B">
          <w:rPr>
            <w:rStyle w:val="Hipervnculo"/>
            <w:rFonts w:ascii="Arial" w:hAnsi="Arial" w:cs="Arial"/>
            <w:color w:val="000000" w:themeColor="text1"/>
            <w:sz w:val="21"/>
            <w:szCs w:val="21"/>
            <w:shd w:val="clear" w:color="auto" w:fill="FFFFFF"/>
          </w:rPr>
          <w:t>Ley 80 de 1993</w:t>
        </w:r>
      </w:hyperlink>
      <w:r w:rsidRPr="0083744B">
        <w:rPr>
          <w:rFonts w:ascii="Arial" w:hAnsi="Arial" w:cs="Arial"/>
          <w:color w:val="000000" w:themeColor="text1"/>
          <w:sz w:val="21"/>
          <w:szCs w:val="21"/>
          <w:shd w:val="clear" w:color="auto" w:fill="FFFFFF"/>
        </w:rPr>
        <w:t>; (b) a las que se refieren los artículos 10, 14 y 24 de la</w:t>
      </w:r>
      <w:hyperlink r:id="rId13" w:history="1">
        <w:r w:rsidRPr="0083744B">
          <w:rPr>
            <w:rStyle w:val="Hipervnculo"/>
            <w:rFonts w:ascii="Arial" w:hAnsi="Arial" w:cs="Arial"/>
            <w:color w:val="000000" w:themeColor="text1"/>
            <w:sz w:val="21"/>
            <w:szCs w:val="21"/>
            <w:shd w:val="clear" w:color="auto" w:fill="FFFFFF"/>
          </w:rPr>
          <w:t> Ley 1150 de 2007</w:t>
        </w:r>
      </w:hyperlink>
      <w:r w:rsidRPr="0083744B">
        <w:rPr>
          <w:rFonts w:ascii="Arial" w:hAnsi="Arial" w:cs="Arial"/>
          <w:color w:val="000000" w:themeColor="text1"/>
          <w:sz w:val="21"/>
          <w:szCs w:val="21"/>
          <w:shd w:val="clear" w:color="auto" w:fill="FFFFFF"/>
        </w:rPr>
        <w:t> y (c) aquellas entidades que por disposición de la ley deban aplicar la </w:t>
      </w:r>
      <w:hyperlink r:id="rId14" w:history="1">
        <w:r w:rsidRPr="0083744B">
          <w:rPr>
            <w:rStyle w:val="Hipervnculo"/>
            <w:rFonts w:ascii="Arial" w:hAnsi="Arial" w:cs="Arial"/>
            <w:color w:val="000000" w:themeColor="text1"/>
            <w:sz w:val="21"/>
            <w:szCs w:val="21"/>
            <w:shd w:val="clear" w:color="auto" w:fill="FFFFFF"/>
          </w:rPr>
          <w:t>Ley 80 de 1993​</w:t>
        </w:r>
      </w:hyperlink>
      <w:r w:rsidRPr="0083744B">
        <w:rPr>
          <w:rFonts w:ascii="Arial" w:hAnsi="Arial" w:cs="Arial"/>
          <w:color w:val="000000" w:themeColor="text1"/>
          <w:sz w:val="21"/>
          <w:szCs w:val="21"/>
          <w:shd w:val="clear" w:color="auto" w:fill="FFFFFF"/>
        </w:rPr>
        <w:t> y la </w:t>
      </w:r>
      <w:hyperlink r:id="rId15" w:history="1">
        <w:r w:rsidRPr="0083744B">
          <w:rPr>
            <w:rStyle w:val="Hipervnculo"/>
            <w:rFonts w:ascii="Arial" w:hAnsi="Arial" w:cs="Arial"/>
            <w:color w:val="000000" w:themeColor="text1"/>
            <w:sz w:val="21"/>
            <w:szCs w:val="21"/>
            <w:shd w:val="clear" w:color="auto" w:fill="FFFFFF"/>
          </w:rPr>
          <w:t>Ley 1150 de 2007</w:t>
        </w:r>
      </w:hyperlink>
      <w:r w:rsidRPr="0083744B">
        <w:rPr>
          <w:rFonts w:ascii="Arial" w:hAnsi="Arial" w:cs="Arial"/>
          <w:color w:val="000000" w:themeColor="text1"/>
          <w:sz w:val="21"/>
          <w:szCs w:val="21"/>
          <w:shd w:val="clear" w:color="auto" w:fill="FFFFFF"/>
        </w:rPr>
        <w:t>, o las normas que las modifiquen, aclaren, adicionen o sustituyan</w:t>
      </w:r>
      <w:r w:rsidRPr="0083744B">
        <w:rPr>
          <w:rStyle w:val="Refdenotaalpie"/>
          <w:rFonts w:ascii="Arial" w:hAnsi="Arial" w:cs="Arial"/>
          <w:color w:val="000000" w:themeColor="text1"/>
          <w:sz w:val="21"/>
          <w:szCs w:val="21"/>
          <w:shd w:val="clear" w:color="auto" w:fill="FFFFFF"/>
        </w:rPr>
        <w:footnoteReference w:id="20"/>
      </w:r>
      <w:r w:rsidRPr="0083744B">
        <w:rPr>
          <w:rFonts w:ascii="Arial" w:hAnsi="Arial" w:cs="Arial"/>
          <w:color w:val="000000" w:themeColor="text1"/>
          <w:sz w:val="21"/>
          <w:szCs w:val="21"/>
          <w:shd w:val="clear" w:color="auto" w:fill="FFFFFF"/>
        </w:rPr>
        <w:t>.</w:t>
      </w:r>
      <w:r w:rsidR="00D54576" w:rsidRPr="0083744B">
        <w:rPr>
          <w:rStyle w:val="Textoennegrita"/>
          <w:rFonts w:ascii="Arial" w:hAnsi="Arial" w:cs="Arial"/>
          <w:b w:val="0"/>
          <w:bCs w:val="0"/>
          <w:color w:val="000000" w:themeColor="text1"/>
          <w:sz w:val="21"/>
          <w:szCs w:val="21"/>
          <w:shd w:val="clear" w:color="auto" w:fill="FFFFFF"/>
        </w:rPr>
        <w:t xml:space="preserve"> </w:t>
      </w:r>
    </w:p>
    <w:p w14:paraId="2332C76D" w14:textId="6A491EE6" w:rsidR="00094CB8" w:rsidRPr="0083744B" w:rsidRDefault="00755D3E" w:rsidP="009E5BCF">
      <w:pPr>
        <w:spacing w:after="120" w:line="276" w:lineRule="auto"/>
        <w:ind w:firstLine="708"/>
        <w:jc w:val="both"/>
        <w:rPr>
          <w:rFonts w:ascii="Arial" w:hAnsi="Arial" w:cs="Arial"/>
          <w:color w:val="000000" w:themeColor="text1"/>
          <w:sz w:val="22"/>
          <w:lang w:val="es-CO"/>
        </w:rPr>
      </w:pPr>
      <w:r w:rsidRPr="0083744B">
        <w:rPr>
          <w:rFonts w:ascii="Arial" w:hAnsi="Arial" w:cs="Arial"/>
          <w:color w:val="000000" w:themeColor="text1"/>
          <w:sz w:val="22"/>
          <w:lang w:val="es-CO"/>
        </w:rPr>
        <w:t xml:space="preserve">De la disposición referida se </w:t>
      </w:r>
      <w:r w:rsidR="00901CE5" w:rsidRPr="0083744B">
        <w:rPr>
          <w:rFonts w:ascii="Arial" w:hAnsi="Arial" w:cs="Arial"/>
          <w:color w:val="000000" w:themeColor="text1"/>
          <w:sz w:val="22"/>
          <w:lang w:val="es-CO"/>
        </w:rPr>
        <w:t xml:space="preserve">infiere, </w:t>
      </w:r>
      <w:r w:rsidRPr="0083744B">
        <w:rPr>
          <w:rFonts w:ascii="Arial" w:hAnsi="Arial" w:cs="Arial"/>
          <w:color w:val="000000" w:themeColor="text1"/>
          <w:sz w:val="22"/>
          <w:lang w:val="es-CO"/>
        </w:rPr>
        <w:t>entonces</w:t>
      </w:r>
      <w:r w:rsidR="00901CE5" w:rsidRPr="0083744B">
        <w:rPr>
          <w:rFonts w:ascii="Arial" w:hAnsi="Arial" w:cs="Arial"/>
          <w:color w:val="000000" w:themeColor="text1"/>
          <w:sz w:val="22"/>
          <w:lang w:val="es-CO"/>
        </w:rPr>
        <w:t>,</w:t>
      </w:r>
      <w:r w:rsidRPr="0083744B">
        <w:rPr>
          <w:rFonts w:ascii="Arial" w:hAnsi="Arial" w:cs="Arial"/>
          <w:color w:val="000000" w:themeColor="text1"/>
          <w:sz w:val="22"/>
          <w:lang w:val="es-CO"/>
        </w:rPr>
        <w:t xml:space="preserve"> que </w:t>
      </w:r>
      <w:r w:rsidR="00F4538B" w:rsidRPr="0083744B">
        <w:rPr>
          <w:rFonts w:ascii="Arial" w:hAnsi="Arial" w:cs="Arial"/>
          <w:color w:val="000000" w:themeColor="text1"/>
          <w:sz w:val="22"/>
          <w:lang w:val="es-CO"/>
        </w:rPr>
        <w:t>las entidades destinatarias de</w:t>
      </w:r>
      <w:r w:rsidR="007C23D3" w:rsidRPr="0083744B">
        <w:rPr>
          <w:rFonts w:ascii="Arial" w:hAnsi="Arial" w:cs="Arial"/>
          <w:color w:val="000000" w:themeColor="text1"/>
          <w:sz w:val="22"/>
          <w:lang w:val="es-CO"/>
        </w:rPr>
        <w:t xml:space="preserve">l deber previsto en </w:t>
      </w:r>
      <w:proofErr w:type="gramStart"/>
      <w:r w:rsidR="007C23D3" w:rsidRPr="0083744B">
        <w:rPr>
          <w:rFonts w:ascii="Arial" w:hAnsi="Arial" w:cs="Arial"/>
          <w:color w:val="000000" w:themeColor="text1"/>
          <w:sz w:val="22"/>
          <w:lang w:val="es-CO"/>
        </w:rPr>
        <w:t xml:space="preserve">el </w:t>
      </w:r>
      <w:r w:rsidR="00F4538B" w:rsidRPr="0083744B">
        <w:rPr>
          <w:rFonts w:ascii="Arial" w:hAnsi="Arial" w:cs="Arial"/>
          <w:color w:val="000000" w:themeColor="text1"/>
          <w:sz w:val="22"/>
          <w:lang w:val="es-CO"/>
        </w:rPr>
        <w:t xml:space="preserve"> </w:t>
      </w:r>
      <w:r w:rsidR="007C23D3" w:rsidRPr="0083744B">
        <w:rPr>
          <w:rFonts w:ascii="Arial" w:hAnsi="Arial" w:cs="Arial"/>
          <w:color w:val="000000" w:themeColor="text1"/>
          <w:sz w:val="22"/>
          <w:lang w:val="es-CO"/>
        </w:rPr>
        <w:t>artículo</w:t>
      </w:r>
      <w:proofErr w:type="gramEnd"/>
      <w:r w:rsidR="007C23D3" w:rsidRPr="0083744B">
        <w:rPr>
          <w:rFonts w:ascii="Arial" w:hAnsi="Arial" w:cs="Arial"/>
          <w:color w:val="000000" w:themeColor="text1"/>
          <w:sz w:val="22"/>
          <w:lang w:val="es-CO"/>
        </w:rPr>
        <w:t xml:space="preserve"> 2.2.1.1.1.5.7 del Decreto 1082 de 2015 </w:t>
      </w:r>
      <w:r w:rsidR="00B424E9" w:rsidRPr="0083744B">
        <w:rPr>
          <w:rFonts w:ascii="Arial" w:hAnsi="Arial" w:cs="Arial"/>
          <w:color w:val="000000" w:themeColor="text1"/>
          <w:sz w:val="22"/>
          <w:lang w:val="es-CO"/>
        </w:rPr>
        <w:t xml:space="preserve">son </w:t>
      </w:r>
      <w:r w:rsidR="00927E29" w:rsidRPr="0083744B">
        <w:rPr>
          <w:rFonts w:ascii="Arial" w:hAnsi="Arial" w:cs="Arial"/>
          <w:color w:val="000000" w:themeColor="text1"/>
          <w:sz w:val="22"/>
          <w:lang w:val="es-CO"/>
        </w:rPr>
        <w:t xml:space="preserve">aquellas sometidas al Estatuto General de la Contratación de la Administración Pública. </w:t>
      </w:r>
      <w:r w:rsidR="007C23D3" w:rsidRPr="0083744B">
        <w:rPr>
          <w:rFonts w:ascii="Arial" w:hAnsi="Arial" w:cs="Arial"/>
          <w:color w:val="000000" w:themeColor="text1"/>
          <w:sz w:val="22"/>
          <w:lang w:val="es-CO"/>
        </w:rPr>
        <w:t>Por consiguiente</w:t>
      </w:r>
      <w:r w:rsidR="00927E29" w:rsidRPr="0083744B">
        <w:rPr>
          <w:rFonts w:ascii="Arial" w:hAnsi="Arial" w:cs="Arial"/>
          <w:color w:val="000000" w:themeColor="text1"/>
          <w:sz w:val="22"/>
          <w:lang w:val="es-CO"/>
        </w:rPr>
        <w:t>, aquellas</w:t>
      </w:r>
      <w:r w:rsidR="005A4951" w:rsidRPr="0083744B">
        <w:rPr>
          <w:rFonts w:ascii="Arial" w:hAnsi="Arial" w:cs="Arial"/>
          <w:color w:val="000000" w:themeColor="text1"/>
          <w:sz w:val="22"/>
          <w:lang w:val="es-CO"/>
        </w:rPr>
        <w:t xml:space="preserve"> entidades</w:t>
      </w:r>
      <w:r w:rsidR="00927E29" w:rsidRPr="0083744B">
        <w:rPr>
          <w:rFonts w:ascii="Arial" w:hAnsi="Arial" w:cs="Arial"/>
          <w:color w:val="000000" w:themeColor="text1"/>
          <w:sz w:val="22"/>
          <w:lang w:val="es-CO"/>
        </w:rPr>
        <w:t xml:space="preserve"> exceptuadas de este régimen </w:t>
      </w:r>
      <w:r w:rsidR="00AF5A7A" w:rsidRPr="0083744B">
        <w:rPr>
          <w:rFonts w:ascii="Arial" w:hAnsi="Arial" w:cs="Arial"/>
          <w:color w:val="000000" w:themeColor="text1"/>
          <w:sz w:val="22"/>
          <w:lang w:val="es-CO"/>
        </w:rPr>
        <w:t xml:space="preserve">de contratación </w:t>
      </w:r>
      <w:r w:rsidR="00927E29" w:rsidRPr="0083744B">
        <w:rPr>
          <w:rFonts w:ascii="Arial" w:hAnsi="Arial" w:cs="Arial"/>
          <w:color w:val="000000" w:themeColor="text1"/>
          <w:sz w:val="22"/>
          <w:lang w:val="es-CO"/>
        </w:rPr>
        <w:t xml:space="preserve">no tendrán, en principio, la obligación de remitir la información referida a las Cámaras de Comercio. </w:t>
      </w:r>
      <w:r w:rsidR="002D00EC" w:rsidRPr="0083744B">
        <w:rPr>
          <w:rFonts w:ascii="Arial" w:hAnsi="Arial" w:cs="Arial"/>
          <w:color w:val="000000" w:themeColor="text1"/>
          <w:sz w:val="22"/>
          <w:lang w:val="es-CO"/>
        </w:rPr>
        <w:t xml:space="preserve">Si bien el artículo </w:t>
      </w:r>
      <w:r w:rsidR="00A2664D" w:rsidRPr="0083744B">
        <w:rPr>
          <w:rStyle w:val="Textoennegrita"/>
          <w:rFonts w:ascii="Arial" w:hAnsi="Arial" w:cs="Arial"/>
          <w:b w:val="0"/>
          <w:bCs w:val="0"/>
          <w:color w:val="000000" w:themeColor="text1"/>
          <w:sz w:val="22"/>
          <w:shd w:val="clear" w:color="auto" w:fill="FFFFFF"/>
        </w:rPr>
        <w:t>2.2.1.1.1.3.1 d</w:t>
      </w:r>
      <w:r w:rsidR="001C0A77" w:rsidRPr="0083744B">
        <w:rPr>
          <w:rFonts w:ascii="Arial" w:hAnsi="Arial" w:cs="Arial"/>
          <w:color w:val="000000" w:themeColor="text1"/>
          <w:sz w:val="22"/>
          <w:lang w:val="es-CO"/>
        </w:rPr>
        <w:t xml:space="preserve">el </w:t>
      </w:r>
      <w:r w:rsidR="00884FC4" w:rsidRPr="0083744B">
        <w:rPr>
          <w:rFonts w:ascii="Arial" w:hAnsi="Arial" w:cs="Arial"/>
          <w:color w:val="000000" w:themeColor="text1"/>
          <w:sz w:val="22"/>
          <w:lang w:val="es-CO"/>
        </w:rPr>
        <w:t>Decreto 1082 de 2015</w:t>
      </w:r>
      <w:r w:rsidR="002D00EC" w:rsidRPr="0083744B">
        <w:rPr>
          <w:rFonts w:ascii="Arial" w:hAnsi="Arial" w:cs="Arial"/>
          <w:color w:val="000000" w:themeColor="text1"/>
          <w:sz w:val="22"/>
          <w:lang w:val="es-CO"/>
        </w:rPr>
        <w:t xml:space="preserve">, al definir las entidades estatales cuya contratación se regiría por el </w:t>
      </w:r>
      <w:r w:rsidR="007C23D3" w:rsidRPr="0083744B">
        <w:rPr>
          <w:rFonts w:ascii="Arial" w:hAnsi="Arial" w:cs="Arial"/>
          <w:color w:val="000000" w:themeColor="text1"/>
          <w:sz w:val="22"/>
          <w:lang w:val="es-CO"/>
        </w:rPr>
        <w:t>E</w:t>
      </w:r>
      <w:r w:rsidR="002D00EC" w:rsidRPr="0083744B">
        <w:rPr>
          <w:rFonts w:ascii="Arial" w:hAnsi="Arial" w:cs="Arial"/>
          <w:color w:val="000000" w:themeColor="text1"/>
          <w:sz w:val="22"/>
          <w:lang w:val="es-CO"/>
        </w:rPr>
        <w:t xml:space="preserve">statuto </w:t>
      </w:r>
      <w:r w:rsidR="007C23D3" w:rsidRPr="0083744B">
        <w:rPr>
          <w:rFonts w:ascii="Arial" w:hAnsi="Arial" w:cs="Arial"/>
          <w:color w:val="000000" w:themeColor="text1"/>
          <w:sz w:val="22"/>
          <w:lang w:val="es-CO"/>
        </w:rPr>
        <w:t>G</w:t>
      </w:r>
      <w:r w:rsidR="002D00EC" w:rsidRPr="0083744B">
        <w:rPr>
          <w:rFonts w:ascii="Arial" w:hAnsi="Arial" w:cs="Arial"/>
          <w:color w:val="000000" w:themeColor="text1"/>
          <w:sz w:val="22"/>
          <w:lang w:val="es-CO"/>
        </w:rPr>
        <w:t>eneral, persiguió abarcar de forma omnicomprensiva la totalidad o, por lo menos, la mayoría de los organismos que conforman la estructura del Estado, lo cierto es que dicha regla general tiene excepciones creadas por la ley</w:t>
      </w:r>
      <w:r w:rsidR="00801DAE" w:rsidRPr="0083744B">
        <w:rPr>
          <w:rFonts w:ascii="Arial" w:hAnsi="Arial" w:cs="Arial"/>
          <w:color w:val="000000" w:themeColor="text1"/>
          <w:sz w:val="22"/>
          <w:lang w:val="es-CO"/>
        </w:rPr>
        <w:t>,</w:t>
      </w:r>
      <w:r w:rsidR="002D00EC" w:rsidRPr="0083744B">
        <w:rPr>
          <w:rFonts w:ascii="Arial" w:hAnsi="Arial" w:cs="Arial"/>
          <w:color w:val="000000" w:themeColor="text1"/>
          <w:sz w:val="22"/>
          <w:lang w:val="es-CO"/>
        </w:rPr>
        <w:t xml:space="preserve"> que han permitido que ciertas entidades queden excluidas de su aplicación, para que</w:t>
      </w:r>
      <w:r w:rsidR="00801DAE" w:rsidRPr="0083744B">
        <w:rPr>
          <w:rFonts w:ascii="Arial" w:hAnsi="Arial" w:cs="Arial"/>
          <w:color w:val="000000" w:themeColor="text1"/>
          <w:sz w:val="22"/>
          <w:lang w:val="es-CO"/>
        </w:rPr>
        <w:t>,</w:t>
      </w:r>
      <w:r w:rsidR="002D00EC" w:rsidRPr="0083744B">
        <w:rPr>
          <w:rFonts w:ascii="Arial" w:hAnsi="Arial" w:cs="Arial"/>
          <w:color w:val="000000" w:themeColor="text1"/>
          <w:sz w:val="22"/>
          <w:lang w:val="es-CO"/>
        </w:rPr>
        <w:t xml:space="preserve"> en su lugar, contraten al amparo de normas de derecho privado.</w:t>
      </w:r>
      <w:r w:rsidR="001C0A77" w:rsidRPr="0083744B">
        <w:rPr>
          <w:rFonts w:ascii="Arial" w:hAnsi="Arial" w:cs="Arial"/>
          <w:color w:val="000000" w:themeColor="text1"/>
          <w:sz w:val="22"/>
          <w:lang w:val="es-CO"/>
        </w:rPr>
        <w:t xml:space="preserve"> Las entidades exceptuadas de la aplicación del </w:t>
      </w:r>
      <w:r w:rsidR="00801DAE" w:rsidRPr="0083744B">
        <w:rPr>
          <w:rFonts w:ascii="Arial" w:hAnsi="Arial" w:cs="Arial"/>
          <w:color w:val="000000" w:themeColor="text1"/>
          <w:sz w:val="22"/>
          <w:lang w:val="es-CO"/>
        </w:rPr>
        <w:t>E</w:t>
      </w:r>
      <w:r w:rsidR="00226E4B" w:rsidRPr="0083744B">
        <w:rPr>
          <w:rFonts w:ascii="Arial" w:hAnsi="Arial" w:cs="Arial"/>
          <w:color w:val="000000" w:themeColor="text1"/>
          <w:sz w:val="22"/>
          <w:lang w:val="es-CO"/>
        </w:rPr>
        <w:t xml:space="preserve">statuto </w:t>
      </w:r>
      <w:r w:rsidR="00801DAE" w:rsidRPr="0083744B">
        <w:rPr>
          <w:rFonts w:ascii="Arial" w:hAnsi="Arial" w:cs="Arial"/>
          <w:color w:val="000000" w:themeColor="text1"/>
          <w:sz w:val="22"/>
          <w:lang w:val="es-CO"/>
        </w:rPr>
        <w:t>G</w:t>
      </w:r>
      <w:r w:rsidR="00226E4B" w:rsidRPr="0083744B">
        <w:rPr>
          <w:rFonts w:ascii="Arial" w:hAnsi="Arial" w:cs="Arial"/>
          <w:color w:val="000000" w:themeColor="text1"/>
          <w:sz w:val="22"/>
          <w:lang w:val="es-CO"/>
        </w:rPr>
        <w:t xml:space="preserve">eneral de </w:t>
      </w:r>
      <w:r w:rsidR="00801DAE" w:rsidRPr="0083744B">
        <w:rPr>
          <w:rFonts w:ascii="Arial" w:hAnsi="Arial" w:cs="Arial"/>
          <w:color w:val="000000" w:themeColor="text1"/>
          <w:sz w:val="22"/>
          <w:lang w:val="es-CO"/>
        </w:rPr>
        <w:t>Contratación de la Administración Pública</w:t>
      </w:r>
      <w:r w:rsidR="001C0A77" w:rsidRPr="0083744B">
        <w:rPr>
          <w:rFonts w:ascii="Arial" w:hAnsi="Arial" w:cs="Arial"/>
          <w:color w:val="000000" w:themeColor="text1"/>
          <w:sz w:val="22"/>
          <w:lang w:val="es-CO"/>
        </w:rPr>
        <w:t xml:space="preserve">, por autorización de la ley, acuden al régimen jurídico del derecho privado para </w:t>
      </w:r>
      <w:r w:rsidR="00D4223B" w:rsidRPr="0083744B">
        <w:rPr>
          <w:rFonts w:ascii="Arial" w:hAnsi="Arial" w:cs="Arial"/>
          <w:color w:val="000000" w:themeColor="text1"/>
          <w:sz w:val="22"/>
          <w:lang w:val="es-CO"/>
        </w:rPr>
        <w:t>regular sus contratos.</w:t>
      </w:r>
      <w:r w:rsidR="001C0A77" w:rsidRPr="0083744B">
        <w:rPr>
          <w:rFonts w:ascii="Arial" w:hAnsi="Arial" w:cs="Arial"/>
          <w:color w:val="000000" w:themeColor="text1"/>
          <w:sz w:val="22"/>
          <w:lang w:val="es-CO"/>
        </w:rPr>
        <w:t xml:space="preserve"> De todas maneras, la exclusión de que gozan las entidades de régimen especial previsto en </w:t>
      </w:r>
      <w:r w:rsidR="00C639C6" w:rsidRPr="0083744B">
        <w:rPr>
          <w:rFonts w:ascii="Arial" w:hAnsi="Arial" w:cs="Arial"/>
          <w:color w:val="000000" w:themeColor="text1"/>
          <w:sz w:val="22"/>
          <w:lang w:val="es-CO"/>
        </w:rPr>
        <w:t xml:space="preserve">dicho </w:t>
      </w:r>
      <w:r w:rsidR="001C0A77" w:rsidRPr="0083744B">
        <w:rPr>
          <w:rFonts w:ascii="Arial" w:hAnsi="Arial" w:cs="Arial"/>
          <w:color w:val="000000" w:themeColor="text1"/>
          <w:sz w:val="22"/>
          <w:lang w:val="es-CO"/>
        </w:rPr>
        <w:t xml:space="preserve">Estatuto no ha sido absoluta, </w:t>
      </w:r>
      <w:r w:rsidR="00C639C6" w:rsidRPr="0083744B">
        <w:rPr>
          <w:rFonts w:ascii="Arial" w:hAnsi="Arial" w:cs="Arial"/>
          <w:color w:val="000000" w:themeColor="text1"/>
          <w:sz w:val="22"/>
          <w:lang w:val="es-CO"/>
        </w:rPr>
        <w:t>pues deben observar</w:t>
      </w:r>
      <w:r w:rsidR="00664924" w:rsidRPr="0083744B">
        <w:rPr>
          <w:rFonts w:ascii="Arial" w:hAnsi="Arial" w:cs="Arial"/>
          <w:color w:val="000000" w:themeColor="text1"/>
          <w:sz w:val="22"/>
          <w:lang w:val="es-CO"/>
        </w:rPr>
        <w:t xml:space="preserve"> lo dispuesto en el artículo 13 de la Ley 1150 de 2007</w:t>
      </w:r>
      <w:r w:rsidR="001C0A77" w:rsidRPr="0083744B">
        <w:rPr>
          <w:rFonts w:ascii="Arial" w:hAnsi="Arial" w:cs="Arial"/>
          <w:color w:val="000000" w:themeColor="text1"/>
          <w:sz w:val="22"/>
          <w:lang w:val="es-CO"/>
        </w:rPr>
        <w:t xml:space="preserve">. </w:t>
      </w:r>
    </w:p>
    <w:p w14:paraId="3049230C" w14:textId="2B20909E" w:rsidR="00DB6E1A" w:rsidRPr="0083744B" w:rsidRDefault="00927E29" w:rsidP="00835C69">
      <w:pPr>
        <w:spacing w:after="120" w:line="276" w:lineRule="auto"/>
        <w:ind w:firstLine="708"/>
        <w:jc w:val="both"/>
        <w:rPr>
          <w:rFonts w:ascii="Arial" w:hAnsi="Arial" w:cs="Arial"/>
          <w:color w:val="000000" w:themeColor="text1"/>
          <w:sz w:val="22"/>
          <w:lang w:val="es-CO"/>
        </w:rPr>
      </w:pPr>
      <w:r w:rsidRPr="0083744B">
        <w:rPr>
          <w:rFonts w:ascii="Arial" w:hAnsi="Arial" w:cs="Arial"/>
          <w:color w:val="000000" w:themeColor="text1"/>
          <w:sz w:val="22"/>
          <w:lang w:val="es-CO"/>
        </w:rPr>
        <w:t xml:space="preserve">Lo anterior guarda consonancia </w:t>
      </w:r>
      <w:r w:rsidR="008A7396" w:rsidRPr="0083744B">
        <w:rPr>
          <w:rFonts w:ascii="Arial" w:hAnsi="Arial" w:cs="Arial"/>
          <w:color w:val="000000" w:themeColor="text1"/>
          <w:sz w:val="22"/>
          <w:lang w:val="es-CO"/>
        </w:rPr>
        <w:t>con que el</w:t>
      </w:r>
      <w:r w:rsidR="00E640B2" w:rsidRPr="0083744B">
        <w:rPr>
          <w:rFonts w:ascii="Arial" w:hAnsi="Arial" w:cs="Arial"/>
          <w:color w:val="000000" w:themeColor="text1"/>
          <w:sz w:val="22"/>
          <w:lang w:val="es-CO"/>
        </w:rPr>
        <w:t xml:space="preserve"> </w:t>
      </w:r>
      <w:r w:rsidR="008A7396" w:rsidRPr="0083744B">
        <w:rPr>
          <w:rFonts w:ascii="Arial" w:hAnsi="Arial" w:cs="Arial"/>
          <w:color w:val="000000" w:themeColor="text1"/>
          <w:sz w:val="22"/>
          <w:lang w:val="es-CO"/>
        </w:rPr>
        <w:t xml:space="preserve">artículo </w:t>
      </w:r>
      <w:r w:rsidR="004B5C64" w:rsidRPr="0083744B">
        <w:rPr>
          <w:rFonts w:ascii="Arial" w:hAnsi="Arial" w:cs="Arial"/>
          <w:color w:val="000000" w:themeColor="text1"/>
          <w:sz w:val="22"/>
          <w:lang w:val="es-CO"/>
        </w:rPr>
        <w:t xml:space="preserve">2.2.1.1.1.5.7 </w:t>
      </w:r>
      <w:r w:rsidR="008A7396" w:rsidRPr="0083744B">
        <w:rPr>
          <w:rStyle w:val="Textoennegrita"/>
          <w:rFonts w:ascii="Arial" w:hAnsi="Arial" w:cs="Arial"/>
          <w:b w:val="0"/>
          <w:bCs w:val="0"/>
          <w:color w:val="000000" w:themeColor="text1"/>
          <w:sz w:val="22"/>
          <w:shd w:val="clear" w:color="auto" w:fill="FFFFFF"/>
        </w:rPr>
        <w:t xml:space="preserve">del Decreto 1082 de 2015, al reglamentar las condiciones de la información sobre sanciones e inhabilidades </w:t>
      </w:r>
      <w:r w:rsidR="008A7396" w:rsidRPr="0083744B">
        <w:rPr>
          <w:rStyle w:val="Textoennegrita"/>
          <w:rFonts w:ascii="Arial" w:hAnsi="Arial" w:cs="Arial"/>
          <w:b w:val="0"/>
          <w:bCs w:val="0"/>
          <w:color w:val="000000" w:themeColor="text1"/>
          <w:sz w:val="22"/>
          <w:shd w:val="clear" w:color="auto" w:fill="FFFFFF"/>
        </w:rPr>
        <w:lastRenderedPageBreak/>
        <w:t xml:space="preserve">de los contratos suscritos por entidades públicas, estableció que las entidades estatales deben remitir copia del acto administrativo </w:t>
      </w:r>
      <w:r w:rsidR="00066C20" w:rsidRPr="0083744B">
        <w:rPr>
          <w:rStyle w:val="Textoennegrita"/>
          <w:rFonts w:ascii="Arial" w:hAnsi="Arial" w:cs="Arial"/>
          <w:b w:val="0"/>
          <w:bCs w:val="0"/>
          <w:color w:val="000000" w:themeColor="text1"/>
          <w:sz w:val="22"/>
          <w:shd w:val="clear" w:color="auto" w:fill="FFFFFF"/>
        </w:rPr>
        <w:t xml:space="preserve">que haya impuesto la </w:t>
      </w:r>
      <w:r w:rsidR="008A7396" w:rsidRPr="0083744B">
        <w:rPr>
          <w:rStyle w:val="Textoennegrita"/>
          <w:rFonts w:ascii="Arial" w:hAnsi="Arial" w:cs="Arial"/>
          <w:b w:val="0"/>
          <w:bCs w:val="0"/>
          <w:color w:val="000000" w:themeColor="text1"/>
          <w:sz w:val="22"/>
          <w:shd w:val="clear" w:color="auto" w:fill="FFFFFF"/>
        </w:rPr>
        <w:t xml:space="preserve">sanción. </w:t>
      </w:r>
      <w:r w:rsidR="000A5DB8" w:rsidRPr="0083744B">
        <w:rPr>
          <w:rFonts w:ascii="Arial" w:hAnsi="Arial" w:cs="Arial"/>
          <w:color w:val="000000" w:themeColor="text1"/>
          <w:sz w:val="22"/>
        </w:rPr>
        <w:t xml:space="preserve">Esta disposición </w:t>
      </w:r>
      <w:r w:rsidR="001219CC" w:rsidRPr="0083744B">
        <w:rPr>
          <w:rFonts w:ascii="Arial" w:hAnsi="Arial" w:cs="Arial"/>
          <w:color w:val="000000" w:themeColor="text1"/>
          <w:sz w:val="22"/>
        </w:rPr>
        <w:t>restringe</w:t>
      </w:r>
      <w:r w:rsidR="00835C69" w:rsidRPr="0083744B">
        <w:rPr>
          <w:rFonts w:ascii="Arial" w:hAnsi="Arial" w:cs="Arial"/>
          <w:color w:val="000000" w:themeColor="text1"/>
          <w:sz w:val="22"/>
        </w:rPr>
        <w:t xml:space="preserve"> </w:t>
      </w:r>
      <w:proofErr w:type="spellStart"/>
      <w:r w:rsidR="00066C20" w:rsidRPr="0083744B">
        <w:rPr>
          <w:rFonts w:ascii="Arial" w:hAnsi="Arial" w:cs="Arial"/>
          <w:color w:val="000000" w:themeColor="text1"/>
          <w:sz w:val="22"/>
        </w:rPr>
        <w:t>aun</w:t>
      </w:r>
      <w:proofErr w:type="spellEnd"/>
      <w:r w:rsidR="00066C20" w:rsidRPr="0083744B">
        <w:rPr>
          <w:rFonts w:ascii="Arial" w:hAnsi="Arial" w:cs="Arial"/>
          <w:color w:val="000000" w:themeColor="text1"/>
          <w:sz w:val="22"/>
        </w:rPr>
        <w:t xml:space="preserve"> </w:t>
      </w:r>
      <w:r w:rsidR="00835C69" w:rsidRPr="0083744B">
        <w:rPr>
          <w:rFonts w:ascii="Arial" w:hAnsi="Arial" w:cs="Arial"/>
          <w:color w:val="000000" w:themeColor="text1"/>
          <w:sz w:val="22"/>
        </w:rPr>
        <w:t xml:space="preserve">más </w:t>
      </w:r>
      <w:r w:rsidR="001219CC" w:rsidRPr="0083744B">
        <w:rPr>
          <w:rFonts w:ascii="Arial" w:hAnsi="Arial" w:cs="Arial"/>
          <w:color w:val="000000" w:themeColor="text1"/>
          <w:sz w:val="22"/>
        </w:rPr>
        <w:t>el alcance</w:t>
      </w:r>
      <w:r w:rsidR="000A5DB8" w:rsidRPr="0083744B">
        <w:rPr>
          <w:rFonts w:ascii="Arial" w:hAnsi="Arial" w:cs="Arial"/>
          <w:color w:val="000000" w:themeColor="text1"/>
          <w:sz w:val="22"/>
        </w:rPr>
        <w:t xml:space="preserve"> de los sujetos destinatarios de esta norma, </w:t>
      </w:r>
      <w:r w:rsidR="00176FD4" w:rsidRPr="0083744B">
        <w:rPr>
          <w:rFonts w:ascii="Arial" w:hAnsi="Arial" w:cs="Arial"/>
          <w:color w:val="000000" w:themeColor="text1"/>
          <w:sz w:val="22"/>
        </w:rPr>
        <w:t>porque</w:t>
      </w:r>
      <w:r w:rsidR="00896974" w:rsidRPr="0083744B">
        <w:rPr>
          <w:rFonts w:ascii="Arial" w:hAnsi="Arial" w:cs="Arial"/>
          <w:color w:val="000000" w:themeColor="text1"/>
          <w:sz w:val="22"/>
        </w:rPr>
        <w:t xml:space="preserve"> las entidades </w:t>
      </w:r>
      <w:r w:rsidR="00754FD2" w:rsidRPr="0083744B">
        <w:rPr>
          <w:rFonts w:ascii="Arial" w:hAnsi="Arial" w:cs="Arial"/>
          <w:color w:val="000000" w:themeColor="text1"/>
          <w:sz w:val="22"/>
        </w:rPr>
        <w:t>exceptuadas del Estatuto General de Contratación de la Administración Pública, cuyos negocios jurídicos se rigen por el derecho privado</w:t>
      </w:r>
      <w:r w:rsidR="00974CC1" w:rsidRPr="0083744B">
        <w:rPr>
          <w:rFonts w:ascii="Arial" w:hAnsi="Arial" w:cs="Arial"/>
          <w:color w:val="000000" w:themeColor="text1"/>
          <w:sz w:val="22"/>
        </w:rPr>
        <w:t>, no imponen sanciones y multas a través de la expedición de actos administrativos</w:t>
      </w:r>
      <w:r w:rsidR="00A1728D" w:rsidRPr="0083744B">
        <w:rPr>
          <w:rFonts w:ascii="Arial" w:hAnsi="Arial" w:cs="Arial"/>
          <w:color w:val="000000" w:themeColor="text1"/>
          <w:sz w:val="22"/>
        </w:rPr>
        <w:t>.</w:t>
      </w:r>
      <w:r w:rsidR="00E640B2" w:rsidRPr="0083744B">
        <w:rPr>
          <w:rFonts w:ascii="Arial" w:hAnsi="Arial" w:cs="Arial"/>
          <w:color w:val="000000" w:themeColor="text1"/>
          <w:sz w:val="22"/>
          <w:lang w:val="es-CO"/>
        </w:rPr>
        <w:t xml:space="preserve"> </w:t>
      </w:r>
    </w:p>
    <w:p w14:paraId="4C38EB51" w14:textId="4E2D1284" w:rsidR="00B75B2B" w:rsidRPr="0083744B" w:rsidRDefault="00FD7CC6" w:rsidP="00B82E7E">
      <w:pPr>
        <w:spacing w:after="120" w:line="276" w:lineRule="auto"/>
        <w:ind w:firstLine="708"/>
        <w:jc w:val="both"/>
        <w:rPr>
          <w:rFonts w:ascii="Arial" w:hAnsi="Arial" w:cs="Arial"/>
          <w:color w:val="000000" w:themeColor="text1"/>
          <w:sz w:val="22"/>
          <w:lang w:val="es-CO"/>
        </w:rPr>
      </w:pPr>
      <w:r w:rsidRPr="0083744B">
        <w:rPr>
          <w:rFonts w:ascii="Arial" w:hAnsi="Arial" w:cs="Arial"/>
          <w:color w:val="000000" w:themeColor="text1"/>
          <w:sz w:val="22"/>
        </w:rPr>
        <w:t xml:space="preserve">Entonces, </w:t>
      </w:r>
      <w:r w:rsidR="00940E33" w:rsidRPr="0083744B">
        <w:rPr>
          <w:rFonts w:ascii="Arial" w:hAnsi="Arial" w:cs="Arial"/>
          <w:color w:val="000000" w:themeColor="text1"/>
          <w:sz w:val="22"/>
        </w:rPr>
        <w:t>en respuesta a</w:t>
      </w:r>
      <w:r w:rsidRPr="0083744B">
        <w:rPr>
          <w:rFonts w:ascii="Arial" w:hAnsi="Arial" w:cs="Arial"/>
          <w:color w:val="000000" w:themeColor="text1"/>
          <w:sz w:val="22"/>
        </w:rPr>
        <w:t xml:space="preserve"> su consulta, haciendo abstracción del caso concreto, </w:t>
      </w:r>
      <w:r w:rsidR="00940E33" w:rsidRPr="0083744B">
        <w:rPr>
          <w:rFonts w:ascii="Arial" w:hAnsi="Arial" w:cs="Arial"/>
          <w:color w:val="000000" w:themeColor="text1"/>
          <w:sz w:val="22"/>
        </w:rPr>
        <w:t xml:space="preserve">puede decirse que a las </w:t>
      </w:r>
      <w:r w:rsidRPr="0083744B">
        <w:rPr>
          <w:rFonts w:ascii="Arial" w:hAnsi="Arial" w:cs="Arial"/>
          <w:color w:val="000000" w:themeColor="text1"/>
          <w:sz w:val="22"/>
        </w:rPr>
        <w:t xml:space="preserve">entidades sometidas al régimen de derecho privado </w:t>
      </w:r>
      <w:r w:rsidR="004A0275" w:rsidRPr="0083744B">
        <w:rPr>
          <w:rFonts w:ascii="Arial" w:hAnsi="Arial" w:cs="Arial"/>
          <w:color w:val="000000" w:themeColor="text1"/>
          <w:sz w:val="22"/>
        </w:rPr>
        <w:t>n</w:t>
      </w:r>
      <w:r w:rsidRPr="0083744B">
        <w:rPr>
          <w:rFonts w:ascii="Arial" w:hAnsi="Arial" w:cs="Arial"/>
          <w:color w:val="000000" w:themeColor="text1"/>
          <w:sz w:val="22"/>
        </w:rPr>
        <w:t>o les resulta aplicable el artículo 2.2.1.1.1.5.7. del Decreto 1082 de 2015</w:t>
      </w:r>
      <w:r w:rsidR="00940E33" w:rsidRPr="0083744B">
        <w:rPr>
          <w:rFonts w:ascii="Arial" w:hAnsi="Arial" w:cs="Arial"/>
          <w:color w:val="000000" w:themeColor="text1"/>
          <w:sz w:val="22"/>
        </w:rPr>
        <w:t>,</w:t>
      </w:r>
      <w:r w:rsidRPr="0083744B">
        <w:rPr>
          <w:rFonts w:ascii="Arial" w:hAnsi="Arial" w:cs="Arial"/>
          <w:color w:val="000000" w:themeColor="text1"/>
          <w:sz w:val="22"/>
        </w:rPr>
        <w:t xml:space="preserve"> porque, con base en las consideraciones anteriores, es claro que la obligación de remitir información sobre sanciones e inhabilidades de naturaleza contractual a las cámaras de comercio es predicable solo </w:t>
      </w:r>
      <w:r w:rsidR="006F5504" w:rsidRPr="0083744B">
        <w:rPr>
          <w:rFonts w:ascii="Arial" w:hAnsi="Arial" w:cs="Arial"/>
          <w:color w:val="000000" w:themeColor="text1"/>
          <w:sz w:val="22"/>
        </w:rPr>
        <w:t>respecto de</w:t>
      </w:r>
      <w:r w:rsidRPr="0083744B">
        <w:rPr>
          <w:rFonts w:ascii="Arial" w:hAnsi="Arial" w:cs="Arial"/>
          <w:color w:val="000000" w:themeColor="text1"/>
          <w:sz w:val="22"/>
        </w:rPr>
        <w:t xml:space="preserve"> las entidades públicas que estén sometidas </w:t>
      </w:r>
      <w:r w:rsidRPr="0083744B">
        <w:rPr>
          <w:rFonts w:ascii="Arial" w:hAnsi="Arial" w:cs="Arial"/>
          <w:color w:val="000000" w:themeColor="text1"/>
          <w:sz w:val="22"/>
          <w:lang w:val="es-CO"/>
        </w:rPr>
        <w:t>Estatuto General de la Contratación de la Administración Pública</w:t>
      </w:r>
      <w:r w:rsidR="004A6E42" w:rsidRPr="0083744B">
        <w:rPr>
          <w:rFonts w:ascii="Arial" w:hAnsi="Arial" w:cs="Arial"/>
          <w:color w:val="000000" w:themeColor="text1"/>
          <w:sz w:val="22"/>
          <w:lang w:val="es-CO"/>
        </w:rPr>
        <w:t xml:space="preserve">. </w:t>
      </w:r>
      <w:r w:rsidR="002F7E69" w:rsidRPr="0083744B">
        <w:rPr>
          <w:rFonts w:ascii="Arial" w:hAnsi="Arial" w:cs="Arial"/>
          <w:color w:val="000000" w:themeColor="text1"/>
          <w:sz w:val="22"/>
          <w:lang w:val="es-CO"/>
        </w:rPr>
        <w:t xml:space="preserve">Con todo, será cada entidad </w:t>
      </w:r>
      <w:r w:rsidR="00B52C4D" w:rsidRPr="0083744B">
        <w:rPr>
          <w:rFonts w:ascii="Arial" w:hAnsi="Arial" w:cs="Arial"/>
          <w:color w:val="000000" w:themeColor="text1"/>
          <w:sz w:val="22"/>
          <w:lang w:val="es-CO"/>
        </w:rPr>
        <w:t>la que</w:t>
      </w:r>
      <w:r w:rsidR="002F7E69" w:rsidRPr="0083744B">
        <w:rPr>
          <w:rFonts w:ascii="Arial" w:hAnsi="Arial" w:cs="Arial"/>
          <w:color w:val="000000" w:themeColor="text1"/>
          <w:sz w:val="22"/>
          <w:lang w:val="es-CO"/>
        </w:rPr>
        <w:t>, en cada caso concreto</w:t>
      </w:r>
      <w:r w:rsidR="00B52C4D" w:rsidRPr="0083744B">
        <w:rPr>
          <w:rFonts w:ascii="Arial" w:hAnsi="Arial" w:cs="Arial"/>
          <w:color w:val="000000" w:themeColor="text1"/>
          <w:sz w:val="22"/>
          <w:lang w:val="es-CO"/>
        </w:rPr>
        <w:t>,</w:t>
      </w:r>
      <w:r w:rsidR="002F7E69" w:rsidRPr="0083744B">
        <w:rPr>
          <w:rFonts w:ascii="Arial" w:hAnsi="Arial" w:cs="Arial"/>
          <w:color w:val="000000" w:themeColor="text1"/>
          <w:sz w:val="22"/>
          <w:lang w:val="es-CO"/>
        </w:rPr>
        <w:t xml:space="preserve"> deberá establecer si corresponde o no reportar a las cámaras de comercio </w:t>
      </w:r>
      <w:r w:rsidR="009F2744" w:rsidRPr="0083744B">
        <w:rPr>
          <w:rFonts w:ascii="Arial" w:hAnsi="Arial" w:cs="Arial"/>
          <w:color w:val="000000" w:themeColor="text1"/>
          <w:sz w:val="22"/>
          <w:lang w:val="es-CO"/>
        </w:rPr>
        <w:t xml:space="preserve">las sanciones que imponga a sus contratistas en el marco de la ejecución de sus contratos, pues son quienes conocen la naturaleza jurídica de las decisiones que adoptan y en ejercicio de qué facultades lo hacen. </w:t>
      </w:r>
    </w:p>
    <w:p w14:paraId="687CB649" w14:textId="652E60D7" w:rsidR="00A37FB6" w:rsidRPr="0083744B" w:rsidRDefault="002277B9" w:rsidP="002277B9">
      <w:pPr>
        <w:pStyle w:val="Prrafodelista"/>
        <w:tabs>
          <w:tab w:val="left" w:pos="284"/>
        </w:tabs>
        <w:spacing w:line="276" w:lineRule="auto"/>
        <w:ind w:left="0"/>
        <w:jc w:val="both"/>
        <w:rPr>
          <w:rFonts w:ascii="Arial" w:eastAsia="Calibri" w:hAnsi="Arial" w:cs="Arial"/>
          <w:color w:val="000000" w:themeColor="text1"/>
          <w:sz w:val="22"/>
        </w:rPr>
      </w:pPr>
      <w:r w:rsidRPr="0083744B">
        <w:rPr>
          <w:rFonts w:ascii="Arial" w:eastAsia="Calibri" w:hAnsi="Arial" w:cs="Arial"/>
          <w:b/>
          <w:color w:val="000000" w:themeColor="text1"/>
          <w:sz w:val="22"/>
        </w:rPr>
        <w:t xml:space="preserve">3. </w:t>
      </w:r>
      <w:r w:rsidR="00A37FB6" w:rsidRPr="0083744B">
        <w:rPr>
          <w:rFonts w:ascii="Arial" w:eastAsia="Calibri" w:hAnsi="Arial" w:cs="Arial"/>
          <w:b/>
          <w:color w:val="000000" w:themeColor="text1"/>
          <w:sz w:val="22"/>
        </w:rPr>
        <w:t>Respuestas</w:t>
      </w:r>
    </w:p>
    <w:p w14:paraId="1369FD7E" w14:textId="77777777" w:rsidR="00A37FB6" w:rsidRPr="0083744B" w:rsidRDefault="00A37FB6" w:rsidP="00E35B91">
      <w:pPr>
        <w:ind w:left="709" w:right="709"/>
        <w:jc w:val="both"/>
        <w:rPr>
          <w:rFonts w:ascii="Arial" w:eastAsia="Calibri" w:hAnsi="Arial" w:cs="Arial"/>
          <w:iCs/>
          <w:color w:val="000000" w:themeColor="text1"/>
          <w:sz w:val="22"/>
        </w:rPr>
      </w:pPr>
    </w:p>
    <w:p w14:paraId="1763BC4E" w14:textId="77777777" w:rsidR="00D96938" w:rsidRPr="00D96938" w:rsidRDefault="00D96938" w:rsidP="00D96938">
      <w:pPr>
        <w:spacing w:after="120"/>
        <w:ind w:left="709" w:right="709"/>
        <w:jc w:val="both"/>
        <w:rPr>
          <w:rFonts w:ascii="Arial" w:hAnsi="Arial" w:cs="Arial"/>
          <w:color w:val="000000" w:themeColor="text1"/>
          <w:sz w:val="21"/>
          <w:szCs w:val="21"/>
        </w:rPr>
      </w:pPr>
      <w:r w:rsidRPr="00D96938">
        <w:rPr>
          <w:rFonts w:ascii="Arial" w:hAnsi="Arial" w:cs="Arial"/>
          <w:color w:val="000000" w:themeColor="text1"/>
          <w:sz w:val="21"/>
          <w:szCs w:val="21"/>
          <w:lang w:val="es-ES_tradnl"/>
        </w:rPr>
        <w:t>«</w:t>
      </w:r>
      <w:r w:rsidRPr="00D96938">
        <w:rPr>
          <w:rFonts w:ascii="Arial" w:hAnsi="Arial" w:cs="Arial"/>
          <w:color w:val="000000" w:themeColor="text1"/>
          <w:sz w:val="21"/>
          <w:szCs w:val="21"/>
        </w:rPr>
        <w:t xml:space="preserve">1. ¿Las disposiciones incluidas en el Articulo 2.2.1.1.1.5.7 del Decreto 1082 de 2015, resultan aplicables a la gestión contractual adelantada por el Patrimonio Autónomo </w:t>
      </w:r>
      <w:proofErr w:type="spellStart"/>
      <w:r w:rsidRPr="00D96938">
        <w:rPr>
          <w:rFonts w:ascii="Arial" w:hAnsi="Arial" w:cs="Arial"/>
          <w:color w:val="000000" w:themeColor="text1"/>
          <w:sz w:val="21"/>
          <w:szCs w:val="21"/>
        </w:rPr>
        <w:t>Aerocafé</w:t>
      </w:r>
      <w:proofErr w:type="spellEnd"/>
      <w:r w:rsidRPr="00D96938">
        <w:rPr>
          <w:rFonts w:ascii="Arial" w:hAnsi="Arial" w:cs="Arial"/>
          <w:color w:val="000000" w:themeColor="text1"/>
          <w:sz w:val="21"/>
          <w:szCs w:val="21"/>
        </w:rPr>
        <w:t>, cuyo régimen de contratación es el del derecho privado, pero que debe dar plena observancia de los principios de transparencia, economía, igualdad y publicidad, definidos por la Constitución y la Ley en el sentido que administra recursos públicos provenientes de su Fideicomitente Aeronáutica Civil el cual, es una entidad del estado del orden nacional, así como aportes de la región?</w:t>
      </w:r>
    </w:p>
    <w:p w14:paraId="683BA82B" w14:textId="77777777" w:rsidR="00D96938" w:rsidRPr="00D96938" w:rsidRDefault="00D96938" w:rsidP="00D96938">
      <w:pPr>
        <w:spacing w:after="120"/>
        <w:ind w:left="709" w:right="709"/>
        <w:jc w:val="both"/>
        <w:rPr>
          <w:rFonts w:ascii="Arial" w:hAnsi="Arial" w:cs="Arial"/>
          <w:color w:val="000000" w:themeColor="text1"/>
          <w:sz w:val="21"/>
          <w:szCs w:val="21"/>
        </w:rPr>
      </w:pPr>
      <w:r w:rsidRPr="00D96938">
        <w:rPr>
          <w:rFonts w:ascii="Arial" w:hAnsi="Arial" w:cs="Arial"/>
          <w:color w:val="000000" w:themeColor="text1"/>
          <w:sz w:val="21"/>
          <w:szCs w:val="21"/>
        </w:rPr>
        <w:t xml:space="preserve">2. El Patrimonio Autónomo </w:t>
      </w:r>
      <w:proofErr w:type="spellStart"/>
      <w:r w:rsidRPr="00D96938">
        <w:rPr>
          <w:rFonts w:ascii="Arial" w:hAnsi="Arial" w:cs="Arial"/>
          <w:color w:val="000000" w:themeColor="text1"/>
          <w:sz w:val="21"/>
          <w:szCs w:val="21"/>
        </w:rPr>
        <w:t>Aerocafé</w:t>
      </w:r>
      <w:proofErr w:type="spellEnd"/>
      <w:r w:rsidRPr="00D96938">
        <w:rPr>
          <w:rFonts w:ascii="Arial" w:hAnsi="Arial" w:cs="Arial"/>
          <w:color w:val="000000" w:themeColor="text1"/>
          <w:sz w:val="21"/>
          <w:szCs w:val="21"/>
        </w:rPr>
        <w:t>, constituido con recursos públicos de aportes región y Nación según CONPES 4026 del 08 de marzo de 2021 y cuyo fideicomitente es Aeronáutica Civil, en cumplimiento de lo señalado en el artículo 67 de la Ley 1955, debe dar plena observancia de los principios de transparencia, economía, igualdad y publicidad, definidos por la Constitución y la Ley, le debe enviar mensualmente a las cámaras de comercio de su domicilio, copia de los actos administrativos en firme, por medio de los cuales impusieron multas y sanciones de los contratos que hayan suscrito?</w:t>
      </w:r>
    </w:p>
    <w:p w14:paraId="53AF5D6D" w14:textId="77777777" w:rsidR="00D96938" w:rsidRPr="00D96938" w:rsidRDefault="00D96938" w:rsidP="00D96938">
      <w:pPr>
        <w:spacing w:after="120"/>
        <w:ind w:left="709" w:right="709"/>
        <w:jc w:val="both"/>
        <w:rPr>
          <w:rFonts w:ascii="Arial" w:hAnsi="Arial" w:cs="Arial"/>
          <w:color w:val="000000" w:themeColor="text1"/>
          <w:sz w:val="21"/>
          <w:szCs w:val="21"/>
        </w:rPr>
      </w:pPr>
      <w:r w:rsidRPr="00D96938">
        <w:rPr>
          <w:rFonts w:ascii="Arial" w:hAnsi="Arial" w:cs="Arial"/>
          <w:color w:val="000000" w:themeColor="text1"/>
          <w:sz w:val="21"/>
          <w:szCs w:val="21"/>
        </w:rPr>
        <w:t xml:space="preserve">3. En caso afirmativo respecto de lo planteado en el numeral en el numeral 1, se solicita indicar cuales son las medidas y/o acciones que se deben adelantar respecto al reporte de la información a las Cámaras de Comercio de los actos ejecutoriados que declaren la caducidad, impongan multas, sanciones o declaren el incumplimiento? </w:t>
      </w:r>
    </w:p>
    <w:p w14:paraId="099FF658" w14:textId="77777777" w:rsidR="00D96938" w:rsidRPr="00D96938" w:rsidRDefault="00D96938" w:rsidP="00D96938">
      <w:pPr>
        <w:spacing w:after="120"/>
        <w:ind w:left="709" w:right="709"/>
        <w:jc w:val="both"/>
        <w:rPr>
          <w:rFonts w:ascii="Arial" w:hAnsi="Arial" w:cs="Arial"/>
          <w:color w:val="000000" w:themeColor="text1"/>
          <w:sz w:val="21"/>
          <w:szCs w:val="21"/>
        </w:rPr>
      </w:pPr>
      <w:r w:rsidRPr="00D96938">
        <w:rPr>
          <w:rFonts w:ascii="Arial" w:hAnsi="Arial" w:cs="Arial"/>
          <w:color w:val="000000" w:themeColor="text1"/>
          <w:sz w:val="21"/>
          <w:szCs w:val="21"/>
        </w:rPr>
        <w:lastRenderedPageBreak/>
        <w:t xml:space="preserve">4. ¿En caso afirmativo respecto de lo planteado en el numeral 1, se solicita indicar que entidad estaría obligada a realizar dicho reporte, es decir, el fideicomitente del Patrimonio Autónomo AEROCAFE, Aerocivil, la Unidad de Gestión o la Fiduciaria Scotiabank Colpatria S.A. actuando como vocero y administrador del Patrimonio Autónomo </w:t>
      </w:r>
      <w:proofErr w:type="spellStart"/>
      <w:r w:rsidRPr="00D96938">
        <w:rPr>
          <w:rFonts w:ascii="Arial" w:hAnsi="Arial" w:cs="Arial"/>
          <w:color w:val="000000" w:themeColor="text1"/>
          <w:sz w:val="21"/>
          <w:szCs w:val="21"/>
        </w:rPr>
        <w:t>Aerocafé</w:t>
      </w:r>
      <w:proofErr w:type="spellEnd"/>
      <w:r w:rsidRPr="00D96938">
        <w:rPr>
          <w:rFonts w:ascii="Arial" w:hAnsi="Arial" w:cs="Arial"/>
          <w:color w:val="000000" w:themeColor="text1"/>
          <w:sz w:val="21"/>
          <w:szCs w:val="21"/>
        </w:rPr>
        <w:t>?</w:t>
      </w:r>
    </w:p>
    <w:p w14:paraId="58BA35FB" w14:textId="77777777" w:rsidR="00D96938" w:rsidRPr="00D96938" w:rsidRDefault="00D96938" w:rsidP="00D96938">
      <w:pPr>
        <w:spacing w:after="120"/>
        <w:ind w:left="709" w:right="709"/>
        <w:jc w:val="both"/>
        <w:rPr>
          <w:rFonts w:ascii="Arial" w:hAnsi="Arial" w:cs="Arial"/>
          <w:color w:val="000000" w:themeColor="text1"/>
          <w:sz w:val="21"/>
          <w:szCs w:val="21"/>
          <w:lang w:val="es-ES_tradnl"/>
        </w:rPr>
      </w:pPr>
      <w:r w:rsidRPr="00D96938">
        <w:rPr>
          <w:rFonts w:ascii="Arial" w:hAnsi="Arial" w:cs="Arial"/>
          <w:color w:val="000000" w:themeColor="text1"/>
          <w:sz w:val="21"/>
          <w:szCs w:val="21"/>
        </w:rPr>
        <w:t xml:space="preserve">5. ¿En caso afirmativo respecto de lo planteado en el numeral 1, con base en la normativa expuesta, frente a la naturaleza jurídica del Patrimonio Autónomo </w:t>
      </w:r>
      <w:proofErr w:type="spellStart"/>
      <w:r w:rsidRPr="00D96938">
        <w:rPr>
          <w:rFonts w:ascii="Arial" w:hAnsi="Arial" w:cs="Arial"/>
          <w:color w:val="000000" w:themeColor="text1"/>
          <w:sz w:val="21"/>
          <w:szCs w:val="21"/>
        </w:rPr>
        <w:t>Aerocafé</w:t>
      </w:r>
      <w:proofErr w:type="spellEnd"/>
      <w:r w:rsidRPr="00D96938">
        <w:rPr>
          <w:rFonts w:ascii="Arial" w:hAnsi="Arial" w:cs="Arial"/>
          <w:color w:val="000000" w:themeColor="text1"/>
          <w:sz w:val="21"/>
          <w:szCs w:val="21"/>
        </w:rPr>
        <w:t xml:space="preserve"> y como quiera que el mismo no emite actos administrativos en el marco de su gestión contractual, con base en que documentación se debe adelantar el reporte de la información?</w:t>
      </w:r>
      <w:r w:rsidRPr="00D96938">
        <w:rPr>
          <w:rFonts w:ascii="Arial" w:hAnsi="Arial" w:cs="Arial"/>
          <w:color w:val="000000" w:themeColor="text1"/>
          <w:sz w:val="21"/>
          <w:szCs w:val="21"/>
          <w:lang w:val="es-ES_tradnl"/>
        </w:rPr>
        <w:t>».</w:t>
      </w:r>
    </w:p>
    <w:p w14:paraId="43B29908" w14:textId="77777777" w:rsidR="00FD7CC6" w:rsidRPr="0083744B" w:rsidRDefault="00FD7CC6" w:rsidP="001F7253">
      <w:pPr>
        <w:spacing w:after="120" w:line="276" w:lineRule="auto"/>
        <w:ind w:firstLine="708"/>
        <w:jc w:val="both"/>
        <w:rPr>
          <w:rFonts w:ascii="Arial" w:hAnsi="Arial" w:cs="Arial"/>
          <w:color w:val="000000" w:themeColor="text1"/>
          <w:sz w:val="22"/>
          <w:szCs w:val="24"/>
          <w:lang w:val="es-CO"/>
        </w:rPr>
      </w:pPr>
    </w:p>
    <w:p w14:paraId="1D507211" w14:textId="120E4C96" w:rsidR="00436AFF" w:rsidRDefault="00132CD6" w:rsidP="00D96938">
      <w:pPr>
        <w:spacing w:line="276" w:lineRule="auto"/>
        <w:jc w:val="both"/>
        <w:rPr>
          <w:rFonts w:ascii="Arial" w:hAnsi="Arial" w:cs="Arial"/>
          <w:color w:val="000000" w:themeColor="text1"/>
          <w:sz w:val="22"/>
          <w:lang w:val="es-CO"/>
        </w:rPr>
      </w:pPr>
      <w:r w:rsidRPr="0083744B">
        <w:rPr>
          <w:rFonts w:ascii="Arial" w:hAnsi="Arial" w:cs="Arial"/>
          <w:color w:val="000000" w:themeColor="text1"/>
          <w:sz w:val="22"/>
        </w:rPr>
        <w:t xml:space="preserve">En respuesta a su consulta, haciendo abstracción del caso concreto, puede decirse </w:t>
      </w:r>
      <w:proofErr w:type="gramStart"/>
      <w:r w:rsidRPr="0083744B">
        <w:rPr>
          <w:rFonts w:ascii="Arial" w:hAnsi="Arial" w:cs="Arial"/>
          <w:color w:val="000000" w:themeColor="text1"/>
          <w:sz w:val="22"/>
        </w:rPr>
        <w:t>que</w:t>
      </w:r>
      <w:proofErr w:type="gramEnd"/>
      <w:r w:rsidRPr="0083744B">
        <w:rPr>
          <w:rFonts w:ascii="Arial" w:hAnsi="Arial" w:cs="Arial"/>
          <w:color w:val="000000" w:themeColor="text1"/>
          <w:sz w:val="22"/>
        </w:rPr>
        <w:t xml:space="preserve"> a las entidades sometidas, en materia contractual, al régimen de derecho privado no les resulta aplicable el artículo 2.2.1.1.1.5.7. del Decreto 1082 de 2015, porque</w:t>
      </w:r>
      <w:r w:rsidR="00D96938">
        <w:rPr>
          <w:rFonts w:ascii="Arial" w:hAnsi="Arial" w:cs="Arial"/>
          <w:color w:val="000000" w:themeColor="text1"/>
          <w:sz w:val="22"/>
        </w:rPr>
        <w:t xml:space="preserve"> </w:t>
      </w:r>
      <w:r w:rsidRPr="0083744B">
        <w:rPr>
          <w:rFonts w:ascii="Arial" w:hAnsi="Arial" w:cs="Arial"/>
          <w:color w:val="000000" w:themeColor="text1"/>
          <w:sz w:val="22"/>
        </w:rPr>
        <w:t xml:space="preserve">es claro que la obligación de remitir información sobre sanciones e inhabilidades de naturaleza contractual a las cámaras de comercio es predicable solo respecto de las entidades públicas que estén sometidas </w:t>
      </w:r>
      <w:r w:rsidRPr="0083744B">
        <w:rPr>
          <w:rFonts w:ascii="Arial" w:hAnsi="Arial" w:cs="Arial"/>
          <w:color w:val="000000" w:themeColor="text1"/>
          <w:sz w:val="22"/>
          <w:lang w:val="es-CO"/>
        </w:rPr>
        <w:t xml:space="preserve">Estatuto General de la Contratación de la Administración Pública. </w:t>
      </w:r>
    </w:p>
    <w:p w14:paraId="5F5D6E10" w14:textId="487BB708" w:rsidR="00132CD6" w:rsidRPr="0083744B" w:rsidRDefault="00132CD6" w:rsidP="0083744B">
      <w:pPr>
        <w:spacing w:before="120" w:line="276" w:lineRule="auto"/>
        <w:ind w:firstLine="709"/>
        <w:jc w:val="both"/>
        <w:rPr>
          <w:rFonts w:ascii="Arial" w:hAnsi="Arial" w:cs="Arial"/>
          <w:color w:val="000000" w:themeColor="text1"/>
          <w:sz w:val="22"/>
          <w:lang w:val="es-CO"/>
        </w:rPr>
      </w:pPr>
      <w:r w:rsidRPr="0083744B">
        <w:rPr>
          <w:rFonts w:ascii="Arial" w:hAnsi="Arial" w:cs="Arial"/>
          <w:color w:val="000000" w:themeColor="text1"/>
          <w:sz w:val="22"/>
          <w:lang w:val="es-CO"/>
        </w:rPr>
        <w:t>Con todo, será cada entidad</w:t>
      </w:r>
      <w:r w:rsidR="00436AFF">
        <w:rPr>
          <w:rFonts w:ascii="Arial" w:hAnsi="Arial" w:cs="Arial"/>
          <w:color w:val="000000" w:themeColor="text1"/>
          <w:sz w:val="22"/>
          <w:lang w:val="es-CO"/>
        </w:rPr>
        <w:t xml:space="preserve"> estatal</w:t>
      </w:r>
      <w:r w:rsidRPr="0083744B">
        <w:rPr>
          <w:rFonts w:ascii="Arial" w:hAnsi="Arial" w:cs="Arial"/>
          <w:color w:val="000000" w:themeColor="text1"/>
          <w:sz w:val="22"/>
          <w:lang w:val="es-CO"/>
        </w:rPr>
        <w:t xml:space="preserve"> la que, en cada caso concreto, deberá establecer si corresponde o no reportar a las cámaras de comercio las sanciones que imponga a sus contratistas en el marco de la ejecución de sus contratos, pues son quienes conocen la naturaleza jurídica de las decisiones que adoptan y en ejercicio de qué facultades lo hacen.</w:t>
      </w:r>
      <w:r w:rsidR="0059283B">
        <w:rPr>
          <w:rFonts w:ascii="Arial" w:hAnsi="Arial" w:cs="Arial"/>
          <w:color w:val="000000" w:themeColor="text1"/>
          <w:sz w:val="22"/>
          <w:lang w:val="es-CO"/>
        </w:rPr>
        <w:t xml:space="preserve"> </w:t>
      </w:r>
    </w:p>
    <w:p w14:paraId="4F54478B" w14:textId="33D2234B" w:rsidR="00BF6D5B" w:rsidRDefault="00BF6D5B">
      <w:pPr>
        <w:spacing w:after="120" w:line="276" w:lineRule="auto"/>
        <w:jc w:val="both"/>
        <w:rPr>
          <w:rFonts w:ascii="Arial" w:eastAsia="Calibri" w:hAnsi="Arial" w:cs="Arial"/>
          <w:color w:val="000000" w:themeColor="text1"/>
          <w:sz w:val="22"/>
        </w:rPr>
      </w:pPr>
    </w:p>
    <w:p w14:paraId="1FA0B583" w14:textId="73601E15" w:rsidR="00253AA8" w:rsidRDefault="00253AA8">
      <w:pPr>
        <w:spacing w:after="120" w:line="276" w:lineRule="auto"/>
        <w:jc w:val="both"/>
        <w:rPr>
          <w:rFonts w:ascii="Arial" w:eastAsia="Calibri" w:hAnsi="Arial" w:cs="Arial"/>
          <w:color w:val="000000" w:themeColor="text1"/>
          <w:sz w:val="22"/>
        </w:rPr>
      </w:pPr>
    </w:p>
    <w:p w14:paraId="496EEE02" w14:textId="3FADAF99" w:rsidR="00253AA8" w:rsidRDefault="00253AA8">
      <w:pPr>
        <w:spacing w:after="120" w:line="276" w:lineRule="auto"/>
        <w:jc w:val="both"/>
        <w:rPr>
          <w:rFonts w:ascii="Arial" w:eastAsia="Calibri" w:hAnsi="Arial" w:cs="Arial"/>
          <w:color w:val="000000" w:themeColor="text1"/>
          <w:sz w:val="22"/>
        </w:rPr>
      </w:pPr>
    </w:p>
    <w:p w14:paraId="05365781" w14:textId="10C797F4" w:rsidR="00253AA8" w:rsidRDefault="00253AA8">
      <w:pPr>
        <w:spacing w:after="120" w:line="276" w:lineRule="auto"/>
        <w:jc w:val="both"/>
        <w:rPr>
          <w:rFonts w:ascii="Arial" w:eastAsia="Calibri" w:hAnsi="Arial" w:cs="Arial"/>
          <w:color w:val="000000" w:themeColor="text1"/>
          <w:sz w:val="22"/>
        </w:rPr>
      </w:pPr>
    </w:p>
    <w:p w14:paraId="541D25EF" w14:textId="7D4527CC" w:rsidR="00253AA8" w:rsidRDefault="00253AA8">
      <w:pPr>
        <w:spacing w:after="120" w:line="276" w:lineRule="auto"/>
        <w:jc w:val="both"/>
        <w:rPr>
          <w:rFonts w:ascii="Arial" w:eastAsia="Calibri" w:hAnsi="Arial" w:cs="Arial"/>
          <w:color w:val="000000" w:themeColor="text1"/>
          <w:sz w:val="22"/>
        </w:rPr>
      </w:pPr>
    </w:p>
    <w:p w14:paraId="6114C57A" w14:textId="74E8C9A3" w:rsidR="00253AA8" w:rsidRDefault="00253AA8">
      <w:pPr>
        <w:spacing w:after="120" w:line="276" w:lineRule="auto"/>
        <w:jc w:val="both"/>
        <w:rPr>
          <w:rFonts w:ascii="Arial" w:eastAsia="Calibri" w:hAnsi="Arial" w:cs="Arial"/>
          <w:color w:val="000000" w:themeColor="text1"/>
          <w:sz w:val="22"/>
        </w:rPr>
      </w:pPr>
    </w:p>
    <w:p w14:paraId="218C56C5" w14:textId="1FE9946B" w:rsidR="00253AA8" w:rsidRDefault="00253AA8">
      <w:pPr>
        <w:spacing w:after="120" w:line="276" w:lineRule="auto"/>
        <w:jc w:val="both"/>
        <w:rPr>
          <w:rFonts w:ascii="Arial" w:eastAsia="Calibri" w:hAnsi="Arial" w:cs="Arial"/>
          <w:color w:val="000000" w:themeColor="text1"/>
          <w:sz w:val="22"/>
        </w:rPr>
      </w:pPr>
    </w:p>
    <w:p w14:paraId="5EEF7FF8" w14:textId="250D48A7" w:rsidR="00253AA8" w:rsidRDefault="00253AA8">
      <w:pPr>
        <w:spacing w:after="120" w:line="276" w:lineRule="auto"/>
        <w:jc w:val="both"/>
        <w:rPr>
          <w:rFonts w:ascii="Arial" w:eastAsia="Calibri" w:hAnsi="Arial" w:cs="Arial"/>
          <w:color w:val="000000" w:themeColor="text1"/>
          <w:sz w:val="22"/>
        </w:rPr>
      </w:pPr>
    </w:p>
    <w:p w14:paraId="09A8F64E" w14:textId="31FDB453" w:rsidR="00253AA8" w:rsidRDefault="00253AA8">
      <w:pPr>
        <w:spacing w:after="120" w:line="276" w:lineRule="auto"/>
        <w:jc w:val="both"/>
        <w:rPr>
          <w:rFonts w:ascii="Arial" w:eastAsia="Calibri" w:hAnsi="Arial" w:cs="Arial"/>
          <w:color w:val="000000" w:themeColor="text1"/>
          <w:sz w:val="22"/>
        </w:rPr>
      </w:pPr>
    </w:p>
    <w:p w14:paraId="6CFBB183" w14:textId="0ED5D4DF" w:rsidR="00253AA8" w:rsidRDefault="00253AA8">
      <w:pPr>
        <w:spacing w:after="120" w:line="276" w:lineRule="auto"/>
        <w:jc w:val="both"/>
        <w:rPr>
          <w:rFonts w:ascii="Arial" w:eastAsia="Calibri" w:hAnsi="Arial" w:cs="Arial"/>
          <w:color w:val="000000" w:themeColor="text1"/>
          <w:sz w:val="22"/>
        </w:rPr>
      </w:pPr>
    </w:p>
    <w:p w14:paraId="3C54203D" w14:textId="0265AAF7" w:rsidR="00253AA8" w:rsidRDefault="00253AA8">
      <w:pPr>
        <w:spacing w:after="120" w:line="276" w:lineRule="auto"/>
        <w:jc w:val="both"/>
        <w:rPr>
          <w:rFonts w:ascii="Arial" w:eastAsia="Calibri" w:hAnsi="Arial" w:cs="Arial"/>
          <w:color w:val="000000" w:themeColor="text1"/>
          <w:sz w:val="22"/>
        </w:rPr>
      </w:pPr>
    </w:p>
    <w:p w14:paraId="115C814D" w14:textId="24D929F6" w:rsidR="00253AA8" w:rsidRDefault="00253AA8">
      <w:pPr>
        <w:spacing w:after="120" w:line="276" w:lineRule="auto"/>
        <w:jc w:val="both"/>
        <w:rPr>
          <w:rFonts w:ascii="Arial" w:eastAsia="Calibri" w:hAnsi="Arial" w:cs="Arial"/>
          <w:color w:val="000000" w:themeColor="text1"/>
          <w:sz w:val="22"/>
        </w:rPr>
      </w:pPr>
    </w:p>
    <w:p w14:paraId="3A2B9BAF" w14:textId="36004FD5" w:rsidR="00253AA8" w:rsidRDefault="00253AA8">
      <w:pPr>
        <w:spacing w:after="120" w:line="276" w:lineRule="auto"/>
        <w:jc w:val="both"/>
        <w:rPr>
          <w:rFonts w:ascii="Arial" w:eastAsia="Calibri" w:hAnsi="Arial" w:cs="Arial"/>
          <w:color w:val="000000" w:themeColor="text1"/>
          <w:sz w:val="22"/>
        </w:rPr>
      </w:pPr>
    </w:p>
    <w:p w14:paraId="7ED0BDB3" w14:textId="290A7543" w:rsidR="00253AA8" w:rsidRDefault="00253AA8">
      <w:pPr>
        <w:spacing w:after="120" w:line="276" w:lineRule="auto"/>
        <w:jc w:val="both"/>
        <w:rPr>
          <w:rFonts w:ascii="Arial" w:eastAsia="Calibri" w:hAnsi="Arial" w:cs="Arial"/>
          <w:color w:val="000000" w:themeColor="text1"/>
          <w:sz w:val="22"/>
        </w:rPr>
      </w:pPr>
    </w:p>
    <w:p w14:paraId="11416149" w14:textId="77777777" w:rsidR="00253AA8" w:rsidRPr="0083744B" w:rsidRDefault="00253AA8">
      <w:pPr>
        <w:spacing w:after="120" w:line="276" w:lineRule="auto"/>
        <w:jc w:val="both"/>
        <w:rPr>
          <w:rFonts w:ascii="Arial" w:eastAsia="Calibri" w:hAnsi="Arial" w:cs="Arial"/>
          <w:color w:val="000000" w:themeColor="text1"/>
          <w:sz w:val="22"/>
        </w:rPr>
      </w:pPr>
    </w:p>
    <w:p w14:paraId="5F0897B9" w14:textId="39B77D72" w:rsidR="00056AFD" w:rsidRPr="0083744B" w:rsidRDefault="00A37FB6" w:rsidP="00056AFD">
      <w:pPr>
        <w:spacing w:line="276" w:lineRule="auto"/>
        <w:jc w:val="both"/>
        <w:rPr>
          <w:rFonts w:ascii="Arial" w:eastAsia="Arial" w:hAnsi="Arial" w:cs="Arial"/>
          <w:color w:val="000000" w:themeColor="text1"/>
          <w:sz w:val="22"/>
          <w:lang w:val="es-ES" w:eastAsia="es-ES" w:bidi="es-ES"/>
        </w:rPr>
      </w:pPr>
      <w:r w:rsidRPr="0083744B">
        <w:rPr>
          <w:rFonts w:ascii="Arial" w:eastAsia="Calibri" w:hAnsi="Arial" w:cs="Arial"/>
          <w:color w:val="000000" w:themeColor="text1"/>
          <w:sz w:val="22"/>
        </w:rPr>
        <w:t>Este concepto tiene el alcance previsto en el artículo 28 del Código de Procedimiento Administrativo y de lo Contencioso Administrativo.</w:t>
      </w:r>
    </w:p>
    <w:p w14:paraId="67B1844C" w14:textId="5C8EC12C" w:rsidR="00056AFD" w:rsidRPr="0083744B" w:rsidRDefault="00056AFD" w:rsidP="00056AFD">
      <w:pPr>
        <w:widowControl w:val="0"/>
        <w:autoSpaceDE w:val="0"/>
        <w:autoSpaceDN w:val="0"/>
        <w:spacing w:line="276" w:lineRule="auto"/>
        <w:rPr>
          <w:rFonts w:ascii="Arial" w:eastAsia="Arial" w:hAnsi="Arial" w:cs="Arial"/>
          <w:color w:val="000000" w:themeColor="text1"/>
          <w:sz w:val="22"/>
          <w:lang w:val="es-ES" w:eastAsia="es-ES" w:bidi="es-ES"/>
        </w:rPr>
      </w:pPr>
    </w:p>
    <w:p w14:paraId="0507A9D4" w14:textId="1417F2B6" w:rsidR="00056AFD" w:rsidRPr="0083744B" w:rsidRDefault="00056AFD" w:rsidP="00D112B4">
      <w:pPr>
        <w:widowControl w:val="0"/>
        <w:autoSpaceDE w:val="0"/>
        <w:autoSpaceDN w:val="0"/>
        <w:spacing w:line="276" w:lineRule="auto"/>
        <w:jc w:val="both"/>
        <w:rPr>
          <w:rFonts w:ascii="Arial" w:eastAsia="Arial" w:hAnsi="Arial" w:cs="Arial"/>
          <w:color w:val="000000" w:themeColor="text1"/>
          <w:sz w:val="22"/>
          <w:lang w:val="es-ES" w:eastAsia="es-CO" w:bidi="es-ES"/>
        </w:rPr>
      </w:pPr>
      <w:bookmarkStart w:id="10" w:name="_Hlk50370367"/>
      <w:r w:rsidRPr="0083744B">
        <w:rPr>
          <w:rFonts w:ascii="Arial" w:eastAsia="Arial" w:hAnsi="Arial" w:cs="Arial"/>
          <w:color w:val="000000" w:themeColor="text1"/>
          <w:sz w:val="22"/>
          <w:lang w:val="es-ES" w:eastAsia="es-CO" w:bidi="es-ES"/>
        </w:rPr>
        <w:t>Atentamente,</w:t>
      </w:r>
      <w:bookmarkEnd w:id="10"/>
    </w:p>
    <w:p w14:paraId="120ACE0F" w14:textId="77777777" w:rsidR="00056AFD" w:rsidRPr="0083744B" w:rsidRDefault="00056AFD" w:rsidP="00056AFD">
      <w:pPr>
        <w:widowControl w:val="0"/>
        <w:autoSpaceDE w:val="0"/>
        <w:autoSpaceDN w:val="0"/>
        <w:spacing w:after="18"/>
        <w:jc w:val="center"/>
        <w:rPr>
          <w:rFonts w:ascii="Arial" w:eastAsia="Arial" w:hAnsi="Arial" w:cs="Arial"/>
          <w:color w:val="000000" w:themeColor="text1"/>
          <w:sz w:val="22"/>
          <w:lang w:val="es-ES" w:eastAsia="es-CO" w:bidi="es-ES"/>
        </w:rPr>
      </w:pPr>
    </w:p>
    <w:p w14:paraId="46FC8EA4" w14:textId="633BAE75" w:rsidR="00DE2AEF" w:rsidRPr="00EE341D" w:rsidRDefault="001461F2" w:rsidP="001461F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03A09A85" wp14:editId="435495E4">
            <wp:extent cx="3124200" cy="1004570"/>
            <wp:effectExtent l="0" t="0" r="0" b="5080"/>
            <wp:docPr id="4" name="Imagen 4"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previa de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0" cy="1004570"/>
                    </a:xfrm>
                    <a:prstGeom prst="rect">
                      <a:avLst/>
                    </a:prstGeom>
                    <a:noFill/>
                    <a:ln>
                      <a:noFill/>
                    </a:ln>
                  </pic:spPr>
                </pic:pic>
              </a:graphicData>
            </a:graphic>
          </wp:inline>
        </w:drawing>
      </w:r>
    </w:p>
    <w:p w14:paraId="536DC263" w14:textId="18481912" w:rsidR="00056AFD" w:rsidRPr="0083744B" w:rsidRDefault="00056AFD" w:rsidP="0083744B">
      <w:pPr>
        <w:pStyle w:val="NormalWeb"/>
        <w:jc w:val="center"/>
        <w:rPr>
          <w:rFonts w:ascii="Arial" w:eastAsia="Arial" w:hAnsi="Arial" w:cs="Arial"/>
          <w:color w:val="000000" w:themeColor="text1"/>
          <w:sz w:val="22"/>
          <w:lang w:val="es-ES" w:bidi="es-ES"/>
        </w:rPr>
      </w:pP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066C20" w:rsidRPr="00D96938" w14:paraId="463D1F7B" w14:textId="77777777" w:rsidTr="001A2C62">
        <w:trPr>
          <w:trHeight w:val="286"/>
        </w:trPr>
        <w:tc>
          <w:tcPr>
            <w:tcW w:w="817" w:type="dxa"/>
            <w:vAlign w:val="center"/>
            <w:hideMark/>
          </w:tcPr>
          <w:p w14:paraId="34C730C6" w14:textId="77777777" w:rsidR="00056AFD" w:rsidRPr="0083744B" w:rsidRDefault="00056AFD" w:rsidP="00056AFD">
            <w:pPr>
              <w:rPr>
                <w:rFonts w:ascii="Arial" w:eastAsia="Arial" w:hAnsi="Arial" w:cs="Arial"/>
                <w:color w:val="000000" w:themeColor="text1"/>
                <w:sz w:val="14"/>
                <w:szCs w:val="14"/>
                <w:lang w:val="es-ES" w:eastAsia="es-ES" w:bidi="es-ES"/>
              </w:rPr>
            </w:pPr>
            <w:bookmarkStart w:id="11" w:name="_Hlk70523608"/>
            <w:r w:rsidRPr="0083744B">
              <w:rPr>
                <w:rFonts w:ascii="Arial" w:eastAsia="Arial" w:hAnsi="Arial" w:cs="Arial"/>
                <w:color w:val="000000" w:themeColor="text1"/>
                <w:sz w:val="14"/>
                <w:szCs w:val="14"/>
                <w:lang w:val="es-ES" w:eastAsia="es-ES" w:bidi="es-ES"/>
              </w:rPr>
              <w:t>Elaboró:</w:t>
            </w:r>
          </w:p>
        </w:tc>
        <w:tc>
          <w:tcPr>
            <w:tcW w:w="4003" w:type="dxa"/>
            <w:tcBorders>
              <w:top w:val="nil"/>
              <w:left w:val="nil"/>
              <w:bottom w:val="dotted" w:sz="4" w:space="0" w:color="7F7F7F"/>
              <w:right w:val="nil"/>
            </w:tcBorders>
            <w:vAlign w:val="center"/>
            <w:hideMark/>
          </w:tcPr>
          <w:p w14:paraId="6D04372D" w14:textId="07914A37" w:rsidR="0030664E" w:rsidRPr="0083744B" w:rsidRDefault="0030664E" w:rsidP="0030664E">
            <w:pPr>
              <w:rPr>
                <w:rFonts w:ascii="Arial" w:eastAsia="Arial" w:hAnsi="Arial" w:cs="Arial"/>
                <w:color w:val="000000" w:themeColor="text1"/>
                <w:sz w:val="14"/>
                <w:szCs w:val="14"/>
                <w:lang w:val="es-ES" w:eastAsia="es-ES" w:bidi="es-ES"/>
              </w:rPr>
            </w:pPr>
            <w:r w:rsidRPr="0083744B">
              <w:rPr>
                <w:rFonts w:ascii="Arial" w:eastAsia="Arial" w:hAnsi="Arial" w:cs="Arial"/>
                <w:color w:val="000000" w:themeColor="text1"/>
                <w:sz w:val="14"/>
                <w:szCs w:val="14"/>
                <w:lang w:eastAsia="es-ES" w:bidi="es-ES"/>
              </w:rPr>
              <w:t>Nina María Padrón Ballestas</w:t>
            </w:r>
          </w:p>
          <w:p w14:paraId="1657ED73" w14:textId="6AE1253C" w:rsidR="00056AFD" w:rsidRPr="0083744B" w:rsidRDefault="006731F1" w:rsidP="0030664E">
            <w:pPr>
              <w:rPr>
                <w:rFonts w:ascii="Arial" w:eastAsia="Arial" w:hAnsi="Arial" w:cs="Arial"/>
                <w:color w:val="000000" w:themeColor="text1"/>
                <w:sz w:val="14"/>
                <w:szCs w:val="14"/>
                <w:lang w:val="es-ES" w:eastAsia="es-ES" w:bidi="es-ES"/>
              </w:rPr>
            </w:pPr>
            <w:r w:rsidRPr="0083744B">
              <w:rPr>
                <w:rFonts w:ascii="Arial" w:eastAsia="Arial" w:hAnsi="Arial" w:cs="Arial"/>
                <w:color w:val="000000" w:themeColor="text1"/>
                <w:sz w:val="14"/>
                <w:szCs w:val="14"/>
                <w:lang w:val="es-ES" w:eastAsia="es-ES" w:bidi="es-ES"/>
              </w:rPr>
              <w:t>Contratista de la Subdirección de Gestión Contractual</w:t>
            </w:r>
          </w:p>
        </w:tc>
      </w:tr>
      <w:tr w:rsidR="00066C20" w:rsidRPr="00D96938" w14:paraId="4DDEFF27" w14:textId="77777777" w:rsidTr="001A2C62">
        <w:trPr>
          <w:trHeight w:val="299"/>
        </w:trPr>
        <w:tc>
          <w:tcPr>
            <w:tcW w:w="817" w:type="dxa"/>
            <w:vAlign w:val="center"/>
            <w:hideMark/>
          </w:tcPr>
          <w:p w14:paraId="31ED8F32" w14:textId="77777777" w:rsidR="00056AFD" w:rsidRPr="0083744B" w:rsidRDefault="00056AFD" w:rsidP="00056AFD">
            <w:pPr>
              <w:rPr>
                <w:rFonts w:ascii="Arial" w:eastAsia="Arial" w:hAnsi="Arial" w:cs="Arial"/>
                <w:color w:val="000000" w:themeColor="text1"/>
                <w:sz w:val="14"/>
                <w:szCs w:val="14"/>
                <w:lang w:val="es-ES" w:eastAsia="es-ES" w:bidi="es-ES"/>
              </w:rPr>
            </w:pPr>
            <w:r w:rsidRPr="0083744B">
              <w:rPr>
                <w:rFonts w:ascii="Arial" w:eastAsia="Arial" w:hAnsi="Arial" w:cs="Arial"/>
                <w:color w:val="000000" w:themeColor="text1"/>
                <w:sz w:val="14"/>
                <w:szCs w:val="14"/>
                <w:lang w:val="es-ES" w:eastAsia="es-ES" w:bidi="es-ES"/>
              </w:rPr>
              <w:t>Revisó:</w:t>
            </w:r>
          </w:p>
        </w:tc>
        <w:tc>
          <w:tcPr>
            <w:tcW w:w="4003" w:type="dxa"/>
            <w:tcBorders>
              <w:top w:val="dotted" w:sz="4" w:space="0" w:color="7F7F7F"/>
              <w:left w:val="nil"/>
              <w:bottom w:val="dotted" w:sz="4" w:space="0" w:color="7F7F7F"/>
              <w:right w:val="nil"/>
            </w:tcBorders>
            <w:vAlign w:val="center"/>
            <w:hideMark/>
          </w:tcPr>
          <w:p w14:paraId="019B3F05" w14:textId="6B84BDFB" w:rsidR="00056AFD" w:rsidRPr="0083744B" w:rsidRDefault="00DE2AEF" w:rsidP="00056AFD">
            <w:pPr>
              <w:rPr>
                <w:rFonts w:ascii="Arial" w:eastAsia="Arial" w:hAnsi="Arial" w:cs="Arial"/>
                <w:color w:val="000000" w:themeColor="text1"/>
                <w:sz w:val="14"/>
                <w:szCs w:val="14"/>
                <w:lang w:val="es-ES" w:eastAsia="es-ES" w:bidi="es-ES"/>
              </w:rPr>
            </w:pPr>
            <w:r>
              <w:rPr>
                <w:rFonts w:ascii="Arial" w:eastAsia="Arial" w:hAnsi="Arial" w:cs="Arial"/>
                <w:color w:val="000000" w:themeColor="text1"/>
                <w:sz w:val="14"/>
                <w:szCs w:val="14"/>
                <w:lang w:val="es-ES" w:eastAsia="es-ES" w:bidi="es-ES"/>
              </w:rPr>
              <w:t>Cristian Andrés Díaz Díez</w:t>
            </w:r>
          </w:p>
          <w:p w14:paraId="3BCD4BBA" w14:textId="5E793FA4" w:rsidR="00056AFD" w:rsidRPr="0083744B" w:rsidRDefault="00DE2AEF" w:rsidP="00056AFD">
            <w:pPr>
              <w:rPr>
                <w:rFonts w:ascii="Arial" w:eastAsia="Arial" w:hAnsi="Arial" w:cs="Arial"/>
                <w:color w:val="000000" w:themeColor="text1"/>
                <w:sz w:val="14"/>
                <w:szCs w:val="14"/>
                <w:lang w:val="es-ES" w:eastAsia="es-ES" w:bidi="es-ES"/>
              </w:rPr>
            </w:pPr>
            <w:r w:rsidRPr="00DC3A91">
              <w:rPr>
                <w:rFonts w:ascii="Arial" w:eastAsia="Arial" w:hAnsi="Arial" w:cs="Arial"/>
                <w:color w:val="000000" w:themeColor="text1"/>
                <w:sz w:val="14"/>
                <w:szCs w:val="14"/>
                <w:lang w:val="es-ES" w:eastAsia="es-ES" w:bidi="es-ES"/>
              </w:rPr>
              <w:t>Contratista de la Subdirección de Gestión Contractual</w:t>
            </w:r>
          </w:p>
        </w:tc>
      </w:tr>
      <w:tr w:rsidR="00066C20" w:rsidRPr="00066C20" w14:paraId="501701A7" w14:textId="77777777" w:rsidTr="001A2C62">
        <w:trPr>
          <w:trHeight w:val="272"/>
        </w:trPr>
        <w:tc>
          <w:tcPr>
            <w:tcW w:w="817" w:type="dxa"/>
            <w:vAlign w:val="center"/>
            <w:hideMark/>
          </w:tcPr>
          <w:p w14:paraId="7EEF65A3" w14:textId="77777777" w:rsidR="00056AFD" w:rsidRPr="0083744B" w:rsidRDefault="00056AFD" w:rsidP="00056AFD">
            <w:pPr>
              <w:rPr>
                <w:rFonts w:ascii="Arial" w:eastAsia="Arial" w:hAnsi="Arial" w:cs="Arial"/>
                <w:color w:val="000000" w:themeColor="text1"/>
                <w:sz w:val="14"/>
                <w:szCs w:val="14"/>
                <w:lang w:val="es-ES" w:eastAsia="es-ES" w:bidi="es-ES"/>
              </w:rPr>
            </w:pPr>
            <w:r w:rsidRPr="0083744B">
              <w:rPr>
                <w:rFonts w:ascii="Arial" w:eastAsia="Arial" w:hAnsi="Arial" w:cs="Arial"/>
                <w:color w:val="000000" w:themeColor="text1"/>
                <w:sz w:val="14"/>
                <w:szCs w:val="14"/>
                <w:lang w:val="es-ES" w:eastAsia="es-ES" w:bidi="es-ES"/>
              </w:rPr>
              <w:t>Aprobó:</w:t>
            </w:r>
          </w:p>
        </w:tc>
        <w:tc>
          <w:tcPr>
            <w:tcW w:w="4003" w:type="dxa"/>
            <w:tcBorders>
              <w:top w:val="dotted" w:sz="4" w:space="0" w:color="7F7F7F"/>
              <w:left w:val="nil"/>
              <w:bottom w:val="dotted" w:sz="4" w:space="0" w:color="7F7F7F"/>
              <w:right w:val="nil"/>
            </w:tcBorders>
            <w:vAlign w:val="center"/>
            <w:hideMark/>
          </w:tcPr>
          <w:p w14:paraId="7C3AEAB6" w14:textId="77777777" w:rsidR="007148D0" w:rsidRPr="007148D0" w:rsidRDefault="007148D0" w:rsidP="007148D0">
            <w:pPr>
              <w:rPr>
                <w:rFonts w:ascii="Arial" w:eastAsia="Arial" w:hAnsi="Arial" w:cs="Arial"/>
                <w:color w:val="000000" w:themeColor="text1"/>
                <w:sz w:val="14"/>
                <w:szCs w:val="14"/>
                <w:lang w:val="es-ES_tradnl" w:eastAsia="es-ES" w:bidi="es-ES"/>
              </w:rPr>
            </w:pPr>
            <w:r w:rsidRPr="007148D0">
              <w:rPr>
                <w:rFonts w:ascii="Arial" w:eastAsia="Arial" w:hAnsi="Arial" w:cs="Arial"/>
                <w:color w:val="000000" w:themeColor="text1"/>
                <w:sz w:val="14"/>
                <w:szCs w:val="14"/>
                <w:lang w:val="es-ES_tradnl" w:eastAsia="es-ES" w:bidi="es-ES"/>
              </w:rPr>
              <w:t>Juan David Marín López</w:t>
            </w:r>
          </w:p>
          <w:p w14:paraId="490E992C" w14:textId="704A2472" w:rsidR="00056AFD" w:rsidRPr="0083744B" w:rsidRDefault="007148D0" w:rsidP="00056AFD">
            <w:pPr>
              <w:rPr>
                <w:rFonts w:ascii="Arial" w:eastAsia="Arial" w:hAnsi="Arial" w:cs="Arial"/>
                <w:color w:val="000000" w:themeColor="text1"/>
                <w:sz w:val="14"/>
                <w:szCs w:val="14"/>
                <w:lang w:val="es-ES" w:eastAsia="es-ES" w:bidi="es-ES"/>
              </w:rPr>
            </w:pPr>
            <w:r w:rsidRPr="007148D0">
              <w:rPr>
                <w:rFonts w:ascii="Arial" w:eastAsia="Arial" w:hAnsi="Arial" w:cs="Arial"/>
                <w:color w:val="000000" w:themeColor="text1"/>
                <w:sz w:val="14"/>
                <w:szCs w:val="14"/>
                <w:lang w:val="es-ES_tradnl" w:eastAsia="es-ES" w:bidi="es-ES"/>
              </w:rPr>
              <w:t>Subdirector de Gestión Contractual (E) ANCP – CCE</w:t>
            </w:r>
          </w:p>
        </w:tc>
      </w:tr>
      <w:bookmarkEnd w:id="11"/>
    </w:tbl>
    <w:p w14:paraId="1DA74740" w14:textId="77777777" w:rsidR="00056AFD" w:rsidRPr="0083744B" w:rsidRDefault="00056AFD" w:rsidP="00056AFD">
      <w:pPr>
        <w:widowControl w:val="0"/>
        <w:autoSpaceDE w:val="0"/>
        <w:autoSpaceDN w:val="0"/>
        <w:spacing w:after="18"/>
        <w:jc w:val="center"/>
        <w:rPr>
          <w:rFonts w:ascii="Arial" w:eastAsia="Arial" w:hAnsi="Arial" w:cs="Arial"/>
          <w:color w:val="000000" w:themeColor="text1"/>
          <w:sz w:val="22"/>
          <w:lang w:val="es-ES" w:eastAsia="es-CO" w:bidi="es-ES"/>
        </w:rPr>
      </w:pPr>
    </w:p>
    <w:p w14:paraId="35652516" w14:textId="77777777" w:rsidR="00056AFD" w:rsidRPr="0083744B" w:rsidRDefault="00056AFD" w:rsidP="00056AFD">
      <w:pPr>
        <w:widowControl w:val="0"/>
        <w:autoSpaceDE w:val="0"/>
        <w:autoSpaceDN w:val="0"/>
        <w:rPr>
          <w:rFonts w:ascii="Arial" w:eastAsia="Arial" w:hAnsi="Arial" w:cs="Arial"/>
          <w:color w:val="000000" w:themeColor="text1"/>
          <w:sz w:val="22"/>
          <w:lang w:val="es-ES" w:eastAsia="es-ES" w:bidi="es-ES"/>
        </w:rPr>
      </w:pPr>
    </w:p>
    <w:p w14:paraId="044C97BC" w14:textId="77777777" w:rsidR="00056AFD" w:rsidRPr="0083744B" w:rsidRDefault="00056AFD" w:rsidP="00056AFD">
      <w:pPr>
        <w:widowControl w:val="0"/>
        <w:autoSpaceDE w:val="0"/>
        <w:autoSpaceDN w:val="0"/>
        <w:rPr>
          <w:rFonts w:ascii="Arial" w:eastAsia="Arial" w:hAnsi="Arial" w:cs="Arial"/>
          <w:color w:val="000000" w:themeColor="text1"/>
          <w:sz w:val="22"/>
          <w:lang w:val="es-ES" w:eastAsia="es-ES" w:bidi="es-ES"/>
        </w:rPr>
      </w:pPr>
    </w:p>
    <w:p w14:paraId="0965B981" w14:textId="77777777" w:rsidR="00056AFD" w:rsidRPr="0083744B" w:rsidRDefault="00056AFD" w:rsidP="00056AFD">
      <w:pPr>
        <w:widowControl w:val="0"/>
        <w:autoSpaceDE w:val="0"/>
        <w:autoSpaceDN w:val="0"/>
        <w:spacing w:line="276" w:lineRule="auto"/>
        <w:jc w:val="both"/>
        <w:rPr>
          <w:rFonts w:ascii="Arial" w:eastAsia="Times New Roman" w:hAnsi="Arial" w:cs="Arial"/>
          <w:color w:val="000000" w:themeColor="text1"/>
          <w:sz w:val="18"/>
          <w:szCs w:val="18"/>
          <w:lang w:val="es-ES_tradnl" w:eastAsia="es-CO" w:bidi="es-ES"/>
        </w:rPr>
      </w:pPr>
    </w:p>
    <w:bookmarkEnd w:id="4"/>
    <w:bookmarkEnd w:id="3"/>
    <w:p w14:paraId="1E8A31CD" w14:textId="77777777" w:rsidR="00056AFD" w:rsidRPr="0083744B" w:rsidRDefault="00056AFD" w:rsidP="00056AFD">
      <w:pPr>
        <w:widowControl w:val="0"/>
        <w:autoSpaceDE w:val="0"/>
        <w:autoSpaceDN w:val="0"/>
        <w:spacing w:line="276" w:lineRule="auto"/>
        <w:jc w:val="both"/>
        <w:rPr>
          <w:rFonts w:ascii="Arial" w:eastAsia="Times New Roman" w:hAnsi="Arial" w:cs="Arial"/>
          <w:color w:val="000000" w:themeColor="text1"/>
          <w:sz w:val="18"/>
          <w:szCs w:val="18"/>
          <w:lang w:val="es-ES_tradnl" w:eastAsia="es-CO" w:bidi="es-ES"/>
        </w:rPr>
      </w:pPr>
    </w:p>
    <w:bookmarkEnd w:id="2"/>
    <w:bookmarkEnd w:id="5"/>
    <w:bookmarkEnd w:id="6"/>
    <w:p w14:paraId="35B56F46" w14:textId="36A55832" w:rsidR="00746E08" w:rsidRPr="0083744B" w:rsidRDefault="00746E08" w:rsidP="00056AFD">
      <w:pPr>
        <w:spacing w:line="276" w:lineRule="auto"/>
        <w:jc w:val="both"/>
        <w:rPr>
          <w:rFonts w:ascii="Arial" w:eastAsia="Times New Roman" w:hAnsi="Arial" w:cs="Arial"/>
          <w:color w:val="000000" w:themeColor="text1"/>
          <w:sz w:val="16"/>
          <w:szCs w:val="16"/>
          <w:lang w:eastAsia="es-ES"/>
        </w:rPr>
      </w:pPr>
    </w:p>
    <w:sectPr w:rsidR="00746E08" w:rsidRPr="0083744B"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E3A0" w14:textId="77777777" w:rsidR="007B5AE6" w:rsidRDefault="007B5AE6">
      <w:r>
        <w:separator/>
      </w:r>
    </w:p>
  </w:endnote>
  <w:endnote w:type="continuationSeparator" w:id="0">
    <w:p w14:paraId="171E35BD" w14:textId="77777777" w:rsidR="007B5AE6" w:rsidRDefault="007B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751F1" w:rsidRDefault="008751F1" w:rsidP="00322937">
    <w:pPr>
      <w:pStyle w:val="Sinespaciado"/>
      <w:jc w:val="right"/>
      <w:rPr>
        <w:rFonts w:ascii="Arial" w:hAnsi="Arial" w:cs="Arial"/>
        <w:sz w:val="18"/>
        <w:szCs w:val="18"/>
      </w:rPr>
    </w:pPr>
  </w:p>
  <w:p w14:paraId="7A3785F3" w14:textId="2EF28465" w:rsidR="008751F1" w:rsidRPr="008217B7" w:rsidRDefault="008751F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48FC6A04" w14:textId="5FD1A7C9" w:rsidR="008751F1" w:rsidRDefault="008751F1" w:rsidP="00322937">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751F1" w:rsidRDefault="008751F1" w:rsidP="007B0854">
    <w:pPr>
      <w:pStyle w:val="Piedepgina"/>
      <w:jc w:val="center"/>
      <w:rPr>
        <w:lang w:val="es-ES"/>
      </w:rPr>
    </w:pPr>
  </w:p>
  <w:p w14:paraId="6C0EFC49" w14:textId="77777777" w:rsidR="008751F1" w:rsidRPr="007B0854" w:rsidRDefault="008751F1" w:rsidP="007B0854">
    <w:pPr>
      <w:pStyle w:val="Piedepgina"/>
      <w:jc w:val="center"/>
      <w:rPr>
        <w:lang w:val="es-ES"/>
      </w:rPr>
    </w:pPr>
  </w:p>
  <w:p w14:paraId="5C041C09" w14:textId="77777777" w:rsidR="007B65A9" w:rsidRDefault="007B65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11C3" w14:textId="77777777" w:rsidR="007B5AE6" w:rsidRDefault="007B5AE6">
      <w:r>
        <w:separator/>
      </w:r>
    </w:p>
  </w:footnote>
  <w:footnote w:type="continuationSeparator" w:id="0">
    <w:p w14:paraId="6A7E4EB8" w14:textId="77777777" w:rsidR="007B5AE6" w:rsidRDefault="007B5AE6">
      <w:r>
        <w:continuationSeparator/>
      </w:r>
    </w:p>
  </w:footnote>
  <w:footnote w:id="1">
    <w:p w14:paraId="7A3B923D" w14:textId="77777777" w:rsidR="0083744B" w:rsidRPr="004A0275" w:rsidRDefault="0083744B" w:rsidP="0083744B">
      <w:pPr>
        <w:pStyle w:val="Textonotapie"/>
        <w:ind w:firstLine="708"/>
        <w:jc w:val="both"/>
        <w:rPr>
          <w:rFonts w:ascii="Arial" w:hAnsi="Arial" w:cs="Arial"/>
          <w:sz w:val="16"/>
          <w:szCs w:val="16"/>
          <w:lang w:val="es-CO"/>
        </w:rPr>
      </w:pPr>
      <w:r w:rsidRPr="004A0275">
        <w:rPr>
          <w:rStyle w:val="Refdenotaalpie"/>
          <w:rFonts w:ascii="Arial" w:hAnsi="Arial" w:cs="Arial"/>
          <w:sz w:val="16"/>
          <w:szCs w:val="16"/>
        </w:rPr>
        <w:footnoteRef/>
      </w:r>
      <w:r w:rsidRPr="004A0275">
        <w:rPr>
          <w:rFonts w:ascii="Arial" w:hAnsi="Arial" w:cs="Arial"/>
          <w:sz w:val="16"/>
          <w:szCs w:val="16"/>
        </w:rPr>
        <w:t xml:space="preserve"> En lo pertinente, la norma dispone que «</w:t>
      </w:r>
      <w:r w:rsidRPr="004A0275">
        <w:rPr>
          <w:rFonts w:ascii="Arial" w:hAnsi="Arial" w:cs="Arial"/>
          <w:sz w:val="16"/>
          <w:szCs w:val="16"/>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p>
    <w:p w14:paraId="5A661D34" w14:textId="77777777" w:rsidR="0083744B" w:rsidRPr="004A0275" w:rsidRDefault="0083744B" w:rsidP="0083744B">
      <w:pPr>
        <w:pStyle w:val="Textonotapie"/>
        <w:ind w:firstLine="708"/>
        <w:jc w:val="both"/>
        <w:rPr>
          <w:rFonts w:ascii="Arial" w:hAnsi="Arial" w:cs="Arial"/>
          <w:sz w:val="16"/>
          <w:szCs w:val="16"/>
          <w:lang w:val="es-CO"/>
        </w:rPr>
      </w:pPr>
      <w:r w:rsidRPr="004A0275">
        <w:rPr>
          <w:rFonts w:ascii="Arial" w:hAnsi="Arial" w:cs="Arial"/>
          <w:sz w:val="16"/>
          <w:szCs w:val="16"/>
          <w:lang w:val="es-CO"/>
        </w:rPr>
        <w:t>»Las condiciones de remisión de la información y los plazos de permanencia de la misma en el registro serán señalados por el Gobierno Nacional.</w:t>
      </w:r>
    </w:p>
    <w:p w14:paraId="1A7B353A" w14:textId="77777777" w:rsidR="0083744B" w:rsidRPr="004A0275" w:rsidRDefault="0083744B" w:rsidP="0083744B">
      <w:pPr>
        <w:pStyle w:val="Textonotapie"/>
        <w:ind w:firstLine="708"/>
        <w:jc w:val="both"/>
        <w:rPr>
          <w:rFonts w:ascii="Arial" w:hAnsi="Arial" w:cs="Arial"/>
          <w:sz w:val="16"/>
          <w:szCs w:val="16"/>
          <w:lang w:val="es-CO"/>
        </w:rPr>
      </w:pPr>
      <w:r w:rsidRPr="004A0275">
        <w:rPr>
          <w:rFonts w:ascii="Arial" w:hAnsi="Arial" w:cs="Arial"/>
          <w:sz w:val="16"/>
          <w:szCs w:val="16"/>
          <w:lang w:val="es-CO"/>
        </w:rPr>
        <w:t>»El servidor público encargado de remitir la información, que incumpla esta obligación incurrirá en causal de mala conducta».</w:t>
      </w:r>
    </w:p>
  </w:footnote>
  <w:footnote w:id="2">
    <w:p w14:paraId="27CE245F" w14:textId="77777777" w:rsidR="002B6D04" w:rsidRPr="00CB149C" w:rsidRDefault="002B6D04" w:rsidP="002B6D04">
      <w:pPr>
        <w:pStyle w:val="Textonotapie"/>
        <w:ind w:firstLine="708"/>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5719296" w14:textId="77777777" w:rsidR="00C62FA4" w:rsidRPr="00D5558D" w:rsidRDefault="00C62FA4" w:rsidP="00C62FA4">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6111539D" w14:textId="77777777" w:rsidR="00C62FA4" w:rsidRPr="00D5558D" w:rsidRDefault="00C62FA4" w:rsidP="00C62FA4">
      <w:pPr>
        <w:pStyle w:val="Textonotapie"/>
        <w:ind w:firstLine="709"/>
        <w:jc w:val="both"/>
        <w:rPr>
          <w:rFonts w:ascii="Arial" w:hAnsi="Arial" w:cs="Arial"/>
          <w:color w:val="000000" w:themeColor="text1"/>
          <w:sz w:val="19"/>
          <w:szCs w:val="19"/>
        </w:rPr>
      </w:pPr>
    </w:p>
  </w:footnote>
  <w:footnote w:id="4">
    <w:p w14:paraId="70C1A70B" w14:textId="77777777" w:rsidR="00C62FA4" w:rsidRPr="00D5558D" w:rsidRDefault="00C62FA4" w:rsidP="00C62FA4">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Consejo de Estado. Sección Tercera. Radicado No. 45.607 del 24 de octubre de 2016. Consejera Ponente: María Nubia Velásquez Rico.</w:t>
      </w:r>
    </w:p>
    <w:p w14:paraId="5032383F" w14:textId="77777777" w:rsidR="00C62FA4" w:rsidRPr="00D5558D" w:rsidRDefault="00C62FA4" w:rsidP="00C62FA4">
      <w:pPr>
        <w:pStyle w:val="Textonotapie"/>
        <w:ind w:firstLine="709"/>
        <w:jc w:val="both"/>
        <w:rPr>
          <w:rFonts w:ascii="Arial" w:hAnsi="Arial" w:cs="Arial"/>
          <w:color w:val="000000" w:themeColor="text1"/>
          <w:sz w:val="19"/>
          <w:szCs w:val="19"/>
          <w:lang w:val="es-ES"/>
        </w:rPr>
      </w:pPr>
    </w:p>
  </w:footnote>
  <w:footnote w:id="5">
    <w:p w14:paraId="19EA29DC" w14:textId="77777777" w:rsidR="00C62FA4" w:rsidRPr="00D5558D" w:rsidRDefault="00C62FA4" w:rsidP="00C62FA4">
      <w:pPr>
        <w:pStyle w:val="Textonotapie"/>
        <w:ind w:firstLine="709"/>
        <w:jc w:val="both"/>
        <w:rPr>
          <w:rFonts w:ascii="Arial" w:hAnsi="Arial" w:cs="Arial"/>
          <w:color w:val="000000" w:themeColor="text1"/>
          <w:sz w:val="19"/>
          <w:szCs w:val="19"/>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Este fenómeno también se ha presentado, en los últimos años, en España. Al respecto, ver: SÁNCHEZ MORÓN, Miguel. El retorno del derecho administrativo. En: Revista de Administración Pública. Nº 216 (2018). Disponible en: https://recyt.fecyt.es/index.php/RAP/article/view/67033.</w:t>
      </w:r>
    </w:p>
  </w:footnote>
  <w:footnote w:id="6">
    <w:p w14:paraId="475498DD" w14:textId="77777777" w:rsidR="00C62FA4" w:rsidRPr="00D5558D" w:rsidRDefault="00C62FA4" w:rsidP="00C62FA4">
      <w:pPr>
        <w:pStyle w:val="Textonotapie"/>
        <w:ind w:firstLine="709"/>
        <w:jc w:val="both"/>
        <w:rPr>
          <w:rFonts w:ascii="Arial" w:hAnsi="Arial" w:cs="Arial"/>
          <w:color w:val="000000" w:themeColor="text1"/>
          <w:sz w:val="19"/>
          <w:szCs w:val="19"/>
        </w:rPr>
      </w:pPr>
    </w:p>
    <w:p w14:paraId="13793C1E" w14:textId="77777777" w:rsidR="00C62FA4" w:rsidRPr="00D5558D" w:rsidRDefault="00C62FA4" w:rsidP="00C62FA4">
      <w:pPr>
        <w:pStyle w:val="Textonotapie"/>
        <w:ind w:firstLine="709"/>
        <w:jc w:val="both"/>
        <w:rPr>
          <w:rFonts w:ascii="Arial" w:hAnsi="Arial" w:cs="Arial"/>
          <w:color w:val="000000" w:themeColor="text1"/>
          <w:sz w:val="19"/>
          <w:szCs w:val="19"/>
          <w:lang w:val="es-ES"/>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w:t>
      </w:r>
      <w:r w:rsidRPr="00D5558D">
        <w:rPr>
          <w:rFonts w:ascii="Arial" w:hAnsi="Arial" w:cs="Arial"/>
          <w:color w:val="000000" w:themeColor="text1"/>
          <w:sz w:val="19"/>
          <w:szCs w:val="19"/>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2D03F89B" w14:textId="77777777" w:rsidR="00C62FA4" w:rsidRPr="00D5558D" w:rsidRDefault="00C62FA4" w:rsidP="00C62FA4">
      <w:pPr>
        <w:pStyle w:val="Textonotapie"/>
        <w:ind w:firstLine="709"/>
        <w:jc w:val="both"/>
        <w:rPr>
          <w:rFonts w:ascii="Arial" w:hAnsi="Arial" w:cs="Arial"/>
          <w:color w:val="000000" w:themeColor="text1"/>
          <w:sz w:val="19"/>
          <w:szCs w:val="19"/>
          <w:lang w:val="es-ES"/>
        </w:rPr>
      </w:pPr>
      <w:r w:rsidRPr="00D5558D">
        <w:rPr>
          <w:rFonts w:ascii="Arial" w:hAnsi="Arial" w:cs="Arial"/>
          <w:color w:val="000000" w:themeColor="text1"/>
          <w:sz w:val="19"/>
          <w:szCs w:val="19"/>
          <w:lang w:val="es-ES"/>
        </w:rPr>
        <w:t xml:space="preserve"> </w:t>
      </w:r>
    </w:p>
  </w:footnote>
  <w:footnote w:id="7">
    <w:p w14:paraId="0C652482" w14:textId="77777777" w:rsidR="00C62FA4" w:rsidRPr="00D5558D" w:rsidRDefault="00C62FA4" w:rsidP="00C62FA4">
      <w:pPr>
        <w:pStyle w:val="Textonotapie"/>
        <w:ind w:firstLine="709"/>
        <w:jc w:val="both"/>
        <w:rPr>
          <w:rFonts w:ascii="Arial" w:hAnsi="Arial" w:cs="Arial"/>
          <w:color w:val="000000" w:themeColor="text1"/>
          <w:sz w:val="19"/>
          <w:szCs w:val="19"/>
          <w:lang w:val="es-ES"/>
        </w:rPr>
      </w:pPr>
      <w:r w:rsidRPr="00D5558D">
        <w:rPr>
          <w:rStyle w:val="Refdenotaalpie"/>
          <w:rFonts w:ascii="Arial" w:hAnsi="Arial" w:cs="Arial"/>
          <w:color w:val="000000" w:themeColor="text1"/>
          <w:sz w:val="19"/>
          <w:szCs w:val="19"/>
        </w:rPr>
        <w:footnoteRef/>
      </w:r>
      <w:r w:rsidRPr="00D5558D">
        <w:rPr>
          <w:rFonts w:ascii="Arial" w:hAnsi="Arial" w:cs="Arial"/>
          <w:color w:val="000000" w:themeColor="text1"/>
          <w:sz w:val="19"/>
          <w:szCs w:val="19"/>
        </w:rPr>
        <w:t xml:space="preserve"> </w:t>
      </w:r>
      <w:r w:rsidRPr="00D5558D">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8">
    <w:p w14:paraId="05E5404E" w14:textId="77777777" w:rsidR="008751F1" w:rsidRPr="004A0275" w:rsidRDefault="008751F1" w:rsidP="0030664E">
      <w:pPr>
        <w:pStyle w:val="Textonotapie"/>
        <w:ind w:firstLine="709"/>
        <w:jc w:val="both"/>
        <w:rPr>
          <w:rFonts w:ascii="Arial" w:hAnsi="Arial" w:cs="Arial"/>
          <w:sz w:val="16"/>
          <w:szCs w:val="16"/>
        </w:rPr>
      </w:pPr>
      <w:r w:rsidRPr="004A0275">
        <w:rPr>
          <w:rStyle w:val="Refdenotaalpie"/>
          <w:rFonts w:ascii="Arial" w:hAnsi="Arial" w:cs="Arial"/>
          <w:sz w:val="16"/>
          <w:szCs w:val="16"/>
        </w:rPr>
        <w:footnoteRef/>
      </w:r>
      <w:r w:rsidRPr="004A0275">
        <w:rPr>
          <w:rFonts w:ascii="Arial" w:hAnsi="Arial" w:cs="Arial"/>
          <w:sz w:val="16"/>
          <w:szCs w:val="16"/>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3036140D" w14:textId="1DF24F21" w:rsidR="008751F1" w:rsidRPr="004A0275" w:rsidRDefault="008751F1" w:rsidP="0030664E">
      <w:pPr>
        <w:pStyle w:val="Textonotapie"/>
        <w:ind w:firstLine="709"/>
        <w:jc w:val="both"/>
        <w:rPr>
          <w:rFonts w:ascii="Arial" w:hAnsi="Arial" w:cs="Arial"/>
          <w:sz w:val="16"/>
          <w:szCs w:val="16"/>
        </w:rPr>
      </w:pPr>
      <w:r w:rsidRPr="004A0275">
        <w:rPr>
          <w:rFonts w:ascii="Arial" w:hAnsi="Arial" w:cs="Arial"/>
          <w:sz w:val="16"/>
          <w:szCs w:val="16"/>
        </w:rPr>
        <w:t>»Las personas jurídicas nacionales y extranjeras deberán acreditar que su duración no será inferior a la del plazo del contrato y un año más».</w:t>
      </w:r>
    </w:p>
  </w:footnote>
  <w:footnote w:id="9">
    <w:p w14:paraId="25ABFA16" w14:textId="77777777" w:rsidR="008751F1" w:rsidRPr="004A0275" w:rsidRDefault="008751F1" w:rsidP="0030664E">
      <w:pPr>
        <w:pStyle w:val="Textonotapie"/>
        <w:ind w:firstLine="709"/>
        <w:jc w:val="both"/>
        <w:rPr>
          <w:rFonts w:ascii="Arial" w:hAnsi="Arial" w:cs="Arial"/>
          <w:sz w:val="16"/>
          <w:szCs w:val="16"/>
        </w:rPr>
      </w:pPr>
      <w:r w:rsidRPr="004A0275">
        <w:rPr>
          <w:rStyle w:val="Refdenotaalpie"/>
          <w:rFonts w:ascii="Arial" w:hAnsi="Arial" w:cs="Arial"/>
          <w:sz w:val="16"/>
          <w:szCs w:val="16"/>
        </w:rPr>
        <w:footnoteRef/>
      </w:r>
      <w:r w:rsidRPr="004A0275">
        <w:rPr>
          <w:rFonts w:ascii="Arial" w:hAnsi="Arial" w:cs="Arial"/>
          <w:sz w:val="16"/>
          <w:szCs w:val="16"/>
        </w:rPr>
        <w:t xml:space="preserve"> El artículo 1502 del Código Civil prevé la capacidad legal como requisito para obligarse contractualmente, en los siguientes términos: «Para que una persona se obligue a otra por un acto o declaración de voluntad, es necesario:</w:t>
      </w:r>
    </w:p>
    <w:p w14:paraId="51A5DCC8" w14:textId="77777777" w:rsidR="008751F1" w:rsidRPr="004A0275" w:rsidRDefault="008751F1" w:rsidP="0030664E">
      <w:pPr>
        <w:pStyle w:val="Textonotapie"/>
        <w:ind w:firstLine="709"/>
        <w:jc w:val="both"/>
        <w:rPr>
          <w:rFonts w:ascii="Arial" w:hAnsi="Arial" w:cs="Arial"/>
          <w:sz w:val="16"/>
          <w:szCs w:val="16"/>
        </w:rPr>
      </w:pPr>
      <w:r w:rsidRPr="004A0275">
        <w:rPr>
          <w:rFonts w:ascii="Arial" w:hAnsi="Arial" w:cs="Arial"/>
          <w:sz w:val="16"/>
          <w:szCs w:val="16"/>
        </w:rPr>
        <w:t>»1o.) que sea legalmente capaz.</w:t>
      </w:r>
    </w:p>
    <w:p w14:paraId="6313C6BC" w14:textId="77777777" w:rsidR="008751F1" w:rsidRPr="004A0275" w:rsidRDefault="008751F1" w:rsidP="0030664E">
      <w:pPr>
        <w:pStyle w:val="Textonotapie"/>
        <w:ind w:firstLine="709"/>
        <w:jc w:val="both"/>
        <w:rPr>
          <w:rFonts w:ascii="Arial" w:hAnsi="Arial" w:cs="Arial"/>
          <w:sz w:val="16"/>
          <w:szCs w:val="16"/>
        </w:rPr>
      </w:pPr>
      <w:r w:rsidRPr="004A0275">
        <w:rPr>
          <w:rFonts w:ascii="Arial" w:hAnsi="Arial" w:cs="Arial"/>
          <w:sz w:val="16"/>
          <w:szCs w:val="16"/>
        </w:rPr>
        <w:t>[…]</w:t>
      </w:r>
    </w:p>
    <w:p w14:paraId="31FB6190" w14:textId="73D262BA" w:rsidR="008751F1" w:rsidRPr="004A0275" w:rsidRDefault="008751F1" w:rsidP="0030664E">
      <w:pPr>
        <w:pStyle w:val="Textonotapie"/>
        <w:ind w:firstLine="709"/>
        <w:jc w:val="both"/>
        <w:rPr>
          <w:rFonts w:ascii="Arial" w:hAnsi="Arial" w:cs="Arial"/>
          <w:sz w:val="16"/>
          <w:szCs w:val="16"/>
        </w:rPr>
      </w:pPr>
      <w:r w:rsidRPr="004A0275">
        <w:rPr>
          <w:rFonts w:ascii="Arial" w:hAnsi="Arial" w:cs="Arial"/>
          <w:sz w:val="16"/>
          <w:szCs w:val="16"/>
        </w:rPr>
        <w:t>»La capacidad legal de una persona consiste en poderse obligar por sí misma, sin el ministerio o la autorización de otra».</w:t>
      </w:r>
    </w:p>
  </w:footnote>
  <w:footnote w:id="10">
    <w:p w14:paraId="69944C70" w14:textId="69226D2F" w:rsidR="008751F1" w:rsidRPr="004A0275" w:rsidRDefault="008751F1" w:rsidP="0030664E">
      <w:pPr>
        <w:pStyle w:val="Textonotapie"/>
        <w:ind w:firstLine="709"/>
        <w:jc w:val="both"/>
        <w:rPr>
          <w:rFonts w:ascii="Arial" w:hAnsi="Arial" w:cs="Arial"/>
          <w:sz w:val="16"/>
          <w:szCs w:val="16"/>
          <w:lang w:val="es-ES"/>
        </w:rPr>
      </w:pPr>
      <w:r w:rsidRPr="004A0275">
        <w:rPr>
          <w:rStyle w:val="Refdenotaalpie"/>
          <w:rFonts w:ascii="Arial" w:hAnsi="Arial" w:cs="Arial"/>
          <w:sz w:val="16"/>
          <w:szCs w:val="16"/>
        </w:rPr>
        <w:footnoteRef/>
      </w:r>
      <w:r w:rsidRPr="004A0275">
        <w:rPr>
          <w:rFonts w:ascii="Arial" w:hAnsi="Arial" w:cs="Arial"/>
          <w:sz w:val="16"/>
          <w:szCs w:val="16"/>
        </w:rPr>
        <w:t xml:space="preserve"> </w:t>
      </w:r>
      <w:r w:rsidRPr="004A0275">
        <w:rPr>
          <w:rFonts w:ascii="Arial" w:hAnsi="Arial" w:cs="Arial"/>
          <w:sz w:val="16"/>
          <w:szCs w:val="16"/>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4A0275">
        <w:rPr>
          <w:rFonts w:ascii="Arial" w:hAnsi="Arial" w:cs="Arial"/>
          <w:i/>
          <w:iCs/>
          <w:sz w:val="16"/>
          <w:szCs w:val="16"/>
          <w:lang w:val="es-ES"/>
        </w:rPr>
        <w:t>el régimen de inhabilidades e incompatibilidades</w:t>
      </w:r>
      <w:r w:rsidRPr="004A0275">
        <w:rPr>
          <w:rFonts w:ascii="Arial" w:hAnsi="Arial" w:cs="Arial"/>
          <w:sz w:val="16"/>
          <w:szCs w:val="16"/>
          <w:lang w:val="es-ES"/>
        </w:rPr>
        <w:t xml:space="preserve"> (1) y la obligación de ciertos proponentes de inscribirse en el </w:t>
      </w:r>
      <w:r w:rsidRPr="004A0275">
        <w:rPr>
          <w:rFonts w:ascii="Arial" w:hAnsi="Arial" w:cs="Arial"/>
          <w:i/>
          <w:iCs/>
          <w:sz w:val="16"/>
          <w:szCs w:val="16"/>
          <w:lang w:val="es-ES"/>
        </w:rPr>
        <w:t>registro único</w:t>
      </w:r>
      <w:r w:rsidRPr="004A0275">
        <w:rPr>
          <w:rFonts w:ascii="Arial" w:hAnsi="Arial" w:cs="Arial"/>
          <w:sz w:val="16"/>
          <w:szCs w:val="16"/>
          <w:lang w:val="es-ES"/>
        </w:rPr>
        <w:t xml:space="preserve"> (2)» (BENAVIDES, José Luis. El contrato estatal. Entre el Derecho público y el Derecho privado. 2ª ed. Bogotá: Universidad Externado de Colombia, 2004. p. 278). </w:t>
      </w:r>
    </w:p>
  </w:footnote>
  <w:footnote w:id="11">
    <w:p w14:paraId="1FA0F325" w14:textId="68C38867" w:rsidR="008751F1" w:rsidRPr="004A0275" w:rsidRDefault="008751F1" w:rsidP="0030664E">
      <w:pPr>
        <w:pStyle w:val="Textonotapie"/>
        <w:ind w:firstLine="709"/>
        <w:jc w:val="both"/>
        <w:rPr>
          <w:rFonts w:ascii="Arial" w:hAnsi="Arial" w:cs="Arial"/>
          <w:sz w:val="16"/>
          <w:szCs w:val="16"/>
          <w:lang w:val="es-ES"/>
        </w:rPr>
      </w:pPr>
      <w:r w:rsidRPr="004A0275">
        <w:rPr>
          <w:rStyle w:val="Refdenotaalpie"/>
          <w:rFonts w:ascii="Arial" w:hAnsi="Arial" w:cs="Arial"/>
          <w:sz w:val="16"/>
          <w:szCs w:val="16"/>
        </w:rPr>
        <w:footnoteRef/>
      </w:r>
      <w:r w:rsidRPr="004A0275">
        <w:rPr>
          <w:rFonts w:ascii="Arial" w:hAnsi="Arial" w:cs="Arial"/>
          <w:sz w:val="16"/>
          <w:szCs w:val="16"/>
        </w:rPr>
        <w:t xml:space="preserve"> </w:t>
      </w:r>
      <w:r w:rsidRPr="004A0275">
        <w:rPr>
          <w:rFonts w:ascii="Arial" w:hAnsi="Arial" w:cs="Arial"/>
          <w:sz w:val="16"/>
          <w:szCs w:val="16"/>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footnote>
  <w:footnote w:id="12">
    <w:p w14:paraId="1B7F9D68" w14:textId="3054B993" w:rsidR="008751F1" w:rsidRPr="004A0275" w:rsidRDefault="008751F1" w:rsidP="0030664E">
      <w:pPr>
        <w:pStyle w:val="Textonotapie"/>
        <w:ind w:firstLine="709"/>
        <w:jc w:val="both"/>
        <w:rPr>
          <w:rFonts w:ascii="Arial" w:hAnsi="Arial" w:cs="Arial"/>
          <w:sz w:val="16"/>
          <w:szCs w:val="16"/>
          <w:lang w:val="es-ES"/>
        </w:rPr>
      </w:pPr>
      <w:r w:rsidRPr="004A0275">
        <w:rPr>
          <w:rStyle w:val="Refdenotaalpie"/>
          <w:rFonts w:ascii="Arial" w:hAnsi="Arial" w:cs="Arial"/>
          <w:sz w:val="16"/>
          <w:szCs w:val="16"/>
        </w:rPr>
        <w:footnoteRef/>
      </w:r>
      <w:r w:rsidRPr="004A0275">
        <w:rPr>
          <w:rFonts w:ascii="Arial" w:hAnsi="Arial" w:cs="Arial"/>
          <w:sz w:val="16"/>
          <w:szCs w:val="16"/>
        </w:rPr>
        <w:t xml:space="preserve"> </w:t>
      </w:r>
      <w:r w:rsidRPr="004A0275">
        <w:rPr>
          <w:rFonts w:ascii="Arial" w:hAnsi="Arial" w:cs="Arial"/>
          <w:sz w:val="16"/>
          <w:szCs w:val="16"/>
          <w:lang w:val="es-ES"/>
        </w:rPr>
        <w:t>Ibíd., p. 69.</w:t>
      </w:r>
    </w:p>
  </w:footnote>
  <w:footnote w:id="13">
    <w:p w14:paraId="1CCC4BEC" w14:textId="3D60144B" w:rsidR="008751F1" w:rsidRPr="004A0275" w:rsidRDefault="008751F1" w:rsidP="0030664E">
      <w:pPr>
        <w:pStyle w:val="Textonotapie"/>
        <w:ind w:firstLine="709"/>
        <w:jc w:val="both"/>
        <w:rPr>
          <w:rFonts w:ascii="Arial" w:hAnsi="Arial" w:cs="Arial"/>
          <w:sz w:val="16"/>
          <w:szCs w:val="16"/>
          <w:lang w:val="es-ES"/>
        </w:rPr>
      </w:pPr>
      <w:r w:rsidRPr="004A0275">
        <w:rPr>
          <w:rStyle w:val="Refdenotaalpie"/>
          <w:rFonts w:ascii="Arial" w:hAnsi="Arial" w:cs="Arial"/>
          <w:sz w:val="16"/>
          <w:szCs w:val="16"/>
        </w:rPr>
        <w:footnoteRef/>
      </w:r>
      <w:r w:rsidRPr="004A0275">
        <w:rPr>
          <w:rFonts w:ascii="Arial" w:hAnsi="Arial" w:cs="Arial"/>
          <w:sz w:val="16"/>
          <w:szCs w:val="16"/>
        </w:rPr>
        <w:t xml:space="preserve"> </w:t>
      </w:r>
      <w:r w:rsidRPr="004A0275">
        <w:rPr>
          <w:rFonts w:ascii="Arial" w:hAnsi="Arial" w:cs="Arial"/>
          <w:sz w:val="16"/>
          <w:szCs w:val="16"/>
          <w:lang w:val="es-ES"/>
        </w:rPr>
        <w:t xml:space="preserve">CORTE CONSTITUCIONAL. Sentencia T-1039 de 2006. M.P. Humberto Sierra Porto. La Corte ha mantenido este criterio en las sentencias: C-903 de 2008. M.P. Jaime Araujo Rentería; C-101 de 2018. M. P. Gloria Stella Ortiz Delgado; entre otras. </w:t>
      </w:r>
    </w:p>
  </w:footnote>
  <w:footnote w:id="14">
    <w:p w14:paraId="02F3B800" w14:textId="29F75D8F" w:rsidR="008751F1" w:rsidRPr="004A0275" w:rsidRDefault="008751F1" w:rsidP="0030664E">
      <w:pPr>
        <w:pStyle w:val="Textonotapie"/>
        <w:ind w:firstLine="709"/>
        <w:jc w:val="both"/>
        <w:rPr>
          <w:rFonts w:ascii="Arial" w:hAnsi="Arial" w:cs="Arial"/>
          <w:sz w:val="16"/>
          <w:szCs w:val="16"/>
          <w:lang w:val="es-ES"/>
        </w:rPr>
      </w:pPr>
      <w:r w:rsidRPr="004A0275">
        <w:rPr>
          <w:rStyle w:val="Refdenotaalpie"/>
          <w:rFonts w:ascii="Arial" w:hAnsi="Arial" w:cs="Arial"/>
          <w:sz w:val="16"/>
          <w:szCs w:val="16"/>
        </w:rPr>
        <w:footnoteRef/>
      </w:r>
      <w:r w:rsidRPr="004A0275">
        <w:rPr>
          <w:rFonts w:ascii="Arial" w:hAnsi="Arial" w:cs="Arial"/>
          <w:sz w:val="16"/>
          <w:szCs w:val="16"/>
        </w:rPr>
        <w:t xml:space="preserve"> </w:t>
      </w:r>
      <w:r w:rsidRPr="004A0275">
        <w:rPr>
          <w:rFonts w:ascii="Arial" w:hAnsi="Arial" w:cs="Arial"/>
          <w:sz w:val="16"/>
          <w:szCs w:val="16"/>
          <w:lang w:val="es-ES"/>
        </w:rPr>
        <w:t>CONSEJO DE ESTADO. Sala de Consulta y Servicio Civil. Concepto del 30 de abril de 2015. Expediente: 2251. Consejero Ponente: Álvaro Namén Vargas.</w:t>
      </w:r>
    </w:p>
  </w:footnote>
  <w:footnote w:id="15">
    <w:p w14:paraId="59031EAF" w14:textId="11CD0866" w:rsidR="008751F1" w:rsidRPr="004A0275" w:rsidRDefault="008751F1" w:rsidP="0030664E">
      <w:pPr>
        <w:pStyle w:val="Textonotapie"/>
        <w:ind w:firstLine="709"/>
        <w:jc w:val="both"/>
        <w:rPr>
          <w:rFonts w:ascii="Arial" w:hAnsi="Arial" w:cs="Arial"/>
          <w:sz w:val="16"/>
          <w:szCs w:val="16"/>
        </w:rPr>
      </w:pPr>
      <w:r w:rsidRPr="004A0275">
        <w:rPr>
          <w:rStyle w:val="Refdenotaalpie"/>
          <w:rFonts w:ascii="Arial" w:hAnsi="Arial" w:cs="Arial"/>
          <w:sz w:val="16"/>
          <w:szCs w:val="16"/>
        </w:rPr>
        <w:footnoteRef/>
      </w:r>
      <w:r w:rsidRPr="004A0275">
        <w:rPr>
          <w:rFonts w:ascii="Arial" w:hAnsi="Arial" w:cs="Arial"/>
          <w:sz w:val="16"/>
          <w:szCs w:val="16"/>
        </w:rPr>
        <w:t xml:space="preserve"> CONSEJO DE ESTADO. Sección Tercera. Subsección A. Sentencia del 24 de junio de 2015. Exp. 40.635. Consejero Ponente: Hernán Andrade Rincón (E).</w:t>
      </w:r>
    </w:p>
  </w:footnote>
  <w:footnote w:id="16">
    <w:p w14:paraId="5987F45B" w14:textId="01C7F58B" w:rsidR="008751F1" w:rsidRPr="004A0275" w:rsidRDefault="008751F1" w:rsidP="0030664E">
      <w:pPr>
        <w:pStyle w:val="Textonotapie"/>
        <w:ind w:firstLine="709"/>
        <w:jc w:val="both"/>
        <w:rPr>
          <w:rFonts w:ascii="Arial" w:hAnsi="Arial" w:cs="Arial"/>
          <w:sz w:val="16"/>
          <w:szCs w:val="16"/>
        </w:rPr>
      </w:pPr>
      <w:r w:rsidRPr="004A0275">
        <w:rPr>
          <w:rStyle w:val="Refdenotaalpie"/>
          <w:rFonts w:ascii="Arial" w:hAnsi="Arial" w:cs="Arial"/>
          <w:sz w:val="16"/>
          <w:szCs w:val="16"/>
        </w:rPr>
        <w:footnoteRef/>
      </w:r>
      <w:r w:rsidRPr="004A0275">
        <w:rPr>
          <w:rFonts w:ascii="Arial" w:hAnsi="Arial" w:cs="Arial"/>
          <w:sz w:val="16"/>
          <w:szCs w:val="16"/>
        </w:rPr>
        <w:t xml:space="preserve"> CONSEJO DE ESTADO. Sección Tercera. Subsección C. Sentencia del 22 de mayo de 2013. Exp. 24.057. C.P. Olga Melida Valle De De La Hoz.</w:t>
      </w:r>
    </w:p>
  </w:footnote>
  <w:footnote w:id="17">
    <w:p w14:paraId="60C1B332" w14:textId="77777777" w:rsidR="00184F87" w:rsidRPr="004A0275" w:rsidRDefault="00184F87" w:rsidP="007246C7">
      <w:pPr>
        <w:pStyle w:val="Textonotapie"/>
        <w:ind w:firstLine="708"/>
        <w:jc w:val="both"/>
        <w:rPr>
          <w:rFonts w:ascii="Arial" w:hAnsi="Arial" w:cs="Arial"/>
          <w:sz w:val="16"/>
          <w:szCs w:val="16"/>
          <w:lang w:val="es-CO"/>
        </w:rPr>
      </w:pPr>
      <w:r w:rsidRPr="004A0275">
        <w:rPr>
          <w:rStyle w:val="Refdenotaalpie"/>
          <w:rFonts w:ascii="Arial" w:hAnsi="Arial" w:cs="Arial"/>
          <w:sz w:val="16"/>
          <w:szCs w:val="16"/>
        </w:rPr>
        <w:footnoteRef/>
      </w:r>
      <w:r w:rsidRPr="004A0275">
        <w:rPr>
          <w:rFonts w:ascii="Arial" w:hAnsi="Arial" w:cs="Arial"/>
          <w:sz w:val="16"/>
          <w:szCs w:val="16"/>
        </w:rPr>
        <w:t xml:space="preserve"> En lo pertinente, la norma dispone que «</w:t>
      </w:r>
      <w:bookmarkStart w:id="9" w:name="_Hlk98942284"/>
      <w:r w:rsidRPr="004A0275">
        <w:rPr>
          <w:rFonts w:ascii="Arial" w:hAnsi="Arial" w:cs="Arial"/>
          <w:sz w:val="16"/>
          <w:szCs w:val="16"/>
          <w:lang w:val="es-CO"/>
        </w:rPr>
        <w:t>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bookmarkEnd w:id="9"/>
      <w:r w:rsidRPr="004A0275">
        <w:rPr>
          <w:rFonts w:ascii="Arial" w:hAnsi="Arial" w:cs="Arial"/>
          <w:sz w:val="16"/>
          <w:szCs w:val="16"/>
          <w:lang w:val="es-CO"/>
        </w:rPr>
        <w:t>.</w:t>
      </w:r>
    </w:p>
    <w:p w14:paraId="02046B98" w14:textId="5BDC827F" w:rsidR="00184F87" w:rsidRPr="004A0275" w:rsidRDefault="00184F87" w:rsidP="007246C7">
      <w:pPr>
        <w:pStyle w:val="Textonotapie"/>
        <w:ind w:firstLine="708"/>
        <w:jc w:val="both"/>
        <w:rPr>
          <w:rFonts w:ascii="Arial" w:hAnsi="Arial" w:cs="Arial"/>
          <w:sz w:val="16"/>
          <w:szCs w:val="16"/>
          <w:lang w:val="es-CO"/>
        </w:rPr>
      </w:pPr>
      <w:r w:rsidRPr="004A0275">
        <w:rPr>
          <w:rFonts w:ascii="Arial" w:hAnsi="Arial" w:cs="Arial"/>
          <w:sz w:val="16"/>
          <w:szCs w:val="16"/>
          <w:lang w:val="es-CO"/>
        </w:rPr>
        <w:t>»Las condiciones de remisión de la información y los plazos de permanencia de la misma en el registro serán señalados por el Gobierno Nacional.</w:t>
      </w:r>
    </w:p>
    <w:p w14:paraId="38A884AC" w14:textId="1C518B99" w:rsidR="00184F87" w:rsidRPr="004A0275" w:rsidRDefault="00184F87" w:rsidP="007246C7">
      <w:pPr>
        <w:pStyle w:val="Textonotapie"/>
        <w:ind w:firstLine="708"/>
        <w:jc w:val="both"/>
        <w:rPr>
          <w:rFonts w:ascii="Arial" w:hAnsi="Arial" w:cs="Arial"/>
          <w:sz w:val="16"/>
          <w:szCs w:val="16"/>
          <w:lang w:val="es-CO"/>
        </w:rPr>
      </w:pPr>
      <w:r w:rsidRPr="004A0275">
        <w:rPr>
          <w:rFonts w:ascii="Arial" w:hAnsi="Arial" w:cs="Arial"/>
          <w:sz w:val="16"/>
          <w:szCs w:val="16"/>
          <w:lang w:val="es-CO"/>
        </w:rPr>
        <w:t>»El servidor público encargado de remitir la información, que incumpla esta obligación incurrirá en causal de mala conducta».</w:t>
      </w:r>
    </w:p>
  </w:footnote>
  <w:footnote w:id="18">
    <w:p w14:paraId="1402EC57" w14:textId="77777777" w:rsidR="00184F87" w:rsidRPr="004A0275" w:rsidRDefault="00184F87" w:rsidP="00184F87">
      <w:pPr>
        <w:pStyle w:val="Textonotapie"/>
        <w:ind w:firstLine="708"/>
        <w:jc w:val="both"/>
        <w:rPr>
          <w:rFonts w:ascii="Arial" w:hAnsi="Arial" w:cs="Arial"/>
          <w:sz w:val="16"/>
          <w:szCs w:val="16"/>
        </w:rPr>
      </w:pPr>
      <w:r w:rsidRPr="004A0275">
        <w:rPr>
          <w:rStyle w:val="Refdenotaalpie"/>
          <w:rFonts w:ascii="Arial" w:hAnsi="Arial" w:cs="Arial"/>
          <w:sz w:val="16"/>
          <w:szCs w:val="16"/>
        </w:rPr>
        <w:footnoteRef/>
      </w:r>
      <w:r w:rsidRPr="004A0275">
        <w:rPr>
          <w:rFonts w:ascii="Arial" w:hAnsi="Arial" w:cs="Arial"/>
          <w:sz w:val="16"/>
          <w:szCs w:val="16"/>
        </w:rPr>
        <w:t xml:space="preserve">   Ley 80 de 1993: «Artículo 31. De la publicación de los actos y sentencias sancionatorias. &lt;Artículo modificado por el artículo </w:t>
      </w:r>
      <w:hyperlink r:id="rId1" w:anchor="218" w:history="1">
        <w:r w:rsidRPr="004A0275">
          <w:rPr>
            <w:rFonts w:ascii="Arial" w:hAnsi="Arial" w:cs="Arial"/>
            <w:sz w:val="16"/>
            <w:szCs w:val="16"/>
          </w:rPr>
          <w:t>218</w:t>
        </w:r>
      </w:hyperlink>
      <w:r w:rsidRPr="004A0275">
        <w:rPr>
          <w:rFonts w:ascii="Arial" w:hAnsi="Arial" w:cs="Arial"/>
          <w:sz w:val="16"/>
          <w:szCs w:val="16"/>
        </w:rPr>
        <w:t> del Decreto 19 de 2012. El nuevo texto es el siguiente:&gt; La parte resolutiva de los actos que declaren Ia caducidad, impongan multas, sanciones o declaren el incumplimiento, una vez ejecutoriados, se publicarán en el SECOP y se comunicarán a Ia cámara de comercio en que se encuentre inscrito el contratista respectivo. También se comunicarán a Ia Procuraduría General de Ia Nación».</w:t>
      </w:r>
    </w:p>
  </w:footnote>
  <w:footnote w:id="19">
    <w:p w14:paraId="3996F49D" w14:textId="77777777" w:rsidR="00863622" w:rsidRPr="004A0275" w:rsidRDefault="00863622" w:rsidP="0030664E">
      <w:pPr>
        <w:pStyle w:val="Textonotapie"/>
        <w:ind w:firstLine="709"/>
        <w:jc w:val="both"/>
        <w:rPr>
          <w:rFonts w:ascii="Arial" w:hAnsi="Arial" w:cs="Arial"/>
          <w:sz w:val="16"/>
          <w:szCs w:val="16"/>
          <w:lang w:val="es-CO"/>
        </w:rPr>
      </w:pPr>
      <w:r w:rsidRPr="004A0275">
        <w:rPr>
          <w:rStyle w:val="Refdenotaalpie"/>
          <w:rFonts w:ascii="Arial" w:hAnsi="Arial" w:cs="Arial"/>
          <w:sz w:val="16"/>
          <w:szCs w:val="16"/>
        </w:rPr>
        <w:footnoteRef/>
      </w:r>
      <w:r w:rsidRPr="004A0275">
        <w:rPr>
          <w:rFonts w:ascii="Arial" w:hAnsi="Arial" w:cs="Arial"/>
          <w:sz w:val="16"/>
          <w:szCs w:val="16"/>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footnote>
  <w:footnote w:id="20">
    <w:p w14:paraId="1C361C29" w14:textId="1B7D37D0" w:rsidR="00755D3E" w:rsidRPr="004A0275" w:rsidRDefault="00755D3E">
      <w:pPr>
        <w:pStyle w:val="Textonotapie"/>
        <w:rPr>
          <w:rFonts w:ascii="Arial" w:hAnsi="Arial" w:cs="Arial"/>
          <w:sz w:val="16"/>
          <w:szCs w:val="16"/>
        </w:rPr>
      </w:pPr>
      <w:r w:rsidRPr="004A0275">
        <w:rPr>
          <w:rStyle w:val="Refdenotaalpie"/>
          <w:rFonts w:ascii="Arial" w:hAnsi="Arial" w:cs="Arial"/>
          <w:sz w:val="16"/>
          <w:szCs w:val="16"/>
        </w:rPr>
        <w:footnoteRef/>
      </w:r>
      <w:r w:rsidRPr="004A0275">
        <w:rPr>
          <w:rFonts w:ascii="Arial" w:hAnsi="Arial" w:cs="Arial"/>
          <w:sz w:val="16"/>
          <w:szCs w:val="16"/>
        </w:rPr>
        <w:t xml:space="preserve">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751F1" w:rsidRDefault="008751F1">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2A64F" w14:textId="77777777" w:rsidR="007B65A9" w:rsidRDefault="007B65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046621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A0030B"/>
    <w:multiLevelType w:val="multilevel"/>
    <w:tmpl w:val="1C567DE4"/>
    <w:lvl w:ilvl="0">
      <w:start w:val="1"/>
      <w:numFmt w:val="decimal"/>
      <w:lvlText w:val="%1."/>
      <w:lvlJc w:val="left"/>
      <w:pPr>
        <w:ind w:left="4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25" w:hanging="425"/>
      </w:pPr>
      <w:rPr>
        <w:rFonts w:ascii="Arial" w:eastAsia="Arial" w:hAnsi="Arial" w:cs="Arial" w:hint="default"/>
        <w:b/>
        <w:bCs/>
        <w:color w:val="000000" w:themeColor="text1"/>
        <w:spacing w:val="-1"/>
        <w:w w:val="100"/>
        <w:sz w:val="22"/>
        <w:szCs w:val="22"/>
        <w:lang w:val="es-ES" w:eastAsia="en-US" w:bidi="ar-SA"/>
      </w:rPr>
    </w:lvl>
    <w:lvl w:ilvl="2">
      <w:start w:val="1"/>
      <w:numFmt w:val="lowerLetter"/>
      <w:lvlText w:val="%3)"/>
      <w:lvlJc w:val="left"/>
      <w:pPr>
        <w:ind w:left="805" w:hanging="273"/>
      </w:pPr>
      <w:rPr>
        <w:rFonts w:ascii="Arial" w:eastAsia="Arial" w:hAnsi="Arial" w:cs="Arial" w:hint="default"/>
        <w:color w:val="auto"/>
        <w:spacing w:val="-1"/>
        <w:w w:val="100"/>
        <w:sz w:val="22"/>
        <w:szCs w:val="22"/>
        <w:lang w:val="es-ES" w:eastAsia="en-US" w:bidi="ar-SA"/>
      </w:rPr>
    </w:lvl>
    <w:lvl w:ilvl="3">
      <w:numFmt w:val="bullet"/>
      <w:lvlText w:val="•"/>
      <w:lvlJc w:val="left"/>
      <w:pPr>
        <w:ind w:left="800" w:hanging="273"/>
      </w:pPr>
      <w:rPr>
        <w:lang w:val="es-ES" w:eastAsia="en-US" w:bidi="ar-SA"/>
      </w:rPr>
    </w:lvl>
    <w:lvl w:ilvl="4">
      <w:numFmt w:val="bullet"/>
      <w:lvlText w:val="•"/>
      <w:lvlJc w:val="left"/>
      <w:pPr>
        <w:ind w:left="1991" w:hanging="273"/>
      </w:pPr>
      <w:rPr>
        <w:lang w:val="es-ES" w:eastAsia="en-US" w:bidi="ar-SA"/>
      </w:rPr>
    </w:lvl>
    <w:lvl w:ilvl="5">
      <w:numFmt w:val="bullet"/>
      <w:lvlText w:val="•"/>
      <w:lvlJc w:val="left"/>
      <w:pPr>
        <w:ind w:left="3182" w:hanging="273"/>
      </w:pPr>
      <w:rPr>
        <w:lang w:val="es-ES" w:eastAsia="en-US" w:bidi="ar-SA"/>
      </w:rPr>
    </w:lvl>
    <w:lvl w:ilvl="6">
      <w:numFmt w:val="bullet"/>
      <w:lvlText w:val="•"/>
      <w:lvlJc w:val="left"/>
      <w:pPr>
        <w:ind w:left="4374" w:hanging="273"/>
      </w:pPr>
      <w:rPr>
        <w:lang w:val="es-ES" w:eastAsia="en-US" w:bidi="ar-SA"/>
      </w:rPr>
    </w:lvl>
    <w:lvl w:ilvl="7">
      <w:numFmt w:val="bullet"/>
      <w:lvlText w:val="•"/>
      <w:lvlJc w:val="left"/>
      <w:pPr>
        <w:ind w:left="5565" w:hanging="273"/>
      </w:pPr>
      <w:rPr>
        <w:lang w:val="es-ES" w:eastAsia="en-US" w:bidi="ar-SA"/>
      </w:rPr>
    </w:lvl>
    <w:lvl w:ilvl="8">
      <w:numFmt w:val="bullet"/>
      <w:lvlText w:val="•"/>
      <w:lvlJc w:val="left"/>
      <w:pPr>
        <w:ind w:left="6757" w:hanging="273"/>
      </w:pPr>
      <w:rPr>
        <w:lang w:val="es-ES" w:eastAsia="en-US" w:bidi="ar-SA"/>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F063043"/>
    <w:multiLevelType w:val="hybridMultilevel"/>
    <w:tmpl w:val="CD8CEEF4"/>
    <w:lvl w:ilvl="0" w:tplc="94F86670">
      <w:start w:val="1"/>
      <w:numFmt w:val="lowerLetter"/>
      <w:lvlText w:val="%1)"/>
      <w:lvlJc w:val="left"/>
      <w:pPr>
        <w:ind w:left="805" w:hanging="273"/>
      </w:pPr>
      <w:rPr>
        <w:rFonts w:ascii="Arial" w:eastAsia="Arial" w:hAnsi="Arial" w:cs="Arial" w:hint="default"/>
        <w:color w:val="auto"/>
        <w:spacing w:val="-1"/>
        <w:w w:val="100"/>
        <w:sz w:val="22"/>
        <w:szCs w:val="22"/>
        <w:lang w:val="es-ES" w:eastAsia="en-US" w:bidi="ar-SA"/>
      </w:rPr>
    </w:lvl>
    <w:lvl w:ilvl="1" w:tplc="BE704DAA">
      <w:numFmt w:val="bullet"/>
      <w:lvlText w:val="•"/>
      <w:lvlJc w:val="left"/>
      <w:pPr>
        <w:ind w:left="1634" w:hanging="273"/>
      </w:pPr>
      <w:rPr>
        <w:lang w:val="es-ES" w:eastAsia="en-US" w:bidi="ar-SA"/>
      </w:rPr>
    </w:lvl>
    <w:lvl w:ilvl="2" w:tplc="FC8AC826">
      <w:numFmt w:val="bullet"/>
      <w:lvlText w:val="•"/>
      <w:lvlJc w:val="left"/>
      <w:pPr>
        <w:ind w:left="2468" w:hanging="273"/>
      </w:pPr>
      <w:rPr>
        <w:lang w:val="es-ES" w:eastAsia="en-US" w:bidi="ar-SA"/>
      </w:rPr>
    </w:lvl>
    <w:lvl w:ilvl="3" w:tplc="0C847B66">
      <w:numFmt w:val="bullet"/>
      <w:lvlText w:val="•"/>
      <w:lvlJc w:val="left"/>
      <w:pPr>
        <w:ind w:left="3302" w:hanging="273"/>
      </w:pPr>
      <w:rPr>
        <w:lang w:val="es-ES" w:eastAsia="en-US" w:bidi="ar-SA"/>
      </w:rPr>
    </w:lvl>
    <w:lvl w:ilvl="4" w:tplc="79E827D4">
      <w:numFmt w:val="bullet"/>
      <w:lvlText w:val="•"/>
      <w:lvlJc w:val="left"/>
      <w:pPr>
        <w:ind w:left="4136" w:hanging="273"/>
      </w:pPr>
      <w:rPr>
        <w:lang w:val="es-ES" w:eastAsia="en-US" w:bidi="ar-SA"/>
      </w:rPr>
    </w:lvl>
    <w:lvl w:ilvl="5" w:tplc="53925CC2">
      <w:numFmt w:val="bullet"/>
      <w:lvlText w:val="•"/>
      <w:lvlJc w:val="left"/>
      <w:pPr>
        <w:ind w:left="4970" w:hanging="273"/>
      </w:pPr>
      <w:rPr>
        <w:lang w:val="es-ES" w:eastAsia="en-US" w:bidi="ar-SA"/>
      </w:rPr>
    </w:lvl>
    <w:lvl w:ilvl="6" w:tplc="1ADCED9A">
      <w:numFmt w:val="bullet"/>
      <w:lvlText w:val="•"/>
      <w:lvlJc w:val="left"/>
      <w:pPr>
        <w:ind w:left="5804" w:hanging="273"/>
      </w:pPr>
      <w:rPr>
        <w:lang w:val="es-ES" w:eastAsia="en-US" w:bidi="ar-SA"/>
      </w:rPr>
    </w:lvl>
    <w:lvl w:ilvl="7" w:tplc="BA445070">
      <w:numFmt w:val="bullet"/>
      <w:lvlText w:val="•"/>
      <w:lvlJc w:val="left"/>
      <w:pPr>
        <w:ind w:left="6638" w:hanging="273"/>
      </w:pPr>
      <w:rPr>
        <w:lang w:val="es-ES" w:eastAsia="en-US" w:bidi="ar-SA"/>
      </w:rPr>
    </w:lvl>
    <w:lvl w:ilvl="8" w:tplc="2BF2500E">
      <w:numFmt w:val="bullet"/>
      <w:lvlText w:val="•"/>
      <w:lvlJc w:val="left"/>
      <w:pPr>
        <w:ind w:left="7472" w:hanging="273"/>
      </w:pPr>
      <w:rPr>
        <w:lang w:val="es-ES" w:eastAsia="en-US" w:bidi="ar-SA"/>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670327885">
    <w:abstractNumId w:val="2"/>
  </w:num>
  <w:num w:numId="2" w16cid:durableId="768812491">
    <w:abstractNumId w:val="1"/>
  </w:num>
  <w:num w:numId="3" w16cid:durableId="147136197">
    <w:abstractNumId w:val="3"/>
  </w:num>
  <w:num w:numId="4" w16cid:durableId="1814830982">
    <w:abstractNumId w:val="5"/>
  </w:num>
  <w:num w:numId="5" w16cid:durableId="448354371">
    <w:abstractNumId w:val="8"/>
  </w:num>
  <w:num w:numId="6" w16cid:durableId="82536640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610792">
    <w:abstractNumId w:val="6"/>
  </w:num>
  <w:num w:numId="8" w16cid:durableId="111274608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507403117">
    <w:abstractNumId w:val="7"/>
    <w:lvlOverride w:ilvl="0">
      <w:startOverride w:val="1"/>
    </w:lvlOverride>
    <w:lvlOverride w:ilvl="1"/>
    <w:lvlOverride w:ilvl="2"/>
    <w:lvlOverride w:ilvl="3"/>
    <w:lvlOverride w:ilvl="4"/>
    <w:lvlOverride w:ilvl="5"/>
    <w:lvlOverride w:ilvl="6"/>
    <w:lvlOverride w:ilvl="7"/>
    <w:lvlOverride w:ilvl="8"/>
  </w:num>
  <w:num w:numId="10" w16cid:durableId="94897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255"/>
    <w:rsid w:val="00001BD3"/>
    <w:rsid w:val="00002665"/>
    <w:rsid w:val="00002F47"/>
    <w:rsid w:val="00006AF8"/>
    <w:rsid w:val="00010B55"/>
    <w:rsid w:val="00010D84"/>
    <w:rsid w:val="0001182B"/>
    <w:rsid w:val="000152BC"/>
    <w:rsid w:val="00016FC3"/>
    <w:rsid w:val="000170F8"/>
    <w:rsid w:val="0002052B"/>
    <w:rsid w:val="00027C8A"/>
    <w:rsid w:val="00032B71"/>
    <w:rsid w:val="00034730"/>
    <w:rsid w:val="000362FF"/>
    <w:rsid w:val="00042106"/>
    <w:rsid w:val="00046D2B"/>
    <w:rsid w:val="00047D85"/>
    <w:rsid w:val="00051107"/>
    <w:rsid w:val="00052E6D"/>
    <w:rsid w:val="00054324"/>
    <w:rsid w:val="00054787"/>
    <w:rsid w:val="00056AFD"/>
    <w:rsid w:val="00056DA1"/>
    <w:rsid w:val="00062363"/>
    <w:rsid w:val="00064065"/>
    <w:rsid w:val="000669E2"/>
    <w:rsid w:val="00066C20"/>
    <w:rsid w:val="00070501"/>
    <w:rsid w:val="000729E2"/>
    <w:rsid w:val="00080897"/>
    <w:rsid w:val="0008187E"/>
    <w:rsid w:val="000824C9"/>
    <w:rsid w:val="00083BF8"/>
    <w:rsid w:val="00084AA0"/>
    <w:rsid w:val="00084B97"/>
    <w:rsid w:val="00085147"/>
    <w:rsid w:val="00086DFE"/>
    <w:rsid w:val="000921C6"/>
    <w:rsid w:val="00093B65"/>
    <w:rsid w:val="000942EB"/>
    <w:rsid w:val="00094C6A"/>
    <w:rsid w:val="00094CB8"/>
    <w:rsid w:val="00096709"/>
    <w:rsid w:val="00096EE0"/>
    <w:rsid w:val="000A500C"/>
    <w:rsid w:val="000A5DB8"/>
    <w:rsid w:val="000A5E74"/>
    <w:rsid w:val="000B103F"/>
    <w:rsid w:val="000B1B0E"/>
    <w:rsid w:val="000B6B7A"/>
    <w:rsid w:val="000B6F0F"/>
    <w:rsid w:val="000B71E4"/>
    <w:rsid w:val="000C0D40"/>
    <w:rsid w:val="000C19C5"/>
    <w:rsid w:val="000C58A3"/>
    <w:rsid w:val="000D0781"/>
    <w:rsid w:val="000D1322"/>
    <w:rsid w:val="000D1B87"/>
    <w:rsid w:val="000D3E95"/>
    <w:rsid w:val="000D41BD"/>
    <w:rsid w:val="000D69CB"/>
    <w:rsid w:val="000D7AF2"/>
    <w:rsid w:val="000E3038"/>
    <w:rsid w:val="000E33E7"/>
    <w:rsid w:val="000E34B5"/>
    <w:rsid w:val="000E3936"/>
    <w:rsid w:val="000E4197"/>
    <w:rsid w:val="000F14E8"/>
    <w:rsid w:val="000F2057"/>
    <w:rsid w:val="00103915"/>
    <w:rsid w:val="00105467"/>
    <w:rsid w:val="001058E7"/>
    <w:rsid w:val="00107268"/>
    <w:rsid w:val="00115958"/>
    <w:rsid w:val="00120B1D"/>
    <w:rsid w:val="001219CC"/>
    <w:rsid w:val="00122B23"/>
    <w:rsid w:val="00126F54"/>
    <w:rsid w:val="00132CD6"/>
    <w:rsid w:val="00135EC1"/>
    <w:rsid w:val="001363D5"/>
    <w:rsid w:val="00137126"/>
    <w:rsid w:val="00137FFA"/>
    <w:rsid w:val="001461F2"/>
    <w:rsid w:val="001508E7"/>
    <w:rsid w:val="00150BAE"/>
    <w:rsid w:val="00155152"/>
    <w:rsid w:val="001564FC"/>
    <w:rsid w:val="00157A04"/>
    <w:rsid w:val="00162CE7"/>
    <w:rsid w:val="00163BBF"/>
    <w:rsid w:val="001642DC"/>
    <w:rsid w:val="0016478F"/>
    <w:rsid w:val="001659D9"/>
    <w:rsid w:val="00165ED8"/>
    <w:rsid w:val="00166604"/>
    <w:rsid w:val="00167E06"/>
    <w:rsid w:val="001704FF"/>
    <w:rsid w:val="00170956"/>
    <w:rsid w:val="00172581"/>
    <w:rsid w:val="00172D04"/>
    <w:rsid w:val="00175204"/>
    <w:rsid w:val="00176FD4"/>
    <w:rsid w:val="00181317"/>
    <w:rsid w:val="001818DC"/>
    <w:rsid w:val="00183832"/>
    <w:rsid w:val="00184F87"/>
    <w:rsid w:val="001858BE"/>
    <w:rsid w:val="00191592"/>
    <w:rsid w:val="00193CBC"/>
    <w:rsid w:val="001A07AC"/>
    <w:rsid w:val="001A09AC"/>
    <w:rsid w:val="001A663E"/>
    <w:rsid w:val="001A7081"/>
    <w:rsid w:val="001A77CD"/>
    <w:rsid w:val="001A7A90"/>
    <w:rsid w:val="001A7FA3"/>
    <w:rsid w:val="001B0444"/>
    <w:rsid w:val="001B088E"/>
    <w:rsid w:val="001B2051"/>
    <w:rsid w:val="001B2CE5"/>
    <w:rsid w:val="001B59C3"/>
    <w:rsid w:val="001B62A9"/>
    <w:rsid w:val="001B6FB2"/>
    <w:rsid w:val="001C0252"/>
    <w:rsid w:val="001C0A77"/>
    <w:rsid w:val="001C1D16"/>
    <w:rsid w:val="001C307E"/>
    <w:rsid w:val="001C30EE"/>
    <w:rsid w:val="001D3404"/>
    <w:rsid w:val="001D3CC4"/>
    <w:rsid w:val="001D5A36"/>
    <w:rsid w:val="001D7C8A"/>
    <w:rsid w:val="001E31E8"/>
    <w:rsid w:val="001E60CB"/>
    <w:rsid w:val="001F117B"/>
    <w:rsid w:val="001F34D4"/>
    <w:rsid w:val="001F7253"/>
    <w:rsid w:val="001F7C4F"/>
    <w:rsid w:val="001F7D57"/>
    <w:rsid w:val="0020632A"/>
    <w:rsid w:val="00206845"/>
    <w:rsid w:val="002110EB"/>
    <w:rsid w:val="00211338"/>
    <w:rsid w:val="00215197"/>
    <w:rsid w:val="0021585A"/>
    <w:rsid w:val="00216318"/>
    <w:rsid w:val="00216E96"/>
    <w:rsid w:val="00217E84"/>
    <w:rsid w:val="00220A00"/>
    <w:rsid w:val="0022116F"/>
    <w:rsid w:val="00221AB6"/>
    <w:rsid w:val="002233B1"/>
    <w:rsid w:val="002252E2"/>
    <w:rsid w:val="0022675F"/>
    <w:rsid w:val="00226B51"/>
    <w:rsid w:val="00226E4B"/>
    <w:rsid w:val="002277B9"/>
    <w:rsid w:val="00231B8A"/>
    <w:rsid w:val="002327EB"/>
    <w:rsid w:val="002336E4"/>
    <w:rsid w:val="00234B84"/>
    <w:rsid w:val="00236A64"/>
    <w:rsid w:val="00244069"/>
    <w:rsid w:val="002473ED"/>
    <w:rsid w:val="00253AA8"/>
    <w:rsid w:val="00253ED0"/>
    <w:rsid w:val="00255E96"/>
    <w:rsid w:val="00256DBC"/>
    <w:rsid w:val="002604AC"/>
    <w:rsid w:val="00260F08"/>
    <w:rsid w:val="00263A8B"/>
    <w:rsid w:val="00263DB9"/>
    <w:rsid w:val="002650A4"/>
    <w:rsid w:val="00266139"/>
    <w:rsid w:val="00272459"/>
    <w:rsid w:val="0027449C"/>
    <w:rsid w:val="002756E3"/>
    <w:rsid w:val="00275B63"/>
    <w:rsid w:val="00277E2B"/>
    <w:rsid w:val="00280F7C"/>
    <w:rsid w:val="00283671"/>
    <w:rsid w:val="00286E42"/>
    <w:rsid w:val="0029238C"/>
    <w:rsid w:val="002927C5"/>
    <w:rsid w:val="00295CEA"/>
    <w:rsid w:val="00296F6F"/>
    <w:rsid w:val="00297663"/>
    <w:rsid w:val="002A11F2"/>
    <w:rsid w:val="002A285F"/>
    <w:rsid w:val="002A2BD7"/>
    <w:rsid w:val="002A2C98"/>
    <w:rsid w:val="002B5724"/>
    <w:rsid w:val="002B648F"/>
    <w:rsid w:val="002B681F"/>
    <w:rsid w:val="002B6D04"/>
    <w:rsid w:val="002C4C0C"/>
    <w:rsid w:val="002C5EA2"/>
    <w:rsid w:val="002C6274"/>
    <w:rsid w:val="002C76DA"/>
    <w:rsid w:val="002C7F9C"/>
    <w:rsid w:val="002D00EC"/>
    <w:rsid w:val="002D074F"/>
    <w:rsid w:val="002D5691"/>
    <w:rsid w:val="002D5D05"/>
    <w:rsid w:val="002D6C6B"/>
    <w:rsid w:val="002F0186"/>
    <w:rsid w:val="002F01BF"/>
    <w:rsid w:val="002F0EFC"/>
    <w:rsid w:val="002F1A14"/>
    <w:rsid w:val="002F398A"/>
    <w:rsid w:val="002F454C"/>
    <w:rsid w:val="002F605D"/>
    <w:rsid w:val="002F7E69"/>
    <w:rsid w:val="00301184"/>
    <w:rsid w:val="00301B3A"/>
    <w:rsid w:val="0030218D"/>
    <w:rsid w:val="003033BA"/>
    <w:rsid w:val="0030664E"/>
    <w:rsid w:val="00306EF9"/>
    <w:rsid w:val="003074AE"/>
    <w:rsid w:val="00310F13"/>
    <w:rsid w:val="00312813"/>
    <w:rsid w:val="00313095"/>
    <w:rsid w:val="00314336"/>
    <w:rsid w:val="00315BD2"/>
    <w:rsid w:val="00320FDA"/>
    <w:rsid w:val="0032279F"/>
    <w:rsid w:val="00322937"/>
    <w:rsid w:val="00322C41"/>
    <w:rsid w:val="00325E6F"/>
    <w:rsid w:val="00330911"/>
    <w:rsid w:val="003337A1"/>
    <w:rsid w:val="0033505E"/>
    <w:rsid w:val="0033539B"/>
    <w:rsid w:val="00336234"/>
    <w:rsid w:val="00336972"/>
    <w:rsid w:val="003379EF"/>
    <w:rsid w:val="0034177C"/>
    <w:rsid w:val="0034677C"/>
    <w:rsid w:val="0034680A"/>
    <w:rsid w:val="003470D1"/>
    <w:rsid w:val="003471B0"/>
    <w:rsid w:val="00347C19"/>
    <w:rsid w:val="00353BB8"/>
    <w:rsid w:val="00353C4C"/>
    <w:rsid w:val="00353DD5"/>
    <w:rsid w:val="00354681"/>
    <w:rsid w:val="0035470E"/>
    <w:rsid w:val="00356146"/>
    <w:rsid w:val="00360210"/>
    <w:rsid w:val="00360566"/>
    <w:rsid w:val="00362B0C"/>
    <w:rsid w:val="00364DED"/>
    <w:rsid w:val="00364EF5"/>
    <w:rsid w:val="0036593D"/>
    <w:rsid w:val="00370449"/>
    <w:rsid w:val="0037167E"/>
    <w:rsid w:val="00380301"/>
    <w:rsid w:val="00382076"/>
    <w:rsid w:val="00386456"/>
    <w:rsid w:val="0038668D"/>
    <w:rsid w:val="003869D5"/>
    <w:rsid w:val="00391F79"/>
    <w:rsid w:val="00393E78"/>
    <w:rsid w:val="00396FE0"/>
    <w:rsid w:val="003A0878"/>
    <w:rsid w:val="003A15ED"/>
    <w:rsid w:val="003A2753"/>
    <w:rsid w:val="003A4560"/>
    <w:rsid w:val="003A46BE"/>
    <w:rsid w:val="003A46FC"/>
    <w:rsid w:val="003A53EA"/>
    <w:rsid w:val="003A5502"/>
    <w:rsid w:val="003A5652"/>
    <w:rsid w:val="003A581E"/>
    <w:rsid w:val="003B07BE"/>
    <w:rsid w:val="003B1A11"/>
    <w:rsid w:val="003C201F"/>
    <w:rsid w:val="003C3B4A"/>
    <w:rsid w:val="003C443F"/>
    <w:rsid w:val="003C63A9"/>
    <w:rsid w:val="003D000D"/>
    <w:rsid w:val="003D1614"/>
    <w:rsid w:val="003D2E2C"/>
    <w:rsid w:val="003D495D"/>
    <w:rsid w:val="003E4FAA"/>
    <w:rsid w:val="003E63DC"/>
    <w:rsid w:val="003E68E0"/>
    <w:rsid w:val="003F094C"/>
    <w:rsid w:val="00402C55"/>
    <w:rsid w:val="004042CB"/>
    <w:rsid w:val="004064EC"/>
    <w:rsid w:val="00406EFA"/>
    <w:rsid w:val="004075A7"/>
    <w:rsid w:val="00410354"/>
    <w:rsid w:val="00412C63"/>
    <w:rsid w:val="00420ABA"/>
    <w:rsid w:val="00423F9F"/>
    <w:rsid w:val="00427331"/>
    <w:rsid w:val="0043064E"/>
    <w:rsid w:val="004311EA"/>
    <w:rsid w:val="004333D6"/>
    <w:rsid w:val="00434AD4"/>
    <w:rsid w:val="00435B6D"/>
    <w:rsid w:val="00436AFF"/>
    <w:rsid w:val="00437044"/>
    <w:rsid w:val="004422D6"/>
    <w:rsid w:val="00443095"/>
    <w:rsid w:val="004453F7"/>
    <w:rsid w:val="004455B2"/>
    <w:rsid w:val="00446A06"/>
    <w:rsid w:val="004502D6"/>
    <w:rsid w:val="004510F8"/>
    <w:rsid w:val="004569DB"/>
    <w:rsid w:val="00461D0B"/>
    <w:rsid w:val="0046281F"/>
    <w:rsid w:val="004644A2"/>
    <w:rsid w:val="00464C20"/>
    <w:rsid w:val="004717A0"/>
    <w:rsid w:val="00473233"/>
    <w:rsid w:val="00473897"/>
    <w:rsid w:val="00473979"/>
    <w:rsid w:val="0048136F"/>
    <w:rsid w:val="0049094E"/>
    <w:rsid w:val="0049241A"/>
    <w:rsid w:val="0049341C"/>
    <w:rsid w:val="004934D0"/>
    <w:rsid w:val="0049604C"/>
    <w:rsid w:val="004976CC"/>
    <w:rsid w:val="00497F95"/>
    <w:rsid w:val="004A0275"/>
    <w:rsid w:val="004A02A7"/>
    <w:rsid w:val="004A1A5E"/>
    <w:rsid w:val="004A34D2"/>
    <w:rsid w:val="004A6E42"/>
    <w:rsid w:val="004B00D1"/>
    <w:rsid w:val="004B5C64"/>
    <w:rsid w:val="004C0693"/>
    <w:rsid w:val="004C3E8B"/>
    <w:rsid w:val="004C597C"/>
    <w:rsid w:val="004C5D70"/>
    <w:rsid w:val="004C758D"/>
    <w:rsid w:val="004D0BFA"/>
    <w:rsid w:val="004D2A02"/>
    <w:rsid w:val="004D4249"/>
    <w:rsid w:val="004D48DD"/>
    <w:rsid w:val="004D4913"/>
    <w:rsid w:val="004D577D"/>
    <w:rsid w:val="004E0E0D"/>
    <w:rsid w:val="004E1F12"/>
    <w:rsid w:val="004E381D"/>
    <w:rsid w:val="004E5EAC"/>
    <w:rsid w:val="004E73BB"/>
    <w:rsid w:val="004E78C1"/>
    <w:rsid w:val="004F51BD"/>
    <w:rsid w:val="00500974"/>
    <w:rsid w:val="00501411"/>
    <w:rsid w:val="00503206"/>
    <w:rsid w:val="005050F1"/>
    <w:rsid w:val="00507BEF"/>
    <w:rsid w:val="0051074C"/>
    <w:rsid w:val="00511DBB"/>
    <w:rsid w:val="00512A77"/>
    <w:rsid w:val="00513AF2"/>
    <w:rsid w:val="005178B0"/>
    <w:rsid w:val="00520B6B"/>
    <w:rsid w:val="005222B6"/>
    <w:rsid w:val="00523F49"/>
    <w:rsid w:val="0052454C"/>
    <w:rsid w:val="00540DCF"/>
    <w:rsid w:val="00543D89"/>
    <w:rsid w:val="0054413A"/>
    <w:rsid w:val="00546787"/>
    <w:rsid w:val="00552845"/>
    <w:rsid w:val="005564CA"/>
    <w:rsid w:val="0056182B"/>
    <w:rsid w:val="005632BF"/>
    <w:rsid w:val="00574072"/>
    <w:rsid w:val="005756AA"/>
    <w:rsid w:val="00577B05"/>
    <w:rsid w:val="00583188"/>
    <w:rsid w:val="00583E5F"/>
    <w:rsid w:val="00592630"/>
    <w:rsid w:val="0059283B"/>
    <w:rsid w:val="00596405"/>
    <w:rsid w:val="005964C2"/>
    <w:rsid w:val="005A4951"/>
    <w:rsid w:val="005B28EF"/>
    <w:rsid w:val="005B3AF4"/>
    <w:rsid w:val="005B4843"/>
    <w:rsid w:val="005B4FDD"/>
    <w:rsid w:val="005C029F"/>
    <w:rsid w:val="005C0573"/>
    <w:rsid w:val="005C157D"/>
    <w:rsid w:val="005C501E"/>
    <w:rsid w:val="005C5BD1"/>
    <w:rsid w:val="005D0F03"/>
    <w:rsid w:val="005D3341"/>
    <w:rsid w:val="005D51FA"/>
    <w:rsid w:val="005D791B"/>
    <w:rsid w:val="005E1B38"/>
    <w:rsid w:val="005F2818"/>
    <w:rsid w:val="005F418B"/>
    <w:rsid w:val="005F5A50"/>
    <w:rsid w:val="00600112"/>
    <w:rsid w:val="006010F7"/>
    <w:rsid w:val="0060337C"/>
    <w:rsid w:val="00606840"/>
    <w:rsid w:val="00606E32"/>
    <w:rsid w:val="00611150"/>
    <w:rsid w:val="00611B77"/>
    <w:rsid w:val="0061335A"/>
    <w:rsid w:val="00614817"/>
    <w:rsid w:val="00616710"/>
    <w:rsid w:val="00617024"/>
    <w:rsid w:val="0061750C"/>
    <w:rsid w:val="00617FF2"/>
    <w:rsid w:val="0062031D"/>
    <w:rsid w:val="00622CE1"/>
    <w:rsid w:val="00623EE3"/>
    <w:rsid w:val="0063147A"/>
    <w:rsid w:val="00633DBF"/>
    <w:rsid w:val="00633F4C"/>
    <w:rsid w:val="00634385"/>
    <w:rsid w:val="006344B7"/>
    <w:rsid w:val="00640AEF"/>
    <w:rsid w:val="00641353"/>
    <w:rsid w:val="00641ED1"/>
    <w:rsid w:val="00642637"/>
    <w:rsid w:val="006426BC"/>
    <w:rsid w:val="00643E95"/>
    <w:rsid w:val="00644C0A"/>
    <w:rsid w:val="006477FA"/>
    <w:rsid w:val="00652B61"/>
    <w:rsid w:val="00655371"/>
    <w:rsid w:val="006608A1"/>
    <w:rsid w:val="00660B1A"/>
    <w:rsid w:val="00661D24"/>
    <w:rsid w:val="006636B5"/>
    <w:rsid w:val="00664924"/>
    <w:rsid w:val="00665AA7"/>
    <w:rsid w:val="00671E92"/>
    <w:rsid w:val="006731F1"/>
    <w:rsid w:val="0067348A"/>
    <w:rsid w:val="00674D2F"/>
    <w:rsid w:val="00675865"/>
    <w:rsid w:val="0067712D"/>
    <w:rsid w:val="00677409"/>
    <w:rsid w:val="00683716"/>
    <w:rsid w:val="006837FC"/>
    <w:rsid w:val="0069063F"/>
    <w:rsid w:val="006911AD"/>
    <w:rsid w:val="006967F3"/>
    <w:rsid w:val="00697665"/>
    <w:rsid w:val="006978FD"/>
    <w:rsid w:val="006A26E2"/>
    <w:rsid w:val="006A2AF8"/>
    <w:rsid w:val="006A33BF"/>
    <w:rsid w:val="006A38FF"/>
    <w:rsid w:val="006A41FC"/>
    <w:rsid w:val="006A7CB5"/>
    <w:rsid w:val="006A7FD0"/>
    <w:rsid w:val="006B1716"/>
    <w:rsid w:val="006B60C8"/>
    <w:rsid w:val="006C014E"/>
    <w:rsid w:val="006C1C9E"/>
    <w:rsid w:val="006C1F40"/>
    <w:rsid w:val="006C2244"/>
    <w:rsid w:val="006C2F93"/>
    <w:rsid w:val="006C5617"/>
    <w:rsid w:val="006D10B1"/>
    <w:rsid w:val="006D22FB"/>
    <w:rsid w:val="006D26D0"/>
    <w:rsid w:val="006D687F"/>
    <w:rsid w:val="006D7687"/>
    <w:rsid w:val="006E0572"/>
    <w:rsid w:val="006E096A"/>
    <w:rsid w:val="006E3288"/>
    <w:rsid w:val="006E6FB2"/>
    <w:rsid w:val="006F25BC"/>
    <w:rsid w:val="006F2A69"/>
    <w:rsid w:val="006F4065"/>
    <w:rsid w:val="006F5504"/>
    <w:rsid w:val="006F69B7"/>
    <w:rsid w:val="00700CFE"/>
    <w:rsid w:val="00705631"/>
    <w:rsid w:val="007056C1"/>
    <w:rsid w:val="0070740D"/>
    <w:rsid w:val="00710050"/>
    <w:rsid w:val="00713899"/>
    <w:rsid w:val="00713C1F"/>
    <w:rsid w:val="007148D0"/>
    <w:rsid w:val="00715EAA"/>
    <w:rsid w:val="00717A57"/>
    <w:rsid w:val="00720FED"/>
    <w:rsid w:val="0072288F"/>
    <w:rsid w:val="00722DA0"/>
    <w:rsid w:val="00723034"/>
    <w:rsid w:val="00723A18"/>
    <w:rsid w:val="007246C7"/>
    <w:rsid w:val="00727392"/>
    <w:rsid w:val="007274C9"/>
    <w:rsid w:val="0073233A"/>
    <w:rsid w:val="007345E7"/>
    <w:rsid w:val="007346AD"/>
    <w:rsid w:val="00735555"/>
    <w:rsid w:val="00735ED7"/>
    <w:rsid w:val="00737488"/>
    <w:rsid w:val="00742DD2"/>
    <w:rsid w:val="00746E08"/>
    <w:rsid w:val="00747C96"/>
    <w:rsid w:val="00747EB2"/>
    <w:rsid w:val="0075094E"/>
    <w:rsid w:val="00751504"/>
    <w:rsid w:val="007522E8"/>
    <w:rsid w:val="00754FD2"/>
    <w:rsid w:val="00755D3E"/>
    <w:rsid w:val="0075647A"/>
    <w:rsid w:val="00756E72"/>
    <w:rsid w:val="007634AD"/>
    <w:rsid w:val="007664B0"/>
    <w:rsid w:val="00766C6F"/>
    <w:rsid w:val="00773509"/>
    <w:rsid w:val="00775D3B"/>
    <w:rsid w:val="00780C0A"/>
    <w:rsid w:val="0078122E"/>
    <w:rsid w:val="00786A1B"/>
    <w:rsid w:val="00790122"/>
    <w:rsid w:val="007908A6"/>
    <w:rsid w:val="007925D9"/>
    <w:rsid w:val="0079338B"/>
    <w:rsid w:val="00795647"/>
    <w:rsid w:val="007959A9"/>
    <w:rsid w:val="007A05D3"/>
    <w:rsid w:val="007A1D3C"/>
    <w:rsid w:val="007A4402"/>
    <w:rsid w:val="007A4609"/>
    <w:rsid w:val="007A50B0"/>
    <w:rsid w:val="007A5F3E"/>
    <w:rsid w:val="007A6D3E"/>
    <w:rsid w:val="007A7B24"/>
    <w:rsid w:val="007B02DC"/>
    <w:rsid w:val="007B0854"/>
    <w:rsid w:val="007B16B5"/>
    <w:rsid w:val="007B5AE6"/>
    <w:rsid w:val="007B5FDE"/>
    <w:rsid w:val="007B65A9"/>
    <w:rsid w:val="007B6F1D"/>
    <w:rsid w:val="007B7048"/>
    <w:rsid w:val="007C1E43"/>
    <w:rsid w:val="007C23D3"/>
    <w:rsid w:val="007C284B"/>
    <w:rsid w:val="007C3E51"/>
    <w:rsid w:val="007D7BD9"/>
    <w:rsid w:val="007E0298"/>
    <w:rsid w:val="007E0383"/>
    <w:rsid w:val="007E30E6"/>
    <w:rsid w:val="007E3BBD"/>
    <w:rsid w:val="007F0724"/>
    <w:rsid w:val="007F4562"/>
    <w:rsid w:val="007F6B46"/>
    <w:rsid w:val="007F72CB"/>
    <w:rsid w:val="00800C4B"/>
    <w:rsid w:val="00801DAE"/>
    <w:rsid w:val="0080726E"/>
    <w:rsid w:val="008072AB"/>
    <w:rsid w:val="00811CB5"/>
    <w:rsid w:val="008125DB"/>
    <w:rsid w:val="00814674"/>
    <w:rsid w:val="0081537B"/>
    <w:rsid w:val="0081696A"/>
    <w:rsid w:val="00817D2D"/>
    <w:rsid w:val="00821775"/>
    <w:rsid w:val="008217B7"/>
    <w:rsid w:val="008238E5"/>
    <w:rsid w:val="008309F0"/>
    <w:rsid w:val="0083119B"/>
    <w:rsid w:val="008315A8"/>
    <w:rsid w:val="008341A4"/>
    <w:rsid w:val="00835C69"/>
    <w:rsid w:val="00836EAB"/>
    <w:rsid w:val="0083744B"/>
    <w:rsid w:val="00840747"/>
    <w:rsid w:val="00841778"/>
    <w:rsid w:val="00845DBE"/>
    <w:rsid w:val="008505E7"/>
    <w:rsid w:val="0085092D"/>
    <w:rsid w:val="00850F79"/>
    <w:rsid w:val="0085109D"/>
    <w:rsid w:val="0085243E"/>
    <w:rsid w:val="00853EF1"/>
    <w:rsid w:val="00854CFC"/>
    <w:rsid w:val="008562A5"/>
    <w:rsid w:val="00856826"/>
    <w:rsid w:val="008606A0"/>
    <w:rsid w:val="00860C53"/>
    <w:rsid w:val="00863622"/>
    <w:rsid w:val="00864054"/>
    <w:rsid w:val="00870401"/>
    <w:rsid w:val="00870F20"/>
    <w:rsid w:val="0087150B"/>
    <w:rsid w:val="00871FD2"/>
    <w:rsid w:val="008740EC"/>
    <w:rsid w:val="008751F1"/>
    <w:rsid w:val="00876480"/>
    <w:rsid w:val="00883DF5"/>
    <w:rsid w:val="00884FC4"/>
    <w:rsid w:val="00896974"/>
    <w:rsid w:val="0089774D"/>
    <w:rsid w:val="0089774F"/>
    <w:rsid w:val="008A0ED7"/>
    <w:rsid w:val="008A55BC"/>
    <w:rsid w:val="008A7396"/>
    <w:rsid w:val="008B14AF"/>
    <w:rsid w:val="008B490C"/>
    <w:rsid w:val="008B5B04"/>
    <w:rsid w:val="008B691C"/>
    <w:rsid w:val="008B7C8D"/>
    <w:rsid w:val="008C283B"/>
    <w:rsid w:val="008C5F1F"/>
    <w:rsid w:val="008C6F27"/>
    <w:rsid w:val="008C7B64"/>
    <w:rsid w:val="008D13DB"/>
    <w:rsid w:val="008D1AF7"/>
    <w:rsid w:val="008D56A7"/>
    <w:rsid w:val="008D6DE0"/>
    <w:rsid w:val="008E1C15"/>
    <w:rsid w:val="008E1ED9"/>
    <w:rsid w:val="008E26C1"/>
    <w:rsid w:val="008E2E09"/>
    <w:rsid w:val="008E35DE"/>
    <w:rsid w:val="008E4D94"/>
    <w:rsid w:val="008E4DFB"/>
    <w:rsid w:val="008E5A6D"/>
    <w:rsid w:val="008E7B50"/>
    <w:rsid w:val="008F1CA1"/>
    <w:rsid w:val="008F2CFE"/>
    <w:rsid w:val="008F538E"/>
    <w:rsid w:val="008F6999"/>
    <w:rsid w:val="008F7B43"/>
    <w:rsid w:val="008F7D0D"/>
    <w:rsid w:val="00901AFF"/>
    <w:rsid w:val="00901CE5"/>
    <w:rsid w:val="009047C5"/>
    <w:rsid w:val="009058E3"/>
    <w:rsid w:val="00907404"/>
    <w:rsid w:val="00913F84"/>
    <w:rsid w:val="009151A1"/>
    <w:rsid w:val="00917BB0"/>
    <w:rsid w:val="00920DD5"/>
    <w:rsid w:val="00921961"/>
    <w:rsid w:val="00923BCA"/>
    <w:rsid w:val="009250B2"/>
    <w:rsid w:val="009256D5"/>
    <w:rsid w:val="00927E29"/>
    <w:rsid w:val="009314A3"/>
    <w:rsid w:val="00931CA1"/>
    <w:rsid w:val="00931D6E"/>
    <w:rsid w:val="00940E33"/>
    <w:rsid w:val="00941813"/>
    <w:rsid w:val="0094362D"/>
    <w:rsid w:val="009465ED"/>
    <w:rsid w:val="00950775"/>
    <w:rsid w:val="00950BD9"/>
    <w:rsid w:val="00951A28"/>
    <w:rsid w:val="009526DD"/>
    <w:rsid w:val="0095385A"/>
    <w:rsid w:val="00953E0F"/>
    <w:rsid w:val="00954412"/>
    <w:rsid w:val="00955071"/>
    <w:rsid w:val="00957264"/>
    <w:rsid w:val="0096087E"/>
    <w:rsid w:val="00960D5C"/>
    <w:rsid w:val="00962E23"/>
    <w:rsid w:val="0096318D"/>
    <w:rsid w:val="009668E3"/>
    <w:rsid w:val="00972DD7"/>
    <w:rsid w:val="00974CC1"/>
    <w:rsid w:val="00981D39"/>
    <w:rsid w:val="00985051"/>
    <w:rsid w:val="00985EFB"/>
    <w:rsid w:val="0099575F"/>
    <w:rsid w:val="009A0C65"/>
    <w:rsid w:val="009A1173"/>
    <w:rsid w:val="009A2068"/>
    <w:rsid w:val="009A2D11"/>
    <w:rsid w:val="009A3306"/>
    <w:rsid w:val="009A7034"/>
    <w:rsid w:val="009A7824"/>
    <w:rsid w:val="009B025D"/>
    <w:rsid w:val="009B145D"/>
    <w:rsid w:val="009B2EE5"/>
    <w:rsid w:val="009B46DA"/>
    <w:rsid w:val="009B6C85"/>
    <w:rsid w:val="009C6363"/>
    <w:rsid w:val="009D07B7"/>
    <w:rsid w:val="009D0BBF"/>
    <w:rsid w:val="009D387D"/>
    <w:rsid w:val="009D54F1"/>
    <w:rsid w:val="009E1BE1"/>
    <w:rsid w:val="009E2240"/>
    <w:rsid w:val="009E3277"/>
    <w:rsid w:val="009E485A"/>
    <w:rsid w:val="009E5BCF"/>
    <w:rsid w:val="009F0642"/>
    <w:rsid w:val="009F0BB6"/>
    <w:rsid w:val="009F2744"/>
    <w:rsid w:val="009F5081"/>
    <w:rsid w:val="009F59C2"/>
    <w:rsid w:val="009F5D34"/>
    <w:rsid w:val="009F5F31"/>
    <w:rsid w:val="009F7F06"/>
    <w:rsid w:val="00A000E0"/>
    <w:rsid w:val="00A027F5"/>
    <w:rsid w:val="00A045B6"/>
    <w:rsid w:val="00A04FA0"/>
    <w:rsid w:val="00A1097B"/>
    <w:rsid w:val="00A114A5"/>
    <w:rsid w:val="00A114CB"/>
    <w:rsid w:val="00A1728D"/>
    <w:rsid w:val="00A24560"/>
    <w:rsid w:val="00A2664D"/>
    <w:rsid w:val="00A278BD"/>
    <w:rsid w:val="00A34004"/>
    <w:rsid w:val="00A34538"/>
    <w:rsid w:val="00A346CD"/>
    <w:rsid w:val="00A34E0E"/>
    <w:rsid w:val="00A36B66"/>
    <w:rsid w:val="00A37FB6"/>
    <w:rsid w:val="00A47591"/>
    <w:rsid w:val="00A476B6"/>
    <w:rsid w:val="00A47A82"/>
    <w:rsid w:val="00A51763"/>
    <w:rsid w:val="00A53632"/>
    <w:rsid w:val="00A55766"/>
    <w:rsid w:val="00A579BB"/>
    <w:rsid w:val="00A6041D"/>
    <w:rsid w:val="00A74F47"/>
    <w:rsid w:val="00A754E3"/>
    <w:rsid w:val="00A76BE2"/>
    <w:rsid w:val="00A80D07"/>
    <w:rsid w:val="00A82182"/>
    <w:rsid w:val="00A83BED"/>
    <w:rsid w:val="00A87553"/>
    <w:rsid w:val="00A90CFF"/>
    <w:rsid w:val="00A910CB"/>
    <w:rsid w:val="00A97D21"/>
    <w:rsid w:val="00AA08E7"/>
    <w:rsid w:val="00AA1038"/>
    <w:rsid w:val="00AA23B2"/>
    <w:rsid w:val="00AA2792"/>
    <w:rsid w:val="00AA442B"/>
    <w:rsid w:val="00AA669D"/>
    <w:rsid w:val="00AB47CB"/>
    <w:rsid w:val="00AB54B0"/>
    <w:rsid w:val="00AB7CF1"/>
    <w:rsid w:val="00AC7720"/>
    <w:rsid w:val="00AC7F59"/>
    <w:rsid w:val="00AD666C"/>
    <w:rsid w:val="00AD79DF"/>
    <w:rsid w:val="00AE2958"/>
    <w:rsid w:val="00AE3988"/>
    <w:rsid w:val="00AE3C27"/>
    <w:rsid w:val="00AE6036"/>
    <w:rsid w:val="00AE70B1"/>
    <w:rsid w:val="00AF1736"/>
    <w:rsid w:val="00AF2E29"/>
    <w:rsid w:val="00AF5A7A"/>
    <w:rsid w:val="00AF6DAE"/>
    <w:rsid w:val="00B022A4"/>
    <w:rsid w:val="00B030B1"/>
    <w:rsid w:val="00B041D2"/>
    <w:rsid w:val="00B05A55"/>
    <w:rsid w:val="00B05E3A"/>
    <w:rsid w:val="00B073F3"/>
    <w:rsid w:val="00B12769"/>
    <w:rsid w:val="00B1322F"/>
    <w:rsid w:val="00B13EC0"/>
    <w:rsid w:val="00B160FC"/>
    <w:rsid w:val="00B16431"/>
    <w:rsid w:val="00B210EB"/>
    <w:rsid w:val="00B22024"/>
    <w:rsid w:val="00B22E22"/>
    <w:rsid w:val="00B23041"/>
    <w:rsid w:val="00B24109"/>
    <w:rsid w:val="00B25ADA"/>
    <w:rsid w:val="00B25B2B"/>
    <w:rsid w:val="00B309E2"/>
    <w:rsid w:val="00B31BA6"/>
    <w:rsid w:val="00B354B4"/>
    <w:rsid w:val="00B35A63"/>
    <w:rsid w:val="00B40DDE"/>
    <w:rsid w:val="00B41FD5"/>
    <w:rsid w:val="00B424E9"/>
    <w:rsid w:val="00B42BC8"/>
    <w:rsid w:val="00B460E5"/>
    <w:rsid w:val="00B501F3"/>
    <w:rsid w:val="00B525CB"/>
    <w:rsid w:val="00B52C4D"/>
    <w:rsid w:val="00B56A20"/>
    <w:rsid w:val="00B6189A"/>
    <w:rsid w:val="00B61CA3"/>
    <w:rsid w:val="00B62A2E"/>
    <w:rsid w:val="00B63872"/>
    <w:rsid w:val="00B63CB2"/>
    <w:rsid w:val="00B64809"/>
    <w:rsid w:val="00B64EDB"/>
    <w:rsid w:val="00B70839"/>
    <w:rsid w:val="00B7315F"/>
    <w:rsid w:val="00B75A9B"/>
    <w:rsid w:val="00B75B2B"/>
    <w:rsid w:val="00B7645B"/>
    <w:rsid w:val="00B82E7E"/>
    <w:rsid w:val="00B84425"/>
    <w:rsid w:val="00B91B8E"/>
    <w:rsid w:val="00B91D14"/>
    <w:rsid w:val="00B92156"/>
    <w:rsid w:val="00B933A4"/>
    <w:rsid w:val="00BA1266"/>
    <w:rsid w:val="00BA2795"/>
    <w:rsid w:val="00BA5C48"/>
    <w:rsid w:val="00BA6142"/>
    <w:rsid w:val="00BC15DF"/>
    <w:rsid w:val="00BC61DE"/>
    <w:rsid w:val="00BC6FEA"/>
    <w:rsid w:val="00BC7ED1"/>
    <w:rsid w:val="00BD2DDD"/>
    <w:rsid w:val="00BD3394"/>
    <w:rsid w:val="00BD3D51"/>
    <w:rsid w:val="00BD57D0"/>
    <w:rsid w:val="00BD78FE"/>
    <w:rsid w:val="00BD7ABD"/>
    <w:rsid w:val="00BE194E"/>
    <w:rsid w:val="00BE1EBE"/>
    <w:rsid w:val="00BE33E3"/>
    <w:rsid w:val="00BE46DD"/>
    <w:rsid w:val="00BE5842"/>
    <w:rsid w:val="00BF4D87"/>
    <w:rsid w:val="00BF6B43"/>
    <w:rsid w:val="00BF6D5B"/>
    <w:rsid w:val="00C00793"/>
    <w:rsid w:val="00C03F48"/>
    <w:rsid w:val="00C04029"/>
    <w:rsid w:val="00C11942"/>
    <w:rsid w:val="00C14692"/>
    <w:rsid w:val="00C16250"/>
    <w:rsid w:val="00C22A83"/>
    <w:rsid w:val="00C22F98"/>
    <w:rsid w:val="00C30516"/>
    <w:rsid w:val="00C3176C"/>
    <w:rsid w:val="00C40E3E"/>
    <w:rsid w:val="00C410B5"/>
    <w:rsid w:val="00C45685"/>
    <w:rsid w:val="00C46188"/>
    <w:rsid w:val="00C478F4"/>
    <w:rsid w:val="00C5090E"/>
    <w:rsid w:val="00C50D03"/>
    <w:rsid w:val="00C536E6"/>
    <w:rsid w:val="00C60414"/>
    <w:rsid w:val="00C61D16"/>
    <w:rsid w:val="00C62FA4"/>
    <w:rsid w:val="00C634EA"/>
    <w:rsid w:val="00C637A6"/>
    <w:rsid w:val="00C639C6"/>
    <w:rsid w:val="00C653AC"/>
    <w:rsid w:val="00C70449"/>
    <w:rsid w:val="00C707CB"/>
    <w:rsid w:val="00C76E54"/>
    <w:rsid w:val="00C82037"/>
    <w:rsid w:val="00C86771"/>
    <w:rsid w:val="00C900EE"/>
    <w:rsid w:val="00C90B50"/>
    <w:rsid w:val="00C90FBB"/>
    <w:rsid w:val="00C91FB2"/>
    <w:rsid w:val="00C9224E"/>
    <w:rsid w:val="00C93443"/>
    <w:rsid w:val="00C94AD5"/>
    <w:rsid w:val="00CA3543"/>
    <w:rsid w:val="00CA65BF"/>
    <w:rsid w:val="00CB6FE2"/>
    <w:rsid w:val="00CC00CD"/>
    <w:rsid w:val="00CC371C"/>
    <w:rsid w:val="00CC45B5"/>
    <w:rsid w:val="00CC5149"/>
    <w:rsid w:val="00CC6ED4"/>
    <w:rsid w:val="00CD078A"/>
    <w:rsid w:val="00CD1BDC"/>
    <w:rsid w:val="00CE0853"/>
    <w:rsid w:val="00CE6F9A"/>
    <w:rsid w:val="00CF29E6"/>
    <w:rsid w:val="00CF3E74"/>
    <w:rsid w:val="00D01760"/>
    <w:rsid w:val="00D02CC3"/>
    <w:rsid w:val="00D03ED1"/>
    <w:rsid w:val="00D0663F"/>
    <w:rsid w:val="00D06B2C"/>
    <w:rsid w:val="00D1044A"/>
    <w:rsid w:val="00D10BD9"/>
    <w:rsid w:val="00D112B4"/>
    <w:rsid w:val="00D11423"/>
    <w:rsid w:val="00D13B85"/>
    <w:rsid w:val="00D16E39"/>
    <w:rsid w:val="00D16FA8"/>
    <w:rsid w:val="00D20AD0"/>
    <w:rsid w:val="00D20BD4"/>
    <w:rsid w:val="00D223B6"/>
    <w:rsid w:val="00D26A74"/>
    <w:rsid w:val="00D27FCD"/>
    <w:rsid w:val="00D30BDC"/>
    <w:rsid w:val="00D33680"/>
    <w:rsid w:val="00D35756"/>
    <w:rsid w:val="00D361BF"/>
    <w:rsid w:val="00D37E49"/>
    <w:rsid w:val="00D37E9B"/>
    <w:rsid w:val="00D4223B"/>
    <w:rsid w:val="00D45539"/>
    <w:rsid w:val="00D4557E"/>
    <w:rsid w:val="00D46B53"/>
    <w:rsid w:val="00D53524"/>
    <w:rsid w:val="00D536D4"/>
    <w:rsid w:val="00D53CEA"/>
    <w:rsid w:val="00D54576"/>
    <w:rsid w:val="00D566B3"/>
    <w:rsid w:val="00D60327"/>
    <w:rsid w:val="00D618C9"/>
    <w:rsid w:val="00D622AF"/>
    <w:rsid w:val="00D639D4"/>
    <w:rsid w:val="00D66CC3"/>
    <w:rsid w:val="00D70B72"/>
    <w:rsid w:val="00D71042"/>
    <w:rsid w:val="00D720AF"/>
    <w:rsid w:val="00D72E9D"/>
    <w:rsid w:val="00D7428F"/>
    <w:rsid w:val="00D746FD"/>
    <w:rsid w:val="00D76E0D"/>
    <w:rsid w:val="00D778EC"/>
    <w:rsid w:val="00D80B4E"/>
    <w:rsid w:val="00D82CE5"/>
    <w:rsid w:val="00D82E44"/>
    <w:rsid w:val="00D879AB"/>
    <w:rsid w:val="00D91951"/>
    <w:rsid w:val="00D92348"/>
    <w:rsid w:val="00D94852"/>
    <w:rsid w:val="00D94962"/>
    <w:rsid w:val="00D96938"/>
    <w:rsid w:val="00DA208F"/>
    <w:rsid w:val="00DA3903"/>
    <w:rsid w:val="00DA59A8"/>
    <w:rsid w:val="00DA5AB1"/>
    <w:rsid w:val="00DA5D76"/>
    <w:rsid w:val="00DA7D98"/>
    <w:rsid w:val="00DB04D4"/>
    <w:rsid w:val="00DB07E1"/>
    <w:rsid w:val="00DB6388"/>
    <w:rsid w:val="00DB63C0"/>
    <w:rsid w:val="00DB6633"/>
    <w:rsid w:val="00DB6E1A"/>
    <w:rsid w:val="00DC0553"/>
    <w:rsid w:val="00DC06A6"/>
    <w:rsid w:val="00DC290A"/>
    <w:rsid w:val="00DC62E5"/>
    <w:rsid w:val="00DC6DF2"/>
    <w:rsid w:val="00DD0076"/>
    <w:rsid w:val="00DD4E26"/>
    <w:rsid w:val="00DD6ABE"/>
    <w:rsid w:val="00DD735D"/>
    <w:rsid w:val="00DD7859"/>
    <w:rsid w:val="00DE2AEF"/>
    <w:rsid w:val="00DE3119"/>
    <w:rsid w:val="00DE5B33"/>
    <w:rsid w:val="00DE6E0C"/>
    <w:rsid w:val="00DE74A8"/>
    <w:rsid w:val="00DF11CD"/>
    <w:rsid w:val="00DF11CF"/>
    <w:rsid w:val="00DF236B"/>
    <w:rsid w:val="00DF3757"/>
    <w:rsid w:val="00DF40DF"/>
    <w:rsid w:val="00DF4D6F"/>
    <w:rsid w:val="00DF5ACC"/>
    <w:rsid w:val="00DF79F3"/>
    <w:rsid w:val="00E018A8"/>
    <w:rsid w:val="00E04179"/>
    <w:rsid w:val="00E05C7A"/>
    <w:rsid w:val="00E10363"/>
    <w:rsid w:val="00E10A7E"/>
    <w:rsid w:val="00E11C35"/>
    <w:rsid w:val="00E13AB8"/>
    <w:rsid w:val="00E13F34"/>
    <w:rsid w:val="00E161A5"/>
    <w:rsid w:val="00E212A8"/>
    <w:rsid w:val="00E22816"/>
    <w:rsid w:val="00E24051"/>
    <w:rsid w:val="00E25CB3"/>
    <w:rsid w:val="00E27C29"/>
    <w:rsid w:val="00E322A0"/>
    <w:rsid w:val="00E339C3"/>
    <w:rsid w:val="00E33B62"/>
    <w:rsid w:val="00E35B91"/>
    <w:rsid w:val="00E4143A"/>
    <w:rsid w:val="00E41DC1"/>
    <w:rsid w:val="00E439DB"/>
    <w:rsid w:val="00E45327"/>
    <w:rsid w:val="00E52208"/>
    <w:rsid w:val="00E536EF"/>
    <w:rsid w:val="00E55F24"/>
    <w:rsid w:val="00E57AA4"/>
    <w:rsid w:val="00E6039E"/>
    <w:rsid w:val="00E605C4"/>
    <w:rsid w:val="00E61AEE"/>
    <w:rsid w:val="00E639A8"/>
    <w:rsid w:val="00E640B2"/>
    <w:rsid w:val="00E64541"/>
    <w:rsid w:val="00E649F2"/>
    <w:rsid w:val="00E7305A"/>
    <w:rsid w:val="00E8497D"/>
    <w:rsid w:val="00E9391E"/>
    <w:rsid w:val="00E95050"/>
    <w:rsid w:val="00EA0B3F"/>
    <w:rsid w:val="00EA1D2F"/>
    <w:rsid w:val="00EA2CA5"/>
    <w:rsid w:val="00EA7DFC"/>
    <w:rsid w:val="00EB1305"/>
    <w:rsid w:val="00EB2DD4"/>
    <w:rsid w:val="00EB408F"/>
    <w:rsid w:val="00EB5913"/>
    <w:rsid w:val="00EB7C92"/>
    <w:rsid w:val="00EC187C"/>
    <w:rsid w:val="00EC502F"/>
    <w:rsid w:val="00EC6C6C"/>
    <w:rsid w:val="00ED069A"/>
    <w:rsid w:val="00ED3AB5"/>
    <w:rsid w:val="00ED69F6"/>
    <w:rsid w:val="00ED7C47"/>
    <w:rsid w:val="00EE4051"/>
    <w:rsid w:val="00EE59B5"/>
    <w:rsid w:val="00EE79F8"/>
    <w:rsid w:val="00EF3D8D"/>
    <w:rsid w:val="00EF4A70"/>
    <w:rsid w:val="00EF5645"/>
    <w:rsid w:val="00EF626A"/>
    <w:rsid w:val="00EF7999"/>
    <w:rsid w:val="00F01BA0"/>
    <w:rsid w:val="00F03D62"/>
    <w:rsid w:val="00F06841"/>
    <w:rsid w:val="00F06ECC"/>
    <w:rsid w:val="00F126A2"/>
    <w:rsid w:val="00F132C2"/>
    <w:rsid w:val="00F13C27"/>
    <w:rsid w:val="00F1484C"/>
    <w:rsid w:val="00F16A2E"/>
    <w:rsid w:val="00F17514"/>
    <w:rsid w:val="00F20A9D"/>
    <w:rsid w:val="00F22114"/>
    <w:rsid w:val="00F22D9D"/>
    <w:rsid w:val="00F234A3"/>
    <w:rsid w:val="00F2371B"/>
    <w:rsid w:val="00F23E3A"/>
    <w:rsid w:val="00F25F38"/>
    <w:rsid w:val="00F31A6E"/>
    <w:rsid w:val="00F36E61"/>
    <w:rsid w:val="00F41437"/>
    <w:rsid w:val="00F431BE"/>
    <w:rsid w:val="00F4538B"/>
    <w:rsid w:val="00F50587"/>
    <w:rsid w:val="00F5291B"/>
    <w:rsid w:val="00F56CE3"/>
    <w:rsid w:val="00F603CC"/>
    <w:rsid w:val="00F61C0B"/>
    <w:rsid w:val="00F63BF5"/>
    <w:rsid w:val="00F665E0"/>
    <w:rsid w:val="00F6747C"/>
    <w:rsid w:val="00F72043"/>
    <w:rsid w:val="00F757ED"/>
    <w:rsid w:val="00F80385"/>
    <w:rsid w:val="00F8044B"/>
    <w:rsid w:val="00F84899"/>
    <w:rsid w:val="00F85164"/>
    <w:rsid w:val="00F85182"/>
    <w:rsid w:val="00F859F0"/>
    <w:rsid w:val="00F87C6B"/>
    <w:rsid w:val="00F93916"/>
    <w:rsid w:val="00F95EDB"/>
    <w:rsid w:val="00FA039C"/>
    <w:rsid w:val="00FA0C27"/>
    <w:rsid w:val="00FA19FB"/>
    <w:rsid w:val="00FA6142"/>
    <w:rsid w:val="00FB04FB"/>
    <w:rsid w:val="00FB1417"/>
    <w:rsid w:val="00FB4D2C"/>
    <w:rsid w:val="00FB7FA5"/>
    <w:rsid w:val="00FC1D2E"/>
    <w:rsid w:val="00FC2E17"/>
    <w:rsid w:val="00FC53F2"/>
    <w:rsid w:val="00FD0BB5"/>
    <w:rsid w:val="00FD171F"/>
    <w:rsid w:val="00FD56EF"/>
    <w:rsid w:val="00FD6D2E"/>
    <w:rsid w:val="00FD74A6"/>
    <w:rsid w:val="00FD7CC6"/>
    <w:rsid w:val="00FE0EA6"/>
    <w:rsid w:val="00FE141E"/>
    <w:rsid w:val="00FE180D"/>
    <w:rsid w:val="00FE257C"/>
    <w:rsid w:val="00FE36B6"/>
    <w:rsid w:val="00FE42ED"/>
    <w:rsid w:val="00FE5201"/>
    <w:rsid w:val="00FE5EF1"/>
    <w:rsid w:val="00FF0706"/>
    <w:rsid w:val="00FF33C7"/>
    <w:rsid w:val="00FF3636"/>
    <w:rsid w:val="00FF65D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263A8B"/>
    <w:pPr>
      <w:autoSpaceDE w:val="0"/>
      <w:autoSpaceDN w:val="0"/>
      <w:adjustRightInd w:val="0"/>
      <w:spacing w:after="0" w:line="240" w:lineRule="auto"/>
    </w:pPr>
    <w:rPr>
      <w:rFonts w:ascii="Cambria" w:hAnsi="Cambria" w:cs="Cambria"/>
      <w:color w:val="000000"/>
      <w:sz w:val="24"/>
      <w:szCs w:val="24"/>
    </w:rPr>
  </w:style>
  <w:style w:type="character" w:styleId="Hipervnculovisitado">
    <w:name w:val="FollowedHyperlink"/>
    <w:basedOn w:val="Fuentedeprrafopredeter"/>
    <w:uiPriority w:val="99"/>
    <w:semiHidden/>
    <w:unhideWhenUsed/>
    <w:rsid w:val="00B35A63"/>
    <w:rPr>
      <w:color w:val="F2F2F2" w:themeColor="followedHyperlink"/>
      <w:u w:val="single"/>
    </w:rPr>
  </w:style>
  <w:style w:type="paragraph" w:styleId="Textoindependiente">
    <w:name w:val="Body Text"/>
    <w:basedOn w:val="Normal"/>
    <w:link w:val="TextoindependienteCar"/>
    <w:uiPriority w:val="1"/>
    <w:qFormat/>
    <w:rsid w:val="00D37E9B"/>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37E9B"/>
    <w:rPr>
      <w:rFonts w:ascii="Arial" w:eastAsia="Arial" w:hAnsi="Arial" w:cs="Arial"/>
      <w:lang w:val="es-ES" w:eastAsia="es-ES" w:bidi="es-ES"/>
    </w:rPr>
  </w:style>
  <w:style w:type="table" w:customStyle="1" w:styleId="Tablaconcuadrcula11">
    <w:name w:val="Tabla con cuadrícula11"/>
    <w:basedOn w:val="Tablanormal"/>
    <w:next w:val="Tablaconcuadrcula"/>
    <w:uiPriority w:val="59"/>
    <w:rsid w:val="00056AF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161A5"/>
    <w:pPr>
      <w:spacing w:after="160" w:line="240" w:lineRule="exact"/>
    </w:pPr>
    <w:rPr>
      <w:sz w:val="22"/>
      <w:vertAlign w:val="superscript"/>
      <w:lang w:val="es-CO"/>
    </w:rPr>
  </w:style>
  <w:style w:type="character" w:styleId="Textoennegrita">
    <w:name w:val="Strong"/>
    <w:basedOn w:val="Fuentedeprrafopredeter"/>
    <w:uiPriority w:val="22"/>
    <w:qFormat/>
    <w:rsid w:val="00CE6F9A"/>
    <w:rPr>
      <w:b/>
      <w:bCs/>
    </w:rPr>
  </w:style>
  <w:style w:type="character" w:styleId="nfasis">
    <w:name w:val="Emphasis"/>
    <w:basedOn w:val="Fuentedeprrafopredeter"/>
    <w:uiPriority w:val="20"/>
    <w:qFormat/>
    <w:rsid w:val="00CE6F9A"/>
    <w:rPr>
      <w:i/>
      <w:iCs/>
    </w:rPr>
  </w:style>
  <w:style w:type="character" w:styleId="Mencinsinresolver">
    <w:name w:val="Unresolved Mention"/>
    <w:basedOn w:val="Fuentedeprrafopredeter"/>
    <w:uiPriority w:val="99"/>
    <w:semiHidden/>
    <w:unhideWhenUsed/>
    <w:rsid w:val="004502D6"/>
    <w:rPr>
      <w:color w:val="605E5C"/>
      <w:shd w:val="clear" w:color="auto" w:fill="E1DFDD"/>
    </w:rPr>
  </w:style>
  <w:style w:type="paragraph" w:styleId="Revisin">
    <w:name w:val="Revision"/>
    <w:hidden/>
    <w:uiPriority w:val="99"/>
    <w:semiHidden/>
    <w:rsid w:val="00E018A8"/>
    <w:pPr>
      <w:spacing w:after="0" w:line="240" w:lineRule="auto"/>
    </w:pPr>
    <w:rPr>
      <w:sz w:val="24"/>
      <w:lang w:val="es-MX"/>
    </w:rPr>
  </w:style>
  <w:style w:type="character" w:customStyle="1" w:styleId="NormalWebCar">
    <w:name w:val="Normal (Web) Car"/>
    <w:link w:val="NormalWeb"/>
    <w:uiPriority w:val="99"/>
    <w:rsid w:val="00DE2AE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424704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6387979">
      <w:bodyDiv w:val="1"/>
      <w:marLeft w:val="0"/>
      <w:marRight w:val="0"/>
      <w:marTop w:val="0"/>
      <w:marBottom w:val="0"/>
      <w:divBdr>
        <w:top w:val="none" w:sz="0" w:space="0" w:color="auto"/>
        <w:left w:val="none" w:sz="0" w:space="0" w:color="auto"/>
        <w:bottom w:val="none" w:sz="0" w:space="0" w:color="auto"/>
        <w:right w:val="none" w:sz="0" w:space="0" w:color="auto"/>
      </w:divBdr>
    </w:div>
    <w:div w:id="701637801">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1946885">
      <w:bodyDiv w:val="1"/>
      <w:marLeft w:val="0"/>
      <w:marRight w:val="0"/>
      <w:marTop w:val="0"/>
      <w:marBottom w:val="0"/>
      <w:divBdr>
        <w:top w:val="none" w:sz="0" w:space="0" w:color="auto"/>
        <w:left w:val="none" w:sz="0" w:space="0" w:color="auto"/>
        <w:bottom w:val="none" w:sz="0" w:space="0" w:color="auto"/>
        <w:right w:val="none" w:sz="0" w:space="0" w:color="auto"/>
      </w:divBdr>
    </w:div>
    <w:div w:id="912933913">
      <w:bodyDiv w:val="1"/>
      <w:marLeft w:val="0"/>
      <w:marRight w:val="0"/>
      <w:marTop w:val="0"/>
      <w:marBottom w:val="0"/>
      <w:divBdr>
        <w:top w:val="none" w:sz="0" w:space="0" w:color="auto"/>
        <w:left w:val="none" w:sz="0" w:space="0" w:color="auto"/>
        <w:bottom w:val="none" w:sz="0" w:space="0" w:color="auto"/>
        <w:right w:val="none" w:sz="0" w:space="0" w:color="auto"/>
      </w:divBdr>
    </w:div>
    <w:div w:id="979386354">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270622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85089887">
      <w:bodyDiv w:val="1"/>
      <w:marLeft w:val="0"/>
      <w:marRight w:val="0"/>
      <w:marTop w:val="0"/>
      <w:marBottom w:val="0"/>
      <w:divBdr>
        <w:top w:val="none" w:sz="0" w:space="0" w:color="auto"/>
        <w:left w:val="none" w:sz="0" w:space="0" w:color="auto"/>
        <w:bottom w:val="none" w:sz="0" w:space="0" w:color="auto"/>
        <w:right w:val="none" w:sz="0" w:space="0" w:color="auto"/>
      </w:divBdr>
    </w:div>
    <w:div w:id="1934894915">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030910316">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150_2007.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educacion.gov.co/1621/articles-85593_archivo_pdf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ecretariasenado.gov.co/senado/basedoc/ley_1150_2007.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educacion.gov.co/1621/articles-85593_archivo_pdf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decreto_0019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BD3FDA-D1B8-4E07-83CE-A4371A42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4F40F8E-6F7E-474D-8CAB-F00EB40DFF63}">
  <ds:schemaRefs>
    <ds:schemaRef ds:uri="http://schemas.openxmlformats.org/officeDocument/2006/bibliography"/>
  </ds:schemaRefs>
</ds:datastoreItem>
</file>

<file path=customXml/itemProps4.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5910</Words>
  <Characters>32511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2022-07-26T14:06:00Z</dcterms:created>
  <dcterms:modified xsi:type="dcterms:W3CDTF">2022-07-26T14:06:00Z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