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341A" w14:textId="70F603D6" w:rsidR="00524963" w:rsidRPr="00C02322" w:rsidRDefault="00D43222" w:rsidP="00524963">
      <w:pPr>
        <w:spacing w:line="276" w:lineRule="auto"/>
        <w:jc w:val="right"/>
        <w:rPr>
          <w:rFonts w:ascii="Arial" w:eastAsia="Calibri" w:hAnsi="Arial" w:cs="Arial"/>
          <w:b/>
          <w:bCs/>
          <w:sz w:val="16"/>
          <w:szCs w:val="16"/>
          <w:lang w:eastAsia="en-US"/>
        </w:rPr>
      </w:pPr>
      <w:bookmarkStart w:id="0" w:name="_Hlk29890381"/>
      <w:bookmarkStart w:id="1" w:name="_Hlk105512980"/>
      <w:bookmarkEnd w:id="0"/>
      <w:r w:rsidRPr="00C02322">
        <w:rPr>
          <w:rFonts w:ascii="Arial" w:hAnsi="Arial" w:cs="Arial"/>
          <w:b/>
          <w:bCs/>
          <w:sz w:val="16"/>
          <w:szCs w:val="16"/>
          <w:lang w:eastAsia="es-ES"/>
        </w:rPr>
        <w:t xml:space="preserve"> </w:t>
      </w:r>
      <w:r w:rsidR="00524963" w:rsidRPr="00C02322">
        <w:rPr>
          <w:rFonts w:ascii="Arial" w:hAnsi="Arial" w:cs="Arial"/>
          <w:b/>
          <w:bCs/>
          <w:sz w:val="16"/>
          <w:szCs w:val="16"/>
          <w:lang w:eastAsia="es-ES"/>
        </w:rPr>
        <w:t>CCE-DES-FM-17</w:t>
      </w:r>
    </w:p>
    <w:p w14:paraId="7887E19A" w14:textId="77777777" w:rsidR="00AE40F4" w:rsidRPr="00C02322" w:rsidRDefault="00AE40F4" w:rsidP="00B22A33">
      <w:pPr>
        <w:jc w:val="both"/>
        <w:rPr>
          <w:rFonts w:ascii="Arial" w:eastAsia="Calibri" w:hAnsi="Arial" w:cs="Arial"/>
          <w:b/>
          <w:bCs/>
          <w:sz w:val="22"/>
          <w:szCs w:val="22"/>
        </w:rPr>
      </w:pPr>
    </w:p>
    <w:p w14:paraId="38376034" w14:textId="6024A2D6" w:rsidR="00B22A33" w:rsidRPr="00C02322" w:rsidRDefault="00B22A33" w:rsidP="00B22A33">
      <w:pPr>
        <w:jc w:val="both"/>
        <w:rPr>
          <w:rFonts w:ascii="Arial" w:eastAsia="Calibri" w:hAnsi="Arial" w:cs="Arial"/>
          <w:b/>
          <w:bCs/>
          <w:sz w:val="22"/>
          <w:szCs w:val="22"/>
        </w:rPr>
      </w:pPr>
      <w:r w:rsidRPr="00C02322">
        <w:rPr>
          <w:rFonts w:ascii="Arial" w:eastAsia="Calibri" w:hAnsi="Arial" w:cs="Arial"/>
          <w:b/>
          <w:bCs/>
          <w:sz w:val="22"/>
          <w:szCs w:val="22"/>
        </w:rPr>
        <w:t xml:space="preserve">ORGANISMOS INTERNACIONALES – Artículo 20 </w:t>
      </w:r>
      <w:r w:rsidRPr="00C02322">
        <w:rPr>
          <w:rFonts w:ascii="Arial" w:eastAsia="Arial" w:hAnsi="Arial" w:cs="Arial"/>
          <w:b/>
          <w:bCs/>
          <w:sz w:val="22"/>
          <w:szCs w:val="22"/>
          <w:lang w:val="es-MX"/>
        </w:rPr>
        <w:t>–</w:t>
      </w:r>
      <w:r w:rsidRPr="00C02322">
        <w:rPr>
          <w:rFonts w:ascii="Arial" w:eastAsia="Calibri" w:hAnsi="Arial" w:cs="Arial"/>
          <w:b/>
          <w:bCs/>
          <w:sz w:val="22"/>
          <w:szCs w:val="22"/>
        </w:rPr>
        <w:t xml:space="preserve"> Ley 1150 de 2007 – Múltiples supuestos – Régimen aplicable – Libertad de elección</w:t>
      </w:r>
    </w:p>
    <w:p w14:paraId="3F726EDA" w14:textId="77777777" w:rsidR="00B22A33" w:rsidRPr="00C02322" w:rsidRDefault="00B22A33" w:rsidP="00B22A33">
      <w:pPr>
        <w:jc w:val="both"/>
        <w:rPr>
          <w:rFonts w:ascii="Arial" w:eastAsia="Calibri" w:hAnsi="Arial" w:cs="Arial"/>
          <w:sz w:val="20"/>
          <w:szCs w:val="20"/>
        </w:rPr>
      </w:pPr>
    </w:p>
    <w:p w14:paraId="419E3314" w14:textId="171A3D46" w:rsidR="00B22A33" w:rsidRPr="00C02322" w:rsidRDefault="00B22A33" w:rsidP="00B22A33">
      <w:pPr>
        <w:jc w:val="both"/>
        <w:rPr>
          <w:rFonts w:ascii="Arial" w:hAnsi="Arial" w:cs="Arial"/>
          <w:sz w:val="20"/>
          <w:szCs w:val="20"/>
          <w:lang w:val="es-ES"/>
        </w:rPr>
      </w:pPr>
      <w:r w:rsidRPr="00C02322">
        <w:rPr>
          <w:rFonts w:ascii="Arial" w:hAnsi="Arial" w:cs="Arial"/>
          <w:sz w:val="20"/>
          <w:szCs w:val="20"/>
          <w:lang w:val="es-ES"/>
        </w:rPr>
        <w:t xml:space="preserve">Para comprender el alcance del régimen aplicable a los contratos o convenios que se suscriban con organismos internacionales, de acuerdo con la financiación de estos, resulta necesario analizar el artículo 20 de la Ley 1150 de 2007. De conformidad con este artículo, en lo que tiene que ver con el </w:t>
      </w:r>
      <w:r w:rsidRPr="00C02322">
        <w:rPr>
          <w:rFonts w:ascii="Arial" w:hAnsi="Arial" w:cs="Arial"/>
          <w:i/>
          <w:iCs/>
          <w:sz w:val="20"/>
          <w:szCs w:val="20"/>
          <w:lang w:val="es-ES"/>
        </w:rPr>
        <w:t>inciso primero</w:t>
      </w:r>
      <w:r w:rsidRPr="00C02322">
        <w:rPr>
          <w:rFonts w:ascii="Arial" w:hAnsi="Arial" w:cs="Arial"/>
          <w:sz w:val="20"/>
          <w:szCs w:val="20"/>
          <w:lang w:val="es-ES"/>
        </w:rPr>
        <w:t xml:space="preserve">,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 Por otro lado, la norma establece un segundo criterio, en el </w:t>
      </w:r>
      <w:r w:rsidRPr="00C02322">
        <w:rPr>
          <w:rFonts w:ascii="Arial" w:hAnsi="Arial" w:cs="Arial"/>
          <w:i/>
          <w:iCs/>
          <w:sz w:val="20"/>
          <w:szCs w:val="20"/>
          <w:lang w:val="es-ES"/>
        </w:rPr>
        <w:t>inciso segundo,</w:t>
      </w:r>
      <w:r w:rsidRPr="00C02322">
        <w:rPr>
          <w:rFonts w:ascii="Arial" w:hAnsi="Arial" w:cs="Arial"/>
          <w:sz w:val="20"/>
          <w:szCs w:val="20"/>
          <w:lang w:val="es-ES"/>
        </w:rPr>
        <w:t xml:space="preserve"> para determinar la posibilidad de aplicar los reglamentos de los organismos internacionales. Este segundo criterio depende del objeto del convenio o contrato a celebrar, de manera que en dichos casos se puede pactar el sometimiento a los reglamentos de estas entidades. </w:t>
      </w:r>
    </w:p>
    <w:p w14:paraId="62E926F8" w14:textId="2C467D9D" w:rsidR="00B22A33" w:rsidRDefault="00B22A33" w:rsidP="005530F9">
      <w:pPr>
        <w:jc w:val="both"/>
        <w:rPr>
          <w:rFonts w:ascii="Arial" w:hAnsi="Arial" w:cs="Arial"/>
          <w:bCs/>
          <w:sz w:val="20"/>
          <w:szCs w:val="20"/>
          <w:lang w:val="es-MX" w:eastAsia="x-none"/>
        </w:rPr>
      </w:pPr>
    </w:p>
    <w:p w14:paraId="274DC5AE" w14:textId="27906C9E" w:rsidR="00F537D9" w:rsidRPr="00C02322" w:rsidRDefault="00F537D9" w:rsidP="005530F9">
      <w:pPr>
        <w:jc w:val="both"/>
        <w:rPr>
          <w:rFonts w:ascii="Arial" w:hAnsi="Arial" w:cs="Arial"/>
          <w:bCs/>
          <w:sz w:val="20"/>
          <w:szCs w:val="20"/>
          <w:lang w:val="es-MX" w:eastAsia="x-none"/>
        </w:rPr>
      </w:pPr>
      <w:r w:rsidRPr="00C02322">
        <w:rPr>
          <w:rFonts w:ascii="Arial" w:eastAsia="Calibri" w:hAnsi="Arial" w:cs="Arial"/>
          <w:b/>
          <w:bCs/>
          <w:sz w:val="22"/>
          <w:szCs w:val="22"/>
        </w:rPr>
        <w:t xml:space="preserve">ORGANISMOS INTERNACIONALES – </w:t>
      </w:r>
      <w:r w:rsidR="002F13AC">
        <w:rPr>
          <w:rFonts w:ascii="Arial" w:eastAsia="Calibri" w:hAnsi="Arial" w:cs="Arial"/>
          <w:b/>
          <w:bCs/>
          <w:sz w:val="22"/>
          <w:szCs w:val="22"/>
        </w:rPr>
        <w:t xml:space="preserve">Fondos de organismos internacionales – Definición </w:t>
      </w:r>
      <w:r w:rsidR="009563CC">
        <w:rPr>
          <w:rFonts w:ascii="Arial" w:eastAsia="Calibri" w:hAnsi="Arial" w:cs="Arial"/>
          <w:b/>
          <w:bCs/>
          <w:sz w:val="22"/>
          <w:szCs w:val="22"/>
        </w:rPr>
        <w:t>–</w:t>
      </w:r>
      <w:r w:rsidR="002F13AC">
        <w:rPr>
          <w:rFonts w:ascii="Arial" w:eastAsia="Calibri" w:hAnsi="Arial" w:cs="Arial"/>
          <w:b/>
          <w:bCs/>
          <w:sz w:val="22"/>
          <w:szCs w:val="22"/>
        </w:rPr>
        <w:t xml:space="preserve"> </w:t>
      </w:r>
      <w:r w:rsidR="009563CC">
        <w:rPr>
          <w:rFonts w:ascii="Arial" w:eastAsia="Calibri" w:hAnsi="Arial" w:cs="Arial"/>
          <w:b/>
          <w:bCs/>
          <w:sz w:val="22"/>
          <w:szCs w:val="22"/>
        </w:rPr>
        <w:t xml:space="preserve">Alcance – Materia contractual </w:t>
      </w:r>
      <w:r w:rsidR="003B4F2D">
        <w:rPr>
          <w:rFonts w:ascii="Arial" w:eastAsia="Calibri" w:hAnsi="Arial" w:cs="Arial"/>
          <w:b/>
          <w:bCs/>
          <w:sz w:val="22"/>
          <w:szCs w:val="22"/>
        </w:rPr>
        <w:t xml:space="preserve"> </w:t>
      </w:r>
    </w:p>
    <w:p w14:paraId="6ABA827A" w14:textId="77777777" w:rsidR="00F537D9" w:rsidRDefault="00F537D9" w:rsidP="00524963">
      <w:pPr>
        <w:tabs>
          <w:tab w:val="left" w:pos="3374"/>
        </w:tabs>
        <w:jc w:val="both"/>
        <w:rPr>
          <w:rFonts w:ascii="Arial" w:hAnsi="Arial" w:cs="Arial"/>
          <w:b/>
          <w:bCs/>
          <w:sz w:val="22"/>
          <w:lang w:val="es-ES_tradnl"/>
        </w:rPr>
      </w:pPr>
    </w:p>
    <w:p w14:paraId="22CE67F6" w14:textId="28FA92CA" w:rsidR="00F537D9" w:rsidRDefault="00D875E0" w:rsidP="00524963">
      <w:pPr>
        <w:tabs>
          <w:tab w:val="left" w:pos="3374"/>
        </w:tabs>
        <w:jc w:val="both"/>
        <w:rPr>
          <w:rFonts w:ascii="Arial" w:eastAsia="Calibri" w:hAnsi="Arial" w:cs="Arial"/>
          <w:sz w:val="20"/>
          <w:szCs w:val="20"/>
          <w:lang w:val="es-ES"/>
        </w:rPr>
      </w:pPr>
      <w:r w:rsidRPr="00D875E0">
        <w:rPr>
          <w:rFonts w:ascii="Arial" w:eastAsia="Calibri" w:hAnsi="Arial" w:cs="Arial"/>
          <w:sz w:val="20"/>
          <w:szCs w:val="20"/>
          <w:lang w:val="es-ES"/>
        </w:rPr>
        <w:t xml:space="preserve">Teniendo en cuenta lo anterior, partiendo de la aplicación del artículo 27 del Código </w:t>
      </w:r>
      <w:proofErr w:type="gramStart"/>
      <w:r w:rsidRPr="00D875E0">
        <w:rPr>
          <w:rFonts w:ascii="Arial" w:eastAsia="Calibri" w:hAnsi="Arial" w:cs="Arial"/>
          <w:sz w:val="20"/>
          <w:szCs w:val="20"/>
          <w:lang w:val="es-ES"/>
        </w:rPr>
        <w:t>Civil ,</w:t>
      </w:r>
      <w:proofErr w:type="gramEnd"/>
      <w:r w:rsidRPr="00D875E0">
        <w:rPr>
          <w:rFonts w:ascii="Arial" w:eastAsia="Calibri" w:hAnsi="Arial" w:cs="Arial"/>
          <w:sz w:val="20"/>
          <w:szCs w:val="20"/>
          <w:lang w:val="es-ES"/>
        </w:rPr>
        <w:t xml:space="preserve"> que establece la interpretación gramatical como uno de los criterios de interpretación de la ley, en virtud del cual «cuando el sentido de la ley no sea claro, no se desatenderá su tenor literal a pretexto de consultar su espíritu», el término «fondo» es definido en el Diccionario de la Lengua Española como «7. Caudal o conjunto de bienes que posee una persona o comunidad» o «23. m. Der. Conjunto de recursos destinado a un objeto determinado». En este sentido, para los fines de la consulta, vale la pena resaltar que la definición se refiere a un «conjunto de bienes» o «conjunto de recursos», lo que permite inferir que los fondos se componen por una universalidad o pluralidad de bienes, y en relación con la composición del conjunto de bienes, la definición es genérica pues no establece ninguna particularidad en relación con la naturaleza de </w:t>
      </w:r>
      <w:proofErr w:type="gramStart"/>
      <w:r w:rsidRPr="00D875E0">
        <w:rPr>
          <w:rFonts w:ascii="Arial" w:eastAsia="Calibri" w:hAnsi="Arial" w:cs="Arial"/>
          <w:sz w:val="20"/>
          <w:szCs w:val="20"/>
          <w:lang w:val="es-ES"/>
        </w:rPr>
        <w:t>los mismos</w:t>
      </w:r>
      <w:proofErr w:type="gramEnd"/>
      <w:r w:rsidRPr="00D875E0">
        <w:rPr>
          <w:rFonts w:ascii="Arial" w:eastAsia="Calibri" w:hAnsi="Arial" w:cs="Arial"/>
          <w:sz w:val="20"/>
          <w:szCs w:val="20"/>
          <w:lang w:val="es-ES"/>
        </w:rPr>
        <w:t xml:space="preserve">. De manera que, para efectos del artículo 20 de la Ley 1150 de 2007, esta Agencia considera que los fondos de organismos internacionales son el conjunto de bienes o recursos de titularidad de estos organismos.  </w:t>
      </w:r>
    </w:p>
    <w:p w14:paraId="2FDE2687" w14:textId="77777777" w:rsidR="00D875E0" w:rsidRDefault="00D875E0" w:rsidP="00524963">
      <w:pPr>
        <w:tabs>
          <w:tab w:val="left" w:pos="3374"/>
        </w:tabs>
        <w:jc w:val="both"/>
        <w:rPr>
          <w:rFonts w:ascii="Arial" w:hAnsi="Arial" w:cs="Arial"/>
          <w:b/>
          <w:bCs/>
          <w:sz w:val="22"/>
          <w:lang w:val="es-ES_tradnl"/>
        </w:rPr>
      </w:pPr>
    </w:p>
    <w:p w14:paraId="6FFEE8C5" w14:textId="63770821" w:rsidR="001A1CC0" w:rsidRDefault="004146CA" w:rsidP="00524963">
      <w:pPr>
        <w:tabs>
          <w:tab w:val="left" w:pos="3374"/>
        </w:tabs>
        <w:jc w:val="both"/>
        <w:rPr>
          <w:rFonts w:ascii="Arial" w:hAnsi="Arial" w:cs="Arial"/>
          <w:b/>
          <w:bCs/>
          <w:sz w:val="22"/>
          <w:lang w:val="es-ES_tradnl"/>
        </w:rPr>
      </w:pPr>
      <w:r w:rsidRPr="004146CA">
        <w:rPr>
          <w:rFonts w:ascii="Arial" w:hAnsi="Arial" w:cs="Arial"/>
          <w:b/>
          <w:bCs/>
          <w:sz w:val="22"/>
          <w:lang w:val="es-ES_tradnl"/>
        </w:rPr>
        <w:t>ORGAMISMOS INTERNACIONALES – Suscripción de contratos – Financiación – Aportes en especie – Procedencia</w:t>
      </w:r>
    </w:p>
    <w:p w14:paraId="0A559A4F" w14:textId="77777777" w:rsidR="004146CA" w:rsidRPr="004146CA" w:rsidRDefault="004146CA" w:rsidP="00524963">
      <w:pPr>
        <w:tabs>
          <w:tab w:val="left" w:pos="3374"/>
        </w:tabs>
        <w:jc w:val="both"/>
        <w:rPr>
          <w:rFonts w:ascii="Arial" w:eastAsia="Calibri" w:hAnsi="Arial" w:cs="Arial"/>
          <w:b/>
          <w:bCs/>
          <w:sz w:val="22"/>
          <w:szCs w:val="22"/>
          <w:lang w:val="es-MX" w:eastAsia="en-US"/>
        </w:rPr>
      </w:pPr>
    </w:p>
    <w:p w14:paraId="7DA7A9A3" w14:textId="77777777" w:rsidR="00445A60" w:rsidRPr="00445A60" w:rsidRDefault="00445A60" w:rsidP="00445A60">
      <w:pPr>
        <w:tabs>
          <w:tab w:val="left" w:pos="3374"/>
        </w:tabs>
        <w:jc w:val="both"/>
        <w:rPr>
          <w:rFonts w:ascii="Arial" w:eastAsia="Calibri" w:hAnsi="Arial" w:cs="Arial"/>
          <w:sz w:val="20"/>
          <w:szCs w:val="20"/>
          <w:lang w:val="es-MX" w:eastAsia="en-US"/>
        </w:rPr>
      </w:pPr>
      <w:r w:rsidRPr="00445A60">
        <w:rPr>
          <w:rFonts w:ascii="Arial" w:eastAsia="Calibri" w:hAnsi="Arial" w:cs="Arial"/>
          <w:sz w:val="20"/>
          <w:szCs w:val="20"/>
          <w:lang w:val="es-MX" w:eastAsia="en-US"/>
        </w:rPr>
        <w:t>En este sentido, los contratos o convenios financiados en sumas iguales o superiores al (50%) con fondos de los organismos de cooperación, asistencia o ayudas internacionales de que trata el inciso primero del artículo 20 de la Ley 1150 de 2007 y el artículo 2.2.1.2.4.4.1. del Decreto 1082 de 2015, admiten la financiación de estos contratos o convenios con aportes en sumas de dinero o en especie. Además, en el segundo caso, deberán cuantificarse en moneda colombiana, a efectos de poder establecer el régimen jurídico aplicable. En todo caso, reiterando que cuando se cumple dicho presupuesto se activa la posibilidad de someterlos a los reglamentos de tales entidades; sin perjuicio de que se opte por que se rijan por la Ley 80 de 1993, bajo el entendido de que se trata de una decisión discrecional, como se explicó anteriormente.</w:t>
      </w:r>
    </w:p>
    <w:p w14:paraId="39AA8D24" w14:textId="62C0DE32" w:rsidR="002373DC" w:rsidRDefault="00445A60" w:rsidP="00445A60">
      <w:pPr>
        <w:tabs>
          <w:tab w:val="left" w:pos="3374"/>
        </w:tabs>
        <w:jc w:val="both"/>
        <w:rPr>
          <w:rFonts w:ascii="Arial" w:eastAsia="Calibri" w:hAnsi="Arial" w:cs="Arial"/>
          <w:sz w:val="20"/>
          <w:szCs w:val="20"/>
          <w:lang w:val="es-MX" w:eastAsia="en-US"/>
        </w:rPr>
      </w:pPr>
      <w:r w:rsidRPr="00445A60">
        <w:rPr>
          <w:rFonts w:ascii="Arial" w:eastAsia="Calibri" w:hAnsi="Arial" w:cs="Arial"/>
          <w:sz w:val="20"/>
          <w:szCs w:val="20"/>
          <w:lang w:val="es-MX" w:eastAsia="en-US"/>
        </w:rPr>
        <w:t xml:space="preserve">De conformidad con lo expuesto, se concluye que los contratos o convenios financiados con fondos de organismos internacionales previstos en el inciso primero del artículo 20 de la Ley 1150 de 2007 puede ser financiados con aportes en sumas liquidas de dinero o en especie, pues el parágrafo 3 </w:t>
      </w:r>
      <w:r w:rsidRPr="00445A60">
        <w:rPr>
          <w:rFonts w:ascii="Arial" w:eastAsia="Calibri" w:hAnsi="Arial" w:cs="Arial"/>
          <w:sz w:val="20"/>
          <w:szCs w:val="20"/>
          <w:lang w:val="es-MX" w:eastAsia="en-US"/>
        </w:rPr>
        <w:lastRenderedPageBreak/>
        <w:t xml:space="preserve">de la misma disposición así lo permite al establecer la obligación de cuantificar en moneda colombiana los aportes en especie realizados por estos organismos y, en caso de que supere el 50% de la totalidad del presupuesto de la contratación, la entidad podrá someter el convenio o contrato a las reglas de contratación del referido organismo.  </w:t>
      </w:r>
    </w:p>
    <w:p w14:paraId="2556F240" w14:textId="1AEEDF1A" w:rsidR="00F536BC" w:rsidRDefault="00F536BC" w:rsidP="00445A60">
      <w:pPr>
        <w:tabs>
          <w:tab w:val="left" w:pos="3374"/>
        </w:tabs>
        <w:jc w:val="both"/>
        <w:rPr>
          <w:rFonts w:ascii="Arial" w:eastAsia="Calibri" w:hAnsi="Arial" w:cs="Arial"/>
          <w:sz w:val="20"/>
          <w:szCs w:val="20"/>
          <w:lang w:val="es-MX" w:eastAsia="en-US"/>
        </w:rPr>
      </w:pPr>
    </w:p>
    <w:p w14:paraId="55C90017" w14:textId="1B1545FA" w:rsidR="00F536BC" w:rsidRDefault="00F536BC" w:rsidP="00445A60">
      <w:pPr>
        <w:tabs>
          <w:tab w:val="left" w:pos="3374"/>
        </w:tabs>
        <w:jc w:val="both"/>
        <w:rPr>
          <w:rFonts w:ascii="Arial" w:eastAsia="Calibri" w:hAnsi="Arial" w:cs="Arial"/>
          <w:sz w:val="20"/>
          <w:szCs w:val="20"/>
          <w:lang w:val="es-MX" w:eastAsia="en-US"/>
        </w:rPr>
      </w:pPr>
    </w:p>
    <w:p w14:paraId="1A2A5693" w14:textId="4C6B7D1C" w:rsidR="00F536BC" w:rsidRPr="00C02322" w:rsidRDefault="00F536BC" w:rsidP="00F536BC">
      <w:pPr>
        <w:tabs>
          <w:tab w:val="left" w:pos="3374"/>
        </w:tabs>
        <w:jc w:val="right"/>
        <w:rPr>
          <w:rFonts w:ascii="Arial" w:eastAsia="Calibri" w:hAnsi="Arial" w:cs="Arial"/>
          <w:sz w:val="22"/>
          <w:szCs w:val="22"/>
          <w:lang w:val="es-MX" w:eastAsia="en-US"/>
        </w:rPr>
      </w:pPr>
      <w:r>
        <w:rPr>
          <w:noProof/>
        </w:rPr>
        <w:drawing>
          <wp:inline distT="0" distB="0" distL="0" distR="0" wp14:anchorId="52AB6A39" wp14:editId="119DD524">
            <wp:extent cx="2759540" cy="729205"/>
            <wp:effectExtent l="0" t="0" r="317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782877" cy="735372"/>
                    </a:xfrm>
                    <a:prstGeom prst="rect">
                      <a:avLst/>
                    </a:prstGeom>
                  </pic:spPr>
                </pic:pic>
              </a:graphicData>
            </a:graphic>
          </wp:inline>
        </w:drawing>
      </w:r>
    </w:p>
    <w:p w14:paraId="0ED1AC47" w14:textId="2F4D2D4F" w:rsidR="0041286F" w:rsidRPr="00C02322" w:rsidRDefault="0041286F" w:rsidP="00524963">
      <w:pPr>
        <w:tabs>
          <w:tab w:val="left" w:pos="3374"/>
        </w:tabs>
        <w:rPr>
          <w:rFonts w:ascii="Arial" w:eastAsia="Calibri" w:hAnsi="Arial" w:cs="Arial"/>
          <w:sz w:val="22"/>
          <w:szCs w:val="22"/>
          <w:lang w:val="es-MX" w:eastAsia="en-US"/>
        </w:rPr>
      </w:pPr>
    </w:p>
    <w:p w14:paraId="1306D9A8" w14:textId="7DB2FBC9" w:rsidR="008810EB" w:rsidRPr="00C02322" w:rsidRDefault="008810EB" w:rsidP="008810EB">
      <w:pPr>
        <w:spacing w:line="276" w:lineRule="auto"/>
        <w:jc w:val="both"/>
        <w:rPr>
          <w:rFonts w:ascii="Arial" w:hAnsi="Arial" w:cs="Arial"/>
          <w:b/>
          <w:sz w:val="22"/>
        </w:rPr>
      </w:pPr>
      <w:r w:rsidRPr="00C02322">
        <w:rPr>
          <w:rFonts w:ascii="Arial" w:hAnsi="Arial" w:cs="Arial"/>
          <w:noProof/>
          <w:sz w:val="22"/>
        </w:rPr>
        <w:t xml:space="preserve">Bogotá, </w:t>
      </w:r>
      <w:r w:rsidR="00F536BC">
        <w:rPr>
          <w:rFonts w:ascii="Arial" w:hAnsi="Arial" w:cs="Arial"/>
          <w:noProof/>
          <w:sz w:val="22"/>
        </w:rPr>
        <w:t xml:space="preserve">19 Julio 2022 </w:t>
      </w:r>
    </w:p>
    <w:p w14:paraId="7CC2EF28" w14:textId="77777777" w:rsidR="00524963" w:rsidRPr="00C02322" w:rsidRDefault="00524963" w:rsidP="00524963">
      <w:pPr>
        <w:rPr>
          <w:rFonts w:ascii="Arial" w:eastAsia="Calibri" w:hAnsi="Arial" w:cs="Arial"/>
          <w:noProof/>
          <w:sz w:val="22"/>
          <w:szCs w:val="22"/>
          <w:lang w:eastAsia="en-US"/>
        </w:rPr>
      </w:pPr>
    </w:p>
    <w:p w14:paraId="5D5DCB70" w14:textId="77777777" w:rsidR="00524963" w:rsidRPr="00C02322" w:rsidRDefault="00524963" w:rsidP="00524963">
      <w:pPr>
        <w:rPr>
          <w:rFonts w:ascii="Arial" w:eastAsia="Calibri" w:hAnsi="Arial" w:cs="Arial"/>
          <w:sz w:val="22"/>
          <w:szCs w:val="22"/>
          <w:lang w:eastAsia="en-US"/>
        </w:rPr>
      </w:pPr>
    </w:p>
    <w:p w14:paraId="725275E7" w14:textId="750B7347" w:rsidR="00524963" w:rsidRPr="00C02322" w:rsidRDefault="00A136AF" w:rsidP="00524963">
      <w:pPr>
        <w:jc w:val="both"/>
        <w:rPr>
          <w:rFonts w:ascii="Arial" w:eastAsia="Calibri" w:hAnsi="Arial" w:cs="Arial"/>
          <w:sz w:val="22"/>
          <w:szCs w:val="22"/>
          <w:lang w:eastAsia="en-US"/>
        </w:rPr>
      </w:pPr>
      <w:bookmarkStart w:id="2" w:name="_Hlk96417464"/>
      <w:r w:rsidRPr="00C02322">
        <w:rPr>
          <w:rFonts w:ascii="Arial" w:eastAsia="Calibri" w:hAnsi="Arial" w:cs="Arial"/>
          <w:sz w:val="22"/>
          <w:szCs w:val="22"/>
          <w:lang w:eastAsia="en-US"/>
        </w:rPr>
        <w:t xml:space="preserve">Señora </w:t>
      </w:r>
    </w:p>
    <w:p w14:paraId="60822689" w14:textId="26D4D18F" w:rsidR="00524963" w:rsidRPr="00C02322" w:rsidRDefault="00A136AF" w:rsidP="00524963">
      <w:pPr>
        <w:jc w:val="both"/>
        <w:rPr>
          <w:rFonts w:ascii="Arial" w:eastAsia="Calibri" w:hAnsi="Arial" w:cs="Arial"/>
          <w:b/>
          <w:sz w:val="22"/>
          <w:szCs w:val="22"/>
          <w:lang w:eastAsia="en-US"/>
        </w:rPr>
      </w:pPr>
      <w:r w:rsidRPr="00C02322">
        <w:rPr>
          <w:rFonts w:ascii="Arial" w:eastAsia="Calibri" w:hAnsi="Arial" w:cs="Arial"/>
          <w:b/>
          <w:sz w:val="22"/>
          <w:szCs w:val="22"/>
          <w:lang w:eastAsia="en-US"/>
        </w:rPr>
        <w:t>Mary Suárez</w:t>
      </w:r>
    </w:p>
    <w:p w14:paraId="255A9222" w14:textId="5D5402B1" w:rsidR="00524963" w:rsidRPr="00C02322" w:rsidRDefault="00A136AF" w:rsidP="00524963">
      <w:pPr>
        <w:jc w:val="both"/>
        <w:rPr>
          <w:rFonts w:ascii="Arial" w:eastAsia="Calibri" w:hAnsi="Arial" w:cs="Arial"/>
          <w:sz w:val="22"/>
          <w:szCs w:val="22"/>
          <w:lang w:eastAsia="en-US"/>
        </w:rPr>
      </w:pPr>
      <w:r w:rsidRPr="00C02322">
        <w:rPr>
          <w:rFonts w:ascii="Arial" w:eastAsia="Calibri" w:hAnsi="Arial" w:cs="Arial"/>
          <w:bCs/>
          <w:sz w:val="22"/>
          <w:szCs w:val="22"/>
          <w:lang w:eastAsia="en-US"/>
        </w:rPr>
        <w:t xml:space="preserve">Bogotá, D.C. </w:t>
      </w:r>
    </w:p>
    <w:p w14:paraId="1EA4E737" w14:textId="77777777" w:rsidR="00524963" w:rsidRPr="00C02322" w:rsidRDefault="00524963" w:rsidP="00524963">
      <w:pPr>
        <w:jc w:val="both"/>
        <w:rPr>
          <w:rFonts w:ascii="Arial" w:eastAsia="Calibri" w:hAnsi="Arial" w:cs="Arial"/>
          <w:sz w:val="22"/>
          <w:szCs w:val="22"/>
          <w:lang w:eastAsia="en-US"/>
        </w:rPr>
      </w:pPr>
    </w:p>
    <w:p w14:paraId="3746D9AF" w14:textId="77777777" w:rsidR="00524963" w:rsidRPr="00C02322" w:rsidRDefault="00524963" w:rsidP="00524963">
      <w:pPr>
        <w:jc w:val="both"/>
        <w:rPr>
          <w:rFonts w:ascii="Arial" w:eastAsia="Calibri" w:hAnsi="Arial" w:cs="Arial"/>
          <w:sz w:val="22"/>
          <w:szCs w:val="22"/>
          <w:lang w:eastAsia="en-US"/>
        </w:rPr>
      </w:pPr>
    </w:p>
    <w:p w14:paraId="3419EAF6" w14:textId="6D802058" w:rsidR="00524963" w:rsidRPr="00C02322" w:rsidRDefault="00524963" w:rsidP="00524963">
      <w:pPr>
        <w:jc w:val="both"/>
        <w:rPr>
          <w:rFonts w:ascii="Arial" w:eastAsia="Calibri" w:hAnsi="Arial" w:cs="Arial"/>
          <w:sz w:val="22"/>
          <w:szCs w:val="22"/>
          <w:lang w:eastAsia="en-US"/>
        </w:rPr>
      </w:pPr>
      <w:r w:rsidRPr="00C02322">
        <w:rPr>
          <w:rFonts w:ascii="Arial" w:eastAsia="Calibri" w:hAnsi="Arial" w:cs="Arial"/>
          <w:sz w:val="22"/>
          <w:szCs w:val="22"/>
          <w:lang w:eastAsia="en-US"/>
        </w:rPr>
        <w:t xml:space="preserve">                                            </w:t>
      </w:r>
      <w:r w:rsidRPr="00C02322">
        <w:rPr>
          <w:rFonts w:ascii="Arial" w:eastAsia="Calibri" w:hAnsi="Arial" w:cs="Arial"/>
          <w:b/>
          <w:sz w:val="22"/>
          <w:szCs w:val="22"/>
          <w:lang w:eastAsia="en-US"/>
        </w:rPr>
        <w:t xml:space="preserve">Concepto C – </w:t>
      </w:r>
      <w:r w:rsidR="00C11086" w:rsidRPr="00C02322">
        <w:rPr>
          <w:rFonts w:ascii="Arial" w:eastAsia="Calibri" w:hAnsi="Arial" w:cs="Arial"/>
          <w:b/>
          <w:sz w:val="22"/>
          <w:szCs w:val="22"/>
          <w:lang w:eastAsia="en-US"/>
        </w:rPr>
        <w:t>461 de 2022</w:t>
      </w:r>
    </w:p>
    <w:p w14:paraId="6157B7C8" w14:textId="77777777" w:rsidR="00524963" w:rsidRPr="00C02322" w:rsidRDefault="00524963" w:rsidP="00524963">
      <w:pPr>
        <w:jc w:val="both"/>
        <w:rPr>
          <w:rFonts w:ascii="Arial" w:eastAsia="Calibri" w:hAnsi="Arial" w:cs="Arial"/>
          <w:b/>
          <w:sz w:val="22"/>
          <w:szCs w:val="22"/>
          <w:lang w:eastAsia="en-US"/>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2322" w:rsidRPr="00C02322" w14:paraId="3B9133A1" w14:textId="77777777" w:rsidTr="00266B9D">
        <w:trPr>
          <w:trHeight w:val="485"/>
        </w:trPr>
        <w:tc>
          <w:tcPr>
            <w:tcW w:w="2689" w:type="dxa"/>
            <w:hideMark/>
          </w:tcPr>
          <w:p w14:paraId="7D325A61" w14:textId="77777777" w:rsidR="00524963" w:rsidRPr="00C02322" w:rsidRDefault="00524963" w:rsidP="00524963">
            <w:pPr>
              <w:contextualSpacing/>
              <w:rPr>
                <w:rFonts w:ascii="Arial" w:eastAsia="Calibri" w:hAnsi="Arial" w:cs="Arial"/>
                <w:noProof/>
                <w:sz w:val="22"/>
                <w:szCs w:val="22"/>
                <w:lang w:val="es-ES_tradnl" w:eastAsia="en-US"/>
              </w:rPr>
            </w:pPr>
            <w:r w:rsidRPr="00C02322">
              <w:rPr>
                <w:rFonts w:ascii="Arial" w:eastAsia="Calibri" w:hAnsi="Arial" w:cs="Arial"/>
                <w:b/>
                <w:noProof/>
                <w:sz w:val="22"/>
                <w:szCs w:val="22"/>
                <w:lang w:val="es-ES_tradnl" w:eastAsia="en-US"/>
              </w:rPr>
              <w:t>Temas:</w:t>
            </w:r>
            <w:r w:rsidRPr="00C02322">
              <w:rPr>
                <w:rFonts w:ascii="Arial" w:eastAsia="Calibri" w:hAnsi="Arial" w:cs="Arial"/>
                <w:noProof/>
                <w:sz w:val="22"/>
                <w:szCs w:val="22"/>
                <w:lang w:val="es-ES_tradnl" w:eastAsia="en-US"/>
              </w:rPr>
              <w:t xml:space="preserve">        </w:t>
            </w:r>
          </w:p>
        </w:tc>
        <w:tc>
          <w:tcPr>
            <w:tcW w:w="6237" w:type="dxa"/>
            <w:hideMark/>
          </w:tcPr>
          <w:p w14:paraId="7CB6205F" w14:textId="60C35E9D" w:rsidR="0041286F" w:rsidRPr="009563CC" w:rsidRDefault="00D022EF" w:rsidP="009563CC">
            <w:pPr>
              <w:jc w:val="both"/>
              <w:rPr>
                <w:rFonts w:ascii="Arial" w:hAnsi="Arial" w:cs="Arial"/>
                <w:bCs/>
                <w:sz w:val="20"/>
                <w:szCs w:val="20"/>
                <w:lang w:val="es-MX" w:eastAsia="x-none"/>
              </w:rPr>
            </w:pPr>
            <w:r w:rsidRPr="00C02322">
              <w:rPr>
                <w:rFonts w:ascii="Arial" w:eastAsia="Calibri" w:hAnsi="Arial" w:cs="Arial"/>
                <w:sz w:val="22"/>
                <w:szCs w:val="22"/>
              </w:rPr>
              <w:t xml:space="preserve">ORGANISMOS INTERNACIONALES – Artículo 20 </w:t>
            </w:r>
            <w:r w:rsidRPr="00C02322">
              <w:rPr>
                <w:rFonts w:ascii="Arial" w:eastAsia="Arial" w:hAnsi="Arial" w:cs="Arial"/>
                <w:sz w:val="22"/>
                <w:szCs w:val="22"/>
                <w:lang w:val="es-MX"/>
              </w:rPr>
              <w:t>–</w:t>
            </w:r>
            <w:r w:rsidRPr="00C02322">
              <w:rPr>
                <w:rFonts w:ascii="Arial" w:eastAsia="Calibri" w:hAnsi="Arial" w:cs="Arial"/>
                <w:sz w:val="22"/>
                <w:szCs w:val="22"/>
              </w:rPr>
              <w:t xml:space="preserve"> Ley 1150 de 2007 – Múltiples supuestos – Régimen aplicable – Libertad de elección </w:t>
            </w:r>
            <w:r w:rsidR="001A1CC0" w:rsidRPr="00C02322">
              <w:rPr>
                <w:rFonts w:ascii="Arial" w:eastAsia="Calibri" w:hAnsi="Arial" w:cs="Arial"/>
                <w:sz w:val="22"/>
                <w:lang w:val="es-ES_tradnl"/>
              </w:rPr>
              <w:t xml:space="preserve">/ </w:t>
            </w:r>
            <w:r w:rsidR="00D30586">
              <w:rPr>
                <w:rFonts w:ascii="Arial" w:hAnsi="Arial" w:cs="Arial"/>
                <w:sz w:val="22"/>
                <w:lang w:val="es-ES_tradnl"/>
              </w:rPr>
              <w:t xml:space="preserve">ORGAMISMOS INTERNACIONALES </w:t>
            </w:r>
            <w:r w:rsidR="004146CA">
              <w:rPr>
                <w:rFonts w:ascii="Arial" w:hAnsi="Arial" w:cs="Arial"/>
                <w:sz w:val="22"/>
                <w:lang w:val="es-ES_tradnl"/>
              </w:rPr>
              <w:t>– Suscripción de contratos – Financiación – Aportes en especie – Procedencia</w:t>
            </w:r>
            <w:r w:rsidR="00487FAD">
              <w:rPr>
                <w:rFonts w:ascii="Arial" w:hAnsi="Arial" w:cs="Arial"/>
                <w:sz w:val="22"/>
                <w:lang w:val="es-ES_tradnl"/>
              </w:rPr>
              <w:t xml:space="preserve"> </w:t>
            </w:r>
            <w:r w:rsidR="004146CA">
              <w:rPr>
                <w:rFonts w:ascii="Arial" w:hAnsi="Arial" w:cs="Arial"/>
                <w:sz w:val="22"/>
                <w:lang w:val="es-ES_tradnl"/>
              </w:rPr>
              <w:t xml:space="preserve">/ </w:t>
            </w:r>
            <w:r w:rsidR="009563CC" w:rsidRPr="009563CC">
              <w:rPr>
                <w:rFonts w:ascii="Arial" w:eastAsia="Calibri" w:hAnsi="Arial" w:cs="Arial"/>
                <w:sz w:val="22"/>
                <w:szCs w:val="22"/>
              </w:rPr>
              <w:t>ORGANISMOS INTERNACIONALES – Fondos de organismos internacionales – Definición – Alcance – Materia contractual</w:t>
            </w:r>
          </w:p>
          <w:p w14:paraId="616ABA7B" w14:textId="77777777" w:rsidR="001A1CC0" w:rsidRPr="00C02322" w:rsidRDefault="001A1CC0" w:rsidP="00272414">
            <w:pPr>
              <w:spacing w:after="120"/>
              <w:contextualSpacing/>
              <w:jc w:val="both"/>
              <w:rPr>
                <w:rFonts w:ascii="Arial" w:eastAsia="Calibri" w:hAnsi="Arial" w:cs="Arial"/>
                <w:b/>
                <w:sz w:val="12"/>
                <w:szCs w:val="12"/>
                <w:lang w:val="es-MX" w:eastAsia="es-MX"/>
              </w:rPr>
            </w:pPr>
          </w:p>
          <w:p w14:paraId="1FAC99B3" w14:textId="77777777" w:rsidR="00524963" w:rsidRPr="00C02322" w:rsidRDefault="00524963" w:rsidP="00524963">
            <w:pPr>
              <w:spacing w:after="120"/>
              <w:rPr>
                <w:rFonts w:ascii="Arial" w:eastAsia="Calibri" w:hAnsi="Arial" w:cs="Arial"/>
                <w:bCs/>
                <w:sz w:val="22"/>
                <w:szCs w:val="22"/>
                <w:lang w:val="es-MX" w:eastAsia="en-US"/>
              </w:rPr>
            </w:pPr>
          </w:p>
        </w:tc>
      </w:tr>
      <w:tr w:rsidR="00524963" w:rsidRPr="00C02322" w14:paraId="3ACF6E69" w14:textId="77777777" w:rsidTr="00FC2FDB">
        <w:trPr>
          <w:trHeight w:val="185"/>
        </w:trPr>
        <w:tc>
          <w:tcPr>
            <w:tcW w:w="2689" w:type="dxa"/>
          </w:tcPr>
          <w:p w14:paraId="4C768BE4" w14:textId="77777777" w:rsidR="00524963" w:rsidRPr="00C02322" w:rsidRDefault="00524963" w:rsidP="00FC2FDB">
            <w:pPr>
              <w:contextualSpacing/>
              <w:rPr>
                <w:rFonts w:ascii="Arial" w:eastAsia="Calibri" w:hAnsi="Arial" w:cs="Arial"/>
                <w:b/>
                <w:noProof/>
                <w:sz w:val="22"/>
                <w:szCs w:val="22"/>
                <w:lang w:val="es-ES_tradnl" w:eastAsia="en-US"/>
              </w:rPr>
            </w:pPr>
            <w:r w:rsidRPr="00C02322">
              <w:rPr>
                <w:rFonts w:ascii="Arial" w:eastAsia="Calibri" w:hAnsi="Arial" w:cs="Arial"/>
                <w:b/>
                <w:noProof/>
                <w:sz w:val="22"/>
                <w:szCs w:val="22"/>
                <w:lang w:val="es-ES_tradnl" w:eastAsia="en-US"/>
              </w:rPr>
              <w:t>Radicación:</w:t>
            </w:r>
            <w:r w:rsidRPr="00C02322">
              <w:rPr>
                <w:rFonts w:ascii="Arial" w:eastAsia="Calibri" w:hAnsi="Arial" w:cs="Arial"/>
                <w:noProof/>
                <w:sz w:val="22"/>
                <w:szCs w:val="22"/>
                <w:lang w:val="es-ES_tradnl" w:eastAsia="en-US"/>
              </w:rPr>
              <w:t xml:space="preserve">                              </w:t>
            </w:r>
          </w:p>
        </w:tc>
        <w:tc>
          <w:tcPr>
            <w:tcW w:w="6237" w:type="dxa"/>
          </w:tcPr>
          <w:p w14:paraId="7AE192F3" w14:textId="677C698E" w:rsidR="00524963" w:rsidRPr="00C02322" w:rsidRDefault="00524963" w:rsidP="00C11086">
            <w:pPr>
              <w:jc w:val="both"/>
              <w:rPr>
                <w:rFonts w:ascii="Arial" w:eastAsia="Calibri" w:hAnsi="Arial" w:cs="Arial"/>
                <w:noProof/>
                <w:sz w:val="22"/>
                <w:szCs w:val="22"/>
                <w:lang w:val="es-ES_tradnl" w:eastAsia="en-US"/>
              </w:rPr>
            </w:pPr>
            <w:r w:rsidRPr="00C02322">
              <w:rPr>
                <w:rFonts w:ascii="Arial" w:eastAsia="Calibri" w:hAnsi="Arial" w:cs="Arial"/>
                <w:noProof/>
                <w:sz w:val="22"/>
                <w:szCs w:val="22"/>
                <w:lang w:val="es-ES_tradnl" w:eastAsia="en-US"/>
              </w:rPr>
              <w:t xml:space="preserve">Respuesta a </w:t>
            </w:r>
            <w:r w:rsidR="00A057E8" w:rsidRPr="00C02322">
              <w:rPr>
                <w:rFonts w:ascii="Arial" w:eastAsia="Calibri" w:hAnsi="Arial" w:cs="Arial"/>
                <w:noProof/>
                <w:sz w:val="22"/>
                <w:szCs w:val="22"/>
                <w:lang w:val="es-ES_tradnl" w:eastAsia="en-US"/>
              </w:rPr>
              <w:t xml:space="preserve">la </w:t>
            </w:r>
            <w:r w:rsidRPr="00C02322">
              <w:rPr>
                <w:rFonts w:ascii="Arial" w:eastAsia="Calibri" w:hAnsi="Arial" w:cs="Arial"/>
                <w:noProof/>
                <w:sz w:val="22"/>
                <w:szCs w:val="22"/>
                <w:lang w:val="es-ES_tradnl" w:eastAsia="en-US"/>
              </w:rPr>
              <w:t>consulta</w:t>
            </w:r>
            <w:r w:rsidR="007E213A" w:rsidRPr="00C02322">
              <w:rPr>
                <w:rFonts w:ascii="Arial" w:eastAsia="Calibri" w:hAnsi="Arial" w:cs="Arial"/>
                <w:noProof/>
                <w:sz w:val="22"/>
                <w:szCs w:val="22"/>
                <w:lang w:val="es-ES_tradnl" w:eastAsia="en-US"/>
              </w:rPr>
              <w:t xml:space="preserve"> </w:t>
            </w:r>
            <w:r w:rsidR="00A63E58" w:rsidRPr="00C02322">
              <w:rPr>
                <w:rFonts w:ascii="Arial" w:eastAsia="Calibri" w:hAnsi="Arial" w:cs="Arial"/>
                <w:noProof/>
                <w:sz w:val="22"/>
                <w:szCs w:val="22"/>
                <w:lang w:val="es-ES_tradnl" w:eastAsia="en-US"/>
              </w:rPr>
              <w:t>P2022</w:t>
            </w:r>
            <w:r w:rsidR="00C11086" w:rsidRPr="00C02322">
              <w:rPr>
                <w:rFonts w:ascii="Arial" w:eastAsia="Calibri" w:hAnsi="Arial" w:cs="Arial"/>
                <w:noProof/>
                <w:sz w:val="22"/>
                <w:szCs w:val="22"/>
                <w:lang w:val="es-ES_tradnl" w:eastAsia="en-US"/>
              </w:rPr>
              <w:t>0602005456</w:t>
            </w:r>
          </w:p>
        </w:tc>
      </w:tr>
    </w:tbl>
    <w:p w14:paraId="16390F0C" w14:textId="37125357" w:rsidR="00524963" w:rsidRPr="00C02322" w:rsidRDefault="00524963" w:rsidP="00FC2FDB">
      <w:pPr>
        <w:jc w:val="both"/>
        <w:rPr>
          <w:rFonts w:ascii="Arial" w:eastAsia="Calibri" w:hAnsi="Arial" w:cs="Arial"/>
          <w:sz w:val="22"/>
          <w:szCs w:val="22"/>
          <w:lang w:eastAsia="en-US"/>
        </w:rPr>
      </w:pPr>
    </w:p>
    <w:p w14:paraId="55141216" w14:textId="77777777" w:rsidR="0041286F" w:rsidRPr="00C02322" w:rsidRDefault="0041286F" w:rsidP="00FC2FDB">
      <w:pPr>
        <w:jc w:val="both"/>
        <w:rPr>
          <w:rFonts w:ascii="Arial" w:eastAsia="Calibri" w:hAnsi="Arial" w:cs="Arial"/>
          <w:sz w:val="22"/>
          <w:szCs w:val="22"/>
          <w:lang w:eastAsia="en-US"/>
        </w:rPr>
      </w:pPr>
    </w:p>
    <w:p w14:paraId="26030D5D" w14:textId="3500D730" w:rsidR="00524963" w:rsidRPr="00C02322" w:rsidRDefault="00524963" w:rsidP="00524963">
      <w:pPr>
        <w:spacing w:line="276" w:lineRule="auto"/>
        <w:jc w:val="both"/>
        <w:rPr>
          <w:rFonts w:ascii="Arial" w:eastAsia="Calibri" w:hAnsi="Arial" w:cs="Arial"/>
          <w:sz w:val="22"/>
          <w:szCs w:val="22"/>
          <w:lang w:eastAsia="en-US"/>
        </w:rPr>
      </w:pPr>
      <w:r w:rsidRPr="00C02322">
        <w:rPr>
          <w:rFonts w:ascii="Arial" w:eastAsia="Calibri" w:hAnsi="Arial" w:cs="Arial"/>
          <w:sz w:val="22"/>
          <w:szCs w:val="22"/>
          <w:lang w:eastAsia="en-US"/>
        </w:rPr>
        <w:t>Estimad</w:t>
      </w:r>
      <w:r w:rsidR="00A63E58" w:rsidRPr="00C02322">
        <w:rPr>
          <w:rFonts w:ascii="Arial" w:eastAsia="Calibri" w:hAnsi="Arial" w:cs="Arial"/>
          <w:sz w:val="22"/>
          <w:szCs w:val="22"/>
          <w:lang w:eastAsia="en-US"/>
        </w:rPr>
        <w:t>a</w:t>
      </w:r>
      <w:r w:rsidRPr="00C02322">
        <w:rPr>
          <w:rFonts w:ascii="Arial" w:eastAsia="Calibri" w:hAnsi="Arial" w:cs="Arial"/>
          <w:sz w:val="22"/>
          <w:szCs w:val="22"/>
          <w:lang w:eastAsia="en-US"/>
        </w:rPr>
        <w:t xml:space="preserve"> </w:t>
      </w:r>
      <w:r w:rsidR="00A136AF" w:rsidRPr="00C02322">
        <w:rPr>
          <w:rFonts w:ascii="Arial" w:eastAsia="Calibri" w:hAnsi="Arial" w:cs="Arial"/>
          <w:sz w:val="22"/>
          <w:szCs w:val="22"/>
          <w:lang w:eastAsia="en-US"/>
        </w:rPr>
        <w:t xml:space="preserve">señora Suárez: </w:t>
      </w:r>
    </w:p>
    <w:p w14:paraId="5E245FA2" w14:textId="77777777" w:rsidR="00524963" w:rsidRPr="00C02322" w:rsidRDefault="00524963" w:rsidP="00524963">
      <w:pPr>
        <w:spacing w:line="276" w:lineRule="auto"/>
        <w:ind w:firstLine="709"/>
        <w:jc w:val="both"/>
        <w:rPr>
          <w:rFonts w:ascii="Arial" w:eastAsia="Calibri" w:hAnsi="Arial" w:cs="Arial"/>
          <w:sz w:val="22"/>
          <w:szCs w:val="22"/>
          <w:lang w:eastAsia="en-US"/>
        </w:rPr>
      </w:pPr>
    </w:p>
    <w:p w14:paraId="3475A231" w14:textId="37501B73" w:rsidR="00524963" w:rsidRPr="00C02322" w:rsidRDefault="00524963" w:rsidP="00524963">
      <w:pPr>
        <w:spacing w:line="276" w:lineRule="auto"/>
        <w:ind w:right="51"/>
        <w:jc w:val="both"/>
        <w:rPr>
          <w:rFonts w:ascii="Arial" w:eastAsia="Calibri" w:hAnsi="Arial" w:cs="Arial"/>
          <w:sz w:val="22"/>
          <w:szCs w:val="22"/>
          <w:lang w:eastAsia="en-US"/>
        </w:rPr>
      </w:pPr>
      <w:r w:rsidRPr="00C02322">
        <w:rPr>
          <w:rFonts w:ascii="Arial" w:eastAsia="Calibri" w:hAnsi="Arial" w:cs="Arial"/>
          <w:sz w:val="22"/>
          <w:szCs w:val="22"/>
          <w:lang w:eastAsia="en-US"/>
        </w:rPr>
        <w:t xml:space="preserve">En ejercicio de la competencia otorgada por el numeral 8 del artículo 11 y el numeral 5 del artículo 3 del Decreto Ley 4170 de 2011, la Agencia Nacional de Contratación Pública – Colombia Compra Eficiente responde </w:t>
      </w:r>
      <w:r w:rsidR="00A63E58" w:rsidRPr="00C02322">
        <w:rPr>
          <w:rFonts w:ascii="Arial" w:eastAsia="Calibri" w:hAnsi="Arial" w:cs="Arial"/>
          <w:sz w:val="22"/>
          <w:szCs w:val="22"/>
          <w:lang w:eastAsia="en-US"/>
        </w:rPr>
        <w:t>su</w:t>
      </w:r>
      <w:r w:rsidRPr="00C02322">
        <w:rPr>
          <w:rFonts w:ascii="Arial" w:eastAsia="Calibri" w:hAnsi="Arial" w:cs="Arial"/>
          <w:sz w:val="22"/>
          <w:szCs w:val="22"/>
          <w:lang w:eastAsia="en-US"/>
        </w:rPr>
        <w:t xml:space="preserve"> consulta</w:t>
      </w:r>
      <w:r w:rsidR="00A63E58" w:rsidRPr="00C02322">
        <w:rPr>
          <w:rFonts w:ascii="Arial" w:eastAsia="Calibri" w:hAnsi="Arial" w:cs="Arial"/>
          <w:sz w:val="22"/>
          <w:szCs w:val="22"/>
          <w:lang w:eastAsia="en-US"/>
        </w:rPr>
        <w:t xml:space="preserve"> del </w:t>
      </w:r>
      <w:r w:rsidR="0011350E">
        <w:rPr>
          <w:rFonts w:ascii="Arial" w:eastAsia="Calibri" w:hAnsi="Arial" w:cs="Arial"/>
          <w:sz w:val="22"/>
          <w:szCs w:val="22"/>
          <w:lang w:eastAsia="en-US"/>
        </w:rPr>
        <w:t>2</w:t>
      </w:r>
      <w:r w:rsidR="00A136AF" w:rsidRPr="00C02322">
        <w:rPr>
          <w:rFonts w:ascii="Arial" w:eastAsia="Calibri" w:hAnsi="Arial" w:cs="Arial"/>
          <w:sz w:val="22"/>
          <w:szCs w:val="22"/>
          <w:lang w:eastAsia="en-US"/>
        </w:rPr>
        <w:t xml:space="preserve"> de junio de 2022</w:t>
      </w:r>
      <w:r w:rsidR="00A63E58" w:rsidRPr="00C02322">
        <w:rPr>
          <w:rFonts w:ascii="Arial" w:eastAsia="Calibri" w:hAnsi="Arial" w:cs="Arial"/>
          <w:sz w:val="22"/>
          <w:szCs w:val="22"/>
          <w:lang w:eastAsia="en-US"/>
        </w:rPr>
        <w:t xml:space="preserve">. </w:t>
      </w:r>
    </w:p>
    <w:p w14:paraId="1FDC1190" w14:textId="77777777" w:rsidR="00524963" w:rsidRPr="00C02322" w:rsidRDefault="00524963" w:rsidP="00524963">
      <w:pPr>
        <w:spacing w:line="276" w:lineRule="auto"/>
        <w:jc w:val="both"/>
        <w:rPr>
          <w:rFonts w:ascii="Arial" w:eastAsia="Calibri" w:hAnsi="Arial" w:cs="Arial"/>
          <w:sz w:val="22"/>
          <w:szCs w:val="22"/>
          <w:lang w:eastAsia="en-US"/>
        </w:rPr>
      </w:pPr>
    </w:p>
    <w:p w14:paraId="589A7A08" w14:textId="77777777" w:rsidR="00524963" w:rsidRPr="00C02322" w:rsidRDefault="00524963" w:rsidP="00524963">
      <w:pPr>
        <w:tabs>
          <w:tab w:val="left" w:pos="284"/>
        </w:tabs>
        <w:spacing w:line="276" w:lineRule="auto"/>
        <w:jc w:val="both"/>
        <w:rPr>
          <w:rFonts w:ascii="Arial" w:eastAsia="Calibri" w:hAnsi="Arial" w:cs="Arial"/>
          <w:b/>
          <w:sz w:val="22"/>
          <w:szCs w:val="22"/>
          <w:lang w:eastAsia="en-US"/>
        </w:rPr>
      </w:pPr>
      <w:r w:rsidRPr="00C02322">
        <w:rPr>
          <w:rFonts w:ascii="Arial" w:eastAsia="Calibri" w:hAnsi="Arial" w:cs="Arial"/>
          <w:b/>
          <w:sz w:val="22"/>
          <w:szCs w:val="22"/>
          <w:lang w:eastAsia="en-US"/>
        </w:rPr>
        <w:t xml:space="preserve">1. Problema planteado </w:t>
      </w:r>
    </w:p>
    <w:p w14:paraId="39487201" w14:textId="77777777" w:rsidR="00524963" w:rsidRPr="00C02322" w:rsidRDefault="00524963" w:rsidP="00524963">
      <w:pPr>
        <w:tabs>
          <w:tab w:val="left" w:pos="284"/>
        </w:tabs>
        <w:spacing w:line="276" w:lineRule="auto"/>
        <w:ind w:firstLine="709"/>
        <w:contextualSpacing/>
        <w:jc w:val="both"/>
        <w:rPr>
          <w:rFonts w:ascii="Arial" w:eastAsia="Calibri" w:hAnsi="Arial" w:cs="Arial"/>
          <w:b/>
          <w:sz w:val="22"/>
          <w:szCs w:val="22"/>
          <w:lang w:eastAsia="en-US"/>
        </w:rPr>
      </w:pPr>
    </w:p>
    <w:p w14:paraId="18F7514A" w14:textId="60778F67" w:rsidR="006F18CE" w:rsidRPr="00C02322" w:rsidRDefault="006F18CE" w:rsidP="00383878">
      <w:pPr>
        <w:spacing w:line="276" w:lineRule="auto"/>
        <w:jc w:val="both"/>
        <w:rPr>
          <w:rFonts w:ascii="Arial" w:hAnsi="Arial" w:cs="Arial"/>
          <w:sz w:val="22"/>
          <w:szCs w:val="22"/>
          <w:lang w:val="es-ES_tradnl"/>
        </w:rPr>
      </w:pPr>
      <w:bookmarkStart w:id="3" w:name="_Hlk58917991"/>
      <w:bookmarkStart w:id="4" w:name="_Hlk56103000"/>
      <w:r w:rsidRPr="00C02322">
        <w:rPr>
          <w:rFonts w:ascii="Arial" w:hAnsi="Arial" w:cs="Arial"/>
          <w:sz w:val="22"/>
          <w:szCs w:val="22"/>
          <w:lang w:val="es-ES_tradnl"/>
        </w:rPr>
        <w:t xml:space="preserve">En relación </w:t>
      </w:r>
      <w:r w:rsidR="00BD16DB" w:rsidRPr="00C02322">
        <w:rPr>
          <w:rFonts w:ascii="Arial" w:hAnsi="Arial" w:cs="Arial"/>
          <w:sz w:val="22"/>
          <w:szCs w:val="22"/>
          <w:lang w:val="es-ES_tradnl"/>
        </w:rPr>
        <w:t xml:space="preserve">con </w:t>
      </w:r>
      <w:r w:rsidRPr="00C02322">
        <w:rPr>
          <w:rFonts w:ascii="Arial" w:hAnsi="Arial" w:cs="Arial"/>
          <w:sz w:val="22"/>
          <w:szCs w:val="22"/>
          <w:lang w:val="es-ES_tradnl"/>
        </w:rPr>
        <w:t>los contratos que celebren las entidades con organismos internacionales en el marco del artículo 20 de la Ley 1150 de 2007, usted realiza la</w:t>
      </w:r>
      <w:r w:rsidR="00BD16DB" w:rsidRPr="00C02322">
        <w:rPr>
          <w:rFonts w:ascii="Arial" w:hAnsi="Arial" w:cs="Arial"/>
          <w:sz w:val="22"/>
          <w:szCs w:val="22"/>
          <w:lang w:val="es-ES_tradnl"/>
        </w:rPr>
        <w:t>s</w:t>
      </w:r>
      <w:r w:rsidRPr="00C02322">
        <w:rPr>
          <w:rFonts w:ascii="Arial" w:hAnsi="Arial" w:cs="Arial"/>
          <w:sz w:val="22"/>
          <w:szCs w:val="22"/>
          <w:lang w:val="es-ES_tradnl"/>
        </w:rPr>
        <w:t xml:space="preserve"> siguiente</w:t>
      </w:r>
      <w:r w:rsidR="00BD16DB" w:rsidRPr="00C02322">
        <w:rPr>
          <w:rFonts w:ascii="Arial" w:hAnsi="Arial" w:cs="Arial"/>
          <w:sz w:val="22"/>
          <w:szCs w:val="22"/>
          <w:lang w:val="es-ES_tradnl"/>
        </w:rPr>
        <w:t>s</w:t>
      </w:r>
      <w:r w:rsidRPr="00C02322">
        <w:rPr>
          <w:rFonts w:ascii="Arial" w:hAnsi="Arial" w:cs="Arial"/>
          <w:sz w:val="22"/>
          <w:szCs w:val="22"/>
          <w:lang w:val="es-ES_tradnl"/>
        </w:rPr>
        <w:t xml:space="preserve"> pregunta</w:t>
      </w:r>
      <w:r w:rsidR="00BD16DB" w:rsidRPr="00C02322">
        <w:rPr>
          <w:rFonts w:ascii="Arial" w:hAnsi="Arial" w:cs="Arial"/>
          <w:sz w:val="22"/>
          <w:szCs w:val="22"/>
          <w:lang w:val="es-ES_tradnl"/>
        </w:rPr>
        <w:t>s</w:t>
      </w:r>
      <w:r w:rsidRPr="00C02322">
        <w:rPr>
          <w:rFonts w:ascii="Arial" w:hAnsi="Arial" w:cs="Arial"/>
          <w:sz w:val="22"/>
          <w:szCs w:val="22"/>
          <w:lang w:val="es-ES_tradnl"/>
        </w:rPr>
        <w:t xml:space="preserve">: </w:t>
      </w:r>
    </w:p>
    <w:p w14:paraId="1DE5816F" w14:textId="77777777" w:rsidR="006F18CE" w:rsidRPr="00C02322" w:rsidRDefault="006F18CE" w:rsidP="00383878">
      <w:pPr>
        <w:spacing w:line="276" w:lineRule="auto"/>
        <w:jc w:val="both"/>
        <w:rPr>
          <w:rFonts w:ascii="Arial" w:hAnsi="Arial" w:cs="Arial"/>
          <w:sz w:val="21"/>
          <w:szCs w:val="21"/>
          <w:lang w:val="es-ES_tradnl"/>
        </w:rPr>
      </w:pPr>
    </w:p>
    <w:p w14:paraId="75C6DAF4" w14:textId="77777777" w:rsidR="00A136AF" w:rsidRPr="00C02322" w:rsidRDefault="006F18CE" w:rsidP="00A136AF">
      <w:pPr>
        <w:autoSpaceDE w:val="0"/>
        <w:autoSpaceDN w:val="0"/>
        <w:adjustRightInd w:val="0"/>
        <w:ind w:left="709" w:right="616"/>
        <w:jc w:val="both"/>
        <w:rPr>
          <w:rFonts w:ascii="Arial" w:hAnsi="Arial" w:cs="Arial"/>
          <w:sz w:val="21"/>
          <w:szCs w:val="21"/>
        </w:rPr>
      </w:pPr>
      <w:bookmarkStart w:id="5" w:name="_Hlk98832248"/>
      <w:bookmarkStart w:id="6" w:name="_Hlk94514883"/>
      <w:r w:rsidRPr="00C02322">
        <w:rPr>
          <w:rFonts w:ascii="Arial" w:eastAsia="Calibri" w:hAnsi="Arial" w:cs="Arial"/>
          <w:sz w:val="21"/>
          <w:szCs w:val="21"/>
          <w:lang w:val="es-ES_tradnl" w:eastAsia="es-CO"/>
        </w:rPr>
        <w:t>«</w:t>
      </w:r>
      <w:r w:rsidR="00A136AF" w:rsidRPr="00C02322">
        <w:rPr>
          <w:rFonts w:ascii="Arial" w:hAnsi="Arial" w:cs="Arial"/>
          <w:sz w:val="21"/>
          <w:szCs w:val="21"/>
        </w:rPr>
        <w:t xml:space="preserve">El artículo 2.2.1.2.4.4.1. del Decreto 1082 de 2015, por el cual se reglamenta el artículo 20 de la Ley 1150 de 2007, dispone que: </w:t>
      </w:r>
    </w:p>
    <w:p w14:paraId="441C6380" w14:textId="77777777" w:rsidR="00A136AF" w:rsidRPr="00C02322" w:rsidRDefault="00A136AF" w:rsidP="00A136AF">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lastRenderedPageBreak/>
        <w:t xml:space="preserve">“Los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 </w:t>
      </w:r>
    </w:p>
    <w:p w14:paraId="4155C557" w14:textId="77777777" w:rsidR="00BB4469" w:rsidRPr="00C02322" w:rsidRDefault="00A136AF" w:rsidP="00A136AF">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Si el aporte de fuente nacional o internacional de un contrato o convenio de cooperación internacional es modificado o los aportes no se ejecutan </w:t>
      </w:r>
      <w:r w:rsidR="00BB4469" w:rsidRPr="00C02322">
        <w:rPr>
          <w:rFonts w:ascii="Arial" w:eastAsia="Calibri" w:hAnsi="Arial" w:cs="Arial"/>
          <w:sz w:val="21"/>
          <w:szCs w:val="21"/>
          <w:lang w:val="es-ES_tradnl" w:eastAsia="es-CO"/>
        </w:rPr>
        <w:t xml:space="preserve">en los términos pactados, las Entidades Estatales deben modificar los contratos o convenios para efectos de que estos estén sujetos a las normas del sistemas de compras y contratación pública, si el aporte de recursos públicos es superior al cincuenta por ciento (50%) del total o de las normas internas de la entidad de cooperación si el aporte es inferior. </w:t>
      </w:r>
    </w:p>
    <w:p w14:paraId="2DD363C4" w14:textId="77777777" w:rsidR="00BB4469" w:rsidRPr="00C02322" w:rsidRDefault="00BB4469" w:rsidP="00A136AF">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 </w:t>
      </w:r>
    </w:p>
    <w:p w14:paraId="5CDF384B" w14:textId="77777777" w:rsidR="00BB4469" w:rsidRPr="00C02322" w:rsidRDefault="00BB4469" w:rsidP="00BB4469">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Los recursos generados en desarrollo de los contratos o convenios financiados con fondos de los organismos de cooperación, asistencia o ayudas internacionales no deben ser tenidas en cuenta para determinar los porcentajes de los aportes de las partes”.</w:t>
      </w:r>
    </w:p>
    <w:p w14:paraId="744A1C7C" w14:textId="77777777" w:rsidR="00BB4469" w:rsidRPr="00C02322" w:rsidRDefault="00BB4469" w:rsidP="00BB4469">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En este sentido, elevo la siguiente consulta: </w:t>
      </w:r>
    </w:p>
    <w:p w14:paraId="478F587A" w14:textId="49C986F6" w:rsidR="00A136AF" w:rsidRPr="00C02322" w:rsidRDefault="00BB4469" w:rsidP="00BB4469">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¿A qué se refiere con fondos de los organismos de cooperación, asistencia o ayudas internacionales?,</w:t>
      </w:r>
    </w:p>
    <w:p w14:paraId="534B7431" w14:textId="3939BB27" w:rsidR="00BB4469" w:rsidRPr="00C02322" w:rsidRDefault="00BB4469" w:rsidP="00BB4469">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¿Con fondos de los organismos de cooperación, asistencia o ayudas internacionales hace referencia a aportes en dinero del socio de cooperación internacional?,</w:t>
      </w:r>
    </w:p>
    <w:p w14:paraId="76CD9A43" w14:textId="727C282D" w:rsidR="00BB4469" w:rsidRPr="00C02322" w:rsidRDefault="00BB4469" w:rsidP="00BB4469">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¿Con fondos de los organismos de cooperación, asistencia o ayudas internacionales puede entenderse también como aportes en especie del socio de cooperación internacional?</w:t>
      </w:r>
    </w:p>
    <w:p w14:paraId="2B4A55D3" w14:textId="08501F7A" w:rsidR="00524963" w:rsidRPr="00C02322" w:rsidRDefault="00BB4469" w:rsidP="00C248BB">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¿Sería legal suscribir un acuerdo de cofinanciación con un organismo internacional </w:t>
      </w:r>
      <w:r w:rsidR="00C248BB" w:rsidRPr="00C02322">
        <w:rPr>
          <w:rFonts w:ascii="Arial" w:eastAsia="Calibri" w:hAnsi="Arial" w:cs="Arial"/>
          <w:sz w:val="21"/>
          <w:szCs w:val="21"/>
          <w:lang w:val="es-ES_tradnl" w:eastAsia="es-CO"/>
        </w:rPr>
        <w:t>cuando el 100% de los recursos en dinero pues solo pretende aportar en especie</w:t>
      </w:r>
      <w:r w:rsidRPr="00C02322">
        <w:rPr>
          <w:rFonts w:ascii="Arial" w:eastAsia="Calibri" w:hAnsi="Arial" w:cs="Arial"/>
          <w:sz w:val="21"/>
          <w:szCs w:val="21"/>
          <w:lang w:val="es-ES_tradnl" w:eastAsia="es-CO"/>
        </w:rPr>
        <w:t>?</w:t>
      </w:r>
      <w:r w:rsidR="00524963" w:rsidRPr="00C02322">
        <w:rPr>
          <w:rFonts w:ascii="Arial" w:eastAsia="Calibri" w:hAnsi="Arial" w:cs="Arial"/>
          <w:sz w:val="21"/>
          <w:szCs w:val="21"/>
          <w:lang w:val="es-ES_tradnl" w:eastAsia="es-CO"/>
        </w:rPr>
        <w:t>»</w:t>
      </w:r>
      <w:bookmarkEnd w:id="5"/>
      <w:r w:rsidR="00524963" w:rsidRPr="00C02322">
        <w:rPr>
          <w:rFonts w:ascii="Arial" w:eastAsia="Calibri" w:hAnsi="Arial" w:cs="Arial"/>
          <w:sz w:val="21"/>
          <w:szCs w:val="21"/>
          <w:lang w:val="es-ES_tradnl" w:eastAsia="es-CO"/>
        </w:rPr>
        <w:t>.</w:t>
      </w:r>
      <w:bookmarkEnd w:id="6"/>
    </w:p>
    <w:p w14:paraId="5DCB41BD" w14:textId="77777777" w:rsidR="00524963" w:rsidRPr="00C02322" w:rsidRDefault="00524963" w:rsidP="00524963">
      <w:pPr>
        <w:tabs>
          <w:tab w:val="left" w:pos="426"/>
        </w:tabs>
        <w:spacing w:line="276" w:lineRule="auto"/>
        <w:jc w:val="both"/>
        <w:rPr>
          <w:rFonts w:ascii="Arial" w:eastAsia="Calibri" w:hAnsi="Arial" w:cs="Arial"/>
          <w:sz w:val="22"/>
          <w:szCs w:val="22"/>
          <w:lang w:eastAsia="en-US"/>
        </w:rPr>
      </w:pPr>
    </w:p>
    <w:bookmarkEnd w:id="3"/>
    <w:bookmarkEnd w:id="4"/>
    <w:p w14:paraId="59A5D171" w14:textId="77777777" w:rsidR="00524963" w:rsidRPr="00C02322" w:rsidRDefault="00524963" w:rsidP="00524963">
      <w:pPr>
        <w:tabs>
          <w:tab w:val="left" w:pos="284"/>
        </w:tabs>
        <w:spacing w:line="276" w:lineRule="auto"/>
        <w:jc w:val="both"/>
        <w:rPr>
          <w:rFonts w:ascii="Arial" w:eastAsia="Calibri" w:hAnsi="Arial" w:cs="Arial"/>
          <w:b/>
          <w:sz w:val="22"/>
          <w:szCs w:val="22"/>
          <w:lang w:eastAsia="en-US"/>
        </w:rPr>
      </w:pPr>
      <w:r w:rsidRPr="00C02322">
        <w:rPr>
          <w:rFonts w:ascii="Arial" w:eastAsia="Calibri" w:hAnsi="Arial" w:cs="Arial"/>
          <w:b/>
          <w:sz w:val="22"/>
          <w:szCs w:val="22"/>
          <w:lang w:eastAsia="en-US"/>
        </w:rPr>
        <w:t>2. Consideraciones</w:t>
      </w:r>
    </w:p>
    <w:p w14:paraId="4960B777" w14:textId="77777777" w:rsidR="00524963" w:rsidRPr="00C02322" w:rsidRDefault="00524963" w:rsidP="00524963">
      <w:pPr>
        <w:tabs>
          <w:tab w:val="left" w:pos="426"/>
        </w:tabs>
        <w:spacing w:line="276" w:lineRule="auto"/>
        <w:ind w:firstLine="709"/>
        <w:jc w:val="both"/>
        <w:rPr>
          <w:rFonts w:ascii="Arial" w:eastAsia="Calibri" w:hAnsi="Arial" w:cs="Arial"/>
          <w:bCs/>
          <w:sz w:val="22"/>
          <w:szCs w:val="22"/>
          <w:lang w:eastAsia="en-US"/>
        </w:rPr>
      </w:pPr>
    </w:p>
    <w:p w14:paraId="729A0390" w14:textId="77777777" w:rsidR="00BA2D05" w:rsidRPr="004067C7" w:rsidRDefault="00BA2D05" w:rsidP="00BA2D05">
      <w:pPr>
        <w:spacing w:after="120" w:line="276" w:lineRule="auto"/>
        <w:jc w:val="both"/>
        <w:rPr>
          <w:rFonts w:ascii="Arial" w:eastAsia="Calibri" w:hAnsi="Arial" w:cs="Arial"/>
          <w:bCs/>
          <w:sz w:val="22"/>
        </w:rPr>
      </w:pPr>
      <w:r w:rsidRPr="004067C7">
        <w:rPr>
          <w:rFonts w:ascii="Arial" w:eastAsia="Calibri"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9879471" w14:textId="77777777" w:rsidR="00BA2D05" w:rsidRDefault="00BA2D05" w:rsidP="00BA2D05">
      <w:pPr>
        <w:spacing w:after="120" w:line="276" w:lineRule="auto"/>
        <w:jc w:val="both"/>
        <w:rPr>
          <w:rFonts w:ascii="Arial" w:eastAsia="Calibri" w:hAnsi="Arial" w:cs="Arial"/>
          <w:sz w:val="22"/>
          <w:lang w:val="es-ES"/>
        </w:rPr>
      </w:pPr>
      <w:r w:rsidRPr="004067C7">
        <w:rPr>
          <w:rFonts w:ascii="Arial" w:eastAsia="Calibri" w:hAnsi="Arial" w:cs="Arial"/>
          <w:b/>
          <w:sz w:val="22"/>
        </w:rPr>
        <w:tab/>
      </w:r>
      <w:bookmarkStart w:id="7" w:name="_Hlk61701014"/>
      <w:bookmarkStart w:id="8" w:name="_Hlk62136649"/>
      <w:r w:rsidRPr="004067C7">
        <w:rPr>
          <w:rFonts w:ascii="Arial" w:eastAsia="Calibri" w:hAnsi="Arial" w:cs="Arial"/>
          <w:sz w:val="22"/>
          <w:lang w:val="es-ES"/>
        </w:rPr>
        <w:t xml:space="preserve">Es necesario tener en cuenta que </w:t>
      </w:r>
      <w:bookmarkStart w:id="9" w:name="_Hlk61026958"/>
      <w:r w:rsidRPr="004067C7">
        <w:rPr>
          <w:rFonts w:ascii="Arial" w:eastAsia="Calibri" w:hAnsi="Arial" w:cs="Arial"/>
          <w:sz w:val="22"/>
          <w:lang w:val="es-ES"/>
        </w:rPr>
        <w:t xml:space="preserve">esta entidad solo tiene competencia para responder solicitudes sobre la aplicación de normas de carácter general en materia de </w:t>
      </w:r>
      <w:r w:rsidRPr="004067C7">
        <w:rPr>
          <w:rFonts w:ascii="Arial" w:eastAsia="Calibri" w:hAnsi="Arial" w:cs="Arial"/>
          <w:sz w:val="22"/>
          <w:lang w:val="es-ES"/>
        </w:rPr>
        <w:lastRenderedPageBreak/>
        <w:t>compras y contratación pública. En ese sentido, resolver casos particulares desborda las atribuciones asignadas por el legislador extraordinario, que no concibió a Colombia Compra Eficiente como una autoridad para solucionar problemas jurídicos particulares</w:t>
      </w:r>
      <w:r w:rsidRPr="004067C7">
        <w:rPr>
          <w:rFonts w:ascii="Arial" w:eastAsia="Calibri" w:hAnsi="Arial" w:cs="Arial"/>
          <w:bCs/>
          <w:sz w:val="22"/>
        </w:rPr>
        <w:t xml:space="preserve"> de todos los partícipes de la contratación estatal, ya sean reales o hipotéticos.</w:t>
      </w:r>
      <w:r w:rsidRPr="004067C7">
        <w:rPr>
          <w:rFonts w:ascii="Arial" w:eastAsia="Calibri" w:hAnsi="Arial" w:cs="Arial"/>
          <w:sz w:val="22"/>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067C7">
        <w:rPr>
          <w:rFonts w:ascii="Arial" w:eastAsia="Calibri" w:hAnsi="Arial" w:cs="Arial"/>
          <w:sz w:val="22"/>
          <w:vertAlign w:val="superscript"/>
          <w:lang w:val="es-ES"/>
        </w:rPr>
        <w:footnoteReference w:id="2"/>
      </w:r>
      <w:r w:rsidRPr="004067C7">
        <w:rPr>
          <w:rFonts w:ascii="Arial" w:eastAsia="Calibri" w:hAnsi="Arial" w:cs="Arial"/>
          <w:sz w:val="22"/>
          <w:lang w:val="es-ES"/>
        </w:rPr>
        <w:t xml:space="preserve">. </w:t>
      </w:r>
    </w:p>
    <w:p w14:paraId="01566089" w14:textId="77777777" w:rsidR="00BA2D05" w:rsidRPr="004067C7" w:rsidRDefault="00BA2D05" w:rsidP="00BA2D05">
      <w:pPr>
        <w:spacing w:after="120" w:line="276" w:lineRule="auto"/>
        <w:ind w:firstLine="708"/>
        <w:jc w:val="both"/>
        <w:rPr>
          <w:rFonts w:ascii="Arial" w:eastAsia="Calibri" w:hAnsi="Arial" w:cs="Arial"/>
          <w:color w:val="000000"/>
          <w:sz w:val="22"/>
          <w:lang w:val="es-ES"/>
        </w:rPr>
      </w:pPr>
      <w:r w:rsidRPr="004067C7">
        <w:rPr>
          <w:rFonts w:ascii="Arial" w:eastAsia="Calibri" w:hAnsi="Arial" w:cs="Arial"/>
          <w:sz w:val="22"/>
          <w:lang w:val="es-ES"/>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9"/>
      <w:r w:rsidRPr="004067C7">
        <w:rPr>
          <w:rFonts w:ascii="Arial" w:eastAsia="Calibri"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7"/>
      <w:bookmarkEnd w:id="8"/>
      <w:r w:rsidRPr="004067C7">
        <w:rPr>
          <w:rFonts w:ascii="Arial" w:eastAsia="Calibri" w:hAnsi="Arial" w:cs="Arial"/>
          <w:sz w:val="22"/>
          <w:lang w:val="es-ES"/>
        </w:rPr>
        <w:t xml:space="preserve"> </w:t>
      </w:r>
      <w:r w:rsidRPr="004067C7">
        <w:rPr>
          <w:rFonts w:ascii="Arial" w:eastAsia="Calibri" w:hAnsi="Arial" w:cs="Arial"/>
          <w:color w:val="000000"/>
          <w:sz w:val="22"/>
        </w:rPr>
        <w:t xml:space="preserve">Sin perjuicio de lo anterior, </w:t>
      </w:r>
      <w:r w:rsidRPr="004067C7">
        <w:rPr>
          <w:rFonts w:ascii="Arial" w:eastAsia="Calibri" w:hAnsi="Arial" w:cs="Arial"/>
          <w:color w:val="000000"/>
          <w:sz w:val="22"/>
          <w:lang w:val="es-ES"/>
        </w:rPr>
        <w:t xml:space="preserve">la Subdirección –dentro de los límites de sus atribuciones, esto es, </w:t>
      </w:r>
      <w:bookmarkStart w:id="10" w:name="_Hlk61025408"/>
      <w:r w:rsidRPr="004067C7">
        <w:rPr>
          <w:rFonts w:ascii="Arial" w:eastAsia="Calibri" w:hAnsi="Arial" w:cs="Arial"/>
          <w:color w:val="000000"/>
          <w:sz w:val="22"/>
          <w:lang w:val="es-ES"/>
        </w:rPr>
        <w:t>haciendo abstracción de casos particulares expuestos por cualquier peticionari</w:t>
      </w:r>
      <w:bookmarkEnd w:id="10"/>
      <w:r w:rsidRPr="004067C7">
        <w:rPr>
          <w:rFonts w:ascii="Arial" w:eastAsia="Calibri" w:hAnsi="Arial" w:cs="Arial"/>
          <w:color w:val="000000"/>
          <w:sz w:val="22"/>
          <w:lang w:val="es-ES"/>
        </w:rPr>
        <w:t>o– resolverá la consulta conforme a las normas generales en materia de contratación estatal.</w:t>
      </w:r>
    </w:p>
    <w:p w14:paraId="46D3461E" w14:textId="1739E67E" w:rsidR="00524963" w:rsidRPr="00C02322" w:rsidRDefault="00727452" w:rsidP="00D875E0">
      <w:pPr>
        <w:tabs>
          <w:tab w:val="left" w:pos="8789"/>
        </w:tabs>
        <w:spacing w:line="276" w:lineRule="auto"/>
        <w:ind w:firstLine="709"/>
        <w:jc w:val="both"/>
        <w:rPr>
          <w:rFonts w:ascii="Arial" w:eastAsiaTheme="minorHAnsi" w:hAnsi="Arial" w:cs="Arial"/>
          <w:sz w:val="22"/>
          <w:szCs w:val="22"/>
          <w:lang w:val="es-ES" w:eastAsia="en-US"/>
        </w:rPr>
      </w:pPr>
      <w:r w:rsidRPr="00C02322">
        <w:rPr>
          <w:rFonts w:ascii="Arial" w:hAnsi="Arial" w:cs="Arial"/>
          <w:sz w:val="22"/>
          <w:lang w:val="es-ES_tradnl"/>
        </w:rPr>
        <w:t>La Agencia Nacional de Contratación Pública – Colombia Compra Eficiente</w:t>
      </w:r>
      <w:r w:rsidR="00F53C07" w:rsidRPr="00C02322">
        <w:rPr>
          <w:rStyle w:val="normaltextrun"/>
          <w:rFonts w:ascii="Arial" w:hAnsi="Arial" w:cs="Arial"/>
          <w:sz w:val="22"/>
          <w:shd w:val="clear" w:color="auto" w:fill="FFFFFF"/>
        </w:rPr>
        <w:t>,</w:t>
      </w:r>
      <w:r w:rsidR="00F53C07" w:rsidRPr="00C02322">
        <w:rPr>
          <w:rFonts w:ascii="Arial" w:hAnsi="Arial" w:cs="Arial"/>
          <w:sz w:val="22"/>
          <w:shd w:val="clear" w:color="auto" w:fill="FFFFFF"/>
        </w:rPr>
        <w:t xml:space="preserve"> en los Conceptos C-185</w:t>
      </w:r>
      <w:r w:rsidR="00F53C07" w:rsidRPr="00C02322">
        <w:rPr>
          <w:rFonts w:ascii="Arial" w:eastAsia="Calibri" w:hAnsi="Arial" w:cs="Arial"/>
          <w:sz w:val="22"/>
          <w:szCs w:val="22"/>
          <w:lang w:val="es-ES"/>
        </w:rPr>
        <w:t xml:space="preserve"> del 13 de abril de 2020,</w:t>
      </w:r>
      <w:r w:rsidR="00F53C07" w:rsidRPr="00C02322">
        <w:rPr>
          <w:rFonts w:ascii="Arial" w:hAnsi="Arial" w:cs="Arial"/>
          <w:sz w:val="22"/>
          <w:shd w:val="clear" w:color="auto" w:fill="FFFFFF"/>
        </w:rPr>
        <w:t xml:space="preserve"> C-374 del 23 de julio de 2020, C-680 del 18 de noviembre de 2020</w:t>
      </w:r>
      <w:r w:rsidR="005358CD" w:rsidRPr="00C02322">
        <w:rPr>
          <w:rFonts w:ascii="Arial" w:hAnsi="Arial" w:cs="Arial"/>
          <w:sz w:val="22"/>
          <w:shd w:val="clear" w:color="auto" w:fill="FFFFFF"/>
        </w:rPr>
        <w:t xml:space="preserve">, </w:t>
      </w:r>
      <w:r w:rsidR="005543E2" w:rsidRPr="00C02322">
        <w:rPr>
          <w:rFonts w:ascii="Arial" w:hAnsi="Arial" w:cs="Arial"/>
          <w:sz w:val="22"/>
          <w:shd w:val="clear" w:color="auto" w:fill="FFFFFF"/>
        </w:rPr>
        <w:t xml:space="preserve">C-771 de 13 de enero de 2021, </w:t>
      </w:r>
      <w:r w:rsidR="005358CD" w:rsidRPr="00C02322">
        <w:rPr>
          <w:rFonts w:ascii="Arial" w:hAnsi="Arial" w:cs="Arial"/>
          <w:sz w:val="22"/>
          <w:shd w:val="clear" w:color="auto" w:fill="FFFFFF"/>
        </w:rPr>
        <w:t>C-781 del 19 de enero de 2021</w:t>
      </w:r>
      <w:r w:rsidR="00BA2D05">
        <w:rPr>
          <w:rFonts w:ascii="Arial" w:hAnsi="Arial" w:cs="Arial"/>
          <w:sz w:val="22"/>
          <w:shd w:val="clear" w:color="auto" w:fill="FFFFFF"/>
        </w:rPr>
        <w:t>,</w:t>
      </w:r>
      <w:r w:rsidR="005358CD" w:rsidRPr="00C02322">
        <w:rPr>
          <w:rFonts w:ascii="Arial" w:hAnsi="Arial" w:cs="Arial"/>
          <w:sz w:val="22"/>
          <w:shd w:val="clear" w:color="auto" w:fill="FFFFFF"/>
        </w:rPr>
        <w:t xml:space="preserve"> </w:t>
      </w:r>
      <w:r w:rsidR="005543E2" w:rsidRPr="00C02322">
        <w:rPr>
          <w:rFonts w:ascii="Arial" w:hAnsi="Arial" w:cs="Arial"/>
          <w:sz w:val="22"/>
          <w:shd w:val="clear" w:color="auto" w:fill="FFFFFF"/>
        </w:rPr>
        <w:t>C-377 del 28 de julio de 2021 y C-049 de 8 de marzo de 2021,</w:t>
      </w:r>
      <w:r w:rsidR="00ED26AC" w:rsidRPr="00C02322">
        <w:rPr>
          <w:rFonts w:ascii="Arial" w:hAnsi="Arial" w:cs="Arial"/>
          <w:sz w:val="22"/>
          <w:shd w:val="clear" w:color="auto" w:fill="FFFFFF"/>
        </w:rPr>
        <w:t xml:space="preserve"> </w:t>
      </w:r>
      <w:r w:rsidR="00F53C07" w:rsidRPr="00C02322">
        <w:rPr>
          <w:rFonts w:ascii="Arial" w:hAnsi="Arial" w:cs="Arial"/>
          <w:sz w:val="22"/>
          <w:shd w:val="clear" w:color="auto" w:fill="FFFFFF"/>
        </w:rPr>
        <w:t>estudió el contenido del art</w:t>
      </w:r>
      <w:r w:rsidR="00C248BB" w:rsidRPr="00C02322">
        <w:rPr>
          <w:rFonts w:ascii="Arial" w:hAnsi="Arial" w:cs="Arial"/>
          <w:sz w:val="22"/>
          <w:shd w:val="clear" w:color="auto" w:fill="FFFFFF"/>
        </w:rPr>
        <w:t>ículo 20 de la Ley 1150 de 2007.</w:t>
      </w:r>
      <w:r w:rsidR="00F53C07" w:rsidRPr="00C02322">
        <w:rPr>
          <w:rFonts w:ascii="Arial" w:hAnsi="Arial" w:cs="Arial"/>
          <w:sz w:val="22"/>
          <w:shd w:val="clear" w:color="auto" w:fill="FFFFFF"/>
        </w:rPr>
        <w:t xml:space="preserve"> </w:t>
      </w:r>
    </w:p>
    <w:p w14:paraId="02B0D664" w14:textId="77777777" w:rsidR="00C248BB" w:rsidRPr="00D875E0" w:rsidRDefault="00C248BB" w:rsidP="00C248BB">
      <w:pPr>
        <w:spacing w:before="120" w:line="276" w:lineRule="auto"/>
        <w:ind w:firstLine="709"/>
        <w:jc w:val="both"/>
        <w:rPr>
          <w:rFonts w:ascii="Arial" w:eastAsia="Calibri" w:hAnsi="Arial" w:cs="Arial"/>
          <w:sz w:val="22"/>
          <w:lang w:val="es-ES"/>
        </w:rPr>
      </w:pPr>
    </w:p>
    <w:p w14:paraId="657F10AF" w14:textId="354FA4F7" w:rsidR="001428C2" w:rsidRPr="00C02322" w:rsidRDefault="00524963" w:rsidP="007A3E26">
      <w:pPr>
        <w:tabs>
          <w:tab w:val="left" w:pos="426"/>
        </w:tabs>
        <w:spacing w:line="276" w:lineRule="auto"/>
        <w:jc w:val="both"/>
        <w:rPr>
          <w:rFonts w:ascii="Arial" w:eastAsia="Calibri" w:hAnsi="Arial" w:cs="Arial"/>
          <w:bCs/>
          <w:sz w:val="22"/>
          <w:szCs w:val="22"/>
          <w:lang w:val="es-ES_tradnl" w:eastAsia="x-none"/>
        </w:rPr>
      </w:pPr>
      <w:r w:rsidRPr="00C02322">
        <w:rPr>
          <w:rFonts w:ascii="Arial" w:eastAsia="Calibri" w:hAnsi="Arial" w:cs="Arial"/>
          <w:b/>
          <w:bCs/>
          <w:sz w:val="22"/>
          <w:szCs w:val="22"/>
          <w:lang w:val="es-ES_tradnl" w:eastAsia="en-US"/>
        </w:rPr>
        <w:t>2.1.</w:t>
      </w:r>
      <w:r w:rsidRPr="00C02322">
        <w:rPr>
          <w:rFonts w:ascii="Arial" w:eastAsia="Calibri" w:hAnsi="Arial" w:cs="Arial"/>
          <w:b/>
          <w:bCs/>
          <w:sz w:val="22"/>
          <w:szCs w:val="22"/>
          <w:lang w:eastAsia="en-US"/>
        </w:rPr>
        <w:t xml:space="preserve"> </w:t>
      </w:r>
      <w:r w:rsidR="00037198" w:rsidRPr="00C02322">
        <w:rPr>
          <w:rFonts w:ascii="Arial" w:hAnsi="Arial" w:cs="Arial"/>
          <w:b/>
          <w:bCs/>
          <w:sz w:val="22"/>
          <w:szCs w:val="22"/>
        </w:rPr>
        <w:t>Contratos</w:t>
      </w:r>
      <w:r w:rsidR="004600BE">
        <w:rPr>
          <w:rFonts w:ascii="Arial" w:hAnsi="Arial" w:cs="Arial"/>
          <w:b/>
          <w:bCs/>
          <w:sz w:val="22"/>
          <w:szCs w:val="22"/>
        </w:rPr>
        <w:t xml:space="preserve"> o convenios</w:t>
      </w:r>
      <w:r w:rsidR="00037198" w:rsidRPr="00C02322">
        <w:rPr>
          <w:rFonts w:ascii="Arial" w:hAnsi="Arial" w:cs="Arial"/>
          <w:b/>
          <w:bCs/>
          <w:sz w:val="22"/>
          <w:szCs w:val="22"/>
        </w:rPr>
        <w:t xml:space="preserve"> con organismos internacionales </w:t>
      </w:r>
    </w:p>
    <w:p w14:paraId="2FCF9A58" w14:textId="77777777" w:rsidR="00037198" w:rsidRPr="00C02322" w:rsidRDefault="00037198" w:rsidP="001428C2">
      <w:pPr>
        <w:snapToGrid w:val="0"/>
        <w:spacing w:line="276" w:lineRule="auto"/>
        <w:jc w:val="both"/>
        <w:rPr>
          <w:rFonts w:ascii="Arial" w:eastAsia="Calibri" w:hAnsi="Arial" w:cs="Arial"/>
          <w:bCs/>
          <w:sz w:val="22"/>
          <w:szCs w:val="22"/>
          <w:lang w:val="es-MX"/>
        </w:rPr>
      </w:pPr>
    </w:p>
    <w:p w14:paraId="08BDBB1B" w14:textId="77777777" w:rsidR="00037198" w:rsidRPr="00C02322" w:rsidRDefault="00037198">
      <w:pPr>
        <w:spacing w:after="120" w:line="276" w:lineRule="auto"/>
        <w:jc w:val="both"/>
        <w:rPr>
          <w:rFonts w:ascii="Arial" w:hAnsi="Arial" w:cs="Arial"/>
          <w:sz w:val="22"/>
          <w:szCs w:val="22"/>
          <w:lang w:val="es-ES"/>
        </w:rPr>
      </w:pPr>
      <w:bookmarkStart w:id="11" w:name="_Hlk99449041"/>
      <w:r w:rsidRPr="00C02322">
        <w:rPr>
          <w:rFonts w:ascii="Arial" w:hAnsi="Arial" w:cs="Arial"/>
          <w:sz w:val="22"/>
          <w:szCs w:val="22"/>
          <w:lang w:val="es-ES"/>
        </w:rPr>
        <w:t xml:space="preserve">Por organismo internacional se entiende aquella organización, grupo o asociación que se extiende más allá de las fronteras de un Estado y cuenta con órganos gubernamentales permanentes distintos e independientes de los Estados miembros de la organización que </w:t>
      </w:r>
      <w:r w:rsidRPr="00C02322">
        <w:rPr>
          <w:rFonts w:ascii="Arial" w:hAnsi="Arial" w:cs="Arial"/>
          <w:sz w:val="22"/>
          <w:szCs w:val="22"/>
          <w:lang w:val="es-ES"/>
        </w:rPr>
        <w:lastRenderedPageBreak/>
        <w:t>garantizan su vigencia y operatividad</w:t>
      </w:r>
      <w:r w:rsidRPr="00C02322">
        <w:rPr>
          <w:rStyle w:val="Refdenotaalpie"/>
          <w:rFonts w:ascii="Arial" w:hAnsi="Arial" w:cs="Arial"/>
          <w:sz w:val="22"/>
          <w:szCs w:val="22"/>
        </w:rPr>
        <w:footnoteReference w:id="3"/>
      </w:r>
      <w:r w:rsidRPr="00C02322">
        <w:rPr>
          <w:rFonts w:ascii="Arial" w:hAnsi="Arial" w:cs="Arial"/>
          <w:sz w:val="22"/>
          <w:szCs w:val="22"/>
          <w:lang w:val="es-ES"/>
        </w:rPr>
        <w:t xml:space="preserve">, con el propósito de cumplir objetivos comunes entre los Estados miembros. Conforme a su naturaleza, los organismos internacionales están facultados para suscribir contratos o convenios con los Estados, lo que supone un incidente frente a la aplicabilidad de los regímenes tanto de los Estados contratantes como de los organismos en su celebración. </w:t>
      </w:r>
    </w:p>
    <w:p w14:paraId="604646EF" w14:textId="36B9A4EE" w:rsidR="00037198" w:rsidRPr="00C02322" w:rsidRDefault="00037198" w:rsidP="00037198">
      <w:pPr>
        <w:pStyle w:val="Prrafodelista"/>
        <w:snapToGrid w:val="0"/>
        <w:spacing w:before="120" w:after="120" w:line="276" w:lineRule="auto"/>
        <w:ind w:left="0" w:firstLine="709"/>
        <w:jc w:val="both"/>
        <w:rPr>
          <w:rFonts w:ascii="Arial" w:eastAsia="Calibri" w:hAnsi="Arial" w:cs="Arial"/>
          <w:sz w:val="22"/>
        </w:rPr>
      </w:pPr>
      <w:bookmarkStart w:id="12" w:name="_Hlk99449078"/>
      <w:bookmarkStart w:id="13" w:name="_Hlk102401362"/>
      <w:bookmarkEnd w:id="11"/>
      <w:r w:rsidRPr="00C02322">
        <w:rPr>
          <w:rFonts w:ascii="Arial" w:eastAsia="Calibri" w:hAnsi="Arial" w:cs="Arial"/>
          <w:sz w:val="22"/>
        </w:rPr>
        <w:t>El artículo 13 de la Ley 80 de 1993 regula de forma general el régimen aplicable a los contratos que celebren las entidades referidas en el artículo segundo del estatuto</w:t>
      </w:r>
      <w:r w:rsidRPr="00C02322">
        <w:rPr>
          <w:rStyle w:val="Refdenotaalpie"/>
          <w:rFonts w:ascii="Arial" w:hAnsi="Arial" w:cs="Arial"/>
          <w:sz w:val="22"/>
        </w:rPr>
        <w:footnoteReference w:id="4"/>
      </w:r>
      <w:r w:rsidRPr="00C02322">
        <w:rPr>
          <w:rFonts w:ascii="Arial" w:eastAsia="Calibri" w:hAnsi="Arial" w:cs="Arial"/>
          <w:sz w:val="22"/>
        </w:rPr>
        <w:t xml:space="preserve">, señalando en el inciso primero, como primer criterio, la aplicabilidad de las disposiciones civiles y comerciales nacionales, sin perjuicio de la aplicación prevalente de las contenidas en el Estatuto General de Contratación de la Administración Pública. Sin embargo, en su segundo inciso, respecto a los contratos celebrados en el exterior, permite que su ejecución se realice de conformidad con las normas del país donde se hayan suscrito, salvo que deban cumplirse en Colombia, caso en el que se aplicaría el esquema señalado respecto al inciso primero. Por último, el inciso tercero permite que los contratos que se celebren en Colombia, pero deban ejecutarse o cumplirse en el extranjero, se sometan a la ley extranjera. </w:t>
      </w:r>
      <w:bookmarkEnd w:id="12"/>
    </w:p>
    <w:bookmarkEnd w:id="13"/>
    <w:p w14:paraId="0AF9026D" w14:textId="77777777" w:rsidR="00037198" w:rsidRPr="00C02322" w:rsidRDefault="00037198" w:rsidP="00344D3C">
      <w:pPr>
        <w:pStyle w:val="Prrafodelista"/>
        <w:snapToGrid w:val="0"/>
        <w:spacing w:before="120" w:after="120" w:line="276" w:lineRule="auto"/>
        <w:ind w:left="0" w:firstLine="709"/>
        <w:jc w:val="both"/>
        <w:rPr>
          <w:rFonts w:ascii="Arial" w:eastAsia="Calibri" w:hAnsi="Arial" w:cs="Arial"/>
          <w:sz w:val="12"/>
          <w:szCs w:val="12"/>
        </w:rPr>
      </w:pPr>
    </w:p>
    <w:p w14:paraId="031C21A9" w14:textId="77777777" w:rsidR="00037198" w:rsidRPr="00C02322" w:rsidRDefault="00037198" w:rsidP="00344D3C">
      <w:pPr>
        <w:pStyle w:val="Prrafodelista"/>
        <w:snapToGrid w:val="0"/>
        <w:spacing w:line="276" w:lineRule="auto"/>
        <w:ind w:left="0" w:firstLine="709"/>
        <w:jc w:val="both"/>
        <w:rPr>
          <w:rFonts w:ascii="Arial" w:eastAsia="Calibri" w:hAnsi="Arial" w:cs="Arial"/>
          <w:sz w:val="22"/>
        </w:rPr>
      </w:pPr>
      <w:r w:rsidRPr="00C02322">
        <w:rPr>
          <w:rFonts w:ascii="Arial" w:eastAsia="Calibri" w:hAnsi="Arial" w:cs="Arial"/>
          <w:sz w:val="22"/>
        </w:rPr>
        <w:t>Nótese cómo el artículo citado permite que las entidades estatales no se rijan siempre por la normativa colombiana, permitiendo, en algunos casos, la aplicación de la ley extranjera. Además de los supuestos anteriores, el Consejo de Estado explica, en general, los siguientes escenarios, en los cuales el régimen jurídico puede ser uno diferente al prescrito en el derecho nacional, pese a tratarse de contratos sometidos, en principio, a la Ley 80 de 1993:</w:t>
      </w:r>
    </w:p>
    <w:p w14:paraId="6943F3E9" w14:textId="77777777" w:rsidR="00037198" w:rsidRPr="00C02322" w:rsidRDefault="00037198" w:rsidP="00344D3C">
      <w:pPr>
        <w:pStyle w:val="Prrafodelista"/>
        <w:snapToGrid w:val="0"/>
        <w:spacing w:line="276" w:lineRule="auto"/>
        <w:ind w:left="0" w:firstLine="709"/>
        <w:jc w:val="both"/>
        <w:rPr>
          <w:rFonts w:ascii="Arial" w:eastAsia="Calibri" w:hAnsi="Arial" w:cs="Arial"/>
          <w:sz w:val="22"/>
        </w:rPr>
      </w:pPr>
    </w:p>
    <w:p w14:paraId="6EF10F3B" w14:textId="77777777" w:rsidR="00037198" w:rsidRPr="00C02322" w:rsidRDefault="00037198" w:rsidP="00344D3C">
      <w:pPr>
        <w:pStyle w:val="Prrafodelista"/>
        <w:ind w:left="709" w:right="709"/>
        <w:jc w:val="both"/>
        <w:rPr>
          <w:rFonts w:ascii="Arial" w:eastAsia="MS Mincho" w:hAnsi="Arial" w:cs="Arial"/>
          <w:sz w:val="21"/>
          <w:szCs w:val="21"/>
          <w:lang w:eastAsia="es-ES"/>
        </w:rPr>
      </w:pPr>
      <w:r w:rsidRPr="00C02322">
        <w:rPr>
          <w:rFonts w:ascii="Arial" w:eastAsia="MS Mincho" w:hAnsi="Arial" w:cs="Arial"/>
          <w:sz w:val="21"/>
          <w:szCs w:val="21"/>
          <w:lang w:eastAsia="es-ES"/>
        </w:rPr>
        <w:t xml:space="preserve">i) Contratos celebrados en el exterior, los cuales se podrán regir en su ejecución por las reglas del país donde se ha suscrito, salvo cuando su cumplimiento deba hacerse en Colombia, caso en el cual se aplicará la legislación nacional, </w:t>
      </w:r>
      <w:proofErr w:type="spellStart"/>
      <w:r w:rsidRPr="00C02322">
        <w:rPr>
          <w:rFonts w:ascii="Arial" w:eastAsia="MS Mincho" w:hAnsi="Arial" w:cs="Arial"/>
          <w:sz w:val="21"/>
          <w:szCs w:val="21"/>
          <w:lang w:eastAsia="es-ES"/>
        </w:rPr>
        <w:t>ii</w:t>
      </w:r>
      <w:proofErr w:type="spellEnd"/>
      <w:r w:rsidRPr="00C02322">
        <w:rPr>
          <w:rFonts w:ascii="Arial" w:eastAsia="MS Mincho" w:hAnsi="Arial" w:cs="Arial"/>
          <w:sz w:val="21"/>
          <w:szCs w:val="21"/>
          <w:lang w:eastAsia="es-ES"/>
        </w:rPr>
        <w:t xml:space="preserve">) Contratos celebrados en territorio colombiano que deben ejecutarse o cumplirse en el extranjero, en tal caso podrá regirse bajo legislación foránea, salvo aquella parte que deba ejecutarse o cumplirse en Colombia, la cual se regirá por el derecho nacional, </w:t>
      </w:r>
      <w:proofErr w:type="spellStart"/>
      <w:r w:rsidRPr="00C02322">
        <w:rPr>
          <w:rFonts w:ascii="Arial" w:eastAsia="MS Mincho" w:hAnsi="Arial" w:cs="Arial"/>
          <w:sz w:val="21"/>
          <w:szCs w:val="21"/>
          <w:lang w:eastAsia="es-ES"/>
        </w:rPr>
        <w:t>iii</w:t>
      </w:r>
      <w:proofErr w:type="spellEnd"/>
      <w:r w:rsidRPr="00C02322">
        <w:rPr>
          <w:rFonts w:ascii="Arial" w:eastAsia="MS Mincho" w:hAnsi="Arial" w:cs="Arial"/>
          <w:sz w:val="21"/>
          <w:szCs w:val="21"/>
          <w:lang w:eastAsia="es-ES"/>
        </w:rPr>
        <w:t xml:space="preserve">) a) los contratos financiados con fondos de organismos multilaterales de crédito y b) aquellos celebrados con personas extranjeras de derecho público u organismos de cooperación, asistencia o ayudas </w:t>
      </w:r>
      <w:r w:rsidRPr="00C02322">
        <w:rPr>
          <w:rFonts w:ascii="Arial" w:eastAsia="MS Mincho" w:hAnsi="Arial" w:cs="Arial"/>
          <w:sz w:val="21"/>
          <w:szCs w:val="21"/>
          <w:lang w:eastAsia="es-ES"/>
        </w:rPr>
        <w:lastRenderedPageBreak/>
        <w:t>internacionales, los cuales «podrán someterse a los reglamentos de tales entidades en todo lo relacionado con procedimientos de formación y adjudicación y cláusulas especiales de ejecución, cumplimiento, pagos y ajustes»</w:t>
      </w:r>
      <w:r w:rsidRPr="00C02322">
        <w:rPr>
          <w:rStyle w:val="Refdenotaalpie"/>
          <w:rFonts w:ascii="Arial" w:hAnsi="Arial" w:cs="Arial"/>
          <w:sz w:val="21"/>
          <w:szCs w:val="21"/>
        </w:rPr>
        <w:footnoteReference w:id="5"/>
      </w:r>
      <w:r w:rsidRPr="00C02322">
        <w:rPr>
          <w:rFonts w:ascii="Arial" w:eastAsia="MS Mincho" w:hAnsi="Arial" w:cs="Arial"/>
          <w:sz w:val="21"/>
          <w:szCs w:val="21"/>
          <w:lang w:eastAsia="es-ES"/>
        </w:rPr>
        <w:t xml:space="preserve">. </w:t>
      </w:r>
    </w:p>
    <w:p w14:paraId="30E23642" w14:textId="77777777" w:rsidR="00037198" w:rsidRPr="00C02322" w:rsidRDefault="00037198" w:rsidP="00037198">
      <w:pPr>
        <w:pStyle w:val="Prrafodelista"/>
        <w:spacing w:before="120"/>
        <w:ind w:left="851" w:right="709"/>
        <w:rPr>
          <w:rFonts w:ascii="Arial" w:eastAsia="Calibri" w:hAnsi="Arial" w:cs="Arial"/>
          <w:sz w:val="22"/>
        </w:rPr>
      </w:pPr>
    </w:p>
    <w:p w14:paraId="71484423" w14:textId="77777777" w:rsidR="00037198" w:rsidRPr="00C02322" w:rsidRDefault="00037198" w:rsidP="00D875E0">
      <w:pPr>
        <w:spacing w:after="120" w:line="276" w:lineRule="auto"/>
        <w:ind w:firstLine="709"/>
        <w:jc w:val="both"/>
        <w:rPr>
          <w:rFonts w:ascii="Arial" w:eastAsia="Calibri" w:hAnsi="Arial" w:cs="Arial"/>
          <w:sz w:val="22"/>
          <w:szCs w:val="22"/>
          <w:lang w:val="es-ES"/>
        </w:rPr>
      </w:pPr>
      <w:r w:rsidRPr="00C02322">
        <w:rPr>
          <w:rFonts w:ascii="Arial" w:eastAsia="Calibri" w:hAnsi="Arial" w:cs="Arial"/>
          <w:sz w:val="22"/>
          <w:szCs w:val="22"/>
          <w:lang w:val="es-ES"/>
        </w:rPr>
        <w:t>La redacción original del artículo 13 de la Ley 80 de 1993 incluía un inciso cuarto en el que se regulaba el régimen aplicable a los contratos suscritos con organismos internacionales, estableciendo otros supuestos donde era posible aplicar un régimen distinto al del Estatuto General de Contratación de la Administración Pública –en adelante EGCAP–</w:t>
      </w:r>
      <w:r w:rsidRPr="00C02322">
        <w:rPr>
          <w:rStyle w:val="Refdenotaalpie"/>
          <w:rFonts w:ascii="Arial" w:eastAsia="Calibri" w:hAnsi="Arial" w:cs="Arial"/>
          <w:sz w:val="22"/>
          <w:szCs w:val="22"/>
        </w:rPr>
        <w:footnoteReference w:id="6"/>
      </w:r>
      <w:r w:rsidRPr="00C02322">
        <w:rPr>
          <w:rFonts w:ascii="Arial" w:eastAsia="Calibri" w:hAnsi="Arial" w:cs="Arial"/>
          <w:sz w:val="22"/>
          <w:szCs w:val="22"/>
          <w:lang w:val="es-ES"/>
        </w:rPr>
        <w:t xml:space="preserve">. Sin embargo, el artículo 20 de la Ley 1150 de 2007 modificó el régimen contractual aplicable a los contratos o convenios suscritos con organismos internacionales, estableciendo, para algunos casos, la posible definición del régimen dependiendo del porcentaje de participación que el organismo internacional tuviera frente a dichos contratos, a partir del cual establece una potestad discrecional en torno a la elección del régimen contractual aplicable. Así, el artículo 20 de la citada norma señala que «podrán» ser sometidos a los reglamentos de tales entidades, en lo que tiene que ver con el inciso primero de dicho artículo. </w:t>
      </w:r>
    </w:p>
    <w:p w14:paraId="0D7D4406" w14:textId="234C2FD7" w:rsidR="00481DDB" w:rsidRPr="00C02322" w:rsidRDefault="00037198" w:rsidP="00481DDB">
      <w:pPr>
        <w:spacing w:after="120" w:line="276" w:lineRule="auto"/>
        <w:ind w:firstLine="709"/>
        <w:jc w:val="both"/>
        <w:rPr>
          <w:rFonts w:ascii="Arial" w:eastAsia="Calibri" w:hAnsi="Arial" w:cs="Arial"/>
          <w:sz w:val="22"/>
          <w:szCs w:val="22"/>
          <w:lang w:val="es-ES"/>
        </w:rPr>
      </w:pPr>
      <w:r w:rsidRPr="00C02322">
        <w:rPr>
          <w:rFonts w:ascii="Arial" w:eastAsia="Calibri" w:hAnsi="Arial" w:cs="Arial"/>
          <w:sz w:val="22"/>
          <w:szCs w:val="22"/>
          <w:lang w:val="es-ES"/>
        </w:rPr>
        <w:t>Para comprender el alcance del régimen aplicable a los contratos o convenios que se suscriban con organismos internacionales, de acuerdo con la financiación de estos, resulta necesario analizar el artículo 20 de la Ley 1150 de 2007</w:t>
      </w:r>
      <w:r w:rsidRPr="00C02322">
        <w:rPr>
          <w:rStyle w:val="Refdenotaalpie"/>
          <w:rFonts w:ascii="Arial" w:eastAsia="Calibri" w:hAnsi="Arial" w:cs="Arial"/>
          <w:sz w:val="22"/>
          <w:szCs w:val="22"/>
        </w:rPr>
        <w:footnoteReference w:id="7"/>
      </w:r>
      <w:r w:rsidRPr="00C02322">
        <w:rPr>
          <w:rFonts w:ascii="Arial" w:eastAsia="Calibri" w:hAnsi="Arial" w:cs="Arial"/>
          <w:sz w:val="22"/>
          <w:szCs w:val="22"/>
          <w:lang w:val="es-ES"/>
        </w:rPr>
        <w:t xml:space="preserve">. De conformidad con este </w:t>
      </w:r>
      <w:r w:rsidRPr="00C02322">
        <w:rPr>
          <w:rFonts w:ascii="Arial" w:eastAsia="Calibri" w:hAnsi="Arial" w:cs="Arial"/>
          <w:sz w:val="22"/>
          <w:szCs w:val="22"/>
          <w:lang w:val="es-ES"/>
        </w:rPr>
        <w:lastRenderedPageBreak/>
        <w:t xml:space="preserve">artículo, en lo que tiene que ver con el </w:t>
      </w:r>
      <w:r w:rsidRPr="00C02322">
        <w:rPr>
          <w:rFonts w:ascii="Arial" w:eastAsia="Calibri" w:hAnsi="Arial" w:cs="Arial"/>
          <w:i/>
          <w:iCs/>
          <w:sz w:val="22"/>
          <w:szCs w:val="22"/>
          <w:lang w:val="es-ES"/>
        </w:rPr>
        <w:t>inciso primero</w:t>
      </w:r>
      <w:r w:rsidRPr="00C02322">
        <w:rPr>
          <w:rFonts w:ascii="Arial" w:eastAsia="Calibri" w:hAnsi="Arial" w:cs="Arial"/>
          <w:sz w:val="22"/>
          <w:szCs w:val="22"/>
          <w:lang w:val="es-ES"/>
        </w:rPr>
        <w:t>, resulta que únicamente procederá la aplicación de los reglamentos de estas entidades y, por lo tanto, es facultativo dejar de aplicar el EGCAP cuando los contratos o convenios sean financiados en su totalidad o en sumas iguales o superiores al 50% con fondos del organismo de cooperación, asistencia o ayudas internacionales. Cuando la entidad contratante determine o establezca que los aportes del organismo internacional son inferiores al porcentaje señalado, el contrato o convenio debe someterse al EGCAP</w:t>
      </w:r>
      <w:r w:rsidR="00481DDB" w:rsidRPr="00C02322">
        <w:rPr>
          <w:rFonts w:ascii="Arial" w:eastAsia="Calibri" w:hAnsi="Arial" w:cs="Arial"/>
          <w:sz w:val="22"/>
          <w:szCs w:val="22"/>
          <w:lang w:val="es-ES"/>
        </w:rPr>
        <w:t xml:space="preserve">. En línea con lo anterior, el artículo 2.2.1.2.4.4.1. del Decreto 1082 de 2015 reglamentó el artículo 20 de la Ley 1150 de 2007, en el que se señaló lo siguiente: </w:t>
      </w:r>
    </w:p>
    <w:p w14:paraId="19A7451E" w14:textId="77777777" w:rsidR="00481DDB" w:rsidRPr="00C02322" w:rsidRDefault="00481DDB" w:rsidP="00D875E0">
      <w:pPr>
        <w:shd w:val="clear" w:color="auto" w:fill="FFFFFF"/>
        <w:spacing w:after="120"/>
        <w:ind w:left="709" w:right="709"/>
        <w:jc w:val="both"/>
        <w:rPr>
          <w:rFonts w:ascii="Arial" w:hAnsi="Arial" w:cs="Arial"/>
          <w:sz w:val="21"/>
          <w:szCs w:val="21"/>
          <w:lang w:eastAsia="es-CO"/>
        </w:rPr>
      </w:pPr>
      <w:r w:rsidRPr="00C02322">
        <w:rPr>
          <w:rFonts w:ascii="Arial" w:hAnsi="Arial" w:cs="Arial"/>
          <w:b/>
          <w:bCs/>
          <w:sz w:val="21"/>
          <w:szCs w:val="21"/>
          <w:lang w:eastAsia="es-CO"/>
        </w:rPr>
        <w:t>Artículo 2.2.1.2.4.4.1. </w:t>
      </w:r>
      <w:r w:rsidRPr="00C02322">
        <w:rPr>
          <w:rFonts w:ascii="Arial" w:hAnsi="Arial" w:cs="Arial"/>
          <w:b/>
          <w:bCs/>
          <w:i/>
          <w:iCs/>
          <w:sz w:val="21"/>
          <w:szCs w:val="21"/>
          <w:lang w:eastAsia="es-CO"/>
        </w:rPr>
        <w:t>Régimen aplicable a los contratos o convenios de cooperación Internacional. </w:t>
      </w:r>
      <w:r w:rsidRPr="00C02322">
        <w:rPr>
          <w:rFonts w:ascii="Arial" w:hAnsi="Arial" w:cs="Arial"/>
          <w:sz w:val="21"/>
          <w:szCs w:val="21"/>
          <w:lang w:eastAsia="es-CO"/>
        </w:rPr>
        <w:t>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w:t>
      </w:r>
    </w:p>
    <w:p w14:paraId="41134672" w14:textId="77777777" w:rsidR="00481DDB" w:rsidRPr="00C02322" w:rsidRDefault="00481DDB" w:rsidP="00D875E0">
      <w:pPr>
        <w:shd w:val="clear" w:color="auto" w:fill="FFFFFF"/>
        <w:spacing w:after="120"/>
        <w:ind w:left="709" w:right="709"/>
        <w:jc w:val="both"/>
        <w:rPr>
          <w:rFonts w:ascii="Arial" w:hAnsi="Arial" w:cs="Arial"/>
          <w:sz w:val="21"/>
          <w:szCs w:val="21"/>
          <w:lang w:eastAsia="es-CO"/>
        </w:rPr>
      </w:pPr>
      <w:r w:rsidRPr="00C02322">
        <w:rPr>
          <w:rFonts w:ascii="Arial" w:hAnsi="Arial" w:cs="Arial"/>
          <w:sz w:val="21"/>
          <w:szCs w:val="21"/>
          <w:lang w:eastAsia="es-CO"/>
        </w:rPr>
        <w:t>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1B82663F" w14:textId="77777777" w:rsidR="00481DDB" w:rsidRPr="00C02322" w:rsidRDefault="00481DDB" w:rsidP="00D875E0">
      <w:pPr>
        <w:shd w:val="clear" w:color="auto" w:fill="FFFFFF"/>
        <w:spacing w:after="120"/>
        <w:ind w:left="709" w:right="709"/>
        <w:jc w:val="both"/>
        <w:rPr>
          <w:rFonts w:ascii="Arial" w:hAnsi="Arial" w:cs="Arial"/>
          <w:sz w:val="21"/>
          <w:szCs w:val="21"/>
          <w:lang w:eastAsia="es-CO"/>
        </w:rPr>
      </w:pPr>
      <w:r w:rsidRPr="00C02322">
        <w:rPr>
          <w:rFonts w:ascii="Arial" w:hAnsi="Arial" w:cs="Arial"/>
          <w:sz w:val="21"/>
          <w:szCs w:val="21"/>
          <w:lang w:eastAsia="es-CO"/>
        </w:rPr>
        <w:t>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w:t>
      </w:r>
    </w:p>
    <w:p w14:paraId="749948C3" w14:textId="77777777" w:rsidR="00481DDB" w:rsidRPr="00C02322" w:rsidRDefault="00481DDB" w:rsidP="00D875E0">
      <w:pPr>
        <w:shd w:val="clear" w:color="auto" w:fill="FFFFFF"/>
        <w:spacing w:after="120"/>
        <w:ind w:left="709" w:right="709"/>
        <w:jc w:val="both"/>
        <w:rPr>
          <w:rFonts w:ascii="Arial" w:hAnsi="Arial" w:cs="Arial"/>
          <w:sz w:val="21"/>
          <w:szCs w:val="21"/>
          <w:lang w:eastAsia="es-CO"/>
        </w:rPr>
      </w:pPr>
      <w:r w:rsidRPr="00C02322">
        <w:rPr>
          <w:rFonts w:ascii="Arial" w:hAnsi="Arial" w:cs="Arial"/>
          <w:sz w:val="21"/>
          <w:szCs w:val="21"/>
          <w:lang w:eastAsia="es-CO"/>
        </w:rPr>
        <w:t>Los recursos generados en desarrollo de los contratos o convenios financiados con fondos de los organismos de cooperación, asistencia o ayudas internacionales no deben ser tenidos en cuenta para determinar los porcentajes de los aportes de las partes.</w:t>
      </w:r>
    </w:p>
    <w:p w14:paraId="378964CA" w14:textId="77777777" w:rsidR="00481DDB" w:rsidRPr="00C02322" w:rsidRDefault="00481DDB" w:rsidP="00D875E0">
      <w:pPr>
        <w:shd w:val="clear" w:color="auto" w:fill="FFFFFF"/>
        <w:spacing w:after="120"/>
        <w:ind w:left="709" w:right="709"/>
        <w:jc w:val="both"/>
        <w:rPr>
          <w:rFonts w:ascii="Arial" w:hAnsi="Arial" w:cs="Arial"/>
          <w:sz w:val="21"/>
          <w:szCs w:val="21"/>
          <w:lang w:eastAsia="es-CO"/>
        </w:rPr>
      </w:pPr>
      <w:r w:rsidRPr="00C02322">
        <w:rPr>
          <w:rFonts w:ascii="Arial" w:hAnsi="Arial" w:cs="Arial"/>
          <w:sz w:val="21"/>
          <w:szCs w:val="21"/>
          <w:lang w:eastAsia="es-CO"/>
        </w:rPr>
        <w:t xml:space="preserve">Los contratos o convenios financiados con fondos de los organismos multilaterales de crédito, entes gubernamentales extranjeros o personas </w:t>
      </w:r>
      <w:r w:rsidRPr="00C02322">
        <w:rPr>
          <w:rFonts w:ascii="Arial" w:hAnsi="Arial" w:cs="Arial"/>
          <w:sz w:val="21"/>
          <w:szCs w:val="21"/>
          <w:lang w:eastAsia="es-CO"/>
        </w:rPr>
        <w:lastRenderedPageBreak/>
        <w:t>extranjeras de derecho público, así como aquellos a los que se refiere el inciso 2 del artículo 20 de la </w:t>
      </w:r>
      <w:hyperlink r:id="rId12" w:history="1">
        <w:r w:rsidRPr="00C02322">
          <w:rPr>
            <w:rFonts w:ascii="Arial" w:hAnsi="Arial" w:cs="Arial"/>
            <w:sz w:val="21"/>
            <w:szCs w:val="21"/>
            <w:lang w:eastAsia="es-CO"/>
          </w:rPr>
          <w:t>Ley 1150 de 2007</w:t>
        </w:r>
      </w:hyperlink>
      <w:r w:rsidRPr="00C02322">
        <w:rPr>
          <w:rFonts w:ascii="Arial" w:hAnsi="Arial" w:cs="Arial"/>
          <w:sz w:val="21"/>
          <w:szCs w:val="21"/>
          <w:lang w:eastAsia="es-CO"/>
        </w:rPr>
        <w:t>,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w:t>
      </w:r>
      <w:hyperlink r:id="rId13" w:history="1">
        <w:r w:rsidRPr="00C02322">
          <w:rPr>
            <w:rFonts w:ascii="Arial" w:hAnsi="Arial" w:cs="Arial"/>
            <w:sz w:val="21"/>
            <w:szCs w:val="21"/>
            <w:lang w:eastAsia="es-CO"/>
          </w:rPr>
          <w:t> Ley 1150 de 2007</w:t>
        </w:r>
      </w:hyperlink>
      <w:r w:rsidRPr="00C02322">
        <w:rPr>
          <w:rFonts w:ascii="Arial" w:hAnsi="Arial" w:cs="Arial"/>
          <w:sz w:val="21"/>
          <w:szCs w:val="21"/>
          <w:lang w:eastAsia="es-CO"/>
        </w:rPr>
        <w:t>.</w:t>
      </w:r>
    </w:p>
    <w:p w14:paraId="51F3D409" w14:textId="67E9605F" w:rsidR="00387FC5" w:rsidRPr="00C02322" w:rsidRDefault="00481DDB" w:rsidP="005135D4">
      <w:pPr>
        <w:shd w:val="clear" w:color="auto" w:fill="FFFFFF"/>
        <w:ind w:left="709" w:right="709"/>
        <w:jc w:val="both"/>
        <w:rPr>
          <w:rFonts w:ascii="Arial" w:hAnsi="Arial" w:cs="Arial"/>
          <w:sz w:val="21"/>
          <w:szCs w:val="21"/>
          <w:lang w:eastAsia="es-CO"/>
        </w:rPr>
      </w:pPr>
      <w:r w:rsidRPr="00C02322">
        <w:rPr>
          <w:rFonts w:ascii="Arial" w:hAnsi="Arial" w:cs="Arial"/>
          <w:sz w:val="21"/>
          <w:szCs w:val="21"/>
          <w:lang w:eastAsia="es-CO"/>
        </w:rPr>
        <w:t>Los contratos con personas extranjeras de derecho público se deben celebrar y ejecutar según se acuerde entre las partes.</w:t>
      </w:r>
    </w:p>
    <w:p w14:paraId="7F22FA2B" w14:textId="77777777" w:rsidR="005135D4" w:rsidRPr="00C02322" w:rsidRDefault="005135D4" w:rsidP="005135D4">
      <w:pPr>
        <w:shd w:val="clear" w:color="auto" w:fill="FFFFFF"/>
        <w:ind w:left="709" w:right="709"/>
        <w:jc w:val="both"/>
        <w:rPr>
          <w:rFonts w:ascii="Arial" w:hAnsi="Arial" w:cs="Arial"/>
          <w:sz w:val="21"/>
          <w:szCs w:val="21"/>
          <w:lang w:eastAsia="es-CO"/>
        </w:rPr>
      </w:pPr>
    </w:p>
    <w:p w14:paraId="2F116FB7" w14:textId="09F39CBF" w:rsidR="00987CF1" w:rsidRDefault="00E84E8A" w:rsidP="00987CF1">
      <w:pPr>
        <w:spacing w:before="120" w:line="276" w:lineRule="auto"/>
        <w:ind w:firstLine="709"/>
        <w:jc w:val="both"/>
        <w:rPr>
          <w:rFonts w:ascii="Arial" w:eastAsia="Calibri" w:hAnsi="Arial" w:cs="Arial"/>
          <w:sz w:val="22"/>
          <w:szCs w:val="22"/>
          <w:lang w:val="es-ES"/>
        </w:rPr>
      </w:pPr>
      <w:r w:rsidRPr="00C02322">
        <w:rPr>
          <w:rFonts w:ascii="Arial" w:eastAsia="Calibri" w:hAnsi="Arial" w:cs="Arial"/>
          <w:sz w:val="22"/>
          <w:szCs w:val="22"/>
          <w:lang w:val="es-ES"/>
        </w:rPr>
        <w:t xml:space="preserve">Se observa que la norma </w:t>
      </w:r>
      <w:r w:rsidR="00A82BC6">
        <w:rPr>
          <w:rFonts w:ascii="Arial" w:eastAsia="Calibri" w:hAnsi="Arial" w:cs="Arial"/>
          <w:sz w:val="22"/>
          <w:szCs w:val="22"/>
          <w:lang w:val="es-ES"/>
        </w:rPr>
        <w:t>transcrita</w:t>
      </w:r>
      <w:r w:rsidRPr="00C02322">
        <w:rPr>
          <w:rFonts w:ascii="Arial" w:eastAsia="Calibri" w:hAnsi="Arial" w:cs="Arial"/>
          <w:sz w:val="22"/>
          <w:szCs w:val="22"/>
          <w:lang w:val="es-ES"/>
        </w:rPr>
        <w:t xml:space="preserve">, en </w:t>
      </w:r>
      <w:r w:rsidR="00A82BC6">
        <w:rPr>
          <w:rFonts w:ascii="Arial" w:eastAsia="Calibri" w:hAnsi="Arial" w:cs="Arial"/>
          <w:sz w:val="22"/>
          <w:szCs w:val="22"/>
          <w:lang w:val="es-ES"/>
        </w:rPr>
        <w:t>armonía</w:t>
      </w:r>
      <w:r w:rsidR="00A82BC6" w:rsidRPr="00C02322">
        <w:rPr>
          <w:rFonts w:ascii="Arial" w:eastAsia="Calibri" w:hAnsi="Arial" w:cs="Arial"/>
          <w:sz w:val="22"/>
          <w:szCs w:val="22"/>
          <w:lang w:val="es-ES"/>
        </w:rPr>
        <w:t xml:space="preserve"> </w:t>
      </w:r>
      <w:r w:rsidRPr="00C02322">
        <w:rPr>
          <w:rFonts w:ascii="Arial" w:eastAsia="Calibri" w:hAnsi="Arial" w:cs="Arial"/>
          <w:sz w:val="22"/>
          <w:szCs w:val="22"/>
          <w:lang w:val="es-ES"/>
        </w:rPr>
        <w:t>con el</w:t>
      </w:r>
      <w:r w:rsidR="002A60A4" w:rsidRPr="00C02322">
        <w:rPr>
          <w:rFonts w:ascii="Arial" w:eastAsia="Calibri" w:hAnsi="Arial" w:cs="Arial"/>
          <w:sz w:val="22"/>
          <w:szCs w:val="22"/>
          <w:lang w:val="es-ES"/>
        </w:rPr>
        <w:t xml:space="preserve"> inciso primero del</w:t>
      </w:r>
      <w:r w:rsidRPr="00C02322">
        <w:rPr>
          <w:rFonts w:ascii="Arial" w:eastAsia="Calibri" w:hAnsi="Arial" w:cs="Arial"/>
          <w:sz w:val="22"/>
          <w:szCs w:val="22"/>
          <w:lang w:val="es-ES"/>
        </w:rPr>
        <w:t xml:space="preserve"> artículo 20 de la Ley 1150 de 2007</w:t>
      </w:r>
      <w:r w:rsidR="00C02322">
        <w:rPr>
          <w:rFonts w:ascii="Arial" w:eastAsia="Calibri" w:hAnsi="Arial" w:cs="Arial"/>
          <w:sz w:val="22"/>
          <w:szCs w:val="22"/>
          <w:lang w:val="es-ES"/>
        </w:rPr>
        <w:t xml:space="preserve">, </w:t>
      </w:r>
      <w:r w:rsidRPr="00C02322">
        <w:rPr>
          <w:rFonts w:ascii="Arial" w:eastAsia="Calibri" w:hAnsi="Arial" w:cs="Arial"/>
          <w:sz w:val="22"/>
          <w:szCs w:val="22"/>
          <w:lang w:val="es-ES"/>
        </w:rPr>
        <w:t xml:space="preserve">estableció </w:t>
      </w:r>
      <w:r w:rsidR="007117C7" w:rsidRPr="00C02322">
        <w:rPr>
          <w:rFonts w:ascii="Arial" w:eastAsia="Calibri" w:hAnsi="Arial" w:cs="Arial"/>
          <w:sz w:val="22"/>
          <w:szCs w:val="22"/>
          <w:lang w:val="es-ES"/>
        </w:rPr>
        <w:t xml:space="preserve">una </w:t>
      </w:r>
      <w:r w:rsidR="00A82BC6">
        <w:rPr>
          <w:rFonts w:ascii="Arial" w:eastAsia="Calibri" w:hAnsi="Arial" w:cs="Arial"/>
          <w:sz w:val="22"/>
          <w:szCs w:val="22"/>
          <w:lang w:val="es-ES"/>
        </w:rPr>
        <w:t>posible</w:t>
      </w:r>
      <w:r w:rsidR="00EA0184" w:rsidRPr="00C02322">
        <w:rPr>
          <w:rFonts w:ascii="Arial" w:eastAsia="Calibri" w:hAnsi="Arial" w:cs="Arial"/>
          <w:sz w:val="22"/>
          <w:szCs w:val="22"/>
          <w:lang w:val="es-ES"/>
        </w:rPr>
        <w:t xml:space="preserve"> exclusión de </w:t>
      </w:r>
      <w:r w:rsidR="002A60A4" w:rsidRPr="00C02322">
        <w:rPr>
          <w:rFonts w:ascii="Arial" w:eastAsia="Calibri" w:hAnsi="Arial" w:cs="Arial"/>
          <w:sz w:val="22"/>
          <w:szCs w:val="22"/>
          <w:lang w:val="es-ES"/>
        </w:rPr>
        <w:t xml:space="preserve">la aplicación </w:t>
      </w:r>
      <w:r w:rsidR="008D446F">
        <w:rPr>
          <w:rFonts w:ascii="Arial" w:eastAsia="Calibri" w:hAnsi="Arial" w:cs="Arial"/>
          <w:sz w:val="22"/>
          <w:szCs w:val="22"/>
          <w:lang w:val="es-ES"/>
        </w:rPr>
        <w:t xml:space="preserve">de la </w:t>
      </w:r>
      <w:r w:rsidR="002A60A4" w:rsidRPr="00C02322">
        <w:rPr>
          <w:rFonts w:ascii="Arial" w:eastAsia="Calibri" w:hAnsi="Arial" w:cs="Arial"/>
          <w:sz w:val="22"/>
          <w:szCs w:val="22"/>
          <w:lang w:val="es-ES"/>
        </w:rPr>
        <w:t>Ley 80 de 1993</w:t>
      </w:r>
      <w:r w:rsidR="008D446F">
        <w:rPr>
          <w:rFonts w:ascii="Arial" w:eastAsia="Calibri" w:hAnsi="Arial" w:cs="Arial"/>
          <w:sz w:val="22"/>
          <w:szCs w:val="22"/>
          <w:lang w:val="es-ES"/>
        </w:rPr>
        <w:t xml:space="preserve"> </w:t>
      </w:r>
      <w:r w:rsidR="00A82BC6">
        <w:rPr>
          <w:rFonts w:ascii="Arial" w:eastAsia="Calibri" w:hAnsi="Arial" w:cs="Arial"/>
          <w:sz w:val="22"/>
          <w:szCs w:val="22"/>
          <w:lang w:val="es-ES"/>
        </w:rPr>
        <w:t xml:space="preserve">en relación con </w:t>
      </w:r>
      <w:r w:rsidR="008D446F">
        <w:rPr>
          <w:rFonts w:ascii="Arial" w:eastAsia="Calibri" w:hAnsi="Arial" w:cs="Arial"/>
          <w:sz w:val="22"/>
          <w:szCs w:val="22"/>
          <w:lang w:val="es-ES"/>
        </w:rPr>
        <w:t xml:space="preserve">contratos </w:t>
      </w:r>
      <w:r w:rsidR="00A82BC6">
        <w:rPr>
          <w:rFonts w:ascii="Arial" w:eastAsia="Calibri" w:hAnsi="Arial" w:cs="Arial"/>
          <w:sz w:val="22"/>
          <w:szCs w:val="22"/>
          <w:lang w:val="es-ES"/>
        </w:rPr>
        <w:t xml:space="preserve">financiados con recursos </w:t>
      </w:r>
      <w:r w:rsidR="003F1543">
        <w:rPr>
          <w:rFonts w:ascii="Arial" w:eastAsia="Calibri" w:hAnsi="Arial" w:cs="Arial"/>
          <w:sz w:val="22"/>
          <w:szCs w:val="22"/>
          <w:lang w:val="es-ES"/>
        </w:rPr>
        <w:t xml:space="preserve">de </w:t>
      </w:r>
      <w:r w:rsidR="003F1543" w:rsidRPr="00D875E0">
        <w:rPr>
          <w:rFonts w:ascii="Arial" w:eastAsia="Calibri" w:hAnsi="Arial" w:cs="Arial"/>
          <w:sz w:val="22"/>
          <w:szCs w:val="22"/>
          <w:lang w:val="es-ES"/>
        </w:rPr>
        <w:t>organismos de cooperación, asistencia o ayudas internacionales</w:t>
      </w:r>
      <w:r w:rsidR="00B53892">
        <w:rPr>
          <w:rFonts w:ascii="Arial" w:eastAsia="Calibri" w:hAnsi="Arial" w:cs="Arial"/>
          <w:sz w:val="22"/>
          <w:szCs w:val="22"/>
          <w:lang w:val="es-ES"/>
        </w:rPr>
        <w:t>,</w:t>
      </w:r>
      <w:r w:rsidR="00B53892" w:rsidRPr="00C02322">
        <w:rPr>
          <w:rFonts w:ascii="Arial" w:eastAsia="Calibri" w:hAnsi="Arial" w:cs="Arial"/>
          <w:sz w:val="22"/>
          <w:szCs w:val="22"/>
          <w:lang w:val="es-ES"/>
        </w:rPr>
        <w:t xml:space="preserve"> cuando se financien </w:t>
      </w:r>
      <w:r w:rsidR="000824E0">
        <w:rPr>
          <w:rFonts w:ascii="Arial" w:eastAsia="Calibri" w:hAnsi="Arial" w:cs="Arial"/>
          <w:sz w:val="22"/>
          <w:szCs w:val="22"/>
          <w:lang w:val="es-ES"/>
        </w:rPr>
        <w:t>en</w:t>
      </w:r>
      <w:r w:rsidR="00B53892" w:rsidRPr="00C02322">
        <w:rPr>
          <w:rFonts w:ascii="Arial" w:eastAsia="Calibri" w:hAnsi="Arial" w:cs="Arial"/>
          <w:sz w:val="22"/>
          <w:szCs w:val="22"/>
          <w:lang w:val="es-ES"/>
        </w:rPr>
        <w:t xml:space="preserve"> más del 50% con fondos del organismo correspondiente</w:t>
      </w:r>
      <w:r w:rsidR="00B53892">
        <w:rPr>
          <w:rFonts w:ascii="Arial" w:eastAsia="Calibri" w:hAnsi="Arial" w:cs="Arial"/>
          <w:sz w:val="22"/>
          <w:szCs w:val="22"/>
          <w:lang w:val="es-ES"/>
        </w:rPr>
        <w:t>.</w:t>
      </w:r>
      <w:r w:rsidR="000824E0">
        <w:rPr>
          <w:rFonts w:ascii="Arial" w:eastAsia="Calibri" w:hAnsi="Arial" w:cs="Arial"/>
          <w:sz w:val="22"/>
          <w:szCs w:val="22"/>
          <w:lang w:val="es-ES"/>
        </w:rPr>
        <w:t xml:space="preserve"> </w:t>
      </w:r>
      <w:r w:rsidR="007E683A">
        <w:rPr>
          <w:rFonts w:ascii="Arial" w:eastAsia="Calibri" w:hAnsi="Arial" w:cs="Arial"/>
          <w:sz w:val="22"/>
          <w:szCs w:val="22"/>
          <w:lang w:val="es-ES"/>
        </w:rPr>
        <w:t xml:space="preserve">El criterio que permite establecer la procedencia de la aplicación </w:t>
      </w:r>
      <w:r w:rsidR="001C621E">
        <w:rPr>
          <w:rFonts w:ascii="Arial" w:eastAsia="Calibri" w:hAnsi="Arial" w:cs="Arial"/>
          <w:sz w:val="22"/>
          <w:szCs w:val="22"/>
          <w:lang w:val="es-ES"/>
        </w:rPr>
        <w:t>de las reglas contractuales de los organismos internacionales es</w:t>
      </w:r>
      <w:r w:rsidR="00360D9B">
        <w:rPr>
          <w:rFonts w:ascii="Arial" w:eastAsia="Calibri" w:hAnsi="Arial" w:cs="Arial"/>
          <w:sz w:val="22"/>
          <w:szCs w:val="22"/>
          <w:lang w:val="es-ES"/>
        </w:rPr>
        <w:t xml:space="preserve"> el porcentaje de financiación de</w:t>
      </w:r>
      <w:r w:rsidR="001C621E">
        <w:rPr>
          <w:rFonts w:ascii="Arial" w:eastAsia="Calibri" w:hAnsi="Arial" w:cs="Arial"/>
          <w:sz w:val="22"/>
          <w:szCs w:val="22"/>
          <w:lang w:val="es-ES"/>
        </w:rPr>
        <w:t xml:space="preserve"> la fuente </w:t>
      </w:r>
      <w:r w:rsidR="00374775">
        <w:rPr>
          <w:rFonts w:ascii="Arial" w:eastAsia="Calibri" w:hAnsi="Arial" w:cs="Arial"/>
          <w:sz w:val="22"/>
          <w:szCs w:val="22"/>
          <w:lang w:val="es-ES"/>
        </w:rPr>
        <w:t>de recurso de los organismos internacionales</w:t>
      </w:r>
      <w:r w:rsidR="00311D34">
        <w:rPr>
          <w:rFonts w:ascii="Arial" w:eastAsia="Calibri" w:hAnsi="Arial" w:cs="Arial"/>
          <w:sz w:val="22"/>
          <w:szCs w:val="22"/>
          <w:lang w:val="es-ES"/>
        </w:rPr>
        <w:t>.</w:t>
      </w:r>
      <w:r w:rsidR="00360D9B">
        <w:rPr>
          <w:rFonts w:ascii="Arial" w:eastAsia="Calibri" w:hAnsi="Arial" w:cs="Arial"/>
          <w:sz w:val="22"/>
          <w:szCs w:val="22"/>
          <w:lang w:val="es-ES"/>
        </w:rPr>
        <w:t xml:space="preserve"> </w:t>
      </w:r>
      <w:r w:rsidR="006B5088" w:rsidRPr="00C02322">
        <w:rPr>
          <w:rFonts w:ascii="Arial" w:eastAsia="Calibri" w:hAnsi="Arial" w:cs="Arial"/>
          <w:sz w:val="22"/>
          <w:szCs w:val="22"/>
          <w:lang w:val="es-ES"/>
        </w:rPr>
        <w:t>Sin embar</w:t>
      </w:r>
      <w:r w:rsidR="005135D4" w:rsidRPr="00C02322">
        <w:rPr>
          <w:rFonts w:ascii="Arial" w:eastAsia="Calibri" w:hAnsi="Arial" w:cs="Arial"/>
          <w:sz w:val="22"/>
          <w:szCs w:val="22"/>
          <w:lang w:val="es-ES"/>
        </w:rPr>
        <w:t>go</w:t>
      </w:r>
      <w:r w:rsidR="00311D34">
        <w:rPr>
          <w:rFonts w:ascii="Arial" w:eastAsia="Calibri" w:hAnsi="Arial" w:cs="Arial"/>
          <w:sz w:val="22"/>
          <w:szCs w:val="22"/>
          <w:lang w:val="es-ES"/>
        </w:rPr>
        <w:t>, aunque esta redacción parece clara, al momento de aplicar la regla precedente</w:t>
      </w:r>
      <w:r w:rsidR="00961233">
        <w:rPr>
          <w:rFonts w:ascii="Arial" w:eastAsia="Calibri" w:hAnsi="Arial" w:cs="Arial"/>
          <w:sz w:val="22"/>
          <w:szCs w:val="22"/>
          <w:lang w:val="es-ES"/>
        </w:rPr>
        <w:t xml:space="preserve"> surge </w:t>
      </w:r>
      <w:r w:rsidR="005135D4" w:rsidRPr="00C02322">
        <w:rPr>
          <w:rFonts w:ascii="Arial" w:eastAsia="Calibri" w:hAnsi="Arial" w:cs="Arial"/>
          <w:sz w:val="22"/>
          <w:szCs w:val="22"/>
          <w:lang w:val="es-ES"/>
        </w:rPr>
        <w:t xml:space="preserve">un interrogante en relación con el alcance del término </w:t>
      </w:r>
      <w:r w:rsidR="00EE743B" w:rsidRPr="00C02322">
        <w:rPr>
          <w:rFonts w:ascii="Arial" w:eastAsia="Calibri" w:hAnsi="Arial" w:cs="Arial"/>
          <w:sz w:val="22"/>
          <w:szCs w:val="22"/>
          <w:lang w:val="es-ES"/>
        </w:rPr>
        <w:t>«fondo»</w:t>
      </w:r>
      <w:r w:rsidR="007617D3" w:rsidRPr="00C02322">
        <w:rPr>
          <w:rFonts w:ascii="Arial" w:eastAsia="Calibri" w:hAnsi="Arial" w:cs="Arial"/>
          <w:sz w:val="22"/>
          <w:szCs w:val="22"/>
          <w:lang w:val="es-ES"/>
        </w:rPr>
        <w:t xml:space="preserve"> que se emplea como criterio para </w:t>
      </w:r>
      <w:r w:rsidR="003F1543">
        <w:rPr>
          <w:rFonts w:ascii="Arial" w:eastAsia="Calibri" w:hAnsi="Arial" w:cs="Arial"/>
          <w:sz w:val="22"/>
          <w:szCs w:val="22"/>
          <w:lang w:val="es-ES"/>
        </w:rPr>
        <w:t>habilitar la posible</w:t>
      </w:r>
      <w:r w:rsidR="007617D3" w:rsidRPr="00C02322">
        <w:rPr>
          <w:rFonts w:ascii="Arial" w:eastAsia="Calibri" w:hAnsi="Arial" w:cs="Arial"/>
          <w:sz w:val="22"/>
          <w:szCs w:val="22"/>
          <w:lang w:val="es-ES"/>
        </w:rPr>
        <w:t xml:space="preserve"> aplicación de las normas de </w:t>
      </w:r>
      <w:r w:rsidR="003F1543">
        <w:rPr>
          <w:rFonts w:ascii="Arial" w:eastAsia="Calibri" w:hAnsi="Arial" w:cs="Arial"/>
          <w:sz w:val="22"/>
          <w:szCs w:val="22"/>
          <w:lang w:val="es-ES"/>
        </w:rPr>
        <w:t>los organismos referidos</w:t>
      </w:r>
      <w:r w:rsidR="002E172C">
        <w:rPr>
          <w:rFonts w:ascii="Arial" w:eastAsia="Calibri" w:hAnsi="Arial" w:cs="Arial"/>
          <w:sz w:val="22"/>
          <w:szCs w:val="22"/>
          <w:lang w:val="es-ES"/>
        </w:rPr>
        <w:t xml:space="preserve">, pues el artículo 20 de la Ley 1150 de 2015 ni en el artículo 2.2.1.2.4.4.1 del Decreto 1082 de 2015, </w:t>
      </w:r>
      <w:r w:rsidR="003F1543">
        <w:rPr>
          <w:rFonts w:ascii="Arial" w:eastAsia="Calibri" w:hAnsi="Arial" w:cs="Arial"/>
          <w:sz w:val="22"/>
          <w:szCs w:val="22"/>
          <w:lang w:val="es-ES"/>
        </w:rPr>
        <w:t xml:space="preserve">define de forma clara </w:t>
      </w:r>
      <w:r w:rsidR="00987CF1">
        <w:rPr>
          <w:rFonts w:ascii="Arial" w:eastAsia="Calibri" w:hAnsi="Arial" w:cs="Arial"/>
          <w:sz w:val="22"/>
          <w:szCs w:val="22"/>
          <w:lang w:val="es-ES"/>
        </w:rPr>
        <w:t>qué entender por fondo</w:t>
      </w:r>
      <w:r w:rsidR="003F1543">
        <w:rPr>
          <w:rFonts w:ascii="Arial" w:eastAsia="Calibri" w:hAnsi="Arial" w:cs="Arial"/>
          <w:sz w:val="22"/>
          <w:szCs w:val="22"/>
          <w:lang w:val="es-ES"/>
        </w:rPr>
        <w:t>s</w:t>
      </w:r>
      <w:r w:rsidR="00987CF1">
        <w:rPr>
          <w:rFonts w:ascii="Arial" w:eastAsia="Calibri" w:hAnsi="Arial" w:cs="Arial"/>
          <w:sz w:val="22"/>
          <w:szCs w:val="22"/>
          <w:lang w:val="es-ES"/>
        </w:rPr>
        <w:t xml:space="preserve"> y que tipo de bienes </w:t>
      </w:r>
      <w:r w:rsidR="003F1543">
        <w:rPr>
          <w:rFonts w:ascii="Arial" w:eastAsia="Calibri" w:hAnsi="Arial" w:cs="Arial"/>
          <w:sz w:val="22"/>
          <w:szCs w:val="22"/>
          <w:lang w:val="es-ES"/>
        </w:rPr>
        <w:t xml:space="preserve">los </w:t>
      </w:r>
      <w:r w:rsidR="00987CF1">
        <w:rPr>
          <w:rFonts w:ascii="Arial" w:eastAsia="Calibri" w:hAnsi="Arial" w:cs="Arial"/>
          <w:sz w:val="22"/>
          <w:szCs w:val="22"/>
          <w:lang w:val="es-ES"/>
        </w:rPr>
        <w:t xml:space="preserve">conforman. </w:t>
      </w:r>
    </w:p>
    <w:p w14:paraId="21812EE4" w14:textId="23913E47" w:rsidR="00A7436E" w:rsidRDefault="003D2AF7" w:rsidP="00F537D9">
      <w:pPr>
        <w:spacing w:before="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Teniendo en cuenta lo anterior</w:t>
      </w:r>
      <w:r w:rsidR="00877B11">
        <w:rPr>
          <w:rFonts w:ascii="Arial" w:eastAsia="Calibri" w:hAnsi="Arial" w:cs="Arial"/>
          <w:sz w:val="22"/>
          <w:szCs w:val="22"/>
          <w:lang w:val="es-ES"/>
        </w:rPr>
        <w:t xml:space="preserve">, </w:t>
      </w:r>
      <w:bookmarkStart w:id="14" w:name="_Hlk109120820"/>
      <w:r w:rsidR="00317CDF">
        <w:rPr>
          <w:rFonts w:ascii="Arial" w:eastAsia="Calibri" w:hAnsi="Arial" w:cs="Arial"/>
          <w:sz w:val="22"/>
          <w:szCs w:val="22"/>
          <w:lang w:val="es-ES"/>
        </w:rPr>
        <w:t xml:space="preserve">partiendo de la </w:t>
      </w:r>
      <w:r w:rsidR="00877B11">
        <w:rPr>
          <w:rFonts w:ascii="Arial" w:eastAsia="Calibri" w:hAnsi="Arial" w:cs="Arial"/>
          <w:sz w:val="22"/>
          <w:szCs w:val="22"/>
          <w:lang w:val="es-ES"/>
        </w:rPr>
        <w:t xml:space="preserve">aplicación del artículo 27 </w:t>
      </w:r>
      <w:r w:rsidR="0010026C">
        <w:rPr>
          <w:rFonts w:ascii="Arial" w:eastAsia="Calibri" w:hAnsi="Arial" w:cs="Arial"/>
          <w:sz w:val="22"/>
          <w:szCs w:val="22"/>
          <w:lang w:val="es-ES"/>
        </w:rPr>
        <w:t>del Código Civil</w:t>
      </w:r>
      <w:r w:rsidR="00C56DD5">
        <w:rPr>
          <w:rStyle w:val="Refdenotaalpie"/>
          <w:rFonts w:ascii="Arial" w:eastAsia="Calibri" w:hAnsi="Arial" w:cs="Arial"/>
          <w:sz w:val="22"/>
          <w:szCs w:val="22"/>
          <w:lang w:val="es-ES"/>
        </w:rPr>
        <w:footnoteReference w:id="8"/>
      </w:r>
      <w:r w:rsidR="0010026C">
        <w:rPr>
          <w:rFonts w:ascii="Arial" w:eastAsia="Calibri" w:hAnsi="Arial" w:cs="Arial"/>
          <w:sz w:val="22"/>
          <w:szCs w:val="22"/>
          <w:lang w:val="es-ES"/>
        </w:rPr>
        <w:t xml:space="preserve">, que establece la interpretación gramatical como uno de los criterios de interpretación de la ley, en virtud del cual </w:t>
      </w:r>
      <w:r w:rsidR="000C4F8F" w:rsidRPr="00C02322">
        <w:rPr>
          <w:rFonts w:ascii="Arial" w:eastAsia="Calibri" w:hAnsi="Arial" w:cs="Arial"/>
          <w:sz w:val="22"/>
          <w:szCs w:val="22"/>
          <w:lang w:val="es-ES"/>
        </w:rPr>
        <w:t>«</w:t>
      </w:r>
      <w:r w:rsidR="00694B32">
        <w:rPr>
          <w:rFonts w:ascii="Arial" w:eastAsia="Calibri" w:hAnsi="Arial" w:cs="Arial"/>
          <w:sz w:val="22"/>
          <w:szCs w:val="22"/>
          <w:lang w:val="es-ES"/>
        </w:rPr>
        <w:t xml:space="preserve">cuando el sentido de la ley no sea claro, no se desatenderá su tenor literal </w:t>
      </w:r>
      <w:r w:rsidR="000C4F8F">
        <w:rPr>
          <w:rFonts w:ascii="Arial" w:eastAsia="Calibri" w:hAnsi="Arial" w:cs="Arial"/>
          <w:sz w:val="22"/>
          <w:szCs w:val="22"/>
          <w:lang w:val="es-ES"/>
        </w:rPr>
        <w:t>a pretexto de consultar su espíritu</w:t>
      </w:r>
      <w:r w:rsidR="000C4F8F" w:rsidRPr="00C02322">
        <w:rPr>
          <w:rFonts w:ascii="Arial" w:eastAsia="Calibri" w:hAnsi="Arial" w:cs="Arial"/>
          <w:sz w:val="22"/>
          <w:szCs w:val="22"/>
          <w:lang w:val="es-ES"/>
        </w:rPr>
        <w:t>»</w:t>
      </w:r>
      <w:r w:rsidR="000C4F8F">
        <w:rPr>
          <w:rFonts w:ascii="Arial" w:eastAsia="Calibri" w:hAnsi="Arial" w:cs="Arial"/>
          <w:sz w:val="22"/>
          <w:szCs w:val="22"/>
          <w:lang w:val="es-ES"/>
        </w:rPr>
        <w:t>, el</w:t>
      </w:r>
      <w:r w:rsidR="000C4F8F" w:rsidRPr="00C02322">
        <w:rPr>
          <w:rFonts w:ascii="Arial" w:eastAsia="Calibri" w:hAnsi="Arial" w:cs="Arial"/>
          <w:sz w:val="22"/>
          <w:szCs w:val="22"/>
          <w:lang w:val="es-ES"/>
        </w:rPr>
        <w:t xml:space="preserve"> término «fondo» </w:t>
      </w:r>
      <w:r w:rsidR="000C4F8F">
        <w:rPr>
          <w:rFonts w:ascii="Arial" w:eastAsia="Calibri" w:hAnsi="Arial" w:cs="Arial"/>
          <w:sz w:val="22"/>
          <w:szCs w:val="22"/>
          <w:lang w:val="es-ES"/>
        </w:rPr>
        <w:t xml:space="preserve">es definido en </w:t>
      </w:r>
      <w:r w:rsidR="000C4F8F" w:rsidRPr="00C02322">
        <w:rPr>
          <w:rFonts w:ascii="Arial" w:eastAsia="Calibri" w:hAnsi="Arial" w:cs="Arial"/>
          <w:sz w:val="22"/>
          <w:szCs w:val="22"/>
          <w:lang w:val="es-ES"/>
        </w:rPr>
        <w:t xml:space="preserve">el Diccionario de la </w:t>
      </w:r>
      <w:r>
        <w:rPr>
          <w:rFonts w:ascii="Arial" w:eastAsia="Calibri" w:hAnsi="Arial" w:cs="Arial"/>
          <w:sz w:val="22"/>
          <w:szCs w:val="22"/>
          <w:lang w:val="es-ES"/>
        </w:rPr>
        <w:t>Lengua</w:t>
      </w:r>
      <w:r w:rsidR="000C4F8F" w:rsidRPr="00C02322">
        <w:rPr>
          <w:rFonts w:ascii="Arial" w:eastAsia="Calibri" w:hAnsi="Arial" w:cs="Arial"/>
          <w:sz w:val="22"/>
          <w:szCs w:val="22"/>
          <w:lang w:val="es-ES"/>
        </w:rPr>
        <w:t xml:space="preserve"> Española</w:t>
      </w:r>
      <w:r w:rsidR="000C4F8F">
        <w:rPr>
          <w:rFonts w:ascii="Arial" w:eastAsia="Calibri" w:hAnsi="Arial" w:cs="Arial"/>
          <w:sz w:val="22"/>
          <w:szCs w:val="22"/>
          <w:lang w:val="es-ES"/>
        </w:rPr>
        <w:t xml:space="preserve"> como</w:t>
      </w:r>
      <w:r w:rsidR="000C4F8F" w:rsidRPr="00C02322">
        <w:rPr>
          <w:rFonts w:ascii="Arial" w:eastAsia="Calibri" w:hAnsi="Arial" w:cs="Arial"/>
          <w:sz w:val="22"/>
          <w:szCs w:val="22"/>
          <w:lang w:val="es-ES"/>
        </w:rPr>
        <w:t xml:space="preserve"> «7. Caudal o conjunto de bienes que posee una persona o comunidad»</w:t>
      </w:r>
      <w:r w:rsidR="009D7375">
        <w:rPr>
          <w:rFonts w:ascii="Arial" w:eastAsia="Calibri" w:hAnsi="Arial" w:cs="Arial"/>
          <w:sz w:val="22"/>
          <w:szCs w:val="22"/>
          <w:lang w:val="es-ES"/>
        </w:rPr>
        <w:t xml:space="preserve"> o «</w:t>
      </w:r>
      <w:r w:rsidR="009D7375" w:rsidRPr="009D7375">
        <w:rPr>
          <w:rFonts w:ascii="Arial" w:eastAsia="Calibri" w:hAnsi="Arial" w:cs="Arial"/>
          <w:sz w:val="22"/>
          <w:szCs w:val="22"/>
          <w:lang w:val="es-ES"/>
        </w:rPr>
        <w:t>23. m. Der. Conjunto de recursos destinado a un objeto determinado</w:t>
      </w:r>
      <w:r w:rsidR="009D7375">
        <w:rPr>
          <w:rFonts w:ascii="Arial" w:eastAsia="Calibri" w:hAnsi="Arial" w:cs="Arial"/>
          <w:sz w:val="22"/>
          <w:szCs w:val="22"/>
          <w:lang w:val="es-ES"/>
        </w:rPr>
        <w:t>»</w:t>
      </w:r>
      <w:r w:rsidR="00E971A6">
        <w:rPr>
          <w:rFonts w:ascii="Arial" w:eastAsia="Calibri" w:hAnsi="Arial" w:cs="Arial"/>
          <w:sz w:val="22"/>
          <w:szCs w:val="22"/>
          <w:lang w:val="es-ES"/>
        </w:rPr>
        <w:t xml:space="preserve">. </w:t>
      </w:r>
      <w:r w:rsidR="009D7375">
        <w:rPr>
          <w:rFonts w:ascii="Arial" w:eastAsia="Calibri" w:hAnsi="Arial" w:cs="Arial"/>
          <w:sz w:val="22"/>
          <w:szCs w:val="22"/>
          <w:lang w:val="es-ES"/>
        </w:rPr>
        <w:t>En este sentido, p</w:t>
      </w:r>
      <w:r w:rsidR="00181E0E">
        <w:rPr>
          <w:rFonts w:ascii="Arial" w:eastAsia="Calibri" w:hAnsi="Arial" w:cs="Arial"/>
          <w:sz w:val="22"/>
          <w:szCs w:val="22"/>
          <w:lang w:val="es-ES"/>
        </w:rPr>
        <w:t xml:space="preserve">ara los fines de </w:t>
      </w:r>
      <w:r w:rsidR="009D7375">
        <w:rPr>
          <w:rFonts w:ascii="Arial" w:eastAsia="Calibri" w:hAnsi="Arial" w:cs="Arial"/>
          <w:sz w:val="22"/>
          <w:szCs w:val="22"/>
          <w:lang w:val="es-ES"/>
        </w:rPr>
        <w:t xml:space="preserve">la </w:t>
      </w:r>
      <w:r w:rsidR="00181E0E">
        <w:rPr>
          <w:rFonts w:ascii="Arial" w:eastAsia="Calibri" w:hAnsi="Arial" w:cs="Arial"/>
          <w:sz w:val="22"/>
          <w:szCs w:val="22"/>
          <w:lang w:val="es-ES"/>
        </w:rPr>
        <w:t xml:space="preserve">consulta, vale la pena resaltar que la definición se refiere a un </w:t>
      </w:r>
      <w:r w:rsidR="0012061F" w:rsidRPr="00C02322">
        <w:rPr>
          <w:rFonts w:ascii="Arial" w:eastAsia="Calibri" w:hAnsi="Arial" w:cs="Arial"/>
          <w:sz w:val="22"/>
          <w:szCs w:val="22"/>
          <w:lang w:val="es-ES"/>
        </w:rPr>
        <w:t>«</w:t>
      </w:r>
      <w:r w:rsidR="00181E0E">
        <w:rPr>
          <w:rFonts w:ascii="Arial" w:eastAsia="Calibri" w:hAnsi="Arial" w:cs="Arial"/>
          <w:i/>
          <w:iCs/>
          <w:sz w:val="22"/>
          <w:szCs w:val="22"/>
          <w:lang w:val="es-ES"/>
        </w:rPr>
        <w:t>conjunto</w:t>
      </w:r>
      <w:r w:rsidR="00181E0E">
        <w:rPr>
          <w:rFonts w:ascii="Arial" w:eastAsia="Calibri" w:hAnsi="Arial" w:cs="Arial"/>
          <w:sz w:val="22"/>
          <w:szCs w:val="22"/>
          <w:lang w:val="es-ES"/>
        </w:rPr>
        <w:t xml:space="preserve"> </w:t>
      </w:r>
      <w:r w:rsidR="00181E0E">
        <w:rPr>
          <w:rFonts w:ascii="Arial" w:eastAsia="Calibri" w:hAnsi="Arial" w:cs="Arial"/>
          <w:i/>
          <w:iCs/>
          <w:sz w:val="22"/>
          <w:szCs w:val="22"/>
          <w:lang w:val="es-ES"/>
        </w:rPr>
        <w:t>de bienes</w:t>
      </w:r>
      <w:r w:rsidR="0012061F" w:rsidRPr="00C02322">
        <w:rPr>
          <w:rFonts w:ascii="Arial" w:eastAsia="Calibri" w:hAnsi="Arial" w:cs="Arial"/>
          <w:sz w:val="22"/>
          <w:szCs w:val="22"/>
          <w:lang w:val="es-ES"/>
        </w:rPr>
        <w:t>»</w:t>
      </w:r>
      <w:r w:rsidR="009D7375">
        <w:rPr>
          <w:rFonts w:ascii="Arial" w:eastAsia="Calibri" w:hAnsi="Arial" w:cs="Arial"/>
          <w:sz w:val="22"/>
          <w:szCs w:val="22"/>
          <w:lang w:val="es-ES"/>
        </w:rPr>
        <w:t xml:space="preserve"> o «</w:t>
      </w:r>
      <w:r w:rsidR="009D7375">
        <w:rPr>
          <w:rFonts w:ascii="Arial" w:eastAsia="Calibri" w:hAnsi="Arial" w:cs="Arial"/>
          <w:i/>
          <w:iCs/>
          <w:sz w:val="22"/>
          <w:szCs w:val="22"/>
          <w:lang w:val="es-ES"/>
        </w:rPr>
        <w:t>conjunto de recursos»</w:t>
      </w:r>
      <w:r w:rsidR="009D7375">
        <w:rPr>
          <w:rFonts w:ascii="Arial" w:eastAsia="Calibri" w:hAnsi="Arial" w:cs="Arial"/>
          <w:sz w:val="22"/>
          <w:szCs w:val="22"/>
          <w:lang w:val="es-ES"/>
        </w:rPr>
        <w:t>,</w:t>
      </w:r>
      <w:r w:rsidR="0012061F" w:rsidRPr="00C02322">
        <w:rPr>
          <w:rFonts w:ascii="Arial" w:eastAsia="Calibri" w:hAnsi="Arial" w:cs="Arial"/>
          <w:sz w:val="22"/>
          <w:szCs w:val="22"/>
          <w:lang w:val="es-ES"/>
        </w:rPr>
        <w:t xml:space="preserve"> </w:t>
      </w:r>
      <w:r w:rsidR="0012061F">
        <w:rPr>
          <w:rFonts w:ascii="Arial" w:eastAsia="Calibri" w:hAnsi="Arial" w:cs="Arial"/>
          <w:sz w:val="22"/>
          <w:szCs w:val="22"/>
          <w:lang w:val="es-ES"/>
        </w:rPr>
        <w:t>lo que permite inferir que los fondos se componen por una universalidad o pluralidad de bienes</w:t>
      </w:r>
      <w:r w:rsidR="005C405E">
        <w:rPr>
          <w:rFonts w:ascii="Arial" w:eastAsia="Calibri" w:hAnsi="Arial" w:cs="Arial"/>
          <w:sz w:val="22"/>
          <w:szCs w:val="22"/>
          <w:lang w:val="es-ES"/>
        </w:rPr>
        <w:t>, y en relación</w:t>
      </w:r>
      <w:r w:rsidR="005C405E" w:rsidRPr="00A10A36">
        <w:rPr>
          <w:rFonts w:ascii="Arial" w:eastAsia="Calibri" w:hAnsi="Arial" w:cs="Arial"/>
          <w:sz w:val="22"/>
          <w:szCs w:val="22"/>
          <w:lang w:val="es-ES"/>
        </w:rPr>
        <w:t xml:space="preserve"> con la composición del conjunto de bienes, la definición es genérica pues no establece ninguna </w:t>
      </w:r>
      <w:r w:rsidR="00A10A36" w:rsidRPr="00A10A36">
        <w:rPr>
          <w:rFonts w:ascii="Arial" w:eastAsia="Calibri" w:hAnsi="Arial" w:cs="Arial"/>
          <w:sz w:val="22"/>
          <w:szCs w:val="22"/>
          <w:lang w:val="es-ES"/>
        </w:rPr>
        <w:t xml:space="preserve">particularidad en relación con la naturaleza de </w:t>
      </w:r>
      <w:proofErr w:type="gramStart"/>
      <w:r w:rsidR="00A10A36" w:rsidRPr="00A10A36">
        <w:rPr>
          <w:rFonts w:ascii="Arial" w:eastAsia="Calibri" w:hAnsi="Arial" w:cs="Arial"/>
          <w:sz w:val="22"/>
          <w:szCs w:val="22"/>
          <w:lang w:val="es-ES"/>
        </w:rPr>
        <w:t>los mismo</w:t>
      </w:r>
      <w:r w:rsidR="009D7375">
        <w:rPr>
          <w:rFonts w:ascii="Arial" w:eastAsia="Calibri" w:hAnsi="Arial" w:cs="Arial"/>
          <w:sz w:val="22"/>
          <w:szCs w:val="22"/>
          <w:lang w:val="es-ES"/>
        </w:rPr>
        <w:t>s</w:t>
      </w:r>
      <w:proofErr w:type="gramEnd"/>
      <w:r w:rsidR="0099590D">
        <w:rPr>
          <w:rFonts w:ascii="Arial" w:eastAsia="Calibri" w:hAnsi="Arial" w:cs="Arial"/>
          <w:sz w:val="22"/>
          <w:szCs w:val="22"/>
          <w:lang w:val="es-ES"/>
        </w:rPr>
        <w:t>.</w:t>
      </w:r>
      <w:r w:rsidR="002F13AC">
        <w:rPr>
          <w:rFonts w:ascii="Arial" w:eastAsia="Calibri" w:hAnsi="Arial" w:cs="Arial"/>
          <w:sz w:val="22"/>
          <w:szCs w:val="22"/>
          <w:lang w:val="es-ES"/>
        </w:rPr>
        <w:t xml:space="preserve"> </w:t>
      </w:r>
      <w:r w:rsidR="0099590D">
        <w:rPr>
          <w:rFonts w:ascii="Arial" w:eastAsia="Calibri" w:hAnsi="Arial" w:cs="Arial"/>
          <w:sz w:val="22"/>
          <w:szCs w:val="22"/>
          <w:lang w:val="es-ES"/>
        </w:rPr>
        <w:t>D</w:t>
      </w:r>
      <w:r w:rsidR="002F13AC">
        <w:rPr>
          <w:rFonts w:ascii="Arial" w:eastAsia="Calibri" w:hAnsi="Arial" w:cs="Arial"/>
          <w:sz w:val="22"/>
          <w:szCs w:val="22"/>
          <w:lang w:val="es-ES"/>
        </w:rPr>
        <w:t xml:space="preserve">e manera que, para efectos </w:t>
      </w:r>
      <w:r w:rsidR="009D7375">
        <w:rPr>
          <w:rFonts w:ascii="Arial" w:eastAsia="Calibri" w:hAnsi="Arial" w:cs="Arial"/>
          <w:sz w:val="22"/>
          <w:szCs w:val="22"/>
          <w:lang w:val="es-ES"/>
        </w:rPr>
        <w:t>del artículo 20 de la Ley 1150 de 2007</w:t>
      </w:r>
      <w:r w:rsidR="002F13AC">
        <w:rPr>
          <w:rFonts w:ascii="Arial" w:eastAsia="Calibri" w:hAnsi="Arial" w:cs="Arial"/>
          <w:sz w:val="22"/>
          <w:szCs w:val="22"/>
          <w:lang w:val="es-ES"/>
        </w:rPr>
        <w:t>,</w:t>
      </w:r>
      <w:r w:rsidR="009D7375">
        <w:rPr>
          <w:rFonts w:ascii="Arial" w:eastAsia="Calibri" w:hAnsi="Arial" w:cs="Arial"/>
          <w:sz w:val="22"/>
          <w:szCs w:val="22"/>
          <w:lang w:val="es-ES"/>
        </w:rPr>
        <w:t xml:space="preserve"> esta Agencia considera que</w:t>
      </w:r>
      <w:r w:rsidR="002F13AC">
        <w:rPr>
          <w:rFonts w:ascii="Arial" w:eastAsia="Calibri" w:hAnsi="Arial" w:cs="Arial"/>
          <w:sz w:val="22"/>
          <w:szCs w:val="22"/>
          <w:lang w:val="es-ES"/>
        </w:rPr>
        <w:t xml:space="preserve"> </w:t>
      </w:r>
      <w:r w:rsidR="00BB0806">
        <w:rPr>
          <w:rFonts w:ascii="Arial" w:eastAsia="Calibri" w:hAnsi="Arial" w:cs="Arial"/>
          <w:sz w:val="22"/>
          <w:szCs w:val="22"/>
          <w:lang w:val="es-ES"/>
        </w:rPr>
        <w:t>los fondos</w:t>
      </w:r>
      <w:r w:rsidR="002F13AC">
        <w:rPr>
          <w:rFonts w:ascii="Arial" w:eastAsia="Calibri" w:hAnsi="Arial" w:cs="Arial"/>
          <w:sz w:val="22"/>
          <w:szCs w:val="22"/>
          <w:lang w:val="es-ES"/>
        </w:rPr>
        <w:t xml:space="preserve"> de organismos</w:t>
      </w:r>
      <w:r w:rsidR="00BB0806">
        <w:rPr>
          <w:rFonts w:ascii="Arial" w:eastAsia="Calibri" w:hAnsi="Arial" w:cs="Arial"/>
          <w:sz w:val="22"/>
          <w:szCs w:val="22"/>
          <w:lang w:val="es-ES"/>
        </w:rPr>
        <w:t xml:space="preserve"> internacionales son </w:t>
      </w:r>
      <w:r w:rsidR="002F13AC">
        <w:rPr>
          <w:rFonts w:ascii="Arial" w:eastAsia="Calibri" w:hAnsi="Arial" w:cs="Arial"/>
          <w:sz w:val="22"/>
          <w:szCs w:val="22"/>
          <w:lang w:val="es-ES"/>
        </w:rPr>
        <w:t xml:space="preserve">el conjunto de bienes </w:t>
      </w:r>
      <w:r w:rsidR="009D7375">
        <w:rPr>
          <w:rFonts w:ascii="Arial" w:eastAsia="Calibri" w:hAnsi="Arial" w:cs="Arial"/>
          <w:sz w:val="22"/>
          <w:szCs w:val="22"/>
          <w:lang w:val="es-ES"/>
        </w:rPr>
        <w:t xml:space="preserve">o recursos </w:t>
      </w:r>
      <w:r w:rsidR="002F13AC">
        <w:rPr>
          <w:rFonts w:ascii="Arial" w:eastAsia="Calibri" w:hAnsi="Arial" w:cs="Arial"/>
          <w:sz w:val="22"/>
          <w:szCs w:val="22"/>
          <w:lang w:val="es-ES"/>
        </w:rPr>
        <w:t>de titularidad de estos organismos.</w:t>
      </w:r>
      <w:bookmarkEnd w:id="14"/>
      <w:r w:rsidR="002F13AC">
        <w:rPr>
          <w:rFonts w:ascii="Arial" w:eastAsia="Calibri" w:hAnsi="Arial" w:cs="Arial"/>
          <w:sz w:val="22"/>
          <w:szCs w:val="22"/>
          <w:lang w:val="es-ES"/>
        </w:rPr>
        <w:t xml:space="preserve"> </w:t>
      </w:r>
      <w:r w:rsidR="00A313E4">
        <w:rPr>
          <w:rFonts w:ascii="Arial" w:eastAsia="Calibri" w:hAnsi="Arial" w:cs="Arial"/>
          <w:sz w:val="22"/>
          <w:szCs w:val="22"/>
          <w:lang w:val="es-ES"/>
        </w:rPr>
        <w:t xml:space="preserve"> </w:t>
      </w:r>
    </w:p>
    <w:p w14:paraId="06239DB0" w14:textId="49CB0C9E" w:rsidR="001158C1" w:rsidRDefault="00333440" w:rsidP="001158C1">
      <w:pPr>
        <w:spacing w:before="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lastRenderedPageBreak/>
        <w:t>Aplicadas</w:t>
      </w:r>
      <w:r w:rsidR="006413F0">
        <w:rPr>
          <w:rFonts w:ascii="Arial" w:eastAsia="Calibri" w:hAnsi="Arial" w:cs="Arial"/>
          <w:sz w:val="22"/>
          <w:szCs w:val="22"/>
          <w:lang w:val="es-ES"/>
        </w:rPr>
        <w:t xml:space="preserve"> </w:t>
      </w:r>
      <w:r>
        <w:rPr>
          <w:rFonts w:ascii="Arial" w:eastAsia="Calibri" w:hAnsi="Arial" w:cs="Arial"/>
          <w:sz w:val="22"/>
          <w:szCs w:val="22"/>
          <w:lang w:val="es-ES"/>
        </w:rPr>
        <w:t>estas precisiones</w:t>
      </w:r>
      <w:r w:rsidR="00817BA8">
        <w:rPr>
          <w:rFonts w:ascii="Arial" w:eastAsia="Calibri" w:hAnsi="Arial" w:cs="Arial"/>
          <w:sz w:val="22"/>
          <w:szCs w:val="22"/>
          <w:lang w:val="es-ES"/>
        </w:rPr>
        <w:t xml:space="preserve"> a</w:t>
      </w:r>
      <w:r w:rsidR="008A191D">
        <w:rPr>
          <w:rFonts w:ascii="Arial" w:eastAsia="Calibri" w:hAnsi="Arial" w:cs="Arial"/>
          <w:sz w:val="22"/>
          <w:szCs w:val="22"/>
          <w:lang w:val="es-ES"/>
        </w:rPr>
        <w:t>l</w:t>
      </w:r>
      <w:r w:rsidR="00A7436E">
        <w:rPr>
          <w:rFonts w:ascii="Arial" w:eastAsia="Calibri" w:hAnsi="Arial" w:cs="Arial"/>
          <w:sz w:val="22"/>
          <w:szCs w:val="22"/>
          <w:lang w:val="es-ES"/>
        </w:rPr>
        <w:t xml:space="preserve"> término </w:t>
      </w:r>
      <w:r w:rsidR="00A7436E" w:rsidRPr="00C02322">
        <w:rPr>
          <w:rFonts w:ascii="Arial" w:eastAsia="Calibri" w:hAnsi="Arial" w:cs="Arial"/>
          <w:sz w:val="22"/>
          <w:szCs w:val="22"/>
          <w:lang w:val="es-ES"/>
        </w:rPr>
        <w:t>«</w:t>
      </w:r>
      <w:r w:rsidR="00A7436E">
        <w:rPr>
          <w:rFonts w:ascii="Arial" w:eastAsia="Calibri" w:hAnsi="Arial" w:cs="Arial"/>
          <w:sz w:val="22"/>
          <w:szCs w:val="22"/>
          <w:lang w:val="es-ES"/>
        </w:rPr>
        <w:t>fondo</w:t>
      </w:r>
      <w:r w:rsidR="009D7375">
        <w:rPr>
          <w:rFonts w:ascii="Arial" w:eastAsia="Calibri" w:hAnsi="Arial" w:cs="Arial"/>
          <w:sz w:val="22"/>
          <w:szCs w:val="22"/>
          <w:lang w:val="es-ES"/>
        </w:rPr>
        <w:t>s</w:t>
      </w:r>
      <w:r w:rsidR="00A7436E" w:rsidRPr="00C02322">
        <w:rPr>
          <w:rFonts w:ascii="Arial" w:eastAsia="Calibri" w:hAnsi="Arial" w:cs="Arial"/>
          <w:sz w:val="22"/>
          <w:szCs w:val="22"/>
          <w:lang w:val="es-ES"/>
        </w:rPr>
        <w:t>»</w:t>
      </w:r>
      <w:r w:rsidR="00A7436E">
        <w:rPr>
          <w:rFonts w:ascii="Arial" w:eastAsia="Calibri" w:hAnsi="Arial" w:cs="Arial"/>
          <w:sz w:val="22"/>
          <w:szCs w:val="22"/>
          <w:lang w:val="es-ES"/>
        </w:rPr>
        <w:t xml:space="preserve"> </w:t>
      </w:r>
      <w:r w:rsidR="009D7375">
        <w:rPr>
          <w:rFonts w:ascii="Arial" w:eastAsia="Calibri" w:hAnsi="Arial" w:cs="Arial"/>
          <w:sz w:val="22"/>
          <w:szCs w:val="22"/>
          <w:lang w:val="es-ES"/>
        </w:rPr>
        <w:t>utilizado</w:t>
      </w:r>
      <w:r w:rsidR="00A7436E">
        <w:rPr>
          <w:rFonts w:ascii="Arial" w:eastAsia="Calibri" w:hAnsi="Arial" w:cs="Arial"/>
          <w:sz w:val="22"/>
          <w:szCs w:val="22"/>
          <w:lang w:val="es-ES"/>
        </w:rPr>
        <w:t xml:space="preserve"> en</w:t>
      </w:r>
      <w:r w:rsidR="008A191D">
        <w:rPr>
          <w:rFonts w:ascii="Arial" w:eastAsia="Calibri" w:hAnsi="Arial" w:cs="Arial"/>
          <w:sz w:val="22"/>
          <w:szCs w:val="22"/>
          <w:lang w:val="es-ES"/>
        </w:rPr>
        <w:t xml:space="preserve"> </w:t>
      </w:r>
      <w:r w:rsidR="009C314C">
        <w:rPr>
          <w:rFonts w:ascii="Arial" w:eastAsia="Calibri" w:hAnsi="Arial" w:cs="Arial"/>
          <w:sz w:val="22"/>
          <w:szCs w:val="22"/>
          <w:lang w:val="es-ES"/>
        </w:rPr>
        <w:t xml:space="preserve">el </w:t>
      </w:r>
      <w:r w:rsidR="008A191D">
        <w:rPr>
          <w:rFonts w:ascii="Arial" w:eastAsia="Calibri" w:hAnsi="Arial" w:cs="Arial"/>
          <w:sz w:val="22"/>
          <w:szCs w:val="22"/>
          <w:lang w:val="es-ES"/>
        </w:rPr>
        <w:t xml:space="preserve">artículo 20 de la Ley 1150 de 2007 y el artículo </w:t>
      </w:r>
      <w:r w:rsidR="008A191D" w:rsidRPr="00C02322">
        <w:rPr>
          <w:rFonts w:ascii="Arial" w:hAnsi="Arial" w:cs="Arial"/>
          <w:sz w:val="22"/>
          <w:szCs w:val="22"/>
          <w:lang w:eastAsia="es-CO"/>
        </w:rPr>
        <w:t>2.2.1.2.4.4.1. del Decreto 1082 de 2015</w:t>
      </w:r>
      <w:r>
        <w:rPr>
          <w:rFonts w:ascii="Arial" w:hAnsi="Arial" w:cs="Arial"/>
          <w:sz w:val="22"/>
          <w:szCs w:val="22"/>
          <w:lang w:eastAsia="es-CO"/>
        </w:rPr>
        <w:t xml:space="preserve">, </w:t>
      </w:r>
      <w:r w:rsidR="006413F0">
        <w:rPr>
          <w:rFonts w:ascii="Arial" w:eastAsia="Calibri" w:hAnsi="Arial" w:cs="Arial"/>
          <w:sz w:val="22"/>
          <w:szCs w:val="22"/>
          <w:lang w:val="es-ES"/>
        </w:rPr>
        <w:t xml:space="preserve">surge </w:t>
      </w:r>
      <w:r w:rsidR="006A6BDD">
        <w:rPr>
          <w:rFonts w:ascii="Arial" w:eastAsia="Calibri" w:hAnsi="Arial" w:cs="Arial"/>
          <w:sz w:val="22"/>
          <w:szCs w:val="22"/>
          <w:lang w:val="es-ES"/>
        </w:rPr>
        <w:t xml:space="preserve">el interrogante </w:t>
      </w:r>
      <w:r w:rsidR="00E34119">
        <w:rPr>
          <w:rFonts w:ascii="Arial" w:eastAsia="Calibri" w:hAnsi="Arial" w:cs="Arial"/>
          <w:sz w:val="22"/>
          <w:szCs w:val="22"/>
          <w:lang w:val="es-ES"/>
        </w:rPr>
        <w:t>del tipo de</w:t>
      </w:r>
      <w:r w:rsidR="006A6BDD">
        <w:rPr>
          <w:rFonts w:ascii="Arial" w:eastAsia="Calibri" w:hAnsi="Arial" w:cs="Arial"/>
          <w:sz w:val="22"/>
          <w:szCs w:val="22"/>
          <w:lang w:val="es-ES"/>
        </w:rPr>
        <w:t xml:space="preserve"> bienes </w:t>
      </w:r>
      <w:r w:rsidR="00E34119">
        <w:rPr>
          <w:rFonts w:ascii="Arial" w:eastAsia="Calibri" w:hAnsi="Arial" w:cs="Arial"/>
          <w:sz w:val="22"/>
          <w:szCs w:val="22"/>
          <w:lang w:val="es-ES"/>
        </w:rPr>
        <w:t xml:space="preserve">que, conforme con lo preceptuado en estas disposiciones, componen la universalidad de bienes que </w:t>
      </w:r>
      <w:r w:rsidR="00A130E5">
        <w:rPr>
          <w:rFonts w:ascii="Arial" w:eastAsia="Calibri" w:hAnsi="Arial" w:cs="Arial"/>
          <w:sz w:val="22"/>
          <w:szCs w:val="22"/>
          <w:lang w:val="es-ES"/>
        </w:rPr>
        <w:t xml:space="preserve">conforman dicho caudal. </w:t>
      </w:r>
      <w:r w:rsidR="009D7375">
        <w:rPr>
          <w:rFonts w:ascii="Arial" w:eastAsia="Calibri" w:hAnsi="Arial" w:cs="Arial"/>
          <w:sz w:val="22"/>
          <w:szCs w:val="22"/>
          <w:lang w:val="es-ES"/>
        </w:rPr>
        <w:t>Al</w:t>
      </w:r>
      <w:r w:rsidR="00A130E5">
        <w:rPr>
          <w:rFonts w:ascii="Arial" w:eastAsia="Calibri" w:hAnsi="Arial" w:cs="Arial"/>
          <w:sz w:val="22"/>
          <w:szCs w:val="22"/>
          <w:lang w:val="es-ES"/>
        </w:rPr>
        <w:t xml:space="preserve"> respecto </w:t>
      </w:r>
      <w:r w:rsidR="00990CB7">
        <w:rPr>
          <w:rFonts w:ascii="Arial" w:eastAsia="Calibri" w:hAnsi="Arial" w:cs="Arial"/>
          <w:sz w:val="22"/>
          <w:szCs w:val="22"/>
          <w:lang w:val="es-ES"/>
        </w:rPr>
        <w:t>es importante enfatizar en que</w:t>
      </w:r>
      <w:r w:rsidR="009D45F3">
        <w:rPr>
          <w:rFonts w:ascii="Arial" w:eastAsia="Calibri" w:hAnsi="Arial" w:cs="Arial"/>
          <w:sz w:val="22"/>
          <w:szCs w:val="22"/>
          <w:lang w:val="es-ES"/>
        </w:rPr>
        <w:t xml:space="preserve"> estas normas no determinan </w:t>
      </w:r>
      <w:r w:rsidR="009D7375">
        <w:rPr>
          <w:rFonts w:ascii="Arial" w:eastAsia="Calibri" w:hAnsi="Arial" w:cs="Arial"/>
          <w:sz w:val="22"/>
          <w:szCs w:val="22"/>
          <w:lang w:val="es-ES"/>
        </w:rPr>
        <w:t xml:space="preserve">con alto grado de precisión </w:t>
      </w:r>
      <w:r w:rsidR="00F40582">
        <w:rPr>
          <w:rFonts w:ascii="Arial" w:eastAsia="Calibri" w:hAnsi="Arial" w:cs="Arial"/>
          <w:sz w:val="22"/>
          <w:szCs w:val="22"/>
          <w:lang w:val="es-ES"/>
        </w:rPr>
        <w:t xml:space="preserve">la naturaleza de los bienes que componen los fondos, por lo cual, admiten dos interpretaciones, la primera, que se conforman por sumas dinerarias únicamente, y una segunda, que además de </w:t>
      </w:r>
      <w:r w:rsidR="001158C1">
        <w:rPr>
          <w:rFonts w:ascii="Arial" w:eastAsia="Calibri" w:hAnsi="Arial" w:cs="Arial"/>
          <w:sz w:val="22"/>
          <w:szCs w:val="22"/>
          <w:lang w:val="es-ES"/>
        </w:rPr>
        <w:t>sumas l</w:t>
      </w:r>
      <w:r w:rsidR="00682C13">
        <w:rPr>
          <w:rFonts w:ascii="Arial" w:eastAsia="Calibri" w:hAnsi="Arial" w:cs="Arial"/>
          <w:sz w:val="22"/>
          <w:szCs w:val="22"/>
          <w:lang w:val="es-ES"/>
        </w:rPr>
        <w:t>í</w:t>
      </w:r>
      <w:r w:rsidR="001158C1">
        <w:rPr>
          <w:rFonts w:ascii="Arial" w:eastAsia="Calibri" w:hAnsi="Arial" w:cs="Arial"/>
          <w:sz w:val="22"/>
          <w:szCs w:val="22"/>
          <w:lang w:val="es-ES"/>
        </w:rPr>
        <w:t xml:space="preserve">quidas de dinero </w:t>
      </w:r>
      <w:r w:rsidR="00026260">
        <w:rPr>
          <w:rFonts w:ascii="Arial" w:eastAsia="Calibri" w:hAnsi="Arial" w:cs="Arial"/>
          <w:sz w:val="22"/>
          <w:szCs w:val="22"/>
          <w:lang w:val="es-ES"/>
        </w:rPr>
        <w:t>también incluyen</w:t>
      </w:r>
      <w:r w:rsidR="001158C1">
        <w:rPr>
          <w:rFonts w:ascii="Arial" w:eastAsia="Calibri" w:hAnsi="Arial" w:cs="Arial"/>
          <w:sz w:val="22"/>
          <w:szCs w:val="22"/>
          <w:lang w:val="es-ES"/>
        </w:rPr>
        <w:t xml:space="preserve"> aportes en especie.</w:t>
      </w:r>
    </w:p>
    <w:p w14:paraId="1B287AEE" w14:textId="611DDC51" w:rsidR="005135D4" w:rsidRPr="00927045" w:rsidRDefault="00A10A36" w:rsidP="00927045">
      <w:pPr>
        <w:spacing w:before="120" w:line="276" w:lineRule="auto"/>
        <w:ind w:firstLine="709"/>
        <w:jc w:val="both"/>
        <w:rPr>
          <w:rFonts w:ascii="Arial" w:hAnsi="Arial" w:cs="Arial"/>
          <w:sz w:val="22"/>
          <w:szCs w:val="22"/>
          <w:lang w:eastAsia="es-CO"/>
        </w:rPr>
      </w:pPr>
      <w:r>
        <w:rPr>
          <w:rFonts w:ascii="Arial" w:hAnsi="Arial" w:cs="Arial"/>
          <w:sz w:val="22"/>
          <w:szCs w:val="22"/>
          <w:lang w:eastAsia="es-CO"/>
        </w:rPr>
        <w:t>La</w:t>
      </w:r>
      <w:r w:rsidR="00A64B6E" w:rsidRPr="00C02322">
        <w:rPr>
          <w:rFonts w:ascii="Arial" w:hAnsi="Arial" w:cs="Arial"/>
          <w:sz w:val="22"/>
          <w:szCs w:val="22"/>
          <w:lang w:eastAsia="es-CO"/>
        </w:rPr>
        <w:t xml:space="preserve"> Agencia Nacional de Contratación Pública – Colombia Compra Eficiente</w:t>
      </w:r>
      <w:r>
        <w:rPr>
          <w:rFonts w:ascii="Arial" w:hAnsi="Arial" w:cs="Arial"/>
          <w:sz w:val="22"/>
          <w:szCs w:val="22"/>
          <w:lang w:eastAsia="es-CO"/>
        </w:rPr>
        <w:t xml:space="preserve">, dada la dualidad de interpretaciones señaladas precedentemente, </w:t>
      </w:r>
      <w:r w:rsidR="00682C13">
        <w:rPr>
          <w:rFonts w:ascii="Arial" w:hAnsi="Arial" w:cs="Arial"/>
          <w:sz w:val="22"/>
          <w:szCs w:val="22"/>
          <w:lang w:eastAsia="es-CO"/>
        </w:rPr>
        <w:t xml:space="preserve">considera más adecuada </w:t>
      </w:r>
      <w:r>
        <w:rPr>
          <w:rFonts w:ascii="Arial" w:hAnsi="Arial" w:cs="Arial"/>
          <w:sz w:val="22"/>
          <w:szCs w:val="22"/>
          <w:lang w:eastAsia="es-CO"/>
        </w:rPr>
        <w:t xml:space="preserve">la tesis </w:t>
      </w:r>
      <w:r w:rsidR="00F537D9">
        <w:rPr>
          <w:rFonts w:ascii="Arial" w:hAnsi="Arial" w:cs="Arial"/>
          <w:sz w:val="22"/>
          <w:szCs w:val="22"/>
          <w:lang w:eastAsia="es-CO"/>
        </w:rPr>
        <w:t>según la cual</w:t>
      </w:r>
      <w:r>
        <w:rPr>
          <w:rFonts w:ascii="Arial" w:hAnsi="Arial" w:cs="Arial"/>
          <w:sz w:val="22"/>
          <w:szCs w:val="22"/>
          <w:lang w:eastAsia="es-CO"/>
        </w:rPr>
        <w:t xml:space="preserve"> es admisible que </w:t>
      </w:r>
      <w:r w:rsidR="00A64B6E" w:rsidRPr="00C02322">
        <w:rPr>
          <w:rFonts w:ascii="Arial" w:hAnsi="Arial" w:cs="Arial"/>
          <w:sz w:val="22"/>
          <w:szCs w:val="22"/>
          <w:lang w:eastAsia="es-CO"/>
        </w:rPr>
        <w:t>los</w:t>
      </w:r>
      <w:r>
        <w:rPr>
          <w:rFonts w:ascii="Arial" w:hAnsi="Arial" w:cs="Arial"/>
          <w:sz w:val="22"/>
          <w:szCs w:val="22"/>
          <w:lang w:eastAsia="es-CO"/>
        </w:rPr>
        <w:t xml:space="preserve"> </w:t>
      </w:r>
      <w:r w:rsidR="007F28FE">
        <w:rPr>
          <w:rFonts w:ascii="Arial" w:hAnsi="Arial" w:cs="Arial"/>
          <w:sz w:val="22"/>
          <w:szCs w:val="22"/>
          <w:lang w:eastAsia="es-CO"/>
        </w:rPr>
        <w:t>aportes</w:t>
      </w:r>
      <w:r>
        <w:rPr>
          <w:rFonts w:ascii="Arial" w:hAnsi="Arial" w:cs="Arial"/>
          <w:sz w:val="22"/>
          <w:szCs w:val="22"/>
          <w:lang w:eastAsia="es-CO"/>
        </w:rPr>
        <w:t xml:space="preserve"> con que se financien los convenios o contratos </w:t>
      </w:r>
      <w:r w:rsidR="00026260">
        <w:rPr>
          <w:rFonts w:ascii="Arial" w:hAnsi="Arial" w:cs="Arial"/>
          <w:sz w:val="22"/>
          <w:szCs w:val="22"/>
          <w:lang w:eastAsia="es-CO"/>
        </w:rPr>
        <w:t xml:space="preserve">con fondos de </w:t>
      </w:r>
      <w:r>
        <w:rPr>
          <w:rFonts w:ascii="Arial" w:hAnsi="Arial" w:cs="Arial"/>
          <w:sz w:val="22"/>
          <w:szCs w:val="22"/>
          <w:lang w:eastAsia="es-CO"/>
        </w:rPr>
        <w:t xml:space="preserve">organismos internacionales </w:t>
      </w:r>
      <w:r w:rsidR="00A64B6E" w:rsidRPr="00C02322">
        <w:rPr>
          <w:rFonts w:ascii="Arial" w:hAnsi="Arial" w:cs="Arial"/>
          <w:sz w:val="22"/>
          <w:szCs w:val="22"/>
          <w:lang w:eastAsia="es-CO"/>
        </w:rPr>
        <w:t xml:space="preserve">de que trata el artículo 20 de la Ley 1150 de 2007 y el </w:t>
      </w:r>
      <w:r w:rsidR="00A64B6E" w:rsidRPr="00C02322">
        <w:rPr>
          <w:rFonts w:ascii="Arial" w:eastAsia="Calibri" w:hAnsi="Arial" w:cs="Arial"/>
          <w:sz w:val="22"/>
          <w:szCs w:val="22"/>
          <w:lang w:val="es-ES"/>
        </w:rPr>
        <w:t xml:space="preserve">artículo </w:t>
      </w:r>
      <w:r w:rsidR="00A64B6E" w:rsidRPr="00C02322">
        <w:rPr>
          <w:rFonts w:ascii="Arial" w:hAnsi="Arial" w:cs="Arial"/>
          <w:sz w:val="22"/>
          <w:szCs w:val="22"/>
          <w:lang w:eastAsia="es-CO"/>
        </w:rPr>
        <w:t xml:space="preserve">2.2.1.2.4.4.1. del Decreto 1082 de 2015 se </w:t>
      </w:r>
      <w:r w:rsidR="007F28FE">
        <w:rPr>
          <w:rFonts w:ascii="Arial" w:hAnsi="Arial" w:cs="Arial"/>
          <w:sz w:val="22"/>
          <w:szCs w:val="22"/>
          <w:lang w:eastAsia="es-CO"/>
        </w:rPr>
        <w:t xml:space="preserve">hagan en sumas de dinero o </w:t>
      </w:r>
      <w:r w:rsidR="00A64B6E" w:rsidRPr="00C02322">
        <w:rPr>
          <w:rFonts w:ascii="Arial" w:hAnsi="Arial" w:cs="Arial"/>
          <w:sz w:val="22"/>
          <w:szCs w:val="22"/>
          <w:lang w:eastAsia="es-CO"/>
        </w:rPr>
        <w:t>en especie</w:t>
      </w:r>
      <w:r w:rsidR="00927045">
        <w:rPr>
          <w:rFonts w:ascii="Arial" w:hAnsi="Arial" w:cs="Arial"/>
          <w:sz w:val="22"/>
          <w:szCs w:val="22"/>
          <w:lang w:eastAsia="es-CO"/>
        </w:rPr>
        <w:t xml:space="preserve">. Lo anterior </w:t>
      </w:r>
      <w:r w:rsidR="00DE4978" w:rsidRPr="00C02322">
        <w:rPr>
          <w:rFonts w:ascii="Arial" w:hAnsi="Arial" w:cs="Arial"/>
          <w:sz w:val="22"/>
          <w:szCs w:val="22"/>
          <w:lang w:eastAsia="es-CO"/>
        </w:rPr>
        <w:t xml:space="preserve">porque, en primer lugar, el parágrafo 3 del artículo 20 de la Ley 1150 de 2007 </w:t>
      </w:r>
      <w:r w:rsidR="003A5AD8" w:rsidRPr="00C02322">
        <w:rPr>
          <w:rFonts w:ascii="Arial" w:hAnsi="Arial" w:cs="Arial"/>
          <w:sz w:val="22"/>
          <w:szCs w:val="22"/>
          <w:lang w:eastAsia="es-CO"/>
        </w:rPr>
        <w:t xml:space="preserve">señala que </w:t>
      </w:r>
      <w:r w:rsidR="003A5AD8" w:rsidRPr="00C02322">
        <w:rPr>
          <w:rFonts w:ascii="Arial" w:eastAsia="Calibri" w:hAnsi="Arial" w:cs="Arial"/>
          <w:sz w:val="22"/>
          <w:szCs w:val="22"/>
          <w:lang w:val="es-ES"/>
        </w:rPr>
        <w:t>«</w:t>
      </w:r>
      <w:r w:rsidR="00014BF4" w:rsidRPr="00C02322">
        <w:rPr>
          <w:rFonts w:ascii="Arial" w:eastAsia="Calibri" w:hAnsi="Arial" w:cs="Arial"/>
          <w:sz w:val="22"/>
          <w:szCs w:val="22"/>
          <w:lang w:val="es-ES"/>
        </w:rPr>
        <w:t xml:space="preserve">en todo proyecto de cooperación que involucre </w:t>
      </w:r>
      <w:r w:rsidR="006542D9" w:rsidRPr="00C02322">
        <w:rPr>
          <w:rFonts w:ascii="Arial" w:eastAsia="Calibri" w:hAnsi="Arial" w:cs="Arial"/>
          <w:sz w:val="22"/>
          <w:szCs w:val="22"/>
          <w:lang w:val="es-ES"/>
        </w:rPr>
        <w:t xml:space="preserve">recursos estatales se deberán cuantificar en moneda nacional, los aportes en especie de la entidad, organización o persona cooperante, así como los </w:t>
      </w:r>
      <w:r w:rsidR="00832706" w:rsidRPr="00C02322">
        <w:rPr>
          <w:rFonts w:ascii="Arial" w:eastAsia="Calibri" w:hAnsi="Arial" w:cs="Arial"/>
          <w:sz w:val="22"/>
          <w:szCs w:val="22"/>
          <w:lang w:val="es-ES"/>
        </w:rPr>
        <w:t>del ente nacional colombiano</w:t>
      </w:r>
      <w:r w:rsidR="00682C13">
        <w:rPr>
          <w:rFonts w:ascii="Arial" w:eastAsia="Calibri" w:hAnsi="Arial" w:cs="Arial"/>
          <w:sz w:val="22"/>
          <w:szCs w:val="22"/>
          <w:lang w:val="es-ES"/>
        </w:rPr>
        <w:t xml:space="preserve"> </w:t>
      </w:r>
      <w:r w:rsidR="00832706" w:rsidRPr="00C02322">
        <w:rPr>
          <w:rFonts w:ascii="Arial" w:eastAsia="Calibri" w:hAnsi="Arial" w:cs="Arial"/>
          <w:sz w:val="22"/>
          <w:szCs w:val="22"/>
          <w:lang w:val="es-ES"/>
        </w:rPr>
        <w:t>[…]</w:t>
      </w:r>
      <w:r w:rsidR="003A5AD8" w:rsidRPr="00C02322">
        <w:rPr>
          <w:rFonts w:ascii="Arial" w:eastAsia="Calibri" w:hAnsi="Arial" w:cs="Arial"/>
          <w:sz w:val="22"/>
          <w:szCs w:val="22"/>
          <w:lang w:val="es-ES"/>
        </w:rPr>
        <w:t>»</w:t>
      </w:r>
      <w:r w:rsidR="00832706" w:rsidRPr="00C02322">
        <w:rPr>
          <w:rFonts w:ascii="Arial" w:eastAsia="Calibri" w:hAnsi="Arial" w:cs="Arial"/>
          <w:sz w:val="22"/>
          <w:szCs w:val="22"/>
          <w:lang w:val="es-ES"/>
        </w:rPr>
        <w:t xml:space="preserve">. De </w:t>
      </w:r>
      <w:r w:rsidR="00682C13">
        <w:rPr>
          <w:rFonts w:ascii="Arial" w:eastAsia="Calibri" w:hAnsi="Arial" w:cs="Arial"/>
          <w:sz w:val="22"/>
          <w:szCs w:val="22"/>
          <w:lang w:val="es-ES"/>
        </w:rPr>
        <w:t xml:space="preserve">lo cual </w:t>
      </w:r>
      <w:r w:rsidR="00832706" w:rsidRPr="00C02322">
        <w:rPr>
          <w:rFonts w:ascii="Arial" w:eastAsia="Calibri" w:hAnsi="Arial" w:cs="Arial"/>
          <w:sz w:val="22"/>
          <w:szCs w:val="22"/>
          <w:lang w:val="es-ES"/>
        </w:rPr>
        <w:t xml:space="preserve">se infiere que </w:t>
      </w:r>
      <w:r w:rsidR="00C40C98" w:rsidRPr="00C02322">
        <w:rPr>
          <w:rFonts w:ascii="Arial" w:eastAsia="Calibri" w:hAnsi="Arial" w:cs="Arial"/>
          <w:sz w:val="22"/>
          <w:szCs w:val="22"/>
          <w:lang w:val="es-ES"/>
        </w:rPr>
        <w:t>los organismos internacionales pueden realizar aportes en especie, dado que la norma estableció el deber de cuantificarlos en moneda nacional</w:t>
      </w:r>
      <w:r w:rsidR="00682C13">
        <w:rPr>
          <w:rFonts w:ascii="Arial" w:eastAsia="Calibri" w:hAnsi="Arial" w:cs="Arial"/>
          <w:sz w:val="22"/>
          <w:szCs w:val="22"/>
          <w:lang w:val="es-ES"/>
        </w:rPr>
        <w:t xml:space="preserve">, lo que además facilita definir el monto </w:t>
      </w:r>
      <w:r w:rsidR="002A65C1">
        <w:rPr>
          <w:rFonts w:ascii="Arial" w:eastAsia="Calibri" w:hAnsi="Arial" w:cs="Arial"/>
          <w:sz w:val="22"/>
          <w:szCs w:val="22"/>
          <w:lang w:val="es-ES"/>
        </w:rPr>
        <w:t>de los aportes.</w:t>
      </w:r>
    </w:p>
    <w:p w14:paraId="64B238A0" w14:textId="0F9439D6" w:rsidR="005135D4" w:rsidRPr="00C02322" w:rsidRDefault="005F7168" w:rsidP="005135D4">
      <w:pPr>
        <w:spacing w:before="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Además de lo anterior</w:t>
      </w:r>
      <w:r w:rsidR="00DB65AA" w:rsidRPr="00C02322">
        <w:rPr>
          <w:rFonts w:ascii="Arial" w:eastAsia="Calibri" w:hAnsi="Arial" w:cs="Arial"/>
          <w:sz w:val="22"/>
          <w:szCs w:val="22"/>
          <w:lang w:val="es-ES"/>
        </w:rPr>
        <w:t>, la doctrina ha prohijado esta tesis</w:t>
      </w:r>
      <w:r w:rsidR="002A65C1">
        <w:rPr>
          <w:rFonts w:ascii="Arial" w:eastAsia="Calibri" w:hAnsi="Arial" w:cs="Arial"/>
          <w:sz w:val="22"/>
          <w:szCs w:val="22"/>
          <w:lang w:val="es-ES"/>
        </w:rPr>
        <w:t>,</w:t>
      </w:r>
      <w:r w:rsidR="00DB65AA" w:rsidRPr="00C02322">
        <w:rPr>
          <w:rFonts w:ascii="Arial" w:eastAsia="Calibri" w:hAnsi="Arial" w:cs="Arial"/>
          <w:sz w:val="22"/>
          <w:szCs w:val="22"/>
          <w:lang w:val="es-ES"/>
        </w:rPr>
        <w:t xml:space="preserve"> puesto que, a pesar de que no se define el alcance del término </w:t>
      </w:r>
      <w:r w:rsidR="002A65C1">
        <w:rPr>
          <w:rFonts w:ascii="Arial" w:eastAsia="Calibri" w:hAnsi="Arial" w:cs="Arial"/>
          <w:sz w:val="22"/>
          <w:szCs w:val="22"/>
          <w:lang w:val="es-ES"/>
        </w:rPr>
        <w:t>«fondo»</w:t>
      </w:r>
      <w:r w:rsidR="00DB65AA" w:rsidRPr="00C02322">
        <w:rPr>
          <w:rFonts w:ascii="Arial" w:eastAsia="Calibri" w:hAnsi="Arial" w:cs="Arial"/>
          <w:sz w:val="22"/>
          <w:szCs w:val="22"/>
          <w:lang w:val="es-ES"/>
        </w:rPr>
        <w:t>,</w:t>
      </w:r>
      <w:r w:rsidR="0088067B" w:rsidRPr="00C02322">
        <w:rPr>
          <w:rFonts w:ascii="Arial" w:eastAsia="Calibri" w:hAnsi="Arial" w:cs="Arial"/>
          <w:sz w:val="22"/>
          <w:szCs w:val="22"/>
          <w:lang w:val="es-ES"/>
        </w:rPr>
        <w:t xml:space="preserve"> es clara en establecer que los aportes pueden ser en </w:t>
      </w:r>
      <w:r w:rsidR="007045BB" w:rsidRPr="00C02322">
        <w:rPr>
          <w:rFonts w:ascii="Arial" w:eastAsia="Calibri" w:hAnsi="Arial" w:cs="Arial"/>
          <w:sz w:val="22"/>
          <w:szCs w:val="22"/>
          <w:lang w:val="es-ES"/>
        </w:rPr>
        <w:t xml:space="preserve">sumas de dinero o en especie, y en este último caso se debe </w:t>
      </w:r>
      <w:r w:rsidR="00B258F6" w:rsidRPr="00C02322">
        <w:rPr>
          <w:rFonts w:ascii="Arial" w:eastAsia="Calibri" w:hAnsi="Arial" w:cs="Arial"/>
          <w:sz w:val="22"/>
          <w:szCs w:val="22"/>
          <w:lang w:val="es-ES"/>
        </w:rPr>
        <w:t>cuantificar el valor de los aportes en especie en moneda colombiana</w:t>
      </w:r>
      <w:r w:rsidR="00682C13">
        <w:rPr>
          <w:rFonts w:ascii="Arial" w:eastAsia="Calibri" w:hAnsi="Arial" w:cs="Arial"/>
          <w:sz w:val="22"/>
          <w:szCs w:val="22"/>
          <w:lang w:val="es-ES"/>
        </w:rPr>
        <w:t>.</w:t>
      </w:r>
      <w:r w:rsidR="00B258F6" w:rsidRPr="00C02322">
        <w:rPr>
          <w:rFonts w:ascii="Arial" w:eastAsia="Calibri" w:hAnsi="Arial" w:cs="Arial"/>
          <w:sz w:val="22"/>
          <w:szCs w:val="22"/>
          <w:lang w:val="es-ES"/>
        </w:rPr>
        <w:t xml:space="preserve"> </w:t>
      </w:r>
      <w:r w:rsidR="00682C13">
        <w:rPr>
          <w:rFonts w:ascii="Arial" w:eastAsia="Calibri" w:hAnsi="Arial" w:cs="Arial"/>
          <w:sz w:val="22"/>
          <w:szCs w:val="22"/>
          <w:lang w:val="es-ES"/>
        </w:rPr>
        <w:t>P</w:t>
      </w:r>
      <w:r w:rsidR="008279DF" w:rsidRPr="00C02322">
        <w:rPr>
          <w:rFonts w:ascii="Arial" w:eastAsia="Calibri" w:hAnsi="Arial" w:cs="Arial"/>
          <w:sz w:val="22"/>
          <w:szCs w:val="22"/>
          <w:lang w:val="es-ES"/>
        </w:rPr>
        <w:t xml:space="preserve">untualmente se </w:t>
      </w:r>
      <w:r w:rsidR="00682C13">
        <w:rPr>
          <w:rFonts w:ascii="Arial" w:eastAsia="Calibri" w:hAnsi="Arial" w:cs="Arial"/>
          <w:sz w:val="22"/>
          <w:szCs w:val="22"/>
          <w:lang w:val="es-ES"/>
        </w:rPr>
        <w:t>señaló</w:t>
      </w:r>
      <w:r w:rsidR="008279DF" w:rsidRPr="00C02322">
        <w:rPr>
          <w:rFonts w:ascii="Arial" w:eastAsia="Calibri" w:hAnsi="Arial" w:cs="Arial"/>
          <w:sz w:val="22"/>
          <w:szCs w:val="22"/>
          <w:lang w:val="es-ES"/>
        </w:rPr>
        <w:t xml:space="preserve">: </w:t>
      </w:r>
    </w:p>
    <w:p w14:paraId="226F599B" w14:textId="57C7B9DB" w:rsidR="008279DF" w:rsidRDefault="008279DF" w:rsidP="00927045">
      <w:pPr>
        <w:spacing w:before="120"/>
        <w:ind w:left="709" w:right="709"/>
        <w:jc w:val="both"/>
        <w:rPr>
          <w:rFonts w:ascii="Arial" w:eastAsia="Calibri" w:hAnsi="Arial" w:cs="Arial"/>
          <w:b/>
          <w:bCs/>
          <w:sz w:val="21"/>
          <w:szCs w:val="21"/>
          <w:lang w:val="es-ES"/>
        </w:rPr>
      </w:pPr>
      <w:bookmarkStart w:id="16" w:name="_Hlk109121449"/>
      <w:r w:rsidRPr="00C02322">
        <w:rPr>
          <w:rFonts w:ascii="Arial" w:eastAsia="Calibri" w:hAnsi="Arial" w:cs="Arial"/>
          <w:sz w:val="21"/>
          <w:szCs w:val="21"/>
          <w:lang w:val="es-ES"/>
        </w:rPr>
        <w:t xml:space="preserve">La modificación insertada es muy clara en el sentido de que se admite contratar con organismos de cooperación, asistencia o ayudas internacionales de manera directa para que se ejecute un contrato no sometido a la Ley 80 sino a sus reglamentos internos, si y solo sí los recursos provenientes para su </w:t>
      </w:r>
      <w:proofErr w:type="gramStart"/>
      <w:r w:rsidRPr="00C02322">
        <w:rPr>
          <w:rFonts w:ascii="Arial" w:eastAsia="Calibri" w:hAnsi="Arial" w:cs="Arial"/>
          <w:sz w:val="21"/>
          <w:szCs w:val="21"/>
          <w:lang w:val="es-ES"/>
        </w:rPr>
        <w:t>pago,</w:t>
      </w:r>
      <w:proofErr w:type="gramEnd"/>
      <w:r w:rsidRPr="00C02322">
        <w:rPr>
          <w:rFonts w:ascii="Arial" w:eastAsia="Calibri" w:hAnsi="Arial" w:cs="Arial"/>
          <w:sz w:val="21"/>
          <w:szCs w:val="21"/>
          <w:lang w:val="es-ES"/>
        </w:rPr>
        <w:t xml:space="preserve"> sean del prop</w:t>
      </w:r>
      <w:r w:rsidR="0026007E" w:rsidRPr="00C02322">
        <w:rPr>
          <w:rFonts w:ascii="Arial" w:eastAsia="Calibri" w:hAnsi="Arial" w:cs="Arial"/>
          <w:sz w:val="21"/>
          <w:szCs w:val="21"/>
          <w:lang w:val="es-ES"/>
        </w:rPr>
        <w:t xml:space="preserve">io organismo en por lo menos más del 50% de su valor. </w:t>
      </w:r>
      <w:r w:rsidR="0026007E" w:rsidRPr="00D875E0">
        <w:rPr>
          <w:rFonts w:ascii="Arial" w:eastAsia="Calibri" w:hAnsi="Arial" w:cs="Arial"/>
          <w:i/>
          <w:iCs/>
          <w:sz w:val="21"/>
          <w:szCs w:val="21"/>
          <w:lang w:val="es-ES"/>
        </w:rPr>
        <w:t>Con tal fin, se deben cuantificar en moneda colombiana incluso los aportes que se hagan en especie</w:t>
      </w:r>
      <w:bookmarkEnd w:id="16"/>
      <w:r w:rsidR="002C7EB2" w:rsidRPr="00D875E0">
        <w:rPr>
          <w:rStyle w:val="Refdenotaalpie"/>
          <w:rFonts w:ascii="Arial" w:eastAsia="Calibri" w:hAnsi="Arial" w:cs="Arial"/>
          <w:sz w:val="21"/>
          <w:szCs w:val="21"/>
          <w:lang w:val="es-ES"/>
        </w:rPr>
        <w:footnoteReference w:id="9"/>
      </w:r>
      <w:r w:rsidR="0026007E" w:rsidRPr="00D875E0">
        <w:rPr>
          <w:rFonts w:ascii="Arial" w:eastAsia="Calibri" w:hAnsi="Arial" w:cs="Arial"/>
          <w:sz w:val="21"/>
          <w:szCs w:val="21"/>
          <w:lang w:val="es-ES"/>
        </w:rPr>
        <w:t>.</w:t>
      </w:r>
    </w:p>
    <w:p w14:paraId="2431DCE1" w14:textId="77777777" w:rsidR="00927045" w:rsidRPr="00C02322" w:rsidRDefault="00927045" w:rsidP="00D875E0">
      <w:pPr>
        <w:ind w:left="709" w:right="709"/>
        <w:jc w:val="both"/>
        <w:rPr>
          <w:rFonts w:ascii="Arial" w:eastAsia="Calibri" w:hAnsi="Arial" w:cs="Arial"/>
          <w:b/>
          <w:bCs/>
          <w:sz w:val="21"/>
          <w:szCs w:val="21"/>
          <w:lang w:val="es-ES"/>
        </w:rPr>
      </w:pPr>
    </w:p>
    <w:p w14:paraId="15C2F082" w14:textId="29545440" w:rsidR="00FF6D84" w:rsidRPr="00C02322" w:rsidRDefault="0039086A" w:rsidP="00D875E0">
      <w:pPr>
        <w:spacing w:after="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En este sentido,</w:t>
      </w:r>
      <w:r w:rsidR="00185950" w:rsidRPr="00C02322">
        <w:rPr>
          <w:rFonts w:ascii="Arial" w:eastAsia="Calibri" w:hAnsi="Arial" w:cs="Arial"/>
          <w:sz w:val="22"/>
          <w:szCs w:val="22"/>
          <w:lang w:val="es-ES"/>
        </w:rPr>
        <w:t xml:space="preserve"> </w:t>
      </w:r>
      <w:r w:rsidRPr="00D875E0">
        <w:rPr>
          <w:rFonts w:ascii="Arial" w:eastAsia="Calibri" w:hAnsi="Arial" w:cs="Arial"/>
          <w:sz w:val="22"/>
          <w:szCs w:val="22"/>
          <w:lang w:val="es-ES"/>
        </w:rPr>
        <w:t>l</w:t>
      </w:r>
      <w:r w:rsidR="009D32C3" w:rsidRPr="00D875E0">
        <w:rPr>
          <w:rFonts w:ascii="Arial" w:eastAsia="Calibri" w:hAnsi="Arial" w:cs="Arial"/>
          <w:sz w:val="22"/>
          <w:szCs w:val="22"/>
          <w:lang w:val="es-ES"/>
        </w:rPr>
        <w:t>os contratos o convenios financiados en sumas iguales o superiores al (50%) con fondos de los organismos de cooperación, asistencia o ayudas internacionales</w:t>
      </w:r>
      <w:r w:rsidR="009D32C3" w:rsidRPr="00C02322" w:rsidDel="009D32C3">
        <w:rPr>
          <w:rFonts w:ascii="Arial" w:eastAsia="Calibri" w:hAnsi="Arial" w:cs="Arial"/>
          <w:sz w:val="22"/>
          <w:szCs w:val="22"/>
          <w:lang w:val="es-ES"/>
        </w:rPr>
        <w:t xml:space="preserve"> </w:t>
      </w:r>
      <w:r w:rsidR="00E53354" w:rsidRPr="00C02322">
        <w:rPr>
          <w:rFonts w:ascii="Arial" w:eastAsia="Calibri" w:hAnsi="Arial" w:cs="Arial"/>
          <w:sz w:val="22"/>
          <w:szCs w:val="22"/>
          <w:lang w:val="es-ES"/>
        </w:rPr>
        <w:t>de que trata el inciso primero del artículo</w:t>
      </w:r>
      <w:r w:rsidR="00927045">
        <w:rPr>
          <w:rFonts w:ascii="Arial" w:eastAsia="Calibri" w:hAnsi="Arial" w:cs="Arial"/>
          <w:sz w:val="22"/>
          <w:szCs w:val="22"/>
          <w:lang w:val="es-ES"/>
        </w:rPr>
        <w:t xml:space="preserve"> </w:t>
      </w:r>
      <w:r w:rsidR="00E53354" w:rsidRPr="00C02322">
        <w:rPr>
          <w:rFonts w:ascii="Arial" w:eastAsia="Calibri" w:hAnsi="Arial" w:cs="Arial"/>
          <w:sz w:val="22"/>
          <w:szCs w:val="22"/>
          <w:lang w:val="es-ES"/>
        </w:rPr>
        <w:t>20 de la Ley 1150 de 2007</w:t>
      </w:r>
      <w:r w:rsidR="00927045">
        <w:rPr>
          <w:rFonts w:ascii="Arial" w:eastAsia="Calibri" w:hAnsi="Arial" w:cs="Arial"/>
          <w:sz w:val="22"/>
          <w:szCs w:val="22"/>
          <w:lang w:val="es-ES"/>
        </w:rPr>
        <w:t xml:space="preserve"> y el artículo </w:t>
      </w:r>
      <w:r w:rsidR="00927045" w:rsidRPr="00D875E0">
        <w:rPr>
          <w:rFonts w:ascii="Arial" w:eastAsia="Calibri" w:hAnsi="Arial" w:cs="Arial"/>
          <w:sz w:val="22"/>
          <w:szCs w:val="22"/>
          <w:lang w:val="es-ES"/>
        </w:rPr>
        <w:t>2.2.1.2.4.4.1. del Decreto 1082 de 2015</w:t>
      </w:r>
      <w:r>
        <w:rPr>
          <w:rFonts w:ascii="Arial" w:eastAsia="Calibri" w:hAnsi="Arial" w:cs="Arial"/>
          <w:sz w:val="22"/>
          <w:szCs w:val="22"/>
          <w:lang w:val="es-ES"/>
        </w:rPr>
        <w:t>,</w:t>
      </w:r>
      <w:r w:rsidR="00E53354" w:rsidRPr="00C02322">
        <w:rPr>
          <w:rFonts w:ascii="Arial" w:eastAsia="Calibri" w:hAnsi="Arial" w:cs="Arial"/>
          <w:sz w:val="22"/>
          <w:szCs w:val="22"/>
          <w:lang w:val="es-ES"/>
        </w:rPr>
        <w:t xml:space="preserve"> admite</w:t>
      </w:r>
      <w:r>
        <w:rPr>
          <w:rFonts w:ascii="Arial" w:eastAsia="Calibri" w:hAnsi="Arial" w:cs="Arial"/>
          <w:sz w:val="22"/>
          <w:szCs w:val="22"/>
          <w:lang w:val="es-ES"/>
        </w:rPr>
        <w:t>n</w:t>
      </w:r>
      <w:r w:rsidR="00E53354" w:rsidRPr="00C02322">
        <w:rPr>
          <w:rFonts w:ascii="Arial" w:eastAsia="Calibri" w:hAnsi="Arial" w:cs="Arial"/>
          <w:sz w:val="22"/>
          <w:szCs w:val="22"/>
          <w:lang w:val="es-ES"/>
        </w:rPr>
        <w:t xml:space="preserve"> la financiación </w:t>
      </w:r>
      <w:r w:rsidR="00927045">
        <w:rPr>
          <w:rFonts w:ascii="Arial" w:eastAsia="Calibri" w:hAnsi="Arial" w:cs="Arial"/>
          <w:sz w:val="22"/>
          <w:szCs w:val="22"/>
          <w:lang w:val="es-ES"/>
        </w:rPr>
        <w:t xml:space="preserve">de estos contratos o convenios </w:t>
      </w:r>
      <w:r w:rsidR="00E53354" w:rsidRPr="00C02322">
        <w:rPr>
          <w:rFonts w:ascii="Arial" w:eastAsia="Calibri" w:hAnsi="Arial" w:cs="Arial"/>
          <w:sz w:val="22"/>
          <w:szCs w:val="22"/>
          <w:lang w:val="es-ES"/>
        </w:rPr>
        <w:t>con aportes en sumas de dinero o en especie</w:t>
      </w:r>
      <w:r>
        <w:rPr>
          <w:rFonts w:ascii="Arial" w:eastAsia="Calibri" w:hAnsi="Arial" w:cs="Arial"/>
          <w:sz w:val="22"/>
          <w:szCs w:val="22"/>
          <w:lang w:val="es-ES"/>
        </w:rPr>
        <w:t>. Además,</w:t>
      </w:r>
      <w:r w:rsidR="00E53354" w:rsidRPr="00C02322">
        <w:rPr>
          <w:rFonts w:ascii="Arial" w:eastAsia="Calibri" w:hAnsi="Arial" w:cs="Arial"/>
          <w:sz w:val="22"/>
          <w:szCs w:val="22"/>
          <w:lang w:val="es-ES"/>
        </w:rPr>
        <w:t xml:space="preserve"> </w:t>
      </w:r>
      <w:r w:rsidR="00927045">
        <w:rPr>
          <w:rFonts w:ascii="Arial" w:eastAsia="Calibri" w:hAnsi="Arial" w:cs="Arial"/>
          <w:sz w:val="22"/>
          <w:szCs w:val="22"/>
          <w:lang w:val="es-ES"/>
        </w:rPr>
        <w:t>en el segundo caso,</w:t>
      </w:r>
      <w:r w:rsidR="00E53354" w:rsidRPr="00C02322">
        <w:rPr>
          <w:rFonts w:ascii="Arial" w:eastAsia="Calibri" w:hAnsi="Arial" w:cs="Arial"/>
          <w:sz w:val="22"/>
          <w:szCs w:val="22"/>
          <w:lang w:val="es-ES"/>
        </w:rPr>
        <w:t xml:space="preserve"> </w:t>
      </w:r>
      <w:r w:rsidR="00E53354" w:rsidRPr="00C02322">
        <w:rPr>
          <w:rFonts w:ascii="Arial" w:eastAsia="Calibri" w:hAnsi="Arial" w:cs="Arial"/>
          <w:sz w:val="22"/>
          <w:szCs w:val="22"/>
          <w:lang w:val="es-ES"/>
        </w:rPr>
        <w:lastRenderedPageBreak/>
        <w:t xml:space="preserve">deberán cuantificarse en moneda colombiana, a efectos de </w:t>
      </w:r>
      <w:r w:rsidR="00927045">
        <w:rPr>
          <w:rFonts w:ascii="Arial" w:eastAsia="Calibri" w:hAnsi="Arial" w:cs="Arial"/>
          <w:sz w:val="22"/>
          <w:szCs w:val="22"/>
          <w:lang w:val="es-ES"/>
        </w:rPr>
        <w:t xml:space="preserve">poder </w:t>
      </w:r>
      <w:r w:rsidR="00E53354" w:rsidRPr="00C02322">
        <w:rPr>
          <w:rFonts w:ascii="Arial" w:eastAsia="Calibri" w:hAnsi="Arial" w:cs="Arial"/>
          <w:sz w:val="22"/>
          <w:szCs w:val="22"/>
          <w:lang w:val="es-ES"/>
        </w:rPr>
        <w:t>establecer el régimen jurídico aplicable</w:t>
      </w:r>
      <w:r w:rsidR="00CC4F95">
        <w:rPr>
          <w:rFonts w:ascii="Arial" w:eastAsia="Calibri" w:hAnsi="Arial" w:cs="Arial"/>
          <w:sz w:val="22"/>
          <w:szCs w:val="22"/>
          <w:lang w:val="es-ES"/>
        </w:rPr>
        <w:t>. En todo caso,</w:t>
      </w:r>
      <w:r>
        <w:rPr>
          <w:rFonts w:ascii="Arial" w:eastAsia="Calibri" w:hAnsi="Arial" w:cs="Arial"/>
          <w:sz w:val="22"/>
          <w:szCs w:val="22"/>
          <w:lang w:val="es-ES"/>
        </w:rPr>
        <w:t xml:space="preserve"> reiterando que cuando se cumple dicho presupuesto se activa la posibilidad de </w:t>
      </w:r>
      <w:r w:rsidR="00CC4F95" w:rsidRPr="00D875E0">
        <w:rPr>
          <w:rFonts w:ascii="Arial" w:eastAsia="Calibri" w:hAnsi="Arial" w:cs="Arial"/>
          <w:sz w:val="22"/>
          <w:szCs w:val="22"/>
          <w:lang w:val="es-ES"/>
        </w:rPr>
        <w:t>someterlos a los reglamentos de tales entidades; sin perjuicio de que se opte por que se rijan por la Ley 80 de 1993, bajo el entendido de que se trata de una decisión discrecional</w:t>
      </w:r>
      <w:r w:rsidR="00CC4F95">
        <w:rPr>
          <w:rFonts w:ascii="Arial" w:eastAsia="Calibri" w:hAnsi="Arial" w:cs="Arial"/>
          <w:sz w:val="22"/>
          <w:szCs w:val="22"/>
          <w:lang w:val="es-ES"/>
        </w:rPr>
        <w:t>, como se explicó anteriormente.</w:t>
      </w:r>
    </w:p>
    <w:p w14:paraId="4C8CFD55" w14:textId="759D19E4" w:rsidR="00C5417B" w:rsidRDefault="00A77E61" w:rsidP="00D875E0">
      <w:pPr>
        <w:spacing w:line="276" w:lineRule="auto"/>
        <w:ind w:firstLine="709"/>
        <w:jc w:val="both"/>
        <w:rPr>
          <w:rFonts w:ascii="Arial" w:hAnsi="Arial" w:cs="Arial"/>
          <w:sz w:val="22"/>
          <w:szCs w:val="22"/>
        </w:rPr>
      </w:pPr>
      <w:r w:rsidRPr="00C02322">
        <w:rPr>
          <w:rFonts w:ascii="Arial" w:hAnsi="Arial" w:cs="Arial"/>
          <w:sz w:val="22"/>
          <w:szCs w:val="22"/>
          <w:lang w:val="es-ES"/>
        </w:rPr>
        <w:t>De conformidad con lo expuesto, se concluye que</w:t>
      </w:r>
      <w:bookmarkStart w:id="17" w:name="_Hlk104224197"/>
      <w:r w:rsidR="00B00463" w:rsidRPr="00C02322">
        <w:rPr>
          <w:rFonts w:ascii="Arial" w:hAnsi="Arial" w:cs="Arial"/>
          <w:sz w:val="22"/>
          <w:szCs w:val="22"/>
          <w:lang w:val="es-ES_tradnl"/>
        </w:rPr>
        <w:t xml:space="preserve"> </w:t>
      </w:r>
      <w:r w:rsidR="009531AF">
        <w:rPr>
          <w:rFonts w:ascii="Arial" w:hAnsi="Arial" w:cs="Arial"/>
          <w:sz w:val="22"/>
          <w:szCs w:val="22"/>
          <w:lang w:val="es-ES_tradnl"/>
        </w:rPr>
        <w:t xml:space="preserve">los contratos </w:t>
      </w:r>
      <w:r w:rsidR="00C0453C">
        <w:rPr>
          <w:rFonts w:ascii="Arial" w:hAnsi="Arial" w:cs="Arial"/>
          <w:sz w:val="22"/>
          <w:szCs w:val="22"/>
          <w:lang w:val="es-ES_tradnl"/>
        </w:rPr>
        <w:t xml:space="preserve">o convenios </w:t>
      </w:r>
      <w:r w:rsidR="0003680A">
        <w:rPr>
          <w:rFonts w:ascii="Arial" w:hAnsi="Arial" w:cs="Arial"/>
          <w:sz w:val="22"/>
          <w:szCs w:val="22"/>
          <w:lang w:val="es-ES_tradnl"/>
        </w:rPr>
        <w:t>financiados</w:t>
      </w:r>
      <w:r w:rsidR="00C0453C">
        <w:rPr>
          <w:rFonts w:ascii="Arial" w:hAnsi="Arial" w:cs="Arial"/>
          <w:sz w:val="22"/>
          <w:szCs w:val="22"/>
          <w:lang w:val="es-ES_tradnl"/>
        </w:rPr>
        <w:t xml:space="preserve"> con fondos de organismos internacionales previstos en el inciso primero del artículo 20 de la Ley 1150 de 2007 puede ser financiados </w:t>
      </w:r>
      <w:r w:rsidR="0003680A">
        <w:rPr>
          <w:rFonts w:ascii="Arial" w:hAnsi="Arial" w:cs="Arial"/>
          <w:sz w:val="22"/>
          <w:szCs w:val="22"/>
          <w:lang w:val="es-ES_tradnl"/>
        </w:rPr>
        <w:t xml:space="preserve">con aportes en sumas liquidas de dinero o </w:t>
      </w:r>
      <w:r w:rsidR="00195511">
        <w:rPr>
          <w:rFonts w:ascii="Arial" w:hAnsi="Arial" w:cs="Arial"/>
          <w:sz w:val="22"/>
          <w:szCs w:val="22"/>
          <w:lang w:val="es-ES_tradnl"/>
        </w:rPr>
        <w:t xml:space="preserve">en especie, pues el parágrafo 3 de la misma disposición así lo permite al establecer la obligación de cuantificar en moneda colombiana los aportes en especie realizados por estos organismos </w:t>
      </w:r>
      <w:r w:rsidR="0085066F">
        <w:rPr>
          <w:rFonts w:ascii="Arial" w:hAnsi="Arial" w:cs="Arial"/>
          <w:sz w:val="22"/>
          <w:szCs w:val="22"/>
          <w:lang w:val="es-ES_tradnl"/>
        </w:rPr>
        <w:t>y, en caso de que supere el 50% de la totalidad del presupuesto de la contratación</w:t>
      </w:r>
      <w:bookmarkEnd w:id="17"/>
      <w:r w:rsidR="00757ADA">
        <w:rPr>
          <w:rFonts w:ascii="Arial" w:hAnsi="Arial" w:cs="Arial"/>
          <w:sz w:val="22"/>
          <w:szCs w:val="22"/>
          <w:lang w:val="es-ES_tradnl"/>
        </w:rPr>
        <w:t xml:space="preserve">, la entidad podrá someter el convenio o contrato a las reglas de contratación del referido organismo. </w:t>
      </w:r>
      <w:r w:rsidR="00C5417B" w:rsidRPr="00C02322">
        <w:rPr>
          <w:rFonts w:ascii="Arial" w:hAnsi="Arial" w:cs="Arial"/>
          <w:sz w:val="22"/>
          <w:szCs w:val="22"/>
        </w:rPr>
        <w:t xml:space="preserve"> </w:t>
      </w:r>
    </w:p>
    <w:p w14:paraId="353A9208" w14:textId="347A8B9B" w:rsidR="00757ADA" w:rsidRDefault="00757ADA" w:rsidP="00D875E0">
      <w:pPr>
        <w:spacing w:line="276" w:lineRule="auto"/>
        <w:jc w:val="both"/>
        <w:rPr>
          <w:rFonts w:ascii="Arial" w:hAnsi="Arial" w:cs="Arial"/>
          <w:sz w:val="22"/>
          <w:szCs w:val="22"/>
        </w:rPr>
      </w:pPr>
    </w:p>
    <w:p w14:paraId="5D826A70" w14:textId="77777777" w:rsidR="00D20498" w:rsidRDefault="00D20498" w:rsidP="00D20498">
      <w:pPr>
        <w:spacing w:line="276" w:lineRule="auto"/>
        <w:jc w:val="both"/>
        <w:rPr>
          <w:rFonts w:ascii="Arial" w:eastAsia="Calibri" w:hAnsi="Arial" w:cs="Arial"/>
          <w:b/>
        </w:rPr>
      </w:pPr>
      <w:r w:rsidRPr="0014392D">
        <w:rPr>
          <w:rFonts w:ascii="Arial" w:eastAsia="Calibri" w:hAnsi="Arial" w:cs="Arial"/>
          <w:b/>
        </w:rPr>
        <w:t>3. Respuesta</w:t>
      </w:r>
      <w:r>
        <w:rPr>
          <w:rFonts w:ascii="Arial" w:eastAsia="Calibri" w:hAnsi="Arial" w:cs="Arial"/>
          <w:b/>
        </w:rPr>
        <w:t xml:space="preserve"> </w:t>
      </w:r>
    </w:p>
    <w:p w14:paraId="6F3A4292" w14:textId="77777777" w:rsidR="00D20498" w:rsidRDefault="00D20498" w:rsidP="00D20498">
      <w:pPr>
        <w:spacing w:line="276" w:lineRule="auto"/>
        <w:ind w:left="709" w:right="709"/>
        <w:jc w:val="center"/>
        <w:rPr>
          <w:rFonts w:ascii="Arial" w:hAnsi="Arial" w:cs="Arial"/>
          <w:sz w:val="21"/>
          <w:szCs w:val="21"/>
        </w:rPr>
      </w:pPr>
    </w:p>
    <w:p w14:paraId="42E30FA5" w14:textId="77777777" w:rsidR="00D20498" w:rsidRPr="00C02322" w:rsidRDefault="00D20498" w:rsidP="00D20498">
      <w:pPr>
        <w:autoSpaceDE w:val="0"/>
        <w:autoSpaceDN w:val="0"/>
        <w:adjustRightInd w:val="0"/>
        <w:ind w:left="709" w:right="616"/>
        <w:jc w:val="both"/>
        <w:rPr>
          <w:rFonts w:ascii="Arial" w:hAnsi="Arial" w:cs="Arial"/>
          <w:sz w:val="21"/>
          <w:szCs w:val="21"/>
        </w:rPr>
      </w:pPr>
      <w:r w:rsidRPr="00C02322">
        <w:rPr>
          <w:rFonts w:ascii="Arial" w:eastAsia="Calibri" w:hAnsi="Arial" w:cs="Arial"/>
          <w:sz w:val="21"/>
          <w:szCs w:val="21"/>
          <w:lang w:val="es-ES_tradnl" w:eastAsia="es-CO"/>
        </w:rPr>
        <w:t>«</w:t>
      </w:r>
      <w:r w:rsidRPr="00C02322">
        <w:rPr>
          <w:rFonts w:ascii="Arial" w:hAnsi="Arial" w:cs="Arial"/>
          <w:sz w:val="21"/>
          <w:szCs w:val="21"/>
        </w:rPr>
        <w:t xml:space="preserve">El artículo 2.2.1.2.4.4.1. del Decreto 1082 de 2015, por el cual se reglamenta el artículo 20 de la Ley 1150 de 2007, dispone que: </w:t>
      </w:r>
    </w:p>
    <w:p w14:paraId="1BDBF6D3" w14:textId="77777777" w:rsidR="00D20498" w:rsidRPr="00C02322" w:rsidRDefault="00D20498" w:rsidP="00D20498">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“Los contratos o convenios financiados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 título. </w:t>
      </w:r>
    </w:p>
    <w:p w14:paraId="6098B3DF" w14:textId="77777777" w:rsidR="00D20498" w:rsidRPr="00C02322" w:rsidRDefault="00D20498" w:rsidP="00D20498">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Si el aporte de fuente nacional o internacional de un contrato o convenio de cooperación internacional es modificado o los aportes no se ejecutan en los términos pactados, las Entidades Estatales deben modificar los contratos o convenios para efectos de que estos estén sujetos a las normas del sistemas de compras y contratación pública, si el aporte de recursos públicos es superior al cincuenta por ciento (50%) del total o de las normas internas de la entidad de cooperación si el aporte es inferior. </w:t>
      </w:r>
    </w:p>
    <w:p w14:paraId="5D396D31" w14:textId="77777777" w:rsidR="00D20498" w:rsidRPr="00C02322" w:rsidRDefault="00D20498" w:rsidP="00D20498">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Cuando la variación de la participación de los aportes de las partes es consecuencia de las fluctuaciones de la tasa de cambio de la moneda pactada en el convenio o contrato de cooperación internacional, este seguirá sometido a las reglas establecidas en el momento de su suscripción. </w:t>
      </w:r>
    </w:p>
    <w:p w14:paraId="7F1EE250" w14:textId="77777777" w:rsidR="00D20498" w:rsidRPr="00C02322" w:rsidRDefault="00D20498" w:rsidP="00D20498">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Los recursos generados en desarrollo de los contratos o convenios financiados con fondos de los organismos de cooperación, asistencia o ayudas internacionales no deben ser tenidas en cuenta para determinar los porcentajes de los aportes de las partes”.</w:t>
      </w:r>
    </w:p>
    <w:p w14:paraId="5EDD1E62" w14:textId="77777777" w:rsidR="00D20498" w:rsidRPr="00C02322" w:rsidRDefault="00D20498" w:rsidP="00D20498">
      <w:pPr>
        <w:autoSpaceDE w:val="0"/>
        <w:autoSpaceDN w:val="0"/>
        <w:adjustRightInd w:val="0"/>
        <w:ind w:left="709"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 xml:space="preserve">En este sentido, elevo la siguiente consulta: </w:t>
      </w:r>
    </w:p>
    <w:p w14:paraId="63E3713D" w14:textId="77777777" w:rsidR="00D20498" w:rsidRPr="00C02322" w:rsidRDefault="00D20498" w:rsidP="00D20498">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lastRenderedPageBreak/>
        <w:t>¿A qué se refiere con fondos de los organismos de cooperación, asistencia o ayudas internacionales?,</w:t>
      </w:r>
    </w:p>
    <w:p w14:paraId="277C109F" w14:textId="77777777" w:rsidR="00D20498" w:rsidRPr="00C02322" w:rsidRDefault="00D20498" w:rsidP="00D20498">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¿Con fondos de los organismos de cooperación, asistencia o ayudas internacionales hace referencia a aportes en dinero del socio de cooperación internacional?,</w:t>
      </w:r>
    </w:p>
    <w:p w14:paraId="5D9666F9" w14:textId="77777777" w:rsidR="00D20498" w:rsidRPr="00C02322" w:rsidRDefault="00D20498" w:rsidP="00D20498">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¿Con fondos de los organismos de cooperación, asistencia o ayudas internacionales puede entenderse también como aportes en especie del socio de cooperación internacional?</w:t>
      </w:r>
    </w:p>
    <w:p w14:paraId="6DF935AC" w14:textId="77777777" w:rsidR="00D20498" w:rsidRPr="00C02322" w:rsidRDefault="00D20498" w:rsidP="00D20498">
      <w:pPr>
        <w:pStyle w:val="Prrafodelista"/>
        <w:numPr>
          <w:ilvl w:val="0"/>
          <w:numId w:val="45"/>
        </w:numPr>
        <w:autoSpaceDE w:val="0"/>
        <w:autoSpaceDN w:val="0"/>
        <w:adjustRightInd w:val="0"/>
        <w:ind w:right="616"/>
        <w:jc w:val="both"/>
        <w:rPr>
          <w:rFonts w:ascii="Arial" w:eastAsia="Calibri" w:hAnsi="Arial" w:cs="Arial"/>
          <w:sz w:val="21"/>
          <w:szCs w:val="21"/>
          <w:lang w:val="es-ES_tradnl" w:eastAsia="es-CO"/>
        </w:rPr>
      </w:pPr>
      <w:r w:rsidRPr="00C02322">
        <w:rPr>
          <w:rFonts w:ascii="Arial" w:eastAsia="Calibri" w:hAnsi="Arial" w:cs="Arial"/>
          <w:sz w:val="21"/>
          <w:szCs w:val="21"/>
          <w:lang w:val="es-ES_tradnl" w:eastAsia="es-CO"/>
        </w:rPr>
        <w:t>¿Sería legal suscribir un acuerdo de cofinanciación con un organismo internacional cuando el 100% de los recursos en dinero pues solo pretende aportar en especie?».</w:t>
      </w:r>
    </w:p>
    <w:p w14:paraId="08AAEB6C" w14:textId="57787310" w:rsidR="00D20498" w:rsidRPr="000A6A6F" w:rsidRDefault="00D20498" w:rsidP="00D20498">
      <w:pPr>
        <w:spacing w:after="120"/>
        <w:ind w:right="709"/>
        <w:jc w:val="both"/>
        <w:rPr>
          <w:rFonts w:ascii="Arial" w:eastAsia="Calibri" w:hAnsi="Arial" w:cs="Arial"/>
          <w:b/>
          <w:sz w:val="21"/>
          <w:szCs w:val="21"/>
        </w:rPr>
      </w:pPr>
    </w:p>
    <w:p w14:paraId="36920CB1" w14:textId="3F835748" w:rsidR="00B94F57" w:rsidRPr="00D875E0" w:rsidRDefault="00317CDF" w:rsidP="00D875E0">
      <w:pPr>
        <w:spacing w:before="120" w:line="276" w:lineRule="auto"/>
        <w:jc w:val="both"/>
        <w:rPr>
          <w:rFonts w:ascii="Arial" w:eastAsia="Calibri" w:hAnsi="Arial" w:cs="Arial"/>
          <w:sz w:val="22"/>
          <w:szCs w:val="22"/>
          <w:lang w:val="es-ES"/>
        </w:rPr>
      </w:pPr>
      <w:r w:rsidRPr="00D875E0">
        <w:rPr>
          <w:rFonts w:ascii="Arial" w:eastAsia="Calibri" w:hAnsi="Arial" w:cs="Arial"/>
          <w:sz w:val="22"/>
          <w:szCs w:val="22"/>
          <w:lang w:val="es-ES"/>
        </w:rPr>
        <w:t xml:space="preserve">Teniendo en cuenta la unidad temática de las preguntas formuladas por el peticionario, estas se responderán de forma </w:t>
      </w:r>
      <w:r>
        <w:rPr>
          <w:rFonts w:ascii="Arial" w:eastAsia="Calibri" w:hAnsi="Arial" w:cs="Arial"/>
          <w:sz w:val="22"/>
          <w:szCs w:val="22"/>
          <w:lang w:val="es-ES"/>
        </w:rPr>
        <w:t>unificada. En este sentido, como se señaló en las consideraciones, partiendo de la aplicación del artículo 27 del Código Civil</w:t>
      </w:r>
      <w:r>
        <w:rPr>
          <w:rStyle w:val="Refdenotaalpie"/>
          <w:rFonts w:ascii="Arial" w:eastAsia="Calibri" w:hAnsi="Arial" w:cs="Arial"/>
          <w:sz w:val="22"/>
          <w:szCs w:val="22"/>
          <w:lang w:val="es-ES"/>
        </w:rPr>
        <w:footnoteReference w:id="10"/>
      </w:r>
      <w:r>
        <w:rPr>
          <w:rFonts w:ascii="Arial" w:eastAsia="Calibri" w:hAnsi="Arial" w:cs="Arial"/>
          <w:sz w:val="22"/>
          <w:szCs w:val="22"/>
          <w:lang w:val="es-ES"/>
        </w:rPr>
        <w:t xml:space="preserve">, que establece la interpretación gramatical como uno de los criterios de interpretación de la ley, en virtud del cual </w:t>
      </w:r>
      <w:r w:rsidRPr="00C02322">
        <w:rPr>
          <w:rFonts w:ascii="Arial" w:eastAsia="Calibri" w:hAnsi="Arial" w:cs="Arial"/>
          <w:sz w:val="22"/>
          <w:szCs w:val="22"/>
          <w:lang w:val="es-ES"/>
        </w:rPr>
        <w:t>«</w:t>
      </w:r>
      <w:r>
        <w:rPr>
          <w:rFonts w:ascii="Arial" w:eastAsia="Calibri" w:hAnsi="Arial" w:cs="Arial"/>
          <w:sz w:val="22"/>
          <w:szCs w:val="22"/>
          <w:lang w:val="es-ES"/>
        </w:rPr>
        <w:t>cuando el sentido de la ley no sea claro, no se desatenderá su tenor literal a pretexto de consultar su espíritu</w:t>
      </w:r>
      <w:r w:rsidRPr="00C02322">
        <w:rPr>
          <w:rFonts w:ascii="Arial" w:eastAsia="Calibri" w:hAnsi="Arial" w:cs="Arial"/>
          <w:sz w:val="22"/>
          <w:szCs w:val="22"/>
          <w:lang w:val="es-ES"/>
        </w:rPr>
        <w:t>»</w:t>
      </w:r>
      <w:r>
        <w:rPr>
          <w:rFonts w:ascii="Arial" w:eastAsia="Calibri" w:hAnsi="Arial" w:cs="Arial"/>
          <w:sz w:val="22"/>
          <w:szCs w:val="22"/>
          <w:lang w:val="es-ES"/>
        </w:rPr>
        <w:t>, el</w:t>
      </w:r>
      <w:r w:rsidRPr="00C02322">
        <w:rPr>
          <w:rFonts w:ascii="Arial" w:eastAsia="Calibri" w:hAnsi="Arial" w:cs="Arial"/>
          <w:sz w:val="22"/>
          <w:szCs w:val="22"/>
          <w:lang w:val="es-ES"/>
        </w:rPr>
        <w:t xml:space="preserve"> término «fondo» </w:t>
      </w:r>
      <w:r>
        <w:rPr>
          <w:rFonts w:ascii="Arial" w:eastAsia="Calibri" w:hAnsi="Arial" w:cs="Arial"/>
          <w:sz w:val="22"/>
          <w:szCs w:val="22"/>
          <w:lang w:val="es-ES"/>
        </w:rPr>
        <w:t xml:space="preserve">es definido en </w:t>
      </w:r>
      <w:r w:rsidRPr="00C02322">
        <w:rPr>
          <w:rFonts w:ascii="Arial" w:eastAsia="Calibri" w:hAnsi="Arial" w:cs="Arial"/>
          <w:sz w:val="22"/>
          <w:szCs w:val="22"/>
          <w:lang w:val="es-ES"/>
        </w:rPr>
        <w:t xml:space="preserve">el Diccionario de la </w:t>
      </w:r>
      <w:r>
        <w:rPr>
          <w:rFonts w:ascii="Arial" w:eastAsia="Calibri" w:hAnsi="Arial" w:cs="Arial"/>
          <w:sz w:val="22"/>
          <w:szCs w:val="22"/>
          <w:lang w:val="es-ES"/>
        </w:rPr>
        <w:t>Lengua</w:t>
      </w:r>
      <w:r w:rsidRPr="00C02322">
        <w:rPr>
          <w:rFonts w:ascii="Arial" w:eastAsia="Calibri" w:hAnsi="Arial" w:cs="Arial"/>
          <w:sz w:val="22"/>
          <w:szCs w:val="22"/>
          <w:lang w:val="es-ES"/>
        </w:rPr>
        <w:t xml:space="preserve"> Española</w:t>
      </w:r>
      <w:r>
        <w:rPr>
          <w:rFonts w:ascii="Arial" w:eastAsia="Calibri" w:hAnsi="Arial" w:cs="Arial"/>
          <w:sz w:val="22"/>
          <w:szCs w:val="22"/>
          <w:lang w:val="es-ES"/>
        </w:rPr>
        <w:t xml:space="preserve"> como</w:t>
      </w:r>
      <w:r w:rsidRPr="00C02322">
        <w:rPr>
          <w:rFonts w:ascii="Arial" w:eastAsia="Calibri" w:hAnsi="Arial" w:cs="Arial"/>
          <w:sz w:val="22"/>
          <w:szCs w:val="22"/>
          <w:lang w:val="es-ES"/>
        </w:rPr>
        <w:t xml:space="preserve"> «7. Caudal o conjunto de bienes que posee una persona o comunidad»</w:t>
      </w:r>
      <w:r>
        <w:rPr>
          <w:rFonts w:ascii="Arial" w:eastAsia="Calibri" w:hAnsi="Arial" w:cs="Arial"/>
          <w:sz w:val="22"/>
          <w:szCs w:val="22"/>
          <w:lang w:val="es-ES"/>
        </w:rPr>
        <w:t xml:space="preserve"> o «</w:t>
      </w:r>
      <w:r w:rsidRPr="009D7375">
        <w:rPr>
          <w:rFonts w:ascii="Arial" w:eastAsia="Calibri" w:hAnsi="Arial" w:cs="Arial"/>
          <w:sz w:val="22"/>
          <w:szCs w:val="22"/>
          <w:lang w:val="es-ES"/>
        </w:rPr>
        <w:t>23. m. Der. Conjunto de recursos destinado a un objeto determinado</w:t>
      </w:r>
      <w:r>
        <w:rPr>
          <w:rFonts w:ascii="Arial" w:eastAsia="Calibri" w:hAnsi="Arial" w:cs="Arial"/>
          <w:sz w:val="22"/>
          <w:szCs w:val="22"/>
          <w:lang w:val="es-ES"/>
        </w:rPr>
        <w:t xml:space="preserve">». En este sentido, para los fines de la consulta, vale la pena resaltar que la definición se refiere a un </w:t>
      </w:r>
      <w:r w:rsidRPr="00C02322">
        <w:rPr>
          <w:rFonts w:ascii="Arial" w:eastAsia="Calibri" w:hAnsi="Arial" w:cs="Arial"/>
          <w:sz w:val="22"/>
          <w:szCs w:val="22"/>
          <w:lang w:val="es-ES"/>
        </w:rPr>
        <w:t>«</w:t>
      </w:r>
      <w:r>
        <w:rPr>
          <w:rFonts w:ascii="Arial" w:eastAsia="Calibri" w:hAnsi="Arial" w:cs="Arial"/>
          <w:i/>
          <w:iCs/>
          <w:sz w:val="22"/>
          <w:szCs w:val="22"/>
          <w:lang w:val="es-ES"/>
        </w:rPr>
        <w:t>conjunto</w:t>
      </w:r>
      <w:r>
        <w:rPr>
          <w:rFonts w:ascii="Arial" w:eastAsia="Calibri" w:hAnsi="Arial" w:cs="Arial"/>
          <w:sz w:val="22"/>
          <w:szCs w:val="22"/>
          <w:lang w:val="es-ES"/>
        </w:rPr>
        <w:t xml:space="preserve"> </w:t>
      </w:r>
      <w:r>
        <w:rPr>
          <w:rFonts w:ascii="Arial" w:eastAsia="Calibri" w:hAnsi="Arial" w:cs="Arial"/>
          <w:i/>
          <w:iCs/>
          <w:sz w:val="22"/>
          <w:szCs w:val="22"/>
          <w:lang w:val="es-ES"/>
        </w:rPr>
        <w:t>de bienes</w:t>
      </w:r>
      <w:r w:rsidRPr="00C02322">
        <w:rPr>
          <w:rFonts w:ascii="Arial" w:eastAsia="Calibri" w:hAnsi="Arial" w:cs="Arial"/>
          <w:sz w:val="22"/>
          <w:szCs w:val="22"/>
          <w:lang w:val="es-ES"/>
        </w:rPr>
        <w:t>»</w:t>
      </w:r>
      <w:r>
        <w:rPr>
          <w:rFonts w:ascii="Arial" w:eastAsia="Calibri" w:hAnsi="Arial" w:cs="Arial"/>
          <w:sz w:val="22"/>
          <w:szCs w:val="22"/>
          <w:lang w:val="es-ES"/>
        </w:rPr>
        <w:t xml:space="preserve"> o «</w:t>
      </w:r>
      <w:r>
        <w:rPr>
          <w:rFonts w:ascii="Arial" w:eastAsia="Calibri" w:hAnsi="Arial" w:cs="Arial"/>
          <w:i/>
          <w:iCs/>
          <w:sz w:val="22"/>
          <w:szCs w:val="22"/>
          <w:lang w:val="es-ES"/>
        </w:rPr>
        <w:t>conjunto de recursos»</w:t>
      </w:r>
      <w:r>
        <w:rPr>
          <w:rFonts w:ascii="Arial" w:eastAsia="Calibri" w:hAnsi="Arial" w:cs="Arial"/>
          <w:sz w:val="22"/>
          <w:szCs w:val="22"/>
          <w:lang w:val="es-ES"/>
        </w:rPr>
        <w:t>,</w:t>
      </w:r>
      <w:r w:rsidRPr="00C02322">
        <w:rPr>
          <w:rFonts w:ascii="Arial" w:eastAsia="Calibri" w:hAnsi="Arial" w:cs="Arial"/>
          <w:sz w:val="22"/>
          <w:szCs w:val="22"/>
          <w:lang w:val="es-ES"/>
        </w:rPr>
        <w:t xml:space="preserve"> </w:t>
      </w:r>
      <w:r>
        <w:rPr>
          <w:rFonts w:ascii="Arial" w:eastAsia="Calibri" w:hAnsi="Arial" w:cs="Arial"/>
          <w:sz w:val="22"/>
          <w:szCs w:val="22"/>
          <w:lang w:val="es-ES"/>
        </w:rPr>
        <w:t>lo que permite inferir que los fondos se componen por una universalidad o pluralidad de bienes, y en relación</w:t>
      </w:r>
      <w:r w:rsidRPr="00A10A36">
        <w:rPr>
          <w:rFonts w:ascii="Arial" w:eastAsia="Calibri" w:hAnsi="Arial" w:cs="Arial"/>
          <w:sz w:val="22"/>
          <w:szCs w:val="22"/>
          <w:lang w:val="es-ES"/>
        </w:rPr>
        <w:t xml:space="preserve"> con la composición del conjunto de bienes, la definición es genérica pues no establece ninguna particularidad en relación con la naturaleza de </w:t>
      </w:r>
      <w:proofErr w:type="gramStart"/>
      <w:r w:rsidRPr="00A10A36">
        <w:rPr>
          <w:rFonts w:ascii="Arial" w:eastAsia="Calibri" w:hAnsi="Arial" w:cs="Arial"/>
          <w:sz w:val="22"/>
          <w:szCs w:val="22"/>
          <w:lang w:val="es-ES"/>
        </w:rPr>
        <w:t>los mismo</w:t>
      </w:r>
      <w:r>
        <w:rPr>
          <w:rFonts w:ascii="Arial" w:eastAsia="Calibri" w:hAnsi="Arial" w:cs="Arial"/>
          <w:sz w:val="22"/>
          <w:szCs w:val="22"/>
          <w:lang w:val="es-ES"/>
        </w:rPr>
        <w:t>s</w:t>
      </w:r>
      <w:proofErr w:type="gramEnd"/>
      <w:r w:rsidR="0099590D">
        <w:rPr>
          <w:rFonts w:ascii="Arial" w:eastAsia="Calibri" w:hAnsi="Arial" w:cs="Arial"/>
          <w:sz w:val="22"/>
          <w:szCs w:val="22"/>
          <w:lang w:val="es-ES"/>
        </w:rPr>
        <w:t>.</w:t>
      </w:r>
      <w:r>
        <w:rPr>
          <w:rFonts w:ascii="Arial" w:eastAsia="Calibri" w:hAnsi="Arial" w:cs="Arial"/>
          <w:sz w:val="22"/>
          <w:szCs w:val="22"/>
          <w:lang w:val="es-ES"/>
        </w:rPr>
        <w:t xml:space="preserve"> </w:t>
      </w:r>
      <w:r w:rsidR="0099590D">
        <w:rPr>
          <w:rFonts w:ascii="Arial" w:eastAsia="Calibri" w:hAnsi="Arial" w:cs="Arial"/>
          <w:sz w:val="22"/>
          <w:szCs w:val="22"/>
          <w:lang w:val="es-ES"/>
        </w:rPr>
        <w:t>D</w:t>
      </w:r>
      <w:r>
        <w:rPr>
          <w:rFonts w:ascii="Arial" w:eastAsia="Calibri" w:hAnsi="Arial" w:cs="Arial"/>
          <w:sz w:val="22"/>
          <w:szCs w:val="22"/>
          <w:lang w:val="es-ES"/>
        </w:rPr>
        <w:t>e manera que, para efectos del artículo 20 de la Ley 1150 de 2007, esta Agencia considera que los fondos de organismos internacionales son el conjunto de bienes o recursos de titularidad de estos organismos.</w:t>
      </w:r>
    </w:p>
    <w:p w14:paraId="2D67FBA4" w14:textId="166EF3CB" w:rsidR="00B94F57" w:rsidRDefault="00B94F57" w:rsidP="00D875E0">
      <w:pPr>
        <w:spacing w:before="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 xml:space="preserve">Aplicadas estas precisiones al término </w:t>
      </w:r>
      <w:r w:rsidRPr="00C02322">
        <w:rPr>
          <w:rFonts w:ascii="Arial" w:eastAsia="Calibri" w:hAnsi="Arial" w:cs="Arial"/>
          <w:sz w:val="22"/>
          <w:szCs w:val="22"/>
          <w:lang w:val="es-ES"/>
        </w:rPr>
        <w:t>«</w:t>
      </w:r>
      <w:r>
        <w:rPr>
          <w:rFonts w:ascii="Arial" w:eastAsia="Calibri" w:hAnsi="Arial" w:cs="Arial"/>
          <w:sz w:val="22"/>
          <w:szCs w:val="22"/>
          <w:lang w:val="es-ES"/>
        </w:rPr>
        <w:t>fondo</w:t>
      </w:r>
      <w:r w:rsidR="00317CDF">
        <w:rPr>
          <w:rFonts w:ascii="Arial" w:eastAsia="Calibri" w:hAnsi="Arial" w:cs="Arial"/>
          <w:sz w:val="22"/>
          <w:szCs w:val="22"/>
          <w:lang w:val="es-ES"/>
        </w:rPr>
        <w:t>s</w:t>
      </w:r>
      <w:r w:rsidRPr="00C02322">
        <w:rPr>
          <w:rFonts w:ascii="Arial" w:eastAsia="Calibri" w:hAnsi="Arial" w:cs="Arial"/>
          <w:sz w:val="22"/>
          <w:szCs w:val="22"/>
          <w:lang w:val="es-ES"/>
        </w:rPr>
        <w:t>»</w:t>
      </w:r>
      <w:r>
        <w:rPr>
          <w:rFonts w:ascii="Arial" w:eastAsia="Calibri" w:hAnsi="Arial" w:cs="Arial"/>
          <w:sz w:val="22"/>
          <w:szCs w:val="22"/>
          <w:lang w:val="es-ES"/>
        </w:rPr>
        <w:t xml:space="preserve"> </w:t>
      </w:r>
      <w:r w:rsidR="00317CDF">
        <w:rPr>
          <w:rFonts w:ascii="Arial" w:eastAsia="Calibri" w:hAnsi="Arial" w:cs="Arial"/>
          <w:sz w:val="22"/>
          <w:szCs w:val="22"/>
          <w:lang w:val="es-ES"/>
        </w:rPr>
        <w:t xml:space="preserve">utilizado </w:t>
      </w:r>
      <w:r>
        <w:rPr>
          <w:rFonts w:ascii="Arial" w:eastAsia="Calibri" w:hAnsi="Arial" w:cs="Arial"/>
          <w:sz w:val="22"/>
          <w:szCs w:val="22"/>
          <w:lang w:val="es-ES"/>
        </w:rPr>
        <w:t xml:space="preserve">en </w:t>
      </w:r>
      <w:r w:rsidR="009C314C">
        <w:rPr>
          <w:rFonts w:ascii="Arial" w:eastAsia="Calibri" w:hAnsi="Arial" w:cs="Arial"/>
          <w:sz w:val="22"/>
          <w:szCs w:val="22"/>
          <w:lang w:val="es-ES"/>
        </w:rPr>
        <w:t xml:space="preserve">el </w:t>
      </w:r>
      <w:r>
        <w:rPr>
          <w:rFonts w:ascii="Arial" w:eastAsia="Calibri" w:hAnsi="Arial" w:cs="Arial"/>
          <w:sz w:val="22"/>
          <w:szCs w:val="22"/>
          <w:lang w:val="es-ES"/>
        </w:rPr>
        <w:t xml:space="preserve">artículo 20 de la Ley 1150 de 2007 y el artículo </w:t>
      </w:r>
      <w:r w:rsidRPr="00C02322">
        <w:rPr>
          <w:rFonts w:ascii="Arial" w:hAnsi="Arial" w:cs="Arial"/>
          <w:sz w:val="22"/>
          <w:szCs w:val="22"/>
          <w:lang w:eastAsia="es-CO"/>
        </w:rPr>
        <w:t>2.2.1.2.4.4.1. del Decreto 1082 de 2015</w:t>
      </w:r>
      <w:r>
        <w:rPr>
          <w:rFonts w:ascii="Arial" w:hAnsi="Arial" w:cs="Arial"/>
          <w:sz w:val="22"/>
          <w:szCs w:val="22"/>
          <w:lang w:eastAsia="es-CO"/>
        </w:rPr>
        <w:t xml:space="preserve">, </w:t>
      </w:r>
      <w:r>
        <w:rPr>
          <w:rFonts w:ascii="Arial" w:eastAsia="Calibri" w:hAnsi="Arial" w:cs="Arial"/>
          <w:sz w:val="22"/>
          <w:szCs w:val="22"/>
          <w:lang w:val="es-ES"/>
        </w:rPr>
        <w:t xml:space="preserve">surge el interrogante del tipo de bienes que, conforme con lo preceptuado en estas disposiciones, componen la universalidad de bienes que conforman dicho caudal. </w:t>
      </w:r>
      <w:r w:rsidR="00317CDF">
        <w:rPr>
          <w:rFonts w:ascii="Arial" w:eastAsia="Calibri" w:hAnsi="Arial" w:cs="Arial"/>
          <w:sz w:val="22"/>
          <w:szCs w:val="22"/>
          <w:lang w:val="es-ES"/>
        </w:rPr>
        <w:t>Al</w:t>
      </w:r>
      <w:r>
        <w:rPr>
          <w:rFonts w:ascii="Arial" w:eastAsia="Calibri" w:hAnsi="Arial" w:cs="Arial"/>
          <w:sz w:val="22"/>
          <w:szCs w:val="22"/>
          <w:lang w:val="es-ES"/>
        </w:rPr>
        <w:t xml:space="preserve"> respecto es importante enfatizar en que estas normas no determinan</w:t>
      </w:r>
      <w:r w:rsidR="00026260">
        <w:rPr>
          <w:rFonts w:ascii="Arial" w:eastAsia="Calibri" w:hAnsi="Arial" w:cs="Arial"/>
          <w:sz w:val="22"/>
          <w:szCs w:val="22"/>
          <w:lang w:val="es-ES"/>
        </w:rPr>
        <w:t xml:space="preserve"> con alto grado de precisión</w:t>
      </w:r>
      <w:r>
        <w:rPr>
          <w:rFonts w:ascii="Arial" w:eastAsia="Calibri" w:hAnsi="Arial" w:cs="Arial"/>
          <w:sz w:val="22"/>
          <w:szCs w:val="22"/>
          <w:lang w:val="es-ES"/>
        </w:rPr>
        <w:t xml:space="preserve"> la naturaleza de los bienes que componen los fondos, por lo cual, admiten dos interpretaciones, la primera, que se conforman por sumas dinerarias únicamente, y una segunda, que además de sumas l</w:t>
      </w:r>
      <w:r w:rsidR="00026260">
        <w:rPr>
          <w:rFonts w:ascii="Arial" w:eastAsia="Calibri" w:hAnsi="Arial" w:cs="Arial"/>
          <w:sz w:val="22"/>
          <w:szCs w:val="22"/>
          <w:lang w:val="es-ES"/>
        </w:rPr>
        <w:t>í</w:t>
      </w:r>
      <w:r>
        <w:rPr>
          <w:rFonts w:ascii="Arial" w:eastAsia="Calibri" w:hAnsi="Arial" w:cs="Arial"/>
          <w:sz w:val="22"/>
          <w:szCs w:val="22"/>
          <w:lang w:val="es-ES"/>
        </w:rPr>
        <w:t xml:space="preserve">quidas de dinero </w:t>
      </w:r>
      <w:r w:rsidR="00026260">
        <w:rPr>
          <w:rFonts w:ascii="Arial" w:eastAsia="Calibri" w:hAnsi="Arial" w:cs="Arial"/>
          <w:sz w:val="22"/>
          <w:szCs w:val="22"/>
          <w:lang w:val="es-ES"/>
        </w:rPr>
        <w:t>también incluyen</w:t>
      </w:r>
      <w:r>
        <w:rPr>
          <w:rFonts w:ascii="Arial" w:eastAsia="Calibri" w:hAnsi="Arial" w:cs="Arial"/>
          <w:sz w:val="22"/>
          <w:szCs w:val="22"/>
          <w:lang w:val="es-ES"/>
        </w:rPr>
        <w:t xml:space="preserve"> aportes en especie.</w:t>
      </w:r>
    </w:p>
    <w:p w14:paraId="092D8EA2" w14:textId="232C4CAB" w:rsidR="00B94F57" w:rsidRPr="00927045" w:rsidRDefault="00B94F57" w:rsidP="00B94F57">
      <w:pPr>
        <w:spacing w:before="120" w:line="276" w:lineRule="auto"/>
        <w:ind w:firstLine="709"/>
        <w:jc w:val="both"/>
        <w:rPr>
          <w:rFonts w:ascii="Arial" w:hAnsi="Arial" w:cs="Arial"/>
          <w:sz w:val="22"/>
          <w:szCs w:val="22"/>
          <w:lang w:eastAsia="es-CO"/>
        </w:rPr>
      </w:pPr>
      <w:r>
        <w:rPr>
          <w:rFonts w:ascii="Arial" w:hAnsi="Arial" w:cs="Arial"/>
          <w:sz w:val="22"/>
          <w:szCs w:val="22"/>
          <w:lang w:eastAsia="es-CO"/>
        </w:rPr>
        <w:lastRenderedPageBreak/>
        <w:t>La</w:t>
      </w:r>
      <w:r w:rsidRPr="00C02322">
        <w:rPr>
          <w:rFonts w:ascii="Arial" w:hAnsi="Arial" w:cs="Arial"/>
          <w:sz w:val="22"/>
          <w:szCs w:val="22"/>
          <w:lang w:eastAsia="es-CO"/>
        </w:rPr>
        <w:t xml:space="preserve"> Agencia Nacional de Contratación Pública – Colombia Compra Eficiente</w:t>
      </w:r>
      <w:r>
        <w:rPr>
          <w:rFonts w:ascii="Arial" w:hAnsi="Arial" w:cs="Arial"/>
          <w:sz w:val="22"/>
          <w:szCs w:val="22"/>
          <w:lang w:eastAsia="es-CO"/>
        </w:rPr>
        <w:t xml:space="preserve">, dada la dualidad de interpretaciones señaladas precedentemente, </w:t>
      </w:r>
      <w:r w:rsidR="00026260">
        <w:rPr>
          <w:rFonts w:ascii="Arial" w:hAnsi="Arial" w:cs="Arial"/>
          <w:sz w:val="22"/>
          <w:szCs w:val="22"/>
          <w:lang w:eastAsia="es-CO"/>
        </w:rPr>
        <w:t xml:space="preserve">considera más adecuada </w:t>
      </w:r>
      <w:r>
        <w:rPr>
          <w:rFonts w:ascii="Arial" w:hAnsi="Arial" w:cs="Arial"/>
          <w:sz w:val="22"/>
          <w:szCs w:val="22"/>
          <w:lang w:eastAsia="es-CO"/>
        </w:rPr>
        <w:t xml:space="preserve">la tesis </w:t>
      </w:r>
      <w:r w:rsidR="00026260">
        <w:rPr>
          <w:rFonts w:ascii="Arial" w:hAnsi="Arial" w:cs="Arial"/>
          <w:sz w:val="22"/>
          <w:szCs w:val="22"/>
          <w:lang w:eastAsia="es-CO"/>
        </w:rPr>
        <w:t xml:space="preserve">según </w:t>
      </w:r>
      <w:r>
        <w:rPr>
          <w:rFonts w:ascii="Arial" w:hAnsi="Arial" w:cs="Arial"/>
          <w:sz w:val="22"/>
          <w:szCs w:val="22"/>
          <w:lang w:eastAsia="es-CO"/>
        </w:rPr>
        <w:t xml:space="preserve">la cual es admisible que </w:t>
      </w:r>
      <w:r w:rsidRPr="00C02322">
        <w:rPr>
          <w:rFonts w:ascii="Arial" w:hAnsi="Arial" w:cs="Arial"/>
          <w:sz w:val="22"/>
          <w:szCs w:val="22"/>
          <w:lang w:eastAsia="es-CO"/>
        </w:rPr>
        <w:t>los</w:t>
      </w:r>
      <w:r>
        <w:rPr>
          <w:rFonts w:ascii="Arial" w:hAnsi="Arial" w:cs="Arial"/>
          <w:sz w:val="22"/>
          <w:szCs w:val="22"/>
          <w:lang w:eastAsia="es-CO"/>
        </w:rPr>
        <w:t xml:space="preserve"> aportes con que se financien los convenios o contratos </w:t>
      </w:r>
      <w:r w:rsidR="00026260">
        <w:rPr>
          <w:rFonts w:ascii="Arial" w:hAnsi="Arial" w:cs="Arial"/>
          <w:sz w:val="22"/>
          <w:szCs w:val="22"/>
          <w:lang w:eastAsia="es-CO"/>
        </w:rPr>
        <w:t xml:space="preserve">con fondos de </w:t>
      </w:r>
      <w:r>
        <w:rPr>
          <w:rFonts w:ascii="Arial" w:hAnsi="Arial" w:cs="Arial"/>
          <w:sz w:val="22"/>
          <w:szCs w:val="22"/>
          <w:lang w:eastAsia="es-CO"/>
        </w:rPr>
        <w:t xml:space="preserve">organismos internacionales </w:t>
      </w:r>
      <w:r w:rsidRPr="00C02322">
        <w:rPr>
          <w:rFonts w:ascii="Arial" w:hAnsi="Arial" w:cs="Arial"/>
          <w:sz w:val="22"/>
          <w:szCs w:val="22"/>
          <w:lang w:eastAsia="es-CO"/>
        </w:rPr>
        <w:t xml:space="preserve">de que trata el artículo 20 de la Ley 1150 de 2007 y el </w:t>
      </w:r>
      <w:r w:rsidRPr="00C02322">
        <w:rPr>
          <w:rFonts w:ascii="Arial" w:eastAsia="Calibri" w:hAnsi="Arial" w:cs="Arial"/>
          <w:sz w:val="22"/>
          <w:szCs w:val="22"/>
          <w:lang w:val="es-ES"/>
        </w:rPr>
        <w:t xml:space="preserve">artículo </w:t>
      </w:r>
      <w:r w:rsidRPr="00C02322">
        <w:rPr>
          <w:rFonts w:ascii="Arial" w:hAnsi="Arial" w:cs="Arial"/>
          <w:sz w:val="22"/>
          <w:szCs w:val="22"/>
          <w:lang w:eastAsia="es-CO"/>
        </w:rPr>
        <w:t xml:space="preserve">2.2.1.2.4.4.1. del Decreto 1082 de 2015 se </w:t>
      </w:r>
      <w:r>
        <w:rPr>
          <w:rFonts w:ascii="Arial" w:hAnsi="Arial" w:cs="Arial"/>
          <w:sz w:val="22"/>
          <w:szCs w:val="22"/>
          <w:lang w:eastAsia="es-CO"/>
        </w:rPr>
        <w:t xml:space="preserve">hagan en sumas de dinero o </w:t>
      </w:r>
      <w:r w:rsidRPr="00C02322">
        <w:rPr>
          <w:rFonts w:ascii="Arial" w:hAnsi="Arial" w:cs="Arial"/>
          <w:sz w:val="22"/>
          <w:szCs w:val="22"/>
          <w:lang w:eastAsia="es-CO"/>
        </w:rPr>
        <w:t>en especie</w:t>
      </w:r>
      <w:r>
        <w:rPr>
          <w:rFonts w:ascii="Arial" w:hAnsi="Arial" w:cs="Arial"/>
          <w:sz w:val="22"/>
          <w:szCs w:val="22"/>
          <w:lang w:eastAsia="es-CO"/>
        </w:rPr>
        <w:t xml:space="preserve">. Lo anterior </w:t>
      </w:r>
      <w:r w:rsidRPr="00C02322">
        <w:rPr>
          <w:rFonts w:ascii="Arial" w:hAnsi="Arial" w:cs="Arial"/>
          <w:sz w:val="22"/>
          <w:szCs w:val="22"/>
          <w:lang w:eastAsia="es-CO"/>
        </w:rPr>
        <w:t xml:space="preserve">porque, en primer lugar, el parágrafo 3 del artículo 20 de la Ley 1150 de 2007 señala que </w:t>
      </w:r>
      <w:r w:rsidRPr="00C02322">
        <w:rPr>
          <w:rFonts w:ascii="Arial" w:eastAsia="Calibri" w:hAnsi="Arial" w:cs="Arial"/>
          <w:sz w:val="22"/>
          <w:szCs w:val="22"/>
          <w:lang w:val="es-ES"/>
        </w:rPr>
        <w:t>«en todo proyecto de cooperación que involucre recursos estatales se deberán cuantificar en moneda nacional, los aportes en especie de la entidad, organización o persona cooperante, así como los del ente nacional colombiano</w:t>
      </w:r>
      <w:r w:rsidR="00026260">
        <w:rPr>
          <w:rFonts w:ascii="Arial" w:eastAsia="Calibri" w:hAnsi="Arial" w:cs="Arial"/>
          <w:sz w:val="22"/>
          <w:szCs w:val="22"/>
          <w:lang w:val="es-ES"/>
        </w:rPr>
        <w:t xml:space="preserve"> </w:t>
      </w:r>
      <w:r w:rsidRPr="00C02322">
        <w:rPr>
          <w:rFonts w:ascii="Arial" w:eastAsia="Calibri" w:hAnsi="Arial" w:cs="Arial"/>
          <w:sz w:val="22"/>
          <w:szCs w:val="22"/>
          <w:lang w:val="es-ES"/>
        </w:rPr>
        <w:t>[</w:t>
      </w:r>
      <w:r w:rsidR="00026260">
        <w:rPr>
          <w:rFonts w:ascii="Arial" w:eastAsia="Calibri" w:hAnsi="Arial" w:cs="Arial"/>
          <w:sz w:val="22"/>
          <w:szCs w:val="22"/>
          <w:lang w:val="es-ES"/>
        </w:rPr>
        <w:t xml:space="preserve"> </w:t>
      </w:r>
      <w:r w:rsidRPr="00C02322">
        <w:rPr>
          <w:rFonts w:ascii="Arial" w:eastAsia="Calibri" w:hAnsi="Arial" w:cs="Arial"/>
          <w:sz w:val="22"/>
          <w:szCs w:val="22"/>
          <w:lang w:val="es-ES"/>
        </w:rPr>
        <w:t xml:space="preserve">…]». De </w:t>
      </w:r>
      <w:r w:rsidR="00026260">
        <w:rPr>
          <w:rFonts w:ascii="Arial" w:eastAsia="Calibri" w:hAnsi="Arial" w:cs="Arial"/>
          <w:sz w:val="22"/>
          <w:szCs w:val="22"/>
          <w:lang w:val="es-ES"/>
        </w:rPr>
        <w:t>lo cual</w:t>
      </w:r>
      <w:r w:rsidRPr="00C02322">
        <w:rPr>
          <w:rFonts w:ascii="Arial" w:eastAsia="Calibri" w:hAnsi="Arial" w:cs="Arial"/>
          <w:sz w:val="22"/>
          <w:szCs w:val="22"/>
          <w:lang w:val="es-ES"/>
        </w:rPr>
        <w:t xml:space="preserve"> se infiere que los organismos internacionales pueden realizar aportes en especie, dado que la norma estableció el deber de cuantificarlos en moneda nacional</w:t>
      </w:r>
      <w:r w:rsidR="00026260">
        <w:rPr>
          <w:rFonts w:ascii="Arial" w:eastAsia="Calibri" w:hAnsi="Arial" w:cs="Arial"/>
          <w:sz w:val="22"/>
          <w:szCs w:val="22"/>
          <w:lang w:val="es-ES"/>
        </w:rPr>
        <w:t xml:space="preserve">, lo que además facilita definir el monto </w:t>
      </w:r>
      <w:r w:rsidR="002A65C1">
        <w:rPr>
          <w:rFonts w:ascii="Arial" w:eastAsia="Calibri" w:hAnsi="Arial" w:cs="Arial"/>
          <w:sz w:val="22"/>
          <w:szCs w:val="22"/>
          <w:lang w:val="es-ES"/>
        </w:rPr>
        <w:t>de los aportes.</w:t>
      </w:r>
      <w:r w:rsidRPr="00C02322">
        <w:rPr>
          <w:rFonts w:ascii="Arial" w:eastAsia="Calibri" w:hAnsi="Arial" w:cs="Arial"/>
          <w:sz w:val="22"/>
          <w:szCs w:val="22"/>
          <w:lang w:val="es-ES"/>
        </w:rPr>
        <w:t xml:space="preserve"> </w:t>
      </w:r>
    </w:p>
    <w:p w14:paraId="33C59E57" w14:textId="05306F0C" w:rsidR="00B94F57" w:rsidRPr="00C02322" w:rsidRDefault="002A65C1" w:rsidP="00D875E0">
      <w:pPr>
        <w:spacing w:before="120" w:after="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Además de lo anterior</w:t>
      </w:r>
      <w:r w:rsidR="00B94F57" w:rsidRPr="00C02322">
        <w:rPr>
          <w:rFonts w:ascii="Arial" w:eastAsia="Calibri" w:hAnsi="Arial" w:cs="Arial"/>
          <w:sz w:val="22"/>
          <w:szCs w:val="22"/>
          <w:lang w:val="es-ES"/>
        </w:rPr>
        <w:t>, la doctrina ha prohijado esta tesis</w:t>
      </w:r>
      <w:r>
        <w:rPr>
          <w:rFonts w:ascii="Arial" w:eastAsia="Calibri" w:hAnsi="Arial" w:cs="Arial"/>
          <w:sz w:val="22"/>
          <w:szCs w:val="22"/>
          <w:lang w:val="es-ES"/>
        </w:rPr>
        <w:t>,</w:t>
      </w:r>
      <w:r w:rsidR="00B94F57" w:rsidRPr="00C02322">
        <w:rPr>
          <w:rFonts w:ascii="Arial" w:eastAsia="Calibri" w:hAnsi="Arial" w:cs="Arial"/>
          <w:sz w:val="22"/>
          <w:szCs w:val="22"/>
          <w:lang w:val="es-ES"/>
        </w:rPr>
        <w:t xml:space="preserve"> puesto que, a pesar de que no se define el alcance del término </w:t>
      </w:r>
      <w:r>
        <w:rPr>
          <w:rFonts w:ascii="Arial" w:eastAsia="Calibri" w:hAnsi="Arial" w:cs="Arial"/>
          <w:sz w:val="22"/>
          <w:szCs w:val="22"/>
          <w:lang w:val="es-ES"/>
        </w:rPr>
        <w:t>«fondo»</w:t>
      </w:r>
      <w:r w:rsidR="00B94F57" w:rsidRPr="00C02322">
        <w:rPr>
          <w:rFonts w:ascii="Arial" w:eastAsia="Calibri" w:hAnsi="Arial" w:cs="Arial"/>
          <w:sz w:val="22"/>
          <w:szCs w:val="22"/>
          <w:lang w:val="es-ES"/>
        </w:rPr>
        <w:t>, es clara en establecer que los aportes pueden ser en sumas de dinero o en especie, y en este último caso se debe cuantificar el valor de los aportes en especie en moneda colombiana</w:t>
      </w:r>
      <w:r>
        <w:rPr>
          <w:rStyle w:val="Refdenotaalpie"/>
          <w:rFonts w:ascii="Arial" w:eastAsia="Calibri" w:hAnsi="Arial" w:cs="Arial"/>
          <w:sz w:val="22"/>
          <w:szCs w:val="22"/>
          <w:lang w:val="es-ES"/>
        </w:rPr>
        <w:footnoteReference w:id="11"/>
      </w:r>
      <w:r w:rsidR="00B94F57">
        <w:rPr>
          <w:rFonts w:ascii="Arial" w:eastAsia="Calibri" w:hAnsi="Arial" w:cs="Arial"/>
          <w:sz w:val="22"/>
          <w:szCs w:val="22"/>
          <w:lang w:val="es-ES"/>
        </w:rPr>
        <w:t>.</w:t>
      </w:r>
      <w:r w:rsidR="00B94F57" w:rsidRPr="00C02322">
        <w:rPr>
          <w:rFonts w:ascii="Arial" w:eastAsia="Calibri" w:hAnsi="Arial" w:cs="Arial"/>
          <w:sz w:val="22"/>
          <w:szCs w:val="22"/>
          <w:lang w:val="es-ES"/>
        </w:rPr>
        <w:t xml:space="preserve"> </w:t>
      </w:r>
    </w:p>
    <w:p w14:paraId="03A8F796" w14:textId="02051647" w:rsidR="0099590D" w:rsidRPr="00C02322" w:rsidRDefault="0099590D" w:rsidP="0099590D">
      <w:pPr>
        <w:spacing w:after="120" w:line="276" w:lineRule="auto"/>
        <w:ind w:firstLine="709"/>
        <w:jc w:val="both"/>
        <w:rPr>
          <w:rFonts w:ascii="Arial" w:eastAsia="Calibri" w:hAnsi="Arial" w:cs="Arial"/>
          <w:sz w:val="22"/>
          <w:szCs w:val="22"/>
          <w:lang w:val="es-ES"/>
        </w:rPr>
      </w:pPr>
      <w:r>
        <w:rPr>
          <w:rFonts w:ascii="Arial" w:eastAsia="Calibri" w:hAnsi="Arial" w:cs="Arial"/>
          <w:sz w:val="22"/>
          <w:szCs w:val="22"/>
          <w:lang w:val="es-ES"/>
        </w:rPr>
        <w:t>En este sentido,</w:t>
      </w:r>
      <w:r w:rsidRPr="00C02322">
        <w:rPr>
          <w:rFonts w:ascii="Arial" w:eastAsia="Calibri" w:hAnsi="Arial" w:cs="Arial"/>
          <w:sz w:val="22"/>
          <w:szCs w:val="22"/>
          <w:lang w:val="es-ES"/>
        </w:rPr>
        <w:t xml:space="preserve"> </w:t>
      </w:r>
      <w:r w:rsidRPr="004527B6">
        <w:rPr>
          <w:rFonts w:ascii="Arial" w:eastAsia="Calibri" w:hAnsi="Arial" w:cs="Arial"/>
          <w:sz w:val="22"/>
          <w:szCs w:val="22"/>
          <w:lang w:val="es-ES"/>
        </w:rPr>
        <w:t>los contratos o convenios financiados en sumas iguales o superiores al (50%) con fondos de los organismos de cooperación, asistencia o ayudas internacionales</w:t>
      </w:r>
      <w:r w:rsidRPr="00C02322" w:rsidDel="009D32C3">
        <w:rPr>
          <w:rFonts w:ascii="Arial" w:eastAsia="Calibri" w:hAnsi="Arial" w:cs="Arial"/>
          <w:sz w:val="22"/>
          <w:szCs w:val="22"/>
          <w:lang w:val="es-ES"/>
        </w:rPr>
        <w:t xml:space="preserve"> </w:t>
      </w:r>
      <w:r w:rsidRPr="00C02322">
        <w:rPr>
          <w:rFonts w:ascii="Arial" w:eastAsia="Calibri" w:hAnsi="Arial" w:cs="Arial"/>
          <w:sz w:val="22"/>
          <w:szCs w:val="22"/>
          <w:lang w:val="es-ES"/>
        </w:rPr>
        <w:t>de que trata el inciso primero del artículo</w:t>
      </w:r>
      <w:r>
        <w:rPr>
          <w:rFonts w:ascii="Arial" w:eastAsia="Calibri" w:hAnsi="Arial" w:cs="Arial"/>
          <w:sz w:val="22"/>
          <w:szCs w:val="22"/>
          <w:lang w:val="es-ES"/>
        </w:rPr>
        <w:t xml:space="preserve"> </w:t>
      </w:r>
      <w:r w:rsidRPr="00C02322">
        <w:rPr>
          <w:rFonts w:ascii="Arial" w:eastAsia="Calibri" w:hAnsi="Arial" w:cs="Arial"/>
          <w:sz w:val="22"/>
          <w:szCs w:val="22"/>
          <w:lang w:val="es-ES"/>
        </w:rPr>
        <w:t>20 de la Ley 1150 de 2007</w:t>
      </w:r>
      <w:r>
        <w:rPr>
          <w:rFonts w:ascii="Arial" w:eastAsia="Calibri" w:hAnsi="Arial" w:cs="Arial"/>
          <w:sz w:val="22"/>
          <w:szCs w:val="22"/>
          <w:lang w:val="es-ES"/>
        </w:rPr>
        <w:t xml:space="preserve"> y el artículo </w:t>
      </w:r>
      <w:r w:rsidRPr="004527B6">
        <w:rPr>
          <w:rFonts w:ascii="Arial" w:eastAsia="Calibri" w:hAnsi="Arial" w:cs="Arial"/>
          <w:sz w:val="22"/>
          <w:szCs w:val="22"/>
          <w:lang w:val="es-ES"/>
        </w:rPr>
        <w:t>2.2.1.2.4.4.1. del Decreto 1082 de 2015</w:t>
      </w:r>
      <w:r>
        <w:rPr>
          <w:rFonts w:ascii="Arial" w:eastAsia="Calibri" w:hAnsi="Arial" w:cs="Arial"/>
          <w:sz w:val="22"/>
          <w:szCs w:val="22"/>
          <w:lang w:val="es-ES"/>
        </w:rPr>
        <w:t>,</w:t>
      </w:r>
      <w:r w:rsidRPr="00C02322">
        <w:rPr>
          <w:rFonts w:ascii="Arial" w:eastAsia="Calibri" w:hAnsi="Arial" w:cs="Arial"/>
          <w:sz w:val="22"/>
          <w:szCs w:val="22"/>
          <w:lang w:val="es-ES"/>
        </w:rPr>
        <w:t xml:space="preserve"> admite</w:t>
      </w:r>
      <w:r>
        <w:rPr>
          <w:rFonts w:ascii="Arial" w:eastAsia="Calibri" w:hAnsi="Arial" w:cs="Arial"/>
          <w:sz w:val="22"/>
          <w:szCs w:val="22"/>
          <w:lang w:val="es-ES"/>
        </w:rPr>
        <w:t>n</w:t>
      </w:r>
      <w:r w:rsidRPr="00C02322">
        <w:rPr>
          <w:rFonts w:ascii="Arial" w:eastAsia="Calibri" w:hAnsi="Arial" w:cs="Arial"/>
          <w:sz w:val="22"/>
          <w:szCs w:val="22"/>
          <w:lang w:val="es-ES"/>
        </w:rPr>
        <w:t xml:space="preserve"> la financiación </w:t>
      </w:r>
      <w:r>
        <w:rPr>
          <w:rFonts w:ascii="Arial" w:eastAsia="Calibri" w:hAnsi="Arial" w:cs="Arial"/>
          <w:sz w:val="22"/>
          <w:szCs w:val="22"/>
          <w:lang w:val="es-ES"/>
        </w:rPr>
        <w:t xml:space="preserve">de estos contratos o convenios </w:t>
      </w:r>
      <w:r w:rsidRPr="00C02322">
        <w:rPr>
          <w:rFonts w:ascii="Arial" w:eastAsia="Calibri" w:hAnsi="Arial" w:cs="Arial"/>
          <w:sz w:val="22"/>
          <w:szCs w:val="22"/>
          <w:lang w:val="es-ES"/>
        </w:rPr>
        <w:t>con aportes en sumas de dinero o en especie</w:t>
      </w:r>
      <w:r>
        <w:rPr>
          <w:rFonts w:ascii="Arial" w:eastAsia="Calibri" w:hAnsi="Arial" w:cs="Arial"/>
          <w:sz w:val="22"/>
          <w:szCs w:val="22"/>
          <w:lang w:val="es-ES"/>
        </w:rPr>
        <w:t>. Además,</w:t>
      </w:r>
      <w:r w:rsidRPr="00C02322">
        <w:rPr>
          <w:rFonts w:ascii="Arial" w:eastAsia="Calibri" w:hAnsi="Arial" w:cs="Arial"/>
          <w:sz w:val="22"/>
          <w:szCs w:val="22"/>
          <w:lang w:val="es-ES"/>
        </w:rPr>
        <w:t xml:space="preserve"> </w:t>
      </w:r>
      <w:r>
        <w:rPr>
          <w:rFonts w:ascii="Arial" w:eastAsia="Calibri" w:hAnsi="Arial" w:cs="Arial"/>
          <w:sz w:val="22"/>
          <w:szCs w:val="22"/>
          <w:lang w:val="es-ES"/>
        </w:rPr>
        <w:t>en el segundo caso,</w:t>
      </w:r>
      <w:r w:rsidRPr="00C02322">
        <w:rPr>
          <w:rFonts w:ascii="Arial" w:eastAsia="Calibri" w:hAnsi="Arial" w:cs="Arial"/>
          <w:sz w:val="22"/>
          <w:szCs w:val="22"/>
          <w:lang w:val="es-ES"/>
        </w:rPr>
        <w:t xml:space="preserve"> deberán cuantificarse en moneda colombiana, a efectos de </w:t>
      </w:r>
      <w:r>
        <w:rPr>
          <w:rFonts w:ascii="Arial" w:eastAsia="Calibri" w:hAnsi="Arial" w:cs="Arial"/>
          <w:sz w:val="22"/>
          <w:szCs w:val="22"/>
          <w:lang w:val="es-ES"/>
        </w:rPr>
        <w:t xml:space="preserve">poder </w:t>
      </w:r>
      <w:r w:rsidRPr="00C02322">
        <w:rPr>
          <w:rFonts w:ascii="Arial" w:eastAsia="Calibri" w:hAnsi="Arial" w:cs="Arial"/>
          <w:sz w:val="22"/>
          <w:szCs w:val="22"/>
          <w:lang w:val="es-ES"/>
        </w:rPr>
        <w:t>establecer el régimen jurídico aplicable</w:t>
      </w:r>
      <w:r>
        <w:rPr>
          <w:rFonts w:ascii="Arial" w:eastAsia="Calibri" w:hAnsi="Arial" w:cs="Arial"/>
          <w:sz w:val="22"/>
          <w:szCs w:val="22"/>
          <w:lang w:val="es-ES"/>
        </w:rPr>
        <w:t xml:space="preserve">. En todo caso, reiterando que cuando se cumple dicho presupuesto se activa la posibilidad de </w:t>
      </w:r>
      <w:r w:rsidRPr="004527B6">
        <w:rPr>
          <w:rFonts w:ascii="Arial" w:eastAsia="Calibri" w:hAnsi="Arial" w:cs="Arial"/>
          <w:sz w:val="22"/>
          <w:szCs w:val="22"/>
          <w:lang w:val="es-ES"/>
        </w:rPr>
        <w:t>someterlos a los reglamentos de tales entidades; sin perjuicio de que se opte por que se rijan por la Ley 80 de 1993, bajo el entendido de que se trata de una decisión discrecional</w:t>
      </w:r>
      <w:r>
        <w:rPr>
          <w:rFonts w:ascii="Arial" w:eastAsia="Calibri" w:hAnsi="Arial" w:cs="Arial"/>
          <w:sz w:val="22"/>
          <w:szCs w:val="22"/>
          <w:lang w:val="es-ES"/>
        </w:rPr>
        <w:t xml:space="preserve">, como se explicó </w:t>
      </w:r>
      <w:r w:rsidR="005F7168">
        <w:rPr>
          <w:rFonts w:ascii="Arial" w:eastAsia="Calibri" w:hAnsi="Arial" w:cs="Arial"/>
          <w:sz w:val="22"/>
          <w:szCs w:val="22"/>
          <w:lang w:val="es-ES"/>
        </w:rPr>
        <w:t>en las consideraciones</w:t>
      </w:r>
      <w:r>
        <w:rPr>
          <w:rFonts w:ascii="Arial" w:eastAsia="Calibri" w:hAnsi="Arial" w:cs="Arial"/>
          <w:sz w:val="22"/>
          <w:szCs w:val="22"/>
          <w:lang w:val="es-ES"/>
        </w:rPr>
        <w:t>.</w:t>
      </w:r>
    </w:p>
    <w:p w14:paraId="6F8D21A7" w14:textId="7AF65948" w:rsidR="00524963" w:rsidRPr="008F17E7" w:rsidRDefault="0099590D" w:rsidP="008F17E7">
      <w:pPr>
        <w:spacing w:line="276" w:lineRule="auto"/>
        <w:ind w:firstLine="709"/>
        <w:jc w:val="both"/>
        <w:rPr>
          <w:rFonts w:ascii="Arial" w:hAnsi="Arial" w:cs="Arial"/>
          <w:sz w:val="22"/>
          <w:szCs w:val="22"/>
        </w:rPr>
      </w:pPr>
      <w:r w:rsidRPr="00C02322">
        <w:rPr>
          <w:rFonts w:ascii="Arial" w:hAnsi="Arial" w:cs="Arial"/>
          <w:sz w:val="22"/>
          <w:szCs w:val="22"/>
          <w:lang w:val="es-ES"/>
        </w:rPr>
        <w:t>De conformidad con lo expuesto, se concluye que</w:t>
      </w:r>
      <w:r w:rsidRPr="00C02322">
        <w:rPr>
          <w:rFonts w:ascii="Arial" w:hAnsi="Arial" w:cs="Arial"/>
          <w:sz w:val="22"/>
          <w:szCs w:val="22"/>
          <w:lang w:val="es-ES_tradnl"/>
        </w:rPr>
        <w:t xml:space="preserve"> </w:t>
      </w:r>
      <w:r>
        <w:rPr>
          <w:rFonts w:ascii="Arial" w:hAnsi="Arial" w:cs="Arial"/>
          <w:sz w:val="22"/>
          <w:szCs w:val="22"/>
          <w:lang w:val="es-ES_tradnl"/>
        </w:rPr>
        <w:t xml:space="preserve">los contratos o convenios financiados con fondos de organismos internacionales previstos en el inciso primero del artículo 20 de la Ley 1150 de 2007 puede ser financiados con aportes en sumas liquidas de dinero o en especie, pues el parágrafo 3 de la misma disposición así lo permite al establecer la obligación de cuantificar en moneda colombiana los aportes en especie realizados por estos organismos y, en caso de que supere el 50% de la totalidad del </w:t>
      </w:r>
      <w:r>
        <w:rPr>
          <w:rFonts w:ascii="Arial" w:hAnsi="Arial" w:cs="Arial"/>
          <w:sz w:val="22"/>
          <w:szCs w:val="22"/>
          <w:lang w:val="es-ES_tradnl"/>
        </w:rPr>
        <w:lastRenderedPageBreak/>
        <w:t xml:space="preserve">presupuesto de la contratación, la entidad podrá someter el convenio o contrato a las reglas de contratación del referido organismo. </w:t>
      </w:r>
      <w:r w:rsidRPr="00C02322">
        <w:rPr>
          <w:rFonts w:ascii="Arial" w:hAnsi="Arial" w:cs="Arial"/>
          <w:sz w:val="22"/>
          <w:szCs w:val="22"/>
        </w:rPr>
        <w:t xml:space="preserve"> </w:t>
      </w:r>
      <w:bookmarkStart w:id="18" w:name="_Hlk57650395"/>
    </w:p>
    <w:p w14:paraId="31D0E87A" w14:textId="071E9A23" w:rsidR="0062711E" w:rsidRPr="00C02322" w:rsidRDefault="0062711E" w:rsidP="00B86110">
      <w:pPr>
        <w:spacing w:line="259" w:lineRule="auto"/>
        <w:jc w:val="both"/>
      </w:pPr>
    </w:p>
    <w:p w14:paraId="3C0BF81F" w14:textId="77777777" w:rsidR="0062711E" w:rsidRPr="00C02322" w:rsidRDefault="0062711E" w:rsidP="00B86110">
      <w:pPr>
        <w:spacing w:line="259" w:lineRule="auto"/>
        <w:jc w:val="both"/>
      </w:pPr>
    </w:p>
    <w:p w14:paraId="7A2C9C60" w14:textId="77777777" w:rsidR="0051212F" w:rsidRPr="00C02322" w:rsidRDefault="0051212F" w:rsidP="0051212F">
      <w:pPr>
        <w:spacing w:line="276" w:lineRule="auto"/>
        <w:jc w:val="both"/>
        <w:rPr>
          <w:rFonts w:ascii="Arial" w:hAnsi="Arial" w:cs="Arial"/>
          <w:sz w:val="22"/>
          <w:lang w:val="es-ES_tradnl"/>
        </w:rPr>
      </w:pPr>
      <w:r w:rsidRPr="00C02322">
        <w:rPr>
          <w:rFonts w:ascii="Arial" w:hAnsi="Arial" w:cs="Arial"/>
          <w:sz w:val="22"/>
          <w:szCs w:val="22"/>
          <w:lang w:val="es-ES_tradnl"/>
        </w:rPr>
        <w:t>Este concepto tiene el alcance previsto en el artículo 28 del</w:t>
      </w:r>
      <w:r w:rsidRPr="00C02322">
        <w:rPr>
          <w:rFonts w:ascii="Arial" w:hAnsi="Arial" w:cs="Arial"/>
          <w:sz w:val="22"/>
          <w:lang w:val="es-ES_tradnl"/>
        </w:rPr>
        <w:t xml:space="preserve"> Código de Procedimiento Administrativo y de lo Contencioso Administrativo.</w:t>
      </w:r>
    </w:p>
    <w:bookmarkEnd w:id="2"/>
    <w:bookmarkEnd w:id="18"/>
    <w:p w14:paraId="6F54E9C9" w14:textId="77777777" w:rsidR="00003233" w:rsidRPr="00C02322" w:rsidRDefault="00003233" w:rsidP="00D40F8B">
      <w:pPr>
        <w:spacing w:before="120" w:line="276" w:lineRule="auto"/>
        <w:jc w:val="both"/>
        <w:rPr>
          <w:rFonts w:ascii="Arial" w:hAnsi="Arial" w:cs="Arial"/>
          <w:sz w:val="22"/>
          <w:lang w:val="es-ES_tradnl"/>
        </w:rPr>
      </w:pPr>
    </w:p>
    <w:p w14:paraId="349855C9" w14:textId="4E2C915B" w:rsidR="00D40F8B" w:rsidRPr="00C02322" w:rsidRDefault="00861F0F" w:rsidP="00DF76A2">
      <w:pPr>
        <w:pStyle w:val="NormalWeb"/>
        <w:spacing w:before="0" w:beforeAutospacing="0" w:after="0" w:afterAutospacing="0" w:line="276" w:lineRule="auto"/>
        <w:jc w:val="both"/>
        <w:rPr>
          <w:rFonts w:ascii="Arial" w:hAnsi="Arial" w:cs="Arial"/>
          <w:sz w:val="22"/>
          <w:szCs w:val="22"/>
          <w:lang w:val="es-ES_tradnl"/>
        </w:rPr>
      </w:pPr>
      <w:r w:rsidRPr="00C02322">
        <w:rPr>
          <w:rFonts w:ascii="Arial" w:hAnsi="Arial" w:cs="Arial"/>
          <w:sz w:val="22"/>
          <w:szCs w:val="22"/>
          <w:lang w:val="es-ES_tradnl"/>
        </w:rPr>
        <w:t>Atentamente,</w:t>
      </w:r>
    </w:p>
    <w:bookmarkEnd w:id="1"/>
    <w:p w14:paraId="5A31D264" w14:textId="3119F1CA" w:rsidR="00017F12" w:rsidRPr="00F06958" w:rsidRDefault="008F17E7" w:rsidP="00017F12">
      <w:pPr>
        <w:spacing w:after="200" w:line="276" w:lineRule="auto"/>
        <w:jc w:val="center"/>
        <w:rPr>
          <w:rFonts w:ascii="Arial" w:hAnsi="Arial" w:cs="Arial"/>
          <w:color w:val="000000"/>
          <w:sz w:val="18"/>
          <w:szCs w:val="20"/>
          <w:lang w:val="es-MX" w:eastAsia="es-CO"/>
        </w:rPr>
      </w:pPr>
      <w:r>
        <w:rPr>
          <w:rFonts w:ascii="Arial" w:hAnsi="Arial" w:cs="Arial"/>
          <w:noProof/>
          <w:color w:val="000000"/>
          <w:sz w:val="18"/>
          <w:szCs w:val="20"/>
          <w:lang w:val="es-MX" w:eastAsia="es-CO"/>
        </w:rPr>
        <w:drawing>
          <wp:inline distT="0" distB="0" distL="0" distR="0" wp14:anchorId="4B5D991D" wp14:editId="57727C80">
            <wp:extent cx="3124636" cy="100026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4"/>
                    <a:stretch>
                      <a:fillRect/>
                    </a:stretch>
                  </pic:blipFill>
                  <pic:spPr>
                    <a:xfrm>
                      <a:off x="0" y="0"/>
                      <a:ext cx="3124636" cy="100026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017F12" w:rsidRPr="00F06958" w14:paraId="6CBB40AE" w14:textId="77777777" w:rsidTr="004527B6">
        <w:trPr>
          <w:trHeight w:val="315"/>
        </w:trPr>
        <w:tc>
          <w:tcPr>
            <w:tcW w:w="812" w:type="dxa"/>
            <w:vAlign w:val="center"/>
            <w:hideMark/>
          </w:tcPr>
          <w:p w14:paraId="44613C57" w14:textId="77777777" w:rsidR="00017F12" w:rsidRPr="00F06958" w:rsidRDefault="00017F12" w:rsidP="004527B6">
            <w:pPr>
              <w:rPr>
                <w:rFonts w:ascii="Arial" w:hAnsi="Arial" w:cs="Arial"/>
                <w:color w:val="000000"/>
                <w:sz w:val="16"/>
                <w:szCs w:val="16"/>
                <w:lang w:eastAsia="es-ES"/>
              </w:rPr>
            </w:pPr>
            <w:r w:rsidRPr="00F06958">
              <w:rPr>
                <w:rFonts w:ascii="Arial" w:hAnsi="Arial" w:cs="Arial"/>
                <w:color w:val="000000"/>
                <w:sz w:val="16"/>
                <w:szCs w:val="16"/>
                <w:lang w:eastAsia="es-ES"/>
              </w:rPr>
              <w:t>Elaboró:</w:t>
            </w:r>
          </w:p>
        </w:tc>
        <w:tc>
          <w:tcPr>
            <w:tcW w:w="4291" w:type="dxa"/>
            <w:tcBorders>
              <w:top w:val="nil"/>
              <w:left w:val="nil"/>
              <w:bottom w:val="dotted" w:sz="4" w:space="0" w:color="7F7F7F"/>
              <w:right w:val="nil"/>
            </w:tcBorders>
            <w:vAlign w:val="center"/>
            <w:hideMark/>
          </w:tcPr>
          <w:p w14:paraId="6154B2AA" w14:textId="77777777" w:rsidR="00017F12" w:rsidRPr="00DA3080" w:rsidRDefault="00017F12" w:rsidP="004527B6">
            <w:pPr>
              <w:rPr>
                <w:rFonts w:ascii="Arial" w:hAnsi="Arial" w:cs="Arial"/>
                <w:sz w:val="16"/>
                <w:szCs w:val="16"/>
                <w:lang w:eastAsia="es-ES"/>
              </w:rPr>
            </w:pPr>
            <w:r>
              <w:rPr>
                <w:rFonts w:ascii="Arial" w:hAnsi="Arial" w:cs="Arial"/>
                <w:sz w:val="16"/>
                <w:szCs w:val="16"/>
                <w:lang w:eastAsia="es-ES"/>
              </w:rPr>
              <w:t xml:space="preserve">Nina María Padrón Ballestas </w:t>
            </w:r>
          </w:p>
          <w:p w14:paraId="09571487" w14:textId="77777777" w:rsidR="00017F12" w:rsidRPr="00F06958" w:rsidRDefault="00017F12" w:rsidP="004527B6">
            <w:pPr>
              <w:rPr>
                <w:rFonts w:ascii="Arial" w:hAnsi="Arial" w:cs="Arial"/>
                <w:color w:val="000000"/>
                <w:sz w:val="16"/>
                <w:szCs w:val="16"/>
                <w:lang w:eastAsia="es-ES"/>
              </w:rPr>
            </w:pPr>
            <w:r>
              <w:rPr>
                <w:rFonts w:ascii="Arial" w:hAnsi="Arial" w:cs="Arial"/>
                <w:sz w:val="16"/>
                <w:szCs w:val="16"/>
                <w:lang w:eastAsia="es-ES"/>
              </w:rPr>
              <w:t xml:space="preserve">Contratista </w:t>
            </w:r>
            <w:r w:rsidRPr="00DA3080">
              <w:rPr>
                <w:rFonts w:ascii="Arial" w:hAnsi="Arial" w:cs="Arial"/>
                <w:sz w:val="16"/>
                <w:szCs w:val="16"/>
                <w:lang w:eastAsia="es-ES"/>
              </w:rPr>
              <w:t>de la Subdirección de Gestión Contractual</w:t>
            </w:r>
            <w:r w:rsidRPr="00F06958" w:rsidDel="004628B9">
              <w:rPr>
                <w:rFonts w:ascii="Arial" w:hAnsi="Arial" w:cs="Arial"/>
                <w:color w:val="000000"/>
                <w:sz w:val="16"/>
                <w:szCs w:val="16"/>
                <w:lang w:eastAsia="es-ES"/>
              </w:rPr>
              <w:t xml:space="preserve"> </w:t>
            </w:r>
          </w:p>
        </w:tc>
      </w:tr>
      <w:tr w:rsidR="00017F12" w:rsidRPr="00F06958" w14:paraId="14A17AEA" w14:textId="77777777" w:rsidTr="004527B6">
        <w:trPr>
          <w:trHeight w:val="330"/>
        </w:trPr>
        <w:tc>
          <w:tcPr>
            <w:tcW w:w="812" w:type="dxa"/>
            <w:vAlign w:val="center"/>
            <w:hideMark/>
          </w:tcPr>
          <w:p w14:paraId="66AD318B" w14:textId="77777777" w:rsidR="00017F12" w:rsidRPr="00F06958" w:rsidRDefault="00017F12" w:rsidP="004527B6">
            <w:pPr>
              <w:rPr>
                <w:rFonts w:ascii="Arial" w:hAnsi="Arial" w:cs="Arial"/>
                <w:color w:val="000000"/>
                <w:sz w:val="16"/>
                <w:szCs w:val="16"/>
                <w:lang w:eastAsia="es-ES"/>
              </w:rPr>
            </w:pPr>
            <w:r w:rsidRPr="00F06958">
              <w:rPr>
                <w:rFonts w:ascii="Arial" w:hAnsi="Arial" w:cs="Arial"/>
                <w:color w:val="000000"/>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1D5295B6" w14:textId="77777777" w:rsidR="00017F12" w:rsidRPr="00F06958" w:rsidRDefault="00017F12" w:rsidP="004527B6">
            <w:pPr>
              <w:rPr>
                <w:rFonts w:ascii="Arial" w:hAnsi="Arial" w:cs="Arial"/>
                <w:color w:val="000000"/>
                <w:sz w:val="16"/>
                <w:szCs w:val="16"/>
                <w:lang w:eastAsia="es-ES"/>
              </w:rPr>
            </w:pPr>
            <w:r>
              <w:rPr>
                <w:rFonts w:ascii="Arial" w:hAnsi="Arial" w:cs="Arial"/>
                <w:color w:val="000000"/>
                <w:sz w:val="16"/>
                <w:szCs w:val="16"/>
                <w:lang w:eastAsia="es-ES"/>
              </w:rPr>
              <w:t xml:space="preserve">Sebastian Ramírez Grisales </w:t>
            </w:r>
          </w:p>
          <w:p w14:paraId="04463665" w14:textId="77777777" w:rsidR="00017F12" w:rsidRPr="00F06958" w:rsidRDefault="00017F12" w:rsidP="004527B6">
            <w:pPr>
              <w:rPr>
                <w:rFonts w:ascii="Arial" w:hAnsi="Arial" w:cs="Arial"/>
                <w:color w:val="000000"/>
                <w:sz w:val="16"/>
                <w:szCs w:val="16"/>
                <w:lang w:eastAsia="es-ES"/>
              </w:rPr>
            </w:pPr>
            <w:r>
              <w:rPr>
                <w:rFonts w:ascii="Arial" w:hAnsi="Arial" w:cs="Arial"/>
                <w:color w:val="000000"/>
                <w:sz w:val="16"/>
                <w:szCs w:val="16"/>
                <w:lang w:eastAsia="es-ES"/>
              </w:rPr>
              <w:t>Contratista</w:t>
            </w:r>
            <w:r w:rsidRPr="00F06958">
              <w:rPr>
                <w:rFonts w:ascii="Arial" w:hAnsi="Arial" w:cs="Arial"/>
                <w:color w:val="000000"/>
                <w:sz w:val="16"/>
                <w:szCs w:val="16"/>
                <w:lang w:eastAsia="es-ES"/>
              </w:rPr>
              <w:t xml:space="preserve"> de la Subdirección de Gestión Contractual</w:t>
            </w:r>
          </w:p>
        </w:tc>
      </w:tr>
      <w:tr w:rsidR="00017F12" w:rsidRPr="00F06958" w14:paraId="654D2A03" w14:textId="77777777" w:rsidTr="004527B6">
        <w:trPr>
          <w:trHeight w:val="300"/>
        </w:trPr>
        <w:tc>
          <w:tcPr>
            <w:tcW w:w="812" w:type="dxa"/>
            <w:vAlign w:val="center"/>
            <w:hideMark/>
          </w:tcPr>
          <w:p w14:paraId="11F51BA8" w14:textId="77777777" w:rsidR="00017F12" w:rsidRPr="00F06958" w:rsidRDefault="00017F12" w:rsidP="004527B6">
            <w:pPr>
              <w:rPr>
                <w:rFonts w:ascii="Arial" w:hAnsi="Arial" w:cs="Arial"/>
                <w:color w:val="000000"/>
                <w:sz w:val="16"/>
                <w:szCs w:val="16"/>
                <w:lang w:eastAsia="es-ES"/>
              </w:rPr>
            </w:pPr>
            <w:r w:rsidRPr="00F06958">
              <w:rPr>
                <w:rFonts w:ascii="Arial" w:hAnsi="Arial" w:cs="Arial"/>
                <w:color w:val="000000"/>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0332BBCD" w14:textId="77777777" w:rsidR="00017F12" w:rsidRPr="006A06F2" w:rsidRDefault="00017F12" w:rsidP="004527B6">
            <w:r>
              <w:rPr>
                <w:rFonts w:ascii="Arial" w:eastAsia="Arial" w:hAnsi="Arial" w:cs="Arial"/>
                <w:color w:val="000000"/>
                <w:sz w:val="16"/>
                <w:szCs w:val="16"/>
              </w:rPr>
              <w:t>Juan David Marín López</w:t>
            </w:r>
          </w:p>
          <w:p w14:paraId="4C5B4AB0" w14:textId="77777777" w:rsidR="00017F12" w:rsidRPr="00F06958" w:rsidRDefault="00017F12" w:rsidP="004527B6">
            <w:pPr>
              <w:rPr>
                <w:rFonts w:ascii="Arial" w:hAnsi="Arial" w:cs="Arial"/>
                <w:color w:val="000000"/>
                <w:sz w:val="16"/>
                <w:szCs w:val="16"/>
                <w:lang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5C51B165" w14:textId="77777777" w:rsidR="00017F12" w:rsidRPr="00F06958" w:rsidRDefault="00017F12" w:rsidP="00017F12">
      <w:pPr>
        <w:spacing w:after="120" w:line="276" w:lineRule="auto"/>
        <w:contextualSpacing/>
        <w:jc w:val="both"/>
        <w:rPr>
          <w:rFonts w:ascii="Arial" w:eastAsia="Calibri" w:hAnsi="Arial" w:cs="Arial"/>
          <w:b/>
          <w:bCs/>
          <w:sz w:val="20"/>
          <w:szCs w:val="20"/>
          <w:lang w:val="es-MX"/>
        </w:rPr>
      </w:pPr>
    </w:p>
    <w:p w14:paraId="4D3D318F" w14:textId="77777777" w:rsidR="00FC710F" w:rsidRPr="00C02322" w:rsidRDefault="00FC710F" w:rsidP="00D875E0">
      <w:pPr>
        <w:spacing w:line="276" w:lineRule="auto"/>
        <w:jc w:val="center"/>
        <w:rPr>
          <w:rFonts w:ascii="Arial" w:hAnsi="Arial" w:cs="Arial"/>
          <w:lang w:val="es-MX"/>
        </w:rPr>
      </w:pPr>
    </w:p>
    <w:sectPr w:rsidR="00FC710F" w:rsidRPr="00C02322" w:rsidSect="00026B36">
      <w:headerReference w:type="default" r:id="rId15"/>
      <w:footerReference w:type="default" r:id="rId16"/>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BB5D" w14:textId="77777777" w:rsidR="003B0435" w:rsidRDefault="003B0435">
      <w:r>
        <w:separator/>
      </w:r>
    </w:p>
  </w:endnote>
  <w:endnote w:type="continuationSeparator" w:id="0">
    <w:p w14:paraId="33F589E0" w14:textId="77777777" w:rsidR="003B0435" w:rsidRDefault="003B0435">
      <w:r>
        <w:continuationSeparator/>
      </w:r>
    </w:p>
  </w:endnote>
  <w:endnote w:type="continuationNotice" w:id="1">
    <w:p w14:paraId="27FAFD11" w14:textId="77777777" w:rsidR="003B0435" w:rsidRDefault="003B0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450C004A"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62711E">
      <w:rPr>
        <w:rFonts w:ascii="Arial" w:hAnsi="Arial" w:cs="Arial"/>
        <w:b/>
        <w:bCs/>
        <w:noProof/>
        <w:color w:val="7F7F7F"/>
        <w:sz w:val="16"/>
        <w:szCs w:val="16"/>
      </w:rPr>
      <w:t>10</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62711E">
      <w:rPr>
        <w:rFonts w:ascii="Arial" w:hAnsi="Arial" w:cs="Arial"/>
        <w:b/>
        <w:bCs/>
        <w:noProof/>
        <w:color w:val="7F7F7F"/>
        <w:sz w:val="16"/>
        <w:szCs w:val="16"/>
      </w:rPr>
      <w:t>10</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n-US"/>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A3E0" w14:textId="77777777" w:rsidR="003B0435" w:rsidRDefault="003B0435">
      <w:r>
        <w:separator/>
      </w:r>
    </w:p>
  </w:footnote>
  <w:footnote w:type="continuationSeparator" w:id="0">
    <w:p w14:paraId="5EA55A89" w14:textId="77777777" w:rsidR="003B0435" w:rsidRDefault="003B0435">
      <w:r>
        <w:continuationSeparator/>
      </w:r>
    </w:p>
  </w:footnote>
  <w:footnote w:type="continuationNotice" w:id="1">
    <w:p w14:paraId="7759F207" w14:textId="77777777" w:rsidR="003B0435" w:rsidRDefault="003B0435"/>
  </w:footnote>
  <w:footnote w:id="2">
    <w:p w14:paraId="69C2250F" w14:textId="77777777" w:rsidR="00BA2D05" w:rsidRPr="0099590D" w:rsidRDefault="00BA2D05" w:rsidP="0099590D">
      <w:pPr>
        <w:pStyle w:val="Textonotapie"/>
        <w:ind w:firstLine="708"/>
        <w:jc w:val="both"/>
        <w:rPr>
          <w:rFonts w:ascii="Arial" w:hAnsi="Arial" w:cs="Arial"/>
          <w:sz w:val="19"/>
          <w:szCs w:val="19"/>
          <w:lang w:val="es-ES"/>
        </w:rPr>
      </w:pPr>
      <w:r w:rsidRPr="0099590D">
        <w:rPr>
          <w:rStyle w:val="Refdenotaalpie"/>
          <w:rFonts w:ascii="Arial" w:hAnsi="Arial" w:cs="Arial"/>
          <w:sz w:val="19"/>
          <w:szCs w:val="19"/>
        </w:rPr>
        <w:footnoteRef/>
      </w:r>
      <w:r w:rsidRPr="0099590D">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9590D">
        <w:rPr>
          <w:rFonts w:ascii="Arial" w:hAnsi="Arial" w:cs="Arial"/>
          <w:i/>
          <w:iCs/>
          <w:sz w:val="19"/>
          <w:szCs w:val="19"/>
        </w:rPr>
        <w:t xml:space="preserve">ibidem </w:t>
      </w:r>
      <w:r w:rsidRPr="0099590D">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99590D">
        <w:rPr>
          <w:rFonts w:ascii="Arial" w:hAnsi="Arial" w:cs="Arial"/>
          <w:sz w:val="19"/>
          <w:szCs w:val="19"/>
        </w:rPr>
        <w:t>bsolver</w:t>
      </w:r>
      <w:proofErr w:type="spellEnd"/>
      <w:r w:rsidRPr="0099590D">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9590D">
        <w:rPr>
          <w:rFonts w:ascii="Arial" w:hAnsi="Arial" w:cs="Arial"/>
          <w:sz w:val="19"/>
          <w:szCs w:val="19"/>
        </w:rPr>
        <w:t>bsolver</w:t>
      </w:r>
      <w:proofErr w:type="spellEnd"/>
      <w:r w:rsidRPr="0099590D">
        <w:rPr>
          <w:rFonts w:ascii="Arial" w:hAnsi="Arial" w:cs="Arial"/>
          <w:sz w:val="19"/>
          <w:szCs w:val="19"/>
        </w:rPr>
        <w:t xml:space="preserve"> consultas sobre la aplicación de normas de carácter general».</w:t>
      </w:r>
    </w:p>
  </w:footnote>
  <w:footnote w:id="3">
    <w:p w14:paraId="2D19EB70" w14:textId="77777777" w:rsidR="00037198" w:rsidRPr="0099590D" w:rsidRDefault="00037198" w:rsidP="0099590D">
      <w:pPr>
        <w:pStyle w:val="Textonotapie"/>
        <w:ind w:firstLine="709"/>
        <w:jc w:val="both"/>
        <w:rPr>
          <w:rFonts w:ascii="Arial" w:hAnsi="Arial" w:cs="Arial"/>
          <w:color w:val="000000" w:themeColor="text1"/>
          <w:sz w:val="19"/>
          <w:szCs w:val="19"/>
          <w:lang w:val="es-CO"/>
        </w:rPr>
      </w:pPr>
      <w:r w:rsidRPr="0099590D">
        <w:rPr>
          <w:rStyle w:val="Refdenotaalpie"/>
          <w:rFonts w:ascii="Arial" w:hAnsi="Arial" w:cs="Arial"/>
          <w:sz w:val="19"/>
          <w:szCs w:val="19"/>
        </w:rPr>
        <w:footnoteRef/>
      </w:r>
      <w:r w:rsidRPr="0099590D">
        <w:rPr>
          <w:rFonts w:ascii="Arial" w:hAnsi="Arial" w:cs="Arial"/>
          <w:color w:val="000000" w:themeColor="text1"/>
          <w:sz w:val="19"/>
          <w:szCs w:val="19"/>
          <w:lang w:val="es-CO"/>
        </w:rPr>
        <w:t xml:space="preserve"> FIGUEROA U. Organismos internacionales. 2ª edición. Santiago de Chile: Editorial RIL editores, 2010.</w:t>
      </w:r>
    </w:p>
  </w:footnote>
  <w:footnote w:id="4">
    <w:p w14:paraId="566A002D"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r w:rsidRPr="0099590D">
        <w:rPr>
          <w:rStyle w:val="Refdenotaalpie"/>
          <w:rFonts w:ascii="Arial" w:hAnsi="Arial" w:cs="Arial"/>
          <w:sz w:val="19"/>
          <w:szCs w:val="19"/>
        </w:rPr>
        <w:footnoteRef/>
      </w:r>
      <w:r w:rsidRPr="0099590D">
        <w:rPr>
          <w:rFonts w:ascii="Arial" w:hAnsi="Arial" w:cs="Arial"/>
          <w:color w:val="000000" w:themeColor="text1"/>
          <w:sz w:val="19"/>
          <w:szCs w:val="19"/>
        </w:rPr>
        <w:t xml:space="preserve"> Ley 80 de 1993: «Artículo 13. De la normatividad aplicable a los contratos estatales. Los contratos que celebren las entidades a que se refiere el artículo </w:t>
      </w:r>
      <w:hyperlink r:id="rId1" w:anchor="2" w:history="1">
        <w:r w:rsidRPr="0099590D">
          <w:rPr>
            <w:rStyle w:val="Hipervnculo"/>
            <w:rFonts w:ascii="Arial" w:hAnsi="Arial" w:cs="Arial"/>
            <w:color w:val="000000" w:themeColor="text1"/>
            <w:sz w:val="19"/>
            <w:szCs w:val="19"/>
          </w:rPr>
          <w:t>2</w:t>
        </w:r>
      </w:hyperlink>
      <w:r w:rsidRPr="0099590D">
        <w:rPr>
          <w:rFonts w:ascii="Arial" w:hAnsi="Arial" w:cs="Arial"/>
          <w:color w:val="000000" w:themeColor="text1"/>
          <w:sz w:val="19"/>
          <w:szCs w:val="19"/>
        </w:rPr>
        <w:t>o. del presente estatuto se regirán por las disposiciones comerciales y civiles pertinentes, salvo en las materias particularmente reguladas en esta ley.</w:t>
      </w:r>
    </w:p>
    <w:p w14:paraId="3B95AC0B"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»Los</w:t>
      </w:r>
      <w:proofErr w:type="gramEnd"/>
      <w:r w:rsidRPr="0099590D">
        <w:rPr>
          <w:rFonts w:ascii="Arial" w:hAnsi="Arial" w:cs="Arial"/>
          <w:color w:val="000000" w:themeColor="text1"/>
          <w:sz w:val="19"/>
          <w:szCs w:val="19"/>
        </w:rPr>
        <w:t xml:space="preserve"> contratos celebrados en el exterior se podrán regir en su ejecución por las reglas del país en donde se hayan suscrito, a menos que deban cumplirse en Colombia»</w:t>
      </w:r>
    </w:p>
    <w:p w14:paraId="77F5F8D6"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»Los</w:t>
      </w:r>
      <w:proofErr w:type="gramEnd"/>
      <w:r w:rsidRPr="0099590D">
        <w:rPr>
          <w:rFonts w:ascii="Arial" w:hAnsi="Arial" w:cs="Arial"/>
          <w:color w:val="000000" w:themeColor="text1"/>
          <w:sz w:val="19"/>
          <w:szCs w:val="19"/>
        </w:rPr>
        <w:t xml:space="preserve"> contratos que se celebren en Colombia y deban ejecutarse o cumplirse en el extranjero, podrán someterse a la ley extranjera».</w:t>
      </w:r>
    </w:p>
  </w:footnote>
  <w:footnote w:id="5">
    <w:p w14:paraId="32581797" w14:textId="77777777" w:rsidR="00037198" w:rsidRPr="0099590D" w:rsidRDefault="00037198" w:rsidP="0099590D">
      <w:pPr>
        <w:pStyle w:val="Textonotapie"/>
        <w:ind w:firstLine="709"/>
        <w:jc w:val="both"/>
        <w:rPr>
          <w:rFonts w:ascii="Arial" w:hAnsi="Arial" w:cs="Arial"/>
          <w:color w:val="000000" w:themeColor="text1"/>
          <w:sz w:val="19"/>
          <w:szCs w:val="19"/>
          <w:lang w:val="es-ES_tradnl"/>
        </w:rPr>
      </w:pPr>
      <w:r w:rsidRPr="0099590D">
        <w:rPr>
          <w:rStyle w:val="Refdenotaalpie"/>
          <w:rFonts w:ascii="Arial" w:hAnsi="Arial" w:cs="Arial"/>
          <w:sz w:val="19"/>
          <w:szCs w:val="19"/>
        </w:rPr>
        <w:footnoteRef/>
      </w:r>
      <w:r w:rsidRPr="0099590D">
        <w:rPr>
          <w:rFonts w:ascii="Arial" w:hAnsi="Arial" w:cs="Arial"/>
          <w:color w:val="000000" w:themeColor="text1"/>
          <w:sz w:val="19"/>
          <w:szCs w:val="19"/>
        </w:rPr>
        <w:t xml:space="preserve"> Consejo de Estado. Sección Tercera, Subsección C. Sentencia del 26 de noviembre de 2015. </w:t>
      </w:r>
      <w:proofErr w:type="spellStart"/>
      <w:r w:rsidRPr="0099590D">
        <w:rPr>
          <w:rFonts w:ascii="Arial" w:hAnsi="Arial" w:cs="Arial"/>
          <w:color w:val="000000" w:themeColor="text1"/>
          <w:sz w:val="19"/>
          <w:szCs w:val="19"/>
          <w:lang w:val="es-ES_tradnl"/>
        </w:rPr>
        <w:t>Exp</w:t>
      </w:r>
      <w:proofErr w:type="spellEnd"/>
      <w:r w:rsidRPr="0099590D">
        <w:rPr>
          <w:rFonts w:ascii="Arial" w:hAnsi="Arial" w:cs="Arial"/>
          <w:color w:val="000000" w:themeColor="text1"/>
          <w:sz w:val="19"/>
          <w:szCs w:val="19"/>
          <w:lang w:val="es-ES_tradnl"/>
        </w:rPr>
        <w:t xml:space="preserve">. </w:t>
      </w:r>
      <w:r w:rsidRPr="0099590D">
        <w:rPr>
          <w:rFonts w:ascii="Arial" w:hAnsi="Arial" w:cs="Arial"/>
          <w:color w:val="000000" w:themeColor="text1"/>
          <w:sz w:val="19"/>
          <w:szCs w:val="19"/>
          <w:lang w:val="es-CO"/>
        </w:rPr>
        <w:t xml:space="preserve">54.069. C.P Jaime Orlando Santofimio Gamboa. </w:t>
      </w:r>
    </w:p>
  </w:footnote>
  <w:footnote w:id="6">
    <w:p w14:paraId="788DBA6B" w14:textId="77777777" w:rsidR="00037198" w:rsidRPr="0099590D" w:rsidRDefault="00037198" w:rsidP="0099590D">
      <w:pPr>
        <w:pStyle w:val="Textonotapie"/>
        <w:ind w:firstLine="709"/>
        <w:jc w:val="both"/>
        <w:rPr>
          <w:rFonts w:ascii="Arial" w:hAnsi="Arial" w:cs="Arial"/>
          <w:color w:val="000000" w:themeColor="text1"/>
          <w:sz w:val="19"/>
          <w:szCs w:val="19"/>
          <w:lang w:eastAsia="es-CO"/>
        </w:rPr>
      </w:pPr>
      <w:r w:rsidRPr="0099590D">
        <w:rPr>
          <w:rStyle w:val="Refdenotaalpie"/>
          <w:rFonts w:ascii="Arial" w:hAnsi="Arial" w:cs="Arial"/>
          <w:sz w:val="19"/>
          <w:szCs w:val="19"/>
        </w:rPr>
        <w:footnoteRef/>
      </w:r>
      <w:r w:rsidRPr="0099590D">
        <w:rPr>
          <w:rFonts w:ascii="Arial" w:hAnsi="Arial" w:cs="Arial"/>
          <w:color w:val="000000" w:themeColor="text1"/>
          <w:sz w:val="19"/>
          <w:szCs w:val="19"/>
        </w:rPr>
        <w:t xml:space="preserve"> </w:t>
      </w:r>
      <w:r w:rsidRPr="0099590D">
        <w:rPr>
          <w:rFonts w:ascii="Arial" w:hAnsi="Arial" w:cs="Arial"/>
          <w:color w:val="000000" w:themeColor="text1"/>
          <w:sz w:val="19"/>
          <w:szCs w:val="19"/>
          <w:lang w:eastAsia="es-CO"/>
        </w:rPr>
        <w:t>«Los contratos financiados con fondos de los organismos multilaterales de crédito o celebrados con personas extranjeras de derecho público u organismos de cooperación, asistencia o ayuda internacionales, podrán someterse a los reglamentos de tales entidades en todo lo relacionado con procedimientos de formación y adjudicación y cláusulas especiales de ejecución, cumplimiento, pago y ajustes». (Derogado por el artículo 32 de la Ley 1150 de 2007).</w:t>
      </w:r>
    </w:p>
  </w:footnote>
  <w:footnote w:id="7">
    <w:p w14:paraId="70358E68"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r w:rsidRPr="0099590D">
        <w:rPr>
          <w:rStyle w:val="Refdenotaalpie"/>
          <w:rFonts w:ascii="Arial" w:hAnsi="Arial" w:cs="Arial"/>
          <w:sz w:val="19"/>
          <w:szCs w:val="19"/>
        </w:rPr>
        <w:footnoteRef/>
      </w:r>
      <w:r w:rsidRPr="0099590D">
        <w:rPr>
          <w:rFonts w:ascii="Arial" w:hAnsi="Arial" w:cs="Arial"/>
          <w:color w:val="000000" w:themeColor="text1"/>
          <w:sz w:val="19"/>
          <w:szCs w:val="19"/>
        </w:rPr>
        <w:t xml:space="preserve"> Ley 1150 de 2007. «Artículo 20: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de 1993. Los recursos de contrapartida vinculados a estas operaciones podrán tener el mismo tratamiento.</w:t>
      </w:r>
    </w:p>
    <w:p w14:paraId="51A52F94"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r w:rsidRPr="0099590D">
        <w:rPr>
          <w:rFonts w:ascii="Arial" w:hAnsi="Arial" w:cs="Arial"/>
          <w:color w:val="000000" w:themeColor="text1"/>
          <w:sz w:val="19"/>
          <w:szCs w:val="19"/>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491F2E16"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»Las</w:t>
      </w:r>
      <w:proofErr w:type="gramEnd"/>
      <w:r w:rsidRPr="0099590D">
        <w:rPr>
          <w:rFonts w:ascii="Arial" w:hAnsi="Arial" w:cs="Arial"/>
          <w:color w:val="000000" w:themeColor="text1"/>
          <w:sz w:val="19"/>
          <w:szCs w:val="19"/>
        </w:rPr>
        <w:t xml:space="preserve"> entidades estatales no podrán celebrar contratos o convenios para la administración o gerencia de sus recursos propios o de aquellos que les asignen los presupuestos públicos, con organismos de cooperación, asistencia o ayuda internacional.</w:t>
      </w:r>
    </w:p>
    <w:p w14:paraId="4C37DC5B"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w:t>
      </w:r>
      <w:r w:rsidRPr="0099590D">
        <w:rPr>
          <w:rStyle w:val="baj"/>
          <w:rFonts w:ascii="Arial" w:hAnsi="Arial" w:cs="Arial"/>
          <w:color w:val="000000" w:themeColor="text1"/>
          <w:sz w:val="19"/>
          <w:szCs w:val="19"/>
        </w:rPr>
        <w:t>PARÁGRAFO</w:t>
      </w:r>
      <w:proofErr w:type="gramEnd"/>
      <w:r w:rsidRPr="0099590D">
        <w:rPr>
          <w:rStyle w:val="baj"/>
          <w:rFonts w:ascii="Arial" w:hAnsi="Arial" w:cs="Arial"/>
          <w:color w:val="000000" w:themeColor="text1"/>
          <w:sz w:val="19"/>
          <w:szCs w:val="19"/>
        </w:rPr>
        <w:t xml:space="preserve"> 1o.</w:t>
      </w:r>
      <w:r w:rsidRPr="0099590D">
        <w:rPr>
          <w:rFonts w:ascii="Arial" w:hAnsi="Arial" w:cs="Arial"/>
          <w:color w:val="000000" w:themeColor="text1"/>
          <w:sz w:val="19"/>
          <w:szCs w:val="19"/>
        </w:rPr>
        <w:t xml:space="preserve"> Los contratos o acuerdos celebrados con personas extranjeras de derecho </w:t>
      </w:r>
      <w:proofErr w:type="gramStart"/>
      <w:r w:rsidRPr="0099590D">
        <w:rPr>
          <w:rFonts w:ascii="Arial" w:hAnsi="Arial" w:cs="Arial"/>
          <w:color w:val="000000" w:themeColor="text1"/>
          <w:sz w:val="19"/>
          <w:szCs w:val="19"/>
        </w:rPr>
        <w:t>público,</w:t>
      </w:r>
      <w:proofErr w:type="gramEnd"/>
      <w:r w:rsidRPr="0099590D">
        <w:rPr>
          <w:rFonts w:ascii="Arial" w:hAnsi="Arial" w:cs="Arial"/>
          <w:color w:val="000000" w:themeColor="text1"/>
          <w:sz w:val="19"/>
          <w:szCs w:val="19"/>
        </w:rPr>
        <w:t xml:space="preserve"> podrán someterse a las reglas de tales organismos.</w:t>
      </w:r>
    </w:p>
    <w:p w14:paraId="160D6B26"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w:t>
      </w:r>
      <w:r w:rsidRPr="0099590D">
        <w:rPr>
          <w:rStyle w:val="baj"/>
          <w:rFonts w:ascii="Arial" w:hAnsi="Arial" w:cs="Arial"/>
          <w:color w:val="000000" w:themeColor="text1"/>
          <w:sz w:val="19"/>
          <w:szCs w:val="19"/>
        </w:rPr>
        <w:t>PARÁGRAFO</w:t>
      </w:r>
      <w:proofErr w:type="gramEnd"/>
      <w:r w:rsidRPr="0099590D">
        <w:rPr>
          <w:rStyle w:val="baj"/>
          <w:rFonts w:ascii="Arial" w:hAnsi="Arial" w:cs="Arial"/>
          <w:color w:val="000000" w:themeColor="text1"/>
          <w:sz w:val="19"/>
          <w:szCs w:val="19"/>
        </w:rPr>
        <w:t xml:space="preserve"> 2o.</w:t>
      </w:r>
      <w:r w:rsidRPr="0099590D">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14:paraId="1BD44D59" w14:textId="77777777" w:rsidR="00037198" w:rsidRPr="0099590D" w:rsidRDefault="00037198"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w:t>
      </w:r>
      <w:r w:rsidRPr="0099590D">
        <w:rPr>
          <w:rStyle w:val="baj"/>
          <w:rFonts w:ascii="Arial" w:hAnsi="Arial" w:cs="Arial"/>
          <w:color w:val="000000" w:themeColor="text1"/>
          <w:sz w:val="19"/>
          <w:szCs w:val="19"/>
        </w:rPr>
        <w:t>PARÁGRAFO</w:t>
      </w:r>
      <w:proofErr w:type="gramEnd"/>
      <w:r w:rsidRPr="0099590D">
        <w:rPr>
          <w:rStyle w:val="baj"/>
          <w:rFonts w:ascii="Arial" w:hAnsi="Arial" w:cs="Arial"/>
          <w:color w:val="000000" w:themeColor="text1"/>
          <w:sz w:val="19"/>
          <w:szCs w:val="19"/>
        </w:rPr>
        <w:t xml:space="preserve"> 3o.</w:t>
      </w:r>
      <w:r w:rsidRPr="0099590D">
        <w:rPr>
          <w:rFonts w:ascii="Arial" w:hAnsi="Arial" w:cs="Arial"/>
          <w:color w:val="000000" w:themeColor="text1"/>
          <w:sz w:val="19"/>
          <w:szCs w:val="19"/>
        </w:rPr>
        <w:t>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footnote>
  <w:footnote w:id="8">
    <w:p w14:paraId="528091DF" w14:textId="54B6405C" w:rsidR="00C56DD5" w:rsidRPr="0099590D" w:rsidRDefault="00C56DD5" w:rsidP="0099590D">
      <w:pPr>
        <w:pStyle w:val="NormalWeb"/>
        <w:spacing w:before="0" w:beforeAutospacing="0" w:after="0" w:afterAutospacing="0"/>
        <w:ind w:firstLine="709"/>
        <w:jc w:val="both"/>
        <w:rPr>
          <w:rFonts w:ascii="Arial" w:hAnsi="Arial" w:cs="Arial"/>
          <w:color w:val="000000" w:themeColor="text1"/>
          <w:sz w:val="19"/>
          <w:szCs w:val="19"/>
        </w:rPr>
      </w:pPr>
      <w:r w:rsidRPr="0099590D">
        <w:rPr>
          <w:rFonts w:ascii="Arial" w:hAnsi="Arial" w:cs="Arial"/>
          <w:color w:val="000000" w:themeColor="text1"/>
          <w:sz w:val="19"/>
          <w:szCs w:val="19"/>
        </w:rPr>
        <w:footnoteRef/>
      </w:r>
      <w:r w:rsidRPr="0099590D">
        <w:rPr>
          <w:rFonts w:ascii="Arial" w:hAnsi="Arial" w:cs="Arial"/>
          <w:color w:val="000000" w:themeColor="text1"/>
          <w:sz w:val="19"/>
          <w:szCs w:val="19"/>
        </w:rPr>
        <w:t xml:space="preserve"> Código Civil </w:t>
      </w:r>
      <w:bookmarkStart w:id="15" w:name="27"/>
      <w:r w:rsidRPr="0099590D">
        <w:rPr>
          <w:rFonts w:ascii="Arial" w:hAnsi="Arial" w:cs="Arial"/>
          <w:color w:val="000000" w:themeColor="text1"/>
          <w:sz w:val="19"/>
          <w:szCs w:val="19"/>
        </w:rPr>
        <w:t xml:space="preserve">«Artículo 27. </w:t>
      </w:r>
      <w:r w:rsidR="003D2AF7" w:rsidRPr="0099590D">
        <w:rPr>
          <w:rFonts w:ascii="Arial" w:hAnsi="Arial" w:cs="Arial"/>
          <w:color w:val="000000" w:themeColor="text1"/>
          <w:sz w:val="19"/>
          <w:szCs w:val="19"/>
        </w:rPr>
        <w:t>[</w:t>
      </w:r>
      <w:r w:rsidRPr="0099590D">
        <w:rPr>
          <w:rFonts w:ascii="Arial" w:hAnsi="Arial" w:cs="Arial"/>
          <w:color w:val="000000" w:themeColor="text1"/>
          <w:sz w:val="19"/>
          <w:szCs w:val="19"/>
        </w:rPr>
        <w:t>Interpretación gramatical</w:t>
      </w:r>
      <w:r w:rsidR="003D2AF7" w:rsidRPr="0099590D">
        <w:rPr>
          <w:rFonts w:ascii="Arial" w:hAnsi="Arial" w:cs="Arial"/>
          <w:color w:val="000000" w:themeColor="text1"/>
          <w:sz w:val="19"/>
          <w:szCs w:val="19"/>
        </w:rPr>
        <w:t>]</w:t>
      </w:r>
      <w:r w:rsidRPr="0099590D">
        <w:rPr>
          <w:rFonts w:ascii="Arial" w:hAnsi="Arial" w:cs="Arial"/>
          <w:color w:val="000000" w:themeColor="text1"/>
          <w:sz w:val="19"/>
          <w:szCs w:val="19"/>
        </w:rPr>
        <w:t>.</w:t>
      </w:r>
      <w:bookmarkEnd w:id="15"/>
      <w:r w:rsidRPr="0099590D">
        <w:rPr>
          <w:rFonts w:ascii="Arial" w:hAnsi="Arial" w:cs="Arial"/>
          <w:color w:val="000000" w:themeColor="text1"/>
          <w:sz w:val="19"/>
          <w:szCs w:val="19"/>
        </w:rPr>
        <w:t> Cuando el sentido de la ley sea claro, no se desatenderá su tenor literal a pretexto de consultar su espíritu.</w:t>
      </w:r>
    </w:p>
    <w:p w14:paraId="26D40AA5" w14:textId="488A20A8" w:rsidR="00C56DD5" w:rsidRPr="0099590D" w:rsidRDefault="003D2AF7"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w:t>
      </w:r>
      <w:r w:rsidR="00C56DD5" w:rsidRPr="0099590D">
        <w:rPr>
          <w:rFonts w:ascii="Arial" w:hAnsi="Arial" w:cs="Arial"/>
          <w:color w:val="000000" w:themeColor="text1"/>
          <w:sz w:val="19"/>
          <w:szCs w:val="19"/>
        </w:rPr>
        <w:t>Pero</w:t>
      </w:r>
      <w:proofErr w:type="gramEnd"/>
      <w:r w:rsidR="00C56DD5" w:rsidRPr="0099590D">
        <w:rPr>
          <w:rFonts w:ascii="Arial" w:hAnsi="Arial" w:cs="Arial"/>
          <w:color w:val="000000" w:themeColor="text1"/>
          <w:sz w:val="19"/>
          <w:szCs w:val="19"/>
        </w:rPr>
        <w:t xml:space="preserve"> bien se puede, para interpretar una expresión oscura de la ley, recurrir a su intención o espíritu, claramente manifestados en ella misma o en la historia fidedigna de su establecimiento».</w:t>
      </w:r>
    </w:p>
    <w:p w14:paraId="33A8A936" w14:textId="2FA93149" w:rsidR="00C56DD5" w:rsidRPr="00D875E0" w:rsidRDefault="00C56DD5" w:rsidP="00D875E0">
      <w:pPr>
        <w:pStyle w:val="Textonotapie"/>
        <w:jc w:val="both"/>
        <w:rPr>
          <w:rFonts w:ascii="Arial" w:hAnsi="Arial" w:cs="Arial"/>
          <w:sz w:val="19"/>
          <w:szCs w:val="19"/>
        </w:rPr>
      </w:pPr>
    </w:p>
  </w:footnote>
  <w:footnote w:id="9">
    <w:p w14:paraId="389D72E3" w14:textId="07E74B8E" w:rsidR="002C7EB2" w:rsidRPr="00D875E0" w:rsidRDefault="002C7EB2" w:rsidP="00D875E0">
      <w:pPr>
        <w:pStyle w:val="Textonotapie"/>
        <w:ind w:firstLine="708"/>
        <w:jc w:val="both"/>
        <w:rPr>
          <w:rFonts w:ascii="Arial" w:hAnsi="Arial" w:cs="Arial"/>
          <w:sz w:val="19"/>
          <w:szCs w:val="19"/>
        </w:rPr>
      </w:pPr>
      <w:r w:rsidRPr="00D875E0">
        <w:rPr>
          <w:rStyle w:val="Refdenotaalpie"/>
          <w:rFonts w:ascii="Arial" w:hAnsi="Arial" w:cs="Arial"/>
          <w:sz w:val="19"/>
          <w:szCs w:val="19"/>
        </w:rPr>
        <w:footnoteRef/>
      </w:r>
      <w:r w:rsidRPr="00D875E0">
        <w:rPr>
          <w:rFonts w:ascii="Arial" w:hAnsi="Arial" w:cs="Arial"/>
          <w:sz w:val="19"/>
          <w:szCs w:val="19"/>
        </w:rPr>
        <w:t xml:space="preserve"> </w:t>
      </w:r>
      <w:r w:rsidR="00CF0E26" w:rsidRPr="00D875E0">
        <w:rPr>
          <w:rFonts w:ascii="Arial" w:hAnsi="Arial" w:cs="Arial"/>
          <w:sz w:val="19"/>
          <w:szCs w:val="19"/>
        </w:rPr>
        <w:t xml:space="preserve">DÁVILA </w:t>
      </w:r>
      <w:r w:rsidR="00682C13" w:rsidRPr="00D875E0">
        <w:rPr>
          <w:rFonts w:ascii="Arial" w:hAnsi="Arial" w:cs="Arial"/>
          <w:sz w:val="19"/>
          <w:szCs w:val="19"/>
        </w:rPr>
        <w:t>VINUEZA</w:t>
      </w:r>
      <w:r w:rsidR="00661456" w:rsidRPr="00D875E0">
        <w:rPr>
          <w:rFonts w:ascii="Arial" w:hAnsi="Arial" w:cs="Arial"/>
          <w:sz w:val="19"/>
          <w:szCs w:val="19"/>
        </w:rPr>
        <w:t xml:space="preserve">, Luis Guillermo. </w:t>
      </w:r>
      <w:r w:rsidR="00B83C63" w:rsidRPr="00D875E0">
        <w:rPr>
          <w:rFonts w:ascii="Arial" w:hAnsi="Arial" w:cs="Arial"/>
          <w:i/>
          <w:iCs/>
          <w:sz w:val="19"/>
          <w:szCs w:val="19"/>
        </w:rPr>
        <w:t xml:space="preserve">Régimen jurídico de la Contratación Estatal. </w:t>
      </w:r>
      <w:r w:rsidR="00B83C63" w:rsidRPr="00D875E0">
        <w:rPr>
          <w:rFonts w:ascii="Arial" w:hAnsi="Arial" w:cs="Arial"/>
          <w:sz w:val="19"/>
          <w:szCs w:val="19"/>
        </w:rPr>
        <w:t xml:space="preserve">3ª Ed. </w:t>
      </w:r>
      <w:r w:rsidR="009D32C3" w:rsidRPr="00D875E0">
        <w:rPr>
          <w:rFonts w:ascii="Arial" w:hAnsi="Arial" w:cs="Arial"/>
          <w:sz w:val="19"/>
          <w:szCs w:val="19"/>
        </w:rPr>
        <w:t xml:space="preserve">Bogotá: Legis. </w:t>
      </w:r>
      <w:r w:rsidR="00B83C63" w:rsidRPr="00D875E0">
        <w:rPr>
          <w:rFonts w:ascii="Arial" w:hAnsi="Arial" w:cs="Arial"/>
          <w:sz w:val="19"/>
          <w:szCs w:val="19"/>
        </w:rPr>
        <w:t xml:space="preserve">2016. </w:t>
      </w:r>
      <w:r w:rsidR="009D32C3" w:rsidRPr="00D875E0">
        <w:rPr>
          <w:rFonts w:ascii="Arial" w:hAnsi="Arial" w:cs="Arial"/>
          <w:sz w:val="19"/>
          <w:szCs w:val="19"/>
        </w:rPr>
        <w:t>p</w:t>
      </w:r>
      <w:r w:rsidR="00180181" w:rsidRPr="00D875E0">
        <w:rPr>
          <w:rFonts w:ascii="Arial" w:hAnsi="Arial" w:cs="Arial"/>
          <w:sz w:val="19"/>
          <w:szCs w:val="19"/>
        </w:rPr>
        <w:t xml:space="preserve">. 59. </w:t>
      </w:r>
    </w:p>
  </w:footnote>
  <w:footnote w:id="10">
    <w:p w14:paraId="012EAB83" w14:textId="77777777" w:rsidR="00317CDF" w:rsidRPr="0099590D" w:rsidRDefault="00317CDF" w:rsidP="0099590D">
      <w:pPr>
        <w:pStyle w:val="NormalWeb"/>
        <w:spacing w:before="0" w:beforeAutospacing="0" w:after="0" w:afterAutospacing="0"/>
        <w:ind w:firstLine="709"/>
        <w:jc w:val="both"/>
        <w:rPr>
          <w:rFonts w:ascii="Arial" w:hAnsi="Arial" w:cs="Arial"/>
          <w:color w:val="000000" w:themeColor="text1"/>
          <w:sz w:val="19"/>
          <w:szCs w:val="19"/>
        </w:rPr>
      </w:pPr>
      <w:r w:rsidRPr="00D875E0">
        <w:rPr>
          <w:rFonts w:ascii="Arial" w:hAnsi="Arial" w:cs="Arial"/>
          <w:color w:val="000000" w:themeColor="text1"/>
          <w:sz w:val="19"/>
          <w:szCs w:val="19"/>
          <w:vertAlign w:val="superscript"/>
        </w:rPr>
        <w:footnoteRef/>
      </w:r>
      <w:r w:rsidRPr="0099590D">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6767A48" w14:textId="77777777" w:rsidR="00317CDF" w:rsidRPr="0099590D" w:rsidRDefault="00317CDF" w:rsidP="0099590D">
      <w:pPr>
        <w:pStyle w:val="NormalWeb"/>
        <w:spacing w:before="0" w:beforeAutospacing="0" w:after="0" w:afterAutospacing="0"/>
        <w:ind w:firstLine="709"/>
        <w:jc w:val="both"/>
        <w:rPr>
          <w:rFonts w:ascii="Arial" w:hAnsi="Arial" w:cs="Arial"/>
          <w:color w:val="000000" w:themeColor="text1"/>
          <w:sz w:val="19"/>
          <w:szCs w:val="19"/>
        </w:rPr>
      </w:pPr>
      <w:proofErr w:type="gramStart"/>
      <w:r w:rsidRPr="0099590D">
        <w:rPr>
          <w:rFonts w:ascii="Arial" w:hAnsi="Arial" w:cs="Arial"/>
          <w:color w:val="000000" w:themeColor="text1"/>
          <w:sz w:val="19"/>
          <w:szCs w:val="19"/>
        </w:rPr>
        <w:t>»Pero</w:t>
      </w:r>
      <w:proofErr w:type="gramEnd"/>
      <w:r w:rsidRPr="0099590D">
        <w:rPr>
          <w:rFonts w:ascii="Arial" w:hAnsi="Arial" w:cs="Arial"/>
          <w:color w:val="000000" w:themeColor="text1"/>
          <w:sz w:val="19"/>
          <w:szCs w:val="19"/>
        </w:rPr>
        <w:t xml:space="preserve"> bien se puede, para interpretar una expresión oscura de la ley, recurrir a su intención o espíritu, claramente manifestados en ella misma o en la historia fidedigna de su establecimiento».</w:t>
      </w:r>
    </w:p>
    <w:p w14:paraId="3A3E171E" w14:textId="77777777" w:rsidR="00317CDF" w:rsidRPr="0099590D" w:rsidRDefault="00317CDF" w:rsidP="0099590D">
      <w:pPr>
        <w:pStyle w:val="Textonotapie"/>
        <w:jc w:val="both"/>
        <w:rPr>
          <w:rFonts w:ascii="Arial" w:hAnsi="Arial" w:cs="Arial"/>
          <w:sz w:val="19"/>
          <w:szCs w:val="19"/>
        </w:rPr>
      </w:pPr>
    </w:p>
  </w:footnote>
  <w:footnote w:id="11">
    <w:p w14:paraId="1777FD5C" w14:textId="13503A90" w:rsidR="002A65C1" w:rsidRPr="00D875E0" w:rsidRDefault="002A65C1" w:rsidP="00D875E0">
      <w:pPr>
        <w:pStyle w:val="Textonotapie"/>
        <w:ind w:firstLine="708"/>
        <w:jc w:val="both"/>
        <w:rPr>
          <w:rFonts w:ascii="Arial" w:hAnsi="Arial" w:cs="Arial"/>
          <w:sz w:val="19"/>
          <w:szCs w:val="19"/>
          <w:lang w:val="es-CO"/>
        </w:rPr>
      </w:pPr>
      <w:r w:rsidRPr="00D875E0">
        <w:rPr>
          <w:rStyle w:val="Refdenotaalpie"/>
          <w:rFonts w:ascii="Arial" w:hAnsi="Arial" w:cs="Arial"/>
          <w:sz w:val="19"/>
          <w:szCs w:val="19"/>
        </w:rPr>
        <w:footnoteRef/>
      </w:r>
      <w:r w:rsidRPr="00D875E0">
        <w:rPr>
          <w:rFonts w:ascii="Arial" w:hAnsi="Arial" w:cs="Arial"/>
          <w:sz w:val="19"/>
          <w:szCs w:val="19"/>
        </w:rPr>
        <w:t xml:space="preserve"> </w:t>
      </w:r>
      <w:r w:rsidRPr="00D875E0">
        <w:rPr>
          <w:rFonts w:ascii="Arial" w:eastAsia="Calibri" w:hAnsi="Arial" w:cs="Arial"/>
          <w:sz w:val="19"/>
          <w:szCs w:val="19"/>
          <w:lang w:val="es-ES"/>
        </w:rPr>
        <w:t xml:space="preserve">La modificación insertada es muy clara en el sentido de que se admite contratar con organismos de cooperación, asistencia o ayudas internacionales de manera directa para que se ejecute un contrato no sometido a la Ley 80 sino a sus reglamentos internos, si y solo sí los recursos provenientes para su </w:t>
      </w:r>
      <w:proofErr w:type="gramStart"/>
      <w:r w:rsidRPr="00D875E0">
        <w:rPr>
          <w:rFonts w:ascii="Arial" w:eastAsia="Calibri" w:hAnsi="Arial" w:cs="Arial"/>
          <w:sz w:val="19"/>
          <w:szCs w:val="19"/>
          <w:lang w:val="es-ES"/>
        </w:rPr>
        <w:t>pago,</w:t>
      </w:r>
      <w:proofErr w:type="gramEnd"/>
      <w:r w:rsidRPr="00D875E0">
        <w:rPr>
          <w:rFonts w:ascii="Arial" w:eastAsia="Calibri" w:hAnsi="Arial" w:cs="Arial"/>
          <w:sz w:val="19"/>
          <w:szCs w:val="19"/>
          <w:lang w:val="es-ES"/>
        </w:rPr>
        <w:t xml:space="preserve"> sean del propio organismo en por lo menos más del 50% de su valor. </w:t>
      </w:r>
      <w:r w:rsidRPr="00D875E0">
        <w:rPr>
          <w:rFonts w:ascii="Arial" w:eastAsia="Calibri" w:hAnsi="Arial" w:cs="Arial"/>
          <w:i/>
          <w:iCs/>
          <w:sz w:val="19"/>
          <w:szCs w:val="19"/>
          <w:lang w:val="es-ES"/>
        </w:rPr>
        <w:t xml:space="preserve">Con tal fin, se deben cuantificar en moneda colombiana incluso los aportes que se hagan en especie. </w:t>
      </w:r>
      <w:r w:rsidRPr="00D875E0">
        <w:rPr>
          <w:rFonts w:ascii="Arial" w:eastAsia="Calibri" w:hAnsi="Arial" w:cs="Arial"/>
          <w:sz w:val="19"/>
          <w:szCs w:val="19"/>
          <w:lang w:val="es-ES"/>
        </w:rPr>
        <w:t>(</w:t>
      </w:r>
      <w:r w:rsidRPr="0099590D">
        <w:rPr>
          <w:rFonts w:ascii="Arial" w:hAnsi="Arial" w:cs="Arial"/>
          <w:sz w:val="19"/>
          <w:szCs w:val="19"/>
        </w:rPr>
        <w:t xml:space="preserve">DÁVILA VINUEZA, Luis Guillermo. </w:t>
      </w:r>
      <w:r w:rsidRPr="0099590D">
        <w:rPr>
          <w:rFonts w:ascii="Arial" w:hAnsi="Arial" w:cs="Arial"/>
          <w:i/>
          <w:iCs/>
          <w:sz w:val="19"/>
          <w:szCs w:val="19"/>
        </w:rPr>
        <w:t xml:space="preserve">Régimen jurídico de la Contratación Estatal. </w:t>
      </w:r>
      <w:r w:rsidRPr="0099590D">
        <w:rPr>
          <w:rFonts w:ascii="Arial" w:hAnsi="Arial" w:cs="Arial"/>
          <w:sz w:val="19"/>
          <w:szCs w:val="19"/>
        </w:rPr>
        <w:t>3ª Ed. Bogotá: Legis. 2016. p.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lang w:val="en-US" w:eastAsia="en-US"/>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7C35A2"/>
    <w:multiLevelType w:val="hybridMultilevel"/>
    <w:tmpl w:val="7B68B14E"/>
    <w:lvl w:ilvl="0" w:tplc="737846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2F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6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63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0B4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D3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EE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C1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90E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7E9371B"/>
    <w:multiLevelType w:val="hybridMultilevel"/>
    <w:tmpl w:val="75FA94F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0324192"/>
    <w:multiLevelType w:val="hybridMultilevel"/>
    <w:tmpl w:val="B3FC81D8"/>
    <w:lvl w:ilvl="0" w:tplc="33FA551E">
      <w:start w:val="3"/>
      <w:numFmt w:val="bullet"/>
      <w:lvlText w:val="-"/>
      <w:lvlJc w:val="left"/>
      <w:pPr>
        <w:ind w:left="3054" w:hanging="360"/>
      </w:pPr>
      <w:rPr>
        <w:rFonts w:ascii="Arial" w:eastAsia="Calibri" w:hAnsi="Arial" w:cs="Arial" w:hint="default"/>
      </w:rPr>
    </w:lvl>
    <w:lvl w:ilvl="1" w:tplc="240A0003" w:tentative="1">
      <w:start w:val="1"/>
      <w:numFmt w:val="bullet"/>
      <w:lvlText w:val="o"/>
      <w:lvlJc w:val="left"/>
      <w:pPr>
        <w:ind w:left="3774" w:hanging="360"/>
      </w:pPr>
      <w:rPr>
        <w:rFonts w:ascii="Courier New" w:hAnsi="Courier New" w:cs="Courier New" w:hint="default"/>
      </w:rPr>
    </w:lvl>
    <w:lvl w:ilvl="2" w:tplc="240A0005" w:tentative="1">
      <w:start w:val="1"/>
      <w:numFmt w:val="bullet"/>
      <w:lvlText w:val=""/>
      <w:lvlJc w:val="left"/>
      <w:pPr>
        <w:ind w:left="4494" w:hanging="360"/>
      </w:pPr>
      <w:rPr>
        <w:rFonts w:ascii="Wingdings" w:hAnsi="Wingdings" w:hint="default"/>
      </w:rPr>
    </w:lvl>
    <w:lvl w:ilvl="3" w:tplc="240A0001" w:tentative="1">
      <w:start w:val="1"/>
      <w:numFmt w:val="bullet"/>
      <w:lvlText w:val=""/>
      <w:lvlJc w:val="left"/>
      <w:pPr>
        <w:ind w:left="5214" w:hanging="360"/>
      </w:pPr>
      <w:rPr>
        <w:rFonts w:ascii="Symbol" w:hAnsi="Symbol" w:hint="default"/>
      </w:rPr>
    </w:lvl>
    <w:lvl w:ilvl="4" w:tplc="240A0003" w:tentative="1">
      <w:start w:val="1"/>
      <w:numFmt w:val="bullet"/>
      <w:lvlText w:val="o"/>
      <w:lvlJc w:val="left"/>
      <w:pPr>
        <w:ind w:left="5934" w:hanging="360"/>
      </w:pPr>
      <w:rPr>
        <w:rFonts w:ascii="Courier New" w:hAnsi="Courier New" w:cs="Courier New" w:hint="default"/>
      </w:rPr>
    </w:lvl>
    <w:lvl w:ilvl="5" w:tplc="240A0005" w:tentative="1">
      <w:start w:val="1"/>
      <w:numFmt w:val="bullet"/>
      <w:lvlText w:val=""/>
      <w:lvlJc w:val="left"/>
      <w:pPr>
        <w:ind w:left="6654" w:hanging="360"/>
      </w:pPr>
      <w:rPr>
        <w:rFonts w:ascii="Wingdings" w:hAnsi="Wingdings" w:hint="default"/>
      </w:rPr>
    </w:lvl>
    <w:lvl w:ilvl="6" w:tplc="240A0001" w:tentative="1">
      <w:start w:val="1"/>
      <w:numFmt w:val="bullet"/>
      <w:lvlText w:val=""/>
      <w:lvlJc w:val="left"/>
      <w:pPr>
        <w:ind w:left="7374" w:hanging="360"/>
      </w:pPr>
      <w:rPr>
        <w:rFonts w:ascii="Symbol" w:hAnsi="Symbol" w:hint="default"/>
      </w:rPr>
    </w:lvl>
    <w:lvl w:ilvl="7" w:tplc="240A0003" w:tentative="1">
      <w:start w:val="1"/>
      <w:numFmt w:val="bullet"/>
      <w:lvlText w:val="o"/>
      <w:lvlJc w:val="left"/>
      <w:pPr>
        <w:ind w:left="8094" w:hanging="360"/>
      </w:pPr>
      <w:rPr>
        <w:rFonts w:ascii="Courier New" w:hAnsi="Courier New" w:cs="Courier New" w:hint="default"/>
      </w:rPr>
    </w:lvl>
    <w:lvl w:ilvl="8" w:tplc="240A0005" w:tentative="1">
      <w:start w:val="1"/>
      <w:numFmt w:val="bullet"/>
      <w:lvlText w:val=""/>
      <w:lvlJc w:val="left"/>
      <w:pPr>
        <w:ind w:left="8814" w:hanging="360"/>
      </w:pPr>
      <w:rPr>
        <w:rFonts w:ascii="Wingdings" w:hAnsi="Wingdings" w:hint="default"/>
      </w:rPr>
    </w:lvl>
  </w:abstractNum>
  <w:abstractNum w:abstractNumId="2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5"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6"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8" w15:restartNumberingAfterBreak="0">
    <w:nsid w:val="723B1079"/>
    <w:multiLevelType w:val="hybridMultilevel"/>
    <w:tmpl w:val="2E0CD9C4"/>
    <w:lvl w:ilvl="0" w:tplc="E3DC3302">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21999400">
    <w:abstractNumId w:val="16"/>
  </w:num>
  <w:num w:numId="2" w16cid:durableId="995493853">
    <w:abstractNumId w:val="14"/>
  </w:num>
  <w:num w:numId="3" w16cid:durableId="1493373674">
    <w:abstractNumId w:val="24"/>
  </w:num>
  <w:num w:numId="4" w16cid:durableId="1428235133">
    <w:abstractNumId w:val="30"/>
  </w:num>
  <w:num w:numId="5" w16cid:durableId="1765152357">
    <w:abstractNumId w:val="34"/>
  </w:num>
  <w:num w:numId="6" w16cid:durableId="43412982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491500">
    <w:abstractNumId w:val="31"/>
  </w:num>
  <w:num w:numId="8" w16cid:durableId="320617521">
    <w:abstractNumId w:val="3"/>
  </w:num>
  <w:num w:numId="9" w16cid:durableId="625159960">
    <w:abstractNumId w:val="8"/>
  </w:num>
  <w:num w:numId="10" w16cid:durableId="6408424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5249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113582">
    <w:abstractNumId w:val="15"/>
  </w:num>
  <w:num w:numId="13" w16cid:durableId="1636834969">
    <w:abstractNumId w:val="22"/>
  </w:num>
  <w:num w:numId="14" w16cid:durableId="1853372945">
    <w:abstractNumId w:val="12"/>
  </w:num>
  <w:num w:numId="15" w16cid:durableId="78264954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05249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548778">
    <w:abstractNumId w:val="39"/>
  </w:num>
  <w:num w:numId="18" w16cid:durableId="1891922066">
    <w:abstractNumId w:val="25"/>
  </w:num>
  <w:num w:numId="19" w16cid:durableId="826556824">
    <w:abstractNumId w:val="7"/>
  </w:num>
  <w:num w:numId="20" w16cid:durableId="989165408">
    <w:abstractNumId w:val="40"/>
  </w:num>
  <w:num w:numId="21" w16cid:durableId="872766733">
    <w:abstractNumId w:val="28"/>
  </w:num>
  <w:num w:numId="22" w16cid:durableId="908688331">
    <w:abstractNumId w:val="10"/>
  </w:num>
  <w:num w:numId="23" w16cid:durableId="118840132">
    <w:abstractNumId w:val="9"/>
  </w:num>
  <w:num w:numId="24" w16cid:durableId="1596209792">
    <w:abstractNumId w:val="32"/>
  </w:num>
  <w:num w:numId="25" w16cid:durableId="1388187932">
    <w:abstractNumId w:val="18"/>
  </w:num>
  <w:num w:numId="26" w16cid:durableId="959453529">
    <w:abstractNumId w:val="36"/>
  </w:num>
  <w:num w:numId="27" w16cid:durableId="137575575">
    <w:abstractNumId w:val="42"/>
  </w:num>
  <w:num w:numId="28" w16cid:durableId="699355733">
    <w:abstractNumId w:val="23"/>
  </w:num>
  <w:num w:numId="29" w16cid:durableId="1059788417">
    <w:abstractNumId w:val="2"/>
  </w:num>
  <w:num w:numId="30" w16cid:durableId="1789157046">
    <w:abstractNumId w:val="26"/>
  </w:num>
  <w:num w:numId="31" w16cid:durableId="75329875">
    <w:abstractNumId w:val="20"/>
  </w:num>
  <w:num w:numId="32" w16cid:durableId="992804968">
    <w:abstractNumId w:val="29"/>
  </w:num>
  <w:num w:numId="33" w16cid:durableId="446048068">
    <w:abstractNumId w:val="41"/>
  </w:num>
  <w:num w:numId="34" w16cid:durableId="952054779">
    <w:abstractNumId w:val="17"/>
  </w:num>
  <w:num w:numId="35" w16cid:durableId="1344479067">
    <w:abstractNumId w:val="1"/>
  </w:num>
  <w:num w:numId="36" w16cid:durableId="1093207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5660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5261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8030344">
    <w:abstractNumId w:val="5"/>
  </w:num>
  <w:num w:numId="40" w16cid:durableId="19248009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0519373">
    <w:abstractNumId w:val="11"/>
  </w:num>
  <w:num w:numId="42" w16cid:durableId="1402824746">
    <w:abstractNumId w:val="38"/>
  </w:num>
  <w:num w:numId="43" w16cid:durableId="1983579435">
    <w:abstractNumId w:val="27"/>
  </w:num>
  <w:num w:numId="44" w16cid:durableId="787046599">
    <w:abstractNumId w:val="35"/>
  </w:num>
  <w:num w:numId="45" w16cid:durableId="1143769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994"/>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434"/>
    <w:rsid w:val="00012532"/>
    <w:rsid w:val="00012B9E"/>
    <w:rsid w:val="00012FBA"/>
    <w:rsid w:val="00013C6B"/>
    <w:rsid w:val="0001406B"/>
    <w:rsid w:val="000143F8"/>
    <w:rsid w:val="00014624"/>
    <w:rsid w:val="000147ED"/>
    <w:rsid w:val="00014BF4"/>
    <w:rsid w:val="00015A73"/>
    <w:rsid w:val="00015B44"/>
    <w:rsid w:val="00016081"/>
    <w:rsid w:val="000165AC"/>
    <w:rsid w:val="00016651"/>
    <w:rsid w:val="00016881"/>
    <w:rsid w:val="000171A2"/>
    <w:rsid w:val="00017B65"/>
    <w:rsid w:val="00017F12"/>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260"/>
    <w:rsid w:val="000263F0"/>
    <w:rsid w:val="00026407"/>
    <w:rsid w:val="000264F6"/>
    <w:rsid w:val="00026608"/>
    <w:rsid w:val="00026B36"/>
    <w:rsid w:val="0002738B"/>
    <w:rsid w:val="00027545"/>
    <w:rsid w:val="00027787"/>
    <w:rsid w:val="000278D2"/>
    <w:rsid w:val="00031384"/>
    <w:rsid w:val="000315E1"/>
    <w:rsid w:val="0003236E"/>
    <w:rsid w:val="00032C57"/>
    <w:rsid w:val="00033295"/>
    <w:rsid w:val="0003339A"/>
    <w:rsid w:val="00034134"/>
    <w:rsid w:val="000341F2"/>
    <w:rsid w:val="00034651"/>
    <w:rsid w:val="000351F2"/>
    <w:rsid w:val="00035224"/>
    <w:rsid w:val="0003680A"/>
    <w:rsid w:val="00036E03"/>
    <w:rsid w:val="00037198"/>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5F95"/>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22"/>
    <w:rsid w:val="00056F66"/>
    <w:rsid w:val="0005702F"/>
    <w:rsid w:val="00057661"/>
    <w:rsid w:val="0005779C"/>
    <w:rsid w:val="0006040A"/>
    <w:rsid w:val="00061D06"/>
    <w:rsid w:val="000627EE"/>
    <w:rsid w:val="0006294B"/>
    <w:rsid w:val="00062CDD"/>
    <w:rsid w:val="00063FA5"/>
    <w:rsid w:val="000640AF"/>
    <w:rsid w:val="0006461C"/>
    <w:rsid w:val="00064940"/>
    <w:rsid w:val="00064CAE"/>
    <w:rsid w:val="00064DB7"/>
    <w:rsid w:val="00064FA7"/>
    <w:rsid w:val="00065195"/>
    <w:rsid w:val="00070AF1"/>
    <w:rsid w:val="000714DE"/>
    <w:rsid w:val="000723DC"/>
    <w:rsid w:val="0007254F"/>
    <w:rsid w:val="00073C30"/>
    <w:rsid w:val="00074305"/>
    <w:rsid w:val="00074B2A"/>
    <w:rsid w:val="00075108"/>
    <w:rsid w:val="00075B3E"/>
    <w:rsid w:val="00076456"/>
    <w:rsid w:val="00076604"/>
    <w:rsid w:val="0007779B"/>
    <w:rsid w:val="000777E7"/>
    <w:rsid w:val="0007790A"/>
    <w:rsid w:val="0008006F"/>
    <w:rsid w:val="0008017B"/>
    <w:rsid w:val="00080287"/>
    <w:rsid w:val="000807F4"/>
    <w:rsid w:val="00080ACD"/>
    <w:rsid w:val="000811ED"/>
    <w:rsid w:val="00081284"/>
    <w:rsid w:val="00081D62"/>
    <w:rsid w:val="00081E36"/>
    <w:rsid w:val="000820A1"/>
    <w:rsid w:val="000820CE"/>
    <w:rsid w:val="000824E0"/>
    <w:rsid w:val="00082B74"/>
    <w:rsid w:val="00083099"/>
    <w:rsid w:val="00083EDC"/>
    <w:rsid w:val="00083EE6"/>
    <w:rsid w:val="000847C0"/>
    <w:rsid w:val="00084873"/>
    <w:rsid w:val="00084B97"/>
    <w:rsid w:val="0008510E"/>
    <w:rsid w:val="000856DE"/>
    <w:rsid w:val="00085F17"/>
    <w:rsid w:val="00085FB3"/>
    <w:rsid w:val="00086335"/>
    <w:rsid w:val="0008686B"/>
    <w:rsid w:val="00086B2A"/>
    <w:rsid w:val="00086E85"/>
    <w:rsid w:val="00086ED2"/>
    <w:rsid w:val="00087564"/>
    <w:rsid w:val="000914D6"/>
    <w:rsid w:val="00091569"/>
    <w:rsid w:val="00091642"/>
    <w:rsid w:val="00092DCA"/>
    <w:rsid w:val="000935F8"/>
    <w:rsid w:val="00093C51"/>
    <w:rsid w:val="000942EB"/>
    <w:rsid w:val="00095B70"/>
    <w:rsid w:val="00095C0D"/>
    <w:rsid w:val="0009617E"/>
    <w:rsid w:val="00096489"/>
    <w:rsid w:val="000973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0BB"/>
    <w:rsid w:val="000A73BB"/>
    <w:rsid w:val="000A7EF4"/>
    <w:rsid w:val="000B09AF"/>
    <w:rsid w:val="000B0A15"/>
    <w:rsid w:val="000B0DF3"/>
    <w:rsid w:val="000B103F"/>
    <w:rsid w:val="000B1437"/>
    <w:rsid w:val="000B1470"/>
    <w:rsid w:val="000B2B86"/>
    <w:rsid w:val="000B3051"/>
    <w:rsid w:val="000B419B"/>
    <w:rsid w:val="000B4364"/>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CEC"/>
    <w:rsid w:val="000C4F49"/>
    <w:rsid w:val="000C4F8F"/>
    <w:rsid w:val="000C5861"/>
    <w:rsid w:val="000C5A63"/>
    <w:rsid w:val="000C639D"/>
    <w:rsid w:val="000C67BB"/>
    <w:rsid w:val="000C6C31"/>
    <w:rsid w:val="000C6DBC"/>
    <w:rsid w:val="000C6F79"/>
    <w:rsid w:val="000C7211"/>
    <w:rsid w:val="000C7476"/>
    <w:rsid w:val="000C7711"/>
    <w:rsid w:val="000C7AA2"/>
    <w:rsid w:val="000D0462"/>
    <w:rsid w:val="000D04CA"/>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D7F5E"/>
    <w:rsid w:val="000E0261"/>
    <w:rsid w:val="000E0B3C"/>
    <w:rsid w:val="000E0D8E"/>
    <w:rsid w:val="000E2109"/>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6F5"/>
    <w:rsid w:val="000F1BBD"/>
    <w:rsid w:val="000F2739"/>
    <w:rsid w:val="000F3138"/>
    <w:rsid w:val="000F3D39"/>
    <w:rsid w:val="000F4403"/>
    <w:rsid w:val="000F4C3F"/>
    <w:rsid w:val="000F4E17"/>
    <w:rsid w:val="000F4ED7"/>
    <w:rsid w:val="000F636A"/>
    <w:rsid w:val="000F6578"/>
    <w:rsid w:val="000F70CD"/>
    <w:rsid w:val="000F79F9"/>
    <w:rsid w:val="000F7ABD"/>
    <w:rsid w:val="000F7E8F"/>
    <w:rsid w:val="000F7FBB"/>
    <w:rsid w:val="001000FB"/>
    <w:rsid w:val="0010026C"/>
    <w:rsid w:val="00101134"/>
    <w:rsid w:val="001015D2"/>
    <w:rsid w:val="00102605"/>
    <w:rsid w:val="00102686"/>
    <w:rsid w:val="00102745"/>
    <w:rsid w:val="001032E3"/>
    <w:rsid w:val="00103361"/>
    <w:rsid w:val="00103855"/>
    <w:rsid w:val="00103915"/>
    <w:rsid w:val="00103EA0"/>
    <w:rsid w:val="001046B8"/>
    <w:rsid w:val="00104F1C"/>
    <w:rsid w:val="001051E5"/>
    <w:rsid w:val="001056C4"/>
    <w:rsid w:val="00105787"/>
    <w:rsid w:val="00105A74"/>
    <w:rsid w:val="00105ACB"/>
    <w:rsid w:val="00105AEF"/>
    <w:rsid w:val="00106259"/>
    <w:rsid w:val="001065E4"/>
    <w:rsid w:val="00106628"/>
    <w:rsid w:val="001068EB"/>
    <w:rsid w:val="001078CE"/>
    <w:rsid w:val="0011065B"/>
    <w:rsid w:val="00110CEB"/>
    <w:rsid w:val="00110F61"/>
    <w:rsid w:val="001111BD"/>
    <w:rsid w:val="0011165A"/>
    <w:rsid w:val="00111B2B"/>
    <w:rsid w:val="00111DFA"/>
    <w:rsid w:val="00111ED9"/>
    <w:rsid w:val="00112609"/>
    <w:rsid w:val="00112774"/>
    <w:rsid w:val="00112B2E"/>
    <w:rsid w:val="00113003"/>
    <w:rsid w:val="00113062"/>
    <w:rsid w:val="0011350E"/>
    <w:rsid w:val="00113705"/>
    <w:rsid w:val="00113975"/>
    <w:rsid w:val="00113BD4"/>
    <w:rsid w:val="00113CFC"/>
    <w:rsid w:val="00113FEA"/>
    <w:rsid w:val="00114324"/>
    <w:rsid w:val="00114A22"/>
    <w:rsid w:val="00114E9D"/>
    <w:rsid w:val="0011507B"/>
    <w:rsid w:val="001158C1"/>
    <w:rsid w:val="00115D13"/>
    <w:rsid w:val="00116328"/>
    <w:rsid w:val="001169FD"/>
    <w:rsid w:val="001174C9"/>
    <w:rsid w:val="00117B9F"/>
    <w:rsid w:val="00117C28"/>
    <w:rsid w:val="00117C82"/>
    <w:rsid w:val="00117E69"/>
    <w:rsid w:val="0012061F"/>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8E2"/>
    <w:rsid w:val="00134FF9"/>
    <w:rsid w:val="00135E88"/>
    <w:rsid w:val="0013695C"/>
    <w:rsid w:val="00136BF7"/>
    <w:rsid w:val="001378B9"/>
    <w:rsid w:val="00137FD1"/>
    <w:rsid w:val="00137FFA"/>
    <w:rsid w:val="00140109"/>
    <w:rsid w:val="0014029B"/>
    <w:rsid w:val="00140421"/>
    <w:rsid w:val="00140A4F"/>
    <w:rsid w:val="001413AB"/>
    <w:rsid w:val="001428C2"/>
    <w:rsid w:val="001432AF"/>
    <w:rsid w:val="00144335"/>
    <w:rsid w:val="0014502F"/>
    <w:rsid w:val="00145282"/>
    <w:rsid w:val="001453B0"/>
    <w:rsid w:val="001454D9"/>
    <w:rsid w:val="00145D8E"/>
    <w:rsid w:val="00146083"/>
    <w:rsid w:val="001462F7"/>
    <w:rsid w:val="001466F0"/>
    <w:rsid w:val="00146B60"/>
    <w:rsid w:val="00147798"/>
    <w:rsid w:val="00150005"/>
    <w:rsid w:val="00151420"/>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721"/>
    <w:rsid w:val="00161E62"/>
    <w:rsid w:val="00161F1C"/>
    <w:rsid w:val="0016200B"/>
    <w:rsid w:val="0016241B"/>
    <w:rsid w:val="00163A9C"/>
    <w:rsid w:val="00163D7A"/>
    <w:rsid w:val="00164281"/>
    <w:rsid w:val="00164AF1"/>
    <w:rsid w:val="001654DF"/>
    <w:rsid w:val="00166476"/>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6F27"/>
    <w:rsid w:val="00177076"/>
    <w:rsid w:val="00180181"/>
    <w:rsid w:val="001805C1"/>
    <w:rsid w:val="00180A2E"/>
    <w:rsid w:val="001813AF"/>
    <w:rsid w:val="00181E0E"/>
    <w:rsid w:val="00182831"/>
    <w:rsid w:val="001829CD"/>
    <w:rsid w:val="00182F01"/>
    <w:rsid w:val="00183D3F"/>
    <w:rsid w:val="00184F27"/>
    <w:rsid w:val="001850E6"/>
    <w:rsid w:val="0018519B"/>
    <w:rsid w:val="001856BA"/>
    <w:rsid w:val="00185950"/>
    <w:rsid w:val="00185AFE"/>
    <w:rsid w:val="00185E78"/>
    <w:rsid w:val="00187177"/>
    <w:rsid w:val="00187443"/>
    <w:rsid w:val="00187A43"/>
    <w:rsid w:val="00187ABD"/>
    <w:rsid w:val="001904E3"/>
    <w:rsid w:val="00190834"/>
    <w:rsid w:val="0019087A"/>
    <w:rsid w:val="00191395"/>
    <w:rsid w:val="00191C5A"/>
    <w:rsid w:val="00191CEB"/>
    <w:rsid w:val="00191E63"/>
    <w:rsid w:val="00192D68"/>
    <w:rsid w:val="0019388B"/>
    <w:rsid w:val="00193B9A"/>
    <w:rsid w:val="001946AE"/>
    <w:rsid w:val="001946D5"/>
    <w:rsid w:val="00194E8C"/>
    <w:rsid w:val="00195511"/>
    <w:rsid w:val="001962EC"/>
    <w:rsid w:val="001963DD"/>
    <w:rsid w:val="001965DB"/>
    <w:rsid w:val="00196DC9"/>
    <w:rsid w:val="001A0236"/>
    <w:rsid w:val="001A0A02"/>
    <w:rsid w:val="001A0AF8"/>
    <w:rsid w:val="001A18D5"/>
    <w:rsid w:val="001A1CC0"/>
    <w:rsid w:val="001A1D4A"/>
    <w:rsid w:val="001A3011"/>
    <w:rsid w:val="001A301E"/>
    <w:rsid w:val="001A325B"/>
    <w:rsid w:val="001A3C61"/>
    <w:rsid w:val="001A3FC3"/>
    <w:rsid w:val="001A4A08"/>
    <w:rsid w:val="001A4DAF"/>
    <w:rsid w:val="001A66DF"/>
    <w:rsid w:val="001A67D0"/>
    <w:rsid w:val="001A683A"/>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600B"/>
    <w:rsid w:val="001C621E"/>
    <w:rsid w:val="001C6407"/>
    <w:rsid w:val="001C6898"/>
    <w:rsid w:val="001C6DD8"/>
    <w:rsid w:val="001C7C7B"/>
    <w:rsid w:val="001D068D"/>
    <w:rsid w:val="001D0A71"/>
    <w:rsid w:val="001D12D1"/>
    <w:rsid w:val="001D15DF"/>
    <w:rsid w:val="001D2970"/>
    <w:rsid w:val="001D30F3"/>
    <w:rsid w:val="001D31A0"/>
    <w:rsid w:val="001D338E"/>
    <w:rsid w:val="001D36E4"/>
    <w:rsid w:val="001D399D"/>
    <w:rsid w:val="001D3D3F"/>
    <w:rsid w:val="001D408D"/>
    <w:rsid w:val="001D4141"/>
    <w:rsid w:val="001D56E9"/>
    <w:rsid w:val="001D5765"/>
    <w:rsid w:val="001D64DA"/>
    <w:rsid w:val="001D7923"/>
    <w:rsid w:val="001D796A"/>
    <w:rsid w:val="001D7A84"/>
    <w:rsid w:val="001D7C79"/>
    <w:rsid w:val="001E03AA"/>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E7B2B"/>
    <w:rsid w:val="001F07D6"/>
    <w:rsid w:val="001F0FA0"/>
    <w:rsid w:val="001F1349"/>
    <w:rsid w:val="001F1863"/>
    <w:rsid w:val="001F1C4A"/>
    <w:rsid w:val="001F232D"/>
    <w:rsid w:val="001F2356"/>
    <w:rsid w:val="001F2A68"/>
    <w:rsid w:val="001F39EA"/>
    <w:rsid w:val="001F40F2"/>
    <w:rsid w:val="001F4773"/>
    <w:rsid w:val="001F5008"/>
    <w:rsid w:val="001F512D"/>
    <w:rsid w:val="001F56AA"/>
    <w:rsid w:val="001F58AA"/>
    <w:rsid w:val="001F5BD6"/>
    <w:rsid w:val="001F5EF6"/>
    <w:rsid w:val="001F657F"/>
    <w:rsid w:val="001F6FB6"/>
    <w:rsid w:val="001F7978"/>
    <w:rsid w:val="001F7A0E"/>
    <w:rsid w:val="0020022E"/>
    <w:rsid w:val="002004AC"/>
    <w:rsid w:val="0020054E"/>
    <w:rsid w:val="00200B51"/>
    <w:rsid w:val="00201F1E"/>
    <w:rsid w:val="0020299B"/>
    <w:rsid w:val="00202E44"/>
    <w:rsid w:val="002037AA"/>
    <w:rsid w:val="00203C9F"/>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0E3F"/>
    <w:rsid w:val="002221CE"/>
    <w:rsid w:val="00222740"/>
    <w:rsid w:val="00222BE8"/>
    <w:rsid w:val="00223102"/>
    <w:rsid w:val="002232CB"/>
    <w:rsid w:val="00223AA2"/>
    <w:rsid w:val="00224022"/>
    <w:rsid w:val="00226055"/>
    <w:rsid w:val="0022613F"/>
    <w:rsid w:val="00226236"/>
    <w:rsid w:val="00226DF9"/>
    <w:rsid w:val="002270C9"/>
    <w:rsid w:val="00227710"/>
    <w:rsid w:val="00227A8B"/>
    <w:rsid w:val="002305E8"/>
    <w:rsid w:val="0023146B"/>
    <w:rsid w:val="002315A0"/>
    <w:rsid w:val="00231CE0"/>
    <w:rsid w:val="00231DBA"/>
    <w:rsid w:val="00231EC7"/>
    <w:rsid w:val="0023208B"/>
    <w:rsid w:val="00232A6C"/>
    <w:rsid w:val="00232E15"/>
    <w:rsid w:val="00233079"/>
    <w:rsid w:val="0023382C"/>
    <w:rsid w:val="00233977"/>
    <w:rsid w:val="00233C58"/>
    <w:rsid w:val="00233C71"/>
    <w:rsid w:val="002345B6"/>
    <w:rsid w:val="00234B84"/>
    <w:rsid w:val="00235FCA"/>
    <w:rsid w:val="00236016"/>
    <w:rsid w:val="00237065"/>
    <w:rsid w:val="00237213"/>
    <w:rsid w:val="002373DC"/>
    <w:rsid w:val="00237589"/>
    <w:rsid w:val="0023758D"/>
    <w:rsid w:val="002375A7"/>
    <w:rsid w:val="0024019A"/>
    <w:rsid w:val="002411DE"/>
    <w:rsid w:val="0024131D"/>
    <w:rsid w:val="002413B5"/>
    <w:rsid w:val="002415B8"/>
    <w:rsid w:val="00241618"/>
    <w:rsid w:val="00241E21"/>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28B"/>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07E"/>
    <w:rsid w:val="002604AA"/>
    <w:rsid w:val="0026129B"/>
    <w:rsid w:val="00261560"/>
    <w:rsid w:val="00261715"/>
    <w:rsid w:val="00261CF9"/>
    <w:rsid w:val="00261EC0"/>
    <w:rsid w:val="0026231B"/>
    <w:rsid w:val="00263101"/>
    <w:rsid w:val="00263201"/>
    <w:rsid w:val="00263A37"/>
    <w:rsid w:val="002653A6"/>
    <w:rsid w:val="00265F83"/>
    <w:rsid w:val="0026608D"/>
    <w:rsid w:val="002661F1"/>
    <w:rsid w:val="002663BA"/>
    <w:rsid w:val="002664B7"/>
    <w:rsid w:val="00266AAA"/>
    <w:rsid w:val="00266CB5"/>
    <w:rsid w:val="002711A4"/>
    <w:rsid w:val="00271F13"/>
    <w:rsid w:val="002721E2"/>
    <w:rsid w:val="00272414"/>
    <w:rsid w:val="00273D71"/>
    <w:rsid w:val="00274DB5"/>
    <w:rsid w:val="00275BB1"/>
    <w:rsid w:val="00275FBF"/>
    <w:rsid w:val="00276320"/>
    <w:rsid w:val="00276373"/>
    <w:rsid w:val="00277933"/>
    <w:rsid w:val="00277AF4"/>
    <w:rsid w:val="00277F13"/>
    <w:rsid w:val="00277F8D"/>
    <w:rsid w:val="00277FA7"/>
    <w:rsid w:val="002805E0"/>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1FE"/>
    <w:rsid w:val="00290781"/>
    <w:rsid w:val="002912D3"/>
    <w:rsid w:val="00291784"/>
    <w:rsid w:val="00291C49"/>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7D1"/>
    <w:rsid w:val="002A3842"/>
    <w:rsid w:val="002A3D94"/>
    <w:rsid w:val="002A4736"/>
    <w:rsid w:val="002A4B1C"/>
    <w:rsid w:val="002A4BDD"/>
    <w:rsid w:val="002A4CC8"/>
    <w:rsid w:val="002A4DBB"/>
    <w:rsid w:val="002A60A4"/>
    <w:rsid w:val="002A65C1"/>
    <w:rsid w:val="002A6AFB"/>
    <w:rsid w:val="002A6B62"/>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248"/>
    <w:rsid w:val="002B541A"/>
    <w:rsid w:val="002B6407"/>
    <w:rsid w:val="002B6416"/>
    <w:rsid w:val="002B6459"/>
    <w:rsid w:val="002B64D2"/>
    <w:rsid w:val="002B68FE"/>
    <w:rsid w:val="002B73B0"/>
    <w:rsid w:val="002C1143"/>
    <w:rsid w:val="002C24B4"/>
    <w:rsid w:val="002C2739"/>
    <w:rsid w:val="002C2B3A"/>
    <w:rsid w:val="002C2B87"/>
    <w:rsid w:val="002C35C3"/>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953"/>
    <w:rsid w:val="002C7EB2"/>
    <w:rsid w:val="002D0845"/>
    <w:rsid w:val="002D0933"/>
    <w:rsid w:val="002D0F58"/>
    <w:rsid w:val="002D19BB"/>
    <w:rsid w:val="002D1A9B"/>
    <w:rsid w:val="002D22C5"/>
    <w:rsid w:val="002D301F"/>
    <w:rsid w:val="002D302A"/>
    <w:rsid w:val="002D36C6"/>
    <w:rsid w:val="002D376B"/>
    <w:rsid w:val="002D37C1"/>
    <w:rsid w:val="002D444B"/>
    <w:rsid w:val="002D4A45"/>
    <w:rsid w:val="002D4A73"/>
    <w:rsid w:val="002D4AB1"/>
    <w:rsid w:val="002D4B42"/>
    <w:rsid w:val="002D4DBA"/>
    <w:rsid w:val="002D5A1B"/>
    <w:rsid w:val="002D65BC"/>
    <w:rsid w:val="002D6D7E"/>
    <w:rsid w:val="002D7EDD"/>
    <w:rsid w:val="002E055C"/>
    <w:rsid w:val="002E1050"/>
    <w:rsid w:val="002E172C"/>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0A29"/>
    <w:rsid w:val="002F13AC"/>
    <w:rsid w:val="002F1D41"/>
    <w:rsid w:val="002F240B"/>
    <w:rsid w:val="002F2F50"/>
    <w:rsid w:val="002F3601"/>
    <w:rsid w:val="002F37DD"/>
    <w:rsid w:val="002F45F6"/>
    <w:rsid w:val="002F692F"/>
    <w:rsid w:val="002F69BE"/>
    <w:rsid w:val="002F782A"/>
    <w:rsid w:val="002F7B66"/>
    <w:rsid w:val="00300CB4"/>
    <w:rsid w:val="00300DE7"/>
    <w:rsid w:val="00300E24"/>
    <w:rsid w:val="0030101C"/>
    <w:rsid w:val="003011D9"/>
    <w:rsid w:val="003033BA"/>
    <w:rsid w:val="003043A3"/>
    <w:rsid w:val="00304BD4"/>
    <w:rsid w:val="0030500A"/>
    <w:rsid w:val="0030517B"/>
    <w:rsid w:val="003052EB"/>
    <w:rsid w:val="00305521"/>
    <w:rsid w:val="00305FCB"/>
    <w:rsid w:val="0030600C"/>
    <w:rsid w:val="003063C3"/>
    <w:rsid w:val="00306B44"/>
    <w:rsid w:val="00307C44"/>
    <w:rsid w:val="0031088E"/>
    <w:rsid w:val="00310A35"/>
    <w:rsid w:val="00310CAF"/>
    <w:rsid w:val="00310D01"/>
    <w:rsid w:val="00311376"/>
    <w:rsid w:val="00311A1F"/>
    <w:rsid w:val="00311B47"/>
    <w:rsid w:val="00311D34"/>
    <w:rsid w:val="00311D52"/>
    <w:rsid w:val="00312190"/>
    <w:rsid w:val="003125E0"/>
    <w:rsid w:val="00312606"/>
    <w:rsid w:val="0031271D"/>
    <w:rsid w:val="00312780"/>
    <w:rsid w:val="0031336A"/>
    <w:rsid w:val="00313447"/>
    <w:rsid w:val="003134DA"/>
    <w:rsid w:val="00313748"/>
    <w:rsid w:val="00313EA3"/>
    <w:rsid w:val="00315457"/>
    <w:rsid w:val="003161A4"/>
    <w:rsid w:val="00316955"/>
    <w:rsid w:val="0031720A"/>
    <w:rsid w:val="0031749B"/>
    <w:rsid w:val="003174E5"/>
    <w:rsid w:val="00317C9D"/>
    <w:rsid w:val="00317CD2"/>
    <w:rsid w:val="00317CDF"/>
    <w:rsid w:val="00317D99"/>
    <w:rsid w:val="0032078D"/>
    <w:rsid w:val="003208F4"/>
    <w:rsid w:val="00320A6D"/>
    <w:rsid w:val="00320A6E"/>
    <w:rsid w:val="00320F34"/>
    <w:rsid w:val="0032137B"/>
    <w:rsid w:val="003214F7"/>
    <w:rsid w:val="00321BD6"/>
    <w:rsid w:val="00321FA3"/>
    <w:rsid w:val="003227D3"/>
    <w:rsid w:val="00322937"/>
    <w:rsid w:val="00322A1F"/>
    <w:rsid w:val="00322A46"/>
    <w:rsid w:val="00322A84"/>
    <w:rsid w:val="00323881"/>
    <w:rsid w:val="00323B73"/>
    <w:rsid w:val="003254F5"/>
    <w:rsid w:val="00325D98"/>
    <w:rsid w:val="0032682A"/>
    <w:rsid w:val="00327A5C"/>
    <w:rsid w:val="0033092C"/>
    <w:rsid w:val="0033122A"/>
    <w:rsid w:val="003315AC"/>
    <w:rsid w:val="00331932"/>
    <w:rsid w:val="00333440"/>
    <w:rsid w:val="00333A88"/>
    <w:rsid w:val="00333FFB"/>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4D3C"/>
    <w:rsid w:val="0034680A"/>
    <w:rsid w:val="00346C62"/>
    <w:rsid w:val="0034778E"/>
    <w:rsid w:val="00347FEE"/>
    <w:rsid w:val="003501E2"/>
    <w:rsid w:val="00350A59"/>
    <w:rsid w:val="00351E10"/>
    <w:rsid w:val="0035273A"/>
    <w:rsid w:val="00352A14"/>
    <w:rsid w:val="00352D59"/>
    <w:rsid w:val="003533F4"/>
    <w:rsid w:val="003536F6"/>
    <w:rsid w:val="00353DD5"/>
    <w:rsid w:val="00355131"/>
    <w:rsid w:val="00355462"/>
    <w:rsid w:val="00356438"/>
    <w:rsid w:val="00356687"/>
    <w:rsid w:val="003609C4"/>
    <w:rsid w:val="00360D9B"/>
    <w:rsid w:val="003618D9"/>
    <w:rsid w:val="00361A59"/>
    <w:rsid w:val="00362B12"/>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009"/>
    <w:rsid w:val="003732E4"/>
    <w:rsid w:val="00373301"/>
    <w:rsid w:val="00373827"/>
    <w:rsid w:val="00373F04"/>
    <w:rsid w:val="0037401C"/>
    <w:rsid w:val="00374775"/>
    <w:rsid w:val="00374A1E"/>
    <w:rsid w:val="0037507B"/>
    <w:rsid w:val="003759D1"/>
    <w:rsid w:val="00375C7C"/>
    <w:rsid w:val="003762F6"/>
    <w:rsid w:val="00377027"/>
    <w:rsid w:val="00377135"/>
    <w:rsid w:val="00380272"/>
    <w:rsid w:val="00380355"/>
    <w:rsid w:val="00380576"/>
    <w:rsid w:val="003805DB"/>
    <w:rsid w:val="003813F4"/>
    <w:rsid w:val="0038152A"/>
    <w:rsid w:val="0038243B"/>
    <w:rsid w:val="00382BAD"/>
    <w:rsid w:val="00383878"/>
    <w:rsid w:val="00383A8D"/>
    <w:rsid w:val="00384CD6"/>
    <w:rsid w:val="00384DF1"/>
    <w:rsid w:val="00384FF3"/>
    <w:rsid w:val="00386456"/>
    <w:rsid w:val="003865A9"/>
    <w:rsid w:val="003867EE"/>
    <w:rsid w:val="00387642"/>
    <w:rsid w:val="00387FC5"/>
    <w:rsid w:val="003903B6"/>
    <w:rsid w:val="0039086A"/>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5AD8"/>
    <w:rsid w:val="003A6160"/>
    <w:rsid w:val="003A65A5"/>
    <w:rsid w:val="003A72F5"/>
    <w:rsid w:val="003A78E5"/>
    <w:rsid w:val="003B0341"/>
    <w:rsid w:val="003B0435"/>
    <w:rsid w:val="003B1201"/>
    <w:rsid w:val="003B120F"/>
    <w:rsid w:val="003B1E57"/>
    <w:rsid w:val="003B2885"/>
    <w:rsid w:val="003B2EF3"/>
    <w:rsid w:val="003B3676"/>
    <w:rsid w:val="003B4B1C"/>
    <w:rsid w:val="003B4CB2"/>
    <w:rsid w:val="003B4F2D"/>
    <w:rsid w:val="003B534F"/>
    <w:rsid w:val="003B5391"/>
    <w:rsid w:val="003B5952"/>
    <w:rsid w:val="003B5AB6"/>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7EF"/>
    <w:rsid w:val="003C6D53"/>
    <w:rsid w:val="003C73C7"/>
    <w:rsid w:val="003D03F3"/>
    <w:rsid w:val="003D050B"/>
    <w:rsid w:val="003D0B98"/>
    <w:rsid w:val="003D0C3C"/>
    <w:rsid w:val="003D0DE5"/>
    <w:rsid w:val="003D0DF1"/>
    <w:rsid w:val="003D1351"/>
    <w:rsid w:val="003D1E4F"/>
    <w:rsid w:val="003D21C1"/>
    <w:rsid w:val="003D2924"/>
    <w:rsid w:val="003D2AF7"/>
    <w:rsid w:val="003D3707"/>
    <w:rsid w:val="003D3B15"/>
    <w:rsid w:val="003D3B2E"/>
    <w:rsid w:val="003D484D"/>
    <w:rsid w:val="003D49CB"/>
    <w:rsid w:val="003D4BD6"/>
    <w:rsid w:val="003D6412"/>
    <w:rsid w:val="003D6B8F"/>
    <w:rsid w:val="003D7566"/>
    <w:rsid w:val="003E06BB"/>
    <w:rsid w:val="003E08B3"/>
    <w:rsid w:val="003E09BB"/>
    <w:rsid w:val="003E0EAD"/>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1AD"/>
    <w:rsid w:val="003F04B0"/>
    <w:rsid w:val="003F0F7F"/>
    <w:rsid w:val="003F1543"/>
    <w:rsid w:val="003F300D"/>
    <w:rsid w:val="003F391F"/>
    <w:rsid w:val="003F4599"/>
    <w:rsid w:val="003F45E1"/>
    <w:rsid w:val="003F4F6C"/>
    <w:rsid w:val="003F516A"/>
    <w:rsid w:val="003F559E"/>
    <w:rsid w:val="003F5DB7"/>
    <w:rsid w:val="003F6181"/>
    <w:rsid w:val="003F6372"/>
    <w:rsid w:val="003F7343"/>
    <w:rsid w:val="00400002"/>
    <w:rsid w:val="00400054"/>
    <w:rsid w:val="0040083B"/>
    <w:rsid w:val="0040152A"/>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A6"/>
    <w:rsid w:val="00407ABC"/>
    <w:rsid w:val="00407F1E"/>
    <w:rsid w:val="00410A88"/>
    <w:rsid w:val="00411317"/>
    <w:rsid w:val="00411A9E"/>
    <w:rsid w:val="00411D88"/>
    <w:rsid w:val="0041214C"/>
    <w:rsid w:val="0041259F"/>
    <w:rsid w:val="0041286F"/>
    <w:rsid w:val="00412B4D"/>
    <w:rsid w:val="00412BBF"/>
    <w:rsid w:val="00412C51"/>
    <w:rsid w:val="00413262"/>
    <w:rsid w:val="0041329C"/>
    <w:rsid w:val="004139F4"/>
    <w:rsid w:val="00413FFA"/>
    <w:rsid w:val="00414246"/>
    <w:rsid w:val="004146CA"/>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001"/>
    <w:rsid w:val="00422DCA"/>
    <w:rsid w:val="00423F9F"/>
    <w:rsid w:val="0042499B"/>
    <w:rsid w:val="00424FEC"/>
    <w:rsid w:val="00425C43"/>
    <w:rsid w:val="00426C69"/>
    <w:rsid w:val="00426D3B"/>
    <w:rsid w:val="004273FA"/>
    <w:rsid w:val="004276C2"/>
    <w:rsid w:val="00430186"/>
    <w:rsid w:val="00430730"/>
    <w:rsid w:val="0043269A"/>
    <w:rsid w:val="00432E14"/>
    <w:rsid w:val="004333C2"/>
    <w:rsid w:val="00433ACB"/>
    <w:rsid w:val="00434787"/>
    <w:rsid w:val="004347DA"/>
    <w:rsid w:val="004349EF"/>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60"/>
    <w:rsid w:val="00445AC2"/>
    <w:rsid w:val="00446037"/>
    <w:rsid w:val="00446343"/>
    <w:rsid w:val="0044642F"/>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3C50"/>
    <w:rsid w:val="00454548"/>
    <w:rsid w:val="00454582"/>
    <w:rsid w:val="0045463D"/>
    <w:rsid w:val="00454717"/>
    <w:rsid w:val="00455047"/>
    <w:rsid w:val="00455354"/>
    <w:rsid w:val="0045558D"/>
    <w:rsid w:val="00455672"/>
    <w:rsid w:val="00455811"/>
    <w:rsid w:val="00455DEE"/>
    <w:rsid w:val="00456970"/>
    <w:rsid w:val="00456BB1"/>
    <w:rsid w:val="00456DDB"/>
    <w:rsid w:val="00457446"/>
    <w:rsid w:val="004600BE"/>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0BF"/>
    <w:rsid w:val="00465456"/>
    <w:rsid w:val="00465677"/>
    <w:rsid w:val="00465AC3"/>
    <w:rsid w:val="00466616"/>
    <w:rsid w:val="00466A0C"/>
    <w:rsid w:val="00466F8D"/>
    <w:rsid w:val="00470A6A"/>
    <w:rsid w:val="00470D92"/>
    <w:rsid w:val="004712D1"/>
    <w:rsid w:val="00471DF7"/>
    <w:rsid w:val="00471F6B"/>
    <w:rsid w:val="0047295C"/>
    <w:rsid w:val="00472D8E"/>
    <w:rsid w:val="004734CF"/>
    <w:rsid w:val="00474889"/>
    <w:rsid w:val="00475C5A"/>
    <w:rsid w:val="00475C9C"/>
    <w:rsid w:val="0047676B"/>
    <w:rsid w:val="004769C8"/>
    <w:rsid w:val="0047773C"/>
    <w:rsid w:val="00477C5F"/>
    <w:rsid w:val="00480050"/>
    <w:rsid w:val="004808DE"/>
    <w:rsid w:val="00481AC4"/>
    <w:rsid w:val="00481DC1"/>
    <w:rsid w:val="00481DDB"/>
    <w:rsid w:val="00482507"/>
    <w:rsid w:val="0048268A"/>
    <w:rsid w:val="00482BB3"/>
    <w:rsid w:val="00483356"/>
    <w:rsid w:val="004835CA"/>
    <w:rsid w:val="004836F8"/>
    <w:rsid w:val="004836FE"/>
    <w:rsid w:val="00484074"/>
    <w:rsid w:val="004843F9"/>
    <w:rsid w:val="004845C5"/>
    <w:rsid w:val="00484F0F"/>
    <w:rsid w:val="00484F40"/>
    <w:rsid w:val="0048540C"/>
    <w:rsid w:val="0048592F"/>
    <w:rsid w:val="0048605E"/>
    <w:rsid w:val="004861B4"/>
    <w:rsid w:val="00486AB4"/>
    <w:rsid w:val="00486BD0"/>
    <w:rsid w:val="00486D00"/>
    <w:rsid w:val="00486DFC"/>
    <w:rsid w:val="00487263"/>
    <w:rsid w:val="0048734F"/>
    <w:rsid w:val="00487FAD"/>
    <w:rsid w:val="0049029D"/>
    <w:rsid w:val="0049030C"/>
    <w:rsid w:val="004903C0"/>
    <w:rsid w:val="0049114B"/>
    <w:rsid w:val="004912A8"/>
    <w:rsid w:val="00491577"/>
    <w:rsid w:val="0049196E"/>
    <w:rsid w:val="0049241A"/>
    <w:rsid w:val="00492998"/>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4B5"/>
    <w:rsid w:val="004C2B27"/>
    <w:rsid w:val="004C3929"/>
    <w:rsid w:val="004C4DCB"/>
    <w:rsid w:val="004C5212"/>
    <w:rsid w:val="004C5B3B"/>
    <w:rsid w:val="004C5EF0"/>
    <w:rsid w:val="004C7226"/>
    <w:rsid w:val="004C74C9"/>
    <w:rsid w:val="004C75F1"/>
    <w:rsid w:val="004C7D70"/>
    <w:rsid w:val="004D02F9"/>
    <w:rsid w:val="004D03FE"/>
    <w:rsid w:val="004D0446"/>
    <w:rsid w:val="004D060F"/>
    <w:rsid w:val="004D0A4F"/>
    <w:rsid w:val="004D0B08"/>
    <w:rsid w:val="004D0F95"/>
    <w:rsid w:val="004D106A"/>
    <w:rsid w:val="004D2BAD"/>
    <w:rsid w:val="004D31EE"/>
    <w:rsid w:val="004D36AF"/>
    <w:rsid w:val="004D3BD1"/>
    <w:rsid w:val="004D4BA1"/>
    <w:rsid w:val="004D5451"/>
    <w:rsid w:val="004D584D"/>
    <w:rsid w:val="004D58DE"/>
    <w:rsid w:val="004D61E1"/>
    <w:rsid w:val="004D6826"/>
    <w:rsid w:val="004E023F"/>
    <w:rsid w:val="004E05C9"/>
    <w:rsid w:val="004E0742"/>
    <w:rsid w:val="004E0C64"/>
    <w:rsid w:val="004E0F6B"/>
    <w:rsid w:val="004E1545"/>
    <w:rsid w:val="004E1F1C"/>
    <w:rsid w:val="004E26E6"/>
    <w:rsid w:val="004E2A35"/>
    <w:rsid w:val="004E40CE"/>
    <w:rsid w:val="004E4465"/>
    <w:rsid w:val="004E4B62"/>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12F"/>
    <w:rsid w:val="0051265C"/>
    <w:rsid w:val="00512779"/>
    <w:rsid w:val="00512986"/>
    <w:rsid w:val="00512C4F"/>
    <w:rsid w:val="00513042"/>
    <w:rsid w:val="0051334F"/>
    <w:rsid w:val="00513399"/>
    <w:rsid w:val="005135D4"/>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963"/>
    <w:rsid w:val="00524FD2"/>
    <w:rsid w:val="00525621"/>
    <w:rsid w:val="00525B2E"/>
    <w:rsid w:val="00526431"/>
    <w:rsid w:val="005265D8"/>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58CD"/>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6F08"/>
    <w:rsid w:val="00547BF6"/>
    <w:rsid w:val="005502F9"/>
    <w:rsid w:val="00551098"/>
    <w:rsid w:val="00551581"/>
    <w:rsid w:val="00551598"/>
    <w:rsid w:val="00551610"/>
    <w:rsid w:val="0055162B"/>
    <w:rsid w:val="00551BFF"/>
    <w:rsid w:val="00551D68"/>
    <w:rsid w:val="00552B3E"/>
    <w:rsid w:val="005530F9"/>
    <w:rsid w:val="005543E2"/>
    <w:rsid w:val="005547E1"/>
    <w:rsid w:val="00554F3F"/>
    <w:rsid w:val="005551AA"/>
    <w:rsid w:val="005564CA"/>
    <w:rsid w:val="005568EA"/>
    <w:rsid w:val="00557140"/>
    <w:rsid w:val="00557DE4"/>
    <w:rsid w:val="0056058C"/>
    <w:rsid w:val="0056063F"/>
    <w:rsid w:val="00560C87"/>
    <w:rsid w:val="00560EF9"/>
    <w:rsid w:val="00560F51"/>
    <w:rsid w:val="00561249"/>
    <w:rsid w:val="0056182B"/>
    <w:rsid w:val="00561AF3"/>
    <w:rsid w:val="00561E0B"/>
    <w:rsid w:val="00562141"/>
    <w:rsid w:val="00562D86"/>
    <w:rsid w:val="00563680"/>
    <w:rsid w:val="005642EC"/>
    <w:rsid w:val="00564704"/>
    <w:rsid w:val="00564712"/>
    <w:rsid w:val="005657A8"/>
    <w:rsid w:val="00565952"/>
    <w:rsid w:val="00566866"/>
    <w:rsid w:val="005670A5"/>
    <w:rsid w:val="00567106"/>
    <w:rsid w:val="00567723"/>
    <w:rsid w:val="00567AB8"/>
    <w:rsid w:val="00567C02"/>
    <w:rsid w:val="00567CFB"/>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2480"/>
    <w:rsid w:val="00582763"/>
    <w:rsid w:val="0058290E"/>
    <w:rsid w:val="00582CAB"/>
    <w:rsid w:val="00583121"/>
    <w:rsid w:val="0058375E"/>
    <w:rsid w:val="00584233"/>
    <w:rsid w:val="005842D0"/>
    <w:rsid w:val="005855AE"/>
    <w:rsid w:val="00585829"/>
    <w:rsid w:val="00585CA8"/>
    <w:rsid w:val="00586412"/>
    <w:rsid w:val="005864B9"/>
    <w:rsid w:val="005866C4"/>
    <w:rsid w:val="00586BDB"/>
    <w:rsid w:val="00587A28"/>
    <w:rsid w:val="00590F1A"/>
    <w:rsid w:val="00591C03"/>
    <w:rsid w:val="00591E2A"/>
    <w:rsid w:val="005923C4"/>
    <w:rsid w:val="00593480"/>
    <w:rsid w:val="0059360E"/>
    <w:rsid w:val="00593F75"/>
    <w:rsid w:val="005940A0"/>
    <w:rsid w:val="0059429A"/>
    <w:rsid w:val="00595FDD"/>
    <w:rsid w:val="00596AF7"/>
    <w:rsid w:val="00596CCE"/>
    <w:rsid w:val="00597A3A"/>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2A61"/>
    <w:rsid w:val="005C36CF"/>
    <w:rsid w:val="005C3EA3"/>
    <w:rsid w:val="005C405E"/>
    <w:rsid w:val="005C4AC1"/>
    <w:rsid w:val="005C5011"/>
    <w:rsid w:val="005C529E"/>
    <w:rsid w:val="005C57BA"/>
    <w:rsid w:val="005C5C52"/>
    <w:rsid w:val="005C5D3D"/>
    <w:rsid w:val="005C5F05"/>
    <w:rsid w:val="005C7497"/>
    <w:rsid w:val="005C7F3E"/>
    <w:rsid w:val="005D0E1C"/>
    <w:rsid w:val="005D1051"/>
    <w:rsid w:val="005D2044"/>
    <w:rsid w:val="005D2049"/>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3FD7"/>
    <w:rsid w:val="005E4238"/>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168"/>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2505"/>
    <w:rsid w:val="00613191"/>
    <w:rsid w:val="006133F9"/>
    <w:rsid w:val="006134B3"/>
    <w:rsid w:val="006134CF"/>
    <w:rsid w:val="00613DE1"/>
    <w:rsid w:val="0061401F"/>
    <w:rsid w:val="00614166"/>
    <w:rsid w:val="00614817"/>
    <w:rsid w:val="006149CC"/>
    <w:rsid w:val="00615322"/>
    <w:rsid w:val="006157A9"/>
    <w:rsid w:val="0061591D"/>
    <w:rsid w:val="00615BB9"/>
    <w:rsid w:val="00615ED0"/>
    <w:rsid w:val="0061604C"/>
    <w:rsid w:val="0061610B"/>
    <w:rsid w:val="006168BD"/>
    <w:rsid w:val="00616C2B"/>
    <w:rsid w:val="006174FA"/>
    <w:rsid w:val="006178D1"/>
    <w:rsid w:val="00620719"/>
    <w:rsid w:val="006212C9"/>
    <w:rsid w:val="00621D0C"/>
    <w:rsid w:val="00622470"/>
    <w:rsid w:val="00622725"/>
    <w:rsid w:val="006231AA"/>
    <w:rsid w:val="00623482"/>
    <w:rsid w:val="00623AC2"/>
    <w:rsid w:val="00623FF7"/>
    <w:rsid w:val="0062471F"/>
    <w:rsid w:val="0062484A"/>
    <w:rsid w:val="00625A26"/>
    <w:rsid w:val="00625F38"/>
    <w:rsid w:val="006266D7"/>
    <w:rsid w:val="00626BFE"/>
    <w:rsid w:val="00626D42"/>
    <w:rsid w:val="00626EE3"/>
    <w:rsid w:val="0062711E"/>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824"/>
    <w:rsid w:val="00635E32"/>
    <w:rsid w:val="006365DE"/>
    <w:rsid w:val="00636BE4"/>
    <w:rsid w:val="0063746C"/>
    <w:rsid w:val="00637802"/>
    <w:rsid w:val="00637836"/>
    <w:rsid w:val="00637C26"/>
    <w:rsid w:val="00637F44"/>
    <w:rsid w:val="00640659"/>
    <w:rsid w:val="00641078"/>
    <w:rsid w:val="00641242"/>
    <w:rsid w:val="006413F0"/>
    <w:rsid w:val="00642A32"/>
    <w:rsid w:val="00642D53"/>
    <w:rsid w:val="006433D5"/>
    <w:rsid w:val="00646B20"/>
    <w:rsid w:val="00646D0F"/>
    <w:rsid w:val="0064708F"/>
    <w:rsid w:val="00647936"/>
    <w:rsid w:val="00647A36"/>
    <w:rsid w:val="00647DCC"/>
    <w:rsid w:val="00647EFA"/>
    <w:rsid w:val="00647F14"/>
    <w:rsid w:val="00650027"/>
    <w:rsid w:val="0065163A"/>
    <w:rsid w:val="00651B9C"/>
    <w:rsid w:val="00651C47"/>
    <w:rsid w:val="00651D98"/>
    <w:rsid w:val="00652854"/>
    <w:rsid w:val="00652D2C"/>
    <w:rsid w:val="00652E70"/>
    <w:rsid w:val="0065303A"/>
    <w:rsid w:val="00653091"/>
    <w:rsid w:val="0065339A"/>
    <w:rsid w:val="00653469"/>
    <w:rsid w:val="006542D9"/>
    <w:rsid w:val="00654A38"/>
    <w:rsid w:val="00654B4B"/>
    <w:rsid w:val="00654CC4"/>
    <w:rsid w:val="00655301"/>
    <w:rsid w:val="00655371"/>
    <w:rsid w:val="00655876"/>
    <w:rsid w:val="00656C4B"/>
    <w:rsid w:val="006573EA"/>
    <w:rsid w:val="00657651"/>
    <w:rsid w:val="00657659"/>
    <w:rsid w:val="00661029"/>
    <w:rsid w:val="00661042"/>
    <w:rsid w:val="0066135A"/>
    <w:rsid w:val="00661456"/>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298"/>
    <w:rsid w:val="00674A1B"/>
    <w:rsid w:val="006754F8"/>
    <w:rsid w:val="00676127"/>
    <w:rsid w:val="00676AED"/>
    <w:rsid w:val="00676FA6"/>
    <w:rsid w:val="006776AC"/>
    <w:rsid w:val="00677981"/>
    <w:rsid w:val="00677F26"/>
    <w:rsid w:val="006802A7"/>
    <w:rsid w:val="006811C9"/>
    <w:rsid w:val="006812CE"/>
    <w:rsid w:val="006823DC"/>
    <w:rsid w:val="00682791"/>
    <w:rsid w:val="00682C13"/>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4B32"/>
    <w:rsid w:val="00694CAD"/>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DD"/>
    <w:rsid w:val="006A6BF9"/>
    <w:rsid w:val="006A6F85"/>
    <w:rsid w:val="006A743F"/>
    <w:rsid w:val="006A7CB5"/>
    <w:rsid w:val="006A7FD0"/>
    <w:rsid w:val="006B025C"/>
    <w:rsid w:val="006B16D3"/>
    <w:rsid w:val="006B2534"/>
    <w:rsid w:val="006B26E7"/>
    <w:rsid w:val="006B2CB2"/>
    <w:rsid w:val="006B3142"/>
    <w:rsid w:val="006B347D"/>
    <w:rsid w:val="006B3E19"/>
    <w:rsid w:val="006B4488"/>
    <w:rsid w:val="006B5088"/>
    <w:rsid w:val="006B671C"/>
    <w:rsid w:val="006B67AC"/>
    <w:rsid w:val="006B6A25"/>
    <w:rsid w:val="006B7285"/>
    <w:rsid w:val="006B786A"/>
    <w:rsid w:val="006B79B7"/>
    <w:rsid w:val="006B7E4E"/>
    <w:rsid w:val="006C003A"/>
    <w:rsid w:val="006C2454"/>
    <w:rsid w:val="006C2551"/>
    <w:rsid w:val="006C3746"/>
    <w:rsid w:val="006C37CA"/>
    <w:rsid w:val="006C40B7"/>
    <w:rsid w:val="006C40D2"/>
    <w:rsid w:val="006C4C73"/>
    <w:rsid w:val="006C5B15"/>
    <w:rsid w:val="006C5D32"/>
    <w:rsid w:val="006C5DCB"/>
    <w:rsid w:val="006C70C4"/>
    <w:rsid w:val="006C775C"/>
    <w:rsid w:val="006D04DA"/>
    <w:rsid w:val="006D10F6"/>
    <w:rsid w:val="006D1475"/>
    <w:rsid w:val="006D1544"/>
    <w:rsid w:val="006D1688"/>
    <w:rsid w:val="006D1FF3"/>
    <w:rsid w:val="006D2C65"/>
    <w:rsid w:val="006D3136"/>
    <w:rsid w:val="006D32C6"/>
    <w:rsid w:val="006D360E"/>
    <w:rsid w:val="006D3697"/>
    <w:rsid w:val="006D39D2"/>
    <w:rsid w:val="006D3F2A"/>
    <w:rsid w:val="006D4370"/>
    <w:rsid w:val="006D46A3"/>
    <w:rsid w:val="006D6421"/>
    <w:rsid w:val="006D658F"/>
    <w:rsid w:val="006D69FA"/>
    <w:rsid w:val="006D6A12"/>
    <w:rsid w:val="006D712D"/>
    <w:rsid w:val="006D7687"/>
    <w:rsid w:val="006D7D1F"/>
    <w:rsid w:val="006D7D8A"/>
    <w:rsid w:val="006E027A"/>
    <w:rsid w:val="006E0572"/>
    <w:rsid w:val="006E05D8"/>
    <w:rsid w:val="006E08EE"/>
    <w:rsid w:val="006E1130"/>
    <w:rsid w:val="006E155A"/>
    <w:rsid w:val="006E2486"/>
    <w:rsid w:val="006E3452"/>
    <w:rsid w:val="006E39D1"/>
    <w:rsid w:val="006E4038"/>
    <w:rsid w:val="006E437F"/>
    <w:rsid w:val="006E4D5B"/>
    <w:rsid w:val="006E602F"/>
    <w:rsid w:val="006E6720"/>
    <w:rsid w:val="006E68FA"/>
    <w:rsid w:val="006E7275"/>
    <w:rsid w:val="006E77B8"/>
    <w:rsid w:val="006F15CC"/>
    <w:rsid w:val="006F18CE"/>
    <w:rsid w:val="006F1EA6"/>
    <w:rsid w:val="006F3BDD"/>
    <w:rsid w:val="006F3FA3"/>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5BB"/>
    <w:rsid w:val="0070461C"/>
    <w:rsid w:val="00705631"/>
    <w:rsid w:val="00705818"/>
    <w:rsid w:val="00705F62"/>
    <w:rsid w:val="0070750B"/>
    <w:rsid w:val="0070773F"/>
    <w:rsid w:val="00707903"/>
    <w:rsid w:val="0070791D"/>
    <w:rsid w:val="00707ED3"/>
    <w:rsid w:val="007101B7"/>
    <w:rsid w:val="00710668"/>
    <w:rsid w:val="007110F4"/>
    <w:rsid w:val="007112B1"/>
    <w:rsid w:val="0071130F"/>
    <w:rsid w:val="007117C7"/>
    <w:rsid w:val="00712714"/>
    <w:rsid w:val="007128E3"/>
    <w:rsid w:val="007129AB"/>
    <w:rsid w:val="00712B63"/>
    <w:rsid w:val="007130E7"/>
    <w:rsid w:val="00713526"/>
    <w:rsid w:val="00713FC5"/>
    <w:rsid w:val="00715421"/>
    <w:rsid w:val="00715BAE"/>
    <w:rsid w:val="00715BBF"/>
    <w:rsid w:val="00715C29"/>
    <w:rsid w:val="00715CBD"/>
    <w:rsid w:val="00715E86"/>
    <w:rsid w:val="00715EAA"/>
    <w:rsid w:val="00716CAD"/>
    <w:rsid w:val="00716F18"/>
    <w:rsid w:val="0071716D"/>
    <w:rsid w:val="0071718F"/>
    <w:rsid w:val="00717363"/>
    <w:rsid w:val="0071745E"/>
    <w:rsid w:val="00717786"/>
    <w:rsid w:val="00717ACB"/>
    <w:rsid w:val="00721B00"/>
    <w:rsid w:val="00721BFF"/>
    <w:rsid w:val="00722FD8"/>
    <w:rsid w:val="00723326"/>
    <w:rsid w:val="007236C4"/>
    <w:rsid w:val="00723B59"/>
    <w:rsid w:val="00724635"/>
    <w:rsid w:val="0072554B"/>
    <w:rsid w:val="00725AFD"/>
    <w:rsid w:val="00725F81"/>
    <w:rsid w:val="00726603"/>
    <w:rsid w:val="00727452"/>
    <w:rsid w:val="00727DDC"/>
    <w:rsid w:val="00730422"/>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6F5"/>
    <w:rsid w:val="0075094E"/>
    <w:rsid w:val="00750FA8"/>
    <w:rsid w:val="00750FB5"/>
    <w:rsid w:val="00751B4C"/>
    <w:rsid w:val="007522E8"/>
    <w:rsid w:val="00753BAC"/>
    <w:rsid w:val="0075408B"/>
    <w:rsid w:val="00754A0B"/>
    <w:rsid w:val="007552DB"/>
    <w:rsid w:val="00755B08"/>
    <w:rsid w:val="00755DD0"/>
    <w:rsid w:val="007562EC"/>
    <w:rsid w:val="0075647A"/>
    <w:rsid w:val="007566BE"/>
    <w:rsid w:val="00756A2F"/>
    <w:rsid w:val="007573E1"/>
    <w:rsid w:val="0075749E"/>
    <w:rsid w:val="007577DA"/>
    <w:rsid w:val="00757ADA"/>
    <w:rsid w:val="00757B2D"/>
    <w:rsid w:val="00757BAD"/>
    <w:rsid w:val="00757D62"/>
    <w:rsid w:val="00757FB7"/>
    <w:rsid w:val="00760844"/>
    <w:rsid w:val="00760867"/>
    <w:rsid w:val="00760EB6"/>
    <w:rsid w:val="0076105F"/>
    <w:rsid w:val="0076122A"/>
    <w:rsid w:val="007616DB"/>
    <w:rsid w:val="007617D3"/>
    <w:rsid w:val="0076228A"/>
    <w:rsid w:val="00762440"/>
    <w:rsid w:val="007629B7"/>
    <w:rsid w:val="00762E60"/>
    <w:rsid w:val="007634AD"/>
    <w:rsid w:val="00766ECC"/>
    <w:rsid w:val="007672F3"/>
    <w:rsid w:val="007676A9"/>
    <w:rsid w:val="007677B5"/>
    <w:rsid w:val="007678B1"/>
    <w:rsid w:val="00770317"/>
    <w:rsid w:val="007708A8"/>
    <w:rsid w:val="00771C56"/>
    <w:rsid w:val="00772275"/>
    <w:rsid w:val="00772FBA"/>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1D5C"/>
    <w:rsid w:val="007825EF"/>
    <w:rsid w:val="007827B0"/>
    <w:rsid w:val="0078286B"/>
    <w:rsid w:val="00782D2C"/>
    <w:rsid w:val="00782FC2"/>
    <w:rsid w:val="0078302B"/>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5CB6"/>
    <w:rsid w:val="007963F6"/>
    <w:rsid w:val="00796418"/>
    <w:rsid w:val="00796485"/>
    <w:rsid w:val="00796576"/>
    <w:rsid w:val="00796E80"/>
    <w:rsid w:val="007979AD"/>
    <w:rsid w:val="00797A9C"/>
    <w:rsid w:val="007A0EAB"/>
    <w:rsid w:val="007A2341"/>
    <w:rsid w:val="007A38A1"/>
    <w:rsid w:val="007A38C1"/>
    <w:rsid w:val="007A3967"/>
    <w:rsid w:val="007A3BBE"/>
    <w:rsid w:val="007A3E26"/>
    <w:rsid w:val="007A4766"/>
    <w:rsid w:val="007A4952"/>
    <w:rsid w:val="007A5816"/>
    <w:rsid w:val="007A5947"/>
    <w:rsid w:val="007B00D8"/>
    <w:rsid w:val="007B0313"/>
    <w:rsid w:val="007B05FB"/>
    <w:rsid w:val="007B0659"/>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1D"/>
    <w:rsid w:val="007C4241"/>
    <w:rsid w:val="007C51E2"/>
    <w:rsid w:val="007C55FF"/>
    <w:rsid w:val="007C6339"/>
    <w:rsid w:val="007C6EC5"/>
    <w:rsid w:val="007C7ADB"/>
    <w:rsid w:val="007C7C43"/>
    <w:rsid w:val="007C7F0D"/>
    <w:rsid w:val="007D0D03"/>
    <w:rsid w:val="007D1134"/>
    <w:rsid w:val="007D20CF"/>
    <w:rsid w:val="007D23F7"/>
    <w:rsid w:val="007D2566"/>
    <w:rsid w:val="007D2A11"/>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E0"/>
    <w:rsid w:val="007D7FFC"/>
    <w:rsid w:val="007E0812"/>
    <w:rsid w:val="007E16A4"/>
    <w:rsid w:val="007E18DF"/>
    <w:rsid w:val="007E213A"/>
    <w:rsid w:val="007E2A04"/>
    <w:rsid w:val="007E2C36"/>
    <w:rsid w:val="007E342A"/>
    <w:rsid w:val="007E350D"/>
    <w:rsid w:val="007E5C4A"/>
    <w:rsid w:val="007E64D4"/>
    <w:rsid w:val="007E66E9"/>
    <w:rsid w:val="007E683A"/>
    <w:rsid w:val="007E69F2"/>
    <w:rsid w:val="007E7432"/>
    <w:rsid w:val="007E74BF"/>
    <w:rsid w:val="007F14D3"/>
    <w:rsid w:val="007F1C42"/>
    <w:rsid w:val="007F1D9D"/>
    <w:rsid w:val="007F1E28"/>
    <w:rsid w:val="007F1F63"/>
    <w:rsid w:val="007F21D8"/>
    <w:rsid w:val="007F22A0"/>
    <w:rsid w:val="007F28FE"/>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57E"/>
    <w:rsid w:val="008059C6"/>
    <w:rsid w:val="00805AD7"/>
    <w:rsid w:val="00805BD6"/>
    <w:rsid w:val="00805C12"/>
    <w:rsid w:val="00805DE3"/>
    <w:rsid w:val="00807666"/>
    <w:rsid w:val="00807C35"/>
    <w:rsid w:val="00807F69"/>
    <w:rsid w:val="008100EC"/>
    <w:rsid w:val="008100F7"/>
    <w:rsid w:val="00810206"/>
    <w:rsid w:val="00811898"/>
    <w:rsid w:val="008120C4"/>
    <w:rsid w:val="008124D8"/>
    <w:rsid w:val="0081323E"/>
    <w:rsid w:val="008138A8"/>
    <w:rsid w:val="00813A7B"/>
    <w:rsid w:val="00813F04"/>
    <w:rsid w:val="00814B72"/>
    <w:rsid w:val="00814D88"/>
    <w:rsid w:val="00815A07"/>
    <w:rsid w:val="00815DA5"/>
    <w:rsid w:val="00816221"/>
    <w:rsid w:val="0081766B"/>
    <w:rsid w:val="00817BA8"/>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9DF"/>
    <w:rsid w:val="00827B78"/>
    <w:rsid w:val="00827CC0"/>
    <w:rsid w:val="00831026"/>
    <w:rsid w:val="0083119B"/>
    <w:rsid w:val="00831654"/>
    <w:rsid w:val="00831BAE"/>
    <w:rsid w:val="00832216"/>
    <w:rsid w:val="00832706"/>
    <w:rsid w:val="00832CD0"/>
    <w:rsid w:val="00833430"/>
    <w:rsid w:val="00834128"/>
    <w:rsid w:val="0083417F"/>
    <w:rsid w:val="00835143"/>
    <w:rsid w:val="008351F8"/>
    <w:rsid w:val="00835741"/>
    <w:rsid w:val="00836E74"/>
    <w:rsid w:val="00836EAB"/>
    <w:rsid w:val="00837673"/>
    <w:rsid w:val="0083788E"/>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D30"/>
    <w:rsid w:val="00847FFA"/>
    <w:rsid w:val="0085066F"/>
    <w:rsid w:val="0085092D"/>
    <w:rsid w:val="00850D82"/>
    <w:rsid w:val="00850F79"/>
    <w:rsid w:val="0085100B"/>
    <w:rsid w:val="00852F39"/>
    <w:rsid w:val="0085304C"/>
    <w:rsid w:val="00853973"/>
    <w:rsid w:val="00853B5D"/>
    <w:rsid w:val="008548CA"/>
    <w:rsid w:val="00856C06"/>
    <w:rsid w:val="0085790B"/>
    <w:rsid w:val="00857C95"/>
    <w:rsid w:val="00857E78"/>
    <w:rsid w:val="00860AE0"/>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585"/>
    <w:rsid w:val="00872F97"/>
    <w:rsid w:val="00873863"/>
    <w:rsid w:val="0087392A"/>
    <w:rsid w:val="00874607"/>
    <w:rsid w:val="00874915"/>
    <w:rsid w:val="00874B89"/>
    <w:rsid w:val="008752DA"/>
    <w:rsid w:val="00875403"/>
    <w:rsid w:val="00875434"/>
    <w:rsid w:val="00876215"/>
    <w:rsid w:val="0087646C"/>
    <w:rsid w:val="00876815"/>
    <w:rsid w:val="00877932"/>
    <w:rsid w:val="00877B11"/>
    <w:rsid w:val="00877CA8"/>
    <w:rsid w:val="0088067B"/>
    <w:rsid w:val="008808C7"/>
    <w:rsid w:val="0088106B"/>
    <w:rsid w:val="0088107D"/>
    <w:rsid w:val="008810EB"/>
    <w:rsid w:val="008812E2"/>
    <w:rsid w:val="0088168A"/>
    <w:rsid w:val="00881E64"/>
    <w:rsid w:val="00882A3F"/>
    <w:rsid w:val="00882E39"/>
    <w:rsid w:val="008850E3"/>
    <w:rsid w:val="008850EB"/>
    <w:rsid w:val="00886DF2"/>
    <w:rsid w:val="00886FB9"/>
    <w:rsid w:val="00887080"/>
    <w:rsid w:val="00887B47"/>
    <w:rsid w:val="00887BC5"/>
    <w:rsid w:val="00887C79"/>
    <w:rsid w:val="008907CC"/>
    <w:rsid w:val="0089107B"/>
    <w:rsid w:val="008913CC"/>
    <w:rsid w:val="00891411"/>
    <w:rsid w:val="008914AE"/>
    <w:rsid w:val="00891838"/>
    <w:rsid w:val="008919CF"/>
    <w:rsid w:val="00891F84"/>
    <w:rsid w:val="008928EC"/>
    <w:rsid w:val="00892E5D"/>
    <w:rsid w:val="008935CF"/>
    <w:rsid w:val="0089398D"/>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6AA"/>
    <w:rsid w:val="008A07D5"/>
    <w:rsid w:val="008A191D"/>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34B"/>
    <w:rsid w:val="008B6649"/>
    <w:rsid w:val="008B672C"/>
    <w:rsid w:val="008B7611"/>
    <w:rsid w:val="008B7DE4"/>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C7399"/>
    <w:rsid w:val="008D18AA"/>
    <w:rsid w:val="008D1A16"/>
    <w:rsid w:val="008D1A2A"/>
    <w:rsid w:val="008D29B1"/>
    <w:rsid w:val="008D2EB5"/>
    <w:rsid w:val="008D35D9"/>
    <w:rsid w:val="008D3B85"/>
    <w:rsid w:val="008D446F"/>
    <w:rsid w:val="008D4527"/>
    <w:rsid w:val="008D462D"/>
    <w:rsid w:val="008D51F2"/>
    <w:rsid w:val="008D577B"/>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5F7C"/>
    <w:rsid w:val="008E6598"/>
    <w:rsid w:val="008E6A17"/>
    <w:rsid w:val="008E7214"/>
    <w:rsid w:val="008E7348"/>
    <w:rsid w:val="008E7884"/>
    <w:rsid w:val="008E7D6E"/>
    <w:rsid w:val="008F061F"/>
    <w:rsid w:val="008F0737"/>
    <w:rsid w:val="008F1056"/>
    <w:rsid w:val="008F17E7"/>
    <w:rsid w:val="008F2E8D"/>
    <w:rsid w:val="008F3374"/>
    <w:rsid w:val="008F387B"/>
    <w:rsid w:val="008F3DD9"/>
    <w:rsid w:val="008F4814"/>
    <w:rsid w:val="008F4B91"/>
    <w:rsid w:val="008F4DA6"/>
    <w:rsid w:val="008F519D"/>
    <w:rsid w:val="008F538E"/>
    <w:rsid w:val="008F59B4"/>
    <w:rsid w:val="008F5A20"/>
    <w:rsid w:val="008F5ABA"/>
    <w:rsid w:val="008F6CF9"/>
    <w:rsid w:val="008F7905"/>
    <w:rsid w:val="008F7989"/>
    <w:rsid w:val="009026AF"/>
    <w:rsid w:val="009028E8"/>
    <w:rsid w:val="00902E5C"/>
    <w:rsid w:val="0090350D"/>
    <w:rsid w:val="009039EB"/>
    <w:rsid w:val="009046E5"/>
    <w:rsid w:val="0090475D"/>
    <w:rsid w:val="009047C5"/>
    <w:rsid w:val="00906222"/>
    <w:rsid w:val="0090795A"/>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21F"/>
    <w:rsid w:val="0091759C"/>
    <w:rsid w:val="00917910"/>
    <w:rsid w:val="00920026"/>
    <w:rsid w:val="0092032F"/>
    <w:rsid w:val="009203E2"/>
    <w:rsid w:val="00921304"/>
    <w:rsid w:val="0092177A"/>
    <w:rsid w:val="00921805"/>
    <w:rsid w:val="00921BA7"/>
    <w:rsid w:val="00921EF8"/>
    <w:rsid w:val="00923396"/>
    <w:rsid w:val="00923F56"/>
    <w:rsid w:val="00923FA6"/>
    <w:rsid w:val="009246C4"/>
    <w:rsid w:val="00925743"/>
    <w:rsid w:val="0092579F"/>
    <w:rsid w:val="00925F3D"/>
    <w:rsid w:val="00927045"/>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4C"/>
    <w:rsid w:val="009367D5"/>
    <w:rsid w:val="00936F8D"/>
    <w:rsid w:val="00937401"/>
    <w:rsid w:val="00937561"/>
    <w:rsid w:val="009376FB"/>
    <w:rsid w:val="00937D6B"/>
    <w:rsid w:val="00940477"/>
    <w:rsid w:val="00940876"/>
    <w:rsid w:val="00940A53"/>
    <w:rsid w:val="00940AD7"/>
    <w:rsid w:val="00940F3C"/>
    <w:rsid w:val="00940FC1"/>
    <w:rsid w:val="009410E0"/>
    <w:rsid w:val="009444B4"/>
    <w:rsid w:val="00944644"/>
    <w:rsid w:val="009449F9"/>
    <w:rsid w:val="009451CE"/>
    <w:rsid w:val="00945C2F"/>
    <w:rsid w:val="009460F9"/>
    <w:rsid w:val="0094669E"/>
    <w:rsid w:val="00946A24"/>
    <w:rsid w:val="009470D4"/>
    <w:rsid w:val="00947337"/>
    <w:rsid w:val="009512FA"/>
    <w:rsid w:val="00951E57"/>
    <w:rsid w:val="00953018"/>
    <w:rsid w:val="009531AF"/>
    <w:rsid w:val="009533E2"/>
    <w:rsid w:val="00953554"/>
    <w:rsid w:val="0095385A"/>
    <w:rsid w:val="00953928"/>
    <w:rsid w:val="009540F0"/>
    <w:rsid w:val="00954432"/>
    <w:rsid w:val="00955906"/>
    <w:rsid w:val="00955978"/>
    <w:rsid w:val="009563CC"/>
    <w:rsid w:val="00957010"/>
    <w:rsid w:val="009574F8"/>
    <w:rsid w:val="0095780A"/>
    <w:rsid w:val="009579E4"/>
    <w:rsid w:val="00957AA4"/>
    <w:rsid w:val="00957ACB"/>
    <w:rsid w:val="00957E21"/>
    <w:rsid w:val="00957F27"/>
    <w:rsid w:val="009609F0"/>
    <w:rsid w:val="009609F2"/>
    <w:rsid w:val="00960BDB"/>
    <w:rsid w:val="00961233"/>
    <w:rsid w:val="0096147D"/>
    <w:rsid w:val="00961E5F"/>
    <w:rsid w:val="009625C6"/>
    <w:rsid w:val="009629B5"/>
    <w:rsid w:val="00962A50"/>
    <w:rsid w:val="00962E25"/>
    <w:rsid w:val="00962E33"/>
    <w:rsid w:val="00962F47"/>
    <w:rsid w:val="009631BD"/>
    <w:rsid w:val="00963B93"/>
    <w:rsid w:val="00964138"/>
    <w:rsid w:val="00964B3F"/>
    <w:rsid w:val="00964C98"/>
    <w:rsid w:val="00964E0A"/>
    <w:rsid w:val="00965C11"/>
    <w:rsid w:val="00966214"/>
    <w:rsid w:val="00971441"/>
    <w:rsid w:val="009715D4"/>
    <w:rsid w:val="00972470"/>
    <w:rsid w:val="009739A9"/>
    <w:rsid w:val="00973AA2"/>
    <w:rsid w:val="009741B3"/>
    <w:rsid w:val="0097494E"/>
    <w:rsid w:val="00974B58"/>
    <w:rsid w:val="00975010"/>
    <w:rsid w:val="00975178"/>
    <w:rsid w:val="00975DA3"/>
    <w:rsid w:val="009761ED"/>
    <w:rsid w:val="00977689"/>
    <w:rsid w:val="009801E7"/>
    <w:rsid w:val="0098022F"/>
    <w:rsid w:val="00980A65"/>
    <w:rsid w:val="009810CC"/>
    <w:rsid w:val="009810DE"/>
    <w:rsid w:val="009816A2"/>
    <w:rsid w:val="00981D3C"/>
    <w:rsid w:val="009822D7"/>
    <w:rsid w:val="0098275F"/>
    <w:rsid w:val="009827E6"/>
    <w:rsid w:val="00982E70"/>
    <w:rsid w:val="00982F84"/>
    <w:rsid w:val="009839A1"/>
    <w:rsid w:val="0098427D"/>
    <w:rsid w:val="00984567"/>
    <w:rsid w:val="00985102"/>
    <w:rsid w:val="0098584C"/>
    <w:rsid w:val="009865D5"/>
    <w:rsid w:val="009870DA"/>
    <w:rsid w:val="009876F2"/>
    <w:rsid w:val="00987C77"/>
    <w:rsid w:val="00987CF1"/>
    <w:rsid w:val="00990345"/>
    <w:rsid w:val="00990701"/>
    <w:rsid w:val="0099090B"/>
    <w:rsid w:val="00990BC7"/>
    <w:rsid w:val="00990CB7"/>
    <w:rsid w:val="0099119C"/>
    <w:rsid w:val="0099137A"/>
    <w:rsid w:val="00991805"/>
    <w:rsid w:val="0099211C"/>
    <w:rsid w:val="009927C7"/>
    <w:rsid w:val="00993B78"/>
    <w:rsid w:val="00993BE6"/>
    <w:rsid w:val="00993CD6"/>
    <w:rsid w:val="0099483A"/>
    <w:rsid w:val="00995119"/>
    <w:rsid w:val="009953AD"/>
    <w:rsid w:val="0099583D"/>
    <w:rsid w:val="0099590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1EA"/>
    <w:rsid w:val="009A6CA7"/>
    <w:rsid w:val="009A6FDF"/>
    <w:rsid w:val="009A76D6"/>
    <w:rsid w:val="009B14BC"/>
    <w:rsid w:val="009B199E"/>
    <w:rsid w:val="009B1E40"/>
    <w:rsid w:val="009B2E29"/>
    <w:rsid w:val="009B3163"/>
    <w:rsid w:val="009B422F"/>
    <w:rsid w:val="009B46BC"/>
    <w:rsid w:val="009B4D1A"/>
    <w:rsid w:val="009B558B"/>
    <w:rsid w:val="009B666E"/>
    <w:rsid w:val="009B6801"/>
    <w:rsid w:val="009B68DD"/>
    <w:rsid w:val="009B6D21"/>
    <w:rsid w:val="009B7266"/>
    <w:rsid w:val="009B78ED"/>
    <w:rsid w:val="009C181C"/>
    <w:rsid w:val="009C1C7F"/>
    <w:rsid w:val="009C28A2"/>
    <w:rsid w:val="009C314C"/>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ABC"/>
    <w:rsid w:val="009D1E2A"/>
    <w:rsid w:val="009D1FA0"/>
    <w:rsid w:val="009D2BDF"/>
    <w:rsid w:val="009D32C3"/>
    <w:rsid w:val="009D3736"/>
    <w:rsid w:val="009D3964"/>
    <w:rsid w:val="009D40B8"/>
    <w:rsid w:val="009D4529"/>
    <w:rsid w:val="009D45F3"/>
    <w:rsid w:val="009D4B03"/>
    <w:rsid w:val="009D5C85"/>
    <w:rsid w:val="009D604F"/>
    <w:rsid w:val="009D61BB"/>
    <w:rsid w:val="009D6410"/>
    <w:rsid w:val="009D65FF"/>
    <w:rsid w:val="009D66B2"/>
    <w:rsid w:val="009D68BB"/>
    <w:rsid w:val="009D6E3A"/>
    <w:rsid w:val="009D6E67"/>
    <w:rsid w:val="009D70C2"/>
    <w:rsid w:val="009D7278"/>
    <w:rsid w:val="009D7375"/>
    <w:rsid w:val="009D773A"/>
    <w:rsid w:val="009D7ADB"/>
    <w:rsid w:val="009D7B33"/>
    <w:rsid w:val="009E0327"/>
    <w:rsid w:val="009E0703"/>
    <w:rsid w:val="009E0E95"/>
    <w:rsid w:val="009E1649"/>
    <w:rsid w:val="009E16DA"/>
    <w:rsid w:val="009E1CD4"/>
    <w:rsid w:val="009E20DC"/>
    <w:rsid w:val="009E2391"/>
    <w:rsid w:val="009E476A"/>
    <w:rsid w:val="009E4E05"/>
    <w:rsid w:val="009E56FF"/>
    <w:rsid w:val="009E5CB1"/>
    <w:rsid w:val="009E5E56"/>
    <w:rsid w:val="009E61EA"/>
    <w:rsid w:val="009E6990"/>
    <w:rsid w:val="009E6FEE"/>
    <w:rsid w:val="009F030F"/>
    <w:rsid w:val="009F060F"/>
    <w:rsid w:val="009F0781"/>
    <w:rsid w:val="009F0850"/>
    <w:rsid w:val="009F11B2"/>
    <w:rsid w:val="009F1BDF"/>
    <w:rsid w:val="009F1EAE"/>
    <w:rsid w:val="009F29A5"/>
    <w:rsid w:val="009F2B80"/>
    <w:rsid w:val="009F369D"/>
    <w:rsid w:val="009F36FE"/>
    <w:rsid w:val="009F46A9"/>
    <w:rsid w:val="009F4F25"/>
    <w:rsid w:val="009F59C2"/>
    <w:rsid w:val="009F61DE"/>
    <w:rsid w:val="009F7263"/>
    <w:rsid w:val="009F76EA"/>
    <w:rsid w:val="009F78EB"/>
    <w:rsid w:val="009F7BF8"/>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7E8"/>
    <w:rsid w:val="00A05B4B"/>
    <w:rsid w:val="00A066C3"/>
    <w:rsid w:val="00A06754"/>
    <w:rsid w:val="00A06942"/>
    <w:rsid w:val="00A069E0"/>
    <w:rsid w:val="00A06E4A"/>
    <w:rsid w:val="00A078FB"/>
    <w:rsid w:val="00A1036D"/>
    <w:rsid w:val="00A1069F"/>
    <w:rsid w:val="00A10919"/>
    <w:rsid w:val="00A10A36"/>
    <w:rsid w:val="00A10ACA"/>
    <w:rsid w:val="00A10D04"/>
    <w:rsid w:val="00A10D08"/>
    <w:rsid w:val="00A12355"/>
    <w:rsid w:val="00A12384"/>
    <w:rsid w:val="00A127A3"/>
    <w:rsid w:val="00A127D2"/>
    <w:rsid w:val="00A12ADA"/>
    <w:rsid w:val="00A130E5"/>
    <w:rsid w:val="00A136AF"/>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6311"/>
    <w:rsid w:val="00A277DD"/>
    <w:rsid w:val="00A27F18"/>
    <w:rsid w:val="00A27FB6"/>
    <w:rsid w:val="00A30121"/>
    <w:rsid w:val="00A30368"/>
    <w:rsid w:val="00A3043A"/>
    <w:rsid w:val="00A30E02"/>
    <w:rsid w:val="00A30EDA"/>
    <w:rsid w:val="00A30F6A"/>
    <w:rsid w:val="00A313E4"/>
    <w:rsid w:val="00A315ED"/>
    <w:rsid w:val="00A31BA2"/>
    <w:rsid w:val="00A31C3E"/>
    <w:rsid w:val="00A33B90"/>
    <w:rsid w:val="00A34538"/>
    <w:rsid w:val="00A34677"/>
    <w:rsid w:val="00A34BA0"/>
    <w:rsid w:val="00A3512F"/>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E0E"/>
    <w:rsid w:val="00A45F9B"/>
    <w:rsid w:val="00A461BF"/>
    <w:rsid w:val="00A46574"/>
    <w:rsid w:val="00A4657A"/>
    <w:rsid w:val="00A46735"/>
    <w:rsid w:val="00A467C4"/>
    <w:rsid w:val="00A4777D"/>
    <w:rsid w:val="00A47A70"/>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49A"/>
    <w:rsid w:val="00A60762"/>
    <w:rsid w:val="00A60A1A"/>
    <w:rsid w:val="00A60B1F"/>
    <w:rsid w:val="00A61C60"/>
    <w:rsid w:val="00A6242F"/>
    <w:rsid w:val="00A62589"/>
    <w:rsid w:val="00A62C3A"/>
    <w:rsid w:val="00A63812"/>
    <w:rsid w:val="00A63DF7"/>
    <w:rsid w:val="00A63E58"/>
    <w:rsid w:val="00A64505"/>
    <w:rsid w:val="00A64B6E"/>
    <w:rsid w:val="00A66510"/>
    <w:rsid w:val="00A668BA"/>
    <w:rsid w:val="00A66FA7"/>
    <w:rsid w:val="00A677F6"/>
    <w:rsid w:val="00A67E16"/>
    <w:rsid w:val="00A703CC"/>
    <w:rsid w:val="00A70C5C"/>
    <w:rsid w:val="00A71EA7"/>
    <w:rsid w:val="00A72945"/>
    <w:rsid w:val="00A730AD"/>
    <w:rsid w:val="00A733D2"/>
    <w:rsid w:val="00A73855"/>
    <w:rsid w:val="00A73D64"/>
    <w:rsid w:val="00A73FEA"/>
    <w:rsid w:val="00A74216"/>
    <w:rsid w:val="00A7436E"/>
    <w:rsid w:val="00A744B4"/>
    <w:rsid w:val="00A749D9"/>
    <w:rsid w:val="00A74D61"/>
    <w:rsid w:val="00A751E3"/>
    <w:rsid w:val="00A75504"/>
    <w:rsid w:val="00A75CD9"/>
    <w:rsid w:val="00A76438"/>
    <w:rsid w:val="00A77168"/>
    <w:rsid w:val="00A7723B"/>
    <w:rsid w:val="00A77525"/>
    <w:rsid w:val="00A7793C"/>
    <w:rsid w:val="00A77D21"/>
    <w:rsid w:val="00A77E61"/>
    <w:rsid w:val="00A80085"/>
    <w:rsid w:val="00A8043B"/>
    <w:rsid w:val="00A81323"/>
    <w:rsid w:val="00A81AC0"/>
    <w:rsid w:val="00A820CB"/>
    <w:rsid w:val="00A82342"/>
    <w:rsid w:val="00A82BC6"/>
    <w:rsid w:val="00A83308"/>
    <w:rsid w:val="00A83BEF"/>
    <w:rsid w:val="00A841E1"/>
    <w:rsid w:val="00A84443"/>
    <w:rsid w:val="00A8487F"/>
    <w:rsid w:val="00A848FC"/>
    <w:rsid w:val="00A84936"/>
    <w:rsid w:val="00A849A3"/>
    <w:rsid w:val="00A84A0E"/>
    <w:rsid w:val="00A84D7C"/>
    <w:rsid w:val="00A851FD"/>
    <w:rsid w:val="00A86E0B"/>
    <w:rsid w:val="00A872D1"/>
    <w:rsid w:val="00A9069B"/>
    <w:rsid w:val="00A906E1"/>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96C"/>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1F"/>
    <w:rsid w:val="00AB2080"/>
    <w:rsid w:val="00AB2216"/>
    <w:rsid w:val="00AB2C0A"/>
    <w:rsid w:val="00AB33A8"/>
    <w:rsid w:val="00AB358D"/>
    <w:rsid w:val="00AB37A1"/>
    <w:rsid w:val="00AB3BAD"/>
    <w:rsid w:val="00AB3CFD"/>
    <w:rsid w:val="00AB40C6"/>
    <w:rsid w:val="00AB49BC"/>
    <w:rsid w:val="00AB4DEE"/>
    <w:rsid w:val="00AB4E32"/>
    <w:rsid w:val="00AB579A"/>
    <w:rsid w:val="00AB5A14"/>
    <w:rsid w:val="00AB5DB2"/>
    <w:rsid w:val="00AB70D0"/>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3055"/>
    <w:rsid w:val="00AD416B"/>
    <w:rsid w:val="00AD455D"/>
    <w:rsid w:val="00AD463C"/>
    <w:rsid w:val="00AD46A2"/>
    <w:rsid w:val="00AD47E8"/>
    <w:rsid w:val="00AD4F60"/>
    <w:rsid w:val="00AD5044"/>
    <w:rsid w:val="00AD5114"/>
    <w:rsid w:val="00AD5E3F"/>
    <w:rsid w:val="00AD6236"/>
    <w:rsid w:val="00AD7619"/>
    <w:rsid w:val="00AD7770"/>
    <w:rsid w:val="00AE0D1C"/>
    <w:rsid w:val="00AE1772"/>
    <w:rsid w:val="00AE1990"/>
    <w:rsid w:val="00AE2523"/>
    <w:rsid w:val="00AE25E8"/>
    <w:rsid w:val="00AE2AD4"/>
    <w:rsid w:val="00AE2CA7"/>
    <w:rsid w:val="00AE2F1D"/>
    <w:rsid w:val="00AE40F4"/>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DB0"/>
    <w:rsid w:val="00AF5E2D"/>
    <w:rsid w:val="00AF644B"/>
    <w:rsid w:val="00AF6CA6"/>
    <w:rsid w:val="00AF6EB6"/>
    <w:rsid w:val="00AF7796"/>
    <w:rsid w:val="00B00463"/>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71A"/>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A33"/>
    <w:rsid w:val="00B22C58"/>
    <w:rsid w:val="00B22E22"/>
    <w:rsid w:val="00B22F5F"/>
    <w:rsid w:val="00B23813"/>
    <w:rsid w:val="00B23FD9"/>
    <w:rsid w:val="00B24591"/>
    <w:rsid w:val="00B245D5"/>
    <w:rsid w:val="00B24C36"/>
    <w:rsid w:val="00B24F94"/>
    <w:rsid w:val="00B25126"/>
    <w:rsid w:val="00B253AF"/>
    <w:rsid w:val="00B258F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79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CAE"/>
    <w:rsid w:val="00B512AD"/>
    <w:rsid w:val="00B5196C"/>
    <w:rsid w:val="00B525CB"/>
    <w:rsid w:val="00B52697"/>
    <w:rsid w:val="00B52A3C"/>
    <w:rsid w:val="00B53892"/>
    <w:rsid w:val="00B53E7C"/>
    <w:rsid w:val="00B54D8F"/>
    <w:rsid w:val="00B55857"/>
    <w:rsid w:val="00B55C69"/>
    <w:rsid w:val="00B55EC1"/>
    <w:rsid w:val="00B56851"/>
    <w:rsid w:val="00B56D6E"/>
    <w:rsid w:val="00B572F7"/>
    <w:rsid w:val="00B57B9D"/>
    <w:rsid w:val="00B57DAF"/>
    <w:rsid w:val="00B60094"/>
    <w:rsid w:val="00B6022C"/>
    <w:rsid w:val="00B60D3F"/>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5FF7"/>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2B4"/>
    <w:rsid w:val="00B74605"/>
    <w:rsid w:val="00B74A8A"/>
    <w:rsid w:val="00B74D05"/>
    <w:rsid w:val="00B76577"/>
    <w:rsid w:val="00B777FA"/>
    <w:rsid w:val="00B77850"/>
    <w:rsid w:val="00B7796B"/>
    <w:rsid w:val="00B77A14"/>
    <w:rsid w:val="00B80C72"/>
    <w:rsid w:val="00B80DE9"/>
    <w:rsid w:val="00B81964"/>
    <w:rsid w:val="00B81E6F"/>
    <w:rsid w:val="00B82123"/>
    <w:rsid w:val="00B8225B"/>
    <w:rsid w:val="00B82BB5"/>
    <w:rsid w:val="00B83182"/>
    <w:rsid w:val="00B83C63"/>
    <w:rsid w:val="00B84684"/>
    <w:rsid w:val="00B848DF"/>
    <w:rsid w:val="00B84ECD"/>
    <w:rsid w:val="00B851E4"/>
    <w:rsid w:val="00B854CE"/>
    <w:rsid w:val="00B85681"/>
    <w:rsid w:val="00B857EB"/>
    <w:rsid w:val="00B8598B"/>
    <w:rsid w:val="00B86110"/>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4F57"/>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D05"/>
    <w:rsid w:val="00BA2F30"/>
    <w:rsid w:val="00BA4771"/>
    <w:rsid w:val="00BA4DA4"/>
    <w:rsid w:val="00BA5027"/>
    <w:rsid w:val="00BA665B"/>
    <w:rsid w:val="00BA7370"/>
    <w:rsid w:val="00BA778B"/>
    <w:rsid w:val="00BA79B8"/>
    <w:rsid w:val="00BB0806"/>
    <w:rsid w:val="00BB0888"/>
    <w:rsid w:val="00BB0983"/>
    <w:rsid w:val="00BB0DF1"/>
    <w:rsid w:val="00BB0E9B"/>
    <w:rsid w:val="00BB2729"/>
    <w:rsid w:val="00BB2841"/>
    <w:rsid w:val="00BB300F"/>
    <w:rsid w:val="00BB32C9"/>
    <w:rsid w:val="00BB35C5"/>
    <w:rsid w:val="00BB43A7"/>
    <w:rsid w:val="00BB4469"/>
    <w:rsid w:val="00BB47D0"/>
    <w:rsid w:val="00BB4C8E"/>
    <w:rsid w:val="00BB4D10"/>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709"/>
    <w:rsid w:val="00BC3FF9"/>
    <w:rsid w:val="00BC4834"/>
    <w:rsid w:val="00BC4A97"/>
    <w:rsid w:val="00BC5A25"/>
    <w:rsid w:val="00BC5FDD"/>
    <w:rsid w:val="00BC68B4"/>
    <w:rsid w:val="00BC6C2D"/>
    <w:rsid w:val="00BC7B9A"/>
    <w:rsid w:val="00BD00A9"/>
    <w:rsid w:val="00BD0140"/>
    <w:rsid w:val="00BD02CC"/>
    <w:rsid w:val="00BD09A7"/>
    <w:rsid w:val="00BD1675"/>
    <w:rsid w:val="00BD16DB"/>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E7AD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322"/>
    <w:rsid w:val="00C02558"/>
    <w:rsid w:val="00C0285F"/>
    <w:rsid w:val="00C02F35"/>
    <w:rsid w:val="00C03305"/>
    <w:rsid w:val="00C03515"/>
    <w:rsid w:val="00C03738"/>
    <w:rsid w:val="00C037A6"/>
    <w:rsid w:val="00C043F5"/>
    <w:rsid w:val="00C044E3"/>
    <w:rsid w:val="00C0453C"/>
    <w:rsid w:val="00C047A8"/>
    <w:rsid w:val="00C04BDB"/>
    <w:rsid w:val="00C052C6"/>
    <w:rsid w:val="00C059D4"/>
    <w:rsid w:val="00C05A61"/>
    <w:rsid w:val="00C06CCF"/>
    <w:rsid w:val="00C108B8"/>
    <w:rsid w:val="00C11086"/>
    <w:rsid w:val="00C11503"/>
    <w:rsid w:val="00C1159D"/>
    <w:rsid w:val="00C11683"/>
    <w:rsid w:val="00C11798"/>
    <w:rsid w:val="00C118DB"/>
    <w:rsid w:val="00C1233E"/>
    <w:rsid w:val="00C125C1"/>
    <w:rsid w:val="00C12F05"/>
    <w:rsid w:val="00C12FB3"/>
    <w:rsid w:val="00C138BC"/>
    <w:rsid w:val="00C13D85"/>
    <w:rsid w:val="00C14173"/>
    <w:rsid w:val="00C14639"/>
    <w:rsid w:val="00C1481B"/>
    <w:rsid w:val="00C14DAD"/>
    <w:rsid w:val="00C14E82"/>
    <w:rsid w:val="00C14FF6"/>
    <w:rsid w:val="00C150A6"/>
    <w:rsid w:val="00C15A85"/>
    <w:rsid w:val="00C1641B"/>
    <w:rsid w:val="00C165FC"/>
    <w:rsid w:val="00C176D5"/>
    <w:rsid w:val="00C2082C"/>
    <w:rsid w:val="00C20832"/>
    <w:rsid w:val="00C20EB0"/>
    <w:rsid w:val="00C21005"/>
    <w:rsid w:val="00C212DD"/>
    <w:rsid w:val="00C2183B"/>
    <w:rsid w:val="00C220B6"/>
    <w:rsid w:val="00C22305"/>
    <w:rsid w:val="00C22D7C"/>
    <w:rsid w:val="00C22DDE"/>
    <w:rsid w:val="00C2338B"/>
    <w:rsid w:val="00C233CE"/>
    <w:rsid w:val="00C23661"/>
    <w:rsid w:val="00C236AE"/>
    <w:rsid w:val="00C237DD"/>
    <w:rsid w:val="00C238F4"/>
    <w:rsid w:val="00C23A99"/>
    <w:rsid w:val="00C23B96"/>
    <w:rsid w:val="00C245EE"/>
    <w:rsid w:val="00C248BB"/>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0C98"/>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17B"/>
    <w:rsid w:val="00C54640"/>
    <w:rsid w:val="00C54797"/>
    <w:rsid w:val="00C547A6"/>
    <w:rsid w:val="00C54A3A"/>
    <w:rsid w:val="00C5503F"/>
    <w:rsid w:val="00C55C32"/>
    <w:rsid w:val="00C56A67"/>
    <w:rsid w:val="00C56CC2"/>
    <w:rsid w:val="00C56DD5"/>
    <w:rsid w:val="00C56EB3"/>
    <w:rsid w:val="00C57498"/>
    <w:rsid w:val="00C5763C"/>
    <w:rsid w:val="00C577CA"/>
    <w:rsid w:val="00C5780C"/>
    <w:rsid w:val="00C5796B"/>
    <w:rsid w:val="00C619A1"/>
    <w:rsid w:val="00C62370"/>
    <w:rsid w:val="00C62545"/>
    <w:rsid w:val="00C62A11"/>
    <w:rsid w:val="00C62BBB"/>
    <w:rsid w:val="00C6305F"/>
    <w:rsid w:val="00C6325B"/>
    <w:rsid w:val="00C638A1"/>
    <w:rsid w:val="00C63E99"/>
    <w:rsid w:val="00C64161"/>
    <w:rsid w:val="00C641BD"/>
    <w:rsid w:val="00C649B8"/>
    <w:rsid w:val="00C64A64"/>
    <w:rsid w:val="00C65151"/>
    <w:rsid w:val="00C652DA"/>
    <w:rsid w:val="00C657F4"/>
    <w:rsid w:val="00C66119"/>
    <w:rsid w:val="00C66292"/>
    <w:rsid w:val="00C672A3"/>
    <w:rsid w:val="00C672F1"/>
    <w:rsid w:val="00C673D0"/>
    <w:rsid w:val="00C6742E"/>
    <w:rsid w:val="00C677BE"/>
    <w:rsid w:val="00C70012"/>
    <w:rsid w:val="00C71CBB"/>
    <w:rsid w:val="00C71DD8"/>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C3"/>
    <w:rsid w:val="00C861FC"/>
    <w:rsid w:val="00C86C87"/>
    <w:rsid w:val="00C8705B"/>
    <w:rsid w:val="00C87090"/>
    <w:rsid w:val="00C9005E"/>
    <w:rsid w:val="00C90111"/>
    <w:rsid w:val="00C90CA9"/>
    <w:rsid w:val="00C9103B"/>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5B7"/>
    <w:rsid w:val="00CA1691"/>
    <w:rsid w:val="00CA2E65"/>
    <w:rsid w:val="00CA2EA1"/>
    <w:rsid w:val="00CA3272"/>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7F0"/>
    <w:rsid w:val="00CC3D38"/>
    <w:rsid w:val="00CC3F7A"/>
    <w:rsid w:val="00CC404B"/>
    <w:rsid w:val="00CC40C3"/>
    <w:rsid w:val="00CC4E5D"/>
    <w:rsid w:val="00CC4F95"/>
    <w:rsid w:val="00CC50AE"/>
    <w:rsid w:val="00CC5864"/>
    <w:rsid w:val="00CC61B7"/>
    <w:rsid w:val="00CC61CA"/>
    <w:rsid w:val="00CC6668"/>
    <w:rsid w:val="00CC69EC"/>
    <w:rsid w:val="00CC6E53"/>
    <w:rsid w:val="00CC71D3"/>
    <w:rsid w:val="00CC743D"/>
    <w:rsid w:val="00CC7E86"/>
    <w:rsid w:val="00CD050A"/>
    <w:rsid w:val="00CD205D"/>
    <w:rsid w:val="00CD2A22"/>
    <w:rsid w:val="00CD2B50"/>
    <w:rsid w:val="00CD2DBD"/>
    <w:rsid w:val="00CD31F0"/>
    <w:rsid w:val="00CD3AD3"/>
    <w:rsid w:val="00CD41FE"/>
    <w:rsid w:val="00CD4506"/>
    <w:rsid w:val="00CD520B"/>
    <w:rsid w:val="00CD592E"/>
    <w:rsid w:val="00CD5982"/>
    <w:rsid w:val="00CD5A1A"/>
    <w:rsid w:val="00CD5D94"/>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6EDB"/>
    <w:rsid w:val="00CE7A77"/>
    <w:rsid w:val="00CE7F26"/>
    <w:rsid w:val="00CE7FBF"/>
    <w:rsid w:val="00CF0E26"/>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6C7"/>
    <w:rsid w:val="00CF7928"/>
    <w:rsid w:val="00CF7CA2"/>
    <w:rsid w:val="00D00A8E"/>
    <w:rsid w:val="00D00DE0"/>
    <w:rsid w:val="00D00F79"/>
    <w:rsid w:val="00D012BF"/>
    <w:rsid w:val="00D01760"/>
    <w:rsid w:val="00D022EF"/>
    <w:rsid w:val="00D0267D"/>
    <w:rsid w:val="00D02B73"/>
    <w:rsid w:val="00D0368E"/>
    <w:rsid w:val="00D03D2D"/>
    <w:rsid w:val="00D03E7B"/>
    <w:rsid w:val="00D0401A"/>
    <w:rsid w:val="00D047E0"/>
    <w:rsid w:val="00D04B9F"/>
    <w:rsid w:val="00D04F34"/>
    <w:rsid w:val="00D04FFB"/>
    <w:rsid w:val="00D05153"/>
    <w:rsid w:val="00D058E9"/>
    <w:rsid w:val="00D0612A"/>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123"/>
    <w:rsid w:val="00D16740"/>
    <w:rsid w:val="00D16A8B"/>
    <w:rsid w:val="00D16E39"/>
    <w:rsid w:val="00D177D7"/>
    <w:rsid w:val="00D17951"/>
    <w:rsid w:val="00D17AD8"/>
    <w:rsid w:val="00D17B53"/>
    <w:rsid w:val="00D20498"/>
    <w:rsid w:val="00D2073E"/>
    <w:rsid w:val="00D2104A"/>
    <w:rsid w:val="00D21302"/>
    <w:rsid w:val="00D213F1"/>
    <w:rsid w:val="00D21BB5"/>
    <w:rsid w:val="00D21FFC"/>
    <w:rsid w:val="00D223A3"/>
    <w:rsid w:val="00D223B6"/>
    <w:rsid w:val="00D223E8"/>
    <w:rsid w:val="00D22DC8"/>
    <w:rsid w:val="00D24ECD"/>
    <w:rsid w:val="00D2522A"/>
    <w:rsid w:val="00D2531C"/>
    <w:rsid w:val="00D255F3"/>
    <w:rsid w:val="00D260C6"/>
    <w:rsid w:val="00D26C21"/>
    <w:rsid w:val="00D2742F"/>
    <w:rsid w:val="00D2754F"/>
    <w:rsid w:val="00D27912"/>
    <w:rsid w:val="00D279D9"/>
    <w:rsid w:val="00D27C74"/>
    <w:rsid w:val="00D30586"/>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316"/>
    <w:rsid w:val="00D4043A"/>
    <w:rsid w:val="00D40A8E"/>
    <w:rsid w:val="00D40AB0"/>
    <w:rsid w:val="00D40AE8"/>
    <w:rsid w:val="00D40DB0"/>
    <w:rsid w:val="00D40F8B"/>
    <w:rsid w:val="00D41858"/>
    <w:rsid w:val="00D422DB"/>
    <w:rsid w:val="00D42A83"/>
    <w:rsid w:val="00D42AC2"/>
    <w:rsid w:val="00D4322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0701"/>
    <w:rsid w:val="00D60B9F"/>
    <w:rsid w:val="00D61526"/>
    <w:rsid w:val="00D61F81"/>
    <w:rsid w:val="00D623A9"/>
    <w:rsid w:val="00D62BE6"/>
    <w:rsid w:val="00D633AC"/>
    <w:rsid w:val="00D63766"/>
    <w:rsid w:val="00D63912"/>
    <w:rsid w:val="00D63923"/>
    <w:rsid w:val="00D6451B"/>
    <w:rsid w:val="00D64B57"/>
    <w:rsid w:val="00D65DEA"/>
    <w:rsid w:val="00D65DFE"/>
    <w:rsid w:val="00D67A77"/>
    <w:rsid w:val="00D67BC7"/>
    <w:rsid w:val="00D701F1"/>
    <w:rsid w:val="00D703FF"/>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875E0"/>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0A2"/>
    <w:rsid w:val="00DA06B8"/>
    <w:rsid w:val="00DA286D"/>
    <w:rsid w:val="00DA2969"/>
    <w:rsid w:val="00DA29B7"/>
    <w:rsid w:val="00DA4842"/>
    <w:rsid w:val="00DA5989"/>
    <w:rsid w:val="00DA5AB1"/>
    <w:rsid w:val="00DA5F9D"/>
    <w:rsid w:val="00DA69B2"/>
    <w:rsid w:val="00DA6A7B"/>
    <w:rsid w:val="00DA72C8"/>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5AA"/>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06E2"/>
    <w:rsid w:val="00DD118B"/>
    <w:rsid w:val="00DD14D8"/>
    <w:rsid w:val="00DD1599"/>
    <w:rsid w:val="00DD177F"/>
    <w:rsid w:val="00DD1B03"/>
    <w:rsid w:val="00DD2772"/>
    <w:rsid w:val="00DD2A62"/>
    <w:rsid w:val="00DD2F2F"/>
    <w:rsid w:val="00DD2F7A"/>
    <w:rsid w:val="00DD3885"/>
    <w:rsid w:val="00DD4610"/>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2A5F"/>
    <w:rsid w:val="00DE3119"/>
    <w:rsid w:val="00DE3FF0"/>
    <w:rsid w:val="00DE4105"/>
    <w:rsid w:val="00DE4978"/>
    <w:rsid w:val="00DE5189"/>
    <w:rsid w:val="00DE5EBD"/>
    <w:rsid w:val="00DE6230"/>
    <w:rsid w:val="00DE70F0"/>
    <w:rsid w:val="00DE7108"/>
    <w:rsid w:val="00DE78D1"/>
    <w:rsid w:val="00DF0263"/>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4A32"/>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5F69"/>
    <w:rsid w:val="00E16382"/>
    <w:rsid w:val="00E16572"/>
    <w:rsid w:val="00E1699C"/>
    <w:rsid w:val="00E16E75"/>
    <w:rsid w:val="00E1746D"/>
    <w:rsid w:val="00E2012A"/>
    <w:rsid w:val="00E205A2"/>
    <w:rsid w:val="00E20A7A"/>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119"/>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3E11"/>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354"/>
    <w:rsid w:val="00E53BCA"/>
    <w:rsid w:val="00E53F02"/>
    <w:rsid w:val="00E54534"/>
    <w:rsid w:val="00E548C3"/>
    <w:rsid w:val="00E54DA0"/>
    <w:rsid w:val="00E54F27"/>
    <w:rsid w:val="00E556F5"/>
    <w:rsid w:val="00E55CD0"/>
    <w:rsid w:val="00E55FF1"/>
    <w:rsid w:val="00E56090"/>
    <w:rsid w:val="00E565B9"/>
    <w:rsid w:val="00E569FA"/>
    <w:rsid w:val="00E5733B"/>
    <w:rsid w:val="00E5756C"/>
    <w:rsid w:val="00E601BE"/>
    <w:rsid w:val="00E60B5F"/>
    <w:rsid w:val="00E613AE"/>
    <w:rsid w:val="00E61429"/>
    <w:rsid w:val="00E61ABB"/>
    <w:rsid w:val="00E61FD7"/>
    <w:rsid w:val="00E623E6"/>
    <w:rsid w:val="00E630C0"/>
    <w:rsid w:val="00E63107"/>
    <w:rsid w:val="00E634E6"/>
    <w:rsid w:val="00E63DCE"/>
    <w:rsid w:val="00E64454"/>
    <w:rsid w:val="00E64700"/>
    <w:rsid w:val="00E64E0B"/>
    <w:rsid w:val="00E65074"/>
    <w:rsid w:val="00E65E70"/>
    <w:rsid w:val="00E65EE9"/>
    <w:rsid w:val="00E66087"/>
    <w:rsid w:val="00E66D79"/>
    <w:rsid w:val="00E66FF9"/>
    <w:rsid w:val="00E67856"/>
    <w:rsid w:val="00E679C8"/>
    <w:rsid w:val="00E70314"/>
    <w:rsid w:val="00E70FCD"/>
    <w:rsid w:val="00E7164E"/>
    <w:rsid w:val="00E724E7"/>
    <w:rsid w:val="00E72B41"/>
    <w:rsid w:val="00E7347B"/>
    <w:rsid w:val="00E73D03"/>
    <w:rsid w:val="00E7471C"/>
    <w:rsid w:val="00E7498A"/>
    <w:rsid w:val="00E7514E"/>
    <w:rsid w:val="00E75B34"/>
    <w:rsid w:val="00E76AC5"/>
    <w:rsid w:val="00E77AF5"/>
    <w:rsid w:val="00E8029A"/>
    <w:rsid w:val="00E803A6"/>
    <w:rsid w:val="00E807B0"/>
    <w:rsid w:val="00E81653"/>
    <w:rsid w:val="00E818BF"/>
    <w:rsid w:val="00E823F9"/>
    <w:rsid w:val="00E82C1F"/>
    <w:rsid w:val="00E82EEA"/>
    <w:rsid w:val="00E83671"/>
    <w:rsid w:val="00E8414B"/>
    <w:rsid w:val="00E84A71"/>
    <w:rsid w:val="00E84E8A"/>
    <w:rsid w:val="00E8544B"/>
    <w:rsid w:val="00E855C6"/>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1A6"/>
    <w:rsid w:val="00E9737B"/>
    <w:rsid w:val="00E97A3F"/>
    <w:rsid w:val="00E97B58"/>
    <w:rsid w:val="00E97F0A"/>
    <w:rsid w:val="00EA0100"/>
    <w:rsid w:val="00EA010D"/>
    <w:rsid w:val="00EA0184"/>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A6BEC"/>
    <w:rsid w:val="00EB0A89"/>
    <w:rsid w:val="00EB0B22"/>
    <w:rsid w:val="00EB1573"/>
    <w:rsid w:val="00EB1650"/>
    <w:rsid w:val="00EB1910"/>
    <w:rsid w:val="00EB1D24"/>
    <w:rsid w:val="00EB209B"/>
    <w:rsid w:val="00EB2E97"/>
    <w:rsid w:val="00EB3416"/>
    <w:rsid w:val="00EB35CD"/>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7A"/>
    <w:rsid w:val="00EC32B4"/>
    <w:rsid w:val="00EC346B"/>
    <w:rsid w:val="00EC36B1"/>
    <w:rsid w:val="00EC3C94"/>
    <w:rsid w:val="00EC44DF"/>
    <w:rsid w:val="00EC4AB1"/>
    <w:rsid w:val="00EC4EFB"/>
    <w:rsid w:val="00EC4FB9"/>
    <w:rsid w:val="00EC5310"/>
    <w:rsid w:val="00EC5393"/>
    <w:rsid w:val="00EC5741"/>
    <w:rsid w:val="00EC583E"/>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6AC"/>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7D4"/>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43B"/>
    <w:rsid w:val="00EE7B54"/>
    <w:rsid w:val="00EE7C88"/>
    <w:rsid w:val="00EE7C8B"/>
    <w:rsid w:val="00EE7FAE"/>
    <w:rsid w:val="00EF0209"/>
    <w:rsid w:val="00EF0EA4"/>
    <w:rsid w:val="00EF1ACA"/>
    <w:rsid w:val="00EF1E97"/>
    <w:rsid w:val="00EF2436"/>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3A0F"/>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3033"/>
    <w:rsid w:val="00F136CE"/>
    <w:rsid w:val="00F14352"/>
    <w:rsid w:val="00F148B7"/>
    <w:rsid w:val="00F14BE9"/>
    <w:rsid w:val="00F14EA9"/>
    <w:rsid w:val="00F15505"/>
    <w:rsid w:val="00F15BFF"/>
    <w:rsid w:val="00F16960"/>
    <w:rsid w:val="00F16A4F"/>
    <w:rsid w:val="00F17105"/>
    <w:rsid w:val="00F20A0B"/>
    <w:rsid w:val="00F213A0"/>
    <w:rsid w:val="00F217AB"/>
    <w:rsid w:val="00F21A51"/>
    <w:rsid w:val="00F21D54"/>
    <w:rsid w:val="00F21D6D"/>
    <w:rsid w:val="00F21EF4"/>
    <w:rsid w:val="00F227EE"/>
    <w:rsid w:val="00F23113"/>
    <w:rsid w:val="00F23255"/>
    <w:rsid w:val="00F23393"/>
    <w:rsid w:val="00F23759"/>
    <w:rsid w:val="00F23CB5"/>
    <w:rsid w:val="00F245A1"/>
    <w:rsid w:val="00F24644"/>
    <w:rsid w:val="00F256FD"/>
    <w:rsid w:val="00F259F1"/>
    <w:rsid w:val="00F26F33"/>
    <w:rsid w:val="00F279FF"/>
    <w:rsid w:val="00F27E74"/>
    <w:rsid w:val="00F300A8"/>
    <w:rsid w:val="00F30265"/>
    <w:rsid w:val="00F30400"/>
    <w:rsid w:val="00F3079E"/>
    <w:rsid w:val="00F313E0"/>
    <w:rsid w:val="00F32C50"/>
    <w:rsid w:val="00F33980"/>
    <w:rsid w:val="00F3399B"/>
    <w:rsid w:val="00F33C1A"/>
    <w:rsid w:val="00F3461B"/>
    <w:rsid w:val="00F346ED"/>
    <w:rsid w:val="00F34945"/>
    <w:rsid w:val="00F34E1E"/>
    <w:rsid w:val="00F351E8"/>
    <w:rsid w:val="00F3570C"/>
    <w:rsid w:val="00F36471"/>
    <w:rsid w:val="00F368FF"/>
    <w:rsid w:val="00F37068"/>
    <w:rsid w:val="00F37F3F"/>
    <w:rsid w:val="00F40201"/>
    <w:rsid w:val="00F404A9"/>
    <w:rsid w:val="00F40582"/>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36BC"/>
    <w:rsid w:val="00F537D9"/>
    <w:rsid w:val="00F53C07"/>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5FE1"/>
    <w:rsid w:val="00F76C11"/>
    <w:rsid w:val="00F77021"/>
    <w:rsid w:val="00F775CB"/>
    <w:rsid w:val="00F77E61"/>
    <w:rsid w:val="00F80371"/>
    <w:rsid w:val="00F814B2"/>
    <w:rsid w:val="00F815AC"/>
    <w:rsid w:val="00F83200"/>
    <w:rsid w:val="00F83B33"/>
    <w:rsid w:val="00F83CAE"/>
    <w:rsid w:val="00F840BF"/>
    <w:rsid w:val="00F8415D"/>
    <w:rsid w:val="00F8427A"/>
    <w:rsid w:val="00F843DF"/>
    <w:rsid w:val="00F84899"/>
    <w:rsid w:val="00F848AB"/>
    <w:rsid w:val="00F84A0A"/>
    <w:rsid w:val="00F850C0"/>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97FB5"/>
    <w:rsid w:val="00FA015F"/>
    <w:rsid w:val="00FA0FAC"/>
    <w:rsid w:val="00FA1DA2"/>
    <w:rsid w:val="00FA3414"/>
    <w:rsid w:val="00FA347A"/>
    <w:rsid w:val="00FA39D7"/>
    <w:rsid w:val="00FA3CDE"/>
    <w:rsid w:val="00FA49B7"/>
    <w:rsid w:val="00FA5043"/>
    <w:rsid w:val="00FA5E75"/>
    <w:rsid w:val="00FA6F8B"/>
    <w:rsid w:val="00FA7A30"/>
    <w:rsid w:val="00FB033F"/>
    <w:rsid w:val="00FB0F29"/>
    <w:rsid w:val="00FB12E3"/>
    <w:rsid w:val="00FB1570"/>
    <w:rsid w:val="00FB193B"/>
    <w:rsid w:val="00FB1FBC"/>
    <w:rsid w:val="00FB27B7"/>
    <w:rsid w:val="00FB2C36"/>
    <w:rsid w:val="00FB3483"/>
    <w:rsid w:val="00FB35E3"/>
    <w:rsid w:val="00FB45DB"/>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2FDB"/>
    <w:rsid w:val="00FC3A9B"/>
    <w:rsid w:val="00FC3AE1"/>
    <w:rsid w:val="00FC3DFC"/>
    <w:rsid w:val="00FC3EF4"/>
    <w:rsid w:val="00FC431B"/>
    <w:rsid w:val="00FC434C"/>
    <w:rsid w:val="00FC4FDF"/>
    <w:rsid w:val="00FC549C"/>
    <w:rsid w:val="00FC5CF4"/>
    <w:rsid w:val="00FC6A39"/>
    <w:rsid w:val="00FC6E50"/>
    <w:rsid w:val="00FC710F"/>
    <w:rsid w:val="00FC728E"/>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2820"/>
    <w:rsid w:val="00FE35D0"/>
    <w:rsid w:val="00FE41AC"/>
    <w:rsid w:val="00FE42ED"/>
    <w:rsid w:val="00FE4C6D"/>
    <w:rsid w:val="00FE55A7"/>
    <w:rsid w:val="00FE55E6"/>
    <w:rsid w:val="00FE56D5"/>
    <w:rsid w:val="00FE5C5A"/>
    <w:rsid w:val="00FE6432"/>
    <w:rsid w:val="00FE6517"/>
    <w:rsid w:val="00FE68A3"/>
    <w:rsid w:val="00FE72A0"/>
    <w:rsid w:val="00FE78D8"/>
    <w:rsid w:val="00FF0050"/>
    <w:rsid w:val="00FF045F"/>
    <w:rsid w:val="00FF0712"/>
    <w:rsid w:val="00FF0976"/>
    <w:rsid w:val="00FF13D4"/>
    <w:rsid w:val="00FF2053"/>
    <w:rsid w:val="00FF2F4E"/>
    <w:rsid w:val="00FF37BB"/>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6D84"/>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B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customStyle="1" w:styleId="Mencinsinresolver4">
    <w:name w:val="Mención sin resolver4"/>
    <w:basedOn w:val="Fuentedeprrafopredeter"/>
    <w:uiPriority w:val="99"/>
    <w:semiHidden/>
    <w:unhideWhenUsed/>
    <w:rsid w:val="002B4039"/>
    <w:rPr>
      <w:color w:val="605E5C"/>
      <w:shd w:val="clear" w:color="auto" w:fill="E1DFDD"/>
    </w:rPr>
  </w:style>
  <w:style w:type="table" w:customStyle="1" w:styleId="Tablaconcuadrcula3">
    <w:name w:val="Tabla con cuadrícula3"/>
    <w:basedOn w:val="Tablanormal"/>
    <w:next w:val="Tablaconcuadrcula"/>
    <w:uiPriority w:val="39"/>
    <w:rsid w:val="0052496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2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24963"/>
  </w:style>
  <w:style w:type="paragraph" w:customStyle="1" w:styleId="footnotedescription">
    <w:name w:val="footnote description"/>
    <w:next w:val="Normal"/>
    <w:link w:val="footnotedescriptionChar"/>
    <w:hidden/>
    <w:rsid w:val="007A38C1"/>
    <w:pPr>
      <w:spacing w:after="14" w:line="246" w:lineRule="auto"/>
      <w:ind w:right="55" w:firstLine="709"/>
      <w:jc w:val="both"/>
    </w:pPr>
    <w:rPr>
      <w:rFonts w:ascii="Arial" w:eastAsia="Arial" w:hAnsi="Arial" w:cs="Arial"/>
      <w:color w:val="000000"/>
      <w:sz w:val="19"/>
      <w:lang w:eastAsia="es-CO"/>
    </w:rPr>
  </w:style>
  <w:style w:type="character" w:customStyle="1" w:styleId="footnotedescriptionChar">
    <w:name w:val="footnote description Char"/>
    <w:link w:val="footnotedescription"/>
    <w:rsid w:val="007A38C1"/>
    <w:rPr>
      <w:rFonts w:ascii="Arial" w:eastAsia="Arial" w:hAnsi="Arial" w:cs="Arial"/>
      <w:color w:val="000000"/>
      <w:sz w:val="19"/>
      <w:lang w:eastAsia="es-CO"/>
    </w:rPr>
  </w:style>
  <w:style w:type="character" w:customStyle="1" w:styleId="footnotemark">
    <w:name w:val="footnote mark"/>
    <w:hidden/>
    <w:rsid w:val="007A38C1"/>
    <w:rPr>
      <w:rFonts w:ascii="Arial" w:eastAsia="Arial" w:hAnsi="Arial" w:cs="Arial"/>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4914109">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1731215">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803169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9872426">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3416930">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094810">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09538742">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42237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672">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1215">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529078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356253">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5973630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150_200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150_2007.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B0BB2-A0BD-4313-857E-7D225399EA01}">
  <ds:schemaRefs>
    <ds:schemaRef ds:uri="http://schemas.openxmlformats.org/officeDocument/2006/bibliography"/>
  </ds:schemaRefs>
</ds:datastoreItem>
</file>

<file path=customXml/itemProps2.xml><?xml version="1.0" encoding="utf-8"?>
<ds:datastoreItem xmlns:ds="http://schemas.openxmlformats.org/officeDocument/2006/customXml" ds:itemID="{B3B5C209-1B1C-4448-8FC6-45823A320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4875</Words>
  <Characters>26814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2022-07-28T15:07:00Z</dcterms:created>
  <dcterms:modified xsi:type="dcterms:W3CDTF">2022-07-28T15:07:00Z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