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2912" w14:textId="6C255ECA" w:rsidR="00EF7D13" w:rsidRPr="007702EC" w:rsidRDefault="00EF7D13" w:rsidP="00EF7D13">
      <w:pPr>
        <w:tabs>
          <w:tab w:val="left" w:pos="426"/>
        </w:tabs>
        <w:spacing w:after="0" w:line="240" w:lineRule="auto"/>
        <w:contextualSpacing/>
        <w:jc w:val="both"/>
        <w:rPr>
          <w:rFonts w:ascii="Arial" w:eastAsia="Calibri" w:hAnsi="Arial" w:cs="Arial"/>
          <w:b/>
          <w:bCs/>
          <w:lang w:val="es-ES_tradnl"/>
        </w:rPr>
      </w:pPr>
      <w:bookmarkStart w:id="0" w:name="_Hlk77165666"/>
      <w:r w:rsidRPr="007702EC">
        <w:rPr>
          <w:rFonts w:ascii="Arial" w:eastAsia="Calibri" w:hAnsi="Arial" w:cs="Arial"/>
          <w:b/>
          <w:bCs/>
          <w:lang w:val="es-ES_tradnl"/>
        </w:rPr>
        <w:t>LEY DE GARANTÍAS ELECTORALES ─ Definición ─ Finalidad</w:t>
      </w:r>
    </w:p>
    <w:p w14:paraId="017C7BCC" w14:textId="77777777" w:rsidR="00EF7D13" w:rsidRPr="007702EC" w:rsidRDefault="00EF7D13" w:rsidP="00EF7D13">
      <w:pPr>
        <w:tabs>
          <w:tab w:val="left" w:pos="426"/>
        </w:tabs>
        <w:spacing w:after="0" w:line="240" w:lineRule="auto"/>
        <w:contextualSpacing/>
        <w:jc w:val="both"/>
        <w:rPr>
          <w:rFonts w:ascii="Arial" w:eastAsia="Calibri" w:hAnsi="Arial" w:cs="Arial"/>
          <w:b/>
          <w:bCs/>
          <w:sz w:val="20"/>
          <w:szCs w:val="20"/>
          <w:lang w:val="es-ES_tradnl"/>
        </w:rPr>
      </w:pPr>
    </w:p>
    <w:p w14:paraId="1FA5F5F0" w14:textId="77777777" w:rsidR="00EF7D13" w:rsidRPr="007702EC" w:rsidRDefault="00EF7D13" w:rsidP="00EF7D13">
      <w:pPr>
        <w:spacing w:after="0" w:line="240" w:lineRule="auto"/>
        <w:contextualSpacing/>
        <w:jc w:val="both"/>
        <w:rPr>
          <w:rFonts w:ascii="Arial" w:eastAsia="Arial" w:hAnsi="Arial" w:cs="Arial"/>
          <w:sz w:val="20"/>
          <w:szCs w:val="20"/>
          <w:lang w:val="es-ES_tradnl" w:eastAsia="es-ES" w:bidi="es-ES"/>
        </w:rPr>
      </w:pPr>
      <w:r w:rsidRPr="007702EC">
        <w:rPr>
          <w:rFonts w:ascii="Arial" w:eastAsia="Times New Roman" w:hAnsi="Arial" w:cs="Arial"/>
          <w:bCs/>
          <w:sz w:val="20"/>
          <w:szCs w:val="20"/>
          <w:lang w:val="es-ES_tradnl"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7702EC">
        <w:rPr>
          <w:rFonts w:ascii="Arial" w:eastAsia="Arial" w:hAnsi="Arial" w:cs="Arial"/>
          <w:sz w:val="20"/>
          <w:szCs w:val="20"/>
          <w:lang w:val="es-ES_tradnl" w:eastAsia="es-ES" w:bidi="es-ES"/>
        </w:rPr>
        <w:t xml:space="preserve"> […] </w:t>
      </w:r>
    </w:p>
    <w:p w14:paraId="3CD8ADD6" w14:textId="77777777" w:rsidR="00EF7D13" w:rsidRPr="007702EC" w:rsidRDefault="00EF7D13" w:rsidP="00EF7D13">
      <w:pPr>
        <w:spacing w:after="0" w:line="240" w:lineRule="auto"/>
        <w:contextualSpacing/>
        <w:jc w:val="both"/>
        <w:rPr>
          <w:rFonts w:ascii="Arial" w:eastAsia="Arial" w:hAnsi="Arial" w:cs="Arial"/>
          <w:sz w:val="20"/>
          <w:szCs w:val="20"/>
          <w:lang w:val="es-ES_tradnl" w:eastAsia="es-ES" w:bidi="es-ES"/>
        </w:rPr>
      </w:pPr>
    </w:p>
    <w:p w14:paraId="5F91D22E" w14:textId="77777777" w:rsidR="00EF7D13" w:rsidRPr="007702EC" w:rsidRDefault="00EF7D13" w:rsidP="00EF7D13">
      <w:pPr>
        <w:spacing w:after="0" w:line="240" w:lineRule="auto"/>
        <w:contextualSpacing/>
        <w:jc w:val="both"/>
        <w:rPr>
          <w:rFonts w:ascii="Arial" w:eastAsia="Arial" w:hAnsi="Arial" w:cs="Arial"/>
          <w:sz w:val="20"/>
          <w:szCs w:val="20"/>
          <w:lang w:val="es-ES_tradnl" w:eastAsia="es-ES" w:bidi="es-ES"/>
        </w:rPr>
      </w:pPr>
      <w:r w:rsidRPr="007702EC">
        <w:rPr>
          <w:rFonts w:ascii="Arial" w:eastAsia="Arial" w:hAnsi="Arial" w:cs="Arial"/>
          <w:sz w:val="20"/>
          <w:szCs w:val="20"/>
          <w:lang w:val="es-ES_tradnl" w:eastAsia="es-ES" w:bidi="es-ES"/>
        </w:rPr>
        <w:t>[…]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7839125D" w14:textId="77777777" w:rsidR="00EF7D13" w:rsidRPr="007702EC" w:rsidRDefault="00EF7D13" w:rsidP="00EF7D13">
      <w:pPr>
        <w:spacing w:after="0" w:line="240" w:lineRule="auto"/>
        <w:contextualSpacing/>
        <w:jc w:val="both"/>
        <w:rPr>
          <w:rFonts w:ascii="Arial" w:eastAsia="Arial" w:hAnsi="Arial" w:cs="Arial"/>
          <w:sz w:val="20"/>
          <w:szCs w:val="20"/>
          <w:lang w:val="es-ES_tradnl" w:eastAsia="es-ES" w:bidi="es-ES"/>
        </w:rPr>
      </w:pPr>
    </w:p>
    <w:p w14:paraId="408269F4" w14:textId="77777777" w:rsidR="00EF7D13" w:rsidRPr="007702EC" w:rsidRDefault="00EF7D13" w:rsidP="00EF7D13">
      <w:pPr>
        <w:tabs>
          <w:tab w:val="left" w:pos="426"/>
        </w:tabs>
        <w:spacing w:after="0" w:line="240" w:lineRule="auto"/>
        <w:contextualSpacing/>
        <w:jc w:val="both"/>
        <w:rPr>
          <w:rFonts w:ascii="Arial" w:eastAsia="Calibri" w:hAnsi="Arial" w:cs="Arial"/>
          <w:b/>
          <w:bCs/>
          <w:lang w:val="es-ES_tradnl"/>
        </w:rPr>
      </w:pPr>
      <w:bookmarkStart w:id="1" w:name="_Hlk77152637"/>
      <w:r w:rsidRPr="007702EC">
        <w:rPr>
          <w:rFonts w:ascii="Arial" w:eastAsia="Calibri" w:hAnsi="Arial" w:cs="Arial"/>
          <w:b/>
          <w:bCs/>
          <w:lang w:val="es-ES_tradnl"/>
        </w:rPr>
        <w:t xml:space="preserve">LEY DE GARANTÍAS ELECTORALES </w:t>
      </w:r>
      <w:bookmarkEnd w:id="1"/>
      <w:r w:rsidRPr="007702EC">
        <w:rPr>
          <w:rFonts w:ascii="Arial" w:eastAsia="Calibri" w:hAnsi="Arial" w:cs="Arial"/>
          <w:b/>
          <w:bCs/>
          <w:lang w:val="es-ES_tradnl"/>
        </w:rPr>
        <w:t xml:space="preserve">─ Restricciones </w:t>
      </w:r>
      <w:bookmarkStart w:id="2" w:name="_Hlk77157034"/>
      <w:r w:rsidRPr="007702EC">
        <w:rPr>
          <w:rFonts w:ascii="Arial" w:eastAsia="Calibri" w:hAnsi="Arial" w:cs="Arial"/>
          <w:b/>
          <w:bCs/>
          <w:lang w:val="es-ES_tradnl"/>
        </w:rPr>
        <w:t xml:space="preserve">─ </w:t>
      </w:r>
      <w:bookmarkEnd w:id="2"/>
      <w:r w:rsidRPr="007702EC">
        <w:rPr>
          <w:rFonts w:ascii="Arial" w:eastAsia="Calibri" w:hAnsi="Arial" w:cs="Arial"/>
          <w:b/>
          <w:bCs/>
          <w:lang w:val="es-ES_tradnl"/>
        </w:rPr>
        <w:t>Contratación</w:t>
      </w:r>
      <w:bookmarkStart w:id="3" w:name="_Hlk77153098"/>
      <w:r w:rsidRPr="007702EC">
        <w:rPr>
          <w:rFonts w:ascii="Arial" w:eastAsia="Calibri" w:hAnsi="Arial" w:cs="Arial"/>
          <w:b/>
          <w:bCs/>
          <w:lang w:val="es-ES_tradnl"/>
        </w:rPr>
        <w:t xml:space="preserve"> ─ Tipos de elección</w:t>
      </w:r>
      <w:bookmarkEnd w:id="3"/>
      <w:r w:rsidRPr="007702EC">
        <w:rPr>
          <w:rFonts w:ascii="Arial" w:eastAsia="Calibri" w:hAnsi="Arial" w:cs="Arial"/>
          <w:b/>
          <w:bCs/>
          <w:lang w:val="es-ES_tradnl"/>
        </w:rPr>
        <w:t xml:space="preserve"> </w:t>
      </w:r>
    </w:p>
    <w:p w14:paraId="66278C55" w14:textId="77777777" w:rsidR="00EF7D13" w:rsidRPr="007702EC" w:rsidRDefault="00EF7D13" w:rsidP="00EF7D13">
      <w:pPr>
        <w:spacing w:after="0" w:line="240" w:lineRule="auto"/>
        <w:contextualSpacing/>
        <w:jc w:val="both"/>
        <w:rPr>
          <w:rFonts w:ascii="Arial" w:eastAsia="Calibri" w:hAnsi="Arial" w:cs="Arial"/>
          <w:sz w:val="20"/>
          <w:szCs w:val="20"/>
          <w:lang w:val="es-ES_tradnl"/>
        </w:rPr>
      </w:pPr>
    </w:p>
    <w:p w14:paraId="163F78CA" w14:textId="77777777" w:rsidR="00EF7D13" w:rsidRPr="007702EC" w:rsidRDefault="00EF7D13" w:rsidP="00EF7D13">
      <w:pPr>
        <w:spacing w:after="0" w:line="240" w:lineRule="auto"/>
        <w:contextualSpacing/>
        <w:jc w:val="both"/>
        <w:rPr>
          <w:rFonts w:ascii="Arial" w:eastAsia="Arial" w:hAnsi="Arial" w:cs="Arial"/>
          <w:sz w:val="20"/>
          <w:szCs w:val="20"/>
          <w:lang w:val="es-ES_tradnl" w:eastAsia="es-ES" w:bidi="es-ES"/>
        </w:rPr>
      </w:pPr>
      <w:r w:rsidRPr="007702EC">
        <w:rPr>
          <w:rFonts w:ascii="Arial" w:eastAsia="Arial" w:hAnsi="Arial" w:cs="Arial"/>
          <w:sz w:val="20"/>
          <w:szCs w:val="20"/>
          <w:lang w:val="es-ES_tradnl" w:eastAsia="es-ES" w:bidi="es-ES"/>
        </w:rPr>
        <w:t xml:space="preserve">De conformidad con lo anterior, la Ley 996 de 2005 establece dos (2) tipos de restricciones en materia de contratación, las cuales coinciden parcialmente. </w:t>
      </w:r>
      <w:r w:rsidRPr="007702EC">
        <w:rPr>
          <w:rFonts w:ascii="Arial" w:eastAsia="Arial" w:hAnsi="Arial" w:cs="Arial"/>
          <w:i/>
          <w:iCs/>
          <w:sz w:val="20"/>
          <w:szCs w:val="20"/>
          <w:lang w:val="es-ES_tradnl" w:eastAsia="es-ES" w:bidi="es-ES"/>
        </w:rPr>
        <w:t>En primer lugar</w:t>
      </w:r>
      <w:r w:rsidRPr="007702EC">
        <w:rPr>
          <w:rFonts w:ascii="Arial" w:eastAsia="Arial" w:hAnsi="Arial" w:cs="Arial"/>
          <w:sz w:val="20"/>
          <w:szCs w:val="20"/>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7702EC">
        <w:rPr>
          <w:rFonts w:ascii="Arial" w:eastAsia="Arial" w:hAnsi="Arial" w:cs="Arial"/>
          <w:i/>
          <w:iCs/>
          <w:sz w:val="20"/>
          <w:szCs w:val="20"/>
          <w:lang w:val="es-ES_tradnl" w:eastAsia="es-ES" w:bidi="es-ES"/>
        </w:rPr>
        <w:t>En segundo lugar</w:t>
      </w:r>
      <w:r w:rsidRPr="007702EC">
        <w:rPr>
          <w:rFonts w:ascii="Arial" w:eastAsia="Arial" w:hAnsi="Arial" w:cs="Arial"/>
          <w:sz w:val="20"/>
          <w:szCs w:val="20"/>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1C09A40B" w14:textId="77777777" w:rsidR="00EF7D13" w:rsidRPr="007702EC" w:rsidRDefault="00EF7D13" w:rsidP="00EF7D13">
      <w:pPr>
        <w:spacing w:after="0" w:line="240" w:lineRule="auto"/>
        <w:contextualSpacing/>
        <w:jc w:val="both"/>
        <w:rPr>
          <w:rFonts w:ascii="Arial" w:eastAsia="Arial" w:hAnsi="Arial" w:cs="Arial"/>
          <w:sz w:val="20"/>
          <w:szCs w:val="20"/>
          <w:lang w:val="es-ES_tradnl" w:eastAsia="es-ES" w:bidi="es-ES"/>
        </w:rPr>
      </w:pPr>
    </w:p>
    <w:p w14:paraId="38E6F87D" w14:textId="77777777" w:rsidR="00EF7D13" w:rsidRPr="007702EC" w:rsidRDefault="00EF7D13" w:rsidP="00EF7D13">
      <w:pPr>
        <w:tabs>
          <w:tab w:val="left" w:pos="426"/>
        </w:tabs>
        <w:spacing w:after="0" w:line="240" w:lineRule="auto"/>
        <w:contextualSpacing/>
        <w:jc w:val="both"/>
        <w:rPr>
          <w:rFonts w:ascii="Arial" w:eastAsia="Calibri" w:hAnsi="Arial" w:cs="Arial"/>
          <w:b/>
          <w:bCs/>
          <w:lang w:val="es-ES_tradnl"/>
        </w:rPr>
      </w:pPr>
      <w:r w:rsidRPr="007702EC">
        <w:rPr>
          <w:rFonts w:ascii="Arial" w:eastAsia="Calibri" w:hAnsi="Arial" w:cs="Arial"/>
          <w:b/>
          <w:bCs/>
          <w:lang w:val="es-ES_tradnl"/>
        </w:rPr>
        <w:t xml:space="preserve">LEY DE GARANTÍAS ELECTORALES ─ Artículo 33 ─ Prohibición ─ </w:t>
      </w:r>
      <w:bookmarkEnd w:id="0"/>
      <w:r w:rsidRPr="007702EC">
        <w:rPr>
          <w:rFonts w:ascii="Arial" w:eastAsia="Calibri" w:hAnsi="Arial" w:cs="Arial"/>
          <w:b/>
          <w:bCs/>
          <w:lang w:val="es-ES_tradnl"/>
        </w:rPr>
        <w:t>Contratación directa ─ Alcance</w:t>
      </w:r>
    </w:p>
    <w:p w14:paraId="0FD7999F" w14:textId="77777777" w:rsidR="00EF7D13" w:rsidRPr="007702EC" w:rsidRDefault="00EF7D13" w:rsidP="00EF7D13">
      <w:pPr>
        <w:tabs>
          <w:tab w:val="left" w:pos="426"/>
        </w:tabs>
        <w:spacing w:after="0" w:line="240" w:lineRule="auto"/>
        <w:contextualSpacing/>
        <w:jc w:val="both"/>
        <w:rPr>
          <w:rFonts w:ascii="Arial" w:eastAsia="Calibri" w:hAnsi="Arial" w:cs="Arial"/>
          <w:noProof/>
          <w:sz w:val="20"/>
          <w:szCs w:val="20"/>
          <w:lang w:val="es-ES_tradnl"/>
        </w:rPr>
      </w:pPr>
    </w:p>
    <w:p w14:paraId="5D2D23CE" w14:textId="77777777" w:rsidR="00EF7D13" w:rsidRPr="007702EC" w:rsidRDefault="00EF7D13" w:rsidP="00EF7D13">
      <w:pPr>
        <w:spacing w:after="0" w:line="240" w:lineRule="auto"/>
        <w:contextualSpacing/>
        <w:jc w:val="both"/>
        <w:rPr>
          <w:rFonts w:ascii="Arial" w:hAnsi="Arial" w:cs="Arial"/>
          <w:bCs/>
          <w:sz w:val="20"/>
          <w:szCs w:val="20"/>
          <w:lang w:val="es-ES_tradnl" w:eastAsia="x-none"/>
        </w:rPr>
      </w:pPr>
      <w:r w:rsidRPr="007702EC">
        <w:rPr>
          <w:rFonts w:ascii="Arial" w:hAnsi="Arial" w:cs="Arial"/>
          <w:sz w:val="20"/>
          <w:szCs w:val="20"/>
          <w:lang w:val="es-ES_tradnl" w:eastAsia="x-none"/>
        </w:rPr>
        <w:t xml:space="preserve">De acuerdo con el citado concepto, la prohibición del artículo 33 de la Ley de Garantías Electorales se refiere a </w:t>
      </w:r>
      <w:r w:rsidRPr="007702EC">
        <w:rPr>
          <w:rFonts w:ascii="Arial" w:hAnsi="Arial" w:cs="Arial"/>
          <w:sz w:val="20"/>
          <w:szCs w:val="20"/>
          <w:lang w:val="es-ES_tradnl" w:eastAsia="en-GB"/>
        </w:rPr>
        <w:t>«</w:t>
      </w:r>
      <w:r w:rsidRPr="007702EC">
        <w:rPr>
          <w:rFonts w:ascii="Arial" w:hAnsi="Arial" w:cs="Arial"/>
          <w:sz w:val="20"/>
          <w:szCs w:val="20"/>
          <w:lang w:val="es-ES_tradnl" w:eastAsia="x-none"/>
        </w:rPr>
        <w:t>cualquier sistema que no implique convocatoria pública y posibilidad de pluralidad de oferentes</w:t>
      </w:r>
      <w:r w:rsidRPr="007702EC">
        <w:rPr>
          <w:rFonts w:ascii="Arial" w:hAnsi="Arial" w:cs="Arial"/>
          <w:sz w:val="20"/>
          <w:szCs w:val="20"/>
          <w:lang w:val="es-ES_tradnl" w:eastAsia="en-GB"/>
        </w:rPr>
        <w:t>»</w:t>
      </w:r>
      <w:r w:rsidRPr="007702EC">
        <w:rPr>
          <w:rFonts w:ascii="Arial" w:hAnsi="Arial" w:cs="Arial"/>
          <w:sz w:val="20"/>
          <w:szCs w:val="20"/>
          <w:lang w:val="es-ES_tradnl" w:eastAsia="x-none"/>
        </w:rPr>
        <w:t xml:space="preserve">,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 y sistematizó las causales de contratación directa, </w:t>
      </w:r>
      <w:r w:rsidRPr="007702EC">
        <w:rPr>
          <w:rFonts w:ascii="Arial" w:hAnsi="Arial" w:cs="Arial"/>
          <w:sz w:val="20"/>
          <w:szCs w:val="20"/>
          <w:lang w:eastAsia="x-none"/>
        </w:rPr>
        <w:t xml:space="preserve">además lo es con la posterior creación de la </w:t>
      </w:r>
      <w:r w:rsidRPr="007702EC">
        <w:rPr>
          <w:rFonts w:ascii="Arial" w:hAnsi="Arial" w:cs="Arial"/>
          <w:sz w:val="20"/>
          <w:szCs w:val="20"/>
          <w:lang w:eastAsia="x-none"/>
        </w:rPr>
        <w:lastRenderedPageBreak/>
        <w:t>modalidad de mínima cuantía establecida actualmente en el numeral 5 del artículo 2 de la Ley 1150 de 2007, de acuerdo con las modificaciones realizadas por leyes posteriores.</w:t>
      </w:r>
    </w:p>
    <w:p w14:paraId="27C374C6" w14:textId="77777777" w:rsidR="00EF7D13" w:rsidRPr="007702EC" w:rsidRDefault="00EF7D13" w:rsidP="00EF7D13">
      <w:pPr>
        <w:tabs>
          <w:tab w:val="left" w:pos="426"/>
        </w:tabs>
        <w:spacing w:after="0" w:line="240" w:lineRule="auto"/>
        <w:contextualSpacing/>
        <w:jc w:val="both"/>
        <w:rPr>
          <w:rFonts w:ascii="Arial" w:hAnsi="Arial" w:cs="Arial"/>
          <w:bCs/>
          <w:sz w:val="20"/>
          <w:szCs w:val="20"/>
          <w:lang w:val="es-ES_tradnl" w:eastAsia="x-none"/>
        </w:rPr>
      </w:pPr>
    </w:p>
    <w:p w14:paraId="106388BB" w14:textId="77777777" w:rsidR="00EF7D13" w:rsidRPr="007702EC" w:rsidRDefault="00EF7D13" w:rsidP="00EF7D13">
      <w:pPr>
        <w:tabs>
          <w:tab w:val="left" w:pos="426"/>
        </w:tabs>
        <w:spacing w:after="0" w:line="240" w:lineRule="auto"/>
        <w:contextualSpacing/>
        <w:jc w:val="both"/>
        <w:rPr>
          <w:rFonts w:ascii="Arial" w:hAnsi="Arial" w:cs="Arial"/>
          <w:bCs/>
          <w:lang w:val="es-ES_tradnl" w:eastAsia="x-none"/>
        </w:rPr>
      </w:pPr>
      <w:r w:rsidRPr="007702EC">
        <w:rPr>
          <w:rFonts w:ascii="Arial" w:eastAsia="Calibri" w:hAnsi="Arial" w:cs="Arial"/>
          <w:b/>
          <w:bCs/>
          <w:lang w:val="es-ES_tradnl"/>
        </w:rPr>
        <w:t>LEY DE GARANTÍAS ELECTORALES ─</w:t>
      </w:r>
      <w:r w:rsidRPr="007702EC">
        <w:rPr>
          <w:rFonts w:ascii="Arial" w:eastAsia="Times New Roman" w:hAnsi="Arial" w:cs="Arial"/>
          <w:b/>
          <w:bCs/>
          <w:lang w:val="es-ES_tradnl" w:eastAsia="es-CO"/>
        </w:rPr>
        <w:t xml:space="preserve"> </w:t>
      </w:r>
      <w:r w:rsidRPr="007702EC">
        <w:rPr>
          <w:rFonts w:ascii="Arial" w:eastAsia="Calibri" w:hAnsi="Arial" w:cs="Arial"/>
          <w:b/>
          <w:bCs/>
          <w:lang w:val="es-ES_tradnl"/>
        </w:rPr>
        <w:t xml:space="preserve">Artículo 33 ─ </w:t>
      </w:r>
      <w:r w:rsidRPr="007702EC">
        <w:rPr>
          <w:rFonts w:ascii="Arial" w:eastAsia="Times New Roman" w:hAnsi="Arial" w:cs="Arial"/>
          <w:b/>
          <w:bCs/>
          <w:lang w:val="es-ES_tradnl" w:eastAsia="es-CO"/>
        </w:rPr>
        <w:t>Excepciones</w:t>
      </w:r>
      <w:r w:rsidRPr="007702EC">
        <w:rPr>
          <w:rFonts w:ascii="Arial" w:eastAsia="Calibri" w:hAnsi="Arial" w:cs="Arial"/>
          <w:b/>
          <w:bCs/>
          <w:lang w:val="es-ES_tradnl"/>
        </w:rPr>
        <w:t xml:space="preserve"> </w:t>
      </w:r>
    </w:p>
    <w:p w14:paraId="55811545" w14:textId="77777777" w:rsidR="00EF7D13" w:rsidRPr="007702EC" w:rsidRDefault="00EF7D13" w:rsidP="00EF7D13">
      <w:pPr>
        <w:tabs>
          <w:tab w:val="left" w:pos="426"/>
        </w:tabs>
        <w:spacing w:after="0" w:line="240" w:lineRule="auto"/>
        <w:contextualSpacing/>
        <w:jc w:val="both"/>
        <w:rPr>
          <w:rFonts w:ascii="Arial" w:hAnsi="Arial" w:cs="Arial"/>
          <w:bCs/>
          <w:sz w:val="20"/>
          <w:szCs w:val="20"/>
          <w:lang w:val="es-ES_tradnl" w:eastAsia="x-none"/>
        </w:rPr>
      </w:pPr>
    </w:p>
    <w:p w14:paraId="5419DFC4" w14:textId="77777777" w:rsidR="00EF7D13" w:rsidRPr="007702EC" w:rsidRDefault="00EF7D13" w:rsidP="00EF7D13">
      <w:pPr>
        <w:spacing w:after="0" w:line="240" w:lineRule="auto"/>
        <w:contextualSpacing/>
        <w:jc w:val="both"/>
        <w:rPr>
          <w:rFonts w:ascii="Arial" w:hAnsi="Arial" w:cs="Arial"/>
          <w:bCs/>
          <w:sz w:val="20"/>
          <w:szCs w:val="20"/>
          <w:lang w:val="es-ES_tradnl" w:eastAsia="es-CO"/>
        </w:rPr>
      </w:pPr>
      <w:r w:rsidRPr="007702EC">
        <w:rPr>
          <w:rFonts w:ascii="Arial" w:hAnsi="Arial" w:cs="Arial"/>
          <w:bCs/>
          <w:sz w:val="20"/>
          <w:szCs w:val="20"/>
          <w:lang w:val="es-ES_tradnl"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7702EC">
        <w:rPr>
          <w:rFonts w:ascii="Arial" w:hAnsi="Arial" w:cs="Arial"/>
          <w:bCs/>
          <w:sz w:val="20"/>
          <w:szCs w:val="20"/>
          <w:lang w:val="es-ES_tradnl" w:eastAsia="x-none"/>
        </w:rPr>
        <w:t>ii</w:t>
      </w:r>
      <w:proofErr w:type="spellEnd"/>
      <w:r w:rsidRPr="007702EC">
        <w:rPr>
          <w:rFonts w:ascii="Arial" w:hAnsi="Arial" w:cs="Arial"/>
          <w:bCs/>
          <w:sz w:val="20"/>
          <w:szCs w:val="20"/>
          <w:lang w:val="es-ES_tradnl" w:eastAsia="x-none"/>
        </w:rPr>
        <w:t xml:space="preserve">) los contratos de crédito público; </w:t>
      </w:r>
      <w:proofErr w:type="spellStart"/>
      <w:r w:rsidRPr="007702EC">
        <w:rPr>
          <w:rFonts w:ascii="Arial" w:hAnsi="Arial" w:cs="Arial"/>
          <w:bCs/>
          <w:sz w:val="20"/>
          <w:szCs w:val="20"/>
          <w:lang w:val="es-ES_tradnl" w:eastAsia="x-none"/>
        </w:rPr>
        <w:t>iii</w:t>
      </w:r>
      <w:proofErr w:type="spellEnd"/>
      <w:r w:rsidRPr="007702EC">
        <w:rPr>
          <w:rFonts w:ascii="Arial" w:hAnsi="Arial" w:cs="Arial"/>
          <w:bCs/>
          <w:sz w:val="20"/>
          <w:szCs w:val="20"/>
          <w:lang w:val="es-ES_tradnl" w:eastAsia="x-none"/>
        </w:rPr>
        <w:t xml:space="preserve">) los requeridos para cubrir las emergencias educativas, sanitarias y desastres; </w:t>
      </w:r>
      <w:proofErr w:type="spellStart"/>
      <w:r w:rsidRPr="007702EC">
        <w:rPr>
          <w:rFonts w:ascii="Arial" w:hAnsi="Arial" w:cs="Arial"/>
          <w:bCs/>
          <w:sz w:val="20"/>
          <w:szCs w:val="20"/>
          <w:lang w:val="es-ES_tradnl" w:eastAsia="x-none"/>
        </w:rPr>
        <w:t>iv</w:t>
      </w:r>
      <w:proofErr w:type="spellEnd"/>
      <w:r w:rsidRPr="007702EC">
        <w:rPr>
          <w:rFonts w:ascii="Arial" w:hAnsi="Arial" w:cs="Arial"/>
          <w:bCs/>
          <w:sz w:val="20"/>
          <w:szCs w:val="20"/>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7702EC">
        <w:rPr>
          <w:rFonts w:ascii="Arial" w:hAnsi="Arial" w:cs="Arial"/>
          <w:bCs/>
          <w:sz w:val="20"/>
          <w:szCs w:val="20"/>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7FAA4B06" w14:textId="77777777" w:rsidR="00EF7D13" w:rsidRPr="007702EC" w:rsidRDefault="00EF7D13" w:rsidP="00EF7D13">
      <w:pPr>
        <w:tabs>
          <w:tab w:val="left" w:pos="426"/>
        </w:tabs>
        <w:spacing w:after="0" w:line="240" w:lineRule="auto"/>
        <w:contextualSpacing/>
        <w:jc w:val="both"/>
        <w:rPr>
          <w:rFonts w:ascii="Arial" w:eastAsia="Calibri" w:hAnsi="Arial" w:cs="Arial"/>
          <w:b/>
          <w:bCs/>
          <w:sz w:val="20"/>
          <w:szCs w:val="20"/>
          <w:lang w:val="es-ES_tradnl"/>
        </w:rPr>
      </w:pPr>
    </w:p>
    <w:p w14:paraId="430D29CE" w14:textId="77777777" w:rsidR="00EF7D13" w:rsidRPr="007702EC" w:rsidRDefault="00EF7D13" w:rsidP="00EF7D13">
      <w:pPr>
        <w:tabs>
          <w:tab w:val="left" w:pos="426"/>
        </w:tabs>
        <w:spacing w:after="0" w:line="240" w:lineRule="auto"/>
        <w:contextualSpacing/>
        <w:jc w:val="both"/>
        <w:rPr>
          <w:rFonts w:ascii="Arial" w:eastAsia="Calibri" w:hAnsi="Arial" w:cs="Arial"/>
          <w:noProof/>
          <w:lang w:val="es-ES_tradnl"/>
        </w:rPr>
      </w:pPr>
      <w:r w:rsidRPr="007702EC">
        <w:rPr>
          <w:rFonts w:ascii="Arial" w:eastAsia="Calibri" w:hAnsi="Arial" w:cs="Arial"/>
          <w:b/>
          <w:bCs/>
          <w:lang w:val="es-ES_tradnl"/>
        </w:rPr>
        <w:t>LEY DE GARANTÍAS ELECTORALES ─</w:t>
      </w:r>
      <w:r w:rsidRPr="007702EC">
        <w:rPr>
          <w:rFonts w:ascii="Arial" w:eastAsia="Times New Roman" w:hAnsi="Arial" w:cs="Arial"/>
          <w:b/>
          <w:bCs/>
          <w:lang w:val="es-ES_tradnl" w:eastAsia="es-CO"/>
        </w:rPr>
        <w:t xml:space="preserve"> </w:t>
      </w:r>
      <w:r w:rsidRPr="007702EC">
        <w:rPr>
          <w:rFonts w:ascii="Arial" w:eastAsia="Calibri" w:hAnsi="Arial" w:cs="Arial"/>
          <w:b/>
          <w:bCs/>
          <w:lang w:val="es-ES_tradnl"/>
        </w:rPr>
        <w:t>Artículo 33 ─ Destinatarios</w:t>
      </w:r>
    </w:p>
    <w:p w14:paraId="6B098ACA" w14:textId="77777777" w:rsidR="00EF7D13" w:rsidRPr="007702EC" w:rsidRDefault="00EF7D13" w:rsidP="00EF7D13">
      <w:pPr>
        <w:tabs>
          <w:tab w:val="left" w:pos="426"/>
        </w:tabs>
        <w:spacing w:after="0" w:line="240" w:lineRule="auto"/>
        <w:contextualSpacing/>
        <w:jc w:val="both"/>
        <w:rPr>
          <w:rFonts w:ascii="Arial" w:eastAsia="Calibri" w:hAnsi="Arial" w:cs="Arial"/>
          <w:noProof/>
          <w:sz w:val="20"/>
          <w:szCs w:val="20"/>
          <w:lang w:val="es-ES_tradnl"/>
        </w:rPr>
      </w:pPr>
    </w:p>
    <w:p w14:paraId="681E681C" w14:textId="77777777" w:rsidR="00EF7D13" w:rsidRPr="007702EC" w:rsidRDefault="00EF7D13" w:rsidP="00EF7D13">
      <w:pPr>
        <w:tabs>
          <w:tab w:val="left" w:pos="426"/>
        </w:tabs>
        <w:spacing w:after="0" w:line="240" w:lineRule="auto"/>
        <w:contextualSpacing/>
        <w:jc w:val="both"/>
        <w:rPr>
          <w:rFonts w:ascii="Arial" w:hAnsi="Arial" w:cs="Arial"/>
          <w:bCs/>
          <w:sz w:val="20"/>
          <w:szCs w:val="20"/>
          <w:lang w:val="es-ES_tradnl" w:eastAsia="x-none"/>
        </w:rPr>
      </w:pPr>
      <w:r w:rsidRPr="007702EC">
        <w:rPr>
          <w:rFonts w:ascii="Arial" w:hAnsi="Arial" w:cs="Arial"/>
          <w:bCs/>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7702EC">
        <w:rPr>
          <w:rFonts w:ascii="Arial" w:hAnsi="Arial" w:cs="Arial"/>
          <w:sz w:val="20"/>
          <w:szCs w:val="20"/>
          <w:lang w:val="es-ES_tradnl"/>
        </w:rPr>
        <w:t xml:space="preserve"> </w:t>
      </w:r>
      <w:r w:rsidRPr="007702EC">
        <w:rPr>
          <w:rFonts w:ascii="Arial" w:hAnsi="Arial" w:cs="Arial"/>
          <w:bCs/>
          <w:sz w:val="20"/>
          <w:szCs w:val="20"/>
          <w:lang w:val="es-ES_tradnl" w:eastAsia="x-none"/>
        </w:rPr>
        <w:t>En efecto, tal como lo ha sostenido el Consejo de Estado, el vocablo «todos» utilizado por el legislador comprende</w:t>
      </w:r>
      <w:r w:rsidRPr="007702EC">
        <w:rPr>
          <w:rFonts w:ascii="Arial" w:hAnsi="Arial" w:cs="Arial"/>
          <w:sz w:val="20"/>
          <w:szCs w:val="20"/>
          <w:lang w:val="es-ES_tradnl"/>
        </w:rPr>
        <w:t xml:space="preserve"> </w:t>
      </w:r>
      <w:r w:rsidRPr="007702EC">
        <w:rPr>
          <w:rFonts w:ascii="Arial" w:hAnsi="Arial" w:cs="Arial"/>
          <w:bCs/>
          <w:sz w:val="20"/>
          <w:szCs w:val="20"/>
          <w:lang w:val="es-ES_tradnl"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Pr="007702EC">
        <w:rPr>
          <w:rFonts w:ascii="Arial" w:eastAsia="Calibri" w:hAnsi="Arial" w:cs="Arial"/>
          <w:noProof/>
          <w:sz w:val="20"/>
          <w:szCs w:val="20"/>
          <w:lang w:val="es-ES_tradnl"/>
        </w:rPr>
        <w:t xml:space="preserve">[…] </w:t>
      </w:r>
    </w:p>
    <w:p w14:paraId="718CD668" w14:textId="77777777" w:rsidR="00EF7D13" w:rsidRPr="007702EC" w:rsidRDefault="00EF7D13" w:rsidP="00EF7D13">
      <w:pPr>
        <w:tabs>
          <w:tab w:val="left" w:pos="426"/>
        </w:tabs>
        <w:spacing w:after="0" w:line="240" w:lineRule="auto"/>
        <w:contextualSpacing/>
        <w:jc w:val="both"/>
        <w:rPr>
          <w:rFonts w:ascii="Arial" w:hAnsi="Arial" w:cs="Arial"/>
          <w:bCs/>
          <w:sz w:val="20"/>
          <w:szCs w:val="20"/>
          <w:lang w:val="es-ES_tradnl" w:eastAsia="x-none"/>
        </w:rPr>
      </w:pPr>
    </w:p>
    <w:p w14:paraId="430A44A0" w14:textId="77777777" w:rsidR="00EF7D13" w:rsidRPr="007702EC" w:rsidRDefault="00EF7D13" w:rsidP="00EF7D13">
      <w:pPr>
        <w:tabs>
          <w:tab w:val="left" w:pos="426"/>
        </w:tabs>
        <w:spacing w:after="0" w:line="240" w:lineRule="auto"/>
        <w:contextualSpacing/>
        <w:jc w:val="both"/>
        <w:rPr>
          <w:rFonts w:ascii="Arial" w:eastAsia="Calibri" w:hAnsi="Arial" w:cs="Arial"/>
          <w:b/>
          <w:bCs/>
          <w:lang w:val="es-ES_tradnl"/>
        </w:rPr>
      </w:pPr>
      <w:r w:rsidRPr="007702EC">
        <w:rPr>
          <w:rFonts w:ascii="Arial" w:eastAsia="Calibri" w:hAnsi="Arial" w:cs="Arial"/>
          <w:b/>
          <w:bCs/>
          <w:lang w:val="es-ES_tradnl"/>
        </w:rPr>
        <w:t>LEY DE GARANTÍAS ELECTORALES ─</w:t>
      </w:r>
      <w:r w:rsidRPr="007702EC">
        <w:rPr>
          <w:rFonts w:ascii="Arial" w:eastAsia="Times New Roman" w:hAnsi="Arial" w:cs="Arial"/>
          <w:b/>
          <w:bCs/>
          <w:lang w:val="es-ES_tradnl" w:eastAsia="es-CO"/>
        </w:rPr>
        <w:t xml:space="preserve"> </w:t>
      </w:r>
      <w:r w:rsidRPr="007702EC">
        <w:rPr>
          <w:rFonts w:ascii="Arial" w:eastAsia="Calibri" w:hAnsi="Arial" w:cs="Arial"/>
          <w:b/>
          <w:bCs/>
          <w:lang w:val="es-ES_tradnl"/>
        </w:rPr>
        <w:t>Artículo 33 ─ Destinatarios – Personerías municipales</w:t>
      </w:r>
    </w:p>
    <w:p w14:paraId="7BF776E1" w14:textId="77777777" w:rsidR="00EF7D13" w:rsidRPr="007702EC" w:rsidRDefault="00EF7D13" w:rsidP="00EF7D13">
      <w:pPr>
        <w:tabs>
          <w:tab w:val="left" w:pos="426"/>
        </w:tabs>
        <w:spacing w:after="0" w:line="240" w:lineRule="auto"/>
        <w:contextualSpacing/>
        <w:jc w:val="both"/>
        <w:rPr>
          <w:rFonts w:ascii="Arial" w:eastAsia="Calibri" w:hAnsi="Arial" w:cs="Arial"/>
          <w:b/>
          <w:bCs/>
          <w:sz w:val="20"/>
          <w:szCs w:val="20"/>
          <w:lang w:val="es-ES_tradnl"/>
        </w:rPr>
      </w:pPr>
    </w:p>
    <w:p w14:paraId="5F987DE3" w14:textId="77777777" w:rsidR="00EF7D13" w:rsidRDefault="00EF7D13" w:rsidP="00EF7D13">
      <w:pPr>
        <w:tabs>
          <w:tab w:val="left" w:pos="426"/>
        </w:tabs>
        <w:spacing w:after="0" w:line="240" w:lineRule="auto"/>
        <w:contextualSpacing/>
        <w:jc w:val="both"/>
        <w:rPr>
          <w:rFonts w:ascii="Arial" w:eastAsia="Calibri" w:hAnsi="Arial" w:cs="Arial"/>
          <w:bCs/>
          <w:sz w:val="20"/>
          <w:szCs w:val="20"/>
          <w:lang w:val="es-ES_tradnl"/>
        </w:rPr>
      </w:pPr>
      <w:r w:rsidRPr="007702EC">
        <w:rPr>
          <w:rFonts w:ascii="Arial" w:eastAsia="Calibri" w:hAnsi="Arial" w:cs="Arial"/>
          <w:bCs/>
          <w:sz w:val="20"/>
          <w:szCs w:val="20"/>
          <w:lang w:val="es-ES_tradnl"/>
        </w:rPr>
        <w:t xml:space="preserve">De acuerdo con lo anterior, en aras de responder el objeto de la consulta, es importante tener en cuenta que, las personerías municipales, entidad mencionada en la petición, hacen parte de la estructura del Estado delimitada por el Titulo V de la Constitución Política de Colombia. De acuerdo con el artículo 117 ibidem, el Ministerio Público, del cual hacen parte el Procurador General de la Nación, el Defensor del Pueblo, los procuradores delegados, </w:t>
      </w:r>
      <w:r w:rsidRPr="007702EC">
        <w:rPr>
          <w:rFonts w:ascii="Arial" w:eastAsia="Calibri" w:hAnsi="Arial" w:cs="Arial"/>
          <w:bCs/>
          <w:i/>
          <w:iCs/>
          <w:sz w:val="20"/>
          <w:szCs w:val="20"/>
          <w:lang w:val="es-ES_tradnl"/>
        </w:rPr>
        <w:t>personeros municipales</w:t>
      </w:r>
      <w:r w:rsidRPr="007702EC">
        <w:rPr>
          <w:rFonts w:ascii="Arial" w:eastAsia="Calibri" w:hAnsi="Arial" w:cs="Arial"/>
          <w:bCs/>
          <w:sz w:val="20"/>
          <w:szCs w:val="20"/>
          <w:lang w:val="es-ES_tradnl"/>
        </w:rPr>
        <w:t xml:space="preserve">, entre otros agentes, según el artículo 118, corresponde a la noción de órgano de control. </w:t>
      </w:r>
    </w:p>
    <w:p w14:paraId="782259E2" w14:textId="77777777" w:rsidR="00EF7D13" w:rsidRPr="007702EC" w:rsidRDefault="00EF7D13" w:rsidP="00EF7D13">
      <w:pPr>
        <w:tabs>
          <w:tab w:val="left" w:pos="426"/>
        </w:tabs>
        <w:spacing w:after="0" w:line="240" w:lineRule="auto"/>
        <w:contextualSpacing/>
        <w:jc w:val="both"/>
        <w:rPr>
          <w:rFonts w:ascii="Arial" w:eastAsia="Calibri" w:hAnsi="Arial" w:cs="Arial"/>
          <w:bCs/>
          <w:sz w:val="20"/>
          <w:szCs w:val="20"/>
          <w:lang w:val="es-ES_tradnl"/>
        </w:rPr>
      </w:pPr>
    </w:p>
    <w:p w14:paraId="58DF2CEF" w14:textId="77777777" w:rsidR="00EF7D13" w:rsidRPr="007702EC" w:rsidRDefault="00EF7D13" w:rsidP="00EF7D13">
      <w:pPr>
        <w:tabs>
          <w:tab w:val="left" w:pos="426"/>
        </w:tabs>
        <w:spacing w:after="0" w:line="240" w:lineRule="auto"/>
        <w:contextualSpacing/>
        <w:jc w:val="both"/>
        <w:rPr>
          <w:rFonts w:ascii="Arial" w:eastAsia="Calibri" w:hAnsi="Arial" w:cs="Arial"/>
          <w:bCs/>
          <w:sz w:val="20"/>
          <w:szCs w:val="20"/>
          <w:lang w:val="es-ES_tradnl"/>
        </w:rPr>
      </w:pPr>
      <w:r w:rsidRPr="007702EC">
        <w:rPr>
          <w:rFonts w:ascii="Arial" w:eastAsia="Calibri" w:hAnsi="Arial" w:cs="Arial"/>
          <w:bCs/>
          <w:sz w:val="20"/>
          <w:szCs w:val="20"/>
          <w:lang w:val="es-ES_tradnl"/>
        </w:rPr>
        <w:t xml:space="preserve">En ese sentido, si bien las personerías municipales no hacen parte de la Administración Pública, resulta palmario que estas, no solo desarrollan funciones públicas, sino que tienen un rol definido en la estructura estatal, del que se sigue su calidad de ente del Estado, a los que de manera general se refiere el artículo 33 de la Ley 996 de 2005. Esto no conduce a conclusión distinta a que las personerías, en su calidad de órganos de control, también hacen parte de los destinatarios de la prohibición a la contratación directa establecida en el artículo 33 de la Ley de Garantías Electorales. </w:t>
      </w:r>
    </w:p>
    <w:p w14:paraId="04CBB427" w14:textId="77777777" w:rsidR="00EF7D13" w:rsidRPr="007702EC" w:rsidRDefault="00EF7D13" w:rsidP="00EF7D13">
      <w:pPr>
        <w:tabs>
          <w:tab w:val="left" w:pos="426"/>
        </w:tabs>
        <w:spacing w:after="0" w:line="240" w:lineRule="auto"/>
        <w:contextualSpacing/>
        <w:jc w:val="both"/>
        <w:rPr>
          <w:rFonts w:ascii="Arial" w:eastAsia="Calibri" w:hAnsi="Arial" w:cs="Arial"/>
          <w:noProof/>
          <w:sz w:val="20"/>
          <w:szCs w:val="20"/>
          <w:lang w:val="es-ES_tradnl"/>
        </w:rPr>
      </w:pPr>
    </w:p>
    <w:p w14:paraId="15CB0227" w14:textId="77777777" w:rsidR="00EF7D13" w:rsidRDefault="00EF7D13" w:rsidP="00EF7D13">
      <w:pPr>
        <w:spacing w:after="0" w:line="240" w:lineRule="auto"/>
        <w:contextualSpacing/>
        <w:jc w:val="both"/>
        <w:rPr>
          <w:rFonts w:ascii="Arial" w:eastAsia="Calibri" w:hAnsi="Arial" w:cs="Arial"/>
          <w:b/>
          <w:bCs/>
          <w:lang w:val="es-ES_tradnl"/>
        </w:rPr>
      </w:pPr>
      <w:r w:rsidRPr="007702EC">
        <w:rPr>
          <w:rFonts w:ascii="Arial" w:eastAsia="Calibri" w:hAnsi="Arial" w:cs="Arial"/>
          <w:b/>
          <w:bCs/>
          <w:lang w:val="es-ES_tradnl"/>
        </w:rPr>
        <w:lastRenderedPageBreak/>
        <w:t>LEY DE GARANTÍAS ELECTORALES ─</w:t>
      </w:r>
      <w:r w:rsidRPr="007702EC">
        <w:rPr>
          <w:rFonts w:ascii="Arial" w:eastAsia="Times New Roman" w:hAnsi="Arial" w:cs="Arial"/>
          <w:b/>
          <w:bCs/>
          <w:lang w:val="es-ES_tradnl" w:eastAsia="es-CO"/>
        </w:rPr>
        <w:t xml:space="preserve"> </w:t>
      </w:r>
      <w:r w:rsidRPr="007702EC">
        <w:rPr>
          <w:rFonts w:ascii="Arial" w:eastAsia="Calibri" w:hAnsi="Arial" w:cs="Arial"/>
          <w:b/>
          <w:bCs/>
          <w:lang w:val="es-ES_tradnl"/>
        </w:rPr>
        <w:t>Artículo 33 ─ Prohibición ─ Contratación directa</w:t>
      </w:r>
      <w:r>
        <w:rPr>
          <w:rFonts w:ascii="Arial" w:eastAsia="Calibri" w:hAnsi="Arial" w:cs="Arial"/>
          <w:b/>
          <w:bCs/>
          <w:lang w:val="es-ES_tradnl"/>
        </w:rPr>
        <w:t xml:space="preserve"> </w:t>
      </w:r>
      <w:r w:rsidRPr="007702EC">
        <w:rPr>
          <w:rFonts w:ascii="Arial" w:eastAsia="Calibri" w:hAnsi="Arial" w:cs="Arial"/>
          <w:b/>
          <w:bCs/>
          <w:lang w:val="es-ES_tradnl"/>
        </w:rPr>
        <w:t>─</w:t>
      </w:r>
      <w:r>
        <w:rPr>
          <w:rFonts w:ascii="Arial" w:eastAsia="Calibri" w:hAnsi="Arial" w:cs="Arial"/>
          <w:b/>
          <w:bCs/>
          <w:lang w:val="es-ES_tradnl"/>
        </w:rPr>
        <w:t xml:space="preserve"> Causales h) e i) artículo 2.4 Ley 1150 de 2007 </w:t>
      </w:r>
    </w:p>
    <w:p w14:paraId="281E5EAC" w14:textId="77777777" w:rsidR="00EF7D13" w:rsidRPr="006C44CF" w:rsidRDefault="00EF7D13" w:rsidP="00EF7D13">
      <w:pPr>
        <w:spacing w:after="0" w:line="240" w:lineRule="auto"/>
        <w:contextualSpacing/>
        <w:jc w:val="both"/>
        <w:rPr>
          <w:rFonts w:ascii="Arial" w:eastAsia="Calibri" w:hAnsi="Arial" w:cs="Arial"/>
          <w:b/>
          <w:bCs/>
          <w:sz w:val="20"/>
          <w:szCs w:val="20"/>
          <w:lang w:val="es-ES_tradnl"/>
        </w:rPr>
      </w:pPr>
    </w:p>
    <w:p w14:paraId="3022B16B" w14:textId="77777777" w:rsidR="00EF7D13" w:rsidRPr="006C44CF" w:rsidRDefault="00EF7D13" w:rsidP="00EF7D13">
      <w:pPr>
        <w:spacing w:after="0" w:line="240" w:lineRule="auto"/>
        <w:contextualSpacing/>
        <w:jc w:val="both"/>
        <w:rPr>
          <w:rFonts w:ascii="Arial" w:hAnsi="Arial" w:cs="Arial"/>
          <w:sz w:val="20"/>
          <w:szCs w:val="20"/>
        </w:rPr>
      </w:pPr>
      <w:r w:rsidRPr="006C44CF">
        <w:rPr>
          <w:rFonts w:ascii="Arial" w:hAnsi="Arial" w:cs="Arial"/>
          <w:sz w:val="20"/>
          <w:szCs w:val="20"/>
          <w:lang w:val="es-ES_tradnl"/>
        </w:rPr>
        <w:t xml:space="preserve">Lo anterior supone que, tales entidades, durante los periodos preelectorales de los cuatro (4) meses previos a las elecciones presidenciales, tienen restringida la celebración contratos en aplicación de las causales de contratación directa previstas en el artículo 2-4 de la Ley 1150 de 2007, entre las que se encuentra la del literal h), alusiva a la </w:t>
      </w:r>
      <w:r w:rsidRPr="006C44CF">
        <w:rPr>
          <w:rFonts w:ascii="Arial" w:hAnsi="Arial" w:cs="Arial"/>
          <w:i/>
          <w:iCs/>
          <w:sz w:val="20"/>
          <w:szCs w:val="20"/>
          <w:lang w:val="es-ES_tradnl"/>
        </w:rPr>
        <w:t xml:space="preserve">«prestación de servicios profesionales y de apoyo a la gestión, o para la ejecución de trabajos artísticos que sólo puedan encomendarse a determinadas personas naturales» </w:t>
      </w:r>
      <w:r w:rsidRPr="006C44CF">
        <w:rPr>
          <w:rFonts w:ascii="Arial" w:hAnsi="Arial" w:cs="Arial"/>
          <w:sz w:val="20"/>
          <w:szCs w:val="20"/>
          <w:lang w:val="es-ES_tradnl"/>
        </w:rPr>
        <w:t>y la establecida en el literal i) referente al</w:t>
      </w:r>
      <w:r w:rsidRPr="006C44CF">
        <w:rPr>
          <w:rFonts w:ascii="Arial" w:hAnsi="Arial" w:cs="Arial"/>
          <w:i/>
          <w:iCs/>
          <w:sz w:val="20"/>
          <w:szCs w:val="20"/>
          <w:lang w:val="es-ES_tradnl"/>
        </w:rPr>
        <w:t xml:space="preserve"> «</w:t>
      </w:r>
      <w:r w:rsidRPr="006C44CF">
        <w:rPr>
          <w:rFonts w:ascii="Arial" w:hAnsi="Arial" w:cs="Arial"/>
          <w:i/>
          <w:iCs/>
          <w:sz w:val="20"/>
          <w:szCs w:val="20"/>
        </w:rPr>
        <w:t>arrendamiento o adquisición de inmuebles</w:t>
      </w:r>
      <w:r w:rsidRPr="006C44CF">
        <w:rPr>
          <w:rFonts w:ascii="Arial" w:hAnsi="Arial" w:cs="Arial"/>
          <w:i/>
          <w:iCs/>
          <w:sz w:val="20"/>
          <w:szCs w:val="20"/>
          <w:lang w:val="es-ES_tradnl"/>
        </w:rPr>
        <w:t>»</w:t>
      </w:r>
      <w:r w:rsidRPr="006C44CF">
        <w:rPr>
          <w:rFonts w:ascii="Arial" w:hAnsi="Arial" w:cs="Arial"/>
          <w:sz w:val="20"/>
          <w:szCs w:val="20"/>
          <w:lang w:val="es-ES_tradnl"/>
        </w:rPr>
        <w:t>.</w:t>
      </w:r>
    </w:p>
    <w:p w14:paraId="5FC07CD2" w14:textId="6D18E582" w:rsidR="00EF7D13" w:rsidRDefault="00EF7D13">
      <w:pPr>
        <w:rPr>
          <w:rFonts w:ascii="Arial" w:eastAsia="Times New Roman" w:hAnsi="Arial" w:cs="Arial"/>
          <w:b/>
          <w:bCs/>
          <w:sz w:val="16"/>
          <w:szCs w:val="16"/>
          <w:lang w:eastAsia="es-ES"/>
        </w:rPr>
      </w:pPr>
      <w:r>
        <w:rPr>
          <w:rFonts w:ascii="Arial" w:eastAsia="Times New Roman" w:hAnsi="Arial" w:cs="Arial"/>
          <w:b/>
          <w:bCs/>
          <w:sz w:val="16"/>
          <w:szCs w:val="16"/>
          <w:lang w:eastAsia="es-ES"/>
        </w:rPr>
        <w:br w:type="page"/>
      </w:r>
    </w:p>
    <w:p w14:paraId="5E18DCE6" w14:textId="1337D3AE" w:rsidR="00134409" w:rsidRPr="00FC136A" w:rsidRDefault="00134409" w:rsidP="00134409">
      <w:pPr>
        <w:spacing w:after="0" w:line="276" w:lineRule="auto"/>
        <w:contextualSpacing/>
        <w:jc w:val="right"/>
        <w:rPr>
          <w:rFonts w:ascii="Arial" w:eastAsia="Times New Roman" w:hAnsi="Arial" w:cs="Arial"/>
          <w:b/>
          <w:bCs/>
          <w:sz w:val="16"/>
          <w:szCs w:val="16"/>
          <w:lang w:eastAsia="es-ES"/>
        </w:rPr>
      </w:pPr>
      <w:r w:rsidRPr="00FC136A">
        <w:rPr>
          <w:rFonts w:ascii="Arial" w:eastAsia="Times New Roman" w:hAnsi="Arial" w:cs="Arial"/>
          <w:b/>
          <w:bCs/>
          <w:sz w:val="16"/>
          <w:szCs w:val="16"/>
          <w:lang w:eastAsia="es-ES"/>
        </w:rPr>
        <w:lastRenderedPageBreak/>
        <w:t>CCE-DES-FM-17</w:t>
      </w:r>
    </w:p>
    <w:p w14:paraId="25D6E025" w14:textId="392EA6A6" w:rsidR="00134409" w:rsidRPr="00FC136A" w:rsidRDefault="00F83A52" w:rsidP="00124012">
      <w:pPr>
        <w:tabs>
          <w:tab w:val="left" w:pos="3374"/>
        </w:tabs>
        <w:spacing w:after="0" w:line="240" w:lineRule="auto"/>
        <w:contextualSpacing/>
        <w:jc w:val="right"/>
        <w:rPr>
          <w:rFonts w:ascii="Arial" w:eastAsia="Calibri" w:hAnsi="Arial" w:cs="Arial"/>
          <w:lang w:val="es-MX"/>
        </w:rPr>
      </w:pPr>
      <w:r w:rsidRPr="008C065A">
        <w:rPr>
          <w:rFonts w:ascii="Arial" w:eastAsia="Calibri" w:hAnsi="Arial" w:cs="Arial"/>
          <w:b/>
          <w:bCs/>
          <w:noProof/>
        </w:rPr>
        <w:drawing>
          <wp:inline distT="0" distB="0" distL="0" distR="0" wp14:anchorId="4DBBFBDB" wp14:editId="3FB9DA53">
            <wp:extent cx="3183515"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05828" cy="671423"/>
                    </a:xfrm>
                    <a:prstGeom prst="rect">
                      <a:avLst/>
                    </a:prstGeom>
                  </pic:spPr>
                </pic:pic>
              </a:graphicData>
            </a:graphic>
          </wp:inline>
        </w:drawing>
      </w:r>
    </w:p>
    <w:p w14:paraId="56CE2556" w14:textId="0A83A2D5" w:rsidR="007176AA" w:rsidRDefault="002437DA" w:rsidP="002437DA">
      <w:pPr>
        <w:tabs>
          <w:tab w:val="left" w:pos="3374"/>
        </w:tabs>
        <w:spacing w:after="0" w:line="240" w:lineRule="auto"/>
        <w:contextualSpacing/>
        <w:jc w:val="right"/>
        <w:rPr>
          <w:rFonts w:ascii="Arial" w:eastAsia="Calibri" w:hAnsi="Arial" w:cs="Arial"/>
          <w:lang w:val="es-MX"/>
        </w:rPr>
      </w:pPr>
      <w:r w:rsidRPr="002437DA">
        <w:rPr>
          <w:rFonts w:ascii="Arial" w:eastAsia="Calibri" w:hAnsi="Arial" w:cs="Arial"/>
          <w:noProof/>
          <w:lang w:val="es-MX"/>
        </w:rPr>
        <w:drawing>
          <wp:inline distT="0" distB="0" distL="0" distR="0" wp14:anchorId="770A854A" wp14:editId="21C8E052">
            <wp:extent cx="3160920" cy="871501"/>
            <wp:effectExtent l="0" t="0" r="1905"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73883" cy="875075"/>
                    </a:xfrm>
                    <a:prstGeom prst="rect">
                      <a:avLst/>
                    </a:prstGeom>
                  </pic:spPr>
                </pic:pic>
              </a:graphicData>
            </a:graphic>
          </wp:inline>
        </w:drawing>
      </w:r>
    </w:p>
    <w:p w14:paraId="046692D1" w14:textId="77777777" w:rsidR="00EF7D13" w:rsidRPr="00FC136A" w:rsidRDefault="00EF7D13" w:rsidP="00FC4201">
      <w:pPr>
        <w:tabs>
          <w:tab w:val="left" w:pos="3374"/>
        </w:tabs>
        <w:spacing w:after="0" w:line="240" w:lineRule="auto"/>
        <w:contextualSpacing/>
        <w:rPr>
          <w:rFonts w:ascii="Arial" w:eastAsia="Calibri" w:hAnsi="Arial" w:cs="Arial"/>
          <w:lang w:val="es-MX"/>
        </w:rPr>
      </w:pPr>
    </w:p>
    <w:p w14:paraId="041D8BA6" w14:textId="350569A6" w:rsidR="009B5556" w:rsidRDefault="009B5556" w:rsidP="00FC4201">
      <w:pPr>
        <w:spacing w:after="0" w:line="240" w:lineRule="auto"/>
        <w:contextualSpacing/>
        <w:jc w:val="both"/>
        <w:rPr>
          <w:rFonts w:ascii="Arial" w:eastAsia="Calibri" w:hAnsi="Arial" w:cs="Arial"/>
        </w:rPr>
      </w:pPr>
      <w:bookmarkStart w:id="4" w:name="_Hlk96417464"/>
      <w:r>
        <w:rPr>
          <w:rFonts w:ascii="Arial" w:eastAsia="Calibri" w:hAnsi="Arial" w:cs="Arial"/>
        </w:rPr>
        <w:t>24 de mayo de 2022</w:t>
      </w:r>
    </w:p>
    <w:p w14:paraId="4D4E9EFD" w14:textId="77777777" w:rsidR="009B5556" w:rsidRDefault="009B5556" w:rsidP="00FC4201">
      <w:pPr>
        <w:spacing w:after="0" w:line="240" w:lineRule="auto"/>
        <w:contextualSpacing/>
        <w:jc w:val="both"/>
        <w:rPr>
          <w:rFonts w:ascii="Arial" w:eastAsia="Calibri" w:hAnsi="Arial" w:cs="Arial"/>
        </w:rPr>
      </w:pPr>
    </w:p>
    <w:p w14:paraId="57934331" w14:textId="7C831F24" w:rsidR="00134409" w:rsidRPr="00FC136A" w:rsidRDefault="00134409" w:rsidP="00FC4201">
      <w:pPr>
        <w:spacing w:after="0" w:line="240" w:lineRule="auto"/>
        <w:contextualSpacing/>
        <w:jc w:val="both"/>
        <w:rPr>
          <w:rFonts w:ascii="Arial" w:eastAsia="Calibri" w:hAnsi="Arial" w:cs="Arial"/>
        </w:rPr>
      </w:pPr>
      <w:r w:rsidRPr="00FC136A">
        <w:rPr>
          <w:rFonts w:ascii="Arial" w:eastAsia="Calibri" w:hAnsi="Arial" w:cs="Arial"/>
        </w:rPr>
        <w:t>Señor</w:t>
      </w:r>
      <w:r w:rsidR="007176AA" w:rsidRPr="00FC136A">
        <w:rPr>
          <w:rFonts w:ascii="Arial" w:eastAsia="Calibri" w:hAnsi="Arial" w:cs="Arial"/>
        </w:rPr>
        <w:t>a:</w:t>
      </w:r>
    </w:p>
    <w:p w14:paraId="47859454" w14:textId="0AC51C9B" w:rsidR="00134409" w:rsidRPr="00FC136A" w:rsidRDefault="007176AA" w:rsidP="00FC4201">
      <w:pPr>
        <w:spacing w:after="0" w:line="240" w:lineRule="auto"/>
        <w:contextualSpacing/>
        <w:jc w:val="both"/>
        <w:rPr>
          <w:rFonts w:ascii="Arial" w:eastAsia="Calibri" w:hAnsi="Arial" w:cs="Arial"/>
          <w:b/>
        </w:rPr>
      </w:pPr>
      <w:r w:rsidRPr="00FC136A">
        <w:rPr>
          <w:rFonts w:ascii="Arial" w:eastAsia="Calibri" w:hAnsi="Arial" w:cs="Arial"/>
          <w:b/>
        </w:rPr>
        <w:t xml:space="preserve">Nora Marcela </w:t>
      </w:r>
      <w:proofErr w:type="spellStart"/>
      <w:r w:rsidRPr="00FC136A">
        <w:rPr>
          <w:rFonts w:ascii="Arial" w:eastAsia="Calibri" w:hAnsi="Arial" w:cs="Arial"/>
          <w:b/>
        </w:rPr>
        <w:t>Tuiran</w:t>
      </w:r>
      <w:proofErr w:type="spellEnd"/>
      <w:r w:rsidRPr="00FC136A">
        <w:rPr>
          <w:rFonts w:ascii="Arial" w:eastAsia="Calibri" w:hAnsi="Arial" w:cs="Arial"/>
          <w:b/>
        </w:rPr>
        <w:t xml:space="preserve"> Rodríguez </w:t>
      </w:r>
    </w:p>
    <w:p w14:paraId="6A983913" w14:textId="566D7579" w:rsidR="00134409" w:rsidRPr="00FC136A" w:rsidRDefault="00FC4201" w:rsidP="00FC4201">
      <w:pPr>
        <w:spacing w:after="0" w:line="240" w:lineRule="auto"/>
        <w:contextualSpacing/>
        <w:jc w:val="both"/>
        <w:rPr>
          <w:rFonts w:ascii="Arial" w:eastAsia="Calibri" w:hAnsi="Arial" w:cs="Arial"/>
        </w:rPr>
      </w:pPr>
      <w:r w:rsidRPr="00FC136A">
        <w:rPr>
          <w:rFonts w:ascii="Arial" w:hAnsi="Arial" w:cs="Arial"/>
        </w:rPr>
        <w:t>Sucre, Sincelejo</w:t>
      </w:r>
    </w:p>
    <w:p w14:paraId="6CD27095" w14:textId="77777777" w:rsidR="00134409" w:rsidRPr="00FC136A" w:rsidRDefault="00134409" w:rsidP="00FC4201">
      <w:pPr>
        <w:spacing w:after="0" w:line="240" w:lineRule="auto"/>
        <w:contextualSpacing/>
        <w:jc w:val="both"/>
        <w:rPr>
          <w:rFonts w:ascii="Arial" w:eastAsia="Calibri" w:hAnsi="Arial" w:cs="Arial"/>
        </w:rPr>
      </w:pPr>
    </w:p>
    <w:p w14:paraId="0ED61628" w14:textId="622CF2F5" w:rsidR="00134409" w:rsidRPr="00FC136A" w:rsidRDefault="00134409" w:rsidP="00FC4201">
      <w:pPr>
        <w:spacing w:after="0" w:line="240" w:lineRule="auto"/>
        <w:contextualSpacing/>
        <w:jc w:val="both"/>
        <w:rPr>
          <w:rFonts w:ascii="Arial" w:eastAsia="Calibri" w:hAnsi="Arial" w:cs="Arial"/>
          <w:b/>
        </w:rPr>
      </w:pPr>
      <w:r w:rsidRPr="00FC136A">
        <w:rPr>
          <w:rFonts w:ascii="Arial" w:eastAsia="Calibri" w:hAnsi="Arial" w:cs="Arial"/>
        </w:rPr>
        <w:t xml:space="preserve">                                            </w:t>
      </w:r>
      <w:r w:rsidRPr="00FC136A">
        <w:rPr>
          <w:rFonts w:ascii="Arial" w:eastAsia="Calibri" w:hAnsi="Arial" w:cs="Arial"/>
          <w:b/>
        </w:rPr>
        <w:t xml:space="preserve">Concepto C – </w:t>
      </w:r>
      <w:r w:rsidR="00FC4201" w:rsidRPr="00FC136A">
        <w:rPr>
          <w:rFonts w:ascii="Arial" w:eastAsia="Calibri" w:hAnsi="Arial" w:cs="Arial"/>
          <w:b/>
        </w:rPr>
        <w:t>345</w:t>
      </w:r>
      <w:r w:rsidRPr="00FC136A">
        <w:rPr>
          <w:rFonts w:ascii="Arial" w:eastAsia="Calibri" w:hAnsi="Arial" w:cs="Arial"/>
          <w:b/>
        </w:rPr>
        <w:t xml:space="preserve"> de 2022</w:t>
      </w:r>
      <w:r w:rsidRPr="00FC136A">
        <w:rPr>
          <w:rFonts w:ascii="Arial" w:eastAsia="Calibri" w:hAnsi="Arial" w:cs="Arial"/>
        </w:rPr>
        <w:t xml:space="preserve"> </w:t>
      </w:r>
    </w:p>
    <w:p w14:paraId="461CAA3D" w14:textId="77777777" w:rsidR="00134409" w:rsidRPr="00FC136A" w:rsidRDefault="00134409" w:rsidP="00FC4201">
      <w:pPr>
        <w:spacing w:after="0" w:line="240" w:lineRule="auto"/>
        <w:contextualSpacing/>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C136A" w:rsidRPr="00FC136A" w14:paraId="1B7006EC" w14:textId="77777777" w:rsidTr="00281F3C">
        <w:trPr>
          <w:trHeight w:val="485"/>
        </w:trPr>
        <w:tc>
          <w:tcPr>
            <w:tcW w:w="2689" w:type="dxa"/>
            <w:hideMark/>
          </w:tcPr>
          <w:p w14:paraId="54BBB85B" w14:textId="77777777" w:rsidR="00134409" w:rsidRPr="00FC136A" w:rsidRDefault="00134409" w:rsidP="00FC4201">
            <w:pPr>
              <w:contextualSpacing/>
              <w:rPr>
                <w:rFonts w:ascii="Arial" w:eastAsia="Calibri" w:hAnsi="Arial" w:cs="Arial"/>
                <w:noProof/>
                <w:lang w:val="es-ES_tradnl"/>
              </w:rPr>
            </w:pPr>
            <w:r w:rsidRPr="00FC136A">
              <w:rPr>
                <w:rFonts w:ascii="Arial" w:eastAsia="Calibri" w:hAnsi="Arial" w:cs="Arial"/>
                <w:b/>
                <w:noProof/>
                <w:lang w:val="es-ES_tradnl"/>
              </w:rPr>
              <w:t>Temas:</w:t>
            </w:r>
            <w:r w:rsidRPr="00FC136A">
              <w:rPr>
                <w:rFonts w:ascii="Arial" w:eastAsia="Calibri" w:hAnsi="Arial" w:cs="Arial"/>
                <w:noProof/>
                <w:lang w:val="es-ES_tradnl"/>
              </w:rPr>
              <w:t xml:space="preserve">        </w:t>
            </w:r>
          </w:p>
        </w:tc>
        <w:tc>
          <w:tcPr>
            <w:tcW w:w="6237" w:type="dxa"/>
            <w:hideMark/>
          </w:tcPr>
          <w:p w14:paraId="2AFDF112" w14:textId="1809C2A7" w:rsidR="00FC4201" w:rsidRDefault="009E3D0B" w:rsidP="00FC4201">
            <w:pPr>
              <w:tabs>
                <w:tab w:val="left" w:pos="426"/>
              </w:tabs>
              <w:contextualSpacing/>
              <w:jc w:val="both"/>
              <w:rPr>
                <w:rFonts w:ascii="Arial" w:eastAsia="Calibri" w:hAnsi="Arial" w:cs="Arial"/>
                <w:lang w:val="es-ES_tradnl"/>
              </w:rPr>
            </w:pPr>
            <w:r w:rsidRPr="006C44CF">
              <w:rPr>
                <w:rFonts w:ascii="Arial" w:eastAsia="Calibri" w:hAnsi="Arial" w:cs="Arial"/>
                <w:lang w:val="es-ES_tradnl"/>
              </w:rPr>
              <w:t>LEY DE GARANTÍAS ELECTORALES ─ Definición ─ Finalidad / LEY DE GARANTÍAS ELECTORALES ─ Restricciones ─ Contratación ─ Tipos de elección / LEY DE GARANTÍAS ELECTORALES ─ Artículo 33 ─ Prohibición ─ Contratación directa ─ Alcance / LEY DE GARANTÍAS ELECTORALES ─</w:t>
            </w:r>
            <w:r w:rsidRPr="006C44CF">
              <w:rPr>
                <w:rFonts w:ascii="Arial" w:eastAsia="Times New Roman" w:hAnsi="Arial" w:cs="Arial"/>
                <w:lang w:val="es-ES_tradnl" w:eastAsia="es-CO"/>
              </w:rPr>
              <w:t xml:space="preserve"> </w:t>
            </w:r>
            <w:r w:rsidRPr="006C44CF">
              <w:rPr>
                <w:rFonts w:ascii="Arial" w:eastAsia="Calibri" w:hAnsi="Arial" w:cs="Arial"/>
                <w:lang w:val="es-ES_tradnl"/>
              </w:rPr>
              <w:t xml:space="preserve">Artículo 33 ─ </w:t>
            </w:r>
            <w:r w:rsidRPr="006C44CF">
              <w:rPr>
                <w:rFonts w:ascii="Arial" w:eastAsia="Times New Roman" w:hAnsi="Arial" w:cs="Arial"/>
                <w:lang w:val="es-ES_tradnl" w:eastAsia="es-CO"/>
              </w:rPr>
              <w:t>Excepciones</w:t>
            </w:r>
            <w:r w:rsidRPr="006C44CF">
              <w:rPr>
                <w:rFonts w:ascii="Arial" w:eastAsia="Calibri" w:hAnsi="Arial" w:cs="Arial"/>
                <w:lang w:val="es-ES_tradnl"/>
              </w:rPr>
              <w:t xml:space="preserve"> </w:t>
            </w:r>
            <w:r w:rsidRPr="006C44CF">
              <w:rPr>
                <w:rFonts w:ascii="Arial" w:hAnsi="Arial" w:cs="Arial"/>
                <w:lang w:val="es-ES_tradnl" w:eastAsia="x-none"/>
              </w:rPr>
              <w:t xml:space="preserve">/ </w:t>
            </w:r>
            <w:r w:rsidRPr="006C44CF">
              <w:rPr>
                <w:rFonts w:ascii="Arial" w:eastAsia="Calibri" w:hAnsi="Arial" w:cs="Arial"/>
                <w:lang w:val="es-ES_tradnl"/>
              </w:rPr>
              <w:t>LEY DE GARANTÍAS ELECTORALES ─</w:t>
            </w:r>
            <w:r w:rsidRPr="006C44CF">
              <w:rPr>
                <w:rFonts w:ascii="Arial" w:eastAsia="Times New Roman" w:hAnsi="Arial" w:cs="Arial"/>
                <w:lang w:val="es-ES_tradnl" w:eastAsia="es-CO"/>
              </w:rPr>
              <w:t xml:space="preserve"> </w:t>
            </w:r>
            <w:r w:rsidRPr="006C44CF">
              <w:rPr>
                <w:rFonts w:ascii="Arial" w:eastAsia="Calibri" w:hAnsi="Arial" w:cs="Arial"/>
                <w:lang w:val="es-ES_tradnl"/>
              </w:rPr>
              <w:t xml:space="preserve">Artículo 33 ─ Destinatarios </w:t>
            </w:r>
            <w:r w:rsidRPr="006C44CF">
              <w:rPr>
                <w:rFonts w:ascii="Arial" w:eastAsia="Calibri" w:hAnsi="Arial" w:cs="Arial"/>
                <w:noProof/>
                <w:lang w:val="es-ES_tradnl"/>
              </w:rPr>
              <w:t xml:space="preserve">/ </w:t>
            </w:r>
            <w:r w:rsidRPr="006C44CF">
              <w:rPr>
                <w:rFonts w:ascii="Arial" w:eastAsia="Calibri" w:hAnsi="Arial" w:cs="Arial"/>
                <w:lang w:val="es-ES_tradnl"/>
              </w:rPr>
              <w:t>LEY DE GARANTÍAS ELECTORALES ─</w:t>
            </w:r>
            <w:r w:rsidRPr="006C44CF">
              <w:rPr>
                <w:rFonts w:ascii="Arial" w:eastAsia="Times New Roman" w:hAnsi="Arial" w:cs="Arial"/>
                <w:lang w:val="es-ES_tradnl" w:eastAsia="es-CO"/>
              </w:rPr>
              <w:t xml:space="preserve"> </w:t>
            </w:r>
            <w:r w:rsidRPr="006C44CF">
              <w:rPr>
                <w:rFonts w:ascii="Arial" w:eastAsia="Calibri" w:hAnsi="Arial" w:cs="Arial"/>
                <w:lang w:val="es-ES_tradnl"/>
              </w:rPr>
              <w:t>Artículo 33 ─ Destinatarios – Personerías municipales / LEY DE GARANTÍAS ELECTORALES ─</w:t>
            </w:r>
            <w:r w:rsidRPr="006C44CF">
              <w:rPr>
                <w:rFonts w:ascii="Arial" w:eastAsia="Times New Roman" w:hAnsi="Arial" w:cs="Arial"/>
                <w:lang w:val="es-ES_tradnl" w:eastAsia="es-CO"/>
              </w:rPr>
              <w:t xml:space="preserve"> </w:t>
            </w:r>
            <w:r w:rsidRPr="006C44CF">
              <w:rPr>
                <w:rFonts w:ascii="Arial" w:eastAsia="Calibri" w:hAnsi="Arial" w:cs="Arial"/>
                <w:lang w:val="es-ES_tradnl"/>
              </w:rPr>
              <w:t xml:space="preserve">Artículo 33 ─ Prohibición ─ Contratación directa ─ Causales h) e i) artículo 2.4 Ley 1150 de 2007 </w:t>
            </w:r>
          </w:p>
          <w:p w14:paraId="497D2DED" w14:textId="77777777" w:rsidR="007326D7" w:rsidRPr="00FC136A" w:rsidRDefault="007326D7" w:rsidP="00FC4201">
            <w:pPr>
              <w:tabs>
                <w:tab w:val="left" w:pos="426"/>
              </w:tabs>
              <w:contextualSpacing/>
              <w:jc w:val="both"/>
              <w:rPr>
                <w:rFonts w:ascii="Arial" w:eastAsia="Calibri" w:hAnsi="Arial" w:cs="Arial"/>
                <w:noProof/>
                <w:highlight w:val="yellow"/>
                <w:lang w:val="es-ES_tradnl"/>
              </w:rPr>
            </w:pPr>
          </w:p>
          <w:p w14:paraId="49F01C07" w14:textId="77777777" w:rsidR="00134409" w:rsidRPr="00FC136A" w:rsidRDefault="00134409" w:rsidP="00FC4201">
            <w:pPr>
              <w:tabs>
                <w:tab w:val="left" w:pos="426"/>
              </w:tabs>
              <w:contextualSpacing/>
              <w:jc w:val="both"/>
              <w:rPr>
                <w:rFonts w:ascii="Arial" w:eastAsia="Calibri" w:hAnsi="Arial" w:cs="Arial"/>
                <w:highlight w:val="yellow"/>
                <w:lang w:val="es-MX"/>
              </w:rPr>
            </w:pPr>
          </w:p>
        </w:tc>
      </w:tr>
      <w:tr w:rsidR="00FC136A" w:rsidRPr="00FC136A" w14:paraId="33E4387E" w14:textId="77777777" w:rsidTr="00281F3C">
        <w:tc>
          <w:tcPr>
            <w:tcW w:w="2689" w:type="dxa"/>
          </w:tcPr>
          <w:p w14:paraId="33C63F10" w14:textId="71AACAE7" w:rsidR="00134409" w:rsidRPr="00FC136A" w:rsidRDefault="00134409" w:rsidP="00FC4201">
            <w:pPr>
              <w:contextualSpacing/>
              <w:rPr>
                <w:rFonts w:ascii="Arial" w:eastAsia="Calibri" w:hAnsi="Arial" w:cs="Arial"/>
                <w:b/>
                <w:noProof/>
                <w:lang w:val="es-ES_tradnl"/>
              </w:rPr>
            </w:pPr>
            <w:r w:rsidRPr="00FC136A">
              <w:rPr>
                <w:rFonts w:ascii="Arial" w:eastAsia="Calibri" w:hAnsi="Arial" w:cs="Arial"/>
                <w:b/>
                <w:noProof/>
                <w:lang w:val="es-ES_tradnl"/>
              </w:rPr>
              <w:t>Radicación:</w:t>
            </w:r>
            <w:r w:rsidRPr="00FC136A">
              <w:rPr>
                <w:rFonts w:ascii="Arial" w:eastAsia="Calibri" w:hAnsi="Arial" w:cs="Arial"/>
                <w:noProof/>
                <w:lang w:val="es-ES_tradnl"/>
              </w:rPr>
              <w:t xml:space="preserve">                              </w:t>
            </w:r>
          </w:p>
        </w:tc>
        <w:tc>
          <w:tcPr>
            <w:tcW w:w="6237" w:type="dxa"/>
          </w:tcPr>
          <w:p w14:paraId="576E0C8C" w14:textId="1A67FC1F" w:rsidR="00134409" w:rsidRPr="00FC136A" w:rsidRDefault="00134409" w:rsidP="00FC4201">
            <w:pPr>
              <w:contextualSpacing/>
              <w:jc w:val="both"/>
              <w:rPr>
                <w:rFonts w:ascii="Arial" w:eastAsia="Calibri" w:hAnsi="Arial" w:cs="Arial"/>
                <w:noProof/>
                <w:lang w:val="es-ES_tradnl"/>
              </w:rPr>
            </w:pPr>
            <w:r w:rsidRPr="00FC136A">
              <w:rPr>
                <w:rFonts w:ascii="Arial" w:eastAsia="Calibri" w:hAnsi="Arial" w:cs="Arial"/>
                <w:noProof/>
                <w:lang w:val="es-ES_tradnl"/>
              </w:rPr>
              <w:t xml:space="preserve">Respuesta a consulta </w:t>
            </w:r>
            <w:r w:rsidR="00FC4201" w:rsidRPr="00FC136A">
              <w:rPr>
                <w:rFonts w:ascii="Arial" w:eastAsia="Calibri" w:hAnsi="Arial" w:cs="Arial"/>
                <w:noProof/>
                <w:lang w:val="es-ES_tradnl"/>
              </w:rPr>
              <w:t>P20220419003797</w:t>
            </w:r>
          </w:p>
        </w:tc>
      </w:tr>
    </w:tbl>
    <w:p w14:paraId="55580740" w14:textId="77777777" w:rsidR="00134409" w:rsidRPr="00FC136A" w:rsidRDefault="00134409" w:rsidP="00FC4201">
      <w:pPr>
        <w:spacing w:after="0" w:line="240" w:lineRule="auto"/>
        <w:contextualSpacing/>
        <w:jc w:val="both"/>
        <w:rPr>
          <w:rFonts w:ascii="Arial" w:eastAsia="Calibri" w:hAnsi="Arial" w:cs="Arial"/>
        </w:rPr>
      </w:pPr>
    </w:p>
    <w:p w14:paraId="2D1AF50C" w14:textId="77777777" w:rsidR="00134409" w:rsidRPr="00FC136A" w:rsidRDefault="00134409" w:rsidP="00FC4201">
      <w:pPr>
        <w:spacing w:after="0" w:line="240" w:lineRule="auto"/>
        <w:contextualSpacing/>
        <w:jc w:val="both"/>
        <w:rPr>
          <w:rFonts w:ascii="Arial" w:eastAsia="Calibri" w:hAnsi="Arial" w:cs="Arial"/>
        </w:rPr>
      </w:pPr>
    </w:p>
    <w:p w14:paraId="7E379C2E" w14:textId="29FEA5A9" w:rsidR="00134409" w:rsidRPr="00036112" w:rsidRDefault="00134409" w:rsidP="0020208C">
      <w:pPr>
        <w:spacing w:after="0" w:line="276" w:lineRule="auto"/>
        <w:contextualSpacing/>
        <w:jc w:val="both"/>
        <w:rPr>
          <w:rFonts w:ascii="Arial" w:eastAsia="Calibri" w:hAnsi="Arial" w:cs="Arial"/>
        </w:rPr>
      </w:pPr>
      <w:r w:rsidRPr="00036112">
        <w:rPr>
          <w:rFonts w:ascii="Arial" w:eastAsia="Calibri" w:hAnsi="Arial" w:cs="Arial"/>
        </w:rPr>
        <w:t>Estimad</w:t>
      </w:r>
      <w:r w:rsidR="00EB41A8" w:rsidRPr="00036112">
        <w:rPr>
          <w:rFonts w:ascii="Arial" w:eastAsia="Calibri" w:hAnsi="Arial" w:cs="Arial"/>
        </w:rPr>
        <w:t>a</w:t>
      </w:r>
      <w:r w:rsidRPr="00036112">
        <w:rPr>
          <w:rFonts w:ascii="Arial" w:eastAsia="Calibri" w:hAnsi="Arial" w:cs="Arial"/>
        </w:rPr>
        <w:t xml:space="preserve"> señor</w:t>
      </w:r>
      <w:r w:rsidR="00EB41A8" w:rsidRPr="00036112">
        <w:rPr>
          <w:rFonts w:ascii="Arial" w:eastAsia="Calibri" w:hAnsi="Arial" w:cs="Arial"/>
        </w:rPr>
        <w:t>a</w:t>
      </w:r>
      <w:r w:rsidRPr="00036112">
        <w:rPr>
          <w:rFonts w:ascii="Arial" w:eastAsia="Calibri" w:hAnsi="Arial" w:cs="Arial"/>
        </w:rPr>
        <w:t xml:space="preserve"> </w:t>
      </w:r>
      <w:proofErr w:type="spellStart"/>
      <w:r w:rsidR="00EB41A8" w:rsidRPr="00036112">
        <w:rPr>
          <w:rFonts w:ascii="Arial" w:eastAsia="Calibri" w:hAnsi="Arial" w:cs="Arial"/>
        </w:rPr>
        <w:t>Tuiran</w:t>
      </w:r>
      <w:proofErr w:type="spellEnd"/>
      <w:r w:rsidRPr="00036112">
        <w:rPr>
          <w:rFonts w:ascii="Arial" w:eastAsia="Calibri" w:hAnsi="Arial" w:cs="Arial"/>
        </w:rPr>
        <w:t>:</w:t>
      </w:r>
    </w:p>
    <w:p w14:paraId="366F9436" w14:textId="77777777" w:rsidR="00134409" w:rsidRPr="00036112" w:rsidRDefault="00134409" w:rsidP="0020208C">
      <w:pPr>
        <w:spacing w:after="0" w:line="276" w:lineRule="auto"/>
        <w:ind w:firstLine="709"/>
        <w:contextualSpacing/>
        <w:jc w:val="both"/>
        <w:rPr>
          <w:rFonts w:ascii="Arial" w:eastAsia="Calibri" w:hAnsi="Arial" w:cs="Arial"/>
        </w:rPr>
      </w:pPr>
    </w:p>
    <w:p w14:paraId="7195AD10" w14:textId="5A880040" w:rsidR="00134409" w:rsidRPr="00036112" w:rsidRDefault="00134409" w:rsidP="0020208C">
      <w:pPr>
        <w:spacing w:after="0" w:line="276" w:lineRule="auto"/>
        <w:ind w:right="51"/>
        <w:contextualSpacing/>
        <w:jc w:val="both"/>
        <w:rPr>
          <w:rFonts w:ascii="Arial" w:eastAsia="Calibri" w:hAnsi="Arial" w:cs="Arial"/>
        </w:rPr>
      </w:pPr>
      <w:r w:rsidRPr="00036112">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C156A7" w:rsidRPr="00036112">
        <w:rPr>
          <w:rFonts w:ascii="Arial" w:eastAsia="Calibri" w:hAnsi="Arial" w:cs="Arial"/>
        </w:rPr>
        <w:t>18 de abril</w:t>
      </w:r>
      <w:r w:rsidRPr="00036112">
        <w:rPr>
          <w:rFonts w:ascii="Arial" w:eastAsia="Calibri" w:hAnsi="Arial" w:cs="Arial"/>
        </w:rPr>
        <w:t xml:space="preserve"> de 2022. </w:t>
      </w:r>
    </w:p>
    <w:p w14:paraId="161D29AA" w14:textId="77777777" w:rsidR="00134409" w:rsidRPr="001B0ECD" w:rsidRDefault="00134409" w:rsidP="0020208C">
      <w:pPr>
        <w:spacing w:after="0" w:line="276" w:lineRule="auto"/>
        <w:contextualSpacing/>
        <w:jc w:val="both"/>
        <w:rPr>
          <w:rFonts w:ascii="Arial" w:eastAsia="Calibri" w:hAnsi="Arial" w:cs="Arial"/>
        </w:rPr>
      </w:pPr>
    </w:p>
    <w:p w14:paraId="77D41321" w14:textId="77777777" w:rsidR="00134409" w:rsidRPr="001B0ECD" w:rsidRDefault="00134409" w:rsidP="0020208C">
      <w:pPr>
        <w:tabs>
          <w:tab w:val="left" w:pos="284"/>
        </w:tabs>
        <w:spacing w:after="0" w:line="276" w:lineRule="auto"/>
        <w:contextualSpacing/>
        <w:jc w:val="both"/>
        <w:rPr>
          <w:rFonts w:ascii="Arial" w:eastAsia="Calibri" w:hAnsi="Arial" w:cs="Arial"/>
          <w:b/>
        </w:rPr>
      </w:pPr>
      <w:r w:rsidRPr="001B0ECD">
        <w:rPr>
          <w:rFonts w:ascii="Arial" w:eastAsia="Calibri" w:hAnsi="Arial" w:cs="Arial"/>
          <w:b/>
        </w:rPr>
        <w:t xml:space="preserve">1. Problema planteado </w:t>
      </w:r>
    </w:p>
    <w:p w14:paraId="1DEED7EB" w14:textId="77777777" w:rsidR="00134409" w:rsidRPr="001B0ECD" w:rsidRDefault="00134409" w:rsidP="0020208C">
      <w:pPr>
        <w:tabs>
          <w:tab w:val="left" w:pos="284"/>
        </w:tabs>
        <w:spacing w:after="0" w:line="276" w:lineRule="auto"/>
        <w:ind w:firstLine="709"/>
        <w:contextualSpacing/>
        <w:jc w:val="both"/>
        <w:rPr>
          <w:rFonts w:ascii="Arial" w:eastAsia="Calibri" w:hAnsi="Arial" w:cs="Arial"/>
          <w:b/>
        </w:rPr>
      </w:pPr>
    </w:p>
    <w:p w14:paraId="4C67EE9C" w14:textId="77777777" w:rsidR="00036112" w:rsidRPr="001B0ECD" w:rsidRDefault="00134409" w:rsidP="0020208C">
      <w:pPr>
        <w:spacing w:after="0" w:line="276" w:lineRule="auto"/>
        <w:contextualSpacing/>
        <w:jc w:val="both"/>
        <w:rPr>
          <w:rFonts w:ascii="Arial" w:eastAsia="Times New Roman" w:hAnsi="Arial" w:cs="Arial"/>
          <w:lang w:eastAsia="es-ES_tradnl"/>
        </w:rPr>
      </w:pPr>
      <w:bookmarkStart w:id="5" w:name="_Hlk58917991"/>
      <w:bookmarkStart w:id="6" w:name="_Hlk56103000"/>
      <w:r w:rsidRPr="001B0ECD">
        <w:rPr>
          <w:rFonts w:ascii="Arial" w:eastAsia="Times New Roman" w:hAnsi="Arial" w:cs="Arial"/>
          <w:lang w:eastAsia="es-ES_tradnl"/>
        </w:rPr>
        <w:t xml:space="preserve">Respecto de la Ley de Garantías Electorales, usted realiza la siguiente </w:t>
      </w:r>
      <w:r w:rsidR="00036112" w:rsidRPr="001B0ECD">
        <w:rPr>
          <w:rFonts w:ascii="Arial" w:eastAsia="Times New Roman" w:hAnsi="Arial" w:cs="Arial"/>
          <w:lang w:eastAsia="es-ES_tradnl"/>
        </w:rPr>
        <w:t>consulta</w:t>
      </w:r>
      <w:r w:rsidRPr="001B0ECD">
        <w:rPr>
          <w:rFonts w:ascii="Arial" w:eastAsia="Times New Roman" w:hAnsi="Arial" w:cs="Arial"/>
          <w:lang w:eastAsia="es-ES_tradnl"/>
        </w:rPr>
        <w:t>:</w:t>
      </w:r>
    </w:p>
    <w:p w14:paraId="0AF3732F" w14:textId="77777777" w:rsidR="00036112" w:rsidRPr="001B0ECD" w:rsidRDefault="00036112" w:rsidP="001B0ECD">
      <w:pPr>
        <w:spacing w:after="0" w:line="240" w:lineRule="auto"/>
        <w:ind w:left="709" w:right="709"/>
        <w:contextualSpacing/>
        <w:jc w:val="both"/>
        <w:rPr>
          <w:rFonts w:ascii="Arial" w:eastAsia="Times New Roman" w:hAnsi="Arial" w:cs="Arial"/>
          <w:sz w:val="21"/>
          <w:szCs w:val="21"/>
          <w:lang w:eastAsia="es-ES_tradnl"/>
        </w:rPr>
      </w:pPr>
      <w:bookmarkStart w:id="7" w:name="_Hlk94514883"/>
    </w:p>
    <w:p w14:paraId="3103846B" w14:textId="08F99B84" w:rsidR="001B0ECD" w:rsidRPr="001B0ECD" w:rsidRDefault="001B0ECD" w:rsidP="001B0ECD">
      <w:pPr>
        <w:spacing w:after="0" w:line="240" w:lineRule="auto"/>
        <w:ind w:left="709" w:right="709"/>
        <w:contextualSpacing/>
        <w:jc w:val="both"/>
        <w:rPr>
          <w:rFonts w:ascii="Arial" w:hAnsi="Arial" w:cs="Arial"/>
          <w:sz w:val="21"/>
          <w:szCs w:val="21"/>
        </w:rPr>
      </w:pPr>
      <w:r w:rsidRPr="001B0ECD">
        <w:rPr>
          <w:rFonts w:ascii="Arial" w:eastAsia="Times New Roman" w:hAnsi="Arial" w:cs="Arial"/>
          <w:sz w:val="21"/>
          <w:szCs w:val="21"/>
          <w:lang w:eastAsia="es-ES_tradnl"/>
        </w:rPr>
        <w:t>«</w:t>
      </w:r>
      <w:r w:rsidRPr="001B0ECD">
        <w:rPr>
          <w:rFonts w:ascii="Arial" w:hAnsi="Arial" w:cs="Arial"/>
          <w:sz w:val="21"/>
          <w:szCs w:val="21"/>
        </w:rPr>
        <w:t xml:space="preserve">1. ¿son aplicables a las personerías municipales las restricciones en materia de contracción pública directa establecidas por la ley de garantías electorales? </w:t>
      </w:r>
    </w:p>
    <w:p w14:paraId="4AC12FE2" w14:textId="77777777" w:rsidR="001B0ECD" w:rsidRPr="001B0ECD" w:rsidRDefault="001B0ECD" w:rsidP="001B0ECD">
      <w:pPr>
        <w:spacing w:after="0" w:line="240" w:lineRule="auto"/>
        <w:ind w:left="709" w:right="709"/>
        <w:contextualSpacing/>
        <w:jc w:val="both"/>
        <w:rPr>
          <w:rFonts w:ascii="Arial" w:hAnsi="Arial" w:cs="Arial"/>
          <w:sz w:val="21"/>
          <w:szCs w:val="21"/>
        </w:rPr>
      </w:pPr>
    </w:p>
    <w:p w14:paraId="6EDE20D2" w14:textId="4F587299" w:rsidR="00134409" w:rsidRPr="001B0ECD" w:rsidRDefault="001B0ECD" w:rsidP="001B0ECD">
      <w:pPr>
        <w:spacing w:after="0" w:line="240" w:lineRule="auto"/>
        <w:ind w:left="709" w:right="709"/>
        <w:contextualSpacing/>
        <w:jc w:val="both"/>
        <w:rPr>
          <w:rFonts w:ascii="Arial" w:eastAsia="Times New Roman" w:hAnsi="Arial" w:cs="Arial"/>
          <w:sz w:val="21"/>
          <w:szCs w:val="21"/>
          <w:lang w:eastAsia="es-ES_tradnl"/>
        </w:rPr>
      </w:pPr>
      <w:r w:rsidRPr="001B0ECD">
        <w:rPr>
          <w:rFonts w:ascii="Arial" w:hAnsi="Arial" w:cs="Arial"/>
          <w:sz w:val="21"/>
          <w:szCs w:val="21"/>
        </w:rPr>
        <w:t>2. ¿pueden por necesidad del servicio, las personerías municipales en el actual periodo preelectoral, celebrar directamente contratos de arriendo de inmueble para su funcionamiento de su sede, o de prestación de servicios profesionales de asesoría contable y financiera, tendiendo en cuenta que son los únicos contratos que celebra bajo esta modalidad de forma habitual?</w:t>
      </w:r>
      <w:r w:rsidR="00134409" w:rsidRPr="001B0ECD">
        <w:rPr>
          <w:rFonts w:ascii="Arial" w:eastAsia="Times New Roman" w:hAnsi="Arial" w:cs="Arial"/>
          <w:sz w:val="21"/>
          <w:szCs w:val="21"/>
          <w:lang w:eastAsia="es-ES_tradnl"/>
        </w:rPr>
        <w:t>»</w:t>
      </w:r>
      <w:bookmarkEnd w:id="7"/>
      <w:r w:rsidRPr="001B0ECD">
        <w:rPr>
          <w:rFonts w:ascii="Arial" w:eastAsia="Times New Roman" w:hAnsi="Arial" w:cs="Arial"/>
          <w:sz w:val="21"/>
          <w:szCs w:val="21"/>
          <w:lang w:eastAsia="es-ES_tradnl"/>
        </w:rPr>
        <w:t xml:space="preserve">. </w:t>
      </w:r>
    </w:p>
    <w:p w14:paraId="5A9DF8F2" w14:textId="77777777" w:rsidR="00134409" w:rsidRPr="0020208C" w:rsidRDefault="00134409" w:rsidP="00134409">
      <w:pPr>
        <w:tabs>
          <w:tab w:val="left" w:pos="426"/>
        </w:tabs>
        <w:spacing w:after="0" w:line="276" w:lineRule="auto"/>
        <w:contextualSpacing/>
        <w:jc w:val="both"/>
        <w:rPr>
          <w:rFonts w:ascii="Arial" w:eastAsia="Calibri" w:hAnsi="Arial" w:cs="Arial"/>
        </w:rPr>
      </w:pPr>
    </w:p>
    <w:bookmarkEnd w:id="5"/>
    <w:bookmarkEnd w:id="6"/>
    <w:p w14:paraId="7964420A" w14:textId="77777777" w:rsidR="00134409" w:rsidRPr="0020208C" w:rsidRDefault="00134409" w:rsidP="00134409">
      <w:pPr>
        <w:tabs>
          <w:tab w:val="left" w:pos="284"/>
        </w:tabs>
        <w:spacing w:after="0" w:line="276" w:lineRule="auto"/>
        <w:contextualSpacing/>
        <w:jc w:val="both"/>
        <w:rPr>
          <w:rFonts w:ascii="Arial" w:eastAsia="Calibri" w:hAnsi="Arial" w:cs="Arial"/>
          <w:b/>
        </w:rPr>
      </w:pPr>
      <w:r w:rsidRPr="0020208C">
        <w:rPr>
          <w:rFonts w:ascii="Arial" w:eastAsia="Calibri" w:hAnsi="Arial" w:cs="Arial"/>
          <w:b/>
        </w:rPr>
        <w:t>2. Consideraciones</w:t>
      </w:r>
    </w:p>
    <w:p w14:paraId="16466994" w14:textId="77777777" w:rsidR="00134409" w:rsidRPr="0020208C" w:rsidRDefault="00134409" w:rsidP="00134409">
      <w:pPr>
        <w:tabs>
          <w:tab w:val="left" w:pos="426"/>
        </w:tabs>
        <w:spacing w:after="0" w:line="276" w:lineRule="auto"/>
        <w:ind w:firstLine="709"/>
        <w:contextualSpacing/>
        <w:jc w:val="both"/>
        <w:rPr>
          <w:rFonts w:ascii="Arial" w:eastAsia="Calibri" w:hAnsi="Arial" w:cs="Arial"/>
          <w:bCs/>
        </w:rPr>
      </w:pPr>
    </w:p>
    <w:p w14:paraId="7D553FEA" w14:textId="77777777" w:rsidR="00DA104E" w:rsidRPr="00DA104E" w:rsidRDefault="00DA104E" w:rsidP="00DA104E">
      <w:pPr>
        <w:spacing w:after="120" w:line="276" w:lineRule="auto"/>
        <w:jc w:val="both"/>
        <w:rPr>
          <w:rFonts w:ascii="Arial" w:eastAsia="Calibri" w:hAnsi="Arial" w:cs="Arial"/>
          <w:color w:val="000000"/>
        </w:rPr>
      </w:pPr>
      <w:bookmarkStart w:id="8" w:name="_Hlk96420693"/>
      <w:r w:rsidRPr="00DA104E">
        <w:rPr>
          <w:rFonts w:ascii="Arial" w:eastAsia="Calibri" w:hAnsi="Arial" w:cs="Arial"/>
          <w:color w:val="000000"/>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DA104E">
        <w:rPr>
          <w:rFonts w:ascii="Arial" w:eastAsia="Calibri" w:hAnsi="Arial" w:cs="Arial"/>
          <w:color w:val="000000"/>
          <w:vertAlign w:val="superscript"/>
        </w:rPr>
        <w:footnoteReference w:id="1"/>
      </w:r>
      <w:r w:rsidRPr="00DA104E">
        <w:rPr>
          <w:rFonts w:ascii="Arial" w:eastAsia="Calibri" w:hAnsi="Arial" w:cs="Arial"/>
          <w:color w:val="000000"/>
        </w:rPr>
        <w:t>.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4A81F928" w14:textId="77777777" w:rsidR="00DA104E" w:rsidRPr="00DA104E" w:rsidRDefault="00DA104E" w:rsidP="00DA104E">
      <w:pPr>
        <w:spacing w:before="120" w:after="120" w:line="276" w:lineRule="auto"/>
        <w:ind w:firstLine="708"/>
        <w:jc w:val="both"/>
        <w:rPr>
          <w:rFonts w:ascii="Arial" w:eastAsia="Calibri" w:hAnsi="Arial" w:cs="Arial"/>
          <w:color w:val="000000"/>
        </w:rPr>
      </w:pPr>
      <w:r w:rsidRPr="00DA104E">
        <w:rPr>
          <w:rFonts w:ascii="Arial" w:eastAsia="Calibri" w:hAnsi="Arial" w:cs="Arial"/>
          <w:color w:val="000000"/>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w:t>
      </w:r>
      <w:r w:rsidRPr="00DA104E">
        <w:rPr>
          <w:rFonts w:ascii="Arial" w:eastAsia="Calibri" w:hAnsi="Arial" w:cs="Arial"/>
          <w:color w:val="000000"/>
        </w:rPr>
        <w:lastRenderedPageBreak/>
        <w:t>entidad que adelanta el procedimiento de selección y, en caso de conflicto, a las autoridades judiciales, fiscales y disciplinarias.</w:t>
      </w:r>
    </w:p>
    <w:p w14:paraId="774044D3" w14:textId="77777777" w:rsidR="00DA104E" w:rsidRPr="00DA104E" w:rsidRDefault="00DA104E" w:rsidP="00DA104E">
      <w:pPr>
        <w:spacing w:before="120" w:after="120" w:line="276" w:lineRule="auto"/>
        <w:ind w:firstLine="708"/>
        <w:jc w:val="both"/>
        <w:rPr>
          <w:rFonts w:ascii="Arial" w:eastAsia="Calibri" w:hAnsi="Arial" w:cs="Arial"/>
          <w:color w:val="000000"/>
        </w:rPr>
      </w:pPr>
      <w:r w:rsidRPr="00DA104E">
        <w:rPr>
          <w:rFonts w:ascii="Arial" w:eastAsia="Calibri" w:hAnsi="Arial" w:cs="Arial"/>
          <w:bCs/>
          <w:color w:val="000000"/>
          <w:lang w:eastAsia="es-CO"/>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24F238FD" w14:textId="46F46757" w:rsidR="003F3811" w:rsidRPr="003F3811" w:rsidRDefault="00DA104E" w:rsidP="003F3811">
      <w:pPr>
        <w:spacing w:before="120" w:after="120" w:line="276" w:lineRule="auto"/>
        <w:ind w:firstLine="708"/>
        <w:jc w:val="both"/>
        <w:rPr>
          <w:rFonts w:ascii="Arial" w:eastAsia="Calibri" w:hAnsi="Arial" w:cs="Arial"/>
          <w:color w:val="000000"/>
        </w:rPr>
      </w:pPr>
      <w:r w:rsidRPr="00DA104E">
        <w:rPr>
          <w:rFonts w:ascii="Arial" w:eastAsia="Calibri" w:hAnsi="Arial" w:cs="Arial"/>
          <w:color w:val="000000"/>
        </w:rPr>
        <w:t xml:space="preserve">Sin perjuicio de lo anterior, </w:t>
      </w:r>
      <w:r w:rsidRPr="00DA104E">
        <w:rPr>
          <w:rFonts w:ascii="Arial" w:eastAsia="Calibri" w:hAnsi="Arial" w:cs="Arial"/>
          <w:color w:val="000000"/>
          <w:lang w:val="es-ES"/>
        </w:rPr>
        <w:t xml:space="preserve">la Agencia –dentro de los límites de sus atribuciones, esto es, </w:t>
      </w:r>
      <w:bookmarkStart w:id="9" w:name="_Hlk61025408"/>
      <w:r w:rsidRPr="00DA104E">
        <w:rPr>
          <w:rFonts w:ascii="Arial" w:eastAsia="Calibri" w:hAnsi="Arial" w:cs="Arial"/>
          <w:color w:val="000000"/>
          <w:lang w:val="es-ES"/>
        </w:rPr>
        <w:t>haciendo abstracción del caso particular expuesto por el peticionario</w:t>
      </w:r>
      <w:bookmarkEnd w:id="9"/>
      <w:r w:rsidRPr="00DA104E">
        <w:rPr>
          <w:rFonts w:ascii="Arial" w:eastAsia="Calibri" w:hAnsi="Arial" w:cs="Arial"/>
          <w:color w:val="000000"/>
          <w:lang w:val="es-ES"/>
        </w:rPr>
        <w:t xml:space="preserve">– resolverá la consulta conforme a las normas generales en materia de contratación estatal. </w:t>
      </w:r>
      <w:r w:rsidRPr="00DA104E">
        <w:rPr>
          <w:rFonts w:ascii="Arial" w:eastAsia="Calibri" w:hAnsi="Arial" w:cs="Arial"/>
          <w:color w:val="000000" w:themeColor="text1"/>
          <w:lang w:val="es-ES"/>
        </w:rPr>
        <w:t>Con este objetivo se analizarán los siguientes temas</w:t>
      </w:r>
      <w:r w:rsidR="003F3811">
        <w:rPr>
          <w:rFonts w:ascii="Arial" w:eastAsia="Calibri" w:hAnsi="Arial" w:cs="Arial"/>
          <w:color w:val="000000"/>
        </w:rPr>
        <w:t xml:space="preserve">: </w:t>
      </w:r>
      <w:r w:rsidR="003F3811" w:rsidRPr="007702EC">
        <w:rPr>
          <w:rFonts w:ascii="Arial" w:eastAsia="Calibri" w:hAnsi="Arial" w:cs="Arial"/>
          <w:lang w:val="es-ES_tradnl"/>
        </w:rPr>
        <w:t xml:space="preserve">i) </w:t>
      </w:r>
      <w:r w:rsidR="000F2B5A">
        <w:rPr>
          <w:rFonts w:ascii="Arial" w:eastAsia="Calibri" w:hAnsi="Arial" w:cs="Arial"/>
          <w:lang w:val="es-ES_tradnl"/>
        </w:rPr>
        <w:t>d</w:t>
      </w:r>
      <w:r w:rsidR="003F3811" w:rsidRPr="007702EC">
        <w:rPr>
          <w:rFonts w:ascii="Arial" w:eastAsia="Calibri" w:hAnsi="Arial" w:cs="Arial"/>
          <w:lang w:val="es-ES_tradnl"/>
        </w:rPr>
        <w:t xml:space="preserve">efinición y finalidad de la Ley de Garantías Electorales: alcance de las restricciones; </w:t>
      </w:r>
      <w:proofErr w:type="spellStart"/>
      <w:r w:rsidR="003F3811" w:rsidRPr="007702EC">
        <w:rPr>
          <w:rFonts w:ascii="Arial" w:eastAsia="Calibri" w:hAnsi="Arial" w:cs="Arial"/>
          <w:lang w:val="es-ES_tradnl"/>
        </w:rPr>
        <w:t>ii</w:t>
      </w:r>
      <w:proofErr w:type="spellEnd"/>
      <w:r w:rsidR="003F3811" w:rsidRPr="007702EC">
        <w:rPr>
          <w:rFonts w:ascii="Arial" w:eastAsia="Calibri" w:hAnsi="Arial" w:cs="Arial"/>
          <w:lang w:val="es-ES_tradnl"/>
        </w:rPr>
        <w:t xml:space="preserve">) </w:t>
      </w:r>
      <w:r w:rsidR="000F2B5A">
        <w:rPr>
          <w:rFonts w:ascii="Arial" w:hAnsi="Arial" w:cs="Arial"/>
          <w:lang w:val="es-ES_tradnl" w:eastAsia="es-CO"/>
        </w:rPr>
        <w:t>r</w:t>
      </w:r>
      <w:r w:rsidR="003F3811" w:rsidRPr="007702EC">
        <w:rPr>
          <w:rFonts w:ascii="Arial" w:hAnsi="Arial" w:cs="Arial"/>
          <w:lang w:val="es-ES_tradnl" w:eastAsia="es-CO"/>
        </w:rPr>
        <w:t xml:space="preserve">estricciones especiales aplicables de cara a las elecciones presidenciales; </w:t>
      </w:r>
      <w:proofErr w:type="spellStart"/>
      <w:r w:rsidR="003F3811" w:rsidRPr="007702EC">
        <w:rPr>
          <w:rFonts w:ascii="Arial" w:hAnsi="Arial" w:cs="Arial"/>
          <w:lang w:val="es-ES_tradnl" w:eastAsia="es-CO"/>
        </w:rPr>
        <w:t>iii</w:t>
      </w:r>
      <w:proofErr w:type="spellEnd"/>
      <w:r w:rsidR="003F3811" w:rsidRPr="007702EC">
        <w:rPr>
          <w:rFonts w:ascii="Arial" w:hAnsi="Arial" w:cs="Arial"/>
          <w:lang w:val="es-ES_tradnl" w:eastAsia="es-CO"/>
        </w:rPr>
        <w:t xml:space="preserve">) ámbito de aplicación de la prohibición consagrada en el artículo 33 de la Ley 996 de 2005; </w:t>
      </w:r>
      <w:proofErr w:type="spellStart"/>
      <w:r w:rsidR="003F3811" w:rsidRPr="007702EC">
        <w:rPr>
          <w:rFonts w:ascii="Arial" w:hAnsi="Arial" w:cs="Arial"/>
          <w:lang w:val="es-ES_tradnl" w:eastAsia="es-CO"/>
        </w:rPr>
        <w:t>iv</w:t>
      </w:r>
      <w:proofErr w:type="spellEnd"/>
      <w:r w:rsidR="003F3811" w:rsidRPr="007702EC">
        <w:rPr>
          <w:rFonts w:ascii="Arial" w:hAnsi="Arial" w:cs="Arial"/>
          <w:lang w:val="es-ES_tradnl" w:eastAsia="es-CO"/>
        </w:rPr>
        <w:t xml:space="preserve">) </w:t>
      </w:r>
      <w:r w:rsidR="000F2B5A" w:rsidRPr="007702EC">
        <w:rPr>
          <w:rFonts w:ascii="Arial" w:hAnsi="Arial" w:cs="Arial"/>
          <w:lang w:eastAsia="es-CO"/>
        </w:rPr>
        <w:t>destinatarios</w:t>
      </w:r>
      <w:r w:rsidR="003F3811" w:rsidRPr="007702EC">
        <w:rPr>
          <w:rFonts w:ascii="Arial" w:hAnsi="Arial" w:cs="Arial"/>
          <w:lang w:eastAsia="es-CO"/>
        </w:rPr>
        <w:t xml:space="preserve"> de la restricción del artículo 33 de la Ley 996 de 2005</w:t>
      </w:r>
      <w:r w:rsidR="003F3811">
        <w:rPr>
          <w:rFonts w:ascii="Arial" w:hAnsi="Arial" w:cs="Arial"/>
          <w:lang w:eastAsia="es-CO"/>
        </w:rPr>
        <w:t xml:space="preserve">. </w:t>
      </w:r>
    </w:p>
    <w:p w14:paraId="761D315D" w14:textId="4FB2AD6E" w:rsidR="00134409" w:rsidRPr="00237275" w:rsidRDefault="00134409" w:rsidP="00237275">
      <w:pPr>
        <w:tabs>
          <w:tab w:val="left" w:pos="426"/>
        </w:tabs>
        <w:spacing w:before="120" w:after="0" w:line="276" w:lineRule="auto"/>
        <w:ind w:firstLine="709"/>
        <w:contextualSpacing/>
        <w:jc w:val="both"/>
        <w:rPr>
          <w:rFonts w:ascii="Arial" w:hAnsi="Arial" w:cs="Arial"/>
        </w:rPr>
      </w:pPr>
      <w:r w:rsidRPr="00237275">
        <w:rPr>
          <w:rFonts w:ascii="Arial" w:eastAsia="Calibri" w:hAnsi="Arial" w:cs="Arial"/>
          <w:bCs/>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w:t>
      </w:r>
      <w:r w:rsidRPr="00237275">
        <w:rPr>
          <w:rFonts w:ascii="Arial" w:eastAsia="Calibri" w:hAnsi="Arial" w:cs="Arial"/>
          <w:bCs/>
        </w:rPr>
        <w:lastRenderedPageBreak/>
        <w:t xml:space="preserve">del 16 de noviembre de 2021, C-674 del 6 de diciembre de 2021, C-677 del 4 de diciembre de 2021, C-695 del 22 de diciembre de 2021, C-699 del 6 de enero de 2022, C-700 del 6 de enero de 2021, C-723 del 28 de diciembre de 2021, C-715 del 21 de enero de 2022, C-718 del 24 de enero de 2022, C-726 del 24 de enero de 2022, C-002 del 15 de febrero de 2022, C-003 del 1 de abril de 2022, C-004 del 1 de abril de 2022, C-005 del 16 de febrero de 2022, C-009 del 15 de febrero de 2022, C-014 del 18 de febrero de 2022, C-015 del 12 de febrero de 2022, C-015 del 14 de febrero de 2022, C-022 del 21 de febrero de 2022, C-023 del 22 de febrero de 2022, C-008 del 24 de febrero de 2022, C-042 del 4 de marzo de 2022, C-045 del 3 de marzo de 2022, C-054 del 7 de marzo de 2022, C-055 del 17 de febrero de 2022, C-064 del 8 de marzo de 2022, C-032 del 11 de marzo de 2022, C-072 del 11 de marzo de 2022, C-109 del 14 de marzo de 2022, C-073 del 14 de marzo de 2022, C-075 del 10 de marzo de 2022, C-076 del 15 de marzo de 2022, C-077 del 17 de marzo de 2022, C-092 del 16 de marzo de 2022, C-094 del 16 de marzo de 2022, C-096 del 22 de marzo de 2022, C-097 del 18 de febrero de 2022, C-098 del 9 de marzo de 2022, C-099 del 22 de marzo de 2022, C-100 del 29 de marzo de 2022, C-102 del 22 de marzo de 2022, C-103 del 17 de marzo de 2022,   </w:t>
      </w:r>
      <w:r w:rsidRPr="00237275">
        <w:rPr>
          <w:rFonts w:ascii="Arial" w:eastAsia="Times New Roman" w:hAnsi="Arial" w:cs="Arial"/>
          <w:lang w:eastAsia="es-CO"/>
        </w:rPr>
        <w:t>C-105 del 18 de marzo de 2022, C-106 del 29 de marzo de 2022, C-107 del 18 de marzo de 2022, C-111 del 22 de marzo de 2022, C-115 del 22 de marzo de 2022, C-116 del 18 de marzo de 2022, C-122 del 18 de marzo de 2022,  C-127 del 22 de marzo de 2022, C-139 del 31 de marzo de 2022, C-145 del 28 de marzo de 2022, C-146 del 25 de marzo de 2022, C-147 del 4 de abril de 2022, C-148 del 29 de marzo de 2022, C-150 del 30 de marzo de 2022, C-151 del 5 de abril de 2022, C-153 del 25 de marzo de 2022, C-155 del 1 de abril de 2022, C-156 del 28 de marzo de 2022, C-157 del 5 de abril de 2022, C-164 del 22 de marzo de 2022, C-169 del 7 de abril de 2022, C-171 del 6 de abril de 2022</w:t>
      </w:r>
      <w:r w:rsidR="00297718" w:rsidRPr="00237275">
        <w:rPr>
          <w:rFonts w:ascii="Arial" w:eastAsia="Times New Roman" w:hAnsi="Arial" w:cs="Arial"/>
          <w:lang w:eastAsia="es-CO"/>
        </w:rPr>
        <w:t>,</w:t>
      </w:r>
      <w:r w:rsidRPr="00237275">
        <w:rPr>
          <w:rFonts w:ascii="Arial" w:eastAsia="Times New Roman" w:hAnsi="Arial" w:cs="Arial"/>
          <w:lang w:eastAsia="es-CO"/>
        </w:rPr>
        <w:t xml:space="preserve"> C-216 del 9 marzo de 2022</w:t>
      </w:r>
      <w:r w:rsidR="00297718" w:rsidRPr="00237275">
        <w:rPr>
          <w:rFonts w:ascii="Arial" w:eastAsia="Times New Roman" w:hAnsi="Arial" w:cs="Arial"/>
          <w:lang w:eastAsia="es-CO"/>
        </w:rPr>
        <w:t xml:space="preserve">, </w:t>
      </w:r>
      <w:r w:rsidR="00237275" w:rsidRPr="00237275">
        <w:rPr>
          <w:rFonts w:ascii="Arial" w:eastAsia="Times New Roman" w:hAnsi="Arial" w:cs="Arial"/>
          <w:lang w:eastAsia="es-CO"/>
        </w:rPr>
        <w:t>C</w:t>
      </w:r>
      <w:r w:rsidR="00297718" w:rsidRPr="00237275">
        <w:rPr>
          <w:rFonts w:ascii="Arial" w:eastAsia="Calibri" w:hAnsi="Arial" w:cs="Arial"/>
        </w:rPr>
        <w:t xml:space="preserve">-072 del 11 de marzo de 2022, C-097 del 18 de febrero de 2022, C-116 del 18 de febrero de 2022 y C-077 del 17 de marzo de 2022, entre otros. </w:t>
      </w:r>
      <w:r w:rsidRPr="00237275">
        <w:rPr>
          <w:rFonts w:ascii="Arial" w:eastAsia="Calibri" w:hAnsi="Arial" w:cs="Arial"/>
          <w:bCs/>
        </w:rPr>
        <w:t>La tesis desarrollada en estos conceptos se reitera y complementa a continuación:</w:t>
      </w:r>
    </w:p>
    <w:bookmarkEnd w:id="8"/>
    <w:p w14:paraId="58FBA48F" w14:textId="77777777" w:rsidR="00134409" w:rsidRPr="00237275" w:rsidRDefault="00134409" w:rsidP="00237275">
      <w:pPr>
        <w:tabs>
          <w:tab w:val="left" w:pos="426"/>
        </w:tabs>
        <w:spacing w:after="0" w:line="276" w:lineRule="auto"/>
        <w:ind w:firstLine="709"/>
        <w:contextualSpacing/>
        <w:jc w:val="both"/>
        <w:rPr>
          <w:rFonts w:ascii="Arial" w:eastAsia="Calibri" w:hAnsi="Arial" w:cs="Arial"/>
          <w:b/>
          <w:bCs/>
        </w:rPr>
      </w:pPr>
    </w:p>
    <w:p w14:paraId="48E4F1D1" w14:textId="77777777" w:rsidR="00134409" w:rsidRPr="00237275" w:rsidRDefault="00134409" w:rsidP="00237275">
      <w:pPr>
        <w:tabs>
          <w:tab w:val="left" w:pos="426"/>
        </w:tabs>
        <w:spacing w:after="0" w:line="276" w:lineRule="auto"/>
        <w:contextualSpacing/>
        <w:jc w:val="both"/>
        <w:rPr>
          <w:rFonts w:ascii="Arial" w:eastAsia="Calibri" w:hAnsi="Arial" w:cs="Arial"/>
          <w:b/>
          <w:bCs/>
          <w:lang w:val="es-ES_tradnl"/>
        </w:rPr>
      </w:pPr>
      <w:r w:rsidRPr="00237275">
        <w:rPr>
          <w:rFonts w:ascii="Arial" w:eastAsia="Calibri" w:hAnsi="Arial" w:cs="Arial"/>
          <w:b/>
          <w:bCs/>
          <w:lang w:val="es-ES_tradnl"/>
        </w:rPr>
        <w:t>2.1. Definición y finalidad de la Ley de Garantías Electorales: alcance de las restricciones</w:t>
      </w:r>
    </w:p>
    <w:p w14:paraId="121DC009" w14:textId="77777777" w:rsidR="00134409" w:rsidRPr="007354FB" w:rsidRDefault="00134409" w:rsidP="00237275">
      <w:pPr>
        <w:tabs>
          <w:tab w:val="left" w:pos="426"/>
        </w:tabs>
        <w:spacing w:after="0" w:line="240" w:lineRule="auto"/>
        <w:ind w:firstLine="709"/>
        <w:contextualSpacing/>
        <w:jc w:val="both"/>
        <w:rPr>
          <w:rFonts w:ascii="Arial" w:eastAsia="Calibri" w:hAnsi="Arial" w:cs="Arial"/>
          <w:bCs/>
          <w:lang w:val="es-ES_tradnl"/>
        </w:rPr>
      </w:pPr>
    </w:p>
    <w:p w14:paraId="1A5CDC55" w14:textId="77777777" w:rsidR="00134409" w:rsidRPr="007354FB" w:rsidRDefault="00134409" w:rsidP="00134409">
      <w:pPr>
        <w:tabs>
          <w:tab w:val="left" w:pos="426"/>
        </w:tabs>
        <w:spacing w:after="120" w:line="276" w:lineRule="auto"/>
        <w:jc w:val="both"/>
        <w:rPr>
          <w:rFonts w:ascii="Arial" w:eastAsia="Times New Roman" w:hAnsi="Arial" w:cs="Arial"/>
          <w:bCs/>
          <w:lang w:val="es-ES_tradnl" w:eastAsia="es-CO"/>
        </w:rPr>
      </w:pPr>
      <w:r w:rsidRPr="007354FB">
        <w:rPr>
          <w:rFonts w:ascii="Arial" w:eastAsia="Calibri" w:hAnsi="Arial" w:cs="Arial"/>
          <w:bCs/>
          <w:lang w:val="es-ES_tradnl"/>
        </w:rPr>
        <w:t>El ordenamiento jurídico colombiano contempla previsiones claras para evitar la obtención de beneficios personales en asuntos propios de la administración pública</w:t>
      </w:r>
      <w:r w:rsidRPr="007354FB">
        <w:rPr>
          <w:rFonts w:ascii="Arial" w:eastAsia="Calibri" w:hAnsi="Arial" w:cs="Arial"/>
          <w:bCs/>
          <w:i/>
          <w:iCs/>
          <w:lang w:val="es-ES_tradnl"/>
        </w:rPr>
        <w:t xml:space="preserve">. </w:t>
      </w:r>
      <w:r w:rsidRPr="007354FB">
        <w:rPr>
          <w:rFonts w:ascii="Arial" w:eastAsia="Calibri" w:hAnsi="Arial" w:cs="Arial"/>
          <w:bCs/>
          <w:lang w:val="es-ES_tradnl"/>
        </w:rPr>
        <w:t xml:space="preserve">Por ejemplo, el artículo 127 de la Constitución Política establece una prohibición contractual a los servidores </w:t>
      </w:r>
      <w:r w:rsidRPr="007354FB">
        <w:rPr>
          <w:rFonts w:ascii="Arial" w:eastAsia="Calibri" w:hAnsi="Arial" w:cs="Arial"/>
          <w:bCs/>
          <w:lang w:val="es-ES_tradnl"/>
        </w:rPr>
        <w:lastRenderedPageBreak/>
        <w:t>públicos y en cuanto a aspectos políticos establece restricciones a ciertos empleados del Estado, incluso en época no electoral</w:t>
      </w:r>
      <w:r w:rsidRPr="007354FB">
        <w:rPr>
          <w:rFonts w:ascii="Arial" w:eastAsia="Calibri" w:hAnsi="Arial" w:cs="Arial"/>
          <w:bCs/>
          <w:vertAlign w:val="superscript"/>
          <w:lang w:val="es-ES_tradnl"/>
        </w:rPr>
        <w:footnoteReference w:id="2"/>
      </w:r>
      <w:r w:rsidRPr="007354FB">
        <w:rPr>
          <w:rFonts w:ascii="Arial" w:eastAsia="Calibri" w:hAnsi="Arial" w:cs="Arial"/>
          <w:bCs/>
          <w:lang w:val="es-ES_tradnl"/>
        </w:rPr>
        <w:t xml:space="preserve">. </w:t>
      </w:r>
    </w:p>
    <w:p w14:paraId="777D7228" w14:textId="77777777" w:rsidR="00134409" w:rsidRPr="001C572C" w:rsidRDefault="00134409" w:rsidP="00134409">
      <w:pPr>
        <w:tabs>
          <w:tab w:val="left" w:pos="426"/>
        </w:tabs>
        <w:spacing w:after="0" w:line="276" w:lineRule="auto"/>
        <w:ind w:firstLine="709"/>
        <w:contextualSpacing/>
        <w:jc w:val="both"/>
        <w:rPr>
          <w:rFonts w:ascii="Arial" w:eastAsia="Times New Roman" w:hAnsi="Arial" w:cs="Arial"/>
          <w:bCs/>
          <w:lang w:val="es-ES_tradnl" w:eastAsia="es-CO"/>
        </w:rPr>
      </w:pPr>
      <w:r w:rsidRPr="001C572C">
        <w:rPr>
          <w:rFonts w:ascii="Arial" w:eastAsia="Times New Roman" w:hAnsi="Arial" w:cs="Arial"/>
          <w:bCs/>
          <w:lang w:val="es-ES_tradnl"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1C572C">
        <w:rPr>
          <w:rFonts w:ascii="Arial" w:eastAsia="Times New Roman" w:hAnsi="Arial" w:cs="Arial"/>
          <w:bCs/>
          <w:vertAlign w:val="superscript"/>
          <w:lang w:val="es-ES_tradnl" w:eastAsia="es-CO"/>
        </w:rPr>
        <w:footnoteReference w:id="3"/>
      </w:r>
      <w:r w:rsidRPr="001C572C">
        <w:rPr>
          <w:rFonts w:ascii="Arial" w:eastAsia="Times New Roman" w:hAnsi="Arial" w:cs="Arial"/>
          <w:bCs/>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1C572C">
        <w:rPr>
          <w:rFonts w:ascii="Arial" w:eastAsia="Calibri" w:hAnsi="Arial" w:cs="Arial"/>
          <w:noProof/>
          <w:lang w:val="es-ES_tradnl"/>
        </w:rPr>
        <w:t xml:space="preserve"> </w:t>
      </w:r>
      <w:r w:rsidRPr="001C572C">
        <w:rPr>
          <w:rFonts w:ascii="Arial" w:eastAsia="Times New Roman" w:hAnsi="Arial" w:cs="Arial"/>
          <w:bCs/>
          <w:lang w:val="es-ES_tradnl" w:eastAsia="es-CO"/>
        </w:rPr>
        <w:t>En armonía con lo anterior, la Corte Constitucional ha abordado la definición de la Ley de Garantías Electorales. De esta manera, explica que tiene como propósito:</w:t>
      </w:r>
    </w:p>
    <w:p w14:paraId="22915B19" w14:textId="77777777" w:rsidR="00134409" w:rsidRPr="001C572C" w:rsidRDefault="00134409" w:rsidP="00134409">
      <w:pPr>
        <w:spacing w:after="0" w:line="276" w:lineRule="auto"/>
        <w:ind w:right="709"/>
        <w:contextualSpacing/>
        <w:jc w:val="both"/>
        <w:rPr>
          <w:rFonts w:ascii="Arial" w:eastAsia="Times New Roman" w:hAnsi="Arial" w:cs="Arial"/>
          <w:sz w:val="21"/>
          <w:szCs w:val="21"/>
          <w:lang w:val="es-ES_tradnl" w:eastAsia="es-CO"/>
        </w:rPr>
      </w:pPr>
    </w:p>
    <w:p w14:paraId="3D609D95" w14:textId="77777777" w:rsidR="00134409" w:rsidRPr="00C7155F" w:rsidRDefault="00134409" w:rsidP="00F72FBD">
      <w:pPr>
        <w:spacing w:after="0" w:line="240" w:lineRule="auto"/>
        <w:ind w:left="709" w:right="709"/>
        <w:contextualSpacing/>
        <w:jc w:val="both"/>
        <w:rPr>
          <w:rFonts w:ascii="Arial" w:eastAsia="Times New Roman" w:hAnsi="Arial" w:cs="Arial"/>
          <w:bCs/>
          <w:sz w:val="21"/>
          <w:szCs w:val="21"/>
          <w:lang w:val="es-ES_tradnl" w:eastAsia="es-CO"/>
        </w:rPr>
      </w:pPr>
      <w:r w:rsidRPr="00C7155F">
        <w:rPr>
          <w:rFonts w:ascii="Arial" w:eastAsia="Times New Roman" w:hAnsi="Arial" w:cs="Arial"/>
          <w:sz w:val="21"/>
          <w:szCs w:val="21"/>
          <w:lang w:val="es-ES_tradnl" w:eastAsia="es-CO"/>
        </w:rPr>
        <w:t xml:space="preserve">[…] </w:t>
      </w:r>
      <w:r w:rsidRPr="00C7155F">
        <w:rPr>
          <w:rFonts w:ascii="Arial" w:eastAsia="Times New Roman" w:hAnsi="Arial" w:cs="Arial"/>
          <w:bCs/>
          <w:sz w:val="21"/>
          <w:szCs w:val="21"/>
          <w:lang w:val="es-ES_tradnl" w:eastAsia="es-CO"/>
        </w:rPr>
        <w:t>la definición de reglas claras que permitan acceder a los canales de expresión democrática de manera efectiva e igualitaria. El objetivo de una ley de garantías es definir esas reglas.</w:t>
      </w:r>
    </w:p>
    <w:p w14:paraId="3E8A2C41" w14:textId="77777777" w:rsidR="00134409" w:rsidRPr="00C7155F" w:rsidRDefault="00134409" w:rsidP="00F72FBD">
      <w:pPr>
        <w:spacing w:after="0" w:line="240" w:lineRule="auto"/>
        <w:ind w:left="709" w:right="709"/>
        <w:contextualSpacing/>
        <w:jc w:val="both"/>
        <w:rPr>
          <w:rFonts w:ascii="Arial" w:eastAsia="Times New Roman" w:hAnsi="Arial" w:cs="Arial"/>
          <w:bCs/>
          <w:sz w:val="21"/>
          <w:szCs w:val="21"/>
          <w:lang w:val="es-ES_tradnl" w:eastAsia="es-CO"/>
        </w:rPr>
      </w:pPr>
    </w:p>
    <w:p w14:paraId="55D08C42" w14:textId="77777777" w:rsidR="00134409" w:rsidRPr="00C7155F" w:rsidRDefault="00134409" w:rsidP="00F72FBD">
      <w:pPr>
        <w:spacing w:after="0" w:line="240" w:lineRule="auto"/>
        <w:ind w:left="709" w:right="709"/>
        <w:contextualSpacing/>
        <w:jc w:val="both"/>
        <w:rPr>
          <w:rFonts w:ascii="Arial" w:eastAsia="Times New Roman" w:hAnsi="Arial" w:cs="Arial"/>
          <w:bCs/>
          <w:sz w:val="21"/>
          <w:szCs w:val="21"/>
          <w:lang w:val="es-ES_tradnl" w:eastAsia="es-CO"/>
        </w:rPr>
      </w:pPr>
      <w:r w:rsidRPr="00C7155F">
        <w:rPr>
          <w:rFonts w:ascii="Arial" w:eastAsia="Times New Roman" w:hAnsi="Arial" w:cs="Arial"/>
          <w:bCs/>
          <w:sz w:val="21"/>
          <w:szCs w:val="21"/>
          <w:lang w:val="es-ES_tradnl" w:eastAsia="es-CO"/>
        </w:rPr>
        <w:t xml:space="preserve">[…] </w:t>
      </w:r>
    </w:p>
    <w:p w14:paraId="3CA1A73A" w14:textId="77777777" w:rsidR="00134409" w:rsidRPr="00C7155F" w:rsidRDefault="00134409" w:rsidP="00F72FBD">
      <w:pPr>
        <w:spacing w:after="0" w:line="240" w:lineRule="auto"/>
        <w:ind w:left="709" w:right="709"/>
        <w:contextualSpacing/>
        <w:jc w:val="both"/>
        <w:rPr>
          <w:rFonts w:ascii="Arial" w:eastAsia="Times New Roman" w:hAnsi="Arial" w:cs="Arial"/>
          <w:bCs/>
          <w:sz w:val="21"/>
          <w:szCs w:val="21"/>
          <w:lang w:val="es-ES_tradnl" w:eastAsia="es-CO"/>
        </w:rPr>
      </w:pPr>
    </w:p>
    <w:p w14:paraId="20994173" w14:textId="77777777" w:rsidR="00134409" w:rsidRPr="00C7155F" w:rsidRDefault="00134409" w:rsidP="00F72FBD">
      <w:pPr>
        <w:spacing w:after="0" w:line="240" w:lineRule="auto"/>
        <w:ind w:left="709" w:right="709"/>
        <w:contextualSpacing/>
        <w:jc w:val="both"/>
        <w:rPr>
          <w:rFonts w:ascii="Arial" w:eastAsia="Times New Roman" w:hAnsi="Arial" w:cs="Arial"/>
          <w:bCs/>
          <w:sz w:val="21"/>
          <w:szCs w:val="21"/>
          <w:lang w:val="es-ES_tradnl" w:eastAsia="es-CO"/>
        </w:rPr>
      </w:pPr>
      <w:r w:rsidRPr="00C7155F">
        <w:rPr>
          <w:rFonts w:ascii="Arial" w:eastAsia="Times New Roman" w:hAnsi="Arial" w:cs="Arial"/>
          <w:bCs/>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C7155F">
        <w:rPr>
          <w:rFonts w:ascii="Arial" w:eastAsia="Calibri" w:hAnsi="Arial" w:cs="Arial"/>
          <w:sz w:val="21"/>
          <w:szCs w:val="21"/>
          <w:vertAlign w:val="superscript"/>
          <w:lang w:val="es-ES_tradnl"/>
        </w:rPr>
        <w:footnoteReference w:id="4"/>
      </w:r>
    </w:p>
    <w:p w14:paraId="3270A967" w14:textId="77777777" w:rsidR="00134409" w:rsidRPr="002C3E77" w:rsidRDefault="00134409" w:rsidP="00134409">
      <w:pPr>
        <w:spacing w:after="0" w:line="276" w:lineRule="auto"/>
        <w:ind w:left="709" w:right="709"/>
        <w:contextualSpacing/>
        <w:jc w:val="both"/>
        <w:rPr>
          <w:rFonts w:ascii="Arial" w:eastAsia="Times New Roman" w:hAnsi="Arial" w:cs="Arial"/>
          <w:bCs/>
          <w:sz w:val="21"/>
          <w:szCs w:val="21"/>
          <w:lang w:val="es-ES_tradnl" w:eastAsia="es-CO"/>
        </w:rPr>
      </w:pPr>
    </w:p>
    <w:p w14:paraId="271F98FB" w14:textId="77777777" w:rsidR="00134409" w:rsidRPr="002C3E77" w:rsidRDefault="00134409" w:rsidP="00134409">
      <w:pPr>
        <w:spacing w:after="0" w:line="276" w:lineRule="auto"/>
        <w:ind w:firstLine="709"/>
        <w:contextualSpacing/>
        <w:jc w:val="both"/>
        <w:rPr>
          <w:rFonts w:ascii="Arial" w:eastAsia="Times New Roman" w:hAnsi="Arial" w:cs="Arial"/>
          <w:bCs/>
          <w:lang w:val="es-ES_tradnl" w:eastAsia="es-CO"/>
        </w:rPr>
      </w:pPr>
      <w:bookmarkStart w:id="10" w:name="_Hlk78818186"/>
      <w:r w:rsidRPr="002C3E77">
        <w:rPr>
          <w:rFonts w:ascii="Arial" w:eastAsia="Times New Roman" w:hAnsi="Arial" w:cs="Arial"/>
          <w:bCs/>
          <w:lang w:val="es-ES_tradnl"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0"/>
      <w:r w:rsidRPr="002C3E77">
        <w:rPr>
          <w:rFonts w:ascii="Arial" w:eastAsia="Times New Roman" w:hAnsi="Arial" w:cs="Arial"/>
          <w:bCs/>
          <w:lang w:val="es-ES_tradnl"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023C9062" w14:textId="77777777" w:rsidR="00134409" w:rsidRPr="002C3E77" w:rsidRDefault="00134409" w:rsidP="00134409">
      <w:pPr>
        <w:spacing w:after="0" w:line="276" w:lineRule="auto"/>
        <w:ind w:firstLine="709"/>
        <w:contextualSpacing/>
        <w:jc w:val="both"/>
        <w:rPr>
          <w:rFonts w:ascii="Arial" w:eastAsia="Times New Roman" w:hAnsi="Arial" w:cs="Arial"/>
          <w:bCs/>
          <w:lang w:val="es-ES_tradnl" w:eastAsia="es-CO"/>
        </w:rPr>
      </w:pPr>
    </w:p>
    <w:p w14:paraId="687B9FBE" w14:textId="77777777" w:rsidR="00134409" w:rsidRPr="002D1BE3" w:rsidRDefault="00134409" w:rsidP="00134409">
      <w:pPr>
        <w:spacing w:after="0" w:line="240" w:lineRule="auto"/>
        <w:ind w:left="709" w:right="709"/>
        <w:contextualSpacing/>
        <w:jc w:val="both"/>
        <w:rPr>
          <w:rFonts w:ascii="Arial" w:eastAsia="Times New Roman" w:hAnsi="Arial" w:cs="Arial"/>
          <w:bCs/>
          <w:sz w:val="21"/>
          <w:szCs w:val="21"/>
          <w:lang w:val="es-ES_tradnl" w:eastAsia="es-CO"/>
        </w:rPr>
      </w:pPr>
      <w:r w:rsidRPr="002D1BE3">
        <w:rPr>
          <w:rFonts w:ascii="Arial" w:eastAsia="Times New Roman" w:hAnsi="Arial" w:cs="Arial"/>
          <w:bCs/>
          <w:sz w:val="21"/>
          <w:szCs w:val="21"/>
          <w:lang w:val="es-ES_tradnl"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2D1BE3">
        <w:rPr>
          <w:rFonts w:ascii="Arial" w:eastAsia="Times New Roman" w:hAnsi="Arial" w:cs="Arial"/>
          <w:bCs/>
          <w:sz w:val="21"/>
          <w:szCs w:val="21"/>
          <w:lang w:val="es-ES_tradnl" w:eastAsia="es-CO"/>
        </w:rPr>
        <w:t>legis</w:t>
      </w:r>
      <w:proofErr w:type="spellEnd"/>
      <w:r w:rsidRPr="002D1BE3">
        <w:rPr>
          <w:rFonts w:ascii="Arial" w:eastAsia="Times New Roman" w:hAnsi="Arial" w:cs="Arial"/>
          <w:bCs/>
          <w:sz w:val="21"/>
          <w:szCs w:val="21"/>
          <w:lang w:val="es-ES_tradnl"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69AC394E" w14:textId="77777777" w:rsidR="00134409" w:rsidRPr="002D1BE3" w:rsidRDefault="00134409" w:rsidP="00134409">
      <w:pPr>
        <w:spacing w:after="0" w:line="240" w:lineRule="auto"/>
        <w:ind w:left="709" w:right="709"/>
        <w:contextualSpacing/>
        <w:jc w:val="both"/>
        <w:rPr>
          <w:rFonts w:ascii="Arial" w:eastAsia="Times New Roman" w:hAnsi="Arial" w:cs="Arial"/>
          <w:bCs/>
          <w:sz w:val="21"/>
          <w:szCs w:val="21"/>
          <w:lang w:val="es-ES_tradnl" w:eastAsia="es-CO"/>
        </w:rPr>
      </w:pPr>
    </w:p>
    <w:p w14:paraId="0F1F4ACB" w14:textId="77777777" w:rsidR="00134409" w:rsidRPr="002D1BE3" w:rsidRDefault="00134409" w:rsidP="00134409">
      <w:pPr>
        <w:spacing w:after="0" w:line="240" w:lineRule="auto"/>
        <w:ind w:left="709" w:right="709"/>
        <w:contextualSpacing/>
        <w:jc w:val="both"/>
        <w:rPr>
          <w:rFonts w:ascii="Arial" w:eastAsia="Times New Roman" w:hAnsi="Arial" w:cs="Arial"/>
          <w:bCs/>
          <w:sz w:val="21"/>
          <w:szCs w:val="21"/>
          <w:lang w:val="es-ES_tradnl" w:eastAsia="es-CO"/>
        </w:rPr>
      </w:pPr>
      <w:r w:rsidRPr="002D1BE3">
        <w:rPr>
          <w:rFonts w:ascii="Arial" w:eastAsia="Times New Roman" w:hAnsi="Arial" w:cs="Arial"/>
          <w:bCs/>
          <w:sz w:val="21"/>
          <w:szCs w:val="21"/>
          <w:lang w:val="es-ES_tradnl" w:eastAsia="es-CO"/>
        </w:rPr>
        <w:t>La jurisprudencia de la Corte Constitucional</w:t>
      </w:r>
      <w:r w:rsidRPr="002D1BE3">
        <w:rPr>
          <w:rFonts w:ascii="Arial" w:eastAsia="Times New Roman" w:hAnsi="Arial" w:cs="Arial"/>
          <w:bCs/>
          <w:sz w:val="21"/>
          <w:szCs w:val="21"/>
          <w:vertAlign w:val="superscript"/>
          <w:lang w:val="es-ES_tradnl" w:eastAsia="es-CO"/>
        </w:rPr>
        <w:footnoteReference w:id="5"/>
      </w:r>
      <w:r w:rsidRPr="002D1BE3">
        <w:rPr>
          <w:rFonts w:ascii="Arial" w:eastAsia="Times New Roman" w:hAnsi="Arial" w:cs="Arial"/>
          <w:bCs/>
          <w:sz w:val="21"/>
          <w:szCs w:val="21"/>
          <w:lang w:val="es-ES_tradnl" w:eastAsia="es-CO"/>
        </w:rPr>
        <w:t> y del Consejo de Estado</w:t>
      </w:r>
      <w:r w:rsidRPr="002D1BE3">
        <w:rPr>
          <w:rFonts w:ascii="Arial" w:eastAsia="Times New Roman" w:hAnsi="Arial" w:cs="Arial"/>
          <w:bCs/>
          <w:sz w:val="21"/>
          <w:szCs w:val="21"/>
          <w:vertAlign w:val="superscript"/>
          <w:lang w:val="es-ES_tradnl" w:eastAsia="es-CO"/>
        </w:rPr>
        <w:footnoteReference w:id="6"/>
      </w:r>
      <w:r w:rsidRPr="002D1BE3">
        <w:rPr>
          <w:rFonts w:ascii="Arial" w:eastAsia="Times New Roman" w:hAnsi="Arial" w:cs="Arial"/>
          <w:bCs/>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2D1BE3">
        <w:rPr>
          <w:rFonts w:ascii="Arial" w:eastAsia="Times New Roman" w:hAnsi="Arial" w:cs="Arial"/>
          <w:bCs/>
          <w:sz w:val="21"/>
          <w:szCs w:val="21"/>
          <w:vertAlign w:val="superscript"/>
          <w:lang w:val="es-ES_tradnl" w:eastAsia="es-CO"/>
        </w:rPr>
        <w:footnoteReference w:id="7"/>
      </w:r>
      <w:r w:rsidRPr="002D1BE3">
        <w:rPr>
          <w:rFonts w:ascii="Arial" w:eastAsia="Times New Roman" w:hAnsi="Arial" w:cs="Arial"/>
          <w:bCs/>
          <w:sz w:val="21"/>
          <w:szCs w:val="21"/>
          <w:lang w:val="es-ES_tradnl" w:eastAsia="es-CO"/>
        </w:rPr>
        <w:t>.</w:t>
      </w:r>
    </w:p>
    <w:p w14:paraId="3E84FEF9" w14:textId="77777777" w:rsidR="00134409" w:rsidRPr="007176AA" w:rsidRDefault="00134409" w:rsidP="00134409">
      <w:pPr>
        <w:spacing w:after="0" w:line="276" w:lineRule="auto"/>
        <w:ind w:right="709"/>
        <w:contextualSpacing/>
        <w:jc w:val="both"/>
        <w:rPr>
          <w:rFonts w:ascii="Arial" w:eastAsia="Times New Roman" w:hAnsi="Arial" w:cs="Arial"/>
          <w:bCs/>
          <w:color w:val="FF0000"/>
          <w:sz w:val="21"/>
          <w:szCs w:val="21"/>
          <w:lang w:val="es-ES_tradnl" w:eastAsia="es-CO"/>
        </w:rPr>
      </w:pPr>
    </w:p>
    <w:p w14:paraId="0F367D43" w14:textId="77777777" w:rsidR="00134409" w:rsidRPr="0013014C" w:rsidRDefault="00134409" w:rsidP="00134409">
      <w:pPr>
        <w:spacing w:after="120" w:line="276" w:lineRule="auto"/>
        <w:jc w:val="both"/>
        <w:rPr>
          <w:rFonts w:ascii="Arial" w:eastAsia="Arial" w:hAnsi="Arial" w:cs="Arial"/>
          <w:lang w:val="es-ES_tradnl" w:eastAsia="es-ES" w:bidi="es-ES"/>
        </w:rPr>
      </w:pPr>
      <w:r w:rsidRPr="007176AA">
        <w:rPr>
          <w:rFonts w:ascii="Arial" w:eastAsia="Times New Roman" w:hAnsi="Arial" w:cs="Arial"/>
          <w:bCs/>
          <w:color w:val="FF0000"/>
          <w:lang w:val="es-ES_tradnl" w:eastAsia="es-CO"/>
        </w:rPr>
        <w:lastRenderedPageBreak/>
        <w:tab/>
      </w:r>
      <w:r w:rsidRPr="0013014C">
        <w:rPr>
          <w:rFonts w:ascii="Arial" w:eastAsia="Times New Roman" w:hAnsi="Arial" w:cs="Arial"/>
          <w:bCs/>
          <w:lang w:val="es-ES_tradnl" w:eastAsia="es-CO"/>
        </w:rPr>
        <w:t>De</w:t>
      </w:r>
      <w:r w:rsidRPr="0013014C">
        <w:rPr>
          <w:rFonts w:ascii="Arial" w:eastAsia="Arial" w:hAnsi="Arial" w:cs="Arial"/>
          <w:lang w:val="es-ES_tradnl" w:eastAsia="es-ES" w:bidi="es-ES"/>
        </w:rPr>
        <w:t xml:space="preserve"> conformidad con lo anterior, </w:t>
      </w:r>
      <w:bookmarkStart w:id="11" w:name="_Hlk77236098"/>
      <w:bookmarkStart w:id="12" w:name="_Hlk101791494"/>
      <w:r w:rsidRPr="0013014C">
        <w:rPr>
          <w:rFonts w:ascii="Arial" w:eastAsia="Arial" w:hAnsi="Arial" w:cs="Arial"/>
          <w:lang w:val="es-ES_tradnl"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1"/>
    </w:p>
    <w:p w14:paraId="38702EE9" w14:textId="77777777" w:rsidR="00134409" w:rsidRPr="008E3B3E" w:rsidRDefault="00134409" w:rsidP="00134409">
      <w:pPr>
        <w:spacing w:after="120" w:line="276" w:lineRule="auto"/>
        <w:ind w:firstLine="708"/>
        <w:jc w:val="both"/>
        <w:rPr>
          <w:rFonts w:ascii="Arial" w:eastAsia="Calibri" w:hAnsi="Arial" w:cs="Arial"/>
          <w:lang w:val="es-ES_tradnl"/>
        </w:rPr>
      </w:pPr>
      <w:bookmarkStart w:id="13" w:name="_Hlk101791535"/>
      <w:bookmarkEnd w:id="12"/>
      <w:r w:rsidRPr="008E3B3E">
        <w:rPr>
          <w:rFonts w:ascii="Arial" w:eastAsia="Calibri" w:hAnsi="Arial" w:cs="Arial"/>
          <w:lang w:val="es-ES_tradnl"/>
        </w:rPr>
        <w:t xml:space="preserve">Por un lado, el artículo 33 de la Ley 996 de 2005 prohíbe </w:t>
      </w:r>
      <w:r w:rsidRPr="008E3B3E">
        <w:rPr>
          <w:rFonts w:ascii="Arial" w:eastAsia="Calibri" w:hAnsi="Arial" w:cs="Arial"/>
          <w:bCs/>
          <w:lang w:val="es-ES_tradnl"/>
        </w:rPr>
        <w:t xml:space="preserve">«[…] </w:t>
      </w:r>
      <w:r w:rsidRPr="008E3B3E">
        <w:rPr>
          <w:rFonts w:ascii="Arial" w:eastAsia="Calibri" w:hAnsi="Arial" w:cs="Arial"/>
          <w:lang w:val="es-ES_tradnl"/>
        </w:rPr>
        <w:t>la contratación directa por parte de todos los entes del Estado</w:t>
      </w:r>
      <w:r w:rsidRPr="008E3B3E">
        <w:rPr>
          <w:rFonts w:ascii="Arial" w:eastAsia="Calibri" w:hAnsi="Arial" w:cs="Arial"/>
          <w:bCs/>
          <w:lang w:val="es-ES_tradnl"/>
        </w:rPr>
        <w:t>»</w:t>
      </w:r>
      <w:r w:rsidRPr="008E3B3E">
        <w:rPr>
          <w:rFonts w:ascii="Arial" w:eastAsia="Calibri" w:hAnsi="Arial" w:cs="Arial"/>
          <w:lang w:val="es-ES_tradnl"/>
        </w:rPr>
        <w:t xml:space="preserve"> durante los cuatro (4) meses anteriores a las elecciones presidenciales, salvo </w:t>
      </w:r>
      <w:r w:rsidRPr="008E3B3E">
        <w:rPr>
          <w:rFonts w:ascii="Arial" w:eastAsia="Calibri" w:hAnsi="Arial" w:cs="Arial"/>
          <w:bCs/>
          <w:lang w:val="es-ES_tradnl"/>
        </w:rPr>
        <w:t xml:space="preserve">«[…] </w:t>
      </w:r>
      <w:r w:rsidRPr="008E3B3E">
        <w:rPr>
          <w:rFonts w:ascii="Arial" w:eastAsia="Calibri" w:hAnsi="Arial" w:cs="Arial"/>
          <w:lang w:val="es-ES_tradn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E3B3E">
        <w:rPr>
          <w:rFonts w:ascii="Arial" w:eastAsia="Calibri" w:hAnsi="Arial" w:cs="Arial"/>
          <w:bCs/>
          <w:lang w:val="es-ES_tradnl"/>
        </w:rPr>
        <w:t>»</w:t>
      </w:r>
      <w:r w:rsidRPr="008E3B3E">
        <w:rPr>
          <w:rFonts w:ascii="Arial" w:eastAsia="Calibri" w:hAnsi="Arial" w:cs="Arial"/>
          <w:bCs/>
          <w:vertAlign w:val="superscript"/>
          <w:lang w:val="es-ES_tradnl"/>
        </w:rPr>
        <w:footnoteReference w:id="8"/>
      </w:r>
      <w:r w:rsidRPr="008E3B3E">
        <w:rPr>
          <w:rFonts w:ascii="Arial" w:eastAsia="Calibri" w:hAnsi="Arial" w:cs="Arial"/>
          <w:lang w:val="es-ES_tradnl"/>
        </w:rPr>
        <w:t>.</w:t>
      </w:r>
    </w:p>
    <w:p w14:paraId="25479576" w14:textId="77777777" w:rsidR="008E3B3E" w:rsidRPr="008E3B3E" w:rsidRDefault="00134409" w:rsidP="008E3B3E">
      <w:pPr>
        <w:widowControl w:val="0"/>
        <w:autoSpaceDE w:val="0"/>
        <w:autoSpaceDN w:val="0"/>
        <w:spacing w:after="120" w:line="276" w:lineRule="auto"/>
        <w:ind w:right="113" w:firstLine="709"/>
        <w:jc w:val="both"/>
        <w:rPr>
          <w:rFonts w:ascii="Arial" w:eastAsia="Arial" w:hAnsi="Arial" w:cs="Arial"/>
          <w:lang w:val="es-ES_tradnl" w:eastAsia="es-ES" w:bidi="es-ES"/>
        </w:rPr>
      </w:pPr>
      <w:r w:rsidRPr="008E3B3E">
        <w:rPr>
          <w:rFonts w:ascii="Arial" w:eastAsia="Calibri" w:hAnsi="Arial" w:cs="Arial"/>
          <w:lang w:val="es-ES_tradn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8E3B3E">
        <w:rPr>
          <w:rFonts w:ascii="Arial" w:eastAsia="Calibri" w:hAnsi="Arial" w:cs="Arial"/>
          <w:bCs/>
          <w:lang w:val="es-ES_tradnl"/>
        </w:rPr>
        <w:t xml:space="preserve">«[…] </w:t>
      </w:r>
      <w:r w:rsidRPr="008E3B3E">
        <w:rPr>
          <w:rFonts w:ascii="Arial" w:eastAsia="Calibri" w:hAnsi="Arial" w:cs="Arial"/>
          <w:lang w:val="es-ES_tradnl"/>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E3B3E">
        <w:rPr>
          <w:rFonts w:ascii="Arial" w:eastAsia="Calibri" w:hAnsi="Arial" w:cs="Arial"/>
          <w:bCs/>
          <w:sz w:val="19"/>
          <w:szCs w:val="19"/>
          <w:lang w:val="es-ES_tradnl"/>
        </w:rPr>
        <w:t>»</w:t>
      </w:r>
      <w:bookmarkEnd w:id="13"/>
      <w:r w:rsidRPr="008E3B3E">
        <w:rPr>
          <w:rFonts w:ascii="Arial" w:eastAsia="Calibri" w:hAnsi="Arial" w:cs="Arial"/>
          <w:bCs/>
          <w:sz w:val="19"/>
          <w:szCs w:val="19"/>
          <w:vertAlign w:val="superscript"/>
          <w:lang w:val="es-ES_tradnl"/>
        </w:rPr>
        <w:footnoteReference w:id="9"/>
      </w:r>
      <w:r w:rsidRPr="008E3B3E">
        <w:rPr>
          <w:rFonts w:ascii="Arial" w:eastAsia="Calibri" w:hAnsi="Arial" w:cs="Arial"/>
          <w:lang w:val="es-ES_tradnl"/>
        </w:rPr>
        <w:t>.</w:t>
      </w:r>
      <w:r w:rsidRPr="008E3B3E">
        <w:rPr>
          <w:rFonts w:ascii="Arial" w:eastAsia="Arial" w:hAnsi="Arial" w:cs="Arial"/>
          <w:lang w:val="es-ES_tradnl" w:eastAsia="es-ES" w:bidi="es-ES"/>
        </w:rPr>
        <w:t xml:space="preserve"> </w:t>
      </w:r>
    </w:p>
    <w:p w14:paraId="42C463A1" w14:textId="793FF283" w:rsidR="00134409" w:rsidRPr="008E3B3E" w:rsidRDefault="00134409" w:rsidP="008E3B3E">
      <w:pPr>
        <w:widowControl w:val="0"/>
        <w:autoSpaceDE w:val="0"/>
        <w:autoSpaceDN w:val="0"/>
        <w:spacing w:after="0" w:line="276" w:lineRule="auto"/>
        <w:ind w:right="113" w:firstLine="709"/>
        <w:contextualSpacing/>
        <w:jc w:val="both"/>
        <w:rPr>
          <w:rFonts w:ascii="Arial" w:eastAsia="Arial" w:hAnsi="Arial" w:cs="Arial"/>
          <w:lang w:val="es-ES_tradnl" w:eastAsia="es-ES" w:bidi="es-ES"/>
        </w:rPr>
      </w:pPr>
      <w:r w:rsidRPr="008E3B3E">
        <w:rPr>
          <w:rFonts w:ascii="Arial" w:eastAsia="Arial" w:hAnsi="Arial" w:cs="Arial"/>
          <w:lang w:val="es-ES_tradnl" w:eastAsia="es-ES" w:bidi="es-ES"/>
        </w:rPr>
        <w:lastRenderedPageBreak/>
        <w:t>La Sala de Consulta y Servicio Civil del Consejo de Estado ha aclarado la distinción en la aplicación de las prohibiciones de la Ley 996 de 2005, dependiendo del tipo de elección que se trate. Al respecto, considera que:</w:t>
      </w:r>
    </w:p>
    <w:p w14:paraId="032F002B" w14:textId="77777777" w:rsidR="00134409" w:rsidRPr="008E3B3E" w:rsidRDefault="00134409" w:rsidP="00134409">
      <w:pPr>
        <w:widowControl w:val="0"/>
        <w:autoSpaceDE w:val="0"/>
        <w:autoSpaceDN w:val="0"/>
        <w:spacing w:after="0" w:line="276" w:lineRule="auto"/>
        <w:ind w:left="805" w:right="812"/>
        <w:contextualSpacing/>
        <w:jc w:val="both"/>
        <w:rPr>
          <w:rFonts w:ascii="Arial" w:eastAsia="Arial" w:hAnsi="Arial" w:cs="Arial"/>
          <w:lang w:val="es-ES_tradnl" w:eastAsia="es-ES" w:bidi="es-ES"/>
        </w:rPr>
      </w:pPr>
    </w:p>
    <w:p w14:paraId="3D261B95" w14:textId="77777777" w:rsidR="00134409" w:rsidRPr="008E3B3E" w:rsidRDefault="00134409" w:rsidP="00344FA7">
      <w:pPr>
        <w:widowControl w:val="0"/>
        <w:autoSpaceDE w:val="0"/>
        <w:autoSpaceDN w:val="0"/>
        <w:spacing w:after="0" w:line="240" w:lineRule="auto"/>
        <w:ind w:left="709" w:right="709"/>
        <w:contextualSpacing/>
        <w:jc w:val="both"/>
        <w:rPr>
          <w:rFonts w:ascii="Arial" w:eastAsia="Arial" w:hAnsi="Arial" w:cs="Arial"/>
          <w:sz w:val="21"/>
          <w:szCs w:val="21"/>
          <w:lang w:val="es-ES_tradnl" w:eastAsia="es-ES" w:bidi="es-ES"/>
        </w:rPr>
      </w:pPr>
      <w:r w:rsidRPr="008E3B3E">
        <w:rPr>
          <w:rFonts w:ascii="Arial" w:eastAsia="Arial" w:hAnsi="Arial" w:cs="Arial"/>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6" w:name="_Hlk76109421"/>
      <w:r w:rsidRPr="008E3B3E">
        <w:rPr>
          <w:rFonts w:ascii="Arial" w:eastAsia="Arial" w:hAnsi="Arial" w:cs="Arial"/>
          <w:sz w:val="21"/>
          <w:szCs w:val="21"/>
          <w:lang w:val="es-ES_tradnl" w:eastAsia="es-ES" w:bidi="es-ES"/>
        </w:rPr>
        <w:t>se integran parcialmente</w:t>
      </w:r>
      <w:bookmarkEnd w:id="16"/>
      <w:r w:rsidRPr="008E3B3E">
        <w:rPr>
          <w:rFonts w:ascii="Arial" w:eastAsia="Arial" w:hAnsi="Arial" w:cs="Arial"/>
          <w:sz w:val="21"/>
          <w:szCs w:val="21"/>
          <w:lang w:val="es-ES_tradnl"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8E3B3E">
        <w:rPr>
          <w:rFonts w:ascii="Arial" w:eastAsia="Arial" w:hAnsi="Arial" w:cs="Arial"/>
          <w:bCs/>
          <w:sz w:val="21"/>
          <w:szCs w:val="21"/>
          <w:lang w:val="es-ES_tradnl" w:eastAsia="es-ES" w:bidi="es-ES"/>
        </w:rPr>
        <w:t>En cambio, para elecciones en general, excluyendo las correspondientes a Presidente de la República, a las autoridades territoriales allí mencionadas sólo se aplican las restricciones contenidas en el parágrafo del artículo 38</w:t>
      </w:r>
      <w:r w:rsidRPr="008E3B3E">
        <w:rPr>
          <w:rFonts w:ascii="Arial" w:eastAsia="Arial" w:hAnsi="Arial" w:cs="Arial"/>
          <w:sz w:val="21"/>
          <w:szCs w:val="21"/>
          <w:lang w:val="es-ES_tradnl" w:eastAsia="es-ES" w:bidi="es-ES"/>
        </w:rPr>
        <w:t>.</w:t>
      </w:r>
      <w:r w:rsidRPr="008E3B3E">
        <w:rPr>
          <w:rFonts w:ascii="Arial" w:eastAsia="Arial" w:hAnsi="Arial" w:cs="Arial"/>
          <w:sz w:val="21"/>
          <w:szCs w:val="21"/>
          <w:vertAlign w:val="superscript"/>
          <w:lang w:val="es-ES_tradnl" w:eastAsia="es-ES" w:bidi="es-ES"/>
        </w:rPr>
        <w:footnoteReference w:id="10"/>
      </w:r>
    </w:p>
    <w:p w14:paraId="79FCF22D" w14:textId="77777777" w:rsidR="00134409" w:rsidRPr="008A4C18" w:rsidRDefault="00134409" w:rsidP="00134409">
      <w:pPr>
        <w:widowControl w:val="0"/>
        <w:autoSpaceDE w:val="0"/>
        <w:autoSpaceDN w:val="0"/>
        <w:spacing w:after="0" w:line="276" w:lineRule="auto"/>
        <w:contextualSpacing/>
        <w:rPr>
          <w:rFonts w:ascii="Arial" w:eastAsia="Arial" w:hAnsi="Arial" w:cs="Arial"/>
          <w:lang w:val="es-ES_tradnl" w:eastAsia="es-ES" w:bidi="es-ES"/>
        </w:rPr>
      </w:pPr>
    </w:p>
    <w:p w14:paraId="77E3B163" w14:textId="7BAD62E1" w:rsidR="00134409" w:rsidRPr="008A4C18" w:rsidRDefault="00134409" w:rsidP="00134409">
      <w:pPr>
        <w:spacing w:after="120" w:line="276" w:lineRule="auto"/>
        <w:ind w:firstLine="709"/>
        <w:jc w:val="both"/>
        <w:rPr>
          <w:rFonts w:ascii="Arial" w:eastAsia="Arial" w:hAnsi="Arial" w:cs="Arial"/>
          <w:lang w:val="es-ES_tradnl" w:eastAsia="es-ES" w:bidi="es-ES"/>
        </w:rPr>
      </w:pPr>
      <w:r w:rsidRPr="008A4C18">
        <w:rPr>
          <w:rFonts w:ascii="Arial" w:eastAsia="Arial" w:hAnsi="Arial" w:cs="Arial"/>
          <w:lang w:val="es-ES_tradnl" w:eastAsia="es-ES" w:bidi="es-ES"/>
        </w:rPr>
        <w:t xml:space="preserve">De conformidad con lo anterior, </w:t>
      </w:r>
      <w:bookmarkStart w:id="17" w:name="_Hlk77236420"/>
      <w:bookmarkStart w:id="18" w:name="_Hlk78818435"/>
      <w:bookmarkStart w:id="19" w:name="_Hlk75780333"/>
      <w:r w:rsidRPr="008A4C18">
        <w:rPr>
          <w:rFonts w:ascii="Arial" w:eastAsia="Arial" w:hAnsi="Arial" w:cs="Arial"/>
          <w:lang w:val="es-ES_tradnl" w:eastAsia="es-ES" w:bidi="es-ES"/>
        </w:rPr>
        <w:t xml:space="preserve">la Ley 996 de 2005 establece dos (2) tipos de restricciones en materia de contratación, las cuales coinciden parcialmente. </w:t>
      </w:r>
      <w:r w:rsidRPr="008A4C18">
        <w:rPr>
          <w:rFonts w:ascii="Arial" w:eastAsia="Arial" w:hAnsi="Arial" w:cs="Arial"/>
          <w:i/>
          <w:iCs/>
          <w:lang w:val="es-ES_tradnl" w:eastAsia="es-ES" w:bidi="es-ES"/>
        </w:rPr>
        <w:t>En primer lugar</w:t>
      </w:r>
      <w:r w:rsidRPr="008A4C18">
        <w:rPr>
          <w:rFonts w:ascii="Arial" w:eastAsia="Arial" w:hAnsi="Arial" w:cs="Arial"/>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8A4C18">
        <w:rPr>
          <w:rFonts w:ascii="Arial" w:eastAsia="Arial" w:hAnsi="Arial" w:cs="Arial"/>
          <w:i/>
          <w:iCs/>
          <w:lang w:val="es-ES_tradnl" w:eastAsia="es-ES" w:bidi="es-ES"/>
        </w:rPr>
        <w:t>En segundo lugar</w:t>
      </w:r>
      <w:r w:rsidRPr="008A4C18">
        <w:rPr>
          <w:rFonts w:ascii="Arial" w:eastAsia="Arial" w:hAnsi="Arial" w:cs="Arial"/>
          <w:lang w:val="es-ES_tradnl" w:eastAsia="es-ES" w:bidi="es-ES"/>
        </w:rPr>
        <w:t xml:space="preserve">, también se encuentra la prohibición del parágrafo del artículo 38, el cual debe aplicarse respecto de cualquier tipo de contienda electoral y que prohíbe la celebración de convenios </w:t>
      </w:r>
      <w:r w:rsidRPr="008A4C18">
        <w:rPr>
          <w:rFonts w:ascii="Arial" w:eastAsia="Arial" w:hAnsi="Arial" w:cs="Arial"/>
          <w:lang w:val="es-ES_tradnl" w:eastAsia="es-ES" w:bidi="es-ES"/>
        </w:rPr>
        <w:lastRenderedPageBreak/>
        <w:t>interadministrativos que impliquen la ejecución de recursos públicos dentro de los cuatro (4) meses anteriores a la respectiva jornada de votaciones.</w:t>
      </w:r>
      <w:bookmarkEnd w:id="17"/>
    </w:p>
    <w:bookmarkEnd w:id="18"/>
    <w:p w14:paraId="75192BB5" w14:textId="77777777" w:rsidR="00134409" w:rsidRPr="001F4D02" w:rsidRDefault="00134409" w:rsidP="00134409">
      <w:pPr>
        <w:spacing w:after="120" w:line="276" w:lineRule="auto"/>
        <w:ind w:firstLine="709"/>
        <w:jc w:val="both"/>
        <w:rPr>
          <w:rFonts w:ascii="Arial" w:eastAsia="Arial" w:hAnsi="Arial" w:cs="Arial"/>
          <w:lang w:val="es-ES_tradnl" w:eastAsia="es-ES" w:bidi="es-ES"/>
        </w:rPr>
      </w:pPr>
      <w:r w:rsidRPr="001F4D02">
        <w:rPr>
          <w:rFonts w:ascii="Arial" w:eastAsia="Arial" w:hAnsi="Arial" w:cs="Arial"/>
          <w:lang w:val="es-ES_tradnl"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19"/>
    <w:p w14:paraId="61AEAB9F" w14:textId="77777777" w:rsidR="00134409" w:rsidRPr="006A3E57" w:rsidRDefault="00134409" w:rsidP="00134409">
      <w:pPr>
        <w:spacing w:after="0" w:line="276" w:lineRule="auto"/>
        <w:ind w:firstLine="709"/>
        <w:contextualSpacing/>
        <w:jc w:val="both"/>
        <w:rPr>
          <w:rFonts w:ascii="Arial" w:eastAsia="Arial" w:hAnsi="Arial" w:cs="Arial"/>
          <w:lang w:val="es-ES_tradnl" w:eastAsia="es-ES" w:bidi="es-ES"/>
        </w:rPr>
      </w:pPr>
      <w:r w:rsidRPr="006A3E57">
        <w:rPr>
          <w:rFonts w:ascii="Arial" w:eastAsia="Arial" w:hAnsi="Arial" w:cs="Arial"/>
          <w:lang w:val="es-ES_tradnl"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04FAF01F" w14:textId="77777777" w:rsidR="00134409" w:rsidRPr="00947A71" w:rsidRDefault="00134409" w:rsidP="00134409">
      <w:pPr>
        <w:spacing w:after="0" w:line="276" w:lineRule="auto"/>
        <w:ind w:firstLine="709"/>
        <w:contextualSpacing/>
        <w:jc w:val="both"/>
        <w:rPr>
          <w:rFonts w:ascii="Arial" w:eastAsia="Arial" w:hAnsi="Arial" w:cs="Arial"/>
          <w:lang w:val="es-ES_tradnl" w:eastAsia="es-ES" w:bidi="es-ES"/>
        </w:rPr>
      </w:pPr>
    </w:p>
    <w:p w14:paraId="29DA8452" w14:textId="77777777" w:rsidR="00134409" w:rsidRPr="00947A71" w:rsidRDefault="00134409" w:rsidP="00134409">
      <w:pPr>
        <w:spacing w:after="0" w:line="276" w:lineRule="auto"/>
        <w:contextualSpacing/>
        <w:jc w:val="both"/>
        <w:rPr>
          <w:rFonts w:ascii="Arial" w:hAnsi="Arial" w:cs="Arial"/>
          <w:b/>
          <w:lang w:val="es-ES_tradnl" w:eastAsia="es-CO"/>
        </w:rPr>
      </w:pPr>
      <w:r w:rsidRPr="00947A71">
        <w:rPr>
          <w:rFonts w:ascii="Arial" w:hAnsi="Arial" w:cs="Arial"/>
          <w:b/>
          <w:lang w:val="es-ES_tradnl" w:eastAsia="es-CO"/>
        </w:rPr>
        <w:t xml:space="preserve">2.2. </w:t>
      </w:r>
      <w:r w:rsidRPr="00947A71">
        <w:rPr>
          <w:rFonts w:ascii="Arial" w:hAnsi="Arial" w:cs="Arial"/>
          <w:b/>
          <w:bCs/>
          <w:lang w:val="es-ES_tradnl" w:eastAsia="es-CO"/>
        </w:rPr>
        <w:t>Restricciones en elecciones presidenciales: prohibición del artículo 33 de la Ley 996 de 2005</w:t>
      </w:r>
    </w:p>
    <w:p w14:paraId="3F12F3F6" w14:textId="77777777" w:rsidR="00134409" w:rsidRPr="00947A71" w:rsidRDefault="00134409" w:rsidP="00134409">
      <w:pPr>
        <w:spacing w:after="0" w:line="276" w:lineRule="auto"/>
        <w:contextualSpacing/>
        <w:jc w:val="both"/>
        <w:rPr>
          <w:rFonts w:ascii="Arial" w:hAnsi="Arial" w:cs="Arial"/>
          <w:bCs/>
          <w:lang w:val="es-ES_tradnl" w:eastAsia="x-none"/>
        </w:rPr>
      </w:pPr>
    </w:p>
    <w:p w14:paraId="55260AB8" w14:textId="77777777" w:rsidR="00134409" w:rsidRPr="00947A71" w:rsidRDefault="00134409" w:rsidP="00134409">
      <w:pPr>
        <w:spacing w:after="0" w:line="276" w:lineRule="auto"/>
        <w:contextualSpacing/>
        <w:jc w:val="both"/>
        <w:rPr>
          <w:rFonts w:ascii="Arial" w:hAnsi="Arial" w:cs="Arial"/>
          <w:bCs/>
          <w:lang w:val="es-ES_tradnl" w:eastAsia="es-CO"/>
        </w:rPr>
      </w:pPr>
      <w:r w:rsidRPr="00947A71">
        <w:rPr>
          <w:rFonts w:ascii="Arial" w:hAnsi="Arial" w:cs="Arial"/>
          <w:bCs/>
          <w:lang w:val="es-ES_tradnl" w:eastAsia="x-none"/>
        </w:rPr>
        <w:t xml:space="preserve">El ámbito material de la prohibición contenida en el artículo 33 de la ley 996 de 2005 está delimitado por la expresión </w:t>
      </w:r>
      <w:r w:rsidRPr="00947A71">
        <w:rPr>
          <w:rFonts w:ascii="Arial" w:eastAsia="Calibri" w:hAnsi="Arial" w:cs="Arial"/>
          <w:bCs/>
          <w:sz w:val="20"/>
          <w:szCs w:val="20"/>
          <w:lang w:val="es-ES_tradnl"/>
        </w:rPr>
        <w:t>«</w:t>
      </w:r>
      <w:r w:rsidRPr="00947A71">
        <w:rPr>
          <w:rFonts w:ascii="Arial" w:hAnsi="Arial" w:cs="Arial"/>
          <w:bCs/>
          <w:lang w:val="es-ES_tradnl" w:eastAsia="x-none"/>
        </w:rPr>
        <w:t>queda prohibida la contratación directa</w:t>
      </w:r>
      <w:r w:rsidRPr="00947A71">
        <w:rPr>
          <w:rFonts w:ascii="Arial" w:hAnsi="Arial" w:cs="Arial"/>
          <w:sz w:val="20"/>
          <w:szCs w:val="20"/>
          <w:lang w:val="es-ES_tradnl"/>
        </w:rPr>
        <w:t>»</w:t>
      </w:r>
      <w:r w:rsidRPr="00947A71">
        <w:rPr>
          <w:rFonts w:ascii="Arial" w:hAnsi="Arial" w:cs="Arial"/>
          <w:bCs/>
          <w:lang w:val="es-ES_tradnl" w:eastAsia="x-none"/>
        </w:rPr>
        <w:t xml:space="preserve">. </w:t>
      </w:r>
      <w:r w:rsidRPr="00947A71">
        <w:rPr>
          <w:rFonts w:ascii="Arial" w:hAnsi="Arial" w:cs="Arial"/>
          <w:lang w:val="es-ES_tradnl" w:eastAsia="es-CO"/>
        </w:rPr>
        <w:t xml:space="preserve"> A propósito de esta restricción de la Ley de Garantías Electorales, la Sala de Consulta y Servicio Civil del Consejo de Estado ha considerado que:</w:t>
      </w:r>
    </w:p>
    <w:p w14:paraId="2F761354" w14:textId="77777777" w:rsidR="00134409" w:rsidRPr="00344FA7" w:rsidRDefault="00134409" w:rsidP="00344FA7">
      <w:pPr>
        <w:spacing w:after="0" w:line="240" w:lineRule="auto"/>
        <w:ind w:left="708" w:right="709"/>
        <w:contextualSpacing/>
        <w:jc w:val="both"/>
        <w:rPr>
          <w:rFonts w:ascii="Arial" w:hAnsi="Arial" w:cs="Arial"/>
          <w:sz w:val="21"/>
          <w:szCs w:val="21"/>
          <w:lang w:val="es-ES_tradnl"/>
        </w:rPr>
      </w:pPr>
    </w:p>
    <w:p w14:paraId="5FD0593A" w14:textId="77777777" w:rsidR="00134409" w:rsidRPr="00344FA7" w:rsidRDefault="00134409" w:rsidP="00344FA7">
      <w:pPr>
        <w:spacing w:after="0" w:line="240" w:lineRule="auto"/>
        <w:ind w:left="709" w:right="709"/>
        <w:contextualSpacing/>
        <w:jc w:val="both"/>
        <w:rPr>
          <w:rFonts w:ascii="Arial" w:hAnsi="Arial" w:cs="Arial"/>
          <w:sz w:val="21"/>
          <w:szCs w:val="21"/>
          <w:lang w:val="es-ES_tradnl"/>
        </w:rPr>
      </w:pPr>
      <w:r w:rsidRPr="00344FA7">
        <w:rPr>
          <w:rFonts w:ascii="Arial" w:hAnsi="Arial" w:cs="Arial"/>
          <w:sz w:val="21"/>
          <w:szCs w:val="21"/>
          <w:lang w:val="es-ES_tradnl"/>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344FA7">
        <w:rPr>
          <w:rStyle w:val="Refdenotaalpie"/>
          <w:rFonts w:ascii="Arial" w:hAnsi="Arial" w:cs="Arial"/>
          <w:sz w:val="21"/>
          <w:szCs w:val="21"/>
        </w:rPr>
        <w:footnoteReference w:id="11"/>
      </w:r>
      <w:r w:rsidRPr="00344FA7">
        <w:rPr>
          <w:rFonts w:ascii="Arial" w:hAnsi="Arial" w:cs="Arial"/>
          <w:sz w:val="21"/>
          <w:szCs w:val="21"/>
          <w:lang w:val="es-ES_tradnl"/>
        </w:rPr>
        <w:t>.</w:t>
      </w:r>
    </w:p>
    <w:p w14:paraId="56FBEC7F" w14:textId="77777777" w:rsidR="00134409" w:rsidRPr="00344FA7" w:rsidRDefault="00134409" w:rsidP="00344FA7">
      <w:pPr>
        <w:spacing w:after="0" w:line="240" w:lineRule="auto"/>
        <w:ind w:left="709" w:right="709"/>
        <w:contextualSpacing/>
        <w:jc w:val="both"/>
        <w:rPr>
          <w:rFonts w:ascii="Arial" w:hAnsi="Arial" w:cs="Arial"/>
          <w:sz w:val="21"/>
          <w:szCs w:val="21"/>
          <w:lang w:val="es-ES_tradnl"/>
        </w:rPr>
      </w:pPr>
    </w:p>
    <w:p w14:paraId="19ACA998" w14:textId="77777777" w:rsidR="00134409" w:rsidRPr="00344FA7" w:rsidRDefault="00134409" w:rsidP="00344FA7">
      <w:pPr>
        <w:spacing w:after="0" w:line="240" w:lineRule="auto"/>
        <w:ind w:left="709" w:right="709"/>
        <w:contextualSpacing/>
        <w:jc w:val="both"/>
        <w:rPr>
          <w:rFonts w:ascii="Arial" w:hAnsi="Arial" w:cs="Arial"/>
          <w:sz w:val="21"/>
          <w:szCs w:val="21"/>
          <w:lang w:val="es-ES_tradnl"/>
        </w:rPr>
      </w:pPr>
      <w:r w:rsidRPr="00344FA7">
        <w:rPr>
          <w:rFonts w:ascii="Arial" w:hAnsi="Arial" w:cs="Arial"/>
          <w:sz w:val="21"/>
          <w:szCs w:val="21"/>
          <w:lang w:val="es-ES_tradnl"/>
        </w:rPr>
        <w:t xml:space="preserve">Esta Sala ha entendido </w:t>
      </w:r>
      <w:proofErr w:type="gramStart"/>
      <w:r w:rsidRPr="00344FA7">
        <w:rPr>
          <w:rFonts w:ascii="Arial" w:hAnsi="Arial" w:cs="Arial"/>
          <w:sz w:val="21"/>
          <w:szCs w:val="21"/>
          <w:lang w:val="es-ES_tradnl"/>
        </w:rPr>
        <w:t>que</w:t>
      </w:r>
      <w:proofErr w:type="gramEnd"/>
      <w:r w:rsidRPr="00344FA7">
        <w:rPr>
          <w:rFonts w:ascii="Arial" w:hAnsi="Arial" w:cs="Arial"/>
          <w:sz w:val="21"/>
          <w:szCs w:val="21"/>
          <w:lang w:val="es-ES_tradnl"/>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344FA7">
        <w:rPr>
          <w:rStyle w:val="Refdenotaalpie"/>
          <w:rFonts w:ascii="Arial" w:hAnsi="Arial" w:cs="Arial"/>
          <w:sz w:val="21"/>
          <w:szCs w:val="21"/>
        </w:rPr>
        <w:footnoteReference w:id="12"/>
      </w:r>
      <w:r w:rsidRPr="00344FA7">
        <w:rPr>
          <w:rFonts w:ascii="Arial" w:hAnsi="Arial" w:cs="Arial"/>
          <w:sz w:val="21"/>
          <w:szCs w:val="21"/>
          <w:vertAlign w:val="superscript"/>
          <w:lang w:val="es-ES_tradnl"/>
        </w:rPr>
        <w:t>.</w:t>
      </w:r>
      <w:r w:rsidRPr="00344FA7">
        <w:rPr>
          <w:rFonts w:ascii="Arial" w:hAnsi="Arial" w:cs="Arial"/>
          <w:sz w:val="21"/>
          <w:szCs w:val="21"/>
          <w:lang w:val="es-ES_tradnl"/>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344FA7">
        <w:rPr>
          <w:rStyle w:val="Refdenotaalpie"/>
          <w:rFonts w:ascii="Arial" w:hAnsi="Arial" w:cs="Arial"/>
          <w:sz w:val="21"/>
          <w:szCs w:val="21"/>
        </w:rPr>
        <w:footnoteReference w:id="13"/>
      </w:r>
      <w:r w:rsidRPr="00344FA7">
        <w:rPr>
          <w:rFonts w:ascii="Arial" w:hAnsi="Arial" w:cs="Arial"/>
          <w:sz w:val="21"/>
          <w:szCs w:val="21"/>
          <w:lang w:val="es-ES_tradnl"/>
        </w:rPr>
        <w:t xml:space="preserve"> .</w:t>
      </w:r>
    </w:p>
    <w:p w14:paraId="0FF2DD73" w14:textId="77777777" w:rsidR="00134409" w:rsidRPr="00E55E19" w:rsidRDefault="00134409" w:rsidP="00344FA7">
      <w:pPr>
        <w:shd w:val="clear" w:color="auto" w:fill="FFFFFF"/>
        <w:spacing w:after="0" w:line="240" w:lineRule="auto"/>
        <w:ind w:firstLine="709"/>
        <w:contextualSpacing/>
        <w:jc w:val="both"/>
        <w:rPr>
          <w:rFonts w:ascii="Arial" w:hAnsi="Arial" w:cs="Arial"/>
          <w:sz w:val="21"/>
          <w:szCs w:val="21"/>
          <w:lang w:val="es-ES_tradnl" w:eastAsia="x-none"/>
        </w:rPr>
      </w:pPr>
    </w:p>
    <w:p w14:paraId="73264536" w14:textId="77777777" w:rsidR="00134409" w:rsidRPr="00E55E19" w:rsidRDefault="00134409" w:rsidP="00134409">
      <w:pPr>
        <w:spacing w:after="120" w:line="276" w:lineRule="auto"/>
        <w:ind w:firstLine="709"/>
        <w:jc w:val="both"/>
        <w:rPr>
          <w:rFonts w:ascii="Arial" w:hAnsi="Arial" w:cs="Arial"/>
          <w:bCs/>
          <w:lang w:val="es-ES_tradnl" w:eastAsia="x-none"/>
        </w:rPr>
      </w:pPr>
      <w:r w:rsidRPr="00E55E19">
        <w:rPr>
          <w:rFonts w:ascii="Arial" w:hAnsi="Arial" w:cs="Arial"/>
          <w:lang w:val="es-ES_tradnl" w:eastAsia="x-none"/>
        </w:rPr>
        <w:t xml:space="preserve">De acuerdo con el citado concepto, la prohibición del artículo 33 de la Ley de Garantías Electorales se refiere a </w:t>
      </w:r>
      <w:r w:rsidRPr="00E55E19">
        <w:rPr>
          <w:rFonts w:ascii="Arial" w:hAnsi="Arial" w:cs="Arial"/>
          <w:sz w:val="19"/>
          <w:szCs w:val="19"/>
          <w:lang w:val="es-ES_tradnl" w:eastAsia="en-GB"/>
        </w:rPr>
        <w:t>«</w:t>
      </w:r>
      <w:r w:rsidRPr="00E55E19">
        <w:rPr>
          <w:rFonts w:ascii="Arial" w:hAnsi="Arial" w:cs="Arial"/>
          <w:lang w:val="es-ES_tradnl" w:eastAsia="x-none"/>
        </w:rPr>
        <w:t>cualquier sistema que no implique convocatoria pública y posibilidad de pluralidad de oferentes</w:t>
      </w:r>
      <w:r w:rsidRPr="00E55E19">
        <w:rPr>
          <w:rFonts w:ascii="Arial" w:hAnsi="Arial" w:cs="Arial"/>
          <w:lang w:val="es-ES_tradnl" w:eastAsia="en-GB"/>
        </w:rPr>
        <w:t>»</w:t>
      </w:r>
      <w:r w:rsidRPr="00E55E19">
        <w:rPr>
          <w:rFonts w:ascii="Arial" w:hAnsi="Arial" w:cs="Arial"/>
          <w:lang w:val="es-ES_tradnl"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w:t>
      </w:r>
      <w:r w:rsidRPr="00E55E19">
        <w:rPr>
          <w:rStyle w:val="Refdenotaalpie"/>
          <w:rFonts w:ascii="Arial" w:hAnsi="Arial" w:cs="Arial"/>
        </w:rPr>
        <w:footnoteReference w:id="14"/>
      </w:r>
      <w:r w:rsidRPr="00E55E19">
        <w:rPr>
          <w:rFonts w:ascii="Arial" w:hAnsi="Arial" w:cs="Arial"/>
          <w:lang w:val="es-ES_tradnl" w:eastAsia="x-none"/>
        </w:rPr>
        <w:t xml:space="preserve"> y sistematizó las causales de contratación directa</w:t>
      </w:r>
      <w:r w:rsidRPr="00E55E19">
        <w:rPr>
          <w:rStyle w:val="Refdenotaalpie"/>
          <w:rFonts w:ascii="Arial" w:hAnsi="Arial" w:cs="Arial"/>
        </w:rPr>
        <w:footnoteReference w:id="15"/>
      </w:r>
      <w:r w:rsidRPr="00E55E19">
        <w:rPr>
          <w:rFonts w:ascii="Arial" w:hAnsi="Arial" w:cs="Arial"/>
          <w:lang w:val="es-ES_tradnl" w:eastAsia="x-none"/>
        </w:rPr>
        <w:t xml:space="preserve">, </w:t>
      </w:r>
      <w:r w:rsidRPr="00E55E19">
        <w:rPr>
          <w:rFonts w:ascii="Arial" w:hAnsi="Arial" w:cs="Arial"/>
          <w:lang w:eastAsia="x-none"/>
        </w:rPr>
        <w:t>además lo es con la posterior creación de la modalidad de mínima cuantía establecida actualmente en el numeral 5 del artículo 2 de la Ley 1150 de 2007, de acuerdo con las modificaciones realizadas por leyes posteriores.</w:t>
      </w:r>
    </w:p>
    <w:p w14:paraId="1E3A30EA" w14:textId="77777777" w:rsidR="00134409" w:rsidRPr="00E55E19" w:rsidRDefault="00134409" w:rsidP="00134409">
      <w:pPr>
        <w:spacing w:after="120" w:line="276" w:lineRule="auto"/>
        <w:ind w:firstLine="709"/>
        <w:jc w:val="both"/>
        <w:rPr>
          <w:rFonts w:ascii="Arial" w:hAnsi="Arial" w:cs="Arial"/>
          <w:lang w:val="es-ES_tradnl" w:eastAsia="x-none"/>
        </w:rPr>
      </w:pPr>
      <w:r w:rsidRPr="00E55E19">
        <w:rPr>
          <w:rFonts w:ascii="Arial" w:hAnsi="Arial" w:cs="Arial"/>
          <w:lang w:val="es-ES_tradnl" w:eastAsia="x-none"/>
        </w:rPr>
        <w:t xml:space="preserve">De esta forma, con fundamento en la evolución de la normativa sobre la contratación pública, se ha depurado la noción de </w:t>
      </w:r>
      <w:r w:rsidRPr="00E55E19">
        <w:rPr>
          <w:rFonts w:ascii="Arial" w:hAnsi="Arial" w:cs="Arial"/>
          <w:sz w:val="19"/>
          <w:szCs w:val="19"/>
          <w:lang w:val="es-ES_tradnl" w:eastAsia="en-GB"/>
        </w:rPr>
        <w:t>«</w:t>
      </w:r>
      <w:r w:rsidRPr="00E55E19">
        <w:rPr>
          <w:rFonts w:ascii="Arial" w:hAnsi="Arial" w:cs="Arial"/>
          <w:lang w:val="es-ES_tradnl" w:eastAsia="x-none"/>
        </w:rPr>
        <w:t>contratación directa</w:t>
      </w:r>
      <w:r w:rsidRPr="00E55E19">
        <w:rPr>
          <w:rFonts w:ascii="Arial" w:hAnsi="Arial" w:cs="Arial"/>
          <w:lang w:val="es-ES_tradnl" w:eastAsia="en-GB"/>
        </w:rPr>
        <w:t>»</w:t>
      </w:r>
      <w:r w:rsidRPr="00E55E19">
        <w:rPr>
          <w:rFonts w:ascii="Arial" w:hAnsi="Arial" w:cs="Arial"/>
          <w:lang w:val="es-ES_tradnl" w:eastAsia="x-none"/>
        </w:rPr>
        <w:t xml:space="preserve">,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w:t>
      </w:r>
      <w:r w:rsidRPr="00E55E19">
        <w:rPr>
          <w:rFonts w:ascii="Arial" w:hAnsi="Arial" w:cs="Arial"/>
          <w:lang w:val="es-ES_tradnl" w:eastAsia="x-none"/>
        </w:rPr>
        <w:lastRenderedPageBreak/>
        <w:t>especiales e, incluso, en el derecho privado</w:t>
      </w:r>
      <w:r w:rsidRPr="00E55E19">
        <w:rPr>
          <w:rStyle w:val="Refdenotaalpie"/>
          <w:rFonts w:ascii="Arial" w:hAnsi="Arial" w:cs="Arial"/>
        </w:rPr>
        <w:footnoteReference w:id="16"/>
      </w:r>
      <w:r w:rsidRPr="00E55E19">
        <w:rPr>
          <w:rFonts w:ascii="Arial" w:hAnsi="Arial" w:cs="Arial"/>
          <w:lang w:val="es-ES_tradnl" w:eastAsia="x-none"/>
        </w:rPr>
        <w:t>, han establecido sistemas de contratación que implican convocatoria pública y participación de varios oferentes</w:t>
      </w:r>
      <w:r w:rsidRPr="00E55E19">
        <w:rPr>
          <w:rFonts w:ascii="Arial" w:hAnsi="Arial" w:cs="Arial"/>
          <w:lang w:val="es-ES_tradnl" w:eastAsia="en-GB"/>
        </w:rPr>
        <w:t>»</w:t>
      </w:r>
      <w:r w:rsidRPr="00E55E19">
        <w:rPr>
          <w:rFonts w:ascii="Arial" w:hAnsi="Arial" w:cs="Arial"/>
          <w:lang w:val="es-ES_tradnl" w:eastAsia="x-none"/>
        </w:rPr>
        <w:t xml:space="preserve">. </w:t>
      </w:r>
    </w:p>
    <w:p w14:paraId="39734412" w14:textId="77777777" w:rsidR="00134409" w:rsidRPr="00096EFF" w:rsidRDefault="00134409" w:rsidP="00134409">
      <w:pPr>
        <w:spacing w:after="120" w:line="276" w:lineRule="auto"/>
        <w:ind w:firstLine="709"/>
        <w:jc w:val="both"/>
        <w:rPr>
          <w:rFonts w:ascii="Arial" w:hAnsi="Arial" w:cs="Arial"/>
          <w:bCs/>
          <w:lang w:val="es-ES_tradnl" w:eastAsia="es-CO"/>
        </w:rPr>
      </w:pPr>
      <w:r w:rsidRPr="00096EFF">
        <w:rPr>
          <w:rFonts w:ascii="Arial" w:hAnsi="Arial" w:cs="Arial"/>
          <w:bCs/>
          <w:lang w:val="es-ES_tradnl" w:eastAsia="x-none"/>
        </w:rPr>
        <w:t>E</w:t>
      </w:r>
      <w:r w:rsidRPr="00096EFF">
        <w:rPr>
          <w:rFonts w:ascii="Arial" w:hAnsi="Arial" w:cs="Arial"/>
          <w:lang w:val="es-ES_tradnl"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096EFF">
        <w:rPr>
          <w:rStyle w:val="Refdenotaalpie"/>
          <w:rFonts w:ascii="Arial" w:hAnsi="Arial" w:cs="Arial"/>
        </w:rPr>
        <w:footnoteReference w:id="17"/>
      </w:r>
      <w:r w:rsidRPr="00096EFF">
        <w:rPr>
          <w:rFonts w:ascii="Arial" w:hAnsi="Arial" w:cs="Arial"/>
          <w:lang w:val="es-ES_tradnl" w:eastAsia="x-none"/>
        </w:rPr>
        <w:t xml:space="preserve">. </w:t>
      </w:r>
    </w:p>
    <w:p w14:paraId="16072FD2" w14:textId="3814648E" w:rsidR="00134409" w:rsidRPr="00AA036C" w:rsidRDefault="00134409" w:rsidP="00134409">
      <w:pPr>
        <w:spacing w:after="120" w:line="276" w:lineRule="auto"/>
        <w:ind w:firstLine="709"/>
        <w:jc w:val="both"/>
        <w:rPr>
          <w:rFonts w:ascii="Arial" w:hAnsi="Arial" w:cs="Arial"/>
          <w:bCs/>
          <w:lang w:val="es-ES_tradnl" w:eastAsia="es-CO"/>
        </w:rPr>
      </w:pPr>
      <w:r w:rsidRPr="00AA036C">
        <w:rPr>
          <w:rFonts w:ascii="Arial" w:hAnsi="Arial" w:cs="Arial"/>
          <w:bCs/>
          <w:lang w:val="es-ES_tradnl"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sidR="007F0882" w:rsidRPr="00AA036C">
        <w:rPr>
          <w:rFonts w:ascii="Arial" w:hAnsi="Arial" w:cs="Arial"/>
          <w:bCs/>
          <w:lang w:val="es-ES_tradnl" w:eastAsia="es-CO"/>
        </w:rPr>
        <w:t xml:space="preserve">General </w:t>
      </w:r>
      <w:r w:rsidRPr="00AA036C">
        <w:rPr>
          <w:rFonts w:ascii="Arial" w:hAnsi="Arial" w:cs="Arial"/>
          <w:bCs/>
          <w:lang w:val="es-ES_tradnl" w:eastAsia="es-CO"/>
        </w:rPr>
        <w:t>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2CC2577E" w14:textId="77777777" w:rsidR="00134409" w:rsidRPr="00AA036C" w:rsidRDefault="00134409" w:rsidP="00134409">
      <w:pPr>
        <w:spacing w:after="120" w:line="276" w:lineRule="auto"/>
        <w:ind w:firstLine="709"/>
        <w:jc w:val="both"/>
        <w:rPr>
          <w:rFonts w:ascii="Arial" w:hAnsi="Arial" w:cs="Arial"/>
          <w:bCs/>
          <w:lang w:val="es-ES_tradnl" w:eastAsia="x-none"/>
        </w:rPr>
      </w:pPr>
      <w:r w:rsidRPr="00AA036C">
        <w:rPr>
          <w:rFonts w:ascii="Arial" w:hAnsi="Arial" w:cs="Arial"/>
          <w:bCs/>
          <w:lang w:val="es-ES_tradnl" w:eastAsia="x-none"/>
        </w:rPr>
        <w:t xml:space="preserve"> </w:t>
      </w:r>
      <w:bookmarkStart w:id="20" w:name="_Hlk101791623"/>
      <w:r w:rsidRPr="00AA036C">
        <w:rPr>
          <w:rFonts w:ascii="Arial" w:hAnsi="Arial" w:cs="Arial"/>
          <w:bCs/>
          <w:lang w:val="es-ES_tradnl" w:eastAsia="x-none"/>
        </w:rPr>
        <w:t xml:space="preserve">Así las cosas, ha de entenderse que, </w:t>
      </w:r>
      <w:bookmarkStart w:id="21" w:name="_Hlk100592654"/>
      <w:r w:rsidRPr="00AA036C">
        <w:rPr>
          <w:rFonts w:ascii="Arial" w:hAnsi="Arial" w:cs="Arial"/>
          <w:bCs/>
          <w:lang w:val="es-ES_tradnl" w:eastAsia="x-none"/>
        </w:rPr>
        <w:t>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bookmarkEnd w:id="20"/>
      <w:bookmarkEnd w:id="21"/>
      <w:r w:rsidRPr="00AA036C">
        <w:rPr>
          <w:rStyle w:val="Refdenotaalpie"/>
          <w:rFonts w:ascii="Arial" w:hAnsi="Arial" w:cs="Arial"/>
        </w:rPr>
        <w:footnoteReference w:id="18"/>
      </w:r>
      <w:r w:rsidRPr="00AA036C">
        <w:rPr>
          <w:rFonts w:ascii="Arial" w:hAnsi="Arial" w:cs="Arial"/>
          <w:bCs/>
          <w:lang w:val="es-ES_tradnl" w:eastAsia="x-none"/>
        </w:rPr>
        <w:t>.</w:t>
      </w:r>
      <w:r w:rsidRPr="00AA036C">
        <w:rPr>
          <w:rFonts w:ascii="Arial" w:hAnsi="Arial" w:cs="Arial"/>
          <w:vertAlign w:val="superscript"/>
          <w:lang w:val="es-ES_tradnl" w:eastAsia="x-none"/>
        </w:rPr>
        <w:t xml:space="preserve"> </w:t>
      </w:r>
    </w:p>
    <w:p w14:paraId="36A34C33" w14:textId="41D4E0C0" w:rsidR="00134409" w:rsidRPr="00BF3CAF" w:rsidRDefault="00134409" w:rsidP="00134409">
      <w:pPr>
        <w:spacing w:after="120" w:line="276" w:lineRule="auto"/>
        <w:ind w:firstLine="709"/>
        <w:jc w:val="both"/>
        <w:rPr>
          <w:rFonts w:ascii="Arial" w:hAnsi="Arial" w:cs="Arial"/>
          <w:lang w:val="es-ES_tradnl" w:eastAsia="x-none"/>
        </w:rPr>
      </w:pPr>
      <w:r w:rsidRPr="00BF3CAF">
        <w:rPr>
          <w:rFonts w:ascii="Arial" w:hAnsi="Arial" w:cs="Arial"/>
          <w:bCs/>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BF3CAF">
        <w:rPr>
          <w:rFonts w:ascii="Arial" w:hAnsi="Arial" w:cs="Arial"/>
          <w:lang w:val="es-ES_tradnl" w:eastAsia="x-none"/>
        </w:rPr>
        <w:t xml:space="preserve"> Por tanto, no son materia de la prohibición las demás modalidades de selección previstas en la Ley 1150 de 2007, es decir, la licitación pública, el concurso de méritos, la selección abreviada y la mínima cuantía, razón por la cual </w:t>
      </w:r>
      <w:r w:rsidRPr="00BF3CAF">
        <w:rPr>
          <w:rFonts w:ascii="Arial" w:hAnsi="Arial" w:cs="Arial"/>
          <w:lang w:val="es-ES_tradnl" w:eastAsia="x-none"/>
        </w:rPr>
        <w:lastRenderedPageBreak/>
        <w:t>en ese período preelectoral de que trata la disposición las entidades públicas pueden seguir contratando bajo estos procedimientos.</w:t>
      </w:r>
    </w:p>
    <w:p w14:paraId="31AF08AF" w14:textId="77777777" w:rsidR="00134409" w:rsidRPr="00BF3CAF" w:rsidRDefault="00134409" w:rsidP="00134409">
      <w:pPr>
        <w:spacing w:after="120" w:line="276" w:lineRule="auto"/>
        <w:ind w:firstLine="709"/>
        <w:jc w:val="both"/>
        <w:rPr>
          <w:rFonts w:ascii="Arial" w:hAnsi="Arial" w:cs="Arial"/>
          <w:bCs/>
          <w:lang w:val="es-ES_tradnl" w:eastAsia="x-none"/>
        </w:rPr>
      </w:pPr>
      <w:r w:rsidRPr="00BF3CAF">
        <w:rPr>
          <w:rFonts w:ascii="Arial" w:hAnsi="Arial" w:cs="Arial"/>
          <w:bCs/>
          <w:lang w:val="es-ES_tradnl" w:eastAsia="es-CO"/>
        </w:rPr>
        <w:t xml:space="preserve">Como en otras oportunidades lo ha manifestado esta Agencia, las prórrogas, modificaciones o adiciones de los contratos suscritos antes de la </w:t>
      </w:r>
      <w:proofErr w:type="gramStart"/>
      <w:r w:rsidRPr="00BF3CAF">
        <w:rPr>
          <w:rFonts w:ascii="Arial" w:hAnsi="Arial" w:cs="Arial"/>
          <w:bCs/>
          <w:lang w:val="es-ES_tradnl" w:eastAsia="es-CO"/>
        </w:rPr>
        <w:t>entrada en vigencia</w:t>
      </w:r>
      <w:proofErr w:type="gramEnd"/>
      <w:r w:rsidRPr="00BF3CAF">
        <w:rPr>
          <w:rFonts w:ascii="Arial" w:hAnsi="Arial" w:cs="Arial"/>
          <w:bCs/>
          <w:lang w:val="es-ES_tradnl" w:eastAsia="es-CO"/>
        </w:rPr>
        <w:t xml:space="preserve"> de las prohibiciones anotadas, así como la cesión de los mismos, pueden tener lugar en el período de aplicación de la Ley de Garantías</w:t>
      </w:r>
      <w:r w:rsidRPr="00BF3CAF">
        <w:rPr>
          <w:rStyle w:val="Refdenotaalpie"/>
          <w:rFonts w:ascii="Arial" w:hAnsi="Arial" w:cs="Arial"/>
        </w:rPr>
        <w:footnoteReference w:id="19"/>
      </w:r>
      <w:r w:rsidRPr="00BF3CAF">
        <w:rPr>
          <w:rFonts w:ascii="Arial" w:hAnsi="Arial" w:cs="Arial"/>
          <w:bCs/>
          <w:lang w:val="es-ES_tradnl" w:eastAsia="es-CO"/>
        </w:rPr>
        <w:t>. Esto sin que ello haga nugatoria la restricción de la contratación directa y siempre que cumplan los principios de planeación, transparencia y responsabilidad.</w:t>
      </w:r>
    </w:p>
    <w:p w14:paraId="22ECF858" w14:textId="77777777" w:rsidR="00134409" w:rsidRPr="00BF3CAF" w:rsidRDefault="00134409" w:rsidP="00134409">
      <w:pPr>
        <w:spacing w:after="120" w:line="276" w:lineRule="auto"/>
        <w:ind w:firstLine="709"/>
        <w:jc w:val="both"/>
        <w:rPr>
          <w:rFonts w:ascii="Arial" w:hAnsi="Arial" w:cs="Arial"/>
          <w:bCs/>
          <w:lang w:val="es-ES_tradnl" w:eastAsia="es-CO"/>
        </w:rPr>
      </w:pPr>
      <w:bookmarkStart w:id="22" w:name="_Hlk100592684"/>
      <w:r w:rsidRPr="00BF3CAF">
        <w:rPr>
          <w:rFonts w:ascii="Arial" w:hAnsi="Arial" w:cs="Arial"/>
          <w:bCs/>
          <w:lang w:val="es-ES_tradnl"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sidRPr="00BF3CAF">
        <w:rPr>
          <w:rFonts w:ascii="Arial" w:hAnsi="Arial" w:cs="Arial"/>
          <w:bCs/>
          <w:lang w:val="es-ES_tradnl" w:eastAsia="x-none"/>
        </w:rPr>
        <w:t>ii</w:t>
      </w:r>
      <w:proofErr w:type="spellEnd"/>
      <w:r w:rsidRPr="00BF3CAF">
        <w:rPr>
          <w:rFonts w:ascii="Arial" w:hAnsi="Arial" w:cs="Arial"/>
          <w:bCs/>
          <w:lang w:val="es-ES_tradnl" w:eastAsia="x-none"/>
        </w:rPr>
        <w:t xml:space="preserve">) los contratos de crédito público; </w:t>
      </w:r>
      <w:proofErr w:type="spellStart"/>
      <w:r w:rsidRPr="00BF3CAF">
        <w:rPr>
          <w:rFonts w:ascii="Arial" w:hAnsi="Arial" w:cs="Arial"/>
          <w:bCs/>
          <w:lang w:val="es-ES_tradnl" w:eastAsia="x-none"/>
        </w:rPr>
        <w:t>iii</w:t>
      </w:r>
      <w:proofErr w:type="spellEnd"/>
      <w:r w:rsidRPr="00BF3CAF">
        <w:rPr>
          <w:rFonts w:ascii="Arial" w:hAnsi="Arial" w:cs="Arial"/>
          <w:bCs/>
          <w:lang w:val="es-ES_tradnl" w:eastAsia="x-none"/>
        </w:rPr>
        <w:t xml:space="preserve">) los requeridos para cubrir las emergencias educativas, sanitarias y desastres; </w:t>
      </w:r>
      <w:proofErr w:type="spellStart"/>
      <w:r w:rsidRPr="00BF3CAF">
        <w:rPr>
          <w:rFonts w:ascii="Arial" w:hAnsi="Arial" w:cs="Arial"/>
          <w:bCs/>
          <w:lang w:val="es-ES_tradnl" w:eastAsia="x-none"/>
        </w:rPr>
        <w:t>iv</w:t>
      </w:r>
      <w:proofErr w:type="spellEnd"/>
      <w:r w:rsidRPr="00BF3CAF">
        <w:rPr>
          <w:rFonts w:ascii="Arial" w:hAnsi="Arial" w:cs="Arial"/>
          <w:bCs/>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BF3CAF">
        <w:rPr>
          <w:rFonts w:ascii="Arial" w:hAnsi="Arial" w:cs="Arial"/>
          <w:bCs/>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bookmarkEnd w:id="22"/>
    <w:p w14:paraId="7800087B" w14:textId="77777777" w:rsidR="00134409" w:rsidRPr="00BF3CAF" w:rsidRDefault="00134409" w:rsidP="00771FB2">
      <w:pPr>
        <w:spacing w:after="0" w:line="276" w:lineRule="auto"/>
        <w:ind w:firstLine="709"/>
        <w:contextualSpacing/>
        <w:jc w:val="both"/>
        <w:rPr>
          <w:rFonts w:ascii="Arial" w:hAnsi="Arial" w:cs="Arial"/>
          <w:bCs/>
          <w:lang w:val="es-ES_tradnl" w:eastAsia="x-none"/>
        </w:rPr>
      </w:pPr>
      <w:r w:rsidRPr="00BF3CAF">
        <w:rPr>
          <w:rFonts w:ascii="Arial" w:hAnsi="Arial" w:cs="Arial"/>
          <w:bCs/>
          <w:lang w:val="es-ES_tradnl"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BF3CAF">
        <w:rPr>
          <w:rStyle w:val="Refdenotaalpie"/>
          <w:rFonts w:ascii="Arial" w:hAnsi="Arial" w:cs="Arial"/>
        </w:rPr>
        <w:footnoteReference w:id="20"/>
      </w:r>
      <w:r w:rsidRPr="00BF3CAF">
        <w:rPr>
          <w:rFonts w:ascii="Arial" w:hAnsi="Arial" w:cs="Arial"/>
          <w:bCs/>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0977202D" w14:textId="77777777" w:rsidR="00BF3CAF" w:rsidRDefault="00BF3CAF" w:rsidP="00771FB2">
      <w:pPr>
        <w:spacing w:after="0" w:line="276" w:lineRule="auto"/>
        <w:contextualSpacing/>
        <w:jc w:val="both"/>
        <w:rPr>
          <w:rFonts w:ascii="Arial" w:hAnsi="Arial" w:cs="Arial"/>
          <w:bCs/>
          <w:color w:val="FF0000"/>
          <w:lang w:val="es-ES_tradnl" w:eastAsia="x-none"/>
        </w:rPr>
      </w:pPr>
      <w:bookmarkStart w:id="23" w:name="_Hlk100592713"/>
    </w:p>
    <w:p w14:paraId="34B40643" w14:textId="181916C9" w:rsidR="00771FB2" w:rsidRPr="00990FC7" w:rsidRDefault="00771FB2" w:rsidP="00771FB2">
      <w:pPr>
        <w:spacing w:after="0" w:line="276" w:lineRule="auto"/>
        <w:contextualSpacing/>
        <w:jc w:val="both"/>
        <w:rPr>
          <w:rFonts w:ascii="Arial" w:hAnsi="Arial" w:cs="Arial"/>
          <w:b/>
          <w:lang w:eastAsia="x-none"/>
        </w:rPr>
      </w:pPr>
      <w:r w:rsidRPr="00990FC7">
        <w:rPr>
          <w:rFonts w:ascii="Arial" w:hAnsi="Arial" w:cs="Arial"/>
          <w:b/>
          <w:lang w:eastAsia="x-none"/>
        </w:rPr>
        <w:t xml:space="preserve">2.3.  </w:t>
      </w:r>
      <w:r w:rsidR="00121FBA">
        <w:rPr>
          <w:rFonts w:ascii="Arial" w:hAnsi="Arial" w:cs="Arial"/>
          <w:b/>
          <w:lang w:eastAsia="x-none"/>
        </w:rPr>
        <w:t>D</w:t>
      </w:r>
      <w:r w:rsidRPr="00E64100">
        <w:rPr>
          <w:rFonts w:ascii="Arial" w:hAnsi="Arial" w:cs="Arial"/>
          <w:b/>
          <w:bCs/>
          <w:lang w:eastAsia="es-CO"/>
        </w:rPr>
        <w:t>estinatarios de la restricción del artículo 33 de la Ley 996 de 2005</w:t>
      </w:r>
      <w:r>
        <w:rPr>
          <w:rFonts w:ascii="Arial" w:hAnsi="Arial" w:cs="Arial"/>
          <w:b/>
          <w:bCs/>
          <w:lang w:eastAsia="es-CO"/>
        </w:rPr>
        <w:t xml:space="preserve"> </w:t>
      </w:r>
    </w:p>
    <w:p w14:paraId="12E31795" w14:textId="77777777" w:rsidR="00BF3CAF" w:rsidRPr="00654965" w:rsidRDefault="00BF3CAF" w:rsidP="00771FB2">
      <w:pPr>
        <w:spacing w:after="0" w:line="276" w:lineRule="auto"/>
        <w:contextualSpacing/>
        <w:jc w:val="both"/>
        <w:rPr>
          <w:rFonts w:ascii="Arial" w:hAnsi="Arial" w:cs="Arial"/>
          <w:bCs/>
          <w:lang w:val="es-ES_tradnl" w:eastAsia="x-none"/>
        </w:rPr>
      </w:pPr>
    </w:p>
    <w:p w14:paraId="34523F96" w14:textId="3A1A029D" w:rsidR="00134409" w:rsidRPr="00654965" w:rsidRDefault="00134409" w:rsidP="00BF3CAF">
      <w:pPr>
        <w:spacing w:before="120" w:after="0" w:line="276" w:lineRule="auto"/>
        <w:contextualSpacing/>
        <w:jc w:val="both"/>
        <w:rPr>
          <w:rFonts w:ascii="Arial" w:hAnsi="Arial" w:cs="Arial"/>
          <w:bCs/>
          <w:lang w:val="es-ES_tradnl" w:eastAsia="x-none"/>
        </w:rPr>
      </w:pPr>
      <w:r w:rsidRPr="00654965">
        <w:rPr>
          <w:rFonts w:ascii="Arial" w:hAnsi="Arial" w:cs="Arial"/>
          <w:bCs/>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654965">
        <w:rPr>
          <w:rFonts w:ascii="Arial" w:hAnsi="Arial" w:cs="Arial"/>
          <w:lang w:val="es-ES_tradnl"/>
        </w:rPr>
        <w:t xml:space="preserve"> </w:t>
      </w:r>
      <w:r w:rsidRPr="00654965">
        <w:rPr>
          <w:rFonts w:ascii="Arial" w:hAnsi="Arial" w:cs="Arial"/>
          <w:bCs/>
          <w:lang w:val="es-ES_tradnl" w:eastAsia="x-none"/>
        </w:rPr>
        <w:t>En efecto, tal como lo ha sostenido el Consejo de Estado, el vocablo «todos» utilizado por el legislador comprende</w:t>
      </w:r>
      <w:r w:rsidRPr="00654965">
        <w:rPr>
          <w:rFonts w:ascii="Arial" w:hAnsi="Arial" w:cs="Arial"/>
          <w:lang w:val="es-ES_tradnl"/>
        </w:rPr>
        <w:t xml:space="preserve"> </w:t>
      </w:r>
      <w:r w:rsidRPr="00654965">
        <w:rPr>
          <w:rFonts w:ascii="Arial" w:hAnsi="Arial" w:cs="Arial"/>
          <w:bCs/>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bookmarkEnd w:id="23"/>
      <w:r w:rsidRPr="00654965">
        <w:rPr>
          <w:rFonts w:ascii="Arial" w:hAnsi="Arial" w:cs="Arial"/>
          <w:bCs/>
          <w:lang w:val="es-ES_tradnl" w:eastAsia="x-none"/>
        </w:rPr>
        <w:t xml:space="preserve"> La Sala de Consulta y Servicio Civil del Consejo de Estado, en Concepto 1727 de fecha 20 de febrero de 2006, consideró que: </w:t>
      </w:r>
    </w:p>
    <w:p w14:paraId="525E1C5B" w14:textId="77777777" w:rsidR="00134409" w:rsidRPr="00654965" w:rsidRDefault="00134409" w:rsidP="00134409">
      <w:pPr>
        <w:spacing w:after="0"/>
        <w:ind w:left="708" w:right="709"/>
        <w:contextualSpacing/>
        <w:jc w:val="both"/>
        <w:rPr>
          <w:rFonts w:ascii="Arial" w:hAnsi="Arial" w:cs="Arial"/>
          <w:bCs/>
          <w:sz w:val="21"/>
          <w:szCs w:val="21"/>
          <w:lang w:val="es-ES_tradnl" w:eastAsia="x-none"/>
        </w:rPr>
      </w:pPr>
    </w:p>
    <w:p w14:paraId="7F72B81B" w14:textId="77777777" w:rsidR="00134409" w:rsidRPr="00654965" w:rsidRDefault="00134409" w:rsidP="00134409">
      <w:pPr>
        <w:spacing w:after="0"/>
        <w:ind w:left="708" w:right="709"/>
        <w:contextualSpacing/>
        <w:jc w:val="both"/>
        <w:rPr>
          <w:rFonts w:ascii="Arial" w:hAnsi="Arial" w:cs="Arial"/>
          <w:bCs/>
          <w:sz w:val="21"/>
          <w:szCs w:val="21"/>
          <w:lang w:val="es-ES_tradnl" w:eastAsia="es-CO"/>
        </w:rPr>
      </w:pPr>
      <w:r w:rsidRPr="00654965">
        <w:rPr>
          <w:rFonts w:ascii="Arial" w:hAnsi="Arial" w:cs="Arial"/>
          <w:bCs/>
          <w:sz w:val="21"/>
          <w:szCs w:val="21"/>
          <w:lang w:val="es-ES_tradnl"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654965">
        <w:rPr>
          <w:rStyle w:val="Refdenotaalpie"/>
          <w:rFonts w:ascii="Arial" w:hAnsi="Arial" w:cs="Arial"/>
        </w:rPr>
        <w:footnoteReference w:id="21"/>
      </w:r>
      <w:r w:rsidRPr="00654965">
        <w:rPr>
          <w:rFonts w:ascii="Arial" w:hAnsi="Arial" w:cs="Arial"/>
          <w:bCs/>
          <w:sz w:val="21"/>
          <w:szCs w:val="21"/>
          <w:lang w:val="es-ES_tradnl" w:eastAsia="x-none"/>
        </w:rPr>
        <w:t>.</w:t>
      </w:r>
      <w:r w:rsidRPr="00654965">
        <w:rPr>
          <w:rFonts w:ascii="Arial" w:hAnsi="Arial" w:cs="Arial"/>
          <w:bCs/>
          <w:sz w:val="21"/>
          <w:szCs w:val="21"/>
          <w:lang w:val="es-ES_tradnl" w:eastAsia="es-CO"/>
        </w:rPr>
        <w:t xml:space="preserve"> </w:t>
      </w:r>
    </w:p>
    <w:p w14:paraId="6F0DD6F9" w14:textId="77777777" w:rsidR="00134409" w:rsidRPr="00654965" w:rsidRDefault="00134409" w:rsidP="00134409">
      <w:pPr>
        <w:spacing w:after="0" w:line="276" w:lineRule="auto"/>
        <w:ind w:firstLine="708"/>
        <w:contextualSpacing/>
        <w:jc w:val="both"/>
        <w:rPr>
          <w:rFonts w:ascii="Arial" w:hAnsi="Arial" w:cs="Arial"/>
          <w:bCs/>
          <w:lang w:val="es-ES_tradnl" w:eastAsia="es-CO"/>
        </w:rPr>
      </w:pPr>
    </w:p>
    <w:p w14:paraId="00FCEF58" w14:textId="28F5D3CC" w:rsidR="00134409" w:rsidRPr="00575685" w:rsidRDefault="00134409" w:rsidP="00E04E3D">
      <w:pPr>
        <w:spacing w:after="120" w:line="276" w:lineRule="auto"/>
        <w:ind w:firstLine="708"/>
        <w:jc w:val="both"/>
        <w:rPr>
          <w:rFonts w:ascii="Arial" w:hAnsi="Arial" w:cs="Arial"/>
          <w:bCs/>
          <w:lang w:val="es-ES_tradnl" w:eastAsia="x-none"/>
        </w:rPr>
      </w:pPr>
      <w:r w:rsidRPr="00575685">
        <w:rPr>
          <w:rFonts w:ascii="Arial" w:hAnsi="Arial" w:cs="Arial"/>
          <w:lang w:val="es-ES_tradnl"/>
        </w:rPr>
        <w:t xml:space="preserve">Por lo tanto, la restricción prevista en la Ley 996 de 2005, </w:t>
      </w:r>
      <w:r w:rsidRPr="00575685">
        <w:rPr>
          <w:rFonts w:ascii="Arial" w:hAnsi="Arial" w:cs="Arial"/>
          <w:bCs/>
          <w:lang w:val="es-ES_tradnl" w:eastAsia="x-none"/>
        </w:rPr>
        <w:t xml:space="preserve">teniendo en cuenta la finalidad de la </w:t>
      </w:r>
      <w:r w:rsidR="00654965" w:rsidRPr="00575685">
        <w:rPr>
          <w:rFonts w:ascii="Arial" w:hAnsi="Arial" w:cs="Arial"/>
          <w:bCs/>
          <w:lang w:val="es-ES_tradnl" w:eastAsia="x-none"/>
        </w:rPr>
        <w:t xml:space="preserve">Ley </w:t>
      </w:r>
      <w:r w:rsidRPr="00575685">
        <w:rPr>
          <w:rFonts w:ascii="Arial" w:hAnsi="Arial" w:cs="Arial"/>
          <w:bCs/>
          <w:lang w:val="es-ES_tradnl" w:eastAsia="x-none"/>
        </w:rPr>
        <w:t xml:space="preserve">de </w:t>
      </w:r>
      <w:r w:rsidR="00654965" w:rsidRPr="00575685">
        <w:rPr>
          <w:rFonts w:ascii="Arial" w:hAnsi="Arial" w:cs="Arial"/>
          <w:bCs/>
          <w:lang w:val="es-ES_tradnl" w:eastAsia="x-none"/>
        </w:rPr>
        <w:t>Garantías Electorales</w:t>
      </w:r>
      <w:r w:rsidRPr="00575685">
        <w:rPr>
          <w:rFonts w:ascii="Arial" w:hAnsi="Arial" w:cs="Arial"/>
          <w:bCs/>
          <w:lang w:val="es-ES_tradnl" w:eastAsia="x-none"/>
        </w:rPr>
        <w:t>,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w:t>
      </w:r>
    </w:p>
    <w:p w14:paraId="30D305F0" w14:textId="59819AF8" w:rsidR="00112554" w:rsidRPr="00112554" w:rsidRDefault="00E04E3D" w:rsidP="00112554">
      <w:pPr>
        <w:tabs>
          <w:tab w:val="left" w:pos="426"/>
        </w:tabs>
        <w:spacing w:after="120" w:line="276" w:lineRule="auto"/>
        <w:jc w:val="both"/>
        <w:rPr>
          <w:rFonts w:ascii="Arial" w:eastAsia="Calibri" w:hAnsi="Arial" w:cs="Arial"/>
          <w:bCs/>
          <w:lang w:val="es-ES_tradnl"/>
        </w:rPr>
      </w:pPr>
      <w:r>
        <w:rPr>
          <w:rFonts w:ascii="Arial" w:eastAsia="Calibri" w:hAnsi="Arial" w:cs="Arial"/>
          <w:bCs/>
          <w:lang w:val="es-ES_tradnl"/>
        </w:rPr>
        <w:lastRenderedPageBreak/>
        <w:tab/>
      </w:r>
      <w:r w:rsidRPr="004E1FFE">
        <w:rPr>
          <w:rFonts w:ascii="Arial" w:eastAsia="Calibri" w:hAnsi="Arial" w:cs="Arial"/>
          <w:bCs/>
          <w:lang w:val="es-ES_tradnl"/>
        </w:rPr>
        <w:t xml:space="preserve">De acuerdo con lo anterior, en aras de responder </w:t>
      </w:r>
      <w:r w:rsidR="00411F72" w:rsidRPr="004E1FFE">
        <w:rPr>
          <w:rFonts w:ascii="Arial" w:eastAsia="Calibri" w:hAnsi="Arial" w:cs="Arial"/>
          <w:bCs/>
          <w:lang w:val="es-ES_tradnl"/>
        </w:rPr>
        <w:t>el objeto de la</w:t>
      </w:r>
      <w:r w:rsidRPr="004E1FFE">
        <w:rPr>
          <w:rFonts w:ascii="Arial" w:eastAsia="Calibri" w:hAnsi="Arial" w:cs="Arial"/>
          <w:bCs/>
          <w:lang w:val="es-ES_tradnl"/>
        </w:rPr>
        <w:t xml:space="preserve"> consulta, es importante tener en cuenta que, </w:t>
      </w:r>
      <w:r w:rsidR="00411F72" w:rsidRPr="004E1FFE">
        <w:rPr>
          <w:rFonts w:ascii="Arial" w:eastAsia="Calibri" w:hAnsi="Arial" w:cs="Arial"/>
          <w:bCs/>
          <w:lang w:val="es-ES_tradnl"/>
        </w:rPr>
        <w:t xml:space="preserve">las </w:t>
      </w:r>
      <w:r w:rsidR="004E1FFE" w:rsidRPr="004E1FFE">
        <w:rPr>
          <w:rFonts w:ascii="Arial" w:eastAsia="Calibri" w:hAnsi="Arial" w:cs="Arial"/>
          <w:bCs/>
          <w:lang w:val="es-ES_tradnl"/>
        </w:rPr>
        <w:t>personerías municipales</w:t>
      </w:r>
      <w:r w:rsidR="00411F72" w:rsidRPr="004E1FFE">
        <w:rPr>
          <w:rFonts w:ascii="Arial" w:eastAsia="Calibri" w:hAnsi="Arial" w:cs="Arial"/>
          <w:bCs/>
          <w:lang w:val="es-ES_tradnl"/>
        </w:rPr>
        <w:t xml:space="preserve">, </w:t>
      </w:r>
      <w:r w:rsidRPr="004E1FFE">
        <w:rPr>
          <w:rFonts w:ascii="Arial" w:eastAsia="Calibri" w:hAnsi="Arial" w:cs="Arial"/>
          <w:bCs/>
          <w:lang w:val="es-ES_tradnl"/>
        </w:rPr>
        <w:t xml:space="preserve">entidad mencionada en </w:t>
      </w:r>
      <w:r w:rsidR="00411F72" w:rsidRPr="004E1FFE">
        <w:rPr>
          <w:rFonts w:ascii="Arial" w:eastAsia="Calibri" w:hAnsi="Arial" w:cs="Arial"/>
          <w:bCs/>
          <w:lang w:val="es-ES_tradnl"/>
        </w:rPr>
        <w:t>la</w:t>
      </w:r>
      <w:r w:rsidRPr="004E1FFE">
        <w:rPr>
          <w:rFonts w:ascii="Arial" w:eastAsia="Calibri" w:hAnsi="Arial" w:cs="Arial"/>
          <w:bCs/>
          <w:lang w:val="es-ES_tradnl"/>
        </w:rPr>
        <w:t xml:space="preserve"> petición, hace</w:t>
      </w:r>
      <w:r w:rsidR="00411F72" w:rsidRPr="004E1FFE">
        <w:rPr>
          <w:rFonts w:ascii="Arial" w:eastAsia="Calibri" w:hAnsi="Arial" w:cs="Arial"/>
          <w:bCs/>
          <w:lang w:val="es-ES_tradnl"/>
        </w:rPr>
        <w:t>n</w:t>
      </w:r>
      <w:r w:rsidRPr="004E1FFE">
        <w:rPr>
          <w:rFonts w:ascii="Arial" w:eastAsia="Calibri" w:hAnsi="Arial" w:cs="Arial"/>
          <w:bCs/>
          <w:lang w:val="es-ES_tradnl"/>
        </w:rPr>
        <w:t xml:space="preserve"> parte de la estructura del Estado delimitada por el Titulo V de la Constitución Política</w:t>
      </w:r>
      <w:r w:rsidR="00411F72" w:rsidRPr="004E1FFE">
        <w:rPr>
          <w:rFonts w:ascii="Arial" w:eastAsia="Calibri" w:hAnsi="Arial" w:cs="Arial"/>
          <w:bCs/>
          <w:lang w:val="es-ES_tradnl"/>
        </w:rPr>
        <w:t xml:space="preserve"> de Colombia</w:t>
      </w:r>
      <w:r w:rsidRPr="004E1FFE">
        <w:rPr>
          <w:rFonts w:ascii="Arial" w:eastAsia="Calibri" w:hAnsi="Arial" w:cs="Arial"/>
          <w:bCs/>
          <w:lang w:val="es-ES_tradnl"/>
        </w:rPr>
        <w:t xml:space="preserve">. </w:t>
      </w:r>
      <w:r w:rsidR="00D93F75" w:rsidRPr="004E1FFE">
        <w:rPr>
          <w:rFonts w:ascii="Arial" w:eastAsia="Calibri" w:hAnsi="Arial" w:cs="Arial"/>
          <w:bCs/>
          <w:lang w:val="es-ES_tradnl"/>
        </w:rPr>
        <w:t>D</w:t>
      </w:r>
      <w:r w:rsidRPr="004E1FFE">
        <w:rPr>
          <w:rFonts w:ascii="Arial" w:eastAsia="Calibri" w:hAnsi="Arial" w:cs="Arial"/>
          <w:bCs/>
          <w:lang w:val="es-ES_tradnl"/>
        </w:rPr>
        <w:t>e acuerdo con el artículo 117</w:t>
      </w:r>
      <w:r w:rsidR="003447AC" w:rsidRPr="004E1FFE">
        <w:rPr>
          <w:rFonts w:ascii="Arial" w:eastAsia="Calibri" w:hAnsi="Arial" w:cs="Arial"/>
          <w:bCs/>
          <w:lang w:val="es-ES_tradnl"/>
        </w:rPr>
        <w:t xml:space="preserve"> ibidem</w:t>
      </w:r>
      <w:r w:rsidRPr="004E1FFE">
        <w:rPr>
          <w:rFonts w:ascii="Arial" w:eastAsia="Calibri" w:hAnsi="Arial" w:cs="Arial"/>
          <w:bCs/>
          <w:lang w:val="es-ES_tradnl"/>
        </w:rPr>
        <w:t xml:space="preserve">, </w:t>
      </w:r>
      <w:r w:rsidR="00D93F75" w:rsidRPr="004E1FFE">
        <w:rPr>
          <w:rFonts w:ascii="Arial" w:eastAsia="Calibri" w:hAnsi="Arial" w:cs="Arial"/>
          <w:bCs/>
          <w:lang w:val="es-ES_tradnl"/>
        </w:rPr>
        <w:t>el Ministerio Público</w:t>
      </w:r>
      <w:r w:rsidR="00526DE2" w:rsidRPr="004E1FFE">
        <w:rPr>
          <w:rFonts w:ascii="Arial" w:eastAsia="Calibri" w:hAnsi="Arial" w:cs="Arial"/>
          <w:bCs/>
          <w:lang w:val="es-ES_tradnl"/>
        </w:rPr>
        <w:t>,</w:t>
      </w:r>
      <w:r w:rsidR="00D93F75" w:rsidRPr="004E1FFE">
        <w:rPr>
          <w:rFonts w:ascii="Arial" w:eastAsia="Calibri" w:hAnsi="Arial" w:cs="Arial"/>
          <w:bCs/>
          <w:lang w:val="es-ES_tradnl"/>
        </w:rPr>
        <w:t xml:space="preserve"> </w:t>
      </w:r>
      <w:r w:rsidR="00BC2C80" w:rsidRPr="004E1FFE">
        <w:rPr>
          <w:rFonts w:ascii="Arial" w:eastAsia="Calibri" w:hAnsi="Arial" w:cs="Arial"/>
          <w:bCs/>
          <w:lang w:val="es-ES_tradnl"/>
        </w:rPr>
        <w:t xml:space="preserve">del cual hacen parte el Procurador General de la Nación, el Defensor del Pueblo, los procuradores delegados, </w:t>
      </w:r>
      <w:r w:rsidR="00BC2C80" w:rsidRPr="004E1FFE">
        <w:rPr>
          <w:rFonts w:ascii="Arial" w:eastAsia="Calibri" w:hAnsi="Arial" w:cs="Arial"/>
          <w:bCs/>
          <w:i/>
          <w:iCs/>
          <w:lang w:val="es-ES_tradnl"/>
        </w:rPr>
        <w:t>personeros municipales</w:t>
      </w:r>
      <w:r w:rsidR="00BC2C80" w:rsidRPr="004E1FFE">
        <w:rPr>
          <w:rFonts w:ascii="Arial" w:eastAsia="Calibri" w:hAnsi="Arial" w:cs="Arial"/>
          <w:bCs/>
          <w:lang w:val="es-ES_tradnl"/>
        </w:rPr>
        <w:t>, entre otros agentes, según el artículo 118</w:t>
      </w:r>
      <w:r w:rsidR="00BC2C80" w:rsidRPr="004E1FFE">
        <w:rPr>
          <w:rStyle w:val="Refdenotaalpie"/>
          <w:rFonts w:ascii="Arial" w:eastAsia="Calibri" w:hAnsi="Arial" w:cs="Arial"/>
          <w:bCs/>
          <w:lang w:val="es-ES_tradnl"/>
        </w:rPr>
        <w:footnoteReference w:id="22"/>
      </w:r>
      <w:r w:rsidR="00BC2C80" w:rsidRPr="004E1FFE">
        <w:rPr>
          <w:rFonts w:ascii="Arial" w:eastAsia="Calibri" w:hAnsi="Arial" w:cs="Arial"/>
          <w:bCs/>
          <w:lang w:val="es-ES_tradnl"/>
        </w:rPr>
        <w:t xml:space="preserve">, </w:t>
      </w:r>
      <w:r w:rsidR="00CD5BAF" w:rsidRPr="004E1FFE">
        <w:rPr>
          <w:rFonts w:ascii="Arial" w:eastAsia="Calibri" w:hAnsi="Arial" w:cs="Arial"/>
          <w:bCs/>
          <w:lang w:val="es-ES_tradnl"/>
        </w:rPr>
        <w:t>corresponde</w:t>
      </w:r>
      <w:r w:rsidR="004E1FFE" w:rsidRPr="004E1FFE">
        <w:rPr>
          <w:rFonts w:ascii="Arial" w:eastAsia="Calibri" w:hAnsi="Arial" w:cs="Arial"/>
          <w:bCs/>
          <w:lang w:val="es-ES_tradnl"/>
        </w:rPr>
        <w:t xml:space="preserve"> a</w:t>
      </w:r>
      <w:r w:rsidR="00CD5BAF" w:rsidRPr="004E1FFE">
        <w:rPr>
          <w:rFonts w:ascii="Arial" w:eastAsia="Calibri" w:hAnsi="Arial" w:cs="Arial"/>
          <w:bCs/>
          <w:lang w:val="es-ES_tradnl"/>
        </w:rPr>
        <w:t xml:space="preserve"> la noción de órgano de control</w:t>
      </w:r>
      <w:r w:rsidR="00575685" w:rsidRPr="004E1FFE">
        <w:rPr>
          <w:rFonts w:ascii="Arial" w:eastAsia="Calibri" w:hAnsi="Arial" w:cs="Arial"/>
          <w:bCs/>
          <w:lang w:val="es-ES_tradnl"/>
        </w:rPr>
        <w:t>.</w:t>
      </w:r>
      <w:r w:rsidR="00575685" w:rsidRPr="00112554">
        <w:rPr>
          <w:rFonts w:ascii="Arial" w:eastAsia="Calibri" w:hAnsi="Arial" w:cs="Arial"/>
          <w:bCs/>
          <w:lang w:val="es-ES_tradnl"/>
        </w:rPr>
        <w:t xml:space="preserve"> </w:t>
      </w:r>
    </w:p>
    <w:p w14:paraId="74B3EFAE" w14:textId="0A21FA86" w:rsidR="00112554" w:rsidRPr="00112554" w:rsidRDefault="00112554" w:rsidP="00112554">
      <w:pPr>
        <w:tabs>
          <w:tab w:val="left" w:pos="426"/>
        </w:tabs>
        <w:spacing w:after="120" w:line="276" w:lineRule="auto"/>
        <w:jc w:val="both"/>
        <w:rPr>
          <w:rFonts w:ascii="Arial" w:eastAsia="Calibri" w:hAnsi="Arial" w:cs="Arial"/>
          <w:bCs/>
          <w:lang w:val="es-ES_tradnl"/>
        </w:rPr>
      </w:pPr>
      <w:r w:rsidRPr="00112554">
        <w:rPr>
          <w:rFonts w:ascii="Arial" w:eastAsia="Calibri" w:hAnsi="Arial" w:cs="Arial"/>
          <w:bCs/>
          <w:lang w:val="es-ES_tradnl"/>
        </w:rPr>
        <w:tab/>
        <w:t xml:space="preserve">En ese sentido, si bien </w:t>
      </w:r>
      <w:r w:rsidR="004E1FFE">
        <w:rPr>
          <w:rFonts w:ascii="Arial" w:eastAsia="Calibri" w:hAnsi="Arial" w:cs="Arial"/>
          <w:bCs/>
          <w:lang w:val="es-ES_tradnl"/>
        </w:rPr>
        <w:t>las personerías municipales no</w:t>
      </w:r>
      <w:r w:rsidR="004E1FFE" w:rsidRPr="00112554">
        <w:rPr>
          <w:rFonts w:ascii="Arial" w:eastAsia="Calibri" w:hAnsi="Arial" w:cs="Arial"/>
          <w:bCs/>
          <w:lang w:val="es-ES_tradnl"/>
        </w:rPr>
        <w:t xml:space="preserve"> hacen</w:t>
      </w:r>
      <w:r w:rsidRPr="00112554">
        <w:rPr>
          <w:rFonts w:ascii="Arial" w:eastAsia="Calibri" w:hAnsi="Arial" w:cs="Arial"/>
          <w:bCs/>
          <w:lang w:val="es-ES_tradnl"/>
        </w:rPr>
        <w:t xml:space="preserve"> parte de la Administración Pública, resulta palmario que estas, no solo desarrolla</w:t>
      </w:r>
      <w:r w:rsidR="00655085">
        <w:rPr>
          <w:rFonts w:ascii="Arial" w:eastAsia="Calibri" w:hAnsi="Arial" w:cs="Arial"/>
          <w:bCs/>
          <w:lang w:val="es-ES_tradnl"/>
        </w:rPr>
        <w:t>n</w:t>
      </w:r>
      <w:r w:rsidRPr="00112554">
        <w:rPr>
          <w:rFonts w:ascii="Arial" w:eastAsia="Calibri" w:hAnsi="Arial" w:cs="Arial"/>
          <w:bCs/>
          <w:lang w:val="es-ES_tradnl"/>
        </w:rPr>
        <w:t xml:space="preserve"> funciones públicas, sino que tiene</w:t>
      </w:r>
      <w:r w:rsidR="00655085">
        <w:rPr>
          <w:rFonts w:ascii="Arial" w:eastAsia="Calibri" w:hAnsi="Arial" w:cs="Arial"/>
          <w:bCs/>
          <w:lang w:val="es-ES_tradnl"/>
        </w:rPr>
        <w:t>n</w:t>
      </w:r>
      <w:r w:rsidRPr="00112554">
        <w:rPr>
          <w:rFonts w:ascii="Arial" w:eastAsia="Calibri" w:hAnsi="Arial" w:cs="Arial"/>
          <w:bCs/>
          <w:lang w:val="es-ES_tradnl"/>
        </w:rPr>
        <w:t xml:space="preserve"> un rol definido en la estructura estatal, del que se sigue su calidad de ente del Estado, </w:t>
      </w:r>
      <w:r w:rsidR="00655085">
        <w:rPr>
          <w:rFonts w:ascii="Arial" w:eastAsia="Calibri" w:hAnsi="Arial" w:cs="Arial"/>
          <w:bCs/>
          <w:lang w:val="es-ES_tradnl"/>
        </w:rPr>
        <w:t xml:space="preserve">a </w:t>
      </w:r>
      <w:r w:rsidRPr="00112554">
        <w:rPr>
          <w:rFonts w:ascii="Arial" w:eastAsia="Calibri" w:hAnsi="Arial" w:cs="Arial"/>
          <w:bCs/>
          <w:lang w:val="es-ES_tradnl"/>
        </w:rPr>
        <w:t>los que de manera general se refiere el artículo 33 de la Ley 996 de 2005. Esto no conduce a conclusión distinta a que las personerías, en su calidad de órganos de control, también hacen parte de los destinatarios de la prohibición a la contratación directa establecida en el artículo 33</w:t>
      </w:r>
      <w:r w:rsidR="00655085">
        <w:rPr>
          <w:rFonts w:ascii="Arial" w:eastAsia="Calibri" w:hAnsi="Arial" w:cs="Arial"/>
          <w:bCs/>
          <w:lang w:val="es-ES_tradnl"/>
        </w:rPr>
        <w:t xml:space="preserve"> de la Ley de Garantías Electorales</w:t>
      </w:r>
      <w:r w:rsidRPr="00112554">
        <w:rPr>
          <w:rFonts w:ascii="Arial" w:eastAsia="Calibri" w:hAnsi="Arial" w:cs="Arial"/>
          <w:bCs/>
          <w:lang w:val="es-ES_tradnl"/>
        </w:rPr>
        <w:t xml:space="preserve">. </w:t>
      </w:r>
    </w:p>
    <w:p w14:paraId="35FEDA33" w14:textId="292D61C7" w:rsidR="00112554" w:rsidRPr="00112554" w:rsidRDefault="00112554" w:rsidP="00112554">
      <w:pPr>
        <w:spacing w:after="120" w:line="276" w:lineRule="auto"/>
        <w:ind w:firstLine="709"/>
        <w:jc w:val="both"/>
        <w:rPr>
          <w:rFonts w:ascii="Arial" w:hAnsi="Arial" w:cs="Arial"/>
          <w:color w:val="000000" w:themeColor="text1"/>
          <w:lang w:val="es-ES_tradnl"/>
        </w:rPr>
      </w:pPr>
      <w:r w:rsidRPr="004529A0">
        <w:rPr>
          <w:rFonts w:ascii="Arial" w:hAnsi="Arial" w:cs="Arial"/>
          <w:lang w:val="es-ES_tradnl"/>
        </w:rPr>
        <w:t>Lo anterior supone que tales entidades, durante los periodos preelectorales de los cuatro</w:t>
      </w:r>
      <w:r w:rsidR="00860042" w:rsidRPr="004529A0">
        <w:rPr>
          <w:rFonts w:ascii="Arial" w:hAnsi="Arial" w:cs="Arial"/>
          <w:lang w:val="es-ES_tradnl"/>
        </w:rPr>
        <w:t xml:space="preserve"> (4)</w:t>
      </w:r>
      <w:r w:rsidRPr="004529A0">
        <w:rPr>
          <w:rFonts w:ascii="Arial" w:hAnsi="Arial" w:cs="Arial"/>
          <w:lang w:val="es-ES_tradnl"/>
        </w:rPr>
        <w:t xml:space="preserve"> meses previos a las elecciones presidenciales, tienen restringida la celebración contratos en aplicación de las causales de contratación directa previstas en el artículo 2-4 de la Ley 1150 de 2007, entre las que se encuentra la del literal h), alusiva a la </w:t>
      </w:r>
      <w:r w:rsidRPr="004529A0">
        <w:rPr>
          <w:rFonts w:ascii="Arial" w:hAnsi="Arial" w:cs="Arial"/>
          <w:i/>
          <w:iCs/>
          <w:lang w:val="es-ES_tradnl"/>
        </w:rPr>
        <w:t>«prestación de servicios profesionales y de apoyo a la gestión, o para la ejecución de trabajos artísticos que sólo puedan encomendarse a determinadas personas naturales»</w:t>
      </w:r>
      <w:r w:rsidRPr="004529A0">
        <w:rPr>
          <w:rStyle w:val="Refdenotaalpie"/>
          <w:rFonts w:ascii="Arial" w:hAnsi="Arial" w:cs="Arial"/>
          <w:lang w:val="es-ES_tradnl"/>
        </w:rPr>
        <w:footnoteReference w:id="23"/>
      </w:r>
      <w:r w:rsidR="000E3FD5" w:rsidRPr="004529A0">
        <w:rPr>
          <w:rFonts w:ascii="Arial" w:hAnsi="Arial" w:cs="Arial"/>
          <w:i/>
          <w:iCs/>
          <w:lang w:val="es-ES_tradnl"/>
        </w:rPr>
        <w:t xml:space="preserve"> </w:t>
      </w:r>
      <w:r w:rsidR="000E3FD5" w:rsidRPr="004529A0">
        <w:rPr>
          <w:rFonts w:ascii="Arial" w:hAnsi="Arial" w:cs="Arial"/>
          <w:lang w:val="es-ES_tradnl"/>
        </w:rPr>
        <w:t xml:space="preserve">y </w:t>
      </w:r>
      <w:r w:rsidR="004529A0" w:rsidRPr="004529A0">
        <w:rPr>
          <w:rFonts w:ascii="Arial" w:hAnsi="Arial" w:cs="Arial"/>
          <w:lang w:val="es-ES_tradnl"/>
        </w:rPr>
        <w:t>la establecida en el literal i) referente al</w:t>
      </w:r>
      <w:r w:rsidR="004529A0" w:rsidRPr="004529A0">
        <w:rPr>
          <w:rFonts w:ascii="Arial" w:hAnsi="Arial" w:cs="Arial"/>
          <w:i/>
          <w:iCs/>
          <w:lang w:val="es-ES_tradnl"/>
        </w:rPr>
        <w:t xml:space="preserve"> «</w:t>
      </w:r>
      <w:r w:rsidR="004529A0" w:rsidRPr="004529A0">
        <w:rPr>
          <w:rFonts w:ascii="Arial" w:hAnsi="Arial" w:cs="Arial"/>
          <w:i/>
          <w:iCs/>
        </w:rPr>
        <w:t>arrendamiento o adquisición de inmuebles</w:t>
      </w:r>
      <w:r w:rsidR="004529A0" w:rsidRPr="004529A0">
        <w:rPr>
          <w:rFonts w:ascii="Arial" w:hAnsi="Arial" w:cs="Arial"/>
          <w:i/>
          <w:iCs/>
          <w:lang w:val="es-ES_tradnl"/>
        </w:rPr>
        <w:t>»</w:t>
      </w:r>
      <w:r w:rsidR="00B7096A">
        <w:rPr>
          <w:rStyle w:val="Refdenotaalpie"/>
          <w:rFonts w:ascii="Arial" w:hAnsi="Arial" w:cs="Arial"/>
          <w:i/>
          <w:iCs/>
          <w:lang w:val="es-ES_tradnl"/>
        </w:rPr>
        <w:footnoteReference w:id="24"/>
      </w:r>
      <w:r w:rsidRPr="004529A0">
        <w:rPr>
          <w:rFonts w:ascii="Arial" w:hAnsi="Arial" w:cs="Arial"/>
          <w:lang w:val="es-ES_tradnl"/>
        </w:rPr>
        <w:t xml:space="preserve">. Conforme a </w:t>
      </w:r>
      <w:r w:rsidR="00CF6E2F">
        <w:rPr>
          <w:rFonts w:ascii="Arial" w:hAnsi="Arial" w:cs="Arial"/>
          <w:lang w:val="es-ES_tradnl"/>
        </w:rPr>
        <w:t>lo dispuesto en el artículo 2 de la Ley 1150 de 2007</w:t>
      </w:r>
      <w:r w:rsidRPr="004529A0">
        <w:rPr>
          <w:rFonts w:ascii="Arial" w:hAnsi="Arial" w:cs="Arial"/>
          <w:lang w:val="es-ES_tradnl"/>
        </w:rPr>
        <w:t xml:space="preserve">, </w:t>
      </w:r>
      <w:r w:rsidR="00CF6E2F">
        <w:rPr>
          <w:rFonts w:ascii="Arial" w:hAnsi="Arial" w:cs="Arial"/>
          <w:lang w:val="es-ES_tradnl"/>
        </w:rPr>
        <w:t xml:space="preserve">los mencionados contratos </w:t>
      </w:r>
      <w:r w:rsidRPr="004529A0">
        <w:rPr>
          <w:rFonts w:ascii="Arial" w:hAnsi="Arial" w:cs="Arial"/>
          <w:lang w:val="es-ES_tradnl"/>
        </w:rPr>
        <w:t>se celebran de manera directa, independientemente de la cuantía y</w:t>
      </w:r>
      <w:r w:rsidR="00342722">
        <w:rPr>
          <w:rFonts w:ascii="Arial" w:hAnsi="Arial" w:cs="Arial"/>
          <w:lang w:val="es-ES_tradnl"/>
        </w:rPr>
        <w:t>,</w:t>
      </w:r>
      <w:r w:rsidRPr="004529A0">
        <w:rPr>
          <w:rFonts w:ascii="Arial" w:hAnsi="Arial" w:cs="Arial"/>
          <w:lang w:val="es-ES_tradnl"/>
        </w:rPr>
        <w:t xml:space="preserve"> </w:t>
      </w:r>
      <w:r w:rsidR="00072FB7">
        <w:rPr>
          <w:rFonts w:ascii="Arial" w:hAnsi="Arial" w:cs="Arial"/>
          <w:lang w:val="es-ES_tradnl"/>
        </w:rPr>
        <w:t xml:space="preserve">en el caso de la causal consagrada </w:t>
      </w:r>
      <w:r w:rsidR="00072FB7">
        <w:rPr>
          <w:rFonts w:ascii="Arial" w:hAnsi="Arial" w:cs="Arial"/>
          <w:lang w:val="es-ES_tradnl"/>
        </w:rPr>
        <w:lastRenderedPageBreak/>
        <w:t xml:space="preserve">en el literal </w:t>
      </w:r>
      <w:r w:rsidR="00342722">
        <w:rPr>
          <w:rFonts w:ascii="Arial" w:hAnsi="Arial" w:cs="Arial"/>
          <w:lang w:val="es-ES_tradnl"/>
        </w:rPr>
        <w:t xml:space="preserve">h), </w:t>
      </w:r>
      <w:r w:rsidRPr="004529A0">
        <w:rPr>
          <w:rFonts w:ascii="Arial" w:hAnsi="Arial" w:cs="Arial"/>
          <w:lang w:val="es-ES_tradnl"/>
        </w:rPr>
        <w:t>del tipo de servicio profesional, siempre que este no ingrese dentro del objeto del contrato de consultoría, pues, como lo indicó el Consejo de Estado en la sentencia de unificación jurisprudencial del 2 de diciembre de 2013</w:t>
      </w:r>
      <w:r w:rsidRPr="004529A0">
        <w:rPr>
          <w:rStyle w:val="Refdenotaalpie"/>
          <w:rFonts w:ascii="Arial" w:hAnsi="Arial" w:cs="Arial"/>
          <w:lang w:val="es-ES_tradnl"/>
        </w:rPr>
        <w:footnoteReference w:id="25"/>
      </w:r>
      <w:r w:rsidRPr="004529A0">
        <w:rPr>
          <w:rFonts w:ascii="Arial" w:hAnsi="Arial" w:cs="Arial"/>
          <w:lang w:val="es-ES_tradnl"/>
        </w:rPr>
        <w:t>, si bien en ambos existe un componente intelectual, profesional e intangible, el objeto del contrato de consultoría es especial y debe celebrarse, por regla general, precedido de un concurso de méritos</w:t>
      </w:r>
      <w:r w:rsidRPr="004529A0">
        <w:rPr>
          <w:rStyle w:val="Refdenotaalpie"/>
          <w:rFonts w:ascii="Arial" w:hAnsi="Arial" w:cs="Arial"/>
          <w:lang w:val="es-ES_tradnl"/>
        </w:rPr>
        <w:footnoteReference w:id="26"/>
      </w:r>
      <w:r w:rsidRPr="004529A0">
        <w:rPr>
          <w:rFonts w:ascii="Arial" w:hAnsi="Arial" w:cs="Arial"/>
          <w:lang w:val="es-ES_tradnl"/>
        </w:rPr>
        <w:t xml:space="preserve">. En tal sentido, al ser </w:t>
      </w:r>
      <w:r w:rsidRPr="00112554">
        <w:rPr>
          <w:rFonts w:ascii="Arial" w:hAnsi="Arial" w:cs="Arial"/>
          <w:color w:val="000000" w:themeColor="text1"/>
          <w:lang w:val="es-ES_tradnl"/>
        </w:rPr>
        <w:t>la contratación directa la modalidad aplicable para la prestación de servicios profesionales y de apoyo a la gestión</w:t>
      </w:r>
      <w:r w:rsidR="00342722">
        <w:rPr>
          <w:rFonts w:ascii="Arial" w:hAnsi="Arial" w:cs="Arial"/>
          <w:color w:val="000000" w:themeColor="text1"/>
          <w:lang w:val="es-ES_tradnl"/>
        </w:rPr>
        <w:t xml:space="preserve"> y para el </w:t>
      </w:r>
      <w:r w:rsidR="00104EC4">
        <w:rPr>
          <w:rFonts w:ascii="Arial" w:hAnsi="Arial" w:cs="Arial"/>
          <w:color w:val="000000" w:themeColor="text1"/>
          <w:lang w:val="es-ES_tradnl"/>
        </w:rPr>
        <w:t>arrendamiento</w:t>
      </w:r>
      <w:r w:rsidR="00342722">
        <w:rPr>
          <w:rFonts w:ascii="Arial" w:hAnsi="Arial" w:cs="Arial"/>
          <w:color w:val="000000" w:themeColor="text1"/>
          <w:lang w:val="es-ES_tradnl"/>
        </w:rPr>
        <w:t xml:space="preserve"> o </w:t>
      </w:r>
      <w:r w:rsidR="00104EC4">
        <w:rPr>
          <w:rFonts w:ascii="Arial" w:hAnsi="Arial" w:cs="Arial"/>
          <w:color w:val="000000" w:themeColor="text1"/>
          <w:lang w:val="es-ES_tradnl"/>
        </w:rPr>
        <w:t>adquisición de inmuebles</w:t>
      </w:r>
      <w:r w:rsidRPr="00112554">
        <w:rPr>
          <w:rFonts w:ascii="Arial" w:hAnsi="Arial" w:cs="Arial"/>
          <w:color w:val="000000" w:themeColor="text1"/>
          <w:lang w:val="es-ES_tradnl"/>
        </w:rPr>
        <w:t>, la celebración de nuevos contratos durante el periodo en el que aplica el artículo 33 de la Ley 996 de 2005, estaría restringida, sin perjuicio de que válidamente se celebren contratos en dicho lapso, amparados en alguna de las excepciones mencionadas</w:t>
      </w:r>
      <w:r w:rsidR="00087810">
        <w:rPr>
          <w:rFonts w:ascii="Arial" w:hAnsi="Arial" w:cs="Arial"/>
          <w:color w:val="000000" w:themeColor="text1"/>
          <w:lang w:val="es-ES_tradnl"/>
        </w:rPr>
        <w:t xml:space="preserve"> en el numeral anterior de este concepto</w:t>
      </w:r>
      <w:r w:rsidRPr="00112554">
        <w:rPr>
          <w:rFonts w:ascii="Arial" w:hAnsi="Arial" w:cs="Arial"/>
          <w:color w:val="000000" w:themeColor="text1"/>
          <w:lang w:val="es-ES_tradnl"/>
        </w:rPr>
        <w:t xml:space="preserve">. </w:t>
      </w:r>
    </w:p>
    <w:p w14:paraId="0D05B743" w14:textId="232C04C6" w:rsidR="00112554" w:rsidRPr="00A432CD" w:rsidRDefault="00112554" w:rsidP="00112554">
      <w:pPr>
        <w:spacing w:after="120" w:line="276" w:lineRule="auto"/>
        <w:ind w:firstLine="708"/>
        <w:jc w:val="both"/>
        <w:rPr>
          <w:rFonts w:ascii="Arial" w:eastAsia="Times New Roman" w:hAnsi="Arial" w:cs="Arial"/>
          <w:bCs/>
          <w:lang w:eastAsia="es-CO"/>
        </w:rPr>
      </w:pPr>
      <w:r w:rsidRPr="00A432CD">
        <w:rPr>
          <w:rFonts w:ascii="Arial" w:eastAsia="Times New Roman" w:hAnsi="Arial" w:cs="Arial"/>
          <w:bCs/>
          <w:lang w:val="es-ES" w:eastAsia="es-CO"/>
        </w:rPr>
        <w:t xml:space="preserve">Lo anterior sin perjuicio de la posibilidad de celebrar prórrogas, adiciones, modificaciones o cesiones de los contratos suscritos antes de la </w:t>
      </w:r>
      <w:proofErr w:type="gramStart"/>
      <w:r w:rsidRPr="00A432CD">
        <w:rPr>
          <w:rFonts w:ascii="Arial" w:eastAsia="Times New Roman" w:hAnsi="Arial" w:cs="Arial"/>
          <w:bCs/>
          <w:lang w:val="es-ES" w:eastAsia="es-CO"/>
        </w:rPr>
        <w:t>entrada en vigencia</w:t>
      </w:r>
      <w:proofErr w:type="gramEnd"/>
      <w:r w:rsidRPr="00A432CD">
        <w:rPr>
          <w:rFonts w:ascii="Arial" w:eastAsia="Times New Roman" w:hAnsi="Arial" w:cs="Arial"/>
          <w:bCs/>
          <w:lang w:val="es-ES" w:eastAsia="es-CO"/>
        </w:rPr>
        <w:t xml:space="preserve"> de las prohibiciones anotadas una vez éstas han comenzado a surtir efectos, actuaciones que pueden tener lugar, sin que con ello se transgredan las restricciones explicadas, siempre que se cumplan los principios de planeación, transparencia y responsabilidad. Esto por cuanto se ha considerado que actuaciones como cesiones, prórrogas, modificaciones y adiciones de contratos vigentes, no se encuentran dentro del ámbito de aplicación de las mencionadas restricciones. De hecho, esta fue la postura que asumió en su momento </w:t>
      </w:r>
      <w:r w:rsidR="00E97576" w:rsidRPr="00A432CD">
        <w:rPr>
          <w:rFonts w:ascii="Arial" w:eastAsia="Times New Roman" w:hAnsi="Arial" w:cs="Arial"/>
          <w:bCs/>
          <w:lang w:val="es-ES" w:eastAsia="es-CO"/>
        </w:rPr>
        <w:t xml:space="preserve">la Agencia Nacional de Contratación Estatal - </w:t>
      </w:r>
      <w:r w:rsidRPr="00A432CD">
        <w:rPr>
          <w:rFonts w:ascii="Arial" w:eastAsia="Times New Roman" w:hAnsi="Arial" w:cs="Arial"/>
          <w:bCs/>
          <w:lang w:val="es-ES" w:eastAsia="es-CO"/>
        </w:rPr>
        <w:t xml:space="preserve">Colombia Compra Eficiente en la Circular No. 3 del 16 de agosto de 2013, expedida con el fin de establecer unas pautas para el cumplimiento de las restricciones a la contratación pública establecidas en la Ley 996 de 2005, en los meses anteriores a las elecciones presidenciales que tuvieron lugar en el 2014. En el texto de la mencionada Circular, en relación con la restricción del artículo 33 </w:t>
      </w:r>
      <w:r w:rsidRPr="00A432CD">
        <w:rPr>
          <w:rFonts w:ascii="Arial" w:eastAsia="Times New Roman" w:hAnsi="Arial" w:cs="Arial"/>
          <w:bCs/>
          <w:i/>
          <w:iCs/>
          <w:lang w:val="es-ES" w:eastAsia="es-CO"/>
        </w:rPr>
        <w:t>ibidem</w:t>
      </w:r>
      <w:r w:rsidRPr="00A432CD">
        <w:rPr>
          <w:rFonts w:ascii="Arial" w:eastAsia="Times New Roman" w:hAnsi="Arial" w:cs="Arial"/>
          <w:bCs/>
          <w:lang w:val="es-ES" w:eastAsia="es-CO"/>
        </w:rPr>
        <w:t xml:space="preserve">, la Agencia sostuvo que </w:t>
      </w:r>
      <w:r w:rsidRPr="00A432CD">
        <w:rPr>
          <w:rFonts w:ascii="Arial" w:eastAsia="Times New Roman" w:hAnsi="Arial" w:cs="Arial"/>
          <w:bCs/>
          <w:lang w:eastAsia="es-CO"/>
        </w:rPr>
        <w:t xml:space="preserve">«Las prórrogas, modificaciones o adiciones, y la cesión de los contratos </w:t>
      </w:r>
      <w:r w:rsidRPr="00A432CD">
        <w:rPr>
          <w:rFonts w:ascii="Arial" w:eastAsia="Times New Roman" w:hAnsi="Arial" w:cs="Arial"/>
          <w:bCs/>
          <w:lang w:eastAsia="es-CO"/>
        </w:rPr>
        <w:lastRenderedPageBreak/>
        <w:t>suscritos antes del período de la campaña presidencial están permitidas durante la campaña de acuerdo con lo establecido en las normas aplicables, siempre que tales prórrogas, modificaciones o adiciones, y cesiones cumplan los principios de planeación, transparencia y responsabilidad»</w:t>
      </w:r>
      <w:r w:rsidRPr="00A432CD">
        <w:rPr>
          <w:rStyle w:val="Refdenotaalpie"/>
          <w:rFonts w:ascii="Arial" w:hAnsi="Arial" w:cs="Arial"/>
          <w:bCs/>
        </w:rPr>
        <w:footnoteReference w:id="27"/>
      </w:r>
      <w:r w:rsidRPr="00A432CD">
        <w:rPr>
          <w:rFonts w:ascii="Arial" w:eastAsia="Times New Roman" w:hAnsi="Arial" w:cs="Arial"/>
          <w:bCs/>
          <w:lang w:eastAsia="es-CO"/>
        </w:rPr>
        <w:t xml:space="preserve">. </w:t>
      </w:r>
    </w:p>
    <w:p w14:paraId="2F544BEC" w14:textId="715523A4" w:rsidR="00112554" w:rsidRPr="00112554" w:rsidRDefault="00112554" w:rsidP="00112554">
      <w:pPr>
        <w:spacing w:after="120" w:line="276" w:lineRule="auto"/>
        <w:ind w:firstLine="709"/>
        <w:jc w:val="both"/>
        <w:rPr>
          <w:rFonts w:ascii="Arial" w:eastAsia="Times New Roman" w:hAnsi="Arial" w:cs="Arial"/>
          <w:bCs/>
          <w:lang w:eastAsia="x-none"/>
        </w:rPr>
      </w:pPr>
      <w:r w:rsidRPr="00112554">
        <w:rPr>
          <w:rFonts w:ascii="Arial" w:eastAsia="Times New Roman" w:hAnsi="Arial" w:cs="Arial"/>
          <w:bCs/>
          <w:lang w:eastAsia="x-none"/>
        </w:rPr>
        <w:t xml:space="preserve">No obstante, debe precisarse </w:t>
      </w:r>
      <w:r w:rsidR="00EF3556" w:rsidRPr="00112554">
        <w:rPr>
          <w:rFonts w:ascii="Arial" w:eastAsia="Times New Roman" w:hAnsi="Arial" w:cs="Arial"/>
          <w:bCs/>
          <w:lang w:eastAsia="x-none"/>
        </w:rPr>
        <w:t>que,</w:t>
      </w:r>
      <w:r w:rsidRPr="00112554">
        <w:rPr>
          <w:rFonts w:ascii="Arial" w:eastAsia="Times New Roman" w:hAnsi="Arial" w:cs="Arial"/>
          <w:bCs/>
          <w:lang w:eastAsia="x-none"/>
        </w:rPr>
        <w:t xml:space="preserve"> si bien se estima válida la suscripción de las referidas actuaciones durante los períodos preelectorales en los que aplican las restricciones analizadas, en la medida en que, </w:t>
      </w:r>
      <w:r w:rsidRPr="00112554">
        <w:rPr>
          <w:rFonts w:ascii="Arial" w:eastAsia="Times New Roman" w:hAnsi="Arial" w:cs="Arial"/>
          <w:bCs/>
          <w:i/>
          <w:iCs/>
          <w:lang w:eastAsia="x-none"/>
        </w:rPr>
        <w:t>per se,</w:t>
      </w:r>
      <w:r w:rsidRPr="00112554">
        <w:rPr>
          <w:rFonts w:ascii="Arial" w:eastAsia="Times New Roman" w:hAnsi="Arial" w:cs="Arial"/>
          <w:bCs/>
          <w:lang w:eastAsia="x-none"/>
        </w:rPr>
        <w:t xml:space="preserve"> no suponen una vulneración de las prohibiciones mencionadas, ello no significa que puedan realizarse todo tipo de prórrogas, adiciones, modificaciones o cesiones sin reparar en si estas se ajustan o no a las demás disposiciones normativas conforme a las cuales deben ser realizadas. En este sentido, si, por ejemplo, en vigencia de las referidas restricciones se pretendiera realizar la cesión de un contrato, esto estaría condicionado a que el eventual cesionario del contratista fuere una persona con capacidad jurídica para ejecutar el contrato</w:t>
      </w:r>
      <w:r w:rsidRPr="00112554">
        <w:rPr>
          <w:rStyle w:val="Refdenotaalpie"/>
          <w:rFonts w:ascii="Arial" w:hAnsi="Arial" w:cs="Arial"/>
          <w:bCs/>
          <w:lang w:eastAsia="x-none"/>
        </w:rPr>
        <w:footnoteReference w:id="28"/>
      </w:r>
      <w:r w:rsidRPr="00112554">
        <w:rPr>
          <w:rFonts w:ascii="Arial" w:eastAsia="Times New Roman" w:hAnsi="Arial" w:cs="Arial"/>
          <w:bCs/>
          <w:lang w:eastAsia="x-none"/>
        </w:rPr>
        <w:t>, por lo que no resultaría viable realizar la cesión en favor de una persona objeto de alguna inhabilidad</w:t>
      </w:r>
      <w:r w:rsidRPr="00112554">
        <w:rPr>
          <w:rStyle w:val="Refdenotaalpie"/>
          <w:rFonts w:ascii="Arial" w:hAnsi="Arial" w:cs="Arial"/>
          <w:bCs/>
          <w:lang w:eastAsia="x-none"/>
        </w:rPr>
        <w:footnoteReference w:id="29"/>
      </w:r>
      <w:r w:rsidRPr="00112554">
        <w:rPr>
          <w:rFonts w:ascii="Arial" w:eastAsia="Times New Roman" w:hAnsi="Arial" w:cs="Arial"/>
          <w:bCs/>
          <w:lang w:eastAsia="x-none"/>
        </w:rPr>
        <w:t xml:space="preserve">. Además, el análisis concreto sobre la procedencia en cada caso concreto corresponde realizarlo a cada entidad estatal. </w:t>
      </w:r>
    </w:p>
    <w:p w14:paraId="4FF17A9E" w14:textId="156A5FE8" w:rsidR="00112554" w:rsidRPr="00112554" w:rsidRDefault="0009396F" w:rsidP="00EA4EF1">
      <w:pPr>
        <w:spacing w:after="0" w:line="276" w:lineRule="auto"/>
        <w:ind w:firstLine="709"/>
        <w:contextualSpacing/>
        <w:jc w:val="both"/>
        <w:rPr>
          <w:rFonts w:ascii="Arial" w:eastAsia="Times New Roman" w:hAnsi="Arial" w:cs="Arial"/>
          <w:bCs/>
          <w:lang w:eastAsia="x-none"/>
        </w:rPr>
      </w:pPr>
      <w:r>
        <w:rPr>
          <w:rFonts w:ascii="Arial" w:eastAsia="Times New Roman" w:hAnsi="Arial" w:cs="Arial"/>
          <w:bCs/>
          <w:lang w:eastAsia="x-none"/>
        </w:rPr>
        <w:t>Finalmente, d</w:t>
      </w:r>
      <w:r w:rsidR="00112554" w:rsidRPr="00112554">
        <w:rPr>
          <w:rFonts w:ascii="Arial" w:eastAsia="Times New Roman" w:hAnsi="Arial" w:cs="Arial"/>
          <w:bCs/>
          <w:lang w:eastAsia="x-none"/>
        </w:rPr>
        <w:t xml:space="preserve">ebe advertirse que estas limitaciones temporales a la contratación directa durante la campaña presidencial y a la celebración de los convenios y contratos interadministrativos frente a los comicios a cargos de elección popular, requiere que los órganos y entidades que tengan capacidad contractual planifiquen su gestión contractual con suficiente antelación a los períodos de elección presidencial o de elecciones de cualquier otro cargo, según el caso, de forma que no se vea afectada la función administrativa en </w:t>
      </w:r>
      <w:r w:rsidR="00112554" w:rsidRPr="00112554">
        <w:rPr>
          <w:rFonts w:ascii="Arial" w:eastAsia="Times New Roman" w:hAnsi="Arial" w:cs="Arial"/>
          <w:bCs/>
          <w:lang w:eastAsia="x-none"/>
        </w:rPr>
        <w:lastRenderedPageBreak/>
        <w:t xml:space="preserve">razón de la restricción impuesta por la Ley de Garantías Electorales. De ahí la importancia de que los principios de planeación, transparencia y responsabilidad se materialicen en la eventual celebración de prórrogas, modificaciones, adiciones o cesiones de los contratos vigentes suscritos antes del inicio de las restricciones aplicables, por cuenta de los artículos 33 y 38 de la Ley 996 de 2005 en materia de contratación pública. </w:t>
      </w:r>
    </w:p>
    <w:p w14:paraId="2410FEDE" w14:textId="77777777" w:rsidR="0020208C" w:rsidRPr="008B76D5" w:rsidRDefault="0020208C" w:rsidP="00EA4EF1">
      <w:pPr>
        <w:spacing w:after="0" w:line="276" w:lineRule="auto"/>
        <w:contextualSpacing/>
        <w:jc w:val="both"/>
        <w:rPr>
          <w:rFonts w:ascii="Arial" w:hAnsi="Arial" w:cs="Arial"/>
          <w:b/>
          <w:bCs/>
          <w:lang w:val="es-MX" w:eastAsia="es-CO"/>
        </w:rPr>
      </w:pPr>
    </w:p>
    <w:p w14:paraId="681A88A1" w14:textId="04008C3F" w:rsidR="00134409" w:rsidRPr="008B76D5" w:rsidRDefault="00134409" w:rsidP="00EA4EF1">
      <w:pPr>
        <w:spacing w:after="0" w:line="276" w:lineRule="auto"/>
        <w:contextualSpacing/>
        <w:jc w:val="both"/>
        <w:rPr>
          <w:rFonts w:ascii="Arial" w:eastAsia="Calibri" w:hAnsi="Arial" w:cs="Arial"/>
          <w:b/>
          <w:lang w:val="es-ES_tradnl"/>
        </w:rPr>
      </w:pPr>
      <w:r w:rsidRPr="008B76D5">
        <w:rPr>
          <w:rFonts w:ascii="Arial" w:eastAsia="Calibri" w:hAnsi="Arial" w:cs="Arial"/>
          <w:b/>
          <w:lang w:val="es-ES_tradnl"/>
        </w:rPr>
        <w:t>3. Respuesta</w:t>
      </w:r>
    </w:p>
    <w:p w14:paraId="5CF86EEA" w14:textId="77777777" w:rsidR="00134409" w:rsidRPr="008B76D5" w:rsidRDefault="00134409" w:rsidP="00EA4EF1">
      <w:pPr>
        <w:spacing w:after="0" w:line="240" w:lineRule="auto"/>
        <w:contextualSpacing/>
        <w:jc w:val="both"/>
        <w:rPr>
          <w:rFonts w:ascii="Arial" w:eastAsia="Calibri" w:hAnsi="Arial" w:cs="Arial"/>
          <w:bCs/>
          <w:lang w:val="es-ES_tradnl"/>
        </w:rPr>
      </w:pPr>
    </w:p>
    <w:p w14:paraId="646A40C2" w14:textId="00580F35" w:rsidR="008B76D5" w:rsidRDefault="008B76D5" w:rsidP="008B76D5">
      <w:pPr>
        <w:spacing w:after="0" w:line="240" w:lineRule="auto"/>
        <w:ind w:left="709" w:right="709"/>
        <w:contextualSpacing/>
        <w:jc w:val="both"/>
        <w:rPr>
          <w:rFonts w:ascii="Arial" w:hAnsi="Arial" w:cs="Arial"/>
          <w:sz w:val="21"/>
          <w:szCs w:val="21"/>
        </w:rPr>
      </w:pPr>
      <w:bookmarkStart w:id="24" w:name="_Hlk57650395"/>
      <w:r w:rsidRPr="001B0ECD">
        <w:rPr>
          <w:rFonts w:ascii="Arial" w:eastAsia="Times New Roman" w:hAnsi="Arial" w:cs="Arial"/>
          <w:sz w:val="21"/>
          <w:szCs w:val="21"/>
          <w:lang w:eastAsia="es-ES_tradnl"/>
        </w:rPr>
        <w:t>«</w:t>
      </w:r>
      <w:r w:rsidRPr="001B0ECD">
        <w:rPr>
          <w:rFonts w:ascii="Arial" w:hAnsi="Arial" w:cs="Arial"/>
          <w:sz w:val="21"/>
          <w:szCs w:val="21"/>
        </w:rPr>
        <w:t xml:space="preserve">1. ¿son aplicables a las personerías municipales las restricciones en materia de contracción pública directa establecidas por la ley de garantías electorales? </w:t>
      </w:r>
    </w:p>
    <w:p w14:paraId="4D4C0479" w14:textId="77777777" w:rsidR="002B1788" w:rsidRDefault="002B1788" w:rsidP="008B76D5">
      <w:pPr>
        <w:spacing w:after="0" w:line="240" w:lineRule="auto"/>
        <w:ind w:left="709" w:right="709"/>
        <w:contextualSpacing/>
        <w:jc w:val="both"/>
        <w:rPr>
          <w:rFonts w:ascii="Arial" w:hAnsi="Arial" w:cs="Arial"/>
          <w:sz w:val="21"/>
          <w:szCs w:val="21"/>
        </w:rPr>
      </w:pPr>
    </w:p>
    <w:p w14:paraId="14534276" w14:textId="5B43329C" w:rsidR="00134409" w:rsidRDefault="008B76D5" w:rsidP="008B76D5">
      <w:pPr>
        <w:spacing w:after="0" w:line="240" w:lineRule="auto"/>
        <w:ind w:left="709" w:right="709"/>
        <w:contextualSpacing/>
        <w:jc w:val="both"/>
        <w:rPr>
          <w:rFonts w:ascii="Arial" w:eastAsia="Times New Roman" w:hAnsi="Arial" w:cs="Arial"/>
          <w:sz w:val="21"/>
          <w:szCs w:val="21"/>
          <w:lang w:eastAsia="es-ES_tradnl"/>
        </w:rPr>
      </w:pPr>
      <w:r w:rsidRPr="001B0ECD">
        <w:rPr>
          <w:rFonts w:ascii="Arial" w:hAnsi="Arial" w:cs="Arial"/>
          <w:sz w:val="21"/>
          <w:szCs w:val="21"/>
        </w:rPr>
        <w:t>2. ¿pueden por necesidad del servicio, las personerías municipales en el actual periodo preelectoral, celebrar directamente contratos de arriendo de inmueble para su funcionamiento de su sede, o de prestación de servicios profesionales de asesoría contable y financiera, tendiendo en cuenta que son los únicos contratos que celebra bajo esta modalidad de forma habitual?</w:t>
      </w:r>
      <w:r w:rsidRPr="001B0ECD">
        <w:rPr>
          <w:rFonts w:ascii="Arial" w:eastAsia="Times New Roman" w:hAnsi="Arial" w:cs="Arial"/>
          <w:sz w:val="21"/>
          <w:szCs w:val="21"/>
          <w:lang w:eastAsia="es-ES_tradnl"/>
        </w:rPr>
        <w:t>».</w:t>
      </w:r>
    </w:p>
    <w:p w14:paraId="3BF9749F" w14:textId="3456B2B0" w:rsidR="008B76D5" w:rsidRDefault="008B76D5" w:rsidP="008B76D5">
      <w:pPr>
        <w:spacing w:after="0" w:line="240" w:lineRule="auto"/>
        <w:ind w:left="709" w:right="709"/>
        <w:contextualSpacing/>
        <w:jc w:val="both"/>
        <w:rPr>
          <w:rFonts w:ascii="Arial" w:hAnsi="Arial" w:cs="Arial"/>
          <w:sz w:val="21"/>
          <w:szCs w:val="21"/>
        </w:rPr>
      </w:pPr>
    </w:p>
    <w:p w14:paraId="1E5D3B06" w14:textId="74FB3EC1" w:rsidR="00722714" w:rsidRPr="00933FB2" w:rsidRDefault="00722714" w:rsidP="00722714">
      <w:pPr>
        <w:spacing w:after="120" w:line="276" w:lineRule="auto"/>
        <w:jc w:val="both"/>
        <w:rPr>
          <w:rFonts w:ascii="Arial" w:eastAsia="Calibri" w:hAnsi="Arial" w:cs="Arial"/>
          <w:bCs/>
          <w:color w:val="000000" w:themeColor="text1"/>
          <w:lang w:val="es-ES_tradnl"/>
        </w:rPr>
      </w:pPr>
      <w:r w:rsidRPr="00933FB2">
        <w:rPr>
          <w:rFonts w:ascii="Arial" w:eastAsia="Calibri" w:hAnsi="Arial" w:cs="Arial"/>
          <w:bCs/>
          <w:color w:val="000000" w:themeColor="text1"/>
          <w:lang w:val="es-ES"/>
        </w:rPr>
        <w:t xml:space="preserve">Con base en las consideraciones expuestas es posible afirmar que, </w:t>
      </w:r>
      <w:r w:rsidRPr="00933FB2">
        <w:rPr>
          <w:rFonts w:ascii="Arial" w:hAnsi="Arial" w:cs="Arial"/>
        </w:rPr>
        <w:t xml:space="preserve">la restricción a la contratación directa prevista en el artículo 33 de la Ley 996 de 2005 </w:t>
      </w:r>
      <w:r w:rsidRPr="00933FB2">
        <w:rPr>
          <w:rFonts w:ascii="Arial" w:hAnsi="Arial" w:cs="Arial"/>
          <w:bCs/>
          <w:lang w:eastAsia="x-none"/>
        </w:rPr>
        <w:t xml:space="preserve">cobija a «todos los entes del Estado», expresión que contempla a los diferentes organismos o entidades autorizadas por la ley para suscribir contratos,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Esto significa que entidades como las </w:t>
      </w:r>
      <w:r w:rsidRPr="00933FB2">
        <w:rPr>
          <w:rFonts w:ascii="Arial" w:hAnsi="Arial" w:cs="Arial"/>
          <w:bCs/>
          <w:i/>
          <w:iCs/>
          <w:lang w:eastAsia="x-none"/>
        </w:rPr>
        <w:t>personerías municipales</w:t>
      </w:r>
      <w:r w:rsidRPr="00933FB2">
        <w:rPr>
          <w:rFonts w:ascii="Arial" w:hAnsi="Arial" w:cs="Arial"/>
          <w:bCs/>
          <w:lang w:eastAsia="x-none"/>
        </w:rPr>
        <w:t xml:space="preserve">, las cuales hacen parte del </w:t>
      </w:r>
      <w:r w:rsidR="00951016" w:rsidRPr="00933FB2">
        <w:rPr>
          <w:rFonts w:ascii="Arial" w:hAnsi="Arial" w:cs="Arial"/>
          <w:bCs/>
          <w:lang w:eastAsia="x-none"/>
        </w:rPr>
        <w:t xml:space="preserve">Ministerio Público, </w:t>
      </w:r>
      <w:r w:rsidRPr="00933FB2">
        <w:rPr>
          <w:rFonts w:ascii="Arial" w:hAnsi="Arial" w:cs="Arial"/>
          <w:bCs/>
          <w:lang w:eastAsia="x-none"/>
        </w:rPr>
        <w:t xml:space="preserve">a pesar no hacer parte de la Administración Pública, si se encuentran cobijados por la referida restricción, </w:t>
      </w:r>
      <w:r w:rsidR="0048020A" w:rsidRPr="00933FB2">
        <w:rPr>
          <w:rFonts w:ascii="Arial" w:hAnsi="Arial" w:cs="Arial"/>
          <w:bCs/>
          <w:lang w:eastAsia="x-none"/>
        </w:rPr>
        <w:t>en la medida que hacen</w:t>
      </w:r>
      <w:r w:rsidRPr="00933FB2">
        <w:rPr>
          <w:rFonts w:ascii="Arial" w:hAnsi="Arial" w:cs="Arial"/>
          <w:bCs/>
          <w:lang w:eastAsia="x-none"/>
        </w:rPr>
        <w:t xml:space="preserve"> parte de la estructura del Estado, conforme lo establec</w:t>
      </w:r>
      <w:r w:rsidR="0048020A" w:rsidRPr="00933FB2">
        <w:rPr>
          <w:rFonts w:ascii="Arial" w:hAnsi="Arial" w:cs="Arial"/>
          <w:bCs/>
          <w:lang w:eastAsia="x-none"/>
        </w:rPr>
        <w:t>ido en</w:t>
      </w:r>
      <w:r w:rsidRPr="00933FB2">
        <w:rPr>
          <w:rFonts w:ascii="Arial" w:hAnsi="Arial" w:cs="Arial"/>
          <w:bCs/>
          <w:lang w:eastAsia="x-none"/>
        </w:rPr>
        <w:t xml:space="preserve"> los artículos 116, 117 y 118 de la Constitución Política.    </w:t>
      </w:r>
    </w:p>
    <w:p w14:paraId="79AE1889" w14:textId="4D0CDBB8" w:rsidR="00722714" w:rsidRPr="00933FB2" w:rsidRDefault="008273F4" w:rsidP="00722714">
      <w:pPr>
        <w:spacing w:after="120" w:line="276" w:lineRule="auto"/>
        <w:ind w:firstLine="708"/>
        <w:jc w:val="both"/>
        <w:rPr>
          <w:rFonts w:ascii="Arial" w:eastAsia="Calibri" w:hAnsi="Arial" w:cs="Arial"/>
          <w:bCs/>
          <w:color w:val="000000" w:themeColor="text1"/>
          <w:lang w:val="es-ES_tradnl"/>
        </w:rPr>
      </w:pPr>
      <w:r w:rsidRPr="00933FB2">
        <w:rPr>
          <w:rFonts w:ascii="Arial" w:eastAsia="Calibri" w:hAnsi="Arial" w:cs="Arial"/>
          <w:bCs/>
          <w:color w:val="000000" w:themeColor="text1"/>
          <w:lang w:val="es-ES_tradnl"/>
        </w:rPr>
        <w:t>La mencionada</w:t>
      </w:r>
      <w:r w:rsidR="00722714" w:rsidRPr="00933FB2">
        <w:rPr>
          <w:rFonts w:ascii="Arial" w:eastAsia="Calibri" w:hAnsi="Arial" w:cs="Arial"/>
          <w:bCs/>
          <w:color w:val="000000" w:themeColor="text1"/>
          <w:lang w:val="es-ES_tradnl"/>
        </w:rPr>
        <w:t xml:space="preserve"> restricción prohíbe la contratación directa por parte de «todos los entes del Estado», durante los cuatro (4) meses anteriores a la elección presidencial y hasta la realización de la elección en la segunda vuelta, en caso de que se presente. </w:t>
      </w:r>
      <w:r w:rsidR="00740E1C" w:rsidRPr="00933FB2">
        <w:rPr>
          <w:rFonts w:ascii="Arial" w:eastAsia="Calibri" w:hAnsi="Arial" w:cs="Arial"/>
          <w:bCs/>
          <w:color w:val="000000" w:themeColor="text1"/>
          <w:lang w:val="es-ES_tradnl"/>
        </w:rPr>
        <w:t xml:space="preserve">Esto, sin perjuicio de las excepciones </w:t>
      </w:r>
      <w:r w:rsidR="00CD271D" w:rsidRPr="00933FB2">
        <w:rPr>
          <w:rFonts w:ascii="Arial" w:eastAsia="Calibri" w:hAnsi="Arial" w:cs="Arial"/>
          <w:bCs/>
          <w:color w:val="000000" w:themeColor="text1"/>
          <w:lang w:val="es-ES_tradnl"/>
        </w:rPr>
        <w:t xml:space="preserve">que </w:t>
      </w:r>
      <w:r w:rsidR="00740E1C" w:rsidRPr="00933FB2">
        <w:rPr>
          <w:rFonts w:ascii="Arial" w:eastAsia="Calibri" w:hAnsi="Arial" w:cs="Arial"/>
          <w:bCs/>
          <w:color w:val="000000" w:themeColor="text1"/>
          <w:lang w:val="es-ES_tradnl"/>
        </w:rPr>
        <w:t>consagra</w:t>
      </w:r>
      <w:r w:rsidR="00722714" w:rsidRPr="00933FB2">
        <w:rPr>
          <w:rFonts w:ascii="Arial" w:eastAsia="Calibri" w:hAnsi="Arial" w:cs="Arial"/>
          <w:bCs/>
          <w:color w:val="000000" w:themeColor="text1"/>
          <w:lang w:val="es-ES_tradnl"/>
        </w:rPr>
        <w:t xml:space="preserve"> el inciso segundo</w:t>
      </w:r>
      <w:r w:rsidR="00740E1C" w:rsidRPr="00933FB2">
        <w:rPr>
          <w:rFonts w:ascii="Arial" w:eastAsia="Calibri" w:hAnsi="Arial" w:cs="Arial"/>
          <w:bCs/>
          <w:color w:val="000000" w:themeColor="text1"/>
          <w:lang w:val="es-ES_tradnl"/>
        </w:rPr>
        <w:t xml:space="preserve"> del artículo 33</w:t>
      </w:r>
      <w:r w:rsidR="00CD271D" w:rsidRPr="00933FB2">
        <w:rPr>
          <w:rFonts w:ascii="Arial" w:eastAsia="Calibri" w:hAnsi="Arial" w:cs="Arial"/>
          <w:bCs/>
          <w:color w:val="000000" w:themeColor="text1"/>
          <w:lang w:val="es-ES_tradnl"/>
        </w:rPr>
        <w:t xml:space="preserve"> de l</w:t>
      </w:r>
      <w:r w:rsidR="00933FB2" w:rsidRPr="00933FB2">
        <w:rPr>
          <w:rFonts w:ascii="Arial" w:eastAsia="Calibri" w:hAnsi="Arial" w:cs="Arial"/>
          <w:bCs/>
          <w:color w:val="000000" w:themeColor="text1"/>
          <w:lang w:val="es-ES_tradnl"/>
        </w:rPr>
        <w:t>a</w:t>
      </w:r>
      <w:r w:rsidR="00CD271D" w:rsidRPr="00933FB2">
        <w:rPr>
          <w:rFonts w:ascii="Arial" w:eastAsia="Calibri" w:hAnsi="Arial" w:cs="Arial"/>
          <w:bCs/>
          <w:color w:val="000000" w:themeColor="text1"/>
          <w:lang w:val="es-ES_tradnl"/>
        </w:rPr>
        <w:t xml:space="preserve"> siguiente forma</w:t>
      </w:r>
      <w:r w:rsidR="00722714" w:rsidRPr="00933FB2">
        <w:rPr>
          <w:rFonts w:ascii="Arial" w:eastAsia="Calibri" w:hAnsi="Arial" w:cs="Arial"/>
          <w:bCs/>
          <w:color w:val="000000" w:themeColor="text1"/>
          <w:lang w:val="es-ES_tradnl"/>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w:t>
      </w:r>
      <w:r w:rsidR="00722714" w:rsidRPr="00933FB2">
        <w:rPr>
          <w:rFonts w:ascii="Arial" w:eastAsia="Times New Roman" w:hAnsi="Arial" w:cs="Arial"/>
          <w:bCs/>
          <w:lang w:eastAsia="es-CO"/>
        </w:rPr>
        <w:t xml:space="preserve">En todo caso, es responsabilidad de la respectiva entidad, con el apoyo de sus órganos asesores, examinar </w:t>
      </w:r>
      <w:r w:rsidR="00722714" w:rsidRPr="00933FB2">
        <w:rPr>
          <w:rFonts w:ascii="Arial" w:eastAsia="Times New Roman" w:hAnsi="Arial" w:cs="Arial"/>
          <w:bCs/>
          <w:lang w:eastAsia="es-CO"/>
        </w:rPr>
        <w:lastRenderedPageBreak/>
        <w:t xml:space="preserve">en cada caso la naturaleza de las actividades que adelanta y determinar si las mismas se enmarcan </w:t>
      </w:r>
      <w:r w:rsidR="00CD271D" w:rsidRPr="00933FB2">
        <w:rPr>
          <w:rFonts w:ascii="Arial" w:eastAsia="Times New Roman" w:hAnsi="Arial" w:cs="Arial"/>
          <w:bCs/>
          <w:lang w:eastAsia="es-CO"/>
        </w:rPr>
        <w:t xml:space="preserve">o no </w:t>
      </w:r>
      <w:r w:rsidR="00722714" w:rsidRPr="00933FB2">
        <w:rPr>
          <w:rFonts w:ascii="Arial" w:eastAsia="Times New Roman" w:hAnsi="Arial" w:cs="Arial"/>
          <w:bCs/>
          <w:lang w:eastAsia="es-CO"/>
        </w:rPr>
        <w:t>en alguna de las mencionadas excepciones.</w:t>
      </w:r>
    </w:p>
    <w:p w14:paraId="00F1A562" w14:textId="3A7C3B14" w:rsidR="00134409" w:rsidRPr="00722714" w:rsidRDefault="00520CBB" w:rsidP="00722714">
      <w:pPr>
        <w:spacing w:line="276" w:lineRule="auto"/>
        <w:ind w:firstLine="709"/>
        <w:jc w:val="both"/>
        <w:rPr>
          <w:rFonts w:ascii="Arial" w:eastAsia="Calibri" w:hAnsi="Arial" w:cs="Arial"/>
          <w:bCs/>
          <w:color w:val="000000" w:themeColor="text1"/>
          <w:lang w:val="es-ES_tradnl"/>
        </w:rPr>
      </w:pPr>
      <w:r w:rsidRPr="000005C3">
        <w:rPr>
          <w:rFonts w:ascii="Arial" w:eastAsia="Calibri" w:hAnsi="Arial" w:cs="Arial"/>
          <w:bCs/>
          <w:color w:val="000000" w:themeColor="text1"/>
        </w:rPr>
        <w:t>A</w:t>
      </w:r>
      <w:r>
        <w:rPr>
          <w:rFonts w:ascii="Arial" w:eastAsia="Calibri" w:hAnsi="Arial" w:cs="Arial"/>
          <w:bCs/>
          <w:color w:val="000000" w:themeColor="text1"/>
        </w:rPr>
        <w:t xml:space="preserve">hora </w:t>
      </w:r>
      <w:r w:rsidR="00BE5372">
        <w:rPr>
          <w:rFonts w:ascii="Arial" w:eastAsia="Calibri" w:hAnsi="Arial" w:cs="Arial"/>
          <w:bCs/>
          <w:color w:val="000000" w:themeColor="text1"/>
        </w:rPr>
        <w:t>bien</w:t>
      </w:r>
      <w:r w:rsidR="00722714" w:rsidRPr="000005C3">
        <w:rPr>
          <w:rFonts w:ascii="Arial" w:eastAsia="Calibri" w:hAnsi="Arial" w:cs="Arial"/>
          <w:bCs/>
          <w:color w:val="000000" w:themeColor="text1"/>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 De conformidad con l</w:t>
      </w:r>
      <w:r>
        <w:rPr>
          <w:rFonts w:ascii="Arial" w:eastAsia="Calibri" w:hAnsi="Arial" w:cs="Arial"/>
          <w:bCs/>
          <w:color w:val="000000" w:themeColor="text1"/>
        </w:rPr>
        <w:t>os</w:t>
      </w:r>
      <w:r w:rsidR="00722714" w:rsidRPr="000005C3">
        <w:rPr>
          <w:rFonts w:ascii="Arial" w:eastAsia="Calibri" w:hAnsi="Arial" w:cs="Arial"/>
          <w:bCs/>
          <w:color w:val="000000" w:themeColor="text1"/>
        </w:rPr>
        <w:t xml:space="preserve"> literal</w:t>
      </w:r>
      <w:r>
        <w:rPr>
          <w:rFonts w:ascii="Arial" w:eastAsia="Calibri" w:hAnsi="Arial" w:cs="Arial"/>
          <w:bCs/>
          <w:color w:val="000000" w:themeColor="text1"/>
        </w:rPr>
        <w:t>es</w:t>
      </w:r>
      <w:r w:rsidR="00722714" w:rsidRPr="000005C3">
        <w:rPr>
          <w:rFonts w:ascii="Arial" w:eastAsia="Calibri" w:hAnsi="Arial" w:cs="Arial"/>
          <w:bCs/>
          <w:color w:val="000000" w:themeColor="text1"/>
        </w:rPr>
        <w:t xml:space="preserve"> h)</w:t>
      </w:r>
      <w:r>
        <w:rPr>
          <w:rFonts w:ascii="Arial" w:eastAsia="Calibri" w:hAnsi="Arial" w:cs="Arial"/>
          <w:bCs/>
          <w:color w:val="000000" w:themeColor="text1"/>
        </w:rPr>
        <w:t xml:space="preserve"> e i)</w:t>
      </w:r>
      <w:r w:rsidR="00722714" w:rsidRPr="000005C3">
        <w:rPr>
          <w:rFonts w:ascii="Arial" w:eastAsia="Calibri" w:hAnsi="Arial" w:cs="Arial"/>
          <w:bCs/>
          <w:color w:val="000000" w:themeColor="text1"/>
        </w:rPr>
        <w:t xml:space="preserve"> del artículo 2-4 de la Ley 1150 de 2007, la contratación directa es la modalidad aplicable a los contratos de prestación de servicios</w:t>
      </w:r>
      <w:r>
        <w:rPr>
          <w:rFonts w:ascii="Arial" w:eastAsia="Calibri" w:hAnsi="Arial" w:cs="Arial"/>
          <w:bCs/>
          <w:color w:val="000000" w:themeColor="text1"/>
        </w:rPr>
        <w:t xml:space="preserve"> y a los contratos de arrendamiento </w:t>
      </w:r>
      <w:r w:rsidR="00D83360">
        <w:rPr>
          <w:rFonts w:ascii="Arial" w:eastAsia="Calibri" w:hAnsi="Arial" w:cs="Arial"/>
          <w:bCs/>
          <w:color w:val="000000" w:themeColor="text1"/>
        </w:rPr>
        <w:t>o adquisición de inmuebles</w:t>
      </w:r>
      <w:r w:rsidR="00722714" w:rsidRPr="000005C3">
        <w:rPr>
          <w:rFonts w:ascii="Arial" w:eastAsia="Calibri" w:hAnsi="Arial" w:cs="Arial"/>
          <w:bCs/>
          <w:color w:val="000000" w:themeColor="text1"/>
        </w:rPr>
        <w:t xml:space="preserve">, lo que implica que, durante los periodos que rige la restricción </w:t>
      </w:r>
      <w:r w:rsidR="00D83360">
        <w:rPr>
          <w:rFonts w:ascii="Arial" w:eastAsia="Calibri" w:hAnsi="Arial" w:cs="Arial"/>
          <w:bCs/>
          <w:color w:val="000000" w:themeColor="text1"/>
        </w:rPr>
        <w:t>estudiada</w:t>
      </w:r>
      <w:r w:rsidR="00722714" w:rsidRPr="000005C3">
        <w:rPr>
          <w:rFonts w:ascii="Arial" w:eastAsia="Calibri" w:hAnsi="Arial" w:cs="Arial"/>
          <w:bCs/>
          <w:color w:val="000000" w:themeColor="text1"/>
        </w:rPr>
        <w:t xml:space="preserve">, no se podrán celebrar contratos en aplicación </w:t>
      </w:r>
      <w:r w:rsidR="00D83360">
        <w:rPr>
          <w:rFonts w:ascii="Arial" w:eastAsia="Calibri" w:hAnsi="Arial" w:cs="Arial"/>
          <w:bCs/>
          <w:color w:val="000000" w:themeColor="text1"/>
        </w:rPr>
        <w:t xml:space="preserve">de las </w:t>
      </w:r>
      <w:r w:rsidR="00A726A9">
        <w:rPr>
          <w:rFonts w:ascii="Arial" w:eastAsia="Calibri" w:hAnsi="Arial" w:cs="Arial"/>
          <w:bCs/>
          <w:color w:val="000000" w:themeColor="text1"/>
        </w:rPr>
        <w:t>causales citadas</w:t>
      </w:r>
      <w:r w:rsidR="00722714" w:rsidRPr="000005C3">
        <w:rPr>
          <w:rFonts w:ascii="Arial" w:eastAsia="Calibri" w:hAnsi="Arial" w:cs="Arial"/>
          <w:bCs/>
          <w:color w:val="000000" w:themeColor="text1"/>
        </w:rPr>
        <w:t xml:space="preserve">, sin que con ello se contravenga la prohibición, a menos que se celebre el contrato al amparo de alguna de las mentadas excepciones. </w:t>
      </w:r>
    </w:p>
    <w:p w14:paraId="51624949" w14:textId="77777777" w:rsidR="00134409" w:rsidRPr="00AA2516" w:rsidRDefault="00134409" w:rsidP="00134409">
      <w:pPr>
        <w:spacing w:after="0" w:line="276" w:lineRule="auto"/>
        <w:jc w:val="both"/>
        <w:rPr>
          <w:rFonts w:ascii="Arial" w:eastAsia="Calibri" w:hAnsi="Arial" w:cs="Arial"/>
          <w:lang w:val="es-ES_tradnl"/>
        </w:rPr>
      </w:pPr>
      <w:r w:rsidRPr="00AA2516">
        <w:rPr>
          <w:rFonts w:ascii="Arial" w:eastAsia="Calibri" w:hAnsi="Arial" w:cs="Arial"/>
          <w:lang w:val="es-ES_tradnl"/>
        </w:rPr>
        <w:t>Este concepto tiene el alcance previsto en el artículo 28 del Código de Procedimiento Administrativo y de lo Contencioso Administrativo.</w:t>
      </w:r>
    </w:p>
    <w:p w14:paraId="42A26790" w14:textId="77777777" w:rsidR="00134409" w:rsidRPr="00AA2516" w:rsidRDefault="00134409" w:rsidP="00134409">
      <w:pPr>
        <w:spacing w:after="0" w:line="276" w:lineRule="auto"/>
        <w:jc w:val="both"/>
        <w:rPr>
          <w:rFonts w:ascii="Calibri" w:eastAsia="Calibri" w:hAnsi="Calibri" w:cs="Times New Roman"/>
          <w:noProof/>
          <w:sz w:val="24"/>
          <w:lang w:val="es-ES_tradnl"/>
        </w:rPr>
      </w:pPr>
    </w:p>
    <w:p w14:paraId="6B6BCFC8" w14:textId="77777777" w:rsidR="00134409" w:rsidRPr="00AA2516" w:rsidRDefault="00134409" w:rsidP="00134409">
      <w:pPr>
        <w:spacing w:after="200" w:line="276" w:lineRule="auto"/>
        <w:jc w:val="both"/>
        <w:rPr>
          <w:rFonts w:ascii="Arial" w:eastAsia="Times New Roman" w:hAnsi="Arial" w:cs="Arial"/>
          <w:lang w:val="es-ES_tradnl" w:eastAsia="es-CO"/>
        </w:rPr>
      </w:pPr>
      <w:r w:rsidRPr="00AA2516">
        <w:rPr>
          <w:rFonts w:ascii="Arial" w:eastAsia="Times New Roman" w:hAnsi="Arial" w:cs="Arial"/>
          <w:lang w:val="es-ES_tradnl" w:eastAsia="es-CO"/>
        </w:rPr>
        <w:t>Atentamente,</w:t>
      </w:r>
    </w:p>
    <w:p w14:paraId="220F2F02" w14:textId="3CD913FE" w:rsidR="00134409" w:rsidRPr="00AA2516" w:rsidRDefault="00764CA3" w:rsidP="00134409">
      <w:pPr>
        <w:spacing w:after="200" w:line="276" w:lineRule="auto"/>
        <w:jc w:val="center"/>
        <w:rPr>
          <w:rFonts w:ascii="Arial" w:eastAsia="Times New Roman" w:hAnsi="Arial" w:cs="Arial"/>
          <w:sz w:val="18"/>
          <w:szCs w:val="20"/>
          <w:lang w:val="es-ES_tradnl" w:eastAsia="es-CO"/>
        </w:rPr>
      </w:pPr>
      <w:r>
        <w:rPr>
          <w:rFonts w:ascii="Arial" w:eastAsia="Calibri" w:hAnsi="Arial" w:cs="Arial"/>
          <w:b/>
          <w:bCs/>
          <w:noProof/>
          <w:color w:val="FF0000"/>
          <w:sz w:val="20"/>
          <w:szCs w:val="20"/>
          <w:lang w:val="es-MX"/>
        </w:rPr>
        <w:drawing>
          <wp:inline distT="0" distB="0" distL="0" distR="0" wp14:anchorId="6EE0D6CE" wp14:editId="429D8D61">
            <wp:extent cx="2426074" cy="107437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7274" cy="1079338"/>
                    </a:xfrm>
                    <a:prstGeom prst="rect">
                      <a:avLst/>
                    </a:prstGeom>
                    <a:noFill/>
                    <a:ln>
                      <a:noFill/>
                    </a:ln>
                  </pic:spPr>
                </pic:pic>
              </a:graphicData>
            </a:graphic>
          </wp:inline>
        </w:drawing>
      </w:r>
      <w:r w:rsidR="007F00D2">
        <w:rPr>
          <w:rFonts w:ascii="Arial" w:hAnsi="Arial" w:cs="Arial"/>
          <w:b/>
          <w:bCs/>
          <w:color w:val="FF0000"/>
          <w:sz w:val="20"/>
          <w:szCs w:val="20"/>
          <w:shd w:val="clear" w:color="auto" w:fill="FFFFFF"/>
          <w:lang w:val="es-MX"/>
        </w:rPr>
        <w:br/>
      </w:r>
    </w:p>
    <w:tbl>
      <w:tblPr>
        <w:tblStyle w:val="Tablaconcuadrc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AA2516" w:rsidRPr="00AA2516" w14:paraId="2C8C4702" w14:textId="77777777" w:rsidTr="00281F3C">
        <w:trPr>
          <w:trHeight w:val="315"/>
        </w:trPr>
        <w:tc>
          <w:tcPr>
            <w:tcW w:w="812" w:type="dxa"/>
            <w:vAlign w:val="center"/>
            <w:hideMark/>
          </w:tcPr>
          <w:p w14:paraId="3B8B233D" w14:textId="77777777" w:rsidR="00134409" w:rsidRPr="00AA2516" w:rsidRDefault="00134409" w:rsidP="00281F3C">
            <w:pPr>
              <w:rPr>
                <w:rFonts w:ascii="Arial" w:eastAsia="Times New Roman" w:hAnsi="Arial" w:cs="Arial"/>
                <w:sz w:val="16"/>
                <w:szCs w:val="16"/>
                <w:lang w:val="es-ES_tradnl" w:eastAsia="es-ES"/>
              </w:rPr>
            </w:pPr>
            <w:r w:rsidRPr="00AA2516">
              <w:rPr>
                <w:rFonts w:ascii="Arial" w:eastAsia="Times New Roman" w:hAnsi="Arial" w:cs="Arial"/>
                <w:sz w:val="16"/>
                <w:szCs w:val="16"/>
                <w:lang w:val="es-ES_tradnl" w:eastAsia="es-ES"/>
              </w:rPr>
              <w:t>Elaboró:</w:t>
            </w:r>
          </w:p>
        </w:tc>
        <w:tc>
          <w:tcPr>
            <w:tcW w:w="4291" w:type="dxa"/>
            <w:tcBorders>
              <w:top w:val="nil"/>
              <w:left w:val="nil"/>
              <w:bottom w:val="dotted" w:sz="4" w:space="0" w:color="7F7F7F"/>
              <w:right w:val="nil"/>
            </w:tcBorders>
            <w:vAlign w:val="center"/>
            <w:hideMark/>
          </w:tcPr>
          <w:p w14:paraId="63D3A7E3" w14:textId="77777777" w:rsidR="00134409" w:rsidRPr="00AA2516" w:rsidRDefault="00134409" w:rsidP="00281F3C">
            <w:pPr>
              <w:rPr>
                <w:rFonts w:ascii="Arial" w:eastAsia="Times New Roman" w:hAnsi="Arial" w:cs="Arial"/>
                <w:sz w:val="16"/>
                <w:szCs w:val="16"/>
                <w:lang w:val="es-ES_tradnl" w:eastAsia="es-ES"/>
              </w:rPr>
            </w:pPr>
            <w:r w:rsidRPr="00AA2516">
              <w:rPr>
                <w:rFonts w:ascii="Arial" w:eastAsia="Times New Roman" w:hAnsi="Arial" w:cs="Arial"/>
                <w:sz w:val="16"/>
                <w:szCs w:val="16"/>
                <w:lang w:val="es-ES_tradnl" w:eastAsia="es-ES"/>
              </w:rPr>
              <w:t xml:space="preserve">Diana Lucia Saavedra Castañeda </w:t>
            </w:r>
          </w:p>
          <w:p w14:paraId="49DC894E" w14:textId="77777777" w:rsidR="00134409" w:rsidRPr="00AA2516" w:rsidRDefault="00134409" w:rsidP="00281F3C">
            <w:pPr>
              <w:rPr>
                <w:rFonts w:ascii="Arial" w:eastAsia="Times New Roman" w:hAnsi="Arial" w:cs="Arial"/>
                <w:sz w:val="16"/>
                <w:szCs w:val="16"/>
                <w:lang w:val="es-ES_tradnl" w:eastAsia="es-ES"/>
              </w:rPr>
            </w:pPr>
            <w:r w:rsidRPr="00AA2516">
              <w:rPr>
                <w:rFonts w:ascii="Arial" w:eastAsia="Times New Roman" w:hAnsi="Arial" w:cs="Arial"/>
                <w:sz w:val="16"/>
                <w:szCs w:val="16"/>
                <w:lang w:val="es-ES_tradnl" w:eastAsia="es-ES"/>
              </w:rPr>
              <w:t>Contratista de la Subdirección de Gestión Contractual</w:t>
            </w:r>
          </w:p>
        </w:tc>
      </w:tr>
      <w:tr w:rsidR="00AA2516" w:rsidRPr="00AA2516" w14:paraId="54605A37" w14:textId="77777777" w:rsidTr="00281F3C">
        <w:trPr>
          <w:trHeight w:val="330"/>
        </w:trPr>
        <w:tc>
          <w:tcPr>
            <w:tcW w:w="812" w:type="dxa"/>
            <w:vAlign w:val="center"/>
            <w:hideMark/>
          </w:tcPr>
          <w:p w14:paraId="1C8CF11E" w14:textId="77777777" w:rsidR="00134409" w:rsidRPr="00AA2516" w:rsidRDefault="00134409" w:rsidP="00281F3C">
            <w:pPr>
              <w:rPr>
                <w:rFonts w:ascii="Arial" w:eastAsia="Times New Roman" w:hAnsi="Arial" w:cs="Arial"/>
                <w:sz w:val="16"/>
                <w:szCs w:val="16"/>
                <w:lang w:val="es-ES_tradnl" w:eastAsia="es-ES"/>
              </w:rPr>
            </w:pPr>
            <w:r w:rsidRPr="00AA2516">
              <w:rPr>
                <w:rFonts w:ascii="Arial" w:eastAsia="Times New Roman" w:hAnsi="Arial" w:cs="Arial"/>
                <w:sz w:val="16"/>
                <w:szCs w:val="16"/>
                <w:lang w:val="es-ES_tradnl" w:eastAsia="es-ES"/>
              </w:rPr>
              <w:t>Revisó:</w:t>
            </w:r>
          </w:p>
        </w:tc>
        <w:tc>
          <w:tcPr>
            <w:tcW w:w="4291" w:type="dxa"/>
            <w:tcBorders>
              <w:top w:val="dotted" w:sz="4" w:space="0" w:color="7F7F7F"/>
              <w:left w:val="nil"/>
              <w:bottom w:val="dotted" w:sz="4" w:space="0" w:color="7F7F7F"/>
              <w:right w:val="nil"/>
            </w:tcBorders>
            <w:vAlign w:val="center"/>
            <w:hideMark/>
          </w:tcPr>
          <w:p w14:paraId="660ADA1F" w14:textId="77777777" w:rsidR="00134409" w:rsidRPr="00AA2516" w:rsidRDefault="00134409" w:rsidP="00281F3C">
            <w:pPr>
              <w:rPr>
                <w:rFonts w:ascii="Arial" w:eastAsia="Times New Roman" w:hAnsi="Arial" w:cs="Arial"/>
                <w:sz w:val="16"/>
                <w:szCs w:val="16"/>
                <w:lang w:val="es-ES_tradnl" w:eastAsia="es-ES"/>
              </w:rPr>
            </w:pPr>
            <w:r w:rsidRPr="00AA2516">
              <w:rPr>
                <w:rFonts w:ascii="Arial" w:eastAsia="Times New Roman" w:hAnsi="Arial" w:cs="Arial"/>
                <w:sz w:val="16"/>
                <w:szCs w:val="16"/>
                <w:lang w:val="es-ES_tradnl" w:eastAsia="es-ES"/>
              </w:rPr>
              <w:t>Alejandro Sarmiento Cantillo</w:t>
            </w:r>
          </w:p>
          <w:p w14:paraId="495EC961" w14:textId="4C6252E7" w:rsidR="00134409" w:rsidRPr="00AA2516" w:rsidRDefault="00134409" w:rsidP="00281F3C">
            <w:pPr>
              <w:rPr>
                <w:rFonts w:ascii="Arial" w:eastAsia="Times New Roman" w:hAnsi="Arial" w:cs="Arial"/>
                <w:sz w:val="16"/>
                <w:szCs w:val="16"/>
                <w:lang w:val="es-ES_tradnl" w:eastAsia="es-ES"/>
              </w:rPr>
            </w:pPr>
            <w:r w:rsidRPr="00AA2516">
              <w:rPr>
                <w:rFonts w:ascii="Arial" w:eastAsia="Times New Roman" w:hAnsi="Arial" w:cs="Arial"/>
                <w:sz w:val="16"/>
                <w:szCs w:val="16"/>
                <w:lang w:val="es-ES_tradnl" w:eastAsia="es-ES"/>
              </w:rPr>
              <w:t>Gestor T1-1</w:t>
            </w:r>
            <w:r w:rsidR="00AA2516" w:rsidRPr="00AA2516">
              <w:rPr>
                <w:rFonts w:ascii="Arial" w:eastAsia="Times New Roman" w:hAnsi="Arial" w:cs="Arial"/>
                <w:sz w:val="16"/>
                <w:szCs w:val="16"/>
                <w:lang w:val="es-ES_tradnl" w:eastAsia="es-ES"/>
              </w:rPr>
              <w:t>5</w:t>
            </w:r>
            <w:r w:rsidRPr="00AA2516">
              <w:rPr>
                <w:rFonts w:ascii="Arial" w:eastAsia="Times New Roman" w:hAnsi="Arial" w:cs="Arial"/>
                <w:sz w:val="16"/>
                <w:szCs w:val="16"/>
                <w:lang w:val="es-ES_tradnl" w:eastAsia="es-ES"/>
              </w:rPr>
              <w:t xml:space="preserve"> de la Subdirección de Gestión Contractual</w:t>
            </w:r>
          </w:p>
        </w:tc>
      </w:tr>
      <w:tr w:rsidR="00AA2516" w:rsidRPr="00AA2516" w14:paraId="6F2DAFC2" w14:textId="77777777" w:rsidTr="00281F3C">
        <w:trPr>
          <w:trHeight w:val="300"/>
        </w:trPr>
        <w:tc>
          <w:tcPr>
            <w:tcW w:w="812" w:type="dxa"/>
            <w:vAlign w:val="center"/>
            <w:hideMark/>
          </w:tcPr>
          <w:p w14:paraId="0F71D0DE" w14:textId="77777777" w:rsidR="00134409" w:rsidRPr="00AA2516" w:rsidRDefault="00134409" w:rsidP="00281F3C">
            <w:pPr>
              <w:rPr>
                <w:rFonts w:ascii="Arial" w:eastAsia="Times New Roman" w:hAnsi="Arial" w:cs="Arial"/>
                <w:sz w:val="16"/>
                <w:szCs w:val="16"/>
                <w:lang w:val="es-ES_tradnl" w:eastAsia="es-ES"/>
              </w:rPr>
            </w:pPr>
            <w:r w:rsidRPr="00AA2516">
              <w:rPr>
                <w:rFonts w:ascii="Arial" w:eastAsia="Times New Roman" w:hAnsi="Arial" w:cs="Arial"/>
                <w:sz w:val="16"/>
                <w:szCs w:val="16"/>
                <w:lang w:val="es-ES_tradnl" w:eastAsia="es-ES"/>
              </w:rPr>
              <w:t>Aprobó:</w:t>
            </w:r>
          </w:p>
        </w:tc>
        <w:tc>
          <w:tcPr>
            <w:tcW w:w="4291" w:type="dxa"/>
            <w:tcBorders>
              <w:top w:val="dotted" w:sz="4" w:space="0" w:color="7F7F7F"/>
              <w:left w:val="nil"/>
              <w:bottom w:val="dotted" w:sz="4" w:space="0" w:color="7F7F7F"/>
              <w:right w:val="nil"/>
            </w:tcBorders>
            <w:vAlign w:val="center"/>
            <w:hideMark/>
          </w:tcPr>
          <w:p w14:paraId="1C6682CF" w14:textId="77777777" w:rsidR="00134409" w:rsidRPr="00AA2516" w:rsidRDefault="00134409" w:rsidP="00281F3C">
            <w:pPr>
              <w:rPr>
                <w:rFonts w:ascii="Arial" w:eastAsia="Times New Roman" w:hAnsi="Arial" w:cs="Arial"/>
                <w:sz w:val="16"/>
                <w:szCs w:val="16"/>
                <w:lang w:val="es-ES_tradnl" w:eastAsia="es-ES"/>
              </w:rPr>
            </w:pPr>
            <w:r w:rsidRPr="00AA2516">
              <w:rPr>
                <w:rFonts w:ascii="Arial" w:eastAsia="Times New Roman" w:hAnsi="Arial" w:cs="Arial"/>
                <w:sz w:val="16"/>
                <w:szCs w:val="16"/>
                <w:lang w:val="es-ES_tradnl" w:eastAsia="es-ES"/>
              </w:rPr>
              <w:t>Jorge Augusto Tirado Navarro</w:t>
            </w:r>
          </w:p>
          <w:p w14:paraId="23B4EE7B" w14:textId="77777777" w:rsidR="00134409" w:rsidRPr="00AA2516" w:rsidRDefault="00134409" w:rsidP="00281F3C">
            <w:pPr>
              <w:rPr>
                <w:rFonts w:ascii="Arial" w:eastAsia="Times New Roman" w:hAnsi="Arial" w:cs="Arial"/>
                <w:sz w:val="16"/>
                <w:szCs w:val="16"/>
                <w:lang w:val="es-ES_tradnl" w:eastAsia="es-ES"/>
              </w:rPr>
            </w:pPr>
            <w:r w:rsidRPr="00AA2516">
              <w:rPr>
                <w:rFonts w:ascii="Arial" w:eastAsia="Times New Roman" w:hAnsi="Arial" w:cs="Arial"/>
                <w:sz w:val="16"/>
                <w:szCs w:val="16"/>
                <w:lang w:val="es-ES_tradnl" w:eastAsia="es-ES"/>
              </w:rPr>
              <w:t>Subdirector de Gestión Contractual ANCP – CCE</w:t>
            </w:r>
          </w:p>
        </w:tc>
      </w:tr>
      <w:bookmarkEnd w:id="4"/>
      <w:bookmarkEnd w:id="24"/>
    </w:tbl>
    <w:p w14:paraId="46BCA5D4" w14:textId="77777777" w:rsidR="00134409" w:rsidRPr="00AA2516" w:rsidRDefault="00134409" w:rsidP="00134409">
      <w:pPr>
        <w:tabs>
          <w:tab w:val="left" w:pos="426"/>
        </w:tabs>
        <w:spacing w:after="0" w:line="276" w:lineRule="auto"/>
        <w:ind w:firstLine="709"/>
        <w:contextualSpacing/>
        <w:jc w:val="both"/>
        <w:rPr>
          <w:rFonts w:ascii="Arial" w:eastAsia="Calibri" w:hAnsi="Arial" w:cs="Arial"/>
          <w:b/>
          <w:bCs/>
        </w:rPr>
      </w:pPr>
    </w:p>
    <w:p w14:paraId="0BB3E897" w14:textId="77777777" w:rsidR="00E0125F" w:rsidRPr="007176AA" w:rsidRDefault="00E0125F">
      <w:pPr>
        <w:rPr>
          <w:color w:val="FF0000"/>
        </w:rPr>
      </w:pPr>
    </w:p>
    <w:sectPr w:rsidR="00E0125F" w:rsidRPr="007176AA" w:rsidSect="0094721B">
      <w:headerReference w:type="default" r:id="rId13"/>
      <w:footerReference w:type="default" r:id="rId14"/>
      <w:pgSz w:w="12240" w:h="15840"/>
      <w:pgMar w:top="411" w:right="1608"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C9E1A" w14:textId="77777777" w:rsidR="00912BEB" w:rsidRDefault="00912BEB" w:rsidP="00134409">
      <w:pPr>
        <w:spacing w:after="0" w:line="240" w:lineRule="auto"/>
      </w:pPr>
      <w:r>
        <w:separator/>
      </w:r>
    </w:p>
  </w:endnote>
  <w:endnote w:type="continuationSeparator" w:id="0">
    <w:p w14:paraId="33D00062" w14:textId="77777777" w:rsidR="00912BEB" w:rsidRDefault="00912BEB" w:rsidP="0013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A5F3" w14:textId="77777777" w:rsidR="00301B6D" w:rsidRDefault="00000000" w:rsidP="00301B6D">
    <w:pPr>
      <w:pStyle w:val="Sinespaciado"/>
      <w:rPr>
        <w:rFonts w:ascii="Arial" w:hAnsi="Arial" w:cs="Arial"/>
        <w:sz w:val="18"/>
        <w:szCs w:val="18"/>
      </w:rPr>
    </w:pPr>
  </w:p>
  <w:p w14:paraId="3EBB4740" w14:textId="77777777" w:rsidR="00301B6D" w:rsidRDefault="00000000" w:rsidP="00301B6D">
    <w:pPr>
      <w:pStyle w:val="Sinespaciado"/>
      <w:rPr>
        <w:rFonts w:ascii="Arial" w:hAnsi="Arial" w:cs="Arial"/>
        <w:sz w:val="18"/>
        <w:szCs w:val="18"/>
      </w:rPr>
    </w:pPr>
  </w:p>
  <w:p w14:paraId="31A93246" w14:textId="77777777" w:rsidR="00301B6D" w:rsidRPr="00883C23" w:rsidRDefault="009E3D0B" w:rsidP="00301B6D">
    <w:pPr>
      <w:pStyle w:val="Piedepgina"/>
      <w:jc w:val="right"/>
      <w:rPr>
        <w:rFonts w:ascii="Arial" w:hAnsi="Arial" w:cs="Arial"/>
        <w:color w:val="7F7F7F"/>
        <w:sz w:val="16"/>
        <w:szCs w:val="16"/>
      </w:rPr>
    </w:pPr>
    <w:r w:rsidRPr="00883C23">
      <w:rPr>
        <w:rFonts w:ascii="Arial" w:hAnsi="Arial" w:cs="Arial"/>
        <w:bCs/>
        <w:color w:val="7F7F7F"/>
        <w:sz w:val="16"/>
        <w:szCs w:val="16"/>
      </w:rPr>
      <w:t xml:space="preserve">Página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PAGE  \* Arabic  \* MERGEFORMAT</w:instrText>
    </w:r>
    <w:r w:rsidRPr="00883C23">
      <w:rPr>
        <w:rFonts w:ascii="Arial" w:hAnsi="Arial" w:cs="Arial"/>
        <w:b/>
        <w:bCs/>
        <w:color w:val="7F7F7F"/>
        <w:sz w:val="16"/>
        <w:szCs w:val="16"/>
      </w:rPr>
      <w:fldChar w:fldCharType="separate"/>
    </w:r>
    <w:r w:rsidRPr="00883C23">
      <w:rPr>
        <w:rFonts w:ascii="Arial" w:hAnsi="Arial" w:cs="Arial"/>
        <w:b/>
        <w:bCs/>
        <w:noProof/>
        <w:color w:val="7F7F7F"/>
        <w:sz w:val="16"/>
        <w:szCs w:val="16"/>
      </w:rPr>
      <w:t>17</w:t>
    </w:r>
    <w:r w:rsidRPr="00883C23">
      <w:rPr>
        <w:rFonts w:ascii="Arial" w:hAnsi="Arial" w:cs="Arial"/>
        <w:b/>
        <w:bCs/>
        <w:color w:val="7F7F7F"/>
        <w:sz w:val="16"/>
        <w:szCs w:val="16"/>
      </w:rPr>
      <w:fldChar w:fldCharType="end"/>
    </w:r>
    <w:r w:rsidRPr="00883C23">
      <w:rPr>
        <w:rFonts w:ascii="Arial" w:hAnsi="Arial" w:cs="Arial"/>
        <w:color w:val="7F7F7F"/>
        <w:sz w:val="16"/>
        <w:szCs w:val="16"/>
      </w:rPr>
      <w:t xml:space="preserve"> de </w:t>
    </w:r>
    <w:r w:rsidRPr="00883C23">
      <w:rPr>
        <w:rFonts w:ascii="Arial" w:hAnsi="Arial" w:cs="Arial"/>
        <w:b/>
        <w:bCs/>
        <w:color w:val="7F7F7F"/>
        <w:sz w:val="16"/>
        <w:szCs w:val="16"/>
      </w:rPr>
      <w:fldChar w:fldCharType="begin"/>
    </w:r>
    <w:r w:rsidRPr="00883C23">
      <w:rPr>
        <w:rFonts w:ascii="Arial" w:hAnsi="Arial" w:cs="Arial"/>
        <w:b/>
        <w:bCs/>
        <w:color w:val="7F7F7F"/>
        <w:sz w:val="16"/>
        <w:szCs w:val="16"/>
      </w:rPr>
      <w:instrText>NUMPAGES  \* Arabic  \* MERGEFORMAT</w:instrText>
    </w:r>
    <w:r w:rsidRPr="00883C23">
      <w:rPr>
        <w:rFonts w:ascii="Arial" w:hAnsi="Arial" w:cs="Arial"/>
        <w:b/>
        <w:bCs/>
        <w:color w:val="7F7F7F"/>
        <w:sz w:val="16"/>
        <w:szCs w:val="16"/>
      </w:rPr>
      <w:fldChar w:fldCharType="separate"/>
    </w:r>
    <w:r w:rsidRPr="00883C23">
      <w:rPr>
        <w:rFonts w:ascii="Arial" w:hAnsi="Arial" w:cs="Arial"/>
        <w:b/>
        <w:bCs/>
        <w:noProof/>
        <w:color w:val="7F7F7F"/>
        <w:sz w:val="16"/>
        <w:szCs w:val="16"/>
      </w:rPr>
      <w:t>17</w:t>
    </w:r>
    <w:r w:rsidRPr="00883C23">
      <w:rPr>
        <w:rFonts w:ascii="Arial" w:hAnsi="Arial" w:cs="Arial"/>
        <w:b/>
        <w:bCs/>
        <w:color w:val="7F7F7F"/>
        <w:sz w:val="16"/>
        <w:szCs w:val="16"/>
      </w:rPr>
      <w:fldChar w:fldCharType="end"/>
    </w:r>
  </w:p>
  <w:p w14:paraId="42FA80F8" w14:textId="77777777" w:rsidR="00301B6D" w:rsidRDefault="009E3D0B" w:rsidP="00301B6D">
    <w:pPr>
      <w:pStyle w:val="Piedepgina"/>
      <w:jc w:val="center"/>
      <w:rPr>
        <w:lang w:val="es-ES"/>
      </w:rPr>
    </w:pPr>
    <w:r>
      <w:rPr>
        <w:noProof/>
        <w:lang w:val="es-CO" w:eastAsia="es-CO"/>
      </w:rPr>
      <w:drawing>
        <wp:inline distT="0" distB="0" distL="0" distR="0" wp14:anchorId="77D7B75D" wp14:editId="29A25F60">
          <wp:extent cx="4241994" cy="595165"/>
          <wp:effectExtent l="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1F328642" w14:textId="77777777" w:rsidR="00301B6D" w:rsidRDefault="00000000" w:rsidP="00301B6D">
    <w:pPr>
      <w:pStyle w:val="Piedepgina"/>
      <w:jc w:val="center"/>
      <w:rPr>
        <w:lang w:val="es-ES"/>
      </w:rPr>
    </w:pPr>
  </w:p>
  <w:p w14:paraId="7055557C" w14:textId="77777777" w:rsidR="00301B6D" w:rsidRPr="007B0854" w:rsidRDefault="00000000" w:rsidP="00301B6D">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D361" w14:textId="77777777" w:rsidR="00912BEB" w:rsidRDefault="00912BEB" w:rsidP="00134409">
      <w:pPr>
        <w:spacing w:after="0" w:line="240" w:lineRule="auto"/>
      </w:pPr>
      <w:r>
        <w:separator/>
      </w:r>
    </w:p>
  </w:footnote>
  <w:footnote w:type="continuationSeparator" w:id="0">
    <w:p w14:paraId="2CC1E5E5" w14:textId="77777777" w:rsidR="00912BEB" w:rsidRDefault="00912BEB" w:rsidP="00134409">
      <w:pPr>
        <w:spacing w:after="0" w:line="240" w:lineRule="auto"/>
      </w:pPr>
      <w:r>
        <w:continuationSeparator/>
      </w:r>
    </w:p>
  </w:footnote>
  <w:footnote w:id="1">
    <w:p w14:paraId="69F647ED" w14:textId="77777777" w:rsidR="00DA104E" w:rsidRPr="00404EFC" w:rsidRDefault="00DA104E" w:rsidP="00404EFC">
      <w:pPr>
        <w:pStyle w:val="Textonotapie"/>
        <w:spacing w:after="0" w:line="240" w:lineRule="auto"/>
        <w:ind w:firstLine="708"/>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«Artículo 3°. Funciones. La Agencia Nacional de Contratación Pública –Colombia Compra Eficiente– ejercerá las siguientes funciones: </w:t>
      </w:r>
    </w:p>
    <w:p w14:paraId="28323F6B" w14:textId="77777777" w:rsidR="00DA104E" w:rsidRPr="00404EFC" w:rsidRDefault="00DA104E" w:rsidP="00404EFC">
      <w:pPr>
        <w:pStyle w:val="Textonotapie"/>
        <w:spacing w:after="0" w:line="240" w:lineRule="auto"/>
        <w:ind w:firstLine="709"/>
        <w:contextualSpacing/>
        <w:rPr>
          <w:rFonts w:ascii="Arial" w:hAnsi="Arial" w:cs="Arial"/>
          <w:sz w:val="19"/>
          <w:szCs w:val="19"/>
          <w:lang w:val="es-ES"/>
        </w:rPr>
      </w:pPr>
      <w:r w:rsidRPr="00404EFC">
        <w:rPr>
          <w:rFonts w:ascii="Arial" w:hAnsi="Arial" w:cs="Arial"/>
          <w:sz w:val="19"/>
          <w:szCs w:val="19"/>
          <w:lang w:val="es-ES"/>
        </w:rPr>
        <w:t xml:space="preserve">»[...] </w:t>
      </w:r>
    </w:p>
    <w:p w14:paraId="2AB7AA10" w14:textId="77777777" w:rsidR="00DA104E" w:rsidRPr="00404EFC" w:rsidRDefault="00DA104E" w:rsidP="00404EFC">
      <w:pPr>
        <w:pStyle w:val="Textonotapie"/>
        <w:spacing w:after="0" w:line="240" w:lineRule="auto"/>
        <w:ind w:firstLine="709"/>
        <w:contextualSpacing/>
        <w:rPr>
          <w:rFonts w:ascii="Arial" w:hAnsi="Arial" w:cs="Arial"/>
          <w:sz w:val="19"/>
          <w:szCs w:val="19"/>
          <w:lang w:val="es-ES"/>
        </w:rPr>
      </w:pPr>
      <w:r w:rsidRPr="00404EFC">
        <w:rPr>
          <w:rFonts w:ascii="Arial" w:hAnsi="Arial" w:cs="Arial"/>
          <w:sz w:val="19"/>
          <w:szCs w:val="19"/>
          <w:lang w:val="es-ES"/>
        </w:rPr>
        <w:t>»5. Absolver consultas sobre la aplicación de normas de carácter general y expedir circulares externas en materia de compras y contratación pública».</w:t>
      </w:r>
    </w:p>
    <w:p w14:paraId="6303F882" w14:textId="77777777" w:rsidR="00DA104E" w:rsidRPr="00404EFC" w:rsidRDefault="00DA104E" w:rsidP="00404EFC">
      <w:pPr>
        <w:pStyle w:val="Textonotapie"/>
        <w:spacing w:after="0" w:line="240" w:lineRule="auto"/>
        <w:ind w:firstLine="709"/>
        <w:contextualSpacing/>
        <w:rPr>
          <w:rFonts w:ascii="Arial" w:hAnsi="Arial" w:cs="Arial"/>
          <w:sz w:val="19"/>
          <w:szCs w:val="19"/>
          <w:lang w:val="es-ES"/>
        </w:rPr>
      </w:pPr>
      <w:r w:rsidRPr="00404EFC">
        <w:rPr>
          <w:rFonts w:ascii="Arial" w:eastAsia="Times New Roman" w:hAnsi="Arial" w:cs="Arial"/>
          <w:sz w:val="19"/>
          <w:szCs w:val="19"/>
          <w:lang w:val="es-CO" w:eastAsia="es-ES_tradnl"/>
        </w:rPr>
        <w:t>«</w:t>
      </w:r>
      <w:r w:rsidRPr="00404EFC">
        <w:rPr>
          <w:rFonts w:ascii="Arial" w:hAnsi="Arial" w:cs="Arial"/>
          <w:sz w:val="19"/>
          <w:szCs w:val="19"/>
          <w:lang w:val="es-ES"/>
        </w:rPr>
        <w:t xml:space="preserve">Artículo 11. Subdirección de Gestión Contractual. Son funciones de la Subdirección de Gestión Contractual las siguientes: </w:t>
      </w:r>
    </w:p>
    <w:p w14:paraId="2A61851F" w14:textId="77777777" w:rsidR="00DA104E" w:rsidRPr="00404EFC" w:rsidRDefault="00DA104E" w:rsidP="00404EFC">
      <w:pPr>
        <w:pStyle w:val="Textonotapie"/>
        <w:spacing w:after="0" w:line="240" w:lineRule="auto"/>
        <w:ind w:firstLine="709"/>
        <w:contextualSpacing/>
        <w:rPr>
          <w:rFonts w:ascii="Arial" w:hAnsi="Arial" w:cs="Arial"/>
          <w:sz w:val="19"/>
          <w:szCs w:val="19"/>
          <w:lang w:val="es-ES"/>
        </w:rPr>
      </w:pPr>
      <w:r w:rsidRPr="00404EFC">
        <w:rPr>
          <w:rFonts w:ascii="Arial" w:hAnsi="Arial" w:cs="Arial"/>
          <w:sz w:val="19"/>
          <w:szCs w:val="19"/>
          <w:lang w:val="es-ES"/>
        </w:rPr>
        <w:t xml:space="preserve">»[...] </w:t>
      </w:r>
    </w:p>
    <w:p w14:paraId="7A3CAD55" w14:textId="318CBC80" w:rsidR="00DA104E" w:rsidRDefault="00DA104E" w:rsidP="00404EFC">
      <w:pPr>
        <w:pStyle w:val="Textonotapie"/>
        <w:spacing w:after="0" w:line="240" w:lineRule="auto"/>
        <w:ind w:firstLine="708"/>
        <w:contextualSpacing/>
        <w:rPr>
          <w:rFonts w:ascii="Arial" w:hAnsi="Arial" w:cs="Arial"/>
          <w:sz w:val="19"/>
          <w:szCs w:val="19"/>
          <w:lang w:val="es-ES"/>
        </w:rPr>
      </w:pPr>
      <w:r w:rsidRPr="00404EFC">
        <w:rPr>
          <w:rFonts w:ascii="Arial" w:eastAsia="Times New Roman" w:hAnsi="Arial" w:cs="Arial"/>
          <w:sz w:val="19"/>
          <w:szCs w:val="19"/>
          <w:lang w:val="es-CO" w:eastAsia="es-ES_tradnl"/>
        </w:rPr>
        <w:t>»</w:t>
      </w:r>
      <w:r w:rsidRPr="00404EFC">
        <w:rPr>
          <w:rFonts w:ascii="Arial" w:hAnsi="Arial" w:cs="Arial"/>
          <w:sz w:val="19"/>
          <w:szCs w:val="19"/>
          <w:lang w:val="es-ES"/>
        </w:rPr>
        <w:t>8. Absolver consultas sobre la aplicación de normas de carácter general».</w:t>
      </w:r>
    </w:p>
    <w:p w14:paraId="7F283AC9" w14:textId="77777777" w:rsidR="00404EFC" w:rsidRPr="00404EFC" w:rsidRDefault="00404EFC" w:rsidP="00404EFC">
      <w:pPr>
        <w:pStyle w:val="Textonotapie"/>
        <w:spacing w:after="0" w:line="240" w:lineRule="auto"/>
        <w:ind w:firstLine="708"/>
        <w:contextualSpacing/>
        <w:rPr>
          <w:rFonts w:ascii="Arial" w:hAnsi="Arial" w:cs="Arial"/>
          <w:sz w:val="19"/>
          <w:szCs w:val="19"/>
        </w:rPr>
      </w:pPr>
    </w:p>
  </w:footnote>
  <w:footnote w:id="2">
    <w:p w14:paraId="24BE90AF"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3DC13F60" w14:textId="77777777" w:rsidR="00134409" w:rsidRPr="00404EFC" w:rsidRDefault="00134409" w:rsidP="00404EFC">
      <w:pPr>
        <w:pStyle w:val="Textonotapie"/>
        <w:spacing w:after="0" w:line="240" w:lineRule="auto"/>
        <w:ind w:firstLine="709"/>
        <w:contextualSpacing/>
        <w:rPr>
          <w:rFonts w:ascii="Arial" w:hAnsi="Arial" w:cs="Arial"/>
          <w:sz w:val="19"/>
          <w:szCs w:val="19"/>
        </w:rPr>
      </w:pPr>
      <w:proofErr w:type="gramStart"/>
      <w:r w:rsidRPr="00404EFC">
        <w:rPr>
          <w:rFonts w:ascii="Arial" w:hAnsi="Arial" w:cs="Arial"/>
          <w:sz w:val="19"/>
          <w:szCs w:val="19"/>
        </w:rPr>
        <w:t>»A</w:t>
      </w:r>
      <w:proofErr w:type="gramEnd"/>
      <w:r w:rsidRPr="00404EFC">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39A90963" w14:textId="77777777" w:rsidR="00134409" w:rsidRPr="00404EFC" w:rsidRDefault="00134409" w:rsidP="00404EFC">
      <w:pPr>
        <w:pStyle w:val="Textonotapie"/>
        <w:spacing w:after="0" w:line="240" w:lineRule="auto"/>
        <w:ind w:firstLine="709"/>
        <w:contextualSpacing/>
        <w:rPr>
          <w:rFonts w:ascii="Arial" w:hAnsi="Arial" w:cs="Arial"/>
          <w:sz w:val="19"/>
          <w:szCs w:val="19"/>
        </w:rPr>
      </w:pPr>
    </w:p>
  </w:footnote>
  <w:footnote w:id="3">
    <w:p w14:paraId="24D9E7B2"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Gaceta del Congreso de la República No. 71 del 2005.</w:t>
      </w:r>
    </w:p>
    <w:p w14:paraId="569A4B24" w14:textId="77777777" w:rsidR="00134409" w:rsidRPr="00404EFC" w:rsidRDefault="00134409" w:rsidP="00404EFC">
      <w:pPr>
        <w:pStyle w:val="Textonotapie"/>
        <w:spacing w:after="0" w:line="240" w:lineRule="auto"/>
        <w:ind w:firstLine="709"/>
        <w:contextualSpacing/>
        <w:rPr>
          <w:rFonts w:ascii="Arial" w:hAnsi="Arial" w:cs="Arial"/>
          <w:sz w:val="19"/>
          <w:szCs w:val="19"/>
        </w:rPr>
      </w:pPr>
    </w:p>
  </w:footnote>
  <w:footnote w:id="4">
    <w:p w14:paraId="784175BF"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Corte Constitucional, Sentencia C- 1153 de 2005, M.P. Marco Gerardo Monroy Cabra.</w:t>
      </w:r>
    </w:p>
    <w:p w14:paraId="024F2025" w14:textId="77777777" w:rsidR="00134409" w:rsidRPr="00404EFC" w:rsidRDefault="00134409" w:rsidP="00404EFC">
      <w:pPr>
        <w:pStyle w:val="Textonotapie"/>
        <w:spacing w:after="0" w:line="240" w:lineRule="auto"/>
        <w:ind w:firstLine="709"/>
        <w:contextualSpacing/>
        <w:rPr>
          <w:rFonts w:ascii="Arial" w:hAnsi="Arial" w:cs="Arial"/>
          <w:sz w:val="19"/>
          <w:szCs w:val="19"/>
        </w:rPr>
      </w:pPr>
    </w:p>
  </w:footnote>
  <w:footnote w:id="5">
    <w:p w14:paraId="3090D361"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3F0A02F6" w14:textId="77777777" w:rsidR="00134409" w:rsidRPr="00404EFC" w:rsidRDefault="00134409" w:rsidP="00404EFC">
      <w:pPr>
        <w:pStyle w:val="Textonotapie"/>
        <w:spacing w:after="0" w:line="240" w:lineRule="auto"/>
        <w:ind w:firstLine="709"/>
        <w:contextualSpacing/>
        <w:rPr>
          <w:rFonts w:ascii="Arial" w:hAnsi="Arial" w:cs="Arial"/>
          <w:sz w:val="19"/>
          <w:szCs w:val="19"/>
        </w:rPr>
      </w:pPr>
    </w:p>
  </w:footnote>
  <w:footnote w:id="6">
    <w:p w14:paraId="7E207639" w14:textId="77777777" w:rsidR="00134409" w:rsidRPr="00404EFC" w:rsidRDefault="00134409" w:rsidP="00404EFC">
      <w:pPr>
        <w:pStyle w:val="Textonotapie"/>
        <w:spacing w:after="0" w:line="240" w:lineRule="auto"/>
        <w:ind w:firstLine="709"/>
        <w:contextualSpacing/>
        <w:rPr>
          <w:rFonts w:ascii="Arial" w:hAnsi="Arial" w:cs="Arial"/>
          <w:sz w:val="19"/>
          <w:szCs w:val="19"/>
          <w:lang w:val="es-CO"/>
        </w:rPr>
      </w:pPr>
      <w:r w:rsidRPr="00404EFC">
        <w:rPr>
          <w:rStyle w:val="Refdenotaalpie"/>
          <w:rFonts w:ascii="Arial" w:hAnsi="Arial" w:cs="Arial"/>
          <w:sz w:val="19"/>
          <w:szCs w:val="19"/>
        </w:rPr>
        <w:footnoteRef/>
      </w:r>
      <w:r w:rsidRPr="00404EFC">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7">
    <w:p w14:paraId="3E646743" w14:textId="77777777" w:rsidR="00134409" w:rsidRPr="00404EFC" w:rsidRDefault="00134409" w:rsidP="00404EFC">
      <w:pPr>
        <w:pStyle w:val="Textonotapie"/>
        <w:spacing w:after="0" w:line="240" w:lineRule="auto"/>
        <w:ind w:firstLine="709"/>
        <w:contextualSpacing/>
        <w:rPr>
          <w:rFonts w:ascii="Arial" w:hAnsi="Arial" w:cs="Arial"/>
          <w:sz w:val="19"/>
          <w:szCs w:val="19"/>
        </w:rPr>
      </w:pPr>
    </w:p>
    <w:p w14:paraId="2CDA473D" w14:textId="45642B61" w:rsidR="00134409"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Consejo de Estado, Sala de Consulta y Servicio Civil de fecha 24 de julio de 2013, radicado 2166, Consejero Ponente: Álvaro </w:t>
      </w:r>
      <w:proofErr w:type="spellStart"/>
      <w:r w:rsidRPr="00404EFC">
        <w:rPr>
          <w:rFonts w:ascii="Arial" w:hAnsi="Arial" w:cs="Arial"/>
          <w:sz w:val="19"/>
          <w:szCs w:val="19"/>
        </w:rPr>
        <w:t>Namén</w:t>
      </w:r>
      <w:proofErr w:type="spellEnd"/>
      <w:r w:rsidRPr="00404EFC">
        <w:rPr>
          <w:rFonts w:ascii="Arial" w:hAnsi="Arial" w:cs="Arial"/>
          <w:sz w:val="19"/>
          <w:szCs w:val="19"/>
        </w:rPr>
        <w:t xml:space="preserve"> Vargas.  </w:t>
      </w:r>
    </w:p>
    <w:p w14:paraId="2EE0F38B" w14:textId="77777777" w:rsidR="00404EFC" w:rsidRPr="00404EFC" w:rsidRDefault="00404EFC" w:rsidP="00404EFC">
      <w:pPr>
        <w:pStyle w:val="Textonotapie"/>
        <w:spacing w:after="0" w:line="240" w:lineRule="auto"/>
        <w:ind w:firstLine="709"/>
        <w:contextualSpacing/>
        <w:rPr>
          <w:rFonts w:ascii="Arial" w:hAnsi="Arial" w:cs="Arial"/>
          <w:sz w:val="19"/>
          <w:szCs w:val="19"/>
        </w:rPr>
      </w:pPr>
    </w:p>
  </w:footnote>
  <w:footnote w:id="8">
    <w:p w14:paraId="4CEBB717" w14:textId="77777777" w:rsidR="00134409" w:rsidRPr="00404EFC" w:rsidRDefault="00134409" w:rsidP="00404EFC">
      <w:pPr>
        <w:spacing w:after="0" w:line="240" w:lineRule="auto"/>
        <w:ind w:firstLine="709"/>
        <w:contextualSpacing/>
        <w:jc w:val="both"/>
        <w:rPr>
          <w:rFonts w:ascii="Arial" w:eastAsia="Times New Roman"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w:t>
      </w:r>
      <w:bookmarkStart w:id="14" w:name="33"/>
      <w:r w:rsidRPr="00404EFC">
        <w:rPr>
          <w:rFonts w:ascii="Arial" w:eastAsia="Calibri" w:hAnsi="Arial" w:cs="Arial"/>
          <w:bCs/>
          <w:color w:val="000000"/>
          <w:sz w:val="19"/>
          <w:szCs w:val="19"/>
        </w:rPr>
        <w:t>«</w:t>
      </w:r>
      <w:r w:rsidRPr="00404EFC">
        <w:rPr>
          <w:rFonts w:ascii="Arial" w:eastAsia="Times New Roman" w:hAnsi="Arial" w:cs="Arial"/>
          <w:sz w:val="19"/>
          <w:szCs w:val="19"/>
        </w:rPr>
        <w:t>Artículo 33. Restricciones a la contratación pública.</w:t>
      </w:r>
      <w:bookmarkEnd w:id="14"/>
      <w:r w:rsidRPr="00404EFC">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09DBD596" w14:textId="77777777" w:rsidR="00134409" w:rsidRPr="00404EFC" w:rsidRDefault="00134409" w:rsidP="00404EFC">
      <w:pPr>
        <w:spacing w:after="0" w:line="240" w:lineRule="auto"/>
        <w:ind w:firstLine="709"/>
        <w:contextualSpacing/>
        <w:jc w:val="both"/>
        <w:rPr>
          <w:rFonts w:ascii="Arial" w:eastAsia="Times New Roman" w:hAnsi="Arial" w:cs="Arial"/>
          <w:sz w:val="19"/>
          <w:szCs w:val="19"/>
        </w:rPr>
      </w:pPr>
      <w:r w:rsidRPr="00404EFC">
        <w:rPr>
          <w:rFonts w:ascii="Arial" w:eastAsia="Calibri" w:hAnsi="Arial" w:cs="Arial"/>
          <w:bCs/>
          <w:color w:val="000000"/>
          <w:sz w:val="19"/>
          <w:szCs w:val="19"/>
        </w:rPr>
        <w:t>»</w:t>
      </w:r>
      <w:r w:rsidRPr="00404EFC">
        <w:rPr>
          <w:rFonts w:ascii="Arial" w:eastAsia="Times New Roman"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04EFC">
        <w:rPr>
          <w:rFonts w:ascii="Arial" w:eastAsia="Calibri" w:hAnsi="Arial" w:cs="Arial"/>
          <w:bCs/>
          <w:color w:val="000000"/>
          <w:sz w:val="19"/>
          <w:szCs w:val="19"/>
        </w:rPr>
        <w:t>»</w:t>
      </w:r>
      <w:r w:rsidRPr="00404EFC">
        <w:rPr>
          <w:rFonts w:ascii="Arial" w:eastAsia="Times New Roman" w:hAnsi="Arial" w:cs="Arial"/>
          <w:sz w:val="19"/>
          <w:szCs w:val="19"/>
        </w:rPr>
        <w:t>.</w:t>
      </w:r>
    </w:p>
  </w:footnote>
  <w:footnote w:id="9">
    <w:p w14:paraId="519D8201" w14:textId="77777777" w:rsidR="00134409" w:rsidRPr="00404EFC" w:rsidRDefault="00134409" w:rsidP="00404EFC">
      <w:pPr>
        <w:pStyle w:val="NormalWeb"/>
        <w:spacing w:before="0" w:beforeAutospacing="0" w:after="0" w:afterAutospacing="0" w:line="240" w:lineRule="auto"/>
        <w:ind w:firstLine="709"/>
        <w:contextualSpacing/>
        <w:rPr>
          <w:rFonts w:ascii="Arial" w:hAnsi="Arial" w:cs="Arial"/>
          <w:sz w:val="19"/>
          <w:szCs w:val="19"/>
        </w:rPr>
      </w:pPr>
    </w:p>
    <w:p w14:paraId="22914824" w14:textId="77777777" w:rsidR="00134409" w:rsidRPr="00404EFC" w:rsidRDefault="00134409" w:rsidP="00404EFC">
      <w:pPr>
        <w:pStyle w:val="NormalWeb"/>
        <w:spacing w:before="0" w:beforeAutospacing="0" w:after="0" w:afterAutospacing="0" w:line="240" w:lineRule="auto"/>
        <w:ind w:firstLine="709"/>
        <w:contextualSpacing/>
        <w:rPr>
          <w:rFonts w:ascii="Arial" w:hAnsi="Arial" w:cs="Arial"/>
          <w:sz w:val="19"/>
          <w:szCs w:val="19"/>
          <w:lang w:val="es-MX"/>
        </w:rPr>
      </w:pPr>
      <w:r w:rsidRPr="00404EFC">
        <w:rPr>
          <w:rStyle w:val="Refdenotaalpie"/>
          <w:rFonts w:ascii="Arial" w:hAnsi="Arial" w:cs="Arial"/>
          <w:sz w:val="19"/>
          <w:szCs w:val="19"/>
        </w:rPr>
        <w:footnoteRef/>
      </w:r>
      <w:r w:rsidRPr="00404EFC">
        <w:rPr>
          <w:rFonts w:ascii="Arial" w:hAnsi="Arial" w:cs="Arial"/>
          <w:sz w:val="19"/>
          <w:szCs w:val="19"/>
        </w:rPr>
        <w:t xml:space="preserve"> </w:t>
      </w:r>
      <w:bookmarkStart w:id="15" w:name="38"/>
      <w:r w:rsidRPr="00404EFC">
        <w:rPr>
          <w:rFonts w:ascii="Arial" w:eastAsia="Calibri" w:hAnsi="Arial" w:cs="Arial"/>
          <w:bCs/>
          <w:color w:val="000000"/>
          <w:sz w:val="19"/>
          <w:szCs w:val="19"/>
        </w:rPr>
        <w:t>«</w:t>
      </w:r>
      <w:r w:rsidRPr="00404EFC">
        <w:rPr>
          <w:rFonts w:ascii="Arial" w:hAnsi="Arial" w:cs="Arial"/>
          <w:sz w:val="19"/>
          <w:szCs w:val="19"/>
          <w:lang w:val="es-MX"/>
        </w:rPr>
        <w:t>Artículo 38. Prohibiciones para los servidores públicos. A los empleados del Estado les está prohibido:</w:t>
      </w:r>
      <w:bookmarkEnd w:id="15"/>
    </w:p>
    <w:p w14:paraId="3A895682" w14:textId="77777777" w:rsidR="00134409" w:rsidRPr="00404EFC" w:rsidRDefault="00134409" w:rsidP="00404EFC">
      <w:pPr>
        <w:pStyle w:val="NormalWeb"/>
        <w:spacing w:before="0" w:beforeAutospacing="0" w:after="0" w:afterAutospacing="0" w:line="240" w:lineRule="auto"/>
        <w:ind w:firstLine="709"/>
        <w:contextualSpacing/>
        <w:rPr>
          <w:rFonts w:ascii="Arial" w:hAnsi="Arial" w:cs="Arial"/>
          <w:sz w:val="19"/>
          <w:szCs w:val="19"/>
          <w:lang w:val="es-MX"/>
        </w:rPr>
      </w:pPr>
      <w:r w:rsidRPr="00404EFC">
        <w:rPr>
          <w:rFonts w:ascii="Arial" w:eastAsia="Calibri" w:hAnsi="Arial" w:cs="Arial"/>
          <w:bCs/>
          <w:color w:val="000000"/>
          <w:sz w:val="19"/>
          <w:szCs w:val="19"/>
        </w:rPr>
        <w:t>»</w:t>
      </w:r>
      <w:r w:rsidRPr="00404EFC">
        <w:rPr>
          <w:rFonts w:ascii="Arial" w:hAnsi="Arial" w:cs="Arial"/>
          <w:sz w:val="19"/>
          <w:szCs w:val="19"/>
          <w:lang w:val="es-MX"/>
        </w:rPr>
        <w:t xml:space="preserve"> […]</w:t>
      </w:r>
    </w:p>
    <w:p w14:paraId="41C8935E" w14:textId="5026DE3C" w:rsidR="00134409" w:rsidRDefault="00134409" w:rsidP="00404EFC">
      <w:pPr>
        <w:pStyle w:val="NormalWeb"/>
        <w:spacing w:before="0" w:beforeAutospacing="0" w:after="0" w:afterAutospacing="0" w:line="240" w:lineRule="auto"/>
        <w:ind w:firstLine="709"/>
        <w:contextualSpacing/>
        <w:rPr>
          <w:rFonts w:ascii="Arial" w:hAnsi="Arial" w:cs="Arial"/>
          <w:sz w:val="19"/>
          <w:szCs w:val="19"/>
          <w:lang w:val="es-MX"/>
        </w:rPr>
      </w:pPr>
      <w:r w:rsidRPr="00404EFC">
        <w:rPr>
          <w:rFonts w:ascii="Arial" w:eastAsia="Calibri" w:hAnsi="Arial" w:cs="Arial"/>
          <w:bCs/>
          <w:color w:val="000000"/>
          <w:sz w:val="19"/>
          <w:szCs w:val="19"/>
        </w:rPr>
        <w:t>»</w:t>
      </w:r>
      <w:r w:rsidRPr="00404EFC">
        <w:rPr>
          <w:rStyle w:val="baj"/>
          <w:rFonts w:ascii="Arial" w:hAnsi="Arial" w:cs="Arial"/>
          <w:sz w:val="19"/>
          <w:szCs w:val="19"/>
          <w:lang w:val="es-MX"/>
        </w:rPr>
        <w:t xml:space="preserve"> Parágrafo.</w:t>
      </w:r>
      <w:r w:rsidRPr="00404EFC">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04EFC">
        <w:rPr>
          <w:rFonts w:ascii="Arial" w:eastAsia="Calibri" w:hAnsi="Arial" w:cs="Arial"/>
          <w:bCs/>
          <w:color w:val="000000"/>
          <w:sz w:val="19"/>
          <w:szCs w:val="19"/>
        </w:rPr>
        <w:t>»</w:t>
      </w:r>
      <w:r w:rsidRPr="00404EFC">
        <w:rPr>
          <w:rFonts w:ascii="Arial" w:hAnsi="Arial" w:cs="Arial"/>
          <w:sz w:val="19"/>
          <w:szCs w:val="19"/>
          <w:lang w:val="es-MX"/>
        </w:rPr>
        <w:t>.</w:t>
      </w:r>
    </w:p>
    <w:p w14:paraId="7E2879F6" w14:textId="77777777" w:rsidR="00404EFC" w:rsidRPr="00404EFC" w:rsidRDefault="00404EFC" w:rsidP="00404EFC">
      <w:pPr>
        <w:pStyle w:val="NormalWeb"/>
        <w:spacing w:before="0" w:beforeAutospacing="0" w:after="0" w:afterAutospacing="0" w:line="240" w:lineRule="auto"/>
        <w:ind w:firstLine="709"/>
        <w:contextualSpacing/>
        <w:rPr>
          <w:rFonts w:ascii="Arial" w:hAnsi="Arial" w:cs="Arial"/>
          <w:sz w:val="19"/>
          <w:szCs w:val="19"/>
          <w:lang w:val="es-MX"/>
        </w:rPr>
      </w:pPr>
    </w:p>
  </w:footnote>
  <w:footnote w:id="10">
    <w:p w14:paraId="46CA4455" w14:textId="77777777" w:rsidR="00134409" w:rsidRPr="00404EFC" w:rsidRDefault="00134409" w:rsidP="00404EFC">
      <w:pPr>
        <w:spacing w:after="0" w:line="240" w:lineRule="auto"/>
        <w:ind w:left="100" w:right="244" w:firstLine="709"/>
        <w:contextualSpacing/>
        <w:jc w:val="both"/>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Consejo de Estado. Sala de Consulta y Servicio Civil. Concepto del 17 de febrero de 2015. C.P. William Zambrano Cetina. Radicación No. 11001-03-06-000-2015-00164-00(2269).</w:t>
      </w:r>
    </w:p>
    <w:p w14:paraId="58AC39C8" w14:textId="77777777" w:rsidR="00134409" w:rsidRPr="00404EFC" w:rsidRDefault="00134409" w:rsidP="00404EFC">
      <w:pPr>
        <w:spacing w:after="0" w:line="240" w:lineRule="auto"/>
        <w:ind w:left="100" w:right="244" w:firstLine="709"/>
        <w:contextualSpacing/>
        <w:jc w:val="both"/>
        <w:rPr>
          <w:rFonts w:ascii="Arial" w:hAnsi="Arial" w:cs="Arial"/>
          <w:sz w:val="19"/>
          <w:szCs w:val="19"/>
          <w:lang w:val="es-ES"/>
        </w:rPr>
      </w:pPr>
    </w:p>
  </w:footnote>
  <w:footnote w:id="11">
    <w:p w14:paraId="6231A3BE"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w:t>
      </w:r>
      <w:r w:rsidRPr="00404EFC">
        <w:rPr>
          <w:rFonts w:ascii="Arial" w:hAnsi="Arial" w:cs="Arial"/>
          <w:sz w:val="19"/>
          <w:szCs w:val="19"/>
          <w:lang w:val="es-ES"/>
        </w:rPr>
        <w:t xml:space="preserve">[25] </w:t>
      </w:r>
      <w:r w:rsidRPr="00404EFC">
        <w:rPr>
          <w:rFonts w:ascii="Arial" w:hAnsi="Arial" w:cs="Arial"/>
          <w:sz w:val="19"/>
          <w:szCs w:val="19"/>
        </w:rPr>
        <w:t>Cfr. Consejo de Estado. Sección Tercera. Sentencia de 3 de diciembre de 2007. Radicados: 24.715, 25.206, 25.409, 24.524, 27.834, 25.410, 26.105, 28.244, 31.447 -acumulados-».</w:t>
      </w:r>
    </w:p>
    <w:p w14:paraId="2563940E" w14:textId="77777777" w:rsidR="00134409" w:rsidRPr="00404EFC" w:rsidRDefault="00134409" w:rsidP="00404EFC">
      <w:pPr>
        <w:pStyle w:val="Textonotapie"/>
        <w:spacing w:after="0" w:line="240" w:lineRule="auto"/>
        <w:ind w:firstLine="709"/>
        <w:contextualSpacing/>
        <w:rPr>
          <w:rFonts w:ascii="Arial" w:hAnsi="Arial" w:cs="Arial"/>
          <w:sz w:val="19"/>
          <w:szCs w:val="19"/>
        </w:rPr>
      </w:pPr>
    </w:p>
  </w:footnote>
  <w:footnote w:id="12">
    <w:p w14:paraId="7833A35E"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w:t>
      </w:r>
      <w:r w:rsidRPr="00404EFC">
        <w:rPr>
          <w:rFonts w:ascii="Arial" w:hAnsi="Arial" w:cs="Arial"/>
          <w:sz w:val="19"/>
          <w:szCs w:val="19"/>
          <w:lang w:val="es-ES"/>
        </w:rPr>
        <w:t xml:space="preserve">[26] </w:t>
      </w:r>
      <w:r w:rsidRPr="00404EFC">
        <w:rPr>
          <w:rFonts w:ascii="Arial" w:hAnsi="Arial" w:cs="Arial"/>
          <w:sz w:val="19"/>
          <w:szCs w:val="19"/>
        </w:rPr>
        <w:t>Al respecto ver el concepto 1712 de 2 de febrero de 2006. Consejo de Estado Sala de Consulta y Servicio Civil».</w:t>
      </w:r>
    </w:p>
    <w:p w14:paraId="700F3585" w14:textId="77777777" w:rsidR="00134409" w:rsidRPr="00404EFC" w:rsidRDefault="00134409" w:rsidP="00404EFC">
      <w:pPr>
        <w:pStyle w:val="Textonotapie"/>
        <w:spacing w:after="0" w:line="240" w:lineRule="auto"/>
        <w:ind w:firstLine="709"/>
        <w:contextualSpacing/>
        <w:rPr>
          <w:rFonts w:ascii="Arial" w:hAnsi="Arial" w:cs="Arial"/>
          <w:sz w:val="19"/>
          <w:szCs w:val="19"/>
        </w:rPr>
      </w:pPr>
    </w:p>
  </w:footnote>
  <w:footnote w:id="13">
    <w:p w14:paraId="12853092"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Consejo de Estado. Sala de Consulta y Servicio Civil. Concepto del 2 de septiembre de 2013. Radicación número: 11001-03-06-000-2013-00412-00 (2168). Consejero Ponente: Álvaro </w:t>
      </w:r>
      <w:proofErr w:type="spellStart"/>
      <w:r w:rsidRPr="00404EFC">
        <w:rPr>
          <w:rFonts w:ascii="Arial" w:hAnsi="Arial" w:cs="Arial"/>
          <w:sz w:val="19"/>
          <w:szCs w:val="19"/>
        </w:rPr>
        <w:t>Namén</w:t>
      </w:r>
      <w:proofErr w:type="spellEnd"/>
      <w:r w:rsidRPr="00404EFC">
        <w:rPr>
          <w:rFonts w:ascii="Arial" w:hAnsi="Arial" w:cs="Arial"/>
          <w:sz w:val="19"/>
          <w:szCs w:val="19"/>
        </w:rPr>
        <w:t xml:space="preserve"> Vargas.</w:t>
      </w:r>
    </w:p>
  </w:footnote>
  <w:footnote w:id="14">
    <w:p w14:paraId="6FEC1A2B" w14:textId="77777777" w:rsidR="00F72FBD" w:rsidRPr="00404EFC" w:rsidRDefault="00F72FBD" w:rsidP="00404EFC">
      <w:pPr>
        <w:pStyle w:val="Textonotapie"/>
        <w:spacing w:after="0" w:line="240" w:lineRule="auto"/>
        <w:ind w:firstLine="709"/>
        <w:contextualSpacing/>
        <w:rPr>
          <w:rFonts w:ascii="Arial" w:hAnsi="Arial" w:cs="Arial"/>
          <w:sz w:val="19"/>
          <w:szCs w:val="19"/>
        </w:rPr>
      </w:pPr>
    </w:p>
    <w:p w14:paraId="1AA51141" w14:textId="464F6BEC" w:rsidR="00134409" w:rsidRPr="00404EFC" w:rsidRDefault="00134409" w:rsidP="00404EFC">
      <w:pPr>
        <w:pStyle w:val="Textonotapie"/>
        <w:spacing w:after="0" w:line="240" w:lineRule="auto"/>
        <w:ind w:firstLine="709"/>
        <w:contextualSpacing/>
        <w:rPr>
          <w:rFonts w:ascii="Arial" w:hAnsi="Arial" w:cs="Arial"/>
          <w:sz w:val="19"/>
          <w:szCs w:val="19"/>
          <w:lang w:val="es-ES"/>
        </w:rPr>
      </w:pPr>
      <w:r w:rsidRPr="00404EFC">
        <w:rPr>
          <w:rStyle w:val="Refdenotaalpie"/>
          <w:rFonts w:ascii="Arial" w:hAnsi="Arial" w:cs="Arial"/>
          <w:sz w:val="19"/>
          <w:szCs w:val="19"/>
        </w:rPr>
        <w:footnoteRef/>
      </w:r>
      <w:r w:rsidRPr="00404EFC">
        <w:rPr>
          <w:rFonts w:ascii="Arial" w:hAnsi="Arial" w:cs="Arial"/>
          <w:sz w:val="19"/>
          <w:szCs w:val="19"/>
        </w:rPr>
        <w:t xml:space="preserve"> </w:t>
      </w:r>
      <w:r w:rsidRPr="00404EFC">
        <w:rPr>
          <w:rFonts w:ascii="Arial" w:hAnsi="Arial" w:cs="Arial"/>
          <w:sz w:val="19"/>
          <w:szCs w:val="19"/>
          <w:lang w:val="es-ES"/>
        </w:rPr>
        <w:t xml:space="preserve">Artículo 2. </w:t>
      </w:r>
    </w:p>
    <w:p w14:paraId="4993B7A4" w14:textId="77777777" w:rsidR="00134409" w:rsidRPr="00404EFC" w:rsidRDefault="00134409" w:rsidP="00404EFC">
      <w:pPr>
        <w:pStyle w:val="Textonotapie"/>
        <w:spacing w:after="0" w:line="240" w:lineRule="auto"/>
        <w:ind w:firstLine="709"/>
        <w:contextualSpacing/>
        <w:rPr>
          <w:rFonts w:ascii="Arial" w:hAnsi="Arial" w:cs="Arial"/>
          <w:sz w:val="19"/>
          <w:szCs w:val="19"/>
          <w:lang w:val="es-ES"/>
        </w:rPr>
      </w:pPr>
    </w:p>
  </w:footnote>
  <w:footnote w:id="15">
    <w:p w14:paraId="42F8DDED" w14:textId="77777777" w:rsidR="00134409" w:rsidRPr="00404EFC" w:rsidRDefault="00134409" w:rsidP="00404EFC">
      <w:pPr>
        <w:pStyle w:val="Textonotapie"/>
        <w:spacing w:after="0" w:line="240" w:lineRule="auto"/>
        <w:ind w:firstLine="709"/>
        <w:contextualSpacing/>
        <w:rPr>
          <w:rFonts w:ascii="Arial" w:hAnsi="Arial" w:cs="Arial"/>
          <w:sz w:val="19"/>
          <w:szCs w:val="19"/>
          <w:lang w:val="es-ES"/>
        </w:rPr>
      </w:pPr>
      <w:r w:rsidRPr="00404EFC">
        <w:rPr>
          <w:rStyle w:val="Refdenotaalpie"/>
          <w:rFonts w:ascii="Arial" w:hAnsi="Arial" w:cs="Arial"/>
          <w:sz w:val="19"/>
          <w:szCs w:val="19"/>
        </w:rPr>
        <w:footnoteRef/>
      </w:r>
      <w:r w:rsidRPr="00404EFC">
        <w:rPr>
          <w:rFonts w:ascii="Arial" w:hAnsi="Arial" w:cs="Arial"/>
          <w:sz w:val="19"/>
          <w:szCs w:val="19"/>
        </w:rPr>
        <w:t xml:space="preserve"> </w:t>
      </w:r>
      <w:r w:rsidRPr="00404EFC">
        <w:rPr>
          <w:rFonts w:ascii="Arial" w:hAnsi="Arial" w:cs="Arial"/>
          <w:i/>
          <w:sz w:val="19"/>
          <w:szCs w:val="19"/>
          <w:lang w:val="es-ES"/>
        </w:rPr>
        <w:t>Ídem</w:t>
      </w:r>
      <w:r w:rsidRPr="00404EFC">
        <w:rPr>
          <w:rFonts w:ascii="Arial" w:hAnsi="Arial" w:cs="Arial"/>
          <w:sz w:val="19"/>
          <w:szCs w:val="19"/>
          <w:lang w:val="es-ES"/>
        </w:rPr>
        <w:t>.</w:t>
      </w:r>
    </w:p>
    <w:p w14:paraId="6066B4A6" w14:textId="77777777" w:rsidR="00134409" w:rsidRPr="00404EFC" w:rsidRDefault="00134409" w:rsidP="00404EFC">
      <w:pPr>
        <w:pStyle w:val="Textonotapie"/>
        <w:spacing w:after="0" w:line="240" w:lineRule="auto"/>
        <w:ind w:firstLine="709"/>
        <w:contextualSpacing/>
        <w:rPr>
          <w:rFonts w:ascii="Arial" w:hAnsi="Arial" w:cs="Arial"/>
          <w:sz w:val="19"/>
          <w:szCs w:val="19"/>
          <w:lang w:val="es-ES"/>
        </w:rPr>
      </w:pPr>
    </w:p>
  </w:footnote>
  <w:footnote w:id="16">
    <w:p w14:paraId="5F2D1F31" w14:textId="77777777" w:rsidR="00134409" w:rsidRPr="00404EFC" w:rsidRDefault="00134409" w:rsidP="00404EFC">
      <w:pPr>
        <w:pStyle w:val="Textonotapie"/>
        <w:spacing w:after="0" w:line="240" w:lineRule="auto"/>
        <w:ind w:firstLine="709"/>
        <w:contextualSpacing/>
        <w:rPr>
          <w:rFonts w:ascii="Arial" w:hAnsi="Arial" w:cs="Arial"/>
          <w:sz w:val="19"/>
          <w:szCs w:val="19"/>
          <w:lang w:val="es-ES"/>
        </w:rPr>
      </w:pPr>
      <w:r w:rsidRPr="00404EFC">
        <w:rPr>
          <w:rStyle w:val="Refdenotaalpie"/>
          <w:rFonts w:ascii="Arial" w:hAnsi="Arial" w:cs="Arial"/>
          <w:sz w:val="19"/>
          <w:szCs w:val="19"/>
        </w:rPr>
        <w:footnoteRef/>
      </w:r>
      <w:r w:rsidRPr="00404EFC">
        <w:rPr>
          <w:rStyle w:val="Refdenotaalpie"/>
          <w:rFonts w:ascii="Arial" w:hAnsi="Arial" w:cs="Arial"/>
          <w:sz w:val="19"/>
          <w:szCs w:val="19"/>
        </w:rPr>
        <w:t xml:space="preserve"> </w:t>
      </w:r>
      <w:r w:rsidRPr="00404EFC">
        <w:rPr>
          <w:rFonts w:ascii="Arial" w:hAnsi="Arial" w:cs="Arial"/>
          <w:sz w:val="19"/>
          <w:szCs w:val="19"/>
          <w:lang w:val="es-ES"/>
        </w:rPr>
        <w:t xml:space="preserve">«[…] A este respecto, cabe recordar que el artículo 860 del Código de Comercio regula la licitación en el derecho privado». </w:t>
      </w:r>
    </w:p>
    <w:p w14:paraId="6112814D" w14:textId="77777777" w:rsidR="00134409" w:rsidRPr="00404EFC" w:rsidRDefault="00134409" w:rsidP="00404EFC">
      <w:pPr>
        <w:pStyle w:val="Textonotapie"/>
        <w:spacing w:after="0" w:line="240" w:lineRule="auto"/>
        <w:ind w:firstLine="709"/>
        <w:contextualSpacing/>
        <w:rPr>
          <w:rFonts w:ascii="Arial" w:hAnsi="Arial" w:cs="Arial"/>
          <w:sz w:val="19"/>
          <w:szCs w:val="19"/>
          <w:lang w:val="es-ES"/>
        </w:rPr>
      </w:pPr>
    </w:p>
  </w:footnote>
  <w:footnote w:id="17">
    <w:p w14:paraId="1DF75365" w14:textId="77777777" w:rsidR="00134409" w:rsidRPr="00404EFC" w:rsidRDefault="00134409" w:rsidP="00404EFC">
      <w:pPr>
        <w:shd w:val="clear" w:color="auto" w:fill="FFFFFF"/>
        <w:spacing w:after="0" w:line="240" w:lineRule="auto"/>
        <w:ind w:firstLine="709"/>
        <w:contextualSpacing/>
        <w:jc w:val="both"/>
        <w:rPr>
          <w:rFonts w:ascii="Arial" w:hAnsi="Arial" w:cs="Arial"/>
          <w:sz w:val="19"/>
          <w:szCs w:val="19"/>
          <w:lang w:val="es-ES"/>
        </w:rPr>
      </w:pPr>
      <w:r w:rsidRPr="00404EFC">
        <w:rPr>
          <w:rStyle w:val="Refdenotaalpie"/>
          <w:rFonts w:ascii="Arial" w:hAnsi="Arial" w:cs="Arial"/>
          <w:sz w:val="19"/>
          <w:szCs w:val="19"/>
        </w:rPr>
        <w:footnoteRef/>
      </w:r>
      <w:r w:rsidRPr="00404EFC">
        <w:rPr>
          <w:rStyle w:val="Refdenotaalpie"/>
          <w:rFonts w:ascii="Arial" w:hAnsi="Arial" w:cs="Arial"/>
          <w:sz w:val="19"/>
          <w:szCs w:val="19"/>
        </w:rPr>
        <w:t xml:space="preserve"> </w:t>
      </w:r>
      <w:r w:rsidRPr="00404EFC">
        <w:rPr>
          <w:rFonts w:ascii="Arial" w:hAnsi="Arial" w:cs="Arial"/>
          <w:sz w:val="19"/>
          <w:szCs w:val="19"/>
          <w:lang w:val="es-ES"/>
        </w:rPr>
        <w:t xml:space="preserve">Consejo de Estado. Sala de Consulta y Servicio Civil, Concepto de 8 de mayo de 2018. Radicación Número: 11001-03-06-000-2018-00095-00(2382). Consejero Ponente: Álvaro </w:t>
      </w:r>
      <w:proofErr w:type="spellStart"/>
      <w:r w:rsidRPr="00404EFC">
        <w:rPr>
          <w:rFonts w:ascii="Arial" w:hAnsi="Arial" w:cs="Arial"/>
          <w:sz w:val="19"/>
          <w:szCs w:val="19"/>
          <w:lang w:val="es-ES"/>
        </w:rPr>
        <w:t>Namén</w:t>
      </w:r>
      <w:proofErr w:type="spellEnd"/>
      <w:r w:rsidRPr="00404EFC">
        <w:rPr>
          <w:rFonts w:ascii="Arial" w:hAnsi="Arial" w:cs="Arial"/>
          <w:sz w:val="19"/>
          <w:szCs w:val="19"/>
          <w:lang w:val="es-ES"/>
        </w:rPr>
        <w:t xml:space="preserve"> Vargas.</w:t>
      </w:r>
    </w:p>
    <w:p w14:paraId="34471D2A" w14:textId="77777777" w:rsidR="00134409" w:rsidRPr="00404EFC" w:rsidRDefault="00134409" w:rsidP="00404EFC">
      <w:pPr>
        <w:shd w:val="clear" w:color="auto" w:fill="FFFFFF"/>
        <w:spacing w:after="0" w:line="240" w:lineRule="auto"/>
        <w:ind w:firstLine="709"/>
        <w:contextualSpacing/>
        <w:jc w:val="both"/>
        <w:rPr>
          <w:rFonts w:ascii="Arial" w:hAnsi="Arial" w:cs="Arial"/>
          <w:sz w:val="19"/>
          <w:szCs w:val="19"/>
          <w:lang w:val="es-ES"/>
        </w:rPr>
      </w:pPr>
    </w:p>
  </w:footnote>
  <w:footnote w:id="18">
    <w:p w14:paraId="27369513"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Consejo de Estado. Sala de Consulta y Servicio Civil. Concepto del 08 de mayo de 2018. </w:t>
      </w:r>
      <w:proofErr w:type="spellStart"/>
      <w:r w:rsidRPr="00404EFC">
        <w:rPr>
          <w:rFonts w:ascii="Arial" w:hAnsi="Arial" w:cs="Arial"/>
          <w:sz w:val="19"/>
          <w:szCs w:val="19"/>
        </w:rPr>
        <w:t>Exp</w:t>
      </w:r>
      <w:proofErr w:type="spellEnd"/>
      <w:r w:rsidRPr="00404EFC">
        <w:rPr>
          <w:rFonts w:ascii="Arial" w:hAnsi="Arial" w:cs="Arial"/>
          <w:sz w:val="19"/>
          <w:szCs w:val="19"/>
        </w:rPr>
        <w:t xml:space="preserve">. 2.382. C.P. Álvaro </w:t>
      </w:r>
      <w:proofErr w:type="spellStart"/>
      <w:r w:rsidRPr="00404EFC">
        <w:rPr>
          <w:rFonts w:ascii="Arial" w:hAnsi="Arial" w:cs="Arial"/>
          <w:sz w:val="19"/>
          <w:szCs w:val="19"/>
        </w:rPr>
        <w:t>Namén</w:t>
      </w:r>
      <w:proofErr w:type="spellEnd"/>
      <w:r w:rsidRPr="00404EFC">
        <w:rPr>
          <w:rFonts w:ascii="Arial" w:hAnsi="Arial" w:cs="Arial"/>
          <w:sz w:val="19"/>
          <w:szCs w:val="19"/>
        </w:rPr>
        <w:t xml:space="preserve"> Vargas.</w:t>
      </w:r>
    </w:p>
    <w:p w14:paraId="7401B1F2" w14:textId="77777777" w:rsidR="00134409" w:rsidRPr="00404EFC" w:rsidRDefault="00134409" w:rsidP="00404EFC">
      <w:pPr>
        <w:pStyle w:val="Textonotapie"/>
        <w:spacing w:after="0" w:line="240" w:lineRule="auto"/>
        <w:contextualSpacing/>
        <w:rPr>
          <w:rFonts w:ascii="Arial" w:hAnsi="Arial" w:cs="Arial"/>
          <w:sz w:val="19"/>
          <w:szCs w:val="19"/>
        </w:rPr>
      </w:pPr>
    </w:p>
  </w:footnote>
  <w:footnote w:id="19">
    <w:p w14:paraId="00148C07"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Cfr. Concepto C-757 del 30 de diciembre de 2021.</w:t>
      </w:r>
    </w:p>
    <w:p w14:paraId="2F4C8671" w14:textId="77777777" w:rsidR="00134409" w:rsidRPr="00404EFC" w:rsidRDefault="00134409" w:rsidP="00404EFC">
      <w:pPr>
        <w:pStyle w:val="Textonotapie"/>
        <w:spacing w:after="0" w:line="240" w:lineRule="auto"/>
        <w:ind w:firstLine="709"/>
        <w:contextualSpacing/>
        <w:rPr>
          <w:rFonts w:ascii="Arial" w:hAnsi="Arial" w:cs="Arial"/>
          <w:sz w:val="19"/>
          <w:szCs w:val="19"/>
        </w:rPr>
      </w:pPr>
    </w:p>
  </w:footnote>
  <w:footnote w:id="20">
    <w:p w14:paraId="25CE62BD" w14:textId="77777777" w:rsidR="00134409" w:rsidRPr="00404EFC" w:rsidRDefault="00134409"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404EFC">
        <w:rPr>
          <w:rFonts w:ascii="Arial" w:hAnsi="Arial" w:cs="Arial"/>
          <w:sz w:val="19"/>
          <w:szCs w:val="19"/>
        </w:rPr>
        <w:t>N°</w:t>
      </w:r>
      <w:proofErr w:type="spellEnd"/>
      <w:r w:rsidRPr="00404EFC">
        <w:rPr>
          <w:rFonts w:ascii="Arial" w:hAnsi="Arial" w:cs="Arial"/>
          <w:sz w:val="19"/>
          <w:szCs w:val="19"/>
        </w:rPr>
        <w:t xml:space="preserve"> 216/05 Senado, </w:t>
      </w:r>
      <w:proofErr w:type="spellStart"/>
      <w:r w:rsidRPr="00404EFC">
        <w:rPr>
          <w:rFonts w:ascii="Arial" w:hAnsi="Arial" w:cs="Arial"/>
          <w:sz w:val="19"/>
          <w:szCs w:val="19"/>
        </w:rPr>
        <w:t>N°</w:t>
      </w:r>
      <w:proofErr w:type="spellEnd"/>
      <w:r w:rsidRPr="00404EFC">
        <w:rPr>
          <w:rFonts w:ascii="Arial" w:hAnsi="Arial" w:cs="Arial"/>
          <w:sz w:val="19"/>
          <w:szCs w:val="19"/>
        </w:rPr>
        <w:t xml:space="preserve"> 235-Cámara que dio lugar a la Ley de Garantías Electorales.</w:t>
      </w:r>
    </w:p>
    <w:p w14:paraId="79AEAAEC" w14:textId="77777777" w:rsidR="00134409" w:rsidRPr="00404EFC" w:rsidRDefault="00134409" w:rsidP="00404EFC">
      <w:pPr>
        <w:pStyle w:val="Textonotapie"/>
        <w:spacing w:after="0" w:line="240" w:lineRule="auto"/>
        <w:ind w:firstLine="709"/>
        <w:contextualSpacing/>
        <w:rPr>
          <w:rFonts w:ascii="Arial" w:hAnsi="Arial" w:cs="Arial"/>
          <w:sz w:val="19"/>
          <w:szCs w:val="19"/>
        </w:rPr>
      </w:pPr>
    </w:p>
  </w:footnote>
  <w:footnote w:id="21">
    <w:p w14:paraId="3CE01DC4" w14:textId="77777777" w:rsidR="00134409" w:rsidRPr="00404EFC" w:rsidRDefault="00134409" w:rsidP="00404EFC">
      <w:pPr>
        <w:spacing w:after="0" w:line="240" w:lineRule="auto"/>
        <w:ind w:firstLine="709"/>
        <w:contextualSpacing/>
        <w:jc w:val="both"/>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7CE2AFC2" w14:textId="77777777" w:rsidR="00134409" w:rsidRPr="00404EFC" w:rsidRDefault="00134409" w:rsidP="00404EFC">
      <w:pPr>
        <w:spacing w:after="0" w:line="240" w:lineRule="auto"/>
        <w:ind w:firstLine="709"/>
        <w:contextualSpacing/>
        <w:jc w:val="both"/>
        <w:rPr>
          <w:rFonts w:ascii="Arial" w:hAnsi="Arial" w:cs="Arial"/>
          <w:sz w:val="19"/>
          <w:szCs w:val="19"/>
        </w:rPr>
      </w:pPr>
    </w:p>
  </w:footnote>
  <w:footnote w:id="22">
    <w:p w14:paraId="6BA453D2" w14:textId="31F0D697" w:rsidR="00BC2C80" w:rsidRPr="00404EFC" w:rsidRDefault="00BC2C80" w:rsidP="00404EFC">
      <w:pPr>
        <w:pStyle w:val="Textonotapie"/>
        <w:spacing w:after="0" w:line="240" w:lineRule="auto"/>
        <w:ind w:firstLine="708"/>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w:t>
      </w:r>
      <w:r w:rsidR="004E1FFE" w:rsidRPr="00404EFC">
        <w:rPr>
          <w:rFonts w:ascii="Arial" w:hAnsi="Arial" w:cs="Arial"/>
          <w:sz w:val="19"/>
          <w:szCs w:val="19"/>
        </w:rPr>
        <w:t xml:space="preserve">Constitución Política de Colombia </w:t>
      </w:r>
      <w:r w:rsidRPr="00404EFC">
        <w:rPr>
          <w:rFonts w:ascii="Arial" w:hAnsi="Arial" w:cs="Arial"/>
          <w:sz w:val="19"/>
          <w:szCs w:val="19"/>
        </w:rPr>
        <w:t>«</w:t>
      </w:r>
      <w:r w:rsidRPr="00404EFC">
        <w:rPr>
          <w:rStyle w:val="Textoennegrita"/>
          <w:rFonts w:ascii="Arial" w:hAnsi="Arial" w:cs="Arial"/>
          <w:b w:val="0"/>
          <w:bCs w:val="0"/>
          <w:color w:val="000000"/>
          <w:sz w:val="19"/>
          <w:szCs w:val="19"/>
        </w:rPr>
        <w:t>Artículo 118.</w:t>
      </w:r>
      <w:r w:rsidRPr="00404EFC">
        <w:rPr>
          <w:rFonts w:ascii="Arial" w:hAnsi="Arial" w:cs="Arial"/>
          <w:color w:val="000000"/>
          <w:sz w:val="19"/>
          <w:szCs w:val="19"/>
        </w:rPr>
        <w:t> El Ministerio Público será ejercido por el Procurador General de la Nación, por el Defensor del Pueblo, por los procuradores delegados y los agentes del ministerio público, ante las autoridades jurisdiccionales, por los personeros municipales y por los demás funcionarios que determine la ley. Al Ministerio Público corresponde la guarda y promoción de los derechos humanos, la protección del interés público y la vigilancia de la conducta oficial de quienes desempeñan funciones públicas»</w:t>
      </w:r>
      <w:r w:rsidRPr="00404EFC">
        <w:rPr>
          <w:rFonts w:ascii="Arial" w:hAnsi="Arial" w:cs="Arial"/>
          <w:sz w:val="19"/>
          <w:szCs w:val="19"/>
        </w:rPr>
        <w:t>.</w:t>
      </w:r>
    </w:p>
    <w:p w14:paraId="257E7EEA" w14:textId="77777777" w:rsidR="00145B65" w:rsidRPr="00404EFC" w:rsidRDefault="00145B65" w:rsidP="00404EFC">
      <w:pPr>
        <w:pStyle w:val="Textonotapie"/>
        <w:spacing w:after="0" w:line="240" w:lineRule="auto"/>
        <w:ind w:firstLine="708"/>
        <w:contextualSpacing/>
        <w:rPr>
          <w:rFonts w:ascii="Arial" w:hAnsi="Arial" w:cs="Arial"/>
          <w:sz w:val="19"/>
          <w:szCs w:val="19"/>
        </w:rPr>
      </w:pPr>
    </w:p>
  </w:footnote>
  <w:footnote w:id="23">
    <w:p w14:paraId="7DF9F016" w14:textId="77777777" w:rsidR="00112554" w:rsidRPr="00404EFC" w:rsidRDefault="00112554" w:rsidP="00404EFC">
      <w:pPr>
        <w:spacing w:after="0" w:line="240" w:lineRule="auto"/>
        <w:ind w:firstLine="708"/>
        <w:contextualSpacing/>
        <w:jc w:val="both"/>
        <w:rPr>
          <w:rFonts w:ascii="Arial" w:hAnsi="Arial" w:cs="Arial"/>
          <w:color w:val="000000" w:themeColor="text1"/>
          <w:sz w:val="19"/>
          <w:szCs w:val="19"/>
          <w:lang w:val="es-ES_tradnl"/>
        </w:rPr>
      </w:pPr>
      <w:r w:rsidRPr="00404EFC">
        <w:rPr>
          <w:rStyle w:val="Refdenotaalpie"/>
          <w:rFonts w:ascii="Arial" w:hAnsi="Arial" w:cs="Arial"/>
          <w:sz w:val="19"/>
          <w:szCs w:val="19"/>
        </w:rPr>
        <w:footnoteRef/>
      </w:r>
      <w:r w:rsidRPr="00404EFC">
        <w:rPr>
          <w:rFonts w:ascii="Arial" w:hAnsi="Arial" w:cs="Arial"/>
          <w:sz w:val="19"/>
          <w:szCs w:val="19"/>
        </w:rPr>
        <w:t xml:space="preserve"> </w:t>
      </w:r>
      <w:r w:rsidRPr="00404EFC">
        <w:rPr>
          <w:rFonts w:ascii="Arial" w:hAnsi="Arial" w:cs="Arial"/>
          <w:color w:val="000000" w:themeColor="text1"/>
          <w:sz w:val="19"/>
          <w:szCs w:val="19"/>
          <w:lang w:val="es-ES_tradnl"/>
        </w:rPr>
        <w:t>Así lo prevé el artículo 2, numeral 4º, literal h) de la Ley 1150 de 2007, que dispone:</w:t>
      </w:r>
    </w:p>
    <w:p w14:paraId="787C8362" w14:textId="77777777" w:rsidR="00112554" w:rsidRPr="00404EFC" w:rsidRDefault="00112554" w:rsidP="00404EFC">
      <w:pPr>
        <w:spacing w:after="0" w:line="240" w:lineRule="auto"/>
        <w:contextualSpacing/>
        <w:jc w:val="both"/>
        <w:rPr>
          <w:rFonts w:ascii="Arial" w:eastAsia="Calibri" w:hAnsi="Arial" w:cs="Arial"/>
          <w:color w:val="000000" w:themeColor="text1"/>
          <w:sz w:val="19"/>
          <w:szCs w:val="19"/>
          <w:lang w:val="es-ES_tradnl"/>
        </w:rPr>
      </w:pPr>
      <w:r w:rsidRPr="00404EFC">
        <w:rPr>
          <w:rFonts w:ascii="Arial" w:hAnsi="Arial" w:cs="Arial"/>
          <w:color w:val="000000" w:themeColor="text1"/>
          <w:sz w:val="19"/>
          <w:szCs w:val="19"/>
          <w:lang w:val="es-ES_tradnl"/>
        </w:rPr>
        <w:tab/>
        <w:t>«</w:t>
      </w:r>
      <w:r w:rsidRPr="00404EFC">
        <w:rPr>
          <w:rFonts w:ascii="Arial" w:eastAsia="Calibri" w:hAnsi="Arial" w:cs="Arial"/>
          <w:color w:val="000000" w:themeColor="text1"/>
          <w:sz w:val="19"/>
          <w:szCs w:val="19"/>
          <w:lang w:val="es-ES_tradnl"/>
        </w:rPr>
        <w:t>[…]</w:t>
      </w:r>
    </w:p>
    <w:p w14:paraId="5BC94F7F" w14:textId="77777777" w:rsidR="00112554" w:rsidRPr="00404EFC" w:rsidRDefault="00112554" w:rsidP="00404EFC">
      <w:pPr>
        <w:spacing w:after="0" w:line="240" w:lineRule="auto"/>
        <w:ind w:firstLine="708"/>
        <w:contextualSpacing/>
        <w:jc w:val="both"/>
        <w:rPr>
          <w:rFonts w:ascii="Arial" w:eastAsia="Calibri" w:hAnsi="Arial" w:cs="Arial"/>
          <w:color w:val="000000" w:themeColor="text1"/>
          <w:sz w:val="19"/>
          <w:szCs w:val="19"/>
          <w:lang w:val="es-ES_tradnl"/>
        </w:rPr>
      </w:pPr>
      <w:proofErr w:type="gramStart"/>
      <w:r w:rsidRPr="00404EFC">
        <w:rPr>
          <w:rFonts w:ascii="Arial" w:eastAsia="Calibri" w:hAnsi="Arial" w:cs="Arial"/>
          <w:color w:val="000000" w:themeColor="text1"/>
          <w:sz w:val="19"/>
          <w:szCs w:val="19"/>
          <w:lang w:val="es-ES_tradnl"/>
        </w:rPr>
        <w:t>»Contratación</w:t>
      </w:r>
      <w:proofErr w:type="gramEnd"/>
      <w:r w:rsidRPr="00404EFC">
        <w:rPr>
          <w:rFonts w:ascii="Arial" w:eastAsia="Calibri" w:hAnsi="Arial" w:cs="Arial"/>
          <w:color w:val="000000" w:themeColor="text1"/>
          <w:sz w:val="19"/>
          <w:szCs w:val="19"/>
          <w:lang w:val="es-ES_tradnl"/>
        </w:rPr>
        <w:t xml:space="preserve"> directa. La modalidad de selección de contratación </w:t>
      </w:r>
      <w:proofErr w:type="gramStart"/>
      <w:r w:rsidRPr="00404EFC">
        <w:rPr>
          <w:rFonts w:ascii="Arial" w:eastAsia="Calibri" w:hAnsi="Arial" w:cs="Arial"/>
          <w:color w:val="000000" w:themeColor="text1"/>
          <w:sz w:val="19"/>
          <w:szCs w:val="19"/>
          <w:lang w:val="es-ES_tradnl"/>
        </w:rPr>
        <w:t>directa,</w:t>
      </w:r>
      <w:proofErr w:type="gramEnd"/>
      <w:r w:rsidRPr="00404EFC">
        <w:rPr>
          <w:rFonts w:ascii="Arial" w:eastAsia="Calibri" w:hAnsi="Arial" w:cs="Arial"/>
          <w:color w:val="000000" w:themeColor="text1"/>
          <w:sz w:val="19"/>
          <w:szCs w:val="19"/>
          <w:lang w:val="es-ES_tradnl"/>
        </w:rPr>
        <w:t xml:space="preserve"> solamente procederá en los siguientes casos:</w:t>
      </w:r>
    </w:p>
    <w:p w14:paraId="54FB8F94" w14:textId="77777777" w:rsidR="00112554" w:rsidRPr="00404EFC" w:rsidRDefault="00112554" w:rsidP="00404EFC">
      <w:pPr>
        <w:spacing w:after="0" w:line="240" w:lineRule="auto"/>
        <w:contextualSpacing/>
        <w:jc w:val="both"/>
        <w:rPr>
          <w:rFonts w:ascii="Arial" w:eastAsia="Calibri" w:hAnsi="Arial" w:cs="Arial"/>
          <w:color w:val="000000" w:themeColor="text1"/>
          <w:sz w:val="19"/>
          <w:szCs w:val="19"/>
          <w:lang w:val="es-ES_tradnl"/>
        </w:rPr>
      </w:pPr>
      <w:r w:rsidRPr="00404EFC">
        <w:rPr>
          <w:rFonts w:ascii="Arial" w:eastAsia="Calibri" w:hAnsi="Arial" w:cs="Arial"/>
          <w:color w:val="000000" w:themeColor="text1"/>
          <w:sz w:val="19"/>
          <w:szCs w:val="19"/>
          <w:lang w:val="es-ES_tradnl"/>
        </w:rPr>
        <w:tab/>
        <w:t>[…]</w:t>
      </w:r>
    </w:p>
    <w:p w14:paraId="51C015CE" w14:textId="77777777" w:rsidR="00112554" w:rsidRPr="00404EFC" w:rsidRDefault="00112554" w:rsidP="00404EFC">
      <w:pPr>
        <w:spacing w:after="0" w:line="240" w:lineRule="auto"/>
        <w:ind w:firstLine="708"/>
        <w:contextualSpacing/>
        <w:jc w:val="both"/>
        <w:rPr>
          <w:rFonts w:ascii="Arial" w:eastAsia="Calibri" w:hAnsi="Arial" w:cs="Arial"/>
          <w:color w:val="000000" w:themeColor="text1"/>
          <w:sz w:val="19"/>
          <w:szCs w:val="19"/>
          <w:lang w:val="es-ES_tradnl"/>
        </w:rPr>
      </w:pPr>
      <w:r w:rsidRPr="00404EFC">
        <w:rPr>
          <w:rFonts w:ascii="Arial" w:eastAsia="Calibri" w:hAnsi="Arial" w:cs="Arial"/>
          <w:color w:val="000000" w:themeColor="text1"/>
          <w:sz w:val="19"/>
          <w:szCs w:val="19"/>
          <w:lang w:val="es-ES_tradnl"/>
        </w:rPr>
        <w:t>»h) Para la prestación de servicios profesionales y de apoyo a la gestión, o para la ejecución de trabajos artísticos que sólo puedan encomendarse a determinadas personas naturales;»</w:t>
      </w:r>
    </w:p>
    <w:p w14:paraId="51114F09" w14:textId="77777777" w:rsidR="00112554" w:rsidRPr="00404EFC" w:rsidRDefault="00112554" w:rsidP="00404EFC">
      <w:pPr>
        <w:pStyle w:val="Textonotapie"/>
        <w:spacing w:after="0" w:line="240" w:lineRule="auto"/>
        <w:contextualSpacing/>
        <w:rPr>
          <w:rFonts w:ascii="Arial" w:hAnsi="Arial" w:cs="Arial"/>
          <w:sz w:val="19"/>
          <w:szCs w:val="19"/>
          <w:lang w:val="es-ES_tradnl"/>
        </w:rPr>
      </w:pPr>
    </w:p>
  </w:footnote>
  <w:footnote w:id="24">
    <w:p w14:paraId="7409DEA5" w14:textId="36EFCB7A" w:rsidR="00B7096A" w:rsidRPr="00404EFC" w:rsidRDefault="00B7096A" w:rsidP="00404EFC">
      <w:pPr>
        <w:spacing w:after="0" w:line="240" w:lineRule="auto"/>
        <w:ind w:firstLine="708"/>
        <w:contextualSpacing/>
        <w:jc w:val="both"/>
        <w:rPr>
          <w:rFonts w:ascii="Arial" w:eastAsia="Calibri" w:hAnsi="Arial" w:cs="Arial"/>
          <w:color w:val="000000" w:themeColor="text1"/>
          <w:sz w:val="19"/>
          <w:szCs w:val="19"/>
          <w:lang w:val="es-ES_tradnl"/>
        </w:rPr>
      </w:pPr>
      <w:r w:rsidRPr="00404EFC">
        <w:rPr>
          <w:rFonts w:ascii="Arial" w:eastAsia="Calibri" w:hAnsi="Arial" w:cs="Arial"/>
          <w:color w:val="000000" w:themeColor="text1"/>
          <w:sz w:val="19"/>
          <w:szCs w:val="19"/>
          <w:vertAlign w:val="superscript"/>
          <w:lang w:val="es-ES_tradnl"/>
        </w:rPr>
        <w:footnoteRef/>
      </w:r>
      <w:r w:rsidRPr="00404EFC">
        <w:rPr>
          <w:rFonts w:ascii="Arial" w:eastAsia="Calibri" w:hAnsi="Arial" w:cs="Arial"/>
          <w:color w:val="000000" w:themeColor="text1"/>
          <w:sz w:val="19"/>
          <w:szCs w:val="19"/>
          <w:lang w:val="es-ES_tradnl"/>
        </w:rPr>
        <w:t xml:space="preserve"> </w:t>
      </w:r>
      <w:r w:rsidR="00BA560E" w:rsidRPr="00404EFC">
        <w:rPr>
          <w:rFonts w:ascii="Arial" w:hAnsi="Arial" w:cs="Arial"/>
          <w:color w:val="000000" w:themeColor="text1"/>
          <w:sz w:val="19"/>
          <w:szCs w:val="19"/>
          <w:lang w:val="es-ES_tradnl"/>
        </w:rPr>
        <w:t>«</w:t>
      </w:r>
      <w:r w:rsidR="00BA560E" w:rsidRPr="00404EFC">
        <w:rPr>
          <w:rFonts w:ascii="Arial" w:eastAsia="Calibri" w:hAnsi="Arial" w:cs="Arial"/>
          <w:color w:val="000000" w:themeColor="text1"/>
          <w:sz w:val="19"/>
          <w:szCs w:val="19"/>
          <w:lang w:val="es-ES_tradnl"/>
        </w:rPr>
        <w:t xml:space="preserve">[…] </w:t>
      </w:r>
      <w:r w:rsidRPr="00404EFC">
        <w:rPr>
          <w:rFonts w:ascii="Arial" w:eastAsia="Calibri" w:hAnsi="Arial" w:cs="Arial"/>
          <w:color w:val="000000" w:themeColor="text1"/>
          <w:sz w:val="19"/>
          <w:szCs w:val="19"/>
          <w:lang w:val="es-ES_tradnl"/>
        </w:rPr>
        <w:t>i) El arrendamiento o adquisición de inmuebles</w:t>
      </w:r>
      <w:r w:rsidR="00BA560E" w:rsidRPr="00404EFC">
        <w:rPr>
          <w:rFonts w:ascii="Arial" w:eastAsia="Calibri" w:hAnsi="Arial" w:cs="Arial"/>
          <w:color w:val="000000" w:themeColor="text1"/>
          <w:sz w:val="19"/>
          <w:szCs w:val="19"/>
          <w:lang w:val="es-ES_tradnl"/>
        </w:rPr>
        <w:t xml:space="preserve">». </w:t>
      </w:r>
    </w:p>
    <w:p w14:paraId="3B8AD17F" w14:textId="77777777" w:rsidR="00B7096A" w:rsidRPr="00404EFC" w:rsidRDefault="00B7096A" w:rsidP="00404EFC">
      <w:pPr>
        <w:spacing w:after="0" w:line="240" w:lineRule="auto"/>
        <w:ind w:firstLine="708"/>
        <w:contextualSpacing/>
        <w:jc w:val="both"/>
        <w:rPr>
          <w:rFonts w:ascii="Arial" w:eastAsia="Calibri" w:hAnsi="Arial" w:cs="Arial"/>
          <w:color w:val="000000" w:themeColor="text1"/>
          <w:sz w:val="19"/>
          <w:szCs w:val="19"/>
          <w:lang w:val="es-ES_tradnl"/>
        </w:rPr>
      </w:pPr>
    </w:p>
  </w:footnote>
  <w:footnote w:id="25">
    <w:p w14:paraId="69ACF23B" w14:textId="614F8673" w:rsidR="00112554" w:rsidRDefault="00112554" w:rsidP="00404EFC">
      <w:pPr>
        <w:pStyle w:val="Textonotapie"/>
        <w:spacing w:after="0" w:line="240" w:lineRule="auto"/>
        <w:ind w:firstLine="708"/>
        <w:contextualSpacing/>
        <w:rPr>
          <w:rFonts w:ascii="Arial" w:hAnsi="Arial" w:cs="Arial"/>
          <w:color w:val="000000" w:themeColor="text1"/>
          <w:sz w:val="19"/>
          <w:szCs w:val="19"/>
          <w:lang w:val="es-ES"/>
        </w:rPr>
      </w:pPr>
      <w:r w:rsidRPr="00404EFC">
        <w:rPr>
          <w:rStyle w:val="Refdenotaalpie"/>
          <w:rFonts w:ascii="Arial" w:hAnsi="Arial" w:cs="Arial"/>
          <w:sz w:val="19"/>
          <w:szCs w:val="19"/>
        </w:rPr>
        <w:footnoteRef/>
      </w:r>
      <w:r w:rsidRPr="00404EFC">
        <w:rPr>
          <w:rFonts w:ascii="Arial" w:hAnsi="Arial" w:cs="Arial"/>
          <w:sz w:val="19"/>
          <w:szCs w:val="19"/>
        </w:rPr>
        <w:t xml:space="preserve"> </w:t>
      </w:r>
      <w:r w:rsidRPr="00404EFC">
        <w:rPr>
          <w:rFonts w:ascii="Arial" w:hAnsi="Arial" w:cs="Arial"/>
          <w:color w:val="000000" w:themeColor="text1"/>
          <w:sz w:val="19"/>
          <w:szCs w:val="19"/>
          <w:lang w:val="es-ES"/>
        </w:rPr>
        <w:t xml:space="preserve">Consejo de Estado. Sección Tercera. Subsección C. Sentencia del 2 de diciembre de 2013. </w:t>
      </w:r>
      <w:proofErr w:type="spellStart"/>
      <w:r w:rsidRPr="00404EFC">
        <w:rPr>
          <w:rFonts w:ascii="Arial" w:hAnsi="Arial" w:cs="Arial"/>
          <w:color w:val="000000" w:themeColor="text1"/>
          <w:sz w:val="19"/>
          <w:szCs w:val="19"/>
          <w:lang w:val="es-ES"/>
        </w:rPr>
        <w:t>Exp</w:t>
      </w:r>
      <w:proofErr w:type="spellEnd"/>
      <w:r w:rsidRPr="00404EFC">
        <w:rPr>
          <w:rFonts w:ascii="Arial" w:hAnsi="Arial" w:cs="Arial"/>
          <w:color w:val="000000" w:themeColor="text1"/>
          <w:sz w:val="19"/>
          <w:szCs w:val="19"/>
          <w:lang w:val="es-ES"/>
        </w:rPr>
        <w:t>. 41719. Consejero Ponente: Jaime Orlando Santofimio Gamboa.</w:t>
      </w:r>
    </w:p>
    <w:p w14:paraId="42E5E496" w14:textId="77777777" w:rsidR="00404EFC" w:rsidRPr="00404EFC" w:rsidRDefault="00404EFC" w:rsidP="00404EFC">
      <w:pPr>
        <w:pStyle w:val="Textonotapie"/>
        <w:spacing w:after="0" w:line="240" w:lineRule="auto"/>
        <w:ind w:firstLine="708"/>
        <w:contextualSpacing/>
        <w:rPr>
          <w:rFonts w:ascii="Arial" w:hAnsi="Arial" w:cs="Arial"/>
          <w:color w:val="000000" w:themeColor="text1"/>
          <w:sz w:val="19"/>
          <w:szCs w:val="19"/>
          <w:lang w:val="es-ES"/>
        </w:rPr>
      </w:pPr>
    </w:p>
  </w:footnote>
  <w:footnote w:id="26">
    <w:p w14:paraId="2AD5A730" w14:textId="77777777" w:rsidR="00112554" w:rsidRPr="00404EFC" w:rsidRDefault="00112554" w:rsidP="00404EFC">
      <w:pPr>
        <w:pStyle w:val="Textonotapie"/>
        <w:spacing w:after="0" w:line="240" w:lineRule="auto"/>
        <w:ind w:firstLine="709"/>
        <w:contextualSpacing/>
        <w:rPr>
          <w:rFonts w:ascii="Arial" w:hAnsi="Arial" w:cs="Arial"/>
          <w:color w:val="000000" w:themeColor="text1"/>
          <w:sz w:val="19"/>
          <w:szCs w:val="19"/>
          <w:lang w:val="es-ES"/>
        </w:rPr>
      </w:pPr>
      <w:r w:rsidRPr="00404EFC">
        <w:rPr>
          <w:rStyle w:val="Refdenotaalpie"/>
          <w:rFonts w:ascii="Arial" w:hAnsi="Arial" w:cs="Arial"/>
          <w:color w:val="000000" w:themeColor="text1"/>
          <w:sz w:val="19"/>
          <w:szCs w:val="19"/>
        </w:rPr>
        <w:footnoteRef/>
      </w:r>
      <w:r w:rsidRPr="00404EFC">
        <w:rPr>
          <w:rFonts w:ascii="Arial" w:hAnsi="Arial" w:cs="Arial"/>
          <w:color w:val="000000" w:themeColor="text1"/>
          <w:sz w:val="19"/>
          <w:szCs w:val="19"/>
        </w:rPr>
        <w:t xml:space="preserve"> </w:t>
      </w:r>
      <w:proofErr w:type="spellStart"/>
      <w:r w:rsidRPr="00404EFC">
        <w:rPr>
          <w:rFonts w:ascii="Arial" w:hAnsi="Arial" w:cs="Arial"/>
          <w:color w:val="000000" w:themeColor="text1"/>
          <w:sz w:val="19"/>
          <w:szCs w:val="19"/>
          <w:lang w:val="es-ES"/>
        </w:rPr>
        <w:t>Ibíd</w:t>
      </w:r>
      <w:proofErr w:type="spellEnd"/>
      <w:r w:rsidRPr="00404EFC">
        <w:rPr>
          <w:rFonts w:ascii="Arial" w:hAnsi="Arial" w:cs="Arial"/>
          <w:color w:val="000000" w:themeColor="text1"/>
          <w:sz w:val="19"/>
          <w:szCs w:val="19"/>
          <w:lang w:val="es-ES"/>
        </w:rPr>
        <w:t>.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617BA989" w14:textId="77777777" w:rsidR="00112554" w:rsidRPr="00404EFC" w:rsidRDefault="00112554" w:rsidP="00404EFC">
      <w:pPr>
        <w:pStyle w:val="Textonotapie"/>
        <w:spacing w:after="0" w:line="240" w:lineRule="auto"/>
        <w:ind w:firstLine="709"/>
        <w:contextualSpacing/>
        <w:rPr>
          <w:rFonts w:ascii="Arial" w:hAnsi="Arial" w:cs="Arial"/>
          <w:color w:val="000000" w:themeColor="text1"/>
          <w:sz w:val="19"/>
          <w:szCs w:val="19"/>
          <w:lang w:val="es-ES"/>
        </w:rPr>
      </w:pPr>
      <w:proofErr w:type="gramStart"/>
      <w:r w:rsidRPr="00404EFC">
        <w:rPr>
          <w:rFonts w:ascii="Arial" w:hAnsi="Arial" w:cs="Arial"/>
          <w:color w:val="000000" w:themeColor="text1"/>
          <w:sz w:val="19"/>
          <w:szCs w:val="19"/>
          <w:lang w:val="es-ES"/>
        </w:rPr>
        <w:t>»Son</w:t>
      </w:r>
      <w:proofErr w:type="gramEnd"/>
      <w:r w:rsidRPr="00404EFC">
        <w:rPr>
          <w:rFonts w:ascii="Arial" w:hAnsi="Arial" w:cs="Arial"/>
          <w:color w:val="000000" w:themeColor="text1"/>
          <w:sz w:val="19"/>
          <w:szCs w:val="19"/>
          <w:lang w:val="es-ES"/>
        </w:rPr>
        <w:t xml:space="preserve"> también contratos de consultoría los que tienen por objeto la interventoría, asesoría, gerencia de obra o de proyectos, dirección, programación y la ejecución de diseños, planos, anteproyectos y proyectos.</w:t>
      </w:r>
    </w:p>
    <w:p w14:paraId="6023E973" w14:textId="77777777" w:rsidR="00112554" w:rsidRPr="00404EFC" w:rsidRDefault="00112554" w:rsidP="00404EFC">
      <w:pPr>
        <w:pStyle w:val="Textonotapie"/>
        <w:spacing w:after="0" w:line="240" w:lineRule="auto"/>
        <w:ind w:firstLine="709"/>
        <w:contextualSpacing/>
        <w:rPr>
          <w:rFonts w:ascii="Arial" w:hAnsi="Arial" w:cs="Arial"/>
          <w:color w:val="000000" w:themeColor="text1"/>
          <w:sz w:val="19"/>
          <w:szCs w:val="19"/>
          <w:lang w:val="es-ES"/>
        </w:rPr>
      </w:pPr>
      <w:proofErr w:type="gramStart"/>
      <w:r w:rsidRPr="00404EFC">
        <w:rPr>
          <w:rFonts w:ascii="Arial" w:hAnsi="Arial" w:cs="Arial"/>
          <w:color w:val="000000" w:themeColor="text1"/>
          <w:sz w:val="19"/>
          <w:szCs w:val="19"/>
          <w:lang w:val="es-ES"/>
        </w:rPr>
        <w:t>»Ninguna</w:t>
      </w:r>
      <w:proofErr w:type="gramEnd"/>
      <w:r w:rsidRPr="00404EFC">
        <w:rPr>
          <w:rFonts w:ascii="Arial" w:hAnsi="Arial" w:cs="Arial"/>
          <w:color w:val="000000" w:themeColor="text1"/>
          <w:sz w:val="19"/>
          <w:szCs w:val="19"/>
          <w:lang w:val="es-ES"/>
        </w:rPr>
        <w:t xml:space="preserve"> orden del interventor de una obra podrá darse verbalmente. Es obligatorio para el interventor entregar por escrito sus órdenes o sugerencias y ellas deben </w:t>
      </w:r>
      <w:proofErr w:type="gramStart"/>
      <w:r w:rsidRPr="00404EFC">
        <w:rPr>
          <w:rFonts w:ascii="Arial" w:hAnsi="Arial" w:cs="Arial"/>
          <w:color w:val="000000" w:themeColor="text1"/>
          <w:sz w:val="19"/>
          <w:szCs w:val="19"/>
          <w:lang w:val="es-ES"/>
        </w:rPr>
        <w:t>enmarcarse dentro de</w:t>
      </w:r>
      <w:proofErr w:type="gramEnd"/>
      <w:r w:rsidRPr="00404EFC">
        <w:rPr>
          <w:rFonts w:ascii="Arial" w:hAnsi="Arial" w:cs="Arial"/>
          <w:color w:val="000000" w:themeColor="text1"/>
          <w:sz w:val="19"/>
          <w:szCs w:val="19"/>
          <w:lang w:val="es-ES"/>
        </w:rPr>
        <w:t xml:space="preserve"> los términos del respectivo contrato». </w:t>
      </w:r>
    </w:p>
    <w:p w14:paraId="5CBFC435" w14:textId="77777777" w:rsidR="00112554" w:rsidRPr="00404EFC" w:rsidRDefault="00112554" w:rsidP="00404EFC">
      <w:pPr>
        <w:pStyle w:val="Textonotapie"/>
        <w:spacing w:after="0" w:line="240" w:lineRule="auto"/>
        <w:ind w:firstLine="709"/>
        <w:contextualSpacing/>
        <w:rPr>
          <w:rFonts w:ascii="Arial" w:hAnsi="Arial" w:cs="Arial"/>
          <w:color w:val="000000" w:themeColor="text1"/>
          <w:sz w:val="19"/>
          <w:szCs w:val="19"/>
          <w:lang w:val="es-ES"/>
        </w:rPr>
      </w:pPr>
    </w:p>
  </w:footnote>
  <w:footnote w:id="27">
    <w:p w14:paraId="43D70084" w14:textId="087F1D2C" w:rsidR="00112554" w:rsidRDefault="00112554"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Agencia Nacional de contratación Pública – Colombia Compra Eficiente. Circular No. 3 del 16 de agosto de 2013. Consultada el 29 de diciembre de 2021 en la página web: </w:t>
      </w:r>
      <w:hyperlink r:id="rId1" w:history="1">
        <w:r w:rsidRPr="00404EFC">
          <w:rPr>
            <w:rStyle w:val="Hipervnculo"/>
            <w:rFonts w:ascii="Arial" w:hAnsi="Arial" w:cs="Arial"/>
            <w:sz w:val="19"/>
            <w:szCs w:val="19"/>
          </w:rPr>
          <w:t>https://colombiacompra.gov.co/sites/cce_public/files/cce_circulares/20130816circular3leygarantias.pdf</w:t>
        </w:r>
      </w:hyperlink>
      <w:r w:rsidRPr="00404EFC">
        <w:rPr>
          <w:rFonts w:ascii="Arial" w:hAnsi="Arial" w:cs="Arial"/>
          <w:sz w:val="19"/>
          <w:szCs w:val="19"/>
        </w:rPr>
        <w:t xml:space="preserve"> </w:t>
      </w:r>
    </w:p>
    <w:p w14:paraId="0F8EC9D3" w14:textId="77777777" w:rsidR="00404EFC" w:rsidRPr="00404EFC" w:rsidRDefault="00404EFC" w:rsidP="00404EFC">
      <w:pPr>
        <w:pStyle w:val="Textonotapie"/>
        <w:spacing w:after="0" w:line="240" w:lineRule="auto"/>
        <w:ind w:firstLine="709"/>
        <w:contextualSpacing/>
        <w:rPr>
          <w:rFonts w:ascii="Arial" w:hAnsi="Arial" w:cs="Arial"/>
          <w:sz w:val="19"/>
          <w:szCs w:val="19"/>
        </w:rPr>
      </w:pPr>
    </w:p>
  </w:footnote>
  <w:footnote w:id="28">
    <w:p w14:paraId="2A3BAAEF" w14:textId="77777777" w:rsidR="00112554" w:rsidRPr="00404EFC" w:rsidRDefault="00112554"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Ley 80 de 1993: «</w:t>
      </w:r>
      <w:proofErr w:type="spellStart"/>
      <w:r w:rsidRPr="00404EFC">
        <w:rPr>
          <w:rFonts w:ascii="Arial" w:hAnsi="Arial" w:cs="Arial"/>
          <w:sz w:val="19"/>
          <w:szCs w:val="19"/>
        </w:rPr>
        <w:t>Articulo</w:t>
      </w:r>
      <w:proofErr w:type="spellEnd"/>
      <w:r w:rsidRPr="00404EFC">
        <w:rPr>
          <w:rFonts w:ascii="Arial" w:hAnsi="Arial" w:cs="Arial"/>
          <w:sz w:val="19"/>
          <w:szCs w:val="19"/>
        </w:rPr>
        <w:t xml:space="preserve"> 6o. De la capacidad para contratar. Pueden celebrar contratos con las entidades estatales las personas consideradas legalmente capaces en las disposiciones vigentes […]»</w:t>
      </w:r>
    </w:p>
    <w:p w14:paraId="4E196AA4" w14:textId="77777777" w:rsidR="00112554" w:rsidRPr="00404EFC" w:rsidRDefault="00112554" w:rsidP="00404EFC">
      <w:pPr>
        <w:pStyle w:val="Textonotapie"/>
        <w:spacing w:after="0" w:line="240" w:lineRule="auto"/>
        <w:ind w:firstLine="709"/>
        <w:contextualSpacing/>
        <w:rPr>
          <w:rFonts w:ascii="Arial" w:hAnsi="Arial" w:cs="Arial"/>
          <w:sz w:val="19"/>
          <w:szCs w:val="19"/>
        </w:rPr>
      </w:pPr>
      <w:r w:rsidRPr="00404EFC">
        <w:rPr>
          <w:rFonts w:ascii="Arial" w:hAnsi="Arial" w:cs="Arial"/>
          <w:sz w:val="19"/>
          <w:szCs w:val="19"/>
        </w:rPr>
        <w:t xml:space="preserve">«Articulo 8o. De las inhabilidades e incompatibilidades para contratar. </w:t>
      </w:r>
    </w:p>
    <w:p w14:paraId="401CEAEC" w14:textId="77777777" w:rsidR="00112554" w:rsidRPr="00404EFC" w:rsidRDefault="00112554" w:rsidP="00404EFC">
      <w:pPr>
        <w:pStyle w:val="Textonotapie"/>
        <w:spacing w:after="0" w:line="240" w:lineRule="auto"/>
        <w:ind w:firstLine="709"/>
        <w:contextualSpacing/>
        <w:rPr>
          <w:rFonts w:ascii="Arial" w:hAnsi="Arial" w:cs="Arial"/>
          <w:sz w:val="19"/>
          <w:szCs w:val="19"/>
        </w:rPr>
      </w:pPr>
      <w:r w:rsidRPr="00404EFC">
        <w:rPr>
          <w:rFonts w:ascii="Arial" w:hAnsi="Arial" w:cs="Arial"/>
          <w:sz w:val="19"/>
          <w:szCs w:val="19"/>
        </w:rPr>
        <w:t>»1o. Son inhábiles para participar en licitaciones o concursos y para celebrar contratos con las entidades estatales</w:t>
      </w:r>
      <w:proofErr w:type="gramStart"/>
      <w:r w:rsidRPr="00404EFC">
        <w:rPr>
          <w:rFonts w:ascii="Arial" w:hAnsi="Arial" w:cs="Arial"/>
          <w:sz w:val="19"/>
          <w:szCs w:val="19"/>
        </w:rPr>
        <w:t>: »a</w:t>
      </w:r>
      <w:proofErr w:type="gramEnd"/>
      <w:r w:rsidRPr="00404EFC">
        <w:rPr>
          <w:rFonts w:ascii="Arial" w:hAnsi="Arial" w:cs="Arial"/>
          <w:sz w:val="19"/>
          <w:szCs w:val="19"/>
        </w:rPr>
        <w:t>) Las personas que se hallen inhabilitadas para contratar por la Constitución y las leyes […]».</w:t>
      </w:r>
    </w:p>
    <w:p w14:paraId="306D354E" w14:textId="77777777" w:rsidR="00112554" w:rsidRPr="00404EFC" w:rsidRDefault="00112554" w:rsidP="00404EFC">
      <w:pPr>
        <w:pStyle w:val="Textonotapie"/>
        <w:spacing w:after="0" w:line="240" w:lineRule="auto"/>
        <w:ind w:firstLine="709"/>
        <w:contextualSpacing/>
        <w:rPr>
          <w:rFonts w:ascii="Arial" w:hAnsi="Arial" w:cs="Arial"/>
          <w:sz w:val="19"/>
          <w:szCs w:val="19"/>
        </w:rPr>
      </w:pPr>
    </w:p>
  </w:footnote>
  <w:footnote w:id="29">
    <w:p w14:paraId="68A2B572" w14:textId="73E156E7" w:rsidR="00112554" w:rsidRDefault="00112554" w:rsidP="00404EFC">
      <w:pPr>
        <w:pStyle w:val="Textonotapie"/>
        <w:spacing w:after="0" w:line="240" w:lineRule="auto"/>
        <w:ind w:firstLine="709"/>
        <w:contextualSpacing/>
        <w:rPr>
          <w:rFonts w:ascii="Arial" w:hAnsi="Arial" w:cs="Arial"/>
          <w:sz w:val="19"/>
          <w:szCs w:val="19"/>
        </w:rPr>
      </w:pPr>
      <w:r w:rsidRPr="00404EFC">
        <w:rPr>
          <w:rStyle w:val="Refdenotaalpie"/>
          <w:rFonts w:ascii="Arial" w:hAnsi="Arial" w:cs="Arial"/>
          <w:sz w:val="19"/>
          <w:szCs w:val="19"/>
        </w:rPr>
        <w:footnoteRef/>
      </w:r>
      <w:r w:rsidRPr="00404EFC">
        <w:rPr>
          <w:rFonts w:ascii="Arial" w:hAnsi="Arial" w:cs="Arial"/>
          <w:sz w:val="19"/>
          <w:szCs w:val="19"/>
        </w:rPr>
        <w:t xml:space="preserve"> Constitución Política de Colombia: «Artículo 122. […] 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 […]».</w:t>
      </w:r>
    </w:p>
    <w:p w14:paraId="26CFBF0D" w14:textId="77777777" w:rsidR="00404EFC" w:rsidRPr="00404EFC" w:rsidRDefault="00404EFC" w:rsidP="00404EFC">
      <w:pPr>
        <w:pStyle w:val="Textonotapie"/>
        <w:spacing w:after="0" w:line="240" w:lineRule="auto"/>
        <w:ind w:firstLine="709"/>
        <w:contextualSpacing/>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464C" w14:textId="77777777" w:rsidR="00301B6D" w:rsidRDefault="009E3D0B">
    <w:pPr>
      <w:pStyle w:val="Encabezado"/>
    </w:pPr>
    <w:r>
      <w:rPr>
        <w:noProof/>
        <w:lang w:val="es-CO" w:eastAsia="es-CO"/>
      </w:rPr>
      <w:drawing>
        <wp:anchor distT="0" distB="0" distL="114300" distR="114300" simplePos="0" relativeHeight="251659264" behindDoc="1" locked="0" layoutInCell="1" allowOverlap="1" wp14:anchorId="41773D8E" wp14:editId="16814243">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CBC3E1" w14:textId="77777777" w:rsidR="00301B6D" w:rsidRDefault="00000000" w:rsidP="00301B6D">
    <w:pPr>
      <w:pStyle w:val="Encabezado"/>
      <w:spacing w:after="0"/>
    </w:pPr>
  </w:p>
  <w:p w14:paraId="5E26424A" w14:textId="77777777" w:rsidR="00301B6D"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09"/>
    <w:rsid w:val="00036112"/>
    <w:rsid w:val="00052577"/>
    <w:rsid w:val="00072FB7"/>
    <w:rsid w:val="000823F6"/>
    <w:rsid w:val="00087810"/>
    <w:rsid w:val="0009396F"/>
    <w:rsid w:val="00096EFF"/>
    <w:rsid w:val="000A4E0B"/>
    <w:rsid w:val="000E3FD5"/>
    <w:rsid w:val="000F2B5A"/>
    <w:rsid w:val="00104EC4"/>
    <w:rsid w:val="00112554"/>
    <w:rsid w:val="00114F61"/>
    <w:rsid w:val="00121FBA"/>
    <w:rsid w:val="00124012"/>
    <w:rsid w:val="0013014C"/>
    <w:rsid w:val="00134409"/>
    <w:rsid w:val="00145B65"/>
    <w:rsid w:val="001B0ECD"/>
    <w:rsid w:val="001C572C"/>
    <w:rsid w:val="001C6880"/>
    <w:rsid w:val="001F4D02"/>
    <w:rsid w:val="0020208C"/>
    <w:rsid w:val="00237275"/>
    <w:rsid w:val="002437DA"/>
    <w:rsid w:val="00297718"/>
    <w:rsid w:val="002B1788"/>
    <w:rsid w:val="002B2435"/>
    <w:rsid w:val="002C3E77"/>
    <w:rsid w:val="002D1BE3"/>
    <w:rsid w:val="00342722"/>
    <w:rsid w:val="003447AC"/>
    <w:rsid w:val="00344FA7"/>
    <w:rsid w:val="003B5C46"/>
    <w:rsid w:val="003E1DBA"/>
    <w:rsid w:val="003F3811"/>
    <w:rsid w:val="00404EFC"/>
    <w:rsid w:val="00411F72"/>
    <w:rsid w:val="004529A0"/>
    <w:rsid w:val="0048020A"/>
    <w:rsid w:val="004C055C"/>
    <w:rsid w:val="004E1FFE"/>
    <w:rsid w:val="004E4E92"/>
    <w:rsid w:val="00520CBB"/>
    <w:rsid w:val="00526DE2"/>
    <w:rsid w:val="00575685"/>
    <w:rsid w:val="006323C1"/>
    <w:rsid w:val="00654965"/>
    <w:rsid w:val="00655085"/>
    <w:rsid w:val="00660EAD"/>
    <w:rsid w:val="006A3E57"/>
    <w:rsid w:val="007176AA"/>
    <w:rsid w:val="00722714"/>
    <w:rsid w:val="007326D7"/>
    <w:rsid w:val="007354FB"/>
    <w:rsid w:val="00740E1C"/>
    <w:rsid w:val="00764CA3"/>
    <w:rsid w:val="00771FB2"/>
    <w:rsid w:val="0079785A"/>
    <w:rsid w:val="007B10AA"/>
    <w:rsid w:val="007D3A78"/>
    <w:rsid w:val="007F00D2"/>
    <w:rsid w:val="007F0882"/>
    <w:rsid w:val="008273F4"/>
    <w:rsid w:val="00827C45"/>
    <w:rsid w:val="00860042"/>
    <w:rsid w:val="008866B9"/>
    <w:rsid w:val="008A4C18"/>
    <w:rsid w:val="008B76D5"/>
    <w:rsid w:val="008E3B3E"/>
    <w:rsid w:val="00912BEB"/>
    <w:rsid w:val="00933FB2"/>
    <w:rsid w:val="00947A71"/>
    <w:rsid w:val="00951016"/>
    <w:rsid w:val="0098289B"/>
    <w:rsid w:val="00984FDC"/>
    <w:rsid w:val="009B5556"/>
    <w:rsid w:val="009E3D0B"/>
    <w:rsid w:val="00A432CD"/>
    <w:rsid w:val="00A726A9"/>
    <w:rsid w:val="00AA036C"/>
    <w:rsid w:val="00AA2516"/>
    <w:rsid w:val="00B7096A"/>
    <w:rsid w:val="00BA560E"/>
    <w:rsid w:val="00BC2C80"/>
    <w:rsid w:val="00BE5372"/>
    <w:rsid w:val="00BF3CAF"/>
    <w:rsid w:val="00C156A7"/>
    <w:rsid w:val="00C7155F"/>
    <w:rsid w:val="00C801EA"/>
    <w:rsid w:val="00CC3A31"/>
    <w:rsid w:val="00CD271D"/>
    <w:rsid w:val="00CD4A9A"/>
    <w:rsid w:val="00CD5BAF"/>
    <w:rsid w:val="00CF6E2F"/>
    <w:rsid w:val="00D44EC5"/>
    <w:rsid w:val="00D83360"/>
    <w:rsid w:val="00D93F75"/>
    <w:rsid w:val="00DA104E"/>
    <w:rsid w:val="00E0125F"/>
    <w:rsid w:val="00E04E3D"/>
    <w:rsid w:val="00E41BA6"/>
    <w:rsid w:val="00E55E19"/>
    <w:rsid w:val="00E97576"/>
    <w:rsid w:val="00EA4EF1"/>
    <w:rsid w:val="00EB41A8"/>
    <w:rsid w:val="00EF3556"/>
    <w:rsid w:val="00EF7D13"/>
    <w:rsid w:val="00F72FBD"/>
    <w:rsid w:val="00F83A52"/>
    <w:rsid w:val="00FC136A"/>
    <w:rsid w:val="00FC42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B5F3"/>
  <w15:chartTrackingRefBased/>
  <w15:docId w15:val="{026C9B9C-6D51-4E3C-AFFD-B5407EAC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34409"/>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134409"/>
    <w:rPr>
      <w:sz w:val="24"/>
      <w:lang w:val="es-MX"/>
    </w:rPr>
  </w:style>
  <w:style w:type="paragraph" w:styleId="Encabezado">
    <w:name w:val="header"/>
    <w:basedOn w:val="Normal"/>
    <w:link w:val="EncabezadoCar"/>
    <w:uiPriority w:val="99"/>
    <w:unhideWhenUsed/>
    <w:rsid w:val="00134409"/>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134409"/>
    <w:rPr>
      <w:sz w:val="24"/>
      <w:lang w:val="es-MX"/>
    </w:rPr>
  </w:style>
  <w:style w:type="paragraph" w:styleId="NormalWeb">
    <w:name w:val="Normal (Web)"/>
    <w:basedOn w:val="Normal"/>
    <w:link w:val="NormalWebCar"/>
    <w:uiPriority w:val="99"/>
    <w:unhideWhenUsed/>
    <w:rsid w:val="00134409"/>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aliases w:val="No Indent"/>
    <w:uiPriority w:val="3"/>
    <w:qFormat/>
    <w:rsid w:val="00134409"/>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3440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134409"/>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134409"/>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134409"/>
    <w:rPr>
      <w:vertAlign w:val="superscript"/>
    </w:rPr>
  </w:style>
  <w:style w:type="paragraph" w:customStyle="1" w:styleId="Appelnotedebasde">
    <w:name w:val="Appel note de bas de..."/>
    <w:basedOn w:val="Normal"/>
    <w:link w:val="Refdenotaalpie"/>
    <w:uiPriority w:val="99"/>
    <w:rsid w:val="00134409"/>
    <w:pPr>
      <w:spacing w:line="240" w:lineRule="exact"/>
      <w:jc w:val="both"/>
    </w:pPr>
    <w:rPr>
      <w:vertAlign w:val="superscript"/>
    </w:rPr>
  </w:style>
  <w:style w:type="character" w:customStyle="1" w:styleId="NormalWebCar">
    <w:name w:val="Normal (Web) Car"/>
    <w:link w:val="NormalWeb"/>
    <w:uiPriority w:val="99"/>
    <w:locked/>
    <w:rsid w:val="00134409"/>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13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134409"/>
  </w:style>
  <w:style w:type="table" w:customStyle="1" w:styleId="Tablaconcuadrcula4">
    <w:name w:val="Tabla con cuadrícula4"/>
    <w:basedOn w:val="Tablanormal"/>
    <w:next w:val="Tablaconcuadrcula"/>
    <w:uiPriority w:val="39"/>
    <w:rsid w:val="0013440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3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E04E3D"/>
    <w:rPr>
      <w:b/>
      <w:bCs/>
    </w:rPr>
  </w:style>
  <w:style w:type="character" w:styleId="Hipervnculo">
    <w:name w:val="Hyperlink"/>
    <w:basedOn w:val="Fuentedeprrafopredeter"/>
    <w:uiPriority w:val="99"/>
    <w:unhideWhenUsed/>
    <w:rsid w:val="00112554"/>
    <w:rPr>
      <w:color w:val="0563C1" w:themeColor="hyperlink"/>
      <w:u w:val="single"/>
    </w:rPr>
  </w:style>
  <w:style w:type="paragraph" w:styleId="Revisin">
    <w:name w:val="Revision"/>
    <w:hidden/>
    <w:uiPriority w:val="99"/>
    <w:semiHidden/>
    <w:rsid w:val="004E4E92"/>
    <w:pPr>
      <w:spacing w:after="0" w:line="240" w:lineRule="auto"/>
    </w:pPr>
  </w:style>
  <w:style w:type="character" w:styleId="Refdecomentario">
    <w:name w:val="annotation reference"/>
    <w:basedOn w:val="Fuentedeprrafopredeter"/>
    <w:uiPriority w:val="99"/>
    <w:semiHidden/>
    <w:unhideWhenUsed/>
    <w:rsid w:val="00D44EC5"/>
    <w:rPr>
      <w:sz w:val="16"/>
      <w:szCs w:val="16"/>
    </w:rPr>
  </w:style>
  <w:style w:type="paragraph" w:styleId="Textocomentario">
    <w:name w:val="annotation text"/>
    <w:basedOn w:val="Normal"/>
    <w:link w:val="TextocomentarioCar"/>
    <w:uiPriority w:val="99"/>
    <w:semiHidden/>
    <w:unhideWhenUsed/>
    <w:rsid w:val="00D44E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4EC5"/>
    <w:rPr>
      <w:sz w:val="20"/>
      <w:szCs w:val="20"/>
    </w:rPr>
  </w:style>
  <w:style w:type="paragraph" w:styleId="Asuntodelcomentario">
    <w:name w:val="annotation subject"/>
    <w:basedOn w:val="Textocomentario"/>
    <w:next w:val="Textocomentario"/>
    <w:link w:val="AsuntodelcomentarioCar"/>
    <w:uiPriority w:val="99"/>
    <w:semiHidden/>
    <w:unhideWhenUsed/>
    <w:rsid w:val="00D44EC5"/>
    <w:rPr>
      <w:b/>
      <w:bCs/>
    </w:rPr>
  </w:style>
  <w:style w:type="character" w:customStyle="1" w:styleId="AsuntodelcomentarioCar">
    <w:name w:val="Asunto del comentario Car"/>
    <w:basedOn w:val="TextocomentarioCar"/>
    <w:link w:val="Asuntodelcomentario"/>
    <w:uiPriority w:val="99"/>
    <w:semiHidden/>
    <w:rsid w:val="00D44E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circulares/20130816circular3leygaranti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7518A2-A50A-4B07-B669-31DEDA75EE26}">
  <ds:schemaRefs>
    <ds:schemaRef ds:uri="http://schemas.openxmlformats.org/officeDocument/2006/bibliography"/>
  </ds:schemaRefs>
</ds:datastoreItem>
</file>

<file path=customXml/itemProps2.xml><?xml version="1.0" encoding="utf-8"?>
<ds:datastoreItem xmlns:ds="http://schemas.openxmlformats.org/officeDocument/2006/customXml" ds:itemID="{434B184A-202E-423D-9A4F-001548D8F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0CF82-3C08-492A-9E6B-E374370768E1}">
  <ds:schemaRefs>
    <ds:schemaRef ds:uri="http://schemas.microsoft.com/sharepoint/v3/contenttype/forms"/>
  </ds:schemaRefs>
</ds:datastoreItem>
</file>

<file path=customXml/itemProps4.xml><?xml version="1.0" encoding="utf-8"?>
<ds:datastoreItem xmlns:ds="http://schemas.openxmlformats.org/officeDocument/2006/customXml" ds:itemID="{3C745C78-0424-462E-A1A5-1D53EDD797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7302</Words>
  <Characters>40162</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Martin Rojas Mejia</cp:lastModifiedBy>
  <cp:revision>12</cp:revision>
  <dcterms:created xsi:type="dcterms:W3CDTF">2022-05-24T19:48:00Z</dcterms:created>
  <dcterms:modified xsi:type="dcterms:W3CDTF">2022-07-26T15:51:00Z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