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0452" w14:textId="67098E5B" w:rsidR="001C5626" w:rsidRPr="00C2769D" w:rsidRDefault="001C5626" w:rsidP="001C5626">
      <w:pPr>
        <w:spacing w:after="0" w:line="240" w:lineRule="auto"/>
        <w:contextualSpacing/>
        <w:jc w:val="both"/>
        <w:rPr>
          <w:rFonts w:ascii="Arial" w:eastAsia="Calibri" w:hAnsi="Arial" w:cs="Arial"/>
          <w:b/>
          <w:lang w:val="es-MX" w:eastAsia="es-MX"/>
        </w:rPr>
      </w:pPr>
      <w:r w:rsidRPr="00C2769D">
        <w:rPr>
          <w:rFonts w:ascii="Arial" w:eastAsia="Calibri" w:hAnsi="Arial" w:cs="Arial"/>
          <w:b/>
          <w:lang w:val="es-MX" w:eastAsia="es-MX"/>
        </w:rPr>
        <w:t>LEY DE GARANTÍAS ELECTORALES – Definición – Finalidad</w:t>
      </w:r>
    </w:p>
    <w:p w14:paraId="5BA07862" w14:textId="77777777" w:rsidR="001C5626" w:rsidRPr="00C2769D" w:rsidRDefault="001C5626" w:rsidP="001C5626">
      <w:pPr>
        <w:spacing w:after="0" w:line="240" w:lineRule="auto"/>
        <w:contextualSpacing/>
        <w:jc w:val="both"/>
        <w:rPr>
          <w:rFonts w:ascii="Arial" w:eastAsia="Calibri" w:hAnsi="Arial" w:cs="Arial"/>
          <w:b/>
          <w:sz w:val="20"/>
          <w:szCs w:val="20"/>
          <w:lang w:val="es-MX" w:eastAsia="es-MX"/>
        </w:rPr>
      </w:pPr>
    </w:p>
    <w:p w14:paraId="36372317"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es-CO"/>
        </w:rPr>
      </w:pPr>
      <w:r w:rsidRPr="00C2769D">
        <w:rPr>
          <w:rFonts w:ascii="Arial" w:eastAsia="Times New Roman"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7C49FAE0" w14:textId="77777777" w:rsidR="001C5626" w:rsidRPr="00C2769D" w:rsidRDefault="001C5626" w:rsidP="001C5626">
      <w:pPr>
        <w:spacing w:after="0" w:line="240" w:lineRule="auto"/>
        <w:contextualSpacing/>
        <w:jc w:val="both"/>
        <w:rPr>
          <w:rFonts w:ascii="Arial" w:eastAsia="Calibri" w:hAnsi="Arial" w:cs="Arial"/>
          <w:b/>
          <w:sz w:val="20"/>
          <w:szCs w:val="20"/>
          <w:lang w:val="es-MX" w:eastAsia="es-MX"/>
        </w:rPr>
      </w:pPr>
    </w:p>
    <w:p w14:paraId="3D2A5531" w14:textId="77777777" w:rsidR="001C5626" w:rsidRPr="00C2769D" w:rsidRDefault="001C5626" w:rsidP="001C5626">
      <w:pPr>
        <w:spacing w:after="0" w:line="240" w:lineRule="auto"/>
        <w:contextualSpacing/>
        <w:jc w:val="both"/>
        <w:rPr>
          <w:rFonts w:ascii="Arial" w:eastAsia="Calibri" w:hAnsi="Arial" w:cs="Arial"/>
          <w:b/>
          <w:lang w:val="es-MX" w:eastAsia="es-MX"/>
        </w:rPr>
      </w:pPr>
      <w:r w:rsidRPr="00C2769D">
        <w:rPr>
          <w:rFonts w:ascii="Arial" w:eastAsia="Calibri" w:hAnsi="Arial" w:cs="Arial"/>
          <w:b/>
          <w:lang w:val="es-MX" w:eastAsia="es-MX"/>
        </w:rPr>
        <w:t xml:space="preserve">LEY DE GARANTÍAS ELECTORALES – Prohibiciones </w:t>
      </w:r>
    </w:p>
    <w:p w14:paraId="1C130F58" w14:textId="77777777" w:rsidR="001C5626" w:rsidRPr="00C2769D" w:rsidRDefault="001C5626" w:rsidP="001C5626">
      <w:pPr>
        <w:spacing w:after="0" w:line="240" w:lineRule="auto"/>
        <w:contextualSpacing/>
        <w:jc w:val="both"/>
        <w:rPr>
          <w:rFonts w:ascii="Arial" w:eastAsia="Calibri" w:hAnsi="Arial" w:cs="Arial"/>
          <w:b/>
          <w:sz w:val="20"/>
          <w:szCs w:val="20"/>
          <w:lang w:val="es-MX" w:eastAsia="es-MX"/>
        </w:rPr>
      </w:pPr>
    </w:p>
    <w:p w14:paraId="224074F1" w14:textId="77777777" w:rsidR="001C5626" w:rsidRDefault="001C5626" w:rsidP="001C5626">
      <w:pPr>
        <w:spacing w:after="0" w:line="240" w:lineRule="auto"/>
        <w:contextualSpacing/>
        <w:jc w:val="both"/>
        <w:rPr>
          <w:rFonts w:ascii="Arial" w:eastAsia="Arial" w:hAnsi="Arial" w:cs="Arial"/>
          <w:sz w:val="20"/>
          <w:szCs w:val="20"/>
          <w:lang w:val="es-ES" w:eastAsia="es-ES" w:bidi="es-ES"/>
        </w:rPr>
      </w:pPr>
      <w:r w:rsidRPr="00C2769D">
        <w:rPr>
          <w:rFonts w:ascii="Arial" w:eastAsia="Times New Roman" w:hAnsi="Arial" w:cs="Arial"/>
          <w:bCs/>
          <w:sz w:val="20"/>
          <w:szCs w:val="20"/>
          <w:lang w:val="es-MX" w:eastAsia="es-CO"/>
        </w:rPr>
        <w:t>De</w:t>
      </w:r>
      <w:r w:rsidRPr="00C2769D">
        <w:rPr>
          <w:rFonts w:ascii="Arial" w:eastAsia="Arial" w:hAnsi="Arial" w:cs="Arial"/>
          <w:sz w:val="20"/>
          <w:szCs w:val="20"/>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1DD31074" w14:textId="77777777" w:rsidR="001C5626" w:rsidRPr="00C2769D" w:rsidRDefault="001C5626" w:rsidP="001C5626">
      <w:pPr>
        <w:spacing w:after="0" w:line="240" w:lineRule="auto"/>
        <w:contextualSpacing/>
        <w:jc w:val="both"/>
        <w:rPr>
          <w:rFonts w:ascii="Arial" w:eastAsia="Arial" w:hAnsi="Arial" w:cs="Arial"/>
          <w:sz w:val="20"/>
          <w:szCs w:val="20"/>
          <w:lang w:val="es-ES" w:eastAsia="es-ES" w:bidi="es-ES"/>
        </w:rPr>
      </w:pPr>
    </w:p>
    <w:p w14:paraId="452AEFE2" w14:textId="77777777" w:rsidR="001C5626" w:rsidRPr="00C2769D" w:rsidRDefault="001C5626" w:rsidP="001C5626">
      <w:pPr>
        <w:spacing w:after="0" w:line="240" w:lineRule="auto"/>
        <w:contextualSpacing/>
        <w:jc w:val="both"/>
        <w:rPr>
          <w:rFonts w:ascii="Arial" w:eastAsia="Calibri" w:hAnsi="Arial" w:cs="Arial"/>
          <w:sz w:val="20"/>
          <w:szCs w:val="20"/>
        </w:rPr>
      </w:pPr>
      <w:r w:rsidRPr="00C2769D">
        <w:rPr>
          <w:rFonts w:ascii="Arial" w:eastAsia="Calibri" w:hAnsi="Arial" w:cs="Arial"/>
          <w:sz w:val="20"/>
          <w:szCs w:val="20"/>
        </w:rPr>
        <w:t xml:space="preserve">Por un lado, el artículo 33 de la Ley 996 de 2005 prohíbe </w:t>
      </w:r>
      <w:r w:rsidRPr="00C2769D">
        <w:rPr>
          <w:rFonts w:ascii="Arial" w:eastAsia="Calibri" w:hAnsi="Arial" w:cs="Arial"/>
          <w:bCs/>
          <w:sz w:val="20"/>
          <w:szCs w:val="20"/>
        </w:rPr>
        <w:t xml:space="preserve">«[…] </w:t>
      </w:r>
      <w:r w:rsidRPr="00C2769D">
        <w:rPr>
          <w:rFonts w:ascii="Arial" w:eastAsia="Calibri" w:hAnsi="Arial" w:cs="Arial"/>
          <w:sz w:val="20"/>
          <w:szCs w:val="20"/>
        </w:rPr>
        <w:t>la contratación directa por parte de todos los entes del Estado</w:t>
      </w:r>
      <w:r w:rsidRPr="00C2769D">
        <w:rPr>
          <w:rFonts w:ascii="Arial" w:eastAsia="Calibri" w:hAnsi="Arial" w:cs="Arial"/>
          <w:bCs/>
          <w:sz w:val="20"/>
          <w:szCs w:val="20"/>
        </w:rPr>
        <w:t>»</w:t>
      </w:r>
      <w:r w:rsidRPr="00C2769D">
        <w:rPr>
          <w:rFonts w:ascii="Arial" w:eastAsia="Calibri" w:hAnsi="Arial" w:cs="Arial"/>
          <w:sz w:val="20"/>
          <w:szCs w:val="20"/>
        </w:rPr>
        <w:t xml:space="preserve"> durante los cuatro (4) meses anteriores a las elecciones presidenciales, salvo </w:t>
      </w:r>
      <w:r w:rsidRPr="00C2769D">
        <w:rPr>
          <w:rFonts w:ascii="Arial" w:eastAsia="Calibri" w:hAnsi="Arial" w:cs="Arial"/>
          <w:bCs/>
          <w:sz w:val="20"/>
          <w:szCs w:val="20"/>
        </w:rPr>
        <w:t xml:space="preserve">«[…] </w:t>
      </w:r>
      <w:r w:rsidRPr="00C2769D">
        <w:rPr>
          <w:rFonts w:ascii="Arial" w:eastAsia="Calibri" w:hAnsi="Arial"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2769D">
        <w:rPr>
          <w:rFonts w:ascii="Arial" w:eastAsia="Calibri" w:hAnsi="Arial" w:cs="Arial"/>
          <w:bCs/>
          <w:sz w:val="20"/>
          <w:szCs w:val="20"/>
        </w:rPr>
        <w:t>»</w:t>
      </w:r>
      <w:r w:rsidRPr="00C2769D">
        <w:rPr>
          <w:rFonts w:ascii="Arial" w:eastAsia="Calibri" w:hAnsi="Arial" w:cs="Arial"/>
          <w:sz w:val="20"/>
          <w:szCs w:val="20"/>
        </w:rPr>
        <w:t>.</w:t>
      </w:r>
    </w:p>
    <w:p w14:paraId="1B417E5B" w14:textId="77777777" w:rsidR="001C5626" w:rsidRDefault="001C5626" w:rsidP="001C5626">
      <w:pPr>
        <w:tabs>
          <w:tab w:val="left" w:pos="0"/>
        </w:tabs>
        <w:spacing w:after="0" w:line="240" w:lineRule="auto"/>
        <w:contextualSpacing/>
        <w:jc w:val="both"/>
        <w:rPr>
          <w:rFonts w:ascii="Arial" w:eastAsia="Calibri" w:hAnsi="Arial" w:cs="Arial"/>
          <w:sz w:val="20"/>
          <w:szCs w:val="20"/>
        </w:rPr>
      </w:pPr>
    </w:p>
    <w:p w14:paraId="3A9926F3" w14:textId="77777777" w:rsidR="001C5626" w:rsidRPr="00C2769D" w:rsidRDefault="001C5626" w:rsidP="001C5626">
      <w:pPr>
        <w:tabs>
          <w:tab w:val="left" w:pos="0"/>
        </w:tabs>
        <w:spacing w:after="0" w:line="240" w:lineRule="auto"/>
        <w:contextualSpacing/>
        <w:jc w:val="both"/>
        <w:rPr>
          <w:rFonts w:ascii="Arial" w:eastAsia="Calibri" w:hAnsi="Arial" w:cs="Arial"/>
          <w:bCs/>
          <w:sz w:val="20"/>
          <w:szCs w:val="20"/>
        </w:rPr>
      </w:pPr>
      <w:r w:rsidRPr="00C2769D">
        <w:rPr>
          <w:rFonts w:ascii="Arial" w:eastAsia="Calibri" w:hAnsi="Arial"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2769D">
        <w:rPr>
          <w:rFonts w:ascii="Arial" w:eastAsia="Calibri" w:hAnsi="Arial" w:cs="Arial"/>
          <w:bCs/>
          <w:sz w:val="20"/>
          <w:szCs w:val="20"/>
        </w:rPr>
        <w:t xml:space="preserve">«[…] </w:t>
      </w:r>
      <w:r w:rsidRPr="00C2769D">
        <w:rPr>
          <w:rFonts w:ascii="Arial" w:eastAsia="Calibri" w:hAnsi="Arial"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2769D">
        <w:rPr>
          <w:rFonts w:ascii="Arial" w:eastAsia="Calibri" w:hAnsi="Arial" w:cs="Arial"/>
          <w:bCs/>
          <w:sz w:val="20"/>
          <w:szCs w:val="20"/>
        </w:rPr>
        <w:t xml:space="preserve">». </w:t>
      </w:r>
    </w:p>
    <w:p w14:paraId="20781378" w14:textId="77777777" w:rsidR="001C5626" w:rsidRPr="00C2769D" w:rsidRDefault="001C5626" w:rsidP="001C5626">
      <w:pPr>
        <w:tabs>
          <w:tab w:val="left" w:pos="0"/>
        </w:tabs>
        <w:spacing w:after="0" w:line="240" w:lineRule="auto"/>
        <w:contextualSpacing/>
        <w:jc w:val="both"/>
        <w:rPr>
          <w:rFonts w:ascii="Arial" w:eastAsia="Calibri" w:hAnsi="Arial" w:cs="Arial"/>
          <w:b/>
          <w:sz w:val="20"/>
          <w:szCs w:val="20"/>
          <w:lang w:val="es-ES" w:eastAsia="es-MX"/>
        </w:rPr>
      </w:pPr>
    </w:p>
    <w:p w14:paraId="398F983E" w14:textId="77777777" w:rsidR="001C5626" w:rsidRPr="00C2769D" w:rsidRDefault="001C5626" w:rsidP="001C5626">
      <w:pPr>
        <w:tabs>
          <w:tab w:val="left" w:pos="426"/>
        </w:tabs>
        <w:spacing w:after="0" w:line="240" w:lineRule="auto"/>
        <w:contextualSpacing/>
        <w:jc w:val="both"/>
        <w:rPr>
          <w:rFonts w:ascii="Arial" w:eastAsia="Calibri" w:hAnsi="Arial" w:cs="Arial"/>
          <w:b/>
          <w:bCs/>
          <w:lang w:val="es-MX"/>
        </w:rPr>
      </w:pPr>
      <w:r w:rsidRPr="00C2769D">
        <w:rPr>
          <w:rFonts w:ascii="Arial" w:eastAsia="Calibri" w:hAnsi="Arial" w:cs="Arial"/>
          <w:b/>
          <w:bCs/>
          <w:lang w:val="es-MX"/>
        </w:rPr>
        <w:t xml:space="preserve">LEY DE GARANTÍAS ELECTORALES ─ Prohibición artículo 33 ‒ Contratación directa ‒ Alcance </w:t>
      </w:r>
    </w:p>
    <w:p w14:paraId="54D05E76" w14:textId="77777777" w:rsidR="001C5626" w:rsidRPr="00C2769D" w:rsidRDefault="001C5626" w:rsidP="001C5626">
      <w:pPr>
        <w:spacing w:after="0" w:line="240" w:lineRule="auto"/>
        <w:contextualSpacing/>
        <w:jc w:val="both"/>
        <w:rPr>
          <w:rFonts w:ascii="Arial" w:eastAsia="Calibri" w:hAnsi="Arial" w:cs="Arial"/>
          <w:noProof/>
          <w:sz w:val="20"/>
          <w:szCs w:val="20"/>
          <w:lang w:val="es-MX"/>
        </w:rPr>
      </w:pPr>
    </w:p>
    <w:p w14:paraId="58C4A9D6" w14:textId="77777777" w:rsidR="001C5626" w:rsidRDefault="001C5626" w:rsidP="001C5626">
      <w:pPr>
        <w:spacing w:after="0" w:line="240" w:lineRule="auto"/>
        <w:contextualSpacing/>
        <w:jc w:val="both"/>
        <w:rPr>
          <w:rFonts w:ascii="Arial" w:eastAsia="Times New Roman" w:hAnsi="Arial" w:cs="Arial"/>
          <w:sz w:val="20"/>
          <w:szCs w:val="20"/>
          <w:vertAlign w:val="superscript"/>
          <w:lang w:eastAsia="x-none"/>
        </w:rPr>
      </w:pPr>
      <w:r w:rsidRPr="00C2769D">
        <w:rPr>
          <w:rFonts w:ascii="Arial" w:eastAsia="Times New Roman" w:hAnsi="Arial" w:cs="Arial"/>
          <w:bCs/>
          <w:sz w:val="20"/>
          <w:szCs w:val="20"/>
          <w:lang w:val="es-MX" w:eastAsia="es-CO"/>
        </w:rPr>
        <w:t xml:space="preserve">[…] </w:t>
      </w:r>
      <w:bookmarkStart w:id="0" w:name="_Hlk98480479"/>
      <w:r w:rsidRPr="00C2769D">
        <w:rPr>
          <w:rFonts w:ascii="Arial" w:eastAsia="Times New Roman" w:hAnsi="Arial" w:cs="Arial"/>
          <w:bCs/>
          <w:sz w:val="20"/>
          <w:szCs w:val="20"/>
          <w:lang w:val="es-MX"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2769D">
        <w:rPr>
          <w:rFonts w:ascii="Arial" w:eastAsia="Times New Roman" w:hAnsi="Arial" w:cs="Arial"/>
          <w:sz w:val="20"/>
          <w:szCs w:val="20"/>
          <w:vertAlign w:val="superscript"/>
          <w:lang w:eastAsia="x-none"/>
        </w:rPr>
        <w:t xml:space="preserve"> </w:t>
      </w:r>
    </w:p>
    <w:p w14:paraId="0BB44FD6"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x-none"/>
        </w:rPr>
      </w:pPr>
    </w:p>
    <w:p w14:paraId="1F677719" w14:textId="77777777" w:rsidR="001C5626" w:rsidRPr="00C2769D" w:rsidRDefault="001C5626" w:rsidP="001C5626">
      <w:pPr>
        <w:spacing w:after="0" w:line="240" w:lineRule="auto"/>
        <w:contextualSpacing/>
        <w:jc w:val="both"/>
        <w:rPr>
          <w:rFonts w:ascii="Arial" w:eastAsia="Times New Roman" w:hAnsi="Arial" w:cs="Arial"/>
          <w:sz w:val="20"/>
          <w:szCs w:val="20"/>
          <w:lang w:eastAsia="x-none"/>
        </w:rPr>
      </w:pPr>
      <w:r w:rsidRPr="00C2769D">
        <w:rPr>
          <w:rFonts w:ascii="Arial" w:eastAsia="Times New Roman"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2769D">
        <w:rPr>
          <w:rFonts w:ascii="Arial" w:eastAsia="Times New Roman" w:hAnsi="Arial" w:cs="Arial"/>
          <w:sz w:val="20"/>
          <w:szCs w:val="20"/>
          <w:lang w:eastAsia="x-none"/>
        </w:rPr>
        <w:t xml:space="preserve"> Por tanto, no son materia de la prohibición las demás modalidades de selección previstas en la Ley 1150 de 2007, es decir, la licitación pública, el concurso de méritos y la selección </w:t>
      </w:r>
      <w:r w:rsidRPr="00C2769D">
        <w:rPr>
          <w:rFonts w:ascii="Arial" w:eastAsia="Times New Roman" w:hAnsi="Arial" w:cs="Arial"/>
          <w:sz w:val="20"/>
          <w:szCs w:val="20"/>
          <w:lang w:eastAsia="x-none"/>
        </w:rPr>
        <w:lastRenderedPageBreak/>
        <w:t>abreviada, razón por la cual en ese período preelectoral de que trata la disposición pueden las entidades públicas seguir contratando bajo estos sistemas.</w:t>
      </w:r>
    </w:p>
    <w:p w14:paraId="5F50AFF4" w14:textId="77777777" w:rsidR="001C5626" w:rsidRPr="00C2769D" w:rsidRDefault="001C5626" w:rsidP="001C5626">
      <w:pPr>
        <w:spacing w:after="0" w:line="240" w:lineRule="auto"/>
        <w:contextualSpacing/>
        <w:jc w:val="both"/>
        <w:rPr>
          <w:rFonts w:ascii="Arial" w:eastAsia="Calibri" w:hAnsi="Arial" w:cs="Arial"/>
          <w:b/>
          <w:bCs/>
          <w:sz w:val="20"/>
          <w:szCs w:val="20"/>
          <w:lang w:val="es-MX"/>
        </w:rPr>
      </w:pPr>
    </w:p>
    <w:p w14:paraId="357B147C" w14:textId="77777777" w:rsidR="001C5626" w:rsidRPr="00C2769D" w:rsidRDefault="001C5626" w:rsidP="001C5626">
      <w:pPr>
        <w:tabs>
          <w:tab w:val="left" w:pos="426"/>
        </w:tabs>
        <w:spacing w:after="0" w:line="240" w:lineRule="auto"/>
        <w:contextualSpacing/>
        <w:jc w:val="both"/>
        <w:rPr>
          <w:rFonts w:ascii="Arial" w:eastAsia="Calibri" w:hAnsi="Arial" w:cs="Arial"/>
          <w:b/>
          <w:bCs/>
          <w:lang w:val="es-MX"/>
        </w:rPr>
      </w:pPr>
      <w:r w:rsidRPr="00C2769D">
        <w:rPr>
          <w:rFonts w:ascii="Arial" w:eastAsia="Calibri" w:hAnsi="Arial" w:cs="Arial"/>
          <w:b/>
          <w:bCs/>
          <w:lang w:val="es-MX"/>
        </w:rPr>
        <w:t>LEY DE GARANTÍAS ELECTORALES ─ Prohibición artículo 33 ‒ Contratación directa ‒ Prorrogas, modificaciones y adiciones</w:t>
      </w:r>
    </w:p>
    <w:p w14:paraId="4DCDA1A7" w14:textId="77777777" w:rsidR="001C5626" w:rsidRPr="00C2769D" w:rsidRDefault="001C5626" w:rsidP="001C5626">
      <w:pPr>
        <w:tabs>
          <w:tab w:val="left" w:pos="426"/>
        </w:tabs>
        <w:spacing w:after="0" w:line="240" w:lineRule="auto"/>
        <w:contextualSpacing/>
        <w:jc w:val="both"/>
        <w:rPr>
          <w:rFonts w:ascii="Arial" w:eastAsia="Calibri" w:hAnsi="Arial" w:cs="Arial"/>
          <w:noProof/>
          <w:sz w:val="20"/>
          <w:szCs w:val="20"/>
          <w:lang w:val="es-MX"/>
        </w:rPr>
      </w:pPr>
    </w:p>
    <w:p w14:paraId="64BF5DE1"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es-CO"/>
        </w:rPr>
      </w:pPr>
      <w:r w:rsidRPr="00C2769D">
        <w:rPr>
          <w:rFonts w:ascii="Arial" w:eastAsia="Times New Roman" w:hAnsi="Arial" w:cs="Arial"/>
          <w:bCs/>
          <w:sz w:val="20"/>
          <w:szCs w:val="20"/>
          <w:lang w:val="es-MX" w:eastAsia="es-CO"/>
        </w:rPr>
        <w:t xml:space="preserve">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Electorales, sin que ello haga nugatoria la restricción de la contratación directa y siempre que cumplan los principios de planeación, transparencia y responsabilidad. </w:t>
      </w:r>
    </w:p>
    <w:p w14:paraId="1C817541" w14:textId="77777777" w:rsidR="001C5626" w:rsidRPr="00C2769D" w:rsidRDefault="001C5626" w:rsidP="001C5626">
      <w:pPr>
        <w:spacing w:after="0" w:line="240" w:lineRule="auto"/>
        <w:contextualSpacing/>
        <w:jc w:val="both"/>
        <w:rPr>
          <w:rFonts w:ascii="Arial" w:eastAsia="Times New Roman" w:hAnsi="Arial" w:cs="Arial"/>
          <w:b/>
          <w:bCs/>
          <w:sz w:val="20"/>
          <w:szCs w:val="20"/>
          <w:lang w:eastAsia="es-CO"/>
        </w:rPr>
      </w:pPr>
    </w:p>
    <w:p w14:paraId="2D7C0366" w14:textId="77777777" w:rsidR="001C5626" w:rsidRPr="00C2769D" w:rsidRDefault="001C5626" w:rsidP="001C5626">
      <w:pPr>
        <w:spacing w:after="0" w:line="240" w:lineRule="auto"/>
        <w:contextualSpacing/>
        <w:jc w:val="both"/>
        <w:rPr>
          <w:rFonts w:ascii="Arial" w:eastAsia="Times New Roman" w:hAnsi="Arial" w:cs="Arial"/>
          <w:b/>
          <w:bCs/>
          <w:lang w:eastAsia="es-CO"/>
        </w:rPr>
      </w:pPr>
      <w:r w:rsidRPr="00C2769D">
        <w:rPr>
          <w:rFonts w:ascii="Arial" w:eastAsia="Times New Roman" w:hAnsi="Arial" w:cs="Arial"/>
          <w:b/>
          <w:bCs/>
          <w:lang w:eastAsia="es-CO"/>
        </w:rPr>
        <w:t xml:space="preserve">LEY DE GARANTÍAS ELECTORALES </w:t>
      </w:r>
      <w:r w:rsidRPr="00C2769D">
        <w:rPr>
          <w:rFonts w:ascii="Arial" w:eastAsia="Calibri" w:hAnsi="Arial" w:cs="Arial"/>
          <w:b/>
          <w:bCs/>
          <w:lang w:val="es-MX"/>
        </w:rPr>
        <w:t xml:space="preserve">─ Prohibición artículo 33 ‒ </w:t>
      </w:r>
      <w:r w:rsidRPr="00C2769D">
        <w:rPr>
          <w:rFonts w:ascii="Arial" w:eastAsia="Times New Roman" w:hAnsi="Arial" w:cs="Arial"/>
          <w:b/>
          <w:bCs/>
          <w:lang w:eastAsia="es-CO"/>
        </w:rPr>
        <w:t>Excepciones</w:t>
      </w:r>
    </w:p>
    <w:p w14:paraId="099B3028" w14:textId="77777777" w:rsidR="001C5626" w:rsidRPr="00C2769D" w:rsidRDefault="001C5626" w:rsidP="001C5626">
      <w:pPr>
        <w:shd w:val="clear" w:color="auto" w:fill="FFFFFF"/>
        <w:spacing w:after="0" w:line="240" w:lineRule="auto"/>
        <w:contextualSpacing/>
        <w:jc w:val="both"/>
        <w:rPr>
          <w:rFonts w:ascii="Arial" w:eastAsia="Times New Roman" w:hAnsi="Arial" w:cs="Arial"/>
          <w:b/>
          <w:sz w:val="20"/>
          <w:szCs w:val="20"/>
          <w:lang w:eastAsia="es-CO"/>
        </w:rPr>
      </w:pPr>
    </w:p>
    <w:bookmarkEnd w:id="0"/>
    <w:p w14:paraId="219328AE" w14:textId="77777777" w:rsidR="001C5626" w:rsidRDefault="001C5626" w:rsidP="001C5626">
      <w:pPr>
        <w:spacing w:after="0" w:line="240" w:lineRule="auto"/>
        <w:contextualSpacing/>
        <w:jc w:val="both"/>
        <w:rPr>
          <w:rFonts w:ascii="Arial" w:eastAsia="Times New Roman" w:hAnsi="Arial" w:cs="Arial"/>
          <w:bCs/>
          <w:sz w:val="20"/>
          <w:szCs w:val="20"/>
          <w:lang w:val="es-MX" w:eastAsia="es-CO"/>
        </w:rPr>
      </w:pPr>
      <w:r w:rsidRPr="00C2769D">
        <w:rPr>
          <w:rFonts w:ascii="Arial" w:eastAsia="Times New Roman" w:hAnsi="Arial" w:cs="Arial"/>
          <w:bCs/>
          <w:sz w:val="20"/>
          <w:szCs w:val="20"/>
          <w:lang w:val="es-MX" w:eastAsia="x-none"/>
        </w:rPr>
        <w:t xml:space="preserve">De otro lado,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w:t>
      </w:r>
      <w:r w:rsidRPr="00C2769D">
        <w:rPr>
          <w:rFonts w:ascii="Arial" w:eastAsia="Times New Roman" w:hAnsi="Arial" w:cs="Arial"/>
          <w:bCs/>
          <w:i/>
          <w:iCs/>
          <w:sz w:val="20"/>
          <w:szCs w:val="20"/>
          <w:lang w:val="es-MX" w:eastAsia="x-none"/>
        </w:rPr>
        <w:t>la defensa y seguridad del Estado</w:t>
      </w:r>
      <w:r w:rsidRPr="00C2769D">
        <w:rPr>
          <w:rFonts w:ascii="Arial" w:eastAsia="Times New Roman" w:hAnsi="Arial" w:cs="Arial"/>
          <w:bCs/>
          <w:sz w:val="20"/>
          <w:szCs w:val="20"/>
          <w:lang w:val="es-MX" w:eastAsia="x-none"/>
        </w:rPr>
        <w:t xml:space="preserve">; </w:t>
      </w:r>
      <w:proofErr w:type="spellStart"/>
      <w:r w:rsidRPr="00C2769D">
        <w:rPr>
          <w:rFonts w:ascii="Arial" w:eastAsia="Times New Roman" w:hAnsi="Arial" w:cs="Arial"/>
          <w:bCs/>
          <w:sz w:val="20"/>
          <w:szCs w:val="20"/>
          <w:lang w:val="es-MX" w:eastAsia="x-none"/>
        </w:rPr>
        <w:t>ii</w:t>
      </w:r>
      <w:proofErr w:type="spellEnd"/>
      <w:r w:rsidRPr="00C2769D">
        <w:rPr>
          <w:rFonts w:ascii="Arial" w:eastAsia="Times New Roman" w:hAnsi="Arial" w:cs="Arial"/>
          <w:bCs/>
          <w:sz w:val="20"/>
          <w:szCs w:val="20"/>
          <w:lang w:val="es-MX" w:eastAsia="x-none"/>
        </w:rPr>
        <w:t xml:space="preserve">) los contratos de crédito público; </w:t>
      </w:r>
      <w:proofErr w:type="spellStart"/>
      <w:r w:rsidRPr="00C2769D">
        <w:rPr>
          <w:rFonts w:ascii="Arial" w:eastAsia="Times New Roman" w:hAnsi="Arial" w:cs="Arial"/>
          <w:bCs/>
          <w:sz w:val="20"/>
          <w:szCs w:val="20"/>
          <w:lang w:val="es-MX" w:eastAsia="x-none"/>
        </w:rPr>
        <w:t>iii</w:t>
      </w:r>
      <w:proofErr w:type="spellEnd"/>
      <w:r w:rsidRPr="00C2769D">
        <w:rPr>
          <w:rFonts w:ascii="Arial" w:eastAsia="Times New Roman" w:hAnsi="Arial" w:cs="Arial"/>
          <w:bCs/>
          <w:sz w:val="20"/>
          <w:szCs w:val="20"/>
          <w:lang w:val="es-MX" w:eastAsia="x-none"/>
        </w:rPr>
        <w:t xml:space="preserve">) los requeridos para cubrir las emergencias educativas, sanitarias y desastres; </w:t>
      </w:r>
      <w:proofErr w:type="spellStart"/>
      <w:r w:rsidRPr="00C2769D">
        <w:rPr>
          <w:rFonts w:ascii="Arial" w:eastAsia="Times New Roman" w:hAnsi="Arial" w:cs="Arial"/>
          <w:bCs/>
          <w:sz w:val="20"/>
          <w:szCs w:val="20"/>
          <w:lang w:val="es-MX" w:eastAsia="x-none"/>
        </w:rPr>
        <w:t>iv</w:t>
      </w:r>
      <w:proofErr w:type="spellEnd"/>
      <w:r w:rsidRPr="00C2769D">
        <w:rPr>
          <w:rFonts w:ascii="Arial" w:eastAsia="Times New Roman"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2769D">
        <w:rPr>
          <w:rFonts w:ascii="Arial" w:eastAsia="Times New Roman" w:hAnsi="Arial" w:cs="Arial"/>
          <w:bCs/>
          <w:sz w:val="20"/>
          <w:szCs w:val="20"/>
          <w:lang w:val="es-MX" w:eastAsia="es-CO"/>
        </w:rPr>
        <w:t xml:space="preserve"> El mismo inciso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58C4CE4" w14:textId="77777777" w:rsidR="001C5626" w:rsidRPr="00C2769D" w:rsidRDefault="001C5626" w:rsidP="001C5626">
      <w:pPr>
        <w:spacing w:after="0" w:line="240" w:lineRule="auto"/>
        <w:contextualSpacing/>
        <w:jc w:val="both"/>
        <w:rPr>
          <w:rFonts w:ascii="Arial" w:eastAsia="Times New Roman" w:hAnsi="Arial" w:cs="Arial"/>
          <w:b/>
          <w:sz w:val="20"/>
          <w:szCs w:val="20"/>
          <w:lang w:val="es-ES" w:eastAsia="es-CO"/>
        </w:rPr>
      </w:pPr>
    </w:p>
    <w:p w14:paraId="126E8AB7" w14:textId="77777777" w:rsidR="001C5626" w:rsidRPr="00C2769D" w:rsidRDefault="001C5626" w:rsidP="001C5626">
      <w:pPr>
        <w:spacing w:after="0" w:line="240" w:lineRule="auto"/>
        <w:contextualSpacing/>
        <w:jc w:val="both"/>
        <w:rPr>
          <w:rFonts w:ascii="Arial" w:eastAsia="Arial" w:hAnsi="Arial" w:cs="Arial"/>
          <w:sz w:val="20"/>
          <w:szCs w:val="20"/>
        </w:rPr>
      </w:pPr>
      <w:r w:rsidRPr="00C2769D">
        <w:rPr>
          <w:rFonts w:ascii="Arial" w:eastAsia="Times New Roman" w:hAnsi="Arial" w:cs="Arial"/>
          <w:bCs/>
          <w:sz w:val="20"/>
          <w:szCs w:val="20"/>
          <w:lang w:val="es-MX" w:eastAsia="es-CO"/>
        </w:rPr>
        <w:t xml:space="preserve">[…] </w:t>
      </w:r>
      <w:r w:rsidRPr="00C2769D">
        <w:rPr>
          <w:rFonts w:ascii="Arial" w:eastAsia="Arial" w:hAnsi="Arial" w:cs="Arial"/>
          <w:sz w:val="20"/>
          <w:szCs w:val="20"/>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de la actividad para determinar si se enmarca o no en alguna de las excepciones dispuestas.  </w:t>
      </w:r>
    </w:p>
    <w:p w14:paraId="35CC57B0"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es-CO"/>
        </w:rPr>
      </w:pPr>
    </w:p>
    <w:p w14:paraId="7B4CC02B" w14:textId="77777777" w:rsidR="001C5626" w:rsidRPr="00C2769D" w:rsidRDefault="001C5626" w:rsidP="001C5626">
      <w:pPr>
        <w:spacing w:after="0" w:line="240" w:lineRule="auto"/>
        <w:contextualSpacing/>
        <w:jc w:val="both"/>
        <w:rPr>
          <w:rFonts w:ascii="Arial" w:eastAsia="Times New Roman" w:hAnsi="Arial" w:cs="Arial"/>
          <w:b/>
          <w:lang w:val="es-ES" w:eastAsia="es-CO"/>
        </w:rPr>
      </w:pPr>
      <w:r w:rsidRPr="00C2769D">
        <w:rPr>
          <w:rFonts w:ascii="Arial" w:eastAsia="Times New Roman" w:hAnsi="Arial" w:cs="Arial"/>
          <w:b/>
          <w:bCs/>
          <w:lang w:eastAsia="es-CO"/>
        </w:rPr>
        <w:t xml:space="preserve">LEY DE GARANTÍAS ELECTORALES ‒ </w:t>
      </w:r>
      <w:r w:rsidRPr="00C2769D">
        <w:rPr>
          <w:rFonts w:ascii="Arial" w:eastAsia="Times New Roman" w:hAnsi="Arial" w:cs="Arial"/>
          <w:b/>
          <w:lang w:val="es-ES" w:eastAsia="es-CO"/>
        </w:rPr>
        <w:t xml:space="preserve">Prohibición del artículo 33 </w:t>
      </w:r>
      <w:r w:rsidRPr="00C2769D">
        <w:rPr>
          <w:rFonts w:ascii="Arial" w:eastAsia="Times New Roman" w:hAnsi="Arial" w:cs="Arial"/>
          <w:b/>
          <w:bCs/>
          <w:lang w:eastAsia="es-CO"/>
        </w:rPr>
        <w:t>‒ Destinatarios</w:t>
      </w:r>
    </w:p>
    <w:p w14:paraId="4A752B87" w14:textId="77777777" w:rsidR="001C5626" w:rsidRPr="00C2769D" w:rsidRDefault="001C5626" w:rsidP="001C5626">
      <w:pPr>
        <w:tabs>
          <w:tab w:val="left" w:pos="426"/>
        </w:tabs>
        <w:spacing w:after="0" w:line="240" w:lineRule="auto"/>
        <w:contextualSpacing/>
        <w:jc w:val="both"/>
        <w:rPr>
          <w:rFonts w:ascii="Arial" w:eastAsia="Calibri" w:hAnsi="Arial" w:cs="Arial"/>
          <w:noProof/>
          <w:sz w:val="20"/>
          <w:szCs w:val="20"/>
          <w:lang w:val="es-ES"/>
        </w:rPr>
      </w:pPr>
    </w:p>
    <w:p w14:paraId="0C13C844"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x-none"/>
        </w:rPr>
      </w:pPr>
      <w:r w:rsidRPr="00C2769D">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2769D">
        <w:rPr>
          <w:rFonts w:ascii="Calibri" w:eastAsia="Calibri" w:hAnsi="Calibri" w:cs="Times New Roman"/>
          <w:sz w:val="20"/>
          <w:szCs w:val="20"/>
          <w:lang w:val="es-MX"/>
        </w:rPr>
        <w:t xml:space="preserve"> </w:t>
      </w:r>
      <w:r w:rsidRPr="00C2769D">
        <w:rPr>
          <w:rFonts w:ascii="Arial" w:eastAsia="Times New Roman" w:hAnsi="Arial" w:cs="Arial"/>
          <w:bCs/>
          <w:sz w:val="20"/>
          <w:szCs w:val="20"/>
          <w:lang w:val="es-MX" w:eastAsia="x-none"/>
        </w:rPr>
        <w:t>En efecto, tal como lo ha sostenido el Consejo de Estado, el vocablo «todos» utilizado por el legislador comprende</w:t>
      </w:r>
      <w:r w:rsidRPr="00C2769D">
        <w:rPr>
          <w:rFonts w:ascii="Calibri" w:eastAsia="Calibri" w:hAnsi="Calibri" w:cs="Times New Roman"/>
          <w:sz w:val="20"/>
          <w:szCs w:val="20"/>
          <w:lang w:val="es-MX"/>
        </w:rPr>
        <w:t xml:space="preserve"> </w:t>
      </w:r>
      <w:r w:rsidRPr="00C2769D">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DF69398"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es-CO"/>
        </w:rPr>
      </w:pPr>
    </w:p>
    <w:p w14:paraId="27892595" w14:textId="77777777" w:rsidR="001C5626" w:rsidRPr="00C2769D" w:rsidRDefault="001C5626" w:rsidP="001C5626">
      <w:pPr>
        <w:tabs>
          <w:tab w:val="left" w:pos="426"/>
        </w:tabs>
        <w:spacing w:after="0" w:line="240" w:lineRule="auto"/>
        <w:contextualSpacing/>
        <w:jc w:val="both"/>
        <w:rPr>
          <w:rFonts w:ascii="Arial" w:eastAsia="Times New Roman" w:hAnsi="Arial" w:cs="Arial"/>
          <w:b/>
          <w:bCs/>
          <w:lang w:eastAsia="es-CO"/>
        </w:rPr>
      </w:pPr>
      <w:r w:rsidRPr="00C2769D">
        <w:rPr>
          <w:rFonts w:ascii="Arial" w:eastAsia="Times New Roman" w:hAnsi="Arial" w:cs="Arial"/>
          <w:b/>
          <w:bCs/>
          <w:lang w:eastAsia="es-CO"/>
        </w:rPr>
        <w:t xml:space="preserve">LEY DE GARANTÍAS ELECTORALES </w:t>
      </w:r>
      <w:r w:rsidRPr="00C2769D">
        <w:rPr>
          <w:rFonts w:ascii="Arial" w:eastAsia="Calibri" w:hAnsi="Arial" w:cs="Arial"/>
          <w:b/>
          <w:bCs/>
          <w:lang w:val="es-MX"/>
        </w:rPr>
        <w:t xml:space="preserve">─ Prohibición artículo 33 ‒ </w:t>
      </w:r>
      <w:r w:rsidRPr="00C2769D">
        <w:rPr>
          <w:rFonts w:ascii="Arial" w:eastAsia="Times New Roman" w:hAnsi="Arial" w:cs="Arial"/>
          <w:b/>
          <w:bCs/>
          <w:lang w:eastAsia="es-CO"/>
        </w:rPr>
        <w:t>Policía Nacional de Colombia</w:t>
      </w:r>
    </w:p>
    <w:p w14:paraId="5373863E" w14:textId="77777777" w:rsidR="001C5626" w:rsidRPr="00C2769D" w:rsidRDefault="001C5626" w:rsidP="001C5626">
      <w:pPr>
        <w:spacing w:after="0" w:line="240" w:lineRule="auto"/>
        <w:contextualSpacing/>
        <w:jc w:val="both"/>
        <w:rPr>
          <w:rFonts w:ascii="Arial" w:eastAsia="Times New Roman" w:hAnsi="Arial" w:cs="Arial"/>
          <w:bCs/>
          <w:sz w:val="20"/>
          <w:szCs w:val="20"/>
          <w:lang w:val="es-MX" w:eastAsia="es-CO"/>
        </w:rPr>
      </w:pPr>
    </w:p>
    <w:p w14:paraId="11F1CC72" w14:textId="77777777" w:rsidR="001C5626" w:rsidRPr="00C2769D" w:rsidRDefault="001C5626" w:rsidP="001C5626">
      <w:pPr>
        <w:spacing w:after="0" w:line="240" w:lineRule="auto"/>
        <w:contextualSpacing/>
        <w:jc w:val="both"/>
        <w:rPr>
          <w:rFonts w:ascii="Arial" w:eastAsia="Calibri" w:hAnsi="Arial" w:cs="Arial"/>
          <w:sz w:val="20"/>
          <w:szCs w:val="20"/>
          <w:lang w:val="es-MX"/>
        </w:rPr>
      </w:pPr>
      <w:r w:rsidRPr="00C2769D">
        <w:rPr>
          <w:rFonts w:ascii="Arial" w:eastAsia="Times New Roman" w:hAnsi="Arial" w:cs="Arial"/>
          <w:bCs/>
          <w:sz w:val="20"/>
          <w:szCs w:val="20"/>
          <w:lang w:val="es-ES" w:eastAsia="es-CO" w:bidi="es-ES"/>
        </w:rPr>
        <w:lastRenderedPageBreak/>
        <w:t xml:space="preserve">Teniendo en cuenta el objeto de su consulta, resulta relevante señalar que, de acuerdo con el artículo 218 de la Constitución Política de Colombia, la Policía Nacional de Colombia </w:t>
      </w:r>
      <w:r w:rsidRPr="00C2769D">
        <w:rPr>
          <w:rFonts w:ascii="Arial" w:eastAsia="Times New Roman" w:hAnsi="Arial" w:cs="Arial"/>
          <w:bCs/>
          <w:sz w:val="20"/>
          <w:szCs w:val="20"/>
          <w:lang w:val="es-MX" w:eastAsia="x-none"/>
        </w:rPr>
        <w:t>«</w:t>
      </w:r>
      <w:r w:rsidRPr="00C2769D">
        <w:rPr>
          <w:rFonts w:ascii="Arial" w:hAnsi="Arial" w:cs="Arial"/>
          <w:sz w:val="20"/>
          <w:szCs w:val="20"/>
        </w:rPr>
        <w:t>es un cuerpo armado permanente de naturaleza civil, a cargo de la Nación, cuyo fin primordial es el mantenimiento de las condiciones necesarias para el ejercicio de los derechos y libertades públicas, y para asegurar que los habitantes de Colombia convivan en paz</w:t>
      </w:r>
      <w:r w:rsidRPr="00C2769D">
        <w:rPr>
          <w:rFonts w:ascii="Arial" w:eastAsia="Times New Roman" w:hAnsi="Arial" w:cs="Arial"/>
          <w:bCs/>
          <w:sz w:val="20"/>
          <w:szCs w:val="20"/>
          <w:lang w:val="es-MX" w:eastAsia="x-none"/>
        </w:rPr>
        <w:t>»</w:t>
      </w:r>
      <w:r w:rsidRPr="00C2769D">
        <w:rPr>
          <w:rFonts w:ascii="Arial" w:hAnsi="Arial" w:cs="Arial"/>
          <w:sz w:val="20"/>
          <w:szCs w:val="20"/>
        </w:rPr>
        <w:t>. Asimismo, los artículos 2 y 3 del Decreto 1512 de 2000 consagran la subordinación de la fuerza pública, a la cual pertenece la Policía Nacional, al Ministerio de Defensa Nacional.</w:t>
      </w:r>
      <w:r w:rsidRPr="00C2769D">
        <w:rPr>
          <w:rFonts w:ascii="Arial" w:eastAsia="Times New Roman" w:hAnsi="Arial" w:cs="Arial"/>
          <w:bCs/>
          <w:sz w:val="20"/>
          <w:szCs w:val="20"/>
          <w:lang w:val="es-ES" w:eastAsia="es-CO" w:bidi="es-ES"/>
        </w:rPr>
        <w:t xml:space="preserve"> De acuerdo con esto, la Policía Nacional de Colombia tiene un rol definido en la estructura del Estado, por lo que, dada su calidad de entes del Estado, durante el periodo de aplicación de la prohibición establecida en el artículo 33 de la Ley 996 de 2005, podrá celebrar contratos siempre que se realice un procedimiento competitivo, que permita la participación de pluralidad de oferentes. Por el contrario, no le será posible celebrar contratos a través de una contratación directa, entendiendo esta como aquel sistema de selección de contratistas en el que no exista convocatoria pública, ni sea posible la participación de pluralidad de oferentes. </w:t>
      </w:r>
    </w:p>
    <w:p w14:paraId="043CF5AD" w14:textId="77777777" w:rsidR="001C5626" w:rsidRPr="00C2769D" w:rsidRDefault="001C5626" w:rsidP="001C5626">
      <w:pPr>
        <w:tabs>
          <w:tab w:val="left" w:pos="426"/>
        </w:tabs>
        <w:spacing w:after="0" w:line="240" w:lineRule="auto"/>
        <w:ind w:right="49"/>
        <w:contextualSpacing/>
        <w:jc w:val="both"/>
        <w:rPr>
          <w:rFonts w:ascii="Arial" w:eastAsia="Calibri" w:hAnsi="Arial" w:cs="Arial"/>
          <w:b/>
          <w:bCs/>
          <w:sz w:val="20"/>
          <w:szCs w:val="20"/>
          <w:lang w:val="es-MX"/>
        </w:rPr>
      </w:pPr>
    </w:p>
    <w:p w14:paraId="31A9B388" w14:textId="77777777" w:rsidR="001C5626" w:rsidRPr="00C2769D" w:rsidRDefault="001C5626" w:rsidP="001C5626">
      <w:pPr>
        <w:tabs>
          <w:tab w:val="left" w:pos="426"/>
        </w:tabs>
        <w:spacing w:after="0" w:line="240" w:lineRule="auto"/>
        <w:ind w:right="49"/>
        <w:contextualSpacing/>
        <w:jc w:val="both"/>
        <w:rPr>
          <w:rFonts w:ascii="Arial" w:eastAsia="Calibri" w:hAnsi="Arial" w:cs="Arial"/>
          <w:b/>
          <w:bCs/>
          <w:lang w:val="es-MX"/>
        </w:rPr>
      </w:pPr>
      <w:r w:rsidRPr="00C2769D">
        <w:rPr>
          <w:rFonts w:ascii="Arial" w:eastAsia="Calibri" w:hAnsi="Arial" w:cs="Arial"/>
          <w:b/>
          <w:bCs/>
          <w:lang w:val="es-MX"/>
        </w:rPr>
        <w:t xml:space="preserve">LEY DE GARANTÍAS ELECTORALES ‒ Prohibición comicios cargos de elección popular – Convenios y contratos interadministrativos </w:t>
      </w:r>
      <w:r w:rsidRPr="00C2769D">
        <w:rPr>
          <w:rFonts w:ascii="Arial" w:eastAsia="Calibri" w:hAnsi="Arial" w:cs="Arial"/>
          <w:b/>
          <w:color w:val="000000" w:themeColor="text1"/>
          <w:lang w:val="es-MX"/>
        </w:rPr>
        <w:t>– Definición – Criterio orgánico</w:t>
      </w:r>
    </w:p>
    <w:p w14:paraId="56593F66" w14:textId="77777777" w:rsidR="001C5626" w:rsidRPr="00C2769D" w:rsidRDefault="001C5626" w:rsidP="001C5626">
      <w:pPr>
        <w:tabs>
          <w:tab w:val="left" w:pos="426"/>
        </w:tabs>
        <w:spacing w:after="0" w:line="240" w:lineRule="auto"/>
        <w:ind w:right="49"/>
        <w:contextualSpacing/>
        <w:jc w:val="both"/>
        <w:rPr>
          <w:rFonts w:ascii="Arial" w:eastAsia="Calibri" w:hAnsi="Arial" w:cs="Arial"/>
          <w:sz w:val="20"/>
          <w:szCs w:val="20"/>
          <w:lang w:val="es-MX"/>
        </w:rPr>
      </w:pPr>
    </w:p>
    <w:p w14:paraId="38E20179" w14:textId="77777777" w:rsidR="001C5626" w:rsidRPr="00C2769D" w:rsidRDefault="001C5626" w:rsidP="001C5626">
      <w:pPr>
        <w:tabs>
          <w:tab w:val="left" w:pos="426"/>
        </w:tabs>
        <w:spacing w:after="0" w:line="240" w:lineRule="auto"/>
        <w:ind w:right="49"/>
        <w:contextualSpacing/>
        <w:jc w:val="both"/>
        <w:rPr>
          <w:rFonts w:ascii="Arial" w:eastAsia="Calibri" w:hAnsi="Arial" w:cs="Arial"/>
          <w:bCs/>
          <w:iCs/>
          <w:sz w:val="20"/>
          <w:szCs w:val="20"/>
          <w:lang w:val="es-MX"/>
        </w:rPr>
      </w:pPr>
      <w:r w:rsidRPr="00C2769D">
        <w:rPr>
          <w:rFonts w:ascii="Arial" w:eastAsia="Calibri" w:hAnsi="Arial" w:cs="Arial"/>
          <w:bCs/>
          <w:iCs/>
          <w:sz w:val="20"/>
          <w:szCs w:val="20"/>
          <w:lang w:val="es-MX"/>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515F5B7E" w14:textId="77777777" w:rsidR="001C5626" w:rsidRPr="00C2769D" w:rsidRDefault="001C5626" w:rsidP="001C5626">
      <w:pPr>
        <w:spacing w:after="0" w:line="240" w:lineRule="auto"/>
        <w:ind w:right="49"/>
        <w:contextualSpacing/>
        <w:jc w:val="both"/>
        <w:rPr>
          <w:rFonts w:ascii="Arial" w:eastAsia="Calibri" w:hAnsi="Arial" w:cs="Arial"/>
          <w:bCs/>
          <w:color w:val="000000" w:themeColor="text1"/>
          <w:sz w:val="20"/>
          <w:szCs w:val="20"/>
          <w:lang w:val="es-MX"/>
        </w:rPr>
      </w:pPr>
    </w:p>
    <w:p w14:paraId="5245D720" w14:textId="77777777" w:rsidR="001C5626" w:rsidRPr="00C2769D" w:rsidRDefault="001C5626" w:rsidP="001C5626">
      <w:pPr>
        <w:spacing w:after="0" w:line="240" w:lineRule="auto"/>
        <w:ind w:right="49"/>
        <w:contextualSpacing/>
        <w:jc w:val="both"/>
        <w:rPr>
          <w:rFonts w:ascii="Arial" w:eastAsia="Calibri" w:hAnsi="Arial" w:cs="Arial"/>
          <w:bCs/>
          <w:color w:val="000000" w:themeColor="text1"/>
          <w:sz w:val="20"/>
          <w:szCs w:val="20"/>
          <w:lang w:val="es-MX" w:bidi="es-ES"/>
        </w:rPr>
      </w:pPr>
      <w:r w:rsidRPr="00C2769D">
        <w:rPr>
          <w:rFonts w:ascii="Arial" w:eastAsia="Calibri" w:hAnsi="Arial" w:cs="Arial"/>
          <w:bCs/>
          <w:color w:val="000000" w:themeColor="text1"/>
          <w:sz w:val="20"/>
          <w:szCs w:val="20"/>
          <w:lang w:val="es-MX"/>
        </w:rPr>
        <w:t xml:space="preserve">[…] </w:t>
      </w:r>
      <w:r w:rsidRPr="00C2769D">
        <w:rPr>
          <w:rFonts w:ascii="Arial" w:eastAsia="Calibri" w:hAnsi="Arial" w:cs="Arial"/>
          <w:bCs/>
          <w:color w:val="000000" w:themeColor="text1"/>
          <w:sz w:val="20"/>
          <w:szCs w:val="20"/>
        </w:rPr>
        <w:t xml:space="preserve">para determinar el alcance de la prohibición consagrada por la Ley de Garantías Electorales, conviene precisar la tipología de convenios o contratos interadministrativos. </w:t>
      </w:r>
      <w:r w:rsidRPr="00C2769D">
        <w:rPr>
          <w:rFonts w:ascii="Arial" w:eastAsia="Calibri" w:hAnsi="Arial" w:cs="Arial"/>
          <w:bCs/>
          <w:color w:val="000000" w:themeColor="text1"/>
          <w:sz w:val="20"/>
          <w:szCs w:val="20"/>
          <w:lang w:val="es-MX"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5C5AC51C" w14:textId="77777777" w:rsidR="001C5626" w:rsidRPr="00C2769D" w:rsidRDefault="001C5626" w:rsidP="001C5626">
      <w:pPr>
        <w:spacing w:after="0" w:line="240" w:lineRule="auto"/>
        <w:ind w:right="49"/>
        <w:contextualSpacing/>
        <w:jc w:val="both"/>
        <w:rPr>
          <w:rFonts w:ascii="Arial" w:eastAsia="Calibri" w:hAnsi="Arial" w:cs="Arial"/>
          <w:bCs/>
          <w:color w:val="000000" w:themeColor="text1"/>
          <w:sz w:val="20"/>
          <w:szCs w:val="20"/>
          <w:lang w:val="es-MX" w:bidi="es-ES"/>
        </w:rPr>
      </w:pPr>
    </w:p>
    <w:p w14:paraId="21489EE3" w14:textId="77777777" w:rsidR="001C5626" w:rsidRPr="00C2769D" w:rsidRDefault="001C5626" w:rsidP="001C5626">
      <w:pPr>
        <w:spacing w:after="0" w:line="240" w:lineRule="auto"/>
        <w:ind w:right="49"/>
        <w:contextualSpacing/>
        <w:jc w:val="both"/>
        <w:rPr>
          <w:rFonts w:ascii="Arial" w:hAnsi="Arial" w:cs="Arial"/>
          <w:b/>
          <w:color w:val="000000" w:themeColor="text1"/>
          <w:lang w:val="es-MX"/>
        </w:rPr>
      </w:pPr>
      <w:r w:rsidRPr="00C2769D">
        <w:rPr>
          <w:rFonts w:ascii="Arial" w:eastAsia="Calibri" w:hAnsi="Arial" w:cs="Arial"/>
          <w:b/>
          <w:color w:val="000000" w:themeColor="text1"/>
          <w:lang w:val="es-MX"/>
        </w:rPr>
        <w:t xml:space="preserve">CONTRATOS Y </w:t>
      </w:r>
      <w:r w:rsidRPr="00C2769D">
        <w:rPr>
          <w:rFonts w:ascii="Arial" w:hAnsi="Arial" w:cs="Arial"/>
          <w:b/>
          <w:color w:val="000000" w:themeColor="text1"/>
          <w:lang w:val="es-MX"/>
        </w:rPr>
        <w:t>CONVENIOS INTERADMINISTRATIVOS – Modalidad de selección</w:t>
      </w:r>
    </w:p>
    <w:p w14:paraId="7A042A86" w14:textId="77777777" w:rsidR="001C5626" w:rsidRPr="00C2769D" w:rsidRDefault="001C5626" w:rsidP="001C5626">
      <w:pPr>
        <w:spacing w:after="0" w:line="240" w:lineRule="auto"/>
        <w:ind w:right="49"/>
        <w:contextualSpacing/>
        <w:jc w:val="both"/>
        <w:rPr>
          <w:rFonts w:ascii="Arial" w:hAnsi="Arial" w:cs="Arial"/>
          <w:b/>
          <w:color w:val="000000" w:themeColor="text1"/>
          <w:sz w:val="20"/>
          <w:szCs w:val="20"/>
          <w:lang w:val="es-MX"/>
        </w:rPr>
      </w:pPr>
    </w:p>
    <w:p w14:paraId="0CE06280" w14:textId="77777777" w:rsidR="001C5626" w:rsidRPr="00C2769D" w:rsidRDefault="001C5626" w:rsidP="001C5626">
      <w:pPr>
        <w:spacing w:after="0" w:line="240" w:lineRule="auto"/>
        <w:ind w:right="49"/>
        <w:contextualSpacing/>
        <w:jc w:val="both"/>
        <w:rPr>
          <w:rFonts w:ascii="Arial" w:eastAsia="Calibri" w:hAnsi="Arial" w:cs="Arial"/>
          <w:bCs/>
          <w:color w:val="000000" w:themeColor="text1"/>
          <w:sz w:val="20"/>
          <w:szCs w:val="20"/>
          <w:lang w:val="es-MX" w:bidi="es-ES"/>
        </w:rPr>
      </w:pPr>
      <w:r w:rsidRPr="00C2769D">
        <w:rPr>
          <w:rFonts w:ascii="Arial" w:eastAsia="Calibri" w:hAnsi="Arial" w:cs="Arial"/>
          <w:bCs/>
          <w:color w:val="000000" w:themeColor="text1"/>
          <w:sz w:val="20"/>
          <w:szCs w:val="20"/>
          <w:lang w:val="es-MX"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172F79E1" w14:textId="77777777" w:rsidR="001C5626" w:rsidRPr="00C2769D" w:rsidRDefault="001C5626" w:rsidP="001C5626">
      <w:pPr>
        <w:tabs>
          <w:tab w:val="left" w:pos="426"/>
        </w:tabs>
        <w:spacing w:after="0" w:line="240" w:lineRule="auto"/>
        <w:contextualSpacing/>
        <w:jc w:val="both"/>
        <w:rPr>
          <w:rFonts w:ascii="Arial" w:hAnsi="Arial" w:cs="Arial"/>
          <w:sz w:val="20"/>
          <w:szCs w:val="20"/>
        </w:rPr>
      </w:pPr>
    </w:p>
    <w:p w14:paraId="13637B1E" w14:textId="77777777" w:rsidR="001C5626" w:rsidRPr="00C2769D" w:rsidRDefault="001C5626" w:rsidP="001C5626">
      <w:pPr>
        <w:tabs>
          <w:tab w:val="left" w:pos="426"/>
          <w:tab w:val="right" w:pos="8838"/>
        </w:tabs>
        <w:spacing w:after="0" w:line="240" w:lineRule="auto"/>
        <w:contextualSpacing/>
        <w:jc w:val="both"/>
        <w:outlineLvl w:val="0"/>
        <w:rPr>
          <w:rFonts w:ascii="Arial" w:eastAsia="Calibri" w:hAnsi="Arial" w:cs="Arial"/>
          <w:b/>
          <w:color w:val="000000" w:themeColor="text1"/>
          <w:lang w:val="es-ES_tradnl"/>
        </w:rPr>
      </w:pPr>
      <w:r w:rsidRPr="00C2769D">
        <w:rPr>
          <w:rFonts w:ascii="Arial" w:eastAsia="Calibri" w:hAnsi="Arial" w:cs="Arial"/>
          <w:b/>
          <w:color w:val="000000" w:themeColor="text1"/>
          <w:lang w:val="es-ES_tradnl"/>
        </w:rPr>
        <w:t xml:space="preserve">DECLARATORIA DE INEXEQUIBILIDAD </w:t>
      </w:r>
      <w:r w:rsidRPr="00C2769D">
        <w:rPr>
          <w:rFonts w:ascii="Arial" w:hAnsi="Arial" w:cs="Arial"/>
          <w:b/>
          <w:color w:val="000000" w:themeColor="text1"/>
          <w:lang w:val="es-MX"/>
        </w:rPr>
        <w:t>–</w:t>
      </w:r>
      <w:r w:rsidRPr="00C2769D">
        <w:rPr>
          <w:rFonts w:ascii="Arial" w:eastAsia="Calibri" w:hAnsi="Arial" w:cs="Arial"/>
          <w:b/>
          <w:color w:val="000000" w:themeColor="text1"/>
          <w:lang w:val="es-ES_tradnl"/>
        </w:rPr>
        <w:t xml:space="preserve"> Artículo 124 de la Ley 2159 de 2021 – Carencia de objeto</w:t>
      </w:r>
    </w:p>
    <w:p w14:paraId="6A76E139" w14:textId="77777777" w:rsidR="001C5626" w:rsidRPr="00C2769D" w:rsidRDefault="001C5626" w:rsidP="001C5626">
      <w:pPr>
        <w:tabs>
          <w:tab w:val="left" w:pos="426"/>
          <w:tab w:val="right" w:pos="8838"/>
        </w:tabs>
        <w:spacing w:after="0" w:line="240" w:lineRule="auto"/>
        <w:contextualSpacing/>
        <w:jc w:val="both"/>
        <w:outlineLvl w:val="0"/>
        <w:rPr>
          <w:rFonts w:ascii="Arial" w:eastAsia="Calibri" w:hAnsi="Arial" w:cs="Arial"/>
          <w:b/>
          <w:color w:val="000000" w:themeColor="text1"/>
          <w:sz w:val="20"/>
          <w:szCs w:val="20"/>
          <w:lang w:val="es-ES_tradnl"/>
        </w:rPr>
      </w:pPr>
      <w:r w:rsidRPr="00C2769D">
        <w:rPr>
          <w:rFonts w:ascii="Arial" w:eastAsia="Calibri" w:hAnsi="Arial" w:cs="Arial"/>
          <w:b/>
          <w:color w:val="000000" w:themeColor="text1"/>
          <w:sz w:val="20"/>
          <w:szCs w:val="20"/>
          <w:lang w:val="es-ES_tradnl"/>
        </w:rPr>
        <w:tab/>
      </w:r>
    </w:p>
    <w:p w14:paraId="6DAB31CE" w14:textId="77777777" w:rsidR="001C5626" w:rsidRPr="00C2769D" w:rsidRDefault="001C5626" w:rsidP="001C5626">
      <w:pPr>
        <w:spacing w:after="0" w:line="240" w:lineRule="auto"/>
        <w:contextualSpacing/>
        <w:jc w:val="both"/>
        <w:rPr>
          <w:sz w:val="20"/>
          <w:szCs w:val="20"/>
        </w:rPr>
      </w:pPr>
      <w:r w:rsidRPr="00C2769D">
        <w:rPr>
          <w:rFonts w:ascii="Arial" w:eastAsia="Calibri" w:hAnsi="Arial" w:cs="Arial"/>
          <w:bCs/>
          <w:color w:val="000000" w:themeColor="text1"/>
          <w:sz w:val="20"/>
          <w:szCs w:val="20"/>
          <w:lang w:val="es-ES_tradnl"/>
        </w:rPr>
        <w:t xml:space="preserve">Al declararse inexequible el artículo 124 de la Ley 2159 de 2021 por parte de la Corte Constitucional, la Agencia Nacional de Contratación Pública – Colombia Compra Eficiente carece de competencia para pronunciarse respecto de su última pregunta, como quiera habiendo sido retirado del ordenamiento jurídico el precepto sobre el que versa la petición, se presenta la carencia actual de objeto de la consulta por </w:t>
      </w:r>
      <w:r w:rsidRPr="00C2769D">
        <w:rPr>
          <w:rFonts w:ascii="Arial" w:eastAsia="Calibri" w:hAnsi="Arial" w:cs="Arial"/>
          <w:bCs/>
          <w:i/>
          <w:iCs/>
          <w:color w:val="000000" w:themeColor="text1"/>
          <w:sz w:val="20"/>
          <w:szCs w:val="20"/>
          <w:lang w:val="es-ES_tradnl"/>
        </w:rPr>
        <w:t xml:space="preserve">sustracción de materia. </w:t>
      </w:r>
    </w:p>
    <w:p w14:paraId="2DBB8B33" w14:textId="5BA28D77" w:rsidR="004B70D5" w:rsidRPr="008C2801" w:rsidRDefault="004B70D5">
      <w:pPr>
        <w:rPr>
          <w:rFonts w:ascii="Arial" w:eastAsia="Arial MT" w:hAnsi="Arial MT" w:cs="Arial MT"/>
          <w:b/>
          <w:sz w:val="16"/>
          <w:szCs w:val="16"/>
          <w:lang w:val="es-ES"/>
        </w:rPr>
      </w:pPr>
    </w:p>
    <w:p w14:paraId="228D80AF" w14:textId="162893D2" w:rsidR="007D009F" w:rsidRPr="008C2801" w:rsidRDefault="007D009F" w:rsidP="007D009F">
      <w:pPr>
        <w:widowControl w:val="0"/>
        <w:autoSpaceDE w:val="0"/>
        <w:autoSpaceDN w:val="0"/>
        <w:spacing w:before="94" w:after="0" w:line="240" w:lineRule="auto"/>
        <w:jc w:val="right"/>
        <w:rPr>
          <w:rFonts w:ascii="Arial" w:eastAsia="Arial MT" w:hAnsi="Arial MT" w:cs="Arial MT"/>
          <w:b/>
          <w:sz w:val="16"/>
          <w:szCs w:val="16"/>
          <w:lang w:val="es-ES"/>
        </w:rPr>
      </w:pPr>
      <w:r w:rsidRPr="008C2801">
        <w:rPr>
          <w:rFonts w:ascii="Arial" w:eastAsia="Arial MT" w:hAnsi="Arial MT" w:cs="Arial MT"/>
          <w:b/>
          <w:sz w:val="16"/>
          <w:szCs w:val="16"/>
          <w:lang w:val="es-ES"/>
        </w:rPr>
        <w:lastRenderedPageBreak/>
        <w:t>CCE-DES-FM-17</w:t>
      </w:r>
    </w:p>
    <w:p w14:paraId="298E7D03" w14:textId="6C1A5078" w:rsidR="007D009F" w:rsidRPr="008C2801" w:rsidRDefault="00F51E41" w:rsidP="002C7368">
      <w:pPr>
        <w:widowControl w:val="0"/>
        <w:autoSpaceDE w:val="0"/>
        <w:autoSpaceDN w:val="0"/>
        <w:spacing w:after="0" w:line="240" w:lineRule="auto"/>
        <w:contextualSpacing/>
        <w:jc w:val="right"/>
        <w:rPr>
          <w:rFonts w:ascii="Arial" w:eastAsia="Times New Roman" w:hAnsi="Arial" w:cs="Arial"/>
          <w:bCs/>
          <w:lang w:eastAsia="es-ES_tradnl"/>
        </w:rPr>
      </w:pPr>
      <w:r w:rsidRPr="008C065A">
        <w:rPr>
          <w:rFonts w:ascii="Arial" w:eastAsia="Calibri" w:hAnsi="Arial" w:cs="Arial"/>
          <w:b/>
          <w:bCs/>
          <w:noProof/>
        </w:rPr>
        <w:drawing>
          <wp:inline distT="0" distB="0" distL="0" distR="0" wp14:anchorId="488DEF40" wp14:editId="08203435">
            <wp:extent cx="3183515"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5828" cy="671423"/>
                    </a:xfrm>
                    <a:prstGeom prst="rect">
                      <a:avLst/>
                    </a:prstGeom>
                  </pic:spPr>
                </pic:pic>
              </a:graphicData>
            </a:graphic>
          </wp:inline>
        </w:drawing>
      </w:r>
    </w:p>
    <w:p w14:paraId="47191067" w14:textId="5608670D" w:rsidR="007D009F" w:rsidRPr="008C2801" w:rsidRDefault="00914017" w:rsidP="002C7368">
      <w:pPr>
        <w:widowControl w:val="0"/>
        <w:autoSpaceDE w:val="0"/>
        <w:autoSpaceDN w:val="0"/>
        <w:spacing w:after="0" w:line="240" w:lineRule="auto"/>
        <w:contextualSpacing/>
        <w:jc w:val="right"/>
        <w:rPr>
          <w:rFonts w:ascii="Arial" w:eastAsia="Times New Roman" w:hAnsi="Arial" w:cs="Arial"/>
          <w:bCs/>
          <w:lang w:eastAsia="es-ES_tradnl"/>
        </w:rPr>
      </w:pPr>
      <w:r w:rsidRPr="00914017">
        <w:rPr>
          <w:rFonts w:ascii="Arial" w:eastAsia="Times New Roman" w:hAnsi="Arial" w:cs="Arial"/>
          <w:bCs/>
          <w:lang w:eastAsia="es-ES_tradnl"/>
        </w:rPr>
        <w:drawing>
          <wp:inline distT="0" distB="0" distL="0" distR="0" wp14:anchorId="1B663E75" wp14:editId="4D4AF402">
            <wp:extent cx="3136900" cy="869098"/>
            <wp:effectExtent l="0" t="0" r="635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7748" cy="872103"/>
                    </a:xfrm>
                    <a:prstGeom prst="rect">
                      <a:avLst/>
                    </a:prstGeom>
                  </pic:spPr>
                </pic:pic>
              </a:graphicData>
            </a:graphic>
          </wp:inline>
        </w:drawing>
      </w:r>
    </w:p>
    <w:p w14:paraId="4FBFDF84" w14:textId="77777777" w:rsidR="007D009F" w:rsidRPr="008C2801" w:rsidRDefault="007D009F" w:rsidP="002C7368">
      <w:pPr>
        <w:widowControl w:val="0"/>
        <w:autoSpaceDE w:val="0"/>
        <w:autoSpaceDN w:val="0"/>
        <w:spacing w:after="0" w:line="240" w:lineRule="auto"/>
        <w:contextualSpacing/>
        <w:jc w:val="right"/>
        <w:rPr>
          <w:rFonts w:ascii="Arial" w:eastAsia="Times New Roman" w:hAnsi="Arial" w:cs="Arial"/>
          <w:bCs/>
          <w:lang w:eastAsia="es-ES_tradnl"/>
        </w:rPr>
      </w:pPr>
    </w:p>
    <w:p w14:paraId="4A449F70" w14:textId="77777777" w:rsidR="001C5626" w:rsidRPr="008C2801" w:rsidRDefault="001C5626" w:rsidP="002C7368">
      <w:pPr>
        <w:widowControl w:val="0"/>
        <w:autoSpaceDE w:val="0"/>
        <w:autoSpaceDN w:val="0"/>
        <w:spacing w:after="0" w:line="240" w:lineRule="auto"/>
        <w:contextualSpacing/>
        <w:jc w:val="right"/>
        <w:rPr>
          <w:rFonts w:ascii="Arial" w:eastAsia="Times New Roman" w:hAnsi="Arial" w:cs="Arial"/>
          <w:bCs/>
          <w:lang w:eastAsia="es-ES_tradnl"/>
        </w:rPr>
      </w:pPr>
    </w:p>
    <w:p w14:paraId="7B73DFCA" w14:textId="1096F8B6" w:rsidR="007D009F" w:rsidRPr="008C2801" w:rsidRDefault="007D009F" w:rsidP="007C3163">
      <w:pPr>
        <w:spacing w:after="0" w:line="240" w:lineRule="auto"/>
        <w:contextualSpacing/>
        <w:jc w:val="both"/>
        <w:rPr>
          <w:rFonts w:ascii="Arial" w:eastAsia="Calibri" w:hAnsi="Arial" w:cs="Arial"/>
          <w:lang w:eastAsia="es-ES_tradnl"/>
        </w:rPr>
      </w:pPr>
      <w:bookmarkStart w:id="1" w:name="_Hlk80951783"/>
      <w:r w:rsidRPr="008C2801">
        <w:rPr>
          <w:rFonts w:ascii="Arial" w:eastAsia="Calibri" w:hAnsi="Arial" w:cs="Arial"/>
          <w:lang w:eastAsia="es-ES_tradnl"/>
        </w:rPr>
        <w:t>Señor</w:t>
      </w:r>
    </w:p>
    <w:p w14:paraId="275D400C" w14:textId="336AD228" w:rsidR="007D009F" w:rsidRPr="008C2801" w:rsidRDefault="007D009F" w:rsidP="007C3163">
      <w:pPr>
        <w:spacing w:after="0" w:line="240" w:lineRule="auto"/>
        <w:contextualSpacing/>
        <w:jc w:val="both"/>
        <w:rPr>
          <w:rFonts w:ascii="Arial" w:eastAsia="Calibri" w:hAnsi="Arial" w:cs="Arial"/>
          <w:b/>
          <w:lang w:eastAsia="es-ES_tradnl"/>
        </w:rPr>
      </w:pPr>
      <w:r w:rsidRPr="008C2801">
        <w:rPr>
          <w:rFonts w:ascii="Arial" w:eastAsia="Calibri" w:hAnsi="Arial" w:cs="Arial"/>
          <w:b/>
          <w:lang w:eastAsia="es-ES_tradnl"/>
        </w:rPr>
        <w:t xml:space="preserve">Jorge </w:t>
      </w:r>
      <w:proofErr w:type="spellStart"/>
      <w:r w:rsidRPr="008C2801">
        <w:rPr>
          <w:rFonts w:ascii="Arial" w:eastAsia="Calibri" w:hAnsi="Arial" w:cs="Arial"/>
          <w:b/>
          <w:lang w:eastAsia="es-ES_tradnl"/>
        </w:rPr>
        <w:t>Mayid</w:t>
      </w:r>
      <w:proofErr w:type="spellEnd"/>
      <w:r w:rsidRPr="008C2801">
        <w:rPr>
          <w:rFonts w:ascii="Arial" w:eastAsia="Calibri" w:hAnsi="Arial" w:cs="Arial"/>
          <w:b/>
          <w:lang w:eastAsia="es-ES_tradnl"/>
        </w:rPr>
        <w:t xml:space="preserve"> Gene Beltrán</w:t>
      </w:r>
    </w:p>
    <w:p w14:paraId="0051116C" w14:textId="1B511F78" w:rsidR="008F1A01" w:rsidRDefault="007D009F" w:rsidP="007C3163">
      <w:pPr>
        <w:spacing w:after="0" w:line="240" w:lineRule="auto"/>
        <w:contextualSpacing/>
        <w:jc w:val="both"/>
        <w:rPr>
          <w:rFonts w:ascii="Arial" w:eastAsia="Calibri" w:hAnsi="Arial" w:cs="Arial"/>
          <w:b/>
          <w:lang w:eastAsia="es-ES_tradnl"/>
        </w:rPr>
      </w:pPr>
      <w:r w:rsidRPr="008C2801">
        <w:rPr>
          <w:rFonts w:ascii="Arial" w:eastAsia="Calibri" w:hAnsi="Arial" w:cs="Arial"/>
          <w:b/>
          <w:lang w:eastAsia="es-ES_tradnl"/>
        </w:rPr>
        <w:t xml:space="preserve">Secretario de Despacho </w:t>
      </w:r>
    </w:p>
    <w:p w14:paraId="442B6419" w14:textId="01890352" w:rsidR="007D009F" w:rsidRPr="008C2801" w:rsidRDefault="006548DB" w:rsidP="007C3163">
      <w:pPr>
        <w:spacing w:after="0" w:line="240" w:lineRule="auto"/>
        <w:contextualSpacing/>
        <w:jc w:val="both"/>
        <w:rPr>
          <w:rFonts w:ascii="Arial" w:eastAsia="Calibri" w:hAnsi="Arial" w:cs="Arial"/>
          <w:b/>
          <w:lang w:eastAsia="es-ES_tradnl"/>
        </w:rPr>
      </w:pPr>
      <w:r w:rsidRPr="008C2801">
        <w:rPr>
          <w:rFonts w:ascii="Arial" w:eastAsia="Calibri" w:hAnsi="Arial" w:cs="Arial"/>
          <w:b/>
          <w:lang w:eastAsia="es-ES_tradnl"/>
        </w:rPr>
        <w:t xml:space="preserve">Secretaría </w:t>
      </w:r>
      <w:r w:rsidR="007D009F" w:rsidRPr="008C2801">
        <w:rPr>
          <w:rFonts w:ascii="Arial" w:eastAsia="Calibri" w:hAnsi="Arial" w:cs="Arial"/>
          <w:b/>
          <w:lang w:eastAsia="es-ES_tradnl"/>
        </w:rPr>
        <w:t>de Tránsito y Transporte</w:t>
      </w:r>
    </w:p>
    <w:p w14:paraId="3F6EC2FC" w14:textId="1C4EA0E7" w:rsidR="007D009F" w:rsidRPr="008C2801" w:rsidRDefault="007D009F" w:rsidP="007C3163">
      <w:pPr>
        <w:spacing w:after="0" w:line="240" w:lineRule="auto"/>
        <w:contextualSpacing/>
        <w:jc w:val="both"/>
        <w:rPr>
          <w:rFonts w:ascii="Arial" w:eastAsia="Times New Roman" w:hAnsi="Arial" w:cs="Arial"/>
          <w:lang w:eastAsia="es-ES_tradnl"/>
        </w:rPr>
      </w:pPr>
      <w:r w:rsidRPr="008C2801">
        <w:rPr>
          <w:rFonts w:ascii="Arial" w:eastAsia="Times New Roman" w:hAnsi="Arial" w:cs="Arial"/>
          <w:lang w:eastAsia="es-ES_tradnl"/>
        </w:rPr>
        <w:t>Cúcuta</w:t>
      </w:r>
      <w:r w:rsidR="00AF0C3A" w:rsidRPr="008C2801">
        <w:rPr>
          <w:rFonts w:ascii="Arial" w:eastAsia="Times New Roman" w:hAnsi="Arial" w:cs="Arial"/>
          <w:lang w:eastAsia="es-ES_tradnl"/>
        </w:rPr>
        <w:t>, Santander</w:t>
      </w:r>
    </w:p>
    <w:p w14:paraId="4DA1894E" w14:textId="77777777" w:rsidR="007D009F" w:rsidRPr="008C2801" w:rsidRDefault="007D009F" w:rsidP="007C3163">
      <w:pPr>
        <w:spacing w:after="0" w:line="240" w:lineRule="auto"/>
        <w:contextualSpacing/>
        <w:jc w:val="both"/>
        <w:rPr>
          <w:rFonts w:ascii="Arial" w:eastAsia="Calibri" w:hAnsi="Arial" w:cs="Arial"/>
          <w:lang w:eastAsia="es-ES_tradnl"/>
        </w:rPr>
      </w:pPr>
    </w:p>
    <w:p w14:paraId="491D534C" w14:textId="7072AF55" w:rsidR="007D009F" w:rsidRPr="008C2801" w:rsidRDefault="007D009F" w:rsidP="007C3163">
      <w:pPr>
        <w:spacing w:after="0" w:line="240" w:lineRule="auto"/>
        <w:contextualSpacing/>
        <w:rPr>
          <w:rFonts w:ascii="Arial" w:eastAsia="Calibri" w:hAnsi="Arial" w:cs="Arial"/>
          <w:b/>
          <w:lang w:val="es-MX"/>
        </w:rPr>
      </w:pPr>
      <w:r w:rsidRPr="008C2801">
        <w:rPr>
          <w:rFonts w:ascii="Arial" w:eastAsia="Calibri" w:hAnsi="Arial" w:cs="Arial"/>
          <w:b/>
          <w:lang w:val="es-MX"/>
        </w:rPr>
        <w:t xml:space="preserve">                                            Concepto C</w:t>
      </w:r>
      <w:r w:rsidR="00477E96">
        <w:rPr>
          <w:rFonts w:ascii="Arial" w:eastAsia="Calibri" w:hAnsi="Arial" w:cs="Arial"/>
          <w:b/>
          <w:lang w:val="es-MX"/>
        </w:rPr>
        <w:t>–</w:t>
      </w:r>
      <w:r w:rsidR="00E41BC4">
        <w:rPr>
          <w:rFonts w:ascii="Arial" w:eastAsia="Calibri" w:hAnsi="Arial" w:cs="Arial"/>
          <w:b/>
          <w:lang w:val="es-MX"/>
        </w:rPr>
        <w:t>3</w:t>
      </w:r>
      <w:r w:rsidR="006548DB" w:rsidRPr="008C2801">
        <w:rPr>
          <w:rFonts w:ascii="Arial" w:eastAsia="Calibri" w:hAnsi="Arial" w:cs="Arial"/>
          <w:b/>
          <w:lang w:val="es-MX"/>
        </w:rPr>
        <w:t>50</w:t>
      </w:r>
      <w:r w:rsidRPr="008C2801">
        <w:rPr>
          <w:rFonts w:ascii="Arial" w:eastAsia="Calibri" w:hAnsi="Arial" w:cs="Arial"/>
          <w:b/>
          <w:lang w:val="es-MX"/>
        </w:rPr>
        <w:t xml:space="preserve"> de 2022</w:t>
      </w:r>
    </w:p>
    <w:p w14:paraId="05115BE9" w14:textId="77777777" w:rsidR="007D009F" w:rsidRPr="008C2801" w:rsidRDefault="007D009F" w:rsidP="007C3163">
      <w:pPr>
        <w:spacing w:after="0" w:line="240" w:lineRule="auto"/>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A4001" w:rsidRPr="008C2801" w14:paraId="3CCB52BB" w14:textId="77777777" w:rsidTr="00666EC7">
        <w:tc>
          <w:tcPr>
            <w:tcW w:w="2689" w:type="dxa"/>
          </w:tcPr>
          <w:p w14:paraId="05FFB032" w14:textId="77777777" w:rsidR="007D009F" w:rsidRPr="008C2801" w:rsidRDefault="007D009F" w:rsidP="007C3163">
            <w:pPr>
              <w:contextualSpacing/>
              <w:jc w:val="both"/>
              <w:rPr>
                <w:rFonts w:ascii="Arial" w:eastAsia="Calibri" w:hAnsi="Arial" w:cs="Arial"/>
                <w:b/>
                <w:lang w:val="es-ES_tradnl" w:eastAsia="es-ES_tradnl"/>
              </w:rPr>
            </w:pPr>
            <w:r w:rsidRPr="008C2801">
              <w:rPr>
                <w:rFonts w:ascii="Arial" w:eastAsia="Calibri" w:hAnsi="Arial" w:cs="Arial"/>
                <w:b/>
                <w:lang w:val="es-ES_tradnl" w:eastAsia="es-ES_tradnl"/>
              </w:rPr>
              <w:t xml:space="preserve">Temas:                                      </w:t>
            </w:r>
          </w:p>
        </w:tc>
        <w:tc>
          <w:tcPr>
            <w:tcW w:w="6237" w:type="dxa"/>
          </w:tcPr>
          <w:p w14:paraId="6155E6C6" w14:textId="65117A08" w:rsidR="002A46A6" w:rsidRPr="008C2801" w:rsidRDefault="002A46A6" w:rsidP="002A46A6">
            <w:pPr>
              <w:contextualSpacing/>
              <w:jc w:val="both"/>
              <w:rPr>
                <w:rFonts w:ascii="Arial" w:eastAsia="Calibri" w:hAnsi="Arial" w:cs="Arial"/>
                <w:bCs/>
                <w:color w:val="000000" w:themeColor="text1"/>
                <w:lang w:val="es-ES_tradnl"/>
              </w:rPr>
            </w:pPr>
            <w:r w:rsidRPr="008C2801">
              <w:rPr>
                <w:rFonts w:ascii="Arial" w:eastAsia="Calibri" w:hAnsi="Arial" w:cs="Arial"/>
                <w:bCs/>
                <w:lang w:val="es-MX" w:eastAsia="es-MX"/>
              </w:rPr>
              <w:t xml:space="preserve">LEY DE GARANTÍAS ELECTORALES – Definición – Finalidad / LEY DE GARANTÍAS ELECTORALES – Prohibiciones / </w:t>
            </w:r>
            <w:r w:rsidRPr="008C2801">
              <w:rPr>
                <w:rFonts w:ascii="Arial" w:eastAsia="Calibri" w:hAnsi="Arial" w:cs="Arial"/>
                <w:bCs/>
                <w:lang w:val="es-MX"/>
              </w:rPr>
              <w:t xml:space="preserve">LEY DE GARANTÍAS ELECTORALES ─ Prohibición artículo 33 ‒ Contratación directa ‒ Alcance / LEY DE GARANTÍAS ELECTORALES ─ Prohibición artículo 33 ‒ Contratación directa ‒ Prorrogas, modificaciones y adiciones / </w:t>
            </w:r>
            <w:r w:rsidRPr="008C2801">
              <w:rPr>
                <w:rFonts w:ascii="Arial" w:eastAsia="Times New Roman" w:hAnsi="Arial" w:cs="Arial"/>
                <w:bCs/>
                <w:lang w:eastAsia="es-CO"/>
              </w:rPr>
              <w:t xml:space="preserve">LEY DE GARANTÍAS ELECTORALES </w:t>
            </w:r>
            <w:r w:rsidRPr="008C2801">
              <w:rPr>
                <w:rFonts w:ascii="Arial" w:eastAsia="Calibri" w:hAnsi="Arial" w:cs="Arial"/>
                <w:bCs/>
                <w:lang w:val="es-MX"/>
              </w:rPr>
              <w:t xml:space="preserve">─ Prohibición artículo 33 ‒ </w:t>
            </w:r>
            <w:r w:rsidRPr="008C2801">
              <w:rPr>
                <w:rFonts w:ascii="Arial" w:eastAsia="Times New Roman" w:hAnsi="Arial" w:cs="Arial"/>
                <w:bCs/>
                <w:lang w:eastAsia="es-CO"/>
              </w:rPr>
              <w:t xml:space="preserve">Excepciones / LEY DE GARANTÍAS ELECTORALES ‒ </w:t>
            </w:r>
            <w:r w:rsidRPr="008C2801">
              <w:rPr>
                <w:rFonts w:ascii="Arial" w:eastAsia="Times New Roman" w:hAnsi="Arial" w:cs="Arial"/>
                <w:bCs/>
                <w:lang w:val="es-ES" w:eastAsia="es-CO"/>
              </w:rPr>
              <w:t xml:space="preserve">Prohibición del artículo 33 </w:t>
            </w:r>
            <w:r w:rsidRPr="008C2801">
              <w:rPr>
                <w:rFonts w:ascii="Arial" w:eastAsia="Times New Roman" w:hAnsi="Arial" w:cs="Arial"/>
                <w:bCs/>
                <w:lang w:eastAsia="es-CO"/>
              </w:rPr>
              <w:t xml:space="preserve">‒ Destinatarios / LEY DE GARANTÍAS ELECTORALES </w:t>
            </w:r>
            <w:r w:rsidRPr="008C2801">
              <w:rPr>
                <w:rFonts w:ascii="Arial" w:eastAsia="Calibri" w:hAnsi="Arial" w:cs="Arial"/>
                <w:bCs/>
                <w:lang w:val="es-MX"/>
              </w:rPr>
              <w:t xml:space="preserve">─ Prohibición artículo 33 ‒ </w:t>
            </w:r>
            <w:r w:rsidRPr="008C2801">
              <w:rPr>
                <w:rFonts w:ascii="Arial" w:eastAsia="Times New Roman" w:hAnsi="Arial" w:cs="Arial"/>
                <w:bCs/>
                <w:lang w:eastAsia="es-CO"/>
              </w:rPr>
              <w:t xml:space="preserve">Policía Nacional de Colombia / </w:t>
            </w:r>
            <w:r w:rsidRPr="008C2801">
              <w:rPr>
                <w:rFonts w:ascii="Arial" w:eastAsia="Calibri" w:hAnsi="Arial" w:cs="Arial"/>
                <w:bCs/>
                <w:lang w:val="es-MX"/>
              </w:rPr>
              <w:t xml:space="preserve">LEY DE GARANTÍAS ELECTORALES ‒ Prohibición comicios cargos de elección popular – Convenios y contratos interadministrativos </w:t>
            </w:r>
            <w:r w:rsidRPr="008C2801">
              <w:rPr>
                <w:rFonts w:ascii="Arial" w:eastAsia="Calibri" w:hAnsi="Arial" w:cs="Arial"/>
                <w:bCs/>
                <w:color w:val="000000" w:themeColor="text1"/>
                <w:lang w:val="es-MX"/>
              </w:rPr>
              <w:t xml:space="preserve">– Definición – Criterio orgánico / CONTRATOS Y </w:t>
            </w:r>
            <w:r w:rsidRPr="008C2801">
              <w:rPr>
                <w:rFonts w:ascii="Arial" w:hAnsi="Arial" w:cs="Arial"/>
                <w:bCs/>
                <w:color w:val="000000" w:themeColor="text1"/>
                <w:lang w:val="es-MX"/>
              </w:rPr>
              <w:t xml:space="preserve">CONVENIOS INTERADMINISTRATIVOS – Modalidad de selección / </w:t>
            </w:r>
            <w:r w:rsidRPr="008C2801">
              <w:rPr>
                <w:rFonts w:ascii="Arial" w:eastAsia="Calibri" w:hAnsi="Arial" w:cs="Arial"/>
                <w:bCs/>
                <w:color w:val="000000" w:themeColor="text1"/>
                <w:lang w:val="es-ES_tradnl"/>
              </w:rPr>
              <w:t xml:space="preserve">DECLARATORIA DE INEXEQUIBILIDAD </w:t>
            </w:r>
            <w:r w:rsidRPr="008C2801">
              <w:rPr>
                <w:rFonts w:ascii="Arial" w:hAnsi="Arial" w:cs="Arial"/>
                <w:bCs/>
                <w:color w:val="000000" w:themeColor="text1"/>
                <w:lang w:val="es-MX"/>
              </w:rPr>
              <w:t>–</w:t>
            </w:r>
            <w:r w:rsidRPr="008C2801">
              <w:rPr>
                <w:rFonts w:ascii="Arial" w:eastAsia="Calibri" w:hAnsi="Arial" w:cs="Arial"/>
                <w:bCs/>
                <w:color w:val="000000" w:themeColor="text1"/>
                <w:lang w:val="es-ES_tradnl"/>
              </w:rPr>
              <w:t xml:space="preserve"> Artículo 124 de la Ley 2159 de 2021 – Carencia de objeto</w:t>
            </w:r>
          </w:p>
          <w:p w14:paraId="3D172AA2" w14:textId="06F2D04E" w:rsidR="005236CF" w:rsidRPr="008C2801" w:rsidRDefault="005236CF" w:rsidP="007C3163">
            <w:pPr>
              <w:widowControl w:val="0"/>
              <w:autoSpaceDE w:val="0"/>
              <w:autoSpaceDN w:val="0"/>
              <w:adjustRightInd w:val="0"/>
              <w:contextualSpacing/>
              <w:jc w:val="both"/>
              <w:rPr>
                <w:rFonts w:ascii="Arial" w:eastAsia="Calibri" w:hAnsi="Arial" w:cs="Arial"/>
                <w:lang w:val="es-ES_tradnl"/>
              </w:rPr>
            </w:pPr>
          </w:p>
        </w:tc>
      </w:tr>
      <w:tr w:rsidR="007A4001" w:rsidRPr="008C2801" w14:paraId="50A4B5DE" w14:textId="77777777" w:rsidTr="00666EC7">
        <w:trPr>
          <w:trHeight w:val="391"/>
        </w:trPr>
        <w:tc>
          <w:tcPr>
            <w:tcW w:w="2689" w:type="dxa"/>
          </w:tcPr>
          <w:p w14:paraId="5F31AD84" w14:textId="77777777" w:rsidR="007D009F" w:rsidRPr="008C2801" w:rsidRDefault="007D009F" w:rsidP="007C3163">
            <w:pPr>
              <w:contextualSpacing/>
              <w:jc w:val="both"/>
              <w:rPr>
                <w:rFonts w:ascii="Arial" w:eastAsia="Calibri" w:hAnsi="Arial" w:cs="Arial"/>
                <w:lang w:val="es-ES_tradnl" w:eastAsia="es-ES_tradnl"/>
              </w:rPr>
            </w:pPr>
            <w:r w:rsidRPr="008C2801">
              <w:rPr>
                <w:rFonts w:ascii="Arial" w:eastAsia="Calibri" w:hAnsi="Arial" w:cs="Arial"/>
                <w:b/>
                <w:lang w:val="es-ES_tradnl" w:eastAsia="es-ES_tradnl"/>
              </w:rPr>
              <w:t>Radicación</w:t>
            </w:r>
            <w:r w:rsidRPr="008C2801">
              <w:rPr>
                <w:rFonts w:ascii="Arial" w:eastAsia="Calibri" w:hAnsi="Arial" w:cs="Arial"/>
                <w:lang w:val="es-ES_tradnl" w:eastAsia="es-ES_tradnl"/>
              </w:rPr>
              <w:t xml:space="preserve">:                              </w:t>
            </w:r>
          </w:p>
        </w:tc>
        <w:tc>
          <w:tcPr>
            <w:tcW w:w="6237" w:type="dxa"/>
          </w:tcPr>
          <w:p w14:paraId="0FDA9C23" w14:textId="345288B4" w:rsidR="007D009F" w:rsidRPr="008C2801" w:rsidRDefault="007D009F" w:rsidP="007C3163">
            <w:pPr>
              <w:widowControl w:val="0"/>
              <w:autoSpaceDE w:val="0"/>
              <w:autoSpaceDN w:val="0"/>
              <w:adjustRightInd w:val="0"/>
              <w:contextualSpacing/>
              <w:jc w:val="both"/>
              <w:rPr>
                <w:rFonts w:ascii="Arial" w:eastAsia="Calibri" w:hAnsi="Arial" w:cs="Arial"/>
                <w:lang w:val="es-ES_tradnl"/>
              </w:rPr>
            </w:pPr>
            <w:r w:rsidRPr="008C2801">
              <w:rPr>
                <w:rFonts w:ascii="Arial" w:eastAsia="Calibri" w:hAnsi="Arial" w:cs="Arial"/>
                <w:lang w:val="es-ES_tradnl"/>
              </w:rPr>
              <w:t xml:space="preserve">Respuesta a consulta </w:t>
            </w:r>
            <w:r w:rsidR="00C84DD5" w:rsidRPr="008C2801">
              <w:rPr>
                <w:rFonts w:ascii="Arial" w:eastAsia="Calibri" w:hAnsi="Arial" w:cs="Arial"/>
                <w:lang w:val="es-ES_tradnl"/>
              </w:rPr>
              <w:t>P20220426004058</w:t>
            </w:r>
          </w:p>
        </w:tc>
      </w:tr>
    </w:tbl>
    <w:p w14:paraId="59E1E69B" w14:textId="4ABAA64C" w:rsidR="007D009F" w:rsidRPr="008C2801" w:rsidRDefault="007D009F" w:rsidP="007C3163">
      <w:pPr>
        <w:spacing w:after="0" w:line="240" w:lineRule="auto"/>
        <w:contextualSpacing/>
        <w:jc w:val="both"/>
        <w:rPr>
          <w:rFonts w:ascii="Arial" w:eastAsia="Calibri" w:hAnsi="Arial" w:cs="Arial"/>
          <w:szCs w:val="24"/>
          <w:lang w:val="es-ES_tradnl" w:eastAsia="es-ES_tradnl"/>
        </w:rPr>
      </w:pPr>
    </w:p>
    <w:p w14:paraId="758A87D9" w14:textId="77777777" w:rsidR="002B69A3" w:rsidRPr="008C2801" w:rsidRDefault="002B69A3" w:rsidP="007C3163">
      <w:pPr>
        <w:spacing w:after="0" w:line="240" w:lineRule="auto"/>
        <w:contextualSpacing/>
        <w:jc w:val="both"/>
        <w:rPr>
          <w:rFonts w:ascii="Arial" w:eastAsia="Calibri" w:hAnsi="Arial" w:cs="Arial"/>
          <w:szCs w:val="24"/>
          <w:lang w:val="es-ES_tradnl" w:eastAsia="es-ES_tradnl"/>
        </w:rPr>
      </w:pPr>
    </w:p>
    <w:p w14:paraId="45909AA2" w14:textId="5D4E6458" w:rsidR="007D009F" w:rsidRPr="008C2801" w:rsidRDefault="007D009F" w:rsidP="007C3163">
      <w:pPr>
        <w:spacing w:after="0" w:line="240" w:lineRule="auto"/>
        <w:contextualSpacing/>
        <w:jc w:val="both"/>
        <w:rPr>
          <w:rFonts w:ascii="Arial" w:eastAsia="Calibri" w:hAnsi="Arial" w:cs="Arial"/>
          <w:szCs w:val="24"/>
          <w:lang w:val="es-ES_tradnl" w:eastAsia="es-ES_tradnl"/>
        </w:rPr>
      </w:pPr>
      <w:r w:rsidRPr="008C2801">
        <w:rPr>
          <w:rFonts w:ascii="Arial" w:eastAsia="Calibri" w:hAnsi="Arial" w:cs="Arial"/>
          <w:szCs w:val="24"/>
          <w:lang w:val="es-ES_tradnl" w:eastAsia="es-ES_tradnl"/>
        </w:rPr>
        <w:t>Estimad</w:t>
      </w:r>
      <w:r w:rsidR="007207EE" w:rsidRPr="008C2801">
        <w:rPr>
          <w:rFonts w:ascii="Arial" w:eastAsia="Calibri" w:hAnsi="Arial" w:cs="Arial"/>
          <w:szCs w:val="24"/>
          <w:lang w:val="es-ES_tradnl" w:eastAsia="es-ES_tradnl"/>
        </w:rPr>
        <w:t>o</w:t>
      </w:r>
      <w:r w:rsidRPr="008C2801">
        <w:rPr>
          <w:rFonts w:ascii="Arial" w:eastAsia="Calibri" w:hAnsi="Arial" w:cs="Arial"/>
          <w:szCs w:val="24"/>
          <w:lang w:val="es-ES_tradnl" w:eastAsia="es-ES_tradnl"/>
        </w:rPr>
        <w:t xml:space="preserve"> señor </w:t>
      </w:r>
      <w:r w:rsidR="007207EE" w:rsidRPr="008C2801">
        <w:rPr>
          <w:rFonts w:ascii="Arial" w:eastAsia="Calibri" w:hAnsi="Arial" w:cs="Arial"/>
          <w:szCs w:val="24"/>
          <w:lang w:val="es-ES_tradnl" w:eastAsia="es-ES_tradnl"/>
        </w:rPr>
        <w:t>Gene Beltrán</w:t>
      </w:r>
      <w:r w:rsidRPr="008C2801">
        <w:rPr>
          <w:rFonts w:ascii="Arial" w:eastAsia="Calibri" w:hAnsi="Arial" w:cs="Arial"/>
          <w:szCs w:val="24"/>
          <w:lang w:val="es-ES_tradnl" w:eastAsia="es-ES_tradnl"/>
        </w:rPr>
        <w:t xml:space="preserve">: </w:t>
      </w:r>
    </w:p>
    <w:p w14:paraId="5789044E" w14:textId="77777777" w:rsidR="007D009F" w:rsidRPr="008C2801" w:rsidRDefault="007D009F" w:rsidP="007C3163">
      <w:pPr>
        <w:spacing w:after="0" w:line="240" w:lineRule="auto"/>
        <w:contextualSpacing/>
        <w:jc w:val="both"/>
        <w:rPr>
          <w:rFonts w:ascii="Arial" w:eastAsia="Calibri" w:hAnsi="Arial" w:cs="Arial"/>
          <w:szCs w:val="24"/>
          <w:lang w:val="es-ES_tradnl" w:eastAsia="es-ES_tradnl"/>
        </w:rPr>
      </w:pPr>
    </w:p>
    <w:p w14:paraId="3E76FACE" w14:textId="21F35345" w:rsidR="007D009F" w:rsidRPr="008C2801" w:rsidRDefault="007D009F" w:rsidP="00D472CC">
      <w:pPr>
        <w:spacing w:after="0" w:line="276" w:lineRule="auto"/>
        <w:jc w:val="both"/>
        <w:rPr>
          <w:rFonts w:ascii="Arial" w:eastAsia="Calibri" w:hAnsi="Arial" w:cs="Arial"/>
        </w:rPr>
      </w:pPr>
      <w:r w:rsidRPr="008C2801">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7A4001" w:rsidRPr="008C2801">
        <w:rPr>
          <w:rFonts w:ascii="Arial" w:eastAsia="Calibri" w:hAnsi="Arial" w:cs="Arial"/>
        </w:rPr>
        <w:t>26</w:t>
      </w:r>
      <w:r w:rsidRPr="008C2801">
        <w:rPr>
          <w:rFonts w:ascii="Arial" w:eastAsia="Calibri" w:hAnsi="Arial" w:cs="Arial"/>
        </w:rPr>
        <w:t xml:space="preserve"> de abril de 2022. </w:t>
      </w:r>
    </w:p>
    <w:p w14:paraId="75807BD6" w14:textId="77777777" w:rsidR="007D009F" w:rsidRPr="008C2801" w:rsidRDefault="007D009F" w:rsidP="00D472CC">
      <w:pPr>
        <w:spacing w:after="0" w:line="276" w:lineRule="auto"/>
        <w:contextualSpacing/>
        <w:jc w:val="both"/>
        <w:rPr>
          <w:rFonts w:ascii="Arial" w:eastAsia="Calibri" w:hAnsi="Arial" w:cs="Arial"/>
          <w:b/>
          <w:lang w:val="es-ES_tradnl" w:eastAsia="es-ES_tradnl"/>
        </w:rPr>
      </w:pPr>
    </w:p>
    <w:p w14:paraId="5D1BBA20" w14:textId="77777777" w:rsidR="007D009F" w:rsidRPr="008C2801" w:rsidRDefault="007D009F" w:rsidP="00D472CC">
      <w:pPr>
        <w:numPr>
          <w:ilvl w:val="0"/>
          <w:numId w:val="1"/>
        </w:numPr>
        <w:tabs>
          <w:tab w:val="left" w:pos="0"/>
          <w:tab w:val="left" w:pos="142"/>
          <w:tab w:val="left" w:pos="284"/>
        </w:tabs>
        <w:spacing w:after="0" w:line="276" w:lineRule="auto"/>
        <w:ind w:left="360"/>
        <w:contextualSpacing/>
        <w:jc w:val="both"/>
        <w:rPr>
          <w:rFonts w:ascii="Arial" w:eastAsia="Calibri" w:hAnsi="Arial" w:cs="Arial"/>
          <w:b/>
          <w:lang w:val="es-ES_tradnl"/>
        </w:rPr>
      </w:pPr>
      <w:r w:rsidRPr="008C2801">
        <w:rPr>
          <w:rFonts w:ascii="Arial" w:eastAsia="Calibri" w:hAnsi="Arial" w:cs="Arial"/>
          <w:b/>
          <w:lang w:val="es-ES_tradnl"/>
        </w:rPr>
        <w:t xml:space="preserve">Problema planteado </w:t>
      </w:r>
    </w:p>
    <w:p w14:paraId="0BC0415C" w14:textId="77777777" w:rsidR="007D009F" w:rsidRPr="008C2801" w:rsidRDefault="007D009F" w:rsidP="00D472CC">
      <w:pPr>
        <w:tabs>
          <w:tab w:val="left" w:pos="426"/>
        </w:tabs>
        <w:spacing w:after="0" w:line="276" w:lineRule="auto"/>
        <w:contextualSpacing/>
        <w:jc w:val="both"/>
        <w:rPr>
          <w:rFonts w:ascii="Arial" w:eastAsia="Calibri" w:hAnsi="Arial" w:cs="Arial"/>
          <w:b/>
          <w:color w:val="FF0000"/>
          <w:lang w:val="es-ES_tradnl" w:eastAsia="es-ES_tradnl"/>
        </w:rPr>
      </w:pPr>
    </w:p>
    <w:p w14:paraId="149FF29B" w14:textId="77777777" w:rsidR="00D472CC" w:rsidRPr="008C2801" w:rsidRDefault="00E719CB" w:rsidP="00D472CC">
      <w:pPr>
        <w:spacing w:after="0" w:line="276" w:lineRule="auto"/>
        <w:contextualSpacing/>
        <w:jc w:val="both"/>
        <w:rPr>
          <w:rFonts w:ascii="Arial" w:eastAsia="Times New Roman" w:hAnsi="Arial" w:cs="Arial"/>
          <w:lang w:eastAsia="es-ES_tradnl"/>
        </w:rPr>
      </w:pPr>
      <w:r w:rsidRPr="008C2801">
        <w:rPr>
          <w:rFonts w:ascii="Arial" w:eastAsia="Times New Roman" w:hAnsi="Arial" w:cs="Arial"/>
          <w:lang w:eastAsia="es-ES_tradnl"/>
        </w:rPr>
        <w:t>Respecto de la Ley de Garantías Electorales, usted plantea la</w:t>
      </w:r>
      <w:r w:rsidR="00464118" w:rsidRPr="008C2801">
        <w:rPr>
          <w:rFonts w:ascii="Arial" w:eastAsia="Times New Roman" w:hAnsi="Arial" w:cs="Arial"/>
          <w:lang w:eastAsia="es-ES_tradnl"/>
        </w:rPr>
        <w:t>s</w:t>
      </w:r>
      <w:r w:rsidRPr="008C2801">
        <w:rPr>
          <w:rFonts w:ascii="Arial" w:eastAsia="Times New Roman" w:hAnsi="Arial" w:cs="Arial"/>
          <w:lang w:eastAsia="es-ES_tradnl"/>
        </w:rPr>
        <w:t xml:space="preserve"> siguiente</w:t>
      </w:r>
      <w:r w:rsidR="00464118" w:rsidRPr="008C2801">
        <w:rPr>
          <w:rFonts w:ascii="Arial" w:eastAsia="Times New Roman" w:hAnsi="Arial" w:cs="Arial"/>
          <w:lang w:eastAsia="es-ES_tradnl"/>
        </w:rPr>
        <w:t>s</w:t>
      </w:r>
      <w:r w:rsidRPr="008C2801">
        <w:rPr>
          <w:rFonts w:ascii="Arial" w:eastAsia="Times New Roman" w:hAnsi="Arial" w:cs="Arial"/>
          <w:lang w:eastAsia="es-ES_tradnl"/>
        </w:rPr>
        <w:t xml:space="preserve"> </w:t>
      </w:r>
      <w:r w:rsidR="00D472CC" w:rsidRPr="008C2801">
        <w:rPr>
          <w:rFonts w:ascii="Arial" w:eastAsia="Times New Roman" w:hAnsi="Arial" w:cs="Arial"/>
          <w:lang w:eastAsia="es-ES_tradnl"/>
        </w:rPr>
        <w:t>preguntas</w:t>
      </w:r>
      <w:r w:rsidRPr="008C2801">
        <w:rPr>
          <w:rFonts w:ascii="Arial" w:eastAsia="Times New Roman" w:hAnsi="Arial" w:cs="Arial"/>
          <w:lang w:eastAsia="es-ES_tradnl"/>
        </w:rPr>
        <w:t xml:space="preserve">: </w:t>
      </w:r>
    </w:p>
    <w:p w14:paraId="6731CECC" w14:textId="77777777" w:rsidR="00D472CC" w:rsidRPr="008C2801" w:rsidRDefault="00D472CC" w:rsidP="00D472CC">
      <w:pPr>
        <w:spacing w:after="0" w:line="276" w:lineRule="auto"/>
        <w:contextualSpacing/>
        <w:jc w:val="both"/>
        <w:rPr>
          <w:rFonts w:ascii="Arial" w:eastAsia="Times New Roman" w:hAnsi="Arial" w:cs="Arial"/>
          <w:color w:val="FF0000"/>
          <w:lang w:eastAsia="es-ES_tradnl"/>
        </w:rPr>
      </w:pPr>
    </w:p>
    <w:p w14:paraId="4F1E441E" w14:textId="77777777" w:rsidR="00D472CC" w:rsidRPr="008C2801" w:rsidRDefault="007D009F" w:rsidP="00580AA8">
      <w:pPr>
        <w:spacing w:after="0" w:line="240" w:lineRule="auto"/>
        <w:ind w:left="709" w:right="709"/>
        <w:contextualSpacing/>
        <w:jc w:val="both"/>
        <w:rPr>
          <w:rFonts w:ascii="Arial" w:hAnsi="Arial" w:cs="Arial"/>
          <w:sz w:val="21"/>
          <w:szCs w:val="21"/>
        </w:rPr>
      </w:pPr>
      <w:r w:rsidRPr="008C2801">
        <w:rPr>
          <w:rFonts w:ascii="Arial" w:eastAsia="Times New Roman" w:hAnsi="Arial" w:cs="Arial"/>
          <w:sz w:val="21"/>
          <w:szCs w:val="21"/>
          <w:lang w:eastAsia="es-ES_tradnl"/>
        </w:rPr>
        <w:t>«</w:t>
      </w:r>
      <w:r w:rsidR="00D472CC" w:rsidRPr="008C2801">
        <w:rPr>
          <w:rFonts w:ascii="Arial" w:hAnsi="Arial" w:cs="Arial"/>
          <w:sz w:val="21"/>
          <w:szCs w:val="21"/>
        </w:rPr>
        <w:t xml:space="preserve">1. ¿El régimen aplicable a la ley de Garantías rige para entidades estatales de orden Nacional como lo es la Policía Nacional? </w:t>
      </w:r>
    </w:p>
    <w:p w14:paraId="39A53BFE" w14:textId="77777777" w:rsidR="00D472CC" w:rsidRPr="008C2801" w:rsidRDefault="00D472CC" w:rsidP="00580AA8">
      <w:pPr>
        <w:spacing w:after="0" w:line="240" w:lineRule="auto"/>
        <w:ind w:left="709" w:right="709"/>
        <w:contextualSpacing/>
        <w:jc w:val="both"/>
        <w:rPr>
          <w:rFonts w:ascii="Arial" w:hAnsi="Arial" w:cs="Arial"/>
          <w:sz w:val="21"/>
          <w:szCs w:val="21"/>
        </w:rPr>
      </w:pPr>
    </w:p>
    <w:p w14:paraId="4E742C45" w14:textId="77777777" w:rsidR="00D472CC" w:rsidRPr="008C2801" w:rsidRDefault="00D472CC" w:rsidP="00580AA8">
      <w:pPr>
        <w:spacing w:after="0" w:line="240" w:lineRule="auto"/>
        <w:ind w:left="709" w:right="709"/>
        <w:contextualSpacing/>
        <w:jc w:val="both"/>
        <w:rPr>
          <w:rFonts w:ascii="Arial" w:hAnsi="Arial" w:cs="Arial"/>
          <w:sz w:val="21"/>
          <w:szCs w:val="21"/>
        </w:rPr>
      </w:pPr>
      <w:r w:rsidRPr="008C2801">
        <w:rPr>
          <w:rFonts w:ascii="Arial" w:hAnsi="Arial" w:cs="Arial"/>
          <w:sz w:val="21"/>
          <w:szCs w:val="21"/>
        </w:rPr>
        <w:t xml:space="preserve">2. De conformidad con el artículo 33 de la Ley 996 de 2005, en lo referente a: i) la defensa y seguridad del Estado; podría el Municipio y la Policía Nacional suscribir el Convenio Interadministrativo bajo la modalidad de contratación Directa invocando la causal exceptuada, teniendo en consideración que el control operativo de tránsito en el municipio hace parte del servicio público estatal esencial que se debe garantizar para la protección y defensa y seguridad del Estado. </w:t>
      </w:r>
    </w:p>
    <w:p w14:paraId="147FFCB1" w14:textId="77777777" w:rsidR="00D472CC" w:rsidRPr="008C2801" w:rsidRDefault="00D472CC" w:rsidP="00580AA8">
      <w:pPr>
        <w:spacing w:after="0" w:line="240" w:lineRule="auto"/>
        <w:ind w:left="709" w:right="709"/>
        <w:contextualSpacing/>
        <w:jc w:val="both"/>
        <w:rPr>
          <w:rFonts w:ascii="Arial" w:hAnsi="Arial" w:cs="Arial"/>
          <w:sz w:val="21"/>
          <w:szCs w:val="21"/>
        </w:rPr>
      </w:pPr>
    </w:p>
    <w:p w14:paraId="63DC5B4D" w14:textId="77777777" w:rsidR="00D472CC" w:rsidRPr="008C2801" w:rsidRDefault="00D472CC" w:rsidP="00580AA8">
      <w:pPr>
        <w:spacing w:after="0" w:line="240" w:lineRule="auto"/>
        <w:ind w:left="709" w:right="709"/>
        <w:contextualSpacing/>
        <w:jc w:val="both"/>
        <w:rPr>
          <w:rFonts w:ascii="Arial" w:hAnsi="Arial" w:cs="Arial"/>
          <w:sz w:val="21"/>
          <w:szCs w:val="21"/>
        </w:rPr>
      </w:pPr>
      <w:r w:rsidRPr="008C2801">
        <w:rPr>
          <w:rFonts w:ascii="Arial" w:hAnsi="Arial" w:cs="Arial"/>
          <w:sz w:val="21"/>
          <w:szCs w:val="21"/>
        </w:rPr>
        <w:t xml:space="preserve">3. ¿A qué entidades aplica la restricción para celebrar contratos en la modalidad de Convenios Interadministrativos? </w:t>
      </w:r>
    </w:p>
    <w:p w14:paraId="0F5F368E" w14:textId="77777777" w:rsidR="00D472CC" w:rsidRPr="008C2801" w:rsidRDefault="00D472CC" w:rsidP="00580AA8">
      <w:pPr>
        <w:spacing w:after="0" w:line="240" w:lineRule="auto"/>
        <w:ind w:left="709" w:right="709"/>
        <w:contextualSpacing/>
        <w:jc w:val="both"/>
        <w:rPr>
          <w:rFonts w:ascii="Arial" w:hAnsi="Arial" w:cs="Arial"/>
          <w:sz w:val="21"/>
          <w:szCs w:val="21"/>
        </w:rPr>
      </w:pPr>
    </w:p>
    <w:p w14:paraId="699810D4" w14:textId="17A77C7B" w:rsidR="007D009F" w:rsidRPr="008C2801" w:rsidRDefault="00D472CC" w:rsidP="00580AA8">
      <w:pPr>
        <w:spacing w:after="0" w:line="240" w:lineRule="auto"/>
        <w:ind w:left="709" w:right="709"/>
        <w:contextualSpacing/>
        <w:jc w:val="both"/>
        <w:rPr>
          <w:rFonts w:ascii="Arial" w:eastAsia="Times New Roman" w:hAnsi="Arial" w:cs="Arial"/>
          <w:sz w:val="21"/>
          <w:szCs w:val="21"/>
          <w:lang w:eastAsia="es-ES_tradnl"/>
        </w:rPr>
      </w:pPr>
      <w:r w:rsidRPr="008C2801">
        <w:rPr>
          <w:rFonts w:ascii="Arial" w:hAnsi="Arial" w:cs="Arial"/>
          <w:sz w:val="21"/>
          <w:szCs w:val="21"/>
        </w:rPr>
        <w:t>4. ¿Conforme a la ley de presupuesto (Ley 2159 de 2021) en su artículo 124, es posible celebrar convenios interadministrativos con la Policía Nacional estando en vigencia la ley de garantías?</w:t>
      </w:r>
      <w:r w:rsidR="007D009F" w:rsidRPr="008C2801">
        <w:rPr>
          <w:rFonts w:ascii="Arial" w:eastAsia="Times New Roman" w:hAnsi="Arial" w:cs="Arial"/>
          <w:sz w:val="21"/>
          <w:szCs w:val="21"/>
          <w:lang w:eastAsia="es-ES_tradnl"/>
        </w:rPr>
        <w:t>».</w:t>
      </w:r>
    </w:p>
    <w:p w14:paraId="09CA8DE1" w14:textId="77777777" w:rsidR="007D009F" w:rsidRPr="008C2801" w:rsidRDefault="007D009F" w:rsidP="00D472CC">
      <w:pPr>
        <w:spacing w:after="0" w:line="240" w:lineRule="auto"/>
        <w:ind w:left="709" w:right="709"/>
        <w:contextualSpacing/>
        <w:jc w:val="both"/>
        <w:rPr>
          <w:rFonts w:ascii="Arial" w:eastAsia="Times New Roman" w:hAnsi="Arial" w:cs="Arial"/>
          <w:lang w:eastAsia="es-ES_tradnl"/>
        </w:rPr>
      </w:pPr>
    </w:p>
    <w:p w14:paraId="3AB1A3B1" w14:textId="77777777" w:rsidR="007D009F" w:rsidRPr="008C2801" w:rsidRDefault="007D009F" w:rsidP="00C84DD5">
      <w:pPr>
        <w:numPr>
          <w:ilvl w:val="0"/>
          <w:numId w:val="1"/>
        </w:numPr>
        <w:tabs>
          <w:tab w:val="left" w:pos="0"/>
          <w:tab w:val="left" w:pos="284"/>
        </w:tabs>
        <w:spacing w:after="0" w:line="240" w:lineRule="auto"/>
        <w:ind w:left="360"/>
        <w:contextualSpacing/>
        <w:jc w:val="both"/>
        <w:rPr>
          <w:rFonts w:ascii="Arial" w:eastAsia="Calibri" w:hAnsi="Arial" w:cs="Arial"/>
          <w:b/>
          <w:lang w:val="es-ES_tradnl"/>
        </w:rPr>
      </w:pPr>
      <w:r w:rsidRPr="008C2801">
        <w:rPr>
          <w:rFonts w:ascii="Arial" w:eastAsia="Calibri" w:hAnsi="Arial" w:cs="Arial"/>
          <w:b/>
          <w:lang w:val="es-ES_tradnl"/>
        </w:rPr>
        <w:t>Consideraciones</w:t>
      </w:r>
    </w:p>
    <w:p w14:paraId="4BE1848F" w14:textId="77777777" w:rsidR="007D009F" w:rsidRPr="008C2801" w:rsidRDefault="007D009F" w:rsidP="007D009F">
      <w:pPr>
        <w:tabs>
          <w:tab w:val="left" w:pos="0"/>
          <w:tab w:val="left" w:pos="284"/>
        </w:tabs>
        <w:spacing w:after="0" w:line="240" w:lineRule="auto"/>
        <w:contextualSpacing/>
        <w:jc w:val="both"/>
        <w:rPr>
          <w:rFonts w:ascii="Arial" w:eastAsia="Calibri" w:hAnsi="Arial" w:cs="Arial"/>
          <w:b/>
          <w:lang w:val="es-ES_tradnl"/>
        </w:rPr>
      </w:pPr>
    </w:p>
    <w:p w14:paraId="25A731D3" w14:textId="73495A42" w:rsidR="007D009F" w:rsidRPr="008C2801" w:rsidRDefault="007D009F" w:rsidP="00E372EF">
      <w:pPr>
        <w:spacing w:after="120" w:line="276" w:lineRule="auto"/>
        <w:jc w:val="both"/>
        <w:rPr>
          <w:rFonts w:ascii="Arial" w:eastAsia="Calibri" w:hAnsi="Arial" w:cs="Arial"/>
          <w:szCs w:val="24"/>
          <w:lang w:eastAsia="es-ES_tradnl"/>
        </w:rPr>
      </w:pPr>
      <w:r w:rsidRPr="008C2801">
        <w:rPr>
          <w:rFonts w:ascii="Arial" w:eastAsia="Calibri" w:hAnsi="Arial" w:cs="Arial"/>
          <w:szCs w:val="24"/>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8C2801">
        <w:rPr>
          <w:rFonts w:ascii="Arial" w:eastAsia="Calibri" w:hAnsi="Arial" w:cs="Arial"/>
          <w:szCs w:val="24"/>
          <w:vertAlign w:val="superscript"/>
          <w:lang w:eastAsia="es-ES_tradnl"/>
        </w:rPr>
        <w:footnoteReference w:id="1"/>
      </w:r>
      <w:r w:rsidRPr="008C2801">
        <w:rPr>
          <w:rFonts w:ascii="Arial" w:eastAsia="Calibri" w:hAnsi="Arial" w:cs="Arial"/>
          <w:szCs w:val="24"/>
          <w:lang w:eastAsia="es-ES_tradnl"/>
        </w:rPr>
        <w:t xml:space="preserve">.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w:t>
      </w:r>
      <w:r w:rsidR="007D1ECA" w:rsidRPr="008C2801">
        <w:rPr>
          <w:rFonts w:ascii="Arial" w:eastAsia="Calibri" w:hAnsi="Arial" w:cs="Arial"/>
          <w:szCs w:val="24"/>
          <w:lang w:eastAsia="es-ES_tradnl"/>
        </w:rPr>
        <w:t xml:space="preserve">la Agencia Nacional de Contratación Pública - </w:t>
      </w:r>
      <w:r w:rsidRPr="008C2801">
        <w:rPr>
          <w:rFonts w:ascii="Arial" w:eastAsia="Calibri" w:hAnsi="Arial" w:cs="Arial"/>
          <w:szCs w:val="24"/>
          <w:lang w:eastAsia="es-ES_tradnl"/>
        </w:rPr>
        <w:t>Colombia Compra Eficiente como una autoridad para solucionar problemas jurídicos particulares de todos los partícipes de la contratación estatal.</w:t>
      </w:r>
    </w:p>
    <w:p w14:paraId="1A2F3742" w14:textId="77777777" w:rsidR="007D009F" w:rsidRPr="008C2801" w:rsidRDefault="007D009F" w:rsidP="00E372EF">
      <w:pPr>
        <w:spacing w:before="120" w:after="120" w:line="276" w:lineRule="auto"/>
        <w:ind w:firstLine="708"/>
        <w:jc w:val="both"/>
        <w:rPr>
          <w:rFonts w:ascii="Arial" w:eastAsia="Calibri" w:hAnsi="Arial" w:cs="Arial"/>
          <w:szCs w:val="24"/>
          <w:lang w:eastAsia="es-ES_tradnl"/>
        </w:rPr>
      </w:pPr>
      <w:r w:rsidRPr="008C2801">
        <w:rPr>
          <w:rFonts w:ascii="Arial" w:eastAsia="Calibri" w:hAnsi="Arial" w:cs="Arial"/>
          <w:szCs w:val="24"/>
          <w:lang w:eastAsia="es-ES_tradnl"/>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3CD796E7" w14:textId="77777777" w:rsidR="00810B50" w:rsidRPr="008C2801" w:rsidRDefault="007D009F" w:rsidP="00810B50">
      <w:pPr>
        <w:spacing w:before="120" w:after="120" w:line="276" w:lineRule="auto"/>
        <w:ind w:firstLine="709"/>
        <w:jc w:val="both"/>
        <w:rPr>
          <w:rFonts w:ascii="Arial" w:eastAsia="Calibri" w:hAnsi="Arial" w:cs="Arial"/>
          <w:szCs w:val="24"/>
          <w:lang w:eastAsia="es-ES_tradnl"/>
        </w:rPr>
      </w:pPr>
      <w:r w:rsidRPr="008C2801">
        <w:rPr>
          <w:rFonts w:ascii="Arial" w:eastAsia="Calibri" w:hAnsi="Arial" w:cs="Arial"/>
          <w:bCs/>
          <w:szCs w:val="24"/>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19C7DDAC" w14:textId="40E218A0" w:rsidR="0053795A" w:rsidRPr="008C2801" w:rsidRDefault="0053795A" w:rsidP="00810B50">
      <w:pPr>
        <w:spacing w:before="120" w:after="120" w:line="276" w:lineRule="auto"/>
        <w:ind w:firstLine="709"/>
        <w:jc w:val="both"/>
        <w:rPr>
          <w:rFonts w:ascii="Arial" w:eastAsia="Calibri" w:hAnsi="Arial" w:cs="Arial"/>
          <w:szCs w:val="24"/>
          <w:lang w:eastAsia="es-ES_tradnl"/>
        </w:rPr>
      </w:pPr>
      <w:r w:rsidRPr="008C2801">
        <w:rPr>
          <w:rFonts w:ascii="Arial" w:eastAsia="Calibri" w:hAnsi="Arial" w:cs="Arial"/>
          <w:lang w:val="es-ES_tradnl"/>
        </w:rPr>
        <w:t xml:space="preserve">En atención a lo anterior, </w:t>
      </w:r>
      <w:r w:rsidRPr="008C2801">
        <w:rPr>
          <w:rFonts w:ascii="Arial" w:eastAsia="Calibri" w:hAnsi="Arial" w:cs="Arial"/>
          <w:lang w:val="es-ES"/>
        </w:rPr>
        <w:t>la Subdirección</w:t>
      </w:r>
      <w:r w:rsidRPr="008C2801">
        <w:rPr>
          <w:rFonts w:ascii="Arial" w:eastAsia="Calibri" w:hAnsi="Arial" w:cs="Arial"/>
          <w:lang w:val="es-ES_tradnl"/>
        </w:rPr>
        <w:t xml:space="preserve"> responderá su consulta dentro de los límites de su competencia, previo análisis de los siguientes temas:</w:t>
      </w:r>
      <w:r w:rsidR="00810B50" w:rsidRPr="008C2801">
        <w:rPr>
          <w:rFonts w:ascii="Arial" w:eastAsia="Calibri" w:hAnsi="Arial" w:cs="Arial"/>
        </w:rPr>
        <w:t xml:space="preserve"> i) </w:t>
      </w:r>
      <w:r w:rsidR="00810B50" w:rsidRPr="00CC5457">
        <w:rPr>
          <w:rFonts w:ascii="Arial" w:eastAsia="Calibri" w:hAnsi="Arial" w:cs="Arial"/>
        </w:rPr>
        <w:t>Definición y finalidad de la Ley de Garantías Electorales</w:t>
      </w:r>
      <w:r w:rsidR="00810B50" w:rsidRPr="008C2801">
        <w:rPr>
          <w:rFonts w:ascii="Arial" w:eastAsia="Calibri" w:hAnsi="Arial" w:cs="Arial"/>
        </w:rPr>
        <w:t xml:space="preserve">; </w:t>
      </w:r>
      <w:proofErr w:type="spellStart"/>
      <w:r w:rsidR="00810B50" w:rsidRPr="008C2801">
        <w:rPr>
          <w:rFonts w:ascii="Arial" w:eastAsia="Calibri" w:hAnsi="Arial" w:cs="Arial"/>
        </w:rPr>
        <w:t>ii</w:t>
      </w:r>
      <w:proofErr w:type="spellEnd"/>
      <w:r w:rsidR="00810B50" w:rsidRPr="008C2801">
        <w:rPr>
          <w:rFonts w:ascii="Arial" w:eastAsia="Calibri" w:hAnsi="Arial" w:cs="Arial"/>
        </w:rPr>
        <w:t xml:space="preserve">) </w:t>
      </w:r>
      <w:r w:rsidR="00810B50" w:rsidRPr="008C2801">
        <w:rPr>
          <w:rFonts w:ascii="Arial" w:eastAsia="Times New Roman" w:hAnsi="Arial" w:cs="Arial"/>
          <w:lang w:val="es-ES" w:eastAsia="es-CO"/>
        </w:rPr>
        <w:t>R</w:t>
      </w:r>
      <w:r w:rsidR="00810B50" w:rsidRPr="00CC5457">
        <w:rPr>
          <w:rFonts w:ascii="Arial" w:hAnsi="Arial" w:cs="Arial"/>
          <w:lang w:val="es-MX" w:eastAsia="es-CO"/>
        </w:rPr>
        <w:t xml:space="preserve">estricciones en elecciones presidenciales: </w:t>
      </w:r>
      <w:r w:rsidR="00810B50" w:rsidRPr="00CC5457">
        <w:rPr>
          <w:rFonts w:ascii="Arial" w:hAnsi="Arial" w:cs="Arial"/>
          <w:lang w:val="es-ES_tradnl" w:eastAsia="es-CO"/>
        </w:rPr>
        <w:t>prohibición del artículo 33 de la Ley 996 de 2005</w:t>
      </w:r>
      <w:r w:rsidR="00810B50" w:rsidRPr="008C2801">
        <w:rPr>
          <w:rFonts w:ascii="Arial" w:hAnsi="Arial" w:cs="Arial"/>
          <w:lang w:val="es-ES_tradnl" w:eastAsia="es-CO"/>
        </w:rPr>
        <w:t xml:space="preserve">; </w:t>
      </w:r>
      <w:proofErr w:type="spellStart"/>
      <w:r w:rsidR="00810B50" w:rsidRPr="008C2801">
        <w:rPr>
          <w:rFonts w:ascii="Arial" w:hAnsi="Arial" w:cs="Arial"/>
          <w:lang w:val="es-ES_tradnl" w:eastAsia="es-CO"/>
        </w:rPr>
        <w:t>iii</w:t>
      </w:r>
      <w:proofErr w:type="spellEnd"/>
      <w:r w:rsidR="00810B50" w:rsidRPr="008C2801">
        <w:rPr>
          <w:rFonts w:ascii="Arial" w:hAnsi="Arial" w:cs="Arial"/>
          <w:lang w:val="es-ES_tradnl" w:eastAsia="es-CO"/>
        </w:rPr>
        <w:t xml:space="preserve">) </w:t>
      </w:r>
      <w:r w:rsidR="00810B50" w:rsidRPr="008C2801">
        <w:rPr>
          <w:rFonts w:ascii="Arial" w:hAnsi="Arial" w:cs="Arial"/>
          <w:lang w:val="es-MX" w:eastAsia="es-CO"/>
        </w:rPr>
        <w:t>excepciones</w:t>
      </w:r>
      <w:r w:rsidR="00810B50" w:rsidRPr="00CC5457">
        <w:rPr>
          <w:rFonts w:ascii="Arial" w:hAnsi="Arial" w:cs="Arial"/>
          <w:lang w:val="es-MX" w:eastAsia="es-CO"/>
        </w:rPr>
        <w:t xml:space="preserve"> a la </w:t>
      </w:r>
      <w:r w:rsidR="00810B50" w:rsidRPr="00CC5457">
        <w:rPr>
          <w:rFonts w:ascii="Arial" w:hAnsi="Arial" w:cs="Arial"/>
          <w:lang w:val="es-ES_tradnl" w:eastAsia="es-CO"/>
        </w:rPr>
        <w:t>prohibición del artículo 33 de la Ley 996 de 2005</w:t>
      </w:r>
      <w:r w:rsidR="00810B50" w:rsidRPr="008C2801">
        <w:rPr>
          <w:rFonts w:ascii="Arial" w:eastAsia="Times New Roman" w:hAnsi="Arial" w:cs="Arial"/>
          <w:lang w:val="es-ES" w:eastAsia="es-CO"/>
        </w:rPr>
        <w:t xml:space="preserve">; </w:t>
      </w:r>
      <w:proofErr w:type="spellStart"/>
      <w:r w:rsidR="00810B50" w:rsidRPr="008C2801">
        <w:rPr>
          <w:rFonts w:ascii="Arial" w:eastAsia="Times New Roman" w:hAnsi="Arial" w:cs="Arial"/>
          <w:lang w:val="es-ES" w:eastAsia="es-CO"/>
        </w:rPr>
        <w:t>iv</w:t>
      </w:r>
      <w:proofErr w:type="spellEnd"/>
      <w:r w:rsidR="00810B50" w:rsidRPr="008C2801">
        <w:rPr>
          <w:rFonts w:ascii="Arial" w:eastAsia="Times New Roman" w:hAnsi="Arial" w:cs="Arial"/>
          <w:lang w:val="es-ES" w:eastAsia="es-CO"/>
        </w:rPr>
        <w:t xml:space="preserve">) </w:t>
      </w:r>
      <w:r w:rsidR="00810B50" w:rsidRPr="008C2801">
        <w:rPr>
          <w:rFonts w:ascii="Arial" w:eastAsia="Times New Roman" w:hAnsi="Arial" w:cs="Arial"/>
          <w:lang w:val="es-MX" w:eastAsia="x-none"/>
        </w:rPr>
        <w:t>destinatarios</w:t>
      </w:r>
      <w:r w:rsidR="00810B50" w:rsidRPr="00CC5457">
        <w:rPr>
          <w:rFonts w:ascii="Arial" w:eastAsia="Times New Roman" w:hAnsi="Arial" w:cs="Arial"/>
          <w:lang w:val="es-MX" w:eastAsia="x-none"/>
        </w:rPr>
        <w:t xml:space="preserve"> de la restricción del artículo 33 de la Ley 996 de 2005</w:t>
      </w:r>
      <w:r w:rsidR="00810B50" w:rsidRPr="008C2801">
        <w:rPr>
          <w:rFonts w:ascii="Arial" w:eastAsia="Times New Roman" w:hAnsi="Arial" w:cs="Arial"/>
          <w:lang w:val="es-MX" w:eastAsia="x-none"/>
        </w:rPr>
        <w:t>; v) r</w:t>
      </w:r>
      <w:r w:rsidR="00810B50" w:rsidRPr="008C2801">
        <w:rPr>
          <w:rFonts w:ascii="Arial" w:hAnsi="Arial" w:cs="Arial"/>
          <w:lang w:eastAsia="es-CO"/>
        </w:rPr>
        <w:t xml:space="preserve">estricciones para la celebración de contratos y convenios interadministrativos en los comicios para cargos de elección popular: vi) </w:t>
      </w:r>
      <w:r w:rsidR="00810B50" w:rsidRPr="008C2801">
        <w:rPr>
          <w:rFonts w:ascii="Arial" w:eastAsia="Calibri" w:hAnsi="Arial" w:cs="Arial"/>
          <w:color w:val="000000" w:themeColor="text1"/>
          <w:lang w:val="es-ES_tradnl"/>
        </w:rPr>
        <w:t xml:space="preserve">carencia actual de objeto, por sustracción de materia, en virtud de la declaratoria de </w:t>
      </w:r>
      <w:proofErr w:type="spellStart"/>
      <w:r w:rsidR="00810B50" w:rsidRPr="008C2801">
        <w:rPr>
          <w:rFonts w:ascii="Arial" w:eastAsia="Calibri" w:hAnsi="Arial" w:cs="Arial"/>
          <w:color w:val="000000" w:themeColor="text1"/>
          <w:lang w:val="es-ES_tradnl"/>
        </w:rPr>
        <w:t>inexequibilidad</w:t>
      </w:r>
      <w:proofErr w:type="spellEnd"/>
      <w:r w:rsidR="00810B50" w:rsidRPr="008C2801">
        <w:rPr>
          <w:rFonts w:ascii="Arial" w:eastAsia="Calibri" w:hAnsi="Arial" w:cs="Arial"/>
          <w:color w:val="000000" w:themeColor="text1"/>
          <w:lang w:val="es-ES_tradnl"/>
        </w:rPr>
        <w:t xml:space="preserve"> del artículo 124 de la Ley 2159 de 2021. </w:t>
      </w:r>
    </w:p>
    <w:p w14:paraId="41FF8B94" w14:textId="7ABD42D1" w:rsidR="007D009F" w:rsidRPr="008C2801" w:rsidRDefault="007D009F" w:rsidP="00E372EF">
      <w:pPr>
        <w:spacing w:after="0" w:line="276" w:lineRule="auto"/>
        <w:ind w:firstLine="708"/>
        <w:jc w:val="both"/>
        <w:rPr>
          <w:rFonts w:ascii="Arial" w:eastAsia="Calibri" w:hAnsi="Arial" w:cs="Arial"/>
          <w:lang w:val="es-MX"/>
        </w:rPr>
      </w:pPr>
      <w:r w:rsidRPr="008C2801">
        <w:rPr>
          <w:rFonts w:ascii="Arial" w:eastAsia="Calibri" w:hAnsi="Arial" w:cs="Arial"/>
          <w:lang w:val="es-MX"/>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w:t>
      </w:r>
      <w:r w:rsidRPr="008C2801">
        <w:rPr>
          <w:rFonts w:ascii="Arial" w:eastAsia="Calibri" w:hAnsi="Arial" w:cs="Arial"/>
          <w:lang w:val="es-MX"/>
        </w:rPr>
        <w:lastRenderedPageBreak/>
        <w:t>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C-693 del 9 de diciembre de 2021, C-695 del 22 de diciembre de 2021, C-726 del 24 de enero de 2022, C-736 del 31 de enero de 2022, C-116 del 18 de febrero de 2022, C-115 del 22 de marzo de 2022, C-145 del 28 de marzo de 2022, C-147 del 4 de abril de 2022, C-151 del 5 de abril de 2022 y C-157 del 11 de abril de 2022</w:t>
      </w:r>
      <w:r w:rsidR="00015EE6" w:rsidRPr="008C2801">
        <w:rPr>
          <w:rFonts w:ascii="Arial" w:eastAsia="Calibri" w:hAnsi="Arial" w:cs="Arial"/>
          <w:lang w:val="es-MX"/>
        </w:rPr>
        <w:t>, entre otros</w:t>
      </w:r>
      <w:r w:rsidR="00015EE6" w:rsidRPr="008C2801">
        <w:rPr>
          <w:rStyle w:val="Refdenotaalpie"/>
          <w:rFonts w:ascii="Arial" w:eastAsia="Calibri" w:hAnsi="Arial" w:cs="Arial"/>
          <w:lang w:val="es-MX"/>
        </w:rPr>
        <w:footnoteReference w:id="2"/>
      </w:r>
      <w:r w:rsidRPr="008C2801">
        <w:rPr>
          <w:rFonts w:ascii="Arial" w:eastAsia="Calibri" w:hAnsi="Arial" w:cs="Arial"/>
          <w:lang w:val="es-MX"/>
        </w:rPr>
        <w:t>. La tesis desarrollada en estos conceptos se reitera y complementa a continuación</w:t>
      </w:r>
      <w:r w:rsidR="00AD0D56">
        <w:rPr>
          <w:rFonts w:ascii="Arial" w:eastAsia="Calibri" w:hAnsi="Arial" w:cs="Arial"/>
          <w:lang w:val="es-MX"/>
        </w:rPr>
        <w:t>.</w:t>
      </w:r>
    </w:p>
    <w:p w14:paraId="2485FAD7" w14:textId="77777777" w:rsidR="00CC5457" w:rsidRPr="00CC5457" w:rsidRDefault="00CC5457" w:rsidP="00CC5457">
      <w:pPr>
        <w:spacing w:after="0" w:line="276" w:lineRule="auto"/>
        <w:ind w:firstLine="709"/>
        <w:contextualSpacing/>
        <w:jc w:val="both"/>
        <w:rPr>
          <w:rFonts w:ascii="Arial" w:eastAsia="Calibri" w:hAnsi="Arial" w:cs="Arial"/>
        </w:rPr>
      </w:pPr>
    </w:p>
    <w:p w14:paraId="42F4C932" w14:textId="77777777" w:rsidR="00CC5457" w:rsidRPr="00CC5457" w:rsidRDefault="00CC5457" w:rsidP="00CC5457">
      <w:pPr>
        <w:tabs>
          <w:tab w:val="left" w:pos="426"/>
        </w:tabs>
        <w:spacing w:after="0" w:line="276" w:lineRule="auto"/>
        <w:contextualSpacing/>
        <w:jc w:val="both"/>
        <w:rPr>
          <w:rFonts w:ascii="Arial" w:eastAsia="Calibri" w:hAnsi="Arial" w:cs="Arial"/>
          <w:b/>
          <w:bCs/>
        </w:rPr>
      </w:pPr>
      <w:r w:rsidRPr="00CC5457">
        <w:rPr>
          <w:rFonts w:ascii="Arial" w:eastAsia="Calibri" w:hAnsi="Arial" w:cs="Arial"/>
          <w:b/>
          <w:bCs/>
        </w:rPr>
        <w:t>2.1. Definición y finalidad de la Ley de Garantías Electorales</w:t>
      </w:r>
    </w:p>
    <w:p w14:paraId="43D75AC1" w14:textId="77777777" w:rsidR="00CC5457" w:rsidRPr="00CC5457" w:rsidRDefault="00CC5457" w:rsidP="00CC5457">
      <w:pPr>
        <w:tabs>
          <w:tab w:val="left" w:pos="426"/>
        </w:tabs>
        <w:spacing w:after="0" w:line="276" w:lineRule="auto"/>
        <w:contextualSpacing/>
        <w:jc w:val="both"/>
        <w:rPr>
          <w:rFonts w:ascii="Arial" w:eastAsia="Calibri" w:hAnsi="Arial" w:cs="Arial"/>
          <w:bCs/>
        </w:rPr>
      </w:pPr>
    </w:p>
    <w:p w14:paraId="37C184EA" w14:textId="77777777" w:rsidR="00CC5457" w:rsidRPr="00CC5457" w:rsidRDefault="00CC5457" w:rsidP="0000604F">
      <w:pPr>
        <w:tabs>
          <w:tab w:val="left" w:pos="426"/>
        </w:tabs>
        <w:spacing w:after="120" w:line="276" w:lineRule="auto"/>
        <w:jc w:val="both"/>
        <w:rPr>
          <w:rFonts w:ascii="Arial" w:eastAsia="Times New Roman" w:hAnsi="Arial" w:cs="Arial"/>
          <w:bCs/>
          <w:lang w:eastAsia="es-CO"/>
        </w:rPr>
      </w:pPr>
      <w:r w:rsidRPr="00CC5457">
        <w:rPr>
          <w:rFonts w:ascii="Arial" w:eastAsia="Calibri" w:hAnsi="Arial" w:cs="Arial"/>
          <w:bCs/>
        </w:rPr>
        <w:t>El ordenamiento jurídico colombiano contempla previsiones claras para evitar la obtención de beneficios personales en asuntos propios de la administración pública</w:t>
      </w:r>
      <w:r w:rsidRPr="00CC5457">
        <w:rPr>
          <w:rFonts w:ascii="Arial" w:eastAsia="Calibri" w:hAnsi="Arial" w:cs="Arial"/>
          <w:bCs/>
          <w:i/>
          <w:iCs/>
        </w:rPr>
        <w:t xml:space="preserve">. </w:t>
      </w:r>
      <w:r w:rsidRPr="00CC5457">
        <w:rPr>
          <w:rFonts w:ascii="Arial" w:eastAsia="Calibri" w:hAnsi="Arial"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CC5457">
        <w:rPr>
          <w:rFonts w:ascii="Arial" w:eastAsia="Calibri" w:hAnsi="Arial" w:cs="Arial"/>
          <w:bCs/>
          <w:vertAlign w:val="superscript"/>
        </w:rPr>
        <w:footnoteReference w:id="3"/>
      </w:r>
      <w:r w:rsidRPr="00CC5457">
        <w:rPr>
          <w:rFonts w:ascii="Arial" w:eastAsia="Calibri" w:hAnsi="Arial" w:cs="Arial"/>
          <w:bCs/>
        </w:rPr>
        <w:t xml:space="preserve">. </w:t>
      </w:r>
    </w:p>
    <w:p w14:paraId="1614E6F1" w14:textId="77777777" w:rsidR="00CC5457" w:rsidRPr="00CC5457" w:rsidRDefault="00CC5457" w:rsidP="0000604F">
      <w:pPr>
        <w:tabs>
          <w:tab w:val="left" w:pos="426"/>
        </w:tabs>
        <w:spacing w:after="0" w:line="276" w:lineRule="auto"/>
        <w:ind w:firstLine="709"/>
        <w:contextualSpacing/>
        <w:jc w:val="both"/>
        <w:rPr>
          <w:rFonts w:ascii="Arial" w:eastAsia="Times New Roman" w:hAnsi="Arial" w:cs="Arial"/>
          <w:bCs/>
          <w:lang w:val="es-MX" w:eastAsia="es-CO"/>
        </w:rPr>
      </w:pPr>
      <w:r w:rsidRPr="00CC5457">
        <w:rPr>
          <w:rFonts w:ascii="Arial" w:eastAsia="Times New Roman" w:hAnsi="Arial" w:cs="Arial"/>
          <w:bCs/>
          <w:lang w:eastAsia="es-CO"/>
        </w:rPr>
        <w:t>En el mismo sentido</w:t>
      </w:r>
      <w:r w:rsidRPr="00CC5457">
        <w:rPr>
          <w:rFonts w:ascii="Arial" w:eastAsia="Times New Roman" w:hAnsi="Arial" w:cs="Arial"/>
          <w:bCs/>
          <w:lang w:val="es-MX" w:eastAsia="es-CO"/>
        </w:rPr>
        <w:t xml:space="preserve">, </w:t>
      </w:r>
      <w:bookmarkStart w:id="2" w:name="_Hlk104456666"/>
      <w:r w:rsidRPr="00CC5457">
        <w:rPr>
          <w:rFonts w:ascii="Arial" w:eastAsia="Times New Roman" w:hAnsi="Arial" w:cs="Arial"/>
          <w:bCs/>
          <w:lang w:val="es-MX" w:eastAsia="es-CO"/>
        </w:rPr>
        <w:t xml:space="preserve">la Ley 996 de 2005, conocida como «Ley de Garantías Electorales», se suma al andamiaje de orden constitucional y legal que se ha ocupado de evitar la injerencia inadecuada de intereses particulares en el ejercicio de la función pública. </w:t>
      </w:r>
      <w:r w:rsidRPr="00CC5457">
        <w:rPr>
          <w:rFonts w:ascii="Arial" w:eastAsia="Times New Roman" w:hAnsi="Arial" w:cs="Arial"/>
          <w:bCs/>
          <w:lang w:val="es-MX" w:eastAsia="es-CO"/>
        </w:rPr>
        <w:lastRenderedPageBreak/>
        <w:t>Esta ley tiene como propósito evitar cualquier tipo de arbitrariedad, de ventaja injustificada, de uso irregular de los recursos del Estado en las campañas o falta de garantías en la elección presidencial</w:t>
      </w:r>
      <w:r w:rsidRPr="00CC5457">
        <w:rPr>
          <w:rFonts w:ascii="Arial" w:eastAsia="Times New Roman" w:hAnsi="Arial" w:cs="Arial"/>
          <w:bCs/>
          <w:vertAlign w:val="superscript"/>
          <w:lang w:val="es-MX" w:eastAsia="es-CO"/>
        </w:rPr>
        <w:footnoteReference w:id="4"/>
      </w:r>
      <w:r w:rsidRPr="00CC5457">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bookmarkEnd w:id="2"/>
      <w:r w:rsidRPr="00CC5457">
        <w:rPr>
          <w:rFonts w:ascii="Arial" w:eastAsia="Calibri" w:hAnsi="Arial" w:cs="Arial"/>
          <w:noProof/>
          <w:lang w:val="es-ES_tradnl"/>
        </w:rPr>
        <w:t xml:space="preserve"> </w:t>
      </w:r>
      <w:r w:rsidRPr="00CC5457">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3AEC6E8A" w14:textId="77777777" w:rsidR="00CC5457" w:rsidRPr="00CC5457" w:rsidRDefault="00CC5457" w:rsidP="0000604F">
      <w:pPr>
        <w:spacing w:after="0" w:line="276" w:lineRule="auto"/>
        <w:ind w:right="709"/>
        <w:contextualSpacing/>
        <w:jc w:val="both"/>
        <w:rPr>
          <w:rFonts w:ascii="Arial" w:eastAsia="Times New Roman" w:hAnsi="Arial" w:cs="Arial"/>
          <w:sz w:val="21"/>
          <w:szCs w:val="21"/>
          <w:lang w:val="es-ES" w:eastAsia="es-CO"/>
        </w:rPr>
      </w:pPr>
    </w:p>
    <w:p w14:paraId="1B596672" w14:textId="3F91FF51" w:rsidR="00CC5457" w:rsidRPr="008C2801" w:rsidRDefault="00CC5457" w:rsidP="0000604F">
      <w:pPr>
        <w:spacing w:after="0" w:line="240" w:lineRule="auto"/>
        <w:ind w:left="709" w:right="709"/>
        <w:contextualSpacing/>
        <w:jc w:val="both"/>
        <w:rPr>
          <w:rFonts w:ascii="Arial" w:eastAsia="Times New Roman" w:hAnsi="Arial" w:cs="Arial"/>
          <w:bCs/>
          <w:sz w:val="21"/>
          <w:szCs w:val="21"/>
          <w:lang w:val="es-MX" w:eastAsia="es-CO"/>
        </w:rPr>
      </w:pPr>
      <w:r w:rsidRPr="00CC5457">
        <w:rPr>
          <w:rFonts w:ascii="Arial" w:eastAsia="Times New Roman" w:hAnsi="Arial" w:cs="Arial"/>
          <w:sz w:val="21"/>
          <w:szCs w:val="21"/>
          <w:lang w:val="es-ES" w:eastAsia="es-CO"/>
        </w:rPr>
        <w:t xml:space="preserve">[…] </w:t>
      </w:r>
      <w:r w:rsidRPr="00CC5457">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5EFC994B" w14:textId="77777777" w:rsidR="0000604F" w:rsidRPr="00CC5457" w:rsidRDefault="0000604F" w:rsidP="0000604F">
      <w:pPr>
        <w:spacing w:after="0" w:line="240" w:lineRule="auto"/>
        <w:ind w:left="709" w:right="709"/>
        <w:contextualSpacing/>
        <w:jc w:val="both"/>
        <w:rPr>
          <w:rFonts w:ascii="Arial" w:eastAsia="Times New Roman" w:hAnsi="Arial" w:cs="Arial"/>
          <w:bCs/>
          <w:sz w:val="21"/>
          <w:szCs w:val="21"/>
          <w:lang w:val="es-MX" w:eastAsia="es-CO"/>
        </w:rPr>
      </w:pPr>
    </w:p>
    <w:p w14:paraId="4FBBF3BD" w14:textId="77777777" w:rsidR="00CC5457" w:rsidRPr="00CC5457" w:rsidRDefault="00CC5457" w:rsidP="0000604F">
      <w:pPr>
        <w:spacing w:after="0" w:line="240" w:lineRule="auto"/>
        <w:ind w:left="709" w:right="709"/>
        <w:contextualSpacing/>
        <w:jc w:val="both"/>
        <w:rPr>
          <w:rFonts w:ascii="Arial" w:eastAsia="Times New Roman" w:hAnsi="Arial" w:cs="Arial"/>
          <w:bCs/>
          <w:sz w:val="21"/>
          <w:szCs w:val="21"/>
          <w:lang w:val="es-MX" w:eastAsia="es-CO"/>
        </w:rPr>
      </w:pPr>
      <w:r w:rsidRPr="00CC5457">
        <w:rPr>
          <w:rFonts w:ascii="Arial" w:eastAsia="Times New Roman" w:hAnsi="Arial" w:cs="Arial"/>
          <w:bCs/>
          <w:sz w:val="21"/>
          <w:szCs w:val="21"/>
          <w:lang w:val="es-MX" w:eastAsia="es-CO"/>
        </w:rPr>
        <w:t xml:space="preserve">[…] </w:t>
      </w:r>
    </w:p>
    <w:p w14:paraId="43A81E6F" w14:textId="77777777" w:rsidR="0000604F" w:rsidRPr="008C2801" w:rsidRDefault="0000604F" w:rsidP="0000604F">
      <w:pPr>
        <w:spacing w:after="0" w:line="240" w:lineRule="auto"/>
        <w:ind w:left="709" w:right="709"/>
        <w:contextualSpacing/>
        <w:jc w:val="both"/>
        <w:rPr>
          <w:rFonts w:ascii="Arial" w:eastAsia="Times New Roman" w:hAnsi="Arial" w:cs="Arial"/>
          <w:bCs/>
          <w:sz w:val="21"/>
          <w:szCs w:val="21"/>
          <w:lang w:val="es-MX" w:eastAsia="es-CO"/>
        </w:rPr>
      </w:pPr>
    </w:p>
    <w:p w14:paraId="788268B5" w14:textId="1B91CE68" w:rsidR="00CC5457" w:rsidRPr="00CC5457" w:rsidRDefault="00CC5457" w:rsidP="0000604F">
      <w:pPr>
        <w:spacing w:after="0" w:line="240" w:lineRule="auto"/>
        <w:ind w:left="709" w:right="709"/>
        <w:contextualSpacing/>
        <w:jc w:val="both"/>
        <w:rPr>
          <w:rFonts w:ascii="Arial" w:eastAsia="Times New Roman" w:hAnsi="Arial" w:cs="Arial"/>
          <w:bCs/>
          <w:sz w:val="21"/>
          <w:szCs w:val="21"/>
          <w:lang w:val="es-MX" w:eastAsia="es-CO"/>
        </w:rPr>
      </w:pPr>
      <w:r w:rsidRPr="00CC5457">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C5457">
        <w:rPr>
          <w:rFonts w:ascii="Arial" w:eastAsia="Calibri" w:hAnsi="Arial" w:cs="Arial"/>
          <w:sz w:val="21"/>
          <w:szCs w:val="21"/>
          <w:vertAlign w:val="superscript"/>
          <w:lang w:val="es-MX"/>
        </w:rPr>
        <w:footnoteReference w:id="5"/>
      </w:r>
      <w:r w:rsidRPr="00CC5457">
        <w:rPr>
          <w:rFonts w:ascii="Arial" w:eastAsia="Times New Roman" w:hAnsi="Arial" w:cs="Arial"/>
          <w:bCs/>
          <w:sz w:val="21"/>
          <w:szCs w:val="21"/>
          <w:lang w:val="es-MX" w:eastAsia="es-CO"/>
        </w:rPr>
        <w:t xml:space="preserve"> </w:t>
      </w:r>
      <w:r w:rsidRPr="00CC5457">
        <w:rPr>
          <w:rFonts w:ascii="Arial" w:eastAsia="Times New Roman" w:hAnsi="Arial" w:cs="Arial"/>
          <w:bCs/>
          <w:sz w:val="21"/>
          <w:szCs w:val="21"/>
          <w:vertAlign w:val="superscript"/>
          <w:lang w:val="es-MX" w:eastAsia="es-CO"/>
        </w:rPr>
        <w:footnoteReference w:id="6"/>
      </w:r>
    </w:p>
    <w:p w14:paraId="3DF7D9CC" w14:textId="77777777" w:rsidR="00CC5457" w:rsidRPr="00CC5457" w:rsidRDefault="00CC5457" w:rsidP="00CC5457">
      <w:pPr>
        <w:spacing w:after="0" w:line="276" w:lineRule="auto"/>
        <w:ind w:left="709" w:right="709"/>
        <w:contextualSpacing/>
        <w:jc w:val="both"/>
        <w:rPr>
          <w:rFonts w:ascii="Arial" w:eastAsia="Times New Roman" w:hAnsi="Arial" w:cs="Arial"/>
          <w:bCs/>
          <w:sz w:val="21"/>
          <w:szCs w:val="21"/>
          <w:lang w:val="es-MX" w:eastAsia="es-CO"/>
        </w:rPr>
      </w:pPr>
    </w:p>
    <w:p w14:paraId="686B2C44" w14:textId="77777777" w:rsidR="00CC5457" w:rsidRPr="00CC5457" w:rsidRDefault="00CC5457" w:rsidP="00780F37">
      <w:pPr>
        <w:spacing w:after="0" w:line="276" w:lineRule="auto"/>
        <w:ind w:firstLine="709"/>
        <w:contextualSpacing/>
        <w:jc w:val="both"/>
        <w:rPr>
          <w:rFonts w:ascii="Arial" w:eastAsia="Times New Roman" w:hAnsi="Arial" w:cs="Arial"/>
          <w:bCs/>
          <w:lang w:val="es-MX" w:eastAsia="es-CO"/>
        </w:rPr>
      </w:pPr>
      <w:r w:rsidRPr="00CC5457">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incluyendo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w:t>
      </w:r>
      <w:r w:rsidRPr="00CC5457">
        <w:rPr>
          <w:rFonts w:ascii="Arial" w:eastAsia="Times New Roman" w:hAnsi="Arial" w:cs="Arial"/>
          <w:bCs/>
          <w:lang w:val="es-MX" w:eastAsia="es-CO"/>
        </w:rPr>
        <w:lastRenderedPageBreak/>
        <w:t>sino que deben interpretarse restrictivamente. En efecto, la Sala de Consulta y Servicio Civil del Consejo de Estado al analizar la referida ley, precisó lo siguiente:</w:t>
      </w:r>
    </w:p>
    <w:p w14:paraId="728E1FA4" w14:textId="77777777" w:rsidR="00CC5457" w:rsidRPr="00EB1BB4" w:rsidRDefault="00CC5457" w:rsidP="00780F37">
      <w:pPr>
        <w:spacing w:after="0" w:line="276" w:lineRule="auto"/>
        <w:ind w:firstLine="709"/>
        <w:contextualSpacing/>
        <w:jc w:val="both"/>
        <w:rPr>
          <w:rFonts w:ascii="Arial" w:eastAsia="Times New Roman" w:hAnsi="Arial" w:cs="Arial"/>
          <w:bCs/>
          <w:sz w:val="16"/>
          <w:szCs w:val="16"/>
          <w:lang w:val="es-MX" w:eastAsia="es-CO"/>
        </w:rPr>
      </w:pPr>
    </w:p>
    <w:p w14:paraId="5160C8D8" w14:textId="77777777" w:rsidR="00CC5457" w:rsidRPr="00CC5457" w:rsidRDefault="00CC5457" w:rsidP="00552D4B">
      <w:pPr>
        <w:spacing w:after="0" w:line="240" w:lineRule="auto"/>
        <w:ind w:left="709" w:right="709"/>
        <w:contextualSpacing/>
        <w:jc w:val="both"/>
        <w:rPr>
          <w:rFonts w:ascii="Arial" w:eastAsia="Times New Roman" w:hAnsi="Arial" w:cs="Arial"/>
          <w:bCs/>
          <w:sz w:val="21"/>
          <w:szCs w:val="21"/>
          <w:lang w:val="es-MX" w:eastAsia="es-CO"/>
        </w:rPr>
      </w:pPr>
      <w:r w:rsidRPr="00CC5457">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CC5457">
        <w:rPr>
          <w:rFonts w:ascii="Arial" w:eastAsia="Times New Roman" w:hAnsi="Arial" w:cs="Arial"/>
          <w:bCs/>
          <w:sz w:val="21"/>
          <w:szCs w:val="21"/>
          <w:lang w:val="es-MX" w:eastAsia="es-CO"/>
        </w:rPr>
        <w:t>legis</w:t>
      </w:r>
      <w:proofErr w:type="spellEnd"/>
      <w:r w:rsidRPr="00CC5457">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905E076" w14:textId="77777777" w:rsidR="00CC5457" w:rsidRPr="00CC5457" w:rsidRDefault="00CC5457" w:rsidP="00552D4B">
      <w:pPr>
        <w:spacing w:after="0" w:line="240" w:lineRule="auto"/>
        <w:ind w:left="709" w:right="709"/>
        <w:contextualSpacing/>
        <w:jc w:val="both"/>
        <w:rPr>
          <w:rFonts w:ascii="Arial" w:eastAsia="Times New Roman" w:hAnsi="Arial" w:cs="Arial"/>
          <w:bCs/>
          <w:sz w:val="21"/>
          <w:szCs w:val="21"/>
          <w:lang w:val="es-MX" w:eastAsia="es-CO"/>
        </w:rPr>
      </w:pPr>
      <w:r w:rsidRPr="00CC5457">
        <w:rPr>
          <w:rFonts w:ascii="Arial" w:eastAsia="Times New Roman" w:hAnsi="Arial" w:cs="Arial"/>
          <w:bCs/>
          <w:sz w:val="21"/>
          <w:szCs w:val="21"/>
          <w:lang w:val="es-MX" w:eastAsia="es-CO"/>
        </w:rPr>
        <w:t>La jurisprudencia de la Corte Constitucional</w:t>
      </w:r>
      <w:r w:rsidRPr="00CC5457">
        <w:rPr>
          <w:rFonts w:ascii="Arial" w:eastAsia="Times New Roman" w:hAnsi="Arial" w:cs="Arial"/>
          <w:bCs/>
          <w:sz w:val="21"/>
          <w:szCs w:val="21"/>
          <w:vertAlign w:val="superscript"/>
          <w:lang w:val="es-MX" w:eastAsia="es-CO"/>
        </w:rPr>
        <w:footnoteReference w:id="7"/>
      </w:r>
      <w:r w:rsidRPr="00CC5457">
        <w:rPr>
          <w:rFonts w:ascii="Arial" w:eastAsia="Times New Roman" w:hAnsi="Arial" w:cs="Arial"/>
          <w:bCs/>
          <w:sz w:val="21"/>
          <w:szCs w:val="21"/>
          <w:lang w:val="es-MX" w:eastAsia="es-CO"/>
        </w:rPr>
        <w:t> y del Consejo de Estado</w:t>
      </w:r>
      <w:r w:rsidRPr="00CC5457">
        <w:rPr>
          <w:rFonts w:ascii="Arial" w:eastAsia="Times New Roman" w:hAnsi="Arial" w:cs="Arial"/>
          <w:bCs/>
          <w:sz w:val="21"/>
          <w:szCs w:val="21"/>
          <w:vertAlign w:val="superscript"/>
          <w:lang w:val="es-MX" w:eastAsia="es-CO"/>
        </w:rPr>
        <w:footnoteReference w:id="8"/>
      </w:r>
      <w:r w:rsidRPr="00CC5457">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C5457">
        <w:rPr>
          <w:rFonts w:ascii="Arial" w:eastAsia="Times New Roman" w:hAnsi="Arial" w:cs="Arial"/>
          <w:bCs/>
          <w:sz w:val="21"/>
          <w:szCs w:val="21"/>
          <w:vertAlign w:val="superscript"/>
          <w:lang w:val="es-MX" w:eastAsia="es-CO"/>
        </w:rPr>
        <w:footnoteReference w:id="9"/>
      </w:r>
      <w:r w:rsidRPr="00CC5457">
        <w:rPr>
          <w:rFonts w:ascii="Arial" w:eastAsia="Times New Roman" w:hAnsi="Arial" w:cs="Arial"/>
          <w:bCs/>
          <w:sz w:val="21"/>
          <w:szCs w:val="21"/>
          <w:lang w:val="es-MX" w:eastAsia="es-CO"/>
        </w:rPr>
        <w:t>.</w:t>
      </w:r>
    </w:p>
    <w:p w14:paraId="4180C81D" w14:textId="77777777" w:rsidR="00CC5457" w:rsidRPr="00EB1BB4" w:rsidRDefault="00CC5457" w:rsidP="00CC5457">
      <w:pPr>
        <w:spacing w:after="0" w:line="276" w:lineRule="auto"/>
        <w:ind w:right="709"/>
        <w:contextualSpacing/>
        <w:jc w:val="both"/>
        <w:rPr>
          <w:rFonts w:ascii="Arial" w:eastAsia="Times New Roman" w:hAnsi="Arial" w:cs="Arial"/>
          <w:bCs/>
          <w:sz w:val="18"/>
          <w:szCs w:val="18"/>
          <w:lang w:val="es-MX" w:eastAsia="es-CO"/>
        </w:rPr>
      </w:pPr>
    </w:p>
    <w:p w14:paraId="0489D1B0" w14:textId="5AAAF00B" w:rsidR="00CC5457" w:rsidRPr="00CC5457" w:rsidRDefault="00CC5457" w:rsidP="00594D9E">
      <w:pPr>
        <w:spacing w:after="120" w:line="276" w:lineRule="auto"/>
        <w:jc w:val="both"/>
        <w:rPr>
          <w:rFonts w:ascii="Arial" w:eastAsia="Arial" w:hAnsi="Arial" w:cs="Arial"/>
          <w:lang w:val="es-ES" w:eastAsia="es-ES" w:bidi="es-ES"/>
        </w:rPr>
      </w:pPr>
      <w:r w:rsidRPr="00CC5457">
        <w:rPr>
          <w:rFonts w:ascii="Arial" w:eastAsia="Times New Roman" w:hAnsi="Arial" w:cs="Arial"/>
          <w:bCs/>
          <w:lang w:val="es-MX" w:eastAsia="es-CO"/>
        </w:rPr>
        <w:tab/>
      </w:r>
      <w:bookmarkStart w:id="3" w:name="_Hlk98859730"/>
      <w:bookmarkStart w:id="4" w:name="_Hlk104456681"/>
      <w:r w:rsidRPr="00CC5457">
        <w:rPr>
          <w:rFonts w:ascii="Arial" w:eastAsia="Times New Roman" w:hAnsi="Arial" w:cs="Arial"/>
          <w:bCs/>
          <w:lang w:val="es-MX" w:eastAsia="es-CO"/>
        </w:rPr>
        <w:t>De</w:t>
      </w:r>
      <w:r w:rsidRPr="00CC5457">
        <w:rPr>
          <w:rFonts w:ascii="Arial" w:eastAsia="Arial" w:hAnsi="Arial" w:cs="Arial"/>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w:t>
      </w:r>
      <w:r w:rsidR="002B500A" w:rsidRPr="008C2801">
        <w:rPr>
          <w:rFonts w:ascii="Arial" w:eastAsia="Arial" w:hAnsi="Arial" w:cs="Arial"/>
          <w:lang w:val="es-ES" w:eastAsia="es-ES" w:bidi="es-ES"/>
        </w:rPr>
        <w:t>n</w:t>
      </w:r>
      <w:r w:rsidRPr="00CC5457">
        <w:rPr>
          <w:rFonts w:ascii="Arial" w:eastAsia="Arial" w:hAnsi="Arial" w:cs="Arial"/>
          <w:lang w:val="es-ES" w:eastAsia="es-ES" w:bidi="es-ES"/>
        </w:rPr>
        <w:t xml:space="preserv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63DF58D" w14:textId="77777777" w:rsidR="00CC5457" w:rsidRPr="00CC5457" w:rsidRDefault="00CC5457" w:rsidP="00594D9E">
      <w:pPr>
        <w:spacing w:after="120" w:line="276" w:lineRule="auto"/>
        <w:ind w:firstLine="708"/>
        <w:jc w:val="both"/>
        <w:rPr>
          <w:rFonts w:ascii="Arial" w:eastAsia="Calibri" w:hAnsi="Arial" w:cs="Arial"/>
        </w:rPr>
      </w:pPr>
      <w:r w:rsidRPr="00CC5457">
        <w:rPr>
          <w:rFonts w:ascii="Arial" w:eastAsia="Calibri" w:hAnsi="Arial" w:cs="Arial"/>
        </w:rPr>
        <w:t xml:space="preserve">Por un lado, el artículo 33 de la Ley 996 de 2005 prohíbe </w:t>
      </w:r>
      <w:r w:rsidRPr="00CC5457">
        <w:rPr>
          <w:rFonts w:ascii="Arial" w:eastAsia="Calibri" w:hAnsi="Arial" w:cs="Arial"/>
          <w:bCs/>
        </w:rPr>
        <w:t xml:space="preserve">«[…] </w:t>
      </w:r>
      <w:r w:rsidRPr="00CC5457">
        <w:rPr>
          <w:rFonts w:ascii="Arial" w:eastAsia="Calibri" w:hAnsi="Arial" w:cs="Arial"/>
        </w:rPr>
        <w:t>la contratación directa por parte de todos los entes del Estado</w:t>
      </w:r>
      <w:r w:rsidRPr="00CC5457">
        <w:rPr>
          <w:rFonts w:ascii="Arial" w:eastAsia="Calibri" w:hAnsi="Arial" w:cs="Arial"/>
          <w:bCs/>
        </w:rPr>
        <w:t>»</w:t>
      </w:r>
      <w:r w:rsidRPr="00CC5457">
        <w:rPr>
          <w:rFonts w:ascii="Arial" w:eastAsia="Calibri" w:hAnsi="Arial" w:cs="Arial"/>
        </w:rPr>
        <w:t xml:space="preserve"> durante los cuatro (4) meses anteriores a las </w:t>
      </w:r>
      <w:r w:rsidRPr="00CC5457">
        <w:rPr>
          <w:rFonts w:ascii="Arial" w:eastAsia="Calibri" w:hAnsi="Arial" w:cs="Arial"/>
        </w:rPr>
        <w:lastRenderedPageBreak/>
        <w:t xml:space="preserve">elecciones presidenciales, salvo </w:t>
      </w:r>
      <w:r w:rsidRPr="00CC5457">
        <w:rPr>
          <w:rFonts w:ascii="Arial" w:eastAsia="Calibri" w:hAnsi="Arial" w:cs="Arial"/>
          <w:bCs/>
        </w:rPr>
        <w:t xml:space="preserve">«[…] </w:t>
      </w:r>
      <w:r w:rsidRPr="00CC5457">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C5457">
        <w:rPr>
          <w:rFonts w:ascii="Arial" w:eastAsia="Calibri" w:hAnsi="Arial" w:cs="Arial"/>
          <w:bCs/>
        </w:rPr>
        <w:t>»</w:t>
      </w:r>
      <w:bookmarkEnd w:id="3"/>
      <w:r w:rsidRPr="00CC5457">
        <w:rPr>
          <w:rFonts w:ascii="Arial" w:eastAsia="Calibri" w:hAnsi="Arial" w:cs="Arial"/>
          <w:bCs/>
          <w:vertAlign w:val="superscript"/>
        </w:rPr>
        <w:footnoteReference w:id="10"/>
      </w:r>
      <w:r w:rsidRPr="00CC5457">
        <w:rPr>
          <w:rFonts w:ascii="Arial" w:eastAsia="Calibri" w:hAnsi="Arial" w:cs="Arial"/>
        </w:rPr>
        <w:t>.</w:t>
      </w:r>
    </w:p>
    <w:p w14:paraId="52BFA5D4" w14:textId="77777777" w:rsidR="00594D9E" w:rsidRPr="008C2801" w:rsidRDefault="00CC5457" w:rsidP="00594D9E">
      <w:pPr>
        <w:widowControl w:val="0"/>
        <w:autoSpaceDE w:val="0"/>
        <w:autoSpaceDN w:val="0"/>
        <w:spacing w:after="120" w:line="276" w:lineRule="auto"/>
        <w:ind w:right="113" w:firstLine="708"/>
        <w:jc w:val="both"/>
        <w:rPr>
          <w:rFonts w:ascii="Arial" w:eastAsia="Arial" w:hAnsi="Arial" w:cs="Arial"/>
          <w:lang w:val="es-ES" w:eastAsia="es-ES" w:bidi="es-ES"/>
        </w:rPr>
      </w:pPr>
      <w:r w:rsidRPr="00CC5457">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C5457">
        <w:rPr>
          <w:rFonts w:ascii="Arial" w:eastAsia="Calibri" w:hAnsi="Arial" w:cs="Arial"/>
          <w:bCs/>
        </w:rPr>
        <w:t xml:space="preserve">«[…] </w:t>
      </w:r>
      <w:r w:rsidRPr="00CC5457">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C5457">
        <w:rPr>
          <w:rFonts w:ascii="Arial" w:eastAsia="Calibri" w:hAnsi="Arial" w:cs="Arial"/>
          <w:bCs/>
        </w:rPr>
        <w:t>»</w:t>
      </w:r>
      <w:bookmarkEnd w:id="4"/>
      <w:r w:rsidRPr="00CC5457">
        <w:rPr>
          <w:rFonts w:ascii="Arial" w:eastAsia="Calibri" w:hAnsi="Arial" w:cs="Arial"/>
          <w:bCs/>
          <w:vertAlign w:val="superscript"/>
        </w:rPr>
        <w:footnoteReference w:id="11"/>
      </w:r>
      <w:r w:rsidRPr="00CC5457">
        <w:rPr>
          <w:rFonts w:ascii="Arial" w:eastAsia="Calibri" w:hAnsi="Arial" w:cs="Arial"/>
          <w:lang w:val="es-MX"/>
        </w:rPr>
        <w:t>.</w:t>
      </w:r>
      <w:r w:rsidRPr="00CC5457">
        <w:rPr>
          <w:rFonts w:ascii="Arial" w:eastAsia="Arial" w:hAnsi="Arial" w:cs="Arial"/>
          <w:lang w:val="es-ES" w:eastAsia="es-ES" w:bidi="es-ES"/>
        </w:rPr>
        <w:t xml:space="preserve"> </w:t>
      </w:r>
    </w:p>
    <w:p w14:paraId="0201E6F0" w14:textId="73F680FF" w:rsidR="00CC5457" w:rsidRPr="00CC5457" w:rsidRDefault="00CC5457" w:rsidP="00594D9E">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CC5457">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1E0527F5" w14:textId="77777777" w:rsidR="00CC5457" w:rsidRPr="00CC5457" w:rsidRDefault="00CC5457" w:rsidP="00CC5457">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46DAA046" w14:textId="77777777" w:rsidR="00CC5457" w:rsidRPr="00CC5457" w:rsidRDefault="00CC5457" w:rsidP="00CC5457">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CC5457">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w:t>
      </w:r>
      <w:r w:rsidRPr="00CC5457">
        <w:rPr>
          <w:rFonts w:ascii="Arial" w:eastAsia="Arial" w:hAnsi="Arial" w:cs="Arial"/>
          <w:sz w:val="21"/>
          <w:szCs w:val="21"/>
          <w:lang w:val="es-ES" w:eastAsia="es-ES" w:bidi="es-ES"/>
        </w:rPr>
        <w:lastRenderedPageBreak/>
        <w:t xml:space="preserve">República-; de manera que dichas restricciones no se excluyen sino que </w:t>
      </w:r>
      <w:bookmarkStart w:id="6" w:name="_Hlk76109421"/>
      <w:r w:rsidRPr="00CC5457">
        <w:rPr>
          <w:rFonts w:ascii="Arial" w:eastAsia="Arial" w:hAnsi="Arial" w:cs="Arial"/>
          <w:sz w:val="21"/>
          <w:szCs w:val="21"/>
          <w:lang w:val="es-ES" w:eastAsia="es-ES" w:bidi="es-ES"/>
        </w:rPr>
        <w:t>se integran parcialmente</w:t>
      </w:r>
      <w:bookmarkEnd w:id="6"/>
      <w:r w:rsidRPr="00CC5457">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C5457">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CC5457">
        <w:rPr>
          <w:rFonts w:ascii="Arial" w:eastAsia="Arial" w:hAnsi="Arial" w:cs="Arial"/>
          <w:sz w:val="21"/>
          <w:szCs w:val="21"/>
          <w:lang w:val="es-ES" w:eastAsia="es-ES" w:bidi="es-ES"/>
        </w:rPr>
        <w:t>.</w:t>
      </w:r>
      <w:r w:rsidRPr="00CC5457">
        <w:rPr>
          <w:rFonts w:ascii="Arial" w:eastAsia="Arial" w:hAnsi="Arial" w:cs="Arial"/>
          <w:sz w:val="21"/>
          <w:szCs w:val="21"/>
          <w:vertAlign w:val="superscript"/>
          <w:lang w:val="es-ES" w:eastAsia="es-ES" w:bidi="es-ES"/>
        </w:rPr>
        <w:footnoteReference w:id="12"/>
      </w:r>
    </w:p>
    <w:p w14:paraId="4C4365BC" w14:textId="77777777" w:rsidR="00CC5457" w:rsidRPr="00CC5457" w:rsidRDefault="00CC5457" w:rsidP="00CC5457">
      <w:pPr>
        <w:widowControl w:val="0"/>
        <w:autoSpaceDE w:val="0"/>
        <w:autoSpaceDN w:val="0"/>
        <w:spacing w:after="0" w:line="276" w:lineRule="auto"/>
        <w:contextualSpacing/>
        <w:rPr>
          <w:rFonts w:ascii="Arial" w:eastAsia="Arial" w:hAnsi="Arial" w:cs="Arial"/>
          <w:lang w:val="es-ES" w:eastAsia="es-ES" w:bidi="es-ES"/>
        </w:rPr>
      </w:pPr>
    </w:p>
    <w:p w14:paraId="50A2C200" w14:textId="77777777" w:rsidR="00CC5457" w:rsidRPr="00CC5457" w:rsidRDefault="00CC5457" w:rsidP="00CC5457">
      <w:pPr>
        <w:spacing w:after="120" w:line="276" w:lineRule="auto"/>
        <w:ind w:firstLine="709"/>
        <w:jc w:val="both"/>
        <w:rPr>
          <w:rFonts w:ascii="Arial" w:eastAsia="Arial" w:hAnsi="Arial" w:cs="Arial"/>
          <w:lang w:val="es-ES" w:eastAsia="es-ES" w:bidi="es-ES"/>
        </w:rPr>
      </w:pPr>
      <w:r w:rsidRPr="00CC5457">
        <w:rPr>
          <w:rFonts w:ascii="Arial" w:eastAsia="Arial" w:hAnsi="Arial" w:cs="Arial"/>
          <w:lang w:val="es-ES" w:eastAsia="es-ES" w:bidi="es-ES"/>
        </w:rPr>
        <w:t xml:space="preserve">De lo anterior se desprende que </w:t>
      </w:r>
      <w:bookmarkStart w:id="7" w:name="_Hlk75780333"/>
      <w:r w:rsidRPr="00CC5457">
        <w:rPr>
          <w:rFonts w:ascii="Arial" w:eastAsia="Arial" w:hAnsi="Arial" w:cs="Arial"/>
          <w:lang w:val="es-ES" w:eastAsia="es-ES" w:bidi="es-ES"/>
        </w:rPr>
        <w:t xml:space="preserve">la Ley 996 de 2005 establece dos (2) tipos de restricciones en materia de contratación, las cuales coinciden parcialmente. </w:t>
      </w:r>
      <w:r w:rsidRPr="00CC5457">
        <w:rPr>
          <w:rFonts w:ascii="Arial" w:eastAsia="Arial" w:hAnsi="Arial" w:cs="Arial"/>
          <w:i/>
          <w:iCs/>
          <w:lang w:val="es-ES" w:eastAsia="es-ES" w:bidi="es-ES"/>
        </w:rPr>
        <w:t>En primer lugar</w:t>
      </w:r>
      <w:r w:rsidRPr="00CC5457">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C5457">
        <w:rPr>
          <w:rFonts w:ascii="Arial" w:eastAsia="Arial" w:hAnsi="Arial" w:cs="Arial"/>
          <w:i/>
          <w:iCs/>
          <w:lang w:val="es-ES" w:eastAsia="es-ES" w:bidi="es-ES"/>
        </w:rPr>
        <w:t>En segundo lugar</w:t>
      </w:r>
      <w:r w:rsidRPr="00CC5457">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0EF958A3" w14:textId="77777777" w:rsidR="00CC5457" w:rsidRPr="00CC5457" w:rsidRDefault="00CC5457" w:rsidP="00CC5457">
      <w:pPr>
        <w:spacing w:after="120" w:line="276" w:lineRule="auto"/>
        <w:ind w:firstLine="709"/>
        <w:jc w:val="both"/>
        <w:rPr>
          <w:rFonts w:ascii="Arial" w:eastAsia="Arial" w:hAnsi="Arial" w:cs="Arial"/>
          <w:lang w:val="es-ES" w:eastAsia="es-ES" w:bidi="es-ES"/>
        </w:rPr>
      </w:pPr>
      <w:r w:rsidRPr="00CC5457">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7"/>
    <w:p w14:paraId="0ECA2881" w14:textId="0A8CA27C" w:rsidR="00CC5457" w:rsidRPr="00CC5457" w:rsidRDefault="00CC5457" w:rsidP="00716450">
      <w:pPr>
        <w:spacing w:after="0" w:line="276" w:lineRule="auto"/>
        <w:ind w:firstLine="709"/>
        <w:contextualSpacing/>
        <w:jc w:val="both"/>
        <w:rPr>
          <w:rFonts w:ascii="Arial" w:eastAsia="Arial" w:hAnsi="Arial" w:cs="Arial"/>
          <w:lang w:val="es-ES" w:eastAsia="es-ES" w:bidi="es-ES"/>
        </w:rPr>
      </w:pPr>
      <w:r w:rsidRPr="00CC5457">
        <w:rPr>
          <w:rFonts w:ascii="Arial" w:eastAsia="Arial" w:hAnsi="Arial" w:cs="Arial"/>
          <w:lang w:val="es-ES"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w:t>
      </w:r>
      <w:r w:rsidR="00B82B64" w:rsidRPr="008C2801">
        <w:rPr>
          <w:rFonts w:ascii="Arial" w:eastAsia="Arial" w:hAnsi="Arial" w:cs="Arial"/>
          <w:lang w:val="es-ES" w:eastAsia="es-ES" w:bidi="es-ES"/>
        </w:rPr>
        <w:t xml:space="preserve"> (6)</w:t>
      </w:r>
      <w:r w:rsidRPr="00CC5457">
        <w:rPr>
          <w:rFonts w:ascii="Arial" w:eastAsia="Arial" w:hAnsi="Arial" w:cs="Arial"/>
          <w:lang w:val="es-ES" w:eastAsia="es-ES" w:bidi="es-ES"/>
        </w:rPr>
        <w:t xml:space="preserve">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w:t>
      </w:r>
      <w:r w:rsidRPr="00CC5457">
        <w:rPr>
          <w:rFonts w:ascii="Arial" w:eastAsia="Arial" w:hAnsi="Arial" w:cs="Arial"/>
          <w:lang w:val="es-ES" w:eastAsia="es-ES" w:bidi="es-ES"/>
        </w:rPr>
        <w:lastRenderedPageBreak/>
        <w:t xml:space="preserve">ejercido la presidencia o que la haya ejercido por un tiempo inferior a tres (3) meses durante el respectivo cuatrienio, en forma continua o discontinua, conforme al artículo 197 de la Constitución Política.  </w:t>
      </w:r>
    </w:p>
    <w:p w14:paraId="7C8094AE" w14:textId="77777777" w:rsidR="00CC5457" w:rsidRPr="00CC5457" w:rsidRDefault="00CC5457" w:rsidP="00CC5457">
      <w:pPr>
        <w:spacing w:after="0" w:line="276" w:lineRule="auto"/>
        <w:contextualSpacing/>
        <w:jc w:val="both"/>
        <w:rPr>
          <w:rFonts w:ascii="Arial" w:eastAsia="Times New Roman" w:hAnsi="Arial" w:cs="Arial"/>
          <w:bCs/>
          <w:lang w:val="es-ES" w:eastAsia="es-CO"/>
        </w:rPr>
      </w:pPr>
    </w:p>
    <w:p w14:paraId="6BD4E3C6" w14:textId="1F4B81BB" w:rsidR="00CC5457" w:rsidRPr="00CC5457" w:rsidRDefault="00CC5457" w:rsidP="00CC5457">
      <w:pPr>
        <w:spacing w:after="0" w:line="276" w:lineRule="auto"/>
        <w:contextualSpacing/>
        <w:jc w:val="both"/>
        <w:rPr>
          <w:rFonts w:ascii="Arial" w:eastAsia="Times New Roman" w:hAnsi="Arial" w:cs="Arial"/>
          <w:b/>
          <w:lang w:val="es-ES" w:eastAsia="es-CO"/>
        </w:rPr>
      </w:pPr>
      <w:r w:rsidRPr="00CC5457">
        <w:rPr>
          <w:rFonts w:ascii="Arial" w:eastAsia="Times New Roman" w:hAnsi="Arial" w:cs="Arial"/>
          <w:b/>
          <w:lang w:val="es-ES" w:eastAsia="es-CO"/>
        </w:rPr>
        <w:t xml:space="preserve">2.2. </w:t>
      </w:r>
      <w:r w:rsidRPr="00CC5457">
        <w:rPr>
          <w:rFonts w:ascii="Arial" w:hAnsi="Arial" w:cs="Arial"/>
          <w:b/>
          <w:bCs/>
          <w:lang w:val="es-MX" w:eastAsia="es-CO"/>
        </w:rPr>
        <w:t xml:space="preserve">Restricciones en elecciones presidenciales: </w:t>
      </w:r>
      <w:r w:rsidR="00D231A1" w:rsidRPr="008C2801">
        <w:rPr>
          <w:rFonts w:ascii="Arial" w:hAnsi="Arial" w:cs="Arial"/>
          <w:b/>
          <w:bCs/>
          <w:lang w:val="es-ES_tradnl" w:eastAsia="es-CO"/>
        </w:rPr>
        <w:t xml:space="preserve">Prohibición </w:t>
      </w:r>
      <w:r w:rsidRPr="00CC5457">
        <w:rPr>
          <w:rFonts w:ascii="Arial" w:hAnsi="Arial" w:cs="Arial"/>
          <w:b/>
          <w:bCs/>
          <w:lang w:val="es-ES_tradnl" w:eastAsia="es-CO"/>
        </w:rPr>
        <w:t>del artículo 33 de la Ley 996 de 2005</w:t>
      </w:r>
    </w:p>
    <w:p w14:paraId="613319D7" w14:textId="77777777" w:rsidR="00CC5457" w:rsidRPr="00EB1BB4" w:rsidRDefault="00CC5457" w:rsidP="00CC5457">
      <w:pPr>
        <w:spacing w:after="0" w:line="276" w:lineRule="auto"/>
        <w:contextualSpacing/>
        <w:jc w:val="both"/>
        <w:rPr>
          <w:rFonts w:ascii="Arial" w:eastAsia="Times New Roman" w:hAnsi="Arial" w:cs="Arial"/>
          <w:bCs/>
          <w:sz w:val="16"/>
          <w:szCs w:val="16"/>
          <w:lang w:val="es-MX" w:eastAsia="x-none"/>
        </w:rPr>
      </w:pPr>
    </w:p>
    <w:p w14:paraId="00733124" w14:textId="77777777" w:rsidR="00CC5457" w:rsidRPr="00CC5457" w:rsidRDefault="00CC5457" w:rsidP="00CC5457">
      <w:pPr>
        <w:spacing w:after="0" w:line="276" w:lineRule="auto"/>
        <w:contextualSpacing/>
        <w:jc w:val="both"/>
        <w:rPr>
          <w:rFonts w:ascii="Arial" w:eastAsia="Times New Roman" w:hAnsi="Arial" w:cs="Arial"/>
          <w:bCs/>
          <w:lang w:val="es-MX" w:eastAsia="es-CO"/>
        </w:rPr>
      </w:pPr>
      <w:r w:rsidRPr="00CC5457">
        <w:rPr>
          <w:rFonts w:ascii="Arial" w:eastAsia="Times New Roman" w:hAnsi="Arial" w:cs="Arial"/>
          <w:bCs/>
          <w:lang w:val="es-MX" w:eastAsia="x-none"/>
        </w:rPr>
        <w:t xml:space="preserve">El ámbito material de la prohibición contenida en el artículo 33 de la Ley 996 de 2005 está delimitado por la expresión </w:t>
      </w:r>
      <w:r w:rsidRPr="00CC5457">
        <w:rPr>
          <w:rFonts w:ascii="Arial" w:eastAsia="Calibri" w:hAnsi="Arial" w:cs="Arial"/>
          <w:bCs/>
          <w:lang w:val="es-MX"/>
        </w:rPr>
        <w:t>«</w:t>
      </w:r>
      <w:r w:rsidRPr="00CC5457">
        <w:rPr>
          <w:rFonts w:ascii="Arial" w:eastAsia="Times New Roman" w:hAnsi="Arial" w:cs="Arial"/>
          <w:bCs/>
          <w:lang w:val="es-MX" w:eastAsia="x-none"/>
        </w:rPr>
        <w:t>queda prohibida la contratación directa</w:t>
      </w:r>
      <w:r w:rsidRPr="00CC5457">
        <w:rPr>
          <w:rFonts w:ascii="Arial" w:eastAsia="Calibri" w:hAnsi="Arial" w:cs="Arial"/>
          <w:lang w:val="es-MX"/>
        </w:rPr>
        <w:t>»</w:t>
      </w:r>
      <w:r w:rsidRPr="00CC5457">
        <w:rPr>
          <w:rFonts w:ascii="Arial" w:eastAsia="Times New Roman" w:hAnsi="Arial" w:cs="Arial"/>
          <w:bCs/>
          <w:lang w:val="es-MX" w:eastAsia="x-none"/>
        </w:rPr>
        <w:t>.</w:t>
      </w:r>
      <w:r w:rsidRPr="00CC5457">
        <w:rPr>
          <w:rFonts w:ascii="Arial" w:eastAsia="Times New Roman" w:hAnsi="Arial" w:cs="Arial"/>
          <w:lang w:val="es-MX" w:eastAsia="es-CO"/>
        </w:rPr>
        <w:t xml:space="preserve"> A propósito de </w:t>
      </w:r>
      <w:r w:rsidRPr="00CC5457">
        <w:rPr>
          <w:rFonts w:ascii="Arial" w:eastAsia="Times New Roman" w:hAnsi="Arial" w:cs="Arial"/>
          <w:lang w:eastAsia="es-CO"/>
        </w:rPr>
        <w:t>esta restricción de la Ley de Garantías Electorales, la Sala de Consulta y Servicio Civil del Consejo de Estado ha considerado que:</w:t>
      </w:r>
    </w:p>
    <w:p w14:paraId="5E30D1FF" w14:textId="77777777" w:rsidR="00CC5457" w:rsidRPr="00CC5457" w:rsidRDefault="00CC5457" w:rsidP="00CC5457">
      <w:pPr>
        <w:spacing w:after="0" w:line="276" w:lineRule="auto"/>
        <w:ind w:left="708" w:right="709"/>
        <w:contextualSpacing/>
        <w:jc w:val="both"/>
        <w:rPr>
          <w:rFonts w:ascii="Arial" w:eastAsia="Calibri" w:hAnsi="Arial" w:cs="Arial"/>
          <w:sz w:val="21"/>
          <w:szCs w:val="21"/>
          <w:lang w:val="es-MX"/>
        </w:rPr>
      </w:pPr>
    </w:p>
    <w:p w14:paraId="11F50C04" w14:textId="77777777" w:rsidR="00CC5457" w:rsidRPr="00CC5457" w:rsidRDefault="00CC5457" w:rsidP="00CC5457">
      <w:pPr>
        <w:spacing w:after="0" w:line="240" w:lineRule="auto"/>
        <w:ind w:left="709" w:right="709"/>
        <w:contextualSpacing/>
        <w:jc w:val="both"/>
        <w:rPr>
          <w:rFonts w:ascii="Arial" w:eastAsia="Calibri" w:hAnsi="Arial" w:cs="Arial"/>
          <w:sz w:val="21"/>
          <w:szCs w:val="21"/>
          <w:lang w:val="es-MX"/>
        </w:rPr>
      </w:pPr>
      <w:r w:rsidRPr="00CC5457">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CC5457">
        <w:rPr>
          <w:rFonts w:ascii="Arial" w:eastAsia="Times New Roman" w:hAnsi="Arial" w:cs="Arial"/>
          <w:vertAlign w:val="superscript"/>
          <w:lang w:eastAsia="es-CO"/>
        </w:rPr>
        <w:footnoteReference w:id="13"/>
      </w:r>
      <w:r w:rsidRPr="00CC5457">
        <w:rPr>
          <w:rFonts w:ascii="Arial" w:eastAsia="Calibri" w:hAnsi="Arial" w:cs="Arial"/>
          <w:sz w:val="21"/>
          <w:szCs w:val="21"/>
          <w:lang w:val="es-MX"/>
        </w:rPr>
        <w:t>.</w:t>
      </w:r>
    </w:p>
    <w:p w14:paraId="00DAB55F" w14:textId="77777777" w:rsidR="00CC5457" w:rsidRPr="00CC5457" w:rsidRDefault="00CC5457" w:rsidP="00CC5457">
      <w:pPr>
        <w:spacing w:after="0" w:line="240" w:lineRule="auto"/>
        <w:ind w:left="709" w:right="709"/>
        <w:contextualSpacing/>
        <w:jc w:val="both"/>
        <w:rPr>
          <w:rFonts w:ascii="Arial" w:eastAsia="Calibri" w:hAnsi="Arial" w:cs="Arial"/>
          <w:sz w:val="21"/>
          <w:szCs w:val="21"/>
          <w:lang w:val="es-MX"/>
        </w:rPr>
      </w:pPr>
    </w:p>
    <w:p w14:paraId="616CAEAA" w14:textId="77777777" w:rsidR="00CC5457" w:rsidRPr="00CC5457" w:rsidRDefault="00CC5457" w:rsidP="00CC5457">
      <w:pPr>
        <w:spacing w:after="0" w:line="240" w:lineRule="auto"/>
        <w:ind w:left="708" w:right="709"/>
        <w:contextualSpacing/>
        <w:jc w:val="both"/>
        <w:rPr>
          <w:rFonts w:ascii="Arial" w:eastAsia="Calibri" w:hAnsi="Arial" w:cs="Arial"/>
          <w:sz w:val="21"/>
          <w:szCs w:val="21"/>
          <w:lang w:val="es-MX"/>
        </w:rPr>
      </w:pPr>
      <w:r w:rsidRPr="00CC5457">
        <w:rPr>
          <w:rFonts w:ascii="Arial" w:eastAsia="Calibri" w:hAnsi="Arial" w:cs="Arial"/>
          <w:sz w:val="21"/>
          <w:szCs w:val="21"/>
          <w:lang w:val="es-MX"/>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C5457">
        <w:rPr>
          <w:rFonts w:ascii="Arial" w:eastAsia="Times New Roman" w:hAnsi="Arial" w:cs="Arial"/>
          <w:sz w:val="21"/>
          <w:szCs w:val="21"/>
          <w:vertAlign w:val="superscript"/>
          <w:lang w:val="es-MX"/>
        </w:rPr>
        <w:footnoteReference w:id="14"/>
      </w:r>
      <w:r w:rsidRPr="00CC5457">
        <w:rPr>
          <w:rFonts w:ascii="Arial" w:eastAsia="Times New Roman" w:hAnsi="Arial" w:cs="Arial"/>
          <w:sz w:val="21"/>
          <w:szCs w:val="21"/>
          <w:vertAlign w:val="superscript"/>
          <w:lang w:val="es-MX"/>
        </w:rPr>
        <w:t>.</w:t>
      </w:r>
      <w:r w:rsidRPr="00CC5457">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CC5457">
        <w:rPr>
          <w:rFonts w:ascii="Arial" w:eastAsia="Times New Roman" w:hAnsi="Arial" w:cs="Arial"/>
          <w:vertAlign w:val="superscript"/>
          <w:lang w:eastAsia="es-CO"/>
        </w:rPr>
        <w:footnoteReference w:id="15"/>
      </w:r>
      <w:r w:rsidRPr="00CC5457">
        <w:rPr>
          <w:rFonts w:ascii="Arial" w:eastAsia="Calibri" w:hAnsi="Arial" w:cs="Arial"/>
          <w:sz w:val="21"/>
          <w:szCs w:val="21"/>
          <w:lang w:val="es-MX"/>
        </w:rPr>
        <w:t xml:space="preserve"> .</w:t>
      </w:r>
    </w:p>
    <w:p w14:paraId="21758F98" w14:textId="77777777" w:rsidR="00CC5457" w:rsidRPr="00EB1BB4" w:rsidRDefault="00CC5457" w:rsidP="00CC5457">
      <w:pPr>
        <w:shd w:val="clear" w:color="auto" w:fill="FFFFFF"/>
        <w:spacing w:after="0" w:line="276" w:lineRule="auto"/>
        <w:ind w:firstLine="709"/>
        <w:contextualSpacing/>
        <w:jc w:val="both"/>
        <w:rPr>
          <w:rFonts w:ascii="Arial" w:eastAsia="Times New Roman" w:hAnsi="Arial" w:cs="Arial"/>
          <w:color w:val="FF0000"/>
          <w:sz w:val="18"/>
          <w:szCs w:val="18"/>
          <w:lang w:eastAsia="x-none"/>
        </w:rPr>
      </w:pPr>
    </w:p>
    <w:p w14:paraId="3612855F" w14:textId="77777777" w:rsidR="00CC5457" w:rsidRPr="00CC5457" w:rsidRDefault="00CC5457" w:rsidP="00CC5457">
      <w:pPr>
        <w:spacing w:after="120" w:line="276" w:lineRule="auto"/>
        <w:ind w:firstLine="709"/>
        <w:jc w:val="both"/>
        <w:rPr>
          <w:rFonts w:ascii="Arial" w:eastAsia="Times New Roman" w:hAnsi="Arial" w:cs="Arial"/>
          <w:bCs/>
          <w:lang w:eastAsia="x-none"/>
        </w:rPr>
      </w:pPr>
      <w:bookmarkStart w:id="8" w:name="_Hlk94521748"/>
      <w:r w:rsidRPr="00CC5457">
        <w:rPr>
          <w:rFonts w:ascii="Arial" w:eastAsia="Times New Roman" w:hAnsi="Arial" w:cs="Arial"/>
          <w:lang w:eastAsia="x-none"/>
        </w:rPr>
        <w:t xml:space="preserve">De conformidad con el citado concepto, la prohibición del artículo 33 de la Ley de Garantías Electorales se refiere a </w:t>
      </w:r>
      <w:r w:rsidRPr="00CC5457">
        <w:rPr>
          <w:rFonts w:ascii="Arial" w:eastAsia="Times New Roman" w:hAnsi="Arial" w:cs="Arial"/>
          <w:lang w:eastAsia="en-GB"/>
        </w:rPr>
        <w:t>«</w:t>
      </w:r>
      <w:r w:rsidRPr="00CC5457">
        <w:rPr>
          <w:rFonts w:ascii="Arial" w:eastAsia="Times New Roman" w:hAnsi="Arial" w:cs="Arial"/>
          <w:lang w:eastAsia="x-none"/>
        </w:rPr>
        <w:t>cualquier sistema que no implique convocatoria pública y posibilidad de pluralidad de oferentes</w:t>
      </w:r>
      <w:r w:rsidRPr="00CC5457">
        <w:rPr>
          <w:rFonts w:ascii="Arial" w:eastAsia="Times New Roman" w:hAnsi="Arial" w:cs="Arial"/>
          <w:lang w:eastAsia="en-GB"/>
        </w:rPr>
        <w:t>»</w:t>
      </w:r>
      <w:r w:rsidRPr="00CC5457">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8"/>
      <w:r w:rsidRPr="00CC5457">
        <w:rPr>
          <w:rFonts w:ascii="Arial" w:eastAsia="Times New Roman" w:hAnsi="Arial" w:cs="Arial"/>
          <w:lang w:eastAsia="x-none"/>
        </w:rPr>
        <w:t xml:space="preserve">Esta posición </w:t>
      </w:r>
      <w:r w:rsidRPr="00CC5457">
        <w:rPr>
          <w:rFonts w:ascii="Arial" w:eastAsia="Times New Roman" w:hAnsi="Arial" w:cs="Arial"/>
          <w:lang w:eastAsia="x-none"/>
        </w:rPr>
        <w:lastRenderedPageBreak/>
        <w:t>es congruente con la expedición de la Ley 1150 de 2007 que, entre otras reformas, introdujo la selección abreviada, rediseñó el concurso de méritos</w:t>
      </w:r>
      <w:r w:rsidRPr="00CC5457">
        <w:rPr>
          <w:rFonts w:ascii="Arial" w:eastAsia="Times New Roman" w:hAnsi="Arial" w:cs="Arial"/>
          <w:vertAlign w:val="superscript"/>
          <w:lang w:val="en-GB" w:eastAsia="x-none"/>
        </w:rPr>
        <w:footnoteReference w:id="16"/>
      </w:r>
      <w:r w:rsidRPr="00CC5457">
        <w:rPr>
          <w:rFonts w:ascii="Arial" w:eastAsia="Times New Roman" w:hAnsi="Arial" w:cs="Arial"/>
          <w:lang w:eastAsia="x-none"/>
        </w:rPr>
        <w:t xml:space="preserve"> y sistematizó las causales de contratación directa</w:t>
      </w:r>
      <w:r w:rsidRPr="00CC5457">
        <w:rPr>
          <w:rFonts w:ascii="Arial" w:eastAsia="Times New Roman" w:hAnsi="Arial" w:cs="Arial"/>
          <w:vertAlign w:val="superscript"/>
          <w:lang w:val="en-GB" w:eastAsia="x-none"/>
        </w:rPr>
        <w:footnoteReference w:id="17"/>
      </w:r>
      <w:r w:rsidRPr="00CC5457">
        <w:rPr>
          <w:rFonts w:ascii="Arial" w:eastAsia="Times New Roman" w:hAnsi="Arial" w:cs="Arial"/>
          <w:lang w:eastAsia="x-none"/>
        </w:rPr>
        <w:t xml:space="preserve">. </w:t>
      </w:r>
    </w:p>
    <w:p w14:paraId="7F936E77" w14:textId="77777777" w:rsidR="00CC5457" w:rsidRPr="00CC5457" w:rsidRDefault="00CC5457" w:rsidP="00CC5457">
      <w:pPr>
        <w:spacing w:after="120" w:line="276" w:lineRule="auto"/>
        <w:ind w:firstLine="709"/>
        <w:jc w:val="both"/>
        <w:rPr>
          <w:rFonts w:ascii="Arial" w:eastAsia="Times New Roman" w:hAnsi="Arial" w:cs="Arial"/>
          <w:lang w:val="es-MX" w:eastAsia="x-none"/>
        </w:rPr>
      </w:pPr>
      <w:r w:rsidRPr="00CC5457">
        <w:rPr>
          <w:rFonts w:ascii="Arial" w:eastAsia="Times New Roman" w:hAnsi="Arial" w:cs="Arial"/>
          <w:lang w:eastAsia="x-none"/>
        </w:rPr>
        <w:t xml:space="preserve">De esta forma, se ha depurado la noción de </w:t>
      </w:r>
      <w:r w:rsidRPr="00CC5457">
        <w:rPr>
          <w:rFonts w:ascii="Arial" w:eastAsia="Times New Roman" w:hAnsi="Arial" w:cs="Arial"/>
          <w:lang w:eastAsia="en-GB"/>
        </w:rPr>
        <w:t>«</w:t>
      </w:r>
      <w:r w:rsidRPr="00CC5457">
        <w:rPr>
          <w:rFonts w:ascii="Arial" w:eastAsia="Times New Roman" w:hAnsi="Arial" w:cs="Arial"/>
          <w:lang w:eastAsia="x-none"/>
        </w:rPr>
        <w:t>contratación directa</w:t>
      </w:r>
      <w:r w:rsidRPr="00CC5457">
        <w:rPr>
          <w:rFonts w:ascii="Arial" w:eastAsia="Times New Roman" w:hAnsi="Arial" w:cs="Arial"/>
          <w:lang w:eastAsia="en-GB"/>
        </w:rPr>
        <w:t>»</w:t>
      </w:r>
      <w:r w:rsidRPr="00CC5457">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CC5457">
        <w:rPr>
          <w:rFonts w:ascii="Arial" w:eastAsia="Times New Roman" w:hAnsi="Arial" w:cs="Arial"/>
          <w:vertAlign w:val="superscript"/>
          <w:lang w:val="en-GB" w:eastAsia="x-none"/>
        </w:rPr>
        <w:footnoteReference w:id="18"/>
      </w:r>
      <w:r w:rsidRPr="00CC5457">
        <w:rPr>
          <w:rFonts w:ascii="Arial" w:eastAsia="Times New Roman" w:hAnsi="Arial" w:cs="Arial"/>
          <w:lang w:eastAsia="x-none"/>
        </w:rPr>
        <w:t>, han establecido sistemas de contratación que implican convocatoria pública y participación de varios oferentes</w:t>
      </w:r>
      <w:r w:rsidRPr="00CC5457">
        <w:rPr>
          <w:rFonts w:ascii="Arial" w:eastAsia="Times New Roman" w:hAnsi="Arial" w:cs="Arial"/>
          <w:lang w:eastAsia="en-GB"/>
        </w:rPr>
        <w:t>»</w:t>
      </w:r>
      <w:r w:rsidRPr="00CC5457">
        <w:rPr>
          <w:rFonts w:ascii="Arial" w:eastAsia="Times New Roman" w:hAnsi="Arial" w:cs="Arial"/>
          <w:lang w:eastAsia="x-none"/>
        </w:rPr>
        <w:t xml:space="preserve">. </w:t>
      </w:r>
    </w:p>
    <w:p w14:paraId="5601CD15" w14:textId="77777777" w:rsidR="00CC5457" w:rsidRPr="00CC5457" w:rsidRDefault="00CC5457" w:rsidP="00CC5457">
      <w:pPr>
        <w:spacing w:after="120" w:line="276" w:lineRule="auto"/>
        <w:ind w:firstLine="709"/>
        <w:jc w:val="both"/>
        <w:rPr>
          <w:rFonts w:ascii="Arial" w:eastAsia="Times New Roman" w:hAnsi="Arial" w:cs="Arial"/>
          <w:bCs/>
          <w:lang w:val="es-MX" w:eastAsia="es-CO"/>
        </w:rPr>
      </w:pPr>
      <w:r w:rsidRPr="00CC5457">
        <w:rPr>
          <w:rFonts w:ascii="Arial" w:eastAsia="Times New Roman" w:hAnsi="Arial" w:cs="Arial"/>
          <w:bCs/>
          <w:lang w:val="es-MX" w:eastAsia="x-none"/>
        </w:rPr>
        <w:t>E</w:t>
      </w:r>
      <w:r w:rsidRPr="00CC5457">
        <w:rPr>
          <w:rFonts w:ascii="Arial" w:eastAsia="Times New Roman" w:hAnsi="Arial" w:cs="Arial"/>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CC5457">
        <w:rPr>
          <w:rFonts w:ascii="Arial" w:eastAsia="Times New Roman" w:hAnsi="Arial" w:cs="Arial"/>
          <w:vertAlign w:val="superscript"/>
          <w:lang w:eastAsia="x-none"/>
        </w:rPr>
        <w:footnoteReference w:id="19"/>
      </w:r>
      <w:r w:rsidRPr="00CC5457">
        <w:rPr>
          <w:rFonts w:ascii="Arial" w:eastAsia="Times New Roman" w:hAnsi="Arial" w:cs="Arial"/>
          <w:lang w:eastAsia="x-none"/>
        </w:rPr>
        <w:t xml:space="preserve">. </w:t>
      </w:r>
    </w:p>
    <w:p w14:paraId="1E25703A" w14:textId="34F67C3F" w:rsidR="00CC5457" w:rsidRPr="00CC5457" w:rsidRDefault="00CC5457" w:rsidP="00CC5457">
      <w:pPr>
        <w:spacing w:after="120" w:line="276" w:lineRule="auto"/>
        <w:ind w:firstLine="709"/>
        <w:jc w:val="both"/>
        <w:rPr>
          <w:rFonts w:ascii="Arial" w:eastAsia="Times New Roman" w:hAnsi="Arial" w:cs="Arial"/>
          <w:bCs/>
          <w:lang w:val="es-MX" w:eastAsia="es-CO"/>
        </w:rPr>
      </w:pPr>
      <w:r w:rsidRPr="00CC5457">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w:t>
      </w:r>
      <w:r w:rsidR="00135EB3" w:rsidRPr="008C2801">
        <w:rPr>
          <w:rFonts w:ascii="Arial" w:eastAsia="Times New Roman" w:hAnsi="Arial" w:cs="Arial"/>
          <w:bCs/>
          <w:lang w:val="es-MX" w:eastAsia="es-CO"/>
        </w:rPr>
        <w:t xml:space="preserve"> Electorales</w:t>
      </w:r>
      <w:r w:rsidRPr="00CC5457">
        <w:rPr>
          <w:rFonts w:ascii="Arial" w:eastAsia="Times New Roman" w:hAnsi="Arial" w:cs="Arial"/>
          <w:bCs/>
          <w:lang w:val="es-MX" w:eastAsia="es-CO"/>
        </w:rPr>
        <w:t>,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D4F337E" w14:textId="77777777" w:rsidR="00CC5457" w:rsidRPr="00CC5457" w:rsidRDefault="00CC5457" w:rsidP="00CC5457">
      <w:pPr>
        <w:spacing w:after="120" w:line="276" w:lineRule="auto"/>
        <w:ind w:firstLine="709"/>
        <w:jc w:val="both"/>
        <w:rPr>
          <w:rFonts w:ascii="Arial" w:eastAsia="Times New Roman" w:hAnsi="Arial" w:cs="Arial"/>
          <w:bCs/>
          <w:lang w:val="es-MX" w:eastAsia="x-none"/>
        </w:rPr>
      </w:pPr>
      <w:r w:rsidRPr="00CC5457">
        <w:rPr>
          <w:rFonts w:ascii="Arial" w:eastAsia="Times New Roman" w:hAnsi="Arial" w:cs="Arial"/>
          <w:bCs/>
          <w:lang w:val="es-MX" w:eastAsia="x-none"/>
        </w:rPr>
        <w:t xml:space="preserve"> Así las cosas, ha de entenderse que, </w:t>
      </w:r>
      <w:bookmarkStart w:id="9" w:name="_Hlk98859806"/>
      <w:r w:rsidRPr="00CC5457">
        <w:rPr>
          <w:rFonts w:ascii="Arial" w:eastAsia="Times New Roman" w:hAnsi="Arial" w:cs="Arial"/>
          <w:bCs/>
          <w:lang w:val="es-MX" w:eastAsia="x-none"/>
        </w:rPr>
        <w:t xml:space="preserve">para los efectos de la Ley de Garantías Electorales y, en particular, para la prohibición o restricción temporal contenida en su artículo 33, «contratación directa» es cualquier sistema de selección o procedimiento de </w:t>
      </w:r>
      <w:r w:rsidRPr="00CC5457">
        <w:rPr>
          <w:rFonts w:ascii="Arial" w:eastAsia="Times New Roman" w:hAnsi="Arial" w:cs="Arial"/>
          <w:bCs/>
          <w:lang w:val="es-MX" w:eastAsia="x-none"/>
        </w:rPr>
        <w:lastRenderedPageBreak/>
        <w:t>contratación utilizado por las entidades estatales que no incluya la convocatoria pública en alguna de sus etapas, ni permita la participación de una pluralidad de oferentes</w:t>
      </w:r>
      <w:r w:rsidRPr="00CC5457">
        <w:rPr>
          <w:rFonts w:ascii="Arial" w:eastAsia="Times New Roman" w:hAnsi="Arial" w:cs="Arial"/>
          <w:vertAlign w:val="superscript"/>
          <w:lang w:eastAsia="x-none"/>
        </w:rPr>
        <w:footnoteReference w:id="20"/>
      </w:r>
      <w:r w:rsidRPr="00CC5457">
        <w:rPr>
          <w:rFonts w:ascii="Arial" w:eastAsia="Times New Roman" w:hAnsi="Arial" w:cs="Arial"/>
          <w:bCs/>
          <w:lang w:val="es-MX" w:eastAsia="x-none"/>
        </w:rPr>
        <w:t>.</w:t>
      </w:r>
      <w:r w:rsidRPr="00CC5457">
        <w:rPr>
          <w:rFonts w:ascii="Arial" w:eastAsia="Times New Roman" w:hAnsi="Arial" w:cs="Arial"/>
          <w:vertAlign w:val="superscript"/>
          <w:lang w:eastAsia="x-none"/>
        </w:rPr>
        <w:t xml:space="preserve"> </w:t>
      </w:r>
    </w:p>
    <w:p w14:paraId="02773B20" w14:textId="77777777" w:rsidR="00CC5457" w:rsidRPr="00CC5457" w:rsidRDefault="00CC5457" w:rsidP="00CC5457">
      <w:pPr>
        <w:spacing w:after="120" w:line="276" w:lineRule="auto"/>
        <w:ind w:firstLine="709"/>
        <w:jc w:val="both"/>
        <w:rPr>
          <w:rFonts w:ascii="Arial" w:eastAsia="Times New Roman" w:hAnsi="Arial" w:cs="Arial"/>
          <w:lang w:eastAsia="x-none"/>
        </w:rPr>
      </w:pPr>
      <w:r w:rsidRPr="00CC5457">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C5457">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31B260F" w14:textId="77777777" w:rsidR="004C3109" w:rsidRPr="008C2801" w:rsidRDefault="00CC5457" w:rsidP="005F0C45">
      <w:pPr>
        <w:spacing w:after="120" w:line="276" w:lineRule="auto"/>
        <w:ind w:firstLine="708"/>
        <w:jc w:val="both"/>
        <w:rPr>
          <w:rFonts w:ascii="Arial" w:eastAsia="Times New Roman" w:hAnsi="Arial" w:cs="Arial"/>
          <w:bCs/>
          <w:lang w:val="es-MX" w:eastAsia="es-CO"/>
        </w:rPr>
      </w:pPr>
      <w:bookmarkStart w:id="10" w:name="_Hlk77237094"/>
      <w:bookmarkStart w:id="11" w:name="_Hlk104456787"/>
      <w:bookmarkEnd w:id="9"/>
      <w:r w:rsidRPr="00CC5457">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4C3109" w:rsidRPr="008C2801">
        <w:rPr>
          <w:rFonts w:ascii="Arial" w:eastAsia="Times New Roman" w:hAnsi="Arial" w:cs="Arial"/>
          <w:bCs/>
          <w:lang w:val="es-MX" w:eastAsia="es-CO"/>
        </w:rPr>
        <w:t xml:space="preserve"> Electorales</w:t>
      </w:r>
      <w:r w:rsidRPr="00CC5457">
        <w:rPr>
          <w:rFonts w:ascii="Arial" w:eastAsia="Times New Roman" w:hAnsi="Arial" w:cs="Arial"/>
          <w:bCs/>
          <w:lang w:val="es-MX" w:eastAsia="es-CO"/>
        </w:rPr>
        <w:t>, sin que ello haga nugatoria la restricción de la contratación directa y siempre que cumplan los principios de planeación, transparencia y responsabilidad.</w:t>
      </w:r>
      <w:bookmarkEnd w:id="10"/>
      <w:r w:rsidR="005F0C45" w:rsidRPr="008C2801">
        <w:rPr>
          <w:rFonts w:ascii="Arial" w:eastAsia="Times New Roman" w:hAnsi="Arial" w:cs="Arial"/>
          <w:bCs/>
          <w:lang w:val="es-MX" w:eastAsia="es-CO"/>
        </w:rPr>
        <w:t xml:space="preserve"> </w:t>
      </w:r>
    </w:p>
    <w:bookmarkEnd w:id="11"/>
    <w:p w14:paraId="60454442" w14:textId="2338AB5F" w:rsidR="005F0C45" w:rsidRPr="008C2801" w:rsidRDefault="005F0C45" w:rsidP="00625CDB">
      <w:pPr>
        <w:spacing w:after="0" w:line="276" w:lineRule="auto"/>
        <w:ind w:firstLine="708"/>
        <w:contextualSpacing/>
        <w:jc w:val="both"/>
        <w:rPr>
          <w:rFonts w:ascii="Arial" w:eastAsia="Times New Roman" w:hAnsi="Arial" w:cs="Arial"/>
          <w:bCs/>
          <w:lang w:val="es-MX" w:eastAsia="x-none"/>
        </w:rPr>
      </w:pPr>
      <w:r w:rsidRPr="008C2801">
        <w:rPr>
          <w:rFonts w:ascii="Arial" w:eastAsia="Times New Roman" w:hAnsi="Arial" w:cs="Arial"/>
          <w:bCs/>
          <w:lang w:val="es-MX" w:eastAsia="es-CO"/>
        </w:rPr>
        <w:t xml:space="preserve">Para estos efectos, lo importante es que el contrato se haya perfeccionado antes del inicio de la prohibición. Al respecto, el numeral 5.6 de la Circular Externa Única </w:t>
      </w:r>
      <w:r w:rsidR="004C3109" w:rsidRPr="008C2801">
        <w:rPr>
          <w:rFonts w:ascii="Arial" w:eastAsia="Times New Roman" w:hAnsi="Arial" w:cs="Arial"/>
          <w:bCs/>
          <w:lang w:val="es-MX" w:eastAsia="es-CO"/>
        </w:rPr>
        <w:t xml:space="preserve">expedida por la Agencia Nacional de Contratación Pública - </w:t>
      </w:r>
      <w:r w:rsidRPr="008C2801">
        <w:rPr>
          <w:rFonts w:ascii="Arial" w:eastAsia="Times New Roman" w:hAnsi="Arial" w:cs="Arial"/>
          <w:bCs/>
          <w:lang w:val="es-MX" w:eastAsia="es-CO"/>
        </w:rPr>
        <w:t xml:space="preserve">Colombia Compra Eficiente explica que «La realización del registro presupuestal y la aprobación de la garantía se pueden realizar con posterioridad a la entrada en vigor de la Ley de Garantías por ser requisitos de ejecución del contrato, pero no requeridos para su perfeccionamiento». Por ello, también es posible que el contrato se ejecute durante la vigencia de la prohibición, siempre que el negocio jurídico se haya suscrito antes de que comience la restricción. </w:t>
      </w:r>
    </w:p>
    <w:p w14:paraId="02476615" w14:textId="77777777" w:rsidR="00CC5457" w:rsidRPr="00EB1BB4" w:rsidRDefault="00CC5457" w:rsidP="00625CDB">
      <w:pPr>
        <w:spacing w:after="0" w:line="276" w:lineRule="auto"/>
        <w:contextualSpacing/>
        <w:jc w:val="both"/>
        <w:rPr>
          <w:rFonts w:ascii="Arial" w:eastAsia="Times New Roman" w:hAnsi="Arial" w:cs="Arial"/>
          <w:bCs/>
          <w:sz w:val="18"/>
          <w:szCs w:val="18"/>
          <w:lang w:val="es-MX" w:eastAsia="x-none"/>
        </w:rPr>
      </w:pPr>
    </w:p>
    <w:p w14:paraId="0823F366" w14:textId="77777777" w:rsidR="00CC5457" w:rsidRPr="00CC5457" w:rsidRDefault="00CC5457" w:rsidP="00625CDB">
      <w:pPr>
        <w:spacing w:after="0" w:line="276" w:lineRule="auto"/>
        <w:contextualSpacing/>
        <w:jc w:val="both"/>
        <w:rPr>
          <w:rFonts w:ascii="Arial" w:eastAsia="Times New Roman" w:hAnsi="Arial" w:cs="Arial"/>
          <w:b/>
          <w:lang w:val="es-ES" w:eastAsia="es-CO"/>
        </w:rPr>
      </w:pPr>
      <w:r w:rsidRPr="00CC5457">
        <w:rPr>
          <w:rFonts w:ascii="Arial" w:eastAsia="Times New Roman" w:hAnsi="Arial" w:cs="Arial"/>
          <w:b/>
          <w:lang w:val="es-ES" w:eastAsia="es-CO"/>
        </w:rPr>
        <w:t xml:space="preserve">2.3. </w:t>
      </w:r>
      <w:r w:rsidRPr="00CC5457">
        <w:rPr>
          <w:rFonts w:ascii="Arial" w:hAnsi="Arial" w:cs="Arial"/>
          <w:b/>
          <w:bCs/>
          <w:lang w:val="es-MX" w:eastAsia="es-CO"/>
        </w:rPr>
        <w:t xml:space="preserve">Excepciones a la </w:t>
      </w:r>
      <w:r w:rsidRPr="00CC5457">
        <w:rPr>
          <w:rFonts w:ascii="Arial" w:hAnsi="Arial" w:cs="Arial"/>
          <w:b/>
          <w:bCs/>
          <w:lang w:val="es-ES_tradnl" w:eastAsia="es-CO"/>
        </w:rPr>
        <w:t>prohibición del artículo 33 de la Ley 996 de 2005</w:t>
      </w:r>
    </w:p>
    <w:p w14:paraId="663D3345" w14:textId="77777777" w:rsidR="00CC5457" w:rsidRPr="00EB1BB4" w:rsidRDefault="00CC5457" w:rsidP="00625CDB">
      <w:pPr>
        <w:spacing w:after="0" w:line="276" w:lineRule="auto"/>
        <w:contextualSpacing/>
        <w:jc w:val="both"/>
        <w:rPr>
          <w:rFonts w:ascii="Arial" w:eastAsia="Times New Roman" w:hAnsi="Arial" w:cs="Arial"/>
          <w:b/>
          <w:sz w:val="16"/>
          <w:szCs w:val="16"/>
          <w:lang w:val="es-ES" w:eastAsia="es-CO"/>
        </w:rPr>
      </w:pPr>
    </w:p>
    <w:p w14:paraId="54E4DD22" w14:textId="1F0DBBC4" w:rsidR="00CC5457" w:rsidRPr="00CC5457" w:rsidRDefault="00CC5457" w:rsidP="00E443E5">
      <w:pPr>
        <w:spacing w:after="120" w:line="276" w:lineRule="auto"/>
        <w:jc w:val="both"/>
        <w:rPr>
          <w:rFonts w:ascii="Arial" w:eastAsia="Times New Roman" w:hAnsi="Arial" w:cs="Arial"/>
          <w:b/>
          <w:lang w:val="es-ES" w:eastAsia="es-CO"/>
        </w:rPr>
      </w:pPr>
      <w:bookmarkStart w:id="12" w:name="_Hlk98859950"/>
      <w:r w:rsidRPr="00CC5457">
        <w:rPr>
          <w:rFonts w:ascii="Arial" w:eastAsia="Times New Roman" w:hAnsi="Arial" w:cs="Arial"/>
          <w:bCs/>
          <w:lang w:val="es-MX" w:eastAsia="x-none"/>
        </w:rPr>
        <w:t>De otro lado, las excepciones a la restricción prevista en la Ley de Garantías</w:t>
      </w:r>
      <w:r w:rsidR="00E109D7" w:rsidRPr="008C2801">
        <w:rPr>
          <w:rFonts w:ascii="Arial" w:eastAsia="Times New Roman" w:hAnsi="Arial" w:cs="Arial"/>
          <w:bCs/>
          <w:lang w:val="es-MX" w:eastAsia="x-none"/>
        </w:rPr>
        <w:t xml:space="preserve"> Electorales</w:t>
      </w:r>
      <w:r w:rsidRPr="00CC5457">
        <w:rPr>
          <w:rFonts w:ascii="Arial" w:eastAsia="Times New Roman" w:hAnsi="Arial" w:cs="Arial"/>
          <w:bCs/>
          <w:lang w:val="es-MX" w:eastAsia="x-none"/>
        </w:rPr>
        <w:t xml:space="preserve">,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w:t>
      </w:r>
      <w:r w:rsidRPr="00CC5457">
        <w:rPr>
          <w:rFonts w:ascii="Arial" w:eastAsia="Times New Roman" w:hAnsi="Arial" w:cs="Arial"/>
          <w:bCs/>
          <w:i/>
          <w:iCs/>
          <w:lang w:val="es-MX" w:eastAsia="x-none"/>
        </w:rPr>
        <w:t>la defensa y seguridad del Estado</w:t>
      </w:r>
      <w:r w:rsidRPr="00CC5457">
        <w:rPr>
          <w:rFonts w:ascii="Arial" w:eastAsia="Times New Roman" w:hAnsi="Arial" w:cs="Arial"/>
          <w:bCs/>
          <w:lang w:val="es-MX" w:eastAsia="x-none"/>
        </w:rPr>
        <w:t xml:space="preserve">; </w:t>
      </w:r>
      <w:proofErr w:type="spellStart"/>
      <w:r w:rsidRPr="00CC5457">
        <w:rPr>
          <w:rFonts w:ascii="Arial" w:eastAsia="Times New Roman" w:hAnsi="Arial" w:cs="Arial"/>
          <w:bCs/>
          <w:lang w:val="es-MX" w:eastAsia="x-none"/>
        </w:rPr>
        <w:t>ii</w:t>
      </w:r>
      <w:proofErr w:type="spellEnd"/>
      <w:r w:rsidRPr="00CC5457">
        <w:rPr>
          <w:rFonts w:ascii="Arial" w:eastAsia="Times New Roman" w:hAnsi="Arial" w:cs="Arial"/>
          <w:bCs/>
          <w:lang w:val="es-MX" w:eastAsia="x-none"/>
        </w:rPr>
        <w:t xml:space="preserve">) los contratos de crédito público; </w:t>
      </w:r>
      <w:proofErr w:type="spellStart"/>
      <w:r w:rsidRPr="00CC5457">
        <w:rPr>
          <w:rFonts w:ascii="Arial" w:eastAsia="Times New Roman" w:hAnsi="Arial" w:cs="Arial"/>
          <w:bCs/>
          <w:lang w:val="es-MX" w:eastAsia="x-none"/>
        </w:rPr>
        <w:t>iii</w:t>
      </w:r>
      <w:proofErr w:type="spellEnd"/>
      <w:r w:rsidRPr="00CC5457">
        <w:rPr>
          <w:rFonts w:ascii="Arial" w:eastAsia="Times New Roman" w:hAnsi="Arial" w:cs="Arial"/>
          <w:bCs/>
          <w:lang w:val="es-MX" w:eastAsia="x-none"/>
        </w:rPr>
        <w:t xml:space="preserve">) los requeridos para cubrir las emergencias educativas, sanitarias y desastres; </w:t>
      </w:r>
      <w:proofErr w:type="spellStart"/>
      <w:r w:rsidRPr="00CC5457">
        <w:rPr>
          <w:rFonts w:ascii="Arial" w:eastAsia="Times New Roman" w:hAnsi="Arial" w:cs="Arial"/>
          <w:bCs/>
          <w:lang w:val="es-MX" w:eastAsia="x-none"/>
        </w:rPr>
        <w:t>iv</w:t>
      </w:r>
      <w:proofErr w:type="spellEnd"/>
      <w:r w:rsidRPr="00CC5457">
        <w:rPr>
          <w:rFonts w:ascii="Arial" w:eastAsia="Times New Roman" w:hAnsi="Arial" w:cs="Arial"/>
          <w:bCs/>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C5457">
        <w:rPr>
          <w:rFonts w:ascii="Arial" w:eastAsia="Times New Roman" w:hAnsi="Arial" w:cs="Arial"/>
          <w:bCs/>
          <w:lang w:val="es-MX" w:eastAsia="es-CO"/>
        </w:rPr>
        <w:t xml:space="preserve"> El mismo inciso señala que es responsabilidad del respectivo ente del Estado, examinar en cada caso la naturaleza de las </w:t>
      </w:r>
      <w:r w:rsidRPr="00CC5457">
        <w:rPr>
          <w:rFonts w:ascii="Arial" w:eastAsia="Times New Roman" w:hAnsi="Arial" w:cs="Arial"/>
          <w:bCs/>
          <w:lang w:val="es-MX" w:eastAsia="es-CO"/>
        </w:rPr>
        <w:lastRenderedPageBreak/>
        <w:t>actividades que adelanta y determinar si las mismas se enmarcan en alguna de las mencionadas excepciones, de manera que se le permita realizar la contratación que necesite en forma directa.</w:t>
      </w:r>
    </w:p>
    <w:bookmarkEnd w:id="12"/>
    <w:p w14:paraId="6B0454AA" w14:textId="77777777" w:rsidR="00CC5457" w:rsidRPr="00CC5457" w:rsidRDefault="00CC5457" w:rsidP="00E443E5">
      <w:pPr>
        <w:spacing w:after="120" w:line="276" w:lineRule="auto"/>
        <w:ind w:firstLine="709"/>
        <w:jc w:val="both"/>
        <w:rPr>
          <w:rFonts w:ascii="Arial" w:eastAsia="Times New Roman" w:hAnsi="Arial" w:cs="Arial"/>
          <w:bCs/>
          <w:lang w:val="es-MX" w:eastAsia="x-none"/>
        </w:rPr>
      </w:pPr>
      <w:r w:rsidRPr="00CC5457">
        <w:rPr>
          <w:rFonts w:ascii="Arial" w:eastAsia="Times New Roman" w:hAnsi="Arial" w:cs="Arial"/>
          <w:bCs/>
          <w:lang w:val="es-MX" w:eastAsia="x-none"/>
        </w:rPr>
        <w:t>En esta labor es importante tener en cuenta, como lo anotó la Corte Constitucional, en Sentencia C-1153 de noviembre 11 de 2005</w:t>
      </w:r>
      <w:r w:rsidRPr="00CC5457">
        <w:rPr>
          <w:rFonts w:ascii="Arial" w:eastAsia="Calibri" w:hAnsi="Arial" w:cs="Arial"/>
          <w:vertAlign w:val="superscript"/>
          <w:lang w:val="es-MX"/>
        </w:rPr>
        <w:t>,</w:t>
      </w:r>
      <w:r w:rsidRPr="00CC5457">
        <w:rPr>
          <w:rFonts w:ascii="Arial" w:eastAsia="Times New Roman" w:hAnsi="Arial" w:cs="Arial"/>
          <w:bCs/>
          <w:lang w:val="es-MX" w:eastAsia="x-none"/>
        </w:rPr>
        <w:t xml:space="preserve"> </w:t>
      </w:r>
      <w:bookmarkStart w:id="13" w:name="_Hlk74309042"/>
      <w:r w:rsidRPr="00CC5457">
        <w:rPr>
          <w:rFonts w:ascii="Arial" w:eastAsia="Times New Roman" w:hAnsi="Arial" w:cs="Arial"/>
          <w:bCs/>
          <w:lang w:val="es-MX" w:eastAsia="x-none"/>
        </w:rPr>
        <w:t>que «</w:t>
      </w:r>
      <w:bookmarkEnd w:id="13"/>
      <w:r w:rsidRPr="00CC5457">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14" w:name="_Hlk75768308"/>
      <w:r w:rsidRPr="00CC5457">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15" w:name="_Hlk74309060"/>
      <w:r w:rsidRPr="00CC5457">
        <w:rPr>
          <w:rFonts w:ascii="Arial" w:eastAsia="Times New Roman" w:hAnsi="Arial" w:cs="Arial"/>
          <w:bCs/>
          <w:lang w:val="es-MX" w:eastAsia="x-none"/>
        </w:rPr>
        <w:t>»</w:t>
      </w:r>
      <w:bookmarkEnd w:id="15"/>
      <w:r w:rsidRPr="00CC5457">
        <w:rPr>
          <w:rFonts w:ascii="Arial" w:eastAsia="Calibri" w:hAnsi="Arial" w:cs="Arial"/>
          <w:vertAlign w:val="superscript"/>
          <w:lang w:val="es-MX"/>
        </w:rPr>
        <w:footnoteReference w:id="21"/>
      </w:r>
      <w:r w:rsidRPr="00CC5457">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16" w:name="_Hlk75783800"/>
      <w:bookmarkEnd w:id="14"/>
    </w:p>
    <w:p w14:paraId="3243F03E" w14:textId="348B73C6" w:rsidR="00CC5457" w:rsidRPr="00EB1BB4" w:rsidRDefault="00CC5457" w:rsidP="00EB1BB4">
      <w:pPr>
        <w:shd w:val="clear" w:color="auto" w:fill="FFFFFF"/>
        <w:spacing w:after="120" w:line="276" w:lineRule="auto"/>
        <w:ind w:firstLine="709"/>
        <w:jc w:val="both"/>
        <w:rPr>
          <w:rFonts w:ascii="Arial" w:hAnsi="Arial" w:cs="Arial"/>
          <w:lang w:val="es-ES_tradnl" w:eastAsia="es-CO"/>
        </w:rPr>
      </w:pPr>
      <w:r w:rsidRPr="00F92B67">
        <w:rPr>
          <w:rFonts w:ascii="Arial" w:eastAsia="Times New Roman" w:hAnsi="Arial" w:cs="Arial"/>
          <w:bCs/>
          <w:lang w:val="es-MX" w:eastAsia="x-none"/>
        </w:rPr>
        <w:t xml:space="preserve">Así mismo, la </w:t>
      </w:r>
      <w:r w:rsidRPr="00F92B67">
        <w:rPr>
          <w:rFonts w:ascii="Arial" w:hAnsi="Arial" w:cs="Arial"/>
          <w:bCs/>
          <w:lang w:val="es-ES_tradnl"/>
        </w:rPr>
        <w:t>Sala de Consulta y Servicio Civil del Consejo de Estado, en concepto del 4 de febrero de 2010, se pronunció frente a las razones por las que el legislador consagró excepciones al artículo 33 de la Ley de Garantías Electorales:</w:t>
      </w:r>
      <w:r w:rsidR="00F92B67">
        <w:rPr>
          <w:rFonts w:ascii="Arial" w:hAnsi="Arial" w:cs="Arial"/>
          <w:bCs/>
          <w:lang w:val="es-ES_tradnl"/>
        </w:rPr>
        <w:t xml:space="preserve"> </w:t>
      </w:r>
      <w:r w:rsidR="00F92B67" w:rsidRPr="00EB1BB4">
        <w:rPr>
          <w:rFonts w:ascii="Arial" w:hAnsi="Arial" w:cs="Arial"/>
          <w:lang w:val="es-ES_tradnl" w:eastAsia="es-CO"/>
        </w:rPr>
        <w:t>«</w:t>
      </w:r>
      <w:r w:rsidRPr="00EB1BB4">
        <w:rPr>
          <w:rFonts w:ascii="Arial" w:hAnsi="Arial" w:cs="Arial"/>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00F92B67" w:rsidRPr="00EB1BB4">
        <w:rPr>
          <w:rFonts w:ascii="Arial" w:hAnsi="Arial" w:cs="Arial"/>
          <w:lang w:val="es-ES_tradnl" w:eastAsia="es-CO"/>
        </w:rPr>
        <w:t>»</w:t>
      </w:r>
      <w:r w:rsidRPr="00EB1BB4">
        <w:rPr>
          <w:rFonts w:ascii="Arial" w:hAnsi="Arial" w:cs="Arial"/>
          <w:vertAlign w:val="superscript"/>
          <w:lang w:val="es-ES_tradnl" w:eastAsia="es-CO"/>
        </w:rPr>
        <w:footnoteReference w:id="22"/>
      </w:r>
      <w:r w:rsidRPr="00EB1BB4">
        <w:rPr>
          <w:rFonts w:ascii="Arial" w:hAnsi="Arial" w:cs="Arial"/>
          <w:lang w:val="es-ES_tradnl" w:eastAsia="es-CO"/>
        </w:rPr>
        <w:t xml:space="preserve">. </w:t>
      </w:r>
    </w:p>
    <w:p w14:paraId="736435F0" w14:textId="0824EA3F" w:rsidR="00CC5457" w:rsidRPr="00CC5457" w:rsidRDefault="00CC5457" w:rsidP="00CC5457">
      <w:pPr>
        <w:spacing w:after="120" w:line="276" w:lineRule="auto"/>
        <w:ind w:firstLine="709"/>
        <w:jc w:val="both"/>
        <w:rPr>
          <w:rFonts w:ascii="Arial" w:hAnsi="Arial" w:cs="Arial"/>
          <w:lang w:val="es-ES_tradnl"/>
        </w:rPr>
      </w:pPr>
      <w:r w:rsidRPr="00CC5457">
        <w:rPr>
          <w:rFonts w:ascii="Arial" w:hAnsi="Arial" w:cs="Arial"/>
          <w:bCs/>
          <w:lang w:val="es-ES_tradnl"/>
        </w:rPr>
        <w:t xml:space="preserve">Por tanto, las excepciones a la prohibición contenida en el inciso segundo de artículo 33 de la </w:t>
      </w:r>
      <w:r w:rsidR="00AD2234" w:rsidRPr="008C2801">
        <w:rPr>
          <w:rFonts w:ascii="Arial" w:hAnsi="Arial" w:cs="Arial"/>
          <w:bCs/>
          <w:lang w:val="es-ES_tradnl"/>
        </w:rPr>
        <w:t xml:space="preserve">Ley De Garantías Electorales </w:t>
      </w:r>
      <w:r w:rsidRPr="00CC5457">
        <w:rPr>
          <w:rFonts w:ascii="Arial" w:hAnsi="Arial" w:cs="Arial"/>
          <w:bCs/>
          <w:lang w:val="es-ES_tradnl"/>
        </w:rPr>
        <w:t>tienen por finalidad garantizar la prestación ininterrumpida de algunos servicios públicos que, dada su importancia en el orden interno, se verían irrazonablemente afectados por la restricción explicada. De igual forma, la Sala de Consulta y Servicio Civil del Consejo de Estado, en concepto del 2 de septiembre de 2013</w:t>
      </w:r>
      <w:r w:rsidRPr="00CC5457">
        <w:rPr>
          <w:rFonts w:ascii="Arial" w:hAnsi="Arial" w:cs="Arial"/>
          <w:lang w:val="es-ES_tradnl"/>
        </w:rPr>
        <w:t>, mencionó las excepciones a la prohibición del artículo 33 de la Ley de Garantías Electorales, resaltando el carácter taxativo de la regla de excepción referida</w:t>
      </w:r>
      <w:r w:rsidR="008B46C6" w:rsidRPr="008C2801">
        <w:rPr>
          <w:rFonts w:ascii="Arial" w:hAnsi="Arial" w:cs="Arial"/>
          <w:lang w:val="es-ES_tradnl"/>
        </w:rPr>
        <w:t xml:space="preserve"> </w:t>
      </w:r>
      <w:r w:rsidRPr="00CC5457">
        <w:rPr>
          <w:rFonts w:ascii="Arial" w:hAnsi="Arial" w:cs="Arial"/>
          <w:lang w:val="es-ES_tradnl"/>
        </w:rPr>
        <w:t>y señalando la independencia de los supuestos establecidos allí.</w:t>
      </w:r>
    </w:p>
    <w:p w14:paraId="667639F6" w14:textId="77777777" w:rsidR="00CC5457" w:rsidRPr="00CC5457" w:rsidRDefault="00CC5457" w:rsidP="00CC5457">
      <w:pPr>
        <w:spacing w:after="120" w:line="276" w:lineRule="auto"/>
        <w:ind w:firstLine="709"/>
        <w:jc w:val="both"/>
        <w:rPr>
          <w:rFonts w:ascii="Arial" w:eastAsia="Times New Roman" w:hAnsi="Arial" w:cs="Arial"/>
          <w:bCs/>
          <w:lang w:val="es-MX" w:eastAsia="x-none"/>
        </w:rPr>
      </w:pPr>
      <w:bookmarkStart w:id="17" w:name="_Hlk98499113"/>
      <w:r w:rsidRPr="00CC5457">
        <w:rPr>
          <w:rFonts w:ascii="Arial" w:hAnsi="Arial" w:cs="Arial"/>
          <w:bCs/>
          <w:lang w:val="es-ES_tradnl"/>
        </w:rPr>
        <w:t>Lo anterior implica que las excepciones al artículo 33 en comento deben interpretarse y aplicarse manera restrictiva. En otras palabras, que no sería factible hacer interpretaciones extensivas</w:t>
      </w:r>
      <w:r w:rsidRPr="00CC5457">
        <w:rPr>
          <w:rFonts w:ascii="Arial" w:hAnsi="Arial" w:cs="Arial"/>
          <w:bCs/>
          <w:i/>
          <w:iCs/>
          <w:lang w:val="es-ES_tradnl"/>
        </w:rPr>
        <w:t xml:space="preserve"> </w:t>
      </w:r>
      <w:r w:rsidRPr="00CC5457">
        <w:rPr>
          <w:rFonts w:ascii="Arial" w:hAnsi="Arial" w:cs="Arial"/>
          <w:bCs/>
          <w:lang w:val="es-ES_tradnl"/>
        </w:rPr>
        <w:t xml:space="preserve">para incluir otros supuestos de hecho similares a las circunstancias previstas en dicho artículo, pues el carácter taxativo implica que solo en los </w:t>
      </w:r>
      <w:r w:rsidRPr="00CC5457">
        <w:rPr>
          <w:rFonts w:ascii="Arial" w:hAnsi="Arial" w:cs="Arial"/>
          <w:bCs/>
          <w:lang w:val="es-ES_tradnl"/>
        </w:rPr>
        <w:lastRenderedPageBreak/>
        <w:t xml:space="preserve">eventos consagrados expresamente en la norma permiten que ciertas entidades estatales se vean exceptuadas de la prohibición. </w:t>
      </w:r>
      <w:bookmarkEnd w:id="17"/>
    </w:p>
    <w:p w14:paraId="609A8348" w14:textId="77777777" w:rsidR="00CC5457" w:rsidRPr="00CC5457" w:rsidRDefault="00CC5457" w:rsidP="00CC5457">
      <w:pPr>
        <w:spacing w:before="120" w:after="120" w:line="276" w:lineRule="auto"/>
        <w:ind w:firstLine="709"/>
        <w:jc w:val="both"/>
        <w:rPr>
          <w:rFonts w:ascii="Arial" w:eastAsia="Arial" w:hAnsi="Arial" w:cs="Arial"/>
        </w:rPr>
      </w:pPr>
      <w:bookmarkStart w:id="18" w:name="_Hlk98480535"/>
      <w:r w:rsidRPr="00CC5457">
        <w:rPr>
          <w:rFonts w:ascii="Arial" w:eastAsia="Arial" w:hAnsi="Arial" w:cs="Arial"/>
        </w:rPr>
        <w:t xml:space="preserve">Como se puede apreciar, el inciso segundo del artículo 33 dispone de dos (2) grandes grupos de excepciones a la prohibición de contratar directamente en la época preelectoral. </w:t>
      </w:r>
      <w:r w:rsidRPr="00EB1BB4">
        <w:rPr>
          <w:rFonts w:ascii="Arial" w:eastAsia="Arial" w:hAnsi="Arial" w:cs="Arial"/>
        </w:rPr>
        <w:t>Por un lado</w:t>
      </w:r>
      <w:r w:rsidRPr="00AB1B00">
        <w:rPr>
          <w:rFonts w:ascii="Arial" w:eastAsia="Arial" w:hAnsi="Arial" w:cs="Arial"/>
        </w:rPr>
        <w:t>, las</w:t>
      </w:r>
      <w:r w:rsidRPr="00CC5457">
        <w:rPr>
          <w:rFonts w:ascii="Arial" w:eastAsia="Arial" w:hAnsi="Arial" w:cs="Arial"/>
        </w:rPr>
        <w:t xml:space="preserve"> que atienden el ejercicio de cierta función o la atención de determinada actividad particular y sin importar la calidad del ente que la cumpla o desarrolle, dentro de la que se encuentra lo relativo a la defensa y seguridad del Estado. </w:t>
      </w:r>
      <w:r w:rsidRPr="00EB1BB4">
        <w:rPr>
          <w:rFonts w:ascii="Arial" w:eastAsia="Arial" w:hAnsi="Arial" w:cs="Arial"/>
        </w:rPr>
        <w:t>Por otra parte</w:t>
      </w:r>
      <w:r w:rsidRPr="00AB1B00">
        <w:rPr>
          <w:rFonts w:ascii="Arial" w:eastAsia="Arial" w:hAnsi="Arial" w:cs="Arial"/>
        </w:rPr>
        <w:t>,</w:t>
      </w:r>
      <w:r w:rsidRPr="00CC5457">
        <w:rPr>
          <w:rFonts w:ascii="Arial" w:eastAsia="Arial" w:hAnsi="Arial" w:cs="Arial"/>
        </w:rPr>
        <w:t xml:space="preserve"> las que aluden a las entidades sanitarias y hospitalarias acudiendo a un criterio eminentemente subjetivo, pese a que no limita la excepción a un tipo de entidad en particular, sino que ata su aplicación a la naturaleza del respectivo ente.</w:t>
      </w:r>
    </w:p>
    <w:p w14:paraId="22AB5718" w14:textId="77777777" w:rsidR="00CC5457" w:rsidRPr="00CC5457" w:rsidRDefault="00CC5457" w:rsidP="00CC5457">
      <w:pPr>
        <w:spacing w:after="120" w:line="276" w:lineRule="auto"/>
        <w:ind w:firstLine="709"/>
        <w:jc w:val="both"/>
        <w:rPr>
          <w:rFonts w:ascii="Arial" w:eastAsia="Arial" w:hAnsi="Arial" w:cs="Arial"/>
        </w:rPr>
      </w:pPr>
      <w:bookmarkStart w:id="19" w:name="_Hlk98480553"/>
      <w:bookmarkStart w:id="20" w:name="_Hlk104456815"/>
      <w:bookmarkEnd w:id="18"/>
      <w:r w:rsidRPr="00CC5457">
        <w:rPr>
          <w:rFonts w:ascii="Arial" w:eastAsia="Arial" w:hAnsi="Arial" w:cs="Arial"/>
        </w:rPr>
        <w:t xml:space="preserve">Así, para determinar si la contratación de una entidad pública está exceptuada de la prohibición general para la contratación directa, el intérprete deberá analizar el caso concreto para establecer que se trata de una actividad de las descritas en la norma. </w:t>
      </w:r>
      <w:bookmarkEnd w:id="19"/>
      <w:r w:rsidRPr="00CC5457">
        <w:rPr>
          <w:rFonts w:ascii="Arial" w:eastAsia="Arial" w:hAnsi="Arial" w:cs="Arial"/>
        </w:rPr>
        <w:t xml:space="preserve">En este punto, dado que la norma no lo establece, no es posible limitar la excepción a cierto tipo de entidades públicas o hacer depender la aplicación de la excepción al nivel u orden administrativo en el que se encuentre. Como se explicó, lo relevante será verificar la naturaleza de la actividad para determinar si se enmarca o no en alguna de las excepciones dispuestas.  </w:t>
      </w:r>
    </w:p>
    <w:p w14:paraId="223909D0" w14:textId="77777777" w:rsidR="00CC5457" w:rsidRPr="00CC5457" w:rsidRDefault="00CC5457" w:rsidP="00CC5457">
      <w:pPr>
        <w:spacing w:after="0" w:line="276" w:lineRule="auto"/>
        <w:ind w:firstLine="709"/>
        <w:contextualSpacing/>
        <w:jc w:val="both"/>
        <w:rPr>
          <w:rFonts w:ascii="Arial" w:hAnsi="Arial" w:cs="Arial"/>
          <w:shd w:val="clear" w:color="auto" w:fill="FFFFFF"/>
        </w:rPr>
      </w:pPr>
      <w:bookmarkStart w:id="21" w:name="_Hlk98499496"/>
      <w:bookmarkEnd w:id="20"/>
      <w:r w:rsidRPr="00CC5457">
        <w:rPr>
          <w:rFonts w:ascii="Arial" w:hAnsi="Arial" w:cs="Arial"/>
          <w:shd w:val="clear" w:color="auto" w:fill="FFFFFF"/>
        </w:rPr>
        <w:t>Una de estas excepciones es la relacionada con los contratos que se celebren para la defensa y seguridad del Estado, expresión que debe entenderse en su sentido literal y obvio, esto es ligado a la noción de orden público social, tanto externo como interno</w:t>
      </w:r>
      <w:r w:rsidRPr="00CC5457">
        <w:rPr>
          <w:rFonts w:ascii="Arial" w:hAnsi="Arial" w:cs="Arial"/>
          <w:shd w:val="clear" w:color="auto" w:fill="FFFFFF"/>
          <w:vertAlign w:val="superscript"/>
        </w:rPr>
        <w:footnoteReference w:id="23"/>
      </w:r>
      <w:r w:rsidRPr="00CC5457">
        <w:rPr>
          <w:rFonts w:ascii="Arial" w:hAnsi="Arial" w:cs="Arial"/>
          <w:shd w:val="clear" w:color="auto" w:fill="FFFFFF"/>
        </w:rPr>
        <w:t xml:space="preserve">. En consecuencia, durante el periodo en que opera la restricción establecida en el artículo 33 de la Ley 996 de 2005, se podrá celebrar contratación directa siempre que el objeto esté relacionado con la defensa y seguridad del Estado. No se puede perder de vista que cada entidad deberá analizar si se enmarca dentro de la actividad de defensa y seguridad del Estado, para definir la viabilidad de celebrar el contrato estatal. </w:t>
      </w:r>
    </w:p>
    <w:bookmarkEnd w:id="21"/>
    <w:p w14:paraId="013A3F17" w14:textId="77777777" w:rsidR="00CC5457" w:rsidRPr="00CC5457" w:rsidRDefault="00CC5457" w:rsidP="001C1FD7">
      <w:pPr>
        <w:spacing w:after="0" w:line="276" w:lineRule="auto"/>
        <w:ind w:firstLine="709"/>
        <w:contextualSpacing/>
        <w:jc w:val="both"/>
        <w:rPr>
          <w:rFonts w:ascii="Arial" w:eastAsia="Times New Roman" w:hAnsi="Arial" w:cs="Arial"/>
          <w:bCs/>
          <w:lang w:val="es-MX" w:eastAsia="x-none"/>
        </w:rPr>
      </w:pPr>
    </w:p>
    <w:p w14:paraId="3293169F" w14:textId="77777777" w:rsidR="00CC5457" w:rsidRPr="00CC5457" w:rsidRDefault="00CC5457" w:rsidP="001C1FD7">
      <w:pPr>
        <w:spacing w:after="0" w:line="276" w:lineRule="auto"/>
        <w:contextualSpacing/>
        <w:jc w:val="both"/>
        <w:rPr>
          <w:rFonts w:ascii="Arial" w:eastAsia="Times New Roman" w:hAnsi="Arial" w:cs="Arial"/>
          <w:b/>
          <w:lang w:val="es-MX" w:eastAsia="x-none"/>
        </w:rPr>
      </w:pPr>
      <w:bookmarkStart w:id="22" w:name="_Hlk98499532"/>
      <w:r w:rsidRPr="00CC5457">
        <w:rPr>
          <w:rFonts w:ascii="Arial" w:eastAsia="Times New Roman" w:hAnsi="Arial" w:cs="Arial"/>
          <w:b/>
          <w:lang w:val="es-MX" w:eastAsia="x-none"/>
        </w:rPr>
        <w:t>2.4. Destinatarios de la restricción del artículo 33 de la Ley 996 de 2005</w:t>
      </w:r>
    </w:p>
    <w:bookmarkEnd w:id="22"/>
    <w:p w14:paraId="4FD78D41" w14:textId="77777777" w:rsidR="00CC5457" w:rsidRPr="00CC5457" w:rsidRDefault="00CC5457" w:rsidP="001C1FD7">
      <w:pPr>
        <w:spacing w:after="0" w:line="276" w:lineRule="auto"/>
        <w:contextualSpacing/>
        <w:jc w:val="both"/>
        <w:rPr>
          <w:rFonts w:ascii="Arial" w:eastAsia="Times New Roman" w:hAnsi="Arial" w:cs="Arial"/>
          <w:bCs/>
          <w:lang w:val="es-MX" w:eastAsia="x-none"/>
        </w:rPr>
      </w:pPr>
    </w:p>
    <w:p w14:paraId="1B52E480" w14:textId="77777777" w:rsidR="00CC5457" w:rsidRPr="00CC5457" w:rsidRDefault="00CC5457" w:rsidP="001C1FD7">
      <w:pPr>
        <w:spacing w:after="0" w:line="276" w:lineRule="auto"/>
        <w:contextualSpacing/>
        <w:jc w:val="both"/>
        <w:rPr>
          <w:rFonts w:ascii="Arial" w:eastAsia="Times New Roman" w:hAnsi="Arial" w:cs="Arial"/>
          <w:bCs/>
          <w:lang w:val="es-MX" w:eastAsia="x-none"/>
        </w:rPr>
      </w:pPr>
      <w:bookmarkStart w:id="23" w:name="_Hlk98860064"/>
      <w:r w:rsidRPr="00CC5457">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C5457">
        <w:rPr>
          <w:rFonts w:ascii="Calibri" w:eastAsia="Calibri" w:hAnsi="Calibri" w:cs="Times New Roman"/>
          <w:lang w:val="es-MX"/>
        </w:rPr>
        <w:t xml:space="preserve"> </w:t>
      </w:r>
      <w:r w:rsidRPr="00CC5457">
        <w:rPr>
          <w:rFonts w:ascii="Arial" w:eastAsia="Times New Roman" w:hAnsi="Arial" w:cs="Arial"/>
          <w:bCs/>
          <w:lang w:val="es-MX" w:eastAsia="x-none"/>
        </w:rPr>
        <w:t xml:space="preserve">En efecto, tal como lo ha sostenido el Consejo de Estado, el vocablo </w:t>
      </w:r>
      <w:bookmarkStart w:id="24" w:name="_Hlk75632581"/>
      <w:r w:rsidRPr="00CC5457">
        <w:rPr>
          <w:rFonts w:ascii="Arial" w:eastAsia="Times New Roman" w:hAnsi="Arial" w:cs="Arial"/>
          <w:bCs/>
          <w:lang w:val="es-MX" w:eastAsia="x-none"/>
        </w:rPr>
        <w:t>«</w:t>
      </w:r>
      <w:bookmarkEnd w:id="24"/>
      <w:r w:rsidRPr="00CC5457">
        <w:rPr>
          <w:rFonts w:ascii="Arial" w:eastAsia="Times New Roman" w:hAnsi="Arial" w:cs="Arial"/>
          <w:bCs/>
          <w:lang w:val="es-MX" w:eastAsia="x-none"/>
        </w:rPr>
        <w:t>todos» utilizado por el legislador comprende</w:t>
      </w:r>
      <w:r w:rsidRPr="00CC5457">
        <w:rPr>
          <w:rFonts w:ascii="Calibri" w:eastAsia="Calibri" w:hAnsi="Calibri" w:cs="Times New Roman"/>
          <w:lang w:val="es-MX"/>
        </w:rPr>
        <w:t xml:space="preserve"> </w:t>
      </w:r>
      <w:r w:rsidRPr="00CC5457">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16"/>
      <w:r w:rsidRPr="00CC5457">
        <w:rPr>
          <w:rFonts w:ascii="Arial" w:eastAsia="Times New Roman" w:hAnsi="Arial" w:cs="Arial"/>
          <w:bCs/>
          <w:lang w:val="es-MX" w:eastAsia="x-none"/>
        </w:rPr>
        <w:t xml:space="preserve">, e incluso si las entidades estatales tienen régimen especial de </w:t>
      </w:r>
      <w:r w:rsidRPr="00CC5457">
        <w:rPr>
          <w:rFonts w:ascii="Arial" w:eastAsia="Times New Roman" w:hAnsi="Arial" w:cs="Arial"/>
          <w:bCs/>
          <w:lang w:val="es-MX" w:eastAsia="x-none"/>
        </w:rPr>
        <w:lastRenderedPageBreak/>
        <w:t xml:space="preserve">contratación y están exceptuadas del ámbito de aplicación del Estatuto General de Contratación de la Administración Pública. </w:t>
      </w:r>
      <w:bookmarkEnd w:id="23"/>
      <w:r w:rsidRPr="00CC5457">
        <w:rPr>
          <w:rFonts w:ascii="Arial" w:eastAsia="Times New Roman" w:hAnsi="Arial" w:cs="Arial"/>
          <w:bCs/>
          <w:lang w:val="es-MX" w:eastAsia="x-none"/>
        </w:rPr>
        <w:t xml:space="preserve">El Consejo de Estado, en Concepto con radicado 1727 de fecha 20 de febrero de 2006, consideró que: </w:t>
      </w:r>
    </w:p>
    <w:p w14:paraId="5614B141" w14:textId="77777777" w:rsidR="00CC5457" w:rsidRPr="00CC5457" w:rsidRDefault="00CC5457" w:rsidP="001C1FD7">
      <w:pPr>
        <w:spacing w:after="0" w:line="276" w:lineRule="auto"/>
        <w:ind w:firstLine="708"/>
        <w:contextualSpacing/>
        <w:jc w:val="both"/>
        <w:rPr>
          <w:rFonts w:ascii="Arial" w:eastAsia="Times New Roman" w:hAnsi="Arial" w:cs="Arial"/>
          <w:bCs/>
          <w:lang w:val="es-MX" w:eastAsia="x-none"/>
        </w:rPr>
      </w:pPr>
    </w:p>
    <w:p w14:paraId="72E0F1A3" w14:textId="77777777" w:rsidR="00CC5457" w:rsidRPr="00CC5457" w:rsidRDefault="00CC5457" w:rsidP="00CC5457">
      <w:pPr>
        <w:spacing w:after="0" w:line="240" w:lineRule="auto"/>
        <w:ind w:left="708" w:right="709"/>
        <w:contextualSpacing/>
        <w:jc w:val="both"/>
        <w:rPr>
          <w:rFonts w:ascii="Arial" w:eastAsia="Times New Roman" w:hAnsi="Arial" w:cs="Arial"/>
          <w:bCs/>
          <w:sz w:val="21"/>
          <w:szCs w:val="21"/>
          <w:lang w:val="es-MX" w:eastAsia="es-CO"/>
        </w:rPr>
      </w:pPr>
      <w:r w:rsidRPr="00CC5457">
        <w:rPr>
          <w:rFonts w:ascii="Arial" w:eastAsia="Times New Roman" w:hAnsi="Arial" w:cs="Arial"/>
          <w:bCs/>
          <w:sz w:val="21"/>
          <w:szCs w:val="21"/>
          <w:lang w:val="es-MX" w:eastAsia="x-none"/>
        </w:rPr>
        <w:t xml:space="preserve">El artículo 33 de la ley 996 de 2005, </w:t>
      </w:r>
      <w:bookmarkStart w:id="25" w:name="_Hlk75787147"/>
      <w:r w:rsidRPr="00CC5457">
        <w:rPr>
          <w:rFonts w:ascii="Arial" w:eastAsia="Times New Roman" w:hAnsi="Arial" w:cs="Arial"/>
          <w:bCs/>
          <w:sz w:val="21"/>
          <w:szCs w:val="21"/>
          <w:lang w:val="es-MX" w:eastAsia="x-none"/>
        </w:rPr>
        <w:t xml:space="preserve">efectivamente se aplica </w:t>
      </w:r>
      <w:bookmarkStart w:id="26" w:name="_Hlk76074089"/>
      <w:r w:rsidRPr="00CC5457">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26"/>
      <w:r w:rsidRPr="00CC5457">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CC5457">
        <w:rPr>
          <w:rFonts w:ascii="Arial" w:eastAsia="Times New Roman" w:hAnsi="Arial" w:cs="Arial"/>
          <w:bCs/>
          <w:sz w:val="21"/>
          <w:szCs w:val="21"/>
          <w:vertAlign w:val="superscript"/>
          <w:lang w:val="es-MX" w:eastAsia="x-none"/>
        </w:rPr>
        <w:footnoteReference w:id="24"/>
      </w:r>
      <w:r w:rsidRPr="00CC5457">
        <w:rPr>
          <w:rFonts w:ascii="Arial" w:eastAsia="Times New Roman" w:hAnsi="Arial" w:cs="Arial"/>
          <w:bCs/>
          <w:sz w:val="21"/>
          <w:szCs w:val="21"/>
          <w:lang w:val="es-MX" w:eastAsia="x-none"/>
        </w:rPr>
        <w:t>.</w:t>
      </w:r>
      <w:r w:rsidRPr="00CC5457">
        <w:rPr>
          <w:rFonts w:ascii="Arial" w:eastAsia="Times New Roman" w:hAnsi="Arial" w:cs="Arial"/>
          <w:bCs/>
          <w:sz w:val="21"/>
          <w:szCs w:val="21"/>
          <w:lang w:val="es-MX" w:eastAsia="es-CO"/>
        </w:rPr>
        <w:t xml:space="preserve"> </w:t>
      </w:r>
    </w:p>
    <w:p w14:paraId="3AA2F10D" w14:textId="77777777" w:rsidR="00CC5457" w:rsidRPr="00CC5457" w:rsidRDefault="00CC5457" w:rsidP="00CC5457">
      <w:pPr>
        <w:spacing w:after="0" w:line="276" w:lineRule="auto"/>
        <w:ind w:firstLine="708"/>
        <w:contextualSpacing/>
        <w:jc w:val="both"/>
        <w:rPr>
          <w:rFonts w:ascii="Arial" w:eastAsia="Times New Roman" w:hAnsi="Arial" w:cs="Arial"/>
          <w:bCs/>
          <w:lang w:val="es-MX" w:eastAsia="es-CO"/>
        </w:rPr>
      </w:pPr>
    </w:p>
    <w:p w14:paraId="18065CDC" w14:textId="77777777" w:rsidR="00CC5457" w:rsidRPr="00CC5457" w:rsidRDefault="00CC5457" w:rsidP="00CC5457">
      <w:pPr>
        <w:spacing w:after="0" w:line="276" w:lineRule="auto"/>
        <w:ind w:firstLine="708"/>
        <w:jc w:val="both"/>
        <w:rPr>
          <w:rFonts w:ascii="Arial" w:eastAsia="Calibri" w:hAnsi="Arial" w:cs="Arial"/>
          <w:lang w:val="es-MX"/>
        </w:rPr>
      </w:pPr>
      <w:r w:rsidRPr="00CC5457">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27" w:name="_Hlk75635823"/>
      <w:r w:rsidRPr="00CC5457">
        <w:rPr>
          <w:rFonts w:ascii="Arial" w:eastAsia="Times New Roman" w:hAnsi="Arial" w:cs="Arial"/>
          <w:bCs/>
          <w:lang w:val="es-MX" w:eastAsia="x-none"/>
        </w:rPr>
        <w:t>»</w:t>
      </w:r>
      <w:bookmarkStart w:id="28" w:name="_Hlk75758868"/>
      <w:bookmarkStart w:id="29" w:name="_Hlk75741220"/>
      <w:bookmarkEnd w:id="27"/>
      <w:r w:rsidRPr="00CC5457">
        <w:rPr>
          <w:rFonts w:ascii="Arial" w:eastAsia="Calibri" w:hAnsi="Arial" w:cs="Arial"/>
          <w:vertAlign w:val="superscript"/>
          <w:lang w:val="es-MX"/>
        </w:rPr>
        <w:footnoteReference w:id="25"/>
      </w:r>
      <w:bookmarkEnd w:id="28"/>
      <w:bookmarkEnd w:id="29"/>
      <w:r w:rsidRPr="00CC5457">
        <w:rPr>
          <w:rFonts w:ascii="Arial" w:eastAsia="Times New Roman" w:hAnsi="Arial" w:cs="Arial"/>
          <w:bCs/>
          <w:lang w:val="es-MX" w:eastAsia="x-none"/>
        </w:rPr>
        <w:t>.</w:t>
      </w:r>
      <w:r w:rsidRPr="00CC5457">
        <w:rPr>
          <w:rFonts w:ascii="Arial" w:eastAsia="Calibri" w:hAnsi="Arial" w:cs="Arial"/>
          <w:lang w:val="es-MX"/>
        </w:rPr>
        <w:t xml:space="preserve"> Sin embargo, debe precisarse el siguiente aspecto que distinguió la Sala de Consulta y Servicio Civil:</w:t>
      </w:r>
    </w:p>
    <w:p w14:paraId="4725354B" w14:textId="77777777" w:rsidR="00CC5457" w:rsidRPr="00CC5457" w:rsidRDefault="00CC5457" w:rsidP="00CC5457">
      <w:pPr>
        <w:spacing w:after="0" w:line="276" w:lineRule="auto"/>
        <w:jc w:val="both"/>
        <w:rPr>
          <w:rFonts w:ascii="Arial" w:eastAsia="Calibri" w:hAnsi="Arial" w:cs="Arial"/>
          <w:lang w:val="es-MX"/>
        </w:rPr>
      </w:pPr>
    </w:p>
    <w:p w14:paraId="797A621F" w14:textId="77777777" w:rsidR="00CC5457" w:rsidRPr="00CC5457" w:rsidRDefault="00CC5457" w:rsidP="00CC5457">
      <w:pPr>
        <w:spacing w:after="0" w:line="240" w:lineRule="auto"/>
        <w:ind w:left="708" w:right="709"/>
        <w:jc w:val="both"/>
        <w:rPr>
          <w:rFonts w:ascii="Arial" w:eastAsia="Calibri" w:hAnsi="Arial" w:cs="Arial"/>
          <w:sz w:val="21"/>
          <w:szCs w:val="21"/>
          <w:lang w:val="es-MX"/>
        </w:rPr>
      </w:pPr>
      <w:bookmarkStart w:id="31" w:name="_Hlk75811446"/>
      <w:r w:rsidRPr="00CC5457">
        <w:rPr>
          <w:rFonts w:ascii="Arial" w:eastAsia="Calibri" w:hAnsi="Arial" w:cs="Arial"/>
          <w:sz w:val="21"/>
          <w:szCs w:val="21"/>
          <w:lang w:val="es-MX"/>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w:t>
      </w:r>
      <w:r w:rsidRPr="00CC5457">
        <w:rPr>
          <w:rFonts w:ascii="Arial" w:eastAsia="Calibri" w:hAnsi="Arial" w:cs="Arial"/>
          <w:sz w:val="21"/>
          <w:szCs w:val="21"/>
          <w:lang w:val="es-MX"/>
        </w:rPr>
        <w:lastRenderedPageBreak/>
        <w:t>entregar los servicios públicos a su cargo a nuevas personas, ni dejar de renovar los contratos existentes, pues significaría la parálisis de una actividad propia de la administración, que incluso podría desconocer los derechos fundamentales</w:t>
      </w:r>
      <w:bookmarkEnd w:id="31"/>
      <w:r w:rsidRPr="00CC5457">
        <w:rPr>
          <w:rFonts w:ascii="Arial" w:eastAsia="Calibri" w:hAnsi="Arial" w:cs="Arial"/>
          <w:sz w:val="24"/>
          <w:vertAlign w:val="superscript"/>
          <w:lang w:val="es-MX"/>
        </w:rPr>
        <w:footnoteReference w:id="26"/>
      </w:r>
      <w:r w:rsidRPr="00CC5457">
        <w:rPr>
          <w:rFonts w:ascii="Arial" w:eastAsia="Times New Roman" w:hAnsi="Arial" w:cs="Arial"/>
          <w:bCs/>
          <w:lang w:val="es-MX" w:eastAsia="x-none"/>
        </w:rPr>
        <w:t>.</w:t>
      </w:r>
    </w:p>
    <w:p w14:paraId="67134455" w14:textId="77777777" w:rsidR="00CC5457" w:rsidRPr="00CC5457" w:rsidRDefault="00CC5457" w:rsidP="00CC5457">
      <w:pPr>
        <w:spacing w:after="0" w:line="276" w:lineRule="auto"/>
        <w:jc w:val="both"/>
        <w:rPr>
          <w:rFonts w:ascii="Arial" w:eastAsia="Calibri" w:hAnsi="Arial" w:cs="Arial"/>
          <w:lang w:val="es-MX"/>
        </w:rPr>
      </w:pPr>
    </w:p>
    <w:p w14:paraId="6BB653AF" w14:textId="77777777" w:rsidR="00AA5F75" w:rsidRPr="008C2801" w:rsidRDefault="00CC5457" w:rsidP="00AA5F75">
      <w:pPr>
        <w:spacing w:after="120" w:line="276" w:lineRule="auto"/>
        <w:ind w:firstLine="709"/>
        <w:jc w:val="both"/>
        <w:rPr>
          <w:rFonts w:ascii="Arial" w:eastAsia="Times New Roman" w:hAnsi="Arial" w:cs="Arial"/>
          <w:bCs/>
          <w:lang w:val="es-MX" w:eastAsia="x-none"/>
        </w:rPr>
      </w:pPr>
      <w:bookmarkStart w:id="32" w:name="_Hlk77237229"/>
      <w:bookmarkEnd w:id="25"/>
      <w:r w:rsidRPr="00CC5457">
        <w:rPr>
          <w:rFonts w:ascii="Arial" w:eastAsia="Calibri" w:hAnsi="Arial" w:cs="Arial"/>
          <w:lang w:val="es-MX"/>
        </w:rPr>
        <w:t>Por lo tanto, la restricción prevista en la Ley 996 de 200</w:t>
      </w:r>
      <w:bookmarkStart w:id="33" w:name="_Hlk75741539"/>
      <w:r w:rsidRPr="00CC5457">
        <w:rPr>
          <w:rFonts w:ascii="Arial" w:eastAsia="Calibri" w:hAnsi="Arial" w:cs="Arial"/>
          <w:lang w:val="es-MX"/>
        </w:rPr>
        <w:t xml:space="preserve">5, </w:t>
      </w:r>
      <w:r w:rsidRPr="00CC5457">
        <w:rPr>
          <w:rFonts w:ascii="Arial" w:eastAsia="Times New Roman" w:hAnsi="Arial" w:cs="Arial"/>
          <w:bCs/>
          <w:lang w:val="es-MX" w:eastAsia="x-none"/>
        </w:rPr>
        <w:t xml:space="preserve">teniendo en cuenta la finalidad de la </w:t>
      </w:r>
      <w:r w:rsidR="00BE7567" w:rsidRPr="008C2801">
        <w:rPr>
          <w:rFonts w:ascii="Arial" w:eastAsia="Times New Roman" w:hAnsi="Arial" w:cs="Arial"/>
          <w:bCs/>
          <w:lang w:val="es-MX" w:eastAsia="x-none"/>
        </w:rPr>
        <w:t xml:space="preserve">Ley </w:t>
      </w:r>
      <w:r w:rsidRPr="00CC5457">
        <w:rPr>
          <w:rFonts w:ascii="Arial" w:eastAsia="Times New Roman" w:hAnsi="Arial" w:cs="Arial"/>
          <w:bCs/>
          <w:lang w:val="es-MX" w:eastAsia="x-none"/>
        </w:rPr>
        <w:t xml:space="preserve">de </w:t>
      </w:r>
      <w:r w:rsidR="00BE7567" w:rsidRPr="008C2801">
        <w:rPr>
          <w:rFonts w:ascii="Arial" w:eastAsia="Times New Roman" w:hAnsi="Arial" w:cs="Arial"/>
          <w:bCs/>
          <w:lang w:val="es-MX" w:eastAsia="x-none"/>
        </w:rPr>
        <w:t>Garantías Electorales</w:t>
      </w:r>
      <w:r w:rsidRPr="00CC5457">
        <w:rPr>
          <w:rFonts w:ascii="Arial" w:eastAsia="Times New Roman" w:hAnsi="Arial" w:cs="Arial"/>
          <w:bCs/>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bookmarkStart w:id="34" w:name="_Hlk98860186"/>
      <w:bookmarkEnd w:id="32"/>
      <w:bookmarkEnd w:id="33"/>
    </w:p>
    <w:p w14:paraId="1C97CE1B" w14:textId="056E8023" w:rsidR="00CC5457" w:rsidRPr="00CC5457" w:rsidRDefault="00F66A8F" w:rsidP="000F5B6F">
      <w:pPr>
        <w:spacing w:after="120" w:line="276" w:lineRule="auto"/>
        <w:ind w:firstLine="709"/>
        <w:jc w:val="both"/>
        <w:rPr>
          <w:rFonts w:ascii="Arial" w:eastAsia="Calibri" w:hAnsi="Arial" w:cs="Arial"/>
          <w:lang w:val="es-MX"/>
        </w:rPr>
      </w:pPr>
      <w:bookmarkStart w:id="35" w:name="_Hlk104456879"/>
      <w:r w:rsidRPr="008C2801">
        <w:rPr>
          <w:rFonts w:ascii="Arial" w:eastAsia="Times New Roman" w:hAnsi="Arial" w:cs="Arial"/>
          <w:bCs/>
          <w:lang w:val="es-ES" w:eastAsia="es-CO" w:bidi="es-ES"/>
        </w:rPr>
        <w:t>T</w:t>
      </w:r>
      <w:r w:rsidR="003D78DE" w:rsidRPr="008C2801">
        <w:rPr>
          <w:rFonts w:ascii="Arial" w:eastAsia="Times New Roman" w:hAnsi="Arial" w:cs="Arial"/>
          <w:bCs/>
          <w:lang w:val="es-ES" w:eastAsia="es-CO" w:bidi="es-ES"/>
        </w:rPr>
        <w:t>eniendo en cuenta el objeto de su</w:t>
      </w:r>
      <w:r w:rsidR="007310E0" w:rsidRPr="008C2801">
        <w:rPr>
          <w:rFonts w:ascii="Arial" w:eastAsia="Times New Roman" w:hAnsi="Arial" w:cs="Arial"/>
          <w:bCs/>
          <w:lang w:val="es-ES" w:eastAsia="es-CO" w:bidi="es-ES"/>
        </w:rPr>
        <w:t xml:space="preserve"> consulta</w:t>
      </w:r>
      <w:r w:rsidR="00362C4B" w:rsidRPr="008C2801">
        <w:rPr>
          <w:rFonts w:ascii="Arial" w:eastAsia="Times New Roman" w:hAnsi="Arial" w:cs="Arial"/>
          <w:bCs/>
          <w:lang w:val="es-ES" w:eastAsia="es-CO" w:bidi="es-ES"/>
        </w:rPr>
        <w:t>, resulta relevante señalar que</w:t>
      </w:r>
      <w:r w:rsidR="00B26387" w:rsidRPr="008C2801">
        <w:rPr>
          <w:rFonts w:ascii="Arial" w:eastAsia="Times New Roman" w:hAnsi="Arial" w:cs="Arial"/>
          <w:bCs/>
          <w:lang w:val="es-ES" w:eastAsia="es-CO" w:bidi="es-ES"/>
        </w:rPr>
        <w:t xml:space="preserve">, de acuerdo con el artículo 218 de la Constitución Política de Colombia, </w:t>
      </w:r>
      <w:r w:rsidR="00362C4B" w:rsidRPr="008C2801">
        <w:rPr>
          <w:rFonts w:ascii="Arial" w:eastAsia="Times New Roman" w:hAnsi="Arial" w:cs="Arial"/>
          <w:bCs/>
          <w:lang w:val="es-ES" w:eastAsia="es-CO" w:bidi="es-ES"/>
        </w:rPr>
        <w:t xml:space="preserve">la Policía Nacional </w:t>
      </w:r>
      <w:r w:rsidR="007D7DC7" w:rsidRPr="008C2801">
        <w:rPr>
          <w:rFonts w:ascii="Arial" w:eastAsia="Times New Roman" w:hAnsi="Arial" w:cs="Arial"/>
          <w:bCs/>
          <w:lang w:val="es-ES" w:eastAsia="es-CO" w:bidi="es-ES"/>
        </w:rPr>
        <w:t>de Colombia</w:t>
      </w:r>
      <w:r w:rsidR="00CC5457" w:rsidRPr="00CC5457">
        <w:rPr>
          <w:rFonts w:ascii="Arial" w:eastAsia="Times New Roman" w:hAnsi="Arial" w:cs="Arial"/>
          <w:bCs/>
          <w:lang w:val="es-ES" w:eastAsia="es-CO" w:bidi="es-ES"/>
        </w:rPr>
        <w:t xml:space="preserve"> </w:t>
      </w:r>
      <w:r w:rsidR="00577D0C" w:rsidRPr="00CC5457">
        <w:rPr>
          <w:rFonts w:ascii="Arial" w:eastAsia="Times New Roman" w:hAnsi="Arial" w:cs="Arial"/>
          <w:bCs/>
          <w:lang w:val="es-MX" w:eastAsia="x-none"/>
        </w:rPr>
        <w:t>«</w:t>
      </w:r>
      <w:r w:rsidR="00577D0C" w:rsidRPr="008C2801">
        <w:rPr>
          <w:rFonts w:ascii="Arial" w:hAnsi="Arial" w:cs="Arial"/>
        </w:rPr>
        <w:t>es un cuerpo armado permanente de naturaleza civil, a cargo de la Nación, cuyo fin primordial es el mantenimiento de las condiciones necesarias para el ejercicio de los derechos y libertades públicas, y para asegurar que los habitantes de Colombia convivan en paz</w:t>
      </w:r>
      <w:r w:rsidR="00577D0C" w:rsidRPr="00CC5457">
        <w:rPr>
          <w:rFonts w:ascii="Arial" w:eastAsia="Times New Roman" w:hAnsi="Arial" w:cs="Arial"/>
          <w:bCs/>
          <w:lang w:val="es-MX" w:eastAsia="x-none"/>
        </w:rPr>
        <w:t>»</w:t>
      </w:r>
      <w:r w:rsidR="00577D0C" w:rsidRPr="008C2801">
        <w:rPr>
          <w:rFonts w:ascii="Arial" w:hAnsi="Arial" w:cs="Arial"/>
        </w:rPr>
        <w:t>.</w:t>
      </w:r>
      <w:r w:rsidR="00B22058" w:rsidRPr="008C2801">
        <w:rPr>
          <w:rFonts w:ascii="Arial" w:hAnsi="Arial" w:cs="Arial"/>
        </w:rPr>
        <w:t xml:space="preserve"> Asimismo,</w:t>
      </w:r>
      <w:r w:rsidR="00A123C4" w:rsidRPr="008C2801">
        <w:rPr>
          <w:rFonts w:ascii="Arial" w:hAnsi="Arial" w:cs="Arial"/>
        </w:rPr>
        <w:t xml:space="preserve"> los artículos 2</w:t>
      </w:r>
      <w:r w:rsidR="00496CC4" w:rsidRPr="008C2801">
        <w:rPr>
          <w:rStyle w:val="Refdenotaalpie"/>
          <w:rFonts w:ascii="Arial" w:hAnsi="Arial" w:cs="Arial"/>
        </w:rPr>
        <w:footnoteReference w:id="27"/>
      </w:r>
      <w:r w:rsidR="00A123C4" w:rsidRPr="008C2801">
        <w:rPr>
          <w:rFonts w:ascii="Arial" w:hAnsi="Arial" w:cs="Arial"/>
        </w:rPr>
        <w:t xml:space="preserve"> y 3</w:t>
      </w:r>
      <w:r w:rsidR="00C6264B" w:rsidRPr="008C2801">
        <w:rPr>
          <w:rStyle w:val="Refdenotaalpie"/>
          <w:rFonts w:ascii="Arial" w:hAnsi="Arial" w:cs="Arial"/>
        </w:rPr>
        <w:footnoteReference w:id="28"/>
      </w:r>
      <w:r w:rsidR="00A123C4" w:rsidRPr="008C2801">
        <w:rPr>
          <w:rFonts w:ascii="Arial" w:hAnsi="Arial" w:cs="Arial"/>
        </w:rPr>
        <w:t xml:space="preserve"> del Decreto 1512 de 2000 consagran </w:t>
      </w:r>
      <w:r w:rsidR="00B64AB0" w:rsidRPr="008C2801">
        <w:rPr>
          <w:rFonts w:ascii="Arial" w:hAnsi="Arial" w:cs="Arial"/>
        </w:rPr>
        <w:t>la subordinación</w:t>
      </w:r>
      <w:r w:rsidR="000842D9" w:rsidRPr="008C2801">
        <w:rPr>
          <w:rFonts w:ascii="Arial" w:hAnsi="Arial" w:cs="Arial"/>
        </w:rPr>
        <w:t xml:space="preserve"> de la fuerza </w:t>
      </w:r>
      <w:r w:rsidR="00431784" w:rsidRPr="008C2801">
        <w:rPr>
          <w:rFonts w:ascii="Arial" w:hAnsi="Arial" w:cs="Arial"/>
        </w:rPr>
        <w:t xml:space="preserve">pública, a la </w:t>
      </w:r>
      <w:r w:rsidR="00823AEE" w:rsidRPr="008C2801">
        <w:rPr>
          <w:rFonts w:ascii="Arial" w:hAnsi="Arial" w:cs="Arial"/>
        </w:rPr>
        <w:t>cual pertenece</w:t>
      </w:r>
      <w:r w:rsidR="00431784" w:rsidRPr="008C2801">
        <w:rPr>
          <w:rFonts w:ascii="Arial" w:hAnsi="Arial" w:cs="Arial"/>
        </w:rPr>
        <w:t xml:space="preserve"> la Policía Nacional,</w:t>
      </w:r>
      <w:r w:rsidR="000842D9" w:rsidRPr="008C2801">
        <w:rPr>
          <w:rFonts w:ascii="Arial" w:hAnsi="Arial" w:cs="Arial"/>
        </w:rPr>
        <w:t xml:space="preserve"> al Ministerio de Defensa Nacional.</w:t>
      </w:r>
      <w:r w:rsidR="00477E96">
        <w:rPr>
          <w:rFonts w:ascii="Arial" w:eastAsia="Times New Roman" w:hAnsi="Arial" w:cs="Arial"/>
          <w:bCs/>
          <w:lang w:val="es-ES" w:eastAsia="es-CO" w:bidi="es-ES"/>
        </w:rPr>
        <w:t xml:space="preserve"> </w:t>
      </w:r>
      <w:r w:rsidR="000F5B6F">
        <w:rPr>
          <w:rFonts w:ascii="Arial" w:eastAsia="Times New Roman" w:hAnsi="Arial" w:cs="Arial"/>
          <w:bCs/>
          <w:lang w:val="es-ES" w:eastAsia="es-CO" w:bidi="es-ES"/>
        </w:rPr>
        <w:t xml:space="preserve">De acuerdo con esto, </w:t>
      </w:r>
      <w:r w:rsidR="00490965" w:rsidRPr="008C2801">
        <w:rPr>
          <w:rFonts w:ascii="Arial" w:eastAsia="Times New Roman" w:hAnsi="Arial" w:cs="Arial"/>
          <w:bCs/>
          <w:lang w:val="es-ES" w:eastAsia="es-CO" w:bidi="es-ES"/>
        </w:rPr>
        <w:t>la Policía Nacional de Colombia</w:t>
      </w:r>
      <w:r w:rsidR="00490965" w:rsidRPr="00CC5457">
        <w:rPr>
          <w:rFonts w:ascii="Arial" w:eastAsia="Times New Roman" w:hAnsi="Arial" w:cs="Arial"/>
          <w:bCs/>
          <w:lang w:val="es-ES" w:eastAsia="es-CO" w:bidi="es-ES"/>
        </w:rPr>
        <w:t xml:space="preserve"> </w:t>
      </w:r>
      <w:r w:rsidR="00490965" w:rsidRPr="008C2801">
        <w:rPr>
          <w:rFonts w:ascii="Arial" w:eastAsia="Times New Roman" w:hAnsi="Arial" w:cs="Arial"/>
          <w:bCs/>
          <w:lang w:val="es-ES" w:eastAsia="es-CO" w:bidi="es-ES"/>
        </w:rPr>
        <w:t>tiene un rol definido en la estructura del Estado, por lo que</w:t>
      </w:r>
      <w:bookmarkStart w:id="36" w:name="_Hlk98315258"/>
      <w:r w:rsidR="007C7EE5" w:rsidRPr="008C2801">
        <w:rPr>
          <w:rFonts w:ascii="Arial" w:eastAsia="Times New Roman" w:hAnsi="Arial" w:cs="Arial"/>
          <w:bCs/>
          <w:lang w:val="es-ES" w:eastAsia="es-CO" w:bidi="es-ES"/>
        </w:rPr>
        <w:t xml:space="preserve">, </w:t>
      </w:r>
      <w:r w:rsidR="00CC5457" w:rsidRPr="00CC5457">
        <w:rPr>
          <w:rFonts w:ascii="Arial" w:eastAsia="Times New Roman" w:hAnsi="Arial" w:cs="Arial"/>
          <w:bCs/>
          <w:lang w:val="es-ES" w:eastAsia="es-CO" w:bidi="es-ES"/>
        </w:rPr>
        <w:t xml:space="preserve">dada su calidad de entes del Estado, durante el periodo de aplicación de la prohibición establecida en el artículo 33 de la Ley 996 de 2005, podrá celebrar contratos siempre que se realice un procedimiento competitivo, que permita la participación de pluralidad de oferentes. Por el contrario, no le será posible celebrar contratos a través de una contratación directa, entendiendo esta como aquel sistema de selección de contratistas en el que no exista convocatoria pública, ni sea posible la participación de pluralidad de oferentes. </w:t>
      </w:r>
    </w:p>
    <w:bookmarkEnd w:id="35"/>
    <w:p w14:paraId="0558C2DC" w14:textId="77777777" w:rsidR="00CE2E21" w:rsidRPr="008C2801" w:rsidRDefault="00CC5457" w:rsidP="00681187">
      <w:pPr>
        <w:widowControl w:val="0"/>
        <w:autoSpaceDE w:val="0"/>
        <w:autoSpaceDN w:val="0"/>
        <w:spacing w:after="120" w:line="276" w:lineRule="auto"/>
        <w:ind w:firstLine="709"/>
        <w:jc w:val="both"/>
        <w:rPr>
          <w:rFonts w:ascii="Arial" w:eastAsia="Times New Roman" w:hAnsi="Arial" w:cs="Arial"/>
          <w:bCs/>
          <w:lang w:val="es-ES" w:eastAsia="es-CO" w:bidi="es-ES"/>
        </w:rPr>
      </w:pPr>
      <w:r w:rsidRPr="00CC5457">
        <w:rPr>
          <w:rFonts w:ascii="Arial" w:eastAsia="Times New Roman" w:hAnsi="Arial" w:cs="Arial"/>
          <w:bCs/>
          <w:lang w:val="es-ES" w:eastAsia="es-CO" w:bidi="es-ES"/>
        </w:rPr>
        <w:t xml:space="preserve">Ahora bien, las entidades públicas, de acuerdo con el inciso final del artículo 33 de la Ley 996 de 2005 –Ley de Garantías Electorales–, y previo análisis de la naturaleza de </w:t>
      </w:r>
      <w:r w:rsidRPr="00CC5457">
        <w:rPr>
          <w:rFonts w:ascii="Arial" w:eastAsia="Times New Roman" w:hAnsi="Arial" w:cs="Arial"/>
          <w:bCs/>
          <w:lang w:val="es-ES" w:eastAsia="es-CO" w:bidi="es-ES"/>
        </w:rPr>
        <w:lastRenderedPageBreak/>
        <w:t>las actividades que adelantan, podrán realizar procedimientos de selección directa en períodos previos a la contienda electoral por la Presidencia, cuando el contrato a celebrar se enmarque dentro de algunas de las excepciones consagradas en dicha disposición</w:t>
      </w:r>
      <w:bookmarkEnd w:id="34"/>
      <w:r w:rsidRPr="00CC5457">
        <w:rPr>
          <w:rFonts w:ascii="Arial" w:eastAsia="Times New Roman" w:hAnsi="Arial" w:cs="Arial"/>
          <w:bCs/>
          <w:lang w:val="es-ES" w:eastAsia="es-CO" w:bidi="es-ES"/>
        </w:rPr>
        <w:t xml:space="preserve">, esto es: i) la defensa y seguridad del Estado; </w:t>
      </w:r>
      <w:proofErr w:type="spellStart"/>
      <w:r w:rsidRPr="00CC5457">
        <w:rPr>
          <w:rFonts w:ascii="Arial" w:eastAsia="Times New Roman" w:hAnsi="Arial" w:cs="Arial"/>
          <w:bCs/>
          <w:lang w:val="es-ES" w:eastAsia="es-CO" w:bidi="es-ES"/>
        </w:rPr>
        <w:t>ii</w:t>
      </w:r>
      <w:proofErr w:type="spellEnd"/>
      <w:r w:rsidRPr="00CC5457">
        <w:rPr>
          <w:rFonts w:ascii="Arial" w:eastAsia="Times New Roman" w:hAnsi="Arial" w:cs="Arial"/>
          <w:bCs/>
          <w:lang w:val="es-ES" w:eastAsia="es-CO" w:bidi="es-ES"/>
        </w:rPr>
        <w:t xml:space="preserve">) los contratos de crédito público; </w:t>
      </w:r>
      <w:proofErr w:type="spellStart"/>
      <w:r w:rsidRPr="00CC5457">
        <w:rPr>
          <w:rFonts w:ascii="Arial" w:eastAsia="Times New Roman" w:hAnsi="Arial" w:cs="Arial"/>
          <w:bCs/>
          <w:lang w:val="es-ES" w:eastAsia="es-CO" w:bidi="es-ES"/>
        </w:rPr>
        <w:t>iii</w:t>
      </w:r>
      <w:proofErr w:type="spellEnd"/>
      <w:r w:rsidRPr="00CC5457">
        <w:rPr>
          <w:rFonts w:ascii="Arial" w:eastAsia="Times New Roman" w:hAnsi="Arial" w:cs="Arial"/>
          <w:bCs/>
          <w:lang w:val="es-ES" w:eastAsia="es-CO" w:bidi="es-ES"/>
        </w:rPr>
        <w:t xml:space="preserve">) los requeridos para cubrir las emergencias educativas, sanitarias y desastres; </w:t>
      </w:r>
      <w:proofErr w:type="spellStart"/>
      <w:r w:rsidRPr="00CC5457">
        <w:rPr>
          <w:rFonts w:ascii="Arial" w:eastAsia="Times New Roman" w:hAnsi="Arial" w:cs="Arial"/>
          <w:bCs/>
          <w:lang w:val="es-ES" w:eastAsia="es-CO" w:bidi="es-ES"/>
        </w:rPr>
        <w:t>iv</w:t>
      </w:r>
      <w:proofErr w:type="spellEnd"/>
      <w:r w:rsidRPr="00CC5457">
        <w:rPr>
          <w:rFonts w:ascii="Arial" w:eastAsia="Times New Roman" w:hAnsi="Arial" w:cs="Arial"/>
          <w:bCs/>
          <w:lang w:val="es-ES" w:eastAsia="es-CO" w:bidi="es-ES"/>
        </w:rPr>
        <w:t xml:space="preserve">)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06CAAED7" w14:textId="667082DA" w:rsidR="00CC5457" w:rsidRPr="00CC5457" w:rsidRDefault="00CC5457" w:rsidP="00285BC7">
      <w:pPr>
        <w:widowControl w:val="0"/>
        <w:autoSpaceDE w:val="0"/>
        <w:autoSpaceDN w:val="0"/>
        <w:spacing w:after="0" w:line="276" w:lineRule="auto"/>
        <w:ind w:firstLine="709"/>
        <w:contextualSpacing/>
        <w:jc w:val="both"/>
        <w:rPr>
          <w:rFonts w:ascii="Arial" w:eastAsia="Times New Roman" w:hAnsi="Arial" w:cs="Arial"/>
          <w:bCs/>
          <w:lang w:val="es-ES" w:eastAsia="es-CO" w:bidi="es-ES"/>
        </w:rPr>
      </w:pPr>
      <w:r w:rsidRPr="00CC5457">
        <w:rPr>
          <w:rFonts w:ascii="Arial" w:eastAsia="Times New Roman" w:hAnsi="Arial" w:cs="Arial"/>
          <w:bCs/>
          <w:lang w:val="es-ES" w:eastAsia="es-CO" w:bidi="es-ES"/>
        </w:rPr>
        <w:t xml:space="preserve">En todo caso, </w:t>
      </w:r>
      <w:r w:rsidRPr="00CC5457">
        <w:rPr>
          <w:rFonts w:ascii="Arial" w:hAnsi="Arial" w:cs="Arial"/>
          <w:bCs/>
          <w:lang w:eastAsia="x-none"/>
        </w:rPr>
        <w:t xml:space="preserve">se aclara que, la planeación, los estudios técnicos, jurídicos y económicos, que debe preceder la celebración de cada contrato, y que determinan su viabilidad desde tales perspectivas, son asuntos que competen a las entidades estatales que adelantan lo procesos de contratación respectivos, con el apoyo de sus funcionarios y órganos asesores.   </w:t>
      </w:r>
      <w:r w:rsidRPr="00CC5457">
        <w:rPr>
          <w:rFonts w:ascii="Arial" w:eastAsia="Times New Roman" w:hAnsi="Arial" w:cs="Arial"/>
          <w:bCs/>
          <w:lang w:val="es-ES" w:eastAsia="es-CO" w:bidi="es-ES"/>
        </w:rPr>
        <w:t xml:space="preserve"> </w:t>
      </w:r>
    </w:p>
    <w:bookmarkEnd w:id="36"/>
    <w:p w14:paraId="532E76D9" w14:textId="77777777" w:rsidR="00986B0B" w:rsidRPr="008C2801" w:rsidRDefault="00986B0B" w:rsidP="00285BC7">
      <w:pPr>
        <w:spacing w:after="0"/>
        <w:contextualSpacing/>
        <w:rPr>
          <w:rFonts w:ascii="Arial" w:hAnsi="Arial" w:cs="Arial"/>
        </w:rPr>
      </w:pPr>
    </w:p>
    <w:p w14:paraId="38923E8C" w14:textId="7CA521D5" w:rsidR="00986B0B" w:rsidRPr="008C2801" w:rsidRDefault="00986B0B" w:rsidP="00285BC7">
      <w:pPr>
        <w:spacing w:after="0"/>
        <w:contextualSpacing/>
        <w:jc w:val="both"/>
        <w:rPr>
          <w:rFonts w:ascii="Arial" w:hAnsi="Arial" w:cs="Arial"/>
          <w:b/>
          <w:bCs/>
        </w:rPr>
      </w:pPr>
      <w:r w:rsidRPr="008C2801">
        <w:rPr>
          <w:rFonts w:ascii="Arial" w:hAnsi="Arial" w:cs="Arial"/>
          <w:b/>
          <w:bCs/>
        </w:rPr>
        <w:t>2.</w:t>
      </w:r>
      <w:r w:rsidR="00BE3098" w:rsidRPr="008C2801">
        <w:rPr>
          <w:rFonts w:ascii="Arial" w:hAnsi="Arial" w:cs="Arial"/>
          <w:b/>
          <w:bCs/>
        </w:rPr>
        <w:t>5</w:t>
      </w:r>
      <w:r w:rsidRPr="008C2801">
        <w:rPr>
          <w:rFonts w:ascii="Arial" w:hAnsi="Arial" w:cs="Arial"/>
          <w:b/>
          <w:bCs/>
        </w:rPr>
        <w:t xml:space="preserve">. </w:t>
      </w:r>
      <w:r w:rsidRPr="008C2801">
        <w:rPr>
          <w:rFonts w:ascii="Arial" w:hAnsi="Arial" w:cs="Arial"/>
          <w:b/>
          <w:bCs/>
          <w:lang w:eastAsia="es-CO"/>
        </w:rPr>
        <w:t xml:space="preserve">Restricciones para la celebración de contratos y convenios interadministrativos en los comicios para cargos de elección popular </w:t>
      </w:r>
    </w:p>
    <w:p w14:paraId="5D7640EC" w14:textId="77777777" w:rsidR="00986B0B" w:rsidRPr="008C2801" w:rsidRDefault="00986B0B" w:rsidP="00285BC7">
      <w:pPr>
        <w:tabs>
          <w:tab w:val="left" w:pos="426"/>
        </w:tabs>
        <w:spacing w:after="0"/>
        <w:contextualSpacing/>
        <w:rPr>
          <w:rFonts w:ascii="Arial" w:eastAsia="Calibri" w:hAnsi="Arial" w:cs="Arial"/>
          <w:bCs/>
        </w:rPr>
      </w:pPr>
    </w:p>
    <w:p w14:paraId="1CA58331" w14:textId="77777777" w:rsidR="00986B0B" w:rsidRPr="008C2801" w:rsidRDefault="00986B0B" w:rsidP="00A86F49">
      <w:pPr>
        <w:tabs>
          <w:tab w:val="left" w:pos="426"/>
        </w:tabs>
        <w:spacing w:after="120" w:line="276" w:lineRule="auto"/>
        <w:jc w:val="both"/>
        <w:rPr>
          <w:rFonts w:ascii="Arial" w:eastAsia="Calibri" w:hAnsi="Arial" w:cs="Arial"/>
          <w:bCs/>
        </w:rPr>
      </w:pPr>
      <w:r w:rsidRPr="008C2801">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8C2801">
        <w:rPr>
          <w:rFonts w:ascii="Arial" w:hAnsi="Arial" w:cs="Arial"/>
          <w:bCs/>
          <w:iCs/>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8C2801">
        <w:rPr>
          <w:rStyle w:val="Refdenotaalpie"/>
          <w:rFonts w:ascii="Arial" w:hAnsi="Arial" w:cs="Arial"/>
          <w:bCs/>
          <w:iCs/>
          <w:lang w:eastAsia="x-none"/>
        </w:rPr>
        <w:footnoteReference w:id="29"/>
      </w:r>
      <w:r w:rsidRPr="008C2801">
        <w:rPr>
          <w:rFonts w:ascii="Arial" w:hAnsi="Arial" w:cs="Arial"/>
          <w:bCs/>
          <w:iCs/>
          <w:lang w:eastAsia="x-none"/>
        </w:rPr>
        <w:t>.</w:t>
      </w:r>
      <w:r w:rsidRPr="008C2801">
        <w:rPr>
          <w:rFonts w:ascii="Arial" w:hAnsi="Arial" w:cs="Arial"/>
        </w:rPr>
        <w:t xml:space="preserve"> </w:t>
      </w:r>
    </w:p>
    <w:p w14:paraId="14A6A008" w14:textId="77777777" w:rsidR="00986B0B" w:rsidRPr="008C2801" w:rsidRDefault="00986B0B" w:rsidP="00A86F49">
      <w:pPr>
        <w:pStyle w:val="Textoindependiente"/>
        <w:ind w:firstLine="707"/>
        <w:jc w:val="both"/>
        <w:rPr>
          <w:rFonts w:ascii="Arial" w:hAnsi="Arial" w:cs="Arial"/>
        </w:rPr>
      </w:pPr>
      <w:r w:rsidRPr="008C2801">
        <w:rPr>
          <w:rFonts w:ascii="Arial" w:eastAsia="Calibri" w:hAnsi="Arial" w:cs="Arial"/>
          <w:bCs/>
        </w:rPr>
        <w:t xml:space="preserve">Ahora bien, para determinar el alcance de la prohibición consagrada por la Ley de Garantías Electorales, conviene precisar la tipología de convenios o contratos interadministrativos. </w:t>
      </w:r>
      <w:r w:rsidRPr="008C2801">
        <w:rPr>
          <w:rFonts w:ascii="Arial" w:hAnsi="Arial" w:cs="Arial"/>
        </w:rPr>
        <w:t>Aunque la ley no la definió ni desarrolló, el Decreto 1082 de 2015 califica a los convenios o contratos interadministrativos como aquella contratación entre entidades estatales</w:t>
      </w:r>
      <w:r w:rsidRPr="008C2801">
        <w:rPr>
          <w:rStyle w:val="Refdenotaalpie"/>
          <w:rFonts w:ascii="Arial" w:hAnsi="Arial" w:cs="Arial"/>
        </w:rPr>
        <w:footnoteReference w:id="30"/>
      </w:r>
      <w:r w:rsidRPr="008C2801">
        <w:rPr>
          <w:rFonts w:ascii="Arial" w:hAnsi="Arial" w:cs="Arial"/>
        </w:rPr>
        <w:t xml:space="preserve">. De acuerdo con lo anterior, el contrato o el convenio </w:t>
      </w:r>
      <w:r w:rsidRPr="008C2801">
        <w:rPr>
          <w:rFonts w:ascii="Arial" w:hAnsi="Arial" w:cs="Arial"/>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8C2801">
        <w:rPr>
          <w:rFonts w:ascii="Arial" w:hAnsi="Arial" w:cs="Arial"/>
          <w:spacing w:val="-6"/>
        </w:rPr>
        <w:t xml:space="preserve"> </w:t>
      </w:r>
      <w:r w:rsidRPr="008C2801">
        <w:rPr>
          <w:rFonts w:ascii="Arial" w:hAnsi="Arial" w:cs="Arial"/>
        </w:rPr>
        <w:t>estatales.</w:t>
      </w:r>
    </w:p>
    <w:p w14:paraId="57561358" w14:textId="77777777" w:rsidR="00986B0B" w:rsidRPr="008C2801" w:rsidRDefault="00986B0B" w:rsidP="00A86F49">
      <w:pPr>
        <w:pStyle w:val="Textoindependiente"/>
        <w:spacing w:before="117"/>
        <w:ind w:firstLine="707"/>
        <w:jc w:val="both"/>
        <w:rPr>
          <w:rFonts w:ascii="Arial" w:hAnsi="Arial" w:cs="Arial"/>
        </w:rPr>
      </w:pPr>
      <w:r w:rsidRPr="008C2801">
        <w:rPr>
          <w:rFonts w:ascii="Arial" w:hAnsi="Arial" w:cs="Aria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C30F8E7" w14:textId="77777777" w:rsidR="00986B0B" w:rsidRPr="008C2801" w:rsidRDefault="00986B0B" w:rsidP="00A86F49">
      <w:pPr>
        <w:pStyle w:val="Textoindependiente"/>
        <w:spacing w:before="121"/>
        <w:ind w:firstLine="707"/>
        <w:jc w:val="both"/>
        <w:rPr>
          <w:rFonts w:ascii="Arial" w:hAnsi="Arial" w:cs="Arial"/>
        </w:rPr>
      </w:pPr>
      <w:r w:rsidRPr="008C2801">
        <w:rPr>
          <w:rFonts w:ascii="Arial" w:hAnsi="Arial" w:cs="Aria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8C2801">
        <w:rPr>
          <w:rStyle w:val="Refdenotaalpie"/>
          <w:rFonts w:ascii="Arial" w:hAnsi="Arial" w:cs="Arial"/>
        </w:rPr>
        <w:footnoteReference w:id="31"/>
      </w:r>
      <w:r w:rsidRPr="008C2801">
        <w:rPr>
          <w:rFonts w:ascii="Arial" w:hAnsi="Arial" w:cs="Arial"/>
        </w:rPr>
        <w:t>. Nótese que, en este caso, lo que cambia es la modalidad de selección y no la naturaleza de contrato</w:t>
      </w:r>
      <w:r w:rsidRPr="008C2801">
        <w:rPr>
          <w:rFonts w:ascii="Arial" w:hAnsi="Arial" w:cs="Arial"/>
          <w:spacing w:val="-18"/>
        </w:rPr>
        <w:t xml:space="preserve"> </w:t>
      </w:r>
      <w:r w:rsidRPr="008C2801">
        <w:rPr>
          <w:rFonts w:ascii="Arial" w:hAnsi="Arial" w:cs="Arial"/>
        </w:rPr>
        <w:t>interadministrativo.</w:t>
      </w:r>
    </w:p>
    <w:p w14:paraId="1DC978E8" w14:textId="77777777" w:rsidR="00986B0B" w:rsidRPr="008C2801" w:rsidRDefault="00986B0B" w:rsidP="00A86F49">
      <w:pPr>
        <w:pStyle w:val="Textoindependiente"/>
        <w:spacing w:after="0"/>
        <w:ind w:firstLine="707"/>
        <w:contextualSpacing/>
        <w:jc w:val="both"/>
        <w:rPr>
          <w:rFonts w:ascii="Arial" w:hAnsi="Arial" w:cs="Arial"/>
        </w:rPr>
      </w:pPr>
      <w:r w:rsidRPr="008C2801">
        <w:rPr>
          <w:rFonts w:ascii="Arial" w:hAnsi="Arial" w:cs="Arial"/>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8C2801">
        <w:rPr>
          <w:rFonts w:ascii="Arial" w:hAnsi="Arial" w:cs="Arial"/>
          <w:spacing w:val="-13"/>
        </w:rPr>
        <w:t xml:space="preserve"> </w:t>
      </w:r>
      <w:r w:rsidRPr="008C2801">
        <w:rPr>
          <w:rFonts w:ascii="Arial" w:hAnsi="Arial" w:cs="Arial"/>
        </w:rPr>
        <w:t>que:</w:t>
      </w:r>
    </w:p>
    <w:p w14:paraId="55301E98" w14:textId="77777777" w:rsidR="00986B0B" w:rsidRPr="008C2801" w:rsidRDefault="00986B0B" w:rsidP="00A86F49">
      <w:pPr>
        <w:pStyle w:val="Textoindependiente"/>
        <w:spacing w:after="0"/>
        <w:ind w:firstLine="707"/>
        <w:contextualSpacing/>
        <w:rPr>
          <w:rFonts w:ascii="Arial" w:hAnsi="Arial" w:cs="Arial"/>
        </w:rPr>
      </w:pPr>
    </w:p>
    <w:p w14:paraId="32127D8B" w14:textId="77777777" w:rsidR="00986B0B" w:rsidRPr="008C2801" w:rsidRDefault="00986B0B" w:rsidP="00A86F49">
      <w:pPr>
        <w:spacing w:after="0"/>
        <w:ind w:left="709" w:right="709"/>
        <w:contextualSpacing/>
        <w:jc w:val="both"/>
        <w:rPr>
          <w:rFonts w:ascii="Arial" w:hAnsi="Arial" w:cs="Arial"/>
          <w:sz w:val="21"/>
        </w:rPr>
      </w:pPr>
      <w:r w:rsidRPr="008C2801">
        <w:rPr>
          <w:rFonts w:ascii="Arial" w:hAnsi="Arial"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8C2801">
        <w:rPr>
          <w:rFonts w:ascii="Arial" w:hAnsi="Arial" w:cs="Arial"/>
          <w:sz w:val="21"/>
        </w:rPr>
        <w:t>ii</w:t>
      </w:r>
      <w:proofErr w:type="spellEnd"/>
      <w:r w:rsidRPr="008C2801">
        <w:rPr>
          <w:rFonts w:ascii="Arial" w:hAnsi="Arial" w:cs="Arial"/>
          <w:sz w:val="21"/>
        </w:rPr>
        <w:t>) tienen como fuente la autonomía contractual; (</w:t>
      </w:r>
      <w:proofErr w:type="spellStart"/>
      <w:r w:rsidRPr="008C2801">
        <w:rPr>
          <w:rFonts w:ascii="Arial" w:hAnsi="Arial" w:cs="Arial"/>
          <w:sz w:val="21"/>
        </w:rPr>
        <w:t>iii</w:t>
      </w:r>
      <w:proofErr w:type="spellEnd"/>
      <w:r w:rsidRPr="008C2801">
        <w:rPr>
          <w:rFonts w:ascii="Arial" w:hAnsi="Arial" w:cs="Arial"/>
          <w:sz w:val="21"/>
        </w:rPr>
        <w:t>) son contratos nominados puesto que están mencionados en la ley; (</w:t>
      </w:r>
      <w:proofErr w:type="spellStart"/>
      <w:r w:rsidRPr="008C2801">
        <w:rPr>
          <w:rFonts w:ascii="Arial" w:hAnsi="Arial" w:cs="Arial"/>
          <w:sz w:val="21"/>
        </w:rPr>
        <w:t>iv</w:t>
      </w:r>
      <w:proofErr w:type="spellEnd"/>
      <w:r w:rsidRPr="008C2801">
        <w:rPr>
          <w:rFonts w:ascii="Arial" w:hAnsi="Arial" w:cs="Arial"/>
          <w:sz w:val="21"/>
        </w:rPr>
        <w:t xml:space="preserve">) son contratos atípicos desde la perspectiva legal dado que se advierte </w:t>
      </w:r>
      <w:r w:rsidRPr="008C2801">
        <w:rPr>
          <w:rFonts w:ascii="Arial" w:hAnsi="Arial" w:cs="Arial"/>
          <w:sz w:val="21"/>
        </w:rPr>
        <w:lastRenderedPageBreak/>
        <w:t>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C2801">
        <w:rPr>
          <w:rFonts w:ascii="Arial" w:hAnsi="Arial" w:cs="Arial"/>
          <w:sz w:val="21"/>
        </w:rPr>
        <w:t>vii</w:t>
      </w:r>
      <w:proofErr w:type="spellEnd"/>
      <w:r w:rsidRPr="008C2801">
        <w:rPr>
          <w:rFonts w:ascii="Arial" w:hAnsi="Arial" w:cs="Arial"/>
          <w:sz w:val="21"/>
        </w:rPr>
        <w:t>) persiguen  una finalidad común a través de la realización de intereses compartidos entre las entidades vinculadas; (</w:t>
      </w:r>
      <w:proofErr w:type="spellStart"/>
      <w:r w:rsidRPr="008C2801">
        <w:rPr>
          <w:rFonts w:ascii="Arial" w:hAnsi="Arial" w:cs="Arial"/>
          <w:sz w:val="21"/>
        </w:rPr>
        <w:t>viii</w:t>
      </w:r>
      <w:proofErr w:type="spellEnd"/>
      <w:r w:rsidRPr="008C2801">
        <w:rPr>
          <w:rFonts w:ascii="Arial" w:hAnsi="Arial" w:cs="Arial"/>
          <w:sz w:val="21"/>
        </w:rPr>
        <w:t>) la acción mediante la cual se deben ventilar las diferencias que sobre el particular surjan es la de controversias contractuales</w:t>
      </w:r>
      <w:r w:rsidRPr="008C2801">
        <w:rPr>
          <w:rStyle w:val="Refdenotaalpie"/>
          <w:rFonts w:ascii="Arial" w:hAnsi="Arial" w:cs="Arial"/>
          <w:sz w:val="21"/>
        </w:rPr>
        <w:footnoteReference w:id="32"/>
      </w:r>
      <w:r w:rsidRPr="008C2801">
        <w:rPr>
          <w:rFonts w:ascii="Arial" w:hAnsi="Arial" w:cs="Arial"/>
          <w:sz w:val="21"/>
        </w:rPr>
        <w:t>.</w:t>
      </w:r>
    </w:p>
    <w:p w14:paraId="0A670C8D" w14:textId="77777777" w:rsidR="00986B0B" w:rsidRPr="008C2801" w:rsidRDefault="00986B0B" w:rsidP="00EB1BB4">
      <w:pPr>
        <w:spacing w:after="0" w:line="276" w:lineRule="auto"/>
        <w:ind w:left="709" w:right="709"/>
        <w:rPr>
          <w:rFonts w:ascii="Arial" w:hAnsi="Arial" w:cs="Arial"/>
        </w:rPr>
      </w:pPr>
    </w:p>
    <w:p w14:paraId="2E59228A" w14:textId="77777777" w:rsidR="00986B0B" w:rsidRPr="008C2801" w:rsidRDefault="00986B0B" w:rsidP="00D1608B">
      <w:pPr>
        <w:pStyle w:val="Textoindependiente"/>
        <w:ind w:firstLine="707"/>
        <w:jc w:val="both"/>
        <w:rPr>
          <w:rFonts w:ascii="Arial" w:hAnsi="Arial" w:cs="Arial"/>
        </w:rPr>
      </w:pPr>
      <w:r w:rsidRPr="008C2801">
        <w:rPr>
          <w:rFonts w:ascii="Arial" w:hAnsi="Arial" w:cs="Aria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C8ECD25" w14:textId="77777777" w:rsidR="00986B0B" w:rsidRPr="008C2801" w:rsidRDefault="00986B0B" w:rsidP="00D1608B">
      <w:pPr>
        <w:pStyle w:val="Textoindependiente"/>
        <w:spacing w:before="119"/>
        <w:ind w:firstLine="707"/>
        <w:jc w:val="both"/>
        <w:rPr>
          <w:rFonts w:ascii="Arial" w:hAnsi="Arial" w:cs="Arial"/>
        </w:rPr>
      </w:pPr>
      <w:r w:rsidRPr="008C2801">
        <w:rPr>
          <w:rFonts w:ascii="Arial" w:hAnsi="Arial" w:cs="Aria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C2801">
        <w:rPr>
          <w:rFonts w:ascii="Arial" w:hAnsi="Arial" w:cs="Arial"/>
          <w:spacing w:val="-3"/>
        </w:rPr>
        <w:t xml:space="preserve"> </w:t>
      </w:r>
      <w:r w:rsidRPr="008C2801">
        <w:rPr>
          <w:rFonts w:ascii="Arial" w:hAnsi="Arial" w:cs="Arial"/>
        </w:rPr>
        <w:t>estatales.</w:t>
      </w:r>
    </w:p>
    <w:p w14:paraId="7D60C314" w14:textId="77777777" w:rsidR="00986B0B" w:rsidRPr="008C2801" w:rsidRDefault="00986B0B" w:rsidP="00D1608B">
      <w:pPr>
        <w:pStyle w:val="Textoindependiente"/>
        <w:spacing w:before="120"/>
        <w:ind w:firstLine="709"/>
        <w:jc w:val="both"/>
        <w:rPr>
          <w:rFonts w:ascii="Arial" w:hAnsi="Arial" w:cs="Arial"/>
        </w:rPr>
      </w:pPr>
      <w:r w:rsidRPr="008C2801">
        <w:rPr>
          <w:rFonts w:ascii="Arial" w:hAnsi="Arial" w:cs="Arial"/>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w:t>
      </w:r>
      <w:r w:rsidRPr="008C2801">
        <w:rPr>
          <w:rFonts w:ascii="Arial" w:hAnsi="Arial" w:cs="Arial"/>
        </w:rPr>
        <w:lastRenderedPageBreak/>
        <w:t>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8C2801">
        <w:rPr>
          <w:rFonts w:ascii="Arial" w:hAnsi="Arial" w:cs="Arial"/>
          <w:spacing w:val="-4"/>
        </w:rPr>
        <w:t xml:space="preserve"> </w:t>
      </w:r>
      <w:r w:rsidRPr="008C2801">
        <w:rPr>
          <w:rFonts w:ascii="Arial" w:hAnsi="Arial" w:cs="Arial"/>
        </w:rPr>
        <w:t>estatales.</w:t>
      </w:r>
    </w:p>
    <w:p w14:paraId="0428D0C7" w14:textId="77777777" w:rsidR="00986B0B" w:rsidRPr="008C2801" w:rsidRDefault="00986B0B" w:rsidP="00D1608B">
      <w:pPr>
        <w:pStyle w:val="Textoindependiente"/>
        <w:spacing w:before="122"/>
        <w:ind w:firstLine="708"/>
        <w:jc w:val="both"/>
        <w:rPr>
          <w:rFonts w:ascii="Arial" w:hAnsi="Arial" w:cs="Arial"/>
        </w:rPr>
      </w:pPr>
      <w:r w:rsidRPr="008C2801">
        <w:rPr>
          <w:rFonts w:ascii="Arial" w:hAnsi="Arial" w:cs="Arial"/>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2CDE152C" w14:textId="77777777" w:rsidR="00986B0B" w:rsidRPr="008C2801" w:rsidRDefault="00986B0B" w:rsidP="00D1608B">
      <w:pPr>
        <w:pStyle w:val="Textoindependiente"/>
        <w:ind w:firstLine="708"/>
        <w:jc w:val="both"/>
        <w:rPr>
          <w:rFonts w:ascii="Arial" w:eastAsia="Calibri" w:hAnsi="Arial" w:cs="Arial"/>
          <w:bCs/>
        </w:rPr>
      </w:pPr>
      <w:r w:rsidRPr="008C2801">
        <w:rPr>
          <w:rFonts w:ascii="Arial" w:hAnsi="Arial" w:cs="Aria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8C2801">
        <w:rPr>
          <w:rFonts w:ascii="Arial" w:hAnsi="Arial" w:cs="Arial"/>
          <w:spacing w:val="-4"/>
        </w:rPr>
        <w:t xml:space="preserve"> </w:t>
      </w:r>
      <w:r w:rsidRPr="008C2801">
        <w:rPr>
          <w:rFonts w:ascii="Arial" w:hAnsi="Arial" w:cs="Arial"/>
        </w:rPr>
        <w:t>[…]»</w:t>
      </w:r>
      <w:r w:rsidRPr="008C2801">
        <w:rPr>
          <w:rStyle w:val="Refdenotaalpie"/>
          <w:rFonts w:ascii="Arial" w:hAnsi="Arial" w:cs="Arial"/>
        </w:rPr>
        <w:footnoteReference w:id="33"/>
      </w:r>
      <w:r w:rsidRPr="008C2801">
        <w:rPr>
          <w:rFonts w:ascii="Arial" w:hAnsi="Arial" w:cs="Arial"/>
        </w:rPr>
        <w:t>.</w:t>
      </w:r>
    </w:p>
    <w:p w14:paraId="5EDEF945" w14:textId="77777777" w:rsidR="00986B0B" w:rsidRPr="008C2801" w:rsidRDefault="00986B0B" w:rsidP="00A86F49">
      <w:pPr>
        <w:pStyle w:val="Textoindependiente"/>
        <w:spacing w:after="0"/>
        <w:ind w:firstLine="709"/>
        <w:contextualSpacing/>
        <w:jc w:val="both"/>
        <w:rPr>
          <w:rFonts w:ascii="Arial" w:hAnsi="Arial" w:cs="Arial"/>
        </w:rPr>
      </w:pPr>
      <w:r w:rsidRPr="008C2801">
        <w:rPr>
          <w:rFonts w:ascii="Arial" w:hAnsi="Arial" w:cs="Arial"/>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2B0DC66D" w14:textId="77777777" w:rsidR="00986B0B" w:rsidRPr="008C2801" w:rsidRDefault="00986B0B" w:rsidP="00A86F49">
      <w:pPr>
        <w:pStyle w:val="Textoindependiente"/>
        <w:spacing w:after="0"/>
        <w:ind w:firstLine="709"/>
        <w:contextualSpacing/>
        <w:rPr>
          <w:rFonts w:ascii="Arial" w:hAnsi="Arial" w:cs="Arial"/>
        </w:rPr>
      </w:pPr>
    </w:p>
    <w:p w14:paraId="4A820ED3" w14:textId="2AB10DEC" w:rsidR="00986B0B" w:rsidRPr="008C2801" w:rsidRDefault="00986B0B" w:rsidP="00A86F49">
      <w:pPr>
        <w:spacing w:after="0"/>
        <w:ind w:left="709" w:right="709"/>
        <w:contextualSpacing/>
        <w:jc w:val="both"/>
        <w:rPr>
          <w:rFonts w:ascii="Arial" w:hAnsi="Arial" w:cs="Arial"/>
          <w:sz w:val="21"/>
          <w:szCs w:val="21"/>
          <w:lang w:val="es-ES_tradnl"/>
        </w:rPr>
      </w:pPr>
      <w:r w:rsidRPr="008C2801">
        <w:rPr>
          <w:rFonts w:ascii="Arial" w:hAnsi="Arial" w:cs="Arial"/>
          <w:sz w:val="21"/>
          <w:szCs w:val="21"/>
          <w:lang w:val="es-ES_tradnl"/>
        </w:rPr>
        <w:t>La Sala de Consulta y Servicio Civil</w:t>
      </w:r>
      <w:r w:rsidRPr="008C2801">
        <w:rPr>
          <w:rStyle w:val="Refdenotaalpie"/>
          <w:rFonts w:ascii="Arial" w:hAnsi="Arial" w:cs="Arial"/>
          <w:sz w:val="21"/>
          <w:szCs w:val="21"/>
          <w:lang w:val="es-ES_tradnl"/>
        </w:rPr>
        <w:footnoteReference w:id="34"/>
      </w:r>
      <w:r w:rsidRPr="008C2801">
        <w:rPr>
          <w:rFonts w:ascii="Arial" w:hAnsi="Arial" w:cs="Arial"/>
          <w:sz w:val="21"/>
          <w:szCs w:val="21"/>
          <w:lang w:val="es-ES_tradnl"/>
        </w:rPr>
        <w:t xml:space="preserve"> de esta Corporación se ha referido a los </w:t>
      </w:r>
      <w:r w:rsidRPr="008C2801">
        <w:rPr>
          <w:rFonts w:ascii="Arial" w:hAnsi="Arial" w:cs="Arial"/>
          <w:i/>
          <w:sz w:val="21"/>
          <w:szCs w:val="21"/>
          <w:lang w:val="es-ES_tradnl"/>
        </w:rPr>
        <w:t>“convenios interadministrativos”</w:t>
      </w:r>
      <w:r w:rsidRPr="008C2801">
        <w:rPr>
          <w:rFonts w:ascii="Arial" w:hAnsi="Arial" w:cs="Arial"/>
          <w:sz w:val="21"/>
          <w:szCs w:val="21"/>
          <w:lang w:val="es-ES_tradnl"/>
        </w:rPr>
        <w:t xml:space="preserve"> a los cuales alude el artículo 95 de la Ley 489 de 1998, calificándolos de </w:t>
      </w:r>
      <w:r w:rsidRPr="008C2801">
        <w:rPr>
          <w:rFonts w:ascii="Arial" w:hAnsi="Arial" w:cs="Arial"/>
          <w:i/>
          <w:sz w:val="21"/>
          <w:szCs w:val="21"/>
          <w:lang w:val="es-ES_tradnl"/>
        </w:rPr>
        <w:t xml:space="preserve">“puros” </w:t>
      </w:r>
      <w:r w:rsidRPr="008C2801">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8C2801">
        <w:rPr>
          <w:rFonts w:ascii="Arial" w:hAnsi="Arial" w:cs="Arial"/>
          <w:i/>
          <w:sz w:val="21"/>
          <w:szCs w:val="21"/>
          <w:lang w:val="es-ES_tradnl"/>
        </w:rPr>
        <w:t>“intercambio patrimonial”</w:t>
      </w:r>
      <w:r w:rsidRPr="008C2801">
        <w:rPr>
          <w:rFonts w:ascii="Arial" w:hAnsi="Arial" w:cs="Arial"/>
          <w:sz w:val="21"/>
          <w:szCs w:val="21"/>
          <w:lang w:val="es-ES_tradnl"/>
        </w:rPr>
        <w:t xml:space="preserve">. Sin </w:t>
      </w:r>
      <w:r w:rsidRPr="008C2801">
        <w:rPr>
          <w:rFonts w:ascii="Arial" w:hAnsi="Arial" w:cs="Arial"/>
          <w:sz w:val="21"/>
          <w:szCs w:val="21"/>
          <w:lang w:val="es-ES_tradnl"/>
        </w:rPr>
        <w:lastRenderedPageBreak/>
        <w:t>perjuicio de lo anterior, en otra oportunidad, la misma Sala</w:t>
      </w:r>
      <w:r w:rsidRPr="008C2801">
        <w:rPr>
          <w:rStyle w:val="Refdenotaalpie"/>
          <w:rFonts w:ascii="Arial" w:hAnsi="Arial" w:cs="Arial"/>
          <w:sz w:val="21"/>
          <w:szCs w:val="21"/>
          <w:lang w:val="es-ES_tradnl"/>
        </w:rPr>
        <w:footnoteReference w:id="35"/>
      </w:r>
      <w:r w:rsidRPr="008C2801">
        <w:rPr>
          <w:rFonts w:ascii="Arial" w:hAnsi="Arial" w:cs="Arial"/>
          <w:sz w:val="21"/>
          <w:szCs w:val="21"/>
          <w:lang w:val="es-ES_tradnl"/>
        </w:rPr>
        <w:t xml:space="preserve"> había indicado que, si bien en dichos convenios no se daba un </w:t>
      </w:r>
      <w:r w:rsidRPr="008C2801">
        <w:rPr>
          <w:rFonts w:ascii="Arial" w:hAnsi="Arial" w:cs="Arial"/>
          <w:i/>
          <w:sz w:val="21"/>
          <w:szCs w:val="21"/>
          <w:lang w:val="es-ES_tradnl"/>
        </w:rPr>
        <w:t>“verdadero intercambio de bienes o servicios (contrato conmutativo)”</w:t>
      </w:r>
      <w:r w:rsidRPr="008C2801">
        <w:rPr>
          <w:rFonts w:ascii="Arial" w:hAnsi="Arial" w:cs="Arial"/>
          <w:sz w:val="21"/>
          <w:szCs w:val="21"/>
          <w:lang w:val="es-ES_tradnl"/>
        </w:rPr>
        <w:t>, ello no impedía que se conviniera una remuneración a cargo de alguna(s) entidad(es).</w:t>
      </w:r>
    </w:p>
    <w:p w14:paraId="656FE52F" w14:textId="77777777" w:rsidR="00A86F49" w:rsidRPr="008C2801" w:rsidRDefault="00A86F49" w:rsidP="00A86F49">
      <w:pPr>
        <w:spacing w:after="0"/>
        <w:ind w:left="709" w:right="709"/>
        <w:contextualSpacing/>
        <w:jc w:val="both"/>
        <w:rPr>
          <w:rFonts w:ascii="Arial" w:hAnsi="Arial" w:cs="Arial"/>
          <w:sz w:val="21"/>
          <w:szCs w:val="21"/>
          <w:lang w:val="es-ES_tradnl"/>
        </w:rPr>
      </w:pPr>
    </w:p>
    <w:p w14:paraId="7A7F9C93" w14:textId="77777777" w:rsidR="00986B0B" w:rsidRPr="008C2801" w:rsidRDefault="00986B0B" w:rsidP="00A86F49">
      <w:pPr>
        <w:pStyle w:val="Textoindependiente"/>
        <w:spacing w:after="0" w:line="240" w:lineRule="auto"/>
        <w:ind w:left="709" w:right="709"/>
        <w:contextualSpacing/>
        <w:jc w:val="both"/>
        <w:rPr>
          <w:rFonts w:ascii="Arial" w:hAnsi="Arial" w:cs="Arial"/>
          <w:sz w:val="21"/>
          <w:szCs w:val="21"/>
        </w:rPr>
      </w:pPr>
      <w:r w:rsidRPr="008C2801">
        <w:rPr>
          <w:rFonts w:ascii="Arial" w:hAnsi="Arial" w:cs="Arial"/>
          <w:sz w:val="21"/>
          <w:szCs w:val="21"/>
          <w:lang w:val="es-ES_tradnl"/>
        </w:rPr>
        <w:t xml:space="preserve">Lo expuesto evidencia que, en general, las interpretaciones en torno a los </w:t>
      </w:r>
      <w:r w:rsidRPr="008C2801">
        <w:rPr>
          <w:rFonts w:ascii="Arial" w:hAnsi="Arial" w:cs="Arial"/>
          <w:i/>
          <w:sz w:val="21"/>
          <w:szCs w:val="21"/>
          <w:lang w:val="es-ES_tradnl"/>
        </w:rPr>
        <w:t>“convenios interadministrativos”</w:t>
      </w:r>
      <w:r w:rsidRPr="008C2801">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C2801">
        <w:rPr>
          <w:rStyle w:val="Refdenotaalpie"/>
          <w:rFonts w:ascii="Arial" w:hAnsi="Arial" w:cs="Arial"/>
          <w:sz w:val="21"/>
          <w:szCs w:val="21"/>
          <w:lang w:val="es-ES_tradnl"/>
        </w:rPr>
        <w:footnoteReference w:id="36"/>
      </w:r>
      <w:r w:rsidRPr="008C2801">
        <w:rPr>
          <w:rStyle w:val="Refdenotaalpie"/>
          <w:rFonts w:ascii="Arial" w:hAnsi="Arial" w:cs="Arial"/>
          <w:sz w:val="21"/>
          <w:szCs w:val="21"/>
          <w:lang w:val="es-ES_tradnl"/>
        </w:rPr>
        <w:footnoteReference w:id="37"/>
      </w:r>
      <w:r w:rsidRPr="008C2801">
        <w:rPr>
          <w:rFonts w:ascii="Arial" w:hAnsi="Arial" w:cs="Arial"/>
          <w:sz w:val="21"/>
          <w:szCs w:val="21"/>
          <w:lang w:val="es-ES_tradnl"/>
        </w:rPr>
        <w:t>.</w:t>
      </w:r>
    </w:p>
    <w:p w14:paraId="0CA6B123" w14:textId="77777777" w:rsidR="00986B0B" w:rsidRPr="008C2801" w:rsidRDefault="00986B0B" w:rsidP="00A86F49">
      <w:pPr>
        <w:pStyle w:val="Textoindependiente"/>
        <w:spacing w:after="0"/>
        <w:contextualSpacing/>
      </w:pPr>
    </w:p>
    <w:p w14:paraId="71E63765" w14:textId="77777777" w:rsidR="00986B0B" w:rsidRPr="008C2801" w:rsidRDefault="00986B0B" w:rsidP="00A86F49">
      <w:pPr>
        <w:pStyle w:val="Textoindependiente"/>
        <w:jc w:val="both"/>
        <w:rPr>
          <w:rFonts w:ascii="Arial" w:hAnsi="Arial" w:cs="Arial"/>
        </w:rPr>
      </w:pPr>
      <w:r w:rsidRPr="008C2801">
        <w:tab/>
      </w:r>
      <w:r w:rsidRPr="008C2801">
        <w:rPr>
          <w:rFonts w:ascii="Arial" w:hAnsi="Arial" w:cs="Arial"/>
        </w:rPr>
        <w:t>Sin perjuicio de lo indicado, vale la pena reiterar que el legislador y el ordenamiento jurídico, en general, en distintas ocasiones utiliza de forma indistinta los conceptos de contrato o convenio para referirse a la misma institución jurídica</w:t>
      </w:r>
      <w:r w:rsidRPr="008C2801">
        <w:rPr>
          <w:rStyle w:val="Refdenotaalpie"/>
          <w:rFonts w:ascii="Arial" w:hAnsi="Arial" w:cs="Arial"/>
        </w:rPr>
        <w:footnoteReference w:id="38"/>
      </w:r>
      <w:r w:rsidRPr="008C2801">
        <w:rPr>
          <w:rFonts w:ascii="Arial" w:hAnsi="Arial" w:cs="Arial"/>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8C2801">
        <w:rPr>
          <w:rStyle w:val="Refdenotaalpie"/>
          <w:rFonts w:ascii="Arial" w:hAnsi="Arial" w:cs="Arial"/>
        </w:rPr>
        <w:footnoteReference w:id="39"/>
      </w:r>
      <w:r w:rsidRPr="008C2801">
        <w:rPr>
          <w:rFonts w:ascii="Arial" w:hAnsi="Arial" w:cs="Arial"/>
        </w:rPr>
        <w:t>.</w:t>
      </w:r>
    </w:p>
    <w:p w14:paraId="27E819ED" w14:textId="28F9E096" w:rsidR="00986B0B" w:rsidRPr="008C2801" w:rsidRDefault="00986B0B" w:rsidP="00986B0B">
      <w:pPr>
        <w:pStyle w:val="Textoindependiente"/>
        <w:spacing w:after="0"/>
        <w:jc w:val="both"/>
        <w:rPr>
          <w:rFonts w:ascii="Arial" w:hAnsi="Arial" w:cs="Arial"/>
        </w:rPr>
      </w:pPr>
      <w:r w:rsidRPr="008C2801">
        <w:rPr>
          <w:rFonts w:ascii="Arial" w:hAnsi="Arial" w:cs="Arial"/>
        </w:rPr>
        <w:lastRenderedPageBreak/>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w:t>
      </w:r>
      <w:r w:rsidR="005162CC" w:rsidRPr="008C2801">
        <w:rPr>
          <w:rFonts w:ascii="Arial" w:hAnsi="Arial" w:cs="Arial"/>
        </w:rPr>
        <w:t xml:space="preserve"> Electorales</w:t>
      </w:r>
      <w:r w:rsidRPr="008C2801">
        <w:rPr>
          <w:rFonts w:ascii="Arial" w:hAnsi="Arial" w:cs="Arial"/>
        </w:rPr>
        <w:t>. En este sentido, la Circular, refiriéndose al parágrafo del artículo 38 de la Ley 996 de 2005, expresa:</w:t>
      </w:r>
    </w:p>
    <w:p w14:paraId="0E3752DF" w14:textId="77777777" w:rsidR="00986B0B" w:rsidRPr="008C2801" w:rsidRDefault="00986B0B" w:rsidP="005E37B1">
      <w:pPr>
        <w:pStyle w:val="Textoindependiente"/>
        <w:spacing w:after="0" w:line="240" w:lineRule="auto"/>
        <w:contextualSpacing/>
      </w:pPr>
    </w:p>
    <w:p w14:paraId="7B72EA35" w14:textId="7399D4FF" w:rsidR="00986B0B" w:rsidRPr="008C2801" w:rsidRDefault="00986B0B" w:rsidP="005E37B1">
      <w:pPr>
        <w:spacing w:after="0" w:line="240" w:lineRule="auto"/>
        <w:ind w:left="709" w:right="709"/>
        <w:contextualSpacing/>
        <w:jc w:val="both"/>
        <w:rPr>
          <w:rFonts w:ascii="Arial" w:hAnsi="Arial" w:cs="Arial"/>
          <w:sz w:val="21"/>
          <w:szCs w:val="21"/>
        </w:rPr>
      </w:pPr>
      <w:r w:rsidRPr="008C2801">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8C2801">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F8D3837" w14:textId="77777777" w:rsidR="00A86F49" w:rsidRPr="008C2801" w:rsidRDefault="00A86F49" w:rsidP="005E37B1">
      <w:pPr>
        <w:spacing w:after="0" w:line="240" w:lineRule="auto"/>
        <w:ind w:left="709" w:right="709"/>
        <w:contextualSpacing/>
        <w:jc w:val="both"/>
        <w:rPr>
          <w:rFonts w:ascii="Arial" w:hAnsi="Arial" w:cs="Arial"/>
          <w:sz w:val="21"/>
          <w:szCs w:val="21"/>
        </w:rPr>
      </w:pPr>
    </w:p>
    <w:p w14:paraId="028FF21D" w14:textId="17B2804E" w:rsidR="00986B0B" w:rsidRPr="008C2801" w:rsidRDefault="00986B0B" w:rsidP="005E37B1">
      <w:pPr>
        <w:spacing w:after="0" w:line="240" w:lineRule="auto"/>
        <w:ind w:left="709" w:right="709"/>
        <w:contextualSpacing/>
        <w:jc w:val="both"/>
        <w:rPr>
          <w:rFonts w:ascii="Arial" w:hAnsi="Arial" w:cs="Arial"/>
          <w:sz w:val="21"/>
          <w:szCs w:val="21"/>
        </w:rPr>
      </w:pPr>
      <w:r w:rsidRPr="008C2801">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5F10096" w14:textId="77777777" w:rsidR="00A86F49" w:rsidRPr="008C2801" w:rsidRDefault="00A86F49" w:rsidP="005E37B1">
      <w:pPr>
        <w:spacing w:after="0" w:line="240" w:lineRule="auto"/>
        <w:ind w:left="709" w:right="709"/>
        <w:contextualSpacing/>
        <w:jc w:val="both"/>
        <w:rPr>
          <w:rFonts w:ascii="Arial" w:hAnsi="Arial" w:cs="Arial"/>
          <w:sz w:val="21"/>
          <w:szCs w:val="21"/>
        </w:rPr>
      </w:pPr>
    </w:p>
    <w:p w14:paraId="6747E394" w14:textId="77777777" w:rsidR="00986B0B" w:rsidRPr="008C2801" w:rsidRDefault="00986B0B" w:rsidP="005E37B1">
      <w:pPr>
        <w:spacing w:after="0" w:line="240" w:lineRule="auto"/>
        <w:ind w:left="709" w:right="709"/>
        <w:contextualSpacing/>
        <w:jc w:val="both"/>
      </w:pPr>
      <w:r w:rsidRPr="008C2801">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BF28294" w14:textId="77777777" w:rsidR="00986B0B" w:rsidRPr="008C2801" w:rsidRDefault="00986B0B" w:rsidP="005E37B1">
      <w:pPr>
        <w:pStyle w:val="Textoindependiente"/>
        <w:spacing w:after="0" w:line="240" w:lineRule="auto"/>
        <w:contextualSpacing/>
      </w:pPr>
    </w:p>
    <w:p w14:paraId="31884221" w14:textId="3837A4C8" w:rsidR="00986B0B" w:rsidRPr="008C2801" w:rsidRDefault="00986B0B" w:rsidP="00986B0B">
      <w:pPr>
        <w:pStyle w:val="Textoindependiente"/>
        <w:jc w:val="both"/>
        <w:rPr>
          <w:rFonts w:ascii="Arial" w:eastAsia="Calibri" w:hAnsi="Arial" w:cs="Arial"/>
          <w:bCs/>
        </w:rPr>
      </w:pPr>
      <w:r w:rsidRPr="008C2801">
        <w:rPr>
          <w:sz w:val="25"/>
        </w:rPr>
        <w:lastRenderedPageBreak/>
        <w:tab/>
      </w:r>
      <w:r w:rsidRPr="008C2801">
        <w:rPr>
          <w:rFonts w:ascii="Arial" w:hAnsi="Arial" w:cs="Arial"/>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5E37B1" w:rsidRPr="008C2801">
        <w:rPr>
          <w:rFonts w:ascii="Arial" w:hAnsi="Arial" w:cs="Arial"/>
        </w:rPr>
        <w:t xml:space="preserve"> Electorales</w:t>
      </w:r>
      <w:r w:rsidRPr="008C2801">
        <w:rPr>
          <w:rFonts w:ascii="Arial" w:hAnsi="Arial" w:cs="Arial"/>
        </w:rPr>
        <w:t>.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535DC813" w14:textId="77777777" w:rsidR="00986B0B" w:rsidRPr="008C2801" w:rsidRDefault="00986B0B" w:rsidP="00986B0B">
      <w:pPr>
        <w:tabs>
          <w:tab w:val="left" w:pos="426"/>
        </w:tabs>
        <w:spacing w:after="120" w:line="276" w:lineRule="auto"/>
        <w:ind w:firstLine="709"/>
        <w:jc w:val="both"/>
        <w:rPr>
          <w:rFonts w:ascii="Arial" w:hAnsi="Arial" w:cs="Arial"/>
          <w:bCs/>
          <w:lang w:eastAsia="es-CO"/>
        </w:rPr>
      </w:pPr>
      <w:r w:rsidRPr="008C2801">
        <w:rPr>
          <w:rFonts w:ascii="Arial" w:hAnsi="Arial" w:cs="Arial"/>
          <w:bCs/>
          <w:lang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8C2801">
        <w:rPr>
          <w:rFonts w:ascii="Arial" w:hAnsi="Arial" w:cs="Arial"/>
          <w:bCs/>
          <w:i/>
          <w:iCs/>
          <w:lang w:eastAsia="es-CO"/>
        </w:rPr>
        <w:t>ibidem</w:t>
      </w:r>
      <w:r w:rsidRPr="008C2801">
        <w:rPr>
          <w:rFonts w:ascii="Arial" w:hAnsi="Arial" w:cs="Arial"/>
          <w:bCs/>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8C2801">
        <w:rPr>
          <w:rStyle w:val="Refdenotaalpie"/>
          <w:rFonts w:ascii="Arial" w:hAnsi="Arial" w:cs="Arial"/>
          <w:bCs/>
          <w:lang w:eastAsia="es-CO"/>
        </w:rPr>
        <w:footnoteReference w:id="40"/>
      </w:r>
      <w:r w:rsidRPr="008C2801">
        <w:rPr>
          <w:rFonts w:ascii="Arial" w:hAnsi="Arial" w:cs="Arial"/>
          <w:bCs/>
          <w:lang w:eastAsia="es-CO"/>
        </w:rPr>
        <w:t xml:space="preserve">. </w:t>
      </w:r>
    </w:p>
    <w:p w14:paraId="4FD163CF" w14:textId="77777777" w:rsidR="00986B0B" w:rsidRPr="008C2801" w:rsidRDefault="00986B0B" w:rsidP="00A86F49">
      <w:pPr>
        <w:pStyle w:val="Textoindependiente"/>
        <w:spacing w:after="0"/>
        <w:ind w:firstLine="709"/>
        <w:jc w:val="both"/>
        <w:rPr>
          <w:rFonts w:ascii="Arial" w:eastAsia="Calibri" w:hAnsi="Arial" w:cs="Arial"/>
        </w:rPr>
      </w:pPr>
      <w:r w:rsidRPr="008C2801">
        <w:rPr>
          <w:rFonts w:ascii="Arial" w:eastAsia="Times New Roman" w:hAnsi="Arial" w:cs="Arial"/>
          <w:bCs/>
        </w:rPr>
        <w:t>En todo caso</w:t>
      </w:r>
      <w:r w:rsidRPr="008C2801">
        <w:rPr>
          <w:rFonts w:ascii="Arial" w:hAnsi="Arial" w:cs="Arial"/>
        </w:rPr>
        <w:t>,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8C2801">
        <w:rPr>
          <w:rStyle w:val="Refdenotaalpie"/>
          <w:rFonts w:ascii="Arial" w:hAnsi="Arial" w:cs="Arial"/>
        </w:rPr>
        <w:footnoteReference w:id="41"/>
      </w:r>
      <w:r w:rsidRPr="008C2801">
        <w:rPr>
          <w:rFonts w:ascii="Arial" w:eastAsia="Calibri" w:hAnsi="Arial" w:cs="Arial"/>
        </w:rPr>
        <w:t>.</w:t>
      </w:r>
    </w:p>
    <w:p w14:paraId="1F26B3D4" w14:textId="77777777" w:rsidR="00A86F49" w:rsidRPr="008C2801" w:rsidRDefault="00A86F49" w:rsidP="00A86F49">
      <w:pPr>
        <w:tabs>
          <w:tab w:val="left" w:pos="426"/>
        </w:tabs>
        <w:spacing w:after="0" w:line="276" w:lineRule="auto"/>
        <w:contextualSpacing/>
        <w:jc w:val="both"/>
        <w:outlineLvl w:val="0"/>
        <w:rPr>
          <w:rFonts w:ascii="Arial" w:eastAsia="Calibri" w:hAnsi="Arial" w:cs="Arial"/>
          <w:b/>
          <w:color w:val="000000" w:themeColor="text1"/>
          <w:lang w:val="es-ES_tradnl"/>
        </w:rPr>
      </w:pPr>
    </w:p>
    <w:p w14:paraId="2FCF90A9" w14:textId="0A8D538B" w:rsidR="00A319F0" w:rsidRPr="008C2801" w:rsidRDefault="00A319F0" w:rsidP="00A86F49">
      <w:pPr>
        <w:tabs>
          <w:tab w:val="left" w:pos="426"/>
        </w:tabs>
        <w:spacing w:after="0" w:line="276" w:lineRule="auto"/>
        <w:contextualSpacing/>
        <w:jc w:val="both"/>
        <w:outlineLvl w:val="0"/>
        <w:rPr>
          <w:rFonts w:ascii="Arial" w:eastAsia="Calibri" w:hAnsi="Arial" w:cs="Arial"/>
          <w:b/>
          <w:color w:val="000000" w:themeColor="text1"/>
          <w:lang w:val="es-ES_tradnl"/>
        </w:rPr>
      </w:pPr>
      <w:r w:rsidRPr="008C2801">
        <w:rPr>
          <w:rFonts w:ascii="Arial" w:eastAsia="Calibri" w:hAnsi="Arial" w:cs="Arial"/>
          <w:b/>
          <w:color w:val="000000" w:themeColor="text1"/>
          <w:lang w:val="es-ES_tradnl"/>
        </w:rPr>
        <w:t>2.</w:t>
      </w:r>
      <w:r w:rsidR="00FF2F6D" w:rsidRPr="008C2801">
        <w:rPr>
          <w:rFonts w:ascii="Arial" w:eastAsia="Calibri" w:hAnsi="Arial" w:cs="Arial"/>
          <w:b/>
          <w:color w:val="000000" w:themeColor="text1"/>
          <w:lang w:val="es-ES_tradnl"/>
        </w:rPr>
        <w:t>6</w:t>
      </w:r>
      <w:r w:rsidRPr="008C2801">
        <w:rPr>
          <w:rFonts w:ascii="Arial" w:eastAsia="Calibri" w:hAnsi="Arial" w:cs="Arial"/>
          <w:b/>
          <w:color w:val="000000" w:themeColor="text1"/>
          <w:lang w:val="es-ES_tradnl"/>
        </w:rPr>
        <w:t xml:space="preserve">. Carencia actual de objeto, por sustracción de materia, en virtud de la declaratoria de </w:t>
      </w:r>
      <w:proofErr w:type="spellStart"/>
      <w:r w:rsidRPr="008C2801">
        <w:rPr>
          <w:rFonts w:ascii="Arial" w:eastAsia="Calibri" w:hAnsi="Arial" w:cs="Arial"/>
          <w:b/>
          <w:color w:val="000000" w:themeColor="text1"/>
          <w:lang w:val="es-ES_tradnl"/>
        </w:rPr>
        <w:t>inexequibilidad</w:t>
      </w:r>
      <w:proofErr w:type="spellEnd"/>
      <w:r w:rsidRPr="008C2801">
        <w:rPr>
          <w:rFonts w:ascii="Arial" w:eastAsia="Calibri" w:hAnsi="Arial" w:cs="Arial"/>
          <w:b/>
          <w:color w:val="000000" w:themeColor="text1"/>
          <w:lang w:val="es-ES_tradnl"/>
        </w:rPr>
        <w:t xml:space="preserve"> del artículo 124 de la Ley 2159 de 2021</w:t>
      </w:r>
    </w:p>
    <w:p w14:paraId="48ED81BB" w14:textId="77777777" w:rsidR="00A319F0" w:rsidRPr="008C2801" w:rsidRDefault="00A319F0" w:rsidP="00A86F49">
      <w:pPr>
        <w:tabs>
          <w:tab w:val="left" w:pos="426"/>
        </w:tabs>
        <w:spacing w:after="0" w:line="276" w:lineRule="auto"/>
        <w:contextualSpacing/>
        <w:jc w:val="both"/>
        <w:outlineLvl w:val="0"/>
        <w:rPr>
          <w:rFonts w:ascii="Arial" w:eastAsia="Calibri" w:hAnsi="Arial" w:cs="Arial"/>
          <w:b/>
          <w:color w:val="000000" w:themeColor="text1"/>
          <w:lang w:val="es-ES_tradnl"/>
        </w:rPr>
      </w:pPr>
    </w:p>
    <w:p w14:paraId="5A96B0B5" w14:textId="77777777" w:rsidR="00A319F0" w:rsidRPr="008C2801" w:rsidRDefault="00A319F0" w:rsidP="004E0B4A">
      <w:pPr>
        <w:tabs>
          <w:tab w:val="left" w:pos="426"/>
        </w:tabs>
        <w:spacing w:after="120" w:line="276" w:lineRule="auto"/>
        <w:jc w:val="both"/>
        <w:outlineLvl w:val="0"/>
        <w:rPr>
          <w:rFonts w:ascii="Arial" w:eastAsia="Calibri" w:hAnsi="Arial" w:cs="Arial"/>
          <w:bCs/>
          <w:color w:val="000000" w:themeColor="text1"/>
          <w:lang w:val="es-ES_tradnl"/>
        </w:rPr>
      </w:pPr>
      <w:r w:rsidRPr="008C2801">
        <w:rPr>
          <w:rFonts w:ascii="Arial" w:eastAsia="Calibri" w:hAnsi="Arial" w:cs="Arial"/>
          <w:bCs/>
          <w:color w:val="000000" w:themeColor="text1"/>
          <w:lang w:val="es-ES_tradnl"/>
        </w:rPr>
        <w:t>Mediante comunicado No. 14 del 5 de mayo de 2022</w:t>
      </w:r>
      <w:r w:rsidRPr="008C2801">
        <w:rPr>
          <w:rStyle w:val="Refdenotaalpie"/>
          <w:rFonts w:ascii="Arial" w:eastAsia="Calibri" w:hAnsi="Arial" w:cs="Arial"/>
          <w:bCs/>
          <w:color w:val="000000" w:themeColor="text1"/>
          <w:lang w:val="es-ES_tradnl"/>
        </w:rPr>
        <w:footnoteReference w:id="42"/>
      </w:r>
      <w:r w:rsidRPr="008C2801">
        <w:rPr>
          <w:rFonts w:ascii="Arial" w:eastAsia="Calibri" w:hAnsi="Arial" w:cs="Arial"/>
          <w:bCs/>
          <w:color w:val="000000" w:themeColor="text1"/>
          <w:lang w:val="es-ES_tradnl"/>
        </w:rPr>
        <w:t xml:space="preserve"> la Corte Constitucional dio a conocer la decisión tomada por su Sala Plena en la Sentencia C-153 de 2022, en el sentido de </w:t>
      </w:r>
      <w:r w:rsidRPr="008C2801">
        <w:rPr>
          <w:rFonts w:ascii="Arial" w:eastAsia="Calibri" w:hAnsi="Arial" w:cs="Arial"/>
          <w:bCs/>
          <w:color w:val="000000" w:themeColor="text1"/>
          <w:lang w:val="es-ES_tradnl"/>
        </w:rPr>
        <w:lastRenderedPageBreak/>
        <w:t xml:space="preserve">declarar la </w:t>
      </w:r>
      <w:proofErr w:type="spellStart"/>
      <w:r w:rsidRPr="008C2801">
        <w:rPr>
          <w:rFonts w:ascii="Arial" w:eastAsia="Calibri" w:hAnsi="Arial" w:cs="Arial"/>
          <w:bCs/>
          <w:color w:val="000000" w:themeColor="text1"/>
          <w:lang w:val="es-ES_tradnl"/>
        </w:rPr>
        <w:t>inexequibilidad</w:t>
      </w:r>
      <w:proofErr w:type="spellEnd"/>
      <w:r w:rsidRPr="008C2801">
        <w:rPr>
          <w:rFonts w:ascii="Arial" w:eastAsia="Calibri" w:hAnsi="Arial" w:cs="Arial"/>
          <w:bCs/>
          <w:color w:val="000000" w:themeColor="text1"/>
          <w:lang w:val="es-ES_tradnl"/>
        </w:rPr>
        <w:t xml:space="preserve"> del </w:t>
      </w:r>
      <w:r w:rsidRPr="008C2801">
        <w:rPr>
          <w:rFonts w:ascii="Arial" w:hAnsi="Arial" w:cs="Arial"/>
        </w:rPr>
        <w:t>artículo 124 de la Ley 2159 de 2021 «[p]</w:t>
      </w:r>
      <w:proofErr w:type="spellStart"/>
      <w:r w:rsidRPr="008C2801">
        <w:rPr>
          <w:rFonts w:ascii="Arial" w:hAnsi="Arial" w:cs="Arial"/>
        </w:rPr>
        <w:t>or</w:t>
      </w:r>
      <w:proofErr w:type="spellEnd"/>
      <w:r w:rsidRPr="008C2801">
        <w:rPr>
          <w:rFonts w:ascii="Arial" w:hAnsi="Arial" w:cs="Arial"/>
        </w:rPr>
        <w:t xml:space="preserve"> la cual se decreta el presupuesto de rentas y recursos de capital y ley de apropiaciones para la vigencia fiscal del 1º de enero al 31 de diciembre de 2022», </w:t>
      </w:r>
      <w:r w:rsidRPr="008C2801">
        <w:rPr>
          <w:rFonts w:ascii="Arial" w:eastAsia="Calibri" w:hAnsi="Arial" w:cs="Arial"/>
          <w:bCs/>
          <w:color w:val="000000" w:themeColor="text1"/>
          <w:lang w:val="es-ES_tradnl"/>
        </w:rPr>
        <w:t>con efectos retroactivos, a partir de su expedición</w:t>
      </w:r>
      <w:r w:rsidRPr="008C2801">
        <w:rPr>
          <w:rFonts w:ascii="Arial" w:hAnsi="Arial" w:cs="Arial"/>
        </w:rPr>
        <w:t xml:space="preserve">. Sin perjuicio de la posterior publicación del cuerpo de la providencia, el referido comunicado desarrolla algunas ordenes en relación con los convenios interadministrativos y contratos estatales que se hayan tramitado, celebrado y/o ejecutado con sustento en dicha norma, las cuales comienzan a surtir efectos desde la publicación del comunicado, según ordenó el Alto Tribunal.  </w:t>
      </w:r>
    </w:p>
    <w:p w14:paraId="6205FE6C" w14:textId="6FF8469B" w:rsidR="00A319F0" w:rsidRPr="008C2801" w:rsidRDefault="00A319F0" w:rsidP="004E0B4A">
      <w:pPr>
        <w:tabs>
          <w:tab w:val="left" w:pos="709"/>
        </w:tabs>
        <w:spacing w:after="120" w:line="276" w:lineRule="auto"/>
        <w:jc w:val="both"/>
        <w:rPr>
          <w:rFonts w:ascii="Arial" w:eastAsia="Calibri" w:hAnsi="Arial" w:cs="Arial"/>
          <w:bCs/>
          <w:color w:val="000000" w:themeColor="text1"/>
          <w:lang w:val="es-ES_tradnl"/>
        </w:rPr>
      </w:pPr>
      <w:r w:rsidRPr="008C2801">
        <w:rPr>
          <w:rFonts w:ascii="Arial" w:eastAsia="Calibri" w:hAnsi="Arial" w:cs="Arial"/>
          <w:bCs/>
          <w:color w:val="000000" w:themeColor="text1"/>
          <w:lang w:val="es-ES_tradnl"/>
        </w:rPr>
        <w:tab/>
      </w:r>
      <w:bookmarkStart w:id="37" w:name="_Hlk104456946"/>
      <w:r w:rsidRPr="008C2801">
        <w:rPr>
          <w:rFonts w:ascii="Arial" w:eastAsia="Calibri" w:hAnsi="Arial" w:cs="Arial"/>
          <w:bCs/>
          <w:color w:val="000000" w:themeColor="text1"/>
          <w:lang w:val="es-ES_tradnl"/>
        </w:rPr>
        <w:t>Al declararse inexequible el artículo 124 de la Ley 2159 de 2021 por parte de la Corte Constitucional, la Agencia Nacional de Contratación Pública – Colombia Compra Eficiente carece de</w:t>
      </w:r>
      <w:r w:rsidR="008771FD">
        <w:rPr>
          <w:rFonts w:ascii="Arial" w:eastAsia="Calibri" w:hAnsi="Arial" w:cs="Arial"/>
          <w:bCs/>
          <w:color w:val="000000" w:themeColor="text1"/>
          <w:lang w:val="es-ES_tradnl"/>
        </w:rPr>
        <w:t xml:space="preserve"> </w:t>
      </w:r>
      <w:r w:rsidR="00630ED3">
        <w:rPr>
          <w:rFonts w:ascii="Arial" w:eastAsia="Calibri" w:hAnsi="Arial" w:cs="Arial"/>
          <w:bCs/>
          <w:color w:val="000000" w:themeColor="text1"/>
          <w:lang w:val="es-ES_tradnl"/>
        </w:rPr>
        <w:t>competencia para pronunciarse respecto de su última pregunta,</w:t>
      </w:r>
      <w:r w:rsidR="0089576D">
        <w:rPr>
          <w:rFonts w:ascii="Arial" w:eastAsia="Calibri" w:hAnsi="Arial" w:cs="Arial"/>
          <w:bCs/>
          <w:color w:val="000000" w:themeColor="text1"/>
          <w:lang w:val="es-ES_tradnl"/>
        </w:rPr>
        <w:t xml:space="preserve"> como quiera </w:t>
      </w:r>
      <w:r w:rsidR="00C84204">
        <w:rPr>
          <w:rFonts w:ascii="Arial" w:eastAsia="Calibri" w:hAnsi="Arial" w:cs="Arial"/>
          <w:bCs/>
          <w:color w:val="000000" w:themeColor="text1"/>
          <w:lang w:val="es-ES_tradnl"/>
        </w:rPr>
        <w:t>habiendo sido retirado del ordenamiento jurídico</w:t>
      </w:r>
      <w:r w:rsidRPr="008C2801">
        <w:rPr>
          <w:rFonts w:ascii="Arial" w:eastAsia="Calibri" w:hAnsi="Arial" w:cs="Arial"/>
          <w:bCs/>
          <w:color w:val="000000" w:themeColor="text1"/>
          <w:lang w:val="es-ES_tradnl"/>
        </w:rPr>
        <w:t xml:space="preserve"> </w:t>
      </w:r>
      <w:r w:rsidR="0089576D">
        <w:rPr>
          <w:rFonts w:ascii="Arial" w:eastAsia="Calibri" w:hAnsi="Arial" w:cs="Arial"/>
          <w:bCs/>
          <w:color w:val="000000" w:themeColor="text1"/>
          <w:lang w:val="es-ES_tradnl"/>
        </w:rPr>
        <w:t xml:space="preserve">el </w:t>
      </w:r>
      <w:r w:rsidRPr="008C2801">
        <w:rPr>
          <w:rFonts w:ascii="Arial" w:eastAsia="Calibri" w:hAnsi="Arial" w:cs="Arial"/>
          <w:bCs/>
          <w:color w:val="000000" w:themeColor="text1"/>
          <w:lang w:val="es-ES_tradnl"/>
        </w:rPr>
        <w:t xml:space="preserve">precepto </w:t>
      </w:r>
      <w:r w:rsidR="0089576D">
        <w:rPr>
          <w:rFonts w:ascii="Arial" w:eastAsia="Calibri" w:hAnsi="Arial" w:cs="Arial"/>
          <w:bCs/>
          <w:color w:val="000000" w:themeColor="text1"/>
          <w:lang w:val="es-ES_tradnl"/>
        </w:rPr>
        <w:t>sobre el que versa</w:t>
      </w:r>
      <w:r w:rsidR="00C84204">
        <w:rPr>
          <w:rFonts w:ascii="Arial" w:eastAsia="Calibri" w:hAnsi="Arial" w:cs="Arial"/>
          <w:bCs/>
          <w:color w:val="000000" w:themeColor="text1"/>
          <w:lang w:val="es-ES_tradnl"/>
        </w:rPr>
        <w:t xml:space="preserve"> la petición</w:t>
      </w:r>
      <w:r w:rsidRPr="008C2801">
        <w:rPr>
          <w:rFonts w:ascii="Arial" w:eastAsia="Calibri" w:hAnsi="Arial" w:cs="Arial"/>
          <w:bCs/>
          <w:color w:val="000000" w:themeColor="text1"/>
          <w:lang w:val="es-ES_tradnl"/>
        </w:rPr>
        <w:t xml:space="preserve">, </w:t>
      </w:r>
      <w:r w:rsidR="0089576D">
        <w:rPr>
          <w:rFonts w:ascii="Arial" w:eastAsia="Calibri" w:hAnsi="Arial" w:cs="Arial"/>
          <w:bCs/>
          <w:color w:val="000000" w:themeColor="text1"/>
          <w:lang w:val="es-ES_tradnl"/>
        </w:rPr>
        <w:t>se presenta la carencia actual de objeto de la consulta</w:t>
      </w:r>
      <w:r w:rsidRPr="008C2801">
        <w:rPr>
          <w:rFonts w:ascii="Arial" w:eastAsia="Calibri" w:hAnsi="Arial" w:cs="Arial"/>
          <w:bCs/>
          <w:color w:val="000000" w:themeColor="text1"/>
          <w:lang w:val="es-ES_tradnl"/>
        </w:rPr>
        <w:t xml:space="preserve"> por </w:t>
      </w:r>
      <w:r w:rsidRPr="008C2801">
        <w:rPr>
          <w:rFonts w:ascii="Arial" w:eastAsia="Calibri" w:hAnsi="Arial" w:cs="Arial"/>
          <w:bCs/>
          <w:i/>
          <w:iCs/>
          <w:color w:val="000000" w:themeColor="text1"/>
          <w:lang w:val="es-ES_tradnl"/>
        </w:rPr>
        <w:t>sustracción de materia</w:t>
      </w:r>
      <w:bookmarkEnd w:id="37"/>
      <w:r w:rsidRPr="008C2801">
        <w:rPr>
          <w:rStyle w:val="Refdenotaalpie"/>
          <w:rFonts w:ascii="Arial" w:eastAsia="Calibri" w:hAnsi="Arial" w:cs="Arial"/>
          <w:bCs/>
          <w:color w:val="000000" w:themeColor="text1"/>
          <w:lang w:val="es-ES_tradnl"/>
        </w:rPr>
        <w:footnoteReference w:id="43"/>
      </w:r>
      <w:r w:rsidRPr="008C2801">
        <w:rPr>
          <w:rFonts w:ascii="Arial" w:eastAsia="Calibri" w:hAnsi="Arial" w:cs="Arial"/>
          <w:bCs/>
          <w:color w:val="000000" w:themeColor="text1"/>
          <w:lang w:val="es-ES_tradnl"/>
        </w:rPr>
        <w:t>. En efecto, tal como se señala en el referido comunicado, el artículo 45 de la Ley 270 de 1996 establece que «Las sentencias que profiera la Corte Constitucional sobre los actos sujetos a su control en los términos del artículo 241 de la Constitución Política, tienen efectos hacia el futuro a menos que la Corte resuelva lo contrario». En otras palabras, cuando una norma es declarada inconstitucional queda expulsada del ordenamiento jurídico hacia el futuro, a menos que la Corte Constitucional module temporalmente los efectos de su fallo</w:t>
      </w:r>
      <w:r w:rsidRPr="008C2801">
        <w:rPr>
          <w:rStyle w:val="Refdenotaalpie"/>
          <w:rFonts w:ascii="Arial" w:eastAsia="Calibri" w:hAnsi="Arial" w:cs="Arial"/>
          <w:bCs/>
          <w:color w:val="000000" w:themeColor="text1"/>
          <w:lang w:val="es-ES_tradnl"/>
        </w:rPr>
        <w:footnoteReference w:id="44"/>
      </w:r>
      <w:r w:rsidRPr="008C2801">
        <w:rPr>
          <w:rFonts w:ascii="Arial" w:eastAsia="Calibri" w:hAnsi="Arial" w:cs="Arial"/>
          <w:bCs/>
          <w:color w:val="000000" w:themeColor="text1"/>
          <w:lang w:val="es-ES_tradnl"/>
        </w:rPr>
        <w:t xml:space="preserve">. En ese sentido, a pesar de que la regla general es que la </w:t>
      </w:r>
      <w:proofErr w:type="spellStart"/>
      <w:r w:rsidRPr="008C2801">
        <w:rPr>
          <w:rFonts w:ascii="Arial" w:eastAsia="Calibri" w:hAnsi="Arial" w:cs="Arial"/>
          <w:bCs/>
          <w:color w:val="000000" w:themeColor="text1"/>
          <w:lang w:val="es-ES_tradnl"/>
        </w:rPr>
        <w:t>inexequibilidad</w:t>
      </w:r>
      <w:proofErr w:type="spellEnd"/>
      <w:r w:rsidRPr="008C2801">
        <w:rPr>
          <w:rFonts w:ascii="Arial" w:eastAsia="Calibri" w:hAnsi="Arial" w:cs="Arial"/>
          <w:bCs/>
          <w:color w:val="000000" w:themeColor="text1"/>
          <w:lang w:val="es-ES_tradnl"/>
        </w:rPr>
        <w:t xml:space="preserve"> de las normas produzca su pérdida de vigencia con efectos hacia el futuro –</w:t>
      </w:r>
      <w:r w:rsidRPr="008C2801">
        <w:rPr>
          <w:rFonts w:ascii="Arial" w:eastAsia="Calibri" w:hAnsi="Arial" w:cs="Arial"/>
          <w:bCs/>
          <w:i/>
          <w:iCs/>
          <w:color w:val="000000" w:themeColor="text1"/>
          <w:lang w:val="es-ES_tradnl"/>
        </w:rPr>
        <w:t>ex nunc</w:t>
      </w:r>
      <w:r w:rsidRPr="008C2801">
        <w:rPr>
          <w:rFonts w:ascii="Arial" w:eastAsia="Calibri" w:hAnsi="Arial" w:cs="Arial"/>
          <w:bCs/>
          <w:color w:val="000000" w:themeColor="text1"/>
          <w:lang w:val="es-ES_tradnl"/>
        </w:rPr>
        <w:t xml:space="preserve">–, el </w:t>
      </w:r>
      <w:r w:rsidR="00644F17" w:rsidRPr="008C2801">
        <w:rPr>
          <w:rFonts w:ascii="Arial" w:eastAsia="Calibri" w:hAnsi="Arial" w:cs="Arial"/>
          <w:bCs/>
          <w:color w:val="000000" w:themeColor="text1"/>
          <w:lang w:val="es-ES_tradnl"/>
        </w:rPr>
        <w:t xml:space="preserve">Alto Tribunal </w:t>
      </w:r>
      <w:r w:rsidRPr="008C2801">
        <w:rPr>
          <w:rFonts w:ascii="Arial" w:eastAsia="Calibri" w:hAnsi="Arial" w:cs="Arial"/>
          <w:bCs/>
          <w:color w:val="000000" w:themeColor="text1"/>
          <w:lang w:val="es-ES_tradnl"/>
        </w:rPr>
        <w:t>constitucional se encuentra facultado para modular los efectos de sus decisiones, lo cual implica la posibilidad de emitir fallos con efectos retroactivos –</w:t>
      </w:r>
      <w:r w:rsidRPr="008C2801">
        <w:rPr>
          <w:rFonts w:ascii="Arial" w:eastAsia="Calibri" w:hAnsi="Arial" w:cs="Arial"/>
          <w:bCs/>
          <w:i/>
          <w:iCs/>
          <w:color w:val="000000" w:themeColor="text1"/>
          <w:lang w:val="es-ES_tradnl"/>
        </w:rPr>
        <w:t xml:space="preserve">ex </w:t>
      </w:r>
      <w:proofErr w:type="spellStart"/>
      <w:r w:rsidRPr="008C2801">
        <w:rPr>
          <w:rFonts w:ascii="Arial" w:eastAsia="Calibri" w:hAnsi="Arial" w:cs="Arial"/>
          <w:bCs/>
          <w:i/>
          <w:iCs/>
          <w:color w:val="000000" w:themeColor="text1"/>
          <w:lang w:val="es-ES_tradnl"/>
        </w:rPr>
        <w:t>tunc</w:t>
      </w:r>
      <w:proofErr w:type="spellEnd"/>
      <w:r w:rsidRPr="008C2801">
        <w:rPr>
          <w:rStyle w:val="Refdenotaalpie"/>
          <w:rFonts w:ascii="Arial" w:eastAsia="Calibri" w:hAnsi="Arial" w:cs="Arial"/>
          <w:bCs/>
          <w:i/>
          <w:iCs/>
          <w:color w:val="000000" w:themeColor="text1"/>
          <w:lang w:val="es-ES_tradnl"/>
        </w:rPr>
        <w:footnoteReference w:id="45"/>
      </w:r>
      <w:r w:rsidRPr="008C2801">
        <w:rPr>
          <w:rFonts w:ascii="Arial" w:eastAsia="Calibri" w:hAnsi="Arial" w:cs="Arial"/>
          <w:bCs/>
          <w:color w:val="000000" w:themeColor="text1"/>
          <w:lang w:val="es-ES_tradnl"/>
        </w:rPr>
        <w:t xml:space="preserve">–, tal como </w:t>
      </w:r>
      <w:r w:rsidRPr="008C2801">
        <w:rPr>
          <w:rFonts w:ascii="Arial" w:eastAsia="Calibri" w:hAnsi="Arial" w:cs="Arial"/>
          <w:bCs/>
          <w:color w:val="000000" w:themeColor="text1"/>
          <w:lang w:val="es-ES_tradnl"/>
        </w:rPr>
        <w:lastRenderedPageBreak/>
        <w:t xml:space="preserve">es el caso de la decisión tomada en la Sentencia C-123 de 2022, respecto del artículo 124 de la Ley 2159 de 2021.       </w:t>
      </w:r>
    </w:p>
    <w:p w14:paraId="1AFE59F1" w14:textId="1706E83B" w:rsidR="00A319F0" w:rsidRPr="008C2801" w:rsidRDefault="00A319F0" w:rsidP="004E0B4A">
      <w:pPr>
        <w:spacing w:after="120" w:line="276" w:lineRule="auto"/>
        <w:jc w:val="both"/>
        <w:rPr>
          <w:rFonts w:ascii="Arial" w:eastAsia="Calibri" w:hAnsi="Arial" w:cs="Arial"/>
          <w:bCs/>
          <w:color w:val="000000" w:themeColor="text1"/>
          <w:lang w:val="es-ES_tradnl"/>
        </w:rPr>
      </w:pPr>
      <w:r w:rsidRPr="008C2801">
        <w:rPr>
          <w:rFonts w:ascii="Arial" w:eastAsia="Calibri" w:hAnsi="Arial" w:cs="Arial"/>
          <w:bCs/>
          <w:color w:val="000000" w:themeColor="text1"/>
          <w:lang w:val="es-ES_tradnl"/>
        </w:rPr>
        <w:tab/>
        <w:t xml:space="preserve">Con todo, el principal efecto de la </w:t>
      </w:r>
      <w:proofErr w:type="spellStart"/>
      <w:r w:rsidRPr="008C2801">
        <w:rPr>
          <w:rFonts w:ascii="Arial" w:eastAsia="Calibri" w:hAnsi="Arial" w:cs="Arial"/>
          <w:bCs/>
          <w:color w:val="000000" w:themeColor="text1"/>
          <w:lang w:val="es-ES_tradnl"/>
        </w:rPr>
        <w:t>inexequibilidad</w:t>
      </w:r>
      <w:proofErr w:type="spellEnd"/>
      <w:r w:rsidRPr="008C2801">
        <w:rPr>
          <w:rFonts w:ascii="Arial" w:eastAsia="Calibri" w:hAnsi="Arial" w:cs="Arial"/>
          <w:bCs/>
          <w:color w:val="000000" w:themeColor="text1"/>
          <w:lang w:val="es-ES_tradnl"/>
        </w:rPr>
        <w:t xml:space="preserve"> es la perdida de vigencia de la norma, por ello se afirma que el tribunal constitucional se comporta como una especie de «legislador negativo». </w:t>
      </w:r>
      <w:r w:rsidRPr="008C2801">
        <w:rPr>
          <w:rFonts w:ascii="Arial" w:eastAsia="Calibri" w:hAnsi="Arial" w:cs="Arial"/>
          <w:lang w:val="es-ES_tradnl"/>
        </w:rPr>
        <w:t xml:space="preserve">En consecuencia, </w:t>
      </w:r>
      <w:r w:rsidRPr="008C2801">
        <w:rPr>
          <w:rFonts w:ascii="Arial" w:eastAsia="Calibri" w:hAnsi="Arial" w:cs="Arial"/>
          <w:bCs/>
          <w:color w:val="000000" w:themeColor="text1"/>
          <w:lang w:val="es-ES_tradnl"/>
        </w:rPr>
        <w:t xml:space="preserve">las normas declaradas inexequibles no pueden ser interpretadas, </w:t>
      </w:r>
      <w:r w:rsidRPr="008C2801">
        <w:rPr>
          <w:rFonts w:ascii="Arial" w:eastAsia="Calibri" w:hAnsi="Arial" w:cs="Arial"/>
          <w:bCs/>
          <w:i/>
          <w:iCs/>
          <w:color w:val="000000" w:themeColor="text1"/>
          <w:lang w:val="es-ES_tradnl"/>
        </w:rPr>
        <w:t>en ejercicio de su función consultiva</w:t>
      </w:r>
      <w:r w:rsidRPr="008C2801">
        <w:rPr>
          <w:rFonts w:ascii="Arial" w:eastAsia="Calibri" w:hAnsi="Arial" w:cs="Arial"/>
          <w:bCs/>
          <w:color w:val="000000" w:themeColor="text1"/>
          <w:lang w:val="es-ES_tradnl"/>
        </w:rPr>
        <w:t xml:space="preserve">, por parte de la Agencia Nacional de Contratación Pública – Colombia Compra Eficiente. Lo anterior en la medida en que el Decreto-Ley 4170 de 2011 le asigna a esta entidad competencia para resolver consultas sobre normas que sean </w:t>
      </w:r>
      <w:r w:rsidRPr="008C2801">
        <w:rPr>
          <w:rFonts w:ascii="Arial" w:eastAsia="Calibri" w:hAnsi="Arial" w:cs="Arial"/>
          <w:bCs/>
          <w:i/>
          <w:iCs/>
          <w:color w:val="000000" w:themeColor="text1"/>
          <w:lang w:val="es-ES_tradnl"/>
        </w:rPr>
        <w:t>aplicables</w:t>
      </w:r>
      <w:r w:rsidRPr="008C2801">
        <w:rPr>
          <w:rFonts w:ascii="Arial" w:eastAsia="Calibri" w:hAnsi="Arial" w:cs="Arial"/>
          <w:bCs/>
          <w:color w:val="000000" w:themeColor="text1"/>
          <w:lang w:val="es-ES_tradnl"/>
        </w:rPr>
        <w:t>, es decir, que se encuentren vigentes –lo que no sucede con los enunciados normativos que han salido del ordenamiento jurídico, por ser inconstitucionales–. Así</w:t>
      </w:r>
      <w:r w:rsidR="00B005CA" w:rsidRPr="008C2801">
        <w:rPr>
          <w:rFonts w:ascii="Arial" w:eastAsia="Calibri" w:hAnsi="Arial" w:cs="Arial"/>
          <w:bCs/>
          <w:color w:val="000000" w:themeColor="text1"/>
          <w:lang w:val="es-ES_tradnl"/>
        </w:rPr>
        <w:t>,</w:t>
      </w:r>
      <w:r w:rsidRPr="008C2801">
        <w:rPr>
          <w:rFonts w:ascii="Arial" w:eastAsia="Calibri" w:hAnsi="Arial" w:cs="Arial"/>
          <w:bCs/>
          <w:color w:val="000000" w:themeColor="text1"/>
          <w:lang w:val="es-ES_tradnl"/>
        </w:rPr>
        <w:t xml:space="preserve"> se desprende del </w:t>
      </w:r>
      <w:r w:rsidR="00A00DF0" w:rsidRPr="008C2801">
        <w:rPr>
          <w:rFonts w:ascii="Arial" w:eastAsia="Calibri" w:hAnsi="Arial" w:cs="Arial"/>
          <w:bCs/>
          <w:color w:val="000000" w:themeColor="text1"/>
          <w:lang w:val="es-ES_tradnl"/>
        </w:rPr>
        <w:t xml:space="preserve">numeral 5 del </w:t>
      </w:r>
      <w:r w:rsidRPr="008C2801">
        <w:rPr>
          <w:rFonts w:ascii="Arial" w:eastAsia="Calibri" w:hAnsi="Arial" w:cs="Arial"/>
          <w:bCs/>
          <w:color w:val="000000" w:themeColor="text1"/>
          <w:lang w:val="es-ES_tradnl"/>
        </w:rPr>
        <w:t xml:space="preserve">artículo 3 del referido cuerpo normativo, el cual dispone que una de las funciones de la Agencia es «Absolver consultas sobre la </w:t>
      </w:r>
      <w:r w:rsidRPr="008C2801">
        <w:rPr>
          <w:rFonts w:ascii="Arial" w:eastAsia="Calibri" w:hAnsi="Arial" w:cs="Arial"/>
          <w:bCs/>
          <w:i/>
          <w:iCs/>
          <w:color w:val="000000" w:themeColor="text1"/>
          <w:lang w:val="es-ES_tradnl"/>
        </w:rPr>
        <w:t>aplicación</w:t>
      </w:r>
      <w:r w:rsidRPr="008C2801">
        <w:rPr>
          <w:rFonts w:ascii="Arial" w:eastAsia="Calibri" w:hAnsi="Arial" w:cs="Arial"/>
          <w:bCs/>
          <w:color w:val="000000" w:themeColor="text1"/>
          <w:lang w:val="es-ES_tradnl"/>
        </w:rPr>
        <w:t xml:space="preserve"> de normas de carácter general […]» (énfasis fuera de texto); función que se reproduce textualmente en el artículo 11, numeral 8 del mismo Decreto-Ley. Una norma que ha sido declarada inexequible no es </w:t>
      </w:r>
      <w:r w:rsidRPr="008C2801">
        <w:rPr>
          <w:rFonts w:ascii="Arial" w:eastAsia="Calibri" w:hAnsi="Arial" w:cs="Arial"/>
          <w:bCs/>
          <w:i/>
          <w:iCs/>
          <w:color w:val="000000" w:themeColor="text1"/>
          <w:lang w:val="es-ES_tradnl"/>
        </w:rPr>
        <w:t>aplicable</w:t>
      </w:r>
      <w:r w:rsidRPr="008C2801">
        <w:rPr>
          <w:rFonts w:ascii="Arial" w:eastAsia="Calibri" w:hAnsi="Arial" w:cs="Arial"/>
          <w:bCs/>
          <w:color w:val="000000" w:themeColor="text1"/>
          <w:lang w:val="es-ES_tradnl"/>
        </w:rPr>
        <w:t xml:space="preserve"> por inexistente; por lo tanto, la Agencia no puede emitir conceptos sobre la misma. </w:t>
      </w:r>
    </w:p>
    <w:p w14:paraId="2ACD2AD3" w14:textId="77777777" w:rsidR="00A319F0" w:rsidRPr="008C2801" w:rsidRDefault="00A319F0" w:rsidP="004E0B4A">
      <w:pPr>
        <w:spacing w:before="120" w:after="120" w:line="276" w:lineRule="auto"/>
        <w:ind w:firstLine="709"/>
        <w:jc w:val="both"/>
        <w:rPr>
          <w:rFonts w:ascii="Arial" w:eastAsia="Calibri" w:hAnsi="Arial" w:cs="Arial"/>
          <w:bCs/>
          <w:color w:val="000000" w:themeColor="text1"/>
          <w:lang w:val="es-ES_tradnl"/>
        </w:rPr>
      </w:pPr>
      <w:r w:rsidRPr="008C2801">
        <w:rPr>
          <w:rFonts w:ascii="Arial" w:eastAsia="Calibri" w:hAnsi="Arial" w:cs="Arial"/>
          <w:bCs/>
          <w:color w:val="000000" w:themeColor="text1"/>
          <w:lang w:val="es-ES_tradnl"/>
        </w:rPr>
        <w:t xml:space="preserve">Obsérvese que el legislador extraordinario circunscribió la competencia consultiva de Colombia Compra Eficiente a la </w:t>
      </w:r>
      <w:r w:rsidRPr="008C2801">
        <w:rPr>
          <w:rFonts w:ascii="Arial" w:eastAsia="Calibri" w:hAnsi="Arial" w:cs="Arial"/>
          <w:bCs/>
          <w:i/>
          <w:iCs/>
          <w:color w:val="000000" w:themeColor="text1"/>
          <w:lang w:val="es-ES_tradnl"/>
        </w:rPr>
        <w:t>vigencia</w:t>
      </w:r>
      <w:r w:rsidRPr="008C2801">
        <w:rPr>
          <w:rFonts w:ascii="Arial" w:eastAsia="Calibri" w:hAnsi="Arial" w:cs="Arial"/>
          <w:bCs/>
          <w:color w:val="000000" w:themeColor="text1"/>
          <w:lang w:val="es-ES_tradnl"/>
        </w:rPr>
        <w:t xml:space="preserve"> de las normas del sistema de compras y contratación pública, sin permitirle emitir conceptos sobre preceptos derogados o declarados inexequibles. Esta idea guarda coherencia con el alcance </w:t>
      </w:r>
      <w:r w:rsidRPr="008C2801">
        <w:rPr>
          <w:rFonts w:ascii="Arial" w:eastAsia="Calibri" w:hAnsi="Arial" w:cs="Arial"/>
          <w:bCs/>
          <w:i/>
          <w:iCs/>
          <w:color w:val="000000" w:themeColor="text1"/>
          <w:lang w:val="es-ES_tradnl"/>
        </w:rPr>
        <w:t>erga omnes</w:t>
      </w:r>
      <w:r w:rsidRPr="008C2801">
        <w:rPr>
          <w:rFonts w:ascii="Arial" w:eastAsia="Calibri" w:hAnsi="Arial" w:cs="Arial"/>
          <w:bCs/>
          <w:color w:val="000000" w:themeColor="text1"/>
          <w:lang w:val="es-ES_tradnl"/>
        </w:rPr>
        <w:t xml:space="preserve"> de las sentencias expedidas en ejercicio del control constitucional consagrado en el artículo 48, numeral 1, de la Ley 270 de 1996, a cuyo tenor las sentencias «dictadas como resultado del examen de las normas legales, ya sea por vía de acción, de revisión previa o con motivo del ejercicio del control automático de constitucionalidad, serán de obligatorio cumplimiento </w:t>
      </w:r>
      <w:r w:rsidRPr="008C2801">
        <w:rPr>
          <w:rFonts w:ascii="Arial" w:eastAsia="Calibri" w:hAnsi="Arial" w:cs="Arial"/>
          <w:bCs/>
          <w:color w:val="000000" w:themeColor="text1"/>
          <w:lang w:val="es-ES_tradnl"/>
        </w:rPr>
        <w:lastRenderedPageBreak/>
        <w:t>y con efecto erga omnes en su parte resolutiva». Esta norma debe entenderse en forma armónica con el artículo 243 de la Constitución, según el cual «Los fallos que la Corte dicte en ejercicio del control jurisdiccional hacen tránsito a cosa juzgada constitucional».</w:t>
      </w:r>
    </w:p>
    <w:p w14:paraId="1BF0A3F1" w14:textId="77777777" w:rsidR="00A319F0" w:rsidRPr="008C2801" w:rsidRDefault="00A319F0" w:rsidP="004E0B4A">
      <w:pPr>
        <w:spacing w:before="120" w:after="120" w:line="276" w:lineRule="auto"/>
        <w:ind w:firstLine="709"/>
        <w:jc w:val="both"/>
        <w:rPr>
          <w:rFonts w:ascii="Arial" w:eastAsia="Calibri" w:hAnsi="Arial" w:cs="Arial"/>
          <w:lang w:val="es-ES_tradnl"/>
        </w:rPr>
      </w:pPr>
      <w:r w:rsidRPr="008C2801">
        <w:rPr>
          <w:rFonts w:ascii="Arial" w:eastAsia="Calibri" w:hAnsi="Arial" w:cs="Arial"/>
          <w:lang w:val="es-ES_tradnl"/>
        </w:rPr>
        <w:t xml:space="preserve">De las consideraciones anteriores se concluye que existe carencia actual de objeto, por sustracción de materia, debido a que la norma frente a la cual se formula una consulta a la Agencia Nacional de Contratación Pública – Colombia Compra Eficiente ha sido declarada inexequible por la Corte Constitucional, porque en tal caso la norma no es </w:t>
      </w:r>
      <w:r w:rsidRPr="008C2801">
        <w:rPr>
          <w:rFonts w:ascii="Arial" w:eastAsia="Calibri" w:hAnsi="Arial" w:cs="Arial"/>
          <w:i/>
          <w:iCs/>
          <w:lang w:val="es-ES_tradnl"/>
        </w:rPr>
        <w:t>aplicable</w:t>
      </w:r>
      <w:r w:rsidRPr="008C2801">
        <w:rPr>
          <w:rFonts w:ascii="Arial" w:eastAsia="Calibri" w:hAnsi="Arial" w:cs="Arial"/>
          <w:lang w:val="es-ES_tradnl"/>
        </w:rPr>
        <w:t xml:space="preserve">, como ya se indicó, pues no cumple con la condición establecida en los artículos 3, numeral 5 y 11, numeral 8, del Decreto-Ley 4170 de 2011. Estas disposiciones –se reitera– solo le permiten a la Agencia emitir conceptos sobre la interpretación de normas </w:t>
      </w:r>
      <w:r w:rsidRPr="008C2801">
        <w:rPr>
          <w:rFonts w:ascii="Arial" w:eastAsia="Calibri" w:hAnsi="Arial" w:cs="Arial"/>
          <w:i/>
          <w:iCs/>
          <w:lang w:val="es-ES_tradnl"/>
        </w:rPr>
        <w:t>aplicables</w:t>
      </w:r>
      <w:r w:rsidRPr="008C2801">
        <w:rPr>
          <w:rFonts w:ascii="Arial" w:eastAsia="Calibri" w:hAnsi="Arial" w:cs="Arial"/>
          <w:lang w:val="es-ES_tradnl"/>
        </w:rPr>
        <w:t>, es decir, que estén aún vigentes en el ordenamiento jurídico. Además, las normas que consagran las competencias de las autoridades deben interpretarse de manera restrictiva. Así se deduce del artículo 6 de la Constitución, que hace responsables a los servidores públicos, entre otros eventos, por «extralimitación en el ejercicio de sus funciones», y del artículo 121 de la Carta, según el cual «Ninguna autoridad del Estado podrá ejercer funciones distintas de las que le atribuyen la Constitución y la ley».</w:t>
      </w:r>
    </w:p>
    <w:p w14:paraId="79CE0C5F" w14:textId="0445BCCA" w:rsidR="00A319F0" w:rsidRDefault="00A319F0" w:rsidP="00BB6CCD">
      <w:pPr>
        <w:spacing w:after="0" w:line="276" w:lineRule="auto"/>
        <w:ind w:firstLine="709"/>
        <w:contextualSpacing/>
        <w:jc w:val="both"/>
        <w:rPr>
          <w:rFonts w:ascii="Arial" w:eastAsia="Calibri" w:hAnsi="Arial" w:cs="Arial"/>
          <w:lang w:val="es-ES_tradnl"/>
        </w:rPr>
      </w:pPr>
      <w:r w:rsidRPr="008C2801">
        <w:rPr>
          <w:rFonts w:ascii="Arial" w:eastAsia="Calibri" w:hAnsi="Arial" w:cs="Arial"/>
          <w:lang w:val="es-ES_tradnl"/>
        </w:rPr>
        <w:t xml:space="preserve">Por tanto, la declaratoria de </w:t>
      </w:r>
      <w:proofErr w:type="spellStart"/>
      <w:r w:rsidRPr="008C2801">
        <w:rPr>
          <w:rFonts w:ascii="Arial" w:eastAsia="Calibri" w:hAnsi="Arial" w:cs="Arial"/>
          <w:lang w:val="es-ES_tradnl"/>
        </w:rPr>
        <w:t>inexequibilidad</w:t>
      </w:r>
      <w:proofErr w:type="spellEnd"/>
      <w:r w:rsidRPr="008C2801">
        <w:rPr>
          <w:rFonts w:ascii="Arial" w:eastAsia="Calibri" w:hAnsi="Arial" w:cs="Arial"/>
          <w:lang w:val="es-ES_tradnl"/>
        </w:rPr>
        <w:t xml:space="preserve"> del artículo 124 de la Ley 2159 de 2021 tiene como efecto que el primer inciso del parágrafo del artículo 38 de la Ley 996 de 2005 recobre sus efectos y se convierta en la norma </w:t>
      </w:r>
      <w:r w:rsidRPr="008C2801">
        <w:rPr>
          <w:rFonts w:ascii="Arial" w:eastAsia="Calibri" w:hAnsi="Arial" w:cs="Arial"/>
          <w:i/>
          <w:iCs/>
          <w:lang w:val="es-ES_tradnl"/>
        </w:rPr>
        <w:t>aplicable</w:t>
      </w:r>
      <w:r w:rsidRPr="008C2801">
        <w:rPr>
          <w:rFonts w:ascii="Arial" w:eastAsia="Calibri" w:hAnsi="Arial" w:cs="Arial"/>
          <w:lang w:val="es-ES_tradnl"/>
        </w:rPr>
        <w:t>. En tal sentido, las consultas referidas a este tema deben referirse al contenido vigente del mencionado parágrafo, que establece: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172798" w:rsidRPr="008C2801">
        <w:rPr>
          <w:rFonts w:ascii="Arial" w:eastAsia="Calibri" w:hAnsi="Arial" w:cs="Arial"/>
          <w:lang w:val="es-ES_tradnl"/>
        </w:rPr>
        <w:t xml:space="preserve">, conforme se explicó en </w:t>
      </w:r>
      <w:r w:rsidR="00BB6CCD" w:rsidRPr="008C2801">
        <w:rPr>
          <w:rFonts w:ascii="Arial" w:eastAsia="Calibri" w:hAnsi="Arial" w:cs="Arial"/>
          <w:lang w:val="es-ES_tradnl"/>
        </w:rPr>
        <w:t xml:space="preserve">el numeral 2.5 de este concepto. </w:t>
      </w:r>
    </w:p>
    <w:p w14:paraId="02683713" w14:textId="77777777" w:rsidR="000F5B6F" w:rsidRPr="008C2801" w:rsidRDefault="000F5B6F" w:rsidP="00BB6CCD">
      <w:pPr>
        <w:spacing w:after="0" w:line="276" w:lineRule="auto"/>
        <w:ind w:firstLine="709"/>
        <w:contextualSpacing/>
        <w:jc w:val="both"/>
        <w:rPr>
          <w:rFonts w:ascii="Arial" w:eastAsia="Calibri" w:hAnsi="Arial" w:cs="Arial"/>
          <w:bCs/>
          <w:i/>
          <w:iCs/>
          <w:color w:val="000000" w:themeColor="text1"/>
          <w:lang w:val="es-ES_tradnl"/>
        </w:rPr>
      </w:pPr>
    </w:p>
    <w:p w14:paraId="464D3F74" w14:textId="77777777" w:rsidR="007D009F" w:rsidRPr="008C2801" w:rsidRDefault="007D009F" w:rsidP="001128F7">
      <w:pPr>
        <w:tabs>
          <w:tab w:val="left" w:pos="0"/>
        </w:tabs>
        <w:spacing w:after="0" w:line="276" w:lineRule="auto"/>
        <w:contextualSpacing/>
        <w:jc w:val="both"/>
        <w:rPr>
          <w:rFonts w:ascii="Arial" w:eastAsia="Calibri" w:hAnsi="Arial" w:cs="Arial"/>
          <w:b/>
          <w:lang w:val="es-ES_tradnl" w:eastAsia="es-ES_tradnl"/>
        </w:rPr>
      </w:pPr>
      <w:bookmarkStart w:id="38" w:name="_44sinio" w:colFirst="0" w:colLast="0"/>
      <w:bookmarkStart w:id="39" w:name="_2jxsxqh" w:colFirst="0" w:colLast="0"/>
      <w:bookmarkStart w:id="40" w:name="_z337ya" w:colFirst="0" w:colLast="0"/>
      <w:bookmarkStart w:id="41" w:name="_3j2qqm3" w:colFirst="0" w:colLast="0"/>
      <w:bookmarkStart w:id="42" w:name="_1y810tw" w:colFirst="0" w:colLast="0"/>
      <w:bookmarkStart w:id="43" w:name="_4i7ojhp" w:colFirst="0" w:colLast="0"/>
      <w:bookmarkStart w:id="44" w:name="_2xcytpi" w:colFirst="0" w:colLast="0"/>
      <w:bookmarkStart w:id="45" w:name="_1ci93xb" w:colFirst="0" w:colLast="0"/>
      <w:bookmarkStart w:id="46" w:name="_3whwml4" w:colFirst="0" w:colLast="0"/>
      <w:bookmarkStart w:id="47" w:name="_2bn6wsx" w:colFirst="0" w:colLast="0"/>
      <w:bookmarkStart w:id="48" w:name="_3as4poj" w:colFirst="0" w:colLast="0"/>
      <w:bookmarkStart w:id="49" w:name="_1pxezwc" w:colFirst="0" w:colLast="0"/>
      <w:bookmarkStart w:id="50" w:name="_49x2ik5" w:colFirst="0" w:colLast="0"/>
      <w:bookmarkEnd w:id="38"/>
      <w:bookmarkEnd w:id="39"/>
      <w:bookmarkEnd w:id="40"/>
      <w:bookmarkEnd w:id="41"/>
      <w:bookmarkEnd w:id="42"/>
      <w:bookmarkEnd w:id="43"/>
      <w:bookmarkEnd w:id="44"/>
      <w:bookmarkEnd w:id="45"/>
      <w:bookmarkEnd w:id="46"/>
      <w:bookmarkEnd w:id="47"/>
      <w:bookmarkEnd w:id="48"/>
      <w:bookmarkEnd w:id="49"/>
      <w:bookmarkEnd w:id="50"/>
      <w:r w:rsidRPr="008C2801">
        <w:rPr>
          <w:rFonts w:ascii="Arial" w:eastAsia="Calibri" w:hAnsi="Arial" w:cs="Arial"/>
          <w:b/>
          <w:lang w:val="es-ES_tradnl" w:eastAsia="es-ES_tradnl"/>
        </w:rPr>
        <w:t>3. Respuesta</w:t>
      </w:r>
    </w:p>
    <w:p w14:paraId="1C881158" w14:textId="77777777" w:rsidR="007D009F" w:rsidRPr="00EB1BB4" w:rsidRDefault="007D009F" w:rsidP="001128F7">
      <w:pPr>
        <w:tabs>
          <w:tab w:val="left" w:pos="0"/>
        </w:tabs>
        <w:spacing w:after="0" w:line="240" w:lineRule="auto"/>
        <w:contextualSpacing/>
        <w:jc w:val="both"/>
        <w:rPr>
          <w:rFonts w:ascii="Arial" w:eastAsia="Calibri" w:hAnsi="Arial" w:cs="Arial"/>
          <w:b/>
          <w:sz w:val="20"/>
          <w:szCs w:val="20"/>
          <w:lang w:val="es-ES_tradnl" w:eastAsia="es-ES_tradnl"/>
        </w:rPr>
      </w:pPr>
    </w:p>
    <w:p w14:paraId="41340C25" w14:textId="0D9E8774" w:rsidR="008E3418" w:rsidRPr="008C2801" w:rsidRDefault="008E3418" w:rsidP="001128F7">
      <w:pPr>
        <w:spacing w:after="0" w:line="240" w:lineRule="auto"/>
        <w:ind w:left="709" w:right="709"/>
        <w:contextualSpacing/>
        <w:jc w:val="both"/>
        <w:rPr>
          <w:rFonts w:ascii="Arial" w:hAnsi="Arial" w:cs="Arial"/>
          <w:sz w:val="21"/>
          <w:szCs w:val="21"/>
        </w:rPr>
      </w:pPr>
      <w:r w:rsidRPr="008C2801">
        <w:rPr>
          <w:rFonts w:ascii="Arial" w:eastAsia="Times New Roman" w:hAnsi="Arial" w:cs="Arial"/>
          <w:sz w:val="21"/>
          <w:szCs w:val="21"/>
          <w:lang w:eastAsia="es-ES_tradnl"/>
        </w:rPr>
        <w:t>«</w:t>
      </w:r>
      <w:r w:rsidRPr="008C2801">
        <w:rPr>
          <w:rFonts w:ascii="Arial" w:hAnsi="Arial" w:cs="Arial"/>
          <w:sz w:val="21"/>
          <w:szCs w:val="21"/>
        </w:rPr>
        <w:t>1. ¿El régimen aplicable a la ley de Garantías rige para entidades estatales de orden Nacional como lo es la Policía Nacional?</w:t>
      </w:r>
      <w:r w:rsidR="00E8670D" w:rsidRPr="008C2801">
        <w:rPr>
          <w:rFonts w:ascii="Arial" w:eastAsia="Times New Roman" w:hAnsi="Arial" w:cs="Arial"/>
          <w:sz w:val="21"/>
          <w:szCs w:val="21"/>
          <w:lang w:eastAsia="es-ES_tradnl"/>
        </w:rPr>
        <w:t>»</w:t>
      </w:r>
    </w:p>
    <w:p w14:paraId="39656EF5" w14:textId="77777777" w:rsidR="00031D34" w:rsidRPr="00EB1BB4" w:rsidRDefault="00031D34" w:rsidP="001128F7">
      <w:pPr>
        <w:spacing w:after="0" w:line="240" w:lineRule="auto"/>
        <w:ind w:right="709"/>
        <w:contextualSpacing/>
        <w:jc w:val="both"/>
        <w:rPr>
          <w:rFonts w:ascii="Arial" w:hAnsi="Arial" w:cs="Arial"/>
          <w:sz w:val="18"/>
          <w:szCs w:val="18"/>
        </w:rPr>
      </w:pPr>
    </w:p>
    <w:p w14:paraId="32403934" w14:textId="3CCA0CFD" w:rsidR="00F17C15" w:rsidRPr="008C2801" w:rsidRDefault="00031D34" w:rsidP="00EB1BB4">
      <w:pPr>
        <w:spacing w:after="120" w:line="276" w:lineRule="auto"/>
        <w:jc w:val="both"/>
        <w:rPr>
          <w:rStyle w:val="eop"/>
          <w:rFonts w:ascii="Arial" w:hAnsi="Arial" w:cs="Arial"/>
          <w:color w:val="000000"/>
          <w:shd w:val="clear" w:color="auto" w:fill="FFFFFF"/>
        </w:rPr>
      </w:pPr>
      <w:r w:rsidRPr="008C2801">
        <w:rPr>
          <w:rStyle w:val="normaltextrun"/>
          <w:rFonts w:ascii="Arial" w:hAnsi="Arial" w:cs="Arial"/>
          <w:color w:val="000000"/>
          <w:shd w:val="clear" w:color="auto" w:fill="FFFFFF"/>
          <w:lang w:val="es-ES"/>
        </w:rPr>
        <w:t xml:space="preserve">Con base en las consideraciones expuestas es posible afirmar que, </w:t>
      </w:r>
      <w:r w:rsidRPr="008C2801">
        <w:rPr>
          <w:rStyle w:val="normaltextrun"/>
          <w:rFonts w:ascii="Arial" w:hAnsi="Arial" w:cs="Arial"/>
          <w:color w:val="000000"/>
          <w:shd w:val="clear" w:color="auto" w:fill="FFFFFF"/>
        </w:rPr>
        <w:t xml:space="preserve">la restricción a la contratación directa prevista en el artículo 33 de la Ley 996 de 2005 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w:t>
      </w:r>
      <w:r w:rsidRPr="008C2801">
        <w:rPr>
          <w:rStyle w:val="normaltextrun"/>
          <w:rFonts w:ascii="Arial" w:hAnsi="Arial" w:cs="Arial"/>
          <w:color w:val="000000"/>
          <w:shd w:val="clear" w:color="auto" w:fill="FFFFFF"/>
        </w:rPr>
        <w:lastRenderedPageBreak/>
        <w:t>Administración Pública.</w:t>
      </w:r>
      <w:r w:rsidR="001C0AEE">
        <w:rPr>
          <w:rStyle w:val="normaltextrun"/>
          <w:rFonts w:ascii="Arial" w:hAnsi="Arial" w:cs="Arial"/>
          <w:color w:val="000000"/>
          <w:shd w:val="clear" w:color="auto" w:fill="FFFFFF"/>
        </w:rPr>
        <w:t xml:space="preserve"> </w:t>
      </w:r>
      <w:r w:rsidR="001C0AEE">
        <w:rPr>
          <w:rStyle w:val="normaltextrun"/>
          <w:rFonts w:ascii="Arial" w:hAnsi="Arial" w:cs="Arial"/>
          <w:color w:val="000000"/>
          <w:shd w:val="clear" w:color="auto" w:fill="FFFFFF"/>
          <w:lang w:val="es-ES"/>
        </w:rPr>
        <w:t>De acuerdo con esto</w:t>
      </w:r>
      <w:r w:rsidR="00F17C15" w:rsidRPr="008C2801">
        <w:rPr>
          <w:rStyle w:val="normaltextrun"/>
          <w:rFonts w:ascii="Arial" w:hAnsi="Arial" w:cs="Arial"/>
          <w:color w:val="000000"/>
          <w:shd w:val="clear" w:color="auto" w:fill="FFFFFF"/>
          <w:lang w:val="es-ES"/>
        </w:rPr>
        <w:t>,</w:t>
      </w:r>
      <w:r w:rsidR="001C0AEE">
        <w:rPr>
          <w:rStyle w:val="normaltextrun"/>
          <w:rFonts w:ascii="Arial" w:hAnsi="Arial" w:cs="Arial"/>
          <w:color w:val="000000"/>
          <w:shd w:val="clear" w:color="auto" w:fill="FFFFFF"/>
          <w:lang w:val="es-ES"/>
        </w:rPr>
        <w:t xml:space="preserve"> teniendo en cuenta que </w:t>
      </w:r>
      <w:r w:rsidR="00EC2CEC" w:rsidRPr="008C2801">
        <w:rPr>
          <w:rStyle w:val="normaltextrun"/>
          <w:rFonts w:ascii="Arial" w:hAnsi="Arial" w:cs="Arial"/>
          <w:color w:val="000000"/>
          <w:shd w:val="clear" w:color="auto" w:fill="FFFFFF"/>
          <w:lang w:val="es-ES"/>
        </w:rPr>
        <w:t xml:space="preserve">la Policía Nacional de Colombia </w:t>
      </w:r>
      <w:r w:rsidR="00F17C15" w:rsidRPr="008C2801">
        <w:rPr>
          <w:rStyle w:val="normaltextrun"/>
          <w:rFonts w:ascii="Arial" w:hAnsi="Arial" w:cs="Arial"/>
          <w:color w:val="000000"/>
          <w:shd w:val="clear" w:color="auto" w:fill="FFFFFF"/>
          <w:lang w:val="es-ES"/>
        </w:rPr>
        <w:t>no solo desarrolla funciones públicas, sino que tienen un rol definido en la estructura estatal, del que se sigue su calidad de ente del Estado, a los que de manera general se refiere el artículo 33 de la Ley 996 de 2005</w:t>
      </w:r>
      <w:r w:rsidR="001C0AEE">
        <w:rPr>
          <w:rStyle w:val="normaltextrun"/>
          <w:rFonts w:ascii="Arial" w:hAnsi="Arial" w:cs="Arial"/>
          <w:color w:val="000000"/>
          <w:shd w:val="clear" w:color="auto" w:fill="FFFFFF"/>
          <w:lang w:val="es-ES"/>
        </w:rPr>
        <w:t>,</w:t>
      </w:r>
      <w:r w:rsidR="00F17C15" w:rsidRPr="008C2801">
        <w:rPr>
          <w:rStyle w:val="normaltextrun"/>
          <w:rFonts w:ascii="Arial" w:hAnsi="Arial" w:cs="Arial"/>
          <w:color w:val="000000"/>
          <w:shd w:val="clear" w:color="auto" w:fill="FFFFFF"/>
          <w:lang w:val="es-ES"/>
        </w:rPr>
        <w:t xml:space="preserve"> </w:t>
      </w:r>
      <w:r w:rsidR="001C0AEE">
        <w:rPr>
          <w:rStyle w:val="normaltextrun"/>
          <w:rFonts w:ascii="Arial" w:hAnsi="Arial" w:cs="Arial"/>
          <w:color w:val="000000"/>
          <w:shd w:val="clear" w:color="auto" w:fill="FFFFFF"/>
          <w:lang w:val="es-ES"/>
        </w:rPr>
        <w:t xml:space="preserve">resulta claro que dicha entidad </w:t>
      </w:r>
      <w:r w:rsidR="002735F5" w:rsidRPr="008C2801">
        <w:rPr>
          <w:rStyle w:val="normaltextrun"/>
          <w:rFonts w:ascii="Arial" w:hAnsi="Arial" w:cs="Arial"/>
          <w:color w:val="000000"/>
          <w:shd w:val="clear" w:color="auto" w:fill="FFFFFF"/>
          <w:lang w:val="es-ES"/>
        </w:rPr>
        <w:t xml:space="preserve">es destinataria </w:t>
      </w:r>
      <w:r w:rsidR="00F17C15" w:rsidRPr="008C2801">
        <w:rPr>
          <w:rStyle w:val="normaltextrun"/>
          <w:rFonts w:ascii="Arial" w:hAnsi="Arial" w:cs="Arial"/>
          <w:color w:val="000000"/>
          <w:shd w:val="clear" w:color="auto" w:fill="FFFFFF"/>
          <w:lang w:val="es-ES"/>
        </w:rPr>
        <w:t>de la prohibición a la contratación directa establecida en el artículo 33 de la Ley de Garantías Electorales. </w:t>
      </w:r>
      <w:r w:rsidR="00F17C15" w:rsidRPr="008C2801">
        <w:rPr>
          <w:rStyle w:val="eop"/>
          <w:rFonts w:ascii="Arial" w:hAnsi="Arial" w:cs="Arial"/>
          <w:color w:val="000000"/>
          <w:shd w:val="clear" w:color="auto" w:fill="FFFFFF"/>
        </w:rPr>
        <w:t> </w:t>
      </w:r>
    </w:p>
    <w:p w14:paraId="6437F27F" w14:textId="77777777" w:rsidR="00F17C15" w:rsidRPr="00EB1BB4" w:rsidRDefault="00F17C15" w:rsidP="00F17C15">
      <w:pPr>
        <w:spacing w:after="0" w:line="240" w:lineRule="auto"/>
        <w:ind w:right="709"/>
        <w:contextualSpacing/>
        <w:jc w:val="both"/>
        <w:rPr>
          <w:rFonts w:ascii="Arial" w:hAnsi="Arial" w:cs="Arial"/>
          <w:sz w:val="18"/>
          <w:szCs w:val="18"/>
        </w:rPr>
      </w:pPr>
    </w:p>
    <w:p w14:paraId="3D640581" w14:textId="5FEB9E3E" w:rsidR="008E3418" w:rsidRPr="008C2801" w:rsidRDefault="00E8670D" w:rsidP="00433E2B">
      <w:pPr>
        <w:spacing w:after="0" w:line="240" w:lineRule="auto"/>
        <w:ind w:left="709" w:right="709"/>
        <w:contextualSpacing/>
        <w:jc w:val="both"/>
        <w:rPr>
          <w:rFonts w:ascii="Arial" w:hAnsi="Arial" w:cs="Arial"/>
          <w:sz w:val="21"/>
          <w:szCs w:val="21"/>
        </w:rPr>
      </w:pPr>
      <w:r w:rsidRPr="008C2801">
        <w:rPr>
          <w:rFonts w:ascii="Arial" w:eastAsia="Times New Roman" w:hAnsi="Arial" w:cs="Arial"/>
          <w:sz w:val="21"/>
          <w:szCs w:val="21"/>
          <w:lang w:eastAsia="es-ES_tradnl"/>
        </w:rPr>
        <w:t>«</w:t>
      </w:r>
      <w:r w:rsidR="008E3418" w:rsidRPr="008C2801">
        <w:rPr>
          <w:rFonts w:ascii="Arial" w:hAnsi="Arial" w:cs="Arial"/>
          <w:sz w:val="21"/>
          <w:szCs w:val="21"/>
        </w:rPr>
        <w:t>2. De conformidad con el artículo 33 de la Ley 996 de 2005, en lo referente a: i) la defensa y seguridad del Estado; podría el Municipio y la Policía Nacional suscribir el Convenio Interadministrativo bajo la modalidad de contratación Directa invocando la causal exceptuada, teniendo en consideración que el control operativo de tránsito en el municipio hace parte del servicio público estatal esencial que se debe garantizar para la protección y defensa y seguridad del Estado</w:t>
      </w:r>
      <w:r w:rsidRPr="008C2801">
        <w:rPr>
          <w:rFonts w:ascii="Arial" w:eastAsia="Times New Roman" w:hAnsi="Arial" w:cs="Arial"/>
          <w:sz w:val="21"/>
          <w:szCs w:val="21"/>
          <w:lang w:eastAsia="es-ES_tradnl"/>
        </w:rPr>
        <w:t>»</w:t>
      </w:r>
    </w:p>
    <w:p w14:paraId="3A84D9BA" w14:textId="77777777" w:rsidR="00F673E4" w:rsidRPr="00EB1BB4" w:rsidRDefault="00F673E4" w:rsidP="00F673E4">
      <w:pPr>
        <w:pStyle w:val="paragraph"/>
        <w:spacing w:before="0" w:beforeAutospacing="0" w:after="0" w:afterAutospacing="0"/>
        <w:jc w:val="both"/>
        <w:textAlignment w:val="baseline"/>
        <w:rPr>
          <w:rStyle w:val="normaltextrun"/>
          <w:rFonts w:ascii="Arial" w:hAnsi="Arial" w:cs="Arial"/>
          <w:color w:val="000000"/>
          <w:sz w:val="20"/>
          <w:szCs w:val="20"/>
          <w:lang w:val="es-ES"/>
        </w:rPr>
      </w:pPr>
    </w:p>
    <w:p w14:paraId="3DA92429" w14:textId="4B77EC6C" w:rsidR="00886956" w:rsidRPr="008C2801" w:rsidRDefault="00F673E4" w:rsidP="00EB1BB4">
      <w:pPr>
        <w:pStyle w:val="paragraph"/>
        <w:spacing w:before="0" w:beforeAutospacing="0" w:after="120" w:afterAutospacing="0" w:line="276" w:lineRule="auto"/>
        <w:ind w:firstLine="708"/>
        <w:jc w:val="both"/>
        <w:textAlignment w:val="baseline"/>
        <w:rPr>
          <w:rFonts w:ascii="Segoe UI" w:hAnsi="Segoe UI" w:cs="Segoe UI"/>
          <w:sz w:val="18"/>
          <w:szCs w:val="18"/>
        </w:rPr>
      </w:pPr>
      <w:r w:rsidRPr="008C2801">
        <w:rPr>
          <w:rStyle w:val="normaltextrun"/>
          <w:rFonts w:ascii="Arial" w:hAnsi="Arial" w:cs="Arial"/>
          <w:sz w:val="22"/>
          <w:szCs w:val="22"/>
          <w:lang w:val="es-ES"/>
        </w:rPr>
        <w:t>La restricción consagrada en el artículo 33 de la Ley 996 de 2005 prohíbe la contratación directa por parte de «todos los entes del Estado», durante los cuatro (4) meses anteriores a la elección presidencial y hasta la realización de la elección en la segunda vuelta, en caso de que se presente</w:t>
      </w:r>
      <w:r w:rsidR="007F0FEA" w:rsidRPr="008C2801">
        <w:rPr>
          <w:rStyle w:val="normaltextrun"/>
          <w:rFonts w:ascii="Arial" w:hAnsi="Arial" w:cs="Arial"/>
          <w:sz w:val="22"/>
          <w:szCs w:val="22"/>
          <w:lang w:val="es-ES"/>
        </w:rPr>
        <w:t>. L</w:t>
      </w:r>
      <w:r w:rsidR="007474D2" w:rsidRPr="008C2801">
        <w:rPr>
          <w:rStyle w:val="normaltextrun"/>
          <w:rFonts w:ascii="Arial" w:hAnsi="Arial" w:cs="Arial"/>
          <w:sz w:val="22"/>
          <w:szCs w:val="22"/>
        </w:rPr>
        <w:t xml:space="preserve">a mencionada disposición al </w:t>
      </w:r>
      <w:r w:rsidR="00497390" w:rsidRPr="008C2801">
        <w:rPr>
          <w:rStyle w:val="normaltextrun"/>
          <w:rFonts w:ascii="Arial" w:hAnsi="Arial" w:cs="Arial"/>
          <w:sz w:val="22"/>
          <w:szCs w:val="22"/>
        </w:rPr>
        <w:t xml:space="preserve">consagrar </w:t>
      </w:r>
      <w:r w:rsidR="001610AF" w:rsidRPr="008C2801">
        <w:rPr>
          <w:rStyle w:val="normaltextrun"/>
          <w:rFonts w:ascii="Arial" w:hAnsi="Arial" w:cs="Arial"/>
          <w:sz w:val="22"/>
          <w:szCs w:val="22"/>
        </w:rPr>
        <w:t xml:space="preserve">la </w:t>
      </w:r>
      <w:r w:rsidR="00334AD6" w:rsidRPr="008C2801">
        <w:rPr>
          <w:rStyle w:val="normaltextrun"/>
          <w:rFonts w:ascii="Arial" w:hAnsi="Arial" w:cs="Arial"/>
          <w:sz w:val="22"/>
          <w:szCs w:val="22"/>
        </w:rPr>
        <w:t>prohibición de</w:t>
      </w:r>
      <w:r w:rsidR="00497390" w:rsidRPr="008C2801">
        <w:rPr>
          <w:rStyle w:val="normaltextrun"/>
          <w:rFonts w:ascii="Arial" w:hAnsi="Arial" w:cs="Arial"/>
          <w:sz w:val="22"/>
          <w:szCs w:val="22"/>
        </w:rPr>
        <w:t xml:space="preserve"> </w:t>
      </w:r>
      <w:r w:rsidR="001610AF" w:rsidRPr="008C2801">
        <w:rPr>
          <w:rStyle w:val="normaltextrun"/>
          <w:rFonts w:ascii="Arial" w:hAnsi="Arial" w:cs="Arial"/>
          <w:sz w:val="22"/>
          <w:szCs w:val="22"/>
        </w:rPr>
        <w:t xml:space="preserve">celebrar contrataciones directas </w:t>
      </w:r>
      <w:r w:rsidR="006111AE" w:rsidRPr="008C2801">
        <w:rPr>
          <w:rStyle w:val="normaltextrun"/>
          <w:rFonts w:ascii="Arial" w:hAnsi="Arial" w:cs="Arial"/>
          <w:sz w:val="22"/>
          <w:szCs w:val="22"/>
        </w:rPr>
        <w:t>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r w:rsidR="00334AD6" w:rsidRPr="008C2801">
        <w:rPr>
          <w:rFonts w:ascii="Segoe UI" w:hAnsi="Segoe UI" w:cs="Segoe UI"/>
          <w:sz w:val="18"/>
          <w:szCs w:val="18"/>
        </w:rPr>
        <w:t xml:space="preserve"> </w:t>
      </w:r>
    </w:p>
    <w:p w14:paraId="3D70729D" w14:textId="6E28EB0C" w:rsidR="004C1680" w:rsidRDefault="00A62B33" w:rsidP="009B271F">
      <w:pPr>
        <w:spacing w:after="120" w:line="276" w:lineRule="auto"/>
        <w:ind w:firstLine="708"/>
        <w:jc w:val="both"/>
        <w:rPr>
          <w:rFonts w:ascii="Arial" w:eastAsia="Times New Roman" w:hAnsi="Arial" w:cs="Arial"/>
          <w:bCs/>
          <w:lang w:val="es-ES_tradnl" w:eastAsia="es-CO"/>
        </w:rPr>
      </w:pPr>
      <w:r w:rsidRPr="008C2801">
        <w:rPr>
          <w:rFonts w:ascii="Arial" w:eastAsia="Times New Roman" w:hAnsi="Arial" w:cs="Arial"/>
          <w:bCs/>
          <w:lang w:val="es-ES_tradnl" w:eastAsia="x-none"/>
        </w:rPr>
        <w:t>Ahora bien, las</w:t>
      </w:r>
      <w:r w:rsidR="00A54BD0" w:rsidRPr="008C2801">
        <w:rPr>
          <w:rFonts w:ascii="Arial" w:eastAsia="Times New Roman" w:hAnsi="Arial" w:cs="Arial"/>
          <w:bCs/>
          <w:lang w:val="es-ES_tradnl" w:eastAsia="x-none"/>
        </w:rPr>
        <w:t xml:space="preserve"> </w:t>
      </w:r>
      <w:r w:rsidR="000D5114" w:rsidRPr="008C2801">
        <w:rPr>
          <w:rFonts w:ascii="Arial" w:eastAsia="Times New Roman" w:hAnsi="Arial" w:cs="Arial"/>
          <w:bCs/>
          <w:lang w:val="es-ES_tradnl" w:eastAsia="x-none"/>
        </w:rPr>
        <w:t xml:space="preserve">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000D5114" w:rsidRPr="008C2801">
        <w:rPr>
          <w:rFonts w:ascii="Arial" w:eastAsia="Times New Roman" w:hAnsi="Arial" w:cs="Arial"/>
          <w:bCs/>
          <w:lang w:val="es-ES_tradnl" w:eastAsia="x-none"/>
        </w:rPr>
        <w:t>ii</w:t>
      </w:r>
      <w:proofErr w:type="spellEnd"/>
      <w:r w:rsidR="000D5114" w:rsidRPr="008C2801">
        <w:rPr>
          <w:rFonts w:ascii="Arial" w:eastAsia="Times New Roman" w:hAnsi="Arial" w:cs="Arial"/>
          <w:bCs/>
          <w:lang w:val="es-ES_tradnl" w:eastAsia="x-none"/>
        </w:rPr>
        <w:t xml:space="preserve">) los contratos de crédito público; </w:t>
      </w:r>
      <w:proofErr w:type="spellStart"/>
      <w:r w:rsidR="000D5114" w:rsidRPr="008C2801">
        <w:rPr>
          <w:rFonts w:ascii="Arial" w:eastAsia="Times New Roman" w:hAnsi="Arial" w:cs="Arial"/>
          <w:bCs/>
          <w:lang w:val="es-ES_tradnl" w:eastAsia="x-none"/>
        </w:rPr>
        <w:t>iii</w:t>
      </w:r>
      <w:proofErr w:type="spellEnd"/>
      <w:r w:rsidR="000D5114" w:rsidRPr="008C2801">
        <w:rPr>
          <w:rFonts w:ascii="Arial" w:eastAsia="Times New Roman" w:hAnsi="Arial" w:cs="Arial"/>
          <w:bCs/>
          <w:lang w:val="es-ES_tradnl" w:eastAsia="x-none"/>
        </w:rPr>
        <w:t xml:space="preserve">) los requeridos para cubrir las emergencias educativas, sanitarias y desastres; </w:t>
      </w:r>
      <w:proofErr w:type="spellStart"/>
      <w:r w:rsidR="000D5114" w:rsidRPr="008C2801">
        <w:rPr>
          <w:rFonts w:ascii="Arial" w:eastAsia="Times New Roman" w:hAnsi="Arial" w:cs="Arial"/>
          <w:bCs/>
          <w:lang w:val="es-ES_tradnl" w:eastAsia="x-none"/>
        </w:rPr>
        <w:t>iv</w:t>
      </w:r>
      <w:proofErr w:type="spellEnd"/>
      <w:r w:rsidR="000D5114" w:rsidRPr="008C2801">
        <w:rPr>
          <w:rFonts w:ascii="Arial" w:eastAsia="Times New Roman" w:hAnsi="Arial" w:cs="Arial"/>
          <w:bCs/>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0D5114" w:rsidRPr="008C2801">
        <w:rPr>
          <w:rFonts w:ascii="Arial" w:eastAsia="Times New Roman" w:hAnsi="Arial" w:cs="Arial"/>
          <w:bCs/>
          <w:lang w:val="es-ES_tradnl" w:eastAsia="es-CO"/>
        </w:rPr>
        <w:t xml:space="preserve"> </w:t>
      </w:r>
    </w:p>
    <w:p w14:paraId="32CE0BF1" w14:textId="7131675D" w:rsidR="001C0AEE" w:rsidRPr="008C2801" w:rsidRDefault="001C0AEE" w:rsidP="009B271F">
      <w:pPr>
        <w:spacing w:after="120" w:line="276" w:lineRule="auto"/>
        <w:ind w:firstLine="708"/>
        <w:jc w:val="both"/>
        <w:rPr>
          <w:rFonts w:ascii="Arial" w:eastAsia="Times New Roman" w:hAnsi="Arial" w:cs="Arial"/>
          <w:bCs/>
          <w:lang w:val="es-ES_tradnl" w:eastAsia="es-CO"/>
        </w:rPr>
      </w:pPr>
      <w:r>
        <w:rPr>
          <w:rFonts w:ascii="Arial" w:eastAsia="Times New Roman" w:hAnsi="Arial" w:cs="Arial"/>
          <w:bCs/>
          <w:lang w:val="es-ES_tradnl" w:eastAsia="es-CO"/>
        </w:rPr>
        <w:t>No obstante</w:t>
      </w:r>
      <w:r w:rsidR="00F86489">
        <w:rPr>
          <w:rFonts w:ascii="Arial" w:eastAsia="Times New Roman" w:hAnsi="Arial" w:cs="Arial"/>
          <w:bCs/>
          <w:lang w:val="es-ES_tradnl" w:eastAsia="es-CO"/>
        </w:rPr>
        <w:t xml:space="preserve">, </w:t>
      </w:r>
      <w:r w:rsidR="009942B3">
        <w:rPr>
          <w:rFonts w:ascii="Arial" w:eastAsia="Times New Roman" w:hAnsi="Arial" w:cs="Arial"/>
          <w:bCs/>
          <w:lang w:val="es-ES_tradnl" w:eastAsia="es-CO"/>
        </w:rPr>
        <w:t>es preciso advertir que, los municipios también son destinatarios de la restricción del parágrafo de artículo 38 de la Ley 996 de 20</w:t>
      </w:r>
      <w:r w:rsidR="00F443C4">
        <w:rPr>
          <w:rFonts w:ascii="Arial" w:eastAsia="Times New Roman" w:hAnsi="Arial" w:cs="Arial"/>
          <w:bCs/>
          <w:lang w:val="es-ES_tradnl" w:eastAsia="es-CO"/>
        </w:rPr>
        <w:t>05</w:t>
      </w:r>
      <w:r w:rsidR="009942B3">
        <w:rPr>
          <w:rFonts w:ascii="Arial" w:eastAsia="Times New Roman" w:hAnsi="Arial" w:cs="Arial"/>
          <w:bCs/>
          <w:lang w:val="es-ES_tradnl" w:eastAsia="es-CO"/>
        </w:rPr>
        <w:t>,</w:t>
      </w:r>
      <w:r w:rsidR="00F443C4">
        <w:rPr>
          <w:rFonts w:ascii="Arial" w:eastAsia="Times New Roman" w:hAnsi="Arial" w:cs="Arial"/>
          <w:bCs/>
          <w:lang w:val="es-ES_tradnl" w:eastAsia="es-CO"/>
        </w:rPr>
        <w:t xml:space="preserve"> por lo que durante los perio</w:t>
      </w:r>
      <w:r w:rsidR="00084C72">
        <w:rPr>
          <w:rFonts w:ascii="Arial" w:eastAsia="Times New Roman" w:hAnsi="Arial" w:cs="Arial"/>
          <w:bCs/>
          <w:lang w:val="es-ES_tradnl" w:eastAsia="es-CO"/>
        </w:rPr>
        <w:t xml:space="preserve">dos preelectorales tienen restringida la celebración de convenio y/o contratos interadministrativos. Esta restricción prohíbe la celebración de </w:t>
      </w:r>
      <w:r w:rsidR="00F43A2C">
        <w:rPr>
          <w:rFonts w:ascii="Arial" w:eastAsia="Times New Roman" w:hAnsi="Arial" w:cs="Arial"/>
          <w:bCs/>
          <w:lang w:val="es-ES_tradnl" w:eastAsia="es-CO"/>
        </w:rPr>
        <w:t>contratos interadministrativos en los que se ejecuten recursos públicos, independientemente de la modalidad de selección en la que se celebren.</w:t>
      </w:r>
      <w:r w:rsidR="009942B3">
        <w:rPr>
          <w:rFonts w:ascii="Arial" w:eastAsia="Times New Roman" w:hAnsi="Arial" w:cs="Arial"/>
          <w:bCs/>
          <w:lang w:val="es-ES_tradnl" w:eastAsia="es-CO"/>
        </w:rPr>
        <w:t xml:space="preserve"> </w:t>
      </w:r>
    </w:p>
    <w:p w14:paraId="0E7550BB" w14:textId="2E612D77" w:rsidR="00F673E4" w:rsidRPr="008C2801" w:rsidRDefault="00E728A6" w:rsidP="009B271F">
      <w:pPr>
        <w:spacing w:after="0" w:line="276" w:lineRule="auto"/>
        <w:ind w:firstLine="709"/>
        <w:contextualSpacing/>
        <w:jc w:val="both"/>
        <w:rPr>
          <w:rStyle w:val="normaltextrun"/>
          <w:rFonts w:ascii="Arial" w:hAnsi="Arial" w:cs="Arial"/>
          <w:color w:val="000000"/>
          <w:lang w:val="es-ES"/>
        </w:rPr>
      </w:pPr>
      <w:r>
        <w:rPr>
          <w:rFonts w:ascii="Arial" w:eastAsia="Times New Roman" w:hAnsi="Arial" w:cs="Arial"/>
          <w:bCs/>
          <w:lang w:val="es-ES_tradnl" w:eastAsia="es-CO"/>
        </w:rPr>
        <w:lastRenderedPageBreak/>
        <w:t>Con todo, de car</w:t>
      </w:r>
      <w:r w:rsidR="003533E1" w:rsidRPr="008C2801">
        <w:rPr>
          <w:rFonts w:ascii="Arial" w:eastAsia="Times New Roman" w:hAnsi="Arial" w:cs="Arial"/>
          <w:bCs/>
          <w:lang w:val="es-ES_tradnl" w:eastAsia="es-CO"/>
        </w:rPr>
        <w:t>a la pregunta formulada esta Agencia debe señalar que</w:t>
      </w:r>
      <w:r w:rsidR="000D5114" w:rsidRPr="008C2801">
        <w:rPr>
          <w:rFonts w:ascii="Arial" w:eastAsia="Times New Roman" w:hAnsi="Arial" w:cs="Arial"/>
          <w:bCs/>
          <w:lang w:val="es-ES_tradnl" w:eastAsia="es-CO"/>
        </w:rPr>
        <w:t>,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3533E1" w:rsidRPr="008C2801">
        <w:rPr>
          <w:rFonts w:ascii="Arial" w:eastAsia="Times New Roman" w:hAnsi="Arial" w:cs="Arial"/>
          <w:bCs/>
          <w:lang w:val="es-ES_tradnl" w:eastAsia="es-CO"/>
        </w:rPr>
        <w:t xml:space="preserve"> No se puede perder de vista que</w:t>
      </w:r>
      <w:r w:rsidR="00787542" w:rsidRPr="008C2801">
        <w:rPr>
          <w:rFonts w:ascii="Arial" w:eastAsia="Times New Roman" w:hAnsi="Arial" w:cs="Arial"/>
          <w:bCs/>
          <w:lang w:val="es-ES_tradnl" w:eastAsia="es-CO"/>
        </w:rPr>
        <w:t>,</w:t>
      </w:r>
      <w:r w:rsidR="001E6720" w:rsidRPr="008C2801">
        <w:rPr>
          <w:rStyle w:val="normaltextrun"/>
          <w:rFonts w:ascii="Arial" w:hAnsi="Arial" w:cs="Arial"/>
          <w:color w:val="000000"/>
          <w:lang w:val="es-ES"/>
        </w:rPr>
        <w:t xml:space="preserve"> l</w:t>
      </w:r>
      <w:r w:rsidR="00052AA8" w:rsidRPr="008C2801">
        <w:rPr>
          <w:rFonts w:ascii="Arial" w:hAnsi="Arial" w:cs="Arial"/>
          <w:color w:val="000000" w:themeColor="text1"/>
          <w:lang w:val="es-MX"/>
        </w:rPr>
        <w:t xml:space="preserve">a función consultiva atribuida a </w:t>
      </w:r>
      <w:r w:rsidR="00787542" w:rsidRPr="008C2801">
        <w:rPr>
          <w:rFonts w:ascii="Arial" w:hAnsi="Arial" w:cs="Arial"/>
          <w:color w:val="000000" w:themeColor="text1"/>
          <w:lang w:val="es-MX"/>
        </w:rPr>
        <w:t>la Agencia Nacional de Contratación Pública Colombia Compra Eficiente, mediante los</w:t>
      </w:r>
      <w:r w:rsidR="00052AA8" w:rsidRPr="008C2801">
        <w:rPr>
          <w:rFonts w:ascii="Arial" w:hAnsi="Arial" w:cs="Arial"/>
          <w:color w:val="000000" w:themeColor="text1"/>
          <w:lang w:val="es-ES_tradnl"/>
        </w:rPr>
        <w:t xml:space="preserve"> artículos 3, numeral 5, 11, numeral 8, 12, numeral 6, y 13, numeral 4, del Decreto 4170 de 2011, </w:t>
      </w:r>
      <w:r w:rsidR="00052AA8" w:rsidRPr="008C2801">
        <w:rPr>
          <w:rFonts w:ascii="Arial" w:hAnsi="Arial" w:cs="Arial"/>
          <w:color w:val="000000" w:themeColor="text1"/>
          <w:lang w:val="es-MX"/>
        </w:rPr>
        <w:t xml:space="preserve">se limita a responder solicitudes sobre la aplicación de normas de carácter general en materia de compras y contratación pública. </w:t>
      </w:r>
      <w:r w:rsidR="00052AA8" w:rsidRPr="008C2801">
        <w:rPr>
          <w:rFonts w:ascii="Arial" w:hAnsi="Arial" w:cs="Arial"/>
          <w:color w:val="000000" w:themeColor="text1"/>
          <w:lang w:val="es-ES"/>
        </w:rPr>
        <w:t xml:space="preserve">Esta competencia de interpretación de normas generales, por definición, no puede extenderse a la resolución de controversias, ni a brindar asesorías sobre casos puntuales. </w:t>
      </w:r>
      <w:r w:rsidR="001128F7" w:rsidRPr="008C2801">
        <w:rPr>
          <w:rFonts w:ascii="Arial" w:hAnsi="Arial" w:cs="Arial"/>
          <w:color w:val="000000" w:themeColor="text1"/>
          <w:lang w:val="es-MX"/>
        </w:rPr>
        <w:t>En consecuencia</w:t>
      </w:r>
      <w:r w:rsidR="00052AA8" w:rsidRPr="008C2801">
        <w:rPr>
          <w:rFonts w:ascii="Arial" w:hAnsi="Arial" w:cs="Arial"/>
          <w:color w:val="000000" w:themeColor="text1"/>
          <w:lang w:val="es-MX"/>
        </w:rPr>
        <w:t>, no es competencia de esta Agencia determinar la forma en que las entidades adelantarán sus contrataciones, así como tampoco solucionar problemas jurídicos particulares de los partícipes de la contratación estatal. Estas funciones son competencia exclusiva de las entidades respectivas que fueron dotadas de autonomía administrativa y son las responsables de definir su actividad contractual, conforme al régimen jurídico que les aplica. Por consiguiente, corresponde a cada</w:t>
      </w:r>
      <w:r w:rsidR="00052AA8" w:rsidRPr="008C2801">
        <w:rPr>
          <w:rFonts w:ascii="Arial" w:hAnsi="Arial" w:cs="Arial"/>
          <w:bCs/>
          <w:color w:val="000000" w:themeColor="text1"/>
          <w:lang w:val="es-ES_tradnl"/>
        </w:rPr>
        <w:t xml:space="preserve"> entidad en el marco de sus competencias, determinar, conforme las circunstancias particulares de cada caso y el proyecto a ejecutar, la viabilidad de celebrar contratos o convenios interadministrativos con otras entidades</w:t>
      </w:r>
      <w:r w:rsidR="00F673E4" w:rsidRPr="008C2801">
        <w:rPr>
          <w:rStyle w:val="normaltextrun"/>
          <w:rFonts w:ascii="Arial" w:hAnsi="Arial" w:cs="Arial"/>
          <w:color w:val="000000"/>
          <w:lang w:val="es-ES"/>
        </w:rPr>
        <w:t xml:space="preserve">. </w:t>
      </w:r>
    </w:p>
    <w:p w14:paraId="0FD948B9" w14:textId="77777777" w:rsidR="00F673E4" w:rsidRPr="008C2801" w:rsidRDefault="00F673E4" w:rsidP="00BA72F3">
      <w:pPr>
        <w:pStyle w:val="paragraph"/>
        <w:spacing w:before="0" w:beforeAutospacing="0" w:after="0" w:afterAutospacing="0"/>
        <w:contextualSpacing/>
        <w:jc w:val="both"/>
        <w:textAlignment w:val="baseline"/>
        <w:rPr>
          <w:rStyle w:val="normaltextrun"/>
          <w:rFonts w:ascii="Arial" w:hAnsi="Arial" w:cs="Arial"/>
          <w:color w:val="000000"/>
          <w:sz w:val="22"/>
          <w:szCs w:val="22"/>
          <w:lang w:val="es-ES"/>
        </w:rPr>
      </w:pPr>
    </w:p>
    <w:p w14:paraId="001C8E24" w14:textId="20333298" w:rsidR="008E3418" w:rsidRPr="008C2801" w:rsidRDefault="00E8670D" w:rsidP="00BA72F3">
      <w:pPr>
        <w:spacing w:after="0" w:line="240" w:lineRule="auto"/>
        <w:ind w:left="709" w:right="709"/>
        <w:contextualSpacing/>
        <w:jc w:val="both"/>
        <w:rPr>
          <w:rFonts w:ascii="Arial" w:hAnsi="Arial" w:cs="Arial"/>
          <w:sz w:val="21"/>
          <w:szCs w:val="21"/>
        </w:rPr>
      </w:pPr>
      <w:r w:rsidRPr="008C2801">
        <w:rPr>
          <w:rFonts w:ascii="Arial" w:eastAsia="Times New Roman" w:hAnsi="Arial" w:cs="Arial"/>
          <w:sz w:val="21"/>
          <w:szCs w:val="21"/>
          <w:lang w:eastAsia="es-ES_tradnl"/>
        </w:rPr>
        <w:t>«</w:t>
      </w:r>
      <w:r w:rsidR="008E3418" w:rsidRPr="008C2801">
        <w:rPr>
          <w:rFonts w:ascii="Arial" w:hAnsi="Arial" w:cs="Arial"/>
          <w:sz w:val="21"/>
          <w:szCs w:val="21"/>
        </w:rPr>
        <w:t>3. ¿A qué entidades aplica la restricción para celebrar contratos en la modalidad de Convenios Interadministrativos?</w:t>
      </w:r>
      <w:r w:rsidRPr="008C2801">
        <w:rPr>
          <w:rFonts w:ascii="Arial" w:eastAsia="Times New Roman" w:hAnsi="Arial" w:cs="Arial"/>
          <w:sz w:val="21"/>
          <w:szCs w:val="21"/>
          <w:lang w:eastAsia="es-ES_tradnl"/>
        </w:rPr>
        <w:t>»</w:t>
      </w:r>
      <w:r w:rsidR="008E3418" w:rsidRPr="008C2801">
        <w:rPr>
          <w:rFonts w:ascii="Arial" w:hAnsi="Arial" w:cs="Arial"/>
          <w:sz w:val="21"/>
          <w:szCs w:val="21"/>
        </w:rPr>
        <w:t xml:space="preserve"> </w:t>
      </w:r>
    </w:p>
    <w:p w14:paraId="6285A051" w14:textId="39E81241" w:rsidR="008E3418" w:rsidRPr="008C2801" w:rsidRDefault="008E3418" w:rsidP="00BA72F3">
      <w:pPr>
        <w:spacing w:after="0" w:line="240" w:lineRule="auto"/>
        <w:ind w:right="709"/>
        <w:contextualSpacing/>
        <w:jc w:val="both"/>
        <w:rPr>
          <w:rFonts w:ascii="Arial" w:hAnsi="Arial" w:cs="Arial"/>
          <w:sz w:val="21"/>
          <w:szCs w:val="21"/>
        </w:rPr>
      </w:pPr>
    </w:p>
    <w:p w14:paraId="08F7DCE6" w14:textId="0740B010" w:rsidR="00FD297C" w:rsidRPr="008C2801" w:rsidRDefault="00FD297C" w:rsidP="00EB1BB4">
      <w:pPr>
        <w:spacing w:after="0" w:line="276" w:lineRule="auto"/>
        <w:ind w:firstLine="708"/>
        <w:contextualSpacing/>
        <w:jc w:val="both"/>
        <w:rPr>
          <w:rFonts w:ascii="Arial" w:hAnsi="Arial" w:cs="Arial"/>
          <w:bCs/>
          <w:color w:val="000000" w:themeColor="text1"/>
          <w:lang w:val="es-ES_tradnl" w:eastAsia="x-none"/>
        </w:rPr>
      </w:pPr>
      <w:r w:rsidRPr="008C2801">
        <w:rPr>
          <w:rFonts w:ascii="Arial" w:hAnsi="Arial" w:cs="Arial"/>
          <w:bCs/>
          <w:color w:val="000000" w:themeColor="text1"/>
          <w:lang w:val="es-ES_tradnl" w:eastAsia="x-none"/>
        </w:rPr>
        <w:t>Frente a la suscripción de contratos interadministrativos, el</w:t>
      </w:r>
      <w:r w:rsidRPr="008C2801">
        <w:rPr>
          <w:rFonts w:ascii="Arial" w:hAnsi="Arial" w:cs="Arial"/>
          <w:bCs/>
          <w:lang w:val="es-MX" w:eastAsia="es-CO"/>
        </w:rPr>
        <w:t xml:space="preserve"> parágrafo del artículo 38 de la Ley 996 de 2005 prohíbe a los alcaldes, gobernadores, secretarios, gerentes y directores de las entidades del orden municipal, departamental o distrital celebrar convenios y contratos interadministrativos para la ejecución de recursos públicos. </w:t>
      </w:r>
      <w:r w:rsidR="001E066B">
        <w:rPr>
          <w:rFonts w:ascii="Arial" w:hAnsi="Arial" w:cs="Arial"/>
          <w:bCs/>
          <w:lang w:val="es-MX" w:eastAsia="es-CO"/>
        </w:rPr>
        <w:t>De acuerdo con esto</w:t>
      </w:r>
      <w:r w:rsidRPr="008C2801">
        <w:rPr>
          <w:rFonts w:ascii="Arial" w:hAnsi="Arial" w:cs="Arial"/>
          <w:bCs/>
          <w:lang w:val="es-MX" w:eastAsia="es-CO"/>
        </w:rPr>
        <w:t xml:space="preserve">, </w:t>
      </w:r>
      <w:r w:rsidR="00D22707">
        <w:rPr>
          <w:rFonts w:ascii="Arial" w:hAnsi="Arial" w:cs="Arial"/>
          <w:bCs/>
          <w:lang w:val="es-MX" w:eastAsia="es-CO"/>
        </w:rPr>
        <w:t xml:space="preserve">los departamentos, municipios, distritos y sus entidades descentralizas </w:t>
      </w:r>
      <w:r w:rsidRPr="008C2801">
        <w:rPr>
          <w:rFonts w:ascii="Arial" w:hAnsi="Arial" w:cs="Arial"/>
          <w:bCs/>
          <w:lang w:val="es-MX" w:eastAsia="es-CO"/>
        </w:rPr>
        <w:t>no p</w:t>
      </w:r>
      <w:r w:rsidR="00056CC7">
        <w:rPr>
          <w:rFonts w:ascii="Arial" w:hAnsi="Arial" w:cs="Arial"/>
          <w:bCs/>
          <w:lang w:val="es-MX" w:eastAsia="es-CO"/>
        </w:rPr>
        <w:t>ueden</w:t>
      </w:r>
      <w:r w:rsidRPr="008C2801">
        <w:rPr>
          <w:rFonts w:ascii="Arial" w:hAnsi="Arial" w:cs="Arial"/>
          <w:bCs/>
          <w:lang w:val="es-MX" w:eastAsia="es-CO"/>
        </w:rPr>
        <w:t xml:space="preserve"> celebrar convenios o contratos</w:t>
      </w:r>
      <w:r w:rsidR="00056CC7">
        <w:rPr>
          <w:rFonts w:ascii="Arial" w:hAnsi="Arial" w:cs="Arial"/>
          <w:bCs/>
          <w:lang w:val="es-MX" w:eastAsia="es-CO"/>
        </w:rPr>
        <w:t xml:space="preserve"> interadministrativos</w:t>
      </w:r>
      <w:r w:rsidRPr="008C2801">
        <w:rPr>
          <w:rFonts w:ascii="Arial" w:hAnsi="Arial" w:cs="Arial"/>
          <w:bCs/>
          <w:lang w:val="es-MX" w:eastAsia="es-CO"/>
        </w:rPr>
        <w:t xml:space="preserve"> durante la aplicación de la ley de garantías, toda vez que la citada disposición hace referencia a dicha tipología </w:t>
      </w:r>
      <w:r w:rsidR="00EB1BB4" w:rsidRPr="008C2801">
        <w:rPr>
          <w:rFonts w:ascii="Arial" w:hAnsi="Arial" w:cs="Arial"/>
          <w:bCs/>
          <w:lang w:val="es-MX" w:eastAsia="es-CO"/>
        </w:rPr>
        <w:t>contractual</w:t>
      </w:r>
      <w:r w:rsidR="00EB1BB4">
        <w:rPr>
          <w:rFonts w:ascii="Arial" w:hAnsi="Arial" w:cs="Arial"/>
          <w:bCs/>
          <w:lang w:val="es-MX" w:eastAsia="es-CO"/>
        </w:rPr>
        <w:t xml:space="preserve">, </w:t>
      </w:r>
      <w:r w:rsidR="00EB1BB4" w:rsidRPr="008C2801">
        <w:rPr>
          <w:rFonts w:ascii="Arial" w:hAnsi="Arial" w:cs="Arial"/>
          <w:bCs/>
          <w:lang w:val="es-MX" w:eastAsia="es-CO"/>
        </w:rPr>
        <w:t>sin</w:t>
      </w:r>
      <w:r w:rsidRPr="008C2801">
        <w:rPr>
          <w:rFonts w:ascii="Arial" w:hAnsi="Arial" w:cs="Arial"/>
          <w:bCs/>
          <w:lang w:val="es-MX" w:eastAsia="es-CO"/>
        </w:rPr>
        <w:t xml:space="preserve"> </w:t>
      </w:r>
      <w:r w:rsidR="00056CC7">
        <w:rPr>
          <w:rFonts w:ascii="Arial" w:hAnsi="Arial" w:cs="Arial"/>
          <w:bCs/>
          <w:lang w:val="es-MX" w:eastAsia="es-CO"/>
        </w:rPr>
        <w:t xml:space="preserve">consideración </w:t>
      </w:r>
      <w:r w:rsidR="00746076">
        <w:rPr>
          <w:rFonts w:ascii="Arial" w:hAnsi="Arial" w:cs="Arial"/>
          <w:bCs/>
          <w:lang w:val="es-MX" w:eastAsia="es-CO"/>
        </w:rPr>
        <w:t xml:space="preserve">a </w:t>
      </w:r>
      <w:r w:rsidRPr="008C2801">
        <w:rPr>
          <w:rFonts w:ascii="Arial" w:hAnsi="Arial" w:cs="Arial"/>
          <w:bCs/>
          <w:lang w:val="es-MX" w:eastAsia="es-CO"/>
        </w:rPr>
        <w:t>la modalidad de selección o naturaleza de su objeto.</w:t>
      </w:r>
    </w:p>
    <w:p w14:paraId="33AAFA45" w14:textId="77777777" w:rsidR="000A26D3" w:rsidRPr="00EB1BB4" w:rsidRDefault="000A26D3" w:rsidP="00BA72F3">
      <w:pPr>
        <w:spacing w:after="0" w:line="240" w:lineRule="auto"/>
        <w:ind w:left="709" w:right="709"/>
        <w:contextualSpacing/>
        <w:jc w:val="both"/>
        <w:rPr>
          <w:rFonts w:ascii="Arial" w:hAnsi="Arial" w:cs="Arial"/>
          <w:sz w:val="20"/>
          <w:szCs w:val="20"/>
        </w:rPr>
      </w:pPr>
    </w:p>
    <w:p w14:paraId="3B6427D5" w14:textId="68383FCA" w:rsidR="008E3418" w:rsidRPr="008C2801" w:rsidRDefault="00E8670D" w:rsidP="00433E2B">
      <w:pPr>
        <w:spacing w:after="0" w:line="240" w:lineRule="auto"/>
        <w:ind w:left="709" w:right="709"/>
        <w:contextualSpacing/>
        <w:jc w:val="both"/>
        <w:rPr>
          <w:rFonts w:ascii="Arial" w:eastAsia="Times New Roman" w:hAnsi="Arial" w:cs="Arial"/>
          <w:sz w:val="21"/>
          <w:szCs w:val="21"/>
          <w:lang w:eastAsia="es-ES_tradnl"/>
        </w:rPr>
      </w:pPr>
      <w:r w:rsidRPr="008C2801">
        <w:rPr>
          <w:rFonts w:ascii="Arial" w:eastAsia="Times New Roman" w:hAnsi="Arial" w:cs="Arial"/>
          <w:sz w:val="21"/>
          <w:szCs w:val="21"/>
          <w:lang w:eastAsia="es-ES_tradnl"/>
        </w:rPr>
        <w:t>«</w:t>
      </w:r>
      <w:r w:rsidR="008E3418" w:rsidRPr="008C2801">
        <w:rPr>
          <w:rFonts w:ascii="Arial" w:hAnsi="Arial" w:cs="Arial"/>
          <w:sz w:val="21"/>
          <w:szCs w:val="21"/>
        </w:rPr>
        <w:t>4. ¿Conforme a la ley de presupuesto (Ley 2159 de 2021) en su artículo 124, es posible celebrar convenios interadministrativos con la Policía Nacional estando en vigencia la ley de garantías?</w:t>
      </w:r>
      <w:r w:rsidRPr="008C2801">
        <w:rPr>
          <w:rFonts w:ascii="Arial" w:eastAsia="Times New Roman" w:hAnsi="Arial" w:cs="Arial"/>
          <w:sz w:val="21"/>
          <w:szCs w:val="21"/>
          <w:lang w:eastAsia="es-ES_tradnl"/>
        </w:rPr>
        <w:t>»</w:t>
      </w:r>
    </w:p>
    <w:p w14:paraId="49B6F504" w14:textId="77777777" w:rsidR="008E3418" w:rsidRPr="008C2801" w:rsidRDefault="008E3418" w:rsidP="00746076">
      <w:pPr>
        <w:spacing w:after="0" w:line="240" w:lineRule="auto"/>
        <w:contextualSpacing/>
        <w:jc w:val="both"/>
        <w:rPr>
          <w:rFonts w:ascii="Arial" w:eastAsia="Calibri" w:hAnsi="Arial" w:cs="Arial"/>
          <w:lang w:val="es-ES_tradnl"/>
        </w:rPr>
      </w:pPr>
    </w:p>
    <w:p w14:paraId="51F6C01C" w14:textId="57AF14FA" w:rsidR="004A67CA" w:rsidRPr="008C2801" w:rsidRDefault="004A67CA" w:rsidP="00EB1BB4">
      <w:pPr>
        <w:spacing w:after="0" w:line="276" w:lineRule="auto"/>
        <w:ind w:firstLine="708"/>
        <w:contextualSpacing/>
        <w:jc w:val="both"/>
        <w:rPr>
          <w:rFonts w:ascii="Arial" w:eastAsia="Times New Roman" w:hAnsi="Arial" w:cs="Arial"/>
          <w:szCs w:val="24"/>
          <w:lang w:val="es-ES_tradnl" w:eastAsia="es-ES_tradnl"/>
        </w:rPr>
      </w:pPr>
      <w:r w:rsidRPr="008C2801">
        <w:rPr>
          <w:rFonts w:ascii="Arial" w:eastAsia="Times New Roman" w:hAnsi="Arial" w:cs="Arial"/>
          <w:szCs w:val="24"/>
          <w:lang w:val="es-ES_tradnl" w:eastAsia="es-ES_tradnl"/>
        </w:rPr>
        <w:t>Conforme lo</w:t>
      </w:r>
      <w:r w:rsidR="00640A75" w:rsidRPr="008C2801">
        <w:rPr>
          <w:rFonts w:ascii="Arial" w:eastAsia="Times New Roman" w:hAnsi="Arial" w:cs="Arial"/>
          <w:szCs w:val="24"/>
          <w:lang w:val="es-ES_tradnl" w:eastAsia="es-ES_tradnl"/>
        </w:rPr>
        <w:t xml:space="preserve"> expuesto en </w:t>
      </w:r>
      <w:r w:rsidRPr="008C2801">
        <w:rPr>
          <w:rFonts w:ascii="Arial" w:eastAsia="Times New Roman" w:hAnsi="Arial" w:cs="Arial"/>
          <w:szCs w:val="24"/>
          <w:lang w:val="es-ES_tradnl" w:eastAsia="es-ES_tradnl"/>
        </w:rPr>
        <w:t>las consideraciones</w:t>
      </w:r>
      <w:r w:rsidR="00640A75" w:rsidRPr="008C2801">
        <w:rPr>
          <w:rFonts w:ascii="Arial" w:eastAsia="Times New Roman" w:hAnsi="Arial" w:cs="Arial"/>
          <w:szCs w:val="24"/>
          <w:lang w:val="es-ES_tradnl" w:eastAsia="es-ES_tradnl"/>
        </w:rPr>
        <w:t xml:space="preserve"> de este concepto, </w:t>
      </w:r>
      <w:r w:rsidRPr="008C2801">
        <w:rPr>
          <w:rFonts w:ascii="Arial" w:eastAsia="Times New Roman" w:hAnsi="Arial" w:cs="Arial"/>
          <w:szCs w:val="24"/>
          <w:lang w:val="es-ES_tradnl" w:eastAsia="es-ES_tradnl"/>
        </w:rPr>
        <w:t xml:space="preserve">a la Agencia Nacional de Contratación Pública - Colombia Compra Eficiente </w:t>
      </w:r>
      <w:r w:rsidR="009F2C0E" w:rsidRPr="008C2801">
        <w:rPr>
          <w:rFonts w:ascii="Arial" w:eastAsia="Times New Roman" w:hAnsi="Arial" w:cs="Arial"/>
          <w:szCs w:val="24"/>
          <w:lang w:val="es-ES_tradnl" w:eastAsia="es-ES_tradnl"/>
        </w:rPr>
        <w:t xml:space="preserve">le fue asignada la competencia </w:t>
      </w:r>
      <w:r w:rsidR="009F2C0E" w:rsidRPr="008C2801">
        <w:rPr>
          <w:rFonts w:ascii="Arial" w:eastAsia="Calibri" w:hAnsi="Arial" w:cs="Arial"/>
          <w:bCs/>
          <w:lang w:val="es-ES_tradnl"/>
        </w:rPr>
        <w:t xml:space="preserve">para resolver consultas sobre normas que sean </w:t>
      </w:r>
      <w:r w:rsidR="009F2C0E" w:rsidRPr="008C2801">
        <w:rPr>
          <w:rFonts w:ascii="Arial" w:eastAsia="Calibri" w:hAnsi="Arial" w:cs="Arial"/>
          <w:bCs/>
          <w:i/>
          <w:iCs/>
          <w:lang w:val="es-ES_tradnl"/>
        </w:rPr>
        <w:t>aplicables</w:t>
      </w:r>
      <w:r w:rsidR="009F2C0E" w:rsidRPr="008C2801">
        <w:rPr>
          <w:rFonts w:ascii="Arial" w:eastAsia="Calibri" w:hAnsi="Arial" w:cs="Arial"/>
          <w:bCs/>
          <w:lang w:val="es-ES_tradnl"/>
        </w:rPr>
        <w:t>, es decir, que se encuentren vigentes –lo que no sucede con los enunciados normativos que han salido del ordenamiento jurídico, por ser inconstitucionales–</w:t>
      </w:r>
      <w:r w:rsidR="00C24FC3" w:rsidRPr="008C2801">
        <w:rPr>
          <w:rFonts w:ascii="Arial" w:eastAsia="Calibri" w:hAnsi="Arial" w:cs="Arial"/>
          <w:bCs/>
          <w:lang w:val="es-ES_tradnl"/>
        </w:rPr>
        <w:t xml:space="preserve">, en consecuencia, </w:t>
      </w:r>
      <w:r w:rsidR="009D4E91" w:rsidRPr="008C2801">
        <w:rPr>
          <w:rFonts w:ascii="Arial" w:eastAsia="Calibri" w:hAnsi="Arial" w:cs="Arial"/>
          <w:bCs/>
          <w:lang w:val="es-ES_tradnl"/>
        </w:rPr>
        <w:t xml:space="preserve">las normas declaradas inexequibles no pueden ser interpretadas, </w:t>
      </w:r>
      <w:r w:rsidR="009D4E91" w:rsidRPr="008C2801">
        <w:rPr>
          <w:rFonts w:ascii="Arial" w:eastAsia="Calibri" w:hAnsi="Arial" w:cs="Arial"/>
          <w:bCs/>
          <w:i/>
          <w:iCs/>
          <w:lang w:val="es-ES_tradnl"/>
        </w:rPr>
        <w:t>en ejercicio de su función consultiva</w:t>
      </w:r>
      <w:r w:rsidR="009D4E91" w:rsidRPr="008C2801">
        <w:rPr>
          <w:rFonts w:ascii="Arial" w:eastAsia="Calibri" w:hAnsi="Arial" w:cs="Arial"/>
          <w:bCs/>
          <w:lang w:val="es-ES_tradnl"/>
        </w:rPr>
        <w:t xml:space="preserve">, por parte </w:t>
      </w:r>
      <w:r w:rsidR="009D4E91" w:rsidRPr="008C2801">
        <w:rPr>
          <w:rFonts w:ascii="Arial" w:eastAsia="Calibri" w:hAnsi="Arial" w:cs="Arial"/>
          <w:bCs/>
          <w:lang w:val="es-ES_tradnl"/>
        </w:rPr>
        <w:lastRenderedPageBreak/>
        <w:t xml:space="preserve">de la Agencia. </w:t>
      </w:r>
      <w:r w:rsidR="00CF4058" w:rsidRPr="008C2801">
        <w:rPr>
          <w:rFonts w:ascii="Arial" w:eastAsia="Calibri" w:hAnsi="Arial" w:cs="Arial"/>
          <w:bCs/>
          <w:lang w:val="es-ES_tradnl"/>
        </w:rPr>
        <w:t>Así las cosas, dad</w:t>
      </w:r>
      <w:r w:rsidR="004C46C2" w:rsidRPr="008C2801">
        <w:rPr>
          <w:rFonts w:ascii="Arial" w:eastAsia="Calibri" w:hAnsi="Arial" w:cs="Arial"/>
          <w:bCs/>
          <w:lang w:val="es-ES_tradnl"/>
        </w:rPr>
        <w:t xml:space="preserve">o que la Corte </w:t>
      </w:r>
      <w:r w:rsidR="001466EB" w:rsidRPr="008C2801">
        <w:rPr>
          <w:rFonts w:ascii="Arial" w:eastAsia="Calibri" w:hAnsi="Arial" w:cs="Arial"/>
          <w:bCs/>
          <w:lang w:val="es-ES_tradnl"/>
        </w:rPr>
        <w:t>Constitucional</w:t>
      </w:r>
      <w:r w:rsidR="004C46C2" w:rsidRPr="008C2801">
        <w:rPr>
          <w:rFonts w:ascii="Arial" w:eastAsia="Calibri" w:hAnsi="Arial" w:cs="Arial"/>
          <w:bCs/>
          <w:lang w:val="es-ES_tradnl"/>
        </w:rPr>
        <w:t xml:space="preserve"> en la Sentencia C-153 de 202</w:t>
      </w:r>
      <w:r w:rsidR="00A672B9">
        <w:rPr>
          <w:rFonts w:ascii="Arial" w:eastAsia="Calibri" w:hAnsi="Arial" w:cs="Arial"/>
          <w:bCs/>
          <w:lang w:val="es-ES_tradnl"/>
        </w:rPr>
        <w:t>2</w:t>
      </w:r>
      <w:r w:rsidR="004C46C2" w:rsidRPr="008C2801">
        <w:rPr>
          <w:rFonts w:ascii="Arial" w:eastAsia="Calibri" w:hAnsi="Arial" w:cs="Arial"/>
          <w:bCs/>
          <w:lang w:val="es-ES_tradnl"/>
        </w:rPr>
        <w:t xml:space="preserve"> declaró la </w:t>
      </w:r>
      <w:proofErr w:type="spellStart"/>
      <w:r w:rsidR="004C46C2" w:rsidRPr="008C2801">
        <w:rPr>
          <w:rFonts w:ascii="Arial" w:eastAsia="Calibri" w:hAnsi="Arial" w:cs="Arial"/>
          <w:bCs/>
          <w:lang w:val="es-ES_tradnl"/>
        </w:rPr>
        <w:t>inexequibilidad</w:t>
      </w:r>
      <w:proofErr w:type="spellEnd"/>
      <w:r w:rsidR="004C46C2" w:rsidRPr="008C2801">
        <w:rPr>
          <w:rFonts w:ascii="Arial" w:eastAsia="Calibri" w:hAnsi="Arial" w:cs="Arial"/>
          <w:bCs/>
          <w:lang w:val="es-ES_tradnl"/>
        </w:rPr>
        <w:t xml:space="preserve"> del </w:t>
      </w:r>
      <w:r w:rsidR="004C46C2" w:rsidRPr="008C2801">
        <w:rPr>
          <w:rFonts w:ascii="Arial" w:hAnsi="Arial" w:cs="Arial"/>
        </w:rPr>
        <w:t>artículo 124 de la Ley 2159 de 2021 «[p]</w:t>
      </w:r>
      <w:proofErr w:type="spellStart"/>
      <w:r w:rsidR="004C46C2" w:rsidRPr="008C2801">
        <w:rPr>
          <w:rFonts w:ascii="Arial" w:hAnsi="Arial" w:cs="Arial"/>
        </w:rPr>
        <w:t>or</w:t>
      </w:r>
      <w:proofErr w:type="spellEnd"/>
      <w:r w:rsidR="004C46C2" w:rsidRPr="008C2801">
        <w:rPr>
          <w:rFonts w:ascii="Arial" w:hAnsi="Arial" w:cs="Arial"/>
        </w:rPr>
        <w:t xml:space="preserve"> la cual se decreta el presupuesto de rentas y recursos de capital y ley de apropiaciones para la vigencia fiscal del 1º de enero al 31 de diciembre de 2022», </w:t>
      </w:r>
      <w:r w:rsidR="004C46C2" w:rsidRPr="008C2801">
        <w:rPr>
          <w:rFonts w:ascii="Arial" w:eastAsia="Calibri" w:hAnsi="Arial" w:cs="Arial"/>
          <w:bCs/>
          <w:lang w:val="es-ES_tradnl"/>
        </w:rPr>
        <w:t>con efectos retroactivos</w:t>
      </w:r>
      <w:r w:rsidR="001466EB" w:rsidRPr="008C2801">
        <w:rPr>
          <w:rFonts w:ascii="Arial" w:eastAsia="Calibri" w:hAnsi="Arial" w:cs="Arial"/>
          <w:bCs/>
          <w:lang w:val="es-ES_tradnl"/>
        </w:rPr>
        <w:t xml:space="preserve">, esta Agencia </w:t>
      </w:r>
      <w:r w:rsidR="00F21980" w:rsidRPr="008C2801">
        <w:rPr>
          <w:rFonts w:ascii="Arial" w:eastAsia="Calibri" w:hAnsi="Arial" w:cs="Arial"/>
          <w:bCs/>
          <w:lang w:val="es-ES_tradnl"/>
        </w:rPr>
        <w:t xml:space="preserve">carece de objeto para pronunciarse sobre este precepto normativo, en ejercicio de su función consultiva, por </w:t>
      </w:r>
      <w:r w:rsidR="00F21980" w:rsidRPr="008C2801">
        <w:rPr>
          <w:rFonts w:ascii="Arial" w:eastAsia="Calibri" w:hAnsi="Arial" w:cs="Arial"/>
          <w:bCs/>
          <w:i/>
          <w:iCs/>
          <w:lang w:val="es-ES_tradnl"/>
        </w:rPr>
        <w:t xml:space="preserve">sustracción de materia. </w:t>
      </w:r>
    </w:p>
    <w:p w14:paraId="4971C399" w14:textId="77777777" w:rsidR="00F21980" w:rsidRPr="008C2801" w:rsidRDefault="00F21980" w:rsidP="00EB1BB4">
      <w:pPr>
        <w:spacing w:after="0" w:line="276" w:lineRule="auto"/>
        <w:jc w:val="both"/>
        <w:rPr>
          <w:rFonts w:ascii="Arial" w:eastAsia="Times New Roman" w:hAnsi="Arial" w:cs="Arial"/>
          <w:szCs w:val="24"/>
          <w:lang w:val="es-ES_tradnl" w:eastAsia="es-ES_tradnl"/>
        </w:rPr>
      </w:pPr>
    </w:p>
    <w:p w14:paraId="64C01EB5" w14:textId="578F3BC9" w:rsidR="007D009F" w:rsidRPr="008C2801" w:rsidRDefault="007D009F" w:rsidP="008E3418">
      <w:pPr>
        <w:spacing w:after="120" w:line="276" w:lineRule="auto"/>
        <w:jc w:val="both"/>
        <w:rPr>
          <w:rFonts w:ascii="Arial" w:eastAsia="Times New Roman" w:hAnsi="Arial" w:cs="Arial"/>
          <w:szCs w:val="24"/>
          <w:lang w:val="es-ES_tradnl" w:eastAsia="es-ES_tradnl"/>
        </w:rPr>
      </w:pPr>
      <w:r w:rsidRPr="008C2801">
        <w:rPr>
          <w:rFonts w:ascii="Arial" w:eastAsia="Times New Roman" w:hAnsi="Arial" w:cs="Arial"/>
          <w:szCs w:val="24"/>
          <w:lang w:val="es-ES_tradnl" w:eastAsia="es-ES_tradnl"/>
        </w:rPr>
        <w:t>Este concepto tiene el alcance previsto en el artículo 28 del Código de Procedimiento Administrativo y de lo Contencioso Administrativo.</w:t>
      </w:r>
    </w:p>
    <w:p w14:paraId="3966F9AB" w14:textId="77777777" w:rsidR="007D009F" w:rsidRPr="008C2801" w:rsidRDefault="007D009F" w:rsidP="007D009F">
      <w:pPr>
        <w:spacing w:after="0" w:line="276" w:lineRule="auto"/>
        <w:jc w:val="both"/>
        <w:rPr>
          <w:rFonts w:ascii="Arial" w:eastAsia="Times New Roman" w:hAnsi="Arial" w:cs="Arial"/>
          <w:lang w:val="es-ES_tradnl" w:eastAsia="es-CO"/>
        </w:rPr>
      </w:pPr>
    </w:p>
    <w:p w14:paraId="3E84EEE3" w14:textId="77777777" w:rsidR="007D009F" w:rsidRPr="008C2801" w:rsidRDefault="007D009F" w:rsidP="007D009F">
      <w:pPr>
        <w:spacing w:after="0" w:line="276" w:lineRule="auto"/>
        <w:jc w:val="both"/>
        <w:rPr>
          <w:rFonts w:ascii="Arial" w:eastAsia="Times New Roman" w:hAnsi="Arial" w:cs="Arial"/>
          <w:lang w:val="es-ES_tradnl" w:eastAsia="es-CO"/>
        </w:rPr>
      </w:pPr>
      <w:r w:rsidRPr="008C2801">
        <w:rPr>
          <w:rFonts w:ascii="Arial" w:eastAsia="Times New Roman" w:hAnsi="Arial" w:cs="Arial"/>
          <w:lang w:val="es-ES_tradnl" w:eastAsia="es-CO"/>
        </w:rPr>
        <w:t>Atentamente,</w:t>
      </w:r>
    </w:p>
    <w:p w14:paraId="39E36022" w14:textId="00F48E71" w:rsidR="007D009F" w:rsidRPr="008C2801" w:rsidRDefault="004F4D56" w:rsidP="007D009F">
      <w:pPr>
        <w:spacing w:after="0" w:line="276" w:lineRule="auto"/>
        <w:jc w:val="center"/>
        <w:rPr>
          <w:rFonts w:ascii="Times New Roman" w:eastAsia="Times New Roman" w:hAnsi="Times New Roman" w:cs="Times New Roman"/>
          <w:sz w:val="24"/>
          <w:szCs w:val="24"/>
          <w:lang w:val="es-ES_tradnl" w:eastAsia="es-CO"/>
        </w:rPr>
      </w:pPr>
      <w:r>
        <w:rPr>
          <w:rFonts w:ascii="Arial" w:eastAsia="Calibri" w:hAnsi="Arial" w:cs="Arial"/>
          <w:b/>
          <w:bCs/>
          <w:noProof/>
          <w:color w:val="FF0000"/>
          <w:sz w:val="20"/>
          <w:szCs w:val="20"/>
          <w:lang w:val="es-MX"/>
        </w:rPr>
        <w:drawing>
          <wp:inline distT="0" distB="0" distL="0" distR="0" wp14:anchorId="410922CC" wp14:editId="1688CA39">
            <wp:extent cx="2426074" cy="10743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274" cy="1079338"/>
                    </a:xfrm>
                    <a:prstGeom prst="rect">
                      <a:avLst/>
                    </a:prstGeom>
                    <a:noFill/>
                    <a:ln>
                      <a:noFill/>
                    </a:ln>
                  </pic:spPr>
                </pic:pic>
              </a:graphicData>
            </a:graphic>
          </wp:inline>
        </w:drawing>
      </w:r>
      <w:r w:rsidR="00AD34B1" w:rsidRPr="008C2801">
        <w:rPr>
          <w:rFonts w:ascii="Calibri" w:hAnsi="Calibri" w:cs="Calibri"/>
          <w:shd w:val="clear" w:color="auto" w:fill="FFFFFF"/>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AD34B1" w:rsidRPr="008C2801" w14:paraId="7BAF7E1C" w14:textId="77777777" w:rsidTr="007D009F">
        <w:trPr>
          <w:trHeight w:val="315"/>
        </w:trPr>
        <w:tc>
          <w:tcPr>
            <w:tcW w:w="812" w:type="dxa"/>
            <w:vAlign w:val="center"/>
            <w:hideMark/>
          </w:tcPr>
          <w:p w14:paraId="62EBC633" w14:textId="77777777" w:rsidR="007D009F" w:rsidRPr="008C2801" w:rsidRDefault="007D009F" w:rsidP="007D009F">
            <w:pPr>
              <w:jc w:val="both"/>
              <w:rPr>
                <w:rFonts w:ascii="Arial" w:eastAsia="Times New Roman" w:hAnsi="Arial" w:cs="Arial"/>
                <w:sz w:val="16"/>
                <w:szCs w:val="16"/>
                <w:lang w:val="es-ES_tradnl" w:eastAsia="es-ES"/>
              </w:rPr>
            </w:pPr>
            <w:r w:rsidRPr="008C2801">
              <w:rPr>
                <w:rFonts w:ascii="Arial" w:eastAsia="Times New Roman" w:hAnsi="Arial" w:cs="Arial"/>
                <w:sz w:val="16"/>
                <w:szCs w:val="16"/>
                <w:lang w:val="es-ES_tradnl" w:eastAsia="es-ES"/>
              </w:rPr>
              <w:t>Elaboró:</w:t>
            </w:r>
          </w:p>
        </w:tc>
        <w:tc>
          <w:tcPr>
            <w:tcW w:w="4575" w:type="dxa"/>
            <w:tcBorders>
              <w:top w:val="nil"/>
              <w:left w:val="nil"/>
              <w:bottom w:val="dotted" w:sz="4" w:space="0" w:color="7F7F7F"/>
              <w:right w:val="nil"/>
            </w:tcBorders>
            <w:vAlign w:val="center"/>
            <w:hideMark/>
          </w:tcPr>
          <w:p w14:paraId="0A1F882B" w14:textId="66CC445A" w:rsidR="007D009F" w:rsidRPr="008C2801" w:rsidRDefault="00E3664D" w:rsidP="007D009F">
            <w:pPr>
              <w:jc w:val="both"/>
              <w:rPr>
                <w:rFonts w:ascii="Arial" w:eastAsia="Times New Roman" w:hAnsi="Arial" w:cs="Arial"/>
                <w:sz w:val="16"/>
                <w:szCs w:val="16"/>
                <w:lang w:val="es-ES_tradnl" w:eastAsia="es-ES"/>
              </w:rPr>
            </w:pPr>
            <w:r w:rsidRPr="008C2801">
              <w:rPr>
                <w:rFonts w:ascii="Arial" w:eastAsia="Times New Roman" w:hAnsi="Arial" w:cs="Arial"/>
                <w:sz w:val="16"/>
                <w:szCs w:val="16"/>
                <w:lang w:val="es-ES_tradnl" w:eastAsia="es-ES"/>
              </w:rPr>
              <w:t>Diana Lucia Saavedra Castañeda</w:t>
            </w:r>
          </w:p>
          <w:p w14:paraId="76B793D6" w14:textId="77777777" w:rsidR="007D009F" w:rsidRPr="008C2801" w:rsidRDefault="007D009F" w:rsidP="007D009F">
            <w:pPr>
              <w:jc w:val="both"/>
              <w:rPr>
                <w:rFonts w:ascii="Arial" w:eastAsia="Times New Roman" w:hAnsi="Arial" w:cs="Arial"/>
                <w:sz w:val="16"/>
                <w:szCs w:val="16"/>
                <w:lang w:val="es-ES_tradnl" w:eastAsia="es-ES"/>
              </w:rPr>
            </w:pPr>
            <w:r w:rsidRPr="008C2801">
              <w:rPr>
                <w:rFonts w:ascii="Arial" w:eastAsia="Times New Roman" w:hAnsi="Arial" w:cs="Arial"/>
                <w:sz w:val="16"/>
                <w:szCs w:val="16"/>
                <w:lang w:val="es-ES_tradnl" w:eastAsia="es-ES"/>
              </w:rPr>
              <w:t>Contratista de la Subdirección de Gestión Contractual</w:t>
            </w:r>
          </w:p>
        </w:tc>
      </w:tr>
      <w:tr w:rsidR="00AD34B1" w:rsidRPr="008C2801" w14:paraId="68F8FDCA" w14:textId="77777777" w:rsidTr="007D009F">
        <w:trPr>
          <w:trHeight w:val="330"/>
        </w:trPr>
        <w:tc>
          <w:tcPr>
            <w:tcW w:w="812" w:type="dxa"/>
            <w:vAlign w:val="center"/>
            <w:hideMark/>
          </w:tcPr>
          <w:p w14:paraId="168604AA" w14:textId="77777777" w:rsidR="007D009F" w:rsidRPr="008C2801" w:rsidRDefault="007D009F" w:rsidP="007D009F">
            <w:pPr>
              <w:jc w:val="both"/>
              <w:rPr>
                <w:rFonts w:ascii="Arial" w:eastAsia="Times New Roman" w:hAnsi="Arial" w:cs="Arial"/>
                <w:sz w:val="16"/>
                <w:szCs w:val="16"/>
                <w:lang w:val="es-ES_tradnl" w:eastAsia="es-ES"/>
              </w:rPr>
            </w:pPr>
            <w:r w:rsidRPr="008C2801">
              <w:rPr>
                <w:rFonts w:ascii="Arial" w:eastAsia="Times New Roman" w:hAnsi="Arial" w:cs="Arial"/>
                <w:sz w:val="16"/>
                <w:szCs w:val="16"/>
                <w:lang w:val="es-ES_tradnl" w:eastAsia="es-ES"/>
              </w:rPr>
              <w:t>Revisó:</w:t>
            </w:r>
          </w:p>
        </w:tc>
        <w:tc>
          <w:tcPr>
            <w:tcW w:w="4575" w:type="dxa"/>
            <w:tcBorders>
              <w:top w:val="dotted" w:sz="4" w:space="0" w:color="7F7F7F"/>
              <w:left w:val="nil"/>
              <w:bottom w:val="dotted" w:sz="4" w:space="0" w:color="7F7F7F"/>
              <w:right w:val="nil"/>
            </w:tcBorders>
            <w:vAlign w:val="center"/>
            <w:hideMark/>
          </w:tcPr>
          <w:p w14:paraId="2E6DB76A" w14:textId="77777777" w:rsidR="007D009F" w:rsidRPr="008C2801" w:rsidRDefault="007D009F" w:rsidP="007D009F">
            <w:pPr>
              <w:spacing w:line="276" w:lineRule="auto"/>
              <w:jc w:val="both"/>
              <w:rPr>
                <w:rFonts w:ascii="Arial" w:eastAsia="Times New Roman" w:hAnsi="Arial" w:cs="Arial"/>
                <w:sz w:val="16"/>
                <w:szCs w:val="16"/>
                <w:lang w:eastAsia="es-ES"/>
              </w:rPr>
            </w:pPr>
            <w:r w:rsidRPr="008C2801">
              <w:rPr>
                <w:rFonts w:ascii="Arial" w:eastAsia="Times New Roman" w:hAnsi="Arial" w:cs="Arial"/>
                <w:sz w:val="16"/>
                <w:szCs w:val="16"/>
                <w:lang w:eastAsia="es-ES"/>
              </w:rPr>
              <w:t>Alejandro Sarmiento Cantillo</w:t>
            </w:r>
          </w:p>
          <w:p w14:paraId="42222630" w14:textId="77777777" w:rsidR="007D009F" w:rsidRPr="008C2801" w:rsidRDefault="007D009F" w:rsidP="007D009F">
            <w:pPr>
              <w:spacing w:line="276" w:lineRule="auto"/>
              <w:jc w:val="both"/>
              <w:rPr>
                <w:rFonts w:ascii="Arial" w:eastAsia="Times New Roman" w:hAnsi="Arial" w:cs="Arial"/>
                <w:sz w:val="16"/>
                <w:szCs w:val="16"/>
                <w:lang w:eastAsia="es-ES"/>
              </w:rPr>
            </w:pPr>
            <w:r w:rsidRPr="008C2801">
              <w:rPr>
                <w:rFonts w:ascii="Arial" w:eastAsia="Times New Roman" w:hAnsi="Arial" w:cs="Arial"/>
                <w:sz w:val="16"/>
                <w:szCs w:val="16"/>
                <w:lang w:eastAsia="es-ES"/>
              </w:rPr>
              <w:t>Gestor T1-15 de la Subdirección de Gestión Contractual</w:t>
            </w:r>
            <w:r w:rsidRPr="008C2801" w:rsidDel="00AB49EA">
              <w:rPr>
                <w:rFonts w:ascii="Arial" w:eastAsia="Times New Roman" w:hAnsi="Arial" w:cs="Arial"/>
                <w:sz w:val="16"/>
                <w:szCs w:val="16"/>
                <w:lang w:val="es-ES_tradnl" w:eastAsia="es-ES"/>
              </w:rPr>
              <w:t xml:space="preserve"> </w:t>
            </w:r>
          </w:p>
          <w:p w14:paraId="331FE09F" w14:textId="77777777" w:rsidR="007D009F" w:rsidRPr="008C2801" w:rsidRDefault="007D009F" w:rsidP="007D009F">
            <w:pPr>
              <w:jc w:val="both"/>
              <w:rPr>
                <w:rFonts w:ascii="Arial" w:eastAsia="Times New Roman" w:hAnsi="Arial" w:cs="Arial"/>
                <w:sz w:val="16"/>
                <w:szCs w:val="16"/>
                <w:lang w:val="es-ES_tradnl" w:eastAsia="es-ES"/>
              </w:rPr>
            </w:pPr>
          </w:p>
        </w:tc>
      </w:tr>
      <w:tr w:rsidR="007D009F" w:rsidRPr="00AD34B1" w14:paraId="01CFDC92" w14:textId="77777777" w:rsidTr="007D009F">
        <w:trPr>
          <w:trHeight w:val="300"/>
        </w:trPr>
        <w:tc>
          <w:tcPr>
            <w:tcW w:w="812" w:type="dxa"/>
            <w:vAlign w:val="center"/>
            <w:hideMark/>
          </w:tcPr>
          <w:p w14:paraId="332D19E8" w14:textId="77777777" w:rsidR="007D009F" w:rsidRPr="008C2801" w:rsidRDefault="007D009F" w:rsidP="007D009F">
            <w:pPr>
              <w:jc w:val="both"/>
              <w:rPr>
                <w:rFonts w:ascii="Arial" w:eastAsia="Times New Roman" w:hAnsi="Arial" w:cs="Arial"/>
                <w:sz w:val="16"/>
                <w:szCs w:val="16"/>
                <w:lang w:val="es-ES_tradnl" w:eastAsia="es-ES"/>
              </w:rPr>
            </w:pPr>
            <w:r w:rsidRPr="008C2801">
              <w:rPr>
                <w:rFonts w:ascii="Arial" w:eastAsia="Times New Roman" w:hAnsi="Arial" w:cs="Arial"/>
                <w:sz w:val="16"/>
                <w:szCs w:val="16"/>
                <w:lang w:val="es-ES_tradnl" w:eastAsia="es-ES"/>
              </w:rPr>
              <w:t>Aprobó:</w:t>
            </w:r>
          </w:p>
        </w:tc>
        <w:tc>
          <w:tcPr>
            <w:tcW w:w="4575" w:type="dxa"/>
            <w:tcBorders>
              <w:top w:val="dotted" w:sz="4" w:space="0" w:color="7F7F7F"/>
              <w:left w:val="nil"/>
              <w:bottom w:val="dotted" w:sz="4" w:space="0" w:color="7F7F7F"/>
              <w:right w:val="nil"/>
            </w:tcBorders>
            <w:vAlign w:val="center"/>
            <w:hideMark/>
          </w:tcPr>
          <w:p w14:paraId="6447A5DB" w14:textId="77777777" w:rsidR="007D009F" w:rsidRPr="008C2801" w:rsidRDefault="007D009F" w:rsidP="007D009F">
            <w:pPr>
              <w:rPr>
                <w:rFonts w:ascii="Arial" w:eastAsia="Times New Roman" w:hAnsi="Arial" w:cs="Arial"/>
                <w:sz w:val="16"/>
                <w:szCs w:val="16"/>
                <w:lang w:val="es-ES" w:eastAsia="es-ES"/>
              </w:rPr>
            </w:pPr>
            <w:r w:rsidRPr="008C2801">
              <w:rPr>
                <w:rFonts w:ascii="Arial" w:eastAsia="Times New Roman" w:hAnsi="Arial" w:cs="Arial"/>
                <w:sz w:val="16"/>
                <w:szCs w:val="16"/>
                <w:lang w:val="es-ES" w:eastAsia="es-ES"/>
              </w:rPr>
              <w:t>Jorge Augusto Tirado Navarro</w:t>
            </w:r>
          </w:p>
          <w:p w14:paraId="2BB2B4D3" w14:textId="77777777" w:rsidR="007D009F" w:rsidRPr="00AD34B1" w:rsidRDefault="007D009F" w:rsidP="007D009F">
            <w:pPr>
              <w:jc w:val="both"/>
              <w:rPr>
                <w:rFonts w:ascii="Arial" w:eastAsia="Times New Roman" w:hAnsi="Arial" w:cs="Arial"/>
                <w:sz w:val="16"/>
                <w:szCs w:val="16"/>
                <w:lang w:val="es-ES_tradnl" w:eastAsia="es-ES"/>
              </w:rPr>
            </w:pPr>
            <w:r w:rsidRPr="008C2801">
              <w:rPr>
                <w:rFonts w:ascii="Arial" w:eastAsia="Times New Roman" w:hAnsi="Arial" w:cs="Arial"/>
                <w:sz w:val="16"/>
                <w:szCs w:val="16"/>
                <w:lang w:val="es-ES" w:eastAsia="es-ES"/>
              </w:rPr>
              <w:t>Subdirector de Gestión Contractual</w:t>
            </w:r>
            <w:r w:rsidRPr="00AD34B1">
              <w:rPr>
                <w:rFonts w:ascii="Arial" w:eastAsia="Times New Roman" w:hAnsi="Arial" w:cs="Arial"/>
                <w:sz w:val="16"/>
                <w:szCs w:val="16"/>
                <w:lang w:val="es-ES" w:eastAsia="es-ES"/>
              </w:rPr>
              <w:t xml:space="preserve"> </w:t>
            </w:r>
          </w:p>
        </w:tc>
      </w:tr>
      <w:bookmarkEnd w:id="1"/>
    </w:tbl>
    <w:p w14:paraId="1E4D7F51" w14:textId="77777777" w:rsidR="007D009F" w:rsidRPr="00AD34B1" w:rsidRDefault="007D009F" w:rsidP="007D009F">
      <w:pPr>
        <w:spacing w:after="0" w:line="240" w:lineRule="auto"/>
        <w:rPr>
          <w:rFonts w:ascii="Arial" w:eastAsia="Times New Roman" w:hAnsi="Arial" w:cs="Arial"/>
          <w:sz w:val="24"/>
          <w:szCs w:val="24"/>
          <w:lang w:val="es-ES_tradnl" w:eastAsia="es-ES_tradnl"/>
        </w:rPr>
      </w:pPr>
    </w:p>
    <w:p w14:paraId="1E1A1BB3" w14:textId="77777777" w:rsidR="007D009F" w:rsidRPr="00AD34B1" w:rsidRDefault="007D009F" w:rsidP="007D009F">
      <w:pPr>
        <w:tabs>
          <w:tab w:val="left" w:pos="3795"/>
        </w:tabs>
        <w:spacing w:after="0" w:line="240" w:lineRule="auto"/>
        <w:rPr>
          <w:rFonts w:ascii="Arial" w:eastAsia="Times New Roman" w:hAnsi="Arial" w:cs="Arial"/>
          <w:sz w:val="24"/>
          <w:szCs w:val="24"/>
          <w:lang w:val="es-ES_tradnl" w:eastAsia="es-ES_tradnl"/>
        </w:rPr>
      </w:pPr>
      <w:r w:rsidRPr="00AD34B1">
        <w:rPr>
          <w:rFonts w:ascii="Arial" w:eastAsia="Times New Roman" w:hAnsi="Arial" w:cs="Arial"/>
          <w:sz w:val="24"/>
          <w:szCs w:val="24"/>
          <w:lang w:val="es-ES_tradnl" w:eastAsia="es-ES_tradnl"/>
        </w:rPr>
        <w:tab/>
      </w:r>
    </w:p>
    <w:p w14:paraId="13F215DE" w14:textId="77777777" w:rsidR="00185E5D" w:rsidRPr="007D009F" w:rsidRDefault="00185E5D">
      <w:pPr>
        <w:rPr>
          <w:color w:val="FF0000"/>
        </w:rPr>
      </w:pPr>
    </w:p>
    <w:p w14:paraId="512ADEFE" w14:textId="77777777" w:rsidR="007D009F" w:rsidRPr="007D009F" w:rsidRDefault="007D009F">
      <w:pPr>
        <w:rPr>
          <w:color w:val="FF0000"/>
        </w:rPr>
      </w:pPr>
    </w:p>
    <w:sectPr w:rsidR="007D009F" w:rsidRPr="007D009F"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4685" w14:textId="77777777" w:rsidR="005813C1" w:rsidRDefault="005813C1" w:rsidP="007D009F">
      <w:pPr>
        <w:spacing w:after="0" w:line="240" w:lineRule="auto"/>
      </w:pPr>
      <w:r>
        <w:separator/>
      </w:r>
    </w:p>
  </w:endnote>
  <w:endnote w:type="continuationSeparator" w:id="0">
    <w:p w14:paraId="61DF8C43" w14:textId="77777777" w:rsidR="005813C1" w:rsidRDefault="005813C1" w:rsidP="007D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4D27" w14:textId="77777777" w:rsidR="000A6380" w:rsidRDefault="00914017" w:rsidP="00322937">
    <w:pPr>
      <w:pStyle w:val="Sinespaciado"/>
      <w:jc w:val="right"/>
      <w:rPr>
        <w:rFonts w:ascii="Arial" w:hAnsi="Arial" w:cs="Arial"/>
        <w:sz w:val="18"/>
        <w:szCs w:val="18"/>
      </w:rPr>
    </w:pPr>
  </w:p>
  <w:p w14:paraId="36FFAAB5" w14:textId="77777777" w:rsidR="000A6380" w:rsidRPr="007D009F" w:rsidRDefault="005813C1" w:rsidP="00FE42ED">
    <w:pPr>
      <w:pStyle w:val="Piedepgina"/>
      <w:jc w:val="right"/>
      <w:rPr>
        <w:rFonts w:ascii="Arial" w:hAnsi="Arial" w:cs="Arial"/>
        <w:color w:val="7F7F7F"/>
        <w:sz w:val="16"/>
        <w:szCs w:val="16"/>
      </w:rPr>
    </w:pPr>
    <w:r w:rsidRPr="007D009F">
      <w:rPr>
        <w:rFonts w:ascii="Arial" w:hAnsi="Arial" w:cs="Arial"/>
        <w:bCs/>
        <w:color w:val="7F7F7F"/>
        <w:sz w:val="16"/>
        <w:szCs w:val="16"/>
      </w:rPr>
      <w:t xml:space="preserve">Página </w:t>
    </w:r>
    <w:r w:rsidRPr="007D009F">
      <w:rPr>
        <w:rFonts w:ascii="Arial" w:hAnsi="Arial" w:cs="Arial"/>
        <w:b/>
        <w:bCs/>
        <w:color w:val="7F7F7F"/>
        <w:sz w:val="16"/>
        <w:szCs w:val="16"/>
      </w:rPr>
      <w:fldChar w:fldCharType="begin"/>
    </w:r>
    <w:r w:rsidRPr="007D009F">
      <w:rPr>
        <w:rFonts w:ascii="Arial" w:hAnsi="Arial" w:cs="Arial"/>
        <w:b/>
        <w:bCs/>
        <w:color w:val="7F7F7F"/>
        <w:sz w:val="16"/>
        <w:szCs w:val="16"/>
      </w:rPr>
      <w:instrText>PAGE  \* Arabic  \* MERGEFORMAT</w:instrText>
    </w:r>
    <w:r w:rsidRPr="007D009F">
      <w:rPr>
        <w:rFonts w:ascii="Arial" w:hAnsi="Arial" w:cs="Arial"/>
        <w:b/>
        <w:bCs/>
        <w:color w:val="7F7F7F"/>
        <w:sz w:val="16"/>
        <w:szCs w:val="16"/>
      </w:rPr>
      <w:fldChar w:fldCharType="separate"/>
    </w:r>
    <w:r w:rsidRPr="007D009F">
      <w:rPr>
        <w:rFonts w:ascii="Arial" w:hAnsi="Arial" w:cs="Arial"/>
        <w:b/>
        <w:bCs/>
        <w:noProof/>
        <w:color w:val="7F7F7F"/>
        <w:sz w:val="16"/>
        <w:szCs w:val="16"/>
      </w:rPr>
      <w:t>1</w:t>
    </w:r>
    <w:r w:rsidRPr="007D009F">
      <w:rPr>
        <w:rFonts w:ascii="Arial" w:hAnsi="Arial" w:cs="Arial"/>
        <w:b/>
        <w:bCs/>
        <w:color w:val="7F7F7F"/>
        <w:sz w:val="16"/>
        <w:szCs w:val="16"/>
      </w:rPr>
      <w:fldChar w:fldCharType="end"/>
    </w:r>
    <w:r w:rsidRPr="007D009F">
      <w:rPr>
        <w:rFonts w:ascii="Arial" w:hAnsi="Arial" w:cs="Arial"/>
        <w:color w:val="7F7F7F"/>
        <w:sz w:val="16"/>
        <w:szCs w:val="16"/>
      </w:rPr>
      <w:t xml:space="preserve"> de </w:t>
    </w:r>
    <w:r w:rsidRPr="007D009F">
      <w:rPr>
        <w:rFonts w:ascii="Arial" w:hAnsi="Arial" w:cs="Arial"/>
        <w:b/>
        <w:bCs/>
        <w:color w:val="7F7F7F"/>
        <w:sz w:val="16"/>
        <w:szCs w:val="16"/>
      </w:rPr>
      <w:fldChar w:fldCharType="begin"/>
    </w:r>
    <w:r w:rsidRPr="007D009F">
      <w:rPr>
        <w:rFonts w:ascii="Arial" w:hAnsi="Arial" w:cs="Arial"/>
        <w:b/>
        <w:bCs/>
        <w:color w:val="7F7F7F"/>
        <w:sz w:val="16"/>
        <w:szCs w:val="16"/>
      </w:rPr>
      <w:instrText>NUMPAGES  \* Arabic  \* MERGEFORMAT</w:instrText>
    </w:r>
    <w:r w:rsidRPr="007D009F">
      <w:rPr>
        <w:rFonts w:ascii="Arial" w:hAnsi="Arial" w:cs="Arial"/>
        <w:b/>
        <w:bCs/>
        <w:color w:val="7F7F7F"/>
        <w:sz w:val="16"/>
        <w:szCs w:val="16"/>
      </w:rPr>
      <w:fldChar w:fldCharType="separate"/>
    </w:r>
    <w:r w:rsidRPr="007D009F">
      <w:rPr>
        <w:rFonts w:ascii="Arial" w:hAnsi="Arial" w:cs="Arial"/>
        <w:b/>
        <w:bCs/>
        <w:noProof/>
        <w:color w:val="7F7F7F"/>
        <w:sz w:val="16"/>
        <w:szCs w:val="16"/>
      </w:rPr>
      <w:t>1</w:t>
    </w:r>
    <w:r w:rsidRPr="007D009F">
      <w:rPr>
        <w:rFonts w:ascii="Arial" w:hAnsi="Arial" w:cs="Arial"/>
        <w:b/>
        <w:bCs/>
        <w:color w:val="7F7F7F"/>
        <w:sz w:val="16"/>
        <w:szCs w:val="16"/>
      </w:rPr>
      <w:fldChar w:fldCharType="end"/>
    </w:r>
  </w:p>
  <w:p w14:paraId="0944BDEB" w14:textId="77777777" w:rsidR="000A6380" w:rsidRDefault="005813C1" w:rsidP="00322937">
    <w:pPr>
      <w:pStyle w:val="Piedepgina"/>
      <w:jc w:val="center"/>
      <w:rPr>
        <w:lang w:val="es-ES"/>
      </w:rPr>
    </w:pPr>
    <w:r>
      <w:rPr>
        <w:noProof/>
        <w:lang w:val="en-US"/>
      </w:rPr>
      <w:drawing>
        <wp:inline distT="0" distB="0" distL="0" distR="0" wp14:anchorId="69701EE0" wp14:editId="0D5D697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D36A3E2" w14:textId="77777777" w:rsidR="000A6380" w:rsidRDefault="00914017" w:rsidP="007B0854">
    <w:pPr>
      <w:pStyle w:val="Piedepgina"/>
      <w:jc w:val="center"/>
      <w:rPr>
        <w:lang w:val="es-ES"/>
      </w:rPr>
    </w:pPr>
  </w:p>
  <w:p w14:paraId="2439E1D5" w14:textId="77777777" w:rsidR="000A6380" w:rsidRPr="007B0854" w:rsidRDefault="0091401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2CEA" w14:textId="77777777" w:rsidR="005813C1" w:rsidRDefault="005813C1" w:rsidP="007D009F">
      <w:pPr>
        <w:spacing w:after="0" w:line="240" w:lineRule="auto"/>
      </w:pPr>
      <w:r>
        <w:separator/>
      </w:r>
    </w:p>
  </w:footnote>
  <w:footnote w:type="continuationSeparator" w:id="0">
    <w:p w14:paraId="1890CB82" w14:textId="77777777" w:rsidR="005813C1" w:rsidRDefault="005813C1" w:rsidP="007D009F">
      <w:pPr>
        <w:spacing w:after="0" w:line="240" w:lineRule="auto"/>
      </w:pPr>
      <w:r>
        <w:continuationSeparator/>
      </w:r>
    </w:p>
  </w:footnote>
  <w:footnote w:id="1">
    <w:p w14:paraId="4FFA18F2" w14:textId="77777777" w:rsidR="007D009F" w:rsidRPr="008F1A01" w:rsidRDefault="007D009F" w:rsidP="008F1A01">
      <w:pPr>
        <w:pStyle w:val="Car1"/>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«Artículo 3°. Funciones. La Agencia Nacional de Contratación Pública –Colombia Compra Eficiente– ejercerá las siguientes funciones: </w:t>
      </w:r>
    </w:p>
    <w:p w14:paraId="489BE1BE" w14:textId="77777777" w:rsidR="007D009F" w:rsidRPr="008F1A01" w:rsidRDefault="007D009F" w:rsidP="008F1A01">
      <w:pPr>
        <w:pStyle w:val="Car1"/>
        <w:ind w:firstLine="709"/>
        <w:contextualSpacing/>
        <w:jc w:val="both"/>
        <w:rPr>
          <w:rFonts w:ascii="Arial" w:hAnsi="Arial" w:cs="Arial"/>
          <w:sz w:val="19"/>
          <w:szCs w:val="19"/>
          <w:lang w:val="es-ES"/>
        </w:rPr>
      </w:pPr>
      <w:r w:rsidRPr="008F1A01">
        <w:rPr>
          <w:rFonts w:ascii="Arial" w:hAnsi="Arial" w:cs="Arial"/>
          <w:sz w:val="19"/>
          <w:szCs w:val="19"/>
          <w:lang w:val="es-ES"/>
        </w:rPr>
        <w:t xml:space="preserve">»[...] </w:t>
      </w:r>
    </w:p>
    <w:p w14:paraId="1F300A18" w14:textId="77777777" w:rsidR="007D009F" w:rsidRPr="008F1A01" w:rsidRDefault="007D009F" w:rsidP="008F1A01">
      <w:pPr>
        <w:pStyle w:val="Car1"/>
        <w:ind w:firstLine="709"/>
        <w:contextualSpacing/>
        <w:jc w:val="both"/>
        <w:rPr>
          <w:rFonts w:ascii="Arial" w:hAnsi="Arial" w:cs="Arial"/>
          <w:sz w:val="19"/>
          <w:szCs w:val="19"/>
          <w:lang w:val="es-ES"/>
        </w:rPr>
      </w:pPr>
      <w:r w:rsidRPr="008F1A01">
        <w:rPr>
          <w:rFonts w:ascii="Arial" w:hAnsi="Arial" w:cs="Arial"/>
          <w:sz w:val="19"/>
          <w:szCs w:val="19"/>
          <w:lang w:val="es-ES"/>
        </w:rPr>
        <w:t>»5. Absolver consultas sobre la aplicación de normas de carácter general y expedir circulares externas en materia de compras y contratación pública».</w:t>
      </w:r>
    </w:p>
    <w:p w14:paraId="11000CEB" w14:textId="77777777" w:rsidR="007D009F" w:rsidRPr="008F1A01" w:rsidRDefault="007D009F" w:rsidP="008F1A01">
      <w:pPr>
        <w:pStyle w:val="Car1"/>
        <w:ind w:firstLine="709"/>
        <w:contextualSpacing/>
        <w:jc w:val="both"/>
        <w:rPr>
          <w:rFonts w:ascii="Arial" w:hAnsi="Arial" w:cs="Arial"/>
          <w:sz w:val="19"/>
          <w:szCs w:val="19"/>
          <w:lang w:val="es-ES"/>
        </w:rPr>
      </w:pPr>
      <w:r w:rsidRPr="008F1A01">
        <w:rPr>
          <w:rFonts w:ascii="Arial" w:eastAsia="Times New Roman" w:hAnsi="Arial" w:cs="Arial"/>
          <w:sz w:val="19"/>
          <w:szCs w:val="19"/>
          <w:lang w:val="es-CO" w:eastAsia="es-ES_tradnl"/>
        </w:rPr>
        <w:t>«</w:t>
      </w:r>
      <w:r w:rsidRPr="008F1A01">
        <w:rPr>
          <w:rFonts w:ascii="Arial" w:hAnsi="Arial" w:cs="Arial"/>
          <w:sz w:val="19"/>
          <w:szCs w:val="19"/>
          <w:lang w:val="es-ES"/>
        </w:rPr>
        <w:t xml:space="preserve">Artículo 11. Subdirección de Gestión Contractual. Son funciones de la Subdirección de Gestión Contractual las siguientes: </w:t>
      </w:r>
    </w:p>
    <w:p w14:paraId="49FC50D0" w14:textId="77777777" w:rsidR="007D009F" w:rsidRPr="008F1A01" w:rsidRDefault="007D009F" w:rsidP="008F1A01">
      <w:pPr>
        <w:pStyle w:val="Car1"/>
        <w:ind w:firstLine="709"/>
        <w:contextualSpacing/>
        <w:jc w:val="both"/>
        <w:rPr>
          <w:rFonts w:ascii="Arial" w:hAnsi="Arial" w:cs="Arial"/>
          <w:sz w:val="19"/>
          <w:szCs w:val="19"/>
          <w:lang w:val="es-ES"/>
        </w:rPr>
      </w:pPr>
      <w:r w:rsidRPr="008F1A01">
        <w:rPr>
          <w:rFonts w:ascii="Arial" w:hAnsi="Arial" w:cs="Arial"/>
          <w:sz w:val="19"/>
          <w:szCs w:val="19"/>
          <w:lang w:val="es-ES"/>
        </w:rPr>
        <w:t xml:space="preserve">»[...] </w:t>
      </w:r>
    </w:p>
    <w:p w14:paraId="6FB5134D" w14:textId="51D0F7CC" w:rsidR="007D009F" w:rsidRPr="008F1A01" w:rsidRDefault="007D009F" w:rsidP="008F1A01">
      <w:pPr>
        <w:pStyle w:val="Car1"/>
        <w:ind w:firstLine="708"/>
        <w:contextualSpacing/>
        <w:jc w:val="both"/>
        <w:rPr>
          <w:rFonts w:ascii="Arial" w:hAnsi="Arial" w:cs="Arial"/>
          <w:sz w:val="19"/>
          <w:szCs w:val="19"/>
          <w:lang w:val="es-ES"/>
        </w:rPr>
      </w:pPr>
      <w:r w:rsidRPr="008F1A01">
        <w:rPr>
          <w:rFonts w:ascii="Arial" w:eastAsia="Times New Roman" w:hAnsi="Arial" w:cs="Arial"/>
          <w:sz w:val="19"/>
          <w:szCs w:val="19"/>
          <w:lang w:val="es-CO" w:eastAsia="es-ES_tradnl"/>
        </w:rPr>
        <w:t>»</w:t>
      </w:r>
      <w:r w:rsidRPr="008F1A01">
        <w:rPr>
          <w:rFonts w:ascii="Arial" w:hAnsi="Arial" w:cs="Arial"/>
          <w:sz w:val="19"/>
          <w:szCs w:val="19"/>
          <w:lang w:val="es-ES"/>
        </w:rPr>
        <w:t>8. Absolver consultas sobre la aplicación de normas de carácter general».</w:t>
      </w:r>
    </w:p>
    <w:p w14:paraId="58BF3808" w14:textId="77777777" w:rsidR="00C84517" w:rsidRPr="00EB1BB4" w:rsidRDefault="00C84517" w:rsidP="008F1A01">
      <w:pPr>
        <w:pStyle w:val="Textonotapie"/>
        <w:rPr>
          <w:sz w:val="19"/>
          <w:szCs w:val="19"/>
          <w:lang w:val="es-ES"/>
        </w:rPr>
      </w:pPr>
    </w:p>
  </w:footnote>
  <w:footnote w:id="2">
    <w:p w14:paraId="2F6F04C7" w14:textId="430F4194" w:rsidR="00015EE6" w:rsidRPr="008F1A01" w:rsidRDefault="00015EE6" w:rsidP="00EB1BB4">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La Agencia Nacional de Contratación Pública – Colombia Compra Eficiente también se ha </w:t>
      </w:r>
      <w:r w:rsidR="00B263E3" w:rsidRPr="008F1A01">
        <w:rPr>
          <w:rFonts w:ascii="Arial" w:hAnsi="Arial" w:cs="Arial"/>
          <w:sz w:val="19"/>
          <w:szCs w:val="19"/>
        </w:rPr>
        <w:t xml:space="preserve">pronunciado sobre la </w:t>
      </w:r>
      <w:r w:rsidR="00A46180" w:rsidRPr="008F1A01">
        <w:rPr>
          <w:rFonts w:ascii="Arial" w:hAnsi="Arial" w:cs="Arial"/>
          <w:sz w:val="19"/>
          <w:szCs w:val="19"/>
        </w:rPr>
        <w:t xml:space="preserve">Ley de Garantías Electorales en los conceptos: </w:t>
      </w:r>
      <w:r w:rsidR="00B44676" w:rsidRPr="008F1A01">
        <w:rPr>
          <w:rFonts w:ascii="Arial" w:hAnsi="Arial" w:cs="Arial"/>
          <w:sz w:val="19"/>
          <w:szCs w:val="19"/>
        </w:rPr>
        <w:t>C-163</w:t>
      </w:r>
      <w:r w:rsidR="0078422D" w:rsidRPr="008F1A01">
        <w:rPr>
          <w:rFonts w:ascii="Arial" w:hAnsi="Arial" w:cs="Arial"/>
          <w:sz w:val="19"/>
          <w:szCs w:val="19"/>
        </w:rPr>
        <w:t xml:space="preserve"> del 29 de marzo de 2022</w:t>
      </w:r>
      <w:r w:rsidR="00B44676" w:rsidRPr="008F1A01">
        <w:rPr>
          <w:rFonts w:ascii="Arial" w:hAnsi="Arial" w:cs="Arial"/>
          <w:sz w:val="19"/>
          <w:szCs w:val="19"/>
        </w:rPr>
        <w:t>, C-169</w:t>
      </w:r>
      <w:r w:rsidR="0078422D" w:rsidRPr="008F1A01">
        <w:rPr>
          <w:rFonts w:ascii="Arial" w:hAnsi="Arial" w:cs="Arial"/>
          <w:sz w:val="19"/>
          <w:szCs w:val="19"/>
        </w:rPr>
        <w:t xml:space="preserve"> del 7 de abril de 2022</w:t>
      </w:r>
      <w:r w:rsidR="00B44676" w:rsidRPr="008F1A01">
        <w:rPr>
          <w:rFonts w:ascii="Arial" w:hAnsi="Arial" w:cs="Arial"/>
          <w:sz w:val="19"/>
          <w:szCs w:val="19"/>
        </w:rPr>
        <w:t>, C-170</w:t>
      </w:r>
      <w:r w:rsidR="0078422D" w:rsidRPr="008F1A01">
        <w:rPr>
          <w:rFonts w:ascii="Arial" w:hAnsi="Arial" w:cs="Arial"/>
          <w:sz w:val="19"/>
          <w:szCs w:val="19"/>
        </w:rPr>
        <w:t xml:space="preserve"> del 5 de abril de 2022</w:t>
      </w:r>
      <w:r w:rsidR="00B44676" w:rsidRPr="008F1A01">
        <w:rPr>
          <w:rFonts w:ascii="Arial" w:hAnsi="Arial" w:cs="Arial"/>
          <w:sz w:val="19"/>
          <w:szCs w:val="19"/>
        </w:rPr>
        <w:t>,</w:t>
      </w:r>
      <w:r w:rsidR="001B0DC0" w:rsidRPr="008F1A01">
        <w:rPr>
          <w:rFonts w:ascii="Arial" w:hAnsi="Arial" w:cs="Arial"/>
          <w:sz w:val="19"/>
          <w:szCs w:val="19"/>
        </w:rPr>
        <w:t xml:space="preserve"> C-171</w:t>
      </w:r>
      <w:r w:rsidR="0078422D" w:rsidRPr="008F1A01">
        <w:rPr>
          <w:rFonts w:ascii="Arial" w:hAnsi="Arial" w:cs="Arial"/>
          <w:sz w:val="19"/>
          <w:szCs w:val="19"/>
        </w:rPr>
        <w:t xml:space="preserve"> del 6 de abril de 2022</w:t>
      </w:r>
      <w:r w:rsidR="001B0DC0" w:rsidRPr="008F1A01">
        <w:rPr>
          <w:rFonts w:ascii="Arial" w:hAnsi="Arial" w:cs="Arial"/>
          <w:sz w:val="19"/>
          <w:szCs w:val="19"/>
        </w:rPr>
        <w:t>,</w:t>
      </w:r>
      <w:r w:rsidR="00B44676" w:rsidRPr="008F1A01">
        <w:rPr>
          <w:rFonts w:ascii="Arial" w:hAnsi="Arial" w:cs="Arial"/>
          <w:sz w:val="19"/>
          <w:szCs w:val="19"/>
        </w:rPr>
        <w:t xml:space="preserve"> C-172</w:t>
      </w:r>
      <w:r w:rsidR="0078422D" w:rsidRPr="008F1A01">
        <w:rPr>
          <w:rFonts w:ascii="Arial" w:hAnsi="Arial" w:cs="Arial"/>
          <w:sz w:val="19"/>
          <w:szCs w:val="19"/>
        </w:rPr>
        <w:t xml:space="preserve"> del </w:t>
      </w:r>
      <w:r w:rsidR="006E70F9" w:rsidRPr="008F1A01">
        <w:rPr>
          <w:rFonts w:ascii="Arial" w:hAnsi="Arial" w:cs="Arial"/>
          <w:sz w:val="19"/>
          <w:szCs w:val="19"/>
        </w:rPr>
        <w:t>6 de abril</w:t>
      </w:r>
      <w:r w:rsidR="00B44676" w:rsidRPr="008F1A01">
        <w:rPr>
          <w:rFonts w:ascii="Arial" w:hAnsi="Arial" w:cs="Arial"/>
          <w:sz w:val="19"/>
          <w:szCs w:val="19"/>
        </w:rPr>
        <w:t>, C-175</w:t>
      </w:r>
      <w:r w:rsidR="006E70F9" w:rsidRPr="008F1A01">
        <w:rPr>
          <w:rFonts w:ascii="Arial" w:hAnsi="Arial" w:cs="Arial"/>
          <w:sz w:val="19"/>
          <w:szCs w:val="19"/>
        </w:rPr>
        <w:t xml:space="preserve"> del 17 de mayo de 2022</w:t>
      </w:r>
      <w:r w:rsidR="00B44676" w:rsidRPr="008F1A01">
        <w:rPr>
          <w:rFonts w:ascii="Arial" w:hAnsi="Arial" w:cs="Arial"/>
          <w:sz w:val="19"/>
          <w:szCs w:val="19"/>
        </w:rPr>
        <w:t>, C-</w:t>
      </w:r>
      <w:r w:rsidR="008554E6" w:rsidRPr="008F1A01">
        <w:rPr>
          <w:rFonts w:ascii="Arial" w:hAnsi="Arial" w:cs="Arial"/>
          <w:sz w:val="19"/>
          <w:szCs w:val="19"/>
        </w:rPr>
        <w:t>179</w:t>
      </w:r>
      <w:r w:rsidR="001C0CA6" w:rsidRPr="008F1A01">
        <w:rPr>
          <w:rFonts w:ascii="Arial" w:hAnsi="Arial" w:cs="Arial"/>
          <w:sz w:val="19"/>
          <w:szCs w:val="19"/>
        </w:rPr>
        <w:t xml:space="preserve"> del 8 de abril de 2022</w:t>
      </w:r>
      <w:r w:rsidR="008554E6" w:rsidRPr="008F1A01">
        <w:rPr>
          <w:rFonts w:ascii="Arial" w:hAnsi="Arial" w:cs="Arial"/>
          <w:sz w:val="19"/>
          <w:szCs w:val="19"/>
        </w:rPr>
        <w:t>, C-183</w:t>
      </w:r>
      <w:r w:rsidR="001C0CA6" w:rsidRPr="008F1A01">
        <w:rPr>
          <w:rFonts w:ascii="Arial" w:hAnsi="Arial" w:cs="Arial"/>
          <w:sz w:val="19"/>
          <w:szCs w:val="19"/>
        </w:rPr>
        <w:t xml:space="preserve"> del 7 de abril de 2022</w:t>
      </w:r>
      <w:r w:rsidR="008554E6" w:rsidRPr="008F1A01">
        <w:rPr>
          <w:rFonts w:ascii="Arial" w:hAnsi="Arial" w:cs="Arial"/>
          <w:sz w:val="19"/>
          <w:szCs w:val="19"/>
        </w:rPr>
        <w:t>, C-184</w:t>
      </w:r>
      <w:r w:rsidR="001C0CA6" w:rsidRPr="008F1A01">
        <w:rPr>
          <w:rFonts w:ascii="Arial" w:hAnsi="Arial" w:cs="Arial"/>
          <w:sz w:val="19"/>
          <w:szCs w:val="19"/>
        </w:rPr>
        <w:t xml:space="preserve"> del 2 de mayo de 2022</w:t>
      </w:r>
      <w:r w:rsidR="008554E6" w:rsidRPr="008F1A01">
        <w:rPr>
          <w:rFonts w:ascii="Arial" w:hAnsi="Arial" w:cs="Arial"/>
          <w:sz w:val="19"/>
          <w:szCs w:val="19"/>
        </w:rPr>
        <w:t>, C-185</w:t>
      </w:r>
      <w:r w:rsidR="001C0CA6" w:rsidRPr="008F1A01">
        <w:rPr>
          <w:rFonts w:ascii="Arial" w:hAnsi="Arial" w:cs="Arial"/>
          <w:sz w:val="19"/>
          <w:szCs w:val="19"/>
        </w:rPr>
        <w:t xml:space="preserve"> del 12 de abril de </w:t>
      </w:r>
      <w:r w:rsidR="00F838C9" w:rsidRPr="008F1A01">
        <w:rPr>
          <w:rFonts w:ascii="Arial" w:hAnsi="Arial" w:cs="Arial"/>
          <w:sz w:val="19"/>
          <w:szCs w:val="19"/>
        </w:rPr>
        <w:t>2022</w:t>
      </w:r>
      <w:r w:rsidR="008554E6" w:rsidRPr="008F1A01">
        <w:rPr>
          <w:rFonts w:ascii="Arial" w:hAnsi="Arial" w:cs="Arial"/>
          <w:sz w:val="19"/>
          <w:szCs w:val="19"/>
        </w:rPr>
        <w:t>, C-187</w:t>
      </w:r>
      <w:r w:rsidR="00F838C9" w:rsidRPr="008F1A01">
        <w:rPr>
          <w:rFonts w:ascii="Arial" w:hAnsi="Arial" w:cs="Arial"/>
          <w:sz w:val="19"/>
          <w:szCs w:val="19"/>
        </w:rPr>
        <w:t xml:space="preserve"> del 12 de abril de 2022</w:t>
      </w:r>
      <w:r w:rsidR="008554E6" w:rsidRPr="008F1A01">
        <w:rPr>
          <w:rFonts w:ascii="Arial" w:hAnsi="Arial" w:cs="Arial"/>
          <w:sz w:val="19"/>
          <w:szCs w:val="19"/>
        </w:rPr>
        <w:t>, C-192</w:t>
      </w:r>
      <w:r w:rsidR="00F838C9" w:rsidRPr="008F1A01">
        <w:rPr>
          <w:rFonts w:ascii="Arial" w:hAnsi="Arial" w:cs="Arial"/>
          <w:sz w:val="19"/>
          <w:szCs w:val="19"/>
        </w:rPr>
        <w:t xml:space="preserve"> del 18 de abril de 2022</w:t>
      </w:r>
      <w:r w:rsidR="008554E6" w:rsidRPr="008F1A01">
        <w:rPr>
          <w:rFonts w:ascii="Arial" w:hAnsi="Arial" w:cs="Arial"/>
          <w:sz w:val="19"/>
          <w:szCs w:val="19"/>
        </w:rPr>
        <w:t>, C-</w:t>
      </w:r>
      <w:r w:rsidR="00EB188B" w:rsidRPr="008F1A01">
        <w:rPr>
          <w:rFonts w:ascii="Arial" w:hAnsi="Arial" w:cs="Arial"/>
          <w:sz w:val="19"/>
          <w:szCs w:val="19"/>
        </w:rPr>
        <w:t>202</w:t>
      </w:r>
      <w:r w:rsidR="00097070" w:rsidRPr="008F1A01">
        <w:rPr>
          <w:rFonts w:ascii="Arial" w:hAnsi="Arial" w:cs="Arial"/>
          <w:sz w:val="19"/>
          <w:szCs w:val="19"/>
        </w:rPr>
        <w:t xml:space="preserve"> del 18 de abril de 2022</w:t>
      </w:r>
      <w:r w:rsidR="00EB188B" w:rsidRPr="008F1A01">
        <w:rPr>
          <w:rFonts w:ascii="Arial" w:hAnsi="Arial" w:cs="Arial"/>
          <w:sz w:val="19"/>
          <w:szCs w:val="19"/>
        </w:rPr>
        <w:t>, C-205</w:t>
      </w:r>
      <w:r w:rsidR="00097070" w:rsidRPr="008F1A01">
        <w:rPr>
          <w:rFonts w:ascii="Arial" w:hAnsi="Arial" w:cs="Arial"/>
          <w:sz w:val="19"/>
          <w:szCs w:val="19"/>
        </w:rPr>
        <w:t xml:space="preserve"> del 1</w:t>
      </w:r>
      <w:r w:rsidR="00CB0080" w:rsidRPr="008F1A01">
        <w:rPr>
          <w:rFonts w:ascii="Arial" w:hAnsi="Arial" w:cs="Arial"/>
          <w:sz w:val="19"/>
          <w:szCs w:val="19"/>
        </w:rPr>
        <w:t>9</w:t>
      </w:r>
      <w:r w:rsidR="00097070" w:rsidRPr="008F1A01">
        <w:rPr>
          <w:rFonts w:ascii="Arial" w:hAnsi="Arial" w:cs="Arial"/>
          <w:sz w:val="19"/>
          <w:szCs w:val="19"/>
        </w:rPr>
        <w:t xml:space="preserve"> de abril de 2022</w:t>
      </w:r>
      <w:r w:rsidR="00EB188B" w:rsidRPr="008F1A01">
        <w:rPr>
          <w:rFonts w:ascii="Arial" w:hAnsi="Arial" w:cs="Arial"/>
          <w:sz w:val="19"/>
          <w:szCs w:val="19"/>
        </w:rPr>
        <w:t>, C-206</w:t>
      </w:r>
      <w:r w:rsidR="00097070" w:rsidRPr="008F1A01">
        <w:rPr>
          <w:rFonts w:ascii="Arial" w:hAnsi="Arial" w:cs="Arial"/>
          <w:sz w:val="19"/>
          <w:szCs w:val="19"/>
        </w:rPr>
        <w:t xml:space="preserve"> del </w:t>
      </w:r>
      <w:r w:rsidR="009562DF" w:rsidRPr="008F1A01">
        <w:rPr>
          <w:rFonts w:ascii="Arial" w:hAnsi="Arial" w:cs="Arial"/>
          <w:sz w:val="19"/>
          <w:szCs w:val="19"/>
        </w:rPr>
        <w:t>18</w:t>
      </w:r>
      <w:r w:rsidR="00097070" w:rsidRPr="008F1A01">
        <w:rPr>
          <w:rFonts w:ascii="Arial" w:hAnsi="Arial" w:cs="Arial"/>
          <w:sz w:val="19"/>
          <w:szCs w:val="19"/>
        </w:rPr>
        <w:t xml:space="preserve"> de abril de 2022</w:t>
      </w:r>
      <w:r w:rsidR="00EB188B" w:rsidRPr="008F1A01">
        <w:rPr>
          <w:rFonts w:ascii="Arial" w:hAnsi="Arial" w:cs="Arial"/>
          <w:sz w:val="19"/>
          <w:szCs w:val="19"/>
        </w:rPr>
        <w:t>, C-216</w:t>
      </w:r>
      <w:r w:rsidR="00097070" w:rsidRPr="008F1A01">
        <w:rPr>
          <w:rFonts w:ascii="Arial" w:hAnsi="Arial" w:cs="Arial"/>
          <w:sz w:val="19"/>
          <w:szCs w:val="19"/>
        </w:rPr>
        <w:t xml:space="preserve"> del </w:t>
      </w:r>
      <w:r w:rsidR="00083881" w:rsidRPr="008F1A01">
        <w:rPr>
          <w:rFonts w:ascii="Arial" w:hAnsi="Arial" w:cs="Arial"/>
          <w:sz w:val="19"/>
          <w:szCs w:val="19"/>
        </w:rPr>
        <w:t>9 de marzo</w:t>
      </w:r>
      <w:r w:rsidR="00097070" w:rsidRPr="008F1A01">
        <w:rPr>
          <w:rFonts w:ascii="Arial" w:hAnsi="Arial" w:cs="Arial"/>
          <w:sz w:val="19"/>
          <w:szCs w:val="19"/>
        </w:rPr>
        <w:t xml:space="preserve"> de 2022</w:t>
      </w:r>
      <w:r w:rsidR="00EB188B" w:rsidRPr="008F1A01">
        <w:rPr>
          <w:rFonts w:ascii="Arial" w:hAnsi="Arial" w:cs="Arial"/>
          <w:sz w:val="19"/>
          <w:szCs w:val="19"/>
        </w:rPr>
        <w:t>, C-221</w:t>
      </w:r>
      <w:r w:rsidR="00B069C6" w:rsidRPr="008F1A01">
        <w:rPr>
          <w:rFonts w:ascii="Arial" w:hAnsi="Arial" w:cs="Arial"/>
          <w:sz w:val="19"/>
          <w:szCs w:val="19"/>
        </w:rPr>
        <w:t xml:space="preserve"> del 2</w:t>
      </w:r>
      <w:r w:rsidR="002E3FA9" w:rsidRPr="008F1A01">
        <w:rPr>
          <w:rFonts w:ascii="Arial" w:hAnsi="Arial" w:cs="Arial"/>
          <w:sz w:val="19"/>
          <w:szCs w:val="19"/>
        </w:rPr>
        <w:t>1</w:t>
      </w:r>
      <w:r w:rsidR="00B069C6" w:rsidRPr="008F1A01">
        <w:rPr>
          <w:rFonts w:ascii="Arial" w:hAnsi="Arial" w:cs="Arial"/>
          <w:sz w:val="19"/>
          <w:szCs w:val="19"/>
        </w:rPr>
        <w:t xml:space="preserve"> de abril de 2022</w:t>
      </w:r>
      <w:r w:rsidR="00EB188B" w:rsidRPr="008F1A01">
        <w:rPr>
          <w:rFonts w:ascii="Arial" w:hAnsi="Arial" w:cs="Arial"/>
          <w:sz w:val="19"/>
          <w:szCs w:val="19"/>
        </w:rPr>
        <w:t>, C-222</w:t>
      </w:r>
      <w:r w:rsidR="007631D6" w:rsidRPr="008F1A01">
        <w:rPr>
          <w:rFonts w:ascii="Arial" w:hAnsi="Arial" w:cs="Arial"/>
          <w:sz w:val="19"/>
          <w:szCs w:val="19"/>
        </w:rPr>
        <w:t xml:space="preserve"> del 25 de abril de 2022</w:t>
      </w:r>
      <w:r w:rsidR="00EB188B" w:rsidRPr="008F1A01">
        <w:rPr>
          <w:rFonts w:ascii="Arial" w:hAnsi="Arial" w:cs="Arial"/>
          <w:sz w:val="19"/>
          <w:szCs w:val="19"/>
        </w:rPr>
        <w:t>, C-231</w:t>
      </w:r>
      <w:r w:rsidR="007631D6" w:rsidRPr="008F1A01">
        <w:rPr>
          <w:rFonts w:ascii="Arial" w:hAnsi="Arial" w:cs="Arial"/>
          <w:sz w:val="19"/>
          <w:szCs w:val="19"/>
        </w:rPr>
        <w:t xml:space="preserve"> del 2 de mayo de 2022</w:t>
      </w:r>
      <w:r w:rsidR="00EB188B" w:rsidRPr="008F1A01">
        <w:rPr>
          <w:rFonts w:ascii="Arial" w:hAnsi="Arial" w:cs="Arial"/>
          <w:sz w:val="19"/>
          <w:szCs w:val="19"/>
        </w:rPr>
        <w:t>, C-229</w:t>
      </w:r>
      <w:r w:rsidR="007631D6" w:rsidRPr="008F1A01">
        <w:rPr>
          <w:rFonts w:ascii="Arial" w:hAnsi="Arial" w:cs="Arial"/>
          <w:sz w:val="19"/>
          <w:szCs w:val="19"/>
        </w:rPr>
        <w:t xml:space="preserve"> del 2</w:t>
      </w:r>
      <w:r w:rsidR="005B432A" w:rsidRPr="008F1A01">
        <w:rPr>
          <w:rFonts w:ascii="Arial" w:hAnsi="Arial" w:cs="Arial"/>
          <w:sz w:val="19"/>
          <w:szCs w:val="19"/>
        </w:rPr>
        <w:t>6</w:t>
      </w:r>
      <w:r w:rsidR="007631D6" w:rsidRPr="008F1A01">
        <w:rPr>
          <w:rFonts w:ascii="Arial" w:hAnsi="Arial" w:cs="Arial"/>
          <w:sz w:val="19"/>
          <w:szCs w:val="19"/>
        </w:rPr>
        <w:t xml:space="preserve"> de abril de 2022</w:t>
      </w:r>
      <w:r w:rsidR="00EB188B" w:rsidRPr="008F1A01">
        <w:rPr>
          <w:rFonts w:ascii="Arial" w:hAnsi="Arial" w:cs="Arial"/>
          <w:sz w:val="19"/>
          <w:szCs w:val="19"/>
        </w:rPr>
        <w:t>, C-</w:t>
      </w:r>
      <w:r w:rsidR="00C043FC" w:rsidRPr="008F1A01">
        <w:rPr>
          <w:rFonts w:ascii="Arial" w:hAnsi="Arial" w:cs="Arial"/>
          <w:sz w:val="19"/>
          <w:szCs w:val="19"/>
        </w:rPr>
        <w:t>241</w:t>
      </w:r>
      <w:r w:rsidR="00670763" w:rsidRPr="008F1A01">
        <w:rPr>
          <w:rFonts w:ascii="Arial" w:hAnsi="Arial" w:cs="Arial"/>
          <w:sz w:val="19"/>
          <w:szCs w:val="19"/>
        </w:rPr>
        <w:t xml:space="preserve"> del 1</w:t>
      </w:r>
      <w:r w:rsidR="00164651" w:rsidRPr="008F1A01">
        <w:rPr>
          <w:rFonts w:ascii="Arial" w:hAnsi="Arial" w:cs="Arial"/>
          <w:sz w:val="19"/>
          <w:szCs w:val="19"/>
        </w:rPr>
        <w:t>2</w:t>
      </w:r>
      <w:r w:rsidR="00670763" w:rsidRPr="008F1A01">
        <w:rPr>
          <w:rFonts w:ascii="Arial" w:hAnsi="Arial" w:cs="Arial"/>
          <w:sz w:val="19"/>
          <w:szCs w:val="19"/>
        </w:rPr>
        <w:t xml:space="preserve"> de mayo de 2022</w:t>
      </w:r>
      <w:r w:rsidR="00C043FC" w:rsidRPr="008F1A01">
        <w:rPr>
          <w:rFonts w:ascii="Arial" w:hAnsi="Arial" w:cs="Arial"/>
          <w:sz w:val="19"/>
          <w:szCs w:val="19"/>
        </w:rPr>
        <w:t>, C-243</w:t>
      </w:r>
      <w:r w:rsidR="00491203" w:rsidRPr="008F1A01">
        <w:rPr>
          <w:rFonts w:ascii="Arial" w:hAnsi="Arial" w:cs="Arial"/>
          <w:sz w:val="19"/>
          <w:szCs w:val="19"/>
        </w:rPr>
        <w:t xml:space="preserve"> del 2 de mayo de 2022</w:t>
      </w:r>
      <w:r w:rsidR="00C043FC" w:rsidRPr="008F1A01">
        <w:rPr>
          <w:rFonts w:ascii="Arial" w:hAnsi="Arial" w:cs="Arial"/>
          <w:sz w:val="19"/>
          <w:szCs w:val="19"/>
        </w:rPr>
        <w:t>, C-246</w:t>
      </w:r>
      <w:r w:rsidR="00491203" w:rsidRPr="008F1A01">
        <w:rPr>
          <w:rFonts w:ascii="Arial" w:hAnsi="Arial" w:cs="Arial"/>
          <w:sz w:val="19"/>
          <w:szCs w:val="19"/>
        </w:rPr>
        <w:t xml:space="preserve"> del 29 de abril de 2022</w:t>
      </w:r>
      <w:r w:rsidR="00C043FC" w:rsidRPr="008F1A01">
        <w:rPr>
          <w:rFonts w:ascii="Arial" w:hAnsi="Arial" w:cs="Arial"/>
          <w:sz w:val="19"/>
          <w:szCs w:val="19"/>
        </w:rPr>
        <w:t xml:space="preserve">, </w:t>
      </w:r>
      <w:r w:rsidR="003F1156" w:rsidRPr="008F1A01">
        <w:rPr>
          <w:rFonts w:ascii="Arial" w:hAnsi="Arial" w:cs="Arial"/>
          <w:sz w:val="19"/>
          <w:szCs w:val="19"/>
        </w:rPr>
        <w:t>C-251</w:t>
      </w:r>
      <w:r w:rsidR="00352E4B" w:rsidRPr="008F1A01">
        <w:rPr>
          <w:rFonts w:ascii="Arial" w:hAnsi="Arial" w:cs="Arial"/>
          <w:sz w:val="19"/>
          <w:szCs w:val="19"/>
        </w:rPr>
        <w:t xml:space="preserve"> del 2 de mayo de 2022</w:t>
      </w:r>
      <w:r w:rsidR="003F1156" w:rsidRPr="008F1A01">
        <w:rPr>
          <w:rFonts w:ascii="Arial" w:hAnsi="Arial" w:cs="Arial"/>
          <w:sz w:val="19"/>
          <w:szCs w:val="19"/>
        </w:rPr>
        <w:t>, C-254</w:t>
      </w:r>
      <w:r w:rsidR="001305E0" w:rsidRPr="008F1A01">
        <w:rPr>
          <w:rFonts w:ascii="Arial" w:hAnsi="Arial" w:cs="Arial"/>
          <w:sz w:val="19"/>
          <w:szCs w:val="19"/>
        </w:rPr>
        <w:t xml:space="preserve"> del 2 de mayo de 2022</w:t>
      </w:r>
      <w:r w:rsidR="003F1156" w:rsidRPr="008F1A01">
        <w:rPr>
          <w:rFonts w:ascii="Arial" w:hAnsi="Arial" w:cs="Arial"/>
          <w:sz w:val="19"/>
          <w:szCs w:val="19"/>
        </w:rPr>
        <w:t>, C-</w:t>
      </w:r>
      <w:r w:rsidR="00507128" w:rsidRPr="008F1A01">
        <w:rPr>
          <w:rFonts w:ascii="Arial" w:hAnsi="Arial" w:cs="Arial"/>
          <w:sz w:val="19"/>
          <w:szCs w:val="19"/>
        </w:rPr>
        <w:t>258</w:t>
      </w:r>
      <w:r w:rsidR="001305E0" w:rsidRPr="008F1A01">
        <w:rPr>
          <w:rFonts w:ascii="Arial" w:hAnsi="Arial" w:cs="Arial"/>
          <w:sz w:val="19"/>
          <w:szCs w:val="19"/>
        </w:rPr>
        <w:t xml:space="preserve"> del 3 de mayo de 2022</w:t>
      </w:r>
      <w:r w:rsidR="00507128" w:rsidRPr="008F1A01">
        <w:rPr>
          <w:rFonts w:ascii="Arial" w:hAnsi="Arial" w:cs="Arial"/>
          <w:sz w:val="19"/>
          <w:szCs w:val="19"/>
        </w:rPr>
        <w:t>, C-</w:t>
      </w:r>
      <w:r w:rsidR="00D47CE8" w:rsidRPr="008F1A01">
        <w:rPr>
          <w:rFonts w:ascii="Arial" w:hAnsi="Arial" w:cs="Arial"/>
          <w:sz w:val="19"/>
          <w:szCs w:val="19"/>
        </w:rPr>
        <w:t>262</w:t>
      </w:r>
      <w:r w:rsidR="008304F3" w:rsidRPr="008F1A01">
        <w:rPr>
          <w:rFonts w:ascii="Arial" w:hAnsi="Arial" w:cs="Arial"/>
          <w:sz w:val="19"/>
          <w:szCs w:val="19"/>
        </w:rPr>
        <w:t xml:space="preserve"> del 4 de mayo de 2022</w:t>
      </w:r>
      <w:r w:rsidR="00D47CE8" w:rsidRPr="008F1A01">
        <w:rPr>
          <w:rFonts w:ascii="Arial" w:hAnsi="Arial" w:cs="Arial"/>
          <w:sz w:val="19"/>
          <w:szCs w:val="19"/>
        </w:rPr>
        <w:t>, C-264</w:t>
      </w:r>
      <w:r w:rsidR="00252013" w:rsidRPr="008F1A01">
        <w:rPr>
          <w:rFonts w:ascii="Arial" w:hAnsi="Arial" w:cs="Arial"/>
          <w:sz w:val="19"/>
          <w:szCs w:val="19"/>
        </w:rPr>
        <w:t xml:space="preserve"> del 12 de mayo de 2022</w:t>
      </w:r>
      <w:r w:rsidR="00D47CE8" w:rsidRPr="008F1A01">
        <w:rPr>
          <w:rFonts w:ascii="Arial" w:hAnsi="Arial" w:cs="Arial"/>
          <w:sz w:val="19"/>
          <w:szCs w:val="19"/>
        </w:rPr>
        <w:t>, C-</w:t>
      </w:r>
      <w:r w:rsidR="00C73F84" w:rsidRPr="008F1A01">
        <w:rPr>
          <w:rFonts w:ascii="Arial" w:hAnsi="Arial" w:cs="Arial"/>
          <w:sz w:val="19"/>
          <w:szCs w:val="19"/>
        </w:rPr>
        <w:t>268</w:t>
      </w:r>
      <w:r w:rsidR="00252013" w:rsidRPr="008F1A01">
        <w:rPr>
          <w:rFonts w:ascii="Arial" w:hAnsi="Arial" w:cs="Arial"/>
          <w:sz w:val="19"/>
          <w:szCs w:val="19"/>
        </w:rPr>
        <w:t xml:space="preserve"> del 3 de mayo de 2022</w:t>
      </w:r>
      <w:r w:rsidR="00C73F84" w:rsidRPr="008F1A01">
        <w:rPr>
          <w:rFonts w:ascii="Arial" w:hAnsi="Arial" w:cs="Arial"/>
          <w:sz w:val="19"/>
          <w:szCs w:val="19"/>
        </w:rPr>
        <w:t>, C-</w:t>
      </w:r>
      <w:r w:rsidR="002E2979" w:rsidRPr="008F1A01">
        <w:rPr>
          <w:rFonts w:ascii="Arial" w:hAnsi="Arial" w:cs="Arial"/>
          <w:sz w:val="19"/>
          <w:szCs w:val="19"/>
        </w:rPr>
        <w:t>275</w:t>
      </w:r>
      <w:r w:rsidR="003634FF" w:rsidRPr="008F1A01">
        <w:rPr>
          <w:rFonts w:ascii="Arial" w:hAnsi="Arial" w:cs="Arial"/>
          <w:sz w:val="19"/>
          <w:szCs w:val="19"/>
        </w:rPr>
        <w:t xml:space="preserve"> del 9 de mayo de 2022</w:t>
      </w:r>
      <w:r w:rsidR="002E2979" w:rsidRPr="008F1A01">
        <w:rPr>
          <w:rFonts w:ascii="Arial" w:hAnsi="Arial" w:cs="Arial"/>
          <w:sz w:val="19"/>
          <w:szCs w:val="19"/>
        </w:rPr>
        <w:t>, C-276</w:t>
      </w:r>
      <w:r w:rsidR="00B750D9" w:rsidRPr="008F1A01">
        <w:rPr>
          <w:rFonts w:ascii="Arial" w:hAnsi="Arial" w:cs="Arial"/>
          <w:sz w:val="19"/>
          <w:szCs w:val="19"/>
        </w:rPr>
        <w:t xml:space="preserve"> del 6 de mayo de 2022</w:t>
      </w:r>
      <w:r w:rsidR="002E2979" w:rsidRPr="008F1A01">
        <w:rPr>
          <w:rFonts w:ascii="Arial" w:hAnsi="Arial" w:cs="Arial"/>
          <w:sz w:val="19"/>
          <w:szCs w:val="19"/>
        </w:rPr>
        <w:t>, C-277</w:t>
      </w:r>
      <w:r w:rsidR="00B750D9" w:rsidRPr="008F1A01">
        <w:rPr>
          <w:rFonts w:ascii="Arial" w:hAnsi="Arial" w:cs="Arial"/>
          <w:sz w:val="19"/>
          <w:szCs w:val="19"/>
        </w:rPr>
        <w:t xml:space="preserve"> del 9 de mayo de 2022</w:t>
      </w:r>
      <w:r w:rsidR="002E2979" w:rsidRPr="008F1A01">
        <w:rPr>
          <w:rFonts w:ascii="Arial" w:hAnsi="Arial" w:cs="Arial"/>
          <w:sz w:val="19"/>
          <w:szCs w:val="19"/>
        </w:rPr>
        <w:t>, C-292</w:t>
      </w:r>
      <w:r w:rsidR="00F0490F" w:rsidRPr="008F1A01">
        <w:rPr>
          <w:rFonts w:ascii="Arial" w:hAnsi="Arial" w:cs="Arial"/>
          <w:sz w:val="19"/>
          <w:szCs w:val="19"/>
        </w:rPr>
        <w:t xml:space="preserve"> del 11 de mayo de 2022</w:t>
      </w:r>
      <w:r w:rsidR="002E2979" w:rsidRPr="008F1A01">
        <w:rPr>
          <w:rFonts w:ascii="Arial" w:hAnsi="Arial" w:cs="Arial"/>
          <w:sz w:val="19"/>
          <w:szCs w:val="19"/>
        </w:rPr>
        <w:t>, C-297</w:t>
      </w:r>
      <w:r w:rsidR="00A71BA6" w:rsidRPr="008F1A01">
        <w:rPr>
          <w:rFonts w:ascii="Arial" w:hAnsi="Arial" w:cs="Arial"/>
          <w:sz w:val="19"/>
          <w:szCs w:val="19"/>
        </w:rPr>
        <w:t xml:space="preserve"> del 10 de mayo de 2022</w:t>
      </w:r>
      <w:r w:rsidR="002E2979" w:rsidRPr="008F1A01">
        <w:rPr>
          <w:rFonts w:ascii="Arial" w:hAnsi="Arial" w:cs="Arial"/>
          <w:sz w:val="19"/>
          <w:szCs w:val="19"/>
        </w:rPr>
        <w:t>, C-305</w:t>
      </w:r>
      <w:r w:rsidR="00A71BA6" w:rsidRPr="008F1A01">
        <w:rPr>
          <w:rFonts w:ascii="Arial" w:hAnsi="Arial" w:cs="Arial"/>
          <w:sz w:val="19"/>
          <w:szCs w:val="19"/>
        </w:rPr>
        <w:t xml:space="preserve"> del 16 de mayo de 2022</w:t>
      </w:r>
      <w:r w:rsidR="002E2979" w:rsidRPr="008F1A01">
        <w:rPr>
          <w:rFonts w:ascii="Arial" w:hAnsi="Arial" w:cs="Arial"/>
          <w:sz w:val="19"/>
          <w:szCs w:val="19"/>
        </w:rPr>
        <w:t>, C-309</w:t>
      </w:r>
      <w:r w:rsidR="0015311D" w:rsidRPr="008F1A01">
        <w:rPr>
          <w:rFonts w:ascii="Arial" w:hAnsi="Arial" w:cs="Arial"/>
          <w:sz w:val="19"/>
          <w:szCs w:val="19"/>
        </w:rPr>
        <w:t xml:space="preserve"> del 16 de mayo de 2022</w:t>
      </w:r>
      <w:r w:rsidR="002E2979" w:rsidRPr="008F1A01">
        <w:rPr>
          <w:rFonts w:ascii="Arial" w:hAnsi="Arial" w:cs="Arial"/>
          <w:sz w:val="19"/>
          <w:szCs w:val="19"/>
        </w:rPr>
        <w:t>, C-</w:t>
      </w:r>
      <w:r w:rsidR="006E7317" w:rsidRPr="008F1A01">
        <w:rPr>
          <w:rFonts w:ascii="Arial" w:hAnsi="Arial" w:cs="Arial"/>
          <w:sz w:val="19"/>
          <w:szCs w:val="19"/>
        </w:rPr>
        <w:t>312</w:t>
      </w:r>
      <w:r w:rsidR="0015311D" w:rsidRPr="008F1A01">
        <w:rPr>
          <w:rFonts w:ascii="Arial" w:hAnsi="Arial" w:cs="Arial"/>
          <w:sz w:val="19"/>
          <w:szCs w:val="19"/>
        </w:rPr>
        <w:t xml:space="preserve"> del 16 de mayo de 2022</w:t>
      </w:r>
      <w:r w:rsidR="006E7317" w:rsidRPr="008F1A01">
        <w:rPr>
          <w:rFonts w:ascii="Arial" w:hAnsi="Arial" w:cs="Arial"/>
          <w:sz w:val="19"/>
          <w:szCs w:val="19"/>
        </w:rPr>
        <w:t>, C-313</w:t>
      </w:r>
      <w:r w:rsidR="00163BAF" w:rsidRPr="008F1A01">
        <w:rPr>
          <w:rFonts w:ascii="Arial" w:hAnsi="Arial" w:cs="Arial"/>
          <w:sz w:val="19"/>
          <w:szCs w:val="19"/>
        </w:rPr>
        <w:t xml:space="preserve"> del 17 de mayo de 2022</w:t>
      </w:r>
      <w:r w:rsidR="006E7317" w:rsidRPr="008F1A01">
        <w:rPr>
          <w:rFonts w:ascii="Arial" w:hAnsi="Arial" w:cs="Arial"/>
          <w:sz w:val="19"/>
          <w:szCs w:val="19"/>
        </w:rPr>
        <w:t>.</w:t>
      </w:r>
    </w:p>
    <w:p w14:paraId="3B53AFFF" w14:textId="77777777" w:rsidR="00FF717F" w:rsidRPr="008F1A01" w:rsidRDefault="00FF717F" w:rsidP="008F1A01">
      <w:pPr>
        <w:pStyle w:val="Textonotapie"/>
        <w:contextualSpacing/>
        <w:jc w:val="both"/>
        <w:rPr>
          <w:rFonts w:ascii="Arial" w:hAnsi="Arial" w:cs="Arial"/>
          <w:sz w:val="19"/>
          <w:szCs w:val="19"/>
        </w:rPr>
      </w:pPr>
    </w:p>
  </w:footnote>
  <w:footnote w:id="3">
    <w:p w14:paraId="28A21718" w14:textId="77777777"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D5CB4E7" w14:textId="77777777" w:rsidR="00CC5457" w:rsidRPr="008F1A01" w:rsidRDefault="00CC5457" w:rsidP="008F1A01">
      <w:pPr>
        <w:pStyle w:val="Textonotapie"/>
        <w:ind w:firstLine="709"/>
        <w:contextualSpacing/>
        <w:jc w:val="both"/>
        <w:rPr>
          <w:rFonts w:ascii="Arial" w:hAnsi="Arial" w:cs="Arial"/>
          <w:sz w:val="19"/>
          <w:szCs w:val="19"/>
        </w:rPr>
      </w:pPr>
      <w:r w:rsidRPr="008F1A01">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1895032C" w14:textId="77777777" w:rsidR="00CC5457" w:rsidRPr="008F1A01" w:rsidRDefault="00CC5457" w:rsidP="008F1A01">
      <w:pPr>
        <w:pStyle w:val="Textonotapie"/>
        <w:ind w:firstLine="709"/>
        <w:contextualSpacing/>
        <w:jc w:val="both"/>
        <w:rPr>
          <w:rFonts w:ascii="Arial" w:hAnsi="Arial" w:cs="Arial"/>
          <w:sz w:val="19"/>
          <w:szCs w:val="19"/>
        </w:rPr>
      </w:pPr>
    </w:p>
  </w:footnote>
  <w:footnote w:id="4">
    <w:p w14:paraId="28AED7BD" w14:textId="72C49961" w:rsidR="00C8451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Gaceta del Congreso de la República No. 71 del 2005.</w:t>
      </w:r>
    </w:p>
  </w:footnote>
  <w:footnote w:id="5">
    <w:p w14:paraId="5D61C48D" w14:textId="77777777"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Corte Constitucional, Sentencia C- 1153 de 2005, M.P. Marco Gerardo Monroy Cabra.</w:t>
      </w:r>
    </w:p>
    <w:p w14:paraId="0ABE4AF0" w14:textId="77777777" w:rsidR="00CC5457" w:rsidRPr="008F1A01" w:rsidRDefault="00CC5457" w:rsidP="008F1A01">
      <w:pPr>
        <w:pStyle w:val="Textonotapie"/>
        <w:ind w:firstLine="709"/>
        <w:contextualSpacing/>
        <w:jc w:val="both"/>
        <w:rPr>
          <w:rFonts w:ascii="Arial" w:hAnsi="Arial" w:cs="Arial"/>
          <w:sz w:val="19"/>
          <w:szCs w:val="19"/>
        </w:rPr>
      </w:pPr>
    </w:p>
  </w:footnote>
  <w:footnote w:id="6">
    <w:p w14:paraId="042EB038" w14:textId="7B3D00EA" w:rsidR="00C84517" w:rsidRPr="008F1A01" w:rsidRDefault="00CC5457" w:rsidP="008F1A01">
      <w:pPr>
        <w:pStyle w:val="Textonotapie"/>
        <w:ind w:firstLine="708"/>
        <w:contextualSpacing/>
        <w:jc w:val="both"/>
        <w:rPr>
          <w:rFonts w:ascii="Arial" w:hAnsi="Arial" w:cs="Arial"/>
          <w:sz w:val="19"/>
          <w:szCs w:val="19"/>
          <w:lang w:val="es-CO"/>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eastAsia="Times New Roman" w:hAnsi="Arial" w:cs="Arial"/>
          <w:bCs/>
          <w:sz w:val="19"/>
          <w:szCs w:val="19"/>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 (</w:t>
      </w:r>
      <w:r w:rsidRPr="008F1A01">
        <w:rPr>
          <w:rStyle w:val="Refdenotaalpie"/>
          <w:rFonts w:ascii="Arial" w:hAnsi="Arial" w:cs="Arial"/>
          <w:sz w:val="19"/>
          <w:szCs w:val="19"/>
          <w:vertAlign w:val="baseline"/>
        </w:rPr>
        <w:t>Consejo de Estado. Sala de Consulta y del Servicio Civil, de fecha 20 de febrero de 2006. Radicado 1724. Concepto del. Magistrado Ponente: Flavio Augusto Rodríguez Arce</w:t>
      </w:r>
      <w:r w:rsidRPr="008F1A01">
        <w:rPr>
          <w:rFonts w:ascii="Arial" w:hAnsi="Arial" w:cs="Arial"/>
          <w:sz w:val="19"/>
          <w:szCs w:val="19"/>
        </w:rPr>
        <w:t>)</w:t>
      </w:r>
      <w:r w:rsidRPr="008F1A01">
        <w:rPr>
          <w:rStyle w:val="Refdenotaalpie"/>
          <w:rFonts w:ascii="Arial" w:hAnsi="Arial" w:cs="Arial"/>
          <w:sz w:val="19"/>
          <w:szCs w:val="19"/>
          <w:vertAlign w:val="baseline"/>
        </w:rPr>
        <w:t>.</w:t>
      </w:r>
    </w:p>
  </w:footnote>
  <w:footnote w:id="7">
    <w:p w14:paraId="59282FC3" w14:textId="77777777"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5BD3257" w14:textId="77777777" w:rsidR="00CC5457" w:rsidRPr="008F1A01" w:rsidRDefault="00CC5457" w:rsidP="008F1A01">
      <w:pPr>
        <w:pStyle w:val="Textonotapie"/>
        <w:ind w:firstLine="709"/>
        <w:contextualSpacing/>
        <w:jc w:val="both"/>
        <w:rPr>
          <w:rFonts w:ascii="Arial" w:hAnsi="Arial" w:cs="Arial"/>
          <w:sz w:val="19"/>
          <w:szCs w:val="19"/>
        </w:rPr>
      </w:pPr>
    </w:p>
  </w:footnote>
  <w:footnote w:id="8">
    <w:p w14:paraId="76412006" w14:textId="77777777" w:rsidR="00CC5457" w:rsidRPr="008F1A01" w:rsidRDefault="00CC5457" w:rsidP="008F1A01">
      <w:pPr>
        <w:pStyle w:val="Textonotapie"/>
        <w:ind w:firstLine="709"/>
        <w:contextualSpacing/>
        <w:jc w:val="both"/>
        <w:rPr>
          <w:rFonts w:ascii="Arial" w:hAnsi="Arial" w:cs="Arial"/>
          <w:sz w:val="19"/>
          <w:szCs w:val="19"/>
          <w:lang w:val="es-CO"/>
        </w:rPr>
      </w:pPr>
      <w:r w:rsidRPr="008F1A01">
        <w:rPr>
          <w:rStyle w:val="Refdenotaalpie"/>
          <w:rFonts w:ascii="Arial" w:hAnsi="Arial" w:cs="Arial"/>
          <w:sz w:val="19"/>
          <w:szCs w:val="19"/>
        </w:rPr>
        <w:footnoteRef/>
      </w:r>
      <w:r w:rsidRPr="008F1A01">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3B768017" w14:textId="77777777" w:rsidR="00CC5457" w:rsidRPr="008F1A01" w:rsidRDefault="00CC5457" w:rsidP="008F1A01">
      <w:pPr>
        <w:pStyle w:val="Textonotapie"/>
        <w:ind w:firstLine="709"/>
        <w:contextualSpacing/>
        <w:jc w:val="both"/>
        <w:rPr>
          <w:rFonts w:ascii="Arial" w:hAnsi="Arial" w:cs="Arial"/>
          <w:sz w:val="19"/>
          <w:szCs w:val="19"/>
        </w:rPr>
      </w:pPr>
    </w:p>
    <w:p w14:paraId="24DD6932" w14:textId="6E5919C0" w:rsidR="00C8451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de fecha 24 de julio de 2013, radicado 2166, Consejero Ponente: Álvaro </w:t>
      </w:r>
      <w:proofErr w:type="spellStart"/>
      <w:r w:rsidRPr="008F1A01">
        <w:rPr>
          <w:rFonts w:ascii="Arial" w:hAnsi="Arial" w:cs="Arial"/>
          <w:sz w:val="19"/>
          <w:szCs w:val="19"/>
        </w:rPr>
        <w:t>Namén</w:t>
      </w:r>
      <w:proofErr w:type="spellEnd"/>
      <w:r w:rsidRPr="008F1A01">
        <w:rPr>
          <w:rFonts w:ascii="Arial" w:hAnsi="Arial" w:cs="Arial"/>
          <w:sz w:val="19"/>
          <w:szCs w:val="19"/>
        </w:rPr>
        <w:t xml:space="preserve"> Vargas.  </w:t>
      </w:r>
    </w:p>
  </w:footnote>
  <w:footnote w:id="10">
    <w:p w14:paraId="05208AE1" w14:textId="77777777" w:rsidR="00CC5457" w:rsidRPr="008F1A01" w:rsidRDefault="00CC5457" w:rsidP="008F1A01">
      <w:pPr>
        <w:spacing w:after="0" w:line="240" w:lineRule="auto"/>
        <w:ind w:firstLine="709"/>
        <w:contextualSpacing/>
        <w:jc w:val="both"/>
        <w:rPr>
          <w:rFonts w:ascii="Arial" w:eastAsia="Times New Roman"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w:t>
      </w:r>
      <w:bookmarkStart w:id="5" w:name="33"/>
      <w:r w:rsidRPr="008F1A01">
        <w:rPr>
          <w:rFonts w:ascii="Arial" w:eastAsia="Calibri" w:hAnsi="Arial" w:cs="Arial"/>
          <w:bCs/>
          <w:color w:val="000000"/>
          <w:sz w:val="19"/>
          <w:szCs w:val="19"/>
        </w:rPr>
        <w:t>«</w:t>
      </w:r>
      <w:r w:rsidRPr="008F1A01">
        <w:rPr>
          <w:rFonts w:ascii="Arial" w:eastAsia="Times New Roman" w:hAnsi="Arial" w:cs="Arial"/>
          <w:sz w:val="19"/>
          <w:szCs w:val="19"/>
        </w:rPr>
        <w:t>Artículo 33. Restricciones a la contratación pública.</w:t>
      </w:r>
      <w:bookmarkEnd w:id="5"/>
      <w:r w:rsidRPr="008F1A01">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4C7C845F" w14:textId="2CDBB9E3" w:rsidR="00CC5457" w:rsidRPr="008F1A01" w:rsidRDefault="00CC5457" w:rsidP="008F1A01">
      <w:pPr>
        <w:spacing w:after="0" w:line="240" w:lineRule="auto"/>
        <w:ind w:firstLine="709"/>
        <w:contextualSpacing/>
        <w:jc w:val="both"/>
        <w:rPr>
          <w:rFonts w:ascii="Arial" w:eastAsia="Times New Roman" w:hAnsi="Arial" w:cs="Arial"/>
          <w:sz w:val="19"/>
          <w:szCs w:val="19"/>
        </w:rPr>
      </w:pPr>
      <w:r w:rsidRPr="008F1A01">
        <w:rPr>
          <w:rFonts w:ascii="Arial" w:eastAsia="Calibri" w:hAnsi="Arial" w:cs="Arial"/>
          <w:bCs/>
          <w:color w:val="000000"/>
          <w:sz w:val="19"/>
          <w:szCs w:val="19"/>
        </w:rPr>
        <w:t>»</w:t>
      </w:r>
      <w:r w:rsidRPr="008F1A01">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F1A01">
        <w:rPr>
          <w:rFonts w:ascii="Arial" w:eastAsia="Calibri" w:hAnsi="Arial" w:cs="Arial"/>
          <w:bCs/>
          <w:color w:val="000000"/>
          <w:sz w:val="19"/>
          <w:szCs w:val="19"/>
        </w:rPr>
        <w:t>»</w:t>
      </w:r>
      <w:r w:rsidRPr="008F1A01">
        <w:rPr>
          <w:rFonts w:ascii="Arial" w:eastAsia="Times New Roman" w:hAnsi="Arial" w:cs="Arial"/>
          <w:sz w:val="19"/>
          <w:szCs w:val="19"/>
        </w:rPr>
        <w:t>.</w:t>
      </w:r>
    </w:p>
    <w:p w14:paraId="0476F796" w14:textId="77777777" w:rsidR="00C84517" w:rsidRPr="008F1A01" w:rsidRDefault="00C84517" w:rsidP="008F1A01">
      <w:pPr>
        <w:spacing w:after="0" w:line="240" w:lineRule="auto"/>
        <w:ind w:firstLine="709"/>
        <w:contextualSpacing/>
        <w:jc w:val="both"/>
        <w:rPr>
          <w:rFonts w:ascii="Arial" w:eastAsia="Times New Roman" w:hAnsi="Arial" w:cs="Arial"/>
          <w:sz w:val="19"/>
          <w:szCs w:val="19"/>
        </w:rPr>
      </w:pPr>
    </w:p>
  </w:footnote>
  <w:footnote w:id="11">
    <w:p w14:paraId="5FEF17E9" w14:textId="77777777" w:rsidR="00CC5457" w:rsidRPr="008F1A01" w:rsidRDefault="00CC5457" w:rsidP="008F1A01">
      <w:pPr>
        <w:pStyle w:val="NormalWeb"/>
        <w:spacing w:after="0" w:line="240" w:lineRule="auto"/>
        <w:ind w:firstLine="709"/>
        <w:contextualSpacing/>
        <w:jc w:val="both"/>
        <w:rPr>
          <w:rFonts w:ascii="Arial" w:hAnsi="Arial" w:cs="Arial"/>
          <w:sz w:val="19"/>
          <w:szCs w:val="19"/>
          <w:lang w:val="es-MX"/>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eastAsia="Calibri" w:hAnsi="Arial" w:cs="Arial"/>
          <w:bCs/>
          <w:color w:val="000000"/>
          <w:sz w:val="19"/>
          <w:szCs w:val="19"/>
        </w:rPr>
        <w:t>«</w:t>
      </w:r>
      <w:r w:rsidRPr="008F1A01">
        <w:rPr>
          <w:rFonts w:ascii="Arial" w:hAnsi="Arial" w:cs="Arial"/>
          <w:sz w:val="19"/>
          <w:szCs w:val="19"/>
          <w:lang w:val="es-MX"/>
        </w:rPr>
        <w:t>Artículo 38. Prohibiciones para los servidores públicos. A los empleados del Estado les está prohibido:</w:t>
      </w:r>
    </w:p>
    <w:p w14:paraId="727538F5" w14:textId="77777777" w:rsidR="00CC5457" w:rsidRPr="008F1A01" w:rsidRDefault="00CC5457" w:rsidP="008F1A01">
      <w:pPr>
        <w:pStyle w:val="NormalWeb"/>
        <w:spacing w:after="0" w:line="240" w:lineRule="auto"/>
        <w:ind w:firstLine="709"/>
        <w:contextualSpacing/>
        <w:jc w:val="both"/>
        <w:rPr>
          <w:rFonts w:ascii="Arial" w:hAnsi="Arial" w:cs="Arial"/>
          <w:sz w:val="19"/>
          <w:szCs w:val="19"/>
          <w:lang w:val="es-MX"/>
        </w:rPr>
      </w:pPr>
      <w:r w:rsidRPr="008F1A01">
        <w:rPr>
          <w:rFonts w:ascii="Arial" w:eastAsia="Calibri" w:hAnsi="Arial" w:cs="Arial"/>
          <w:bCs/>
          <w:color w:val="000000"/>
          <w:sz w:val="19"/>
          <w:szCs w:val="19"/>
        </w:rPr>
        <w:t>»</w:t>
      </w:r>
      <w:r w:rsidRPr="008F1A01">
        <w:rPr>
          <w:rFonts w:ascii="Arial" w:hAnsi="Arial" w:cs="Arial"/>
          <w:sz w:val="19"/>
          <w:szCs w:val="19"/>
          <w:lang w:val="es-MX"/>
        </w:rPr>
        <w:t xml:space="preserve"> […]</w:t>
      </w:r>
    </w:p>
    <w:p w14:paraId="1616FDC0" w14:textId="6304D8DB" w:rsidR="00CC5457" w:rsidRPr="008F1A01" w:rsidRDefault="00CC5457" w:rsidP="008F1A01">
      <w:pPr>
        <w:pStyle w:val="NormalWeb"/>
        <w:spacing w:after="0" w:line="240" w:lineRule="auto"/>
        <w:ind w:firstLine="709"/>
        <w:contextualSpacing/>
        <w:jc w:val="both"/>
        <w:rPr>
          <w:rFonts w:ascii="Arial" w:hAnsi="Arial" w:cs="Arial"/>
          <w:sz w:val="19"/>
          <w:szCs w:val="19"/>
          <w:lang w:val="es-MX"/>
        </w:rPr>
      </w:pPr>
      <w:r w:rsidRPr="008F1A01">
        <w:rPr>
          <w:rFonts w:ascii="Arial" w:eastAsia="Calibri" w:hAnsi="Arial" w:cs="Arial"/>
          <w:bCs/>
          <w:color w:val="000000"/>
          <w:sz w:val="19"/>
          <w:szCs w:val="19"/>
        </w:rPr>
        <w:t>»</w:t>
      </w:r>
      <w:r w:rsidRPr="008F1A01">
        <w:rPr>
          <w:rStyle w:val="baj"/>
          <w:rFonts w:ascii="Arial" w:hAnsi="Arial" w:cs="Arial"/>
          <w:sz w:val="19"/>
          <w:szCs w:val="19"/>
          <w:lang w:val="es-MX"/>
        </w:rPr>
        <w:t xml:space="preserve"> Parágrafo.</w:t>
      </w:r>
      <w:r w:rsidRPr="008F1A0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F1A01">
        <w:rPr>
          <w:rFonts w:ascii="Arial" w:eastAsia="Calibri" w:hAnsi="Arial" w:cs="Arial"/>
          <w:bCs/>
          <w:color w:val="000000"/>
          <w:sz w:val="19"/>
          <w:szCs w:val="19"/>
        </w:rPr>
        <w:t>»</w:t>
      </w:r>
      <w:r w:rsidRPr="008F1A01">
        <w:rPr>
          <w:rFonts w:ascii="Arial" w:hAnsi="Arial" w:cs="Arial"/>
          <w:sz w:val="19"/>
          <w:szCs w:val="19"/>
          <w:lang w:val="es-MX"/>
        </w:rPr>
        <w:t>.</w:t>
      </w:r>
    </w:p>
    <w:p w14:paraId="4C003F92" w14:textId="77777777" w:rsidR="00C84517" w:rsidRPr="008F1A01" w:rsidRDefault="00C84517" w:rsidP="008F1A01">
      <w:pPr>
        <w:pStyle w:val="NormalWeb"/>
        <w:spacing w:after="0" w:line="240" w:lineRule="auto"/>
        <w:ind w:firstLine="709"/>
        <w:contextualSpacing/>
        <w:jc w:val="both"/>
        <w:rPr>
          <w:rFonts w:ascii="Arial" w:hAnsi="Arial" w:cs="Arial"/>
          <w:sz w:val="19"/>
          <w:szCs w:val="19"/>
          <w:lang w:val="es-MX"/>
        </w:rPr>
      </w:pPr>
    </w:p>
  </w:footnote>
  <w:footnote w:id="12">
    <w:p w14:paraId="7A982CD9" w14:textId="6B3DC79E" w:rsidR="00C84517" w:rsidRPr="008F1A01" w:rsidRDefault="00CC5457" w:rsidP="008F1A01">
      <w:pPr>
        <w:spacing w:after="0" w:line="240" w:lineRule="auto"/>
        <w:ind w:left="100" w:right="244" w:firstLine="709"/>
        <w:contextualSpacing/>
        <w:jc w:val="both"/>
        <w:rPr>
          <w:rFonts w:ascii="Arial" w:hAnsi="Arial" w:cs="Arial"/>
          <w:sz w:val="19"/>
          <w:szCs w:val="19"/>
          <w:lang w:val="es-ES"/>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3">
    <w:p w14:paraId="37A3FDB4" w14:textId="3AFD68D5" w:rsidR="00CC5457" w:rsidRPr="008F1A01" w:rsidRDefault="00CC5457" w:rsidP="008F1A01">
      <w:pPr>
        <w:pStyle w:val="Textonotapie"/>
        <w:ind w:right="51"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hAnsi="Arial" w:cs="Arial"/>
          <w:sz w:val="19"/>
          <w:szCs w:val="19"/>
          <w:lang w:val="es-ES"/>
        </w:rPr>
        <w:t xml:space="preserve">[25] </w:t>
      </w:r>
      <w:r w:rsidRPr="008F1A01">
        <w:rPr>
          <w:rFonts w:ascii="Arial" w:hAnsi="Arial" w:cs="Arial"/>
          <w:sz w:val="19"/>
          <w:szCs w:val="19"/>
        </w:rPr>
        <w:t>Cfr. Consejo de Estado. Sección Tercera. Sentencia de 3 de diciembre de 2007. Radicados: 24.715, 25.206, 25.409, 24.524, 27.834, 25.410, 26.105, 28.244, 31.447 -acumulados-».</w:t>
      </w:r>
    </w:p>
    <w:p w14:paraId="26AB91B7" w14:textId="77777777" w:rsidR="00C84517" w:rsidRPr="008F1A01" w:rsidRDefault="00C84517" w:rsidP="008F1A01">
      <w:pPr>
        <w:pStyle w:val="Textonotapie"/>
        <w:ind w:right="51" w:firstLine="709"/>
        <w:contextualSpacing/>
        <w:jc w:val="both"/>
        <w:rPr>
          <w:rFonts w:ascii="Arial" w:hAnsi="Arial" w:cs="Arial"/>
          <w:sz w:val="19"/>
          <w:szCs w:val="19"/>
        </w:rPr>
      </w:pPr>
    </w:p>
  </w:footnote>
  <w:footnote w:id="14">
    <w:p w14:paraId="2948C42C" w14:textId="1F01E742" w:rsidR="00CC5457" w:rsidRPr="008F1A01" w:rsidRDefault="00CC5457" w:rsidP="008F1A01">
      <w:pPr>
        <w:pStyle w:val="Textonotapie"/>
        <w:ind w:right="51"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hAnsi="Arial" w:cs="Arial"/>
          <w:sz w:val="19"/>
          <w:szCs w:val="19"/>
          <w:lang w:val="es-ES"/>
        </w:rPr>
        <w:t xml:space="preserve">[26] </w:t>
      </w:r>
      <w:r w:rsidRPr="008F1A01">
        <w:rPr>
          <w:rFonts w:ascii="Arial" w:hAnsi="Arial" w:cs="Arial"/>
          <w:sz w:val="19"/>
          <w:szCs w:val="19"/>
        </w:rPr>
        <w:t>Al respecto ver el concepto 1712 de 2 de febrero de 2006. Consejo de Estado Sala de Consulta y Servicio Civil».</w:t>
      </w:r>
    </w:p>
    <w:p w14:paraId="27119749" w14:textId="77777777" w:rsidR="00C84517" w:rsidRPr="008F1A01" w:rsidRDefault="00C84517" w:rsidP="008F1A01">
      <w:pPr>
        <w:pStyle w:val="Textonotapie"/>
        <w:ind w:right="51" w:firstLine="709"/>
        <w:contextualSpacing/>
        <w:jc w:val="both"/>
        <w:rPr>
          <w:rFonts w:ascii="Arial" w:hAnsi="Arial" w:cs="Arial"/>
          <w:sz w:val="19"/>
          <w:szCs w:val="19"/>
        </w:rPr>
      </w:pPr>
    </w:p>
  </w:footnote>
  <w:footnote w:id="15">
    <w:p w14:paraId="679AA765" w14:textId="51EA803C"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8F1A01">
        <w:rPr>
          <w:rFonts w:ascii="Arial" w:hAnsi="Arial" w:cs="Arial"/>
          <w:sz w:val="19"/>
          <w:szCs w:val="19"/>
        </w:rPr>
        <w:t>Namén</w:t>
      </w:r>
      <w:proofErr w:type="spellEnd"/>
      <w:r w:rsidRPr="008F1A01">
        <w:rPr>
          <w:rFonts w:ascii="Arial" w:hAnsi="Arial" w:cs="Arial"/>
          <w:sz w:val="19"/>
          <w:szCs w:val="19"/>
        </w:rPr>
        <w:t xml:space="preserve"> Vargas.</w:t>
      </w:r>
    </w:p>
    <w:p w14:paraId="2C465BFC" w14:textId="77777777" w:rsidR="00C84517" w:rsidRPr="008F1A01" w:rsidRDefault="00C84517" w:rsidP="008F1A01">
      <w:pPr>
        <w:pStyle w:val="Textonotapie"/>
        <w:ind w:firstLine="709"/>
        <w:contextualSpacing/>
        <w:jc w:val="both"/>
        <w:rPr>
          <w:rFonts w:ascii="Arial" w:hAnsi="Arial" w:cs="Arial"/>
          <w:sz w:val="19"/>
          <w:szCs w:val="19"/>
        </w:rPr>
      </w:pPr>
    </w:p>
  </w:footnote>
  <w:footnote w:id="16">
    <w:p w14:paraId="3314BE9C" w14:textId="68E589DC" w:rsidR="00CC5457" w:rsidRPr="008F1A01" w:rsidRDefault="00CC5457" w:rsidP="008F1A01">
      <w:pPr>
        <w:pStyle w:val="Textonotapie"/>
        <w:ind w:firstLine="709"/>
        <w:contextualSpacing/>
        <w:jc w:val="both"/>
        <w:rPr>
          <w:rFonts w:ascii="Arial" w:hAnsi="Arial" w:cs="Arial"/>
          <w:sz w:val="19"/>
          <w:szCs w:val="19"/>
          <w:lang w:val="es-ES"/>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hAnsi="Arial" w:cs="Arial"/>
          <w:sz w:val="19"/>
          <w:szCs w:val="19"/>
          <w:lang w:val="es-ES"/>
        </w:rPr>
        <w:t xml:space="preserve">Artículo 2. </w:t>
      </w:r>
    </w:p>
    <w:p w14:paraId="48E69B8E" w14:textId="77777777" w:rsidR="00C84517" w:rsidRPr="008F1A01" w:rsidRDefault="00C84517" w:rsidP="008F1A01">
      <w:pPr>
        <w:pStyle w:val="Textonotapie"/>
        <w:ind w:firstLine="709"/>
        <w:contextualSpacing/>
        <w:jc w:val="both"/>
        <w:rPr>
          <w:rFonts w:ascii="Arial" w:hAnsi="Arial" w:cs="Arial"/>
          <w:sz w:val="19"/>
          <w:szCs w:val="19"/>
          <w:lang w:val="es-ES"/>
        </w:rPr>
      </w:pPr>
    </w:p>
  </w:footnote>
  <w:footnote w:id="17">
    <w:p w14:paraId="3DE1363F" w14:textId="22439263" w:rsidR="00CC5457" w:rsidRPr="008F1A01" w:rsidRDefault="00CC5457" w:rsidP="008F1A01">
      <w:pPr>
        <w:pStyle w:val="Textonotapie"/>
        <w:ind w:firstLine="709"/>
        <w:contextualSpacing/>
        <w:jc w:val="both"/>
        <w:rPr>
          <w:rFonts w:ascii="Arial" w:hAnsi="Arial" w:cs="Arial"/>
          <w:sz w:val="19"/>
          <w:szCs w:val="19"/>
          <w:lang w:val="es-ES"/>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hAnsi="Arial" w:cs="Arial"/>
          <w:i/>
          <w:sz w:val="19"/>
          <w:szCs w:val="19"/>
          <w:lang w:val="es-ES"/>
        </w:rPr>
        <w:t>Ídem</w:t>
      </w:r>
      <w:r w:rsidRPr="008F1A01">
        <w:rPr>
          <w:rFonts w:ascii="Arial" w:hAnsi="Arial" w:cs="Arial"/>
          <w:sz w:val="19"/>
          <w:szCs w:val="19"/>
          <w:lang w:val="es-ES"/>
        </w:rPr>
        <w:t>.</w:t>
      </w:r>
    </w:p>
    <w:p w14:paraId="1553B084" w14:textId="77777777" w:rsidR="00C84517" w:rsidRPr="008F1A01" w:rsidRDefault="00C84517" w:rsidP="008F1A01">
      <w:pPr>
        <w:pStyle w:val="Textonotapie"/>
        <w:ind w:firstLine="709"/>
        <w:contextualSpacing/>
        <w:jc w:val="both"/>
        <w:rPr>
          <w:rFonts w:ascii="Arial" w:hAnsi="Arial" w:cs="Arial"/>
          <w:sz w:val="19"/>
          <w:szCs w:val="19"/>
          <w:lang w:val="es-ES"/>
        </w:rPr>
      </w:pPr>
    </w:p>
  </w:footnote>
  <w:footnote w:id="18">
    <w:p w14:paraId="03EAE4FC" w14:textId="46A7758B" w:rsidR="00CC5457" w:rsidRPr="008F1A01" w:rsidRDefault="00CC5457" w:rsidP="008F1A01">
      <w:pPr>
        <w:pStyle w:val="Textonotapie"/>
        <w:ind w:firstLine="709"/>
        <w:contextualSpacing/>
        <w:jc w:val="both"/>
        <w:rPr>
          <w:rFonts w:ascii="Arial" w:hAnsi="Arial" w:cs="Arial"/>
          <w:sz w:val="19"/>
          <w:szCs w:val="19"/>
          <w:lang w:val="es-ES"/>
        </w:rPr>
      </w:pPr>
      <w:r w:rsidRPr="008F1A01">
        <w:rPr>
          <w:rStyle w:val="Refdenotaalpie"/>
          <w:rFonts w:ascii="Arial" w:hAnsi="Arial" w:cs="Arial"/>
          <w:sz w:val="19"/>
          <w:szCs w:val="19"/>
        </w:rPr>
        <w:footnoteRef/>
      </w:r>
      <w:r w:rsidRPr="008F1A01">
        <w:rPr>
          <w:rStyle w:val="Refdenotaalpie"/>
          <w:rFonts w:ascii="Arial" w:hAnsi="Arial" w:cs="Arial"/>
          <w:sz w:val="19"/>
          <w:szCs w:val="19"/>
        </w:rPr>
        <w:t xml:space="preserve"> </w:t>
      </w:r>
      <w:r w:rsidRPr="008F1A01">
        <w:rPr>
          <w:rFonts w:ascii="Arial" w:hAnsi="Arial" w:cs="Arial"/>
          <w:sz w:val="19"/>
          <w:szCs w:val="19"/>
          <w:lang w:val="es-ES"/>
        </w:rPr>
        <w:t xml:space="preserve">«[…] A este respecto, cabe recordar que el artículo 860 del Código de Comercio regula la licitación en el derecho privado». </w:t>
      </w:r>
    </w:p>
    <w:p w14:paraId="21553B2D" w14:textId="77777777" w:rsidR="00C84517" w:rsidRPr="008F1A01" w:rsidRDefault="00C84517" w:rsidP="008F1A01">
      <w:pPr>
        <w:pStyle w:val="Textonotapie"/>
        <w:ind w:firstLine="709"/>
        <w:contextualSpacing/>
        <w:jc w:val="both"/>
        <w:rPr>
          <w:rFonts w:ascii="Arial" w:hAnsi="Arial" w:cs="Arial"/>
          <w:sz w:val="19"/>
          <w:szCs w:val="19"/>
          <w:lang w:val="es-ES"/>
        </w:rPr>
      </w:pPr>
    </w:p>
  </w:footnote>
  <w:footnote w:id="19">
    <w:p w14:paraId="655F3FB5" w14:textId="5DCBF37B" w:rsidR="00CC5457" w:rsidRPr="008F1A01" w:rsidRDefault="00CC5457" w:rsidP="008F1A01">
      <w:pPr>
        <w:shd w:val="clear" w:color="auto" w:fill="FFFFFF"/>
        <w:spacing w:after="0" w:line="240" w:lineRule="auto"/>
        <w:ind w:firstLine="709"/>
        <w:contextualSpacing/>
        <w:jc w:val="both"/>
        <w:rPr>
          <w:rFonts w:ascii="Arial" w:hAnsi="Arial" w:cs="Arial"/>
          <w:sz w:val="19"/>
          <w:szCs w:val="19"/>
          <w:lang w:val="es-ES"/>
        </w:rPr>
      </w:pPr>
      <w:r w:rsidRPr="008F1A01">
        <w:rPr>
          <w:rStyle w:val="Refdenotaalpie"/>
          <w:rFonts w:ascii="Arial" w:hAnsi="Arial" w:cs="Arial"/>
          <w:sz w:val="19"/>
          <w:szCs w:val="19"/>
        </w:rPr>
        <w:footnoteRef/>
      </w:r>
      <w:r w:rsidRPr="008F1A01">
        <w:rPr>
          <w:rStyle w:val="Refdenotaalpie"/>
          <w:rFonts w:ascii="Arial" w:hAnsi="Arial" w:cs="Arial"/>
          <w:sz w:val="19"/>
          <w:szCs w:val="19"/>
        </w:rPr>
        <w:t xml:space="preserve"> </w:t>
      </w:r>
      <w:r w:rsidRPr="008F1A01">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8F1A01">
        <w:rPr>
          <w:rFonts w:ascii="Arial" w:hAnsi="Arial" w:cs="Arial"/>
          <w:sz w:val="19"/>
          <w:szCs w:val="19"/>
          <w:lang w:val="es-ES"/>
        </w:rPr>
        <w:t>Namén</w:t>
      </w:r>
      <w:proofErr w:type="spellEnd"/>
      <w:r w:rsidRPr="008F1A01">
        <w:rPr>
          <w:rFonts w:ascii="Arial" w:hAnsi="Arial" w:cs="Arial"/>
          <w:sz w:val="19"/>
          <w:szCs w:val="19"/>
          <w:lang w:val="es-ES"/>
        </w:rPr>
        <w:t xml:space="preserve"> Vargas.</w:t>
      </w:r>
    </w:p>
    <w:p w14:paraId="7448901F" w14:textId="77777777" w:rsidR="00C84517" w:rsidRPr="008F1A01" w:rsidRDefault="00C84517" w:rsidP="008F1A01">
      <w:pPr>
        <w:shd w:val="clear" w:color="auto" w:fill="FFFFFF"/>
        <w:spacing w:after="0" w:line="240" w:lineRule="auto"/>
        <w:ind w:firstLine="709"/>
        <w:contextualSpacing/>
        <w:jc w:val="both"/>
        <w:rPr>
          <w:rFonts w:ascii="Arial" w:hAnsi="Arial" w:cs="Arial"/>
          <w:sz w:val="19"/>
          <w:szCs w:val="19"/>
          <w:lang w:val="es-ES"/>
        </w:rPr>
      </w:pPr>
    </w:p>
  </w:footnote>
  <w:footnote w:id="20">
    <w:p w14:paraId="59F07A5C" w14:textId="3C1FF5C1" w:rsidR="00C8451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del 08 de mayo de 2018. </w:t>
      </w:r>
      <w:proofErr w:type="spellStart"/>
      <w:r w:rsidRPr="008F1A01">
        <w:rPr>
          <w:rFonts w:ascii="Arial" w:hAnsi="Arial" w:cs="Arial"/>
          <w:sz w:val="19"/>
          <w:szCs w:val="19"/>
        </w:rPr>
        <w:t>Exp</w:t>
      </w:r>
      <w:proofErr w:type="spellEnd"/>
      <w:r w:rsidRPr="008F1A01">
        <w:rPr>
          <w:rFonts w:ascii="Arial" w:hAnsi="Arial" w:cs="Arial"/>
          <w:sz w:val="19"/>
          <w:szCs w:val="19"/>
        </w:rPr>
        <w:t xml:space="preserve">. 2.382. C.P. Álvaro </w:t>
      </w:r>
      <w:proofErr w:type="spellStart"/>
      <w:r w:rsidRPr="008F1A01">
        <w:rPr>
          <w:rFonts w:ascii="Arial" w:hAnsi="Arial" w:cs="Arial"/>
          <w:sz w:val="19"/>
          <w:szCs w:val="19"/>
        </w:rPr>
        <w:t>Namén</w:t>
      </w:r>
      <w:proofErr w:type="spellEnd"/>
      <w:r w:rsidRPr="008F1A01">
        <w:rPr>
          <w:rFonts w:ascii="Arial" w:hAnsi="Arial" w:cs="Arial"/>
          <w:sz w:val="19"/>
          <w:szCs w:val="19"/>
        </w:rPr>
        <w:t xml:space="preserve"> Vargas.</w:t>
      </w:r>
    </w:p>
  </w:footnote>
  <w:footnote w:id="21">
    <w:p w14:paraId="53FB6D18" w14:textId="7992FA94"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8F1A01">
        <w:rPr>
          <w:rFonts w:ascii="Arial" w:hAnsi="Arial" w:cs="Arial"/>
          <w:sz w:val="19"/>
          <w:szCs w:val="19"/>
        </w:rPr>
        <w:t>N°</w:t>
      </w:r>
      <w:proofErr w:type="spellEnd"/>
      <w:r w:rsidRPr="008F1A01">
        <w:rPr>
          <w:rFonts w:ascii="Arial" w:hAnsi="Arial" w:cs="Arial"/>
          <w:sz w:val="19"/>
          <w:szCs w:val="19"/>
        </w:rPr>
        <w:t xml:space="preserve"> 216/05 Senado, </w:t>
      </w:r>
      <w:proofErr w:type="spellStart"/>
      <w:r w:rsidRPr="008F1A01">
        <w:rPr>
          <w:rFonts w:ascii="Arial" w:hAnsi="Arial" w:cs="Arial"/>
          <w:sz w:val="19"/>
          <w:szCs w:val="19"/>
        </w:rPr>
        <w:t>N°</w:t>
      </w:r>
      <w:proofErr w:type="spellEnd"/>
      <w:r w:rsidRPr="008F1A01">
        <w:rPr>
          <w:rFonts w:ascii="Arial" w:hAnsi="Arial" w:cs="Arial"/>
          <w:sz w:val="19"/>
          <w:szCs w:val="19"/>
        </w:rPr>
        <w:t xml:space="preserve"> 235-Cámara que dio lugar a la Ley de Garantías Electorales.</w:t>
      </w:r>
    </w:p>
    <w:p w14:paraId="16A3F3D5" w14:textId="77777777" w:rsidR="00C84517" w:rsidRPr="008F1A01" w:rsidRDefault="00C84517" w:rsidP="008F1A01">
      <w:pPr>
        <w:pStyle w:val="Textonotapie"/>
        <w:ind w:firstLine="709"/>
        <w:contextualSpacing/>
        <w:jc w:val="both"/>
        <w:rPr>
          <w:rFonts w:ascii="Arial" w:hAnsi="Arial" w:cs="Arial"/>
          <w:sz w:val="19"/>
          <w:szCs w:val="19"/>
        </w:rPr>
      </w:pPr>
    </w:p>
  </w:footnote>
  <w:footnote w:id="22">
    <w:p w14:paraId="6F951419" w14:textId="2ACDF3CB"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del 18 de febrero 2010. Rad. 11001-03-06-000-2010-00006-00 (1985). C.P. Enrique José Arboleda Perdomo.</w:t>
      </w:r>
    </w:p>
    <w:p w14:paraId="3A0E7C2D" w14:textId="77777777" w:rsidR="00C84517" w:rsidRPr="008F1A01" w:rsidRDefault="00C84517" w:rsidP="008F1A01">
      <w:pPr>
        <w:pStyle w:val="Textonotapie"/>
        <w:ind w:firstLine="709"/>
        <w:contextualSpacing/>
        <w:jc w:val="both"/>
        <w:rPr>
          <w:rFonts w:ascii="Arial" w:hAnsi="Arial" w:cs="Arial"/>
          <w:sz w:val="19"/>
          <w:szCs w:val="19"/>
        </w:rPr>
      </w:pPr>
    </w:p>
  </w:footnote>
  <w:footnote w:id="23">
    <w:p w14:paraId="4530EFE1" w14:textId="58BEA47C" w:rsidR="00CC5457" w:rsidRPr="008F1A01" w:rsidRDefault="00CC5457"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Style w:val="Refdenotaalpie"/>
          <w:rFonts w:ascii="Arial" w:hAnsi="Arial" w:cs="Arial"/>
          <w:sz w:val="19"/>
          <w:szCs w:val="19"/>
        </w:rPr>
        <w:t xml:space="preserve"> </w:t>
      </w:r>
      <w:r w:rsidRPr="008F1A01">
        <w:rPr>
          <w:rStyle w:val="Refdenotaalpie"/>
          <w:rFonts w:ascii="Arial" w:hAnsi="Arial" w:cs="Arial"/>
          <w:sz w:val="19"/>
          <w:szCs w:val="19"/>
          <w:vertAlign w:val="baseline"/>
        </w:rPr>
        <w:t xml:space="preserve">Consejo de Estado. Sala de Consulta y Servicio Civil. Concepto 1712 del 2 de febrero de 2006. Rad. Radicación número: 11001-03-06-000-2006-00011-00(1712). C.P. Enrique </w:t>
      </w:r>
      <w:proofErr w:type="spellStart"/>
      <w:r w:rsidRPr="008F1A01">
        <w:rPr>
          <w:rStyle w:val="Refdenotaalpie"/>
          <w:rFonts w:ascii="Arial" w:hAnsi="Arial" w:cs="Arial"/>
          <w:sz w:val="19"/>
          <w:szCs w:val="19"/>
          <w:vertAlign w:val="baseline"/>
        </w:rPr>
        <w:t>Jose</w:t>
      </w:r>
      <w:proofErr w:type="spellEnd"/>
      <w:r w:rsidRPr="008F1A01">
        <w:rPr>
          <w:rStyle w:val="Refdenotaalpie"/>
          <w:rFonts w:ascii="Arial" w:hAnsi="Arial" w:cs="Arial"/>
          <w:sz w:val="19"/>
          <w:szCs w:val="19"/>
          <w:vertAlign w:val="baseline"/>
        </w:rPr>
        <w:t xml:space="preserve"> Arboleda Perdomo.</w:t>
      </w:r>
      <w:r w:rsidRPr="008F1A01">
        <w:rPr>
          <w:rStyle w:val="Refdenotaalpie"/>
          <w:rFonts w:ascii="Arial" w:hAnsi="Arial" w:cs="Arial"/>
          <w:sz w:val="19"/>
          <w:szCs w:val="19"/>
        </w:rPr>
        <w:t xml:space="preserve"> </w:t>
      </w:r>
    </w:p>
    <w:p w14:paraId="24B91698" w14:textId="77777777" w:rsidR="00C84517" w:rsidRPr="008F1A01" w:rsidRDefault="00C84517" w:rsidP="008F1A01">
      <w:pPr>
        <w:pStyle w:val="Textonotapie"/>
        <w:ind w:firstLine="709"/>
        <w:contextualSpacing/>
        <w:jc w:val="both"/>
        <w:rPr>
          <w:rStyle w:val="Refdenotaalpie"/>
          <w:rFonts w:ascii="Arial" w:hAnsi="Arial" w:cs="Arial"/>
          <w:sz w:val="19"/>
          <w:szCs w:val="19"/>
        </w:rPr>
      </w:pPr>
    </w:p>
  </w:footnote>
  <w:footnote w:id="24">
    <w:p w14:paraId="016F5AB1" w14:textId="6BA48E1F" w:rsidR="00CC5457" w:rsidRPr="008F1A01" w:rsidRDefault="00CC5457" w:rsidP="008F1A01">
      <w:pPr>
        <w:spacing w:after="0" w:line="240" w:lineRule="auto"/>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22ED315A" w14:textId="77777777" w:rsidR="00C84517" w:rsidRPr="008F1A01" w:rsidRDefault="00C84517" w:rsidP="008F1A01">
      <w:pPr>
        <w:spacing w:after="0" w:line="240" w:lineRule="auto"/>
        <w:ind w:firstLine="709"/>
        <w:contextualSpacing/>
        <w:jc w:val="both"/>
        <w:rPr>
          <w:rFonts w:ascii="Arial" w:hAnsi="Arial" w:cs="Arial"/>
          <w:sz w:val="19"/>
          <w:szCs w:val="19"/>
        </w:rPr>
      </w:pPr>
    </w:p>
  </w:footnote>
  <w:footnote w:id="25">
    <w:p w14:paraId="27F6E483" w14:textId="008B075E" w:rsidR="00CC5457" w:rsidRPr="008F1A01" w:rsidRDefault="00CC5457" w:rsidP="008F1A01">
      <w:pPr>
        <w:pStyle w:val="Textonotapie"/>
        <w:ind w:right="51" w:firstLine="709"/>
        <w:contextualSpacing/>
        <w:jc w:val="both"/>
        <w:rPr>
          <w:rFonts w:ascii="Arial" w:eastAsia="Times New Roman" w:hAnsi="Arial" w:cs="Arial"/>
          <w:bCs/>
          <w:sz w:val="19"/>
          <w:szCs w:val="19"/>
          <w:lang w:eastAsia="x-none"/>
        </w:rPr>
      </w:pPr>
      <w:r w:rsidRPr="008F1A01">
        <w:rPr>
          <w:rStyle w:val="Refdenotaalpie"/>
          <w:rFonts w:ascii="Arial" w:hAnsi="Arial" w:cs="Arial"/>
          <w:sz w:val="19"/>
          <w:szCs w:val="19"/>
        </w:rPr>
        <w:footnoteRef/>
      </w:r>
      <w:r w:rsidRPr="008F1A01">
        <w:rPr>
          <w:rFonts w:ascii="Arial" w:hAnsi="Arial" w:cs="Arial"/>
          <w:sz w:val="19"/>
          <w:szCs w:val="19"/>
        </w:rPr>
        <w:t xml:space="preserve"> </w:t>
      </w:r>
      <w:bookmarkStart w:id="30" w:name="_Hlk75633115"/>
      <w:r w:rsidRPr="008F1A01">
        <w:rPr>
          <w:rFonts w:ascii="Arial" w:hAnsi="Arial" w:cs="Arial"/>
          <w:sz w:val="19"/>
          <w:szCs w:val="19"/>
        </w:rPr>
        <w:t xml:space="preserve">Consejo de Estado. Sala de Consulta y Servicio Civil. Concepto </w:t>
      </w:r>
      <w:bookmarkEnd w:id="30"/>
      <w:r w:rsidRPr="008F1A01">
        <w:rPr>
          <w:rFonts w:ascii="Arial" w:hAnsi="Arial" w:cs="Arial"/>
          <w:sz w:val="19"/>
          <w:szCs w:val="19"/>
        </w:rPr>
        <w:t>de 6 de abril de 2006. Radicación Número: 11001-03-06-000-2006-00038-00(1738). Consejero Ponente: Enrique José Arboleda Perdomo:</w:t>
      </w:r>
      <w:r w:rsidRPr="008F1A01">
        <w:rPr>
          <w:rFonts w:ascii="Arial" w:eastAsia="Times New Roman" w:hAnsi="Arial" w:cs="Arial"/>
          <w:bCs/>
          <w:sz w:val="19"/>
          <w:szCs w:val="19"/>
          <w:lang w:eastAsia="x-none"/>
        </w:rPr>
        <w:t xml:space="preserve"> «</w:t>
      </w:r>
      <w:r w:rsidRPr="008F1A01">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8F1A01">
        <w:rPr>
          <w:rFonts w:ascii="Arial" w:eastAsia="Times New Roman" w:hAnsi="Arial" w:cs="Arial"/>
          <w:bCs/>
          <w:sz w:val="19"/>
          <w:szCs w:val="19"/>
          <w:lang w:eastAsia="x-none"/>
        </w:rPr>
        <w:t>».</w:t>
      </w:r>
    </w:p>
    <w:p w14:paraId="70A64111" w14:textId="77777777" w:rsidR="00C84517" w:rsidRPr="008F1A01" w:rsidRDefault="00C84517" w:rsidP="008F1A01">
      <w:pPr>
        <w:pStyle w:val="Textonotapie"/>
        <w:ind w:right="51" w:firstLine="709"/>
        <w:contextualSpacing/>
        <w:jc w:val="both"/>
        <w:rPr>
          <w:rFonts w:ascii="Arial" w:hAnsi="Arial" w:cs="Arial"/>
          <w:sz w:val="19"/>
          <w:szCs w:val="19"/>
        </w:rPr>
      </w:pPr>
    </w:p>
  </w:footnote>
  <w:footnote w:id="26">
    <w:p w14:paraId="45A92F83" w14:textId="351B118E" w:rsidR="00CC5457" w:rsidRPr="008F1A01" w:rsidRDefault="00CC5457" w:rsidP="008F1A01">
      <w:pPr>
        <w:pStyle w:val="Textonotapie"/>
        <w:ind w:right="51"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A7D34A6" w14:textId="77777777" w:rsidR="00C84517" w:rsidRPr="008F1A01" w:rsidRDefault="00C84517" w:rsidP="008F1A01">
      <w:pPr>
        <w:pStyle w:val="Textonotapie"/>
        <w:ind w:right="51" w:firstLine="709"/>
        <w:contextualSpacing/>
        <w:jc w:val="both"/>
        <w:rPr>
          <w:rFonts w:ascii="Arial" w:hAnsi="Arial" w:cs="Arial"/>
          <w:sz w:val="19"/>
          <w:szCs w:val="19"/>
        </w:rPr>
      </w:pPr>
    </w:p>
  </w:footnote>
  <w:footnote w:id="27">
    <w:p w14:paraId="5DD6E6ED" w14:textId="6059A9C2" w:rsidR="00496CC4" w:rsidRPr="008F1A01" w:rsidRDefault="00496CC4" w:rsidP="008F1A01">
      <w:pPr>
        <w:pStyle w:val="Textonotapie"/>
        <w:ind w:firstLine="708"/>
        <w:contextualSpacing/>
        <w:jc w:val="both"/>
        <w:rPr>
          <w:rFonts w:ascii="Arial" w:hAnsi="Arial" w:cs="Arial"/>
          <w:sz w:val="19"/>
          <w:szCs w:val="19"/>
          <w:shd w:val="clear" w:color="auto" w:fill="FFFFFF"/>
        </w:rPr>
      </w:pPr>
      <w:r w:rsidRPr="008F1A01">
        <w:rPr>
          <w:rStyle w:val="Refdenotaalpie"/>
          <w:rFonts w:ascii="Arial" w:hAnsi="Arial" w:cs="Arial"/>
          <w:sz w:val="19"/>
          <w:szCs w:val="19"/>
        </w:rPr>
        <w:footnoteRef/>
      </w:r>
      <w:r w:rsidRPr="008F1A01">
        <w:rPr>
          <w:rFonts w:ascii="Arial" w:hAnsi="Arial" w:cs="Arial"/>
          <w:sz w:val="19"/>
          <w:szCs w:val="19"/>
        </w:rPr>
        <w:t xml:space="preserve"> </w:t>
      </w:r>
      <w:r w:rsidR="00C6264B" w:rsidRPr="008F1A01">
        <w:rPr>
          <w:rFonts w:ascii="Arial" w:hAnsi="Arial" w:cs="Arial"/>
          <w:sz w:val="19"/>
          <w:szCs w:val="19"/>
        </w:rPr>
        <w:t xml:space="preserve">Decreto 1512 de 2000. </w:t>
      </w:r>
      <w:r w:rsidR="00C6264B" w:rsidRPr="008F1A01">
        <w:rPr>
          <w:rFonts w:ascii="Arial" w:hAnsi="Arial" w:cs="Arial"/>
          <w:sz w:val="19"/>
          <w:szCs w:val="19"/>
          <w:shd w:val="clear" w:color="auto" w:fill="FFFFFF"/>
        </w:rPr>
        <w:t>Artículo 2º. </w:t>
      </w:r>
      <w:r w:rsidR="00C6264B" w:rsidRPr="008F1A01">
        <w:rPr>
          <w:rFonts w:ascii="Arial" w:hAnsi="Arial" w:cs="Arial"/>
          <w:i/>
          <w:iCs/>
          <w:sz w:val="19"/>
          <w:szCs w:val="19"/>
          <w:shd w:val="clear" w:color="auto" w:fill="FFFFFF"/>
        </w:rPr>
        <w:t>Dirección</w:t>
      </w:r>
      <w:r w:rsidR="00C6264B" w:rsidRPr="008F1A01">
        <w:rPr>
          <w:rFonts w:ascii="Arial" w:hAnsi="Arial" w:cs="Arial"/>
          <w:b/>
          <w:bCs/>
          <w:sz w:val="19"/>
          <w:szCs w:val="19"/>
          <w:shd w:val="clear" w:color="auto" w:fill="FFFFFF"/>
        </w:rPr>
        <w:t>.</w:t>
      </w:r>
      <w:r w:rsidR="00C6264B" w:rsidRPr="008F1A01">
        <w:rPr>
          <w:rFonts w:ascii="Arial" w:hAnsi="Arial" w:cs="Arial"/>
          <w:sz w:val="19"/>
          <w:szCs w:val="19"/>
          <w:shd w:val="clear" w:color="auto" w:fill="FFFFFF"/>
        </w:rPr>
        <w:t> La Dirección del Ministerio de Defensa Nacional está a cargo del Ministro, quien la ejerce con la inmediata colaboración del Comandante General de las Fuerzas Militares, los Comandantes de Fuerza, el Director General de la Policía Nacional y el Viceministro.</w:t>
      </w:r>
    </w:p>
    <w:p w14:paraId="6AD24F11" w14:textId="77777777" w:rsidR="00C84517" w:rsidRPr="008F1A01" w:rsidRDefault="00C84517" w:rsidP="008F1A01">
      <w:pPr>
        <w:pStyle w:val="Textonotapie"/>
        <w:ind w:firstLine="708"/>
        <w:contextualSpacing/>
        <w:jc w:val="both"/>
        <w:rPr>
          <w:rFonts w:ascii="Arial" w:hAnsi="Arial" w:cs="Arial"/>
          <w:sz w:val="19"/>
          <w:szCs w:val="19"/>
        </w:rPr>
      </w:pPr>
    </w:p>
  </w:footnote>
  <w:footnote w:id="28">
    <w:p w14:paraId="18870BC2" w14:textId="3123C29C" w:rsidR="00C84517" w:rsidRPr="008F1A01" w:rsidRDefault="00C6264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Decreto 1512 de 2000.</w:t>
      </w:r>
      <w:r w:rsidR="00FA2035" w:rsidRPr="008F1A01">
        <w:rPr>
          <w:rFonts w:ascii="Arial" w:hAnsi="Arial" w:cs="Arial"/>
          <w:b/>
          <w:bCs/>
          <w:color w:val="333333"/>
          <w:sz w:val="19"/>
          <w:szCs w:val="19"/>
          <w:shd w:val="clear" w:color="auto" w:fill="FFFFFF"/>
        </w:rPr>
        <w:t xml:space="preserve"> </w:t>
      </w:r>
      <w:r w:rsidR="00FA2035" w:rsidRPr="008F1A01">
        <w:rPr>
          <w:rFonts w:ascii="Arial" w:hAnsi="Arial" w:cs="Arial"/>
          <w:color w:val="333333"/>
          <w:sz w:val="19"/>
          <w:szCs w:val="19"/>
          <w:shd w:val="clear" w:color="auto" w:fill="FFFFFF"/>
        </w:rPr>
        <w:t>Artículo 3º. </w:t>
      </w:r>
      <w:r w:rsidR="00FA2035" w:rsidRPr="008F1A01">
        <w:rPr>
          <w:rFonts w:ascii="Arial" w:hAnsi="Arial" w:cs="Arial"/>
          <w:i/>
          <w:iCs/>
          <w:color w:val="333333"/>
          <w:sz w:val="19"/>
          <w:szCs w:val="19"/>
          <w:shd w:val="clear" w:color="auto" w:fill="FFFFFF"/>
        </w:rPr>
        <w:t>Dirección de la Fuerza Pública</w:t>
      </w:r>
      <w:r w:rsidR="00FA2035" w:rsidRPr="008F1A01">
        <w:rPr>
          <w:rFonts w:ascii="Arial" w:hAnsi="Arial" w:cs="Arial"/>
          <w:color w:val="333333"/>
          <w:sz w:val="19"/>
          <w:szCs w:val="19"/>
          <w:shd w:val="clear" w:color="auto" w:fill="FFFFFF"/>
        </w:rPr>
        <w:t>. El Presidente de la</w:t>
      </w:r>
      <w:r w:rsidR="00C84517" w:rsidRPr="008F1A01">
        <w:rPr>
          <w:rFonts w:ascii="Arial" w:hAnsi="Arial" w:cs="Arial"/>
          <w:color w:val="333333"/>
          <w:sz w:val="19"/>
          <w:szCs w:val="19"/>
          <w:shd w:val="clear" w:color="auto" w:fill="FFFFFF"/>
        </w:rPr>
        <w:t xml:space="preserve"> </w:t>
      </w:r>
      <w:r w:rsidR="00FA2035" w:rsidRPr="008F1A01">
        <w:rPr>
          <w:rFonts w:ascii="Arial" w:hAnsi="Arial" w:cs="Arial"/>
          <w:color w:val="333333"/>
          <w:sz w:val="19"/>
          <w:szCs w:val="19"/>
          <w:shd w:val="clear" w:color="auto" w:fill="FFFFFF"/>
        </w:rPr>
        <w:t>República, de acuerdo con el numeral 3º del artículo 189 de la Constitución Nacional, es el Comandante Supremo de las Fuerzas Armadas de la República y como tal dirige la Fuerza Pública y dispone de ella, directamente o por conducto del Ministro de Defensa Nacional.</w:t>
      </w:r>
    </w:p>
  </w:footnote>
  <w:footnote w:id="29">
    <w:p w14:paraId="2EEECD0C" w14:textId="77777777" w:rsidR="00986B0B" w:rsidRPr="008F1A01" w:rsidRDefault="00986B0B"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 20 de febrero de2006. Radicación 11001-03-06-000-2006-00023-00(1724). Consejero Ponente: Flavio Augusto Rodríguez Arce.</w:t>
      </w:r>
    </w:p>
  </w:footnote>
  <w:footnote w:id="30">
    <w:p w14:paraId="1A3D1ED4" w14:textId="0FDAE1CE" w:rsidR="00986B0B" w:rsidRPr="008F1A01" w:rsidRDefault="00986B0B" w:rsidP="008F1A01">
      <w:pPr>
        <w:spacing w:after="0" w:line="240" w:lineRule="auto"/>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5D459D9" w14:textId="59F2945B" w:rsidR="00986B0B" w:rsidRPr="008F1A01" w:rsidRDefault="00986B0B" w:rsidP="008F1A01">
      <w:pPr>
        <w:spacing w:after="0" w:line="240" w:lineRule="auto"/>
        <w:ind w:firstLine="709"/>
        <w:contextualSpacing/>
        <w:jc w:val="both"/>
        <w:rPr>
          <w:rFonts w:ascii="Arial" w:hAnsi="Arial" w:cs="Arial"/>
          <w:sz w:val="19"/>
          <w:szCs w:val="19"/>
        </w:rPr>
      </w:pPr>
      <w:r w:rsidRPr="008F1A01">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8F1A01">
        <w:rPr>
          <w:rFonts w:ascii="Arial" w:hAnsi="Arial" w:cs="Arial"/>
          <w:spacing w:val="-1"/>
          <w:sz w:val="19"/>
          <w:szCs w:val="19"/>
        </w:rPr>
        <w:t xml:space="preserve"> </w:t>
      </w:r>
      <w:r w:rsidRPr="008F1A01">
        <w:rPr>
          <w:rFonts w:ascii="Arial" w:hAnsi="Arial" w:cs="Arial"/>
          <w:sz w:val="19"/>
          <w:szCs w:val="19"/>
        </w:rPr>
        <w:t>Estatales».</w:t>
      </w:r>
    </w:p>
    <w:p w14:paraId="4A32526E" w14:textId="77777777" w:rsidR="00C84517" w:rsidRPr="008F1A01" w:rsidRDefault="00C84517" w:rsidP="008F1A01">
      <w:pPr>
        <w:spacing w:after="0" w:line="240" w:lineRule="auto"/>
        <w:ind w:firstLine="709"/>
        <w:contextualSpacing/>
        <w:jc w:val="both"/>
        <w:rPr>
          <w:rFonts w:ascii="Arial" w:hAnsi="Arial" w:cs="Arial"/>
          <w:sz w:val="19"/>
          <w:szCs w:val="19"/>
        </w:rPr>
      </w:pPr>
    </w:p>
  </w:footnote>
  <w:footnote w:id="31">
    <w:p w14:paraId="672A19DF" w14:textId="43ED97D0" w:rsidR="00C84517" w:rsidRPr="008F1A01" w:rsidRDefault="00986B0B" w:rsidP="008F1A01">
      <w:pPr>
        <w:spacing w:after="0" w:line="240" w:lineRule="auto"/>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8F1A01">
        <w:rPr>
          <w:rFonts w:ascii="Arial" w:hAnsi="Arial" w:cs="Arial"/>
          <w:spacing w:val="-6"/>
          <w:sz w:val="19"/>
          <w:szCs w:val="19"/>
        </w:rPr>
        <w:t xml:space="preserve"> </w:t>
      </w:r>
      <w:r w:rsidRPr="008F1A01">
        <w:rPr>
          <w:rFonts w:ascii="Arial" w:hAnsi="Arial" w:cs="Arial"/>
          <w:sz w:val="19"/>
          <w:szCs w:val="19"/>
        </w:rPr>
        <w:t>artículo».</w:t>
      </w:r>
    </w:p>
  </w:footnote>
  <w:footnote w:id="32">
    <w:p w14:paraId="244A1E96" w14:textId="552F7F8A" w:rsidR="00986B0B" w:rsidRPr="008F1A01" w:rsidRDefault="00986B0B" w:rsidP="008F1A01">
      <w:pPr>
        <w:spacing w:after="0" w:line="240" w:lineRule="auto"/>
        <w:ind w:right="454"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position w:val="7"/>
          <w:sz w:val="19"/>
          <w:szCs w:val="19"/>
        </w:rPr>
        <w:t xml:space="preserve"> </w:t>
      </w:r>
      <w:r w:rsidRPr="008F1A01">
        <w:rPr>
          <w:rFonts w:ascii="Arial" w:hAnsi="Arial" w:cs="Arial"/>
          <w:sz w:val="19"/>
          <w:szCs w:val="19"/>
        </w:rPr>
        <w:t>Consejo de Estado. Sección Tercera. Sentencia del 23 de junio de 2010. Radicación No. 66001-23-31-000-1998-00261-01(17.860). Consejero Ponente: Mauricio Fajardo Gómez.</w:t>
      </w:r>
    </w:p>
    <w:p w14:paraId="1A3CB0D2" w14:textId="77777777" w:rsidR="00C84517" w:rsidRPr="008F1A01" w:rsidRDefault="00C84517" w:rsidP="008F1A01">
      <w:pPr>
        <w:spacing w:after="0" w:line="240" w:lineRule="auto"/>
        <w:ind w:right="454" w:firstLine="709"/>
        <w:contextualSpacing/>
        <w:jc w:val="both"/>
        <w:rPr>
          <w:rFonts w:ascii="Arial" w:hAnsi="Arial" w:cs="Arial"/>
          <w:sz w:val="19"/>
          <w:szCs w:val="19"/>
        </w:rPr>
      </w:pPr>
    </w:p>
  </w:footnote>
  <w:footnote w:id="33">
    <w:p w14:paraId="4A84177D" w14:textId="25581A0B" w:rsidR="00986B0B" w:rsidRPr="008F1A01" w:rsidRDefault="00986B0B" w:rsidP="008F1A01">
      <w:pPr>
        <w:spacing w:after="0" w:line="240" w:lineRule="auto"/>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Sección Tercera. Subsección C. Sentencia del 11 de diciembre de 2019. </w:t>
      </w:r>
      <w:proofErr w:type="spellStart"/>
      <w:r w:rsidRPr="008F1A01">
        <w:rPr>
          <w:rFonts w:ascii="Arial" w:hAnsi="Arial" w:cs="Arial"/>
          <w:sz w:val="19"/>
          <w:szCs w:val="19"/>
        </w:rPr>
        <w:t>Exp</w:t>
      </w:r>
      <w:proofErr w:type="spellEnd"/>
      <w:r w:rsidRPr="008F1A01">
        <w:rPr>
          <w:rFonts w:ascii="Arial" w:hAnsi="Arial" w:cs="Arial"/>
          <w:sz w:val="19"/>
          <w:szCs w:val="19"/>
        </w:rPr>
        <w:t>. 46.986. C.P. Jaime Enrique Rodríguez Navas.</w:t>
      </w:r>
    </w:p>
    <w:p w14:paraId="3FEBE2DA" w14:textId="77777777" w:rsidR="00C84517" w:rsidRPr="008F1A01" w:rsidRDefault="00C84517" w:rsidP="008F1A01">
      <w:pPr>
        <w:spacing w:after="0" w:line="240" w:lineRule="auto"/>
        <w:ind w:firstLine="709"/>
        <w:contextualSpacing/>
        <w:jc w:val="both"/>
        <w:rPr>
          <w:rFonts w:ascii="Arial" w:hAnsi="Arial" w:cs="Arial"/>
          <w:sz w:val="19"/>
          <w:szCs w:val="19"/>
        </w:rPr>
      </w:pPr>
    </w:p>
  </w:footnote>
  <w:footnote w:id="34">
    <w:p w14:paraId="4885FCB0" w14:textId="576A8A47"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[Referencia propia de la cita] «CE. SCSC. Concepto de 1 de noviembre de 2016 [Rad. 11001-03-06-000-2016-00125-00(2305)]. MP. Germán Alberto Bula Escobar».</w:t>
      </w:r>
    </w:p>
    <w:p w14:paraId="2D47B1C4" w14:textId="77777777" w:rsidR="00C84517" w:rsidRPr="008F1A01" w:rsidRDefault="00C84517" w:rsidP="008F1A01">
      <w:pPr>
        <w:pStyle w:val="Textonotapie"/>
        <w:ind w:firstLine="708"/>
        <w:contextualSpacing/>
        <w:jc w:val="both"/>
        <w:rPr>
          <w:rFonts w:ascii="Arial" w:hAnsi="Arial" w:cs="Arial"/>
          <w:sz w:val="19"/>
          <w:szCs w:val="19"/>
        </w:rPr>
      </w:pPr>
    </w:p>
  </w:footnote>
  <w:footnote w:id="35">
    <w:p w14:paraId="573BC374" w14:textId="327B7C3A"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8F1A01">
        <w:rPr>
          <w:rFonts w:ascii="Arial" w:hAnsi="Arial" w:cs="Arial"/>
          <w:i/>
          <w:sz w:val="19"/>
          <w:szCs w:val="19"/>
        </w:rPr>
        <w:t>“obligacional”</w:t>
      </w:r>
      <w:r w:rsidRPr="008F1A01">
        <w:rPr>
          <w:rFonts w:ascii="Arial" w:hAnsi="Arial" w:cs="Arial"/>
          <w:sz w:val="19"/>
          <w:szCs w:val="19"/>
        </w:rPr>
        <w:t xml:space="preserve"> de los convenios se estructura definiendo el resultado querido por las partes y los medios que cada entidad despliega para la obtención del respectivo objeto».</w:t>
      </w:r>
    </w:p>
    <w:p w14:paraId="4659969C" w14:textId="77777777" w:rsidR="00C84517" w:rsidRPr="008F1A01" w:rsidRDefault="00C84517" w:rsidP="008F1A01">
      <w:pPr>
        <w:pStyle w:val="Textonotapie"/>
        <w:ind w:firstLine="708"/>
        <w:contextualSpacing/>
        <w:jc w:val="both"/>
        <w:rPr>
          <w:rFonts w:ascii="Arial" w:hAnsi="Arial" w:cs="Arial"/>
          <w:sz w:val="19"/>
          <w:szCs w:val="19"/>
        </w:rPr>
      </w:pPr>
    </w:p>
  </w:footnote>
  <w:footnote w:id="36">
    <w:p w14:paraId="2AC618FA" w14:textId="75F3BAD5"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[Referencia propia de la cita] «La normativa vigente del EGCAP </w:t>
      </w:r>
      <w:r w:rsidRPr="008F1A01">
        <w:rPr>
          <w:rFonts w:ascii="Arial" w:hAnsi="Arial" w:cs="Arial"/>
          <w:i/>
          <w:sz w:val="19"/>
          <w:szCs w:val="19"/>
        </w:rPr>
        <w:t>[literal c) del numeral 4. del artículo 2 de la Ley 1150/07]</w:t>
      </w:r>
      <w:r w:rsidRPr="008F1A01">
        <w:rPr>
          <w:rFonts w:ascii="Arial" w:hAnsi="Arial" w:cs="Arial"/>
          <w:sz w:val="19"/>
          <w:szCs w:val="19"/>
        </w:rPr>
        <w:t xml:space="preserve"> se refiere a </w:t>
      </w:r>
      <w:r w:rsidRPr="008F1A01">
        <w:rPr>
          <w:rFonts w:ascii="Arial" w:hAnsi="Arial" w:cs="Arial"/>
          <w:i/>
          <w:sz w:val="19"/>
          <w:szCs w:val="19"/>
        </w:rPr>
        <w:t>“contratos interadministrativos”</w:t>
      </w:r>
      <w:r w:rsidRPr="008F1A01">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2536741" w14:textId="77777777" w:rsidR="00C84517" w:rsidRPr="008F1A01" w:rsidRDefault="00C84517" w:rsidP="008F1A01">
      <w:pPr>
        <w:pStyle w:val="Textonotapie"/>
        <w:ind w:firstLine="708"/>
        <w:contextualSpacing/>
        <w:jc w:val="both"/>
        <w:rPr>
          <w:rFonts w:ascii="Arial" w:hAnsi="Arial" w:cs="Arial"/>
          <w:sz w:val="19"/>
          <w:szCs w:val="19"/>
        </w:rPr>
      </w:pPr>
    </w:p>
  </w:footnote>
  <w:footnote w:id="37">
    <w:p w14:paraId="0CB8EE83" w14:textId="74ACF569"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8F1A01">
        <w:rPr>
          <w:rFonts w:ascii="Arial" w:hAnsi="Arial" w:cs="Arial"/>
          <w:sz w:val="19"/>
          <w:szCs w:val="19"/>
        </w:rPr>
        <w:t>Exp</w:t>
      </w:r>
      <w:proofErr w:type="spellEnd"/>
      <w:r w:rsidRPr="008F1A01">
        <w:rPr>
          <w:rFonts w:ascii="Arial" w:hAnsi="Arial" w:cs="Arial"/>
          <w:sz w:val="19"/>
          <w:szCs w:val="19"/>
        </w:rPr>
        <w:t xml:space="preserve">. 2.257. M.P. Álvaro </w:t>
      </w:r>
      <w:proofErr w:type="spellStart"/>
      <w:r w:rsidRPr="008F1A01">
        <w:rPr>
          <w:rFonts w:ascii="Arial" w:hAnsi="Arial" w:cs="Arial"/>
          <w:sz w:val="19"/>
          <w:szCs w:val="19"/>
        </w:rPr>
        <w:t>Namén</w:t>
      </w:r>
      <w:proofErr w:type="spellEnd"/>
      <w:r w:rsidRPr="008F1A01">
        <w:rPr>
          <w:rFonts w:ascii="Arial" w:hAnsi="Arial" w:cs="Arial"/>
          <w:sz w:val="19"/>
          <w:szCs w:val="19"/>
        </w:rPr>
        <w:t xml:space="preserve"> Vargas).</w:t>
      </w:r>
    </w:p>
    <w:p w14:paraId="2A4FC451" w14:textId="77777777" w:rsidR="00C84517" w:rsidRPr="008F1A01" w:rsidRDefault="00C84517" w:rsidP="008F1A01">
      <w:pPr>
        <w:pStyle w:val="Textonotapie"/>
        <w:ind w:firstLine="708"/>
        <w:contextualSpacing/>
        <w:jc w:val="both"/>
        <w:rPr>
          <w:rFonts w:ascii="Arial" w:hAnsi="Arial" w:cs="Arial"/>
          <w:sz w:val="19"/>
          <w:szCs w:val="19"/>
        </w:rPr>
      </w:pPr>
    </w:p>
  </w:footnote>
  <w:footnote w:id="38">
    <w:p w14:paraId="2DA2DA34" w14:textId="512B24FA"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Es lo que sucede, por ejemplo, con el Decreto 092 de 2017, que en su desarrollo hace referencia tanto a los «contratos» como a los «convenios». </w:t>
      </w:r>
    </w:p>
    <w:p w14:paraId="7F366495" w14:textId="77777777" w:rsidR="00C84517" w:rsidRPr="008F1A01" w:rsidRDefault="00C84517" w:rsidP="008F1A01">
      <w:pPr>
        <w:pStyle w:val="Textonotapie"/>
        <w:ind w:firstLine="708"/>
        <w:contextualSpacing/>
        <w:jc w:val="both"/>
        <w:rPr>
          <w:rFonts w:ascii="Arial" w:hAnsi="Arial" w:cs="Arial"/>
          <w:sz w:val="19"/>
          <w:szCs w:val="19"/>
        </w:rPr>
      </w:pPr>
    </w:p>
  </w:footnote>
  <w:footnote w:id="39">
    <w:p w14:paraId="5B99C2B9" w14:textId="64BD9932"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p w14:paraId="58AAF0C0" w14:textId="77777777" w:rsidR="00C84517" w:rsidRPr="008F1A01" w:rsidRDefault="00C84517" w:rsidP="008F1A01">
      <w:pPr>
        <w:pStyle w:val="Textonotapie"/>
        <w:ind w:firstLine="708"/>
        <w:contextualSpacing/>
        <w:jc w:val="both"/>
        <w:rPr>
          <w:rFonts w:ascii="Arial" w:hAnsi="Arial" w:cs="Arial"/>
          <w:sz w:val="19"/>
          <w:szCs w:val="19"/>
          <w:lang w:val="es-CO"/>
        </w:rPr>
      </w:pPr>
    </w:p>
  </w:footnote>
  <w:footnote w:id="40">
    <w:p w14:paraId="34D01823" w14:textId="30E2CA92" w:rsidR="00986B0B" w:rsidRPr="008F1A01" w:rsidRDefault="00986B0B"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p w14:paraId="07820E32" w14:textId="77777777" w:rsidR="00C84517" w:rsidRPr="008F1A01" w:rsidRDefault="00C84517" w:rsidP="008F1A01">
      <w:pPr>
        <w:pStyle w:val="Textonotapie"/>
        <w:ind w:firstLine="708"/>
        <w:contextualSpacing/>
        <w:jc w:val="both"/>
        <w:rPr>
          <w:rFonts w:ascii="Arial" w:hAnsi="Arial" w:cs="Arial"/>
          <w:sz w:val="19"/>
          <w:szCs w:val="19"/>
        </w:rPr>
      </w:pPr>
    </w:p>
  </w:footnote>
  <w:footnote w:id="41">
    <w:p w14:paraId="2E3AC3E4" w14:textId="23674EC3" w:rsidR="00986B0B" w:rsidRPr="008F1A01" w:rsidRDefault="00986B0B"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4D4543F7" w14:textId="77777777" w:rsidR="00C84517" w:rsidRPr="008F1A01" w:rsidRDefault="00C84517" w:rsidP="008F1A01">
      <w:pPr>
        <w:pStyle w:val="Textonotapie"/>
        <w:ind w:firstLine="709"/>
        <w:contextualSpacing/>
        <w:jc w:val="both"/>
        <w:rPr>
          <w:rFonts w:ascii="Arial" w:hAnsi="Arial" w:cs="Arial"/>
          <w:sz w:val="19"/>
          <w:szCs w:val="19"/>
        </w:rPr>
      </w:pPr>
    </w:p>
  </w:footnote>
  <w:footnote w:id="42">
    <w:p w14:paraId="70BD7EB6" w14:textId="77777777" w:rsidR="00A319F0" w:rsidRPr="008F1A01" w:rsidRDefault="00A319F0" w:rsidP="008F1A01">
      <w:pPr>
        <w:pStyle w:val="Textonotapie"/>
        <w:ind w:firstLine="708"/>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Publicado en: </w:t>
      </w:r>
      <w:hyperlink r:id="rId1" w:history="1">
        <w:r w:rsidRPr="008F1A01">
          <w:rPr>
            <w:rStyle w:val="Hipervnculo"/>
            <w:rFonts w:ascii="Arial" w:hAnsi="Arial" w:cs="Arial"/>
            <w:sz w:val="19"/>
            <w:szCs w:val="19"/>
          </w:rPr>
          <w:t>https://www.corteconstitucional.gov.co/comu nicados/Comunicado%20No.%2014%20-%20Mayo%2005%20de%202022.pdf</w:t>
        </w:r>
      </w:hyperlink>
      <w:r w:rsidRPr="008F1A01">
        <w:rPr>
          <w:rFonts w:ascii="Arial" w:hAnsi="Arial" w:cs="Arial"/>
          <w:sz w:val="19"/>
          <w:szCs w:val="19"/>
        </w:rPr>
        <w:t xml:space="preserve"> </w:t>
      </w:r>
    </w:p>
    <w:p w14:paraId="30B30308" w14:textId="77777777" w:rsidR="00A319F0" w:rsidRPr="008F1A01" w:rsidRDefault="00A319F0" w:rsidP="008F1A01">
      <w:pPr>
        <w:pStyle w:val="Textonotapie"/>
        <w:ind w:firstLine="708"/>
        <w:contextualSpacing/>
        <w:jc w:val="both"/>
        <w:rPr>
          <w:rFonts w:ascii="Arial" w:hAnsi="Arial" w:cs="Arial"/>
          <w:sz w:val="19"/>
          <w:szCs w:val="19"/>
          <w:lang w:val="es-CO"/>
        </w:rPr>
      </w:pPr>
    </w:p>
  </w:footnote>
  <w:footnote w:id="43">
    <w:p w14:paraId="5E880792" w14:textId="77777777" w:rsidR="00A319F0" w:rsidRPr="008F1A01" w:rsidRDefault="00A319F0" w:rsidP="008F1A01">
      <w:pPr>
        <w:pStyle w:val="Textonotapie"/>
        <w:ind w:firstLine="709"/>
        <w:contextualSpacing/>
        <w:jc w:val="both"/>
        <w:rPr>
          <w:rFonts w:ascii="Arial" w:hAnsi="Arial" w:cs="Arial"/>
          <w:sz w:val="19"/>
          <w:szCs w:val="19"/>
          <w:lang w:val="es-ES"/>
        </w:rPr>
      </w:pP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hAnsi="Arial" w:cs="Arial"/>
          <w:sz w:val="19"/>
          <w:szCs w:val="19"/>
          <w:lang w:val="es-ES"/>
        </w:rPr>
        <w:t xml:space="preserve">La </w:t>
      </w:r>
      <w:r w:rsidRPr="008F1A01">
        <w:rPr>
          <w:rFonts w:ascii="Arial" w:hAnsi="Arial" w:cs="Arial"/>
          <w:i/>
          <w:iCs/>
          <w:sz w:val="19"/>
          <w:szCs w:val="19"/>
          <w:lang w:val="es-ES"/>
        </w:rPr>
        <w:t>sustracción de materia</w:t>
      </w:r>
      <w:r w:rsidRPr="008F1A01">
        <w:rPr>
          <w:rFonts w:ascii="Arial" w:hAnsi="Arial" w:cs="Arial"/>
          <w:sz w:val="19"/>
          <w:szCs w:val="19"/>
          <w:lang w:val="es-ES"/>
        </w:rPr>
        <w:t>, según el Diccionario del Español Jurídico, es la «Desaparición de los supuestos fácticos o jurídicos que sustentan una acción jurisdiccional o administrativa», lo que impide a la autoridad pronunciarse sobre el asunto. En: https://dpej.rae.es/lema/sustracci%C3%B3n-de-materia</w:t>
      </w:r>
    </w:p>
  </w:footnote>
  <w:footnote w:id="44">
    <w:p w14:paraId="239758B0" w14:textId="77777777" w:rsidR="00A319F0" w:rsidRPr="008F1A01" w:rsidRDefault="00A319F0" w:rsidP="008F1A01">
      <w:pPr>
        <w:tabs>
          <w:tab w:val="left" w:pos="709"/>
        </w:tabs>
        <w:spacing w:after="0" w:line="240" w:lineRule="auto"/>
        <w:contextualSpacing/>
        <w:jc w:val="both"/>
        <w:rPr>
          <w:rFonts w:ascii="Arial" w:hAnsi="Arial" w:cs="Arial"/>
          <w:sz w:val="19"/>
          <w:szCs w:val="19"/>
        </w:rPr>
      </w:pPr>
      <w:r w:rsidRPr="008F1A01">
        <w:rPr>
          <w:rFonts w:ascii="Arial" w:hAnsi="Arial" w:cs="Arial"/>
          <w:sz w:val="19"/>
          <w:szCs w:val="19"/>
        </w:rPr>
        <w:tab/>
      </w:r>
    </w:p>
    <w:p w14:paraId="003219F4" w14:textId="77777777" w:rsidR="00A319F0" w:rsidRPr="008F1A01" w:rsidRDefault="00A319F0" w:rsidP="008F1A01">
      <w:pPr>
        <w:tabs>
          <w:tab w:val="left" w:pos="709"/>
        </w:tabs>
        <w:spacing w:after="0" w:line="240" w:lineRule="auto"/>
        <w:contextualSpacing/>
        <w:jc w:val="both"/>
        <w:rPr>
          <w:rFonts w:ascii="Arial" w:eastAsia="Calibri" w:hAnsi="Arial" w:cs="Arial"/>
          <w:bCs/>
          <w:sz w:val="19"/>
          <w:szCs w:val="19"/>
          <w:lang w:val="es-ES_tradnl"/>
        </w:rPr>
      </w:pPr>
      <w:r w:rsidRPr="008F1A01">
        <w:rPr>
          <w:rFonts w:ascii="Arial" w:hAnsi="Arial" w:cs="Arial"/>
          <w:sz w:val="19"/>
          <w:szCs w:val="19"/>
        </w:rPr>
        <w:tab/>
      </w:r>
      <w:r w:rsidRPr="008F1A01">
        <w:rPr>
          <w:rStyle w:val="Refdenotaalpie"/>
          <w:rFonts w:ascii="Arial" w:hAnsi="Arial" w:cs="Arial"/>
          <w:sz w:val="19"/>
          <w:szCs w:val="19"/>
        </w:rPr>
        <w:footnoteRef/>
      </w:r>
      <w:r w:rsidRPr="008F1A01">
        <w:rPr>
          <w:rFonts w:ascii="Arial" w:hAnsi="Arial" w:cs="Arial"/>
          <w:sz w:val="19"/>
          <w:szCs w:val="19"/>
        </w:rPr>
        <w:t xml:space="preserve"> </w:t>
      </w:r>
      <w:r w:rsidRPr="008F1A01">
        <w:rPr>
          <w:rFonts w:ascii="Arial" w:eastAsia="Calibri" w:hAnsi="Arial" w:cs="Arial"/>
          <w:bCs/>
          <w:sz w:val="19"/>
          <w:szCs w:val="19"/>
          <w:lang w:val="es-ES_tradnl"/>
        </w:rPr>
        <w:t xml:space="preserve">Así lo ha indicado la Corte en su jurisprudencia, al afirmar lo siguiente: «[…], en la actualidad, por regla general y salvo que se indique expresamente algo diferente en el fallo, la declaratoria de </w:t>
      </w:r>
      <w:proofErr w:type="spellStart"/>
      <w:r w:rsidRPr="008F1A01">
        <w:rPr>
          <w:rFonts w:ascii="Arial" w:eastAsia="Calibri" w:hAnsi="Arial" w:cs="Arial"/>
          <w:bCs/>
          <w:sz w:val="19"/>
          <w:szCs w:val="19"/>
          <w:lang w:val="es-ES_tradnl"/>
        </w:rPr>
        <w:t>inexequibilidad</w:t>
      </w:r>
      <w:proofErr w:type="spellEnd"/>
      <w:r w:rsidRPr="008F1A01">
        <w:rPr>
          <w:rFonts w:ascii="Arial" w:eastAsia="Calibri" w:hAnsi="Arial" w:cs="Arial"/>
          <w:bCs/>
          <w:sz w:val="19"/>
          <w:szCs w:val="19"/>
          <w:lang w:val="es-ES_tradnl"/>
        </w:rPr>
        <w:t xml:space="preserve"> de una disposición tiene efectos hacia futuro (</w:t>
      </w:r>
      <w:r w:rsidRPr="008F1A01">
        <w:rPr>
          <w:rFonts w:ascii="Arial" w:eastAsia="Calibri" w:hAnsi="Arial" w:cs="Arial"/>
          <w:bCs/>
          <w:i/>
          <w:iCs/>
          <w:sz w:val="19"/>
          <w:szCs w:val="19"/>
          <w:lang w:val="es-ES_tradnl"/>
        </w:rPr>
        <w:t>ex nunc</w:t>
      </w:r>
      <w:r w:rsidRPr="008F1A01">
        <w:rPr>
          <w:rFonts w:ascii="Arial" w:eastAsia="Calibri" w:hAnsi="Arial" w:cs="Arial"/>
          <w:bCs/>
          <w:sz w:val="19"/>
          <w:szCs w:val="19"/>
          <w:lang w:val="es-ES_tradnl"/>
        </w:rPr>
        <w:t>) y esto, según lo ha explicado esta Corte, encuentra sustento en los principios de seguridad jurídica y democrático, los cuales implican “la presunción de constitucionalidad de las normas que integran el sistema jurídico” mientras ella no sea desvirtuada por este Tribunal en una providencia con fuerza erga omnes, luego de surtirse un proceso de constitucionalidad abstracta.</w:t>
      </w:r>
    </w:p>
    <w:p w14:paraId="1D1A5A18" w14:textId="754D2C40" w:rsidR="00A319F0" w:rsidRPr="008F1A01" w:rsidRDefault="00A319F0" w:rsidP="008F1A01">
      <w:pPr>
        <w:pStyle w:val="Textonotapie"/>
        <w:ind w:firstLine="709"/>
        <w:contextualSpacing/>
        <w:jc w:val="both"/>
        <w:rPr>
          <w:rFonts w:ascii="Arial" w:hAnsi="Arial" w:cs="Arial"/>
          <w:sz w:val="19"/>
          <w:szCs w:val="19"/>
          <w:lang w:val="es-ES"/>
        </w:rPr>
      </w:pPr>
      <w:r w:rsidRPr="008F1A01">
        <w:rPr>
          <w:rFonts w:ascii="Arial" w:eastAsia="Calibri" w:hAnsi="Arial" w:cs="Arial"/>
          <w:bCs/>
          <w:sz w:val="19"/>
          <w:szCs w:val="19"/>
          <w:lang w:val="es-ES_tradnl"/>
        </w:rPr>
        <w:t xml:space="preserve">»En este orden de ideas, cuando esta Corporación declara la inconstitucionalidad de una norma sin retrotraer los efectos de su determinación, convalida de contera las situaciones jurídicas consolidadas a su amparo entre el instante en el que entró en vigencia y la fecha de la sentencia, pues las actuaciones adelantadas en ese lapso, en principio, se reputan como legítimas por haber sido ejecutadas en consonancia con el derecho positivo vigente». </w:t>
      </w:r>
      <w:r w:rsidRPr="008F1A01">
        <w:rPr>
          <w:rFonts w:ascii="Arial" w:hAnsi="Arial" w:cs="Arial"/>
          <w:sz w:val="19"/>
          <w:szCs w:val="19"/>
          <w:lang w:val="es-ES"/>
        </w:rPr>
        <w:t>Sentencia SU-037 de 2019. M.P. Luis Guillermo Guerrero Pérez.</w:t>
      </w:r>
    </w:p>
    <w:p w14:paraId="2CA78511" w14:textId="77777777" w:rsidR="00C84517" w:rsidRPr="008F1A01" w:rsidRDefault="00C84517" w:rsidP="008F1A01">
      <w:pPr>
        <w:pStyle w:val="Textonotapie"/>
        <w:ind w:firstLine="709"/>
        <w:contextualSpacing/>
        <w:jc w:val="both"/>
        <w:rPr>
          <w:rFonts w:ascii="Arial" w:hAnsi="Arial" w:cs="Arial"/>
          <w:sz w:val="19"/>
          <w:szCs w:val="19"/>
          <w:lang w:val="es-CO"/>
        </w:rPr>
      </w:pPr>
    </w:p>
  </w:footnote>
  <w:footnote w:id="45">
    <w:p w14:paraId="16FF03E5" w14:textId="77777777" w:rsidR="00A319F0" w:rsidRPr="008F1A01" w:rsidRDefault="00A319F0" w:rsidP="008F1A01">
      <w:pPr>
        <w:pStyle w:val="Textonotapie"/>
        <w:ind w:firstLine="709"/>
        <w:contextualSpacing/>
        <w:jc w:val="both"/>
        <w:rPr>
          <w:rFonts w:ascii="Arial" w:hAnsi="Arial" w:cs="Arial"/>
          <w:sz w:val="19"/>
          <w:szCs w:val="19"/>
        </w:rPr>
      </w:pPr>
      <w:r w:rsidRPr="008F1A01">
        <w:rPr>
          <w:rStyle w:val="Refdenotaalpie"/>
          <w:rFonts w:ascii="Arial" w:hAnsi="Arial" w:cs="Arial"/>
          <w:sz w:val="19"/>
          <w:szCs w:val="19"/>
        </w:rPr>
        <w:footnoteRef/>
      </w:r>
      <w:r w:rsidRPr="008F1A01">
        <w:rPr>
          <w:rFonts w:ascii="Arial" w:hAnsi="Arial" w:cs="Arial"/>
          <w:sz w:val="19"/>
          <w:szCs w:val="19"/>
        </w:rPr>
        <w:t xml:space="preserve"> La jurisprudencia constitucional indica que: «la Corte ha insistido en que la modulación de los efectos de sus sentencias, bien desde el punto de vista del contenido de su decisión, o bien desde el punto de vista de sus efectos temporales, es una tarea ineludible para asegurar la integridad del texto constitucional. Así, en lo que respecta a la fijación de los efectos temporales, es sabido que por regla general las decisiones de la Corte tienen efectos hacia futuro o ex nunc, pues, en principio, ello tributa en beneficio de los principios de seguridad jurídica y buena fe. Sin embargo, en reiteradas providencias, la Corporación ha sostenido que hay casos especiales en los que “reconocer solamente efectos hacia futuro a las sentencias de inconstitucionalidad” consolidaría situaciones jurídicas abiertamente incompatibles con la Carta Política, habida cuenta de que existen normas que, aun cuando han sido expulsadas del ordenamiento jurídico, tienen la posibilidad de surtir efectos antes de que la declaración de inconstitucionalidad se produzca.</w:t>
      </w:r>
    </w:p>
    <w:p w14:paraId="50451A65" w14:textId="31A8B3B8" w:rsidR="00A319F0" w:rsidRPr="008F1A01" w:rsidRDefault="00A319F0" w:rsidP="008F1A01">
      <w:pPr>
        <w:pStyle w:val="Textonotapie"/>
        <w:ind w:firstLine="708"/>
        <w:contextualSpacing/>
        <w:jc w:val="both"/>
        <w:rPr>
          <w:rFonts w:ascii="Arial" w:hAnsi="Arial" w:cs="Arial"/>
          <w:sz w:val="19"/>
          <w:szCs w:val="19"/>
        </w:rPr>
      </w:pPr>
      <w:r w:rsidRPr="008F1A01">
        <w:rPr>
          <w:rFonts w:ascii="Arial" w:hAnsi="Arial" w:cs="Arial"/>
          <w:sz w:val="19"/>
          <w:szCs w:val="19"/>
        </w:rPr>
        <w:t xml:space="preserve">» 8.  Bajo ese marco de referencia, “una decisión de </w:t>
      </w:r>
      <w:proofErr w:type="spellStart"/>
      <w:r w:rsidRPr="008F1A01">
        <w:rPr>
          <w:rFonts w:ascii="Arial" w:hAnsi="Arial" w:cs="Arial"/>
          <w:sz w:val="19"/>
          <w:szCs w:val="19"/>
        </w:rPr>
        <w:t>inexequibilidad</w:t>
      </w:r>
      <w:proofErr w:type="spellEnd"/>
      <w:r w:rsidRPr="008F1A01">
        <w:rPr>
          <w:rFonts w:ascii="Arial" w:hAnsi="Arial" w:cs="Arial"/>
          <w:sz w:val="19"/>
          <w:szCs w:val="19"/>
        </w:rPr>
        <w:t xml:space="preserve"> de la Corte con efectos ex </w:t>
      </w:r>
      <w:proofErr w:type="spellStart"/>
      <w:r w:rsidRPr="008F1A01">
        <w:rPr>
          <w:rFonts w:ascii="Arial" w:hAnsi="Arial" w:cs="Arial"/>
          <w:sz w:val="19"/>
          <w:szCs w:val="19"/>
        </w:rPr>
        <w:t>tunc</w:t>
      </w:r>
      <w:proofErr w:type="spellEnd"/>
      <w:r w:rsidRPr="008F1A01">
        <w:rPr>
          <w:rFonts w:ascii="Arial" w:hAnsi="Arial" w:cs="Arial"/>
          <w:sz w:val="19"/>
          <w:szCs w:val="19"/>
        </w:rPr>
        <w:t xml:space="preserve"> –desde siempre–, tiene fundamento en la exigencia de deshacer las consecuencias de normas contrarias a la Carta dentro del ordenamiento jurídico”. De ahí que la Corte justifique los efectos retroactivos a las sentencias que declaran la inconstitucionalidad de un precepto normativo en tres escenarios en particular: (i) en los casos en que, desde la entrada en vigor de la Constitución de 1991, era evidente que la disposición acusada resultaba contraria al texto superior; (</w:t>
      </w:r>
      <w:proofErr w:type="spellStart"/>
      <w:r w:rsidRPr="008F1A01">
        <w:rPr>
          <w:rFonts w:ascii="Arial" w:hAnsi="Arial" w:cs="Arial"/>
          <w:sz w:val="19"/>
          <w:szCs w:val="19"/>
        </w:rPr>
        <w:t>ii</w:t>
      </w:r>
      <w:proofErr w:type="spellEnd"/>
      <w:r w:rsidRPr="008F1A01">
        <w:rPr>
          <w:rFonts w:ascii="Arial" w:hAnsi="Arial" w:cs="Arial"/>
          <w:sz w:val="19"/>
          <w:szCs w:val="19"/>
        </w:rPr>
        <w:t>) en el evento en que los alcances retroactivos del fallo son indispensables para asegurar la protección de derechos constitucionales abiertamente desconocidos; y, (</w:t>
      </w:r>
      <w:proofErr w:type="spellStart"/>
      <w:r w:rsidRPr="008F1A01">
        <w:rPr>
          <w:rFonts w:ascii="Arial" w:hAnsi="Arial" w:cs="Arial"/>
          <w:sz w:val="19"/>
          <w:szCs w:val="19"/>
        </w:rPr>
        <w:t>iii</w:t>
      </w:r>
      <w:proofErr w:type="spellEnd"/>
      <w:r w:rsidRPr="008F1A01">
        <w:rPr>
          <w:rFonts w:ascii="Arial" w:hAnsi="Arial" w:cs="Arial"/>
          <w:sz w:val="19"/>
          <w:szCs w:val="19"/>
        </w:rPr>
        <w:t>) en aquellas circunstancias en las que el efecto retroactivo del fallo es imprescindible para sancionar una violación flagrante y deliberada de la Constitución». Sentencia C-507 de 2020. M.P. Jorge Enrique Ibáñez Najar.</w:t>
      </w:r>
    </w:p>
    <w:p w14:paraId="30036BD1" w14:textId="77777777" w:rsidR="00C84517" w:rsidRPr="008F1A01" w:rsidRDefault="00C84517" w:rsidP="008F1A01">
      <w:pPr>
        <w:pStyle w:val="Textonotapie"/>
        <w:ind w:firstLine="708"/>
        <w:contextualSpacing/>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C64C" w14:textId="77777777" w:rsidR="000A6380" w:rsidRDefault="005813C1">
    <w:pPr>
      <w:pStyle w:val="Encabezado"/>
    </w:pPr>
    <w:r>
      <w:rPr>
        <w:noProof/>
        <w:lang w:val="en-US"/>
      </w:rPr>
      <w:drawing>
        <wp:anchor distT="0" distB="0" distL="114300" distR="114300" simplePos="0" relativeHeight="251659264" behindDoc="1" locked="0" layoutInCell="1" allowOverlap="1" wp14:anchorId="2565B23B" wp14:editId="49735AD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9F"/>
    <w:rsid w:val="0000604F"/>
    <w:rsid w:val="00014F59"/>
    <w:rsid w:val="00015EE6"/>
    <w:rsid w:val="000228B6"/>
    <w:rsid w:val="00031D34"/>
    <w:rsid w:val="00052AA8"/>
    <w:rsid w:val="00056CC7"/>
    <w:rsid w:val="00083881"/>
    <w:rsid w:val="000842D9"/>
    <w:rsid w:val="00084C72"/>
    <w:rsid w:val="0009474F"/>
    <w:rsid w:val="00097070"/>
    <w:rsid w:val="000A26D3"/>
    <w:rsid w:val="000D5114"/>
    <w:rsid w:val="000E58D8"/>
    <w:rsid w:val="000F5B6F"/>
    <w:rsid w:val="001128F7"/>
    <w:rsid w:val="00114877"/>
    <w:rsid w:val="001305E0"/>
    <w:rsid w:val="00135EB3"/>
    <w:rsid w:val="00145D26"/>
    <w:rsid w:val="001466EB"/>
    <w:rsid w:val="0015311D"/>
    <w:rsid w:val="001610AF"/>
    <w:rsid w:val="00163BAF"/>
    <w:rsid w:val="00164651"/>
    <w:rsid w:val="001707D3"/>
    <w:rsid w:val="00171B70"/>
    <w:rsid w:val="00172798"/>
    <w:rsid w:val="001806AC"/>
    <w:rsid w:val="00185E5D"/>
    <w:rsid w:val="00195FFE"/>
    <w:rsid w:val="001B0DC0"/>
    <w:rsid w:val="001C0AEE"/>
    <w:rsid w:val="001C0CA6"/>
    <w:rsid w:val="001C1FD7"/>
    <w:rsid w:val="001C5626"/>
    <w:rsid w:val="001E066B"/>
    <w:rsid w:val="001E6720"/>
    <w:rsid w:val="00252013"/>
    <w:rsid w:val="002735F5"/>
    <w:rsid w:val="00285BC7"/>
    <w:rsid w:val="002A46A6"/>
    <w:rsid w:val="002B500A"/>
    <w:rsid w:val="002B69A3"/>
    <w:rsid w:val="002C7368"/>
    <w:rsid w:val="002E2979"/>
    <w:rsid w:val="002E3FA9"/>
    <w:rsid w:val="003039EA"/>
    <w:rsid w:val="00334AD6"/>
    <w:rsid w:val="00352E4B"/>
    <w:rsid w:val="003533E1"/>
    <w:rsid w:val="003616BE"/>
    <w:rsid w:val="00362C4B"/>
    <w:rsid w:val="003634FF"/>
    <w:rsid w:val="0039378B"/>
    <w:rsid w:val="003C1586"/>
    <w:rsid w:val="003D78DE"/>
    <w:rsid w:val="003F1156"/>
    <w:rsid w:val="00431784"/>
    <w:rsid w:val="00432C5F"/>
    <w:rsid w:val="00433E2B"/>
    <w:rsid w:val="00464118"/>
    <w:rsid w:val="00477E96"/>
    <w:rsid w:val="00490965"/>
    <w:rsid w:val="00491203"/>
    <w:rsid w:val="00496CC4"/>
    <w:rsid w:val="00497390"/>
    <w:rsid w:val="004A67CA"/>
    <w:rsid w:val="004B70D5"/>
    <w:rsid w:val="004C1680"/>
    <w:rsid w:val="004C3109"/>
    <w:rsid w:val="004C46C2"/>
    <w:rsid w:val="004E0B4A"/>
    <w:rsid w:val="004F4D56"/>
    <w:rsid w:val="00507128"/>
    <w:rsid w:val="0051195C"/>
    <w:rsid w:val="005162CC"/>
    <w:rsid w:val="005236CF"/>
    <w:rsid w:val="0053273D"/>
    <w:rsid w:val="0053795A"/>
    <w:rsid w:val="005467B6"/>
    <w:rsid w:val="00552D4B"/>
    <w:rsid w:val="00577D0C"/>
    <w:rsid w:val="00580AA8"/>
    <w:rsid w:val="005813C1"/>
    <w:rsid w:val="00594D9E"/>
    <w:rsid w:val="005B432A"/>
    <w:rsid w:val="005B5BA8"/>
    <w:rsid w:val="005D741B"/>
    <w:rsid w:val="005E37B1"/>
    <w:rsid w:val="005F0C45"/>
    <w:rsid w:val="005F20F9"/>
    <w:rsid w:val="006111AE"/>
    <w:rsid w:val="00625CDB"/>
    <w:rsid w:val="00630ED3"/>
    <w:rsid w:val="00640A75"/>
    <w:rsid w:val="00644F17"/>
    <w:rsid w:val="00646372"/>
    <w:rsid w:val="006548DB"/>
    <w:rsid w:val="00670763"/>
    <w:rsid w:val="00681187"/>
    <w:rsid w:val="00687539"/>
    <w:rsid w:val="006A7857"/>
    <w:rsid w:val="006E70F9"/>
    <w:rsid w:val="006E7317"/>
    <w:rsid w:val="006F5136"/>
    <w:rsid w:val="00716450"/>
    <w:rsid w:val="007207EE"/>
    <w:rsid w:val="007310E0"/>
    <w:rsid w:val="0073111B"/>
    <w:rsid w:val="00746076"/>
    <w:rsid w:val="007474D2"/>
    <w:rsid w:val="007631D6"/>
    <w:rsid w:val="00780F37"/>
    <w:rsid w:val="0078422D"/>
    <w:rsid w:val="00787542"/>
    <w:rsid w:val="007A4001"/>
    <w:rsid w:val="007C3163"/>
    <w:rsid w:val="007C7EE5"/>
    <w:rsid w:val="007D009F"/>
    <w:rsid w:val="007D1ECA"/>
    <w:rsid w:val="007D7DC7"/>
    <w:rsid w:val="007F0FEA"/>
    <w:rsid w:val="00802216"/>
    <w:rsid w:val="00810B50"/>
    <w:rsid w:val="00823AEE"/>
    <w:rsid w:val="008304F3"/>
    <w:rsid w:val="008554E6"/>
    <w:rsid w:val="008652F4"/>
    <w:rsid w:val="008771FD"/>
    <w:rsid w:val="00883A66"/>
    <w:rsid w:val="00886956"/>
    <w:rsid w:val="0089576D"/>
    <w:rsid w:val="00895D7A"/>
    <w:rsid w:val="008B46C6"/>
    <w:rsid w:val="008C2801"/>
    <w:rsid w:val="008E3418"/>
    <w:rsid w:val="008F1A01"/>
    <w:rsid w:val="00914017"/>
    <w:rsid w:val="009562DF"/>
    <w:rsid w:val="00986B0B"/>
    <w:rsid w:val="009926AF"/>
    <w:rsid w:val="009942B3"/>
    <w:rsid w:val="009B271F"/>
    <w:rsid w:val="009D4E91"/>
    <w:rsid w:val="009D70CC"/>
    <w:rsid w:val="009E4437"/>
    <w:rsid w:val="009F08D2"/>
    <w:rsid w:val="009F2C0E"/>
    <w:rsid w:val="009F4D4F"/>
    <w:rsid w:val="00A00DF0"/>
    <w:rsid w:val="00A01793"/>
    <w:rsid w:val="00A123C4"/>
    <w:rsid w:val="00A23784"/>
    <w:rsid w:val="00A319F0"/>
    <w:rsid w:val="00A46180"/>
    <w:rsid w:val="00A54BD0"/>
    <w:rsid w:val="00A62B33"/>
    <w:rsid w:val="00A672B9"/>
    <w:rsid w:val="00A71BA6"/>
    <w:rsid w:val="00A86F49"/>
    <w:rsid w:val="00AA5F75"/>
    <w:rsid w:val="00AB1B00"/>
    <w:rsid w:val="00AB4141"/>
    <w:rsid w:val="00AD0D56"/>
    <w:rsid w:val="00AD2234"/>
    <w:rsid w:val="00AD34B1"/>
    <w:rsid w:val="00AE01F0"/>
    <w:rsid w:val="00AF0C3A"/>
    <w:rsid w:val="00B005CA"/>
    <w:rsid w:val="00B069C6"/>
    <w:rsid w:val="00B22058"/>
    <w:rsid w:val="00B26387"/>
    <w:rsid w:val="00B263E3"/>
    <w:rsid w:val="00B44676"/>
    <w:rsid w:val="00B46792"/>
    <w:rsid w:val="00B64AB0"/>
    <w:rsid w:val="00B675AF"/>
    <w:rsid w:val="00B750D9"/>
    <w:rsid w:val="00B82B64"/>
    <w:rsid w:val="00BA72F3"/>
    <w:rsid w:val="00BB60BF"/>
    <w:rsid w:val="00BB6CCD"/>
    <w:rsid w:val="00BE3098"/>
    <w:rsid w:val="00BE7567"/>
    <w:rsid w:val="00C043FC"/>
    <w:rsid w:val="00C24FC3"/>
    <w:rsid w:val="00C36AC2"/>
    <w:rsid w:val="00C6264B"/>
    <w:rsid w:val="00C73F84"/>
    <w:rsid w:val="00C84204"/>
    <w:rsid w:val="00C84517"/>
    <w:rsid w:val="00C84DD5"/>
    <w:rsid w:val="00C84EDF"/>
    <w:rsid w:val="00C87BC5"/>
    <w:rsid w:val="00C96498"/>
    <w:rsid w:val="00CB0080"/>
    <w:rsid w:val="00CB5A47"/>
    <w:rsid w:val="00CC5457"/>
    <w:rsid w:val="00CE2E21"/>
    <w:rsid w:val="00CE60A6"/>
    <w:rsid w:val="00CF4058"/>
    <w:rsid w:val="00D1608B"/>
    <w:rsid w:val="00D17802"/>
    <w:rsid w:val="00D22707"/>
    <w:rsid w:val="00D231A1"/>
    <w:rsid w:val="00D26B67"/>
    <w:rsid w:val="00D472CC"/>
    <w:rsid w:val="00D47CE8"/>
    <w:rsid w:val="00D6186A"/>
    <w:rsid w:val="00D6390A"/>
    <w:rsid w:val="00E109D7"/>
    <w:rsid w:val="00E3664D"/>
    <w:rsid w:val="00E372EF"/>
    <w:rsid w:val="00E410A6"/>
    <w:rsid w:val="00E41BC4"/>
    <w:rsid w:val="00E443E5"/>
    <w:rsid w:val="00E719CB"/>
    <w:rsid w:val="00E728A6"/>
    <w:rsid w:val="00E8670D"/>
    <w:rsid w:val="00EA5429"/>
    <w:rsid w:val="00EA58E4"/>
    <w:rsid w:val="00EB188B"/>
    <w:rsid w:val="00EB1BB4"/>
    <w:rsid w:val="00EC2CEC"/>
    <w:rsid w:val="00EE4964"/>
    <w:rsid w:val="00EE5D1E"/>
    <w:rsid w:val="00EE6237"/>
    <w:rsid w:val="00F0490F"/>
    <w:rsid w:val="00F06B8E"/>
    <w:rsid w:val="00F17C15"/>
    <w:rsid w:val="00F21980"/>
    <w:rsid w:val="00F41036"/>
    <w:rsid w:val="00F42D90"/>
    <w:rsid w:val="00F43A2C"/>
    <w:rsid w:val="00F443C4"/>
    <w:rsid w:val="00F51E41"/>
    <w:rsid w:val="00F66A8F"/>
    <w:rsid w:val="00F673E4"/>
    <w:rsid w:val="00F838C9"/>
    <w:rsid w:val="00F86489"/>
    <w:rsid w:val="00F92B67"/>
    <w:rsid w:val="00FA2035"/>
    <w:rsid w:val="00FD297C"/>
    <w:rsid w:val="00FF2F6D"/>
    <w:rsid w:val="00FF7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4518"/>
  <w15:chartTrackingRefBased/>
  <w15:docId w15:val="{34E8B373-4296-4D62-A89F-F266DAA5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7D00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D009F"/>
  </w:style>
  <w:style w:type="paragraph" w:styleId="Encabezado">
    <w:name w:val="header"/>
    <w:basedOn w:val="Normal"/>
    <w:link w:val="EncabezadoCar"/>
    <w:uiPriority w:val="99"/>
    <w:semiHidden/>
    <w:unhideWhenUsed/>
    <w:rsid w:val="007D00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D009F"/>
  </w:style>
  <w:style w:type="paragraph" w:styleId="NormalWeb">
    <w:name w:val="Normal (Web)"/>
    <w:basedOn w:val="Normal"/>
    <w:uiPriority w:val="99"/>
    <w:semiHidden/>
    <w:unhideWhenUsed/>
    <w:rsid w:val="007D009F"/>
    <w:rPr>
      <w:rFonts w:ascii="Times New Roman" w:hAnsi="Times New Roman" w:cs="Times New Roman"/>
      <w:sz w:val="24"/>
      <w:szCs w:val="24"/>
    </w:rPr>
  </w:style>
  <w:style w:type="paragraph" w:styleId="Sinespaciado">
    <w:name w:val="No Spacing"/>
    <w:uiPriority w:val="1"/>
    <w:qFormat/>
    <w:rsid w:val="007D009F"/>
    <w:pPr>
      <w:spacing w:after="0" w:line="240" w:lineRule="auto"/>
    </w:pPr>
  </w:style>
  <w:style w:type="table" w:styleId="Tablaconcuadrcula">
    <w:name w:val="Table Grid"/>
    <w:basedOn w:val="Tablanormal"/>
    <w:uiPriority w:val="59"/>
    <w:rsid w:val="007D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D009F"/>
    <w:rPr>
      <w:sz w:val="20"/>
      <w:szCs w:val="20"/>
      <w:lang w:val="es-MX"/>
    </w:rPr>
  </w:style>
  <w:style w:type="paragraph" w:customStyle="1" w:styleId="Car1">
    <w:name w:val="Car1"/>
    <w:basedOn w:val="Normal"/>
    <w:next w:val="Textonotapie"/>
    <w:uiPriority w:val="99"/>
    <w:unhideWhenUsed/>
    <w:qFormat/>
    <w:rsid w:val="007D009F"/>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D009F"/>
    <w:rPr>
      <w:vertAlign w:val="superscript"/>
    </w:rPr>
  </w:style>
  <w:style w:type="paragraph" w:customStyle="1" w:styleId="Appelnotedebasde">
    <w:name w:val="Appel note de bas de..."/>
    <w:basedOn w:val="Normal"/>
    <w:link w:val="Refdenotaalpie"/>
    <w:uiPriority w:val="99"/>
    <w:rsid w:val="007D009F"/>
    <w:pPr>
      <w:spacing w:line="240" w:lineRule="exact"/>
    </w:pPr>
    <w:rPr>
      <w:vertAlign w:val="superscript"/>
    </w:rPr>
  </w:style>
  <w:style w:type="character" w:customStyle="1" w:styleId="baj">
    <w:name w:val="b_aj"/>
    <w:basedOn w:val="Fuentedeprrafopredeter"/>
    <w:rsid w:val="007D009F"/>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D009F"/>
    <w:pPr>
      <w:spacing w:after="0" w:line="240" w:lineRule="auto"/>
    </w:pPr>
    <w:rPr>
      <w:sz w:val="20"/>
      <w:szCs w:val="20"/>
      <w:lang w:val="es-MX"/>
    </w:rPr>
  </w:style>
  <w:style w:type="character" w:customStyle="1" w:styleId="TextonotapieCar1">
    <w:name w:val="Texto nota pie Car1"/>
    <w:basedOn w:val="Fuentedeprrafopredeter"/>
    <w:uiPriority w:val="99"/>
    <w:semiHidden/>
    <w:rsid w:val="007D009F"/>
    <w:rPr>
      <w:sz w:val="20"/>
      <w:szCs w:val="20"/>
    </w:rPr>
  </w:style>
  <w:style w:type="paragraph" w:styleId="Textoindependiente">
    <w:name w:val="Body Text"/>
    <w:basedOn w:val="Normal"/>
    <w:link w:val="TextoindependienteCar"/>
    <w:uiPriority w:val="99"/>
    <w:unhideWhenUsed/>
    <w:rsid w:val="00986B0B"/>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986B0B"/>
    <w:rPr>
      <w:rFonts w:eastAsiaTheme="minorEastAsia"/>
      <w:lang w:eastAsia="es-CO"/>
    </w:rPr>
  </w:style>
  <w:style w:type="character" w:styleId="Hipervnculo">
    <w:name w:val="Hyperlink"/>
    <w:basedOn w:val="Fuentedeprrafopredeter"/>
    <w:uiPriority w:val="99"/>
    <w:unhideWhenUsed/>
    <w:rsid w:val="00A319F0"/>
    <w:rPr>
      <w:color w:val="0563C1" w:themeColor="hyperlink"/>
      <w:u w:val="single"/>
    </w:rPr>
  </w:style>
  <w:style w:type="character" w:customStyle="1" w:styleId="normaltextrun">
    <w:name w:val="normaltextrun"/>
    <w:basedOn w:val="Fuentedeprrafopredeter"/>
    <w:rsid w:val="00031D34"/>
  </w:style>
  <w:style w:type="paragraph" w:customStyle="1" w:styleId="paragraph">
    <w:name w:val="paragraph"/>
    <w:basedOn w:val="Normal"/>
    <w:rsid w:val="006F51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6F5136"/>
  </w:style>
  <w:style w:type="paragraph" w:styleId="Revisin">
    <w:name w:val="Revision"/>
    <w:hidden/>
    <w:uiPriority w:val="99"/>
    <w:semiHidden/>
    <w:rsid w:val="00AD0D56"/>
    <w:pPr>
      <w:spacing w:after="0" w:line="240" w:lineRule="auto"/>
    </w:pPr>
  </w:style>
  <w:style w:type="character" w:styleId="Refdecomentario">
    <w:name w:val="annotation reference"/>
    <w:basedOn w:val="Fuentedeprrafopredeter"/>
    <w:uiPriority w:val="99"/>
    <w:semiHidden/>
    <w:unhideWhenUsed/>
    <w:rsid w:val="00E728A6"/>
    <w:rPr>
      <w:sz w:val="16"/>
      <w:szCs w:val="16"/>
    </w:rPr>
  </w:style>
  <w:style w:type="paragraph" w:styleId="Textocomentario">
    <w:name w:val="annotation text"/>
    <w:basedOn w:val="Normal"/>
    <w:link w:val="TextocomentarioCar"/>
    <w:uiPriority w:val="99"/>
    <w:semiHidden/>
    <w:unhideWhenUsed/>
    <w:rsid w:val="00E728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28A6"/>
    <w:rPr>
      <w:sz w:val="20"/>
      <w:szCs w:val="20"/>
    </w:rPr>
  </w:style>
  <w:style w:type="paragraph" w:styleId="Asuntodelcomentario">
    <w:name w:val="annotation subject"/>
    <w:basedOn w:val="Textocomentario"/>
    <w:next w:val="Textocomentario"/>
    <w:link w:val="AsuntodelcomentarioCar"/>
    <w:uiPriority w:val="99"/>
    <w:semiHidden/>
    <w:unhideWhenUsed/>
    <w:rsid w:val="00E728A6"/>
    <w:rPr>
      <w:b/>
      <w:bCs/>
    </w:rPr>
  </w:style>
  <w:style w:type="character" w:customStyle="1" w:styleId="AsuntodelcomentarioCar">
    <w:name w:val="Asunto del comentario Car"/>
    <w:basedOn w:val="TextocomentarioCar"/>
    <w:link w:val="Asuntodelcomentario"/>
    <w:uiPriority w:val="99"/>
    <w:semiHidden/>
    <w:rsid w:val="00E72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69068">
      <w:bodyDiv w:val="1"/>
      <w:marLeft w:val="0"/>
      <w:marRight w:val="0"/>
      <w:marTop w:val="0"/>
      <w:marBottom w:val="0"/>
      <w:divBdr>
        <w:top w:val="none" w:sz="0" w:space="0" w:color="auto"/>
        <w:left w:val="none" w:sz="0" w:space="0" w:color="auto"/>
        <w:bottom w:val="none" w:sz="0" w:space="0" w:color="auto"/>
        <w:right w:val="none" w:sz="0" w:space="0" w:color="auto"/>
      </w:divBdr>
      <w:divsChild>
        <w:div w:id="532424131">
          <w:marLeft w:val="0"/>
          <w:marRight w:val="0"/>
          <w:marTop w:val="0"/>
          <w:marBottom w:val="0"/>
          <w:divBdr>
            <w:top w:val="none" w:sz="0" w:space="0" w:color="auto"/>
            <w:left w:val="none" w:sz="0" w:space="0" w:color="auto"/>
            <w:bottom w:val="none" w:sz="0" w:space="0" w:color="auto"/>
            <w:right w:val="none" w:sz="0" w:space="0" w:color="auto"/>
          </w:divBdr>
        </w:div>
        <w:div w:id="74195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comu%20nicados/Comunicado%20No.%2014%20-%20Mayo%2005%20de%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CF439D-D4A2-4C58-811C-EE4171C7EE7D}">
  <ds:schemaRefs>
    <ds:schemaRef ds:uri="http://schemas.openxmlformats.org/officeDocument/2006/bibliography"/>
  </ds:schemaRefs>
</ds:datastoreItem>
</file>

<file path=customXml/itemProps2.xml><?xml version="1.0" encoding="utf-8"?>
<ds:datastoreItem xmlns:ds="http://schemas.openxmlformats.org/officeDocument/2006/customXml" ds:itemID="{2F2F3C46-E5DE-4FFE-A615-82D8C04DDCC0}"/>
</file>

<file path=customXml/itemProps3.xml><?xml version="1.0" encoding="utf-8"?>
<ds:datastoreItem xmlns:ds="http://schemas.openxmlformats.org/officeDocument/2006/customXml" ds:itemID="{A7C6AA50-096C-4E8F-B4D3-6D498E6C82AD}"/>
</file>

<file path=customXml/itemProps4.xml><?xml version="1.0" encoding="utf-8"?>
<ds:datastoreItem xmlns:ds="http://schemas.openxmlformats.org/officeDocument/2006/customXml" ds:itemID="{8373D462-21DC-4648-8A6F-70064F2317F0}"/>
</file>

<file path=docProps/app.xml><?xml version="1.0" encoding="utf-8"?>
<Properties xmlns="http://schemas.openxmlformats.org/officeDocument/2006/extended-properties" xmlns:vt="http://schemas.openxmlformats.org/officeDocument/2006/docPropsVTypes">
  <Template>Normal</Template>
  <TotalTime>4</TotalTime>
  <Pages>31</Pages>
  <Words>11920</Words>
  <Characters>65561</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5</cp:revision>
  <dcterms:created xsi:type="dcterms:W3CDTF">2022-05-26T16:31:00Z</dcterms:created>
  <dcterms:modified xsi:type="dcterms:W3CDTF">2022-05-31T22:44:00Z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26200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