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75E9D" w14:textId="77777777" w:rsidR="00893407" w:rsidRPr="0008465D" w:rsidRDefault="00893407" w:rsidP="00893407">
      <w:pPr>
        <w:jc w:val="right"/>
        <w:rPr>
          <w:rFonts w:ascii="Arial" w:hAnsi="Arial" w:cs="Arial"/>
          <w:b/>
          <w:sz w:val="16"/>
          <w:szCs w:val="16"/>
          <w:lang w:val="es-ES" w:eastAsia="es-ES"/>
        </w:rPr>
      </w:pPr>
      <w:r w:rsidRPr="0008465D">
        <w:rPr>
          <w:rFonts w:ascii="Arial" w:hAnsi="Arial" w:cs="Arial"/>
          <w:b/>
          <w:sz w:val="16"/>
          <w:szCs w:val="16"/>
          <w:lang w:val="es-ES" w:eastAsia="es-ES"/>
        </w:rPr>
        <w:t>CCE-DES-FM-17</w:t>
      </w:r>
    </w:p>
    <w:p w14:paraId="67157A49" w14:textId="77777777" w:rsidR="00893407" w:rsidRPr="00EE4549" w:rsidRDefault="00893407" w:rsidP="00893407">
      <w:pPr>
        <w:spacing w:after="120"/>
        <w:contextualSpacing/>
        <w:jc w:val="both"/>
        <w:rPr>
          <w:rFonts w:ascii="Arial" w:eastAsia="Calibri" w:hAnsi="Arial" w:cs="Arial"/>
          <w:b/>
          <w:bCs/>
          <w:color w:val="000000" w:themeColor="text1"/>
          <w:sz w:val="20"/>
          <w:szCs w:val="20"/>
          <w:lang w:val="es-ES_tradnl"/>
        </w:rPr>
      </w:pPr>
      <w:r w:rsidRPr="00EE4549">
        <w:rPr>
          <w:rFonts w:ascii="Arial" w:eastAsia="Calibri" w:hAnsi="Arial" w:cs="Arial"/>
          <w:b/>
          <w:bCs/>
          <w:color w:val="000000" w:themeColor="text1"/>
          <w:sz w:val="20"/>
          <w:szCs w:val="20"/>
          <w:lang w:val="es-ES_tradnl"/>
        </w:rPr>
        <w:t>LEY DE GARANTÍAS ELECTORALES – Finalidad</w:t>
      </w:r>
    </w:p>
    <w:p w14:paraId="3E0126C6" w14:textId="77777777" w:rsidR="00893407" w:rsidRPr="00EE4549" w:rsidRDefault="00893407" w:rsidP="00893407">
      <w:pPr>
        <w:spacing w:after="120"/>
        <w:contextualSpacing/>
        <w:jc w:val="both"/>
        <w:rPr>
          <w:rFonts w:ascii="Arial" w:eastAsia="Calibri" w:hAnsi="Arial" w:cs="Arial"/>
          <w:color w:val="000000" w:themeColor="text1"/>
          <w:sz w:val="20"/>
          <w:szCs w:val="20"/>
          <w:lang w:val="es-ES_tradnl"/>
        </w:rPr>
      </w:pPr>
    </w:p>
    <w:p w14:paraId="4D39551E" w14:textId="77777777" w:rsidR="00893407" w:rsidRPr="00EE4549" w:rsidRDefault="00893407" w:rsidP="00893407">
      <w:pPr>
        <w:tabs>
          <w:tab w:val="left" w:pos="426"/>
        </w:tabs>
        <w:spacing w:after="120"/>
        <w:jc w:val="both"/>
        <w:rPr>
          <w:rFonts w:ascii="Arial" w:hAnsi="Arial" w:cs="Arial"/>
          <w:bCs/>
          <w:color w:val="000000" w:themeColor="text1"/>
          <w:sz w:val="20"/>
          <w:szCs w:val="20"/>
          <w:lang w:eastAsia="es-CO"/>
        </w:rPr>
      </w:pPr>
      <w:r w:rsidRPr="00EE4549">
        <w:rPr>
          <w:rFonts w:ascii="Arial" w:hAnsi="Arial" w:cs="Arial"/>
          <w:bCs/>
          <w:color w:val="000000" w:themeColor="text1"/>
          <w:sz w:val="20"/>
          <w:szCs w:val="20"/>
          <w:lang w:eastAsia="es-CO"/>
        </w:rPr>
        <w:t>El ordenamiento jurídico colombiano contempla previsiones claras para evitar la obtención de beneficios personales en asuntos propios de la administración pública</w:t>
      </w:r>
      <w:r w:rsidRPr="00EE4549">
        <w:rPr>
          <w:rFonts w:ascii="Arial" w:hAnsi="Arial" w:cs="Arial"/>
          <w:bCs/>
          <w:i/>
          <w:iCs/>
          <w:color w:val="000000" w:themeColor="text1"/>
          <w:sz w:val="20"/>
          <w:szCs w:val="20"/>
          <w:lang w:eastAsia="es-CO"/>
        </w:rPr>
        <w:t xml:space="preserve">. </w:t>
      </w:r>
      <w:r w:rsidRPr="00EE4549">
        <w:rPr>
          <w:rFonts w:ascii="Arial" w:hAnsi="Arial" w:cs="Arial"/>
          <w:bCs/>
          <w:color w:val="000000" w:themeColor="text1"/>
          <w:sz w:val="20"/>
          <w:szCs w:val="20"/>
          <w:lang w:eastAsia="es-CO"/>
        </w:rPr>
        <w:t>Por ejemplo, el artículo 127 de la Constitución Política establece una prohibición contractual a los servidores públicos y en cuanto a aspectos políticos consagra restricciones a ciertos empleados del Estado, incluso en época no electoral. 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r w:rsidRPr="00EE4549">
        <w:rPr>
          <w:rFonts w:ascii="Arial" w:hAnsi="Arial" w:cs="Arial"/>
          <w:bCs/>
          <w:color w:val="000000" w:themeColor="text1"/>
          <w:sz w:val="20"/>
          <w:szCs w:val="20"/>
          <w:lang w:val="es-ES_tradnl" w:eastAsia="es-CO"/>
        </w:rPr>
        <w:t xml:space="preserve"> </w:t>
      </w:r>
      <w:r w:rsidRPr="00EE4549">
        <w:rPr>
          <w:rFonts w:ascii="Arial" w:hAnsi="Arial" w:cs="Arial"/>
          <w:bCs/>
          <w:color w:val="000000" w:themeColor="text1"/>
          <w:sz w:val="20"/>
          <w:szCs w:val="20"/>
          <w:lang w:eastAsia="es-CO"/>
        </w:rPr>
        <w:t>En armonía con lo anterior, la Corte Constitucional ha abordado la definición de la Ley de Garantías Electorales</w:t>
      </w:r>
      <w:r w:rsidRPr="00EE4549">
        <w:rPr>
          <w:rFonts w:ascii="Arial" w:hAnsi="Arial" w:cs="Arial"/>
          <w:bCs/>
          <w:color w:val="000000" w:themeColor="text1"/>
          <w:sz w:val="20"/>
          <w:szCs w:val="20"/>
          <w:lang w:val="es-ES_tradnl" w:eastAsia="es-CO"/>
        </w:rPr>
        <w:t xml:space="preserve">. </w:t>
      </w:r>
      <w:r w:rsidRPr="00EE4549">
        <w:rPr>
          <w:rFonts w:ascii="Arial" w:hAnsi="Arial" w:cs="Arial"/>
          <w:bCs/>
          <w:color w:val="000000" w:themeColor="text1"/>
          <w:sz w:val="20"/>
          <w:szCs w:val="20"/>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w:t>
      </w:r>
    </w:p>
    <w:p w14:paraId="2B833BE9" w14:textId="77777777" w:rsidR="00893407" w:rsidRPr="00EE4549" w:rsidRDefault="00893407" w:rsidP="00893407">
      <w:pPr>
        <w:tabs>
          <w:tab w:val="left" w:pos="426"/>
        </w:tabs>
        <w:jc w:val="both"/>
        <w:rPr>
          <w:rFonts w:ascii="Arial" w:eastAsia="Calibri" w:hAnsi="Arial" w:cs="Arial"/>
          <w:bCs/>
          <w:color w:val="000000" w:themeColor="text1"/>
          <w:sz w:val="20"/>
          <w:szCs w:val="20"/>
          <w:lang w:val="es-ES_tradnl"/>
        </w:rPr>
      </w:pPr>
    </w:p>
    <w:p w14:paraId="649E3594" w14:textId="77777777" w:rsidR="00893407" w:rsidRPr="00EE4549" w:rsidRDefault="00893407" w:rsidP="00893407">
      <w:pPr>
        <w:tabs>
          <w:tab w:val="left" w:pos="426"/>
        </w:tabs>
        <w:jc w:val="both"/>
        <w:rPr>
          <w:rFonts w:ascii="Arial" w:eastAsia="Calibri" w:hAnsi="Arial" w:cs="Arial"/>
          <w:b/>
          <w:bCs/>
          <w:color w:val="000000" w:themeColor="text1"/>
          <w:sz w:val="20"/>
          <w:szCs w:val="20"/>
          <w:lang w:val="es-ES_tradnl"/>
        </w:rPr>
      </w:pPr>
      <w:bookmarkStart w:id="0" w:name="_Hlk77152637"/>
      <w:bookmarkStart w:id="1" w:name="_Hlk77157066"/>
      <w:r w:rsidRPr="00EE4549">
        <w:rPr>
          <w:rFonts w:ascii="Arial" w:eastAsia="Calibri" w:hAnsi="Arial" w:cs="Arial"/>
          <w:b/>
          <w:bCs/>
          <w:color w:val="000000" w:themeColor="text1"/>
          <w:sz w:val="20"/>
          <w:szCs w:val="20"/>
          <w:lang w:val="es-ES_tradnl"/>
        </w:rPr>
        <w:t>LEY DE GARANTÍAS ELECTORALES ‒</w:t>
      </w:r>
      <w:bookmarkEnd w:id="0"/>
      <w:r w:rsidRPr="00EE4549">
        <w:rPr>
          <w:rFonts w:ascii="Arial" w:eastAsia="Calibri" w:hAnsi="Arial" w:cs="Arial"/>
          <w:b/>
          <w:bCs/>
          <w:color w:val="000000" w:themeColor="text1"/>
          <w:sz w:val="20"/>
          <w:szCs w:val="20"/>
          <w:lang w:val="es-ES_tradnl"/>
        </w:rPr>
        <w:t xml:space="preserve"> Restricciones </w:t>
      </w:r>
      <w:bookmarkStart w:id="2" w:name="_Hlk77157034"/>
      <w:r w:rsidRPr="00EE4549">
        <w:rPr>
          <w:rFonts w:ascii="Arial" w:eastAsia="Calibri" w:hAnsi="Arial" w:cs="Arial"/>
          <w:b/>
          <w:bCs/>
          <w:color w:val="000000" w:themeColor="text1"/>
          <w:sz w:val="20"/>
          <w:szCs w:val="20"/>
          <w:lang w:val="es-ES_tradnl"/>
        </w:rPr>
        <w:t xml:space="preserve">‒ </w:t>
      </w:r>
      <w:bookmarkEnd w:id="2"/>
      <w:r w:rsidRPr="00EE4549">
        <w:rPr>
          <w:rFonts w:ascii="Arial" w:eastAsia="Calibri" w:hAnsi="Arial" w:cs="Arial"/>
          <w:b/>
          <w:bCs/>
          <w:color w:val="000000" w:themeColor="text1"/>
          <w:sz w:val="20"/>
          <w:szCs w:val="20"/>
          <w:lang w:val="es-ES_tradnl"/>
        </w:rPr>
        <w:t>Contratación</w:t>
      </w:r>
      <w:bookmarkStart w:id="3" w:name="_Hlk77153098"/>
      <w:r w:rsidRPr="00EE4549">
        <w:rPr>
          <w:rFonts w:ascii="Arial" w:eastAsia="Calibri" w:hAnsi="Arial" w:cs="Arial"/>
          <w:b/>
          <w:bCs/>
          <w:color w:val="000000" w:themeColor="text1"/>
          <w:sz w:val="20"/>
          <w:szCs w:val="20"/>
          <w:lang w:val="es-ES_tradnl"/>
        </w:rPr>
        <w:t xml:space="preserve"> ‒ Tipos de elección</w:t>
      </w:r>
      <w:bookmarkEnd w:id="3"/>
      <w:r w:rsidRPr="00EE4549">
        <w:rPr>
          <w:rFonts w:ascii="Arial" w:eastAsia="Calibri" w:hAnsi="Arial" w:cs="Arial"/>
          <w:b/>
          <w:bCs/>
          <w:color w:val="000000" w:themeColor="text1"/>
          <w:sz w:val="20"/>
          <w:szCs w:val="20"/>
          <w:lang w:val="es-ES_tradnl"/>
        </w:rPr>
        <w:t xml:space="preserve"> </w:t>
      </w:r>
    </w:p>
    <w:p w14:paraId="247A6A19" w14:textId="77777777" w:rsidR="00893407" w:rsidRPr="00EE4549" w:rsidRDefault="00893407" w:rsidP="00893407">
      <w:pPr>
        <w:tabs>
          <w:tab w:val="left" w:pos="426"/>
        </w:tabs>
        <w:jc w:val="both"/>
        <w:rPr>
          <w:rFonts w:ascii="Arial" w:eastAsia="Calibri" w:hAnsi="Arial" w:cs="Arial"/>
          <w:b/>
          <w:bCs/>
          <w:color w:val="000000" w:themeColor="text1"/>
          <w:sz w:val="20"/>
          <w:szCs w:val="20"/>
          <w:lang w:val="es-ES_tradnl"/>
        </w:rPr>
      </w:pPr>
    </w:p>
    <w:p w14:paraId="07451A2D" w14:textId="77777777" w:rsidR="00893407" w:rsidRPr="00EE4549" w:rsidRDefault="00893407" w:rsidP="00893407">
      <w:pPr>
        <w:tabs>
          <w:tab w:val="left" w:pos="426"/>
        </w:tabs>
        <w:jc w:val="both"/>
        <w:rPr>
          <w:rFonts w:ascii="Arial" w:hAnsi="Arial" w:cs="Arial"/>
          <w:bCs/>
          <w:color w:val="000000" w:themeColor="text1"/>
          <w:sz w:val="20"/>
          <w:szCs w:val="20"/>
          <w:lang w:eastAsia="es-CO"/>
        </w:rPr>
      </w:pPr>
      <w:bookmarkStart w:id="4" w:name="_Hlk77165666"/>
      <w:bookmarkEnd w:id="1"/>
      <w:r w:rsidRPr="00EE4549">
        <w:rPr>
          <w:rFonts w:ascii="Arial" w:hAnsi="Arial" w:cs="Arial"/>
          <w:bCs/>
          <w:color w:val="000000" w:themeColor="text1"/>
          <w:sz w:val="20"/>
          <w:szCs w:val="20"/>
          <w:lang w:val="es-ES_tradnl" w:eastAsia="es-CO" w:bidi="es-ES"/>
        </w:rPr>
        <w:t xml:space="preserve">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 </w:t>
      </w:r>
      <w:r w:rsidRPr="00EE4549">
        <w:rPr>
          <w:rFonts w:ascii="Arial" w:hAnsi="Arial" w:cs="Arial"/>
          <w:bCs/>
          <w:color w:val="000000" w:themeColor="text1"/>
          <w:sz w:val="20"/>
          <w:szCs w:val="20"/>
          <w:lang w:eastAsia="es-CO"/>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EE4549">
        <w:rPr>
          <w:rFonts w:ascii="Arial" w:hAnsi="Arial" w:cs="Arial"/>
          <w:bCs/>
          <w:color w:val="000000" w:themeColor="text1"/>
          <w:sz w:val="20"/>
          <w:szCs w:val="20"/>
          <w:lang w:val="es-ES_tradnl" w:eastAsia="es-CO" w:bidi="es-ES"/>
        </w:rPr>
        <w:t xml:space="preserve"> </w:t>
      </w:r>
      <w:r w:rsidRPr="00EE4549">
        <w:rPr>
          <w:rFonts w:ascii="Arial" w:hAnsi="Arial" w:cs="Arial"/>
          <w:bCs/>
          <w:color w:val="000000" w:themeColor="text1"/>
          <w:sz w:val="20"/>
          <w:szCs w:val="20"/>
          <w:lang w:eastAsia="es-CO"/>
        </w:rPr>
        <w:t>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p w14:paraId="0109E2B4" w14:textId="77777777" w:rsidR="00893407" w:rsidRPr="00EE4549" w:rsidRDefault="00893407" w:rsidP="00893407">
      <w:pPr>
        <w:tabs>
          <w:tab w:val="left" w:pos="426"/>
        </w:tabs>
        <w:jc w:val="both"/>
        <w:rPr>
          <w:rFonts w:ascii="Arial" w:hAnsi="Arial" w:cs="Arial"/>
          <w:bCs/>
          <w:color w:val="000000" w:themeColor="text1"/>
          <w:sz w:val="20"/>
          <w:szCs w:val="20"/>
          <w:lang w:val="es-ES_tradnl" w:eastAsia="es-CO" w:bidi="es-ES"/>
        </w:rPr>
      </w:pPr>
    </w:p>
    <w:p w14:paraId="734AC943" w14:textId="77777777" w:rsidR="00893407" w:rsidRPr="00EE4549" w:rsidRDefault="00893407" w:rsidP="00893407">
      <w:pPr>
        <w:tabs>
          <w:tab w:val="left" w:pos="426"/>
        </w:tabs>
        <w:jc w:val="both"/>
        <w:rPr>
          <w:rFonts w:ascii="Arial" w:eastAsia="Calibri" w:hAnsi="Arial" w:cs="Arial"/>
          <w:b/>
          <w:bCs/>
          <w:sz w:val="20"/>
          <w:szCs w:val="20"/>
          <w:lang w:val="es-ES_tradnl"/>
        </w:rPr>
      </w:pPr>
      <w:r w:rsidRPr="00EE4549">
        <w:rPr>
          <w:rFonts w:ascii="Arial" w:eastAsia="Calibri" w:hAnsi="Arial" w:cs="Arial"/>
          <w:b/>
          <w:bCs/>
          <w:sz w:val="20"/>
          <w:szCs w:val="20"/>
          <w:lang w:val="es-ES_tradnl"/>
        </w:rPr>
        <w:t xml:space="preserve">LEY DE GARANTÍAS ELECTORALES ─ Prohibición artículo 33 ‒ </w:t>
      </w:r>
      <w:bookmarkEnd w:id="4"/>
      <w:r w:rsidRPr="00EE4549">
        <w:rPr>
          <w:rFonts w:ascii="Arial" w:eastAsia="Calibri" w:hAnsi="Arial" w:cs="Arial"/>
          <w:b/>
          <w:bCs/>
          <w:sz w:val="20"/>
          <w:szCs w:val="20"/>
          <w:lang w:val="es-ES_tradnl"/>
        </w:rPr>
        <w:t xml:space="preserve">Contratación directa ‒ Alcance </w:t>
      </w:r>
    </w:p>
    <w:p w14:paraId="17180030" w14:textId="77777777" w:rsidR="00893407" w:rsidRPr="00EE4549" w:rsidRDefault="00893407" w:rsidP="00893407">
      <w:pPr>
        <w:tabs>
          <w:tab w:val="left" w:pos="426"/>
        </w:tabs>
        <w:jc w:val="both"/>
        <w:rPr>
          <w:rFonts w:ascii="Arial" w:eastAsia="Calibri" w:hAnsi="Arial" w:cs="Arial"/>
          <w:noProof/>
          <w:sz w:val="20"/>
          <w:szCs w:val="20"/>
          <w:lang w:val="es-ES_tradnl"/>
        </w:rPr>
      </w:pPr>
    </w:p>
    <w:p w14:paraId="0ECBDF39" w14:textId="77777777" w:rsidR="00893407" w:rsidRPr="00EE4549" w:rsidRDefault="00893407" w:rsidP="00893407">
      <w:pPr>
        <w:jc w:val="both"/>
        <w:rPr>
          <w:rFonts w:ascii="Arial" w:hAnsi="Arial" w:cs="Arial"/>
          <w:bCs/>
          <w:sz w:val="20"/>
          <w:szCs w:val="20"/>
          <w:lang w:val="es-ES_tradnl" w:eastAsia="x-none"/>
        </w:rPr>
      </w:pPr>
      <w:r w:rsidRPr="00EE4549">
        <w:rPr>
          <w:rFonts w:ascii="Arial" w:eastAsia="Calibri" w:hAnsi="Arial" w:cs="Arial"/>
          <w:noProof/>
          <w:sz w:val="20"/>
          <w:szCs w:val="20"/>
          <w:lang w:val="es-ES_tradnl"/>
        </w:rPr>
        <w:lastRenderedPageBreak/>
        <w:t xml:space="preserve">[…] </w:t>
      </w:r>
      <w:r w:rsidRPr="00EE4549">
        <w:rPr>
          <w:rFonts w:ascii="Arial" w:hAnsi="Arial" w:cs="Arial"/>
          <w:bCs/>
          <w:sz w:val="20"/>
          <w:szCs w:val="20"/>
          <w:lang w:val="es-ES_tradnl" w:eastAsia="x-none"/>
        </w:rPr>
        <w:t>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EE4549">
        <w:rPr>
          <w:rFonts w:ascii="Arial" w:hAnsi="Arial" w:cs="Arial"/>
          <w:sz w:val="20"/>
          <w:szCs w:val="20"/>
          <w:vertAlign w:val="superscript"/>
          <w:lang w:val="es-ES_tradnl" w:eastAsia="x-none"/>
        </w:rPr>
        <w:t xml:space="preserve">. </w:t>
      </w:r>
      <w:r w:rsidRPr="00EE4549">
        <w:rPr>
          <w:rFonts w:ascii="Arial" w:hAnsi="Arial" w:cs="Arial"/>
          <w:bCs/>
          <w:sz w:val="20"/>
          <w:szCs w:val="20"/>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EE4549">
        <w:rPr>
          <w:rFonts w:ascii="Arial" w:hAnsi="Arial" w:cs="Arial"/>
          <w:sz w:val="20"/>
          <w:szCs w:val="20"/>
          <w:lang w:val="es-ES_tradnl"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3E3F4082" w14:textId="77777777" w:rsidR="00893407" w:rsidRPr="00EE4549" w:rsidRDefault="00893407" w:rsidP="00893407">
      <w:pPr>
        <w:jc w:val="both"/>
        <w:rPr>
          <w:rFonts w:ascii="Arial" w:hAnsi="Arial" w:cs="Arial"/>
          <w:b/>
          <w:bCs/>
          <w:sz w:val="20"/>
          <w:szCs w:val="20"/>
          <w:lang w:val="es-ES_tradnl" w:eastAsia="es-ES"/>
        </w:rPr>
      </w:pPr>
    </w:p>
    <w:p w14:paraId="1B9A9AEA" w14:textId="77777777" w:rsidR="00893407" w:rsidRPr="00EE4549" w:rsidRDefault="00893407" w:rsidP="00893407">
      <w:pPr>
        <w:shd w:val="clear" w:color="auto" w:fill="FFFFFF"/>
        <w:jc w:val="both"/>
        <w:rPr>
          <w:rFonts w:ascii="Arial" w:hAnsi="Arial" w:cs="Arial"/>
          <w:b/>
          <w:bCs/>
          <w:sz w:val="20"/>
          <w:szCs w:val="20"/>
          <w:lang w:val="es-ES_tradnl" w:eastAsia="es-CO"/>
        </w:rPr>
      </w:pPr>
      <w:r w:rsidRPr="00EE4549">
        <w:rPr>
          <w:rFonts w:ascii="Arial" w:hAnsi="Arial" w:cs="Arial"/>
          <w:b/>
          <w:bCs/>
          <w:sz w:val="20"/>
          <w:szCs w:val="20"/>
          <w:lang w:val="es-ES_tradnl" w:eastAsia="es-CO"/>
        </w:rPr>
        <w:t xml:space="preserve">LEY DE GARANTÍAS ELECTORALES </w:t>
      </w:r>
      <w:bookmarkStart w:id="5" w:name="_Hlk77022358"/>
      <w:r w:rsidRPr="00EE4549">
        <w:rPr>
          <w:rFonts w:ascii="Arial" w:hAnsi="Arial" w:cs="Arial"/>
          <w:b/>
          <w:bCs/>
          <w:sz w:val="20"/>
          <w:szCs w:val="20"/>
          <w:lang w:val="es-ES_tradnl" w:eastAsia="es-CO"/>
        </w:rPr>
        <w:t>‒</w:t>
      </w:r>
      <w:bookmarkEnd w:id="5"/>
      <w:r w:rsidRPr="00EE4549">
        <w:rPr>
          <w:rFonts w:ascii="Arial" w:hAnsi="Arial" w:cs="Arial"/>
          <w:b/>
          <w:bCs/>
          <w:sz w:val="20"/>
          <w:szCs w:val="20"/>
          <w:lang w:val="es-ES_tradnl" w:eastAsia="es-CO"/>
        </w:rPr>
        <w:t xml:space="preserve"> Excepciones</w:t>
      </w:r>
      <w:r w:rsidRPr="00EE4549">
        <w:rPr>
          <w:rFonts w:ascii="Arial" w:hAnsi="Arial" w:cs="Arial"/>
          <w:b/>
          <w:sz w:val="20"/>
          <w:szCs w:val="20"/>
          <w:lang w:val="es-ES_tradnl" w:eastAsia="es-CO"/>
        </w:rPr>
        <w:t xml:space="preserve"> </w:t>
      </w:r>
    </w:p>
    <w:p w14:paraId="1535B4C3" w14:textId="77777777" w:rsidR="00893407" w:rsidRPr="00EE4549" w:rsidRDefault="00893407" w:rsidP="00893407">
      <w:pPr>
        <w:shd w:val="clear" w:color="auto" w:fill="FFFFFF"/>
        <w:jc w:val="both"/>
        <w:rPr>
          <w:rFonts w:ascii="Arial" w:hAnsi="Arial" w:cs="Arial"/>
          <w:b/>
          <w:sz w:val="20"/>
          <w:szCs w:val="20"/>
          <w:lang w:val="es-ES_tradnl" w:eastAsia="es-CO"/>
        </w:rPr>
      </w:pPr>
    </w:p>
    <w:p w14:paraId="486467B1" w14:textId="77777777" w:rsidR="00893407" w:rsidRPr="00EE4549" w:rsidRDefault="00893407" w:rsidP="00893407">
      <w:pPr>
        <w:tabs>
          <w:tab w:val="left" w:pos="426"/>
        </w:tabs>
        <w:jc w:val="both"/>
        <w:rPr>
          <w:rFonts w:ascii="Arial" w:eastAsia="Calibri" w:hAnsi="Arial" w:cs="Arial"/>
          <w:sz w:val="20"/>
          <w:szCs w:val="20"/>
          <w:lang w:val="es-ES_tradnl"/>
        </w:rPr>
      </w:pPr>
      <w:r w:rsidRPr="00EE4549">
        <w:rPr>
          <w:rFonts w:ascii="Arial" w:hAnsi="Arial" w:cs="Arial"/>
          <w:sz w:val="20"/>
          <w:szCs w:val="20"/>
          <w:lang w:val="es-ES_tradnl" w:eastAsia="x-none"/>
        </w:rPr>
        <w:t xml:space="preserve">[…] </w:t>
      </w:r>
      <w:r w:rsidRPr="00EE4549">
        <w:rPr>
          <w:rFonts w:ascii="Arial" w:hAnsi="Arial" w:cs="Arial"/>
          <w:bCs/>
          <w:sz w:val="20"/>
          <w:szCs w:val="20"/>
          <w:lang w:val="es-ES_tradnl" w:eastAsia="x-none"/>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EE4549">
        <w:rPr>
          <w:rFonts w:ascii="Arial" w:hAnsi="Arial" w:cs="Arial"/>
          <w:bCs/>
          <w:sz w:val="20"/>
          <w:szCs w:val="20"/>
          <w:lang w:val="es-ES_tradnl" w:eastAsia="x-none"/>
        </w:rPr>
        <w:t>ii</w:t>
      </w:r>
      <w:proofErr w:type="spellEnd"/>
      <w:r w:rsidRPr="00EE4549">
        <w:rPr>
          <w:rFonts w:ascii="Arial" w:hAnsi="Arial" w:cs="Arial"/>
          <w:bCs/>
          <w:sz w:val="20"/>
          <w:szCs w:val="20"/>
          <w:lang w:val="es-ES_tradnl" w:eastAsia="x-none"/>
        </w:rPr>
        <w:t xml:space="preserve">) los contratos de crédito público; </w:t>
      </w:r>
      <w:proofErr w:type="spellStart"/>
      <w:r w:rsidRPr="00EE4549">
        <w:rPr>
          <w:rFonts w:ascii="Arial" w:hAnsi="Arial" w:cs="Arial"/>
          <w:bCs/>
          <w:sz w:val="20"/>
          <w:szCs w:val="20"/>
          <w:lang w:val="es-ES_tradnl" w:eastAsia="x-none"/>
        </w:rPr>
        <w:t>iii</w:t>
      </w:r>
      <w:proofErr w:type="spellEnd"/>
      <w:r w:rsidRPr="00EE4549">
        <w:rPr>
          <w:rFonts w:ascii="Arial" w:hAnsi="Arial" w:cs="Arial"/>
          <w:bCs/>
          <w:sz w:val="20"/>
          <w:szCs w:val="20"/>
          <w:lang w:val="es-ES_tradnl" w:eastAsia="x-none"/>
        </w:rPr>
        <w:t xml:space="preserve">) los requeridos para cubrir las emergencias educativas, sanitarias y desastres; </w:t>
      </w:r>
      <w:proofErr w:type="spellStart"/>
      <w:r w:rsidRPr="00EE4549">
        <w:rPr>
          <w:rFonts w:ascii="Arial" w:hAnsi="Arial" w:cs="Arial"/>
          <w:bCs/>
          <w:sz w:val="20"/>
          <w:szCs w:val="20"/>
          <w:lang w:val="es-ES_tradnl" w:eastAsia="x-none"/>
        </w:rPr>
        <w:t>iv</w:t>
      </w:r>
      <w:proofErr w:type="spellEnd"/>
      <w:r w:rsidRPr="00EE4549">
        <w:rPr>
          <w:rFonts w:ascii="Arial" w:hAnsi="Arial" w:cs="Arial"/>
          <w:bCs/>
          <w:sz w:val="20"/>
          <w:szCs w:val="20"/>
          <w:lang w:val="es-ES_tradnl"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4EEADCBF" w14:textId="77777777" w:rsidR="00893407" w:rsidRPr="00EE4549" w:rsidRDefault="00893407" w:rsidP="00893407">
      <w:pPr>
        <w:tabs>
          <w:tab w:val="left" w:pos="426"/>
        </w:tabs>
        <w:jc w:val="both"/>
        <w:rPr>
          <w:rFonts w:ascii="Arial" w:eastAsia="Calibri" w:hAnsi="Arial" w:cs="Arial"/>
          <w:noProof/>
          <w:sz w:val="20"/>
          <w:szCs w:val="20"/>
          <w:lang w:val="es-ES_tradnl"/>
        </w:rPr>
      </w:pPr>
    </w:p>
    <w:p w14:paraId="2323775C" w14:textId="77777777" w:rsidR="00893407" w:rsidRPr="00EE4549" w:rsidRDefault="00893407" w:rsidP="00893407">
      <w:pPr>
        <w:jc w:val="both"/>
        <w:rPr>
          <w:rFonts w:ascii="Arial" w:hAnsi="Arial" w:cs="Arial"/>
          <w:b/>
          <w:sz w:val="20"/>
          <w:szCs w:val="20"/>
          <w:lang w:val="es-ES_tradnl" w:eastAsia="es-CO"/>
        </w:rPr>
      </w:pPr>
      <w:r w:rsidRPr="00EE4549">
        <w:rPr>
          <w:rFonts w:ascii="Arial" w:hAnsi="Arial" w:cs="Arial"/>
          <w:b/>
          <w:bCs/>
          <w:sz w:val="20"/>
          <w:szCs w:val="20"/>
          <w:lang w:val="es-ES_tradnl" w:eastAsia="es-CO"/>
        </w:rPr>
        <w:t xml:space="preserve">LEY DE GARANTÍAS ELECTORALES </w:t>
      </w:r>
      <w:bookmarkStart w:id="6" w:name="_Hlk77166669"/>
      <w:r w:rsidRPr="00EE4549">
        <w:rPr>
          <w:rFonts w:ascii="Arial" w:hAnsi="Arial" w:cs="Arial"/>
          <w:b/>
          <w:bCs/>
          <w:sz w:val="20"/>
          <w:szCs w:val="20"/>
          <w:lang w:val="es-ES_tradnl" w:eastAsia="es-CO"/>
        </w:rPr>
        <w:t>‒</w:t>
      </w:r>
      <w:bookmarkEnd w:id="6"/>
      <w:r w:rsidRPr="00EE4549">
        <w:rPr>
          <w:rFonts w:ascii="Arial" w:hAnsi="Arial" w:cs="Arial"/>
          <w:b/>
          <w:bCs/>
          <w:sz w:val="20"/>
          <w:szCs w:val="20"/>
          <w:lang w:val="es-ES_tradnl" w:eastAsia="es-CO"/>
        </w:rPr>
        <w:t xml:space="preserve"> </w:t>
      </w:r>
      <w:r w:rsidRPr="00EE4549">
        <w:rPr>
          <w:rFonts w:ascii="Arial" w:hAnsi="Arial" w:cs="Arial"/>
          <w:b/>
          <w:sz w:val="20"/>
          <w:szCs w:val="20"/>
          <w:lang w:val="es-ES_tradnl" w:eastAsia="es-CO"/>
        </w:rPr>
        <w:t xml:space="preserve">Prohibición del artículo 33 </w:t>
      </w:r>
      <w:r w:rsidRPr="00EE4549">
        <w:rPr>
          <w:rFonts w:ascii="Arial" w:hAnsi="Arial" w:cs="Arial"/>
          <w:b/>
          <w:bCs/>
          <w:sz w:val="20"/>
          <w:szCs w:val="20"/>
          <w:lang w:val="es-ES_tradnl" w:eastAsia="es-CO"/>
        </w:rPr>
        <w:t>‒ Destinatarios</w:t>
      </w:r>
    </w:p>
    <w:p w14:paraId="22A6D473" w14:textId="77777777" w:rsidR="00893407" w:rsidRPr="00EE4549" w:rsidRDefault="00893407" w:rsidP="00893407">
      <w:pPr>
        <w:tabs>
          <w:tab w:val="left" w:pos="426"/>
        </w:tabs>
        <w:jc w:val="both"/>
        <w:rPr>
          <w:rFonts w:ascii="Arial" w:eastAsia="Calibri" w:hAnsi="Arial" w:cs="Arial"/>
          <w:noProof/>
          <w:sz w:val="20"/>
          <w:szCs w:val="20"/>
          <w:lang w:val="es-ES_tradnl"/>
        </w:rPr>
      </w:pPr>
    </w:p>
    <w:p w14:paraId="7530F2F3" w14:textId="77777777" w:rsidR="00893407" w:rsidRPr="00EE4549" w:rsidRDefault="00893407" w:rsidP="00893407">
      <w:pPr>
        <w:tabs>
          <w:tab w:val="left" w:pos="426"/>
        </w:tabs>
        <w:jc w:val="both"/>
        <w:rPr>
          <w:rFonts w:ascii="Arial" w:hAnsi="Arial" w:cs="Arial"/>
          <w:bCs/>
          <w:sz w:val="20"/>
          <w:szCs w:val="20"/>
          <w:lang w:val="es-ES_tradnl" w:eastAsia="x-none"/>
        </w:rPr>
      </w:pPr>
      <w:r w:rsidRPr="00EE4549">
        <w:rPr>
          <w:rFonts w:ascii="Arial" w:hAnsi="Arial" w:cs="Arial"/>
          <w:bCs/>
          <w:sz w:val="20"/>
          <w:szCs w:val="20"/>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EE4549">
        <w:rPr>
          <w:rFonts w:ascii="Arial" w:eastAsia="Calibri" w:hAnsi="Arial" w:cs="Arial"/>
          <w:sz w:val="20"/>
          <w:szCs w:val="20"/>
          <w:lang w:val="es-ES_tradnl"/>
        </w:rPr>
        <w:t xml:space="preserve"> </w:t>
      </w:r>
      <w:r w:rsidRPr="00EE4549">
        <w:rPr>
          <w:rFonts w:ascii="Arial" w:hAnsi="Arial" w:cs="Arial"/>
          <w:bCs/>
          <w:sz w:val="20"/>
          <w:szCs w:val="20"/>
          <w:lang w:val="es-ES_tradnl" w:eastAsia="x-none"/>
        </w:rPr>
        <w:t>En efecto, tal como lo ha sostenido el Consejo de Estado, el vocablo «todos» utilizado por el legislador comprende</w:t>
      </w:r>
      <w:r w:rsidRPr="00EE4549">
        <w:rPr>
          <w:rFonts w:ascii="Arial" w:eastAsia="Calibri" w:hAnsi="Arial" w:cs="Arial"/>
          <w:sz w:val="20"/>
          <w:szCs w:val="20"/>
          <w:lang w:val="es-ES_tradnl"/>
        </w:rPr>
        <w:t xml:space="preserve"> </w:t>
      </w:r>
      <w:r w:rsidRPr="00EE4549">
        <w:rPr>
          <w:rFonts w:ascii="Arial" w:hAnsi="Arial" w:cs="Arial"/>
          <w:bCs/>
          <w:sz w:val="20"/>
          <w:szCs w:val="20"/>
          <w:lang w:val="es-ES_tradnl"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71E556CD" w14:textId="77777777" w:rsidR="00893407" w:rsidRPr="00EE4549" w:rsidRDefault="00893407" w:rsidP="00893407">
      <w:pPr>
        <w:widowControl w:val="0"/>
        <w:autoSpaceDE w:val="0"/>
        <w:autoSpaceDN w:val="0"/>
        <w:jc w:val="both"/>
        <w:rPr>
          <w:rFonts w:ascii="Arial" w:eastAsia="Arial" w:hAnsi="Arial" w:cs="Arial"/>
          <w:color w:val="000000" w:themeColor="text1"/>
          <w:sz w:val="20"/>
          <w:szCs w:val="20"/>
          <w:lang w:val="es-ES_tradnl" w:eastAsia="es-ES" w:bidi="es-ES"/>
        </w:rPr>
      </w:pPr>
    </w:p>
    <w:p w14:paraId="063FE080" w14:textId="77777777" w:rsidR="00893407" w:rsidRPr="00EE4549" w:rsidRDefault="00893407" w:rsidP="00893407">
      <w:pPr>
        <w:tabs>
          <w:tab w:val="left" w:pos="3374"/>
        </w:tabs>
        <w:jc w:val="both"/>
        <w:rPr>
          <w:rFonts w:ascii="Arial" w:eastAsia="Calibri" w:hAnsi="Arial" w:cs="Arial"/>
          <w:b/>
          <w:bCs/>
          <w:sz w:val="20"/>
          <w:szCs w:val="20"/>
        </w:rPr>
      </w:pPr>
      <w:r w:rsidRPr="00EE4549">
        <w:rPr>
          <w:rFonts w:ascii="Arial" w:eastAsia="Calibri" w:hAnsi="Arial" w:cs="Arial"/>
          <w:b/>
          <w:color w:val="000000" w:themeColor="text1"/>
          <w:sz w:val="20"/>
          <w:szCs w:val="20"/>
        </w:rPr>
        <w:t xml:space="preserve">ORGANISMOS INTERNACIONALES – </w:t>
      </w:r>
      <w:r w:rsidRPr="00EE4549">
        <w:rPr>
          <w:rFonts w:ascii="Arial" w:eastAsia="Calibri" w:hAnsi="Arial" w:cs="Arial"/>
          <w:b/>
          <w:bCs/>
          <w:sz w:val="20"/>
          <w:szCs w:val="20"/>
        </w:rPr>
        <w:t xml:space="preserve">Régimen de contratación </w:t>
      </w:r>
    </w:p>
    <w:p w14:paraId="5B9442E0" w14:textId="77777777" w:rsidR="00893407" w:rsidRPr="00EE4549" w:rsidRDefault="00893407" w:rsidP="00893407">
      <w:pPr>
        <w:jc w:val="both"/>
        <w:rPr>
          <w:rFonts w:ascii="Arial" w:eastAsia="Calibri" w:hAnsi="Arial" w:cs="Arial"/>
          <w:color w:val="000000" w:themeColor="text1"/>
          <w:sz w:val="20"/>
          <w:szCs w:val="20"/>
        </w:rPr>
      </w:pPr>
    </w:p>
    <w:p w14:paraId="61D663F0" w14:textId="77777777" w:rsidR="00893407" w:rsidRPr="00EE4549" w:rsidRDefault="00893407" w:rsidP="00893407">
      <w:pPr>
        <w:jc w:val="both"/>
        <w:rPr>
          <w:rFonts w:ascii="Arial" w:hAnsi="Arial" w:cs="Arial"/>
          <w:bCs/>
          <w:sz w:val="20"/>
          <w:szCs w:val="20"/>
          <w:lang w:eastAsia="x-none"/>
        </w:rPr>
      </w:pPr>
      <w:r w:rsidRPr="00EE4549">
        <w:rPr>
          <w:rFonts w:ascii="Arial" w:hAnsi="Arial" w:cs="Arial"/>
          <w:bCs/>
          <w:sz w:val="20"/>
          <w:szCs w:val="20"/>
          <w:lang w:val="es-ES" w:eastAsia="x-none"/>
        </w:rPr>
        <w:t>Existen dos grupos de supuestos en el artículo 20 de la Ley 1150 de 2007, bajo los cuales es posible someter el régimen contractual aplicable a los reglamentos de los organismos internacionales: el primer grupo, regulado en el inciso primero, donde dicha posibilidad se condiciona a que los contratos o convenios  se financien en el 50% o más con fondos de dichos organismos de cooperación, asistencia o ayudas internacionales y, el segundo grupo, regulado en el inciso segundo, donde dicha posibilidad se condiciona a que se configure alguno de los 6 supuestos enlistados atrás, sin que resulte exigible algún porcentaje de incorporación de recursos. En todo caso, frente a ambos grupos, la aplicación de los reglamentos de tales entidades internacionales es una posibilidad por la que pueden optar o no las partes; es decir, configurados los requisitos indicados, las partes pueden decidir si someten los contratos a los reglamentos de las entidades internacionales o si se rigen por el Estatuto General de Contratación de la Administración Pública</w:t>
      </w:r>
      <w:r w:rsidRPr="00EE4549">
        <w:rPr>
          <w:rFonts w:ascii="Arial" w:hAnsi="Arial" w:cs="Arial"/>
          <w:bCs/>
          <w:sz w:val="20"/>
          <w:szCs w:val="20"/>
          <w:lang w:val="es-ES_tradnl" w:eastAsia="x-none"/>
        </w:rPr>
        <w:t xml:space="preserve">. </w:t>
      </w:r>
    </w:p>
    <w:p w14:paraId="78C4E2D9" w14:textId="77777777" w:rsidR="00893407" w:rsidRPr="00EE4549" w:rsidRDefault="00893407" w:rsidP="00893407">
      <w:pPr>
        <w:tabs>
          <w:tab w:val="left" w:pos="3374"/>
        </w:tabs>
        <w:jc w:val="both"/>
        <w:rPr>
          <w:rFonts w:ascii="Arial" w:eastAsia="Calibri" w:hAnsi="Arial" w:cs="Arial"/>
          <w:sz w:val="20"/>
          <w:szCs w:val="20"/>
        </w:rPr>
      </w:pPr>
    </w:p>
    <w:p w14:paraId="343F97EB" w14:textId="77777777" w:rsidR="00893407" w:rsidRPr="00EE4549" w:rsidRDefault="00893407" w:rsidP="00893407">
      <w:pPr>
        <w:tabs>
          <w:tab w:val="left" w:pos="3374"/>
        </w:tabs>
        <w:jc w:val="both"/>
        <w:rPr>
          <w:rFonts w:ascii="Arial" w:eastAsia="Calibri" w:hAnsi="Arial" w:cs="Arial"/>
          <w:b/>
          <w:bCs/>
          <w:sz w:val="20"/>
          <w:szCs w:val="20"/>
        </w:rPr>
      </w:pPr>
      <w:r w:rsidRPr="00EE4549">
        <w:rPr>
          <w:rFonts w:ascii="Arial" w:eastAsia="Calibri" w:hAnsi="Arial" w:cs="Arial"/>
          <w:b/>
          <w:bCs/>
          <w:sz w:val="20"/>
          <w:szCs w:val="20"/>
        </w:rPr>
        <w:t>ORGANISMOS INTERNACIONALES – Ley de Garantías Electorales – Restricción – Contratación Directa – Artículo 33 – Alcance – Unificación de criterios</w:t>
      </w:r>
    </w:p>
    <w:p w14:paraId="06B3DA3B" w14:textId="77777777" w:rsidR="00893407" w:rsidRPr="00EE4549" w:rsidRDefault="00893407" w:rsidP="00893407">
      <w:pPr>
        <w:tabs>
          <w:tab w:val="left" w:pos="3374"/>
        </w:tabs>
        <w:jc w:val="both"/>
        <w:rPr>
          <w:rFonts w:ascii="Arial" w:eastAsia="Calibri" w:hAnsi="Arial" w:cs="Arial"/>
          <w:b/>
          <w:bCs/>
          <w:sz w:val="20"/>
          <w:szCs w:val="20"/>
        </w:rPr>
      </w:pPr>
    </w:p>
    <w:p w14:paraId="3CC7C454" w14:textId="77777777" w:rsidR="00893407" w:rsidRPr="00EE4549" w:rsidRDefault="00893407" w:rsidP="00893407">
      <w:pPr>
        <w:jc w:val="both"/>
        <w:rPr>
          <w:rFonts w:ascii="Arial" w:hAnsi="Arial" w:cs="Arial"/>
          <w:bCs/>
          <w:sz w:val="20"/>
          <w:szCs w:val="20"/>
          <w:lang w:val="es-ES" w:eastAsia="x-none"/>
        </w:rPr>
      </w:pPr>
      <w:r w:rsidRPr="00EE4549">
        <w:rPr>
          <w:rFonts w:ascii="Arial" w:hAnsi="Arial" w:cs="Arial"/>
          <w:bCs/>
          <w:sz w:val="20"/>
          <w:szCs w:val="20"/>
          <w:lang w:val="es-ES" w:eastAsia="x-none"/>
        </w:rPr>
        <w:t>La definición del alcance en que operará la variación del régimen normativo en relación con la actividad contractual es determinante para establecer si la restricción consagrada en el artículo 33 de la Ley de Garantías Electorales resulta aplicable o no. Si las partes, habilitadas para hacerlo, optan por aplicar de manera completa y absoluta la normativa contenida en los reglamentos del organismo o sujeto internacional, y si esta normativa consagra disposiciones relacionadas con la oportunidad, tiempos, fases, etapas etc. de los procedimientos de selección, entonces, serán dichas previsiones las que regirán el convenio y la contratación respectiva (bien sean contratos, donaciones, asistencias técnicas y sus derivados) y, por ende, la norma del artículo 33 no será derecho aplicable a la misma. Por el contrario, si las partes no optan por aplicar el reglamento (normativa extranjera) de tales organismos y sujetos internacionales en aspectos que atañen al acuerdo o convenio y el procedimiento para su desarrollo en la selección de contratistas, el artículo 33 de la Ley de Garantías sí será aplicable a la correspondiente contratación. Lo mismo sucederá cuando, por ejemplo, pese a que las partes convengan una variación normativa absoluta hacia el derecho extranjero, pero las disposiciones del reglamento del organismo internacional dejan al derecho nacional la regulación del acuerdo o convenio y los procedimientos de selección, será aplicable la prohibición contenida en el artículo 33 citado</w:t>
      </w:r>
      <w:r w:rsidRPr="00EE4549">
        <w:rPr>
          <w:rFonts w:ascii="Arial" w:hAnsi="Arial" w:cs="Arial"/>
          <w:bCs/>
          <w:sz w:val="20"/>
          <w:szCs w:val="20"/>
          <w:lang w:eastAsia="x-none"/>
        </w:rPr>
        <w:t>.</w:t>
      </w:r>
    </w:p>
    <w:p w14:paraId="56C39B83" w14:textId="77777777" w:rsidR="00893407" w:rsidRPr="00EE4549" w:rsidRDefault="00893407" w:rsidP="00893407">
      <w:pPr>
        <w:rPr>
          <w:rFonts w:ascii="Arial" w:eastAsia="Calibri" w:hAnsi="Arial" w:cs="Arial"/>
          <w:b/>
          <w:bCs/>
          <w:sz w:val="20"/>
          <w:szCs w:val="20"/>
        </w:rPr>
      </w:pPr>
    </w:p>
    <w:p w14:paraId="2931D7FE" w14:textId="77777777" w:rsidR="00893407" w:rsidRDefault="00893407" w:rsidP="00893407">
      <w:pPr>
        <w:rPr>
          <w:rFonts w:ascii="Arial" w:eastAsia="Calibri" w:hAnsi="Arial" w:cs="Arial"/>
          <w:b/>
          <w:bCs/>
          <w:sz w:val="22"/>
        </w:rPr>
      </w:pPr>
    </w:p>
    <w:p w14:paraId="7837F839" w14:textId="77777777" w:rsidR="00893407" w:rsidRDefault="00893407" w:rsidP="00893407">
      <w:pPr>
        <w:rPr>
          <w:rFonts w:ascii="Arial" w:eastAsia="Calibri" w:hAnsi="Arial" w:cs="Arial"/>
          <w:b/>
          <w:bCs/>
          <w:sz w:val="22"/>
        </w:rPr>
      </w:pPr>
    </w:p>
    <w:p w14:paraId="163A9174" w14:textId="77777777" w:rsidR="00893407" w:rsidRDefault="00893407" w:rsidP="00893407">
      <w:pPr>
        <w:rPr>
          <w:rFonts w:ascii="Arial" w:eastAsia="Calibri" w:hAnsi="Arial" w:cs="Arial"/>
          <w:b/>
          <w:bCs/>
          <w:sz w:val="22"/>
        </w:rPr>
      </w:pPr>
    </w:p>
    <w:p w14:paraId="5FEAD499" w14:textId="77777777" w:rsidR="00893407" w:rsidRDefault="00893407" w:rsidP="00893407">
      <w:pPr>
        <w:rPr>
          <w:rFonts w:ascii="Arial" w:eastAsia="Calibri" w:hAnsi="Arial" w:cs="Arial"/>
          <w:b/>
          <w:bCs/>
          <w:sz w:val="22"/>
        </w:rPr>
      </w:pPr>
    </w:p>
    <w:p w14:paraId="4EEADA08" w14:textId="77777777" w:rsidR="00893407" w:rsidRDefault="00893407" w:rsidP="00893407">
      <w:pPr>
        <w:rPr>
          <w:rFonts w:ascii="Arial" w:eastAsia="Calibri" w:hAnsi="Arial" w:cs="Arial"/>
          <w:b/>
          <w:bCs/>
          <w:sz w:val="22"/>
        </w:rPr>
      </w:pPr>
    </w:p>
    <w:p w14:paraId="22BB46B1" w14:textId="77777777" w:rsidR="00893407" w:rsidRDefault="00893407" w:rsidP="00893407">
      <w:pPr>
        <w:rPr>
          <w:rFonts w:ascii="Arial" w:eastAsia="Calibri" w:hAnsi="Arial" w:cs="Arial"/>
          <w:b/>
          <w:bCs/>
          <w:sz w:val="22"/>
        </w:rPr>
      </w:pPr>
    </w:p>
    <w:p w14:paraId="0593A95B" w14:textId="77777777" w:rsidR="00893407" w:rsidRDefault="00893407" w:rsidP="00893407">
      <w:pPr>
        <w:rPr>
          <w:rFonts w:ascii="Arial" w:eastAsia="Calibri" w:hAnsi="Arial" w:cs="Arial"/>
          <w:b/>
          <w:bCs/>
          <w:sz w:val="22"/>
        </w:rPr>
      </w:pPr>
    </w:p>
    <w:p w14:paraId="0CD4AC41" w14:textId="77777777" w:rsidR="00893407" w:rsidRDefault="00893407" w:rsidP="00893407">
      <w:pPr>
        <w:rPr>
          <w:rFonts w:ascii="Arial" w:eastAsia="Calibri" w:hAnsi="Arial" w:cs="Arial"/>
          <w:b/>
          <w:bCs/>
          <w:sz w:val="22"/>
        </w:rPr>
      </w:pPr>
    </w:p>
    <w:p w14:paraId="55E0E2D3" w14:textId="77777777" w:rsidR="00893407" w:rsidRDefault="00893407" w:rsidP="00893407">
      <w:pPr>
        <w:rPr>
          <w:rFonts w:ascii="Arial" w:eastAsia="Calibri" w:hAnsi="Arial" w:cs="Arial"/>
          <w:b/>
          <w:bCs/>
          <w:sz w:val="22"/>
        </w:rPr>
      </w:pPr>
    </w:p>
    <w:p w14:paraId="2F6A8EBF" w14:textId="77777777" w:rsidR="00893407" w:rsidRDefault="00893407" w:rsidP="00893407">
      <w:pPr>
        <w:rPr>
          <w:rFonts w:ascii="Arial" w:eastAsia="Calibri" w:hAnsi="Arial" w:cs="Arial"/>
          <w:sz w:val="22"/>
          <w:szCs w:val="22"/>
          <w:lang w:val="es-ES"/>
        </w:rPr>
      </w:pPr>
    </w:p>
    <w:p w14:paraId="25F303EA" w14:textId="77777777" w:rsidR="00893407" w:rsidRDefault="00893407" w:rsidP="00893407">
      <w:pPr>
        <w:rPr>
          <w:rFonts w:ascii="Arial" w:eastAsia="Calibri" w:hAnsi="Arial" w:cs="Arial"/>
          <w:sz w:val="22"/>
          <w:szCs w:val="22"/>
          <w:lang w:val="es-ES"/>
        </w:rPr>
      </w:pPr>
    </w:p>
    <w:p w14:paraId="76E9E944" w14:textId="77777777" w:rsidR="00893407" w:rsidRDefault="00893407" w:rsidP="00893407">
      <w:pPr>
        <w:rPr>
          <w:rFonts w:ascii="Arial" w:eastAsia="Calibri" w:hAnsi="Arial" w:cs="Arial"/>
          <w:sz w:val="22"/>
          <w:szCs w:val="22"/>
          <w:lang w:val="es-ES"/>
        </w:rPr>
      </w:pPr>
    </w:p>
    <w:p w14:paraId="06A6DDED" w14:textId="77777777" w:rsidR="00893407" w:rsidRDefault="00893407" w:rsidP="00893407">
      <w:pPr>
        <w:rPr>
          <w:rFonts w:ascii="Arial" w:eastAsia="Calibri" w:hAnsi="Arial" w:cs="Arial"/>
          <w:sz w:val="22"/>
          <w:szCs w:val="22"/>
          <w:lang w:val="es-ES"/>
        </w:rPr>
      </w:pPr>
    </w:p>
    <w:p w14:paraId="4A9C8944" w14:textId="77777777" w:rsidR="00893407" w:rsidRDefault="00893407" w:rsidP="00893407">
      <w:pPr>
        <w:rPr>
          <w:rFonts w:ascii="Arial" w:eastAsia="Calibri" w:hAnsi="Arial" w:cs="Arial"/>
          <w:sz w:val="22"/>
          <w:szCs w:val="22"/>
          <w:lang w:val="es-ES"/>
        </w:rPr>
      </w:pPr>
    </w:p>
    <w:p w14:paraId="724ACA12" w14:textId="77777777" w:rsidR="00893407" w:rsidRDefault="00893407" w:rsidP="00893407">
      <w:pPr>
        <w:rPr>
          <w:rFonts w:ascii="Arial" w:eastAsia="Calibri" w:hAnsi="Arial" w:cs="Arial"/>
          <w:sz w:val="22"/>
          <w:szCs w:val="22"/>
          <w:lang w:val="es-ES"/>
        </w:rPr>
      </w:pPr>
    </w:p>
    <w:p w14:paraId="3A37029C" w14:textId="77777777" w:rsidR="00893407" w:rsidRDefault="00893407" w:rsidP="00893407">
      <w:pPr>
        <w:rPr>
          <w:rFonts w:ascii="Arial" w:eastAsia="Calibri" w:hAnsi="Arial" w:cs="Arial"/>
          <w:sz w:val="22"/>
          <w:szCs w:val="22"/>
          <w:lang w:val="es-ES"/>
        </w:rPr>
      </w:pPr>
    </w:p>
    <w:p w14:paraId="6B6BEE11" w14:textId="77777777" w:rsidR="00893407" w:rsidRDefault="00893407" w:rsidP="00893407">
      <w:pPr>
        <w:rPr>
          <w:rFonts w:ascii="Arial" w:eastAsia="Calibri" w:hAnsi="Arial" w:cs="Arial"/>
          <w:sz w:val="22"/>
          <w:szCs w:val="22"/>
          <w:lang w:val="es-ES"/>
        </w:rPr>
      </w:pPr>
    </w:p>
    <w:p w14:paraId="2698E263" w14:textId="77777777" w:rsidR="00893407" w:rsidRDefault="00893407" w:rsidP="00893407">
      <w:pPr>
        <w:rPr>
          <w:rFonts w:ascii="Arial" w:eastAsia="Calibri" w:hAnsi="Arial" w:cs="Arial"/>
          <w:sz w:val="22"/>
          <w:szCs w:val="22"/>
          <w:lang w:val="es-ES"/>
        </w:rPr>
      </w:pPr>
    </w:p>
    <w:p w14:paraId="5231AC22" w14:textId="77777777" w:rsidR="00893407" w:rsidRDefault="00893407" w:rsidP="00893407">
      <w:pPr>
        <w:rPr>
          <w:rFonts w:ascii="Arial" w:eastAsia="Calibri" w:hAnsi="Arial" w:cs="Arial"/>
          <w:sz w:val="22"/>
          <w:szCs w:val="22"/>
          <w:lang w:val="es-ES"/>
        </w:rPr>
      </w:pPr>
    </w:p>
    <w:p w14:paraId="56A568B8" w14:textId="77777777" w:rsidR="00893407" w:rsidRDefault="00893407" w:rsidP="00893407">
      <w:pPr>
        <w:rPr>
          <w:rFonts w:ascii="Arial" w:eastAsia="Calibri" w:hAnsi="Arial" w:cs="Arial"/>
          <w:sz w:val="22"/>
          <w:szCs w:val="22"/>
          <w:lang w:val="es-ES"/>
        </w:rPr>
      </w:pPr>
    </w:p>
    <w:p w14:paraId="22AF48EA" w14:textId="77777777" w:rsidR="00893407" w:rsidRDefault="00893407" w:rsidP="00893407">
      <w:pPr>
        <w:rPr>
          <w:rFonts w:ascii="Arial" w:eastAsia="Calibri" w:hAnsi="Arial" w:cs="Arial"/>
          <w:sz w:val="22"/>
          <w:szCs w:val="22"/>
          <w:lang w:val="es-ES"/>
        </w:rPr>
      </w:pPr>
    </w:p>
    <w:p w14:paraId="398D0C54" w14:textId="77777777" w:rsidR="00893407" w:rsidRDefault="00893407" w:rsidP="00893407">
      <w:pPr>
        <w:rPr>
          <w:rFonts w:ascii="Arial" w:eastAsia="Calibri" w:hAnsi="Arial" w:cs="Arial"/>
          <w:sz w:val="22"/>
          <w:szCs w:val="22"/>
          <w:lang w:val="es-ES"/>
        </w:rPr>
      </w:pPr>
    </w:p>
    <w:p w14:paraId="731ECBC1" w14:textId="77777777" w:rsidR="00893407" w:rsidRDefault="00893407" w:rsidP="00893407">
      <w:pPr>
        <w:rPr>
          <w:rFonts w:ascii="Arial" w:eastAsia="Calibri" w:hAnsi="Arial" w:cs="Arial"/>
          <w:sz w:val="22"/>
          <w:szCs w:val="22"/>
          <w:lang w:val="es-ES"/>
        </w:rPr>
      </w:pPr>
    </w:p>
    <w:p w14:paraId="7F7B91C3" w14:textId="77777777" w:rsidR="00893407" w:rsidRDefault="00893407" w:rsidP="00893407">
      <w:pPr>
        <w:rPr>
          <w:rFonts w:ascii="Arial" w:eastAsia="Calibri" w:hAnsi="Arial" w:cs="Arial"/>
          <w:sz w:val="22"/>
          <w:szCs w:val="22"/>
          <w:lang w:val="es-ES"/>
        </w:rPr>
      </w:pPr>
    </w:p>
    <w:p w14:paraId="4293E059" w14:textId="77777777" w:rsidR="00893407" w:rsidRDefault="00893407" w:rsidP="00893407">
      <w:pPr>
        <w:rPr>
          <w:rFonts w:ascii="Arial" w:eastAsia="Calibri" w:hAnsi="Arial" w:cs="Arial"/>
          <w:sz w:val="22"/>
          <w:szCs w:val="22"/>
          <w:lang w:val="es-ES"/>
        </w:rPr>
      </w:pPr>
    </w:p>
    <w:p w14:paraId="3E128F92" w14:textId="77777777" w:rsidR="00893407" w:rsidRDefault="00893407" w:rsidP="00893407"/>
    <w:p w14:paraId="691ABAB0" w14:textId="77777777" w:rsidR="00893407" w:rsidRDefault="00893407" w:rsidP="00893407">
      <w:pPr>
        <w:rPr>
          <w:rFonts w:ascii="Arial" w:eastAsia="Calibri" w:hAnsi="Arial" w:cs="Arial"/>
          <w:sz w:val="22"/>
          <w:szCs w:val="22"/>
          <w:lang w:val="es-ES"/>
        </w:rPr>
      </w:pPr>
    </w:p>
    <w:p w14:paraId="4178EC4C" w14:textId="77777777" w:rsidR="00893407" w:rsidRDefault="00893407" w:rsidP="00893407">
      <w:pPr>
        <w:rPr>
          <w:rFonts w:ascii="Arial" w:eastAsia="Calibri" w:hAnsi="Arial" w:cs="Arial"/>
          <w:sz w:val="22"/>
          <w:szCs w:val="22"/>
          <w:lang w:val="es-ES"/>
        </w:rPr>
      </w:pPr>
    </w:p>
    <w:p w14:paraId="570DEAD6" w14:textId="77777777" w:rsidR="00893407" w:rsidRDefault="00893407" w:rsidP="00893407">
      <w:pPr>
        <w:rPr>
          <w:rFonts w:ascii="Arial" w:eastAsia="Calibri" w:hAnsi="Arial" w:cs="Arial"/>
          <w:sz w:val="22"/>
          <w:szCs w:val="22"/>
          <w:lang w:val="es-ES"/>
        </w:rPr>
      </w:pPr>
    </w:p>
    <w:p w14:paraId="4BF6FBAB" w14:textId="77777777" w:rsidR="00893407" w:rsidRDefault="00893407" w:rsidP="00893407">
      <w:pPr>
        <w:rPr>
          <w:rFonts w:ascii="Arial" w:hAnsi="Arial" w:cs="Arial"/>
          <w:sz w:val="16"/>
          <w:szCs w:val="16"/>
        </w:rPr>
      </w:pPr>
    </w:p>
    <w:p w14:paraId="5D21A67C" w14:textId="77777777" w:rsidR="00893407" w:rsidRDefault="00893407" w:rsidP="00893407">
      <w:pPr>
        <w:jc w:val="right"/>
        <w:rPr>
          <w:rFonts w:ascii="Arial" w:hAnsi="Arial" w:cs="Arial"/>
          <w:sz w:val="16"/>
          <w:szCs w:val="16"/>
        </w:rPr>
      </w:pPr>
    </w:p>
    <w:p w14:paraId="6EFCDB4E" w14:textId="77777777" w:rsidR="00893407" w:rsidRDefault="00893407" w:rsidP="00893407">
      <w:pPr>
        <w:jc w:val="right"/>
        <w:rPr>
          <w:rFonts w:ascii="Arial" w:hAnsi="Arial" w:cs="Arial"/>
          <w:sz w:val="16"/>
          <w:szCs w:val="16"/>
        </w:rPr>
      </w:pPr>
    </w:p>
    <w:p w14:paraId="75762DA1" w14:textId="77777777" w:rsidR="00893407" w:rsidRDefault="00893407" w:rsidP="00893407">
      <w:pPr>
        <w:jc w:val="right"/>
        <w:rPr>
          <w:rFonts w:ascii="Arial" w:eastAsia="Calibri" w:hAnsi="Arial" w:cs="Arial"/>
          <w:sz w:val="22"/>
          <w:szCs w:val="22"/>
          <w:lang w:val="es-ES"/>
        </w:rPr>
      </w:pPr>
      <w:r w:rsidRPr="00895B07">
        <w:rPr>
          <w:rFonts w:ascii="Arial" w:hAnsi="Arial" w:cs="Arial"/>
          <w:sz w:val="16"/>
          <w:szCs w:val="16"/>
        </w:rPr>
        <w:t>CCE-DES-FM-17</w:t>
      </w:r>
    </w:p>
    <w:p w14:paraId="51C161B6" w14:textId="77777777" w:rsidR="00893407" w:rsidRPr="00250F10" w:rsidRDefault="00893407" w:rsidP="00893407">
      <w:pPr>
        <w:jc w:val="right"/>
      </w:pPr>
      <w:r w:rsidRPr="00250F10">
        <w:fldChar w:fldCharType="begin"/>
      </w:r>
      <w:r w:rsidRPr="00250F10">
        <w:instrText xml:space="preserve"> INCLUDEPICTURE "/var/folders/tb/0fmk9b510f57pz5rwhv8lnpw0000gp/T/com.microsoft.Word/WebArchiveCopyPasteTempFiles/page1image32507728" \* MERGEFORMATINET </w:instrText>
      </w:r>
      <w:r w:rsidRPr="00250F10">
        <w:fldChar w:fldCharType="separate"/>
      </w:r>
      <w:r w:rsidRPr="00250F10">
        <w:rPr>
          <w:noProof/>
        </w:rPr>
        <w:drawing>
          <wp:inline distT="0" distB="0" distL="0" distR="0" wp14:anchorId="2DB91C2A" wp14:editId="317A3886">
            <wp:extent cx="2403475" cy="614045"/>
            <wp:effectExtent l="0" t="0" r="0" b="0"/>
            <wp:docPr id="5" name="Imagen 5" descr="page1image3250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25077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3475" cy="614045"/>
                    </a:xfrm>
                    <a:prstGeom prst="rect">
                      <a:avLst/>
                    </a:prstGeom>
                    <a:noFill/>
                    <a:ln>
                      <a:noFill/>
                    </a:ln>
                  </pic:spPr>
                </pic:pic>
              </a:graphicData>
            </a:graphic>
          </wp:inline>
        </w:drawing>
      </w:r>
      <w:r w:rsidRPr="00250F10">
        <w:fldChar w:fldCharType="end"/>
      </w:r>
    </w:p>
    <w:p w14:paraId="02CE7670" w14:textId="3CC1E5EF" w:rsidR="00893407" w:rsidRDefault="00063D2E" w:rsidP="00893407">
      <w:pPr>
        <w:rPr>
          <w:rFonts w:ascii="Arial" w:eastAsia="Calibri" w:hAnsi="Arial" w:cs="Arial"/>
          <w:sz w:val="22"/>
          <w:szCs w:val="22"/>
          <w:lang w:val="es-ES"/>
        </w:rPr>
      </w:pPr>
      <w:r>
        <w:rPr>
          <w:rFonts w:ascii="Arial" w:eastAsia="Calibri" w:hAnsi="Arial" w:cs="Arial"/>
          <w:sz w:val="22"/>
          <w:szCs w:val="22"/>
          <w:lang w:val="es-ES"/>
        </w:rPr>
        <w:t>Bogotá D.C., 27 de mayo de 2022</w:t>
      </w:r>
    </w:p>
    <w:p w14:paraId="680DB512" w14:textId="77777777" w:rsidR="00063D2E" w:rsidRDefault="00063D2E" w:rsidP="00893407">
      <w:pPr>
        <w:rPr>
          <w:rFonts w:ascii="Arial" w:eastAsia="Calibri" w:hAnsi="Arial" w:cs="Arial"/>
          <w:sz w:val="22"/>
          <w:szCs w:val="22"/>
          <w:lang w:val="es-ES"/>
        </w:rPr>
      </w:pPr>
    </w:p>
    <w:p w14:paraId="45A248B4" w14:textId="759ECC3A" w:rsidR="00893407" w:rsidRDefault="00893407" w:rsidP="00893407">
      <w:pPr>
        <w:rPr>
          <w:rFonts w:ascii="Arial" w:eastAsia="Calibri" w:hAnsi="Arial" w:cs="Arial"/>
          <w:sz w:val="22"/>
          <w:szCs w:val="22"/>
          <w:lang w:val="es-ES"/>
        </w:rPr>
      </w:pPr>
      <w:r w:rsidRPr="006244FD">
        <w:rPr>
          <w:rFonts w:ascii="Arial" w:eastAsia="Calibri" w:hAnsi="Arial" w:cs="Arial"/>
          <w:sz w:val="22"/>
          <w:szCs w:val="22"/>
          <w:lang w:val="es-ES"/>
        </w:rPr>
        <w:t>Señor</w:t>
      </w:r>
    </w:p>
    <w:p w14:paraId="7DCC0D10" w14:textId="77777777" w:rsidR="00893407" w:rsidRPr="00D73AC3" w:rsidRDefault="00893407" w:rsidP="00893407">
      <w:pPr>
        <w:rPr>
          <w:rFonts w:ascii="Arial" w:eastAsia="Calibri" w:hAnsi="Arial" w:cs="Arial"/>
          <w:b/>
          <w:bCs/>
          <w:sz w:val="22"/>
          <w:szCs w:val="22"/>
          <w:lang w:val="es-ES"/>
        </w:rPr>
      </w:pPr>
      <w:r>
        <w:rPr>
          <w:rFonts w:ascii="Arial" w:eastAsia="Calibri" w:hAnsi="Arial" w:cs="Arial"/>
          <w:b/>
          <w:bCs/>
          <w:sz w:val="22"/>
          <w:szCs w:val="22"/>
          <w:lang w:val="es-ES"/>
        </w:rPr>
        <w:t>Juan David Cardona Sánchez</w:t>
      </w:r>
    </w:p>
    <w:p w14:paraId="181E1055" w14:textId="77777777" w:rsidR="00893407" w:rsidRPr="00924DEF" w:rsidRDefault="00893407" w:rsidP="00893407">
      <w:pPr>
        <w:rPr>
          <w:rFonts w:ascii="Arial" w:eastAsia="Calibri" w:hAnsi="Arial" w:cs="Arial"/>
          <w:sz w:val="22"/>
          <w:szCs w:val="22"/>
          <w:lang w:val="es-ES"/>
        </w:rPr>
      </w:pPr>
      <w:r>
        <w:rPr>
          <w:rFonts w:ascii="Arial" w:eastAsia="Calibri" w:hAnsi="Arial" w:cs="Arial"/>
          <w:sz w:val="22"/>
          <w:szCs w:val="22"/>
          <w:lang w:val="es-ES"/>
        </w:rPr>
        <w:t xml:space="preserve">Guarne, Antioquia </w:t>
      </w:r>
    </w:p>
    <w:p w14:paraId="5465478C" w14:textId="77777777" w:rsidR="00893407" w:rsidRPr="00924DEF" w:rsidRDefault="00893407" w:rsidP="00893407">
      <w:pPr>
        <w:rPr>
          <w:rFonts w:ascii="Arial" w:eastAsia="Calibri" w:hAnsi="Arial" w:cs="Arial"/>
          <w:sz w:val="22"/>
          <w:szCs w:val="22"/>
          <w:lang w:val="es-ES"/>
        </w:rPr>
      </w:pPr>
    </w:p>
    <w:p w14:paraId="4C76A851" w14:textId="77777777" w:rsidR="00893407" w:rsidRPr="00924DEF" w:rsidRDefault="00893407" w:rsidP="00893407">
      <w:pPr>
        <w:rPr>
          <w:rFonts w:ascii="Arial" w:eastAsia="Calibri" w:hAnsi="Arial" w:cs="Arial"/>
          <w:b/>
          <w:sz w:val="22"/>
          <w:szCs w:val="22"/>
          <w:lang w:val="es-ES"/>
        </w:rPr>
      </w:pPr>
    </w:p>
    <w:p w14:paraId="7F23F8D3" w14:textId="77777777" w:rsidR="00893407" w:rsidRPr="00924DEF" w:rsidRDefault="00893407" w:rsidP="00893407">
      <w:pPr>
        <w:rPr>
          <w:rFonts w:ascii="Arial" w:eastAsia="Calibri" w:hAnsi="Arial" w:cs="Arial"/>
          <w:b/>
          <w:sz w:val="22"/>
          <w:szCs w:val="22"/>
          <w:lang w:val="es-ES"/>
        </w:rPr>
      </w:pPr>
      <w:r w:rsidRPr="00924DEF">
        <w:rPr>
          <w:rFonts w:ascii="Arial" w:eastAsia="Calibri" w:hAnsi="Arial" w:cs="Arial"/>
          <w:b/>
          <w:sz w:val="22"/>
          <w:szCs w:val="22"/>
          <w:lang w:val="es-ES"/>
        </w:rPr>
        <w:t xml:space="preserve">                                            Concepto C – </w:t>
      </w:r>
      <w:r>
        <w:rPr>
          <w:rFonts w:ascii="Arial" w:eastAsia="Calibri" w:hAnsi="Arial" w:cs="Arial"/>
          <w:b/>
          <w:sz w:val="22"/>
          <w:szCs w:val="22"/>
          <w:lang w:val="es-ES"/>
        </w:rPr>
        <w:t>358 de 2022</w:t>
      </w:r>
    </w:p>
    <w:p w14:paraId="220DA8D8" w14:textId="77777777" w:rsidR="00893407" w:rsidRPr="00924DEF" w:rsidRDefault="00893407" w:rsidP="00893407">
      <w:pPr>
        <w:rPr>
          <w:rFonts w:ascii="Arial" w:eastAsia="Calibri" w:hAnsi="Arial" w:cs="Arial"/>
          <w:b/>
          <w:sz w:val="22"/>
          <w:szCs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893407" w:rsidRPr="00924DEF" w14:paraId="490F4FF6" w14:textId="77777777" w:rsidTr="002C35E6">
        <w:trPr>
          <w:trHeight w:val="550"/>
        </w:trPr>
        <w:tc>
          <w:tcPr>
            <w:tcW w:w="2552" w:type="dxa"/>
          </w:tcPr>
          <w:p w14:paraId="0113396B" w14:textId="77777777" w:rsidR="00893407" w:rsidRPr="00924DEF" w:rsidRDefault="00893407" w:rsidP="002C35E6">
            <w:pPr>
              <w:rPr>
                <w:rFonts w:ascii="Arial" w:eastAsia="Calibri" w:hAnsi="Arial" w:cs="Arial"/>
                <w:lang w:val="es-ES"/>
              </w:rPr>
            </w:pPr>
            <w:r w:rsidRPr="00924DEF">
              <w:rPr>
                <w:rFonts w:ascii="Arial" w:eastAsia="Calibri" w:hAnsi="Arial" w:cs="Arial"/>
                <w:b/>
                <w:lang w:val="es-ES"/>
              </w:rPr>
              <w:t>Temas:</w:t>
            </w:r>
            <w:r w:rsidRPr="00924DEF">
              <w:rPr>
                <w:rFonts w:ascii="Arial" w:eastAsia="Calibri" w:hAnsi="Arial" w:cs="Arial"/>
                <w:lang w:val="es-ES"/>
              </w:rPr>
              <w:t xml:space="preserve">                                    </w:t>
            </w:r>
          </w:p>
        </w:tc>
        <w:tc>
          <w:tcPr>
            <w:tcW w:w="6374" w:type="dxa"/>
          </w:tcPr>
          <w:p w14:paraId="598E7445" w14:textId="77777777" w:rsidR="00893407" w:rsidRPr="00EE4549" w:rsidRDefault="00893407" w:rsidP="002C35E6">
            <w:pPr>
              <w:spacing w:after="120"/>
              <w:contextualSpacing/>
              <w:jc w:val="both"/>
              <w:rPr>
                <w:rFonts w:ascii="Arial" w:hAnsi="Arial" w:cs="Arial"/>
                <w:bCs/>
                <w:lang w:val="es-ES_tradnl" w:eastAsia="es-CO"/>
              </w:rPr>
            </w:pPr>
            <w:r w:rsidRPr="00481068">
              <w:rPr>
                <w:rFonts w:ascii="Arial" w:eastAsia="Calibri" w:hAnsi="Arial" w:cs="Arial"/>
                <w:bCs/>
                <w:color w:val="000000" w:themeColor="text1"/>
                <w:lang w:val="es-ES_tradnl"/>
              </w:rPr>
              <w:t xml:space="preserve">LEY DE GARANTÍAS ELECTORALES – Finalidad / LEY DE GARANTÍAS ELECTORALES ‒ Restricciones ‒ Contratación ‒ Tipos de elección / </w:t>
            </w:r>
            <w:r w:rsidRPr="00481068">
              <w:rPr>
                <w:rFonts w:ascii="Arial" w:eastAsia="Calibri" w:hAnsi="Arial" w:cs="Arial"/>
                <w:bCs/>
                <w:lang w:val="es-ES_tradnl"/>
              </w:rPr>
              <w:t xml:space="preserve">LEY DE GARANTÍAS ELECTORALES ─ Prohibición artículo 33 ‒ Contratación directa ‒ Alcance / </w:t>
            </w:r>
            <w:r w:rsidRPr="00481068">
              <w:rPr>
                <w:rFonts w:ascii="Arial" w:hAnsi="Arial" w:cs="Arial"/>
                <w:bCs/>
                <w:lang w:val="es-ES_tradnl" w:eastAsia="es-CO"/>
              </w:rPr>
              <w:t>LEY DE GARANTÍAS ELECTORALES ‒ Excepciones</w:t>
            </w:r>
            <w:r w:rsidRPr="00481068">
              <w:rPr>
                <w:rFonts w:ascii="Arial" w:hAnsi="Arial" w:cs="Arial"/>
                <w:lang w:val="es-ES_tradnl" w:eastAsia="es-CO"/>
              </w:rPr>
              <w:t xml:space="preserve"> / </w:t>
            </w:r>
            <w:r w:rsidRPr="00481068">
              <w:rPr>
                <w:rFonts w:ascii="Arial" w:hAnsi="Arial" w:cs="Arial"/>
                <w:bCs/>
                <w:lang w:val="es-ES_tradnl" w:eastAsia="es-CO"/>
              </w:rPr>
              <w:t xml:space="preserve">LEY DE GARANTÍAS ELECTORALES ‒ </w:t>
            </w:r>
            <w:r w:rsidRPr="00481068">
              <w:rPr>
                <w:rFonts w:ascii="Arial" w:hAnsi="Arial" w:cs="Arial"/>
                <w:lang w:val="es-ES_tradnl" w:eastAsia="es-CO"/>
              </w:rPr>
              <w:t xml:space="preserve">Prohibición del artículo 33 </w:t>
            </w:r>
            <w:r w:rsidRPr="00481068">
              <w:rPr>
                <w:rFonts w:ascii="Arial" w:hAnsi="Arial" w:cs="Arial"/>
                <w:bCs/>
                <w:lang w:val="es-ES_tradnl" w:eastAsia="es-CO"/>
              </w:rPr>
              <w:t>‒ Destinatarios / ORGANISMOS INTERNACIONALES – Régimen de contratación / ORGANISMOS INTERNACIONALES – Ley de garantías electorales – Restricción – Contratación Directa – Artículo 33 – Alcance – Unificación de criterios</w:t>
            </w:r>
          </w:p>
        </w:tc>
      </w:tr>
      <w:tr w:rsidR="00893407" w:rsidRPr="00924DEF" w14:paraId="276FC006" w14:textId="77777777" w:rsidTr="002C35E6">
        <w:tc>
          <w:tcPr>
            <w:tcW w:w="2552" w:type="dxa"/>
          </w:tcPr>
          <w:p w14:paraId="6B7B6DF3" w14:textId="77777777" w:rsidR="00893407" w:rsidRPr="00F87A2B" w:rsidRDefault="00893407" w:rsidP="002C35E6">
            <w:pPr>
              <w:rPr>
                <w:rFonts w:ascii="Arial" w:eastAsia="Calibri" w:hAnsi="Arial" w:cs="Arial"/>
                <w:bCs/>
                <w:color w:val="000000" w:themeColor="text1"/>
                <w:lang w:val="es-ES"/>
              </w:rPr>
            </w:pPr>
            <w:r w:rsidRPr="00F87A2B">
              <w:rPr>
                <w:rFonts w:ascii="Arial" w:eastAsia="Calibri" w:hAnsi="Arial" w:cs="Arial"/>
                <w:bCs/>
                <w:color w:val="000000" w:themeColor="text1"/>
                <w:lang w:val="es-ES"/>
              </w:rPr>
              <w:t xml:space="preserve">Radicación:                              </w:t>
            </w:r>
          </w:p>
        </w:tc>
        <w:tc>
          <w:tcPr>
            <w:tcW w:w="6374" w:type="dxa"/>
          </w:tcPr>
          <w:p w14:paraId="7935FE75" w14:textId="77777777" w:rsidR="00893407" w:rsidRPr="00F87A2B" w:rsidRDefault="00893407" w:rsidP="002C35E6">
            <w:pPr>
              <w:rPr>
                <w:rFonts w:ascii="Arial" w:eastAsia="Calibri" w:hAnsi="Arial" w:cs="Arial"/>
                <w:bCs/>
                <w:color w:val="000000" w:themeColor="text1"/>
                <w:lang w:val="es-ES"/>
              </w:rPr>
            </w:pPr>
            <w:r w:rsidRPr="00F87A2B">
              <w:rPr>
                <w:rFonts w:ascii="Arial" w:eastAsia="Calibri" w:hAnsi="Arial" w:cs="Arial"/>
                <w:bCs/>
                <w:color w:val="000000" w:themeColor="text1"/>
                <w:lang w:val="es-ES"/>
              </w:rPr>
              <w:t xml:space="preserve">Respuesta a consulta </w:t>
            </w:r>
            <w:r w:rsidRPr="00D73AC3">
              <w:rPr>
                <w:rFonts w:ascii="Arial" w:hAnsi="Arial" w:cs="Arial"/>
                <w:bCs/>
                <w:color w:val="000000" w:themeColor="text1"/>
                <w:shd w:val="clear" w:color="auto" w:fill="FFFFFF"/>
              </w:rPr>
              <w:t>P20220421003921</w:t>
            </w:r>
          </w:p>
        </w:tc>
      </w:tr>
    </w:tbl>
    <w:p w14:paraId="052660DA" w14:textId="77777777" w:rsidR="00893407" w:rsidRPr="00924DEF" w:rsidRDefault="00893407" w:rsidP="00893407">
      <w:pPr>
        <w:spacing w:line="276" w:lineRule="auto"/>
        <w:rPr>
          <w:rFonts w:ascii="Arial" w:eastAsia="Calibri" w:hAnsi="Arial" w:cs="Arial"/>
          <w:sz w:val="22"/>
          <w:szCs w:val="22"/>
          <w:lang w:val="es-ES"/>
        </w:rPr>
      </w:pPr>
    </w:p>
    <w:p w14:paraId="2C5E474A" w14:textId="77777777" w:rsidR="00893407" w:rsidRPr="00924DEF" w:rsidRDefault="00893407" w:rsidP="00893407">
      <w:pPr>
        <w:spacing w:line="276" w:lineRule="auto"/>
        <w:rPr>
          <w:rFonts w:ascii="Arial" w:eastAsia="Calibri" w:hAnsi="Arial" w:cs="Arial"/>
          <w:sz w:val="22"/>
          <w:szCs w:val="22"/>
          <w:lang w:val="es-ES"/>
        </w:rPr>
      </w:pPr>
    </w:p>
    <w:p w14:paraId="37E1AF49" w14:textId="77777777" w:rsidR="00893407" w:rsidRPr="00924DEF" w:rsidRDefault="00893407" w:rsidP="00893407">
      <w:pPr>
        <w:tabs>
          <w:tab w:val="left" w:pos="3736"/>
        </w:tabs>
        <w:spacing w:line="276" w:lineRule="auto"/>
        <w:rPr>
          <w:rFonts w:ascii="Arial" w:eastAsia="Calibri" w:hAnsi="Arial" w:cs="Arial"/>
          <w:sz w:val="22"/>
          <w:szCs w:val="22"/>
          <w:lang w:val="es-ES"/>
        </w:rPr>
      </w:pPr>
      <w:r w:rsidRPr="00924DEF">
        <w:rPr>
          <w:rFonts w:ascii="Arial" w:eastAsia="Calibri" w:hAnsi="Arial" w:cs="Arial"/>
          <w:sz w:val="22"/>
          <w:szCs w:val="22"/>
          <w:lang w:val="es-ES"/>
        </w:rPr>
        <w:t xml:space="preserve">Estimada señora </w:t>
      </w:r>
      <w:r>
        <w:rPr>
          <w:rFonts w:ascii="Arial" w:eastAsia="Calibri" w:hAnsi="Arial" w:cs="Arial"/>
          <w:sz w:val="22"/>
          <w:szCs w:val="22"/>
          <w:lang w:val="es-ES"/>
        </w:rPr>
        <w:t>Segura</w:t>
      </w:r>
      <w:r w:rsidRPr="00924DEF">
        <w:rPr>
          <w:rFonts w:ascii="Arial" w:eastAsia="Calibri" w:hAnsi="Arial" w:cs="Arial"/>
          <w:sz w:val="22"/>
          <w:szCs w:val="22"/>
          <w:lang w:val="es-ES"/>
        </w:rPr>
        <w:t>:</w:t>
      </w:r>
      <w:r w:rsidRPr="00924DEF">
        <w:rPr>
          <w:rFonts w:ascii="Arial" w:eastAsia="Calibri" w:hAnsi="Arial" w:cs="Arial"/>
          <w:sz w:val="22"/>
          <w:szCs w:val="22"/>
          <w:lang w:val="es-ES"/>
        </w:rPr>
        <w:tab/>
      </w:r>
    </w:p>
    <w:p w14:paraId="680E4F58" w14:textId="77777777" w:rsidR="00893407" w:rsidRPr="00924DEF" w:rsidRDefault="00893407" w:rsidP="00893407">
      <w:pPr>
        <w:spacing w:line="276" w:lineRule="auto"/>
        <w:rPr>
          <w:rFonts w:ascii="Arial" w:eastAsia="Calibri" w:hAnsi="Arial" w:cs="Arial"/>
          <w:sz w:val="22"/>
          <w:szCs w:val="22"/>
          <w:lang w:val="es-ES"/>
        </w:rPr>
      </w:pPr>
    </w:p>
    <w:p w14:paraId="0806DC48" w14:textId="77777777" w:rsidR="00893407" w:rsidRPr="00924DEF" w:rsidRDefault="00893407" w:rsidP="00893407">
      <w:pPr>
        <w:spacing w:line="276" w:lineRule="auto"/>
        <w:jc w:val="both"/>
        <w:rPr>
          <w:rFonts w:ascii="Arial" w:eastAsia="Calibri" w:hAnsi="Arial" w:cs="Arial"/>
          <w:sz w:val="22"/>
          <w:szCs w:val="22"/>
          <w:lang w:val="es-ES"/>
        </w:rPr>
      </w:pPr>
      <w:r w:rsidRPr="00924DEF">
        <w:rPr>
          <w:rFonts w:ascii="Arial" w:eastAsia="Calibri" w:hAnsi="Arial" w:cs="Arial"/>
          <w:sz w:val="22"/>
          <w:szCs w:val="22"/>
          <w:lang w:val="es-ES"/>
        </w:rPr>
        <w:t>La Agencia Nacional de Contratación Pública – Colombia Compra Eficiente, en ejercicio de la competencia otorgada por el numeral 8 del artículo 11 y el numeral 5 del artículo 3 del Decreto Ley 4170 de 2011</w:t>
      </w:r>
      <w:r>
        <w:rPr>
          <w:rFonts w:ascii="Arial" w:eastAsia="Calibri" w:hAnsi="Arial" w:cs="Arial"/>
          <w:sz w:val="22"/>
          <w:szCs w:val="22"/>
          <w:lang w:val="es-ES"/>
        </w:rPr>
        <w:t xml:space="preserve">, </w:t>
      </w:r>
      <w:r w:rsidRPr="00924DEF">
        <w:rPr>
          <w:rFonts w:ascii="Arial" w:eastAsia="Calibri" w:hAnsi="Arial" w:cs="Arial"/>
          <w:sz w:val="22"/>
          <w:szCs w:val="22"/>
          <w:lang w:val="es-ES"/>
        </w:rPr>
        <w:t xml:space="preserve">responde a su consulta del </w:t>
      </w:r>
      <w:r>
        <w:rPr>
          <w:rFonts w:ascii="Arial" w:eastAsia="Calibri" w:hAnsi="Arial" w:cs="Arial"/>
          <w:sz w:val="22"/>
          <w:szCs w:val="22"/>
          <w:lang w:val="es-ES"/>
        </w:rPr>
        <w:t>21 de abril de 2022.</w:t>
      </w:r>
    </w:p>
    <w:p w14:paraId="0A3D6C8F" w14:textId="77777777" w:rsidR="00893407" w:rsidRPr="00924DEF" w:rsidRDefault="00893407" w:rsidP="00893407">
      <w:pPr>
        <w:pStyle w:val="Prrafodelista"/>
        <w:spacing w:line="276" w:lineRule="auto"/>
        <w:ind w:left="0"/>
        <w:rPr>
          <w:rFonts w:ascii="Arial" w:eastAsia="Calibri" w:hAnsi="Arial" w:cs="Arial"/>
          <w:sz w:val="22"/>
          <w:lang w:val="es-ES"/>
        </w:rPr>
      </w:pPr>
    </w:p>
    <w:p w14:paraId="717A587A" w14:textId="77777777" w:rsidR="00893407" w:rsidRPr="00924DEF" w:rsidRDefault="00893407" w:rsidP="00893407">
      <w:pPr>
        <w:tabs>
          <w:tab w:val="left" w:pos="0"/>
        </w:tabs>
        <w:spacing w:line="276" w:lineRule="auto"/>
        <w:jc w:val="both"/>
        <w:rPr>
          <w:rFonts w:ascii="Arial" w:eastAsia="Calibri" w:hAnsi="Arial" w:cs="Arial"/>
          <w:b/>
          <w:sz w:val="22"/>
          <w:szCs w:val="22"/>
          <w:lang w:val="es-ES"/>
        </w:rPr>
      </w:pPr>
      <w:r w:rsidRPr="00924DEF">
        <w:rPr>
          <w:rFonts w:ascii="Arial" w:eastAsia="Calibri" w:hAnsi="Arial" w:cs="Arial"/>
          <w:b/>
          <w:sz w:val="22"/>
          <w:szCs w:val="22"/>
          <w:lang w:val="es-ES"/>
        </w:rPr>
        <w:t>1. Problema planteado</w:t>
      </w:r>
    </w:p>
    <w:p w14:paraId="7DA138CD" w14:textId="77777777" w:rsidR="00893407" w:rsidRPr="00924DEF" w:rsidRDefault="00893407" w:rsidP="00893407">
      <w:pPr>
        <w:rPr>
          <w:rFonts w:ascii="Arial" w:eastAsia="Calibri" w:hAnsi="Arial" w:cs="Arial"/>
          <w:sz w:val="22"/>
          <w:szCs w:val="22"/>
          <w:lang w:val="es-ES"/>
        </w:rPr>
      </w:pPr>
    </w:p>
    <w:p w14:paraId="2D0D13AC" w14:textId="77777777" w:rsidR="00893407" w:rsidRPr="00D73AC3" w:rsidRDefault="00893407" w:rsidP="00893407">
      <w:pPr>
        <w:spacing w:line="276" w:lineRule="auto"/>
        <w:jc w:val="both"/>
        <w:rPr>
          <w:rFonts w:ascii="Arial" w:hAnsi="Arial" w:cs="Arial"/>
          <w:sz w:val="21"/>
          <w:szCs w:val="21"/>
        </w:rPr>
      </w:pPr>
      <w:r w:rsidRPr="00924DEF">
        <w:rPr>
          <w:rFonts w:ascii="Arial" w:eastAsia="Calibri" w:hAnsi="Arial" w:cs="Arial"/>
          <w:sz w:val="22"/>
          <w:szCs w:val="22"/>
          <w:lang w:val="es-ES"/>
        </w:rPr>
        <w:t xml:space="preserve">Usted </w:t>
      </w:r>
      <w:r>
        <w:rPr>
          <w:rFonts w:ascii="Arial" w:eastAsia="Calibri" w:hAnsi="Arial" w:cs="Arial"/>
          <w:sz w:val="22"/>
          <w:szCs w:val="22"/>
          <w:lang w:val="es-ES"/>
        </w:rPr>
        <w:t>realiza</w:t>
      </w:r>
      <w:r w:rsidRPr="00924DEF">
        <w:rPr>
          <w:rFonts w:ascii="Arial" w:eastAsia="Calibri" w:hAnsi="Arial" w:cs="Arial"/>
          <w:sz w:val="22"/>
          <w:szCs w:val="22"/>
          <w:lang w:val="es-ES"/>
        </w:rPr>
        <w:t xml:space="preserve"> la siguiente pregunta: </w:t>
      </w:r>
      <w:r w:rsidRPr="00D73AC3">
        <w:rPr>
          <w:rFonts w:ascii="Arial" w:hAnsi="Arial" w:cs="Arial"/>
          <w:sz w:val="21"/>
          <w:szCs w:val="21"/>
        </w:rPr>
        <w:t xml:space="preserve">«La entidad desde la que consulto en el presente mensaje requiere celebrar un convenio con la Universidad de Colorado de los Estados Unidos de América, pero durante la vigencia de la prohibición de la ley 996 de 2005 o ley de garantías tenemos la duda si este tipo de convenios de carácter Educativo y que no implica erogaciones presupuestales se puede celebrar con normalidad». </w:t>
      </w:r>
    </w:p>
    <w:p w14:paraId="69B8896B" w14:textId="77777777" w:rsidR="00893407" w:rsidRPr="00F87A2B" w:rsidRDefault="00893407" w:rsidP="00893407">
      <w:pPr>
        <w:pStyle w:val="NormalWeb"/>
        <w:ind w:right="709"/>
        <w:contextualSpacing/>
        <w:jc w:val="both"/>
        <w:rPr>
          <w:rFonts w:ascii="Arial" w:eastAsia="Calibri" w:hAnsi="Arial" w:cs="Arial"/>
          <w:b/>
          <w:sz w:val="22"/>
          <w:szCs w:val="22"/>
          <w:lang w:val="es-ES"/>
        </w:rPr>
      </w:pPr>
      <w:r w:rsidRPr="00924DEF">
        <w:rPr>
          <w:rFonts w:ascii="Arial" w:eastAsia="Calibri" w:hAnsi="Arial" w:cs="Arial"/>
          <w:b/>
          <w:sz w:val="22"/>
          <w:szCs w:val="22"/>
          <w:lang w:val="es-ES"/>
        </w:rPr>
        <w:t>2. Consideraciones</w:t>
      </w:r>
    </w:p>
    <w:p w14:paraId="677CC933" w14:textId="77777777" w:rsidR="00893407" w:rsidRPr="00481068" w:rsidRDefault="00893407" w:rsidP="00893407">
      <w:pPr>
        <w:spacing w:line="276" w:lineRule="auto"/>
        <w:jc w:val="both"/>
        <w:rPr>
          <w:rFonts w:ascii="Arial" w:eastAsia="Calibri" w:hAnsi="Arial" w:cs="Arial"/>
          <w:color w:val="000000"/>
          <w:sz w:val="22"/>
        </w:rPr>
      </w:pPr>
      <w:r w:rsidRPr="00481068">
        <w:rPr>
          <w:rFonts w:ascii="Arial" w:eastAsia="Calibri" w:hAnsi="Arial" w:cs="Arial"/>
          <w:color w:val="000000"/>
          <w:sz w:val="22"/>
        </w:rPr>
        <w:lastRenderedPageBreak/>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481068">
        <w:rPr>
          <w:rFonts w:ascii="Arial" w:eastAsia="Calibri" w:hAnsi="Arial" w:cs="Arial"/>
          <w:color w:val="000000"/>
          <w:sz w:val="22"/>
          <w:vertAlign w:val="superscript"/>
        </w:rPr>
        <w:footnoteReference w:id="1"/>
      </w:r>
      <w:r w:rsidRPr="00481068">
        <w:rPr>
          <w:rFonts w:ascii="Arial" w:eastAsia="Calibri" w:hAnsi="Arial" w:cs="Arial"/>
          <w:color w:val="000000"/>
          <w:sz w:val="22"/>
        </w:rPr>
        <w:t>. Es necesario tener en cuenta que esta entidad solo tiene competencia para responder solicitudes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p>
    <w:p w14:paraId="393FA8FB" w14:textId="77777777" w:rsidR="00893407" w:rsidRPr="00481068" w:rsidRDefault="00893407" w:rsidP="00893407">
      <w:pPr>
        <w:spacing w:before="120" w:line="276" w:lineRule="auto"/>
        <w:ind w:firstLine="708"/>
        <w:jc w:val="both"/>
        <w:rPr>
          <w:rFonts w:ascii="Arial" w:eastAsia="Calibri" w:hAnsi="Arial" w:cs="Arial"/>
          <w:color w:val="000000"/>
          <w:sz w:val="22"/>
        </w:rPr>
      </w:pPr>
      <w:r w:rsidRPr="00481068">
        <w:rPr>
          <w:rFonts w:ascii="Arial" w:eastAsia="Calibri" w:hAnsi="Arial" w:cs="Arial"/>
          <w:color w:val="000000"/>
          <w:sz w:val="22"/>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5A427DE6" w14:textId="77777777" w:rsidR="00893407" w:rsidRPr="00481068" w:rsidRDefault="00893407" w:rsidP="00893407">
      <w:pPr>
        <w:spacing w:before="120" w:line="276" w:lineRule="auto"/>
        <w:ind w:firstLine="708"/>
        <w:jc w:val="both"/>
        <w:rPr>
          <w:rFonts w:ascii="Arial" w:eastAsia="Calibri" w:hAnsi="Arial" w:cs="Arial"/>
          <w:color w:val="000000"/>
          <w:sz w:val="22"/>
        </w:rPr>
      </w:pPr>
      <w:r w:rsidRPr="00481068">
        <w:rPr>
          <w:rFonts w:ascii="Arial" w:eastAsia="Calibri" w:hAnsi="Arial" w:cs="Arial"/>
          <w:bCs/>
          <w:color w:val="000000"/>
          <w:sz w:val="22"/>
          <w:lang w:eastAsia="es-CO"/>
        </w:rPr>
        <w:t>Bajo estas consideraciones, corresponde a cada entidad pública, en ejercicio de su competencia y</w:t>
      </w:r>
      <w:r>
        <w:rPr>
          <w:rFonts w:ascii="Arial" w:eastAsia="Calibri" w:hAnsi="Arial" w:cs="Arial"/>
          <w:bCs/>
          <w:color w:val="000000"/>
          <w:sz w:val="22"/>
          <w:lang w:eastAsia="es-CO"/>
        </w:rPr>
        <w:t>,</w:t>
      </w:r>
      <w:r w:rsidRPr="00481068">
        <w:rPr>
          <w:rFonts w:ascii="Arial" w:eastAsia="Calibri" w:hAnsi="Arial" w:cs="Arial"/>
          <w:bCs/>
          <w:color w:val="000000"/>
          <w:sz w:val="22"/>
          <w:lang w:eastAsia="es-CO"/>
        </w:rPr>
        <w:t xml:space="preserve"> previa valoración de los elementos fácticos y jurídicos, determinar si es procedente o no la celebración de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43E4BCCB" w14:textId="77777777" w:rsidR="00893407" w:rsidRPr="00481068" w:rsidRDefault="00893407" w:rsidP="00893407">
      <w:pPr>
        <w:spacing w:before="120" w:line="276" w:lineRule="auto"/>
        <w:ind w:firstLine="708"/>
        <w:jc w:val="both"/>
        <w:rPr>
          <w:rFonts w:ascii="Arial" w:eastAsia="Calibri" w:hAnsi="Arial" w:cs="Arial"/>
          <w:color w:val="000000"/>
          <w:sz w:val="22"/>
        </w:rPr>
      </w:pPr>
      <w:r w:rsidRPr="00481068">
        <w:rPr>
          <w:rFonts w:ascii="Arial" w:eastAsia="Calibri" w:hAnsi="Arial" w:cs="Arial"/>
          <w:color w:val="000000"/>
          <w:sz w:val="22"/>
        </w:rPr>
        <w:t xml:space="preserve">Sin perjuicio de lo anterior, </w:t>
      </w:r>
      <w:r w:rsidRPr="00481068">
        <w:rPr>
          <w:rFonts w:ascii="Arial" w:eastAsia="Calibri" w:hAnsi="Arial" w:cs="Arial"/>
          <w:color w:val="000000"/>
          <w:sz w:val="22"/>
          <w:lang w:val="es-ES"/>
        </w:rPr>
        <w:t xml:space="preserve">la Agencia –dentro de los límites de sus atribuciones, esto es, </w:t>
      </w:r>
      <w:bookmarkStart w:id="7" w:name="_Hlk61025408"/>
      <w:r w:rsidRPr="00481068">
        <w:rPr>
          <w:rFonts w:ascii="Arial" w:eastAsia="Calibri" w:hAnsi="Arial" w:cs="Arial"/>
          <w:color w:val="000000"/>
          <w:sz w:val="22"/>
          <w:lang w:val="es-ES"/>
        </w:rPr>
        <w:t>haciendo abstracción del caso particular expuesto por el peticionario</w:t>
      </w:r>
      <w:bookmarkEnd w:id="7"/>
      <w:r w:rsidRPr="00481068">
        <w:rPr>
          <w:rFonts w:ascii="Arial" w:eastAsia="Calibri" w:hAnsi="Arial" w:cs="Arial"/>
          <w:color w:val="000000"/>
          <w:sz w:val="22"/>
          <w:lang w:val="es-ES"/>
        </w:rPr>
        <w:t xml:space="preserve">– resolverá la consulta conforme a las normas generales en materia de contratación estatal. </w:t>
      </w:r>
      <w:r w:rsidRPr="00481068">
        <w:rPr>
          <w:rFonts w:ascii="Arial" w:eastAsia="Calibri" w:hAnsi="Arial" w:cs="Arial"/>
          <w:color w:val="000000" w:themeColor="text1"/>
          <w:sz w:val="22"/>
          <w:lang w:val="es-ES"/>
        </w:rPr>
        <w:t>Con este objetivo se analizarán los siguientes temas</w:t>
      </w:r>
      <w:r w:rsidRPr="00481068">
        <w:rPr>
          <w:rFonts w:ascii="Arial" w:eastAsia="Calibri" w:hAnsi="Arial" w:cs="Arial"/>
          <w:color w:val="000000"/>
          <w:sz w:val="22"/>
        </w:rPr>
        <w:t xml:space="preserve">: </w:t>
      </w:r>
      <w:r w:rsidRPr="00481068">
        <w:rPr>
          <w:rFonts w:ascii="Arial" w:eastAsia="Calibri" w:hAnsi="Arial" w:cs="Arial"/>
          <w:color w:val="000000"/>
          <w:sz w:val="22"/>
          <w:lang w:val="es-ES_tradnl"/>
        </w:rPr>
        <w:t xml:space="preserve">i) alcance de las restricciones establecidas en la Ley 996 de 2005 –más conocida como «Ley de Garantías Electorales»–, </w:t>
      </w:r>
      <w:proofErr w:type="spellStart"/>
      <w:r w:rsidRPr="00481068">
        <w:rPr>
          <w:rFonts w:ascii="Arial" w:eastAsia="Calibri" w:hAnsi="Arial" w:cs="Arial"/>
          <w:color w:val="000000"/>
          <w:sz w:val="22"/>
          <w:lang w:val="es-ES_tradnl"/>
        </w:rPr>
        <w:t>ii</w:t>
      </w:r>
      <w:proofErr w:type="spellEnd"/>
      <w:r w:rsidRPr="00481068">
        <w:rPr>
          <w:rFonts w:ascii="Arial" w:eastAsia="Calibri" w:hAnsi="Arial" w:cs="Arial"/>
          <w:color w:val="000000"/>
          <w:sz w:val="22"/>
          <w:lang w:val="es-ES_tradnl"/>
        </w:rPr>
        <w:t xml:space="preserve">) restricciones especiales aplicables de cara a las elecciones presidenciales, </w:t>
      </w:r>
      <w:proofErr w:type="spellStart"/>
      <w:r w:rsidRPr="00481068">
        <w:rPr>
          <w:rFonts w:ascii="Arial" w:eastAsia="Calibri" w:hAnsi="Arial" w:cs="Arial"/>
          <w:color w:val="000000"/>
          <w:sz w:val="22"/>
          <w:lang w:val="es-ES_tradnl"/>
        </w:rPr>
        <w:t>iii</w:t>
      </w:r>
      <w:proofErr w:type="spellEnd"/>
      <w:r w:rsidRPr="00481068">
        <w:rPr>
          <w:rFonts w:ascii="Arial" w:eastAsia="Calibri" w:hAnsi="Arial" w:cs="Arial"/>
          <w:color w:val="000000"/>
          <w:sz w:val="22"/>
          <w:lang w:val="es-ES_tradnl"/>
        </w:rPr>
        <w:t xml:space="preserve">) aplicación de la Ley de </w:t>
      </w:r>
      <w:r w:rsidRPr="00481068">
        <w:rPr>
          <w:rFonts w:ascii="Arial" w:eastAsia="Calibri" w:hAnsi="Arial" w:cs="Arial"/>
          <w:color w:val="000000"/>
          <w:sz w:val="22"/>
          <w:lang w:val="es-ES_tradnl"/>
        </w:rPr>
        <w:lastRenderedPageBreak/>
        <w:t>Garantías Electorales a la contratación directa sometida a los reglamentos de los organismos de cooperación, asistencia o ayuda internacional</w:t>
      </w:r>
      <w:r w:rsidRPr="00481068">
        <w:rPr>
          <w:rFonts w:ascii="Arial" w:eastAsia="Calibri" w:hAnsi="Arial" w:cs="Arial"/>
          <w:color w:val="000000"/>
          <w:sz w:val="22"/>
        </w:rPr>
        <w:t>.</w:t>
      </w:r>
    </w:p>
    <w:p w14:paraId="392B823A" w14:textId="77777777" w:rsidR="00893407" w:rsidRPr="00481068" w:rsidRDefault="00893407" w:rsidP="00893407">
      <w:pPr>
        <w:tabs>
          <w:tab w:val="left" w:pos="426"/>
        </w:tabs>
        <w:spacing w:before="120" w:line="276" w:lineRule="auto"/>
        <w:ind w:firstLine="709"/>
        <w:jc w:val="both"/>
        <w:rPr>
          <w:rFonts w:ascii="Arial" w:hAnsi="Arial" w:cs="Arial"/>
          <w:sz w:val="22"/>
        </w:rPr>
      </w:pPr>
      <w:r w:rsidRPr="00481068">
        <w:rPr>
          <w:rFonts w:ascii="Arial" w:eastAsia="Calibri" w:hAnsi="Arial" w:cs="Arial"/>
          <w:color w:val="000000"/>
          <w:sz w:val="22"/>
        </w:rPr>
        <w:t xml:space="preserve"> La Agencia Nacional de Contratación Pública – Colombia Compra Eficiente se ha pronunciado en diferentes ocasiones sobre la Ley de Garantías Electorales,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  C-227 del 24 de mayo de 2021 y 396 del 13 de agosto de 2021, C-429 del 27 de agosto de 2021, C-456 del 3 de septiembre, C-481 del 9 de septiembre de 2021, C- 528 del 27 de septiembre de 2021, C-550 del 5 de octubre de 2021, C-523 del 10 de octubre de 2021, C-614 del 2 de noviembre de 2021 y C-543 del 11 de noviembre de 2021, C-633 del 11 de noviembre de 2021, 681 del 7 de diciembre de 2021, C-686 del 21 de diciembre de 2021, C-697 del 3 de enero de 2022, C-009 del 15 de febrero de 2022, C-005 del 16 de febrero de  2022, C-014 del 18 de febrero de 2022, C- 022 del 21 de febrero de 2022, C-045 del 3 de marzo de 2022, C-064 del 8 de marzo de 2022, C-072 del 11 de marzo de 2022, C-097 del 18 de febrero de 2022, C-116 del 18 de febrero de 2022 y C-077 del 17 de marzo de 2022, entre otros. </w:t>
      </w:r>
    </w:p>
    <w:p w14:paraId="552FB3AD" w14:textId="77777777" w:rsidR="00893407" w:rsidRPr="00481068" w:rsidRDefault="00893407" w:rsidP="00893407">
      <w:pPr>
        <w:tabs>
          <w:tab w:val="left" w:pos="426"/>
        </w:tabs>
        <w:spacing w:before="120" w:line="276" w:lineRule="auto"/>
        <w:ind w:firstLine="709"/>
        <w:jc w:val="both"/>
        <w:rPr>
          <w:rFonts w:ascii="Arial" w:eastAsia="Calibri" w:hAnsi="Arial" w:cs="Arial"/>
          <w:sz w:val="22"/>
          <w:lang w:val="es-ES"/>
        </w:rPr>
      </w:pPr>
      <w:r w:rsidRPr="00481068">
        <w:rPr>
          <w:rFonts w:ascii="Arial" w:hAnsi="Arial" w:cs="Arial"/>
          <w:sz w:val="22"/>
        </w:rPr>
        <w:t xml:space="preserve">Los conceptos mencionados en el párrafo precedente fueron complementados, en lo pertinente, por el Concepto CU-180 del 8 de abril de 2022, en el que se efectuaron algunas precisiones sobre los Conceptos </w:t>
      </w:r>
      <w:r w:rsidRPr="00481068">
        <w:rPr>
          <w:rFonts w:ascii="Arial" w:hAnsi="Arial" w:cs="Arial"/>
          <w:bCs/>
          <w:sz w:val="22"/>
        </w:rPr>
        <w:t>C-296 del 22 de junio</w:t>
      </w:r>
      <w:r w:rsidRPr="00481068">
        <w:rPr>
          <w:rFonts w:ascii="Arial" w:hAnsi="Arial" w:cs="Arial"/>
          <w:sz w:val="22"/>
        </w:rPr>
        <w:t xml:space="preserve"> de 2021, C-559 del 31 de agosto de 2021 y C-100 de 29 de marzo de 2022, relacionados con la aplicación de la Ley de Garantías Electorales frente a la contratación con organismos internacionales. </w:t>
      </w:r>
      <w:bookmarkStart w:id="8" w:name="_Hlk102372764"/>
      <w:bookmarkStart w:id="9" w:name="_Hlk102372981"/>
      <w:r w:rsidRPr="00481068">
        <w:rPr>
          <w:rFonts w:ascii="Arial" w:eastAsia="Calibri" w:hAnsi="Arial" w:cs="Arial"/>
          <w:sz w:val="22"/>
          <w:lang w:val="es-ES"/>
        </w:rPr>
        <w:t>De acuerdo con el artículo 10 de la Ley 1437 de 2011, es necesario tener en cuenta que «</w:t>
      </w:r>
      <w:r w:rsidRPr="00481068">
        <w:rPr>
          <w:rFonts w:ascii="Arial" w:eastAsia="Calibri" w:hAnsi="Arial" w:cs="Arial"/>
          <w:sz w:val="22"/>
        </w:rPr>
        <w:t>Al resolver los asuntos de su competencia, las autoridades aplicarán las disposiciones constitucionales, legales y reglamentarias de manera uniforme a situaciones que tengan los mismos supuestos fácticos y jurídicos». Por tanto,</w:t>
      </w:r>
      <w:r w:rsidRPr="00481068">
        <w:rPr>
          <w:rFonts w:ascii="Arial" w:eastAsia="Calibri" w:hAnsi="Arial" w:cs="Arial"/>
          <w:sz w:val="22"/>
          <w:lang w:val="es-ES"/>
        </w:rPr>
        <w:t xml:space="preserve"> la tesis desarrollada en el Concepto de Unificación CU-180 del 8 de abril de 2022 se reitera a continuación</w:t>
      </w:r>
      <w:bookmarkEnd w:id="8"/>
      <w:r w:rsidRPr="00481068">
        <w:rPr>
          <w:rFonts w:ascii="Arial" w:eastAsia="Calibri" w:hAnsi="Arial" w:cs="Arial"/>
          <w:sz w:val="22"/>
          <w:lang w:val="es-ES"/>
        </w:rPr>
        <w:t>:</w:t>
      </w:r>
    </w:p>
    <w:bookmarkEnd w:id="9"/>
    <w:p w14:paraId="220CCE10" w14:textId="77777777" w:rsidR="00893407" w:rsidRPr="00481068" w:rsidRDefault="00893407" w:rsidP="00893407">
      <w:pPr>
        <w:spacing w:line="276" w:lineRule="auto"/>
        <w:contextualSpacing/>
        <w:jc w:val="both"/>
        <w:rPr>
          <w:rFonts w:ascii="Arial" w:eastAsia="Calibri" w:hAnsi="Arial" w:cs="Arial"/>
          <w:color w:val="000000"/>
          <w:sz w:val="22"/>
        </w:rPr>
      </w:pPr>
    </w:p>
    <w:p w14:paraId="604A09F6" w14:textId="77777777" w:rsidR="00893407" w:rsidRPr="00481068" w:rsidRDefault="00893407" w:rsidP="00893407">
      <w:pPr>
        <w:tabs>
          <w:tab w:val="left" w:pos="426"/>
        </w:tabs>
        <w:spacing w:line="276" w:lineRule="auto"/>
        <w:jc w:val="both"/>
        <w:rPr>
          <w:rFonts w:ascii="Arial" w:eastAsia="Calibri" w:hAnsi="Arial" w:cs="Arial"/>
          <w:b/>
          <w:bCs/>
          <w:sz w:val="22"/>
          <w:lang w:val="es-ES_tradnl"/>
        </w:rPr>
      </w:pPr>
      <w:r w:rsidRPr="00481068">
        <w:rPr>
          <w:rFonts w:ascii="Arial" w:eastAsia="Calibri" w:hAnsi="Arial" w:cs="Arial"/>
          <w:b/>
          <w:bCs/>
          <w:sz w:val="22"/>
          <w:lang w:val="es-ES_tradnl"/>
        </w:rPr>
        <w:t>2.1. Definición y finalidad de la Ley de Garantías Electorales: alcance de las restricciones</w:t>
      </w:r>
    </w:p>
    <w:p w14:paraId="136D0D85" w14:textId="77777777" w:rsidR="00893407" w:rsidRPr="00481068" w:rsidRDefault="00893407" w:rsidP="00893407">
      <w:pPr>
        <w:tabs>
          <w:tab w:val="left" w:pos="426"/>
        </w:tabs>
        <w:spacing w:line="276" w:lineRule="auto"/>
        <w:ind w:firstLine="709"/>
        <w:jc w:val="both"/>
        <w:rPr>
          <w:rFonts w:ascii="Arial" w:eastAsia="Calibri" w:hAnsi="Arial" w:cs="Arial"/>
          <w:bCs/>
          <w:sz w:val="22"/>
          <w:lang w:val="es-ES_tradnl"/>
        </w:rPr>
      </w:pPr>
    </w:p>
    <w:p w14:paraId="59AC510D" w14:textId="77777777" w:rsidR="00893407" w:rsidRPr="00481068" w:rsidRDefault="00893407" w:rsidP="00893407">
      <w:pPr>
        <w:tabs>
          <w:tab w:val="left" w:pos="426"/>
        </w:tabs>
        <w:spacing w:after="120" w:line="276" w:lineRule="auto"/>
        <w:jc w:val="both"/>
        <w:rPr>
          <w:rFonts w:ascii="Arial" w:hAnsi="Arial" w:cs="Arial"/>
          <w:bCs/>
          <w:sz w:val="22"/>
          <w:lang w:eastAsia="es-CO"/>
        </w:rPr>
      </w:pPr>
      <w:r w:rsidRPr="00481068">
        <w:rPr>
          <w:rFonts w:ascii="Arial" w:eastAsia="Calibri" w:hAnsi="Arial" w:cs="Arial"/>
          <w:bCs/>
          <w:sz w:val="22"/>
        </w:rPr>
        <w:t>El ordenamiento jurídico colombiano contempla previsiones claras para evitar la obtención de beneficios personales en asuntos propios de la administración pública</w:t>
      </w:r>
      <w:r w:rsidRPr="00481068">
        <w:rPr>
          <w:rFonts w:ascii="Arial" w:eastAsia="Calibri" w:hAnsi="Arial" w:cs="Arial"/>
          <w:bCs/>
          <w:i/>
          <w:iCs/>
          <w:sz w:val="22"/>
        </w:rPr>
        <w:t xml:space="preserve">. </w:t>
      </w:r>
      <w:r w:rsidRPr="00481068">
        <w:rPr>
          <w:rFonts w:ascii="Arial" w:eastAsia="Calibri" w:hAnsi="Arial" w:cs="Arial"/>
          <w:bCs/>
          <w:sz w:val="22"/>
        </w:rPr>
        <w:t xml:space="preserve">Por ejemplo, el artículo 127 de la Constitución Política establece una prohibición contractual a los </w:t>
      </w:r>
      <w:r w:rsidRPr="00481068">
        <w:rPr>
          <w:rFonts w:ascii="Arial" w:eastAsia="Calibri" w:hAnsi="Arial" w:cs="Arial"/>
          <w:bCs/>
          <w:sz w:val="22"/>
        </w:rPr>
        <w:lastRenderedPageBreak/>
        <w:t>servidores públicos y en cuanto a aspectos políticos consagra restricciones a ciertos empleados del Estado, incluso en época no electoral</w:t>
      </w:r>
      <w:r w:rsidRPr="00481068">
        <w:rPr>
          <w:rFonts w:ascii="Arial" w:eastAsia="Calibri" w:hAnsi="Arial" w:cs="Arial"/>
          <w:bCs/>
          <w:sz w:val="22"/>
          <w:vertAlign w:val="superscript"/>
        </w:rPr>
        <w:footnoteReference w:id="2"/>
      </w:r>
      <w:r w:rsidRPr="00481068">
        <w:rPr>
          <w:rFonts w:ascii="Arial" w:eastAsia="Calibri" w:hAnsi="Arial" w:cs="Arial"/>
          <w:bCs/>
          <w:sz w:val="22"/>
        </w:rPr>
        <w:t xml:space="preserve">. </w:t>
      </w:r>
    </w:p>
    <w:p w14:paraId="42AE403B" w14:textId="77777777" w:rsidR="00893407" w:rsidRPr="00481068" w:rsidRDefault="00893407" w:rsidP="00893407">
      <w:pPr>
        <w:tabs>
          <w:tab w:val="left" w:pos="426"/>
        </w:tabs>
        <w:spacing w:line="276" w:lineRule="auto"/>
        <w:ind w:firstLine="709"/>
        <w:jc w:val="both"/>
        <w:rPr>
          <w:rFonts w:ascii="Arial" w:hAnsi="Arial" w:cs="Arial"/>
          <w:bCs/>
          <w:sz w:val="22"/>
          <w:lang w:eastAsia="es-CO"/>
        </w:rPr>
      </w:pPr>
      <w:r w:rsidRPr="00481068">
        <w:rPr>
          <w:rFonts w:ascii="Arial" w:hAnsi="Arial" w:cs="Arial"/>
          <w:bCs/>
          <w:sz w:val="22"/>
          <w:lang w:eastAsia="es-CO"/>
        </w:rPr>
        <w:t xml:space="preserve">En el mismo sentido, </w:t>
      </w:r>
      <w:bookmarkStart w:id="10" w:name="_Hlk99576829"/>
      <w:r w:rsidRPr="00481068">
        <w:rPr>
          <w:rFonts w:ascii="Arial" w:hAnsi="Arial" w:cs="Arial"/>
          <w:bCs/>
          <w:sz w:val="22"/>
          <w:lang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481068">
        <w:rPr>
          <w:rFonts w:ascii="Arial" w:hAnsi="Arial" w:cs="Arial"/>
          <w:bCs/>
          <w:sz w:val="22"/>
          <w:vertAlign w:val="superscript"/>
          <w:lang w:eastAsia="es-CO"/>
        </w:rPr>
        <w:footnoteReference w:id="3"/>
      </w:r>
      <w:r w:rsidRPr="00481068">
        <w:rPr>
          <w:rFonts w:ascii="Arial" w:hAnsi="Arial" w:cs="Arial"/>
          <w:bCs/>
          <w:sz w:val="22"/>
          <w:lang w:eastAsia="es-CO"/>
        </w:rPr>
        <w:t>. En esta medida, introduce limitaciones para realizar nombramientos, postulaciones, contrataciones o cualquier otro tipo de actividad que implique destinación de recursos públicos bajo el devenir propio de las entidades estatales.</w:t>
      </w:r>
      <w:r w:rsidRPr="00481068">
        <w:rPr>
          <w:rFonts w:ascii="Arial" w:eastAsia="Calibri" w:hAnsi="Arial" w:cs="Arial"/>
          <w:noProof/>
          <w:sz w:val="22"/>
          <w:lang w:val="es-ES_tradnl"/>
        </w:rPr>
        <w:t xml:space="preserve"> </w:t>
      </w:r>
      <w:bookmarkEnd w:id="10"/>
      <w:r w:rsidRPr="00481068">
        <w:rPr>
          <w:rFonts w:ascii="Arial" w:hAnsi="Arial" w:cs="Arial"/>
          <w:bCs/>
          <w:sz w:val="22"/>
          <w:lang w:eastAsia="es-CO"/>
        </w:rPr>
        <w:t>En armonía con lo anterior, la Corte Constitucional ha abordado la definición de la Ley de Garantías Electorales. De esta manera, explica que tiene como propósito:</w:t>
      </w:r>
    </w:p>
    <w:p w14:paraId="31E2EF7A" w14:textId="77777777" w:rsidR="00893407" w:rsidRPr="00481068" w:rsidRDefault="00893407" w:rsidP="00893407">
      <w:pPr>
        <w:spacing w:line="276" w:lineRule="auto"/>
        <w:ind w:right="709"/>
        <w:contextualSpacing/>
        <w:jc w:val="both"/>
        <w:rPr>
          <w:rFonts w:ascii="Arial" w:hAnsi="Arial" w:cs="Arial"/>
          <w:sz w:val="22"/>
          <w:lang w:val="es-ES" w:eastAsia="es-CO"/>
        </w:rPr>
      </w:pPr>
    </w:p>
    <w:p w14:paraId="6A09DF34" w14:textId="77777777" w:rsidR="00893407" w:rsidRPr="00481068" w:rsidRDefault="00893407" w:rsidP="00893407">
      <w:pPr>
        <w:ind w:left="709" w:right="709"/>
        <w:contextualSpacing/>
        <w:jc w:val="both"/>
        <w:rPr>
          <w:rFonts w:ascii="Arial" w:hAnsi="Arial" w:cs="Arial"/>
          <w:bCs/>
          <w:sz w:val="21"/>
          <w:szCs w:val="21"/>
          <w:lang w:eastAsia="es-CO"/>
        </w:rPr>
      </w:pPr>
      <w:r w:rsidRPr="00481068">
        <w:rPr>
          <w:rFonts w:ascii="Arial" w:hAnsi="Arial" w:cs="Arial"/>
          <w:sz w:val="21"/>
          <w:szCs w:val="21"/>
          <w:lang w:val="es-ES" w:eastAsia="es-CO"/>
        </w:rPr>
        <w:t xml:space="preserve">[…] </w:t>
      </w:r>
      <w:r w:rsidRPr="00481068">
        <w:rPr>
          <w:rFonts w:ascii="Arial"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17C4BD76" w14:textId="77777777" w:rsidR="00893407" w:rsidRPr="00481068" w:rsidRDefault="00893407" w:rsidP="00893407">
      <w:pPr>
        <w:ind w:left="709" w:right="709"/>
        <w:contextualSpacing/>
        <w:jc w:val="both"/>
        <w:rPr>
          <w:rFonts w:ascii="Arial" w:hAnsi="Arial" w:cs="Arial"/>
          <w:bCs/>
          <w:sz w:val="21"/>
          <w:szCs w:val="21"/>
          <w:lang w:eastAsia="es-CO"/>
        </w:rPr>
      </w:pPr>
      <w:r w:rsidRPr="00481068">
        <w:rPr>
          <w:rFonts w:ascii="Arial" w:hAnsi="Arial" w:cs="Arial"/>
          <w:bCs/>
          <w:sz w:val="21"/>
          <w:szCs w:val="21"/>
          <w:lang w:eastAsia="es-CO"/>
        </w:rPr>
        <w:t xml:space="preserve">[…] </w:t>
      </w:r>
    </w:p>
    <w:p w14:paraId="71A51D19" w14:textId="77777777" w:rsidR="00893407" w:rsidRPr="00481068" w:rsidRDefault="00893407" w:rsidP="00893407">
      <w:pPr>
        <w:ind w:right="709"/>
        <w:contextualSpacing/>
        <w:jc w:val="both"/>
        <w:rPr>
          <w:rFonts w:ascii="Arial" w:hAnsi="Arial" w:cs="Arial"/>
          <w:bCs/>
          <w:sz w:val="21"/>
          <w:szCs w:val="21"/>
          <w:lang w:eastAsia="es-CO"/>
        </w:rPr>
      </w:pPr>
    </w:p>
    <w:p w14:paraId="665A41FD" w14:textId="77777777" w:rsidR="00893407" w:rsidRPr="00481068" w:rsidRDefault="00893407" w:rsidP="00893407">
      <w:pPr>
        <w:ind w:left="709" w:right="709"/>
        <w:contextualSpacing/>
        <w:jc w:val="both"/>
        <w:rPr>
          <w:rFonts w:ascii="Arial" w:hAnsi="Arial" w:cs="Arial"/>
          <w:bCs/>
          <w:sz w:val="21"/>
          <w:szCs w:val="21"/>
          <w:lang w:eastAsia="es-CO"/>
        </w:rPr>
      </w:pPr>
      <w:r w:rsidRPr="00481068">
        <w:rPr>
          <w:rFonts w:ascii="Arial"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481068">
        <w:rPr>
          <w:rFonts w:ascii="Arial" w:eastAsia="Calibri" w:hAnsi="Arial" w:cs="Arial"/>
          <w:sz w:val="20"/>
          <w:szCs w:val="20"/>
          <w:vertAlign w:val="superscript"/>
        </w:rPr>
        <w:footnoteReference w:id="4"/>
      </w:r>
    </w:p>
    <w:p w14:paraId="2FA27522" w14:textId="77777777" w:rsidR="00893407" w:rsidRPr="00481068" w:rsidRDefault="00893407" w:rsidP="00893407">
      <w:pPr>
        <w:spacing w:line="276" w:lineRule="auto"/>
        <w:ind w:left="709" w:right="709"/>
        <w:contextualSpacing/>
        <w:jc w:val="both"/>
        <w:rPr>
          <w:rFonts w:ascii="Arial" w:hAnsi="Arial" w:cs="Arial"/>
          <w:bCs/>
          <w:sz w:val="22"/>
          <w:lang w:eastAsia="es-CO"/>
        </w:rPr>
      </w:pPr>
    </w:p>
    <w:p w14:paraId="06745440" w14:textId="77777777" w:rsidR="00893407" w:rsidRPr="00481068" w:rsidRDefault="00893407" w:rsidP="00893407">
      <w:pPr>
        <w:spacing w:line="276" w:lineRule="auto"/>
        <w:ind w:firstLine="709"/>
        <w:jc w:val="both"/>
        <w:rPr>
          <w:rFonts w:ascii="Arial" w:hAnsi="Arial" w:cs="Arial"/>
          <w:bCs/>
          <w:sz w:val="22"/>
          <w:lang w:eastAsia="es-CO"/>
        </w:rPr>
      </w:pPr>
      <w:bookmarkStart w:id="11" w:name="_Hlk78818186"/>
      <w:r w:rsidRPr="00481068">
        <w:rPr>
          <w:rFonts w:ascii="Arial" w:hAnsi="Arial" w:cs="Arial"/>
          <w:bCs/>
          <w:sz w:val="22"/>
          <w:lang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w:t>
      </w:r>
      <w:r w:rsidRPr="00481068">
        <w:rPr>
          <w:rFonts w:ascii="Arial" w:hAnsi="Arial" w:cs="Arial"/>
          <w:bCs/>
          <w:sz w:val="22"/>
          <w:lang w:eastAsia="es-CO"/>
        </w:rPr>
        <w:lastRenderedPageBreak/>
        <w:t xml:space="preserve">públicos, evitando interferencias en la contienda electoral, así como la posible desviación de recursos públicos en aspiraciones electorales. </w:t>
      </w:r>
      <w:bookmarkEnd w:id="11"/>
      <w:r w:rsidRPr="00481068">
        <w:rPr>
          <w:rFonts w:ascii="Arial" w:hAnsi="Arial" w:cs="Arial"/>
          <w:bCs/>
          <w:sz w:val="22"/>
          <w:lang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37D0C5E3" w14:textId="77777777" w:rsidR="00893407" w:rsidRPr="00481068" w:rsidRDefault="00893407" w:rsidP="00893407">
      <w:pPr>
        <w:spacing w:line="276" w:lineRule="auto"/>
        <w:ind w:firstLine="709"/>
        <w:contextualSpacing/>
        <w:jc w:val="both"/>
        <w:rPr>
          <w:rFonts w:ascii="Arial" w:hAnsi="Arial" w:cs="Arial"/>
          <w:bCs/>
          <w:sz w:val="22"/>
          <w:lang w:eastAsia="es-CO"/>
        </w:rPr>
      </w:pPr>
    </w:p>
    <w:p w14:paraId="5F445680" w14:textId="77777777" w:rsidR="00893407" w:rsidRPr="00481068" w:rsidRDefault="00893407" w:rsidP="00893407">
      <w:pPr>
        <w:ind w:left="709" w:right="709"/>
        <w:contextualSpacing/>
        <w:jc w:val="both"/>
        <w:rPr>
          <w:rFonts w:ascii="Arial" w:hAnsi="Arial" w:cs="Arial"/>
          <w:bCs/>
          <w:sz w:val="21"/>
          <w:szCs w:val="21"/>
          <w:lang w:eastAsia="es-CO"/>
        </w:rPr>
      </w:pPr>
      <w:r w:rsidRPr="00481068">
        <w:rPr>
          <w:rFonts w:ascii="Arial"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481068">
        <w:rPr>
          <w:rFonts w:ascii="Arial" w:hAnsi="Arial" w:cs="Arial"/>
          <w:bCs/>
          <w:sz w:val="21"/>
          <w:szCs w:val="21"/>
          <w:lang w:eastAsia="es-CO"/>
        </w:rPr>
        <w:t>legis</w:t>
      </w:r>
      <w:proofErr w:type="spellEnd"/>
      <w:r w:rsidRPr="00481068">
        <w:rPr>
          <w:rFonts w:ascii="Arial" w:hAnsi="Arial" w:cs="Arial"/>
          <w:bCs/>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5BB75FD0" w14:textId="77777777" w:rsidR="00893407" w:rsidRPr="00481068" w:rsidRDefault="00893407" w:rsidP="00893407">
      <w:pPr>
        <w:ind w:left="709" w:right="709"/>
        <w:contextualSpacing/>
        <w:jc w:val="both"/>
        <w:rPr>
          <w:rFonts w:ascii="Arial" w:hAnsi="Arial" w:cs="Arial"/>
          <w:bCs/>
          <w:sz w:val="21"/>
          <w:szCs w:val="21"/>
          <w:lang w:eastAsia="es-CO"/>
        </w:rPr>
      </w:pPr>
    </w:p>
    <w:p w14:paraId="24E39D4F" w14:textId="77777777" w:rsidR="00893407" w:rsidRPr="00481068" w:rsidRDefault="00893407" w:rsidP="00893407">
      <w:pPr>
        <w:ind w:left="709" w:right="709"/>
        <w:contextualSpacing/>
        <w:jc w:val="both"/>
        <w:rPr>
          <w:rFonts w:ascii="Arial" w:hAnsi="Arial" w:cs="Arial"/>
          <w:bCs/>
          <w:sz w:val="21"/>
          <w:szCs w:val="21"/>
          <w:lang w:eastAsia="es-CO"/>
        </w:rPr>
      </w:pPr>
      <w:r w:rsidRPr="00481068">
        <w:rPr>
          <w:rFonts w:ascii="Arial" w:hAnsi="Arial" w:cs="Arial"/>
          <w:bCs/>
          <w:sz w:val="21"/>
          <w:szCs w:val="21"/>
          <w:lang w:eastAsia="es-CO"/>
        </w:rPr>
        <w:t>La jurisprudencia de la Corte Constitucional</w:t>
      </w:r>
      <w:r w:rsidRPr="00481068">
        <w:rPr>
          <w:rFonts w:ascii="Arial" w:hAnsi="Arial" w:cs="Arial"/>
          <w:bCs/>
          <w:sz w:val="21"/>
          <w:szCs w:val="21"/>
          <w:vertAlign w:val="superscript"/>
          <w:lang w:eastAsia="es-CO"/>
        </w:rPr>
        <w:footnoteReference w:id="5"/>
      </w:r>
      <w:r w:rsidRPr="00481068">
        <w:rPr>
          <w:rFonts w:ascii="Arial" w:hAnsi="Arial" w:cs="Arial"/>
          <w:bCs/>
          <w:sz w:val="21"/>
          <w:szCs w:val="21"/>
          <w:lang w:eastAsia="es-CO"/>
        </w:rPr>
        <w:t> y del Consejo de Estado</w:t>
      </w:r>
      <w:r w:rsidRPr="00481068">
        <w:rPr>
          <w:rFonts w:ascii="Arial" w:hAnsi="Arial" w:cs="Arial"/>
          <w:bCs/>
          <w:sz w:val="21"/>
          <w:szCs w:val="21"/>
          <w:vertAlign w:val="superscript"/>
          <w:lang w:eastAsia="es-CO"/>
        </w:rPr>
        <w:footnoteReference w:id="6"/>
      </w:r>
      <w:r w:rsidRPr="00481068">
        <w:rPr>
          <w:rFonts w:ascii="Arial" w:hAnsi="Arial" w:cs="Arial"/>
          <w:bCs/>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Pr>
          <w:rFonts w:ascii="Arial" w:hAnsi="Arial" w:cs="Arial"/>
          <w:bCs/>
          <w:sz w:val="21"/>
          <w:szCs w:val="21"/>
          <w:lang w:eastAsia="es-CO"/>
        </w:rPr>
        <w:t>.</w:t>
      </w:r>
      <w:r w:rsidRPr="00481068">
        <w:rPr>
          <w:rFonts w:ascii="Arial" w:hAnsi="Arial" w:cs="Arial"/>
          <w:bCs/>
          <w:vertAlign w:val="superscript"/>
          <w:lang w:eastAsia="es-CO"/>
        </w:rPr>
        <w:footnoteReference w:id="7"/>
      </w:r>
    </w:p>
    <w:p w14:paraId="4B16A502" w14:textId="77777777" w:rsidR="00893407" w:rsidRPr="00481068" w:rsidRDefault="00893407" w:rsidP="00893407">
      <w:pPr>
        <w:spacing w:line="276" w:lineRule="auto"/>
        <w:ind w:right="709"/>
        <w:contextualSpacing/>
        <w:jc w:val="both"/>
        <w:rPr>
          <w:rFonts w:ascii="Arial" w:hAnsi="Arial" w:cs="Arial"/>
          <w:bCs/>
          <w:sz w:val="22"/>
          <w:lang w:eastAsia="es-CO"/>
        </w:rPr>
      </w:pPr>
    </w:p>
    <w:p w14:paraId="3EC5183E" w14:textId="77777777" w:rsidR="00893407" w:rsidRPr="00481068" w:rsidRDefault="00893407" w:rsidP="00893407">
      <w:pPr>
        <w:spacing w:after="120" w:line="276" w:lineRule="auto"/>
        <w:jc w:val="both"/>
        <w:rPr>
          <w:rFonts w:ascii="Arial" w:eastAsia="Arial" w:hAnsi="Arial" w:cs="Arial"/>
          <w:sz w:val="22"/>
          <w:lang w:val="es-ES" w:eastAsia="es-ES" w:bidi="es-ES"/>
        </w:rPr>
      </w:pPr>
      <w:r w:rsidRPr="00481068">
        <w:rPr>
          <w:rFonts w:ascii="Arial" w:hAnsi="Arial" w:cs="Arial"/>
          <w:bCs/>
          <w:sz w:val="22"/>
          <w:lang w:eastAsia="es-CO"/>
        </w:rPr>
        <w:tab/>
        <w:t>De</w:t>
      </w:r>
      <w:r w:rsidRPr="00481068">
        <w:rPr>
          <w:rFonts w:ascii="Arial" w:eastAsia="Arial" w:hAnsi="Arial" w:cs="Arial"/>
          <w:sz w:val="22"/>
          <w:lang w:val="es-ES" w:eastAsia="es-ES" w:bidi="es-ES"/>
        </w:rPr>
        <w:t xml:space="preserve"> conformidad con lo anterior, </w:t>
      </w:r>
      <w:bookmarkStart w:id="12" w:name="_Hlk77236098"/>
      <w:r w:rsidRPr="00481068">
        <w:rPr>
          <w:rFonts w:ascii="Arial" w:eastAsia="Arial" w:hAnsi="Arial" w:cs="Arial"/>
          <w:sz w:val="22"/>
          <w:lang w:val="es-ES" w:eastAsia="es-ES" w:bidi="es-ES"/>
        </w:rPr>
        <w:t xml:space="preserve">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w:t>
      </w:r>
      <w:r w:rsidRPr="00481068">
        <w:rPr>
          <w:rFonts w:ascii="Arial" w:eastAsia="Arial" w:hAnsi="Arial" w:cs="Arial"/>
          <w:sz w:val="22"/>
          <w:lang w:val="es-ES" w:eastAsia="es-ES" w:bidi="es-ES"/>
        </w:rPr>
        <w:lastRenderedPageBreak/>
        <w:t>demás que se adelanten para la elección de los demás cargos de elección popular, tanto a nivel nacional como territorial.</w:t>
      </w:r>
      <w:bookmarkEnd w:id="12"/>
    </w:p>
    <w:p w14:paraId="2A3FC62F" w14:textId="77777777" w:rsidR="00893407" w:rsidRPr="00481068" w:rsidRDefault="00893407" w:rsidP="00893407">
      <w:pPr>
        <w:spacing w:after="120" w:line="276" w:lineRule="auto"/>
        <w:ind w:firstLine="708"/>
        <w:jc w:val="both"/>
        <w:rPr>
          <w:rFonts w:ascii="Arial" w:eastAsia="Calibri" w:hAnsi="Arial" w:cs="Arial"/>
          <w:sz w:val="22"/>
        </w:rPr>
      </w:pPr>
      <w:r w:rsidRPr="00481068">
        <w:rPr>
          <w:rFonts w:ascii="Arial" w:eastAsia="Calibri" w:hAnsi="Arial" w:cs="Arial"/>
          <w:sz w:val="22"/>
        </w:rPr>
        <w:t xml:space="preserve">Por un lado, el artículo 33 de la Ley 996 de 2005 prohíbe </w:t>
      </w:r>
      <w:r w:rsidRPr="00481068">
        <w:rPr>
          <w:rFonts w:ascii="Arial" w:eastAsia="Calibri" w:hAnsi="Arial" w:cs="Arial"/>
          <w:bCs/>
          <w:sz w:val="22"/>
        </w:rPr>
        <w:t xml:space="preserve">«[…] </w:t>
      </w:r>
      <w:r w:rsidRPr="00481068">
        <w:rPr>
          <w:rFonts w:ascii="Arial" w:eastAsia="Calibri" w:hAnsi="Arial" w:cs="Arial"/>
          <w:sz w:val="22"/>
        </w:rPr>
        <w:t>la contratación directa por parte de todos los entes del Estado</w:t>
      </w:r>
      <w:r w:rsidRPr="00481068">
        <w:rPr>
          <w:rFonts w:ascii="Arial" w:eastAsia="Calibri" w:hAnsi="Arial" w:cs="Arial"/>
          <w:bCs/>
          <w:sz w:val="22"/>
        </w:rPr>
        <w:t>»</w:t>
      </w:r>
      <w:r w:rsidRPr="00481068">
        <w:rPr>
          <w:rFonts w:ascii="Arial" w:eastAsia="Calibri" w:hAnsi="Arial" w:cs="Arial"/>
          <w:sz w:val="22"/>
        </w:rPr>
        <w:t xml:space="preserve"> durante los cuatro (4) meses anteriores a las elecciones presidenciales, salvo </w:t>
      </w:r>
      <w:r w:rsidRPr="00481068">
        <w:rPr>
          <w:rFonts w:ascii="Arial" w:eastAsia="Calibri" w:hAnsi="Arial" w:cs="Arial"/>
          <w:bCs/>
          <w:sz w:val="22"/>
        </w:rPr>
        <w:t xml:space="preserve">«[…] </w:t>
      </w:r>
      <w:r w:rsidRPr="00481068">
        <w:rPr>
          <w:rFonts w:ascii="Arial" w:eastAsia="Calibri" w:hAnsi="Arial" w:cs="Arial"/>
          <w:sz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81068">
        <w:rPr>
          <w:rFonts w:ascii="Arial" w:eastAsia="Calibri" w:hAnsi="Arial" w:cs="Arial"/>
          <w:bCs/>
          <w:sz w:val="22"/>
        </w:rPr>
        <w:t>»</w:t>
      </w:r>
      <w:r w:rsidRPr="00481068">
        <w:rPr>
          <w:rFonts w:ascii="Arial" w:eastAsia="Calibri" w:hAnsi="Arial" w:cs="Arial"/>
          <w:bCs/>
          <w:sz w:val="22"/>
          <w:vertAlign w:val="superscript"/>
        </w:rPr>
        <w:footnoteReference w:id="8"/>
      </w:r>
      <w:r w:rsidRPr="00481068">
        <w:rPr>
          <w:rFonts w:ascii="Arial" w:eastAsia="Calibri" w:hAnsi="Arial" w:cs="Arial"/>
          <w:sz w:val="22"/>
        </w:rPr>
        <w:t>.</w:t>
      </w:r>
    </w:p>
    <w:p w14:paraId="6BA2D3BC" w14:textId="77777777" w:rsidR="00893407" w:rsidRPr="00481068" w:rsidRDefault="00893407" w:rsidP="00893407">
      <w:pPr>
        <w:widowControl w:val="0"/>
        <w:autoSpaceDE w:val="0"/>
        <w:autoSpaceDN w:val="0"/>
        <w:spacing w:line="276" w:lineRule="auto"/>
        <w:ind w:right="113" w:firstLine="708"/>
        <w:contextualSpacing/>
        <w:jc w:val="both"/>
        <w:rPr>
          <w:rFonts w:ascii="Arial" w:eastAsia="Arial" w:hAnsi="Arial" w:cs="Arial"/>
          <w:sz w:val="22"/>
          <w:lang w:val="es-ES" w:eastAsia="es-ES" w:bidi="es-ES"/>
        </w:rPr>
      </w:pPr>
      <w:r w:rsidRPr="00481068">
        <w:rPr>
          <w:rFonts w:ascii="Arial" w:eastAsia="Calibri" w:hAnsi="Arial" w:cs="Arial"/>
          <w:sz w:val="22"/>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481068">
        <w:rPr>
          <w:rFonts w:ascii="Arial" w:eastAsia="Calibri" w:hAnsi="Arial" w:cs="Arial"/>
          <w:bCs/>
          <w:sz w:val="22"/>
        </w:rPr>
        <w:t xml:space="preserve">«[…] </w:t>
      </w:r>
      <w:r w:rsidRPr="00481068">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81068">
        <w:rPr>
          <w:rFonts w:ascii="Arial" w:eastAsia="Calibri" w:hAnsi="Arial" w:cs="Arial"/>
          <w:bCs/>
          <w:sz w:val="22"/>
        </w:rPr>
        <w:t>»</w:t>
      </w:r>
      <w:r w:rsidRPr="00481068">
        <w:rPr>
          <w:rFonts w:ascii="Arial" w:eastAsia="Calibri" w:hAnsi="Arial" w:cs="Arial"/>
          <w:bCs/>
          <w:sz w:val="22"/>
          <w:vertAlign w:val="superscript"/>
        </w:rPr>
        <w:footnoteReference w:id="9"/>
      </w:r>
      <w:r w:rsidRPr="00481068">
        <w:rPr>
          <w:rFonts w:ascii="Arial" w:eastAsia="Calibri" w:hAnsi="Arial" w:cs="Arial"/>
          <w:sz w:val="22"/>
        </w:rPr>
        <w:t>.</w:t>
      </w:r>
      <w:r w:rsidRPr="00481068">
        <w:rPr>
          <w:rFonts w:ascii="Arial" w:eastAsia="Arial" w:hAnsi="Arial" w:cs="Arial"/>
          <w:sz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60A1CB41" w14:textId="77777777" w:rsidR="00893407" w:rsidRPr="00481068" w:rsidRDefault="00893407" w:rsidP="00893407">
      <w:pPr>
        <w:widowControl w:val="0"/>
        <w:autoSpaceDE w:val="0"/>
        <w:autoSpaceDN w:val="0"/>
        <w:spacing w:line="276" w:lineRule="auto"/>
        <w:ind w:left="805" w:right="812"/>
        <w:contextualSpacing/>
        <w:jc w:val="both"/>
        <w:rPr>
          <w:rFonts w:ascii="Arial" w:eastAsia="Arial" w:hAnsi="Arial" w:cs="Arial"/>
          <w:sz w:val="22"/>
          <w:lang w:val="es-ES" w:eastAsia="es-ES" w:bidi="es-ES"/>
        </w:rPr>
      </w:pPr>
    </w:p>
    <w:p w14:paraId="39FF7579" w14:textId="77777777" w:rsidR="00893407" w:rsidRPr="00481068" w:rsidRDefault="00893407" w:rsidP="00893407">
      <w:pPr>
        <w:widowControl w:val="0"/>
        <w:autoSpaceDE w:val="0"/>
        <w:autoSpaceDN w:val="0"/>
        <w:ind w:left="709" w:right="709"/>
        <w:contextualSpacing/>
        <w:jc w:val="both"/>
        <w:rPr>
          <w:rFonts w:ascii="Arial" w:eastAsia="Arial" w:hAnsi="Arial" w:cs="Arial"/>
          <w:sz w:val="21"/>
          <w:szCs w:val="21"/>
          <w:lang w:val="es-ES" w:eastAsia="es-ES" w:bidi="es-ES"/>
        </w:rPr>
      </w:pPr>
      <w:r w:rsidRPr="00481068">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w:t>
      </w:r>
      <w:r w:rsidRPr="00481068">
        <w:rPr>
          <w:rFonts w:ascii="Arial" w:eastAsia="Arial" w:hAnsi="Arial" w:cs="Arial"/>
          <w:sz w:val="21"/>
          <w:szCs w:val="21"/>
          <w:lang w:val="es-ES" w:eastAsia="es-ES" w:bidi="es-ES"/>
        </w:rPr>
        <w:lastRenderedPageBreak/>
        <w:t xml:space="preserve">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5" w:name="_Hlk76109421"/>
      <w:r w:rsidRPr="00481068">
        <w:rPr>
          <w:rFonts w:ascii="Arial" w:eastAsia="Arial" w:hAnsi="Arial" w:cs="Arial"/>
          <w:sz w:val="21"/>
          <w:szCs w:val="21"/>
          <w:lang w:val="es-ES" w:eastAsia="es-ES" w:bidi="es-ES"/>
        </w:rPr>
        <w:t>se integran parcialmente</w:t>
      </w:r>
      <w:bookmarkEnd w:id="15"/>
      <w:r w:rsidRPr="00481068">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481068">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481068">
        <w:rPr>
          <w:rFonts w:ascii="Arial" w:eastAsia="Arial" w:hAnsi="Arial" w:cs="Arial"/>
          <w:sz w:val="21"/>
          <w:szCs w:val="21"/>
          <w:lang w:val="es-ES" w:eastAsia="es-ES" w:bidi="es-ES"/>
        </w:rPr>
        <w:t>.</w:t>
      </w:r>
      <w:r w:rsidRPr="00481068">
        <w:rPr>
          <w:rFonts w:ascii="Arial" w:eastAsia="Arial" w:hAnsi="Arial" w:cs="Arial"/>
          <w:sz w:val="21"/>
          <w:szCs w:val="21"/>
          <w:vertAlign w:val="superscript"/>
          <w:lang w:val="es-ES" w:eastAsia="es-ES" w:bidi="es-ES"/>
        </w:rPr>
        <w:footnoteReference w:id="10"/>
      </w:r>
    </w:p>
    <w:p w14:paraId="184A7C46" w14:textId="77777777" w:rsidR="00893407" w:rsidRPr="00481068" w:rsidRDefault="00893407" w:rsidP="00893407">
      <w:pPr>
        <w:widowControl w:val="0"/>
        <w:autoSpaceDE w:val="0"/>
        <w:autoSpaceDN w:val="0"/>
        <w:spacing w:line="276" w:lineRule="auto"/>
        <w:contextualSpacing/>
        <w:rPr>
          <w:rFonts w:ascii="Arial" w:eastAsia="Arial" w:hAnsi="Arial" w:cs="Arial"/>
          <w:sz w:val="22"/>
          <w:lang w:val="es-ES" w:eastAsia="es-ES" w:bidi="es-ES"/>
        </w:rPr>
      </w:pPr>
    </w:p>
    <w:p w14:paraId="7C8E50AF" w14:textId="77777777" w:rsidR="00893407" w:rsidRPr="00481068" w:rsidRDefault="00893407" w:rsidP="00893407">
      <w:pPr>
        <w:spacing w:after="120" w:line="276" w:lineRule="auto"/>
        <w:ind w:firstLine="709"/>
        <w:jc w:val="both"/>
        <w:rPr>
          <w:rFonts w:ascii="Arial" w:eastAsia="Arial" w:hAnsi="Arial" w:cs="Arial"/>
          <w:sz w:val="22"/>
          <w:lang w:val="es-ES" w:eastAsia="es-ES" w:bidi="es-ES"/>
        </w:rPr>
      </w:pPr>
      <w:r w:rsidRPr="00481068">
        <w:rPr>
          <w:rFonts w:ascii="Arial" w:eastAsia="Arial" w:hAnsi="Arial" w:cs="Arial"/>
          <w:sz w:val="22"/>
          <w:lang w:val="es-ES" w:eastAsia="es-ES" w:bidi="es-ES"/>
        </w:rPr>
        <w:t xml:space="preserve">De conformidad con lo anterior, </w:t>
      </w:r>
      <w:bookmarkStart w:id="16" w:name="_Hlk77236420"/>
      <w:bookmarkStart w:id="17" w:name="_Hlk78818435"/>
      <w:bookmarkStart w:id="18" w:name="_Hlk75780333"/>
      <w:r w:rsidRPr="00481068">
        <w:rPr>
          <w:rFonts w:ascii="Arial" w:eastAsia="Arial" w:hAnsi="Arial" w:cs="Arial"/>
          <w:sz w:val="22"/>
          <w:lang w:val="es-ES" w:eastAsia="es-ES" w:bidi="es-ES"/>
        </w:rPr>
        <w:t xml:space="preserve">la Ley 996 de 2005 establece dos (2) tipos de restricciones en materia de contratación, las cuales coinciden parcialmente. </w:t>
      </w:r>
      <w:r w:rsidRPr="00481068">
        <w:rPr>
          <w:rFonts w:ascii="Arial" w:eastAsia="Arial" w:hAnsi="Arial" w:cs="Arial"/>
          <w:i/>
          <w:iCs/>
          <w:sz w:val="22"/>
          <w:lang w:val="es-ES" w:eastAsia="es-ES" w:bidi="es-ES"/>
        </w:rPr>
        <w:t>En primer lugar</w:t>
      </w:r>
      <w:r w:rsidRPr="00481068">
        <w:rPr>
          <w:rFonts w:ascii="Arial" w:eastAsia="Arial" w:hAnsi="Arial" w:cs="Arial"/>
          <w:sz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481068">
        <w:rPr>
          <w:rFonts w:ascii="Arial" w:eastAsia="Arial" w:hAnsi="Arial" w:cs="Arial"/>
          <w:i/>
          <w:iCs/>
          <w:sz w:val="22"/>
          <w:lang w:val="es-ES" w:eastAsia="es-ES" w:bidi="es-ES"/>
        </w:rPr>
        <w:t>En segundo lugar</w:t>
      </w:r>
      <w:r w:rsidRPr="00481068">
        <w:rPr>
          <w:rFonts w:ascii="Arial" w:eastAsia="Arial" w:hAnsi="Arial" w:cs="Arial"/>
          <w:sz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6"/>
    </w:p>
    <w:bookmarkEnd w:id="17"/>
    <w:p w14:paraId="7ABA3FCF" w14:textId="77777777" w:rsidR="00893407" w:rsidRPr="00481068" w:rsidRDefault="00893407" w:rsidP="00893407">
      <w:pPr>
        <w:spacing w:after="120" w:line="276" w:lineRule="auto"/>
        <w:ind w:firstLine="709"/>
        <w:jc w:val="both"/>
        <w:rPr>
          <w:rFonts w:ascii="Arial" w:eastAsia="Arial" w:hAnsi="Arial" w:cs="Arial"/>
          <w:sz w:val="22"/>
          <w:lang w:val="es-ES" w:eastAsia="es-ES" w:bidi="es-ES"/>
        </w:rPr>
      </w:pPr>
      <w:r w:rsidRPr="00481068">
        <w:rPr>
          <w:rFonts w:ascii="Arial" w:eastAsia="Arial" w:hAnsi="Arial" w:cs="Arial"/>
          <w:sz w:val="22"/>
          <w:lang w:val="es-ES"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bookmarkEnd w:id="18"/>
    <w:p w14:paraId="562EDA50" w14:textId="77777777" w:rsidR="00893407" w:rsidRPr="00481068" w:rsidRDefault="00893407" w:rsidP="00893407">
      <w:pPr>
        <w:spacing w:before="120" w:line="276" w:lineRule="auto"/>
        <w:ind w:firstLine="708"/>
        <w:jc w:val="both"/>
        <w:rPr>
          <w:rFonts w:ascii="Arial" w:eastAsia="Arial" w:hAnsi="Arial" w:cs="Arial"/>
          <w:sz w:val="22"/>
          <w:lang w:val="es-ES_tradnl" w:eastAsia="es-ES" w:bidi="es-ES"/>
        </w:rPr>
      </w:pPr>
      <w:r w:rsidRPr="00481068">
        <w:rPr>
          <w:rFonts w:ascii="Arial" w:eastAsia="Arial" w:hAnsi="Arial" w:cs="Arial"/>
          <w:sz w:val="22"/>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w:t>
      </w:r>
      <w:r w:rsidRPr="00481068">
        <w:rPr>
          <w:rFonts w:ascii="Arial" w:eastAsia="Arial" w:hAnsi="Arial" w:cs="Arial"/>
          <w:sz w:val="22"/>
          <w:lang w:val="es-ES" w:eastAsia="es-ES" w:bidi="es-ES"/>
        </w:rPr>
        <w:lastRenderedPageBreak/>
        <w:t xml:space="preserve">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5E7A217A" w14:textId="77777777" w:rsidR="00893407" w:rsidRPr="00481068" w:rsidRDefault="00893407" w:rsidP="00893407">
      <w:pPr>
        <w:spacing w:line="276" w:lineRule="auto"/>
        <w:jc w:val="both"/>
        <w:rPr>
          <w:rFonts w:ascii="Arial" w:eastAsia="Calibri" w:hAnsi="Arial" w:cs="Arial"/>
          <w:b/>
          <w:sz w:val="22"/>
          <w:lang w:val="es-ES_tradnl" w:eastAsia="es-CO"/>
        </w:rPr>
      </w:pPr>
      <w:r w:rsidRPr="00481068">
        <w:rPr>
          <w:rFonts w:ascii="Arial" w:eastAsia="Calibri" w:hAnsi="Arial" w:cs="Arial"/>
          <w:b/>
          <w:sz w:val="22"/>
          <w:lang w:val="es-ES_tradnl" w:eastAsia="es-CO"/>
        </w:rPr>
        <w:t xml:space="preserve">2.2. </w:t>
      </w:r>
      <w:r w:rsidRPr="00481068">
        <w:rPr>
          <w:rFonts w:ascii="Arial" w:eastAsia="Calibri" w:hAnsi="Arial" w:cs="Arial"/>
          <w:b/>
          <w:bCs/>
          <w:sz w:val="22"/>
          <w:lang w:val="es-ES_tradnl" w:eastAsia="es-CO"/>
        </w:rPr>
        <w:t>Restricciones en elecciones presidenciales: prohibición del artículo 33 de la Ley 996 de 2005</w:t>
      </w:r>
    </w:p>
    <w:p w14:paraId="0E632D2D" w14:textId="77777777" w:rsidR="00893407" w:rsidRPr="00481068" w:rsidRDefault="00893407" w:rsidP="00893407">
      <w:pPr>
        <w:spacing w:line="276" w:lineRule="auto"/>
        <w:jc w:val="both"/>
        <w:rPr>
          <w:rFonts w:ascii="Arial" w:eastAsia="Calibri" w:hAnsi="Arial" w:cs="Arial"/>
          <w:bCs/>
          <w:sz w:val="22"/>
          <w:lang w:val="es-ES_tradnl" w:eastAsia="x-none"/>
        </w:rPr>
      </w:pPr>
    </w:p>
    <w:p w14:paraId="0DC8C163" w14:textId="77777777" w:rsidR="00893407" w:rsidRPr="00481068" w:rsidRDefault="00893407" w:rsidP="00893407">
      <w:pPr>
        <w:spacing w:line="276" w:lineRule="auto"/>
        <w:jc w:val="both"/>
        <w:rPr>
          <w:rFonts w:ascii="Arial" w:eastAsia="Calibri" w:hAnsi="Arial" w:cs="Arial"/>
          <w:bCs/>
          <w:sz w:val="22"/>
          <w:lang w:val="es-ES_tradnl" w:eastAsia="es-CO"/>
        </w:rPr>
      </w:pPr>
      <w:r w:rsidRPr="00481068">
        <w:rPr>
          <w:rFonts w:ascii="Arial" w:eastAsia="Calibri" w:hAnsi="Arial" w:cs="Arial"/>
          <w:bCs/>
          <w:sz w:val="22"/>
          <w:lang w:val="es-ES_tradnl" w:eastAsia="x-none"/>
        </w:rPr>
        <w:t xml:space="preserve">El ámbito material de la prohibición contenida en el artículo 33 de la ley 996 de 2005 está delimitado por la expresión </w:t>
      </w:r>
      <w:r w:rsidRPr="00481068">
        <w:rPr>
          <w:rFonts w:ascii="Arial" w:eastAsia="Calibri" w:hAnsi="Arial" w:cs="Arial"/>
          <w:bCs/>
          <w:sz w:val="20"/>
          <w:szCs w:val="20"/>
          <w:lang w:val="es-ES_tradnl"/>
        </w:rPr>
        <w:t>«</w:t>
      </w:r>
      <w:r w:rsidRPr="00481068">
        <w:rPr>
          <w:rFonts w:ascii="Arial" w:eastAsia="Calibri" w:hAnsi="Arial" w:cs="Arial"/>
          <w:bCs/>
          <w:sz w:val="22"/>
          <w:lang w:val="es-ES_tradnl" w:eastAsia="x-none"/>
        </w:rPr>
        <w:t>queda prohibida la contratación directa</w:t>
      </w:r>
      <w:r w:rsidRPr="00481068">
        <w:rPr>
          <w:rFonts w:ascii="Arial" w:eastAsia="Calibri" w:hAnsi="Arial" w:cs="Arial"/>
          <w:sz w:val="20"/>
          <w:szCs w:val="20"/>
          <w:lang w:val="es-ES_tradnl"/>
        </w:rPr>
        <w:t>»</w:t>
      </w:r>
      <w:r w:rsidRPr="00481068">
        <w:rPr>
          <w:rFonts w:ascii="Arial" w:eastAsia="Calibri" w:hAnsi="Arial" w:cs="Arial"/>
          <w:bCs/>
          <w:sz w:val="22"/>
          <w:lang w:val="es-ES_tradnl" w:eastAsia="x-none"/>
        </w:rPr>
        <w:t xml:space="preserve">. </w:t>
      </w:r>
      <w:r w:rsidRPr="00481068">
        <w:rPr>
          <w:rFonts w:ascii="Arial" w:eastAsia="Calibri" w:hAnsi="Arial" w:cs="Arial"/>
          <w:sz w:val="22"/>
          <w:lang w:val="es-ES_tradnl" w:eastAsia="es-CO"/>
        </w:rPr>
        <w:t xml:space="preserve"> A propósito de esta restricción de la Ley de Garantías Electorales, la Sala de Consulta y Servicio Civil del Consejo de Estado ha considerado que:</w:t>
      </w:r>
    </w:p>
    <w:p w14:paraId="69AFA29E" w14:textId="77777777" w:rsidR="00893407" w:rsidRPr="00481068" w:rsidRDefault="00893407" w:rsidP="00893407">
      <w:pPr>
        <w:spacing w:line="259" w:lineRule="auto"/>
        <w:ind w:left="708" w:right="709"/>
        <w:jc w:val="both"/>
        <w:rPr>
          <w:rFonts w:ascii="Arial" w:eastAsia="Calibri" w:hAnsi="Arial" w:cs="Arial"/>
          <w:sz w:val="22"/>
          <w:lang w:val="es-ES_tradnl"/>
        </w:rPr>
      </w:pPr>
    </w:p>
    <w:p w14:paraId="11FE7552" w14:textId="77777777" w:rsidR="00893407" w:rsidRPr="00481068" w:rsidRDefault="00893407" w:rsidP="00893407">
      <w:pPr>
        <w:spacing w:after="120"/>
        <w:ind w:left="709" w:right="709"/>
        <w:jc w:val="both"/>
        <w:rPr>
          <w:rFonts w:ascii="Arial" w:eastAsia="Calibri" w:hAnsi="Arial" w:cs="Arial"/>
          <w:sz w:val="21"/>
          <w:szCs w:val="21"/>
          <w:lang w:val="es-ES_tradnl"/>
        </w:rPr>
      </w:pPr>
      <w:r w:rsidRPr="00481068">
        <w:rPr>
          <w:rFonts w:ascii="Arial" w:eastAsia="Calibri" w:hAnsi="Arial" w:cs="Arial"/>
          <w:sz w:val="21"/>
          <w:szCs w:val="21"/>
          <w:lang w:val="es-ES_tradnl"/>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481068">
        <w:rPr>
          <w:rFonts w:ascii="Arial" w:eastAsia="Calibri" w:hAnsi="Arial" w:cs="Arial"/>
          <w:sz w:val="21"/>
          <w:szCs w:val="21"/>
          <w:vertAlign w:val="superscript"/>
        </w:rPr>
        <w:footnoteReference w:id="11"/>
      </w:r>
      <w:r w:rsidRPr="00481068">
        <w:rPr>
          <w:rFonts w:ascii="Arial" w:eastAsia="Calibri" w:hAnsi="Arial" w:cs="Arial"/>
          <w:sz w:val="21"/>
          <w:szCs w:val="21"/>
          <w:lang w:val="es-ES_tradnl"/>
        </w:rPr>
        <w:t>.</w:t>
      </w:r>
    </w:p>
    <w:p w14:paraId="69E7902C" w14:textId="77777777" w:rsidR="00893407" w:rsidRPr="00481068" w:rsidRDefault="00893407" w:rsidP="00893407">
      <w:pPr>
        <w:ind w:left="708" w:right="709"/>
        <w:jc w:val="both"/>
        <w:rPr>
          <w:rFonts w:ascii="Arial" w:eastAsia="Calibri" w:hAnsi="Arial" w:cs="Arial"/>
          <w:sz w:val="21"/>
          <w:szCs w:val="21"/>
          <w:lang w:val="es-ES_tradnl"/>
        </w:rPr>
      </w:pPr>
      <w:r w:rsidRPr="00481068">
        <w:rPr>
          <w:rFonts w:ascii="Arial" w:eastAsia="Calibri" w:hAnsi="Arial" w:cs="Arial"/>
          <w:sz w:val="21"/>
          <w:szCs w:val="21"/>
          <w:lang w:val="es-ES_tradnl"/>
        </w:rPr>
        <w:t xml:space="preserve">Esta Sala ha entendido </w:t>
      </w:r>
      <w:proofErr w:type="gramStart"/>
      <w:r w:rsidRPr="00481068">
        <w:rPr>
          <w:rFonts w:ascii="Arial" w:eastAsia="Calibri" w:hAnsi="Arial" w:cs="Arial"/>
          <w:sz w:val="21"/>
          <w:szCs w:val="21"/>
          <w:lang w:val="es-ES_tradnl"/>
        </w:rPr>
        <w:t>que</w:t>
      </w:r>
      <w:proofErr w:type="gramEnd"/>
      <w:r w:rsidRPr="00481068">
        <w:rPr>
          <w:rFonts w:ascii="Arial" w:eastAsia="Calibri" w:hAnsi="Arial" w:cs="Arial"/>
          <w:sz w:val="21"/>
          <w:szCs w:val="21"/>
          <w:lang w:val="es-ES_tradnl"/>
        </w:rPr>
        <w:t xml:space="preserv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481068">
        <w:rPr>
          <w:rFonts w:ascii="Arial" w:eastAsia="Calibri" w:hAnsi="Arial" w:cs="Arial"/>
          <w:sz w:val="21"/>
          <w:szCs w:val="21"/>
          <w:vertAlign w:val="superscript"/>
        </w:rPr>
        <w:footnoteReference w:id="12"/>
      </w:r>
      <w:r w:rsidRPr="00481068">
        <w:rPr>
          <w:rFonts w:ascii="Arial" w:eastAsia="Calibri" w:hAnsi="Arial" w:cs="Arial"/>
          <w:sz w:val="21"/>
          <w:szCs w:val="21"/>
          <w:vertAlign w:val="superscript"/>
          <w:lang w:val="es-ES_tradnl"/>
        </w:rPr>
        <w:t>.</w:t>
      </w:r>
      <w:r w:rsidRPr="00481068">
        <w:rPr>
          <w:rFonts w:ascii="Arial" w:eastAsia="Calibri" w:hAnsi="Arial" w:cs="Arial"/>
          <w:sz w:val="21"/>
          <w:szCs w:val="21"/>
          <w:lang w:val="es-ES_tradnl"/>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Pr>
          <w:rFonts w:ascii="Arial" w:eastAsia="Calibri" w:hAnsi="Arial" w:cs="Arial"/>
          <w:sz w:val="21"/>
          <w:szCs w:val="21"/>
          <w:lang w:val="es-ES_tradnl"/>
        </w:rPr>
        <w:t>.</w:t>
      </w:r>
      <w:r w:rsidRPr="00481068">
        <w:rPr>
          <w:rFonts w:ascii="Arial" w:eastAsia="Calibri" w:hAnsi="Arial" w:cs="Arial"/>
          <w:sz w:val="21"/>
          <w:szCs w:val="21"/>
          <w:vertAlign w:val="superscript"/>
        </w:rPr>
        <w:footnoteReference w:id="13"/>
      </w:r>
    </w:p>
    <w:p w14:paraId="7392C977" w14:textId="77777777" w:rsidR="00893407" w:rsidRPr="00481068" w:rsidRDefault="00893407" w:rsidP="00893407">
      <w:pPr>
        <w:shd w:val="clear" w:color="auto" w:fill="FFFFFF"/>
        <w:spacing w:line="276" w:lineRule="auto"/>
        <w:ind w:firstLine="709"/>
        <w:jc w:val="both"/>
        <w:rPr>
          <w:rFonts w:ascii="Arial" w:eastAsia="Calibri" w:hAnsi="Arial" w:cs="Arial"/>
          <w:sz w:val="22"/>
          <w:lang w:val="es-ES_tradnl" w:eastAsia="x-none"/>
        </w:rPr>
      </w:pPr>
    </w:p>
    <w:p w14:paraId="6147C022" w14:textId="77777777" w:rsidR="00893407" w:rsidRPr="00481068" w:rsidRDefault="00893407" w:rsidP="00893407">
      <w:pPr>
        <w:spacing w:line="276" w:lineRule="auto"/>
        <w:ind w:firstLine="708"/>
        <w:jc w:val="both"/>
        <w:rPr>
          <w:rFonts w:ascii="Arial" w:eastAsia="Calibri" w:hAnsi="Arial" w:cs="Arial"/>
          <w:bCs/>
          <w:sz w:val="22"/>
          <w:lang w:val="es-ES_tradnl" w:eastAsia="x-none"/>
        </w:rPr>
      </w:pPr>
      <w:r w:rsidRPr="00481068">
        <w:rPr>
          <w:rFonts w:ascii="Arial" w:eastAsia="Calibri" w:hAnsi="Arial" w:cs="Arial"/>
          <w:sz w:val="22"/>
          <w:lang w:val="es-ES_tradnl" w:eastAsia="x-none"/>
        </w:rPr>
        <w:t xml:space="preserve">De acuerdo con el citado concepto, la prohibición del artículo 33 de la Ley de Garantías Electorales se refiere a </w:t>
      </w:r>
      <w:r w:rsidRPr="00481068">
        <w:rPr>
          <w:rFonts w:ascii="Arial" w:eastAsia="Calibri" w:hAnsi="Arial" w:cs="Arial"/>
          <w:sz w:val="19"/>
          <w:szCs w:val="19"/>
          <w:lang w:val="es-ES_tradnl" w:eastAsia="en-GB"/>
        </w:rPr>
        <w:t>«</w:t>
      </w:r>
      <w:r w:rsidRPr="00481068">
        <w:rPr>
          <w:rFonts w:ascii="Arial" w:eastAsia="Calibri" w:hAnsi="Arial" w:cs="Arial"/>
          <w:sz w:val="22"/>
          <w:lang w:val="es-ES_tradnl" w:eastAsia="x-none"/>
        </w:rPr>
        <w:t>cualquier sistema que no implique convocatoria pública y posibilidad de pluralidad de oferentes</w:t>
      </w:r>
      <w:r w:rsidRPr="00481068">
        <w:rPr>
          <w:rFonts w:ascii="Arial" w:eastAsia="Calibri" w:hAnsi="Arial" w:cs="Arial"/>
          <w:sz w:val="22"/>
          <w:lang w:val="es-ES_tradnl" w:eastAsia="en-GB"/>
        </w:rPr>
        <w:t>»</w:t>
      </w:r>
      <w:r w:rsidRPr="00481068">
        <w:rPr>
          <w:rFonts w:ascii="Arial" w:eastAsia="Calibri" w:hAnsi="Arial" w:cs="Arial"/>
          <w:sz w:val="22"/>
          <w:lang w:val="es-ES_tradnl" w:eastAsia="x-none"/>
        </w:rPr>
        <w:t xml:space="preserve">, por lo que excluye las demás modalidades de </w:t>
      </w:r>
      <w:r w:rsidRPr="00481068">
        <w:rPr>
          <w:rFonts w:ascii="Arial" w:eastAsia="Calibri" w:hAnsi="Arial" w:cs="Arial"/>
          <w:sz w:val="22"/>
          <w:lang w:val="es-ES_tradnl" w:eastAsia="x-none"/>
        </w:rPr>
        <w:lastRenderedPageBreak/>
        <w:t>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Esta posición es congruente con la expedición de la Ley 1150 de 2007 que, entre otras reformas, introdujo la selección abreviada, rediseñó el concurso de méritos</w:t>
      </w:r>
      <w:r w:rsidRPr="00481068">
        <w:rPr>
          <w:rFonts w:ascii="Arial" w:eastAsia="Calibri" w:hAnsi="Arial" w:cs="Arial"/>
          <w:sz w:val="22"/>
          <w:vertAlign w:val="superscript"/>
        </w:rPr>
        <w:footnoteReference w:id="14"/>
      </w:r>
      <w:r w:rsidRPr="00481068">
        <w:rPr>
          <w:rFonts w:ascii="Arial" w:eastAsia="Calibri" w:hAnsi="Arial" w:cs="Arial"/>
          <w:sz w:val="22"/>
          <w:lang w:val="es-ES_tradnl" w:eastAsia="x-none"/>
        </w:rPr>
        <w:t xml:space="preserve"> y sistematizó las causales de contratación directa</w:t>
      </w:r>
      <w:r w:rsidRPr="00481068">
        <w:rPr>
          <w:rFonts w:ascii="Arial" w:eastAsia="Calibri" w:hAnsi="Arial" w:cs="Arial"/>
          <w:sz w:val="22"/>
          <w:vertAlign w:val="superscript"/>
        </w:rPr>
        <w:footnoteReference w:id="15"/>
      </w:r>
      <w:r w:rsidRPr="00481068">
        <w:rPr>
          <w:rFonts w:ascii="Arial" w:eastAsia="Calibri" w:hAnsi="Arial" w:cs="Arial"/>
          <w:sz w:val="22"/>
          <w:lang w:val="es-ES_tradnl" w:eastAsia="x-none"/>
        </w:rPr>
        <w:t>.</w:t>
      </w:r>
    </w:p>
    <w:p w14:paraId="18A2B364" w14:textId="77777777" w:rsidR="00893407" w:rsidRPr="00481068" w:rsidRDefault="00893407" w:rsidP="00893407">
      <w:pPr>
        <w:spacing w:before="120" w:line="276" w:lineRule="auto"/>
        <w:ind w:firstLine="708"/>
        <w:jc w:val="both"/>
        <w:rPr>
          <w:rFonts w:ascii="Arial" w:eastAsia="Calibri" w:hAnsi="Arial" w:cs="Arial"/>
          <w:sz w:val="22"/>
          <w:lang w:val="es-ES_tradnl" w:eastAsia="x-none"/>
        </w:rPr>
      </w:pPr>
      <w:r w:rsidRPr="00481068">
        <w:rPr>
          <w:rFonts w:ascii="Arial" w:eastAsia="Calibri" w:hAnsi="Arial" w:cs="Arial"/>
          <w:sz w:val="22"/>
          <w:lang w:val="es-ES_tradnl" w:eastAsia="x-none"/>
        </w:rPr>
        <w:t xml:space="preserve">De esta forma, se ha depurado la noción de </w:t>
      </w:r>
      <w:r w:rsidRPr="00481068">
        <w:rPr>
          <w:rFonts w:ascii="Arial" w:eastAsia="Calibri" w:hAnsi="Arial" w:cs="Arial"/>
          <w:sz w:val="22"/>
          <w:lang w:val="es-ES_tradnl" w:eastAsia="en-GB"/>
        </w:rPr>
        <w:t>«</w:t>
      </w:r>
      <w:r w:rsidRPr="00481068">
        <w:rPr>
          <w:rFonts w:ascii="Arial" w:eastAsia="Calibri" w:hAnsi="Arial" w:cs="Arial"/>
          <w:sz w:val="22"/>
          <w:lang w:val="es-ES_tradnl" w:eastAsia="x-none"/>
        </w:rPr>
        <w:t>contratación directa</w:t>
      </w:r>
      <w:r w:rsidRPr="00481068">
        <w:rPr>
          <w:rFonts w:ascii="Arial" w:eastAsia="Calibri" w:hAnsi="Arial" w:cs="Arial"/>
          <w:sz w:val="22"/>
          <w:lang w:val="es-ES_tradnl" w:eastAsia="en-GB"/>
        </w:rPr>
        <w:t>»</w:t>
      </w:r>
      <w:r w:rsidRPr="00481068">
        <w:rPr>
          <w:rFonts w:ascii="Arial" w:eastAsia="Calibri" w:hAnsi="Arial" w:cs="Arial"/>
          <w:sz w:val="22"/>
          <w:lang w:val="es-ES_tradnl"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481068">
        <w:rPr>
          <w:rFonts w:ascii="Arial" w:eastAsia="Calibri" w:hAnsi="Arial" w:cs="Arial"/>
          <w:sz w:val="22"/>
          <w:vertAlign w:val="superscript"/>
        </w:rPr>
        <w:footnoteReference w:id="16"/>
      </w:r>
      <w:r w:rsidRPr="00481068">
        <w:rPr>
          <w:rFonts w:ascii="Arial" w:eastAsia="Calibri" w:hAnsi="Arial" w:cs="Arial"/>
          <w:sz w:val="22"/>
          <w:lang w:val="es-ES_tradnl" w:eastAsia="x-none"/>
        </w:rPr>
        <w:t>, han establecido sistemas de contratación que implican convocatoria pública y participación de varios oferentes</w:t>
      </w:r>
      <w:r w:rsidRPr="00481068">
        <w:rPr>
          <w:rFonts w:ascii="Arial" w:eastAsia="Calibri" w:hAnsi="Arial" w:cs="Arial"/>
          <w:sz w:val="22"/>
          <w:lang w:val="es-ES_tradnl" w:eastAsia="en-GB"/>
        </w:rPr>
        <w:t>»</w:t>
      </w:r>
      <w:r w:rsidRPr="00481068">
        <w:rPr>
          <w:rFonts w:ascii="Arial" w:eastAsia="Calibri" w:hAnsi="Arial" w:cs="Arial"/>
          <w:sz w:val="22"/>
          <w:lang w:val="es-ES_tradnl" w:eastAsia="x-none"/>
        </w:rPr>
        <w:t xml:space="preserve">. </w:t>
      </w:r>
    </w:p>
    <w:p w14:paraId="34C8D168" w14:textId="77777777" w:rsidR="00893407" w:rsidRPr="00481068" w:rsidRDefault="00893407" w:rsidP="00893407">
      <w:pPr>
        <w:spacing w:before="120" w:line="276" w:lineRule="auto"/>
        <w:ind w:firstLine="708"/>
        <w:jc w:val="both"/>
        <w:rPr>
          <w:rFonts w:ascii="Arial" w:eastAsia="Calibri" w:hAnsi="Arial" w:cs="Arial"/>
          <w:bCs/>
          <w:sz w:val="22"/>
          <w:lang w:val="es-ES_tradnl" w:eastAsia="es-CO"/>
        </w:rPr>
      </w:pPr>
      <w:r w:rsidRPr="00481068">
        <w:rPr>
          <w:rFonts w:ascii="Arial" w:eastAsia="Calibri" w:hAnsi="Arial" w:cs="Arial"/>
          <w:bCs/>
          <w:sz w:val="22"/>
          <w:lang w:val="es-ES_tradnl" w:eastAsia="x-none"/>
        </w:rPr>
        <w:t>E</w:t>
      </w:r>
      <w:r w:rsidRPr="00481068">
        <w:rPr>
          <w:rFonts w:ascii="Arial" w:eastAsia="Calibri" w:hAnsi="Arial" w:cs="Arial"/>
          <w:sz w:val="22"/>
          <w:lang w:val="es-ES_tradnl"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481068">
        <w:rPr>
          <w:rFonts w:ascii="Arial" w:eastAsia="Calibri" w:hAnsi="Arial" w:cs="Arial"/>
          <w:sz w:val="22"/>
          <w:vertAlign w:val="superscript"/>
        </w:rPr>
        <w:footnoteReference w:id="17"/>
      </w:r>
      <w:r w:rsidRPr="00481068">
        <w:rPr>
          <w:rFonts w:ascii="Arial" w:eastAsia="Calibri" w:hAnsi="Arial" w:cs="Arial"/>
          <w:sz w:val="22"/>
          <w:lang w:val="es-ES_tradnl" w:eastAsia="x-none"/>
        </w:rPr>
        <w:t xml:space="preserve">. </w:t>
      </w:r>
    </w:p>
    <w:p w14:paraId="1716409A" w14:textId="77777777" w:rsidR="00893407" w:rsidRPr="00481068" w:rsidRDefault="00893407" w:rsidP="00893407">
      <w:pPr>
        <w:spacing w:before="120" w:line="276" w:lineRule="auto"/>
        <w:ind w:firstLine="708"/>
        <w:jc w:val="both"/>
        <w:rPr>
          <w:rFonts w:ascii="Arial" w:eastAsia="Calibri" w:hAnsi="Arial" w:cs="Arial"/>
          <w:bCs/>
          <w:sz w:val="22"/>
          <w:lang w:val="es-ES_tradnl" w:eastAsia="es-CO"/>
        </w:rPr>
      </w:pPr>
      <w:r w:rsidRPr="00481068">
        <w:rPr>
          <w:rFonts w:ascii="Arial" w:eastAsia="Calibri" w:hAnsi="Arial" w:cs="Arial"/>
          <w:bCs/>
          <w:sz w:val="22"/>
          <w:lang w:val="es-ES_tradnl"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4BB901CD" w14:textId="77777777" w:rsidR="00893407" w:rsidRPr="00481068" w:rsidRDefault="00893407" w:rsidP="00893407">
      <w:pPr>
        <w:spacing w:before="120" w:line="276" w:lineRule="auto"/>
        <w:ind w:firstLine="708"/>
        <w:jc w:val="both"/>
        <w:rPr>
          <w:rFonts w:ascii="Arial" w:eastAsia="Calibri" w:hAnsi="Arial" w:cs="Arial"/>
          <w:bCs/>
          <w:sz w:val="22"/>
          <w:lang w:val="es-ES_tradnl" w:eastAsia="x-none"/>
        </w:rPr>
      </w:pPr>
      <w:r w:rsidRPr="00481068">
        <w:rPr>
          <w:rFonts w:ascii="Arial" w:eastAsia="Calibri" w:hAnsi="Arial" w:cs="Arial"/>
          <w:bCs/>
          <w:sz w:val="22"/>
          <w:lang w:val="es-ES_tradnl" w:eastAsia="x-none"/>
        </w:rPr>
        <w:lastRenderedPageBreak/>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481068">
        <w:rPr>
          <w:rFonts w:ascii="Arial" w:eastAsia="Calibri" w:hAnsi="Arial" w:cs="Arial"/>
          <w:sz w:val="22"/>
          <w:vertAlign w:val="superscript"/>
        </w:rPr>
        <w:footnoteReference w:id="18"/>
      </w:r>
      <w:r w:rsidRPr="00481068">
        <w:rPr>
          <w:rFonts w:ascii="Arial" w:eastAsia="Calibri" w:hAnsi="Arial" w:cs="Arial"/>
          <w:bCs/>
          <w:sz w:val="22"/>
          <w:lang w:val="es-ES_tradnl" w:eastAsia="x-none"/>
        </w:rPr>
        <w:t>.</w:t>
      </w:r>
      <w:r w:rsidRPr="00481068">
        <w:rPr>
          <w:rFonts w:ascii="Arial" w:eastAsia="Calibri" w:hAnsi="Arial" w:cs="Arial"/>
          <w:sz w:val="22"/>
          <w:vertAlign w:val="superscript"/>
          <w:lang w:val="es-ES_tradnl" w:eastAsia="x-none"/>
        </w:rPr>
        <w:t xml:space="preserve"> </w:t>
      </w:r>
    </w:p>
    <w:p w14:paraId="1386F59C" w14:textId="77777777" w:rsidR="00893407" w:rsidRPr="00481068" w:rsidRDefault="00893407" w:rsidP="00893407">
      <w:pPr>
        <w:spacing w:before="120" w:line="276" w:lineRule="auto"/>
        <w:ind w:firstLine="708"/>
        <w:jc w:val="both"/>
        <w:rPr>
          <w:rFonts w:ascii="Arial" w:eastAsia="Calibri" w:hAnsi="Arial" w:cs="Arial"/>
          <w:sz w:val="22"/>
          <w:lang w:val="es-ES_tradnl" w:eastAsia="x-none"/>
        </w:rPr>
      </w:pPr>
      <w:r w:rsidRPr="00481068">
        <w:rPr>
          <w:rFonts w:ascii="Arial" w:eastAsia="Calibri" w:hAnsi="Arial" w:cs="Arial"/>
          <w:bCs/>
          <w:sz w:val="22"/>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481068">
        <w:rPr>
          <w:rFonts w:ascii="Arial" w:eastAsia="Calibri" w:hAnsi="Arial" w:cs="Arial"/>
          <w:sz w:val="22"/>
          <w:lang w:val="es-ES_tradnl" w:eastAsia="x-none"/>
        </w:rPr>
        <w:t xml:space="preserve">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procedimientos.</w:t>
      </w:r>
    </w:p>
    <w:p w14:paraId="3B8916DF" w14:textId="77777777" w:rsidR="00893407" w:rsidRPr="00481068" w:rsidRDefault="00893407" w:rsidP="00893407">
      <w:pPr>
        <w:spacing w:before="120" w:line="276" w:lineRule="auto"/>
        <w:ind w:firstLine="708"/>
        <w:jc w:val="both"/>
        <w:rPr>
          <w:rFonts w:ascii="Arial" w:eastAsia="Calibri" w:hAnsi="Arial" w:cs="Arial"/>
          <w:bCs/>
          <w:sz w:val="22"/>
          <w:lang w:val="es-ES_tradnl" w:eastAsia="x-none"/>
        </w:rPr>
      </w:pPr>
      <w:r w:rsidRPr="00481068">
        <w:rPr>
          <w:rFonts w:ascii="Arial" w:eastAsia="Calibri" w:hAnsi="Arial" w:cs="Arial"/>
          <w:bCs/>
          <w:sz w:val="22"/>
          <w:lang w:val="es-ES_tradnl" w:eastAsia="es-CO"/>
        </w:rPr>
        <w:t xml:space="preserve">Como en otras oportunidades lo ha manifestado esta Agencia, las prórrogas, modificaciones o adiciones de los contratos suscritos antes de la </w:t>
      </w:r>
      <w:proofErr w:type="gramStart"/>
      <w:r w:rsidRPr="00481068">
        <w:rPr>
          <w:rFonts w:ascii="Arial" w:eastAsia="Calibri" w:hAnsi="Arial" w:cs="Arial"/>
          <w:bCs/>
          <w:sz w:val="22"/>
          <w:lang w:val="es-ES_tradnl" w:eastAsia="es-CO"/>
        </w:rPr>
        <w:t>entrada en vigencia</w:t>
      </w:r>
      <w:proofErr w:type="gramEnd"/>
      <w:r w:rsidRPr="00481068">
        <w:rPr>
          <w:rFonts w:ascii="Arial" w:eastAsia="Calibri" w:hAnsi="Arial" w:cs="Arial"/>
          <w:bCs/>
          <w:sz w:val="22"/>
          <w:lang w:val="es-ES_tradnl" w:eastAsia="es-CO"/>
        </w:rPr>
        <w:t xml:space="preserve"> de las prohibiciones anotadas, así como la cesión de los mismos, pueden tener lugar en el período de aplicación de la Ley de Garantías</w:t>
      </w:r>
      <w:r w:rsidRPr="00481068">
        <w:rPr>
          <w:rFonts w:ascii="Arial" w:eastAsia="Calibri" w:hAnsi="Arial" w:cs="Arial"/>
          <w:sz w:val="22"/>
          <w:vertAlign w:val="superscript"/>
        </w:rPr>
        <w:footnoteReference w:id="19"/>
      </w:r>
      <w:r w:rsidRPr="00481068">
        <w:rPr>
          <w:rFonts w:ascii="Arial" w:eastAsia="Calibri" w:hAnsi="Arial" w:cs="Arial"/>
          <w:bCs/>
          <w:sz w:val="22"/>
          <w:lang w:val="es-ES_tradnl" w:eastAsia="es-CO"/>
        </w:rPr>
        <w:t>. Esto sin que ello haga nugatoria la restricción de la contratación directa y siempre que cumplan los principios de planeación, transparencia y responsabilidad.</w:t>
      </w:r>
    </w:p>
    <w:p w14:paraId="153F4181" w14:textId="77777777" w:rsidR="00893407" w:rsidRPr="00481068" w:rsidRDefault="00893407" w:rsidP="00893407">
      <w:pPr>
        <w:spacing w:before="120" w:line="276" w:lineRule="auto"/>
        <w:ind w:firstLine="708"/>
        <w:jc w:val="both"/>
        <w:rPr>
          <w:rFonts w:ascii="Arial" w:eastAsia="Calibri" w:hAnsi="Arial" w:cs="Arial"/>
          <w:bCs/>
          <w:sz w:val="22"/>
          <w:lang w:val="es-ES_tradnl" w:eastAsia="es-CO"/>
        </w:rPr>
      </w:pPr>
      <w:r w:rsidRPr="00481068">
        <w:rPr>
          <w:rFonts w:ascii="Arial" w:eastAsia="Calibri" w:hAnsi="Arial" w:cs="Arial"/>
          <w:bCs/>
          <w:sz w:val="22"/>
          <w:lang w:val="es-ES_tradnl"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w:t>
      </w:r>
      <w:proofErr w:type="spellStart"/>
      <w:r w:rsidRPr="00481068">
        <w:rPr>
          <w:rFonts w:ascii="Arial" w:eastAsia="Calibri" w:hAnsi="Arial" w:cs="Arial"/>
          <w:bCs/>
          <w:sz w:val="22"/>
          <w:lang w:val="es-ES_tradnl" w:eastAsia="x-none"/>
        </w:rPr>
        <w:t>ii</w:t>
      </w:r>
      <w:proofErr w:type="spellEnd"/>
      <w:r w:rsidRPr="00481068">
        <w:rPr>
          <w:rFonts w:ascii="Arial" w:eastAsia="Calibri" w:hAnsi="Arial" w:cs="Arial"/>
          <w:bCs/>
          <w:sz w:val="22"/>
          <w:lang w:val="es-ES_tradnl" w:eastAsia="x-none"/>
        </w:rPr>
        <w:t xml:space="preserve">) los contratos de crédito público; </w:t>
      </w:r>
      <w:proofErr w:type="spellStart"/>
      <w:r w:rsidRPr="00481068">
        <w:rPr>
          <w:rFonts w:ascii="Arial" w:eastAsia="Calibri" w:hAnsi="Arial" w:cs="Arial"/>
          <w:bCs/>
          <w:sz w:val="22"/>
          <w:lang w:val="es-ES_tradnl" w:eastAsia="x-none"/>
        </w:rPr>
        <w:t>iii</w:t>
      </w:r>
      <w:proofErr w:type="spellEnd"/>
      <w:r w:rsidRPr="00481068">
        <w:rPr>
          <w:rFonts w:ascii="Arial" w:eastAsia="Calibri" w:hAnsi="Arial" w:cs="Arial"/>
          <w:bCs/>
          <w:sz w:val="22"/>
          <w:lang w:val="es-ES_tradnl" w:eastAsia="x-none"/>
        </w:rPr>
        <w:t xml:space="preserve">) los requeridos para cubrir las emergencias educativas, sanitarias y desastres; </w:t>
      </w:r>
      <w:proofErr w:type="spellStart"/>
      <w:r w:rsidRPr="00481068">
        <w:rPr>
          <w:rFonts w:ascii="Arial" w:eastAsia="Calibri" w:hAnsi="Arial" w:cs="Arial"/>
          <w:bCs/>
          <w:sz w:val="22"/>
          <w:lang w:val="es-ES_tradnl" w:eastAsia="x-none"/>
        </w:rPr>
        <w:t>iv</w:t>
      </w:r>
      <w:proofErr w:type="spellEnd"/>
      <w:r w:rsidRPr="00481068">
        <w:rPr>
          <w:rFonts w:ascii="Arial" w:eastAsia="Calibri" w:hAnsi="Arial" w:cs="Arial"/>
          <w:bCs/>
          <w:sz w:val="22"/>
          <w:lang w:val="es-ES_tradnl"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481068">
        <w:rPr>
          <w:rFonts w:ascii="Arial" w:eastAsia="Calibri" w:hAnsi="Arial" w:cs="Arial"/>
          <w:bCs/>
          <w:sz w:val="22"/>
          <w:lang w:val="es-ES_tradnl"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36C0B932" w14:textId="77777777" w:rsidR="00893407" w:rsidRPr="00481068" w:rsidRDefault="00893407" w:rsidP="00893407">
      <w:pPr>
        <w:spacing w:before="120" w:line="276" w:lineRule="auto"/>
        <w:ind w:firstLine="708"/>
        <w:jc w:val="both"/>
        <w:rPr>
          <w:rFonts w:ascii="Arial" w:eastAsia="Calibri" w:hAnsi="Arial" w:cs="Arial"/>
          <w:bCs/>
          <w:sz w:val="22"/>
          <w:lang w:val="es-ES_tradnl" w:eastAsia="x-none"/>
        </w:rPr>
      </w:pPr>
      <w:r w:rsidRPr="00481068">
        <w:rPr>
          <w:rFonts w:ascii="Arial" w:eastAsia="Calibri" w:hAnsi="Arial" w:cs="Arial"/>
          <w:bCs/>
          <w:sz w:val="22"/>
          <w:lang w:val="es-ES_tradnl" w:eastAsia="x-none"/>
        </w:rPr>
        <w:t xml:space="preserve">En esta labor es importante tener en cuenta, como lo anotó la Corte Constitucional, en Sentencia C-1153 de noviembre 11 de 2005 que «si bien la limitación garantiza la igualdad de condiciones, también es necesario que tal limitación que pretende la igualdad </w:t>
      </w:r>
      <w:r w:rsidRPr="00481068">
        <w:rPr>
          <w:rFonts w:ascii="Arial" w:eastAsia="Calibri" w:hAnsi="Arial" w:cs="Arial"/>
          <w:bCs/>
          <w:sz w:val="22"/>
          <w:lang w:val="es-ES_tradnl" w:eastAsia="x-none"/>
        </w:rPr>
        <w:lastRenderedPageBreak/>
        <w:t>no termine yendo en detrimento de intereses públicos, cuya garantía está en cabeza del ejecutivo, como son los inmersos en las excepciones para la prohibición de contratación»</w:t>
      </w:r>
      <w:r w:rsidRPr="00481068">
        <w:rPr>
          <w:rFonts w:ascii="Arial" w:eastAsia="Calibri" w:hAnsi="Arial" w:cs="Arial"/>
          <w:sz w:val="22"/>
          <w:vertAlign w:val="superscript"/>
        </w:rPr>
        <w:footnoteReference w:id="20"/>
      </w:r>
      <w:r w:rsidRPr="00481068">
        <w:rPr>
          <w:rFonts w:ascii="Arial" w:eastAsia="Calibri" w:hAnsi="Arial" w:cs="Arial"/>
          <w:bCs/>
          <w:sz w:val="22"/>
          <w:lang w:val="es-ES_tradnl" w:eastAsia="x-none"/>
        </w:rPr>
        <w:t>. De ahí que la Corte haya señalado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1A8D8A02" w14:textId="77777777" w:rsidR="00893407" w:rsidRDefault="00893407" w:rsidP="00893407">
      <w:pPr>
        <w:spacing w:line="276" w:lineRule="auto"/>
        <w:jc w:val="both"/>
        <w:rPr>
          <w:rFonts w:ascii="Arial" w:hAnsi="Arial" w:cs="Arial"/>
          <w:b/>
          <w:sz w:val="22"/>
          <w:lang w:eastAsia="x-none"/>
        </w:rPr>
      </w:pPr>
    </w:p>
    <w:p w14:paraId="42F43635" w14:textId="77777777" w:rsidR="00893407" w:rsidRPr="00C84F90" w:rsidRDefault="00893407" w:rsidP="00893407">
      <w:pPr>
        <w:spacing w:line="276" w:lineRule="auto"/>
        <w:ind w:firstLine="708"/>
        <w:jc w:val="both"/>
        <w:rPr>
          <w:rFonts w:ascii="Arial" w:hAnsi="Arial" w:cs="Arial"/>
          <w:b/>
          <w:sz w:val="22"/>
          <w:lang w:eastAsia="x-none"/>
        </w:rPr>
      </w:pPr>
      <w:r w:rsidRPr="00223ED4">
        <w:rPr>
          <w:rFonts w:ascii="Arial" w:hAnsi="Arial" w:cs="Arial"/>
          <w:b/>
          <w:i/>
          <w:iCs/>
          <w:sz w:val="22"/>
          <w:lang w:eastAsia="x-none"/>
        </w:rPr>
        <w:t>2.2.1.</w:t>
      </w:r>
      <w:r w:rsidRPr="00C84F90">
        <w:rPr>
          <w:rFonts w:ascii="Arial" w:hAnsi="Arial" w:cs="Arial"/>
          <w:b/>
          <w:sz w:val="22"/>
          <w:lang w:eastAsia="x-none"/>
        </w:rPr>
        <w:t xml:space="preserve">  Destinatarios de la restricción del artículo 33 de la Ley 996 de 2005</w:t>
      </w:r>
    </w:p>
    <w:p w14:paraId="2DD07409" w14:textId="77777777" w:rsidR="00893407" w:rsidRPr="00C84F90" w:rsidRDefault="00893407" w:rsidP="00893407">
      <w:pPr>
        <w:spacing w:line="276" w:lineRule="auto"/>
        <w:jc w:val="both"/>
        <w:rPr>
          <w:rFonts w:ascii="Arial" w:hAnsi="Arial" w:cs="Arial"/>
          <w:bCs/>
          <w:sz w:val="22"/>
          <w:lang w:eastAsia="x-none"/>
        </w:rPr>
      </w:pPr>
    </w:p>
    <w:p w14:paraId="31003C83" w14:textId="77777777" w:rsidR="00893407" w:rsidRPr="00C84F90" w:rsidRDefault="00893407" w:rsidP="00893407">
      <w:pPr>
        <w:spacing w:line="276" w:lineRule="auto"/>
        <w:jc w:val="both"/>
        <w:rPr>
          <w:rFonts w:ascii="Arial" w:hAnsi="Arial" w:cs="Arial"/>
          <w:bCs/>
          <w:sz w:val="22"/>
          <w:lang w:eastAsia="x-none"/>
        </w:rPr>
      </w:pPr>
      <w:r w:rsidRPr="00C84F90">
        <w:rPr>
          <w:rFonts w:ascii="Arial" w:hAnsi="Arial" w:cs="Arial"/>
          <w:bCs/>
          <w:sz w:val="22"/>
          <w:lang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C84F90">
        <w:t xml:space="preserve"> </w:t>
      </w:r>
      <w:r w:rsidRPr="00C84F90">
        <w:rPr>
          <w:rFonts w:ascii="Arial" w:hAnsi="Arial" w:cs="Arial"/>
          <w:bCs/>
          <w:sz w:val="22"/>
          <w:lang w:eastAsia="x-none"/>
        </w:rPr>
        <w:t>En efecto, tal como lo ha sostenido el Consejo de Estado, el vocablo «todos» utilizado por el legislador comprende</w:t>
      </w:r>
      <w:r w:rsidRPr="00C84F90">
        <w:t xml:space="preserve"> </w:t>
      </w:r>
      <w:r w:rsidRPr="00C84F90">
        <w:rPr>
          <w:rFonts w:ascii="Arial" w:hAnsi="Arial" w:cs="Arial"/>
          <w:bCs/>
          <w:sz w:val="22"/>
          <w:lang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711E2CC0" w14:textId="77777777" w:rsidR="00893407" w:rsidRPr="00C84F90" w:rsidRDefault="00893407" w:rsidP="00893407">
      <w:pPr>
        <w:spacing w:line="276" w:lineRule="auto"/>
        <w:ind w:firstLine="708"/>
        <w:jc w:val="both"/>
        <w:rPr>
          <w:rFonts w:ascii="Arial" w:hAnsi="Arial" w:cs="Arial"/>
          <w:bCs/>
          <w:sz w:val="22"/>
          <w:lang w:eastAsia="x-none"/>
        </w:rPr>
      </w:pPr>
    </w:p>
    <w:p w14:paraId="2DA7C6AD" w14:textId="77777777" w:rsidR="00893407" w:rsidRPr="00C84F90" w:rsidRDefault="00893407" w:rsidP="00893407">
      <w:pPr>
        <w:ind w:left="708" w:right="709"/>
        <w:jc w:val="both"/>
        <w:rPr>
          <w:rFonts w:ascii="Arial" w:hAnsi="Arial" w:cs="Arial"/>
          <w:bCs/>
          <w:sz w:val="21"/>
          <w:szCs w:val="21"/>
          <w:lang w:eastAsia="es-CO"/>
        </w:rPr>
      </w:pPr>
      <w:r w:rsidRPr="00C84F90">
        <w:rPr>
          <w:rFonts w:ascii="Arial" w:hAnsi="Arial" w:cs="Arial"/>
          <w:bCs/>
          <w:sz w:val="21"/>
          <w:szCs w:val="21"/>
          <w:lang w:eastAsia="x-none"/>
        </w:rPr>
        <w:t xml:space="preserve">El artículo 33 de la ley 996 de 2005, </w:t>
      </w:r>
      <w:bookmarkStart w:id="19" w:name="_Hlk75787147"/>
      <w:r w:rsidRPr="00C84F90">
        <w:rPr>
          <w:rFonts w:ascii="Arial" w:hAnsi="Arial" w:cs="Arial"/>
          <w:bCs/>
          <w:sz w:val="21"/>
          <w:szCs w:val="21"/>
          <w:lang w:eastAsia="x-none"/>
        </w:rPr>
        <w:t>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Pr>
          <w:rFonts w:ascii="Arial" w:hAnsi="Arial" w:cs="Arial"/>
          <w:bCs/>
          <w:sz w:val="21"/>
          <w:szCs w:val="21"/>
          <w:lang w:eastAsia="x-none"/>
        </w:rPr>
        <w:t>.</w:t>
      </w:r>
      <w:r w:rsidRPr="00C84F90">
        <w:rPr>
          <w:rFonts w:ascii="Arial" w:hAnsi="Arial" w:cs="Arial"/>
          <w:bCs/>
          <w:sz w:val="21"/>
          <w:szCs w:val="21"/>
          <w:vertAlign w:val="superscript"/>
          <w:lang w:eastAsia="x-none"/>
        </w:rPr>
        <w:footnoteReference w:id="21"/>
      </w:r>
      <w:r w:rsidRPr="00C84F90">
        <w:rPr>
          <w:rFonts w:ascii="Arial" w:hAnsi="Arial" w:cs="Arial"/>
          <w:bCs/>
          <w:sz w:val="21"/>
          <w:szCs w:val="21"/>
          <w:lang w:eastAsia="es-CO"/>
        </w:rPr>
        <w:t xml:space="preserve"> </w:t>
      </w:r>
    </w:p>
    <w:p w14:paraId="187D9751" w14:textId="77777777" w:rsidR="00893407" w:rsidRPr="00C84F90" w:rsidRDefault="00893407" w:rsidP="00893407">
      <w:pPr>
        <w:spacing w:line="276" w:lineRule="auto"/>
        <w:ind w:firstLine="708"/>
        <w:jc w:val="both"/>
        <w:rPr>
          <w:rFonts w:ascii="Arial" w:hAnsi="Arial" w:cs="Arial"/>
          <w:bCs/>
          <w:sz w:val="22"/>
          <w:lang w:eastAsia="es-CO"/>
        </w:rPr>
      </w:pPr>
    </w:p>
    <w:p w14:paraId="2522C84F" w14:textId="77777777" w:rsidR="00893407" w:rsidRPr="00C84F90" w:rsidRDefault="00893407" w:rsidP="00893407">
      <w:pPr>
        <w:spacing w:line="276" w:lineRule="auto"/>
        <w:ind w:firstLine="708"/>
        <w:jc w:val="both"/>
        <w:rPr>
          <w:rFonts w:ascii="Arial" w:hAnsi="Arial" w:cs="Arial"/>
          <w:sz w:val="22"/>
        </w:rPr>
      </w:pPr>
      <w:r>
        <w:rPr>
          <w:rFonts w:ascii="Arial" w:hAnsi="Arial" w:cs="Arial"/>
          <w:bCs/>
          <w:sz w:val="22"/>
          <w:lang w:eastAsia="x-none"/>
        </w:rPr>
        <w:t>De igual forma, e</w:t>
      </w:r>
      <w:r w:rsidRPr="00C84F90">
        <w:rPr>
          <w:rFonts w:ascii="Arial" w:hAnsi="Arial" w:cs="Arial"/>
          <w:bCs/>
          <w:sz w:val="22"/>
          <w:lang w:eastAsia="x-none"/>
        </w:rPr>
        <w:t xml:space="preserve">n Concepto con radicado 1738 de 6 de abril de 2006, esa misma Corporación manifestó que «Las restricciones de la Ley de Garantías en materia de </w:t>
      </w:r>
      <w:r w:rsidRPr="00C84F90">
        <w:rPr>
          <w:rFonts w:ascii="Arial" w:hAnsi="Arial" w:cs="Arial"/>
          <w:bCs/>
          <w:sz w:val="22"/>
          <w:lang w:eastAsia="x-none"/>
        </w:rPr>
        <w:lastRenderedPageBreak/>
        <w:t>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r w:rsidRPr="00C84F90">
        <w:rPr>
          <w:rFonts w:ascii="Arial" w:hAnsi="Arial" w:cs="Arial"/>
          <w:vertAlign w:val="superscript"/>
        </w:rPr>
        <w:footnoteReference w:id="22"/>
      </w:r>
      <w:r w:rsidRPr="00C84F90">
        <w:rPr>
          <w:rFonts w:ascii="Arial" w:hAnsi="Arial" w:cs="Arial"/>
          <w:bCs/>
          <w:sz w:val="22"/>
          <w:lang w:eastAsia="x-none"/>
        </w:rPr>
        <w:t>.</w:t>
      </w:r>
      <w:r w:rsidRPr="00C84F90">
        <w:rPr>
          <w:rFonts w:ascii="Arial" w:hAnsi="Arial" w:cs="Arial"/>
          <w:sz w:val="22"/>
        </w:rPr>
        <w:t xml:space="preserve"> Sin embargo, debe precisarse el siguiente aspecto que distinguió la Sala de Consulta y Servicio Civil:</w:t>
      </w:r>
    </w:p>
    <w:p w14:paraId="426B35EC" w14:textId="77777777" w:rsidR="00893407" w:rsidRPr="00C84F90" w:rsidRDefault="00893407" w:rsidP="00893407">
      <w:pPr>
        <w:spacing w:line="276" w:lineRule="auto"/>
        <w:jc w:val="both"/>
        <w:rPr>
          <w:rFonts w:ascii="Arial" w:hAnsi="Arial" w:cs="Arial"/>
          <w:sz w:val="22"/>
        </w:rPr>
      </w:pPr>
    </w:p>
    <w:p w14:paraId="2600738E" w14:textId="77777777" w:rsidR="00893407" w:rsidRPr="00C84F90" w:rsidRDefault="00893407" w:rsidP="00893407">
      <w:pPr>
        <w:ind w:left="708" w:right="709"/>
        <w:jc w:val="both"/>
        <w:rPr>
          <w:rFonts w:ascii="Arial" w:hAnsi="Arial" w:cs="Arial"/>
          <w:sz w:val="21"/>
          <w:szCs w:val="21"/>
        </w:rPr>
      </w:pPr>
      <w:r w:rsidRPr="00C84F90">
        <w:rPr>
          <w:rFonts w:ascii="Arial" w:hAnsi="Arial" w:cs="Arial"/>
          <w:sz w:val="21"/>
          <w:szCs w:val="21"/>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r>
        <w:rPr>
          <w:rFonts w:ascii="Arial" w:hAnsi="Arial" w:cs="Arial"/>
          <w:sz w:val="21"/>
          <w:szCs w:val="21"/>
        </w:rPr>
        <w:t>.</w:t>
      </w:r>
      <w:r w:rsidRPr="00C84F90">
        <w:rPr>
          <w:rFonts w:ascii="Arial" w:hAnsi="Arial" w:cs="Arial"/>
          <w:vertAlign w:val="superscript"/>
        </w:rPr>
        <w:footnoteReference w:id="23"/>
      </w:r>
      <w:r w:rsidRPr="009F1B7D">
        <w:rPr>
          <w:rFonts w:ascii="Arial" w:hAnsi="Arial" w:cs="Arial"/>
          <w:sz w:val="21"/>
          <w:szCs w:val="21"/>
          <w:lang w:val="es-ES"/>
        </w:rPr>
        <w:t xml:space="preserve"> </w:t>
      </w:r>
    </w:p>
    <w:p w14:paraId="7A5DD9BC" w14:textId="77777777" w:rsidR="00893407" w:rsidRPr="00C84F90" w:rsidRDefault="00893407" w:rsidP="00893407">
      <w:pPr>
        <w:spacing w:line="276" w:lineRule="auto"/>
        <w:jc w:val="both"/>
        <w:rPr>
          <w:rFonts w:ascii="Arial" w:hAnsi="Arial" w:cs="Arial"/>
          <w:sz w:val="22"/>
        </w:rPr>
      </w:pPr>
    </w:p>
    <w:p w14:paraId="7D77089D" w14:textId="77777777" w:rsidR="00893407" w:rsidRPr="00C84F90" w:rsidRDefault="00893407" w:rsidP="00893407">
      <w:pPr>
        <w:spacing w:after="120" w:line="276" w:lineRule="auto"/>
        <w:ind w:firstLine="709"/>
        <w:jc w:val="both"/>
        <w:rPr>
          <w:rFonts w:ascii="Arial" w:hAnsi="Arial" w:cs="Arial"/>
          <w:bCs/>
          <w:sz w:val="22"/>
          <w:lang w:eastAsia="x-none"/>
        </w:rPr>
      </w:pPr>
      <w:r w:rsidRPr="00C84F90">
        <w:rPr>
          <w:rFonts w:ascii="Arial" w:hAnsi="Arial" w:cs="Arial"/>
          <w:sz w:val="22"/>
        </w:rPr>
        <w:t>Aplicando este razonamiento, se tiene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r w:rsidRPr="00C84F90">
        <w:rPr>
          <w:rFonts w:ascii="Arial" w:hAnsi="Arial" w:cs="Arial"/>
          <w:vertAlign w:val="superscript"/>
        </w:rPr>
        <w:t xml:space="preserve"> </w:t>
      </w:r>
      <w:r w:rsidRPr="00C84F90">
        <w:rPr>
          <w:rFonts w:ascii="Arial" w:hAnsi="Arial" w:cs="Arial"/>
          <w:sz w:val="22"/>
          <w:vertAlign w:val="superscript"/>
        </w:rPr>
        <w:footnoteReference w:id="24"/>
      </w:r>
      <w:r w:rsidRPr="00C84F90">
        <w:rPr>
          <w:rFonts w:ascii="Arial" w:hAnsi="Arial" w:cs="Arial"/>
          <w:sz w:val="22"/>
        </w:rPr>
        <w:t>.</w:t>
      </w:r>
    </w:p>
    <w:bookmarkEnd w:id="19"/>
    <w:p w14:paraId="5A927109" w14:textId="77777777" w:rsidR="00893407" w:rsidRPr="000405D1" w:rsidRDefault="00893407" w:rsidP="00893407">
      <w:pPr>
        <w:spacing w:line="276" w:lineRule="auto"/>
        <w:ind w:firstLine="708"/>
        <w:jc w:val="both"/>
        <w:rPr>
          <w:rFonts w:ascii="Arial" w:hAnsi="Arial" w:cs="Arial"/>
          <w:bCs/>
          <w:sz w:val="22"/>
          <w:lang w:eastAsia="x-none"/>
        </w:rPr>
      </w:pPr>
      <w:r w:rsidRPr="00C84F90">
        <w:rPr>
          <w:rFonts w:ascii="Arial" w:hAnsi="Arial" w:cs="Arial"/>
          <w:sz w:val="22"/>
        </w:rPr>
        <w:t xml:space="preserve">Por lo tanto, la restricción prevista en la Ley 996 de 2005, </w:t>
      </w:r>
      <w:r w:rsidRPr="00C84F90">
        <w:rPr>
          <w:rFonts w:ascii="Arial" w:hAnsi="Arial" w:cs="Arial"/>
          <w:bCs/>
          <w:sz w:val="22"/>
          <w:lang w:eastAsia="x-none"/>
        </w:rPr>
        <w:t xml:space="preserve">teniendo en cuenta la finalidad de la ley de garantías electorales, cobija a cualquier ente público que pueda a </w:t>
      </w:r>
      <w:r w:rsidRPr="00C84F90">
        <w:rPr>
          <w:rFonts w:ascii="Arial" w:hAnsi="Arial" w:cs="Arial"/>
          <w:bCs/>
          <w:sz w:val="22"/>
          <w:lang w:eastAsia="x-none"/>
        </w:rPr>
        <w:lastRenderedPageBreak/>
        <w:t xml:space="preserve">través de la contratación directa romper el equilibrio entre los candidatos en </w:t>
      </w:r>
      <w:r>
        <w:rPr>
          <w:rFonts w:ascii="Arial" w:hAnsi="Arial" w:cs="Arial"/>
          <w:bCs/>
          <w:sz w:val="22"/>
          <w:lang w:eastAsia="x-none"/>
        </w:rPr>
        <w:t xml:space="preserve">desarrollo de </w:t>
      </w:r>
      <w:r w:rsidRPr="00C84F90">
        <w:rPr>
          <w:rFonts w:ascii="Arial" w:hAnsi="Arial" w:cs="Arial"/>
          <w:bCs/>
          <w:sz w:val="22"/>
          <w:lang w:eastAsia="x-none"/>
        </w:rPr>
        <w:t>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14:paraId="3F0745CE" w14:textId="77777777" w:rsidR="00893407" w:rsidRPr="00481068" w:rsidRDefault="00893407" w:rsidP="00893407">
      <w:pPr>
        <w:tabs>
          <w:tab w:val="left" w:pos="426"/>
        </w:tabs>
        <w:spacing w:line="276" w:lineRule="auto"/>
        <w:jc w:val="both"/>
        <w:rPr>
          <w:rFonts w:ascii="Arial" w:eastAsia="Calibri" w:hAnsi="Arial" w:cs="Arial"/>
          <w:bCs/>
          <w:sz w:val="22"/>
          <w:lang w:val="es-ES" w:eastAsia="es-CO"/>
        </w:rPr>
      </w:pPr>
    </w:p>
    <w:p w14:paraId="150DBA05" w14:textId="77777777" w:rsidR="00893407" w:rsidRPr="00481068" w:rsidRDefault="00893407" w:rsidP="00893407">
      <w:pPr>
        <w:spacing w:line="276" w:lineRule="auto"/>
        <w:jc w:val="both"/>
        <w:rPr>
          <w:rFonts w:ascii="Arial" w:eastAsia="Calibri" w:hAnsi="Arial" w:cs="Arial"/>
          <w:sz w:val="22"/>
        </w:rPr>
      </w:pPr>
      <w:r w:rsidRPr="00481068">
        <w:rPr>
          <w:rFonts w:ascii="Arial" w:eastAsia="Calibri" w:hAnsi="Arial" w:cs="Arial"/>
          <w:b/>
          <w:bCs/>
          <w:color w:val="000000"/>
          <w:sz w:val="22"/>
        </w:rPr>
        <w:t xml:space="preserve">2.3. </w:t>
      </w:r>
      <w:r w:rsidRPr="00481068">
        <w:rPr>
          <w:rFonts w:ascii="Arial" w:hAnsi="Arial" w:cs="Arial"/>
          <w:b/>
          <w:bCs/>
          <w:color w:val="000000" w:themeColor="text1"/>
          <w:sz w:val="22"/>
        </w:rPr>
        <w:t>Contratos con organismos internacionales y restricciones de la Ley de Garantías para la contratación directa</w:t>
      </w:r>
    </w:p>
    <w:p w14:paraId="4AA5FE8C" w14:textId="77777777" w:rsidR="00893407" w:rsidRPr="00481068" w:rsidRDefault="00893407" w:rsidP="00893407">
      <w:pPr>
        <w:snapToGrid w:val="0"/>
        <w:spacing w:line="276" w:lineRule="auto"/>
        <w:jc w:val="both"/>
        <w:rPr>
          <w:rFonts w:ascii="Arial" w:eastAsia="Calibri" w:hAnsi="Arial" w:cs="Arial"/>
          <w:bCs/>
          <w:sz w:val="22"/>
        </w:rPr>
      </w:pPr>
    </w:p>
    <w:p w14:paraId="5D232B8E" w14:textId="77777777" w:rsidR="00893407" w:rsidRPr="00481068" w:rsidRDefault="00893407" w:rsidP="00893407">
      <w:pPr>
        <w:spacing w:after="120" w:line="276" w:lineRule="auto"/>
        <w:jc w:val="both"/>
        <w:rPr>
          <w:rFonts w:ascii="Arial" w:hAnsi="Arial" w:cs="Arial"/>
          <w:sz w:val="22"/>
          <w:lang w:val="es-ES"/>
        </w:rPr>
      </w:pPr>
      <w:bookmarkStart w:id="20" w:name="_Hlk99449041"/>
      <w:r w:rsidRPr="00481068">
        <w:rPr>
          <w:rFonts w:ascii="Arial" w:hAnsi="Arial" w:cs="Arial"/>
          <w:sz w:val="22"/>
          <w:lang w:val="es-ES"/>
        </w:rPr>
        <w:t>Por organismo internacional se entiende aquella organización, grupo o asociación que se extiende más allá de las fronteras de un Estado y cuenta con órganos gubernamentales permanentes distintos e independientes de los Estados miembros de la organización que garantizan su vigencia y operatividad</w:t>
      </w:r>
      <w:r w:rsidRPr="00481068">
        <w:rPr>
          <w:rStyle w:val="Refdenotaalpie"/>
          <w:rFonts w:ascii="Arial" w:hAnsi="Arial" w:cs="Arial"/>
          <w:sz w:val="22"/>
        </w:rPr>
        <w:footnoteReference w:id="25"/>
      </w:r>
      <w:r w:rsidRPr="00481068">
        <w:rPr>
          <w:rFonts w:ascii="Arial" w:hAnsi="Arial" w:cs="Arial"/>
          <w:sz w:val="22"/>
          <w:lang w:val="es-ES"/>
        </w:rPr>
        <w:t xml:space="preserve">, con el propósito de cumplir objetivos comunes entre los Estados miembros. Conforme a su naturaleza, los organismos internacionales están facultados para suscribir contratos o convenios con los Estados, lo que supone un incidente frente a la aplicabilidad de los regímenes tanto de los Estados contratantes como de los organismos en su celebración. </w:t>
      </w:r>
    </w:p>
    <w:p w14:paraId="294AD99A" w14:textId="77777777" w:rsidR="00893407" w:rsidRPr="00481068" w:rsidRDefault="00893407" w:rsidP="00893407">
      <w:pPr>
        <w:pStyle w:val="Prrafodelista"/>
        <w:snapToGrid w:val="0"/>
        <w:spacing w:before="120" w:after="120" w:line="276" w:lineRule="auto"/>
        <w:ind w:left="0" w:firstLine="709"/>
        <w:jc w:val="both"/>
        <w:rPr>
          <w:rFonts w:ascii="Arial" w:eastAsia="Calibri" w:hAnsi="Arial" w:cs="Arial"/>
          <w:sz w:val="22"/>
        </w:rPr>
      </w:pPr>
      <w:bookmarkStart w:id="21" w:name="_Hlk99449078"/>
      <w:bookmarkEnd w:id="20"/>
      <w:r w:rsidRPr="00481068">
        <w:rPr>
          <w:rFonts w:ascii="Arial" w:eastAsia="Calibri" w:hAnsi="Arial" w:cs="Arial"/>
          <w:sz w:val="22"/>
        </w:rPr>
        <w:t>El artículo 13 de la Ley 80 de 1993 regula de forma general el régimen aplicable a los contratos que celebren las entidades referidas en el artículo segundo del estatuto</w:t>
      </w:r>
      <w:r w:rsidRPr="00481068">
        <w:rPr>
          <w:rStyle w:val="Refdenotaalpie"/>
          <w:rFonts w:ascii="Arial" w:hAnsi="Arial" w:cs="Arial"/>
          <w:sz w:val="22"/>
        </w:rPr>
        <w:footnoteReference w:id="26"/>
      </w:r>
      <w:r w:rsidRPr="00481068">
        <w:rPr>
          <w:rFonts w:ascii="Arial" w:eastAsia="Calibri" w:hAnsi="Arial" w:cs="Arial"/>
          <w:sz w:val="22"/>
        </w:rPr>
        <w:t xml:space="preserve">, señalando en el inciso primero, como primer criterio, la aplicabilidad de las disposiciones civiles y comerciales nacionales, sin perjuicio de la aplicación prevalente de las contenidas en el Estatuto General de Contratación de la Administración Pública. Sin embargo, en su segundo inciso, respecto a los contratos celebrados en el exterior, permite que su ejecución se realice de conformidad con las normas del país donde se hayan suscrito, salvo que deban cumplirse en Colombia, caso en el que se aplicaría el esquema señalado respecto al inciso primero. Por último, el inciso tercero permite que los contratos que se celebren en Colombia, pero deban ejecutarse o cumplirse en el extranjero, se sometan a la ley extranjera. </w:t>
      </w:r>
      <w:bookmarkEnd w:id="21"/>
    </w:p>
    <w:p w14:paraId="378ABBD1" w14:textId="77777777" w:rsidR="00893407" w:rsidRPr="00481068" w:rsidRDefault="00893407" w:rsidP="00893407">
      <w:pPr>
        <w:pStyle w:val="Prrafodelista"/>
        <w:snapToGrid w:val="0"/>
        <w:spacing w:before="120" w:after="120" w:line="276" w:lineRule="auto"/>
        <w:ind w:left="0" w:firstLine="709"/>
        <w:jc w:val="both"/>
        <w:rPr>
          <w:rFonts w:ascii="Arial" w:eastAsia="Calibri" w:hAnsi="Arial" w:cs="Arial"/>
          <w:sz w:val="12"/>
          <w:szCs w:val="12"/>
        </w:rPr>
      </w:pPr>
    </w:p>
    <w:p w14:paraId="605416B8" w14:textId="77777777" w:rsidR="00893407" w:rsidRPr="00481068" w:rsidRDefault="00893407" w:rsidP="00893407">
      <w:pPr>
        <w:pStyle w:val="Prrafodelista"/>
        <w:snapToGrid w:val="0"/>
        <w:spacing w:line="276" w:lineRule="auto"/>
        <w:ind w:left="0" w:firstLine="709"/>
        <w:jc w:val="both"/>
        <w:rPr>
          <w:rFonts w:ascii="Arial" w:eastAsia="Calibri" w:hAnsi="Arial" w:cs="Arial"/>
          <w:sz w:val="22"/>
        </w:rPr>
      </w:pPr>
      <w:r w:rsidRPr="00481068">
        <w:rPr>
          <w:rFonts w:ascii="Arial" w:eastAsia="Calibri" w:hAnsi="Arial" w:cs="Arial"/>
          <w:sz w:val="22"/>
        </w:rPr>
        <w:t>Nótese cómo el artículo citado permite que las entidades estatales no se rijan siempre por la normativa colombiana, permitiendo, en algunos casos, la aplicación de la ley extranjera. Además de los supuestos anteriores, el Consejo de Estado explica, en general, los siguientes escenarios, en los cuales el régimen jurídico puede ser uno diferente al prescrito en el derecho nacional, pese a tratarse de contratos sometidos, en principio, a la Ley 80 de 1993:</w:t>
      </w:r>
    </w:p>
    <w:p w14:paraId="14F869DD" w14:textId="77777777" w:rsidR="00893407" w:rsidRPr="00481068" w:rsidRDefault="00893407" w:rsidP="00893407">
      <w:pPr>
        <w:pStyle w:val="Prrafodelista"/>
        <w:snapToGrid w:val="0"/>
        <w:spacing w:line="276" w:lineRule="auto"/>
        <w:ind w:left="0" w:firstLine="709"/>
        <w:jc w:val="both"/>
        <w:rPr>
          <w:rFonts w:ascii="Arial" w:eastAsia="Calibri" w:hAnsi="Arial" w:cs="Arial"/>
          <w:sz w:val="22"/>
        </w:rPr>
      </w:pPr>
    </w:p>
    <w:p w14:paraId="1901EEAC" w14:textId="77777777" w:rsidR="00893407" w:rsidRPr="00481068" w:rsidRDefault="00893407" w:rsidP="00893407">
      <w:pPr>
        <w:pStyle w:val="Prrafodelista"/>
        <w:ind w:left="709" w:right="709"/>
        <w:jc w:val="both"/>
        <w:rPr>
          <w:rFonts w:ascii="Arial" w:eastAsia="MS Mincho" w:hAnsi="Arial" w:cs="Arial"/>
          <w:sz w:val="21"/>
          <w:szCs w:val="21"/>
          <w:lang w:eastAsia="es-ES"/>
        </w:rPr>
      </w:pPr>
      <w:r w:rsidRPr="00481068">
        <w:rPr>
          <w:rFonts w:ascii="Arial" w:eastAsia="MS Mincho" w:hAnsi="Arial" w:cs="Arial"/>
          <w:sz w:val="21"/>
          <w:szCs w:val="21"/>
          <w:lang w:eastAsia="es-ES"/>
        </w:rPr>
        <w:t xml:space="preserve">i) Contratos celebrados en el exterior, los cuales se podrán regir en su ejecución por las reglas del país donde se ha suscrito, salvo cuando su cumplimiento deba hacerse en Colombia, caso en el cual se aplicará la legislación nacional, </w:t>
      </w:r>
      <w:proofErr w:type="spellStart"/>
      <w:r w:rsidRPr="00481068">
        <w:rPr>
          <w:rFonts w:ascii="Arial" w:eastAsia="MS Mincho" w:hAnsi="Arial" w:cs="Arial"/>
          <w:sz w:val="21"/>
          <w:szCs w:val="21"/>
          <w:lang w:eastAsia="es-ES"/>
        </w:rPr>
        <w:t>ii</w:t>
      </w:r>
      <w:proofErr w:type="spellEnd"/>
      <w:r w:rsidRPr="00481068">
        <w:rPr>
          <w:rFonts w:ascii="Arial" w:eastAsia="MS Mincho" w:hAnsi="Arial" w:cs="Arial"/>
          <w:sz w:val="21"/>
          <w:szCs w:val="21"/>
          <w:lang w:eastAsia="es-ES"/>
        </w:rPr>
        <w:t xml:space="preserve">) Contratos celebrados en territorio colombiano que deben ejecutarse o cumplirse en el extranjero, en tal caso podrá regirse bajo legislación foránea, salvo aquella parte que deba ejecutarse o cumplirse en Colombia, la cual se regirá por el derecho nacional, </w:t>
      </w:r>
      <w:proofErr w:type="spellStart"/>
      <w:r w:rsidRPr="00481068">
        <w:rPr>
          <w:rFonts w:ascii="Arial" w:eastAsia="MS Mincho" w:hAnsi="Arial" w:cs="Arial"/>
          <w:sz w:val="21"/>
          <w:szCs w:val="21"/>
          <w:lang w:eastAsia="es-ES"/>
        </w:rPr>
        <w:t>iii</w:t>
      </w:r>
      <w:proofErr w:type="spellEnd"/>
      <w:r w:rsidRPr="00481068">
        <w:rPr>
          <w:rFonts w:ascii="Arial" w:eastAsia="MS Mincho" w:hAnsi="Arial" w:cs="Arial"/>
          <w:sz w:val="21"/>
          <w:szCs w:val="21"/>
          <w:lang w:eastAsia="es-ES"/>
        </w:rPr>
        <w:t>) a) los contratos financiados con fondos de organismos multilaterales de crédito y b) aquellos celebrados con personas extranjeras de derecho público u organismos de cooperación, asistencia o ayudas internacionales, los cuales «podrán someterse a los reglamentos de tales entidades en todo lo relacionado con procedimientos de formación y adjudicación y cláusulas especiales de ejecución, cumplimiento, pagos y ajustes</w:t>
      </w:r>
      <w:r w:rsidRPr="00481068">
        <w:rPr>
          <w:rStyle w:val="Refdenotaalpie"/>
          <w:rFonts w:ascii="Arial" w:hAnsi="Arial" w:cs="Arial"/>
          <w:sz w:val="21"/>
          <w:szCs w:val="21"/>
        </w:rPr>
        <w:footnoteReference w:id="27"/>
      </w:r>
      <w:r w:rsidRPr="00481068">
        <w:rPr>
          <w:rFonts w:ascii="Arial" w:eastAsia="MS Mincho" w:hAnsi="Arial" w:cs="Arial"/>
          <w:sz w:val="21"/>
          <w:szCs w:val="21"/>
          <w:lang w:eastAsia="es-ES"/>
        </w:rPr>
        <w:t xml:space="preserve">. </w:t>
      </w:r>
    </w:p>
    <w:p w14:paraId="7A2DF67A" w14:textId="77777777" w:rsidR="00893407" w:rsidRPr="00481068" w:rsidRDefault="00893407" w:rsidP="00893407">
      <w:pPr>
        <w:pStyle w:val="Prrafodelista"/>
        <w:spacing w:before="120"/>
        <w:ind w:left="851" w:right="709"/>
        <w:rPr>
          <w:rFonts w:ascii="Arial" w:eastAsia="Calibri" w:hAnsi="Arial" w:cs="Arial"/>
          <w:sz w:val="22"/>
        </w:rPr>
      </w:pPr>
    </w:p>
    <w:p w14:paraId="505596C9" w14:textId="77777777" w:rsidR="00893407" w:rsidRPr="00481068" w:rsidRDefault="00893407" w:rsidP="00893407">
      <w:pPr>
        <w:spacing w:line="276" w:lineRule="auto"/>
        <w:ind w:firstLine="709"/>
        <w:jc w:val="both"/>
        <w:rPr>
          <w:rFonts w:ascii="Arial" w:eastAsia="Calibri" w:hAnsi="Arial" w:cs="Arial"/>
          <w:sz w:val="22"/>
          <w:lang w:val="es-ES"/>
        </w:rPr>
      </w:pPr>
      <w:r w:rsidRPr="00481068">
        <w:rPr>
          <w:rFonts w:ascii="Arial" w:eastAsia="Calibri" w:hAnsi="Arial" w:cs="Arial"/>
          <w:sz w:val="22"/>
          <w:lang w:val="es-ES"/>
        </w:rPr>
        <w:t>La redacción original del artículo 13 de la Ley 80 de 1993 incluía un inciso cuarto en el que se regulaba el régimen aplicable a los contratos suscritos con organismos internacionales, estableciendo otros supuestos donde era posible aplicar un régimen distinto al del Estatuto General de Contratación de la Administración Pública –en adelante EGCAP–</w:t>
      </w:r>
      <w:r w:rsidRPr="00481068">
        <w:rPr>
          <w:rStyle w:val="Refdenotaalpie"/>
          <w:rFonts w:ascii="Arial" w:eastAsia="Calibri" w:hAnsi="Arial" w:cs="Arial"/>
          <w:sz w:val="22"/>
        </w:rPr>
        <w:footnoteReference w:id="28"/>
      </w:r>
      <w:r w:rsidRPr="00481068">
        <w:rPr>
          <w:rFonts w:ascii="Arial" w:eastAsia="Calibri" w:hAnsi="Arial" w:cs="Arial"/>
          <w:sz w:val="22"/>
          <w:lang w:val="es-ES"/>
        </w:rPr>
        <w:t xml:space="preserve">. Sin embargo, el artículo 20 de la Ley 1150 de 2007 modificó el régimen contractual aplicable a los contratos o convenios suscritos con organismos internacionales, estableciendo, para algunos casos, la posible definición del régimen dependiendo del porcentaje de participación que el organismo internacional tuviera frente a dichos contratos, a partir del cual establece una potestad discrecional en torno a la elección del régimen contractual aplicable. Así, el artículo 20 de la citada norma señala que «podrán» ser sometidos a los reglamentos de tales entidades, en lo que tiene que ver con el inciso primero de dicho artículo. </w:t>
      </w:r>
    </w:p>
    <w:p w14:paraId="7E868F95" w14:textId="77777777" w:rsidR="00893407" w:rsidRPr="00481068" w:rsidRDefault="00893407" w:rsidP="00893407">
      <w:pPr>
        <w:spacing w:before="120" w:after="120" w:line="276" w:lineRule="auto"/>
        <w:ind w:firstLine="709"/>
        <w:jc w:val="both"/>
        <w:rPr>
          <w:rFonts w:ascii="Arial" w:eastAsia="Calibri" w:hAnsi="Arial" w:cs="Arial"/>
          <w:sz w:val="22"/>
          <w:lang w:val="es-ES"/>
        </w:rPr>
      </w:pPr>
      <w:r w:rsidRPr="00481068">
        <w:rPr>
          <w:rFonts w:ascii="Arial" w:eastAsia="Calibri" w:hAnsi="Arial" w:cs="Arial"/>
          <w:sz w:val="22"/>
          <w:lang w:val="es-ES"/>
        </w:rPr>
        <w:lastRenderedPageBreak/>
        <w:t>Para comprender el alcance del régimen aplicable a los contratos o convenios que se suscriban con organismos internacionales, de acuerdo con la financiación de estos, resulta necesario analizar el artículo 20 de la Ley 1150 de 2007</w:t>
      </w:r>
      <w:r w:rsidRPr="00481068">
        <w:rPr>
          <w:rStyle w:val="Refdenotaalpie"/>
          <w:rFonts w:ascii="Arial" w:eastAsia="Calibri" w:hAnsi="Arial" w:cs="Arial"/>
          <w:sz w:val="22"/>
        </w:rPr>
        <w:footnoteReference w:id="29"/>
      </w:r>
      <w:r w:rsidRPr="00481068">
        <w:rPr>
          <w:rFonts w:ascii="Arial" w:eastAsia="Calibri" w:hAnsi="Arial" w:cs="Arial"/>
          <w:sz w:val="22"/>
          <w:lang w:val="es-ES"/>
        </w:rPr>
        <w:t xml:space="preserve">. De conformidad con este artículo, en lo que tiene que ver con el </w:t>
      </w:r>
      <w:r w:rsidRPr="00481068">
        <w:rPr>
          <w:rFonts w:ascii="Arial" w:eastAsia="Calibri" w:hAnsi="Arial" w:cs="Arial"/>
          <w:i/>
          <w:iCs/>
          <w:sz w:val="22"/>
          <w:lang w:val="es-ES"/>
        </w:rPr>
        <w:t>inciso primero</w:t>
      </w:r>
      <w:r w:rsidRPr="00481068">
        <w:rPr>
          <w:rFonts w:ascii="Arial" w:eastAsia="Calibri" w:hAnsi="Arial" w:cs="Arial"/>
          <w:sz w:val="22"/>
          <w:lang w:val="es-ES"/>
        </w:rPr>
        <w:t xml:space="preserve">,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someterse al EGCAP. </w:t>
      </w:r>
    </w:p>
    <w:p w14:paraId="0B3F3CEB" w14:textId="77777777" w:rsidR="00893407" w:rsidRPr="00481068" w:rsidRDefault="00893407" w:rsidP="00893407">
      <w:pPr>
        <w:spacing w:before="120" w:line="276" w:lineRule="auto"/>
        <w:ind w:firstLine="709"/>
        <w:jc w:val="both"/>
        <w:rPr>
          <w:rFonts w:ascii="Arial" w:eastAsia="Calibri" w:hAnsi="Arial" w:cs="Arial"/>
          <w:sz w:val="22"/>
          <w:lang w:val="es-ES"/>
        </w:rPr>
      </w:pPr>
      <w:r w:rsidRPr="00481068">
        <w:rPr>
          <w:rFonts w:ascii="Arial" w:eastAsia="Calibri" w:hAnsi="Arial" w:cs="Arial"/>
          <w:sz w:val="22"/>
          <w:lang w:val="es-ES"/>
        </w:rPr>
        <w:t xml:space="preserve">Por otro lado, la norma establece un segundo criterio, en el </w:t>
      </w:r>
      <w:r w:rsidRPr="00481068">
        <w:rPr>
          <w:rFonts w:ascii="Arial" w:eastAsia="Calibri" w:hAnsi="Arial" w:cs="Arial"/>
          <w:i/>
          <w:iCs/>
          <w:sz w:val="22"/>
          <w:lang w:val="es-ES"/>
        </w:rPr>
        <w:t>inciso segundo,</w:t>
      </w:r>
      <w:r w:rsidRPr="00481068">
        <w:rPr>
          <w:rFonts w:ascii="Arial" w:eastAsia="Calibri" w:hAnsi="Arial" w:cs="Arial"/>
          <w:sz w:val="22"/>
          <w:lang w:val="es-ES"/>
        </w:rPr>
        <w:t xml:space="preserve"> para determinar la posibilidad de aplicar los reglamentos de los organismos internacionales. Este segundo criterio </w:t>
      </w:r>
      <w:r w:rsidRPr="009757C7">
        <w:rPr>
          <w:rFonts w:ascii="Arial" w:eastAsia="Calibri" w:hAnsi="Arial" w:cs="Arial"/>
          <w:sz w:val="22"/>
          <w:lang w:val="es-ES"/>
        </w:rPr>
        <w:t>depende del objeto del convenio o contrato a celebrar, de</w:t>
      </w:r>
      <w:r w:rsidRPr="00481068">
        <w:rPr>
          <w:rFonts w:ascii="Arial" w:eastAsia="Calibri" w:hAnsi="Arial" w:cs="Arial"/>
          <w:sz w:val="22"/>
          <w:lang w:val="es-ES"/>
        </w:rPr>
        <w:t xml:space="preserve"> manera que en dichos casos se puede pactar el sometimiento a los reglamentos de estas entidades. En tal sentido, los otros supuestos en que es posible someter el régimen contractual a los reglamentos de los organismos internacionales son los siguientes: </w:t>
      </w:r>
    </w:p>
    <w:p w14:paraId="1410CB88" w14:textId="77777777" w:rsidR="00893407" w:rsidRPr="00481068" w:rsidRDefault="00893407" w:rsidP="00893407">
      <w:pPr>
        <w:spacing w:line="276" w:lineRule="auto"/>
        <w:ind w:firstLine="709"/>
        <w:jc w:val="both"/>
        <w:rPr>
          <w:rFonts w:ascii="Arial" w:eastAsia="Calibri" w:hAnsi="Arial" w:cs="Arial"/>
          <w:sz w:val="22"/>
          <w:lang w:val="es-ES"/>
        </w:rPr>
      </w:pPr>
    </w:p>
    <w:p w14:paraId="635CD0CF" w14:textId="77777777" w:rsidR="00893407" w:rsidRPr="00481068" w:rsidRDefault="00893407" w:rsidP="00893407">
      <w:pPr>
        <w:pStyle w:val="Prrafodelista"/>
        <w:numPr>
          <w:ilvl w:val="0"/>
          <w:numId w:val="1"/>
        </w:numPr>
        <w:spacing w:after="200" w:line="276" w:lineRule="auto"/>
        <w:ind w:left="1134" w:right="709" w:hanging="141"/>
        <w:jc w:val="both"/>
        <w:rPr>
          <w:rFonts w:ascii="Arial" w:eastAsia="Calibri" w:hAnsi="Arial" w:cs="Arial"/>
          <w:sz w:val="21"/>
          <w:szCs w:val="21"/>
        </w:rPr>
      </w:pPr>
      <w:r w:rsidRPr="00481068">
        <w:rPr>
          <w:rFonts w:ascii="Arial" w:eastAsia="Calibri" w:hAnsi="Arial" w:cs="Arial"/>
          <w:sz w:val="21"/>
          <w:szCs w:val="21"/>
        </w:rPr>
        <w:t xml:space="preserve">Desarrollo de programas de promoción, prevención y atención en salud. </w:t>
      </w:r>
    </w:p>
    <w:p w14:paraId="7AC37C13" w14:textId="77777777" w:rsidR="00893407" w:rsidRPr="00481068" w:rsidRDefault="00893407" w:rsidP="00893407">
      <w:pPr>
        <w:pStyle w:val="Prrafodelista"/>
        <w:numPr>
          <w:ilvl w:val="0"/>
          <w:numId w:val="1"/>
        </w:numPr>
        <w:spacing w:line="276" w:lineRule="auto"/>
        <w:ind w:left="1134" w:right="709" w:hanging="141"/>
        <w:jc w:val="both"/>
        <w:rPr>
          <w:rFonts w:ascii="Arial" w:hAnsi="Arial" w:cs="Arial"/>
          <w:sz w:val="21"/>
          <w:szCs w:val="21"/>
        </w:rPr>
      </w:pPr>
      <w:r w:rsidRPr="00481068">
        <w:rPr>
          <w:rFonts w:ascii="Arial" w:hAnsi="Arial" w:cs="Arial"/>
          <w:sz w:val="21"/>
          <w:szCs w:val="21"/>
        </w:rPr>
        <w:t>Contratos y convenios necesarios para la operación de la OIT.</w:t>
      </w:r>
    </w:p>
    <w:p w14:paraId="387BCDCE" w14:textId="77777777" w:rsidR="00893407" w:rsidRPr="00481068" w:rsidRDefault="00893407" w:rsidP="00893407">
      <w:pPr>
        <w:pStyle w:val="Prrafodelista"/>
        <w:numPr>
          <w:ilvl w:val="0"/>
          <w:numId w:val="1"/>
        </w:numPr>
        <w:spacing w:line="276" w:lineRule="auto"/>
        <w:ind w:left="1134" w:right="709" w:hanging="141"/>
        <w:jc w:val="both"/>
        <w:rPr>
          <w:rFonts w:ascii="Arial" w:hAnsi="Arial" w:cs="Arial"/>
          <w:sz w:val="21"/>
          <w:szCs w:val="21"/>
        </w:rPr>
      </w:pPr>
      <w:r w:rsidRPr="00481068">
        <w:rPr>
          <w:rFonts w:ascii="Arial" w:hAnsi="Arial" w:cs="Arial"/>
          <w:sz w:val="21"/>
          <w:szCs w:val="21"/>
        </w:rPr>
        <w:lastRenderedPageBreak/>
        <w:t>Contratos y convenios que se ejecuten en desarrollo del sistema integrado de monitoreo de cultivos ilícitos.</w:t>
      </w:r>
    </w:p>
    <w:p w14:paraId="009316B4" w14:textId="77777777" w:rsidR="00893407" w:rsidRPr="00481068" w:rsidRDefault="00893407" w:rsidP="00893407">
      <w:pPr>
        <w:pStyle w:val="Prrafodelista"/>
        <w:numPr>
          <w:ilvl w:val="0"/>
          <w:numId w:val="1"/>
        </w:numPr>
        <w:spacing w:line="276" w:lineRule="auto"/>
        <w:ind w:left="1134" w:right="709" w:hanging="141"/>
        <w:jc w:val="both"/>
        <w:rPr>
          <w:rFonts w:ascii="Arial" w:hAnsi="Arial" w:cs="Arial"/>
          <w:sz w:val="21"/>
          <w:szCs w:val="21"/>
        </w:rPr>
      </w:pPr>
      <w:r w:rsidRPr="00481068">
        <w:rPr>
          <w:rFonts w:ascii="Arial" w:hAnsi="Arial" w:cs="Arial"/>
          <w:sz w:val="21"/>
          <w:szCs w:val="21"/>
        </w:rPr>
        <w:t>Contratos y convenios para la operación del programa mundial de alimentos.</w:t>
      </w:r>
    </w:p>
    <w:p w14:paraId="25DABA14" w14:textId="77777777" w:rsidR="00893407" w:rsidRPr="00481068" w:rsidRDefault="00893407" w:rsidP="00893407">
      <w:pPr>
        <w:pStyle w:val="Prrafodelista"/>
        <w:numPr>
          <w:ilvl w:val="0"/>
          <w:numId w:val="1"/>
        </w:numPr>
        <w:spacing w:line="276" w:lineRule="auto"/>
        <w:ind w:left="1134" w:right="709" w:hanging="141"/>
        <w:jc w:val="both"/>
        <w:rPr>
          <w:rFonts w:ascii="Arial" w:hAnsi="Arial" w:cs="Arial"/>
          <w:sz w:val="21"/>
          <w:szCs w:val="21"/>
        </w:rPr>
      </w:pPr>
      <w:r w:rsidRPr="00481068">
        <w:rPr>
          <w:rFonts w:ascii="Arial" w:hAnsi="Arial" w:cs="Arial"/>
          <w:sz w:val="21"/>
          <w:szCs w:val="21"/>
        </w:rPr>
        <w:t>Contratos y convenios para el desarrollo de programas de apoyo educativo a población desplazada y vulnerable adelantados por la Unesco y la OIM.</w:t>
      </w:r>
    </w:p>
    <w:p w14:paraId="53215E11" w14:textId="77777777" w:rsidR="00893407" w:rsidRPr="00481068" w:rsidRDefault="00893407" w:rsidP="00893407">
      <w:pPr>
        <w:pStyle w:val="Prrafodelista"/>
        <w:numPr>
          <w:ilvl w:val="0"/>
          <w:numId w:val="1"/>
        </w:numPr>
        <w:spacing w:line="276" w:lineRule="auto"/>
        <w:ind w:left="1134" w:right="709" w:hanging="141"/>
        <w:jc w:val="both"/>
        <w:rPr>
          <w:rFonts w:ascii="Arial" w:hAnsi="Arial" w:cs="Arial"/>
          <w:sz w:val="22"/>
        </w:rPr>
      </w:pPr>
      <w:r w:rsidRPr="00481068">
        <w:rPr>
          <w:rFonts w:ascii="Arial" w:hAnsi="Arial" w:cs="Arial"/>
          <w:sz w:val="21"/>
          <w:szCs w:val="21"/>
        </w:rPr>
        <w:t>Los contratos o convenios financiados con fondos de los organismos multilaterales de crédito y entes gubernamentales extranjeros.</w:t>
      </w:r>
      <w:r w:rsidRPr="00481068">
        <w:rPr>
          <w:rFonts w:ascii="Arial" w:hAnsi="Arial" w:cs="Arial"/>
          <w:sz w:val="22"/>
        </w:rPr>
        <w:t xml:space="preserve"> </w:t>
      </w:r>
    </w:p>
    <w:p w14:paraId="42229E7C" w14:textId="77777777" w:rsidR="00893407" w:rsidRPr="00481068" w:rsidRDefault="00893407" w:rsidP="00893407">
      <w:pPr>
        <w:pStyle w:val="Prrafodelista"/>
        <w:ind w:left="1429"/>
        <w:rPr>
          <w:rFonts w:ascii="Arial" w:hAnsi="Arial" w:cs="Arial"/>
          <w:sz w:val="22"/>
        </w:rPr>
      </w:pPr>
    </w:p>
    <w:p w14:paraId="4526D735" w14:textId="77777777" w:rsidR="00893407" w:rsidRPr="00481068" w:rsidRDefault="00893407" w:rsidP="00893407">
      <w:pPr>
        <w:spacing w:line="276" w:lineRule="auto"/>
        <w:ind w:firstLine="709"/>
        <w:jc w:val="both"/>
        <w:rPr>
          <w:rFonts w:ascii="Arial" w:eastAsia="Calibri" w:hAnsi="Arial" w:cs="Arial"/>
          <w:sz w:val="22"/>
          <w:lang w:val="es-ES"/>
        </w:rPr>
      </w:pPr>
      <w:r w:rsidRPr="00481068">
        <w:rPr>
          <w:rFonts w:ascii="Arial" w:eastAsia="Calibri" w:hAnsi="Arial" w:cs="Arial"/>
          <w:sz w:val="22"/>
          <w:lang w:val="es-ES"/>
        </w:rPr>
        <w:t>En los supuestos anteriores, regulados en el inciso segundo del artículo 20, independientemente del monto de los aportes de cada una de las partes, es posible optar por someter el contrato a los reglamentos de dichos organismos o bien someterlos al EGCAP, es decir, configurado alguno de los presupuestos anteriores es posible elegir cualquiera de los dos (2) regímenes indicados. Al respecto, en el concepto C-374 del 27 de julio de 2020, esta Agencia –después de analizar el artículo 20 de la Ley 1150 de 2007– concluyó que:</w:t>
      </w:r>
    </w:p>
    <w:p w14:paraId="7E1AF620" w14:textId="77777777" w:rsidR="00893407" w:rsidRPr="00481068" w:rsidRDefault="00893407" w:rsidP="00893407">
      <w:pPr>
        <w:spacing w:line="276" w:lineRule="auto"/>
        <w:ind w:firstLine="709"/>
        <w:jc w:val="both"/>
        <w:rPr>
          <w:rFonts w:ascii="Arial" w:eastAsia="Calibri" w:hAnsi="Arial" w:cs="Arial"/>
          <w:sz w:val="22"/>
          <w:lang w:val="es-ES"/>
        </w:rPr>
      </w:pPr>
    </w:p>
    <w:p w14:paraId="6B611CB6" w14:textId="77777777" w:rsidR="00893407" w:rsidRPr="00481068" w:rsidRDefault="00893407" w:rsidP="00893407">
      <w:pPr>
        <w:ind w:left="709" w:right="709"/>
        <w:jc w:val="both"/>
        <w:rPr>
          <w:rFonts w:ascii="Arial" w:eastAsia="Calibri" w:hAnsi="Arial" w:cs="Arial"/>
          <w:sz w:val="21"/>
          <w:szCs w:val="21"/>
          <w:lang w:val="es-ES"/>
        </w:rPr>
      </w:pPr>
      <w:r w:rsidRPr="00481068">
        <w:rPr>
          <w:rFonts w:ascii="Arial" w:eastAsia="Calibri" w:hAnsi="Arial" w:cs="Arial"/>
          <w:sz w:val="21"/>
          <w:szCs w:val="21"/>
          <w:lang w:val="es-ES"/>
        </w:rPr>
        <w:t>[…] existen dos grupos de supuestos en el artículo 20 de la Ley 1150 de 2007, bajo los cuales es posible someter el régimen contractual aplicable a los reglamentos de los organismos internacionales: el primer grupo, regulado en el inciso primero, donde dicha posibilidad se condiciona a que los contratos o convenios  se financien en el 50% o más con fondos de dichos organismos de cooperación, asistencia o ayudas internacionales y, el segundo grupo, regulado en el inciso segundo, donde dicha posibilidad se condiciona a que se configure alguno de los 6 supuestos enlistados atrás, sin que resulte exigible algún porcentaje de incorporación de recursos. En todo caso, frente a ambos grupos, la aplicación de los reglamentos de tales entidades internacionales es una posibilidad por la que pueden optar o no las partes; es decir, configurados los requisitos indicados, las partes pueden decidir si someten los contratos a los reglamentos de las entidades internacionales o si se rigen por el Estatuto General de Contratación de la Administración Pública.</w:t>
      </w:r>
    </w:p>
    <w:p w14:paraId="07977253" w14:textId="77777777" w:rsidR="00893407" w:rsidRPr="00481068" w:rsidRDefault="00893407" w:rsidP="00893407">
      <w:pPr>
        <w:ind w:left="709" w:right="709"/>
        <w:jc w:val="both"/>
        <w:rPr>
          <w:rFonts w:ascii="Arial" w:eastAsia="Calibri" w:hAnsi="Arial" w:cs="Arial"/>
          <w:sz w:val="22"/>
          <w:lang w:val="es-ES"/>
        </w:rPr>
      </w:pPr>
    </w:p>
    <w:p w14:paraId="58098589" w14:textId="77777777" w:rsidR="00893407" w:rsidRPr="00481068" w:rsidRDefault="00893407" w:rsidP="00893407">
      <w:pPr>
        <w:spacing w:after="120" w:line="276" w:lineRule="auto"/>
        <w:ind w:firstLine="709"/>
        <w:jc w:val="both"/>
        <w:rPr>
          <w:rFonts w:ascii="Arial" w:hAnsi="Arial" w:cs="Arial"/>
          <w:sz w:val="22"/>
        </w:rPr>
      </w:pPr>
      <w:r w:rsidRPr="00481068">
        <w:rPr>
          <w:rFonts w:ascii="Arial" w:eastAsia="Calibri" w:hAnsi="Arial" w:cs="Arial"/>
          <w:sz w:val="22"/>
          <w:lang w:val="es-ES"/>
        </w:rPr>
        <w:t xml:space="preserve">De otra parte, en relación con los contratos del inciso primero del artículo 20 de la Ley 1150 de 2007, conviene mencionar que dentro de la ejecución del contrato o convenio pueden presentarse situaciones en las que el porcentaje de los aportes sea modificado, en virtud de su adición o no ejecución en los términos pactados, por lo que, previendo este escenario, el artículo 2.2.1.2.4.4.1. del Decreto 1082 de 2015 dispuso que: «se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w:t>
      </w:r>
      <w:r w:rsidRPr="00481068">
        <w:rPr>
          <w:rFonts w:ascii="Arial" w:eastAsia="Calibri" w:hAnsi="Arial" w:cs="Arial"/>
          <w:sz w:val="22"/>
          <w:lang w:val="es-ES"/>
        </w:rPr>
        <w:lastRenderedPageBreak/>
        <w:t>si el aporte es inferior»</w:t>
      </w:r>
      <w:r w:rsidRPr="00481068">
        <w:rPr>
          <w:rStyle w:val="Refdenotaalpie"/>
          <w:rFonts w:ascii="Arial" w:eastAsia="Calibri" w:hAnsi="Arial" w:cs="Arial"/>
          <w:sz w:val="22"/>
        </w:rPr>
        <w:footnoteReference w:id="30"/>
      </w:r>
      <w:r w:rsidRPr="00481068">
        <w:rPr>
          <w:rFonts w:ascii="Arial" w:eastAsia="Calibri" w:hAnsi="Arial" w:cs="Arial"/>
          <w:sz w:val="22"/>
          <w:lang w:val="es-ES"/>
        </w:rPr>
        <w:t>. Así las cosas, la entidad contratante debe realizar un constante monitoreo respecto de los aportes de cada una de las partes para determinar si se debe realizar un ajuste frente al régimen aplicable, esto es, en relación con los contratos regulados en el inciso primero del artículo 20 de la Ley 1150 de 2007</w:t>
      </w:r>
      <w:r w:rsidRPr="00481068">
        <w:rPr>
          <w:rFonts w:ascii="Arial" w:hAnsi="Arial" w:cs="Arial"/>
          <w:sz w:val="22"/>
        </w:rPr>
        <w:t xml:space="preserve">. </w:t>
      </w:r>
    </w:p>
    <w:p w14:paraId="0054B922" w14:textId="77777777" w:rsidR="00893407" w:rsidRPr="00481068" w:rsidRDefault="00893407" w:rsidP="00893407">
      <w:pPr>
        <w:snapToGrid w:val="0"/>
        <w:spacing w:after="120" w:line="276" w:lineRule="auto"/>
        <w:ind w:firstLine="709"/>
        <w:jc w:val="both"/>
        <w:rPr>
          <w:rFonts w:ascii="Arial" w:eastAsia="Calibri" w:hAnsi="Arial" w:cs="Arial"/>
          <w:sz w:val="22"/>
          <w:lang w:val="es-ES"/>
        </w:rPr>
      </w:pPr>
      <w:r w:rsidRPr="00481068">
        <w:rPr>
          <w:rFonts w:ascii="Arial" w:hAnsi="Arial" w:cs="Arial"/>
          <w:sz w:val="22"/>
        </w:rPr>
        <w:t xml:space="preserve">Ahora bien, de acuerdo con el </w:t>
      </w:r>
      <w:r w:rsidRPr="00481068">
        <w:rPr>
          <w:rFonts w:ascii="Arial" w:eastAsia="Calibri" w:hAnsi="Arial" w:cs="Arial"/>
          <w:sz w:val="22"/>
          <w:lang w:val="es-ES"/>
        </w:rPr>
        <w:t>Concepto CU-180 del 8 de abril de 2022 de esta Agencia, el artículo 20 de la Ley 1150 de 2007 dispone una excepción a la regla general del artículo 13 de la Ley 80 de 1993, según la cual las normas aplicables tanto a la celebración como ejecución del contrato estatal serán las nacionales, siempre y cuando el respectivo acuerdo sea celebrado o ejecutado en el territorio nacional. Por tanto, sobre el artículo 33 de la Ley de Garantías</w:t>
      </w:r>
      <w:r w:rsidRPr="00481068">
        <w:rPr>
          <w:rFonts w:ascii="Arial" w:eastAsia="Calibri" w:hAnsi="Arial" w:cs="Arial"/>
          <w:sz w:val="22"/>
        </w:rPr>
        <w:t xml:space="preserve">, </w:t>
      </w:r>
      <w:r w:rsidRPr="00481068">
        <w:rPr>
          <w:rFonts w:ascii="Arial" w:eastAsia="Calibri" w:hAnsi="Arial" w:cs="Arial"/>
          <w:sz w:val="22"/>
          <w:lang w:val="es-ES"/>
        </w:rPr>
        <w:t xml:space="preserve">la Agencia –al retomar la tesis del Concepto C-559 del 31 de agosto de 2021– consideró lo siguiente: «[…] </w:t>
      </w:r>
      <w:r w:rsidRPr="00481068">
        <w:rPr>
          <w:rFonts w:ascii="Arial" w:eastAsia="Calibri" w:hAnsi="Arial" w:cs="Arial"/>
          <w:i/>
          <w:iCs/>
          <w:sz w:val="22"/>
          <w:lang w:val="es-ES"/>
        </w:rPr>
        <w:t>dado que</w:t>
      </w:r>
      <w:r w:rsidRPr="00481068">
        <w:rPr>
          <w:rFonts w:ascii="Arial" w:eastAsia="Calibri" w:hAnsi="Arial" w:cs="Arial"/>
          <w:sz w:val="22"/>
          <w:lang w:val="es-ES"/>
        </w:rPr>
        <w:t xml:space="preserve"> […] </w:t>
      </w:r>
      <w:r w:rsidRPr="00481068">
        <w:rPr>
          <w:rFonts w:ascii="Arial" w:eastAsia="Calibri" w:hAnsi="Arial" w:cs="Arial"/>
          <w:i/>
          <w:iCs/>
          <w:sz w:val="22"/>
          <w:lang w:val="es-ES"/>
        </w:rPr>
        <w:t>existen algunos casos en los cuales el legislador habilitó a las entidades públicas para que suscribieran contratos cuyo régimen es distinto al derecho nacional,</w:t>
      </w:r>
      <w:r w:rsidRPr="00481068">
        <w:rPr>
          <w:rFonts w:ascii="Arial" w:eastAsia="Calibri" w:hAnsi="Arial" w:cs="Arial"/>
          <w:sz w:val="22"/>
          <w:lang w:val="es-ES"/>
        </w:rPr>
        <w:t xml:space="preserve"> […] </w:t>
      </w:r>
      <w:r w:rsidRPr="00481068">
        <w:rPr>
          <w:rFonts w:ascii="Arial" w:eastAsia="Calibri" w:hAnsi="Arial" w:cs="Arial"/>
          <w:i/>
          <w:iCs/>
          <w:sz w:val="22"/>
          <w:lang w:val="es-ES"/>
        </w:rPr>
        <w:t>en estos eventos dicha restricción no sería aplicable</w:t>
      </w:r>
      <w:r w:rsidRPr="00481068">
        <w:rPr>
          <w:rFonts w:ascii="Arial" w:eastAsia="Calibri" w:hAnsi="Arial" w:cs="Arial"/>
          <w:sz w:val="22"/>
          <w:lang w:val="es-ES"/>
        </w:rPr>
        <w:t xml:space="preserve">» (Énfasis fuera de texto). </w:t>
      </w:r>
    </w:p>
    <w:p w14:paraId="4D4EF118" w14:textId="77777777" w:rsidR="00893407" w:rsidRPr="00481068" w:rsidRDefault="00893407" w:rsidP="00893407">
      <w:pPr>
        <w:snapToGrid w:val="0"/>
        <w:spacing w:line="276" w:lineRule="auto"/>
        <w:ind w:firstLine="708"/>
        <w:jc w:val="both"/>
        <w:rPr>
          <w:rFonts w:ascii="Arial" w:eastAsia="Calibri" w:hAnsi="Arial" w:cs="Arial"/>
          <w:sz w:val="22"/>
          <w:lang w:val="es-ES"/>
        </w:rPr>
      </w:pPr>
      <w:r w:rsidRPr="00481068">
        <w:rPr>
          <w:rFonts w:ascii="Arial" w:eastAsia="Calibri" w:hAnsi="Arial" w:cs="Arial"/>
          <w:sz w:val="22"/>
          <w:lang w:val="es-ES"/>
        </w:rPr>
        <w:t xml:space="preserve">Para efectos de la tesis unificada, el artículo 20 de la Ley 1150 de 2007 implica un régimen exceptuado distinto a los demás, en la medida que el derecho aplicable a estos contratos no es el derecho nacional, sino disposiciones de carácter internacional, normas </w:t>
      </w:r>
      <w:r w:rsidRPr="00481068">
        <w:rPr>
          <w:rFonts w:ascii="Arial" w:eastAsia="Calibri" w:hAnsi="Arial" w:cs="Arial"/>
          <w:sz w:val="22"/>
          <w:lang w:val="es-ES"/>
        </w:rPr>
        <w:lastRenderedPageBreak/>
        <w:t>que se materializan a través de los reglamentos de los organismos de cooperación, asistencia o ayuda. Así las cosas, en el Concepto CU-180 del 8 de abril de 2022, la Agencia estimó que:</w:t>
      </w:r>
    </w:p>
    <w:p w14:paraId="6883F1D8" w14:textId="77777777" w:rsidR="00893407" w:rsidRPr="00481068" w:rsidRDefault="00893407" w:rsidP="00893407">
      <w:pPr>
        <w:snapToGrid w:val="0"/>
        <w:spacing w:line="276" w:lineRule="auto"/>
        <w:jc w:val="both"/>
        <w:rPr>
          <w:rFonts w:ascii="Arial" w:eastAsia="Calibri" w:hAnsi="Arial" w:cs="Arial"/>
          <w:sz w:val="22"/>
          <w:lang w:val="es-ES"/>
        </w:rPr>
      </w:pPr>
    </w:p>
    <w:p w14:paraId="28E1E8AD" w14:textId="77777777" w:rsidR="00893407" w:rsidRPr="00481068" w:rsidRDefault="00893407" w:rsidP="00893407">
      <w:pPr>
        <w:snapToGrid w:val="0"/>
        <w:spacing w:after="120"/>
        <w:ind w:left="709" w:right="709"/>
        <w:jc w:val="both"/>
        <w:rPr>
          <w:rFonts w:ascii="Arial" w:eastAsia="Calibri" w:hAnsi="Arial" w:cs="Arial"/>
          <w:sz w:val="21"/>
          <w:szCs w:val="21"/>
          <w:lang w:val="es-ES"/>
        </w:rPr>
      </w:pPr>
      <w:r w:rsidRPr="00481068">
        <w:rPr>
          <w:rFonts w:ascii="Arial" w:eastAsia="Calibri" w:hAnsi="Arial" w:cs="Arial"/>
          <w:sz w:val="21"/>
          <w:szCs w:val="21"/>
          <w:lang w:val="es-ES"/>
        </w:rPr>
        <w:t xml:space="preserve">[…] siempre y cuando se cumplan con los requisitos que el artículo 20 impone, las partes que deseen contratar podrán incorporar las normas contenidas en los reglamentos de los organismos internacionales, de forma completa y absoluta o de manera sectorizada y parcial. En este último caso, entonces, podrán convenir, por ejemplo, que al contrato se apliquen solo ciertas normas extranjeras de su reglamento relacionadas con el procedimiento de selección o la forma de celebrar el contrato, y estipular que la ejecución de este se regirá por el ordenamiento nacional. </w:t>
      </w:r>
    </w:p>
    <w:p w14:paraId="7DA7FC53" w14:textId="77777777" w:rsidR="00893407" w:rsidRPr="00481068" w:rsidRDefault="00893407" w:rsidP="00893407">
      <w:pPr>
        <w:snapToGrid w:val="0"/>
        <w:spacing w:after="120"/>
        <w:ind w:left="709" w:right="709"/>
        <w:jc w:val="both"/>
        <w:rPr>
          <w:rFonts w:ascii="Arial" w:eastAsia="Calibri" w:hAnsi="Arial" w:cs="Arial"/>
          <w:sz w:val="21"/>
          <w:szCs w:val="21"/>
          <w:lang w:val="es-ES"/>
        </w:rPr>
      </w:pPr>
      <w:r w:rsidRPr="00481068">
        <w:rPr>
          <w:rFonts w:ascii="Arial" w:eastAsia="Calibri" w:hAnsi="Arial" w:cs="Arial"/>
          <w:sz w:val="21"/>
          <w:szCs w:val="21"/>
          <w:lang w:val="es-ES"/>
        </w:rPr>
        <w:t xml:space="preserve">En todo caso, dada la naturaleza potestativa de la variación de régimen normativo que gobierna el contrato, las partes serán las encargadas de establecer el alcance de tal variación, optando por el régimen nacional o por el internacional, o bien por ambos de manera alternada, consecutiva o paralela. </w:t>
      </w:r>
    </w:p>
    <w:p w14:paraId="3088074C" w14:textId="77777777" w:rsidR="00893407" w:rsidRPr="00481068" w:rsidRDefault="00893407" w:rsidP="00893407">
      <w:pPr>
        <w:snapToGrid w:val="0"/>
        <w:spacing w:after="120"/>
        <w:ind w:left="709" w:right="709"/>
        <w:jc w:val="both"/>
        <w:rPr>
          <w:rFonts w:ascii="Arial" w:eastAsia="Calibri" w:hAnsi="Arial" w:cs="Arial"/>
          <w:sz w:val="21"/>
          <w:szCs w:val="21"/>
          <w:lang w:val="es-ES"/>
        </w:rPr>
      </w:pPr>
      <w:r w:rsidRPr="00481068">
        <w:rPr>
          <w:rFonts w:ascii="Arial" w:eastAsia="Calibri" w:hAnsi="Arial" w:cs="Arial"/>
          <w:sz w:val="21"/>
          <w:szCs w:val="21"/>
          <w:lang w:val="es-ES"/>
        </w:rPr>
        <w:t>La definición del alcance en que operará la variación del régimen normativo en relación con la actividad contractual es determinante para establecer si la restricción consagrada en el artículo 33 de la Ley de Garantías Electorales resulta aplicable o no. Si las partes, habilitadas para hacerlo, optan por aplicar de manera completa y absoluta la normativa contenida en los reglamentos del organismo o sujeto internacional, y si esta normativa consagra disposiciones relacionadas con la oportunidad, tiempos, fases, etapas etc. de los procedimientos de selección, entonces, serán dichas previsiones las que regirán el convenio y la contratación respectiva (bien sean contratos, donaciones, asistencias técnicas y sus derivados) y, por ende, la norma del artículo 33 no será derecho aplicable a la misma.</w:t>
      </w:r>
    </w:p>
    <w:p w14:paraId="6D8CADEC" w14:textId="77777777" w:rsidR="00893407" w:rsidRPr="00481068" w:rsidRDefault="00893407" w:rsidP="00893407">
      <w:pPr>
        <w:snapToGrid w:val="0"/>
        <w:spacing w:after="120"/>
        <w:ind w:left="709" w:right="709"/>
        <w:jc w:val="both"/>
        <w:rPr>
          <w:rFonts w:ascii="Arial" w:eastAsia="Calibri" w:hAnsi="Arial" w:cs="Arial"/>
          <w:sz w:val="21"/>
          <w:szCs w:val="21"/>
          <w:lang w:val="es-ES"/>
        </w:rPr>
      </w:pPr>
      <w:r w:rsidRPr="00481068">
        <w:rPr>
          <w:rFonts w:ascii="Arial" w:eastAsia="Calibri" w:hAnsi="Arial" w:cs="Arial"/>
          <w:sz w:val="21"/>
          <w:szCs w:val="21"/>
          <w:lang w:val="es-ES"/>
        </w:rPr>
        <w:t xml:space="preserve">Por el contrario, si las partes no optan por aplicar el reglamento (normativa extranjera) de tales organismos y sujetos internacionales en aspectos que atañen al acuerdo o convenio y el procedimiento para su desarrollo en la selección de contratistas, el artículo 33 de la Ley de Garantías sí será aplicable a la correspondiente contratación. Lo mismo sucederá cuando, por ejemplo, pese a que las partes convengan una variación normativa absoluta hacia el derecho extranjero, pero las disposiciones del reglamento del organismo internacional dejan al derecho nacional la regulación del acuerdo o convenio y los procedimientos de selección, será aplicable la prohibición contenida en el artículo 33 citado. </w:t>
      </w:r>
    </w:p>
    <w:p w14:paraId="48F9233B" w14:textId="77777777" w:rsidR="00893407" w:rsidRPr="00481068" w:rsidRDefault="00893407" w:rsidP="00893407">
      <w:pPr>
        <w:snapToGrid w:val="0"/>
        <w:ind w:left="709" w:right="709"/>
        <w:jc w:val="both"/>
        <w:rPr>
          <w:rFonts w:ascii="Arial" w:eastAsia="Calibri" w:hAnsi="Arial" w:cs="Arial"/>
          <w:sz w:val="22"/>
          <w:lang w:val="es-ES"/>
        </w:rPr>
      </w:pPr>
      <w:r w:rsidRPr="00481068">
        <w:rPr>
          <w:rFonts w:ascii="Arial" w:eastAsia="Calibri" w:hAnsi="Arial" w:cs="Arial"/>
          <w:sz w:val="21"/>
          <w:szCs w:val="21"/>
          <w:lang w:val="es-ES"/>
        </w:rPr>
        <w:t xml:space="preserve">Así las cosas, con el fin de unificar los criterios expresados en los conceptos emitidos por esta Subdirección en pasadas oportunidades, es menester precisar que, si bien la prohibición para la contratación directa contenida en el artículo 33 de la Ley de Garantías Electorales aplica a todos los entes del Estado cualquiera que sea el régimen jurídico de contratación de carácter nacional, no puede obviarse que, de conformidad con el artículo 20 de la Ley 1150 de 2007, el legislador ha permitido que en ciertos casos las partes que pretendan celebrar </w:t>
      </w:r>
      <w:r w:rsidRPr="00481068">
        <w:rPr>
          <w:rFonts w:ascii="Arial" w:eastAsia="Calibri" w:hAnsi="Arial" w:cs="Arial"/>
          <w:sz w:val="21"/>
          <w:szCs w:val="21"/>
          <w:lang w:val="es-ES"/>
        </w:rPr>
        <w:lastRenderedPageBreak/>
        <w:t>un contrato regulado por esta última disposición pueden optar por aplicar la normativa nacional o la internacional de manera absoluta o parcial</w:t>
      </w:r>
      <w:r>
        <w:rPr>
          <w:rFonts w:ascii="Arial" w:eastAsia="Calibri" w:hAnsi="Arial" w:cs="Arial"/>
          <w:sz w:val="21"/>
          <w:szCs w:val="21"/>
          <w:lang w:val="es-ES"/>
        </w:rPr>
        <w:t>.</w:t>
      </w:r>
      <w:r w:rsidRPr="00481068">
        <w:rPr>
          <w:rStyle w:val="Refdenotaalpie"/>
          <w:rFonts w:ascii="Arial" w:eastAsia="Calibri" w:hAnsi="Arial" w:cs="Arial"/>
          <w:sz w:val="21"/>
          <w:szCs w:val="21"/>
          <w:lang w:val="es-ES"/>
        </w:rPr>
        <w:footnoteReference w:id="31"/>
      </w:r>
    </w:p>
    <w:p w14:paraId="18C968E0" w14:textId="77777777" w:rsidR="00893407" w:rsidRPr="00481068" w:rsidRDefault="00893407" w:rsidP="00893407">
      <w:pPr>
        <w:snapToGrid w:val="0"/>
        <w:spacing w:line="276" w:lineRule="auto"/>
        <w:jc w:val="both"/>
        <w:rPr>
          <w:rFonts w:ascii="Arial" w:eastAsia="Calibri" w:hAnsi="Arial" w:cs="Arial"/>
          <w:sz w:val="22"/>
          <w:lang w:val="es-ES"/>
        </w:rPr>
      </w:pPr>
    </w:p>
    <w:p w14:paraId="01C91612" w14:textId="77777777" w:rsidR="00893407" w:rsidRPr="00481068" w:rsidRDefault="00893407" w:rsidP="00893407">
      <w:pPr>
        <w:snapToGrid w:val="0"/>
        <w:spacing w:line="276" w:lineRule="auto"/>
        <w:jc w:val="both"/>
        <w:rPr>
          <w:rFonts w:ascii="Arial" w:eastAsia="Calibri" w:hAnsi="Arial" w:cs="Arial"/>
          <w:bCs/>
          <w:sz w:val="22"/>
          <w:lang w:val="es-ES"/>
        </w:rPr>
      </w:pPr>
      <w:r w:rsidRPr="00481068">
        <w:rPr>
          <w:rFonts w:ascii="Arial" w:eastAsia="Calibri" w:hAnsi="Arial" w:cs="Arial"/>
          <w:sz w:val="22"/>
          <w:lang w:val="es-ES"/>
        </w:rPr>
        <w:tab/>
        <w:t xml:space="preserve">De acuerdo con la fundamentación del concepto citado, lo anterior no implica una violación de las normas nacionales, puesto que la contratación con los sujetos previstos en el artículo 20 de la Ley 1150 de 2007 se encuentra amparada por tratados, convenios o convenciones ratificados por el Estado e incorporados debidamente al ordenamiento jurídico interno. De esta manera, en dicho concepto también estimó que este régimen de excepcionalidad obedece a </w:t>
      </w:r>
      <w:r w:rsidRPr="00481068">
        <w:rPr>
          <w:rFonts w:ascii="Arial" w:eastAsia="Calibri" w:hAnsi="Arial" w:cs="Arial"/>
          <w:sz w:val="22"/>
          <w:lang w:val="es-ES_tradnl"/>
        </w:rPr>
        <w:t xml:space="preserve">razones de política económica exterior y de apertura para obtener la colaboración efectiva de los organismos multilaterales de crédito. En este contexto, «[…] </w:t>
      </w:r>
      <w:r w:rsidRPr="00481068">
        <w:rPr>
          <w:rFonts w:ascii="Arial" w:eastAsia="Calibri" w:hAnsi="Arial" w:cs="Arial"/>
          <w:sz w:val="22"/>
          <w:lang w:val="es-ES"/>
        </w:rPr>
        <w:t>la finalidad de la prohibición del artículo 33 de la Ley de Garantías Electorales es evitar la utilización de la contratación directa como mecanismo para que, con recursos públicos, una entidad estatal favorezca o impulse a cierto candidato, partido o movimiento político. Vista así, dicha finalidad no parecería acomodarse a la contratación con los sujetos internacionales catalogados en el artículo 20 de la Ley 1150 de 2007, menos aún, cuando se trata de contratos financiados con recursos provenientes de los organismos internacionales o de entidades gubernamentales extranjeras».</w:t>
      </w:r>
    </w:p>
    <w:p w14:paraId="1A6068F6" w14:textId="77777777" w:rsidR="00893407" w:rsidRDefault="00893407" w:rsidP="00893407">
      <w:pPr>
        <w:tabs>
          <w:tab w:val="left" w:pos="709"/>
        </w:tabs>
        <w:spacing w:line="276" w:lineRule="auto"/>
        <w:jc w:val="both"/>
        <w:rPr>
          <w:rFonts w:ascii="Arial" w:eastAsia="Calibri" w:hAnsi="Arial" w:cs="Arial"/>
          <w:b/>
          <w:sz w:val="22"/>
          <w:szCs w:val="22"/>
          <w:lang w:val="es-ES"/>
        </w:rPr>
      </w:pPr>
    </w:p>
    <w:p w14:paraId="7FA77697" w14:textId="77777777" w:rsidR="00893407" w:rsidRDefault="00893407" w:rsidP="00893407">
      <w:pPr>
        <w:tabs>
          <w:tab w:val="left" w:pos="709"/>
        </w:tabs>
        <w:spacing w:line="276" w:lineRule="auto"/>
        <w:jc w:val="both"/>
        <w:rPr>
          <w:rFonts w:ascii="Arial" w:eastAsia="Calibri" w:hAnsi="Arial" w:cs="Arial"/>
          <w:b/>
          <w:sz w:val="22"/>
          <w:szCs w:val="22"/>
          <w:lang w:val="es-ES"/>
        </w:rPr>
      </w:pPr>
      <w:r w:rsidRPr="00924DEF">
        <w:rPr>
          <w:rFonts w:ascii="Arial" w:eastAsia="Calibri" w:hAnsi="Arial" w:cs="Arial"/>
          <w:b/>
          <w:sz w:val="22"/>
          <w:szCs w:val="22"/>
          <w:lang w:val="es-ES"/>
        </w:rPr>
        <w:t>3. Respuesta</w:t>
      </w:r>
    </w:p>
    <w:p w14:paraId="567D6BCD" w14:textId="77777777" w:rsidR="00893407" w:rsidRPr="00825A56" w:rsidRDefault="00893407" w:rsidP="00893407">
      <w:pPr>
        <w:pStyle w:val="NormalWeb"/>
        <w:ind w:left="709" w:right="709"/>
        <w:jc w:val="both"/>
        <w:rPr>
          <w:rFonts w:ascii="Arial" w:hAnsi="Arial" w:cs="Arial"/>
          <w:sz w:val="21"/>
          <w:szCs w:val="21"/>
        </w:rPr>
      </w:pPr>
      <w:r w:rsidRPr="00D73AC3">
        <w:rPr>
          <w:rFonts w:ascii="Arial" w:hAnsi="Arial" w:cs="Arial"/>
          <w:sz w:val="21"/>
          <w:szCs w:val="21"/>
        </w:rPr>
        <w:t xml:space="preserve">«La entidad desde la que consulto en el presente mensaje requiere celebrar un convenio con la Universidad de Colorado de los Estados Unidos de América, pero durante la vigencia de la prohibición de la ley 996 de 2005 o ley de garantías tenemos la duda si este tipo de convenios de carácter Educativo y que no implica erogaciones presupuestales se puede celebrar con normalidad». </w:t>
      </w:r>
    </w:p>
    <w:p w14:paraId="249D7582" w14:textId="77777777" w:rsidR="00893407" w:rsidRDefault="00893407" w:rsidP="00893407">
      <w:pPr>
        <w:spacing w:before="120" w:line="276" w:lineRule="auto"/>
        <w:jc w:val="both"/>
        <w:rPr>
          <w:rFonts w:ascii="Arial" w:hAnsi="Arial" w:cs="Arial"/>
          <w:bCs/>
          <w:sz w:val="22"/>
          <w:szCs w:val="22"/>
          <w:lang w:eastAsia="es-CO"/>
        </w:rPr>
      </w:pPr>
      <w:r w:rsidRPr="004B7A1D">
        <w:rPr>
          <w:rFonts w:ascii="Arial" w:hAnsi="Arial" w:cs="Arial"/>
          <w:bCs/>
          <w:color w:val="000000" w:themeColor="text1"/>
          <w:sz w:val="22"/>
          <w:szCs w:val="22"/>
          <w:lang w:eastAsia="es-ES_tradnl"/>
        </w:rPr>
        <w:t xml:space="preserve">De conformidad con las anteriores consideraciones, sea lo primero resaltar que la competencia de esta Agencia se debe limitar a la interpretación de normas generales y, por definición, no puede extenderse a la resolución de controversias, ni a brindar asesorías </w:t>
      </w:r>
      <w:r w:rsidRPr="004B7A1D">
        <w:rPr>
          <w:rFonts w:ascii="Arial" w:hAnsi="Arial" w:cs="Arial"/>
          <w:bCs/>
          <w:color w:val="000000" w:themeColor="text1"/>
          <w:sz w:val="22"/>
          <w:szCs w:val="22"/>
          <w:lang w:eastAsia="es-ES_tradnl"/>
        </w:rPr>
        <w:lastRenderedPageBreak/>
        <w:t>sobre casos puntuales. Bajo esta perspectiva, corresponde a cada entidad pública, en ejercicio de su competencia y previa valoración de los elementos fácticos y jurídicos, determinar si es procedente o no la celebración de cartas de entendimiento o memorandos de entendimiento, toda vez que no existe normatividad vigente sobre la materia y por ende no existe posibilidad de que se cumpla con la función de interpretación concedida a la Agencia, tal como lo estableció el artículo 10 de la Ley 1437 de 2011, el cual dispone que «Al resolver los asuntos de su competencia, las autoridades aplicarán las disposiciones constitucionales, legales y reglamentarias de manera uniforme a situaciones que tengan los mismos supuestos fácticos y jurídicos».</w:t>
      </w:r>
      <w:r w:rsidRPr="009757C7">
        <w:rPr>
          <w:rFonts w:ascii="Arial" w:hAnsi="Arial" w:cs="Arial"/>
          <w:bCs/>
          <w:sz w:val="22"/>
          <w:szCs w:val="22"/>
          <w:lang w:eastAsia="es-CO"/>
        </w:rPr>
        <w:t xml:space="preserve"> </w:t>
      </w:r>
    </w:p>
    <w:p w14:paraId="47B1D47E" w14:textId="77777777" w:rsidR="00893407" w:rsidRPr="009757C7" w:rsidRDefault="00893407" w:rsidP="00893407">
      <w:pPr>
        <w:spacing w:before="120" w:line="276" w:lineRule="auto"/>
        <w:ind w:firstLine="708"/>
        <w:jc w:val="both"/>
        <w:rPr>
          <w:rFonts w:ascii="Arial" w:eastAsia="Calibri" w:hAnsi="Arial" w:cs="Arial"/>
          <w:bCs/>
          <w:sz w:val="22"/>
          <w:szCs w:val="22"/>
          <w:lang w:val="es-MX" w:eastAsia="es-CO"/>
        </w:rPr>
      </w:pPr>
      <w:r w:rsidRPr="009757C7">
        <w:rPr>
          <w:rFonts w:ascii="Arial" w:hAnsi="Arial" w:cs="Arial"/>
          <w:bCs/>
          <w:sz w:val="22"/>
          <w:szCs w:val="22"/>
          <w:lang w:eastAsia="es-CO"/>
        </w:rPr>
        <w:t xml:space="preserve">En ese sentido, </w:t>
      </w:r>
      <w:r w:rsidRPr="009757C7">
        <w:rPr>
          <w:rFonts w:ascii="Arial" w:hAnsi="Arial" w:cs="Arial"/>
          <w:bCs/>
          <w:sz w:val="22"/>
          <w:szCs w:val="22"/>
          <w:lang w:val="es-MX" w:eastAsia="es-CO"/>
        </w:rPr>
        <w:t xml:space="preserve">de acuerdo con la interpretación de las normas generales del sistema de compras y contratación pública, sin perjuicio de que </w:t>
      </w:r>
      <w:r w:rsidRPr="009757C7">
        <w:rPr>
          <w:rFonts w:ascii="Arial" w:eastAsia="Calibri" w:hAnsi="Arial" w:cs="Arial"/>
          <w:color w:val="000000"/>
          <w:sz w:val="22"/>
          <w:szCs w:val="22"/>
          <w:shd w:val="clear" w:color="auto" w:fill="FFFFFF"/>
          <w:lang w:val="es-MX"/>
        </w:rPr>
        <w:t>cada entidad defina la viabilidad técnica, jurídica y financiera de celebrar determinado contrato estatal en específico,</w:t>
      </w:r>
      <w:r w:rsidRPr="009757C7">
        <w:rPr>
          <w:rFonts w:ascii="Arial" w:hAnsi="Arial" w:cs="Arial"/>
          <w:bCs/>
          <w:sz w:val="22"/>
          <w:szCs w:val="22"/>
          <w:lang w:val="es-MX" w:eastAsia="es-CO"/>
        </w:rPr>
        <w:t xml:space="preserve"> es posible afirmar que la restricción del artículo 33 aplica a todos los «entes del Estado», independiente de su régimen, por lo que la misma aplica tanto a las universidades públicas, como a los establecimientos públicos de educación superior, dada su calidad de entes estatales. En consecuencia, se reitera, </w:t>
      </w:r>
      <w:proofErr w:type="spellStart"/>
      <w:r w:rsidRPr="009757C7">
        <w:rPr>
          <w:rFonts w:ascii="Arial" w:eastAsia="Calibri" w:hAnsi="Arial" w:cs="Arial"/>
          <w:bCs/>
          <w:sz w:val="22"/>
          <w:szCs w:val="22"/>
          <w:lang w:val="es-MX" w:eastAsia="es-CO"/>
        </w:rPr>
        <w:t>dependera</w:t>
      </w:r>
      <w:proofErr w:type="spellEnd"/>
      <w:r w:rsidRPr="009757C7">
        <w:rPr>
          <w:rFonts w:ascii="Arial" w:eastAsia="Calibri" w:hAnsi="Arial" w:cs="Arial"/>
          <w:bCs/>
          <w:sz w:val="22"/>
          <w:szCs w:val="22"/>
          <w:lang w:val="es-MX" w:eastAsia="es-CO"/>
        </w:rPr>
        <w:t xml:space="preserve">, toda vez de que </w:t>
      </w:r>
      <w:r w:rsidRPr="009757C7">
        <w:rPr>
          <w:rFonts w:ascii="Arial" w:eastAsia="Calibri" w:hAnsi="Arial" w:cs="Arial"/>
          <w:sz w:val="22"/>
          <w:szCs w:val="22"/>
          <w:lang w:val="es-ES" w:eastAsia="en-US"/>
        </w:rPr>
        <w:t xml:space="preserve">si </w:t>
      </w:r>
      <w:r w:rsidRPr="009757C7">
        <w:rPr>
          <w:rFonts w:ascii="Arial" w:eastAsia="Calibri" w:hAnsi="Arial" w:cs="Arial"/>
          <w:sz w:val="22"/>
          <w:szCs w:val="22"/>
          <w:lang w:val="es-MX" w:eastAsia="en-US"/>
        </w:rPr>
        <w:t>l</w:t>
      </w:r>
      <w:r w:rsidRPr="009757C7">
        <w:rPr>
          <w:rFonts w:ascii="Arial" w:eastAsia="Calibri" w:hAnsi="Arial" w:cs="Arial"/>
          <w:sz w:val="22"/>
          <w:szCs w:val="22"/>
          <w:lang w:val="es-ES" w:eastAsia="en-US"/>
        </w:rPr>
        <w:t>a celebración de tal contratación, al amparo del artículo 20 de la Ley 1150 de 2007, ha sido sometida por las partes al reglamento (normativa extranjera) de los organismos internacionales, organismos de cooperación, asistencia o ayuda internacionales o personas extranjeras de derecho público, no le es aplicable la prohibición contenida en el artículo 33 de la Ley de Garantías Electorales (norma nacional).</w:t>
      </w:r>
    </w:p>
    <w:p w14:paraId="0C31BE91" w14:textId="77777777" w:rsidR="00893407" w:rsidRDefault="00893407" w:rsidP="00893407">
      <w:pPr>
        <w:spacing w:before="120" w:line="276" w:lineRule="auto"/>
        <w:ind w:firstLine="708"/>
        <w:jc w:val="both"/>
        <w:rPr>
          <w:rFonts w:ascii="Arial" w:eastAsia="Calibri" w:hAnsi="Arial" w:cs="Arial"/>
          <w:sz w:val="22"/>
          <w:szCs w:val="22"/>
          <w:lang w:val="es-ES" w:eastAsia="en-US"/>
        </w:rPr>
      </w:pPr>
      <w:r>
        <w:rPr>
          <w:rFonts w:ascii="Arial" w:eastAsia="Calibri" w:hAnsi="Arial" w:cs="Arial"/>
          <w:bCs/>
          <w:sz w:val="22"/>
          <w:szCs w:val="22"/>
          <w:lang w:val="es-MX" w:eastAsia="es-CO"/>
        </w:rPr>
        <w:t>En este sentido, s</w:t>
      </w:r>
      <w:r w:rsidRPr="009757C7">
        <w:rPr>
          <w:rFonts w:ascii="Arial" w:eastAsia="Calibri" w:hAnsi="Arial" w:cs="Arial"/>
          <w:bCs/>
          <w:sz w:val="22"/>
          <w:szCs w:val="22"/>
          <w:lang w:val="es-MX" w:eastAsia="es-CO"/>
        </w:rPr>
        <w:t xml:space="preserve">e reitera la tesis del </w:t>
      </w:r>
      <w:r w:rsidRPr="009757C7">
        <w:rPr>
          <w:rFonts w:ascii="Arial" w:eastAsia="Calibri" w:hAnsi="Arial" w:cs="Arial"/>
          <w:bCs/>
          <w:sz w:val="22"/>
          <w:szCs w:val="22"/>
          <w:lang w:val="es-ES" w:eastAsia="es-CO"/>
        </w:rPr>
        <w:t xml:space="preserve">Concepto de Unificación CU-180 del 8 de abril de 2022. </w:t>
      </w:r>
      <w:r w:rsidRPr="009757C7">
        <w:rPr>
          <w:rFonts w:ascii="Arial" w:eastAsia="Calibri" w:hAnsi="Arial" w:cs="Arial"/>
          <w:sz w:val="22"/>
          <w:szCs w:val="22"/>
          <w:lang w:val="es-ES" w:eastAsia="en-US"/>
        </w:rPr>
        <w:t>Por tanto, sobre el artículo 33 de la Ley de Garantías</w:t>
      </w:r>
      <w:r w:rsidRPr="009757C7">
        <w:rPr>
          <w:rFonts w:ascii="Arial" w:eastAsia="Calibri" w:hAnsi="Arial" w:cs="Arial"/>
          <w:sz w:val="22"/>
          <w:szCs w:val="22"/>
          <w:lang w:val="es-MX" w:eastAsia="en-US"/>
        </w:rPr>
        <w:t xml:space="preserve">, </w:t>
      </w:r>
      <w:r w:rsidRPr="009757C7">
        <w:rPr>
          <w:rFonts w:ascii="Arial" w:eastAsia="Calibri" w:hAnsi="Arial" w:cs="Arial"/>
          <w:sz w:val="22"/>
          <w:szCs w:val="22"/>
          <w:lang w:val="es-ES" w:eastAsia="en-US"/>
        </w:rPr>
        <w:t xml:space="preserve">la Agencia –al retomar la tesis del Concepto C-559 del 31 de agosto de 2021– consideró lo siguiente: «[…] </w:t>
      </w:r>
      <w:r w:rsidRPr="009757C7">
        <w:rPr>
          <w:rFonts w:ascii="Arial" w:eastAsia="Calibri" w:hAnsi="Arial" w:cs="Arial"/>
          <w:i/>
          <w:iCs/>
          <w:sz w:val="22"/>
          <w:szCs w:val="22"/>
          <w:lang w:val="es-ES" w:eastAsia="en-US"/>
        </w:rPr>
        <w:t>dado que</w:t>
      </w:r>
      <w:r w:rsidRPr="009757C7">
        <w:rPr>
          <w:rFonts w:ascii="Arial" w:eastAsia="Calibri" w:hAnsi="Arial" w:cs="Arial"/>
          <w:sz w:val="22"/>
          <w:szCs w:val="22"/>
          <w:lang w:val="es-ES" w:eastAsia="en-US"/>
        </w:rPr>
        <w:t xml:space="preserve"> […] </w:t>
      </w:r>
      <w:r w:rsidRPr="009757C7">
        <w:rPr>
          <w:rFonts w:ascii="Arial" w:eastAsia="Calibri" w:hAnsi="Arial" w:cs="Arial"/>
          <w:i/>
          <w:iCs/>
          <w:sz w:val="22"/>
          <w:szCs w:val="22"/>
          <w:lang w:val="es-ES" w:eastAsia="en-US"/>
        </w:rPr>
        <w:t>existen algunos casos en los cuales el legislador habilitó a las entidades públicas para que suscribieran contratos cuyo régimen es distinto al derecho nacional,</w:t>
      </w:r>
      <w:r w:rsidRPr="009757C7">
        <w:rPr>
          <w:rFonts w:ascii="Arial" w:eastAsia="Calibri" w:hAnsi="Arial" w:cs="Arial"/>
          <w:sz w:val="22"/>
          <w:szCs w:val="22"/>
          <w:lang w:val="es-ES" w:eastAsia="en-US"/>
        </w:rPr>
        <w:t xml:space="preserve"> […] </w:t>
      </w:r>
      <w:r w:rsidRPr="009757C7">
        <w:rPr>
          <w:rFonts w:ascii="Arial" w:eastAsia="Calibri" w:hAnsi="Arial" w:cs="Arial"/>
          <w:i/>
          <w:iCs/>
          <w:sz w:val="22"/>
          <w:szCs w:val="22"/>
          <w:lang w:val="es-ES" w:eastAsia="en-US"/>
        </w:rPr>
        <w:t>en estos eventos dicha restricción no sería aplicable</w:t>
      </w:r>
      <w:r w:rsidRPr="009757C7">
        <w:rPr>
          <w:rFonts w:ascii="Arial" w:eastAsia="Calibri" w:hAnsi="Arial" w:cs="Arial"/>
          <w:sz w:val="22"/>
          <w:szCs w:val="22"/>
          <w:lang w:val="es-ES" w:eastAsia="en-US"/>
        </w:rPr>
        <w:t xml:space="preserve">» (Énfasis fuera de texto). </w:t>
      </w:r>
    </w:p>
    <w:p w14:paraId="6B687D84" w14:textId="77777777" w:rsidR="00893407" w:rsidRPr="00481068" w:rsidRDefault="00893407" w:rsidP="00893407">
      <w:pPr>
        <w:spacing w:before="120" w:line="276" w:lineRule="auto"/>
        <w:ind w:firstLine="851"/>
        <w:jc w:val="both"/>
        <w:rPr>
          <w:rFonts w:ascii="Arial" w:eastAsia="Calibri" w:hAnsi="Arial" w:cs="Arial"/>
          <w:sz w:val="22"/>
          <w:lang w:val="es-ES"/>
        </w:rPr>
      </w:pPr>
      <w:r w:rsidRPr="00481068">
        <w:rPr>
          <w:rFonts w:ascii="Arial" w:eastAsia="Calibri" w:hAnsi="Arial" w:cs="Arial"/>
          <w:sz w:val="22"/>
          <w:lang w:val="es-ES"/>
        </w:rPr>
        <w:t>Para efectos de la tesis unificada, el artículo 20 de la Ley 1150 de 2007 implica un régimen exceptuado distinto a los demás, en la medida que el derecho aplicable a estos contratos no es el derecho nacional, sino disposiciones de carácter internacional, normas que se materializan a través de los reglamentos de los organismos de cooperación, asistencia o ayuda. Así las cosas:</w:t>
      </w:r>
    </w:p>
    <w:p w14:paraId="22A41DAD" w14:textId="77777777" w:rsidR="00893407" w:rsidRPr="00481068" w:rsidRDefault="00893407" w:rsidP="00893407">
      <w:pPr>
        <w:spacing w:line="276" w:lineRule="auto"/>
        <w:jc w:val="both"/>
        <w:rPr>
          <w:rFonts w:ascii="Arial" w:eastAsia="Calibri" w:hAnsi="Arial" w:cs="Arial"/>
          <w:sz w:val="22"/>
          <w:lang w:val="es-ES"/>
        </w:rPr>
      </w:pPr>
      <w:r w:rsidRPr="00481068">
        <w:rPr>
          <w:rFonts w:ascii="Arial" w:eastAsia="Calibri" w:hAnsi="Arial" w:cs="Arial"/>
          <w:sz w:val="22"/>
          <w:lang w:val="es-ES"/>
        </w:rPr>
        <w:tab/>
      </w:r>
    </w:p>
    <w:p w14:paraId="0D133EE8" w14:textId="77777777" w:rsidR="00893407" w:rsidRPr="00481068" w:rsidRDefault="00893407" w:rsidP="00893407">
      <w:pPr>
        <w:snapToGrid w:val="0"/>
        <w:spacing w:after="120"/>
        <w:ind w:left="709" w:right="709"/>
        <w:jc w:val="both"/>
        <w:rPr>
          <w:rFonts w:ascii="Arial" w:eastAsia="Calibri" w:hAnsi="Arial" w:cs="Arial"/>
          <w:sz w:val="21"/>
          <w:szCs w:val="21"/>
          <w:lang w:val="es-ES"/>
        </w:rPr>
      </w:pPr>
      <w:r w:rsidRPr="00481068">
        <w:rPr>
          <w:rFonts w:ascii="Arial" w:eastAsia="Calibri" w:hAnsi="Arial" w:cs="Arial"/>
          <w:sz w:val="21"/>
          <w:szCs w:val="21"/>
          <w:lang w:val="es-ES"/>
        </w:rPr>
        <w:t xml:space="preserve">La definición del alcance en que operará la variación del régimen normativo en relación con la actividad contractual es determinante para establecer si la restricción consagrada en el artículo 33 de la Ley de Garantías Electorales resulta aplicable o no. Si las partes, habilitadas para hacerlo, optan por aplicar de manera completa y absoluta la normativa contenida en los reglamentos del organismo o sujeto internacional, y si esta normativa consagra disposiciones relacionadas con la oportunidad, tiempos, fases, etapas etc. de los </w:t>
      </w:r>
      <w:r w:rsidRPr="00481068">
        <w:rPr>
          <w:rFonts w:ascii="Arial" w:eastAsia="Calibri" w:hAnsi="Arial" w:cs="Arial"/>
          <w:sz w:val="21"/>
          <w:szCs w:val="21"/>
          <w:lang w:val="es-ES"/>
        </w:rPr>
        <w:lastRenderedPageBreak/>
        <w:t>procedimientos de selección, entonces, serán dichas previsiones las que regirán el convenio y la contratación respectiva (bien sean contratos, donaciones, asistencias técnicas y sus derivados) y, por ende, la norma del artículo 33 no será derecho aplicable a la misma.</w:t>
      </w:r>
    </w:p>
    <w:p w14:paraId="36610194" w14:textId="77777777" w:rsidR="00893407" w:rsidRPr="00481068" w:rsidRDefault="00893407" w:rsidP="00893407">
      <w:pPr>
        <w:snapToGrid w:val="0"/>
        <w:ind w:left="709" w:right="709"/>
        <w:jc w:val="both"/>
        <w:rPr>
          <w:rFonts w:ascii="Arial" w:eastAsia="Calibri" w:hAnsi="Arial" w:cs="Arial"/>
          <w:sz w:val="21"/>
          <w:szCs w:val="21"/>
          <w:lang w:val="es-ES"/>
        </w:rPr>
      </w:pPr>
      <w:r w:rsidRPr="00481068">
        <w:rPr>
          <w:rFonts w:ascii="Arial" w:eastAsia="Calibri" w:hAnsi="Arial" w:cs="Arial"/>
          <w:sz w:val="21"/>
          <w:szCs w:val="21"/>
          <w:lang w:val="es-ES"/>
        </w:rPr>
        <w:t>Por el contrario, si las partes no optan por aplicar el reglamento (normativa extranjera) de tales organismos y sujetos internacionales en aspectos que atañen al acuerdo o convenio y el procedimiento para su desarrollo en la selección de contratistas, el artículo 33 de la Ley de Garantías sí será aplicable a la correspondiente contratación. Lo mismo sucederá cuando, por ejemplo, pese a que las partes convengan una variación normativa absoluta hacia el derecho extranjero, pero las disposiciones del reglamento del organismo internacional dejan al derecho nacional la regulación del acuerdo o convenio y los procedimientos de selección, será aplicable la prohibición contenida en el artículo 33 citado.</w:t>
      </w:r>
    </w:p>
    <w:p w14:paraId="4286668E" w14:textId="77777777" w:rsidR="00893407" w:rsidRDefault="00893407" w:rsidP="00893407">
      <w:pPr>
        <w:spacing w:line="276" w:lineRule="auto"/>
        <w:ind w:firstLine="709"/>
        <w:jc w:val="both"/>
        <w:rPr>
          <w:rFonts w:ascii="Arial" w:eastAsia="Calibri" w:hAnsi="Arial" w:cs="Arial"/>
          <w:bCs/>
          <w:color w:val="000000"/>
          <w:sz w:val="22"/>
          <w:lang w:eastAsia="es-CO"/>
        </w:rPr>
      </w:pPr>
    </w:p>
    <w:p w14:paraId="39191C9E" w14:textId="77777777" w:rsidR="00893407" w:rsidRPr="00481068" w:rsidRDefault="00893407" w:rsidP="00893407">
      <w:pPr>
        <w:spacing w:line="276" w:lineRule="auto"/>
        <w:ind w:firstLine="709"/>
        <w:jc w:val="both"/>
        <w:rPr>
          <w:rFonts w:ascii="Arial" w:eastAsia="Calibri" w:hAnsi="Arial" w:cs="Arial"/>
          <w:color w:val="000000"/>
          <w:sz w:val="22"/>
        </w:rPr>
      </w:pPr>
      <w:r w:rsidRPr="00481068">
        <w:rPr>
          <w:rFonts w:ascii="Arial" w:eastAsia="Calibri" w:hAnsi="Arial" w:cs="Arial"/>
          <w:bCs/>
          <w:color w:val="000000"/>
          <w:sz w:val="22"/>
          <w:lang w:eastAsia="es-CO"/>
        </w:rPr>
        <w:t>Bajo estas consideraciones, corresponde a cada entidad pública, en ejercicio de su competencia y previa valoración de los elementos fácticos y jurídicos, determinar si es procedente o no la celebración de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00481068">
        <w:rPr>
          <w:rFonts w:ascii="Arial" w:hAnsi="Arial" w:cs="Arial"/>
          <w:sz w:val="22"/>
          <w:lang w:eastAsia="x-none"/>
        </w:rPr>
        <w:t>.</w:t>
      </w:r>
    </w:p>
    <w:p w14:paraId="136BBABC" w14:textId="77777777" w:rsidR="00893407" w:rsidRPr="00E24028" w:rsidRDefault="00893407" w:rsidP="00893407">
      <w:pPr>
        <w:pStyle w:val="Textoindependiente"/>
        <w:spacing w:line="276" w:lineRule="auto"/>
        <w:jc w:val="both"/>
        <w:rPr>
          <w:bCs/>
          <w:color w:val="000000"/>
          <w:sz w:val="22"/>
          <w:lang w:eastAsia="es-CO"/>
        </w:rPr>
      </w:pPr>
    </w:p>
    <w:p w14:paraId="26E76FE7" w14:textId="77777777" w:rsidR="00893407" w:rsidRPr="00924DEF" w:rsidRDefault="00893407" w:rsidP="00893407">
      <w:pPr>
        <w:spacing w:line="276" w:lineRule="auto"/>
        <w:jc w:val="both"/>
        <w:rPr>
          <w:rFonts w:ascii="Arial" w:eastAsia="Calibri" w:hAnsi="Arial" w:cs="Arial"/>
          <w:sz w:val="22"/>
          <w:szCs w:val="22"/>
          <w:lang w:val="es-ES"/>
        </w:rPr>
      </w:pPr>
      <w:r w:rsidRPr="00924DEF">
        <w:rPr>
          <w:rFonts w:ascii="Arial" w:eastAsia="Calibri" w:hAnsi="Arial" w:cs="Arial"/>
          <w:sz w:val="22"/>
          <w:szCs w:val="22"/>
          <w:lang w:val="es-ES"/>
        </w:rPr>
        <w:t>Este concepto tiene el alcance previsto en el artículo 28 del Código de Procedimiento Administrativo y de lo Contencioso Administrativo.</w:t>
      </w:r>
    </w:p>
    <w:p w14:paraId="17BCADD6" w14:textId="77777777" w:rsidR="00893407" w:rsidRPr="00924DEF" w:rsidRDefault="00893407" w:rsidP="00893407">
      <w:pPr>
        <w:jc w:val="both"/>
        <w:rPr>
          <w:rFonts w:ascii="Arial" w:eastAsia="Calibri" w:hAnsi="Arial" w:cs="Arial"/>
          <w:sz w:val="22"/>
          <w:szCs w:val="22"/>
          <w:lang w:val="es-ES"/>
        </w:rPr>
      </w:pPr>
    </w:p>
    <w:p w14:paraId="3C65B812" w14:textId="77777777" w:rsidR="00893407" w:rsidRDefault="00893407" w:rsidP="00893407">
      <w:pPr>
        <w:jc w:val="both"/>
        <w:rPr>
          <w:rFonts w:ascii="Arial" w:hAnsi="Arial" w:cs="Arial"/>
          <w:sz w:val="22"/>
          <w:szCs w:val="22"/>
          <w:lang w:val="es-ES" w:eastAsia="es-CO"/>
        </w:rPr>
      </w:pPr>
      <w:r w:rsidRPr="00924DEF">
        <w:rPr>
          <w:rFonts w:ascii="Arial" w:hAnsi="Arial" w:cs="Arial"/>
          <w:sz w:val="22"/>
          <w:szCs w:val="22"/>
          <w:lang w:val="es-ES" w:eastAsia="es-CO"/>
        </w:rPr>
        <w:t>Atentamente,</w:t>
      </w:r>
    </w:p>
    <w:p w14:paraId="25534F66" w14:textId="77777777" w:rsidR="00893407" w:rsidRPr="00924DEF" w:rsidRDefault="00893407" w:rsidP="00893407">
      <w:pPr>
        <w:jc w:val="center"/>
        <w:rPr>
          <w:rFonts w:ascii="Arial" w:hAnsi="Arial" w:cs="Arial"/>
          <w:sz w:val="22"/>
          <w:szCs w:val="22"/>
          <w:lang w:val="es-ES" w:eastAsia="es-CO"/>
        </w:rPr>
      </w:pPr>
      <w:r>
        <w:rPr>
          <w:rFonts w:ascii="Arial" w:hAnsi="Arial" w:cs="Arial"/>
          <w:noProof/>
          <w:color w:val="000000" w:themeColor="text1"/>
          <w:sz w:val="18"/>
          <w:szCs w:val="20"/>
        </w:rPr>
        <w:drawing>
          <wp:inline distT="0" distB="0" distL="0" distR="0" wp14:anchorId="38D7282C" wp14:editId="312D025E">
            <wp:extent cx="2514600" cy="11125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112520"/>
                    </a:xfrm>
                    <a:prstGeom prst="rect">
                      <a:avLst/>
                    </a:prstGeom>
                    <a:noFill/>
                    <a:ln>
                      <a:noFill/>
                    </a:ln>
                  </pic:spPr>
                </pic:pic>
              </a:graphicData>
            </a:graphic>
          </wp:inline>
        </w:drawing>
      </w:r>
    </w:p>
    <w:p w14:paraId="0819D320" w14:textId="77777777" w:rsidR="00893407" w:rsidRPr="009F5860" w:rsidRDefault="00893407" w:rsidP="00893407">
      <w:pPr>
        <w:jc w:val="center"/>
        <w:rPr>
          <w:rFonts w:ascii="Arial" w:hAnsi="Arial" w:cs="Arial"/>
          <w:sz w:val="22"/>
          <w:lang w:val="es-ES" w:eastAsia="es-CO"/>
        </w:rPr>
      </w:pPr>
    </w:p>
    <w:p w14:paraId="61C528A6" w14:textId="77777777" w:rsidR="00893407" w:rsidRPr="009F5860" w:rsidRDefault="00893407" w:rsidP="00893407">
      <w:pPr>
        <w:jc w:val="center"/>
        <w:rPr>
          <w:rFonts w:ascii="Arial" w:hAnsi="Arial" w:cs="Arial"/>
          <w:sz w:val="18"/>
          <w:szCs w:val="20"/>
          <w:lang w:val="es-ES" w:eastAsia="es-CO"/>
        </w:rPr>
      </w:pPr>
    </w:p>
    <w:p w14:paraId="63B540B8" w14:textId="77777777" w:rsidR="00893407" w:rsidRDefault="00893407" w:rsidP="00893407">
      <w:pP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93407" w:rsidRPr="009F5860" w14:paraId="461C35E5" w14:textId="77777777" w:rsidTr="002C35E6">
        <w:trPr>
          <w:trHeight w:val="315"/>
        </w:trPr>
        <w:tc>
          <w:tcPr>
            <w:tcW w:w="812" w:type="dxa"/>
            <w:vAlign w:val="center"/>
            <w:hideMark/>
          </w:tcPr>
          <w:p w14:paraId="3B80B992" w14:textId="77777777" w:rsidR="00893407" w:rsidRPr="009F5860" w:rsidRDefault="00893407" w:rsidP="002C35E6">
            <w:pPr>
              <w:rPr>
                <w:rFonts w:ascii="Arial" w:hAnsi="Arial" w:cs="Arial"/>
                <w:sz w:val="16"/>
                <w:szCs w:val="16"/>
                <w:lang w:val="es-ES" w:eastAsia="es-ES"/>
              </w:rPr>
            </w:pPr>
            <w:r w:rsidRPr="009F5860">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545BF100" w14:textId="77777777" w:rsidR="00893407" w:rsidRPr="005C5D24" w:rsidRDefault="00893407" w:rsidP="002C35E6">
            <w:pPr>
              <w:rPr>
                <w:rFonts w:ascii="Arial" w:hAnsi="Arial" w:cs="Arial"/>
                <w:sz w:val="16"/>
                <w:szCs w:val="16"/>
                <w:lang w:val="es-ES" w:eastAsia="es-ES"/>
              </w:rPr>
            </w:pPr>
            <w:r w:rsidRPr="005C5D24">
              <w:rPr>
                <w:rFonts w:ascii="Arial" w:hAnsi="Arial" w:cs="Arial"/>
                <w:sz w:val="16"/>
                <w:szCs w:val="16"/>
                <w:lang w:val="es-ES" w:eastAsia="es-ES"/>
              </w:rPr>
              <w:t xml:space="preserve">Camilo Perdomo Villamil </w:t>
            </w:r>
          </w:p>
          <w:p w14:paraId="66397A78" w14:textId="77777777" w:rsidR="00893407" w:rsidRPr="009F5860" w:rsidRDefault="00893407" w:rsidP="002C35E6">
            <w:pPr>
              <w:rPr>
                <w:rFonts w:ascii="Arial" w:hAnsi="Arial" w:cs="Arial"/>
                <w:sz w:val="16"/>
                <w:szCs w:val="16"/>
                <w:lang w:val="es-ES" w:eastAsia="es-ES"/>
              </w:rPr>
            </w:pPr>
            <w:r w:rsidRPr="009F5860">
              <w:rPr>
                <w:rFonts w:ascii="Arial" w:hAnsi="Arial" w:cs="Arial"/>
                <w:sz w:val="16"/>
                <w:szCs w:val="16"/>
                <w:lang w:val="es-ES" w:eastAsia="es-ES"/>
              </w:rPr>
              <w:t>Contratista de la Subdirección de Gestión Contractual</w:t>
            </w:r>
          </w:p>
        </w:tc>
      </w:tr>
      <w:tr w:rsidR="00893407" w:rsidRPr="009F5860" w14:paraId="3DD08789" w14:textId="77777777" w:rsidTr="002C35E6">
        <w:trPr>
          <w:trHeight w:val="330"/>
        </w:trPr>
        <w:tc>
          <w:tcPr>
            <w:tcW w:w="812" w:type="dxa"/>
            <w:vAlign w:val="center"/>
            <w:hideMark/>
          </w:tcPr>
          <w:p w14:paraId="434C6609" w14:textId="77777777" w:rsidR="00893407" w:rsidRPr="009F5860" w:rsidRDefault="00893407" w:rsidP="002C35E6">
            <w:pPr>
              <w:rPr>
                <w:rFonts w:ascii="Arial" w:hAnsi="Arial" w:cs="Arial"/>
                <w:sz w:val="16"/>
                <w:szCs w:val="16"/>
                <w:lang w:val="es-ES" w:eastAsia="es-ES"/>
              </w:rPr>
            </w:pPr>
            <w:r w:rsidRPr="009F5860">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F34AEC" w14:textId="77777777" w:rsidR="00893407" w:rsidRPr="00C00312" w:rsidRDefault="00893407" w:rsidP="002C35E6">
            <w:pPr>
              <w:rPr>
                <w:rFonts w:ascii="Arial" w:hAnsi="Arial" w:cs="Arial"/>
                <w:sz w:val="16"/>
                <w:szCs w:val="16"/>
                <w:lang w:val="es-ES" w:eastAsia="es-ES"/>
              </w:rPr>
            </w:pPr>
            <w:r>
              <w:rPr>
                <w:rFonts w:ascii="Arial" w:hAnsi="Arial" w:cs="Arial"/>
                <w:sz w:val="16"/>
                <w:szCs w:val="16"/>
                <w:lang w:val="es-ES" w:eastAsia="es-ES"/>
              </w:rPr>
              <w:t>Alejandro Sarmiento Cantillo</w:t>
            </w:r>
          </w:p>
          <w:p w14:paraId="648E2FE6" w14:textId="77777777" w:rsidR="00893407" w:rsidRPr="009F5860" w:rsidRDefault="00893407" w:rsidP="002C35E6">
            <w:pPr>
              <w:rPr>
                <w:rFonts w:ascii="Arial" w:hAnsi="Arial" w:cs="Arial"/>
                <w:sz w:val="16"/>
                <w:szCs w:val="16"/>
                <w:lang w:val="es-ES" w:eastAsia="es-ES"/>
              </w:rPr>
            </w:pPr>
            <w:r w:rsidRPr="00C00312">
              <w:rPr>
                <w:rFonts w:ascii="Arial" w:hAnsi="Arial" w:cs="Arial"/>
                <w:sz w:val="16"/>
                <w:szCs w:val="16"/>
                <w:lang w:val="es-ES" w:eastAsia="es-ES"/>
              </w:rPr>
              <w:t>Gestor T1-15 de la Subdirección de Gestión Contractual</w:t>
            </w:r>
          </w:p>
        </w:tc>
      </w:tr>
      <w:tr w:rsidR="00893407" w:rsidRPr="0008465D" w14:paraId="4BA57837" w14:textId="77777777" w:rsidTr="002C35E6">
        <w:trPr>
          <w:trHeight w:val="300"/>
        </w:trPr>
        <w:tc>
          <w:tcPr>
            <w:tcW w:w="812" w:type="dxa"/>
            <w:vAlign w:val="center"/>
            <w:hideMark/>
          </w:tcPr>
          <w:p w14:paraId="03EC6BB7" w14:textId="77777777" w:rsidR="00893407" w:rsidRPr="009F5860" w:rsidRDefault="00893407" w:rsidP="002C35E6">
            <w:pPr>
              <w:rPr>
                <w:rFonts w:ascii="Arial" w:hAnsi="Arial" w:cs="Arial"/>
                <w:sz w:val="16"/>
                <w:szCs w:val="16"/>
                <w:lang w:val="es-ES" w:eastAsia="es-ES"/>
              </w:rPr>
            </w:pPr>
            <w:r w:rsidRPr="009F5860">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FECEFE6" w14:textId="77777777" w:rsidR="00893407" w:rsidRPr="00150200" w:rsidRDefault="00893407" w:rsidP="002C35E6">
            <w:pPr>
              <w:rPr>
                <w:rFonts w:ascii="Arial" w:hAnsi="Arial" w:cs="Arial"/>
                <w:sz w:val="16"/>
                <w:szCs w:val="16"/>
                <w:lang w:val="es-ES_tradnl" w:eastAsia="es-ES"/>
              </w:rPr>
            </w:pPr>
            <w:r w:rsidRPr="00150200">
              <w:rPr>
                <w:rFonts w:ascii="Arial" w:hAnsi="Arial" w:cs="Arial"/>
                <w:sz w:val="16"/>
                <w:szCs w:val="16"/>
                <w:lang w:val="es-ES_tradnl" w:eastAsia="es-ES"/>
              </w:rPr>
              <w:t>Jorge Augusto Tirado Navarro</w:t>
            </w:r>
          </w:p>
          <w:p w14:paraId="5FBC08AB" w14:textId="77777777" w:rsidR="00893407" w:rsidRPr="0008465D" w:rsidRDefault="00893407" w:rsidP="002C35E6">
            <w:pPr>
              <w:rPr>
                <w:rFonts w:ascii="Arial" w:hAnsi="Arial" w:cs="Arial"/>
                <w:sz w:val="16"/>
                <w:szCs w:val="16"/>
                <w:lang w:val="es-ES" w:eastAsia="es-ES"/>
              </w:rPr>
            </w:pPr>
            <w:r w:rsidRPr="00150200">
              <w:rPr>
                <w:rFonts w:ascii="Arial" w:hAnsi="Arial" w:cs="Arial"/>
                <w:sz w:val="16"/>
                <w:szCs w:val="16"/>
                <w:lang w:val="es-ES_tradnl" w:eastAsia="es-ES"/>
              </w:rPr>
              <w:t>Subdirector de Gestión Contractual ANCP – CCE</w:t>
            </w:r>
          </w:p>
        </w:tc>
      </w:tr>
    </w:tbl>
    <w:p w14:paraId="2601A5A2" w14:textId="77777777" w:rsidR="00893407" w:rsidRDefault="00893407" w:rsidP="00893407"/>
    <w:p w14:paraId="283BEE8D" w14:textId="77777777" w:rsidR="00893407" w:rsidRDefault="00893407"/>
    <w:sectPr w:rsidR="00893407" w:rsidSect="007F1895">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5D1D4" w14:textId="77777777" w:rsidR="00713570" w:rsidRDefault="00713570" w:rsidP="00893407">
      <w:r>
        <w:separator/>
      </w:r>
    </w:p>
  </w:endnote>
  <w:endnote w:type="continuationSeparator" w:id="0">
    <w:p w14:paraId="7C3A4AA2" w14:textId="77777777" w:rsidR="00713570" w:rsidRDefault="00713570" w:rsidP="0089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C28B" w14:textId="77777777" w:rsidR="00387886" w:rsidRDefault="00000000" w:rsidP="007F1895">
    <w:pPr>
      <w:pStyle w:val="Sinespaciado"/>
      <w:jc w:val="right"/>
      <w:rPr>
        <w:rFonts w:ascii="Arial" w:hAnsi="Arial" w:cs="Arial"/>
        <w:sz w:val="18"/>
        <w:szCs w:val="18"/>
      </w:rPr>
    </w:pPr>
  </w:p>
  <w:p w14:paraId="7E550A49" w14:textId="77777777" w:rsidR="00387886" w:rsidRDefault="00000000" w:rsidP="007F1895">
    <w:pPr>
      <w:pStyle w:val="Sinespaciado"/>
      <w:jc w:val="right"/>
      <w:rPr>
        <w:rFonts w:ascii="Arial" w:hAnsi="Arial" w:cs="Arial"/>
        <w:sz w:val="18"/>
        <w:szCs w:val="18"/>
      </w:rPr>
    </w:pPr>
  </w:p>
  <w:p w14:paraId="1F7890C7" w14:textId="77777777" w:rsidR="00387886" w:rsidRPr="008217B7" w:rsidRDefault="00EF109C"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6F56D850" w14:textId="77777777" w:rsidR="00387886" w:rsidRDefault="00EF109C" w:rsidP="007F1895">
    <w:pPr>
      <w:pStyle w:val="Piedepgina"/>
      <w:jc w:val="center"/>
      <w:rPr>
        <w:lang w:val="es-ES"/>
      </w:rPr>
    </w:pPr>
    <w:r>
      <w:rPr>
        <w:noProof/>
      </w:rPr>
      <w:drawing>
        <wp:inline distT="0" distB="0" distL="0" distR="0" wp14:anchorId="363D5052" wp14:editId="693F355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1B573D7" w14:textId="77777777" w:rsidR="00387886" w:rsidRPr="00E756AC" w:rsidRDefault="00000000" w:rsidP="007F1895">
    <w:pPr>
      <w:pStyle w:val="Piedepgina"/>
      <w:jc w:val="center"/>
      <w:rPr>
        <w:sz w:val="18"/>
        <w:szCs w:val="18"/>
        <w:lang w:val="es-ES"/>
      </w:rPr>
    </w:pPr>
  </w:p>
  <w:p w14:paraId="5929E5D5" w14:textId="77777777" w:rsidR="00387886" w:rsidRPr="00E756AC" w:rsidRDefault="00000000"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75158" w14:textId="77777777" w:rsidR="00713570" w:rsidRDefault="00713570" w:rsidP="00893407">
      <w:r>
        <w:separator/>
      </w:r>
    </w:p>
  </w:footnote>
  <w:footnote w:type="continuationSeparator" w:id="0">
    <w:p w14:paraId="4CE242E5" w14:textId="77777777" w:rsidR="00713570" w:rsidRDefault="00713570" w:rsidP="00893407">
      <w:r>
        <w:continuationSeparator/>
      </w:r>
    </w:p>
  </w:footnote>
  <w:footnote w:id="1">
    <w:p w14:paraId="38EEA493" w14:textId="77777777" w:rsidR="00893407" w:rsidRPr="00AB133C" w:rsidRDefault="00893407" w:rsidP="00893407">
      <w:pPr>
        <w:pStyle w:val="Textonotapie"/>
        <w:ind w:firstLine="708"/>
        <w:contextualSpacing/>
        <w:jc w:val="both"/>
        <w:rPr>
          <w:rFonts w:ascii="Arial" w:hAnsi="Arial" w:cs="Arial"/>
          <w:sz w:val="19"/>
          <w:szCs w:val="19"/>
        </w:rPr>
      </w:pPr>
      <w:r w:rsidRPr="00AB133C">
        <w:rPr>
          <w:rStyle w:val="Refdenotaalpie"/>
          <w:rFonts w:ascii="Arial" w:hAnsi="Arial" w:cs="Arial"/>
          <w:sz w:val="19"/>
          <w:szCs w:val="19"/>
        </w:rPr>
        <w:footnoteRef/>
      </w:r>
      <w:r w:rsidRPr="00AB133C">
        <w:rPr>
          <w:rFonts w:ascii="Arial" w:hAnsi="Arial" w:cs="Arial"/>
          <w:sz w:val="19"/>
          <w:szCs w:val="19"/>
        </w:rPr>
        <w:t xml:space="preserve"> «Artículo 3°. Funciones. La Agencia Nacional de Contratación Pública –Colombia Compra Eficiente– ejercerá las siguientes funciones: </w:t>
      </w:r>
    </w:p>
    <w:p w14:paraId="362C5DF1" w14:textId="77777777" w:rsidR="00893407" w:rsidRPr="00AB133C" w:rsidRDefault="00893407" w:rsidP="00893407">
      <w:pPr>
        <w:pStyle w:val="Textonotapie"/>
        <w:ind w:firstLine="709"/>
        <w:contextualSpacing/>
        <w:jc w:val="both"/>
        <w:rPr>
          <w:rFonts w:ascii="Arial" w:hAnsi="Arial" w:cs="Arial"/>
          <w:sz w:val="19"/>
          <w:szCs w:val="19"/>
          <w:lang w:val="es-ES"/>
        </w:rPr>
      </w:pPr>
      <w:r w:rsidRPr="00AB133C">
        <w:rPr>
          <w:rFonts w:ascii="Arial" w:hAnsi="Arial" w:cs="Arial"/>
          <w:sz w:val="19"/>
          <w:szCs w:val="19"/>
          <w:lang w:val="es-ES"/>
        </w:rPr>
        <w:t xml:space="preserve">»[...] </w:t>
      </w:r>
    </w:p>
    <w:p w14:paraId="5F1CA56A" w14:textId="77777777" w:rsidR="00893407" w:rsidRPr="00AB133C" w:rsidRDefault="00893407" w:rsidP="00893407">
      <w:pPr>
        <w:pStyle w:val="Textonotapie"/>
        <w:ind w:firstLine="709"/>
        <w:contextualSpacing/>
        <w:jc w:val="both"/>
        <w:rPr>
          <w:rFonts w:ascii="Arial" w:hAnsi="Arial" w:cs="Arial"/>
          <w:sz w:val="19"/>
          <w:szCs w:val="19"/>
          <w:lang w:val="es-ES"/>
        </w:rPr>
      </w:pPr>
      <w:r w:rsidRPr="00AB133C">
        <w:rPr>
          <w:rFonts w:ascii="Arial" w:hAnsi="Arial" w:cs="Arial"/>
          <w:sz w:val="19"/>
          <w:szCs w:val="19"/>
          <w:lang w:val="es-ES"/>
        </w:rPr>
        <w:t>»5. Absolver consultas sobre la aplicación de normas de carácter general y expedir circulares externas en materia de compras y contratación pública».</w:t>
      </w:r>
    </w:p>
    <w:p w14:paraId="6902BC8E" w14:textId="77777777" w:rsidR="00893407" w:rsidRPr="00AB133C" w:rsidRDefault="00893407" w:rsidP="00893407">
      <w:pPr>
        <w:pStyle w:val="Textonotapie"/>
        <w:ind w:firstLine="709"/>
        <w:contextualSpacing/>
        <w:jc w:val="both"/>
        <w:rPr>
          <w:rFonts w:ascii="Arial" w:hAnsi="Arial" w:cs="Arial"/>
          <w:sz w:val="19"/>
          <w:szCs w:val="19"/>
          <w:lang w:val="es-ES"/>
        </w:rPr>
      </w:pPr>
      <w:r w:rsidRPr="00AB133C">
        <w:rPr>
          <w:rFonts w:ascii="Arial" w:eastAsia="Times New Roman" w:hAnsi="Arial" w:cs="Arial"/>
          <w:sz w:val="19"/>
          <w:szCs w:val="19"/>
          <w:lang w:val="es-CO" w:eastAsia="es-ES_tradnl"/>
        </w:rPr>
        <w:t>«</w:t>
      </w:r>
      <w:r w:rsidRPr="00AB133C">
        <w:rPr>
          <w:rFonts w:ascii="Arial" w:hAnsi="Arial" w:cs="Arial"/>
          <w:sz w:val="19"/>
          <w:szCs w:val="19"/>
          <w:lang w:val="es-ES"/>
        </w:rPr>
        <w:t xml:space="preserve">Artículo 11. Subdirección de Gestión Contractual. Son funciones de la Subdirección de Gestión Contractual las siguientes: </w:t>
      </w:r>
    </w:p>
    <w:p w14:paraId="290886C1" w14:textId="77777777" w:rsidR="00893407" w:rsidRPr="00AB133C" w:rsidRDefault="00893407" w:rsidP="00893407">
      <w:pPr>
        <w:pStyle w:val="Textonotapie"/>
        <w:ind w:firstLine="709"/>
        <w:contextualSpacing/>
        <w:jc w:val="both"/>
        <w:rPr>
          <w:rFonts w:ascii="Arial" w:hAnsi="Arial" w:cs="Arial"/>
          <w:sz w:val="19"/>
          <w:szCs w:val="19"/>
          <w:lang w:val="es-ES"/>
        </w:rPr>
      </w:pPr>
      <w:r w:rsidRPr="00AB133C">
        <w:rPr>
          <w:rFonts w:ascii="Arial" w:hAnsi="Arial" w:cs="Arial"/>
          <w:sz w:val="19"/>
          <w:szCs w:val="19"/>
          <w:lang w:val="es-ES"/>
        </w:rPr>
        <w:t xml:space="preserve">»[...] </w:t>
      </w:r>
    </w:p>
    <w:p w14:paraId="4726548F" w14:textId="77777777" w:rsidR="00893407" w:rsidRPr="00AB133C" w:rsidRDefault="00893407" w:rsidP="00893407">
      <w:pPr>
        <w:pStyle w:val="Textonotapie"/>
        <w:ind w:firstLine="708"/>
        <w:contextualSpacing/>
        <w:jc w:val="both"/>
        <w:rPr>
          <w:rFonts w:ascii="Arial" w:hAnsi="Arial" w:cs="Arial"/>
          <w:sz w:val="19"/>
          <w:szCs w:val="19"/>
        </w:rPr>
      </w:pPr>
      <w:r w:rsidRPr="00AB133C">
        <w:rPr>
          <w:rFonts w:ascii="Arial" w:eastAsia="Times New Roman" w:hAnsi="Arial" w:cs="Arial"/>
          <w:sz w:val="19"/>
          <w:szCs w:val="19"/>
          <w:lang w:val="es-CO" w:eastAsia="es-ES_tradnl"/>
        </w:rPr>
        <w:t>»</w:t>
      </w:r>
      <w:r w:rsidRPr="00AB133C">
        <w:rPr>
          <w:rFonts w:ascii="Arial" w:hAnsi="Arial" w:cs="Arial"/>
          <w:sz w:val="19"/>
          <w:szCs w:val="19"/>
          <w:lang w:val="es-ES"/>
        </w:rPr>
        <w:t>8. Absolver consultas sobre la aplicación de normas de carácter general».</w:t>
      </w:r>
    </w:p>
  </w:footnote>
  <w:footnote w:id="2">
    <w:p w14:paraId="2486BF81" w14:textId="77777777" w:rsidR="00893407" w:rsidRPr="00AB133C" w:rsidRDefault="00893407" w:rsidP="00893407">
      <w:pPr>
        <w:pStyle w:val="Textonotapie"/>
        <w:ind w:firstLine="709"/>
        <w:contextualSpacing/>
        <w:jc w:val="both"/>
        <w:rPr>
          <w:rFonts w:ascii="Arial" w:hAnsi="Arial" w:cs="Arial"/>
          <w:sz w:val="19"/>
          <w:szCs w:val="19"/>
        </w:rPr>
      </w:pPr>
      <w:r w:rsidRPr="00AB133C">
        <w:rPr>
          <w:rStyle w:val="Refdenotaalpie"/>
          <w:rFonts w:ascii="Arial" w:hAnsi="Arial" w:cs="Arial"/>
          <w:sz w:val="19"/>
          <w:szCs w:val="19"/>
        </w:rPr>
        <w:footnoteRef/>
      </w:r>
      <w:r w:rsidRPr="00AB133C">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606D6B43" w14:textId="77777777" w:rsidR="00893407" w:rsidRDefault="00893407" w:rsidP="00893407">
      <w:pPr>
        <w:pStyle w:val="Textonotapie"/>
        <w:ind w:firstLine="709"/>
        <w:contextualSpacing/>
        <w:jc w:val="both"/>
        <w:rPr>
          <w:rFonts w:ascii="Arial" w:hAnsi="Arial" w:cs="Arial"/>
          <w:sz w:val="19"/>
          <w:szCs w:val="19"/>
        </w:rPr>
      </w:pPr>
      <w:proofErr w:type="gramStart"/>
      <w:r w:rsidRPr="00AB133C">
        <w:rPr>
          <w:rFonts w:ascii="Arial" w:hAnsi="Arial" w:cs="Arial"/>
          <w:sz w:val="19"/>
          <w:szCs w:val="19"/>
        </w:rPr>
        <w:t>»A</w:t>
      </w:r>
      <w:proofErr w:type="gramEnd"/>
      <w:r w:rsidRPr="00AB133C">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60B8DA68" w14:textId="77777777" w:rsidR="00893407" w:rsidRPr="00AB133C" w:rsidRDefault="00893407" w:rsidP="00893407">
      <w:pPr>
        <w:pStyle w:val="Textonotapie"/>
        <w:ind w:firstLine="709"/>
        <w:contextualSpacing/>
        <w:jc w:val="both"/>
        <w:rPr>
          <w:rFonts w:ascii="Arial" w:hAnsi="Arial" w:cs="Arial"/>
          <w:sz w:val="19"/>
          <w:szCs w:val="19"/>
        </w:rPr>
      </w:pPr>
    </w:p>
  </w:footnote>
  <w:footnote w:id="3">
    <w:p w14:paraId="2E9FA54B" w14:textId="77777777" w:rsidR="00893407" w:rsidRPr="00AB133C" w:rsidRDefault="00893407" w:rsidP="00893407">
      <w:pPr>
        <w:pStyle w:val="Textonotapie"/>
        <w:ind w:firstLine="709"/>
        <w:contextualSpacing/>
        <w:jc w:val="both"/>
        <w:rPr>
          <w:rFonts w:ascii="Arial" w:hAnsi="Arial" w:cs="Arial"/>
          <w:sz w:val="19"/>
          <w:szCs w:val="19"/>
        </w:rPr>
      </w:pPr>
      <w:r w:rsidRPr="00AB133C">
        <w:rPr>
          <w:rStyle w:val="Refdenotaalpie"/>
          <w:rFonts w:ascii="Arial" w:hAnsi="Arial" w:cs="Arial"/>
          <w:sz w:val="19"/>
          <w:szCs w:val="19"/>
        </w:rPr>
        <w:footnoteRef/>
      </w:r>
      <w:r w:rsidRPr="00AB133C">
        <w:rPr>
          <w:rFonts w:ascii="Arial" w:hAnsi="Arial" w:cs="Arial"/>
          <w:sz w:val="19"/>
          <w:szCs w:val="19"/>
        </w:rPr>
        <w:t xml:space="preserve"> Gaceta del Congreso de la República No. 71 del 2005.</w:t>
      </w:r>
    </w:p>
  </w:footnote>
  <w:footnote w:id="4">
    <w:p w14:paraId="3D94FC19" w14:textId="77777777" w:rsidR="00893407" w:rsidRDefault="00893407" w:rsidP="00893407">
      <w:pPr>
        <w:pStyle w:val="Textonotapie"/>
        <w:ind w:firstLine="709"/>
        <w:contextualSpacing/>
        <w:jc w:val="both"/>
        <w:rPr>
          <w:rFonts w:ascii="Arial" w:hAnsi="Arial" w:cs="Arial"/>
          <w:sz w:val="19"/>
          <w:szCs w:val="19"/>
        </w:rPr>
      </w:pPr>
    </w:p>
    <w:p w14:paraId="17981A5C" w14:textId="77777777" w:rsidR="00893407" w:rsidRPr="00AB133C" w:rsidRDefault="00893407" w:rsidP="00893407">
      <w:pPr>
        <w:pStyle w:val="Textonotapie"/>
        <w:ind w:firstLine="709"/>
        <w:contextualSpacing/>
        <w:jc w:val="both"/>
        <w:rPr>
          <w:rFonts w:ascii="Arial" w:hAnsi="Arial" w:cs="Arial"/>
          <w:sz w:val="19"/>
          <w:szCs w:val="19"/>
        </w:rPr>
      </w:pPr>
      <w:r w:rsidRPr="00AB133C">
        <w:rPr>
          <w:rStyle w:val="Refdenotaalpie"/>
          <w:rFonts w:ascii="Arial" w:hAnsi="Arial" w:cs="Arial"/>
          <w:sz w:val="19"/>
          <w:szCs w:val="19"/>
        </w:rPr>
        <w:footnoteRef/>
      </w:r>
      <w:r w:rsidRPr="00AB133C">
        <w:rPr>
          <w:rFonts w:ascii="Arial" w:hAnsi="Arial" w:cs="Arial"/>
          <w:sz w:val="19"/>
          <w:szCs w:val="19"/>
        </w:rPr>
        <w:t xml:space="preserve"> Corte Constitucional, Sentencia C- 1153 de 2005, M.P. Marco Gerardo Monroy Cabra.</w:t>
      </w:r>
    </w:p>
  </w:footnote>
  <w:footnote w:id="5">
    <w:p w14:paraId="4137F5A4" w14:textId="77777777" w:rsidR="00893407" w:rsidRDefault="00893407" w:rsidP="00893407">
      <w:pPr>
        <w:pStyle w:val="Textonotapie"/>
        <w:ind w:firstLine="709"/>
        <w:contextualSpacing/>
        <w:jc w:val="both"/>
        <w:rPr>
          <w:rFonts w:ascii="Arial" w:hAnsi="Arial" w:cs="Arial"/>
          <w:sz w:val="19"/>
          <w:szCs w:val="19"/>
        </w:rPr>
      </w:pPr>
      <w:r w:rsidRPr="00AB133C">
        <w:rPr>
          <w:rStyle w:val="Refdenotaalpie"/>
          <w:rFonts w:ascii="Arial" w:hAnsi="Arial" w:cs="Arial"/>
          <w:sz w:val="19"/>
          <w:szCs w:val="19"/>
        </w:rPr>
        <w:footnoteRef/>
      </w:r>
      <w:r w:rsidRPr="00AB133C">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1AD77397" w14:textId="77777777" w:rsidR="00893407" w:rsidRPr="00AB133C" w:rsidRDefault="00893407" w:rsidP="00893407">
      <w:pPr>
        <w:pStyle w:val="Textonotapie"/>
        <w:ind w:firstLine="709"/>
        <w:contextualSpacing/>
        <w:jc w:val="both"/>
        <w:rPr>
          <w:rFonts w:ascii="Arial" w:hAnsi="Arial" w:cs="Arial"/>
          <w:sz w:val="19"/>
          <w:szCs w:val="19"/>
        </w:rPr>
      </w:pPr>
    </w:p>
  </w:footnote>
  <w:footnote w:id="6">
    <w:p w14:paraId="567A279E" w14:textId="77777777" w:rsidR="00893407" w:rsidRPr="00AB133C" w:rsidRDefault="00893407" w:rsidP="00893407">
      <w:pPr>
        <w:pStyle w:val="Textonotapie"/>
        <w:ind w:firstLine="709"/>
        <w:contextualSpacing/>
        <w:jc w:val="both"/>
        <w:rPr>
          <w:rFonts w:ascii="Arial" w:hAnsi="Arial" w:cs="Arial"/>
          <w:sz w:val="19"/>
          <w:szCs w:val="19"/>
          <w:lang w:val="es-CO"/>
        </w:rPr>
      </w:pPr>
      <w:r w:rsidRPr="00AB133C">
        <w:rPr>
          <w:rStyle w:val="Refdenotaalpie"/>
          <w:rFonts w:ascii="Arial" w:hAnsi="Arial" w:cs="Arial"/>
          <w:sz w:val="19"/>
          <w:szCs w:val="19"/>
        </w:rPr>
        <w:footnoteRef/>
      </w:r>
      <w:r w:rsidRPr="00AB133C">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7">
    <w:p w14:paraId="274EC858" w14:textId="77777777" w:rsidR="00893407" w:rsidRDefault="00893407" w:rsidP="00893407">
      <w:pPr>
        <w:pStyle w:val="Textonotapie"/>
        <w:ind w:firstLine="709"/>
        <w:contextualSpacing/>
        <w:jc w:val="both"/>
        <w:rPr>
          <w:rFonts w:ascii="Arial" w:hAnsi="Arial" w:cs="Arial"/>
          <w:sz w:val="19"/>
          <w:szCs w:val="19"/>
        </w:rPr>
      </w:pPr>
    </w:p>
    <w:p w14:paraId="146899AF" w14:textId="77777777" w:rsidR="00893407" w:rsidRPr="00AB133C" w:rsidRDefault="00893407" w:rsidP="00893407">
      <w:pPr>
        <w:pStyle w:val="Textonotapie"/>
        <w:ind w:firstLine="709"/>
        <w:contextualSpacing/>
        <w:jc w:val="both"/>
        <w:rPr>
          <w:rFonts w:ascii="Arial" w:hAnsi="Arial" w:cs="Arial"/>
          <w:sz w:val="19"/>
          <w:szCs w:val="19"/>
        </w:rPr>
      </w:pPr>
      <w:r w:rsidRPr="00AB133C">
        <w:rPr>
          <w:rStyle w:val="Refdenotaalpie"/>
          <w:rFonts w:ascii="Arial" w:hAnsi="Arial" w:cs="Arial"/>
          <w:sz w:val="19"/>
          <w:szCs w:val="19"/>
        </w:rPr>
        <w:footnoteRef/>
      </w:r>
      <w:r w:rsidRPr="00AB133C">
        <w:rPr>
          <w:rFonts w:ascii="Arial" w:hAnsi="Arial" w:cs="Arial"/>
          <w:sz w:val="19"/>
          <w:szCs w:val="19"/>
        </w:rPr>
        <w:t xml:space="preserve"> Consejo de Estado, Sala de Consulta y Servicio Civil de fecha 24 de julio de 2013, radicado 2166, Consejero Ponente: Álvaro </w:t>
      </w:r>
      <w:proofErr w:type="spellStart"/>
      <w:r w:rsidRPr="00AB133C">
        <w:rPr>
          <w:rFonts w:ascii="Arial" w:hAnsi="Arial" w:cs="Arial"/>
          <w:sz w:val="19"/>
          <w:szCs w:val="19"/>
        </w:rPr>
        <w:t>Namén</w:t>
      </w:r>
      <w:proofErr w:type="spellEnd"/>
      <w:r w:rsidRPr="00AB133C">
        <w:rPr>
          <w:rFonts w:ascii="Arial" w:hAnsi="Arial" w:cs="Arial"/>
          <w:sz w:val="19"/>
          <w:szCs w:val="19"/>
        </w:rPr>
        <w:t xml:space="preserve"> Vargas.  </w:t>
      </w:r>
    </w:p>
  </w:footnote>
  <w:footnote w:id="8">
    <w:p w14:paraId="0BDC8D84" w14:textId="77777777" w:rsidR="00893407" w:rsidRPr="00AB133C" w:rsidRDefault="00893407" w:rsidP="00893407">
      <w:pPr>
        <w:ind w:firstLine="709"/>
        <w:contextualSpacing/>
        <w:jc w:val="both"/>
        <w:rPr>
          <w:rFonts w:ascii="Arial" w:hAnsi="Arial" w:cs="Arial"/>
          <w:sz w:val="19"/>
          <w:szCs w:val="19"/>
        </w:rPr>
      </w:pPr>
      <w:r w:rsidRPr="00AB133C">
        <w:rPr>
          <w:rStyle w:val="Refdenotaalpie"/>
          <w:rFonts w:ascii="Arial" w:hAnsi="Arial" w:cs="Arial"/>
          <w:sz w:val="19"/>
          <w:szCs w:val="19"/>
        </w:rPr>
        <w:footnoteRef/>
      </w:r>
      <w:r w:rsidRPr="00AB133C">
        <w:rPr>
          <w:rFonts w:ascii="Arial" w:hAnsi="Arial" w:cs="Arial"/>
          <w:sz w:val="19"/>
          <w:szCs w:val="19"/>
        </w:rPr>
        <w:t xml:space="preserve"> </w:t>
      </w:r>
      <w:bookmarkStart w:id="13" w:name="33"/>
      <w:r w:rsidRPr="00AB133C">
        <w:rPr>
          <w:rFonts w:ascii="Arial" w:eastAsia="Calibri" w:hAnsi="Arial" w:cs="Arial"/>
          <w:color w:val="000000"/>
          <w:sz w:val="19"/>
          <w:szCs w:val="19"/>
        </w:rPr>
        <w:t>«</w:t>
      </w:r>
      <w:r w:rsidRPr="00AB133C">
        <w:rPr>
          <w:rFonts w:ascii="Arial" w:hAnsi="Arial" w:cs="Arial"/>
          <w:sz w:val="19"/>
          <w:szCs w:val="19"/>
        </w:rPr>
        <w:t>Artículo 33. Restricciones a la contratación pública.</w:t>
      </w:r>
      <w:bookmarkEnd w:id="13"/>
      <w:r w:rsidRPr="00AB133C">
        <w:rPr>
          <w:rFonts w:ascii="Arial"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272DCA9C" w14:textId="77777777" w:rsidR="00893407" w:rsidRDefault="00893407" w:rsidP="00893407">
      <w:pPr>
        <w:ind w:firstLine="709"/>
        <w:contextualSpacing/>
        <w:jc w:val="both"/>
        <w:rPr>
          <w:rFonts w:ascii="Arial" w:hAnsi="Arial" w:cs="Arial"/>
          <w:sz w:val="19"/>
          <w:szCs w:val="19"/>
        </w:rPr>
      </w:pPr>
      <w:r w:rsidRPr="00AB133C">
        <w:rPr>
          <w:rFonts w:ascii="Arial" w:eastAsia="Calibri" w:hAnsi="Arial" w:cs="Arial"/>
          <w:color w:val="000000"/>
          <w:sz w:val="19"/>
          <w:szCs w:val="19"/>
        </w:rPr>
        <w:t>»</w:t>
      </w:r>
      <w:r w:rsidRPr="00AB133C">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AB133C">
        <w:rPr>
          <w:rFonts w:ascii="Arial" w:eastAsia="Calibri" w:hAnsi="Arial" w:cs="Arial"/>
          <w:color w:val="000000"/>
          <w:sz w:val="19"/>
          <w:szCs w:val="19"/>
        </w:rPr>
        <w:t>»</w:t>
      </w:r>
      <w:r w:rsidRPr="00AB133C">
        <w:rPr>
          <w:rFonts w:ascii="Arial" w:hAnsi="Arial" w:cs="Arial"/>
          <w:sz w:val="19"/>
          <w:szCs w:val="19"/>
        </w:rPr>
        <w:t>.</w:t>
      </w:r>
    </w:p>
    <w:p w14:paraId="22C28B5B" w14:textId="77777777" w:rsidR="00893407" w:rsidRPr="00AB133C" w:rsidRDefault="00893407" w:rsidP="00893407">
      <w:pPr>
        <w:ind w:firstLine="709"/>
        <w:contextualSpacing/>
        <w:jc w:val="both"/>
        <w:rPr>
          <w:rFonts w:ascii="Arial" w:hAnsi="Arial" w:cs="Arial"/>
          <w:sz w:val="19"/>
          <w:szCs w:val="19"/>
        </w:rPr>
      </w:pPr>
    </w:p>
  </w:footnote>
  <w:footnote w:id="9">
    <w:p w14:paraId="1C68DCE1" w14:textId="77777777" w:rsidR="00893407" w:rsidRPr="00AB133C" w:rsidRDefault="00893407" w:rsidP="00893407">
      <w:pPr>
        <w:pStyle w:val="NormalWeb"/>
        <w:spacing w:before="0" w:beforeAutospacing="0" w:after="0" w:afterAutospacing="0"/>
        <w:ind w:firstLine="709"/>
        <w:contextualSpacing/>
        <w:jc w:val="both"/>
        <w:rPr>
          <w:rFonts w:ascii="Arial" w:hAnsi="Arial" w:cs="Arial"/>
          <w:sz w:val="19"/>
          <w:szCs w:val="19"/>
          <w:lang w:val="es-MX"/>
        </w:rPr>
      </w:pPr>
      <w:r w:rsidRPr="00AB133C">
        <w:rPr>
          <w:rStyle w:val="Refdenotaalpie"/>
          <w:rFonts w:ascii="Arial" w:hAnsi="Arial" w:cs="Arial"/>
          <w:sz w:val="19"/>
          <w:szCs w:val="19"/>
        </w:rPr>
        <w:footnoteRef/>
      </w:r>
      <w:r w:rsidRPr="00AB133C">
        <w:rPr>
          <w:rFonts w:ascii="Arial" w:hAnsi="Arial" w:cs="Arial"/>
          <w:sz w:val="19"/>
          <w:szCs w:val="19"/>
        </w:rPr>
        <w:t xml:space="preserve"> </w:t>
      </w:r>
      <w:bookmarkStart w:id="14" w:name="38"/>
      <w:r w:rsidRPr="00AB133C">
        <w:rPr>
          <w:rFonts w:ascii="Arial" w:eastAsia="Calibri" w:hAnsi="Arial" w:cs="Arial"/>
          <w:color w:val="000000"/>
          <w:sz w:val="19"/>
          <w:szCs w:val="19"/>
        </w:rPr>
        <w:t>«</w:t>
      </w:r>
      <w:r w:rsidRPr="00AB133C">
        <w:rPr>
          <w:rFonts w:ascii="Arial" w:hAnsi="Arial" w:cs="Arial"/>
          <w:sz w:val="19"/>
          <w:szCs w:val="19"/>
          <w:lang w:val="es-MX"/>
        </w:rPr>
        <w:t>Artículo 38. Prohibiciones para los servidores públicos. A los empleados del Estado les está prohibido:</w:t>
      </w:r>
      <w:bookmarkEnd w:id="14"/>
    </w:p>
    <w:p w14:paraId="7DEE6DC4" w14:textId="77777777" w:rsidR="00893407" w:rsidRPr="00AB133C" w:rsidRDefault="00893407" w:rsidP="00893407">
      <w:pPr>
        <w:pStyle w:val="NormalWeb"/>
        <w:spacing w:before="0" w:beforeAutospacing="0" w:after="0" w:afterAutospacing="0"/>
        <w:ind w:firstLine="709"/>
        <w:contextualSpacing/>
        <w:jc w:val="both"/>
        <w:rPr>
          <w:rFonts w:ascii="Arial" w:hAnsi="Arial" w:cs="Arial"/>
          <w:sz w:val="19"/>
          <w:szCs w:val="19"/>
          <w:lang w:val="es-MX"/>
        </w:rPr>
      </w:pPr>
      <w:r w:rsidRPr="00AB133C">
        <w:rPr>
          <w:rFonts w:ascii="Arial" w:eastAsia="Calibri" w:hAnsi="Arial" w:cs="Arial"/>
          <w:color w:val="000000"/>
          <w:sz w:val="19"/>
          <w:szCs w:val="19"/>
        </w:rPr>
        <w:t>»</w:t>
      </w:r>
      <w:r w:rsidRPr="00AB133C">
        <w:rPr>
          <w:rFonts w:ascii="Arial" w:hAnsi="Arial" w:cs="Arial"/>
          <w:sz w:val="19"/>
          <w:szCs w:val="19"/>
          <w:lang w:val="es-MX"/>
        </w:rPr>
        <w:t xml:space="preserve"> […]</w:t>
      </w:r>
    </w:p>
    <w:p w14:paraId="3EF5E3BA" w14:textId="77777777" w:rsidR="00893407" w:rsidRPr="00AB133C" w:rsidRDefault="00893407" w:rsidP="00893407">
      <w:pPr>
        <w:pStyle w:val="NormalWeb"/>
        <w:spacing w:before="0" w:beforeAutospacing="0" w:after="0" w:afterAutospacing="0"/>
        <w:ind w:firstLine="709"/>
        <w:contextualSpacing/>
        <w:jc w:val="both"/>
        <w:rPr>
          <w:rFonts w:ascii="Arial" w:hAnsi="Arial" w:cs="Arial"/>
          <w:sz w:val="19"/>
          <w:szCs w:val="19"/>
          <w:lang w:val="es-MX"/>
        </w:rPr>
      </w:pPr>
      <w:r w:rsidRPr="00AB133C">
        <w:rPr>
          <w:rFonts w:ascii="Arial" w:eastAsia="Calibri" w:hAnsi="Arial" w:cs="Arial"/>
          <w:color w:val="000000"/>
          <w:sz w:val="19"/>
          <w:szCs w:val="19"/>
        </w:rPr>
        <w:t>»</w:t>
      </w:r>
      <w:r w:rsidRPr="00AB133C">
        <w:rPr>
          <w:rStyle w:val="baj"/>
          <w:rFonts w:ascii="Arial" w:hAnsi="Arial" w:cs="Arial"/>
          <w:sz w:val="19"/>
          <w:szCs w:val="19"/>
          <w:lang w:val="es-MX"/>
        </w:rPr>
        <w:t xml:space="preserve"> Parágrafo.</w:t>
      </w:r>
      <w:r w:rsidRPr="00AB133C">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AB133C">
        <w:rPr>
          <w:rFonts w:ascii="Arial" w:eastAsia="Calibri" w:hAnsi="Arial" w:cs="Arial"/>
          <w:color w:val="000000"/>
          <w:sz w:val="19"/>
          <w:szCs w:val="19"/>
        </w:rPr>
        <w:t>»</w:t>
      </w:r>
      <w:r w:rsidRPr="00AB133C">
        <w:rPr>
          <w:rFonts w:ascii="Arial" w:hAnsi="Arial" w:cs="Arial"/>
          <w:sz w:val="19"/>
          <w:szCs w:val="19"/>
          <w:lang w:val="es-MX"/>
        </w:rPr>
        <w:t>.</w:t>
      </w:r>
    </w:p>
  </w:footnote>
  <w:footnote w:id="10">
    <w:p w14:paraId="7A2E2338" w14:textId="77777777" w:rsidR="00893407" w:rsidRPr="00AB133C" w:rsidRDefault="00893407" w:rsidP="00893407">
      <w:pPr>
        <w:ind w:left="100" w:right="244" w:firstLine="709"/>
        <w:contextualSpacing/>
        <w:jc w:val="both"/>
        <w:rPr>
          <w:rFonts w:ascii="Arial" w:hAnsi="Arial" w:cs="Arial"/>
          <w:sz w:val="19"/>
          <w:szCs w:val="19"/>
          <w:lang w:val="es-ES"/>
        </w:rPr>
      </w:pPr>
      <w:r w:rsidRPr="00AB133C">
        <w:rPr>
          <w:rStyle w:val="Refdenotaalpie"/>
          <w:rFonts w:ascii="Arial" w:hAnsi="Arial" w:cs="Arial"/>
          <w:sz w:val="19"/>
          <w:szCs w:val="19"/>
        </w:rPr>
        <w:footnoteRef/>
      </w:r>
      <w:r w:rsidRPr="00AB133C">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1">
    <w:p w14:paraId="570A1494" w14:textId="77777777" w:rsidR="00893407" w:rsidRDefault="00893407" w:rsidP="00893407">
      <w:pPr>
        <w:pStyle w:val="Textonotapie"/>
        <w:ind w:firstLine="709"/>
        <w:jc w:val="both"/>
        <w:rPr>
          <w:rFonts w:ascii="Arial" w:hAnsi="Arial" w:cs="Arial"/>
          <w:color w:val="000000"/>
          <w:sz w:val="19"/>
          <w:szCs w:val="19"/>
        </w:rPr>
      </w:pPr>
      <w:r w:rsidRPr="00AB133C">
        <w:rPr>
          <w:rStyle w:val="Refdenotaalpie"/>
          <w:rFonts w:ascii="Arial" w:hAnsi="Arial" w:cs="Arial"/>
          <w:sz w:val="19"/>
          <w:szCs w:val="19"/>
        </w:rPr>
        <w:footnoteRef/>
      </w:r>
      <w:r w:rsidRPr="00AB133C">
        <w:rPr>
          <w:rFonts w:ascii="Arial" w:hAnsi="Arial" w:cs="Arial"/>
          <w:color w:val="000000"/>
          <w:sz w:val="19"/>
          <w:szCs w:val="19"/>
        </w:rPr>
        <w:t xml:space="preserve"> «</w:t>
      </w:r>
      <w:r w:rsidRPr="00AB133C">
        <w:rPr>
          <w:rFonts w:ascii="Arial" w:hAnsi="Arial" w:cs="Arial"/>
          <w:color w:val="000000"/>
          <w:sz w:val="19"/>
          <w:szCs w:val="19"/>
          <w:lang w:val="es-ES"/>
        </w:rPr>
        <w:t xml:space="preserve">[25] </w:t>
      </w:r>
      <w:r w:rsidRPr="00AB133C">
        <w:rPr>
          <w:rFonts w:ascii="Arial" w:hAnsi="Arial" w:cs="Arial"/>
          <w:color w:val="000000"/>
          <w:sz w:val="19"/>
          <w:szCs w:val="19"/>
        </w:rPr>
        <w:t>Cfr. Consejo de Estado. Sección Tercera. Sentencia de 3 de diciembre de 2007. Radicados: 24.715, 25.206, 25.409, 24.524, 27.834, 25.410, 26.105, 28.244, 31.447 -acumulados-».</w:t>
      </w:r>
    </w:p>
    <w:p w14:paraId="38C447B6" w14:textId="77777777" w:rsidR="00893407" w:rsidRPr="00AB133C" w:rsidRDefault="00893407" w:rsidP="00893407">
      <w:pPr>
        <w:pStyle w:val="Textonotapie"/>
        <w:ind w:firstLine="709"/>
        <w:jc w:val="both"/>
        <w:rPr>
          <w:rFonts w:ascii="Arial" w:hAnsi="Arial" w:cs="Arial"/>
          <w:color w:val="000000"/>
          <w:sz w:val="19"/>
          <w:szCs w:val="19"/>
        </w:rPr>
      </w:pPr>
    </w:p>
  </w:footnote>
  <w:footnote w:id="12">
    <w:p w14:paraId="5CFFD1B4" w14:textId="77777777" w:rsidR="00893407" w:rsidRPr="00AB133C" w:rsidRDefault="00893407" w:rsidP="00893407">
      <w:pPr>
        <w:pStyle w:val="Textonotapie"/>
        <w:ind w:firstLine="709"/>
        <w:jc w:val="both"/>
        <w:rPr>
          <w:rFonts w:ascii="Arial" w:hAnsi="Arial" w:cs="Arial"/>
          <w:color w:val="000000"/>
          <w:sz w:val="19"/>
          <w:szCs w:val="19"/>
        </w:rPr>
      </w:pPr>
      <w:r w:rsidRPr="00AB133C">
        <w:rPr>
          <w:rStyle w:val="Refdenotaalpie"/>
          <w:rFonts w:ascii="Arial" w:hAnsi="Arial" w:cs="Arial"/>
          <w:sz w:val="19"/>
          <w:szCs w:val="19"/>
        </w:rPr>
        <w:footnoteRef/>
      </w:r>
      <w:r w:rsidRPr="00AB133C">
        <w:rPr>
          <w:rFonts w:ascii="Arial" w:hAnsi="Arial" w:cs="Arial"/>
          <w:color w:val="000000"/>
          <w:sz w:val="19"/>
          <w:szCs w:val="19"/>
        </w:rPr>
        <w:t xml:space="preserve"> «</w:t>
      </w:r>
      <w:r w:rsidRPr="00AB133C">
        <w:rPr>
          <w:rFonts w:ascii="Arial" w:hAnsi="Arial" w:cs="Arial"/>
          <w:color w:val="000000"/>
          <w:sz w:val="19"/>
          <w:szCs w:val="19"/>
          <w:lang w:val="es-ES"/>
        </w:rPr>
        <w:t xml:space="preserve">[26] </w:t>
      </w:r>
      <w:r w:rsidRPr="00AB133C">
        <w:rPr>
          <w:rFonts w:ascii="Arial" w:hAnsi="Arial" w:cs="Arial"/>
          <w:color w:val="000000"/>
          <w:sz w:val="19"/>
          <w:szCs w:val="19"/>
        </w:rPr>
        <w:t>Al respecto ver el concepto 1712 de 2 de febrero de 2006. Consejo de Estado Sala de Consulta y Servicio Civil».</w:t>
      </w:r>
    </w:p>
  </w:footnote>
  <w:footnote w:id="13">
    <w:p w14:paraId="5D1CD642" w14:textId="77777777" w:rsidR="00893407" w:rsidRDefault="00893407" w:rsidP="00893407">
      <w:pPr>
        <w:pStyle w:val="Textonotapie"/>
        <w:ind w:firstLine="709"/>
        <w:jc w:val="both"/>
        <w:rPr>
          <w:rFonts w:ascii="Arial" w:hAnsi="Arial" w:cs="Arial"/>
          <w:color w:val="000000"/>
          <w:sz w:val="19"/>
          <w:szCs w:val="19"/>
        </w:rPr>
      </w:pPr>
    </w:p>
    <w:p w14:paraId="36548316" w14:textId="77777777" w:rsidR="00893407" w:rsidRPr="00AB133C" w:rsidRDefault="00893407" w:rsidP="00893407">
      <w:pPr>
        <w:pStyle w:val="Textonotapie"/>
        <w:ind w:firstLine="709"/>
        <w:jc w:val="both"/>
        <w:rPr>
          <w:rFonts w:ascii="Arial" w:hAnsi="Arial" w:cs="Arial"/>
          <w:color w:val="000000"/>
          <w:sz w:val="19"/>
          <w:szCs w:val="19"/>
        </w:rPr>
      </w:pPr>
      <w:r w:rsidRPr="00AB133C">
        <w:rPr>
          <w:rStyle w:val="Refdenotaalpie"/>
          <w:rFonts w:ascii="Arial" w:hAnsi="Arial" w:cs="Arial"/>
          <w:sz w:val="19"/>
          <w:szCs w:val="19"/>
        </w:rPr>
        <w:footnoteRef/>
      </w:r>
      <w:r w:rsidRPr="00AB133C">
        <w:rPr>
          <w:rFonts w:ascii="Arial" w:hAnsi="Arial" w:cs="Arial"/>
          <w:color w:val="000000"/>
          <w:sz w:val="19"/>
          <w:szCs w:val="19"/>
        </w:rPr>
        <w:t xml:space="preserve"> Consejo de Estado. Sala de Consulta y Servicio Civil. Concepto del 2 de septiembre de 2013. Radicación número: 11001-03-06-000-2013-00412-00 (2168). Consejero Ponente: Álvaro </w:t>
      </w:r>
      <w:proofErr w:type="spellStart"/>
      <w:r w:rsidRPr="00AB133C">
        <w:rPr>
          <w:rFonts w:ascii="Arial" w:hAnsi="Arial" w:cs="Arial"/>
          <w:color w:val="000000"/>
          <w:sz w:val="19"/>
          <w:szCs w:val="19"/>
        </w:rPr>
        <w:t>Namén</w:t>
      </w:r>
      <w:proofErr w:type="spellEnd"/>
      <w:r w:rsidRPr="00AB133C">
        <w:rPr>
          <w:rFonts w:ascii="Arial" w:hAnsi="Arial" w:cs="Arial"/>
          <w:color w:val="000000"/>
          <w:sz w:val="19"/>
          <w:szCs w:val="19"/>
        </w:rPr>
        <w:t xml:space="preserve"> Vargas.</w:t>
      </w:r>
    </w:p>
  </w:footnote>
  <w:footnote w:id="14">
    <w:p w14:paraId="6335A60D" w14:textId="77777777" w:rsidR="00893407" w:rsidRDefault="00893407" w:rsidP="00893407">
      <w:pPr>
        <w:pStyle w:val="Textonotapie"/>
        <w:ind w:firstLine="709"/>
        <w:jc w:val="both"/>
        <w:rPr>
          <w:rFonts w:ascii="Arial" w:hAnsi="Arial" w:cs="Arial"/>
          <w:color w:val="000000"/>
          <w:sz w:val="19"/>
          <w:szCs w:val="19"/>
          <w:lang w:val="es-ES"/>
        </w:rPr>
      </w:pPr>
      <w:r w:rsidRPr="00AB133C">
        <w:rPr>
          <w:rStyle w:val="Refdenotaalpie"/>
          <w:rFonts w:ascii="Arial" w:hAnsi="Arial" w:cs="Arial"/>
          <w:sz w:val="19"/>
          <w:szCs w:val="19"/>
        </w:rPr>
        <w:footnoteRef/>
      </w:r>
      <w:r w:rsidRPr="00AB133C">
        <w:rPr>
          <w:rFonts w:ascii="Arial" w:hAnsi="Arial" w:cs="Arial"/>
          <w:color w:val="000000"/>
          <w:sz w:val="19"/>
          <w:szCs w:val="19"/>
        </w:rPr>
        <w:t xml:space="preserve"> </w:t>
      </w:r>
      <w:r w:rsidRPr="00AB133C">
        <w:rPr>
          <w:rFonts w:ascii="Arial" w:hAnsi="Arial" w:cs="Arial"/>
          <w:color w:val="000000"/>
          <w:sz w:val="19"/>
          <w:szCs w:val="19"/>
          <w:lang w:val="es-ES"/>
        </w:rPr>
        <w:t xml:space="preserve">Artículo 2. </w:t>
      </w:r>
    </w:p>
    <w:p w14:paraId="1C30305E" w14:textId="77777777" w:rsidR="00893407" w:rsidRPr="00AB133C" w:rsidRDefault="00893407" w:rsidP="00893407">
      <w:pPr>
        <w:pStyle w:val="Textonotapie"/>
        <w:ind w:firstLine="709"/>
        <w:jc w:val="both"/>
        <w:rPr>
          <w:rFonts w:ascii="Arial" w:hAnsi="Arial" w:cs="Arial"/>
          <w:color w:val="000000"/>
          <w:sz w:val="19"/>
          <w:szCs w:val="19"/>
          <w:lang w:val="es-ES"/>
        </w:rPr>
      </w:pPr>
    </w:p>
  </w:footnote>
  <w:footnote w:id="15">
    <w:p w14:paraId="7FBC5259" w14:textId="77777777" w:rsidR="00893407" w:rsidRPr="00AB133C" w:rsidRDefault="00893407" w:rsidP="00893407">
      <w:pPr>
        <w:pStyle w:val="Textonotapie"/>
        <w:ind w:firstLine="709"/>
        <w:jc w:val="both"/>
        <w:rPr>
          <w:rFonts w:ascii="Arial" w:hAnsi="Arial" w:cs="Arial"/>
          <w:color w:val="000000"/>
          <w:sz w:val="19"/>
          <w:szCs w:val="19"/>
          <w:lang w:val="es-ES"/>
        </w:rPr>
      </w:pPr>
      <w:r w:rsidRPr="00AB133C">
        <w:rPr>
          <w:rStyle w:val="Refdenotaalpie"/>
          <w:rFonts w:ascii="Arial" w:hAnsi="Arial" w:cs="Arial"/>
          <w:sz w:val="19"/>
          <w:szCs w:val="19"/>
        </w:rPr>
        <w:footnoteRef/>
      </w:r>
      <w:r w:rsidRPr="00AB133C">
        <w:rPr>
          <w:rFonts w:ascii="Arial" w:hAnsi="Arial" w:cs="Arial"/>
          <w:color w:val="000000"/>
          <w:sz w:val="19"/>
          <w:szCs w:val="19"/>
        </w:rPr>
        <w:t xml:space="preserve"> </w:t>
      </w:r>
      <w:r w:rsidRPr="00AB133C">
        <w:rPr>
          <w:rFonts w:ascii="Arial" w:hAnsi="Arial" w:cs="Arial"/>
          <w:i/>
          <w:color w:val="000000"/>
          <w:sz w:val="19"/>
          <w:szCs w:val="19"/>
          <w:lang w:val="es-ES"/>
        </w:rPr>
        <w:t>Ídem</w:t>
      </w:r>
      <w:r w:rsidRPr="00AB133C">
        <w:rPr>
          <w:rFonts w:ascii="Arial" w:hAnsi="Arial" w:cs="Arial"/>
          <w:color w:val="000000"/>
          <w:sz w:val="19"/>
          <w:szCs w:val="19"/>
          <w:lang w:val="es-ES"/>
        </w:rPr>
        <w:t>.</w:t>
      </w:r>
    </w:p>
  </w:footnote>
  <w:footnote w:id="16">
    <w:p w14:paraId="76B0161E" w14:textId="77777777" w:rsidR="00893407" w:rsidRDefault="00893407" w:rsidP="00893407">
      <w:pPr>
        <w:pStyle w:val="Textonotapie"/>
        <w:ind w:firstLine="709"/>
        <w:jc w:val="both"/>
        <w:rPr>
          <w:rFonts w:ascii="Arial" w:hAnsi="Arial" w:cs="Arial"/>
          <w:color w:val="000000"/>
          <w:sz w:val="19"/>
          <w:szCs w:val="19"/>
        </w:rPr>
      </w:pPr>
    </w:p>
    <w:p w14:paraId="5C4D6B6B" w14:textId="77777777" w:rsidR="00893407" w:rsidRPr="00AB133C" w:rsidRDefault="00893407" w:rsidP="00893407">
      <w:pPr>
        <w:pStyle w:val="Textonotapie"/>
        <w:ind w:firstLine="709"/>
        <w:jc w:val="both"/>
        <w:rPr>
          <w:rFonts w:ascii="Arial" w:hAnsi="Arial" w:cs="Arial"/>
          <w:color w:val="000000"/>
          <w:sz w:val="19"/>
          <w:szCs w:val="19"/>
          <w:lang w:val="es-ES"/>
        </w:rPr>
      </w:pPr>
      <w:r w:rsidRPr="00AB133C">
        <w:rPr>
          <w:rStyle w:val="Refdenotaalpie"/>
          <w:rFonts w:ascii="Arial" w:hAnsi="Arial" w:cs="Arial"/>
          <w:sz w:val="19"/>
          <w:szCs w:val="19"/>
        </w:rPr>
        <w:footnoteRef/>
      </w:r>
      <w:r w:rsidRPr="00AB133C">
        <w:rPr>
          <w:rStyle w:val="Refdenotaalpie"/>
          <w:rFonts w:ascii="Arial" w:hAnsi="Arial" w:cs="Arial"/>
          <w:color w:val="000000"/>
          <w:sz w:val="19"/>
          <w:szCs w:val="19"/>
        </w:rPr>
        <w:t xml:space="preserve"> </w:t>
      </w:r>
      <w:r w:rsidRPr="00AB133C">
        <w:rPr>
          <w:rFonts w:ascii="Arial" w:hAnsi="Arial" w:cs="Arial"/>
          <w:color w:val="000000"/>
          <w:sz w:val="19"/>
          <w:szCs w:val="19"/>
          <w:lang w:val="es-ES"/>
        </w:rPr>
        <w:t xml:space="preserve">«[…] A este respecto, cabe recordar que el artículo 860 del Código de Comercio regula la licitación en el derecho privado». </w:t>
      </w:r>
    </w:p>
  </w:footnote>
  <w:footnote w:id="17">
    <w:p w14:paraId="211EBEB7" w14:textId="77777777" w:rsidR="00893407" w:rsidRDefault="00893407" w:rsidP="00893407">
      <w:pPr>
        <w:shd w:val="clear" w:color="auto" w:fill="FFFFFF"/>
        <w:ind w:firstLine="709"/>
        <w:jc w:val="both"/>
        <w:rPr>
          <w:rFonts w:ascii="Arial" w:hAnsi="Arial" w:cs="Arial"/>
          <w:color w:val="000000"/>
          <w:sz w:val="19"/>
          <w:szCs w:val="19"/>
        </w:rPr>
      </w:pPr>
    </w:p>
    <w:p w14:paraId="338739F7" w14:textId="77777777" w:rsidR="00893407" w:rsidRPr="00AB133C" w:rsidRDefault="00893407" w:rsidP="00893407">
      <w:pPr>
        <w:shd w:val="clear" w:color="auto" w:fill="FFFFFF"/>
        <w:ind w:firstLine="709"/>
        <w:jc w:val="both"/>
        <w:rPr>
          <w:rFonts w:ascii="Arial" w:hAnsi="Arial" w:cs="Arial"/>
          <w:color w:val="000000"/>
          <w:sz w:val="19"/>
          <w:szCs w:val="19"/>
          <w:lang w:val="es-ES"/>
        </w:rPr>
      </w:pPr>
      <w:r w:rsidRPr="00AB133C">
        <w:rPr>
          <w:rStyle w:val="Refdenotaalpie"/>
          <w:rFonts w:ascii="Arial" w:hAnsi="Arial" w:cs="Arial"/>
          <w:sz w:val="19"/>
          <w:szCs w:val="19"/>
        </w:rPr>
        <w:footnoteRef/>
      </w:r>
      <w:r w:rsidRPr="00AB133C">
        <w:rPr>
          <w:rStyle w:val="Refdenotaalpie"/>
          <w:rFonts w:ascii="Arial" w:hAnsi="Arial" w:cs="Arial"/>
          <w:color w:val="000000"/>
          <w:sz w:val="19"/>
          <w:szCs w:val="19"/>
        </w:rPr>
        <w:t xml:space="preserve"> </w:t>
      </w:r>
      <w:r w:rsidRPr="00AB133C">
        <w:rPr>
          <w:rFonts w:ascii="Arial" w:hAnsi="Arial" w:cs="Arial"/>
          <w:color w:val="000000"/>
          <w:sz w:val="19"/>
          <w:szCs w:val="19"/>
          <w:lang w:val="es-ES"/>
        </w:rPr>
        <w:t xml:space="preserve">Consejo de Estado. Sala de Consulta y Servicio Civil, Concepto de 8 de mayo de 2018. Radicación Número: 11001-03-06-000-2018-00095-00(2382). Consejero Ponente: Álvaro </w:t>
      </w:r>
      <w:proofErr w:type="spellStart"/>
      <w:r w:rsidRPr="00AB133C">
        <w:rPr>
          <w:rFonts w:ascii="Arial" w:hAnsi="Arial" w:cs="Arial"/>
          <w:color w:val="000000"/>
          <w:sz w:val="19"/>
          <w:szCs w:val="19"/>
          <w:lang w:val="es-ES"/>
        </w:rPr>
        <w:t>Namén</w:t>
      </w:r>
      <w:proofErr w:type="spellEnd"/>
      <w:r w:rsidRPr="00AB133C">
        <w:rPr>
          <w:rFonts w:ascii="Arial" w:hAnsi="Arial" w:cs="Arial"/>
          <w:color w:val="000000"/>
          <w:sz w:val="19"/>
          <w:szCs w:val="19"/>
          <w:lang w:val="es-ES"/>
        </w:rPr>
        <w:t xml:space="preserve"> Vargas.</w:t>
      </w:r>
    </w:p>
  </w:footnote>
  <w:footnote w:id="18">
    <w:p w14:paraId="65C77725" w14:textId="77777777" w:rsidR="00893407" w:rsidRDefault="00893407" w:rsidP="00893407">
      <w:pPr>
        <w:pStyle w:val="Textonotapie"/>
        <w:ind w:firstLine="709"/>
        <w:jc w:val="both"/>
        <w:rPr>
          <w:rFonts w:ascii="Arial" w:hAnsi="Arial" w:cs="Arial"/>
          <w:color w:val="000000"/>
          <w:sz w:val="19"/>
          <w:szCs w:val="19"/>
        </w:rPr>
      </w:pPr>
      <w:r w:rsidRPr="00AB133C">
        <w:rPr>
          <w:rStyle w:val="Refdenotaalpie"/>
          <w:rFonts w:ascii="Arial" w:hAnsi="Arial" w:cs="Arial"/>
          <w:sz w:val="19"/>
          <w:szCs w:val="19"/>
        </w:rPr>
        <w:footnoteRef/>
      </w:r>
      <w:r w:rsidRPr="00AB133C">
        <w:rPr>
          <w:rFonts w:ascii="Arial" w:hAnsi="Arial" w:cs="Arial"/>
          <w:color w:val="000000"/>
          <w:sz w:val="19"/>
          <w:szCs w:val="19"/>
        </w:rPr>
        <w:t xml:space="preserve"> Consejo de Estado. Sala de Consulta y Servicio Civil. Concepto del 08 de mayo de 2018. </w:t>
      </w:r>
      <w:proofErr w:type="spellStart"/>
      <w:r w:rsidRPr="00AB133C">
        <w:rPr>
          <w:rFonts w:ascii="Arial" w:hAnsi="Arial" w:cs="Arial"/>
          <w:color w:val="000000"/>
          <w:sz w:val="19"/>
          <w:szCs w:val="19"/>
        </w:rPr>
        <w:t>Exp</w:t>
      </w:r>
      <w:proofErr w:type="spellEnd"/>
      <w:r w:rsidRPr="00AB133C">
        <w:rPr>
          <w:rFonts w:ascii="Arial" w:hAnsi="Arial" w:cs="Arial"/>
          <w:color w:val="000000"/>
          <w:sz w:val="19"/>
          <w:szCs w:val="19"/>
        </w:rPr>
        <w:t xml:space="preserve">. 2.382. C.P. Álvaro </w:t>
      </w:r>
      <w:proofErr w:type="spellStart"/>
      <w:r w:rsidRPr="00AB133C">
        <w:rPr>
          <w:rFonts w:ascii="Arial" w:hAnsi="Arial" w:cs="Arial"/>
          <w:color w:val="000000"/>
          <w:sz w:val="19"/>
          <w:szCs w:val="19"/>
        </w:rPr>
        <w:t>Namén</w:t>
      </w:r>
      <w:proofErr w:type="spellEnd"/>
      <w:r w:rsidRPr="00AB133C">
        <w:rPr>
          <w:rFonts w:ascii="Arial" w:hAnsi="Arial" w:cs="Arial"/>
          <w:color w:val="000000"/>
          <w:sz w:val="19"/>
          <w:szCs w:val="19"/>
        </w:rPr>
        <w:t xml:space="preserve"> Vargas.</w:t>
      </w:r>
    </w:p>
    <w:p w14:paraId="3032AC0C" w14:textId="77777777" w:rsidR="00893407" w:rsidRPr="00AB133C" w:rsidRDefault="00893407" w:rsidP="00893407">
      <w:pPr>
        <w:pStyle w:val="Textonotapie"/>
        <w:ind w:firstLine="709"/>
        <w:jc w:val="both"/>
        <w:rPr>
          <w:rFonts w:ascii="Arial" w:hAnsi="Arial" w:cs="Arial"/>
          <w:color w:val="000000"/>
          <w:sz w:val="19"/>
          <w:szCs w:val="19"/>
        </w:rPr>
      </w:pPr>
    </w:p>
  </w:footnote>
  <w:footnote w:id="19">
    <w:p w14:paraId="22FF0787" w14:textId="77777777" w:rsidR="00893407" w:rsidRPr="00AB133C" w:rsidRDefault="00893407" w:rsidP="00893407">
      <w:pPr>
        <w:pStyle w:val="Textonotapie"/>
        <w:ind w:firstLine="709"/>
        <w:jc w:val="both"/>
        <w:rPr>
          <w:rFonts w:ascii="Arial" w:hAnsi="Arial" w:cs="Arial"/>
          <w:color w:val="000000"/>
          <w:sz w:val="19"/>
          <w:szCs w:val="19"/>
        </w:rPr>
      </w:pPr>
      <w:r w:rsidRPr="00AB133C">
        <w:rPr>
          <w:rStyle w:val="Refdenotaalpie"/>
          <w:rFonts w:ascii="Arial" w:hAnsi="Arial" w:cs="Arial"/>
          <w:sz w:val="19"/>
          <w:szCs w:val="19"/>
        </w:rPr>
        <w:footnoteRef/>
      </w:r>
      <w:r w:rsidRPr="00AB133C">
        <w:rPr>
          <w:rFonts w:ascii="Arial" w:hAnsi="Arial" w:cs="Arial"/>
          <w:color w:val="000000"/>
          <w:sz w:val="19"/>
          <w:szCs w:val="19"/>
        </w:rPr>
        <w:t xml:space="preserve"> Cfr. Concepto C-757 del 30 de diciembre de 2021.</w:t>
      </w:r>
    </w:p>
  </w:footnote>
  <w:footnote w:id="20">
    <w:p w14:paraId="2CD07E3E" w14:textId="77777777" w:rsidR="00893407" w:rsidRPr="00AB133C" w:rsidRDefault="00893407" w:rsidP="00893407">
      <w:pPr>
        <w:pStyle w:val="Textonotapie"/>
        <w:ind w:firstLine="709"/>
        <w:jc w:val="both"/>
        <w:rPr>
          <w:rFonts w:ascii="Arial" w:hAnsi="Arial" w:cs="Arial"/>
          <w:color w:val="000000"/>
          <w:sz w:val="19"/>
          <w:szCs w:val="19"/>
        </w:rPr>
      </w:pPr>
    </w:p>
    <w:p w14:paraId="5587CCD7" w14:textId="77777777" w:rsidR="00893407" w:rsidRDefault="00893407" w:rsidP="00893407">
      <w:pPr>
        <w:pStyle w:val="Textonotapie"/>
        <w:ind w:firstLine="709"/>
        <w:jc w:val="both"/>
        <w:rPr>
          <w:rFonts w:ascii="Arial" w:hAnsi="Arial" w:cs="Arial"/>
          <w:color w:val="000000"/>
          <w:sz w:val="19"/>
          <w:szCs w:val="19"/>
        </w:rPr>
      </w:pPr>
      <w:r w:rsidRPr="00AB133C">
        <w:rPr>
          <w:rStyle w:val="Refdenotaalpie"/>
          <w:rFonts w:ascii="Arial" w:hAnsi="Arial" w:cs="Arial"/>
          <w:sz w:val="19"/>
          <w:szCs w:val="19"/>
        </w:rPr>
        <w:footnoteRef/>
      </w:r>
      <w:r w:rsidRPr="00AB133C">
        <w:rPr>
          <w:rFonts w:ascii="Arial" w:hAnsi="Arial" w:cs="Arial"/>
          <w:color w:val="000000"/>
          <w:sz w:val="19"/>
          <w:szCs w:val="19"/>
        </w:rPr>
        <w:t xml:space="preserve"> La Corte Constitucional mediante Sentencia C-1153-05 de 11 de noviembre de 2005, Magistrado Ponente Marco Gerardo Monroy Cabra, efectuó el Control constitucional al Proyecto de Ley Estatutaria </w:t>
      </w:r>
      <w:proofErr w:type="spellStart"/>
      <w:r w:rsidRPr="00AB133C">
        <w:rPr>
          <w:rFonts w:ascii="Arial" w:hAnsi="Arial" w:cs="Arial"/>
          <w:color w:val="000000"/>
          <w:sz w:val="19"/>
          <w:szCs w:val="19"/>
        </w:rPr>
        <w:t>N°</w:t>
      </w:r>
      <w:proofErr w:type="spellEnd"/>
      <w:r w:rsidRPr="00AB133C">
        <w:rPr>
          <w:rFonts w:ascii="Arial" w:hAnsi="Arial" w:cs="Arial"/>
          <w:color w:val="000000"/>
          <w:sz w:val="19"/>
          <w:szCs w:val="19"/>
        </w:rPr>
        <w:t xml:space="preserve"> 216/05 Senado, </w:t>
      </w:r>
      <w:proofErr w:type="spellStart"/>
      <w:r w:rsidRPr="00AB133C">
        <w:rPr>
          <w:rFonts w:ascii="Arial" w:hAnsi="Arial" w:cs="Arial"/>
          <w:color w:val="000000"/>
          <w:sz w:val="19"/>
          <w:szCs w:val="19"/>
        </w:rPr>
        <w:t>N°</w:t>
      </w:r>
      <w:proofErr w:type="spellEnd"/>
      <w:r w:rsidRPr="00AB133C">
        <w:rPr>
          <w:rFonts w:ascii="Arial" w:hAnsi="Arial" w:cs="Arial"/>
          <w:color w:val="000000"/>
          <w:sz w:val="19"/>
          <w:szCs w:val="19"/>
        </w:rPr>
        <w:t xml:space="preserve"> 235-Cámara que dio lugar a la Ley de Garantías Electorales.</w:t>
      </w:r>
    </w:p>
    <w:p w14:paraId="55CA3669" w14:textId="77777777" w:rsidR="00893407" w:rsidRPr="00AB133C" w:rsidRDefault="00893407" w:rsidP="00893407">
      <w:pPr>
        <w:pStyle w:val="Textonotapie"/>
        <w:ind w:firstLine="709"/>
        <w:jc w:val="both"/>
        <w:rPr>
          <w:rFonts w:ascii="Arial" w:hAnsi="Arial" w:cs="Arial"/>
          <w:color w:val="000000"/>
          <w:sz w:val="19"/>
          <w:szCs w:val="19"/>
        </w:rPr>
      </w:pPr>
    </w:p>
  </w:footnote>
  <w:footnote w:id="21">
    <w:p w14:paraId="49963FF9" w14:textId="77777777" w:rsidR="00893407" w:rsidRPr="00AB133C" w:rsidRDefault="00893407" w:rsidP="00893407">
      <w:pPr>
        <w:ind w:firstLine="709"/>
        <w:jc w:val="both"/>
        <w:rPr>
          <w:rFonts w:ascii="Arial" w:hAnsi="Arial" w:cs="Arial"/>
          <w:sz w:val="19"/>
          <w:szCs w:val="19"/>
        </w:rPr>
      </w:pPr>
      <w:r w:rsidRPr="00AB133C">
        <w:rPr>
          <w:rStyle w:val="Refdenotaalpie"/>
          <w:rFonts w:ascii="Arial" w:hAnsi="Arial" w:cs="Arial"/>
          <w:sz w:val="19"/>
          <w:szCs w:val="19"/>
        </w:rPr>
        <w:footnoteRef/>
      </w:r>
      <w:r w:rsidRPr="00AB133C">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2">
    <w:p w14:paraId="24210787" w14:textId="77777777" w:rsidR="00893407" w:rsidRDefault="00893407" w:rsidP="00893407">
      <w:pPr>
        <w:pStyle w:val="Textonotapie"/>
        <w:ind w:right="51" w:firstLine="709"/>
        <w:jc w:val="both"/>
        <w:rPr>
          <w:rFonts w:ascii="Arial" w:eastAsia="Times New Roman" w:hAnsi="Arial" w:cs="Arial"/>
          <w:sz w:val="19"/>
          <w:szCs w:val="19"/>
          <w:lang w:eastAsia="x-none"/>
        </w:rPr>
      </w:pPr>
      <w:r w:rsidRPr="00AB133C">
        <w:rPr>
          <w:rStyle w:val="Refdenotaalpie"/>
          <w:rFonts w:ascii="Arial" w:hAnsi="Arial" w:cs="Arial"/>
          <w:sz w:val="19"/>
          <w:szCs w:val="19"/>
        </w:rPr>
        <w:footnoteRef/>
      </w:r>
      <w:r w:rsidRPr="00AB133C">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r w:rsidRPr="00AB133C">
        <w:rPr>
          <w:rFonts w:ascii="Arial" w:eastAsia="Times New Roman" w:hAnsi="Arial" w:cs="Arial"/>
          <w:sz w:val="19"/>
          <w:szCs w:val="19"/>
          <w:lang w:eastAsia="x-none"/>
        </w:rPr>
        <w:t xml:space="preserve"> «</w:t>
      </w:r>
      <w:r w:rsidRPr="00AB133C">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AB133C">
        <w:rPr>
          <w:rFonts w:ascii="Arial" w:eastAsia="Times New Roman" w:hAnsi="Arial" w:cs="Arial"/>
          <w:sz w:val="19"/>
          <w:szCs w:val="19"/>
          <w:lang w:eastAsia="x-none"/>
        </w:rPr>
        <w:t>».</w:t>
      </w:r>
    </w:p>
    <w:p w14:paraId="222A983E" w14:textId="77777777" w:rsidR="00893407" w:rsidRPr="00AB133C" w:rsidRDefault="00893407" w:rsidP="00893407">
      <w:pPr>
        <w:pStyle w:val="Textonotapie"/>
        <w:ind w:right="51" w:firstLine="709"/>
        <w:jc w:val="both"/>
        <w:rPr>
          <w:rFonts w:ascii="Arial" w:hAnsi="Arial" w:cs="Arial"/>
          <w:sz w:val="19"/>
          <w:szCs w:val="19"/>
        </w:rPr>
      </w:pPr>
    </w:p>
  </w:footnote>
  <w:footnote w:id="23">
    <w:p w14:paraId="571F3FF7" w14:textId="77777777" w:rsidR="00893407" w:rsidRPr="00AB133C" w:rsidRDefault="00893407" w:rsidP="00893407">
      <w:pPr>
        <w:pStyle w:val="Textonotapie"/>
        <w:ind w:right="51" w:firstLine="709"/>
        <w:jc w:val="both"/>
        <w:rPr>
          <w:rFonts w:ascii="Arial" w:hAnsi="Arial" w:cs="Arial"/>
          <w:sz w:val="19"/>
          <w:szCs w:val="19"/>
        </w:rPr>
      </w:pPr>
      <w:r w:rsidRPr="00AB133C">
        <w:rPr>
          <w:rStyle w:val="Refdenotaalpie"/>
          <w:rFonts w:ascii="Arial" w:hAnsi="Arial" w:cs="Arial"/>
          <w:sz w:val="19"/>
          <w:szCs w:val="19"/>
        </w:rPr>
        <w:footnoteRef/>
      </w:r>
      <w:r w:rsidRPr="00AB133C">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p w14:paraId="64E5BE78" w14:textId="77777777" w:rsidR="00893407" w:rsidRPr="00AB133C" w:rsidRDefault="00893407" w:rsidP="00893407">
      <w:pPr>
        <w:pStyle w:val="Textonotapie"/>
        <w:ind w:right="51" w:firstLine="709"/>
        <w:jc w:val="both"/>
        <w:rPr>
          <w:rFonts w:ascii="Arial" w:hAnsi="Arial" w:cs="Arial"/>
          <w:sz w:val="19"/>
          <w:szCs w:val="19"/>
        </w:rPr>
      </w:pPr>
    </w:p>
  </w:footnote>
  <w:footnote w:id="24">
    <w:p w14:paraId="5CC8F655" w14:textId="77777777" w:rsidR="00893407" w:rsidRPr="00AB133C" w:rsidRDefault="00893407" w:rsidP="00893407">
      <w:pPr>
        <w:pStyle w:val="Textonotapie"/>
        <w:ind w:right="51" w:firstLine="709"/>
        <w:jc w:val="both"/>
        <w:rPr>
          <w:rFonts w:ascii="Arial" w:hAnsi="Arial" w:cs="Arial"/>
          <w:sz w:val="19"/>
          <w:szCs w:val="19"/>
        </w:rPr>
      </w:pPr>
      <w:r w:rsidRPr="00AB133C">
        <w:rPr>
          <w:rStyle w:val="Refdenotaalpie"/>
          <w:rFonts w:ascii="Arial" w:hAnsi="Arial" w:cs="Arial"/>
          <w:sz w:val="19"/>
          <w:szCs w:val="19"/>
        </w:rPr>
        <w:footnoteRef/>
      </w:r>
      <w:r w:rsidRPr="00AB133C">
        <w:rPr>
          <w:rFonts w:ascii="Arial" w:hAnsi="Arial" w:cs="Arial"/>
          <w:sz w:val="19"/>
          <w:szCs w:val="19"/>
        </w:rPr>
        <w:t xml:space="preserve"> Consejo de Estado. Sala de Consulta y Servicio Civil, ídem.</w:t>
      </w:r>
    </w:p>
  </w:footnote>
  <w:footnote w:id="25">
    <w:p w14:paraId="249EF492" w14:textId="77777777" w:rsidR="00893407" w:rsidRDefault="00893407" w:rsidP="00893407">
      <w:pPr>
        <w:pStyle w:val="Textonotapie"/>
        <w:ind w:firstLine="709"/>
        <w:jc w:val="both"/>
        <w:rPr>
          <w:rFonts w:ascii="Arial" w:hAnsi="Arial" w:cs="Arial"/>
          <w:color w:val="000000" w:themeColor="text1"/>
          <w:sz w:val="19"/>
          <w:szCs w:val="19"/>
          <w:lang w:val="es-CO"/>
        </w:rPr>
      </w:pPr>
      <w:r w:rsidRPr="00AB133C">
        <w:rPr>
          <w:rStyle w:val="Refdenotaalpie"/>
          <w:rFonts w:ascii="Arial" w:hAnsi="Arial" w:cs="Arial"/>
          <w:sz w:val="19"/>
          <w:szCs w:val="19"/>
        </w:rPr>
        <w:footnoteRef/>
      </w:r>
      <w:r w:rsidRPr="00AB133C">
        <w:rPr>
          <w:rFonts w:ascii="Arial" w:hAnsi="Arial" w:cs="Arial"/>
          <w:color w:val="000000" w:themeColor="text1"/>
          <w:sz w:val="19"/>
          <w:szCs w:val="19"/>
          <w:lang w:val="es-CO"/>
        </w:rPr>
        <w:t xml:space="preserve"> FIGUEROA U. Organismos internacionales. 2ª edición. Santiago de Chile: Editorial RIL editores, 2010.</w:t>
      </w:r>
    </w:p>
    <w:p w14:paraId="011948C7" w14:textId="77777777" w:rsidR="00893407" w:rsidRPr="00AB133C" w:rsidRDefault="00893407" w:rsidP="00893407">
      <w:pPr>
        <w:pStyle w:val="Textonotapie"/>
        <w:ind w:firstLine="709"/>
        <w:jc w:val="both"/>
        <w:rPr>
          <w:rFonts w:ascii="Arial" w:hAnsi="Arial" w:cs="Arial"/>
          <w:color w:val="000000" w:themeColor="text1"/>
          <w:sz w:val="19"/>
          <w:szCs w:val="19"/>
          <w:lang w:val="es-CO"/>
        </w:rPr>
      </w:pPr>
    </w:p>
  </w:footnote>
  <w:footnote w:id="26">
    <w:p w14:paraId="4209B590" w14:textId="77777777" w:rsidR="00893407" w:rsidRPr="00AB133C" w:rsidRDefault="00893407" w:rsidP="00893407">
      <w:pPr>
        <w:pStyle w:val="NormalWeb"/>
        <w:spacing w:before="0" w:beforeAutospacing="0" w:after="0" w:afterAutospacing="0"/>
        <w:ind w:firstLine="709"/>
        <w:jc w:val="both"/>
        <w:rPr>
          <w:rFonts w:ascii="Arial" w:hAnsi="Arial" w:cs="Arial"/>
          <w:color w:val="000000" w:themeColor="text1"/>
          <w:sz w:val="19"/>
          <w:szCs w:val="19"/>
        </w:rPr>
      </w:pPr>
      <w:r w:rsidRPr="00AB133C">
        <w:rPr>
          <w:rStyle w:val="Refdenotaalpie"/>
          <w:rFonts w:ascii="Arial" w:hAnsi="Arial" w:cs="Arial"/>
          <w:sz w:val="19"/>
          <w:szCs w:val="19"/>
        </w:rPr>
        <w:footnoteRef/>
      </w:r>
      <w:r w:rsidRPr="00AB133C">
        <w:rPr>
          <w:rFonts w:ascii="Arial" w:hAnsi="Arial" w:cs="Arial"/>
          <w:color w:val="000000" w:themeColor="text1"/>
          <w:sz w:val="19"/>
          <w:szCs w:val="19"/>
        </w:rPr>
        <w:t xml:space="preserve"> Ley 80 de 1993: «Artículo 13. De la normatividad aplicable a los contratos estatales. Los contratos que celebren las entidades a que se refiere el artículo </w:t>
      </w:r>
      <w:hyperlink r:id="rId1" w:anchor="2" w:history="1">
        <w:r w:rsidRPr="00AB133C">
          <w:t>2</w:t>
        </w:r>
      </w:hyperlink>
      <w:r w:rsidRPr="00AB133C">
        <w:rPr>
          <w:rFonts w:ascii="Arial" w:hAnsi="Arial" w:cs="Arial"/>
          <w:color w:val="000000" w:themeColor="text1"/>
          <w:sz w:val="19"/>
          <w:szCs w:val="19"/>
        </w:rPr>
        <w:t>o. del presente estatuto se regirán por las disposiciones comerciales y civiles pertinentes, salvo en las materias particularmente reguladas en esta ley.</w:t>
      </w:r>
    </w:p>
    <w:p w14:paraId="098722CB" w14:textId="77777777" w:rsidR="00893407" w:rsidRPr="00AB133C" w:rsidRDefault="00893407" w:rsidP="00893407">
      <w:pPr>
        <w:pStyle w:val="NormalWeb"/>
        <w:spacing w:before="0" w:beforeAutospacing="0" w:after="0" w:afterAutospacing="0"/>
        <w:ind w:firstLine="709"/>
        <w:jc w:val="both"/>
        <w:rPr>
          <w:rFonts w:ascii="Arial" w:hAnsi="Arial" w:cs="Arial"/>
          <w:color w:val="000000" w:themeColor="text1"/>
          <w:sz w:val="19"/>
          <w:szCs w:val="19"/>
        </w:rPr>
      </w:pPr>
      <w:proofErr w:type="gramStart"/>
      <w:r w:rsidRPr="00AB133C">
        <w:rPr>
          <w:rFonts w:ascii="Arial" w:hAnsi="Arial" w:cs="Arial"/>
          <w:color w:val="000000" w:themeColor="text1"/>
          <w:sz w:val="19"/>
          <w:szCs w:val="19"/>
        </w:rPr>
        <w:t>»Los</w:t>
      </w:r>
      <w:proofErr w:type="gramEnd"/>
      <w:r w:rsidRPr="00AB133C">
        <w:rPr>
          <w:rFonts w:ascii="Arial" w:hAnsi="Arial" w:cs="Arial"/>
          <w:color w:val="000000" w:themeColor="text1"/>
          <w:sz w:val="19"/>
          <w:szCs w:val="19"/>
        </w:rPr>
        <w:t xml:space="preserve"> contratos celebrados en el exterior se podrán regir en su ejecución por las reglas del país en donde se hayan suscrito, a menos que deban cumplirse en Colombia»</w:t>
      </w:r>
    </w:p>
    <w:p w14:paraId="204E7DA5" w14:textId="77777777" w:rsidR="00893407" w:rsidRPr="00AB133C" w:rsidRDefault="00893407" w:rsidP="00893407">
      <w:pPr>
        <w:pStyle w:val="NormalWeb"/>
        <w:spacing w:before="0" w:beforeAutospacing="0" w:after="0" w:afterAutospacing="0"/>
        <w:ind w:firstLine="709"/>
        <w:jc w:val="both"/>
        <w:rPr>
          <w:rFonts w:ascii="Arial" w:hAnsi="Arial" w:cs="Arial"/>
          <w:color w:val="000000" w:themeColor="text1"/>
          <w:sz w:val="19"/>
          <w:szCs w:val="19"/>
        </w:rPr>
      </w:pPr>
      <w:proofErr w:type="gramStart"/>
      <w:r w:rsidRPr="00AB133C">
        <w:rPr>
          <w:rFonts w:ascii="Arial" w:hAnsi="Arial" w:cs="Arial"/>
          <w:color w:val="000000" w:themeColor="text1"/>
          <w:sz w:val="19"/>
          <w:szCs w:val="19"/>
        </w:rPr>
        <w:t>»Los</w:t>
      </w:r>
      <w:proofErr w:type="gramEnd"/>
      <w:r w:rsidRPr="00AB133C">
        <w:rPr>
          <w:rFonts w:ascii="Arial" w:hAnsi="Arial" w:cs="Arial"/>
          <w:color w:val="000000" w:themeColor="text1"/>
          <w:sz w:val="19"/>
          <w:szCs w:val="19"/>
        </w:rPr>
        <w:t xml:space="preserve"> contratos que se celebren en Colombia y deban ejecutarse o cumplirse en el extranjero, podrán someterse a la ley extranjera».</w:t>
      </w:r>
    </w:p>
  </w:footnote>
  <w:footnote w:id="27">
    <w:p w14:paraId="7E36E9BF" w14:textId="77777777" w:rsidR="00893407" w:rsidRDefault="00893407" w:rsidP="00893407">
      <w:pPr>
        <w:pStyle w:val="Textonotapie"/>
        <w:ind w:firstLine="709"/>
        <w:jc w:val="both"/>
        <w:rPr>
          <w:rFonts w:ascii="Arial" w:hAnsi="Arial" w:cs="Arial"/>
          <w:color w:val="000000" w:themeColor="text1"/>
          <w:sz w:val="19"/>
          <w:szCs w:val="19"/>
          <w:lang w:val="es-CO"/>
        </w:rPr>
      </w:pPr>
      <w:r w:rsidRPr="00AB133C">
        <w:rPr>
          <w:rStyle w:val="Refdenotaalpie"/>
          <w:rFonts w:ascii="Arial" w:hAnsi="Arial" w:cs="Arial"/>
          <w:sz w:val="19"/>
          <w:szCs w:val="19"/>
        </w:rPr>
        <w:footnoteRef/>
      </w:r>
      <w:r w:rsidRPr="00AB133C">
        <w:rPr>
          <w:rFonts w:ascii="Arial" w:hAnsi="Arial" w:cs="Arial"/>
          <w:color w:val="000000" w:themeColor="text1"/>
          <w:sz w:val="19"/>
          <w:szCs w:val="19"/>
        </w:rPr>
        <w:t xml:space="preserve"> Consejo de Estado. Sección Tercera, Subsección C. Sentencia del 26 de noviembre de 2015. </w:t>
      </w:r>
      <w:proofErr w:type="spellStart"/>
      <w:r w:rsidRPr="00AB133C">
        <w:rPr>
          <w:rFonts w:ascii="Arial" w:hAnsi="Arial" w:cs="Arial"/>
          <w:color w:val="000000" w:themeColor="text1"/>
          <w:sz w:val="19"/>
          <w:szCs w:val="19"/>
          <w:lang w:val="es-ES_tradnl"/>
        </w:rPr>
        <w:t>Exp</w:t>
      </w:r>
      <w:proofErr w:type="spellEnd"/>
      <w:r w:rsidRPr="00AB133C">
        <w:rPr>
          <w:rFonts w:ascii="Arial" w:hAnsi="Arial" w:cs="Arial"/>
          <w:color w:val="000000" w:themeColor="text1"/>
          <w:sz w:val="19"/>
          <w:szCs w:val="19"/>
          <w:lang w:val="es-ES_tradnl"/>
        </w:rPr>
        <w:t xml:space="preserve">. </w:t>
      </w:r>
      <w:r w:rsidRPr="00AB133C">
        <w:rPr>
          <w:rFonts w:ascii="Arial" w:hAnsi="Arial" w:cs="Arial"/>
          <w:color w:val="000000" w:themeColor="text1"/>
          <w:sz w:val="19"/>
          <w:szCs w:val="19"/>
          <w:lang w:val="es-CO"/>
        </w:rPr>
        <w:t xml:space="preserve">54.069. C.P Jaime Orlando Santofimio Gamboa. </w:t>
      </w:r>
    </w:p>
    <w:p w14:paraId="1BB2372E" w14:textId="77777777" w:rsidR="00893407" w:rsidRPr="00AB133C" w:rsidRDefault="00893407" w:rsidP="00893407">
      <w:pPr>
        <w:pStyle w:val="Textonotapie"/>
        <w:ind w:firstLine="709"/>
        <w:jc w:val="both"/>
        <w:rPr>
          <w:rFonts w:ascii="Arial" w:hAnsi="Arial" w:cs="Arial"/>
          <w:color w:val="000000" w:themeColor="text1"/>
          <w:sz w:val="19"/>
          <w:szCs w:val="19"/>
          <w:lang w:val="es-ES_tradnl"/>
        </w:rPr>
      </w:pPr>
    </w:p>
  </w:footnote>
  <w:footnote w:id="28">
    <w:p w14:paraId="1EFB9DAE" w14:textId="77777777" w:rsidR="00893407" w:rsidRPr="00AB133C" w:rsidRDefault="00893407" w:rsidP="00893407">
      <w:pPr>
        <w:pStyle w:val="Textonotapie"/>
        <w:ind w:firstLine="709"/>
        <w:jc w:val="both"/>
        <w:rPr>
          <w:rFonts w:ascii="Arial" w:hAnsi="Arial" w:cs="Arial"/>
          <w:color w:val="000000" w:themeColor="text1"/>
          <w:sz w:val="19"/>
          <w:szCs w:val="19"/>
          <w:lang w:eastAsia="es-CO"/>
        </w:rPr>
      </w:pPr>
      <w:r w:rsidRPr="00AB133C">
        <w:rPr>
          <w:rStyle w:val="Refdenotaalpie"/>
          <w:rFonts w:ascii="Arial" w:hAnsi="Arial" w:cs="Arial"/>
          <w:sz w:val="19"/>
          <w:szCs w:val="19"/>
        </w:rPr>
        <w:footnoteRef/>
      </w:r>
      <w:r w:rsidRPr="00AB133C">
        <w:rPr>
          <w:rFonts w:ascii="Arial" w:hAnsi="Arial" w:cs="Arial"/>
          <w:color w:val="000000" w:themeColor="text1"/>
          <w:sz w:val="19"/>
          <w:szCs w:val="19"/>
        </w:rPr>
        <w:t xml:space="preserve"> </w:t>
      </w:r>
      <w:r w:rsidRPr="00AB133C">
        <w:rPr>
          <w:rFonts w:ascii="Arial" w:hAnsi="Arial" w:cs="Arial"/>
          <w:color w:val="000000" w:themeColor="text1"/>
          <w:sz w:val="19"/>
          <w:szCs w:val="19"/>
          <w:lang w:eastAsia="es-CO"/>
        </w:rPr>
        <w:t>«Los contratos financiados con fondos de los organismos multilaterales de crédito o celebrados con personas extranjeras de derecho público u organismos de cooperación, asistencia o ayuda internacionales, podrán someterse a los reglamentos de tales entidades en todo lo relacionado con procedimientos de formación y adjudicación y cláusulas especiales de ejecución, cumplimiento, pago y ajustes». (Derogado por el artículo 32 de la Ley 1150 de 2007).</w:t>
      </w:r>
    </w:p>
  </w:footnote>
  <w:footnote w:id="29">
    <w:p w14:paraId="35DCD801" w14:textId="77777777" w:rsidR="00893407" w:rsidRDefault="00893407" w:rsidP="00893407">
      <w:pPr>
        <w:pStyle w:val="NormalWeb"/>
        <w:spacing w:before="0" w:beforeAutospacing="0" w:after="0" w:afterAutospacing="0"/>
        <w:ind w:firstLine="709"/>
        <w:jc w:val="both"/>
        <w:rPr>
          <w:rFonts w:ascii="Arial" w:hAnsi="Arial" w:cs="Arial"/>
          <w:color w:val="000000" w:themeColor="text1"/>
          <w:sz w:val="19"/>
          <w:szCs w:val="19"/>
        </w:rPr>
      </w:pPr>
    </w:p>
    <w:p w14:paraId="74577640" w14:textId="77777777" w:rsidR="00893407" w:rsidRPr="00AB133C" w:rsidRDefault="00893407" w:rsidP="00893407">
      <w:pPr>
        <w:pStyle w:val="NormalWeb"/>
        <w:spacing w:before="0" w:beforeAutospacing="0" w:after="0" w:afterAutospacing="0"/>
        <w:ind w:firstLine="709"/>
        <w:jc w:val="both"/>
        <w:rPr>
          <w:rFonts w:ascii="Arial" w:hAnsi="Arial" w:cs="Arial"/>
          <w:color w:val="000000" w:themeColor="text1"/>
          <w:sz w:val="19"/>
          <w:szCs w:val="19"/>
        </w:rPr>
      </w:pPr>
      <w:r w:rsidRPr="00AB133C">
        <w:rPr>
          <w:rStyle w:val="Refdenotaalpie"/>
          <w:rFonts w:ascii="Arial" w:hAnsi="Arial" w:cs="Arial"/>
          <w:sz w:val="19"/>
          <w:szCs w:val="19"/>
        </w:rPr>
        <w:footnoteRef/>
      </w:r>
      <w:r w:rsidRPr="00AB133C">
        <w:rPr>
          <w:rFonts w:ascii="Arial" w:hAnsi="Arial" w:cs="Arial"/>
          <w:color w:val="000000" w:themeColor="text1"/>
          <w:sz w:val="19"/>
          <w:szCs w:val="19"/>
        </w:rPr>
        <w:t xml:space="preserve"> Ley 1150 de 2007. «Artículo 20: 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de 1993. Los recursos de contrapartida vinculados a estas operaciones podrán tener el mismo tratamiento.</w:t>
      </w:r>
    </w:p>
    <w:p w14:paraId="5A6077EC" w14:textId="77777777" w:rsidR="00893407" w:rsidRPr="00AB133C" w:rsidRDefault="00893407" w:rsidP="00893407">
      <w:pPr>
        <w:pStyle w:val="NormalWeb"/>
        <w:spacing w:before="0" w:beforeAutospacing="0" w:after="0" w:afterAutospacing="0"/>
        <w:ind w:firstLine="709"/>
        <w:jc w:val="both"/>
        <w:rPr>
          <w:rFonts w:ascii="Arial" w:hAnsi="Arial" w:cs="Arial"/>
          <w:color w:val="000000" w:themeColor="text1"/>
          <w:sz w:val="19"/>
          <w:szCs w:val="19"/>
        </w:rPr>
      </w:pPr>
      <w:r w:rsidRPr="00AB133C">
        <w:rPr>
          <w:rFonts w:ascii="Arial" w:hAnsi="Arial" w:cs="Arial"/>
          <w:color w:val="000000" w:themeColor="text1"/>
          <w:sz w:val="19"/>
          <w:szCs w:val="19"/>
        </w:rPr>
        <w:t>»Los 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p>
    <w:p w14:paraId="41E5908B" w14:textId="77777777" w:rsidR="00893407" w:rsidRPr="00AB133C" w:rsidRDefault="00893407" w:rsidP="00893407">
      <w:pPr>
        <w:pStyle w:val="NormalWeb"/>
        <w:spacing w:before="0" w:beforeAutospacing="0" w:after="0" w:afterAutospacing="0"/>
        <w:ind w:firstLine="709"/>
        <w:jc w:val="both"/>
        <w:rPr>
          <w:rFonts w:ascii="Arial" w:hAnsi="Arial" w:cs="Arial"/>
          <w:color w:val="000000" w:themeColor="text1"/>
          <w:sz w:val="19"/>
          <w:szCs w:val="19"/>
        </w:rPr>
      </w:pPr>
      <w:proofErr w:type="gramStart"/>
      <w:r w:rsidRPr="00AB133C">
        <w:rPr>
          <w:rFonts w:ascii="Arial" w:hAnsi="Arial" w:cs="Arial"/>
          <w:color w:val="000000" w:themeColor="text1"/>
          <w:sz w:val="19"/>
          <w:szCs w:val="19"/>
        </w:rPr>
        <w:t>»Las</w:t>
      </w:r>
      <w:proofErr w:type="gramEnd"/>
      <w:r w:rsidRPr="00AB133C">
        <w:rPr>
          <w:rFonts w:ascii="Arial" w:hAnsi="Arial" w:cs="Arial"/>
          <w:color w:val="000000" w:themeColor="text1"/>
          <w:sz w:val="19"/>
          <w:szCs w:val="19"/>
        </w:rPr>
        <w:t xml:space="preserve"> entidades estatales no podrán celebrar contratos o convenios para la administración o gerencia de sus recursos propios o de aquellos que les asignen los presupuestos públicos, con organismos de cooperación, asistencia o ayuda internacional.</w:t>
      </w:r>
    </w:p>
    <w:p w14:paraId="1EE70F59" w14:textId="77777777" w:rsidR="00893407" w:rsidRPr="00AB133C" w:rsidRDefault="00893407" w:rsidP="00893407">
      <w:pPr>
        <w:pStyle w:val="NormalWeb"/>
        <w:spacing w:before="0" w:beforeAutospacing="0" w:after="0" w:afterAutospacing="0"/>
        <w:ind w:firstLine="709"/>
        <w:jc w:val="both"/>
        <w:rPr>
          <w:rFonts w:ascii="Arial" w:hAnsi="Arial" w:cs="Arial"/>
          <w:color w:val="000000" w:themeColor="text1"/>
          <w:sz w:val="19"/>
          <w:szCs w:val="19"/>
        </w:rPr>
      </w:pPr>
      <w:proofErr w:type="gramStart"/>
      <w:r w:rsidRPr="00AB133C">
        <w:rPr>
          <w:rFonts w:ascii="Arial" w:hAnsi="Arial" w:cs="Arial"/>
          <w:color w:val="000000" w:themeColor="text1"/>
          <w:sz w:val="19"/>
          <w:szCs w:val="19"/>
        </w:rPr>
        <w:t>»</w:t>
      </w:r>
      <w:r w:rsidRPr="00AB133C">
        <w:rPr>
          <w:rStyle w:val="baj"/>
          <w:rFonts w:ascii="Arial" w:hAnsi="Arial" w:cs="Arial"/>
          <w:color w:val="000000" w:themeColor="text1"/>
          <w:sz w:val="19"/>
          <w:szCs w:val="19"/>
        </w:rPr>
        <w:t>PARÁGRAFO</w:t>
      </w:r>
      <w:proofErr w:type="gramEnd"/>
      <w:r w:rsidRPr="00AB133C">
        <w:rPr>
          <w:rStyle w:val="baj"/>
          <w:rFonts w:ascii="Arial" w:hAnsi="Arial" w:cs="Arial"/>
          <w:color w:val="000000" w:themeColor="text1"/>
          <w:sz w:val="19"/>
          <w:szCs w:val="19"/>
        </w:rPr>
        <w:t xml:space="preserve"> 1o.</w:t>
      </w:r>
      <w:r w:rsidRPr="00AB133C">
        <w:rPr>
          <w:rFonts w:ascii="Arial" w:hAnsi="Arial" w:cs="Arial"/>
          <w:color w:val="000000" w:themeColor="text1"/>
          <w:sz w:val="19"/>
          <w:szCs w:val="19"/>
        </w:rPr>
        <w:t xml:space="preserve"> Los contratos o acuerdos celebrados con personas extranjeras de derecho </w:t>
      </w:r>
      <w:proofErr w:type="gramStart"/>
      <w:r w:rsidRPr="00AB133C">
        <w:rPr>
          <w:rFonts w:ascii="Arial" w:hAnsi="Arial" w:cs="Arial"/>
          <w:color w:val="000000" w:themeColor="text1"/>
          <w:sz w:val="19"/>
          <w:szCs w:val="19"/>
        </w:rPr>
        <w:t>público,</w:t>
      </w:r>
      <w:proofErr w:type="gramEnd"/>
      <w:r w:rsidRPr="00AB133C">
        <w:rPr>
          <w:rFonts w:ascii="Arial" w:hAnsi="Arial" w:cs="Arial"/>
          <w:color w:val="000000" w:themeColor="text1"/>
          <w:sz w:val="19"/>
          <w:szCs w:val="19"/>
        </w:rPr>
        <w:t xml:space="preserve"> podrán someterse a las reglas de tales organismos.</w:t>
      </w:r>
    </w:p>
    <w:p w14:paraId="21447D8F" w14:textId="77777777" w:rsidR="00893407" w:rsidRPr="00AB133C" w:rsidRDefault="00893407" w:rsidP="00893407">
      <w:pPr>
        <w:pStyle w:val="NormalWeb"/>
        <w:spacing w:before="0" w:beforeAutospacing="0" w:after="0" w:afterAutospacing="0"/>
        <w:ind w:firstLine="709"/>
        <w:jc w:val="both"/>
        <w:rPr>
          <w:rFonts w:ascii="Arial" w:hAnsi="Arial" w:cs="Arial"/>
          <w:color w:val="000000" w:themeColor="text1"/>
          <w:sz w:val="19"/>
          <w:szCs w:val="19"/>
        </w:rPr>
      </w:pPr>
      <w:proofErr w:type="gramStart"/>
      <w:r w:rsidRPr="00AB133C">
        <w:rPr>
          <w:rFonts w:ascii="Arial" w:hAnsi="Arial" w:cs="Arial"/>
          <w:color w:val="000000" w:themeColor="text1"/>
          <w:sz w:val="19"/>
          <w:szCs w:val="19"/>
        </w:rPr>
        <w:t>»</w:t>
      </w:r>
      <w:r w:rsidRPr="00AB133C">
        <w:rPr>
          <w:rStyle w:val="baj"/>
          <w:rFonts w:ascii="Arial" w:hAnsi="Arial" w:cs="Arial"/>
          <w:color w:val="000000" w:themeColor="text1"/>
          <w:sz w:val="19"/>
          <w:szCs w:val="19"/>
        </w:rPr>
        <w:t>PARÁGRAFO</w:t>
      </w:r>
      <w:proofErr w:type="gramEnd"/>
      <w:r w:rsidRPr="00AB133C">
        <w:rPr>
          <w:rStyle w:val="baj"/>
          <w:rFonts w:ascii="Arial" w:hAnsi="Arial" w:cs="Arial"/>
          <w:color w:val="000000" w:themeColor="text1"/>
          <w:sz w:val="19"/>
          <w:szCs w:val="19"/>
        </w:rPr>
        <w:t xml:space="preserve"> 2o.</w:t>
      </w:r>
      <w:r w:rsidRPr="00AB133C">
        <w:rPr>
          <w:rFonts w:ascii="Arial" w:hAnsi="Arial" w:cs="Arial"/>
          <w:color w:val="000000" w:themeColor="text1"/>
          <w:sz w:val="19"/>
          <w:szCs w:val="19"/>
        </w:rPr>
        <w:t xml:space="preserve"> Las entidades estatales tendrán la obligación de reportar la información a los organismos de control y al </w:t>
      </w:r>
      <w:proofErr w:type="spellStart"/>
      <w:r w:rsidRPr="00AB133C">
        <w:rPr>
          <w:rFonts w:ascii="Arial" w:hAnsi="Arial" w:cs="Arial"/>
          <w:color w:val="000000" w:themeColor="text1"/>
          <w:sz w:val="19"/>
          <w:szCs w:val="19"/>
        </w:rPr>
        <w:t>Secop</w:t>
      </w:r>
      <w:proofErr w:type="spellEnd"/>
      <w:r w:rsidRPr="00AB133C">
        <w:rPr>
          <w:rFonts w:ascii="Arial" w:hAnsi="Arial" w:cs="Arial"/>
          <w:color w:val="000000" w:themeColor="text1"/>
          <w:sz w:val="19"/>
          <w:szCs w:val="19"/>
        </w:rPr>
        <w:t xml:space="preserve"> relativa a la ejecución de los contratos a los que se refiere el presente artículo.</w:t>
      </w:r>
    </w:p>
    <w:p w14:paraId="5B91A194" w14:textId="77777777" w:rsidR="00893407" w:rsidRPr="00AB133C" w:rsidRDefault="00893407" w:rsidP="00893407">
      <w:pPr>
        <w:pStyle w:val="NormalWeb"/>
        <w:spacing w:before="0" w:beforeAutospacing="0" w:after="0" w:afterAutospacing="0"/>
        <w:ind w:firstLine="709"/>
        <w:jc w:val="both"/>
        <w:rPr>
          <w:rFonts w:ascii="Arial" w:hAnsi="Arial" w:cs="Arial"/>
          <w:color w:val="000000" w:themeColor="text1"/>
          <w:sz w:val="19"/>
          <w:szCs w:val="19"/>
        </w:rPr>
      </w:pPr>
      <w:proofErr w:type="gramStart"/>
      <w:r w:rsidRPr="00AB133C">
        <w:rPr>
          <w:rFonts w:ascii="Arial" w:hAnsi="Arial" w:cs="Arial"/>
          <w:color w:val="000000" w:themeColor="text1"/>
          <w:sz w:val="19"/>
          <w:szCs w:val="19"/>
        </w:rPr>
        <w:t>»</w:t>
      </w:r>
      <w:r w:rsidRPr="00AB133C">
        <w:rPr>
          <w:rStyle w:val="baj"/>
          <w:rFonts w:ascii="Arial" w:hAnsi="Arial" w:cs="Arial"/>
          <w:color w:val="000000" w:themeColor="text1"/>
          <w:sz w:val="19"/>
          <w:szCs w:val="19"/>
        </w:rPr>
        <w:t>PARÁGRAFO</w:t>
      </w:r>
      <w:proofErr w:type="gramEnd"/>
      <w:r w:rsidRPr="00AB133C">
        <w:rPr>
          <w:rStyle w:val="baj"/>
          <w:rFonts w:ascii="Arial" w:hAnsi="Arial" w:cs="Arial"/>
          <w:color w:val="000000" w:themeColor="text1"/>
          <w:sz w:val="19"/>
          <w:szCs w:val="19"/>
        </w:rPr>
        <w:t xml:space="preserve"> 3o.</w:t>
      </w:r>
      <w:r w:rsidRPr="00AB133C">
        <w:rPr>
          <w:rFonts w:ascii="Arial" w:hAnsi="Arial" w:cs="Arial"/>
          <w:color w:val="000000" w:themeColor="text1"/>
          <w:sz w:val="19"/>
          <w:szCs w:val="19"/>
        </w:rPr>
        <w:t> 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p>
  </w:footnote>
  <w:footnote w:id="30">
    <w:p w14:paraId="7CF0814E" w14:textId="77777777" w:rsidR="00893407" w:rsidRPr="00AB133C" w:rsidRDefault="00893407" w:rsidP="00893407">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AB133C">
        <w:rPr>
          <w:rStyle w:val="Refdenotaalpie"/>
          <w:rFonts w:ascii="Arial" w:hAnsi="Arial" w:cs="Arial"/>
          <w:sz w:val="19"/>
          <w:szCs w:val="19"/>
        </w:rPr>
        <w:footnoteRef/>
      </w:r>
      <w:r w:rsidRPr="00AB133C">
        <w:rPr>
          <w:rFonts w:ascii="Arial" w:hAnsi="Arial" w:cs="Arial"/>
          <w:color w:val="000000" w:themeColor="text1"/>
          <w:sz w:val="19"/>
          <w:szCs w:val="19"/>
        </w:rPr>
        <w:t xml:space="preserve"> Decreto 1082 de 2015. «Artículo </w:t>
      </w:r>
      <w:r w:rsidRPr="00AB133C">
        <w:rPr>
          <w:rStyle w:val="Textoennegrita"/>
          <w:rFonts w:ascii="Arial" w:hAnsi="Arial" w:cs="Arial"/>
          <w:color w:val="000000" w:themeColor="text1"/>
          <w:sz w:val="19"/>
          <w:szCs w:val="19"/>
        </w:rPr>
        <w:t>2.2.1.2.4.4.1. </w:t>
      </w:r>
      <w:r w:rsidRPr="00AB133C">
        <w:rPr>
          <w:rStyle w:val="nfasis"/>
          <w:rFonts w:ascii="Arial" w:hAnsi="Arial" w:cs="Arial"/>
          <w:color w:val="000000" w:themeColor="text1"/>
          <w:sz w:val="19"/>
          <w:szCs w:val="19"/>
        </w:rPr>
        <w:t>Régimen aplicable a los contratos o convenios de cooperación Internacional. </w:t>
      </w:r>
      <w:r w:rsidRPr="00AB133C">
        <w:rPr>
          <w:rFonts w:ascii="Arial" w:hAnsi="Arial" w:cs="Arial"/>
          <w:color w:val="000000" w:themeColor="text1"/>
          <w:sz w:val="19"/>
          <w:szCs w:val="19"/>
        </w:rPr>
        <w:t>Los contratos o convenios financiados en su totalidad o en sumas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 En caso contrario, los contratos o convenios que se celebren en su totalidad o en sumas iguales o superiores al cincuenta por ciento (50%) con recursos de origen nacional se someterán al presente título.</w:t>
      </w:r>
    </w:p>
    <w:p w14:paraId="319D85AC" w14:textId="77777777" w:rsidR="00893407" w:rsidRPr="00AB133C" w:rsidRDefault="00893407" w:rsidP="00893407">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AB133C">
        <w:rPr>
          <w:rFonts w:ascii="Arial" w:hAnsi="Arial" w:cs="Arial"/>
          <w:color w:val="000000" w:themeColor="text1"/>
          <w:sz w:val="19"/>
          <w:szCs w:val="19"/>
        </w:rPr>
        <w:t>»</w:t>
      </w:r>
      <w:r w:rsidRPr="00AB133C">
        <w:rPr>
          <w:rFonts w:ascii="Arial" w:hAnsi="Arial" w:cs="Arial"/>
          <w:i/>
          <w:iCs/>
          <w:color w:val="000000" w:themeColor="text1"/>
          <w:sz w:val="19"/>
          <w:szCs w:val="19"/>
        </w:rPr>
        <w:t>Si el aporte de fuente nacional o internacional de un contrato o convenio de cooperación internacional es modificado o los aportes no se ejecutan en los términos pactados, las Entidades Estatales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Pr="00AB133C">
        <w:rPr>
          <w:rFonts w:ascii="Arial" w:hAnsi="Arial" w:cs="Arial"/>
          <w:color w:val="000000" w:themeColor="text1"/>
          <w:sz w:val="19"/>
          <w:szCs w:val="19"/>
        </w:rPr>
        <w:t>.</w:t>
      </w:r>
    </w:p>
    <w:p w14:paraId="031DE68A" w14:textId="77777777" w:rsidR="00893407" w:rsidRPr="00AB133C" w:rsidRDefault="00893407" w:rsidP="00893407">
      <w:pPr>
        <w:pStyle w:val="NormalWeb"/>
        <w:shd w:val="clear" w:color="auto" w:fill="FFFFFF"/>
        <w:spacing w:before="0" w:beforeAutospacing="0" w:after="0" w:afterAutospacing="0"/>
        <w:ind w:firstLine="709"/>
        <w:jc w:val="both"/>
        <w:rPr>
          <w:rFonts w:ascii="Arial" w:hAnsi="Arial" w:cs="Arial"/>
          <w:color w:val="000000" w:themeColor="text1"/>
          <w:sz w:val="19"/>
          <w:szCs w:val="19"/>
        </w:rPr>
      </w:pPr>
      <w:proofErr w:type="gramStart"/>
      <w:r w:rsidRPr="00AB133C">
        <w:rPr>
          <w:rFonts w:ascii="Arial" w:hAnsi="Arial" w:cs="Arial"/>
          <w:color w:val="000000" w:themeColor="text1"/>
          <w:sz w:val="19"/>
          <w:szCs w:val="19"/>
        </w:rPr>
        <w:t>»Cuando</w:t>
      </w:r>
      <w:proofErr w:type="gramEnd"/>
      <w:r w:rsidRPr="00AB133C">
        <w:rPr>
          <w:rFonts w:ascii="Arial" w:hAnsi="Arial" w:cs="Arial"/>
          <w:color w:val="000000" w:themeColor="text1"/>
          <w:sz w:val="19"/>
          <w:szCs w:val="19"/>
        </w:rPr>
        <w:t xml:space="preserve"> la variación de la participación de los aportes de las partes es consecuencia de las fluctuaciones de la tasa de cambio de la moneda pactada en el convenio o contrato de cooperación internacional, este seguirá sometido a las reglas establecidas en el momento de su suscripción.</w:t>
      </w:r>
    </w:p>
    <w:p w14:paraId="2D21E173" w14:textId="77777777" w:rsidR="00893407" w:rsidRPr="00AB133C" w:rsidRDefault="00893407" w:rsidP="00893407">
      <w:pPr>
        <w:pStyle w:val="NormalWeb"/>
        <w:shd w:val="clear" w:color="auto" w:fill="FFFFFF"/>
        <w:spacing w:before="0" w:beforeAutospacing="0" w:after="0" w:afterAutospacing="0"/>
        <w:ind w:firstLine="709"/>
        <w:jc w:val="both"/>
        <w:rPr>
          <w:rFonts w:ascii="Arial" w:hAnsi="Arial" w:cs="Arial"/>
          <w:color w:val="000000" w:themeColor="text1"/>
          <w:sz w:val="19"/>
          <w:szCs w:val="19"/>
        </w:rPr>
      </w:pPr>
      <w:proofErr w:type="gramStart"/>
      <w:r w:rsidRPr="00AB133C">
        <w:rPr>
          <w:rFonts w:ascii="Arial" w:hAnsi="Arial" w:cs="Arial"/>
          <w:color w:val="000000" w:themeColor="text1"/>
          <w:sz w:val="19"/>
          <w:szCs w:val="19"/>
        </w:rPr>
        <w:t>»Los</w:t>
      </w:r>
      <w:proofErr w:type="gramEnd"/>
      <w:r w:rsidRPr="00AB133C">
        <w:rPr>
          <w:rFonts w:ascii="Arial" w:hAnsi="Arial" w:cs="Arial"/>
          <w:color w:val="000000" w:themeColor="text1"/>
          <w:sz w:val="19"/>
          <w:szCs w:val="19"/>
        </w:rPr>
        <w:t xml:space="preserve"> recursos generados en desarrollo de los contratos o convenios financiados con fondos de los organismos de cooperación, asistencia o ayudas internacionales no deben ser tenidos en cuenta para determinar los porcentajes de los aportes de las partes». (Cursiva fuera del original).</w:t>
      </w:r>
    </w:p>
    <w:p w14:paraId="07D2BDCB" w14:textId="77777777" w:rsidR="00893407" w:rsidRPr="00AB133C" w:rsidRDefault="00893407" w:rsidP="00893407">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AB133C">
        <w:rPr>
          <w:rFonts w:ascii="Arial" w:hAnsi="Arial" w:cs="Arial"/>
          <w:color w:val="000000" w:themeColor="text1"/>
          <w:sz w:val="19"/>
          <w:szCs w:val="19"/>
        </w:rPr>
        <w:t>»Los contratos o convenios financiados con fondos de los organismos multilaterales de crédito, entes gubernamentales extranjeros o personas extranjeras de derecho público, así como aquellos a los que se refiere el inciso 2 del artículo 20 de la </w:t>
      </w:r>
      <w:hyperlink r:id="rId2" w:history="1">
        <w:r w:rsidRPr="00AB133C">
          <w:rPr>
            <w:rStyle w:val="Hipervnculo"/>
            <w:rFonts w:ascii="Arial" w:hAnsi="Arial" w:cs="Arial"/>
            <w:color w:val="000000" w:themeColor="text1"/>
            <w:sz w:val="19"/>
            <w:szCs w:val="19"/>
          </w:rPr>
          <w:t>Ley 1150 de 2007</w:t>
        </w:r>
      </w:hyperlink>
      <w:r w:rsidRPr="00AB133C">
        <w:rPr>
          <w:rFonts w:ascii="Arial" w:hAnsi="Arial" w:cs="Arial"/>
          <w:color w:val="000000" w:themeColor="text1"/>
          <w:sz w:val="19"/>
          <w:szCs w:val="19"/>
        </w:rPr>
        <w:t>, se ejecutarán de conformidad con lo establecido en los tratados internacionales marco y complementarios, y en los 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w:t>
      </w:r>
      <w:hyperlink r:id="rId3" w:history="1">
        <w:r w:rsidRPr="00AB133C">
          <w:rPr>
            <w:rStyle w:val="Hipervnculo"/>
            <w:rFonts w:ascii="Arial" w:hAnsi="Arial" w:cs="Arial"/>
            <w:color w:val="000000" w:themeColor="text1"/>
            <w:sz w:val="19"/>
            <w:szCs w:val="19"/>
          </w:rPr>
          <w:t> Ley 1150 de 2007</w:t>
        </w:r>
      </w:hyperlink>
      <w:r w:rsidRPr="00AB133C">
        <w:rPr>
          <w:rFonts w:ascii="Arial" w:hAnsi="Arial" w:cs="Arial"/>
          <w:color w:val="000000" w:themeColor="text1"/>
          <w:sz w:val="19"/>
          <w:szCs w:val="19"/>
        </w:rPr>
        <w:t>.</w:t>
      </w:r>
    </w:p>
    <w:p w14:paraId="3AC7C407" w14:textId="77777777" w:rsidR="00893407" w:rsidRPr="00AB133C" w:rsidRDefault="00893407" w:rsidP="00893407">
      <w:pPr>
        <w:pStyle w:val="NormalWeb"/>
        <w:shd w:val="clear" w:color="auto" w:fill="FFFFFF"/>
        <w:spacing w:before="0" w:beforeAutospacing="0" w:after="0" w:afterAutospacing="0"/>
        <w:ind w:firstLine="709"/>
        <w:jc w:val="both"/>
        <w:rPr>
          <w:rFonts w:ascii="Arial" w:hAnsi="Arial" w:cs="Arial"/>
          <w:color w:val="000000" w:themeColor="text1"/>
          <w:sz w:val="19"/>
          <w:szCs w:val="19"/>
        </w:rPr>
      </w:pPr>
      <w:proofErr w:type="gramStart"/>
      <w:r w:rsidRPr="00AB133C">
        <w:rPr>
          <w:rFonts w:ascii="Arial" w:hAnsi="Arial" w:cs="Arial"/>
          <w:color w:val="000000" w:themeColor="text1"/>
          <w:sz w:val="19"/>
          <w:szCs w:val="19"/>
        </w:rPr>
        <w:t>»Los</w:t>
      </w:r>
      <w:proofErr w:type="gramEnd"/>
      <w:r w:rsidRPr="00AB133C">
        <w:rPr>
          <w:rFonts w:ascii="Arial" w:hAnsi="Arial" w:cs="Arial"/>
          <w:color w:val="000000" w:themeColor="text1"/>
          <w:sz w:val="19"/>
          <w:szCs w:val="19"/>
        </w:rPr>
        <w:t xml:space="preserve"> contratos con personas extranjeras de derecho público se deben celebrar y ejecutar según se acuerde entre las partes».</w:t>
      </w:r>
    </w:p>
  </w:footnote>
  <w:footnote w:id="31">
    <w:p w14:paraId="1CB80BA0" w14:textId="77777777" w:rsidR="00893407" w:rsidRPr="00AB133C" w:rsidRDefault="00893407" w:rsidP="00893407">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AB133C">
        <w:rPr>
          <w:rStyle w:val="Refdenotaalpie"/>
          <w:rFonts w:ascii="Arial" w:hAnsi="Arial" w:cs="Arial"/>
          <w:sz w:val="19"/>
          <w:szCs w:val="19"/>
        </w:rPr>
        <w:footnoteRef/>
      </w:r>
      <w:r w:rsidRPr="00AB133C">
        <w:rPr>
          <w:rFonts w:ascii="Arial" w:hAnsi="Arial" w:cs="Arial"/>
          <w:sz w:val="19"/>
          <w:szCs w:val="19"/>
        </w:rPr>
        <w:t xml:space="preserve"> </w:t>
      </w:r>
      <w:r w:rsidRPr="00AB133C">
        <w:rPr>
          <w:rFonts w:ascii="Arial" w:hAnsi="Arial" w:cs="Arial"/>
          <w:color w:val="000000" w:themeColor="text1"/>
          <w:sz w:val="19"/>
          <w:szCs w:val="19"/>
        </w:rPr>
        <w:t xml:space="preserve">En otros apartes del Concepto CU-180 del 8 de abril de 2022 se sintetizó la postura de unificación en los siguientes términos: «En este orden de ideas, esta Subdirección unifica su criterio en torno a la aplicación de la prohibición del artículo 33 de la Ley de Garantías Electorales, en el sentido de que, cuando una entidad pública con fundamento en el artículo 20 de la Ley 1150 de 2007 acuerde la aplicación del reglamento del organismo internacional, de la persona pública extranjera o del organismo de asistencia, ayuda o cooperación internacional, se deberá precisar en el respectivo contrato o convenio el alcance de tal variación de régimen y si ello implica acoger la totalidad de las normas del reglamento extranjero o si, por el contrario, solo se aplicarán ciertos aspectos en él regulados. </w:t>
      </w:r>
    </w:p>
    <w:p w14:paraId="5BA2ACC0" w14:textId="77777777" w:rsidR="00893407" w:rsidRPr="00AB133C" w:rsidRDefault="00893407" w:rsidP="00893407">
      <w:pPr>
        <w:pStyle w:val="NormalWeb"/>
        <w:shd w:val="clear" w:color="auto" w:fill="FFFFFF"/>
        <w:spacing w:before="0" w:beforeAutospacing="0" w:after="0" w:afterAutospacing="0"/>
        <w:ind w:firstLine="709"/>
        <w:jc w:val="both"/>
        <w:rPr>
          <w:rFonts w:ascii="Arial" w:hAnsi="Arial" w:cs="Arial"/>
          <w:color w:val="000000" w:themeColor="text1"/>
          <w:sz w:val="19"/>
          <w:szCs w:val="19"/>
        </w:rPr>
      </w:pPr>
      <w:proofErr w:type="gramStart"/>
      <w:r w:rsidRPr="00AB133C">
        <w:rPr>
          <w:rFonts w:ascii="Arial" w:hAnsi="Arial" w:cs="Arial"/>
          <w:color w:val="000000" w:themeColor="text1"/>
          <w:sz w:val="19"/>
          <w:szCs w:val="19"/>
        </w:rPr>
        <w:t>»En</w:t>
      </w:r>
      <w:proofErr w:type="gramEnd"/>
      <w:r w:rsidRPr="00AB133C">
        <w:rPr>
          <w:rFonts w:ascii="Arial" w:hAnsi="Arial" w:cs="Arial"/>
          <w:color w:val="000000" w:themeColor="text1"/>
          <w:sz w:val="19"/>
          <w:szCs w:val="19"/>
        </w:rPr>
        <w:t xml:space="preserve"> uno y otro caso, si el reglamento del organismo o sujeto internacional que las partes han convenido en aplicar regula todo lo relacionado con el procedimiento de selección de contratistas y las oportunidades para que sea realizado, la prohibición para contratar directamente establecida en el artículo 33 de la Ley de Garantías Electorales no será derecho aplicable al convenio o contrato y sus derivados. Por el contrario, si el convenio en el que se varíe el régimen normativo toca aspectos o etapas distintas al procedimiento para la selección del contratista, la prohibición del artículo 33 de la Ley de Garantías Electorales sí será derecho aplicable a la actividad contractual».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1236" w14:textId="77777777" w:rsidR="00387886" w:rsidRDefault="00EF109C">
    <w:pPr>
      <w:pStyle w:val="Encabezado"/>
    </w:pPr>
    <w:r>
      <w:rPr>
        <w:noProof/>
        <w:lang w:val="es-CO" w:eastAsia="es-CO"/>
      </w:rPr>
      <w:drawing>
        <wp:anchor distT="0" distB="0" distL="114300" distR="114300" simplePos="0" relativeHeight="251659264" behindDoc="1" locked="0" layoutInCell="1" allowOverlap="1" wp14:anchorId="127DD519" wp14:editId="0064CDF1">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num w:numId="1" w16cid:durableId="1742367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07"/>
    <w:rsid w:val="00063D2E"/>
    <w:rsid w:val="00713570"/>
    <w:rsid w:val="00893407"/>
    <w:rsid w:val="00EF10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60E3"/>
  <w15:chartTrackingRefBased/>
  <w15:docId w15:val="{EF96ADFB-7A6C-624F-A84D-97D1C0D8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407"/>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9340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893407"/>
    <w:rPr>
      <w:szCs w:val="22"/>
      <w:lang w:val="es-MX"/>
    </w:rPr>
  </w:style>
  <w:style w:type="paragraph" w:styleId="Encabezado">
    <w:name w:val="header"/>
    <w:basedOn w:val="Normal"/>
    <w:link w:val="EncabezadoCar"/>
    <w:uiPriority w:val="99"/>
    <w:unhideWhenUsed/>
    <w:rsid w:val="0089340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893407"/>
    <w:rPr>
      <w:szCs w:val="22"/>
      <w:lang w:val="es-MX"/>
    </w:rPr>
  </w:style>
  <w:style w:type="table" w:styleId="Tablaconcuadrcula">
    <w:name w:val="Table Grid"/>
    <w:basedOn w:val="Tablanormal"/>
    <w:uiPriority w:val="59"/>
    <w:qFormat/>
    <w:rsid w:val="0089340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893407"/>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893407"/>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9340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9340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893407"/>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9340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893407"/>
    <w:rPr>
      <w:vertAlign w:val="superscript"/>
    </w:rPr>
  </w:style>
  <w:style w:type="paragraph" w:customStyle="1" w:styleId="Appelnotedebasde">
    <w:name w:val="Appel note de bas de..."/>
    <w:basedOn w:val="Normal"/>
    <w:link w:val="Refdenotaalpie"/>
    <w:uiPriority w:val="99"/>
    <w:rsid w:val="00893407"/>
    <w:pPr>
      <w:spacing w:after="160" w:line="240" w:lineRule="exact"/>
    </w:pPr>
    <w:rPr>
      <w:rFonts w:asciiTheme="minorHAnsi" w:eastAsiaTheme="minorHAnsi" w:hAnsiTheme="minorHAnsi" w:cstheme="minorBidi"/>
      <w:vertAlign w:val="superscript"/>
      <w:lang w:eastAsia="en-US"/>
    </w:rPr>
  </w:style>
  <w:style w:type="paragraph" w:styleId="NormalWeb">
    <w:name w:val="Normal (Web)"/>
    <w:basedOn w:val="Normal"/>
    <w:link w:val="NormalWebCar"/>
    <w:uiPriority w:val="99"/>
    <w:unhideWhenUsed/>
    <w:rsid w:val="00893407"/>
    <w:pPr>
      <w:spacing w:before="100" w:beforeAutospacing="1" w:after="100" w:afterAutospacing="1"/>
    </w:pPr>
  </w:style>
  <w:style w:type="character" w:customStyle="1" w:styleId="NormalWebCar">
    <w:name w:val="Normal (Web) Car"/>
    <w:link w:val="NormalWeb"/>
    <w:uiPriority w:val="99"/>
    <w:rsid w:val="00893407"/>
    <w:rPr>
      <w:rFonts w:ascii="Times New Roman" w:eastAsia="Times New Roman" w:hAnsi="Times New Roman" w:cs="Times New Roman"/>
      <w:lang w:eastAsia="es-MX"/>
    </w:rPr>
  </w:style>
  <w:style w:type="paragraph" w:styleId="Textoindependiente">
    <w:name w:val="Body Text"/>
    <w:basedOn w:val="Normal"/>
    <w:link w:val="TextoindependienteCar"/>
    <w:uiPriority w:val="1"/>
    <w:qFormat/>
    <w:rsid w:val="00893407"/>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893407"/>
    <w:rPr>
      <w:rFonts w:ascii="Arial" w:eastAsia="Arial" w:hAnsi="Arial" w:cs="Arial"/>
      <w:sz w:val="20"/>
      <w:szCs w:val="20"/>
      <w:lang w:val="es-ES"/>
    </w:rPr>
  </w:style>
  <w:style w:type="character" w:customStyle="1" w:styleId="baj">
    <w:name w:val="b_aj"/>
    <w:basedOn w:val="Fuentedeprrafopredeter"/>
    <w:rsid w:val="00893407"/>
  </w:style>
  <w:style w:type="character" w:styleId="Textoennegrita">
    <w:name w:val="Strong"/>
    <w:basedOn w:val="Fuentedeprrafopredeter"/>
    <w:uiPriority w:val="22"/>
    <w:qFormat/>
    <w:rsid w:val="00893407"/>
    <w:rPr>
      <w:b/>
      <w:bCs/>
    </w:rPr>
  </w:style>
  <w:style w:type="character" w:styleId="nfasis">
    <w:name w:val="Emphasis"/>
    <w:basedOn w:val="Fuentedeprrafopredeter"/>
    <w:uiPriority w:val="20"/>
    <w:qFormat/>
    <w:rsid w:val="00893407"/>
    <w:rPr>
      <w:i/>
      <w:iCs/>
    </w:rPr>
  </w:style>
  <w:style w:type="character" w:styleId="Hipervnculo">
    <w:name w:val="Hyperlink"/>
    <w:basedOn w:val="Fuentedeprrafopredeter"/>
    <w:uiPriority w:val="99"/>
    <w:unhideWhenUsed/>
    <w:rsid w:val="008934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1150_2007.html" TargetMode="External"/><Relationship Id="rId2" Type="http://schemas.openxmlformats.org/officeDocument/2006/relationships/hyperlink" Target="http://www.secretariasenado.gov.co/senado/basedoc/ley_1150_2007.html" TargetMode="External"/><Relationship Id="rId1" Type="http://schemas.openxmlformats.org/officeDocument/2006/relationships/hyperlink" Target="http://www.secretariasenado.gov.co/senado/basedoc/ley_0080_199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B3AF5-39AC-4F0C-99DA-5DBD728C261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9992955C-D72A-4303-BF2F-9B504D9C1710}">
  <ds:schemaRefs>
    <ds:schemaRef ds:uri="http://schemas.microsoft.com/sharepoint/v3/contenttype/forms"/>
  </ds:schemaRefs>
</ds:datastoreItem>
</file>

<file path=customXml/itemProps3.xml><?xml version="1.0" encoding="utf-8"?>
<ds:datastoreItem xmlns:ds="http://schemas.openxmlformats.org/officeDocument/2006/customXml" ds:itemID="{91C9111B-7CF0-46FB-838B-CF61C407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9062</Words>
  <Characters>49847</Characters>
  <Application>Microsoft Office Word</Application>
  <DocSecurity>0</DocSecurity>
  <Lines>415</Lines>
  <Paragraphs>117</Paragraphs>
  <ScaleCrop>false</ScaleCrop>
  <Company/>
  <LinksUpToDate>false</LinksUpToDate>
  <CharactersWithSpaces>58792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Martin Rojas Mejia</cp:lastModifiedBy>
  <cp:revision>2</cp:revision>
  <dcterms:created xsi:type="dcterms:W3CDTF">2022-05-28T13:09:00Z</dcterms:created>
  <dcterms:modified xsi:type="dcterms:W3CDTF">2022-07-28T21:30:00Z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