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112F" w14:textId="77777777" w:rsidR="008A7C1A" w:rsidRPr="001E43FC" w:rsidRDefault="008A7C1A" w:rsidP="008A7C1A">
      <w:pPr>
        <w:spacing w:line="276" w:lineRule="auto"/>
        <w:jc w:val="right"/>
        <w:rPr>
          <w:rFonts w:ascii="Arial" w:eastAsia="Calibri" w:hAnsi="Arial" w:cs="Arial"/>
          <w:b/>
          <w:bCs/>
          <w:sz w:val="16"/>
          <w:szCs w:val="16"/>
        </w:rPr>
      </w:pPr>
      <w:r w:rsidRPr="001E43FC">
        <w:rPr>
          <w:rFonts w:ascii="Arial" w:hAnsi="Arial" w:cs="Arial"/>
          <w:b/>
          <w:bCs/>
          <w:sz w:val="16"/>
          <w:szCs w:val="16"/>
          <w:lang w:eastAsia="es-ES"/>
        </w:rPr>
        <w:t>CCE-DES-FM-17</w:t>
      </w:r>
    </w:p>
    <w:p w14:paraId="60622192" w14:textId="77777777" w:rsidR="008A7C1A" w:rsidRPr="001E43FC" w:rsidRDefault="008A7C1A" w:rsidP="008A7C1A">
      <w:pPr>
        <w:spacing w:after="120"/>
        <w:contextualSpacing/>
        <w:jc w:val="both"/>
        <w:rPr>
          <w:rFonts w:ascii="Arial" w:eastAsia="Calibri" w:hAnsi="Arial" w:cs="Arial"/>
          <w:b/>
          <w:bCs/>
          <w:color w:val="000000" w:themeColor="text1"/>
          <w:sz w:val="20"/>
          <w:szCs w:val="20"/>
          <w:lang w:val="es-ES_tradnl"/>
        </w:rPr>
      </w:pPr>
    </w:p>
    <w:p w14:paraId="2FAED4A7" w14:textId="77777777" w:rsidR="008A7C1A" w:rsidRPr="001E43FC" w:rsidRDefault="008A7C1A" w:rsidP="008A7C1A">
      <w:pPr>
        <w:spacing w:after="120"/>
        <w:contextualSpacing/>
        <w:jc w:val="both"/>
        <w:rPr>
          <w:rFonts w:ascii="Arial" w:eastAsia="Calibri" w:hAnsi="Arial" w:cs="Arial"/>
          <w:b/>
          <w:bCs/>
          <w:color w:val="000000" w:themeColor="text1"/>
          <w:sz w:val="20"/>
          <w:szCs w:val="20"/>
          <w:lang w:val="es-ES_tradnl"/>
        </w:rPr>
      </w:pPr>
      <w:r w:rsidRPr="001E43FC">
        <w:rPr>
          <w:rFonts w:ascii="Arial" w:eastAsia="Calibri" w:hAnsi="Arial" w:cs="Arial"/>
          <w:b/>
          <w:bCs/>
          <w:color w:val="000000" w:themeColor="text1"/>
          <w:sz w:val="20"/>
          <w:szCs w:val="20"/>
          <w:lang w:val="es-ES_tradnl"/>
        </w:rPr>
        <w:t>LEY DE GARANTÍAS ELECTORALES – Finalidad</w:t>
      </w:r>
    </w:p>
    <w:p w14:paraId="6120D2BF" w14:textId="77777777" w:rsidR="008A7C1A" w:rsidRPr="001E43FC" w:rsidRDefault="008A7C1A" w:rsidP="008A7C1A">
      <w:pPr>
        <w:spacing w:after="120"/>
        <w:contextualSpacing/>
        <w:jc w:val="both"/>
        <w:rPr>
          <w:rFonts w:ascii="Arial" w:eastAsia="Calibri" w:hAnsi="Arial" w:cs="Arial"/>
          <w:color w:val="000000" w:themeColor="text1"/>
          <w:sz w:val="20"/>
          <w:szCs w:val="20"/>
          <w:lang w:val="es-ES_tradnl"/>
        </w:rPr>
      </w:pPr>
    </w:p>
    <w:p w14:paraId="4341DF8C" w14:textId="77777777" w:rsidR="008A7C1A" w:rsidRPr="001E43FC" w:rsidRDefault="008A7C1A" w:rsidP="008A7C1A">
      <w:pPr>
        <w:tabs>
          <w:tab w:val="left" w:pos="426"/>
        </w:tabs>
        <w:spacing w:after="120"/>
        <w:jc w:val="both"/>
        <w:rPr>
          <w:rFonts w:ascii="Arial" w:hAnsi="Arial" w:cs="Arial"/>
          <w:bCs/>
          <w:color w:val="000000" w:themeColor="text1"/>
          <w:sz w:val="20"/>
          <w:szCs w:val="20"/>
          <w:lang w:eastAsia="es-CO"/>
        </w:rPr>
      </w:pPr>
      <w:r w:rsidRPr="001E43FC">
        <w:rPr>
          <w:rFonts w:ascii="Arial" w:hAnsi="Arial" w:cs="Arial"/>
          <w:bCs/>
          <w:color w:val="000000" w:themeColor="text1"/>
          <w:sz w:val="20"/>
          <w:szCs w:val="20"/>
          <w:lang w:eastAsia="es-CO"/>
        </w:rPr>
        <w:t>El ordenamiento jurídico colombiano contempla previsiones claras para evitar la obtención de beneficios personales en asuntos propios de la administración pública</w:t>
      </w:r>
      <w:r w:rsidRPr="001E43FC">
        <w:rPr>
          <w:rFonts w:ascii="Arial" w:hAnsi="Arial" w:cs="Arial"/>
          <w:bCs/>
          <w:i/>
          <w:iCs/>
          <w:color w:val="000000" w:themeColor="text1"/>
          <w:sz w:val="20"/>
          <w:szCs w:val="20"/>
          <w:lang w:eastAsia="es-CO"/>
        </w:rPr>
        <w:t xml:space="preserve">. </w:t>
      </w:r>
      <w:r w:rsidRPr="001E43FC">
        <w:rPr>
          <w:rFonts w:ascii="Arial" w:hAnsi="Arial" w:cs="Arial"/>
          <w:bCs/>
          <w:color w:val="000000" w:themeColor="text1"/>
          <w:sz w:val="20"/>
          <w:szCs w:val="20"/>
          <w:lang w:eastAsia="es-CO"/>
        </w:rPr>
        <w:t>Por ejemplo, el artículo 127 de la Constitución Política establece una prohibición contractual a los servidores públicos y en cuanto a aspectos políticos consagra restricciones a ciertos empleados del Estado, incluso en época no electoral. 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1E43FC">
        <w:rPr>
          <w:rFonts w:ascii="Arial" w:hAnsi="Arial" w:cs="Arial"/>
          <w:bCs/>
          <w:color w:val="000000" w:themeColor="text1"/>
          <w:sz w:val="20"/>
          <w:szCs w:val="20"/>
          <w:lang w:val="es-ES_tradnl" w:eastAsia="es-CO"/>
        </w:rPr>
        <w:t xml:space="preserve"> </w:t>
      </w:r>
      <w:r w:rsidRPr="001E43FC">
        <w:rPr>
          <w:rFonts w:ascii="Arial" w:hAnsi="Arial" w:cs="Arial"/>
          <w:bCs/>
          <w:color w:val="000000" w:themeColor="text1"/>
          <w:sz w:val="20"/>
          <w:szCs w:val="20"/>
          <w:lang w:eastAsia="es-CO"/>
        </w:rPr>
        <w:t>En armonía con lo anterior, la Corte Constitucional ha abordado la definición de la Ley de Garantías Electorales</w:t>
      </w:r>
      <w:r w:rsidRPr="001E43FC">
        <w:rPr>
          <w:rFonts w:ascii="Arial" w:hAnsi="Arial" w:cs="Arial"/>
          <w:bCs/>
          <w:color w:val="000000" w:themeColor="text1"/>
          <w:sz w:val="20"/>
          <w:szCs w:val="20"/>
          <w:lang w:val="es-ES_tradnl" w:eastAsia="es-CO"/>
        </w:rPr>
        <w:t xml:space="preserve">. </w:t>
      </w:r>
      <w:r w:rsidRPr="001E43FC">
        <w:rPr>
          <w:rFonts w:ascii="Arial" w:hAnsi="Arial" w:cs="Arial"/>
          <w:bCs/>
          <w:color w:val="000000" w:themeColor="text1"/>
          <w:sz w:val="20"/>
          <w:szCs w:val="20"/>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5129E8DB" w14:textId="77777777" w:rsidR="008A7C1A" w:rsidRPr="001E43FC" w:rsidRDefault="008A7C1A" w:rsidP="008A7C1A">
      <w:pPr>
        <w:tabs>
          <w:tab w:val="left" w:pos="426"/>
        </w:tabs>
        <w:jc w:val="both"/>
        <w:rPr>
          <w:rFonts w:ascii="Arial" w:eastAsia="Calibri" w:hAnsi="Arial" w:cs="Arial"/>
          <w:bCs/>
          <w:color w:val="000000" w:themeColor="text1"/>
          <w:sz w:val="20"/>
          <w:szCs w:val="20"/>
          <w:lang w:val="es-ES_tradnl"/>
        </w:rPr>
      </w:pPr>
    </w:p>
    <w:p w14:paraId="4FD70215" w14:textId="77777777" w:rsidR="008A7C1A" w:rsidRPr="001E43FC" w:rsidRDefault="008A7C1A" w:rsidP="008A7C1A">
      <w:pPr>
        <w:tabs>
          <w:tab w:val="left" w:pos="426"/>
        </w:tabs>
        <w:jc w:val="both"/>
        <w:rPr>
          <w:rFonts w:ascii="Arial" w:eastAsia="Calibri" w:hAnsi="Arial" w:cs="Arial"/>
          <w:b/>
          <w:bCs/>
          <w:color w:val="000000" w:themeColor="text1"/>
          <w:sz w:val="20"/>
          <w:szCs w:val="20"/>
          <w:lang w:val="es-ES_tradnl"/>
        </w:rPr>
      </w:pPr>
      <w:bookmarkStart w:id="0" w:name="_Hlk77152637"/>
      <w:bookmarkStart w:id="1" w:name="_Hlk77157066"/>
      <w:r w:rsidRPr="001E43FC">
        <w:rPr>
          <w:rFonts w:ascii="Arial" w:eastAsia="Calibri" w:hAnsi="Arial" w:cs="Arial"/>
          <w:b/>
          <w:bCs/>
          <w:color w:val="000000" w:themeColor="text1"/>
          <w:sz w:val="20"/>
          <w:szCs w:val="20"/>
          <w:lang w:val="es-ES_tradnl"/>
        </w:rPr>
        <w:t>LEY DE GARANTÍAS ELECTORALES ‒</w:t>
      </w:r>
      <w:bookmarkEnd w:id="0"/>
      <w:r w:rsidRPr="001E43FC">
        <w:rPr>
          <w:rFonts w:ascii="Arial" w:eastAsia="Calibri" w:hAnsi="Arial" w:cs="Arial"/>
          <w:b/>
          <w:bCs/>
          <w:color w:val="000000" w:themeColor="text1"/>
          <w:sz w:val="20"/>
          <w:szCs w:val="20"/>
          <w:lang w:val="es-ES_tradnl"/>
        </w:rPr>
        <w:t xml:space="preserve"> Restricciones </w:t>
      </w:r>
      <w:bookmarkStart w:id="2" w:name="_Hlk77157034"/>
      <w:r w:rsidRPr="001E43FC">
        <w:rPr>
          <w:rFonts w:ascii="Arial" w:eastAsia="Calibri" w:hAnsi="Arial" w:cs="Arial"/>
          <w:b/>
          <w:bCs/>
          <w:color w:val="000000" w:themeColor="text1"/>
          <w:sz w:val="20"/>
          <w:szCs w:val="20"/>
          <w:lang w:val="es-ES_tradnl"/>
        </w:rPr>
        <w:t xml:space="preserve">‒ </w:t>
      </w:r>
      <w:bookmarkEnd w:id="2"/>
      <w:r w:rsidRPr="001E43FC">
        <w:rPr>
          <w:rFonts w:ascii="Arial" w:eastAsia="Calibri" w:hAnsi="Arial" w:cs="Arial"/>
          <w:b/>
          <w:bCs/>
          <w:color w:val="000000" w:themeColor="text1"/>
          <w:sz w:val="20"/>
          <w:szCs w:val="20"/>
          <w:lang w:val="es-ES_tradnl"/>
        </w:rPr>
        <w:t>Contratación</w:t>
      </w:r>
      <w:bookmarkStart w:id="3" w:name="_Hlk77153098"/>
      <w:r w:rsidRPr="001E43FC">
        <w:rPr>
          <w:rFonts w:ascii="Arial" w:eastAsia="Calibri" w:hAnsi="Arial" w:cs="Arial"/>
          <w:b/>
          <w:bCs/>
          <w:color w:val="000000" w:themeColor="text1"/>
          <w:sz w:val="20"/>
          <w:szCs w:val="20"/>
          <w:lang w:val="es-ES_tradnl"/>
        </w:rPr>
        <w:t xml:space="preserve"> ‒ Tipos de elección</w:t>
      </w:r>
      <w:bookmarkEnd w:id="3"/>
      <w:r w:rsidRPr="001E43FC">
        <w:rPr>
          <w:rFonts w:ascii="Arial" w:eastAsia="Calibri" w:hAnsi="Arial" w:cs="Arial"/>
          <w:b/>
          <w:bCs/>
          <w:color w:val="000000" w:themeColor="text1"/>
          <w:sz w:val="20"/>
          <w:szCs w:val="20"/>
          <w:lang w:val="es-ES_tradnl"/>
        </w:rPr>
        <w:t xml:space="preserve"> </w:t>
      </w:r>
    </w:p>
    <w:p w14:paraId="0677C862" w14:textId="77777777" w:rsidR="008A7C1A" w:rsidRPr="001E43FC" w:rsidRDefault="008A7C1A" w:rsidP="008A7C1A">
      <w:pPr>
        <w:tabs>
          <w:tab w:val="left" w:pos="426"/>
        </w:tabs>
        <w:jc w:val="both"/>
        <w:rPr>
          <w:rFonts w:ascii="Arial" w:eastAsia="Calibri" w:hAnsi="Arial" w:cs="Arial"/>
          <w:b/>
          <w:bCs/>
          <w:color w:val="000000" w:themeColor="text1"/>
          <w:sz w:val="20"/>
          <w:szCs w:val="20"/>
          <w:lang w:val="es-ES_tradnl"/>
        </w:rPr>
      </w:pPr>
    </w:p>
    <w:p w14:paraId="3C4F0888" w14:textId="77777777" w:rsidR="008A7C1A" w:rsidRPr="001E43FC" w:rsidRDefault="008A7C1A" w:rsidP="008A7C1A">
      <w:pPr>
        <w:tabs>
          <w:tab w:val="left" w:pos="426"/>
        </w:tabs>
        <w:jc w:val="both"/>
        <w:rPr>
          <w:rFonts w:ascii="Arial" w:hAnsi="Arial" w:cs="Arial"/>
          <w:bCs/>
          <w:color w:val="000000" w:themeColor="text1"/>
          <w:sz w:val="20"/>
          <w:szCs w:val="20"/>
          <w:lang w:eastAsia="es-CO"/>
        </w:rPr>
      </w:pPr>
      <w:bookmarkStart w:id="4" w:name="_Hlk77165666"/>
      <w:bookmarkEnd w:id="1"/>
      <w:r w:rsidRPr="001E43FC">
        <w:rPr>
          <w:rFonts w:ascii="Arial" w:hAnsi="Arial" w:cs="Arial"/>
          <w:bCs/>
          <w:color w:val="000000" w:themeColor="text1"/>
          <w:sz w:val="20"/>
          <w:szCs w:val="20"/>
          <w:lang w:val="es-ES_tradnl" w:eastAsia="es-CO"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Pr="001E43FC">
        <w:rPr>
          <w:rFonts w:ascii="Arial" w:hAnsi="Arial" w:cs="Arial"/>
          <w:bCs/>
          <w:color w:val="000000" w:themeColor="text1"/>
          <w:sz w:val="20"/>
          <w:szCs w:val="20"/>
          <w:lang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1E43FC">
        <w:rPr>
          <w:rFonts w:ascii="Arial" w:hAnsi="Arial" w:cs="Arial"/>
          <w:bCs/>
          <w:color w:val="000000" w:themeColor="text1"/>
          <w:sz w:val="20"/>
          <w:szCs w:val="20"/>
          <w:lang w:val="es-ES_tradnl" w:eastAsia="es-CO" w:bidi="es-ES"/>
        </w:rPr>
        <w:t xml:space="preserve"> </w:t>
      </w:r>
      <w:r w:rsidRPr="001E43FC">
        <w:rPr>
          <w:rFonts w:ascii="Arial" w:hAnsi="Arial" w:cs="Arial"/>
          <w:bCs/>
          <w:color w:val="000000" w:themeColor="text1"/>
          <w:sz w:val="20"/>
          <w:szCs w:val="20"/>
          <w:lang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3F071456" w14:textId="77777777" w:rsidR="008A7C1A" w:rsidRPr="001E43FC" w:rsidRDefault="008A7C1A" w:rsidP="008A7C1A">
      <w:pPr>
        <w:tabs>
          <w:tab w:val="left" w:pos="426"/>
        </w:tabs>
        <w:jc w:val="both"/>
        <w:rPr>
          <w:rFonts w:ascii="Arial" w:hAnsi="Arial" w:cs="Arial"/>
          <w:bCs/>
          <w:color w:val="000000" w:themeColor="text1"/>
          <w:sz w:val="20"/>
          <w:szCs w:val="20"/>
          <w:lang w:val="es-ES_tradnl" w:eastAsia="es-CO" w:bidi="es-ES"/>
        </w:rPr>
      </w:pPr>
    </w:p>
    <w:p w14:paraId="0DA3F34C" w14:textId="77777777" w:rsidR="008A7C1A" w:rsidRPr="001E43FC" w:rsidRDefault="008A7C1A" w:rsidP="008A7C1A">
      <w:pPr>
        <w:tabs>
          <w:tab w:val="left" w:pos="426"/>
        </w:tabs>
        <w:jc w:val="both"/>
        <w:rPr>
          <w:rFonts w:ascii="Arial" w:eastAsia="Calibri" w:hAnsi="Arial" w:cs="Arial"/>
          <w:b/>
          <w:bCs/>
          <w:sz w:val="20"/>
          <w:szCs w:val="20"/>
          <w:lang w:val="es-ES_tradnl"/>
        </w:rPr>
      </w:pPr>
      <w:r w:rsidRPr="001E43FC">
        <w:rPr>
          <w:rFonts w:ascii="Arial" w:eastAsia="Calibri" w:hAnsi="Arial" w:cs="Arial"/>
          <w:b/>
          <w:bCs/>
          <w:sz w:val="20"/>
          <w:szCs w:val="20"/>
          <w:lang w:val="es-ES_tradnl"/>
        </w:rPr>
        <w:t xml:space="preserve">LEY DE GARANTÍAS ELECTORALES ─ Prohibición artículo 33 ‒ </w:t>
      </w:r>
      <w:bookmarkEnd w:id="4"/>
      <w:r w:rsidRPr="001E43FC">
        <w:rPr>
          <w:rFonts w:ascii="Arial" w:eastAsia="Calibri" w:hAnsi="Arial" w:cs="Arial"/>
          <w:b/>
          <w:bCs/>
          <w:sz w:val="20"/>
          <w:szCs w:val="20"/>
          <w:lang w:val="es-ES_tradnl"/>
        </w:rPr>
        <w:t xml:space="preserve">Contratación directa ‒ Alcance </w:t>
      </w:r>
    </w:p>
    <w:p w14:paraId="65B96C18" w14:textId="77777777" w:rsidR="008A7C1A" w:rsidRPr="001E43FC" w:rsidRDefault="008A7C1A" w:rsidP="008A7C1A">
      <w:pPr>
        <w:tabs>
          <w:tab w:val="left" w:pos="426"/>
        </w:tabs>
        <w:jc w:val="both"/>
        <w:rPr>
          <w:rFonts w:ascii="Arial" w:eastAsia="Calibri" w:hAnsi="Arial" w:cs="Arial"/>
          <w:noProof/>
          <w:sz w:val="20"/>
          <w:szCs w:val="20"/>
          <w:lang w:val="es-ES_tradnl"/>
        </w:rPr>
      </w:pPr>
    </w:p>
    <w:p w14:paraId="1574CB7C" w14:textId="77777777" w:rsidR="008A7C1A" w:rsidRPr="001E43FC" w:rsidRDefault="008A7C1A" w:rsidP="008A7C1A">
      <w:pPr>
        <w:jc w:val="both"/>
        <w:rPr>
          <w:rFonts w:ascii="Arial" w:hAnsi="Arial" w:cs="Arial"/>
          <w:bCs/>
          <w:sz w:val="20"/>
          <w:szCs w:val="20"/>
          <w:lang w:val="es-ES_tradnl" w:eastAsia="x-none"/>
        </w:rPr>
      </w:pPr>
      <w:r w:rsidRPr="001E43FC">
        <w:rPr>
          <w:rFonts w:ascii="Arial" w:eastAsia="Calibri" w:hAnsi="Arial" w:cs="Arial"/>
          <w:noProof/>
          <w:sz w:val="20"/>
          <w:szCs w:val="20"/>
          <w:lang w:val="es-ES_tradnl"/>
        </w:rPr>
        <w:t xml:space="preserve">[…] </w:t>
      </w:r>
      <w:r w:rsidRPr="001E43FC">
        <w:rPr>
          <w:rFonts w:ascii="Arial"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E43FC">
        <w:rPr>
          <w:rFonts w:ascii="Arial" w:hAnsi="Arial" w:cs="Arial"/>
          <w:sz w:val="20"/>
          <w:szCs w:val="20"/>
          <w:vertAlign w:val="superscript"/>
          <w:lang w:val="es-ES_tradnl" w:eastAsia="x-none"/>
        </w:rPr>
        <w:t xml:space="preserve">. </w:t>
      </w:r>
      <w:r w:rsidRPr="001E43FC">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1E43FC">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CAF03B4" w14:textId="77777777" w:rsidR="008A7C1A" w:rsidRPr="001E43FC" w:rsidRDefault="008A7C1A" w:rsidP="008A7C1A">
      <w:pPr>
        <w:tabs>
          <w:tab w:val="left" w:pos="426"/>
        </w:tabs>
        <w:jc w:val="both"/>
        <w:rPr>
          <w:rFonts w:ascii="Arial" w:eastAsia="Calibri" w:hAnsi="Arial" w:cs="Arial"/>
          <w:noProof/>
          <w:sz w:val="20"/>
          <w:szCs w:val="20"/>
          <w:lang w:val="es-ES_tradnl"/>
        </w:rPr>
      </w:pPr>
    </w:p>
    <w:p w14:paraId="212DD7F3" w14:textId="77777777" w:rsidR="008A7C1A" w:rsidRPr="001E43FC" w:rsidRDefault="008A7C1A" w:rsidP="008A7C1A">
      <w:pPr>
        <w:jc w:val="both"/>
        <w:rPr>
          <w:rFonts w:ascii="Arial" w:hAnsi="Arial" w:cs="Arial"/>
          <w:b/>
          <w:sz w:val="20"/>
          <w:szCs w:val="20"/>
          <w:lang w:val="es-ES_tradnl" w:eastAsia="es-CO"/>
        </w:rPr>
      </w:pPr>
      <w:r w:rsidRPr="001E43FC">
        <w:rPr>
          <w:rFonts w:ascii="Arial" w:hAnsi="Arial" w:cs="Arial"/>
          <w:b/>
          <w:bCs/>
          <w:sz w:val="20"/>
          <w:szCs w:val="20"/>
          <w:lang w:val="es-ES_tradnl" w:eastAsia="es-CO"/>
        </w:rPr>
        <w:t xml:space="preserve">LEY DE GARANTÍAS ELECTORALES </w:t>
      </w:r>
      <w:bookmarkStart w:id="5" w:name="_Hlk77166669"/>
      <w:r w:rsidRPr="001E43FC">
        <w:rPr>
          <w:rFonts w:ascii="Arial" w:hAnsi="Arial" w:cs="Arial"/>
          <w:b/>
          <w:bCs/>
          <w:sz w:val="20"/>
          <w:szCs w:val="20"/>
          <w:lang w:val="es-ES_tradnl" w:eastAsia="es-CO"/>
        </w:rPr>
        <w:t>‒</w:t>
      </w:r>
      <w:bookmarkEnd w:id="5"/>
      <w:r w:rsidRPr="001E43FC">
        <w:rPr>
          <w:rFonts w:ascii="Arial" w:hAnsi="Arial" w:cs="Arial"/>
          <w:b/>
          <w:bCs/>
          <w:sz w:val="20"/>
          <w:szCs w:val="20"/>
          <w:lang w:val="es-ES_tradnl" w:eastAsia="es-CO"/>
        </w:rPr>
        <w:t xml:space="preserve"> </w:t>
      </w:r>
      <w:r w:rsidRPr="001E43FC">
        <w:rPr>
          <w:rFonts w:ascii="Arial" w:hAnsi="Arial" w:cs="Arial"/>
          <w:b/>
          <w:sz w:val="20"/>
          <w:szCs w:val="20"/>
          <w:lang w:val="es-ES_tradnl" w:eastAsia="es-CO"/>
        </w:rPr>
        <w:t xml:space="preserve">Prohibición del artículo 33 </w:t>
      </w:r>
      <w:r w:rsidRPr="001E43FC">
        <w:rPr>
          <w:rFonts w:ascii="Arial" w:hAnsi="Arial" w:cs="Arial"/>
          <w:b/>
          <w:bCs/>
          <w:sz w:val="20"/>
          <w:szCs w:val="20"/>
          <w:lang w:val="es-ES_tradnl" w:eastAsia="es-CO"/>
        </w:rPr>
        <w:t>‒ Destinatarios</w:t>
      </w:r>
    </w:p>
    <w:p w14:paraId="76C24AA8" w14:textId="77777777" w:rsidR="008A7C1A" w:rsidRPr="001E43FC" w:rsidRDefault="008A7C1A" w:rsidP="008A7C1A">
      <w:pPr>
        <w:tabs>
          <w:tab w:val="left" w:pos="426"/>
        </w:tabs>
        <w:jc w:val="both"/>
        <w:rPr>
          <w:rFonts w:ascii="Arial" w:eastAsia="Calibri" w:hAnsi="Arial" w:cs="Arial"/>
          <w:noProof/>
          <w:sz w:val="20"/>
          <w:szCs w:val="20"/>
          <w:lang w:val="es-ES_tradnl"/>
        </w:rPr>
      </w:pPr>
    </w:p>
    <w:p w14:paraId="16B716E1" w14:textId="77777777" w:rsidR="008A7C1A" w:rsidRPr="001E43FC" w:rsidRDefault="008A7C1A" w:rsidP="008A7C1A">
      <w:pPr>
        <w:tabs>
          <w:tab w:val="left" w:pos="426"/>
        </w:tabs>
        <w:jc w:val="both"/>
        <w:rPr>
          <w:rFonts w:ascii="Arial" w:hAnsi="Arial" w:cs="Arial"/>
          <w:bCs/>
          <w:sz w:val="20"/>
          <w:szCs w:val="20"/>
          <w:lang w:val="es-ES_tradnl" w:eastAsia="x-none"/>
        </w:rPr>
      </w:pPr>
      <w:r w:rsidRPr="001E43FC">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1E43FC">
        <w:rPr>
          <w:rFonts w:ascii="Arial" w:eastAsia="Calibri" w:hAnsi="Arial" w:cs="Arial"/>
          <w:sz w:val="20"/>
          <w:szCs w:val="20"/>
          <w:lang w:val="es-ES_tradnl"/>
        </w:rPr>
        <w:t xml:space="preserve"> </w:t>
      </w:r>
      <w:r w:rsidRPr="001E43FC">
        <w:rPr>
          <w:rFonts w:ascii="Arial" w:hAnsi="Arial" w:cs="Arial"/>
          <w:bCs/>
          <w:sz w:val="20"/>
          <w:szCs w:val="20"/>
          <w:lang w:val="es-ES_tradnl" w:eastAsia="x-none"/>
        </w:rPr>
        <w:t>En efecto, tal como lo ha sostenido el Consejo de Estado, el vocablo «todos» utilizado por el legislador comprende</w:t>
      </w:r>
      <w:r w:rsidRPr="001E43FC">
        <w:rPr>
          <w:rFonts w:ascii="Arial" w:eastAsia="Calibri" w:hAnsi="Arial" w:cs="Arial"/>
          <w:sz w:val="20"/>
          <w:szCs w:val="20"/>
          <w:lang w:val="es-ES_tradnl"/>
        </w:rPr>
        <w:t xml:space="preserve"> </w:t>
      </w:r>
      <w:r w:rsidRPr="001E43FC">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8F5755B" w14:textId="77777777" w:rsidR="008A7C1A" w:rsidRPr="001E43FC" w:rsidRDefault="008A7C1A" w:rsidP="008A7C1A">
      <w:pPr>
        <w:widowControl w:val="0"/>
        <w:autoSpaceDE w:val="0"/>
        <w:autoSpaceDN w:val="0"/>
        <w:jc w:val="both"/>
        <w:rPr>
          <w:rFonts w:ascii="Arial" w:eastAsia="Arial" w:hAnsi="Arial" w:cs="Arial"/>
          <w:color w:val="000000" w:themeColor="text1"/>
          <w:sz w:val="20"/>
          <w:szCs w:val="20"/>
          <w:lang w:val="es-ES_tradnl" w:eastAsia="es-ES" w:bidi="es-ES"/>
        </w:rPr>
      </w:pPr>
    </w:p>
    <w:p w14:paraId="4BA3DFB3" w14:textId="77777777" w:rsidR="008A7C1A" w:rsidRDefault="008A7C1A" w:rsidP="008A7C1A">
      <w:pPr>
        <w:tabs>
          <w:tab w:val="left" w:pos="3374"/>
        </w:tabs>
        <w:jc w:val="both"/>
        <w:rPr>
          <w:rFonts w:ascii="Arial" w:hAnsi="Arial" w:cs="Arial"/>
          <w:b/>
          <w:sz w:val="20"/>
          <w:szCs w:val="20"/>
          <w:lang w:val="es-ES_tradnl" w:eastAsia="es-CO"/>
        </w:rPr>
      </w:pPr>
      <w:r w:rsidRPr="001E43FC">
        <w:rPr>
          <w:rFonts w:ascii="Arial" w:hAnsi="Arial" w:cs="Arial"/>
          <w:b/>
          <w:sz w:val="20"/>
          <w:szCs w:val="20"/>
          <w:lang w:val="es-ES_tradnl" w:eastAsia="es-CO"/>
        </w:rPr>
        <w:t>EMPRESAS DE SERVICIOS PÚBLICOS DOMICILIARIOS – Aplicación de la Ley 996 de 2005</w:t>
      </w:r>
    </w:p>
    <w:p w14:paraId="68C9C658" w14:textId="77777777" w:rsidR="008A7C1A" w:rsidRDefault="008A7C1A" w:rsidP="008A7C1A">
      <w:pPr>
        <w:tabs>
          <w:tab w:val="left" w:pos="3374"/>
        </w:tabs>
        <w:jc w:val="both"/>
        <w:rPr>
          <w:rFonts w:ascii="Arial" w:hAnsi="Arial" w:cs="Arial"/>
          <w:b/>
          <w:sz w:val="20"/>
          <w:szCs w:val="20"/>
          <w:lang w:val="es-ES_tradnl" w:eastAsia="es-CO"/>
        </w:rPr>
      </w:pPr>
    </w:p>
    <w:p w14:paraId="1FCB0286" w14:textId="77777777" w:rsidR="008A7C1A" w:rsidRPr="001E43FC" w:rsidRDefault="008A7C1A" w:rsidP="008A7C1A">
      <w:pPr>
        <w:tabs>
          <w:tab w:val="left" w:pos="3374"/>
        </w:tabs>
        <w:jc w:val="both"/>
        <w:rPr>
          <w:rFonts w:ascii="Arial" w:hAnsi="Arial" w:cs="Arial"/>
          <w:sz w:val="20"/>
          <w:szCs w:val="20"/>
        </w:rPr>
      </w:pPr>
      <w:r w:rsidRPr="001E43FC">
        <w:rPr>
          <w:rFonts w:ascii="Arial" w:hAnsi="Arial" w:cs="Arial"/>
          <w:sz w:val="20"/>
          <w:szCs w:val="20"/>
        </w:rPr>
        <w:t xml:space="preserve">Así, las empresas prestadoras de servicios públicos domiciliarios pueden ser catalogados como la categoría principal de los prestadores privados. De manera expresa, el artículo 17 de la Ley 142 de 1994 prevé la naturaleza jurídica de éstas </w:t>
      </w:r>
    </w:p>
    <w:p w14:paraId="4A2C9F61" w14:textId="77777777" w:rsidR="008A7C1A" w:rsidRPr="001E43FC" w:rsidRDefault="008A7C1A" w:rsidP="008A7C1A">
      <w:pPr>
        <w:tabs>
          <w:tab w:val="left" w:pos="3374"/>
        </w:tabs>
        <w:jc w:val="both"/>
        <w:rPr>
          <w:rFonts w:ascii="Arial" w:hAnsi="Arial" w:cs="Arial"/>
          <w:sz w:val="20"/>
          <w:szCs w:val="20"/>
        </w:rPr>
      </w:pPr>
      <w:r w:rsidRPr="001E43FC">
        <w:rPr>
          <w:rFonts w:ascii="Arial" w:hAnsi="Arial" w:cs="Arial"/>
          <w:sz w:val="20"/>
          <w:szCs w:val="20"/>
        </w:rPr>
        <w:t>[…]</w:t>
      </w:r>
    </w:p>
    <w:p w14:paraId="2CEB17C4" w14:textId="77777777" w:rsidR="008A7C1A" w:rsidRPr="001E43FC" w:rsidRDefault="008A7C1A" w:rsidP="008A7C1A">
      <w:pPr>
        <w:tabs>
          <w:tab w:val="left" w:pos="3374"/>
        </w:tabs>
        <w:jc w:val="both"/>
        <w:rPr>
          <w:rFonts w:ascii="Arial" w:hAnsi="Arial" w:cs="Arial"/>
          <w:sz w:val="20"/>
          <w:szCs w:val="20"/>
        </w:rPr>
      </w:pPr>
    </w:p>
    <w:p w14:paraId="51FB97A3" w14:textId="77777777" w:rsidR="008A7C1A" w:rsidRPr="001E43FC" w:rsidRDefault="008A7C1A" w:rsidP="008A7C1A">
      <w:pPr>
        <w:spacing w:before="120" w:after="120"/>
        <w:jc w:val="both"/>
        <w:rPr>
          <w:rFonts w:ascii="Arial" w:hAnsi="Arial" w:cs="Arial"/>
          <w:sz w:val="20"/>
          <w:szCs w:val="20"/>
          <w:lang w:val="es-ES_tradnl"/>
        </w:rPr>
      </w:pPr>
      <w:r w:rsidRPr="001E43FC">
        <w:rPr>
          <w:rFonts w:ascii="Arial" w:hAnsi="Arial" w:cs="Arial"/>
          <w:sz w:val="20"/>
          <w:szCs w:val="20"/>
          <w:lang w:val="es-ES_tradnl"/>
        </w:rPr>
        <w:t>resulta claro que son varias las razones que confirman la premisa que permite catalogar a las empresas oficiales de servicios públicos domiciliarios como entidad estatal. Además, es relevante subrayar que tanto la jurisprudencia constitucional</w:t>
      </w:r>
      <w:r w:rsidRPr="001E43FC">
        <w:rPr>
          <w:sz w:val="20"/>
          <w:szCs w:val="20"/>
        </w:rPr>
        <w:t xml:space="preserve"> </w:t>
      </w:r>
      <w:r w:rsidRPr="001E43FC">
        <w:rPr>
          <w:rFonts w:ascii="Arial" w:hAnsi="Arial" w:cs="Arial"/>
          <w:sz w:val="20"/>
          <w:szCs w:val="20"/>
          <w:lang w:val="es-ES_tradnl"/>
        </w:rPr>
        <w:t>como la contencioso - administrativa han concluido que las empresas oficiales de prestación de servicios públicos domiciliarios son, en términos del artículo 38 de la Ley 489 de 1998, administración pública. Por lo tanto, en función de la naturaleza jurídica de este tipo de prestadores de servicios públicos domiciliarios es posible concluir que le es plenamente aplicable la prohibición de contratación directa contenida en el artículo 33 de la Ley de Garantías Electorales, toda vez que las empresas oficiales de servicios públicos domiciliarios oficiales son entes estatales.</w:t>
      </w:r>
    </w:p>
    <w:p w14:paraId="3BF53576" w14:textId="77777777" w:rsidR="008A7C1A" w:rsidRDefault="008A7C1A" w:rsidP="008A7C1A">
      <w:pPr>
        <w:tabs>
          <w:tab w:val="left" w:pos="3374"/>
        </w:tabs>
        <w:jc w:val="both"/>
        <w:rPr>
          <w:rFonts w:ascii="Arial" w:eastAsia="Calibri" w:hAnsi="Arial" w:cs="Arial"/>
          <w:b/>
          <w:sz w:val="20"/>
          <w:szCs w:val="20"/>
        </w:rPr>
      </w:pPr>
    </w:p>
    <w:p w14:paraId="4910C343" w14:textId="77777777" w:rsidR="008A7C1A" w:rsidRDefault="008A7C1A" w:rsidP="008A7C1A">
      <w:pPr>
        <w:tabs>
          <w:tab w:val="left" w:pos="3374"/>
        </w:tabs>
        <w:jc w:val="both"/>
        <w:rPr>
          <w:rFonts w:ascii="Arial" w:eastAsia="Calibri" w:hAnsi="Arial" w:cs="Arial"/>
          <w:b/>
          <w:sz w:val="20"/>
          <w:szCs w:val="20"/>
        </w:rPr>
      </w:pPr>
    </w:p>
    <w:p w14:paraId="231FC18D" w14:textId="77777777" w:rsidR="008A7C1A" w:rsidRDefault="008A7C1A" w:rsidP="008A7C1A">
      <w:pPr>
        <w:tabs>
          <w:tab w:val="left" w:pos="3374"/>
        </w:tabs>
        <w:jc w:val="both"/>
        <w:rPr>
          <w:rFonts w:ascii="Arial" w:eastAsia="Calibri" w:hAnsi="Arial" w:cs="Arial"/>
          <w:b/>
          <w:sz w:val="20"/>
          <w:szCs w:val="20"/>
        </w:rPr>
      </w:pPr>
    </w:p>
    <w:p w14:paraId="1450FA65" w14:textId="77777777" w:rsidR="008A7C1A" w:rsidRDefault="008A7C1A" w:rsidP="008A7C1A">
      <w:pPr>
        <w:tabs>
          <w:tab w:val="left" w:pos="3374"/>
        </w:tabs>
        <w:jc w:val="both"/>
        <w:rPr>
          <w:rFonts w:ascii="Arial" w:eastAsia="Calibri" w:hAnsi="Arial" w:cs="Arial"/>
          <w:b/>
          <w:sz w:val="20"/>
          <w:szCs w:val="20"/>
        </w:rPr>
      </w:pPr>
    </w:p>
    <w:p w14:paraId="01A2A2B4" w14:textId="77777777" w:rsidR="008A7C1A" w:rsidRDefault="008A7C1A" w:rsidP="008A7C1A">
      <w:pPr>
        <w:tabs>
          <w:tab w:val="left" w:pos="3374"/>
        </w:tabs>
        <w:jc w:val="both"/>
        <w:rPr>
          <w:rFonts w:ascii="Arial" w:eastAsia="Calibri" w:hAnsi="Arial" w:cs="Arial"/>
          <w:b/>
          <w:sz w:val="20"/>
          <w:szCs w:val="20"/>
        </w:rPr>
      </w:pPr>
    </w:p>
    <w:p w14:paraId="574874BC" w14:textId="77777777" w:rsidR="008A7C1A" w:rsidRDefault="008A7C1A" w:rsidP="008A7C1A">
      <w:pPr>
        <w:tabs>
          <w:tab w:val="left" w:pos="3374"/>
        </w:tabs>
        <w:jc w:val="both"/>
        <w:rPr>
          <w:rFonts w:ascii="Arial" w:eastAsia="Calibri" w:hAnsi="Arial" w:cs="Arial"/>
          <w:b/>
          <w:sz w:val="20"/>
          <w:szCs w:val="20"/>
        </w:rPr>
      </w:pPr>
    </w:p>
    <w:p w14:paraId="11B3239F" w14:textId="77777777" w:rsidR="008A7C1A" w:rsidRDefault="008A7C1A" w:rsidP="008A7C1A">
      <w:pPr>
        <w:tabs>
          <w:tab w:val="left" w:pos="3374"/>
        </w:tabs>
        <w:jc w:val="both"/>
        <w:rPr>
          <w:rFonts w:ascii="Arial" w:eastAsia="Calibri" w:hAnsi="Arial" w:cs="Arial"/>
          <w:b/>
          <w:sz w:val="20"/>
          <w:szCs w:val="20"/>
        </w:rPr>
      </w:pPr>
    </w:p>
    <w:p w14:paraId="206A491B" w14:textId="77777777" w:rsidR="008A7C1A" w:rsidRDefault="008A7C1A" w:rsidP="008A7C1A">
      <w:pPr>
        <w:jc w:val="right"/>
      </w:pPr>
      <w:r>
        <w:lastRenderedPageBreak/>
        <w:fldChar w:fldCharType="begin"/>
      </w:r>
      <w:r>
        <w:instrText xml:space="preserve"> INCLUDEPICTURE "/var/folders/tb/0fmk9b510f57pz5rwhv8lnpw0000gp/T/com.microsoft.Word/WebArchiveCopyPasteTempFiles/page1image32507728" \* MERGEFORMATINET </w:instrText>
      </w:r>
      <w:r>
        <w:fldChar w:fldCharType="separate"/>
      </w:r>
      <w:r>
        <w:rPr>
          <w:noProof/>
        </w:rPr>
        <w:drawing>
          <wp:inline distT="0" distB="0" distL="0" distR="0" wp14:anchorId="5B6FEE4E" wp14:editId="701609D7">
            <wp:extent cx="2403475" cy="614045"/>
            <wp:effectExtent l="0" t="0" r="0" b="0"/>
            <wp:docPr id="1" name="Imagen 1" descr="page1image3250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5077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3475" cy="614045"/>
                    </a:xfrm>
                    <a:prstGeom prst="rect">
                      <a:avLst/>
                    </a:prstGeom>
                    <a:noFill/>
                    <a:ln>
                      <a:noFill/>
                    </a:ln>
                  </pic:spPr>
                </pic:pic>
              </a:graphicData>
            </a:graphic>
          </wp:inline>
        </w:drawing>
      </w:r>
      <w:r>
        <w:fldChar w:fldCharType="end"/>
      </w:r>
    </w:p>
    <w:p w14:paraId="28834915" w14:textId="77777777" w:rsidR="008A7C1A" w:rsidRDefault="008A7C1A" w:rsidP="008A7C1A"/>
    <w:p w14:paraId="4F976DEA" w14:textId="77777777" w:rsidR="008A7C1A" w:rsidRDefault="008A7C1A" w:rsidP="008A7C1A">
      <w:pPr>
        <w:rPr>
          <w:rFonts w:ascii="Arial" w:eastAsia="Calibri" w:hAnsi="Arial" w:cs="Arial"/>
          <w:sz w:val="22"/>
        </w:rPr>
      </w:pPr>
    </w:p>
    <w:p w14:paraId="7F608830" w14:textId="1C48340C" w:rsidR="008A7C1A" w:rsidRDefault="00EF45D8" w:rsidP="008A7C1A">
      <w:pPr>
        <w:rPr>
          <w:rFonts w:ascii="Arial" w:eastAsia="Calibri" w:hAnsi="Arial" w:cs="Arial"/>
          <w:sz w:val="22"/>
        </w:rPr>
      </w:pPr>
      <w:r>
        <w:rPr>
          <w:rFonts w:ascii="Arial" w:eastAsia="Calibri" w:hAnsi="Arial" w:cs="Arial"/>
          <w:sz w:val="22"/>
        </w:rPr>
        <w:t>Bogotá D.C., 27 de mayo de 2022</w:t>
      </w:r>
    </w:p>
    <w:p w14:paraId="20180EC7" w14:textId="77777777" w:rsidR="00EF45D8" w:rsidRPr="00481068" w:rsidRDefault="00EF45D8" w:rsidP="008A7C1A">
      <w:pPr>
        <w:rPr>
          <w:rFonts w:ascii="Arial" w:eastAsia="Calibri" w:hAnsi="Arial" w:cs="Arial"/>
          <w:sz w:val="22"/>
        </w:rPr>
      </w:pPr>
    </w:p>
    <w:p w14:paraId="3555A601" w14:textId="77777777" w:rsidR="008A7C1A" w:rsidRPr="00481068" w:rsidRDefault="008A7C1A" w:rsidP="008A7C1A">
      <w:pPr>
        <w:jc w:val="both"/>
        <w:rPr>
          <w:rFonts w:ascii="Arial" w:eastAsia="Calibri" w:hAnsi="Arial" w:cs="Arial"/>
          <w:sz w:val="22"/>
        </w:rPr>
      </w:pPr>
      <w:bookmarkStart w:id="6" w:name="_Hlk96417464"/>
      <w:r w:rsidRPr="00481068">
        <w:rPr>
          <w:rFonts w:ascii="Arial" w:eastAsia="Calibri" w:hAnsi="Arial" w:cs="Arial"/>
          <w:sz w:val="22"/>
        </w:rPr>
        <w:t>Señor</w:t>
      </w:r>
      <w:r>
        <w:rPr>
          <w:rFonts w:ascii="Arial" w:eastAsia="Calibri" w:hAnsi="Arial" w:cs="Arial"/>
          <w:sz w:val="22"/>
        </w:rPr>
        <w:t>es</w:t>
      </w:r>
    </w:p>
    <w:p w14:paraId="31CE44EA" w14:textId="77777777" w:rsidR="008A7C1A" w:rsidRDefault="008A7C1A" w:rsidP="008A7C1A">
      <w:pPr>
        <w:jc w:val="both"/>
        <w:rPr>
          <w:rFonts w:ascii="Arial" w:eastAsia="Calibri" w:hAnsi="Arial" w:cs="Arial"/>
          <w:b/>
          <w:sz w:val="22"/>
        </w:rPr>
      </w:pPr>
      <w:r w:rsidRPr="00D37744">
        <w:rPr>
          <w:rFonts w:ascii="Arial" w:eastAsia="Calibri" w:hAnsi="Arial" w:cs="Arial"/>
          <w:b/>
          <w:sz w:val="22"/>
        </w:rPr>
        <w:t xml:space="preserve">Empresa de servicios públicos de Agustín Codazzi </w:t>
      </w:r>
      <w:r>
        <w:rPr>
          <w:rFonts w:ascii="Arial" w:eastAsia="Calibri" w:hAnsi="Arial" w:cs="Arial"/>
          <w:b/>
          <w:sz w:val="22"/>
        </w:rPr>
        <w:t>(</w:t>
      </w:r>
      <w:r w:rsidRPr="00D37744">
        <w:rPr>
          <w:rFonts w:ascii="Arial" w:eastAsia="Calibri" w:hAnsi="Arial" w:cs="Arial"/>
          <w:b/>
          <w:sz w:val="22"/>
        </w:rPr>
        <w:t>EMCODAZZI ESP</w:t>
      </w:r>
      <w:r>
        <w:rPr>
          <w:rFonts w:ascii="Arial" w:eastAsia="Calibri" w:hAnsi="Arial" w:cs="Arial"/>
          <w:b/>
          <w:sz w:val="22"/>
        </w:rPr>
        <w:t>)</w:t>
      </w:r>
    </w:p>
    <w:p w14:paraId="51368299" w14:textId="77777777" w:rsidR="008A7C1A" w:rsidRPr="00094B98" w:rsidRDefault="008A7C1A" w:rsidP="008A7C1A">
      <w:pPr>
        <w:jc w:val="both"/>
        <w:rPr>
          <w:rFonts w:ascii="Arial" w:eastAsia="Calibri" w:hAnsi="Arial" w:cs="Arial"/>
          <w:bCs/>
          <w:sz w:val="22"/>
        </w:rPr>
      </w:pPr>
      <w:r w:rsidRPr="00094B98">
        <w:rPr>
          <w:rFonts w:ascii="Arial" w:eastAsia="Calibri" w:hAnsi="Arial" w:cs="Arial"/>
          <w:bCs/>
          <w:sz w:val="22"/>
        </w:rPr>
        <w:t>Bogotá. D.C</w:t>
      </w:r>
      <w:r>
        <w:rPr>
          <w:rFonts w:ascii="Arial" w:eastAsia="Calibri" w:hAnsi="Arial" w:cs="Arial"/>
          <w:bCs/>
          <w:sz w:val="22"/>
        </w:rPr>
        <w:t>.</w:t>
      </w:r>
    </w:p>
    <w:p w14:paraId="333D0D43" w14:textId="77777777" w:rsidR="008A7C1A" w:rsidRPr="00481068" w:rsidRDefault="008A7C1A" w:rsidP="008A7C1A">
      <w:pPr>
        <w:jc w:val="both"/>
        <w:rPr>
          <w:rFonts w:ascii="Arial" w:eastAsia="Calibri" w:hAnsi="Arial" w:cs="Arial"/>
          <w:b/>
          <w:sz w:val="22"/>
        </w:rPr>
      </w:pPr>
    </w:p>
    <w:p w14:paraId="48328979" w14:textId="77777777" w:rsidR="008A7C1A" w:rsidRPr="00481068" w:rsidRDefault="008A7C1A" w:rsidP="008A7C1A">
      <w:pPr>
        <w:jc w:val="both"/>
        <w:rPr>
          <w:rFonts w:ascii="Arial" w:eastAsia="Calibri" w:hAnsi="Arial" w:cs="Arial"/>
          <w:color w:val="FF0000"/>
          <w:sz w:val="22"/>
        </w:rPr>
      </w:pPr>
    </w:p>
    <w:p w14:paraId="55D0C165" w14:textId="77777777" w:rsidR="008A7C1A" w:rsidRPr="00481068" w:rsidRDefault="008A7C1A" w:rsidP="008A7C1A">
      <w:pPr>
        <w:jc w:val="both"/>
        <w:rPr>
          <w:rFonts w:ascii="Arial" w:eastAsia="Calibri" w:hAnsi="Arial" w:cs="Arial"/>
          <w:color w:val="FF0000"/>
          <w:sz w:val="22"/>
        </w:rPr>
      </w:pPr>
    </w:p>
    <w:p w14:paraId="449822BF" w14:textId="77777777" w:rsidR="008A7C1A" w:rsidRPr="00481068" w:rsidRDefault="008A7C1A" w:rsidP="008A7C1A">
      <w:pPr>
        <w:jc w:val="both"/>
        <w:rPr>
          <w:rFonts w:ascii="Arial" w:eastAsia="Calibri" w:hAnsi="Arial" w:cs="Arial"/>
          <w:sz w:val="22"/>
        </w:rPr>
      </w:pPr>
      <w:r w:rsidRPr="00481068">
        <w:rPr>
          <w:rFonts w:ascii="Arial" w:eastAsia="Calibri" w:hAnsi="Arial" w:cs="Arial"/>
          <w:sz w:val="22"/>
        </w:rPr>
        <w:t xml:space="preserve">                                            </w:t>
      </w:r>
      <w:r w:rsidRPr="00481068">
        <w:rPr>
          <w:rFonts w:ascii="Arial" w:eastAsia="Calibri" w:hAnsi="Arial" w:cs="Arial"/>
          <w:b/>
          <w:sz w:val="22"/>
        </w:rPr>
        <w:t xml:space="preserve">Concepto C – </w:t>
      </w:r>
      <w:r>
        <w:rPr>
          <w:rFonts w:ascii="Arial" w:eastAsia="Calibri" w:hAnsi="Arial" w:cs="Arial"/>
          <w:b/>
          <w:sz w:val="22"/>
        </w:rPr>
        <w:t xml:space="preserve">362 </w:t>
      </w:r>
      <w:r w:rsidRPr="00481068">
        <w:rPr>
          <w:rFonts w:ascii="Arial" w:eastAsia="Calibri" w:hAnsi="Arial" w:cs="Arial"/>
          <w:b/>
          <w:sz w:val="22"/>
        </w:rPr>
        <w:t>de 2022</w:t>
      </w:r>
      <w:r w:rsidRPr="00481068">
        <w:rPr>
          <w:rFonts w:ascii="Arial" w:eastAsia="Calibri" w:hAnsi="Arial" w:cs="Arial"/>
          <w:sz w:val="22"/>
        </w:rPr>
        <w:t xml:space="preserve"> </w:t>
      </w:r>
    </w:p>
    <w:p w14:paraId="1B79D82C" w14:textId="77777777" w:rsidR="008A7C1A" w:rsidRPr="00481068" w:rsidRDefault="008A7C1A" w:rsidP="008A7C1A">
      <w:pPr>
        <w:jc w:val="both"/>
        <w:rPr>
          <w:rFonts w:ascii="Arial" w:eastAsia="Calibri" w:hAnsi="Arial" w:cs="Arial"/>
          <w:b/>
          <w:sz w:val="22"/>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A7C1A" w:rsidRPr="00481068" w14:paraId="3C7D9D68" w14:textId="77777777" w:rsidTr="002C35E6">
        <w:trPr>
          <w:trHeight w:val="485"/>
        </w:trPr>
        <w:tc>
          <w:tcPr>
            <w:tcW w:w="2689" w:type="dxa"/>
            <w:hideMark/>
          </w:tcPr>
          <w:p w14:paraId="2C66E135" w14:textId="77777777" w:rsidR="008A7C1A" w:rsidRPr="00481068" w:rsidRDefault="008A7C1A" w:rsidP="002C35E6">
            <w:pPr>
              <w:contextualSpacing/>
              <w:rPr>
                <w:rFonts w:ascii="Arial" w:eastAsia="Calibri" w:hAnsi="Arial" w:cs="Arial"/>
                <w:noProof/>
                <w:lang w:val="es-ES_tradnl"/>
              </w:rPr>
            </w:pPr>
            <w:r w:rsidRPr="00481068">
              <w:rPr>
                <w:rFonts w:ascii="Arial" w:eastAsia="Calibri" w:hAnsi="Arial" w:cs="Arial"/>
                <w:b/>
                <w:noProof/>
                <w:lang w:val="es-ES_tradnl"/>
              </w:rPr>
              <w:t>Temas:</w:t>
            </w:r>
            <w:r w:rsidRPr="00481068">
              <w:rPr>
                <w:rFonts w:ascii="Arial" w:eastAsia="Calibri" w:hAnsi="Arial" w:cs="Arial"/>
                <w:noProof/>
                <w:lang w:val="es-ES_tradnl"/>
              </w:rPr>
              <w:t xml:space="preserve">        </w:t>
            </w:r>
          </w:p>
        </w:tc>
        <w:tc>
          <w:tcPr>
            <w:tcW w:w="6237" w:type="dxa"/>
            <w:hideMark/>
          </w:tcPr>
          <w:p w14:paraId="01DA8433" w14:textId="77777777" w:rsidR="008A7C1A" w:rsidRDefault="008A7C1A" w:rsidP="002C35E6">
            <w:pPr>
              <w:spacing w:after="120"/>
              <w:contextualSpacing/>
              <w:jc w:val="both"/>
              <w:rPr>
                <w:rFonts w:ascii="Arial" w:hAnsi="Arial" w:cs="Arial"/>
                <w:bCs/>
                <w:lang w:val="es-ES_tradnl" w:eastAsia="es-CO"/>
              </w:rPr>
            </w:pPr>
            <w:r w:rsidRPr="00481068">
              <w:rPr>
                <w:rFonts w:ascii="Arial" w:eastAsia="Calibri" w:hAnsi="Arial" w:cs="Arial"/>
                <w:bCs/>
                <w:color w:val="000000" w:themeColor="text1"/>
                <w:lang w:val="es-ES_tradnl"/>
              </w:rPr>
              <w:t xml:space="preserve">LEY DE GARANTÍAS ELECTORALES – Finalidad / LEY DE GARANTÍAS ELECTORALES ‒ Restricciones ‒ Contratación ‒ Tipos de elección / </w:t>
            </w:r>
            <w:r w:rsidRPr="00481068">
              <w:rPr>
                <w:rFonts w:ascii="Arial" w:eastAsia="Calibri" w:hAnsi="Arial" w:cs="Arial"/>
                <w:bCs/>
                <w:lang w:val="es-ES_tradnl"/>
              </w:rPr>
              <w:t xml:space="preserve">LEY DE GARANTÍAS ELECTORALES ─ Prohibición artículo 33 ‒ Contratación directa ‒ Alcance </w:t>
            </w:r>
            <w:r w:rsidRPr="00481068">
              <w:rPr>
                <w:rFonts w:ascii="Arial" w:hAnsi="Arial" w:cs="Arial"/>
                <w:lang w:val="es-ES_tradnl" w:eastAsia="es-CO"/>
              </w:rPr>
              <w:t xml:space="preserve">/ </w:t>
            </w:r>
            <w:r w:rsidRPr="00481068">
              <w:rPr>
                <w:rFonts w:ascii="Arial" w:hAnsi="Arial" w:cs="Arial"/>
                <w:bCs/>
                <w:lang w:val="es-ES_tradnl" w:eastAsia="es-CO"/>
              </w:rPr>
              <w:t xml:space="preserve">LEY DE GARANTÍAS ELECTORALES ‒ </w:t>
            </w:r>
            <w:r w:rsidRPr="00481068">
              <w:rPr>
                <w:rFonts w:ascii="Arial" w:hAnsi="Arial" w:cs="Arial"/>
                <w:lang w:val="es-ES_tradnl" w:eastAsia="es-CO"/>
              </w:rPr>
              <w:t xml:space="preserve">Prohibición del artículo 33 </w:t>
            </w:r>
            <w:r w:rsidRPr="00481068">
              <w:rPr>
                <w:rFonts w:ascii="Arial" w:hAnsi="Arial" w:cs="Arial"/>
                <w:bCs/>
                <w:lang w:val="es-ES_tradnl" w:eastAsia="es-CO"/>
              </w:rPr>
              <w:t xml:space="preserve">‒ Destinatarios </w:t>
            </w:r>
            <w:r>
              <w:rPr>
                <w:rFonts w:ascii="Arial" w:hAnsi="Arial" w:cs="Arial"/>
                <w:bCs/>
                <w:lang w:val="es-ES_tradnl" w:eastAsia="es-CO"/>
              </w:rPr>
              <w:t>/ EMPRESAS DE SERVICIOS PÚBLICOS DOMICILIARIOS – Aplicación de la Ley 996 de 2005</w:t>
            </w:r>
          </w:p>
          <w:p w14:paraId="370E591E" w14:textId="77777777" w:rsidR="008A7C1A" w:rsidRPr="00481068" w:rsidRDefault="008A7C1A" w:rsidP="002C35E6">
            <w:pPr>
              <w:spacing w:after="120"/>
              <w:contextualSpacing/>
              <w:jc w:val="both"/>
              <w:rPr>
                <w:rFonts w:ascii="Arial" w:eastAsia="Calibri" w:hAnsi="Arial" w:cs="Arial"/>
                <w:bCs/>
              </w:rPr>
            </w:pPr>
          </w:p>
        </w:tc>
      </w:tr>
      <w:tr w:rsidR="008A7C1A" w:rsidRPr="00481068" w14:paraId="3298F886" w14:textId="77777777" w:rsidTr="002C35E6">
        <w:trPr>
          <w:trHeight w:val="231"/>
        </w:trPr>
        <w:tc>
          <w:tcPr>
            <w:tcW w:w="2689" w:type="dxa"/>
          </w:tcPr>
          <w:p w14:paraId="3A0C7087" w14:textId="77777777" w:rsidR="008A7C1A" w:rsidRPr="00481068" w:rsidRDefault="008A7C1A" w:rsidP="002C35E6">
            <w:pPr>
              <w:contextualSpacing/>
              <w:rPr>
                <w:rFonts w:ascii="Arial" w:eastAsia="Calibri" w:hAnsi="Arial" w:cs="Arial"/>
                <w:b/>
                <w:noProof/>
                <w:lang w:val="es-ES_tradnl"/>
              </w:rPr>
            </w:pPr>
            <w:r w:rsidRPr="00481068">
              <w:rPr>
                <w:rFonts w:ascii="Arial" w:eastAsia="Calibri" w:hAnsi="Arial" w:cs="Arial"/>
                <w:b/>
                <w:noProof/>
                <w:lang w:val="es-ES_tradnl"/>
              </w:rPr>
              <w:t>Radicación:</w:t>
            </w:r>
            <w:r w:rsidRPr="00481068">
              <w:rPr>
                <w:rFonts w:ascii="Arial" w:eastAsia="Calibri" w:hAnsi="Arial" w:cs="Arial"/>
                <w:noProof/>
                <w:lang w:val="es-ES_tradnl"/>
              </w:rPr>
              <w:t xml:space="preserve">                              </w:t>
            </w:r>
          </w:p>
        </w:tc>
        <w:tc>
          <w:tcPr>
            <w:tcW w:w="6237" w:type="dxa"/>
          </w:tcPr>
          <w:p w14:paraId="0A45CB68" w14:textId="77777777" w:rsidR="008A7C1A" w:rsidRPr="00481068" w:rsidRDefault="008A7C1A" w:rsidP="002C35E6">
            <w:pPr>
              <w:jc w:val="both"/>
              <w:rPr>
                <w:rFonts w:ascii="Arial" w:eastAsia="Calibri" w:hAnsi="Arial" w:cs="Arial"/>
                <w:noProof/>
                <w:lang w:val="es-ES_tradnl"/>
              </w:rPr>
            </w:pPr>
            <w:r w:rsidRPr="00481068">
              <w:rPr>
                <w:rFonts w:ascii="Arial" w:eastAsia="Calibri" w:hAnsi="Arial" w:cs="Arial"/>
                <w:noProof/>
                <w:lang w:val="es-ES_tradnl"/>
              </w:rPr>
              <w:t xml:space="preserve">Respuesta a </w:t>
            </w:r>
            <w:r>
              <w:rPr>
                <w:rFonts w:ascii="Arial" w:eastAsia="Calibri" w:hAnsi="Arial" w:cs="Arial"/>
                <w:noProof/>
                <w:lang w:val="es-ES_tradnl"/>
              </w:rPr>
              <w:t xml:space="preserve">la consulta </w:t>
            </w:r>
            <w:r w:rsidRPr="00771E0D">
              <w:rPr>
                <w:rFonts w:ascii="Arial" w:hAnsi="Arial" w:cs="Arial"/>
              </w:rPr>
              <w:t>P20220422003960</w:t>
            </w:r>
          </w:p>
        </w:tc>
      </w:tr>
    </w:tbl>
    <w:p w14:paraId="3182F8CF" w14:textId="77777777" w:rsidR="008A7C1A" w:rsidRPr="00481068" w:rsidRDefault="008A7C1A" w:rsidP="008A7C1A">
      <w:pPr>
        <w:jc w:val="both"/>
        <w:rPr>
          <w:rFonts w:ascii="Arial" w:eastAsia="Calibri" w:hAnsi="Arial" w:cs="Arial"/>
          <w:sz w:val="22"/>
        </w:rPr>
      </w:pPr>
    </w:p>
    <w:p w14:paraId="088FE5A9" w14:textId="77777777" w:rsidR="008A7C1A" w:rsidRDefault="008A7C1A" w:rsidP="008A7C1A">
      <w:pPr>
        <w:jc w:val="both"/>
        <w:rPr>
          <w:rFonts w:ascii="Arial" w:eastAsia="Calibri" w:hAnsi="Arial" w:cs="Arial"/>
          <w:sz w:val="22"/>
        </w:rPr>
      </w:pPr>
    </w:p>
    <w:p w14:paraId="136A2A50" w14:textId="77777777" w:rsidR="008A7C1A" w:rsidRDefault="008A7C1A" w:rsidP="008A7C1A">
      <w:pPr>
        <w:spacing w:line="276" w:lineRule="auto"/>
        <w:jc w:val="both"/>
        <w:rPr>
          <w:rFonts w:ascii="Arial" w:eastAsia="Calibri" w:hAnsi="Arial" w:cs="Arial"/>
          <w:sz w:val="22"/>
        </w:rPr>
      </w:pPr>
      <w:r>
        <w:rPr>
          <w:rFonts w:ascii="Arial" w:eastAsia="Calibri" w:hAnsi="Arial" w:cs="Arial"/>
          <w:sz w:val="22"/>
        </w:rPr>
        <w:t xml:space="preserve">Estimados señores: </w:t>
      </w:r>
    </w:p>
    <w:p w14:paraId="6AE5EF17" w14:textId="77777777" w:rsidR="008A7C1A" w:rsidRPr="00481068" w:rsidRDefault="008A7C1A" w:rsidP="008A7C1A">
      <w:pPr>
        <w:spacing w:line="276" w:lineRule="auto"/>
        <w:jc w:val="both"/>
        <w:rPr>
          <w:rFonts w:ascii="Arial" w:eastAsia="Calibri" w:hAnsi="Arial" w:cs="Arial"/>
          <w:sz w:val="22"/>
        </w:rPr>
      </w:pPr>
    </w:p>
    <w:p w14:paraId="12122FC2" w14:textId="77777777" w:rsidR="008A7C1A" w:rsidRPr="00481068" w:rsidRDefault="008A7C1A" w:rsidP="008A7C1A">
      <w:pPr>
        <w:spacing w:line="276" w:lineRule="auto"/>
        <w:ind w:right="51"/>
        <w:jc w:val="both"/>
        <w:rPr>
          <w:rFonts w:ascii="Arial" w:eastAsia="Calibri" w:hAnsi="Arial" w:cs="Arial"/>
          <w:sz w:val="22"/>
        </w:rPr>
      </w:pPr>
      <w:r w:rsidRPr="00481068">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la consulta radicada </w:t>
      </w:r>
      <w:r>
        <w:rPr>
          <w:rFonts w:ascii="Arial" w:eastAsia="Calibri" w:hAnsi="Arial" w:cs="Arial"/>
          <w:sz w:val="22"/>
        </w:rPr>
        <w:t xml:space="preserve">el 22 </w:t>
      </w:r>
      <w:r w:rsidRPr="00481068">
        <w:rPr>
          <w:rFonts w:ascii="Arial" w:eastAsia="Calibri" w:hAnsi="Arial" w:cs="Arial"/>
          <w:sz w:val="22"/>
        </w:rPr>
        <w:t>de</w:t>
      </w:r>
      <w:r>
        <w:rPr>
          <w:rFonts w:ascii="Arial" w:eastAsia="Calibri" w:hAnsi="Arial" w:cs="Arial"/>
          <w:sz w:val="22"/>
        </w:rPr>
        <w:t xml:space="preserve"> abril</w:t>
      </w:r>
      <w:r w:rsidRPr="00481068">
        <w:rPr>
          <w:rFonts w:ascii="Arial" w:eastAsia="Calibri" w:hAnsi="Arial" w:cs="Arial"/>
          <w:sz w:val="22"/>
        </w:rPr>
        <w:t xml:space="preserve"> de 2022. </w:t>
      </w:r>
    </w:p>
    <w:p w14:paraId="5EBED641" w14:textId="77777777" w:rsidR="008A7C1A" w:rsidRPr="00481068" w:rsidRDefault="008A7C1A" w:rsidP="008A7C1A">
      <w:pPr>
        <w:spacing w:line="276" w:lineRule="auto"/>
        <w:jc w:val="both"/>
        <w:rPr>
          <w:rFonts w:ascii="Arial" w:eastAsia="Calibri" w:hAnsi="Arial" w:cs="Arial"/>
          <w:sz w:val="22"/>
        </w:rPr>
      </w:pPr>
    </w:p>
    <w:p w14:paraId="5A2E5EF8" w14:textId="77777777" w:rsidR="008A7C1A" w:rsidRPr="00481068" w:rsidRDefault="008A7C1A" w:rsidP="008A7C1A">
      <w:pPr>
        <w:tabs>
          <w:tab w:val="left" w:pos="284"/>
        </w:tabs>
        <w:spacing w:line="276" w:lineRule="auto"/>
        <w:jc w:val="both"/>
        <w:rPr>
          <w:rFonts w:ascii="Arial" w:eastAsia="Calibri" w:hAnsi="Arial" w:cs="Arial"/>
          <w:b/>
          <w:sz w:val="22"/>
        </w:rPr>
      </w:pPr>
      <w:r w:rsidRPr="00481068">
        <w:rPr>
          <w:rFonts w:ascii="Arial" w:eastAsia="Calibri" w:hAnsi="Arial" w:cs="Arial"/>
          <w:b/>
          <w:sz w:val="22"/>
        </w:rPr>
        <w:t xml:space="preserve">1. Problema planteado </w:t>
      </w:r>
    </w:p>
    <w:p w14:paraId="3FFE2463" w14:textId="77777777" w:rsidR="008A7C1A" w:rsidRDefault="008A7C1A" w:rsidP="008A7C1A">
      <w:pPr>
        <w:pStyle w:val="NormalWeb"/>
        <w:jc w:val="both"/>
        <w:rPr>
          <w:rFonts w:ascii="Arial" w:hAnsi="Arial" w:cs="Arial"/>
          <w:color w:val="000000"/>
          <w:sz w:val="22"/>
          <w:szCs w:val="22"/>
          <w:lang w:val="es-ES_tradnl"/>
        </w:rPr>
      </w:pPr>
      <w:bookmarkStart w:id="7" w:name="_Hlk58917991"/>
      <w:bookmarkStart w:id="8" w:name="_Hlk56103000"/>
      <w:bookmarkStart w:id="9" w:name="_Hlk98832248"/>
      <w:bookmarkStart w:id="10" w:name="_Hlk94514883"/>
      <w:r>
        <w:rPr>
          <w:rFonts w:ascii="Arial" w:hAnsi="Arial" w:cs="Arial"/>
          <w:color w:val="000000"/>
          <w:sz w:val="22"/>
          <w:szCs w:val="22"/>
          <w:lang w:val="es-ES_tradnl"/>
        </w:rPr>
        <w:t xml:space="preserve">Usted realiza la siguiente pregunta con base en la aplicación de las restricciones de la Ley de Garantías: </w:t>
      </w:r>
    </w:p>
    <w:p w14:paraId="13C6D112" w14:textId="77777777" w:rsidR="008A7C1A" w:rsidRPr="001E43FC" w:rsidRDefault="008A7C1A" w:rsidP="008A7C1A">
      <w:pPr>
        <w:pStyle w:val="NormalWeb"/>
        <w:spacing w:after="0" w:afterAutospacing="0"/>
        <w:ind w:left="709" w:right="709"/>
        <w:jc w:val="both"/>
        <w:rPr>
          <w:rFonts w:ascii="Arial" w:hAnsi="Arial" w:cs="Arial"/>
          <w:color w:val="000000"/>
          <w:sz w:val="22"/>
          <w:szCs w:val="22"/>
          <w:lang w:val="es-ES_tradnl"/>
        </w:rPr>
      </w:pPr>
      <w:r w:rsidRPr="000F1AC2">
        <w:rPr>
          <w:rFonts w:ascii="Arial" w:hAnsi="Arial" w:cs="Arial"/>
          <w:sz w:val="21"/>
          <w:szCs w:val="21"/>
        </w:rPr>
        <w:t xml:space="preserve">«Llego ante ustedes muy cordialmente solicitando concepto sobre si las empresas de servicios públicos domiciliarios del orden territorial (municipal) con patrimonio 100% público que prestan los servicios públicos de acueducto y alcantarillado pueden realizar contratación directa para garantizar la correcta prestación de los servicios durante la ley de garantías. En nuestro caso actualmente presentamos </w:t>
      </w:r>
      <w:r w:rsidRPr="000F1AC2">
        <w:rPr>
          <w:rFonts w:ascii="Arial" w:hAnsi="Arial" w:cs="Arial"/>
          <w:sz w:val="21"/>
          <w:szCs w:val="21"/>
        </w:rPr>
        <w:lastRenderedPageBreak/>
        <w:t>una contingencia sanitaria en el servicio público de alcantarillado debido a las lluvias presentadas la cual requiere la contratación directa con el fin de subsanar dicha contingencia.»</w:t>
      </w:r>
    </w:p>
    <w:bookmarkEnd w:id="7"/>
    <w:bookmarkEnd w:id="8"/>
    <w:bookmarkEnd w:id="9"/>
    <w:bookmarkEnd w:id="10"/>
    <w:p w14:paraId="4D4F509E" w14:textId="77777777" w:rsidR="008A7C1A" w:rsidRDefault="008A7C1A" w:rsidP="008A7C1A">
      <w:pPr>
        <w:tabs>
          <w:tab w:val="left" w:pos="284"/>
        </w:tabs>
        <w:spacing w:line="276" w:lineRule="auto"/>
        <w:jc w:val="both"/>
        <w:rPr>
          <w:rFonts w:ascii="Arial" w:eastAsia="Calibri" w:hAnsi="Arial" w:cs="Arial"/>
          <w:b/>
          <w:sz w:val="22"/>
        </w:rPr>
      </w:pPr>
    </w:p>
    <w:p w14:paraId="76D49643" w14:textId="77777777" w:rsidR="008A7C1A" w:rsidRDefault="008A7C1A" w:rsidP="008A7C1A">
      <w:pPr>
        <w:tabs>
          <w:tab w:val="left" w:pos="284"/>
        </w:tabs>
        <w:spacing w:line="276" w:lineRule="auto"/>
        <w:jc w:val="both"/>
        <w:rPr>
          <w:rFonts w:ascii="Arial" w:eastAsia="Calibri" w:hAnsi="Arial" w:cs="Arial"/>
          <w:b/>
          <w:sz w:val="22"/>
        </w:rPr>
      </w:pPr>
      <w:r w:rsidRPr="00481068">
        <w:rPr>
          <w:rFonts w:ascii="Arial" w:eastAsia="Calibri" w:hAnsi="Arial" w:cs="Arial"/>
          <w:b/>
          <w:sz w:val="22"/>
        </w:rPr>
        <w:t>2. Consideraciones</w:t>
      </w:r>
    </w:p>
    <w:p w14:paraId="54957283" w14:textId="77777777" w:rsidR="008A7C1A" w:rsidRPr="00481068" w:rsidRDefault="008A7C1A" w:rsidP="008A7C1A">
      <w:pPr>
        <w:tabs>
          <w:tab w:val="left" w:pos="426"/>
        </w:tabs>
        <w:spacing w:line="276" w:lineRule="auto"/>
        <w:ind w:firstLine="709"/>
        <w:jc w:val="both"/>
        <w:rPr>
          <w:rFonts w:ascii="Arial" w:eastAsia="Calibri" w:hAnsi="Arial" w:cs="Arial"/>
          <w:bCs/>
          <w:sz w:val="22"/>
        </w:rPr>
      </w:pPr>
    </w:p>
    <w:p w14:paraId="0456F445" w14:textId="77777777" w:rsidR="008A7C1A" w:rsidRPr="00481068" w:rsidRDefault="008A7C1A" w:rsidP="008A7C1A">
      <w:pPr>
        <w:spacing w:line="276" w:lineRule="auto"/>
        <w:jc w:val="both"/>
        <w:rPr>
          <w:rFonts w:ascii="Arial" w:eastAsia="Calibri" w:hAnsi="Arial" w:cs="Arial"/>
          <w:color w:val="000000"/>
          <w:sz w:val="22"/>
        </w:rPr>
      </w:pPr>
      <w:r w:rsidRPr="00481068">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1"/>
      </w:r>
      <w:r w:rsidRPr="00481068">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16E5A507" w14:textId="77777777" w:rsidR="008A7C1A" w:rsidRPr="00481068" w:rsidRDefault="008A7C1A" w:rsidP="008A7C1A">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02F8CC99" w14:textId="77777777" w:rsidR="008A7C1A" w:rsidRPr="00481068" w:rsidRDefault="008A7C1A" w:rsidP="008A7C1A">
      <w:pPr>
        <w:spacing w:before="120" w:line="276" w:lineRule="auto"/>
        <w:ind w:firstLine="708"/>
        <w:jc w:val="both"/>
        <w:rPr>
          <w:rFonts w:ascii="Arial" w:eastAsia="Calibri" w:hAnsi="Arial" w:cs="Arial"/>
          <w:color w:val="000000"/>
          <w:sz w:val="22"/>
        </w:rPr>
      </w:pPr>
      <w:r w:rsidRPr="00481068">
        <w:rPr>
          <w:rFonts w:ascii="Arial" w:eastAsia="Calibri" w:hAnsi="Arial" w:cs="Arial"/>
          <w:bCs/>
          <w:color w:val="000000"/>
          <w:sz w:val="22"/>
          <w:lang w:eastAsia="es-CO"/>
        </w:rPr>
        <w:t xml:space="preserve">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w:t>
      </w:r>
      <w:r w:rsidRPr="00481068">
        <w:rPr>
          <w:rFonts w:ascii="Arial" w:eastAsia="Calibri" w:hAnsi="Arial" w:cs="Arial"/>
          <w:bCs/>
          <w:color w:val="000000"/>
          <w:sz w:val="22"/>
          <w:lang w:eastAsia="es-CO"/>
        </w:rPr>
        <w:lastRenderedPageBreak/>
        <w:t>general para que los partícipes del sistema de compras y contratación pública adopten la decisión que corresponda, lo cual es acorde con el principio de juridicidad.</w:t>
      </w:r>
    </w:p>
    <w:p w14:paraId="1DCDAEE6" w14:textId="77777777" w:rsidR="008A7C1A" w:rsidRPr="00481068" w:rsidRDefault="008A7C1A" w:rsidP="008A7C1A">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 xml:space="preserve">Sin perjuicio de lo anterior, </w:t>
      </w:r>
      <w:r w:rsidRPr="00481068">
        <w:rPr>
          <w:rFonts w:ascii="Arial" w:eastAsia="Calibri" w:hAnsi="Arial" w:cs="Arial"/>
          <w:color w:val="000000"/>
          <w:sz w:val="22"/>
          <w:lang w:val="es-ES"/>
        </w:rPr>
        <w:t xml:space="preserve">la Agencia –dentro de los límites de sus atribuciones, esto es, </w:t>
      </w:r>
      <w:bookmarkStart w:id="11" w:name="_Hlk61025408"/>
      <w:r w:rsidRPr="00481068">
        <w:rPr>
          <w:rFonts w:ascii="Arial" w:eastAsia="Calibri" w:hAnsi="Arial" w:cs="Arial"/>
          <w:color w:val="000000"/>
          <w:sz w:val="22"/>
          <w:lang w:val="es-ES"/>
        </w:rPr>
        <w:t>haciendo abstracción del caso particular expuesto por el peticionario</w:t>
      </w:r>
      <w:bookmarkEnd w:id="11"/>
      <w:r w:rsidRPr="00481068">
        <w:rPr>
          <w:rFonts w:ascii="Arial" w:eastAsia="Calibri" w:hAnsi="Arial" w:cs="Arial"/>
          <w:color w:val="000000"/>
          <w:sz w:val="22"/>
          <w:lang w:val="es-ES"/>
        </w:rPr>
        <w:t xml:space="preserve">– resolverá la consulta conforme a las normas generales en materia de contratación estatal. </w:t>
      </w:r>
      <w:r w:rsidRPr="00481068">
        <w:rPr>
          <w:rFonts w:ascii="Arial" w:eastAsia="Calibri" w:hAnsi="Arial" w:cs="Arial"/>
          <w:color w:val="000000" w:themeColor="text1"/>
          <w:sz w:val="22"/>
          <w:lang w:val="es-ES"/>
        </w:rPr>
        <w:t>Con este objetivo se analizarán los siguientes temas</w:t>
      </w:r>
      <w:r w:rsidRPr="00481068">
        <w:rPr>
          <w:rFonts w:ascii="Arial" w:eastAsia="Calibri" w:hAnsi="Arial" w:cs="Arial"/>
          <w:color w:val="000000"/>
          <w:sz w:val="22"/>
        </w:rPr>
        <w:t xml:space="preserve">: </w:t>
      </w:r>
      <w:r w:rsidRPr="00481068">
        <w:rPr>
          <w:rFonts w:ascii="Arial" w:eastAsia="Calibri" w:hAnsi="Arial" w:cs="Arial"/>
          <w:color w:val="000000"/>
          <w:sz w:val="22"/>
          <w:lang w:val="es-ES_tradnl"/>
        </w:rPr>
        <w:t xml:space="preserve">i) </w:t>
      </w:r>
      <w:r w:rsidRPr="00831FFE">
        <w:rPr>
          <w:rFonts w:ascii="Arial" w:eastAsia="Calibri" w:hAnsi="Arial" w:cs="Arial"/>
          <w:sz w:val="22"/>
          <w:lang w:val="es-ES_tradnl"/>
        </w:rPr>
        <w:t>Definición y finalidad de la Ley de Garantías Electorales: alcance de las restricciones</w:t>
      </w:r>
      <w:r w:rsidRPr="00831FFE">
        <w:rPr>
          <w:rFonts w:ascii="Arial" w:eastAsia="Calibri" w:hAnsi="Arial" w:cs="Arial"/>
          <w:color w:val="000000"/>
          <w:sz w:val="22"/>
          <w:lang w:val="es-ES_tradnl"/>
        </w:rPr>
        <w:t xml:space="preserve"> «Ley de Garantías Electorales»–,</w:t>
      </w:r>
      <w:r w:rsidRPr="00481068">
        <w:rPr>
          <w:rFonts w:ascii="Arial" w:eastAsia="Calibri" w:hAnsi="Arial" w:cs="Arial"/>
          <w:color w:val="000000"/>
          <w:sz w:val="22"/>
          <w:lang w:val="es-ES_tradnl"/>
        </w:rPr>
        <w:t xml:space="preserve"> ii) restricciones especiales aplicables de cara a las elecciones presidenciales</w:t>
      </w:r>
      <w:r>
        <w:rPr>
          <w:rFonts w:ascii="Arial" w:eastAsia="Calibri" w:hAnsi="Arial" w:cs="Arial"/>
          <w:color w:val="000000"/>
          <w:sz w:val="22"/>
          <w:lang w:val="es-ES_tradnl"/>
        </w:rPr>
        <w:t>, iii) destinatarios de las restricción del artículo 33 y</w:t>
      </w:r>
      <w:r w:rsidRPr="00481068">
        <w:rPr>
          <w:rFonts w:ascii="Arial" w:eastAsia="Calibri" w:hAnsi="Arial" w:cs="Arial"/>
          <w:color w:val="000000"/>
          <w:sz w:val="22"/>
          <w:lang w:val="es-ES_tradnl"/>
        </w:rPr>
        <w:t xml:space="preserve"> </w:t>
      </w:r>
      <w:r>
        <w:rPr>
          <w:rFonts w:ascii="Arial" w:eastAsia="Calibri" w:hAnsi="Arial" w:cs="Arial"/>
          <w:color w:val="000000"/>
          <w:sz w:val="22"/>
          <w:lang w:val="es-ES_tradnl"/>
        </w:rPr>
        <w:t>iv</w:t>
      </w:r>
      <w:r w:rsidRPr="00481068">
        <w:rPr>
          <w:rFonts w:ascii="Arial" w:eastAsia="Calibri" w:hAnsi="Arial" w:cs="Arial"/>
          <w:color w:val="000000"/>
          <w:sz w:val="22"/>
          <w:lang w:val="es-ES_tradnl"/>
        </w:rPr>
        <w:t xml:space="preserve">) </w:t>
      </w:r>
      <w:r>
        <w:rPr>
          <w:rFonts w:ascii="Arial" w:hAnsi="Arial" w:cs="Arial"/>
          <w:sz w:val="22"/>
        </w:rPr>
        <w:t>n</w:t>
      </w:r>
      <w:r w:rsidRPr="00831FFE">
        <w:rPr>
          <w:rFonts w:ascii="Arial" w:hAnsi="Arial" w:cs="Arial"/>
          <w:sz w:val="22"/>
        </w:rPr>
        <w:t>aturaleza y régimen jurídicos contractual de las empresas oficiales prestadoras de servicios públicos domiciliarios: aplicación del artículo 33 de la Ley de garantías</w:t>
      </w:r>
      <w:r>
        <w:rPr>
          <w:rFonts w:ascii="Arial" w:hAnsi="Arial" w:cs="Arial"/>
          <w:sz w:val="22"/>
        </w:rPr>
        <w:t xml:space="preserve">. </w:t>
      </w:r>
    </w:p>
    <w:p w14:paraId="76BB7290" w14:textId="77777777" w:rsidR="008A7C1A" w:rsidRPr="00807DCD" w:rsidRDefault="008A7C1A" w:rsidP="008A7C1A">
      <w:pPr>
        <w:tabs>
          <w:tab w:val="left" w:pos="426"/>
        </w:tabs>
        <w:spacing w:before="120" w:line="276" w:lineRule="auto"/>
        <w:ind w:firstLine="709"/>
        <w:jc w:val="both"/>
        <w:rPr>
          <w:rFonts w:ascii="Arial" w:hAnsi="Arial" w:cs="Arial"/>
          <w:sz w:val="22"/>
        </w:rPr>
      </w:pPr>
      <w:r w:rsidRPr="00481068">
        <w:rPr>
          <w:rFonts w:ascii="Arial" w:eastAsia="Calibri" w:hAnsi="Arial" w:cs="Arial"/>
          <w:color w:val="000000"/>
          <w:sz w:val="22"/>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 y C-077 del 17 de marzo de 2022, entre otros</w:t>
      </w:r>
      <w:bookmarkStart w:id="12" w:name="_Hlk102372764"/>
      <w:bookmarkStart w:id="13" w:name="_Hlk102372981"/>
      <w:r>
        <w:rPr>
          <w:rFonts w:ascii="Arial" w:eastAsia="Calibri" w:hAnsi="Arial" w:cs="Arial"/>
          <w:sz w:val="22"/>
        </w:rPr>
        <w:t>, p</w:t>
      </w:r>
      <w:r w:rsidRPr="00481068">
        <w:rPr>
          <w:rFonts w:ascii="Arial" w:eastAsia="Calibri" w:hAnsi="Arial" w:cs="Arial"/>
          <w:sz w:val="22"/>
        </w:rPr>
        <w:t>or tanto,</w:t>
      </w:r>
      <w:r w:rsidRPr="00481068">
        <w:rPr>
          <w:rFonts w:ascii="Arial" w:eastAsia="Calibri" w:hAnsi="Arial" w:cs="Arial"/>
          <w:sz w:val="22"/>
          <w:lang w:val="es-ES"/>
        </w:rPr>
        <w:t xml:space="preserve"> la tesis desarrollada en </w:t>
      </w:r>
      <w:r>
        <w:rPr>
          <w:rFonts w:ascii="Arial" w:eastAsia="Calibri" w:hAnsi="Arial" w:cs="Arial"/>
          <w:sz w:val="22"/>
          <w:lang w:val="es-ES"/>
        </w:rPr>
        <w:t xml:space="preserve">ellos </w:t>
      </w:r>
      <w:r w:rsidRPr="00481068">
        <w:rPr>
          <w:rFonts w:ascii="Arial" w:eastAsia="Calibri" w:hAnsi="Arial" w:cs="Arial"/>
          <w:sz w:val="22"/>
          <w:lang w:val="es-ES"/>
        </w:rPr>
        <w:t>se reitera a continuación</w:t>
      </w:r>
      <w:bookmarkEnd w:id="12"/>
      <w:r w:rsidRPr="00481068">
        <w:rPr>
          <w:rFonts w:ascii="Arial" w:eastAsia="Calibri" w:hAnsi="Arial" w:cs="Arial"/>
          <w:sz w:val="22"/>
          <w:lang w:val="es-ES"/>
        </w:rPr>
        <w:t>:</w:t>
      </w:r>
    </w:p>
    <w:bookmarkEnd w:id="13"/>
    <w:p w14:paraId="1026FA52" w14:textId="77777777" w:rsidR="008A7C1A" w:rsidRDefault="008A7C1A" w:rsidP="008A7C1A">
      <w:pPr>
        <w:tabs>
          <w:tab w:val="left" w:pos="426"/>
        </w:tabs>
        <w:spacing w:line="276" w:lineRule="auto"/>
        <w:jc w:val="both"/>
        <w:rPr>
          <w:rFonts w:ascii="Arial" w:eastAsia="Calibri" w:hAnsi="Arial" w:cs="Arial"/>
          <w:b/>
          <w:bCs/>
          <w:sz w:val="22"/>
          <w:lang w:val="es-ES_tradnl"/>
        </w:rPr>
      </w:pPr>
    </w:p>
    <w:p w14:paraId="425DE6F1" w14:textId="77777777" w:rsidR="008A7C1A" w:rsidRPr="00481068" w:rsidRDefault="008A7C1A" w:rsidP="008A7C1A">
      <w:pPr>
        <w:tabs>
          <w:tab w:val="left" w:pos="426"/>
        </w:tabs>
        <w:spacing w:line="276" w:lineRule="auto"/>
        <w:jc w:val="both"/>
        <w:rPr>
          <w:rFonts w:ascii="Arial" w:eastAsia="Calibri" w:hAnsi="Arial" w:cs="Arial"/>
          <w:b/>
          <w:bCs/>
          <w:sz w:val="22"/>
          <w:lang w:val="es-ES_tradnl"/>
        </w:rPr>
      </w:pPr>
      <w:r w:rsidRPr="00481068">
        <w:rPr>
          <w:rFonts w:ascii="Arial" w:eastAsia="Calibri" w:hAnsi="Arial" w:cs="Arial"/>
          <w:b/>
          <w:bCs/>
          <w:sz w:val="22"/>
          <w:lang w:val="es-ES_tradnl"/>
        </w:rPr>
        <w:t>2.1. Definición y finalidad de la Ley de Garantías Electorales: alcance de las restricciones</w:t>
      </w:r>
    </w:p>
    <w:p w14:paraId="27718C83" w14:textId="77777777" w:rsidR="008A7C1A" w:rsidRPr="00481068" w:rsidRDefault="008A7C1A" w:rsidP="008A7C1A">
      <w:pPr>
        <w:tabs>
          <w:tab w:val="left" w:pos="426"/>
        </w:tabs>
        <w:spacing w:line="276" w:lineRule="auto"/>
        <w:ind w:firstLine="709"/>
        <w:jc w:val="both"/>
        <w:rPr>
          <w:rFonts w:ascii="Arial" w:eastAsia="Calibri" w:hAnsi="Arial" w:cs="Arial"/>
          <w:bCs/>
          <w:sz w:val="22"/>
          <w:lang w:val="es-ES_tradnl"/>
        </w:rPr>
      </w:pPr>
    </w:p>
    <w:p w14:paraId="4A2832B7" w14:textId="77777777" w:rsidR="008A7C1A" w:rsidRPr="00481068" w:rsidRDefault="008A7C1A" w:rsidP="008A7C1A">
      <w:pPr>
        <w:tabs>
          <w:tab w:val="left" w:pos="426"/>
        </w:tabs>
        <w:spacing w:after="120" w:line="276" w:lineRule="auto"/>
        <w:jc w:val="both"/>
        <w:rPr>
          <w:rFonts w:ascii="Arial" w:hAnsi="Arial" w:cs="Arial"/>
          <w:bCs/>
          <w:sz w:val="22"/>
          <w:lang w:eastAsia="es-CO"/>
        </w:rPr>
      </w:pPr>
      <w:r w:rsidRPr="00481068">
        <w:rPr>
          <w:rFonts w:ascii="Arial" w:eastAsia="Calibri" w:hAnsi="Arial" w:cs="Arial"/>
          <w:bCs/>
          <w:sz w:val="22"/>
        </w:rPr>
        <w:t>El ordenamiento jurídico colombiano contempla previsiones claras para evitar la obtención de beneficios personales en asuntos propios de la administración pública</w:t>
      </w:r>
      <w:r w:rsidRPr="00481068">
        <w:rPr>
          <w:rFonts w:ascii="Arial" w:eastAsia="Calibri" w:hAnsi="Arial" w:cs="Arial"/>
          <w:bCs/>
          <w:i/>
          <w:iCs/>
          <w:sz w:val="22"/>
        </w:rPr>
        <w:t xml:space="preserve">. </w:t>
      </w:r>
      <w:r w:rsidRPr="00481068">
        <w:rPr>
          <w:rFonts w:ascii="Arial" w:eastAsia="Calibri" w:hAnsi="Arial" w:cs="Arial"/>
          <w:bCs/>
          <w:sz w:val="22"/>
        </w:rPr>
        <w:t xml:space="preserve">Por ejemplo, el artículo 127 de la Constitución Política establece una prohibición contractual a los servidores públicos </w:t>
      </w:r>
      <w:r w:rsidRPr="00481068">
        <w:rPr>
          <w:rFonts w:ascii="Arial" w:eastAsia="Calibri" w:hAnsi="Arial" w:cs="Arial"/>
          <w:bCs/>
          <w:sz w:val="22"/>
        </w:rPr>
        <w:lastRenderedPageBreak/>
        <w:t>y en cuanto a aspectos políticos consagra restricciones a ciertos empleados del Estado, incluso en época no electoral</w:t>
      </w:r>
      <w:r w:rsidRPr="00481068">
        <w:rPr>
          <w:rFonts w:ascii="Arial" w:eastAsia="Calibri" w:hAnsi="Arial" w:cs="Arial"/>
          <w:bCs/>
          <w:sz w:val="22"/>
          <w:vertAlign w:val="superscript"/>
        </w:rPr>
        <w:footnoteReference w:id="2"/>
      </w:r>
      <w:r w:rsidRPr="00481068">
        <w:rPr>
          <w:rFonts w:ascii="Arial" w:eastAsia="Calibri" w:hAnsi="Arial" w:cs="Arial"/>
          <w:bCs/>
          <w:sz w:val="22"/>
        </w:rPr>
        <w:t xml:space="preserve">. </w:t>
      </w:r>
    </w:p>
    <w:p w14:paraId="032E6802" w14:textId="77777777" w:rsidR="008A7C1A" w:rsidRPr="00481068" w:rsidRDefault="008A7C1A" w:rsidP="008A7C1A">
      <w:pPr>
        <w:tabs>
          <w:tab w:val="left" w:pos="426"/>
        </w:tabs>
        <w:spacing w:line="276" w:lineRule="auto"/>
        <w:ind w:firstLine="709"/>
        <w:jc w:val="both"/>
        <w:rPr>
          <w:rFonts w:ascii="Arial" w:hAnsi="Arial" w:cs="Arial"/>
          <w:bCs/>
          <w:sz w:val="22"/>
          <w:lang w:eastAsia="es-CO"/>
        </w:rPr>
      </w:pPr>
      <w:r w:rsidRPr="00481068">
        <w:rPr>
          <w:rFonts w:ascii="Arial" w:hAnsi="Arial" w:cs="Arial"/>
          <w:bCs/>
          <w:sz w:val="22"/>
          <w:lang w:eastAsia="es-CO"/>
        </w:rPr>
        <w:t xml:space="preserve">En el mismo sentido, </w:t>
      </w:r>
      <w:bookmarkStart w:id="14" w:name="_Hlk99576829"/>
      <w:r w:rsidRPr="00481068">
        <w:rPr>
          <w:rFonts w:ascii="Arial" w:hAnsi="Arial" w:cs="Arial"/>
          <w:bCs/>
          <w:sz w:val="22"/>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068">
        <w:rPr>
          <w:rFonts w:ascii="Arial" w:hAnsi="Arial" w:cs="Arial"/>
          <w:bCs/>
          <w:sz w:val="22"/>
          <w:vertAlign w:val="superscript"/>
          <w:lang w:eastAsia="es-CO"/>
        </w:rPr>
        <w:footnoteReference w:id="3"/>
      </w:r>
      <w:r w:rsidRPr="00481068">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eastAsia="Calibri" w:hAnsi="Arial" w:cs="Arial"/>
          <w:noProof/>
          <w:sz w:val="22"/>
          <w:lang w:val="es-ES_tradnl"/>
        </w:rPr>
        <w:t xml:space="preserve"> </w:t>
      </w:r>
      <w:bookmarkEnd w:id="14"/>
      <w:r w:rsidRPr="00481068">
        <w:rPr>
          <w:rFonts w:ascii="Arial" w:hAnsi="Arial" w:cs="Arial"/>
          <w:bCs/>
          <w:sz w:val="22"/>
          <w:lang w:eastAsia="es-CO"/>
        </w:rPr>
        <w:t>En armonía con lo anterior, la Corte Constitucional ha abordado la definición de la Ley de Garantías Electorales. De esta manera, explica que tiene como propósito:</w:t>
      </w:r>
    </w:p>
    <w:p w14:paraId="2658B9D1" w14:textId="77777777" w:rsidR="008A7C1A" w:rsidRPr="00481068" w:rsidRDefault="008A7C1A" w:rsidP="008A7C1A">
      <w:pPr>
        <w:spacing w:line="276" w:lineRule="auto"/>
        <w:ind w:right="709"/>
        <w:contextualSpacing/>
        <w:jc w:val="both"/>
        <w:rPr>
          <w:rFonts w:ascii="Arial" w:hAnsi="Arial" w:cs="Arial"/>
          <w:sz w:val="22"/>
          <w:lang w:val="es-ES" w:eastAsia="es-CO"/>
        </w:rPr>
      </w:pPr>
    </w:p>
    <w:p w14:paraId="34DD5D65" w14:textId="77777777" w:rsidR="008A7C1A" w:rsidRPr="00481068" w:rsidRDefault="008A7C1A" w:rsidP="008A7C1A">
      <w:pPr>
        <w:ind w:left="709" w:right="709"/>
        <w:contextualSpacing/>
        <w:jc w:val="both"/>
        <w:rPr>
          <w:rFonts w:ascii="Arial" w:hAnsi="Arial" w:cs="Arial"/>
          <w:bCs/>
          <w:sz w:val="21"/>
          <w:szCs w:val="21"/>
          <w:lang w:eastAsia="es-CO"/>
        </w:rPr>
      </w:pPr>
      <w:r w:rsidRPr="006337DF">
        <w:rPr>
          <w:rFonts w:ascii="Arial" w:hAnsi="Arial" w:cs="Arial"/>
          <w:sz w:val="21"/>
          <w:szCs w:val="21"/>
        </w:rPr>
        <w:t>«</w:t>
      </w:r>
      <w:r w:rsidRPr="00481068">
        <w:rPr>
          <w:rFonts w:ascii="Arial" w:hAnsi="Arial" w:cs="Arial"/>
          <w:sz w:val="21"/>
          <w:szCs w:val="21"/>
          <w:lang w:val="es-ES" w:eastAsia="es-CO"/>
        </w:rPr>
        <w:t xml:space="preserve">[…] </w:t>
      </w:r>
      <w:r w:rsidRPr="00481068">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2B54CDB3" w14:textId="77777777" w:rsidR="008A7C1A" w:rsidRPr="00481068" w:rsidRDefault="008A7C1A" w:rsidP="008A7C1A">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 xml:space="preserve">[…] </w:t>
      </w:r>
    </w:p>
    <w:p w14:paraId="6F6415FB" w14:textId="77777777" w:rsidR="008A7C1A" w:rsidRPr="00481068" w:rsidRDefault="008A7C1A" w:rsidP="008A7C1A">
      <w:pPr>
        <w:ind w:right="709"/>
        <w:contextualSpacing/>
        <w:jc w:val="both"/>
        <w:rPr>
          <w:rFonts w:ascii="Arial" w:hAnsi="Arial" w:cs="Arial"/>
          <w:bCs/>
          <w:sz w:val="21"/>
          <w:szCs w:val="21"/>
          <w:lang w:eastAsia="es-CO"/>
        </w:rPr>
      </w:pPr>
    </w:p>
    <w:p w14:paraId="6DAC22BC" w14:textId="77777777" w:rsidR="008A7C1A" w:rsidRPr="00481068" w:rsidRDefault="008A7C1A" w:rsidP="008A7C1A">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337DF">
        <w:rPr>
          <w:rFonts w:ascii="Arial" w:hAnsi="Arial" w:cs="Arial"/>
          <w:sz w:val="21"/>
          <w:szCs w:val="21"/>
        </w:rPr>
        <w:t>»</w:t>
      </w:r>
      <w:r w:rsidRPr="00481068">
        <w:rPr>
          <w:rFonts w:ascii="Arial" w:eastAsia="Calibri" w:hAnsi="Arial" w:cs="Arial"/>
          <w:sz w:val="20"/>
          <w:szCs w:val="20"/>
          <w:vertAlign w:val="superscript"/>
        </w:rPr>
        <w:footnoteReference w:id="4"/>
      </w:r>
    </w:p>
    <w:p w14:paraId="7FBD7D81" w14:textId="77777777" w:rsidR="008A7C1A" w:rsidRPr="00481068" w:rsidRDefault="008A7C1A" w:rsidP="008A7C1A">
      <w:pPr>
        <w:spacing w:line="276" w:lineRule="auto"/>
        <w:ind w:left="709" w:right="709"/>
        <w:contextualSpacing/>
        <w:jc w:val="both"/>
        <w:rPr>
          <w:rFonts w:ascii="Arial" w:hAnsi="Arial" w:cs="Arial"/>
          <w:bCs/>
          <w:sz w:val="22"/>
          <w:lang w:eastAsia="es-CO"/>
        </w:rPr>
      </w:pPr>
    </w:p>
    <w:p w14:paraId="2384BDC5" w14:textId="77777777" w:rsidR="008A7C1A" w:rsidRPr="00481068" w:rsidRDefault="008A7C1A" w:rsidP="008A7C1A">
      <w:pPr>
        <w:spacing w:line="276" w:lineRule="auto"/>
        <w:ind w:firstLine="709"/>
        <w:jc w:val="both"/>
        <w:rPr>
          <w:rFonts w:ascii="Arial" w:hAnsi="Arial" w:cs="Arial"/>
          <w:bCs/>
          <w:sz w:val="22"/>
          <w:lang w:eastAsia="es-CO"/>
        </w:rPr>
      </w:pPr>
      <w:bookmarkStart w:id="15" w:name="_Hlk78818186"/>
      <w:r w:rsidRPr="00481068">
        <w:rPr>
          <w:rFonts w:ascii="Arial" w:hAnsi="Arial" w:cs="Arial"/>
          <w:bCs/>
          <w:sz w:val="22"/>
          <w:lang w:eastAsia="es-CO"/>
        </w:rPr>
        <w:lastRenderedPageBreak/>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5"/>
      <w:r w:rsidRPr="00481068">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3670E471" w14:textId="77777777" w:rsidR="008A7C1A" w:rsidRPr="00481068" w:rsidRDefault="008A7C1A" w:rsidP="008A7C1A">
      <w:pPr>
        <w:spacing w:line="276" w:lineRule="auto"/>
        <w:ind w:firstLine="709"/>
        <w:contextualSpacing/>
        <w:jc w:val="both"/>
        <w:rPr>
          <w:rFonts w:ascii="Arial" w:hAnsi="Arial" w:cs="Arial"/>
          <w:bCs/>
          <w:sz w:val="22"/>
          <w:lang w:eastAsia="es-CO"/>
        </w:rPr>
      </w:pPr>
    </w:p>
    <w:p w14:paraId="23F88D88" w14:textId="77777777" w:rsidR="008A7C1A" w:rsidRPr="00481068" w:rsidRDefault="008A7C1A" w:rsidP="008A7C1A">
      <w:pPr>
        <w:ind w:left="709" w:right="709"/>
        <w:contextualSpacing/>
        <w:jc w:val="both"/>
        <w:rPr>
          <w:rFonts w:ascii="Arial" w:hAnsi="Arial" w:cs="Arial"/>
          <w:bCs/>
          <w:sz w:val="21"/>
          <w:szCs w:val="21"/>
          <w:lang w:eastAsia="es-CO"/>
        </w:rPr>
      </w:pPr>
      <w:r w:rsidRPr="006337DF">
        <w:rPr>
          <w:rFonts w:ascii="Arial" w:hAnsi="Arial" w:cs="Arial"/>
          <w:sz w:val="21"/>
          <w:szCs w:val="21"/>
        </w:rPr>
        <w:t>«</w:t>
      </w:r>
      <w:r w:rsidRPr="00481068">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15A6304" w14:textId="77777777" w:rsidR="008A7C1A" w:rsidRPr="00481068" w:rsidRDefault="008A7C1A" w:rsidP="008A7C1A">
      <w:pPr>
        <w:ind w:left="709" w:right="709"/>
        <w:contextualSpacing/>
        <w:jc w:val="both"/>
        <w:rPr>
          <w:rFonts w:ascii="Arial" w:hAnsi="Arial" w:cs="Arial"/>
          <w:bCs/>
          <w:sz w:val="21"/>
          <w:szCs w:val="21"/>
          <w:lang w:eastAsia="es-CO"/>
        </w:rPr>
      </w:pPr>
    </w:p>
    <w:p w14:paraId="5395444D" w14:textId="77777777" w:rsidR="008A7C1A" w:rsidRPr="00481068" w:rsidRDefault="008A7C1A" w:rsidP="008A7C1A">
      <w:pPr>
        <w:ind w:left="709" w:right="709"/>
        <w:contextualSpacing/>
        <w:jc w:val="both"/>
        <w:rPr>
          <w:rFonts w:ascii="Arial" w:hAnsi="Arial" w:cs="Arial"/>
          <w:bCs/>
          <w:sz w:val="21"/>
          <w:szCs w:val="21"/>
          <w:lang w:eastAsia="es-CO"/>
        </w:rPr>
      </w:pPr>
      <w:r w:rsidRPr="00481068">
        <w:rPr>
          <w:rFonts w:ascii="Arial" w:hAnsi="Arial" w:cs="Arial"/>
          <w:bCs/>
          <w:sz w:val="21"/>
          <w:szCs w:val="21"/>
          <w:lang w:eastAsia="es-CO"/>
        </w:rPr>
        <w:t>La jurisprudencia de la Corte Constitucional</w:t>
      </w:r>
      <w:r w:rsidRPr="00481068">
        <w:rPr>
          <w:rFonts w:ascii="Arial" w:hAnsi="Arial" w:cs="Arial"/>
          <w:bCs/>
          <w:sz w:val="21"/>
          <w:szCs w:val="21"/>
          <w:vertAlign w:val="superscript"/>
          <w:lang w:eastAsia="es-CO"/>
        </w:rPr>
        <w:footnoteReference w:id="5"/>
      </w:r>
      <w:r w:rsidRPr="00481068">
        <w:rPr>
          <w:rFonts w:ascii="Arial" w:hAnsi="Arial" w:cs="Arial"/>
          <w:bCs/>
          <w:sz w:val="21"/>
          <w:szCs w:val="21"/>
          <w:lang w:eastAsia="es-CO"/>
        </w:rPr>
        <w:t> y del Consejo de Estado</w:t>
      </w:r>
      <w:r w:rsidRPr="00481068">
        <w:rPr>
          <w:rFonts w:ascii="Arial" w:hAnsi="Arial" w:cs="Arial"/>
          <w:bCs/>
          <w:sz w:val="21"/>
          <w:szCs w:val="21"/>
          <w:vertAlign w:val="superscript"/>
          <w:lang w:eastAsia="es-CO"/>
        </w:rPr>
        <w:footnoteReference w:id="6"/>
      </w:r>
      <w:r w:rsidRPr="00481068">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hAnsi="Arial" w:cs="Arial"/>
          <w:sz w:val="21"/>
          <w:szCs w:val="21"/>
        </w:rPr>
        <w:t>.</w:t>
      </w:r>
      <w:r w:rsidRPr="006337DF">
        <w:rPr>
          <w:rFonts w:ascii="Arial" w:hAnsi="Arial" w:cs="Arial"/>
          <w:sz w:val="21"/>
          <w:szCs w:val="21"/>
        </w:rPr>
        <w:t>»</w:t>
      </w:r>
      <w:r w:rsidRPr="00481068">
        <w:rPr>
          <w:rFonts w:ascii="Arial" w:hAnsi="Arial" w:cs="Arial"/>
          <w:bCs/>
          <w:vertAlign w:val="superscript"/>
          <w:lang w:eastAsia="es-CO"/>
        </w:rPr>
        <w:footnoteReference w:id="7"/>
      </w:r>
    </w:p>
    <w:p w14:paraId="206A327D" w14:textId="77777777" w:rsidR="008A7C1A" w:rsidRPr="00481068" w:rsidRDefault="008A7C1A" w:rsidP="008A7C1A">
      <w:pPr>
        <w:spacing w:line="276" w:lineRule="auto"/>
        <w:ind w:right="709"/>
        <w:contextualSpacing/>
        <w:jc w:val="both"/>
        <w:rPr>
          <w:rFonts w:ascii="Arial" w:hAnsi="Arial" w:cs="Arial"/>
          <w:bCs/>
          <w:sz w:val="22"/>
          <w:lang w:eastAsia="es-CO"/>
        </w:rPr>
      </w:pPr>
    </w:p>
    <w:p w14:paraId="251FAA32" w14:textId="77777777" w:rsidR="008A7C1A" w:rsidRPr="00481068" w:rsidRDefault="008A7C1A" w:rsidP="008A7C1A">
      <w:pPr>
        <w:spacing w:after="120" w:line="276" w:lineRule="auto"/>
        <w:jc w:val="both"/>
        <w:rPr>
          <w:rFonts w:ascii="Arial" w:eastAsia="Arial" w:hAnsi="Arial" w:cs="Arial"/>
          <w:sz w:val="22"/>
          <w:lang w:val="es-ES" w:eastAsia="es-ES" w:bidi="es-ES"/>
        </w:rPr>
      </w:pPr>
      <w:r w:rsidRPr="00481068">
        <w:rPr>
          <w:rFonts w:ascii="Arial" w:hAnsi="Arial" w:cs="Arial"/>
          <w:bCs/>
          <w:sz w:val="22"/>
          <w:lang w:eastAsia="es-CO"/>
        </w:rPr>
        <w:lastRenderedPageBreak/>
        <w:tab/>
        <w:t>De</w:t>
      </w:r>
      <w:r w:rsidRPr="00481068">
        <w:rPr>
          <w:rFonts w:ascii="Arial" w:eastAsia="Arial" w:hAnsi="Arial" w:cs="Arial"/>
          <w:sz w:val="22"/>
          <w:lang w:val="es-ES" w:eastAsia="es-ES" w:bidi="es-ES"/>
        </w:rPr>
        <w:t xml:space="preserve"> conformidad con lo anterior, </w:t>
      </w:r>
      <w:bookmarkStart w:id="16" w:name="_Hlk77236098"/>
      <w:r w:rsidRPr="00481068">
        <w:rPr>
          <w:rFonts w:ascii="Arial" w:eastAsia="Arial" w:hAnsi="Arial" w:cs="Arial"/>
          <w:sz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6"/>
    </w:p>
    <w:p w14:paraId="4AD11043" w14:textId="77777777" w:rsidR="008A7C1A" w:rsidRPr="00481068" w:rsidRDefault="008A7C1A" w:rsidP="008A7C1A">
      <w:pPr>
        <w:spacing w:after="120" w:line="276" w:lineRule="auto"/>
        <w:ind w:firstLine="708"/>
        <w:jc w:val="both"/>
        <w:rPr>
          <w:rFonts w:ascii="Arial" w:eastAsia="Calibri" w:hAnsi="Arial" w:cs="Arial"/>
          <w:sz w:val="22"/>
        </w:rPr>
      </w:pPr>
      <w:r w:rsidRPr="00481068">
        <w:rPr>
          <w:rFonts w:ascii="Arial" w:eastAsia="Calibri" w:hAnsi="Arial" w:cs="Arial"/>
          <w:sz w:val="22"/>
        </w:rPr>
        <w:t xml:space="preserve">Por un lado, el artículo 33 de la Ley 996 de 2005 prohíbe </w:t>
      </w:r>
      <w:r w:rsidRPr="00481068">
        <w:rPr>
          <w:rFonts w:ascii="Arial" w:eastAsia="Calibri" w:hAnsi="Arial" w:cs="Arial"/>
          <w:bCs/>
          <w:sz w:val="22"/>
        </w:rPr>
        <w:t xml:space="preserve">«[…] </w:t>
      </w:r>
      <w:r w:rsidRPr="00481068">
        <w:rPr>
          <w:rFonts w:ascii="Arial" w:eastAsia="Calibri" w:hAnsi="Arial" w:cs="Arial"/>
          <w:sz w:val="22"/>
        </w:rPr>
        <w:t>la contratación directa por parte de todos los entes del Estado</w:t>
      </w:r>
      <w:r w:rsidRPr="00481068">
        <w:rPr>
          <w:rFonts w:ascii="Arial" w:eastAsia="Calibri" w:hAnsi="Arial" w:cs="Arial"/>
          <w:bCs/>
          <w:sz w:val="22"/>
        </w:rPr>
        <w:t>»</w:t>
      </w:r>
      <w:r w:rsidRPr="00481068">
        <w:rPr>
          <w:rFonts w:ascii="Arial" w:eastAsia="Calibri" w:hAnsi="Arial" w:cs="Arial"/>
          <w:sz w:val="22"/>
        </w:rPr>
        <w:t xml:space="preserve"> durante los cuatro (4) meses anteriores a las elecciones presidenciales, salvo </w:t>
      </w:r>
      <w:r w:rsidRPr="00481068">
        <w:rPr>
          <w:rFonts w:ascii="Arial" w:eastAsia="Calibri" w:hAnsi="Arial" w:cs="Arial"/>
          <w:bCs/>
          <w:sz w:val="22"/>
        </w:rPr>
        <w:t xml:space="preserve">«[…] </w:t>
      </w:r>
      <w:r w:rsidRPr="00481068">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eastAsia="Calibri" w:hAnsi="Arial" w:cs="Arial"/>
          <w:bCs/>
          <w:sz w:val="22"/>
        </w:rPr>
        <w:t>»</w:t>
      </w:r>
      <w:r w:rsidRPr="00481068">
        <w:rPr>
          <w:rFonts w:ascii="Arial" w:eastAsia="Calibri" w:hAnsi="Arial" w:cs="Arial"/>
          <w:bCs/>
          <w:sz w:val="22"/>
          <w:vertAlign w:val="superscript"/>
        </w:rPr>
        <w:footnoteReference w:id="8"/>
      </w:r>
      <w:r w:rsidRPr="00481068">
        <w:rPr>
          <w:rFonts w:ascii="Arial" w:eastAsia="Calibri" w:hAnsi="Arial" w:cs="Arial"/>
          <w:sz w:val="22"/>
        </w:rPr>
        <w:t>.</w:t>
      </w:r>
    </w:p>
    <w:p w14:paraId="5169BAD9" w14:textId="77777777" w:rsidR="008A7C1A" w:rsidRPr="00481068" w:rsidRDefault="008A7C1A" w:rsidP="008A7C1A">
      <w:pPr>
        <w:widowControl w:val="0"/>
        <w:autoSpaceDE w:val="0"/>
        <w:autoSpaceDN w:val="0"/>
        <w:spacing w:line="276" w:lineRule="auto"/>
        <w:ind w:right="113" w:firstLine="708"/>
        <w:contextualSpacing/>
        <w:jc w:val="both"/>
        <w:rPr>
          <w:rFonts w:ascii="Arial" w:eastAsia="Arial" w:hAnsi="Arial" w:cs="Arial"/>
          <w:sz w:val="22"/>
          <w:lang w:val="es-ES" w:eastAsia="es-ES" w:bidi="es-ES"/>
        </w:rPr>
      </w:pPr>
      <w:r w:rsidRPr="00481068">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068">
        <w:rPr>
          <w:rFonts w:ascii="Arial" w:eastAsia="Calibri" w:hAnsi="Arial" w:cs="Arial"/>
          <w:bCs/>
          <w:sz w:val="22"/>
        </w:rPr>
        <w:t xml:space="preserve">«[…] </w:t>
      </w:r>
      <w:r w:rsidRPr="00481068">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eastAsia="Calibri" w:hAnsi="Arial" w:cs="Arial"/>
          <w:bCs/>
          <w:sz w:val="22"/>
        </w:rPr>
        <w:t>»</w:t>
      </w:r>
      <w:r w:rsidRPr="00481068">
        <w:rPr>
          <w:rFonts w:ascii="Arial" w:eastAsia="Calibri" w:hAnsi="Arial" w:cs="Arial"/>
          <w:bCs/>
          <w:sz w:val="22"/>
          <w:vertAlign w:val="superscript"/>
        </w:rPr>
        <w:footnoteReference w:id="9"/>
      </w:r>
      <w:r w:rsidRPr="00481068">
        <w:rPr>
          <w:rFonts w:ascii="Arial" w:eastAsia="Calibri" w:hAnsi="Arial" w:cs="Arial"/>
          <w:sz w:val="22"/>
        </w:rPr>
        <w:t>.</w:t>
      </w:r>
      <w:r w:rsidRPr="00481068">
        <w:rPr>
          <w:rFonts w:ascii="Arial" w:eastAsia="Arial" w:hAnsi="Arial" w:cs="Arial"/>
          <w:sz w:val="22"/>
          <w:lang w:val="es-ES" w:eastAsia="es-ES" w:bidi="es-ES"/>
        </w:rPr>
        <w:t xml:space="preserve"> La Sala de </w:t>
      </w:r>
      <w:r w:rsidRPr="00481068">
        <w:rPr>
          <w:rFonts w:ascii="Arial" w:eastAsia="Arial" w:hAnsi="Arial" w:cs="Arial"/>
          <w:sz w:val="22"/>
          <w:lang w:val="es-ES" w:eastAsia="es-ES" w:bidi="es-ES"/>
        </w:rPr>
        <w:lastRenderedPageBreak/>
        <w:t>Consulta y Servicio Civil del Consejo de Estado ha aclarado la distinción en la aplicación de las prohibiciones de la Ley 996 de 2005, dependiendo del tipo de elección que se trate. Al respecto, considera que:</w:t>
      </w:r>
    </w:p>
    <w:p w14:paraId="6031EEDF" w14:textId="77777777" w:rsidR="008A7C1A" w:rsidRPr="00481068" w:rsidRDefault="008A7C1A" w:rsidP="008A7C1A">
      <w:pPr>
        <w:widowControl w:val="0"/>
        <w:autoSpaceDE w:val="0"/>
        <w:autoSpaceDN w:val="0"/>
        <w:spacing w:line="276" w:lineRule="auto"/>
        <w:ind w:left="805" w:right="812"/>
        <w:contextualSpacing/>
        <w:jc w:val="both"/>
        <w:rPr>
          <w:rFonts w:ascii="Arial" w:eastAsia="Arial" w:hAnsi="Arial" w:cs="Arial"/>
          <w:sz w:val="22"/>
          <w:lang w:val="es-ES" w:eastAsia="es-ES" w:bidi="es-ES"/>
        </w:rPr>
      </w:pPr>
    </w:p>
    <w:p w14:paraId="76A5CB42" w14:textId="77777777" w:rsidR="008A7C1A" w:rsidRPr="00481068" w:rsidRDefault="008A7C1A" w:rsidP="008A7C1A">
      <w:pPr>
        <w:widowControl w:val="0"/>
        <w:autoSpaceDE w:val="0"/>
        <w:autoSpaceDN w:val="0"/>
        <w:ind w:left="709" w:right="709"/>
        <w:contextualSpacing/>
        <w:jc w:val="both"/>
        <w:rPr>
          <w:rFonts w:ascii="Arial" w:eastAsia="Arial" w:hAnsi="Arial" w:cs="Arial"/>
          <w:sz w:val="21"/>
          <w:szCs w:val="21"/>
          <w:lang w:val="es-ES" w:eastAsia="es-ES" w:bidi="es-ES"/>
        </w:rPr>
      </w:pPr>
      <w:r w:rsidRPr="006337DF">
        <w:rPr>
          <w:rFonts w:ascii="Arial" w:hAnsi="Arial" w:cs="Arial"/>
          <w:sz w:val="21"/>
          <w:szCs w:val="21"/>
        </w:rPr>
        <w:t>«</w:t>
      </w:r>
      <w:r w:rsidRPr="0048106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9" w:name="_Hlk76109421"/>
      <w:r w:rsidRPr="00481068">
        <w:rPr>
          <w:rFonts w:ascii="Arial" w:eastAsia="Arial" w:hAnsi="Arial" w:cs="Arial"/>
          <w:sz w:val="21"/>
          <w:szCs w:val="21"/>
          <w:lang w:val="es-ES" w:eastAsia="es-ES" w:bidi="es-ES"/>
        </w:rPr>
        <w:t>se integran parcialmente</w:t>
      </w:r>
      <w:bookmarkEnd w:id="19"/>
      <w:r w:rsidRPr="0048106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068">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81068">
        <w:rPr>
          <w:rFonts w:ascii="Arial" w:eastAsia="Arial" w:hAnsi="Arial" w:cs="Arial"/>
          <w:sz w:val="21"/>
          <w:szCs w:val="21"/>
          <w:lang w:val="es-ES" w:eastAsia="es-ES" w:bidi="es-ES"/>
        </w:rPr>
        <w:t>.</w:t>
      </w:r>
      <w:r w:rsidRPr="006337DF">
        <w:rPr>
          <w:rFonts w:ascii="Arial" w:hAnsi="Arial" w:cs="Arial"/>
          <w:sz w:val="21"/>
          <w:szCs w:val="21"/>
        </w:rPr>
        <w:t>»</w:t>
      </w:r>
      <w:r w:rsidRPr="00481068">
        <w:rPr>
          <w:rFonts w:ascii="Arial" w:eastAsia="Arial" w:hAnsi="Arial" w:cs="Arial"/>
          <w:sz w:val="21"/>
          <w:szCs w:val="21"/>
          <w:vertAlign w:val="superscript"/>
          <w:lang w:val="es-ES" w:eastAsia="es-ES" w:bidi="es-ES"/>
        </w:rPr>
        <w:footnoteReference w:id="10"/>
      </w:r>
    </w:p>
    <w:p w14:paraId="5173928B" w14:textId="77777777" w:rsidR="008A7C1A" w:rsidRPr="00481068" w:rsidRDefault="008A7C1A" w:rsidP="008A7C1A">
      <w:pPr>
        <w:widowControl w:val="0"/>
        <w:autoSpaceDE w:val="0"/>
        <w:autoSpaceDN w:val="0"/>
        <w:spacing w:line="276" w:lineRule="auto"/>
        <w:contextualSpacing/>
        <w:rPr>
          <w:rFonts w:ascii="Arial" w:eastAsia="Arial" w:hAnsi="Arial" w:cs="Arial"/>
          <w:sz w:val="22"/>
          <w:lang w:val="es-ES" w:eastAsia="es-ES" w:bidi="es-ES"/>
        </w:rPr>
      </w:pPr>
    </w:p>
    <w:p w14:paraId="59C9CA2B" w14:textId="77777777" w:rsidR="008A7C1A" w:rsidRPr="00481068" w:rsidRDefault="008A7C1A" w:rsidP="008A7C1A">
      <w:pPr>
        <w:spacing w:after="120" w:line="276" w:lineRule="auto"/>
        <w:ind w:firstLine="709"/>
        <w:jc w:val="both"/>
        <w:rPr>
          <w:rFonts w:ascii="Arial" w:eastAsia="Arial" w:hAnsi="Arial" w:cs="Arial"/>
          <w:sz w:val="22"/>
          <w:lang w:val="es-ES" w:eastAsia="es-ES" w:bidi="es-ES"/>
        </w:rPr>
      </w:pPr>
      <w:r w:rsidRPr="00481068">
        <w:rPr>
          <w:rFonts w:ascii="Arial" w:eastAsia="Arial" w:hAnsi="Arial" w:cs="Arial"/>
          <w:sz w:val="22"/>
          <w:lang w:val="es-ES" w:eastAsia="es-ES" w:bidi="es-ES"/>
        </w:rPr>
        <w:t xml:space="preserve">De conformidad con lo anterior, </w:t>
      </w:r>
      <w:bookmarkStart w:id="20" w:name="_Hlk77236420"/>
      <w:bookmarkStart w:id="21" w:name="_Hlk78818435"/>
      <w:bookmarkStart w:id="22" w:name="_Hlk75780333"/>
      <w:r w:rsidRPr="00481068">
        <w:rPr>
          <w:rFonts w:ascii="Arial" w:eastAsia="Arial" w:hAnsi="Arial" w:cs="Arial"/>
          <w:sz w:val="22"/>
          <w:lang w:val="es-ES" w:eastAsia="es-ES" w:bidi="es-ES"/>
        </w:rPr>
        <w:t xml:space="preserve">la Ley 996 de 2005 establece dos (2) tipos de restricciones en materia de contratación, las cuales coinciden parcialmente. </w:t>
      </w:r>
      <w:r w:rsidRPr="00481068">
        <w:rPr>
          <w:rFonts w:ascii="Arial" w:eastAsia="Arial" w:hAnsi="Arial" w:cs="Arial"/>
          <w:i/>
          <w:iCs/>
          <w:sz w:val="22"/>
          <w:lang w:val="es-ES" w:eastAsia="es-ES" w:bidi="es-ES"/>
        </w:rPr>
        <w:t>En primer lugar</w:t>
      </w:r>
      <w:r w:rsidRPr="00481068">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068">
        <w:rPr>
          <w:rFonts w:ascii="Arial" w:eastAsia="Arial" w:hAnsi="Arial" w:cs="Arial"/>
          <w:i/>
          <w:iCs/>
          <w:sz w:val="22"/>
          <w:lang w:val="es-ES" w:eastAsia="es-ES" w:bidi="es-ES"/>
        </w:rPr>
        <w:t>En segundo lugar</w:t>
      </w:r>
      <w:r w:rsidRPr="00481068">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0"/>
    </w:p>
    <w:bookmarkEnd w:id="21"/>
    <w:p w14:paraId="2D5DAE23" w14:textId="77777777" w:rsidR="008A7C1A" w:rsidRPr="00481068" w:rsidRDefault="008A7C1A" w:rsidP="008A7C1A">
      <w:pPr>
        <w:spacing w:after="120" w:line="276" w:lineRule="auto"/>
        <w:ind w:firstLine="709"/>
        <w:jc w:val="both"/>
        <w:rPr>
          <w:rFonts w:ascii="Arial" w:eastAsia="Arial" w:hAnsi="Arial" w:cs="Arial"/>
          <w:sz w:val="22"/>
          <w:lang w:val="es-ES" w:eastAsia="es-ES" w:bidi="es-ES"/>
        </w:rPr>
      </w:pPr>
      <w:r w:rsidRPr="00481068">
        <w:rPr>
          <w:rFonts w:ascii="Arial" w:eastAsia="Arial" w:hAnsi="Arial" w:cs="Arial"/>
          <w:sz w:val="22"/>
          <w:lang w:val="es-ES" w:eastAsia="es-ES" w:bidi="es-ES"/>
        </w:rPr>
        <w:lastRenderedPageBreak/>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2"/>
    <w:p w14:paraId="7DEE385F" w14:textId="77777777" w:rsidR="008A7C1A" w:rsidRPr="00481068" w:rsidRDefault="008A7C1A" w:rsidP="008A7C1A">
      <w:pPr>
        <w:spacing w:before="120" w:line="276" w:lineRule="auto"/>
        <w:ind w:firstLine="708"/>
        <w:jc w:val="both"/>
        <w:rPr>
          <w:rFonts w:ascii="Arial" w:eastAsia="Arial" w:hAnsi="Arial" w:cs="Arial"/>
          <w:sz w:val="22"/>
          <w:lang w:val="es-ES_tradnl" w:eastAsia="es-ES" w:bidi="es-ES"/>
        </w:rPr>
      </w:pPr>
      <w:r w:rsidRPr="00481068">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6F5958A" w14:textId="77777777" w:rsidR="008A7C1A" w:rsidRPr="00481068" w:rsidRDefault="008A7C1A" w:rsidP="008A7C1A">
      <w:pPr>
        <w:spacing w:line="276" w:lineRule="auto"/>
        <w:jc w:val="both"/>
        <w:rPr>
          <w:rFonts w:ascii="Arial" w:eastAsia="Arial" w:hAnsi="Arial" w:cs="Arial"/>
          <w:sz w:val="22"/>
          <w:lang w:val="es-ES_tradnl" w:eastAsia="es-ES" w:bidi="es-ES"/>
        </w:rPr>
      </w:pPr>
    </w:p>
    <w:p w14:paraId="0676A0E2" w14:textId="77777777" w:rsidR="008A7C1A" w:rsidRPr="00481068" w:rsidRDefault="008A7C1A" w:rsidP="008A7C1A">
      <w:pPr>
        <w:spacing w:line="276" w:lineRule="auto"/>
        <w:jc w:val="both"/>
        <w:rPr>
          <w:rFonts w:ascii="Arial" w:eastAsia="Calibri" w:hAnsi="Arial" w:cs="Arial"/>
          <w:b/>
          <w:sz w:val="22"/>
          <w:lang w:val="es-ES_tradnl" w:eastAsia="es-CO"/>
        </w:rPr>
      </w:pPr>
      <w:r w:rsidRPr="00481068">
        <w:rPr>
          <w:rFonts w:ascii="Arial" w:eastAsia="Calibri" w:hAnsi="Arial" w:cs="Arial"/>
          <w:b/>
          <w:sz w:val="22"/>
          <w:lang w:val="es-ES_tradnl" w:eastAsia="es-CO"/>
        </w:rPr>
        <w:t xml:space="preserve">2.2. </w:t>
      </w:r>
      <w:r w:rsidRPr="00481068">
        <w:rPr>
          <w:rFonts w:ascii="Arial" w:eastAsia="Calibri" w:hAnsi="Arial" w:cs="Arial"/>
          <w:b/>
          <w:bCs/>
          <w:sz w:val="22"/>
          <w:lang w:val="es-ES_tradnl" w:eastAsia="es-CO"/>
        </w:rPr>
        <w:t>Restricciones en elecciones presidenciales: prohibición del artículo 33 de la Ley 996 de 2005</w:t>
      </w:r>
    </w:p>
    <w:p w14:paraId="1006B819" w14:textId="77777777" w:rsidR="008A7C1A" w:rsidRPr="00481068" w:rsidRDefault="008A7C1A" w:rsidP="008A7C1A">
      <w:pPr>
        <w:spacing w:line="276" w:lineRule="auto"/>
        <w:jc w:val="both"/>
        <w:rPr>
          <w:rFonts w:ascii="Arial" w:eastAsia="Calibri" w:hAnsi="Arial" w:cs="Arial"/>
          <w:bCs/>
          <w:sz w:val="22"/>
          <w:lang w:val="es-ES_tradnl" w:eastAsia="x-none"/>
        </w:rPr>
      </w:pPr>
    </w:p>
    <w:p w14:paraId="6CD1612F" w14:textId="77777777" w:rsidR="008A7C1A" w:rsidRPr="00481068" w:rsidRDefault="008A7C1A" w:rsidP="008A7C1A">
      <w:pPr>
        <w:spacing w:line="276" w:lineRule="auto"/>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 xml:space="preserve">El ámbito material de la prohibición contenida en el artículo 33 de la ley 996 de 2005 está delimitado por la expresión </w:t>
      </w:r>
      <w:r w:rsidRPr="00481068">
        <w:rPr>
          <w:rFonts w:ascii="Arial" w:eastAsia="Calibri" w:hAnsi="Arial" w:cs="Arial"/>
          <w:bCs/>
          <w:sz w:val="20"/>
          <w:szCs w:val="20"/>
          <w:lang w:val="es-ES_tradnl"/>
        </w:rPr>
        <w:t>«</w:t>
      </w:r>
      <w:r w:rsidRPr="00481068">
        <w:rPr>
          <w:rFonts w:ascii="Arial" w:eastAsia="Calibri" w:hAnsi="Arial" w:cs="Arial"/>
          <w:bCs/>
          <w:sz w:val="22"/>
          <w:lang w:val="es-ES_tradnl" w:eastAsia="x-none"/>
        </w:rPr>
        <w:t>queda prohibida la contratación directa</w:t>
      </w:r>
      <w:r w:rsidRPr="00481068">
        <w:rPr>
          <w:rFonts w:ascii="Arial" w:eastAsia="Calibri" w:hAnsi="Arial" w:cs="Arial"/>
          <w:sz w:val="20"/>
          <w:szCs w:val="20"/>
          <w:lang w:val="es-ES_tradnl"/>
        </w:rPr>
        <w:t>»</w:t>
      </w:r>
      <w:r w:rsidRPr="00481068">
        <w:rPr>
          <w:rFonts w:ascii="Arial" w:eastAsia="Calibri" w:hAnsi="Arial" w:cs="Arial"/>
          <w:bCs/>
          <w:sz w:val="22"/>
          <w:lang w:val="es-ES_tradnl" w:eastAsia="x-none"/>
        </w:rPr>
        <w:t xml:space="preserve">. </w:t>
      </w:r>
      <w:r w:rsidRPr="00481068">
        <w:rPr>
          <w:rFonts w:ascii="Arial" w:eastAsia="Calibri" w:hAnsi="Arial" w:cs="Arial"/>
          <w:sz w:val="22"/>
          <w:lang w:val="es-ES_tradnl" w:eastAsia="es-CO"/>
        </w:rPr>
        <w:t xml:space="preserve"> A propósito de esta restricción de la Ley de Garantías Electorales, la Sala de Consulta y Servicio Civil del Consejo de Estado ha considerado que:</w:t>
      </w:r>
    </w:p>
    <w:p w14:paraId="378A3A91" w14:textId="77777777" w:rsidR="008A7C1A" w:rsidRPr="00481068" w:rsidRDefault="008A7C1A" w:rsidP="008A7C1A">
      <w:pPr>
        <w:ind w:left="708" w:right="709"/>
        <w:jc w:val="both"/>
        <w:rPr>
          <w:rFonts w:ascii="Arial" w:eastAsia="Calibri" w:hAnsi="Arial" w:cs="Arial"/>
          <w:sz w:val="22"/>
          <w:lang w:val="es-ES_tradnl"/>
        </w:rPr>
      </w:pPr>
    </w:p>
    <w:p w14:paraId="4CF59522" w14:textId="77777777" w:rsidR="008A7C1A" w:rsidRPr="00481068" w:rsidRDefault="008A7C1A" w:rsidP="008A7C1A">
      <w:pPr>
        <w:spacing w:after="120"/>
        <w:ind w:left="709" w:right="709"/>
        <w:jc w:val="both"/>
        <w:rPr>
          <w:rFonts w:ascii="Arial" w:eastAsia="Calibri" w:hAnsi="Arial" w:cs="Arial"/>
          <w:sz w:val="21"/>
          <w:szCs w:val="21"/>
          <w:lang w:val="es-ES_tradnl"/>
        </w:rPr>
      </w:pPr>
      <w:r w:rsidRPr="006337DF">
        <w:rPr>
          <w:rFonts w:ascii="Arial" w:hAnsi="Arial" w:cs="Arial"/>
          <w:sz w:val="21"/>
          <w:szCs w:val="21"/>
        </w:rPr>
        <w:t>«</w:t>
      </w:r>
      <w:r w:rsidRPr="00481068">
        <w:rPr>
          <w:rFonts w:ascii="Arial" w:eastAsia="Calibri"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068">
        <w:rPr>
          <w:rFonts w:ascii="Arial" w:eastAsia="Calibri" w:hAnsi="Arial" w:cs="Arial"/>
          <w:sz w:val="21"/>
          <w:szCs w:val="21"/>
          <w:vertAlign w:val="superscript"/>
        </w:rPr>
        <w:footnoteReference w:id="11"/>
      </w:r>
      <w:r w:rsidRPr="00481068">
        <w:rPr>
          <w:rFonts w:ascii="Arial" w:eastAsia="Calibri" w:hAnsi="Arial" w:cs="Arial"/>
          <w:sz w:val="21"/>
          <w:szCs w:val="21"/>
          <w:lang w:val="es-ES_tradnl"/>
        </w:rPr>
        <w:t>.</w:t>
      </w:r>
    </w:p>
    <w:p w14:paraId="046705A2" w14:textId="77777777" w:rsidR="008A7C1A" w:rsidRPr="00481068" w:rsidRDefault="008A7C1A" w:rsidP="008A7C1A">
      <w:pPr>
        <w:ind w:left="708" w:right="709"/>
        <w:jc w:val="both"/>
        <w:rPr>
          <w:rFonts w:ascii="Arial" w:eastAsia="Calibri" w:hAnsi="Arial" w:cs="Arial"/>
          <w:sz w:val="21"/>
          <w:szCs w:val="21"/>
          <w:lang w:val="es-ES_tradnl"/>
        </w:rPr>
      </w:pPr>
      <w:r w:rsidRPr="00481068">
        <w:rPr>
          <w:rFonts w:ascii="Arial" w:eastAsia="Calibri" w:hAnsi="Arial" w:cs="Arial"/>
          <w:sz w:val="21"/>
          <w:szCs w:val="21"/>
          <w:lang w:val="es-ES_tradnl"/>
        </w:rPr>
        <w:t xml:space="preserve">Esta Sala ha entendido que para los efectos de la ley de garantías, y dada su finalidad, el enunciado ´contratación directa´ es sinónimo de cualquier sistema que no implique convocatoria pública y posibilidad de pluralidad de oferentes, y que, </w:t>
      </w:r>
      <w:r w:rsidRPr="00481068">
        <w:rPr>
          <w:rFonts w:ascii="Arial" w:eastAsia="Calibri" w:hAnsi="Arial" w:cs="Arial"/>
          <w:sz w:val="21"/>
          <w:szCs w:val="21"/>
          <w:lang w:val="es-ES_tradnl"/>
        </w:rPr>
        <w:lastRenderedPageBreak/>
        <w:t>además, no necesariamente hace referencia al procedimiento especial regulado por la ley de contratación estatal, sino a cualquier otro que prescinda de un proceso de licitación pública o concurso</w:t>
      </w:r>
      <w:r w:rsidRPr="00481068">
        <w:rPr>
          <w:rFonts w:ascii="Arial" w:eastAsia="Calibri" w:hAnsi="Arial" w:cs="Arial"/>
          <w:sz w:val="21"/>
          <w:szCs w:val="21"/>
          <w:vertAlign w:val="superscript"/>
        </w:rPr>
        <w:footnoteReference w:id="12"/>
      </w:r>
      <w:r w:rsidRPr="00481068">
        <w:rPr>
          <w:rFonts w:ascii="Arial" w:eastAsia="Calibri" w:hAnsi="Arial" w:cs="Arial"/>
          <w:sz w:val="21"/>
          <w:szCs w:val="21"/>
          <w:vertAlign w:val="superscript"/>
          <w:lang w:val="es-ES_tradnl"/>
        </w:rPr>
        <w:t>.</w:t>
      </w:r>
      <w:r w:rsidRPr="00481068">
        <w:rPr>
          <w:rFonts w:ascii="Arial" w:eastAsia="Calibri"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Pr>
          <w:rFonts w:ascii="Arial" w:eastAsia="Calibri" w:hAnsi="Arial" w:cs="Arial"/>
          <w:sz w:val="21"/>
          <w:szCs w:val="21"/>
          <w:lang w:val="es-ES_tradnl"/>
        </w:rPr>
        <w:t>.</w:t>
      </w:r>
      <w:r w:rsidRPr="006337DF">
        <w:rPr>
          <w:rFonts w:ascii="Arial" w:hAnsi="Arial" w:cs="Arial"/>
          <w:sz w:val="21"/>
          <w:szCs w:val="21"/>
        </w:rPr>
        <w:t>»</w:t>
      </w:r>
      <w:r w:rsidRPr="00481068">
        <w:rPr>
          <w:rFonts w:ascii="Arial" w:eastAsia="Calibri" w:hAnsi="Arial" w:cs="Arial"/>
          <w:sz w:val="21"/>
          <w:szCs w:val="21"/>
          <w:vertAlign w:val="superscript"/>
        </w:rPr>
        <w:footnoteReference w:id="13"/>
      </w:r>
    </w:p>
    <w:p w14:paraId="7F4FC7E1" w14:textId="77777777" w:rsidR="008A7C1A" w:rsidRPr="00481068" w:rsidRDefault="008A7C1A" w:rsidP="008A7C1A">
      <w:pPr>
        <w:shd w:val="clear" w:color="auto" w:fill="FFFFFF"/>
        <w:spacing w:line="276" w:lineRule="auto"/>
        <w:ind w:firstLine="709"/>
        <w:jc w:val="both"/>
        <w:rPr>
          <w:rFonts w:ascii="Arial" w:eastAsia="Calibri" w:hAnsi="Arial" w:cs="Arial"/>
          <w:sz w:val="22"/>
          <w:lang w:val="es-ES_tradnl" w:eastAsia="x-none"/>
        </w:rPr>
      </w:pPr>
    </w:p>
    <w:p w14:paraId="32B3ED23" w14:textId="77777777" w:rsidR="008A7C1A" w:rsidRPr="00481068" w:rsidRDefault="008A7C1A" w:rsidP="008A7C1A">
      <w:pPr>
        <w:spacing w:line="276" w:lineRule="auto"/>
        <w:ind w:firstLine="708"/>
        <w:jc w:val="both"/>
        <w:rPr>
          <w:rFonts w:ascii="Arial" w:eastAsia="Calibri" w:hAnsi="Arial" w:cs="Arial"/>
          <w:bCs/>
          <w:sz w:val="22"/>
          <w:lang w:val="es-ES_tradnl" w:eastAsia="x-none"/>
        </w:rPr>
      </w:pPr>
      <w:r w:rsidRPr="00481068">
        <w:rPr>
          <w:rFonts w:ascii="Arial" w:eastAsia="Calibri" w:hAnsi="Arial" w:cs="Arial"/>
          <w:sz w:val="22"/>
          <w:lang w:val="es-ES_tradnl" w:eastAsia="x-none"/>
        </w:rPr>
        <w:t xml:space="preserve">De acuerdo con el citado concepto, la prohibición del artículo 33 de la Ley de Garantías Electorales se refiere a </w:t>
      </w:r>
      <w:r w:rsidRPr="00481068">
        <w:rPr>
          <w:rFonts w:ascii="Arial" w:eastAsia="Calibri" w:hAnsi="Arial" w:cs="Arial"/>
          <w:sz w:val="19"/>
          <w:szCs w:val="19"/>
          <w:lang w:val="es-ES_tradnl" w:eastAsia="en-GB"/>
        </w:rPr>
        <w:t>«</w:t>
      </w:r>
      <w:r w:rsidRPr="00481068">
        <w:rPr>
          <w:rFonts w:ascii="Arial" w:eastAsia="Calibri" w:hAnsi="Arial" w:cs="Arial"/>
          <w:sz w:val="22"/>
          <w:lang w:val="es-ES_tradnl" w:eastAsia="x-none"/>
        </w:rPr>
        <w:t>cualquier sistema que no implique convocatoria pública y posibilidad de pluralidad de oferentes</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481068">
        <w:rPr>
          <w:rFonts w:ascii="Arial" w:eastAsia="Calibri" w:hAnsi="Arial" w:cs="Arial"/>
          <w:sz w:val="22"/>
          <w:vertAlign w:val="superscript"/>
        </w:rPr>
        <w:footnoteReference w:id="14"/>
      </w:r>
      <w:r w:rsidRPr="00481068">
        <w:rPr>
          <w:rFonts w:ascii="Arial" w:eastAsia="Calibri" w:hAnsi="Arial" w:cs="Arial"/>
          <w:sz w:val="22"/>
          <w:lang w:val="es-ES_tradnl" w:eastAsia="x-none"/>
        </w:rPr>
        <w:t xml:space="preserve"> y sistematizó las causales de contratación directa</w:t>
      </w:r>
      <w:r w:rsidRPr="00481068">
        <w:rPr>
          <w:rFonts w:ascii="Arial" w:eastAsia="Calibri" w:hAnsi="Arial" w:cs="Arial"/>
          <w:sz w:val="22"/>
          <w:vertAlign w:val="superscript"/>
        </w:rPr>
        <w:footnoteReference w:id="15"/>
      </w:r>
      <w:r w:rsidRPr="00481068">
        <w:rPr>
          <w:rFonts w:ascii="Arial" w:eastAsia="Calibri" w:hAnsi="Arial" w:cs="Arial"/>
          <w:sz w:val="22"/>
          <w:lang w:val="es-ES_tradnl" w:eastAsia="x-none"/>
        </w:rPr>
        <w:t>.</w:t>
      </w:r>
    </w:p>
    <w:p w14:paraId="3B9D2EDB" w14:textId="77777777" w:rsidR="008A7C1A" w:rsidRPr="00481068" w:rsidRDefault="008A7C1A" w:rsidP="008A7C1A">
      <w:pPr>
        <w:spacing w:before="120" w:line="276" w:lineRule="auto"/>
        <w:ind w:firstLine="708"/>
        <w:jc w:val="both"/>
        <w:rPr>
          <w:rFonts w:ascii="Arial" w:eastAsia="Calibri" w:hAnsi="Arial" w:cs="Arial"/>
          <w:sz w:val="22"/>
          <w:lang w:val="es-ES_tradnl" w:eastAsia="x-none"/>
        </w:rPr>
      </w:pPr>
      <w:r w:rsidRPr="00481068">
        <w:rPr>
          <w:rFonts w:ascii="Arial" w:eastAsia="Calibri" w:hAnsi="Arial" w:cs="Arial"/>
          <w:sz w:val="22"/>
          <w:lang w:val="es-ES_tradnl" w:eastAsia="x-none"/>
        </w:rPr>
        <w:t xml:space="preserve">De esta forma, se ha depurado la noción de </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contratación directa</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068">
        <w:rPr>
          <w:rFonts w:ascii="Arial" w:eastAsia="Calibri" w:hAnsi="Arial" w:cs="Arial"/>
          <w:sz w:val="22"/>
          <w:vertAlign w:val="superscript"/>
        </w:rPr>
        <w:footnoteReference w:id="16"/>
      </w:r>
      <w:r w:rsidRPr="00481068">
        <w:rPr>
          <w:rFonts w:ascii="Arial" w:eastAsia="Calibri" w:hAnsi="Arial" w:cs="Arial"/>
          <w:sz w:val="22"/>
          <w:lang w:val="es-ES_tradnl" w:eastAsia="x-none"/>
        </w:rPr>
        <w:t>, han establecido sistemas de contratación que implican convocatoria pública y participación de varios oferentes</w:t>
      </w:r>
      <w:r w:rsidRPr="00481068">
        <w:rPr>
          <w:rFonts w:ascii="Arial" w:eastAsia="Calibri" w:hAnsi="Arial" w:cs="Arial"/>
          <w:sz w:val="22"/>
          <w:lang w:val="es-ES_tradnl" w:eastAsia="en-GB"/>
        </w:rPr>
        <w:t>»</w:t>
      </w:r>
      <w:r w:rsidRPr="00481068">
        <w:rPr>
          <w:rFonts w:ascii="Arial" w:eastAsia="Calibri" w:hAnsi="Arial" w:cs="Arial"/>
          <w:sz w:val="22"/>
          <w:lang w:val="es-ES_tradnl" w:eastAsia="x-none"/>
        </w:rPr>
        <w:t xml:space="preserve">. </w:t>
      </w:r>
    </w:p>
    <w:p w14:paraId="181B6AEB" w14:textId="77777777" w:rsidR="008A7C1A" w:rsidRPr="00481068" w:rsidRDefault="008A7C1A" w:rsidP="008A7C1A">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E</w:t>
      </w:r>
      <w:r w:rsidRPr="00481068">
        <w:rPr>
          <w:rFonts w:ascii="Arial" w:eastAsia="Calibri" w:hAnsi="Arial" w:cs="Arial"/>
          <w:sz w:val="22"/>
          <w:lang w:val="es-ES_tradnl"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w:t>
      </w:r>
      <w:r w:rsidRPr="00481068">
        <w:rPr>
          <w:rFonts w:ascii="Arial" w:eastAsia="Calibri" w:hAnsi="Arial" w:cs="Arial"/>
          <w:sz w:val="22"/>
          <w:lang w:val="es-ES_tradnl" w:eastAsia="x-none"/>
        </w:rPr>
        <w:lastRenderedPageBreak/>
        <w:t>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068">
        <w:rPr>
          <w:rFonts w:ascii="Arial" w:eastAsia="Calibri" w:hAnsi="Arial" w:cs="Arial"/>
          <w:sz w:val="22"/>
          <w:vertAlign w:val="superscript"/>
        </w:rPr>
        <w:footnoteReference w:id="17"/>
      </w:r>
      <w:r w:rsidRPr="00481068">
        <w:rPr>
          <w:rFonts w:ascii="Arial" w:eastAsia="Calibri" w:hAnsi="Arial" w:cs="Arial"/>
          <w:sz w:val="22"/>
          <w:lang w:val="es-ES_tradnl" w:eastAsia="x-none"/>
        </w:rPr>
        <w:t xml:space="preserve">. </w:t>
      </w:r>
    </w:p>
    <w:p w14:paraId="6EE1674D" w14:textId="77777777" w:rsidR="008A7C1A" w:rsidRPr="00481068" w:rsidRDefault="008A7C1A" w:rsidP="008A7C1A">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5844DC13" w14:textId="77777777" w:rsidR="008A7C1A" w:rsidRPr="00481068" w:rsidRDefault="008A7C1A" w:rsidP="008A7C1A">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eastAsia="Calibri" w:hAnsi="Arial" w:cs="Arial"/>
          <w:sz w:val="22"/>
          <w:vertAlign w:val="superscript"/>
        </w:rPr>
        <w:footnoteReference w:id="18"/>
      </w:r>
      <w:r w:rsidRPr="00481068">
        <w:rPr>
          <w:rFonts w:ascii="Arial" w:eastAsia="Calibri" w:hAnsi="Arial" w:cs="Arial"/>
          <w:bCs/>
          <w:sz w:val="22"/>
          <w:lang w:val="es-ES_tradnl" w:eastAsia="x-none"/>
        </w:rPr>
        <w:t>.</w:t>
      </w:r>
      <w:r w:rsidRPr="00481068">
        <w:rPr>
          <w:rFonts w:ascii="Arial" w:eastAsia="Calibri" w:hAnsi="Arial" w:cs="Arial"/>
          <w:sz w:val="22"/>
          <w:vertAlign w:val="superscript"/>
          <w:lang w:val="es-ES_tradnl" w:eastAsia="x-none"/>
        </w:rPr>
        <w:t xml:space="preserve"> </w:t>
      </w:r>
    </w:p>
    <w:p w14:paraId="64BB9C57" w14:textId="77777777" w:rsidR="008A7C1A" w:rsidRPr="00481068" w:rsidRDefault="008A7C1A" w:rsidP="008A7C1A">
      <w:pPr>
        <w:spacing w:before="120" w:line="276" w:lineRule="auto"/>
        <w:ind w:firstLine="708"/>
        <w:jc w:val="both"/>
        <w:rPr>
          <w:rFonts w:ascii="Arial" w:eastAsia="Calibri" w:hAnsi="Arial" w:cs="Arial"/>
          <w:sz w:val="22"/>
          <w:lang w:val="es-ES_tradnl" w:eastAsia="x-none"/>
        </w:rPr>
      </w:pPr>
      <w:r w:rsidRPr="00481068">
        <w:rPr>
          <w:rFonts w:ascii="Arial" w:eastAsia="Calibri" w:hAnsi="Arial" w:cs="Arial"/>
          <w:bCs/>
          <w:sz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eastAsia="Calibri" w:hAnsi="Arial" w:cs="Arial"/>
          <w:sz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0C69B4D6" w14:textId="77777777" w:rsidR="008A7C1A" w:rsidRPr="00481068" w:rsidRDefault="008A7C1A" w:rsidP="008A7C1A">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481068">
        <w:rPr>
          <w:rFonts w:ascii="Arial" w:eastAsia="Calibri" w:hAnsi="Arial" w:cs="Arial"/>
          <w:sz w:val="22"/>
          <w:vertAlign w:val="superscript"/>
        </w:rPr>
        <w:footnoteReference w:id="19"/>
      </w:r>
      <w:r w:rsidRPr="00481068">
        <w:rPr>
          <w:rFonts w:ascii="Arial" w:eastAsia="Calibri" w:hAnsi="Arial" w:cs="Arial"/>
          <w:bCs/>
          <w:sz w:val="22"/>
          <w:lang w:val="es-ES_tradnl" w:eastAsia="es-CO"/>
        </w:rPr>
        <w:t xml:space="preserve">. Esto sin que ello haga nugatoria la restricción de la </w:t>
      </w:r>
      <w:r w:rsidRPr="00481068">
        <w:rPr>
          <w:rFonts w:ascii="Arial" w:eastAsia="Calibri" w:hAnsi="Arial" w:cs="Arial"/>
          <w:bCs/>
          <w:sz w:val="22"/>
          <w:lang w:val="es-ES_tradnl" w:eastAsia="es-CO"/>
        </w:rPr>
        <w:lastRenderedPageBreak/>
        <w:t>contratación directa y siempre que cumplan los principios de planeación, transparencia y responsabilidad.</w:t>
      </w:r>
    </w:p>
    <w:p w14:paraId="4E4B398D" w14:textId="77777777" w:rsidR="008A7C1A" w:rsidRPr="00481068" w:rsidRDefault="008A7C1A" w:rsidP="008A7C1A">
      <w:pPr>
        <w:spacing w:before="120" w:line="276" w:lineRule="auto"/>
        <w:ind w:firstLine="708"/>
        <w:jc w:val="both"/>
        <w:rPr>
          <w:rFonts w:ascii="Arial" w:eastAsia="Calibri" w:hAnsi="Arial" w:cs="Arial"/>
          <w:bCs/>
          <w:sz w:val="22"/>
          <w:lang w:val="es-ES_tradnl" w:eastAsia="es-CO"/>
        </w:rPr>
      </w:pPr>
      <w:r w:rsidRPr="00481068">
        <w:rPr>
          <w:rFonts w:ascii="Arial" w:eastAsia="Calibri" w:hAnsi="Arial" w:cs="Arial"/>
          <w:bCs/>
          <w:sz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068">
        <w:rPr>
          <w:rFonts w:ascii="Arial" w:eastAsia="Calibri" w:hAnsi="Arial" w:cs="Arial"/>
          <w:bCs/>
          <w:sz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6EBBED3" w14:textId="77777777" w:rsidR="008A7C1A" w:rsidRPr="00481068" w:rsidRDefault="008A7C1A" w:rsidP="008A7C1A">
      <w:pPr>
        <w:spacing w:before="120" w:line="276" w:lineRule="auto"/>
        <w:ind w:firstLine="708"/>
        <w:jc w:val="both"/>
        <w:rPr>
          <w:rFonts w:ascii="Arial" w:eastAsia="Calibri" w:hAnsi="Arial" w:cs="Arial"/>
          <w:bCs/>
          <w:sz w:val="22"/>
          <w:lang w:val="es-ES_tradnl" w:eastAsia="x-none"/>
        </w:rPr>
      </w:pPr>
      <w:r w:rsidRPr="00481068">
        <w:rPr>
          <w:rFonts w:ascii="Arial" w:eastAsia="Calibri" w:hAnsi="Arial" w:cs="Arial"/>
          <w:bCs/>
          <w:sz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068">
        <w:rPr>
          <w:rFonts w:ascii="Arial" w:eastAsia="Calibri" w:hAnsi="Arial" w:cs="Arial"/>
          <w:sz w:val="22"/>
          <w:vertAlign w:val="superscript"/>
        </w:rPr>
        <w:footnoteReference w:id="20"/>
      </w:r>
      <w:r w:rsidRPr="00481068">
        <w:rPr>
          <w:rFonts w:ascii="Arial" w:eastAsia="Calibri" w:hAnsi="Arial" w:cs="Arial"/>
          <w:bCs/>
          <w:sz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0D046E03" w14:textId="77777777" w:rsidR="008A7C1A" w:rsidRDefault="008A7C1A" w:rsidP="008A7C1A">
      <w:pPr>
        <w:spacing w:line="276" w:lineRule="auto"/>
        <w:jc w:val="both"/>
        <w:rPr>
          <w:rFonts w:ascii="Arial" w:hAnsi="Arial" w:cs="Arial"/>
          <w:b/>
          <w:sz w:val="22"/>
          <w:lang w:eastAsia="x-none"/>
        </w:rPr>
      </w:pPr>
    </w:p>
    <w:p w14:paraId="7DFD15E5" w14:textId="77777777" w:rsidR="008A7C1A" w:rsidRPr="00F1057F" w:rsidRDefault="008A7C1A" w:rsidP="008A7C1A">
      <w:pPr>
        <w:spacing w:line="276" w:lineRule="auto"/>
        <w:jc w:val="both"/>
        <w:rPr>
          <w:rFonts w:ascii="Arial" w:hAnsi="Arial" w:cs="Arial"/>
          <w:b/>
          <w:sz w:val="22"/>
          <w:lang w:eastAsia="x-none"/>
        </w:rPr>
      </w:pPr>
      <w:r>
        <w:rPr>
          <w:rFonts w:ascii="Arial" w:hAnsi="Arial" w:cs="Arial"/>
          <w:b/>
          <w:sz w:val="22"/>
          <w:lang w:eastAsia="x-none"/>
        </w:rPr>
        <w:t xml:space="preserve">2.3. </w:t>
      </w:r>
      <w:r w:rsidRPr="00F1057F">
        <w:rPr>
          <w:rFonts w:ascii="Arial" w:hAnsi="Arial" w:cs="Arial"/>
          <w:b/>
          <w:sz w:val="22"/>
          <w:lang w:eastAsia="x-none"/>
        </w:rPr>
        <w:t xml:space="preserve"> Destinatarios de la restricción del artículo 33 de la Ley 996 de 2005</w:t>
      </w:r>
    </w:p>
    <w:p w14:paraId="713DE3DB" w14:textId="77777777" w:rsidR="008A7C1A" w:rsidRPr="00F1057F" w:rsidRDefault="008A7C1A" w:rsidP="008A7C1A">
      <w:pPr>
        <w:spacing w:line="276" w:lineRule="auto"/>
        <w:jc w:val="both"/>
        <w:rPr>
          <w:rFonts w:ascii="Arial" w:hAnsi="Arial" w:cs="Arial"/>
          <w:bCs/>
          <w:sz w:val="22"/>
          <w:lang w:eastAsia="x-none"/>
        </w:rPr>
      </w:pPr>
    </w:p>
    <w:p w14:paraId="6E5B3786" w14:textId="77777777" w:rsidR="008A7C1A" w:rsidRPr="00C84F90" w:rsidRDefault="008A7C1A" w:rsidP="008A7C1A">
      <w:pPr>
        <w:spacing w:line="276" w:lineRule="auto"/>
        <w:jc w:val="both"/>
        <w:rPr>
          <w:rFonts w:ascii="Arial" w:hAnsi="Arial" w:cs="Arial"/>
          <w:bCs/>
          <w:sz w:val="22"/>
          <w:lang w:eastAsia="x-none"/>
        </w:rPr>
      </w:pPr>
      <w:r w:rsidRPr="00C84F90">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t xml:space="preserve"> </w:t>
      </w:r>
      <w:r w:rsidRPr="00C84F90">
        <w:rPr>
          <w:rFonts w:ascii="Arial" w:hAnsi="Arial" w:cs="Arial"/>
          <w:bCs/>
          <w:sz w:val="22"/>
          <w:lang w:eastAsia="x-none"/>
        </w:rPr>
        <w:t>En efecto, tal como lo ha sostenido el Consejo de Estado, el vocablo «todos» utilizado por el legislador comprende</w:t>
      </w:r>
      <w:r w:rsidRPr="00C84F90">
        <w:t xml:space="preserve"> </w:t>
      </w:r>
      <w:r w:rsidRPr="00C84F9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w:t>
      </w:r>
      <w:r w:rsidRPr="00C84F90">
        <w:rPr>
          <w:rFonts w:ascii="Arial" w:hAnsi="Arial" w:cs="Arial"/>
          <w:bCs/>
          <w:sz w:val="22"/>
          <w:lang w:eastAsia="x-none"/>
        </w:rPr>
        <w:lastRenderedPageBreak/>
        <w:t xml:space="preserve">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3C6E1055" w14:textId="77777777" w:rsidR="008A7C1A" w:rsidRPr="00C84F90" w:rsidRDefault="008A7C1A" w:rsidP="008A7C1A">
      <w:pPr>
        <w:spacing w:line="276" w:lineRule="auto"/>
        <w:ind w:firstLine="708"/>
        <w:jc w:val="both"/>
        <w:rPr>
          <w:rFonts w:ascii="Arial" w:hAnsi="Arial" w:cs="Arial"/>
          <w:bCs/>
          <w:sz w:val="22"/>
          <w:lang w:eastAsia="x-none"/>
        </w:rPr>
      </w:pPr>
    </w:p>
    <w:p w14:paraId="65756212" w14:textId="77777777" w:rsidR="008A7C1A" w:rsidRPr="00C84F90" w:rsidRDefault="008A7C1A" w:rsidP="008A7C1A">
      <w:pPr>
        <w:ind w:left="708" w:right="709"/>
        <w:jc w:val="both"/>
        <w:rPr>
          <w:rFonts w:ascii="Arial" w:hAnsi="Arial" w:cs="Arial"/>
          <w:bCs/>
          <w:sz w:val="21"/>
          <w:szCs w:val="21"/>
          <w:lang w:eastAsia="es-CO"/>
        </w:rPr>
      </w:pPr>
      <w:r w:rsidRPr="006337DF">
        <w:rPr>
          <w:rFonts w:ascii="Arial" w:hAnsi="Arial" w:cs="Arial"/>
          <w:sz w:val="21"/>
          <w:szCs w:val="21"/>
        </w:rPr>
        <w:t>«</w:t>
      </w:r>
      <w:r w:rsidRPr="00C84F90">
        <w:rPr>
          <w:rFonts w:ascii="Arial" w:hAnsi="Arial" w:cs="Arial"/>
          <w:bCs/>
          <w:sz w:val="21"/>
          <w:szCs w:val="21"/>
          <w:lang w:eastAsia="x-none"/>
        </w:rPr>
        <w:t xml:space="preserve">El artículo 33 de la ley 996 de 2005, </w:t>
      </w:r>
      <w:bookmarkStart w:id="23" w:name="_Hlk75787147"/>
      <w:r w:rsidRPr="00C84F90">
        <w:rPr>
          <w:rFonts w:ascii="Arial"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Pr>
          <w:rFonts w:ascii="Arial" w:hAnsi="Arial" w:cs="Arial"/>
          <w:bCs/>
          <w:sz w:val="21"/>
          <w:szCs w:val="21"/>
          <w:lang w:eastAsia="x-none"/>
        </w:rPr>
        <w:t>.</w:t>
      </w:r>
      <w:r w:rsidRPr="006337DF">
        <w:rPr>
          <w:rFonts w:ascii="Arial" w:hAnsi="Arial" w:cs="Arial"/>
          <w:sz w:val="21"/>
          <w:szCs w:val="21"/>
        </w:rPr>
        <w:t>»</w:t>
      </w:r>
      <w:r w:rsidRPr="00C84F90">
        <w:rPr>
          <w:rFonts w:ascii="Arial" w:hAnsi="Arial" w:cs="Arial"/>
          <w:bCs/>
          <w:sz w:val="21"/>
          <w:szCs w:val="21"/>
          <w:vertAlign w:val="superscript"/>
          <w:lang w:eastAsia="x-none"/>
        </w:rPr>
        <w:footnoteReference w:id="21"/>
      </w:r>
      <w:r w:rsidRPr="00C84F90">
        <w:rPr>
          <w:rFonts w:ascii="Arial" w:hAnsi="Arial" w:cs="Arial"/>
          <w:bCs/>
          <w:sz w:val="21"/>
          <w:szCs w:val="21"/>
          <w:lang w:eastAsia="es-CO"/>
        </w:rPr>
        <w:t xml:space="preserve"> </w:t>
      </w:r>
    </w:p>
    <w:p w14:paraId="63403A88" w14:textId="77777777" w:rsidR="008A7C1A" w:rsidRPr="00C84F90" w:rsidRDefault="008A7C1A" w:rsidP="008A7C1A">
      <w:pPr>
        <w:spacing w:line="276" w:lineRule="auto"/>
        <w:ind w:firstLine="708"/>
        <w:jc w:val="both"/>
        <w:rPr>
          <w:rFonts w:ascii="Arial" w:hAnsi="Arial" w:cs="Arial"/>
          <w:bCs/>
          <w:sz w:val="22"/>
          <w:lang w:eastAsia="es-CO"/>
        </w:rPr>
      </w:pPr>
    </w:p>
    <w:p w14:paraId="3212661F" w14:textId="77777777" w:rsidR="008A7C1A" w:rsidRPr="00C84F90" w:rsidRDefault="008A7C1A" w:rsidP="008A7C1A">
      <w:pPr>
        <w:spacing w:line="276" w:lineRule="auto"/>
        <w:ind w:firstLine="708"/>
        <w:jc w:val="both"/>
        <w:rPr>
          <w:rFonts w:ascii="Arial" w:hAnsi="Arial" w:cs="Arial"/>
          <w:sz w:val="22"/>
        </w:rPr>
      </w:pPr>
      <w:r>
        <w:rPr>
          <w:rFonts w:ascii="Arial" w:hAnsi="Arial" w:cs="Arial"/>
          <w:bCs/>
          <w:sz w:val="22"/>
          <w:lang w:eastAsia="x-none"/>
        </w:rPr>
        <w:t>De igual forma, e</w:t>
      </w:r>
      <w:r w:rsidRPr="00C84F90">
        <w:rPr>
          <w:rFonts w:ascii="Arial" w:hAnsi="Arial" w:cs="Arial"/>
          <w:bCs/>
          <w:sz w:val="22"/>
          <w:lang w:eastAsia="x-none"/>
        </w:rPr>
        <w:t>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C84F90">
        <w:rPr>
          <w:rFonts w:ascii="Arial" w:hAnsi="Arial" w:cs="Arial"/>
          <w:vertAlign w:val="superscript"/>
        </w:rPr>
        <w:footnoteReference w:id="22"/>
      </w:r>
      <w:r w:rsidRPr="00C84F90">
        <w:rPr>
          <w:rFonts w:ascii="Arial" w:hAnsi="Arial" w:cs="Arial"/>
          <w:bCs/>
          <w:sz w:val="22"/>
          <w:lang w:eastAsia="x-none"/>
        </w:rPr>
        <w:t>.</w:t>
      </w:r>
      <w:r w:rsidRPr="00C84F90">
        <w:rPr>
          <w:rFonts w:ascii="Arial" w:hAnsi="Arial" w:cs="Arial"/>
          <w:sz w:val="22"/>
        </w:rPr>
        <w:t xml:space="preserve"> Sin embargo, debe precisarse el siguiente aspecto que distinguió la Sala de Consulta y Servicio Civil:</w:t>
      </w:r>
    </w:p>
    <w:p w14:paraId="06E490A0" w14:textId="77777777" w:rsidR="008A7C1A" w:rsidRPr="00C84F90" w:rsidRDefault="008A7C1A" w:rsidP="008A7C1A">
      <w:pPr>
        <w:spacing w:line="276" w:lineRule="auto"/>
        <w:jc w:val="both"/>
        <w:rPr>
          <w:rFonts w:ascii="Arial" w:hAnsi="Arial" w:cs="Arial"/>
          <w:sz w:val="22"/>
        </w:rPr>
      </w:pPr>
    </w:p>
    <w:p w14:paraId="098D0A0B" w14:textId="77777777" w:rsidR="008A7C1A" w:rsidRPr="00C84F90" w:rsidRDefault="008A7C1A" w:rsidP="008A7C1A">
      <w:pPr>
        <w:ind w:left="708" w:right="709"/>
        <w:jc w:val="both"/>
        <w:rPr>
          <w:rFonts w:ascii="Arial" w:hAnsi="Arial" w:cs="Arial"/>
          <w:sz w:val="21"/>
          <w:szCs w:val="21"/>
        </w:rPr>
      </w:pPr>
      <w:r w:rsidRPr="006337DF">
        <w:rPr>
          <w:rFonts w:ascii="Arial" w:hAnsi="Arial" w:cs="Arial"/>
          <w:sz w:val="21"/>
          <w:szCs w:val="21"/>
        </w:rPr>
        <w:t>«</w:t>
      </w:r>
      <w:r w:rsidRPr="00C84F90">
        <w:rPr>
          <w:rFonts w:ascii="Arial" w:hAnsi="Arial" w:cs="Arial"/>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w:t>
      </w:r>
      <w:r w:rsidRPr="00C84F90">
        <w:rPr>
          <w:rFonts w:ascii="Arial" w:hAnsi="Arial" w:cs="Arial"/>
          <w:sz w:val="21"/>
          <w:szCs w:val="21"/>
        </w:rPr>
        <w:lastRenderedPageBreak/>
        <w:t>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Pr>
          <w:rFonts w:ascii="Arial" w:hAnsi="Arial" w:cs="Arial"/>
          <w:sz w:val="21"/>
          <w:szCs w:val="21"/>
        </w:rPr>
        <w:t>.</w:t>
      </w:r>
      <w:r w:rsidRPr="006337DF">
        <w:rPr>
          <w:rFonts w:ascii="Arial" w:hAnsi="Arial" w:cs="Arial"/>
          <w:sz w:val="21"/>
          <w:szCs w:val="21"/>
        </w:rPr>
        <w:t>»</w:t>
      </w:r>
      <w:r w:rsidRPr="00C84F90">
        <w:rPr>
          <w:rFonts w:ascii="Arial" w:hAnsi="Arial" w:cs="Arial"/>
          <w:vertAlign w:val="superscript"/>
        </w:rPr>
        <w:footnoteReference w:id="23"/>
      </w:r>
      <w:r w:rsidRPr="009F1B7D">
        <w:rPr>
          <w:rFonts w:ascii="Arial" w:hAnsi="Arial" w:cs="Arial"/>
          <w:sz w:val="21"/>
          <w:szCs w:val="21"/>
          <w:lang w:val="es-ES"/>
        </w:rPr>
        <w:t xml:space="preserve"> </w:t>
      </w:r>
    </w:p>
    <w:p w14:paraId="02C6F927" w14:textId="77777777" w:rsidR="008A7C1A" w:rsidRPr="00C84F90" w:rsidRDefault="008A7C1A" w:rsidP="008A7C1A">
      <w:pPr>
        <w:spacing w:line="276" w:lineRule="auto"/>
        <w:jc w:val="both"/>
        <w:rPr>
          <w:rFonts w:ascii="Arial" w:hAnsi="Arial" w:cs="Arial"/>
          <w:sz w:val="22"/>
        </w:rPr>
      </w:pPr>
    </w:p>
    <w:p w14:paraId="265106A4" w14:textId="77777777" w:rsidR="008A7C1A" w:rsidRPr="00C84F90" w:rsidRDefault="008A7C1A" w:rsidP="008A7C1A">
      <w:pPr>
        <w:spacing w:after="120" w:line="276" w:lineRule="auto"/>
        <w:ind w:firstLine="709"/>
        <w:jc w:val="both"/>
        <w:rPr>
          <w:rFonts w:ascii="Arial" w:hAnsi="Arial" w:cs="Arial"/>
          <w:bCs/>
          <w:sz w:val="22"/>
          <w:lang w:eastAsia="x-none"/>
        </w:rPr>
      </w:pPr>
      <w:r w:rsidRPr="00C84F90">
        <w:rPr>
          <w:rFonts w:ascii="Arial" w:hAnsi="Arial" w:cs="Arial"/>
          <w:sz w:val="22"/>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C84F90">
        <w:rPr>
          <w:rFonts w:ascii="Arial" w:hAnsi="Arial" w:cs="Arial"/>
          <w:vertAlign w:val="superscript"/>
        </w:rPr>
        <w:t xml:space="preserve"> </w:t>
      </w:r>
      <w:r w:rsidRPr="00C84F90">
        <w:rPr>
          <w:rFonts w:ascii="Arial" w:hAnsi="Arial" w:cs="Arial"/>
          <w:sz w:val="22"/>
          <w:vertAlign w:val="superscript"/>
        </w:rPr>
        <w:footnoteReference w:id="24"/>
      </w:r>
      <w:r w:rsidRPr="00C84F90">
        <w:rPr>
          <w:rFonts w:ascii="Arial" w:hAnsi="Arial" w:cs="Arial"/>
          <w:sz w:val="22"/>
        </w:rPr>
        <w:t>.</w:t>
      </w:r>
    </w:p>
    <w:bookmarkEnd w:id="23"/>
    <w:p w14:paraId="0D788146" w14:textId="77777777" w:rsidR="008A7C1A" w:rsidRPr="000405D1" w:rsidRDefault="008A7C1A" w:rsidP="008A7C1A">
      <w:pPr>
        <w:spacing w:line="276" w:lineRule="auto"/>
        <w:ind w:firstLine="708"/>
        <w:jc w:val="both"/>
        <w:rPr>
          <w:rFonts w:ascii="Arial" w:hAnsi="Arial" w:cs="Arial"/>
          <w:bCs/>
          <w:sz w:val="22"/>
          <w:lang w:eastAsia="x-none"/>
        </w:rPr>
      </w:pPr>
      <w:r w:rsidRPr="00C84F90">
        <w:rPr>
          <w:rFonts w:ascii="Arial" w:hAnsi="Arial" w:cs="Arial"/>
          <w:sz w:val="22"/>
        </w:rPr>
        <w:t xml:space="preserve">Por lo tanto, la restricción prevista en la Ley 996 de 2005, </w:t>
      </w:r>
      <w:r w:rsidRPr="00C84F90">
        <w:rPr>
          <w:rFonts w:ascii="Arial" w:hAnsi="Arial" w:cs="Arial"/>
          <w:bCs/>
          <w:sz w:val="22"/>
          <w:lang w:eastAsia="x-none"/>
        </w:rPr>
        <w:t xml:space="preserve">teniendo en cuenta la finalidad de la ley de garantías electorales, cobija a cualquier ente público que pueda a través de la contratación directa romper el equilibrio entre los candidatos en </w:t>
      </w:r>
      <w:r>
        <w:rPr>
          <w:rFonts w:ascii="Arial" w:hAnsi="Arial" w:cs="Arial"/>
          <w:bCs/>
          <w:sz w:val="22"/>
          <w:lang w:eastAsia="x-none"/>
        </w:rPr>
        <w:t xml:space="preserve">desarrollo de </w:t>
      </w:r>
      <w:r w:rsidRPr="00C84F90">
        <w:rPr>
          <w:rFonts w:ascii="Arial" w:hAnsi="Arial" w:cs="Arial"/>
          <w:bCs/>
          <w:sz w:val="22"/>
          <w:lang w:eastAsia="x-none"/>
        </w:rPr>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3040DAE" w14:textId="77777777" w:rsidR="008A7C1A" w:rsidRPr="00481068" w:rsidRDefault="008A7C1A" w:rsidP="008A7C1A">
      <w:pPr>
        <w:tabs>
          <w:tab w:val="left" w:pos="426"/>
        </w:tabs>
        <w:spacing w:line="276" w:lineRule="auto"/>
        <w:jc w:val="both"/>
        <w:rPr>
          <w:rFonts w:ascii="Arial" w:eastAsia="Calibri" w:hAnsi="Arial" w:cs="Arial"/>
          <w:bCs/>
          <w:sz w:val="22"/>
          <w:lang w:val="es-ES" w:eastAsia="es-CO"/>
        </w:rPr>
      </w:pPr>
    </w:p>
    <w:p w14:paraId="2D8DAF58" w14:textId="77777777" w:rsidR="008A7C1A" w:rsidRDefault="008A7C1A" w:rsidP="008A7C1A">
      <w:pPr>
        <w:spacing w:line="276" w:lineRule="auto"/>
        <w:jc w:val="both"/>
        <w:rPr>
          <w:rFonts w:ascii="Arial" w:hAnsi="Arial" w:cs="Arial"/>
          <w:b/>
          <w:bCs/>
          <w:sz w:val="22"/>
        </w:rPr>
      </w:pPr>
      <w:r>
        <w:rPr>
          <w:rFonts w:ascii="Arial" w:hAnsi="Arial" w:cs="Arial"/>
          <w:b/>
          <w:bCs/>
          <w:sz w:val="22"/>
        </w:rPr>
        <w:t>2.4</w:t>
      </w:r>
      <w:r w:rsidRPr="00C20D9C">
        <w:rPr>
          <w:rFonts w:ascii="Arial" w:hAnsi="Arial" w:cs="Arial"/>
          <w:b/>
          <w:bCs/>
          <w:sz w:val="22"/>
        </w:rPr>
        <w:t xml:space="preserve"> Naturaleza y régimen jurídicos contractual de las empresas oficiales prestadoras de servicios públicos domiciliarios</w:t>
      </w:r>
      <w:r>
        <w:rPr>
          <w:rFonts w:ascii="Arial" w:hAnsi="Arial" w:cs="Arial"/>
          <w:b/>
          <w:bCs/>
          <w:sz w:val="22"/>
        </w:rPr>
        <w:t>: aplicación del artículo 33 de la Ley de garantías</w:t>
      </w:r>
    </w:p>
    <w:p w14:paraId="2F8C825C" w14:textId="77777777" w:rsidR="008A7C1A" w:rsidRDefault="008A7C1A" w:rsidP="008A7C1A">
      <w:pPr>
        <w:spacing w:line="276" w:lineRule="auto"/>
        <w:jc w:val="both"/>
        <w:rPr>
          <w:rFonts w:ascii="Arial" w:hAnsi="Arial" w:cs="Arial"/>
          <w:b/>
          <w:bCs/>
          <w:sz w:val="22"/>
        </w:rPr>
      </w:pPr>
    </w:p>
    <w:p w14:paraId="3C71D086" w14:textId="77777777" w:rsidR="008A7C1A" w:rsidRPr="00C20D9C" w:rsidRDefault="008A7C1A" w:rsidP="008A7C1A">
      <w:pPr>
        <w:spacing w:line="276" w:lineRule="auto"/>
        <w:jc w:val="both"/>
        <w:rPr>
          <w:rFonts w:ascii="Arial" w:hAnsi="Arial" w:cs="Arial"/>
          <w:b/>
          <w:bCs/>
          <w:sz w:val="22"/>
        </w:rPr>
      </w:pPr>
    </w:p>
    <w:p w14:paraId="75597AFF" w14:textId="77777777" w:rsidR="008A7C1A" w:rsidRDefault="008A7C1A" w:rsidP="008A7C1A">
      <w:pPr>
        <w:spacing w:after="120" w:line="276" w:lineRule="auto"/>
        <w:jc w:val="both"/>
        <w:rPr>
          <w:rFonts w:ascii="Arial" w:hAnsi="Arial" w:cs="Arial"/>
          <w:sz w:val="22"/>
        </w:rPr>
      </w:pPr>
      <w:r>
        <w:rPr>
          <w:rFonts w:ascii="Arial" w:hAnsi="Arial" w:cs="Arial"/>
          <w:sz w:val="22"/>
        </w:rPr>
        <w:t>Con el fin de establecer si a las empresas oficiales de prestación de servicios públicos domiciliarios les es aplicable el artículo 33 de la Ley de Garantías Electorales es necesario analizar la naturaleza jurídica de estos prestadores.</w:t>
      </w:r>
    </w:p>
    <w:p w14:paraId="04D06C12" w14:textId="77777777" w:rsidR="008A7C1A" w:rsidRDefault="008A7C1A" w:rsidP="008A7C1A">
      <w:pPr>
        <w:spacing w:before="120" w:after="120" w:line="276" w:lineRule="auto"/>
        <w:jc w:val="both"/>
        <w:rPr>
          <w:rFonts w:ascii="Arial" w:hAnsi="Arial" w:cs="Arial"/>
          <w:sz w:val="22"/>
        </w:rPr>
      </w:pPr>
      <w:r>
        <w:rPr>
          <w:rFonts w:ascii="Arial" w:hAnsi="Arial" w:cs="Arial"/>
          <w:sz w:val="22"/>
        </w:rPr>
        <w:lastRenderedPageBreak/>
        <w:tab/>
        <w:t xml:space="preserve">El análisis tiene su origen en </w:t>
      </w:r>
      <w:r w:rsidRPr="00D60372">
        <w:rPr>
          <w:rFonts w:ascii="Arial" w:hAnsi="Arial" w:cs="Arial"/>
          <w:sz w:val="22"/>
        </w:rPr>
        <w:t xml:space="preserve">la Constitución Política de 1991, </w:t>
      </w:r>
      <w:r>
        <w:rPr>
          <w:rFonts w:ascii="Arial" w:hAnsi="Arial" w:cs="Arial"/>
          <w:sz w:val="22"/>
        </w:rPr>
        <w:t>en la cual se transformó el rol del</w:t>
      </w:r>
      <w:r w:rsidRPr="00D60372">
        <w:rPr>
          <w:rFonts w:ascii="Arial" w:hAnsi="Arial" w:cs="Arial"/>
          <w:sz w:val="22"/>
        </w:rPr>
        <w:t xml:space="preserve"> Estado colombiano </w:t>
      </w:r>
      <w:r>
        <w:rPr>
          <w:rFonts w:ascii="Arial" w:hAnsi="Arial" w:cs="Arial"/>
          <w:sz w:val="22"/>
        </w:rPr>
        <w:t xml:space="preserve">en la economía, se modificaron los instrumentos de intervención y se dispuso el marco jurídico del mercado de los servicios públicos domiciliarios. En efecto, con el texto constitucional de 1991 el Estado </w:t>
      </w:r>
      <w:r w:rsidRPr="00D60372">
        <w:rPr>
          <w:rFonts w:ascii="Arial" w:hAnsi="Arial" w:cs="Arial"/>
          <w:sz w:val="22"/>
        </w:rPr>
        <w:t xml:space="preserve">abandonó </w:t>
      </w:r>
      <w:r>
        <w:rPr>
          <w:rFonts w:ascii="Arial" w:hAnsi="Arial" w:cs="Arial"/>
          <w:sz w:val="22"/>
        </w:rPr>
        <w:t>su clásico e histórico rol,</w:t>
      </w:r>
      <w:r w:rsidRPr="00D60372">
        <w:rPr>
          <w:rFonts w:ascii="Arial" w:hAnsi="Arial" w:cs="Arial"/>
          <w:sz w:val="22"/>
        </w:rPr>
        <w:t xml:space="preserve"> que lo obligaba a satisfacer de forma</w:t>
      </w:r>
      <w:r>
        <w:rPr>
          <w:rFonts w:ascii="Arial" w:hAnsi="Arial" w:cs="Arial"/>
          <w:sz w:val="22"/>
        </w:rPr>
        <w:t xml:space="preserve"> directa,</w:t>
      </w:r>
      <w:r w:rsidRPr="00D60372">
        <w:rPr>
          <w:rFonts w:ascii="Arial" w:hAnsi="Arial" w:cs="Arial"/>
          <w:sz w:val="22"/>
        </w:rPr>
        <w:t xml:space="preserve"> única, monopólica y asistencial los servicios públicos que se entendían esenciales para el desarrollo armónico de los individuos en sociedad y</w:t>
      </w:r>
      <w:r>
        <w:rPr>
          <w:rFonts w:ascii="Arial" w:hAnsi="Arial" w:cs="Arial"/>
          <w:sz w:val="22"/>
        </w:rPr>
        <w:t>, además, liberalizó el sector, al permitir que los particulares, en ejercicio de su libre</w:t>
      </w:r>
      <w:r w:rsidRPr="00D60372">
        <w:rPr>
          <w:rFonts w:ascii="Arial" w:hAnsi="Arial" w:cs="Arial"/>
          <w:sz w:val="22"/>
        </w:rPr>
        <w:t xml:space="preserve"> iniciativa privada</w:t>
      </w:r>
      <w:r>
        <w:rPr>
          <w:rFonts w:ascii="Arial" w:hAnsi="Arial" w:cs="Arial"/>
          <w:sz w:val="22"/>
        </w:rPr>
        <w:t>,</w:t>
      </w:r>
      <w:r w:rsidRPr="00D60372">
        <w:rPr>
          <w:rFonts w:ascii="Arial" w:hAnsi="Arial" w:cs="Arial"/>
          <w:sz w:val="22"/>
        </w:rPr>
        <w:t xml:space="preserve"> pudiera</w:t>
      </w:r>
      <w:r>
        <w:rPr>
          <w:rFonts w:ascii="Arial" w:hAnsi="Arial" w:cs="Arial"/>
          <w:sz w:val="22"/>
        </w:rPr>
        <w:t>n</w:t>
      </w:r>
      <w:r w:rsidRPr="00D60372">
        <w:rPr>
          <w:rFonts w:ascii="Arial" w:hAnsi="Arial" w:cs="Arial"/>
          <w:sz w:val="22"/>
        </w:rPr>
        <w:t xml:space="preserve"> intervenir en su prestación, sin perjuicio de la dirección económica, la vigilancia, control y </w:t>
      </w:r>
      <w:r>
        <w:rPr>
          <w:rFonts w:ascii="Arial" w:hAnsi="Arial" w:cs="Arial"/>
          <w:sz w:val="22"/>
        </w:rPr>
        <w:t xml:space="preserve">regulación </w:t>
      </w:r>
      <w:r w:rsidRPr="00D60372">
        <w:rPr>
          <w:rFonts w:ascii="Arial" w:hAnsi="Arial" w:cs="Arial"/>
          <w:sz w:val="22"/>
        </w:rPr>
        <w:t>estatal</w:t>
      </w:r>
      <w:r>
        <w:rPr>
          <w:rStyle w:val="Refdenotaalpie"/>
          <w:rFonts w:ascii="Arial" w:hAnsi="Arial" w:cs="Arial"/>
          <w:sz w:val="22"/>
        </w:rPr>
        <w:footnoteReference w:id="25"/>
      </w:r>
      <w:r>
        <w:rPr>
          <w:rFonts w:ascii="Arial" w:hAnsi="Arial" w:cs="Arial"/>
          <w:sz w:val="22"/>
        </w:rPr>
        <w:t xml:space="preserve">. </w:t>
      </w:r>
    </w:p>
    <w:p w14:paraId="4ACEA383" w14:textId="77777777" w:rsidR="008A7C1A" w:rsidRDefault="008A7C1A" w:rsidP="008A7C1A">
      <w:pPr>
        <w:spacing w:before="120" w:after="120" w:line="276" w:lineRule="auto"/>
        <w:ind w:firstLine="708"/>
        <w:jc w:val="both"/>
        <w:rPr>
          <w:rFonts w:ascii="Arial" w:hAnsi="Arial" w:cs="Arial"/>
          <w:sz w:val="22"/>
        </w:rPr>
      </w:pPr>
      <w:r>
        <w:rPr>
          <w:rFonts w:ascii="Arial" w:hAnsi="Arial" w:cs="Arial"/>
          <w:sz w:val="22"/>
        </w:rPr>
        <w:t>Las anteriores premisas se derivan, principal pero no exclusivamente, de los artículos 333</w:t>
      </w:r>
      <w:r>
        <w:rPr>
          <w:rStyle w:val="Refdenotaalpie"/>
          <w:rFonts w:ascii="Arial" w:hAnsi="Arial" w:cs="Arial"/>
          <w:sz w:val="22"/>
        </w:rPr>
        <w:footnoteReference w:id="26"/>
      </w:r>
      <w:r>
        <w:rPr>
          <w:rFonts w:ascii="Arial" w:hAnsi="Arial" w:cs="Arial"/>
          <w:sz w:val="22"/>
        </w:rPr>
        <w:t>, 334</w:t>
      </w:r>
      <w:r>
        <w:rPr>
          <w:rStyle w:val="Refdenotaalpie"/>
          <w:rFonts w:ascii="Arial" w:hAnsi="Arial" w:cs="Arial"/>
          <w:sz w:val="22"/>
        </w:rPr>
        <w:footnoteReference w:id="27"/>
      </w:r>
      <w:r>
        <w:rPr>
          <w:rFonts w:ascii="Arial" w:hAnsi="Arial" w:cs="Arial"/>
          <w:sz w:val="22"/>
        </w:rPr>
        <w:t xml:space="preserve"> y 365</w:t>
      </w:r>
      <w:r>
        <w:rPr>
          <w:rStyle w:val="Refdenotaalpie"/>
          <w:rFonts w:ascii="Arial" w:hAnsi="Arial" w:cs="Arial"/>
          <w:sz w:val="22"/>
        </w:rPr>
        <w:footnoteReference w:id="28"/>
      </w:r>
      <w:r>
        <w:rPr>
          <w:rFonts w:ascii="Arial" w:hAnsi="Arial" w:cs="Arial"/>
          <w:sz w:val="22"/>
        </w:rPr>
        <w:t xml:space="preserve"> de la Constitución Política. En este nuevo </w:t>
      </w:r>
      <w:r w:rsidRPr="00FF16B9">
        <w:rPr>
          <w:rFonts w:ascii="Arial" w:hAnsi="Arial" w:cs="Arial"/>
          <w:sz w:val="22"/>
        </w:rPr>
        <w:t xml:space="preserve">esquema constitucional de </w:t>
      </w:r>
      <w:r w:rsidRPr="00FF16B9">
        <w:rPr>
          <w:rFonts w:ascii="Arial" w:hAnsi="Arial" w:cs="Arial"/>
          <w:sz w:val="22"/>
        </w:rPr>
        <w:lastRenderedPageBreak/>
        <w:t>liberalización económica e intervención del Estado, la prestación de los servicios públicos domiciliarios se insertó en las lógicas propias del mercado y, así, con el objeto de dotarlo de una institución jurídica que respondiera a la realidad de la oferta y la demanda,</w:t>
      </w:r>
      <w:r>
        <w:rPr>
          <w:rFonts w:ascii="Arial" w:hAnsi="Arial" w:cs="Arial"/>
          <w:sz w:val="22"/>
        </w:rPr>
        <w:t xml:space="preserve"> y a la armonización de la dimensión económica y social del servicio público</w:t>
      </w:r>
      <w:r>
        <w:rPr>
          <w:rStyle w:val="Refdenotaalpie"/>
          <w:rFonts w:ascii="Arial" w:hAnsi="Arial" w:cs="Arial"/>
          <w:sz w:val="22"/>
        </w:rPr>
        <w:footnoteReference w:id="29"/>
      </w:r>
      <w:r>
        <w:rPr>
          <w:rFonts w:ascii="Arial" w:hAnsi="Arial" w:cs="Arial"/>
          <w:sz w:val="22"/>
        </w:rPr>
        <w:t xml:space="preserve">, el legislador creó, a través de la Ley 142 de 1994, </w:t>
      </w:r>
      <w:r w:rsidRPr="00FF16B9">
        <w:rPr>
          <w:rFonts w:ascii="Arial" w:hAnsi="Arial" w:cs="Arial"/>
          <w:sz w:val="22"/>
        </w:rPr>
        <w:t>las empresas prestadoras de servicios públicos domiciliarios como una categoría</w:t>
      </w:r>
      <w:r>
        <w:rPr>
          <w:rFonts w:ascii="Arial" w:hAnsi="Arial" w:cs="Arial"/>
          <w:sz w:val="22"/>
        </w:rPr>
        <w:t xml:space="preserve"> estructural</w:t>
      </w:r>
      <w:r w:rsidRPr="00FF16B9">
        <w:rPr>
          <w:rFonts w:ascii="Arial" w:hAnsi="Arial" w:cs="Arial"/>
          <w:sz w:val="22"/>
        </w:rPr>
        <w:t xml:space="preserve"> especial, </w:t>
      </w:r>
      <w:r>
        <w:rPr>
          <w:rFonts w:ascii="Arial" w:hAnsi="Arial" w:cs="Arial"/>
          <w:sz w:val="22"/>
        </w:rPr>
        <w:t>destinada, precisamente a la prestación de esos servicios públicos en las particulares condiciones constitucionales y legales.</w:t>
      </w:r>
    </w:p>
    <w:p w14:paraId="7463C289" w14:textId="77777777" w:rsidR="008A7C1A" w:rsidRDefault="008A7C1A" w:rsidP="008A7C1A">
      <w:pPr>
        <w:spacing w:before="120" w:after="120" w:line="276" w:lineRule="auto"/>
        <w:ind w:firstLine="708"/>
        <w:jc w:val="both"/>
        <w:rPr>
          <w:rFonts w:ascii="Arial" w:hAnsi="Arial" w:cs="Arial"/>
          <w:sz w:val="22"/>
        </w:rPr>
      </w:pPr>
      <w:r>
        <w:rPr>
          <w:rFonts w:ascii="Arial" w:hAnsi="Arial" w:cs="Arial"/>
          <w:sz w:val="22"/>
        </w:rPr>
        <w:t xml:space="preserve">Es decir, en aplicación del régimen constitucional y, particularmente, de lo previsto en el artículo 365, según el cual </w:t>
      </w:r>
      <w:r w:rsidRPr="005F35E9">
        <w:rPr>
          <w:rFonts w:ascii="Arial" w:hAnsi="Arial" w:cs="Arial"/>
          <w:sz w:val="22"/>
        </w:rPr>
        <w:t>«</w:t>
      </w:r>
      <w:r>
        <w:rPr>
          <w:rFonts w:ascii="Arial" w:hAnsi="Arial" w:cs="Arial"/>
          <w:sz w:val="22"/>
        </w:rPr>
        <w:t>[…]</w:t>
      </w:r>
      <w:r w:rsidRPr="005F35E9">
        <w:rPr>
          <w:rFonts w:ascii="Arial" w:hAnsi="Arial" w:cs="Arial"/>
          <w:sz w:val="22"/>
        </w:rPr>
        <w:t>Los servicios públicos estarán sometidos al régimen jurídico que fije la ley, podrán ser prestados por el Estado, directa o indirectamente, por comunidades organizadas, o por particulares</w:t>
      </w:r>
      <w:r>
        <w:rPr>
          <w:rFonts w:ascii="Arial" w:hAnsi="Arial" w:cs="Arial"/>
          <w:sz w:val="22"/>
        </w:rPr>
        <w:t>. […]</w:t>
      </w:r>
      <w:r w:rsidRPr="005F35E9">
        <w:rPr>
          <w:rFonts w:ascii="Arial" w:hAnsi="Arial" w:cs="Arial"/>
          <w:sz w:val="22"/>
        </w:rPr>
        <w:t>»</w:t>
      </w:r>
      <w:r>
        <w:rPr>
          <w:rFonts w:ascii="Arial" w:hAnsi="Arial" w:cs="Arial"/>
          <w:sz w:val="22"/>
        </w:rPr>
        <w:t>, el legislador desarrollo el régimen liberalizado de prestación de los servicios públicos domiciliarios en la Ley 142 de 1994. Con esta norma, sumada a la construcción derivada de la jurisprudencia constitucional y de lo contencioso administrativo, se construye el contenido de la naturaleza jurídica de las ESP oficiales.</w:t>
      </w:r>
    </w:p>
    <w:p w14:paraId="322AFBD4" w14:textId="77777777" w:rsidR="008A7C1A" w:rsidRDefault="008A7C1A" w:rsidP="008A7C1A">
      <w:pPr>
        <w:spacing w:before="120" w:after="120" w:line="276" w:lineRule="auto"/>
        <w:ind w:firstLine="708"/>
        <w:jc w:val="both"/>
        <w:rPr>
          <w:rFonts w:ascii="Arial" w:hAnsi="Arial" w:cs="Arial"/>
          <w:sz w:val="22"/>
          <w:lang w:val="es-ES_tradnl"/>
        </w:rPr>
      </w:pPr>
      <w:r>
        <w:rPr>
          <w:rFonts w:ascii="Arial" w:hAnsi="Arial" w:cs="Arial"/>
          <w:sz w:val="22"/>
        </w:rPr>
        <w:t>En efecto, una</w:t>
      </w:r>
      <w:r w:rsidRPr="006847A6">
        <w:rPr>
          <w:rFonts w:ascii="Arial" w:hAnsi="Arial" w:cs="Arial"/>
          <w:sz w:val="22"/>
        </w:rPr>
        <w:t xml:space="preserve"> de las principales expresiones de la intervención del Estado en el mercado </w:t>
      </w:r>
      <w:r>
        <w:rPr>
          <w:rFonts w:ascii="Arial" w:hAnsi="Arial" w:cs="Arial"/>
          <w:sz w:val="22"/>
        </w:rPr>
        <w:t>liberalizado de</w:t>
      </w:r>
      <w:r w:rsidRPr="006847A6">
        <w:rPr>
          <w:rFonts w:ascii="Arial" w:hAnsi="Arial" w:cs="Arial"/>
          <w:sz w:val="22"/>
        </w:rPr>
        <w:t xml:space="preserve"> prestación de </w:t>
      </w:r>
      <w:r>
        <w:rPr>
          <w:rFonts w:ascii="Arial" w:hAnsi="Arial" w:cs="Arial"/>
          <w:sz w:val="22"/>
        </w:rPr>
        <w:t>este tipo de</w:t>
      </w:r>
      <w:r w:rsidRPr="006847A6">
        <w:rPr>
          <w:rFonts w:ascii="Arial" w:hAnsi="Arial" w:cs="Arial"/>
          <w:sz w:val="22"/>
        </w:rPr>
        <w:t xml:space="preserve"> servicios</w:t>
      </w:r>
      <w:r>
        <w:rPr>
          <w:rFonts w:ascii="Arial" w:hAnsi="Arial" w:cs="Arial"/>
          <w:sz w:val="22"/>
        </w:rPr>
        <w:t xml:space="preserve"> públicos</w:t>
      </w:r>
      <w:r w:rsidRPr="006847A6">
        <w:rPr>
          <w:rFonts w:ascii="Arial" w:hAnsi="Arial" w:cs="Arial"/>
          <w:sz w:val="22"/>
        </w:rPr>
        <w:t xml:space="preserve">, </w:t>
      </w:r>
      <w:r>
        <w:rPr>
          <w:rFonts w:ascii="Arial" w:hAnsi="Arial" w:cs="Arial"/>
          <w:sz w:val="22"/>
        </w:rPr>
        <w:t>se encuentra en</w:t>
      </w:r>
      <w:r w:rsidRPr="006847A6">
        <w:rPr>
          <w:rFonts w:ascii="Arial" w:hAnsi="Arial" w:cs="Arial"/>
          <w:sz w:val="22"/>
        </w:rPr>
        <w:t xml:space="preserve"> la posibilidad que tienen </w:t>
      </w:r>
      <w:r>
        <w:rPr>
          <w:rFonts w:ascii="Arial" w:hAnsi="Arial" w:cs="Arial"/>
          <w:sz w:val="22"/>
        </w:rPr>
        <w:t xml:space="preserve">todas </w:t>
      </w:r>
      <w:r w:rsidRPr="006847A6">
        <w:rPr>
          <w:rFonts w:ascii="Arial" w:hAnsi="Arial" w:cs="Arial"/>
          <w:sz w:val="22"/>
        </w:rPr>
        <w:t>las personas</w:t>
      </w:r>
      <w:r>
        <w:rPr>
          <w:rFonts w:ascii="Arial" w:hAnsi="Arial" w:cs="Arial"/>
          <w:sz w:val="22"/>
        </w:rPr>
        <w:t xml:space="preserve"> (Estado, directa o indirectamente, particulares o comunidades organizadas)</w:t>
      </w:r>
      <w:r w:rsidRPr="006847A6">
        <w:rPr>
          <w:rFonts w:ascii="Arial" w:hAnsi="Arial" w:cs="Arial"/>
          <w:sz w:val="22"/>
        </w:rPr>
        <w:t xml:space="preserve"> de asumir actividades consideradas como servicios públicos domiciliarios o como complementarias de éstos</w:t>
      </w:r>
      <w:r>
        <w:rPr>
          <w:rFonts w:ascii="Arial" w:hAnsi="Arial" w:cs="Arial"/>
          <w:sz w:val="22"/>
        </w:rPr>
        <w:t>, es decir, de prestarlos directamente y asumir el rol de titulares del servicio. L</w:t>
      </w:r>
      <w:r w:rsidRPr="006847A6">
        <w:rPr>
          <w:rFonts w:ascii="Arial" w:hAnsi="Arial" w:cs="Arial"/>
          <w:sz w:val="22"/>
        </w:rPr>
        <w:t xml:space="preserve">o anterior, </w:t>
      </w:r>
      <w:r>
        <w:rPr>
          <w:rFonts w:ascii="Arial" w:hAnsi="Arial" w:cs="Arial"/>
          <w:sz w:val="22"/>
        </w:rPr>
        <w:t xml:space="preserve">previo el cumplimiento del requisito determinado por el legislador, según el cual </w:t>
      </w:r>
      <w:r w:rsidRPr="006847A6">
        <w:rPr>
          <w:rFonts w:ascii="Arial" w:hAnsi="Arial" w:cs="Arial"/>
          <w:sz w:val="22"/>
        </w:rPr>
        <w:t xml:space="preserve">no cualquier persona puede acudir con libertad a dicho mercado, es decir, la persona que desee emprender las actividades </w:t>
      </w:r>
      <w:r>
        <w:rPr>
          <w:rFonts w:ascii="Arial" w:hAnsi="Arial" w:cs="Arial"/>
          <w:sz w:val="22"/>
        </w:rPr>
        <w:t xml:space="preserve">referidas </w:t>
      </w:r>
      <w:r w:rsidRPr="006847A6">
        <w:rPr>
          <w:rFonts w:ascii="Arial" w:hAnsi="Arial" w:cs="Arial"/>
          <w:sz w:val="22"/>
        </w:rPr>
        <w:t xml:space="preserve">debe asumir una de las formas expresamente determinadas por el legislador para el desarrollo de la actividad y que se encuentran señaladas, taxativamente, en </w:t>
      </w:r>
      <w:r>
        <w:rPr>
          <w:rFonts w:ascii="Arial" w:hAnsi="Arial" w:cs="Arial"/>
          <w:sz w:val="22"/>
        </w:rPr>
        <w:t>el artículo 15 de la</w:t>
      </w:r>
      <w:r w:rsidRPr="006847A6">
        <w:rPr>
          <w:rFonts w:ascii="Arial" w:hAnsi="Arial" w:cs="Arial"/>
          <w:sz w:val="22"/>
        </w:rPr>
        <w:t xml:space="preserve"> Ley 142 de 1994</w:t>
      </w:r>
      <w:r>
        <w:rPr>
          <w:rFonts w:ascii="Arial" w:hAnsi="Arial" w:cs="Arial"/>
          <w:sz w:val="22"/>
        </w:rPr>
        <w:t xml:space="preserve">, en el cual están enunciadas las </w:t>
      </w:r>
      <w:bookmarkStart w:id="24" w:name="_Hlk94532157"/>
      <w:r w:rsidRPr="00996366">
        <w:rPr>
          <w:rFonts w:ascii="Arial" w:hAnsi="Arial" w:cs="Arial"/>
          <w:sz w:val="22"/>
          <w:lang w:val="es-ES_tradnl"/>
        </w:rPr>
        <w:t>«</w:t>
      </w:r>
      <w:bookmarkEnd w:id="24"/>
      <w:r>
        <w:rPr>
          <w:rFonts w:ascii="Arial" w:hAnsi="Arial" w:cs="Arial"/>
          <w:sz w:val="22"/>
        </w:rPr>
        <w:t>empresas de servicios públicos</w:t>
      </w:r>
      <w:bookmarkStart w:id="25" w:name="_Hlk97651145"/>
      <w:r w:rsidRPr="00996366">
        <w:rPr>
          <w:rFonts w:ascii="Arial" w:hAnsi="Arial" w:cs="Arial"/>
          <w:sz w:val="22"/>
          <w:lang w:val="es-ES_tradnl"/>
        </w:rPr>
        <w:t>»</w:t>
      </w:r>
      <w:bookmarkEnd w:id="25"/>
      <w:r>
        <w:rPr>
          <w:rFonts w:ascii="Arial" w:hAnsi="Arial" w:cs="Arial"/>
          <w:sz w:val="22"/>
          <w:lang w:val="es-ES_tradnl"/>
        </w:rPr>
        <w:t xml:space="preserve"> (numeral 15.1).</w:t>
      </w:r>
    </w:p>
    <w:p w14:paraId="360BC9CF" w14:textId="77777777" w:rsidR="008A7C1A" w:rsidRDefault="008A7C1A" w:rsidP="008A7C1A">
      <w:pPr>
        <w:spacing w:before="120" w:after="120" w:line="276" w:lineRule="auto"/>
        <w:ind w:firstLine="708"/>
        <w:jc w:val="both"/>
        <w:rPr>
          <w:rFonts w:ascii="Arial" w:hAnsi="Arial" w:cs="Arial"/>
          <w:sz w:val="22"/>
        </w:rPr>
      </w:pPr>
      <w:r>
        <w:rPr>
          <w:rFonts w:ascii="Arial" w:hAnsi="Arial" w:cs="Arial"/>
          <w:sz w:val="22"/>
        </w:rPr>
        <w:t xml:space="preserve">Así, las empresas prestadoras de servicios públicos domiciliarios pueden ser catalogados como </w:t>
      </w:r>
      <w:r w:rsidRPr="008A5F0F">
        <w:rPr>
          <w:rFonts w:ascii="Arial" w:hAnsi="Arial" w:cs="Arial"/>
          <w:sz w:val="22"/>
        </w:rPr>
        <w:t>la categoría principal de los prestadores privados</w:t>
      </w:r>
      <w:r>
        <w:rPr>
          <w:rFonts w:ascii="Arial" w:hAnsi="Arial" w:cs="Arial"/>
          <w:sz w:val="22"/>
        </w:rPr>
        <w:t>. De manera expresa, el artículo 17 de la Ley 142 de 1994 prevé la</w:t>
      </w:r>
      <w:r w:rsidRPr="008A5F0F">
        <w:rPr>
          <w:rFonts w:ascii="Arial" w:hAnsi="Arial" w:cs="Arial"/>
          <w:sz w:val="22"/>
        </w:rPr>
        <w:t xml:space="preserve"> naturaleza jurídica de éstas</w:t>
      </w:r>
      <w:r>
        <w:rPr>
          <w:rFonts w:ascii="Arial" w:hAnsi="Arial" w:cs="Arial"/>
          <w:sz w:val="22"/>
        </w:rPr>
        <w:t>, en los siguientes términos:</w:t>
      </w:r>
    </w:p>
    <w:p w14:paraId="7D49E336" w14:textId="77777777" w:rsidR="008A7C1A" w:rsidRPr="00910681" w:rsidRDefault="008A7C1A" w:rsidP="008A7C1A">
      <w:pPr>
        <w:ind w:left="708" w:right="900"/>
        <w:jc w:val="both"/>
        <w:rPr>
          <w:rFonts w:ascii="Arial" w:hAnsi="Arial" w:cs="Arial"/>
          <w:sz w:val="21"/>
          <w:szCs w:val="21"/>
        </w:rPr>
      </w:pPr>
      <w:r w:rsidRPr="00910681">
        <w:rPr>
          <w:rFonts w:ascii="Arial" w:hAnsi="Arial" w:cs="Arial"/>
          <w:sz w:val="21"/>
          <w:szCs w:val="21"/>
        </w:rPr>
        <w:t xml:space="preserve">«Artículo 17. Las empresas de servicios públicos </w:t>
      </w:r>
      <w:r w:rsidRPr="007654F7">
        <w:rPr>
          <w:rFonts w:ascii="Arial" w:hAnsi="Arial" w:cs="Arial"/>
          <w:i/>
          <w:iCs/>
          <w:sz w:val="21"/>
          <w:szCs w:val="21"/>
        </w:rPr>
        <w:t>son sociedades por acciones</w:t>
      </w:r>
      <w:r w:rsidRPr="00910681">
        <w:rPr>
          <w:rFonts w:ascii="Arial" w:hAnsi="Arial" w:cs="Arial"/>
          <w:sz w:val="21"/>
          <w:szCs w:val="21"/>
        </w:rPr>
        <w:t xml:space="preserve"> cuyo objeto es la prestación de los servicios públicos de que trata esta Ley. </w:t>
      </w:r>
    </w:p>
    <w:p w14:paraId="169E86BB" w14:textId="77777777" w:rsidR="008A7C1A" w:rsidRPr="007654F7" w:rsidRDefault="008A7C1A" w:rsidP="008A7C1A">
      <w:pPr>
        <w:ind w:left="708" w:right="900"/>
        <w:jc w:val="both"/>
        <w:rPr>
          <w:rFonts w:ascii="Arial" w:hAnsi="Arial" w:cs="Arial"/>
          <w:i/>
          <w:iCs/>
          <w:sz w:val="21"/>
          <w:szCs w:val="21"/>
        </w:rPr>
      </w:pPr>
      <w:r w:rsidRPr="00910681">
        <w:rPr>
          <w:rFonts w:ascii="Arial" w:hAnsi="Arial" w:cs="Arial"/>
          <w:sz w:val="21"/>
          <w:szCs w:val="21"/>
        </w:rPr>
        <w:lastRenderedPageBreak/>
        <w:t xml:space="preserve">Parágrafo 1°. </w:t>
      </w:r>
      <w:r w:rsidRPr="007654F7">
        <w:rPr>
          <w:rFonts w:ascii="Arial" w:hAnsi="Arial" w:cs="Arial"/>
          <w:i/>
          <w:iCs/>
          <w:sz w:val="21"/>
          <w:szCs w:val="21"/>
        </w:rPr>
        <w:t>Las entidades descentralizadas de cualquier orden territorial o nacional, cuyos propietarios no deseen que su capital esté representado en acciones, deberán adoptar la forma de empresa industrial y comercial del estado.</w:t>
      </w:r>
    </w:p>
    <w:p w14:paraId="5AA36E00" w14:textId="77777777" w:rsidR="008A7C1A" w:rsidRPr="00910681" w:rsidRDefault="008A7C1A" w:rsidP="008A7C1A">
      <w:pPr>
        <w:ind w:left="708" w:right="900"/>
        <w:jc w:val="both"/>
        <w:rPr>
          <w:rFonts w:ascii="Arial" w:hAnsi="Arial" w:cs="Arial"/>
          <w:sz w:val="21"/>
          <w:szCs w:val="21"/>
        </w:rPr>
      </w:pPr>
      <w:r w:rsidRPr="00910681">
        <w:rPr>
          <w:rFonts w:ascii="Arial" w:hAnsi="Arial" w:cs="Arial"/>
          <w:sz w:val="21"/>
          <w:szCs w:val="21"/>
        </w:rPr>
        <w:t>Mientras la ley a la que se refiere el artículo 352 de la Constitución Política no disponga otra cosa, sus presupuestos serán aprobados por las correspondientes juntas directivas. En todo caso</w:t>
      </w:r>
      <w:r w:rsidRPr="007654F7">
        <w:rPr>
          <w:rFonts w:ascii="Arial" w:hAnsi="Arial" w:cs="Arial"/>
          <w:i/>
          <w:iCs/>
          <w:sz w:val="21"/>
          <w:szCs w:val="21"/>
        </w:rPr>
        <w:t>, el régimen aplicable a las entidades descentralizadas de cualquier nivel territorial que presten servicios públicos, en todo lo que no disponga directamente la Constitución, será el previsto en esta Ley</w:t>
      </w:r>
      <w:r w:rsidRPr="00910681">
        <w:rPr>
          <w:rFonts w:ascii="Arial" w:hAnsi="Arial" w:cs="Arial"/>
          <w:sz w:val="21"/>
          <w:szCs w:val="21"/>
        </w:rPr>
        <w:t>. La Superintendencia de Servicios Públicos podrá exigir modificaciones en los estatutos de las entidades descentralizadas que presten servicios públicos y no hayan sido aprobados por el Congreso, si no se ajustan a lo dispuesto en esta Ley.</w:t>
      </w:r>
    </w:p>
    <w:p w14:paraId="4ABFED6F" w14:textId="77777777" w:rsidR="008A7C1A" w:rsidRDefault="008A7C1A" w:rsidP="008A7C1A">
      <w:pPr>
        <w:ind w:left="708" w:right="900"/>
        <w:jc w:val="both"/>
        <w:rPr>
          <w:rFonts w:ascii="Arial" w:hAnsi="Arial" w:cs="Arial"/>
          <w:sz w:val="21"/>
          <w:szCs w:val="21"/>
        </w:rPr>
      </w:pPr>
      <w:r w:rsidRPr="00910681">
        <w:rPr>
          <w:rFonts w:ascii="Arial" w:hAnsi="Arial" w:cs="Arial"/>
          <w:sz w:val="21"/>
          <w:szCs w:val="21"/>
        </w:rPr>
        <w:t>Parágrafo 2°. Las empresas oficiales de servicios públicos deberán, al finalizar el ejercicio fiscal, constituir reservas para rehabilitación, expansión y reposición de los sistemas</w:t>
      </w:r>
      <w:r>
        <w:rPr>
          <w:rFonts w:ascii="Arial" w:hAnsi="Arial" w:cs="Arial"/>
          <w:sz w:val="21"/>
          <w:szCs w:val="21"/>
        </w:rPr>
        <w:t>.</w:t>
      </w:r>
      <w:r w:rsidRPr="00683DAE">
        <w:rPr>
          <w:rFonts w:ascii="Arial" w:hAnsi="Arial" w:cs="Arial"/>
          <w:sz w:val="21"/>
          <w:szCs w:val="21"/>
        </w:rPr>
        <w:t>»</w:t>
      </w:r>
      <w:r>
        <w:rPr>
          <w:rFonts w:ascii="Arial" w:hAnsi="Arial" w:cs="Arial"/>
          <w:sz w:val="21"/>
          <w:szCs w:val="21"/>
        </w:rPr>
        <w:t xml:space="preserve"> (cursiva fuera de texto)</w:t>
      </w:r>
    </w:p>
    <w:p w14:paraId="4004A9B2" w14:textId="77777777" w:rsidR="008A7C1A" w:rsidRDefault="008A7C1A" w:rsidP="008A7C1A">
      <w:pPr>
        <w:ind w:left="708" w:right="900"/>
        <w:jc w:val="both"/>
        <w:rPr>
          <w:rFonts w:ascii="Arial" w:hAnsi="Arial" w:cs="Arial"/>
          <w:sz w:val="22"/>
        </w:rPr>
      </w:pPr>
    </w:p>
    <w:p w14:paraId="0DEEDA7F" w14:textId="77777777" w:rsidR="008A7C1A" w:rsidRDefault="008A7C1A" w:rsidP="008A7C1A">
      <w:pPr>
        <w:spacing w:before="120" w:after="120" w:line="276" w:lineRule="auto"/>
        <w:ind w:firstLine="708"/>
        <w:jc w:val="both"/>
        <w:rPr>
          <w:rFonts w:ascii="Arial" w:hAnsi="Arial" w:cs="Arial"/>
          <w:sz w:val="22"/>
        </w:rPr>
      </w:pPr>
      <w:r>
        <w:rPr>
          <w:rFonts w:ascii="Arial" w:hAnsi="Arial" w:cs="Arial"/>
          <w:sz w:val="22"/>
        </w:rPr>
        <w:t xml:space="preserve">Como se observa, </w:t>
      </w:r>
      <w:r w:rsidRPr="008A5F0F">
        <w:rPr>
          <w:rFonts w:ascii="Arial" w:hAnsi="Arial" w:cs="Arial"/>
          <w:sz w:val="22"/>
        </w:rPr>
        <w:t>el artículo 17 de la Ley 142 de 1994</w:t>
      </w:r>
      <w:r>
        <w:rPr>
          <w:rFonts w:ascii="Arial" w:hAnsi="Arial" w:cs="Arial"/>
          <w:sz w:val="22"/>
        </w:rPr>
        <w:t xml:space="preserve"> </w:t>
      </w:r>
      <w:r w:rsidRPr="008A5F0F">
        <w:rPr>
          <w:rFonts w:ascii="Arial" w:hAnsi="Arial" w:cs="Arial"/>
          <w:sz w:val="22"/>
        </w:rPr>
        <w:t xml:space="preserve">dispone que dichas empresas deben constituirse </w:t>
      </w:r>
      <w:r>
        <w:rPr>
          <w:rFonts w:ascii="Arial" w:hAnsi="Arial" w:cs="Arial"/>
          <w:sz w:val="22"/>
        </w:rPr>
        <w:t xml:space="preserve">i) </w:t>
      </w:r>
      <w:r w:rsidRPr="008A5F0F">
        <w:rPr>
          <w:rFonts w:ascii="Arial" w:hAnsi="Arial" w:cs="Arial"/>
          <w:sz w:val="22"/>
        </w:rPr>
        <w:t xml:space="preserve">como sociedades por acciones que </w:t>
      </w:r>
      <w:r>
        <w:rPr>
          <w:rFonts w:ascii="Arial" w:hAnsi="Arial" w:cs="Arial"/>
          <w:sz w:val="22"/>
        </w:rPr>
        <w:t>ii</w:t>
      </w:r>
      <w:r w:rsidRPr="008A5F0F">
        <w:rPr>
          <w:rFonts w:ascii="Arial" w:hAnsi="Arial" w:cs="Arial"/>
          <w:sz w:val="22"/>
        </w:rPr>
        <w:t xml:space="preserve">) tengan por objeto la prestación de los servicios públicos de que trata la Ley 142 de 1994 y </w:t>
      </w:r>
      <w:r>
        <w:rPr>
          <w:rFonts w:ascii="Arial" w:hAnsi="Arial" w:cs="Arial"/>
          <w:sz w:val="22"/>
        </w:rPr>
        <w:t>iii</w:t>
      </w:r>
      <w:r w:rsidRPr="008A5F0F">
        <w:rPr>
          <w:rFonts w:ascii="Arial" w:hAnsi="Arial" w:cs="Arial"/>
          <w:sz w:val="22"/>
        </w:rPr>
        <w:t>) que se gobiernen por las disposiciones especiales contenidas en la Ley 142 de 1994, y solo a falta de estas por las señaladas en el Código de Comercio y demás normas concordantes.</w:t>
      </w:r>
      <w:r>
        <w:rPr>
          <w:rFonts w:ascii="Arial" w:hAnsi="Arial" w:cs="Arial"/>
          <w:sz w:val="22"/>
        </w:rPr>
        <w:t xml:space="preserve"> Al respecto, necesario resaltar que es</w:t>
      </w:r>
      <w:r w:rsidRPr="008A5F0F">
        <w:rPr>
          <w:rFonts w:ascii="Arial" w:hAnsi="Arial" w:cs="Arial"/>
          <w:sz w:val="22"/>
        </w:rPr>
        <w:t>te régimen especial, que se aparta en muchos aspectos del señalado de manera general por el Código de Comercio para las sociedades por acciones, tiene como objetivo el cumplimiento de los fines del Estado frente a la prestación de los servicios públicos domiciliarios.</w:t>
      </w:r>
    </w:p>
    <w:p w14:paraId="1F4102E5" w14:textId="77777777" w:rsidR="008A7C1A" w:rsidRPr="00F662EE" w:rsidRDefault="008A7C1A" w:rsidP="008A7C1A">
      <w:pPr>
        <w:spacing w:before="120" w:after="120" w:line="276" w:lineRule="auto"/>
        <w:ind w:firstLine="708"/>
        <w:jc w:val="both"/>
        <w:rPr>
          <w:rFonts w:ascii="Arial" w:hAnsi="Arial" w:cs="Arial"/>
          <w:sz w:val="22"/>
        </w:rPr>
      </w:pPr>
      <w:r>
        <w:rPr>
          <w:rFonts w:ascii="Arial" w:hAnsi="Arial" w:cs="Arial"/>
          <w:sz w:val="22"/>
        </w:rPr>
        <w:t>En</w:t>
      </w:r>
      <w:r w:rsidRPr="00F662EE">
        <w:rPr>
          <w:rFonts w:ascii="Arial" w:hAnsi="Arial" w:cs="Arial"/>
          <w:sz w:val="22"/>
        </w:rPr>
        <w:t xml:space="preserve"> relación </w:t>
      </w:r>
      <w:r>
        <w:rPr>
          <w:rFonts w:ascii="Arial" w:hAnsi="Arial" w:cs="Arial"/>
          <w:sz w:val="22"/>
        </w:rPr>
        <w:t xml:space="preserve">con </w:t>
      </w:r>
      <w:r w:rsidRPr="00F662EE">
        <w:rPr>
          <w:rFonts w:ascii="Arial" w:hAnsi="Arial" w:cs="Arial"/>
          <w:sz w:val="22"/>
        </w:rPr>
        <w:t>l</w:t>
      </w:r>
      <w:r>
        <w:rPr>
          <w:rFonts w:ascii="Arial" w:hAnsi="Arial" w:cs="Arial"/>
          <w:sz w:val="22"/>
        </w:rPr>
        <w:t xml:space="preserve">os tipos de </w:t>
      </w:r>
      <w:r w:rsidRPr="00F662EE">
        <w:rPr>
          <w:rFonts w:ascii="Arial" w:hAnsi="Arial" w:cs="Arial"/>
          <w:sz w:val="22"/>
        </w:rPr>
        <w:t>empresas de servicios públicos domiciliarios, la misma Ley 142 de 1994 estableció la distinción entre empresas de servicios públicos oficiales, mixtas y privadas, en los numerales 5 a 7 de su artículo 14, así:</w:t>
      </w:r>
    </w:p>
    <w:p w14:paraId="1C18CCFB" w14:textId="77777777" w:rsidR="008A7C1A" w:rsidRPr="00F662EE" w:rsidRDefault="008A7C1A" w:rsidP="008A7C1A">
      <w:pPr>
        <w:ind w:firstLine="709"/>
        <w:jc w:val="both"/>
        <w:rPr>
          <w:rFonts w:ascii="Arial" w:hAnsi="Arial" w:cs="Arial"/>
          <w:sz w:val="21"/>
          <w:szCs w:val="21"/>
        </w:rPr>
      </w:pPr>
      <w:r w:rsidRPr="00F662EE">
        <w:rPr>
          <w:rFonts w:ascii="Arial" w:hAnsi="Arial" w:cs="Arial"/>
          <w:sz w:val="21"/>
          <w:szCs w:val="21"/>
          <w:lang w:val="es-ES_tradnl"/>
        </w:rPr>
        <w:t>«</w:t>
      </w:r>
      <w:r w:rsidRPr="00F662EE">
        <w:rPr>
          <w:rFonts w:ascii="Arial" w:hAnsi="Arial" w:cs="Arial"/>
          <w:sz w:val="21"/>
          <w:szCs w:val="21"/>
        </w:rPr>
        <w:t>[…]</w:t>
      </w:r>
    </w:p>
    <w:p w14:paraId="7E7C7F17" w14:textId="77777777" w:rsidR="008A7C1A" w:rsidRPr="00F662EE" w:rsidRDefault="008A7C1A" w:rsidP="008A7C1A">
      <w:pPr>
        <w:ind w:left="708" w:firstLine="1"/>
        <w:jc w:val="both"/>
        <w:rPr>
          <w:rFonts w:ascii="Arial" w:hAnsi="Arial" w:cs="Arial"/>
          <w:sz w:val="21"/>
          <w:szCs w:val="21"/>
        </w:rPr>
      </w:pPr>
      <w:r w:rsidRPr="00F662EE">
        <w:rPr>
          <w:rFonts w:ascii="Arial" w:hAnsi="Arial" w:cs="Arial"/>
          <w:sz w:val="21"/>
          <w:szCs w:val="21"/>
        </w:rPr>
        <w:t>14.5. Empresas de servicios públicos oficiales. Es aquella en cuyo capital la Nación, las entidades territoriales, o las entidades descentralizadas de aquella o estas tienen el 100% de los aportes.</w:t>
      </w:r>
    </w:p>
    <w:p w14:paraId="09248142" w14:textId="77777777" w:rsidR="008A7C1A" w:rsidRPr="00F662EE" w:rsidRDefault="008A7C1A" w:rsidP="008A7C1A">
      <w:pPr>
        <w:ind w:left="708" w:firstLine="1"/>
        <w:jc w:val="both"/>
        <w:rPr>
          <w:rFonts w:ascii="Arial" w:hAnsi="Arial" w:cs="Arial"/>
          <w:sz w:val="21"/>
          <w:szCs w:val="21"/>
        </w:rPr>
      </w:pPr>
      <w:r w:rsidRPr="00F662EE">
        <w:rPr>
          <w:rFonts w:ascii="Arial" w:hAnsi="Arial" w:cs="Arial"/>
          <w:sz w:val="21"/>
          <w:szCs w:val="21"/>
        </w:rPr>
        <w:t>14.6 Empresa de servicios públicos mixta. Es aquella en cuyo capital la Nación, las entidades territoriales, o las entidades descentralizadas de aquella o estas tienen aportes iguales o superiores al 50%.</w:t>
      </w:r>
    </w:p>
    <w:p w14:paraId="587F63AB" w14:textId="77777777" w:rsidR="008A7C1A" w:rsidRPr="008A5F0F" w:rsidRDefault="008A7C1A" w:rsidP="008A7C1A">
      <w:pPr>
        <w:ind w:left="708" w:firstLine="1"/>
        <w:jc w:val="both"/>
        <w:rPr>
          <w:rFonts w:ascii="Arial" w:hAnsi="Arial" w:cs="Arial"/>
          <w:sz w:val="22"/>
        </w:rPr>
      </w:pPr>
      <w:r w:rsidRPr="00F662EE">
        <w:rPr>
          <w:rFonts w:ascii="Arial" w:hAnsi="Arial" w:cs="Arial"/>
          <w:sz w:val="21"/>
          <w:szCs w:val="21"/>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r w:rsidRPr="00F662EE">
        <w:rPr>
          <w:rFonts w:ascii="Arial" w:hAnsi="Arial" w:cs="Arial"/>
          <w:sz w:val="21"/>
          <w:szCs w:val="21"/>
          <w:lang w:val="es-ES_tradnl"/>
        </w:rPr>
        <w:t>»</w:t>
      </w:r>
    </w:p>
    <w:p w14:paraId="2A1F74C8" w14:textId="77777777" w:rsidR="008A7C1A" w:rsidRDefault="008A7C1A" w:rsidP="008A7C1A">
      <w:pPr>
        <w:spacing w:before="120" w:after="120" w:line="276" w:lineRule="auto"/>
        <w:ind w:firstLine="708"/>
        <w:jc w:val="both"/>
        <w:rPr>
          <w:rFonts w:ascii="Arial" w:hAnsi="Arial" w:cs="Arial"/>
          <w:sz w:val="22"/>
        </w:rPr>
      </w:pPr>
      <w:r>
        <w:rPr>
          <w:rFonts w:ascii="Arial" w:hAnsi="Arial" w:cs="Arial"/>
          <w:sz w:val="22"/>
        </w:rPr>
        <w:lastRenderedPageBreak/>
        <w:t xml:space="preserve">La anterior distinción es importante a efectos de dilucidar la naturaleza de las empresas oficiales de prestación de servicios públicos domiciliarios y la aplicación del artículo 33 de la Ley de emprendimiento pues, si las ESP oficiales son aquellas en donde el capital público en la sociedad es del 100% de los aportes, puede concluirse </w:t>
      </w:r>
      <w:r>
        <w:rPr>
          <w:rFonts w:ascii="Arial" w:hAnsi="Arial" w:cs="Arial"/>
          <w:i/>
          <w:iCs/>
          <w:sz w:val="22"/>
        </w:rPr>
        <w:t xml:space="preserve">prima facie </w:t>
      </w:r>
      <w:r>
        <w:rPr>
          <w:rFonts w:ascii="Arial" w:hAnsi="Arial" w:cs="Arial"/>
          <w:sz w:val="22"/>
        </w:rPr>
        <w:t>que se trata de una entidad estatal y, por tanto, una entidad destinataria del artículo 33 de la Ley de emprendimiento. Esta conclusión preliminar puede reforzarse, al menos, por las siguientes 3 consideraciones:</w:t>
      </w:r>
    </w:p>
    <w:p w14:paraId="13CFF872" w14:textId="77777777" w:rsidR="008A7C1A" w:rsidRDefault="008A7C1A" w:rsidP="008A7C1A">
      <w:pPr>
        <w:spacing w:before="120" w:after="120" w:line="276" w:lineRule="auto"/>
        <w:ind w:firstLine="708"/>
        <w:jc w:val="both"/>
        <w:rPr>
          <w:rFonts w:ascii="Arial" w:hAnsi="Arial" w:cs="Arial"/>
          <w:sz w:val="22"/>
        </w:rPr>
      </w:pPr>
      <w:r>
        <w:rPr>
          <w:rFonts w:ascii="Arial" w:hAnsi="Arial" w:cs="Arial"/>
          <w:sz w:val="22"/>
        </w:rPr>
        <w:t xml:space="preserve">i) El literal d) del numeral 2 del artículo 38 de la Ley 489 de 1998 indica expresamente que las empresas oficiales </w:t>
      </w:r>
      <w:r w:rsidRPr="008405A3">
        <w:rPr>
          <w:rFonts w:ascii="Arial" w:hAnsi="Arial" w:cs="Arial"/>
          <w:sz w:val="22"/>
        </w:rPr>
        <w:t>de servicios públicos domiciliarios</w:t>
      </w:r>
      <w:r>
        <w:rPr>
          <w:rFonts w:ascii="Arial" w:hAnsi="Arial" w:cs="Arial"/>
          <w:sz w:val="22"/>
        </w:rPr>
        <w:t xml:space="preserve"> hacen parte del sector descentralizado por servicios de la rama ejecutiva del poder público en el orden nacional.</w:t>
      </w:r>
    </w:p>
    <w:p w14:paraId="2C7AF473" w14:textId="77777777" w:rsidR="008A7C1A" w:rsidRDefault="008A7C1A" w:rsidP="008A7C1A">
      <w:pPr>
        <w:spacing w:before="120" w:after="120" w:line="276" w:lineRule="auto"/>
        <w:ind w:firstLine="708"/>
        <w:jc w:val="both"/>
        <w:rPr>
          <w:rFonts w:ascii="Arial" w:hAnsi="Arial" w:cs="Arial"/>
          <w:sz w:val="21"/>
          <w:szCs w:val="21"/>
          <w:lang w:val="es-ES_tradnl"/>
        </w:rPr>
      </w:pPr>
      <w:r>
        <w:rPr>
          <w:rFonts w:ascii="Arial" w:hAnsi="Arial" w:cs="Arial"/>
          <w:sz w:val="22"/>
        </w:rPr>
        <w:t xml:space="preserve">ii) Dicho artículo fue objeto de examen de constitucionalidad y la Corte Constitucional concluyó que </w:t>
      </w:r>
      <w:r w:rsidRPr="00B90A77">
        <w:rPr>
          <w:rFonts w:ascii="Arial" w:hAnsi="Arial" w:cs="Arial"/>
          <w:sz w:val="22"/>
        </w:rPr>
        <w:t>«</w:t>
      </w:r>
      <w:r>
        <w:rPr>
          <w:rFonts w:ascii="Arial" w:hAnsi="Arial" w:cs="Arial"/>
          <w:sz w:val="22"/>
        </w:rPr>
        <w:t>[…] l</w:t>
      </w:r>
      <w:r w:rsidRPr="00E22DA0">
        <w:rPr>
          <w:rFonts w:ascii="Arial" w:hAnsi="Arial" w:cs="Arial"/>
          <w:sz w:val="22"/>
        </w:rPr>
        <w:t>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 Así las cosas, de cara a la constitucionalidad del artículo 38 de la Ley 498 de 1998, y concretamente de la expresión “las empresas oficiales de servicios públicos domiciliarios” contenida en su literal d), la Corte declarará su exequibilidad, por considerar que dentro del supuesto normativo del literal g) se comprenden las empresas mixtas o privadas de servicios públicos, que de esta manera viene a conformar también la Rama Ejecutiva del poder público</w:t>
      </w:r>
      <w:r>
        <w:rPr>
          <w:rFonts w:ascii="Arial" w:hAnsi="Arial" w:cs="Arial"/>
          <w:sz w:val="22"/>
        </w:rPr>
        <w:t>.</w:t>
      </w:r>
      <w:r w:rsidRPr="00F662EE">
        <w:rPr>
          <w:rFonts w:ascii="Arial" w:hAnsi="Arial" w:cs="Arial"/>
          <w:sz w:val="21"/>
          <w:szCs w:val="21"/>
          <w:lang w:val="es-ES_tradnl"/>
        </w:rPr>
        <w:t>»</w:t>
      </w:r>
      <w:r>
        <w:rPr>
          <w:rStyle w:val="Refdenotaalpie"/>
          <w:rFonts w:ascii="Arial" w:hAnsi="Arial" w:cs="Arial"/>
          <w:sz w:val="21"/>
          <w:szCs w:val="21"/>
          <w:lang w:val="es-ES_tradnl"/>
        </w:rPr>
        <w:footnoteReference w:id="30"/>
      </w:r>
    </w:p>
    <w:p w14:paraId="04009AC0" w14:textId="77777777" w:rsidR="008A7C1A" w:rsidRPr="00F927CD" w:rsidRDefault="008A7C1A" w:rsidP="008A7C1A">
      <w:pPr>
        <w:spacing w:before="120" w:after="120" w:line="276" w:lineRule="auto"/>
        <w:ind w:firstLine="708"/>
        <w:jc w:val="both"/>
        <w:rPr>
          <w:rFonts w:ascii="Arial" w:hAnsi="Arial" w:cs="Arial"/>
          <w:sz w:val="22"/>
        </w:rPr>
      </w:pPr>
      <w:r w:rsidRPr="00F927CD">
        <w:rPr>
          <w:rFonts w:ascii="Arial" w:hAnsi="Arial" w:cs="Arial"/>
          <w:sz w:val="22"/>
          <w:lang w:val="es-ES_tradnl"/>
        </w:rPr>
        <w:t xml:space="preserve">iii) La parte final del literal a) del numeral 1 del artículo 2 de la Ley 80 de 1993 indica que, a efectos del Estatuto General de Contratación de la Administración Pública, se denomina entidad estatal, entre otras, </w:t>
      </w:r>
      <w:r w:rsidRPr="00F927CD">
        <w:rPr>
          <w:rFonts w:ascii="Arial" w:hAnsi="Arial" w:cs="Arial"/>
          <w:sz w:val="22"/>
        </w:rPr>
        <w:t>«</w:t>
      </w:r>
      <w:r w:rsidRPr="00F927CD">
        <w:rPr>
          <w:rFonts w:ascii="Arial" w:hAnsi="Arial" w:cs="Arial"/>
          <w:sz w:val="22"/>
          <w:lang w:val="es-ES_tradnl"/>
        </w:rPr>
        <w:t>[…] las entidades descentralizadas indirectas y las demás personas jurídicas en las que exista dicha participación pública mayoritaria, cualquiera sea la denominación que ellas adopten, en todos los órdenes y niveles.»</w:t>
      </w:r>
    </w:p>
    <w:p w14:paraId="263D695B" w14:textId="77777777" w:rsidR="008A7C1A" w:rsidRDefault="008A7C1A" w:rsidP="008A7C1A">
      <w:pPr>
        <w:spacing w:before="120" w:line="276" w:lineRule="auto"/>
        <w:ind w:firstLine="708"/>
        <w:jc w:val="both"/>
        <w:rPr>
          <w:rFonts w:ascii="Arial" w:hAnsi="Arial" w:cs="Arial"/>
          <w:sz w:val="21"/>
          <w:szCs w:val="21"/>
          <w:lang w:val="es-ES_tradnl"/>
        </w:rPr>
      </w:pPr>
      <w:r w:rsidRPr="00F927CD">
        <w:rPr>
          <w:rFonts w:ascii="Arial" w:hAnsi="Arial" w:cs="Arial"/>
          <w:sz w:val="22"/>
          <w:lang w:val="es-ES_tradnl"/>
        </w:rPr>
        <w:t xml:space="preserve">De este modo, resulta claro </w:t>
      </w:r>
      <w:r>
        <w:rPr>
          <w:rFonts w:ascii="Arial" w:hAnsi="Arial" w:cs="Arial"/>
          <w:sz w:val="22"/>
          <w:lang w:val="es-ES_tradnl"/>
        </w:rPr>
        <w:t>que</w:t>
      </w:r>
      <w:r w:rsidRPr="00F927CD">
        <w:rPr>
          <w:rFonts w:ascii="Arial" w:hAnsi="Arial" w:cs="Arial"/>
          <w:sz w:val="22"/>
          <w:lang w:val="es-ES_tradnl"/>
        </w:rPr>
        <w:t xml:space="preserve"> son varias las razones que confirman la premisa que permite catalogar a las empresas oficiales de servicios públicos domiciliarios como entidad </w:t>
      </w:r>
      <w:r w:rsidRPr="00F927CD">
        <w:rPr>
          <w:rFonts w:ascii="Arial" w:hAnsi="Arial" w:cs="Arial"/>
          <w:sz w:val="22"/>
          <w:lang w:val="es-ES_tradnl"/>
        </w:rPr>
        <w:lastRenderedPageBreak/>
        <w:t>estatal. Además, es relevante subrayar que tanto la jurisprudencia constitucional</w:t>
      </w:r>
      <w:r>
        <w:rPr>
          <w:rStyle w:val="Refdenotaalpie"/>
          <w:rFonts w:ascii="Arial" w:hAnsi="Arial" w:cs="Arial"/>
          <w:sz w:val="22"/>
          <w:lang w:val="es-ES_tradnl"/>
        </w:rPr>
        <w:footnoteReference w:id="31"/>
      </w:r>
      <w:r w:rsidRPr="00F927CD">
        <w:rPr>
          <w:rFonts w:ascii="Arial" w:hAnsi="Arial" w:cs="Arial"/>
          <w:sz w:val="22"/>
          <w:lang w:val="es-ES_tradnl"/>
        </w:rPr>
        <w:t>como la contencioso - administrativa</w:t>
      </w:r>
      <w:r w:rsidRPr="00F927CD">
        <w:rPr>
          <w:rFonts w:ascii="Arial" w:hAnsi="Arial" w:cs="Arial"/>
          <w:sz w:val="22"/>
          <w:vertAlign w:val="superscript"/>
          <w:lang w:val="es-ES_tradnl"/>
        </w:rPr>
        <w:footnoteReference w:id="32"/>
      </w:r>
      <w:r w:rsidRPr="00F927CD">
        <w:rPr>
          <w:rFonts w:ascii="Arial" w:hAnsi="Arial" w:cs="Arial"/>
          <w:sz w:val="22"/>
          <w:lang w:val="es-ES_tradnl"/>
        </w:rPr>
        <w:t xml:space="preserve"> han concluido que las empresas oficiales de prestación de servicios públicos domiciliarios son, en términos del artículo 38 de la Ley 489 de 1998, administración pública. Por lo tanto, en función de la naturaleza jurídica de este tipo de prestadores de servicios públicos domiciliarios es posible concluir que</w:t>
      </w:r>
      <w:r>
        <w:rPr>
          <w:rFonts w:ascii="Arial" w:hAnsi="Arial" w:cs="Arial"/>
          <w:sz w:val="22"/>
          <w:lang w:val="es-ES_tradnl"/>
        </w:rPr>
        <w:t xml:space="preserve"> le es plenamente aplicable la prohibición de contratación directa contenida en el artículo 33 de la Ley de Garantías Electorales, toda vez que </w:t>
      </w:r>
      <w:r w:rsidRPr="00F927CD">
        <w:rPr>
          <w:rFonts w:ascii="Arial" w:hAnsi="Arial" w:cs="Arial"/>
          <w:sz w:val="22"/>
          <w:lang w:val="es-ES_tradnl"/>
        </w:rPr>
        <w:t>las empresas oficiales de servicios públicos domiciliarios</w:t>
      </w:r>
      <w:r>
        <w:rPr>
          <w:rFonts w:ascii="Arial" w:hAnsi="Arial" w:cs="Arial"/>
          <w:sz w:val="22"/>
          <w:lang w:val="es-ES_tradnl"/>
        </w:rPr>
        <w:t xml:space="preserve"> oficiales son entes estatales</w:t>
      </w:r>
      <w:r w:rsidRPr="00564913">
        <w:rPr>
          <w:rFonts w:ascii="Arial" w:hAnsi="Arial" w:cs="Arial"/>
          <w:sz w:val="21"/>
          <w:szCs w:val="21"/>
          <w:lang w:val="es-ES_tradnl"/>
        </w:rPr>
        <w:t>.</w:t>
      </w:r>
    </w:p>
    <w:p w14:paraId="1CFF84FA" w14:textId="77777777" w:rsidR="008A7C1A" w:rsidRDefault="008A7C1A" w:rsidP="008A7C1A">
      <w:pPr>
        <w:spacing w:line="276" w:lineRule="auto"/>
        <w:jc w:val="both"/>
        <w:rPr>
          <w:rFonts w:ascii="Arial" w:eastAsia="Calibri" w:hAnsi="Arial" w:cs="Arial"/>
          <w:b/>
          <w:sz w:val="22"/>
        </w:rPr>
      </w:pPr>
    </w:p>
    <w:p w14:paraId="119D3826" w14:textId="77777777" w:rsidR="008A7C1A" w:rsidRDefault="008A7C1A" w:rsidP="008A7C1A">
      <w:pPr>
        <w:spacing w:line="276" w:lineRule="auto"/>
        <w:jc w:val="both"/>
        <w:rPr>
          <w:rFonts w:ascii="Arial" w:eastAsia="Calibri" w:hAnsi="Arial" w:cs="Arial"/>
          <w:b/>
          <w:sz w:val="22"/>
        </w:rPr>
      </w:pPr>
      <w:r>
        <w:rPr>
          <w:rFonts w:ascii="Arial" w:eastAsia="Calibri" w:hAnsi="Arial" w:cs="Arial"/>
          <w:b/>
          <w:sz w:val="22"/>
        </w:rPr>
        <w:t xml:space="preserve">3. </w:t>
      </w:r>
      <w:r w:rsidRPr="00094B98">
        <w:rPr>
          <w:rFonts w:ascii="Arial" w:eastAsia="Calibri" w:hAnsi="Arial" w:cs="Arial"/>
          <w:b/>
          <w:sz w:val="22"/>
        </w:rPr>
        <w:t>Respuest</w:t>
      </w:r>
      <w:r>
        <w:rPr>
          <w:rFonts w:ascii="Arial" w:eastAsia="Calibri" w:hAnsi="Arial" w:cs="Arial"/>
          <w:b/>
          <w:sz w:val="22"/>
        </w:rPr>
        <w:t>a</w:t>
      </w:r>
    </w:p>
    <w:p w14:paraId="577FCEAA" w14:textId="77777777" w:rsidR="008A7C1A" w:rsidRDefault="008A7C1A" w:rsidP="008A7C1A">
      <w:pPr>
        <w:spacing w:line="276" w:lineRule="auto"/>
        <w:jc w:val="both"/>
        <w:rPr>
          <w:rFonts w:ascii="Arial" w:eastAsia="Calibri" w:hAnsi="Arial" w:cs="Arial"/>
          <w:b/>
          <w:sz w:val="22"/>
        </w:rPr>
      </w:pPr>
    </w:p>
    <w:p w14:paraId="5D2826D3" w14:textId="77777777" w:rsidR="008A7C1A" w:rsidRPr="005E7F02" w:rsidRDefault="008A7C1A" w:rsidP="008A7C1A">
      <w:pPr>
        <w:pStyle w:val="NormalWeb"/>
        <w:spacing w:before="0" w:beforeAutospacing="0" w:after="0" w:afterAutospacing="0"/>
        <w:ind w:left="709" w:right="709"/>
        <w:jc w:val="both"/>
        <w:rPr>
          <w:rFonts w:ascii="Arial" w:hAnsi="Arial" w:cs="Arial"/>
          <w:sz w:val="21"/>
          <w:szCs w:val="21"/>
        </w:rPr>
      </w:pPr>
      <w:r w:rsidRPr="005E7F02">
        <w:rPr>
          <w:rFonts w:ascii="Arial" w:hAnsi="Arial" w:cs="Arial"/>
          <w:sz w:val="21"/>
          <w:szCs w:val="21"/>
        </w:rPr>
        <w:t>«Llego ante ustedes muy cordialmente solicitando concepto sobre si las empresas de servicios públicos domiciliarios del orden territorial (municipal) con patrimonio 100% público que prestan los servicios públicos de acueducto y alcantarillado pueden realizar contratación directa para garantizar la correcta prestación de los servicios durante la ley de garantías. En nuestro caso actualmente presentamos una contingencia sanitaria en el servicio público de alcantarillado debido a las lluvias presentadas la cual requiere la contratación directa con el fin de subsanar dicha contingencia.»</w:t>
      </w:r>
    </w:p>
    <w:p w14:paraId="68664909" w14:textId="77777777" w:rsidR="008A7C1A" w:rsidRDefault="008A7C1A" w:rsidP="008A7C1A">
      <w:pPr>
        <w:pStyle w:val="NormalWeb"/>
        <w:spacing w:before="0" w:beforeAutospacing="0" w:after="0" w:afterAutospacing="0" w:line="276" w:lineRule="auto"/>
        <w:jc w:val="both"/>
        <w:rPr>
          <w:rFonts w:ascii="Arial" w:hAnsi="Arial" w:cs="Arial"/>
          <w:sz w:val="22"/>
          <w:szCs w:val="22"/>
        </w:rPr>
      </w:pPr>
    </w:p>
    <w:p w14:paraId="370CDD0D" w14:textId="77777777" w:rsidR="008A7C1A" w:rsidRPr="005E7F02" w:rsidRDefault="008A7C1A" w:rsidP="008A7C1A">
      <w:pPr>
        <w:pStyle w:val="NormalWeb"/>
        <w:spacing w:before="0" w:beforeAutospacing="0" w:after="120" w:afterAutospacing="0" w:line="276" w:lineRule="auto"/>
        <w:jc w:val="both"/>
        <w:rPr>
          <w:rFonts w:ascii="Arial" w:hAnsi="Arial" w:cs="Arial"/>
          <w:bCs/>
          <w:sz w:val="22"/>
          <w:szCs w:val="22"/>
          <w:lang w:val="es-MX" w:eastAsia="x-none"/>
        </w:rPr>
      </w:pPr>
      <w:r w:rsidRPr="005E7F02">
        <w:rPr>
          <w:rFonts w:ascii="Arial" w:hAnsi="Arial" w:cs="Arial"/>
          <w:sz w:val="22"/>
          <w:szCs w:val="22"/>
        </w:rPr>
        <w:t xml:space="preserve">De conformidad con las anteriores consideraciones, es posible concluir que las empresas oficiales prestadoras de servicios públicos domiciliarios son entes estatales y, por tanto, les es aplicable la prohibición contenida en el artículo 33 de la ley de garantías electorales, pues sus destinatarios son </w:t>
      </w:r>
      <w:r w:rsidRPr="005E7F02">
        <w:rPr>
          <w:rFonts w:ascii="Arial" w:hAnsi="Arial" w:cs="Arial"/>
          <w:i/>
          <w:iCs/>
          <w:sz w:val="22"/>
          <w:szCs w:val="22"/>
        </w:rPr>
        <w:t>todos los entes del estado</w:t>
      </w:r>
      <w:r w:rsidRPr="005E7F02">
        <w:rPr>
          <w:rFonts w:ascii="Arial" w:hAnsi="Arial" w:cs="Arial"/>
          <w:sz w:val="22"/>
          <w:szCs w:val="22"/>
        </w:rPr>
        <w:t xml:space="preserve">. </w:t>
      </w:r>
      <w:r w:rsidRPr="005E7F02">
        <w:rPr>
          <w:rFonts w:ascii="Arial" w:hAnsi="Arial" w:cs="Arial"/>
          <w:bCs/>
          <w:sz w:val="22"/>
          <w:szCs w:val="22"/>
          <w:lang w:val="es-MX" w:eastAsia="x-none"/>
        </w:rPr>
        <w:t>En efecto, tal como lo ha sostenido el Consejo de Estado, el vocablo «todos» utilizado por el legislador comprende</w:t>
      </w:r>
      <w:r w:rsidRPr="005E7F02">
        <w:rPr>
          <w:rFonts w:ascii="Arial" w:eastAsia="Calibri" w:hAnsi="Arial" w:cs="Arial"/>
          <w:sz w:val="22"/>
          <w:szCs w:val="22"/>
          <w:lang w:val="es-MX"/>
        </w:rPr>
        <w:t xml:space="preserve"> </w:t>
      </w:r>
      <w:r w:rsidRPr="005E7F02">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388FC17" w14:textId="77777777" w:rsidR="008A7C1A" w:rsidRPr="005E7F02" w:rsidRDefault="008A7C1A" w:rsidP="008A7C1A">
      <w:pPr>
        <w:pStyle w:val="NormalWeb"/>
        <w:spacing w:before="120" w:beforeAutospacing="0" w:after="120" w:afterAutospacing="0" w:line="276" w:lineRule="auto"/>
        <w:ind w:firstLine="708"/>
        <w:jc w:val="both"/>
        <w:rPr>
          <w:rFonts w:ascii="Arial" w:hAnsi="Arial" w:cs="Arial"/>
          <w:bCs/>
          <w:sz w:val="22"/>
          <w:szCs w:val="22"/>
          <w:lang w:val="es-MX" w:eastAsia="x-none"/>
        </w:rPr>
      </w:pPr>
      <w:r w:rsidRPr="005E7F02">
        <w:rPr>
          <w:rFonts w:ascii="Arial" w:hAnsi="Arial" w:cs="Arial"/>
          <w:bCs/>
          <w:sz w:val="22"/>
          <w:szCs w:val="22"/>
          <w:lang w:eastAsia="x-none"/>
        </w:rPr>
        <w:t xml:space="preserve">Ahora bien, la prohibición hace referencia a la la «contratación directa», situacion que ha sido interpretada como cualquier sistema de selección o procedimiento de contratación utilizado por las entidades estatales que no incluya la convocatoria pública en alguna de sus </w:t>
      </w:r>
      <w:r w:rsidRPr="005E7F02">
        <w:rPr>
          <w:rFonts w:ascii="Arial" w:hAnsi="Arial" w:cs="Arial"/>
          <w:bCs/>
          <w:sz w:val="22"/>
          <w:szCs w:val="22"/>
          <w:lang w:eastAsia="x-none"/>
        </w:rPr>
        <w:lastRenderedPageBreak/>
        <w:t>etapas, ni permita la participación de una pluralidad de oferentes. Respecto de esta prohibición el mismo artículo prevé las excepciones aplicables y referentes a</w:t>
      </w:r>
      <w:r w:rsidRPr="005E7F02">
        <w:rPr>
          <w:rFonts w:ascii="Arial" w:eastAsia="Calibri" w:hAnsi="Arial" w:cs="Arial"/>
          <w:color w:val="000000" w:themeColor="text1"/>
          <w:sz w:val="22"/>
          <w:szCs w:val="22"/>
        </w:rPr>
        <w:t xml:space="preserve"> bajo los cuales se excepciona la prohibición de la contratación directa, esto es,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93BB2F5" w14:textId="77777777" w:rsidR="008A7C1A" w:rsidRPr="005E7F02" w:rsidRDefault="008A7C1A" w:rsidP="008A7C1A">
      <w:pPr>
        <w:spacing w:before="120" w:after="120" w:line="276" w:lineRule="auto"/>
        <w:ind w:firstLine="708"/>
        <w:jc w:val="both"/>
        <w:rPr>
          <w:rFonts w:ascii="Arial" w:eastAsia="Calibri" w:hAnsi="Arial" w:cs="Arial"/>
          <w:color w:val="000000" w:themeColor="text1"/>
          <w:sz w:val="22"/>
        </w:rPr>
      </w:pPr>
      <w:r w:rsidRPr="005E7F02">
        <w:rPr>
          <w:rFonts w:ascii="Arial" w:hAnsi="Arial" w:cs="Arial"/>
          <w:bCs/>
          <w:sz w:val="22"/>
          <w:lang w:eastAsia="x-none"/>
        </w:rPr>
        <w:t xml:space="preserve">En otras palabras, y a efectos de su consulta, </w:t>
      </w:r>
      <w:r w:rsidRPr="005E7F02">
        <w:rPr>
          <w:rFonts w:ascii="Arial" w:eastAsia="Calibri" w:hAnsi="Arial" w:cs="Arial"/>
          <w:color w:val="000000" w:themeColor="text1"/>
          <w:sz w:val="22"/>
        </w:rPr>
        <w:t xml:space="preserve">los entes estatales, dentro de los que se encuentran comprendidas las empresas oficiales de prestación de servicios públicos domiciliarios, durante los cuatro (4) meses anteriores a la elección presidencial y hasta la realización de la elección en la segunda vuelta podrán celebrar contratos y convenios siempre que la escogencia del contratista se realice mediante un procedimiento abierto y competitivo, que permita la participación de una pluralidad de oferentes. </w:t>
      </w:r>
      <w:r>
        <w:rPr>
          <w:rFonts w:ascii="Arial" w:eastAsia="Calibri" w:hAnsi="Arial" w:cs="Arial"/>
          <w:color w:val="000000" w:themeColor="text1"/>
          <w:sz w:val="22"/>
        </w:rPr>
        <w:t xml:space="preserve"> </w:t>
      </w:r>
      <w:r w:rsidRPr="005E7F02">
        <w:rPr>
          <w:rFonts w:ascii="Arial" w:eastAsia="Calibri" w:hAnsi="Arial" w:cs="Arial"/>
          <w:color w:val="000000" w:themeColor="text1"/>
          <w:sz w:val="22"/>
        </w:rPr>
        <w:t>Por el contrario, no le será posible a los entes estatales destinatarios del artículo 33 de la Ley 996 de 2005 celebrar contratos de forma directa, esto es a través de cualquier sistema de selección de contratistas en el que no exista convocatoria pública, ni sea posible la participación de una pluralidad de oferentes, independientemente del régimen de contratación que se aplique. Lo último, salvo que el contrato específico a celebrar se enmarque en alguna de las excepciones establecidas en el inciso segundo del artículo 33 de la Ley 996 de 2005.</w:t>
      </w:r>
    </w:p>
    <w:p w14:paraId="424D281C" w14:textId="77777777" w:rsidR="008A7C1A" w:rsidRPr="005E7F02" w:rsidRDefault="008A7C1A" w:rsidP="008A7C1A">
      <w:pPr>
        <w:widowControl w:val="0"/>
        <w:autoSpaceDE w:val="0"/>
        <w:autoSpaceDN w:val="0"/>
        <w:spacing w:before="120" w:line="276" w:lineRule="auto"/>
        <w:ind w:firstLine="708"/>
        <w:jc w:val="both"/>
        <w:rPr>
          <w:rFonts w:ascii="Arial" w:hAnsi="Arial" w:cs="Arial"/>
          <w:bCs/>
          <w:sz w:val="22"/>
          <w:lang w:eastAsia="es-CO"/>
        </w:rPr>
      </w:pPr>
      <w:r w:rsidRPr="005E7F02">
        <w:rPr>
          <w:rFonts w:ascii="Arial" w:eastAsia="Calibri" w:hAnsi="Arial" w:cs="Arial"/>
          <w:color w:val="000000" w:themeColor="text1"/>
          <w:sz w:val="22"/>
        </w:rPr>
        <w:t xml:space="preserve">Al efecto de la aplicación de las excepciones a la prohibición, se recuerda que es responsabilidad del respectivo ente del Estado examinar, en cada caso concreto y en ejercicio de su discrecionalidad administrativa y autonomía contractual, </w:t>
      </w:r>
      <w:r w:rsidRPr="005E7F02">
        <w:rPr>
          <w:rFonts w:ascii="Arial" w:hAnsi="Arial" w:cs="Arial"/>
          <w:bCs/>
          <w:sz w:val="22"/>
          <w:lang w:eastAsia="es-CO"/>
        </w:rPr>
        <w:t xml:space="preserve">la naturaleza de las actividades que pretende adelantar y determinar </w:t>
      </w:r>
      <w:r w:rsidRPr="005E7F02">
        <w:rPr>
          <w:rFonts w:ascii="Arial" w:eastAsia="Calibri" w:hAnsi="Arial" w:cs="Arial"/>
          <w:color w:val="000000" w:themeColor="text1"/>
          <w:sz w:val="22"/>
        </w:rPr>
        <w:t xml:space="preserve">si el contrato a celebrar se enmarca en alguna de las mencionadas excepciones, </w:t>
      </w:r>
      <w:r w:rsidRPr="005E7F02">
        <w:rPr>
          <w:rFonts w:ascii="Arial" w:hAnsi="Arial" w:cs="Arial"/>
          <w:bCs/>
          <w:sz w:val="22"/>
          <w:lang w:eastAsia="es-CO"/>
        </w:rPr>
        <w:t>de manera que se le permita realizar la contratación que necesite en forma directa.</w:t>
      </w:r>
    </w:p>
    <w:p w14:paraId="2508A279" w14:textId="77777777" w:rsidR="008A7C1A" w:rsidRPr="00481068" w:rsidRDefault="008A7C1A" w:rsidP="008A7C1A">
      <w:pPr>
        <w:contextualSpacing/>
        <w:jc w:val="both"/>
        <w:rPr>
          <w:rFonts w:ascii="Arial" w:eastAsia="Calibri" w:hAnsi="Arial" w:cs="Arial"/>
          <w:bCs/>
          <w:color w:val="FF0000"/>
          <w:sz w:val="22"/>
        </w:rPr>
      </w:pPr>
    </w:p>
    <w:p w14:paraId="574DCFCD" w14:textId="77777777" w:rsidR="008A7C1A" w:rsidRPr="00481068" w:rsidRDefault="008A7C1A" w:rsidP="008A7C1A">
      <w:pPr>
        <w:spacing w:line="276" w:lineRule="auto"/>
        <w:jc w:val="both"/>
        <w:rPr>
          <w:rFonts w:ascii="Arial" w:hAnsi="Arial" w:cs="Arial"/>
          <w:color w:val="000000" w:themeColor="text1"/>
          <w:sz w:val="22"/>
          <w:lang w:val="es-ES_tradnl"/>
        </w:rPr>
      </w:pPr>
      <w:bookmarkStart w:id="26" w:name="_Hlk57650395"/>
      <w:r w:rsidRPr="00481068">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6"/>
    <w:bookmarkEnd w:id="26"/>
    <w:p w14:paraId="5F29CF20" w14:textId="77777777" w:rsidR="008A7C1A" w:rsidRPr="00481068" w:rsidRDefault="008A7C1A" w:rsidP="008A7C1A">
      <w:pPr>
        <w:spacing w:before="120" w:line="276" w:lineRule="auto"/>
        <w:jc w:val="both"/>
        <w:rPr>
          <w:rFonts w:ascii="Arial" w:hAnsi="Arial" w:cs="Arial"/>
          <w:color w:val="000000" w:themeColor="text1"/>
          <w:sz w:val="22"/>
          <w:lang w:val="es-ES_tradnl"/>
        </w:rPr>
      </w:pPr>
    </w:p>
    <w:p w14:paraId="61FBEECA" w14:textId="77777777" w:rsidR="008A7C1A" w:rsidRDefault="008A7C1A" w:rsidP="008A7C1A">
      <w:pPr>
        <w:pStyle w:val="NormalWeb"/>
        <w:spacing w:before="0" w:beforeAutospacing="0" w:after="0" w:afterAutospacing="0" w:line="276" w:lineRule="auto"/>
        <w:jc w:val="both"/>
        <w:rPr>
          <w:rFonts w:ascii="Arial" w:hAnsi="Arial" w:cs="Arial"/>
          <w:lang w:val="es-ES_tradnl"/>
        </w:rPr>
      </w:pPr>
      <w:r w:rsidRPr="00481068">
        <w:rPr>
          <w:rFonts w:ascii="Arial" w:hAnsi="Arial" w:cs="Arial"/>
          <w:color w:val="000000" w:themeColor="text1"/>
          <w:sz w:val="22"/>
          <w:szCs w:val="22"/>
          <w:lang w:val="es-ES_tradnl"/>
        </w:rPr>
        <w:t>Atentamente,</w:t>
      </w:r>
      <w:r>
        <w:rPr>
          <w:rFonts w:ascii="Arial" w:hAnsi="Arial" w:cs="Arial"/>
          <w:lang w:val="es-ES_tradnl"/>
        </w:rPr>
        <w:t xml:space="preserve"> </w:t>
      </w:r>
    </w:p>
    <w:p w14:paraId="1904B85E" w14:textId="77777777" w:rsidR="008A7C1A" w:rsidRDefault="008A7C1A" w:rsidP="008A7C1A">
      <w:pPr>
        <w:pStyle w:val="NormalWeb"/>
        <w:spacing w:before="0" w:beforeAutospacing="0" w:after="0" w:afterAutospacing="0" w:line="276" w:lineRule="auto"/>
        <w:jc w:val="both"/>
        <w:rPr>
          <w:rFonts w:ascii="Arial" w:hAnsi="Arial" w:cs="Arial"/>
          <w:lang w:val="es-ES_tradnl"/>
        </w:rPr>
      </w:pPr>
    </w:p>
    <w:p w14:paraId="6521A0B9" w14:textId="77777777" w:rsidR="008A7C1A" w:rsidRPr="004C606C" w:rsidRDefault="008A7C1A" w:rsidP="008A7C1A">
      <w:pPr>
        <w:pStyle w:val="NormalWeb"/>
        <w:spacing w:before="0" w:beforeAutospacing="0" w:after="0" w:afterAutospacing="0" w:line="276" w:lineRule="auto"/>
        <w:jc w:val="center"/>
        <w:rPr>
          <w:rFonts w:ascii="Arial" w:hAnsi="Arial" w:cs="Arial"/>
          <w:lang w:val="es-ES_tradnl"/>
        </w:rPr>
      </w:pPr>
      <w:r>
        <w:rPr>
          <w:rFonts w:ascii="Arial" w:hAnsi="Arial" w:cs="Arial"/>
          <w:noProof/>
          <w:color w:val="000000" w:themeColor="text1"/>
          <w:sz w:val="18"/>
          <w:szCs w:val="20"/>
        </w:rPr>
        <w:lastRenderedPageBreak/>
        <w:drawing>
          <wp:inline distT="0" distB="0" distL="0" distR="0" wp14:anchorId="18845F57" wp14:editId="294A452E">
            <wp:extent cx="2514600" cy="11125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561FCA59" w14:textId="77777777" w:rsidR="008A7C1A" w:rsidRDefault="008A7C1A" w:rsidP="008A7C1A">
      <w:pPr>
        <w:jc w:val="center"/>
        <w:rPr>
          <w:rFonts w:ascii="Arial" w:hAnsi="Arial" w:cs="Arial"/>
          <w:sz w:val="22"/>
          <w:lang w:val="es-ES" w:eastAsia="es-CO"/>
        </w:rPr>
      </w:pPr>
    </w:p>
    <w:p w14:paraId="1CA29CD0" w14:textId="77777777" w:rsidR="008A7C1A" w:rsidRDefault="008A7C1A" w:rsidP="008A7C1A">
      <w:pPr>
        <w:jc w:val="center"/>
        <w:rPr>
          <w:rFonts w:ascii="Arial" w:hAnsi="Arial" w:cs="Arial"/>
          <w:sz w:val="22"/>
          <w:lang w:val="es-ES" w:eastAsia="es-CO"/>
        </w:rPr>
      </w:pPr>
    </w:p>
    <w:p w14:paraId="2566A14B" w14:textId="77777777" w:rsidR="008A7C1A" w:rsidRDefault="008A7C1A" w:rsidP="008A7C1A">
      <w:pPr>
        <w:jc w:val="center"/>
        <w:rPr>
          <w:rFonts w:ascii="Arial" w:hAnsi="Arial" w:cs="Arial"/>
          <w:sz w:val="22"/>
          <w:lang w:val="es-ES" w:eastAsia="es-CO"/>
        </w:rPr>
      </w:pPr>
    </w:p>
    <w:p w14:paraId="6D4689E4" w14:textId="77777777" w:rsidR="008A7C1A" w:rsidRPr="009F5860" w:rsidRDefault="008A7C1A" w:rsidP="008A7C1A">
      <w:pPr>
        <w:jc w:val="center"/>
        <w:rPr>
          <w:rFonts w:ascii="Arial"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A7C1A" w:rsidRPr="009F5860" w14:paraId="31627842" w14:textId="77777777" w:rsidTr="002C35E6">
        <w:trPr>
          <w:trHeight w:val="315"/>
        </w:trPr>
        <w:tc>
          <w:tcPr>
            <w:tcW w:w="812" w:type="dxa"/>
            <w:vAlign w:val="center"/>
            <w:hideMark/>
          </w:tcPr>
          <w:p w14:paraId="4624F341" w14:textId="77777777" w:rsidR="008A7C1A" w:rsidRPr="009F5860" w:rsidRDefault="008A7C1A" w:rsidP="002C35E6">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291" w:type="dxa"/>
            <w:tcBorders>
              <w:top w:val="nil"/>
              <w:left w:val="nil"/>
              <w:bottom w:val="dotted" w:sz="4" w:space="0" w:color="7F7F7F" w:themeColor="text1" w:themeTint="80"/>
              <w:right w:val="nil"/>
            </w:tcBorders>
            <w:vAlign w:val="center"/>
            <w:hideMark/>
          </w:tcPr>
          <w:p w14:paraId="1294CF2C" w14:textId="77777777" w:rsidR="008A7C1A" w:rsidRPr="005C5D24" w:rsidRDefault="008A7C1A" w:rsidP="002C35E6">
            <w:pPr>
              <w:rPr>
                <w:rFonts w:ascii="Arial" w:hAnsi="Arial" w:cs="Arial"/>
                <w:sz w:val="16"/>
                <w:szCs w:val="16"/>
                <w:lang w:val="es-ES" w:eastAsia="es-ES"/>
              </w:rPr>
            </w:pPr>
            <w:r w:rsidRPr="005C5D24">
              <w:rPr>
                <w:rFonts w:ascii="Arial" w:hAnsi="Arial" w:cs="Arial"/>
                <w:sz w:val="16"/>
                <w:szCs w:val="16"/>
                <w:lang w:val="es-ES" w:eastAsia="es-ES"/>
              </w:rPr>
              <w:t xml:space="preserve">Camilo Perdomo Villamil </w:t>
            </w:r>
          </w:p>
          <w:p w14:paraId="71DC7431" w14:textId="77777777" w:rsidR="008A7C1A" w:rsidRPr="009F5860" w:rsidRDefault="008A7C1A" w:rsidP="002C35E6">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8A7C1A" w:rsidRPr="009F5860" w14:paraId="62223244" w14:textId="77777777" w:rsidTr="002C35E6">
        <w:trPr>
          <w:trHeight w:val="330"/>
        </w:trPr>
        <w:tc>
          <w:tcPr>
            <w:tcW w:w="812" w:type="dxa"/>
            <w:vAlign w:val="center"/>
            <w:hideMark/>
          </w:tcPr>
          <w:p w14:paraId="29AC4A94" w14:textId="77777777" w:rsidR="008A7C1A" w:rsidRPr="009F5860" w:rsidRDefault="008A7C1A" w:rsidP="002C35E6">
            <w:pPr>
              <w:rPr>
                <w:rFonts w:ascii="Arial" w:hAnsi="Arial" w:cs="Arial"/>
                <w:sz w:val="16"/>
                <w:szCs w:val="16"/>
                <w:lang w:val="es-ES" w:eastAsia="es-ES"/>
              </w:rPr>
            </w:pPr>
            <w:r w:rsidRPr="009F5860">
              <w:rPr>
                <w:rFonts w:ascii="Arial" w:hAnsi="Arial" w:cs="Arial"/>
                <w:sz w:val="16"/>
                <w:szCs w:val="16"/>
                <w:lang w:val="es-ES"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51B5D7FF" w14:textId="77777777" w:rsidR="008A7C1A" w:rsidRPr="00C00312" w:rsidRDefault="008A7C1A" w:rsidP="002C35E6">
            <w:pPr>
              <w:rPr>
                <w:rFonts w:ascii="Arial" w:hAnsi="Arial" w:cs="Arial"/>
                <w:sz w:val="16"/>
                <w:szCs w:val="16"/>
                <w:lang w:val="es-ES" w:eastAsia="es-ES"/>
              </w:rPr>
            </w:pPr>
            <w:r>
              <w:rPr>
                <w:rFonts w:ascii="Arial" w:hAnsi="Arial" w:cs="Arial"/>
                <w:sz w:val="16"/>
                <w:szCs w:val="16"/>
                <w:lang w:val="es-ES" w:eastAsia="es-ES"/>
              </w:rPr>
              <w:t>Alejandro Sarmiento Cantillo</w:t>
            </w:r>
          </w:p>
          <w:p w14:paraId="482C2F5F" w14:textId="77777777" w:rsidR="008A7C1A" w:rsidRPr="009F5860" w:rsidRDefault="008A7C1A" w:rsidP="002C35E6">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8A7C1A" w:rsidRPr="0008465D" w14:paraId="59DF6429" w14:textId="77777777" w:rsidTr="002C35E6">
        <w:trPr>
          <w:trHeight w:val="300"/>
        </w:trPr>
        <w:tc>
          <w:tcPr>
            <w:tcW w:w="812" w:type="dxa"/>
            <w:vAlign w:val="center"/>
            <w:hideMark/>
          </w:tcPr>
          <w:p w14:paraId="54EF43FA" w14:textId="77777777" w:rsidR="008A7C1A" w:rsidRPr="009F5860" w:rsidRDefault="008A7C1A" w:rsidP="002C35E6">
            <w:pPr>
              <w:rPr>
                <w:rFonts w:ascii="Arial" w:hAnsi="Arial" w:cs="Arial"/>
                <w:sz w:val="16"/>
                <w:szCs w:val="16"/>
                <w:lang w:val="es-ES" w:eastAsia="es-ES"/>
              </w:rPr>
            </w:pPr>
            <w:r w:rsidRPr="009F5860">
              <w:rPr>
                <w:rFonts w:ascii="Arial" w:hAnsi="Arial" w:cs="Arial"/>
                <w:sz w:val="16"/>
                <w:szCs w:val="16"/>
                <w:lang w:val="es-ES"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A0FAF86" w14:textId="77777777" w:rsidR="008A7C1A" w:rsidRPr="00150200" w:rsidRDefault="008A7C1A" w:rsidP="002C35E6">
            <w:pPr>
              <w:rPr>
                <w:rFonts w:ascii="Arial" w:hAnsi="Arial" w:cs="Arial"/>
                <w:sz w:val="16"/>
                <w:szCs w:val="16"/>
                <w:lang w:val="es-ES_tradnl" w:eastAsia="es-ES"/>
              </w:rPr>
            </w:pPr>
            <w:r w:rsidRPr="00150200">
              <w:rPr>
                <w:rFonts w:ascii="Arial" w:hAnsi="Arial" w:cs="Arial"/>
                <w:sz w:val="16"/>
                <w:szCs w:val="16"/>
                <w:lang w:val="es-ES_tradnl" w:eastAsia="es-ES"/>
              </w:rPr>
              <w:t>Jorge Augusto Tirado Navarro</w:t>
            </w:r>
          </w:p>
          <w:p w14:paraId="46CDA27D" w14:textId="77777777" w:rsidR="008A7C1A" w:rsidRPr="0008465D" w:rsidRDefault="008A7C1A" w:rsidP="002C35E6">
            <w:pPr>
              <w:rPr>
                <w:rFonts w:ascii="Arial" w:hAnsi="Arial" w:cs="Arial"/>
                <w:sz w:val="16"/>
                <w:szCs w:val="16"/>
                <w:lang w:val="es-ES" w:eastAsia="es-ES"/>
              </w:rPr>
            </w:pPr>
            <w:r w:rsidRPr="00150200">
              <w:rPr>
                <w:rFonts w:ascii="Arial" w:hAnsi="Arial" w:cs="Arial"/>
                <w:sz w:val="16"/>
                <w:szCs w:val="16"/>
                <w:lang w:val="es-ES_tradnl" w:eastAsia="es-ES"/>
              </w:rPr>
              <w:t>Subdirector de Gestión Contractual ANCP – CCE</w:t>
            </w:r>
          </w:p>
        </w:tc>
      </w:tr>
    </w:tbl>
    <w:p w14:paraId="6A124F0F" w14:textId="77777777" w:rsidR="008A7C1A" w:rsidRPr="00B60BAC" w:rsidRDefault="008A7C1A" w:rsidP="008A7C1A">
      <w:pPr>
        <w:tabs>
          <w:tab w:val="left" w:pos="426"/>
        </w:tabs>
        <w:spacing w:before="120" w:after="120" w:line="276" w:lineRule="auto"/>
        <w:jc w:val="both"/>
        <w:rPr>
          <w:rFonts w:ascii="Arial" w:eastAsia="Calibri" w:hAnsi="Arial" w:cs="Arial"/>
          <w:bCs/>
          <w:sz w:val="22"/>
          <w:lang w:val="es-ES_tradnl"/>
        </w:rPr>
      </w:pPr>
    </w:p>
    <w:p w14:paraId="38F08DBB" w14:textId="77777777" w:rsidR="008A7C1A" w:rsidRDefault="008A7C1A"/>
    <w:sectPr w:rsidR="008A7C1A" w:rsidSect="009D6F48">
      <w:headerReference w:type="default" r:id="rId11"/>
      <w:footerReference w:type="default" r:id="rId12"/>
      <w:pgSz w:w="12240" w:h="15840"/>
      <w:pgMar w:top="2041" w:right="1701" w:bottom="1418"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C536" w14:textId="77777777" w:rsidR="00BC4245" w:rsidRDefault="00BC4245" w:rsidP="008A7C1A">
      <w:r>
        <w:separator/>
      </w:r>
    </w:p>
  </w:endnote>
  <w:endnote w:type="continuationSeparator" w:id="0">
    <w:p w14:paraId="355C9A46" w14:textId="77777777" w:rsidR="00BC4245" w:rsidRDefault="00BC4245" w:rsidP="008A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E798" w14:textId="77777777" w:rsidR="000A47AF" w:rsidRDefault="00000000" w:rsidP="00322937">
    <w:pPr>
      <w:pStyle w:val="Sinespaciado"/>
      <w:jc w:val="right"/>
      <w:rPr>
        <w:rFonts w:ascii="Arial" w:hAnsi="Arial" w:cs="Arial"/>
        <w:sz w:val="18"/>
        <w:szCs w:val="18"/>
      </w:rPr>
    </w:pPr>
  </w:p>
  <w:p w14:paraId="06DE5E81" w14:textId="77777777" w:rsidR="000A47AF" w:rsidRPr="008217B7" w:rsidRDefault="007C0C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BDC3BC2" w14:textId="77777777" w:rsidR="000A47AF" w:rsidRDefault="007C0C8E" w:rsidP="00322937">
    <w:pPr>
      <w:pStyle w:val="Piedepgina"/>
      <w:jc w:val="center"/>
      <w:rPr>
        <w:lang w:val="es-ES"/>
      </w:rPr>
    </w:pPr>
    <w:r>
      <w:rPr>
        <w:noProof/>
      </w:rPr>
      <w:drawing>
        <wp:inline distT="0" distB="0" distL="0" distR="0" wp14:anchorId="0019E329" wp14:editId="7C2C4D32">
          <wp:extent cx="3700130" cy="519139"/>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AED311F" w14:textId="77777777" w:rsidR="000A47AF" w:rsidRDefault="00000000" w:rsidP="007B0854">
    <w:pPr>
      <w:pStyle w:val="Piedepgina"/>
      <w:jc w:val="center"/>
      <w:rPr>
        <w:lang w:val="es-ES"/>
      </w:rPr>
    </w:pPr>
  </w:p>
  <w:p w14:paraId="288250EF" w14:textId="77777777" w:rsidR="000A47AF" w:rsidRPr="007B0854" w:rsidRDefault="00000000" w:rsidP="007B0854">
    <w:pPr>
      <w:pStyle w:val="Piedepgina"/>
      <w:jc w:val="center"/>
      <w:rPr>
        <w:lang w:val="es-ES"/>
      </w:rPr>
    </w:pPr>
  </w:p>
  <w:p w14:paraId="2A67BAD1" w14:textId="77777777" w:rsidR="00183D77" w:rsidRDefault="00000000"/>
  <w:p w14:paraId="68769D2B" w14:textId="77777777" w:rsidR="00183D77" w:rsidRDefault="00000000"/>
  <w:p w14:paraId="29787222" w14:textId="77777777" w:rsidR="00183D7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D04E" w14:textId="77777777" w:rsidR="00BC4245" w:rsidRDefault="00BC4245" w:rsidP="008A7C1A">
      <w:r>
        <w:separator/>
      </w:r>
    </w:p>
  </w:footnote>
  <w:footnote w:type="continuationSeparator" w:id="0">
    <w:p w14:paraId="31E68172" w14:textId="77777777" w:rsidR="00BC4245" w:rsidRDefault="00BC4245" w:rsidP="008A7C1A">
      <w:r>
        <w:continuationSeparator/>
      </w:r>
    </w:p>
  </w:footnote>
  <w:footnote w:id="1">
    <w:p w14:paraId="214CAE82" w14:textId="77777777" w:rsidR="008A7C1A" w:rsidRPr="00F1057F" w:rsidRDefault="008A7C1A" w:rsidP="008A7C1A">
      <w:pPr>
        <w:pStyle w:val="Textonotapie"/>
        <w:ind w:firstLine="708"/>
        <w:contextualSpacing/>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«Artículo 3°. Funciones. La Agencia Nacional de Contratación Pública –Colombia Compra Eficiente– ejercerá las siguientes funciones: </w:t>
      </w:r>
    </w:p>
    <w:p w14:paraId="15CF7EEE" w14:textId="77777777" w:rsidR="008A7C1A" w:rsidRPr="00F1057F" w:rsidRDefault="008A7C1A" w:rsidP="008A7C1A">
      <w:pPr>
        <w:pStyle w:val="Textonotapie"/>
        <w:ind w:firstLine="709"/>
        <w:contextualSpacing/>
        <w:jc w:val="both"/>
        <w:rPr>
          <w:rFonts w:ascii="Arial" w:hAnsi="Arial" w:cs="Arial"/>
          <w:sz w:val="19"/>
          <w:szCs w:val="19"/>
          <w:lang w:val="es-ES"/>
        </w:rPr>
      </w:pPr>
      <w:r w:rsidRPr="00F1057F">
        <w:rPr>
          <w:rFonts w:ascii="Arial" w:hAnsi="Arial" w:cs="Arial"/>
          <w:sz w:val="19"/>
          <w:szCs w:val="19"/>
          <w:lang w:val="es-ES"/>
        </w:rPr>
        <w:t xml:space="preserve">»[...] </w:t>
      </w:r>
    </w:p>
    <w:p w14:paraId="544531CC" w14:textId="77777777" w:rsidR="008A7C1A" w:rsidRPr="00F1057F" w:rsidRDefault="008A7C1A" w:rsidP="008A7C1A">
      <w:pPr>
        <w:pStyle w:val="Textonotapie"/>
        <w:ind w:firstLine="709"/>
        <w:contextualSpacing/>
        <w:jc w:val="both"/>
        <w:rPr>
          <w:rFonts w:ascii="Arial" w:hAnsi="Arial" w:cs="Arial"/>
          <w:sz w:val="19"/>
          <w:szCs w:val="19"/>
          <w:lang w:val="es-ES"/>
        </w:rPr>
      </w:pPr>
      <w:r w:rsidRPr="00F1057F">
        <w:rPr>
          <w:rFonts w:ascii="Arial" w:hAnsi="Arial" w:cs="Arial"/>
          <w:sz w:val="19"/>
          <w:szCs w:val="19"/>
          <w:lang w:val="es-ES"/>
        </w:rPr>
        <w:t>»5. Absolver consultas sobre la aplicación de normas de carácter general y expedir circulares externas en materia de compras y contratación pública».</w:t>
      </w:r>
    </w:p>
    <w:p w14:paraId="7D9447EE" w14:textId="77777777" w:rsidR="008A7C1A" w:rsidRPr="00F1057F" w:rsidRDefault="008A7C1A" w:rsidP="008A7C1A">
      <w:pPr>
        <w:pStyle w:val="Textonotapie"/>
        <w:ind w:firstLine="709"/>
        <w:contextualSpacing/>
        <w:jc w:val="both"/>
        <w:rPr>
          <w:rFonts w:ascii="Arial" w:hAnsi="Arial" w:cs="Arial"/>
          <w:sz w:val="19"/>
          <w:szCs w:val="19"/>
          <w:lang w:val="es-ES"/>
        </w:rPr>
      </w:pPr>
      <w:r w:rsidRPr="00F1057F">
        <w:rPr>
          <w:rFonts w:ascii="Arial" w:eastAsia="Times New Roman" w:hAnsi="Arial" w:cs="Arial"/>
          <w:sz w:val="19"/>
          <w:szCs w:val="19"/>
          <w:lang w:val="es-CO" w:eastAsia="es-ES_tradnl"/>
        </w:rPr>
        <w:t>«</w:t>
      </w:r>
      <w:r w:rsidRPr="00F1057F">
        <w:rPr>
          <w:rFonts w:ascii="Arial" w:hAnsi="Arial" w:cs="Arial"/>
          <w:sz w:val="19"/>
          <w:szCs w:val="19"/>
          <w:lang w:val="es-ES"/>
        </w:rPr>
        <w:t xml:space="preserve">Artículo 11. Subdirección de Gestión Contractual. Son funciones de la Subdirección de Gestión Contractual las siguientes: </w:t>
      </w:r>
    </w:p>
    <w:p w14:paraId="3C987A16" w14:textId="77777777" w:rsidR="008A7C1A" w:rsidRPr="00F1057F" w:rsidRDefault="008A7C1A" w:rsidP="008A7C1A">
      <w:pPr>
        <w:pStyle w:val="Textonotapie"/>
        <w:ind w:firstLine="709"/>
        <w:contextualSpacing/>
        <w:jc w:val="both"/>
        <w:rPr>
          <w:rFonts w:ascii="Arial" w:hAnsi="Arial" w:cs="Arial"/>
          <w:sz w:val="19"/>
          <w:szCs w:val="19"/>
          <w:lang w:val="es-ES"/>
        </w:rPr>
      </w:pPr>
      <w:r w:rsidRPr="00F1057F">
        <w:rPr>
          <w:rFonts w:ascii="Arial" w:hAnsi="Arial" w:cs="Arial"/>
          <w:sz w:val="19"/>
          <w:szCs w:val="19"/>
          <w:lang w:val="es-ES"/>
        </w:rPr>
        <w:t xml:space="preserve">»[...] </w:t>
      </w:r>
    </w:p>
    <w:p w14:paraId="409064F3" w14:textId="77777777" w:rsidR="008A7C1A" w:rsidRPr="00F1057F" w:rsidRDefault="008A7C1A" w:rsidP="008A7C1A">
      <w:pPr>
        <w:pStyle w:val="Textonotapie"/>
        <w:ind w:firstLine="708"/>
        <w:contextualSpacing/>
        <w:jc w:val="both"/>
        <w:rPr>
          <w:rFonts w:ascii="Arial" w:hAnsi="Arial" w:cs="Arial"/>
          <w:sz w:val="19"/>
          <w:szCs w:val="19"/>
        </w:rPr>
      </w:pPr>
      <w:r w:rsidRPr="00F1057F">
        <w:rPr>
          <w:rFonts w:ascii="Arial" w:eastAsia="Times New Roman" w:hAnsi="Arial" w:cs="Arial"/>
          <w:sz w:val="19"/>
          <w:szCs w:val="19"/>
          <w:lang w:val="es-CO" w:eastAsia="es-ES_tradnl"/>
        </w:rPr>
        <w:t>»</w:t>
      </w:r>
      <w:r w:rsidRPr="00F1057F">
        <w:rPr>
          <w:rFonts w:ascii="Arial" w:hAnsi="Arial" w:cs="Arial"/>
          <w:sz w:val="19"/>
          <w:szCs w:val="19"/>
          <w:lang w:val="es-ES"/>
        </w:rPr>
        <w:t>8. Absolver consultas sobre la aplicación de normas de carácter general».</w:t>
      </w:r>
    </w:p>
  </w:footnote>
  <w:footnote w:id="2">
    <w:p w14:paraId="7E7D98A3" w14:textId="77777777" w:rsidR="008A7C1A" w:rsidRPr="00F1057F" w:rsidRDefault="008A7C1A" w:rsidP="008A7C1A">
      <w:pPr>
        <w:pStyle w:val="Textonotapie"/>
        <w:ind w:firstLine="709"/>
        <w:contextualSpacing/>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355A7AB" w14:textId="77777777" w:rsidR="008A7C1A" w:rsidRPr="00F1057F" w:rsidRDefault="008A7C1A" w:rsidP="008A7C1A">
      <w:pPr>
        <w:pStyle w:val="Textonotapie"/>
        <w:ind w:firstLine="709"/>
        <w:contextualSpacing/>
        <w:jc w:val="both"/>
        <w:rPr>
          <w:rFonts w:ascii="Arial" w:hAnsi="Arial" w:cs="Arial"/>
          <w:sz w:val="19"/>
          <w:szCs w:val="19"/>
        </w:rPr>
      </w:pPr>
      <w:r w:rsidRPr="00F1057F">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780E07BC" w14:textId="77777777" w:rsidR="008A7C1A" w:rsidRPr="00F1057F" w:rsidRDefault="008A7C1A" w:rsidP="008A7C1A">
      <w:pPr>
        <w:pStyle w:val="Textonotapie"/>
        <w:ind w:firstLine="709"/>
        <w:contextualSpacing/>
        <w:jc w:val="both"/>
        <w:rPr>
          <w:rFonts w:ascii="Arial" w:hAnsi="Arial" w:cs="Arial"/>
          <w:sz w:val="19"/>
          <w:szCs w:val="19"/>
        </w:rPr>
      </w:pPr>
    </w:p>
    <w:p w14:paraId="4D4BB57A" w14:textId="77777777" w:rsidR="008A7C1A" w:rsidRPr="00F1057F" w:rsidRDefault="008A7C1A" w:rsidP="008A7C1A">
      <w:pPr>
        <w:pStyle w:val="Textonotapie"/>
        <w:ind w:firstLine="709"/>
        <w:contextualSpacing/>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Gaceta del Congreso de la República No. 71 del 2005.</w:t>
      </w:r>
    </w:p>
  </w:footnote>
  <w:footnote w:id="4">
    <w:p w14:paraId="6C7DDEA9" w14:textId="77777777" w:rsidR="008A7C1A" w:rsidRPr="00F1057F" w:rsidRDefault="008A7C1A" w:rsidP="008A7C1A">
      <w:pPr>
        <w:pStyle w:val="Textonotapie"/>
        <w:ind w:firstLine="709"/>
        <w:contextualSpacing/>
        <w:jc w:val="both"/>
        <w:rPr>
          <w:rFonts w:ascii="Arial" w:hAnsi="Arial" w:cs="Arial"/>
          <w:sz w:val="19"/>
          <w:szCs w:val="19"/>
        </w:rPr>
      </w:pPr>
    </w:p>
    <w:p w14:paraId="33D3F554" w14:textId="77777777" w:rsidR="008A7C1A" w:rsidRPr="00F1057F" w:rsidRDefault="008A7C1A" w:rsidP="008A7C1A">
      <w:pPr>
        <w:pStyle w:val="Textonotapie"/>
        <w:ind w:firstLine="709"/>
        <w:contextualSpacing/>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Corte Constitucional, Sentencia C- 1153 de 2005, M.P. Marco Gerardo Monroy Cabra.</w:t>
      </w:r>
    </w:p>
    <w:p w14:paraId="65775BC6" w14:textId="77777777" w:rsidR="008A7C1A" w:rsidRPr="00F1057F" w:rsidRDefault="008A7C1A" w:rsidP="008A7C1A">
      <w:pPr>
        <w:pStyle w:val="Textonotapie"/>
        <w:ind w:firstLine="709"/>
        <w:contextualSpacing/>
        <w:jc w:val="both"/>
        <w:rPr>
          <w:rFonts w:ascii="Arial" w:hAnsi="Arial" w:cs="Arial"/>
          <w:sz w:val="19"/>
          <w:szCs w:val="19"/>
        </w:rPr>
      </w:pPr>
    </w:p>
  </w:footnote>
  <w:footnote w:id="5">
    <w:p w14:paraId="2F08A6FA" w14:textId="77777777" w:rsidR="008A7C1A" w:rsidRPr="00F1057F" w:rsidRDefault="008A7C1A" w:rsidP="008A7C1A">
      <w:pPr>
        <w:pStyle w:val="Textonotapie"/>
        <w:ind w:firstLine="709"/>
        <w:contextualSpacing/>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79FA9BCF" w14:textId="77777777" w:rsidR="008A7C1A" w:rsidRPr="00F1057F" w:rsidRDefault="008A7C1A" w:rsidP="008A7C1A">
      <w:pPr>
        <w:pStyle w:val="Textonotapie"/>
        <w:ind w:firstLine="709"/>
        <w:contextualSpacing/>
        <w:jc w:val="both"/>
        <w:rPr>
          <w:rFonts w:ascii="Arial" w:hAnsi="Arial" w:cs="Arial"/>
          <w:sz w:val="19"/>
          <w:szCs w:val="19"/>
          <w:lang w:val="es-CO"/>
        </w:rPr>
      </w:pPr>
    </w:p>
    <w:p w14:paraId="1E384FFC" w14:textId="77777777" w:rsidR="008A7C1A" w:rsidRPr="00F1057F" w:rsidRDefault="008A7C1A" w:rsidP="008A7C1A">
      <w:pPr>
        <w:pStyle w:val="Textonotapie"/>
        <w:ind w:firstLine="709"/>
        <w:contextualSpacing/>
        <w:jc w:val="both"/>
        <w:rPr>
          <w:rFonts w:ascii="Arial" w:hAnsi="Arial" w:cs="Arial"/>
          <w:sz w:val="19"/>
          <w:szCs w:val="19"/>
          <w:lang w:val="es-CO"/>
        </w:rPr>
      </w:pPr>
      <w:r w:rsidRPr="00F1057F">
        <w:rPr>
          <w:rStyle w:val="Refdenotaalpie"/>
          <w:rFonts w:ascii="Arial" w:hAnsi="Arial" w:cs="Arial"/>
          <w:sz w:val="19"/>
          <w:szCs w:val="19"/>
        </w:rPr>
        <w:footnoteRef/>
      </w:r>
      <w:r w:rsidRPr="00F1057F">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71612CB8" w14:textId="77777777" w:rsidR="008A7C1A" w:rsidRPr="00F1057F" w:rsidRDefault="008A7C1A" w:rsidP="008A7C1A">
      <w:pPr>
        <w:pStyle w:val="Textonotapie"/>
        <w:ind w:firstLine="709"/>
        <w:contextualSpacing/>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Consulta y Servicio Civil de fecha 24 de julio de 2013, radicado 2166, Consejero Ponente: Álvaro Namén Vargas.  </w:t>
      </w:r>
    </w:p>
    <w:p w14:paraId="37FD7532" w14:textId="77777777" w:rsidR="008A7C1A" w:rsidRPr="00F1057F" w:rsidRDefault="008A7C1A" w:rsidP="008A7C1A">
      <w:pPr>
        <w:pStyle w:val="Textonotapie"/>
        <w:ind w:firstLine="709"/>
        <w:contextualSpacing/>
        <w:jc w:val="both"/>
        <w:rPr>
          <w:rFonts w:ascii="Arial" w:hAnsi="Arial" w:cs="Arial"/>
          <w:sz w:val="19"/>
          <w:szCs w:val="19"/>
        </w:rPr>
      </w:pPr>
    </w:p>
  </w:footnote>
  <w:footnote w:id="8">
    <w:p w14:paraId="1185DDCD" w14:textId="77777777" w:rsidR="008A7C1A" w:rsidRPr="00F1057F" w:rsidRDefault="008A7C1A" w:rsidP="008A7C1A">
      <w:pPr>
        <w:ind w:firstLine="709"/>
        <w:contextualSpacing/>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w:t>
      </w:r>
      <w:bookmarkStart w:id="17" w:name="33"/>
      <w:r w:rsidRPr="00F1057F">
        <w:rPr>
          <w:rFonts w:ascii="Arial" w:eastAsia="Calibri" w:hAnsi="Arial" w:cs="Arial"/>
          <w:color w:val="000000"/>
          <w:sz w:val="19"/>
          <w:szCs w:val="19"/>
        </w:rPr>
        <w:t>«</w:t>
      </w:r>
      <w:r w:rsidRPr="00F1057F">
        <w:rPr>
          <w:rFonts w:ascii="Arial" w:hAnsi="Arial" w:cs="Arial"/>
          <w:sz w:val="19"/>
          <w:szCs w:val="19"/>
        </w:rPr>
        <w:t>Artículo 33. Restricciones a la contratación pública.</w:t>
      </w:r>
      <w:bookmarkEnd w:id="17"/>
      <w:r w:rsidRPr="00F1057F">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579AC4C2" w14:textId="77777777" w:rsidR="008A7C1A" w:rsidRPr="00F1057F" w:rsidRDefault="008A7C1A" w:rsidP="008A7C1A">
      <w:pPr>
        <w:ind w:firstLine="709"/>
        <w:contextualSpacing/>
        <w:jc w:val="both"/>
        <w:rPr>
          <w:rFonts w:ascii="Arial" w:hAnsi="Arial" w:cs="Arial"/>
          <w:sz w:val="19"/>
          <w:szCs w:val="19"/>
        </w:rPr>
      </w:pPr>
      <w:r w:rsidRPr="00F1057F">
        <w:rPr>
          <w:rFonts w:ascii="Arial" w:eastAsia="Calibri" w:hAnsi="Arial" w:cs="Arial"/>
          <w:color w:val="000000"/>
          <w:sz w:val="19"/>
          <w:szCs w:val="19"/>
        </w:rPr>
        <w:t>»</w:t>
      </w:r>
      <w:r w:rsidRPr="00F1057F">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1057F">
        <w:rPr>
          <w:rFonts w:ascii="Arial" w:eastAsia="Calibri" w:hAnsi="Arial" w:cs="Arial"/>
          <w:color w:val="000000"/>
          <w:sz w:val="19"/>
          <w:szCs w:val="19"/>
        </w:rPr>
        <w:t>»</w:t>
      </w:r>
      <w:r w:rsidRPr="00F1057F">
        <w:rPr>
          <w:rFonts w:ascii="Arial" w:hAnsi="Arial" w:cs="Arial"/>
          <w:sz w:val="19"/>
          <w:szCs w:val="19"/>
        </w:rPr>
        <w:t>.</w:t>
      </w:r>
    </w:p>
  </w:footnote>
  <w:footnote w:id="9">
    <w:p w14:paraId="677B24A9" w14:textId="77777777" w:rsidR="008A7C1A" w:rsidRPr="00F1057F" w:rsidRDefault="008A7C1A" w:rsidP="008A7C1A">
      <w:pPr>
        <w:pStyle w:val="NormalWeb"/>
        <w:spacing w:before="0" w:beforeAutospacing="0" w:after="0" w:afterAutospacing="0"/>
        <w:ind w:firstLine="709"/>
        <w:contextualSpacing/>
        <w:jc w:val="both"/>
        <w:rPr>
          <w:rFonts w:ascii="Arial" w:hAnsi="Arial" w:cs="Arial"/>
          <w:sz w:val="19"/>
          <w:szCs w:val="19"/>
        </w:rPr>
      </w:pPr>
    </w:p>
    <w:p w14:paraId="7A3A4D98" w14:textId="77777777" w:rsidR="008A7C1A" w:rsidRPr="00F1057F" w:rsidRDefault="008A7C1A" w:rsidP="008A7C1A">
      <w:pPr>
        <w:pStyle w:val="NormalWeb"/>
        <w:spacing w:before="0" w:beforeAutospacing="0" w:after="0" w:afterAutospacing="0"/>
        <w:ind w:firstLine="709"/>
        <w:contextualSpacing/>
        <w:jc w:val="both"/>
        <w:rPr>
          <w:rFonts w:ascii="Arial" w:hAnsi="Arial" w:cs="Arial"/>
          <w:sz w:val="19"/>
          <w:szCs w:val="19"/>
          <w:lang w:val="es-MX"/>
        </w:rPr>
      </w:pPr>
      <w:r w:rsidRPr="00F1057F">
        <w:rPr>
          <w:rStyle w:val="Refdenotaalpie"/>
          <w:rFonts w:ascii="Arial" w:hAnsi="Arial" w:cs="Arial"/>
          <w:sz w:val="19"/>
          <w:szCs w:val="19"/>
        </w:rPr>
        <w:footnoteRef/>
      </w:r>
      <w:r w:rsidRPr="00F1057F">
        <w:rPr>
          <w:rFonts w:ascii="Arial" w:hAnsi="Arial" w:cs="Arial"/>
          <w:sz w:val="19"/>
          <w:szCs w:val="19"/>
        </w:rPr>
        <w:t xml:space="preserve"> </w:t>
      </w:r>
      <w:bookmarkStart w:id="18" w:name="38"/>
      <w:r w:rsidRPr="00F1057F">
        <w:rPr>
          <w:rFonts w:ascii="Arial" w:eastAsia="Calibri" w:hAnsi="Arial" w:cs="Arial"/>
          <w:color w:val="000000"/>
          <w:sz w:val="19"/>
          <w:szCs w:val="19"/>
        </w:rPr>
        <w:t>«</w:t>
      </w:r>
      <w:r w:rsidRPr="00F1057F">
        <w:rPr>
          <w:rFonts w:ascii="Arial" w:hAnsi="Arial" w:cs="Arial"/>
          <w:sz w:val="19"/>
          <w:szCs w:val="19"/>
          <w:lang w:val="es-MX"/>
        </w:rPr>
        <w:t>Artículo 38. Prohibiciones para los servidores públicos. A los empleados del Estado les está prohibido:</w:t>
      </w:r>
      <w:bookmarkEnd w:id="18"/>
    </w:p>
    <w:p w14:paraId="29BFB722" w14:textId="77777777" w:rsidR="008A7C1A" w:rsidRPr="00F1057F" w:rsidRDefault="008A7C1A" w:rsidP="008A7C1A">
      <w:pPr>
        <w:pStyle w:val="NormalWeb"/>
        <w:spacing w:before="0" w:beforeAutospacing="0" w:after="0" w:afterAutospacing="0"/>
        <w:ind w:firstLine="709"/>
        <w:contextualSpacing/>
        <w:jc w:val="both"/>
        <w:rPr>
          <w:rFonts w:ascii="Arial" w:hAnsi="Arial" w:cs="Arial"/>
          <w:sz w:val="19"/>
          <w:szCs w:val="19"/>
          <w:lang w:val="es-MX"/>
        </w:rPr>
      </w:pPr>
      <w:r w:rsidRPr="00F1057F">
        <w:rPr>
          <w:rFonts w:ascii="Arial" w:eastAsia="Calibri" w:hAnsi="Arial" w:cs="Arial"/>
          <w:color w:val="000000"/>
          <w:sz w:val="19"/>
          <w:szCs w:val="19"/>
        </w:rPr>
        <w:t>»</w:t>
      </w:r>
      <w:r w:rsidRPr="00F1057F">
        <w:rPr>
          <w:rFonts w:ascii="Arial" w:hAnsi="Arial" w:cs="Arial"/>
          <w:sz w:val="19"/>
          <w:szCs w:val="19"/>
          <w:lang w:val="es-MX"/>
        </w:rPr>
        <w:t xml:space="preserve"> […]</w:t>
      </w:r>
    </w:p>
    <w:p w14:paraId="3AE15105" w14:textId="77777777" w:rsidR="008A7C1A" w:rsidRPr="00F1057F" w:rsidRDefault="008A7C1A" w:rsidP="008A7C1A">
      <w:pPr>
        <w:pStyle w:val="NormalWeb"/>
        <w:spacing w:before="0" w:beforeAutospacing="0" w:after="0" w:afterAutospacing="0"/>
        <w:ind w:firstLine="709"/>
        <w:contextualSpacing/>
        <w:jc w:val="both"/>
        <w:rPr>
          <w:rFonts w:ascii="Arial" w:hAnsi="Arial" w:cs="Arial"/>
          <w:sz w:val="19"/>
          <w:szCs w:val="19"/>
          <w:lang w:val="es-MX"/>
        </w:rPr>
      </w:pPr>
      <w:r w:rsidRPr="00F1057F">
        <w:rPr>
          <w:rFonts w:ascii="Arial" w:eastAsia="Calibri" w:hAnsi="Arial" w:cs="Arial"/>
          <w:color w:val="000000"/>
          <w:sz w:val="19"/>
          <w:szCs w:val="19"/>
        </w:rPr>
        <w:t>»</w:t>
      </w:r>
      <w:r w:rsidRPr="00F1057F">
        <w:rPr>
          <w:rStyle w:val="baj"/>
          <w:rFonts w:ascii="Arial" w:hAnsi="Arial" w:cs="Arial"/>
          <w:sz w:val="19"/>
          <w:szCs w:val="19"/>
          <w:lang w:val="es-MX"/>
        </w:rPr>
        <w:t xml:space="preserve"> Parágrafo.</w:t>
      </w:r>
      <w:r w:rsidRPr="00F1057F">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1057F">
        <w:rPr>
          <w:rFonts w:ascii="Arial" w:eastAsia="Calibri" w:hAnsi="Arial" w:cs="Arial"/>
          <w:color w:val="000000"/>
          <w:sz w:val="19"/>
          <w:szCs w:val="19"/>
        </w:rPr>
        <w:t>»</w:t>
      </w:r>
      <w:r w:rsidRPr="00F1057F">
        <w:rPr>
          <w:rFonts w:ascii="Arial" w:hAnsi="Arial" w:cs="Arial"/>
          <w:sz w:val="19"/>
          <w:szCs w:val="19"/>
          <w:lang w:val="es-MX"/>
        </w:rPr>
        <w:t>.</w:t>
      </w:r>
    </w:p>
    <w:p w14:paraId="70EDF319" w14:textId="77777777" w:rsidR="008A7C1A" w:rsidRPr="00F1057F" w:rsidRDefault="008A7C1A" w:rsidP="008A7C1A">
      <w:pPr>
        <w:pStyle w:val="NormalWeb"/>
        <w:spacing w:before="0" w:beforeAutospacing="0" w:after="0" w:afterAutospacing="0"/>
        <w:ind w:firstLine="709"/>
        <w:contextualSpacing/>
        <w:jc w:val="both"/>
        <w:rPr>
          <w:rFonts w:ascii="Arial" w:hAnsi="Arial" w:cs="Arial"/>
          <w:sz w:val="19"/>
          <w:szCs w:val="19"/>
          <w:lang w:val="es-MX"/>
        </w:rPr>
      </w:pPr>
    </w:p>
  </w:footnote>
  <w:footnote w:id="10">
    <w:p w14:paraId="7393EE74" w14:textId="77777777" w:rsidR="008A7C1A" w:rsidRPr="00F1057F" w:rsidRDefault="008A7C1A" w:rsidP="008A7C1A">
      <w:pPr>
        <w:ind w:left="100" w:right="244" w:firstLine="709"/>
        <w:contextualSpacing/>
        <w:jc w:val="both"/>
        <w:rPr>
          <w:rFonts w:ascii="Arial" w:hAnsi="Arial" w:cs="Arial"/>
          <w:sz w:val="19"/>
          <w:szCs w:val="19"/>
          <w:lang w:val="es-ES"/>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0D2FD965" w14:textId="77777777" w:rsidR="008A7C1A" w:rsidRPr="00F1057F" w:rsidRDefault="008A7C1A" w:rsidP="008A7C1A">
      <w:pPr>
        <w:pStyle w:val="Textonotapie"/>
        <w:ind w:firstLine="709"/>
        <w:jc w:val="both"/>
        <w:rPr>
          <w:rFonts w:ascii="Arial" w:hAnsi="Arial" w:cs="Arial"/>
          <w:color w:val="000000"/>
          <w:sz w:val="19"/>
          <w:szCs w:val="19"/>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w:t>
      </w:r>
      <w:r w:rsidRPr="00F1057F">
        <w:rPr>
          <w:rFonts w:ascii="Arial" w:hAnsi="Arial" w:cs="Arial"/>
          <w:color w:val="000000"/>
          <w:sz w:val="19"/>
          <w:szCs w:val="19"/>
          <w:lang w:val="es-ES"/>
        </w:rPr>
        <w:t xml:space="preserve">[25] </w:t>
      </w:r>
      <w:r w:rsidRPr="00F1057F">
        <w:rPr>
          <w:rFonts w:ascii="Arial" w:hAnsi="Arial" w:cs="Arial"/>
          <w:color w:val="000000"/>
          <w:sz w:val="19"/>
          <w:szCs w:val="19"/>
        </w:rPr>
        <w:t>Cfr. Consejo de Estado. Sección Tercera. Sentencia de 3 de diciembre de 2007. Radicados: 24.715, 25.206, 25.409, 24.524, 27.834, 25.410, 26.105, 28.244, 31.447 -acumulados-».</w:t>
      </w:r>
    </w:p>
    <w:p w14:paraId="7FB3B7E7" w14:textId="77777777" w:rsidR="008A7C1A" w:rsidRPr="00F1057F" w:rsidRDefault="008A7C1A" w:rsidP="008A7C1A">
      <w:pPr>
        <w:pStyle w:val="Textonotapie"/>
        <w:ind w:firstLine="709"/>
        <w:jc w:val="both"/>
        <w:rPr>
          <w:rFonts w:ascii="Arial" w:hAnsi="Arial" w:cs="Arial"/>
          <w:color w:val="000000"/>
          <w:sz w:val="19"/>
          <w:szCs w:val="19"/>
        </w:rPr>
      </w:pPr>
    </w:p>
  </w:footnote>
  <w:footnote w:id="12">
    <w:p w14:paraId="2CA30C4F" w14:textId="77777777" w:rsidR="008A7C1A" w:rsidRPr="00F1057F" w:rsidRDefault="008A7C1A" w:rsidP="008A7C1A">
      <w:pPr>
        <w:pStyle w:val="Textonotapie"/>
        <w:ind w:firstLine="709"/>
        <w:jc w:val="both"/>
        <w:rPr>
          <w:rFonts w:ascii="Arial" w:hAnsi="Arial" w:cs="Arial"/>
          <w:color w:val="000000"/>
          <w:sz w:val="19"/>
          <w:szCs w:val="19"/>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w:t>
      </w:r>
      <w:r w:rsidRPr="00F1057F">
        <w:rPr>
          <w:rFonts w:ascii="Arial" w:hAnsi="Arial" w:cs="Arial"/>
          <w:color w:val="000000"/>
          <w:sz w:val="19"/>
          <w:szCs w:val="19"/>
          <w:lang w:val="es-ES"/>
        </w:rPr>
        <w:t xml:space="preserve">[26] </w:t>
      </w:r>
      <w:r w:rsidRPr="00F1057F">
        <w:rPr>
          <w:rFonts w:ascii="Arial" w:hAnsi="Arial" w:cs="Arial"/>
          <w:color w:val="000000"/>
          <w:sz w:val="19"/>
          <w:szCs w:val="19"/>
        </w:rPr>
        <w:t>Al respecto ver el concepto 1712 de 2 de febrero de 2006. Consejo de Estado Sala de Consulta y Servicio Civil».</w:t>
      </w:r>
    </w:p>
  </w:footnote>
  <w:footnote w:id="13">
    <w:p w14:paraId="061C020D" w14:textId="77777777" w:rsidR="008A7C1A" w:rsidRPr="00F1057F" w:rsidRDefault="008A7C1A" w:rsidP="008A7C1A">
      <w:pPr>
        <w:pStyle w:val="Textonotapie"/>
        <w:ind w:firstLine="709"/>
        <w:jc w:val="both"/>
        <w:rPr>
          <w:rFonts w:ascii="Arial" w:hAnsi="Arial" w:cs="Arial"/>
          <w:color w:val="000000"/>
          <w:sz w:val="19"/>
          <w:szCs w:val="19"/>
        </w:rPr>
      </w:pPr>
    </w:p>
    <w:p w14:paraId="7B876DE8" w14:textId="77777777" w:rsidR="008A7C1A" w:rsidRPr="00F1057F" w:rsidRDefault="008A7C1A" w:rsidP="008A7C1A">
      <w:pPr>
        <w:pStyle w:val="Textonotapie"/>
        <w:ind w:firstLine="709"/>
        <w:jc w:val="both"/>
        <w:rPr>
          <w:rFonts w:ascii="Arial" w:hAnsi="Arial" w:cs="Arial"/>
          <w:color w:val="000000"/>
          <w:sz w:val="19"/>
          <w:szCs w:val="19"/>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Consejo de Estado. Sala de Consulta y Servicio Civil. Concepto del 2 de septiembre de 2013. Radicación número: 11001-03-06-000-2013-00412-00 (2168). Consejero Ponente: Álvaro Namén Vargas.</w:t>
      </w:r>
    </w:p>
  </w:footnote>
  <w:footnote w:id="14">
    <w:p w14:paraId="15905E89" w14:textId="77777777" w:rsidR="008A7C1A" w:rsidRPr="00F1057F" w:rsidRDefault="008A7C1A" w:rsidP="008A7C1A">
      <w:pPr>
        <w:pStyle w:val="Textonotapie"/>
        <w:ind w:firstLine="709"/>
        <w:jc w:val="both"/>
        <w:rPr>
          <w:rFonts w:ascii="Arial" w:hAnsi="Arial" w:cs="Arial"/>
          <w:color w:val="000000"/>
          <w:sz w:val="19"/>
          <w:szCs w:val="19"/>
        </w:rPr>
      </w:pPr>
    </w:p>
    <w:p w14:paraId="5E876DFB" w14:textId="77777777" w:rsidR="008A7C1A" w:rsidRPr="00F1057F" w:rsidRDefault="008A7C1A" w:rsidP="008A7C1A">
      <w:pPr>
        <w:pStyle w:val="Textonotapie"/>
        <w:ind w:firstLine="709"/>
        <w:jc w:val="both"/>
        <w:rPr>
          <w:rFonts w:ascii="Arial" w:hAnsi="Arial" w:cs="Arial"/>
          <w:color w:val="000000"/>
          <w:sz w:val="19"/>
          <w:szCs w:val="19"/>
          <w:lang w:val="es-ES"/>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w:t>
      </w:r>
      <w:r w:rsidRPr="00F1057F">
        <w:rPr>
          <w:rFonts w:ascii="Arial" w:hAnsi="Arial" w:cs="Arial"/>
          <w:color w:val="000000"/>
          <w:sz w:val="19"/>
          <w:szCs w:val="19"/>
          <w:lang w:val="es-ES"/>
        </w:rPr>
        <w:t xml:space="preserve">Artículo 2. </w:t>
      </w:r>
    </w:p>
  </w:footnote>
  <w:footnote w:id="15">
    <w:p w14:paraId="0C932994" w14:textId="77777777" w:rsidR="008A7C1A" w:rsidRPr="00F1057F" w:rsidRDefault="008A7C1A" w:rsidP="008A7C1A">
      <w:pPr>
        <w:pStyle w:val="Textonotapie"/>
        <w:ind w:firstLine="709"/>
        <w:jc w:val="both"/>
        <w:rPr>
          <w:rFonts w:ascii="Arial" w:hAnsi="Arial" w:cs="Arial"/>
          <w:color w:val="000000"/>
          <w:sz w:val="19"/>
          <w:szCs w:val="19"/>
        </w:rPr>
      </w:pPr>
    </w:p>
    <w:p w14:paraId="04AEBBC1" w14:textId="77777777" w:rsidR="008A7C1A" w:rsidRPr="00F1057F" w:rsidRDefault="008A7C1A" w:rsidP="008A7C1A">
      <w:pPr>
        <w:pStyle w:val="Textonotapie"/>
        <w:ind w:firstLine="709"/>
        <w:jc w:val="both"/>
        <w:rPr>
          <w:rFonts w:ascii="Arial" w:hAnsi="Arial" w:cs="Arial"/>
          <w:color w:val="000000"/>
          <w:sz w:val="19"/>
          <w:szCs w:val="19"/>
          <w:lang w:val="es-ES"/>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w:t>
      </w:r>
      <w:r w:rsidRPr="00F1057F">
        <w:rPr>
          <w:rFonts w:ascii="Arial" w:hAnsi="Arial" w:cs="Arial"/>
          <w:i/>
          <w:color w:val="000000"/>
          <w:sz w:val="19"/>
          <w:szCs w:val="19"/>
          <w:lang w:val="es-ES"/>
        </w:rPr>
        <w:t>Ídem</w:t>
      </w:r>
      <w:r w:rsidRPr="00F1057F">
        <w:rPr>
          <w:rFonts w:ascii="Arial" w:hAnsi="Arial" w:cs="Arial"/>
          <w:color w:val="000000"/>
          <w:sz w:val="19"/>
          <w:szCs w:val="19"/>
          <w:lang w:val="es-ES"/>
        </w:rPr>
        <w:t>.</w:t>
      </w:r>
    </w:p>
  </w:footnote>
  <w:footnote w:id="16">
    <w:p w14:paraId="3E659C4D" w14:textId="77777777" w:rsidR="008A7C1A" w:rsidRPr="00F1057F" w:rsidRDefault="008A7C1A" w:rsidP="008A7C1A">
      <w:pPr>
        <w:pStyle w:val="Textonotapie"/>
        <w:ind w:firstLine="709"/>
        <w:jc w:val="both"/>
        <w:rPr>
          <w:rFonts w:ascii="Arial" w:hAnsi="Arial" w:cs="Arial"/>
          <w:color w:val="000000"/>
          <w:sz w:val="19"/>
          <w:szCs w:val="19"/>
          <w:lang w:val="es-ES"/>
        </w:rPr>
      </w:pPr>
      <w:r w:rsidRPr="00F1057F">
        <w:rPr>
          <w:rStyle w:val="Refdenotaalpie"/>
          <w:rFonts w:ascii="Arial" w:hAnsi="Arial" w:cs="Arial"/>
          <w:sz w:val="19"/>
          <w:szCs w:val="19"/>
        </w:rPr>
        <w:footnoteRef/>
      </w:r>
      <w:r w:rsidRPr="00F1057F">
        <w:rPr>
          <w:rStyle w:val="Refdenotaalpie"/>
          <w:rFonts w:ascii="Arial" w:hAnsi="Arial" w:cs="Arial"/>
          <w:color w:val="000000"/>
          <w:sz w:val="19"/>
          <w:szCs w:val="19"/>
        </w:rPr>
        <w:t xml:space="preserve"> </w:t>
      </w:r>
      <w:r w:rsidRPr="00F1057F">
        <w:rPr>
          <w:rFonts w:ascii="Arial" w:hAnsi="Arial" w:cs="Arial"/>
          <w:color w:val="000000"/>
          <w:sz w:val="19"/>
          <w:szCs w:val="19"/>
          <w:lang w:val="es-ES"/>
        </w:rPr>
        <w:t xml:space="preserve">«[…] A este respecto, cabe recordar que el artículo 860 del Código de Comercio regula la licitación en el derecho privado». </w:t>
      </w:r>
    </w:p>
    <w:p w14:paraId="5B2A10DC" w14:textId="77777777" w:rsidR="008A7C1A" w:rsidRPr="00F1057F" w:rsidRDefault="008A7C1A" w:rsidP="008A7C1A">
      <w:pPr>
        <w:pStyle w:val="Textonotapie"/>
        <w:ind w:firstLine="709"/>
        <w:jc w:val="both"/>
        <w:rPr>
          <w:rFonts w:ascii="Arial" w:hAnsi="Arial" w:cs="Arial"/>
          <w:color w:val="000000"/>
          <w:sz w:val="19"/>
          <w:szCs w:val="19"/>
          <w:lang w:val="es-ES"/>
        </w:rPr>
      </w:pPr>
    </w:p>
  </w:footnote>
  <w:footnote w:id="17">
    <w:p w14:paraId="77D5AE6C" w14:textId="77777777" w:rsidR="008A7C1A" w:rsidRPr="00F1057F" w:rsidRDefault="008A7C1A" w:rsidP="008A7C1A">
      <w:pPr>
        <w:shd w:val="clear" w:color="auto" w:fill="FFFFFF"/>
        <w:ind w:firstLine="709"/>
        <w:jc w:val="both"/>
        <w:rPr>
          <w:rFonts w:ascii="Arial" w:hAnsi="Arial" w:cs="Arial"/>
          <w:color w:val="000000"/>
          <w:sz w:val="19"/>
          <w:szCs w:val="19"/>
          <w:lang w:val="es-ES"/>
        </w:rPr>
      </w:pPr>
      <w:r w:rsidRPr="00F1057F">
        <w:rPr>
          <w:rStyle w:val="Refdenotaalpie"/>
          <w:rFonts w:ascii="Arial" w:hAnsi="Arial" w:cs="Arial"/>
          <w:sz w:val="19"/>
          <w:szCs w:val="19"/>
        </w:rPr>
        <w:footnoteRef/>
      </w:r>
      <w:r w:rsidRPr="00F1057F">
        <w:rPr>
          <w:rStyle w:val="Refdenotaalpie"/>
          <w:rFonts w:ascii="Arial" w:hAnsi="Arial" w:cs="Arial"/>
          <w:color w:val="000000"/>
          <w:sz w:val="19"/>
          <w:szCs w:val="19"/>
        </w:rPr>
        <w:t xml:space="preserve"> </w:t>
      </w:r>
      <w:r w:rsidRPr="00F1057F">
        <w:rPr>
          <w:rFonts w:ascii="Arial" w:hAnsi="Arial" w:cs="Arial"/>
          <w:color w:val="000000"/>
          <w:sz w:val="19"/>
          <w:szCs w:val="19"/>
          <w:lang w:val="es-ES"/>
        </w:rPr>
        <w:t>Consejo de Estado. Sala de Consulta y Servicio Civil, Concepto de 8 de mayo de 2018. Radicación Número: 11001-03-06-000-2018-00095-00(2382). Consejero Ponente: Álvaro Namén Vargas.</w:t>
      </w:r>
    </w:p>
  </w:footnote>
  <w:footnote w:id="18">
    <w:p w14:paraId="5B9151A7" w14:textId="77777777" w:rsidR="008A7C1A" w:rsidRPr="00F1057F" w:rsidRDefault="008A7C1A" w:rsidP="008A7C1A">
      <w:pPr>
        <w:pStyle w:val="Textonotapie"/>
        <w:ind w:firstLine="709"/>
        <w:jc w:val="both"/>
        <w:rPr>
          <w:rFonts w:ascii="Arial" w:hAnsi="Arial" w:cs="Arial"/>
          <w:color w:val="000000"/>
          <w:sz w:val="19"/>
          <w:szCs w:val="19"/>
        </w:rPr>
      </w:pPr>
    </w:p>
    <w:p w14:paraId="70F66D93" w14:textId="77777777" w:rsidR="008A7C1A" w:rsidRDefault="008A7C1A" w:rsidP="008A7C1A">
      <w:pPr>
        <w:pStyle w:val="Textonotapie"/>
        <w:ind w:firstLine="709"/>
        <w:jc w:val="both"/>
        <w:rPr>
          <w:rFonts w:ascii="Arial" w:hAnsi="Arial" w:cs="Arial"/>
          <w:color w:val="000000"/>
          <w:sz w:val="19"/>
          <w:szCs w:val="19"/>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Consejo de Estado. Sala de Consulta y Servicio Civil. Concepto del 08 de mayo de 2018. Exp. 2.382. C.P. Álvaro Namén Vargas.</w:t>
      </w:r>
    </w:p>
    <w:p w14:paraId="38D68E8C" w14:textId="77777777" w:rsidR="008A7C1A" w:rsidRPr="00F1057F" w:rsidRDefault="008A7C1A" w:rsidP="008A7C1A">
      <w:pPr>
        <w:pStyle w:val="Textonotapie"/>
        <w:ind w:firstLine="709"/>
        <w:jc w:val="both"/>
        <w:rPr>
          <w:rFonts w:ascii="Arial" w:hAnsi="Arial" w:cs="Arial"/>
          <w:color w:val="000000"/>
          <w:sz w:val="19"/>
          <w:szCs w:val="19"/>
        </w:rPr>
      </w:pPr>
    </w:p>
  </w:footnote>
  <w:footnote w:id="19">
    <w:p w14:paraId="1A276B4D" w14:textId="77777777" w:rsidR="008A7C1A" w:rsidRPr="00F1057F" w:rsidRDefault="008A7C1A" w:rsidP="008A7C1A">
      <w:pPr>
        <w:pStyle w:val="Textonotapie"/>
        <w:ind w:firstLine="709"/>
        <w:jc w:val="both"/>
        <w:rPr>
          <w:rFonts w:ascii="Arial" w:hAnsi="Arial" w:cs="Arial"/>
          <w:color w:val="000000"/>
          <w:sz w:val="19"/>
          <w:szCs w:val="19"/>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Cfr. Concepto C-757 del 30 de diciembre de 2021.</w:t>
      </w:r>
    </w:p>
    <w:p w14:paraId="754C25A9" w14:textId="77777777" w:rsidR="008A7C1A" w:rsidRPr="00F1057F" w:rsidRDefault="008A7C1A" w:rsidP="008A7C1A">
      <w:pPr>
        <w:pStyle w:val="Textonotapie"/>
        <w:ind w:firstLine="709"/>
        <w:jc w:val="both"/>
        <w:rPr>
          <w:rFonts w:ascii="Arial" w:hAnsi="Arial" w:cs="Arial"/>
          <w:color w:val="000000"/>
          <w:sz w:val="19"/>
          <w:szCs w:val="19"/>
        </w:rPr>
      </w:pPr>
    </w:p>
  </w:footnote>
  <w:footnote w:id="20">
    <w:p w14:paraId="054DC98C" w14:textId="77777777" w:rsidR="008A7C1A" w:rsidRPr="00F1057F" w:rsidRDefault="008A7C1A" w:rsidP="008A7C1A">
      <w:pPr>
        <w:pStyle w:val="Textonotapie"/>
        <w:ind w:firstLine="709"/>
        <w:jc w:val="both"/>
        <w:rPr>
          <w:rFonts w:ascii="Arial" w:hAnsi="Arial" w:cs="Arial"/>
          <w:color w:val="000000"/>
          <w:sz w:val="19"/>
          <w:szCs w:val="19"/>
        </w:rPr>
      </w:pPr>
      <w:r w:rsidRPr="00F1057F">
        <w:rPr>
          <w:rStyle w:val="Refdenotaalpie"/>
          <w:rFonts w:ascii="Arial" w:hAnsi="Arial" w:cs="Arial"/>
          <w:sz w:val="19"/>
          <w:szCs w:val="19"/>
        </w:rPr>
        <w:footnoteRef/>
      </w:r>
      <w:r w:rsidRPr="00F1057F">
        <w:rPr>
          <w:rFonts w:ascii="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1439AACC" w14:textId="77777777" w:rsidR="008A7C1A" w:rsidRPr="00F1057F" w:rsidRDefault="008A7C1A" w:rsidP="008A7C1A">
      <w:pPr>
        <w:ind w:firstLine="709"/>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035A0AA9" w14:textId="77777777" w:rsidR="008A7C1A" w:rsidRPr="00F1057F" w:rsidRDefault="008A7C1A" w:rsidP="008A7C1A">
      <w:pPr>
        <w:pStyle w:val="Textonotapie"/>
        <w:ind w:right="51" w:firstLine="709"/>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F1057F">
        <w:rPr>
          <w:rFonts w:ascii="Arial" w:eastAsia="Times New Roman" w:hAnsi="Arial" w:cs="Arial"/>
          <w:sz w:val="19"/>
          <w:szCs w:val="19"/>
          <w:lang w:eastAsia="x-none"/>
        </w:rPr>
        <w:t xml:space="preserve"> «</w:t>
      </w:r>
      <w:r w:rsidRPr="00F1057F">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F1057F">
        <w:rPr>
          <w:rFonts w:ascii="Arial" w:eastAsia="Times New Roman" w:hAnsi="Arial" w:cs="Arial"/>
          <w:sz w:val="19"/>
          <w:szCs w:val="19"/>
          <w:lang w:eastAsia="x-none"/>
        </w:rPr>
        <w:t>».</w:t>
      </w:r>
    </w:p>
  </w:footnote>
  <w:footnote w:id="23">
    <w:p w14:paraId="3057B1DD" w14:textId="77777777" w:rsidR="008A7C1A" w:rsidRPr="00F1057F" w:rsidRDefault="008A7C1A" w:rsidP="008A7C1A">
      <w:pPr>
        <w:pStyle w:val="Textonotapie"/>
        <w:ind w:right="51" w:firstLine="709"/>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2F4F352A" w14:textId="77777777" w:rsidR="008A7C1A" w:rsidRPr="00F1057F" w:rsidRDefault="008A7C1A" w:rsidP="008A7C1A">
      <w:pPr>
        <w:pStyle w:val="Textonotapie"/>
        <w:ind w:right="51" w:firstLine="709"/>
        <w:jc w:val="both"/>
        <w:rPr>
          <w:rFonts w:ascii="Arial" w:hAnsi="Arial" w:cs="Arial"/>
          <w:sz w:val="19"/>
          <w:szCs w:val="19"/>
        </w:rPr>
      </w:pPr>
    </w:p>
  </w:footnote>
  <w:footnote w:id="24">
    <w:p w14:paraId="0CB769D9" w14:textId="77777777" w:rsidR="008A7C1A" w:rsidRPr="00F1057F" w:rsidRDefault="008A7C1A" w:rsidP="008A7C1A">
      <w:pPr>
        <w:pStyle w:val="Textonotapie"/>
        <w:ind w:right="51" w:firstLine="709"/>
        <w:jc w:val="both"/>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Consulta y Servicio Civil, ídem.</w:t>
      </w:r>
    </w:p>
  </w:footnote>
  <w:footnote w:id="25">
    <w:p w14:paraId="73645849" w14:textId="77777777" w:rsidR="008A7C1A" w:rsidRPr="00F1057F" w:rsidRDefault="008A7C1A" w:rsidP="008A7C1A">
      <w:pPr>
        <w:pStyle w:val="Textonotapie"/>
        <w:ind w:firstLine="708"/>
        <w:rPr>
          <w:rFonts w:ascii="Arial" w:hAnsi="Arial" w:cs="Arial"/>
          <w:sz w:val="19"/>
          <w:szCs w:val="19"/>
          <w:lang w:val="es-CO"/>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lo Contencioso Administrativo. Sección Tercera. Subsección A. Sentencia del 22 de octubre de 2021. Rad. 81001-23-33-000-2014-00084-01(56313. Consejero Ponente: José Roberto Sáchica Méndez.</w:t>
      </w:r>
    </w:p>
  </w:footnote>
  <w:footnote w:id="26">
    <w:p w14:paraId="6B9BDA09" w14:textId="77777777" w:rsidR="008A7C1A" w:rsidRPr="00F1057F" w:rsidRDefault="008A7C1A" w:rsidP="008A7C1A">
      <w:pPr>
        <w:pStyle w:val="Textonotapie"/>
        <w:ind w:firstLine="708"/>
        <w:rPr>
          <w:rFonts w:ascii="Arial" w:hAnsi="Arial" w:cs="Arial"/>
          <w:sz w:val="19"/>
          <w:szCs w:val="19"/>
        </w:rPr>
      </w:pPr>
    </w:p>
    <w:p w14:paraId="55086C4D" w14:textId="77777777" w:rsidR="008A7C1A" w:rsidRPr="00F1057F" w:rsidRDefault="008A7C1A" w:rsidP="008A7C1A">
      <w:pPr>
        <w:pStyle w:val="Textonotapie"/>
        <w:ind w:firstLine="708"/>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«Artículo 333. La actividad económica y la iniciativa privada son libres, dentro de los límites del bien común. Para su ejercicio, nadie podrá exigir permisos previos ni requisitos, sin autorización de la ley.</w:t>
      </w:r>
    </w:p>
    <w:p w14:paraId="3F2FA881" w14:textId="77777777" w:rsidR="008A7C1A" w:rsidRPr="00F1057F" w:rsidRDefault="008A7C1A" w:rsidP="008A7C1A">
      <w:pPr>
        <w:pStyle w:val="Textonotapie"/>
        <w:ind w:firstLine="708"/>
        <w:rPr>
          <w:rFonts w:ascii="Arial" w:hAnsi="Arial" w:cs="Arial"/>
          <w:sz w:val="19"/>
          <w:szCs w:val="19"/>
        </w:rPr>
      </w:pPr>
      <w:r w:rsidRPr="00F1057F">
        <w:rPr>
          <w:rFonts w:ascii="Arial" w:hAnsi="Arial" w:cs="Arial"/>
          <w:sz w:val="19"/>
          <w:szCs w:val="19"/>
        </w:rPr>
        <w:t>La libre competencia económica es un derecho de todos que supone responsabilidades.</w:t>
      </w:r>
    </w:p>
    <w:p w14:paraId="2260313C" w14:textId="77777777" w:rsidR="008A7C1A" w:rsidRPr="00F1057F" w:rsidRDefault="008A7C1A" w:rsidP="008A7C1A">
      <w:pPr>
        <w:pStyle w:val="Textonotapie"/>
        <w:ind w:firstLine="708"/>
        <w:rPr>
          <w:rFonts w:ascii="Arial" w:hAnsi="Arial" w:cs="Arial"/>
          <w:sz w:val="19"/>
          <w:szCs w:val="19"/>
        </w:rPr>
      </w:pPr>
      <w:r w:rsidRPr="00F1057F">
        <w:rPr>
          <w:rFonts w:ascii="Arial" w:hAnsi="Arial" w:cs="Arial"/>
          <w:sz w:val="19"/>
          <w:szCs w:val="19"/>
        </w:rPr>
        <w:t>La empresa, como base del desarrollo, tiene una función social que implica obligaciones. El Estado fortalecerá las organizaciones solidarias y estimulará el desarrollo empresarial.</w:t>
      </w:r>
    </w:p>
    <w:p w14:paraId="5F4D9280" w14:textId="77777777" w:rsidR="008A7C1A" w:rsidRPr="00F1057F" w:rsidRDefault="008A7C1A" w:rsidP="008A7C1A">
      <w:pPr>
        <w:pStyle w:val="Textonotapie"/>
        <w:ind w:firstLine="708"/>
        <w:rPr>
          <w:rFonts w:ascii="Arial" w:hAnsi="Arial" w:cs="Arial"/>
          <w:sz w:val="19"/>
          <w:szCs w:val="19"/>
        </w:rPr>
      </w:pPr>
      <w:r w:rsidRPr="00F1057F">
        <w:rPr>
          <w:rFonts w:ascii="Arial" w:hAnsi="Arial" w:cs="Arial"/>
          <w:sz w:val="19"/>
          <w:szCs w:val="19"/>
        </w:rPr>
        <w:t>El Estado, por mandato de la ley, impedirá que se obstruya o se restrinja la libertad económica y evitará o controlará cualquier abuso que personas o empresas hagan de su posición dominante en el mercado nacional.</w:t>
      </w:r>
    </w:p>
    <w:p w14:paraId="3DFA322F" w14:textId="77777777" w:rsidR="008A7C1A" w:rsidRPr="00F1057F" w:rsidRDefault="008A7C1A" w:rsidP="008A7C1A">
      <w:pPr>
        <w:pStyle w:val="Textonotapie"/>
        <w:ind w:firstLine="708"/>
        <w:rPr>
          <w:rFonts w:ascii="Arial" w:hAnsi="Arial" w:cs="Arial"/>
          <w:sz w:val="19"/>
          <w:szCs w:val="19"/>
        </w:rPr>
      </w:pPr>
      <w:r w:rsidRPr="00F1057F">
        <w:rPr>
          <w:rFonts w:ascii="Arial" w:hAnsi="Arial" w:cs="Arial"/>
          <w:sz w:val="19"/>
          <w:szCs w:val="19"/>
        </w:rPr>
        <w:t>La ley delimitará el alcance de la libertad económica cuando así lo exijan el interés social, el ambiente y el patrimonio cultural de la Nación.»</w:t>
      </w:r>
    </w:p>
    <w:p w14:paraId="42640E50" w14:textId="77777777" w:rsidR="008A7C1A" w:rsidRPr="00F1057F" w:rsidRDefault="008A7C1A" w:rsidP="008A7C1A">
      <w:pPr>
        <w:pStyle w:val="Textonotapie"/>
        <w:ind w:firstLine="708"/>
        <w:rPr>
          <w:rFonts w:ascii="Arial" w:hAnsi="Arial" w:cs="Arial"/>
          <w:sz w:val="19"/>
          <w:szCs w:val="19"/>
          <w:lang w:val="es-CO"/>
        </w:rPr>
      </w:pPr>
    </w:p>
  </w:footnote>
  <w:footnote w:id="27">
    <w:p w14:paraId="1385F9B8" w14:textId="77777777" w:rsidR="008A7C1A" w:rsidRPr="00F1057F" w:rsidRDefault="008A7C1A" w:rsidP="008A7C1A">
      <w:pPr>
        <w:pStyle w:val="Textonotapie"/>
        <w:ind w:firstLine="708"/>
        <w:rPr>
          <w:rFonts w:ascii="Arial" w:hAnsi="Arial" w:cs="Arial"/>
          <w:sz w:val="19"/>
          <w:szCs w:val="19"/>
          <w:lang w:val="es-CO"/>
        </w:rPr>
      </w:pPr>
      <w:r w:rsidRPr="00F1057F">
        <w:rPr>
          <w:rStyle w:val="Refdenotaalpie"/>
          <w:rFonts w:ascii="Arial" w:hAnsi="Arial" w:cs="Arial"/>
          <w:sz w:val="19"/>
          <w:szCs w:val="19"/>
        </w:rPr>
        <w:footnoteRef/>
      </w:r>
      <w:r w:rsidRPr="00F1057F">
        <w:rPr>
          <w:rFonts w:ascii="Arial" w:hAnsi="Arial" w:cs="Arial"/>
          <w:sz w:val="19"/>
          <w:szCs w:val="19"/>
        </w:rPr>
        <w:t xml:space="preserve"> «Artículo 334.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 […]»</w:t>
      </w:r>
    </w:p>
  </w:footnote>
  <w:footnote w:id="28">
    <w:p w14:paraId="15C9B57A" w14:textId="77777777" w:rsidR="008A7C1A" w:rsidRPr="00F1057F" w:rsidRDefault="008A7C1A" w:rsidP="008A7C1A">
      <w:pPr>
        <w:pStyle w:val="Textonotapie"/>
        <w:rPr>
          <w:rFonts w:ascii="Arial" w:hAnsi="Arial" w:cs="Arial"/>
          <w:sz w:val="19"/>
          <w:szCs w:val="19"/>
        </w:rPr>
      </w:pPr>
    </w:p>
    <w:p w14:paraId="7643D48C" w14:textId="77777777" w:rsidR="008A7C1A" w:rsidRPr="00F1057F" w:rsidRDefault="008A7C1A" w:rsidP="008A7C1A">
      <w:pPr>
        <w:pStyle w:val="Textonotapie"/>
        <w:ind w:firstLine="708"/>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«Artículo 365. Los servicios públicos son inherentes a la finalidad social del Estado. Es deber del Estado asegurar su prestación eficiente a todos los habitantes del territorio nacional.</w:t>
      </w:r>
    </w:p>
    <w:p w14:paraId="233DE6C9" w14:textId="77777777" w:rsidR="008A7C1A" w:rsidRPr="00F1057F" w:rsidRDefault="008A7C1A" w:rsidP="008A7C1A">
      <w:pPr>
        <w:pStyle w:val="Textonotapie"/>
        <w:ind w:firstLine="708"/>
        <w:rPr>
          <w:rFonts w:ascii="Arial" w:hAnsi="Arial" w:cs="Arial"/>
          <w:sz w:val="19"/>
          <w:szCs w:val="19"/>
        </w:rPr>
      </w:pPr>
      <w:r w:rsidRPr="00F1057F">
        <w:rPr>
          <w:rFonts w:ascii="Arial" w:hAnsi="Arial" w:cs="Arial"/>
          <w:sz w:val="19"/>
          <w:szCs w:val="19"/>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18CB8477" w14:textId="77777777" w:rsidR="008A7C1A" w:rsidRPr="00F1057F" w:rsidRDefault="008A7C1A" w:rsidP="008A7C1A">
      <w:pPr>
        <w:pStyle w:val="Textonotapie"/>
        <w:ind w:firstLine="708"/>
        <w:rPr>
          <w:rFonts w:ascii="Arial" w:hAnsi="Arial" w:cs="Arial"/>
          <w:sz w:val="19"/>
          <w:szCs w:val="19"/>
          <w:lang w:val="es-CO"/>
        </w:rPr>
      </w:pPr>
    </w:p>
  </w:footnote>
  <w:footnote w:id="29">
    <w:p w14:paraId="52A57BBB" w14:textId="77777777" w:rsidR="008A7C1A" w:rsidRPr="00F1057F" w:rsidRDefault="008A7C1A" w:rsidP="008A7C1A">
      <w:pPr>
        <w:pStyle w:val="Textonotapie"/>
        <w:ind w:firstLine="708"/>
        <w:rPr>
          <w:rFonts w:ascii="Arial" w:hAnsi="Arial" w:cs="Arial"/>
          <w:sz w:val="19"/>
          <w:szCs w:val="19"/>
          <w:lang w:val="es-CO"/>
        </w:rPr>
      </w:pPr>
      <w:r w:rsidRPr="00F1057F">
        <w:rPr>
          <w:rStyle w:val="Refdenotaalpie"/>
          <w:rFonts w:ascii="Arial" w:hAnsi="Arial" w:cs="Arial"/>
          <w:sz w:val="19"/>
          <w:szCs w:val="19"/>
        </w:rPr>
        <w:footnoteRef/>
      </w:r>
      <w:r w:rsidRPr="00F1057F">
        <w:rPr>
          <w:rFonts w:ascii="Arial" w:hAnsi="Arial" w:cs="Arial"/>
          <w:sz w:val="19"/>
          <w:szCs w:val="19"/>
        </w:rPr>
        <w:t xml:space="preserve"> MONTAÑA PLATA, Alberto.  El concepto de servicio público en el derecho administrativo, Bogotá: Universidad Externado de Colombia, 2005, p. 184.</w:t>
      </w:r>
    </w:p>
  </w:footnote>
  <w:footnote w:id="30">
    <w:p w14:paraId="31889F1C" w14:textId="77777777" w:rsidR="008A7C1A" w:rsidRPr="00F1057F" w:rsidRDefault="008A7C1A" w:rsidP="008A7C1A">
      <w:pPr>
        <w:pStyle w:val="Textonotapie"/>
        <w:ind w:firstLine="708"/>
        <w:rPr>
          <w:rFonts w:ascii="Arial" w:hAnsi="Arial" w:cs="Arial"/>
          <w:sz w:val="19"/>
          <w:szCs w:val="19"/>
          <w:lang w:val="es-CO"/>
        </w:rPr>
      </w:pPr>
      <w:r w:rsidRPr="00F1057F">
        <w:rPr>
          <w:rStyle w:val="Refdenotaalpie"/>
          <w:rFonts w:ascii="Arial" w:hAnsi="Arial" w:cs="Arial"/>
          <w:sz w:val="19"/>
          <w:szCs w:val="19"/>
        </w:rPr>
        <w:footnoteRef/>
      </w:r>
      <w:r w:rsidRPr="00F1057F">
        <w:rPr>
          <w:rFonts w:ascii="Arial" w:hAnsi="Arial" w:cs="Arial"/>
          <w:sz w:val="19"/>
          <w:szCs w:val="19"/>
        </w:rPr>
        <w:t xml:space="preserve"> </w:t>
      </w:r>
      <w:r w:rsidRPr="00F1057F">
        <w:rPr>
          <w:rFonts w:ascii="Arial" w:hAnsi="Arial" w:cs="Arial"/>
          <w:sz w:val="19"/>
          <w:szCs w:val="19"/>
          <w:lang w:val="es-CO"/>
        </w:rPr>
        <w:t>Corte Constitucional, sentencia C-736 de 2007. Magistrado ponente: Marco Gerardo Monroy Cabra.</w:t>
      </w:r>
    </w:p>
    <w:p w14:paraId="614CB768" w14:textId="77777777" w:rsidR="008A7C1A" w:rsidRPr="00F1057F" w:rsidRDefault="008A7C1A" w:rsidP="008A7C1A">
      <w:pPr>
        <w:pStyle w:val="Textonotapie"/>
        <w:ind w:firstLine="708"/>
        <w:rPr>
          <w:rFonts w:ascii="Arial" w:hAnsi="Arial" w:cs="Arial"/>
          <w:sz w:val="19"/>
          <w:szCs w:val="19"/>
          <w:lang w:val="es-CO"/>
        </w:rPr>
      </w:pPr>
    </w:p>
  </w:footnote>
  <w:footnote w:id="31">
    <w:p w14:paraId="57250080" w14:textId="77777777" w:rsidR="008A7C1A" w:rsidRPr="00F1057F" w:rsidRDefault="008A7C1A" w:rsidP="008A7C1A">
      <w:pPr>
        <w:pStyle w:val="Textonotapie"/>
        <w:ind w:firstLine="708"/>
        <w:rPr>
          <w:sz w:val="19"/>
          <w:szCs w:val="19"/>
          <w:lang w:val="es-ES"/>
        </w:rPr>
      </w:pPr>
      <w:r w:rsidRPr="00F1057F">
        <w:rPr>
          <w:rStyle w:val="Refdenotaalpie"/>
          <w:sz w:val="19"/>
          <w:szCs w:val="19"/>
        </w:rPr>
        <w:footnoteRef/>
      </w:r>
      <w:r w:rsidRPr="00F1057F">
        <w:rPr>
          <w:sz w:val="19"/>
          <w:szCs w:val="19"/>
        </w:rPr>
        <w:t xml:space="preserve"> </w:t>
      </w:r>
      <w:r w:rsidRPr="00F1057F">
        <w:rPr>
          <w:rFonts w:ascii="Arial" w:hAnsi="Arial" w:cs="Arial"/>
          <w:sz w:val="19"/>
          <w:szCs w:val="19"/>
          <w:lang w:val="es-CO"/>
        </w:rPr>
        <w:t>Corte Constitucional, sentencia C-736 de 2007. Magistrado ponente: Marco Gerardo Monroy Cabra; Corte Constitucional, sentencia C-741 de 2003. Magistrado ponente: Manuel José Cepeda Espinosa.</w:t>
      </w:r>
    </w:p>
  </w:footnote>
  <w:footnote w:id="32">
    <w:p w14:paraId="419101AC" w14:textId="77777777" w:rsidR="008A7C1A" w:rsidRPr="00F1057F" w:rsidRDefault="008A7C1A" w:rsidP="008A7C1A">
      <w:pPr>
        <w:pStyle w:val="Textonotapie"/>
        <w:ind w:firstLine="708"/>
        <w:rPr>
          <w:rFonts w:ascii="Arial" w:hAnsi="Arial" w:cs="Arial"/>
          <w:sz w:val="19"/>
          <w:szCs w:val="19"/>
        </w:rPr>
      </w:pPr>
    </w:p>
    <w:p w14:paraId="72F9EEC9" w14:textId="77777777" w:rsidR="008A7C1A" w:rsidRPr="00F1057F" w:rsidRDefault="008A7C1A" w:rsidP="008A7C1A">
      <w:pPr>
        <w:pStyle w:val="Textonotapie"/>
        <w:ind w:firstLine="708"/>
        <w:rPr>
          <w:rFonts w:ascii="Arial" w:hAnsi="Arial" w:cs="Arial"/>
          <w:sz w:val="19"/>
          <w:szCs w:val="19"/>
          <w:lang w:val="es-CO"/>
        </w:rPr>
      </w:pPr>
      <w:r w:rsidRPr="00F1057F">
        <w:rPr>
          <w:rStyle w:val="Refdenotaalpie"/>
          <w:rFonts w:ascii="Arial" w:hAnsi="Arial" w:cs="Arial"/>
          <w:sz w:val="19"/>
          <w:szCs w:val="19"/>
        </w:rPr>
        <w:footnoteRef/>
      </w:r>
      <w:r w:rsidRPr="00F1057F">
        <w:rPr>
          <w:rFonts w:ascii="Arial" w:hAnsi="Arial" w:cs="Arial"/>
          <w:sz w:val="19"/>
          <w:szCs w:val="19"/>
        </w:rPr>
        <w:t xml:space="preserve"> Consejo de Estado. Sala de lo Contencioso Administrativo. Sección Tercera. Subsección A. Sentencia del 22 de octubre de 2021. Rad. 81001-23-33-000-2014-00084-01(56313. Consejero Ponente: José Roberto Sáchica Méndez.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83E9" w14:textId="77777777" w:rsidR="000A47AF" w:rsidRDefault="007C0C8E">
    <w:pPr>
      <w:pStyle w:val="Encabezado"/>
    </w:pPr>
    <w:r>
      <w:rPr>
        <w:noProof/>
        <w:lang w:val="en-US"/>
      </w:rPr>
      <w:drawing>
        <wp:anchor distT="0" distB="0" distL="114300" distR="114300" simplePos="0" relativeHeight="251659264" behindDoc="1" locked="0" layoutInCell="1" allowOverlap="1" wp14:anchorId="229FC83A" wp14:editId="66D122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B37B41" w14:textId="77777777" w:rsidR="00183D77" w:rsidRDefault="00000000"/>
  <w:p w14:paraId="128C3EF6" w14:textId="77777777" w:rsidR="00183D77" w:rsidRDefault="00000000"/>
  <w:p w14:paraId="29582EBF" w14:textId="77777777" w:rsidR="00183D77"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1A"/>
    <w:rsid w:val="007C0C8E"/>
    <w:rsid w:val="008A7C1A"/>
    <w:rsid w:val="00BC4245"/>
    <w:rsid w:val="00EF45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250D"/>
  <w15:chartTrackingRefBased/>
  <w15:docId w15:val="{B1483243-342D-5B4A-96B9-C853E177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1A"/>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A7C1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8A7C1A"/>
    <w:rPr>
      <w:szCs w:val="22"/>
      <w:lang w:val="es-MX"/>
    </w:rPr>
  </w:style>
  <w:style w:type="paragraph" w:styleId="Encabezado">
    <w:name w:val="header"/>
    <w:basedOn w:val="Normal"/>
    <w:link w:val="EncabezadoCar"/>
    <w:uiPriority w:val="99"/>
    <w:unhideWhenUsed/>
    <w:rsid w:val="008A7C1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8A7C1A"/>
    <w:rPr>
      <w:szCs w:val="22"/>
      <w:lang w:val="es-MX"/>
    </w:rPr>
  </w:style>
  <w:style w:type="table" w:styleId="Tablaconcuadrcula">
    <w:name w:val="Table Grid"/>
    <w:basedOn w:val="Tablanormal"/>
    <w:uiPriority w:val="59"/>
    <w:qFormat/>
    <w:rsid w:val="008A7C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8A7C1A"/>
    <w:pPr>
      <w:spacing w:before="100" w:beforeAutospacing="1" w:after="100" w:afterAutospacing="1"/>
    </w:pPr>
    <w:rPr>
      <w:lang w:eastAsia="es-CO"/>
    </w:rPr>
  </w:style>
  <w:style w:type="paragraph" w:styleId="Sinespaciado">
    <w:name w:val="No Spacing"/>
    <w:aliases w:val="No Indent"/>
    <w:uiPriority w:val="1"/>
    <w:qFormat/>
    <w:rsid w:val="008A7C1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A7C1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8A7C1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8A7C1A"/>
    <w:rPr>
      <w:rFonts w:ascii="Times New Roman" w:eastAsia="Times New Roman" w:hAnsi="Times New Roman" w:cs="Times New Roman"/>
      <w:sz w:val="20"/>
      <w:szCs w:val="20"/>
      <w:lang w:eastAsia="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8A7C1A"/>
    <w:rPr>
      <w:vertAlign w:val="superscript"/>
    </w:rPr>
  </w:style>
  <w:style w:type="character" w:customStyle="1" w:styleId="NormalWebCar">
    <w:name w:val="Normal (Web) Car"/>
    <w:link w:val="NormalWeb"/>
    <w:uiPriority w:val="99"/>
    <w:rsid w:val="008A7C1A"/>
    <w:rPr>
      <w:rFonts w:ascii="Times New Roman" w:eastAsia="Times New Roman" w:hAnsi="Times New Roman" w:cs="Times New Roman"/>
      <w:lang w:eastAsia="es-CO"/>
    </w:rPr>
  </w:style>
  <w:style w:type="paragraph" w:customStyle="1" w:styleId="Appelnotedebasde">
    <w:name w:val="Appel note de bas de..."/>
    <w:basedOn w:val="Normal"/>
    <w:link w:val="Refdenotaalpie"/>
    <w:uiPriority w:val="99"/>
    <w:rsid w:val="008A7C1A"/>
    <w:pPr>
      <w:spacing w:after="160" w:line="240" w:lineRule="exact"/>
    </w:pPr>
    <w:rPr>
      <w:rFonts w:asciiTheme="minorHAnsi" w:eastAsiaTheme="minorHAnsi" w:hAnsiTheme="minorHAnsi" w:cstheme="minorBidi"/>
      <w:vertAlign w:val="superscript"/>
      <w:lang w:eastAsia="en-US"/>
    </w:rPr>
  </w:style>
  <w:style w:type="character" w:customStyle="1" w:styleId="baj">
    <w:name w:val="b_aj"/>
    <w:basedOn w:val="Fuentedeprrafopredeter"/>
    <w:rsid w:val="008A7C1A"/>
  </w:style>
  <w:style w:type="table" w:customStyle="1" w:styleId="Tablaconcuadrcula11">
    <w:name w:val="Tabla con cuadrícula11"/>
    <w:basedOn w:val="Tablanormal"/>
    <w:next w:val="Tablaconcuadrcula"/>
    <w:uiPriority w:val="39"/>
    <w:rsid w:val="008A7C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7EC08-49E8-479E-9347-C6609470ECD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4B2A12E4-D39B-4F10-83F5-9902A79B30D9}">
  <ds:schemaRefs>
    <ds:schemaRef ds:uri="http://schemas.microsoft.com/sharepoint/v3/contenttype/forms"/>
  </ds:schemaRefs>
</ds:datastoreItem>
</file>

<file path=customXml/itemProps3.xml><?xml version="1.0" encoding="utf-8"?>
<ds:datastoreItem xmlns:ds="http://schemas.openxmlformats.org/officeDocument/2006/customXml" ds:itemID="{A6F30E13-346A-4C46-B964-DC48A962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7748</Words>
  <Characters>42617</Characters>
  <Application>Microsoft Office Word</Application>
  <DocSecurity>0</DocSecurity>
  <Lines>355</Lines>
  <Paragraphs>100</Paragraphs>
  <ScaleCrop>false</ScaleCrop>
  <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2022-05-28T13:09:00Z</dcterms:created>
  <dcterms:modified xsi:type="dcterms:W3CDTF">2022-07-28T21:45:00Z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