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D53B6" w14:textId="77777777" w:rsidR="002072A4" w:rsidRPr="0008465D" w:rsidRDefault="002072A4" w:rsidP="002072A4">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14:paraId="35F132CD" w14:textId="77777777" w:rsidR="002072A4" w:rsidRDefault="002072A4" w:rsidP="002072A4">
      <w:pPr>
        <w:jc w:val="both"/>
        <w:rPr>
          <w:rFonts w:ascii="Arial" w:eastAsia="Calibri" w:hAnsi="Arial" w:cs="Arial"/>
          <w:b/>
          <w:bCs/>
          <w:color w:val="000000" w:themeColor="text1"/>
          <w:sz w:val="20"/>
          <w:szCs w:val="20"/>
          <w:lang w:val="es-ES_tradnl"/>
        </w:rPr>
      </w:pPr>
    </w:p>
    <w:p w14:paraId="0136B978" w14:textId="77777777" w:rsidR="002072A4" w:rsidRPr="00E36D20" w:rsidRDefault="002072A4" w:rsidP="002072A4">
      <w:pPr>
        <w:jc w:val="both"/>
        <w:rPr>
          <w:rFonts w:ascii="Arial" w:hAnsi="Arial" w:cs="Arial"/>
          <w:b/>
          <w:bCs/>
          <w:noProof/>
          <w:color w:val="000000" w:themeColor="text1"/>
          <w:sz w:val="20"/>
          <w:szCs w:val="20"/>
          <w:lang w:val="es-ES_tradnl"/>
        </w:rPr>
      </w:pPr>
      <w:r w:rsidRPr="00E36D20">
        <w:rPr>
          <w:rFonts w:ascii="Arial" w:eastAsia="Calibri" w:hAnsi="Arial" w:cs="Arial"/>
          <w:b/>
          <w:bCs/>
          <w:color w:val="000000" w:themeColor="text1"/>
          <w:sz w:val="20"/>
          <w:szCs w:val="20"/>
          <w:lang w:val="es-ES_tradnl"/>
        </w:rPr>
        <w:t>LEY 2195 DE 2022 – Aplicación de documentos tipo – entidades de régimen especial – artículo 56</w:t>
      </w:r>
    </w:p>
    <w:p w14:paraId="2B75DFA6" w14:textId="77777777" w:rsidR="002072A4" w:rsidRPr="00E36D20" w:rsidRDefault="002072A4" w:rsidP="002072A4">
      <w:pPr>
        <w:jc w:val="both"/>
        <w:rPr>
          <w:rFonts w:ascii="Arial" w:hAnsi="Arial" w:cs="Arial"/>
          <w:noProof/>
          <w:color w:val="000000" w:themeColor="text1"/>
          <w:sz w:val="20"/>
          <w:szCs w:val="20"/>
          <w:lang w:val="es-ES_tradnl"/>
        </w:rPr>
      </w:pPr>
    </w:p>
    <w:p w14:paraId="6411BFD7" w14:textId="77777777" w:rsidR="002072A4" w:rsidRPr="00E36D20" w:rsidRDefault="002072A4" w:rsidP="002072A4">
      <w:pPr>
        <w:tabs>
          <w:tab w:val="left" w:pos="0"/>
        </w:tabs>
        <w:spacing w:after="120"/>
        <w:jc w:val="both"/>
        <w:rPr>
          <w:rFonts w:ascii="Arial" w:eastAsia="Calibri" w:hAnsi="Arial" w:cs="Arial"/>
          <w:bCs/>
          <w:sz w:val="20"/>
          <w:szCs w:val="20"/>
          <w:lang w:val="es-ES_tradnl"/>
        </w:rPr>
      </w:pPr>
      <w:r w:rsidRPr="00E36D20">
        <w:rPr>
          <w:rFonts w:ascii="Arial" w:eastAsia="Calibri" w:hAnsi="Arial" w:cs="Arial"/>
          <w:bCs/>
          <w:sz w:val="20"/>
          <w:szCs w:val="20"/>
          <w:lang w:val="es-ES_tradnl"/>
        </w:rPr>
        <w:t xml:space="preserve">[…] En ese sentido, el contenido normativo de la Ley 2022 de 2020, y en su momento también la Ley 1882 de 2018, excluía del ámbito de aplicación de los documentos tipo la contratación de entidades estatales de régimen exceptuado, por lo general, sujetas al derecho civil y comercial. </w:t>
      </w:r>
    </w:p>
    <w:p w14:paraId="17F98CF6" w14:textId="77777777" w:rsidR="002072A4" w:rsidRPr="00E36D20" w:rsidRDefault="002072A4" w:rsidP="002072A4">
      <w:pPr>
        <w:tabs>
          <w:tab w:val="left" w:pos="0"/>
        </w:tabs>
        <w:spacing w:after="120"/>
        <w:jc w:val="both"/>
        <w:rPr>
          <w:rFonts w:ascii="Arial" w:eastAsia="Calibri" w:hAnsi="Arial" w:cs="Arial"/>
          <w:bCs/>
          <w:sz w:val="20"/>
          <w:szCs w:val="20"/>
          <w:lang w:val="es-ES_tradnl"/>
        </w:rPr>
      </w:pPr>
      <w:r w:rsidRPr="00E36D20">
        <w:rPr>
          <w:rFonts w:ascii="Arial" w:eastAsia="Calibri" w:hAnsi="Arial" w:cs="Arial"/>
          <w:bCs/>
          <w:sz w:val="20"/>
          <w:szCs w:val="20"/>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5BA18019" w14:textId="77777777" w:rsidR="002072A4" w:rsidRPr="00E36D20" w:rsidRDefault="002072A4" w:rsidP="002072A4">
      <w:pPr>
        <w:jc w:val="both"/>
        <w:rPr>
          <w:rFonts w:ascii="Arial" w:eastAsia="Calibri" w:hAnsi="Arial" w:cs="Arial"/>
          <w:bCs/>
          <w:sz w:val="20"/>
          <w:szCs w:val="20"/>
          <w:lang w:val="es-ES_tradnl"/>
        </w:rPr>
      </w:pPr>
      <w:r w:rsidRPr="00E36D20">
        <w:rPr>
          <w:rFonts w:ascii="Arial" w:eastAsia="Calibri" w:hAnsi="Arial" w:cs="Arial"/>
          <w:bCs/>
          <w:sz w:val="20"/>
          <w:szCs w:val="20"/>
          <w:lang w:val="es-ES_tradnl"/>
        </w:rPr>
        <w:t>Entre las medidas adoptadas por la Ley mencionada se destaca el artículo 56, disposición que se refiere de manera expresa a los documentos tipo y a su aplicabilidad a sujetos diferentes de las entidades estatales sometidas al Estatuto General de Contratación de la Administración Pública.</w:t>
      </w:r>
    </w:p>
    <w:p w14:paraId="5DBC2AE7" w14:textId="77777777" w:rsidR="002072A4" w:rsidRPr="00E36D20" w:rsidRDefault="002072A4" w:rsidP="002072A4">
      <w:pPr>
        <w:jc w:val="both"/>
        <w:rPr>
          <w:rFonts w:ascii="Arial" w:eastAsia="Calibri" w:hAnsi="Arial" w:cs="Arial"/>
          <w:bCs/>
          <w:sz w:val="20"/>
          <w:szCs w:val="20"/>
          <w:lang w:val="es-ES_tradnl"/>
        </w:rPr>
      </w:pPr>
    </w:p>
    <w:p w14:paraId="16C6C85F" w14:textId="77777777" w:rsidR="002072A4" w:rsidRPr="00E36D20" w:rsidRDefault="002072A4" w:rsidP="002072A4">
      <w:pPr>
        <w:jc w:val="both"/>
        <w:rPr>
          <w:rFonts w:ascii="Arial" w:eastAsia="Calibri" w:hAnsi="Arial" w:cs="Arial"/>
          <w:b/>
          <w:sz w:val="20"/>
          <w:szCs w:val="20"/>
          <w:lang w:val="es-ES_tradnl"/>
        </w:rPr>
      </w:pPr>
      <w:r w:rsidRPr="00E36D20">
        <w:rPr>
          <w:rFonts w:ascii="Arial" w:eastAsia="Calibri" w:hAnsi="Arial" w:cs="Arial"/>
          <w:b/>
          <w:sz w:val="20"/>
          <w:szCs w:val="20"/>
          <w:lang w:val="es-ES_tradnl"/>
        </w:rPr>
        <w:t>LEY 2195 DE 2022 – Cambios en la implementación de documentos tipo</w:t>
      </w:r>
    </w:p>
    <w:p w14:paraId="63019FEE" w14:textId="77777777" w:rsidR="002072A4" w:rsidRPr="00E36D20" w:rsidRDefault="002072A4" w:rsidP="002072A4">
      <w:pPr>
        <w:jc w:val="both"/>
        <w:rPr>
          <w:rFonts w:ascii="Arial" w:hAnsi="Arial" w:cs="Arial"/>
          <w:noProof/>
          <w:color w:val="000000" w:themeColor="text1"/>
          <w:sz w:val="20"/>
          <w:szCs w:val="20"/>
          <w:lang w:val="es-ES_tradnl"/>
        </w:rPr>
      </w:pPr>
    </w:p>
    <w:p w14:paraId="506148DF" w14:textId="77777777" w:rsidR="002072A4" w:rsidRDefault="002072A4" w:rsidP="002072A4">
      <w:pPr>
        <w:tabs>
          <w:tab w:val="left" w:pos="0"/>
        </w:tabs>
        <w:jc w:val="both"/>
        <w:rPr>
          <w:rFonts w:ascii="Arial" w:eastAsia="Calibri" w:hAnsi="Arial" w:cs="Arial"/>
          <w:bCs/>
          <w:sz w:val="20"/>
          <w:szCs w:val="20"/>
          <w:lang w:val="es-ES_tradnl"/>
        </w:rPr>
      </w:pPr>
      <w:r w:rsidRPr="00E36D20">
        <w:rPr>
          <w:rFonts w:ascii="Arial" w:eastAsia="Calibri" w:hAnsi="Arial" w:cs="Arial"/>
          <w:bCs/>
          <w:sz w:val="20"/>
          <w:szCs w:val="20"/>
          <w:lang w:val="es-ES_tradnl"/>
        </w:rPr>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3F3583EE" w14:textId="77777777" w:rsidR="002072A4" w:rsidRDefault="002072A4" w:rsidP="002072A4">
      <w:pPr>
        <w:tabs>
          <w:tab w:val="left" w:pos="0"/>
        </w:tabs>
        <w:jc w:val="both"/>
        <w:rPr>
          <w:rFonts w:ascii="Arial" w:eastAsia="Calibri" w:hAnsi="Arial" w:cs="Arial"/>
          <w:bCs/>
          <w:sz w:val="20"/>
          <w:szCs w:val="20"/>
          <w:lang w:val="es-ES_tradnl"/>
        </w:rPr>
      </w:pPr>
    </w:p>
    <w:p w14:paraId="0313110A" w14:textId="77777777" w:rsidR="002072A4" w:rsidRDefault="002072A4" w:rsidP="002072A4">
      <w:pPr>
        <w:tabs>
          <w:tab w:val="left" w:pos="0"/>
        </w:tabs>
        <w:spacing w:after="120"/>
        <w:jc w:val="both"/>
        <w:rPr>
          <w:rFonts w:ascii="Arial" w:eastAsia="Calibri" w:hAnsi="Arial" w:cs="Arial"/>
          <w:b/>
          <w:sz w:val="20"/>
          <w:szCs w:val="20"/>
          <w:lang w:val="es-ES_tradnl"/>
        </w:rPr>
      </w:pPr>
      <w:r w:rsidRPr="00FC3C59">
        <w:rPr>
          <w:rFonts w:ascii="Arial" w:eastAsia="Calibri" w:hAnsi="Arial" w:cs="Arial"/>
          <w:b/>
          <w:sz w:val="20"/>
          <w:szCs w:val="20"/>
          <w:lang w:val="es-ES_tradnl"/>
        </w:rPr>
        <w:t xml:space="preserve">RÉGIMEN CONTRACTUAL </w:t>
      </w:r>
      <w:r>
        <w:rPr>
          <w:rFonts w:ascii="Arial" w:eastAsia="Calibri" w:hAnsi="Arial" w:cs="Arial"/>
          <w:b/>
          <w:sz w:val="20"/>
          <w:szCs w:val="20"/>
          <w:lang w:val="es-ES_tradnl"/>
        </w:rPr>
        <w:t>–</w:t>
      </w:r>
      <w:r w:rsidRPr="00FC3C59">
        <w:rPr>
          <w:rFonts w:ascii="Arial" w:eastAsia="Calibri" w:hAnsi="Arial" w:cs="Arial"/>
          <w:b/>
          <w:sz w:val="20"/>
          <w:szCs w:val="20"/>
          <w:lang w:val="es-ES_tradnl"/>
        </w:rPr>
        <w:t xml:space="preserve"> </w:t>
      </w:r>
      <w:r>
        <w:rPr>
          <w:rFonts w:ascii="Arial" w:eastAsia="Calibri" w:hAnsi="Arial" w:cs="Arial"/>
          <w:b/>
          <w:sz w:val="20"/>
          <w:szCs w:val="20"/>
          <w:lang w:val="es-ES_tradnl"/>
        </w:rPr>
        <w:t>E</w:t>
      </w:r>
      <w:r w:rsidRPr="00FC3C59">
        <w:rPr>
          <w:rFonts w:ascii="Arial" w:eastAsia="Calibri" w:hAnsi="Arial" w:cs="Arial"/>
          <w:b/>
          <w:sz w:val="20"/>
          <w:szCs w:val="20"/>
          <w:lang w:val="es-ES_tradnl"/>
        </w:rPr>
        <w:t xml:space="preserve">mpresas </w:t>
      </w:r>
      <w:r>
        <w:rPr>
          <w:rFonts w:ascii="Arial" w:eastAsia="Calibri" w:hAnsi="Arial" w:cs="Arial"/>
          <w:b/>
          <w:sz w:val="20"/>
          <w:szCs w:val="20"/>
          <w:lang w:val="es-ES_tradnl"/>
        </w:rPr>
        <w:t>P</w:t>
      </w:r>
      <w:r w:rsidRPr="00FC3C59">
        <w:rPr>
          <w:rFonts w:ascii="Arial" w:eastAsia="Calibri" w:hAnsi="Arial" w:cs="Arial"/>
          <w:b/>
          <w:sz w:val="20"/>
          <w:szCs w:val="20"/>
          <w:lang w:val="es-ES_tradnl"/>
        </w:rPr>
        <w:t xml:space="preserve">restadoras de </w:t>
      </w:r>
      <w:r>
        <w:rPr>
          <w:rFonts w:ascii="Arial" w:eastAsia="Calibri" w:hAnsi="Arial" w:cs="Arial"/>
          <w:b/>
          <w:sz w:val="20"/>
          <w:szCs w:val="20"/>
          <w:lang w:val="es-ES_tradnl"/>
        </w:rPr>
        <w:t>S</w:t>
      </w:r>
      <w:r w:rsidRPr="00FC3C59">
        <w:rPr>
          <w:rFonts w:ascii="Arial" w:eastAsia="Calibri" w:hAnsi="Arial" w:cs="Arial"/>
          <w:b/>
          <w:sz w:val="20"/>
          <w:szCs w:val="20"/>
          <w:lang w:val="es-ES_tradnl"/>
        </w:rPr>
        <w:t xml:space="preserve">ervicios </w:t>
      </w:r>
      <w:r>
        <w:rPr>
          <w:rFonts w:ascii="Arial" w:eastAsia="Calibri" w:hAnsi="Arial" w:cs="Arial"/>
          <w:b/>
          <w:sz w:val="20"/>
          <w:szCs w:val="20"/>
          <w:lang w:val="es-ES_tradnl"/>
        </w:rPr>
        <w:t>P</w:t>
      </w:r>
      <w:r w:rsidRPr="00FC3C59">
        <w:rPr>
          <w:rFonts w:ascii="Arial" w:eastAsia="Calibri" w:hAnsi="Arial" w:cs="Arial"/>
          <w:b/>
          <w:sz w:val="20"/>
          <w:szCs w:val="20"/>
          <w:lang w:val="es-ES_tradnl"/>
        </w:rPr>
        <w:t xml:space="preserve">úblicos </w:t>
      </w:r>
      <w:r>
        <w:rPr>
          <w:rFonts w:ascii="Arial" w:eastAsia="Calibri" w:hAnsi="Arial" w:cs="Arial"/>
          <w:b/>
          <w:sz w:val="20"/>
          <w:szCs w:val="20"/>
          <w:lang w:val="es-ES_tradnl"/>
        </w:rPr>
        <w:t>D</w:t>
      </w:r>
      <w:r w:rsidRPr="00FC3C59">
        <w:rPr>
          <w:rFonts w:ascii="Arial" w:eastAsia="Calibri" w:hAnsi="Arial" w:cs="Arial"/>
          <w:b/>
          <w:sz w:val="20"/>
          <w:szCs w:val="20"/>
          <w:lang w:val="es-ES_tradnl"/>
        </w:rPr>
        <w:t xml:space="preserve">omiciliarios </w:t>
      </w:r>
    </w:p>
    <w:p w14:paraId="0D815C5E" w14:textId="77777777" w:rsidR="002072A4" w:rsidRPr="006556A9" w:rsidRDefault="002072A4" w:rsidP="002072A4">
      <w:pPr>
        <w:spacing w:before="120"/>
        <w:jc w:val="both"/>
        <w:rPr>
          <w:rFonts w:ascii="Arial" w:eastAsia="Calibri" w:hAnsi="Arial" w:cs="Arial"/>
          <w:color w:val="000000"/>
          <w:sz w:val="20"/>
          <w:szCs w:val="20"/>
          <w:lang w:val="es-ES_tradnl" w:eastAsia="es-ES_tradnl"/>
        </w:rPr>
      </w:pPr>
      <w:r w:rsidRPr="006556A9">
        <w:rPr>
          <w:rFonts w:ascii="Arial" w:eastAsia="Calibri" w:hAnsi="Arial" w:cs="Arial"/>
          <w:color w:val="000000"/>
          <w:sz w:val="20"/>
          <w:szCs w:val="20"/>
          <w:lang w:val="es-ES_tradnl" w:eastAsia="es-ES_tradnl"/>
        </w:rPr>
        <w:t xml:space="preserve">El artículo 14 de dicha Ley clasificó a las empresas de servicios públicos domiciliarios así: i) oficial –«[…] aquella en cuyo capital la Nación, las entidades territoriales, o las entidades descentralizadas de aquella o estas tienen el 100% de los aportes»–, </w:t>
      </w:r>
      <w:proofErr w:type="spellStart"/>
      <w:r w:rsidRPr="006556A9">
        <w:rPr>
          <w:rFonts w:ascii="Arial" w:eastAsia="Calibri" w:hAnsi="Arial" w:cs="Arial"/>
          <w:color w:val="000000"/>
          <w:sz w:val="20"/>
          <w:szCs w:val="20"/>
          <w:lang w:val="es-ES_tradnl" w:eastAsia="es-ES_tradnl"/>
        </w:rPr>
        <w:t>ii</w:t>
      </w:r>
      <w:proofErr w:type="spellEnd"/>
      <w:r w:rsidRPr="006556A9">
        <w:rPr>
          <w:rFonts w:ascii="Arial" w:eastAsia="Calibri" w:hAnsi="Arial" w:cs="Arial"/>
          <w:color w:val="000000"/>
          <w:sz w:val="20"/>
          <w:szCs w:val="20"/>
          <w:lang w:val="es-ES_tradnl" w:eastAsia="es-ES_tradnl"/>
        </w:rPr>
        <w:t xml:space="preserve">) mixta –«[…] aquella en cuyo capital la Nación, las entidades territoriales, o las entidades descentralizadas de aquella o éstas tienen aportes iguales o superiores al 50%»– y </w:t>
      </w:r>
      <w:proofErr w:type="spellStart"/>
      <w:r w:rsidRPr="006556A9">
        <w:rPr>
          <w:rFonts w:ascii="Arial" w:eastAsia="Calibri" w:hAnsi="Arial" w:cs="Arial"/>
          <w:color w:val="000000"/>
          <w:sz w:val="20"/>
          <w:szCs w:val="20"/>
          <w:lang w:val="es-ES_tradnl" w:eastAsia="es-ES_tradnl"/>
        </w:rPr>
        <w:t>iii</w:t>
      </w:r>
      <w:proofErr w:type="spellEnd"/>
      <w:r w:rsidRPr="006556A9">
        <w:rPr>
          <w:rFonts w:ascii="Arial" w:eastAsia="Calibri" w:hAnsi="Arial" w:cs="Arial"/>
          <w:color w:val="000000"/>
          <w:sz w:val="20"/>
          <w:szCs w:val="20"/>
          <w:lang w:val="es-ES_tradnl" w:eastAsia="es-ES_tradnl"/>
        </w:rPr>
        <w:t>) privada –«[…] aquella cuyo capital pertenece mayoritariamente a particulares, o a entidades surgidas de convenios internacionales que deseen someterse íntegramente para estos efectos a las reglas a las que se someten los particulares»–.</w:t>
      </w:r>
    </w:p>
    <w:p w14:paraId="36C12A50" w14:textId="77777777" w:rsidR="002072A4" w:rsidRDefault="002072A4" w:rsidP="002072A4">
      <w:pPr>
        <w:spacing w:before="120"/>
        <w:jc w:val="both"/>
        <w:rPr>
          <w:rFonts w:ascii="Arial" w:eastAsia="Calibri" w:hAnsi="Arial" w:cs="Arial"/>
          <w:color w:val="000000"/>
          <w:sz w:val="20"/>
          <w:szCs w:val="20"/>
          <w:lang w:val="es-ES_tradnl" w:eastAsia="es-ES_tradnl"/>
        </w:rPr>
      </w:pPr>
      <w:r w:rsidRPr="006556A9">
        <w:rPr>
          <w:rFonts w:ascii="Arial" w:eastAsia="Calibri" w:hAnsi="Arial" w:cs="Arial"/>
          <w:color w:val="000000"/>
          <w:sz w:val="20"/>
          <w:szCs w:val="20"/>
          <w:lang w:val="es-ES_tradnl" w:eastAsia="es-ES_tradnl"/>
        </w:rPr>
        <w:t>En lo que atañe específicamente al régimen de contratación, el artículo 31 de la Ley 142 de 1994, modificado por el artículo 3 de la Ley 689 de 2001, dispone que</w:t>
      </w:r>
      <w:r w:rsidRPr="006556A9">
        <w:rPr>
          <w:rFonts w:ascii="Arial" w:eastAsia="Calibri" w:hAnsi="Arial" w:cs="Arial"/>
          <w:color w:val="000000"/>
          <w:sz w:val="20"/>
          <w:szCs w:val="20"/>
          <w:bdr w:val="none" w:sz="0" w:space="0" w:color="auto" w:frame="1"/>
        </w:rPr>
        <w:t xml:space="preserve"> los contratos que celebren las entidades estatales que prestan los servicios públicos domiciliarios «no estarán sujetos a las disposiciones del Estatuto General de Contratación de la Administración Pública, salvo en lo que la presente ley disponga otra cosa»</w:t>
      </w:r>
      <w:r w:rsidRPr="006556A9">
        <w:rPr>
          <w:rFonts w:ascii="Arial" w:eastAsia="Calibri" w:hAnsi="Arial" w:cs="Arial"/>
          <w:color w:val="000000"/>
          <w:sz w:val="20"/>
          <w:szCs w:val="20"/>
          <w:lang w:val="es-ES_tradnl" w:eastAsia="es-ES_tradnl"/>
        </w:rPr>
        <w:t>. Por su parte, el artículo 32 de la Ley 142 consagra el régimen de derecho privado para las empresas de servicios públicos domiciliarios, indicando que sus actos se rigen por las reglas del derecho privado.</w:t>
      </w:r>
    </w:p>
    <w:p w14:paraId="2B811754" w14:textId="77777777" w:rsidR="002072A4" w:rsidRDefault="002072A4" w:rsidP="002072A4">
      <w:pPr>
        <w:jc w:val="right"/>
      </w:pPr>
      <w:r>
        <w:lastRenderedPageBreak/>
        <w:fldChar w:fldCharType="begin"/>
      </w:r>
      <w:r>
        <w:instrText xml:space="preserve"> INCLUDEPICTURE "/var/folders/tb/0fmk9b510f57pz5rwhv8lnpw0000gp/T/com.microsoft.Word/WebArchiveCopyPasteTempFiles/page1image32539040" \* MERGEFORMATINET </w:instrText>
      </w:r>
      <w:r>
        <w:fldChar w:fldCharType="separate"/>
      </w:r>
      <w:r>
        <w:rPr>
          <w:noProof/>
        </w:rPr>
        <w:drawing>
          <wp:inline distT="0" distB="0" distL="0" distR="0" wp14:anchorId="0E798F79" wp14:editId="6881D205">
            <wp:extent cx="2403475" cy="614045"/>
            <wp:effectExtent l="0" t="0" r="0" b="0"/>
            <wp:docPr id="5" name="Imagen 5" descr="page1image3253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25390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3475" cy="614045"/>
                    </a:xfrm>
                    <a:prstGeom prst="rect">
                      <a:avLst/>
                    </a:prstGeom>
                    <a:noFill/>
                    <a:ln>
                      <a:noFill/>
                    </a:ln>
                  </pic:spPr>
                </pic:pic>
              </a:graphicData>
            </a:graphic>
          </wp:inline>
        </w:drawing>
      </w:r>
      <w:r>
        <w:fldChar w:fldCharType="end"/>
      </w:r>
    </w:p>
    <w:p w14:paraId="1268CA4F" w14:textId="77777777" w:rsidR="002072A4" w:rsidRDefault="002072A4" w:rsidP="002072A4">
      <w:pPr>
        <w:rPr>
          <w:rFonts w:ascii="Arial" w:eastAsia="Calibri" w:hAnsi="Arial" w:cs="Arial"/>
          <w:sz w:val="22"/>
          <w:szCs w:val="22"/>
          <w:lang w:val="es-ES"/>
        </w:rPr>
      </w:pPr>
    </w:p>
    <w:p w14:paraId="4CACEF79" w14:textId="6E447097" w:rsidR="00C37D6D" w:rsidRDefault="00C37D6D" w:rsidP="002072A4">
      <w:pPr>
        <w:rPr>
          <w:rFonts w:ascii="Arial" w:eastAsia="Calibri" w:hAnsi="Arial" w:cs="Arial"/>
          <w:sz w:val="22"/>
          <w:szCs w:val="22"/>
          <w:lang w:val="es-ES"/>
        </w:rPr>
      </w:pPr>
      <w:r>
        <w:rPr>
          <w:rFonts w:ascii="Arial" w:eastAsia="Calibri" w:hAnsi="Arial" w:cs="Arial"/>
          <w:sz w:val="22"/>
          <w:szCs w:val="22"/>
          <w:lang w:val="es-ES"/>
        </w:rPr>
        <w:t>Bogotá D.C., 27 de mayo de 2022</w:t>
      </w:r>
    </w:p>
    <w:p w14:paraId="52A048D1" w14:textId="77777777" w:rsidR="00C37D6D" w:rsidRDefault="00C37D6D" w:rsidP="002072A4">
      <w:pPr>
        <w:rPr>
          <w:rFonts w:ascii="Arial" w:eastAsia="Calibri" w:hAnsi="Arial" w:cs="Arial"/>
          <w:sz w:val="22"/>
          <w:szCs w:val="22"/>
          <w:lang w:val="es-ES"/>
        </w:rPr>
      </w:pPr>
    </w:p>
    <w:p w14:paraId="5925F58A" w14:textId="3E25D6C4" w:rsidR="002072A4" w:rsidRDefault="002072A4" w:rsidP="002072A4">
      <w:pPr>
        <w:rPr>
          <w:rFonts w:ascii="Arial" w:eastAsia="Calibri" w:hAnsi="Arial" w:cs="Arial"/>
          <w:sz w:val="22"/>
          <w:szCs w:val="22"/>
          <w:lang w:val="es-ES"/>
        </w:rPr>
      </w:pPr>
      <w:r w:rsidRPr="006244FD">
        <w:rPr>
          <w:rFonts w:ascii="Arial" w:eastAsia="Calibri" w:hAnsi="Arial" w:cs="Arial"/>
          <w:sz w:val="22"/>
          <w:szCs w:val="22"/>
          <w:lang w:val="es-ES"/>
        </w:rPr>
        <w:t>Señor</w:t>
      </w:r>
      <w:r>
        <w:rPr>
          <w:rFonts w:ascii="Arial" w:eastAsia="Calibri" w:hAnsi="Arial" w:cs="Arial"/>
          <w:sz w:val="22"/>
          <w:szCs w:val="22"/>
          <w:lang w:val="es-ES"/>
        </w:rPr>
        <w:t>a</w:t>
      </w:r>
    </w:p>
    <w:p w14:paraId="20499BDB" w14:textId="77777777" w:rsidR="002072A4" w:rsidRDefault="002072A4" w:rsidP="002072A4">
      <w:pPr>
        <w:rPr>
          <w:rFonts w:ascii="Arial" w:eastAsia="Calibri" w:hAnsi="Arial" w:cs="Arial"/>
          <w:b/>
          <w:bCs/>
          <w:sz w:val="22"/>
          <w:szCs w:val="22"/>
          <w:lang w:val="es-ES"/>
        </w:rPr>
      </w:pPr>
      <w:r>
        <w:rPr>
          <w:rFonts w:ascii="Arial" w:eastAsia="Calibri" w:hAnsi="Arial" w:cs="Arial"/>
          <w:b/>
          <w:bCs/>
          <w:sz w:val="22"/>
          <w:szCs w:val="22"/>
          <w:lang w:val="es-ES"/>
        </w:rPr>
        <w:t xml:space="preserve">Claudia Poveda </w:t>
      </w:r>
    </w:p>
    <w:p w14:paraId="42ECE98A" w14:textId="77777777" w:rsidR="002072A4" w:rsidRPr="00EF6A38" w:rsidRDefault="002072A4" w:rsidP="002072A4">
      <w:pPr>
        <w:rPr>
          <w:rFonts w:ascii="Arial" w:eastAsia="Calibri" w:hAnsi="Arial" w:cs="Arial"/>
          <w:sz w:val="22"/>
          <w:szCs w:val="22"/>
          <w:lang w:val="es-ES"/>
        </w:rPr>
      </w:pPr>
      <w:r>
        <w:rPr>
          <w:rFonts w:ascii="Arial" w:eastAsia="Calibri" w:hAnsi="Arial" w:cs="Arial"/>
          <w:sz w:val="22"/>
          <w:szCs w:val="22"/>
          <w:lang w:val="es-ES"/>
        </w:rPr>
        <w:t xml:space="preserve">Zipaquirá, Cundinamarca </w:t>
      </w:r>
    </w:p>
    <w:p w14:paraId="15C829D4" w14:textId="77777777" w:rsidR="002072A4" w:rsidRPr="00924DEF" w:rsidRDefault="002072A4" w:rsidP="002072A4">
      <w:pPr>
        <w:rPr>
          <w:rFonts w:ascii="Arial" w:eastAsia="Calibri" w:hAnsi="Arial" w:cs="Arial"/>
          <w:b/>
          <w:sz w:val="22"/>
          <w:szCs w:val="22"/>
          <w:lang w:val="es-ES"/>
        </w:rPr>
      </w:pPr>
    </w:p>
    <w:p w14:paraId="3AF96390" w14:textId="77777777" w:rsidR="002072A4" w:rsidRPr="00F35189" w:rsidRDefault="002072A4" w:rsidP="002072A4">
      <w:pPr>
        <w:rPr>
          <w:rFonts w:ascii="Arial" w:eastAsia="Calibri" w:hAnsi="Arial" w:cs="Arial"/>
          <w:b/>
          <w:sz w:val="22"/>
          <w:szCs w:val="22"/>
          <w:lang w:val="es-ES"/>
        </w:rPr>
      </w:pPr>
      <w:r w:rsidRPr="00924DEF">
        <w:rPr>
          <w:rFonts w:ascii="Arial" w:eastAsia="Calibri" w:hAnsi="Arial" w:cs="Arial"/>
          <w:b/>
          <w:sz w:val="22"/>
          <w:szCs w:val="22"/>
          <w:lang w:val="es-ES"/>
        </w:rPr>
        <w:t xml:space="preserve">    </w:t>
      </w:r>
      <w:r w:rsidRPr="00F35189">
        <w:rPr>
          <w:rFonts w:ascii="Arial" w:eastAsia="Calibri" w:hAnsi="Arial" w:cs="Arial"/>
          <w:b/>
          <w:sz w:val="22"/>
          <w:szCs w:val="22"/>
          <w:lang w:val="es-ES"/>
        </w:rPr>
        <w:t xml:space="preserve">                                        Concepto C – </w:t>
      </w:r>
      <w:r>
        <w:rPr>
          <w:rFonts w:ascii="Arial" w:eastAsia="Calibri" w:hAnsi="Arial" w:cs="Arial"/>
          <w:b/>
          <w:sz w:val="22"/>
          <w:szCs w:val="22"/>
          <w:lang w:val="es-ES"/>
        </w:rPr>
        <w:t>382</w:t>
      </w:r>
      <w:r w:rsidRPr="00F35189">
        <w:rPr>
          <w:rFonts w:ascii="Arial" w:eastAsia="Calibri" w:hAnsi="Arial" w:cs="Arial"/>
          <w:b/>
          <w:sz w:val="22"/>
          <w:szCs w:val="22"/>
          <w:lang w:val="es-ES"/>
        </w:rPr>
        <w:t xml:space="preserve"> de 2022</w:t>
      </w:r>
    </w:p>
    <w:p w14:paraId="0C6D51F9" w14:textId="77777777" w:rsidR="002072A4" w:rsidRPr="00F35189" w:rsidRDefault="002072A4" w:rsidP="002072A4">
      <w:pPr>
        <w:rPr>
          <w:rFonts w:ascii="Arial" w:eastAsia="Calibri" w:hAnsi="Arial" w:cs="Arial"/>
          <w:b/>
          <w:sz w:val="22"/>
          <w:szCs w:val="22"/>
          <w:lang w:val="es-ES"/>
        </w:r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095"/>
      </w:tblGrid>
      <w:tr w:rsidR="002072A4" w:rsidRPr="002F6BE4" w14:paraId="722B7973" w14:textId="77777777" w:rsidTr="002C35E6">
        <w:trPr>
          <w:trHeight w:val="550"/>
        </w:trPr>
        <w:tc>
          <w:tcPr>
            <w:tcW w:w="2552" w:type="dxa"/>
          </w:tcPr>
          <w:p w14:paraId="58EE7BF2" w14:textId="77777777" w:rsidR="002072A4" w:rsidRPr="000045A3" w:rsidRDefault="002072A4" w:rsidP="002C35E6">
            <w:pPr>
              <w:rPr>
                <w:rFonts w:ascii="Arial" w:eastAsia="Calibri" w:hAnsi="Arial" w:cs="Arial"/>
                <w:lang w:val="es-ES"/>
              </w:rPr>
            </w:pPr>
            <w:r w:rsidRPr="000045A3">
              <w:rPr>
                <w:rFonts w:ascii="Arial" w:eastAsia="Calibri" w:hAnsi="Arial" w:cs="Arial"/>
                <w:b/>
                <w:lang w:val="es-ES"/>
              </w:rPr>
              <w:t>Temas:</w:t>
            </w:r>
            <w:r w:rsidRPr="000045A3">
              <w:rPr>
                <w:rFonts w:ascii="Arial" w:eastAsia="Calibri" w:hAnsi="Arial" w:cs="Arial"/>
                <w:lang w:val="es-ES"/>
              </w:rPr>
              <w:t xml:space="preserve">                                    </w:t>
            </w:r>
          </w:p>
        </w:tc>
        <w:tc>
          <w:tcPr>
            <w:tcW w:w="6095" w:type="dxa"/>
          </w:tcPr>
          <w:p w14:paraId="5015DF7C" w14:textId="77777777" w:rsidR="002072A4" w:rsidRPr="000045A3" w:rsidRDefault="002072A4" w:rsidP="002C35E6">
            <w:pPr>
              <w:tabs>
                <w:tab w:val="left" w:pos="0"/>
              </w:tabs>
              <w:spacing w:after="120"/>
              <w:jc w:val="both"/>
              <w:rPr>
                <w:rFonts w:ascii="Arial" w:eastAsia="Calibri" w:hAnsi="Arial" w:cs="Arial"/>
              </w:rPr>
            </w:pPr>
            <w:r w:rsidRPr="000045A3">
              <w:rPr>
                <w:rFonts w:ascii="Arial" w:eastAsia="Calibri" w:hAnsi="Arial" w:cs="Arial"/>
                <w:color w:val="000000" w:themeColor="text1"/>
                <w:lang w:val="es-ES_tradnl"/>
              </w:rPr>
              <w:t xml:space="preserve">LEY 2195 DE 2022 – Aplicación de documentos tipo – entidades de régimen especial – artículo 56 / </w:t>
            </w:r>
            <w:r w:rsidRPr="000045A3">
              <w:rPr>
                <w:rFonts w:ascii="Arial" w:eastAsia="Calibri" w:hAnsi="Arial" w:cs="Arial"/>
                <w:bCs/>
                <w:lang w:val="es-ES_tradnl"/>
              </w:rPr>
              <w:t>LEY 2195 DE 2022 – Cambios en la implementación de documentos tipo / RÉGIMEN CONTRACTUAL – Empresas Prestadoras de Servicios Públicos Domiciliarios</w:t>
            </w:r>
          </w:p>
        </w:tc>
      </w:tr>
      <w:tr w:rsidR="002072A4" w:rsidRPr="00F35189" w14:paraId="51375162" w14:textId="77777777" w:rsidTr="002C35E6">
        <w:tc>
          <w:tcPr>
            <w:tcW w:w="2552" w:type="dxa"/>
          </w:tcPr>
          <w:p w14:paraId="08DF3614" w14:textId="77777777" w:rsidR="002072A4" w:rsidRPr="000045A3" w:rsidRDefault="002072A4" w:rsidP="002C35E6">
            <w:pPr>
              <w:rPr>
                <w:rFonts w:ascii="Arial" w:eastAsia="Calibri" w:hAnsi="Arial" w:cs="Arial"/>
                <w:lang w:val="es-ES"/>
              </w:rPr>
            </w:pPr>
            <w:r w:rsidRPr="000045A3">
              <w:rPr>
                <w:rFonts w:ascii="Arial" w:eastAsia="Calibri" w:hAnsi="Arial" w:cs="Arial"/>
                <w:b/>
                <w:lang w:val="es-ES"/>
              </w:rPr>
              <w:t>Radicación:</w:t>
            </w:r>
            <w:r w:rsidRPr="000045A3">
              <w:rPr>
                <w:rFonts w:ascii="Arial" w:eastAsia="Calibri" w:hAnsi="Arial" w:cs="Arial"/>
                <w:lang w:val="es-ES"/>
              </w:rPr>
              <w:t xml:space="preserve">                              </w:t>
            </w:r>
          </w:p>
        </w:tc>
        <w:tc>
          <w:tcPr>
            <w:tcW w:w="6095" w:type="dxa"/>
          </w:tcPr>
          <w:p w14:paraId="762A5622" w14:textId="77777777" w:rsidR="002072A4" w:rsidRPr="000045A3" w:rsidRDefault="002072A4" w:rsidP="002C35E6">
            <w:pPr>
              <w:rPr>
                <w:rFonts w:ascii="Arial" w:hAnsi="Arial" w:cs="Arial"/>
              </w:rPr>
            </w:pPr>
            <w:r w:rsidRPr="000045A3">
              <w:rPr>
                <w:rFonts w:ascii="Arial" w:eastAsia="Calibri" w:hAnsi="Arial" w:cs="Arial"/>
                <w:lang w:val="es-ES"/>
              </w:rPr>
              <w:t>Respuesta a consulta</w:t>
            </w:r>
            <w:r w:rsidRPr="000045A3">
              <w:rPr>
                <w:rFonts w:ascii="Arial" w:hAnsi="Arial" w:cs="Arial"/>
              </w:rPr>
              <w:t xml:space="preserve"> P20220428004172</w:t>
            </w:r>
          </w:p>
        </w:tc>
      </w:tr>
    </w:tbl>
    <w:p w14:paraId="523A0055" w14:textId="77777777" w:rsidR="002072A4" w:rsidRPr="00924DEF" w:rsidRDefault="002072A4" w:rsidP="002072A4">
      <w:pPr>
        <w:spacing w:line="276" w:lineRule="auto"/>
        <w:rPr>
          <w:rFonts w:ascii="Arial" w:eastAsia="Calibri" w:hAnsi="Arial" w:cs="Arial"/>
          <w:sz w:val="22"/>
          <w:szCs w:val="22"/>
          <w:lang w:val="es-ES"/>
        </w:rPr>
      </w:pPr>
    </w:p>
    <w:p w14:paraId="162B8DA8" w14:textId="77777777" w:rsidR="002072A4" w:rsidRPr="00924DEF" w:rsidRDefault="002072A4" w:rsidP="002072A4">
      <w:pPr>
        <w:tabs>
          <w:tab w:val="left" w:pos="3736"/>
        </w:tabs>
        <w:spacing w:line="276" w:lineRule="auto"/>
        <w:rPr>
          <w:rFonts w:ascii="Arial" w:eastAsia="Calibri" w:hAnsi="Arial" w:cs="Arial"/>
          <w:sz w:val="22"/>
          <w:szCs w:val="22"/>
          <w:lang w:val="es-ES"/>
        </w:rPr>
      </w:pPr>
      <w:r w:rsidRPr="00924DEF">
        <w:rPr>
          <w:rFonts w:ascii="Arial" w:eastAsia="Calibri" w:hAnsi="Arial" w:cs="Arial"/>
          <w:sz w:val="22"/>
          <w:szCs w:val="22"/>
          <w:lang w:val="es-ES"/>
        </w:rPr>
        <w:t>Estimad</w:t>
      </w:r>
      <w:r>
        <w:rPr>
          <w:rFonts w:ascii="Arial" w:eastAsia="Calibri" w:hAnsi="Arial" w:cs="Arial"/>
          <w:sz w:val="22"/>
          <w:szCs w:val="22"/>
          <w:lang w:val="es-ES"/>
        </w:rPr>
        <w:t>a</w:t>
      </w:r>
      <w:r w:rsidRPr="00924DEF">
        <w:rPr>
          <w:rFonts w:ascii="Arial" w:eastAsia="Calibri" w:hAnsi="Arial" w:cs="Arial"/>
          <w:sz w:val="22"/>
          <w:szCs w:val="22"/>
          <w:lang w:val="es-ES"/>
        </w:rPr>
        <w:t xml:space="preserve"> señor</w:t>
      </w:r>
      <w:r>
        <w:rPr>
          <w:rFonts w:ascii="Arial" w:eastAsia="Calibri" w:hAnsi="Arial" w:cs="Arial"/>
          <w:sz w:val="22"/>
          <w:szCs w:val="22"/>
          <w:lang w:val="es-ES"/>
        </w:rPr>
        <w:t>a Poveda:</w:t>
      </w:r>
      <w:r w:rsidRPr="00924DEF">
        <w:rPr>
          <w:rFonts w:ascii="Arial" w:eastAsia="Calibri" w:hAnsi="Arial" w:cs="Arial"/>
          <w:sz w:val="22"/>
          <w:szCs w:val="22"/>
          <w:lang w:val="es-ES"/>
        </w:rPr>
        <w:tab/>
      </w:r>
    </w:p>
    <w:p w14:paraId="1FE6122B" w14:textId="77777777" w:rsidR="002072A4" w:rsidRPr="00924DEF" w:rsidRDefault="002072A4" w:rsidP="002072A4">
      <w:pPr>
        <w:spacing w:line="276" w:lineRule="auto"/>
        <w:rPr>
          <w:rFonts w:ascii="Arial" w:eastAsia="Calibri" w:hAnsi="Arial" w:cs="Arial"/>
          <w:sz w:val="22"/>
          <w:szCs w:val="22"/>
          <w:lang w:val="es-ES"/>
        </w:rPr>
      </w:pPr>
    </w:p>
    <w:p w14:paraId="5853AE92" w14:textId="77777777" w:rsidR="002072A4" w:rsidRPr="00924DEF" w:rsidRDefault="002072A4" w:rsidP="002072A4">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La Agencia Nacional de Contratación Pública – Colombia Compra Eficiente, en ejercicio de la competencia otorgada por el numeral 8 del artículo 11 y el numeral 5 del artículo 3 del Decreto Ley 4170 de 2011</w:t>
      </w:r>
      <w:r>
        <w:rPr>
          <w:rFonts w:ascii="Arial" w:eastAsia="Calibri" w:hAnsi="Arial" w:cs="Arial"/>
          <w:sz w:val="22"/>
          <w:szCs w:val="22"/>
          <w:lang w:val="es-ES"/>
        </w:rPr>
        <w:t xml:space="preserve">, </w:t>
      </w:r>
      <w:r w:rsidRPr="00924DEF">
        <w:rPr>
          <w:rFonts w:ascii="Arial" w:eastAsia="Calibri" w:hAnsi="Arial" w:cs="Arial"/>
          <w:sz w:val="22"/>
          <w:szCs w:val="22"/>
          <w:lang w:val="es-ES"/>
        </w:rPr>
        <w:t xml:space="preserve">responde a su consulta del </w:t>
      </w:r>
      <w:r>
        <w:rPr>
          <w:rFonts w:ascii="Arial" w:eastAsia="Calibri" w:hAnsi="Arial" w:cs="Arial"/>
          <w:sz w:val="22"/>
          <w:szCs w:val="22"/>
          <w:lang w:val="es-ES"/>
        </w:rPr>
        <w:t>28 de abril de 2022.</w:t>
      </w:r>
    </w:p>
    <w:p w14:paraId="1D5D04A9" w14:textId="77777777" w:rsidR="002072A4" w:rsidRPr="00924DEF" w:rsidRDefault="002072A4" w:rsidP="002072A4">
      <w:pPr>
        <w:pStyle w:val="Prrafodelista"/>
        <w:spacing w:line="276" w:lineRule="auto"/>
        <w:ind w:left="0"/>
        <w:rPr>
          <w:rFonts w:ascii="Arial" w:eastAsia="Calibri" w:hAnsi="Arial" w:cs="Arial"/>
          <w:sz w:val="22"/>
          <w:lang w:val="es-ES"/>
        </w:rPr>
      </w:pPr>
    </w:p>
    <w:p w14:paraId="14889745" w14:textId="77777777" w:rsidR="002072A4" w:rsidRPr="00924DEF" w:rsidRDefault="002072A4" w:rsidP="002072A4">
      <w:pPr>
        <w:tabs>
          <w:tab w:val="left" w:pos="0"/>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1. Problema planteado</w:t>
      </w:r>
    </w:p>
    <w:p w14:paraId="571FFDAB" w14:textId="77777777" w:rsidR="002072A4" w:rsidRDefault="002072A4" w:rsidP="002072A4">
      <w:pPr>
        <w:pStyle w:val="NormalWeb"/>
        <w:spacing w:line="276" w:lineRule="auto"/>
        <w:jc w:val="both"/>
        <w:rPr>
          <w:rFonts w:ascii="Arial" w:eastAsia="Calibri" w:hAnsi="Arial" w:cs="Arial"/>
          <w:sz w:val="22"/>
          <w:szCs w:val="22"/>
          <w:lang w:val="es-ES"/>
        </w:rPr>
      </w:pPr>
      <w:r w:rsidRPr="001032B4">
        <w:rPr>
          <w:rFonts w:ascii="Arial" w:eastAsia="Calibri" w:hAnsi="Arial" w:cs="Arial"/>
          <w:sz w:val="22"/>
          <w:szCs w:val="22"/>
          <w:lang w:val="es-ES"/>
        </w:rPr>
        <w:t xml:space="preserve">Usted realiza la siguiente pregunta: </w:t>
      </w:r>
    </w:p>
    <w:p w14:paraId="01536D87" w14:textId="77777777" w:rsidR="002072A4" w:rsidRDefault="002072A4" w:rsidP="002072A4">
      <w:pPr>
        <w:pStyle w:val="NormalWeb"/>
        <w:spacing w:before="0" w:beforeAutospacing="0" w:after="0" w:afterAutospacing="0"/>
        <w:ind w:left="709" w:right="709"/>
        <w:jc w:val="both"/>
        <w:rPr>
          <w:rFonts w:ascii="Arial" w:hAnsi="Arial" w:cs="Arial"/>
          <w:sz w:val="21"/>
          <w:szCs w:val="21"/>
        </w:rPr>
      </w:pPr>
      <w:r w:rsidRPr="000045A3">
        <w:rPr>
          <w:rFonts w:ascii="Arial" w:hAnsi="Arial" w:cs="Arial"/>
          <w:sz w:val="21"/>
          <w:szCs w:val="21"/>
        </w:rPr>
        <w:t xml:space="preserve">«[…] si las empresas de servicios públicos de acueducto, alcantarillado y aseo, de régimen especial que se rigen por su propio manual de contratación </w:t>
      </w:r>
      <w:proofErr w:type="gramStart"/>
      <w:r w:rsidRPr="000045A3">
        <w:rPr>
          <w:rFonts w:ascii="Arial" w:hAnsi="Arial" w:cs="Arial"/>
          <w:sz w:val="21"/>
          <w:szCs w:val="21"/>
        </w:rPr>
        <w:t>de acuerdo a</w:t>
      </w:r>
      <w:proofErr w:type="gramEnd"/>
      <w:r w:rsidRPr="000045A3">
        <w:rPr>
          <w:rFonts w:ascii="Arial" w:hAnsi="Arial" w:cs="Arial"/>
          <w:sz w:val="21"/>
          <w:szCs w:val="21"/>
        </w:rPr>
        <w:t xml:space="preserve"> la ley 142 de 1993 (sic), las cuales no contemplan dentro de su modalidad de contratación la licitación, están obligadas adoptar o no los pliegos tipo para la licitación de obras de acueducto y saneamiento básico, más cuando se tratan de empresas descentralizadas de Municipios de sexta categoría.»</w:t>
      </w:r>
    </w:p>
    <w:p w14:paraId="789D96CD" w14:textId="77777777" w:rsidR="002072A4" w:rsidRPr="000045A3" w:rsidRDefault="002072A4" w:rsidP="002072A4">
      <w:pPr>
        <w:pStyle w:val="NormalWeb"/>
        <w:spacing w:before="0" w:beforeAutospacing="0" w:after="0" w:afterAutospacing="0"/>
        <w:ind w:left="709" w:right="709"/>
        <w:jc w:val="both"/>
        <w:rPr>
          <w:rFonts w:ascii="Arial" w:hAnsi="Arial" w:cs="Arial"/>
          <w:sz w:val="21"/>
          <w:szCs w:val="21"/>
        </w:rPr>
      </w:pPr>
    </w:p>
    <w:p w14:paraId="50AF309B" w14:textId="77777777" w:rsidR="002072A4" w:rsidRDefault="002072A4" w:rsidP="002072A4">
      <w:pPr>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2. Consideraciones</w:t>
      </w:r>
    </w:p>
    <w:p w14:paraId="6BE89288" w14:textId="77777777" w:rsidR="002072A4" w:rsidRDefault="002072A4" w:rsidP="002072A4">
      <w:pPr>
        <w:rPr>
          <w:rFonts w:ascii="Arial" w:hAnsi="Arial" w:cs="Arial"/>
          <w:bCs/>
          <w:sz w:val="22"/>
        </w:rPr>
      </w:pPr>
    </w:p>
    <w:p w14:paraId="544A5EA5" w14:textId="77777777" w:rsidR="002072A4" w:rsidRPr="00162BC5" w:rsidRDefault="002072A4" w:rsidP="002072A4">
      <w:pPr>
        <w:spacing w:after="120" w:line="276" w:lineRule="auto"/>
        <w:jc w:val="both"/>
        <w:rPr>
          <w:rFonts w:ascii="Arial" w:hAnsi="Arial" w:cs="Arial"/>
          <w:sz w:val="22"/>
          <w:lang w:val="es-ES"/>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 xml:space="preserve">. </w:t>
      </w:r>
      <w:bookmarkStart w:id="0" w:name="_Hlk61701014"/>
      <w:r>
        <w:rPr>
          <w:rFonts w:ascii="Arial" w:hAnsi="Arial" w:cs="Arial"/>
          <w:bCs/>
          <w:sz w:val="22"/>
        </w:rPr>
        <w:t xml:space="preserve"> </w:t>
      </w:r>
      <w:r>
        <w:rPr>
          <w:rFonts w:ascii="Arial" w:hAnsi="Arial" w:cs="Arial"/>
          <w:sz w:val="22"/>
          <w:lang w:val="es-ES"/>
        </w:rPr>
        <w:t>E</w:t>
      </w:r>
      <w:r w:rsidRPr="00162BC5">
        <w:rPr>
          <w:rFonts w:ascii="Arial" w:hAnsi="Arial" w:cs="Arial"/>
          <w:sz w:val="22"/>
          <w:lang w:val="es-ES"/>
        </w:rPr>
        <w:t xml:space="preserve">s necesario tener en cuenta que </w:t>
      </w:r>
      <w:bookmarkStart w:id="1"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 xml:space="preserve">ntidad solo tiene competencia para responder </w:t>
      </w:r>
      <w:r w:rsidRPr="00162BC5">
        <w:rPr>
          <w:rFonts w:ascii="Arial" w:hAnsi="Arial" w:cs="Arial"/>
          <w:sz w:val="22"/>
          <w:lang w:val="es-ES"/>
        </w:rPr>
        <w:lastRenderedPageBreak/>
        <w:t>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441DC7DE" w14:textId="77777777" w:rsidR="002072A4" w:rsidRDefault="002072A4" w:rsidP="002072A4">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p w14:paraId="45896704" w14:textId="77777777" w:rsidR="002072A4" w:rsidRDefault="002072A4" w:rsidP="002072A4">
      <w:pPr>
        <w:pStyle w:val="Normal11pt"/>
        <w:spacing w:line="276" w:lineRule="auto"/>
        <w:ind w:left="0" w:firstLine="708"/>
        <w:rPr>
          <w:rFonts w:eastAsia="Calibri"/>
        </w:rPr>
      </w:pPr>
      <w:r>
        <w:rPr>
          <w:rFonts w:eastAsia="Calibri"/>
        </w:rPr>
        <w:t xml:space="preserve">Sin perjuicio de lo anterior, dentro de los límites de las atribuciones de la función consultiva atribuida a esta entidad, esto es, interpretando de manera general las normas relevantes, la Agencia </w:t>
      </w:r>
      <w:r w:rsidRPr="00DA403A">
        <w:rPr>
          <w:rFonts w:eastAsia="Calibri"/>
        </w:rPr>
        <w:t>absolver</w:t>
      </w:r>
      <w:r>
        <w:rPr>
          <w:rFonts w:eastAsia="Calibri"/>
        </w:rPr>
        <w:t>á</w:t>
      </w:r>
      <w:r w:rsidRPr="00DA403A">
        <w:rPr>
          <w:rFonts w:eastAsia="Calibri"/>
        </w:rPr>
        <w:t xml:space="preserve"> los interrogantes formulados, </w:t>
      </w:r>
      <w:r>
        <w:rPr>
          <w:rFonts w:eastAsia="Calibri"/>
        </w:rPr>
        <w:t>previo análisis</w:t>
      </w:r>
      <w:r w:rsidRPr="00DA403A">
        <w:rPr>
          <w:rFonts w:eastAsia="Calibri"/>
        </w:rPr>
        <w:t xml:space="preserve"> </w:t>
      </w:r>
      <w:r>
        <w:rPr>
          <w:rFonts w:eastAsia="Calibri"/>
        </w:rPr>
        <w:t xml:space="preserve">de </w:t>
      </w:r>
      <w:r w:rsidRPr="00DA403A">
        <w:rPr>
          <w:rFonts w:eastAsia="Calibri"/>
        </w:rPr>
        <w:t>los siguientes temas:</w:t>
      </w:r>
      <w:r>
        <w:rPr>
          <w:rFonts w:eastAsia="Calibri"/>
        </w:rPr>
        <w:t xml:space="preserve"> </w:t>
      </w:r>
      <w:r w:rsidRPr="00DA403A">
        <w:rPr>
          <w:rFonts w:eastAsia="Calibri"/>
        </w:rPr>
        <w:t xml:space="preserve">i) </w:t>
      </w:r>
      <w:r>
        <w:rPr>
          <w:rFonts w:eastAsia="Calibri"/>
        </w:rPr>
        <w:t xml:space="preserve">fundamento normativo y ámbito de aplicación de los documentos tipo, </w:t>
      </w:r>
      <w:proofErr w:type="spellStart"/>
      <w:r>
        <w:rPr>
          <w:rFonts w:eastAsia="Calibri"/>
        </w:rPr>
        <w:t>ii</w:t>
      </w:r>
      <w:proofErr w:type="spellEnd"/>
      <w:r>
        <w:rPr>
          <w:rFonts w:eastAsia="Calibri"/>
        </w:rPr>
        <w:t>) a</w:t>
      </w:r>
      <w:r w:rsidRPr="00B637E0">
        <w:rPr>
          <w:rFonts w:eastAsia="Calibri"/>
        </w:rPr>
        <w:t>nálisis del artículo 56 de la Ley 2195 de 2022. Aplicación obligatoria del Estatuto General de Contratación de la Administración Pública y de los documentos tipo en la contratación de las entidades estatales exceptuadas y de los particulares</w:t>
      </w:r>
      <w:r>
        <w:rPr>
          <w:rFonts w:eastAsia="Calibri"/>
        </w:rPr>
        <w:t xml:space="preserve">; </w:t>
      </w:r>
      <w:proofErr w:type="spellStart"/>
      <w:r>
        <w:rPr>
          <w:rFonts w:eastAsia="Calibri"/>
        </w:rPr>
        <w:t>iii</w:t>
      </w:r>
      <w:proofErr w:type="spellEnd"/>
      <w:r>
        <w:rPr>
          <w:rFonts w:eastAsia="Calibri"/>
        </w:rPr>
        <w:t xml:space="preserve">) </w:t>
      </w:r>
      <w:r w:rsidRPr="00B637E0">
        <w:rPr>
          <w:rFonts w:eastAsia="Calibri"/>
        </w:rPr>
        <w:t>ámbito de aplicación y finalidad de la norma</w:t>
      </w:r>
      <w:r>
        <w:rPr>
          <w:rFonts w:eastAsia="Calibri"/>
        </w:rPr>
        <w:t xml:space="preserve">; </w:t>
      </w:r>
      <w:proofErr w:type="spellStart"/>
      <w:r>
        <w:rPr>
          <w:rFonts w:eastAsia="Calibri"/>
        </w:rPr>
        <w:t>iv</w:t>
      </w:r>
      <w:proofErr w:type="spellEnd"/>
      <w:r>
        <w:rPr>
          <w:rFonts w:eastAsia="Calibri"/>
        </w:rPr>
        <w:t>) a</w:t>
      </w:r>
      <w:r w:rsidRPr="00B637E0">
        <w:rPr>
          <w:rFonts w:eastAsia="Calibri"/>
        </w:rPr>
        <w:t xml:space="preserve">plicación prevalente del Estatuto General de Contratación de la Administración Pública por parte entidades exceptuadas. Aparente tensión con el literal c) del artículo 2, numeral 4, de la Ley 1150 de </w:t>
      </w:r>
      <w:proofErr w:type="gramStart"/>
      <w:r w:rsidRPr="00B637E0">
        <w:rPr>
          <w:rFonts w:eastAsia="Calibri"/>
        </w:rPr>
        <w:t>2007</w:t>
      </w:r>
      <w:r>
        <w:rPr>
          <w:rFonts w:eastAsia="Calibri"/>
        </w:rPr>
        <w:t>;y</w:t>
      </w:r>
      <w:proofErr w:type="gramEnd"/>
      <w:r>
        <w:rPr>
          <w:rFonts w:eastAsia="Calibri"/>
        </w:rPr>
        <w:t xml:space="preserve"> v)</w:t>
      </w:r>
      <w:r w:rsidRPr="00647B8C">
        <w:t xml:space="preserve"> </w:t>
      </w:r>
      <w:r>
        <w:rPr>
          <w:rFonts w:eastAsia="Calibri"/>
        </w:rPr>
        <w:t>l</w:t>
      </w:r>
      <w:r w:rsidRPr="00647B8C">
        <w:rPr>
          <w:rFonts w:eastAsia="Calibri"/>
        </w:rPr>
        <w:t xml:space="preserve">a noción de </w:t>
      </w:r>
      <w:r w:rsidRPr="00F867D5">
        <w:rPr>
          <w:rFonts w:eastAsia="Calibri"/>
          <w:i/>
          <w:iCs/>
        </w:rPr>
        <w:t>giro ordinario</w:t>
      </w:r>
      <w:r w:rsidRPr="00647B8C">
        <w:rPr>
          <w:rFonts w:eastAsia="Calibri"/>
        </w:rPr>
        <w:t xml:space="preserve"> y su relevancia para la aplicación del artículo 56 de la Ley 2195 de 2022</w:t>
      </w:r>
      <w:r>
        <w:rPr>
          <w:rFonts w:eastAsia="Calibri"/>
        </w:rPr>
        <w:t>.</w:t>
      </w:r>
    </w:p>
    <w:p w14:paraId="4341D65A" w14:textId="77777777" w:rsidR="002072A4" w:rsidRDefault="002072A4" w:rsidP="002072A4">
      <w:pPr>
        <w:pStyle w:val="Normal11pt"/>
        <w:ind w:left="0" w:firstLine="708"/>
        <w:rPr>
          <w:rFonts w:eastAsia="Calibri"/>
          <w:color w:val="auto"/>
          <w:lang w:val="es-ES"/>
        </w:rPr>
      </w:pPr>
      <w:r>
        <w:rPr>
          <w:rFonts w:eastAsia="Calibri"/>
        </w:rPr>
        <w:t xml:space="preserve"> </w:t>
      </w:r>
    </w:p>
    <w:p w14:paraId="4FC902A0" w14:textId="77777777" w:rsidR="002072A4" w:rsidRPr="00E858D2" w:rsidRDefault="002072A4" w:rsidP="002072A4">
      <w:pPr>
        <w:spacing w:line="276" w:lineRule="auto"/>
        <w:jc w:val="both"/>
        <w:rPr>
          <w:rFonts w:ascii="Arial" w:eastAsia="Arial" w:hAnsi="Arial" w:cs="Arial"/>
          <w:b/>
          <w:bCs/>
          <w:sz w:val="22"/>
          <w:lang w:val="es-ES_tradnl"/>
        </w:rPr>
      </w:pPr>
      <w:r w:rsidRPr="00E858D2">
        <w:rPr>
          <w:rFonts w:ascii="Arial" w:eastAsia="Arial" w:hAnsi="Arial" w:cs="Arial"/>
          <w:b/>
          <w:bCs/>
          <w:sz w:val="22"/>
          <w:lang w:val="es-ES_tradnl"/>
        </w:rPr>
        <w:t>2.</w:t>
      </w:r>
      <w:r>
        <w:rPr>
          <w:rFonts w:ascii="Arial" w:eastAsia="Arial" w:hAnsi="Arial" w:cs="Arial"/>
          <w:b/>
          <w:bCs/>
          <w:sz w:val="22"/>
          <w:lang w:val="es-ES_tradnl"/>
        </w:rPr>
        <w:t>1</w:t>
      </w:r>
      <w:r w:rsidRPr="00E858D2">
        <w:rPr>
          <w:rFonts w:ascii="Arial" w:eastAsia="Arial" w:hAnsi="Arial" w:cs="Arial"/>
          <w:b/>
          <w:bCs/>
          <w:sz w:val="22"/>
          <w:lang w:val="es-ES_tradnl"/>
        </w:rPr>
        <w:t xml:space="preserve">. Fundamento normativo y ámbito de aplicación de los documentos tipo </w:t>
      </w:r>
    </w:p>
    <w:p w14:paraId="6D769C59" w14:textId="77777777" w:rsidR="002072A4" w:rsidRDefault="002072A4" w:rsidP="002072A4">
      <w:pPr>
        <w:spacing w:line="276" w:lineRule="auto"/>
        <w:jc w:val="both"/>
        <w:rPr>
          <w:rFonts w:ascii="Arial" w:eastAsia="Calibri" w:hAnsi="Arial" w:cs="Arial"/>
          <w:sz w:val="22"/>
          <w:lang w:val="es-ES_tradnl"/>
        </w:rPr>
      </w:pPr>
    </w:p>
    <w:p w14:paraId="7A58F592" w14:textId="77777777" w:rsidR="002072A4" w:rsidRPr="00E858D2" w:rsidRDefault="002072A4" w:rsidP="002072A4">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lastRenderedPageBreak/>
        <w:t>La adopción de los documentos tipo obligatorios en el ordenamiento jurídico colombiano se incluyó por primera vez en el parágrafo 3 del artículo 2 de la Ley 1150 de 2007</w:t>
      </w:r>
      <w:r w:rsidRPr="00E858D2">
        <w:rPr>
          <w:rStyle w:val="Refdenotaalpie"/>
          <w:rFonts w:ascii="Arial" w:eastAsia="Calibri" w:hAnsi="Arial" w:cs="Arial"/>
        </w:rPr>
        <w:footnoteReference w:id="2"/>
      </w:r>
      <w:r w:rsidRPr="00E858D2">
        <w:rPr>
          <w:rFonts w:ascii="Arial" w:eastAsia="Calibri" w:hAnsi="Arial" w:cs="Arial"/>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41D1C9F7" w14:textId="77777777" w:rsidR="002072A4" w:rsidRPr="00E858D2" w:rsidRDefault="002072A4" w:rsidP="002072A4">
      <w:pPr>
        <w:spacing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 xml:space="preserve">Debido a lo anterior, el artículo 4 de la Ley 1882 de 2018 es el antecedente más relevante respecto a los documentos tipo. A partir de esta norma se determinó la obligatoriedad para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283DE02C" w14:textId="77777777" w:rsidR="002072A4" w:rsidRPr="00E858D2" w:rsidRDefault="002072A4" w:rsidP="002072A4">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El artículo 4 de la Ley 1882 de 2018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Contratación que adelantaran</w:t>
      </w:r>
      <w:r w:rsidRPr="00E858D2">
        <w:rPr>
          <w:rStyle w:val="Refdenotaalpie"/>
          <w:rFonts w:ascii="Arial" w:eastAsia="Calibri" w:hAnsi="Arial" w:cs="Arial"/>
        </w:rPr>
        <w:footnoteReference w:id="3"/>
      </w:r>
      <w:r w:rsidRPr="00E858D2">
        <w:rPr>
          <w:rFonts w:ascii="Arial" w:eastAsia="Calibri" w:hAnsi="Arial" w:cs="Arial"/>
          <w:sz w:val="22"/>
          <w:lang w:val="es-ES_tradnl"/>
        </w:rPr>
        <w:t>.</w:t>
      </w:r>
    </w:p>
    <w:p w14:paraId="68CDD0D9" w14:textId="77777777" w:rsidR="002072A4" w:rsidRPr="00E858D2" w:rsidRDefault="002072A4" w:rsidP="002072A4">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w:t>
      </w:r>
      <w:r w:rsidRPr="00E858D2">
        <w:rPr>
          <w:rFonts w:ascii="Arial" w:eastAsia="Calibri" w:hAnsi="Arial" w:cs="Arial"/>
          <w:sz w:val="22"/>
          <w:lang w:val="es-ES_tradnl"/>
        </w:rPr>
        <w:lastRenderedPageBreak/>
        <w:t xml:space="preserve">mismos, teniendo en cuenta la naturaleza y cuantía de los contratos.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3AD1FF02" w14:textId="77777777" w:rsidR="002072A4" w:rsidRPr="00E858D2" w:rsidRDefault="002072A4" w:rsidP="002072A4">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la norma descrita se concluía lo siguiente: i) la adopción de los documentos tipo estaba en cabeza del Gobierno Nacional. </w:t>
      </w:r>
      <w:proofErr w:type="spellStart"/>
      <w:r w:rsidRPr="00E858D2">
        <w:rPr>
          <w:rFonts w:ascii="Arial" w:eastAsia="Calibri" w:hAnsi="Arial" w:cs="Arial"/>
          <w:sz w:val="22"/>
          <w:lang w:val="es-ES_tradnl"/>
        </w:rPr>
        <w:t>ii</w:t>
      </w:r>
      <w:proofErr w:type="spellEnd"/>
      <w:r w:rsidRPr="00E858D2">
        <w:rPr>
          <w:rFonts w:ascii="Arial" w:eastAsia="Calibri" w:hAnsi="Arial" w:cs="Arial"/>
          <w:sz w:val="22"/>
          <w:lang w:val="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E858D2">
        <w:rPr>
          <w:rFonts w:ascii="Arial" w:eastAsia="Calibri" w:hAnsi="Arial" w:cs="Arial"/>
          <w:sz w:val="22"/>
          <w:lang w:val="es-ES_tradnl"/>
        </w:rPr>
        <w:t>iii</w:t>
      </w:r>
      <w:proofErr w:type="spellEnd"/>
      <w:r w:rsidRPr="00E858D2">
        <w:rPr>
          <w:rFonts w:ascii="Arial" w:eastAsia="Calibri" w:hAnsi="Arial" w:cs="Arial"/>
          <w:sz w:val="22"/>
          <w:lang w:val="es-ES_tradnl"/>
        </w:rPr>
        <w:t xml:space="preserve">) Eran de obligatorio cumplimiento por parte de todas las entidades sometidas al Estatuto General de Contratación de la Administración Pública. </w:t>
      </w:r>
      <w:proofErr w:type="spellStart"/>
      <w:r w:rsidRPr="00E858D2">
        <w:rPr>
          <w:rFonts w:ascii="Arial" w:eastAsia="Calibri" w:hAnsi="Arial" w:cs="Arial"/>
          <w:sz w:val="22"/>
          <w:lang w:val="es-ES_tradnl"/>
        </w:rPr>
        <w:t>iv</w:t>
      </w:r>
      <w:proofErr w:type="spellEnd"/>
      <w:r w:rsidRPr="00E858D2">
        <w:rPr>
          <w:rFonts w:ascii="Arial" w:eastAsia="Calibri" w:hAnsi="Arial" w:cs="Arial"/>
          <w:sz w:val="22"/>
          <w:lang w:val="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2530B1F7" w14:textId="77777777" w:rsidR="002072A4" w:rsidRPr="00E858D2" w:rsidRDefault="002072A4" w:rsidP="002072A4">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2" w:name="_Hlk48665985"/>
      <w:r w:rsidRPr="00E858D2">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2"/>
      <w:r w:rsidRPr="00E858D2">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E858D2">
        <w:rPr>
          <w:rStyle w:val="Refdenotaalpie"/>
          <w:rFonts w:ascii="Arial" w:eastAsia="Calibri" w:hAnsi="Arial" w:cs="Arial"/>
        </w:rPr>
        <w:footnoteReference w:id="4"/>
      </w:r>
      <w:r w:rsidRPr="00E858D2">
        <w:rPr>
          <w:rFonts w:ascii="Arial" w:eastAsia="Calibri" w:hAnsi="Arial" w:cs="Arial"/>
          <w:sz w:val="22"/>
          <w:lang w:val="es-ES_tradnl"/>
        </w:rPr>
        <w:t>.</w:t>
      </w:r>
    </w:p>
    <w:p w14:paraId="58281A16" w14:textId="77777777" w:rsidR="002072A4" w:rsidRPr="00E858D2" w:rsidRDefault="002072A4" w:rsidP="002072A4">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este modo, los documentos tipo no afectan la autonomía de las entidades territoriales. Lo anterior, debido a que la definición de los requisitos habilitantes y de aspectos técnicos de la escogencia del contratista en los Procesos de Contratación, son aspectos en los que el legislador tiene amplia libertad de configuración normativa y, por tanto, puede atribuir dicha regulación al Gobierno Nacional. Ahora, dicha autonomía se materializa cuando las entidades territoriales deciden iniciar una convocatoria para satisfacer sus necesidades para la adquisición de un bien, obra o servicio, y además se </w:t>
      </w:r>
      <w:r w:rsidRPr="00E858D2">
        <w:rPr>
          <w:rFonts w:ascii="Arial" w:eastAsia="Calibri" w:hAnsi="Arial" w:cs="Arial"/>
          <w:sz w:val="22"/>
          <w:lang w:val="es-ES_tradnl"/>
        </w:rPr>
        <w:lastRenderedPageBreak/>
        <w:t>incluyen en la minuta del contrato las condiciones particulares del negocio jurídico a celebrar.</w:t>
      </w:r>
    </w:p>
    <w:p w14:paraId="157D912A" w14:textId="77777777" w:rsidR="002072A4" w:rsidRPr="00E858D2" w:rsidRDefault="002072A4" w:rsidP="002072A4">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 2019, relacionado con los documentos tipo para los procesos de selección de licitación de obra pública de infraestructura de transporte. Luego se expidió el Decreto 2096 de 2019, que permitió el desarrollo de los documentos tipo para los pliegos de condiciones de los procesos de obras públicas de infraestructura de transporte que se adelantaran por la modalidad de selección abreviada de menor cuantía. </w:t>
      </w:r>
    </w:p>
    <w:p w14:paraId="0D36C390" w14:textId="77777777" w:rsidR="002072A4" w:rsidRPr="00E858D2" w:rsidRDefault="002072A4" w:rsidP="002072A4">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Finalmente, se profirió el Decreto 594 de 2020, frente a los documentos tipo para los contratos de obra pública</w:t>
      </w:r>
      <w:r w:rsidRPr="00E858D2" w:rsidDel="00A434AB">
        <w:rPr>
          <w:rFonts w:ascii="Arial" w:eastAsia="Calibri" w:hAnsi="Arial" w:cs="Arial"/>
          <w:sz w:val="22"/>
          <w:lang w:val="es-ES_tradnl"/>
        </w:rPr>
        <w:t xml:space="preserve"> </w:t>
      </w:r>
      <w:r w:rsidRPr="00E858D2">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3" w:name="_Hlk37841850"/>
      <w:r w:rsidRPr="00E858D2">
        <w:rPr>
          <w:rFonts w:ascii="Arial" w:eastAsia="Calibri" w:hAnsi="Arial" w:cs="Arial"/>
          <w:sz w:val="22"/>
          <w:lang w:val="es-ES_tradnl"/>
        </w:rPr>
        <w:t xml:space="preserve">– Colombia Compra Eficiente, </w:t>
      </w:r>
      <w:bookmarkEnd w:id="3"/>
      <w:r w:rsidRPr="00E858D2">
        <w:rPr>
          <w:rFonts w:ascii="Arial" w:eastAsia="Calibri" w:hAnsi="Arial" w:cs="Arial"/>
          <w:sz w:val="22"/>
          <w:lang w:val="es-ES_tradnl"/>
        </w:rPr>
        <w:t>por medio de la Resolución 1798 de 2019 –derogada por la Resolución 045 de 2020–, la Resolución 044 de 2020 y la Resolución 094 de 2020.</w:t>
      </w:r>
    </w:p>
    <w:p w14:paraId="08F933D9" w14:textId="77777777" w:rsidR="002072A4" w:rsidRPr="00E858D2" w:rsidRDefault="002072A4" w:rsidP="002072A4">
      <w:pPr>
        <w:pStyle w:val="Normal11pt"/>
        <w:spacing w:before="120" w:line="276" w:lineRule="auto"/>
        <w:ind w:left="0" w:firstLine="709"/>
        <w:rPr>
          <w:rFonts w:eastAsia="Calibri"/>
          <w:color w:val="auto"/>
        </w:rPr>
      </w:pPr>
      <w:r w:rsidRPr="00E858D2">
        <w:rPr>
          <w:rFonts w:eastAsia="Calibri"/>
          <w:color w:val="auto"/>
        </w:rPr>
        <w:t>Con posterioridad a la adopción de los anteriores documentos tipo, se expidió la Ley 2022 de 2020, norma que modificó el parágrafo 7 del artículo 2 de la Ley 1150 de 2007, que había sido adicionado por la Ley 1882 de 2018</w:t>
      </w:r>
      <w:r w:rsidRPr="00E858D2">
        <w:rPr>
          <w:rStyle w:val="Refdenotaalpie"/>
          <w:rFonts w:eastAsia="Calibri"/>
        </w:rPr>
        <w:footnoteReference w:id="5"/>
      </w:r>
      <w:r w:rsidRPr="00E858D2">
        <w:rPr>
          <w:rFonts w:eastAsia="Calibri"/>
          <w:color w:val="auto"/>
        </w:rPr>
        <w:t xml:space="preserve">. Con esta modificación, si bien se </w:t>
      </w:r>
      <w:r w:rsidRPr="00E858D2">
        <w:rPr>
          <w:rFonts w:eastAsia="Calibri"/>
          <w:color w:val="auto"/>
        </w:rPr>
        <w:lastRenderedPageBreak/>
        <w:t xml:space="preserve">mantuvo el mandato de aplicación obligatoria de los documentos tipo por parte de las entidades sometidas al Estatuto General de Contratación de la Administración Pública, se atribuyó, específicamente, a la </w:t>
      </w:r>
      <w:r w:rsidRPr="00E858D2">
        <w:rPr>
          <w:rFonts w:eastAsia="Calibri"/>
          <w:color w:val="auto"/>
          <w:lang w:eastAsia="en-US"/>
        </w:rPr>
        <w:t xml:space="preserve">Agencia Nacional de Contratación Pública – Colombia Compra Eficiente la competencia para su adopción. </w:t>
      </w:r>
      <w:r w:rsidRPr="00E858D2">
        <w:rPr>
          <w:rFonts w:eastAsia="Calibri"/>
          <w:color w:val="auto"/>
        </w:rPr>
        <w:t xml:space="preserve">En este marco, con la finalidad de realizar un desarrollo armónico y ajustado a la ley que otorgó esta competencia, esta Agencia emitió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w:t>
      </w:r>
    </w:p>
    <w:p w14:paraId="5B46B8B6" w14:textId="77777777" w:rsidR="002072A4" w:rsidRDefault="002072A4" w:rsidP="002072A4">
      <w:pPr>
        <w:pStyle w:val="Normal11pt"/>
        <w:spacing w:before="120" w:line="276" w:lineRule="auto"/>
        <w:ind w:left="0" w:firstLine="709"/>
        <w:rPr>
          <w:rFonts w:eastAsia="Calibri"/>
          <w:color w:val="auto"/>
        </w:rPr>
      </w:pPr>
      <w:r w:rsidRPr="00E858D2">
        <w:rPr>
          <w:rFonts w:eastAsia="Calibri"/>
          <w:color w:val="auto"/>
        </w:rPr>
        <w:t xml:space="preserve">De igual manera, se expidió la Resolución 241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432916C0" w14:textId="77777777" w:rsidR="002072A4" w:rsidRPr="00E858D2" w:rsidRDefault="002072A4" w:rsidP="002072A4">
      <w:pPr>
        <w:pStyle w:val="Normal11pt"/>
        <w:spacing w:before="120" w:line="276" w:lineRule="auto"/>
        <w:ind w:left="0" w:firstLine="709"/>
        <w:rPr>
          <w:rFonts w:eastAsia="Calibri"/>
          <w:color w:val="auto"/>
        </w:rPr>
      </w:pPr>
      <w:r w:rsidRPr="00E858D2">
        <w:rPr>
          <w:rFonts w:eastAsia="Calibri"/>
          <w:color w:val="auto"/>
        </w:rPr>
        <w:t xml:space="preserve">De igual manera, se expidió la Resolución 241 de 2020, «Por la cual se actualizan los Documentos Tipo para los procesos de selección abreviada de menor cuantía de obra pública de infraestructura de transporte y se deroga la Resolución 0044 de 2020». Adicionalmente, </w:t>
      </w:r>
      <w:proofErr w:type="gramStart"/>
      <w:r w:rsidRPr="00E858D2">
        <w:rPr>
          <w:rFonts w:eastAsia="Calibri"/>
          <w:color w:val="auto"/>
        </w:rPr>
        <w:t>entró en vigencia</w:t>
      </w:r>
      <w:proofErr w:type="gramEnd"/>
      <w:r w:rsidRPr="00E858D2">
        <w:rPr>
          <w:rFonts w:eastAsia="Calibri"/>
          <w:color w:val="auto"/>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1A5AAE87" w14:textId="77777777" w:rsidR="002072A4" w:rsidRPr="00E858D2" w:rsidRDefault="002072A4" w:rsidP="002072A4">
      <w:pPr>
        <w:pStyle w:val="Normal11pt"/>
        <w:spacing w:before="120" w:line="276" w:lineRule="auto"/>
        <w:ind w:left="0" w:firstLine="709"/>
        <w:rPr>
          <w:color w:val="auto"/>
        </w:rPr>
      </w:pPr>
      <w:r w:rsidRPr="00E858D2">
        <w:rPr>
          <w:rFonts w:eastAsia="Calibri"/>
          <w:color w:val="auto"/>
        </w:rPr>
        <w:t xml:space="preserve">A los actos administrativos mencionados se suman: i) la Resolución 193 de 2021, </w:t>
      </w:r>
      <w:r w:rsidRPr="00E858D2">
        <w:rPr>
          <w:color w:val="auto"/>
        </w:rPr>
        <w:t>«Por la cual se adoptan los documentos tipo para los procesos de selección de concurso de méritos, para contratar la consultoría de estudios de ingeniería de infraestructura de transporte»,</w:t>
      </w:r>
      <w:r w:rsidRPr="00E858D2">
        <w:rPr>
          <w:rFonts w:eastAsia="Calibri"/>
          <w:color w:val="auto"/>
        </w:rPr>
        <w:t xml:space="preserve"> </w:t>
      </w:r>
      <w:proofErr w:type="spellStart"/>
      <w:r w:rsidRPr="00E858D2">
        <w:rPr>
          <w:rFonts w:eastAsia="Calibri"/>
          <w:color w:val="auto"/>
        </w:rPr>
        <w:t>ii</w:t>
      </w:r>
      <w:proofErr w:type="spellEnd"/>
      <w:r w:rsidRPr="00E858D2">
        <w:rPr>
          <w:rFonts w:eastAsia="Calibri"/>
          <w:color w:val="auto"/>
        </w:rPr>
        <w:t>) la Resolución 219 de 2020,</w:t>
      </w:r>
      <w:r w:rsidRPr="00E858D2">
        <w:rPr>
          <w:color w:val="auto"/>
        </w:rPr>
        <w:t xml:space="preserve"> «Por la cual se adoptan los documentos tipo para los procesos de licitación de obra pública de infraestructura social», </w:t>
      </w:r>
      <w:proofErr w:type="spellStart"/>
      <w:r w:rsidRPr="00E858D2">
        <w:rPr>
          <w:color w:val="auto"/>
        </w:rPr>
        <w:t>iii</w:t>
      </w:r>
      <w:proofErr w:type="spellEnd"/>
      <w:r w:rsidRPr="00E858D2">
        <w:rPr>
          <w:color w:val="auto"/>
        </w:rPr>
        <w:t xml:space="preserve">) la Resolución 220 de 2021, «Por la cual se adoptan los documentos tipo complementarios para los procesos de licitación de obra pública de infraestructura social relacionados con el sector </w:t>
      </w:r>
      <w:r w:rsidRPr="00E858D2">
        <w:rPr>
          <w:color w:val="auto"/>
        </w:rPr>
        <w:lastRenderedPageBreak/>
        <w:t xml:space="preserve">educativo», </w:t>
      </w:r>
      <w:proofErr w:type="spellStart"/>
      <w:r w:rsidRPr="00E858D2">
        <w:rPr>
          <w:color w:val="auto"/>
        </w:rPr>
        <w:t>iv</w:t>
      </w:r>
      <w:proofErr w:type="spellEnd"/>
      <w:r w:rsidRPr="00E858D2">
        <w:rPr>
          <w:color w:val="auto"/>
        </w:rPr>
        <w:t xml:space="preserve">) la Resolución 392 de 2021, «Por la cual se adoptan los documentos tipo complementarios para los procesos de licitación de obra pública de infraestructura social relacionados con el sector salud», y v) la Resolución 454 de 2021, «Por la cual se adoptan los documentos tipo complementarios para los procesos de licitación de obra pública de infraestructura social relacionados con el sector cultura, recreación y deporte». </w:t>
      </w:r>
    </w:p>
    <w:p w14:paraId="23E61E4D" w14:textId="77777777" w:rsidR="002072A4" w:rsidRPr="00E858D2" w:rsidRDefault="002072A4" w:rsidP="002072A4">
      <w:pPr>
        <w:pStyle w:val="Normal11pt"/>
        <w:spacing w:before="120" w:after="120" w:line="276" w:lineRule="auto"/>
        <w:ind w:left="0" w:firstLine="709"/>
        <w:rPr>
          <w:color w:val="auto"/>
        </w:rPr>
      </w:pPr>
      <w:r w:rsidRPr="00E858D2">
        <w:rPr>
          <w:color w:val="auto"/>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entidad estará obligada a adelantar el proceso de contratación aplicando los documentos tipo del caso. </w:t>
      </w:r>
    </w:p>
    <w:p w14:paraId="4E253EB9" w14:textId="77777777" w:rsidR="002072A4" w:rsidRPr="00E858D2" w:rsidRDefault="002072A4" w:rsidP="002072A4">
      <w:pPr>
        <w:spacing w:line="276" w:lineRule="auto"/>
        <w:ind w:firstLine="708"/>
        <w:jc w:val="both"/>
        <w:rPr>
          <w:rFonts w:ascii="Arial" w:hAnsi="Arial" w:cs="Arial"/>
          <w:sz w:val="22"/>
          <w:shd w:val="clear" w:color="auto" w:fill="FFFFFF"/>
          <w:lang w:val="es-ES_tradnl"/>
        </w:rPr>
      </w:pPr>
      <w:r w:rsidRPr="00E858D2">
        <w:rPr>
          <w:rFonts w:ascii="Arial" w:hAnsi="Arial" w:cs="Arial"/>
          <w:sz w:val="22"/>
          <w:shd w:val="clear" w:color="auto" w:fill="FFFFFF"/>
          <w:lang w:val="es-ES_tradnl"/>
        </w:rPr>
        <w:t xml:space="preserve">Es importante advertir que todas las resoluciones mediante las que se han adoptado documentos tipo consagran la regla de la inalterabilidad. Esta prohibición consiste en que las entidades estatales no pueden incluir o modificar en los </w:t>
      </w:r>
      <w:r w:rsidRPr="00E858D2">
        <w:rPr>
          <w:rFonts w:ascii="Arial" w:hAnsi="Arial" w:cs="Arial"/>
          <w:i/>
          <w:iCs/>
          <w:sz w:val="22"/>
          <w:shd w:val="clear" w:color="auto" w:fill="FFFFFF"/>
          <w:lang w:val="es-ES_tradnl"/>
        </w:rPr>
        <w:t>Documentos del Proceso</w:t>
      </w:r>
      <w:r w:rsidRPr="00E858D2">
        <w:rPr>
          <w:rFonts w:ascii="Arial" w:hAnsi="Arial" w:cs="Arial"/>
          <w:sz w:val="22"/>
          <w:shd w:val="clear" w:color="auto" w:fill="FFFFFF"/>
          <w:lang w:val="es-ES_tradnl"/>
        </w:rPr>
        <w:t xml:space="preserve"> los requisitos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05E41561" w14:textId="77777777" w:rsidR="002072A4" w:rsidRPr="00E858D2" w:rsidRDefault="002072A4" w:rsidP="002072A4">
      <w:pPr>
        <w:pStyle w:val="Normal11pt"/>
        <w:spacing w:before="120" w:line="276" w:lineRule="auto"/>
        <w:ind w:left="0" w:firstLine="709"/>
        <w:rPr>
          <w:rFonts w:eastAsia="Calibri"/>
          <w:color w:val="auto"/>
          <w:lang w:eastAsia="en-US"/>
        </w:rPr>
      </w:pPr>
      <w:r w:rsidRPr="00E858D2">
        <w:rPr>
          <w:rFonts w:eastAsia="Calibri"/>
          <w:color w:val="auto"/>
        </w:rPr>
        <w:t>Por último, cabe aclarar que la Agencia Nacional de Contratación Pública sigue avanzando en nuevos documentos tipo. Sin embargo, debe tenerse en cuenta que estos exigen un minucioso desarrollo en el cual se consideran las observaciones de las entidades técnicas y especializadas con la finalidad de adoptar documentos tipo que contengan las mejores prácticas contractuales que procuren el adecuado desarrollo de los principios que rigen la contratación pública.</w:t>
      </w:r>
    </w:p>
    <w:p w14:paraId="1A14D95F" w14:textId="77777777" w:rsidR="002072A4" w:rsidRDefault="002072A4" w:rsidP="002072A4">
      <w:pPr>
        <w:tabs>
          <w:tab w:val="left" w:pos="0"/>
        </w:tabs>
        <w:jc w:val="both"/>
        <w:rPr>
          <w:rFonts w:ascii="Arial" w:eastAsia="Calibri" w:hAnsi="Arial" w:cs="Arial"/>
          <w:b/>
          <w:sz w:val="22"/>
          <w:lang w:val="es-ES_tradnl"/>
        </w:rPr>
      </w:pPr>
    </w:p>
    <w:p w14:paraId="2CE3CEA8" w14:textId="77777777" w:rsidR="002072A4" w:rsidRPr="00E858D2" w:rsidRDefault="002072A4" w:rsidP="002072A4">
      <w:pPr>
        <w:tabs>
          <w:tab w:val="left" w:pos="0"/>
        </w:tabs>
        <w:spacing w:line="276" w:lineRule="auto"/>
        <w:jc w:val="both"/>
        <w:rPr>
          <w:rFonts w:ascii="Arial" w:eastAsia="Calibri" w:hAnsi="Arial" w:cs="Arial"/>
          <w:b/>
          <w:sz w:val="22"/>
          <w:lang w:val="es-ES_tradnl"/>
        </w:rPr>
      </w:pPr>
      <w:r w:rsidRPr="00E858D2">
        <w:rPr>
          <w:rFonts w:ascii="Arial" w:eastAsia="Calibri" w:hAnsi="Arial" w:cs="Arial"/>
          <w:b/>
          <w:sz w:val="22"/>
          <w:lang w:val="es-ES_tradnl"/>
        </w:rPr>
        <w:t>2.</w:t>
      </w:r>
      <w:r>
        <w:rPr>
          <w:rFonts w:ascii="Arial" w:eastAsia="Calibri" w:hAnsi="Arial" w:cs="Arial"/>
          <w:b/>
          <w:sz w:val="22"/>
          <w:lang w:val="es-ES_tradnl"/>
        </w:rPr>
        <w:t>2.</w:t>
      </w:r>
      <w:r w:rsidRPr="00E858D2">
        <w:rPr>
          <w:rFonts w:ascii="Arial" w:eastAsia="Calibri" w:hAnsi="Arial" w:cs="Arial"/>
          <w:b/>
          <w:sz w:val="22"/>
          <w:lang w:val="es-ES_tradnl"/>
        </w:rPr>
        <w:t xml:space="preserve"> </w:t>
      </w:r>
      <w:bookmarkStart w:id="4" w:name="_Hlk95322387"/>
      <w:r w:rsidRPr="00E858D2">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4"/>
    <w:p w14:paraId="3A7BBEE6" w14:textId="77777777" w:rsidR="002072A4" w:rsidRPr="00E858D2" w:rsidRDefault="002072A4" w:rsidP="002072A4">
      <w:pPr>
        <w:tabs>
          <w:tab w:val="left" w:pos="0"/>
        </w:tabs>
        <w:spacing w:line="276" w:lineRule="auto"/>
        <w:jc w:val="both"/>
        <w:rPr>
          <w:rFonts w:ascii="Arial" w:eastAsia="Calibri" w:hAnsi="Arial" w:cs="Arial"/>
          <w:b/>
          <w:sz w:val="22"/>
          <w:lang w:val="es-ES_tradnl"/>
        </w:rPr>
      </w:pPr>
    </w:p>
    <w:p w14:paraId="38575C6A" w14:textId="77777777" w:rsidR="002072A4" w:rsidRPr="00E858D2" w:rsidRDefault="002072A4" w:rsidP="002072A4">
      <w:pPr>
        <w:tabs>
          <w:tab w:val="left" w:pos="0"/>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E</w:t>
      </w:r>
      <w:r w:rsidRPr="00E858D2">
        <w:rPr>
          <w:rFonts w:ascii="Arial" w:eastAsia="Calibri" w:hAnsi="Arial" w:cs="Arial"/>
          <w:bCs/>
          <w:sz w:val="22"/>
          <w:lang w:val="es-ES_tradnl"/>
        </w:rPr>
        <w:t xml:space="preserv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la Ley </w:t>
      </w:r>
      <w:r w:rsidRPr="00E858D2">
        <w:rPr>
          <w:rFonts w:ascii="Arial" w:eastAsia="Calibri" w:hAnsi="Arial" w:cs="Arial"/>
          <w:bCs/>
          <w:sz w:val="22"/>
          <w:lang w:val="es-ES_tradnl"/>
        </w:rPr>
        <w:lastRenderedPageBreak/>
        <w:t>1882 de 2018</w:t>
      </w:r>
      <w:r>
        <w:rPr>
          <w:rFonts w:ascii="Arial" w:eastAsia="Calibri" w:hAnsi="Arial" w:cs="Arial"/>
          <w:bCs/>
          <w:sz w:val="22"/>
          <w:lang w:val="es-ES_tradnl"/>
        </w:rPr>
        <w:t>,</w:t>
      </w:r>
      <w:r w:rsidRPr="00E858D2">
        <w:rPr>
          <w:rFonts w:ascii="Arial" w:eastAsia="Calibri" w:hAnsi="Arial" w:cs="Arial"/>
          <w:bCs/>
          <w:sz w:val="22"/>
          <w:lang w:val="es-ES_tradnl"/>
        </w:rPr>
        <w:t xml:space="preserve"> excluía del ámbito de aplicación de los documentos tipo la contratación de entidades estatales de régimen exceptuado, por lo general, sujetas al derecho </w:t>
      </w:r>
      <w:r>
        <w:rPr>
          <w:rFonts w:ascii="Arial" w:eastAsia="Calibri" w:hAnsi="Arial" w:cs="Arial"/>
          <w:bCs/>
          <w:sz w:val="22"/>
          <w:lang w:val="es-ES_tradnl"/>
        </w:rPr>
        <w:t>civil y comercial</w:t>
      </w:r>
      <w:r w:rsidRPr="00E858D2">
        <w:rPr>
          <w:rFonts w:ascii="Arial" w:eastAsia="Calibri" w:hAnsi="Arial" w:cs="Arial"/>
          <w:bCs/>
          <w:sz w:val="22"/>
          <w:lang w:val="es-ES_tradnl"/>
        </w:rPr>
        <w:t xml:space="preserve">. </w:t>
      </w:r>
    </w:p>
    <w:p w14:paraId="0A8126B4" w14:textId="77777777" w:rsidR="002072A4" w:rsidRPr="00E858D2" w:rsidRDefault="002072A4" w:rsidP="002072A4">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sz w:val="22"/>
          <w:lang w:val="es-ES_tradnl"/>
        </w:rPr>
        <w:tab/>
      </w:r>
      <w:r w:rsidRPr="00E858D2">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17B672DA" w14:textId="77777777" w:rsidR="002072A4" w:rsidRPr="00E858D2" w:rsidRDefault="002072A4" w:rsidP="002072A4">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Entre las medidas adoptadas por la Ley mencionada se destaca el artículo 56</w:t>
      </w:r>
      <w:r>
        <w:rPr>
          <w:rFonts w:ascii="Arial" w:eastAsia="Calibri" w:hAnsi="Arial" w:cs="Arial"/>
          <w:bCs/>
          <w:sz w:val="22"/>
          <w:lang w:val="es-ES_tradnl"/>
        </w:rPr>
        <w:t>,</w:t>
      </w:r>
      <w:r w:rsidRPr="00E858D2">
        <w:rPr>
          <w:rFonts w:ascii="Arial" w:eastAsia="Calibri" w:hAnsi="Arial" w:cs="Arial"/>
          <w:bCs/>
          <w:sz w:val="22"/>
          <w:lang w:val="es-ES_tradnl"/>
        </w:rPr>
        <w:t xml:space="preserve"> disposición </w:t>
      </w:r>
      <w:r>
        <w:rPr>
          <w:rFonts w:ascii="Arial" w:eastAsia="Calibri" w:hAnsi="Arial" w:cs="Arial"/>
          <w:bCs/>
          <w:sz w:val="22"/>
          <w:lang w:val="es-ES_tradnl"/>
        </w:rPr>
        <w:t xml:space="preserve">que </w:t>
      </w:r>
      <w:r w:rsidRPr="00E858D2">
        <w:rPr>
          <w:rFonts w:ascii="Arial" w:eastAsia="Calibri" w:hAnsi="Arial" w:cs="Arial"/>
          <w:bCs/>
          <w:sz w:val="22"/>
          <w:lang w:val="es-ES_tradnl"/>
        </w:rPr>
        <w:t xml:space="preserve">se refiere de manera expresa a los documentos tipo y a su aplicabilidad a sujetos diferentes de las entidades estatales sometidas al Estatuto General de Contratación de la Administración Pública. El tenor literal de este precepto </w:t>
      </w:r>
      <w:r>
        <w:rPr>
          <w:rFonts w:ascii="Arial" w:eastAsia="Calibri" w:hAnsi="Arial" w:cs="Arial"/>
          <w:bCs/>
          <w:sz w:val="22"/>
          <w:lang w:val="es-ES_tradnl"/>
        </w:rPr>
        <w:t>dispone</w:t>
      </w:r>
      <w:r w:rsidRPr="00E858D2">
        <w:rPr>
          <w:rFonts w:ascii="Arial" w:eastAsia="Calibri" w:hAnsi="Arial" w:cs="Arial"/>
          <w:bCs/>
          <w:sz w:val="22"/>
          <w:lang w:val="es-ES_tradnl"/>
        </w:rPr>
        <w:t xml:space="preserve"> lo siguiente:</w:t>
      </w:r>
    </w:p>
    <w:p w14:paraId="4D60D628" w14:textId="77777777" w:rsidR="002072A4" w:rsidRPr="00E858D2" w:rsidRDefault="002072A4" w:rsidP="002072A4">
      <w:pPr>
        <w:tabs>
          <w:tab w:val="left" w:pos="0"/>
        </w:tabs>
        <w:spacing w:line="276" w:lineRule="auto"/>
        <w:jc w:val="both"/>
        <w:rPr>
          <w:rFonts w:ascii="Arial" w:eastAsia="Calibri" w:hAnsi="Arial" w:cs="Arial"/>
          <w:bCs/>
          <w:sz w:val="22"/>
          <w:lang w:val="es-ES_tradnl"/>
        </w:rPr>
      </w:pPr>
    </w:p>
    <w:p w14:paraId="1704A8E1" w14:textId="77777777" w:rsidR="002072A4" w:rsidRPr="00E858D2" w:rsidRDefault="002072A4" w:rsidP="002072A4">
      <w:pPr>
        <w:tabs>
          <w:tab w:val="left" w:pos="0"/>
        </w:tabs>
        <w:spacing w:after="120"/>
        <w:ind w:left="709" w:right="709"/>
        <w:jc w:val="both"/>
        <w:rPr>
          <w:rFonts w:ascii="Arial" w:hAnsi="Arial" w:cs="Arial"/>
          <w:sz w:val="21"/>
          <w:szCs w:val="21"/>
          <w:lang w:val="es-ES_tradnl"/>
        </w:rPr>
      </w:pPr>
      <w:r w:rsidRPr="00C75E02">
        <w:rPr>
          <w:rFonts w:ascii="Arial" w:hAnsi="Arial" w:cs="Arial"/>
          <w:sz w:val="21"/>
          <w:szCs w:val="21"/>
          <w:lang w:val="es-ES_tradnl"/>
        </w:rPr>
        <w:t>«</w:t>
      </w:r>
      <w:r w:rsidRPr="00E858D2">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28CF8C3E" w14:textId="77777777" w:rsidR="002072A4" w:rsidRPr="00E858D2" w:rsidRDefault="002072A4" w:rsidP="002072A4">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3D43EB75" w14:textId="77777777" w:rsidR="002072A4" w:rsidRPr="00E858D2" w:rsidRDefault="002072A4" w:rsidP="002072A4">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FC3C59">
        <w:rPr>
          <w:rFonts w:ascii="Arial" w:hAnsi="Arial" w:cs="Arial"/>
          <w:sz w:val="21"/>
          <w:szCs w:val="21"/>
          <w:lang w:val="es-ES_tradnl"/>
        </w:rPr>
        <w:t>giro ordinario</w:t>
      </w:r>
      <w:r w:rsidRPr="004E48D9">
        <w:rPr>
          <w:rFonts w:ascii="Arial" w:hAnsi="Arial" w:cs="Arial"/>
          <w:sz w:val="21"/>
          <w:szCs w:val="21"/>
          <w:lang w:val="es-ES_tradnl"/>
        </w:rPr>
        <w:t xml:space="preserve">. </w:t>
      </w:r>
      <w:r w:rsidRPr="00E858D2">
        <w:rPr>
          <w:rFonts w:ascii="Arial" w:hAnsi="Arial" w:cs="Arial"/>
          <w:sz w:val="21"/>
          <w:szCs w:val="21"/>
          <w:lang w:val="es-ES_tradnl"/>
        </w:rPr>
        <w:t>En estos casos, en los manuales de contratación de estas entidades, se fomentará como buena práctica la aplicación de los pliegos tipo.</w:t>
      </w:r>
      <w:r w:rsidRPr="00422EC2">
        <w:rPr>
          <w:rFonts w:ascii="Arial" w:eastAsia="Calibri" w:hAnsi="Arial" w:cs="Arial"/>
          <w:color w:val="000000" w:themeColor="text1"/>
          <w:sz w:val="21"/>
          <w:szCs w:val="21"/>
          <w:lang w:val="es-ES"/>
        </w:rPr>
        <w:t>»</w:t>
      </w:r>
    </w:p>
    <w:p w14:paraId="71ACC589" w14:textId="77777777" w:rsidR="002072A4" w:rsidRPr="00E858D2" w:rsidRDefault="002072A4" w:rsidP="002072A4">
      <w:pPr>
        <w:tabs>
          <w:tab w:val="left" w:pos="0"/>
        </w:tabs>
        <w:spacing w:line="276" w:lineRule="auto"/>
        <w:jc w:val="both"/>
        <w:rPr>
          <w:rFonts w:ascii="Arial" w:eastAsia="Calibri" w:hAnsi="Arial" w:cs="Arial"/>
          <w:bCs/>
          <w:sz w:val="22"/>
          <w:lang w:val="es-ES_tradnl"/>
        </w:rPr>
      </w:pPr>
    </w:p>
    <w:p w14:paraId="0C231767" w14:textId="77777777" w:rsidR="002072A4" w:rsidRPr="00E858D2" w:rsidRDefault="002072A4" w:rsidP="002072A4">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Las implicaciones de lo establecido en esta norma son variadas y se presentan en múltiples ámbitos de la actividad contractual de las entidades estatales, </w:t>
      </w:r>
      <w:proofErr w:type="gramStart"/>
      <w:r w:rsidRPr="00E858D2">
        <w:rPr>
          <w:rFonts w:ascii="Arial" w:eastAsia="Calibri" w:hAnsi="Arial" w:cs="Arial"/>
          <w:bCs/>
          <w:sz w:val="22"/>
          <w:lang w:val="es-ES_tradnl"/>
        </w:rPr>
        <w:t>que</w:t>
      </w:r>
      <w:proofErr w:type="gramEnd"/>
      <w:r w:rsidRPr="00E858D2">
        <w:rPr>
          <w:rFonts w:ascii="Arial" w:eastAsia="Calibri" w:hAnsi="Arial" w:cs="Arial"/>
          <w:bCs/>
          <w:sz w:val="22"/>
          <w:lang w:val="es-ES_tradnl"/>
        </w:rPr>
        <w:t xml:space="preserve"> como consecuencia de la entrada en vigor de la disposición en cita, ven alterado su régimen jurídico. Es por esto por lo que una interpretación adecuada de esta disposición, orientada a establecer con precisión el alcance de sus efectos, exige detenerse sobre ciertos </w:t>
      </w:r>
      <w:r w:rsidRPr="00E858D2">
        <w:rPr>
          <w:rFonts w:ascii="Arial" w:eastAsia="Calibri" w:hAnsi="Arial" w:cs="Arial"/>
          <w:bCs/>
          <w:sz w:val="22"/>
          <w:lang w:val="es-ES_tradnl"/>
        </w:rPr>
        <w:lastRenderedPageBreak/>
        <w:t xml:space="preserve">aspectos que, a juicio de esta Agencia, resulta indispensable analizar para la comprensión de la norma materia de consulta, los cuales se desarrollan a continuación.    </w:t>
      </w:r>
    </w:p>
    <w:p w14:paraId="39457CFF" w14:textId="77777777" w:rsidR="002072A4" w:rsidRPr="00E858D2" w:rsidRDefault="002072A4" w:rsidP="002072A4">
      <w:pPr>
        <w:tabs>
          <w:tab w:val="left" w:pos="0"/>
        </w:tabs>
        <w:jc w:val="both"/>
        <w:rPr>
          <w:rFonts w:ascii="Arial" w:eastAsia="Calibri" w:hAnsi="Arial" w:cs="Arial"/>
          <w:b/>
          <w:sz w:val="22"/>
          <w:lang w:val="es-ES_tradnl"/>
        </w:rPr>
      </w:pPr>
    </w:p>
    <w:p w14:paraId="39D90D6A" w14:textId="77777777" w:rsidR="002072A4" w:rsidRDefault="002072A4" w:rsidP="002072A4">
      <w:pPr>
        <w:tabs>
          <w:tab w:val="left" w:pos="426"/>
        </w:tabs>
        <w:spacing w:line="276" w:lineRule="auto"/>
        <w:jc w:val="both"/>
        <w:rPr>
          <w:rFonts w:ascii="Arial" w:eastAsia="Calibri" w:hAnsi="Arial" w:cs="Arial"/>
          <w:b/>
          <w:sz w:val="22"/>
          <w:lang w:val="es-ES_tradnl"/>
        </w:rPr>
      </w:pPr>
      <w:r>
        <w:rPr>
          <w:rFonts w:ascii="Arial" w:eastAsia="Calibri" w:hAnsi="Arial" w:cs="Arial"/>
          <w:b/>
          <w:i/>
          <w:iCs/>
          <w:sz w:val="22"/>
          <w:lang w:val="es-ES_tradnl"/>
        </w:rPr>
        <w:tab/>
      </w:r>
      <w:r>
        <w:rPr>
          <w:rFonts w:ascii="Arial" w:eastAsia="Calibri" w:hAnsi="Arial" w:cs="Arial"/>
          <w:b/>
          <w:i/>
          <w:iCs/>
          <w:sz w:val="22"/>
          <w:lang w:val="es-ES_tradnl"/>
        </w:rPr>
        <w:tab/>
      </w:r>
      <w:r w:rsidRPr="00F867D5">
        <w:rPr>
          <w:rFonts w:ascii="Arial" w:eastAsia="Calibri" w:hAnsi="Arial" w:cs="Arial"/>
          <w:b/>
          <w:i/>
          <w:iCs/>
          <w:sz w:val="22"/>
          <w:lang w:val="es-ES_tradnl"/>
        </w:rPr>
        <w:t>2.</w:t>
      </w:r>
      <w:r>
        <w:rPr>
          <w:rFonts w:ascii="Arial" w:eastAsia="Calibri" w:hAnsi="Arial" w:cs="Arial"/>
          <w:b/>
          <w:i/>
          <w:iCs/>
          <w:sz w:val="22"/>
          <w:lang w:val="es-ES_tradnl"/>
        </w:rPr>
        <w:t>2</w:t>
      </w:r>
      <w:r w:rsidRPr="00F867D5">
        <w:rPr>
          <w:rFonts w:ascii="Arial" w:eastAsia="Calibri" w:hAnsi="Arial" w:cs="Arial"/>
          <w:b/>
          <w:i/>
          <w:iCs/>
          <w:sz w:val="22"/>
          <w:lang w:val="es-ES_tradnl"/>
        </w:rPr>
        <w:t>.1.</w:t>
      </w:r>
      <w:r w:rsidRPr="00E858D2">
        <w:rPr>
          <w:rFonts w:ascii="Arial" w:eastAsia="Calibri" w:hAnsi="Arial" w:cs="Arial"/>
          <w:b/>
          <w:i/>
          <w:iCs/>
          <w:sz w:val="22"/>
          <w:lang w:val="es-ES_tradnl"/>
        </w:rPr>
        <w:t xml:space="preserve"> </w:t>
      </w:r>
      <w:r w:rsidRPr="00E858D2">
        <w:rPr>
          <w:rFonts w:ascii="Arial" w:eastAsia="Calibri" w:hAnsi="Arial" w:cs="Arial"/>
          <w:b/>
          <w:sz w:val="22"/>
          <w:lang w:val="es-ES_tradnl"/>
        </w:rPr>
        <w:t>Ámbito de aplicación y finalidad de la norma</w:t>
      </w:r>
    </w:p>
    <w:p w14:paraId="56E47FFC" w14:textId="77777777" w:rsidR="002072A4" w:rsidRPr="00F0096D" w:rsidRDefault="002072A4" w:rsidP="002072A4">
      <w:pPr>
        <w:tabs>
          <w:tab w:val="left" w:pos="426"/>
        </w:tabs>
        <w:ind w:left="709"/>
        <w:jc w:val="both"/>
        <w:rPr>
          <w:rFonts w:ascii="Arial" w:eastAsia="Calibri" w:hAnsi="Arial" w:cs="Arial"/>
          <w:bCs/>
          <w:sz w:val="22"/>
          <w:lang w:val="es-ES_tradnl"/>
        </w:rPr>
      </w:pPr>
    </w:p>
    <w:p w14:paraId="170ED6A4" w14:textId="77777777" w:rsidR="002072A4" w:rsidRPr="00E858D2" w:rsidRDefault="002072A4" w:rsidP="002072A4">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2F4D213A" w14:textId="77777777" w:rsidR="002072A4" w:rsidRPr="00E858D2" w:rsidRDefault="002072A4" w:rsidP="002072A4">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3D008B22" w14:textId="77777777" w:rsidR="002072A4" w:rsidRPr="00E858D2" w:rsidRDefault="002072A4" w:rsidP="002072A4">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Antes de la expedición del artículo 56 </w:t>
      </w:r>
      <w:proofErr w:type="spellStart"/>
      <w:r w:rsidRPr="00E858D2">
        <w:rPr>
          <w:rFonts w:ascii="Arial" w:eastAsia="Calibri" w:hAnsi="Arial" w:cs="Arial"/>
          <w:bCs/>
          <w:i/>
          <w:iCs/>
          <w:sz w:val="22"/>
          <w:lang w:val="es-ES_tradnl"/>
        </w:rPr>
        <w:t>ibídem</w:t>
      </w:r>
      <w:proofErr w:type="spellEnd"/>
      <w:r>
        <w:rPr>
          <w:rFonts w:ascii="Arial" w:eastAsia="Calibri" w:hAnsi="Arial" w:cs="Arial"/>
          <w:bCs/>
          <w:i/>
          <w:iCs/>
          <w:sz w:val="22"/>
          <w:lang w:val="es-ES_tradnl"/>
        </w:rPr>
        <w:t>,</w:t>
      </w:r>
      <w:r w:rsidRPr="00E858D2">
        <w:rPr>
          <w:rFonts w:ascii="Arial" w:eastAsia="Calibri" w:hAnsi="Arial" w:cs="Arial"/>
          <w:bCs/>
          <w:sz w:val="22"/>
          <w:lang w:val="es-ES_tradnl"/>
        </w:rPr>
        <w:t xml:space="preserve"> la Ley 2022 de 2020 ya había establecido el mandato de aplicación obligatoria de los documentos tipo, atribuyendo a esta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w:t>
      </w:r>
      <w:r>
        <w:rPr>
          <w:rFonts w:ascii="Arial" w:eastAsia="Calibri" w:hAnsi="Arial" w:cs="Arial"/>
          <w:bCs/>
          <w:sz w:val="22"/>
          <w:lang w:val="es-ES_tradnl"/>
        </w:rPr>
        <w:t>0</w:t>
      </w:r>
      <w:r w:rsidRPr="00E858D2">
        <w:rPr>
          <w:rFonts w:ascii="Arial" w:eastAsia="Calibri" w:hAnsi="Arial" w:cs="Arial"/>
          <w:bCs/>
          <w:sz w:val="22"/>
          <w:lang w:val="es-ES_tradnl"/>
        </w:rPr>
        <w:t xml:space="preserve">, incluso tratándose de obras o servicios para cuya contratación hubieren documentos tipo vigentes, </w:t>
      </w:r>
      <w:r>
        <w:rPr>
          <w:rFonts w:ascii="Arial" w:eastAsia="Calibri" w:hAnsi="Arial" w:cs="Arial"/>
          <w:bCs/>
          <w:sz w:val="22"/>
          <w:lang w:val="es-ES_tradnl"/>
        </w:rPr>
        <w:t>dado</w:t>
      </w:r>
      <w:r w:rsidRPr="00E858D2">
        <w:rPr>
          <w:rFonts w:ascii="Arial" w:eastAsia="Calibri" w:hAnsi="Arial" w:cs="Arial"/>
          <w:bCs/>
          <w:sz w:val="22"/>
          <w:lang w:val="es-ES_tradnl"/>
        </w:rPr>
        <w:t xml:space="preserve"> que la aplicación de estos solo era procedente cuando el régimen de la entidad contratante </w:t>
      </w:r>
      <w:r>
        <w:rPr>
          <w:rFonts w:ascii="Arial" w:eastAsia="Calibri" w:hAnsi="Arial" w:cs="Arial"/>
          <w:bCs/>
          <w:sz w:val="22"/>
          <w:lang w:val="es-ES_tradnl"/>
        </w:rPr>
        <w:t>fuera</w:t>
      </w:r>
      <w:r w:rsidRPr="00E858D2">
        <w:rPr>
          <w:rFonts w:ascii="Arial" w:eastAsia="Calibri" w:hAnsi="Arial" w:cs="Arial"/>
          <w:bCs/>
          <w:sz w:val="22"/>
          <w:lang w:val="es-ES_tradnl"/>
        </w:rPr>
        <w:t xml:space="preserve"> el EGCAP, toda vez que el parágrafo 7 del artículo 2 de la Ley 1150 de 2007 solo se refiere a la obligación de aplicar los documentos tipo en los Procesos de Contratación que adelanten las entidades sometidas al EGCAP. </w:t>
      </w:r>
    </w:p>
    <w:p w14:paraId="58E661C1" w14:textId="77777777" w:rsidR="002072A4" w:rsidRPr="00E858D2" w:rsidRDefault="002072A4" w:rsidP="002072A4">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Por tanto, la norma, por el hecho de estar dirigida únicamente a las entidades sometidas a la Ley 80 de 1993 y la Ley 1150 de 2007, solo permitía que los documentos </w:t>
      </w:r>
      <w:r w:rsidRPr="00E858D2">
        <w:rPr>
          <w:rFonts w:ascii="Arial" w:eastAsia="Calibri" w:hAnsi="Arial" w:cs="Arial"/>
          <w:bCs/>
          <w:sz w:val="22"/>
          <w:lang w:val="es-ES_tradnl"/>
        </w:rPr>
        <w:lastRenderedPageBreak/>
        <w:t>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1941111E" w14:textId="77777777" w:rsidR="002072A4" w:rsidRPr="00E858D2" w:rsidRDefault="002072A4" w:rsidP="002072A4">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w:t>
      </w:r>
      <w:proofErr w:type="spellStart"/>
      <w:r w:rsidRPr="00E858D2">
        <w:rPr>
          <w:rFonts w:ascii="Arial" w:eastAsia="Calibri" w:hAnsi="Arial" w:cs="Arial"/>
          <w:bCs/>
          <w:sz w:val="22"/>
          <w:lang w:val="es-ES_tradnl"/>
        </w:rPr>
        <w:t>ii</w:t>
      </w:r>
      <w:proofErr w:type="spellEnd"/>
      <w:r w:rsidRPr="00E858D2">
        <w:rPr>
          <w:rFonts w:ascii="Arial" w:eastAsia="Calibri" w:hAnsi="Arial" w:cs="Arial"/>
          <w:bCs/>
          <w:sz w:val="22"/>
          <w:lang w:val="es-ES_tradnl"/>
        </w:rPr>
        <w:t xml:space="preserve">) patrimonios autónomos o </w:t>
      </w:r>
      <w:proofErr w:type="spellStart"/>
      <w:r w:rsidRPr="00E858D2">
        <w:rPr>
          <w:rFonts w:ascii="Arial" w:eastAsia="Calibri" w:hAnsi="Arial" w:cs="Arial"/>
          <w:bCs/>
          <w:sz w:val="22"/>
          <w:lang w:val="es-ES_tradnl"/>
        </w:rPr>
        <w:t>iii</w:t>
      </w:r>
      <w:proofErr w:type="spellEnd"/>
      <w:r w:rsidRPr="00E858D2">
        <w:rPr>
          <w:rFonts w:ascii="Arial" w:eastAsia="Calibri" w:hAnsi="Arial" w:cs="Arial"/>
          <w:bCs/>
          <w:sz w:val="22"/>
          <w:lang w:val="es-ES_tradnl"/>
        </w:rPr>
        <w:t xml:space="preserve">)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703A63DE" w14:textId="77777777" w:rsidR="002072A4" w:rsidRPr="00E858D2" w:rsidRDefault="002072A4" w:rsidP="002072A4">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w:t>
      </w:r>
      <w:r>
        <w:rPr>
          <w:rFonts w:ascii="Arial" w:eastAsia="Calibri" w:hAnsi="Arial" w:cs="Arial"/>
          <w:bCs/>
          <w:sz w:val="22"/>
          <w:lang w:val="es-ES_tradnl"/>
        </w:rPr>
        <w:t>dado</w:t>
      </w:r>
      <w:r w:rsidRPr="00E858D2">
        <w:rPr>
          <w:rFonts w:ascii="Arial" w:eastAsia="Calibri" w:hAnsi="Arial" w:cs="Arial"/>
          <w:bCs/>
          <w:sz w:val="22"/>
          <w:lang w:val="es-ES_tradnl"/>
        </w:rPr>
        <w:t xml:space="preserve"> que, </w:t>
      </w:r>
      <w:r>
        <w:rPr>
          <w:rFonts w:ascii="Arial" w:eastAsia="Calibri" w:hAnsi="Arial" w:cs="Arial"/>
          <w:bCs/>
          <w:sz w:val="22"/>
          <w:lang w:val="es-ES_tradnl"/>
        </w:rPr>
        <w:t>a las ideas precedentes se</w:t>
      </w:r>
      <w:r w:rsidRPr="00E858D2">
        <w:rPr>
          <w:rFonts w:ascii="Arial" w:eastAsia="Calibri" w:hAnsi="Arial" w:cs="Arial"/>
          <w:bCs/>
          <w:sz w:val="22"/>
          <w:lang w:val="es-ES_tradnl"/>
        </w:rPr>
        <w:t xml:space="preserv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0B162FCA" w14:textId="77777777" w:rsidR="002072A4" w:rsidRPr="00E858D2" w:rsidRDefault="002072A4" w:rsidP="002072A4">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w:t>
      </w:r>
      <w:r w:rsidRPr="00397E5B">
        <w:rPr>
          <w:rFonts w:ascii="Arial" w:eastAsia="Calibri" w:hAnsi="Arial" w:cs="Arial"/>
          <w:bCs/>
          <w:sz w:val="22"/>
          <w:lang w:val="es-ES_tradnl"/>
        </w:rPr>
        <w:t xml:space="preserve">Esto significa que, ya sea una entidad estatal de régimen especial, un patrimonio autónomo o una persona natural o jurídica de derecho privado, en virtud de lo dispuesto en los incisos primero y segundo del artículo 56 </w:t>
      </w:r>
      <w:proofErr w:type="spellStart"/>
      <w:r w:rsidRPr="00397E5B">
        <w:rPr>
          <w:rFonts w:ascii="Arial" w:eastAsia="Calibri" w:hAnsi="Arial" w:cs="Arial"/>
          <w:bCs/>
          <w:i/>
          <w:iCs/>
          <w:sz w:val="22"/>
          <w:lang w:val="es-ES_tradnl"/>
        </w:rPr>
        <w:t>ejusdem</w:t>
      </w:r>
      <w:proofErr w:type="spellEnd"/>
      <w:r w:rsidRPr="00397E5B">
        <w:rPr>
          <w:rFonts w:ascii="Arial" w:eastAsia="Calibri" w:hAnsi="Arial" w:cs="Arial"/>
          <w:bCs/>
          <w:i/>
          <w:iCs/>
          <w:sz w:val="22"/>
          <w:lang w:val="es-ES_tradnl"/>
        </w:rPr>
        <w:t xml:space="preserve">, </w:t>
      </w:r>
      <w:r w:rsidRPr="00397E5B">
        <w:rPr>
          <w:rFonts w:ascii="Arial" w:eastAsia="Calibri" w:hAnsi="Arial" w:cs="Arial"/>
          <w:bCs/>
          <w:sz w:val="22"/>
          <w:lang w:val="es-ES_tradnl"/>
        </w:rPr>
        <w:t>si,</w:t>
      </w:r>
      <w:r w:rsidRPr="00397E5B">
        <w:rPr>
          <w:rFonts w:ascii="Arial" w:eastAsia="Calibri" w:hAnsi="Arial" w:cs="Arial"/>
          <w:bCs/>
          <w:i/>
          <w:iCs/>
          <w:sz w:val="22"/>
          <w:lang w:val="es-ES_tradnl"/>
        </w:rPr>
        <w:t xml:space="preserve"> </w:t>
      </w:r>
      <w:r w:rsidRPr="00397E5B">
        <w:rPr>
          <w:rFonts w:ascii="Arial" w:eastAsia="Calibri" w:hAnsi="Arial" w:cs="Arial"/>
          <w:bCs/>
          <w:sz w:val="22"/>
          <w:lang w:val="es-ES_tradnl"/>
        </w:rPr>
        <w:t>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w:t>
      </w:r>
      <w:r w:rsidRPr="00E858D2">
        <w:rPr>
          <w:rFonts w:ascii="Arial" w:eastAsia="Calibri" w:hAnsi="Arial" w:cs="Arial"/>
          <w:bCs/>
          <w:sz w:val="22"/>
          <w:lang w:val="es-ES_tradnl"/>
        </w:rPr>
        <w:t xml:space="preserve"> </w:t>
      </w:r>
    </w:p>
    <w:p w14:paraId="6D3420D6" w14:textId="77777777" w:rsidR="002072A4" w:rsidRDefault="002072A4" w:rsidP="002072A4">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lastRenderedPageBreak/>
        <w:tab/>
        <w:t xml:space="preserve">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 </w:t>
      </w:r>
    </w:p>
    <w:p w14:paraId="03DCA463" w14:textId="77777777" w:rsidR="002072A4" w:rsidRPr="00E858D2" w:rsidRDefault="002072A4" w:rsidP="002072A4">
      <w:pPr>
        <w:tabs>
          <w:tab w:val="left" w:pos="0"/>
        </w:tabs>
        <w:jc w:val="both"/>
        <w:rPr>
          <w:rFonts w:ascii="Arial" w:eastAsia="Calibri" w:hAnsi="Arial" w:cs="Arial"/>
          <w:bCs/>
          <w:sz w:val="22"/>
          <w:lang w:val="es-ES_tradnl"/>
        </w:rPr>
      </w:pPr>
    </w:p>
    <w:p w14:paraId="429B1A25" w14:textId="77777777" w:rsidR="002072A4" w:rsidRPr="00E858D2" w:rsidRDefault="002072A4" w:rsidP="002072A4">
      <w:pPr>
        <w:tabs>
          <w:tab w:val="left" w:pos="0"/>
        </w:tabs>
        <w:ind w:left="709" w:right="709"/>
        <w:jc w:val="both"/>
        <w:rPr>
          <w:rFonts w:ascii="Arial" w:eastAsia="Calibri" w:hAnsi="Arial" w:cs="Arial"/>
          <w:bCs/>
          <w:sz w:val="21"/>
          <w:szCs w:val="21"/>
          <w:lang w:val="es-ES_tradnl"/>
        </w:rPr>
      </w:pPr>
      <w:r w:rsidRPr="00D77CBA">
        <w:rPr>
          <w:rFonts w:ascii="Arial" w:eastAsia="Calibri" w:hAnsi="Arial" w:cs="Arial"/>
          <w:color w:val="000000" w:themeColor="text1"/>
          <w:sz w:val="21"/>
          <w:szCs w:val="21"/>
          <w:lang w:val="es-ES"/>
        </w:rPr>
        <w:t>«</w:t>
      </w:r>
      <w:r w:rsidRPr="00E858D2">
        <w:rPr>
          <w:rFonts w:ascii="Arial" w:eastAsia="Calibri" w:hAnsi="Arial" w:cs="Arial"/>
          <w:bCs/>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E858D2">
        <w:rPr>
          <w:rStyle w:val="Refdenotaalpie"/>
          <w:rFonts w:ascii="Arial" w:eastAsia="Calibri" w:hAnsi="Arial" w:cs="Arial"/>
          <w:sz w:val="21"/>
          <w:szCs w:val="21"/>
        </w:rPr>
        <w:footnoteReference w:id="6"/>
      </w:r>
      <w:r w:rsidRPr="00E858D2">
        <w:rPr>
          <w:rFonts w:ascii="Arial" w:eastAsia="Calibri" w:hAnsi="Arial" w:cs="Arial"/>
          <w:bCs/>
          <w:sz w:val="21"/>
          <w:szCs w:val="21"/>
          <w:lang w:val="es-ES_tradnl"/>
        </w:rPr>
        <w:t>.</w:t>
      </w:r>
      <w:r w:rsidRPr="00422EC2">
        <w:rPr>
          <w:rFonts w:ascii="Arial" w:eastAsia="Calibri" w:hAnsi="Arial" w:cs="Arial"/>
          <w:color w:val="000000" w:themeColor="text1"/>
          <w:sz w:val="21"/>
          <w:szCs w:val="21"/>
          <w:lang w:val="es-ES"/>
        </w:rPr>
        <w:t>»</w:t>
      </w:r>
      <w:r w:rsidRPr="00E858D2">
        <w:rPr>
          <w:rFonts w:ascii="Arial" w:eastAsia="Calibri" w:hAnsi="Arial" w:cs="Arial"/>
          <w:bCs/>
          <w:sz w:val="21"/>
          <w:szCs w:val="21"/>
          <w:lang w:val="es-ES_tradnl"/>
        </w:rPr>
        <w:t xml:space="preserve"> </w:t>
      </w:r>
    </w:p>
    <w:p w14:paraId="5346CF69" w14:textId="77777777" w:rsidR="002072A4" w:rsidRPr="00E858D2" w:rsidRDefault="002072A4" w:rsidP="002072A4">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 </w:t>
      </w:r>
    </w:p>
    <w:p w14:paraId="5E8FE468" w14:textId="77777777" w:rsidR="002072A4" w:rsidRPr="00E858D2" w:rsidRDefault="002072A4" w:rsidP="002072A4">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lo anterior se desprende que el propósito del legislador con la expedición de la norma objeto, como se ha explicado, es que las entidades estatales que tienen como régimen principal 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en el sector en el que se adelanta la contratación.  </w:t>
      </w:r>
    </w:p>
    <w:p w14:paraId="513A4DE2" w14:textId="77777777" w:rsidR="002072A4" w:rsidRPr="00E858D2" w:rsidRDefault="002072A4" w:rsidP="002072A4">
      <w:pPr>
        <w:tabs>
          <w:tab w:val="left" w:pos="0"/>
        </w:tabs>
        <w:spacing w:line="276" w:lineRule="auto"/>
        <w:jc w:val="both"/>
        <w:rPr>
          <w:rFonts w:ascii="Arial" w:eastAsia="Calibri" w:hAnsi="Arial" w:cs="Arial"/>
          <w:bCs/>
          <w:sz w:val="22"/>
          <w:lang w:val="es-ES_tradnl"/>
        </w:rPr>
      </w:pPr>
    </w:p>
    <w:p w14:paraId="44CACAB7" w14:textId="77777777" w:rsidR="002072A4" w:rsidRPr="00E858D2" w:rsidRDefault="002072A4" w:rsidP="002072A4">
      <w:pPr>
        <w:tabs>
          <w:tab w:val="left" w:pos="0"/>
        </w:tabs>
        <w:spacing w:line="276" w:lineRule="auto"/>
        <w:jc w:val="both"/>
        <w:rPr>
          <w:rFonts w:ascii="Arial" w:eastAsia="Calibri" w:hAnsi="Arial" w:cs="Arial"/>
          <w:bCs/>
          <w:sz w:val="22"/>
          <w:lang w:val="es-ES_tradnl"/>
        </w:rPr>
      </w:pPr>
      <w:r>
        <w:rPr>
          <w:rFonts w:ascii="Arial" w:eastAsia="Calibri" w:hAnsi="Arial" w:cs="Arial"/>
          <w:b/>
          <w:i/>
          <w:iCs/>
          <w:sz w:val="22"/>
          <w:lang w:val="es-ES_tradnl"/>
        </w:rPr>
        <w:tab/>
      </w:r>
      <w:r w:rsidRPr="00F867D5">
        <w:rPr>
          <w:rFonts w:ascii="Arial" w:eastAsia="Calibri" w:hAnsi="Arial" w:cs="Arial"/>
          <w:b/>
          <w:i/>
          <w:iCs/>
          <w:sz w:val="22"/>
          <w:lang w:val="es-ES_tradnl"/>
        </w:rPr>
        <w:t>2.</w:t>
      </w:r>
      <w:r>
        <w:rPr>
          <w:rFonts w:ascii="Arial" w:eastAsia="Calibri" w:hAnsi="Arial" w:cs="Arial"/>
          <w:b/>
          <w:i/>
          <w:iCs/>
          <w:sz w:val="22"/>
          <w:lang w:val="es-ES_tradnl"/>
        </w:rPr>
        <w:t>2</w:t>
      </w:r>
      <w:r w:rsidRPr="00F867D5">
        <w:rPr>
          <w:rFonts w:ascii="Arial" w:eastAsia="Calibri" w:hAnsi="Arial" w:cs="Arial"/>
          <w:b/>
          <w:i/>
          <w:iCs/>
          <w:sz w:val="22"/>
          <w:lang w:val="es-ES_tradnl"/>
        </w:rPr>
        <w:t>.2.</w:t>
      </w:r>
      <w:r w:rsidRPr="00E858D2">
        <w:rPr>
          <w:rFonts w:ascii="Arial" w:eastAsia="Calibri" w:hAnsi="Arial" w:cs="Arial"/>
          <w:bCs/>
          <w:sz w:val="22"/>
          <w:lang w:val="es-ES_tradnl"/>
        </w:rPr>
        <w:t xml:space="preserve"> </w:t>
      </w:r>
      <w:r w:rsidRPr="00E858D2">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32CFB2BC" w14:textId="77777777" w:rsidR="002072A4" w:rsidRPr="00E858D2" w:rsidRDefault="002072A4" w:rsidP="002072A4">
      <w:pPr>
        <w:tabs>
          <w:tab w:val="left" w:pos="0"/>
        </w:tabs>
        <w:spacing w:line="276" w:lineRule="auto"/>
        <w:jc w:val="both"/>
        <w:rPr>
          <w:rFonts w:ascii="Arial" w:eastAsia="Calibri" w:hAnsi="Arial" w:cs="Arial"/>
          <w:bCs/>
          <w:sz w:val="22"/>
          <w:lang w:val="es-ES_tradnl"/>
        </w:rPr>
      </w:pPr>
    </w:p>
    <w:p w14:paraId="6508B17C" w14:textId="77777777" w:rsidR="002072A4" w:rsidRPr="00E858D2" w:rsidRDefault="002072A4" w:rsidP="002072A4">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En este punto es necesario analizar los efectos del artículo 56 de la Ley 2195 de 2022, respecto de lo dispuesto en el artículo 2, numeral 4, de la Ley 1150 de 2007, </w:t>
      </w:r>
      <w:r w:rsidRPr="00E858D2">
        <w:rPr>
          <w:rFonts w:ascii="Arial" w:eastAsia="Calibri" w:hAnsi="Arial" w:cs="Arial"/>
          <w:bCs/>
          <w:sz w:val="22"/>
          <w:lang w:val="es-ES_tradnl"/>
        </w:rPr>
        <w:lastRenderedPageBreak/>
        <w:t>particularmente, de lo establecido en el tercer inciso del literal c)</w:t>
      </w:r>
      <w:r w:rsidRPr="00E858D2">
        <w:rPr>
          <w:rStyle w:val="Refdenotaalpie"/>
          <w:rFonts w:ascii="Arial" w:eastAsia="Calibri" w:hAnsi="Arial" w:cs="Arial"/>
        </w:rPr>
        <w:footnoteReference w:id="7"/>
      </w:r>
      <w:r w:rsidRPr="00E858D2">
        <w:rPr>
          <w:rFonts w:ascii="Arial" w:eastAsia="Calibri" w:hAnsi="Arial" w:cs="Arial"/>
          <w:bCs/>
          <w:sz w:val="22"/>
          <w:lang w:val="es-ES_tradnl"/>
        </w:rPr>
        <w:t xml:space="preserve">.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2-4 de la Ley 1150 de 2007, daba pie a la aplicación de normas de derecho privado, lo que evidencia una aparente tensión entre este y el artículo 56 de la Ley 2195 de 2022, en lo que se refiere al régimen aplicable en estas situaciones, </w:t>
      </w:r>
      <w:r>
        <w:rPr>
          <w:rFonts w:ascii="Arial" w:eastAsia="Calibri" w:hAnsi="Arial" w:cs="Arial"/>
          <w:bCs/>
          <w:sz w:val="22"/>
          <w:lang w:val="es-ES_tradnl"/>
        </w:rPr>
        <w:t>dado</w:t>
      </w:r>
      <w:r w:rsidRPr="00E858D2">
        <w:rPr>
          <w:rFonts w:ascii="Arial" w:eastAsia="Calibri" w:hAnsi="Arial" w:cs="Arial"/>
          <w:bCs/>
          <w:sz w:val="22"/>
          <w:lang w:val="es-ES_tradnl"/>
        </w:rPr>
        <w:t xml:space="preserve"> que</w:t>
      </w:r>
      <w:r>
        <w:rPr>
          <w:rFonts w:ascii="Arial" w:eastAsia="Calibri" w:hAnsi="Arial" w:cs="Arial"/>
          <w:bCs/>
          <w:sz w:val="22"/>
          <w:lang w:val="es-ES_tradnl"/>
        </w:rPr>
        <w:t>,</w:t>
      </w:r>
      <w:r w:rsidRPr="00E858D2">
        <w:rPr>
          <w:rFonts w:ascii="Arial" w:eastAsia="Calibri" w:hAnsi="Arial" w:cs="Arial"/>
          <w:bCs/>
          <w:sz w:val="22"/>
          <w:lang w:val="es-ES_tradnl"/>
        </w:rPr>
        <w:t xml:space="preserve"> en estos eventos, al tenor de lo dispuesto en esta última norma, deben aplicarse el EGCAP y los documentos tipo. </w:t>
      </w:r>
    </w:p>
    <w:p w14:paraId="198DBE10" w14:textId="77777777" w:rsidR="002072A4" w:rsidRPr="00E858D2" w:rsidRDefault="002072A4" w:rsidP="002072A4">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w:t>
      </w:r>
      <w:r w:rsidRPr="00E858D2">
        <w:rPr>
          <w:rFonts w:ascii="Arial" w:eastAsia="Calibri" w:hAnsi="Arial" w:cs="Arial"/>
          <w:bCs/>
          <w:sz w:val="22"/>
          <w:lang w:val="es-ES_tradnl"/>
        </w:rPr>
        <w:lastRenderedPageBreak/>
        <w:t>derecho privado, la última impone la aplicación de documentos tipo y del EGCAP. Esta aparente contradicción, necesariamente debe ser resuelta en favor del artículo 56 de la Ley 2195 de 2022, cuya aplicación debe privilegia</w:t>
      </w:r>
      <w:r>
        <w:rPr>
          <w:rFonts w:ascii="Arial" w:eastAsia="Calibri" w:hAnsi="Arial" w:cs="Arial"/>
          <w:bCs/>
          <w:sz w:val="22"/>
          <w:lang w:val="es-ES_tradnl"/>
        </w:rPr>
        <w:t>rse</w:t>
      </w:r>
      <w:r w:rsidRPr="00E858D2">
        <w:rPr>
          <w:rFonts w:ascii="Arial" w:eastAsia="Calibri" w:hAnsi="Arial" w:cs="Arial"/>
          <w:bCs/>
          <w:sz w:val="22"/>
          <w:lang w:val="es-ES_tradnl"/>
        </w:rPr>
        <w:t xml:space="preserve">, al ser esta la norma expedida más recientemente. </w:t>
      </w:r>
    </w:p>
    <w:p w14:paraId="6DC12162" w14:textId="77777777" w:rsidR="002072A4" w:rsidRPr="00E858D2" w:rsidRDefault="002072A4" w:rsidP="002072A4">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 efecto, tratándose de disposiciones de igual jerarquía normativa</w:t>
      </w:r>
      <w:r w:rsidRPr="00E858D2">
        <w:rPr>
          <w:rStyle w:val="Refdenotaalpie"/>
          <w:rFonts w:ascii="Arial" w:eastAsia="Calibri" w:hAnsi="Arial" w:cs="Arial"/>
        </w:rPr>
        <w:footnoteReference w:id="8"/>
      </w:r>
      <w:r w:rsidRPr="00E858D2">
        <w:rPr>
          <w:rFonts w:ascii="Arial" w:eastAsia="Calibri" w:hAnsi="Arial" w:cs="Arial"/>
          <w:bCs/>
          <w:sz w:val="22"/>
          <w:lang w:val="es-ES_tradnl"/>
        </w:rPr>
        <w:t xml:space="preserve">–ambas son leyes ordinarias–, que coinciden en su ámbito de aplicación, debe </w:t>
      </w:r>
      <w:r>
        <w:rPr>
          <w:rFonts w:ascii="Arial" w:eastAsia="Calibri" w:hAnsi="Arial" w:cs="Arial"/>
          <w:bCs/>
          <w:sz w:val="22"/>
          <w:lang w:val="es-ES_tradnl"/>
        </w:rPr>
        <w:t>inferir</w:t>
      </w:r>
      <w:r w:rsidRPr="00E858D2">
        <w:rPr>
          <w:rFonts w:ascii="Arial" w:eastAsia="Calibri" w:hAnsi="Arial" w:cs="Arial"/>
          <w:bCs/>
          <w:sz w:val="22"/>
          <w:lang w:val="es-ES_tradnl"/>
        </w:rPr>
        <w:t xml:space="preserve">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252AA7EF" w14:textId="77777777" w:rsidR="002072A4" w:rsidRPr="00E858D2" w:rsidRDefault="002072A4" w:rsidP="002072A4">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70795510" w14:textId="77777777" w:rsidR="002072A4" w:rsidRPr="00E858D2" w:rsidRDefault="002072A4" w:rsidP="002072A4">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w:t>
      </w:r>
      <w:r w:rsidRPr="00E858D2">
        <w:rPr>
          <w:rFonts w:ascii="Arial" w:eastAsia="Calibri" w:hAnsi="Arial" w:cs="Arial"/>
          <w:bCs/>
          <w:sz w:val="22"/>
          <w:lang w:val="es-ES_tradnl"/>
        </w:rPr>
        <w:lastRenderedPageBreak/>
        <w:t xml:space="preserve">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tipo </w:t>
      </w:r>
      <w:r>
        <w:rPr>
          <w:rFonts w:ascii="Arial" w:eastAsia="Calibri" w:hAnsi="Arial" w:cs="Arial"/>
          <w:bCs/>
          <w:sz w:val="22"/>
          <w:lang w:val="es-ES_tradnl"/>
        </w:rPr>
        <w:t xml:space="preserve">aplicable al objeto contractual </w:t>
      </w:r>
      <w:r w:rsidRPr="00E858D2">
        <w:rPr>
          <w:rFonts w:ascii="Arial" w:eastAsia="Calibri" w:hAnsi="Arial" w:cs="Arial"/>
          <w:bCs/>
          <w:sz w:val="22"/>
          <w:lang w:val="es-ES_tradnl"/>
        </w:rPr>
        <w:t xml:space="preserve">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79C12D76" w14:textId="77777777" w:rsidR="002072A4" w:rsidRPr="00437DB9" w:rsidRDefault="002072A4" w:rsidP="002072A4">
      <w:pPr>
        <w:tabs>
          <w:tab w:val="left" w:pos="0"/>
        </w:tabs>
        <w:spacing w:line="276" w:lineRule="auto"/>
        <w:jc w:val="both"/>
        <w:rPr>
          <w:rFonts w:ascii="Arial" w:eastAsia="Calibri" w:hAnsi="Arial" w:cs="Arial"/>
          <w:bCs/>
          <w:color w:val="000000" w:themeColor="text1"/>
          <w:sz w:val="22"/>
          <w:lang w:val="es-ES_tradnl"/>
        </w:rPr>
      </w:pPr>
      <w:r w:rsidRPr="00E858D2">
        <w:rPr>
          <w:rFonts w:ascii="Arial" w:eastAsia="Calibri" w:hAnsi="Arial" w:cs="Arial"/>
          <w:bCs/>
          <w:sz w:val="22"/>
          <w:lang w:val="es-ES_tradnl"/>
        </w:rPr>
        <w:tab/>
        <w:t>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w:t>
      </w:r>
      <w:r>
        <w:rPr>
          <w:rFonts w:ascii="Arial" w:eastAsia="Calibri" w:hAnsi="Arial" w:cs="Arial"/>
          <w:bCs/>
          <w:sz w:val="22"/>
          <w:lang w:val="es-ES_tradnl"/>
        </w:rPr>
        <w:t>a</w:t>
      </w:r>
      <w:r w:rsidRPr="00E858D2">
        <w:rPr>
          <w:rFonts w:ascii="Arial" w:eastAsia="Calibri" w:hAnsi="Arial" w:cs="Arial"/>
          <w:bCs/>
          <w:sz w:val="22"/>
          <w:lang w:val="es-ES_tradnl"/>
        </w:rPr>
        <w:t xml:space="preserve"> </w:t>
      </w:r>
      <w:r>
        <w:rPr>
          <w:rFonts w:ascii="Arial" w:eastAsia="Calibri" w:hAnsi="Arial" w:cs="Arial"/>
          <w:bCs/>
          <w:sz w:val="22"/>
          <w:lang w:val="es-ES_tradnl"/>
        </w:rPr>
        <w:t>entidad exceptuada</w:t>
      </w:r>
      <w:r w:rsidRPr="00E858D2">
        <w:rPr>
          <w:rFonts w:ascii="Arial" w:eastAsia="Calibri" w:hAnsi="Arial" w:cs="Arial"/>
          <w:bCs/>
          <w:sz w:val="22"/>
          <w:lang w:val="es-ES_tradnl"/>
        </w:rPr>
        <w:t xml:space="preserve"> 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w:t>
      </w:r>
      <w:r>
        <w:rPr>
          <w:rFonts w:ascii="Arial" w:eastAsia="Calibri" w:hAnsi="Arial" w:cs="Arial"/>
          <w:bCs/>
          <w:sz w:val="22"/>
          <w:lang w:val="es-ES_tradnl"/>
        </w:rPr>
        <w:t>,</w:t>
      </w:r>
      <w:r w:rsidRPr="00E858D2">
        <w:rPr>
          <w:rFonts w:ascii="Arial" w:eastAsia="Calibri" w:hAnsi="Arial" w:cs="Arial"/>
          <w:bCs/>
          <w:sz w:val="22"/>
          <w:lang w:val="es-ES_tradnl"/>
        </w:rPr>
        <w:t xml:space="preserve"> sí estará sometido al EGCAP, al estar tales actividades incluidas dentro de los documentos tipo de infraestructura de transporte. Esto por supuesto puede cambiar si la Agencia, en el futuro, adopta más documentos tipo que incluyan los objetos mencionados. </w:t>
      </w:r>
      <w:r w:rsidRPr="00437DB9">
        <w:rPr>
          <w:rFonts w:ascii="Arial" w:eastAsia="Calibri" w:hAnsi="Arial" w:cs="Arial"/>
          <w:bCs/>
          <w:color w:val="000000" w:themeColor="text1"/>
          <w:sz w:val="22"/>
          <w:lang w:val="es-ES_tradnl"/>
        </w:rPr>
        <w:t xml:space="preserve"> </w:t>
      </w:r>
    </w:p>
    <w:p w14:paraId="02FA0261" w14:textId="77777777" w:rsidR="002072A4" w:rsidRDefault="002072A4" w:rsidP="002072A4">
      <w:pPr>
        <w:tabs>
          <w:tab w:val="left" w:pos="0"/>
        </w:tabs>
        <w:spacing w:line="276" w:lineRule="auto"/>
        <w:jc w:val="both"/>
        <w:rPr>
          <w:rFonts w:ascii="Arial" w:eastAsia="Calibri" w:hAnsi="Arial" w:cs="Arial"/>
          <w:b/>
          <w:sz w:val="22"/>
          <w:lang w:val="es-ES_tradnl"/>
        </w:rPr>
      </w:pPr>
    </w:p>
    <w:p w14:paraId="4C39F61D" w14:textId="77777777" w:rsidR="002072A4" w:rsidRPr="00E858D2" w:rsidRDefault="002072A4" w:rsidP="002072A4">
      <w:pPr>
        <w:tabs>
          <w:tab w:val="left" w:pos="0"/>
        </w:tabs>
        <w:spacing w:line="276" w:lineRule="auto"/>
        <w:jc w:val="both"/>
        <w:rPr>
          <w:rFonts w:ascii="Arial" w:eastAsia="Calibri" w:hAnsi="Arial" w:cs="Arial"/>
          <w:b/>
          <w:sz w:val="22"/>
          <w:lang w:val="es-ES_tradnl"/>
        </w:rPr>
      </w:pPr>
      <w:r>
        <w:rPr>
          <w:rFonts w:ascii="Arial" w:eastAsia="Calibri" w:hAnsi="Arial" w:cs="Arial"/>
          <w:b/>
          <w:sz w:val="22"/>
          <w:lang w:val="es-ES_tradnl"/>
        </w:rPr>
        <w:tab/>
      </w:r>
      <w:r w:rsidRPr="00F867D5">
        <w:rPr>
          <w:rFonts w:ascii="Arial" w:eastAsia="Calibri" w:hAnsi="Arial" w:cs="Arial"/>
          <w:b/>
          <w:i/>
          <w:iCs/>
          <w:sz w:val="22"/>
          <w:lang w:val="es-ES_tradnl"/>
        </w:rPr>
        <w:t>2.</w:t>
      </w:r>
      <w:r>
        <w:rPr>
          <w:rFonts w:ascii="Arial" w:eastAsia="Calibri" w:hAnsi="Arial" w:cs="Arial"/>
          <w:b/>
          <w:i/>
          <w:iCs/>
          <w:sz w:val="22"/>
          <w:lang w:val="es-ES_tradnl"/>
        </w:rPr>
        <w:t>2</w:t>
      </w:r>
      <w:r w:rsidRPr="00F867D5">
        <w:rPr>
          <w:rFonts w:ascii="Arial" w:eastAsia="Calibri" w:hAnsi="Arial" w:cs="Arial"/>
          <w:b/>
          <w:i/>
          <w:iCs/>
          <w:sz w:val="22"/>
          <w:lang w:val="es-ES_tradnl"/>
        </w:rPr>
        <w:t>.3.</w:t>
      </w:r>
      <w:r w:rsidRPr="00E858D2">
        <w:rPr>
          <w:rFonts w:ascii="Arial" w:eastAsia="Calibri" w:hAnsi="Arial" w:cs="Arial"/>
          <w:b/>
          <w:sz w:val="22"/>
          <w:lang w:val="es-ES_tradnl"/>
        </w:rPr>
        <w:t xml:space="preserve"> La noción de </w:t>
      </w:r>
      <w:r w:rsidRPr="00E858D2">
        <w:rPr>
          <w:rFonts w:ascii="Arial" w:eastAsia="Calibri" w:hAnsi="Arial" w:cs="Arial"/>
          <w:b/>
          <w:i/>
          <w:iCs/>
          <w:sz w:val="22"/>
          <w:lang w:val="es-ES_tradnl"/>
        </w:rPr>
        <w:t xml:space="preserve">giro ordinario </w:t>
      </w:r>
      <w:r w:rsidRPr="00E858D2">
        <w:rPr>
          <w:rFonts w:ascii="Arial" w:eastAsia="Calibri" w:hAnsi="Arial" w:cs="Arial"/>
          <w:b/>
          <w:sz w:val="22"/>
          <w:lang w:val="es-ES_tradnl"/>
        </w:rPr>
        <w:t>y su relevancia para la aplicación del artículo 56 de la Ley 2195 de 2022</w:t>
      </w:r>
    </w:p>
    <w:p w14:paraId="66A39D30" w14:textId="77777777" w:rsidR="002072A4" w:rsidRPr="00E858D2" w:rsidRDefault="002072A4" w:rsidP="002072A4">
      <w:pPr>
        <w:tabs>
          <w:tab w:val="left" w:pos="0"/>
        </w:tabs>
        <w:spacing w:line="276" w:lineRule="auto"/>
        <w:jc w:val="both"/>
        <w:rPr>
          <w:rFonts w:ascii="Arial" w:eastAsia="Calibri" w:hAnsi="Arial" w:cs="Arial"/>
          <w:b/>
          <w:sz w:val="22"/>
          <w:lang w:val="es-ES_tradnl"/>
        </w:rPr>
      </w:pPr>
    </w:p>
    <w:p w14:paraId="2DD22570" w14:textId="77777777" w:rsidR="002072A4" w:rsidRPr="00E858D2" w:rsidRDefault="002072A4" w:rsidP="002072A4">
      <w:pPr>
        <w:tabs>
          <w:tab w:val="left" w:pos="0"/>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Para una adecuada comprensión del artículo 56 de la Ley 2195 de 2022</w:t>
      </w:r>
      <w:r w:rsidRPr="00E858D2">
        <w:rPr>
          <w:rFonts w:ascii="Arial" w:eastAsia="Calibri" w:hAnsi="Arial" w:cs="Arial"/>
          <w:bCs/>
          <w:sz w:val="22"/>
          <w:lang w:val="es-ES_tradnl"/>
        </w:rPr>
        <w:t xml:space="preserve">, es necesario precisar el alcance de lo dispuesto en </w:t>
      </w:r>
      <w:r>
        <w:rPr>
          <w:rFonts w:ascii="Arial" w:eastAsia="Calibri" w:hAnsi="Arial" w:cs="Arial"/>
          <w:bCs/>
          <w:sz w:val="22"/>
          <w:lang w:val="es-ES_tradnl"/>
        </w:rPr>
        <w:t>sus</w:t>
      </w:r>
      <w:r w:rsidRPr="00E858D2">
        <w:rPr>
          <w:rFonts w:ascii="Arial" w:eastAsia="Calibri" w:hAnsi="Arial" w:cs="Arial"/>
          <w:bCs/>
          <w:sz w:val="22"/>
          <w:lang w:val="es-ES_tradnl"/>
        </w:rPr>
        <w:t xml:space="preserve"> dos primeros incisos a luz de lo establecido en su parágrafo, el cual excluye de la aplicación de los primeros incisos del artículo 56, a cierto tipo de entidades, en lo relacionado con la contratación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Conforme se desprende del texto del referido parágrafo, se exceptúa de lo señalado en los dos primeros incisos a: i) las instituciones de educación superior públicas, </w:t>
      </w:r>
      <w:proofErr w:type="spellStart"/>
      <w:r w:rsidRPr="00E858D2">
        <w:rPr>
          <w:rFonts w:ascii="Arial" w:eastAsia="Calibri" w:hAnsi="Arial" w:cs="Arial"/>
          <w:bCs/>
          <w:sz w:val="22"/>
          <w:lang w:val="es-ES_tradnl"/>
        </w:rPr>
        <w:t>ii</w:t>
      </w:r>
      <w:proofErr w:type="spellEnd"/>
      <w:r w:rsidRPr="00E858D2">
        <w:rPr>
          <w:rFonts w:ascii="Arial" w:eastAsia="Calibri" w:hAnsi="Arial" w:cs="Arial"/>
          <w:bCs/>
          <w:sz w:val="22"/>
          <w:lang w:val="es-ES_tradnl"/>
        </w:rPr>
        <w:t xml:space="preserve">) las empresas sociales del Estado, </w:t>
      </w:r>
      <w:proofErr w:type="spellStart"/>
      <w:r w:rsidRPr="00E858D2">
        <w:rPr>
          <w:rFonts w:ascii="Arial" w:eastAsia="Calibri" w:hAnsi="Arial" w:cs="Arial"/>
          <w:bCs/>
          <w:sz w:val="22"/>
          <w:lang w:val="es-ES_tradnl"/>
        </w:rPr>
        <w:t>iii</w:t>
      </w:r>
      <w:proofErr w:type="spellEnd"/>
      <w:r w:rsidRPr="00E858D2">
        <w:rPr>
          <w:rFonts w:ascii="Arial" w:eastAsia="Calibri" w:hAnsi="Arial" w:cs="Arial"/>
          <w:bCs/>
          <w:sz w:val="22"/>
          <w:lang w:val="es-ES_tradnl"/>
        </w:rPr>
        <w:t xml:space="preserve">) las sociedades de economía mixta y </w:t>
      </w:r>
      <w:proofErr w:type="spellStart"/>
      <w:r w:rsidRPr="00E858D2">
        <w:rPr>
          <w:rFonts w:ascii="Arial" w:eastAsia="Calibri" w:hAnsi="Arial" w:cs="Arial"/>
          <w:bCs/>
          <w:sz w:val="22"/>
          <w:lang w:val="es-ES_tradnl"/>
        </w:rPr>
        <w:t>iv</w:t>
      </w:r>
      <w:proofErr w:type="spellEnd"/>
      <w:r w:rsidRPr="00E858D2">
        <w:rPr>
          <w:rFonts w:ascii="Arial" w:eastAsia="Calibri" w:hAnsi="Arial" w:cs="Arial"/>
          <w:bCs/>
          <w:sz w:val="22"/>
          <w:lang w:val="es-ES_tradnl"/>
        </w:rPr>
        <w:t xml:space="preserve">) las empresas industriales y comerciales del Estado, únicamente, en la contratación relacionada con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Esto significa </w:t>
      </w:r>
      <w:proofErr w:type="gramStart"/>
      <w:r w:rsidRPr="00E858D2">
        <w:rPr>
          <w:rFonts w:ascii="Arial" w:eastAsia="Calibri" w:hAnsi="Arial" w:cs="Arial"/>
          <w:bCs/>
          <w:sz w:val="22"/>
          <w:lang w:val="es-ES_tradnl"/>
        </w:rPr>
        <w:t>que</w:t>
      </w:r>
      <w:proofErr w:type="gramEnd"/>
      <w:r w:rsidRPr="00E858D2">
        <w:rPr>
          <w:rFonts w:ascii="Arial" w:eastAsia="Calibri" w:hAnsi="Arial" w:cs="Arial"/>
          <w:bCs/>
          <w:sz w:val="22"/>
          <w:lang w:val="es-ES_tradnl"/>
        </w:rPr>
        <w:t xml:space="preserve"> en la contratación asociada a su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estos tipos de entidades no tendrían que aplicar, de manera obligatoria, los documentos tipo, ni tampoco el EGCAP. En este </w:t>
      </w:r>
      <w:r w:rsidRPr="00E858D2">
        <w:rPr>
          <w:rFonts w:ascii="Arial" w:eastAsia="Calibri" w:hAnsi="Arial" w:cs="Arial"/>
          <w:bCs/>
          <w:sz w:val="22"/>
          <w:lang w:val="es-ES_tradnl"/>
        </w:rPr>
        <w:lastRenderedPageBreak/>
        <w:t xml:space="preserve">caso la norma se limita a fomentar la implementación de documentos tipo a modo de buena práctica contractual, en los casos en los que se estime conveniente. </w:t>
      </w:r>
    </w:p>
    <w:p w14:paraId="71F2FBD9" w14:textId="77777777" w:rsidR="002072A4" w:rsidRPr="00E858D2" w:rsidRDefault="002072A4" w:rsidP="002072A4">
      <w:pPr>
        <w:tabs>
          <w:tab w:val="left" w:pos="0"/>
        </w:tabs>
        <w:spacing w:after="120" w:line="276" w:lineRule="auto"/>
        <w:jc w:val="both"/>
        <w:rPr>
          <w:rFonts w:ascii="Arial" w:eastAsia="Arial" w:hAnsi="Arial" w:cs="Arial"/>
          <w:color w:val="000000"/>
          <w:sz w:val="22"/>
          <w:lang w:val="es-ES_tradnl"/>
        </w:rPr>
      </w:pPr>
      <w:r w:rsidRPr="00E858D2">
        <w:rPr>
          <w:rFonts w:ascii="Arial" w:eastAsia="Calibri" w:hAnsi="Arial" w:cs="Arial"/>
          <w:bCs/>
          <w:sz w:val="22"/>
          <w:lang w:val="es-ES_tradnl"/>
        </w:rPr>
        <w:tab/>
        <w:t xml:space="preserve">Ahora, es importante tener en cuenta que cuando la norma se refiere a la contratación del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emplea un concepto jurídico indeterminado</w:t>
      </w:r>
      <w:r w:rsidRPr="00E858D2">
        <w:rPr>
          <w:rStyle w:val="Refdenotaalpie"/>
          <w:rFonts w:ascii="Arial" w:eastAsia="Calibri" w:hAnsi="Arial" w:cs="Arial"/>
        </w:rPr>
        <w:footnoteReference w:id="9"/>
      </w:r>
      <w:r w:rsidRPr="00E858D2">
        <w:rPr>
          <w:rFonts w:ascii="Arial" w:eastAsia="Calibri" w:hAnsi="Arial" w:cs="Arial"/>
          <w:bCs/>
          <w:sz w:val="22"/>
          <w:lang w:val="es-ES_tradnl"/>
        </w:rPr>
        <w:t xml:space="preserve">. </w:t>
      </w:r>
      <w:r w:rsidRPr="00E858D2">
        <w:rPr>
          <w:rFonts w:ascii="Arial" w:eastAsia="Arial" w:hAnsi="Arial" w:cs="Arial"/>
          <w:color w:val="000000"/>
          <w:sz w:val="22"/>
          <w:lang w:val="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grado de discrecionalidad en su aplicación, pero deben respetar los límites previstos en las normas de orden público. Por ejemplo, no podrán considerar que cualquier contrato que celebren hace parte del giro ordinario de sus negocios. </w:t>
      </w:r>
    </w:p>
    <w:p w14:paraId="11B49C96" w14:textId="77777777" w:rsidR="002072A4" w:rsidRPr="00E858D2" w:rsidRDefault="002072A4" w:rsidP="002072A4">
      <w:pPr>
        <w:tabs>
          <w:tab w:val="left" w:pos="0"/>
        </w:tabs>
        <w:spacing w:line="276" w:lineRule="auto"/>
        <w:ind w:firstLine="709"/>
        <w:jc w:val="both"/>
        <w:rPr>
          <w:rFonts w:ascii="Arial" w:eastAsia="Calibri" w:hAnsi="Arial" w:cs="Arial"/>
          <w:bCs/>
          <w:sz w:val="22"/>
          <w:lang w:val="es-ES_tradnl"/>
        </w:rPr>
      </w:pPr>
      <w:r w:rsidRPr="00E858D2">
        <w:rPr>
          <w:rFonts w:ascii="Arial" w:eastAsia="Arial" w:hAnsi="Arial" w:cs="Arial"/>
          <w:color w:val="000000"/>
          <w:sz w:val="22"/>
          <w:lang w:val="es-ES_tradnl"/>
        </w:rPr>
        <w:t>La Corte Constitucional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r w:rsidRPr="00E858D2">
        <w:rPr>
          <w:rStyle w:val="Refdenotaalpie"/>
          <w:rFonts w:ascii="Arial" w:eastAsia="Arial" w:hAnsi="Arial" w:cs="Arial"/>
        </w:rPr>
        <w:footnoteReference w:id="10"/>
      </w:r>
      <w:r w:rsidRPr="00E858D2">
        <w:rPr>
          <w:rFonts w:ascii="Arial" w:eastAsia="Arial" w:hAnsi="Arial" w:cs="Arial"/>
          <w:color w:val="000000"/>
          <w:sz w:val="22"/>
          <w:lang w:val="es-ES_tradnl"/>
        </w:rPr>
        <w:t>.</w:t>
      </w:r>
    </w:p>
    <w:p w14:paraId="58E7D792" w14:textId="77777777" w:rsidR="002072A4" w:rsidRPr="00E858D2" w:rsidRDefault="002072A4" w:rsidP="002072A4">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incluida en la redacción original del parágrafo 1 del artículo 32 de la Ley 80 de 1993</w:t>
      </w:r>
      <w:r w:rsidRPr="00E858D2">
        <w:rPr>
          <w:rStyle w:val="Refdenotaalpie"/>
          <w:rFonts w:ascii="Arial" w:eastAsia="Calibri" w:hAnsi="Arial" w:cs="Arial"/>
        </w:rPr>
        <w:footnoteReference w:id="11"/>
      </w:r>
      <w:r w:rsidRPr="00E858D2">
        <w:rPr>
          <w:rFonts w:ascii="Arial" w:eastAsia="Calibri" w:hAnsi="Arial" w:cs="Arial"/>
          <w:bCs/>
          <w:sz w:val="22"/>
          <w:lang w:val="es-ES_tradnl"/>
        </w:rPr>
        <w:t xml:space="preserve">, la Sección Tercera manifestó lo siguiente: </w:t>
      </w:r>
    </w:p>
    <w:p w14:paraId="5145D4E7" w14:textId="77777777" w:rsidR="002072A4" w:rsidRPr="00E858D2" w:rsidRDefault="002072A4" w:rsidP="002072A4">
      <w:pPr>
        <w:tabs>
          <w:tab w:val="left" w:pos="0"/>
        </w:tabs>
        <w:jc w:val="both"/>
        <w:rPr>
          <w:rFonts w:ascii="Arial" w:eastAsia="Calibri" w:hAnsi="Arial" w:cs="Arial"/>
          <w:bCs/>
          <w:sz w:val="22"/>
          <w:lang w:val="es-ES_tradnl"/>
        </w:rPr>
      </w:pPr>
    </w:p>
    <w:p w14:paraId="7F058C16" w14:textId="77777777" w:rsidR="002072A4" w:rsidRPr="00E858D2" w:rsidRDefault="002072A4" w:rsidP="002072A4">
      <w:pPr>
        <w:ind w:left="709" w:right="709"/>
        <w:jc w:val="both"/>
        <w:rPr>
          <w:rFonts w:ascii="Arial" w:hAnsi="Arial" w:cs="Arial"/>
          <w:sz w:val="21"/>
          <w:szCs w:val="21"/>
          <w:lang w:val="es-ES_tradnl" w:eastAsia="es-CO"/>
        </w:rPr>
      </w:pPr>
      <w:r w:rsidRPr="00742837">
        <w:rPr>
          <w:rFonts w:ascii="Arial" w:hAnsi="Arial" w:cs="Arial"/>
          <w:sz w:val="21"/>
          <w:szCs w:val="21"/>
          <w:lang w:val="es-ES_tradnl"/>
        </w:rPr>
        <w:t>«</w:t>
      </w:r>
      <w:r w:rsidRPr="00E858D2">
        <w:rPr>
          <w:rFonts w:ascii="Arial" w:hAnsi="Arial" w:cs="Arial"/>
          <w:sz w:val="21"/>
          <w:szCs w:val="21"/>
          <w:lang w:val="es-ES_tradnl"/>
        </w:rPr>
        <w:t xml:space="preserve">[E]l giro ordinario de las actividades de una sociedad comercial no sólo comprende aquello que define en forma concreta su objeto social, sino todos los </w:t>
      </w:r>
      <w:r w:rsidRPr="00E858D2">
        <w:rPr>
          <w:rFonts w:ascii="Arial" w:hAnsi="Arial" w:cs="Arial"/>
          <w:sz w:val="21"/>
          <w:szCs w:val="21"/>
          <w:lang w:val="es-ES_tradnl"/>
        </w:rPr>
        <w:lastRenderedPageBreak/>
        <w:t xml:space="preserve">actos directamente relacionados con el mismo, lo que denota que entre éstos y aquéllas debe existir una relación de necesidad que los hace parte en el objeto de la sociedad. </w:t>
      </w:r>
      <w:proofErr w:type="gramStart"/>
      <w:r w:rsidRPr="00E858D2">
        <w:rPr>
          <w:rFonts w:ascii="Arial" w:hAnsi="Arial" w:cs="Arial"/>
          <w:sz w:val="21"/>
          <w:szCs w:val="21"/>
          <w:lang w:val="es-ES_tradnl"/>
        </w:rPr>
        <w:t>Siendo</w:t>
      </w:r>
      <w:proofErr w:type="gramEnd"/>
      <w:r w:rsidRPr="00E858D2">
        <w:rPr>
          <w:rFonts w:ascii="Arial" w:hAnsi="Arial" w:cs="Arial"/>
          <w:sz w:val="21"/>
          <w:szCs w:val="21"/>
          <w:lang w:val="es-ES_tradnl"/>
        </w:rPr>
        <w:t xml:space="preserve">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Pr>
          <w:rFonts w:ascii="Arial" w:hAnsi="Arial" w:cs="Arial"/>
          <w:sz w:val="21"/>
          <w:szCs w:val="21"/>
          <w:lang w:val="es-ES_tradnl"/>
        </w:rPr>
        <w:t>.</w:t>
      </w:r>
      <w:r w:rsidRPr="00742837">
        <w:rPr>
          <w:rFonts w:ascii="Arial" w:hAnsi="Arial" w:cs="Arial"/>
          <w:sz w:val="21"/>
          <w:szCs w:val="21"/>
          <w:lang w:val="es-ES_tradnl"/>
        </w:rPr>
        <w:t>»</w:t>
      </w:r>
      <w:r w:rsidRPr="00E858D2">
        <w:rPr>
          <w:rStyle w:val="Refdenotaalpie"/>
          <w:rFonts w:ascii="Arial" w:hAnsi="Arial" w:cs="Arial"/>
        </w:rPr>
        <w:footnoteReference w:id="12"/>
      </w:r>
    </w:p>
    <w:p w14:paraId="12DC36F5" w14:textId="77777777" w:rsidR="002072A4" w:rsidRPr="00E858D2" w:rsidRDefault="002072A4" w:rsidP="002072A4">
      <w:pPr>
        <w:tabs>
          <w:tab w:val="left" w:pos="0"/>
        </w:tabs>
        <w:jc w:val="both"/>
        <w:rPr>
          <w:rFonts w:ascii="Arial" w:eastAsia="Calibri" w:hAnsi="Arial" w:cs="Arial"/>
          <w:bCs/>
          <w:i/>
          <w:iCs/>
          <w:sz w:val="22"/>
          <w:lang w:val="es-ES_tradnl"/>
        </w:rPr>
      </w:pPr>
    </w:p>
    <w:p w14:paraId="25351E5C" w14:textId="77777777" w:rsidR="002072A4" w:rsidRDefault="002072A4" w:rsidP="002072A4">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el mismo sentido se pronunció recientemente el Alto Tribunal de lo Contencioso Administrativo, reiterando las anteriores consideraciones, al expresar que: </w:t>
      </w:r>
    </w:p>
    <w:p w14:paraId="01DA8299" w14:textId="77777777" w:rsidR="002072A4" w:rsidRPr="00E858D2" w:rsidRDefault="002072A4" w:rsidP="002072A4">
      <w:pPr>
        <w:tabs>
          <w:tab w:val="left" w:pos="0"/>
        </w:tabs>
        <w:jc w:val="both"/>
        <w:rPr>
          <w:rFonts w:ascii="Arial" w:eastAsia="Calibri" w:hAnsi="Arial" w:cs="Arial"/>
          <w:bCs/>
          <w:sz w:val="22"/>
          <w:lang w:val="es-ES_tradnl"/>
        </w:rPr>
      </w:pPr>
    </w:p>
    <w:p w14:paraId="36D0CC86" w14:textId="77777777" w:rsidR="002072A4" w:rsidRPr="00E858D2" w:rsidRDefault="002072A4" w:rsidP="002072A4">
      <w:pPr>
        <w:tabs>
          <w:tab w:val="left" w:pos="0"/>
        </w:tabs>
        <w:spacing w:after="120"/>
        <w:ind w:left="709" w:right="709"/>
        <w:jc w:val="both"/>
        <w:rPr>
          <w:rFonts w:ascii="Arial" w:eastAsia="Calibri" w:hAnsi="Arial" w:cs="Arial"/>
          <w:bCs/>
          <w:sz w:val="21"/>
          <w:szCs w:val="21"/>
          <w:lang w:val="es-ES_tradnl"/>
        </w:rPr>
      </w:pPr>
      <w:r w:rsidRPr="00742837">
        <w:rPr>
          <w:rFonts w:ascii="Arial" w:eastAsia="Calibri" w:hAnsi="Arial" w:cs="Arial"/>
          <w:bCs/>
          <w:sz w:val="21"/>
          <w:szCs w:val="21"/>
          <w:lang w:val="es-ES_tradnl"/>
        </w:rPr>
        <w:t>«</w:t>
      </w:r>
      <w:r w:rsidRPr="00E858D2">
        <w:rPr>
          <w:rFonts w:ascii="Arial" w:eastAsia="Calibri" w:hAnsi="Arial" w:cs="Arial"/>
          <w:bCs/>
          <w:sz w:val="21"/>
          <w:szCs w:val="21"/>
          <w:lang w:val="es-ES_tradn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0342F937" w14:textId="77777777" w:rsidR="002072A4" w:rsidRPr="00E858D2" w:rsidRDefault="002072A4" w:rsidP="002072A4">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E858D2">
        <w:rPr>
          <w:rFonts w:ascii="Arial" w:eastAsia="Calibri" w:hAnsi="Arial" w:cs="Arial"/>
          <w:bCs/>
          <w:sz w:val="21"/>
          <w:szCs w:val="21"/>
          <w:lang w:val="es-ES_tradnl"/>
        </w:rPr>
        <w:t>Fonade</w:t>
      </w:r>
      <w:proofErr w:type="spellEnd"/>
      <w:r w:rsidRPr="00E858D2">
        <w:rPr>
          <w:rFonts w:ascii="Arial" w:eastAsia="Calibri" w:hAnsi="Arial" w:cs="Arial"/>
          <w:bCs/>
          <w:sz w:val="21"/>
          <w:szCs w:val="21"/>
          <w:lang w:val="es-ES_tradn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3B5F76DE" w14:textId="77777777" w:rsidR="002072A4" w:rsidRPr="00E858D2" w:rsidRDefault="002072A4" w:rsidP="002072A4">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E858D2">
        <w:rPr>
          <w:rStyle w:val="Refdenotaalpie"/>
          <w:rFonts w:ascii="Arial" w:eastAsia="Calibri" w:hAnsi="Arial" w:cs="Arial"/>
        </w:rPr>
        <w:footnoteReference w:id="13"/>
      </w:r>
      <w:r w:rsidRPr="00E858D2">
        <w:rPr>
          <w:rFonts w:ascii="Arial" w:eastAsia="Calibri" w:hAnsi="Arial" w:cs="Arial"/>
          <w:bCs/>
          <w:sz w:val="21"/>
          <w:szCs w:val="21"/>
          <w:lang w:val="es-ES_tradnl"/>
        </w:rPr>
        <w:t xml:space="preserve">. </w:t>
      </w:r>
    </w:p>
    <w:p w14:paraId="585FEBDB" w14:textId="77777777" w:rsidR="002072A4" w:rsidRPr="00E858D2" w:rsidRDefault="002072A4" w:rsidP="002072A4">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lastRenderedPageBreak/>
        <w:tab/>
      </w:r>
    </w:p>
    <w:p w14:paraId="72E80CCB" w14:textId="77777777" w:rsidR="002072A4" w:rsidRDefault="002072A4" w:rsidP="002072A4">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Conforme con lo expresado en estas providencias, 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E858D2">
        <w:rPr>
          <w:rFonts w:ascii="Arial" w:hAnsi="Arial" w:cs="Arial"/>
          <w:sz w:val="22"/>
          <w:lang w:val="es-ES_tradnl"/>
        </w:rPr>
        <w:t>S]e</w:t>
      </w:r>
      <w:r w:rsidRPr="00E858D2">
        <w:rPr>
          <w:rFonts w:ascii="Arial" w:eastAsia="Calibri" w:hAnsi="Arial" w:cs="Arial"/>
          <w:bCs/>
          <w:sz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E858D2">
        <w:rPr>
          <w:rStyle w:val="Refdenotaalpie"/>
          <w:rFonts w:ascii="Arial" w:eastAsia="Calibri" w:hAnsi="Arial" w:cs="Arial"/>
        </w:rPr>
        <w:footnoteReference w:id="14"/>
      </w:r>
      <w:r w:rsidRPr="00E858D2">
        <w:rPr>
          <w:rFonts w:ascii="Arial" w:eastAsia="Calibri" w:hAnsi="Arial" w:cs="Arial"/>
          <w:bCs/>
          <w:sz w:val="22"/>
          <w:lang w:val="es-ES_tradnl"/>
        </w:rPr>
        <w:t xml:space="preserve">. </w:t>
      </w:r>
    </w:p>
    <w:p w14:paraId="4B3FB896" w14:textId="77777777" w:rsidR="002072A4" w:rsidRPr="00E62261" w:rsidRDefault="002072A4" w:rsidP="002072A4">
      <w:pPr>
        <w:tabs>
          <w:tab w:val="left" w:pos="0"/>
        </w:tabs>
        <w:spacing w:line="276" w:lineRule="auto"/>
        <w:jc w:val="both"/>
        <w:rPr>
          <w:rFonts w:ascii="Arial" w:eastAsia="Calibri" w:hAnsi="Arial" w:cs="Arial"/>
          <w:bCs/>
          <w:sz w:val="22"/>
          <w:lang w:val="es-ES_tradnl" w:eastAsia="es-ES_tradnl"/>
        </w:rPr>
      </w:pPr>
      <w:r>
        <w:rPr>
          <w:rFonts w:ascii="Arial" w:eastAsia="Calibri" w:hAnsi="Arial" w:cs="Arial"/>
          <w:bCs/>
          <w:sz w:val="22"/>
          <w:lang w:val="es-ES_tradnl" w:eastAsia="es-ES_tradnl"/>
        </w:rPr>
        <w:tab/>
      </w:r>
      <w:r w:rsidRPr="00E62261">
        <w:rPr>
          <w:rFonts w:ascii="Arial" w:eastAsia="Calibri" w:hAnsi="Arial" w:cs="Arial"/>
          <w:bCs/>
          <w:sz w:val="22"/>
          <w:lang w:val="es-ES_tradnl" w:eastAsia="es-ES_tradnl"/>
        </w:rPr>
        <w:t xml:space="preserve">De otra parte, la doctrina societaria también se ha encargado de definir el </w:t>
      </w:r>
      <w:r w:rsidRPr="00E62261">
        <w:rPr>
          <w:rFonts w:ascii="Arial" w:eastAsia="Calibri" w:hAnsi="Arial" w:cs="Arial"/>
          <w:bCs/>
          <w:i/>
          <w:iCs/>
          <w:sz w:val="22"/>
          <w:lang w:val="es-ES_tradnl" w:eastAsia="es-ES_tradnl"/>
        </w:rPr>
        <w:t>objeto social</w:t>
      </w:r>
      <w:r w:rsidRPr="00E62261">
        <w:rPr>
          <w:rFonts w:ascii="Arial" w:eastAsia="Calibri" w:hAnsi="Arial" w:cs="Arial"/>
          <w:bCs/>
          <w:sz w:val="22"/>
          <w:lang w:val="es-ES_tradnl" w:eastAsia="es-ES_tradnl"/>
        </w:rPr>
        <w:t xml:space="preserve">, así como su relación con el concepto de </w:t>
      </w:r>
      <w:r w:rsidRPr="00E62261">
        <w:rPr>
          <w:rFonts w:ascii="Arial" w:eastAsia="Calibri" w:hAnsi="Arial" w:cs="Arial"/>
          <w:bCs/>
          <w:i/>
          <w:iCs/>
          <w:sz w:val="22"/>
          <w:lang w:val="es-ES_tradnl" w:eastAsia="es-ES_tradnl"/>
        </w:rPr>
        <w:t>giro ordinario</w:t>
      </w:r>
      <w:r w:rsidRPr="00E62261">
        <w:rPr>
          <w:rFonts w:ascii="Arial" w:eastAsia="Calibri" w:hAnsi="Arial" w:cs="Arial"/>
          <w:bCs/>
          <w:sz w:val="22"/>
          <w:lang w:val="es-ES_tradnl" w:eastAsia="es-ES_tradnl"/>
        </w:rPr>
        <w:t>. Al respecto, la Superintendencia de Sociedades, citando doctrina autorizada en la materia, ha señalado:</w:t>
      </w:r>
    </w:p>
    <w:p w14:paraId="6699419C" w14:textId="77777777" w:rsidR="002072A4" w:rsidRPr="00E62261" w:rsidRDefault="002072A4" w:rsidP="002072A4">
      <w:pPr>
        <w:tabs>
          <w:tab w:val="left" w:pos="0"/>
        </w:tabs>
        <w:jc w:val="both"/>
        <w:rPr>
          <w:rFonts w:ascii="Arial" w:eastAsia="Calibri" w:hAnsi="Arial" w:cs="Arial"/>
          <w:bCs/>
          <w:sz w:val="22"/>
          <w:lang w:val="es-ES_tradnl" w:eastAsia="es-ES_tradnl"/>
        </w:rPr>
      </w:pPr>
    </w:p>
    <w:p w14:paraId="2076E5D3" w14:textId="77777777" w:rsidR="002072A4" w:rsidRPr="00E62261" w:rsidRDefault="002072A4" w:rsidP="002072A4">
      <w:pPr>
        <w:tabs>
          <w:tab w:val="left" w:pos="0"/>
        </w:tabs>
        <w:spacing w:after="120"/>
        <w:ind w:left="709" w:right="709"/>
        <w:jc w:val="both"/>
        <w:rPr>
          <w:rFonts w:ascii="Arial" w:hAnsi="Arial" w:cs="Arial"/>
          <w:sz w:val="21"/>
          <w:szCs w:val="21"/>
          <w:lang w:val="es-ES_tradnl" w:eastAsia="es-ES_tradnl"/>
        </w:rPr>
      </w:pPr>
      <w:r w:rsidRPr="00742837">
        <w:rPr>
          <w:rFonts w:ascii="Arial" w:hAnsi="Arial" w:cs="Arial"/>
          <w:sz w:val="21"/>
          <w:szCs w:val="21"/>
          <w:lang w:val="es-ES_tradnl" w:eastAsia="es-ES_tradnl"/>
        </w:rPr>
        <w:t>«</w:t>
      </w:r>
      <w:r w:rsidRPr="00E62261">
        <w:rPr>
          <w:rFonts w:ascii="Arial" w:hAnsi="Arial" w:cs="Arial"/>
          <w:sz w:val="21"/>
          <w:szCs w:val="21"/>
          <w:lang w:val="es-ES_tradnl" w:eastAsia="es-ES_tradnl"/>
        </w:rPr>
        <w:t xml:space="preserve">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w:t>
      </w:r>
      <w:proofErr w:type="gramStart"/>
      <w:r w:rsidRPr="00E62261">
        <w:rPr>
          <w:rFonts w:ascii="Arial" w:hAnsi="Arial" w:cs="Arial"/>
          <w:sz w:val="21"/>
          <w:szCs w:val="21"/>
          <w:lang w:val="es-ES_tradnl" w:eastAsia="es-ES_tradnl"/>
        </w:rPr>
        <w:t>que</w:t>
      </w:r>
      <w:proofErr w:type="gramEnd"/>
      <w:r w:rsidRPr="00E62261">
        <w:rPr>
          <w:rFonts w:ascii="Arial" w:hAnsi="Arial" w:cs="Arial"/>
          <w:sz w:val="21"/>
          <w:szCs w:val="21"/>
          <w:lang w:val="es-ES_tradnl" w:eastAsia="es-ES_tradnl"/>
        </w:rPr>
        <w:t xml:space="preserve"> en forma habitual u ordinaria, ejecuta la sociedad.</w:t>
      </w:r>
    </w:p>
    <w:p w14:paraId="0C5B9590" w14:textId="77777777" w:rsidR="002072A4" w:rsidRPr="00E62261" w:rsidRDefault="002072A4" w:rsidP="002072A4">
      <w:pPr>
        <w:tabs>
          <w:tab w:val="left" w:pos="0"/>
        </w:tabs>
        <w:ind w:left="709" w:right="709"/>
        <w:jc w:val="both"/>
        <w:rPr>
          <w:rFonts w:ascii="Arial" w:eastAsia="Calibri" w:hAnsi="Arial" w:cs="Arial"/>
          <w:bCs/>
          <w:sz w:val="21"/>
          <w:szCs w:val="21"/>
          <w:lang w:val="es-ES_tradnl" w:eastAsia="es-ES_tradnl"/>
        </w:rPr>
      </w:pPr>
      <w:r w:rsidRPr="00E62261">
        <w:rPr>
          <w:rFonts w:ascii="Arial" w:hAnsi="Arial" w:cs="Arial"/>
          <w:sz w:val="21"/>
          <w:szCs w:val="21"/>
          <w:lang w:val="es-ES_tradnl" w:eastAsia="es-ES_tradnl"/>
        </w:rPr>
        <w:t xml:space="preserve">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w:t>
      </w:r>
      <w:r w:rsidRPr="00E62261">
        <w:rPr>
          <w:rFonts w:ascii="Arial" w:hAnsi="Arial" w:cs="Arial"/>
          <w:sz w:val="21"/>
          <w:szCs w:val="21"/>
          <w:lang w:val="es-ES_tradnl" w:eastAsia="es-ES_tradnl"/>
        </w:rPr>
        <w:lastRenderedPageBreak/>
        <w:t>entre ambos conceptos, siendo el giro ordinario una especie que se enmarca al interior del genérico objeto social»</w:t>
      </w:r>
      <w:r w:rsidRPr="00E62261">
        <w:rPr>
          <w:rFonts w:ascii="Arial" w:hAnsi="Arial" w:cs="Arial"/>
          <w:vertAlign w:val="superscript"/>
          <w:lang w:eastAsia="es-ES_tradnl"/>
        </w:rPr>
        <w:footnoteReference w:id="15"/>
      </w:r>
      <w:r w:rsidRPr="00E62261">
        <w:rPr>
          <w:rFonts w:ascii="Arial" w:hAnsi="Arial" w:cs="Arial"/>
          <w:sz w:val="21"/>
          <w:szCs w:val="21"/>
          <w:lang w:val="es-ES_tradnl" w:eastAsia="es-ES_tradnl"/>
        </w:rPr>
        <w:t>.</w:t>
      </w:r>
    </w:p>
    <w:p w14:paraId="30857AD9" w14:textId="77777777" w:rsidR="002072A4" w:rsidRPr="00E62261" w:rsidRDefault="002072A4" w:rsidP="002072A4">
      <w:pPr>
        <w:tabs>
          <w:tab w:val="left" w:pos="0"/>
        </w:tabs>
        <w:spacing w:line="276" w:lineRule="auto"/>
        <w:jc w:val="both"/>
        <w:rPr>
          <w:rFonts w:ascii="Arial" w:eastAsia="Calibri" w:hAnsi="Arial" w:cs="Arial"/>
          <w:bCs/>
          <w:sz w:val="22"/>
          <w:lang w:val="es-ES_tradnl" w:eastAsia="es-ES_tradnl"/>
        </w:rPr>
      </w:pPr>
    </w:p>
    <w:p w14:paraId="0BC69FE4" w14:textId="77777777" w:rsidR="002072A4" w:rsidRPr="00E62261" w:rsidRDefault="002072A4" w:rsidP="002072A4">
      <w:pPr>
        <w:tabs>
          <w:tab w:val="left" w:pos="0"/>
        </w:tabs>
        <w:spacing w:after="120" w:line="276" w:lineRule="auto"/>
        <w:jc w:val="both"/>
        <w:rPr>
          <w:rFonts w:ascii="Arial" w:eastAsia="Calibri" w:hAnsi="Arial" w:cs="Arial"/>
          <w:bCs/>
          <w:sz w:val="22"/>
          <w:lang w:val="es-ES_tradnl" w:eastAsia="es-ES_tradnl"/>
        </w:rPr>
      </w:pPr>
      <w:r w:rsidRPr="00E62261">
        <w:rPr>
          <w:rFonts w:ascii="Arial" w:eastAsia="Calibri" w:hAnsi="Arial" w:cs="Arial"/>
          <w:bCs/>
          <w:sz w:val="22"/>
          <w:lang w:val="es-ES_tradnl" w:eastAsia="es-ES_tradnl"/>
        </w:rPr>
        <w:tab/>
        <w:t xml:space="preserve">De acuerdo con estas consideraciones, no hay una plena equivalencia entre las </w:t>
      </w:r>
      <w:bookmarkStart w:id="5" w:name="_Hlk95322109"/>
      <w:r w:rsidRPr="00E62261">
        <w:rPr>
          <w:rFonts w:ascii="Arial" w:eastAsia="Calibri" w:hAnsi="Arial" w:cs="Arial"/>
          <w:bCs/>
          <w:sz w:val="22"/>
          <w:lang w:val="es-ES_tradnl" w:eastAsia="es-ES_tradnl"/>
        </w:rPr>
        <w:t xml:space="preserve">actividades que hacen parte del desarrollo del </w:t>
      </w:r>
      <w:r w:rsidRPr="00E62261">
        <w:rPr>
          <w:rFonts w:ascii="Arial" w:eastAsia="Calibri" w:hAnsi="Arial" w:cs="Arial"/>
          <w:bCs/>
          <w:i/>
          <w:iCs/>
          <w:sz w:val="22"/>
          <w:lang w:val="es-ES_tradnl" w:eastAsia="es-ES_tradnl"/>
        </w:rPr>
        <w:t>objeto social</w:t>
      </w:r>
      <w:r w:rsidRPr="00E62261">
        <w:rPr>
          <w:rFonts w:ascii="Arial" w:eastAsia="Calibri" w:hAnsi="Arial" w:cs="Arial"/>
          <w:bCs/>
          <w:sz w:val="22"/>
          <w:lang w:val="es-ES_tradnl" w:eastAsia="es-ES_tradnl"/>
        </w:rPr>
        <w:t xml:space="preserve"> y las que comprende el </w:t>
      </w:r>
      <w:r w:rsidRPr="00E62261">
        <w:rPr>
          <w:rFonts w:ascii="Arial" w:eastAsia="Calibri" w:hAnsi="Arial" w:cs="Arial"/>
          <w:bCs/>
          <w:i/>
          <w:iCs/>
          <w:sz w:val="22"/>
          <w:lang w:val="es-ES_tradnl" w:eastAsia="es-ES_tradnl"/>
        </w:rPr>
        <w:t>giro ordinario</w:t>
      </w:r>
      <w:r w:rsidRPr="00E62261">
        <w:rPr>
          <w:rFonts w:ascii="Arial" w:eastAsia="Calibri" w:hAnsi="Arial" w:cs="Arial"/>
          <w:bCs/>
          <w:sz w:val="22"/>
          <w:lang w:val="es-ES_tradnl" w:eastAsia="es-ES_tradnl"/>
        </w:rPr>
        <w:t xml:space="preserve">, pues, como precisa la Superintendencia de Sociedades, entre lo que designan estas categorías existe una relación de género a especie. </w:t>
      </w:r>
    </w:p>
    <w:p w14:paraId="5DF0A520" w14:textId="77777777" w:rsidR="002072A4" w:rsidRPr="00E62261" w:rsidRDefault="002072A4" w:rsidP="002072A4">
      <w:pPr>
        <w:tabs>
          <w:tab w:val="left" w:pos="0"/>
        </w:tabs>
        <w:spacing w:after="120" w:line="276" w:lineRule="auto"/>
        <w:jc w:val="both"/>
        <w:rPr>
          <w:rFonts w:ascii="Arial" w:eastAsia="Calibri" w:hAnsi="Arial" w:cs="Arial"/>
          <w:bCs/>
          <w:sz w:val="22"/>
          <w:lang w:val="es-ES_tradnl" w:eastAsia="es-ES_tradnl"/>
        </w:rPr>
      </w:pPr>
      <w:r w:rsidRPr="00E62261">
        <w:rPr>
          <w:rFonts w:ascii="Arial" w:eastAsia="Calibri" w:hAnsi="Arial" w:cs="Arial"/>
          <w:bCs/>
          <w:sz w:val="22"/>
          <w:lang w:val="es-ES_tradnl" w:eastAsia="es-ES_tradnl"/>
        </w:rPr>
        <w:tab/>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w:t>
      </w:r>
      <w:r w:rsidRPr="00E62261">
        <w:rPr>
          <w:rFonts w:ascii="Arial" w:eastAsia="Calibri" w:hAnsi="Arial" w:cs="Arial"/>
          <w:bCs/>
          <w:i/>
          <w:iCs/>
          <w:sz w:val="22"/>
          <w:lang w:val="es-ES_tradnl" w:eastAsia="es-ES_tradnl"/>
        </w:rPr>
        <w:t xml:space="preserve">giro ordinario </w:t>
      </w:r>
      <w:r w:rsidRPr="00E62261">
        <w:rPr>
          <w:rFonts w:ascii="Arial" w:eastAsia="Calibri" w:hAnsi="Arial" w:cs="Arial"/>
          <w:bCs/>
          <w:sz w:val="22"/>
          <w:lang w:val="es-ES_tradnl" w:eastAsia="es-ES_tradnl"/>
        </w:rPr>
        <w:t xml:space="preserve">en dicha norma se usa para designar a la contratación directamente relacionada con los asuntos de la gestión habitual u ordinaria de los tipos de entidades mencionadas en el parágrafo. No obstante, la determinación de las actividades que comprenden el </w:t>
      </w:r>
      <w:r w:rsidRPr="00E62261">
        <w:rPr>
          <w:rFonts w:ascii="Arial" w:eastAsia="Calibri" w:hAnsi="Arial" w:cs="Arial"/>
          <w:bCs/>
          <w:i/>
          <w:iCs/>
          <w:sz w:val="22"/>
          <w:lang w:val="es-ES_tradnl" w:eastAsia="es-ES_tradnl"/>
        </w:rPr>
        <w:t>giro ordinario</w:t>
      </w:r>
      <w:r w:rsidRPr="00E62261">
        <w:rPr>
          <w:rFonts w:ascii="Arial" w:eastAsia="Calibri" w:hAnsi="Arial" w:cs="Arial"/>
          <w:bCs/>
          <w:sz w:val="22"/>
          <w:lang w:val="es-ES_tradnl" w:eastAsia="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E62261">
        <w:rPr>
          <w:rFonts w:ascii="Arial" w:eastAsia="Calibri" w:hAnsi="Arial" w:cs="Arial"/>
          <w:bCs/>
          <w:i/>
          <w:iCs/>
          <w:sz w:val="22"/>
          <w:lang w:val="es-ES_tradnl" w:eastAsia="es-ES_tradnl"/>
        </w:rPr>
        <w:t>ejusdem</w:t>
      </w:r>
      <w:proofErr w:type="spellEnd"/>
      <w:r w:rsidRPr="00E62261">
        <w:rPr>
          <w:rFonts w:ascii="Arial" w:eastAsia="Calibri" w:hAnsi="Arial" w:cs="Arial"/>
          <w:bCs/>
          <w:sz w:val="22"/>
          <w:lang w:val="es-ES_tradnl" w:eastAsia="es-ES_tradnl"/>
        </w:rPr>
        <w:t xml:space="preserve"> se limita a enunciar algunos tipos de entidades estatales, las cuales no solo difieren en su naturaleza jurídica, sino también en las actividades que realizan. </w:t>
      </w:r>
    </w:p>
    <w:p w14:paraId="73FB9869" w14:textId="77777777" w:rsidR="002072A4" w:rsidRPr="00E62261" w:rsidRDefault="002072A4" w:rsidP="002072A4">
      <w:pPr>
        <w:tabs>
          <w:tab w:val="left" w:pos="0"/>
        </w:tabs>
        <w:spacing w:after="120" w:line="276" w:lineRule="auto"/>
        <w:ind w:firstLine="709"/>
        <w:jc w:val="both"/>
        <w:rPr>
          <w:rFonts w:ascii="Arial" w:eastAsia="Calibri" w:hAnsi="Arial" w:cs="Arial"/>
          <w:bCs/>
          <w:sz w:val="22"/>
          <w:lang w:val="es-ES_tradnl" w:eastAsia="es-ES_tradnl"/>
        </w:rPr>
      </w:pPr>
      <w:r w:rsidRPr="00E62261">
        <w:rPr>
          <w:rFonts w:ascii="Arial" w:eastAsia="Calibri" w:hAnsi="Arial" w:cs="Arial"/>
          <w:bCs/>
          <w:sz w:val="22"/>
          <w:lang w:val="es-ES_tradnl" w:eastAsia="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E62261">
        <w:rPr>
          <w:rFonts w:ascii="Arial" w:eastAsia="Calibri" w:hAnsi="Arial" w:cs="Arial"/>
          <w:bCs/>
          <w:i/>
          <w:iCs/>
          <w:sz w:val="22"/>
          <w:lang w:val="es-ES_tradnl" w:eastAsia="es-ES_tradnl"/>
        </w:rPr>
        <w:t>giro ordinario</w:t>
      </w:r>
      <w:r w:rsidRPr="00E62261">
        <w:rPr>
          <w:rFonts w:ascii="Arial" w:eastAsia="Calibri" w:hAnsi="Arial" w:cs="Arial"/>
          <w:bCs/>
          <w:sz w:val="22"/>
          <w:lang w:val="es-ES_tradnl" w:eastAsia="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5"/>
    <w:p w14:paraId="1612E18B" w14:textId="77777777" w:rsidR="002072A4" w:rsidRPr="00E62261" w:rsidRDefault="002072A4" w:rsidP="002072A4">
      <w:pPr>
        <w:tabs>
          <w:tab w:val="left" w:pos="0"/>
        </w:tabs>
        <w:spacing w:after="120" w:line="276" w:lineRule="auto"/>
        <w:jc w:val="both"/>
        <w:rPr>
          <w:rFonts w:ascii="Arial" w:eastAsia="Calibri" w:hAnsi="Arial" w:cs="Arial"/>
          <w:bCs/>
          <w:sz w:val="22"/>
          <w:lang w:val="es-ES_tradnl" w:eastAsia="es-ES_tradnl"/>
        </w:rPr>
      </w:pPr>
      <w:r w:rsidRPr="00E62261">
        <w:rPr>
          <w:rFonts w:ascii="Arial" w:eastAsia="Calibri" w:hAnsi="Arial" w:cs="Arial"/>
          <w:bCs/>
          <w:sz w:val="22"/>
          <w:lang w:val="es-ES_tradnl" w:eastAsia="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los documentos tipo únicamente para la contratación relacionada con el </w:t>
      </w:r>
      <w:r w:rsidRPr="00E62261">
        <w:rPr>
          <w:rFonts w:ascii="Arial" w:eastAsia="Calibri" w:hAnsi="Arial" w:cs="Arial"/>
          <w:bCs/>
          <w:i/>
          <w:iCs/>
          <w:sz w:val="22"/>
          <w:lang w:val="es-ES_tradnl" w:eastAsia="es-ES_tradnl"/>
        </w:rPr>
        <w:t xml:space="preserve">giro ordinario </w:t>
      </w:r>
      <w:r w:rsidRPr="00E62261">
        <w:rPr>
          <w:rFonts w:ascii="Arial" w:eastAsia="Calibri" w:hAnsi="Arial" w:cs="Arial"/>
          <w:bCs/>
          <w:sz w:val="22"/>
          <w:lang w:val="es-ES_tradnl" w:eastAsia="es-ES_tradnl"/>
        </w:rPr>
        <w:t xml:space="preserve">de sus asuntos, salvo que los manuales internos de contratación de </w:t>
      </w:r>
      <w:r w:rsidRPr="00E62261">
        <w:rPr>
          <w:rFonts w:ascii="Arial" w:eastAsia="Calibri" w:hAnsi="Arial" w:cs="Arial"/>
          <w:bCs/>
          <w:sz w:val="22"/>
          <w:lang w:val="es-ES_tradnl" w:eastAsia="es-ES_tradnl"/>
        </w:rPr>
        <w:lastRenderedPageBreak/>
        <w:t xml:space="preserve">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E62261">
        <w:rPr>
          <w:rFonts w:ascii="Arial" w:eastAsia="Calibri" w:hAnsi="Arial" w:cs="Arial"/>
          <w:bCs/>
          <w:i/>
          <w:iCs/>
          <w:sz w:val="22"/>
          <w:lang w:val="es-ES_tradnl" w:eastAsia="es-ES_tradnl"/>
        </w:rPr>
        <w:t>su giro ordinario</w:t>
      </w:r>
      <w:r w:rsidRPr="00E62261">
        <w:rPr>
          <w:rFonts w:ascii="Arial" w:eastAsia="Calibri" w:hAnsi="Arial" w:cs="Arial"/>
          <w:bCs/>
          <w:sz w:val="22"/>
          <w:lang w:val="es-ES_tradnl" w:eastAsia="es-ES_tradnl"/>
        </w:rPr>
        <w:t xml:space="preserve">, entendido este conforme a los criterios jurisprudenciales y doctrinarios aquí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E62261">
        <w:rPr>
          <w:rFonts w:ascii="Arial" w:eastAsia="Calibri" w:hAnsi="Arial" w:cs="Arial"/>
          <w:bCs/>
          <w:i/>
          <w:iCs/>
          <w:sz w:val="22"/>
          <w:lang w:val="es-ES_tradnl" w:eastAsia="es-ES_tradnl"/>
        </w:rPr>
        <w:t>giro ordinario</w:t>
      </w:r>
      <w:r w:rsidRPr="00E62261">
        <w:rPr>
          <w:rFonts w:ascii="Arial" w:eastAsia="Calibri" w:hAnsi="Arial" w:cs="Arial"/>
          <w:bCs/>
          <w:sz w:val="22"/>
          <w:lang w:val="es-ES_tradnl" w:eastAsia="es-ES_tradnl"/>
        </w:rPr>
        <w:t xml:space="preserve">, a menos que su manual de contratación establezca lo contrario. De hacerlo, primará el principio de inderogabilidad singular del reglamento, que obliga a aplicarlo en las actuaciones concretas.  </w:t>
      </w:r>
    </w:p>
    <w:p w14:paraId="6D634C76" w14:textId="77777777" w:rsidR="002072A4" w:rsidRPr="00E62261" w:rsidRDefault="002072A4" w:rsidP="002072A4">
      <w:pPr>
        <w:tabs>
          <w:tab w:val="left" w:pos="0"/>
        </w:tabs>
        <w:spacing w:after="120" w:line="276" w:lineRule="auto"/>
        <w:jc w:val="both"/>
        <w:rPr>
          <w:rFonts w:ascii="Arial" w:eastAsia="Calibri" w:hAnsi="Arial" w:cs="Arial"/>
          <w:bCs/>
          <w:sz w:val="22"/>
          <w:lang w:val="es-ES_tradnl" w:eastAsia="es-ES_tradnl"/>
        </w:rPr>
      </w:pPr>
      <w:r w:rsidRPr="00E62261">
        <w:rPr>
          <w:rFonts w:ascii="Arial" w:eastAsia="Calibri" w:hAnsi="Arial" w:cs="Arial"/>
          <w:bCs/>
          <w:sz w:val="22"/>
          <w:lang w:val="es-ES_tradnl" w:eastAsia="es-ES_tradnl"/>
        </w:rPr>
        <w:tab/>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E62261">
        <w:rPr>
          <w:rFonts w:ascii="Arial" w:eastAsia="Calibri" w:hAnsi="Arial" w:cs="Arial"/>
          <w:vertAlign w:val="superscript"/>
          <w:lang w:eastAsia="es-ES_tradnl"/>
        </w:rPr>
        <w:footnoteReference w:id="16"/>
      </w:r>
      <w:r w:rsidRPr="00E62261">
        <w:rPr>
          <w:rFonts w:ascii="Arial" w:eastAsia="Calibri" w:hAnsi="Arial" w:cs="Arial"/>
          <w:bCs/>
          <w:sz w:val="22"/>
          <w:lang w:val="es-ES_tradnl" w:eastAsia="es-ES_tradnl"/>
        </w:rPr>
        <w:t>–, no es menos cierto que el Legislador, en materia de contratación estatal, goza de un amplio margen de configuración normativa, de conformidad con lo dispuesto en el inciso final del artículo 150 de la Constitución Política</w:t>
      </w:r>
      <w:r w:rsidRPr="00E62261">
        <w:rPr>
          <w:rFonts w:ascii="Arial" w:eastAsia="Calibri" w:hAnsi="Arial" w:cs="Arial"/>
          <w:vertAlign w:val="superscript"/>
          <w:lang w:eastAsia="es-ES_tradnl"/>
        </w:rPr>
        <w:footnoteReference w:id="17"/>
      </w:r>
      <w:r w:rsidRPr="00E62261">
        <w:rPr>
          <w:rFonts w:ascii="Arial" w:eastAsia="Calibri" w:hAnsi="Arial" w:cs="Arial"/>
          <w:bCs/>
          <w:sz w:val="22"/>
          <w:lang w:val="es-ES_tradnl" w:eastAsia="es-ES_tradnl"/>
        </w:rPr>
        <w:t xml:space="preserve">. En ese sentido, en virtud de esta potestad de configuración </w:t>
      </w:r>
      <w:r w:rsidRPr="00E62261">
        <w:rPr>
          <w:rFonts w:ascii="Arial" w:eastAsia="Calibri" w:hAnsi="Arial" w:cs="Arial"/>
          <w:bCs/>
          <w:sz w:val="22"/>
          <w:lang w:val="es-ES_tradnl" w:eastAsia="es-ES_tradnl"/>
        </w:rPr>
        <w:lastRenderedPageBreak/>
        <w:t xml:space="preserve">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E62261">
        <w:rPr>
          <w:rFonts w:ascii="Arial" w:eastAsia="Calibri" w:hAnsi="Arial" w:cs="Arial"/>
          <w:bCs/>
          <w:i/>
          <w:iCs/>
          <w:sz w:val="22"/>
          <w:lang w:val="es-ES_tradnl" w:eastAsia="es-ES_tradnl"/>
        </w:rPr>
        <w:t>giro ordinario.</w:t>
      </w:r>
      <w:r w:rsidRPr="00E62261">
        <w:rPr>
          <w:rFonts w:ascii="Arial" w:eastAsia="Calibri" w:hAnsi="Arial" w:cs="Arial"/>
          <w:bCs/>
          <w:sz w:val="22"/>
          <w:lang w:val="es-ES_tradnl" w:eastAsia="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E62261">
        <w:rPr>
          <w:rFonts w:ascii="Arial" w:eastAsia="Calibri" w:hAnsi="Arial" w:cs="Arial"/>
          <w:vertAlign w:val="superscript"/>
          <w:lang w:eastAsia="es-ES_tradnl"/>
        </w:rPr>
        <w:footnoteReference w:id="18"/>
      </w:r>
      <w:r w:rsidRPr="00E62261">
        <w:rPr>
          <w:rFonts w:ascii="Arial" w:eastAsia="Calibri" w:hAnsi="Arial" w:cs="Arial"/>
          <w:bCs/>
          <w:sz w:val="22"/>
          <w:lang w:val="es-ES_tradnl" w:eastAsia="es-ES_tradnl"/>
        </w:rPr>
        <w:t>.</w:t>
      </w:r>
    </w:p>
    <w:p w14:paraId="15794933" w14:textId="77777777" w:rsidR="002072A4" w:rsidRPr="00E62261" w:rsidRDefault="002072A4" w:rsidP="002072A4">
      <w:pPr>
        <w:tabs>
          <w:tab w:val="left" w:pos="0"/>
        </w:tabs>
        <w:spacing w:before="120" w:after="120" w:line="276" w:lineRule="auto"/>
        <w:ind w:firstLine="709"/>
        <w:jc w:val="both"/>
        <w:rPr>
          <w:rFonts w:ascii="Arial" w:hAnsi="Arial" w:cs="Arial"/>
          <w:sz w:val="22"/>
          <w:lang w:eastAsia="es-ES_tradnl"/>
        </w:rPr>
      </w:pPr>
      <w:r w:rsidRPr="00E62261">
        <w:rPr>
          <w:rFonts w:ascii="Arial" w:eastAsia="Calibri" w:hAnsi="Arial" w:cs="Arial"/>
          <w:bCs/>
          <w:sz w:val="22"/>
          <w:lang w:val="es-ES_tradnl" w:eastAsia="es-ES_tradnl"/>
        </w:rPr>
        <w:t>De acuerdo con esta interpretación restrictiva</w:t>
      </w:r>
      <w:r w:rsidRPr="00E62261">
        <w:rPr>
          <w:rFonts w:ascii="Arial" w:eastAsia="Calibri" w:hAnsi="Arial" w:cs="Arial"/>
          <w:vertAlign w:val="superscript"/>
          <w:lang w:eastAsia="es-ES_tradnl"/>
        </w:rPr>
        <w:footnoteReference w:id="19"/>
      </w:r>
      <w:r w:rsidRPr="00E62261">
        <w:rPr>
          <w:rFonts w:ascii="Arial" w:eastAsia="Calibri" w:hAnsi="Arial" w:cs="Arial"/>
          <w:bCs/>
          <w:sz w:val="22"/>
          <w:lang w:val="es-ES_tradnl" w:eastAsia="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E62261">
        <w:rPr>
          <w:rFonts w:ascii="Arial" w:eastAsia="Calibri" w:hAnsi="Arial" w:cs="Arial"/>
          <w:bCs/>
          <w:i/>
          <w:iCs/>
          <w:sz w:val="22"/>
          <w:lang w:val="es-ES_tradnl" w:eastAsia="es-ES_tradnl"/>
        </w:rPr>
        <w:t xml:space="preserve">giro ordinario, </w:t>
      </w:r>
      <w:r w:rsidRPr="00E62261">
        <w:rPr>
          <w:rFonts w:ascii="Arial" w:eastAsia="Calibri" w:hAnsi="Arial" w:cs="Arial"/>
          <w:bCs/>
          <w:sz w:val="22"/>
          <w:lang w:val="es-ES_tradnl" w:eastAsia="es-ES_tradnl"/>
        </w:rPr>
        <w:t>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E62261">
        <w:rPr>
          <w:rFonts w:ascii="Arial" w:hAnsi="Arial" w:cs="Arial"/>
          <w:vertAlign w:val="superscript"/>
          <w:lang w:eastAsia="es-ES_tradnl"/>
        </w:rPr>
        <w:footnoteReference w:id="20"/>
      </w:r>
      <w:r w:rsidRPr="00E62261">
        <w:rPr>
          <w:rFonts w:ascii="Arial" w:eastAsia="Calibri" w:hAnsi="Arial" w:cs="Arial"/>
          <w:bCs/>
          <w:sz w:val="22"/>
          <w:lang w:val="es-ES_tradnl" w:eastAsia="es-ES_tradnl"/>
        </w:rPr>
        <w:t xml:space="preserve">, </w:t>
      </w:r>
      <w:r w:rsidRPr="00E62261">
        <w:rPr>
          <w:rFonts w:ascii="Arial" w:eastAsia="Calibri" w:hAnsi="Arial" w:cs="Arial"/>
          <w:bCs/>
          <w:sz w:val="22"/>
          <w:lang w:val="es-ES_tradnl" w:eastAsia="es-ES_tradnl"/>
        </w:rPr>
        <w:lastRenderedPageBreak/>
        <w:t>al igual que la regla según la cual «</w:t>
      </w:r>
      <w:r w:rsidRPr="00E62261">
        <w:rPr>
          <w:rFonts w:ascii="Arial" w:hAnsi="Arial" w:cs="Arial"/>
          <w:sz w:val="22"/>
          <w:lang w:eastAsia="es-ES_tradnl"/>
        </w:rPr>
        <w:t>Lo favorable u odioso de una disposición no se tomará en cuenta para ampliar o restringir su interpretación»</w:t>
      </w:r>
      <w:r w:rsidRPr="00E62261">
        <w:rPr>
          <w:rFonts w:ascii="Arial" w:hAnsi="Arial" w:cs="Arial"/>
          <w:vertAlign w:val="superscript"/>
          <w:lang w:eastAsia="es-ES_tradnl"/>
        </w:rPr>
        <w:footnoteReference w:id="21"/>
      </w:r>
      <w:r w:rsidRPr="00E62261">
        <w:rPr>
          <w:rFonts w:ascii="Arial" w:hAnsi="Arial" w:cs="Arial"/>
          <w:sz w:val="22"/>
          <w:lang w:eastAsia="es-ES_tradnl"/>
        </w:rPr>
        <w:t xml:space="preserve">. </w:t>
      </w:r>
    </w:p>
    <w:p w14:paraId="68F9E697" w14:textId="77777777" w:rsidR="002072A4" w:rsidRDefault="002072A4" w:rsidP="002072A4">
      <w:pPr>
        <w:tabs>
          <w:tab w:val="left" w:pos="0"/>
        </w:tabs>
        <w:spacing w:before="120" w:line="276" w:lineRule="auto"/>
        <w:ind w:firstLine="709"/>
        <w:jc w:val="both"/>
        <w:rPr>
          <w:rFonts w:ascii="Arial" w:eastAsia="Calibri" w:hAnsi="Arial" w:cs="Arial"/>
          <w:bCs/>
          <w:sz w:val="22"/>
          <w:lang w:val="es-ES_tradnl" w:eastAsia="es-ES_tradnl"/>
        </w:rPr>
      </w:pPr>
      <w:r w:rsidRPr="00E62261">
        <w:rPr>
          <w:rFonts w:ascii="Arial" w:eastAsia="Calibri" w:hAnsi="Arial" w:cs="Arial"/>
          <w:bCs/>
          <w:sz w:val="22"/>
          <w:lang w:val="es-ES_tradnl" w:eastAsia="es-ES_tradnl"/>
        </w:rPr>
        <w:t xml:space="preserve">En conclusión, a juicio de esta Agencia lo dispuesto en el parágrafo del artículo 56 de la Ley 2195 de 2022, es una manifestación de la voluntad del Legislador de relevar a las 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E62261">
        <w:rPr>
          <w:rFonts w:ascii="Arial" w:eastAsia="Calibri" w:hAnsi="Arial" w:cs="Arial"/>
          <w:bCs/>
          <w:i/>
          <w:iCs/>
          <w:sz w:val="22"/>
          <w:lang w:val="es-ES_tradnl" w:eastAsia="es-ES_tradnl"/>
        </w:rPr>
        <w:t>giro ordinario</w:t>
      </w:r>
      <w:r w:rsidRPr="00E62261">
        <w:rPr>
          <w:rFonts w:ascii="Arial" w:eastAsia="Calibri" w:hAnsi="Arial" w:cs="Arial"/>
          <w:bCs/>
          <w:sz w:val="22"/>
          <w:lang w:val="es-ES_tradnl" w:eastAsia="es-ES_tradnl"/>
        </w:rPr>
        <w:t xml:space="preserve">. Esto significa que tales entidades, cuando, en desarrollo de un contrato o un convenio con una entidad sometida al EGCAP, requieran contratar un objeto cobijado por algún documento tipo, que no esté comprendido dentro de su </w:t>
      </w:r>
      <w:r w:rsidRPr="00E62261">
        <w:rPr>
          <w:rFonts w:ascii="Arial" w:eastAsia="Calibri" w:hAnsi="Arial" w:cs="Arial"/>
          <w:bCs/>
          <w:i/>
          <w:iCs/>
          <w:sz w:val="22"/>
          <w:lang w:val="es-ES_tradnl" w:eastAsia="es-ES_tradnl"/>
        </w:rPr>
        <w:t>giro ordinario,</w:t>
      </w:r>
      <w:r w:rsidRPr="00E62261">
        <w:rPr>
          <w:rFonts w:ascii="Arial" w:eastAsia="Calibri" w:hAnsi="Arial" w:cs="Arial"/>
          <w:bCs/>
          <w:sz w:val="22"/>
          <w:lang w:val="es-ES_tradnl" w:eastAsia="es-ES_tradnl"/>
        </w:rPr>
        <w:t xml:space="preserve"> deberán regirse por lo establecido en los dos incisos del referido artículo. Esta interpretación encuentra sustento en el principio del efecto útil del artículo 56 de la Ley 2195 de 2022, pues refleja el alcance que el Legislador quiso darle a la norma en comento.  </w:t>
      </w:r>
    </w:p>
    <w:p w14:paraId="5610307B" w14:textId="77777777" w:rsidR="002072A4" w:rsidRPr="00F867D5" w:rsidRDefault="002072A4" w:rsidP="002072A4">
      <w:pPr>
        <w:tabs>
          <w:tab w:val="left" w:pos="0"/>
        </w:tabs>
        <w:spacing w:line="276" w:lineRule="auto"/>
        <w:ind w:firstLine="709"/>
        <w:jc w:val="both"/>
        <w:rPr>
          <w:rFonts w:ascii="Arial" w:eastAsia="Calibri" w:hAnsi="Arial" w:cs="Arial"/>
          <w:bCs/>
          <w:sz w:val="16"/>
          <w:szCs w:val="18"/>
          <w:lang w:val="es-ES_tradnl" w:eastAsia="es-ES_tradnl"/>
        </w:rPr>
      </w:pPr>
    </w:p>
    <w:p w14:paraId="4620C1AA" w14:textId="77777777" w:rsidR="002072A4" w:rsidRDefault="002072A4" w:rsidP="002072A4">
      <w:pPr>
        <w:tabs>
          <w:tab w:val="left" w:pos="709"/>
        </w:tabs>
        <w:spacing w:line="276" w:lineRule="auto"/>
        <w:jc w:val="both"/>
        <w:rPr>
          <w:rFonts w:ascii="Arial" w:eastAsia="Calibri" w:hAnsi="Arial" w:cs="Arial"/>
          <w:b/>
          <w:sz w:val="22"/>
          <w:szCs w:val="22"/>
          <w:lang w:val="es-ES"/>
        </w:rPr>
      </w:pPr>
      <w:r w:rsidRPr="00924DEF">
        <w:rPr>
          <w:rFonts w:ascii="Arial" w:eastAsia="Calibri" w:hAnsi="Arial" w:cs="Arial"/>
          <w:b/>
          <w:sz w:val="22"/>
          <w:szCs w:val="22"/>
          <w:lang w:val="es-ES"/>
        </w:rPr>
        <w:t>3. Respuesta</w:t>
      </w:r>
    </w:p>
    <w:p w14:paraId="71B26E92" w14:textId="77777777" w:rsidR="002072A4" w:rsidRPr="00F867D5" w:rsidRDefault="002072A4" w:rsidP="002072A4">
      <w:pPr>
        <w:tabs>
          <w:tab w:val="left" w:pos="709"/>
        </w:tabs>
        <w:spacing w:line="276" w:lineRule="auto"/>
        <w:jc w:val="both"/>
        <w:rPr>
          <w:rFonts w:ascii="Arial" w:eastAsia="Calibri" w:hAnsi="Arial" w:cs="Arial"/>
          <w:b/>
          <w:sz w:val="18"/>
          <w:szCs w:val="18"/>
          <w:lang w:val="es-ES"/>
        </w:rPr>
      </w:pPr>
    </w:p>
    <w:p w14:paraId="6548D2BE" w14:textId="77777777" w:rsidR="002072A4" w:rsidRPr="000045A3" w:rsidRDefault="002072A4" w:rsidP="002072A4">
      <w:pPr>
        <w:pStyle w:val="NormalWeb"/>
        <w:spacing w:before="0" w:beforeAutospacing="0" w:after="0" w:afterAutospacing="0"/>
        <w:ind w:left="709" w:right="709"/>
        <w:jc w:val="both"/>
        <w:rPr>
          <w:rFonts w:ascii="Arial" w:hAnsi="Arial" w:cs="Arial"/>
          <w:sz w:val="21"/>
          <w:szCs w:val="21"/>
        </w:rPr>
      </w:pPr>
      <w:r w:rsidRPr="000045A3">
        <w:rPr>
          <w:rFonts w:ascii="Arial" w:hAnsi="Arial" w:cs="Arial"/>
          <w:sz w:val="21"/>
          <w:szCs w:val="21"/>
        </w:rPr>
        <w:t xml:space="preserve">«[…] si las empresas de servicios públicos de acueducto, alcantarillado y aseo, de régimen especial que se rigen por su propio manual de contratación </w:t>
      </w:r>
      <w:proofErr w:type="gramStart"/>
      <w:r w:rsidRPr="000045A3">
        <w:rPr>
          <w:rFonts w:ascii="Arial" w:hAnsi="Arial" w:cs="Arial"/>
          <w:sz w:val="21"/>
          <w:szCs w:val="21"/>
        </w:rPr>
        <w:t>de acuerdo a</w:t>
      </w:r>
      <w:proofErr w:type="gramEnd"/>
      <w:r w:rsidRPr="000045A3">
        <w:rPr>
          <w:rFonts w:ascii="Arial" w:hAnsi="Arial" w:cs="Arial"/>
          <w:sz w:val="21"/>
          <w:szCs w:val="21"/>
        </w:rPr>
        <w:t xml:space="preserve"> la ley 142 de 1993 (sic), las cuales no contemplan dentro de su modalidad de contratación la licitación, están obligadas adoptar o no los pliegos tipo para la licitación de obras de acueducto y saneamiento básico, más cuando se tratan de empresas descentralizadas de Municipios de sexta categoría.»</w:t>
      </w:r>
    </w:p>
    <w:p w14:paraId="35C9BF08" w14:textId="77777777" w:rsidR="002072A4" w:rsidRPr="00F867D5" w:rsidRDefault="002072A4" w:rsidP="002072A4">
      <w:pPr>
        <w:spacing w:line="276" w:lineRule="auto"/>
        <w:ind w:right="709"/>
        <w:jc w:val="both"/>
        <w:rPr>
          <w:rFonts w:ascii="Arial" w:hAnsi="Arial" w:cs="Arial"/>
          <w:color w:val="000000"/>
          <w:sz w:val="18"/>
          <w:szCs w:val="18"/>
        </w:rPr>
      </w:pPr>
    </w:p>
    <w:p w14:paraId="17B260FD" w14:textId="77777777" w:rsidR="002072A4" w:rsidRPr="00437DB9" w:rsidRDefault="002072A4" w:rsidP="002072A4">
      <w:pPr>
        <w:spacing w:line="276" w:lineRule="auto"/>
        <w:jc w:val="both"/>
        <w:rPr>
          <w:rFonts w:ascii="Arial" w:hAnsi="Arial" w:cs="Arial"/>
          <w:color w:val="000000" w:themeColor="text1"/>
          <w:sz w:val="22"/>
          <w:szCs w:val="22"/>
          <w:shd w:val="clear" w:color="auto" w:fill="FFFFFF"/>
          <w:lang w:val="es-ES_tradnl"/>
        </w:rPr>
      </w:pPr>
      <w:bookmarkStart w:id="6" w:name="_Hlk96331557"/>
      <w:r w:rsidRPr="00437DB9">
        <w:rPr>
          <w:rFonts w:ascii="Arial" w:hAnsi="Arial" w:cs="Arial"/>
          <w:color w:val="000000" w:themeColor="text1"/>
          <w:sz w:val="22"/>
          <w:szCs w:val="22"/>
          <w:shd w:val="clear" w:color="auto" w:fill="FFFFFF"/>
          <w:lang w:val="es-ES_tradnl"/>
        </w:rPr>
        <w:t>De conformidad con lo expuesto, en virtud de lo establecido en el parágrafo 7 del artículo 2 de la Ley 1150 de 2007, modificado por el artículo 1 de la Ley 2022 de 2020, las entidades estatales regidas por el Estatuto General de Contratación de la Administración Pública están obligadas a aplicar los documentos tipo en los procedimientos y contratos que adelanten en aplicación de dicha normativa. Adicionalmente, en atención a lo dispuesto en los dos primeros incisos del artículo 56 de la Ley 2195 de 2022</w:t>
      </w:r>
      <w:r>
        <w:rPr>
          <w:rFonts w:ascii="Arial" w:hAnsi="Arial" w:cs="Arial"/>
          <w:color w:val="000000" w:themeColor="text1"/>
          <w:sz w:val="22"/>
          <w:szCs w:val="22"/>
          <w:shd w:val="clear" w:color="auto" w:fill="FFFFFF"/>
          <w:lang w:val="es-ES_tradnl"/>
        </w:rPr>
        <w:t xml:space="preserve">, </w:t>
      </w:r>
      <w:r w:rsidRPr="00437DB9">
        <w:rPr>
          <w:rFonts w:ascii="Arial" w:hAnsi="Arial" w:cs="Arial"/>
          <w:color w:val="000000" w:themeColor="text1"/>
          <w:sz w:val="22"/>
          <w:szCs w:val="22"/>
          <w:shd w:val="clear" w:color="auto" w:fill="FFFFFF"/>
          <w:lang w:val="es-ES_tradnl"/>
        </w:rPr>
        <w:t>cuando estas entidades suscriban convenios o contratos de cualquier índole con entidades estatales de régimen especial o exc</w:t>
      </w:r>
      <w:r w:rsidRPr="00CE4F09">
        <w:rPr>
          <w:rFonts w:ascii="Arial" w:hAnsi="Arial" w:cs="Arial"/>
          <w:color w:val="000000" w:themeColor="text1"/>
          <w:sz w:val="22"/>
          <w:szCs w:val="22"/>
          <w:shd w:val="clear" w:color="auto" w:fill="FFFFFF"/>
          <w:lang w:val="es-ES_tradnl"/>
        </w:rPr>
        <w:t>eptuado,</w:t>
      </w:r>
      <w:r w:rsidRPr="00437DB9">
        <w:rPr>
          <w:rFonts w:ascii="Arial" w:hAnsi="Arial" w:cs="Arial"/>
          <w:color w:val="000000" w:themeColor="text1"/>
          <w:sz w:val="22"/>
          <w:szCs w:val="22"/>
          <w:shd w:val="clear" w:color="auto" w:fill="FFFFFF"/>
          <w:lang w:val="es-ES_tradnl"/>
        </w:rPr>
        <w:t xml:space="preserve"> patrimonios autónomos, personas naturales o jurídicas de derecho privado, también deberán aplicar documentos tipo, y en general, las disposiciones del Estatuto General de Contratación de la Administración Pública.  </w:t>
      </w:r>
    </w:p>
    <w:p w14:paraId="313F7D89" w14:textId="77777777" w:rsidR="002072A4" w:rsidRPr="00437DB9" w:rsidRDefault="002072A4" w:rsidP="002072A4">
      <w:pPr>
        <w:spacing w:before="120" w:line="276" w:lineRule="auto"/>
        <w:ind w:firstLine="708"/>
        <w:jc w:val="both"/>
        <w:rPr>
          <w:rFonts w:ascii="Arial" w:hAnsi="Arial" w:cs="Arial"/>
          <w:color w:val="000000" w:themeColor="text1"/>
          <w:sz w:val="22"/>
          <w:szCs w:val="22"/>
          <w:shd w:val="clear" w:color="auto" w:fill="FFFFFF"/>
          <w:lang w:val="es-ES_tradnl"/>
        </w:rPr>
      </w:pPr>
      <w:r>
        <w:rPr>
          <w:rFonts w:ascii="Arial" w:hAnsi="Arial" w:cs="Arial"/>
          <w:color w:val="000000" w:themeColor="text1"/>
          <w:sz w:val="22"/>
          <w:szCs w:val="22"/>
          <w:shd w:val="clear" w:color="auto" w:fill="FFFFFF"/>
          <w:lang w:val="es-ES_tradnl"/>
        </w:rPr>
        <w:t xml:space="preserve">La obligación de aplicar </w:t>
      </w:r>
      <w:r w:rsidRPr="00437DB9">
        <w:rPr>
          <w:rFonts w:ascii="Arial" w:hAnsi="Arial" w:cs="Arial"/>
          <w:color w:val="000000" w:themeColor="text1"/>
          <w:sz w:val="22"/>
          <w:szCs w:val="22"/>
          <w:shd w:val="clear" w:color="auto" w:fill="FFFFFF"/>
          <w:lang w:val="es-ES_tradnl"/>
        </w:rPr>
        <w:t>documentos tipo</w:t>
      </w:r>
      <w:r>
        <w:rPr>
          <w:rFonts w:ascii="Arial" w:hAnsi="Arial" w:cs="Arial"/>
          <w:color w:val="000000" w:themeColor="text1"/>
          <w:sz w:val="22"/>
          <w:szCs w:val="22"/>
          <w:shd w:val="clear" w:color="auto" w:fill="FFFFFF"/>
          <w:lang w:val="es-ES_tradnl"/>
        </w:rPr>
        <w:t>,</w:t>
      </w:r>
      <w:r w:rsidRPr="00437DB9">
        <w:rPr>
          <w:rFonts w:ascii="Arial" w:hAnsi="Arial" w:cs="Arial"/>
          <w:color w:val="000000" w:themeColor="text1"/>
          <w:sz w:val="22"/>
          <w:szCs w:val="22"/>
          <w:shd w:val="clear" w:color="auto" w:fill="FFFFFF"/>
          <w:lang w:val="es-ES_tradnl"/>
        </w:rPr>
        <w:t xml:space="preserve"> y en general, las disposiciones del Estatuto General de Contratación de la Administración Pública</w:t>
      </w:r>
      <w:r>
        <w:rPr>
          <w:rFonts w:ascii="Arial" w:hAnsi="Arial" w:cs="Arial"/>
          <w:color w:val="000000" w:themeColor="text1"/>
          <w:sz w:val="22"/>
          <w:szCs w:val="22"/>
          <w:shd w:val="clear" w:color="auto" w:fill="FFFFFF"/>
          <w:lang w:val="es-ES_tradnl"/>
        </w:rPr>
        <w:t xml:space="preserve"> se extienden no solamente a la celebración del contrato o convenio propiamente dicho, sino también </w:t>
      </w:r>
      <w:r w:rsidRPr="00437DB9">
        <w:rPr>
          <w:rFonts w:ascii="Arial" w:hAnsi="Arial" w:cs="Arial"/>
          <w:color w:val="000000" w:themeColor="text1"/>
          <w:sz w:val="22"/>
          <w:szCs w:val="22"/>
          <w:shd w:val="clear" w:color="auto" w:fill="FFFFFF"/>
          <w:lang w:val="es-ES_tradnl"/>
        </w:rPr>
        <w:t>a los compromisos contractuales derivados</w:t>
      </w:r>
      <w:r>
        <w:rPr>
          <w:rFonts w:ascii="Arial" w:hAnsi="Arial" w:cs="Arial"/>
          <w:color w:val="000000" w:themeColor="text1"/>
          <w:sz w:val="22"/>
          <w:szCs w:val="22"/>
          <w:shd w:val="clear" w:color="auto" w:fill="FFFFFF"/>
          <w:lang w:val="es-ES_tradnl"/>
        </w:rPr>
        <w:t xml:space="preserve">, según lo expresamente consagrado en el segundo inciso del </w:t>
      </w:r>
      <w:r>
        <w:rPr>
          <w:rFonts w:ascii="Arial" w:hAnsi="Arial" w:cs="Arial"/>
          <w:color w:val="000000" w:themeColor="text1"/>
          <w:sz w:val="22"/>
          <w:szCs w:val="22"/>
          <w:shd w:val="clear" w:color="auto" w:fill="FFFFFF"/>
          <w:lang w:val="es-ES_tradnl"/>
        </w:rPr>
        <w:lastRenderedPageBreak/>
        <w:t>artículo 56 de la ley citada</w:t>
      </w:r>
      <w:r w:rsidRPr="00437DB9">
        <w:rPr>
          <w:rFonts w:ascii="Arial" w:hAnsi="Arial" w:cs="Arial"/>
          <w:color w:val="000000" w:themeColor="text1"/>
          <w:sz w:val="22"/>
          <w:szCs w:val="22"/>
          <w:shd w:val="clear" w:color="auto" w:fill="FFFFFF"/>
          <w:lang w:val="es-ES_tradnl"/>
        </w:rPr>
        <w:t xml:space="preserve">. Esto implica que, si una entidad exceptuada, un patrimonio autónomo o una persona natural o jurídica de derecho privado, en cumplimiento de un compromiso asumido en el contrato celebrado con una entidad sometida al Estatuto General, debe contratar una obra o servicio cobijado por algún documento tipo, </w:t>
      </w:r>
      <w:r w:rsidRPr="00437DB9">
        <w:rPr>
          <w:rFonts w:ascii="Arial" w:hAnsi="Arial" w:cs="Arial"/>
          <w:color w:val="000000" w:themeColor="text1"/>
          <w:sz w:val="22"/>
          <w:szCs w:val="22"/>
          <w:lang w:val="es-ES_tradnl"/>
        </w:rPr>
        <w:t>estará obligada a</w:t>
      </w:r>
      <w:r w:rsidRPr="00437DB9">
        <w:rPr>
          <w:rFonts w:ascii="Arial" w:hAnsi="Arial" w:cs="Arial"/>
          <w:color w:val="000000" w:themeColor="text1"/>
          <w:sz w:val="22"/>
          <w:szCs w:val="22"/>
          <w:shd w:val="clear" w:color="auto" w:fill="FFFFFF"/>
          <w:lang w:val="es-ES_tradnl"/>
        </w:rPr>
        <w:t xml:space="preserve"> hacerlo aplicando los mencionados documentos tipo, además de adelantar el proceso de contratación y celebrar el contrato conforme al Estatuto General de Contratación de la Administración Pública.  </w:t>
      </w:r>
    </w:p>
    <w:p w14:paraId="6BBFD060" w14:textId="77777777" w:rsidR="002072A4" w:rsidRPr="00F867D5" w:rsidRDefault="002072A4" w:rsidP="002072A4">
      <w:pPr>
        <w:spacing w:before="120" w:line="276" w:lineRule="auto"/>
        <w:jc w:val="both"/>
        <w:rPr>
          <w:rFonts w:ascii="Arial" w:eastAsia="Calibri" w:hAnsi="Arial" w:cs="Arial"/>
          <w:bCs/>
          <w:sz w:val="22"/>
          <w:lang w:val="es-ES_tradnl"/>
        </w:rPr>
      </w:pPr>
      <w:r w:rsidRPr="00F867D5">
        <w:rPr>
          <w:rFonts w:ascii="Arial" w:hAnsi="Arial" w:cs="Arial"/>
          <w:sz w:val="22"/>
          <w:szCs w:val="22"/>
          <w:shd w:val="clear" w:color="auto" w:fill="FFFFFF"/>
          <w:lang w:val="es-ES_tradnl"/>
        </w:rPr>
        <w:tab/>
        <w:t xml:space="preserve">No obstante, se encuentran exceptuadas del ámbito de aplicación de la norma </w:t>
      </w:r>
      <w:r w:rsidRPr="00F867D5">
        <w:rPr>
          <w:rFonts w:ascii="Arial" w:hAnsi="Arial" w:cs="Arial"/>
          <w:sz w:val="22"/>
          <w:szCs w:val="22"/>
          <w:shd w:val="clear" w:color="auto" w:fill="FFFFFF"/>
        </w:rPr>
        <w:t xml:space="preserve">las Instituciones de Educación Superior públicas, las empresas sociales del Estado, las sociedades de economía mixta y las empresas industriales y comerciales del Estado, únicamente en cuanto a la contratación de su giro </w:t>
      </w:r>
      <w:proofErr w:type="gramStart"/>
      <w:r w:rsidRPr="00F867D5">
        <w:rPr>
          <w:rFonts w:ascii="Arial" w:hAnsi="Arial" w:cs="Arial"/>
          <w:sz w:val="22"/>
          <w:szCs w:val="22"/>
          <w:shd w:val="clear" w:color="auto" w:fill="FFFFFF"/>
        </w:rPr>
        <w:t>ordinario</w:t>
      </w:r>
      <w:r w:rsidRPr="00F867D5">
        <w:rPr>
          <w:rFonts w:ascii="Arial" w:hAnsi="Arial" w:cs="Arial"/>
          <w:sz w:val="22"/>
          <w:szCs w:val="22"/>
          <w:shd w:val="clear" w:color="auto" w:fill="FFFFFF"/>
          <w:lang w:val="es-ES_tradnl"/>
        </w:rPr>
        <w:t>.Bajo</w:t>
      </w:r>
      <w:proofErr w:type="gramEnd"/>
      <w:r w:rsidRPr="00F867D5">
        <w:rPr>
          <w:rFonts w:ascii="Arial" w:hAnsi="Arial" w:cs="Arial"/>
          <w:sz w:val="22"/>
          <w:szCs w:val="22"/>
          <w:shd w:val="clear" w:color="auto" w:fill="FFFFFF"/>
          <w:lang w:val="es-ES_tradnl"/>
        </w:rPr>
        <w:t xml:space="preserve"> los lineamientos descritos, cada entidad pública debe hacer un ejercicio de subsunción a efectos de determinar si la noma en cita resulta aplicable, dada su naturaleza jurídica. En todo caso, es de precisar </w:t>
      </w:r>
      <w:proofErr w:type="gramStart"/>
      <w:r w:rsidRPr="00F867D5">
        <w:rPr>
          <w:rFonts w:ascii="Arial" w:hAnsi="Arial" w:cs="Arial"/>
          <w:sz w:val="22"/>
          <w:szCs w:val="22"/>
          <w:shd w:val="clear" w:color="auto" w:fill="FFFFFF"/>
          <w:lang w:val="es-ES_tradnl"/>
        </w:rPr>
        <w:t>que</w:t>
      </w:r>
      <w:proofErr w:type="gramEnd"/>
      <w:r w:rsidRPr="00F867D5">
        <w:rPr>
          <w:rFonts w:ascii="Arial" w:hAnsi="Arial" w:cs="Arial"/>
          <w:sz w:val="22"/>
          <w:szCs w:val="22"/>
          <w:shd w:val="clear" w:color="auto" w:fill="FFFFFF"/>
          <w:lang w:val="es-ES_tradnl"/>
        </w:rPr>
        <w:t xml:space="preserve"> en el caso de las empresas prestadoras de servicios públicos domiciliarios, la entidad competente para absolver </w:t>
      </w:r>
      <w:r w:rsidRPr="00F867D5">
        <w:rPr>
          <w:rFonts w:ascii="Arial" w:eastAsia="Calibri" w:hAnsi="Arial" w:cs="Arial"/>
          <w:bCs/>
          <w:sz w:val="22"/>
          <w:lang w:val="es-ES_tradnl"/>
        </w:rPr>
        <w:t xml:space="preserve">las consultas relacionadas con su naturaleza jurídica es la Superintendencia de Servicios Públicos Domiciliarios, de conformidad con el artículo 11, numeral 2, del Decreto 1369 de 2020, según el cual dicha entidad debe «Absolver las consultas jurídicas externas relativas al régimen de los servicios públicos domiciliarios». </w:t>
      </w:r>
    </w:p>
    <w:bookmarkEnd w:id="6"/>
    <w:p w14:paraId="38A9EA63" w14:textId="77777777" w:rsidR="002072A4" w:rsidRPr="00924DEF" w:rsidRDefault="002072A4" w:rsidP="002072A4">
      <w:pPr>
        <w:pStyle w:val="Textoindependiente"/>
        <w:spacing w:line="276" w:lineRule="auto"/>
        <w:ind w:right="51"/>
        <w:jc w:val="both"/>
      </w:pPr>
    </w:p>
    <w:p w14:paraId="6991A703" w14:textId="77777777" w:rsidR="002072A4" w:rsidRPr="00924DEF" w:rsidRDefault="002072A4" w:rsidP="002072A4">
      <w:pPr>
        <w:spacing w:line="276" w:lineRule="auto"/>
        <w:jc w:val="both"/>
        <w:rPr>
          <w:rFonts w:ascii="Arial" w:eastAsia="Calibri" w:hAnsi="Arial" w:cs="Arial"/>
          <w:sz w:val="22"/>
          <w:szCs w:val="22"/>
          <w:lang w:val="es-ES"/>
        </w:rPr>
      </w:pPr>
      <w:r w:rsidRPr="00924DEF">
        <w:rPr>
          <w:rFonts w:ascii="Arial" w:eastAsia="Calibri" w:hAnsi="Arial" w:cs="Arial"/>
          <w:sz w:val="22"/>
          <w:szCs w:val="22"/>
          <w:lang w:val="es-ES"/>
        </w:rPr>
        <w:t>Este concepto tiene el alcance previsto en el artículo 28 del Código de Procedimiento Administrativo y de lo Contencioso Administrativo.</w:t>
      </w:r>
    </w:p>
    <w:p w14:paraId="13C11022" w14:textId="77777777" w:rsidR="002072A4" w:rsidRPr="00924DEF" w:rsidRDefault="002072A4" w:rsidP="002072A4">
      <w:pPr>
        <w:jc w:val="both"/>
        <w:rPr>
          <w:rFonts w:ascii="Arial" w:eastAsia="Calibri" w:hAnsi="Arial" w:cs="Arial"/>
          <w:sz w:val="22"/>
          <w:szCs w:val="22"/>
          <w:lang w:val="es-ES"/>
        </w:rPr>
      </w:pPr>
    </w:p>
    <w:p w14:paraId="7094AD5C" w14:textId="77777777" w:rsidR="002072A4" w:rsidRPr="00924DEF" w:rsidRDefault="002072A4" w:rsidP="002072A4">
      <w:pPr>
        <w:jc w:val="both"/>
        <w:rPr>
          <w:rFonts w:ascii="Arial" w:hAnsi="Arial" w:cs="Arial"/>
          <w:sz w:val="22"/>
          <w:szCs w:val="22"/>
          <w:lang w:val="es-ES" w:eastAsia="es-CO"/>
        </w:rPr>
      </w:pPr>
      <w:r w:rsidRPr="00924DEF">
        <w:rPr>
          <w:rFonts w:ascii="Arial" w:hAnsi="Arial" w:cs="Arial"/>
          <w:sz w:val="22"/>
          <w:szCs w:val="22"/>
          <w:lang w:val="es-ES" w:eastAsia="es-CO"/>
        </w:rPr>
        <w:t>Atentamente,</w:t>
      </w:r>
    </w:p>
    <w:p w14:paraId="12CB876E" w14:textId="77777777" w:rsidR="002072A4" w:rsidRPr="0008465D" w:rsidRDefault="002072A4" w:rsidP="002072A4">
      <w:pPr>
        <w:jc w:val="center"/>
        <w:rPr>
          <w:rFonts w:ascii="Arial" w:hAnsi="Arial" w:cs="Arial"/>
          <w:sz w:val="18"/>
          <w:szCs w:val="20"/>
          <w:lang w:val="es-ES" w:eastAsia="es-CO"/>
        </w:rPr>
      </w:pPr>
    </w:p>
    <w:p w14:paraId="251734BE" w14:textId="77777777" w:rsidR="002072A4" w:rsidRDefault="002072A4" w:rsidP="002072A4">
      <w:pPr>
        <w:jc w:val="center"/>
        <w:rPr>
          <w:rFonts w:ascii="Arial" w:hAnsi="Arial" w:cs="Arial"/>
          <w:sz w:val="18"/>
          <w:szCs w:val="20"/>
          <w:lang w:val="es-ES" w:eastAsia="es-CO"/>
        </w:rPr>
      </w:pPr>
    </w:p>
    <w:p w14:paraId="064F3631" w14:textId="77777777" w:rsidR="002072A4" w:rsidRDefault="002072A4" w:rsidP="002072A4">
      <w:pPr>
        <w:jc w:val="center"/>
        <w:rPr>
          <w:rFonts w:ascii="Arial" w:hAnsi="Arial" w:cs="Arial"/>
          <w:sz w:val="18"/>
          <w:szCs w:val="20"/>
          <w:lang w:val="es-ES" w:eastAsia="es-CO"/>
        </w:rPr>
      </w:pPr>
    </w:p>
    <w:p w14:paraId="27DEAF1F" w14:textId="77777777" w:rsidR="002072A4" w:rsidRDefault="002072A4" w:rsidP="002072A4">
      <w:pPr>
        <w:jc w:val="center"/>
        <w:rPr>
          <w:rFonts w:ascii="Arial" w:hAnsi="Arial" w:cs="Arial"/>
          <w:sz w:val="18"/>
          <w:szCs w:val="20"/>
          <w:lang w:val="es-ES" w:eastAsia="es-CO"/>
        </w:rPr>
      </w:pPr>
      <w:r>
        <w:rPr>
          <w:rFonts w:ascii="Arial" w:hAnsi="Arial" w:cs="Arial"/>
          <w:noProof/>
          <w:color w:val="000000" w:themeColor="text1"/>
          <w:sz w:val="18"/>
          <w:szCs w:val="20"/>
        </w:rPr>
        <w:drawing>
          <wp:inline distT="0" distB="0" distL="0" distR="0" wp14:anchorId="57630B71" wp14:editId="0DBAD109">
            <wp:extent cx="2514600" cy="11125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p>
    <w:p w14:paraId="24F11061" w14:textId="77777777" w:rsidR="002072A4" w:rsidRDefault="002072A4" w:rsidP="002072A4">
      <w:pPr>
        <w:jc w:val="center"/>
        <w:rPr>
          <w:rFonts w:ascii="Arial" w:hAnsi="Arial" w:cs="Arial"/>
          <w:sz w:val="18"/>
          <w:szCs w:val="20"/>
          <w:lang w:val="es-ES" w:eastAsia="es-CO"/>
        </w:rPr>
      </w:pPr>
    </w:p>
    <w:p w14:paraId="4F0E2417" w14:textId="77777777" w:rsidR="002072A4" w:rsidRDefault="002072A4" w:rsidP="002072A4">
      <w:pPr>
        <w:jc w:val="center"/>
        <w:rPr>
          <w:rFonts w:ascii="Arial" w:hAnsi="Arial" w:cs="Arial"/>
          <w:sz w:val="18"/>
          <w:szCs w:val="20"/>
          <w:lang w:val="es-ES" w:eastAsia="es-CO"/>
        </w:rPr>
      </w:pPr>
    </w:p>
    <w:p w14:paraId="6C8B71CD" w14:textId="77777777" w:rsidR="002072A4" w:rsidRDefault="002072A4" w:rsidP="002072A4">
      <w:pPr>
        <w:jc w:val="center"/>
        <w:rPr>
          <w:rFonts w:ascii="Arial" w:hAnsi="Arial" w:cs="Arial"/>
          <w:sz w:val="18"/>
          <w:szCs w:val="20"/>
          <w:lang w:val="es-ES" w:eastAsia="es-CO"/>
        </w:rPr>
      </w:pPr>
    </w:p>
    <w:p w14:paraId="3C99B172" w14:textId="77777777" w:rsidR="002072A4" w:rsidRDefault="002072A4" w:rsidP="002072A4">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072A4" w:rsidRPr="0008465D" w14:paraId="42307683" w14:textId="77777777" w:rsidTr="002C35E6">
        <w:trPr>
          <w:trHeight w:val="315"/>
        </w:trPr>
        <w:tc>
          <w:tcPr>
            <w:tcW w:w="812" w:type="dxa"/>
            <w:vAlign w:val="center"/>
            <w:hideMark/>
          </w:tcPr>
          <w:p w14:paraId="6F393283" w14:textId="77777777" w:rsidR="002072A4" w:rsidRPr="0008465D" w:rsidRDefault="002072A4" w:rsidP="002C35E6">
            <w:pPr>
              <w:rPr>
                <w:rFonts w:ascii="Arial" w:hAnsi="Arial" w:cs="Arial"/>
                <w:sz w:val="16"/>
                <w:szCs w:val="16"/>
                <w:lang w:val="es-ES" w:eastAsia="es-ES"/>
              </w:rPr>
            </w:pPr>
            <w:r w:rsidRPr="0008465D">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0053AC1A" w14:textId="77777777" w:rsidR="002072A4" w:rsidRPr="0008465D" w:rsidRDefault="002072A4" w:rsidP="002C35E6">
            <w:pPr>
              <w:rPr>
                <w:rFonts w:ascii="Arial" w:hAnsi="Arial" w:cs="Arial"/>
                <w:sz w:val="16"/>
                <w:szCs w:val="16"/>
                <w:lang w:val="es-ES" w:eastAsia="es-ES"/>
              </w:rPr>
            </w:pPr>
            <w:r w:rsidRPr="0008465D">
              <w:rPr>
                <w:rFonts w:ascii="Arial" w:hAnsi="Arial" w:cs="Arial"/>
                <w:sz w:val="16"/>
                <w:szCs w:val="16"/>
                <w:lang w:val="es-ES" w:eastAsia="es-ES"/>
              </w:rPr>
              <w:t>Camilo Perdomo Villamil</w:t>
            </w:r>
          </w:p>
          <w:p w14:paraId="24FE1320" w14:textId="77777777" w:rsidR="002072A4" w:rsidRPr="0008465D" w:rsidRDefault="002072A4" w:rsidP="002C35E6">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002072A4" w:rsidRPr="0008465D" w14:paraId="080084AB" w14:textId="77777777" w:rsidTr="002C35E6">
        <w:trPr>
          <w:trHeight w:val="330"/>
        </w:trPr>
        <w:tc>
          <w:tcPr>
            <w:tcW w:w="812" w:type="dxa"/>
            <w:vAlign w:val="center"/>
            <w:hideMark/>
          </w:tcPr>
          <w:p w14:paraId="583F572E" w14:textId="77777777" w:rsidR="002072A4" w:rsidRPr="0008465D" w:rsidRDefault="002072A4" w:rsidP="002C35E6">
            <w:pPr>
              <w:rPr>
                <w:rFonts w:ascii="Arial" w:hAnsi="Arial" w:cs="Arial"/>
                <w:sz w:val="16"/>
                <w:szCs w:val="16"/>
                <w:lang w:val="es-ES" w:eastAsia="es-ES"/>
              </w:rPr>
            </w:pPr>
            <w:r w:rsidRPr="0008465D">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006684" w14:textId="77777777" w:rsidR="002072A4" w:rsidRPr="009F5860" w:rsidRDefault="002072A4" w:rsidP="002C35E6">
            <w:pPr>
              <w:rPr>
                <w:rFonts w:ascii="Arial" w:hAnsi="Arial" w:cs="Arial"/>
                <w:sz w:val="16"/>
                <w:szCs w:val="16"/>
                <w:lang w:val="es-ES" w:eastAsia="es-ES"/>
              </w:rPr>
            </w:pPr>
            <w:r>
              <w:rPr>
                <w:rFonts w:ascii="Arial" w:hAnsi="Arial" w:cs="Arial"/>
                <w:sz w:val="16"/>
                <w:szCs w:val="16"/>
                <w:lang w:val="es-ES" w:eastAsia="es-ES"/>
              </w:rPr>
              <w:t xml:space="preserve">Alejandro Sarmiento Cantillo </w:t>
            </w:r>
          </w:p>
          <w:p w14:paraId="57699185" w14:textId="77777777" w:rsidR="002072A4" w:rsidRPr="0008465D" w:rsidRDefault="002072A4" w:rsidP="002C35E6">
            <w:pPr>
              <w:rPr>
                <w:rFonts w:ascii="Arial" w:hAnsi="Arial" w:cs="Arial"/>
                <w:sz w:val="16"/>
                <w:szCs w:val="16"/>
                <w:lang w:val="es-ES" w:eastAsia="es-ES"/>
              </w:rPr>
            </w:pPr>
            <w:r w:rsidRPr="009F5860">
              <w:rPr>
                <w:rFonts w:ascii="Arial" w:hAnsi="Arial" w:cs="Arial"/>
                <w:sz w:val="16"/>
                <w:szCs w:val="16"/>
                <w:lang w:val="es-ES" w:eastAsia="es-ES"/>
              </w:rPr>
              <w:t>Gestor T1-1</w:t>
            </w:r>
            <w:r>
              <w:rPr>
                <w:rFonts w:ascii="Arial" w:hAnsi="Arial" w:cs="Arial"/>
                <w:sz w:val="16"/>
                <w:szCs w:val="16"/>
                <w:lang w:val="es-ES" w:eastAsia="es-ES"/>
              </w:rPr>
              <w:t>5</w:t>
            </w:r>
            <w:r w:rsidRPr="009F5860">
              <w:rPr>
                <w:rFonts w:ascii="Arial" w:hAnsi="Arial" w:cs="Arial"/>
                <w:sz w:val="16"/>
                <w:szCs w:val="16"/>
                <w:lang w:val="es-ES" w:eastAsia="es-ES"/>
              </w:rPr>
              <w:t xml:space="preserve"> de la Subdirección de Gestión Contractual</w:t>
            </w:r>
          </w:p>
        </w:tc>
      </w:tr>
      <w:tr w:rsidR="002072A4" w:rsidRPr="0008465D" w14:paraId="2CE531BD" w14:textId="77777777" w:rsidTr="002C35E6">
        <w:trPr>
          <w:trHeight w:val="300"/>
        </w:trPr>
        <w:tc>
          <w:tcPr>
            <w:tcW w:w="812" w:type="dxa"/>
            <w:vAlign w:val="center"/>
            <w:hideMark/>
          </w:tcPr>
          <w:p w14:paraId="16EE566F" w14:textId="77777777" w:rsidR="002072A4" w:rsidRPr="0008465D" w:rsidRDefault="002072A4" w:rsidP="002C35E6">
            <w:pPr>
              <w:rPr>
                <w:rFonts w:ascii="Arial" w:hAnsi="Arial" w:cs="Arial"/>
                <w:sz w:val="16"/>
                <w:szCs w:val="16"/>
                <w:lang w:val="es-ES" w:eastAsia="es-ES"/>
              </w:rPr>
            </w:pPr>
            <w:r w:rsidRPr="0008465D">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076B0A6" w14:textId="77777777" w:rsidR="002072A4" w:rsidRPr="0008465D" w:rsidRDefault="002072A4" w:rsidP="002C35E6">
            <w:pPr>
              <w:rPr>
                <w:rFonts w:ascii="Arial" w:hAnsi="Arial" w:cs="Arial"/>
                <w:sz w:val="16"/>
                <w:szCs w:val="16"/>
                <w:lang w:val="es-ES" w:eastAsia="es-ES"/>
              </w:rPr>
            </w:pPr>
            <w:r w:rsidRPr="0008465D">
              <w:rPr>
                <w:rFonts w:ascii="Arial" w:hAnsi="Arial" w:cs="Arial"/>
                <w:sz w:val="16"/>
                <w:szCs w:val="16"/>
                <w:lang w:val="es-ES" w:eastAsia="es-ES"/>
              </w:rPr>
              <w:t>Jorge Augusto Tirado Navarro</w:t>
            </w:r>
          </w:p>
          <w:p w14:paraId="74639F5A" w14:textId="77777777" w:rsidR="002072A4" w:rsidRPr="0008465D" w:rsidRDefault="002072A4" w:rsidP="002C35E6">
            <w:pPr>
              <w:rPr>
                <w:rFonts w:ascii="Arial" w:hAnsi="Arial" w:cs="Arial"/>
                <w:sz w:val="16"/>
                <w:szCs w:val="16"/>
                <w:lang w:val="es-ES" w:eastAsia="es-ES"/>
              </w:rPr>
            </w:pPr>
            <w:r w:rsidRPr="0008465D">
              <w:rPr>
                <w:rFonts w:ascii="Arial" w:hAnsi="Arial" w:cs="Arial"/>
                <w:sz w:val="16"/>
                <w:szCs w:val="16"/>
                <w:lang w:val="es-ES" w:eastAsia="es-ES"/>
              </w:rPr>
              <w:t>Subdirector de Gestión Contractual ANCP – CCE</w:t>
            </w:r>
          </w:p>
        </w:tc>
      </w:tr>
    </w:tbl>
    <w:p w14:paraId="6FB1E4D1" w14:textId="77777777" w:rsidR="002072A4" w:rsidRDefault="002072A4" w:rsidP="002072A4"/>
    <w:p w14:paraId="16A418DE" w14:textId="77777777" w:rsidR="002072A4" w:rsidRDefault="002072A4"/>
    <w:sectPr w:rsidR="002072A4" w:rsidSect="007F1895">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DB1D" w14:textId="77777777" w:rsidR="00E903BB" w:rsidRDefault="00E903BB" w:rsidP="002072A4">
      <w:r>
        <w:separator/>
      </w:r>
    </w:p>
  </w:endnote>
  <w:endnote w:type="continuationSeparator" w:id="0">
    <w:p w14:paraId="7D565286" w14:textId="77777777" w:rsidR="00E903BB" w:rsidRDefault="00E903BB" w:rsidP="0020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E3D1" w14:textId="77777777" w:rsidR="00387886" w:rsidRDefault="00000000" w:rsidP="007F1895">
    <w:pPr>
      <w:pStyle w:val="Sinespaciado"/>
      <w:jc w:val="right"/>
      <w:rPr>
        <w:rFonts w:ascii="Arial" w:hAnsi="Arial" w:cs="Arial"/>
        <w:sz w:val="18"/>
        <w:szCs w:val="18"/>
      </w:rPr>
    </w:pPr>
  </w:p>
  <w:p w14:paraId="7095B652" w14:textId="77777777" w:rsidR="00387886" w:rsidRDefault="00000000" w:rsidP="007F1895">
    <w:pPr>
      <w:pStyle w:val="Sinespaciado"/>
      <w:jc w:val="right"/>
      <w:rPr>
        <w:rFonts w:ascii="Arial" w:hAnsi="Arial" w:cs="Arial"/>
        <w:sz w:val="18"/>
        <w:szCs w:val="18"/>
      </w:rPr>
    </w:pPr>
  </w:p>
  <w:p w14:paraId="3A80491F" w14:textId="77777777" w:rsidR="00387886" w:rsidRPr="008217B7" w:rsidRDefault="008462E7"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6682024D" w14:textId="77777777" w:rsidR="00387886" w:rsidRDefault="008462E7" w:rsidP="007F1895">
    <w:pPr>
      <w:pStyle w:val="Piedepgina"/>
      <w:jc w:val="center"/>
      <w:rPr>
        <w:lang w:val="es-ES"/>
      </w:rPr>
    </w:pPr>
    <w:r>
      <w:rPr>
        <w:noProof/>
      </w:rPr>
      <w:drawing>
        <wp:inline distT="0" distB="0" distL="0" distR="0" wp14:anchorId="0F665EDA" wp14:editId="655189D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249F2E39" w14:textId="77777777" w:rsidR="00387886" w:rsidRPr="00E756AC" w:rsidRDefault="00000000" w:rsidP="007F1895">
    <w:pPr>
      <w:pStyle w:val="Piedepgina"/>
      <w:jc w:val="center"/>
      <w:rPr>
        <w:sz w:val="18"/>
        <w:szCs w:val="18"/>
        <w:lang w:val="es-ES"/>
      </w:rPr>
    </w:pPr>
  </w:p>
  <w:p w14:paraId="09BD09EA" w14:textId="77777777" w:rsidR="00387886" w:rsidRPr="00E756AC" w:rsidRDefault="00000000"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F630" w14:textId="77777777" w:rsidR="00E903BB" w:rsidRDefault="00E903BB" w:rsidP="002072A4">
      <w:r>
        <w:separator/>
      </w:r>
    </w:p>
  </w:footnote>
  <w:footnote w:type="continuationSeparator" w:id="0">
    <w:p w14:paraId="5DD1F4A5" w14:textId="77777777" w:rsidR="00E903BB" w:rsidRDefault="00E903BB" w:rsidP="002072A4">
      <w:r>
        <w:continuationSeparator/>
      </w:r>
    </w:p>
  </w:footnote>
  <w:footnote w:id="1">
    <w:p w14:paraId="0421E33D" w14:textId="77777777" w:rsidR="002072A4" w:rsidRPr="00AA14C9" w:rsidRDefault="002072A4" w:rsidP="002072A4">
      <w:pPr>
        <w:pStyle w:val="Textonotapie"/>
        <w:ind w:firstLine="709"/>
        <w:jc w:val="both"/>
        <w:rPr>
          <w:rFonts w:ascii="Arial" w:hAnsi="Arial" w:cs="Arial"/>
          <w:sz w:val="19"/>
          <w:szCs w:val="19"/>
        </w:rPr>
      </w:pPr>
      <w:r w:rsidRPr="00AA14C9">
        <w:rPr>
          <w:rStyle w:val="Refdenotaalpie"/>
          <w:rFonts w:ascii="Arial" w:hAnsi="Arial" w:cs="Arial"/>
          <w:sz w:val="19"/>
          <w:szCs w:val="19"/>
        </w:rPr>
        <w:footnoteRef/>
      </w:r>
      <w:r w:rsidRPr="00AA14C9">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AA14C9">
        <w:rPr>
          <w:rFonts w:ascii="Arial" w:hAnsi="Arial" w:cs="Arial"/>
          <w:i/>
          <w:iCs/>
          <w:sz w:val="19"/>
          <w:szCs w:val="19"/>
        </w:rPr>
        <w:t xml:space="preserve">ibidem </w:t>
      </w:r>
      <w:r w:rsidRPr="00AA14C9">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AA14C9">
        <w:rPr>
          <w:rFonts w:ascii="Arial" w:hAnsi="Arial" w:cs="Arial"/>
          <w:sz w:val="19"/>
          <w:szCs w:val="19"/>
        </w:rPr>
        <w:t>bsolver</w:t>
      </w:r>
      <w:proofErr w:type="spellEnd"/>
      <w:r w:rsidRPr="00AA14C9">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AA14C9">
        <w:rPr>
          <w:rFonts w:ascii="Arial" w:hAnsi="Arial" w:cs="Arial"/>
          <w:sz w:val="19"/>
          <w:szCs w:val="19"/>
        </w:rPr>
        <w:t>bsolver</w:t>
      </w:r>
      <w:proofErr w:type="spellEnd"/>
      <w:r w:rsidRPr="00AA14C9">
        <w:rPr>
          <w:rFonts w:ascii="Arial" w:hAnsi="Arial" w:cs="Arial"/>
          <w:sz w:val="19"/>
          <w:szCs w:val="19"/>
        </w:rPr>
        <w:t xml:space="preserve"> consultas sobre la aplicación de normas de carácter general».</w:t>
      </w:r>
    </w:p>
    <w:p w14:paraId="23173E61" w14:textId="77777777" w:rsidR="002072A4" w:rsidRPr="00AA14C9" w:rsidRDefault="002072A4" w:rsidP="002072A4">
      <w:pPr>
        <w:pStyle w:val="Textonotapie"/>
        <w:ind w:firstLine="709"/>
        <w:jc w:val="both"/>
        <w:rPr>
          <w:rFonts w:ascii="Arial" w:hAnsi="Arial" w:cs="Arial"/>
          <w:sz w:val="19"/>
          <w:szCs w:val="19"/>
          <w:lang w:val="es-ES"/>
        </w:rPr>
      </w:pPr>
    </w:p>
  </w:footnote>
  <w:footnote w:id="2">
    <w:p w14:paraId="4DC0D0F3" w14:textId="77777777" w:rsidR="002072A4" w:rsidRPr="00AA14C9" w:rsidRDefault="002072A4" w:rsidP="002072A4">
      <w:pPr>
        <w:pStyle w:val="Textonotapie"/>
        <w:ind w:firstLine="709"/>
        <w:jc w:val="both"/>
        <w:rPr>
          <w:rFonts w:ascii="Arial" w:hAnsi="Arial" w:cs="Arial"/>
          <w:color w:val="000000" w:themeColor="text1"/>
          <w:sz w:val="19"/>
          <w:szCs w:val="19"/>
          <w:lang w:val="es-CO"/>
        </w:rPr>
      </w:pPr>
      <w:r w:rsidRPr="00AA14C9">
        <w:rPr>
          <w:rStyle w:val="Refdenotaalpie"/>
          <w:rFonts w:ascii="Arial" w:hAnsi="Arial" w:cs="Arial"/>
          <w:sz w:val="19"/>
          <w:szCs w:val="19"/>
        </w:rPr>
        <w:footnoteRef/>
      </w:r>
      <w:r w:rsidRPr="00AA14C9">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791CDF94" w14:textId="77777777" w:rsidR="002072A4" w:rsidRPr="00AA14C9" w:rsidRDefault="002072A4" w:rsidP="002072A4">
      <w:pPr>
        <w:pStyle w:val="Textonotapie"/>
        <w:ind w:firstLine="709"/>
        <w:jc w:val="both"/>
        <w:rPr>
          <w:rFonts w:ascii="Arial" w:hAnsi="Arial" w:cs="Arial"/>
          <w:color w:val="000000" w:themeColor="text1"/>
          <w:sz w:val="19"/>
          <w:szCs w:val="19"/>
        </w:rPr>
      </w:pPr>
      <w:r w:rsidRPr="00AA14C9">
        <w:rPr>
          <w:rStyle w:val="Refdenotaalpie"/>
          <w:rFonts w:ascii="Arial" w:hAnsi="Arial" w:cs="Arial"/>
          <w:sz w:val="19"/>
          <w:szCs w:val="19"/>
        </w:rPr>
        <w:footnoteRef/>
      </w:r>
      <w:r w:rsidRPr="00AA14C9">
        <w:rPr>
          <w:rFonts w:ascii="Arial" w:hAnsi="Arial" w:cs="Arial"/>
          <w:color w:val="000000" w:themeColor="text1"/>
          <w:sz w:val="19"/>
          <w:szCs w:val="19"/>
        </w:rPr>
        <w:t xml:space="preserve"> </w:t>
      </w:r>
      <w:r w:rsidRPr="00AA14C9">
        <w:rPr>
          <w:rFonts w:ascii="Arial" w:hAnsi="Arial" w:cs="Arial"/>
          <w:color w:val="000000" w:themeColor="text1"/>
          <w:sz w:val="19"/>
          <w:szCs w:val="19"/>
          <w:lang w:val="es-CO"/>
        </w:rPr>
        <w:t xml:space="preserve">Ley 1882 de 2018: «Artículo 4. </w:t>
      </w:r>
      <w:r w:rsidRPr="00AA14C9">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3BA20C8" w14:textId="77777777" w:rsidR="002072A4" w:rsidRPr="00AA14C9" w:rsidRDefault="002072A4" w:rsidP="002072A4">
      <w:pPr>
        <w:pStyle w:val="Textonotapie"/>
        <w:ind w:firstLine="709"/>
        <w:jc w:val="both"/>
        <w:rPr>
          <w:rFonts w:ascii="Arial" w:hAnsi="Arial" w:cs="Arial"/>
          <w:color w:val="000000" w:themeColor="text1"/>
          <w:sz w:val="19"/>
          <w:szCs w:val="19"/>
          <w:lang w:val="es-CO"/>
        </w:rPr>
      </w:pPr>
      <w:proofErr w:type="gramStart"/>
      <w:r w:rsidRPr="00AA14C9">
        <w:rPr>
          <w:rFonts w:ascii="Arial" w:hAnsi="Arial" w:cs="Arial"/>
          <w:color w:val="000000" w:themeColor="text1"/>
          <w:sz w:val="19"/>
          <w:szCs w:val="19"/>
          <w:lang w:val="es-CO"/>
        </w:rPr>
        <w:t>»La</w:t>
      </w:r>
      <w:proofErr w:type="gramEnd"/>
      <w:r w:rsidRPr="00AA14C9">
        <w:rPr>
          <w:rFonts w:ascii="Arial" w:hAnsi="Arial" w:cs="Arial"/>
          <w:color w:val="000000" w:themeColor="text1"/>
          <w:sz w:val="19"/>
          <w:szCs w:val="19"/>
          <w:lang w:val="es-CO"/>
        </w:rPr>
        <w:t xml:space="preserve"> facultad de adoptar documentos tipo la tendrá el Gobierno nacional, cuando lo considere necesario, en relación con otros contratos o procesos de selección.</w:t>
      </w:r>
    </w:p>
    <w:p w14:paraId="768887C6" w14:textId="77777777" w:rsidR="002072A4" w:rsidRPr="00AA14C9" w:rsidRDefault="002072A4" w:rsidP="002072A4">
      <w:pPr>
        <w:pStyle w:val="Textonotapie"/>
        <w:ind w:firstLine="709"/>
        <w:jc w:val="both"/>
        <w:rPr>
          <w:rFonts w:ascii="Arial" w:hAnsi="Arial" w:cs="Arial"/>
          <w:color w:val="000000" w:themeColor="text1"/>
          <w:sz w:val="19"/>
          <w:szCs w:val="19"/>
          <w:lang w:val="es-CO"/>
        </w:rPr>
      </w:pPr>
      <w:proofErr w:type="gramStart"/>
      <w:r w:rsidRPr="00AA14C9">
        <w:rPr>
          <w:rFonts w:ascii="Arial" w:hAnsi="Arial" w:cs="Arial"/>
          <w:color w:val="000000" w:themeColor="text1"/>
          <w:sz w:val="19"/>
          <w:szCs w:val="19"/>
          <w:lang w:val="es-CO"/>
        </w:rPr>
        <w:t>»Los</w:t>
      </w:r>
      <w:proofErr w:type="gramEnd"/>
      <w:r w:rsidRPr="00AA14C9">
        <w:rPr>
          <w:rFonts w:ascii="Arial" w:hAnsi="Arial" w:cs="Arial"/>
          <w:color w:val="000000" w:themeColor="text1"/>
          <w:sz w:val="19"/>
          <w:szCs w:val="19"/>
          <w:lang w:val="es-CO"/>
        </w:rPr>
        <w:t xml:space="preserve"> pliegos tipo se adoptarán por categorías de acuerdo con la cuantía de la contratación, según la reglamentación que expida el Gobierno nacional».</w:t>
      </w:r>
    </w:p>
  </w:footnote>
  <w:footnote w:id="4">
    <w:p w14:paraId="6ECD9F14" w14:textId="77777777" w:rsidR="002072A4" w:rsidRPr="00AA14C9" w:rsidRDefault="002072A4" w:rsidP="002072A4">
      <w:pPr>
        <w:pStyle w:val="Textonotapie"/>
        <w:ind w:firstLine="709"/>
        <w:jc w:val="both"/>
        <w:rPr>
          <w:rFonts w:ascii="Arial" w:hAnsi="Arial" w:cs="Arial"/>
          <w:color w:val="000000" w:themeColor="text1"/>
          <w:sz w:val="19"/>
          <w:szCs w:val="19"/>
        </w:rPr>
      </w:pPr>
      <w:r w:rsidRPr="00AA14C9">
        <w:rPr>
          <w:rStyle w:val="Refdenotaalpie"/>
          <w:rFonts w:ascii="Arial" w:hAnsi="Arial" w:cs="Arial"/>
          <w:sz w:val="19"/>
          <w:szCs w:val="19"/>
        </w:rPr>
        <w:footnoteRef/>
      </w:r>
      <w:r w:rsidRPr="00AA14C9">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5">
    <w:p w14:paraId="615CAEAF" w14:textId="77777777" w:rsidR="002072A4" w:rsidRPr="00AA14C9" w:rsidRDefault="002072A4" w:rsidP="002072A4">
      <w:pPr>
        <w:pStyle w:val="NormalWeb"/>
        <w:spacing w:before="0" w:beforeAutospacing="0" w:after="0" w:afterAutospacing="0"/>
        <w:ind w:firstLine="709"/>
        <w:jc w:val="both"/>
        <w:rPr>
          <w:rFonts w:ascii="Arial" w:hAnsi="Arial" w:cs="Arial"/>
          <w:color w:val="000000" w:themeColor="text1"/>
          <w:sz w:val="19"/>
          <w:szCs w:val="19"/>
        </w:rPr>
      </w:pPr>
      <w:r w:rsidRPr="00AA14C9">
        <w:rPr>
          <w:rStyle w:val="Refdenotaalpie"/>
          <w:rFonts w:ascii="Arial" w:hAnsi="Arial" w:cs="Arial"/>
          <w:sz w:val="19"/>
          <w:szCs w:val="19"/>
        </w:rPr>
        <w:footnoteRef/>
      </w:r>
      <w:r w:rsidRPr="00AA14C9">
        <w:rPr>
          <w:rFonts w:ascii="Arial" w:hAnsi="Arial" w:cs="Arial"/>
          <w:color w:val="000000" w:themeColor="text1"/>
          <w:sz w:val="19"/>
          <w:szCs w:val="19"/>
        </w:rPr>
        <w:t xml:space="preserve"> Ley 2022 de 2020: «</w:t>
      </w:r>
      <w:r w:rsidRPr="00AA14C9">
        <w:rPr>
          <w:rStyle w:val="Textoennegrita"/>
          <w:rFonts w:ascii="Arial" w:hAnsi="Arial" w:cs="Arial"/>
          <w:color w:val="000000" w:themeColor="text1"/>
          <w:sz w:val="19"/>
          <w:szCs w:val="19"/>
        </w:rPr>
        <w:t>Artículo 1º.</w:t>
      </w:r>
      <w:r w:rsidRPr="00AA14C9">
        <w:rPr>
          <w:rFonts w:ascii="Arial" w:hAnsi="Arial" w:cs="Arial"/>
          <w:color w:val="000000" w:themeColor="text1"/>
          <w:sz w:val="19"/>
          <w:szCs w:val="19"/>
        </w:rPr>
        <w:t> Modifíquese el artículo 4º de la Ley 1882 de 2018, el cual quedará así: </w:t>
      </w:r>
    </w:p>
    <w:p w14:paraId="3BA6697C" w14:textId="77777777" w:rsidR="002072A4" w:rsidRPr="00AA14C9" w:rsidRDefault="002072A4" w:rsidP="002072A4">
      <w:pPr>
        <w:pStyle w:val="NormalWeb"/>
        <w:spacing w:before="0" w:beforeAutospacing="0" w:after="0" w:afterAutospacing="0"/>
        <w:ind w:firstLine="709"/>
        <w:jc w:val="both"/>
        <w:rPr>
          <w:rFonts w:ascii="Arial" w:hAnsi="Arial" w:cs="Arial"/>
          <w:color w:val="000000" w:themeColor="text1"/>
          <w:sz w:val="19"/>
          <w:szCs w:val="19"/>
        </w:rPr>
      </w:pPr>
      <w:proofErr w:type="gramStart"/>
      <w:r w:rsidRPr="00AA14C9">
        <w:rPr>
          <w:rStyle w:val="Textoennegrita"/>
          <w:rFonts w:ascii="Arial" w:hAnsi="Arial" w:cs="Arial"/>
          <w:color w:val="000000" w:themeColor="text1"/>
          <w:sz w:val="19"/>
          <w:szCs w:val="19"/>
        </w:rPr>
        <w:t>»Artículo</w:t>
      </w:r>
      <w:proofErr w:type="gramEnd"/>
      <w:r w:rsidRPr="00AA14C9">
        <w:rPr>
          <w:rStyle w:val="Textoennegrita"/>
          <w:rFonts w:ascii="Arial" w:hAnsi="Arial" w:cs="Arial"/>
          <w:color w:val="000000" w:themeColor="text1"/>
          <w:sz w:val="19"/>
          <w:szCs w:val="19"/>
        </w:rPr>
        <w:t xml:space="preserve"> 4º.</w:t>
      </w:r>
      <w:r w:rsidRPr="00AA14C9">
        <w:rPr>
          <w:rFonts w:ascii="Arial" w:hAnsi="Arial" w:cs="Arial"/>
          <w:color w:val="000000" w:themeColor="text1"/>
          <w:sz w:val="19"/>
          <w:szCs w:val="19"/>
        </w:rPr>
        <w:t> Adiciónese el siguiente parágrafo al artículo 2º de la Ley 1150 de 2007. </w:t>
      </w:r>
    </w:p>
    <w:p w14:paraId="7A2981D3" w14:textId="77777777" w:rsidR="002072A4" w:rsidRPr="00AA14C9" w:rsidRDefault="002072A4" w:rsidP="002072A4">
      <w:pPr>
        <w:pStyle w:val="NormalWeb"/>
        <w:spacing w:before="0" w:beforeAutospacing="0" w:after="0" w:afterAutospacing="0"/>
        <w:ind w:firstLine="709"/>
        <w:jc w:val="both"/>
        <w:rPr>
          <w:rFonts w:ascii="Arial" w:hAnsi="Arial" w:cs="Arial"/>
          <w:color w:val="000000" w:themeColor="text1"/>
          <w:sz w:val="19"/>
          <w:szCs w:val="19"/>
        </w:rPr>
      </w:pPr>
      <w:proofErr w:type="gramStart"/>
      <w:r w:rsidRPr="00AA14C9">
        <w:rPr>
          <w:rStyle w:val="Textoennegrita"/>
          <w:rFonts w:ascii="Arial" w:hAnsi="Arial" w:cs="Arial"/>
          <w:color w:val="000000" w:themeColor="text1"/>
          <w:sz w:val="19"/>
          <w:szCs w:val="19"/>
        </w:rPr>
        <w:t>»Parágrafo</w:t>
      </w:r>
      <w:proofErr w:type="gramEnd"/>
      <w:r w:rsidRPr="00AA14C9">
        <w:rPr>
          <w:rStyle w:val="Textoennegrita"/>
          <w:rFonts w:ascii="Arial" w:hAnsi="Arial" w:cs="Arial"/>
          <w:color w:val="000000" w:themeColor="text1"/>
          <w:sz w:val="19"/>
          <w:szCs w:val="19"/>
        </w:rPr>
        <w:t xml:space="preserve"> 7º.</w:t>
      </w:r>
      <w:r w:rsidRPr="00AA14C9">
        <w:rPr>
          <w:rFonts w:ascii="Arial" w:hAnsi="Arial" w:cs="Arial"/>
          <w:color w:val="000000" w:themeColor="text1"/>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5667C4E" w14:textId="77777777" w:rsidR="002072A4" w:rsidRPr="00AA14C9" w:rsidRDefault="002072A4" w:rsidP="002072A4">
      <w:pPr>
        <w:pStyle w:val="NormalWeb"/>
        <w:spacing w:before="0" w:beforeAutospacing="0" w:after="0" w:afterAutospacing="0"/>
        <w:ind w:firstLine="709"/>
        <w:jc w:val="both"/>
        <w:rPr>
          <w:rFonts w:ascii="Arial" w:hAnsi="Arial" w:cs="Arial"/>
          <w:color w:val="000000" w:themeColor="text1"/>
          <w:sz w:val="19"/>
          <w:szCs w:val="19"/>
        </w:rPr>
      </w:pPr>
      <w:proofErr w:type="gramStart"/>
      <w:r w:rsidRPr="00AA14C9">
        <w:rPr>
          <w:rFonts w:ascii="Arial" w:hAnsi="Arial" w:cs="Arial"/>
          <w:color w:val="000000" w:themeColor="text1"/>
          <w:sz w:val="19"/>
          <w:szCs w:val="19"/>
        </w:rPr>
        <w:t>»Dentro</w:t>
      </w:r>
      <w:proofErr w:type="gramEnd"/>
      <w:r w:rsidRPr="00AA14C9">
        <w:rPr>
          <w:rFonts w:ascii="Arial" w:hAnsi="Arial" w:cs="Arial"/>
          <w:color w:val="000000" w:themeColor="text1"/>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67BB9187" w14:textId="77777777" w:rsidR="002072A4" w:rsidRPr="00AA14C9" w:rsidRDefault="002072A4" w:rsidP="002072A4">
      <w:pPr>
        <w:pStyle w:val="NormalWeb"/>
        <w:spacing w:before="0" w:beforeAutospacing="0" w:after="0" w:afterAutospacing="0"/>
        <w:ind w:firstLine="709"/>
        <w:jc w:val="both"/>
        <w:rPr>
          <w:rFonts w:ascii="Arial" w:hAnsi="Arial" w:cs="Arial"/>
          <w:color w:val="000000" w:themeColor="text1"/>
          <w:sz w:val="19"/>
          <w:szCs w:val="19"/>
        </w:rPr>
      </w:pPr>
      <w:proofErr w:type="gramStart"/>
      <w:r w:rsidRPr="00AA14C9">
        <w:rPr>
          <w:rFonts w:ascii="Arial" w:hAnsi="Arial" w:cs="Arial"/>
          <w:color w:val="000000" w:themeColor="text1"/>
          <w:sz w:val="19"/>
          <w:szCs w:val="19"/>
        </w:rPr>
        <w:t>»Con</w:t>
      </w:r>
      <w:proofErr w:type="gramEnd"/>
      <w:r w:rsidRPr="00AA14C9">
        <w:rPr>
          <w:rFonts w:ascii="Arial" w:hAnsi="Arial" w:cs="Arial"/>
          <w:color w:val="000000" w:themeColor="text1"/>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21CAD60A" w14:textId="77777777" w:rsidR="002072A4" w:rsidRPr="00AA14C9" w:rsidRDefault="002072A4" w:rsidP="002072A4">
      <w:pPr>
        <w:pStyle w:val="NormalWeb"/>
        <w:spacing w:before="0" w:beforeAutospacing="0" w:after="0" w:afterAutospacing="0"/>
        <w:ind w:firstLine="709"/>
        <w:jc w:val="both"/>
        <w:rPr>
          <w:rFonts w:ascii="Arial" w:hAnsi="Arial" w:cs="Arial"/>
          <w:color w:val="000000" w:themeColor="text1"/>
          <w:sz w:val="19"/>
          <w:szCs w:val="19"/>
        </w:rPr>
      </w:pPr>
      <w:r w:rsidRPr="00AA14C9">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7D8209FB" w14:textId="77777777" w:rsidR="002072A4" w:rsidRPr="00AA14C9" w:rsidRDefault="002072A4" w:rsidP="002072A4">
      <w:pPr>
        <w:pStyle w:val="NormalWeb"/>
        <w:spacing w:before="0" w:beforeAutospacing="0" w:after="0" w:afterAutospacing="0"/>
        <w:ind w:firstLine="709"/>
        <w:jc w:val="both"/>
        <w:rPr>
          <w:rFonts w:ascii="Arial" w:hAnsi="Arial" w:cs="Arial"/>
          <w:color w:val="000000" w:themeColor="text1"/>
          <w:sz w:val="19"/>
          <w:szCs w:val="19"/>
        </w:rPr>
      </w:pPr>
      <w:proofErr w:type="gramStart"/>
      <w:r w:rsidRPr="00AA14C9">
        <w:rPr>
          <w:rFonts w:ascii="Arial" w:hAnsi="Arial" w:cs="Arial"/>
          <w:color w:val="000000" w:themeColor="text1"/>
          <w:sz w:val="19"/>
          <w:szCs w:val="19"/>
        </w:rPr>
        <w:t>»En</w:t>
      </w:r>
      <w:proofErr w:type="gramEnd"/>
      <w:r w:rsidRPr="00AA14C9">
        <w:rPr>
          <w:rFonts w:ascii="Arial" w:hAnsi="Arial" w:cs="Arial"/>
          <w:color w:val="000000" w:themeColor="text1"/>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00C5E5E9" w14:textId="77777777" w:rsidR="002072A4" w:rsidRPr="00AA14C9" w:rsidRDefault="002072A4" w:rsidP="002072A4">
      <w:pPr>
        <w:pStyle w:val="Textonotapie"/>
        <w:ind w:firstLine="709"/>
        <w:jc w:val="both"/>
        <w:rPr>
          <w:rFonts w:ascii="Arial" w:hAnsi="Arial" w:cs="Arial"/>
          <w:color w:val="000000" w:themeColor="text1"/>
          <w:sz w:val="19"/>
          <w:szCs w:val="19"/>
        </w:rPr>
      </w:pPr>
      <w:r w:rsidRPr="00AA14C9">
        <w:rPr>
          <w:rStyle w:val="Refdenotaalpie"/>
          <w:rFonts w:ascii="Arial" w:hAnsi="Arial" w:cs="Arial"/>
          <w:sz w:val="19"/>
          <w:szCs w:val="19"/>
        </w:rPr>
        <w:footnoteRef/>
      </w:r>
      <w:r w:rsidRPr="00AA14C9">
        <w:rPr>
          <w:rFonts w:ascii="Arial" w:hAnsi="Arial" w:cs="Arial"/>
          <w:color w:val="000000" w:themeColor="text1"/>
          <w:sz w:val="19"/>
          <w:szCs w:val="19"/>
        </w:rPr>
        <w:t xml:space="preserve"> ». CONGRESO DE LA REPÚBLICA. Gaceta </w:t>
      </w:r>
      <w:proofErr w:type="spellStart"/>
      <w:r w:rsidRPr="00AA14C9">
        <w:rPr>
          <w:rFonts w:ascii="Arial" w:hAnsi="Arial" w:cs="Arial"/>
          <w:color w:val="000000" w:themeColor="text1"/>
          <w:sz w:val="19"/>
          <w:szCs w:val="19"/>
        </w:rPr>
        <w:t>Nº</w:t>
      </w:r>
      <w:proofErr w:type="spellEnd"/>
      <w:r w:rsidRPr="00AA14C9">
        <w:rPr>
          <w:rFonts w:ascii="Arial" w:hAnsi="Arial" w:cs="Arial"/>
          <w:color w:val="000000" w:themeColor="text1"/>
          <w:sz w:val="19"/>
          <w:szCs w:val="19"/>
        </w:rPr>
        <w:t xml:space="preserve"> 1677 del 23 de noviembre de 2021. Justificación jurídica del Proyecto de Ley No. 226 de 2021 Cámara. p. 15.</w:t>
      </w:r>
    </w:p>
  </w:footnote>
  <w:footnote w:id="7">
    <w:p w14:paraId="4311DBB5" w14:textId="77777777" w:rsidR="002072A4" w:rsidRPr="00AA14C9" w:rsidRDefault="002072A4" w:rsidP="002072A4">
      <w:pPr>
        <w:pStyle w:val="NormalWeb"/>
        <w:spacing w:before="0" w:beforeAutospacing="0" w:after="0" w:afterAutospacing="0"/>
        <w:ind w:firstLine="708"/>
        <w:jc w:val="both"/>
        <w:rPr>
          <w:rFonts w:ascii="Arial" w:hAnsi="Arial" w:cs="Arial"/>
          <w:color w:val="000000"/>
          <w:sz w:val="19"/>
          <w:szCs w:val="19"/>
        </w:rPr>
      </w:pPr>
      <w:r w:rsidRPr="00AA14C9">
        <w:rPr>
          <w:rStyle w:val="Refdenotaalpie"/>
          <w:rFonts w:ascii="Arial" w:hAnsi="Arial" w:cs="Arial"/>
          <w:sz w:val="19"/>
          <w:szCs w:val="19"/>
        </w:rPr>
        <w:footnoteRef/>
      </w:r>
      <w:r w:rsidRPr="00AA14C9">
        <w:rPr>
          <w:rFonts w:ascii="Arial" w:hAnsi="Arial" w:cs="Arial"/>
          <w:sz w:val="19"/>
          <w:szCs w:val="19"/>
        </w:rPr>
        <w:t xml:space="preserve"> «</w:t>
      </w:r>
      <w:r w:rsidRPr="00AA14C9">
        <w:rPr>
          <w:rStyle w:val="Textoennegrita"/>
          <w:rFonts w:ascii="Arial" w:hAnsi="Arial" w:cs="Arial"/>
          <w:color w:val="000000"/>
          <w:sz w:val="19"/>
          <w:szCs w:val="19"/>
        </w:rPr>
        <w:t>Artículo 2</w:t>
      </w:r>
      <w:proofErr w:type="gramStart"/>
      <w:r w:rsidRPr="00AA14C9">
        <w:rPr>
          <w:rStyle w:val="Textoennegrita"/>
          <w:rFonts w:ascii="Arial" w:hAnsi="Arial" w:cs="Arial"/>
          <w:color w:val="000000"/>
          <w:sz w:val="19"/>
          <w:szCs w:val="19"/>
        </w:rPr>
        <w:t>°.</w:t>
      </w:r>
      <w:r w:rsidRPr="00AA14C9">
        <w:rPr>
          <w:rStyle w:val="nfasis"/>
          <w:rFonts w:ascii="Arial" w:hAnsi="Arial" w:cs="Arial"/>
          <w:color w:val="000000"/>
          <w:sz w:val="19"/>
          <w:szCs w:val="19"/>
        </w:rPr>
        <w:t>De</w:t>
      </w:r>
      <w:proofErr w:type="gramEnd"/>
      <w:r w:rsidRPr="00AA14C9">
        <w:rPr>
          <w:rStyle w:val="nfasis"/>
          <w:rFonts w:ascii="Arial" w:hAnsi="Arial" w:cs="Arial"/>
          <w:color w:val="000000"/>
          <w:sz w:val="19"/>
          <w:szCs w:val="19"/>
        </w:rPr>
        <w:t xml:space="preserve"> las modalidades de selección. </w:t>
      </w:r>
      <w:r w:rsidRPr="00AA14C9">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1F269436" w14:textId="77777777" w:rsidR="002072A4" w:rsidRPr="00AA14C9" w:rsidRDefault="002072A4" w:rsidP="002072A4">
      <w:pPr>
        <w:pStyle w:val="NormalWeb"/>
        <w:spacing w:before="0" w:beforeAutospacing="0" w:after="0" w:afterAutospacing="0"/>
        <w:ind w:firstLine="708"/>
        <w:jc w:val="both"/>
        <w:rPr>
          <w:rFonts w:ascii="Arial" w:hAnsi="Arial" w:cs="Arial"/>
          <w:color w:val="000000"/>
          <w:sz w:val="19"/>
          <w:szCs w:val="19"/>
        </w:rPr>
      </w:pPr>
      <w:r w:rsidRPr="00AA14C9">
        <w:rPr>
          <w:rFonts w:ascii="Arial" w:hAnsi="Arial" w:cs="Arial"/>
          <w:color w:val="000000"/>
          <w:sz w:val="19"/>
          <w:szCs w:val="19"/>
        </w:rPr>
        <w:t>[…]</w:t>
      </w:r>
    </w:p>
    <w:p w14:paraId="26109850" w14:textId="77777777" w:rsidR="002072A4" w:rsidRPr="00AA14C9" w:rsidRDefault="002072A4" w:rsidP="002072A4">
      <w:pPr>
        <w:pStyle w:val="NormalWeb"/>
        <w:spacing w:before="0" w:beforeAutospacing="0" w:after="0" w:afterAutospacing="0"/>
        <w:ind w:firstLine="708"/>
        <w:jc w:val="both"/>
        <w:rPr>
          <w:rFonts w:ascii="Arial" w:hAnsi="Arial" w:cs="Arial"/>
          <w:color w:val="000000"/>
          <w:sz w:val="19"/>
          <w:szCs w:val="19"/>
        </w:rPr>
      </w:pPr>
      <w:r w:rsidRPr="00AA14C9">
        <w:rPr>
          <w:rFonts w:ascii="Arial" w:hAnsi="Arial" w:cs="Arial"/>
          <w:color w:val="000000"/>
          <w:sz w:val="19"/>
          <w:szCs w:val="19"/>
        </w:rPr>
        <w:t xml:space="preserve">»4. Contratación directa. La modalidad de selección de contratación </w:t>
      </w:r>
      <w:proofErr w:type="gramStart"/>
      <w:r w:rsidRPr="00AA14C9">
        <w:rPr>
          <w:rFonts w:ascii="Arial" w:hAnsi="Arial" w:cs="Arial"/>
          <w:color w:val="000000"/>
          <w:sz w:val="19"/>
          <w:szCs w:val="19"/>
        </w:rPr>
        <w:t>directa,</w:t>
      </w:r>
      <w:proofErr w:type="gramEnd"/>
      <w:r w:rsidRPr="00AA14C9">
        <w:rPr>
          <w:rFonts w:ascii="Arial" w:hAnsi="Arial" w:cs="Arial"/>
          <w:color w:val="000000"/>
          <w:sz w:val="19"/>
          <w:szCs w:val="19"/>
        </w:rPr>
        <w:t xml:space="preserve"> solamente procederá en los siguientes casos: </w:t>
      </w:r>
    </w:p>
    <w:p w14:paraId="65AFED7B" w14:textId="77777777" w:rsidR="002072A4" w:rsidRPr="00AA14C9" w:rsidRDefault="002072A4" w:rsidP="002072A4">
      <w:pPr>
        <w:jc w:val="both"/>
        <w:rPr>
          <w:rFonts w:ascii="Arial" w:hAnsi="Arial" w:cs="Arial"/>
          <w:color w:val="000000"/>
          <w:sz w:val="19"/>
          <w:szCs w:val="19"/>
          <w:lang w:eastAsia="es-CO"/>
        </w:rPr>
      </w:pPr>
      <w:r w:rsidRPr="00AA14C9">
        <w:rPr>
          <w:rFonts w:ascii="Arial" w:hAnsi="Arial" w:cs="Arial"/>
          <w:color w:val="000000"/>
          <w:sz w:val="19"/>
          <w:szCs w:val="19"/>
          <w:lang w:eastAsia="es-CO"/>
        </w:rPr>
        <w:t>  […]  </w:t>
      </w:r>
    </w:p>
    <w:p w14:paraId="29367F45" w14:textId="77777777" w:rsidR="002072A4" w:rsidRPr="00AA14C9" w:rsidRDefault="002072A4" w:rsidP="002072A4">
      <w:pPr>
        <w:ind w:firstLine="708"/>
        <w:jc w:val="both"/>
        <w:rPr>
          <w:rFonts w:ascii="Arial" w:hAnsi="Arial" w:cs="Arial"/>
          <w:color w:val="000000"/>
          <w:sz w:val="19"/>
          <w:szCs w:val="19"/>
          <w:lang w:eastAsia="es-CO"/>
        </w:rPr>
      </w:pPr>
      <w:r w:rsidRPr="00AA14C9">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2ABD5003" w14:textId="77777777" w:rsidR="002072A4" w:rsidRPr="00AA14C9" w:rsidRDefault="002072A4" w:rsidP="002072A4">
      <w:pPr>
        <w:jc w:val="both"/>
        <w:rPr>
          <w:rFonts w:ascii="Arial" w:hAnsi="Arial" w:cs="Arial"/>
          <w:color w:val="000000"/>
          <w:sz w:val="19"/>
          <w:szCs w:val="19"/>
          <w:lang w:eastAsia="es-CO"/>
        </w:rPr>
      </w:pPr>
      <w:r w:rsidRPr="00AA14C9">
        <w:rPr>
          <w:rFonts w:ascii="Arial" w:hAnsi="Arial" w:cs="Arial"/>
          <w:color w:val="000000"/>
          <w:sz w:val="19"/>
          <w:szCs w:val="19"/>
          <w:lang w:eastAsia="es-CO"/>
        </w:rPr>
        <w:t>  </w:t>
      </w:r>
      <w:r w:rsidRPr="00AA14C9">
        <w:rPr>
          <w:rFonts w:ascii="Arial" w:hAnsi="Arial" w:cs="Arial"/>
          <w:color w:val="000000"/>
          <w:sz w:val="19"/>
          <w:szCs w:val="19"/>
          <w:lang w:eastAsia="es-CO"/>
        </w:rPr>
        <w:tab/>
      </w:r>
      <w:proofErr w:type="gramStart"/>
      <w:r w:rsidRPr="00AA14C9">
        <w:rPr>
          <w:rFonts w:ascii="Arial" w:hAnsi="Arial" w:cs="Arial"/>
          <w:color w:val="000000"/>
          <w:sz w:val="19"/>
          <w:szCs w:val="19"/>
          <w:lang w:eastAsia="es-CO"/>
        </w:rPr>
        <w:t>»Se</w:t>
      </w:r>
      <w:proofErr w:type="gramEnd"/>
      <w:r w:rsidRPr="00AA14C9">
        <w:rPr>
          <w:rFonts w:ascii="Arial" w:hAnsi="Arial" w:cs="Arial"/>
          <w:color w:val="000000"/>
          <w:sz w:val="19"/>
          <w:szCs w:val="19"/>
          <w:lang w:eastAsia="es-CO"/>
        </w:rPr>
        <w:t xml:space="preserv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3BB343AE" w14:textId="77777777" w:rsidR="002072A4" w:rsidRPr="00AA14C9" w:rsidRDefault="002072A4" w:rsidP="002072A4">
      <w:pPr>
        <w:jc w:val="both"/>
        <w:rPr>
          <w:rFonts w:ascii="Arial" w:hAnsi="Arial" w:cs="Arial"/>
          <w:color w:val="000000"/>
          <w:sz w:val="19"/>
          <w:szCs w:val="19"/>
          <w:lang w:eastAsia="es-CO"/>
        </w:rPr>
      </w:pPr>
      <w:r w:rsidRPr="00AA14C9">
        <w:rPr>
          <w:rFonts w:ascii="Arial" w:hAnsi="Arial" w:cs="Arial"/>
          <w:color w:val="000000"/>
          <w:sz w:val="19"/>
          <w:szCs w:val="19"/>
          <w:lang w:eastAsia="es-CO"/>
        </w:rPr>
        <w:t>  </w:t>
      </w:r>
      <w:r w:rsidRPr="00AA14C9">
        <w:rPr>
          <w:rFonts w:ascii="Arial" w:hAnsi="Arial" w:cs="Arial"/>
          <w:color w:val="000000"/>
          <w:sz w:val="19"/>
          <w:szCs w:val="19"/>
          <w:lang w:eastAsia="es-CO"/>
        </w:rPr>
        <w:tab/>
      </w:r>
      <w:proofErr w:type="gramStart"/>
      <w:r w:rsidRPr="00AA14C9">
        <w:rPr>
          <w:rFonts w:ascii="Arial" w:hAnsi="Arial" w:cs="Arial"/>
          <w:color w:val="000000"/>
          <w:sz w:val="19"/>
          <w:szCs w:val="19"/>
          <w:lang w:eastAsia="es-CO"/>
        </w:rPr>
        <w:t>»En</w:t>
      </w:r>
      <w:proofErr w:type="gramEnd"/>
      <w:r w:rsidRPr="00AA14C9">
        <w:rPr>
          <w:rFonts w:ascii="Arial" w:hAnsi="Arial" w:cs="Arial"/>
          <w:color w:val="000000"/>
          <w:sz w:val="19"/>
          <w:szCs w:val="19"/>
          <w:lang w:eastAsia="es-CO"/>
        </w:rPr>
        <w:t xml:space="preserve">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673833B7" w14:textId="77777777" w:rsidR="002072A4" w:rsidRPr="00AA14C9" w:rsidRDefault="002072A4" w:rsidP="002072A4">
      <w:pPr>
        <w:jc w:val="both"/>
        <w:rPr>
          <w:rFonts w:ascii="Arial" w:hAnsi="Arial" w:cs="Arial"/>
          <w:color w:val="000000"/>
          <w:sz w:val="19"/>
          <w:szCs w:val="19"/>
          <w:lang w:eastAsia="es-CO"/>
        </w:rPr>
      </w:pPr>
      <w:r w:rsidRPr="00AA14C9">
        <w:rPr>
          <w:rFonts w:ascii="Arial" w:hAnsi="Arial" w:cs="Arial"/>
          <w:color w:val="000000"/>
          <w:sz w:val="19"/>
          <w:szCs w:val="19"/>
          <w:lang w:eastAsia="es-CO"/>
        </w:rPr>
        <w:t>  </w:t>
      </w:r>
      <w:r w:rsidRPr="00AA14C9">
        <w:rPr>
          <w:rFonts w:ascii="Arial" w:hAnsi="Arial" w:cs="Arial"/>
          <w:color w:val="000000"/>
          <w:sz w:val="19"/>
          <w:szCs w:val="19"/>
          <w:lang w:eastAsia="es-CO"/>
        </w:rPr>
        <w:tab/>
      </w:r>
      <w:proofErr w:type="gramStart"/>
      <w:r w:rsidRPr="00AA14C9">
        <w:rPr>
          <w:rFonts w:ascii="Arial" w:hAnsi="Arial" w:cs="Arial"/>
          <w:color w:val="000000"/>
          <w:sz w:val="19"/>
          <w:szCs w:val="19"/>
          <w:lang w:eastAsia="es-CO"/>
        </w:rPr>
        <w:t>»En</w:t>
      </w:r>
      <w:proofErr w:type="gramEnd"/>
      <w:r w:rsidRPr="00AA14C9">
        <w:rPr>
          <w:rFonts w:ascii="Arial" w:hAnsi="Arial" w:cs="Arial"/>
          <w:color w:val="000000"/>
          <w:sz w:val="19"/>
          <w:szCs w:val="19"/>
          <w:lang w:eastAsia="es-CO"/>
        </w:rPr>
        <w:t xml:space="preserve">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7224D496" w14:textId="77777777" w:rsidR="002072A4" w:rsidRPr="00AA14C9" w:rsidRDefault="002072A4" w:rsidP="002072A4">
      <w:pPr>
        <w:jc w:val="both"/>
        <w:rPr>
          <w:rFonts w:ascii="Arial" w:hAnsi="Arial" w:cs="Arial"/>
          <w:sz w:val="19"/>
          <w:szCs w:val="19"/>
        </w:rPr>
      </w:pPr>
      <w:r w:rsidRPr="00AA14C9">
        <w:rPr>
          <w:rFonts w:ascii="Arial" w:hAnsi="Arial" w:cs="Arial"/>
          <w:color w:val="000000"/>
          <w:sz w:val="19"/>
          <w:szCs w:val="19"/>
          <w:lang w:eastAsia="es-CO"/>
        </w:rPr>
        <w:t>  </w:t>
      </w:r>
      <w:r w:rsidRPr="00AA14C9">
        <w:rPr>
          <w:rFonts w:ascii="Arial" w:hAnsi="Arial" w:cs="Arial"/>
          <w:color w:val="000000"/>
          <w:sz w:val="19"/>
          <w:szCs w:val="19"/>
          <w:lang w:eastAsia="es-CO"/>
        </w:rPr>
        <w:tab/>
      </w:r>
      <w:proofErr w:type="gramStart"/>
      <w:r w:rsidRPr="00AA14C9">
        <w:rPr>
          <w:rFonts w:ascii="Arial" w:hAnsi="Arial" w:cs="Arial"/>
          <w:color w:val="000000"/>
          <w:sz w:val="19"/>
          <w:szCs w:val="19"/>
          <w:lang w:eastAsia="es-CO"/>
        </w:rPr>
        <w:t>»Estarán</w:t>
      </w:r>
      <w:proofErr w:type="gramEnd"/>
      <w:r w:rsidRPr="00AA14C9">
        <w:rPr>
          <w:rFonts w:ascii="Arial" w:hAnsi="Arial" w:cs="Arial"/>
          <w:color w:val="000000"/>
          <w:sz w:val="19"/>
          <w:szCs w:val="19"/>
          <w:lang w:eastAsia="es-CO"/>
        </w:rPr>
        <w:t xml:space="preserve"> exceptuados de la figura del contrato interadministrativo, los contratos de seguro de las entidades estatales[…]». </w:t>
      </w:r>
      <w:r w:rsidRPr="00AA14C9">
        <w:rPr>
          <w:rFonts w:ascii="Arial" w:hAnsi="Arial" w:cs="Arial"/>
          <w:sz w:val="19"/>
          <w:szCs w:val="19"/>
        </w:rPr>
        <w:t xml:space="preserve"> </w:t>
      </w:r>
    </w:p>
  </w:footnote>
  <w:footnote w:id="8">
    <w:p w14:paraId="09FC67EC" w14:textId="77777777" w:rsidR="002072A4" w:rsidRPr="00AA14C9" w:rsidRDefault="002072A4" w:rsidP="002072A4">
      <w:pPr>
        <w:pStyle w:val="Textonotapie"/>
        <w:ind w:firstLine="708"/>
        <w:jc w:val="both"/>
        <w:rPr>
          <w:rFonts w:ascii="Arial" w:hAnsi="Arial" w:cs="Arial"/>
          <w:sz w:val="19"/>
          <w:szCs w:val="19"/>
          <w:lang w:val="es-CO"/>
        </w:rPr>
      </w:pPr>
      <w:r w:rsidRPr="00AA14C9">
        <w:rPr>
          <w:rStyle w:val="Refdenotaalpie"/>
          <w:rFonts w:ascii="Arial" w:hAnsi="Arial" w:cs="Arial"/>
          <w:sz w:val="19"/>
          <w:szCs w:val="19"/>
        </w:rPr>
        <w:footnoteRef/>
      </w:r>
      <w:r w:rsidRPr="00AA14C9">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AA14C9">
        <w:rPr>
          <w:rFonts w:ascii="Arial" w:hAnsi="Arial" w:cs="Arial"/>
          <w:i/>
          <w:iCs/>
          <w:sz w:val="19"/>
          <w:szCs w:val="19"/>
        </w:rPr>
        <w:t xml:space="preserve">lex posterior </w:t>
      </w:r>
      <w:proofErr w:type="spellStart"/>
      <w:r w:rsidRPr="00AA14C9">
        <w:rPr>
          <w:rFonts w:ascii="Arial" w:hAnsi="Arial" w:cs="Arial"/>
          <w:i/>
          <w:iCs/>
          <w:sz w:val="19"/>
          <w:szCs w:val="19"/>
        </w:rPr>
        <w:t>derogat</w:t>
      </w:r>
      <w:proofErr w:type="spellEnd"/>
      <w:r w:rsidRPr="00AA14C9">
        <w:rPr>
          <w:rFonts w:ascii="Arial" w:hAnsi="Arial" w:cs="Arial"/>
          <w:i/>
          <w:iCs/>
          <w:sz w:val="19"/>
          <w:szCs w:val="19"/>
        </w:rPr>
        <w:t xml:space="preserve"> </w:t>
      </w:r>
      <w:proofErr w:type="spellStart"/>
      <w:r w:rsidRPr="00AA14C9">
        <w:rPr>
          <w:rFonts w:ascii="Arial" w:hAnsi="Arial" w:cs="Arial"/>
          <w:i/>
          <w:iCs/>
          <w:sz w:val="19"/>
          <w:szCs w:val="19"/>
        </w:rPr>
        <w:t>legi</w:t>
      </w:r>
      <w:proofErr w:type="spellEnd"/>
      <w:r w:rsidRPr="00AA14C9">
        <w:rPr>
          <w:rFonts w:ascii="Arial" w:hAnsi="Arial" w:cs="Arial"/>
          <w:i/>
          <w:iCs/>
          <w:sz w:val="19"/>
          <w:szCs w:val="19"/>
        </w:rPr>
        <w:t xml:space="preserve"> priori</w:t>
      </w:r>
      <w:r w:rsidRPr="00AA14C9">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9">
    <w:p w14:paraId="332B6BBA" w14:textId="77777777" w:rsidR="002072A4" w:rsidRPr="00AA14C9" w:rsidRDefault="002072A4" w:rsidP="002072A4">
      <w:pPr>
        <w:pStyle w:val="Textonotapie"/>
        <w:ind w:firstLine="709"/>
        <w:jc w:val="both"/>
        <w:rPr>
          <w:rFonts w:ascii="Arial" w:hAnsi="Arial" w:cs="Arial"/>
          <w:color w:val="000000" w:themeColor="text1"/>
          <w:sz w:val="19"/>
          <w:szCs w:val="19"/>
          <w:lang w:val="es-ES"/>
        </w:rPr>
      </w:pPr>
      <w:r w:rsidRPr="00AA14C9">
        <w:rPr>
          <w:rStyle w:val="Refdenotaalpie"/>
          <w:rFonts w:ascii="Arial" w:hAnsi="Arial" w:cs="Arial"/>
          <w:sz w:val="19"/>
          <w:szCs w:val="19"/>
        </w:rPr>
        <w:footnoteRef/>
      </w:r>
      <w:r w:rsidRPr="00AA14C9">
        <w:rPr>
          <w:rFonts w:ascii="Arial" w:hAnsi="Arial" w:cs="Arial"/>
          <w:sz w:val="19"/>
          <w:szCs w:val="19"/>
        </w:rPr>
        <w:t xml:space="preserve"> </w:t>
      </w:r>
      <w:r w:rsidRPr="00AA14C9">
        <w:rPr>
          <w:rFonts w:ascii="Arial" w:hAnsi="Arial" w:cs="Arial"/>
          <w:color w:val="000000" w:themeColor="text1"/>
          <w:sz w:val="19"/>
          <w:szCs w:val="19"/>
          <w:lang w:val="es-ES"/>
        </w:rPr>
        <w:t xml:space="preserve">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w:t>
      </w:r>
      <w:proofErr w:type="spellStart"/>
      <w:r w:rsidRPr="00AA14C9">
        <w:rPr>
          <w:rFonts w:ascii="Arial" w:hAnsi="Arial" w:cs="Arial"/>
          <w:color w:val="000000" w:themeColor="text1"/>
          <w:sz w:val="19"/>
          <w:szCs w:val="19"/>
          <w:lang w:val="es-ES"/>
        </w:rPr>
        <w:t>Civitas</w:t>
      </w:r>
      <w:proofErr w:type="spellEnd"/>
      <w:r w:rsidRPr="00AA14C9">
        <w:rPr>
          <w:rFonts w:ascii="Arial" w:hAnsi="Arial" w:cs="Arial"/>
          <w:color w:val="000000" w:themeColor="text1"/>
          <w:sz w:val="19"/>
          <w:szCs w:val="19"/>
          <w:lang w:val="es-ES"/>
        </w:rPr>
        <w:t>, 1983. pp. 33-34).</w:t>
      </w:r>
    </w:p>
    <w:p w14:paraId="23D091BE" w14:textId="77777777" w:rsidR="002072A4" w:rsidRPr="00AA14C9" w:rsidRDefault="002072A4" w:rsidP="002072A4">
      <w:pPr>
        <w:pStyle w:val="Textonotapie"/>
        <w:ind w:firstLine="709"/>
        <w:jc w:val="both"/>
        <w:rPr>
          <w:rFonts w:ascii="Arial" w:hAnsi="Arial" w:cs="Arial"/>
          <w:sz w:val="19"/>
          <w:szCs w:val="19"/>
        </w:rPr>
      </w:pPr>
    </w:p>
  </w:footnote>
  <w:footnote w:id="10">
    <w:p w14:paraId="1373F154" w14:textId="77777777" w:rsidR="002072A4" w:rsidRPr="00AA14C9" w:rsidRDefault="002072A4" w:rsidP="002072A4">
      <w:pPr>
        <w:pStyle w:val="Textonotapie"/>
        <w:ind w:firstLine="709"/>
        <w:rPr>
          <w:rFonts w:ascii="Arial" w:hAnsi="Arial" w:cs="Arial"/>
          <w:sz w:val="19"/>
          <w:szCs w:val="19"/>
        </w:rPr>
      </w:pPr>
      <w:r w:rsidRPr="00AA14C9">
        <w:rPr>
          <w:rStyle w:val="Refdenotaalpie"/>
          <w:rFonts w:ascii="Arial" w:hAnsi="Arial" w:cs="Arial"/>
          <w:sz w:val="19"/>
          <w:szCs w:val="19"/>
        </w:rPr>
        <w:footnoteRef/>
      </w:r>
      <w:r w:rsidRPr="00AA14C9">
        <w:rPr>
          <w:rFonts w:ascii="Arial" w:hAnsi="Arial" w:cs="Arial"/>
          <w:sz w:val="19"/>
          <w:szCs w:val="19"/>
        </w:rPr>
        <w:t xml:space="preserve"> Sentencia C-382 de 2019, M.P. Alejandro Linares Cantillo.</w:t>
      </w:r>
    </w:p>
  </w:footnote>
  <w:footnote w:id="11">
    <w:p w14:paraId="61FDEC0B" w14:textId="77777777" w:rsidR="002072A4" w:rsidRPr="00AA14C9" w:rsidRDefault="002072A4" w:rsidP="002072A4">
      <w:pPr>
        <w:pStyle w:val="Textonotapie"/>
        <w:ind w:firstLine="709"/>
        <w:jc w:val="both"/>
        <w:rPr>
          <w:rFonts w:ascii="Arial" w:hAnsi="Arial" w:cs="Arial"/>
          <w:color w:val="000000" w:themeColor="text1"/>
          <w:sz w:val="19"/>
          <w:szCs w:val="19"/>
        </w:rPr>
      </w:pPr>
    </w:p>
    <w:p w14:paraId="65555B9A" w14:textId="77777777" w:rsidR="002072A4" w:rsidRPr="00AA14C9" w:rsidRDefault="002072A4" w:rsidP="002072A4">
      <w:pPr>
        <w:pStyle w:val="Textonotapie"/>
        <w:ind w:firstLine="709"/>
        <w:jc w:val="both"/>
        <w:rPr>
          <w:rFonts w:ascii="Arial" w:hAnsi="Arial" w:cs="Arial"/>
          <w:color w:val="000000" w:themeColor="text1"/>
          <w:sz w:val="19"/>
          <w:szCs w:val="19"/>
        </w:rPr>
      </w:pPr>
      <w:r w:rsidRPr="00AA14C9">
        <w:rPr>
          <w:rStyle w:val="Refdenotaalpie"/>
          <w:rFonts w:ascii="Arial" w:hAnsi="Arial" w:cs="Arial"/>
          <w:sz w:val="19"/>
          <w:szCs w:val="19"/>
        </w:rPr>
        <w:footnoteRef/>
      </w:r>
      <w:r w:rsidRPr="00AA14C9">
        <w:rPr>
          <w:rFonts w:ascii="Arial" w:hAnsi="Arial" w:cs="Arial"/>
          <w:color w:val="000000" w:themeColor="text1"/>
          <w:sz w:val="19"/>
          <w:szCs w:val="19"/>
        </w:rPr>
        <w:t xml:space="preserve"> La redacción original del parágrafo primero del artículo 32 de la Ley 80 de 1993, incluía la expresión </w:t>
      </w:r>
      <w:r w:rsidRPr="00AA14C9">
        <w:rPr>
          <w:rFonts w:ascii="Arial" w:hAnsi="Arial" w:cs="Arial"/>
          <w:i/>
          <w:iCs/>
          <w:color w:val="000000" w:themeColor="text1"/>
          <w:sz w:val="19"/>
          <w:szCs w:val="19"/>
        </w:rPr>
        <w:t>giro ordinario</w:t>
      </w:r>
      <w:r w:rsidRPr="00AA14C9">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AA14C9">
        <w:rPr>
          <w:rFonts w:ascii="Arial" w:hAnsi="Arial" w:cs="Arial"/>
          <w:i/>
          <w:iCs/>
          <w:color w:val="000000" w:themeColor="text1"/>
          <w:sz w:val="19"/>
          <w:szCs w:val="19"/>
        </w:rPr>
        <w:t>al giro ordinario de las actividades propias de su objeto social,</w:t>
      </w:r>
      <w:r w:rsidRPr="00AA14C9">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footnote>
  <w:footnote w:id="12">
    <w:p w14:paraId="16A81B95" w14:textId="77777777" w:rsidR="002072A4" w:rsidRPr="00AA14C9" w:rsidRDefault="002072A4" w:rsidP="002072A4">
      <w:pPr>
        <w:pStyle w:val="Textonotapie"/>
        <w:ind w:firstLine="709"/>
        <w:jc w:val="both"/>
        <w:rPr>
          <w:rFonts w:ascii="Arial" w:hAnsi="Arial" w:cs="Arial"/>
          <w:color w:val="000000" w:themeColor="text1"/>
          <w:sz w:val="19"/>
          <w:szCs w:val="19"/>
        </w:rPr>
      </w:pPr>
      <w:r w:rsidRPr="00AA14C9">
        <w:rPr>
          <w:rStyle w:val="Refdenotaalpie"/>
          <w:rFonts w:ascii="Arial" w:hAnsi="Arial" w:cs="Arial"/>
          <w:sz w:val="19"/>
          <w:szCs w:val="19"/>
        </w:rPr>
        <w:footnoteRef/>
      </w:r>
      <w:r w:rsidRPr="00AA14C9">
        <w:rPr>
          <w:rFonts w:ascii="Arial" w:hAnsi="Arial" w:cs="Arial"/>
          <w:color w:val="000000" w:themeColor="text1"/>
          <w:sz w:val="19"/>
          <w:szCs w:val="19"/>
        </w:rPr>
        <w:t xml:space="preserve"> Consejo de Estado. Sección Tercera. Subsección B. Sentencia del 12 de octubre de 2011. </w:t>
      </w:r>
      <w:proofErr w:type="spellStart"/>
      <w:r w:rsidRPr="00AA14C9">
        <w:rPr>
          <w:rFonts w:ascii="Arial" w:hAnsi="Arial" w:cs="Arial"/>
          <w:color w:val="000000" w:themeColor="text1"/>
          <w:sz w:val="19"/>
          <w:szCs w:val="19"/>
        </w:rPr>
        <w:t>Exp</w:t>
      </w:r>
      <w:proofErr w:type="spellEnd"/>
      <w:r w:rsidRPr="00AA14C9">
        <w:rPr>
          <w:rFonts w:ascii="Arial" w:hAnsi="Arial" w:cs="Arial"/>
          <w:color w:val="000000" w:themeColor="text1"/>
          <w:sz w:val="19"/>
          <w:szCs w:val="19"/>
        </w:rPr>
        <w:t>. No. 20070. C.P. Danilo Rojas Betancourt.</w:t>
      </w:r>
    </w:p>
    <w:p w14:paraId="4A36E78A" w14:textId="77777777" w:rsidR="002072A4" w:rsidRPr="00AA14C9" w:rsidRDefault="002072A4" w:rsidP="002072A4">
      <w:pPr>
        <w:pStyle w:val="Textonotapie"/>
        <w:ind w:firstLine="709"/>
        <w:jc w:val="both"/>
        <w:rPr>
          <w:rFonts w:ascii="Arial" w:hAnsi="Arial" w:cs="Arial"/>
          <w:color w:val="000000" w:themeColor="text1"/>
          <w:sz w:val="19"/>
          <w:szCs w:val="19"/>
        </w:rPr>
      </w:pPr>
    </w:p>
  </w:footnote>
  <w:footnote w:id="13">
    <w:p w14:paraId="375D6CC1" w14:textId="77777777" w:rsidR="002072A4" w:rsidRPr="00AA14C9" w:rsidRDefault="002072A4" w:rsidP="002072A4">
      <w:pPr>
        <w:ind w:firstLine="709"/>
        <w:jc w:val="both"/>
        <w:rPr>
          <w:rFonts w:ascii="Arial" w:hAnsi="Arial" w:cs="Arial"/>
          <w:color w:val="000000" w:themeColor="text1"/>
          <w:sz w:val="19"/>
          <w:szCs w:val="19"/>
        </w:rPr>
      </w:pPr>
      <w:r w:rsidRPr="00AA14C9">
        <w:rPr>
          <w:rStyle w:val="Refdenotaalpie"/>
          <w:rFonts w:ascii="Arial" w:hAnsi="Arial" w:cs="Arial"/>
          <w:sz w:val="19"/>
          <w:szCs w:val="19"/>
        </w:rPr>
        <w:footnoteRef/>
      </w:r>
      <w:r w:rsidRPr="00AA14C9">
        <w:rPr>
          <w:rFonts w:ascii="Arial" w:hAnsi="Arial" w:cs="Arial"/>
          <w:color w:val="000000" w:themeColor="text1"/>
          <w:sz w:val="19"/>
          <w:szCs w:val="19"/>
        </w:rPr>
        <w:t xml:space="preserve"> Consejo de Estado. Sección Tercera. Subsección A. Sentencia del 3 de marzo de 2021. </w:t>
      </w:r>
      <w:proofErr w:type="spellStart"/>
      <w:r w:rsidRPr="00AA14C9">
        <w:rPr>
          <w:rFonts w:ascii="Arial" w:hAnsi="Arial" w:cs="Arial"/>
          <w:color w:val="000000" w:themeColor="text1"/>
          <w:sz w:val="19"/>
          <w:szCs w:val="19"/>
        </w:rPr>
        <w:t>Exp</w:t>
      </w:r>
      <w:proofErr w:type="spellEnd"/>
      <w:r w:rsidRPr="00AA14C9">
        <w:rPr>
          <w:rFonts w:ascii="Arial" w:hAnsi="Arial" w:cs="Arial"/>
          <w:color w:val="000000" w:themeColor="text1"/>
          <w:sz w:val="19"/>
          <w:szCs w:val="19"/>
        </w:rPr>
        <w:t xml:space="preserve">. No. 51373. C.P. José Roberto Sáchica Méndez. </w:t>
      </w:r>
    </w:p>
    <w:p w14:paraId="1621F6DE" w14:textId="77777777" w:rsidR="002072A4" w:rsidRPr="00AA14C9" w:rsidRDefault="002072A4" w:rsidP="002072A4">
      <w:pPr>
        <w:ind w:firstLine="709"/>
        <w:jc w:val="both"/>
        <w:rPr>
          <w:rFonts w:ascii="Arial" w:hAnsi="Arial" w:cs="Arial"/>
          <w:color w:val="000000" w:themeColor="text1"/>
          <w:sz w:val="19"/>
          <w:szCs w:val="19"/>
        </w:rPr>
      </w:pPr>
    </w:p>
  </w:footnote>
  <w:footnote w:id="14">
    <w:p w14:paraId="30085274" w14:textId="77777777" w:rsidR="002072A4" w:rsidRPr="00AA14C9" w:rsidRDefault="002072A4" w:rsidP="002072A4">
      <w:pPr>
        <w:pStyle w:val="Textonotapie"/>
        <w:ind w:firstLine="709"/>
        <w:jc w:val="both"/>
        <w:rPr>
          <w:rFonts w:ascii="Arial" w:hAnsi="Arial" w:cs="Arial"/>
          <w:color w:val="000000" w:themeColor="text1"/>
          <w:sz w:val="19"/>
          <w:szCs w:val="19"/>
        </w:rPr>
      </w:pPr>
      <w:r w:rsidRPr="00AA14C9">
        <w:rPr>
          <w:rStyle w:val="Refdenotaalpie"/>
          <w:rFonts w:ascii="Arial" w:hAnsi="Arial" w:cs="Arial"/>
          <w:sz w:val="19"/>
          <w:szCs w:val="19"/>
        </w:rPr>
        <w:footnoteRef/>
      </w:r>
      <w:r w:rsidRPr="00AA14C9">
        <w:rPr>
          <w:rFonts w:ascii="Arial" w:hAnsi="Arial" w:cs="Arial"/>
          <w:color w:val="000000" w:themeColor="text1"/>
          <w:sz w:val="19"/>
          <w:szCs w:val="19"/>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4A5001A2" w14:textId="77777777" w:rsidR="002072A4" w:rsidRPr="00AA14C9" w:rsidRDefault="002072A4" w:rsidP="002072A4">
      <w:pPr>
        <w:pStyle w:val="Textonotapie"/>
        <w:ind w:firstLine="709"/>
        <w:jc w:val="both"/>
        <w:rPr>
          <w:rFonts w:ascii="Arial" w:hAnsi="Arial" w:cs="Arial"/>
          <w:color w:val="000000" w:themeColor="text1"/>
          <w:sz w:val="19"/>
          <w:szCs w:val="19"/>
        </w:rPr>
      </w:pPr>
      <w:proofErr w:type="gramStart"/>
      <w:r w:rsidRPr="00AA14C9">
        <w:rPr>
          <w:rFonts w:ascii="Arial" w:hAnsi="Arial" w:cs="Arial"/>
          <w:color w:val="000000" w:themeColor="text1"/>
          <w:sz w:val="19"/>
          <w:szCs w:val="19"/>
        </w:rPr>
        <w:t>»En</w:t>
      </w:r>
      <w:proofErr w:type="gramEnd"/>
      <w:r w:rsidRPr="00AA14C9">
        <w:rPr>
          <w:rFonts w:ascii="Arial" w:hAnsi="Arial" w:cs="Arial"/>
          <w:color w:val="000000" w:themeColor="text1"/>
          <w:sz w:val="19"/>
          <w:szCs w:val="19"/>
        </w:rPr>
        <w:t xml:space="preserve">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w:t>
      </w:r>
      <w:proofErr w:type="spellStart"/>
      <w:r w:rsidRPr="00AA14C9">
        <w:rPr>
          <w:rFonts w:ascii="Arial" w:hAnsi="Arial" w:cs="Arial"/>
          <w:color w:val="000000" w:themeColor="text1"/>
          <w:sz w:val="19"/>
          <w:szCs w:val="19"/>
        </w:rPr>
        <w:t>Exp</w:t>
      </w:r>
      <w:proofErr w:type="spellEnd"/>
      <w:r w:rsidRPr="00AA14C9">
        <w:rPr>
          <w:rFonts w:ascii="Arial" w:hAnsi="Arial" w:cs="Arial"/>
          <w:color w:val="000000" w:themeColor="text1"/>
          <w:sz w:val="19"/>
          <w:szCs w:val="19"/>
        </w:rPr>
        <w:t>. No. 11575. C.P. Alier E. Hernández Enríquez.</w:t>
      </w:r>
    </w:p>
  </w:footnote>
  <w:footnote w:id="15">
    <w:p w14:paraId="7A5B875A" w14:textId="77777777" w:rsidR="002072A4" w:rsidRPr="00AA14C9" w:rsidRDefault="002072A4" w:rsidP="002072A4">
      <w:pPr>
        <w:pStyle w:val="Textonotapie"/>
        <w:ind w:firstLine="709"/>
        <w:jc w:val="both"/>
        <w:rPr>
          <w:rFonts w:ascii="Arial" w:hAnsi="Arial" w:cs="Arial"/>
          <w:color w:val="000000"/>
          <w:sz w:val="19"/>
          <w:szCs w:val="19"/>
        </w:rPr>
      </w:pPr>
      <w:r w:rsidRPr="00AA14C9">
        <w:rPr>
          <w:rStyle w:val="Refdenotaalpie"/>
          <w:rFonts w:ascii="Arial" w:hAnsi="Arial" w:cs="Arial"/>
          <w:sz w:val="19"/>
          <w:szCs w:val="19"/>
        </w:rPr>
        <w:footnoteRef/>
      </w:r>
      <w:r w:rsidRPr="00AA14C9">
        <w:rPr>
          <w:rFonts w:ascii="Arial" w:hAnsi="Arial" w:cs="Arial"/>
          <w:color w:val="000000"/>
          <w:sz w:val="19"/>
          <w:szCs w:val="19"/>
        </w:rPr>
        <w:t xml:space="preserve"> Superintendencia de Sociedades. Oficio 220-014111 del 18 de febrero de 2015. Consultado el 9 de febrero de 2022 en: </w:t>
      </w:r>
      <w:hyperlink r:id="rId1" w:history="1">
        <w:r w:rsidRPr="00AA14C9">
          <w:rPr>
            <w:rStyle w:val="Hipervnculo"/>
            <w:rFonts w:ascii="Arial" w:hAnsi="Arial" w:cs="Arial"/>
            <w:color w:val="000000"/>
            <w:sz w:val="19"/>
            <w:szCs w:val="19"/>
          </w:rPr>
          <w:t>https://www.supersociedades.gov.co/nuestra_entidad/normatividad/normatividad_conceptos_juridicos/OFICIO_220-014111_DE_2015.pdf</w:t>
        </w:r>
      </w:hyperlink>
    </w:p>
  </w:footnote>
  <w:footnote w:id="16">
    <w:p w14:paraId="2464904B" w14:textId="77777777" w:rsidR="002072A4" w:rsidRPr="00AA14C9" w:rsidRDefault="002072A4" w:rsidP="002072A4">
      <w:pPr>
        <w:pStyle w:val="Textonotapie"/>
        <w:ind w:firstLine="709"/>
        <w:jc w:val="both"/>
        <w:rPr>
          <w:rFonts w:ascii="Arial" w:hAnsi="Arial" w:cs="Arial"/>
          <w:color w:val="000000"/>
          <w:sz w:val="19"/>
          <w:szCs w:val="19"/>
        </w:rPr>
      </w:pPr>
      <w:r w:rsidRPr="00AA14C9">
        <w:rPr>
          <w:rStyle w:val="Refdenotaalpie"/>
          <w:rFonts w:ascii="Arial" w:hAnsi="Arial" w:cs="Arial"/>
          <w:sz w:val="19"/>
          <w:szCs w:val="19"/>
        </w:rPr>
        <w:footnoteRef/>
      </w:r>
      <w:r w:rsidRPr="00AA14C9">
        <w:rPr>
          <w:rFonts w:ascii="Arial" w:hAnsi="Arial" w:cs="Arial"/>
          <w:color w:val="000000"/>
          <w:sz w:val="19"/>
          <w:szCs w:val="19"/>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w:t>
      </w:r>
      <w:proofErr w:type="spellStart"/>
      <w:r w:rsidRPr="00AA14C9">
        <w:rPr>
          <w:rFonts w:ascii="Arial" w:hAnsi="Arial" w:cs="Arial"/>
          <w:color w:val="000000"/>
          <w:sz w:val="19"/>
          <w:szCs w:val="19"/>
        </w:rPr>
        <w:t>Nº</w:t>
      </w:r>
      <w:proofErr w:type="spellEnd"/>
      <w:r w:rsidRPr="00AA14C9">
        <w:rPr>
          <w:rFonts w:ascii="Arial" w:hAnsi="Arial" w:cs="Arial"/>
          <w:color w:val="000000"/>
          <w:sz w:val="19"/>
          <w:szCs w:val="19"/>
        </w:rPr>
        <w:t xml:space="preserve"> 1677 del 23 de noviembre de 2021. Justificación jurídica del Proyecto de Ley No. 226 de 2021 Cámara. p. 15.</w:t>
      </w:r>
      <w:r w:rsidRPr="00AA14C9">
        <w:rPr>
          <w:rFonts w:ascii="Arial" w:hAnsi="Arial" w:cs="Arial"/>
          <w:color w:val="000000"/>
          <w:sz w:val="19"/>
          <w:szCs w:val="19"/>
        </w:rPr>
        <w:cr/>
      </w:r>
    </w:p>
  </w:footnote>
  <w:footnote w:id="17">
    <w:p w14:paraId="410045D1" w14:textId="77777777" w:rsidR="002072A4" w:rsidRPr="00AA14C9" w:rsidRDefault="002072A4" w:rsidP="002072A4">
      <w:pPr>
        <w:pStyle w:val="Textonotapie"/>
        <w:ind w:firstLine="709"/>
        <w:jc w:val="both"/>
        <w:rPr>
          <w:rFonts w:ascii="Arial" w:hAnsi="Arial" w:cs="Arial"/>
          <w:color w:val="000000"/>
          <w:sz w:val="19"/>
          <w:szCs w:val="19"/>
        </w:rPr>
      </w:pPr>
      <w:r w:rsidRPr="00AA14C9">
        <w:rPr>
          <w:rStyle w:val="Refdenotaalpie"/>
          <w:rFonts w:ascii="Arial" w:hAnsi="Arial" w:cs="Arial"/>
          <w:sz w:val="19"/>
          <w:szCs w:val="19"/>
        </w:rPr>
        <w:footnoteRef/>
      </w:r>
      <w:r w:rsidRPr="00AA14C9">
        <w:rPr>
          <w:rFonts w:ascii="Arial" w:hAnsi="Arial" w:cs="Arial"/>
          <w:color w:val="000000"/>
          <w:sz w:val="19"/>
          <w:szCs w:val="19"/>
        </w:rPr>
        <w:t xml:space="preserve"> Al respecto ha señalado la Corte Constitucional: «En relación con el ámbito de configuración del legislador en materia contractual la jurisprudencia constitucional ha señalado los siguientes criterios:</w:t>
      </w:r>
    </w:p>
    <w:p w14:paraId="42834216" w14:textId="77777777" w:rsidR="002072A4" w:rsidRPr="00AA14C9" w:rsidRDefault="002072A4" w:rsidP="002072A4">
      <w:pPr>
        <w:pStyle w:val="Textonotapie"/>
        <w:ind w:firstLine="709"/>
        <w:jc w:val="both"/>
        <w:rPr>
          <w:rFonts w:ascii="Arial" w:hAnsi="Arial" w:cs="Arial"/>
          <w:color w:val="000000"/>
          <w:sz w:val="19"/>
          <w:szCs w:val="19"/>
        </w:rPr>
      </w:pPr>
      <w:r w:rsidRPr="00AA14C9">
        <w:rPr>
          <w:rFonts w:ascii="Arial" w:hAnsi="Arial" w:cs="Arial"/>
          <w:color w:val="000000"/>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408B13B1" w14:textId="77777777" w:rsidR="002072A4" w:rsidRPr="00AA14C9" w:rsidRDefault="002072A4" w:rsidP="002072A4">
      <w:pPr>
        <w:pStyle w:val="Textonotapie"/>
        <w:ind w:firstLine="709"/>
        <w:jc w:val="both"/>
        <w:rPr>
          <w:rFonts w:ascii="Arial" w:hAnsi="Arial" w:cs="Arial"/>
          <w:color w:val="000000"/>
          <w:sz w:val="19"/>
          <w:szCs w:val="19"/>
        </w:rPr>
      </w:pPr>
      <w:r w:rsidRPr="00AA14C9">
        <w:rPr>
          <w:rFonts w:ascii="Arial" w:hAnsi="Arial" w:cs="Arial"/>
          <w:color w:val="000000"/>
          <w:sz w:val="19"/>
          <w:szCs w:val="19"/>
        </w:rPr>
        <w:t>(</w:t>
      </w:r>
      <w:proofErr w:type="spellStart"/>
      <w:r w:rsidRPr="00AA14C9">
        <w:rPr>
          <w:rFonts w:ascii="Arial" w:hAnsi="Arial" w:cs="Arial"/>
          <w:color w:val="000000"/>
          <w:sz w:val="19"/>
          <w:szCs w:val="19"/>
        </w:rPr>
        <w:t>ii</w:t>
      </w:r>
      <w:proofErr w:type="spellEnd"/>
      <w:r w:rsidRPr="00AA14C9">
        <w:rPr>
          <w:rFonts w:ascii="Arial" w:hAnsi="Arial" w:cs="Arial"/>
          <w:color w:val="000000"/>
          <w:sz w:val="19"/>
          <w:szCs w:val="19"/>
        </w:rPr>
        <w:t>)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327F5501" w14:textId="77777777" w:rsidR="002072A4" w:rsidRPr="00AA14C9" w:rsidRDefault="002072A4" w:rsidP="002072A4">
      <w:pPr>
        <w:pStyle w:val="Textonotapie"/>
        <w:ind w:firstLine="709"/>
        <w:jc w:val="both"/>
        <w:rPr>
          <w:rFonts w:ascii="Arial" w:hAnsi="Arial" w:cs="Arial"/>
          <w:color w:val="000000"/>
          <w:sz w:val="19"/>
          <w:szCs w:val="19"/>
        </w:rPr>
      </w:pPr>
      <w:r w:rsidRPr="00AA14C9">
        <w:rPr>
          <w:rFonts w:ascii="Arial" w:hAnsi="Arial" w:cs="Arial"/>
          <w:color w:val="000000"/>
          <w:sz w:val="19"/>
          <w:szCs w:val="19"/>
        </w:rPr>
        <w:t>(</w:t>
      </w:r>
      <w:proofErr w:type="spellStart"/>
      <w:r w:rsidRPr="00AA14C9">
        <w:rPr>
          <w:rFonts w:ascii="Arial" w:hAnsi="Arial" w:cs="Arial"/>
          <w:color w:val="000000"/>
          <w:sz w:val="19"/>
          <w:szCs w:val="19"/>
        </w:rPr>
        <w:t>iii</w:t>
      </w:r>
      <w:proofErr w:type="spellEnd"/>
      <w:r w:rsidRPr="00AA14C9">
        <w:rPr>
          <w:rFonts w:ascii="Arial" w:hAnsi="Arial" w:cs="Arial"/>
          <w:color w:val="000000"/>
          <w:sz w:val="19"/>
          <w:szCs w:val="19"/>
        </w:rPr>
        <w:t>)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59ECC9D3" w14:textId="77777777" w:rsidR="002072A4" w:rsidRPr="00AA14C9" w:rsidRDefault="002072A4" w:rsidP="002072A4">
      <w:pPr>
        <w:pStyle w:val="Textonotapie"/>
        <w:ind w:firstLine="709"/>
        <w:jc w:val="both"/>
        <w:rPr>
          <w:rFonts w:ascii="Arial" w:hAnsi="Arial" w:cs="Arial"/>
          <w:color w:val="000000"/>
          <w:sz w:val="19"/>
          <w:szCs w:val="19"/>
        </w:rPr>
      </w:pPr>
      <w:r w:rsidRPr="00AA14C9">
        <w:rPr>
          <w:rFonts w:ascii="Arial" w:hAnsi="Arial" w:cs="Arial"/>
          <w:color w:val="000000"/>
          <w:sz w:val="19"/>
          <w:szCs w:val="19"/>
        </w:rPr>
        <w:t xml:space="preserve"> </w:t>
      </w:r>
    </w:p>
  </w:footnote>
  <w:footnote w:id="18">
    <w:p w14:paraId="6C0781E9" w14:textId="77777777" w:rsidR="002072A4" w:rsidRPr="00AA14C9" w:rsidRDefault="002072A4" w:rsidP="002072A4">
      <w:pPr>
        <w:pStyle w:val="Textonotapie"/>
        <w:ind w:firstLine="709"/>
        <w:jc w:val="both"/>
        <w:rPr>
          <w:rFonts w:ascii="Arial" w:hAnsi="Arial" w:cs="Arial"/>
          <w:color w:val="000000"/>
          <w:sz w:val="19"/>
          <w:szCs w:val="19"/>
        </w:rPr>
      </w:pPr>
      <w:r w:rsidRPr="00AA14C9">
        <w:rPr>
          <w:rStyle w:val="Refdenotaalpie"/>
          <w:rFonts w:ascii="Arial" w:hAnsi="Arial" w:cs="Arial"/>
          <w:sz w:val="19"/>
          <w:szCs w:val="19"/>
        </w:rPr>
        <w:footnoteRef/>
      </w:r>
      <w:r w:rsidRPr="00AA14C9">
        <w:rPr>
          <w:rFonts w:ascii="Arial" w:hAnsi="Arial" w:cs="Arial"/>
          <w:sz w:val="19"/>
          <w:szCs w:val="19"/>
        </w:rPr>
        <w:t xml:space="preserve"> </w:t>
      </w:r>
      <w:r w:rsidRPr="00AA14C9">
        <w:rPr>
          <w:rFonts w:ascii="Arial" w:hAnsi="Arial" w:cs="Arial"/>
          <w:color w:val="000000"/>
          <w:sz w:val="19"/>
          <w:szCs w:val="19"/>
        </w:rPr>
        <w:t xml:space="preserve">Consejo de Estado. Sección Tercera. Subsección A. Sentencia del 24 de junio de 2015. </w:t>
      </w:r>
      <w:proofErr w:type="spellStart"/>
      <w:r w:rsidRPr="00AA14C9">
        <w:rPr>
          <w:rFonts w:ascii="Arial" w:hAnsi="Arial" w:cs="Arial"/>
          <w:color w:val="000000"/>
          <w:sz w:val="19"/>
          <w:szCs w:val="19"/>
        </w:rPr>
        <w:t>Exp</w:t>
      </w:r>
      <w:proofErr w:type="spellEnd"/>
      <w:r w:rsidRPr="00AA14C9">
        <w:rPr>
          <w:rFonts w:ascii="Arial" w:hAnsi="Arial" w:cs="Arial"/>
          <w:color w:val="000000"/>
          <w:sz w:val="19"/>
          <w:szCs w:val="19"/>
        </w:rPr>
        <w:t>. 40.635. Consejero Ponente: Hernán Andrade Rincón (E).</w:t>
      </w:r>
    </w:p>
    <w:p w14:paraId="770FB4D0" w14:textId="77777777" w:rsidR="002072A4" w:rsidRPr="00AA14C9" w:rsidRDefault="002072A4" w:rsidP="002072A4">
      <w:pPr>
        <w:pStyle w:val="Textonotapie"/>
        <w:ind w:firstLine="709"/>
        <w:jc w:val="both"/>
        <w:rPr>
          <w:rFonts w:ascii="Arial" w:hAnsi="Arial" w:cs="Arial"/>
          <w:sz w:val="19"/>
          <w:szCs w:val="19"/>
          <w:lang w:val="es-ES"/>
        </w:rPr>
      </w:pPr>
    </w:p>
  </w:footnote>
  <w:footnote w:id="19">
    <w:p w14:paraId="3098826E" w14:textId="77777777" w:rsidR="002072A4" w:rsidRPr="00AA14C9" w:rsidRDefault="002072A4" w:rsidP="002072A4">
      <w:pPr>
        <w:pStyle w:val="Textonotapie"/>
        <w:ind w:firstLine="709"/>
        <w:jc w:val="both"/>
        <w:rPr>
          <w:rFonts w:ascii="Arial" w:hAnsi="Arial" w:cs="Arial"/>
          <w:color w:val="000000"/>
          <w:sz w:val="19"/>
          <w:szCs w:val="19"/>
          <w:lang w:val="es-ES"/>
        </w:rPr>
      </w:pPr>
      <w:r w:rsidRPr="00AA14C9">
        <w:rPr>
          <w:rStyle w:val="Refdenotaalpie"/>
          <w:rFonts w:ascii="Arial" w:hAnsi="Arial" w:cs="Arial"/>
          <w:sz w:val="19"/>
          <w:szCs w:val="19"/>
        </w:rPr>
        <w:footnoteRef/>
      </w:r>
      <w:r w:rsidRPr="00AA14C9">
        <w:rPr>
          <w:rFonts w:ascii="Arial" w:hAnsi="Arial" w:cs="Arial"/>
          <w:sz w:val="19"/>
          <w:szCs w:val="19"/>
        </w:rPr>
        <w:t xml:space="preserve"> </w:t>
      </w:r>
      <w:r w:rsidRPr="00AA14C9">
        <w:rPr>
          <w:rFonts w:ascii="Arial" w:hAnsi="Arial" w:cs="Arial"/>
          <w:color w:val="000000"/>
          <w:sz w:val="19"/>
          <w:szCs w:val="19"/>
          <w:lang w:val="es-ES"/>
        </w:rPr>
        <w:t xml:space="preserve">Consejo de Estado. Sala de Consulta y Servicio Civil. Concepto del 30 de abril de 2015. Expediente: 2251. Consejero Ponente: Álvaro </w:t>
      </w:r>
      <w:proofErr w:type="spellStart"/>
      <w:r w:rsidRPr="00AA14C9">
        <w:rPr>
          <w:rFonts w:ascii="Arial" w:hAnsi="Arial" w:cs="Arial"/>
          <w:color w:val="000000"/>
          <w:sz w:val="19"/>
          <w:szCs w:val="19"/>
          <w:lang w:val="es-ES"/>
        </w:rPr>
        <w:t>Namén</w:t>
      </w:r>
      <w:proofErr w:type="spellEnd"/>
      <w:r w:rsidRPr="00AA14C9">
        <w:rPr>
          <w:rFonts w:ascii="Arial" w:hAnsi="Arial" w:cs="Arial"/>
          <w:color w:val="000000"/>
          <w:sz w:val="19"/>
          <w:szCs w:val="19"/>
          <w:lang w:val="es-ES"/>
        </w:rPr>
        <w:t xml:space="preserve"> Vargas.</w:t>
      </w:r>
    </w:p>
    <w:p w14:paraId="65D07AF8" w14:textId="77777777" w:rsidR="002072A4" w:rsidRPr="00AA14C9" w:rsidRDefault="002072A4" w:rsidP="002072A4">
      <w:pPr>
        <w:pStyle w:val="Textonotapie"/>
        <w:ind w:firstLine="709"/>
        <w:jc w:val="both"/>
        <w:rPr>
          <w:rFonts w:ascii="Arial" w:hAnsi="Arial" w:cs="Arial"/>
          <w:sz w:val="19"/>
          <w:szCs w:val="19"/>
          <w:lang w:val="es-ES"/>
        </w:rPr>
      </w:pPr>
    </w:p>
  </w:footnote>
  <w:footnote w:id="20">
    <w:p w14:paraId="0A0A611A" w14:textId="77777777" w:rsidR="002072A4" w:rsidRPr="00AA14C9" w:rsidRDefault="002072A4" w:rsidP="002072A4">
      <w:pPr>
        <w:pStyle w:val="Textonotapie"/>
        <w:ind w:firstLine="709"/>
        <w:jc w:val="both"/>
        <w:rPr>
          <w:rFonts w:ascii="Arial" w:hAnsi="Arial" w:cs="Arial"/>
          <w:color w:val="000000"/>
          <w:sz w:val="19"/>
          <w:szCs w:val="19"/>
        </w:rPr>
      </w:pPr>
      <w:r w:rsidRPr="00AA14C9">
        <w:rPr>
          <w:rStyle w:val="Refdenotaalpie"/>
          <w:rFonts w:ascii="Arial" w:hAnsi="Arial" w:cs="Arial"/>
          <w:sz w:val="19"/>
          <w:szCs w:val="19"/>
        </w:rPr>
        <w:footnoteRef/>
      </w:r>
      <w:r w:rsidRPr="00AA14C9">
        <w:rPr>
          <w:rFonts w:ascii="Arial" w:hAnsi="Arial" w:cs="Arial"/>
          <w:color w:val="000000"/>
          <w:sz w:val="19"/>
          <w:szCs w:val="19"/>
        </w:rPr>
        <w:t xml:space="preserve"> Código Civil: «Artículo 27. Interpretación Gramatical. Cuando el sentido de la ley sea claro, no se desatenderá su tenor literal a pretexto de consultar su espíritu.</w:t>
      </w:r>
    </w:p>
    <w:p w14:paraId="4B3BD03A" w14:textId="77777777" w:rsidR="002072A4" w:rsidRPr="00AA14C9" w:rsidRDefault="002072A4" w:rsidP="002072A4">
      <w:pPr>
        <w:pStyle w:val="Textonotapie"/>
        <w:ind w:firstLine="709"/>
        <w:jc w:val="both"/>
        <w:rPr>
          <w:rFonts w:ascii="Arial" w:hAnsi="Arial" w:cs="Arial"/>
          <w:color w:val="000000"/>
          <w:sz w:val="19"/>
          <w:szCs w:val="19"/>
        </w:rPr>
      </w:pPr>
      <w:proofErr w:type="gramStart"/>
      <w:r w:rsidRPr="00AA14C9">
        <w:rPr>
          <w:rFonts w:ascii="Arial" w:hAnsi="Arial" w:cs="Arial"/>
          <w:color w:val="000000"/>
          <w:sz w:val="19"/>
          <w:szCs w:val="19"/>
        </w:rPr>
        <w:t>»Pero</w:t>
      </w:r>
      <w:proofErr w:type="gramEnd"/>
      <w:r w:rsidRPr="00AA14C9">
        <w:rPr>
          <w:rFonts w:ascii="Arial" w:hAnsi="Arial" w:cs="Arial"/>
          <w:color w:val="000000"/>
          <w:sz w:val="19"/>
          <w:szCs w:val="19"/>
        </w:rPr>
        <w:t xml:space="preserve"> bien se puede, para interpretar una expresión oscura de la ley, recurrir a su intención o espíritu, claramente manifestados en ella misma o en la historia fidedigna de su establecimiento».</w:t>
      </w:r>
    </w:p>
  </w:footnote>
  <w:footnote w:id="21">
    <w:p w14:paraId="50B01A3C" w14:textId="77777777" w:rsidR="002072A4" w:rsidRPr="00F86479" w:rsidRDefault="002072A4" w:rsidP="002072A4">
      <w:pPr>
        <w:ind w:firstLine="708"/>
        <w:jc w:val="both"/>
        <w:rPr>
          <w:rFonts w:ascii="Arial" w:hAnsi="Arial" w:cs="Arial"/>
          <w:sz w:val="19"/>
          <w:szCs w:val="19"/>
        </w:rPr>
      </w:pPr>
      <w:r w:rsidRPr="00AA14C9">
        <w:rPr>
          <w:rStyle w:val="Refdenotaalpie"/>
          <w:rFonts w:ascii="Arial" w:hAnsi="Arial" w:cs="Arial"/>
          <w:sz w:val="19"/>
          <w:szCs w:val="19"/>
        </w:rPr>
        <w:footnoteRef/>
      </w:r>
      <w:r w:rsidRPr="00AA14C9">
        <w:rPr>
          <w:rFonts w:ascii="Arial" w:hAnsi="Arial" w:cs="Arial"/>
          <w:sz w:val="19"/>
          <w:szCs w:val="19"/>
        </w:rPr>
        <w:t xml:space="preserve"> Código Civil: «Artículo 31. Interpretación sobre la extensión de una ley. Lo favorable u odioso de una disposición no se tomará en cuenta para ampliar o restringir su interpretación. La extensión que deba darse a toda ley se determinará por su genuino sentido, y según las reglas de interpretación precedentes».</w:t>
      </w:r>
      <w:r w:rsidRPr="00F86479">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331B" w14:textId="77777777" w:rsidR="00387886" w:rsidRDefault="008462E7">
    <w:pPr>
      <w:pStyle w:val="Encabezado"/>
    </w:pPr>
    <w:r>
      <w:rPr>
        <w:noProof/>
        <w:lang w:val="es-CO" w:eastAsia="es-CO"/>
      </w:rPr>
      <w:drawing>
        <wp:anchor distT="0" distB="0" distL="114300" distR="114300" simplePos="0" relativeHeight="251659264" behindDoc="1" locked="0" layoutInCell="1" allowOverlap="1" wp14:anchorId="58D29352" wp14:editId="216A8B1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A4"/>
    <w:rsid w:val="001B7F1A"/>
    <w:rsid w:val="002072A4"/>
    <w:rsid w:val="008462E7"/>
    <w:rsid w:val="00C37D6D"/>
    <w:rsid w:val="00E903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A155"/>
  <w15:chartTrackingRefBased/>
  <w15:docId w15:val="{42B40CB2-CE33-1A40-A797-81310E4C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A4"/>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072A4"/>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2072A4"/>
    <w:rPr>
      <w:szCs w:val="22"/>
      <w:lang w:val="es-MX"/>
    </w:rPr>
  </w:style>
  <w:style w:type="paragraph" w:styleId="Encabezado">
    <w:name w:val="header"/>
    <w:basedOn w:val="Normal"/>
    <w:link w:val="EncabezadoCar"/>
    <w:uiPriority w:val="99"/>
    <w:unhideWhenUsed/>
    <w:rsid w:val="002072A4"/>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2072A4"/>
    <w:rPr>
      <w:szCs w:val="22"/>
      <w:lang w:val="es-MX"/>
    </w:rPr>
  </w:style>
  <w:style w:type="table" w:styleId="Tablaconcuadrcula">
    <w:name w:val="Table Grid"/>
    <w:basedOn w:val="Tablanormal"/>
    <w:uiPriority w:val="39"/>
    <w:qFormat/>
    <w:rsid w:val="002072A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2072A4"/>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2072A4"/>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2072A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2072A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2072A4"/>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072A4"/>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2072A4"/>
    <w:rPr>
      <w:vertAlign w:val="superscript"/>
    </w:rPr>
  </w:style>
  <w:style w:type="paragraph" w:customStyle="1" w:styleId="Appelnotedebasde">
    <w:name w:val="Appel note de bas de..."/>
    <w:basedOn w:val="Normal"/>
    <w:link w:val="Refdenotaalpie"/>
    <w:uiPriority w:val="99"/>
    <w:rsid w:val="002072A4"/>
    <w:pPr>
      <w:spacing w:after="160" w:line="240" w:lineRule="exact"/>
    </w:pPr>
    <w:rPr>
      <w:rFonts w:asciiTheme="minorHAnsi" w:eastAsiaTheme="minorHAnsi" w:hAnsiTheme="minorHAnsi" w:cstheme="minorBidi"/>
      <w:vertAlign w:val="superscript"/>
      <w:lang w:eastAsia="en-US"/>
    </w:rPr>
  </w:style>
  <w:style w:type="paragraph" w:styleId="NormalWeb">
    <w:name w:val="Normal (Web)"/>
    <w:basedOn w:val="Normal"/>
    <w:link w:val="NormalWebCar"/>
    <w:uiPriority w:val="99"/>
    <w:unhideWhenUsed/>
    <w:rsid w:val="002072A4"/>
    <w:pPr>
      <w:spacing w:before="100" w:beforeAutospacing="1" w:after="100" w:afterAutospacing="1"/>
    </w:pPr>
  </w:style>
  <w:style w:type="character" w:customStyle="1" w:styleId="NormalWebCar">
    <w:name w:val="Normal (Web) Car"/>
    <w:link w:val="NormalWeb"/>
    <w:uiPriority w:val="99"/>
    <w:rsid w:val="002072A4"/>
    <w:rPr>
      <w:rFonts w:ascii="Times New Roman" w:eastAsia="Times New Roman" w:hAnsi="Times New Roman" w:cs="Times New Roman"/>
      <w:lang w:eastAsia="es-MX"/>
    </w:rPr>
  </w:style>
  <w:style w:type="paragraph" w:styleId="Textoindependiente">
    <w:name w:val="Body Text"/>
    <w:basedOn w:val="Normal"/>
    <w:link w:val="TextoindependienteCar"/>
    <w:uiPriority w:val="1"/>
    <w:qFormat/>
    <w:rsid w:val="002072A4"/>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2072A4"/>
    <w:rPr>
      <w:rFonts w:ascii="Arial" w:eastAsia="Arial" w:hAnsi="Arial" w:cs="Arial"/>
      <w:sz w:val="20"/>
      <w:szCs w:val="20"/>
      <w:lang w:val="es-ES"/>
    </w:rPr>
  </w:style>
  <w:style w:type="character" w:styleId="Textoennegrita">
    <w:name w:val="Strong"/>
    <w:basedOn w:val="Fuentedeprrafopredeter"/>
    <w:uiPriority w:val="22"/>
    <w:qFormat/>
    <w:rsid w:val="002072A4"/>
    <w:rPr>
      <w:b/>
      <w:bCs/>
    </w:rPr>
  </w:style>
  <w:style w:type="character" w:styleId="nfasis">
    <w:name w:val="Emphasis"/>
    <w:basedOn w:val="Fuentedeprrafopredeter"/>
    <w:uiPriority w:val="20"/>
    <w:qFormat/>
    <w:rsid w:val="002072A4"/>
    <w:rPr>
      <w:i/>
      <w:iCs/>
    </w:rPr>
  </w:style>
  <w:style w:type="character" w:styleId="Hipervnculo">
    <w:name w:val="Hyperlink"/>
    <w:basedOn w:val="Fuentedeprrafopredeter"/>
    <w:uiPriority w:val="99"/>
    <w:unhideWhenUsed/>
    <w:rsid w:val="002072A4"/>
    <w:rPr>
      <w:color w:val="0563C1" w:themeColor="hyperlink"/>
      <w:u w:val="single"/>
    </w:rPr>
  </w:style>
  <w:style w:type="paragraph" w:customStyle="1" w:styleId="Normal11pt">
    <w:name w:val="Normal + 11 pt"/>
    <w:aliases w:val="Negro,Justificado,Izquierda:  -0,95 cm,Derecha:  0,04 cm"/>
    <w:basedOn w:val="Normal"/>
    <w:uiPriority w:val="99"/>
    <w:rsid w:val="002072A4"/>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upersociedades.gov.co/nuestra_entidad/normatividad/normatividad_conceptos_juridicos/OFICIO_220-014111_DE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F44B5-2EA9-4D70-A1CA-44C521B87F5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8C6CAD00-A794-400F-A1C0-0043699020CE}">
  <ds:schemaRefs>
    <ds:schemaRef ds:uri="http://schemas.microsoft.com/sharepoint/v3/contenttype/forms"/>
  </ds:schemaRefs>
</ds:datastoreItem>
</file>

<file path=customXml/itemProps3.xml><?xml version="1.0" encoding="utf-8"?>
<ds:datastoreItem xmlns:ds="http://schemas.openxmlformats.org/officeDocument/2006/customXml" ds:itemID="{9A33D76E-19E9-4A7E-9FA4-8B801EFC8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8833</Words>
  <Characters>48582</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3</cp:revision>
  <dcterms:created xsi:type="dcterms:W3CDTF">2022-05-28T13:10:00Z</dcterms:created>
  <dcterms:modified xsi:type="dcterms:W3CDTF">2022-07-28T22:21:00Z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