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4E5E" w14:textId="77777777" w:rsidR="003067A0" w:rsidRPr="00026A47" w:rsidRDefault="003067A0" w:rsidP="00026A47">
      <w:pPr>
        <w:ind w:firstLine="709"/>
        <w:contextualSpacing/>
        <w:jc w:val="right"/>
        <w:rPr>
          <w:rFonts w:ascii="Arial" w:eastAsia="Calibri" w:hAnsi="Arial" w:cs="Arial"/>
          <w:b/>
          <w:sz w:val="20"/>
          <w:szCs w:val="20"/>
          <w:lang w:val="es-ES"/>
        </w:rPr>
      </w:pPr>
      <w:bookmarkStart w:id="0" w:name="_Hlk28946138"/>
      <w:bookmarkStart w:id="1" w:name="_Hlk29548183"/>
      <w:r w:rsidRPr="00026A47">
        <w:rPr>
          <w:rFonts w:ascii="Arial" w:hAnsi="Arial" w:cs="Arial"/>
          <w:bCs/>
          <w:sz w:val="20"/>
          <w:szCs w:val="20"/>
          <w:lang w:val="es-ES" w:eastAsia="es-ES"/>
        </w:rPr>
        <w:t>CCE-DES-FM-17</w:t>
      </w:r>
      <w:bookmarkEnd w:id="0"/>
      <w:bookmarkEnd w:id="1"/>
    </w:p>
    <w:p w14:paraId="1A09526E" w14:textId="77777777" w:rsidR="003067A0" w:rsidRPr="00026A47" w:rsidRDefault="003067A0" w:rsidP="00026A47">
      <w:pPr>
        <w:ind w:firstLine="709"/>
        <w:contextualSpacing/>
        <w:jc w:val="right"/>
        <w:rPr>
          <w:rFonts w:ascii="Arial" w:eastAsia="Calibri" w:hAnsi="Arial" w:cs="Arial"/>
          <w:b/>
          <w:sz w:val="20"/>
          <w:szCs w:val="20"/>
          <w:lang w:val="es-ES"/>
        </w:rPr>
      </w:pPr>
    </w:p>
    <w:p w14:paraId="2E59F50E" w14:textId="77777777" w:rsidR="00563337" w:rsidRPr="00026A47" w:rsidRDefault="00563337" w:rsidP="00026A47">
      <w:pPr>
        <w:contextualSpacing/>
        <w:jc w:val="both"/>
        <w:rPr>
          <w:rFonts w:ascii="Arial" w:eastAsia="Calibri" w:hAnsi="Arial" w:cs="Arial"/>
          <w:b/>
          <w:bCs/>
          <w:sz w:val="22"/>
          <w:szCs w:val="22"/>
        </w:rPr>
      </w:pPr>
      <w:r w:rsidRPr="00026A47">
        <w:rPr>
          <w:rFonts w:ascii="Arial" w:eastAsia="Calibri" w:hAnsi="Arial" w:cs="Arial"/>
          <w:b/>
          <w:bCs/>
          <w:sz w:val="22"/>
          <w:szCs w:val="22"/>
        </w:rPr>
        <w:t>REGISTRO ÚNICO DE PROPONENTES – Sujetos obligados</w:t>
      </w:r>
    </w:p>
    <w:p w14:paraId="4C1AD594" w14:textId="77777777" w:rsidR="00563337" w:rsidRPr="00026A47" w:rsidRDefault="00563337" w:rsidP="00026A47">
      <w:pPr>
        <w:contextualSpacing/>
        <w:jc w:val="both"/>
        <w:rPr>
          <w:rFonts w:ascii="Arial" w:eastAsia="Calibri" w:hAnsi="Arial" w:cs="Arial"/>
          <w:b/>
          <w:bCs/>
          <w:sz w:val="20"/>
          <w:szCs w:val="20"/>
        </w:rPr>
      </w:pPr>
    </w:p>
    <w:p w14:paraId="3C807126" w14:textId="77777777" w:rsidR="00563337" w:rsidRPr="00026A47" w:rsidRDefault="00563337" w:rsidP="00026A47">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El inciso 1 del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2681853D" w14:textId="77777777" w:rsidR="00563337" w:rsidRPr="00026A47" w:rsidRDefault="00563337" w:rsidP="00026A47">
      <w:pPr>
        <w:contextualSpacing/>
        <w:jc w:val="both"/>
        <w:rPr>
          <w:rFonts w:ascii="Arial" w:eastAsia="Calibri" w:hAnsi="Arial" w:cs="Arial"/>
          <w:b/>
          <w:bCs/>
          <w:sz w:val="20"/>
          <w:szCs w:val="20"/>
        </w:rPr>
      </w:pPr>
    </w:p>
    <w:p w14:paraId="51E1451C" w14:textId="77777777" w:rsidR="00563337" w:rsidRPr="00026A47" w:rsidRDefault="00563337" w:rsidP="00026A47">
      <w:pPr>
        <w:contextualSpacing/>
        <w:jc w:val="both"/>
        <w:rPr>
          <w:rFonts w:ascii="Arial" w:eastAsia="Calibri" w:hAnsi="Arial" w:cs="Arial"/>
          <w:b/>
          <w:sz w:val="22"/>
          <w:szCs w:val="22"/>
        </w:rPr>
      </w:pPr>
      <w:r w:rsidRPr="00026A47">
        <w:rPr>
          <w:rFonts w:ascii="Arial" w:eastAsia="Calibri" w:hAnsi="Arial" w:cs="Arial"/>
          <w:b/>
          <w:sz w:val="22"/>
          <w:szCs w:val="22"/>
        </w:rPr>
        <w:t>CAPACIDAD FINANCIERA y CAPACIDAD ORGANIZACIONAL – Conceptos – Requisitos habilitantes</w:t>
      </w:r>
    </w:p>
    <w:p w14:paraId="4A2515BE" w14:textId="77777777" w:rsidR="00563337" w:rsidRPr="00026A47" w:rsidRDefault="00563337" w:rsidP="00026A47">
      <w:pPr>
        <w:contextualSpacing/>
        <w:jc w:val="both"/>
        <w:rPr>
          <w:rFonts w:ascii="Arial" w:eastAsia="Calibri" w:hAnsi="Arial" w:cs="Arial"/>
          <w:b/>
          <w:sz w:val="20"/>
          <w:szCs w:val="20"/>
        </w:rPr>
      </w:pPr>
    </w:p>
    <w:p w14:paraId="0BBFFA4F" w14:textId="77777777" w:rsidR="00563337" w:rsidRPr="00026A47" w:rsidRDefault="00563337" w:rsidP="00026A47">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EF26BD5" w14:textId="77777777" w:rsidR="00563337" w:rsidRPr="00026A47" w:rsidRDefault="00563337" w:rsidP="00026A47">
      <w:pPr>
        <w:contextualSpacing/>
        <w:jc w:val="both"/>
        <w:rPr>
          <w:rFonts w:ascii="Arial" w:hAnsi="Arial" w:cs="Arial"/>
          <w:color w:val="000000" w:themeColor="text1"/>
          <w:sz w:val="20"/>
          <w:szCs w:val="20"/>
        </w:rPr>
      </w:pPr>
    </w:p>
    <w:p w14:paraId="151FC0FE" w14:textId="77777777" w:rsidR="00563337" w:rsidRPr="00026A47" w:rsidRDefault="00563337" w:rsidP="00026A47">
      <w:pPr>
        <w:contextualSpacing/>
        <w:jc w:val="both"/>
        <w:rPr>
          <w:rFonts w:ascii="Arial" w:eastAsia="Calibri" w:hAnsi="Arial" w:cs="Arial"/>
          <w:b/>
          <w:sz w:val="22"/>
          <w:szCs w:val="22"/>
        </w:rPr>
      </w:pPr>
      <w:r w:rsidRPr="00026A47">
        <w:rPr>
          <w:rFonts w:ascii="Arial" w:eastAsia="Calibri" w:hAnsi="Arial" w:cs="Arial"/>
          <w:b/>
          <w:sz w:val="22"/>
          <w:szCs w:val="22"/>
        </w:rPr>
        <w:t>DECRETO 399 DE 2021 – Finalidad – Reactivación económica</w:t>
      </w:r>
    </w:p>
    <w:p w14:paraId="7E3B985A" w14:textId="77777777" w:rsidR="00563337" w:rsidRPr="00026A47" w:rsidRDefault="00563337" w:rsidP="00026A47">
      <w:pPr>
        <w:contextualSpacing/>
        <w:jc w:val="both"/>
        <w:rPr>
          <w:rFonts w:ascii="Arial" w:hAnsi="Arial" w:cs="Arial"/>
          <w:noProof/>
          <w:color w:val="000000" w:themeColor="text1"/>
          <w:sz w:val="20"/>
          <w:szCs w:val="20"/>
        </w:rPr>
      </w:pPr>
    </w:p>
    <w:p w14:paraId="4F50AADB" w14:textId="77777777" w:rsidR="00563337" w:rsidRPr="00026A47" w:rsidRDefault="00563337" w:rsidP="00026A47">
      <w:pPr>
        <w:contextualSpacing/>
        <w:jc w:val="both"/>
        <w:rPr>
          <w:rFonts w:ascii="Arial" w:hAnsi="Arial" w:cs="Arial"/>
          <w:noProof/>
          <w:color w:val="000000" w:themeColor="text1"/>
          <w:sz w:val="20"/>
          <w:szCs w:val="20"/>
        </w:rPr>
      </w:pPr>
      <w:r w:rsidRPr="00026A47">
        <w:rPr>
          <w:rFonts w:ascii="Arial" w:hAnsi="Arial" w:cs="Arial"/>
          <w:color w:val="000000" w:themeColor="text1"/>
          <w:sz w:val="20"/>
          <w:szCs w:val="20"/>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64B77EA1" w14:textId="77777777" w:rsidR="00563337" w:rsidRPr="00026A47" w:rsidRDefault="00563337" w:rsidP="00026A47">
      <w:pPr>
        <w:contextualSpacing/>
        <w:jc w:val="both"/>
        <w:rPr>
          <w:rFonts w:ascii="Arial" w:eastAsia="Calibri" w:hAnsi="Arial" w:cs="Arial"/>
          <w:b/>
          <w:sz w:val="20"/>
          <w:szCs w:val="20"/>
        </w:rPr>
      </w:pPr>
    </w:p>
    <w:p w14:paraId="6E81D5FB" w14:textId="77777777" w:rsidR="00563337" w:rsidRPr="00026A47" w:rsidRDefault="00563337" w:rsidP="00026A47">
      <w:pPr>
        <w:contextualSpacing/>
        <w:jc w:val="both"/>
        <w:rPr>
          <w:rFonts w:ascii="Arial" w:eastAsia="Calibri" w:hAnsi="Arial" w:cs="Arial"/>
          <w:b/>
          <w:sz w:val="22"/>
          <w:szCs w:val="22"/>
        </w:rPr>
      </w:pPr>
      <w:r w:rsidRPr="00026A47">
        <w:rPr>
          <w:rFonts w:ascii="Arial" w:eastAsia="Calibri" w:hAnsi="Arial" w:cs="Arial"/>
          <w:b/>
          <w:sz w:val="22"/>
          <w:szCs w:val="22"/>
        </w:rPr>
        <w:t>DECRETOS 399 Y 579 DE 2021 – Información – Capacidad financiera – Capacidad organizacional – RUP</w:t>
      </w:r>
    </w:p>
    <w:p w14:paraId="05FAE2D1" w14:textId="77777777" w:rsidR="00563337" w:rsidRPr="00026A47" w:rsidRDefault="00563337" w:rsidP="00026A47">
      <w:pPr>
        <w:contextualSpacing/>
        <w:jc w:val="both"/>
        <w:rPr>
          <w:rFonts w:ascii="Arial" w:hAnsi="Arial" w:cs="Arial"/>
          <w:noProof/>
          <w:color w:val="000000" w:themeColor="text1"/>
          <w:sz w:val="20"/>
          <w:szCs w:val="20"/>
        </w:rPr>
      </w:pPr>
    </w:p>
    <w:p w14:paraId="04DC1D4F" w14:textId="77777777" w:rsidR="00563337" w:rsidRPr="00026A47" w:rsidRDefault="00563337" w:rsidP="00026A47">
      <w:pPr>
        <w:contextualSpacing/>
        <w:jc w:val="both"/>
        <w:rPr>
          <w:rFonts w:ascii="Arial" w:eastAsia="Calibri" w:hAnsi="Arial" w:cs="Arial"/>
          <w:color w:val="000000" w:themeColor="text1"/>
          <w:sz w:val="20"/>
          <w:szCs w:val="20"/>
        </w:rPr>
      </w:pPr>
      <w:r w:rsidRPr="00026A47">
        <w:rPr>
          <w:rFonts w:ascii="Arial" w:eastAsia="Calibri" w:hAnsi="Arial" w:cs="Arial"/>
          <w:color w:val="000000" w:themeColor="text1"/>
          <w:sz w:val="20"/>
          <w:szCs w:val="20"/>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w:t>
      </w:r>
      <w:r w:rsidRPr="00026A47">
        <w:rPr>
          <w:rFonts w:ascii="Arial" w:eastAsia="Calibri" w:hAnsi="Arial" w:cs="Arial"/>
          <w:color w:val="000000" w:themeColor="text1"/>
          <w:sz w:val="20"/>
          <w:szCs w:val="20"/>
        </w:rPr>
        <w:lastRenderedPageBreak/>
        <w:t xml:space="preserve">años, de manera gratuita, durante el mes de junio, por una sola vez. En todo caso, aclara </w:t>
      </w:r>
      <w:proofErr w:type="gramStart"/>
      <w:r w:rsidRPr="00026A47">
        <w:rPr>
          <w:rFonts w:ascii="Arial" w:eastAsia="Calibri" w:hAnsi="Arial" w:cs="Arial"/>
          <w:color w:val="000000" w:themeColor="text1"/>
          <w:sz w:val="20"/>
          <w:szCs w:val="20"/>
        </w:rPr>
        <w:t>que</w:t>
      </w:r>
      <w:proofErr w:type="gramEnd"/>
      <w:r w:rsidRPr="00026A47">
        <w:rPr>
          <w:rFonts w:ascii="Arial" w:eastAsia="Calibri" w:hAnsi="Arial" w:cs="Arial"/>
          <w:color w:val="000000" w:themeColor="text1"/>
          <w:sz w:val="20"/>
          <w:szCs w:val="20"/>
        </w:rPr>
        <w:t xml:space="preserve"> si el proponente tiene registrada la información de dichos años en la cámara de comercio, no deberá presentar esta información.</w:t>
      </w:r>
    </w:p>
    <w:p w14:paraId="0B5D07B7" w14:textId="77777777" w:rsidR="00563337" w:rsidRPr="00026A47" w:rsidRDefault="00563337" w:rsidP="00026A47">
      <w:pPr>
        <w:contextualSpacing/>
        <w:jc w:val="both"/>
        <w:rPr>
          <w:rFonts w:ascii="Arial" w:hAnsi="Arial" w:cs="Arial"/>
          <w:noProof/>
          <w:color w:val="000000" w:themeColor="text1"/>
          <w:sz w:val="20"/>
          <w:szCs w:val="20"/>
        </w:rPr>
      </w:pPr>
    </w:p>
    <w:p w14:paraId="0AFDAACF" w14:textId="77777777" w:rsidR="00563337" w:rsidRPr="00026A47" w:rsidRDefault="00563337" w:rsidP="00026A47">
      <w:pPr>
        <w:contextualSpacing/>
        <w:jc w:val="both"/>
        <w:rPr>
          <w:rFonts w:ascii="Arial" w:eastAsia="Calibri" w:hAnsi="Arial" w:cs="Arial"/>
          <w:b/>
          <w:sz w:val="22"/>
          <w:szCs w:val="22"/>
        </w:rPr>
      </w:pPr>
      <w:r w:rsidRPr="00026A47">
        <w:rPr>
          <w:rFonts w:ascii="Arial" w:eastAsia="Calibri" w:hAnsi="Arial" w:cs="Arial"/>
          <w:b/>
          <w:sz w:val="22"/>
          <w:szCs w:val="22"/>
        </w:rPr>
        <w:t>DECRETOS 399 Y 579 DE 2021 – Indicadores – Capacidad financiera – Capacidad organizacional – Período</w:t>
      </w:r>
    </w:p>
    <w:p w14:paraId="408E8AEF" w14:textId="77777777" w:rsidR="00563337" w:rsidRPr="00026A47" w:rsidRDefault="00563337" w:rsidP="00026A47">
      <w:pPr>
        <w:contextualSpacing/>
        <w:jc w:val="both"/>
        <w:rPr>
          <w:rFonts w:ascii="Arial" w:hAnsi="Arial" w:cs="Arial"/>
          <w:noProof/>
          <w:color w:val="000000" w:themeColor="text1"/>
          <w:sz w:val="20"/>
          <w:szCs w:val="20"/>
        </w:rPr>
      </w:pPr>
    </w:p>
    <w:p w14:paraId="3774D475" w14:textId="77777777" w:rsidR="00563337" w:rsidRPr="00026A47" w:rsidRDefault="00563337" w:rsidP="00026A47">
      <w:pPr>
        <w:contextualSpacing/>
        <w:jc w:val="both"/>
        <w:rPr>
          <w:rFonts w:ascii="Arial" w:hAnsi="Arial" w:cs="Arial"/>
          <w:noProof/>
          <w:color w:val="000000" w:themeColor="text1"/>
          <w:sz w:val="20"/>
          <w:szCs w:val="20"/>
        </w:rPr>
      </w:pPr>
      <w:r w:rsidRPr="00026A47">
        <w:rPr>
          <w:rFonts w:ascii="Arial" w:eastAsia="Calibri" w:hAnsi="Arial" w:cs="Arial"/>
          <w:color w:val="000000" w:themeColor="text1"/>
          <w:sz w:val="20"/>
          <w:szCs w:val="20"/>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026A47">
        <w:rPr>
          <w:rFonts w:ascii="Arial" w:eastAsia="Calibri" w:hAnsi="Arial" w:cs="Arial"/>
          <w:color w:val="000000" w:themeColor="text1"/>
          <w:sz w:val="20"/>
          <w:szCs w:val="20"/>
        </w:rPr>
        <w:t>ii</w:t>
      </w:r>
      <w:proofErr w:type="spellEnd"/>
      <w:r w:rsidRPr="00026A47">
        <w:rPr>
          <w:rFonts w:ascii="Arial" w:eastAsia="Calibri" w:hAnsi="Arial" w:cs="Arial"/>
          <w:color w:val="000000" w:themeColor="text1"/>
          <w:sz w:val="20"/>
          <w:szCs w:val="20"/>
        </w:rPr>
        <w:t xml:space="preserve">) el índice de endeudamiento y </w:t>
      </w:r>
      <w:proofErr w:type="spellStart"/>
      <w:r w:rsidRPr="00026A47">
        <w:rPr>
          <w:rFonts w:ascii="Arial" w:eastAsia="Calibri" w:hAnsi="Arial" w:cs="Arial"/>
          <w:color w:val="000000" w:themeColor="text1"/>
          <w:sz w:val="20"/>
          <w:szCs w:val="20"/>
        </w:rPr>
        <w:t>iii</w:t>
      </w:r>
      <w:proofErr w:type="spellEnd"/>
      <w:r w:rsidRPr="00026A47">
        <w:rPr>
          <w:rFonts w:ascii="Arial" w:eastAsia="Calibri" w:hAnsi="Arial" w:cs="Arial"/>
          <w:color w:val="000000" w:themeColor="text1"/>
          <w:sz w:val="20"/>
          <w:szCs w:val="20"/>
        </w:rPr>
        <w:t xml:space="preserve">) la razón de cobertura de intereses. Los requisitos e indicadores de capacidad organizacional son: i) la rentabilidad del patrimonio y </w:t>
      </w:r>
      <w:proofErr w:type="spellStart"/>
      <w:r w:rsidRPr="00026A47">
        <w:rPr>
          <w:rFonts w:ascii="Arial" w:eastAsia="Calibri" w:hAnsi="Arial" w:cs="Arial"/>
          <w:color w:val="000000" w:themeColor="text1"/>
          <w:sz w:val="20"/>
          <w:szCs w:val="20"/>
        </w:rPr>
        <w:t>ii</w:t>
      </w:r>
      <w:proofErr w:type="spellEnd"/>
      <w:r w:rsidRPr="00026A47">
        <w:rPr>
          <w:rFonts w:ascii="Arial" w:eastAsia="Calibri" w:hAnsi="Arial" w:cs="Arial"/>
          <w:color w:val="000000" w:themeColor="text1"/>
          <w:sz w:val="20"/>
          <w:szCs w:val="20"/>
        </w:rPr>
        <w:t>)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80759FC" w14:textId="77777777" w:rsidR="00563337" w:rsidRPr="00026A47" w:rsidRDefault="00563337" w:rsidP="00026A47">
      <w:pPr>
        <w:contextualSpacing/>
        <w:jc w:val="both"/>
        <w:rPr>
          <w:rFonts w:ascii="Arial" w:eastAsia="Calibri" w:hAnsi="Arial" w:cs="Arial"/>
          <w:b/>
          <w:sz w:val="20"/>
          <w:szCs w:val="20"/>
        </w:rPr>
      </w:pPr>
    </w:p>
    <w:p w14:paraId="6D13C4FA" w14:textId="77777777" w:rsidR="00563337" w:rsidRPr="00026A47" w:rsidRDefault="00563337" w:rsidP="00026A47">
      <w:pPr>
        <w:contextualSpacing/>
        <w:jc w:val="both"/>
        <w:rPr>
          <w:rFonts w:ascii="Arial" w:eastAsia="Calibri" w:hAnsi="Arial" w:cs="Arial"/>
          <w:b/>
          <w:sz w:val="22"/>
          <w:szCs w:val="22"/>
        </w:rPr>
      </w:pPr>
      <w:r w:rsidRPr="00026A47">
        <w:rPr>
          <w:rFonts w:ascii="Arial" w:eastAsia="Calibri" w:hAnsi="Arial" w:cs="Arial"/>
          <w:b/>
          <w:sz w:val="22"/>
          <w:szCs w:val="22"/>
        </w:rPr>
        <w:t>MEJOR AÑO FISCAL – Decretos 399 y 579 de 2021 – Capacidad financiera – Capacidad organizacional – Interpretación</w:t>
      </w:r>
    </w:p>
    <w:p w14:paraId="2A78A003" w14:textId="77777777" w:rsidR="00563337" w:rsidRPr="00026A47" w:rsidRDefault="00563337" w:rsidP="00026A47">
      <w:pPr>
        <w:contextualSpacing/>
        <w:jc w:val="both"/>
        <w:rPr>
          <w:rFonts w:ascii="Arial" w:hAnsi="Arial" w:cs="Arial"/>
          <w:noProof/>
          <w:color w:val="000000" w:themeColor="text1"/>
          <w:sz w:val="20"/>
          <w:szCs w:val="20"/>
        </w:rPr>
      </w:pPr>
    </w:p>
    <w:p w14:paraId="709F49DC" w14:textId="77777777" w:rsidR="00563337" w:rsidRPr="00026A47" w:rsidRDefault="00563337" w:rsidP="00026A47">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29E174A9" w14:textId="77777777" w:rsidR="00563337" w:rsidRPr="00026A47" w:rsidRDefault="00563337" w:rsidP="00026A47">
      <w:pPr>
        <w:contextualSpacing/>
        <w:jc w:val="both"/>
        <w:rPr>
          <w:rFonts w:ascii="Arial" w:hAnsi="Arial" w:cs="Arial"/>
          <w:color w:val="000000" w:themeColor="text1"/>
          <w:sz w:val="20"/>
          <w:szCs w:val="20"/>
        </w:rPr>
      </w:pPr>
    </w:p>
    <w:p w14:paraId="4945350F" w14:textId="77777777" w:rsidR="00563337" w:rsidRPr="00026A47" w:rsidRDefault="00563337" w:rsidP="00026A47">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w:t>
      </w:r>
    </w:p>
    <w:p w14:paraId="7F116D17" w14:textId="77777777" w:rsidR="00563337" w:rsidRPr="00026A47" w:rsidRDefault="00563337" w:rsidP="00026A47">
      <w:pPr>
        <w:contextualSpacing/>
        <w:jc w:val="both"/>
        <w:rPr>
          <w:rFonts w:ascii="Arial" w:hAnsi="Arial" w:cs="Arial"/>
          <w:color w:val="000000" w:themeColor="text1"/>
          <w:sz w:val="20"/>
          <w:szCs w:val="20"/>
        </w:rPr>
      </w:pPr>
    </w:p>
    <w:p w14:paraId="5A931A18" w14:textId="0C42F08B" w:rsidR="00563337" w:rsidRDefault="00563337" w:rsidP="00026A47">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7F12C455" w14:textId="77777777" w:rsidR="00026A47" w:rsidRPr="00026A47" w:rsidRDefault="00026A47" w:rsidP="00026A47">
      <w:pPr>
        <w:contextualSpacing/>
        <w:jc w:val="both"/>
        <w:rPr>
          <w:rFonts w:ascii="Arial" w:hAnsi="Arial" w:cs="Arial"/>
          <w:color w:val="000000" w:themeColor="text1"/>
          <w:sz w:val="20"/>
          <w:szCs w:val="20"/>
        </w:rPr>
      </w:pPr>
    </w:p>
    <w:p w14:paraId="585CE59B" w14:textId="77777777" w:rsidR="00563337" w:rsidRPr="00026A47" w:rsidRDefault="00563337" w:rsidP="00026A47">
      <w:pPr>
        <w:contextualSpacing/>
        <w:jc w:val="both"/>
        <w:rPr>
          <w:rFonts w:ascii="Arial" w:hAnsi="Arial" w:cs="Arial"/>
          <w:noProof/>
          <w:color w:val="000000" w:themeColor="text1"/>
          <w:sz w:val="20"/>
          <w:szCs w:val="20"/>
        </w:rPr>
      </w:pPr>
      <w:r w:rsidRPr="00026A47">
        <w:rPr>
          <w:rFonts w:ascii="Arial" w:hAnsi="Arial" w:cs="Arial"/>
          <w:color w:val="000000" w:themeColor="text1"/>
          <w:sz w:val="20"/>
          <w:szCs w:val="20"/>
        </w:rPr>
        <w:lastRenderedPageBreak/>
        <w:t>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3357E21A" w14:textId="77777777" w:rsidR="003067A0" w:rsidRPr="00C460FF" w:rsidRDefault="003067A0" w:rsidP="003067A0">
      <w:pPr>
        <w:jc w:val="both"/>
        <w:rPr>
          <w:rFonts w:ascii="Arial" w:hAnsi="Arial" w:cs="Arial"/>
          <w:sz w:val="20"/>
          <w:szCs w:val="20"/>
          <w:lang w:val="es-ES"/>
        </w:rPr>
      </w:pPr>
    </w:p>
    <w:p w14:paraId="4D89C846" w14:textId="77777777" w:rsidR="003067A0" w:rsidRPr="00C460FF" w:rsidRDefault="003067A0" w:rsidP="003067A0">
      <w:pPr>
        <w:spacing w:after="160" w:line="259" w:lineRule="auto"/>
        <w:rPr>
          <w:rFonts w:ascii="Arial" w:hAnsi="Arial" w:cs="Arial"/>
          <w:sz w:val="22"/>
          <w:lang w:val="es-ES"/>
        </w:rPr>
      </w:pPr>
      <w:r w:rsidRPr="00C460FF">
        <w:rPr>
          <w:rFonts w:ascii="Arial" w:hAnsi="Arial" w:cs="Arial"/>
          <w:sz w:val="22"/>
          <w:lang w:val="es-ES"/>
        </w:rPr>
        <w:br w:type="page"/>
      </w:r>
    </w:p>
    <w:p w14:paraId="79142D64" w14:textId="77777777" w:rsidR="00344ADB" w:rsidRPr="00E15CCE" w:rsidRDefault="00344ADB" w:rsidP="00344ADB">
      <w:pPr>
        <w:ind w:firstLine="709"/>
        <w:contextualSpacing/>
        <w:jc w:val="right"/>
        <w:rPr>
          <w:rFonts w:ascii="Arial" w:eastAsia="Calibri" w:hAnsi="Arial" w:cs="Arial"/>
          <w:b/>
          <w:sz w:val="16"/>
          <w:szCs w:val="16"/>
          <w:lang w:val="es-ES"/>
        </w:rPr>
      </w:pPr>
      <w:r w:rsidRPr="00E15CCE">
        <w:rPr>
          <w:rFonts w:ascii="Arial" w:hAnsi="Arial" w:cs="Arial"/>
          <w:bCs/>
          <w:sz w:val="16"/>
          <w:szCs w:val="16"/>
          <w:lang w:val="es-ES" w:eastAsia="es-ES"/>
        </w:rPr>
        <w:lastRenderedPageBreak/>
        <w:t>CCE-DES-FM-17</w:t>
      </w:r>
    </w:p>
    <w:p w14:paraId="221F6400" w14:textId="6242CBB5" w:rsidR="003067A0" w:rsidRDefault="00E15CCE" w:rsidP="00E15CCE">
      <w:pPr>
        <w:ind w:firstLine="709"/>
        <w:jc w:val="right"/>
        <w:rPr>
          <w:lang w:val="es-ES"/>
        </w:rPr>
      </w:pPr>
      <w:r w:rsidRPr="00E15CCE">
        <w:rPr>
          <w:noProof/>
          <w:lang w:val="es-ES"/>
        </w:rPr>
        <w:drawing>
          <wp:inline distT="0" distB="0" distL="0" distR="0" wp14:anchorId="378DCB1A" wp14:editId="42BD6D43">
            <wp:extent cx="2866354" cy="60258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0818" cy="609834"/>
                    </a:xfrm>
                    <a:prstGeom prst="rect">
                      <a:avLst/>
                    </a:prstGeom>
                  </pic:spPr>
                </pic:pic>
              </a:graphicData>
            </a:graphic>
          </wp:inline>
        </w:drawing>
      </w:r>
    </w:p>
    <w:p w14:paraId="1437BAE7" w14:textId="164D147A" w:rsidR="00E15CCE" w:rsidRPr="00C460FF" w:rsidRDefault="00E15CCE" w:rsidP="00E15CCE">
      <w:pPr>
        <w:ind w:firstLine="709"/>
        <w:jc w:val="right"/>
        <w:rPr>
          <w:lang w:val="es-ES"/>
        </w:rPr>
      </w:pPr>
      <w:r>
        <w:rPr>
          <w:rFonts w:ascii="Arial" w:hAnsi="Arial" w:cs="Arial"/>
          <w:b/>
          <w:bCs/>
          <w:color w:val="000000"/>
          <w:sz w:val="16"/>
          <w:szCs w:val="16"/>
          <w:shd w:val="clear" w:color="auto" w:fill="FFFFFF"/>
          <w:lang w:val="es-ES"/>
        </w:rPr>
        <w:br/>
      </w:r>
      <w:r w:rsidRPr="00E15CCE">
        <w:rPr>
          <w:noProof/>
          <w:lang w:val="es-ES"/>
        </w:rPr>
        <w:drawing>
          <wp:inline distT="0" distB="0" distL="0" distR="0" wp14:anchorId="26174258" wp14:editId="158BA12D">
            <wp:extent cx="2799148" cy="75130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0475" cy="762397"/>
                    </a:xfrm>
                    <a:prstGeom prst="rect">
                      <a:avLst/>
                    </a:prstGeom>
                  </pic:spPr>
                </pic:pic>
              </a:graphicData>
            </a:graphic>
          </wp:inline>
        </w:drawing>
      </w:r>
    </w:p>
    <w:p w14:paraId="365377A7" w14:textId="610C3D9D" w:rsidR="00FF319C" w:rsidRDefault="00FF319C" w:rsidP="009470CC">
      <w:pPr>
        <w:rPr>
          <w:lang w:val="es-ES"/>
        </w:rPr>
      </w:pPr>
    </w:p>
    <w:p w14:paraId="2DA48B00" w14:textId="48ED27B2" w:rsidR="00AF02E3" w:rsidRPr="00AF02E3" w:rsidRDefault="00AF02E3" w:rsidP="00AF02E3">
      <w:pPr>
        <w:spacing w:line="276" w:lineRule="auto"/>
        <w:contextualSpacing/>
        <w:jc w:val="both"/>
        <w:rPr>
          <w:rFonts w:ascii="Arial" w:eastAsia="Calibri" w:hAnsi="Arial" w:cs="Arial"/>
          <w:bCs/>
          <w:sz w:val="22"/>
        </w:rPr>
      </w:pPr>
      <w:r w:rsidRPr="00AF02E3">
        <w:rPr>
          <w:rFonts w:ascii="Arial" w:eastAsia="Calibri" w:hAnsi="Arial" w:cs="Arial"/>
          <w:bCs/>
          <w:sz w:val="22"/>
        </w:rPr>
        <w:t>Bogotá D.C., 23 de mayo de 2022</w:t>
      </w:r>
    </w:p>
    <w:p w14:paraId="0E961C9A" w14:textId="77777777" w:rsidR="00AF02E3" w:rsidRDefault="00AF02E3" w:rsidP="00FF319C">
      <w:pPr>
        <w:contextualSpacing/>
        <w:jc w:val="both"/>
        <w:rPr>
          <w:rFonts w:ascii="Arial" w:eastAsia="Calibri" w:hAnsi="Arial" w:cs="Arial"/>
          <w:bCs/>
          <w:sz w:val="22"/>
          <w:szCs w:val="22"/>
          <w:lang w:val="es-ES"/>
        </w:rPr>
      </w:pPr>
      <w:bookmarkStart w:id="2" w:name="_Hlk107382227"/>
    </w:p>
    <w:p w14:paraId="294C1989" w14:textId="2E585A8A" w:rsidR="003067A0" w:rsidRPr="006F3EB5" w:rsidRDefault="003067A0" w:rsidP="00FF319C">
      <w:pPr>
        <w:contextualSpacing/>
        <w:jc w:val="both"/>
        <w:rPr>
          <w:rFonts w:ascii="Arial" w:eastAsia="Calibri" w:hAnsi="Arial" w:cs="Arial"/>
          <w:bCs/>
          <w:sz w:val="22"/>
          <w:szCs w:val="22"/>
          <w:lang w:val="es-ES"/>
        </w:rPr>
      </w:pPr>
      <w:r w:rsidRPr="006F3EB5">
        <w:rPr>
          <w:rFonts w:ascii="Arial" w:eastAsia="Calibri" w:hAnsi="Arial" w:cs="Arial"/>
          <w:bCs/>
          <w:sz w:val="22"/>
          <w:szCs w:val="22"/>
          <w:lang w:val="es-ES"/>
        </w:rPr>
        <w:t>Señor</w:t>
      </w:r>
    </w:p>
    <w:p w14:paraId="677C65D3" w14:textId="5BD872C4" w:rsidR="003067A0" w:rsidRPr="006F3EB5" w:rsidRDefault="00912473" w:rsidP="00FF319C">
      <w:pPr>
        <w:contextualSpacing/>
        <w:rPr>
          <w:rFonts w:ascii="Arial" w:eastAsia="Calibri" w:hAnsi="Arial" w:cs="Arial"/>
          <w:b/>
          <w:sz w:val="22"/>
          <w:szCs w:val="22"/>
          <w:lang w:val="es-ES"/>
        </w:rPr>
      </w:pPr>
      <w:r w:rsidRPr="006F3EB5">
        <w:rPr>
          <w:rFonts w:ascii="Arial" w:eastAsia="Calibri" w:hAnsi="Arial" w:cs="Arial"/>
          <w:b/>
          <w:sz w:val="22"/>
          <w:szCs w:val="22"/>
          <w:lang w:val="es-ES"/>
        </w:rPr>
        <w:t>Sergio Tobar Muñoz</w:t>
      </w:r>
    </w:p>
    <w:p w14:paraId="2A5B2D50" w14:textId="77777777" w:rsidR="003067A0" w:rsidRPr="006F3EB5" w:rsidRDefault="003067A0" w:rsidP="00FF319C">
      <w:pPr>
        <w:contextualSpacing/>
        <w:rPr>
          <w:rFonts w:ascii="Arial" w:eastAsia="Calibri" w:hAnsi="Arial" w:cs="Arial"/>
          <w:b/>
          <w:bCs/>
          <w:sz w:val="22"/>
          <w:szCs w:val="22"/>
          <w:lang w:val="es-ES"/>
        </w:rPr>
      </w:pPr>
      <w:r w:rsidRPr="006F3EB5">
        <w:rPr>
          <w:rFonts w:ascii="Arial" w:eastAsia="Calibri" w:hAnsi="Arial" w:cs="Arial"/>
          <w:sz w:val="22"/>
          <w:szCs w:val="22"/>
          <w:lang w:val="es-ES"/>
        </w:rPr>
        <w:t>Ciudad</w:t>
      </w:r>
      <w:r w:rsidRPr="006F3EB5">
        <w:rPr>
          <w:rFonts w:ascii="Arial" w:eastAsia="Calibri" w:hAnsi="Arial" w:cs="Arial"/>
          <w:b/>
          <w:bCs/>
          <w:sz w:val="22"/>
          <w:szCs w:val="22"/>
          <w:lang w:val="es-ES"/>
        </w:rPr>
        <w:t xml:space="preserve"> </w:t>
      </w:r>
    </w:p>
    <w:p w14:paraId="06E631DA" w14:textId="77777777" w:rsidR="003067A0" w:rsidRPr="006F3EB5" w:rsidRDefault="003067A0" w:rsidP="00FF319C">
      <w:pPr>
        <w:contextualSpacing/>
        <w:rPr>
          <w:rFonts w:ascii="Arial" w:eastAsia="Calibri" w:hAnsi="Arial" w:cs="Arial"/>
          <w:b/>
          <w:bCs/>
          <w:sz w:val="22"/>
          <w:szCs w:val="22"/>
          <w:lang w:val="es-ES"/>
        </w:rPr>
      </w:pPr>
      <w:r w:rsidRPr="006F3EB5">
        <w:rPr>
          <w:rFonts w:ascii="Arial" w:eastAsia="Calibri" w:hAnsi="Arial" w:cs="Arial"/>
          <w:b/>
          <w:bCs/>
          <w:sz w:val="22"/>
          <w:szCs w:val="22"/>
          <w:lang w:val="es-ES"/>
        </w:rPr>
        <w:t xml:space="preserve">                      </w:t>
      </w:r>
    </w:p>
    <w:p w14:paraId="48133F3A" w14:textId="6C11FC91" w:rsidR="003067A0" w:rsidRPr="006F3EB5" w:rsidRDefault="003067A0" w:rsidP="00FF319C">
      <w:pPr>
        <w:contextualSpacing/>
        <w:jc w:val="center"/>
        <w:rPr>
          <w:rFonts w:ascii="Arial" w:eastAsia="Calibri" w:hAnsi="Arial" w:cs="Arial"/>
          <w:b/>
          <w:bCs/>
          <w:sz w:val="22"/>
          <w:szCs w:val="22"/>
          <w:lang w:val="es-ES"/>
        </w:rPr>
      </w:pPr>
      <w:r w:rsidRPr="006F3EB5">
        <w:rPr>
          <w:rFonts w:ascii="Arial" w:eastAsia="Calibri" w:hAnsi="Arial" w:cs="Arial"/>
          <w:b/>
          <w:bCs/>
          <w:sz w:val="22"/>
          <w:szCs w:val="22"/>
          <w:lang w:val="es-ES"/>
        </w:rPr>
        <w:t xml:space="preserve">Concepto C ‒ </w:t>
      </w:r>
      <w:r w:rsidR="00912473" w:rsidRPr="006F3EB5">
        <w:rPr>
          <w:rFonts w:ascii="Arial" w:eastAsia="Calibri" w:hAnsi="Arial" w:cs="Arial"/>
          <w:b/>
          <w:bCs/>
          <w:sz w:val="22"/>
          <w:szCs w:val="22"/>
          <w:lang w:val="es-ES"/>
        </w:rPr>
        <w:t>411</w:t>
      </w:r>
      <w:r w:rsidRPr="006F3EB5">
        <w:rPr>
          <w:rFonts w:ascii="Arial" w:eastAsia="Calibri" w:hAnsi="Arial" w:cs="Arial"/>
          <w:b/>
          <w:bCs/>
          <w:sz w:val="22"/>
          <w:szCs w:val="22"/>
          <w:lang w:val="es-ES"/>
        </w:rPr>
        <w:t xml:space="preserve"> de 202</w:t>
      </w:r>
      <w:r w:rsidR="00912473" w:rsidRPr="006F3EB5">
        <w:rPr>
          <w:rFonts w:ascii="Arial" w:eastAsia="Calibri" w:hAnsi="Arial" w:cs="Arial"/>
          <w:b/>
          <w:bCs/>
          <w:sz w:val="22"/>
          <w:szCs w:val="22"/>
          <w:lang w:val="es-ES"/>
        </w:rPr>
        <w:t>2</w:t>
      </w:r>
    </w:p>
    <w:p w14:paraId="256D7567" w14:textId="77777777" w:rsidR="003067A0" w:rsidRPr="006F3EB5" w:rsidRDefault="003067A0" w:rsidP="00FF319C">
      <w:pPr>
        <w:ind w:firstLine="709"/>
        <w:contextualSpacing/>
        <w:jc w:val="both"/>
        <w:rPr>
          <w:rFonts w:ascii="Arial" w:eastAsia="Calibri" w:hAnsi="Arial" w:cs="Arial"/>
          <w:sz w:val="22"/>
          <w:szCs w:val="22"/>
          <w:lang w:val="es-E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460FF" w:rsidRPr="006F3EB5" w14:paraId="565AC9B1" w14:textId="77777777" w:rsidTr="00727D19">
        <w:tc>
          <w:tcPr>
            <w:tcW w:w="2689" w:type="dxa"/>
          </w:tcPr>
          <w:p w14:paraId="733DC862" w14:textId="77777777" w:rsidR="003067A0" w:rsidRPr="006F3EB5" w:rsidRDefault="003067A0" w:rsidP="00FF319C">
            <w:pPr>
              <w:spacing w:line="276" w:lineRule="auto"/>
              <w:ind w:firstLine="0"/>
              <w:contextualSpacing/>
              <w:jc w:val="both"/>
              <w:rPr>
                <w:rFonts w:ascii="Arial" w:eastAsia="Calibri" w:hAnsi="Arial" w:cs="Arial"/>
                <w:sz w:val="22"/>
                <w:szCs w:val="22"/>
                <w:lang w:val="es-ES"/>
              </w:rPr>
            </w:pPr>
            <w:r w:rsidRPr="006F3EB5">
              <w:rPr>
                <w:rFonts w:ascii="Arial" w:eastAsia="Calibri" w:hAnsi="Arial" w:cs="Arial"/>
                <w:b/>
                <w:sz w:val="22"/>
                <w:szCs w:val="22"/>
                <w:lang w:val="es-ES"/>
              </w:rPr>
              <w:t>Temas:</w:t>
            </w:r>
            <w:r w:rsidRPr="006F3EB5">
              <w:rPr>
                <w:rFonts w:ascii="Arial" w:eastAsia="Calibri" w:hAnsi="Arial" w:cs="Arial"/>
                <w:sz w:val="22"/>
                <w:szCs w:val="22"/>
                <w:lang w:val="es-ES"/>
              </w:rPr>
              <w:t xml:space="preserve">                                      </w:t>
            </w:r>
          </w:p>
        </w:tc>
        <w:tc>
          <w:tcPr>
            <w:tcW w:w="6237" w:type="dxa"/>
          </w:tcPr>
          <w:p w14:paraId="243D3AE2" w14:textId="71F74015" w:rsidR="003067A0" w:rsidRPr="006F3EB5" w:rsidRDefault="00345E93" w:rsidP="00FF319C">
            <w:pPr>
              <w:spacing w:line="276" w:lineRule="auto"/>
              <w:ind w:firstLine="0"/>
              <w:contextualSpacing/>
              <w:jc w:val="both"/>
              <w:rPr>
                <w:rFonts w:ascii="Arial" w:hAnsi="Arial" w:cs="Arial"/>
                <w:bCs/>
                <w:sz w:val="22"/>
                <w:szCs w:val="22"/>
                <w:lang w:val="es-ES"/>
              </w:rPr>
            </w:pPr>
            <w:r w:rsidRPr="00CA4D48">
              <w:rPr>
                <w:rFonts w:ascii="Arial" w:eastAsia="Calibri" w:hAnsi="Arial" w:cs="Arial"/>
                <w:bCs/>
                <w:sz w:val="22"/>
              </w:rPr>
              <w:t xml:space="preserve">REGISTRO ÚNICO DE PROPONENTES – </w:t>
            </w:r>
            <w:r w:rsidRPr="000C4CC7">
              <w:rPr>
                <w:rFonts w:ascii="Arial" w:eastAsia="Calibri" w:hAnsi="Arial" w:cs="Arial"/>
                <w:bCs/>
                <w:sz w:val="22"/>
              </w:rPr>
              <w:t>Sujetos obligados</w:t>
            </w:r>
            <w:r>
              <w:rPr>
                <w:rFonts w:ascii="Arial" w:eastAsia="Calibri" w:hAnsi="Arial" w:cs="Arial"/>
                <w:bCs/>
                <w:sz w:val="22"/>
              </w:rPr>
              <w:t xml:space="preserve"> / </w:t>
            </w:r>
            <w:r w:rsidRPr="00AC7A12">
              <w:rPr>
                <w:rFonts w:ascii="Arial" w:eastAsia="Calibri" w:hAnsi="Arial" w:cs="Arial"/>
                <w:bCs/>
                <w:sz w:val="22"/>
              </w:rPr>
              <w:t>CAPACIDAD FINANCIERA</w:t>
            </w:r>
            <w:r>
              <w:rPr>
                <w:rFonts w:ascii="Arial" w:eastAsia="Calibri" w:hAnsi="Arial" w:cs="Arial"/>
                <w:bCs/>
                <w:sz w:val="22"/>
              </w:rPr>
              <w:t xml:space="preserve"> y CAPACIDAD ORGANIZACIONAL</w:t>
            </w:r>
            <w:r w:rsidRPr="00AC7A12">
              <w:rPr>
                <w:rFonts w:ascii="Arial" w:eastAsia="Calibri" w:hAnsi="Arial" w:cs="Arial"/>
                <w:bCs/>
                <w:sz w:val="22"/>
              </w:rPr>
              <w:t xml:space="preserve"> – Concepto</w:t>
            </w:r>
            <w:r>
              <w:rPr>
                <w:rFonts w:ascii="Arial" w:eastAsia="Calibri" w:hAnsi="Arial" w:cs="Arial"/>
                <w:bCs/>
                <w:sz w:val="22"/>
              </w:rPr>
              <w:t>s</w:t>
            </w:r>
            <w:r w:rsidRPr="00AC7A12">
              <w:rPr>
                <w:rFonts w:ascii="Arial" w:eastAsia="Calibri" w:hAnsi="Arial" w:cs="Arial"/>
                <w:bCs/>
                <w:sz w:val="22"/>
              </w:rPr>
              <w:t xml:space="preserve"> – Requisito</w:t>
            </w:r>
            <w:r>
              <w:rPr>
                <w:rFonts w:ascii="Arial" w:eastAsia="Calibri" w:hAnsi="Arial" w:cs="Arial"/>
                <w:bCs/>
                <w:sz w:val="22"/>
              </w:rPr>
              <w:t>s</w:t>
            </w:r>
            <w:r w:rsidRPr="00AC7A12">
              <w:rPr>
                <w:rFonts w:ascii="Arial" w:eastAsia="Calibri" w:hAnsi="Arial" w:cs="Arial"/>
                <w:bCs/>
                <w:sz w:val="22"/>
              </w:rPr>
              <w:t xml:space="preserve"> habilitante</w:t>
            </w:r>
            <w:r>
              <w:rPr>
                <w:rFonts w:ascii="Arial" w:eastAsia="Calibri" w:hAnsi="Arial" w:cs="Arial"/>
                <w:bCs/>
                <w:sz w:val="22"/>
              </w:rPr>
              <w:t>s</w:t>
            </w:r>
            <w:r w:rsidRPr="00AC7A12">
              <w:rPr>
                <w:rFonts w:ascii="Arial" w:eastAsia="Calibri" w:hAnsi="Arial" w:cs="Arial"/>
                <w:bCs/>
                <w:sz w:val="22"/>
              </w:rPr>
              <w:t xml:space="preserve"> / DECRETO 399 DE 2021 – Finalidad – Reactivación económica / DECRETO</w:t>
            </w:r>
            <w:r>
              <w:rPr>
                <w:rFonts w:ascii="Arial" w:eastAsia="Calibri" w:hAnsi="Arial" w:cs="Arial"/>
                <w:bCs/>
                <w:sz w:val="22"/>
              </w:rPr>
              <w:t>S</w:t>
            </w:r>
            <w:r w:rsidRPr="00AC7A12">
              <w:rPr>
                <w:rFonts w:ascii="Arial" w:eastAsia="Calibri" w:hAnsi="Arial" w:cs="Arial"/>
                <w:bCs/>
                <w:sz w:val="22"/>
              </w:rPr>
              <w:t xml:space="preserve"> 399</w:t>
            </w:r>
            <w:r>
              <w:rPr>
                <w:rFonts w:ascii="Arial" w:eastAsia="Calibri" w:hAnsi="Arial" w:cs="Arial"/>
                <w:bCs/>
                <w:sz w:val="22"/>
              </w:rPr>
              <w:t xml:space="preserve"> Y 579</w:t>
            </w:r>
            <w:r w:rsidRPr="00AC7A12">
              <w:rPr>
                <w:rFonts w:ascii="Arial" w:eastAsia="Calibri" w:hAnsi="Arial" w:cs="Arial"/>
                <w:bCs/>
                <w:sz w:val="22"/>
              </w:rPr>
              <w:t xml:space="preserve"> DE 2021 – Información – Capacidad financiera – Capacidad organizacional – RUP / DECRETO 399</w:t>
            </w:r>
            <w:r>
              <w:rPr>
                <w:rFonts w:ascii="Arial" w:eastAsia="Calibri" w:hAnsi="Arial" w:cs="Arial"/>
                <w:bCs/>
                <w:sz w:val="22"/>
              </w:rPr>
              <w:t xml:space="preserve"> Y 579</w:t>
            </w:r>
            <w:r w:rsidRPr="00AC7A12">
              <w:rPr>
                <w:rFonts w:ascii="Arial" w:eastAsia="Calibri" w:hAnsi="Arial" w:cs="Arial"/>
                <w:bCs/>
                <w:sz w:val="22"/>
              </w:rPr>
              <w:t xml:space="preserve"> DE 2021 – Indicadores – Capacidad financiera – Capacidad organizacional</w:t>
            </w:r>
            <w:r w:rsidR="00DB53C5">
              <w:rPr>
                <w:rFonts w:ascii="Arial" w:eastAsia="Calibri" w:hAnsi="Arial" w:cs="Arial"/>
                <w:bCs/>
                <w:sz w:val="22"/>
              </w:rPr>
              <w:t xml:space="preserve"> </w:t>
            </w:r>
            <w:r w:rsidRPr="00AC7A12">
              <w:rPr>
                <w:rFonts w:ascii="Arial" w:eastAsia="Calibri" w:hAnsi="Arial" w:cs="Arial"/>
                <w:bCs/>
                <w:sz w:val="22"/>
              </w:rPr>
              <w:t>/ MEJOR AÑO FISCAL – Decreto 399</w:t>
            </w:r>
            <w:r>
              <w:rPr>
                <w:rFonts w:ascii="Arial" w:eastAsia="Calibri" w:hAnsi="Arial" w:cs="Arial"/>
                <w:bCs/>
                <w:sz w:val="22"/>
              </w:rPr>
              <w:t xml:space="preserve"> Y 579 DE 2021</w:t>
            </w:r>
            <w:r w:rsidRPr="00AC7A12">
              <w:rPr>
                <w:rFonts w:ascii="Arial" w:eastAsia="Calibri" w:hAnsi="Arial" w:cs="Arial"/>
                <w:bCs/>
                <w:sz w:val="22"/>
              </w:rPr>
              <w:t xml:space="preserve"> – Capacidad financiera – Capacidad organizacional – Interpretación</w:t>
            </w:r>
          </w:p>
          <w:p w14:paraId="5C08BD80" w14:textId="77777777" w:rsidR="003067A0" w:rsidRPr="006F3EB5" w:rsidRDefault="003067A0" w:rsidP="00FF319C">
            <w:pPr>
              <w:spacing w:line="276" w:lineRule="auto"/>
              <w:ind w:firstLine="0"/>
              <w:contextualSpacing/>
              <w:jc w:val="both"/>
              <w:rPr>
                <w:rFonts w:ascii="Arial" w:hAnsi="Arial" w:cs="Arial"/>
                <w:bCs/>
                <w:sz w:val="22"/>
                <w:szCs w:val="22"/>
                <w:lang w:val="es-ES"/>
              </w:rPr>
            </w:pPr>
          </w:p>
        </w:tc>
      </w:tr>
      <w:tr w:rsidR="00C460FF" w:rsidRPr="006F3EB5" w14:paraId="06504265" w14:textId="77777777" w:rsidTr="00727D19">
        <w:trPr>
          <w:trHeight w:val="67"/>
        </w:trPr>
        <w:tc>
          <w:tcPr>
            <w:tcW w:w="2689" w:type="dxa"/>
          </w:tcPr>
          <w:p w14:paraId="73F85E3E" w14:textId="77777777" w:rsidR="003067A0" w:rsidRPr="006F3EB5" w:rsidRDefault="003067A0" w:rsidP="00FF319C">
            <w:pPr>
              <w:spacing w:line="276" w:lineRule="auto"/>
              <w:ind w:firstLine="0"/>
              <w:contextualSpacing/>
              <w:jc w:val="both"/>
              <w:rPr>
                <w:rFonts w:ascii="Arial" w:eastAsia="Calibri" w:hAnsi="Arial" w:cs="Arial"/>
                <w:b/>
                <w:sz w:val="22"/>
                <w:szCs w:val="22"/>
                <w:lang w:val="es-ES"/>
              </w:rPr>
            </w:pPr>
            <w:r w:rsidRPr="006F3EB5">
              <w:rPr>
                <w:rFonts w:ascii="Arial" w:eastAsia="Calibri" w:hAnsi="Arial" w:cs="Arial"/>
                <w:b/>
                <w:sz w:val="22"/>
                <w:szCs w:val="22"/>
                <w:lang w:val="es-ES"/>
              </w:rPr>
              <w:t>Radicación:</w:t>
            </w:r>
            <w:r w:rsidRPr="006F3EB5">
              <w:rPr>
                <w:rFonts w:ascii="Arial" w:eastAsia="Calibri" w:hAnsi="Arial" w:cs="Arial"/>
                <w:sz w:val="22"/>
                <w:szCs w:val="22"/>
                <w:lang w:val="es-ES"/>
              </w:rPr>
              <w:t xml:space="preserve">                              </w:t>
            </w:r>
          </w:p>
        </w:tc>
        <w:tc>
          <w:tcPr>
            <w:tcW w:w="6237" w:type="dxa"/>
          </w:tcPr>
          <w:p w14:paraId="1A4473A7" w14:textId="54366382" w:rsidR="003067A0" w:rsidRPr="006F3EB5" w:rsidRDefault="003067A0" w:rsidP="00FF319C">
            <w:pPr>
              <w:spacing w:line="276" w:lineRule="auto"/>
              <w:ind w:firstLine="0"/>
              <w:contextualSpacing/>
              <w:jc w:val="both"/>
              <w:rPr>
                <w:rFonts w:ascii="Arial" w:hAnsi="Arial" w:cs="Arial"/>
                <w:sz w:val="22"/>
                <w:szCs w:val="22"/>
                <w:lang w:val="es-ES" w:eastAsia="es-CO"/>
              </w:rPr>
            </w:pPr>
            <w:r w:rsidRPr="006F3EB5">
              <w:rPr>
                <w:rFonts w:ascii="Arial" w:eastAsia="Calibri" w:hAnsi="Arial" w:cs="Arial"/>
                <w:sz w:val="22"/>
                <w:szCs w:val="22"/>
                <w:lang w:val="es-ES"/>
              </w:rPr>
              <w:t xml:space="preserve">Respuesta a consulta # </w:t>
            </w:r>
            <w:r w:rsidR="00912473" w:rsidRPr="006F3EB5">
              <w:rPr>
                <w:rFonts w:ascii="Arial" w:eastAsia="Calibri" w:hAnsi="Arial" w:cs="Arial"/>
                <w:sz w:val="22"/>
                <w:szCs w:val="22"/>
                <w:lang w:val="es-ES"/>
              </w:rPr>
              <w:t>P20220509004565</w:t>
            </w:r>
          </w:p>
          <w:p w14:paraId="4F157C59" w14:textId="77777777" w:rsidR="003067A0" w:rsidRPr="006F3EB5" w:rsidRDefault="003067A0" w:rsidP="00FF319C">
            <w:pPr>
              <w:spacing w:line="276" w:lineRule="auto"/>
              <w:ind w:firstLine="0"/>
              <w:contextualSpacing/>
              <w:jc w:val="both"/>
              <w:rPr>
                <w:rFonts w:ascii="Arial" w:eastAsia="Calibri" w:hAnsi="Arial" w:cs="Arial"/>
                <w:sz w:val="22"/>
                <w:szCs w:val="22"/>
                <w:lang w:val="es-ES"/>
              </w:rPr>
            </w:pPr>
          </w:p>
        </w:tc>
      </w:tr>
    </w:tbl>
    <w:p w14:paraId="500FCAEC" w14:textId="369B9FE2" w:rsidR="003067A0" w:rsidRPr="005C6F23" w:rsidRDefault="003067A0" w:rsidP="005C6F23">
      <w:pPr>
        <w:spacing w:line="276" w:lineRule="auto"/>
        <w:contextualSpacing/>
        <w:jc w:val="both"/>
        <w:rPr>
          <w:rFonts w:ascii="Arial" w:eastAsia="Calibri" w:hAnsi="Arial" w:cs="Arial"/>
          <w:sz w:val="22"/>
          <w:szCs w:val="22"/>
          <w:lang w:val="es-ES"/>
        </w:rPr>
      </w:pPr>
      <w:r w:rsidRPr="005C6F23">
        <w:rPr>
          <w:rFonts w:ascii="Arial" w:eastAsia="Calibri" w:hAnsi="Arial" w:cs="Arial"/>
          <w:sz w:val="22"/>
          <w:szCs w:val="22"/>
          <w:lang w:val="es-ES"/>
        </w:rPr>
        <w:t xml:space="preserve">Estimado señor </w:t>
      </w:r>
      <w:r w:rsidR="00871B74" w:rsidRPr="005C6F23">
        <w:rPr>
          <w:rFonts w:ascii="Arial" w:eastAsia="Calibri" w:hAnsi="Arial" w:cs="Arial"/>
          <w:sz w:val="22"/>
          <w:szCs w:val="22"/>
          <w:lang w:val="es-ES"/>
        </w:rPr>
        <w:t xml:space="preserve">Tobar Muñoz: </w:t>
      </w:r>
    </w:p>
    <w:p w14:paraId="08E89C59" w14:textId="77777777" w:rsidR="003067A0" w:rsidRPr="005C6F23" w:rsidRDefault="003067A0" w:rsidP="005C6F23">
      <w:pPr>
        <w:spacing w:line="276" w:lineRule="auto"/>
        <w:ind w:firstLine="709"/>
        <w:contextualSpacing/>
        <w:jc w:val="both"/>
        <w:rPr>
          <w:rFonts w:ascii="Arial" w:eastAsia="Calibri" w:hAnsi="Arial" w:cs="Arial"/>
          <w:sz w:val="22"/>
          <w:szCs w:val="22"/>
          <w:lang w:val="es-ES"/>
        </w:rPr>
      </w:pPr>
    </w:p>
    <w:p w14:paraId="5EC2C94A" w14:textId="639849D5" w:rsidR="003067A0" w:rsidRPr="005C6F23" w:rsidRDefault="003067A0" w:rsidP="005C6F23">
      <w:pPr>
        <w:spacing w:line="276" w:lineRule="auto"/>
        <w:contextualSpacing/>
        <w:jc w:val="both"/>
        <w:rPr>
          <w:rFonts w:ascii="Arial" w:eastAsia="Calibri" w:hAnsi="Arial" w:cs="Arial"/>
          <w:sz w:val="22"/>
          <w:szCs w:val="22"/>
          <w:lang w:val="es-ES"/>
        </w:rPr>
      </w:pPr>
      <w:r w:rsidRPr="005C6F23">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344ADB">
        <w:rPr>
          <w:rFonts w:ascii="Arial" w:eastAsia="Calibri" w:hAnsi="Arial" w:cs="Arial"/>
          <w:sz w:val="22"/>
          <w:szCs w:val="22"/>
          <w:lang w:val="es-ES"/>
        </w:rPr>
        <w:t>9 de mayo de 2022</w:t>
      </w:r>
      <w:r w:rsidRPr="005C6F23">
        <w:rPr>
          <w:rFonts w:ascii="Arial" w:eastAsia="Calibri" w:hAnsi="Arial" w:cs="Arial"/>
          <w:sz w:val="22"/>
          <w:szCs w:val="22"/>
          <w:lang w:val="es-ES"/>
        </w:rPr>
        <w:t>.</w:t>
      </w:r>
    </w:p>
    <w:p w14:paraId="71B0F63E" w14:textId="77777777" w:rsidR="003067A0" w:rsidRPr="005C6F23" w:rsidRDefault="003067A0" w:rsidP="00344ADB">
      <w:pPr>
        <w:spacing w:line="276" w:lineRule="auto"/>
        <w:contextualSpacing/>
        <w:jc w:val="both"/>
        <w:rPr>
          <w:rFonts w:ascii="Arial" w:eastAsia="Calibri" w:hAnsi="Arial" w:cs="Arial"/>
          <w:b/>
          <w:sz w:val="22"/>
          <w:szCs w:val="22"/>
          <w:lang w:val="es-ES"/>
        </w:rPr>
      </w:pPr>
    </w:p>
    <w:p w14:paraId="2CE3AAFA" w14:textId="77777777" w:rsidR="003067A0" w:rsidRPr="005C6F23" w:rsidRDefault="003067A0" w:rsidP="005C6F23">
      <w:pPr>
        <w:numPr>
          <w:ilvl w:val="0"/>
          <w:numId w:val="1"/>
        </w:numPr>
        <w:tabs>
          <w:tab w:val="left" w:pos="0"/>
          <w:tab w:val="left" w:pos="142"/>
          <w:tab w:val="left" w:pos="284"/>
        </w:tabs>
        <w:spacing w:line="276" w:lineRule="auto"/>
        <w:ind w:left="0" w:firstLine="0"/>
        <w:contextualSpacing/>
        <w:jc w:val="both"/>
        <w:rPr>
          <w:rFonts w:ascii="Arial" w:eastAsia="Calibri" w:hAnsi="Arial" w:cs="Arial"/>
          <w:b/>
          <w:sz w:val="22"/>
          <w:szCs w:val="22"/>
          <w:lang w:val="es-ES"/>
        </w:rPr>
      </w:pPr>
      <w:r w:rsidRPr="005C6F23">
        <w:rPr>
          <w:rFonts w:ascii="Arial" w:eastAsia="Calibri" w:hAnsi="Arial" w:cs="Arial"/>
          <w:b/>
          <w:sz w:val="22"/>
          <w:szCs w:val="22"/>
          <w:lang w:val="es-ES"/>
        </w:rPr>
        <w:t xml:space="preserve">Problema planteado </w:t>
      </w:r>
    </w:p>
    <w:p w14:paraId="3522F570" w14:textId="77777777" w:rsidR="003067A0" w:rsidRPr="005C6F23" w:rsidRDefault="003067A0" w:rsidP="005C6F23">
      <w:pPr>
        <w:spacing w:line="276" w:lineRule="auto"/>
        <w:contextualSpacing/>
        <w:jc w:val="both"/>
        <w:rPr>
          <w:rFonts w:ascii="Arial" w:hAnsi="Arial" w:cs="Arial"/>
          <w:sz w:val="22"/>
          <w:szCs w:val="22"/>
          <w:lang w:val="es-ES"/>
        </w:rPr>
      </w:pPr>
    </w:p>
    <w:p w14:paraId="192EA182" w14:textId="77777777" w:rsidR="003067A0" w:rsidRPr="005C6F23" w:rsidRDefault="003067A0" w:rsidP="005C6F23">
      <w:pPr>
        <w:spacing w:line="276" w:lineRule="auto"/>
        <w:contextualSpacing/>
        <w:jc w:val="both"/>
        <w:rPr>
          <w:rFonts w:ascii="Arial" w:hAnsi="Arial" w:cs="Arial"/>
          <w:sz w:val="22"/>
          <w:szCs w:val="22"/>
          <w:lang w:val="es-ES"/>
        </w:rPr>
      </w:pPr>
      <w:r w:rsidRPr="005C6F23">
        <w:rPr>
          <w:rFonts w:ascii="Arial" w:hAnsi="Arial" w:cs="Arial"/>
          <w:sz w:val="22"/>
          <w:szCs w:val="22"/>
          <w:lang w:val="es-ES"/>
        </w:rPr>
        <w:t xml:space="preserve">Usted formula la siguiente consulta: </w:t>
      </w:r>
    </w:p>
    <w:p w14:paraId="2CF6A735" w14:textId="77777777" w:rsidR="003067A0" w:rsidRPr="005C6F23" w:rsidRDefault="003067A0" w:rsidP="005C6F23">
      <w:pPr>
        <w:spacing w:line="276" w:lineRule="auto"/>
        <w:contextualSpacing/>
        <w:jc w:val="both"/>
        <w:rPr>
          <w:rFonts w:ascii="Arial" w:hAnsi="Arial" w:cs="Arial"/>
          <w:sz w:val="22"/>
          <w:szCs w:val="22"/>
          <w:lang w:val="es-ES"/>
        </w:rPr>
      </w:pPr>
    </w:p>
    <w:p w14:paraId="0D7971D3" w14:textId="266B3D17" w:rsidR="003067A0" w:rsidRPr="00C460FF" w:rsidRDefault="003067A0" w:rsidP="004470A6">
      <w:pPr>
        <w:ind w:left="709" w:right="709"/>
        <w:contextualSpacing/>
        <w:jc w:val="both"/>
        <w:rPr>
          <w:rFonts w:ascii="Arial" w:hAnsi="Arial" w:cs="Arial"/>
          <w:sz w:val="21"/>
          <w:szCs w:val="21"/>
          <w:lang w:val="es-ES"/>
        </w:rPr>
      </w:pPr>
      <w:r w:rsidRPr="00C460FF">
        <w:rPr>
          <w:rFonts w:ascii="Arial" w:hAnsi="Arial" w:cs="Arial"/>
          <w:sz w:val="21"/>
          <w:szCs w:val="21"/>
          <w:lang w:val="es-ES"/>
        </w:rPr>
        <w:lastRenderedPageBreak/>
        <w:t>«</w:t>
      </w:r>
      <w:r w:rsidR="00590E60" w:rsidRPr="00C460FF">
        <w:rPr>
          <w:rFonts w:ascii="Arial" w:hAnsi="Arial" w:cs="Arial"/>
          <w:sz w:val="21"/>
          <w:szCs w:val="21"/>
        </w:rPr>
        <w:t>Para la contratación con las entidades de gobierno, hasta el año pasado, se podían tomar</w:t>
      </w:r>
      <w:proofErr w:type="gramStart"/>
      <w:r w:rsidR="00590E60" w:rsidRPr="00C460FF">
        <w:rPr>
          <w:rFonts w:ascii="Arial" w:hAnsi="Arial" w:cs="Arial"/>
          <w:sz w:val="21"/>
          <w:szCs w:val="21"/>
        </w:rPr>
        <w:t>, ,por</w:t>
      </w:r>
      <w:proofErr w:type="gramEnd"/>
      <w:r w:rsidR="00590E60" w:rsidRPr="00C460FF">
        <w:rPr>
          <w:rFonts w:ascii="Arial" w:hAnsi="Arial" w:cs="Arial"/>
          <w:sz w:val="21"/>
          <w:szCs w:val="21"/>
        </w:rPr>
        <w:t xml:space="preserve"> efectos de la pandemia, los mejores indicadores económicos de los últimos tres años consignados en el RUP. Quisiera saber si esta situación sigue vigente o la entidad debe tomar los del último año como se </w:t>
      </w:r>
      <w:proofErr w:type="spellStart"/>
      <w:r w:rsidR="00590E60" w:rsidRPr="00C460FF">
        <w:rPr>
          <w:rFonts w:ascii="Arial" w:hAnsi="Arial" w:cs="Arial"/>
          <w:sz w:val="21"/>
          <w:szCs w:val="21"/>
        </w:rPr>
        <w:t>hacia</w:t>
      </w:r>
      <w:proofErr w:type="spellEnd"/>
      <w:r w:rsidR="00590E60" w:rsidRPr="00C460FF">
        <w:rPr>
          <w:rFonts w:ascii="Arial" w:hAnsi="Arial" w:cs="Arial"/>
          <w:sz w:val="21"/>
          <w:szCs w:val="21"/>
        </w:rPr>
        <w:t xml:space="preserve"> antes</w:t>
      </w:r>
      <w:r w:rsidRPr="00C460FF">
        <w:rPr>
          <w:rFonts w:ascii="Arial" w:hAnsi="Arial" w:cs="Arial"/>
          <w:sz w:val="21"/>
          <w:szCs w:val="21"/>
          <w:lang w:val="es-ES"/>
        </w:rPr>
        <w:t>».</w:t>
      </w:r>
      <w:r w:rsidR="00590E60" w:rsidRPr="00C460FF">
        <w:rPr>
          <w:rFonts w:ascii="Arial" w:hAnsi="Arial" w:cs="Arial"/>
          <w:sz w:val="21"/>
          <w:szCs w:val="21"/>
          <w:lang w:val="es-ES"/>
        </w:rPr>
        <w:t xml:space="preserve"> (SIC)</w:t>
      </w:r>
    </w:p>
    <w:p w14:paraId="07106FC4" w14:textId="5EAE0241" w:rsidR="003067A0" w:rsidRDefault="003067A0" w:rsidP="005C6F23">
      <w:pPr>
        <w:spacing w:line="276" w:lineRule="auto"/>
        <w:ind w:right="709"/>
        <w:contextualSpacing/>
        <w:jc w:val="both"/>
        <w:rPr>
          <w:rFonts w:ascii="Arial" w:hAnsi="Arial" w:cs="Arial"/>
          <w:sz w:val="21"/>
          <w:szCs w:val="21"/>
          <w:lang w:val="es-ES"/>
        </w:rPr>
      </w:pPr>
    </w:p>
    <w:p w14:paraId="54995EB7" w14:textId="77777777" w:rsidR="00AC12A5" w:rsidRPr="00C460FF" w:rsidRDefault="00AC12A5" w:rsidP="005C6F23">
      <w:pPr>
        <w:spacing w:line="276" w:lineRule="auto"/>
        <w:ind w:right="709"/>
        <w:contextualSpacing/>
        <w:jc w:val="both"/>
        <w:rPr>
          <w:rFonts w:ascii="Arial" w:hAnsi="Arial" w:cs="Arial"/>
          <w:sz w:val="21"/>
          <w:szCs w:val="21"/>
          <w:lang w:val="es-ES"/>
        </w:rPr>
      </w:pPr>
    </w:p>
    <w:p w14:paraId="37996E83" w14:textId="77777777" w:rsidR="003067A0" w:rsidRPr="00C460FF" w:rsidRDefault="003067A0" w:rsidP="005C6F23">
      <w:pPr>
        <w:numPr>
          <w:ilvl w:val="0"/>
          <w:numId w:val="1"/>
        </w:numPr>
        <w:tabs>
          <w:tab w:val="left" w:pos="0"/>
          <w:tab w:val="left" w:pos="284"/>
        </w:tabs>
        <w:spacing w:line="276" w:lineRule="auto"/>
        <w:ind w:left="0" w:firstLine="0"/>
        <w:contextualSpacing/>
        <w:jc w:val="both"/>
        <w:rPr>
          <w:rFonts w:ascii="Arial" w:eastAsia="Calibri" w:hAnsi="Arial" w:cs="Arial"/>
          <w:sz w:val="22"/>
          <w:lang w:val="es-ES"/>
        </w:rPr>
      </w:pPr>
      <w:r w:rsidRPr="00C460FF">
        <w:rPr>
          <w:rFonts w:ascii="Arial" w:eastAsia="Calibri" w:hAnsi="Arial" w:cs="Arial"/>
          <w:b/>
          <w:sz w:val="22"/>
          <w:lang w:val="es-ES"/>
        </w:rPr>
        <w:t>Consideraciones</w:t>
      </w:r>
    </w:p>
    <w:p w14:paraId="14316C43" w14:textId="77777777" w:rsidR="003067A0" w:rsidRPr="00C460FF" w:rsidRDefault="003067A0" w:rsidP="005C6F23">
      <w:pPr>
        <w:tabs>
          <w:tab w:val="left" w:pos="0"/>
          <w:tab w:val="left" w:pos="284"/>
        </w:tabs>
        <w:spacing w:line="276" w:lineRule="auto"/>
        <w:contextualSpacing/>
        <w:jc w:val="both"/>
        <w:rPr>
          <w:rFonts w:ascii="Arial" w:eastAsia="Calibri" w:hAnsi="Arial" w:cs="Arial"/>
          <w:b/>
          <w:sz w:val="22"/>
          <w:lang w:val="es-ES"/>
        </w:rPr>
      </w:pPr>
    </w:p>
    <w:p w14:paraId="5329D838" w14:textId="005CC456" w:rsidR="00F67A49" w:rsidRPr="00AC7A12" w:rsidRDefault="003067A0" w:rsidP="00D84213">
      <w:pPr>
        <w:spacing w:after="120" w:line="276" w:lineRule="auto"/>
        <w:jc w:val="both"/>
        <w:rPr>
          <w:rFonts w:ascii="Arial" w:eastAsia="Calibri" w:hAnsi="Arial" w:cs="Arial"/>
          <w:color w:val="000000" w:themeColor="text1"/>
          <w:sz w:val="22"/>
          <w:szCs w:val="22"/>
        </w:rPr>
      </w:pPr>
      <w:r w:rsidRPr="00FD2BF3">
        <w:rPr>
          <w:rFonts w:ascii="Arial" w:eastAsia="Calibri" w:hAnsi="Arial" w:cs="Arial"/>
          <w:sz w:val="22"/>
          <w:lang w:val="es-ES"/>
        </w:rPr>
        <w:t xml:space="preserve">La Subdirección de Gestión Contractual responderá la consulta, luego de analizar los siguientes temas: </w:t>
      </w:r>
      <w:r w:rsidR="00F67A49" w:rsidRPr="00FD2BF3">
        <w:rPr>
          <w:rFonts w:ascii="Arial" w:eastAsia="Calibri" w:hAnsi="Arial" w:cs="Arial"/>
          <w:color w:val="000000" w:themeColor="text1"/>
          <w:sz w:val="22"/>
          <w:szCs w:val="22"/>
        </w:rPr>
        <w:t xml:space="preserve">i) alcance del Registro Único de Proponentes, </w:t>
      </w:r>
      <w:proofErr w:type="spellStart"/>
      <w:r w:rsidR="00F67A49" w:rsidRPr="00FD2BF3">
        <w:rPr>
          <w:rFonts w:ascii="Arial" w:eastAsia="Calibri" w:hAnsi="Arial" w:cs="Arial"/>
          <w:color w:val="000000" w:themeColor="text1"/>
          <w:sz w:val="22"/>
          <w:szCs w:val="22"/>
        </w:rPr>
        <w:t>ii</w:t>
      </w:r>
      <w:proofErr w:type="spellEnd"/>
      <w:r w:rsidR="00F67A49" w:rsidRPr="00FD2BF3">
        <w:rPr>
          <w:rFonts w:ascii="Arial" w:eastAsia="Calibri" w:hAnsi="Arial" w:cs="Arial"/>
          <w:color w:val="000000" w:themeColor="text1"/>
          <w:sz w:val="22"/>
          <w:szCs w:val="22"/>
        </w:rPr>
        <w:t xml:space="preserve">) requisitos habilitantes de capacidad financiera y organizacional y </w:t>
      </w:r>
      <w:proofErr w:type="spellStart"/>
      <w:r w:rsidR="00F67A49" w:rsidRPr="00FD2BF3">
        <w:rPr>
          <w:rFonts w:ascii="Arial" w:eastAsia="Calibri" w:hAnsi="Arial" w:cs="Arial"/>
          <w:color w:val="000000" w:themeColor="text1"/>
          <w:sz w:val="22"/>
          <w:szCs w:val="22"/>
        </w:rPr>
        <w:t>iii</w:t>
      </w:r>
      <w:proofErr w:type="spellEnd"/>
      <w:r w:rsidR="00F67A49" w:rsidRPr="00FD2BF3">
        <w:rPr>
          <w:rFonts w:ascii="Arial" w:eastAsia="Calibri" w:hAnsi="Arial" w:cs="Arial"/>
          <w:color w:val="000000" w:themeColor="text1"/>
          <w:sz w:val="22"/>
          <w:szCs w:val="22"/>
        </w:rPr>
        <w:t>) modificaciones introducidas por los Decretos 399 de 2021 y 579 de 2021, frente a la información del RUP, así como a la verificación de la capacidad financiera y organizacional del proponente.</w:t>
      </w:r>
      <w:r w:rsidR="00F67A49" w:rsidRPr="00AC7A12">
        <w:rPr>
          <w:rFonts w:ascii="Arial" w:eastAsia="Calibri" w:hAnsi="Arial" w:cs="Arial"/>
          <w:color w:val="000000" w:themeColor="text1"/>
          <w:sz w:val="22"/>
          <w:szCs w:val="22"/>
        </w:rPr>
        <w:t xml:space="preserve"> </w:t>
      </w:r>
    </w:p>
    <w:p w14:paraId="3F7C47C9" w14:textId="57C0B8AC" w:rsidR="003067A0" w:rsidRPr="00C460FF" w:rsidRDefault="00DA55EF" w:rsidP="00DA55EF">
      <w:pPr>
        <w:tabs>
          <w:tab w:val="left" w:pos="0"/>
          <w:tab w:val="left" w:pos="284"/>
        </w:tabs>
        <w:snapToGrid w:val="0"/>
        <w:spacing w:line="276" w:lineRule="auto"/>
        <w:jc w:val="both"/>
        <w:rPr>
          <w:rFonts w:ascii="Arial" w:hAnsi="Arial" w:cs="Arial"/>
          <w:sz w:val="22"/>
          <w:lang w:val="es-ES"/>
        </w:rPr>
      </w:pPr>
      <w:r w:rsidRPr="00FD2BF3">
        <w:rPr>
          <w:rFonts w:ascii="Arial" w:eastAsia="Calibri" w:hAnsi="Arial" w:cs="Arial"/>
          <w:sz w:val="22"/>
          <w:lang w:val="es-ES"/>
        </w:rPr>
        <w:tab/>
      </w:r>
      <w:r w:rsidRPr="00FD2BF3">
        <w:rPr>
          <w:rFonts w:ascii="Arial" w:eastAsia="Calibri" w:hAnsi="Arial" w:cs="Arial"/>
          <w:sz w:val="22"/>
          <w:lang w:val="es-ES"/>
        </w:rPr>
        <w:tab/>
      </w:r>
      <w:r w:rsidR="003067A0" w:rsidRPr="00FD2BF3">
        <w:rPr>
          <w:rFonts w:ascii="Arial" w:eastAsia="Calibri" w:hAnsi="Arial" w:cs="Arial"/>
          <w:sz w:val="22"/>
          <w:lang w:val="es-ES"/>
        </w:rPr>
        <w:t xml:space="preserve">La Agencia Nacional de Contratación Pública – Colombia Compra Eficiente, se pronunció </w:t>
      </w:r>
      <w:r w:rsidR="003067A0" w:rsidRPr="00FD2BF3">
        <w:rPr>
          <w:rStyle w:val="normaltextrun"/>
          <w:rFonts w:ascii="Arial" w:hAnsi="Arial" w:cs="Arial"/>
          <w:sz w:val="22"/>
          <w:shd w:val="clear" w:color="auto" w:fill="FFFFFF"/>
          <w:lang w:val="es-ES"/>
        </w:rPr>
        <w:t xml:space="preserve">sobre </w:t>
      </w:r>
      <w:r w:rsidR="003067A0" w:rsidRPr="00FD2BF3">
        <w:rPr>
          <w:rFonts w:ascii="Arial" w:hAnsi="Arial" w:cs="Arial"/>
          <w:sz w:val="22"/>
          <w:lang w:val="es-ES"/>
        </w:rPr>
        <w:t xml:space="preserve">la acreditación de los indicadores de la capacidad financiera y organizacional, entre otros, </w:t>
      </w:r>
      <w:r w:rsidR="003067A0" w:rsidRPr="00FD2BF3">
        <w:rPr>
          <w:rFonts w:ascii="Arial" w:eastAsia="Calibri" w:hAnsi="Arial" w:cs="Arial"/>
          <w:sz w:val="22"/>
          <w:lang w:val="es-ES"/>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003067A0" w:rsidRPr="00FD2BF3">
        <w:rPr>
          <w:rFonts w:ascii="Arial" w:hAnsi="Arial" w:cs="Arial"/>
          <w:sz w:val="22"/>
          <w:lang w:val="es-ES"/>
        </w:rPr>
        <w:t>Adicionalmente, en los conceptos C-288 del 17 de junio de 2021, C-353 del 19 de julio de 2021, C-366 del 26 de julio de 2021, C-372 del 28 de julio de 2021, C-406 del 13 de agosto de 2021, C-407, C-443 y C 540 del 25 de agosto de 2021 y C-558 del 2 de septiembre de 2021, C-618, C-620 y C-621 del 4 de noviembre de 2021, C-628 del 9 de noviembre de 2021 y C-660 del 22 de diciembre de 2021, se analizó la definición del «mejor año fiscal» y la forma en que se efectuará la verificación de las ofertas, de acuerdo con las modificaciones realizadas mediante los Decretos 399 y 579 de 2021. Algunas de las consideraciones de estos conceptos, se reiteran y complementan a continuación</w:t>
      </w:r>
      <w:r w:rsidR="003067A0" w:rsidRPr="00FD2BF3">
        <w:rPr>
          <w:rStyle w:val="Refdenotaalpie"/>
          <w:rFonts w:ascii="Arial" w:hAnsi="Arial" w:cs="Arial"/>
          <w:sz w:val="22"/>
          <w:lang w:val="es-ES"/>
        </w:rPr>
        <w:footnoteReference w:id="1"/>
      </w:r>
      <w:r w:rsidR="003067A0" w:rsidRPr="00FD2BF3">
        <w:rPr>
          <w:rFonts w:ascii="Arial" w:hAnsi="Arial" w:cs="Arial"/>
          <w:sz w:val="22"/>
          <w:lang w:val="es-ES"/>
        </w:rPr>
        <w:t>.</w:t>
      </w:r>
    </w:p>
    <w:p w14:paraId="1DDAC4C3" w14:textId="77777777" w:rsidR="003067A0" w:rsidRPr="00C460FF" w:rsidRDefault="003067A0" w:rsidP="005C6F23">
      <w:pPr>
        <w:snapToGrid w:val="0"/>
        <w:spacing w:line="276" w:lineRule="auto"/>
        <w:contextualSpacing/>
        <w:jc w:val="both"/>
        <w:rPr>
          <w:rFonts w:ascii="Arial" w:eastAsia="Calibri" w:hAnsi="Arial" w:cs="Arial"/>
          <w:sz w:val="22"/>
          <w:szCs w:val="22"/>
          <w:lang w:val="es-ES"/>
        </w:rPr>
      </w:pPr>
    </w:p>
    <w:p w14:paraId="5F479541" w14:textId="77777777" w:rsidR="00265902" w:rsidRPr="00C460FF" w:rsidRDefault="00265902" w:rsidP="00265902">
      <w:pPr>
        <w:spacing w:line="276" w:lineRule="auto"/>
        <w:contextualSpacing/>
        <w:jc w:val="both"/>
        <w:rPr>
          <w:rFonts w:ascii="Arial" w:hAnsi="Arial" w:cs="Arial"/>
          <w:b/>
          <w:bCs/>
          <w:sz w:val="22"/>
          <w:szCs w:val="22"/>
        </w:rPr>
      </w:pPr>
      <w:r w:rsidRPr="00C460FF">
        <w:rPr>
          <w:rFonts w:ascii="Arial" w:eastAsia="Calibri" w:hAnsi="Arial" w:cs="Arial"/>
          <w:b/>
          <w:bCs/>
          <w:sz w:val="22"/>
          <w:szCs w:val="22"/>
        </w:rPr>
        <w:t xml:space="preserve">2.1. </w:t>
      </w:r>
      <w:r w:rsidRPr="00C460FF">
        <w:rPr>
          <w:rFonts w:ascii="Arial" w:hAnsi="Arial" w:cs="Arial"/>
          <w:b/>
          <w:bCs/>
          <w:sz w:val="22"/>
          <w:szCs w:val="22"/>
        </w:rPr>
        <w:t>El Registro Único de Proponentes –RUP–. Concepto y sujetos obligados</w:t>
      </w:r>
    </w:p>
    <w:p w14:paraId="5835CEDB" w14:textId="77777777" w:rsidR="00265902" w:rsidRPr="00C460FF" w:rsidRDefault="00265902" w:rsidP="00265902">
      <w:pPr>
        <w:spacing w:line="276" w:lineRule="auto"/>
        <w:contextualSpacing/>
        <w:jc w:val="both"/>
        <w:rPr>
          <w:rFonts w:ascii="Arial" w:eastAsia="Calibri" w:hAnsi="Arial" w:cs="Arial"/>
          <w:b/>
          <w:bCs/>
          <w:sz w:val="22"/>
          <w:szCs w:val="22"/>
        </w:rPr>
      </w:pPr>
    </w:p>
    <w:p w14:paraId="234D8525" w14:textId="77BEF45C" w:rsidR="00265902" w:rsidRPr="00C460FF" w:rsidRDefault="00265902" w:rsidP="00127AAA">
      <w:pPr>
        <w:spacing w:line="276" w:lineRule="auto"/>
        <w:jc w:val="both"/>
        <w:rPr>
          <w:rFonts w:ascii="Arial" w:hAnsi="Arial" w:cs="Arial"/>
          <w:sz w:val="22"/>
          <w:lang w:val="es-ES"/>
        </w:rPr>
      </w:pPr>
      <w:r w:rsidRPr="00C460FF">
        <w:rPr>
          <w:rFonts w:ascii="Arial" w:hAnsi="Arial" w:cs="Arial"/>
          <w:sz w:val="22"/>
        </w:rPr>
        <w:t xml:space="preserve">El Registro Único de Proponentes </w:t>
      </w:r>
      <w:r w:rsidR="00127AAA">
        <w:rPr>
          <w:rFonts w:ascii="Arial" w:hAnsi="Arial" w:cs="Arial"/>
          <w:sz w:val="22"/>
        </w:rPr>
        <w:t>– RUP</w:t>
      </w:r>
      <w:r w:rsidR="00D92095">
        <w:rPr>
          <w:rFonts w:ascii="Arial" w:hAnsi="Arial" w:cs="Arial"/>
          <w:sz w:val="22"/>
        </w:rPr>
        <w:t xml:space="preserve"> –</w:t>
      </w:r>
      <w:r w:rsidR="00127AAA">
        <w:rPr>
          <w:rFonts w:ascii="Arial" w:hAnsi="Arial" w:cs="Arial"/>
          <w:sz w:val="22"/>
        </w:rPr>
        <w:t xml:space="preserve"> </w:t>
      </w:r>
      <w:r w:rsidRPr="00C460FF">
        <w:rPr>
          <w:rFonts w:ascii="Arial" w:hAnsi="Arial" w:cs="Arial"/>
          <w:sz w:val="22"/>
        </w:rPr>
        <w:t>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r w:rsidR="00D92095">
        <w:rPr>
          <w:rFonts w:ascii="Arial" w:hAnsi="Arial" w:cs="Arial"/>
          <w:sz w:val="22"/>
        </w:rPr>
        <w:t xml:space="preserve"> </w:t>
      </w:r>
    </w:p>
    <w:p w14:paraId="6FF9B142" w14:textId="77777777" w:rsidR="00265902" w:rsidRPr="00C460FF" w:rsidRDefault="00265902" w:rsidP="00D92095">
      <w:pPr>
        <w:ind w:right="426"/>
        <w:contextualSpacing/>
        <w:jc w:val="both"/>
        <w:rPr>
          <w:rFonts w:ascii="Arial" w:hAnsi="Arial" w:cs="Arial"/>
          <w:sz w:val="22"/>
          <w:lang w:val="es-CO"/>
        </w:rPr>
      </w:pPr>
    </w:p>
    <w:p w14:paraId="5912227E" w14:textId="77777777" w:rsidR="00265902" w:rsidRPr="00C460FF" w:rsidRDefault="00265902" w:rsidP="00D92095">
      <w:pPr>
        <w:tabs>
          <w:tab w:val="left" w:pos="8505"/>
        </w:tabs>
        <w:ind w:left="709" w:right="709"/>
        <w:contextualSpacing/>
        <w:jc w:val="both"/>
        <w:rPr>
          <w:rFonts w:ascii="Arial" w:hAnsi="Arial" w:cs="Arial"/>
          <w:sz w:val="21"/>
          <w:szCs w:val="21"/>
        </w:rPr>
      </w:pPr>
      <w:r w:rsidRPr="00C460FF">
        <w:rPr>
          <w:rFonts w:ascii="Arial" w:hAnsi="Arial" w:cs="Arial"/>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C460FF">
        <w:rPr>
          <w:rStyle w:val="Refdenotaalpie"/>
          <w:rFonts w:ascii="Arial" w:hAnsi="Arial" w:cs="Arial"/>
          <w:sz w:val="21"/>
          <w:szCs w:val="21"/>
        </w:rPr>
        <w:footnoteReference w:id="2"/>
      </w:r>
      <w:r w:rsidRPr="00C460FF">
        <w:rPr>
          <w:rFonts w:ascii="Arial" w:hAnsi="Arial" w:cs="Arial"/>
          <w:sz w:val="21"/>
          <w:szCs w:val="21"/>
        </w:rPr>
        <w:t>.</w:t>
      </w:r>
    </w:p>
    <w:p w14:paraId="27C21CCF" w14:textId="77777777" w:rsidR="00265902" w:rsidRPr="00C460FF" w:rsidRDefault="00265902" w:rsidP="00D92095">
      <w:pPr>
        <w:contextualSpacing/>
        <w:jc w:val="both"/>
        <w:rPr>
          <w:rFonts w:ascii="Arial" w:hAnsi="Arial" w:cs="Arial"/>
          <w:sz w:val="22"/>
        </w:rPr>
      </w:pPr>
    </w:p>
    <w:p w14:paraId="5CD7ED4A" w14:textId="1871A02A" w:rsidR="00265902" w:rsidRPr="00C460FF" w:rsidRDefault="00265902" w:rsidP="003361AC">
      <w:pPr>
        <w:spacing w:after="120" w:line="276" w:lineRule="auto"/>
        <w:ind w:firstLine="709"/>
        <w:jc w:val="both"/>
        <w:rPr>
          <w:rFonts w:ascii="Arial" w:hAnsi="Arial" w:cs="Arial"/>
          <w:sz w:val="22"/>
        </w:rPr>
      </w:pPr>
      <w:r w:rsidRPr="00C460FF">
        <w:rPr>
          <w:rFonts w:ascii="Arial" w:hAnsi="Arial" w:cs="Arial"/>
          <w:sz w:val="22"/>
        </w:rPr>
        <w:t xml:space="preserve">El artículo 6.1 de la Ley 1150 de 2007 dispone que el </w:t>
      </w:r>
      <w:r w:rsidR="00F8722E">
        <w:rPr>
          <w:rFonts w:ascii="Arial" w:hAnsi="Arial" w:cs="Arial"/>
          <w:sz w:val="22"/>
        </w:rPr>
        <w:t>RUP</w:t>
      </w:r>
      <w:r w:rsidR="00F8722E" w:rsidRPr="00C460FF">
        <w:rPr>
          <w:rFonts w:ascii="Arial" w:hAnsi="Arial" w:cs="Arial"/>
          <w:sz w:val="22"/>
        </w:rPr>
        <w:t xml:space="preserve"> </w:t>
      </w:r>
      <w:r w:rsidRPr="00C460FF">
        <w:rPr>
          <w:rFonts w:ascii="Arial" w:hAnsi="Arial" w:cs="Arial"/>
          <w:sz w:val="22"/>
        </w:rPr>
        <w:t>es plena prueba de la información que contiene</w:t>
      </w:r>
      <w:r w:rsidRPr="00C460FF">
        <w:rPr>
          <w:rStyle w:val="Refdenotaalpie"/>
          <w:rFonts w:ascii="Arial" w:hAnsi="Arial" w:cs="Arial"/>
          <w:sz w:val="22"/>
        </w:rPr>
        <w:footnoteReference w:id="3"/>
      </w:r>
      <w:r w:rsidRPr="00C460FF">
        <w:rPr>
          <w:rFonts w:ascii="Arial" w:hAnsi="Arial" w:cs="Arial"/>
          <w:sz w:val="22"/>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r w:rsidRPr="00C460FF">
        <w:rPr>
          <w:rStyle w:val="Refdenotaalpie"/>
          <w:rFonts w:ascii="Arial" w:hAnsi="Arial" w:cs="Arial"/>
          <w:sz w:val="22"/>
        </w:rPr>
        <w:footnoteReference w:id="4"/>
      </w:r>
      <w:r w:rsidRPr="00C460FF">
        <w:rPr>
          <w:rFonts w:ascii="Arial" w:hAnsi="Arial" w:cs="Arial"/>
          <w:sz w:val="22"/>
        </w:rPr>
        <w:t xml:space="preserve">. De esta forma, la capacidad jurídica y las condiciones de experiencia, capacidad financiera y de </w:t>
      </w:r>
      <w:r w:rsidRPr="00C460FF">
        <w:rPr>
          <w:rFonts w:ascii="Arial" w:hAnsi="Arial" w:cs="Arial"/>
          <w:sz w:val="22"/>
        </w:rPr>
        <w:lastRenderedPageBreak/>
        <w:t xml:space="preserve">organización de los proponentes deberán ser verificadas exclusivamente a través del </w:t>
      </w:r>
      <w:r w:rsidR="00B22A38">
        <w:rPr>
          <w:rFonts w:ascii="Arial" w:hAnsi="Arial" w:cs="Arial"/>
          <w:sz w:val="22"/>
        </w:rPr>
        <w:t>RUP</w:t>
      </w:r>
      <w:r w:rsidRPr="00C460FF">
        <w:rPr>
          <w:rFonts w:ascii="Arial" w:hAnsi="Arial" w:cs="Arial"/>
          <w:sz w:val="22"/>
        </w:rPr>
        <w:t>, pues de acuerdo con lo expuesto, este documento es plena prueba de la información financiera, de experiencia y de capacidad acreditada por la persona natural o jurídica</w:t>
      </w:r>
      <w:r w:rsidRPr="00C460FF">
        <w:rPr>
          <w:rStyle w:val="Refdenotaalpie"/>
          <w:rFonts w:ascii="Arial" w:hAnsi="Arial" w:cs="Arial"/>
          <w:sz w:val="22"/>
        </w:rPr>
        <w:footnoteReference w:id="5"/>
      </w:r>
      <w:r w:rsidRPr="00C460FF">
        <w:rPr>
          <w:rFonts w:ascii="Arial" w:hAnsi="Arial" w:cs="Arial"/>
          <w:sz w:val="22"/>
        </w:rPr>
        <w:t xml:space="preserve">. </w:t>
      </w:r>
    </w:p>
    <w:p w14:paraId="62B723A5" w14:textId="58B7C3AB" w:rsidR="00265902" w:rsidRPr="00C460FF" w:rsidRDefault="00265902" w:rsidP="003361AC">
      <w:pPr>
        <w:spacing w:before="120" w:after="120" w:line="276" w:lineRule="auto"/>
        <w:ind w:firstLine="709"/>
        <w:jc w:val="both"/>
        <w:rPr>
          <w:rFonts w:ascii="Arial" w:hAnsi="Arial" w:cs="Arial"/>
          <w:sz w:val="22"/>
        </w:rPr>
      </w:pPr>
      <w:r w:rsidRPr="00C460FF">
        <w:rPr>
          <w:rFonts w:ascii="Arial" w:hAnsi="Arial" w:cs="Arial"/>
          <w:sz w:val="22"/>
        </w:rPr>
        <w:t>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C460FF">
        <w:rPr>
          <w:rStyle w:val="Refdenotaalpie"/>
          <w:rFonts w:ascii="Arial" w:hAnsi="Arial" w:cs="Arial"/>
          <w:sz w:val="22"/>
        </w:rPr>
        <w:footnoteReference w:id="6"/>
      </w:r>
      <w:r w:rsidRPr="00C460FF">
        <w:rPr>
          <w:rFonts w:ascii="Arial" w:hAnsi="Arial" w:cs="Arial"/>
          <w:sz w:val="22"/>
        </w:rPr>
        <w:t xml:space="preserve">. 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Adicionalmente, en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w:t>
      </w:r>
      <w:r w:rsidR="00BE22FA">
        <w:rPr>
          <w:rFonts w:ascii="Arial" w:hAnsi="Arial" w:cs="Arial"/>
          <w:sz w:val="22"/>
        </w:rPr>
        <w:t>mencionado registro</w:t>
      </w:r>
      <w:r w:rsidRPr="00C460FF">
        <w:rPr>
          <w:rStyle w:val="Refdenotaalpie"/>
          <w:rFonts w:ascii="Arial" w:hAnsi="Arial" w:cs="Arial"/>
          <w:sz w:val="22"/>
        </w:rPr>
        <w:footnoteReference w:id="7"/>
      </w:r>
      <w:r w:rsidRPr="00C460FF">
        <w:rPr>
          <w:rFonts w:ascii="Arial" w:hAnsi="Arial" w:cs="Arial"/>
          <w:sz w:val="22"/>
        </w:rPr>
        <w:t>.</w:t>
      </w:r>
    </w:p>
    <w:p w14:paraId="26DF6322" w14:textId="747AF641" w:rsidR="00265902" w:rsidRPr="00C460FF" w:rsidRDefault="00265902" w:rsidP="003361AC">
      <w:pPr>
        <w:spacing w:before="120" w:after="120" w:line="276" w:lineRule="auto"/>
        <w:ind w:firstLine="709"/>
        <w:jc w:val="both"/>
        <w:rPr>
          <w:rFonts w:ascii="Arial" w:hAnsi="Arial" w:cs="Arial"/>
          <w:sz w:val="22"/>
        </w:rPr>
      </w:pPr>
      <w:r w:rsidRPr="00C460FF">
        <w:rPr>
          <w:rFonts w:ascii="Arial" w:hAnsi="Arial" w:cs="Arial"/>
          <w:sz w:val="22"/>
        </w:rPr>
        <w:t xml:space="preserve">En la exposición de motivos de la Ley 1150 de 2007 se expresa la necesidad de establecer excepciones a la regla general de la exigencia del </w:t>
      </w:r>
      <w:r w:rsidR="00B26752">
        <w:rPr>
          <w:rFonts w:ascii="Arial" w:hAnsi="Arial" w:cs="Arial"/>
          <w:sz w:val="22"/>
        </w:rPr>
        <w:t xml:space="preserve">RUP </w:t>
      </w:r>
      <w:r w:rsidRPr="00C460FF">
        <w:rPr>
          <w:rFonts w:ascii="Arial" w:hAnsi="Arial" w:cs="Arial"/>
          <w:sz w:val="22"/>
        </w:rPr>
        <w:t xml:space="preserve">a las personas naturales </w:t>
      </w:r>
      <w:r w:rsidRPr="00C460FF">
        <w:rPr>
          <w:rFonts w:ascii="Arial" w:hAnsi="Arial" w:cs="Arial"/>
          <w:sz w:val="22"/>
        </w:rPr>
        <w:lastRenderedPageBreak/>
        <w:t>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C460FF">
        <w:rPr>
          <w:rStyle w:val="Refdenotaalpie"/>
          <w:rFonts w:ascii="Arial" w:hAnsi="Arial" w:cs="Arial"/>
          <w:sz w:val="22"/>
        </w:rPr>
        <w:footnoteReference w:id="8"/>
      </w:r>
      <w:r w:rsidRPr="00C460FF">
        <w:rPr>
          <w:rFonts w:ascii="Arial" w:hAnsi="Arial" w:cs="Arial"/>
          <w:sz w:val="22"/>
        </w:rPr>
        <w:t>.</w:t>
      </w:r>
    </w:p>
    <w:p w14:paraId="62EAE24C" w14:textId="77777777" w:rsidR="00265902" w:rsidRPr="00C460FF" w:rsidRDefault="00265902" w:rsidP="003361AC">
      <w:pPr>
        <w:spacing w:before="120" w:after="120" w:line="276" w:lineRule="auto"/>
        <w:ind w:firstLine="709"/>
        <w:jc w:val="both"/>
        <w:rPr>
          <w:rFonts w:ascii="Arial" w:hAnsi="Arial" w:cs="Arial"/>
          <w:sz w:val="22"/>
        </w:rPr>
      </w:pPr>
      <w:r w:rsidRPr="00C460FF">
        <w:rPr>
          <w:rFonts w:ascii="Arial" w:hAnsi="Arial" w:cs="Arial"/>
          <w:sz w:val="22"/>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C460FF">
        <w:rPr>
          <w:rStyle w:val="Refdenotaalpie"/>
          <w:rFonts w:ascii="Arial" w:hAnsi="Arial" w:cs="Arial"/>
          <w:sz w:val="22"/>
        </w:rPr>
        <w:footnoteReference w:id="9"/>
      </w:r>
      <w:r w:rsidRPr="00C460FF">
        <w:rPr>
          <w:rFonts w:ascii="Arial" w:hAnsi="Arial" w:cs="Arial"/>
          <w:sz w:val="22"/>
        </w:rPr>
        <w:t xml:space="preserve">.  </w:t>
      </w:r>
    </w:p>
    <w:p w14:paraId="67F85A5E" w14:textId="77777777" w:rsidR="00265902" w:rsidRPr="00C460FF" w:rsidRDefault="00265902" w:rsidP="003361AC">
      <w:pPr>
        <w:spacing w:before="120" w:after="120" w:line="276" w:lineRule="auto"/>
        <w:ind w:firstLine="709"/>
        <w:jc w:val="both"/>
        <w:rPr>
          <w:rFonts w:ascii="Arial" w:hAnsi="Arial" w:cs="Arial"/>
          <w:sz w:val="22"/>
        </w:rPr>
      </w:pPr>
      <w:r w:rsidRPr="00C460FF">
        <w:rPr>
          <w:rFonts w:ascii="Arial" w:hAnsi="Arial" w:cs="Arial"/>
          <w:sz w:val="22"/>
        </w:rPr>
        <w:t>Ahora bien, el inciso 1 del artículo 6 de la Ley 1150 de 2007</w:t>
      </w:r>
      <w:r w:rsidRPr="00C460FF">
        <w:rPr>
          <w:rStyle w:val="Refdenotaalpie"/>
          <w:rFonts w:ascii="Arial" w:hAnsi="Arial" w:cs="Arial"/>
          <w:sz w:val="22"/>
        </w:rPr>
        <w:footnoteReference w:id="10"/>
      </w:r>
      <w:r w:rsidRPr="00C460FF">
        <w:rPr>
          <w:rFonts w:ascii="Arial" w:hAnsi="Arial" w:cs="Arial"/>
          <w:sz w:val="22"/>
        </w:rPr>
        <w:t xml:space="preserve">,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w:t>
      </w:r>
      <w:r w:rsidRPr="00C460FF">
        <w:rPr>
          <w:rFonts w:ascii="Arial" w:hAnsi="Arial" w:cs="Arial"/>
          <w:sz w:val="22"/>
        </w:rPr>
        <w:lastRenderedPageBreak/>
        <w:t>contratos estatales y b) el procedimiento de contratación sea de aquellos en los cuales no se exceptúa el RUP, de acuerdo con el inciso 2 del artículo 6 de la Ley 1150 de 2007</w:t>
      </w:r>
      <w:r w:rsidRPr="00C460FF">
        <w:rPr>
          <w:rStyle w:val="Refdenotaalpie"/>
          <w:rFonts w:ascii="Arial" w:hAnsi="Arial" w:cs="Arial"/>
          <w:sz w:val="22"/>
        </w:rPr>
        <w:footnoteReference w:id="11"/>
      </w:r>
      <w:r w:rsidRPr="00C460FF">
        <w:rPr>
          <w:rFonts w:ascii="Arial" w:hAnsi="Arial" w:cs="Arial"/>
          <w:sz w:val="22"/>
        </w:rPr>
        <w:t xml:space="preserve">. </w:t>
      </w:r>
    </w:p>
    <w:p w14:paraId="3DAFC368" w14:textId="77777777" w:rsidR="00265902" w:rsidRPr="00C460FF" w:rsidRDefault="00265902" w:rsidP="00265902">
      <w:pPr>
        <w:spacing w:before="120" w:line="276" w:lineRule="auto"/>
        <w:ind w:firstLine="708"/>
        <w:jc w:val="both"/>
        <w:rPr>
          <w:rFonts w:ascii="Arial" w:hAnsi="Arial" w:cs="Arial"/>
          <w:sz w:val="22"/>
        </w:rPr>
      </w:pPr>
      <w:r w:rsidRPr="00C460FF">
        <w:rPr>
          <w:rFonts w:ascii="Arial" w:hAnsi="Arial" w:cs="Arial"/>
          <w:sz w:val="22"/>
        </w:rPr>
        <w:t>En el mismo sentido, el Decreto 1082 de 2015</w:t>
      </w:r>
      <w:r w:rsidRPr="00C460FF">
        <w:rPr>
          <w:rStyle w:val="Refdenotaalpie"/>
          <w:rFonts w:ascii="Arial" w:hAnsi="Arial" w:cs="Arial"/>
          <w:sz w:val="22"/>
        </w:rPr>
        <w:footnoteReference w:id="12"/>
      </w:r>
      <w:r w:rsidRPr="00C460FF">
        <w:rPr>
          <w:rFonts w:ascii="Arial" w:hAnsi="Arial" w:cs="Arial"/>
          <w:sz w:val="22"/>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C460FF">
        <w:rPr>
          <w:rStyle w:val="Refdenotaalpie"/>
          <w:rFonts w:ascii="Arial" w:hAnsi="Arial" w:cs="Arial"/>
          <w:sz w:val="22"/>
        </w:rPr>
        <w:footnoteReference w:id="13"/>
      </w:r>
      <w:r w:rsidRPr="00C460FF">
        <w:rPr>
          <w:rFonts w:ascii="Arial" w:hAnsi="Arial" w:cs="Arial"/>
          <w:sz w:val="22"/>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39FF569C" w14:textId="77777777" w:rsidR="00265902" w:rsidRPr="00B60E3B" w:rsidRDefault="00265902" w:rsidP="00B60E3B">
      <w:pPr>
        <w:tabs>
          <w:tab w:val="left" w:pos="426"/>
        </w:tabs>
        <w:spacing w:line="276" w:lineRule="auto"/>
        <w:contextualSpacing/>
        <w:jc w:val="both"/>
        <w:rPr>
          <w:rFonts w:ascii="Arial" w:eastAsia="Calibri" w:hAnsi="Arial" w:cs="Arial"/>
          <w:b/>
          <w:sz w:val="22"/>
          <w:szCs w:val="22"/>
          <w:lang w:val="es-ES"/>
        </w:rPr>
      </w:pPr>
    </w:p>
    <w:p w14:paraId="45AEF03A" w14:textId="77777777" w:rsidR="000071E1" w:rsidRPr="00B60E3B" w:rsidRDefault="000071E1" w:rsidP="00B60E3B">
      <w:pPr>
        <w:tabs>
          <w:tab w:val="left" w:pos="426"/>
          <w:tab w:val="left" w:pos="851"/>
        </w:tabs>
        <w:spacing w:line="276" w:lineRule="auto"/>
        <w:contextualSpacing/>
        <w:jc w:val="both"/>
        <w:rPr>
          <w:rFonts w:ascii="Arial" w:hAnsi="Arial" w:cs="Arial"/>
          <w:b/>
          <w:bCs/>
          <w:sz w:val="22"/>
          <w:szCs w:val="22"/>
          <w:lang w:val="es-ES"/>
        </w:rPr>
      </w:pPr>
      <w:r w:rsidRPr="00B60E3B">
        <w:rPr>
          <w:rFonts w:ascii="Arial" w:eastAsia="Calibri" w:hAnsi="Arial" w:cs="Arial"/>
          <w:b/>
          <w:sz w:val="22"/>
          <w:szCs w:val="22"/>
        </w:rPr>
        <w:t xml:space="preserve">2.2. </w:t>
      </w:r>
      <w:r w:rsidRPr="00B60E3B">
        <w:rPr>
          <w:rFonts w:ascii="Arial" w:hAnsi="Arial" w:cs="Arial"/>
          <w:b/>
          <w:bCs/>
          <w:sz w:val="22"/>
          <w:szCs w:val="22"/>
          <w:lang w:val="es-ES"/>
        </w:rPr>
        <w:t>Requisitos habilitantes como criterios obligatorios para participar en los procedimientos de selección: especial referencia a la capacidad financiera y organizacional</w:t>
      </w:r>
    </w:p>
    <w:p w14:paraId="6342BC2E" w14:textId="77777777" w:rsidR="000071E1" w:rsidRPr="00B60E3B" w:rsidRDefault="000071E1" w:rsidP="00B60E3B">
      <w:pPr>
        <w:tabs>
          <w:tab w:val="left" w:pos="426"/>
        </w:tabs>
        <w:spacing w:line="276" w:lineRule="auto"/>
        <w:contextualSpacing/>
        <w:jc w:val="both"/>
        <w:rPr>
          <w:rFonts w:ascii="Arial" w:eastAsia="Calibri" w:hAnsi="Arial" w:cs="Arial"/>
          <w:b/>
          <w:sz w:val="22"/>
          <w:szCs w:val="22"/>
        </w:rPr>
      </w:pPr>
    </w:p>
    <w:p w14:paraId="123A2C1F" w14:textId="77777777" w:rsidR="000071E1" w:rsidRPr="00B60E3B" w:rsidRDefault="000071E1" w:rsidP="00B60E3B">
      <w:pPr>
        <w:spacing w:after="120" w:line="276" w:lineRule="auto"/>
        <w:jc w:val="both"/>
        <w:rPr>
          <w:rFonts w:ascii="Arial" w:eastAsia="Calibri" w:hAnsi="Arial" w:cs="Arial"/>
          <w:sz w:val="22"/>
          <w:szCs w:val="22"/>
        </w:rPr>
      </w:pPr>
      <w:r w:rsidRPr="00B60E3B">
        <w:rPr>
          <w:rFonts w:ascii="Arial" w:eastAsia="Calibri" w:hAnsi="Arial" w:cs="Arial"/>
          <w:sz w:val="22"/>
          <w:szCs w:val="22"/>
        </w:rPr>
        <w:t xml:space="preserve">Los </w:t>
      </w:r>
      <w:r w:rsidRPr="00B60E3B">
        <w:rPr>
          <w:rFonts w:ascii="Arial" w:eastAsia="Calibri" w:hAnsi="Arial" w:cs="Arial"/>
          <w:i/>
          <w:iCs/>
          <w:sz w:val="22"/>
          <w:szCs w:val="22"/>
        </w:rPr>
        <w:t>requisitos habilitantes</w:t>
      </w:r>
      <w:r w:rsidRPr="00B60E3B">
        <w:rPr>
          <w:rFonts w:ascii="Arial" w:eastAsia="Calibri" w:hAnsi="Arial" w:cs="Arial"/>
          <w:sz w:val="22"/>
          <w:szCs w:val="22"/>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B60E3B">
        <w:rPr>
          <w:rFonts w:ascii="Arial" w:eastAsia="Calibri" w:hAnsi="Arial" w:cs="Arial"/>
          <w:i/>
          <w:iCs/>
          <w:sz w:val="22"/>
          <w:szCs w:val="22"/>
        </w:rPr>
        <w:t>criterios de evaluación</w:t>
      </w:r>
      <w:r w:rsidRPr="00B60E3B">
        <w:rPr>
          <w:rFonts w:ascii="Arial" w:eastAsia="Calibri" w:hAnsi="Arial" w:cs="Arial"/>
          <w:sz w:val="22"/>
          <w:szCs w:val="22"/>
        </w:rPr>
        <w:t xml:space="preserve"> –también conocidos como </w:t>
      </w:r>
      <w:r w:rsidRPr="00B60E3B">
        <w:rPr>
          <w:rFonts w:ascii="Arial" w:eastAsia="Calibri" w:hAnsi="Arial" w:cs="Arial"/>
          <w:i/>
          <w:iCs/>
          <w:sz w:val="22"/>
          <w:szCs w:val="22"/>
        </w:rPr>
        <w:t>criterios de calificación</w:t>
      </w:r>
      <w:r w:rsidRPr="00B60E3B">
        <w:rPr>
          <w:rFonts w:ascii="Arial" w:eastAsia="Calibri" w:hAnsi="Arial" w:cs="Arial"/>
          <w:sz w:val="22"/>
          <w:szCs w:val="22"/>
        </w:rPr>
        <w:t xml:space="preserve">– en que estos son los factores definidos por la entidad estatal para la asignación de puntaje </w:t>
      </w:r>
      <w:r w:rsidRPr="00B60E3B">
        <w:rPr>
          <w:rFonts w:ascii="Arial" w:eastAsia="Calibri" w:hAnsi="Arial" w:cs="Arial"/>
          <w:sz w:val="22"/>
          <w:szCs w:val="22"/>
        </w:rPr>
        <w:lastRenderedPageBreak/>
        <w:t xml:space="preserve">en el momento de la comparación de las ofertas, y que, a partir de su ponderación, permiten establecer el orden de elegibilidad y, por ende, la propuesta ganadora. </w:t>
      </w:r>
    </w:p>
    <w:p w14:paraId="5CBB5AF5" w14:textId="77777777" w:rsidR="000071E1" w:rsidRPr="00B60E3B" w:rsidRDefault="000071E1" w:rsidP="00B60E3B">
      <w:pPr>
        <w:spacing w:after="120" w:line="276" w:lineRule="auto"/>
        <w:ind w:firstLine="708"/>
        <w:jc w:val="both"/>
        <w:rPr>
          <w:rFonts w:ascii="Arial" w:eastAsia="Calibri" w:hAnsi="Arial" w:cs="Arial"/>
          <w:sz w:val="22"/>
          <w:szCs w:val="22"/>
        </w:rPr>
      </w:pPr>
      <w:r w:rsidRPr="00B60E3B">
        <w:rPr>
          <w:rFonts w:ascii="Arial" w:eastAsia="Calibri" w:hAnsi="Arial" w:cs="Arial"/>
          <w:sz w:val="22"/>
          <w:szCs w:val="22"/>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1A9D3D9A" w14:textId="77777777" w:rsidR="000071E1" w:rsidRPr="00B60E3B" w:rsidRDefault="000071E1" w:rsidP="00B60E3B">
      <w:pPr>
        <w:spacing w:line="276" w:lineRule="auto"/>
        <w:ind w:firstLine="708"/>
        <w:jc w:val="both"/>
        <w:rPr>
          <w:rFonts w:ascii="Arial" w:eastAsia="Calibri" w:hAnsi="Arial" w:cs="Arial"/>
          <w:sz w:val="22"/>
          <w:szCs w:val="22"/>
        </w:rPr>
      </w:pPr>
      <w:r w:rsidRPr="00B60E3B">
        <w:rPr>
          <w:rFonts w:ascii="Arial" w:eastAsia="Calibri" w:hAnsi="Arial" w:cs="Arial"/>
          <w:sz w:val="22"/>
          <w:szCs w:val="22"/>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B60E3B">
        <w:rPr>
          <w:rFonts w:ascii="Arial" w:eastAsia="Calibri" w:hAnsi="Arial" w:cs="Arial"/>
          <w:i/>
          <w:iCs/>
          <w:sz w:val="22"/>
          <w:szCs w:val="22"/>
        </w:rPr>
        <w:t>entre otros</w:t>
      </w:r>
      <w:r w:rsidRPr="00B60E3B">
        <w:rPr>
          <w:rFonts w:ascii="Arial" w:eastAsia="Calibri" w:hAnsi="Arial" w:cs="Arial"/>
          <w:sz w:val="22"/>
          <w:szCs w:val="22"/>
        </w:rPr>
        <w:t xml:space="preserve">, los siguientes: i) la capacidad jurídica; </w:t>
      </w:r>
      <w:proofErr w:type="spellStart"/>
      <w:r w:rsidRPr="00B60E3B">
        <w:rPr>
          <w:rFonts w:ascii="Arial" w:eastAsia="Calibri" w:hAnsi="Arial" w:cs="Arial"/>
          <w:sz w:val="22"/>
          <w:szCs w:val="22"/>
        </w:rPr>
        <w:t>ii</w:t>
      </w:r>
      <w:proofErr w:type="spellEnd"/>
      <w:r w:rsidRPr="00B60E3B">
        <w:rPr>
          <w:rFonts w:ascii="Arial" w:eastAsia="Calibri" w:hAnsi="Arial" w:cs="Arial"/>
          <w:sz w:val="22"/>
          <w:szCs w:val="22"/>
        </w:rPr>
        <w:t xml:space="preserve">) la experiencia; </w:t>
      </w:r>
      <w:proofErr w:type="spellStart"/>
      <w:r w:rsidRPr="00B60E3B">
        <w:rPr>
          <w:rFonts w:ascii="Arial" w:eastAsia="Calibri" w:hAnsi="Arial" w:cs="Arial"/>
          <w:sz w:val="22"/>
          <w:szCs w:val="22"/>
        </w:rPr>
        <w:t>iii</w:t>
      </w:r>
      <w:proofErr w:type="spellEnd"/>
      <w:r w:rsidRPr="00B60E3B">
        <w:rPr>
          <w:rFonts w:ascii="Arial" w:eastAsia="Calibri" w:hAnsi="Arial" w:cs="Arial"/>
          <w:sz w:val="22"/>
          <w:szCs w:val="22"/>
        </w:rPr>
        <w:t xml:space="preserve">) la capacidad financiera y </w:t>
      </w:r>
      <w:proofErr w:type="spellStart"/>
      <w:r w:rsidRPr="00B60E3B">
        <w:rPr>
          <w:rFonts w:ascii="Arial" w:eastAsia="Calibri" w:hAnsi="Arial" w:cs="Arial"/>
          <w:sz w:val="22"/>
          <w:szCs w:val="22"/>
        </w:rPr>
        <w:t>iv</w:t>
      </w:r>
      <w:proofErr w:type="spellEnd"/>
      <w:r w:rsidRPr="00B60E3B">
        <w:rPr>
          <w:rFonts w:ascii="Arial" w:eastAsia="Calibri" w:hAnsi="Arial" w:cs="Arial"/>
          <w:sz w:val="22"/>
          <w:szCs w:val="22"/>
        </w:rPr>
        <w:t xml:space="preserve">) la capacidad de organización. En efecto, la normativa citada prescribe lo siguiente: </w:t>
      </w:r>
    </w:p>
    <w:p w14:paraId="1D50F332" w14:textId="77777777" w:rsidR="000071E1" w:rsidRPr="00B60E3B" w:rsidRDefault="000071E1" w:rsidP="00B60E3B">
      <w:pPr>
        <w:spacing w:line="276" w:lineRule="auto"/>
        <w:contextualSpacing/>
        <w:jc w:val="both"/>
        <w:rPr>
          <w:rFonts w:ascii="Arial" w:eastAsia="Calibri" w:hAnsi="Arial" w:cs="Arial"/>
          <w:sz w:val="22"/>
          <w:szCs w:val="22"/>
        </w:rPr>
      </w:pPr>
    </w:p>
    <w:p w14:paraId="458E8C1F" w14:textId="7F45519C" w:rsidR="000071E1" w:rsidRDefault="000071E1" w:rsidP="00B60E3B">
      <w:pPr>
        <w:ind w:left="709" w:right="709"/>
        <w:contextualSpacing/>
        <w:jc w:val="both"/>
        <w:rPr>
          <w:rFonts w:ascii="Arial" w:eastAsia="Calibri" w:hAnsi="Arial" w:cs="Arial"/>
          <w:sz w:val="21"/>
          <w:szCs w:val="21"/>
        </w:rPr>
      </w:pPr>
      <w:r w:rsidRPr="00C460FF">
        <w:rPr>
          <w:rFonts w:ascii="Arial" w:eastAsia="Calibri" w:hAnsi="Arial" w:cs="Arial"/>
          <w:sz w:val="21"/>
          <w:szCs w:val="21"/>
        </w:rPr>
        <w:t xml:space="preserve">Artículo 5. De la Selección Objetiva. </w:t>
      </w:r>
    </w:p>
    <w:p w14:paraId="2158C7A8" w14:textId="77777777" w:rsidR="00B60E3B" w:rsidRPr="00C460FF" w:rsidRDefault="00B60E3B" w:rsidP="00B60E3B">
      <w:pPr>
        <w:ind w:left="709" w:right="709"/>
        <w:contextualSpacing/>
        <w:jc w:val="both"/>
        <w:rPr>
          <w:rFonts w:ascii="Arial" w:eastAsia="Calibri" w:hAnsi="Arial" w:cs="Arial"/>
          <w:sz w:val="21"/>
          <w:szCs w:val="21"/>
        </w:rPr>
      </w:pPr>
    </w:p>
    <w:p w14:paraId="08A25BA1" w14:textId="77777777" w:rsidR="000071E1" w:rsidRPr="00C460FF" w:rsidRDefault="000071E1" w:rsidP="00B60E3B">
      <w:pPr>
        <w:ind w:left="709" w:right="709"/>
        <w:contextualSpacing/>
        <w:jc w:val="both"/>
        <w:rPr>
          <w:rFonts w:ascii="Arial" w:eastAsia="Calibri" w:hAnsi="Arial" w:cs="Arial"/>
          <w:sz w:val="21"/>
          <w:szCs w:val="21"/>
        </w:rPr>
      </w:pPr>
      <w:r w:rsidRPr="00C460FF">
        <w:rPr>
          <w:rFonts w:ascii="Arial" w:eastAsia="Calibri" w:hAnsi="Arial" w:cs="Arial"/>
          <w:sz w:val="21"/>
          <w:szCs w:val="21"/>
        </w:rPr>
        <w:t>[…]</w:t>
      </w:r>
    </w:p>
    <w:p w14:paraId="4DD83CD3" w14:textId="77777777" w:rsidR="00B60E3B" w:rsidRDefault="00B60E3B" w:rsidP="00B60E3B">
      <w:pPr>
        <w:pStyle w:val="Prrafodelista"/>
        <w:ind w:left="709" w:right="709"/>
        <w:jc w:val="both"/>
        <w:rPr>
          <w:rFonts w:ascii="Arial" w:eastAsia="Calibri" w:hAnsi="Arial" w:cs="Arial"/>
          <w:sz w:val="21"/>
          <w:szCs w:val="21"/>
          <w:lang w:val="es-ES_tradnl"/>
        </w:rPr>
      </w:pPr>
    </w:p>
    <w:p w14:paraId="57A1E536" w14:textId="65F046C7" w:rsidR="000071E1" w:rsidRPr="00C460FF" w:rsidRDefault="000071E1" w:rsidP="00B60E3B">
      <w:pPr>
        <w:pStyle w:val="Prrafodelista"/>
        <w:ind w:left="709" w:right="709"/>
        <w:jc w:val="both"/>
        <w:rPr>
          <w:rFonts w:ascii="Arial" w:eastAsia="Calibri" w:hAnsi="Arial" w:cs="Arial"/>
          <w:sz w:val="21"/>
          <w:szCs w:val="21"/>
          <w:lang w:val="es-ES_tradnl"/>
        </w:rPr>
      </w:pPr>
      <w:r w:rsidRPr="00C460FF">
        <w:rPr>
          <w:rFonts w:ascii="Arial" w:eastAsia="Calibri" w:hAnsi="Arial" w:cs="Arial"/>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8E32B85" w14:textId="77777777" w:rsidR="000071E1" w:rsidRPr="00C460FF" w:rsidRDefault="000071E1" w:rsidP="00B60E3B">
      <w:pPr>
        <w:spacing w:line="276" w:lineRule="auto"/>
        <w:ind w:right="709"/>
        <w:contextualSpacing/>
        <w:jc w:val="both"/>
        <w:rPr>
          <w:rFonts w:ascii="Arial" w:eastAsia="Calibri" w:hAnsi="Arial" w:cs="Arial"/>
          <w:sz w:val="22"/>
        </w:rPr>
      </w:pPr>
    </w:p>
    <w:p w14:paraId="3E098487" w14:textId="40737455" w:rsidR="000071E1" w:rsidRPr="00C460FF" w:rsidRDefault="000071E1" w:rsidP="00B60E3B">
      <w:pPr>
        <w:spacing w:after="120" w:line="276" w:lineRule="auto"/>
        <w:ind w:firstLine="708"/>
        <w:jc w:val="both"/>
        <w:rPr>
          <w:rFonts w:ascii="Arial" w:hAnsi="Arial" w:cs="Arial"/>
          <w:b/>
          <w:bCs/>
          <w:sz w:val="22"/>
          <w:bdr w:val="none" w:sz="0" w:space="0" w:color="auto" w:frame="1"/>
          <w:lang w:val="es-CO" w:eastAsia="es-MX"/>
        </w:rPr>
      </w:pPr>
      <w:r w:rsidRPr="00C460FF">
        <w:rPr>
          <w:rFonts w:ascii="Arial" w:hAnsi="Arial" w:cs="Arial"/>
          <w:sz w:val="22"/>
        </w:rPr>
        <w:t xml:space="preserve">Una vez fijados los requisitos habilitantes por la entidad estatal, quienes presenten ofertas deben </w:t>
      </w:r>
      <w:r w:rsidRPr="00C460FF">
        <w:rPr>
          <w:rFonts w:ascii="Arial" w:hAnsi="Arial" w:cs="Arial"/>
          <w:bCs/>
          <w:i/>
          <w:iCs/>
          <w:sz w:val="22"/>
        </w:rPr>
        <w:t>acreditar</w:t>
      </w:r>
      <w:r w:rsidRPr="00C460FF">
        <w:rPr>
          <w:rFonts w:ascii="Arial" w:hAnsi="Arial" w:cs="Arial"/>
          <w:sz w:val="22"/>
        </w:rPr>
        <w:t xml:space="preserve"> que cumplen con los mismos, so pena de rechazo. </w:t>
      </w:r>
      <w:r w:rsidRPr="00C460FF">
        <w:rPr>
          <w:rFonts w:ascii="Arial" w:eastAsia="Calibri" w:hAnsi="Arial" w:cs="Arial"/>
          <w:sz w:val="22"/>
        </w:rPr>
        <w:t>El ente encargado de verificar el cumplimiento por parte de los proponentes sobre los requisitos que haya considerado la entidad como habilitantes será la Cámara de Comercio, esto en la medida en que, mediante el</w:t>
      </w:r>
      <w:r w:rsidR="0078433F">
        <w:rPr>
          <w:rFonts w:ascii="Arial" w:eastAsia="Calibri" w:hAnsi="Arial" w:cs="Arial"/>
          <w:sz w:val="22"/>
        </w:rPr>
        <w:t xml:space="preserve"> </w:t>
      </w:r>
      <w:r w:rsidRPr="00C460FF">
        <w:rPr>
          <w:rFonts w:ascii="Arial" w:eastAsia="Calibri" w:hAnsi="Arial" w:cs="Arial"/>
          <w:sz w:val="22"/>
        </w:rPr>
        <w:t xml:space="preserve">RUP, se pondrá de presente toda la información relacionada </w:t>
      </w:r>
      <w:r w:rsidRPr="00C460FF">
        <w:rPr>
          <w:rFonts w:ascii="Arial" w:eastAsia="Calibri" w:hAnsi="Arial" w:cs="Arial"/>
          <w:sz w:val="22"/>
        </w:rPr>
        <w:lastRenderedPageBreak/>
        <w:t>con la experiencia, capacidad jurídica, capacidad financiera y organizacional, así como la clasificación del proponente</w:t>
      </w:r>
      <w:r w:rsidRPr="00C460FF">
        <w:rPr>
          <w:rStyle w:val="Refdenotaalpie"/>
          <w:rFonts w:ascii="Arial" w:eastAsia="Calibri" w:hAnsi="Arial" w:cs="Arial"/>
          <w:sz w:val="22"/>
        </w:rPr>
        <w:footnoteReference w:id="14"/>
      </w:r>
      <w:r w:rsidRPr="00C460FF">
        <w:rPr>
          <w:rFonts w:ascii="Arial" w:eastAsia="Calibri" w:hAnsi="Arial" w:cs="Arial"/>
          <w:sz w:val="22"/>
        </w:rPr>
        <w:t>. De la misma manera es pertinente mencionar que existen determinados procesos donde se excepciona el mencionado registro y la clasificación del proponente, siendo estos los siguientes: contratación directa, contratos para la prestación de servicios de salud, contratos de mínima cuantía, entre otros, conforme al artículo 6 de la Ley 1150 de 2007</w:t>
      </w:r>
      <w:r w:rsidRPr="00C460FF">
        <w:rPr>
          <w:rStyle w:val="Refdenotaalpie"/>
          <w:rFonts w:ascii="Arial" w:eastAsia="Calibri" w:hAnsi="Arial" w:cs="Arial"/>
          <w:sz w:val="22"/>
        </w:rPr>
        <w:footnoteReference w:id="15"/>
      </w:r>
      <w:r w:rsidRPr="00C460FF">
        <w:rPr>
          <w:rFonts w:ascii="Arial" w:eastAsia="Calibri" w:hAnsi="Arial" w:cs="Arial"/>
          <w:sz w:val="22"/>
        </w:rPr>
        <w:t xml:space="preserve">. </w:t>
      </w:r>
    </w:p>
    <w:p w14:paraId="0E2E0896" w14:textId="77777777" w:rsidR="000071E1" w:rsidRPr="00C460FF" w:rsidRDefault="000071E1" w:rsidP="00B60E3B">
      <w:pPr>
        <w:spacing w:before="120" w:after="120" w:line="276" w:lineRule="auto"/>
        <w:ind w:firstLine="567"/>
        <w:jc w:val="both"/>
        <w:rPr>
          <w:rFonts w:ascii="Arial" w:eastAsia="Calibri" w:hAnsi="Arial" w:cs="Arial"/>
          <w:sz w:val="22"/>
          <w:highlight w:val="yellow"/>
        </w:rPr>
      </w:pPr>
      <w:r w:rsidRPr="00C460FF">
        <w:rPr>
          <w:rFonts w:ascii="Arial" w:eastAsia="Calibri" w:hAnsi="Arial" w:cs="Arial"/>
          <w:sz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C460FF">
        <w:rPr>
          <w:rFonts w:ascii="Arial" w:eastAsia="Calibri" w:hAnsi="Arial" w:cs="Arial"/>
          <w:sz w:val="22"/>
          <w:vertAlign w:val="superscript"/>
        </w:rPr>
        <w:footnoteReference w:id="16"/>
      </w:r>
      <w:r w:rsidRPr="00C460FF">
        <w:rPr>
          <w:rFonts w:ascii="Arial" w:eastAsia="Calibri" w:hAnsi="Arial" w:cs="Arial"/>
          <w:sz w:val="22"/>
        </w:rPr>
        <w:t>.</w:t>
      </w:r>
    </w:p>
    <w:p w14:paraId="170C184B" w14:textId="77777777" w:rsidR="000071E1" w:rsidRPr="00C460FF" w:rsidRDefault="000071E1" w:rsidP="00B60E3B">
      <w:pPr>
        <w:spacing w:before="120" w:after="120" w:line="276" w:lineRule="auto"/>
        <w:ind w:firstLine="708"/>
        <w:jc w:val="both"/>
        <w:rPr>
          <w:rFonts w:ascii="Arial" w:eastAsia="Calibri" w:hAnsi="Arial" w:cs="Arial"/>
          <w:sz w:val="22"/>
        </w:rPr>
      </w:pPr>
      <w:r w:rsidRPr="00C460FF">
        <w:rPr>
          <w:rFonts w:ascii="Arial" w:eastAsia="Calibri" w:hAnsi="Arial" w:cs="Arial"/>
          <w:sz w:val="22"/>
        </w:rPr>
        <w:lastRenderedPageBreak/>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C460FF">
        <w:rPr>
          <w:rFonts w:ascii="Arial" w:eastAsia="Calibri" w:hAnsi="Arial" w:cs="Arial"/>
          <w:sz w:val="22"/>
          <w:vertAlign w:val="superscript"/>
        </w:rPr>
        <w:footnoteReference w:id="17"/>
      </w:r>
      <w:r w:rsidRPr="00C460FF">
        <w:rPr>
          <w:rFonts w:ascii="Arial" w:eastAsia="Calibri" w:hAnsi="Arial" w:cs="Arial"/>
          <w:sz w:val="22"/>
        </w:rPr>
        <w:t>.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C460FF">
        <w:rPr>
          <w:rFonts w:ascii="Arial" w:eastAsia="Calibri" w:hAnsi="Arial" w:cs="Arial"/>
          <w:sz w:val="22"/>
          <w:vertAlign w:val="superscript"/>
        </w:rPr>
        <w:footnoteReference w:id="18"/>
      </w:r>
      <w:r w:rsidRPr="00C460FF">
        <w:rPr>
          <w:rFonts w:ascii="Arial" w:eastAsia="Calibri" w:hAnsi="Arial" w:cs="Arial"/>
          <w:sz w:val="22"/>
        </w:rPr>
        <w:t xml:space="preserve">. </w:t>
      </w:r>
    </w:p>
    <w:p w14:paraId="460CB8C2" w14:textId="77777777" w:rsidR="000071E1" w:rsidRPr="00C460FF" w:rsidRDefault="000071E1" w:rsidP="00B60E3B">
      <w:pPr>
        <w:spacing w:before="120" w:after="120" w:line="276" w:lineRule="auto"/>
        <w:ind w:firstLine="709"/>
        <w:jc w:val="both"/>
        <w:rPr>
          <w:rFonts w:ascii="Arial" w:eastAsia="Calibri" w:hAnsi="Arial" w:cs="Arial"/>
          <w:sz w:val="22"/>
        </w:rPr>
      </w:pPr>
      <w:r w:rsidRPr="00C460FF">
        <w:rPr>
          <w:rFonts w:ascii="Arial" w:eastAsia="Calibri" w:hAnsi="Arial" w:cs="Arial"/>
          <w:sz w:val="22"/>
        </w:rPr>
        <w:t>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del artículo 2.2.1.1.1.5.3 del Decreto 1082 de 2015.</w:t>
      </w:r>
    </w:p>
    <w:p w14:paraId="7118B733" w14:textId="77777777" w:rsidR="000071E1" w:rsidRPr="00C460FF" w:rsidRDefault="000071E1" w:rsidP="00B60E3B">
      <w:pPr>
        <w:spacing w:before="120" w:after="120" w:line="276" w:lineRule="auto"/>
        <w:ind w:firstLine="708"/>
        <w:jc w:val="both"/>
        <w:rPr>
          <w:rFonts w:ascii="Arial" w:eastAsia="Calibri" w:hAnsi="Arial" w:cs="Arial"/>
          <w:sz w:val="22"/>
        </w:rPr>
      </w:pPr>
      <w:r w:rsidRPr="00C460FF">
        <w:rPr>
          <w:rFonts w:ascii="Arial" w:eastAsia="Calibri" w:hAnsi="Arial" w:cs="Arial"/>
          <w:sz w:val="22"/>
        </w:rPr>
        <w:t>La Agencia Nacional de Contratación Pública – Colombia Compra Eficiente puso a disposición de los interesados el «Manual para determinar y verificar los requisitos habilitantes en los procesos de contratación». En dicho Manual se plantean definiciones para cada requisito habilitante y se indican lineamientos orientadores que las entidades pueden considerar para establecerlos, en este caso, para exigir la capacidad financiera y la capacidad organizacional.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5C391FBA" w14:textId="77777777" w:rsidR="000071E1" w:rsidRPr="00C460FF" w:rsidRDefault="000071E1" w:rsidP="00B60E3B">
      <w:pPr>
        <w:spacing w:before="120" w:after="120" w:line="276" w:lineRule="auto"/>
        <w:ind w:firstLine="709"/>
        <w:jc w:val="both"/>
        <w:rPr>
          <w:rFonts w:ascii="Arial" w:eastAsia="Calibri" w:hAnsi="Arial" w:cs="Arial"/>
          <w:sz w:val="22"/>
        </w:rPr>
      </w:pPr>
      <w:r w:rsidRPr="00C460FF">
        <w:rPr>
          <w:rFonts w:ascii="Arial" w:eastAsia="Calibri" w:hAnsi="Arial" w:cs="Arial"/>
          <w:sz w:val="22"/>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w:t>
      </w:r>
      <w:r w:rsidRPr="00C460FF">
        <w:rPr>
          <w:rFonts w:ascii="Arial" w:eastAsia="Calibri" w:hAnsi="Arial" w:cs="Arial"/>
          <w:sz w:val="22"/>
        </w:rPr>
        <w:lastRenderedPageBreak/>
        <w:t xml:space="preserve">financieras, pues deben conocer cada indicador, sus fórmulas de cálculo y su interpretación. Según el artículo 2.2.1.1.1.5.3. del Decreto 1082 de 2015, son indicadores de la capacidad financiera los siguientes: i) el </w:t>
      </w:r>
      <w:r w:rsidRPr="00C460FF">
        <w:rPr>
          <w:rFonts w:ascii="Arial" w:eastAsia="Calibri" w:hAnsi="Arial" w:cs="Arial"/>
          <w:i/>
          <w:iCs/>
          <w:sz w:val="22"/>
        </w:rPr>
        <w:t>índice de liquidez</w:t>
      </w:r>
      <w:r w:rsidRPr="00C460FF">
        <w:rPr>
          <w:rFonts w:ascii="Arial" w:eastAsia="Calibri" w:hAnsi="Arial" w:cs="Arial"/>
          <w:sz w:val="22"/>
        </w:rPr>
        <w:t xml:space="preserve">, que corresponde a la división entre el activo corriente y el pasivo corriente, y que determina la capacidad que tiene el proponente para cumplir con sus obligaciones de corto plazo; </w:t>
      </w:r>
      <w:proofErr w:type="spellStart"/>
      <w:r w:rsidRPr="00C460FF">
        <w:rPr>
          <w:rFonts w:ascii="Arial" w:eastAsia="Calibri" w:hAnsi="Arial" w:cs="Arial"/>
          <w:sz w:val="22"/>
        </w:rPr>
        <w:t>ii</w:t>
      </w:r>
      <w:proofErr w:type="spellEnd"/>
      <w:r w:rsidRPr="00C460FF">
        <w:rPr>
          <w:rFonts w:ascii="Arial" w:eastAsia="Calibri" w:hAnsi="Arial" w:cs="Arial"/>
          <w:sz w:val="22"/>
        </w:rPr>
        <w:t xml:space="preserve">) el </w:t>
      </w:r>
      <w:r w:rsidRPr="00C460FF">
        <w:rPr>
          <w:rFonts w:ascii="Arial" w:eastAsia="Calibri" w:hAnsi="Arial" w:cs="Arial"/>
          <w:i/>
          <w:iCs/>
          <w:sz w:val="22"/>
        </w:rPr>
        <w:t>índice de endeudamiento</w:t>
      </w:r>
      <w:r w:rsidRPr="00C460FF">
        <w:rPr>
          <w:rFonts w:ascii="Arial" w:eastAsia="Calibri" w:hAnsi="Arial" w:cs="Arial"/>
          <w:sz w:val="22"/>
        </w:rPr>
        <w:t xml:space="preserve">, que se calcula dividiendo el pasivo total por el activo total, el cual determina el grado de endeudamiento en la estructura de financiación del proponente; y </w:t>
      </w:r>
      <w:proofErr w:type="spellStart"/>
      <w:r w:rsidRPr="00C460FF">
        <w:rPr>
          <w:rFonts w:ascii="Arial" w:eastAsia="Calibri" w:hAnsi="Arial" w:cs="Arial"/>
          <w:sz w:val="22"/>
        </w:rPr>
        <w:t>iii</w:t>
      </w:r>
      <w:proofErr w:type="spellEnd"/>
      <w:r w:rsidRPr="00C460FF">
        <w:rPr>
          <w:rFonts w:ascii="Arial" w:eastAsia="Calibri" w:hAnsi="Arial" w:cs="Arial"/>
          <w:sz w:val="22"/>
        </w:rPr>
        <w:t xml:space="preserve">) la </w:t>
      </w:r>
      <w:r w:rsidRPr="00C460FF">
        <w:rPr>
          <w:rFonts w:ascii="Arial" w:eastAsia="Calibri" w:hAnsi="Arial" w:cs="Arial"/>
          <w:i/>
          <w:iCs/>
          <w:sz w:val="22"/>
        </w:rPr>
        <w:t>razón de cobertura de intereses</w:t>
      </w:r>
      <w:r w:rsidRPr="00C460FF">
        <w:rPr>
          <w:rFonts w:ascii="Arial" w:eastAsia="Calibri" w:hAnsi="Arial" w:cs="Arial"/>
          <w:sz w:val="22"/>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C460FF">
        <w:rPr>
          <w:rFonts w:ascii="Arial" w:eastAsia="Calibri" w:hAnsi="Arial" w:cs="Arial"/>
          <w:i/>
          <w:iCs/>
          <w:sz w:val="22"/>
        </w:rPr>
        <w:t>capital de trabajo</w:t>
      </w:r>
      <w:r w:rsidRPr="00C460FF">
        <w:rPr>
          <w:rFonts w:ascii="Arial" w:eastAsia="Calibri" w:hAnsi="Arial" w:cs="Arial"/>
          <w:sz w:val="22"/>
        </w:rPr>
        <w:t xml:space="preserve">, la </w:t>
      </w:r>
      <w:r w:rsidRPr="00C460FF">
        <w:rPr>
          <w:rFonts w:ascii="Arial" w:eastAsia="Calibri" w:hAnsi="Arial" w:cs="Arial"/>
          <w:i/>
          <w:iCs/>
          <w:sz w:val="22"/>
        </w:rPr>
        <w:t>razón de efectivo</w:t>
      </w:r>
      <w:r w:rsidRPr="00C460FF">
        <w:rPr>
          <w:rFonts w:ascii="Arial" w:eastAsia="Calibri" w:hAnsi="Arial" w:cs="Arial"/>
          <w:sz w:val="22"/>
        </w:rPr>
        <w:t xml:space="preserve">, la denominada </w:t>
      </w:r>
      <w:r w:rsidRPr="00C460FF">
        <w:rPr>
          <w:rFonts w:ascii="Arial" w:eastAsia="Calibri" w:hAnsi="Arial" w:cs="Arial"/>
          <w:i/>
          <w:iCs/>
          <w:sz w:val="22"/>
        </w:rPr>
        <w:t>prueba ácida</w:t>
      </w:r>
      <w:r w:rsidRPr="00C460FF">
        <w:rPr>
          <w:rFonts w:ascii="Arial" w:eastAsia="Calibri" w:hAnsi="Arial" w:cs="Arial"/>
          <w:sz w:val="22"/>
          <w:vertAlign w:val="superscript"/>
        </w:rPr>
        <w:footnoteReference w:id="19"/>
      </w:r>
      <w:r w:rsidRPr="00C460FF">
        <w:rPr>
          <w:rFonts w:ascii="Arial" w:eastAsia="Calibri" w:hAnsi="Arial" w:cs="Arial"/>
          <w:sz w:val="22"/>
        </w:rPr>
        <w:t xml:space="preserve">, la </w:t>
      </w:r>
      <w:r w:rsidRPr="00C460FF">
        <w:rPr>
          <w:rFonts w:ascii="Arial" w:eastAsia="Calibri" w:hAnsi="Arial" w:cs="Arial"/>
          <w:i/>
          <w:iCs/>
          <w:sz w:val="22"/>
        </w:rPr>
        <w:t xml:space="preserve">concentración de endeudamiento a corto </w:t>
      </w:r>
      <w:r w:rsidRPr="00C460FF">
        <w:rPr>
          <w:rFonts w:ascii="Arial" w:eastAsia="Calibri" w:hAnsi="Arial" w:cs="Arial"/>
          <w:sz w:val="22"/>
        </w:rPr>
        <w:t>y</w:t>
      </w:r>
      <w:r w:rsidRPr="00C460FF">
        <w:rPr>
          <w:rFonts w:ascii="Arial" w:eastAsia="Calibri" w:hAnsi="Arial" w:cs="Arial"/>
          <w:i/>
          <w:iCs/>
          <w:sz w:val="22"/>
        </w:rPr>
        <w:t xml:space="preserve"> a largo plazo</w:t>
      </w:r>
      <w:r w:rsidRPr="00C460FF">
        <w:rPr>
          <w:rFonts w:ascii="Arial" w:eastAsia="Calibri" w:hAnsi="Arial" w:cs="Arial"/>
          <w:sz w:val="22"/>
        </w:rPr>
        <w:t xml:space="preserve"> y el </w:t>
      </w:r>
      <w:r w:rsidRPr="00C460FF">
        <w:rPr>
          <w:rFonts w:ascii="Arial" w:eastAsia="Calibri" w:hAnsi="Arial" w:cs="Arial"/>
          <w:i/>
          <w:iCs/>
          <w:sz w:val="22"/>
        </w:rPr>
        <w:t>patrimonio</w:t>
      </w:r>
      <w:r w:rsidRPr="00C460FF">
        <w:rPr>
          <w:rStyle w:val="Refdenotaalpie"/>
          <w:rFonts w:ascii="Arial" w:eastAsia="Calibri" w:hAnsi="Arial" w:cs="Arial"/>
          <w:i/>
          <w:iCs/>
          <w:sz w:val="22"/>
        </w:rPr>
        <w:footnoteReference w:id="20"/>
      </w:r>
      <w:r w:rsidRPr="00C460FF">
        <w:rPr>
          <w:rFonts w:ascii="Arial" w:eastAsia="Calibri" w:hAnsi="Arial" w:cs="Arial"/>
          <w:sz w:val="22"/>
        </w:rPr>
        <w:t>.</w:t>
      </w:r>
    </w:p>
    <w:p w14:paraId="16831AAF" w14:textId="77777777" w:rsidR="000071E1" w:rsidRPr="00C460FF" w:rsidRDefault="000071E1" w:rsidP="00B60E3B">
      <w:pPr>
        <w:spacing w:before="120" w:after="120" w:line="276" w:lineRule="auto"/>
        <w:ind w:firstLine="709"/>
        <w:jc w:val="both"/>
        <w:rPr>
          <w:rFonts w:ascii="Arial" w:eastAsia="Calibri" w:hAnsi="Arial" w:cs="Arial"/>
          <w:sz w:val="22"/>
        </w:rPr>
      </w:pPr>
      <w:r w:rsidRPr="00C460FF">
        <w:rPr>
          <w:rFonts w:ascii="Arial" w:eastAsia="Calibri" w:hAnsi="Arial" w:cs="Arial"/>
          <w:sz w:val="22"/>
        </w:rPr>
        <w:t xml:space="preserve">La </w:t>
      </w:r>
      <w:r w:rsidRPr="00C460FF">
        <w:rPr>
          <w:rFonts w:ascii="Arial" w:eastAsia="Calibri" w:hAnsi="Arial" w:cs="Arial"/>
          <w:bCs/>
          <w:i/>
          <w:iCs/>
          <w:sz w:val="22"/>
        </w:rPr>
        <w:t>capacidad de organización</w:t>
      </w:r>
      <w:r w:rsidRPr="00C460FF">
        <w:rPr>
          <w:rFonts w:ascii="Arial" w:eastAsia="Calibri" w:hAnsi="Arial" w:cs="Arial"/>
          <w:sz w:val="22"/>
        </w:rPr>
        <w:t xml:space="preserve">,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C460FF">
        <w:rPr>
          <w:rFonts w:ascii="Arial" w:eastAsia="Calibri" w:hAnsi="Arial" w:cs="Arial"/>
          <w:i/>
          <w:iCs/>
          <w:sz w:val="22"/>
        </w:rPr>
        <w:t>rentabilidad del patrimonio</w:t>
      </w:r>
      <w:r w:rsidRPr="00C460FF">
        <w:rPr>
          <w:rFonts w:ascii="Arial" w:eastAsia="Calibri" w:hAnsi="Arial" w:cs="Arial"/>
          <w:sz w:val="22"/>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C460FF">
        <w:rPr>
          <w:rFonts w:ascii="Arial" w:eastAsia="Calibri" w:hAnsi="Arial" w:cs="Arial"/>
          <w:i/>
          <w:iCs/>
          <w:sz w:val="22"/>
        </w:rPr>
        <w:t>rentabilidad del activo</w:t>
      </w:r>
      <w:r w:rsidRPr="00C460FF">
        <w:rPr>
          <w:rFonts w:ascii="Arial" w:eastAsia="Calibri" w:hAnsi="Arial" w:cs="Arial"/>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3EA36592" w14:textId="77777777" w:rsidR="000071E1" w:rsidRPr="00C460FF" w:rsidRDefault="000071E1" w:rsidP="00B60E3B">
      <w:pPr>
        <w:spacing w:before="120" w:after="120" w:line="276" w:lineRule="auto"/>
        <w:ind w:firstLine="709"/>
        <w:jc w:val="both"/>
        <w:rPr>
          <w:rFonts w:ascii="Arial" w:eastAsia="Calibri" w:hAnsi="Arial" w:cs="Arial"/>
          <w:sz w:val="22"/>
        </w:rPr>
      </w:pPr>
      <w:r w:rsidRPr="00C460FF">
        <w:rPr>
          <w:rFonts w:ascii="Arial" w:eastAsia="Calibri" w:hAnsi="Arial" w:cs="Arial"/>
          <w:sz w:val="22"/>
        </w:rPr>
        <w:t xml:space="preserve">A juicio de esta Agencia, también son relevantes los siguientes indicadores, pero únicamente en aquellos casos en los que, por las características del objeto a contratar, la naturaleza o la complejidad del proceso de contratación, se requieran: i) margen bruto; </w:t>
      </w:r>
      <w:proofErr w:type="spellStart"/>
      <w:r w:rsidRPr="00C460FF">
        <w:rPr>
          <w:rFonts w:ascii="Arial" w:eastAsia="Calibri" w:hAnsi="Arial" w:cs="Arial"/>
          <w:sz w:val="22"/>
        </w:rPr>
        <w:t>ii</w:t>
      </w:r>
      <w:proofErr w:type="spellEnd"/>
      <w:r w:rsidRPr="00C460FF">
        <w:rPr>
          <w:rFonts w:ascii="Arial" w:eastAsia="Calibri" w:hAnsi="Arial" w:cs="Arial"/>
          <w:sz w:val="22"/>
        </w:rPr>
        <w:t xml:space="preserve">) </w:t>
      </w:r>
      <w:r w:rsidRPr="00C460FF">
        <w:rPr>
          <w:rFonts w:ascii="Arial" w:eastAsia="Calibri" w:hAnsi="Arial" w:cs="Arial"/>
          <w:sz w:val="22"/>
        </w:rPr>
        <w:lastRenderedPageBreak/>
        <w:t xml:space="preserve">margen operacional; </w:t>
      </w:r>
      <w:proofErr w:type="spellStart"/>
      <w:r w:rsidRPr="00C460FF">
        <w:rPr>
          <w:rFonts w:ascii="Arial" w:eastAsia="Calibri" w:hAnsi="Arial" w:cs="Arial"/>
          <w:sz w:val="22"/>
        </w:rPr>
        <w:t>iii</w:t>
      </w:r>
      <w:proofErr w:type="spellEnd"/>
      <w:r w:rsidRPr="00C460FF">
        <w:rPr>
          <w:rFonts w:ascii="Arial" w:eastAsia="Calibri" w:hAnsi="Arial" w:cs="Arial"/>
          <w:sz w:val="22"/>
        </w:rPr>
        <w:t xml:space="preserve">) margen neto; </w:t>
      </w:r>
      <w:proofErr w:type="spellStart"/>
      <w:r w:rsidRPr="00C460FF">
        <w:rPr>
          <w:rFonts w:ascii="Arial" w:eastAsia="Calibri" w:hAnsi="Arial" w:cs="Arial"/>
          <w:sz w:val="22"/>
        </w:rPr>
        <w:t>iv</w:t>
      </w:r>
      <w:proofErr w:type="spellEnd"/>
      <w:r w:rsidRPr="00C460FF">
        <w:rPr>
          <w:rFonts w:ascii="Arial" w:eastAsia="Calibri" w:hAnsi="Arial" w:cs="Arial"/>
          <w:sz w:val="22"/>
        </w:rPr>
        <w:t xml:space="preserve">) retorno sobre capital invertido; v) rotación de activos totales; vi) rotación de activos fijos; y </w:t>
      </w:r>
      <w:proofErr w:type="spellStart"/>
      <w:r w:rsidRPr="00C460FF">
        <w:rPr>
          <w:rFonts w:ascii="Arial" w:eastAsia="Calibri" w:hAnsi="Arial" w:cs="Arial"/>
          <w:sz w:val="22"/>
        </w:rPr>
        <w:t>vii</w:t>
      </w:r>
      <w:proofErr w:type="spellEnd"/>
      <w:r w:rsidRPr="00C460FF">
        <w:rPr>
          <w:rFonts w:ascii="Arial" w:eastAsia="Calibri" w:hAnsi="Arial" w:cs="Arial"/>
          <w:sz w:val="22"/>
        </w:rPr>
        <w:t>) rotación de inventarios</w:t>
      </w:r>
      <w:r w:rsidRPr="00C460FF">
        <w:rPr>
          <w:rStyle w:val="Refdenotaalpie"/>
          <w:rFonts w:ascii="Arial" w:eastAsia="Calibri" w:hAnsi="Arial" w:cs="Arial"/>
          <w:sz w:val="22"/>
        </w:rPr>
        <w:footnoteReference w:id="21"/>
      </w:r>
      <w:r w:rsidRPr="00C460FF">
        <w:rPr>
          <w:rFonts w:ascii="Arial" w:eastAsia="Calibri" w:hAnsi="Arial" w:cs="Arial"/>
          <w:sz w:val="22"/>
        </w:rPr>
        <w:t>.</w:t>
      </w:r>
    </w:p>
    <w:p w14:paraId="1D7C5C25" w14:textId="77777777" w:rsidR="000071E1" w:rsidRPr="00C460FF" w:rsidRDefault="000071E1" w:rsidP="000071E1">
      <w:pPr>
        <w:spacing w:before="120" w:line="276" w:lineRule="auto"/>
        <w:ind w:firstLine="708"/>
        <w:jc w:val="both"/>
        <w:rPr>
          <w:rFonts w:ascii="Arial" w:eastAsia="Calibri" w:hAnsi="Arial" w:cs="Arial"/>
          <w:sz w:val="22"/>
        </w:rPr>
      </w:pPr>
      <w:r w:rsidRPr="00C460FF">
        <w:rPr>
          <w:rFonts w:ascii="Arial" w:eastAsia="Calibri" w:hAnsi="Arial" w:cs="Arial"/>
          <w:sz w:val="22"/>
        </w:rPr>
        <w:t>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C460FF">
        <w:rPr>
          <w:rFonts w:ascii="Arial" w:eastAsia="Calibri" w:hAnsi="Arial" w:cs="Arial"/>
          <w:sz w:val="22"/>
          <w:vertAlign w:val="superscript"/>
        </w:rPr>
        <w:footnoteReference w:id="22"/>
      </w:r>
      <w:r w:rsidRPr="00C460FF">
        <w:rPr>
          <w:rFonts w:ascii="Arial" w:eastAsia="Calibri" w:hAnsi="Arial" w:cs="Arial"/>
          <w:sz w:val="22"/>
        </w:rPr>
        <w:t xml:space="preserve">. Igualmente, la capacidad organizacional se mide mediante los siguientes indicadores: i) rentabilidad del patrimonio y </w:t>
      </w:r>
      <w:proofErr w:type="spellStart"/>
      <w:r w:rsidRPr="00C460FF">
        <w:rPr>
          <w:rFonts w:ascii="Arial" w:eastAsia="Calibri" w:hAnsi="Arial" w:cs="Arial"/>
          <w:sz w:val="22"/>
        </w:rPr>
        <w:t>ii</w:t>
      </w:r>
      <w:proofErr w:type="spellEnd"/>
      <w:r w:rsidRPr="00C460FF">
        <w:rPr>
          <w:rFonts w:ascii="Arial" w:eastAsia="Calibri" w:hAnsi="Arial" w:cs="Arial"/>
          <w:sz w:val="22"/>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C460FF">
        <w:rPr>
          <w:rFonts w:ascii="Arial" w:eastAsia="Calibri" w:hAnsi="Arial" w:cs="Arial"/>
          <w:sz w:val="22"/>
          <w:vertAlign w:val="superscript"/>
        </w:rPr>
        <w:footnoteReference w:id="23"/>
      </w:r>
      <w:r w:rsidRPr="00C460FF">
        <w:rPr>
          <w:rFonts w:ascii="Arial" w:eastAsia="Calibri" w:hAnsi="Arial" w:cs="Arial"/>
          <w:sz w:val="22"/>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79DC0BC" w14:textId="77777777" w:rsidR="003067A0" w:rsidRPr="00C460FF" w:rsidRDefault="003067A0" w:rsidP="003067A0">
      <w:pPr>
        <w:spacing w:line="276" w:lineRule="auto"/>
        <w:ind w:firstLine="709"/>
        <w:contextualSpacing/>
        <w:jc w:val="both"/>
        <w:rPr>
          <w:rFonts w:ascii="Arial" w:eastAsia="Calibri" w:hAnsi="Arial" w:cs="Arial"/>
          <w:sz w:val="22"/>
          <w:lang w:val="es-ES"/>
        </w:rPr>
      </w:pPr>
    </w:p>
    <w:p w14:paraId="79F7ED8C" w14:textId="77777777" w:rsidR="003067A0" w:rsidRPr="00C460FF" w:rsidRDefault="003067A0" w:rsidP="00942311">
      <w:pPr>
        <w:spacing w:line="276" w:lineRule="auto"/>
        <w:contextualSpacing/>
        <w:jc w:val="both"/>
        <w:rPr>
          <w:rFonts w:ascii="Arial" w:eastAsia="Calibri" w:hAnsi="Arial" w:cs="Arial"/>
          <w:sz w:val="22"/>
          <w:lang w:val="es-ES"/>
        </w:rPr>
      </w:pPr>
      <w:r w:rsidRPr="00E82C72">
        <w:rPr>
          <w:rFonts w:ascii="Arial" w:eastAsia="Calibri" w:hAnsi="Arial" w:cs="Arial"/>
          <w:b/>
          <w:bCs/>
          <w:sz w:val="22"/>
          <w:lang w:val="es-ES"/>
        </w:rPr>
        <w:t>2.2. Modificaciones introducidas por los Decretos 399 de 2021 y 579 de 2021 respecto a la información contenida en el RUP y delimitación de su verificación dentro del «mejor año fiscal»</w:t>
      </w:r>
      <w:r w:rsidRPr="00C460FF">
        <w:rPr>
          <w:rFonts w:ascii="Arial" w:eastAsia="Calibri" w:hAnsi="Arial" w:cs="Arial"/>
          <w:sz w:val="22"/>
          <w:lang w:val="es-ES"/>
        </w:rPr>
        <w:t xml:space="preserve">   </w:t>
      </w:r>
    </w:p>
    <w:p w14:paraId="3760FA70" w14:textId="77777777" w:rsidR="003067A0" w:rsidRPr="00C460FF" w:rsidRDefault="003067A0" w:rsidP="00942311">
      <w:pPr>
        <w:spacing w:line="276" w:lineRule="auto"/>
        <w:contextualSpacing/>
        <w:jc w:val="both"/>
        <w:rPr>
          <w:rFonts w:ascii="Arial" w:eastAsia="Calibri" w:hAnsi="Arial" w:cs="Arial"/>
          <w:sz w:val="22"/>
          <w:lang w:val="es-ES"/>
        </w:rPr>
      </w:pPr>
    </w:p>
    <w:p w14:paraId="1E7467CB" w14:textId="64C029A8" w:rsidR="003067A0" w:rsidRPr="00C460FF" w:rsidRDefault="003067A0" w:rsidP="00942311">
      <w:pPr>
        <w:spacing w:line="276" w:lineRule="auto"/>
        <w:contextualSpacing/>
        <w:jc w:val="both"/>
        <w:rPr>
          <w:rFonts w:ascii="Arial" w:eastAsia="Calibri" w:hAnsi="Arial" w:cs="Arial"/>
          <w:sz w:val="22"/>
          <w:lang w:val="es-ES"/>
        </w:rPr>
      </w:pPr>
      <w:r w:rsidRPr="00C460FF">
        <w:rPr>
          <w:rFonts w:ascii="Arial" w:eastAsia="Calibri" w:hAnsi="Arial" w:cs="Arial"/>
          <w:sz w:val="22"/>
          <w:lang w:val="es-ES"/>
        </w:rPr>
        <w:t xml:space="preserve">Para </w:t>
      </w:r>
      <w:r w:rsidR="00E71894" w:rsidRPr="00C460FF">
        <w:rPr>
          <w:rFonts w:ascii="Arial" w:eastAsia="Calibri" w:hAnsi="Arial" w:cs="Arial"/>
          <w:sz w:val="22"/>
          <w:lang w:val="es-ES"/>
        </w:rPr>
        <w:t>lograr</w:t>
      </w:r>
      <w:r w:rsidRPr="00C460FF">
        <w:rPr>
          <w:rFonts w:ascii="Arial" w:eastAsia="Calibri" w:hAnsi="Arial" w:cs="Arial"/>
          <w:sz w:val="22"/>
          <w:lang w:val="es-ES"/>
        </w:rPr>
        <w:t xml:space="preserve"> la reactivación económica, ante la crisis generada por la pandemia del </w:t>
      </w:r>
      <w:r w:rsidR="005F78BD" w:rsidRPr="00C460FF">
        <w:rPr>
          <w:rFonts w:ascii="Arial" w:eastAsia="Calibri" w:hAnsi="Arial" w:cs="Arial"/>
          <w:sz w:val="22"/>
          <w:lang w:val="es-ES"/>
        </w:rPr>
        <w:t>COVID</w:t>
      </w:r>
      <w:r w:rsidRPr="00C460FF">
        <w:rPr>
          <w:rFonts w:ascii="Arial" w:eastAsia="Calibri" w:hAnsi="Arial" w:cs="Arial"/>
          <w:sz w:val="22"/>
          <w:lang w:val="es-ES"/>
        </w:rPr>
        <w:t xml:space="preserve">-19, el gobierno nacional expidió el Decreto 399 de 2021, mediante el cual se </w:t>
      </w:r>
      <w:r w:rsidR="008A752A" w:rsidRPr="00C460FF">
        <w:rPr>
          <w:rFonts w:ascii="Arial" w:eastAsia="Calibri" w:hAnsi="Arial" w:cs="Arial"/>
          <w:sz w:val="22"/>
          <w:lang w:val="es-ES"/>
        </w:rPr>
        <w:t>introducen</w:t>
      </w:r>
      <w:r w:rsidRPr="00C460FF">
        <w:rPr>
          <w:rFonts w:ascii="Arial" w:eastAsia="Calibri" w:hAnsi="Arial" w:cs="Arial"/>
          <w:sz w:val="22"/>
          <w:lang w:val="es-ES"/>
        </w:rPr>
        <w:t xml:space="preserve"> algunas modificaciones al Decreto 1082 de 2015 </w:t>
      </w:r>
      <w:r w:rsidR="008A752A" w:rsidRPr="00C460FF">
        <w:rPr>
          <w:rFonts w:ascii="Arial" w:eastAsia="Calibri" w:hAnsi="Arial" w:cs="Arial"/>
          <w:sz w:val="22"/>
          <w:lang w:val="es-ES"/>
        </w:rPr>
        <w:t>en lo que respecta</w:t>
      </w:r>
      <w:r w:rsidRPr="00C460FF">
        <w:rPr>
          <w:rFonts w:ascii="Arial" w:eastAsia="Calibri" w:hAnsi="Arial" w:cs="Arial"/>
          <w:sz w:val="22"/>
          <w:lang w:val="es-ES"/>
        </w:rPr>
        <w:t xml:space="preserve"> a la regulación de la información financiera y organizacional prevista en el RUP. En tal sentido, se indicó –</w:t>
      </w:r>
      <w:r w:rsidR="002D3004" w:rsidRPr="00C460FF">
        <w:rPr>
          <w:rFonts w:ascii="Arial" w:eastAsia="Calibri" w:hAnsi="Arial" w:cs="Arial"/>
          <w:sz w:val="22"/>
          <w:lang w:val="es-ES"/>
        </w:rPr>
        <w:t>luego</w:t>
      </w:r>
      <w:r w:rsidRPr="00C460FF">
        <w:rPr>
          <w:rFonts w:ascii="Arial" w:eastAsia="Calibri" w:hAnsi="Arial" w:cs="Arial"/>
          <w:sz w:val="22"/>
          <w:lang w:val="es-ES"/>
        </w:rPr>
        <w:t xml:space="preserve"> de la modificación introducida por el Decreto 579 de 2021– que a partir del 1 de </w:t>
      </w:r>
      <w:r w:rsidRPr="00C460FF">
        <w:rPr>
          <w:rFonts w:ascii="Arial" w:eastAsia="Calibri" w:hAnsi="Arial" w:cs="Arial"/>
          <w:i/>
          <w:iCs/>
          <w:sz w:val="22"/>
          <w:lang w:val="es-ES"/>
        </w:rPr>
        <w:t>julio</w:t>
      </w:r>
      <w:r w:rsidRPr="00C460FF">
        <w:rPr>
          <w:rFonts w:ascii="Arial" w:eastAsia="Calibri" w:hAnsi="Arial" w:cs="Arial"/>
          <w:sz w:val="22"/>
          <w:lang w:val="es-ES"/>
        </w:rPr>
        <w:t xml:space="preserve"> de 2021</w:t>
      </w:r>
      <w:r w:rsidRPr="00C460FF">
        <w:rPr>
          <w:rFonts w:ascii="Arial" w:eastAsia="Calibri" w:hAnsi="Arial" w:cs="Arial"/>
          <w:sz w:val="22"/>
          <w:vertAlign w:val="superscript"/>
          <w:lang w:val="es-ES"/>
        </w:rPr>
        <w:footnoteReference w:id="24"/>
      </w:r>
      <w:r w:rsidRPr="00C460FF">
        <w:rPr>
          <w:rFonts w:ascii="Arial" w:eastAsia="Calibri" w:hAnsi="Arial" w:cs="Arial"/>
          <w:sz w:val="22"/>
          <w:lang w:val="es-ES"/>
        </w:rPr>
        <w:t xml:space="preserve"> las entidades estatales deberán tener en cuenta los datos sobre la capacidad </w:t>
      </w:r>
      <w:r w:rsidRPr="00C460FF">
        <w:rPr>
          <w:rFonts w:ascii="Arial" w:eastAsia="Calibri" w:hAnsi="Arial" w:cs="Arial"/>
          <w:sz w:val="22"/>
          <w:lang w:val="es-ES"/>
        </w:rPr>
        <w:lastRenderedPageBreak/>
        <w:t>financiera y organizacional de los últimos tres</w:t>
      </w:r>
      <w:r w:rsidR="00911573" w:rsidRPr="00C460FF">
        <w:rPr>
          <w:rFonts w:ascii="Arial" w:eastAsia="Calibri" w:hAnsi="Arial" w:cs="Arial"/>
          <w:sz w:val="22"/>
          <w:lang w:val="es-ES"/>
        </w:rPr>
        <w:t xml:space="preserve"> (3)</w:t>
      </w:r>
      <w:r w:rsidRPr="00C460FF">
        <w:rPr>
          <w:rFonts w:ascii="Arial" w:eastAsia="Calibri" w:hAnsi="Arial" w:cs="Arial"/>
          <w:sz w:val="22"/>
          <w:lang w:val="es-ES"/>
        </w:rPr>
        <w:t xml:space="preserve"> años, consignada en el RUP. Así lo justifica textualmente el reglamento mencionado, en sus consideraciones:</w:t>
      </w:r>
    </w:p>
    <w:p w14:paraId="72BE86B3" w14:textId="77777777" w:rsidR="003067A0" w:rsidRPr="00C460FF" w:rsidRDefault="003067A0" w:rsidP="000022B3">
      <w:pPr>
        <w:spacing w:line="276" w:lineRule="auto"/>
        <w:ind w:left="709" w:right="709" w:firstLine="709"/>
        <w:contextualSpacing/>
        <w:jc w:val="both"/>
        <w:rPr>
          <w:rFonts w:ascii="Arial" w:eastAsia="Calibri" w:hAnsi="Arial" w:cs="Arial"/>
          <w:sz w:val="21"/>
          <w:szCs w:val="21"/>
          <w:lang w:val="es-ES"/>
        </w:rPr>
      </w:pPr>
    </w:p>
    <w:p w14:paraId="12426476" w14:textId="77777777" w:rsidR="003067A0" w:rsidRPr="00C460FF" w:rsidRDefault="003067A0" w:rsidP="00D63E29">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814B7D8" w14:textId="77777777" w:rsidR="003067A0" w:rsidRPr="00C460FF" w:rsidRDefault="003067A0" w:rsidP="00D63E29">
      <w:pPr>
        <w:ind w:left="709" w:right="709" w:firstLine="709"/>
        <w:contextualSpacing/>
        <w:jc w:val="both"/>
        <w:rPr>
          <w:rFonts w:ascii="Arial" w:eastAsia="Calibri" w:hAnsi="Arial" w:cs="Arial"/>
          <w:sz w:val="21"/>
          <w:szCs w:val="21"/>
          <w:lang w:val="es-ES"/>
        </w:rPr>
      </w:pPr>
    </w:p>
    <w:p w14:paraId="6DDD9D0D" w14:textId="77777777" w:rsidR="003067A0" w:rsidRPr="00C460FF" w:rsidRDefault="003067A0" w:rsidP="00D63E29">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69DEF5C7" w14:textId="77777777" w:rsidR="003067A0" w:rsidRPr="00C460FF" w:rsidRDefault="003067A0" w:rsidP="00D63E29">
      <w:pPr>
        <w:ind w:left="709" w:right="709" w:firstLine="709"/>
        <w:contextualSpacing/>
        <w:jc w:val="both"/>
        <w:rPr>
          <w:rFonts w:ascii="Arial" w:eastAsia="Calibri" w:hAnsi="Arial" w:cs="Arial"/>
          <w:sz w:val="21"/>
          <w:szCs w:val="21"/>
          <w:lang w:val="es-ES"/>
        </w:rPr>
      </w:pPr>
    </w:p>
    <w:p w14:paraId="2987CF73" w14:textId="77777777" w:rsidR="003067A0" w:rsidRPr="00C460FF" w:rsidRDefault="003067A0" w:rsidP="00D63E29">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A2E47CA" w14:textId="77777777" w:rsidR="003067A0" w:rsidRPr="00C460FF" w:rsidRDefault="003067A0" w:rsidP="00D63E29">
      <w:pPr>
        <w:ind w:left="709" w:right="709" w:firstLine="709"/>
        <w:contextualSpacing/>
        <w:jc w:val="both"/>
        <w:rPr>
          <w:rFonts w:ascii="Arial" w:eastAsia="Calibri" w:hAnsi="Arial" w:cs="Arial"/>
          <w:sz w:val="21"/>
          <w:szCs w:val="21"/>
          <w:lang w:val="es-ES"/>
        </w:rPr>
      </w:pPr>
    </w:p>
    <w:p w14:paraId="3C85087E" w14:textId="77777777" w:rsidR="003067A0" w:rsidRPr="00C460FF" w:rsidRDefault="003067A0" w:rsidP="00D63E29">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56A3AA21" w14:textId="77777777" w:rsidR="003067A0" w:rsidRPr="00C460FF" w:rsidRDefault="003067A0" w:rsidP="003067A0">
      <w:pPr>
        <w:spacing w:line="276" w:lineRule="auto"/>
        <w:ind w:firstLine="709"/>
        <w:contextualSpacing/>
        <w:jc w:val="both"/>
        <w:rPr>
          <w:rFonts w:ascii="Arial" w:eastAsia="Calibri" w:hAnsi="Arial" w:cs="Arial"/>
          <w:sz w:val="22"/>
          <w:lang w:val="es-ES"/>
        </w:rPr>
      </w:pPr>
    </w:p>
    <w:p w14:paraId="5FC2A474" w14:textId="7B78556F" w:rsidR="003067A0" w:rsidRPr="00C460FF" w:rsidRDefault="003067A0" w:rsidP="000022B3">
      <w:pPr>
        <w:spacing w:after="120" w:line="276" w:lineRule="auto"/>
        <w:ind w:firstLine="708"/>
        <w:jc w:val="both"/>
        <w:rPr>
          <w:rFonts w:ascii="Arial" w:eastAsia="Calibri" w:hAnsi="Arial" w:cs="Arial"/>
          <w:sz w:val="22"/>
          <w:lang w:val="es-ES"/>
        </w:rPr>
      </w:pPr>
      <w:r w:rsidRPr="00C460FF">
        <w:rPr>
          <w:rFonts w:ascii="Arial" w:eastAsia="Calibri" w:hAnsi="Arial" w:cs="Arial"/>
          <w:sz w:val="22"/>
          <w:lang w:val="es-ES"/>
        </w:rPr>
        <w:t xml:space="preserve">En tal sentido, el artículo 4 del Decreto 399 de 2021 adicionó dos parágrafos transitorios al artículo 2.2.1.1.1.5.2. del Decreto 1082 de 2015, que a su vez fueron </w:t>
      </w:r>
      <w:r w:rsidRPr="00C460FF">
        <w:rPr>
          <w:rFonts w:ascii="Arial" w:eastAsia="Calibri" w:hAnsi="Arial" w:cs="Arial"/>
          <w:sz w:val="22"/>
          <w:lang w:val="es-ES"/>
        </w:rPr>
        <w:lastRenderedPageBreak/>
        <w:t>sustituidos posteriormente por el artículo 1</w:t>
      </w:r>
      <w:r w:rsidR="00985723" w:rsidRPr="00C460FF">
        <w:rPr>
          <w:rFonts w:ascii="Arial" w:eastAsia="Calibri" w:hAnsi="Arial" w:cs="Arial"/>
          <w:sz w:val="22"/>
          <w:lang w:val="es-ES"/>
        </w:rPr>
        <w:t>°</w:t>
      </w:r>
      <w:r w:rsidRPr="00C460FF">
        <w:rPr>
          <w:rFonts w:ascii="Arial" w:eastAsia="Calibri" w:hAnsi="Arial" w:cs="Arial"/>
          <w:sz w:val="22"/>
          <w:lang w:val="es-ES"/>
        </w:rPr>
        <w:t xml:space="preserve"> del Decreto 579 del 31 de mayo de 2021</w:t>
      </w:r>
      <w:r w:rsidRPr="00C460FF">
        <w:rPr>
          <w:rFonts w:ascii="Arial" w:eastAsia="Calibri" w:hAnsi="Arial" w:cs="Arial"/>
          <w:sz w:val="22"/>
          <w:vertAlign w:val="superscript"/>
          <w:lang w:val="es-ES"/>
        </w:rPr>
        <w:footnoteReference w:id="25"/>
      </w:r>
      <w:r w:rsidRPr="00C460FF">
        <w:rPr>
          <w:rFonts w:ascii="Arial" w:eastAsia="Calibri" w:hAnsi="Arial" w:cs="Arial"/>
          <w:sz w:val="22"/>
          <w:lang w:val="es-ES"/>
        </w:rPr>
        <w:t>. El parágrafo transitorio 1</w:t>
      </w:r>
      <w:r w:rsidR="00985723" w:rsidRPr="00C460FF">
        <w:rPr>
          <w:rFonts w:ascii="Arial" w:eastAsia="Calibri" w:hAnsi="Arial" w:cs="Arial"/>
          <w:sz w:val="22"/>
          <w:lang w:val="es-ES"/>
        </w:rPr>
        <w:t>°</w:t>
      </w:r>
      <w:r w:rsidRPr="00C460FF">
        <w:rPr>
          <w:rFonts w:ascii="Arial" w:eastAsia="Calibri" w:hAnsi="Arial" w:cs="Arial"/>
          <w:sz w:val="22"/>
          <w:lang w:val="es-ES"/>
        </w:rPr>
        <w:t xml:space="preserve"> establece que desde el 1 de junio de 2021 los interesados en inscribirse en el RUP deben reportar la información contable y los estados financieros de los tres</w:t>
      </w:r>
      <w:r w:rsidR="000A491C" w:rsidRPr="00C460FF">
        <w:rPr>
          <w:rFonts w:ascii="Arial" w:eastAsia="Calibri" w:hAnsi="Arial" w:cs="Arial"/>
          <w:sz w:val="22"/>
          <w:lang w:val="es-ES"/>
        </w:rPr>
        <w:t xml:space="preserve"> (3)</w:t>
      </w:r>
      <w:r w:rsidRPr="00C460FF">
        <w:rPr>
          <w:rFonts w:ascii="Arial" w:eastAsia="Calibri" w:hAnsi="Arial" w:cs="Arial"/>
          <w:sz w:val="22"/>
          <w:lang w:val="es-ES"/>
        </w:rPr>
        <w:t xml:space="preserve"> últimos años fiscales. Sin embargo, si el interesado no tiene una antigüedad de tres </w:t>
      </w:r>
      <w:r w:rsidR="00B54A7A" w:rsidRPr="00C460FF">
        <w:rPr>
          <w:rFonts w:ascii="Arial" w:eastAsia="Calibri" w:hAnsi="Arial" w:cs="Arial"/>
          <w:sz w:val="22"/>
          <w:lang w:val="es-ES"/>
        </w:rPr>
        <w:t xml:space="preserve">(3) </w:t>
      </w:r>
      <w:r w:rsidRPr="00C460FF">
        <w:rPr>
          <w:rFonts w:ascii="Arial" w:eastAsia="Calibri" w:hAnsi="Arial" w:cs="Arial"/>
          <w:sz w:val="22"/>
          <w:lang w:val="es-ES"/>
        </w:rPr>
        <w:t xml:space="preserve">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de 2021, por una sola vez. En todo caso, aclara </w:t>
      </w:r>
      <w:proofErr w:type="gramStart"/>
      <w:r w:rsidRPr="00C460FF">
        <w:rPr>
          <w:rFonts w:ascii="Arial" w:eastAsia="Calibri" w:hAnsi="Arial" w:cs="Arial"/>
          <w:sz w:val="22"/>
          <w:lang w:val="es-ES"/>
        </w:rPr>
        <w:t>que</w:t>
      </w:r>
      <w:proofErr w:type="gramEnd"/>
      <w:r w:rsidRPr="00C460FF">
        <w:rPr>
          <w:rFonts w:ascii="Arial" w:eastAsia="Calibri" w:hAnsi="Arial" w:cs="Arial"/>
          <w:sz w:val="22"/>
          <w:lang w:val="es-ES"/>
        </w:rPr>
        <w:t xml:space="preserve"> si el proponente tiene registrada la información de dichos años en la cámara de comercio, no deberá presentar esta información.</w:t>
      </w:r>
    </w:p>
    <w:p w14:paraId="492BE8A1" w14:textId="709466DE" w:rsidR="003067A0" w:rsidRPr="00C460FF" w:rsidRDefault="003067A0" w:rsidP="000022B3">
      <w:pPr>
        <w:spacing w:before="120"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El parágrafo transitorio 2 establece que, en el año 2022, para la inscripción en el RUP o para su renovación, el interesado debe reportar la información contable y los estados financieros de los tres</w:t>
      </w:r>
      <w:r w:rsidR="001C7AEA" w:rsidRPr="00C460FF">
        <w:rPr>
          <w:rFonts w:ascii="Arial" w:eastAsia="Calibri" w:hAnsi="Arial" w:cs="Arial"/>
          <w:sz w:val="22"/>
          <w:lang w:val="es-ES"/>
        </w:rPr>
        <w:t xml:space="preserve"> (3)</w:t>
      </w:r>
      <w:r w:rsidRPr="00C460FF">
        <w:rPr>
          <w:rFonts w:ascii="Arial" w:eastAsia="Calibri" w:hAnsi="Arial" w:cs="Arial"/>
          <w:sz w:val="22"/>
          <w:lang w:val="es-ES"/>
        </w:rPr>
        <w:t xml:space="preserve"> últimos años fiscales. Además, reitera que, si aquel no cuenta con la información financiera de dichos años, por no tener la antigüedad suficiente, podrá aportar la información de su primer cierre fiscal. Igualmente, señala </w:t>
      </w:r>
      <w:proofErr w:type="gramStart"/>
      <w:r w:rsidRPr="00C460FF">
        <w:rPr>
          <w:rFonts w:ascii="Arial" w:eastAsia="Calibri" w:hAnsi="Arial" w:cs="Arial"/>
          <w:sz w:val="22"/>
          <w:lang w:val="es-ES"/>
        </w:rPr>
        <w:t>que</w:t>
      </w:r>
      <w:proofErr w:type="gramEnd"/>
      <w:r w:rsidRPr="00C460FF">
        <w:rPr>
          <w:rFonts w:ascii="Arial" w:eastAsia="Calibri" w:hAnsi="Arial" w:cs="Arial"/>
          <w:sz w:val="22"/>
          <w:lang w:val="es-ES"/>
        </w:rPr>
        <w:t xml:space="preserve"> si la información </w:t>
      </w:r>
      <w:r w:rsidRPr="00C460FF">
        <w:rPr>
          <w:rFonts w:ascii="Arial" w:eastAsia="Calibri" w:hAnsi="Arial" w:cs="Arial"/>
          <w:sz w:val="22"/>
          <w:lang w:val="es-ES"/>
        </w:rPr>
        <w:lastRenderedPageBreak/>
        <w:t>del interesado correspondiente a los años 2019 y/o 2020 reposa en la cámara de comercio, no se tendrá que presentar de nuevo, porque conservará firmeza para efectos de su certificación.</w:t>
      </w:r>
    </w:p>
    <w:p w14:paraId="3488574F" w14:textId="0E238BE8" w:rsidR="003067A0" w:rsidRPr="00C460FF" w:rsidRDefault="003067A0" w:rsidP="000022B3">
      <w:pPr>
        <w:spacing w:before="120"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 xml:space="preserve">Por otra parte, el artículo 5 del Decreto 399 de 2021 adiciona dos parágrafos transitorios al artículo 2.2.1.1.1.5.6. del Decreto 1082 de 2015, </w:t>
      </w:r>
      <w:r w:rsidR="00E751EC" w:rsidRPr="00C460FF">
        <w:rPr>
          <w:rFonts w:ascii="Arial" w:eastAsia="Calibri" w:hAnsi="Arial" w:cs="Arial"/>
          <w:sz w:val="22"/>
          <w:lang w:val="es-ES"/>
        </w:rPr>
        <w:t>el cual</w:t>
      </w:r>
      <w:r w:rsidRPr="00C460FF">
        <w:rPr>
          <w:rFonts w:ascii="Arial" w:eastAsia="Calibri" w:hAnsi="Arial" w:cs="Arial"/>
          <w:sz w:val="22"/>
          <w:lang w:val="es-ES"/>
        </w:rPr>
        <w:t xml:space="preserve"> regula el contenido del certificado del RUP. El primer parágrafo transitorio, que fue posteriormente sustituido por el artículo 2 del Decreto 579 de 2021, establece que «</w:t>
      </w:r>
      <w:r w:rsidRPr="00C460FF">
        <w:rPr>
          <w:rFonts w:ascii="Arial" w:hAnsi="Arial" w:cs="Arial"/>
          <w:sz w:val="22"/>
          <w:lang w:val="es-ES"/>
        </w:rPr>
        <w:t xml:space="preserve">[…] </w:t>
      </w:r>
      <w:r w:rsidRPr="00C460FF">
        <w:rPr>
          <w:rFonts w:ascii="Arial" w:eastAsia="Calibri" w:hAnsi="Arial" w:cs="Arial"/>
          <w:sz w:val="22"/>
          <w:lang w:val="es-ES"/>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C460FF">
        <w:rPr>
          <w:rFonts w:ascii="Arial" w:hAnsi="Arial" w:cs="Arial"/>
          <w:sz w:val="22"/>
          <w:lang w:val="es-ES"/>
        </w:rPr>
        <w:t>c</w:t>
      </w:r>
      <w:r w:rsidRPr="00C460FF">
        <w:rPr>
          <w:rFonts w:ascii="Arial" w:eastAsia="Calibri" w:hAnsi="Arial" w:cs="Arial"/>
          <w:sz w:val="22"/>
          <w:lang w:val="es-ES"/>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C460FF">
        <w:rPr>
          <w:rFonts w:ascii="Arial" w:eastAsia="Calibri" w:hAnsi="Arial" w:cs="Arial"/>
          <w:sz w:val="22"/>
          <w:lang w:val="es-ES"/>
        </w:rPr>
        <w:t>ii</w:t>
      </w:r>
      <w:proofErr w:type="spellEnd"/>
      <w:r w:rsidRPr="00C460FF">
        <w:rPr>
          <w:rFonts w:ascii="Arial" w:eastAsia="Calibri" w:hAnsi="Arial" w:cs="Arial"/>
          <w:sz w:val="22"/>
          <w:lang w:val="es-ES"/>
        </w:rPr>
        <w:t xml:space="preserve">) el índice de endeudamiento y </w:t>
      </w:r>
      <w:proofErr w:type="spellStart"/>
      <w:r w:rsidRPr="00C460FF">
        <w:rPr>
          <w:rFonts w:ascii="Arial" w:eastAsia="Calibri" w:hAnsi="Arial" w:cs="Arial"/>
          <w:sz w:val="22"/>
          <w:lang w:val="es-ES"/>
        </w:rPr>
        <w:t>iii</w:t>
      </w:r>
      <w:proofErr w:type="spellEnd"/>
      <w:r w:rsidRPr="00C460FF">
        <w:rPr>
          <w:rFonts w:ascii="Arial" w:eastAsia="Calibri" w:hAnsi="Arial" w:cs="Arial"/>
          <w:sz w:val="22"/>
          <w:lang w:val="es-ES"/>
        </w:rPr>
        <w:t xml:space="preserve">) la razón de cobertura de intereses. Los requisitos e indicadores de capacidad organizacional son: i) la rentabilidad del patrimonio y </w:t>
      </w:r>
      <w:proofErr w:type="spellStart"/>
      <w:r w:rsidRPr="00C460FF">
        <w:rPr>
          <w:rFonts w:ascii="Arial" w:eastAsia="Calibri" w:hAnsi="Arial" w:cs="Arial"/>
          <w:sz w:val="22"/>
          <w:lang w:val="es-ES"/>
        </w:rPr>
        <w:t>ii</w:t>
      </w:r>
      <w:proofErr w:type="spellEnd"/>
      <w:r w:rsidRPr="00C460FF">
        <w:rPr>
          <w:rFonts w:ascii="Arial" w:eastAsia="Calibri" w:hAnsi="Arial" w:cs="Arial"/>
          <w:sz w:val="22"/>
          <w:lang w:val="es-ES"/>
        </w:rPr>
        <w:t>) la rentabilidad del activo. El segundo parágrafo transitorio establece que «El</w:t>
      </w:r>
      <w:r w:rsidRPr="00C460FF">
        <w:rPr>
          <w:rFonts w:ascii="Arial" w:hAnsi="Arial" w:cs="Arial"/>
          <w:sz w:val="22"/>
          <w:lang w:val="es-ES"/>
        </w:rPr>
        <w:t xml:space="preserve"> </w:t>
      </w:r>
      <w:r w:rsidRPr="00C460FF">
        <w:rPr>
          <w:rFonts w:ascii="Arial" w:eastAsia="Calibri" w:hAnsi="Arial" w:cs="Arial"/>
          <w:sz w:val="22"/>
          <w:lang w:val="es-ES"/>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D8A3DF9" w14:textId="77777777" w:rsidR="003067A0" w:rsidRPr="00C460FF" w:rsidRDefault="003067A0" w:rsidP="003067A0">
      <w:pPr>
        <w:spacing w:before="120" w:line="276" w:lineRule="auto"/>
        <w:ind w:firstLine="709"/>
        <w:jc w:val="both"/>
        <w:rPr>
          <w:rFonts w:ascii="Arial" w:eastAsia="Calibri" w:hAnsi="Arial" w:cs="Arial"/>
          <w:sz w:val="22"/>
          <w:lang w:val="es-ES"/>
        </w:rPr>
      </w:pPr>
      <w:r w:rsidRPr="00C460FF">
        <w:rPr>
          <w:rFonts w:ascii="Arial" w:eastAsia="Calibri" w:hAnsi="Arial" w:cs="Arial"/>
          <w:sz w:val="22"/>
          <w:lang w:val="es-ES"/>
        </w:rPr>
        <w:t>De otro lado, el artículo 6 del Decreto 399 de 2021 adiciona un parágrafo transitorio –sustituido después por el artículo 3 del Decreto 579 de 2021– al artículo 2.2.1.1.1.6.2. del Decreto 1082 de 2015</w:t>
      </w:r>
      <w:r w:rsidRPr="00C460FF">
        <w:rPr>
          <w:rFonts w:ascii="Arial" w:eastAsia="Calibri" w:hAnsi="Arial" w:cs="Arial"/>
          <w:sz w:val="22"/>
          <w:vertAlign w:val="superscript"/>
          <w:lang w:val="es-ES"/>
        </w:rPr>
        <w:footnoteReference w:id="26"/>
      </w:r>
      <w:r w:rsidRPr="00C460FF">
        <w:rPr>
          <w:rFonts w:ascii="Arial" w:eastAsia="Calibri" w:hAnsi="Arial" w:cs="Arial"/>
          <w:sz w:val="22"/>
          <w:lang w:val="es-ES"/>
        </w:rPr>
        <w:t>, con el siguiente contenido:</w:t>
      </w:r>
    </w:p>
    <w:p w14:paraId="6B787636" w14:textId="77777777" w:rsidR="003067A0" w:rsidRPr="00C460FF" w:rsidRDefault="003067A0" w:rsidP="005273D4">
      <w:pPr>
        <w:ind w:left="709" w:right="709" w:firstLine="709"/>
        <w:contextualSpacing/>
        <w:jc w:val="both"/>
        <w:rPr>
          <w:rFonts w:ascii="Arial" w:eastAsia="Calibri" w:hAnsi="Arial" w:cs="Arial"/>
          <w:sz w:val="21"/>
          <w:szCs w:val="21"/>
          <w:lang w:val="es-ES"/>
        </w:rPr>
      </w:pPr>
    </w:p>
    <w:p w14:paraId="075BE018" w14:textId="77777777" w:rsidR="003067A0" w:rsidRPr="00C460FF" w:rsidRDefault="003067A0" w:rsidP="005273D4">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6AB0B08A" w14:textId="77777777" w:rsidR="003067A0" w:rsidRPr="00C460FF" w:rsidRDefault="003067A0" w:rsidP="005273D4">
      <w:pPr>
        <w:ind w:left="709" w:right="709" w:firstLine="709"/>
        <w:contextualSpacing/>
        <w:jc w:val="both"/>
        <w:rPr>
          <w:rFonts w:ascii="Arial" w:eastAsia="Calibri" w:hAnsi="Arial" w:cs="Arial"/>
          <w:sz w:val="21"/>
          <w:szCs w:val="21"/>
          <w:lang w:val="es-ES"/>
        </w:rPr>
      </w:pPr>
    </w:p>
    <w:p w14:paraId="17718456" w14:textId="77777777" w:rsidR="003067A0" w:rsidRPr="00C460FF" w:rsidRDefault="003067A0" w:rsidP="005273D4">
      <w:pPr>
        <w:ind w:left="709" w:right="709"/>
        <w:contextualSpacing/>
        <w:jc w:val="both"/>
        <w:rPr>
          <w:rFonts w:ascii="Arial" w:eastAsia="Calibri" w:hAnsi="Arial" w:cs="Arial"/>
          <w:sz w:val="21"/>
          <w:szCs w:val="21"/>
          <w:lang w:val="es-ES"/>
        </w:rPr>
      </w:pPr>
      <w:r w:rsidRPr="00C460FF">
        <w:rPr>
          <w:rFonts w:ascii="Arial" w:eastAsia="Calibri" w:hAnsi="Arial" w:cs="Arial"/>
          <w:sz w:val="21"/>
          <w:szCs w:val="21"/>
          <w:lang w:val="es-ES"/>
        </w:rPr>
        <w:t xml:space="preserve">Para ello, atendiendo a las condiciones aludidas, en relación con los indicadores de la capacidad financiera y organizacional, de los procesos de selección cuyo </w:t>
      </w:r>
      <w:r w:rsidRPr="00C460FF">
        <w:rPr>
          <w:rFonts w:ascii="Arial" w:eastAsia="Calibri" w:hAnsi="Arial" w:cs="Arial"/>
          <w:sz w:val="21"/>
          <w:szCs w:val="21"/>
          <w:lang w:val="es-ES"/>
        </w:rPr>
        <w:lastRenderedPageBreak/>
        <w:t>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8EEA7C9" w14:textId="77777777" w:rsidR="003067A0" w:rsidRPr="00C460FF" w:rsidRDefault="003067A0" w:rsidP="005273D4">
      <w:pPr>
        <w:ind w:firstLine="709"/>
        <w:contextualSpacing/>
        <w:jc w:val="both"/>
        <w:rPr>
          <w:rFonts w:ascii="Arial" w:eastAsia="Calibri" w:hAnsi="Arial" w:cs="Arial"/>
          <w:sz w:val="22"/>
          <w:lang w:val="es-ES"/>
        </w:rPr>
      </w:pPr>
    </w:p>
    <w:p w14:paraId="76A7D456" w14:textId="77777777" w:rsidR="003067A0" w:rsidRPr="00C460FF" w:rsidRDefault="003067A0" w:rsidP="002B3064">
      <w:pPr>
        <w:spacing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Como se observa, el parágrafo transitorio, agregado al artículo 2.2.1.1.1.6.2. del Decreto 1082 de 2015 por el artículo 6 del Decreto 399 de 2021 y sustituido por el artículo 3 del Decreto 579 de 2021, establece que:</w:t>
      </w:r>
    </w:p>
    <w:p w14:paraId="1F89CD12" w14:textId="77777777" w:rsidR="003067A0" w:rsidRPr="00C460FF" w:rsidRDefault="003067A0" w:rsidP="002B3064">
      <w:pPr>
        <w:spacing w:before="120"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048CFFB0" w14:textId="77777777" w:rsidR="003067A0" w:rsidRPr="00C460FF" w:rsidRDefault="003067A0" w:rsidP="002B3064">
      <w:pPr>
        <w:spacing w:before="120" w:after="120" w:line="276" w:lineRule="auto"/>
        <w:ind w:firstLine="709"/>
        <w:jc w:val="both"/>
        <w:rPr>
          <w:rFonts w:ascii="Arial" w:eastAsia="Calibri" w:hAnsi="Arial" w:cs="Arial"/>
          <w:sz w:val="22"/>
          <w:lang w:val="es-ES"/>
        </w:rPr>
      </w:pPr>
      <w:proofErr w:type="spellStart"/>
      <w:r w:rsidRPr="00C460FF">
        <w:rPr>
          <w:rFonts w:ascii="Arial" w:eastAsia="Calibri" w:hAnsi="Arial" w:cs="Arial"/>
          <w:sz w:val="22"/>
          <w:lang w:val="es-ES"/>
        </w:rPr>
        <w:t>ii</w:t>
      </w:r>
      <w:proofErr w:type="spellEnd"/>
      <w:r w:rsidRPr="00C460FF">
        <w:rPr>
          <w:rFonts w:ascii="Arial" w:eastAsia="Calibri" w:hAnsi="Arial" w:cs="Arial"/>
          <w:sz w:val="22"/>
          <w:lang w:val="es-ES"/>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3039B5BD" w14:textId="77777777" w:rsidR="003067A0" w:rsidRPr="00C460FF" w:rsidRDefault="003067A0" w:rsidP="002B3064">
      <w:pPr>
        <w:spacing w:before="120" w:after="120" w:line="276" w:lineRule="auto"/>
        <w:ind w:firstLine="709"/>
        <w:jc w:val="both"/>
        <w:rPr>
          <w:rFonts w:ascii="Arial" w:eastAsia="Calibri" w:hAnsi="Arial" w:cs="Arial"/>
          <w:sz w:val="22"/>
          <w:lang w:val="es-ES"/>
        </w:rPr>
      </w:pPr>
      <w:proofErr w:type="spellStart"/>
      <w:r w:rsidRPr="00C460FF">
        <w:rPr>
          <w:rFonts w:ascii="Arial" w:eastAsia="Calibri" w:hAnsi="Arial" w:cs="Arial"/>
          <w:sz w:val="22"/>
          <w:lang w:val="es-ES"/>
        </w:rPr>
        <w:t>iii</w:t>
      </w:r>
      <w:proofErr w:type="spellEnd"/>
      <w:r w:rsidRPr="00C460FF">
        <w:rPr>
          <w:rFonts w:ascii="Arial" w:eastAsia="Calibri" w:hAnsi="Arial" w:cs="Arial"/>
          <w:sz w:val="22"/>
          <w:lang w:val="es-ES"/>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30FDF358" w14:textId="77777777" w:rsidR="003067A0" w:rsidRPr="00C460FF" w:rsidRDefault="003067A0" w:rsidP="002B3064">
      <w:pPr>
        <w:spacing w:before="120" w:after="120" w:line="276" w:lineRule="auto"/>
        <w:ind w:firstLine="709"/>
        <w:jc w:val="both"/>
        <w:rPr>
          <w:rFonts w:ascii="Arial" w:eastAsia="Calibri" w:hAnsi="Arial" w:cs="Arial"/>
          <w:sz w:val="22"/>
          <w:lang w:val="es-ES"/>
        </w:rPr>
      </w:pPr>
      <w:proofErr w:type="spellStart"/>
      <w:r w:rsidRPr="00C460FF">
        <w:rPr>
          <w:rFonts w:ascii="Arial" w:eastAsia="Calibri" w:hAnsi="Arial" w:cs="Arial"/>
          <w:sz w:val="22"/>
          <w:lang w:val="es-ES"/>
        </w:rPr>
        <w:t>iv</w:t>
      </w:r>
      <w:proofErr w:type="spellEnd"/>
      <w:r w:rsidRPr="00C460FF">
        <w:rPr>
          <w:rFonts w:ascii="Arial" w:eastAsia="Calibri" w:hAnsi="Arial" w:cs="Arial"/>
          <w:sz w:val="22"/>
          <w:lang w:val="es-ES"/>
        </w:rPr>
        <w:t xml:space="preserve">) A partir de la fecha establecida anteriormente, la evaluación de los indicadores de capacidad </w:t>
      </w:r>
      <w:r w:rsidRPr="00C460FF">
        <w:rPr>
          <w:rFonts w:ascii="Arial" w:eastAsia="Calibri" w:hAnsi="Arial" w:cs="Arial"/>
          <w:i/>
          <w:iCs/>
          <w:sz w:val="22"/>
          <w:lang w:val="es-ES"/>
        </w:rPr>
        <w:t>financiera –</w:t>
      </w:r>
      <w:r w:rsidRPr="00C460FF">
        <w:rPr>
          <w:rFonts w:ascii="Arial" w:eastAsia="Calibri" w:hAnsi="Arial" w:cs="Arial"/>
          <w:sz w:val="22"/>
          <w:lang w:val="es-ES"/>
        </w:rPr>
        <w:t xml:space="preserve">índice de liquidez, índice de endeudamiento y razón de cobertura de intereses– y </w:t>
      </w:r>
      <w:r w:rsidRPr="00C460FF">
        <w:rPr>
          <w:rFonts w:ascii="Arial" w:eastAsia="Calibri" w:hAnsi="Arial" w:cs="Arial"/>
          <w:i/>
          <w:iCs/>
          <w:sz w:val="22"/>
          <w:lang w:val="es-ES"/>
        </w:rPr>
        <w:t>organizacional</w:t>
      </w:r>
      <w:r w:rsidRPr="00C460FF">
        <w:rPr>
          <w:rFonts w:ascii="Arial" w:eastAsia="Calibri" w:hAnsi="Arial" w:cs="Arial"/>
          <w:sz w:val="22"/>
          <w:lang w:val="es-ES"/>
        </w:rPr>
        <w:t xml:space="preserve"> –rentabilidad del patrimonio y rentabilidad del activo–, se deberá realizar por parte de las entidades estatales «teniendo en cuenta </w:t>
      </w:r>
      <w:r w:rsidRPr="00C460FF">
        <w:rPr>
          <w:rFonts w:ascii="Arial" w:eastAsia="Calibri" w:hAnsi="Arial" w:cs="Arial"/>
          <w:i/>
          <w:iCs/>
          <w:sz w:val="22"/>
          <w:lang w:val="es-ES"/>
        </w:rPr>
        <w:t>el mejor año fiscal que se refleje en el registro</w:t>
      </w:r>
      <w:r w:rsidRPr="00C460FF">
        <w:rPr>
          <w:rFonts w:ascii="Arial" w:eastAsia="Calibri" w:hAnsi="Arial" w:cs="Arial"/>
          <w:sz w:val="22"/>
          <w:lang w:val="es-ES"/>
        </w:rPr>
        <w:t xml:space="preserve"> de cada proponente» (énfasis fuera de texto). </w:t>
      </w:r>
    </w:p>
    <w:p w14:paraId="196D4F16" w14:textId="49A0D296" w:rsidR="003067A0" w:rsidRPr="00C460FF" w:rsidRDefault="003067A0" w:rsidP="002B3064">
      <w:pPr>
        <w:spacing w:before="120"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Es decir, como el certificado del RUP debe contener la información financiera y organizacional del proponente correspondiente a los últimos tres</w:t>
      </w:r>
      <w:r w:rsidR="00CE6FA5" w:rsidRPr="00C460FF">
        <w:rPr>
          <w:rFonts w:ascii="Arial" w:eastAsia="Calibri" w:hAnsi="Arial" w:cs="Arial"/>
          <w:sz w:val="22"/>
          <w:lang w:val="es-ES"/>
        </w:rPr>
        <w:t xml:space="preserve"> (3)</w:t>
      </w:r>
      <w:r w:rsidRPr="00C460FF">
        <w:rPr>
          <w:rFonts w:ascii="Arial" w:eastAsia="Calibri" w:hAnsi="Arial" w:cs="Arial"/>
          <w:sz w:val="22"/>
          <w:lang w:val="es-ES"/>
        </w:rPr>
        <w:t xml:space="preserve">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C460FF">
        <w:rPr>
          <w:rFonts w:ascii="Arial" w:hAnsi="Arial" w:cs="Arial"/>
          <w:sz w:val="22"/>
          <w:lang w:val="es-ES"/>
        </w:rPr>
        <w:t xml:space="preserve">[…] </w:t>
      </w:r>
      <w:r w:rsidRPr="00C460FF">
        <w:rPr>
          <w:rFonts w:ascii="Arial" w:eastAsia="Calibri" w:hAnsi="Arial" w:cs="Arial"/>
          <w:sz w:val="22"/>
          <w:lang w:val="es-ES"/>
        </w:rPr>
        <w:t xml:space="preserve">las Entidades Estatales evaluarán estos indicadores, teniendo en cuenta el mejor año fiscal que se refleje en el registro de cada proponente», significa que deben examinar los </w:t>
      </w:r>
      <w:r w:rsidRPr="00C460FF">
        <w:rPr>
          <w:rFonts w:ascii="Arial" w:eastAsia="Calibri" w:hAnsi="Arial" w:cs="Arial"/>
          <w:sz w:val="22"/>
          <w:lang w:val="es-ES"/>
        </w:rPr>
        <w:lastRenderedPageBreak/>
        <w:t>años certificados en el RUP y escoger para ser evaluado el que refleje mejores indicadores de capacidad financiera y organizacional, que permita al proponente cumplir los requisitos habilitantes de capacidad financiera y capacidad organizacional.</w:t>
      </w:r>
    </w:p>
    <w:p w14:paraId="117FC9D9" w14:textId="2909CDB9" w:rsidR="003067A0" w:rsidRPr="00C460FF" w:rsidRDefault="003067A0" w:rsidP="002B3064">
      <w:pPr>
        <w:spacing w:before="120" w:after="120" w:line="276" w:lineRule="auto"/>
        <w:ind w:firstLine="709"/>
        <w:jc w:val="both"/>
        <w:rPr>
          <w:rFonts w:ascii="Arial" w:eastAsia="Calibri" w:hAnsi="Arial" w:cs="Arial"/>
          <w:sz w:val="22"/>
          <w:szCs w:val="22"/>
          <w:lang w:val="es-ES"/>
        </w:rPr>
      </w:pPr>
      <w:r w:rsidRPr="00C460FF">
        <w:rPr>
          <w:rFonts w:ascii="Arial" w:eastAsia="Calibri" w:hAnsi="Arial" w:cs="Arial"/>
          <w:sz w:val="22"/>
          <w:szCs w:val="22"/>
          <w:lang w:val="es-ES"/>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C460FF">
        <w:rPr>
          <w:rFonts w:ascii="Arial" w:eastAsia="Calibri" w:hAnsi="Arial" w:cs="Arial"/>
          <w:i/>
          <w:iCs/>
          <w:sz w:val="22"/>
          <w:szCs w:val="22"/>
          <w:lang w:val="es-ES"/>
        </w:rPr>
        <w:t>por cada indicador</w:t>
      </w:r>
      <w:r w:rsidRPr="00C460FF">
        <w:rPr>
          <w:rFonts w:ascii="Arial" w:eastAsia="Calibri" w:hAnsi="Arial" w:cs="Arial"/>
          <w:sz w:val="22"/>
          <w:szCs w:val="22"/>
          <w:lang w:val="es-ES"/>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79605F46" w14:textId="77777777" w:rsidR="009B2349" w:rsidRPr="00C460FF" w:rsidRDefault="009B2349" w:rsidP="002B3064">
      <w:pPr>
        <w:spacing w:before="120" w:after="120" w:line="276" w:lineRule="auto"/>
        <w:ind w:firstLine="709"/>
        <w:jc w:val="both"/>
        <w:rPr>
          <w:rFonts w:ascii="Arial" w:eastAsia="Calibri" w:hAnsi="Arial" w:cs="Arial"/>
          <w:sz w:val="22"/>
          <w:szCs w:val="22"/>
          <w:lang w:val="es-ES"/>
        </w:rPr>
      </w:pPr>
      <w:r w:rsidRPr="00C460FF">
        <w:rPr>
          <w:rFonts w:ascii="Arial" w:eastAsia="Calibri" w:hAnsi="Arial" w:cs="Arial"/>
          <w:sz w:val="22"/>
          <w:szCs w:val="22"/>
          <w:lang w:val="es-ES"/>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6E6F4EEA" w14:textId="77777777" w:rsidR="003067A0" w:rsidRPr="00C460FF" w:rsidRDefault="003067A0" w:rsidP="002B3064">
      <w:pPr>
        <w:spacing w:before="120" w:after="120" w:line="276" w:lineRule="auto"/>
        <w:ind w:firstLine="709"/>
        <w:jc w:val="both"/>
        <w:rPr>
          <w:rFonts w:ascii="Arial" w:eastAsia="Calibri" w:hAnsi="Arial" w:cs="Arial"/>
          <w:sz w:val="22"/>
          <w:lang w:val="es-ES"/>
        </w:rPr>
      </w:pPr>
      <w:r w:rsidRPr="00C460FF">
        <w:rPr>
          <w:rFonts w:ascii="Arial" w:eastAsia="Calibri" w:hAnsi="Arial" w:cs="Arial"/>
          <w:sz w:val="22"/>
          <w:lang w:val="es-ES"/>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27576D78" w14:textId="45002345" w:rsidR="002B3064" w:rsidRPr="00C460FF" w:rsidRDefault="009A5D09" w:rsidP="007444FF">
      <w:pPr>
        <w:spacing w:before="120" w:line="276" w:lineRule="auto"/>
        <w:ind w:firstLine="709"/>
        <w:contextualSpacing/>
        <w:jc w:val="both"/>
        <w:rPr>
          <w:rFonts w:ascii="Arial" w:hAnsi="Arial" w:cs="Arial"/>
          <w:sz w:val="22"/>
          <w:szCs w:val="22"/>
        </w:rPr>
      </w:pPr>
      <w:r w:rsidRPr="00C460FF">
        <w:rPr>
          <w:rFonts w:ascii="Arial" w:eastAsia="Calibri" w:hAnsi="Arial" w:cs="Arial"/>
          <w:sz w:val="22"/>
        </w:rPr>
        <w:lastRenderedPageBreak/>
        <w:t>Ahora bien, l</w:t>
      </w:r>
      <w:r w:rsidRPr="00C460FF">
        <w:rPr>
          <w:rFonts w:ascii="Arial" w:hAnsi="Arial" w:cs="Arial"/>
          <w:sz w:val="22"/>
          <w:szCs w:val="22"/>
        </w:rPr>
        <w:t xml:space="preserve">os Decretos 399 y 579 de 2021 son normas reglamentarias de la Ley 1150 de 2007, incorporadas al Decreto 1082 de 2015, que rigen desde su publicación. </w:t>
      </w:r>
      <w:r w:rsidR="002C0B09" w:rsidRPr="00C460FF">
        <w:rPr>
          <w:rFonts w:ascii="Arial" w:eastAsia="Calibri" w:hAnsi="Arial" w:cs="Arial"/>
          <w:sz w:val="22"/>
        </w:rPr>
        <w:t xml:space="preserve">Como se aprecia, los parágrafos transitorios modificados por los artículos 2 y 3 del Decreto 579 de 2021, establecen la fecha de 1 de julio de 2021, como el momento a partir del cual se integran al RUP los indicadores de la capacidad financiera y organizacional de los últimos tres (3) años, así como el deber de las entidades de evaluar tales requisitos habilitantes con «mejor año fiscal» de entre esos que sean certificados por la respectiva cámara de comercio. </w:t>
      </w:r>
      <w:r w:rsidR="002B3064" w:rsidRPr="00C460FF">
        <w:rPr>
          <w:rFonts w:ascii="Arial" w:hAnsi="Arial" w:cs="Arial"/>
          <w:sz w:val="22"/>
          <w:szCs w:val="22"/>
        </w:rPr>
        <w:t xml:space="preserve">No obstante, los parágrafos transitorios delimitan su campo de acción temporalmente, pues serán aplicables para la inscripción de información financiera y contable en el RUP desde 1° de junio de 2021 y también se aplicarán para la inscripción o renovación del RUP en el año 2022, información que a su vez será certificada por las cámaras de comercio y evaluada por las entidades estatales según las reglas transitorias explicadas en el acápite anterior. Mientras el Gobierno Nacional no modifique la reglamentación transitoria, esta solo regirá en los años mencionados. </w:t>
      </w:r>
    </w:p>
    <w:p w14:paraId="36062378" w14:textId="77777777" w:rsidR="001B6C76" w:rsidRPr="00C460FF" w:rsidRDefault="001B6C76" w:rsidP="001B6C76">
      <w:pPr>
        <w:spacing w:line="276" w:lineRule="auto"/>
        <w:ind w:firstLine="709"/>
        <w:contextualSpacing/>
        <w:jc w:val="both"/>
        <w:rPr>
          <w:rFonts w:ascii="Arial" w:hAnsi="Arial" w:cs="Arial"/>
          <w:sz w:val="22"/>
          <w:szCs w:val="22"/>
        </w:rPr>
      </w:pPr>
    </w:p>
    <w:p w14:paraId="289EACD7" w14:textId="77777777" w:rsidR="003067A0" w:rsidRPr="00C460FF" w:rsidRDefault="003067A0" w:rsidP="001B6C76">
      <w:pPr>
        <w:tabs>
          <w:tab w:val="left" w:pos="0"/>
        </w:tabs>
        <w:spacing w:line="276" w:lineRule="auto"/>
        <w:contextualSpacing/>
        <w:jc w:val="both"/>
        <w:rPr>
          <w:rFonts w:ascii="Arial" w:eastAsia="Calibri" w:hAnsi="Arial" w:cs="Arial"/>
          <w:b/>
          <w:sz w:val="22"/>
          <w:szCs w:val="22"/>
          <w:lang w:val="es-ES"/>
        </w:rPr>
      </w:pPr>
      <w:r w:rsidRPr="00C460FF">
        <w:rPr>
          <w:rFonts w:ascii="Arial" w:eastAsia="Calibri" w:hAnsi="Arial" w:cs="Arial"/>
          <w:b/>
          <w:sz w:val="22"/>
          <w:szCs w:val="22"/>
          <w:lang w:val="es-ES"/>
        </w:rPr>
        <w:t>3. Respuesta</w:t>
      </w:r>
    </w:p>
    <w:p w14:paraId="6A597152" w14:textId="77777777" w:rsidR="003067A0" w:rsidRPr="00C460FF" w:rsidRDefault="003067A0" w:rsidP="001B6C76">
      <w:pPr>
        <w:tabs>
          <w:tab w:val="left" w:pos="0"/>
        </w:tabs>
        <w:ind w:firstLine="709"/>
        <w:contextualSpacing/>
        <w:jc w:val="both"/>
        <w:rPr>
          <w:rFonts w:ascii="Arial" w:eastAsia="Calibri" w:hAnsi="Arial" w:cs="Arial"/>
          <w:b/>
          <w:sz w:val="22"/>
          <w:szCs w:val="22"/>
          <w:lang w:val="es-ES"/>
        </w:rPr>
      </w:pPr>
    </w:p>
    <w:p w14:paraId="5EA42F12" w14:textId="77777777" w:rsidR="001B6C76" w:rsidRPr="00C460FF" w:rsidRDefault="001B6C76" w:rsidP="001B6C76">
      <w:pPr>
        <w:ind w:left="709" w:right="709"/>
        <w:contextualSpacing/>
        <w:jc w:val="both"/>
        <w:rPr>
          <w:rFonts w:ascii="Arial" w:hAnsi="Arial" w:cs="Arial"/>
          <w:sz w:val="21"/>
          <w:szCs w:val="21"/>
          <w:lang w:val="es-ES"/>
        </w:rPr>
      </w:pPr>
      <w:r w:rsidRPr="00C460FF">
        <w:rPr>
          <w:rFonts w:ascii="Arial" w:hAnsi="Arial" w:cs="Arial"/>
          <w:sz w:val="21"/>
          <w:szCs w:val="21"/>
          <w:lang w:val="es-ES"/>
        </w:rPr>
        <w:t>«</w:t>
      </w:r>
      <w:r w:rsidRPr="00C460FF">
        <w:rPr>
          <w:rFonts w:ascii="Arial" w:hAnsi="Arial" w:cs="Arial"/>
          <w:sz w:val="21"/>
          <w:szCs w:val="21"/>
        </w:rPr>
        <w:t>Para la contratación con las entidades de gobierno, hasta el año pasado, se podían tomar</w:t>
      </w:r>
      <w:proofErr w:type="gramStart"/>
      <w:r w:rsidRPr="00C460FF">
        <w:rPr>
          <w:rFonts w:ascii="Arial" w:hAnsi="Arial" w:cs="Arial"/>
          <w:sz w:val="21"/>
          <w:szCs w:val="21"/>
        </w:rPr>
        <w:t>, ,por</w:t>
      </w:r>
      <w:proofErr w:type="gramEnd"/>
      <w:r w:rsidRPr="00C460FF">
        <w:rPr>
          <w:rFonts w:ascii="Arial" w:hAnsi="Arial" w:cs="Arial"/>
          <w:sz w:val="21"/>
          <w:szCs w:val="21"/>
        </w:rPr>
        <w:t xml:space="preserve"> efectos de la pandemia, los mejores indicadores económicos de los últimos tres años consignados en el RUP. Quisiera saber si esta situación sigue vigente o la entidad debe tomar los del último año como se </w:t>
      </w:r>
      <w:proofErr w:type="spellStart"/>
      <w:r w:rsidRPr="00C460FF">
        <w:rPr>
          <w:rFonts w:ascii="Arial" w:hAnsi="Arial" w:cs="Arial"/>
          <w:sz w:val="21"/>
          <w:szCs w:val="21"/>
        </w:rPr>
        <w:t>hacia</w:t>
      </w:r>
      <w:proofErr w:type="spellEnd"/>
      <w:r w:rsidRPr="00C460FF">
        <w:rPr>
          <w:rFonts w:ascii="Arial" w:hAnsi="Arial" w:cs="Arial"/>
          <w:sz w:val="21"/>
          <w:szCs w:val="21"/>
        </w:rPr>
        <w:t xml:space="preserve"> antes</w:t>
      </w:r>
      <w:r w:rsidRPr="00C460FF">
        <w:rPr>
          <w:rFonts w:ascii="Arial" w:hAnsi="Arial" w:cs="Arial"/>
          <w:sz w:val="21"/>
          <w:szCs w:val="21"/>
          <w:lang w:val="es-ES"/>
        </w:rPr>
        <w:t>». (SIC)</w:t>
      </w:r>
    </w:p>
    <w:p w14:paraId="6CF7CC3E" w14:textId="77777777" w:rsidR="001B6C76" w:rsidRPr="00C460FF" w:rsidRDefault="001B6C76" w:rsidP="008E4EF9">
      <w:pPr>
        <w:spacing w:line="276" w:lineRule="auto"/>
        <w:contextualSpacing/>
        <w:jc w:val="both"/>
        <w:rPr>
          <w:rFonts w:ascii="Arial" w:eastAsia="Calibri" w:hAnsi="Arial" w:cs="Arial"/>
          <w:sz w:val="22"/>
          <w:lang w:val="es-ES"/>
        </w:rPr>
      </w:pPr>
    </w:p>
    <w:p w14:paraId="7CFD2022" w14:textId="77777777" w:rsidR="00956D3F" w:rsidRPr="00C460FF" w:rsidRDefault="00686AC0" w:rsidP="00956D3F">
      <w:pPr>
        <w:spacing w:after="120" w:line="276" w:lineRule="auto"/>
        <w:jc w:val="both"/>
        <w:rPr>
          <w:rFonts w:ascii="Arial" w:hAnsi="Arial" w:cs="Arial"/>
          <w:sz w:val="22"/>
        </w:rPr>
      </w:pPr>
      <w:r w:rsidRPr="00C460FF">
        <w:rPr>
          <w:rFonts w:ascii="Arial" w:hAnsi="Arial" w:cs="Arial"/>
          <w:sz w:val="22"/>
        </w:rPr>
        <w:t xml:space="preserve">Conforme a lo expuesto, el artículo 5 del Decreto 399 de 2020, sustituido por el artículo 5 del Decreto 579 de 2021, a partir del 1 de julio de 2021, en el RUP debe reflejarse la información de los últimos tres (3) años anteriores a la inscripción o renovación, de los indicadores de capacidad financiera y organizacional. Por su parte, el parágrafo transitorio 1 del artículo 6 del Decreto 399 de 2021, sustituido por el artículo 3 del Decreto 579 de 2021, establece que, a partir del 1 de julio de 2021, las entidades estatales en sus procesos de selección, al verificar el cumplimiento de los requisitos habilitantes de capacidad financiera y organizacional, con los indicadores del «mejor año fiscal» del RUP de cada proponente. </w:t>
      </w:r>
      <w:r w:rsidRPr="00C460FF">
        <w:rPr>
          <w:rFonts w:ascii="Arial" w:hAnsi="Arial" w:cs="Arial"/>
          <w:sz w:val="22"/>
        </w:rPr>
        <w:tab/>
        <w:t>En ese sentido, a partir del 1 de julio de 2021 comenzó a ser obligatorio para las entidades estales, evaluar los requisitos habilitantes de capacidad financiera y organizacional, con el «mejor año fiscal», de entre los tres (3) certificados en el RUP, en atención a lo dispuesto por los Decreto 399 y 579 de 2021.</w:t>
      </w:r>
    </w:p>
    <w:p w14:paraId="3B82CE49" w14:textId="02A03CFA" w:rsidR="008E4EF9" w:rsidRPr="00C460FF" w:rsidRDefault="008E4EF9" w:rsidP="00956D3F">
      <w:pPr>
        <w:spacing w:line="276" w:lineRule="auto"/>
        <w:ind w:firstLine="708"/>
        <w:jc w:val="both"/>
        <w:rPr>
          <w:rFonts w:ascii="Arial" w:hAnsi="Arial" w:cs="Arial"/>
          <w:sz w:val="22"/>
        </w:rPr>
      </w:pPr>
      <w:r w:rsidRPr="00C460FF">
        <w:rPr>
          <w:rFonts w:ascii="Arial" w:hAnsi="Arial" w:cs="Arial"/>
          <w:sz w:val="22"/>
          <w:szCs w:val="22"/>
        </w:rPr>
        <w:t xml:space="preserve">No obstante, los parágrafos transitorios delimitan su campo de acción temporalmente, pues serán aplicables para la inscripción de información financiera y contable en el RUP desde 1° de junio de 2021 y también se aplicarán para la inscripción o renovación del RUP en el año 2022, información que a su vez será certificada por las cámaras de comercio y evaluada por las entidades estatales según las reglas transitorias </w:t>
      </w:r>
      <w:r w:rsidRPr="00C460FF">
        <w:rPr>
          <w:rFonts w:ascii="Arial" w:hAnsi="Arial" w:cs="Arial"/>
          <w:sz w:val="22"/>
          <w:szCs w:val="22"/>
        </w:rPr>
        <w:lastRenderedPageBreak/>
        <w:t xml:space="preserve">explicadas en el acápite anterior. Mientras el Gobierno Nacional no modifique la reglamentación transitoria, esta solo regirá en los años mencionados. </w:t>
      </w:r>
    </w:p>
    <w:p w14:paraId="6FB277B4" w14:textId="77777777" w:rsidR="003067A0" w:rsidRPr="00C460FF" w:rsidRDefault="003067A0" w:rsidP="008E4EF9">
      <w:pPr>
        <w:contextualSpacing/>
        <w:jc w:val="both"/>
        <w:rPr>
          <w:rFonts w:ascii="Arial" w:eastAsia="Calibri" w:hAnsi="Arial" w:cs="Arial"/>
          <w:sz w:val="22"/>
          <w:lang w:val="es-ES"/>
        </w:rPr>
      </w:pPr>
    </w:p>
    <w:p w14:paraId="2CA732B9" w14:textId="77777777" w:rsidR="003067A0" w:rsidRPr="00C460FF" w:rsidRDefault="003067A0" w:rsidP="003067A0">
      <w:pPr>
        <w:spacing w:line="276" w:lineRule="auto"/>
        <w:jc w:val="both"/>
        <w:rPr>
          <w:rFonts w:ascii="Arial" w:eastAsia="Calibri" w:hAnsi="Arial" w:cs="Arial"/>
          <w:sz w:val="22"/>
          <w:lang w:val="es-ES"/>
        </w:rPr>
      </w:pPr>
      <w:r w:rsidRPr="00C460FF">
        <w:rPr>
          <w:rFonts w:ascii="Arial" w:hAnsi="Arial" w:cs="Arial"/>
          <w:sz w:val="22"/>
          <w:lang w:val="es-ES"/>
        </w:rPr>
        <w:t>Este concepto tiene el alcance previsto en el artículo 28 del Código de Procedimiento Administrativo y de lo Contencioso Administrativo.</w:t>
      </w:r>
    </w:p>
    <w:p w14:paraId="2551A047" w14:textId="77777777" w:rsidR="003067A0" w:rsidRPr="00C460FF" w:rsidRDefault="003067A0" w:rsidP="003067A0">
      <w:pPr>
        <w:spacing w:line="276" w:lineRule="auto"/>
        <w:ind w:firstLine="709"/>
        <w:jc w:val="both"/>
        <w:rPr>
          <w:rFonts w:ascii="Arial" w:hAnsi="Arial" w:cs="Arial"/>
          <w:sz w:val="22"/>
          <w:lang w:val="es-ES" w:eastAsia="es-CO"/>
        </w:rPr>
      </w:pPr>
    </w:p>
    <w:p w14:paraId="477E78B1" w14:textId="77777777" w:rsidR="003067A0" w:rsidRPr="00C460FF" w:rsidRDefault="003067A0" w:rsidP="003067A0">
      <w:pPr>
        <w:spacing w:line="276" w:lineRule="auto"/>
        <w:jc w:val="both"/>
        <w:rPr>
          <w:rFonts w:ascii="Arial" w:hAnsi="Arial" w:cs="Arial"/>
          <w:sz w:val="22"/>
          <w:lang w:val="es-ES" w:eastAsia="es-CO"/>
        </w:rPr>
      </w:pPr>
      <w:r w:rsidRPr="00C460FF">
        <w:rPr>
          <w:rFonts w:ascii="Arial" w:hAnsi="Arial" w:cs="Arial"/>
          <w:sz w:val="22"/>
          <w:lang w:val="es-ES" w:eastAsia="es-CO"/>
        </w:rPr>
        <w:t>Atentamente,</w:t>
      </w:r>
    </w:p>
    <w:p w14:paraId="59E90148" w14:textId="77777777" w:rsidR="003067A0" w:rsidRPr="00C460FF" w:rsidRDefault="003067A0" w:rsidP="003067A0">
      <w:pPr>
        <w:spacing w:line="276" w:lineRule="auto"/>
        <w:jc w:val="both"/>
        <w:rPr>
          <w:rFonts w:ascii="Arial" w:hAnsi="Arial" w:cs="Arial"/>
          <w:sz w:val="22"/>
          <w:lang w:val="es-ES" w:eastAsia="es-CO"/>
        </w:rPr>
      </w:pPr>
    </w:p>
    <w:p w14:paraId="5AE2FEF9" w14:textId="7B17FD93" w:rsidR="003067A0" w:rsidRDefault="00734D65" w:rsidP="003067A0">
      <w:pPr>
        <w:pStyle w:val="NormalWeb"/>
        <w:spacing w:before="0" w:beforeAutospacing="0" w:after="0" w:afterAutospacing="0" w:line="276" w:lineRule="auto"/>
        <w:jc w:val="center"/>
        <w:rPr>
          <w:color w:val="000000"/>
          <w:shd w:val="clear" w:color="auto" w:fill="FFFFFF"/>
        </w:rPr>
      </w:pPr>
      <w:r>
        <w:rPr>
          <w:rFonts w:ascii="Arial" w:hAnsi="Arial" w:cs="Arial"/>
          <w:noProof/>
          <w:sz w:val="18"/>
          <w:szCs w:val="18"/>
          <w:shd w:val="clear" w:color="auto" w:fill="FFFFFF"/>
          <w:lang w:val="es-ES"/>
        </w:rPr>
        <w:drawing>
          <wp:inline distT="0" distB="0" distL="0" distR="0" wp14:anchorId="0C2A45AD" wp14:editId="4470FB17">
            <wp:extent cx="2472875" cy="1093304"/>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413" cy="1097521"/>
                    </a:xfrm>
                    <a:prstGeom prst="rect">
                      <a:avLst/>
                    </a:prstGeom>
                    <a:noFill/>
                    <a:ln>
                      <a:noFill/>
                    </a:ln>
                  </pic:spPr>
                </pic:pic>
              </a:graphicData>
            </a:graphic>
          </wp:inline>
        </w:drawing>
      </w:r>
    </w:p>
    <w:p w14:paraId="6267EA29" w14:textId="77777777" w:rsidR="00734D65" w:rsidRPr="00C460FF" w:rsidRDefault="00734D65" w:rsidP="003067A0">
      <w:pPr>
        <w:pStyle w:val="NormalWeb"/>
        <w:spacing w:before="0" w:beforeAutospacing="0" w:after="0" w:afterAutospacing="0" w:line="276" w:lineRule="auto"/>
        <w:jc w:val="center"/>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460FF" w:rsidRPr="00C460FF" w14:paraId="7D7800EA" w14:textId="77777777" w:rsidTr="00727D19">
        <w:trPr>
          <w:trHeight w:val="315"/>
        </w:trPr>
        <w:tc>
          <w:tcPr>
            <w:tcW w:w="812" w:type="dxa"/>
            <w:vAlign w:val="center"/>
            <w:hideMark/>
          </w:tcPr>
          <w:p w14:paraId="515C6BCD"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1A06D0A" w14:textId="023ED184" w:rsidR="003067A0" w:rsidRPr="00C460FF" w:rsidRDefault="001F5376" w:rsidP="00727D19">
            <w:pPr>
              <w:jc w:val="both"/>
              <w:rPr>
                <w:rFonts w:ascii="Arial" w:hAnsi="Arial" w:cs="Arial"/>
                <w:sz w:val="16"/>
                <w:szCs w:val="16"/>
                <w:lang w:eastAsia="es-ES"/>
              </w:rPr>
            </w:pPr>
            <w:r w:rsidRPr="00C460FF">
              <w:rPr>
                <w:rFonts w:ascii="Arial" w:hAnsi="Arial" w:cs="Arial"/>
                <w:sz w:val="16"/>
                <w:szCs w:val="16"/>
                <w:lang w:eastAsia="es-ES"/>
              </w:rPr>
              <w:t>Diana Lucia Saavedra Castañeda</w:t>
            </w:r>
          </w:p>
          <w:p w14:paraId="6284031B"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 xml:space="preserve">Contratista de la Subdirección de Gestión Contractual  </w:t>
            </w:r>
          </w:p>
        </w:tc>
      </w:tr>
      <w:tr w:rsidR="00C460FF" w:rsidRPr="00C460FF" w14:paraId="35C99A04" w14:textId="77777777" w:rsidTr="00727D19">
        <w:trPr>
          <w:trHeight w:val="330"/>
        </w:trPr>
        <w:tc>
          <w:tcPr>
            <w:tcW w:w="812" w:type="dxa"/>
            <w:vAlign w:val="center"/>
            <w:hideMark/>
          </w:tcPr>
          <w:p w14:paraId="7FC8169A"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E3CC7A" w14:textId="77777777" w:rsidR="003940D6" w:rsidRPr="00344ADB" w:rsidRDefault="003940D6" w:rsidP="003940D6">
            <w:pPr>
              <w:rPr>
                <w:rFonts w:ascii="Arial" w:hAnsi="Arial" w:cs="Arial"/>
                <w:sz w:val="16"/>
                <w:szCs w:val="16"/>
                <w:lang w:eastAsia="es-ES"/>
              </w:rPr>
            </w:pPr>
            <w:r w:rsidRPr="00344ADB">
              <w:rPr>
                <w:rFonts w:ascii="Arial" w:hAnsi="Arial" w:cs="Arial"/>
                <w:sz w:val="16"/>
                <w:szCs w:val="16"/>
                <w:lang w:eastAsia="es-ES"/>
              </w:rPr>
              <w:t xml:space="preserve">Alejandro Sarmiento Cantillo </w:t>
            </w:r>
          </w:p>
          <w:p w14:paraId="47B99658" w14:textId="61CBA2C3" w:rsidR="003067A0" w:rsidRPr="00AC12A5" w:rsidRDefault="003940D6" w:rsidP="003940D6">
            <w:pPr>
              <w:jc w:val="both"/>
              <w:rPr>
                <w:rFonts w:ascii="Arial" w:hAnsi="Arial" w:cs="Arial"/>
                <w:sz w:val="16"/>
                <w:szCs w:val="16"/>
                <w:lang w:eastAsia="es-ES"/>
              </w:rPr>
            </w:pPr>
            <w:r w:rsidRPr="00344ADB">
              <w:rPr>
                <w:rFonts w:ascii="Arial" w:hAnsi="Arial" w:cs="Arial"/>
                <w:sz w:val="16"/>
                <w:szCs w:val="16"/>
                <w:lang w:eastAsia="es-ES"/>
              </w:rPr>
              <w:t>Gestor T1-15 de la Subdirección de Gestión Contractual</w:t>
            </w:r>
          </w:p>
        </w:tc>
      </w:tr>
      <w:tr w:rsidR="00682279" w:rsidRPr="00C460FF" w14:paraId="338CE65C" w14:textId="77777777" w:rsidTr="00727D19">
        <w:trPr>
          <w:trHeight w:val="300"/>
        </w:trPr>
        <w:tc>
          <w:tcPr>
            <w:tcW w:w="812" w:type="dxa"/>
            <w:vAlign w:val="center"/>
            <w:hideMark/>
          </w:tcPr>
          <w:p w14:paraId="12266273"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9B84D5"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Jorge Augusto Tirado Navarro</w:t>
            </w:r>
          </w:p>
          <w:p w14:paraId="1A43BBEB" w14:textId="77777777" w:rsidR="003067A0" w:rsidRPr="00C460FF" w:rsidRDefault="003067A0" w:rsidP="00727D19">
            <w:pPr>
              <w:jc w:val="both"/>
              <w:rPr>
                <w:rFonts w:ascii="Arial" w:hAnsi="Arial" w:cs="Arial"/>
                <w:sz w:val="16"/>
                <w:szCs w:val="16"/>
                <w:lang w:eastAsia="es-ES"/>
              </w:rPr>
            </w:pPr>
            <w:r w:rsidRPr="00C460FF">
              <w:rPr>
                <w:rFonts w:ascii="Arial" w:hAnsi="Arial" w:cs="Arial"/>
                <w:sz w:val="16"/>
                <w:szCs w:val="16"/>
                <w:lang w:eastAsia="es-ES"/>
              </w:rPr>
              <w:t>Subdirector de Gestión Contractual ANCP – CCE</w:t>
            </w:r>
          </w:p>
        </w:tc>
      </w:tr>
    </w:tbl>
    <w:p w14:paraId="3F6E35E8" w14:textId="77777777" w:rsidR="003067A0" w:rsidRPr="00C460FF" w:rsidRDefault="003067A0" w:rsidP="003067A0"/>
    <w:p w14:paraId="0216E0FF" w14:textId="77777777" w:rsidR="003067A0" w:rsidRPr="00C460FF" w:rsidRDefault="003067A0" w:rsidP="003067A0">
      <w:pPr>
        <w:rPr>
          <w:lang w:val="es-ES"/>
        </w:rPr>
      </w:pPr>
    </w:p>
    <w:bookmarkEnd w:id="2"/>
    <w:p w14:paraId="434E43CB" w14:textId="77777777" w:rsidR="00AF65C1" w:rsidRPr="00C460FF" w:rsidRDefault="00AF65C1"/>
    <w:sectPr w:rsidR="00AF65C1" w:rsidRPr="00C460FF"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A65C" w14:textId="77777777" w:rsidR="00A55BC2" w:rsidRDefault="00A55BC2" w:rsidP="003067A0">
      <w:r>
        <w:separator/>
      </w:r>
    </w:p>
  </w:endnote>
  <w:endnote w:type="continuationSeparator" w:id="0">
    <w:p w14:paraId="077F9072" w14:textId="77777777" w:rsidR="00A55BC2" w:rsidRDefault="00A55BC2" w:rsidP="0030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E25F" w14:textId="77777777" w:rsidR="00C11BCD" w:rsidRDefault="00000000" w:rsidP="0043588C">
    <w:pPr>
      <w:pStyle w:val="Sinespaciado"/>
      <w:jc w:val="right"/>
      <w:rPr>
        <w:rFonts w:ascii="Arial" w:hAnsi="Arial" w:cs="Arial"/>
        <w:sz w:val="18"/>
        <w:szCs w:val="18"/>
      </w:rPr>
    </w:pPr>
  </w:p>
  <w:p w14:paraId="488A3260" w14:textId="77777777" w:rsidR="00C11BCD" w:rsidRDefault="00000000" w:rsidP="0043588C">
    <w:pPr>
      <w:pStyle w:val="Sinespaciado"/>
      <w:jc w:val="right"/>
      <w:rPr>
        <w:rFonts w:ascii="Arial" w:hAnsi="Arial" w:cs="Arial"/>
        <w:sz w:val="18"/>
        <w:szCs w:val="18"/>
      </w:rPr>
    </w:pPr>
  </w:p>
  <w:p w14:paraId="78BB5ADF" w14:textId="77777777" w:rsidR="00C11BCD" w:rsidRPr="00D36E83" w:rsidRDefault="0066028F"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469A2096" w14:textId="77777777" w:rsidR="00C11BCD" w:rsidRDefault="0066028F" w:rsidP="0043588C">
    <w:pPr>
      <w:pStyle w:val="Piedepgina"/>
      <w:jc w:val="center"/>
      <w:rPr>
        <w:lang w:val="es-ES"/>
      </w:rPr>
    </w:pPr>
    <w:r>
      <w:rPr>
        <w:noProof/>
        <w:lang w:val="en-US"/>
      </w:rPr>
      <w:drawing>
        <wp:inline distT="0" distB="0" distL="0" distR="0" wp14:anchorId="6CD55991" wp14:editId="4FD9F19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1E0F2D6" w14:textId="77777777" w:rsidR="00C11BCD" w:rsidRPr="00E756AC" w:rsidRDefault="00000000" w:rsidP="0043588C">
    <w:pPr>
      <w:pStyle w:val="Piedepgina"/>
      <w:jc w:val="center"/>
      <w:rPr>
        <w:sz w:val="18"/>
        <w:szCs w:val="18"/>
        <w:lang w:val="es-ES"/>
      </w:rPr>
    </w:pPr>
  </w:p>
  <w:p w14:paraId="4DD0B523" w14:textId="77777777" w:rsidR="00C11BCD" w:rsidRPr="00E756AC" w:rsidRDefault="00000000"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CAC9" w14:textId="77777777" w:rsidR="00A55BC2" w:rsidRDefault="00A55BC2" w:rsidP="003067A0">
      <w:r>
        <w:separator/>
      </w:r>
    </w:p>
  </w:footnote>
  <w:footnote w:type="continuationSeparator" w:id="0">
    <w:p w14:paraId="365B727D" w14:textId="77777777" w:rsidR="00A55BC2" w:rsidRDefault="00A55BC2" w:rsidP="003067A0">
      <w:r>
        <w:continuationSeparator/>
      </w:r>
    </w:p>
  </w:footnote>
  <w:footnote w:id="1">
    <w:p w14:paraId="6EE2CDDF" w14:textId="77777777" w:rsidR="003067A0" w:rsidRPr="00AC12A5" w:rsidRDefault="003067A0" w:rsidP="00AC12A5">
      <w:pPr>
        <w:pStyle w:val="Textonotapie"/>
        <w:ind w:firstLine="709"/>
        <w:contextualSpacing/>
        <w:jc w:val="both"/>
        <w:rPr>
          <w:rFonts w:ascii="Arial" w:hAnsi="Arial" w:cs="Arial"/>
          <w:color w:val="000000" w:themeColor="text1"/>
          <w:sz w:val="19"/>
          <w:szCs w:val="19"/>
        </w:rPr>
      </w:pPr>
      <w:r w:rsidRPr="00AC12A5">
        <w:rPr>
          <w:rStyle w:val="Refdenotaalpie"/>
          <w:rFonts w:ascii="Arial" w:hAnsi="Arial" w:cs="Arial"/>
          <w:sz w:val="19"/>
          <w:szCs w:val="19"/>
        </w:rPr>
        <w:footnoteRef/>
      </w:r>
      <w:r w:rsidRPr="00AC12A5">
        <w:rPr>
          <w:rFonts w:ascii="Arial" w:hAnsi="Arial" w:cs="Arial"/>
          <w:sz w:val="19"/>
          <w:szCs w:val="19"/>
        </w:rPr>
        <w:t xml:space="preserve"> Estos conceptos se encuentran publicados en la relatoría de la entidad. </w:t>
      </w:r>
      <w:hyperlink r:id="rId1" w:history="1">
        <w:r w:rsidRPr="00AC12A5">
          <w:rPr>
            <w:rStyle w:val="Hipervnculo"/>
            <w:rFonts w:ascii="Arial" w:hAnsi="Arial" w:cs="Arial"/>
            <w:color w:val="000000" w:themeColor="text1"/>
            <w:sz w:val="19"/>
            <w:szCs w:val="19"/>
          </w:rPr>
          <w:t>https://relatoria.colombiacompra.gov.co/busqueda/conceptos</w:t>
        </w:r>
      </w:hyperlink>
    </w:p>
    <w:p w14:paraId="0E00D442" w14:textId="77777777" w:rsidR="003067A0" w:rsidRPr="00AC12A5" w:rsidRDefault="003067A0" w:rsidP="00AC12A5">
      <w:pPr>
        <w:pStyle w:val="Textonotapie"/>
        <w:contextualSpacing/>
        <w:jc w:val="both"/>
        <w:rPr>
          <w:rFonts w:ascii="Arial" w:hAnsi="Arial" w:cs="Arial"/>
          <w:sz w:val="19"/>
          <w:szCs w:val="19"/>
          <w:lang w:val="es-ES"/>
        </w:rPr>
      </w:pPr>
    </w:p>
  </w:footnote>
  <w:footnote w:id="2">
    <w:p w14:paraId="1AE83EE8" w14:textId="77777777" w:rsidR="00265902" w:rsidRPr="00AC12A5" w:rsidRDefault="00265902" w:rsidP="00AC12A5">
      <w:pPr>
        <w:pStyle w:val="Textonotapie"/>
        <w:ind w:firstLine="708"/>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Consejo de Estado. Sección Tercera. Subsección B. Sentencia del 6 de junio de 2013. </w:t>
      </w:r>
      <w:proofErr w:type="spellStart"/>
      <w:r w:rsidRPr="00AC12A5">
        <w:rPr>
          <w:rFonts w:ascii="Arial" w:hAnsi="Arial" w:cs="Arial"/>
          <w:color w:val="000000" w:themeColor="text1"/>
          <w:sz w:val="19"/>
          <w:szCs w:val="19"/>
        </w:rPr>
        <w:t>Exp</w:t>
      </w:r>
      <w:proofErr w:type="spellEnd"/>
      <w:r w:rsidRPr="00AC12A5">
        <w:rPr>
          <w:rFonts w:ascii="Arial" w:hAnsi="Arial" w:cs="Arial"/>
          <w:color w:val="000000" w:themeColor="text1"/>
          <w:sz w:val="19"/>
          <w:szCs w:val="19"/>
        </w:rPr>
        <w:t>. 25151. C.P. Stella Conto Díaz del Castillo.</w:t>
      </w:r>
    </w:p>
    <w:p w14:paraId="5AC200C1"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p>
  </w:footnote>
  <w:footnote w:id="3">
    <w:p w14:paraId="5FA3C7F9"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Ley 1150 de 2007: «Artículo 6. De la verificación de las condiciones de los proponentes.</w:t>
      </w:r>
    </w:p>
    <w:p w14:paraId="293B8FD3"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w:t>
      </w:r>
    </w:p>
    <w:p w14:paraId="6D09487F"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»6.1. […]</w:t>
      </w:r>
    </w:p>
    <w:p w14:paraId="182F2ED8"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proofErr w:type="gramStart"/>
      <w:r w:rsidRPr="00AC12A5">
        <w:rPr>
          <w:rFonts w:ascii="Arial" w:hAnsi="Arial" w:cs="Arial"/>
          <w:color w:val="000000" w:themeColor="text1"/>
          <w:sz w:val="19"/>
          <w:szCs w:val="19"/>
          <w:lang w:eastAsia="es-CO"/>
        </w:rPr>
        <w:t>»El</w:t>
      </w:r>
      <w:proofErr w:type="gramEnd"/>
      <w:r w:rsidRPr="00AC12A5">
        <w:rPr>
          <w:rFonts w:ascii="Arial" w:hAnsi="Arial" w:cs="Arial"/>
          <w:color w:val="000000" w:themeColor="text1"/>
          <w:sz w:val="19"/>
          <w:szCs w:val="19"/>
          <w:lang w:eastAsia="es-CO"/>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524CDF0"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proofErr w:type="gramStart"/>
      <w:r w:rsidRPr="00AC12A5">
        <w:rPr>
          <w:rFonts w:ascii="Arial" w:hAnsi="Arial" w:cs="Arial"/>
          <w:color w:val="000000" w:themeColor="text1"/>
          <w:sz w:val="19"/>
          <w:szCs w:val="19"/>
          <w:lang w:eastAsia="es-CO"/>
        </w:rPr>
        <w:t>»No</w:t>
      </w:r>
      <w:proofErr w:type="gramEnd"/>
      <w:r w:rsidRPr="00AC12A5">
        <w:rPr>
          <w:rFonts w:ascii="Arial" w:hAnsi="Arial" w:cs="Arial"/>
          <w:color w:val="000000" w:themeColor="text1"/>
          <w:sz w:val="19"/>
          <w:szCs w:val="19"/>
          <w:lang w:eastAsia="es-CO"/>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FFD563D"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w:t>
      </w:r>
    </w:p>
    <w:p w14:paraId="44E24B22"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val="es-ES"/>
        </w:rPr>
      </w:pPr>
    </w:p>
  </w:footnote>
  <w:footnote w:id="4">
    <w:p w14:paraId="3869438C"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Ley 1150 de 2007: «Artículo 5. De la selección objetiva.</w:t>
      </w:r>
      <w:r w:rsidRPr="00AC12A5">
        <w:rPr>
          <w:rFonts w:ascii="Arial" w:hAnsi="Arial" w:cs="Arial"/>
          <w:color w:val="000000" w:themeColor="text1"/>
          <w:sz w:val="19"/>
          <w:szCs w:val="19"/>
          <w:lang w:eastAsia="es-CO"/>
        </w:rPr>
        <w:t xml:space="preserve"> </w:t>
      </w:r>
    </w:p>
    <w:p w14:paraId="395136CA"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w:t>
      </w:r>
    </w:p>
    <w:p w14:paraId="7BAFB08E"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E153B3D"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w:t>
      </w:r>
    </w:p>
    <w:p w14:paraId="2F8E4C2F"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val="es-ES"/>
        </w:rPr>
      </w:pPr>
    </w:p>
  </w:footnote>
  <w:footnote w:id="5">
    <w:p w14:paraId="010D6352"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 xml:space="preserve">Consejo de Estado. Sección Tercera. Subsección A. Sentencia del 12 de febrero de 2014. </w:t>
      </w:r>
      <w:proofErr w:type="spellStart"/>
      <w:r w:rsidRPr="00AC12A5">
        <w:rPr>
          <w:rFonts w:ascii="Arial" w:hAnsi="Arial" w:cs="Arial"/>
          <w:color w:val="000000" w:themeColor="text1"/>
          <w:sz w:val="19"/>
          <w:szCs w:val="19"/>
          <w:lang w:eastAsia="es-CO"/>
        </w:rPr>
        <w:t>Exp</w:t>
      </w:r>
      <w:proofErr w:type="spellEnd"/>
      <w:r w:rsidRPr="00AC12A5">
        <w:rPr>
          <w:rFonts w:ascii="Arial" w:hAnsi="Arial" w:cs="Arial"/>
          <w:color w:val="000000" w:themeColor="text1"/>
          <w:sz w:val="19"/>
          <w:szCs w:val="19"/>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79A7F5C3"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val="es-ES"/>
        </w:rPr>
      </w:pPr>
    </w:p>
  </w:footnote>
  <w:footnote w:id="6">
    <w:p w14:paraId="3B8C23CA"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 xml:space="preserve">Ley 1150 de 2007: «Artículo 6.  De la verificación de las condiciones de los proponentes. </w:t>
      </w:r>
    </w:p>
    <w:p w14:paraId="0A45DB9F"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 xml:space="preserve">[...] </w:t>
      </w:r>
    </w:p>
    <w:p w14:paraId="35071112"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B269CC1"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lang w:eastAsia="es-CO"/>
        </w:rPr>
        <w:t xml:space="preserve">[...]». </w:t>
      </w:r>
    </w:p>
    <w:p w14:paraId="43588150"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p>
  </w:footnote>
  <w:footnote w:id="7">
    <w:p w14:paraId="3565B4CD"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9D5F50A"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p>
  </w:footnote>
  <w:footnote w:id="8">
    <w:p w14:paraId="40264EEF"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sidRPr="00AC12A5">
        <w:rPr>
          <w:rFonts w:ascii="Arial" w:hAnsi="Arial" w:cs="Arial"/>
          <w:color w:val="000000" w:themeColor="text1"/>
          <w:sz w:val="19"/>
          <w:szCs w:val="19"/>
          <w:lang w:eastAsia="es-CO"/>
        </w:rPr>
        <w:t>esta</w:t>
      </w:r>
      <w:proofErr w:type="spellEnd"/>
      <w:r w:rsidRPr="00AC12A5">
        <w:rPr>
          <w:rFonts w:ascii="Arial" w:hAnsi="Arial" w:cs="Arial"/>
          <w:color w:val="000000" w:themeColor="text1"/>
          <w:sz w:val="19"/>
          <w:szCs w:val="19"/>
          <w:lang w:eastAsia="es-CO"/>
        </w:rPr>
        <w:t xml:space="preserve">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18AEF98C"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Fonts w:ascii="Arial" w:hAnsi="Arial" w:cs="Arial"/>
          <w:color w:val="000000" w:themeColor="text1"/>
          <w:sz w:val="19"/>
          <w:szCs w:val="19"/>
        </w:rPr>
        <w:t>»</w:t>
      </w:r>
      <w:r w:rsidRPr="00AC12A5">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9">
    <w:p w14:paraId="0BA837B8"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p>
    <w:p w14:paraId="4F6E48BD"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Consejo de Estado. Sala de Consulta y Servicio Civil. Consulta del 20 de mayo de 2010. Exp.1992. C. P. Enrique José Arboleda Perdomo.</w:t>
      </w:r>
    </w:p>
    <w:p w14:paraId="54E94BA8" w14:textId="77777777" w:rsidR="00265902" w:rsidRPr="00AC12A5" w:rsidRDefault="00265902" w:rsidP="00AC12A5">
      <w:pPr>
        <w:pStyle w:val="Textonotapie"/>
        <w:ind w:firstLine="709"/>
        <w:contextualSpacing/>
        <w:jc w:val="both"/>
        <w:rPr>
          <w:rFonts w:ascii="Arial" w:hAnsi="Arial" w:cs="Arial"/>
          <w:color w:val="000000" w:themeColor="text1"/>
          <w:sz w:val="19"/>
          <w:szCs w:val="19"/>
        </w:rPr>
      </w:pPr>
    </w:p>
  </w:footnote>
  <w:footnote w:id="10">
    <w:p w14:paraId="1508536F"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B759646" w14:textId="77777777" w:rsidR="00265902" w:rsidRPr="00AC12A5" w:rsidRDefault="00265902" w:rsidP="00AC12A5">
      <w:pPr>
        <w:pStyle w:val="Textonotapie"/>
        <w:ind w:firstLine="708"/>
        <w:contextualSpacing/>
        <w:jc w:val="both"/>
        <w:rPr>
          <w:rFonts w:ascii="Arial" w:hAnsi="Arial" w:cs="Arial"/>
          <w:color w:val="000000" w:themeColor="text1"/>
          <w:sz w:val="19"/>
          <w:szCs w:val="19"/>
        </w:rPr>
      </w:pPr>
      <w:r w:rsidRPr="00AC12A5">
        <w:rPr>
          <w:rFonts w:ascii="Arial" w:hAnsi="Arial" w:cs="Arial"/>
          <w:color w:val="000000" w:themeColor="text1"/>
          <w:sz w:val="19"/>
          <w:szCs w:val="19"/>
          <w:lang w:eastAsia="es-CO"/>
        </w:rPr>
        <w:t xml:space="preserve">[...]». </w:t>
      </w:r>
      <w:r w:rsidRPr="00AC12A5">
        <w:rPr>
          <w:rFonts w:ascii="Arial" w:hAnsi="Arial" w:cs="Arial"/>
          <w:color w:val="000000" w:themeColor="text1"/>
          <w:sz w:val="19"/>
          <w:szCs w:val="19"/>
        </w:rPr>
        <w:t xml:space="preserve"> </w:t>
      </w:r>
    </w:p>
    <w:p w14:paraId="6912EA2C" w14:textId="77777777" w:rsidR="00265902" w:rsidRPr="00AC12A5" w:rsidRDefault="00265902" w:rsidP="00AC12A5">
      <w:pPr>
        <w:pStyle w:val="Textonotapie"/>
        <w:ind w:firstLine="708"/>
        <w:contextualSpacing/>
        <w:jc w:val="both"/>
        <w:rPr>
          <w:rFonts w:ascii="Arial" w:hAnsi="Arial" w:cs="Arial"/>
          <w:color w:val="000000" w:themeColor="text1"/>
          <w:sz w:val="19"/>
          <w:szCs w:val="19"/>
          <w:lang w:val="es-CO"/>
        </w:rPr>
      </w:pPr>
    </w:p>
  </w:footnote>
  <w:footnote w:id="11">
    <w:p w14:paraId="63501849" w14:textId="1C07D790" w:rsidR="00265902" w:rsidRPr="00AC12A5" w:rsidRDefault="00265902" w:rsidP="00344ADB">
      <w:pPr>
        <w:pStyle w:val="Textonotapie"/>
        <w:ind w:firstLine="708"/>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lang w:eastAsia="es-CO"/>
        </w:rPr>
        <w:t>«¨[...]</w:t>
      </w:r>
      <w:r w:rsidRPr="00AC12A5">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AC12A5">
        <w:rPr>
          <w:rFonts w:ascii="Arial" w:hAnsi="Arial" w:cs="Arial"/>
          <w:color w:val="000000" w:themeColor="text1"/>
          <w:sz w:val="19"/>
          <w:szCs w:val="19"/>
          <w:lang w:eastAsia="es-CO"/>
        </w:rPr>
        <w:t xml:space="preserve">[...]». </w:t>
      </w:r>
      <w:r w:rsidRPr="00AC12A5">
        <w:rPr>
          <w:rFonts w:ascii="Arial" w:hAnsi="Arial" w:cs="Arial"/>
          <w:color w:val="000000" w:themeColor="text1"/>
          <w:sz w:val="19"/>
          <w:szCs w:val="19"/>
        </w:rPr>
        <w:t xml:space="preserve"> </w:t>
      </w:r>
    </w:p>
  </w:footnote>
  <w:footnote w:id="12">
    <w:p w14:paraId="13F46138" w14:textId="77777777" w:rsidR="00C51EFD" w:rsidRDefault="00C51EFD" w:rsidP="00AC12A5">
      <w:pPr>
        <w:pStyle w:val="Textonotapie"/>
        <w:ind w:firstLine="708"/>
        <w:contextualSpacing/>
        <w:jc w:val="both"/>
        <w:rPr>
          <w:rFonts w:ascii="Arial" w:hAnsi="Arial" w:cs="Arial"/>
          <w:color w:val="000000" w:themeColor="text1"/>
          <w:sz w:val="19"/>
          <w:szCs w:val="19"/>
          <w:lang w:eastAsia="es-CO"/>
        </w:rPr>
      </w:pPr>
    </w:p>
    <w:p w14:paraId="12C08A4E" w14:textId="2AF1A930" w:rsidR="00265902" w:rsidRPr="00AC12A5" w:rsidRDefault="00265902" w:rsidP="00AC12A5">
      <w:pPr>
        <w:pStyle w:val="Textonotapie"/>
        <w:ind w:firstLine="708"/>
        <w:contextualSpacing/>
        <w:jc w:val="both"/>
        <w:rPr>
          <w:rFonts w:ascii="Arial" w:hAnsi="Arial" w:cs="Arial"/>
          <w:color w:val="000000" w:themeColor="text1"/>
          <w:sz w:val="19"/>
          <w:szCs w:val="19"/>
          <w:shd w:val="clear" w:color="auto" w:fill="FFFFFF"/>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lang w:eastAsia="es-CO"/>
        </w:rPr>
        <w:t>«</w:t>
      </w:r>
      <w:r w:rsidRPr="00AC12A5">
        <w:rPr>
          <w:rStyle w:val="Textoennegrita"/>
          <w:rFonts w:ascii="Arial" w:hAnsi="Arial" w:cs="Arial"/>
          <w:color w:val="000000" w:themeColor="text1"/>
          <w:sz w:val="19"/>
          <w:szCs w:val="19"/>
          <w:shd w:val="clear" w:color="auto" w:fill="FFFFFF"/>
        </w:rPr>
        <w:t>Artículo 2.2.1.1.1.5.1.</w:t>
      </w:r>
      <w:r w:rsidRPr="00AC12A5">
        <w:rPr>
          <w:rStyle w:val="Textoennegrita"/>
          <w:rFonts w:ascii="Arial" w:hAnsi="Arial" w:cs="Arial"/>
          <w:i/>
          <w:color w:val="000000" w:themeColor="text1"/>
          <w:sz w:val="19"/>
          <w:szCs w:val="19"/>
          <w:shd w:val="clear" w:color="auto" w:fill="FFFFFF"/>
        </w:rPr>
        <w:t> </w:t>
      </w:r>
      <w:r w:rsidRPr="00AC12A5">
        <w:rPr>
          <w:rStyle w:val="nfasis"/>
          <w:rFonts w:ascii="Arial" w:hAnsi="Arial" w:cs="Arial"/>
          <w:bCs/>
          <w:color w:val="000000" w:themeColor="text1"/>
          <w:sz w:val="19"/>
          <w:szCs w:val="19"/>
          <w:shd w:val="clear" w:color="auto" w:fill="FFFFFF"/>
        </w:rPr>
        <w:t>Inscripción, renovación, actualización y cancelación del RUP.</w:t>
      </w:r>
      <w:r w:rsidRPr="00AC12A5">
        <w:rPr>
          <w:rStyle w:val="nfasis"/>
          <w:rFonts w:ascii="Arial" w:hAnsi="Arial" w:cs="Arial"/>
          <w:color w:val="000000" w:themeColor="text1"/>
          <w:sz w:val="19"/>
          <w:szCs w:val="19"/>
          <w:shd w:val="clear" w:color="auto" w:fill="FFFFFF"/>
        </w:rPr>
        <w:t> </w:t>
      </w:r>
      <w:r w:rsidRPr="00AC12A5">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AC12A5">
        <w:rPr>
          <w:rFonts w:ascii="Arial" w:hAnsi="Arial" w:cs="Arial"/>
          <w:color w:val="000000" w:themeColor="text1"/>
          <w:sz w:val="19"/>
          <w:szCs w:val="19"/>
          <w:lang w:eastAsia="es-CO"/>
        </w:rPr>
        <w:t>»</w:t>
      </w:r>
      <w:r w:rsidRPr="00AC12A5">
        <w:rPr>
          <w:rFonts w:ascii="Arial" w:hAnsi="Arial" w:cs="Arial"/>
          <w:color w:val="000000" w:themeColor="text1"/>
          <w:sz w:val="19"/>
          <w:szCs w:val="19"/>
          <w:shd w:val="clear" w:color="auto" w:fill="FFFFFF"/>
        </w:rPr>
        <w:t>.</w:t>
      </w:r>
    </w:p>
    <w:p w14:paraId="7F868762" w14:textId="77777777" w:rsidR="00265902" w:rsidRPr="00AC12A5" w:rsidRDefault="00265902" w:rsidP="00AC12A5">
      <w:pPr>
        <w:pStyle w:val="Textonotapie"/>
        <w:ind w:firstLine="708"/>
        <w:contextualSpacing/>
        <w:jc w:val="both"/>
        <w:rPr>
          <w:rFonts w:ascii="Arial" w:hAnsi="Arial" w:cs="Arial"/>
          <w:color w:val="000000" w:themeColor="text1"/>
          <w:sz w:val="19"/>
          <w:szCs w:val="19"/>
          <w:lang w:val="es-CO"/>
        </w:rPr>
      </w:pPr>
    </w:p>
  </w:footnote>
  <w:footnote w:id="13">
    <w:p w14:paraId="6704AB84"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Decreto 1082 de 2015:</w:t>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3934DCF7"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proofErr w:type="gramStart"/>
      <w:r w:rsidRPr="00AC12A5">
        <w:rPr>
          <w:rFonts w:ascii="Arial" w:hAnsi="Arial" w:cs="Arial"/>
          <w:color w:val="000000" w:themeColor="text1"/>
          <w:sz w:val="19"/>
          <w:szCs w:val="19"/>
          <w:lang w:eastAsia="es-CO"/>
        </w:rPr>
        <w:t>»La</w:t>
      </w:r>
      <w:proofErr w:type="gramEnd"/>
      <w:r w:rsidRPr="00AC12A5">
        <w:rPr>
          <w:rFonts w:ascii="Arial"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C0DCCCB"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eastAsia="es-CO"/>
        </w:rPr>
      </w:pPr>
      <w:proofErr w:type="gramStart"/>
      <w:r w:rsidRPr="00AC12A5">
        <w:rPr>
          <w:rFonts w:ascii="Arial" w:hAnsi="Arial" w:cs="Arial"/>
          <w:color w:val="000000" w:themeColor="text1"/>
          <w:sz w:val="19"/>
          <w:szCs w:val="19"/>
          <w:lang w:eastAsia="es-CO"/>
        </w:rPr>
        <w:t>»Los</w:t>
      </w:r>
      <w:proofErr w:type="gramEnd"/>
      <w:r w:rsidRPr="00AC12A5">
        <w:rPr>
          <w:rFonts w:ascii="Arial" w:hAnsi="Arial" w:cs="Arial"/>
          <w:color w:val="000000" w:themeColor="text1"/>
          <w:sz w:val="19"/>
          <w:szCs w:val="19"/>
          <w:lang w:eastAsia="es-CO"/>
        </w:rPr>
        <w:t xml:space="preserve"> inscritos en el RUP pueden en cualquier momento solicitar a la cámara de comercio cancelar su inscripción».</w:t>
      </w:r>
    </w:p>
    <w:p w14:paraId="78765226" w14:textId="77777777" w:rsidR="00265902" w:rsidRPr="00AC12A5" w:rsidRDefault="00265902" w:rsidP="00AC12A5">
      <w:pPr>
        <w:pStyle w:val="Textonotapie"/>
        <w:ind w:firstLine="709"/>
        <w:contextualSpacing/>
        <w:jc w:val="both"/>
        <w:rPr>
          <w:rFonts w:ascii="Arial" w:hAnsi="Arial" w:cs="Arial"/>
          <w:color w:val="000000" w:themeColor="text1"/>
          <w:sz w:val="19"/>
          <w:szCs w:val="19"/>
          <w:lang w:val="es-ES"/>
        </w:rPr>
      </w:pPr>
    </w:p>
  </w:footnote>
  <w:footnote w:id="14">
    <w:p w14:paraId="46E7C392" w14:textId="77777777" w:rsidR="000071E1" w:rsidRPr="00AC12A5" w:rsidRDefault="000071E1" w:rsidP="00AC12A5">
      <w:pPr>
        <w:pStyle w:val="NormalWeb"/>
        <w:spacing w:before="0" w:beforeAutospacing="0" w:after="0" w:afterAutospacing="0"/>
        <w:ind w:firstLine="708"/>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w:t>
      </w:r>
      <w:r w:rsidRPr="00AC12A5">
        <w:rPr>
          <w:rFonts w:ascii="Arial" w:hAnsi="Arial" w:cs="Arial"/>
          <w:color w:val="000000" w:themeColor="text1"/>
          <w:sz w:val="19"/>
          <w:szCs w:val="19"/>
          <w:lang w:val="es-ES"/>
        </w:rPr>
        <w:t>Art 6 Ley 1150 de 2007 “</w:t>
      </w:r>
      <w:r w:rsidRPr="00AC12A5">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446807F" w14:textId="77777777" w:rsidR="000071E1" w:rsidRPr="00AC12A5" w:rsidRDefault="000071E1" w:rsidP="00AC12A5">
      <w:pPr>
        <w:pStyle w:val="NormalWeb"/>
        <w:spacing w:before="0" w:beforeAutospacing="0" w:after="0" w:afterAutospacing="0"/>
        <w:ind w:firstLine="708"/>
        <w:contextualSpacing/>
        <w:jc w:val="both"/>
        <w:rPr>
          <w:rFonts w:ascii="Arial" w:hAnsi="Arial" w:cs="Arial"/>
          <w:color w:val="000000" w:themeColor="text1"/>
          <w:sz w:val="19"/>
          <w:szCs w:val="19"/>
        </w:rPr>
      </w:pPr>
      <w:r w:rsidRPr="00AC12A5">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FBC546A" w14:textId="77777777" w:rsidR="000071E1" w:rsidRPr="00AC12A5" w:rsidRDefault="000071E1" w:rsidP="00AC12A5">
      <w:pPr>
        <w:pStyle w:val="NormalWeb"/>
        <w:spacing w:before="0" w:beforeAutospacing="0" w:after="0" w:afterAutospacing="0"/>
        <w:ind w:firstLine="708"/>
        <w:contextualSpacing/>
        <w:jc w:val="both"/>
        <w:rPr>
          <w:rFonts w:ascii="Arial" w:hAnsi="Arial" w:cs="Arial"/>
          <w:color w:val="000000" w:themeColor="text1"/>
          <w:sz w:val="19"/>
          <w:szCs w:val="19"/>
        </w:rPr>
      </w:pPr>
      <w:r w:rsidRPr="00AC12A5">
        <w:rPr>
          <w:rFonts w:ascii="Arial" w:hAnsi="Arial" w:cs="Arial"/>
          <w:color w:val="000000" w:themeColor="text1"/>
          <w:sz w:val="19"/>
          <w:szCs w:val="19"/>
        </w:rPr>
        <w:t>En dicho registro constará la información relacionada con la experiencia, capacidad jurídica, financiera y de organización del proponente y su clasificación”.</w:t>
      </w:r>
    </w:p>
    <w:p w14:paraId="56FF3CE6" w14:textId="77777777" w:rsidR="000071E1" w:rsidRPr="00AC12A5" w:rsidRDefault="000071E1" w:rsidP="00AC12A5">
      <w:pPr>
        <w:pStyle w:val="NormalWeb"/>
        <w:spacing w:before="0" w:beforeAutospacing="0" w:after="0" w:afterAutospacing="0"/>
        <w:ind w:firstLine="708"/>
        <w:contextualSpacing/>
        <w:jc w:val="both"/>
        <w:rPr>
          <w:rFonts w:ascii="Arial" w:hAnsi="Arial" w:cs="Arial"/>
          <w:color w:val="000000" w:themeColor="text1"/>
          <w:sz w:val="19"/>
          <w:szCs w:val="19"/>
        </w:rPr>
      </w:pPr>
    </w:p>
  </w:footnote>
  <w:footnote w:id="15">
    <w:p w14:paraId="18D02DF5" w14:textId="77777777" w:rsidR="000071E1" w:rsidRPr="00AC12A5" w:rsidRDefault="000071E1" w:rsidP="00AC12A5">
      <w:pPr>
        <w:ind w:firstLine="708"/>
        <w:contextualSpacing/>
        <w:jc w:val="both"/>
        <w:rPr>
          <w:rFonts w:ascii="Arial" w:hAnsi="Arial" w:cs="Arial"/>
          <w:color w:val="000000" w:themeColor="text1"/>
          <w:sz w:val="19"/>
          <w:szCs w:val="19"/>
        </w:rPr>
      </w:pPr>
      <w:r w:rsidRPr="00AC12A5">
        <w:rPr>
          <w:rStyle w:val="Refdenotaalpie"/>
          <w:rFonts w:ascii="Arial" w:hAnsi="Arial" w:cs="Arial"/>
          <w:color w:val="000000" w:themeColor="text1"/>
          <w:sz w:val="19"/>
          <w:szCs w:val="19"/>
        </w:rPr>
        <w:footnoteRef/>
      </w:r>
      <w:r w:rsidRPr="00AC12A5">
        <w:rPr>
          <w:rFonts w:ascii="Arial" w:hAnsi="Arial" w:cs="Arial"/>
          <w:color w:val="000000" w:themeColor="text1"/>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057FC0C9" w14:textId="77777777" w:rsidR="000071E1" w:rsidRPr="00AC12A5" w:rsidRDefault="000071E1" w:rsidP="00AC12A5">
      <w:pPr>
        <w:pStyle w:val="Textonotapie"/>
        <w:contextualSpacing/>
        <w:rPr>
          <w:rFonts w:ascii="Arial" w:hAnsi="Arial" w:cs="Arial"/>
          <w:sz w:val="19"/>
          <w:szCs w:val="19"/>
          <w:lang w:val="es-ES"/>
        </w:rPr>
      </w:pPr>
    </w:p>
  </w:footnote>
  <w:footnote w:id="16">
    <w:p w14:paraId="11139C04" w14:textId="77777777" w:rsidR="000071E1" w:rsidRPr="00AC12A5" w:rsidRDefault="000071E1" w:rsidP="00AC12A5">
      <w:pPr>
        <w:pStyle w:val="Textonotapie"/>
        <w:ind w:firstLine="708"/>
        <w:contextualSpacing/>
        <w:jc w:val="both"/>
        <w:rPr>
          <w:rFonts w:ascii="Arial" w:hAnsi="Arial" w:cs="Arial"/>
          <w:sz w:val="19"/>
          <w:szCs w:val="19"/>
        </w:rPr>
      </w:pPr>
      <w:r w:rsidRPr="00AC12A5">
        <w:rPr>
          <w:rStyle w:val="Refdenotaalpie"/>
          <w:rFonts w:ascii="Arial" w:hAnsi="Arial" w:cs="Arial"/>
          <w:sz w:val="19"/>
          <w:szCs w:val="19"/>
        </w:rPr>
        <w:footnoteRef/>
      </w:r>
      <w:r w:rsidRPr="00AC12A5">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854F363" w14:textId="77777777" w:rsidR="000071E1" w:rsidRPr="00AC12A5" w:rsidRDefault="000071E1" w:rsidP="00AC12A5">
      <w:pPr>
        <w:pStyle w:val="Textonotapie"/>
        <w:ind w:firstLine="708"/>
        <w:contextualSpacing/>
        <w:jc w:val="both"/>
        <w:rPr>
          <w:rFonts w:ascii="Arial" w:hAnsi="Arial" w:cs="Arial"/>
          <w:sz w:val="19"/>
          <w:szCs w:val="19"/>
          <w:lang w:val="es-ES"/>
        </w:rPr>
      </w:pPr>
    </w:p>
  </w:footnote>
  <w:footnote w:id="17">
    <w:p w14:paraId="2E09DDB4" w14:textId="77777777" w:rsidR="000071E1" w:rsidRPr="00AC12A5" w:rsidRDefault="000071E1"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r w:rsidRPr="00AC12A5">
        <w:rPr>
          <w:rFonts w:ascii="Arial" w:hAnsi="Arial" w:cs="Arial"/>
          <w:sz w:val="19"/>
          <w:szCs w:val="19"/>
          <w:lang w:val="es-ES"/>
        </w:rPr>
        <w:t>Disponible en:</w:t>
      </w:r>
    </w:p>
    <w:p w14:paraId="4B8B19D5" w14:textId="77777777" w:rsidR="000071E1" w:rsidRPr="00AC12A5" w:rsidRDefault="00000000" w:rsidP="00AC12A5">
      <w:pPr>
        <w:pStyle w:val="Textonotapie"/>
        <w:ind w:firstLine="709"/>
        <w:contextualSpacing/>
        <w:jc w:val="both"/>
        <w:rPr>
          <w:rFonts w:ascii="Arial" w:hAnsi="Arial" w:cs="Arial"/>
          <w:sz w:val="19"/>
          <w:szCs w:val="19"/>
          <w:lang w:val="es-ES"/>
        </w:rPr>
      </w:pPr>
      <w:hyperlink r:id="rId2" w:history="1">
        <w:r w:rsidR="000071E1" w:rsidRPr="00AC12A5">
          <w:rPr>
            <w:rStyle w:val="Hipervnculo"/>
            <w:rFonts w:ascii="Arial" w:hAnsi="Arial" w:cs="Arial"/>
            <w:color w:val="0070C0"/>
            <w:sz w:val="19"/>
            <w:szCs w:val="19"/>
            <w:lang w:val="es-ES"/>
          </w:rPr>
          <w:t>https://www.colombiacompra.gov.co/sites/cce_public/files/cce_documents/cce_manual_requisitos_habilitantes.pdf</w:t>
        </w:r>
      </w:hyperlink>
      <w:r w:rsidR="000071E1" w:rsidRPr="00AC12A5">
        <w:rPr>
          <w:rFonts w:ascii="Arial" w:hAnsi="Arial" w:cs="Arial"/>
          <w:sz w:val="19"/>
          <w:szCs w:val="19"/>
          <w:lang w:val="es-ES"/>
        </w:rPr>
        <w:t xml:space="preserve">. </w:t>
      </w:r>
    </w:p>
  </w:footnote>
  <w:footnote w:id="18">
    <w:p w14:paraId="326AD93F" w14:textId="77777777" w:rsidR="000071E1" w:rsidRPr="00AC12A5" w:rsidRDefault="000071E1" w:rsidP="00AC12A5">
      <w:pPr>
        <w:pStyle w:val="Textonotapie"/>
        <w:ind w:firstLine="709"/>
        <w:contextualSpacing/>
        <w:jc w:val="both"/>
        <w:rPr>
          <w:rFonts w:ascii="Arial" w:hAnsi="Arial" w:cs="Arial"/>
          <w:sz w:val="19"/>
          <w:szCs w:val="19"/>
        </w:rPr>
      </w:pPr>
    </w:p>
    <w:p w14:paraId="481D09B2" w14:textId="2ABA4D31" w:rsidR="000071E1" w:rsidRPr="00AC12A5" w:rsidRDefault="000071E1"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proofErr w:type="spellStart"/>
      <w:r w:rsidRPr="00AC12A5">
        <w:rPr>
          <w:rFonts w:ascii="Arial" w:hAnsi="Arial" w:cs="Arial"/>
          <w:sz w:val="19"/>
          <w:szCs w:val="19"/>
          <w:lang w:val="es-ES"/>
        </w:rPr>
        <w:t>Ibíd</w:t>
      </w:r>
      <w:proofErr w:type="spellEnd"/>
      <w:r w:rsidRPr="00AC12A5">
        <w:rPr>
          <w:rFonts w:ascii="Arial" w:hAnsi="Arial" w:cs="Arial"/>
          <w:sz w:val="19"/>
          <w:szCs w:val="19"/>
          <w:lang w:val="es-ES"/>
        </w:rPr>
        <w:t>.</w:t>
      </w:r>
    </w:p>
    <w:p w14:paraId="48300912" w14:textId="77777777" w:rsidR="00664549" w:rsidRPr="00AC12A5" w:rsidRDefault="00664549" w:rsidP="00AC12A5">
      <w:pPr>
        <w:pStyle w:val="Textonotapie"/>
        <w:ind w:firstLine="709"/>
        <w:contextualSpacing/>
        <w:jc w:val="both"/>
        <w:rPr>
          <w:rFonts w:ascii="Arial" w:hAnsi="Arial" w:cs="Arial"/>
          <w:sz w:val="19"/>
          <w:szCs w:val="19"/>
          <w:lang w:val="es-ES"/>
        </w:rPr>
      </w:pPr>
    </w:p>
  </w:footnote>
  <w:footnote w:id="19">
    <w:p w14:paraId="1D09DA44" w14:textId="77777777" w:rsidR="000071E1" w:rsidRPr="00AC12A5" w:rsidRDefault="000071E1" w:rsidP="00AC12A5">
      <w:pPr>
        <w:pStyle w:val="Textonotapie"/>
        <w:ind w:firstLine="708"/>
        <w:contextualSpacing/>
        <w:jc w:val="both"/>
        <w:rPr>
          <w:rFonts w:ascii="Arial" w:hAnsi="Arial" w:cs="Arial"/>
          <w:sz w:val="19"/>
          <w:szCs w:val="19"/>
        </w:rPr>
      </w:pPr>
      <w:r w:rsidRPr="00AC12A5">
        <w:rPr>
          <w:rStyle w:val="Refdenotaalpie"/>
          <w:rFonts w:ascii="Arial" w:hAnsi="Arial" w:cs="Arial"/>
          <w:sz w:val="19"/>
          <w:szCs w:val="19"/>
        </w:rPr>
        <w:footnoteRef/>
      </w:r>
      <w:r w:rsidRPr="00AC12A5">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1E072C0F" w14:textId="77777777" w:rsidR="000071E1" w:rsidRPr="00AC12A5" w:rsidRDefault="000071E1" w:rsidP="00AC12A5">
      <w:pPr>
        <w:pStyle w:val="Textonotapie"/>
        <w:ind w:firstLine="708"/>
        <w:contextualSpacing/>
        <w:jc w:val="both"/>
        <w:rPr>
          <w:rFonts w:ascii="Arial" w:hAnsi="Arial" w:cs="Arial"/>
          <w:sz w:val="19"/>
          <w:szCs w:val="19"/>
          <w:lang w:val="es-ES"/>
        </w:rPr>
      </w:pPr>
    </w:p>
  </w:footnote>
  <w:footnote w:id="20">
    <w:p w14:paraId="14320E9F" w14:textId="77777777" w:rsidR="000071E1" w:rsidRPr="00AC12A5" w:rsidRDefault="000071E1" w:rsidP="00AC12A5">
      <w:pPr>
        <w:pStyle w:val="Textonotapie"/>
        <w:ind w:firstLine="708"/>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r w:rsidRPr="00AC12A5">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3" w:history="1">
        <w:r w:rsidRPr="00AC12A5">
          <w:rPr>
            <w:rStyle w:val="Hipervnculo"/>
            <w:rFonts w:ascii="Arial" w:hAnsi="Arial" w:cs="Arial"/>
            <w:color w:val="0070C0"/>
            <w:sz w:val="19"/>
            <w:szCs w:val="19"/>
            <w:lang w:val="es-ES"/>
          </w:rPr>
          <w:t>https://colombiacompra.gov.co/sites/default/files/manuales/20140901_manual_requisitos_habilitantes_4_web.pdf</w:t>
        </w:r>
      </w:hyperlink>
      <w:r w:rsidRPr="00AC12A5">
        <w:rPr>
          <w:rFonts w:ascii="Arial" w:hAnsi="Arial" w:cs="Arial"/>
          <w:sz w:val="19"/>
          <w:szCs w:val="19"/>
          <w:lang w:val="es-ES"/>
        </w:rPr>
        <w:t xml:space="preserve">. </w:t>
      </w:r>
    </w:p>
    <w:p w14:paraId="5F67B510" w14:textId="77777777" w:rsidR="000071E1" w:rsidRPr="00AC12A5" w:rsidRDefault="000071E1" w:rsidP="00AC12A5">
      <w:pPr>
        <w:pStyle w:val="Textonotapie"/>
        <w:ind w:firstLine="567"/>
        <w:contextualSpacing/>
        <w:jc w:val="both"/>
        <w:rPr>
          <w:rFonts w:ascii="Arial" w:hAnsi="Arial" w:cs="Arial"/>
          <w:sz w:val="19"/>
          <w:szCs w:val="19"/>
          <w:lang w:val="es-ES"/>
        </w:rPr>
      </w:pPr>
    </w:p>
  </w:footnote>
  <w:footnote w:id="21">
    <w:p w14:paraId="289A15B5" w14:textId="77777777" w:rsidR="000071E1" w:rsidRPr="00AC12A5" w:rsidRDefault="000071E1"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proofErr w:type="spellStart"/>
      <w:r w:rsidRPr="00AC12A5">
        <w:rPr>
          <w:rFonts w:ascii="Arial" w:hAnsi="Arial" w:cs="Arial"/>
          <w:sz w:val="19"/>
          <w:szCs w:val="19"/>
        </w:rPr>
        <w:t>Ibídem</w:t>
      </w:r>
      <w:proofErr w:type="spellEnd"/>
      <w:r w:rsidRPr="00AC12A5">
        <w:rPr>
          <w:rFonts w:ascii="Arial" w:hAnsi="Arial" w:cs="Arial"/>
          <w:sz w:val="19"/>
          <w:szCs w:val="19"/>
        </w:rPr>
        <w:t>.</w:t>
      </w:r>
    </w:p>
  </w:footnote>
  <w:footnote w:id="22">
    <w:p w14:paraId="3A3F9400" w14:textId="77777777" w:rsidR="000071E1" w:rsidRPr="00AC12A5" w:rsidRDefault="000071E1" w:rsidP="00AC12A5">
      <w:pPr>
        <w:pStyle w:val="Textonotapie"/>
        <w:ind w:firstLine="709"/>
        <w:contextualSpacing/>
        <w:jc w:val="both"/>
        <w:rPr>
          <w:rFonts w:ascii="Arial" w:hAnsi="Arial" w:cs="Arial"/>
          <w:sz w:val="19"/>
          <w:szCs w:val="19"/>
        </w:rPr>
      </w:pPr>
    </w:p>
    <w:p w14:paraId="341D9646" w14:textId="77777777" w:rsidR="000071E1" w:rsidRPr="00AC12A5" w:rsidRDefault="000071E1" w:rsidP="00AC12A5">
      <w:pPr>
        <w:pStyle w:val="Textonotapie"/>
        <w:ind w:firstLine="709"/>
        <w:contextualSpacing/>
        <w:jc w:val="both"/>
        <w:rPr>
          <w:rFonts w:ascii="Arial" w:hAnsi="Arial" w:cs="Arial"/>
          <w:sz w:val="19"/>
          <w:szCs w:val="19"/>
        </w:rPr>
      </w:pPr>
      <w:r w:rsidRPr="00AC12A5">
        <w:rPr>
          <w:rStyle w:val="Refdenotaalpie"/>
          <w:rFonts w:ascii="Arial" w:hAnsi="Arial" w:cs="Arial"/>
          <w:sz w:val="19"/>
          <w:szCs w:val="19"/>
        </w:rPr>
        <w:footnoteRef/>
      </w:r>
      <w:r w:rsidRPr="00AC12A5">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6E1ABFD6" w14:textId="77777777" w:rsidR="000071E1" w:rsidRPr="00AC12A5" w:rsidRDefault="000071E1" w:rsidP="00AC12A5">
      <w:pPr>
        <w:pStyle w:val="Textonotapie"/>
        <w:ind w:firstLine="709"/>
        <w:contextualSpacing/>
        <w:jc w:val="both"/>
        <w:rPr>
          <w:rFonts w:ascii="Arial" w:hAnsi="Arial" w:cs="Arial"/>
          <w:sz w:val="19"/>
          <w:szCs w:val="19"/>
        </w:rPr>
      </w:pPr>
      <w:r w:rsidRPr="00AC12A5">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23">
    <w:p w14:paraId="133E6EBA" w14:textId="77777777" w:rsidR="000071E1" w:rsidRPr="00AC12A5" w:rsidRDefault="000071E1" w:rsidP="00AC12A5">
      <w:pPr>
        <w:pStyle w:val="Textonotapie"/>
        <w:ind w:firstLine="709"/>
        <w:contextualSpacing/>
        <w:jc w:val="both"/>
        <w:rPr>
          <w:rFonts w:ascii="Arial" w:hAnsi="Arial" w:cs="Arial"/>
          <w:sz w:val="19"/>
          <w:szCs w:val="19"/>
        </w:rPr>
      </w:pPr>
    </w:p>
    <w:p w14:paraId="5D2AA452" w14:textId="77777777" w:rsidR="000071E1" w:rsidRPr="00AC12A5" w:rsidRDefault="000071E1"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24">
    <w:p w14:paraId="3C5F2C4C" w14:textId="77777777" w:rsidR="003067A0" w:rsidRPr="00AC12A5" w:rsidRDefault="003067A0" w:rsidP="00AC12A5">
      <w:pPr>
        <w:pStyle w:val="Textonotapie"/>
        <w:contextualSpacing/>
        <w:jc w:val="both"/>
        <w:rPr>
          <w:rFonts w:ascii="Arial" w:hAnsi="Arial" w:cs="Arial"/>
          <w:sz w:val="19"/>
          <w:szCs w:val="19"/>
        </w:rPr>
      </w:pPr>
    </w:p>
    <w:p w14:paraId="2A3346B6" w14:textId="75D8E12F" w:rsidR="003067A0" w:rsidRPr="00AC12A5" w:rsidRDefault="003067A0"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En efecto</w:t>
      </w:r>
      <w:r w:rsidRPr="00AC12A5">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12A5">
        <w:rPr>
          <w:rFonts w:ascii="Arial" w:hAnsi="Arial" w:cs="Arial"/>
          <w:i/>
          <w:iCs/>
          <w:sz w:val="19"/>
          <w:szCs w:val="19"/>
          <w:lang w:val="es-ES"/>
        </w:rPr>
        <w:t>julio</w:t>
      </w:r>
      <w:r w:rsidRPr="00AC12A5">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1C43CCA0" w14:textId="77777777" w:rsidR="00664549" w:rsidRPr="00AC12A5" w:rsidRDefault="00664549" w:rsidP="00AC12A5">
      <w:pPr>
        <w:pStyle w:val="Textonotapie"/>
        <w:ind w:firstLine="709"/>
        <w:contextualSpacing/>
        <w:jc w:val="both"/>
        <w:rPr>
          <w:rFonts w:ascii="Arial" w:hAnsi="Arial" w:cs="Arial"/>
          <w:sz w:val="19"/>
          <w:szCs w:val="19"/>
          <w:lang w:val="es-ES"/>
        </w:rPr>
      </w:pPr>
    </w:p>
  </w:footnote>
  <w:footnote w:id="25">
    <w:p w14:paraId="0C2C8B90" w14:textId="77777777" w:rsidR="003067A0" w:rsidRPr="00AC12A5" w:rsidRDefault="003067A0" w:rsidP="00AC12A5">
      <w:pPr>
        <w:pStyle w:val="Textonotapie"/>
        <w:ind w:firstLine="709"/>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r w:rsidRPr="00AC12A5">
        <w:rPr>
          <w:rFonts w:ascii="Arial" w:hAnsi="Arial" w:cs="Arial"/>
          <w:sz w:val="19"/>
          <w:szCs w:val="19"/>
          <w:lang w:val="es-ES"/>
        </w:rPr>
        <w:t>«</w:t>
      </w:r>
      <w:proofErr w:type="gramStart"/>
      <w:r w:rsidRPr="00AC12A5">
        <w:rPr>
          <w:rFonts w:ascii="Arial" w:hAnsi="Arial" w:cs="Arial"/>
          <w:sz w:val="19"/>
          <w:szCs w:val="19"/>
          <w:lang w:val="es-ES"/>
        </w:rPr>
        <w:t>Artículo  1</w:t>
      </w:r>
      <w:proofErr w:type="gramEnd"/>
      <w:r w:rsidRPr="00AC12A5">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5DD91526" w14:textId="5B615A77" w:rsidR="00664549" w:rsidRPr="00AC12A5" w:rsidRDefault="003067A0" w:rsidP="00436426">
      <w:pPr>
        <w:pStyle w:val="Textonotapie"/>
        <w:ind w:firstLine="709"/>
        <w:contextualSpacing/>
        <w:jc w:val="both"/>
        <w:rPr>
          <w:rFonts w:ascii="Arial" w:hAnsi="Arial" w:cs="Arial"/>
          <w:sz w:val="19"/>
          <w:szCs w:val="19"/>
          <w:lang w:val="es-ES"/>
        </w:rPr>
      </w:pPr>
      <w:r w:rsidRPr="00AC12A5">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339BA6BD" w14:textId="77777777"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»En</w:t>
      </w:r>
      <w:proofErr w:type="gramEnd"/>
      <w:r w:rsidRPr="00AC12A5">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755862E5" w14:textId="77777777"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»El</w:t>
      </w:r>
      <w:proofErr w:type="gramEnd"/>
      <w:r w:rsidRPr="00AC12A5">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AD6DAE8" w14:textId="77777777"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»El</w:t>
      </w:r>
      <w:proofErr w:type="gramEnd"/>
      <w:r w:rsidRPr="00AC12A5">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7F98EFE3" w14:textId="77777777"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»PARÁGRAFO</w:t>
      </w:r>
      <w:proofErr w:type="gramEnd"/>
      <w:r w:rsidRPr="00AC12A5">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937D01A" w14:textId="77777777"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»En</w:t>
      </w:r>
      <w:proofErr w:type="gramEnd"/>
      <w:r w:rsidRPr="00AC12A5">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5D373A01" w14:textId="6C0D32A3" w:rsidR="003067A0" w:rsidRPr="00AC12A5" w:rsidRDefault="003067A0" w:rsidP="00AC12A5">
      <w:pPr>
        <w:pStyle w:val="Textonotapie"/>
        <w:ind w:firstLine="709"/>
        <w:contextualSpacing/>
        <w:jc w:val="both"/>
        <w:rPr>
          <w:rFonts w:ascii="Arial" w:hAnsi="Arial" w:cs="Arial"/>
          <w:sz w:val="19"/>
          <w:szCs w:val="19"/>
          <w:lang w:val="es-ES"/>
        </w:rPr>
      </w:pPr>
      <w:proofErr w:type="gramStart"/>
      <w:r w:rsidRPr="00AC12A5">
        <w:rPr>
          <w:rFonts w:ascii="Arial" w:hAnsi="Arial" w:cs="Arial"/>
          <w:sz w:val="19"/>
          <w:szCs w:val="19"/>
          <w:lang w:val="es-ES"/>
        </w:rPr>
        <w:t>»El</w:t>
      </w:r>
      <w:proofErr w:type="gramEnd"/>
      <w:r w:rsidRPr="00AC12A5">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p w14:paraId="515C7D44" w14:textId="77777777" w:rsidR="00664549" w:rsidRPr="00AC12A5" w:rsidRDefault="00664549" w:rsidP="00AC12A5">
      <w:pPr>
        <w:pStyle w:val="Textonotapie"/>
        <w:ind w:firstLine="709"/>
        <w:contextualSpacing/>
        <w:jc w:val="both"/>
        <w:rPr>
          <w:rFonts w:ascii="Arial" w:hAnsi="Arial" w:cs="Arial"/>
          <w:sz w:val="19"/>
          <w:szCs w:val="19"/>
          <w:lang w:val="es-CO"/>
        </w:rPr>
      </w:pPr>
    </w:p>
  </w:footnote>
  <w:footnote w:id="26">
    <w:p w14:paraId="2AB919EC" w14:textId="643E82D3" w:rsidR="003067A0" w:rsidRPr="00AC12A5" w:rsidRDefault="003067A0" w:rsidP="00AC12A5">
      <w:pPr>
        <w:pStyle w:val="Textonotapie"/>
        <w:ind w:firstLine="708"/>
        <w:contextualSpacing/>
        <w:jc w:val="both"/>
        <w:rPr>
          <w:rFonts w:ascii="Arial" w:hAnsi="Arial" w:cs="Arial"/>
          <w:sz w:val="19"/>
          <w:szCs w:val="19"/>
          <w:lang w:val="es-ES"/>
        </w:rPr>
      </w:pPr>
      <w:r w:rsidRPr="00AC12A5">
        <w:rPr>
          <w:rStyle w:val="Refdenotaalpie"/>
          <w:rFonts w:ascii="Arial" w:hAnsi="Arial" w:cs="Arial"/>
          <w:sz w:val="19"/>
          <w:szCs w:val="19"/>
        </w:rPr>
        <w:footnoteRef/>
      </w:r>
      <w:r w:rsidRPr="00AC12A5">
        <w:rPr>
          <w:rFonts w:ascii="Arial" w:hAnsi="Arial" w:cs="Arial"/>
          <w:sz w:val="19"/>
          <w:szCs w:val="19"/>
        </w:rPr>
        <w:t xml:space="preserve"> </w:t>
      </w:r>
      <w:r w:rsidRPr="00AC12A5">
        <w:rPr>
          <w:rFonts w:ascii="Arial" w:hAnsi="Arial" w:cs="Arial"/>
          <w:sz w:val="19"/>
          <w:szCs w:val="19"/>
          <w:lang w:val="es-ES"/>
        </w:rPr>
        <w:t xml:space="preserve">Debe recordarse que el artículo 2.2.1.1.1.6.2. del Decreto 1082 de 2015 prevé lo siguiente: </w:t>
      </w:r>
      <w:proofErr w:type="gramStart"/>
      <w:r w:rsidRPr="00AC12A5">
        <w:rPr>
          <w:rFonts w:ascii="Arial" w:hAnsi="Arial" w:cs="Arial"/>
          <w:sz w:val="19"/>
          <w:szCs w:val="19"/>
          <w:lang w:val="es-ES"/>
        </w:rPr>
        <w:t>«</w:t>
      </w:r>
      <w:r w:rsidRPr="00AC12A5">
        <w:rPr>
          <w:rFonts w:ascii="Arial" w:hAnsi="Arial" w:cs="Arial"/>
          <w:sz w:val="19"/>
          <w:szCs w:val="19"/>
        </w:rPr>
        <w:t xml:space="preserve"> </w:t>
      </w:r>
      <w:r w:rsidRPr="00AC12A5">
        <w:rPr>
          <w:rFonts w:ascii="Arial" w:hAnsi="Arial" w:cs="Arial"/>
          <w:sz w:val="19"/>
          <w:szCs w:val="19"/>
          <w:lang w:val="es-ES"/>
        </w:rPr>
        <w:t>La</w:t>
      </w:r>
      <w:proofErr w:type="gramEnd"/>
      <w:r w:rsidRPr="00AC12A5">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D2DD2C9" w14:textId="77777777" w:rsidR="00664549" w:rsidRPr="00AC12A5" w:rsidRDefault="00664549" w:rsidP="00AC12A5">
      <w:pPr>
        <w:pStyle w:val="Textonotapie"/>
        <w:ind w:firstLine="708"/>
        <w:contextualSpacing/>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0F16" w14:textId="77777777" w:rsidR="00C11BCD" w:rsidRDefault="0066028F">
    <w:pPr>
      <w:pStyle w:val="Encabezado"/>
    </w:pPr>
    <w:r>
      <w:rPr>
        <w:noProof/>
        <w:lang w:val="en-US"/>
      </w:rPr>
      <w:drawing>
        <wp:anchor distT="0" distB="0" distL="114300" distR="114300" simplePos="0" relativeHeight="251659264" behindDoc="1" locked="0" layoutInCell="1" allowOverlap="1" wp14:anchorId="5A8D2534" wp14:editId="73D927B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99788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A0"/>
    <w:rsid w:val="000022B3"/>
    <w:rsid w:val="000071E1"/>
    <w:rsid w:val="0001341A"/>
    <w:rsid w:val="00026A47"/>
    <w:rsid w:val="0008561B"/>
    <w:rsid w:val="000A491C"/>
    <w:rsid w:val="000D11D0"/>
    <w:rsid w:val="00127AAA"/>
    <w:rsid w:val="0013588D"/>
    <w:rsid w:val="0017057E"/>
    <w:rsid w:val="001B6C76"/>
    <w:rsid w:val="001C7AEA"/>
    <w:rsid w:val="001F5376"/>
    <w:rsid w:val="00265902"/>
    <w:rsid w:val="002B3064"/>
    <w:rsid w:val="002C0B09"/>
    <w:rsid w:val="002D3004"/>
    <w:rsid w:val="003067A0"/>
    <w:rsid w:val="003361AC"/>
    <w:rsid w:val="00344ADB"/>
    <w:rsid w:val="00345E93"/>
    <w:rsid w:val="00351D0C"/>
    <w:rsid w:val="003940D6"/>
    <w:rsid w:val="003F115A"/>
    <w:rsid w:val="00436426"/>
    <w:rsid w:val="004470A6"/>
    <w:rsid w:val="005273D4"/>
    <w:rsid w:val="00563337"/>
    <w:rsid w:val="00584061"/>
    <w:rsid w:val="00590E60"/>
    <w:rsid w:val="005C6F23"/>
    <w:rsid w:val="005C7B02"/>
    <w:rsid w:val="005F78BD"/>
    <w:rsid w:val="006331CD"/>
    <w:rsid w:val="006428E9"/>
    <w:rsid w:val="0066028F"/>
    <w:rsid w:val="00664549"/>
    <w:rsid w:val="00682279"/>
    <w:rsid w:val="00686AC0"/>
    <w:rsid w:val="00691BBA"/>
    <w:rsid w:val="006A3331"/>
    <w:rsid w:val="006B03A3"/>
    <w:rsid w:val="006C2A6B"/>
    <w:rsid w:val="006F3EB5"/>
    <w:rsid w:val="00734D65"/>
    <w:rsid w:val="007444FF"/>
    <w:rsid w:val="00782A20"/>
    <w:rsid w:val="0078433F"/>
    <w:rsid w:val="007B2A54"/>
    <w:rsid w:val="008109E3"/>
    <w:rsid w:val="0083074A"/>
    <w:rsid w:val="00835A2D"/>
    <w:rsid w:val="00852B6A"/>
    <w:rsid w:val="00871B74"/>
    <w:rsid w:val="008A752A"/>
    <w:rsid w:val="008E4EF9"/>
    <w:rsid w:val="00911573"/>
    <w:rsid w:val="00912473"/>
    <w:rsid w:val="00942311"/>
    <w:rsid w:val="00945412"/>
    <w:rsid w:val="009470CC"/>
    <w:rsid w:val="00956D3F"/>
    <w:rsid w:val="009726DA"/>
    <w:rsid w:val="00985723"/>
    <w:rsid w:val="009A5D09"/>
    <w:rsid w:val="009B2349"/>
    <w:rsid w:val="00A41313"/>
    <w:rsid w:val="00A55BC2"/>
    <w:rsid w:val="00A65C77"/>
    <w:rsid w:val="00AA4EB2"/>
    <w:rsid w:val="00AC12A5"/>
    <w:rsid w:val="00AD75FD"/>
    <w:rsid w:val="00AD7681"/>
    <w:rsid w:val="00AE60AF"/>
    <w:rsid w:val="00AF02E3"/>
    <w:rsid w:val="00AF65C1"/>
    <w:rsid w:val="00B14216"/>
    <w:rsid w:val="00B15329"/>
    <w:rsid w:val="00B22A38"/>
    <w:rsid w:val="00B26752"/>
    <w:rsid w:val="00B528BF"/>
    <w:rsid w:val="00B54A7A"/>
    <w:rsid w:val="00B60E3B"/>
    <w:rsid w:val="00BA129C"/>
    <w:rsid w:val="00BC69F2"/>
    <w:rsid w:val="00BD4E7C"/>
    <w:rsid w:val="00BE22FA"/>
    <w:rsid w:val="00BF3C43"/>
    <w:rsid w:val="00C04664"/>
    <w:rsid w:val="00C20AF6"/>
    <w:rsid w:val="00C460FF"/>
    <w:rsid w:val="00C51EFD"/>
    <w:rsid w:val="00C5514F"/>
    <w:rsid w:val="00C64EDE"/>
    <w:rsid w:val="00C96C93"/>
    <w:rsid w:val="00CC5060"/>
    <w:rsid w:val="00CE6FA5"/>
    <w:rsid w:val="00CF6E90"/>
    <w:rsid w:val="00D63E29"/>
    <w:rsid w:val="00D84213"/>
    <w:rsid w:val="00D92095"/>
    <w:rsid w:val="00D9708A"/>
    <w:rsid w:val="00DA55EF"/>
    <w:rsid w:val="00DB53C5"/>
    <w:rsid w:val="00E15CCE"/>
    <w:rsid w:val="00E203C3"/>
    <w:rsid w:val="00E41279"/>
    <w:rsid w:val="00E62D5C"/>
    <w:rsid w:val="00E71894"/>
    <w:rsid w:val="00E751EC"/>
    <w:rsid w:val="00E82C72"/>
    <w:rsid w:val="00F2047C"/>
    <w:rsid w:val="00F67A49"/>
    <w:rsid w:val="00F8722E"/>
    <w:rsid w:val="00FD2BF3"/>
    <w:rsid w:val="00FF31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D2CF"/>
  <w15:chartTrackingRefBased/>
  <w15:docId w15:val="{BBC4D41C-FD87-44FD-99DC-E03F6E0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7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7A0"/>
    <w:pPr>
      <w:tabs>
        <w:tab w:val="center" w:pos="4419"/>
        <w:tab w:val="right" w:pos="8838"/>
      </w:tabs>
    </w:pPr>
  </w:style>
  <w:style w:type="character" w:customStyle="1" w:styleId="PiedepginaCar">
    <w:name w:val="Pie de página Car"/>
    <w:basedOn w:val="Fuentedeprrafopredeter"/>
    <w:link w:val="Piedepgina"/>
    <w:uiPriority w:val="99"/>
    <w:rsid w:val="003067A0"/>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3067A0"/>
    <w:pPr>
      <w:tabs>
        <w:tab w:val="center" w:pos="4252"/>
        <w:tab w:val="right" w:pos="8504"/>
      </w:tabs>
    </w:pPr>
  </w:style>
  <w:style w:type="character" w:customStyle="1" w:styleId="EncabezadoCar">
    <w:name w:val="Encabezado Car"/>
    <w:basedOn w:val="Fuentedeprrafopredeter"/>
    <w:link w:val="Encabezado"/>
    <w:uiPriority w:val="99"/>
    <w:rsid w:val="003067A0"/>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30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067A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067A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067A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067A0"/>
    <w:rPr>
      <w:rFonts w:ascii="Times New Roman" w:eastAsia="Times New Roman" w:hAnsi="Times New Roman" w:cs="Times New Roman"/>
      <w:sz w:val="20"/>
      <w:szCs w:val="20"/>
      <w:lang w:val="es-ES_tradnl"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067A0"/>
    <w:rPr>
      <w:vertAlign w:val="superscript"/>
    </w:rPr>
  </w:style>
  <w:style w:type="character" w:styleId="Hipervnculo">
    <w:name w:val="Hyperlink"/>
    <w:basedOn w:val="Fuentedeprrafopredeter"/>
    <w:uiPriority w:val="99"/>
    <w:unhideWhenUsed/>
    <w:rsid w:val="003067A0"/>
    <w:rPr>
      <w:color w:val="0563C1" w:themeColor="hyperlink"/>
      <w:u w:val="single"/>
    </w:rPr>
  </w:style>
  <w:style w:type="paragraph" w:styleId="NormalWeb">
    <w:name w:val="Normal (Web)"/>
    <w:basedOn w:val="Normal"/>
    <w:link w:val="NormalWebCar"/>
    <w:uiPriority w:val="99"/>
    <w:unhideWhenUsed/>
    <w:rsid w:val="003067A0"/>
    <w:pPr>
      <w:spacing w:before="100" w:beforeAutospacing="1" w:after="100" w:afterAutospacing="1"/>
    </w:pPr>
    <w:rPr>
      <w:lang w:val="es-CO"/>
    </w:rPr>
  </w:style>
  <w:style w:type="character" w:customStyle="1" w:styleId="normaltextrun">
    <w:name w:val="normaltextrun"/>
    <w:basedOn w:val="Fuentedeprrafopredeter"/>
    <w:rsid w:val="003067A0"/>
  </w:style>
  <w:style w:type="paragraph" w:customStyle="1" w:styleId="Appelnotedebasde">
    <w:name w:val="Appel note de bas de..."/>
    <w:basedOn w:val="Normal"/>
    <w:link w:val="Refdenotaalpie"/>
    <w:uiPriority w:val="99"/>
    <w:rsid w:val="003067A0"/>
    <w:pPr>
      <w:spacing w:after="160" w:line="240" w:lineRule="exact"/>
    </w:pPr>
    <w:rPr>
      <w:rFonts w:asciiTheme="minorHAnsi" w:eastAsiaTheme="minorHAnsi" w:hAnsiTheme="minorHAnsi" w:cstheme="minorBidi"/>
      <w:sz w:val="22"/>
      <w:szCs w:val="22"/>
      <w:vertAlign w:val="superscript"/>
      <w:lang w:val="es-CO" w:eastAsia="en-US"/>
    </w:rPr>
  </w:style>
  <w:style w:type="character" w:styleId="Textoennegrita">
    <w:name w:val="Strong"/>
    <w:uiPriority w:val="22"/>
    <w:qFormat/>
    <w:rsid w:val="003067A0"/>
    <w:rPr>
      <w:b/>
      <w:bCs/>
    </w:rPr>
  </w:style>
  <w:style w:type="table" w:customStyle="1" w:styleId="Tablaconcuadrcula1">
    <w:name w:val="Tabla con cuadrícula1"/>
    <w:basedOn w:val="Tablanormal"/>
    <w:next w:val="Tablaconcuadrcula"/>
    <w:uiPriority w:val="59"/>
    <w:rsid w:val="003067A0"/>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3067A0"/>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067A0"/>
    <w:rPr>
      <w:i/>
      <w:iC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071E1"/>
    <w:pPr>
      <w:ind w:left="720"/>
      <w:contextualSpacing/>
    </w:pPr>
    <w:rPr>
      <w:rFonts w:asciiTheme="minorHAnsi" w:eastAsiaTheme="minorHAnsi" w:hAnsiTheme="minorHAnsi" w:cstheme="minorBidi"/>
      <w:szCs w:val="22"/>
      <w:lang w:val="es-MX"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071E1"/>
    <w:rPr>
      <w:sz w:val="24"/>
      <w:lang w:val="es-MX"/>
    </w:rPr>
  </w:style>
  <w:style w:type="paragraph" w:styleId="Revisin">
    <w:name w:val="Revision"/>
    <w:hidden/>
    <w:uiPriority w:val="99"/>
    <w:semiHidden/>
    <w:rsid w:val="00AC12A5"/>
    <w:pPr>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default/files/manuales/20140901_manual_requisitos_habilitantes_4_web.pdf" TargetMode="External"/><Relationship Id="rId2" Type="http://schemas.openxmlformats.org/officeDocument/2006/relationships/hyperlink" Target="https://www.colombiacompra.gov.co/sites/cce_public/files/cce_documents/cce_manual_requisitos_habilitante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C3135-A23C-40A4-9929-21631B8C021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A0C542E-A345-4A53-A8DC-D4D3C101CBAB}">
  <ds:schemaRefs>
    <ds:schemaRef ds:uri="http://schemas.microsoft.com/sharepoint/v3/contenttype/forms"/>
  </ds:schemaRefs>
</ds:datastoreItem>
</file>

<file path=customXml/itemProps3.xml><?xml version="1.0" encoding="utf-8"?>
<ds:datastoreItem xmlns:ds="http://schemas.openxmlformats.org/officeDocument/2006/customXml" ds:itemID="{DF0314F3-240B-4B9D-9498-86F8EE58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7034</Words>
  <Characters>38693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6</cp:revision>
  <dcterms:created xsi:type="dcterms:W3CDTF">2022-06-29T13:12:00Z</dcterms:created>
  <dcterms:modified xsi:type="dcterms:W3CDTF">2022-07-28T22:53:00Z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