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752D2" w:rsidR="00D7149D" w:rsidP="00D7149D" w:rsidRDefault="00583AED" w14:paraId="782FEB82" w14:textId="77777777">
      <w:pPr>
        <w:spacing w:after="0" w:line="240" w:lineRule="auto"/>
        <w:jc w:val="right"/>
        <w:rPr>
          <w:rFonts w:ascii="Arial" w:hAnsi="Arial" w:eastAsia="Calibri" w:cs="Arial"/>
          <w:b/>
          <w:szCs w:val="24"/>
          <w:lang w:val="es-ES_tradnl" w:eastAsia="es-ES_tradnl"/>
        </w:rPr>
      </w:pPr>
      <w:r>
        <w:rPr>
          <w:rFonts w:ascii="Arial" w:hAnsi="Arial" w:cs="Arial"/>
          <w:b/>
          <w:bCs/>
        </w:rPr>
        <w:t xml:space="preserve"> </w:t>
      </w:r>
      <w:r w:rsidRPr="00D752D2" w:rsidR="00D7149D">
        <w:rPr>
          <w:rFonts w:ascii="Arial" w:hAnsi="Arial" w:cs="Arial"/>
          <w:b/>
          <w:sz w:val="16"/>
          <w:szCs w:val="16"/>
          <w:lang w:eastAsia="es-ES"/>
        </w:rPr>
        <w:t>CCE-DES-FM-17</w:t>
      </w:r>
    </w:p>
    <w:p w:rsidRPr="00282C0E" w:rsidR="00D7149D" w:rsidP="00D7149D" w:rsidRDefault="00D7149D" w14:paraId="616AC8D2" w14:textId="77777777">
      <w:pPr>
        <w:spacing w:after="0" w:line="240" w:lineRule="auto"/>
        <w:jc w:val="both"/>
        <w:rPr>
          <w:rFonts w:ascii="Arial" w:hAnsi="Arial" w:eastAsia="Calibri" w:cs="Arial"/>
          <w:b/>
          <w:szCs w:val="24"/>
          <w:highlight w:val="yellow"/>
          <w:lang w:val="es-ES_tradnl" w:eastAsia="es-ES_tradnl"/>
        </w:rPr>
      </w:pPr>
    </w:p>
    <w:p w:rsidRPr="00282C0E" w:rsidR="00D7149D" w:rsidP="0024037A" w:rsidRDefault="00D7149D" w14:paraId="2BAFF320" w14:textId="77777777">
      <w:pPr>
        <w:spacing w:after="0" w:line="240" w:lineRule="auto"/>
        <w:jc w:val="both"/>
        <w:rPr>
          <w:rFonts w:ascii="Arial" w:hAnsi="Arial" w:cs="Arial"/>
          <w:highlight w:val="yellow"/>
        </w:rPr>
      </w:pPr>
    </w:p>
    <w:p w:rsidRPr="00D752D2" w:rsidR="00D752D2" w:rsidP="001635C6" w:rsidRDefault="00D752D2" w14:paraId="1B001F52" w14:textId="22A2596A">
      <w:pPr>
        <w:tabs>
          <w:tab w:val="left" w:pos="6551"/>
        </w:tabs>
        <w:spacing w:line="240" w:lineRule="auto"/>
        <w:jc w:val="both"/>
        <w:rPr>
          <w:rFonts w:ascii="Arial" w:hAnsi="Arial" w:eastAsia="Calibri" w:cs="Arial"/>
          <w:b/>
          <w:color w:val="000000" w:themeColor="text1"/>
          <w:lang w:val="es-ES_tradnl"/>
        </w:rPr>
      </w:pPr>
      <w:r w:rsidRPr="00EE341D">
        <w:rPr>
          <w:rFonts w:ascii="Arial" w:hAnsi="Arial" w:eastAsia="Calibri" w:cs="Arial"/>
          <w:b/>
          <w:color w:val="000000" w:themeColor="text1"/>
          <w:lang w:val="es-ES_tradnl"/>
        </w:rPr>
        <w:t xml:space="preserve">LEY DE </w:t>
      </w:r>
      <w:r w:rsidRPr="00426117">
        <w:rPr>
          <w:rFonts w:ascii="Arial" w:hAnsi="Arial" w:eastAsia="Calibri" w:cs="Arial"/>
          <w:b/>
          <w:color w:val="000000" w:themeColor="text1"/>
          <w:lang w:val="es-ES_tradnl"/>
        </w:rPr>
        <w:t xml:space="preserve">EMPRENDIMIENTO – </w:t>
      </w:r>
      <w:r w:rsidRPr="00426117">
        <w:rPr>
          <w:rFonts w:ascii="Arial" w:hAnsi="Arial" w:cs="Arial"/>
          <w:b/>
          <w:bCs/>
          <w:color w:val="000000"/>
          <w:lang w:val="es-ES" w:eastAsia="es-CO"/>
        </w:rPr>
        <w:t>Ley 2069 de 2020 – Contenido – Finalidad</w:t>
      </w:r>
      <w:r w:rsidRPr="008C2D08">
        <w:rPr>
          <w:rFonts w:ascii="Arial" w:hAnsi="Arial" w:cs="Arial"/>
          <w:color w:val="000000"/>
          <w:lang w:eastAsia="es-CO"/>
        </w:rPr>
        <w:t> </w:t>
      </w:r>
    </w:p>
    <w:p w:rsidRPr="00D752D2" w:rsidR="00D752D2" w:rsidP="001635C6" w:rsidRDefault="00D752D2" w14:paraId="61B1CFFB" w14:textId="4E120EBC">
      <w:pPr>
        <w:spacing w:after="0" w:line="240" w:lineRule="auto"/>
        <w:jc w:val="both"/>
        <w:textAlignment w:val="baseline"/>
        <w:rPr>
          <w:rFonts w:ascii="Segoe UI" w:hAnsi="Segoe UI" w:cs="Segoe UI"/>
          <w:sz w:val="18"/>
          <w:szCs w:val="18"/>
          <w:lang w:eastAsia="es-CO"/>
        </w:rPr>
      </w:pPr>
      <w:r w:rsidRPr="00035B7C">
        <w:rPr>
          <w:rFonts w:ascii="Arial" w:hAnsi="Arial" w:cs="Arial"/>
          <w:color w:val="000000"/>
          <w:sz w:val="20"/>
          <w:szCs w:val="20"/>
          <w:lang w:val="es-ES_tradnl" w:eastAsia="es-CO"/>
        </w:rPr>
        <w:t xml:space="preserve">La Ley 2069 de 2020 guarda </w:t>
      </w:r>
      <w:r w:rsidRPr="00035B7C">
        <w:rPr>
          <w:rFonts w:ascii="Arial" w:hAnsi="Arial" w:cs="Arial"/>
          <w:bCs/>
          <w:color w:val="000000"/>
          <w:sz w:val="20"/>
          <w:szCs w:val="20"/>
          <w:lang w:val="es-ES_tradnl" w:eastAsia="es-CO"/>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Pr>
          <w:rFonts w:ascii="Arial" w:hAnsi="Arial" w:cs="Arial"/>
          <w:bCs/>
          <w:color w:val="000000"/>
          <w:sz w:val="20"/>
          <w:szCs w:val="20"/>
          <w:lang w:val="es-ES_tradnl" w:eastAsia="es-CO"/>
        </w:rPr>
        <w:t xml:space="preserve">. </w:t>
      </w:r>
      <w:r w:rsidRPr="008C2D08">
        <w:rPr>
          <w:rFonts w:ascii="Arial" w:hAnsi="Arial" w:cs="Arial"/>
          <w:color w:val="000000"/>
          <w:sz w:val="20"/>
          <w:szCs w:val="20"/>
          <w:lang w:val="es-ES" w:eastAsia="es-CO"/>
        </w:rPr>
        <w:t xml:space="preserve">Por ello, la ley impulsa medidas para i) reducir cargas y trámites para los emprendedores del país; </w:t>
      </w:r>
      <w:proofErr w:type="spellStart"/>
      <w:r w:rsidRPr="008C2D08">
        <w:rPr>
          <w:rFonts w:ascii="Arial" w:hAnsi="Arial" w:cs="Arial"/>
          <w:color w:val="000000"/>
          <w:sz w:val="20"/>
          <w:szCs w:val="20"/>
          <w:lang w:val="es-ES" w:eastAsia="es-CO"/>
        </w:rPr>
        <w:t>ii</w:t>
      </w:r>
      <w:proofErr w:type="spellEnd"/>
      <w:r w:rsidRPr="008C2D08">
        <w:rPr>
          <w:rFonts w:ascii="Arial" w:hAnsi="Arial" w:cs="Arial"/>
          <w:color w:val="000000"/>
          <w:sz w:val="20"/>
          <w:szCs w:val="20"/>
          <w:lang w:val="es-ES" w:eastAsia="es-CO"/>
        </w:rPr>
        <w:t xml:space="preserve">) facilitar su acceso al sistema de compras y contratación pública; </w:t>
      </w:r>
      <w:proofErr w:type="spellStart"/>
      <w:r w:rsidRPr="008C2D08">
        <w:rPr>
          <w:rFonts w:ascii="Arial" w:hAnsi="Arial" w:cs="Arial"/>
          <w:color w:val="000000"/>
          <w:sz w:val="20"/>
          <w:szCs w:val="20"/>
          <w:lang w:val="es-ES" w:eastAsia="es-CO"/>
        </w:rPr>
        <w:t>iii</w:t>
      </w:r>
      <w:proofErr w:type="spellEnd"/>
      <w:r w:rsidRPr="008C2D08">
        <w:rPr>
          <w:rFonts w:ascii="Arial" w:hAnsi="Arial" w:cs="Arial"/>
          <w:color w:val="000000"/>
          <w:sz w:val="20"/>
          <w:szCs w:val="20"/>
          <w:lang w:val="es-ES" w:eastAsia="es-CO"/>
        </w:rPr>
        <w:t xml:space="preserve">) incentivar el crecimiento económico con la llegada de más actores al ecosistema de inversión y financiación; </w:t>
      </w:r>
      <w:proofErr w:type="spellStart"/>
      <w:r w:rsidRPr="008C2D08">
        <w:rPr>
          <w:rFonts w:ascii="Arial" w:hAnsi="Arial" w:cs="Arial"/>
          <w:color w:val="000000"/>
          <w:sz w:val="20"/>
          <w:szCs w:val="20"/>
          <w:lang w:val="es-ES" w:eastAsia="es-CO"/>
        </w:rPr>
        <w:t>iv</w:t>
      </w:r>
      <w:proofErr w:type="spellEnd"/>
      <w:r w:rsidRPr="008C2D08">
        <w:rPr>
          <w:rFonts w:ascii="Arial" w:hAnsi="Arial" w:cs="Arial"/>
          <w:color w:val="000000"/>
          <w:sz w:val="20"/>
          <w:szCs w:val="20"/>
          <w:lang w:val="es-ES" w:eastAsia="es-CO"/>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Pr>
          <w:rFonts w:ascii="Arial" w:hAnsi="Arial" w:cs="Arial"/>
          <w:color w:val="000000"/>
          <w:sz w:val="20"/>
          <w:szCs w:val="20"/>
          <w:lang w:val="es-ES" w:eastAsia="es-CO"/>
        </w:rPr>
        <w:t>.</w:t>
      </w:r>
    </w:p>
    <w:p w:rsidRPr="001635C6" w:rsidR="00D752D2" w:rsidP="001635C6" w:rsidRDefault="00D752D2" w14:paraId="7D84B76E" w14:textId="77777777">
      <w:pPr>
        <w:spacing w:after="0" w:line="240" w:lineRule="auto"/>
        <w:jc w:val="both"/>
        <w:rPr>
          <w:rFonts w:ascii="Arial" w:hAnsi="Arial" w:eastAsia="Calibri" w:cs="Arial"/>
          <w:b/>
        </w:rPr>
      </w:pPr>
    </w:p>
    <w:p w:rsidR="00D752D2" w:rsidP="00305B6F" w:rsidRDefault="00D752D2" w14:paraId="683A8416" w14:textId="521E7FCF">
      <w:pPr>
        <w:spacing w:after="0" w:line="240" w:lineRule="auto"/>
        <w:jc w:val="both"/>
        <w:rPr>
          <w:rFonts w:ascii="Arial" w:hAnsi="Arial" w:eastAsia="Calibri" w:cs="Arial"/>
          <w:b/>
        </w:rPr>
      </w:pPr>
      <w:r w:rsidRPr="003362CD">
        <w:rPr>
          <w:rFonts w:ascii="Arial" w:hAnsi="Arial" w:eastAsia="Calibri" w:cs="Arial"/>
          <w:b/>
        </w:rPr>
        <w:t>CRITERIOS DIFERENCIALES</w:t>
      </w:r>
      <w:r>
        <w:rPr>
          <w:rFonts w:ascii="Arial" w:hAnsi="Arial" w:eastAsia="Calibri" w:cs="Arial"/>
          <w:b/>
        </w:rPr>
        <w:t xml:space="preserve"> </w:t>
      </w:r>
      <w:r w:rsidRPr="003362CD">
        <w:rPr>
          <w:rFonts w:ascii="Arial" w:hAnsi="Arial" w:eastAsia="Calibri" w:cs="Arial"/>
          <w:b/>
        </w:rPr>
        <w:t xml:space="preserve">– Ley 2069 de 2020 – Artículo 32 –– Emprendimientos de mujeres </w:t>
      </w:r>
      <w:r>
        <w:rPr>
          <w:rFonts w:ascii="Arial" w:hAnsi="Arial" w:eastAsia="Calibri" w:cs="Arial"/>
          <w:b/>
        </w:rPr>
        <w:t>y</w:t>
      </w:r>
      <w:r w:rsidRPr="003362CD">
        <w:rPr>
          <w:rFonts w:ascii="Arial" w:hAnsi="Arial" w:eastAsia="Calibri" w:cs="Arial"/>
          <w:b/>
        </w:rPr>
        <w:t xml:space="preserve"> </w:t>
      </w:r>
      <w:r>
        <w:rPr>
          <w:rFonts w:ascii="Arial" w:hAnsi="Arial" w:eastAsia="Calibri" w:cs="Arial"/>
          <w:b/>
        </w:rPr>
        <w:t>e</w:t>
      </w:r>
      <w:r w:rsidRPr="003362CD">
        <w:rPr>
          <w:rFonts w:ascii="Arial" w:hAnsi="Arial" w:eastAsia="Calibri" w:cs="Arial"/>
          <w:b/>
        </w:rPr>
        <w:t>mpresas de mujeres – Necesidad de reglamentación – Decreto 1860 de 2021</w:t>
      </w:r>
    </w:p>
    <w:p w:rsidRPr="003362CD" w:rsidR="00305B6F" w:rsidP="001635C6" w:rsidRDefault="00305B6F" w14:paraId="771A0BDA" w14:textId="77777777">
      <w:pPr>
        <w:spacing w:after="0" w:line="240" w:lineRule="auto"/>
        <w:jc w:val="both"/>
        <w:rPr>
          <w:rFonts w:ascii="Arial" w:hAnsi="Arial" w:eastAsia="Calibri" w:cs="Arial"/>
          <w:b/>
        </w:rPr>
      </w:pPr>
    </w:p>
    <w:p w:rsidRPr="00476DFE" w:rsidR="00D752D2" w:rsidP="001635C6" w:rsidRDefault="00D752D2" w14:paraId="27EA31E3" w14:textId="77777777">
      <w:pPr>
        <w:spacing w:after="0" w:line="240" w:lineRule="auto"/>
        <w:jc w:val="both"/>
        <w:rPr>
          <w:rFonts w:ascii="Arial" w:hAnsi="Arial" w:eastAsia="Calibri" w:cs="Arial"/>
          <w:bCs/>
          <w:sz w:val="20"/>
          <w:szCs w:val="20"/>
          <w:lang w:val="es-ES_tradnl"/>
        </w:rPr>
      </w:pPr>
      <w:r>
        <w:rPr>
          <w:rFonts w:ascii="Arial" w:hAnsi="Arial" w:eastAsia="Calibri" w:cs="Arial"/>
          <w:bCs/>
          <w:sz w:val="20"/>
          <w:szCs w:val="20"/>
        </w:rPr>
        <w:t>E</w:t>
      </w:r>
      <w:r w:rsidRPr="00476DFE">
        <w:rPr>
          <w:rFonts w:ascii="Arial" w:hAnsi="Arial" w:eastAsia="Calibri" w:cs="Arial"/>
          <w:bCs/>
          <w:sz w:val="20"/>
          <w:szCs w:val="20"/>
        </w:rPr>
        <w:t xml:space="preserv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r w:rsidRPr="00476DFE">
        <w:rPr>
          <w:rFonts w:ascii="Arial" w:hAnsi="Arial" w:eastAsia="Calibri" w:cs="Arial"/>
          <w:bCs/>
          <w:sz w:val="20"/>
          <w:szCs w:val="20"/>
          <w:lang w:val="es-ES_tradnl"/>
        </w:rPr>
        <w:t>En este contexto, el pasado 24 de diciembre, el gobierno nacional expidió el Decreto 1860 de 2021,</w:t>
      </w:r>
      <w:r w:rsidRPr="00476DFE">
        <w:rPr>
          <w:rFonts w:ascii="Arial" w:hAnsi="Arial" w:eastAsia="Calibri" w:cs="Arial"/>
          <w:bCs/>
          <w:sz w:val="20"/>
          <w:szCs w:val="20"/>
        </w:rPr>
        <w:t xml:space="preserve"> </w:t>
      </w:r>
      <w:r w:rsidRPr="00476DFE">
        <w:rPr>
          <w:rFonts w:ascii="Arial" w:hAnsi="Arial" w:eastAsia="Calibri" w:cs="Arial"/>
          <w:bCs/>
          <w:sz w:val="20"/>
          <w:szCs w:val="20"/>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como indica el artículo 1 del Decreto 1860 de 2021. 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p>
    <w:p w:rsidRPr="003362CD" w:rsidR="00D752D2" w:rsidP="001635C6" w:rsidRDefault="00D752D2" w14:paraId="5E888889" w14:textId="77777777">
      <w:pPr>
        <w:spacing w:after="0"/>
        <w:jc w:val="both"/>
        <w:rPr>
          <w:rFonts w:ascii="Arial" w:hAnsi="Arial" w:eastAsia="Calibri" w:cs="Arial"/>
          <w:bCs/>
          <w:sz w:val="20"/>
          <w:szCs w:val="20"/>
          <w:lang w:val="es-ES"/>
        </w:rPr>
      </w:pPr>
    </w:p>
    <w:p w:rsidR="00D752D2" w:rsidP="00305B6F" w:rsidRDefault="00D752D2" w14:paraId="6B2DB5D9" w14:textId="505C52F7">
      <w:pPr>
        <w:spacing w:after="0"/>
        <w:jc w:val="both"/>
        <w:rPr>
          <w:rFonts w:ascii="Arial" w:hAnsi="Arial" w:eastAsia="Calibri" w:cs="Arial"/>
          <w:b/>
          <w:bCs/>
          <w:lang w:val="es-ES"/>
        </w:rPr>
      </w:pPr>
      <w:r w:rsidRPr="00426117">
        <w:rPr>
          <w:rFonts w:ascii="Arial" w:hAnsi="Arial" w:eastAsia="Calibri" w:cs="Arial"/>
          <w:b/>
          <w:bCs/>
          <w:lang w:val="es-ES"/>
        </w:rPr>
        <w:t>ANÁLISIS DEL SECTOR</w:t>
      </w:r>
      <w:r w:rsidRPr="00426117">
        <w:rPr>
          <w:rFonts w:ascii="Arial" w:hAnsi="Arial" w:eastAsia="Calibri" w:cs="Arial"/>
          <w:b/>
        </w:rPr>
        <w:t> </w:t>
      </w:r>
      <w:r w:rsidRPr="00426117">
        <w:rPr>
          <w:rFonts w:ascii="Arial" w:hAnsi="Arial" w:eastAsia="Calibri" w:cs="Arial"/>
          <w:b/>
          <w:bCs/>
          <w:lang w:val="es-ES"/>
        </w:rPr>
        <w:t xml:space="preserve">– Criterios Diferenciales – Emprendimientos de mujeres </w:t>
      </w:r>
      <w:r>
        <w:rPr>
          <w:rFonts w:ascii="Arial" w:hAnsi="Arial" w:eastAsia="Calibri" w:cs="Arial"/>
          <w:b/>
          <w:bCs/>
          <w:lang w:val="es-ES"/>
        </w:rPr>
        <w:t>y e</w:t>
      </w:r>
      <w:r w:rsidRPr="00426117">
        <w:rPr>
          <w:rFonts w:ascii="Arial" w:hAnsi="Arial" w:eastAsia="Calibri" w:cs="Arial"/>
          <w:b/>
          <w:bCs/>
          <w:lang w:val="es-ES"/>
        </w:rPr>
        <w:t xml:space="preserve">mpresas de mujeres </w:t>
      </w:r>
    </w:p>
    <w:p w:rsidRPr="00D752D2" w:rsidR="00305B6F" w:rsidP="001635C6" w:rsidRDefault="00305B6F" w14:paraId="00E79F7B" w14:textId="77777777">
      <w:pPr>
        <w:spacing w:after="0"/>
        <w:jc w:val="both"/>
        <w:rPr>
          <w:rFonts w:ascii="Arial" w:hAnsi="Arial" w:eastAsia="Calibri" w:cs="Arial"/>
          <w:b/>
        </w:rPr>
      </w:pPr>
    </w:p>
    <w:p w:rsidRPr="00476DFE" w:rsidR="00D752D2" w:rsidP="001635C6" w:rsidRDefault="00D752D2" w14:paraId="53A6260A" w14:textId="77777777">
      <w:pPr>
        <w:spacing w:after="0"/>
        <w:jc w:val="both"/>
        <w:rPr>
          <w:rFonts w:ascii="Arial" w:hAnsi="Arial" w:eastAsia="Calibri" w:cs="Arial"/>
          <w:bCs/>
          <w:sz w:val="20"/>
          <w:szCs w:val="20"/>
          <w:lang w:val="es-ES"/>
        </w:rPr>
      </w:pPr>
      <w:r w:rsidRPr="00476DFE">
        <w:rPr>
          <w:rFonts w:ascii="Arial" w:hAnsi="Arial" w:eastAsia="Calibri" w:cs="Arial"/>
          <w:bCs/>
          <w:sz w:val="20"/>
          <w:szCs w:val="20"/>
          <w:lang w:val="es-ES"/>
        </w:rPr>
        <w:t xml:space="preserve">El inciso cuarto del artículo 2.2.1.2.4.2.15. del Decreto 1082 de 2015, establece que «Las Entidades incluirán estos requisitos diferenciales y puntajes adicionales de acuerdo con los resultados del análisis del sector, desde la perspectiva del estudio de la oferta de las obras, bienes o servicios que </w:t>
      </w:r>
      <w:r w:rsidRPr="00476DFE">
        <w:rPr>
          <w:rFonts w:ascii="Arial" w:hAnsi="Arial" w:eastAsia="Calibri" w:cs="Arial"/>
          <w:bCs/>
          <w:sz w:val="20"/>
          <w:szCs w:val="20"/>
          <w:lang w:val="es-ES"/>
        </w:rPr>
        <w:lastRenderedPageBreak/>
        <w:t xml:space="preserve">requiere, sin perjuicio de los compromisos adquiridos por Colombia en los Acuerdos Comerciales vigentes». Por tanto, es recomendable considerar las distintas variables en los estudios del sector desde el análisis de la oferta, para determinar los requisitos diferenciales y los puntajes adicionales, sin desconocer que el análisis de oportunidad y conveniencia es una actividad a cargo de las entidades estatales y que la Agencia Nacional de Contratación Pública, como órgano rector del Sistema de Compras y Contratación Pública, solo brinda algunas pautas al respecto. En efecto, según lo indicó Colombia Compra Eficiente en la Guía para la Elaboración de Estudios del Sector, en esta actividad las entidades estatales deben realizar un estudio de la oferta, que responda, entre otras, las siguientes preguntas: i) «Quién vende», y </w:t>
      </w:r>
      <w:proofErr w:type="spellStart"/>
      <w:r w:rsidRPr="00476DFE">
        <w:rPr>
          <w:rFonts w:ascii="Arial" w:hAnsi="Arial" w:eastAsia="Calibri" w:cs="Arial"/>
          <w:bCs/>
          <w:sz w:val="20"/>
          <w:szCs w:val="20"/>
          <w:lang w:val="es-ES"/>
        </w:rPr>
        <w:t>ii</w:t>
      </w:r>
      <w:proofErr w:type="spellEnd"/>
      <w:r w:rsidRPr="00476DFE">
        <w:rPr>
          <w:rFonts w:ascii="Arial" w:hAnsi="Arial" w:eastAsia="Calibri" w:cs="Arial"/>
          <w:bCs/>
          <w:sz w:val="20"/>
          <w:szCs w:val="20"/>
          <w:lang w:val="es-ES"/>
        </w:rPr>
        <w:t xml:space="preserve">) «¿Cuál es la dinámica de producción, distribución y entrega de bienes, obras o servicios?» –teniendo en cuenta elementos como la producción, la distribución y el inventario–. En relación con la primera pregunta, la Guía señala que «Para identificar los posibles proveedores es recomendable utilizar bases de datos e información del Sistema de Información y Reporte Empresarial –SIREM–;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 </w:t>
      </w:r>
    </w:p>
    <w:p w:rsidRPr="00D752D2" w:rsidR="00D7149D" w:rsidP="00D7149D" w:rsidRDefault="00D7149D" w14:paraId="395D6A17" w14:textId="77777777">
      <w:pPr>
        <w:spacing w:after="0" w:line="276" w:lineRule="auto"/>
        <w:jc w:val="both"/>
        <w:rPr>
          <w:rFonts w:ascii="Arial" w:hAnsi="Arial" w:eastAsia="Calibri" w:cs="Arial"/>
          <w:color w:val="000000"/>
          <w:highlight w:val="yellow"/>
          <w:lang w:val="es-ES" w:eastAsia="es-ES_tradnl"/>
        </w:rPr>
      </w:pPr>
    </w:p>
    <w:p w:rsidRPr="00282C0E" w:rsidR="00D7149D" w:rsidP="00D7149D" w:rsidRDefault="00D7149D" w14:paraId="4FBBC248" w14:textId="77777777">
      <w:pPr>
        <w:spacing w:after="0" w:line="276" w:lineRule="auto"/>
        <w:jc w:val="both"/>
        <w:rPr>
          <w:rFonts w:ascii="Arial" w:hAnsi="Arial" w:eastAsia="Calibri" w:cs="Arial"/>
          <w:color w:val="000000"/>
          <w:highlight w:val="yellow"/>
          <w:lang w:eastAsia="es-ES_tradnl"/>
        </w:rPr>
      </w:pPr>
    </w:p>
    <w:p w:rsidRPr="00282C0E" w:rsidR="00D7149D" w:rsidP="00D7149D" w:rsidRDefault="00D7149D" w14:paraId="71191A65" w14:textId="77777777">
      <w:pPr>
        <w:spacing w:after="0" w:line="276" w:lineRule="auto"/>
        <w:jc w:val="both"/>
        <w:rPr>
          <w:rFonts w:ascii="Arial" w:hAnsi="Arial" w:eastAsia="Calibri" w:cs="Arial"/>
          <w:color w:val="000000"/>
          <w:highlight w:val="yellow"/>
          <w:lang w:eastAsia="es-ES_tradnl"/>
        </w:rPr>
      </w:pPr>
    </w:p>
    <w:p w:rsidRPr="00282C0E" w:rsidR="00D7149D" w:rsidP="00D7149D" w:rsidRDefault="00D7149D" w14:paraId="6B169784" w14:textId="77777777">
      <w:pPr>
        <w:spacing w:after="0" w:line="276" w:lineRule="auto"/>
        <w:jc w:val="both"/>
        <w:rPr>
          <w:rFonts w:ascii="Arial" w:hAnsi="Arial" w:eastAsia="Calibri" w:cs="Arial"/>
          <w:color w:val="000000"/>
          <w:highlight w:val="yellow"/>
          <w:lang w:eastAsia="es-ES_tradnl"/>
        </w:rPr>
      </w:pPr>
    </w:p>
    <w:p w:rsidRPr="00282C0E" w:rsidR="00D7149D" w:rsidP="00D7149D" w:rsidRDefault="00D7149D" w14:paraId="5CBF827C" w14:textId="77777777">
      <w:pPr>
        <w:spacing w:after="0" w:line="276" w:lineRule="auto"/>
        <w:jc w:val="both"/>
        <w:rPr>
          <w:rFonts w:ascii="Arial" w:hAnsi="Arial" w:eastAsia="Calibri" w:cs="Arial"/>
          <w:color w:val="000000"/>
          <w:highlight w:val="yellow"/>
          <w:lang w:eastAsia="es-ES_tradnl"/>
        </w:rPr>
      </w:pPr>
    </w:p>
    <w:p w:rsidRPr="00282C0E" w:rsidR="00D7149D" w:rsidP="00D7149D" w:rsidRDefault="00D7149D" w14:paraId="39FDBFAA" w14:textId="212B880E">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1E0F542F" w14:textId="4D1D5369">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7915AFCB" w14:textId="5005F7FB">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10072E21" w14:textId="7E816893">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4595BF45" w14:textId="1CD79B40">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166BB048" w14:textId="3C567F51">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5D5F1300" w14:textId="2368D945">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0863DF9F" w14:textId="7A868909">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164419E7" w14:textId="4DA281AB">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6E555349" w14:textId="5A691360">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0C192D75" w14:textId="3CF1A457">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1D3A7859" w14:textId="6727A088">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76467611" w14:textId="082C6343">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29E8C933" w14:textId="627B646B">
      <w:pPr>
        <w:spacing w:after="0" w:line="276" w:lineRule="auto"/>
        <w:jc w:val="both"/>
        <w:rPr>
          <w:rFonts w:ascii="Arial" w:hAnsi="Arial" w:eastAsia="Calibri" w:cs="Arial"/>
          <w:color w:val="000000"/>
          <w:highlight w:val="yellow"/>
          <w:lang w:eastAsia="es-ES_tradnl"/>
        </w:rPr>
      </w:pPr>
    </w:p>
    <w:p w:rsidRPr="00282C0E" w:rsidR="009D6735" w:rsidP="00D7149D" w:rsidRDefault="009D6735" w14:paraId="32C8543C" w14:textId="77777777">
      <w:pPr>
        <w:spacing w:after="0" w:line="276" w:lineRule="auto"/>
        <w:jc w:val="both"/>
        <w:rPr>
          <w:rFonts w:ascii="Arial" w:hAnsi="Arial" w:eastAsia="Calibri" w:cs="Arial"/>
          <w:color w:val="000000"/>
          <w:highlight w:val="yellow"/>
          <w:lang w:eastAsia="es-ES_tradnl"/>
        </w:rPr>
      </w:pPr>
    </w:p>
    <w:p w:rsidRPr="00282C0E" w:rsidR="00D7149D" w:rsidP="00D7149D" w:rsidRDefault="00D7149D" w14:paraId="56AEB6D2" w14:textId="1618045C">
      <w:pPr>
        <w:spacing w:after="0" w:line="276" w:lineRule="auto"/>
        <w:jc w:val="both"/>
        <w:rPr>
          <w:rFonts w:ascii="Arial" w:hAnsi="Arial" w:eastAsia="Calibri" w:cs="Arial"/>
          <w:color w:val="000000"/>
          <w:highlight w:val="yellow"/>
          <w:lang w:eastAsia="es-ES_tradnl"/>
        </w:rPr>
      </w:pPr>
    </w:p>
    <w:p w:rsidRPr="00282C0E" w:rsidR="000F05FE" w:rsidP="00D7149D" w:rsidRDefault="000F05FE" w14:paraId="326BE80F" w14:textId="568A4148">
      <w:pPr>
        <w:spacing w:after="0" w:line="276" w:lineRule="auto"/>
        <w:jc w:val="both"/>
        <w:rPr>
          <w:rFonts w:ascii="Arial" w:hAnsi="Arial" w:eastAsia="Calibri" w:cs="Arial"/>
          <w:color w:val="000000"/>
          <w:highlight w:val="yellow"/>
          <w:lang w:eastAsia="es-ES_tradnl"/>
        </w:rPr>
      </w:pPr>
    </w:p>
    <w:p w:rsidRPr="00282C0E" w:rsidR="000F05FE" w:rsidP="00D7149D" w:rsidRDefault="000F05FE" w14:paraId="10F73F03" w14:textId="27A801A5">
      <w:pPr>
        <w:spacing w:after="0" w:line="276" w:lineRule="auto"/>
        <w:jc w:val="both"/>
        <w:rPr>
          <w:rFonts w:ascii="Arial" w:hAnsi="Arial" w:eastAsia="Calibri" w:cs="Arial"/>
          <w:color w:val="000000"/>
          <w:highlight w:val="yellow"/>
          <w:lang w:eastAsia="es-ES_tradnl"/>
        </w:rPr>
      </w:pPr>
    </w:p>
    <w:p w:rsidRPr="00282C0E" w:rsidR="000F05FE" w:rsidP="00D7149D" w:rsidRDefault="000F05FE" w14:paraId="7353DCEC" w14:textId="77777777">
      <w:pPr>
        <w:spacing w:after="0" w:line="276" w:lineRule="auto"/>
        <w:jc w:val="both"/>
        <w:rPr>
          <w:rFonts w:ascii="Arial" w:hAnsi="Arial" w:eastAsia="Calibri" w:cs="Arial"/>
          <w:color w:val="000000"/>
          <w:highlight w:val="yellow"/>
          <w:lang w:eastAsia="es-ES_tradnl"/>
        </w:rPr>
      </w:pPr>
    </w:p>
    <w:p w:rsidRPr="00282C0E" w:rsidR="00D7149D" w:rsidP="00D7149D" w:rsidRDefault="00D7149D" w14:paraId="07A87CDF" w14:textId="77777777">
      <w:pPr>
        <w:spacing w:after="0" w:line="276" w:lineRule="auto"/>
        <w:jc w:val="both"/>
        <w:rPr>
          <w:rFonts w:ascii="Arial" w:hAnsi="Arial" w:eastAsia="Calibri" w:cs="Arial"/>
          <w:color w:val="000000"/>
          <w:lang w:eastAsia="es-ES_tradnl"/>
        </w:rPr>
      </w:pPr>
    </w:p>
    <w:p w:rsidRPr="00282C0E" w:rsidR="00D7149D" w:rsidP="00EB6019" w:rsidRDefault="00D7149D" w14:paraId="65CB1DAC" w14:textId="061D7282">
      <w:pPr>
        <w:spacing w:after="0" w:line="240" w:lineRule="auto"/>
        <w:jc w:val="right"/>
        <w:rPr>
          <w:rFonts w:ascii="Arial" w:hAnsi="Arial" w:eastAsia="Calibri" w:cs="Arial"/>
        </w:rPr>
      </w:pPr>
      <w:r w:rsidRPr="00282C0E">
        <w:rPr>
          <w:rFonts w:ascii="Arial" w:hAnsi="Arial" w:eastAsia="Calibri" w:cs="Arial"/>
        </w:rPr>
        <w:tab/>
      </w:r>
    </w:p>
    <w:p w:rsidRPr="00282C0E" w:rsidR="00D7149D" w:rsidP="00D7149D" w:rsidRDefault="00D7149D" w14:paraId="3C3E4533" w14:textId="7A4A19E8">
      <w:pPr>
        <w:spacing w:after="0" w:line="240" w:lineRule="auto"/>
        <w:rPr>
          <w:rFonts w:ascii="Arial" w:hAnsi="Arial" w:eastAsia="Calibri" w:cs="Arial"/>
          <w:lang w:val="es-MX"/>
        </w:rPr>
      </w:pPr>
    </w:p>
    <w:p w:rsidR="00221D86" w:rsidP="00D7149D" w:rsidRDefault="00221D86" w14:paraId="75826807" w14:textId="77777777">
      <w:pPr>
        <w:spacing w:after="0" w:line="240" w:lineRule="auto"/>
        <w:rPr>
          <w:rFonts w:ascii="Arial" w:hAnsi="Arial" w:cs="Arial"/>
        </w:rPr>
      </w:pPr>
    </w:p>
    <w:p w:rsidR="00221D86" w:rsidP="00D7149D" w:rsidRDefault="00221D86" w14:paraId="250CAE2C" w14:textId="77777777">
      <w:pPr>
        <w:spacing w:after="0" w:line="240" w:lineRule="auto"/>
        <w:rPr>
          <w:rFonts w:ascii="Arial" w:hAnsi="Arial" w:cs="Arial"/>
        </w:rPr>
      </w:pPr>
    </w:p>
    <w:p w:rsidR="00221D86" w:rsidP="00D7149D" w:rsidRDefault="00221D86" w14:paraId="1428F7FB" w14:textId="77777777">
      <w:pPr>
        <w:spacing w:after="0" w:line="240" w:lineRule="auto"/>
        <w:rPr>
          <w:rFonts w:ascii="Arial" w:hAnsi="Arial" w:cs="Arial"/>
        </w:rPr>
      </w:pPr>
    </w:p>
    <w:p w:rsidR="00221D86" w:rsidP="00221D86" w:rsidRDefault="00221D86" w14:paraId="6DBC7B92" w14:textId="2955A14E">
      <w:pPr>
        <w:spacing w:after="0" w:line="240" w:lineRule="auto"/>
        <w:jc w:val="right"/>
        <w:rPr>
          <w:rFonts w:ascii="Arial" w:hAnsi="Arial" w:cs="Arial"/>
        </w:rPr>
      </w:pPr>
      <w:r w:rsidRPr="00221D86">
        <w:rPr>
          <w:rFonts w:ascii="Arial" w:hAnsi="Arial" w:cs="Arial"/>
        </w:rPr>
        <w:drawing>
          <wp:inline distT="0" distB="0" distL="0" distR="0" wp14:anchorId="5519F3C4" wp14:editId="2624A6CB">
            <wp:extent cx="3035595" cy="1193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9697" cy="1199346"/>
                    </a:xfrm>
                    <a:prstGeom prst="rect">
                      <a:avLst/>
                    </a:prstGeom>
                  </pic:spPr>
                </pic:pic>
              </a:graphicData>
            </a:graphic>
          </wp:inline>
        </w:drawing>
      </w:r>
    </w:p>
    <w:p w:rsidR="00221D86" w:rsidP="00D7149D" w:rsidRDefault="00221D86" w14:paraId="38E7ECCA" w14:textId="77777777">
      <w:pPr>
        <w:spacing w:after="0" w:line="240" w:lineRule="auto"/>
        <w:rPr>
          <w:rFonts w:ascii="Arial" w:hAnsi="Arial" w:cs="Arial"/>
        </w:rPr>
      </w:pPr>
    </w:p>
    <w:p w:rsidRPr="001635C6" w:rsidR="00EB6019" w:rsidP="00D7149D" w:rsidRDefault="00FA0C1E" w14:paraId="07D0BFB6" w14:textId="72DD8FF0">
      <w:pPr>
        <w:spacing w:after="0" w:line="240" w:lineRule="auto"/>
        <w:rPr>
          <w:rFonts w:ascii="Arial" w:hAnsi="Arial" w:cs="Arial"/>
        </w:rPr>
      </w:pPr>
      <w:r w:rsidRPr="001635C6">
        <w:rPr>
          <w:rFonts w:ascii="Arial" w:hAnsi="Arial" w:cs="Arial"/>
        </w:rPr>
        <w:t>Bogotá</w:t>
      </w:r>
      <w:r w:rsidRPr="001635C6" w:rsidR="00282C0E">
        <w:rPr>
          <w:rFonts w:ascii="Arial" w:hAnsi="Arial" w:cs="Arial"/>
        </w:rPr>
        <w:t xml:space="preserve"> D.C., </w:t>
      </w:r>
    </w:p>
    <w:p w:rsidRPr="001635C6" w:rsidR="00282C0E" w:rsidP="00D7149D" w:rsidRDefault="00282C0E" w14:paraId="79F32C58" w14:textId="00F91685">
      <w:pPr>
        <w:spacing w:after="0" w:line="240" w:lineRule="auto"/>
        <w:rPr>
          <w:rFonts w:ascii="Arial" w:hAnsi="Arial" w:cs="Arial"/>
        </w:rPr>
      </w:pPr>
    </w:p>
    <w:p w:rsidRPr="001635C6" w:rsidR="00282C0E" w:rsidP="00D7149D" w:rsidRDefault="00282C0E" w14:paraId="6EE1AB2E" w14:textId="77777777">
      <w:pPr>
        <w:spacing w:after="0" w:line="240" w:lineRule="auto"/>
        <w:rPr>
          <w:rFonts w:ascii="Arial" w:hAnsi="Arial" w:cs="Arial"/>
        </w:rPr>
      </w:pPr>
    </w:p>
    <w:p w:rsidRPr="001635C6" w:rsidR="00FA0C1E" w:rsidP="00D7149D" w:rsidRDefault="00FA0C1E" w14:paraId="2D82157E" w14:textId="77777777">
      <w:pPr>
        <w:spacing w:after="0" w:line="240" w:lineRule="auto"/>
        <w:rPr>
          <w:rFonts w:ascii="Arial" w:hAnsi="Arial" w:eastAsia="Calibri" w:cs="Arial"/>
          <w:lang w:val="es-MX"/>
        </w:rPr>
      </w:pPr>
    </w:p>
    <w:p w:rsidRPr="001635C6" w:rsidR="00D7149D" w:rsidP="00BA005B" w:rsidRDefault="00D7149D" w14:paraId="3BF176B7" w14:textId="77777777">
      <w:pPr>
        <w:spacing w:after="0" w:line="276" w:lineRule="auto"/>
        <w:rPr>
          <w:rFonts w:ascii="Arial" w:hAnsi="Arial" w:eastAsia="Calibri" w:cs="Arial"/>
          <w:bCs/>
          <w:lang w:val="es-ES"/>
        </w:rPr>
      </w:pPr>
      <w:bookmarkStart w:name="_Hlk106185586" w:id="0"/>
      <w:r w:rsidRPr="001635C6">
        <w:rPr>
          <w:rFonts w:ascii="Arial" w:hAnsi="Arial" w:eastAsia="Calibri" w:cs="Arial"/>
          <w:lang w:val="es-MX"/>
        </w:rPr>
        <w:t>Señor</w:t>
      </w:r>
    </w:p>
    <w:p w:rsidRPr="001635C6" w:rsidR="00D7149D" w:rsidP="00BA005B" w:rsidRDefault="00282C0E" w14:paraId="2744640B" w14:textId="3D4BBC53">
      <w:pPr>
        <w:spacing w:after="0" w:line="276" w:lineRule="auto"/>
        <w:rPr>
          <w:rFonts w:ascii="Arial" w:hAnsi="Arial" w:cs="Arial"/>
        </w:rPr>
      </w:pPr>
      <w:r w:rsidRPr="001635C6">
        <w:rPr>
          <w:rFonts w:ascii="Arial" w:hAnsi="Arial" w:cs="Arial"/>
          <w:b/>
          <w:bCs/>
        </w:rPr>
        <w:t xml:space="preserve">Uriel Edgardo Hernández Gaitán </w:t>
      </w:r>
    </w:p>
    <w:p w:rsidRPr="001635C6" w:rsidR="00BA005B" w:rsidP="00D7149D" w:rsidRDefault="00BA005B" w14:paraId="5D718F0A" w14:textId="2791AAA3">
      <w:pPr>
        <w:spacing w:after="0" w:line="240" w:lineRule="auto"/>
        <w:rPr>
          <w:rFonts w:ascii="Arial" w:hAnsi="Arial" w:eastAsia="Calibri" w:cs="Arial"/>
          <w:highlight w:val="yellow"/>
          <w:lang w:val="es-MX"/>
        </w:rPr>
      </w:pPr>
    </w:p>
    <w:p w:rsidRPr="001635C6" w:rsidR="00D752D2" w:rsidP="00D7149D" w:rsidRDefault="00D752D2" w14:paraId="1A4C06F5" w14:textId="77777777">
      <w:pPr>
        <w:spacing w:after="0" w:line="240" w:lineRule="auto"/>
        <w:rPr>
          <w:rFonts w:ascii="Arial" w:hAnsi="Arial" w:eastAsia="Calibri" w:cs="Arial"/>
          <w:highlight w:val="yellow"/>
          <w:lang w:val="es-MX"/>
        </w:rPr>
      </w:pPr>
    </w:p>
    <w:p w:rsidRPr="001635C6" w:rsidR="00D7149D" w:rsidP="00D7149D" w:rsidRDefault="00282C0E" w14:paraId="05BEBAD0" w14:textId="7F997433">
      <w:pPr>
        <w:spacing w:after="0" w:line="240" w:lineRule="auto"/>
        <w:ind w:left="2124" w:firstLine="570"/>
        <w:rPr>
          <w:rFonts w:ascii="Arial" w:hAnsi="Arial" w:eastAsia="Calibri" w:cs="Arial"/>
          <w:b/>
          <w:lang w:val="es-MX"/>
        </w:rPr>
      </w:pPr>
      <w:r w:rsidRPr="001635C6">
        <w:rPr>
          <w:rFonts w:ascii="Arial" w:hAnsi="Arial" w:eastAsia="Calibri" w:cs="Arial"/>
          <w:b/>
          <w:lang w:val="es-MX"/>
        </w:rPr>
        <w:t xml:space="preserve">      </w:t>
      </w:r>
      <w:r w:rsidRPr="001635C6" w:rsidR="00D7149D">
        <w:rPr>
          <w:rFonts w:ascii="Arial" w:hAnsi="Arial" w:eastAsia="Calibri" w:cs="Arial"/>
          <w:b/>
          <w:lang w:val="es-MX"/>
        </w:rPr>
        <w:t xml:space="preserve">Concepto C – </w:t>
      </w:r>
      <w:r w:rsidRPr="001635C6">
        <w:rPr>
          <w:rFonts w:ascii="Arial" w:hAnsi="Arial" w:eastAsia="Calibri" w:cs="Arial"/>
          <w:b/>
          <w:lang w:val="es-MX"/>
        </w:rPr>
        <w:t xml:space="preserve">438 </w:t>
      </w:r>
      <w:r w:rsidRPr="001635C6" w:rsidR="00D7149D">
        <w:rPr>
          <w:rFonts w:ascii="Arial" w:hAnsi="Arial" w:eastAsia="Calibri" w:cs="Arial"/>
          <w:b/>
          <w:lang w:val="es-MX"/>
        </w:rPr>
        <w:t>de 2022</w:t>
      </w:r>
    </w:p>
    <w:p w:rsidRPr="001635C6" w:rsidR="00D7149D" w:rsidP="00D7149D" w:rsidRDefault="00D7149D" w14:paraId="0111759D" w14:textId="77777777">
      <w:pPr>
        <w:spacing w:after="0" w:line="240" w:lineRule="auto"/>
        <w:rPr>
          <w:rFonts w:ascii="Arial" w:hAnsi="Arial" w:eastAsia="Calibri" w:cs="Arial"/>
          <w:highlight w:val="yellow"/>
          <w:lang w:val="es-MX"/>
        </w:rPr>
      </w:pPr>
    </w:p>
    <w:tbl>
      <w:tblPr>
        <w:tblStyle w:val="Tablaconcuadrcula2"/>
        <w:tblW w:w="15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060"/>
        <w:gridCol w:w="5866"/>
        <w:gridCol w:w="6237"/>
      </w:tblGrid>
      <w:tr w:rsidRPr="00305B6F" w:rsidR="00D7149D" w:rsidTr="3B4F412E" w14:paraId="69E847B6" w14:textId="77777777">
        <w:trPr>
          <w:trHeight w:val="866"/>
        </w:trPr>
        <w:tc>
          <w:tcPr>
            <w:tcW w:w="3060" w:type="dxa"/>
            <w:hideMark/>
          </w:tcPr>
          <w:p w:rsidRPr="001635C6" w:rsidR="00D7149D" w:rsidP="00D7149D" w:rsidRDefault="00D7149D" w14:paraId="15D9B66B" w14:textId="77777777">
            <w:pPr>
              <w:rPr>
                <w:rFonts w:ascii="Arial" w:hAnsi="Arial" w:eastAsia="Calibri" w:cs="Arial"/>
                <w:lang w:val="es-MX"/>
              </w:rPr>
            </w:pPr>
            <w:r w:rsidRPr="001635C6">
              <w:rPr>
                <w:rFonts w:ascii="Arial" w:hAnsi="Arial" w:eastAsia="Calibri" w:cs="Arial"/>
                <w:b/>
                <w:lang w:val="es-MX"/>
              </w:rPr>
              <w:t>Temas:</w:t>
            </w:r>
            <w:r w:rsidRPr="001635C6">
              <w:rPr>
                <w:rFonts w:ascii="Arial" w:hAnsi="Arial" w:eastAsia="Calibri" w:cs="Arial"/>
                <w:lang w:val="es-MX"/>
              </w:rPr>
              <w:t xml:space="preserve">  </w:t>
            </w:r>
          </w:p>
          <w:p w:rsidRPr="001635C6" w:rsidR="00D7149D" w:rsidP="00D7149D" w:rsidRDefault="00D7149D" w14:paraId="5C37EB0E" w14:textId="77777777">
            <w:pPr>
              <w:rPr>
                <w:rFonts w:ascii="Arial" w:hAnsi="Arial" w:eastAsia="Calibri" w:cs="Arial"/>
                <w:highlight w:val="yellow"/>
                <w:lang w:val="es-MX"/>
              </w:rPr>
            </w:pPr>
            <w:r w:rsidRPr="001635C6">
              <w:rPr>
                <w:rFonts w:ascii="Arial" w:hAnsi="Arial" w:eastAsia="Calibri" w:cs="Arial"/>
                <w:highlight w:val="yellow"/>
                <w:lang w:val="es-MX"/>
              </w:rPr>
              <w:t xml:space="preserve"> </w:t>
            </w:r>
          </w:p>
        </w:tc>
        <w:tc>
          <w:tcPr>
            <w:tcW w:w="5866" w:type="dxa"/>
            <w:hideMark/>
          </w:tcPr>
          <w:p w:rsidRPr="001635C6" w:rsidR="000F05FE" w:rsidP="00D7149D" w:rsidRDefault="00D752D2" w14:paraId="704D66FC" w14:textId="2E0402D3">
            <w:pPr>
              <w:jc w:val="both"/>
              <w:rPr>
                <w:rFonts w:ascii="Arial" w:hAnsi="Arial" w:eastAsia="Calibri" w:cs="Arial"/>
                <w:lang w:val="es-ES"/>
              </w:rPr>
            </w:pPr>
            <w:r w:rsidRPr="001635C6">
              <w:rPr>
                <w:rFonts w:ascii="Arial" w:hAnsi="Arial" w:eastAsia="Calibri" w:cs="Arial"/>
                <w:color w:val="000000" w:themeColor="text1"/>
                <w:lang w:val="es-ES_tradnl"/>
              </w:rPr>
              <w:t>LEY DE EMPRENDIMIENTO – Ley 2069 de 2020 – Contenido – Finalidad / CRITERIOS DIFERENCIALES – Ley 2069 de 2020 – Artículo 32 –– Emprendimientos de mujeres y empresas de mujeres – Necesidad de reglamentación – Decreto 1860 de 2021 / ANÁLISIS DEL SECTOR – Criterios Diferenciales – Emprendimientos de mujeres y empresas de mujeres</w:t>
            </w:r>
            <w:r w:rsidRPr="001635C6">
              <w:rPr>
                <w:rFonts w:ascii="Arial" w:hAnsi="Arial" w:eastAsia="Calibri" w:cs="Arial"/>
                <w:lang w:val="es-ES"/>
              </w:rPr>
              <w:t xml:space="preserve"> </w:t>
            </w:r>
          </w:p>
          <w:p w:rsidRPr="001635C6" w:rsidR="00D752D2" w:rsidP="00D7149D" w:rsidRDefault="00D752D2" w14:paraId="6AED2AD9" w14:textId="77777777">
            <w:pPr>
              <w:jc w:val="both"/>
              <w:rPr>
                <w:rFonts w:ascii="Arial" w:hAnsi="Arial" w:cs="Arial"/>
                <w:bCs/>
                <w:highlight w:val="yellow"/>
              </w:rPr>
            </w:pPr>
          </w:p>
          <w:p w:rsidRPr="001635C6" w:rsidR="00D7149D" w:rsidP="00D7149D" w:rsidRDefault="00D7149D" w14:paraId="30592B8F" w14:textId="77777777">
            <w:pPr>
              <w:jc w:val="both"/>
              <w:rPr>
                <w:rFonts w:ascii="Arial" w:hAnsi="Arial" w:eastAsia="Calibri" w:cs="Arial"/>
                <w:b/>
                <w:highlight w:val="yellow"/>
                <w:lang w:val="es-ES_tradnl" w:eastAsia="es-ES"/>
              </w:rPr>
            </w:pPr>
          </w:p>
        </w:tc>
        <w:tc>
          <w:tcPr>
            <w:tcW w:w="6237" w:type="dxa"/>
          </w:tcPr>
          <w:p w:rsidRPr="001635C6" w:rsidR="00D7149D" w:rsidP="00D7149D" w:rsidRDefault="00D7149D" w14:paraId="67E8D2B5" w14:textId="77777777">
            <w:pPr>
              <w:spacing w:after="120" w:line="276" w:lineRule="auto"/>
              <w:jc w:val="both"/>
              <w:rPr>
                <w:rFonts w:ascii="Arial" w:hAnsi="Arial" w:eastAsia="Calibri" w:cs="Arial"/>
                <w:highlight w:val="yellow"/>
                <w:lang w:val="es-MX" w:eastAsia="es-ES"/>
              </w:rPr>
            </w:pPr>
          </w:p>
        </w:tc>
      </w:tr>
      <w:tr w:rsidRPr="00305B6F" w:rsidR="00D7149D" w:rsidTr="3B4F412E" w14:paraId="75B3EB15" w14:textId="77777777">
        <w:tc>
          <w:tcPr>
            <w:tcW w:w="3060" w:type="dxa"/>
          </w:tcPr>
          <w:p w:rsidRPr="001635C6" w:rsidR="00D7149D" w:rsidP="00D7149D" w:rsidRDefault="00D7149D" w14:paraId="0F1408C8" w14:textId="77777777">
            <w:pPr>
              <w:rPr>
                <w:rFonts w:ascii="Arial" w:hAnsi="Arial" w:eastAsia="Calibri" w:cs="Arial"/>
                <w:b/>
                <w:lang w:val="es-MX"/>
              </w:rPr>
            </w:pPr>
            <w:r w:rsidRPr="001635C6">
              <w:rPr>
                <w:rFonts w:ascii="Arial" w:hAnsi="Arial" w:eastAsia="Calibri" w:cs="Arial"/>
                <w:b/>
                <w:lang w:val="es-MX"/>
              </w:rPr>
              <w:t>Radicación:</w:t>
            </w:r>
            <w:r w:rsidRPr="001635C6">
              <w:rPr>
                <w:rFonts w:ascii="Arial" w:hAnsi="Arial" w:eastAsia="Calibri" w:cs="Arial"/>
                <w:lang w:val="es-MX"/>
              </w:rPr>
              <w:t xml:space="preserve"> </w:t>
            </w:r>
          </w:p>
        </w:tc>
        <w:tc>
          <w:tcPr>
            <w:tcW w:w="5866" w:type="dxa"/>
          </w:tcPr>
          <w:p w:rsidRPr="001635C6" w:rsidR="00D7149D" w:rsidP="00D7149D" w:rsidRDefault="00D7149D" w14:paraId="0EA19735" w14:textId="41122F98">
            <w:pPr>
              <w:jc w:val="both"/>
              <w:rPr>
                <w:rFonts w:ascii="Arial" w:hAnsi="Arial" w:eastAsia="Calibri" w:cs="Arial"/>
                <w:lang w:val="es-MX"/>
              </w:rPr>
            </w:pPr>
            <w:r w:rsidRPr="001635C6">
              <w:rPr>
                <w:rFonts w:ascii="Arial" w:hAnsi="Arial" w:eastAsia="Calibri" w:cs="Arial"/>
                <w:lang w:val="es-MX"/>
              </w:rPr>
              <w:t xml:space="preserve">Respuesta a la consulta </w:t>
            </w:r>
            <w:r w:rsidRPr="001635C6" w:rsidR="00282C0E">
              <w:rPr>
                <w:rFonts w:ascii="Arial" w:hAnsi="Arial" w:eastAsia="Calibri" w:cs="Arial"/>
                <w:lang w:val="es-MX"/>
              </w:rPr>
              <w:t>P20220524005153</w:t>
            </w:r>
          </w:p>
        </w:tc>
        <w:tc>
          <w:tcPr>
            <w:tcW w:w="6237" w:type="dxa"/>
          </w:tcPr>
          <w:p w:rsidRPr="001635C6" w:rsidR="00D7149D" w:rsidP="00D7149D" w:rsidRDefault="00D7149D" w14:paraId="683288B8" w14:textId="77777777">
            <w:pPr>
              <w:jc w:val="both"/>
              <w:rPr>
                <w:rFonts w:ascii="Arial" w:hAnsi="Arial" w:eastAsia="Calibri" w:cs="Arial"/>
                <w:highlight w:val="yellow"/>
                <w:lang w:val="es-MX"/>
              </w:rPr>
            </w:pPr>
          </w:p>
        </w:tc>
      </w:tr>
    </w:tbl>
    <w:p w:rsidRPr="001635C6" w:rsidR="00D7149D" w:rsidP="00D7149D" w:rsidRDefault="00D7149D" w14:paraId="124E8895" w14:textId="77777777">
      <w:pPr>
        <w:spacing w:after="0" w:line="276" w:lineRule="auto"/>
        <w:rPr>
          <w:rFonts w:ascii="Arial" w:hAnsi="Arial" w:eastAsia="Calibri" w:cs="Arial"/>
          <w:highlight w:val="yellow"/>
          <w:lang w:val="es-MX"/>
        </w:rPr>
      </w:pPr>
    </w:p>
    <w:p w:rsidRPr="001635C6" w:rsidR="00D7149D" w:rsidP="00D7149D" w:rsidRDefault="00D7149D" w14:paraId="69DA6AA8" w14:textId="77777777">
      <w:pPr>
        <w:spacing w:after="0" w:line="276" w:lineRule="auto"/>
        <w:rPr>
          <w:rFonts w:ascii="Arial" w:hAnsi="Arial" w:eastAsia="Calibri" w:cs="Arial"/>
          <w:highlight w:val="yellow"/>
          <w:lang w:val="es-MX"/>
        </w:rPr>
      </w:pPr>
    </w:p>
    <w:p w:rsidRPr="001635C6" w:rsidR="00D7149D" w:rsidP="00D7149D" w:rsidRDefault="00D7149D" w14:paraId="7B3AA783" w14:textId="0002CF79">
      <w:pPr>
        <w:spacing w:after="0" w:line="276" w:lineRule="auto"/>
        <w:rPr>
          <w:rFonts w:ascii="Arial" w:hAnsi="Arial" w:eastAsia="Calibri" w:cs="Arial"/>
          <w:lang w:val="es-MX"/>
        </w:rPr>
      </w:pPr>
      <w:r w:rsidRPr="001635C6">
        <w:rPr>
          <w:rFonts w:ascii="Arial" w:hAnsi="Arial" w:eastAsia="Calibri" w:cs="Arial"/>
          <w:lang w:val="es-MX"/>
        </w:rPr>
        <w:t>Estimad</w:t>
      </w:r>
      <w:r w:rsidRPr="001635C6" w:rsidR="00282C0E">
        <w:rPr>
          <w:rFonts w:ascii="Arial" w:hAnsi="Arial" w:eastAsia="Calibri" w:cs="Arial"/>
          <w:lang w:val="es-MX"/>
        </w:rPr>
        <w:t>o</w:t>
      </w:r>
      <w:r w:rsidRPr="001635C6">
        <w:rPr>
          <w:rFonts w:ascii="Arial" w:hAnsi="Arial" w:eastAsia="Calibri" w:cs="Arial"/>
          <w:lang w:val="es-MX"/>
        </w:rPr>
        <w:t xml:space="preserve"> señor</w:t>
      </w:r>
      <w:r w:rsidRPr="001635C6" w:rsidR="00BA005B">
        <w:rPr>
          <w:rFonts w:ascii="Arial" w:hAnsi="Arial" w:cs="Arial"/>
          <w:b/>
          <w:bCs/>
        </w:rPr>
        <w:t xml:space="preserve"> </w:t>
      </w:r>
      <w:r w:rsidRPr="001635C6" w:rsidR="00282C0E">
        <w:rPr>
          <w:rFonts w:ascii="Arial" w:hAnsi="Arial" w:cs="Arial"/>
        </w:rPr>
        <w:t>Hernández</w:t>
      </w:r>
      <w:r w:rsidRPr="001635C6">
        <w:rPr>
          <w:rFonts w:ascii="Arial" w:hAnsi="Arial" w:eastAsia="Calibri" w:cs="Arial"/>
          <w:lang w:val="es-ES"/>
        </w:rPr>
        <w:t>:</w:t>
      </w:r>
    </w:p>
    <w:p w:rsidRPr="00707F66" w:rsidR="00D7149D" w:rsidP="00D7149D" w:rsidRDefault="00D7149D" w14:paraId="14394FCB" w14:textId="77777777">
      <w:pPr>
        <w:spacing w:after="0" w:line="276" w:lineRule="auto"/>
        <w:rPr>
          <w:rFonts w:ascii="Arial" w:hAnsi="Arial" w:eastAsia="Calibri" w:cs="Arial"/>
          <w:sz w:val="24"/>
          <w:szCs w:val="24"/>
          <w:highlight w:val="yellow"/>
          <w:lang w:val="es-MX"/>
        </w:rPr>
      </w:pPr>
    </w:p>
    <w:p w:rsidRPr="001635C6" w:rsidR="00D7149D" w:rsidP="00D7149D" w:rsidRDefault="00D7149D" w14:paraId="75B6D451" w14:textId="58F412DD">
      <w:pPr>
        <w:spacing w:after="0" w:line="276" w:lineRule="auto"/>
        <w:jc w:val="both"/>
        <w:rPr>
          <w:rFonts w:ascii="Arial" w:hAnsi="Arial" w:eastAsia="Calibri" w:cs="Arial"/>
          <w:highlight w:val="yellow"/>
          <w:lang w:val="es-MX"/>
        </w:rPr>
      </w:pPr>
      <w:r w:rsidRPr="001635C6">
        <w:rPr>
          <w:rFonts w:ascii="Arial" w:hAnsi="Arial" w:eastAsia="Calibri" w:cs="Arial"/>
          <w:lang w:val="es-MX"/>
        </w:rPr>
        <w:t xml:space="preserve">En ejercicio de la competencia otorgada por el numeral 8 del artículo 11 y el numeral 5 del artículo 3 del Decreto Ley 4170 de 2011, la Agencia Nacional de Contratación Pública – Colombia Compra Eficiente responde la consulta del </w:t>
      </w:r>
      <w:r w:rsidRPr="001635C6" w:rsidR="00C60F60">
        <w:rPr>
          <w:rFonts w:ascii="Arial" w:hAnsi="Arial" w:eastAsia="Calibri" w:cs="Arial"/>
          <w:lang w:val="es-MX"/>
        </w:rPr>
        <w:t>2</w:t>
      </w:r>
      <w:r w:rsidRPr="001635C6" w:rsidR="00BA005B">
        <w:rPr>
          <w:rFonts w:ascii="Arial" w:hAnsi="Arial" w:eastAsia="Calibri" w:cs="Arial"/>
          <w:lang w:val="es-MX"/>
        </w:rPr>
        <w:t>4</w:t>
      </w:r>
      <w:r w:rsidRPr="001635C6">
        <w:rPr>
          <w:rFonts w:ascii="Arial" w:hAnsi="Arial" w:eastAsia="Calibri" w:cs="Arial"/>
          <w:lang w:val="es-MX"/>
        </w:rPr>
        <w:t xml:space="preserve"> de </w:t>
      </w:r>
      <w:r w:rsidRPr="001635C6" w:rsidR="00BA005B">
        <w:rPr>
          <w:rFonts w:ascii="Arial" w:hAnsi="Arial" w:eastAsia="Calibri" w:cs="Arial"/>
          <w:lang w:val="es-MX"/>
        </w:rPr>
        <w:t>mayo</w:t>
      </w:r>
      <w:r w:rsidRPr="001635C6">
        <w:rPr>
          <w:rFonts w:ascii="Arial" w:hAnsi="Arial" w:eastAsia="Calibri" w:cs="Arial"/>
          <w:lang w:val="es-MX"/>
        </w:rPr>
        <w:t xml:space="preserve"> de 2022.</w:t>
      </w:r>
    </w:p>
    <w:p w:rsidRPr="001635C6" w:rsidR="00D7149D" w:rsidP="00D7149D" w:rsidRDefault="00D7149D" w14:paraId="01FC22C3" w14:textId="77777777">
      <w:pPr>
        <w:spacing w:after="0" w:line="276" w:lineRule="auto"/>
        <w:jc w:val="both"/>
        <w:rPr>
          <w:rFonts w:ascii="Arial" w:hAnsi="Arial" w:eastAsia="Calibri" w:cs="Arial"/>
          <w:highlight w:val="yellow"/>
          <w:lang w:val="es-MX"/>
        </w:rPr>
      </w:pPr>
    </w:p>
    <w:p w:rsidRPr="001635C6" w:rsidR="00D7149D" w:rsidP="00D7149D" w:rsidRDefault="00D7149D" w14:paraId="40CE45B7" w14:textId="77777777">
      <w:pPr>
        <w:tabs>
          <w:tab w:val="left" w:pos="284"/>
        </w:tabs>
        <w:spacing w:after="0" w:line="276" w:lineRule="auto"/>
        <w:contextualSpacing/>
        <w:jc w:val="both"/>
        <w:rPr>
          <w:rFonts w:ascii="Arial" w:hAnsi="Arial" w:eastAsia="Calibri" w:cs="Arial"/>
          <w:b/>
          <w:lang w:val="es-MX"/>
        </w:rPr>
      </w:pPr>
      <w:r w:rsidRPr="001635C6">
        <w:rPr>
          <w:rFonts w:ascii="Arial" w:hAnsi="Arial" w:eastAsia="Calibri" w:cs="Arial"/>
          <w:b/>
          <w:lang w:val="es-MX"/>
        </w:rPr>
        <w:t>1. Problema planteado</w:t>
      </w:r>
    </w:p>
    <w:p w:rsidRPr="001635C6" w:rsidR="00D7149D" w:rsidP="00D7149D" w:rsidRDefault="00D7149D" w14:paraId="44556422" w14:textId="77777777">
      <w:pPr>
        <w:spacing w:after="0" w:line="276" w:lineRule="auto"/>
        <w:ind w:right="709"/>
        <w:rPr>
          <w:rFonts w:ascii="Arial" w:hAnsi="Arial" w:cs="Arial"/>
        </w:rPr>
      </w:pPr>
    </w:p>
    <w:p w:rsidRPr="001635C6" w:rsidR="00BA005B" w:rsidP="00BA005B" w:rsidRDefault="00BA005B" w14:paraId="29A361F4" w14:textId="6305E852">
      <w:pPr>
        <w:tabs>
          <w:tab w:val="left" w:pos="426"/>
        </w:tabs>
        <w:spacing w:after="0" w:line="276" w:lineRule="auto"/>
        <w:contextualSpacing/>
        <w:jc w:val="both"/>
        <w:rPr>
          <w:rFonts w:ascii="Arial" w:hAnsi="Arial" w:cs="Arial"/>
        </w:rPr>
      </w:pPr>
      <w:r w:rsidRPr="001635C6">
        <w:rPr>
          <w:rFonts w:ascii="Arial" w:hAnsi="Arial" w:cs="Arial"/>
        </w:rPr>
        <w:t xml:space="preserve">Usted realiza </w:t>
      </w:r>
      <w:r w:rsidRPr="001635C6" w:rsidR="00707F66">
        <w:rPr>
          <w:rFonts w:ascii="Arial" w:hAnsi="Arial" w:cs="Arial"/>
        </w:rPr>
        <w:t>el siguiente planteamiento</w:t>
      </w:r>
      <w:r w:rsidRPr="001635C6">
        <w:rPr>
          <w:rFonts w:ascii="Arial" w:hAnsi="Arial" w:cs="Arial"/>
        </w:rPr>
        <w:t xml:space="preserve">: </w:t>
      </w:r>
    </w:p>
    <w:p w:rsidRPr="00707F66" w:rsidR="00707F66" w:rsidP="00BA005B" w:rsidRDefault="00707F66" w14:paraId="6B12A30E" w14:textId="450641FA">
      <w:pPr>
        <w:spacing w:after="120" w:line="240" w:lineRule="auto"/>
        <w:ind w:left="709" w:right="709"/>
        <w:jc w:val="both"/>
        <w:rPr>
          <w:rFonts w:ascii="Arial" w:hAnsi="Arial" w:cs="Arial"/>
          <w:sz w:val="21"/>
          <w:szCs w:val="21"/>
        </w:rPr>
      </w:pPr>
    </w:p>
    <w:p w:rsidRPr="00707F66" w:rsidR="00707F66" w:rsidP="00707F66" w:rsidRDefault="00707F66" w14:paraId="1C1DF142" w14:textId="3764F09F">
      <w:pPr>
        <w:autoSpaceDE w:val="0"/>
        <w:autoSpaceDN w:val="0"/>
        <w:adjustRightInd w:val="0"/>
        <w:spacing w:after="0" w:line="240" w:lineRule="auto"/>
        <w:ind w:left="708"/>
        <w:jc w:val="both"/>
        <w:rPr>
          <w:rFonts w:ascii="Arial" w:hAnsi="Arial" w:cs="Arial"/>
          <w:lang w:val="es-MX"/>
        </w:rPr>
      </w:pPr>
      <w:r w:rsidRPr="00707F66">
        <w:rPr>
          <w:rFonts w:ascii="Arial" w:hAnsi="Arial" w:cs="Arial"/>
        </w:rPr>
        <w:t>«</w:t>
      </w:r>
      <w:r w:rsidRPr="00707F66">
        <w:rPr>
          <w:rFonts w:ascii="Arial" w:hAnsi="Arial" w:cs="Arial"/>
          <w:lang w:val="es-MX"/>
        </w:rPr>
        <w:t>De acuerdo al articulo 2.2.1.2.4.2.14 Definición de emprendimientos y empresas de</w:t>
      </w:r>
      <w:r w:rsidRPr="00707F66">
        <w:rPr>
          <w:rFonts w:ascii="Arial" w:hAnsi="Arial" w:cs="Arial"/>
          <w:sz w:val="21"/>
          <w:szCs w:val="21"/>
          <w:lang w:val="es-MX"/>
        </w:rPr>
        <w:t xml:space="preserve"> </w:t>
      </w:r>
      <w:r w:rsidRPr="00707F66">
        <w:rPr>
          <w:rFonts w:ascii="Arial" w:hAnsi="Arial" w:cs="Arial"/>
          <w:lang w:val="es-MX"/>
        </w:rPr>
        <w:t xml:space="preserve">mujeres del decreto 1860 de 2021 establece unos parámetros para participar en procesos de contratación publica y así de acuerdo al articulo 2.2.1.2.4.2.15. Criterios diferenciales para emprendimientos y empresas de mujeres en el sistema de </w:t>
      </w:r>
      <w:r w:rsidRPr="00707F66">
        <w:rPr>
          <w:rFonts w:ascii="Arial" w:hAnsi="Arial" w:cs="Arial"/>
          <w:lang w:val="es-MX"/>
        </w:rPr>
        <w:lastRenderedPageBreak/>
        <w:t>compras públicas "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en estos artículos no indican cual es el procedimiento a seguir para la persona Natural Hombre y así obtener ese puntaje, recordemos que profesiones como la Ingenieria Civil esta catalogada como liberal motivo por el cual no se esta obligado a tener registro mercantil, como lo es mi caso el cual soy contratista de obras publicas del estado, contratos que obtengo después de participar de forma clara en procesos de selección, solicito aclaración de como proceder para obtener este puntaje ya que no indica el procedimiento a seguir PARA PROPONENTES PERSONA NATURAL lo cual esta generando que los ofertantes bajo mis mismas condiciones quedemos excluidos de presentarnos de procesos en entidades oficiales</w:t>
      </w:r>
      <w:r w:rsidRPr="00707F66">
        <w:rPr>
          <w:rFonts w:ascii="Arial" w:hAnsi="Arial" w:cs="Arial"/>
        </w:rPr>
        <w:t>»</w:t>
      </w:r>
      <w:r w:rsidR="00305B6F">
        <w:rPr>
          <w:rFonts w:ascii="Arial" w:hAnsi="Arial" w:cs="Arial"/>
        </w:rPr>
        <w:t>.</w:t>
      </w:r>
    </w:p>
    <w:p w:rsidRPr="00282C0E" w:rsidR="00BA005B" w:rsidP="00BA005B" w:rsidRDefault="00BA005B" w14:paraId="2D86BA4C" w14:textId="47562308">
      <w:pPr>
        <w:tabs>
          <w:tab w:val="left" w:pos="426"/>
        </w:tabs>
        <w:spacing w:after="0" w:line="276" w:lineRule="auto"/>
        <w:contextualSpacing/>
        <w:jc w:val="both"/>
        <w:rPr>
          <w:rFonts w:ascii="Arial" w:hAnsi="Arial" w:eastAsia="Calibri" w:cs="Arial"/>
          <w:sz w:val="21"/>
          <w:szCs w:val="21"/>
          <w:highlight w:val="yellow"/>
          <w:lang w:val="es-MX"/>
        </w:rPr>
      </w:pPr>
      <w:r w:rsidRPr="00282C0E">
        <w:rPr>
          <w:rFonts w:ascii="Arial" w:hAnsi="Arial" w:cs="Arial"/>
          <w:highlight w:val="yellow"/>
        </w:rPr>
        <w:t xml:space="preserve"> </w:t>
      </w:r>
    </w:p>
    <w:p w:rsidRPr="001635C6" w:rsidR="00D7149D" w:rsidP="00D7149D" w:rsidRDefault="00D7149D" w14:paraId="0A016C8F" w14:textId="0F1C40A2">
      <w:pPr>
        <w:tabs>
          <w:tab w:val="left" w:pos="426"/>
        </w:tabs>
        <w:spacing w:after="0" w:line="276" w:lineRule="auto"/>
        <w:jc w:val="both"/>
        <w:rPr>
          <w:rFonts w:ascii="Arial" w:hAnsi="Arial" w:eastAsia="Calibri" w:cs="Arial"/>
          <w:b/>
          <w:lang w:val="es-MX"/>
        </w:rPr>
      </w:pPr>
      <w:r w:rsidRPr="001635C6">
        <w:rPr>
          <w:rFonts w:ascii="Arial" w:hAnsi="Arial" w:eastAsia="Calibri" w:cs="Arial"/>
          <w:b/>
          <w:lang w:val="es-MX"/>
        </w:rPr>
        <w:t xml:space="preserve">2. Consideraciones </w:t>
      </w:r>
    </w:p>
    <w:p w:rsidRPr="001635C6" w:rsidR="00C74AB2" w:rsidP="00D7149D" w:rsidRDefault="00C74AB2" w14:paraId="49E8469E" w14:textId="77777777">
      <w:pPr>
        <w:tabs>
          <w:tab w:val="left" w:pos="426"/>
        </w:tabs>
        <w:spacing w:after="0" w:line="276" w:lineRule="auto"/>
        <w:jc w:val="both"/>
        <w:rPr>
          <w:rFonts w:ascii="Arial" w:hAnsi="Arial" w:eastAsia="Calibri" w:cs="Arial"/>
          <w:b/>
          <w:lang w:val="es-MX"/>
        </w:rPr>
      </w:pPr>
    </w:p>
    <w:p w:rsidRPr="001635C6" w:rsidR="00711DE3" w:rsidP="001635C6" w:rsidRDefault="00711DE3" w14:paraId="36E413F3" w14:textId="4BF74520">
      <w:pPr>
        <w:pStyle w:val="paragraph"/>
        <w:spacing w:before="0" w:beforeAutospacing="0" w:after="120" w:afterAutospacing="0" w:line="276" w:lineRule="auto"/>
        <w:jc w:val="both"/>
        <w:textAlignment w:val="baseline"/>
        <w:rPr>
          <w:sz w:val="22"/>
          <w:szCs w:val="22"/>
        </w:rPr>
      </w:pPr>
      <w:r w:rsidRPr="001635C6">
        <w:rPr>
          <w:rStyle w:val="normaltextrun"/>
          <w:rFonts w:ascii="Arial" w:hAnsi="Arial" w:cs="Arial"/>
          <w:color w:val="000000"/>
          <w:sz w:val="22"/>
          <w:szCs w:val="22"/>
          <w:lang w:val="es-ES"/>
        </w:rPr>
        <w:t xml:space="preserve">Para resolver su consulta, se analizarán los siguientes temas: </w:t>
      </w:r>
      <w:r w:rsidRPr="001635C6">
        <w:rPr>
          <w:rStyle w:val="normaltextrun"/>
          <w:rFonts w:ascii="Arial" w:hAnsi="Arial" w:cs="Arial"/>
          <w:color w:val="000000"/>
          <w:sz w:val="22"/>
          <w:szCs w:val="22"/>
        </w:rPr>
        <w:t>i)</w:t>
      </w:r>
      <w:r w:rsidRPr="001635C6">
        <w:rPr>
          <w:rStyle w:val="normaltextrun"/>
          <w:sz w:val="22"/>
          <w:szCs w:val="22"/>
        </w:rPr>
        <w:t xml:space="preserve"> </w:t>
      </w:r>
      <w:r w:rsidRPr="001635C6">
        <w:rPr>
          <w:rStyle w:val="normaltextrun"/>
          <w:rFonts w:ascii="Arial" w:hAnsi="Arial" w:cs="Arial"/>
          <w:color w:val="000000"/>
          <w:sz w:val="22"/>
          <w:szCs w:val="22"/>
          <w:lang w:val="es-ES"/>
        </w:rPr>
        <w:t xml:space="preserve">vigencia y ámbito de aplicación de la Ley 2069 de 2020, y </w:t>
      </w:r>
      <w:proofErr w:type="spellStart"/>
      <w:r w:rsidRPr="001635C6">
        <w:rPr>
          <w:rStyle w:val="normaltextrun"/>
          <w:rFonts w:ascii="Arial" w:hAnsi="Arial" w:cs="Arial"/>
          <w:color w:val="000000"/>
          <w:sz w:val="22"/>
          <w:szCs w:val="22"/>
          <w:lang w:val="es-ES"/>
        </w:rPr>
        <w:t>ii</w:t>
      </w:r>
      <w:proofErr w:type="spellEnd"/>
      <w:r w:rsidRPr="001635C6">
        <w:rPr>
          <w:rStyle w:val="normaltextrun"/>
          <w:rFonts w:ascii="Arial" w:hAnsi="Arial" w:cs="Arial"/>
          <w:color w:val="000000"/>
          <w:sz w:val="22"/>
          <w:szCs w:val="22"/>
          <w:lang w:val="es-ES"/>
        </w:rPr>
        <w:t>) criterios diferenciales para emprendimientos y empresas de mujeres en el sistema de compras públicas en el Decreto 1860 de 2021</w:t>
      </w:r>
      <w:r w:rsidRPr="001635C6">
        <w:rPr>
          <w:rStyle w:val="normaltextrun"/>
          <w:rFonts w:ascii="Arial" w:hAnsi="Arial" w:cs="Arial"/>
          <w:color w:val="000000"/>
          <w:sz w:val="22"/>
          <w:szCs w:val="22"/>
        </w:rPr>
        <w:t>.</w:t>
      </w:r>
      <w:r w:rsidRPr="001635C6">
        <w:rPr>
          <w:rStyle w:val="eop"/>
          <w:rFonts w:ascii="Arial" w:hAnsi="Arial" w:cs="Arial"/>
          <w:color w:val="000000"/>
          <w:sz w:val="22"/>
          <w:szCs w:val="22"/>
        </w:rPr>
        <w:t> </w:t>
      </w:r>
    </w:p>
    <w:p w:rsidRPr="001635C6" w:rsidR="00D7149D" w:rsidP="001635C6" w:rsidRDefault="00D7149D" w14:paraId="73AE56C1" w14:textId="2B495239">
      <w:pPr>
        <w:pStyle w:val="paragraph"/>
        <w:spacing w:before="0" w:beforeAutospacing="0" w:line="276" w:lineRule="auto"/>
        <w:ind w:firstLine="709"/>
        <w:jc w:val="both"/>
        <w:textAlignment w:val="baseline"/>
        <w:rPr>
          <w:sz w:val="22"/>
          <w:szCs w:val="22"/>
        </w:rPr>
      </w:pPr>
      <w:r w:rsidRPr="001635C6">
        <w:rPr>
          <w:rFonts w:ascii="Arial" w:hAnsi="Arial" w:eastAsia="Calibri" w:cs="Arial"/>
          <w:color w:val="000000" w:themeColor="text1"/>
          <w:sz w:val="22"/>
          <w:szCs w:val="22"/>
        </w:rPr>
        <w:t xml:space="preserve">La Agencia Nacional de Contratación Pública − Colombia Compra Eficiente se pronunció sobre </w:t>
      </w:r>
      <w:r w:rsidRPr="001635C6" w:rsidR="00707F66">
        <w:rPr>
          <w:rFonts w:ascii="Arial" w:hAnsi="Arial" w:eastAsia="Calibri" w:cs="Arial"/>
          <w:color w:val="000000" w:themeColor="text1"/>
          <w:sz w:val="22"/>
          <w:szCs w:val="22"/>
        </w:rPr>
        <w:t>los c</w:t>
      </w:r>
      <w:r w:rsidRPr="001635C6" w:rsidR="00707F66">
        <w:rPr>
          <w:rStyle w:val="normaltextrun"/>
          <w:rFonts w:ascii="Arial" w:hAnsi="Arial" w:cs="Arial"/>
          <w:sz w:val="22"/>
          <w:szCs w:val="22"/>
        </w:rPr>
        <w:t>riterios diferenciales para los emprendimientos y empresas de mujeres en el sistema de compras públicas</w:t>
      </w:r>
      <w:r w:rsidRPr="001635C6" w:rsidR="00711DE3">
        <w:rPr>
          <w:rStyle w:val="normaltextrun"/>
          <w:rFonts w:ascii="Arial" w:hAnsi="Arial" w:cs="Arial"/>
          <w:sz w:val="22"/>
          <w:szCs w:val="22"/>
        </w:rPr>
        <w:t xml:space="preserve">, en los conceptos C-347 de 9 de junio de 2022, C-398 de 15 de junio de 2022, C-399 de 21 de junio de 2022, y C-405 de 22 de junio de 2022. </w:t>
      </w:r>
      <w:r w:rsidRPr="001635C6">
        <w:rPr>
          <w:rFonts w:ascii="Arial" w:hAnsi="Arial" w:eastAsia="Calibri" w:cs="Arial"/>
          <w:color w:val="000000"/>
          <w:sz w:val="22"/>
          <w:szCs w:val="22"/>
          <w:lang w:val="es-ES_tradnl"/>
        </w:rPr>
        <w:t>En lo pertinente, las tesis expuestas en los conceptos mencionados se reiteran a continuación:</w:t>
      </w:r>
    </w:p>
    <w:p w:rsidRPr="001635C6" w:rsidR="004C12BE" w:rsidP="001635C6" w:rsidRDefault="004C12BE" w14:paraId="6C9872EC" w14:textId="7FE58B6F">
      <w:pPr>
        <w:spacing w:after="0"/>
        <w:jc w:val="both"/>
        <w:rPr>
          <w:rFonts w:ascii="Arial" w:hAnsi="Arial" w:eastAsia="Calibri" w:cs="Arial"/>
          <w:b/>
          <w:bCs/>
          <w:color w:val="000000"/>
          <w:lang w:val="es-ES_tradnl"/>
        </w:rPr>
      </w:pPr>
      <w:r w:rsidRPr="001635C6">
        <w:rPr>
          <w:rFonts w:ascii="Arial" w:hAnsi="Arial" w:eastAsia="Calibri" w:cs="Arial"/>
          <w:b/>
          <w:bCs/>
          <w:color w:val="000000" w:themeColor="text1"/>
          <w:lang w:val="es-ES_tradnl"/>
        </w:rPr>
        <w:t xml:space="preserve">2.1 </w:t>
      </w:r>
      <w:r w:rsidRPr="001635C6">
        <w:rPr>
          <w:rFonts w:ascii="Arial" w:hAnsi="Arial" w:eastAsia="Calibri" w:cs="Arial"/>
          <w:b/>
          <w:bCs/>
          <w:color w:val="000000"/>
          <w:lang w:val="es-ES_tradnl"/>
        </w:rPr>
        <w:t>Vigencia y ámbito de aplicación de la Ley 2069 de 2020: impacto sobre la contratación estatal</w:t>
      </w:r>
    </w:p>
    <w:p w:rsidRPr="001635C6" w:rsidR="00C74AB2" w:rsidP="004C12BE" w:rsidRDefault="00C74AB2" w14:paraId="0D9B72BA" w14:textId="77777777">
      <w:pPr>
        <w:spacing w:after="120" w:line="276" w:lineRule="auto"/>
        <w:jc w:val="both"/>
        <w:rPr>
          <w:rFonts w:ascii="Arial" w:hAnsi="Arial" w:eastAsia="Calibri" w:cs="Arial"/>
          <w:color w:val="000000"/>
          <w:lang w:val="es-ES_tradnl"/>
        </w:rPr>
      </w:pPr>
    </w:p>
    <w:p w:rsidRPr="001635C6" w:rsidR="004C12BE" w:rsidP="004C12BE" w:rsidRDefault="004C12BE" w14:paraId="2F7DA9D1" w14:textId="1BD676E2">
      <w:pPr>
        <w:spacing w:after="120" w:line="276" w:lineRule="auto"/>
        <w:jc w:val="both"/>
        <w:rPr>
          <w:rFonts w:ascii="Arial" w:hAnsi="Arial" w:eastAsia="Calibri" w:cs="Arial"/>
          <w:color w:val="000000"/>
          <w:lang w:val="es-ES_tradnl"/>
        </w:rPr>
      </w:pPr>
      <w:r w:rsidRPr="001635C6">
        <w:rPr>
          <w:rFonts w:ascii="Arial" w:hAnsi="Arial" w:eastAsia="Calibri" w:cs="Arial"/>
          <w:color w:val="000000"/>
          <w:lang w:val="es-ES_tradnl"/>
        </w:rPr>
        <w:t xml:space="preserve">El 31 de diciembre de 2020 se promulgó la Ley 2069, «Por medio de la cual se impulsa el emprendimiento en Colombia». De acuerdo con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1635C6">
        <w:rPr>
          <w:rFonts w:ascii="Arial" w:hAnsi="Arial" w:eastAsia="Calibri" w:cs="Arial"/>
          <w:color w:val="000000"/>
          <w:lang w:val="es-ES_tradnl"/>
        </w:rPr>
        <w:t>de acuerdo a</w:t>
      </w:r>
      <w:proofErr w:type="gramEnd"/>
      <w:r w:rsidRPr="001635C6">
        <w:rPr>
          <w:rFonts w:ascii="Arial" w:hAnsi="Arial" w:eastAsia="Calibri" w:cs="Arial"/>
          <w:color w:val="000000"/>
          <w:lang w:val="es-ES_tradnl"/>
        </w:rPr>
        <w:t xml:space="preserve"> las realidades socioeconómicas de cada región». En desarrollo de esta finalidad, se establecen medidas de apoyo para las micro, pequeñas y medianas empresas –</w:t>
      </w:r>
      <w:proofErr w:type="spellStart"/>
      <w:r w:rsidRPr="001635C6">
        <w:rPr>
          <w:rFonts w:ascii="Arial" w:hAnsi="Arial" w:eastAsia="Calibri" w:cs="Arial"/>
          <w:color w:val="000000"/>
          <w:lang w:val="es-ES_tradnl"/>
        </w:rPr>
        <w:t>mipymes</w:t>
      </w:r>
      <w:proofErr w:type="spellEnd"/>
      <w:r w:rsidRPr="001635C6">
        <w:rPr>
          <w:rFonts w:ascii="Arial" w:hAnsi="Arial" w:eastAsia="Calibri" w:cs="Arial"/>
          <w:color w:val="000000"/>
          <w:lang w:val="es-ES_tradnl"/>
        </w:rPr>
        <w:t>–, mediante la racionalización y simplificación de los trámites y tarifas</w:t>
      </w:r>
      <w:r w:rsidRPr="001635C6">
        <w:rPr>
          <w:rFonts w:ascii="Arial" w:hAnsi="Arial" w:eastAsia="Calibri" w:cs="Arial"/>
          <w:color w:val="000000"/>
          <w:vertAlign w:val="superscript"/>
          <w:lang w:val="es-ES_tradnl"/>
        </w:rPr>
        <w:footnoteReference w:id="1"/>
      </w:r>
      <w:r w:rsidRPr="001635C6">
        <w:rPr>
          <w:rFonts w:ascii="Arial" w:hAnsi="Arial" w:eastAsia="Calibri" w:cs="Arial"/>
          <w:color w:val="000000"/>
          <w:lang w:val="es-ES_tradnl"/>
        </w:rPr>
        <w:t>, así como incentivos a favor de aquellas dentro del sistema de compras y contratación pública</w:t>
      </w:r>
      <w:r w:rsidRPr="001635C6">
        <w:rPr>
          <w:rFonts w:ascii="Arial" w:hAnsi="Arial" w:eastAsia="Calibri" w:cs="Arial"/>
          <w:color w:val="000000"/>
          <w:vertAlign w:val="superscript"/>
          <w:lang w:val="es-ES_tradnl"/>
        </w:rPr>
        <w:footnoteReference w:id="2"/>
      </w:r>
      <w:r w:rsidRPr="001635C6">
        <w:rPr>
          <w:rFonts w:ascii="Arial" w:hAnsi="Arial" w:eastAsia="Calibri" w:cs="Arial"/>
          <w:color w:val="000000"/>
          <w:lang w:val="es-ES_tradnl"/>
        </w:rPr>
        <w:t>. También se consagran mecanismos de acceso al financiamiento</w:t>
      </w:r>
      <w:r w:rsidRPr="001635C6">
        <w:rPr>
          <w:rFonts w:ascii="Arial" w:hAnsi="Arial" w:eastAsia="Calibri" w:cs="Arial"/>
          <w:color w:val="000000"/>
          <w:vertAlign w:val="superscript"/>
          <w:lang w:val="es-ES_tradnl"/>
        </w:rPr>
        <w:footnoteReference w:id="3"/>
      </w:r>
      <w:r w:rsidRPr="001635C6">
        <w:rPr>
          <w:rFonts w:ascii="Arial" w:hAnsi="Arial" w:eastAsia="Calibri" w:cs="Arial"/>
          <w:color w:val="000000"/>
          <w:lang w:val="es-ES_tradnl"/>
        </w:rPr>
        <w:t xml:space="preserve">, se unifican las fuentes de emprendimiento y de </w:t>
      </w:r>
      <w:r w:rsidRPr="001635C6">
        <w:rPr>
          <w:rFonts w:ascii="Arial" w:hAnsi="Arial" w:eastAsia="Calibri" w:cs="Arial"/>
          <w:color w:val="000000"/>
          <w:lang w:val="es-ES_tradnl"/>
        </w:rPr>
        <w:lastRenderedPageBreak/>
        <w:t>desarrollo empresarial, para fortalecer y promover los distintos sectores de la economía</w:t>
      </w:r>
      <w:r w:rsidRPr="001635C6">
        <w:rPr>
          <w:rFonts w:ascii="Arial" w:hAnsi="Arial" w:eastAsia="Calibri" w:cs="Arial"/>
          <w:color w:val="000000"/>
          <w:vertAlign w:val="superscript"/>
          <w:lang w:val="es-ES_tradnl"/>
        </w:rPr>
        <w:footnoteReference w:id="4"/>
      </w:r>
      <w:r w:rsidRPr="001635C6">
        <w:rPr>
          <w:rFonts w:ascii="Arial" w:hAnsi="Arial" w:eastAsia="Calibri" w:cs="Arial"/>
          <w:color w:val="000000"/>
          <w:lang w:val="es-ES_tradnl"/>
        </w:rPr>
        <w:t xml:space="preserve"> y se prevén medidas de educación para el emprendimiento y la innovación</w:t>
      </w:r>
      <w:r w:rsidRPr="001635C6">
        <w:rPr>
          <w:rFonts w:ascii="Arial" w:hAnsi="Arial" w:eastAsia="Calibri" w:cs="Arial"/>
          <w:color w:val="000000"/>
          <w:vertAlign w:val="superscript"/>
          <w:lang w:val="es-ES_tradnl"/>
        </w:rPr>
        <w:footnoteReference w:id="5"/>
      </w:r>
      <w:r w:rsidRPr="001635C6">
        <w:rPr>
          <w:rFonts w:ascii="Arial" w:hAnsi="Arial" w:eastAsia="Calibri" w:cs="Arial"/>
          <w:color w:val="000000"/>
          <w:lang w:val="es-ES_tradnl"/>
        </w:rPr>
        <w:t>.</w:t>
      </w:r>
    </w:p>
    <w:p w:rsidRPr="001635C6" w:rsidR="004C12BE" w:rsidP="004C12BE" w:rsidRDefault="004C12BE" w14:paraId="02E887ED" w14:textId="77777777">
      <w:pPr>
        <w:spacing w:after="120" w:line="276" w:lineRule="auto"/>
        <w:ind w:firstLine="709"/>
        <w:jc w:val="both"/>
        <w:rPr>
          <w:rFonts w:ascii="Arial" w:hAnsi="Arial" w:eastAsia="Calibri" w:cs="Arial"/>
          <w:color w:val="000000"/>
          <w:lang w:val="es-ES_tradnl"/>
        </w:rPr>
      </w:pPr>
      <w:r w:rsidRPr="001635C6">
        <w:rPr>
          <w:rFonts w:ascii="Arial" w:hAnsi="Arial" w:eastAsia="Calibri" w:cs="Arial"/>
          <w:color w:val="000000"/>
          <w:lang w:val="es-ES_tradnl"/>
        </w:rPr>
        <w:t xml:space="preserve">La Ley 2069 de 2020 guarda </w:t>
      </w:r>
      <w:r w:rsidRPr="001635C6">
        <w:rPr>
          <w:rFonts w:ascii="Arial" w:hAnsi="Arial" w:eastAsia="Calibri" w:cs="Arial"/>
          <w:bCs/>
          <w:color w:val="000000"/>
          <w:lang w:val="es-ES_tradnl"/>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1635C6">
        <w:rPr>
          <w:rFonts w:ascii="Arial" w:hAnsi="Arial" w:eastAsia="Calibri" w:cs="Arial"/>
          <w:bCs/>
          <w:color w:val="000000"/>
          <w:vertAlign w:val="superscript"/>
          <w:lang w:val="es-ES_tradnl"/>
        </w:rPr>
        <w:footnoteReference w:id="6"/>
      </w:r>
      <w:r w:rsidRPr="001635C6">
        <w:rPr>
          <w:rFonts w:ascii="Arial" w:hAnsi="Arial" w:eastAsia="Calibri" w:cs="Arial"/>
          <w:bCs/>
          <w:color w:val="000000"/>
          <w:lang w:val="es-ES_tradnl"/>
        </w:rPr>
        <w:t>.</w:t>
      </w:r>
    </w:p>
    <w:p w:rsidRPr="001635C6" w:rsidR="004C12BE" w:rsidP="004C12BE" w:rsidRDefault="004C12BE" w14:paraId="2DB35023" w14:textId="77777777">
      <w:pPr>
        <w:tabs>
          <w:tab w:val="left" w:pos="709"/>
        </w:tabs>
        <w:spacing w:after="120" w:line="276" w:lineRule="auto"/>
        <w:jc w:val="both"/>
        <w:rPr>
          <w:rFonts w:ascii="Arial" w:hAnsi="Arial" w:eastAsia="Calibri" w:cs="Arial"/>
          <w:bCs/>
          <w:color w:val="000000"/>
          <w:lang w:val="es-ES_tradnl"/>
        </w:rPr>
      </w:pPr>
      <w:r w:rsidRPr="001635C6">
        <w:rPr>
          <w:rFonts w:ascii="Arial" w:hAnsi="Arial" w:eastAsia="Calibri" w:cs="Arial"/>
          <w:bCs/>
          <w:color w:val="000000"/>
          <w:lang w:val="es-ES_tradnl"/>
        </w:rPr>
        <w:tab/>
      </w:r>
      <w:r w:rsidRPr="001635C6">
        <w:rPr>
          <w:rFonts w:ascii="Arial" w:hAnsi="Arial" w:eastAsia="Calibri" w:cs="Arial"/>
          <w:bCs/>
          <w:color w:val="000000"/>
          <w:lang w:val="es-ES_tradnl"/>
        </w:rPr>
        <w:t xml:space="preserve">Por ello, la ley impulsa medidas para i) reducir cargas y trámites para los emprendedores del país, </w:t>
      </w:r>
      <w:proofErr w:type="spellStart"/>
      <w:r w:rsidRPr="001635C6">
        <w:rPr>
          <w:rFonts w:ascii="Arial" w:hAnsi="Arial" w:eastAsia="Calibri" w:cs="Arial"/>
          <w:bCs/>
          <w:color w:val="000000"/>
          <w:lang w:val="es-ES_tradnl"/>
        </w:rPr>
        <w:t>ii</w:t>
      </w:r>
      <w:proofErr w:type="spellEnd"/>
      <w:r w:rsidRPr="001635C6">
        <w:rPr>
          <w:rFonts w:ascii="Arial" w:hAnsi="Arial" w:eastAsia="Calibri" w:cs="Arial"/>
          <w:bCs/>
          <w:color w:val="000000"/>
          <w:lang w:val="es-ES_tradnl"/>
        </w:rPr>
        <w:t xml:space="preserve">) facilitar su acceso al sistema de compras y contratación pública, </w:t>
      </w:r>
      <w:proofErr w:type="spellStart"/>
      <w:r w:rsidRPr="001635C6">
        <w:rPr>
          <w:rFonts w:ascii="Arial" w:hAnsi="Arial" w:eastAsia="Calibri" w:cs="Arial"/>
          <w:bCs/>
          <w:color w:val="000000"/>
          <w:lang w:val="es-ES_tradnl"/>
        </w:rPr>
        <w:t>iii</w:t>
      </w:r>
      <w:proofErr w:type="spellEnd"/>
      <w:r w:rsidRPr="001635C6">
        <w:rPr>
          <w:rFonts w:ascii="Arial" w:hAnsi="Arial" w:eastAsia="Calibri" w:cs="Arial"/>
          <w:bCs/>
          <w:color w:val="000000"/>
          <w:lang w:val="es-ES_tradnl"/>
        </w:rPr>
        <w:t xml:space="preserve">) incentivar el crecimiento económico con la llegada de más actores al ecosistema de inversión y financiación, </w:t>
      </w:r>
      <w:proofErr w:type="spellStart"/>
      <w:r w:rsidRPr="001635C6">
        <w:rPr>
          <w:rFonts w:ascii="Arial" w:hAnsi="Arial" w:eastAsia="Calibri" w:cs="Arial"/>
          <w:bCs/>
          <w:color w:val="000000"/>
          <w:lang w:val="es-ES_tradnl"/>
        </w:rPr>
        <w:t>iv</w:t>
      </w:r>
      <w:proofErr w:type="spellEnd"/>
      <w:r w:rsidRPr="001635C6">
        <w:rPr>
          <w:rFonts w:ascii="Arial" w:hAnsi="Arial" w:eastAsia="Calibri" w:cs="Arial"/>
          <w:bCs/>
          <w:color w:val="000000"/>
          <w:lang w:val="es-ES_tradnl"/>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1635C6">
        <w:rPr>
          <w:rFonts w:ascii="Arial" w:hAnsi="Arial" w:eastAsia="Calibri" w:cs="Arial"/>
          <w:bCs/>
          <w:color w:val="000000"/>
          <w:vertAlign w:val="superscript"/>
          <w:lang w:val="es-ES_tradnl"/>
        </w:rPr>
        <w:footnoteReference w:id="7"/>
      </w:r>
      <w:r w:rsidRPr="001635C6">
        <w:rPr>
          <w:rFonts w:ascii="Arial" w:hAnsi="Arial" w:eastAsia="Calibri" w:cs="Arial"/>
          <w:bCs/>
          <w:color w:val="000000"/>
          <w:lang w:val="es-ES_tradnl"/>
        </w:rPr>
        <w:t>.</w:t>
      </w:r>
    </w:p>
    <w:p w:rsidRPr="001635C6" w:rsidR="004C12BE" w:rsidP="004C12BE" w:rsidRDefault="004C12BE" w14:paraId="53161BAB" w14:textId="77777777">
      <w:pPr>
        <w:spacing w:line="276" w:lineRule="auto"/>
        <w:ind w:firstLine="709"/>
        <w:jc w:val="both"/>
        <w:rPr>
          <w:rFonts w:ascii="Arial" w:hAnsi="Arial" w:eastAsia="Calibri" w:cs="Arial"/>
          <w:color w:val="000000"/>
          <w:lang w:val="es-ES_tradnl"/>
        </w:rPr>
      </w:pPr>
      <w:r w:rsidRPr="001635C6">
        <w:rPr>
          <w:rFonts w:ascii="Arial" w:hAnsi="Arial" w:eastAsia="Calibri" w:cs="Arial"/>
          <w:color w:val="000000"/>
          <w:lang w:val="es-ES_tradnl"/>
        </w:rPr>
        <w:t xml:space="preserve">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1635C6">
        <w:rPr>
          <w:rFonts w:ascii="Arial" w:hAnsi="Arial" w:eastAsia="Calibri" w:cs="Arial"/>
          <w:color w:val="000000"/>
          <w:lang w:val="es-ES_tradnl"/>
        </w:rPr>
        <w:t>mipymes</w:t>
      </w:r>
      <w:proofErr w:type="spellEnd"/>
      <w:r w:rsidRPr="001635C6">
        <w:rPr>
          <w:rFonts w:ascii="Arial" w:hAnsi="Arial" w:eastAsia="Calibri" w:cs="Arial"/>
          <w:color w:val="000000"/>
          <w:lang w:val="es-ES_tradnl"/>
        </w:rPr>
        <w:t xml:space="preserve"> en el procedimiento de mínima cuantía, </w:t>
      </w:r>
      <w:proofErr w:type="spellStart"/>
      <w:r w:rsidRPr="001635C6">
        <w:rPr>
          <w:rFonts w:ascii="Arial" w:hAnsi="Arial" w:eastAsia="Calibri" w:cs="Arial"/>
          <w:color w:val="000000"/>
          <w:lang w:val="es-ES_tradnl"/>
        </w:rPr>
        <w:t>ii</w:t>
      </w:r>
      <w:proofErr w:type="spellEnd"/>
      <w:r w:rsidRPr="001635C6">
        <w:rPr>
          <w:rFonts w:ascii="Arial" w:hAnsi="Arial" w:eastAsia="Calibri" w:cs="Arial"/>
          <w:color w:val="000000"/>
          <w:lang w:val="es-ES_tradnl"/>
        </w:rPr>
        <w:t xml:space="preserve">) criterios diferenciales para </w:t>
      </w:r>
      <w:proofErr w:type="spellStart"/>
      <w:r w:rsidRPr="001635C6">
        <w:rPr>
          <w:rFonts w:ascii="Arial" w:hAnsi="Arial" w:eastAsia="Calibri" w:cs="Arial"/>
          <w:color w:val="000000"/>
          <w:lang w:val="es-ES_tradnl"/>
        </w:rPr>
        <w:t>mipymes</w:t>
      </w:r>
      <w:proofErr w:type="spellEnd"/>
      <w:r w:rsidRPr="001635C6">
        <w:rPr>
          <w:rFonts w:ascii="Arial" w:hAnsi="Arial" w:eastAsia="Calibri" w:cs="Arial"/>
          <w:color w:val="000000"/>
          <w:lang w:val="es-ES_tradnl"/>
        </w:rPr>
        <w:t xml:space="preserve"> en el sistema de compras públicas, </w:t>
      </w:r>
      <w:proofErr w:type="spellStart"/>
      <w:r w:rsidRPr="001635C6">
        <w:rPr>
          <w:rFonts w:ascii="Arial" w:hAnsi="Arial" w:eastAsia="Calibri" w:cs="Arial"/>
          <w:color w:val="000000"/>
          <w:lang w:val="es-ES_tradnl"/>
        </w:rPr>
        <w:t>iii</w:t>
      </w:r>
      <w:proofErr w:type="spellEnd"/>
      <w:r w:rsidRPr="001635C6">
        <w:rPr>
          <w:rFonts w:ascii="Arial" w:hAnsi="Arial" w:eastAsia="Calibri" w:cs="Arial"/>
          <w:color w:val="000000"/>
          <w:lang w:val="es-ES_tradnl"/>
        </w:rPr>
        <w:t xml:space="preserve">) criterios diferenciales para emprendimientos y empresas de mujeres en el sistema de compras </w:t>
      </w:r>
      <w:r w:rsidRPr="001635C6">
        <w:rPr>
          <w:rFonts w:ascii="Arial" w:hAnsi="Arial" w:eastAsia="Calibri" w:cs="Arial"/>
          <w:color w:val="000000"/>
          <w:lang w:val="es-ES_tradnl"/>
        </w:rPr>
        <w:lastRenderedPageBreak/>
        <w:t xml:space="preserve">públicas, </w:t>
      </w:r>
      <w:proofErr w:type="spellStart"/>
      <w:r w:rsidRPr="001635C6">
        <w:rPr>
          <w:rFonts w:ascii="Arial" w:hAnsi="Arial" w:eastAsia="Calibri" w:cs="Arial"/>
          <w:color w:val="000000"/>
          <w:lang w:val="es-ES_tradnl"/>
        </w:rPr>
        <w:t>iv</w:t>
      </w:r>
      <w:proofErr w:type="spellEnd"/>
      <w:r w:rsidRPr="001635C6">
        <w:rPr>
          <w:rFonts w:ascii="Arial" w:hAnsi="Arial" w:eastAsia="Calibri" w:cs="Arial"/>
          <w:color w:val="000000"/>
          <w:lang w:val="es-ES_tradnl"/>
        </w:rPr>
        <w:t xml:space="preserve">) promoción del acceso de las </w:t>
      </w:r>
      <w:proofErr w:type="spellStart"/>
      <w:r w:rsidRPr="001635C6">
        <w:rPr>
          <w:rFonts w:ascii="Arial" w:hAnsi="Arial" w:eastAsia="Calibri" w:cs="Arial"/>
          <w:color w:val="000000"/>
          <w:lang w:val="es-ES_tradnl"/>
        </w:rPr>
        <w:t>mipymes</w:t>
      </w:r>
      <w:proofErr w:type="spellEnd"/>
      <w:r w:rsidRPr="001635C6">
        <w:rPr>
          <w:rFonts w:ascii="Arial" w:hAnsi="Arial" w:eastAsia="Calibri" w:cs="Arial"/>
          <w:color w:val="000000"/>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rsidRPr="001635C6" w:rsidR="004C12BE" w:rsidP="004C12BE" w:rsidRDefault="004C12BE" w14:paraId="12304E82" w14:textId="77777777">
      <w:pPr>
        <w:spacing w:before="120" w:line="276" w:lineRule="auto"/>
        <w:ind w:firstLine="709"/>
        <w:jc w:val="both"/>
        <w:rPr>
          <w:rFonts w:ascii="Arial" w:hAnsi="Arial" w:eastAsia="Calibri" w:cs="Arial"/>
          <w:color w:val="000000"/>
          <w:lang w:val="es-ES_tradnl"/>
        </w:rPr>
      </w:pPr>
      <w:r w:rsidRPr="001635C6">
        <w:rPr>
          <w:rFonts w:ascii="Arial" w:hAnsi="Arial" w:eastAsia="Calibri" w:cs="Arial"/>
          <w:bCs/>
        </w:rPr>
        <w:t xml:space="preserve">Dentro del referido capítulo se encuentran </w:t>
      </w:r>
      <w:bookmarkStart w:name="_Hlk63848566" w:id="1"/>
      <w:r w:rsidRPr="001635C6">
        <w:rPr>
          <w:rFonts w:ascii="Arial" w:hAnsi="Arial" w:eastAsia="Calibri" w:cs="Arial"/>
          <w:bCs/>
        </w:rPr>
        <w:t>los artículos 31 y 32 de la Ley 2069 de 2020</w:t>
      </w:r>
      <w:bookmarkEnd w:id="1"/>
      <w:r w:rsidRPr="001635C6">
        <w:rPr>
          <w:rFonts w:ascii="Arial" w:hAnsi="Arial" w:eastAsia="Calibri" w:cs="Arial"/>
          <w:bCs/>
        </w:rPr>
        <w:t xml:space="preserve">, los cuales crean una serie de incentivos para las personas interesadas en celebrar contratos con el Estado. </w:t>
      </w:r>
      <w:r w:rsidRPr="001635C6">
        <w:rPr>
          <w:rFonts w:ascii="Arial" w:hAnsi="Arial" w:eastAsia="Calibri" w:cs="Arial"/>
          <w:bCs/>
          <w:lang w:val="es-ES_tradnl"/>
        </w:rPr>
        <w:t xml:space="preserve">Por un lado, el artículo 31 </w:t>
      </w:r>
      <w:r w:rsidRPr="001635C6">
        <w:rPr>
          <w:rFonts w:ascii="Arial" w:hAnsi="Arial" w:eastAsia="Calibri" w:cs="Arial"/>
          <w:bCs/>
        </w:rPr>
        <w:t xml:space="preserve">introduce criterios diferenciales para el acceso de las </w:t>
      </w:r>
      <w:proofErr w:type="spellStart"/>
      <w:r w:rsidRPr="001635C6">
        <w:rPr>
          <w:rFonts w:ascii="Arial" w:hAnsi="Arial" w:eastAsia="Calibri" w:cs="Arial"/>
          <w:bCs/>
        </w:rPr>
        <w:t>mipymes</w:t>
      </w:r>
      <w:proofErr w:type="spellEnd"/>
      <w:r w:rsidRPr="001635C6">
        <w:rPr>
          <w:rFonts w:ascii="Arial" w:hAnsi="Arial" w:eastAsia="Calibri" w:cs="Arial"/>
          <w:bCs/>
        </w:rPr>
        <w:t xml:space="preserve"> al sistema de compras y contratación pública, estableciendo que «Las Entidades Estatales de acuerdo con el análisis de Sector </w:t>
      </w:r>
      <w:bookmarkStart w:name="_Hlk63767562" w:id="2"/>
      <w:r w:rsidRPr="001635C6">
        <w:rPr>
          <w:rFonts w:ascii="Arial" w:hAnsi="Arial" w:eastAsia="Calibri" w:cs="Arial"/>
          <w:bCs/>
        </w:rPr>
        <w:t>podrán incluir, en los Documentos del Proceso, requisitos diferenciales y puntajes adicionales</w:t>
      </w:r>
      <w:bookmarkEnd w:id="2"/>
      <w:r w:rsidRPr="001635C6">
        <w:rPr>
          <w:rFonts w:ascii="Arial" w:hAnsi="Arial" w:eastAsia="Calibri" w:cs="Arial"/>
          <w:bCs/>
        </w:rPr>
        <w:t xml:space="preserve">, en función del tamaño empresarial para la promoción del acceso de las MIPYMES al mercado de Compras Públicas».  </w:t>
      </w:r>
    </w:p>
    <w:p w:rsidRPr="001635C6" w:rsidR="004C12BE" w:rsidP="004C12BE" w:rsidRDefault="004C12BE" w14:paraId="62408D78" w14:textId="77777777">
      <w:pPr>
        <w:tabs>
          <w:tab w:val="left" w:pos="709"/>
        </w:tabs>
        <w:spacing w:before="120" w:line="276" w:lineRule="auto"/>
        <w:jc w:val="both"/>
        <w:rPr>
          <w:rFonts w:ascii="Arial" w:hAnsi="Arial" w:eastAsia="Calibri" w:cs="Arial"/>
          <w:bCs/>
        </w:rPr>
      </w:pPr>
      <w:r w:rsidRPr="001635C6">
        <w:rPr>
          <w:rFonts w:ascii="Arial" w:hAnsi="Arial" w:eastAsia="Calibri" w:cs="Arial"/>
          <w:bCs/>
        </w:rPr>
        <w:tab/>
      </w:r>
      <w:r w:rsidRPr="001635C6">
        <w:rPr>
          <w:rFonts w:ascii="Arial" w:hAnsi="Arial" w:eastAsia="Calibri" w:cs="Arial"/>
          <w:bCs/>
        </w:rPr>
        <w:t xml:space="preserve">Además, el inciso segundo y el parágrafo del </w:t>
      </w:r>
      <w:r w:rsidRPr="001635C6">
        <w:rPr>
          <w:rFonts w:ascii="Arial" w:hAnsi="Arial" w:eastAsia="Calibri" w:cs="Arial"/>
          <w:bCs/>
          <w:lang w:val="es-ES_tradnl"/>
        </w:rPr>
        <w:t xml:space="preserve">artículo 31 </w:t>
      </w:r>
      <w:r w:rsidRPr="001635C6">
        <w:rPr>
          <w:rFonts w:ascii="Arial" w:hAnsi="Arial" w:eastAsia="Calibri" w:cs="Arial"/>
          <w:bCs/>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rsidRPr="001635C6" w:rsidR="004C12BE" w:rsidP="00BC5ADC" w:rsidRDefault="004C12BE" w14:paraId="08F0076A" w14:textId="0F062E79">
      <w:pPr>
        <w:tabs>
          <w:tab w:val="left" w:pos="709"/>
        </w:tabs>
        <w:spacing w:before="120" w:line="276" w:lineRule="auto"/>
        <w:jc w:val="both"/>
        <w:rPr>
          <w:rFonts w:ascii="Arial" w:hAnsi="Arial" w:eastAsia="Calibri" w:cs="Arial"/>
          <w:bCs/>
        </w:rPr>
      </w:pPr>
      <w:r w:rsidRPr="001635C6">
        <w:rPr>
          <w:rFonts w:ascii="Arial" w:hAnsi="Arial" w:eastAsia="Calibri" w:cs="Arial"/>
          <w:bCs/>
        </w:rPr>
        <w:tab/>
      </w:r>
      <w:r w:rsidRPr="001635C6">
        <w:rPr>
          <w:rFonts w:ascii="Arial" w:hAnsi="Arial" w:eastAsia="Calibri" w:cs="Arial"/>
          <w:bCs/>
        </w:rPr>
        <w:t>Por otra parte, el artículo 32 de la Ley 2069 de 2020</w:t>
      </w:r>
      <w:r w:rsidRPr="001635C6">
        <w:rPr>
          <w:rStyle w:val="Refdenotaalpie"/>
          <w:rFonts w:ascii="Arial" w:hAnsi="Arial" w:eastAsia="Calibri" w:cs="Arial"/>
          <w:bCs/>
        </w:rPr>
        <w:footnoteReference w:id="8"/>
      </w:r>
      <w:r w:rsidRPr="001635C6">
        <w:rPr>
          <w:rFonts w:ascii="Arial" w:hAnsi="Arial" w:eastAsia="Calibri" w:cs="Arial"/>
          <w:bCs/>
        </w:rPr>
        <w:t xml:space="preserve"> regula criterios diferenciales para los «emprendimientos y empresas de mujeres» en el sistema de compras y contratación pública. En relación con este aspecto, el inciso primero de la norma citada prescribe lo siguiente: </w:t>
      </w:r>
    </w:p>
    <w:p w:rsidRPr="00BC5ADC" w:rsidR="004C12BE" w:rsidP="001635C6" w:rsidRDefault="004C12BE" w14:paraId="24677FD3" w14:textId="7EA4B023">
      <w:pPr>
        <w:tabs>
          <w:tab w:val="left" w:pos="709"/>
        </w:tabs>
        <w:spacing w:line="240" w:lineRule="auto"/>
        <w:ind w:left="709" w:right="709"/>
        <w:jc w:val="both"/>
        <w:rPr>
          <w:rFonts w:ascii="Arial" w:hAnsi="Arial" w:eastAsia="Calibri" w:cs="Arial"/>
          <w:bCs/>
        </w:rPr>
      </w:pPr>
      <w:r w:rsidRPr="00BC5ADC">
        <w:rPr>
          <w:rFonts w:ascii="Arial" w:hAnsi="Arial" w:eastAsia="Calibri" w:cs="Arial"/>
          <w:bCs/>
        </w:rPr>
        <w:t xml:space="preserve">De acuerdo con el resultado del análisis del sector, las entidades estatales incluirán requisitos diferenciales y puntajes adicionales en los procesos de </w:t>
      </w:r>
      <w:bookmarkStart w:name="_Hlk63770487" w:id="3"/>
      <w:r w:rsidRPr="00BC5ADC">
        <w:rPr>
          <w:rFonts w:ascii="Arial" w:hAnsi="Arial" w:eastAsia="Calibri" w:cs="Arial"/>
          <w:bCs/>
        </w:rPr>
        <w:t>licitación pública, selección abreviada de menor cuantía y concurso de méritos</w:t>
      </w:r>
      <w:bookmarkEnd w:id="3"/>
      <w:r w:rsidRPr="00BC5ADC">
        <w:rPr>
          <w:rFonts w:ascii="Arial" w:hAnsi="Arial" w:eastAsia="Calibri" w:cs="Arial"/>
          <w:bCs/>
        </w:rPr>
        <w:t xml:space="preserve">, así como en los procesos competitivos que adelanten las entidades estatales que no apliquen en su gestión contractual el Estatuto General de Contratación Administrativa, como medidas de acción afirmativa, para incentivar emprendimientos y empresas de mujeres en el sistema de </w:t>
      </w:r>
      <w:r w:rsidRPr="00BC5ADC">
        <w:rPr>
          <w:rFonts w:ascii="Arial" w:hAnsi="Arial" w:eastAsia="Calibri" w:cs="Arial"/>
          <w:bCs/>
        </w:rPr>
        <w:lastRenderedPageBreak/>
        <w:t>compras públicas, sin perjuicio de los compromisos adquiridos por Colombia en los acuerdos comerciales en vigor.</w:t>
      </w:r>
    </w:p>
    <w:p w:rsidRPr="001635C6" w:rsidR="004C12BE" w:rsidP="004C12BE" w:rsidRDefault="004C12BE" w14:paraId="319F93B3" w14:textId="64FCEC2F">
      <w:pPr>
        <w:tabs>
          <w:tab w:val="left" w:pos="709"/>
        </w:tabs>
        <w:spacing w:line="276" w:lineRule="auto"/>
        <w:jc w:val="both"/>
        <w:rPr>
          <w:rFonts w:ascii="Arial" w:hAnsi="Arial" w:eastAsia="Calibri" w:cs="Arial"/>
          <w:bCs/>
        </w:rPr>
      </w:pPr>
      <w:r w:rsidRPr="004C12BE">
        <w:rPr>
          <w:rFonts w:ascii="Arial" w:hAnsi="Arial" w:eastAsia="Calibri" w:cs="Arial"/>
          <w:bCs/>
          <w:sz w:val="24"/>
          <w:szCs w:val="24"/>
        </w:rPr>
        <w:tab/>
      </w:r>
      <w:r w:rsidRPr="001635C6">
        <w:rPr>
          <w:rFonts w:ascii="Arial" w:hAnsi="Arial" w:eastAsia="Calibri" w:cs="Arial"/>
          <w:bCs/>
        </w:rPr>
        <w:t xml:space="preserve">El contraste con la norma analizada anteriormente salta a la vista. Por un lado, a diferencia del artículo 31 de la Ley de Emprendimiento, los «criterios diferenciales» del artículo 32 </w:t>
      </w:r>
      <w:r w:rsidRPr="001635C6">
        <w:rPr>
          <w:rFonts w:ascii="Arial" w:hAnsi="Arial" w:eastAsia="Calibri" w:cs="Arial"/>
          <w:bCs/>
          <w:i/>
          <w:iCs/>
        </w:rPr>
        <w:t>ibidem</w:t>
      </w:r>
      <w:r w:rsidRPr="001635C6">
        <w:rPr>
          <w:rFonts w:ascii="Arial" w:hAnsi="Arial" w:eastAsia="Calibri" w:cs="Arial"/>
          <w:bC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competitivos que realicen las entidades estatales excluidas de la Ley 80 de 1993.     </w:t>
      </w:r>
    </w:p>
    <w:p w:rsidRPr="001635C6" w:rsidR="004C12BE" w:rsidP="004C12BE" w:rsidRDefault="004C12BE" w14:paraId="51F20FE5" w14:textId="77777777">
      <w:pPr>
        <w:spacing w:before="120" w:line="276" w:lineRule="auto"/>
        <w:ind w:firstLine="709"/>
        <w:jc w:val="both"/>
        <w:rPr>
          <w:rFonts w:ascii="Arial" w:hAnsi="Arial" w:eastAsia="Calibri" w:cs="Arial"/>
          <w:lang w:val="es-ES_tradnl"/>
        </w:rPr>
      </w:pPr>
      <w:r w:rsidRPr="001635C6">
        <w:rPr>
          <w:rFonts w:ascii="Arial" w:hAnsi="Arial" w:eastAsia="Calibri" w:cs="Arial"/>
          <w:bCs/>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rsidRPr="001635C6" w:rsidR="004C12BE" w:rsidP="004C12BE" w:rsidRDefault="004C12BE" w14:paraId="4E58A42D" w14:textId="77777777">
      <w:pPr>
        <w:spacing w:before="120" w:line="276" w:lineRule="auto"/>
        <w:jc w:val="both"/>
        <w:rPr>
          <w:rFonts w:ascii="Arial" w:hAnsi="Arial" w:eastAsia="Calibri" w:cs="Arial"/>
          <w:lang w:val="es-ES_tradnl"/>
        </w:rPr>
      </w:pPr>
      <w:r w:rsidRPr="001635C6">
        <w:rPr>
          <w:rFonts w:ascii="Arial" w:hAnsi="Arial" w:eastAsia="Calibri" w:cs="Arial"/>
          <w:b/>
          <w:bCs/>
          <w:lang w:val="es-ES_tradnl"/>
        </w:rPr>
        <w:tab/>
      </w:r>
      <w:r w:rsidRPr="001635C6">
        <w:rPr>
          <w:rFonts w:ascii="Arial" w:hAnsi="Arial" w:eastAsia="Calibri" w:cs="Arial"/>
          <w:lang w:val="es-ES_tradnl"/>
        </w:rPr>
        <w:t>En este contexto, el pasado 24 de diciembre, el gobierno nacional expidió el Decreto 1860 de 2021,</w:t>
      </w:r>
      <w:r w:rsidRPr="001635C6">
        <w:t xml:space="preserve"> </w:t>
      </w:r>
      <w:r w:rsidRPr="001635C6">
        <w:rPr>
          <w:rFonts w:ascii="Arial" w:hAnsi="Arial" w:eastAsia="Calibri"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como indica el artículo 1 del Decreto 1860 de 2021</w:t>
      </w:r>
      <w:r w:rsidRPr="001635C6">
        <w:rPr>
          <w:rStyle w:val="Refdenotaalpie"/>
          <w:rFonts w:ascii="Arial" w:hAnsi="Arial" w:eastAsia="Calibri" w:cs="Arial"/>
          <w:lang w:val="es-ES_tradnl"/>
        </w:rPr>
        <w:footnoteReference w:id="9"/>
      </w:r>
      <w:r w:rsidRPr="001635C6">
        <w:rPr>
          <w:rFonts w:ascii="Arial" w:hAnsi="Arial" w:eastAsia="Calibri" w:cs="Arial"/>
          <w:lang w:val="es-ES_tradnl"/>
        </w:rPr>
        <w:t xml:space="preserve">.  </w:t>
      </w:r>
    </w:p>
    <w:p w:rsidRPr="001635C6" w:rsidR="004C12BE" w:rsidP="004C12BE" w:rsidRDefault="004C12BE" w14:paraId="399F1FF9" w14:textId="17A86D8B">
      <w:pPr>
        <w:spacing w:before="120" w:line="276" w:lineRule="auto"/>
        <w:jc w:val="both"/>
        <w:rPr>
          <w:rFonts w:ascii="Arial" w:hAnsi="Arial" w:eastAsia="Calibri" w:cs="Arial"/>
          <w:lang w:val="es-ES_tradnl"/>
        </w:rPr>
      </w:pPr>
      <w:r w:rsidRPr="001635C6">
        <w:rPr>
          <w:rFonts w:ascii="Arial" w:hAnsi="Arial" w:eastAsia="Calibri" w:cs="Arial"/>
          <w:lang w:val="es-ES_tradnl"/>
        </w:rPr>
        <w:tab/>
      </w:r>
      <w:r w:rsidRPr="001635C6">
        <w:rPr>
          <w:rFonts w:ascii="Arial" w:hAnsi="Arial" w:eastAsia="Calibri" w:cs="Arial"/>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rsidRPr="001635C6" w:rsidR="006D2DC3" w:rsidP="006D2DC3" w:rsidRDefault="006D2DC3" w14:paraId="1D7BE5DD" w14:textId="234280C2">
      <w:pPr>
        <w:spacing w:line="276" w:lineRule="auto"/>
        <w:jc w:val="both"/>
        <w:rPr>
          <w:rFonts w:ascii="Arial" w:hAnsi="Arial" w:eastAsia="Calibri" w:cs="Arial"/>
          <w:b/>
          <w:bCs/>
          <w:color w:val="000000" w:themeColor="text1"/>
        </w:rPr>
      </w:pPr>
      <w:r w:rsidRPr="001635C6">
        <w:rPr>
          <w:rFonts w:ascii="Arial" w:hAnsi="Arial" w:eastAsia="Calibri" w:cs="Arial"/>
          <w:b/>
          <w:bCs/>
          <w:color w:val="000000" w:themeColor="text1"/>
          <w:lang w:val="es-ES_tradnl"/>
        </w:rPr>
        <w:lastRenderedPageBreak/>
        <w:t xml:space="preserve">2.2. </w:t>
      </w:r>
      <w:r w:rsidRPr="001635C6">
        <w:rPr>
          <w:rFonts w:ascii="Arial" w:hAnsi="Arial" w:eastAsia="Calibri" w:cs="Arial"/>
          <w:b/>
          <w:bCs/>
          <w:color w:val="000000" w:themeColor="text1"/>
          <w:lang w:val="es-ES"/>
        </w:rPr>
        <w:t>Criterios diferenciales para emprendimientos y empresas de mujeres en el sistema de compras públicas. Decreto 1860 de 2021</w:t>
      </w:r>
      <w:r w:rsidRPr="001635C6">
        <w:rPr>
          <w:rFonts w:ascii="Arial" w:hAnsi="Arial" w:eastAsia="Calibri" w:cs="Arial"/>
          <w:b/>
          <w:bCs/>
          <w:color w:val="000000" w:themeColor="text1"/>
        </w:rPr>
        <w:t> </w:t>
      </w:r>
    </w:p>
    <w:p w:rsidRPr="001635C6" w:rsidR="006D2DC3" w:rsidP="001635C6" w:rsidRDefault="006D2DC3" w14:paraId="352E0D67" w14:textId="77777777">
      <w:pPr>
        <w:spacing w:line="276" w:lineRule="auto"/>
        <w:jc w:val="both"/>
        <w:textAlignment w:val="baseline"/>
        <w:rPr>
          <w:rFonts w:ascii="Segoe UI" w:hAnsi="Segoe UI" w:cs="Segoe UI"/>
          <w:lang w:eastAsia="es-CO"/>
        </w:rPr>
      </w:pPr>
      <w:r w:rsidRPr="001635C6">
        <w:rPr>
          <w:rFonts w:ascii="Arial" w:hAnsi="Arial" w:cs="Arial"/>
          <w:lang w:val="es-ES" w:eastAsia="es-CO"/>
        </w:rPr>
        <w:t xml:space="preserve">Conforme se viene explicando, el artículo 32 de la Ley 2069 de 2021 regula el deber de </w:t>
      </w:r>
      <w:bookmarkStart w:name="_Hlk103847672" w:id="5"/>
      <w:r w:rsidRPr="001635C6">
        <w:rPr>
          <w:rFonts w:ascii="Arial" w:hAnsi="Arial" w:cs="Arial"/>
          <w:lang w:val="es-ES" w:eastAsia="es-CO"/>
        </w:rPr>
        <w:t xml:space="preserve">las Entidades Estatales de incluir </w:t>
      </w:r>
      <w:r w:rsidRPr="001635C6">
        <w:rPr>
          <w:rFonts w:ascii="Arial" w:hAnsi="Arial" w:cs="Arial"/>
          <w:shd w:val="clear" w:color="auto" w:fill="FFFFFF"/>
          <w:lang w:val="es-ES" w:eastAsia="es-CO"/>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 </w:t>
      </w:r>
      <w:r w:rsidRPr="001635C6">
        <w:rPr>
          <w:rFonts w:ascii="Arial" w:hAnsi="Arial" w:cs="Arial"/>
          <w:lang w:eastAsia="es-CO"/>
        </w:rPr>
        <w:t> </w:t>
      </w:r>
      <w:bookmarkEnd w:id="5"/>
    </w:p>
    <w:p w:rsidRPr="001635C6" w:rsidR="003062A4" w:rsidP="003062A4" w:rsidRDefault="006D2DC3" w14:paraId="53B92612" w14:textId="08B13150">
      <w:pPr>
        <w:spacing w:before="120" w:line="276" w:lineRule="auto"/>
        <w:ind w:firstLine="705"/>
        <w:jc w:val="both"/>
        <w:textAlignment w:val="baseline"/>
        <w:rPr>
          <w:rFonts w:ascii="Arial" w:hAnsi="Arial" w:cs="Arial"/>
          <w:lang w:val="es-ES" w:eastAsia="es-CO"/>
        </w:rPr>
      </w:pPr>
      <w:r w:rsidRPr="001635C6">
        <w:rPr>
          <w:rFonts w:ascii="Arial" w:hAnsi="Arial" w:cs="Arial"/>
          <w:lang w:val="es-ES" w:eastAsia="es-CO"/>
        </w:rPr>
        <w:t>En desarrollo del parágrafo del artículo 32 de la Ley 2069 de 2020, el Decreto 1860 de 2021 adicionó el artículo 2.2.1.2.4.2.14 al Decreto 1082 de 2015. Esta norma establece las condiciones y requisitos para acreditar la condición de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 Por tanto, estos criterios únicamente podrán aplicarse al proponente que demuestre que cumple con alguno de los supuestos señalados en el artículo 2.2.1.2.4.2.14 del Decreto 1082 de 2015.</w:t>
      </w:r>
      <w:r w:rsidRPr="001635C6" w:rsidR="003062A4">
        <w:rPr>
          <w:rFonts w:ascii="Arial" w:hAnsi="Arial" w:cs="Arial"/>
          <w:lang w:val="es-ES" w:eastAsia="es-CO"/>
        </w:rPr>
        <w:t xml:space="preserve"> Al respecto la norma establece: </w:t>
      </w:r>
    </w:p>
    <w:p w:rsidRPr="003062A4" w:rsidR="003062A4" w:rsidP="001635C6" w:rsidRDefault="003062A4" w14:paraId="0304C887" w14:textId="77777777">
      <w:pPr>
        <w:widowControl w:val="0"/>
        <w:autoSpaceDE w:val="0"/>
        <w:autoSpaceDN w:val="0"/>
        <w:spacing w:after="120" w:line="240" w:lineRule="auto"/>
        <w:ind w:left="709"/>
        <w:jc w:val="both"/>
        <w:rPr>
          <w:rFonts w:ascii="Arial" w:hAnsi="Arial" w:eastAsia="Arial" w:cs="Arial"/>
          <w:lang w:eastAsia="es-ES" w:bidi="es-ES"/>
        </w:rPr>
      </w:pPr>
      <w:r w:rsidRPr="001635C6">
        <w:rPr>
          <w:rFonts w:ascii="Arial" w:hAnsi="Arial" w:eastAsia="Arial" w:cs="Arial"/>
          <w:lang w:eastAsia="es-ES" w:bidi="es-ES"/>
        </w:rPr>
        <w:t>ARTÍCULO 2.2.1.2.4.2.14. Definición de emprendimientos y empresas de mujeres.</w:t>
      </w:r>
      <w:r w:rsidRPr="003062A4">
        <w:rPr>
          <w:rFonts w:ascii="Arial" w:hAnsi="Arial" w:eastAsia="Arial" w:cs="Arial"/>
          <w:lang w:eastAsia="es-ES" w:bidi="es-ES"/>
        </w:rPr>
        <w:t> Con el propósito de adoptar medidas afirmativas que incentiven la participación de las mujeres en el sistema de compras públicas, se entenderán como emprendimientos y empresas de mujeres aquellas que cumplan con alguna de las siguientes condiciones:</w:t>
      </w:r>
    </w:p>
    <w:p w:rsidRPr="003062A4" w:rsidR="003062A4" w:rsidP="001635C6" w:rsidRDefault="003062A4" w14:paraId="698DA727" w14:textId="77777777">
      <w:pPr>
        <w:widowControl w:val="0"/>
        <w:autoSpaceDE w:val="0"/>
        <w:autoSpaceDN w:val="0"/>
        <w:spacing w:after="120" w:line="240" w:lineRule="auto"/>
        <w:ind w:left="709"/>
        <w:jc w:val="both"/>
        <w:rPr>
          <w:rFonts w:ascii="Arial" w:hAnsi="Arial" w:eastAsia="Arial" w:cs="Arial"/>
          <w:lang w:eastAsia="es-ES" w:bidi="es-ES"/>
        </w:rPr>
      </w:pPr>
      <w:r w:rsidRPr="003062A4">
        <w:rPr>
          <w:rFonts w:ascii="Arial" w:hAnsi="Arial" w:eastAsia="Arial" w:cs="Arial"/>
          <w:lang w:eastAsia="es-ES" w:bidi="es-ES"/>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rsidRPr="003062A4" w:rsidR="003062A4" w:rsidP="001635C6" w:rsidRDefault="003062A4" w14:paraId="7A526147" w14:textId="77777777">
      <w:pPr>
        <w:widowControl w:val="0"/>
        <w:autoSpaceDE w:val="0"/>
        <w:autoSpaceDN w:val="0"/>
        <w:spacing w:after="120" w:line="240" w:lineRule="auto"/>
        <w:ind w:left="709"/>
        <w:jc w:val="both"/>
        <w:rPr>
          <w:rFonts w:ascii="Arial" w:hAnsi="Arial" w:eastAsia="Arial" w:cs="Arial"/>
          <w:lang w:eastAsia="es-ES" w:bidi="es-ES"/>
        </w:rPr>
      </w:pPr>
      <w:r w:rsidRPr="003062A4">
        <w:rPr>
          <w:rFonts w:ascii="Arial" w:hAnsi="Arial" w:eastAsia="Arial" w:cs="Arial"/>
          <w:lang w:eastAsia="es-ES" w:bidi="es-ES"/>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rsidRPr="003062A4" w:rsidR="003062A4" w:rsidP="001635C6" w:rsidRDefault="003062A4" w14:paraId="456AD708" w14:textId="77777777">
      <w:pPr>
        <w:widowControl w:val="0"/>
        <w:autoSpaceDE w:val="0"/>
        <w:autoSpaceDN w:val="0"/>
        <w:spacing w:after="120" w:line="240" w:lineRule="auto"/>
        <w:ind w:left="709"/>
        <w:jc w:val="both"/>
        <w:rPr>
          <w:rFonts w:ascii="Arial" w:hAnsi="Arial" w:eastAsia="Arial" w:cs="Arial"/>
          <w:lang w:eastAsia="es-ES" w:bidi="es-ES"/>
        </w:rPr>
      </w:pPr>
      <w:r w:rsidRPr="003062A4">
        <w:rPr>
          <w:rFonts w:ascii="Arial" w:hAnsi="Arial" w:eastAsia="Arial" w:cs="Arial"/>
          <w:lang w:eastAsia="es-ES" w:bidi="es-ES"/>
        </w:rPr>
        <w:t xml:space="preserve">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w:t>
      </w:r>
      <w:r w:rsidRPr="003062A4">
        <w:rPr>
          <w:rFonts w:ascii="Arial" w:hAnsi="Arial" w:eastAsia="Arial" w:cs="Arial"/>
          <w:lang w:eastAsia="es-ES" w:bidi="es-ES"/>
        </w:rPr>
        <w:lastRenderedPageBreak/>
        <w:t>de funciones orientadas a representar al empleador.</w:t>
      </w:r>
    </w:p>
    <w:p w:rsidRPr="003062A4" w:rsidR="003062A4" w:rsidP="001635C6" w:rsidRDefault="003062A4" w14:paraId="2EC819A9" w14:textId="77777777">
      <w:pPr>
        <w:widowControl w:val="0"/>
        <w:autoSpaceDE w:val="0"/>
        <w:autoSpaceDN w:val="0"/>
        <w:spacing w:after="120" w:line="240" w:lineRule="auto"/>
        <w:ind w:left="709"/>
        <w:jc w:val="both"/>
        <w:rPr>
          <w:rFonts w:ascii="Arial" w:hAnsi="Arial" w:eastAsia="Arial" w:cs="Arial"/>
          <w:lang w:eastAsia="es-ES" w:bidi="es-ES"/>
        </w:rPr>
      </w:pPr>
      <w:r w:rsidRPr="003062A4">
        <w:rPr>
          <w:rFonts w:ascii="Arial" w:hAnsi="Arial" w:eastAsia="Arial" w:cs="Arial"/>
          <w:lang w:eastAsia="es-ES" w:bidi="es-ES"/>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rsidRPr="003062A4" w:rsidR="003062A4" w:rsidP="001635C6" w:rsidRDefault="003062A4" w14:paraId="4D8D345F" w14:textId="77777777">
      <w:pPr>
        <w:widowControl w:val="0"/>
        <w:autoSpaceDE w:val="0"/>
        <w:autoSpaceDN w:val="0"/>
        <w:spacing w:after="120" w:line="240" w:lineRule="auto"/>
        <w:ind w:left="709"/>
        <w:jc w:val="both"/>
        <w:rPr>
          <w:rFonts w:ascii="Arial" w:hAnsi="Arial" w:eastAsia="Arial" w:cs="Arial"/>
          <w:lang w:eastAsia="es-ES" w:bidi="es-ES"/>
        </w:rPr>
      </w:pPr>
      <w:r w:rsidRPr="003062A4">
        <w:rPr>
          <w:rFonts w:ascii="Arial" w:hAnsi="Arial" w:eastAsia="Arial" w:cs="Arial"/>
          <w:lang w:eastAsia="es-ES" w:bidi="es-ES"/>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rsidRPr="003062A4" w:rsidR="003062A4" w:rsidP="001635C6" w:rsidRDefault="003062A4" w14:paraId="3D1F0165" w14:textId="77777777">
      <w:pPr>
        <w:widowControl w:val="0"/>
        <w:autoSpaceDE w:val="0"/>
        <w:autoSpaceDN w:val="0"/>
        <w:spacing w:after="120" w:line="240" w:lineRule="auto"/>
        <w:ind w:left="709"/>
        <w:jc w:val="both"/>
        <w:rPr>
          <w:rFonts w:ascii="Arial" w:hAnsi="Arial" w:eastAsia="Arial" w:cs="Arial"/>
          <w:b/>
          <w:bCs/>
          <w:lang w:eastAsia="es-ES" w:bidi="es-ES"/>
        </w:rPr>
      </w:pPr>
      <w:r w:rsidRPr="003062A4">
        <w:rPr>
          <w:rFonts w:ascii="Arial" w:hAnsi="Arial" w:eastAsia="Arial" w:cs="Arial"/>
          <w:b/>
          <w:bCs/>
          <w:lang w:eastAsia="es-ES" w:bidi="es-ES"/>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rsidRPr="003062A4" w:rsidR="003062A4" w:rsidP="001635C6" w:rsidRDefault="003062A4" w14:paraId="69855435" w14:textId="77777777">
      <w:pPr>
        <w:widowControl w:val="0"/>
        <w:autoSpaceDE w:val="0"/>
        <w:autoSpaceDN w:val="0"/>
        <w:spacing w:after="120" w:line="240" w:lineRule="auto"/>
        <w:ind w:left="709"/>
        <w:jc w:val="both"/>
        <w:rPr>
          <w:rFonts w:ascii="Arial" w:hAnsi="Arial" w:eastAsia="Arial" w:cs="Arial"/>
          <w:lang w:eastAsia="es-ES" w:bidi="es-ES"/>
        </w:rPr>
      </w:pPr>
      <w:r w:rsidRPr="003062A4">
        <w:rPr>
          <w:rFonts w:ascii="Arial" w:hAnsi="Arial" w:eastAsia="Arial" w:cs="Arial"/>
          <w:lang w:eastAsia="es-ES" w:bidi="es-ES"/>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rsidR="003062A4" w:rsidP="003062A4" w:rsidRDefault="003062A4" w14:paraId="08B92D1A" w14:textId="5154DF7E">
      <w:pPr>
        <w:widowControl w:val="0"/>
        <w:autoSpaceDE w:val="0"/>
        <w:autoSpaceDN w:val="0"/>
        <w:spacing w:before="8" w:after="0" w:line="240" w:lineRule="auto"/>
        <w:ind w:left="709"/>
        <w:jc w:val="both"/>
        <w:rPr>
          <w:rFonts w:ascii="Arial" w:hAnsi="Arial" w:eastAsia="Arial" w:cs="Arial"/>
          <w:lang w:eastAsia="es-ES" w:bidi="es-ES"/>
        </w:rPr>
      </w:pPr>
      <w:r w:rsidRPr="003062A4">
        <w:rPr>
          <w:rFonts w:ascii="Arial" w:hAnsi="Arial" w:eastAsia="Arial" w:cs="Arial"/>
          <w:b/>
          <w:bCs/>
          <w:lang w:eastAsia="es-ES" w:bidi="es-ES"/>
        </w:rPr>
        <w:t>PARÁGRAFO.</w:t>
      </w:r>
      <w:r w:rsidRPr="003062A4">
        <w:rPr>
          <w:rFonts w:ascii="Arial" w:hAnsi="Arial" w:eastAsia="Arial" w:cs="Arial"/>
          <w:lang w:eastAsia="es-ES" w:bidi="es-ES"/>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Pr="003062A4">
        <w:rPr>
          <w:rFonts w:ascii="Arial" w:hAnsi="Arial" w:eastAsia="Arial" w:cs="Arial"/>
          <w:b/>
          <w:bCs/>
          <w:lang w:eastAsia="es-ES" w:bidi="es-ES"/>
        </w:rPr>
        <w:t>.</w:t>
      </w:r>
      <w:r w:rsidRPr="003062A4">
        <w:rPr>
          <w:rFonts w:ascii="Arial" w:hAnsi="Arial" w:eastAsia="Arial" w:cs="Arial"/>
          <w:lang w:eastAsia="es-ES" w:bidi="es-ES"/>
        </w:rPr>
        <w:t>»</w:t>
      </w:r>
      <w:r w:rsidRPr="003062A4">
        <w:rPr>
          <w:rFonts w:ascii="Arial" w:hAnsi="Arial" w:eastAsia="Arial" w:cs="Arial"/>
          <w:vertAlign w:val="superscript"/>
          <w:lang w:eastAsia="es-ES" w:bidi="es-ES"/>
        </w:rPr>
        <w:footnoteReference w:id="10"/>
      </w:r>
      <w:r w:rsidRPr="003062A4">
        <w:rPr>
          <w:rFonts w:ascii="Arial" w:hAnsi="Arial" w:eastAsia="Arial" w:cs="Arial"/>
          <w:lang w:eastAsia="es-ES" w:bidi="es-ES"/>
        </w:rPr>
        <w:t xml:space="preserve"> (Negrillas fuera de texto).</w:t>
      </w:r>
    </w:p>
    <w:p w:rsidRPr="003062A4" w:rsidR="003062A4" w:rsidP="003062A4" w:rsidRDefault="003062A4" w14:paraId="400EC85A" w14:textId="77777777">
      <w:pPr>
        <w:widowControl w:val="0"/>
        <w:autoSpaceDE w:val="0"/>
        <w:autoSpaceDN w:val="0"/>
        <w:spacing w:before="8" w:after="0" w:line="240" w:lineRule="auto"/>
        <w:ind w:left="709"/>
        <w:jc w:val="both"/>
        <w:rPr>
          <w:rFonts w:ascii="Arial" w:hAnsi="Arial" w:eastAsia="Arial" w:cs="Arial"/>
          <w:lang w:eastAsia="es-ES" w:bidi="es-ES"/>
        </w:rPr>
      </w:pPr>
    </w:p>
    <w:p w:rsidRPr="001635C6" w:rsidR="004E7524" w:rsidP="004E7524" w:rsidRDefault="004E7524" w14:paraId="424AB136" w14:textId="7ABA72A0">
      <w:pPr>
        <w:spacing w:before="120" w:line="276" w:lineRule="auto"/>
        <w:ind w:firstLine="709"/>
        <w:jc w:val="both"/>
        <w:rPr>
          <w:rFonts w:ascii="Arial" w:hAnsi="Arial" w:cs="Arial"/>
          <w:bCs/>
          <w:lang w:val="es-ES_tradnl" w:eastAsia="es-CO"/>
        </w:rPr>
      </w:pPr>
      <w:r w:rsidRPr="001635C6">
        <w:rPr>
          <w:rFonts w:ascii="Arial" w:hAnsi="Arial" w:cs="Arial"/>
          <w:bCs/>
          <w:lang w:val="es-ES_tradnl" w:eastAsia="es-CO"/>
        </w:rPr>
        <w:t>Como se aprecia en el tenor literal de la norma citada, el punto de partida para establecer la pertinencia de aplicar criterios diferenciales y puntajes adicionales en favor de emprendimientos o empresas de mujeres es la definición misma de esta noción. El Gobierno Nacional, en ejercicio de la potestad reglamentaria</w:t>
      </w:r>
      <w:r w:rsidR="006940D6">
        <w:rPr>
          <w:rFonts w:ascii="Arial" w:hAnsi="Arial" w:cs="Arial"/>
          <w:bCs/>
          <w:lang w:val="es-ES_tradnl" w:eastAsia="es-CO"/>
        </w:rPr>
        <w:t>,</w:t>
      </w:r>
      <w:r w:rsidRPr="001635C6">
        <w:rPr>
          <w:rFonts w:ascii="Arial" w:hAnsi="Arial" w:cs="Arial"/>
          <w:bCs/>
          <w:lang w:val="es-ES_tradnl" w:eastAsia="es-CO"/>
        </w:rPr>
        <w:t xml:space="preserve"> consideró que la acreditación de dicha condición puede obedecer a distintas circunstancias, que pueden clasificarse así</w:t>
      </w:r>
      <w:r w:rsidR="00A20591">
        <w:rPr>
          <w:rFonts w:ascii="Arial" w:hAnsi="Arial" w:cs="Arial"/>
          <w:bCs/>
          <w:lang w:val="es-ES_tradnl" w:eastAsia="es-CO"/>
        </w:rPr>
        <w:t>, sin perjuicio de tener en cuenta las exigencias que de forma precisa se establecen en la disposición previamente citada</w:t>
      </w:r>
      <w:r w:rsidRPr="001635C6">
        <w:rPr>
          <w:rFonts w:ascii="Arial" w:hAnsi="Arial" w:cs="Arial"/>
          <w:bCs/>
          <w:lang w:val="es-ES_tradnl" w:eastAsia="es-CO"/>
        </w:rPr>
        <w:t>:</w:t>
      </w:r>
    </w:p>
    <w:p w:rsidRPr="001635C6" w:rsidR="004E7524" w:rsidP="004E7524" w:rsidRDefault="004E7524" w14:paraId="5DF89F19" w14:textId="77777777">
      <w:pPr>
        <w:numPr>
          <w:ilvl w:val="0"/>
          <w:numId w:val="2"/>
        </w:numPr>
        <w:spacing w:before="120" w:line="276" w:lineRule="auto"/>
        <w:jc w:val="both"/>
        <w:rPr>
          <w:rFonts w:ascii="Arial" w:hAnsi="Arial" w:cs="Arial"/>
          <w:bCs/>
          <w:lang w:val="es-ES_tradnl" w:eastAsia="es-CO"/>
        </w:rPr>
      </w:pPr>
      <w:r w:rsidRPr="001635C6">
        <w:rPr>
          <w:rFonts w:ascii="Arial" w:hAnsi="Arial" w:cs="Arial"/>
          <w:bCs/>
          <w:lang w:val="es-ES_tradnl" w:eastAsia="es-CO"/>
        </w:rPr>
        <w:t>Circunstancias asociadas a la titularidad del derecho de dominio del proponente:</w:t>
      </w:r>
    </w:p>
    <w:p w:rsidRPr="001635C6" w:rsidR="004E7524" w:rsidP="004E7524" w:rsidRDefault="004E7524" w14:paraId="11F046D8" w14:textId="5DCC544B">
      <w:pPr>
        <w:spacing w:before="120" w:line="276" w:lineRule="auto"/>
        <w:ind w:left="720"/>
        <w:jc w:val="both"/>
        <w:rPr>
          <w:rFonts w:ascii="Arial" w:hAnsi="Arial" w:cs="Arial"/>
          <w:bCs/>
          <w:lang w:val="es-ES_tradnl" w:eastAsia="es-CO"/>
        </w:rPr>
      </w:pPr>
      <w:r w:rsidRPr="001635C6">
        <w:rPr>
          <w:rFonts w:ascii="Arial" w:hAnsi="Arial" w:cs="Arial"/>
          <w:bCs/>
          <w:lang w:val="es-ES_tradnl" w:eastAsia="es-CO"/>
        </w:rPr>
        <w:t>-</w:t>
      </w:r>
      <w:r w:rsidR="006940D6">
        <w:rPr>
          <w:rFonts w:ascii="Arial" w:hAnsi="Arial" w:cs="Arial"/>
          <w:bCs/>
          <w:lang w:val="es-ES_tradnl" w:eastAsia="es-CO"/>
        </w:rPr>
        <w:t xml:space="preserve"> </w:t>
      </w:r>
      <w:r w:rsidRPr="001635C6">
        <w:rPr>
          <w:rFonts w:ascii="Arial" w:hAnsi="Arial" w:cs="Arial"/>
          <w:bCs/>
          <w:lang w:val="es-ES_tradnl" w:eastAsia="es-CO"/>
        </w:rPr>
        <w:t xml:space="preserve">Si es persona jurídica, asociación o cooperativa esta condición se vincula con porcentaje de participación en las acciones, partes de interés, cuotas de participación o con el porcentaje de asociados, durante el último año de existencia </w:t>
      </w:r>
      <w:r w:rsidRPr="001635C6">
        <w:rPr>
          <w:rFonts w:ascii="Arial" w:hAnsi="Arial" w:cs="Arial"/>
          <w:bCs/>
          <w:lang w:val="es-ES_tradnl" w:eastAsia="es-CO"/>
        </w:rPr>
        <w:lastRenderedPageBreak/>
        <w:t>de la persona jurídica, asociación o cooperativa: Al menos el 50% debe pertenecer</w:t>
      </w:r>
      <w:r w:rsidR="006940D6">
        <w:rPr>
          <w:rFonts w:ascii="Arial" w:hAnsi="Arial" w:cs="Arial"/>
          <w:bCs/>
          <w:lang w:val="es-ES_tradnl" w:eastAsia="es-CO"/>
        </w:rPr>
        <w:t xml:space="preserve"> o ser </w:t>
      </w:r>
      <w:r w:rsidRPr="001635C6">
        <w:rPr>
          <w:rFonts w:ascii="Arial" w:hAnsi="Arial" w:cs="Arial"/>
          <w:bCs/>
          <w:lang w:val="es-ES_tradnl" w:eastAsia="es-CO"/>
        </w:rPr>
        <w:t>mujeres.</w:t>
      </w:r>
    </w:p>
    <w:p w:rsidRPr="001635C6" w:rsidR="004E7524" w:rsidP="004E7524" w:rsidRDefault="004E7524" w14:paraId="4FAB132D" w14:textId="4C2C8DA3">
      <w:pPr>
        <w:spacing w:before="120" w:line="276" w:lineRule="auto"/>
        <w:ind w:left="720"/>
        <w:jc w:val="both"/>
        <w:rPr>
          <w:rFonts w:ascii="Arial" w:hAnsi="Arial" w:cs="Arial"/>
          <w:bCs/>
          <w:lang w:val="es-ES_tradnl" w:eastAsia="es-CO"/>
        </w:rPr>
      </w:pPr>
      <w:r w:rsidRPr="001635C6">
        <w:rPr>
          <w:rFonts w:ascii="Arial" w:hAnsi="Arial" w:cs="Arial"/>
          <w:bCs/>
          <w:lang w:val="es-ES_tradnl" w:eastAsia="es-CO"/>
        </w:rPr>
        <w:t>-</w:t>
      </w:r>
      <w:r w:rsidR="006940D6">
        <w:rPr>
          <w:rFonts w:ascii="Arial" w:hAnsi="Arial" w:cs="Arial"/>
          <w:bCs/>
          <w:lang w:val="es-ES_tradnl" w:eastAsia="es-CO"/>
        </w:rPr>
        <w:t xml:space="preserve"> </w:t>
      </w:r>
      <w:r w:rsidRPr="001635C6">
        <w:rPr>
          <w:rFonts w:ascii="Arial" w:hAnsi="Arial" w:cs="Arial"/>
          <w:bCs/>
          <w:lang w:val="es-ES_tradnl" w:eastAsia="es-CO"/>
        </w:rPr>
        <w:t xml:space="preserve">Si es persona natural, debe acreditar su condición de mujer y el </w:t>
      </w:r>
      <w:r w:rsidRPr="001635C6">
        <w:rPr>
          <w:rFonts w:ascii="Arial" w:hAnsi="Arial" w:cs="Arial"/>
          <w:bCs/>
          <w:lang w:eastAsia="es-CO"/>
        </w:rPr>
        <w:t>ejercicio de actividades comerciales a través de un establecimiento de comercio durante al menos el último año anterior a la fecha de cierre del proceso de selección.</w:t>
      </w:r>
    </w:p>
    <w:p w:rsidRPr="001635C6" w:rsidR="004E7524" w:rsidP="004E7524" w:rsidRDefault="004E7524" w14:paraId="7B246DF3" w14:textId="233353CF">
      <w:pPr>
        <w:numPr>
          <w:ilvl w:val="0"/>
          <w:numId w:val="2"/>
        </w:numPr>
        <w:spacing w:before="120" w:line="276" w:lineRule="auto"/>
        <w:jc w:val="both"/>
        <w:rPr>
          <w:rFonts w:ascii="Arial" w:hAnsi="Arial" w:cs="Arial"/>
          <w:bCs/>
          <w:lang w:val="es-ES_tradnl" w:eastAsia="es-CO"/>
        </w:rPr>
      </w:pPr>
      <w:r w:rsidRPr="001635C6">
        <w:rPr>
          <w:rFonts w:ascii="Arial" w:hAnsi="Arial" w:cs="Arial"/>
          <w:bCs/>
          <w:lang w:val="es-ES_tradnl" w:eastAsia="es-CO"/>
        </w:rPr>
        <w:t xml:space="preserve">Circunstancias asociadas al personal directivo vinculado mediante contrato de trabajo </w:t>
      </w:r>
      <w:r w:rsidR="00F40382">
        <w:rPr>
          <w:rFonts w:ascii="Arial" w:hAnsi="Arial" w:cs="Arial"/>
          <w:bCs/>
          <w:lang w:val="es-ES_tradnl" w:eastAsia="es-CO"/>
        </w:rPr>
        <w:t xml:space="preserve">a </w:t>
      </w:r>
      <w:r w:rsidRPr="001635C6">
        <w:rPr>
          <w:rFonts w:ascii="Arial" w:hAnsi="Arial" w:cs="Arial"/>
          <w:bCs/>
          <w:lang w:val="es-ES_tradnl" w:eastAsia="es-CO"/>
        </w:rPr>
        <w:t>la persona jurídica, durante el último año: Al menos el 50% deben ser mujeres</w:t>
      </w:r>
      <w:r w:rsidR="006940D6">
        <w:rPr>
          <w:rFonts w:ascii="Arial" w:hAnsi="Arial" w:cs="Arial"/>
          <w:bCs/>
          <w:lang w:val="es-ES_tradnl" w:eastAsia="es-CO"/>
        </w:rPr>
        <w:t>.</w:t>
      </w:r>
    </w:p>
    <w:p w:rsidRPr="001635C6" w:rsidR="006D2DC3" w:rsidP="006D2DC3" w:rsidRDefault="006D2DC3" w14:paraId="188A6B75" w14:textId="088C647B">
      <w:pPr>
        <w:spacing w:before="120" w:line="276" w:lineRule="auto"/>
        <w:ind w:firstLine="709"/>
        <w:jc w:val="both"/>
        <w:rPr>
          <w:rFonts w:ascii="Arial" w:hAnsi="Arial" w:eastAsia="Arial" w:cs="Arial"/>
          <w:bCs/>
          <w:color w:val="000000"/>
          <w:lang w:val="es-ES"/>
        </w:rPr>
      </w:pPr>
      <w:r w:rsidRPr="001635C6">
        <w:rPr>
          <w:rFonts w:ascii="Arial" w:hAnsi="Arial" w:cs="Arial"/>
          <w:lang w:val="es-ES" w:eastAsia="es-CO"/>
        </w:rPr>
        <w:t xml:space="preserve">Por su parte, </w:t>
      </w:r>
      <w:r w:rsidRPr="001635C6">
        <w:rPr>
          <w:rFonts w:ascii="Arial" w:hAnsi="Arial" w:cs="Arial"/>
          <w:lang w:eastAsia="es-CO"/>
        </w:rPr>
        <w:t xml:space="preserve">el artículo 3 del Decreto 1860 de 2021 adicionó </w:t>
      </w:r>
      <w:r w:rsidRPr="001635C6">
        <w:rPr>
          <w:rFonts w:ascii="Arial" w:hAnsi="Arial" w:cs="Arial"/>
          <w:bCs/>
          <w:lang w:eastAsia="es-CO"/>
        </w:rPr>
        <w:t xml:space="preserve">el artículo 2.2.1.2.4.2.15 al </w:t>
      </w:r>
      <w:r w:rsidRPr="001635C6">
        <w:rPr>
          <w:rFonts w:ascii="Arial" w:hAnsi="Arial" w:cs="Arial"/>
          <w:lang w:eastAsia="es-CO"/>
        </w:rPr>
        <w:t xml:space="preserve">Decreto 1082 de 2015, el cual </w:t>
      </w:r>
      <w:r w:rsidRPr="001635C6">
        <w:rPr>
          <w:rFonts w:ascii="Arial" w:hAnsi="Arial" w:cs="Arial"/>
          <w:lang w:val="es-ES" w:eastAsia="es-CO"/>
        </w:rPr>
        <w:t>complementa la regulación de criterios diferenciales estableciendo unos requisitos habilitantes diferenciales y puntajes adicionales para incentivar emprendimientos y empresas de mujeres</w:t>
      </w:r>
      <w:r w:rsidRPr="001635C6">
        <w:rPr>
          <w:rStyle w:val="Refdenotaalpie"/>
          <w:rFonts w:ascii="Arial" w:hAnsi="Arial" w:cs="Arial"/>
          <w:lang w:eastAsia="es-CO"/>
        </w:rPr>
        <w:footnoteReference w:id="11"/>
      </w:r>
      <w:r w:rsidRPr="001635C6">
        <w:rPr>
          <w:rFonts w:ascii="Arial" w:hAnsi="Arial" w:cs="Arial"/>
          <w:lang w:eastAsia="es-CO"/>
        </w:rPr>
        <w:t>.</w:t>
      </w:r>
      <w:r w:rsidRPr="001635C6">
        <w:rPr>
          <w:rFonts w:ascii="Arial" w:hAnsi="Arial" w:eastAsia="Arial" w:cs="Arial"/>
          <w:bCs/>
          <w:color w:val="000000"/>
          <w:lang w:val="es-ES_tradnl"/>
        </w:rPr>
        <w:t xml:space="preserve"> Conforme </w:t>
      </w:r>
      <w:r w:rsidR="00A20591">
        <w:rPr>
          <w:rFonts w:ascii="Arial" w:hAnsi="Arial" w:eastAsia="Arial" w:cs="Arial"/>
          <w:bCs/>
          <w:color w:val="000000"/>
          <w:lang w:val="es-ES_tradnl"/>
        </w:rPr>
        <w:t>con</w:t>
      </w:r>
      <w:r w:rsidRPr="001635C6">
        <w:rPr>
          <w:rFonts w:ascii="Arial" w:hAnsi="Arial" w:eastAsia="Arial" w:cs="Arial"/>
          <w:bCs/>
          <w:color w:val="000000"/>
          <w:lang w:val="es-ES_tradnl"/>
        </w:rPr>
        <w:t xml:space="preserve"> esta norma, </w:t>
      </w:r>
      <w:r w:rsidRPr="001635C6">
        <w:rPr>
          <w:rFonts w:ascii="Arial" w:hAnsi="Arial" w:eastAsia="Arial" w:cs="Arial"/>
          <w:bCs/>
          <w:color w:val="000000"/>
          <w:lang w:val="es-ES"/>
        </w:rPr>
        <w:t xml:space="preserve">las entidades estatales deben incluir en los procesos de licitación pública, selección abreviada de menor cuantía y concurso de méritos, así como en los procesos competitivos que </w:t>
      </w:r>
      <w:r w:rsidRPr="001635C6">
        <w:rPr>
          <w:rFonts w:ascii="Arial" w:hAnsi="Arial" w:eastAsia="Arial" w:cs="Arial"/>
          <w:bCs/>
          <w:color w:val="000000"/>
          <w:lang w:val="es-ES"/>
        </w:rPr>
        <w:lastRenderedPageBreak/>
        <w:t xml:space="preserve">adelanten las entidades estatales exceptuadas de aplicar el Estatuto General de Contratación de la Administración Pública, requisitos diferenciales y puntajes adicionales para emprendimientos y empresas de mujeres. De este modo, se excluye su aplicación en las demás modalidades de selección </w:t>
      </w:r>
      <w:r w:rsidRPr="001635C6">
        <w:rPr>
          <w:rFonts w:ascii="Arial" w:hAnsi="Arial" w:cs="Arial"/>
          <w:lang w:eastAsia="es-MX"/>
        </w:rPr>
        <w:t>del artículo 2 de la Ley 1150 de 2007</w:t>
      </w:r>
      <w:r w:rsidRPr="001635C6">
        <w:rPr>
          <w:rFonts w:ascii="Arial" w:hAnsi="Arial" w:eastAsia="Arial" w:cs="Arial"/>
          <w:bCs/>
          <w:color w:val="000000"/>
          <w:lang w:val="es-ES"/>
        </w:rPr>
        <w:t xml:space="preserve">. </w:t>
      </w:r>
    </w:p>
    <w:p w:rsidRPr="001635C6" w:rsidR="006D2DC3" w:rsidP="006D2DC3" w:rsidRDefault="006D2DC3" w14:paraId="11491E34" w14:textId="77777777">
      <w:pPr>
        <w:spacing w:before="120" w:line="276" w:lineRule="auto"/>
        <w:ind w:firstLine="709"/>
        <w:jc w:val="both"/>
        <w:rPr>
          <w:rFonts w:ascii="Arial" w:hAnsi="Arial" w:eastAsia="Arial" w:cs="Arial"/>
          <w:bCs/>
          <w:color w:val="000000"/>
          <w:lang w:val="es-ES"/>
        </w:rPr>
      </w:pPr>
      <w:r w:rsidRPr="001635C6">
        <w:rPr>
          <w:rFonts w:ascii="Arial" w:hAnsi="Arial" w:eastAsia="Arial" w:cs="Arial"/>
          <w:bCs/>
          <w:color w:val="000000"/>
          <w:lang w:val="es-ES"/>
        </w:rPr>
        <w:t xml:space="preserve">Para estos efectos, la norma señala que las entidades incluirán requisitos habilitantes diferenciales relacionados con alguno o algunos de los siguientes aspectos: i) tiempo de experiencia, </w:t>
      </w:r>
      <w:proofErr w:type="spellStart"/>
      <w:r w:rsidRPr="001635C6">
        <w:rPr>
          <w:rFonts w:ascii="Arial" w:hAnsi="Arial" w:eastAsia="Arial" w:cs="Arial"/>
          <w:bCs/>
          <w:color w:val="000000"/>
          <w:lang w:val="es-ES"/>
        </w:rPr>
        <w:t>ii</w:t>
      </w:r>
      <w:proofErr w:type="spellEnd"/>
      <w:r w:rsidRPr="001635C6">
        <w:rPr>
          <w:rFonts w:ascii="Arial" w:hAnsi="Arial" w:eastAsia="Arial" w:cs="Arial"/>
          <w:bCs/>
          <w:color w:val="000000"/>
          <w:lang w:val="es-ES"/>
        </w:rPr>
        <w:t xml:space="preserve">) número de contratos para la acreditación de experiencia, </w:t>
      </w:r>
      <w:proofErr w:type="spellStart"/>
      <w:r w:rsidRPr="001635C6">
        <w:rPr>
          <w:rFonts w:ascii="Arial" w:hAnsi="Arial" w:eastAsia="Arial" w:cs="Arial"/>
          <w:bCs/>
          <w:color w:val="000000"/>
          <w:lang w:val="es-ES"/>
        </w:rPr>
        <w:t>iii</w:t>
      </w:r>
      <w:proofErr w:type="spellEnd"/>
      <w:r w:rsidRPr="001635C6">
        <w:rPr>
          <w:rFonts w:ascii="Arial" w:hAnsi="Arial" w:eastAsia="Arial" w:cs="Arial"/>
          <w:bCs/>
          <w:color w:val="000000"/>
          <w:lang w:val="es-ES"/>
        </w:rPr>
        <w:t xml:space="preserve">) índices de capacidad financiera, </w:t>
      </w:r>
      <w:proofErr w:type="spellStart"/>
      <w:r w:rsidRPr="001635C6">
        <w:rPr>
          <w:rFonts w:ascii="Arial" w:hAnsi="Arial" w:eastAsia="Arial" w:cs="Arial"/>
          <w:bCs/>
          <w:color w:val="000000"/>
          <w:lang w:val="es-ES"/>
        </w:rPr>
        <w:t>iv</w:t>
      </w:r>
      <w:proofErr w:type="spellEnd"/>
      <w:r w:rsidRPr="001635C6">
        <w:rPr>
          <w:rFonts w:ascii="Arial" w:hAnsi="Arial" w:eastAsia="Arial" w:cs="Arial"/>
          <w:bCs/>
          <w:color w:val="000000"/>
          <w:lang w:val="es-ES"/>
        </w:rPr>
        <w:t xml:space="preserve">) índices de capacidad organizacional y v) valor de la garantía de seriedad de la oferta. Esto significa que la entidad podrá escoger uno o varios de los aspectos señalados para adoptar las medidas afirmativas que incentiven la participación de mujeres en el sistema de compras públicas sin determinar aspectos distintos a los contemplados. </w:t>
      </w:r>
      <w:r w:rsidRPr="001635C6">
        <w:rPr>
          <w:rFonts w:ascii="Arial" w:hAnsi="Arial" w:eastAsia="Arial" w:cs="Arial"/>
          <w:bCs/>
          <w:color w:val="000000"/>
          <w:lang w:val="es-ES_tradnl"/>
        </w:rPr>
        <w:t xml:space="preserve">En todo caso, </w:t>
      </w:r>
      <w:r w:rsidRPr="001635C6">
        <w:rPr>
          <w:rFonts w:ascii="Arial" w:hAnsi="Arial" w:eastAsia="Arial" w:cs="Arial"/>
          <w:bCs/>
          <w:color w:val="000000"/>
        </w:rPr>
        <w:t>los requisitos mencionados deberán fijarse respetando las condiciones habilitantes requeridas para el cumplimiento adecuado del contrato, teniendo en cuenta el alcance de las obligaciones</w:t>
      </w:r>
    </w:p>
    <w:p w:rsidRPr="001635C6" w:rsidR="006D2DC3" w:rsidP="006D2DC3" w:rsidRDefault="006D2DC3" w14:paraId="3D187B4C" w14:textId="60C39203">
      <w:pPr>
        <w:spacing w:before="120" w:line="276" w:lineRule="auto"/>
        <w:ind w:firstLine="709"/>
        <w:jc w:val="both"/>
        <w:rPr>
          <w:rFonts w:ascii="Arial" w:hAnsi="Arial" w:eastAsia="Arial" w:cs="Arial"/>
          <w:bCs/>
          <w:color w:val="000000"/>
          <w:lang w:val="es-ES"/>
        </w:rPr>
      </w:pPr>
      <w:r w:rsidRPr="001635C6">
        <w:rPr>
          <w:rFonts w:ascii="Arial" w:hAnsi="Arial" w:eastAsia="Arial" w:cs="Arial"/>
          <w:bCs/>
          <w:color w:val="000000"/>
          <w:lang w:val="es-ES"/>
        </w:rPr>
        <w:t xml:space="preserve">El inciso tercero del artículo </w:t>
      </w:r>
      <w:r w:rsidRPr="001635C6">
        <w:rPr>
          <w:rFonts w:ascii="Arial" w:hAnsi="Arial" w:cs="Arial"/>
          <w:bCs/>
          <w:lang w:eastAsia="es-CO"/>
        </w:rPr>
        <w:t xml:space="preserve">2.2.1.2.4.2.15 al </w:t>
      </w:r>
      <w:r w:rsidRPr="001635C6">
        <w:rPr>
          <w:rFonts w:ascii="Arial" w:hAnsi="Arial" w:cs="Arial"/>
          <w:lang w:eastAsia="es-CO"/>
        </w:rPr>
        <w:t xml:space="preserve">Decreto 1082 de 2015 </w:t>
      </w:r>
      <w:r w:rsidRPr="001635C6">
        <w:rPr>
          <w:rFonts w:ascii="Arial" w:hAnsi="Arial" w:eastAsia="Arial" w:cs="Arial"/>
          <w:bCs/>
          <w:color w:val="000000"/>
          <w:lang w:val="es-ES"/>
        </w:rPr>
        <w:t>establece que estos requisitos deben ser menos rigurosos respecto a los contemplados para los proponentes que no cumplan con alguna de los criterios del artículo 2.2.1.2.4.2.14. De esta manera, la norma permite un trato diferencial en la determinación de los requisitos habilitantes en relación con los emprendimientos y empresas de mujeres</w:t>
      </w:r>
      <w:r w:rsidR="008B0F45">
        <w:rPr>
          <w:rFonts w:ascii="Arial" w:hAnsi="Arial" w:eastAsia="Arial" w:cs="Arial"/>
          <w:bCs/>
          <w:color w:val="000000"/>
          <w:lang w:val="es-ES"/>
        </w:rPr>
        <w:t>, en los aspectos indicados</w:t>
      </w:r>
      <w:r w:rsidRPr="001635C6">
        <w:rPr>
          <w:rFonts w:ascii="Arial" w:hAnsi="Arial" w:eastAsia="Arial" w:cs="Arial"/>
          <w:bCs/>
          <w:color w:val="000000"/>
          <w:lang w:val="es-ES"/>
        </w:rPr>
        <w:t xml:space="preserve">. Del mismo modo, también se regula un puntaje adicional de hasta el 0,25% del valor total de los puntos establecidos en los pliegos de condiciones o documentos equivalentes, para los proponentes que acrediten alguno de los supuestos del artículo 2.2.1.2.4.2.14. De acuerdo con lo anterior, los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w:t>
      </w:r>
    </w:p>
    <w:p w:rsidRPr="001635C6" w:rsidR="006D2DC3" w:rsidP="006D2DC3" w:rsidRDefault="006D2DC3" w14:paraId="6F3ED43E" w14:textId="77777777">
      <w:pPr>
        <w:spacing w:before="120" w:line="276" w:lineRule="auto"/>
        <w:ind w:firstLine="709"/>
        <w:jc w:val="both"/>
        <w:rPr>
          <w:rFonts w:ascii="Arial" w:hAnsi="Arial" w:eastAsia="Arial" w:cs="Arial"/>
          <w:bCs/>
          <w:color w:val="000000"/>
          <w:lang w:val="es-ES"/>
        </w:rPr>
      </w:pPr>
      <w:r w:rsidRPr="001635C6">
        <w:rPr>
          <w:rFonts w:ascii="Arial" w:hAnsi="Arial" w:eastAsia="Arial" w:cs="Arial"/>
          <w:bCs/>
          <w:color w:val="000000"/>
          <w:lang w:val="es-ES"/>
        </w:rPr>
        <w:t xml:space="preserve">El inciso cuarto del artículo </w:t>
      </w:r>
      <w:r w:rsidRPr="001635C6">
        <w:rPr>
          <w:rFonts w:ascii="Arial" w:hAnsi="Arial" w:eastAsia="Calibri" w:cs="Arial"/>
          <w:color w:val="000000" w:themeColor="text1"/>
          <w:lang w:val="es-ES"/>
        </w:rPr>
        <w:t>2.2.1.2.4.2.15. del Decreto 1082 de 2015,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tanto, es recomendable considerar las distintas variables en los estudios del sector desde el análisis de la oferta, para determinar los requisitos diferenciales y los puntajes adicionales, sin desconocer que el análisis de oportunidad y conveniencia es una actividad a cargo de las entidades estatales y que la Agencia Nacional de Contratación Pública, como órgano rector del Sistema de Compras y Contratación Pública, solo brinda algunas pautas al respecto. </w:t>
      </w:r>
    </w:p>
    <w:p w:rsidRPr="001635C6" w:rsidR="006D2DC3" w:rsidP="006D2DC3" w:rsidRDefault="006D2DC3" w14:paraId="58615338" w14:textId="77777777">
      <w:pPr>
        <w:spacing w:before="120" w:line="276" w:lineRule="auto"/>
        <w:ind w:firstLine="709"/>
        <w:jc w:val="both"/>
        <w:rPr>
          <w:rFonts w:ascii="Arial" w:hAnsi="Arial" w:eastAsia="Calibri" w:cs="Arial"/>
          <w:color w:val="000000" w:themeColor="text1"/>
          <w:lang w:val="es-ES"/>
        </w:rPr>
      </w:pPr>
      <w:r w:rsidRPr="001635C6">
        <w:rPr>
          <w:rFonts w:ascii="Arial" w:hAnsi="Arial" w:eastAsia="Calibri" w:cs="Arial"/>
          <w:color w:val="000000" w:themeColor="text1"/>
          <w:lang w:val="es-ES"/>
        </w:rPr>
        <w:t xml:space="preserve">En efecto, según lo indicó Colombia Compra Eficiente en la Guía para la Elaboración de Estudios del Sector, en esta actividad las entidades estatales deben realizar un estudio de la oferta, que responda, entre otras, las siguientes preguntas: i) «Quién vende», y </w:t>
      </w:r>
      <w:proofErr w:type="spellStart"/>
      <w:r w:rsidRPr="001635C6">
        <w:rPr>
          <w:rFonts w:ascii="Arial" w:hAnsi="Arial" w:eastAsia="Calibri" w:cs="Arial"/>
          <w:color w:val="000000" w:themeColor="text1"/>
          <w:lang w:val="es-ES"/>
        </w:rPr>
        <w:t>ii</w:t>
      </w:r>
      <w:proofErr w:type="spellEnd"/>
      <w:r w:rsidRPr="001635C6">
        <w:rPr>
          <w:rFonts w:ascii="Arial" w:hAnsi="Arial" w:eastAsia="Calibri" w:cs="Arial"/>
          <w:color w:val="000000" w:themeColor="text1"/>
          <w:lang w:val="es-ES"/>
        </w:rPr>
        <w:t xml:space="preserve">) «¿Cuál es la dinámica de producción, distribución y entrega de bienes, obras o servicios?» </w:t>
      </w:r>
      <w:r w:rsidRPr="001635C6">
        <w:rPr>
          <w:rFonts w:ascii="Arial" w:hAnsi="Arial" w:eastAsia="Calibri" w:cs="Arial"/>
          <w:color w:val="000000" w:themeColor="text1"/>
          <w:lang w:val="es-ES"/>
        </w:rPr>
        <w:lastRenderedPageBreak/>
        <w:t>–teniendo en cuenta elementos como la producción, la distribución y el inventario–. En relación con la primera pregunta, la Guía señala que «Para identificar los posibles proveedores es recomendable utilizar bases de datos e información del Sistema de Información y Reporte Empresarial –SIREM–;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w:t>
      </w:r>
      <w:bookmarkStart w:name="_Hlk78204338" w:id="6"/>
      <w:r w:rsidRPr="001635C6">
        <w:rPr>
          <w:rFonts w:ascii="Arial" w:hAnsi="Arial" w:eastAsia="Calibri" w:cs="Arial"/>
          <w:color w:val="000000" w:themeColor="text1"/>
          <w:lang w:val="es-ES"/>
        </w:rPr>
        <w:t xml:space="preserve"> En relación con la segunda pregunta, la Guía</w:t>
      </w:r>
      <w:r w:rsidRPr="001635C6">
        <w:rPr>
          <w:rFonts w:ascii="Arial" w:hAnsi="Arial" w:eastAsia="Calibri" w:cs="Arial"/>
          <w:color w:val="000000" w:themeColor="text1"/>
        </w:rPr>
        <w:t xml:space="preserve"> indica que </w:t>
      </w:r>
      <w:r w:rsidRPr="001635C6">
        <w:rPr>
          <w:rFonts w:ascii="Arial" w:hAnsi="Arial" w:eastAsia="Calibri" w:cs="Arial"/>
          <w:color w:val="000000" w:themeColor="text1"/>
          <w:lang w:val="es-ES"/>
        </w:rPr>
        <w:t>«l</w:t>
      </w:r>
      <w:r w:rsidRPr="001635C6">
        <w:rPr>
          <w:rFonts w:ascii="Arial" w:hAnsi="Arial" w:eastAsia="Calibri" w:cs="Arial"/>
          <w:color w:val="000000" w:themeColor="text1"/>
        </w:rPr>
        <w:t>a comunicación previa, abierta, directa y reglada con los posibles proveedores es fundamental para contextualizar el análisis del sector económico y para comprender la información financiera que ofrecen los sistemas de información. Si la información requerida no está disponible en los sistemas de información, los mismos proveedores pueden ser la fuente de estos datos</w:t>
      </w:r>
      <w:r w:rsidRPr="001635C6">
        <w:rPr>
          <w:rFonts w:ascii="Arial" w:hAnsi="Arial" w:eastAsia="Calibri" w:cs="Arial"/>
          <w:color w:val="000000" w:themeColor="text1"/>
          <w:lang w:val="es-ES"/>
        </w:rPr>
        <w:t>»</w:t>
      </w:r>
      <w:r w:rsidRPr="001635C6">
        <w:rPr>
          <w:rFonts w:ascii="Arial" w:hAnsi="Arial" w:eastAsia="Calibri" w:cs="Arial"/>
          <w:color w:val="000000" w:themeColor="text1"/>
        </w:rPr>
        <w:t>.</w:t>
      </w:r>
    </w:p>
    <w:bookmarkEnd w:id="6"/>
    <w:p w:rsidRPr="001635C6" w:rsidR="006D2DC3" w:rsidP="006D2DC3" w:rsidRDefault="006D2DC3" w14:paraId="28C27F8F" w14:textId="77777777">
      <w:pPr>
        <w:spacing w:before="120" w:line="276" w:lineRule="auto"/>
        <w:ind w:firstLine="709"/>
        <w:jc w:val="both"/>
        <w:rPr>
          <w:rFonts w:ascii="Arial" w:hAnsi="Arial" w:eastAsia="Calibri" w:cs="Arial"/>
          <w:color w:val="000000" w:themeColor="text1"/>
          <w:lang w:val="es-ES"/>
        </w:rPr>
      </w:pPr>
      <w:r w:rsidRPr="001635C6">
        <w:rPr>
          <w:rFonts w:ascii="Arial" w:hAnsi="Arial" w:eastAsia="Arial" w:cs="Arial"/>
          <w:color w:val="000000"/>
          <w:lang w:val="es-ES_tradnl"/>
        </w:rPr>
        <w:t xml:space="preserve">Al respecto, es pertinente precisar que en la Guía </w:t>
      </w:r>
      <w:r w:rsidRPr="001635C6">
        <w:rPr>
          <w:rFonts w:ascii="Arial" w:hAnsi="Arial" w:eastAsia="Calibri" w:cs="Arial"/>
          <w:color w:val="000000" w:themeColor="text1"/>
          <w:lang w:val="es-ES"/>
        </w:rPr>
        <w:t>para la Elaboración de Estudios del Sector</w:t>
      </w:r>
      <w:r w:rsidRPr="001635C6">
        <w:rPr>
          <w:rFonts w:ascii="Arial" w:hAnsi="Arial" w:eastAsia="Arial" w:cs="Arial"/>
          <w:color w:val="000000"/>
        </w:rPr>
        <w:t xml:space="preserve"> se recomienda a la entidad diseñar e implementar escenarios y procedimientos de solicitud de información a los potenciales oferentes. Esta recomendación se orienta a que la entidad defina qué información, cuándo, por qué medio y a quién la solicitará. Según se indica en la Guía, esta definición debe incluir el procedimiento para hacerlo como formatos de solicitud de cotización o de información que permitan una participación uniforme del mayor número posible de interesados. Asimismo, se recomienda dejar constancia de las fechas de las reuniones, los asistentes y los temas tratados con proveedores y gremios</w:t>
      </w:r>
      <w:r w:rsidRPr="001635C6">
        <w:rPr>
          <w:rFonts w:ascii="Arial" w:hAnsi="Arial" w:eastAsia="Calibri" w:cs="Arial"/>
          <w:color w:val="000000" w:themeColor="text1"/>
          <w:lang w:val="es-ES"/>
        </w:rPr>
        <w:t>.</w:t>
      </w:r>
    </w:p>
    <w:p w:rsidRPr="001635C6" w:rsidR="006D2DC3" w:rsidP="006D2DC3" w:rsidRDefault="006D2DC3" w14:paraId="48A46039" w14:textId="77777777">
      <w:pPr>
        <w:spacing w:before="120" w:line="276" w:lineRule="auto"/>
        <w:ind w:firstLine="709"/>
        <w:jc w:val="both"/>
        <w:rPr>
          <w:rFonts w:ascii="Arial" w:hAnsi="Arial" w:eastAsia="Calibri" w:cs="Arial"/>
          <w:color w:val="000000" w:themeColor="text1"/>
          <w:lang w:val="es-ES"/>
        </w:rPr>
      </w:pPr>
      <w:r w:rsidRPr="001635C6">
        <w:rPr>
          <w:rFonts w:ascii="Arial" w:hAnsi="Arial" w:eastAsia="Calibri" w:cs="Arial"/>
          <w:color w:val="000000" w:themeColor="text1"/>
          <w:lang w:val="es-ES"/>
        </w:rPr>
        <w:t xml:space="preserve">Igualmente, </w:t>
      </w:r>
      <w:r w:rsidRPr="001635C6">
        <w:rPr>
          <w:rFonts w:ascii="Arial" w:hAnsi="Arial" w:eastAsia="Calibri" w:cs="Arial"/>
          <w:color w:val="000000" w:themeColor="text1"/>
        </w:rPr>
        <w:t>como parte del Modelo de Abastecimiento Estratégico para la compra pública, implementado por la Agencia Nacional de Contratación Pública – Colombia Compra Eficiente, se desarrollaron dos (2) herramientas de visualización para facilitar la realización del análisis de la demanda y el análisis de la oferta por parte de las entidades</w:t>
      </w:r>
      <w:r w:rsidRPr="001635C6">
        <w:rPr>
          <w:rStyle w:val="Refdenotaalpie"/>
          <w:rFonts w:ascii="Arial" w:hAnsi="Arial" w:eastAsia="Calibri" w:cs="Arial"/>
          <w:color w:val="000000" w:themeColor="text1"/>
        </w:rPr>
        <w:footnoteReference w:id="12"/>
      </w:r>
      <w:r w:rsidRPr="001635C6">
        <w:rPr>
          <w:rFonts w:ascii="Arial" w:hAnsi="Arial" w:eastAsia="Calibri" w:cs="Arial"/>
          <w:color w:val="000000" w:themeColor="text1"/>
        </w:rPr>
        <w:t xml:space="preserve">. Estas herramientas pretenden ser una ayuda para las entidades del estado y los gestores de la compra pública. Concretamente, frente a la herramienta del análisis de la oferta </w:t>
      </w:r>
      <w:r w:rsidRPr="001635C6">
        <w:rPr>
          <w:rFonts w:ascii="Arial" w:hAnsi="Arial" w:eastAsia="Calibri" w:cs="Arial"/>
          <w:color w:val="000000" w:themeColor="text1"/>
          <w:lang w:val="es-ES"/>
        </w:rPr>
        <w:t xml:space="preserve">el Manual de Uso de Análisis de Demanda y Oferta del Modelo de Abastecimiento Estratégico señala que su propósito es estudiar «[…] </w:t>
      </w:r>
      <w:r w:rsidRPr="001635C6">
        <w:rPr>
          <w:rFonts w:ascii="Arial" w:hAnsi="Arial" w:eastAsia="Calibri" w:cs="Arial"/>
          <w:color w:val="000000" w:themeColor="text1"/>
        </w:rPr>
        <w:t>cómo ha sido la compra de una categoría a lo largo de los años y dentro de las plataformas Sistema Electrónico de Contratación Pública de la ANCP-CCE (SECOP I, SECOP II y TVEC), qué oferentes existen para esa categoría, qué características tienen y de donde son, bajo qué modalidad de contratación contratan y cuáles entidades han realizado contratos para esa categoría</w:t>
      </w:r>
      <w:r w:rsidRPr="001635C6">
        <w:rPr>
          <w:rFonts w:ascii="Arial" w:hAnsi="Arial" w:eastAsia="Calibri" w:cs="Arial"/>
          <w:color w:val="000000" w:themeColor="text1"/>
          <w:lang w:val="es-ES"/>
        </w:rPr>
        <w:t>»</w:t>
      </w:r>
      <w:r w:rsidRPr="001635C6">
        <w:rPr>
          <w:rStyle w:val="Refdenotaalpie"/>
          <w:rFonts w:ascii="Arial" w:hAnsi="Arial" w:eastAsia="Calibri" w:cs="Arial"/>
          <w:color w:val="000000" w:themeColor="text1"/>
          <w:lang w:val="es-ES"/>
        </w:rPr>
        <w:footnoteReference w:id="13"/>
      </w:r>
      <w:r w:rsidRPr="001635C6">
        <w:rPr>
          <w:rFonts w:ascii="Arial" w:hAnsi="Arial" w:eastAsia="Calibri" w:cs="Arial"/>
          <w:color w:val="000000" w:themeColor="text1"/>
          <w:lang w:val="es-ES"/>
        </w:rPr>
        <w:t xml:space="preserve">. En consecuencia, las </w:t>
      </w:r>
      <w:r w:rsidRPr="001635C6">
        <w:rPr>
          <w:rFonts w:ascii="Arial" w:hAnsi="Arial" w:eastAsia="Calibri" w:cs="Arial"/>
          <w:color w:val="000000" w:themeColor="text1"/>
          <w:lang w:val="es-ES"/>
        </w:rPr>
        <w:lastRenderedPageBreak/>
        <w:t xml:space="preserve">entidades podrán apoyarse en esta herramienta para realizar el respectivo análisis de la oferta e identificar los posibles proveedores. </w:t>
      </w:r>
    </w:p>
    <w:p w:rsidRPr="001635C6" w:rsidR="006D2DC3" w:rsidP="006D2DC3" w:rsidRDefault="006D2DC3" w14:paraId="650C4B4A" w14:textId="77777777">
      <w:pPr>
        <w:spacing w:before="120" w:line="276" w:lineRule="auto"/>
        <w:ind w:firstLine="709"/>
        <w:jc w:val="both"/>
        <w:rPr>
          <w:rFonts w:ascii="Arial" w:hAnsi="Arial" w:eastAsia="Arial" w:cs="Arial"/>
          <w:color w:val="000000"/>
          <w:lang w:val="es-ES_tradnl"/>
        </w:rPr>
      </w:pPr>
      <w:r w:rsidRPr="001635C6">
        <w:rPr>
          <w:rFonts w:ascii="Arial" w:hAnsi="Arial" w:eastAsia="Arial" w:cs="Arial"/>
          <w:color w:val="000000"/>
          <w:lang w:val="es-ES_tradnl"/>
        </w:rPr>
        <w:t>En este sentido, para efectos de lo señalado en el inciso cuarto del artículo 2.2.1.2.4.2.15</w:t>
      </w:r>
      <w:r w:rsidRPr="001635C6">
        <w:rPr>
          <w:rFonts w:ascii="Arial" w:hAnsi="Arial" w:eastAsia="Arial" w:cs="Arial"/>
          <w:b/>
          <w:bCs/>
          <w:color w:val="000000"/>
          <w:lang w:val="es-ES_tradnl"/>
        </w:rPr>
        <w:t xml:space="preserve"> </w:t>
      </w:r>
      <w:r w:rsidRPr="001635C6">
        <w:rPr>
          <w:rFonts w:ascii="Arial" w:hAnsi="Arial" w:eastAsia="Arial" w:cs="Arial"/>
          <w:bCs/>
          <w:color w:val="000000"/>
          <w:lang w:val="es-ES_tradnl"/>
        </w:rPr>
        <w:t>del Decreto 1082 del 2015</w:t>
      </w:r>
      <w:r w:rsidRPr="001635C6">
        <w:rPr>
          <w:rFonts w:ascii="Arial" w:hAnsi="Arial" w:eastAsia="Arial" w:cs="Arial"/>
          <w:color w:val="000000"/>
          <w:lang w:val="es-ES_tradnl"/>
        </w:rPr>
        <w:t xml:space="preserve">, las entidades podrán utilizar todas las bases de datos e información disponible en los distintos sistemas de información con la finalidad de identificar los posibles proveedores en el proceso de contratación que adelanten. Dada la novedad en la regulación de los emprendimientos y empresas de mujeres en la Ley 2069 de 2020 y el Decreto 1860 de 2021, se recomienda obtener información directa de las </w:t>
      </w:r>
      <w:proofErr w:type="gramStart"/>
      <w:r w:rsidRPr="001635C6">
        <w:rPr>
          <w:rFonts w:ascii="Arial" w:hAnsi="Arial" w:eastAsia="Arial" w:cs="Arial"/>
          <w:color w:val="000000"/>
          <w:lang w:val="es-ES_tradnl"/>
        </w:rPr>
        <w:t>diferente instancias institucionales</w:t>
      </w:r>
      <w:proofErr w:type="gramEnd"/>
      <w:r w:rsidRPr="001635C6">
        <w:rPr>
          <w:rFonts w:ascii="Arial" w:hAnsi="Arial" w:eastAsia="Arial" w:cs="Arial"/>
          <w:color w:val="000000"/>
          <w:lang w:val="es-ES_tradnl"/>
        </w:rPr>
        <w:t xml:space="preserve"> como la Superintendencia de Sociedades, Ministerio de Industria, Comercio y Turismo, instituciones gremiales, Confecámaras, DANE, etc., de las cuales se puede extraer información concreta en relación con la existencia de emprendimientos y empresas de mujeres. Asimismo, podría recolectarse la información en la solicitud de cotizaciones que se realice a las diferentes empresas o mediante solicitudes de información directa</w:t>
      </w:r>
      <w:r w:rsidRPr="001635C6">
        <w:rPr>
          <w:rFonts w:ascii="Arial" w:hAnsi="Arial" w:eastAsia="Arial" w:cs="Arial"/>
          <w:color w:val="000000"/>
          <w:lang w:val="es-ES"/>
        </w:rPr>
        <w:t>, mesas de trabajo con proveedores, encuestas, entre otros</w:t>
      </w:r>
      <w:r w:rsidRPr="001635C6">
        <w:rPr>
          <w:rFonts w:ascii="Arial" w:hAnsi="Arial" w:eastAsia="Arial" w:cs="Arial"/>
          <w:color w:val="000000"/>
          <w:lang w:val="es-ES_tradnl"/>
        </w:rPr>
        <w:t xml:space="preserve"> métodos de recolección de información que permita determinar la existencia en el mercado respectivo de emprendimientos y empresas de mujeres. </w:t>
      </w:r>
    </w:p>
    <w:p w:rsidRPr="001635C6" w:rsidR="006D2DC3" w:rsidP="006D2DC3" w:rsidRDefault="006D2DC3" w14:paraId="6046F4F4" w14:textId="7354CF9E">
      <w:pPr>
        <w:spacing w:before="120" w:line="276" w:lineRule="auto"/>
        <w:ind w:firstLine="709"/>
        <w:jc w:val="both"/>
        <w:rPr>
          <w:rFonts w:ascii="Arial" w:hAnsi="Arial" w:eastAsia="Arial" w:cs="Arial"/>
          <w:bCs/>
          <w:color w:val="000000"/>
        </w:rPr>
      </w:pPr>
      <w:bookmarkStart w:name="_Hlk106704759" w:id="7"/>
      <w:r w:rsidRPr="001635C6">
        <w:rPr>
          <w:rFonts w:ascii="Arial" w:hAnsi="Arial" w:eastAsia="Arial" w:cs="Arial"/>
          <w:bCs/>
          <w:color w:val="000000"/>
        </w:rPr>
        <w:t>Cabe resaltar que fue el mismo legislador quien otorgó ciertas condiciones más beneficiosas a los emprendimiento y empresas de mujeres, con la finalidad de propiciar su inclusión y participación en el mercado de compras públicas. Además, la ley y el decreto reglamentario otorgan a la entidades estatales cierto margen de discrecionalidad para la definición de los criterios diferenciales en los pliegos de condiciones o documentos equivalentes con la finalidad de promover y facilitar la participación de los emprendimiento y empresas de mujeres, facultad que debe ejercerse en forma razonable y debidamente soportada por parte de las entidades estatales cumpliendo los requisitos y finalidades de la ley y, particularmente, del reglamento que desarrolló su contenido.</w:t>
      </w:r>
      <w:r w:rsidRPr="001635C6">
        <w:rPr>
          <w:rFonts w:ascii="Arial" w:hAnsi="Arial" w:eastAsia="Arial" w:cs="Arial"/>
          <w:bCs/>
          <w:color w:val="000000"/>
          <w:lang w:val="es-ES"/>
        </w:rPr>
        <w:t xml:space="preserve"> De esta manera, la entidad podrá determinar criterios objetivos dentro del abanico de posibilidades establecidas, </w:t>
      </w:r>
      <w:r w:rsidR="008B0F45">
        <w:rPr>
          <w:rFonts w:ascii="Arial" w:hAnsi="Arial" w:eastAsia="Arial" w:cs="Arial"/>
          <w:bCs/>
          <w:color w:val="000000"/>
          <w:lang w:val="es-ES"/>
        </w:rPr>
        <w:t xml:space="preserve">mediante </w:t>
      </w:r>
      <w:r w:rsidRPr="001635C6">
        <w:rPr>
          <w:rFonts w:ascii="Arial" w:hAnsi="Arial" w:eastAsia="Arial" w:cs="Arial"/>
          <w:bCs/>
          <w:color w:val="000000"/>
          <w:lang w:val="es-ES"/>
        </w:rPr>
        <w:t>el cual se promueve la inclusión de este grupo de proponentes en el sistema de compras públicas, sin sacrificar la certeza por parte de las entidades estatales de que los proponentes habilitados con las calidades de emprendimientos o empresas de mujeres tienen el conocimiento y la experticia suficientes para ejecutar los objetos contractuales.</w:t>
      </w:r>
    </w:p>
    <w:bookmarkEnd w:id="7"/>
    <w:p w:rsidRPr="001635C6" w:rsidR="004C12BE" w:rsidP="005619B5" w:rsidRDefault="006D2DC3" w14:paraId="30C34DAC" w14:textId="2E507DB9">
      <w:pPr>
        <w:spacing w:before="120" w:line="276" w:lineRule="auto"/>
        <w:ind w:firstLine="709"/>
        <w:jc w:val="both"/>
        <w:rPr>
          <w:rFonts w:ascii="Arial" w:hAnsi="Arial" w:eastAsia="Arial" w:cs="Arial"/>
          <w:color w:val="000000"/>
        </w:rPr>
      </w:pPr>
      <w:r w:rsidRPr="001635C6">
        <w:rPr>
          <w:rFonts w:ascii="Arial" w:hAnsi="Arial" w:eastAsia="Arial" w:cs="Arial"/>
          <w:color w:val="000000"/>
        </w:rPr>
        <w:t xml:space="preserve">En este contexto, las entidades públicas son las encargadas de realizar el análisis del sector respecto a los emprendimientos o empresas de mujeres en el mercado de la compra pública, de acuerdo con el artículo 2.2.1.2.4.2.15 del Decreto 1082 de 2015. Asimismo, el análisis del sector implica un estudio de la oferta, lo que permite identificar qué proveedores existen en el mercado y cómo intervienen en la cadena de producción, comercialización y distribución de los bienes, obras o servicios. De esta manera, la entidad podrá apoyarse en los datos de los distintos sistemas de información, de la que se obtenga directamente de los proveedores, así como de la información que han recopilado diferentes entidades oficiales.  </w:t>
      </w:r>
    </w:p>
    <w:p w:rsidRPr="00C74AB2" w:rsidR="00D7149D" w:rsidP="00D7149D" w:rsidRDefault="00D7149D" w14:paraId="199093E3" w14:textId="77777777">
      <w:pPr>
        <w:spacing w:after="0" w:line="276" w:lineRule="auto"/>
        <w:ind w:firstLine="708"/>
        <w:jc w:val="both"/>
        <w:rPr>
          <w:rFonts w:ascii="Arial" w:hAnsi="Arial" w:eastAsia="Times New Roman" w:cs="Arial"/>
          <w:color w:val="000000" w:themeColor="text1"/>
          <w:highlight w:val="yellow"/>
          <w:lang w:eastAsia="es-MX"/>
        </w:rPr>
      </w:pPr>
    </w:p>
    <w:p w:rsidRPr="001635C6" w:rsidR="00D7149D" w:rsidP="00D7149D" w:rsidRDefault="00D7149D" w14:paraId="3FDCC57C" w14:textId="77777777">
      <w:pPr>
        <w:spacing w:after="0" w:line="276" w:lineRule="auto"/>
        <w:jc w:val="both"/>
        <w:rPr>
          <w:rFonts w:ascii="Arial" w:hAnsi="Arial" w:eastAsia="Calibri" w:cs="Arial"/>
          <w:b/>
        </w:rPr>
      </w:pPr>
      <w:r w:rsidRPr="001635C6">
        <w:rPr>
          <w:rFonts w:ascii="Arial" w:hAnsi="Arial" w:eastAsia="Calibri" w:cs="Arial"/>
          <w:b/>
        </w:rPr>
        <w:t xml:space="preserve">3. Respuesta </w:t>
      </w:r>
    </w:p>
    <w:p w:rsidRPr="00282C0E" w:rsidR="00D7149D" w:rsidP="00D7149D" w:rsidRDefault="00D7149D" w14:paraId="139102E3" w14:textId="77777777">
      <w:pPr>
        <w:spacing w:after="0" w:line="276" w:lineRule="auto"/>
        <w:ind w:left="709" w:right="709"/>
        <w:jc w:val="center"/>
        <w:rPr>
          <w:rFonts w:ascii="Arial" w:hAnsi="Arial" w:cs="Arial"/>
          <w:sz w:val="21"/>
          <w:szCs w:val="21"/>
          <w:highlight w:val="yellow"/>
        </w:rPr>
      </w:pPr>
    </w:p>
    <w:p w:rsidRPr="00707F66" w:rsidR="005619B5" w:rsidP="001635C6" w:rsidRDefault="005619B5" w14:paraId="0747D601" w14:textId="1E301099">
      <w:pPr>
        <w:autoSpaceDE w:val="0"/>
        <w:autoSpaceDN w:val="0"/>
        <w:adjustRightInd w:val="0"/>
        <w:spacing w:after="0" w:line="240" w:lineRule="auto"/>
        <w:ind w:left="709" w:right="709"/>
        <w:jc w:val="both"/>
        <w:rPr>
          <w:rFonts w:ascii="Arial" w:hAnsi="Arial" w:cs="Arial"/>
          <w:lang w:val="es-MX"/>
        </w:rPr>
      </w:pPr>
      <w:r w:rsidRPr="00707F66">
        <w:rPr>
          <w:rFonts w:ascii="Arial" w:hAnsi="Arial" w:cs="Arial"/>
        </w:rPr>
        <w:t>«</w:t>
      </w:r>
      <w:r w:rsidRPr="00707F66">
        <w:rPr>
          <w:rFonts w:ascii="Arial" w:hAnsi="Arial" w:cs="Arial"/>
          <w:lang w:val="es-MX"/>
        </w:rPr>
        <w:t>De acuerdo al articulo 2.2.1.2.4.2.14 Definición de emprendimientos y empresas de</w:t>
      </w:r>
      <w:r w:rsidRPr="00707F66">
        <w:rPr>
          <w:rFonts w:ascii="Arial" w:hAnsi="Arial" w:cs="Arial"/>
          <w:sz w:val="21"/>
          <w:szCs w:val="21"/>
          <w:lang w:val="es-MX"/>
        </w:rPr>
        <w:t xml:space="preserve"> </w:t>
      </w:r>
      <w:r w:rsidRPr="00707F66">
        <w:rPr>
          <w:rFonts w:ascii="Arial" w:hAnsi="Arial" w:cs="Arial"/>
          <w:lang w:val="es-MX"/>
        </w:rPr>
        <w:t>mujeres del decreto 1860 de 2021 establece unos parámetros para participar en procesos de contratación publica y así de acuerdo al articulo 2.2.1.2.4.2.15. Criterios diferenciales para emprendimientos y empresas de mujeres en el sistema de compras públicas "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en estos artículos no indican cual es el procedimiento a seguir para la persona Natural Hombre y así obtener ese puntaje, recordemos que profesiones como la Ingenieria Civil esta catalogada como liberal motivo por el cual no se esta obligado a tener registro mercantil, como lo es mi caso el cual soy contratista de obras publicas del estado, contratos que obtengo después de participar de forma clara en procesos de selección, solicito aclaración de como proceder para obtener este puntaje ya que no indica el procedimiento a seguir PARA PROPONENTES PERSONA NATURAL lo cual esta generando que los ofertantes bajo mis mismas condiciones quedemos excluidos de presentarnos de procesos en entidades oficiales</w:t>
      </w:r>
      <w:r w:rsidRPr="00707F66">
        <w:rPr>
          <w:rFonts w:ascii="Arial" w:hAnsi="Arial" w:cs="Arial"/>
        </w:rPr>
        <w:t>»</w:t>
      </w:r>
      <w:r w:rsidR="00D13BC1">
        <w:rPr>
          <w:rFonts w:ascii="Arial" w:hAnsi="Arial" w:cs="Arial"/>
        </w:rPr>
        <w:t>.</w:t>
      </w:r>
    </w:p>
    <w:p w:rsidR="00B37435" w:rsidP="0087110F" w:rsidRDefault="00B37435" w14:paraId="6D6FC591" w14:textId="77777777">
      <w:pPr>
        <w:spacing w:after="120" w:line="276" w:lineRule="auto"/>
        <w:jc w:val="both"/>
        <w:rPr>
          <w:rFonts w:ascii="Arial" w:hAnsi="Arial" w:eastAsia="Times New Roman" w:cs="Arial"/>
          <w:szCs w:val="24"/>
          <w:highlight w:val="yellow"/>
          <w:lang w:eastAsia="es-MX"/>
        </w:rPr>
      </w:pPr>
    </w:p>
    <w:p w:rsidRPr="001635C6" w:rsidR="00196D8A" w:rsidP="001635C6" w:rsidRDefault="006C53F8" w14:paraId="5096F5CB" w14:textId="23DDB1EA">
      <w:pPr>
        <w:spacing w:after="120" w:line="276" w:lineRule="auto"/>
        <w:jc w:val="both"/>
        <w:rPr>
          <w:rFonts w:ascii="Arial" w:hAnsi="Arial" w:cs="Arial"/>
          <w:shd w:val="clear" w:color="auto" w:fill="FFFFFF"/>
          <w:lang w:val="es-ES" w:eastAsia="es-CO"/>
        </w:rPr>
      </w:pPr>
      <w:r w:rsidRPr="001635C6">
        <w:rPr>
          <w:rFonts w:ascii="Arial" w:hAnsi="Arial" w:eastAsia="Times New Roman" w:cs="Arial"/>
          <w:lang w:eastAsia="es-MX"/>
        </w:rPr>
        <w:t xml:space="preserve">De conformidad con lo expuesto, </w:t>
      </w:r>
      <w:r w:rsidRPr="001635C6" w:rsidR="00196D8A">
        <w:rPr>
          <w:rFonts w:ascii="Arial" w:hAnsi="Arial" w:cs="Arial"/>
          <w:lang w:val="es-ES" w:eastAsia="es-CO"/>
        </w:rPr>
        <w:t xml:space="preserve">el artículo 32 de la Ley 2069 de 2021 regula el deber de las Entidades Estatales de incluir </w:t>
      </w:r>
      <w:r w:rsidRPr="001635C6" w:rsidR="00196D8A">
        <w:rPr>
          <w:rFonts w:ascii="Arial" w:hAnsi="Arial" w:cs="Arial"/>
          <w:shd w:val="clear" w:color="auto" w:fill="FFFFFF"/>
          <w:lang w:val="es-ES" w:eastAsia="es-CO"/>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w:t>
      </w:r>
      <w:r w:rsidRPr="001635C6" w:rsidR="00196D8A">
        <w:rPr>
          <w:rFonts w:ascii="Arial" w:hAnsi="Arial" w:cs="Arial"/>
          <w:lang w:val="es-ES" w:eastAsia="es-CO"/>
        </w:rPr>
        <w:t xml:space="preserve">Es necesario destacar que las medidas establecidas en la Ley 2069 de 2021, tienen como finalidad </w:t>
      </w:r>
      <w:r w:rsidRPr="001635C6" w:rsidR="00196D8A">
        <w:rPr>
          <w:rFonts w:ascii="Arial" w:hAnsi="Arial" w:cs="Arial"/>
          <w:shd w:val="clear" w:color="auto" w:fill="FFFFFF"/>
          <w:lang w:val="es-ES" w:eastAsia="es-CO"/>
        </w:rPr>
        <w:t xml:space="preserve">la participación de emprendimientos y empresas de mujeres en el sistema de compras públicas. </w:t>
      </w:r>
    </w:p>
    <w:p w:rsidRPr="001635C6" w:rsidR="001A116F" w:rsidP="00D752D2" w:rsidRDefault="00196D8A" w14:paraId="44BD61F7" w14:textId="5C4F61A4">
      <w:pPr>
        <w:spacing w:after="120" w:line="276" w:lineRule="auto"/>
        <w:ind w:firstLine="708"/>
        <w:jc w:val="both"/>
        <w:rPr>
          <w:rFonts w:ascii="Arial" w:hAnsi="Arial" w:cs="Arial"/>
          <w:lang w:val="es-ES" w:eastAsia="es-CO"/>
        </w:rPr>
      </w:pPr>
      <w:r w:rsidRPr="001635C6">
        <w:rPr>
          <w:rFonts w:ascii="Arial" w:hAnsi="Arial" w:cs="Arial"/>
          <w:lang w:val="es-ES" w:eastAsia="es-CO"/>
        </w:rPr>
        <w:t xml:space="preserve">En desarrollo del parágrafo del artículo 32 de la Ley 2069 de 2020, el Decreto 1860 de 2021 adicionó el artículo 2.2.1.2.4.2.14 al Decreto 1082 de 2015. Esta norma establece las condiciones y requisitos para acreditar la condición de empresas y emprendimientos de mujeres a las que les aplican los criterios diferenciales. </w:t>
      </w:r>
      <w:r w:rsidRPr="001635C6" w:rsidR="003062A4">
        <w:rPr>
          <w:rFonts w:ascii="Arial" w:hAnsi="Arial" w:cs="Arial"/>
          <w:lang w:val="es-ES" w:eastAsia="es-CO"/>
        </w:rPr>
        <w:t xml:space="preserve">Para estos efectos, cada uno de los cuatro numerales de la norma establece unas condiciones alternativas que definen los emprendimientos y empresas de mujeres, a efectos de aplicar los </w:t>
      </w:r>
      <w:r w:rsidR="00240A00">
        <w:rPr>
          <w:rFonts w:ascii="Arial" w:hAnsi="Arial" w:cs="Arial"/>
          <w:lang w:val="es-ES" w:eastAsia="es-CO"/>
        </w:rPr>
        <w:t>requisitos</w:t>
      </w:r>
      <w:r w:rsidRPr="001635C6" w:rsidR="00240A00">
        <w:rPr>
          <w:rFonts w:ascii="Arial" w:hAnsi="Arial" w:cs="Arial"/>
          <w:lang w:val="es-ES" w:eastAsia="es-CO"/>
        </w:rPr>
        <w:t xml:space="preserve"> </w:t>
      </w:r>
      <w:r w:rsidRPr="001635C6" w:rsidR="003062A4">
        <w:rPr>
          <w:rFonts w:ascii="Arial" w:hAnsi="Arial" w:cs="Arial"/>
          <w:lang w:val="es-ES" w:eastAsia="es-CO"/>
        </w:rPr>
        <w:t>diferenciales</w:t>
      </w:r>
      <w:r w:rsidR="00240A00">
        <w:rPr>
          <w:rFonts w:ascii="Arial" w:hAnsi="Arial" w:cs="Arial"/>
          <w:lang w:val="es-ES" w:eastAsia="es-CO"/>
        </w:rPr>
        <w:t xml:space="preserve"> y puntajes adicionales</w:t>
      </w:r>
      <w:r w:rsidRPr="001635C6" w:rsidR="003062A4">
        <w:rPr>
          <w:rFonts w:ascii="Arial" w:hAnsi="Arial" w:cs="Arial"/>
          <w:lang w:val="es-ES" w:eastAsia="es-CO"/>
        </w:rPr>
        <w:t>.</w:t>
      </w:r>
    </w:p>
    <w:p w:rsidRPr="001635C6" w:rsidR="004E7524" w:rsidP="004E7524" w:rsidRDefault="00240A00" w14:paraId="40F549B0" w14:textId="62221191">
      <w:pPr>
        <w:spacing w:before="120" w:line="276" w:lineRule="auto"/>
        <w:ind w:firstLine="708"/>
        <w:jc w:val="both"/>
        <w:rPr>
          <w:rFonts w:ascii="Arial" w:hAnsi="Arial" w:cs="Arial"/>
          <w:bCs/>
          <w:lang w:val="es-ES_tradnl" w:eastAsia="es-CO"/>
        </w:rPr>
      </w:pPr>
      <w:r>
        <w:rPr>
          <w:rFonts w:ascii="Arial" w:hAnsi="Arial" w:cs="Arial"/>
          <w:bCs/>
          <w:lang w:val="es-ES" w:eastAsia="es-CO"/>
        </w:rPr>
        <w:t>De acuerdo con la disposición anterior, s</w:t>
      </w:r>
      <w:r w:rsidRPr="001635C6" w:rsidR="004E7524">
        <w:rPr>
          <w:rFonts w:ascii="Arial" w:hAnsi="Arial" w:cs="Arial"/>
          <w:bCs/>
          <w:lang w:val="es-ES_tradnl" w:eastAsia="es-CO"/>
        </w:rPr>
        <w:t xml:space="preserve">i es persona natural, debe acreditar su condición de mujer y el </w:t>
      </w:r>
      <w:r w:rsidRPr="001635C6" w:rsidR="004E7524">
        <w:rPr>
          <w:rFonts w:ascii="Arial" w:hAnsi="Arial" w:cs="Arial"/>
          <w:bCs/>
          <w:lang w:eastAsia="es-CO"/>
        </w:rPr>
        <w:t>ejercicio de actividades comerciales a través de un establecimiento de comercio durante al menos el último año anterior a la fecha de cierre del proceso de selección.</w:t>
      </w:r>
    </w:p>
    <w:p w:rsidRPr="001635C6" w:rsidR="003062A4" w:rsidP="001A116F" w:rsidRDefault="001A116F" w14:paraId="3145E09A" w14:textId="1B8CC07C">
      <w:pPr>
        <w:spacing w:after="120" w:line="276" w:lineRule="auto"/>
        <w:ind w:firstLine="708"/>
        <w:jc w:val="both"/>
        <w:rPr>
          <w:rFonts w:ascii="Arial" w:hAnsi="Arial" w:cs="Arial"/>
          <w:lang w:val="es-ES" w:eastAsia="es-CO"/>
        </w:rPr>
      </w:pPr>
      <w:r w:rsidRPr="001635C6">
        <w:rPr>
          <w:rFonts w:ascii="Arial" w:hAnsi="Arial" w:cs="Arial"/>
          <w:lang w:val="es-ES" w:eastAsia="es-CO"/>
        </w:rPr>
        <w:lastRenderedPageBreak/>
        <w:t>Por tanto, estos criterios únicamente podrán aplicarse al proponente que demuestre que cumple con alguno de los supuestos señalados en el artículo 2.2.1.2.4.2.14 del Decreto 1082 de 2015.</w:t>
      </w:r>
    </w:p>
    <w:p w:rsidRPr="001635C6" w:rsidR="004E7524" w:rsidP="004E7524" w:rsidRDefault="00B37435" w14:paraId="6F400FB6" w14:textId="687405FF">
      <w:pPr>
        <w:spacing w:before="120" w:line="276" w:lineRule="auto"/>
        <w:ind w:firstLine="709"/>
        <w:jc w:val="both"/>
        <w:rPr>
          <w:rFonts w:ascii="Arial" w:hAnsi="Arial" w:eastAsia="Arial" w:cs="Arial"/>
          <w:bCs/>
          <w:color w:val="000000"/>
          <w:lang w:val="es-ES"/>
        </w:rPr>
      </w:pPr>
      <w:r w:rsidRPr="001635C6">
        <w:rPr>
          <w:rFonts w:ascii="Arial" w:hAnsi="Arial" w:eastAsia="Arial" w:cs="Arial"/>
          <w:bCs/>
          <w:color w:val="000000"/>
          <w:lang w:val="es-ES"/>
        </w:rPr>
        <w:t>Del mismo modo, también se regula un puntaje adicional de hasta el 0,25% del valor total de los puntos establecidos en los pliegos de condiciones o documentos equivalentes, para los proponentes que acrediten alguno de los supuestos del artículo 2.2.1.2.4.2.14. De acuerdo con lo anterior, los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w:t>
      </w:r>
      <w:r w:rsidR="00240A00">
        <w:rPr>
          <w:rFonts w:ascii="Arial" w:hAnsi="Arial" w:eastAsia="Arial" w:cs="Arial"/>
          <w:bCs/>
          <w:color w:val="000000"/>
          <w:lang w:val="es-ES"/>
        </w:rPr>
        <w:t xml:space="preserve"> y, por tanto, no se podrán beneficiar de los requisitos diferenciales y el puntaje adicional. </w:t>
      </w:r>
    </w:p>
    <w:p w:rsidRPr="001635C6" w:rsidR="00D7149D" w:rsidP="00D7149D" w:rsidRDefault="00D7149D" w14:paraId="2D96DF6A" w14:textId="15F569EE">
      <w:pPr>
        <w:spacing w:after="0" w:line="276" w:lineRule="auto"/>
        <w:jc w:val="both"/>
        <w:rPr>
          <w:rFonts w:ascii="Arial" w:hAnsi="Arial" w:eastAsia="Calibri" w:cs="Arial"/>
          <w:color w:val="000000"/>
          <w:lang w:val="es-ES_tradnl"/>
        </w:rPr>
      </w:pPr>
      <w:r w:rsidRPr="001635C6">
        <w:rPr>
          <w:rFonts w:ascii="Arial" w:hAnsi="Arial" w:eastAsia="Calibri" w:cs="Arial"/>
          <w:color w:val="000000"/>
          <w:lang w:val="es-ES_tradnl"/>
        </w:rPr>
        <w:t>Este concepto tiene el alcance previsto en el artículo 28 del Código de Procedimiento Administrativo y de lo Contencioso Administrativo.</w:t>
      </w:r>
    </w:p>
    <w:p w:rsidRPr="0087110F" w:rsidR="00D7149D" w:rsidP="00D7149D" w:rsidRDefault="00D7149D" w14:paraId="1005A6C6" w14:textId="77777777">
      <w:pPr>
        <w:spacing w:after="0" w:line="276" w:lineRule="auto"/>
        <w:jc w:val="both"/>
        <w:rPr>
          <w:rFonts w:ascii="Arial" w:hAnsi="Arial" w:eastAsia="Times New Roman" w:cs="Arial"/>
          <w:color w:val="000000"/>
          <w:lang w:val="es-ES_tradnl" w:eastAsia="es-CO"/>
        </w:rPr>
      </w:pPr>
    </w:p>
    <w:bookmarkEnd w:id="0"/>
    <w:p w:rsidRPr="00C479B0" w:rsidR="006C53F8" w:rsidP="006C53F8" w:rsidRDefault="006C53F8" w14:paraId="150BE0F2" w14:textId="77777777">
      <w:pPr>
        <w:rPr>
          <w:rFonts w:ascii="Arial" w:hAnsi="Arial" w:eastAsia="Arial" w:cs="Arial"/>
          <w:color w:val="000000"/>
        </w:rPr>
      </w:pPr>
      <w:r w:rsidRPr="5C7C56B9" w:rsidR="006C53F8">
        <w:rPr>
          <w:rFonts w:ascii="Arial" w:hAnsi="Arial" w:eastAsia="Arial" w:cs="Arial"/>
          <w:color w:val="000000" w:themeColor="text1" w:themeTint="FF" w:themeShade="FF"/>
        </w:rPr>
        <w:t>Atentamente,</w:t>
      </w:r>
    </w:p>
    <w:p w:rsidRPr="00AA12BE" w:rsidR="00C74AB2" w:rsidP="5C7C56B9" w:rsidRDefault="00C74AB2" w14:paraId="65231A5B" w14:textId="2E02690C">
      <w:pPr>
        <w:pStyle w:val="Normal"/>
        <w:jc w:val="center"/>
        <w:rPr>
          <w:lang w:eastAsia="es-MX"/>
        </w:rPr>
      </w:pPr>
      <w:r w:rsidR="5C7C56B9">
        <w:drawing>
          <wp:inline wp14:editId="5C7C56B9" wp14:anchorId="1F8684EE">
            <wp:extent cx="2533650" cy="990600"/>
            <wp:effectExtent l="0" t="0" r="0" b="0"/>
            <wp:docPr id="1165456004" name="" descr="Texto, Carta&#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862d49c2ae7b4c70">
                      <a:extLst>
                        <a:ext xmlns:a="http://schemas.openxmlformats.org/drawingml/2006/main" uri="{28A0092B-C50C-407E-A947-70E740481C1C}">
                          <a14:useLocalDpi val="0"/>
                        </a:ext>
                      </a:extLst>
                    </a:blip>
                    <a:stretch>
                      <a:fillRect/>
                    </a:stretch>
                  </pic:blipFill>
                  <pic:spPr>
                    <a:xfrm>
                      <a:off x="0" y="0"/>
                      <a:ext cx="2533650" cy="990600"/>
                    </a:xfrm>
                    <a:prstGeom prst="rect">
                      <a:avLst/>
                    </a:prstGeom>
                  </pic:spPr>
                </pic:pic>
              </a:graphicData>
            </a:graphic>
          </wp:inline>
        </w:drawing>
      </w:r>
    </w:p>
    <w:p w:rsidRPr="00AA12BE" w:rsidR="00C74AB2" w:rsidP="00C74AB2" w:rsidRDefault="00C74AB2" w14:paraId="0EB70DD9" w14:textId="77777777">
      <w:pPr>
        <w:spacing w:line="276" w:lineRule="auto"/>
        <w:jc w:val="both"/>
        <w:rPr>
          <w:rFonts w:ascii="Arial" w:hAnsi="Arial" w:cs="Arial"/>
          <w:lang w:val="es-ES_tradnl" w:eastAsia="es-CO"/>
        </w:rPr>
      </w:pPr>
    </w:p>
    <w:tbl>
      <w:tblPr>
        <w:tblStyle w:val="Tablaconcuadrcula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A12BE" w:rsidR="00C74AB2" w:rsidTr="004279EC" w14:paraId="4F0755DE" w14:textId="77777777">
        <w:trPr>
          <w:trHeight w:val="315"/>
        </w:trPr>
        <w:tc>
          <w:tcPr>
            <w:tcW w:w="812" w:type="dxa"/>
            <w:vAlign w:val="center"/>
            <w:hideMark/>
          </w:tcPr>
          <w:p w:rsidRPr="00AA12BE" w:rsidR="00C74AB2" w:rsidP="004279EC" w:rsidRDefault="00C74AB2" w14:paraId="1F9AE9D1" w14:textId="77777777">
            <w:pPr>
              <w:rPr>
                <w:rFonts w:ascii="Arial" w:hAnsi="Arial" w:cs="Arial"/>
                <w:sz w:val="16"/>
                <w:szCs w:val="16"/>
                <w:lang w:val="es-ES_tradnl" w:eastAsia="es-ES"/>
              </w:rPr>
            </w:pPr>
            <w:r w:rsidRPr="00AA12BE">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AA12BE" w:rsidR="00C74AB2" w:rsidP="004279EC" w:rsidRDefault="00C74AB2" w14:paraId="1508C24E" w14:textId="77777777">
            <w:pPr>
              <w:rPr>
                <w:rFonts w:ascii="Arial" w:hAnsi="Arial" w:cs="Arial"/>
                <w:sz w:val="16"/>
                <w:szCs w:val="16"/>
                <w:lang w:val="es-ES_tradnl" w:eastAsia="es-ES"/>
              </w:rPr>
            </w:pPr>
            <w:r w:rsidRPr="00AA12BE">
              <w:rPr>
                <w:rFonts w:ascii="Arial" w:hAnsi="Arial" w:cs="Arial"/>
                <w:sz w:val="16"/>
                <w:szCs w:val="16"/>
                <w:lang w:val="es-ES_tradnl" w:eastAsia="es-ES"/>
              </w:rPr>
              <w:t xml:space="preserve">Álvaro </w:t>
            </w:r>
            <w:proofErr w:type="spellStart"/>
            <w:r w:rsidRPr="00AA12BE">
              <w:rPr>
                <w:rFonts w:ascii="Arial" w:hAnsi="Arial" w:cs="Arial"/>
                <w:sz w:val="16"/>
                <w:szCs w:val="16"/>
                <w:lang w:val="es-ES_tradnl" w:eastAsia="es-ES"/>
              </w:rPr>
              <w:t>Namén</w:t>
            </w:r>
            <w:proofErr w:type="spellEnd"/>
            <w:r w:rsidRPr="00AA12BE">
              <w:rPr>
                <w:rFonts w:ascii="Arial" w:hAnsi="Arial" w:cs="Arial"/>
                <w:sz w:val="16"/>
                <w:szCs w:val="16"/>
                <w:lang w:val="es-ES_tradnl" w:eastAsia="es-ES"/>
              </w:rPr>
              <w:t xml:space="preserve"> Vargas </w:t>
            </w:r>
          </w:p>
          <w:p w:rsidRPr="00AA12BE" w:rsidR="00C74AB2" w:rsidP="004279EC" w:rsidRDefault="00C74AB2" w14:paraId="0C12F9D7" w14:textId="77777777">
            <w:pPr>
              <w:rPr>
                <w:rFonts w:ascii="Arial" w:hAnsi="Arial" w:cs="Arial"/>
                <w:sz w:val="16"/>
                <w:szCs w:val="16"/>
                <w:lang w:val="es-ES_tradnl" w:eastAsia="es-ES"/>
              </w:rPr>
            </w:pPr>
            <w:r w:rsidRPr="00AA12BE">
              <w:rPr>
                <w:rFonts w:ascii="Arial" w:hAnsi="Arial" w:cs="Arial"/>
                <w:sz w:val="16"/>
                <w:szCs w:val="16"/>
                <w:lang w:val="es-ES_tradnl" w:eastAsia="es-ES"/>
              </w:rPr>
              <w:t>Contratista de la Subdirección de Gestión Contractual</w:t>
            </w:r>
          </w:p>
        </w:tc>
      </w:tr>
      <w:tr w:rsidRPr="00AA12BE" w:rsidR="00C74AB2" w:rsidTr="004279EC" w14:paraId="3E7DCD94" w14:textId="77777777">
        <w:trPr>
          <w:trHeight w:val="330"/>
        </w:trPr>
        <w:tc>
          <w:tcPr>
            <w:tcW w:w="812" w:type="dxa"/>
            <w:vAlign w:val="center"/>
            <w:hideMark/>
          </w:tcPr>
          <w:p w:rsidRPr="00AA12BE" w:rsidR="00C74AB2" w:rsidP="004279EC" w:rsidRDefault="00C74AB2" w14:paraId="6775F84B" w14:textId="77777777">
            <w:pPr>
              <w:rPr>
                <w:rFonts w:ascii="Arial" w:hAnsi="Arial" w:cs="Arial"/>
                <w:sz w:val="16"/>
                <w:szCs w:val="16"/>
                <w:lang w:val="es-ES_tradnl" w:eastAsia="es-ES"/>
              </w:rPr>
            </w:pPr>
            <w:r w:rsidRPr="00AA12BE">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A06F2" w:rsidR="00C74AB2" w:rsidP="004279EC" w:rsidRDefault="00C74AB2" w14:paraId="33C33C80" w14:textId="77777777">
            <w:r w:rsidRPr="006A06F2">
              <w:rPr>
                <w:rFonts w:ascii="Arial" w:hAnsi="Arial" w:eastAsia="Arial" w:cs="Arial"/>
                <w:color w:val="000000"/>
                <w:sz w:val="16"/>
                <w:szCs w:val="16"/>
              </w:rPr>
              <w:t>Sebastián Ramírez Grisales</w:t>
            </w:r>
          </w:p>
          <w:p w:rsidRPr="00AA12BE" w:rsidR="00C74AB2" w:rsidP="004279EC" w:rsidRDefault="00C74AB2" w14:paraId="63F4B983" w14:textId="77777777">
            <w:pPr>
              <w:rPr>
                <w:rFonts w:ascii="Arial" w:hAnsi="Arial" w:cs="Arial"/>
                <w:sz w:val="16"/>
                <w:szCs w:val="16"/>
                <w:lang w:val="es-ES_tradnl" w:eastAsia="es-ES"/>
              </w:rPr>
            </w:pPr>
            <w:r w:rsidRPr="006A06F2">
              <w:rPr>
                <w:rFonts w:ascii="Arial" w:hAnsi="Arial" w:eastAsia="Arial" w:cs="Arial"/>
                <w:color w:val="000000"/>
                <w:sz w:val="16"/>
                <w:szCs w:val="16"/>
              </w:rPr>
              <w:t>Contratista de la Subdirección de Gestión Contractual</w:t>
            </w:r>
          </w:p>
        </w:tc>
      </w:tr>
      <w:tr w:rsidRPr="000C11A8" w:rsidR="00C74AB2" w:rsidTr="004279EC" w14:paraId="5E1A9CC8" w14:textId="77777777">
        <w:trPr>
          <w:trHeight w:val="300"/>
        </w:trPr>
        <w:tc>
          <w:tcPr>
            <w:tcW w:w="812" w:type="dxa"/>
            <w:vAlign w:val="center"/>
            <w:hideMark/>
          </w:tcPr>
          <w:p w:rsidRPr="00AA12BE" w:rsidR="00C74AB2" w:rsidP="004279EC" w:rsidRDefault="00C74AB2" w14:paraId="7B446B52" w14:textId="77777777">
            <w:pPr>
              <w:rPr>
                <w:rFonts w:ascii="Arial" w:hAnsi="Arial" w:cs="Arial"/>
                <w:sz w:val="16"/>
                <w:szCs w:val="16"/>
                <w:lang w:val="es-ES_tradnl" w:eastAsia="es-ES"/>
              </w:rPr>
            </w:pPr>
            <w:r w:rsidRPr="00AA12BE">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A06F2" w:rsidR="00C74AB2" w:rsidP="004279EC" w:rsidRDefault="00C74AB2" w14:paraId="0AD630B6" w14:textId="77777777">
            <w:r>
              <w:rPr>
                <w:rFonts w:ascii="Arial" w:hAnsi="Arial" w:eastAsia="Arial" w:cs="Arial"/>
                <w:color w:val="000000"/>
                <w:sz w:val="16"/>
                <w:szCs w:val="16"/>
              </w:rPr>
              <w:t>Juan David Marín López</w:t>
            </w:r>
          </w:p>
          <w:p w:rsidRPr="000C11A8" w:rsidR="00C74AB2" w:rsidP="004279EC" w:rsidRDefault="00C74AB2" w14:paraId="56177CC6" w14:textId="77777777">
            <w:pPr>
              <w:rPr>
                <w:rFonts w:ascii="Arial" w:hAnsi="Arial" w:cs="Arial"/>
                <w:sz w:val="16"/>
                <w:szCs w:val="16"/>
                <w:lang w:val="es-ES_tradnl" w:eastAsia="es-ES"/>
              </w:rPr>
            </w:pPr>
            <w:r w:rsidRPr="006A06F2">
              <w:rPr>
                <w:rFonts w:ascii="Arial" w:hAnsi="Arial" w:eastAsia="Arial" w:cs="Arial"/>
                <w:color w:val="000000"/>
                <w:sz w:val="16"/>
                <w:szCs w:val="16"/>
              </w:rPr>
              <w:t xml:space="preserve">Subdirector de Gestión Contractual </w:t>
            </w:r>
            <w:r>
              <w:rPr>
                <w:rFonts w:ascii="Arial" w:hAnsi="Arial" w:eastAsia="Arial" w:cs="Arial"/>
                <w:color w:val="000000"/>
                <w:sz w:val="16"/>
                <w:szCs w:val="16"/>
              </w:rPr>
              <w:t>(E)</w:t>
            </w:r>
          </w:p>
        </w:tc>
      </w:tr>
    </w:tbl>
    <w:p w:rsidR="006C53F8" w:rsidP="006C53F8" w:rsidRDefault="006C53F8" w14:paraId="413F94EE" w14:textId="77777777">
      <w:pPr>
        <w:spacing w:after="0"/>
        <w:rPr>
          <w:rFonts w:ascii="Arial" w:hAnsi="Arial" w:eastAsia="Arial" w:cs="Arial"/>
          <w:b/>
          <w:color w:val="000000"/>
          <w:sz w:val="20"/>
          <w:szCs w:val="20"/>
        </w:rPr>
      </w:pPr>
    </w:p>
    <w:p w:rsidRPr="00583AED" w:rsidR="00583AED" w:rsidP="006C53F8" w:rsidRDefault="00583AED" w14:paraId="1FDF9C63" w14:textId="5DE8E00A">
      <w:pPr>
        <w:spacing w:after="0" w:line="276" w:lineRule="auto"/>
        <w:jc w:val="both"/>
        <w:rPr>
          <w:rFonts w:ascii="Arial" w:hAnsi="Arial" w:cs="Arial"/>
          <w:b/>
          <w:bCs/>
        </w:rPr>
      </w:pPr>
    </w:p>
    <w:sectPr w:rsidRPr="00583AED" w:rsidR="00583AED">
      <w:headerReference w:type="default" r:id="rId12"/>
      <w:footerReference w:type="defaul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3CE" w:rsidP="0018717C" w:rsidRDefault="000643CE" w14:paraId="20E91F24" w14:textId="77777777">
      <w:pPr>
        <w:spacing w:after="0" w:line="240" w:lineRule="auto"/>
      </w:pPr>
      <w:r>
        <w:separator/>
      </w:r>
    </w:p>
  </w:endnote>
  <w:endnote w:type="continuationSeparator" w:id="0">
    <w:p w:rsidR="000643CE" w:rsidP="0018717C" w:rsidRDefault="000643CE" w14:paraId="3772C2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17B7" w:rsidR="00D7149D" w:rsidP="00D7149D" w:rsidRDefault="00D7149D" w14:paraId="2C3A916D"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22</w:t>
    </w:r>
    <w:r w:rsidRPr="00084B97">
      <w:rPr>
        <w:rFonts w:ascii="Arial" w:hAnsi="Arial" w:cs="Arial"/>
        <w:b/>
        <w:bCs/>
        <w:color w:val="7F7F7F" w:themeColor="text1" w:themeTint="80"/>
        <w:sz w:val="16"/>
        <w:szCs w:val="16"/>
      </w:rPr>
      <w:fldChar w:fldCharType="end"/>
    </w:r>
  </w:p>
  <w:p w:rsidR="00D7149D" w:rsidP="00D7149D" w:rsidRDefault="00D7149D" w14:paraId="5DE9C582" w14:textId="77777777">
    <w:pPr>
      <w:pStyle w:val="Piedepgina"/>
      <w:jc w:val="center"/>
      <w:rPr>
        <w:lang w:val="es-ES"/>
      </w:rPr>
    </w:pPr>
    <w:r>
      <w:rPr>
        <w:noProof/>
        <w:lang w:val="en-US"/>
      </w:rPr>
      <w:drawing>
        <wp:inline distT="0" distB="0" distL="0" distR="0" wp14:anchorId="6C4AEDEE" wp14:editId="1196BE46">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D7149D" w:rsidRDefault="00D7149D" w14:paraId="43450C4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3CE" w:rsidP="0018717C" w:rsidRDefault="000643CE" w14:paraId="79AF6799" w14:textId="77777777">
      <w:pPr>
        <w:spacing w:after="0" w:line="240" w:lineRule="auto"/>
      </w:pPr>
      <w:r>
        <w:separator/>
      </w:r>
    </w:p>
  </w:footnote>
  <w:footnote w:type="continuationSeparator" w:id="0">
    <w:p w:rsidR="000643CE" w:rsidP="0018717C" w:rsidRDefault="000643CE" w14:paraId="30063EBC" w14:textId="77777777">
      <w:pPr>
        <w:spacing w:after="0" w:line="240" w:lineRule="auto"/>
      </w:pPr>
      <w:r>
        <w:continuationSeparator/>
      </w:r>
    </w:p>
  </w:footnote>
  <w:footnote w:id="1">
    <w:p w:rsidRPr="00B1493D" w:rsidR="004C12BE" w:rsidP="004C12BE" w:rsidRDefault="004C12BE" w14:paraId="62C7877C" w14:textId="24230D5F">
      <w:pPr>
        <w:pStyle w:val="Textonotapie"/>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2 al 29.</w:t>
      </w:r>
    </w:p>
  </w:footnote>
  <w:footnote w:id="2">
    <w:p w:rsidRPr="00B1493D" w:rsidR="004C12BE" w:rsidP="004C12BE" w:rsidRDefault="004C12BE" w14:paraId="1BA590BE" w14:textId="77777777">
      <w:pPr>
        <w:pStyle w:val="Textonotapie"/>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30 al 36.</w:t>
      </w:r>
    </w:p>
    <w:p w:rsidRPr="00B1493D" w:rsidR="004C12BE" w:rsidP="004C12BE" w:rsidRDefault="004C12BE" w14:paraId="39AE83B1" w14:textId="77777777">
      <w:pPr>
        <w:pStyle w:val="Textonotapie"/>
        <w:ind w:firstLine="709"/>
        <w:jc w:val="both"/>
        <w:rPr>
          <w:rFonts w:ascii="Arial" w:hAnsi="Arial" w:cs="Arial"/>
          <w:color w:val="000000"/>
          <w:sz w:val="19"/>
          <w:szCs w:val="19"/>
          <w:lang w:val="es-ES"/>
        </w:rPr>
      </w:pPr>
    </w:p>
  </w:footnote>
  <w:footnote w:id="3">
    <w:p w:rsidRPr="00B1493D" w:rsidR="004C12BE" w:rsidP="004C12BE" w:rsidRDefault="004C12BE" w14:paraId="2FA682E1" w14:textId="6FC4CCA7">
      <w:pPr>
        <w:pStyle w:val="Textonotapie"/>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37 al 45.</w:t>
      </w:r>
    </w:p>
  </w:footnote>
  <w:footnote w:id="4">
    <w:p w:rsidRPr="00B1493D" w:rsidR="004C12BE" w:rsidP="004C12BE" w:rsidRDefault="004C12BE" w14:paraId="3833167E" w14:textId="6BEC0605">
      <w:pPr>
        <w:pStyle w:val="Textonotapie"/>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46 al 73.</w:t>
      </w:r>
    </w:p>
  </w:footnote>
  <w:footnote w:id="5">
    <w:p w:rsidRPr="00B1493D" w:rsidR="004C12BE" w:rsidP="004C12BE" w:rsidRDefault="004C12BE" w14:paraId="6C998FC6" w14:textId="58AFE89F">
      <w:pPr>
        <w:pStyle w:val="Textonotapie"/>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74 al 83.</w:t>
      </w:r>
    </w:p>
  </w:footnote>
  <w:footnote w:id="6">
    <w:p w:rsidRPr="00B1493D" w:rsidR="004C12BE" w:rsidP="004C12BE" w:rsidRDefault="004C12BE" w14:paraId="5A2D93E4" w14:textId="77777777">
      <w:pPr>
        <w:pStyle w:val="Textonotapie"/>
        <w:jc w:val="both"/>
        <w:rPr>
          <w:rFonts w:ascii="Arial" w:hAnsi="Arial" w:cs="Arial"/>
          <w:color w:val="000000"/>
          <w:sz w:val="19"/>
          <w:szCs w:val="19"/>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bCs/>
          <w:color w:val="000000"/>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B1493D">
        <w:rPr>
          <w:rFonts w:ascii="Arial" w:hAnsi="Arial" w:cs="Arial"/>
          <w:color w:val="000000"/>
          <w:sz w:val="19"/>
          <w:szCs w:val="19"/>
        </w:rPr>
        <w:t xml:space="preserve">CONSEJO NACIONAL DE POLÍTICA ECONÓMICA Y SOCIAL. Documento 3956 del 8 de enero de 2019: «Política de formalización empresarial». Archivo consultado el 8 de febrero de 2021 en la página web </w:t>
      </w:r>
      <w:hyperlink w:history="1" r:id="rId1">
        <w:r w:rsidRPr="00B1493D">
          <w:rPr>
            <w:rStyle w:val="Hipervnculo"/>
            <w:rFonts w:ascii="Arial" w:hAnsi="Arial" w:cs="Arial"/>
            <w:color w:val="000000"/>
            <w:sz w:val="19"/>
            <w:szCs w:val="19"/>
          </w:rPr>
          <w:t>https://colaboracion.dnp.gov.co/CDT/Conpes/Econ%C3%B3micos/3956.pdf</w:t>
        </w:r>
      </w:hyperlink>
      <w:r w:rsidRPr="00B1493D">
        <w:rPr>
          <w:rFonts w:ascii="Arial" w:hAnsi="Arial" w:cs="Arial"/>
          <w:color w:val="000000"/>
          <w:sz w:val="19"/>
          <w:szCs w:val="19"/>
        </w:rPr>
        <w:t xml:space="preserve">). </w:t>
      </w:r>
    </w:p>
    <w:p w:rsidRPr="00B1493D" w:rsidR="004C12BE" w:rsidP="004C12BE" w:rsidRDefault="004C12BE" w14:paraId="218F8080" w14:textId="77777777">
      <w:pPr>
        <w:pStyle w:val="Textonotapie"/>
        <w:ind w:firstLine="709"/>
        <w:jc w:val="both"/>
        <w:rPr>
          <w:rFonts w:ascii="Arial" w:hAnsi="Arial" w:cs="Arial"/>
          <w:color w:val="000000"/>
          <w:sz w:val="19"/>
          <w:szCs w:val="19"/>
          <w:lang w:val="es-ES"/>
        </w:rPr>
      </w:pPr>
    </w:p>
  </w:footnote>
  <w:footnote w:id="7">
    <w:p w:rsidRPr="00B1493D" w:rsidR="004C12BE" w:rsidP="00BC5ADC" w:rsidRDefault="004C12BE" w14:paraId="19416CD8" w14:textId="77777777">
      <w:pPr>
        <w:pStyle w:val="Textonotapie"/>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CONGRESO DE LA REPÚBLICA. Gaceta No. 670 del 11 de agosto de 2020. Exposición de motivos del Proyecto de Ley No. 122 de 2020 Cámara. p. 13. </w:t>
      </w:r>
    </w:p>
  </w:footnote>
  <w:footnote w:id="8">
    <w:p w:rsidRPr="00364B91" w:rsidR="004C12BE" w:rsidP="00BC5ADC" w:rsidRDefault="004C12BE" w14:paraId="7DF952BD" w14:textId="77777777">
      <w:pPr>
        <w:pStyle w:val="Textonotapie"/>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rsidRPr="0018521C" w:rsidR="004C12BE" w:rsidP="004C12BE" w:rsidRDefault="004C12BE" w14:paraId="60E8064F" w14:textId="77777777">
      <w:pPr>
        <w:pStyle w:val="Textonotapie"/>
        <w:ind w:firstLine="708"/>
        <w:jc w:val="both"/>
        <w:rPr>
          <w:rFonts w:ascii="Arial" w:hAnsi="Arial" w:cs="Arial"/>
          <w:sz w:val="19"/>
          <w:szCs w:val="19"/>
        </w:rPr>
      </w:pPr>
      <w:r w:rsidRPr="00364B91">
        <w:rPr>
          <w:rFonts w:ascii="Arial" w:hAnsi="Arial" w:cs="Arial"/>
          <w:sz w:val="19"/>
          <w:szCs w:val="19"/>
        </w:rPr>
        <w:t>»Parágrafo primero. La definición de emprendimientos y empresas de mujeres se reglamentará por el gobierno nacional».</w:t>
      </w:r>
      <w:r w:rsidRPr="0018521C">
        <w:rPr>
          <w:rFonts w:ascii="Arial" w:hAnsi="Arial" w:cs="Arial"/>
          <w:sz w:val="19"/>
          <w:szCs w:val="19"/>
        </w:rPr>
        <w:t xml:space="preserve">  </w:t>
      </w:r>
    </w:p>
  </w:footnote>
  <w:footnote w:id="9">
    <w:p w:rsidRPr="00364B91" w:rsidR="004C12BE" w:rsidP="004C12BE" w:rsidRDefault="004C12BE" w14:paraId="4046E309" w14:textId="77777777">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w:t>
      </w:r>
      <w:bookmarkStart w:name="_Hlk104881843" w:id="4"/>
      <w:r w:rsidRPr="00364B91">
        <w:rPr>
          <w:rFonts w:ascii="Arial" w:hAnsi="Arial" w:cs="Arial"/>
          <w:sz w:val="19"/>
          <w:szCs w:val="19"/>
        </w:rPr>
        <w:t>«</w:t>
      </w:r>
      <w:bookmarkEnd w:id="4"/>
      <w:r w:rsidRPr="00364B91">
        <w:rPr>
          <w:rFonts w:ascii="Arial" w:hAnsi="Arial" w:cs="Arial"/>
          <w:sz w:val="19"/>
          <w:szCs w:val="19"/>
        </w:rPr>
        <w:t>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0">
    <w:p w:rsidRPr="00833495" w:rsidR="003062A4" w:rsidP="003062A4" w:rsidRDefault="003062A4" w14:paraId="0191E26C" w14:textId="77777777">
      <w:pPr>
        <w:pStyle w:val="Textonotapie"/>
        <w:ind w:firstLine="709"/>
        <w:rPr>
          <w:rFonts w:ascii="Arial" w:hAnsi="Arial" w:cs="Arial"/>
          <w:sz w:val="19"/>
          <w:szCs w:val="19"/>
          <w:lang w:val="es-CO"/>
        </w:rPr>
      </w:pPr>
      <w:r w:rsidRPr="00833495">
        <w:rPr>
          <w:rStyle w:val="Refdenotaalpie"/>
          <w:rFonts w:ascii="Arial" w:hAnsi="Arial" w:cs="Arial"/>
          <w:sz w:val="19"/>
          <w:szCs w:val="19"/>
        </w:rPr>
        <w:footnoteRef/>
      </w:r>
      <w:r w:rsidRPr="00833495">
        <w:rPr>
          <w:rFonts w:ascii="Arial" w:hAnsi="Arial" w:cs="Arial"/>
          <w:sz w:val="19"/>
          <w:szCs w:val="19"/>
        </w:rPr>
        <w:t xml:space="preserve"> </w:t>
      </w:r>
      <w:r w:rsidRPr="00833495">
        <w:rPr>
          <w:rFonts w:ascii="Arial" w:hAnsi="Arial" w:cs="Arial"/>
          <w:sz w:val="19"/>
          <w:szCs w:val="19"/>
          <w:lang w:val="es-CO"/>
        </w:rPr>
        <w:t>Artículo adicionado al Decreto 1082 del 2015, en virtud de lo dispuesto en el artículo 3 del Decreto 1860 del 2021.</w:t>
      </w:r>
    </w:p>
  </w:footnote>
  <w:footnote w:id="11">
    <w:p w:rsidRPr="00B95CB7" w:rsidR="006D2DC3" w:rsidP="006D2DC3" w:rsidRDefault="006D2DC3" w14:paraId="5AF85034" w14:textId="77777777">
      <w:pPr>
        <w:pStyle w:val="Textonotapie"/>
        <w:ind w:firstLine="709"/>
        <w:jc w:val="both"/>
        <w:rPr>
          <w:rFonts w:ascii="Arial" w:hAnsi="Arial" w:cs="Arial"/>
          <w:bCs/>
          <w:sz w:val="19"/>
          <w:szCs w:val="19"/>
          <w:lang w:val="es-CO"/>
        </w:rPr>
      </w:pPr>
      <w:r>
        <w:rPr>
          <w:rStyle w:val="Refdenotaalpie"/>
        </w:rPr>
        <w:footnoteRef/>
      </w:r>
      <w:r>
        <w:t xml:space="preserve"> </w:t>
      </w:r>
      <w:r w:rsidRPr="00364B91">
        <w:rPr>
          <w:rFonts w:ascii="Arial" w:hAnsi="Arial" w:cs="Arial"/>
          <w:sz w:val="19"/>
          <w:szCs w:val="19"/>
        </w:rPr>
        <w:t>«</w:t>
      </w:r>
      <w:r w:rsidRPr="00B95CB7">
        <w:rPr>
          <w:rFonts w:ascii="Arial" w:hAnsi="Arial" w:cs="Arial"/>
          <w:bCs/>
          <w:sz w:val="19"/>
          <w:szCs w:val="19"/>
          <w:lang w:val="es-CO"/>
        </w:rPr>
        <w:t xml:space="preserve">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rsidRPr="00B95CB7" w:rsidR="006D2DC3" w:rsidP="006D2DC3" w:rsidRDefault="006D2DC3" w14:paraId="0329C033"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 xml:space="preserve">1. Tiempo de experiencia. </w:t>
      </w:r>
    </w:p>
    <w:p w:rsidRPr="00B95CB7" w:rsidR="006D2DC3" w:rsidP="006D2DC3" w:rsidRDefault="006D2DC3" w14:paraId="73BF07D1"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 xml:space="preserve">2. Número de contratos para la acreditación de la experiencia. </w:t>
      </w:r>
    </w:p>
    <w:p w:rsidRPr="00B95CB7" w:rsidR="006D2DC3" w:rsidP="006D2DC3" w:rsidRDefault="006D2DC3" w14:paraId="029BCBFA"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 xml:space="preserve">3. Índices de capacidad financiera. </w:t>
      </w:r>
    </w:p>
    <w:p w:rsidRPr="00B95CB7" w:rsidR="006D2DC3" w:rsidP="006D2DC3" w:rsidRDefault="006D2DC3" w14:paraId="2DECE15B"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 xml:space="preserve">4. Índices de capacidad organizacional. </w:t>
      </w:r>
    </w:p>
    <w:p w:rsidRPr="00B95CB7" w:rsidR="006D2DC3" w:rsidP="006D2DC3" w:rsidRDefault="006D2DC3" w14:paraId="738E27FD"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5. Valor de la garantía de seriedad de la oferta.</w:t>
      </w:r>
    </w:p>
    <w:p w:rsidR="006D2DC3" w:rsidP="006D2DC3" w:rsidRDefault="006D2DC3" w14:paraId="2FA11424"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rsidR="006D2DC3" w:rsidP="006D2DC3" w:rsidRDefault="006D2DC3" w14:paraId="518E6D0A"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rsidR="006D2DC3" w:rsidP="006D2DC3" w:rsidRDefault="006D2DC3" w14:paraId="5FF9E8CE"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rsidR="006D2DC3" w:rsidP="006D2DC3" w:rsidRDefault="006D2DC3" w14:paraId="11650E51"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rsidRPr="00B95CB7" w:rsidR="006D2DC3" w:rsidP="006D2DC3" w:rsidRDefault="006D2DC3" w14:paraId="6CE2E6FB" w14:textId="77777777">
      <w:pPr>
        <w:pStyle w:val="Textonotapie"/>
        <w:ind w:firstLine="709"/>
        <w:jc w:val="both"/>
        <w:rPr>
          <w:rFonts w:ascii="Arial" w:hAnsi="Arial" w:cs="Arial"/>
          <w:bCs/>
          <w:sz w:val="19"/>
          <w:szCs w:val="19"/>
          <w:lang w:val="es-CO"/>
        </w:rPr>
      </w:pPr>
      <w:r w:rsidRPr="00364B91">
        <w:rPr>
          <w:rFonts w:ascii="Arial" w:hAnsi="Arial" w:cs="Arial"/>
          <w:sz w:val="19"/>
          <w:szCs w:val="19"/>
        </w:rPr>
        <w:t>«</w:t>
      </w:r>
      <w:r w:rsidRPr="00B95CB7">
        <w:rPr>
          <w:rFonts w:ascii="Arial" w:hAnsi="Arial" w:cs="Arial"/>
          <w:bCs/>
          <w:sz w:val="19"/>
          <w:szCs w:val="19"/>
          <w:lang w:val="es-CO"/>
        </w:rPr>
        <w:t>Parágrafo 2. Los incentivos contractuales para las empresas y emprendimientos de mujeres no excluyen la aplicación de los criterios diferenciales para Mipyme en el sistema de compras públicas</w:t>
      </w:r>
      <w:r w:rsidRPr="00364B91">
        <w:rPr>
          <w:rFonts w:ascii="Arial" w:hAnsi="Arial" w:cs="Arial"/>
          <w:sz w:val="19"/>
          <w:szCs w:val="19"/>
        </w:rPr>
        <w:t>»</w:t>
      </w:r>
      <w:r>
        <w:rPr>
          <w:rFonts w:ascii="Arial" w:hAnsi="Arial" w:cs="Arial"/>
          <w:sz w:val="19"/>
          <w:szCs w:val="19"/>
        </w:rPr>
        <w:t>.</w:t>
      </w:r>
      <w:r w:rsidRPr="00B95CB7">
        <w:rPr>
          <w:rFonts w:ascii="Arial" w:hAnsi="Arial" w:cs="Arial"/>
          <w:bCs/>
          <w:sz w:val="19"/>
          <w:szCs w:val="19"/>
          <w:lang w:val="es-CO"/>
        </w:rPr>
        <w:t xml:space="preserve"> </w:t>
      </w:r>
    </w:p>
    <w:p w:rsidRPr="00B95CB7" w:rsidR="006D2DC3" w:rsidP="006D2DC3" w:rsidRDefault="006D2DC3" w14:paraId="57C415CE" w14:textId="77777777">
      <w:pPr>
        <w:pStyle w:val="Textonotapie"/>
        <w:rPr>
          <w:lang w:val="es-CO"/>
        </w:rPr>
      </w:pPr>
    </w:p>
  </w:footnote>
  <w:footnote w:id="12">
    <w:p w:rsidR="006D2DC3" w:rsidP="006D2DC3" w:rsidRDefault="006D2DC3" w14:paraId="18856BF6" w14:textId="77777777">
      <w:pPr>
        <w:pStyle w:val="Textonotapie"/>
        <w:ind w:firstLine="709"/>
        <w:jc w:val="both"/>
        <w:rPr>
          <w:color w:val="000000" w:themeColor="text1"/>
          <w:lang w:val="es-CO"/>
        </w:rPr>
      </w:pPr>
      <w:r>
        <w:rPr>
          <w:rStyle w:val="Refdenotaalpie"/>
        </w:rPr>
        <w:footnoteRef/>
      </w:r>
      <w:r>
        <w:t xml:space="preserve"> </w:t>
      </w:r>
      <w:r w:rsidRPr="00400A35">
        <w:rPr>
          <w:rFonts w:ascii="Arial" w:hAnsi="Arial" w:cs="Arial"/>
          <w:color w:val="000000" w:themeColor="text1"/>
          <w:sz w:val="19"/>
          <w:szCs w:val="19"/>
          <w:lang w:val="es-CO"/>
        </w:rPr>
        <w:t xml:space="preserve">Disponible en: </w:t>
      </w:r>
      <w:hyperlink w:history="1" r:id="rId2">
        <w:r w:rsidRPr="00400A35">
          <w:rPr>
            <w:rStyle w:val="Hipervnculo"/>
            <w:rFonts w:ascii="Arial" w:hAnsi="Arial" w:cs="Arial"/>
            <w:color w:val="000000" w:themeColor="text1"/>
            <w:sz w:val="19"/>
            <w:szCs w:val="19"/>
            <w:lang w:val="es-CO"/>
          </w:rPr>
          <w:t>https://www.colombiacompra.gov.co/colombia-compra/modelo-de-abastecimiento-estrategico</w:t>
        </w:r>
      </w:hyperlink>
      <w:r w:rsidRPr="00400A35">
        <w:rPr>
          <w:color w:val="000000" w:themeColor="text1"/>
          <w:lang w:val="es-CO"/>
        </w:rPr>
        <w:t xml:space="preserve"> </w:t>
      </w:r>
    </w:p>
    <w:p w:rsidRPr="00400A35" w:rsidR="006D2DC3" w:rsidP="006D2DC3" w:rsidRDefault="006D2DC3" w14:paraId="518B73F7" w14:textId="77777777">
      <w:pPr>
        <w:pStyle w:val="Textonotapie"/>
        <w:ind w:firstLine="709"/>
        <w:jc w:val="both"/>
        <w:rPr>
          <w:lang w:val="es-CO"/>
        </w:rPr>
      </w:pPr>
    </w:p>
  </w:footnote>
  <w:footnote w:id="13">
    <w:p w:rsidRPr="00400A35" w:rsidR="006D2DC3" w:rsidP="006D2DC3" w:rsidRDefault="006D2DC3" w14:paraId="6DEC9C06" w14:textId="77777777">
      <w:pPr>
        <w:pStyle w:val="Textonotapie"/>
        <w:ind w:firstLine="709"/>
        <w:jc w:val="both"/>
        <w:rPr>
          <w:lang w:val="es-CO"/>
        </w:rPr>
      </w:pPr>
      <w:r>
        <w:rPr>
          <w:rStyle w:val="Refdenotaalpie"/>
        </w:rPr>
        <w:footnoteRef/>
      </w:r>
      <w:r>
        <w:t xml:space="preserve"> </w:t>
      </w:r>
      <w:r w:rsidRPr="00793194">
        <w:rPr>
          <w:rFonts w:ascii="Arial" w:hAnsi="Arial" w:cs="Arial"/>
          <w:sz w:val="19"/>
          <w:szCs w:val="19"/>
          <w:lang w:val="es-ES"/>
        </w:rPr>
        <w:t xml:space="preserve">Manual de Uso de Análisis de Demanda y Oferta del Modelo de Abastecimiento Estratégico. Pág.9. Disponible en: </w:t>
      </w:r>
      <w:hyperlink w:history="1" r:id="rId3">
        <w:r w:rsidRPr="00793194">
          <w:rPr>
            <w:rStyle w:val="Hipervnculo"/>
            <w:rFonts w:ascii="Arial" w:hAnsi="Arial" w:cs="Arial"/>
            <w:color w:val="000000" w:themeColor="text1"/>
            <w:sz w:val="19"/>
            <w:szCs w:val="19"/>
            <w:lang w:val="es-CO"/>
          </w:rPr>
          <w:t>https://www.colombiacompra.gov.co/colombia-compra/modelo-de-abastecimiento-estrategico</w:t>
        </w:r>
      </w:hyperlink>
      <w:r w:rsidRPr="00400A35">
        <w:rPr>
          <w:color w:val="000000" w:themeColor="text1"/>
          <w:lang w:val="es-CO"/>
        </w:rPr>
        <w:t xml:space="preserve"> </w:t>
      </w:r>
    </w:p>
    <w:p w:rsidRPr="00EA3C4C" w:rsidR="006D2DC3" w:rsidP="006D2DC3" w:rsidRDefault="006D2DC3" w14:paraId="292A9575" w14:textId="77777777">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7149D" w:rsidRDefault="00D7149D" w14:paraId="2B8B58B2" w14:textId="77777777">
    <w:pPr>
      <w:pStyle w:val="Encabezado"/>
    </w:pPr>
    <w:r>
      <w:rPr>
        <w:noProof/>
        <w:lang w:val="en-US"/>
      </w:rPr>
      <w:drawing>
        <wp:anchor distT="0" distB="0" distL="114300" distR="114300" simplePos="0" relativeHeight="251659264" behindDoc="1" locked="0" layoutInCell="1" allowOverlap="1" wp14:anchorId="3D496495" wp14:editId="19E7FC87">
          <wp:simplePos x="0" y="0"/>
          <wp:positionH relativeFrom="margin">
            <wp:align>right</wp:align>
          </wp:positionH>
          <wp:positionV relativeFrom="paragraph">
            <wp:posOffset>-191135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51A65"/>
    <w:multiLevelType w:val="hybridMultilevel"/>
    <w:tmpl w:val="6AE06AB8"/>
    <w:lvl w:ilvl="0" w:tplc="8ABE1970">
      <w:start w:val="1"/>
      <w:numFmt w:val="lowerRoman"/>
      <w:lvlText w:val="%1)"/>
      <w:lvlJc w:val="left"/>
      <w:pPr>
        <w:ind w:left="1080" w:hanging="720"/>
      </w:pPr>
      <w:rPr>
        <w:rFonts w:hint="default"/>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B0F461B"/>
    <w:multiLevelType w:val="multilevel"/>
    <w:tmpl w:val="810A030E"/>
    <w:lvl w:ilvl="0">
      <w:start w:val="1"/>
      <w:numFmt w:val="decimal"/>
      <w:lvlText w:val="%1."/>
      <w:lvlJc w:val="left"/>
      <w:pPr>
        <w:ind w:left="720" w:hanging="360"/>
      </w:pPr>
      <w:rPr>
        <w:rFonts w:hint="default"/>
        <w:sz w:val="22"/>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2038044461">
    <w:abstractNumId w:val="0"/>
  </w:num>
  <w:num w:numId="2" w16cid:durableId="214272262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7C"/>
    <w:rsid w:val="00016E9D"/>
    <w:rsid w:val="0003563F"/>
    <w:rsid w:val="00055B6B"/>
    <w:rsid w:val="000568CD"/>
    <w:rsid w:val="000643CE"/>
    <w:rsid w:val="00085C27"/>
    <w:rsid w:val="000942EB"/>
    <w:rsid w:val="0009643D"/>
    <w:rsid w:val="000976FD"/>
    <w:rsid w:val="000D7A66"/>
    <w:rsid w:val="000E1C5F"/>
    <w:rsid w:val="000E4530"/>
    <w:rsid w:val="000F05FE"/>
    <w:rsid w:val="000F7513"/>
    <w:rsid w:val="00133446"/>
    <w:rsid w:val="001400F6"/>
    <w:rsid w:val="001631CB"/>
    <w:rsid w:val="001635C6"/>
    <w:rsid w:val="00163E34"/>
    <w:rsid w:val="0016436B"/>
    <w:rsid w:val="00182E28"/>
    <w:rsid w:val="0018717C"/>
    <w:rsid w:val="001966F4"/>
    <w:rsid w:val="00196D8A"/>
    <w:rsid w:val="001A116F"/>
    <w:rsid w:val="001A39C3"/>
    <w:rsid w:val="001B01D4"/>
    <w:rsid w:val="001B312E"/>
    <w:rsid w:val="001D2256"/>
    <w:rsid w:val="00216FFF"/>
    <w:rsid w:val="00221D86"/>
    <w:rsid w:val="0024037A"/>
    <w:rsid w:val="00240A00"/>
    <w:rsid w:val="0024784F"/>
    <w:rsid w:val="00250DBF"/>
    <w:rsid w:val="00282381"/>
    <w:rsid w:val="00282C0E"/>
    <w:rsid w:val="002A73BC"/>
    <w:rsid w:val="002B0208"/>
    <w:rsid w:val="002F6126"/>
    <w:rsid w:val="003022FC"/>
    <w:rsid w:val="00303598"/>
    <w:rsid w:val="00305B6F"/>
    <w:rsid w:val="003062A4"/>
    <w:rsid w:val="003101C4"/>
    <w:rsid w:val="003255AD"/>
    <w:rsid w:val="00334FD2"/>
    <w:rsid w:val="00351C0B"/>
    <w:rsid w:val="00362F85"/>
    <w:rsid w:val="003743A4"/>
    <w:rsid w:val="00377E93"/>
    <w:rsid w:val="00380652"/>
    <w:rsid w:val="003A3D6B"/>
    <w:rsid w:val="003D6D9D"/>
    <w:rsid w:val="003E5FA1"/>
    <w:rsid w:val="00403EA7"/>
    <w:rsid w:val="004176B0"/>
    <w:rsid w:val="004247CB"/>
    <w:rsid w:val="00425075"/>
    <w:rsid w:val="00430BAD"/>
    <w:rsid w:val="004319B8"/>
    <w:rsid w:val="00450D14"/>
    <w:rsid w:val="0046552D"/>
    <w:rsid w:val="00480300"/>
    <w:rsid w:val="004B65BF"/>
    <w:rsid w:val="004C12BE"/>
    <w:rsid w:val="004D6706"/>
    <w:rsid w:val="004E479C"/>
    <w:rsid w:val="004E4961"/>
    <w:rsid w:val="004E7524"/>
    <w:rsid w:val="00510FE1"/>
    <w:rsid w:val="00535D71"/>
    <w:rsid w:val="005619B5"/>
    <w:rsid w:val="00583AED"/>
    <w:rsid w:val="005F40DB"/>
    <w:rsid w:val="006209CE"/>
    <w:rsid w:val="006229EF"/>
    <w:rsid w:val="00635E6A"/>
    <w:rsid w:val="0066416F"/>
    <w:rsid w:val="00672233"/>
    <w:rsid w:val="006833B8"/>
    <w:rsid w:val="006921AD"/>
    <w:rsid w:val="006940D6"/>
    <w:rsid w:val="006C3E84"/>
    <w:rsid w:val="006C53F8"/>
    <w:rsid w:val="006D2DC3"/>
    <w:rsid w:val="006F5365"/>
    <w:rsid w:val="006F6441"/>
    <w:rsid w:val="00707F66"/>
    <w:rsid w:val="00711DE3"/>
    <w:rsid w:val="00714349"/>
    <w:rsid w:val="00714BB2"/>
    <w:rsid w:val="00732F77"/>
    <w:rsid w:val="00752166"/>
    <w:rsid w:val="007532B0"/>
    <w:rsid w:val="00763769"/>
    <w:rsid w:val="0077029E"/>
    <w:rsid w:val="00791194"/>
    <w:rsid w:val="007C169E"/>
    <w:rsid w:val="007F5ADB"/>
    <w:rsid w:val="00826B56"/>
    <w:rsid w:val="00844BD1"/>
    <w:rsid w:val="008558BF"/>
    <w:rsid w:val="0087110F"/>
    <w:rsid w:val="0088314D"/>
    <w:rsid w:val="00883878"/>
    <w:rsid w:val="008A115D"/>
    <w:rsid w:val="008B0F45"/>
    <w:rsid w:val="008D7887"/>
    <w:rsid w:val="009214E8"/>
    <w:rsid w:val="0095563A"/>
    <w:rsid w:val="009574C8"/>
    <w:rsid w:val="0095762B"/>
    <w:rsid w:val="009D0BC2"/>
    <w:rsid w:val="009D6735"/>
    <w:rsid w:val="00A00DC1"/>
    <w:rsid w:val="00A04734"/>
    <w:rsid w:val="00A076C7"/>
    <w:rsid w:val="00A20591"/>
    <w:rsid w:val="00A26E7B"/>
    <w:rsid w:val="00A35D76"/>
    <w:rsid w:val="00A852B7"/>
    <w:rsid w:val="00AB24D6"/>
    <w:rsid w:val="00AB530D"/>
    <w:rsid w:val="00AD1ABA"/>
    <w:rsid w:val="00AF548E"/>
    <w:rsid w:val="00B04047"/>
    <w:rsid w:val="00B13469"/>
    <w:rsid w:val="00B21F7A"/>
    <w:rsid w:val="00B37435"/>
    <w:rsid w:val="00B435B8"/>
    <w:rsid w:val="00B61217"/>
    <w:rsid w:val="00B92191"/>
    <w:rsid w:val="00BA005B"/>
    <w:rsid w:val="00BA0BE9"/>
    <w:rsid w:val="00BA3FA3"/>
    <w:rsid w:val="00BB26DE"/>
    <w:rsid w:val="00BC5ADC"/>
    <w:rsid w:val="00BD1A5C"/>
    <w:rsid w:val="00BF2E07"/>
    <w:rsid w:val="00C60F60"/>
    <w:rsid w:val="00C74AB2"/>
    <w:rsid w:val="00CB1D0F"/>
    <w:rsid w:val="00CB7C2B"/>
    <w:rsid w:val="00CC151D"/>
    <w:rsid w:val="00CC23A3"/>
    <w:rsid w:val="00D13BC1"/>
    <w:rsid w:val="00D7149D"/>
    <w:rsid w:val="00D752D2"/>
    <w:rsid w:val="00D93348"/>
    <w:rsid w:val="00DD6E6D"/>
    <w:rsid w:val="00DF26B7"/>
    <w:rsid w:val="00E6233C"/>
    <w:rsid w:val="00E63321"/>
    <w:rsid w:val="00EA1862"/>
    <w:rsid w:val="00EB6019"/>
    <w:rsid w:val="00ED65A4"/>
    <w:rsid w:val="00F40382"/>
    <w:rsid w:val="00F4231E"/>
    <w:rsid w:val="00F82DC4"/>
    <w:rsid w:val="00FA0C1E"/>
    <w:rsid w:val="00FA4C1C"/>
    <w:rsid w:val="00FA6F2C"/>
    <w:rsid w:val="00FB3E04"/>
    <w:rsid w:val="00FD6DFE"/>
    <w:rsid w:val="00FE2D34"/>
    <w:rsid w:val="3B4F412E"/>
    <w:rsid w:val="5C7C56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916E"/>
  <w15:chartTrackingRefBased/>
  <w15:docId w15:val="{2E55ACC8-5929-47A3-A442-230A121925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717C"/>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uiPriority w:val="99"/>
    <w:qFormat/>
    <w:locked/>
    <w:rsid w:val="0018717C"/>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18717C"/>
    <w:rPr>
      <w:vertAlign w:val="superscript"/>
    </w:rPr>
  </w:style>
  <w:style w:type="paragraph" w:styleId="Appelnotedebasde" w:customStyle="1">
    <w:name w:val="Appel note de bas de..."/>
    <w:basedOn w:val="Normal"/>
    <w:link w:val="Refdenotaalpie"/>
    <w:uiPriority w:val="99"/>
    <w:rsid w:val="0018717C"/>
    <w:pPr>
      <w:spacing w:line="240" w:lineRule="exact"/>
    </w:pPr>
    <w:rPr>
      <w:vertAlign w:val="superscript"/>
    </w:r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Nota a pie/Bibliog,ft,BVI fnr"/>
    <w:basedOn w:val="Normal"/>
    <w:link w:val="TextonotapieCar"/>
    <w:uiPriority w:val="99"/>
    <w:unhideWhenUsed/>
    <w:qFormat/>
    <w:rsid w:val="0018717C"/>
    <w:pPr>
      <w:spacing w:after="0" w:line="240" w:lineRule="auto"/>
    </w:pPr>
    <w:rPr>
      <w:sz w:val="20"/>
      <w:szCs w:val="20"/>
      <w:lang w:val="es-MX"/>
    </w:rPr>
  </w:style>
  <w:style w:type="character" w:styleId="TextonotapieCar1" w:customStyle="1">
    <w:name w:val="Texto nota pie Car1"/>
    <w:basedOn w:val="Fuentedeprrafopredeter"/>
    <w:uiPriority w:val="99"/>
    <w:semiHidden/>
    <w:rsid w:val="0018717C"/>
    <w:rPr>
      <w:sz w:val="20"/>
      <w:szCs w:val="20"/>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H"/>
    <w:basedOn w:val="Normal"/>
    <w:link w:val="PrrafodelistaCar"/>
    <w:uiPriority w:val="34"/>
    <w:qFormat/>
    <w:rsid w:val="0088314D"/>
    <w:pPr>
      <w:ind w:left="720"/>
      <w:contextualSpacing/>
    </w:pPr>
    <w:rPr>
      <w:rFonts w:ascii="Geomanist Bold" w:hAnsi="Geomanist Bold" w:eastAsia="Calibri" w:cs="Times New Roman"/>
      <w:color w:val="002060"/>
      <w:sz w:val="24"/>
      <w:lang w:eastAsia="es-CO"/>
    </w:rPr>
  </w:style>
  <w:style w:type="paragraph" w:styleId="NormalWeb">
    <w:name w:val="Normal (Web)"/>
    <w:basedOn w:val="Normal"/>
    <w:uiPriority w:val="99"/>
    <w:unhideWhenUsed/>
    <w:rsid w:val="0088314D"/>
    <w:pPr>
      <w:spacing w:before="100" w:beforeAutospacing="1" w:after="100" w:afterAutospacing="1" w:line="240" w:lineRule="auto"/>
    </w:pPr>
    <w:rPr>
      <w:rFonts w:ascii="Times New Roman" w:hAnsi="Times New Roman" w:eastAsia="Times New Roman" w:cs="Times New Roman"/>
      <w:color w:val="002060"/>
      <w:sz w:val="24"/>
      <w:szCs w:val="24"/>
      <w:lang w:eastAsia="es-CO"/>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88314D"/>
    <w:rPr>
      <w:rFonts w:ascii="Geomanist Bold" w:hAnsi="Geomanist Bold" w:eastAsia="Calibri" w:cs="Times New Roman"/>
      <w:color w:val="002060"/>
      <w:sz w:val="24"/>
      <w:lang w:eastAsia="es-CO"/>
    </w:rPr>
  </w:style>
  <w:style w:type="table" w:styleId="Tablaconcuadrcula1" w:customStyle="1">
    <w:name w:val="Tabla con cuadrícula1"/>
    <w:basedOn w:val="Tablanormal"/>
    <w:next w:val="Tablaconcuadrcula"/>
    <w:uiPriority w:val="39"/>
    <w:rsid w:val="00D714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39"/>
    <w:rsid w:val="00D714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D7149D"/>
    <w:rPr>
      <w:color w:val="0000FF"/>
      <w:u w:val="single"/>
    </w:rPr>
  </w:style>
  <w:style w:type="table" w:styleId="Tablaconcuadrcula">
    <w:name w:val="Table Grid"/>
    <w:basedOn w:val="Tablanormal"/>
    <w:uiPriority w:val="39"/>
    <w:rsid w:val="00D714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D7149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7149D"/>
  </w:style>
  <w:style w:type="paragraph" w:styleId="Piedepgina">
    <w:name w:val="footer"/>
    <w:basedOn w:val="Normal"/>
    <w:link w:val="PiedepginaCar"/>
    <w:uiPriority w:val="99"/>
    <w:unhideWhenUsed/>
    <w:rsid w:val="00D7149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7149D"/>
  </w:style>
  <w:style w:type="paragraph" w:styleId="Revisin">
    <w:name w:val="Revision"/>
    <w:hidden/>
    <w:uiPriority w:val="99"/>
    <w:semiHidden/>
    <w:rsid w:val="000F05FE"/>
    <w:pPr>
      <w:spacing w:after="0" w:line="240" w:lineRule="auto"/>
    </w:pPr>
  </w:style>
  <w:style w:type="character" w:styleId="Textoennegrita">
    <w:name w:val="Strong"/>
    <w:basedOn w:val="Fuentedeprrafopredeter"/>
    <w:uiPriority w:val="22"/>
    <w:qFormat/>
    <w:rsid w:val="000D7A66"/>
    <w:rPr>
      <w:b/>
      <w:bCs/>
    </w:rPr>
  </w:style>
  <w:style w:type="character" w:styleId="Refdecomentario">
    <w:name w:val="annotation reference"/>
    <w:basedOn w:val="Fuentedeprrafopredeter"/>
    <w:uiPriority w:val="99"/>
    <w:semiHidden/>
    <w:unhideWhenUsed/>
    <w:rsid w:val="00B61217"/>
    <w:rPr>
      <w:sz w:val="16"/>
      <w:szCs w:val="16"/>
    </w:rPr>
  </w:style>
  <w:style w:type="paragraph" w:styleId="Textocomentario">
    <w:name w:val="annotation text"/>
    <w:basedOn w:val="Normal"/>
    <w:link w:val="TextocomentarioCar"/>
    <w:uiPriority w:val="99"/>
    <w:unhideWhenUsed/>
    <w:rsid w:val="00B61217"/>
    <w:pPr>
      <w:spacing w:line="240" w:lineRule="auto"/>
    </w:pPr>
    <w:rPr>
      <w:sz w:val="20"/>
      <w:szCs w:val="20"/>
    </w:rPr>
  </w:style>
  <w:style w:type="character" w:styleId="TextocomentarioCar" w:customStyle="1">
    <w:name w:val="Texto comentario Car"/>
    <w:basedOn w:val="Fuentedeprrafopredeter"/>
    <w:link w:val="Textocomentario"/>
    <w:uiPriority w:val="99"/>
    <w:rsid w:val="00B61217"/>
    <w:rPr>
      <w:sz w:val="20"/>
      <w:szCs w:val="20"/>
    </w:rPr>
  </w:style>
  <w:style w:type="paragraph" w:styleId="Asuntodelcomentario">
    <w:name w:val="annotation subject"/>
    <w:basedOn w:val="Textocomentario"/>
    <w:next w:val="Textocomentario"/>
    <w:link w:val="AsuntodelcomentarioCar"/>
    <w:uiPriority w:val="99"/>
    <w:semiHidden/>
    <w:unhideWhenUsed/>
    <w:rsid w:val="00B61217"/>
    <w:rPr>
      <w:b/>
      <w:bCs/>
    </w:rPr>
  </w:style>
  <w:style w:type="character" w:styleId="AsuntodelcomentarioCar" w:customStyle="1">
    <w:name w:val="Asunto del comentario Car"/>
    <w:basedOn w:val="TextocomentarioCar"/>
    <w:link w:val="Asuntodelcomentario"/>
    <w:uiPriority w:val="99"/>
    <w:semiHidden/>
    <w:rsid w:val="00B61217"/>
    <w:rPr>
      <w:b/>
      <w:bCs/>
      <w:sz w:val="20"/>
      <w:szCs w:val="20"/>
    </w:rPr>
  </w:style>
  <w:style w:type="paragraph" w:styleId="paragraph" w:customStyle="1">
    <w:name w:val="paragraph"/>
    <w:basedOn w:val="Normal"/>
    <w:rsid w:val="00707F66"/>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707F66"/>
  </w:style>
  <w:style w:type="character" w:styleId="eop" w:customStyle="1">
    <w:name w:val="eop"/>
    <w:basedOn w:val="Fuentedeprrafopredeter"/>
    <w:rsid w:val="00707F66"/>
  </w:style>
  <w:style w:type="table" w:styleId="1" w:customStyle="1">
    <w:name w:val="1"/>
    <w:basedOn w:val="Tablanormal"/>
    <w:rsid w:val="006C53F8"/>
    <w:pPr>
      <w:spacing w:before="120" w:after="0" w:line="240" w:lineRule="auto"/>
    </w:pPr>
    <w:rPr>
      <w:rFonts w:ascii="Calibri" w:hAnsi="Calibri" w:eastAsia="Calibri" w:cs="Calibri"/>
      <w:sz w:val="24"/>
      <w:szCs w:val="24"/>
      <w:lang w:val="es-MX" w:eastAsia="es-ES_tradnl"/>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49903">
      <w:bodyDiv w:val="1"/>
      <w:marLeft w:val="0"/>
      <w:marRight w:val="0"/>
      <w:marTop w:val="0"/>
      <w:marBottom w:val="0"/>
      <w:divBdr>
        <w:top w:val="none" w:sz="0" w:space="0" w:color="auto"/>
        <w:left w:val="none" w:sz="0" w:space="0" w:color="auto"/>
        <w:bottom w:val="none" w:sz="0" w:space="0" w:color="auto"/>
        <w:right w:val="none" w:sz="0" w:space="0" w:color="auto"/>
      </w:divBdr>
      <w:divsChild>
        <w:div w:id="1235236705">
          <w:marLeft w:val="0"/>
          <w:marRight w:val="0"/>
          <w:marTop w:val="0"/>
          <w:marBottom w:val="0"/>
          <w:divBdr>
            <w:top w:val="none" w:sz="0" w:space="0" w:color="auto"/>
            <w:left w:val="none" w:sz="0" w:space="0" w:color="auto"/>
            <w:bottom w:val="none" w:sz="0" w:space="0" w:color="auto"/>
            <w:right w:val="none" w:sz="0" w:space="0" w:color="auto"/>
          </w:divBdr>
        </w:div>
      </w:divsChild>
    </w:div>
    <w:div w:id="1670601548">
      <w:bodyDiv w:val="1"/>
      <w:marLeft w:val="0"/>
      <w:marRight w:val="0"/>
      <w:marTop w:val="0"/>
      <w:marBottom w:val="0"/>
      <w:divBdr>
        <w:top w:val="none" w:sz="0" w:space="0" w:color="auto"/>
        <w:left w:val="none" w:sz="0" w:space="0" w:color="auto"/>
        <w:bottom w:val="none" w:sz="0" w:space="0" w:color="auto"/>
        <w:right w:val="none" w:sz="0" w:space="0" w:color="auto"/>
      </w:divBdr>
      <w:divsChild>
        <w:div w:id="170224937">
          <w:marLeft w:val="0"/>
          <w:marRight w:val="0"/>
          <w:marTop w:val="0"/>
          <w:marBottom w:val="0"/>
          <w:divBdr>
            <w:top w:val="none" w:sz="0" w:space="0" w:color="auto"/>
            <w:left w:val="none" w:sz="0" w:space="0" w:color="auto"/>
            <w:bottom w:val="none" w:sz="0" w:space="0" w:color="auto"/>
            <w:right w:val="none" w:sz="0" w:space="0" w:color="auto"/>
          </w:divBdr>
          <w:divsChild>
            <w:div w:id="1268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5.png" Id="R862d49c2ae7b4c70"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lombia-compra/modelo-de-abastecimiento-estrategico" TargetMode="External"/><Relationship Id="rId2" Type="http://schemas.openxmlformats.org/officeDocument/2006/relationships/hyperlink" Target="https://www.colombiacompra.gov.co/colombia-compra/modelo-de-abastecimiento-estrategico"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36B9C-433D-488C-908D-8DF528134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8AE15-325A-4406-A727-BD4A7A40027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B6EA280-D8A5-4BB8-A99B-FFA5184405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Álvaro Namén Vargas </dc:creator>
  <keywords/>
  <dc:description/>
  <lastModifiedBy>Alvaro Namen Vargas</lastModifiedBy>
  <revision>18</revision>
  <dcterms:created xsi:type="dcterms:W3CDTF">2022-06-15T16:43:00.0000000Z</dcterms:created>
  <dcterms:modified xsi:type="dcterms:W3CDTF">2022-07-19T16:28:18.3177202Z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