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E78EB" w:rsidP="00FC1AF6" w:rsidRDefault="006E78EB" w14:paraId="77A5736E" w14:textId="62AF0BA6">
      <w:pPr>
        <w:jc w:val="both"/>
        <w:rPr>
          <w:rFonts w:ascii="Arial" w:hAnsi="Arial" w:eastAsia="Calibri" w:cs="Arial"/>
          <w:sz w:val="22"/>
          <w:highlight w:val="yellow"/>
          <w:lang w:val="es-ES_tradnl"/>
        </w:rPr>
      </w:pPr>
    </w:p>
    <w:p w:rsidRPr="0091690B" w:rsidR="008F34E0" w:rsidP="008F34E0" w:rsidRDefault="008F34E0" w14:paraId="3F638F30" w14:textId="77777777">
      <w:pPr>
        <w:jc w:val="both"/>
        <w:rPr>
          <w:rFonts w:ascii="Arial" w:hAnsi="Arial" w:eastAsia="Calibri" w:cs="Arial"/>
          <w:b/>
          <w:sz w:val="20"/>
          <w:szCs w:val="20"/>
          <w:lang w:val="es-ES_tradnl"/>
        </w:rPr>
      </w:pPr>
      <w:r w:rsidRPr="0091690B">
        <w:rPr>
          <w:rFonts w:ascii="Arial" w:hAnsi="Arial" w:eastAsia="Calibri" w:cs="Arial"/>
          <w:b/>
          <w:sz w:val="20"/>
          <w:szCs w:val="20"/>
          <w:lang w:val="es-ES_tradnl"/>
        </w:rPr>
        <w:t xml:space="preserve">PROMOCIÓN AL DESARROLLO – Ley 2069 de 2020 – Artículo 34 </w:t>
      </w:r>
    </w:p>
    <w:p w:rsidRPr="0091690B" w:rsidR="008F34E0" w:rsidP="008F34E0" w:rsidRDefault="008F34E0" w14:paraId="6978EE64" w14:textId="77777777">
      <w:pPr>
        <w:jc w:val="both"/>
        <w:rPr>
          <w:rFonts w:ascii="Arial" w:hAnsi="Arial" w:eastAsia="Calibri" w:cs="Arial"/>
          <w:b/>
          <w:sz w:val="20"/>
          <w:szCs w:val="20"/>
          <w:lang w:val="es-ES_tradnl"/>
        </w:rPr>
      </w:pPr>
    </w:p>
    <w:p w:rsidRPr="0091690B" w:rsidR="008F34E0" w:rsidP="008F34E0" w:rsidRDefault="008F34E0" w14:paraId="5F5E56E1" w14:textId="77777777">
      <w:pPr>
        <w:jc w:val="both"/>
        <w:rPr>
          <w:rFonts w:ascii="Arial" w:hAnsi="Arial" w:eastAsia="Calibri" w:cs="Arial"/>
          <w:bCs/>
          <w:sz w:val="20"/>
          <w:szCs w:val="20"/>
          <w:lang w:val="es-ES_tradnl"/>
        </w:rPr>
      </w:pPr>
      <w:r w:rsidRPr="0091690B">
        <w:rPr>
          <w:rFonts w:ascii="Arial" w:hAnsi="Arial" w:eastAsia="Calibri" w:cs="Arial"/>
          <w:bCs/>
          <w:sz w:val="20"/>
          <w:szCs w:val="20"/>
          <w:lang w:val="es-ES_tradnl"/>
        </w:rPr>
        <w:t xml:space="preserve">El artículo 34 de la Ley 2069 de 2020 dispone nuevas reglas sobre la promoción al desarrollo en la contratación estatal. Concretamente, modifica el contenido del artículo 12 de la Ley 1150 de 2007, regulación que se resume en los siguientes aspectos: 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91690B">
        <w:rPr>
          <w:rFonts w:ascii="Arial" w:hAnsi="Arial" w:eastAsia="Calibri" w:cs="Arial"/>
          <w:bCs/>
          <w:sz w:val="20"/>
          <w:szCs w:val="20"/>
          <w:lang w:val="es-ES_tradnl"/>
        </w:rPr>
        <w:t>Mipyme</w:t>
      </w:r>
      <w:proofErr w:type="spellEnd"/>
      <w:r w:rsidRPr="0091690B">
        <w:rPr>
          <w:rFonts w:ascii="Arial" w:hAnsi="Arial" w:eastAsia="Calibri" w:cs="Arial"/>
          <w:bCs/>
          <w:sz w:val="20"/>
          <w:szCs w:val="20"/>
          <w:lang w:val="es-ES_tradnl"/>
        </w:rPr>
        <w:t xml:space="preserve"> en los procesos de contratación. Además, agrega que estas convocatorias se pueden realizar también en el ámbito municipal o departamental en el que se ejecute el contrato. </w:t>
      </w:r>
      <w:proofErr w:type="spellStart"/>
      <w:r w:rsidRPr="0091690B">
        <w:rPr>
          <w:rFonts w:ascii="Arial" w:hAnsi="Arial" w:eastAsia="Calibri" w:cs="Arial"/>
          <w:bCs/>
          <w:sz w:val="20"/>
          <w:szCs w:val="20"/>
          <w:lang w:val="es-ES_tradnl"/>
        </w:rPr>
        <w:t>ii</w:t>
      </w:r>
      <w:proofErr w:type="spellEnd"/>
      <w:r w:rsidRPr="0091690B">
        <w:rPr>
          <w:rFonts w:ascii="Arial" w:hAnsi="Arial" w:eastAsia="Calibri" w:cs="Arial"/>
          <w:bCs/>
          <w:sz w:val="20"/>
          <w:szCs w:val="20"/>
          <w:lang w:val="es-ES_tradnl"/>
        </w:rPr>
        <w:t xml:space="preserve">) Indica que dichas convocatorias se deben efectuar –y así lo deberá reglamentar el gobierno nacional– siempre y cuando, antes del acto administrativo de apertura del proceso de selección, por lo menos dos (2) </w:t>
      </w:r>
      <w:proofErr w:type="spellStart"/>
      <w:r w:rsidRPr="0091690B">
        <w:rPr>
          <w:rFonts w:ascii="Arial" w:hAnsi="Arial" w:eastAsia="Calibri" w:cs="Arial"/>
          <w:bCs/>
          <w:sz w:val="20"/>
          <w:szCs w:val="20"/>
          <w:lang w:val="es-ES_tradnl"/>
        </w:rPr>
        <w:t>Mipyme</w:t>
      </w:r>
      <w:proofErr w:type="spellEnd"/>
      <w:r w:rsidRPr="0091690B">
        <w:rPr>
          <w:rFonts w:ascii="Arial" w:hAnsi="Arial" w:eastAsia="Calibri" w:cs="Arial"/>
          <w:bCs/>
          <w:sz w:val="20"/>
          <w:szCs w:val="20"/>
          <w:lang w:val="es-ES_tradnl"/>
        </w:rPr>
        <w:t xml:space="preserve"> hayan manifestado su interés. […]</w:t>
      </w:r>
    </w:p>
    <w:p w:rsidRPr="0091690B" w:rsidR="008F34E0" w:rsidP="008F34E0" w:rsidRDefault="008F34E0" w14:paraId="4137ECCD" w14:textId="77777777">
      <w:pPr>
        <w:jc w:val="both"/>
        <w:rPr>
          <w:rFonts w:ascii="Arial" w:hAnsi="Arial" w:eastAsia="Calibri" w:cs="Arial"/>
          <w:sz w:val="20"/>
          <w:szCs w:val="20"/>
          <w:highlight w:val="yellow"/>
          <w:lang w:val="es-ES_tradnl"/>
        </w:rPr>
      </w:pPr>
    </w:p>
    <w:p w:rsidRPr="0091690B" w:rsidR="008F34E0" w:rsidP="008F34E0" w:rsidRDefault="008F34E0" w14:paraId="19844001" w14:textId="77777777">
      <w:pPr>
        <w:jc w:val="both"/>
        <w:rPr>
          <w:rFonts w:ascii="Arial" w:hAnsi="Arial" w:eastAsia="Arial" w:cs="Arial"/>
          <w:b/>
          <w:color w:val="000000"/>
          <w:sz w:val="20"/>
          <w:szCs w:val="20"/>
        </w:rPr>
      </w:pPr>
      <w:bookmarkStart w:name="_Hlk57736164" w:id="0"/>
      <w:r w:rsidRPr="0091690B">
        <w:rPr>
          <w:rFonts w:ascii="Arial" w:hAnsi="Arial" w:eastAsia="Arial" w:cs="Arial"/>
          <w:b/>
          <w:color w:val="000000"/>
          <w:sz w:val="20"/>
          <w:szCs w:val="20"/>
        </w:rPr>
        <w:t xml:space="preserve">CONVOCATORIAS LIMITADAS A MIPYMES NACIONALES – Requisitos </w:t>
      </w:r>
    </w:p>
    <w:p w:rsidRPr="0091690B" w:rsidR="008F34E0" w:rsidP="008F34E0" w:rsidRDefault="008F34E0" w14:paraId="01981D71" w14:textId="77777777">
      <w:pPr>
        <w:jc w:val="both"/>
        <w:rPr>
          <w:rFonts w:ascii="Arial" w:hAnsi="Arial" w:eastAsia="Arial" w:cs="Arial"/>
          <w:b/>
          <w:color w:val="000000"/>
          <w:sz w:val="20"/>
          <w:szCs w:val="20"/>
        </w:rPr>
      </w:pPr>
    </w:p>
    <w:p w:rsidRPr="0091690B" w:rsidR="008F34E0" w:rsidP="008F34E0" w:rsidRDefault="008F34E0" w14:paraId="43AE1892" w14:textId="77777777">
      <w:pPr>
        <w:spacing w:before="120"/>
        <w:jc w:val="both"/>
        <w:rPr>
          <w:rFonts w:ascii="Arial" w:hAnsi="Arial" w:cs="Arial"/>
          <w:color w:val="000000" w:themeColor="text1"/>
          <w:sz w:val="20"/>
          <w:szCs w:val="20"/>
        </w:rPr>
      </w:pPr>
      <w:r w:rsidRPr="0091690B">
        <w:rPr>
          <w:rFonts w:ascii="Arial" w:hAnsi="Arial" w:cs="Arial"/>
          <w:color w:val="000000" w:themeColor="text1"/>
          <w:sz w:val="20"/>
          <w:szCs w:val="20"/>
        </w:rPr>
        <w:t xml:space="preserve">El artículo 2.2.1.2.4.2.2. del Decreto 1082 de 2015 establece los requisitos que se deben acreditar en las «convocatorias limitadas a </w:t>
      </w:r>
      <w:proofErr w:type="spellStart"/>
      <w:r w:rsidRPr="0091690B">
        <w:rPr>
          <w:rFonts w:ascii="Arial" w:hAnsi="Arial" w:cs="Arial"/>
          <w:color w:val="000000" w:themeColor="text1"/>
          <w:sz w:val="20"/>
          <w:szCs w:val="20"/>
        </w:rPr>
        <w:t>Mipymes</w:t>
      </w:r>
      <w:proofErr w:type="spellEnd"/>
      <w:r w:rsidRPr="0091690B">
        <w:rPr>
          <w:rFonts w:ascii="Arial" w:hAnsi="Arial" w:cs="Arial"/>
          <w:color w:val="000000" w:themeColor="text1"/>
          <w:sz w:val="20"/>
          <w:szCs w:val="20"/>
        </w:rPr>
        <w:t>». El primer elemento delimitador del ámbito de aplicación de esta norma deriva del primer inciso en donde se estable que la «</w:t>
      </w:r>
      <w:r w:rsidRPr="0091690B">
        <w:rPr>
          <w:rFonts w:ascii="Arial" w:hAnsi="Arial" w:cs="Arial"/>
          <w:color w:val="000000"/>
          <w:sz w:val="20"/>
          <w:szCs w:val="20"/>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91690B">
        <w:rPr>
          <w:rFonts w:ascii="Arial" w:hAnsi="Arial" w:cs="Arial"/>
          <w:color w:val="000000"/>
          <w:sz w:val="20"/>
          <w:szCs w:val="20"/>
        </w:rPr>
        <w:t>Mipyme</w:t>
      </w:r>
      <w:proofErr w:type="spellEnd"/>
      <w:r w:rsidRPr="0091690B">
        <w:rPr>
          <w:rFonts w:ascii="Arial" w:hAnsi="Arial" w:cs="Arial"/>
          <w:color w:val="000000"/>
          <w:sz w:val="20"/>
          <w:szCs w:val="20"/>
        </w:rPr>
        <w:t xml:space="preserve"> colombianas con mínimo un (1) año de existencia […]». Esta redacción obedece a un cambio introducido por el Decreto 1860 de 2021, el cual solo permitía la limitación a </w:t>
      </w:r>
      <w:proofErr w:type="spellStart"/>
      <w:r w:rsidRPr="0091690B">
        <w:rPr>
          <w:rFonts w:ascii="Arial" w:hAnsi="Arial" w:cs="Arial"/>
          <w:color w:val="000000"/>
          <w:sz w:val="20"/>
          <w:szCs w:val="20"/>
        </w:rPr>
        <w:t>mipymes</w:t>
      </w:r>
      <w:proofErr w:type="spellEnd"/>
      <w:r w:rsidRPr="0091690B">
        <w:rPr>
          <w:rFonts w:ascii="Arial" w:hAnsi="Arial" w:cs="Arial"/>
          <w:color w:val="000000"/>
          <w:sz w:val="20"/>
          <w:szCs w:val="20"/>
        </w:rPr>
        <w:t xml:space="preserve"> nacionales en los procedimientos de l</w:t>
      </w:r>
      <w:r w:rsidRPr="0091690B">
        <w:rPr>
          <w:rFonts w:ascii="Arial" w:hAnsi="Arial" w:cs="Arial"/>
          <w:color w:val="000000" w:themeColor="text1"/>
          <w:sz w:val="20"/>
          <w:szCs w:val="20"/>
        </w:rPr>
        <w:t xml:space="preserve">icitación pública, selección abreviada y concurso de méritos. </w:t>
      </w:r>
    </w:p>
    <w:p w:rsidRPr="0091690B" w:rsidR="008F34E0" w:rsidP="008F34E0" w:rsidRDefault="008F34E0" w14:paraId="08F16C70" w14:textId="77777777">
      <w:pPr>
        <w:spacing w:before="120"/>
        <w:jc w:val="both"/>
        <w:rPr>
          <w:rFonts w:ascii="Arial" w:hAnsi="Arial" w:cs="Arial"/>
          <w:color w:val="000000" w:themeColor="text1"/>
          <w:sz w:val="20"/>
          <w:szCs w:val="20"/>
        </w:rPr>
      </w:pPr>
      <w:r w:rsidRPr="0091690B">
        <w:rPr>
          <w:rFonts w:ascii="Arial" w:hAnsi="Arial" w:cs="Arial"/>
          <w:color w:val="000000" w:themeColor="text1"/>
          <w:sz w:val="20"/>
          <w:szCs w:val="20"/>
        </w:rPr>
        <w:t xml:space="preserve">El numeral primero limita cuantitativamente los procesos contractuales en los que se puede hacer esa «convocatoria limitada a </w:t>
      </w:r>
      <w:proofErr w:type="spellStart"/>
      <w:r w:rsidRPr="0091690B">
        <w:rPr>
          <w:rFonts w:ascii="Arial" w:hAnsi="Arial" w:cs="Arial"/>
          <w:color w:val="000000" w:themeColor="text1"/>
          <w:sz w:val="20"/>
          <w:szCs w:val="20"/>
        </w:rPr>
        <w:t>Mipymes</w:t>
      </w:r>
      <w:proofErr w:type="spellEnd"/>
      <w:r w:rsidRPr="0091690B">
        <w:rPr>
          <w:rFonts w:ascii="Arial" w:hAnsi="Arial" w:cs="Arial"/>
          <w:color w:val="000000" w:themeColor="text1"/>
          <w:sz w:val="20"/>
          <w:szCs w:val="20"/>
        </w:rPr>
        <w:t>», en la medida en que el valor del proceso de contratación tendrá que ser «menor a ciento veinticinco mil dólares de los Estados Unidos de América». […]</w:t>
      </w:r>
    </w:p>
    <w:bookmarkEnd w:id="0"/>
    <w:p w:rsidRPr="0091690B" w:rsidR="008F34E0" w:rsidP="008F34E0" w:rsidRDefault="008F34E0" w14:paraId="30D9C9FF" w14:textId="77777777">
      <w:pPr>
        <w:spacing w:before="120"/>
        <w:jc w:val="both"/>
        <w:rPr>
          <w:rFonts w:ascii="Arial" w:hAnsi="Arial" w:cs="Arial"/>
          <w:color w:val="000000" w:themeColor="text1"/>
          <w:sz w:val="20"/>
          <w:szCs w:val="20"/>
        </w:rPr>
      </w:pPr>
      <w:r w:rsidRPr="0091690B">
        <w:rPr>
          <w:rFonts w:ascii="Arial" w:hAnsi="Arial" w:cs="Arial"/>
          <w:color w:val="000000" w:themeColor="text1"/>
          <w:sz w:val="20"/>
          <w:szCs w:val="20"/>
        </w:rPr>
        <w:t xml:space="preserve">El numeral segundo establece dos exigencias: por un lado, que al menos dos (2) </w:t>
      </w:r>
      <w:proofErr w:type="spellStart"/>
      <w:r w:rsidRPr="0091690B">
        <w:rPr>
          <w:rFonts w:ascii="Arial" w:hAnsi="Arial" w:cs="Arial"/>
          <w:color w:val="000000" w:themeColor="text1"/>
          <w:sz w:val="20"/>
          <w:szCs w:val="20"/>
        </w:rPr>
        <w:t>Mipymes</w:t>
      </w:r>
      <w:proofErr w:type="spellEnd"/>
      <w:r w:rsidRPr="0091690B">
        <w:rPr>
          <w:rFonts w:ascii="Arial" w:hAnsi="Arial" w:cs="Arial"/>
          <w:color w:val="000000" w:themeColor="text1"/>
          <w:sz w:val="20"/>
          <w:szCs w:val="20"/>
        </w:rPr>
        <w:t xml:space="preserve">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 solicitudes las «[…] </w:t>
      </w:r>
      <w:proofErr w:type="spellStart"/>
      <w:r w:rsidRPr="0091690B">
        <w:rPr>
          <w:rFonts w:ascii="Arial" w:hAnsi="Arial" w:cs="Arial"/>
          <w:color w:val="000000" w:themeColor="text1"/>
          <w:sz w:val="20"/>
          <w:szCs w:val="20"/>
        </w:rPr>
        <w:t>Mipyme</w:t>
      </w:r>
      <w:proofErr w:type="spellEnd"/>
      <w:r w:rsidRPr="0091690B">
        <w:rPr>
          <w:rFonts w:ascii="Arial" w:hAnsi="Arial" w:cs="Arial"/>
          <w:color w:val="000000" w:themeColor="text1"/>
          <w:sz w:val="20"/>
          <w:szCs w:val="20"/>
        </w:rPr>
        <w:t>, cuyo objeto social les permita ejecutar el contrato relacionado con el proceso contractual».</w:t>
      </w:r>
    </w:p>
    <w:p w:rsidRPr="0091690B" w:rsidR="008F34E0" w:rsidP="008F34E0" w:rsidRDefault="008F34E0" w14:paraId="2E271627" w14:textId="77777777">
      <w:pPr>
        <w:jc w:val="both"/>
        <w:rPr>
          <w:rFonts w:ascii="Arial" w:hAnsi="Arial" w:eastAsia="Arial" w:cs="Arial"/>
          <w:b/>
          <w:color w:val="000000"/>
          <w:sz w:val="20"/>
          <w:szCs w:val="20"/>
        </w:rPr>
      </w:pPr>
    </w:p>
    <w:p w:rsidRPr="0091690B" w:rsidR="008F34E0" w:rsidP="008F34E0" w:rsidRDefault="008F34E0" w14:paraId="2C8999D4" w14:textId="77777777">
      <w:pPr>
        <w:jc w:val="both"/>
        <w:rPr>
          <w:rFonts w:ascii="Arial" w:hAnsi="Arial" w:eastAsia="Arial" w:cs="Arial"/>
          <w:color w:val="000000"/>
          <w:sz w:val="20"/>
          <w:szCs w:val="20"/>
        </w:rPr>
      </w:pPr>
    </w:p>
    <w:p w:rsidRPr="0091690B" w:rsidR="008F34E0" w:rsidP="008F34E0" w:rsidRDefault="008F34E0" w14:paraId="35DF34AE" w14:textId="77777777">
      <w:pPr>
        <w:jc w:val="both"/>
        <w:rPr>
          <w:rFonts w:ascii="Arial" w:hAnsi="Arial" w:eastAsia="Calibri" w:cs="Arial"/>
          <w:b/>
          <w:sz w:val="20"/>
          <w:szCs w:val="20"/>
          <w:lang w:val="es-ES_tradnl"/>
        </w:rPr>
      </w:pPr>
    </w:p>
    <w:p w:rsidRPr="0091690B" w:rsidR="008F34E0" w:rsidP="008F34E0" w:rsidRDefault="008F34E0" w14:paraId="4EF4C8CF" w14:textId="54F88A2B">
      <w:pPr>
        <w:jc w:val="both"/>
        <w:rPr>
          <w:rFonts w:ascii="Arial" w:hAnsi="Arial" w:eastAsia="Arial" w:cs="Arial"/>
          <w:b/>
          <w:color w:val="000000"/>
          <w:sz w:val="20"/>
          <w:szCs w:val="20"/>
        </w:rPr>
      </w:pPr>
      <w:r w:rsidRPr="0091690B">
        <w:rPr>
          <w:rFonts w:ascii="Arial" w:hAnsi="Arial" w:eastAsia="Arial" w:cs="Arial"/>
          <w:b/>
          <w:color w:val="000000"/>
          <w:sz w:val="20"/>
          <w:szCs w:val="20"/>
        </w:rPr>
        <w:t xml:space="preserve">CONVOCATORIAS LIMITADAS A MIPYMES </w:t>
      </w:r>
      <w:r w:rsidRPr="008F34E0">
        <w:rPr>
          <w:rFonts w:ascii="Arial" w:hAnsi="Arial" w:eastAsia="Arial" w:cs="Arial"/>
          <w:b/>
          <w:color w:val="000000"/>
          <w:sz w:val="20"/>
          <w:szCs w:val="20"/>
          <w:lang w:val="es-ES_tradnl"/>
        </w:rPr>
        <w:t>EN EL ÁMBITO TERRITORIAL</w:t>
      </w:r>
      <w:r w:rsidRPr="008F34E0">
        <w:rPr>
          <w:rFonts w:ascii="Arial" w:hAnsi="Arial" w:eastAsia="Arial" w:cs="Arial"/>
          <w:b/>
          <w:color w:val="000000"/>
          <w:sz w:val="20"/>
          <w:szCs w:val="20"/>
          <w:lang w:val="es-ES"/>
        </w:rPr>
        <w:t xml:space="preserve"> </w:t>
      </w:r>
      <w:r w:rsidRPr="0091690B">
        <w:rPr>
          <w:rFonts w:ascii="Arial" w:hAnsi="Arial" w:eastAsia="Arial" w:cs="Arial"/>
          <w:b/>
          <w:color w:val="000000"/>
          <w:sz w:val="20"/>
          <w:szCs w:val="20"/>
        </w:rPr>
        <w:t xml:space="preserve"> – Limitación territorial – Facultad discrecional </w:t>
      </w:r>
    </w:p>
    <w:p w:rsidRPr="0091690B" w:rsidR="008F34E0" w:rsidP="008F34E0" w:rsidRDefault="008F34E0" w14:paraId="1FC87F9F" w14:textId="77777777">
      <w:pPr>
        <w:jc w:val="both"/>
        <w:rPr>
          <w:rFonts w:ascii="Arial" w:hAnsi="Arial" w:eastAsia="Arial" w:cs="Arial"/>
          <w:b/>
          <w:color w:val="000000"/>
          <w:sz w:val="20"/>
          <w:szCs w:val="20"/>
        </w:rPr>
      </w:pPr>
    </w:p>
    <w:p w:rsidRPr="0091690B" w:rsidR="008F34E0" w:rsidP="008F34E0" w:rsidRDefault="008F34E0" w14:paraId="69D4C91B" w14:textId="77777777">
      <w:pPr>
        <w:spacing w:before="120"/>
        <w:jc w:val="both"/>
        <w:rPr>
          <w:rFonts w:ascii="Arial" w:hAnsi="Arial" w:eastAsia="Calibri" w:cs="Arial"/>
          <w:color w:val="000000" w:themeColor="text1"/>
          <w:sz w:val="20"/>
          <w:szCs w:val="20"/>
        </w:rPr>
      </w:pPr>
      <w:r w:rsidRPr="0091690B">
        <w:rPr>
          <w:rFonts w:ascii="Arial" w:hAnsi="Arial" w:cs="Arial"/>
          <w:color w:val="000000" w:themeColor="text1"/>
          <w:sz w:val="20"/>
          <w:szCs w:val="20"/>
        </w:rPr>
        <w:t xml:space="preserve">Cumplidos los dos requisitos del artículo 2.2.1.2.4.2.2. </w:t>
      </w:r>
      <w:r w:rsidRPr="0091690B">
        <w:rPr>
          <w:rFonts w:ascii="Arial" w:hAnsi="Arial" w:cs="Arial"/>
          <w:i/>
          <w:iCs/>
          <w:color w:val="000000" w:themeColor="text1"/>
          <w:sz w:val="20"/>
          <w:szCs w:val="20"/>
        </w:rPr>
        <w:t>ibidem</w:t>
      </w:r>
      <w:r w:rsidRPr="0091690B">
        <w:rPr>
          <w:rFonts w:ascii="Arial" w:hAnsi="Arial" w:cs="Arial"/>
          <w:color w:val="000000" w:themeColor="text1"/>
          <w:sz w:val="20"/>
          <w:szCs w:val="20"/>
        </w:rPr>
        <w:t xml:space="preserve">, la entidad puede ─no tiene que─ decidir si limita la convocatoria a las </w:t>
      </w:r>
      <w:proofErr w:type="spellStart"/>
      <w:r w:rsidRPr="0091690B">
        <w:rPr>
          <w:rFonts w:ascii="Arial" w:hAnsi="Arial" w:cs="Arial"/>
          <w:color w:val="000000" w:themeColor="text1"/>
          <w:sz w:val="20"/>
          <w:szCs w:val="20"/>
        </w:rPr>
        <w:t>Mipymes</w:t>
      </w:r>
      <w:proofErr w:type="spellEnd"/>
      <w:r w:rsidRPr="0091690B">
        <w:rPr>
          <w:rFonts w:ascii="Arial" w:hAnsi="Arial" w:cs="Arial"/>
          <w:color w:val="000000" w:themeColor="text1"/>
          <w:sz w:val="20"/>
          <w:szCs w:val="20"/>
        </w:rPr>
        <w:t xml:space="preserve"> nacionales domiciliadas en el municipio o departamento en el que se ejecutará el contrato</w:t>
      </w:r>
      <w:r w:rsidRPr="0091690B">
        <w:rPr>
          <w:rFonts w:ascii="Arial" w:hAnsi="Arial" w:cs="Arial"/>
          <w:color w:val="000000" w:themeColor="text1"/>
          <w:sz w:val="20"/>
          <w:szCs w:val="20"/>
          <w:vertAlign w:val="superscript"/>
        </w:rPr>
        <w:footnoteReference w:id="1"/>
      </w:r>
      <w:r w:rsidRPr="0091690B">
        <w:rPr>
          <w:rFonts w:ascii="Arial" w:hAnsi="Arial" w:cs="Arial"/>
          <w:color w:val="000000" w:themeColor="text1"/>
          <w:sz w:val="20"/>
          <w:szCs w:val="20"/>
        </w:rPr>
        <w:t xml:space="preserve">. Esto de acuerdo con lo establecido en artículo </w:t>
      </w:r>
      <w:r w:rsidRPr="0091690B">
        <w:rPr>
          <w:rFonts w:ascii="Arial" w:hAnsi="Arial" w:cs="Arial"/>
          <w:color w:val="000000" w:themeColor="text1"/>
          <w:sz w:val="20"/>
          <w:szCs w:val="20"/>
        </w:rPr>
        <w:lastRenderedPageBreak/>
        <w:t xml:space="preserve">2.2.1.2.4.2.3. del Decreto 1082 de 2015, norma que se refiere a la facultad de la administración con el verbo infinitivo «poder», no «deber». En cualquier caso, </w:t>
      </w:r>
      <w:r w:rsidRPr="0091690B">
        <w:rPr>
          <w:rFonts w:ascii="Arial" w:hAnsi="Arial" w:eastAsia="Calibri" w:cs="Arial"/>
          <w:color w:val="000000" w:themeColor="text1"/>
          <w:sz w:val="20"/>
          <w:szCs w:val="20"/>
        </w:rPr>
        <w:t xml:space="preserve">Colombia Compra Eficiente ha sostenido que es discrecional la decisión de limitar territorialmente una convocatoria de </w:t>
      </w:r>
      <w:proofErr w:type="spellStart"/>
      <w:r w:rsidRPr="0091690B">
        <w:rPr>
          <w:rFonts w:ascii="Arial" w:hAnsi="Arial" w:eastAsia="Calibri" w:cs="Arial"/>
          <w:color w:val="000000" w:themeColor="text1"/>
          <w:sz w:val="20"/>
          <w:szCs w:val="20"/>
        </w:rPr>
        <w:t>Mipymes</w:t>
      </w:r>
      <w:proofErr w:type="spellEnd"/>
      <w:r w:rsidRPr="0091690B">
        <w:rPr>
          <w:rFonts w:ascii="Arial" w:hAnsi="Arial" w:eastAsia="Calibri" w:cs="Arial"/>
          <w:color w:val="000000" w:themeColor="text1"/>
          <w:sz w:val="20"/>
          <w:szCs w:val="20"/>
        </w:rPr>
        <w:t xml:space="preserve">, y ha precisado que, de todos modos, la decisión debe estar justificada en los correspondientes «estudios del sector». […] los artículos </w:t>
      </w:r>
      <w:r w:rsidRPr="0091690B">
        <w:rPr>
          <w:rFonts w:ascii="Arial" w:hAnsi="Arial" w:cs="Arial"/>
          <w:color w:val="000000" w:themeColor="text1"/>
          <w:sz w:val="20"/>
          <w:szCs w:val="20"/>
        </w:rPr>
        <w:t>2.2.1.2.4.2.2 y 2.2.1.2.4.2.3</w:t>
      </w:r>
      <w:r w:rsidRPr="0091690B">
        <w:rPr>
          <w:rFonts w:ascii="Arial" w:hAnsi="Arial" w:eastAsia="Calibri" w:cs="Arial"/>
          <w:color w:val="000000" w:themeColor="text1"/>
          <w:sz w:val="20"/>
          <w:szCs w:val="20"/>
        </w:rPr>
        <w:t xml:space="preserve">  deben ser interpretados de manera armónica, comoquiera que para proceder a limitar hacer una limitación territoriales es indispensable que se cumplan, no solo el presupuestos establecidos en el artículo </w:t>
      </w:r>
      <w:r w:rsidRPr="0091690B">
        <w:rPr>
          <w:rFonts w:ascii="Arial" w:hAnsi="Arial" w:cs="Arial"/>
          <w:color w:val="000000" w:themeColor="text1"/>
          <w:sz w:val="20"/>
          <w:szCs w:val="20"/>
        </w:rPr>
        <w:t xml:space="preserve">2.2.1.2.4.2.3.–domicilio en el municipio o departamento de ejecución del contrato–, sino también los establecidos en el artículo </w:t>
      </w:r>
      <w:r w:rsidRPr="0091690B">
        <w:rPr>
          <w:rFonts w:ascii="Arial" w:hAnsi="Arial" w:eastAsia="Calibri" w:cs="Arial"/>
          <w:color w:val="000000" w:themeColor="text1"/>
          <w:sz w:val="20"/>
          <w:szCs w:val="20"/>
        </w:rPr>
        <w:t xml:space="preserve">2.2.1.2.4.2.2 –valor del proceso de contratación en el rango indicado y solicitudes de al menos dos </w:t>
      </w:r>
      <w:proofErr w:type="spellStart"/>
      <w:r w:rsidRPr="0091690B">
        <w:rPr>
          <w:rFonts w:ascii="Arial" w:hAnsi="Arial" w:eastAsia="Calibri" w:cs="Arial"/>
          <w:color w:val="000000" w:themeColor="text1"/>
          <w:sz w:val="20"/>
          <w:szCs w:val="20"/>
        </w:rPr>
        <w:t>mipymes</w:t>
      </w:r>
      <w:proofErr w:type="spellEnd"/>
      <w:r w:rsidRPr="0091690B">
        <w:rPr>
          <w:rFonts w:ascii="Arial" w:hAnsi="Arial" w:eastAsia="Calibri" w:cs="Arial"/>
          <w:color w:val="000000" w:themeColor="text1"/>
          <w:sz w:val="20"/>
          <w:szCs w:val="20"/>
        </w:rPr>
        <w:t xml:space="preserve"> presentadas oportunamente–. En ese sentido, para que proceda la limitación territorial es necesario que se presenten al menos dos solicitudes de </w:t>
      </w:r>
      <w:proofErr w:type="spellStart"/>
      <w:r w:rsidRPr="0091690B">
        <w:rPr>
          <w:rFonts w:ascii="Arial" w:hAnsi="Arial" w:eastAsia="Calibri" w:cs="Arial"/>
          <w:color w:val="000000" w:themeColor="text1"/>
          <w:sz w:val="20"/>
          <w:szCs w:val="20"/>
        </w:rPr>
        <w:t>mipymes</w:t>
      </w:r>
      <w:proofErr w:type="spellEnd"/>
      <w:r w:rsidRPr="0091690B">
        <w:rPr>
          <w:rFonts w:ascii="Arial" w:hAnsi="Arial" w:eastAsia="Calibri" w:cs="Arial"/>
          <w:color w:val="000000" w:themeColor="text1"/>
          <w:sz w:val="20"/>
          <w:szCs w:val="20"/>
        </w:rPr>
        <w:t xml:space="preserve"> domiciliadas en el departamento o municipio en donde se va a ejecutar el contrato.  Este entendimiento de la norma, sin embargo, da lugar a dos interpretaciones sobre las que se deben hacer unas precisiones.</w:t>
      </w:r>
    </w:p>
    <w:p w:rsidRPr="008F34E0" w:rsidR="00621C87" w:rsidP="00FC1AF6" w:rsidRDefault="00621C87" w14:paraId="2FD904B1" w14:textId="77777777">
      <w:pPr>
        <w:jc w:val="both"/>
        <w:rPr>
          <w:rFonts w:ascii="Arial" w:hAnsi="Arial" w:eastAsia="Calibri" w:cs="Arial"/>
          <w:sz w:val="22"/>
        </w:rPr>
      </w:pPr>
    </w:p>
    <w:p w:rsidR="00621C87" w:rsidP="00FC1AF6" w:rsidRDefault="00621C87" w14:paraId="16D2B0ED" w14:textId="77777777">
      <w:pPr>
        <w:jc w:val="both"/>
        <w:rPr>
          <w:rFonts w:ascii="Arial" w:hAnsi="Arial" w:eastAsia="Calibri" w:cs="Arial"/>
          <w:sz w:val="22"/>
          <w:lang w:val="es-ES_tradnl"/>
        </w:rPr>
      </w:pPr>
    </w:p>
    <w:p w:rsidR="00621C87" w:rsidP="00FC1AF6" w:rsidRDefault="00621C87" w14:paraId="6A2A4FB6" w14:textId="0C670644">
      <w:pPr>
        <w:jc w:val="both"/>
        <w:rPr>
          <w:rFonts w:ascii="Arial" w:hAnsi="Arial" w:eastAsia="Calibri" w:cs="Arial"/>
          <w:sz w:val="22"/>
          <w:lang w:val="es-ES_tradnl"/>
        </w:rPr>
      </w:pPr>
    </w:p>
    <w:p w:rsidR="009E1D4F" w:rsidP="00FC1AF6" w:rsidRDefault="009E1D4F" w14:paraId="676820CA" w14:textId="20BEC72B">
      <w:pPr>
        <w:jc w:val="both"/>
        <w:rPr>
          <w:rFonts w:ascii="Arial" w:hAnsi="Arial" w:eastAsia="Calibri" w:cs="Arial"/>
          <w:sz w:val="22"/>
          <w:lang w:val="es-ES_tradnl"/>
        </w:rPr>
      </w:pPr>
    </w:p>
    <w:p w:rsidR="009E1D4F" w:rsidP="00FC1AF6" w:rsidRDefault="009E1D4F" w14:paraId="51EB71AB" w14:textId="50749E0A">
      <w:pPr>
        <w:jc w:val="both"/>
        <w:rPr>
          <w:rFonts w:ascii="Arial" w:hAnsi="Arial" w:eastAsia="Calibri" w:cs="Arial"/>
          <w:sz w:val="22"/>
          <w:lang w:val="es-ES_tradnl"/>
        </w:rPr>
      </w:pPr>
    </w:p>
    <w:p w:rsidR="009E1D4F" w:rsidP="00FC1AF6" w:rsidRDefault="009E1D4F" w14:paraId="24DFB535" w14:textId="35378859">
      <w:pPr>
        <w:jc w:val="both"/>
        <w:rPr>
          <w:rFonts w:ascii="Arial" w:hAnsi="Arial" w:eastAsia="Calibri" w:cs="Arial"/>
          <w:sz w:val="22"/>
          <w:lang w:val="es-ES_tradnl"/>
        </w:rPr>
      </w:pPr>
    </w:p>
    <w:p w:rsidR="009E1D4F" w:rsidP="00FC1AF6" w:rsidRDefault="009E1D4F" w14:paraId="2E768CDC" w14:textId="15069530">
      <w:pPr>
        <w:jc w:val="both"/>
        <w:rPr>
          <w:rFonts w:ascii="Arial" w:hAnsi="Arial" w:eastAsia="Calibri" w:cs="Arial"/>
          <w:sz w:val="22"/>
          <w:lang w:val="es-ES_tradnl"/>
        </w:rPr>
      </w:pPr>
    </w:p>
    <w:p w:rsidR="009E1D4F" w:rsidP="00FC1AF6" w:rsidRDefault="009E1D4F" w14:paraId="38960DEE" w14:textId="6FA145D7">
      <w:pPr>
        <w:jc w:val="both"/>
        <w:rPr>
          <w:rFonts w:ascii="Arial" w:hAnsi="Arial" w:eastAsia="Calibri" w:cs="Arial"/>
          <w:sz w:val="22"/>
          <w:lang w:val="es-ES_tradnl"/>
        </w:rPr>
      </w:pPr>
    </w:p>
    <w:p w:rsidR="009E1D4F" w:rsidP="00FC1AF6" w:rsidRDefault="009E1D4F" w14:paraId="190135E7" w14:textId="5E7DAEDD">
      <w:pPr>
        <w:jc w:val="both"/>
        <w:rPr>
          <w:rFonts w:ascii="Arial" w:hAnsi="Arial" w:eastAsia="Calibri" w:cs="Arial"/>
          <w:sz w:val="22"/>
          <w:lang w:val="es-ES_tradnl"/>
        </w:rPr>
      </w:pPr>
    </w:p>
    <w:p w:rsidR="009E1D4F" w:rsidP="00FC1AF6" w:rsidRDefault="009E1D4F" w14:paraId="16AA4D39" w14:textId="1E613DA1">
      <w:pPr>
        <w:jc w:val="both"/>
        <w:rPr>
          <w:rFonts w:ascii="Arial" w:hAnsi="Arial" w:eastAsia="Calibri" w:cs="Arial"/>
          <w:sz w:val="22"/>
          <w:lang w:val="es-ES_tradnl"/>
        </w:rPr>
      </w:pPr>
    </w:p>
    <w:p w:rsidR="009E1D4F" w:rsidP="00FC1AF6" w:rsidRDefault="009E1D4F" w14:paraId="13860CA1" w14:textId="189F2660">
      <w:pPr>
        <w:jc w:val="both"/>
        <w:rPr>
          <w:rFonts w:ascii="Arial" w:hAnsi="Arial" w:eastAsia="Calibri" w:cs="Arial"/>
          <w:sz w:val="22"/>
          <w:lang w:val="es-ES_tradnl"/>
        </w:rPr>
      </w:pPr>
    </w:p>
    <w:p w:rsidR="009E1D4F" w:rsidP="00FC1AF6" w:rsidRDefault="009E1D4F" w14:paraId="2C8FF8F5" w14:textId="2A4E9ECE">
      <w:pPr>
        <w:jc w:val="both"/>
        <w:rPr>
          <w:rFonts w:ascii="Arial" w:hAnsi="Arial" w:eastAsia="Calibri" w:cs="Arial"/>
          <w:sz w:val="22"/>
          <w:lang w:val="es-ES_tradnl"/>
        </w:rPr>
      </w:pPr>
    </w:p>
    <w:p w:rsidR="009E1D4F" w:rsidP="00FC1AF6" w:rsidRDefault="009E1D4F" w14:paraId="252F0979" w14:textId="188B291F">
      <w:pPr>
        <w:jc w:val="both"/>
        <w:rPr>
          <w:rFonts w:ascii="Arial" w:hAnsi="Arial" w:eastAsia="Calibri" w:cs="Arial"/>
          <w:sz w:val="22"/>
          <w:lang w:val="es-ES_tradnl"/>
        </w:rPr>
      </w:pPr>
    </w:p>
    <w:p w:rsidR="009E1D4F" w:rsidP="00FC1AF6" w:rsidRDefault="009E1D4F" w14:paraId="2DB54CA6" w14:textId="1F4A5399">
      <w:pPr>
        <w:jc w:val="both"/>
        <w:rPr>
          <w:rFonts w:ascii="Arial" w:hAnsi="Arial" w:eastAsia="Calibri" w:cs="Arial"/>
          <w:sz w:val="22"/>
          <w:lang w:val="es-ES_tradnl"/>
        </w:rPr>
      </w:pPr>
    </w:p>
    <w:p w:rsidR="009E1D4F" w:rsidP="00FC1AF6" w:rsidRDefault="009E1D4F" w14:paraId="0175DF84" w14:textId="220C70A5">
      <w:pPr>
        <w:jc w:val="both"/>
        <w:rPr>
          <w:rFonts w:ascii="Arial" w:hAnsi="Arial" w:eastAsia="Calibri" w:cs="Arial"/>
          <w:sz w:val="22"/>
          <w:lang w:val="es-ES_tradnl"/>
        </w:rPr>
      </w:pPr>
    </w:p>
    <w:p w:rsidR="009E1D4F" w:rsidP="00FC1AF6" w:rsidRDefault="009E1D4F" w14:paraId="524A2B6E" w14:textId="0270F6DD">
      <w:pPr>
        <w:jc w:val="both"/>
        <w:rPr>
          <w:rFonts w:ascii="Arial" w:hAnsi="Arial" w:eastAsia="Calibri" w:cs="Arial"/>
          <w:sz w:val="22"/>
          <w:lang w:val="es-ES_tradnl"/>
        </w:rPr>
      </w:pPr>
    </w:p>
    <w:p w:rsidR="009E1D4F" w:rsidP="00FC1AF6" w:rsidRDefault="009E1D4F" w14:paraId="42BB3AA0" w14:textId="23C4EAC4">
      <w:pPr>
        <w:jc w:val="both"/>
        <w:rPr>
          <w:rFonts w:ascii="Arial" w:hAnsi="Arial" w:eastAsia="Calibri" w:cs="Arial"/>
          <w:sz w:val="22"/>
          <w:lang w:val="es-ES_tradnl"/>
        </w:rPr>
      </w:pPr>
    </w:p>
    <w:p w:rsidR="009E1D4F" w:rsidP="00FC1AF6" w:rsidRDefault="009E1D4F" w14:paraId="546F1521" w14:textId="71E5817E">
      <w:pPr>
        <w:jc w:val="both"/>
        <w:rPr>
          <w:rFonts w:ascii="Arial" w:hAnsi="Arial" w:eastAsia="Calibri" w:cs="Arial"/>
          <w:sz w:val="22"/>
          <w:lang w:val="es-ES_tradnl"/>
        </w:rPr>
      </w:pPr>
    </w:p>
    <w:p w:rsidR="009E1D4F" w:rsidP="00FC1AF6" w:rsidRDefault="009E1D4F" w14:paraId="0CA5C546" w14:textId="4E8DC3B4">
      <w:pPr>
        <w:jc w:val="both"/>
        <w:rPr>
          <w:rFonts w:ascii="Arial" w:hAnsi="Arial" w:eastAsia="Calibri" w:cs="Arial"/>
          <w:sz w:val="22"/>
          <w:lang w:val="es-ES_tradnl"/>
        </w:rPr>
      </w:pPr>
    </w:p>
    <w:p w:rsidR="009E1D4F" w:rsidP="00FC1AF6" w:rsidRDefault="009E1D4F" w14:paraId="2F99AFDA" w14:textId="35FC0168">
      <w:pPr>
        <w:jc w:val="both"/>
        <w:rPr>
          <w:rFonts w:ascii="Arial" w:hAnsi="Arial" w:eastAsia="Calibri" w:cs="Arial"/>
          <w:sz w:val="22"/>
          <w:lang w:val="es-ES_tradnl"/>
        </w:rPr>
      </w:pPr>
    </w:p>
    <w:p w:rsidR="009E1D4F" w:rsidP="00FC1AF6" w:rsidRDefault="009E1D4F" w14:paraId="1FCECA00" w14:textId="5B2825F5">
      <w:pPr>
        <w:jc w:val="both"/>
        <w:rPr>
          <w:rFonts w:ascii="Arial" w:hAnsi="Arial" w:eastAsia="Calibri" w:cs="Arial"/>
          <w:sz w:val="22"/>
          <w:lang w:val="es-ES_tradnl"/>
        </w:rPr>
      </w:pPr>
    </w:p>
    <w:p w:rsidR="009E1D4F" w:rsidP="00FC1AF6" w:rsidRDefault="009E1D4F" w14:paraId="2E451E8B" w14:textId="2CB17B9C">
      <w:pPr>
        <w:jc w:val="both"/>
        <w:rPr>
          <w:rFonts w:ascii="Arial" w:hAnsi="Arial" w:eastAsia="Calibri" w:cs="Arial"/>
          <w:sz w:val="22"/>
          <w:lang w:val="es-ES_tradnl"/>
        </w:rPr>
      </w:pPr>
    </w:p>
    <w:p w:rsidR="009E1D4F" w:rsidP="00FC1AF6" w:rsidRDefault="009E1D4F" w14:paraId="2FDFE398" w14:textId="3B2B027B">
      <w:pPr>
        <w:jc w:val="both"/>
        <w:rPr>
          <w:rFonts w:ascii="Arial" w:hAnsi="Arial" w:eastAsia="Calibri" w:cs="Arial"/>
          <w:sz w:val="22"/>
          <w:lang w:val="es-ES_tradnl"/>
        </w:rPr>
      </w:pPr>
    </w:p>
    <w:p w:rsidR="009E1D4F" w:rsidP="00FC1AF6" w:rsidRDefault="009E1D4F" w14:paraId="7C0AEE5D" w14:textId="4A676324">
      <w:pPr>
        <w:jc w:val="both"/>
        <w:rPr>
          <w:rFonts w:ascii="Arial" w:hAnsi="Arial" w:eastAsia="Calibri" w:cs="Arial"/>
          <w:sz w:val="22"/>
          <w:lang w:val="es-ES_tradnl"/>
        </w:rPr>
      </w:pPr>
    </w:p>
    <w:p w:rsidR="009E1D4F" w:rsidP="00FC1AF6" w:rsidRDefault="009E1D4F" w14:paraId="7B533191" w14:textId="41A1918B">
      <w:pPr>
        <w:jc w:val="both"/>
        <w:rPr>
          <w:rFonts w:ascii="Arial" w:hAnsi="Arial" w:eastAsia="Calibri" w:cs="Arial"/>
          <w:sz w:val="22"/>
          <w:lang w:val="es-ES_tradnl"/>
        </w:rPr>
      </w:pPr>
    </w:p>
    <w:p w:rsidR="009E1D4F" w:rsidP="00FC1AF6" w:rsidRDefault="009E1D4F" w14:paraId="6E5963B9" w14:textId="7653B56D">
      <w:pPr>
        <w:jc w:val="both"/>
        <w:rPr>
          <w:rFonts w:ascii="Arial" w:hAnsi="Arial" w:eastAsia="Calibri" w:cs="Arial"/>
          <w:sz w:val="22"/>
          <w:lang w:val="es-ES_tradnl"/>
        </w:rPr>
      </w:pPr>
    </w:p>
    <w:p w:rsidR="009E1D4F" w:rsidP="00FC1AF6" w:rsidRDefault="009E1D4F" w14:paraId="0464154E" w14:textId="0E920ACF">
      <w:pPr>
        <w:jc w:val="both"/>
        <w:rPr>
          <w:rFonts w:ascii="Arial" w:hAnsi="Arial" w:eastAsia="Calibri" w:cs="Arial"/>
          <w:sz w:val="22"/>
          <w:lang w:val="es-ES_tradnl"/>
        </w:rPr>
      </w:pPr>
    </w:p>
    <w:p w:rsidR="009E1D4F" w:rsidP="00FC1AF6" w:rsidRDefault="009E1D4F" w14:paraId="13B566E4" w14:textId="3138FB71">
      <w:pPr>
        <w:jc w:val="both"/>
        <w:rPr>
          <w:rFonts w:ascii="Arial" w:hAnsi="Arial" w:eastAsia="Calibri" w:cs="Arial"/>
          <w:sz w:val="22"/>
          <w:lang w:val="es-ES_tradnl"/>
        </w:rPr>
      </w:pPr>
    </w:p>
    <w:p w:rsidR="009E1D4F" w:rsidP="00FC1AF6" w:rsidRDefault="009E1D4F" w14:paraId="7212E3E2" w14:textId="59BD3A07">
      <w:pPr>
        <w:jc w:val="both"/>
        <w:rPr>
          <w:rFonts w:ascii="Arial" w:hAnsi="Arial" w:eastAsia="Calibri" w:cs="Arial"/>
          <w:sz w:val="22"/>
          <w:lang w:val="es-ES_tradnl"/>
        </w:rPr>
      </w:pPr>
    </w:p>
    <w:p w:rsidR="009E1D4F" w:rsidP="00FC1AF6" w:rsidRDefault="009E1D4F" w14:paraId="4B681228" w14:textId="728D6CC8">
      <w:pPr>
        <w:jc w:val="both"/>
        <w:rPr>
          <w:rFonts w:ascii="Arial" w:hAnsi="Arial" w:eastAsia="Calibri" w:cs="Arial"/>
          <w:sz w:val="22"/>
          <w:lang w:val="es-ES_tradnl"/>
        </w:rPr>
      </w:pPr>
    </w:p>
    <w:p w:rsidR="009E1D4F" w:rsidP="00FC1AF6" w:rsidRDefault="009E1D4F" w14:paraId="36933635" w14:textId="48936B57">
      <w:pPr>
        <w:jc w:val="both"/>
        <w:rPr>
          <w:rFonts w:ascii="Arial" w:hAnsi="Arial" w:eastAsia="Calibri" w:cs="Arial"/>
          <w:sz w:val="22"/>
          <w:lang w:val="es-ES_tradnl"/>
        </w:rPr>
      </w:pPr>
    </w:p>
    <w:p w:rsidR="009E1D4F" w:rsidP="00FC1AF6" w:rsidRDefault="009E1D4F" w14:paraId="5A89CB82" w14:textId="7351316F">
      <w:pPr>
        <w:jc w:val="both"/>
        <w:rPr>
          <w:rFonts w:ascii="Arial" w:hAnsi="Arial" w:eastAsia="Calibri" w:cs="Arial"/>
          <w:sz w:val="22"/>
          <w:lang w:val="es-ES_tradnl"/>
        </w:rPr>
      </w:pPr>
    </w:p>
    <w:p w:rsidR="009E1D4F" w:rsidP="00FC1AF6" w:rsidRDefault="009E1D4F" w14:paraId="0CE26F28" w14:textId="65CF0082">
      <w:pPr>
        <w:jc w:val="both"/>
        <w:rPr>
          <w:rFonts w:ascii="Arial" w:hAnsi="Arial" w:eastAsia="Calibri" w:cs="Arial"/>
          <w:sz w:val="22"/>
          <w:lang w:val="es-ES_tradnl"/>
        </w:rPr>
      </w:pPr>
    </w:p>
    <w:p w:rsidR="009E1D4F" w:rsidP="00FC1AF6" w:rsidRDefault="009E1D4F" w14:paraId="51537728" w14:textId="0A0F2402">
      <w:pPr>
        <w:jc w:val="both"/>
        <w:rPr>
          <w:rFonts w:ascii="Arial" w:hAnsi="Arial" w:eastAsia="Calibri" w:cs="Arial"/>
          <w:sz w:val="22"/>
          <w:lang w:val="es-ES_tradnl"/>
        </w:rPr>
      </w:pPr>
    </w:p>
    <w:p w:rsidR="009E1D4F" w:rsidP="00FC1AF6" w:rsidRDefault="009E1D4F" w14:paraId="01E5187A" w14:textId="4CE8B931">
      <w:pPr>
        <w:jc w:val="both"/>
        <w:rPr>
          <w:rFonts w:ascii="Arial" w:hAnsi="Arial" w:eastAsia="Calibri" w:cs="Arial"/>
          <w:sz w:val="22"/>
          <w:lang w:val="es-ES_tradnl"/>
        </w:rPr>
      </w:pPr>
    </w:p>
    <w:p w:rsidR="009E1D4F" w:rsidP="00FC1AF6" w:rsidRDefault="009E1D4F" w14:paraId="1715617A" w14:textId="2A49332E">
      <w:pPr>
        <w:jc w:val="both"/>
        <w:rPr>
          <w:rFonts w:ascii="Arial" w:hAnsi="Arial" w:eastAsia="Calibri" w:cs="Arial"/>
          <w:sz w:val="22"/>
          <w:lang w:val="es-ES_tradnl"/>
        </w:rPr>
      </w:pPr>
    </w:p>
    <w:p w:rsidR="009E1D4F" w:rsidP="00FC1AF6" w:rsidRDefault="009E1D4F" w14:paraId="553D257B" w14:textId="77777777">
      <w:pPr>
        <w:jc w:val="both"/>
        <w:rPr>
          <w:rFonts w:ascii="Arial" w:hAnsi="Arial" w:eastAsia="Calibri" w:cs="Arial"/>
          <w:sz w:val="22"/>
          <w:lang w:val="es-ES_tradnl"/>
        </w:rPr>
      </w:pPr>
    </w:p>
    <w:p w:rsidR="00621C87" w:rsidP="00FC1AF6" w:rsidRDefault="00621C87" w14:paraId="79AFA738" w14:textId="77777777">
      <w:pPr>
        <w:jc w:val="both"/>
        <w:rPr>
          <w:rFonts w:ascii="Arial" w:hAnsi="Arial" w:eastAsia="Calibri" w:cs="Arial"/>
          <w:sz w:val="22"/>
          <w:lang w:val="es-ES_tradnl"/>
        </w:rPr>
      </w:pPr>
    </w:p>
    <w:p w:rsidRPr="006E78EB" w:rsidR="006E78EB" w:rsidP="00FC1AF6" w:rsidRDefault="006E78EB" w14:paraId="3670117E" w14:textId="7440EC21">
      <w:pPr>
        <w:jc w:val="both"/>
        <w:rPr>
          <w:rFonts w:ascii="Arial" w:hAnsi="Arial" w:eastAsia="Calibri" w:cs="Arial"/>
          <w:sz w:val="22"/>
          <w:lang w:val="es-ES_tradnl"/>
        </w:rPr>
      </w:pPr>
      <w:r w:rsidRPr="006E78EB">
        <w:rPr>
          <w:rFonts w:ascii="Arial" w:hAnsi="Arial" w:eastAsia="Calibri" w:cs="Arial"/>
          <w:sz w:val="22"/>
          <w:lang w:val="es-ES_tradnl"/>
        </w:rPr>
        <w:t xml:space="preserve">Bogotá, D.C., </w:t>
      </w:r>
    </w:p>
    <w:p w:rsidR="006E78EB" w:rsidP="00FC1AF6" w:rsidRDefault="006E78EB" w14:paraId="53065714" w14:textId="77777777">
      <w:pPr>
        <w:jc w:val="both"/>
        <w:rPr>
          <w:rFonts w:ascii="Arial" w:hAnsi="Arial" w:eastAsia="Calibri" w:cs="Arial"/>
          <w:sz w:val="22"/>
          <w:highlight w:val="yellow"/>
          <w:lang w:val="es-ES_tradnl"/>
        </w:rPr>
      </w:pPr>
    </w:p>
    <w:p w:rsidR="006E78EB" w:rsidP="00FC1AF6" w:rsidRDefault="006E78EB" w14:paraId="14883B97" w14:textId="77777777">
      <w:pPr>
        <w:jc w:val="both"/>
        <w:rPr>
          <w:rFonts w:ascii="Arial" w:hAnsi="Arial" w:eastAsia="Calibri" w:cs="Arial"/>
          <w:sz w:val="22"/>
          <w:highlight w:val="yellow"/>
          <w:lang w:val="es-ES_tradnl"/>
        </w:rPr>
      </w:pPr>
    </w:p>
    <w:p w:rsidRPr="006E78EB" w:rsidR="00FC1AF6" w:rsidP="00FC1AF6" w:rsidRDefault="00FC1AF6" w14:paraId="629B8208" w14:textId="5B10FC6A">
      <w:pPr>
        <w:jc w:val="both"/>
        <w:rPr>
          <w:rFonts w:ascii="Arial" w:hAnsi="Arial" w:eastAsia="Calibri" w:cs="Arial"/>
          <w:sz w:val="22"/>
          <w:lang w:val="es-ES_tradnl"/>
        </w:rPr>
      </w:pPr>
      <w:r w:rsidRPr="006E78EB">
        <w:rPr>
          <w:rFonts w:ascii="Arial" w:hAnsi="Arial" w:eastAsia="Calibri" w:cs="Arial"/>
          <w:sz w:val="22"/>
          <w:lang w:val="es-ES_tradnl"/>
        </w:rPr>
        <w:t>Señor</w:t>
      </w:r>
      <w:r w:rsidR="006E78EB">
        <w:rPr>
          <w:rFonts w:ascii="Arial" w:hAnsi="Arial" w:eastAsia="Calibri" w:cs="Arial"/>
          <w:sz w:val="22"/>
          <w:lang w:val="es-ES_tradnl"/>
        </w:rPr>
        <w:t>(a)</w:t>
      </w:r>
    </w:p>
    <w:p w:rsidRPr="00260524" w:rsidR="00FC1AF6" w:rsidP="00FC1AF6" w:rsidRDefault="006E78EB" w14:paraId="5A7707FE" w14:textId="705E8535">
      <w:pPr>
        <w:jc w:val="both"/>
        <w:rPr>
          <w:rFonts w:ascii="Arial" w:hAnsi="Arial" w:eastAsia="Calibri" w:cs="Arial"/>
          <w:b/>
          <w:bCs/>
          <w:sz w:val="22"/>
          <w:highlight w:val="yellow"/>
          <w:lang w:val="en-US"/>
        </w:rPr>
      </w:pPr>
      <w:r w:rsidRPr="00260524">
        <w:rPr>
          <w:rFonts w:ascii="Arial" w:hAnsi="Arial" w:cs="Arial" w:eastAsiaTheme="minorHAnsi"/>
          <w:b/>
          <w:bCs/>
          <w:lang w:val="en-US" w:eastAsia="en-US"/>
        </w:rPr>
        <w:t>Barkell Servicios Sas Maryuris Kelly Arroyo</w:t>
      </w:r>
    </w:p>
    <w:p w:rsidRPr="00260524" w:rsidR="00FC1AF6" w:rsidP="00FC1AF6" w:rsidRDefault="00FC1AF6" w14:paraId="237A73B1" w14:textId="77777777">
      <w:pPr>
        <w:jc w:val="both"/>
        <w:rPr>
          <w:rFonts w:ascii="Arial" w:hAnsi="Arial" w:eastAsia="Calibri" w:cs="Arial"/>
          <w:sz w:val="22"/>
          <w:highlight w:val="yellow"/>
          <w:lang w:val="en-US"/>
        </w:rPr>
      </w:pPr>
    </w:p>
    <w:p w:rsidRPr="00260524" w:rsidR="000C782A" w:rsidP="00FC1AF6" w:rsidRDefault="00FC1AF6" w14:paraId="0568CF0B" w14:textId="17A75EC6">
      <w:pPr>
        <w:rPr>
          <w:rFonts w:ascii="Arial" w:hAnsi="Arial" w:eastAsia="Calibri" w:cs="Arial"/>
          <w:b/>
          <w:bCs/>
          <w:sz w:val="22"/>
          <w:highlight w:val="yellow"/>
          <w:lang w:val="en-US"/>
        </w:rPr>
      </w:pPr>
      <w:r w:rsidRPr="00260524">
        <w:rPr>
          <w:rFonts w:ascii="Arial" w:hAnsi="Arial" w:eastAsia="Calibri" w:cs="Arial"/>
          <w:b/>
          <w:bCs/>
          <w:sz w:val="22"/>
          <w:highlight w:val="yellow"/>
          <w:lang w:val="en-US"/>
        </w:rPr>
        <w:t xml:space="preserve">                                   </w:t>
      </w:r>
    </w:p>
    <w:p w:rsidRPr="00FC1AF6" w:rsidR="00FC1AF6" w:rsidP="000C782A" w:rsidRDefault="00FC1AF6" w14:paraId="2BB50DAA" w14:textId="1AD2BD6E">
      <w:pPr>
        <w:ind w:left="2124"/>
        <w:rPr>
          <w:rFonts w:ascii="Arial" w:hAnsi="Arial" w:eastAsia="Calibri" w:cs="Arial"/>
          <w:b/>
          <w:bCs/>
          <w:sz w:val="22"/>
          <w:highlight w:val="yellow"/>
          <w:lang w:val="es-ES_tradnl"/>
        </w:rPr>
      </w:pPr>
      <w:r w:rsidRPr="00260524">
        <w:rPr>
          <w:rFonts w:ascii="Arial" w:hAnsi="Arial" w:eastAsia="Calibri" w:cs="Arial"/>
          <w:b/>
          <w:bCs/>
          <w:sz w:val="22"/>
          <w:lang w:val="en-US"/>
        </w:rPr>
        <w:t xml:space="preserve"> </w:t>
      </w:r>
      <w:r w:rsidRPr="00260524" w:rsidR="000C782A">
        <w:rPr>
          <w:rFonts w:ascii="Arial" w:hAnsi="Arial" w:eastAsia="Calibri" w:cs="Arial"/>
          <w:b/>
          <w:bCs/>
          <w:sz w:val="22"/>
          <w:lang w:val="en-US"/>
        </w:rPr>
        <w:t xml:space="preserve">        </w:t>
      </w:r>
      <w:r w:rsidRPr="006E78EB">
        <w:rPr>
          <w:rFonts w:ascii="Arial" w:hAnsi="Arial" w:eastAsia="Calibri" w:cs="Arial"/>
          <w:b/>
          <w:bCs/>
          <w:sz w:val="22"/>
          <w:lang w:val="es-ES_tradnl"/>
        </w:rPr>
        <w:t xml:space="preserve">Concepto C ‒ </w:t>
      </w:r>
      <w:r w:rsidR="00260524">
        <w:rPr>
          <w:rFonts w:ascii="Arial" w:hAnsi="Arial" w:eastAsia="Calibri" w:cs="Arial"/>
          <w:b/>
          <w:bCs/>
          <w:sz w:val="22"/>
          <w:lang w:val="es-ES_tradnl"/>
        </w:rPr>
        <w:t>4</w:t>
      </w:r>
      <w:r w:rsidRPr="006E78EB" w:rsidR="006E78EB">
        <w:rPr>
          <w:rFonts w:ascii="Arial" w:hAnsi="Arial" w:eastAsia="Calibri" w:cs="Arial"/>
          <w:b/>
          <w:bCs/>
          <w:sz w:val="22"/>
          <w:lang w:val="es-ES_tradnl"/>
        </w:rPr>
        <w:t>64</w:t>
      </w:r>
      <w:r w:rsidRPr="006E78EB">
        <w:rPr>
          <w:rFonts w:ascii="Arial" w:hAnsi="Arial" w:eastAsia="Calibri" w:cs="Arial"/>
          <w:b/>
          <w:bCs/>
          <w:sz w:val="22"/>
          <w:lang w:val="es-ES_tradnl"/>
        </w:rPr>
        <w:t xml:space="preserve"> de 2022</w:t>
      </w:r>
    </w:p>
    <w:p w:rsidRPr="00FC1AF6" w:rsidR="00FC1AF6" w:rsidP="00FC1AF6" w:rsidRDefault="00FC1AF6" w14:paraId="5BDA0DB8" w14:textId="77777777">
      <w:pPr>
        <w:jc w:val="both"/>
        <w:rPr>
          <w:rFonts w:ascii="Arial" w:hAnsi="Arial" w:eastAsia="Calibri" w:cs="Arial"/>
          <w:sz w:val="22"/>
          <w:highlight w:val="yellow"/>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C1AF6" w:rsidR="00FC1AF6" w:rsidTr="003D5B15" w14:paraId="3ADAB5A1" w14:textId="77777777">
        <w:trPr>
          <w:trHeight w:val="1217"/>
        </w:trPr>
        <w:tc>
          <w:tcPr>
            <w:tcW w:w="2689" w:type="dxa"/>
          </w:tcPr>
          <w:p w:rsidRPr="009E1D4F" w:rsidR="00FC1AF6" w:rsidP="00D1228D" w:rsidRDefault="00FC1AF6" w14:paraId="574D3950" w14:textId="77777777">
            <w:pPr>
              <w:jc w:val="both"/>
              <w:rPr>
                <w:rFonts w:ascii="Arial" w:hAnsi="Arial" w:eastAsia="Calibri" w:cs="Arial"/>
                <w:b/>
                <w:lang w:val="es-ES_tradnl"/>
              </w:rPr>
            </w:pPr>
            <w:r w:rsidRPr="009E1D4F">
              <w:rPr>
                <w:rFonts w:ascii="Arial" w:hAnsi="Arial" w:eastAsia="Calibri" w:cs="Arial"/>
                <w:b/>
                <w:lang w:val="es-ES_tradnl"/>
              </w:rPr>
              <w:t xml:space="preserve">Temas:                                      </w:t>
            </w:r>
          </w:p>
        </w:tc>
        <w:tc>
          <w:tcPr>
            <w:tcW w:w="6237" w:type="dxa"/>
          </w:tcPr>
          <w:p w:rsidRPr="009E1D4F" w:rsidR="00FC1AF6" w:rsidP="00D1228D" w:rsidRDefault="009E1D4F" w14:paraId="489C9A5D" w14:textId="5734283D">
            <w:pPr>
              <w:jc w:val="both"/>
              <w:rPr>
                <w:rFonts w:ascii="Arial" w:hAnsi="Arial" w:eastAsia="Calibri" w:cs="Arial"/>
                <w:bCs/>
                <w:lang w:val="es-ES_tradnl"/>
              </w:rPr>
            </w:pPr>
            <w:r w:rsidRPr="009E1D4F">
              <w:rPr>
                <w:rFonts w:ascii="Arial" w:hAnsi="Arial" w:eastAsia="Calibri" w:cs="Arial"/>
                <w:bCs/>
                <w:lang w:val="es-ES_tradnl"/>
              </w:rPr>
              <w:t xml:space="preserve">PROMOCIÓN AL DESARROLLO – Ley 2069 de 2020 – Artículo 34 / </w:t>
            </w:r>
            <w:r w:rsidRPr="009E1D4F">
              <w:rPr>
                <w:rFonts w:ascii="Arial" w:hAnsi="Arial" w:eastAsia="Arial" w:cs="Arial"/>
                <w:bCs/>
                <w:color w:val="000000"/>
              </w:rPr>
              <w:t xml:space="preserve">CONVOCATORIAS LIMITADAS A MIPYMES NACIONALES – </w:t>
            </w:r>
            <w:r w:rsidR="008F34E0">
              <w:rPr>
                <w:rFonts w:ascii="Arial" w:hAnsi="Arial" w:eastAsia="Arial" w:cs="Arial"/>
                <w:bCs/>
                <w:color w:val="000000"/>
              </w:rPr>
              <w:t>Requisitos</w:t>
            </w:r>
            <w:r w:rsidRPr="009E1D4F">
              <w:rPr>
                <w:rFonts w:ascii="Arial" w:hAnsi="Arial" w:eastAsia="Arial" w:cs="Arial"/>
                <w:bCs/>
                <w:color w:val="000000"/>
              </w:rPr>
              <w:t xml:space="preserve"> / CONVOCATORIAS LIMITADAS A MIPYMES </w:t>
            </w:r>
            <w:r w:rsidRPr="004579E8" w:rsidR="008F34E0">
              <w:rPr>
                <w:rFonts w:ascii="Arial" w:hAnsi="Arial" w:eastAsia="Calibri" w:cs="Arial"/>
                <w:lang w:val="es-ES_tradnl"/>
              </w:rPr>
              <w:t>EN EL ÁMBITO TERRITORIAL</w:t>
            </w:r>
            <w:r w:rsidRPr="009E1D4F" w:rsidR="008F34E0">
              <w:rPr>
                <w:rFonts w:ascii="Arial" w:hAnsi="Arial" w:eastAsia="Arial" w:cs="Arial"/>
                <w:bCs/>
                <w:color w:val="000000"/>
              </w:rPr>
              <w:t xml:space="preserve"> </w:t>
            </w:r>
            <w:r w:rsidRPr="009E1D4F">
              <w:rPr>
                <w:rFonts w:ascii="Arial" w:hAnsi="Arial" w:eastAsia="Arial" w:cs="Arial"/>
                <w:bCs/>
                <w:color w:val="000000"/>
              </w:rPr>
              <w:t>– Limitación territorial – Facultad discrecional</w:t>
            </w:r>
          </w:p>
        </w:tc>
      </w:tr>
      <w:tr w:rsidRPr="00FC1AF6" w:rsidR="00FC1AF6" w:rsidTr="00D1228D" w14:paraId="7C0ED593" w14:textId="77777777">
        <w:tc>
          <w:tcPr>
            <w:tcW w:w="2689" w:type="dxa"/>
          </w:tcPr>
          <w:p w:rsidRPr="006E78EB" w:rsidR="00FC1AF6" w:rsidP="00D1228D" w:rsidRDefault="00FC1AF6" w14:paraId="7376C524" w14:textId="77777777">
            <w:pPr>
              <w:spacing w:before="120"/>
              <w:jc w:val="both"/>
              <w:rPr>
                <w:rFonts w:ascii="Arial" w:hAnsi="Arial" w:eastAsia="Calibri" w:cs="Arial"/>
                <w:b/>
                <w:lang w:val="es-ES_tradnl"/>
              </w:rPr>
            </w:pPr>
            <w:r w:rsidRPr="006E78EB">
              <w:rPr>
                <w:rFonts w:ascii="Arial" w:hAnsi="Arial" w:eastAsia="Calibri" w:cs="Arial"/>
                <w:b/>
                <w:lang w:val="es-ES_tradnl"/>
              </w:rPr>
              <w:t>Radicación:</w:t>
            </w:r>
            <w:r w:rsidRPr="006E78EB">
              <w:rPr>
                <w:rFonts w:ascii="Arial" w:hAnsi="Arial" w:eastAsia="Calibri" w:cs="Arial"/>
                <w:lang w:val="es-ES_tradnl"/>
              </w:rPr>
              <w:t xml:space="preserve">                              </w:t>
            </w:r>
          </w:p>
        </w:tc>
        <w:tc>
          <w:tcPr>
            <w:tcW w:w="6237" w:type="dxa"/>
          </w:tcPr>
          <w:p w:rsidRPr="006E78EB" w:rsidR="00FC1AF6" w:rsidP="00D1228D" w:rsidRDefault="00FC1AF6" w14:paraId="2E75E63F" w14:textId="69C09CF7">
            <w:pPr>
              <w:spacing w:before="120"/>
              <w:jc w:val="both"/>
              <w:rPr>
                <w:rFonts w:ascii="Arial" w:hAnsi="Arial" w:eastAsia="Calibri" w:cs="Arial"/>
                <w:lang w:val="es-ES_tradnl"/>
              </w:rPr>
            </w:pPr>
            <w:r w:rsidRPr="006E78EB">
              <w:rPr>
                <w:rFonts w:ascii="Arial" w:hAnsi="Arial" w:eastAsia="Calibri" w:cs="Arial"/>
                <w:lang w:val="es-ES_tradnl"/>
              </w:rPr>
              <w:t xml:space="preserve">Respuesta a consulta # </w:t>
            </w:r>
            <w:r w:rsidRPr="006E78EB" w:rsidR="006E78EB">
              <w:rPr>
                <w:rFonts w:ascii="Arial" w:hAnsi="Arial" w:eastAsia="Calibri" w:cs="Arial"/>
                <w:lang w:val="es-ES_tradnl"/>
              </w:rPr>
              <w:t>P20220603005517</w:t>
            </w:r>
          </w:p>
        </w:tc>
      </w:tr>
    </w:tbl>
    <w:p w:rsidRPr="00FC1AF6" w:rsidR="00FC1AF6" w:rsidP="00FC1AF6" w:rsidRDefault="00FC1AF6" w14:paraId="60246EAC" w14:textId="77777777">
      <w:pPr>
        <w:jc w:val="both"/>
        <w:rPr>
          <w:rFonts w:ascii="Arial" w:hAnsi="Arial" w:eastAsia="Calibri" w:cs="Arial"/>
          <w:sz w:val="22"/>
          <w:highlight w:val="yellow"/>
          <w:lang w:val="es-ES_tradnl"/>
        </w:rPr>
      </w:pPr>
    </w:p>
    <w:p w:rsidRPr="00FC1AF6" w:rsidR="00FC1AF6" w:rsidP="00FC1AF6" w:rsidRDefault="00FC1AF6" w14:paraId="70B6A981" w14:textId="77777777">
      <w:pPr>
        <w:jc w:val="both"/>
        <w:rPr>
          <w:rFonts w:ascii="Arial" w:hAnsi="Arial" w:eastAsia="Calibri" w:cs="Arial"/>
          <w:sz w:val="22"/>
          <w:highlight w:val="yellow"/>
          <w:lang w:val="es-ES_tradnl"/>
        </w:rPr>
      </w:pPr>
    </w:p>
    <w:p w:rsidRPr="006E78EB" w:rsidR="00FC1AF6" w:rsidP="00FC1AF6" w:rsidRDefault="00FC1AF6" w14:paraId="2A919EB8" w14:textId="77777777">
      <w:pPr>
        <w:jc w:val="both"/>
        <w:rPr>
          <w:rFonts w:ascii="Arial" w:hAnsi="Arial" w:eastAsia="Calibri" w:cs="Arial"/>
          <w:sz w:val="22"/>
          <w:lang w:val="es-ES_tradnl"/>
        </w:rPr>
      </w:pPr>
      <w:r w:rsidRPr="006E78EB">
        <w:rPr>
          <w:rFonts w:ascii="Arial" w:hAnsi="Arial" w:eastAsia="Calibri" w:cs="Arial"/>
          <w:sz w:val="22"/>
          <w:lang w:val="es-ES_tradnl"/>
        </w:rPr>
        <w:t>Estimado señor(a):</w:t>
      </w:r>
    </w:p>
    <w:p w:rsidRPr="006E78EB" w:rsidR="00FC1AF6" w:rsidP="00FC1AF6" w:rsidRDefault="00FC1AF6" w14:paraId="2F82BF34" w14:textId="77777777">
      <w:pPr>
        <w:jc w:val="both"/>
        <w:rPr>
          <w:rFonts w:ascii="Arial" w:hAnsi="Arial" w:eastAsia="Calibri" w:cs="Arial"/>
          <w:sz w:val="22"/>
          <w:lang w:val="es-ES_tradnl"/>
        </w:rPr>
      </w:pPr>
    </w:p>
    <w:p w:rsidRPr="006E78EB" w:rsidR="00FC1AF6" w:rsidP="00FC1AF6" w:rsidRDefault="00FC1AF6" w14:paraId="45EDF6DF" w14:textId="76D0624B">
      <w:pPr>
        <w:spacing w:line="276" w:lineRule="auto"/>
        <w:jc w:val="both"/>
        <w:rPr>
          <w:rFonts w:ascii="Arial" w:hAnsi="Arial" w:eastAsia="Calibri" w:cs="Arial"/>
          <w:sz w:val="22"/>
          <w:lang w:val="es-ES_tradnl"/>
        </w:rPr>
      </w:pPr>
      <w:r w:rsidRPr="006E78EB">
        <w:rPr>
          <w:rFonts w:ascii="Arial" w:hAnsi="Arial" w:eastAsia="Calibri"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6E78EB" w:rsidR="006E78EB">
        <w:rPr>
          <w:rFonts w:ascii="Arial" w:hAnsi="Arial" w:eastAsia="Calibri" w:cs="Arial"/>
          <w:sz w:val="22"/>
          <w:lang w:val="es-ES_tradnl"/>
        </w:rPr>
        <w:t xml:space="preserve">2 de junio de 2022. </w:t>
      </w:r>
    </w:p>
    <w:p w:rsidRPr="00FC1AF6" w:rsidR="00FC1AF6" w:rsidP="00FC1AF6" w:rsidRDefault="00FC1AF6" w14:paraId="55249FB4" w14:textId="77777777">
      <w:pPr>
        <w:jc w:val="both"/>
        <w:rPr>
          <w:rFonts w:ascii="Arial" w:hAnsi="Arial" w:eastAsia="Calibri" w:cs="Arial"/>
          <w:b/>
          <w:sz w:val="22"/>
          <w:highlight w:val="yellow"/>
          <w:lang w:val="es-ES_tradnl"/>
        </w:rPr>
      </w:pPr>
    </w:p>
    <w:p w:rsidRPr="00E47B76" w:rsidR="00FC1AF6" w:rsidP="00FC1AF6" w:rsidRDefault="00FC1AF6" w14:paraId="790F9C4C" w14:textId="77777777">
      <w:pPr>
        <w:pStyle w:val="Prrafodelista"/>
        <w:numPr>
          <w:ilvl w:val="0"/>
          <w:numId w:val="1"/>
        </w:numPr>
        <w:tabs>
          <w:tab w:val="left" w:pos="0"/>
          <w:tab w:val="left" w:pos="142"/>
          <w:tab w:val="left" w:pos="284"/>
        </w:tabs>
        <w:spacing w:line="276" w:lineRule="auto"/>
        <w:ind w:left="0" w:firstLine="0"/>
        <w:jc w:val="both"/>
        <w:rPr>
          <w:rFonts w:ascii="Arial" w:hAnsi="Arial" w:eastAsia="Calibri" w:cs="Arial"/>
          <w:b/>
          <w:sz w:val="22"/>
          <w:lang w:val="es-ES_tradnl"/>
        </w:rPr>
      </w:pPr>
      <w:r w:rsidRPr="00E47B76">
        <w:rPr>
          <w:rFonts w:ascii="Arial" w:hAnsi="Arial" w:eastAsia="Calibri" w:cs="Arial"/>
          <w:b/>
          <w:sz w:val="22"/>
          <w:lang w:val="es-ES_tradnl"/>
        </w:rPr>
        <w:t xml:space="preserve">Problema planteado </w:t>
      </w:r>
    </w:p>
    <w:p w:rsidRPr="00E47B76" w:rsidR="00FC1AF6" w:rsidP="00FC1AF6" w:rsidRDefault="00FC1AF6" w14:paraId="66EBFCA1" w14:textId="77777777">
      <w:pPr>
        <w:tabs>
          <w:tab w:val="left" w:pos="426"/>
        </w:tabs>
        <w:jc w:val="both"/>
        <w:rPr>
          <w:rFonts w:ascii="Arial" w:hAnsi="Arial" w:eastAsia="Calibri" w:cs="Arial"/>
          <w:b/>
          <w:sz w:val="22"/>
          <w:lang w:val="es-ES_tradnl"/>
        </w:rPr>
      </w:pPr>
    </w:p>
    <w:p w:rsidRPr="00E47B76" w:rsidR="00C60A8C" w:rsidP="00C60A8C" w:rsidRDefault="00FC1AF6" w14:paraId="035FFC9D" w14:textId="77777777">
      <w:pPr>
        <w:autoSpaceDE w:val="0"/>
        <w:autoSpaceDN w:val="0"/>
        <w:adjustRightInd w:val="0"/>
        <w:spacing w:line="276" w:lineRule="auto"/>
        <w:jc w:val="both"/>
        <w:rPr>
          <w:rFonts w:ascii="Arial" w:hAnsi="Arial" w:cs="Arial"/>
          <w:sz w:val="22"/>
          <w:szCs w:val="22"/>
          <w:lang w:val="es-ES_tradnl"/>
        </w:rPr>
      </w:pPr>
      <w:r w:rsidRPr="00E47B76">
        <w:rPr>
          <w:rFonts w:ascii="Arial" w:hAnsi="Arial" w:cs="Arial"/>
          <w:sz w:val="22"/>
          <w:szCs w:val="22"/>
          <w:lang w:val="es-ES_tradnl"/>
        </w:rPr>
        <w:t xml:space="preserve">Usted realiza la siguiente consulta: </w:t>
      </w:r>
    </w:p>
    <w:p w:rsidRPr="00E47B76" w:rsidR="00C60A8C" w:rsidP="00C60A8C" w:rsidRDefault="00C60A8C" w14:paraId="61062D79" w14:textId="77777777">
      <w:pPr>
        <w:autoSpaceDE w:val="0"/>
        <w:autoSpaceDN w:val="0"/>
        <w:adjustRightInd w:val="0"/>
        <w:spacing w:line="276" w:lineRule="auto"/>
        <w:jc w:val="both"/>
        <w:rPr>
          <w:rFonts w:ascii="Arial" w:hAnsi="Arial" w:cs="Arial"/>
          <w:sz w:val="22"/>
          <w:szCs w:val="22"/>
          <w:lang w:val="es-ES_tradnl"/>
        </w:rPr>
      </w:pPr>
    </w:p>
    <w:p w:rsidRPr="003D5B15" w:rsidR="00FC1AF6" w:rsidP="00C60A8C" w:rsidRDefault="00492C96" w14:paraId="0647916C" w14:textId="0C50E7C3">
      <w:pPr>
        <w:autoSpaceDE w:val="0"/>
        <w:autoSpaceDN w:val="0"/>
        <w:adjustRightInd w:val="0"/>
        <w:spacing w:line="276" w:lineRule="auto"/>
        <w:ind w:left="708"/>
        <w:jc w:val="both"/>
        <w:rPr>
          <w:rFonts w:ascii="Arial" w:hAnsi="Arial" w:cs="Arial" w:eastAsiaTheme="minorHAnsi"/>
          <w:sz w:val="21"/>
          <w:szCs w:val="21"/>
          <w:lang w:eastAsia="en-US"/>
        </w:rPr>
      </w:pPr>
      <w:r w:rsidRPr="003D5B15">
        <w:rPr>
          <w:rFonts w:ascii="Arial" w:hAnsi="Arial" w:cs="Arial" w:eastAsiaTheme="minorHAnsi"/>
          <w:sz w:val="21"/>
          <w:szCs w:val="21"/>
          <w:lang w:val="es-MX" w:eastAsia="en-US"/>
        </w:rPr>
        <w:t>«</w:t>
      </w:r>
      <w:r w:rsidRPr="003D5B15" w:rsidR="00C60A8C">
        <w:rPr>
          <w:rFonts w:ascii="Arial" w:hAnsi="Arial" w:cs="Arial" w:eastAsiaTheme="minorHAnsi"/>
          <w:sz w:val="21"/>
          <w:szCs w:val="21"/>
          <w:lang w:val="es-MX" w:eastAsia="en-US"/>
        </w:rPr>
        <w:t>¿queda a discrecionalidad de la entidad contratante la decisión final de decidir si la limita o no a Mipymes Territoriales? (esto en el caso que las Mipymes Territoriales hayan cumplido los requisitos de la norma en sus solicitudes a la entidad) o ¿se convierte en un deber de la entidad cumplir la norma bajo la intención y/o orientación que le quisieron dar los legisladores para el desarrollo económico de las empresas donde se desarrolle el objeto del contrato.?</w:t>
      </w:r>
      <w:r w:rsidRPr="003D5B15" w:rsidR="00FC1AF6">
        <w:rPr>
          <w:rFonts w:ascii="Arial" w:hAnsi="Arial" w:cs="Arial" w:eastAsiaTheme="minorHAnsi"/>
          <w:sz w:val="21"/>
          <w:szCs w:val="21"/>
          <w:lang w:eastAsia="en-US"/>
        </w:rPr>
        <w:t>».</w:t>
      </w:r>
    </w:p>
    <w:p w:rsidRPr="00FC1AF6" w:rsidR="00FC1AF6" w:rsidP="00FC1AF6" w:rsidRDefault="00FC1AF6" w14:paraId="02A2830D" w14:textId="77777777">
      <w:pPr>
        <w:spacing w:line="276" w:lineRule="auto"/>
        <w:ind w:left="709" w:right="709"/>
        <w:jc w:val="both"/>
        <w:rPr>
          <w:rFonts w:ascii="Arial" w:hAnsi="Arial" w:cs="Arial"/>
          <w:sz w:val="22"/>
          <w:szCs w:val="22"/>
          <w:highlight w:val="yellow"/>
          <w:lang w:val="es-ES_tradnl"/>
        </w:rPr>
      </w:pPr>
    </w:p>
    <w:p w:rsidRPr="004579E8" w:rsidR="00FC1AF6" w:rsidP="00FC1AF6" w:rsidRDefault="00FC1AF6" w14:paraId="2F8A40A5" w14:textId="77777777">
      <w:pPr>
        <w:pStyle w:val="Prrafodelista"/>
        <w:numPr>
          <w:ilvl w:val="0"/>
          <w:numId w:val="1"/>
        </w:numPr>
        <w:tabs>
          <w:tab w:val="left" w:pos="0"/>
          <w:tab w:val="left" w:pos="284"/>
        </w:tabs>
        <w:ind w:left="0" w:firstLine="0"/>
        <w:jc w:val="both"/>
        <w:rPr>
          <w:rFonts w:ascii="Arial" w:hAnsi="Arial" w:eastAsia="Calibri" w:cs="Arial"/>
          <w:b/>
          <w:sz w:val="22"/>
          <w:lang w:val="es-ES_tradnl"/>
        </w:rPr>
      </w:pPr>
      <w:r w:rsidRPr="004579E8">
        <w:rPr>
          <w:rFonts w:ascii="Arial" w:hAnsi="Arial" w:eastAsia="Calibri" w:cs="Arial"/>
          <w:b/>
          <w:sz w:val="22"/>
          <w:lang w:val="es-ES_tradnl"/>
        </w:rPr>
        <w:t>Consideraciones</w:t>
      </w:r>
    </w:p>
    <w:p w:rsidR="008F1ABA" w:rsidP="003D5B15" w:rsidRDefault="00FC1AF6" w14:paraId="019E21C1" w14:textId="77777777">
      <w:pPr>
        <w:pStyle w:val="paragraph"/>
        <w:spacing w:after="120" w:afterAutospacing="0" w:line="276" w:lineRule="auto"/>
        <w:jc w:val="both"/>
        <w:textAlignment w:val="baseline"/>
        <w:rPr>
          <w:rStyle w:val="normaltextrun"/>
          <w:rFonts w:ascii="Arial" w:hAnsi="Arial" w:cs="Arial"/>
          <w:color w:val="000000"/>
          <w:sz w:val="22"/>
          <w:szCs w:val="22"/>
          <w:lang w:val="es-ES" w:eastAsia="es-ES_tradnl"/>
        </w:rPr>
      </w:pPr>
      <w:r w:rsidRPr="004579E8">
        <w:rPr>
          <w:rFonts w:ascii="Arial" w:hAnsi="Arial" w:eastAsia="Calibri" w:cs="Arial"/>
          <w:sz w:val="22"/>
          <w:szCs w:val="22"/>
          <w:lang w:val="es-ES_tradnl"/>
        </w:rPr>
        <w:t>La Subdirección de Gestión Contractual responderá la consulta, luego de analizar</w:t>
      </w:r>
      <w:r w:rsidRPr="004579E8" w:rsidR="00E47B76">
        <w:rPr>
          <w:rFonts w:ascii="Arial" w:hAnsi="Arial" w:eastAsia="Calibri" w:cs="Arial"/>
          <w:sz w:val="22"/>
          <w:szCs w:val="22"/>
          <w:lang w:val="es-ES_tradnl"/>
        </w:rPr>
        <w:t xml:space="preserve"> el siguiente tema: </w:t>
      </w:r>
      <w:r w:rsidRPr="004579E8">
        <w:rPr>
          <w:rFonts w:ascii="Arial" w:hAnsi="Arial" w:eastAsia="Calibri" w:cs="Arial"/>
          <w:sz w:val="22"/>
          <w:szCs w:val="22"/>
          <w:lang w:val="es-ES_tradnl"/>
        </w:rPr>
        <w:t xml:space="preserve">i) </w:t>
      </w:r>
      <w:r w:rsidRPr="004579E8" w:rsidR="004579E8">
        <w:rPr>
          <w:rFonts w:ascii="Arial" w:hAnsi="Arial" w:eastAsia="Calibri" w:cs="Arial"/>
          <w:sz w:val="22"/>
          <w:szCs w:val="22"/>
          <w:lang w:val="es-ES_tradnl"/>
        </w:rPr>
        <w:t xml:space="preserve">Regulación de la promoción del desarrollo en la contratación estatal en el artículo 34 de la Ley 2069 de 2020. Regulación de las convocatorias limitadas a </w:t>
      </w:r>
      <w:proofErr w:type="spellStart"/>
      <w:r w:rsidRPr="004579E8" w:rsidR="004579E8">
        <w:rPr>
          <w:rFonts w:ascii="Arial" w:hAnsi="Arial" w:eastAsia="Calibri" w:cs="Arial"/>
          <w:sz w:val="22"/>
          <w:szCs w:val="22"/>
          <w:lang w:val="es-ES_tradnl"/>
        </w:rPr>
        <w:t>Mipyme</w:t>
      </w:r>
      <w:proofErr w:type="spellEnd"/>
      <w:r w:rsidRPr="004579E8" w:rsidR="004579E8">
        <w:rPr>
          <w:rFonts w:ascii="Arial" w:hAnsi="Arial" w:eastAsia="Calibri" w:cs="Arial"/>
          <w:sz w:val="22"/>
          <w:szCs w:val="22"/>
          <w:lang w:val="es-ES_tradnl"/>
        </w:rPr>
        <w:t>.</w:t>
      </w:r>
      <w:r w:rsidRPr="004579E8" w:rsidR="008C0654">
        <w:rPr>
          <w:rFonts w:ascii="Arial" w:hAnsi="Arial" w:eastAsia="Calibri" w:cs="Arial"/>
          <w:sz w:val="22"/>
          <w:szCs w:val="22"/>
          <w:lang w:val="es-ES_tradnl"/>
        </w:rPr>
        <w:t xml:space="preserve">, </w:t>
      </w:r>
      <w:r w:rsidRPr="004579E8" w:rsidR="008C0654">
        <w:rPr>
          <w:rStyle w:val="normaltextrun"/>
          <w:rFonts w:ascii="Arial" w:hAnsi="Arial" w:cs="Arial"/>
          <w:color w:val="000000"/>
          <w:sz w:val="22"/>
          <w:szCs w:val="22"/>
          <w:lang w:val="es-ES"/>
        </w:rPr>
        <w:t xml:space="preserve">y </w:t>
      </w:r>
      <w:proofErr w:type="spellStart"/>
      <w:r w:rsidRPr="004579E8" w:rsidR="008C0654">
        <w:rPr>
          <w:rStyle w:val="normaltextrun"/>
          <w:rFonts w:ascii="Arial" w:hAnsi="Arial" w:cs="Arial"/>
          <w:color w:val="000000"/>
          <w:sz w:val="22"/>
          <w:szCs w:val="22"/>
          <w:lang w:val="es-ES"/>
        </w:rPr>
        <w:t>ii</w:t>
      </w:r>
      <w:proofErr w:type="spellEnd"/>
      <w:r w:rsidRPr="004579E8" w:rsidR="008C0654">
        <w:rPr>
          <w:rStyle w:val="normaltextrun"/>
          <w:rFonts w:ascii="Arial" w:hAnsi="Arial" w:cs="Arial"/>
          <w:color w:val="000000"/>
          <w:sz w:val="22"/>
          <w:szCs w:val="22"/>
          <w:lang w:val="es-ES"/>
        </w:rPr>
        <w:t xml:space="preserve">) </w:t>
      </w:r>
      <w:r w:rsidRPr="004579E8" w:rsidR="004579E8">
        <w:rPr>
          <w:rFonts w:ascii="Arial" w:hAnsi="Arial" w:eastAsia="Calibri" w:cs="Arial"/>
          <w:sz w:val="22"/>
          <w:szCs w:val="22"/>
          <w:lang w:val="es-ES_tradnl"/>
        </w:rPr>
        <w:t xml:space="preserve">convocatorias limitadas a </w:t>
      </w:r>
      <w:proofErr w:type="spellStart"/>
      <w:r w:rsidRPr="004579E8" w:rsidR="004579E8">
        <w:rPr>
          <w:rFonts w:ascii="Arial" w:hAnsi="Arial" w:eastAsia="Calibri" w:cs="Arial"/>
          <w:sz w:val="22"/>
          <w:szCs w:val="22"/>
          <w:lang w:val="es-ES_tradnl"/>
        </w:rPr>
        <w:t>mipymes</w:t>
      </w:r>
      <w:proofErr w:type="spellEnd"/>
      <w:r w:rsidRPr="004579E8" w:rsidR="004579E8">
        <w:rPr>
          <w:rFonts w:ascii="Arial" w:hAnsi="Arial" w:eastAsia="Calibri" w:cs="Arial"/>
          <w:sz w:val="22"/>
          <w:szCs w:val="22"/>
          <w:lang w:val="es-ES_tradnl"/>
        </w:rPr>
        <w:t xml:space="preserve"> en el ámbito territorial</w:t>
      </w:r>
      <w:r w:rsidRPr="004579E8" w:rsidR="004579E8">
        <w:rPr>
          <w:rStyle w:val="normaltextrun"/>
          <w:rFonts w:ascii="Arial" w:hAnsi="Arial" w:cs="Arial"/>
          <w:color w:val="000000"/>
          <w:sz w:val="22"/>
          <w:szCs w:val="22"/>
          <w:lang w:val="es-ES"/>
        </w:rPr>
        <w:t xml:space="preserve"> </w:t>
      </w:r>
      <w:r w:rsidRPr="004579E8" w:rsidR="008C0654">
        <w:rPr>
          <w:rStyle w:val="normaltextrun"/>
          <w:rFonts w:ascii="Arial" w:hAnsi="Arial" w:cs="Arial"/>
          <w:color w:val="000000"/>
          <w:sz w:val="22"/>
          <w:szCs w:val="22"/>
          <w:lang w:val="es-ES"/>
        </w:rPr>
        <w:t>de conformidad con el Decreto 1860 de 2021. </w:t>
      </w:r>
    </w:p>
    <w:p w:rsidRPr="00B9642A" w:rsidR="008F1ABA" w:rsidP="003D5B15" w:rsidRDefault="008F1ABA" w14:paraId="3BDD94CF" w14:textId="21E7D14F">
      <w:pPr>
        <w:pStyle w:val="paragraph"/>
        <w:spacing w:before="0" w:beforeAutospacing="0" w:line="276" w:lineRule="auto"/>
        <w:ind w:firstLine="705"/>
        <w:jc w:val="both"/>
        <w:textAlignment w:val="baseline"/>
        <w:rPr>
          <w:rFonts w:ascii="Arial" w:hAnsi="Arial" w:eastAsia="Calibri" w:cs="Arial"/>
          <w:sz w:val="22"/>
          <w:szCs w:val="22"/>
          <w:lang w:val="es-ES_tradnl"/>
        </w:rPr>
      </w:pPr>
      <w:r>
        <w:rPr>
          <w:rFonts w:ascii="Arial" w:hAnsi="Arial" w:eastAsia="Calibri" w:cs="Arial"/>
          <w:sz w:val="22"/>
          <w:szCs w:val="22"/>
          <w:lang w:val="es-ES_tradnl"/>
        </w:rPr>
        <w:t>L</w:t>
      </w:r>
      <w:r w:rsidRPr="00B9642A">
        <w:rPr>
          <w:rFonts w:ascii="Arial" w:hAnsi="Arial" w:eastAsia="Calibri" w:cs="Arial"/>
          <w:sz w:val="22"/>
          <w:szCs w:val="22"/>
          <w:lang w:val="es-ES_tradnl"/>
        </w:rPr>
        <w:t xml:space="preserve">a Agencia Nacional de Contratación Pública – Colombia Compra Eficiente </w:t>
      </w:r>
      <w:r w:rsidRPr="00DA71D7">
        <w:rPr>
          <w:rFonts w:ascii="Arial" w:hAnsi="Arial" w:eastAsia="Calibri" w:cs="Arial"/>
          <w:sz w:val="22"/>
          <w:szCs w:val="22"/>
          <w:lang w:val="es-ES_tradnl"/>
        </w:rPr>
        <w:t xml:space="preserve">se pronunció sobre la nueva regulación de la promoción del desarrollo en la contratación </w:t>
      </w:r>
      <w:r w:rsidRPr="00DA71D7">
        <w:rPr>
          <w:rFonts w:ascii="Arial" w:hAnsi="Arial" w:eastAsia="Calibri" w:cs="Arial"/>
          <w:sz w:val="22"/>
          <w:szCs w:val="22"/>
          <w:lang w:val="es-ES_tradnl"/>
        </w:rPr>
        <w:lastRenderedPageBreak/>
        <w:t>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r>
        <w:rPr>
          <w:rFonts w:ascii="Arial" w:hAnsi="Arial" w:eastAsia="Calibri" w:cs="Arial"/>
          <w:sz w:val="22"/>
          <w:szCs w:val="22"/>
          <w:lang w:val="es-ES_tradnl"/>
        </w:rPr>
        <w:t xml:space="preserve"> Sobre las limitaciones territoriales de convocatorias </w:t>
      </w:r>
      <w:proofErr w:type="spellStart"/>
      <w:r>
        <w:rPr>
          <w:rFonts w:ascii="Arial" w:hAnsi="Arial" w:eastAsia="Calibri" w:cs="Arial"/>
          <w:sz w:val="22"/>
          <w:szCs w:val="22"/>
          <w:lang w:val="es-ES_tradnl"/>
        </w:rPr>
        <w:t>mipyme</w:t>
      </w:r>
      <w:proofErr w:type="spellEnd"/>
      <w:r>
        <w:rPr>
          <w:rFonts w:ascii="Arial" w:hAnsi="Arial" w:eastAsia="Calibri" w:cs="Arial"/>
          <w:sz w:val="22"/>
          <w:szCs w:val="22"/>
          <w:lang w:val="es-ES_tradnl"/>
        </w:rPr>
        <w:t xml:space="preserve"> se pronunció en el Concepto C-705 de 7 de diciembre de 2020 y C-438 de 27 de septiembre de 2021,</w:t>
      </w:r>
      <w:r w:rsidRPr="008F1ABA">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C-438 de 27 de septiembre de 2021, C-041 del 2 de marzo de 2022, C-315 del 18 de mayo de 2022,</w:t>
      </w:r>
      <w:r w:rsidR="00DA405B">
        <w:rPr>
          <w:rStyle w:val="normaltextrun"/>
          <w:rFonts w:ascii="Arial" w:hAnsi="Arial" w:cs="Arial"/>
          <w:color w:val="000000"/>
          <w:sz w:val="22"/>
          <w:szCs w:val="22"/>
          <w:lang w:val="es-ES"/>
        </w:rPr>
        <w:t xml:space="preserve"> C-361 del 20 de mayo de 2022</w:t>
      </w:r>
      <w:r w:rsidR="00F3180E">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 xml:space="preserve"> C-346</w:t>
      </w:r>
      <w:r w:rsidR="00F943CC">
        <w:rPr>
          <w:rStyle w:val="normaltextrun"/>
          <w:rFonts w:ascii="Arial" w:hAnsi="Arial" w:cs="Arial"/>
          <w:color w:val="000000"/>
          <w:sz w:val="22"/>
          <w:szCs w:val="22"/>
          <w:lang w:val="es-ES"/>
        </w:rPr>
        <w:t xml:space="preserve"> del </w:t>
      </w:r>
      <w:r w:rsidR="00DA405B">
        <w:rPr>
          <w:rStyle w:val="normaltextrun"/>
          <w:rFonts w:ascii="Arial" w:hAnsi="Arial" w:cs="Arial"/>
          <w:color w:val="000000"/>
          <w:sz w:val="22"/>
          <w:szCs w:val="22"/>
          <w:lang w:val="es-ES"/>
        </w:rPr>
        <w:t>27 de mayo de 2022,</w:t>
      </w:r>
      <w:r>
        <w:rPr>
          <w:rFonts w:ascii="Arial" w:hAnsi="Arial" w:eastAsia="Calibri" w:cs="Arial"/>
          <w:sz w:val="22"/>
          <w:szCs w:val="22"/>
          <w:lang w:val="es-ES_tradnl"/>
        </w:rPr>
        <w:t xml:space="preserve"> entre otros. </w:t>
      </w:r>
      <w:r w:rsidRPr="00DA71D7">
        <w:rPr>
          <w:rFonts w:ascii="Arial" w:hAnsi="Arial" w:eastAsia="Calibri" w:cs="Arial"/>
          <w:sz w:val="22"/>
          <w:szCs w:val="22"/>
          <w:lang w:val="es-ES_tradnl"/>
        </w:rPr>
        <w:t xml:space="preserve"> Las consideraciones de estos conceptos se reiteran a continuación</w:t>
      </w:r>
      <w:r>
        <w:rPr>
          <w:rFonts w:ascii="Arial" w:hAnsi="Arial" w:eastAsia="Calibri" w:cs="Arial"/>
          <w:sz w:val="22"/>
          <w:szCs w:val="22"/>
          <w:lang w:val="es-ES_tradnl"/>
        </w:rPr>
        <w:t xml:space="preserve"> y se complementan en lo pertinente</w:t>
      </w:r>
      <w:r w:rsidR="00F3180E">
        <w:rPr>
          <w:rFonts w:ascii="Arial" w:hAnsi="Arial" w:eastAsia="Calibri" w:cs="Arial"/>
          <w:sz w:val="22"/>
          <w:szCs w:val="22"/>
          <w:lang w:val="es-ES_tradnl"/>
        </w:rPr>
        <w:t>.</w:t>
      </w:r>
    </w:p>
    <w:p w:rsidR="004579E8" w:rsidP="004579E8" w:rsidRDefault="00FC1AF6" w14:paraId="0D8077B7" w14:textId="6F9D4872">
      <w:pPr>
        <w:spacing w:line="276" w:lineRule="auto"/>
        <w:jc w:val="both"/>
        <w:rPr>
          <w:rFonts w:ascii="Arial" w:hAnsi="Arial" w:eastAsia="Calibri" w:cs="Arial"/>
          <w:b/>
          <w:bCs/>
          <w:color w:val="000000" w:themeColor="text1"/>
          <w:sz w:val="22"/>
          <w:szCs w:val="22"/>
          <w:lang w:val="es-ES_tradnl"/>
        </w:rPr>
      </w:pPr>
      <w:r w:rsidRPr="008C0654">
        <w:rPr>
          <w:rFonts w:ascii="Arial" w:hAnsi="Arial" w:eastAsia="Calibri" w:cs="Arial"/>
          <w:b/>
          <w:bCs/>
          <w:sz w:val="22"/>
          <w:szCs w:val="22"/>
          <w:lang w:val="es-ES_tradnl"/>
        </w:rPr>
        <w:t>2.</w:t>
      </w:r>
      <w:r w:rsidRPr="008C0654" w:rsidR="00E47B76">
        <w:rPr>
          <w:rFonts w:ascii="Arial" w:hAnsi="Arial" w:eastAsia="Calibri" w:cs="Arial"/>
          <w:b/>
          <w:bCs/>
          <w:sz w:val="22"/>
          <w:szCs w:val="22"/>
          <w:lang w:val="es-ES_tradnl"/>
        </w:rPr>
        <w:t>1</w:t>
      </w:r>
      <w:r w:rsidRPr="008C0654">
        <w:rPr>
          <w:rFonts w:ascii="Arial" w:hAnsi="Arial" w:eastAsia="Calibri" w:cs="Arial"/>
          <w:b/>
          <w:bCs/>
          <w:sz w:val="22"/>
          <w:szCs w:val="22"/>
          <w:lang w:val="es-ES_tradnl"/>
        </w:rPr>
        <w:t xml:space="preserve">. </w:t>
      </w:r>
      <w:r w:rsidR="004579E8">
        <w:rPr>
          <w:rFonts w:ascii="Arial" w:hAnsi="Arial" w:eastAsia="Calibri" w:cs="Arial"/>
          <w:b/>
          <w:bCs/>
          <w:color w:val="000000" w:themeColor="text1"/>
          <w:sz w:val="22"/>
          <w:szCs w:val="22"/>
          <w:lang w:val="es-ES_tradnl"/>
        </w:rPr>
        <w:t xml:space="preserve">Regulación de la promoción del desarrollo en la contratación estatal en el artículo 34 de la Ley 2069 de 2020. Regulación de las convocatorias limitadas a </w:t>
      </w:r>
      <w:proofErr w:type="spellStart"/>
      <w:r w:rsidR="004579E8">
        <w:rPr>
          <w:rFonts w:ascii="Arial" w:hAnsi="Arial" w:eastAsia="Calibri" w:cs="Arial"/>
          <w:b/>
          <w:bCs/>
          <w:color w:val="000000" w:themeColor="text1"/>
          <w:sz w:val="22"/>
          <w:szCs w:val="22"/>
          <w:lang w:val="es-ES_tradnl"/>
        </w:rPr>
        <w:t>Mipyme</w:t>
      </w:r>
      <w:proofErr w:type="spellEnd"/>
      <w:r w:rsidR="004579E8">
        <w:rPr>
          <w:rFonts w:ascii="Arial" w:hAnsi="Arial" w:eastAsia="Calibri" w:cs="Arial"/>
          <w:b/>
          <w:bCs/>
          <w:color w:val="000000" w:themeColor="text1"/>
          <w:sz w:val="22"/>
          <w:szCs w:val="22"/>
          <w:lang w:val="es-ES_tradnl"/>
        </w:rPr>
        <w:t>.</w:t>
      </w:r>
    </w:p>
    <w:p w:rsidRPr="008C0654" w:rsidR="00FC1AF6" w:rsidP="00FC1AF6" w:rsidRDefault="00FC1AF6" w14:paraId="43FCF44E" w14:textId="29CC2705">
      <w:pPr>
        <w:spacing w:line="276" w:lineRule="auto"/>
        <w:jc w:val="both"/>
        <w:rPr>
          <w:rFonts w:ascii="Arial" w:hAnsi="Arial" w:eastAsia="Calibri" w:cs="Arial"/>
          <w:sz w:val="22"/>
          <w:szCs w:val="22"/>
          <w:lang w:val="es-ES_tradnl"/>
        </w:rPr>
      </w:pPr>
    </w:p>
    <w:p w:rsidRPr="008C0654" w:rsidR="00FC1AF6" w:rsidP="00FC1AF6" w:rsidRDefault="00FC1AF6" w14:paraId="5A351DB1" w14:textId="77777777">
      <w:pPr>
        <w:spacing w:line="276" w:lineRule="auto"/>
        <w:jc w:val="both"/>
        <w:rPr>
          <w:rFonts w:ascii="Arial" w:hAnsi="Arial" w:eastAsia="Calibri" w:cs="Arial"/>
          <w:sz w:val="22"/>
          <w:szCs w:val="22"/>
          <w:lang w:val="es-ES_tradnl"/>
        </w:rPr>
      </w:pPr>
      <w:r w:rsidRPr="008C0654">
        <w:rPr>
          <w:rFonts w:ascii="Arial" w:hAnsi="Arial" w:eastAsia="Calibri" w:cs="Arial"/>
          <w:sz w:val="22"/>
          <w:szCs w:val="22"/>
          <w:lang w:val="es-ES_tradnl"/>
        </w:rPr>
        <w:t>El artículo 34 de la Ley 2069 de 2020 establece nuevas reglas sobre la promoción al desarrollo en la contratación estatal. Concretamente, modifica el contenido del artículo 12 de la Ley 1150 de 2007</w:t>
      </w:r>
      <w:r w:rsidRPr="008C0654">
        <w:rPr>
          <w:rStyle w:val="Refdenotaalpie"/>
          <w:rFonts w:ascii="Arial" w:hAnsi="Arial" w:eastAsia="Calibri" w:cs="Arial"/>
          <w:sz w:val="22"/>
          <w:szCs w:val="22"/>
          <w:lang w:val="es-ES_tradnl"/>
        </w:rPr>
        <w:footnoteReference w:id="2"/>
      </w:r>
      <w:r w:rsidRPr="008C0654">
        <w:rPr>
          <w:rFonts w:ascii="Arial" w:hAnsi="Arial" w:eastAsia="Calibri" w:cs="Arial"/>
          <w:sz w:val="22"/>
          <w:szCs w:val="22"/>
          <w:lang w:val="es-ES_tradnl"/>
        </w:rPr>
        <w:t>, prescribiendo lo que se indica a continuación:</w:t>
      </w:r>
    </w:p>
    <w:p w:rsidRPr="008C0654" w:rsidR="00FC1AF6" w:rsidP="00FC1AF6" w:rsidRDefault="00FC1AF6" w14:paraId="42C0E279" w14:textId="77777777">
      <w:pPr>
        <w:spacing w:before="120" w:line="276" w:lineRule="auto"/>
        <w:ind w:firstLine="709"/>
        <w:jc w:val="both"/>
        <w:rPr>
          <w:rFonts w:ascii="Arial" w:hAnsi="Arial" w:eastAsia="Calibri" w:cs="Arial"/>
          <w:sz w:val="22"/>
          <w:szCs w:val="22"/>
          <w:lang w:val="es-ES_tradnl"/>
        </w:rPr>
      </w:pPr>
      <w:r w:rsidRPr="008C0654">
        <w:rPr>
          <w:rFonts w:ascii="Arial" w:hAnsi="Arial" w:eastAsia="Calibri" w:cs="Arial"/>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proofErr w:type="gramStart"/>
      <w:r w:rsidRPr="008C0654">
        <w:rPr>
          <w:rFonts w:ascii="Arial" w:hAnsi="Arial" w:eastAsia="Calibri" w:cs="Arial"/>
          <w:sz w:val="22"/>
          <w:szCs w:val="22"/>
          <w:lang w:val="es-ES_tradnl"/>
        </w:rPr>
        <w:t>públicos,</w:t>
      </w:r>
      <w:proofErr w:type="gramEnd"/>
      <w:r w:rsidRPr="008C0654">
        <w:rPr>
          <w:rFonts w:ascii="Arial" w:hAnsi="Arial" w:eastAsia="Calibri" w:cs="Arial"/>
          <w:sz w:val="22"/>
          <w:szCs w:val="22"/>
          <w:lang w:val="es-ES_tradnl"/>
        </w:rPr>
        <w:t xml:space="preserve"> efectúen convocatorias limitadas a </w:t>
      </w:r>
      <w:proofErr w:type="spellStart"/>
      <w:r w:rsidRPr="008C0654">
        <w:rPr>
          <w:rFonts w:ascii="Arial" w:hAnsi="Arial" w:eastAsia="Calibri" w:cs="Arial"/>
          <w:sz w:val="22"/>
          <w:szCs w:val="22"/>
          <w:lang w:val="es-ES_tradnl"/>
        </w:rPr>
        <w:t>mipymes</w:t>
      </w:r>
      <w:proofErr w:type="spellEnd"/>
      <w:r w:rsidRPr="008C0654">
        <w:rPr>
          <w:rFonts w:ascii="Arial" w:hAnsi="Arial" w:eastAsia="Calibri" w:cs="Arial"/>
          <w:sz w:val="22"/>
          <w:szCs w:val="22"/>
          <w:lang w:val="es-ES_tradnl"/>
        </w:rPr>
        <w:t xml:space="preserve"> en los procesos de contratación. Y agrega que estas convocatorias se pueden realizar también en el ámbito municipal o departamental en el que se ejecute el contrato. </w:t>
      </w:r>
    </w:p>
    <w:p w:rsidRPr="008C0654" w:rsidR="00FC1AF6" w:rsidP="00FC1AF6" w:rsidRDefault="00FC1AF6" w14:paraId="7CBD0742" w14:textId="77777777">
      <w:pPr>
        <w:spacing w:before="120" w:line="276" w:lineRule="auto"/>
        <w:ind w:firstLine="709"/>
        <w:jc w:val="both"/>
        <w:rPr>
          <w:rFonts w:ascii="Arial" w:hAnsi="Arial" w:eastAsia="Calibri" w:cs="Arial"/>
          <w:sz w:val="22"/>
          <w:szCs w:val="22"/>
          <w:lang w:val="es-ES_tradnl"/>
        </w:rPr>
      </w:pPr>
      <w:proofErr w:type="spellStart"/>
      <w:r w:rsidRPr="008C0654">
        <w:rPr>
          <w:rFonts w:ascii="Arial" w:hAnsi="Arial" w:eastAsia="Calibri" w:cs="Arial"/>
          <w:sz w:val="22"/>
          <w:szCs w:val="22"/>
          <w:lang w:val="es-ES_tradnl"/>
        </w:rPr>
        <w:t>ii</w:t>
      </w:r>
      <w:proofErr w:type="spellEnd"/>
      <w:r w:rsidRPr="008C0654">
        <w:rPr>
          <w:rFonts w:ascii="Arial" w:hAnsi="Arial" w:eastAsia="Calibri" w:cs="Arial"/>
          <w:sz w:val="22"/>
          <w:szCs w:val="22"/>
          <w:lang w:val="es-ES_tradnl"/>
        </w:rPr>
        <w:t xml:space="preserve">) Indica que dichas convocatorias se deben efectuar siempre y cuando, antes del acto administrativo de apertura del proceso de selección, por lo menos dos (2) </w:t>
      </w:r>
      <w:proofErr w:type="spellStart"/>
      <w:r w:rsidRPr="008C0654">
        <w:rPr>
          <w:rFonts w:ascii="Arial" w:hAnsi="Arial" w:eastAsia="Calibri" w:cs="Arial"/>
          <w:sz w:val="22"/>
          <w:szCs w:val="22"/>
          <w:lang w:val="es-ES_tradnl"/>
        </w:rPr>
        <w:t>mipymes</w:t>
      </w:r>
      <w:proofErr w:type="spellEnd"/>
      <w:r w:rsidRPr="008C0654">
        <w:rPr>
          <w:rFonts w:ascii="Arial" w:hAnsi="Arial" w:eastAsia="Calibri" w:cs="Arial"/>
          <w:sz w:val="22"/>
          <w:szCs w:val="22"/>
          <w:lang w:val="es-ES_tradnl"/>
        </w:rPr>
        <w:t xml:space="preserve"> hayan manifestado su interés.</w:t>
      </w:r>
    </w:p>
    <w:p w:rsidRPr="008C0654" w:rsidR="00FC1AF6" w:rsidP="00FC1AF6" w:rsidRDefault="00FC1AF6" w14:paraId="7ACC5DDE" w14:textId="77777777">
      <w:pPr>
        <w:spacing w:before="120" w:line="276" w:lineRule="auto"/>
        <w:ind w:firstLine="709"/>
        <w:jc w:val="both"/>
        <w:rPr>
          <w:rFonts w:ascii="Arial" w:hAnsi="Arial" w:eastAsia="Calibri" w:cs="Arial"/>
          <w:sz w:val="22"/>
          <w:szCs w:val="22"/>
          <w:lang w:val="es-ES_tradnl"/>
        </w:rPr>
      </w:pPr>
      <w:proofErr w:type="spellStart"/>
      <w:r w:rsidRPr="008C0654">
        <w:rPr>
          <w:rFonts w:ascii="Arial" w:hAnsi="Arial" w:eastAsia="Calibri" w:cs="Arial"/>
          <w:sz w:val="22"/>
          <w:szCs w:val="22"/>
          <w:lang w:val="es-ES_tradnl"/>
        </w:rPr>
        <w:t>iii</w:t>
      </w:r>
      <w:proofErr w:type="spellEnd"/>
      <w:r w:rsidRPr="008C0654">
        <w:rPr>
          <w:rFonts w:ascii="Arial" w:hAnsi="Arial" w:eastAsia="Calibri" w:cs="Arial"/>
          <w:sz w:val="22"/>
          <w:szCs w:val="22"/>
          <w:lang w:val="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rsidRPr="008C0654" w:rsidR="00FC1AF6" w:rsidP="00FC1AF6" w:rsidRDefault="00FC1AF6" w14:paraId="0D3A0743" w14:textId="77777777">
      <w:pPr>
        <w:spacing w:before="120" w:line="276" w:lineRule="auto"/>
        <w:ind w:firstLine="709"/>
        <w:jc w:val="both"/>
        <w:rPr>
          <w:rFonts w:ascii="Arial" w:hAnsi="Arial" w:eastAsia="Calibri" w:cs="Arial"/>
          <w:sz w:val="22"/>
          <w:szCs w:val="22"/>
          <w:lang w:val="es-ES_tradnl"/>
        </w:rPr>
      </w:pPr>
      <w:proofErr w:type="spellStart"/>
      <w:r w:rsidRPr="008C0654">
        <w:rPr>
          <w:rFonts w:ascii="Arial" w:hAnsi="Arial" w:eastAsia="Calibri" w:cs="Arial"/>
          <w:sz w:val="22"/>
          <w:szCs w:val="22"/>
          <w:lang w:val="es-ES_tradnl"/>
        </w:rPr>
        <w:t>iv</w:t>
      </w:r>
      <w:proofErr w:type="spellEnd"/>
      <w:r w:rsidRPr="008C0654">
        <w:rPr>
          <w:rFonts w:ascii="Arial" w:hAnsi="Arial" w:eastAsia="Calibri" w:cs="Arial"/>
          <w:sz w:val="22"/>
          <w:szCs w:val="22"/>
          <w:lang w:val="es-ES_tradnl"/>
        </w:rPr>
        <w:t xml:space="preserve">) Establece que, en el reglamento, el gobierno nacional podría establecer condiciones preferenciales para los bienes y servicios producidos por las </w:t>
      </w:r>
      <w:proofErr w:type="spellStart"/>
      <w:r w:rsidRPr="008C0654">
        <w:rPr>
          <w:rFonts w:ascii="Arial" w:hAnsi="Arial" w:eastAsia="Calibri" w:cs="Arial"/>
          <w:sz w:val="22"/>
          <w:szCs w:val="22"/>
          <w:lang w:val="es-ES_tradnl"/>
        </w:rPr>
        <w:t>mipymes</w:t>
      </w:r>
      <w:proofErr w:type="spellEnd"/>
      <w:r w:rsidRPr="008C0654">
        <w:rPr>
          <w:rFonts w:ascii="Arial" w:hAnsi="Arial" w:eastAsia="Calibri" w:cs="Arial"/>
          <w:sz w:val="22"/>
          <w:szCs w:val="22"/>
          <w:lang w:val="es-ES_tradnl"/>
        </w:rPr>
        <w:t>, sin contrariar los compromisos internacionales vigentes.</w:t>
      </w:r>
    </w:p>
    <w:p w:rsidRPr="008C0654" w:rsidR="00FC1AF6" w:rsidP="00FC1AF6" w:rsidRDefault="00FC1AF6" w14:paraId="06354154" w14:textId="77777777">
      <w:pPr>
        <w:spacing w:before="120" w:line="276" w:lineRule="auto"/>
        <w:ind w:firstLine="709"/>
        <w:jc w:val="both"/>
        <w:rPr>
          <w:rFonts w:ascii="Arial" w:hAnsi="Arial" w:eastAsia="Calibri" w:cs="Arial"/>
          <w:sz w:val="22"/>
          <w:szCs w:val="22"/>
          <w:lang w:val="es-ES_tradnl"/>
        </w:rPr>
      </w:pPr>
      <w:r w:rsidRPr="008C0654">
        <w:rPr>
          <w:rFonts w:ascii="Arial" w:hAnsi="Arial" w:eastAsia="Calibri" w:cs="Arial"/>
          <w:sz w:val="22"/>
          <w:szCs w:val="22"/>
          <w:lang w:val="es-ES_tradnl"/>
        </w:rPr>
        <w:t xml:space="preserve">v)  Aclara que tanto las convocatorias limitadas a </w:t>
      </w:r>
      <w:proofErr w:type="spellStart"/>
      <w:r w:rsidRPr="008C0654">
        <w:rPr>
          <w:rFonts w:ascii="Arial" w:hAnsi="Arial" w:eastAsia="Calibri" w:cs="Arial"/>
          <w:sz w:val="22"/>
          <w:szCs w:val="22"/>
          <w:lang w:val="es-ES_tradnl"/>
        </w:rPr>
        <w:t>mipymes</w:t>
      </w:r>
      <w:proofErr w:type="spellEnd"/>
      <w:r w:rsidRPr="008C0654">
        <w:rPr>
          <w:rFonts w:ascii="Arial" w:hAnsi="Arial" w:eastAsia="Calibri" w:cs="Arial"/>
          <w:sz w:val="22"/>
          <w:szCs w:val="22"/>
          <w:lang w:val="es-ES_tradnl"/>
        </w:rPr>
        <w:t>, como las condiciones preferenciales a favor de los bienes y servicios producidos por estas, no es óbice para que deban cumplir las exigencias técnicas y económicas del proceso de selección.</w:t>
      </w:r>
    </w:p>
    <w:p w:rsidRPr="008C0654" w:rsidR="00FC1AF6" w:rsidP="00FC1AF6" w:rsidRDefault="00FC1AF6" w14:paraId="4417D888" w14:textId="77777777">
      <w:pPr>
        <w:spacing w:before="120" w:line="276" w:lineRule="auto"/>
        <w:ind w:firstLine="709"/>
        <w:jc w:val="both"/>
        <w:rPr>
          <w:rFonts w:ascii="Arial" w:hAnsi="Arial" w:eastAsia="Calibri" w:cs="Arial"/>
          <w:sz w:val="22"/>
          <w:szCs w:val="22"/>
          <w:lang w:val="es-ES_tradnl"/>
        </w:rPr>
      </w:pPr>
      <w:r w:rsidRPr="008C0654">
        <w:rPr>
          <w:rFonts w:ascii="Arial" w:hAnsi="Arial" w:eastAsia="Calibri" w:cs="Arial"/>
          <w:sz w:val="22"/>
          <w:szCs w:val="22"/>
          <w:lang w:val="es-ES_tradnl"/>
        </w:rPr>
        <w:t xml:space="preserve">vi) Señala que el reglamento a cargo del gobierno nacional, además de las convocatorias limitadas a </w:t>
      </w:r>
      <w:proofErr w:type="spellStart"/>
      <w:r w:rsidRPr="008C0654">
        <w:rPr>
          <w:rFonts w:ascii="Arial" w:hAnsi="Arial" w:eastAsia="Calibri" w:cs="Arial"/>
          <w:sz w:val="22"/>
          <w:szCs w:val="22"/>
          <w:lang w:val="es-ES_tradnl"/>
        </w:rPr>
        <w:t>mipymes</w:t>
      </w:r>
      <w:proofErr w:type="spellEnd"/>
      <w:r w:rsidRPr="008C0654">
        <w:rPr>
          <w:rFonts w:ascii="Arial" w:hAnsi="Arial" w:eastAsia="Calibri" w:cs="Arial"/>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rsidRPr="008C0654" w:rsidR="00FC1AF6" w:rsidP="00FC1AF6" w:rsidRDefault="00FC1AF6" w14:paraId="61DAA8E7" w14:textId="77777777">
      <w:pPr>
        <w:spacing w:before="120" w:line="276" w:lineRule="auto"/>
        <w:ind w:firstLine="709"/>
        <w:jc w:val="both"/>
        <w:rPr>
          <w:rFonts w:ascii="Arial" w:hAnsi="Arial" w:eastAsia="Calibri" w:cs="Arial"/>
          <w:sz w:val="22"/>
          <w:szCs w:val="22"/>
          <w:lang w:val="es-ES_tradnl"/>
        </w:rPr>
      </w:pPr>
      <w:proofErr w:type="spellStart"/>
      <w:r w:rsidRPr="008C0654">
        <w:rPr>
          <w:rFonts w:ascii="Arial" w:hAnsi="Arial" w:eastAsia="Calibri" w:cs="Arial"/>
          <w:sz w:val="22"/>
          <w:szCs w:val="22"/>
          <w:lang w:val="es-ES_tradnl"/>
        </w:rPr>
        <w:t>vii</w:t>
      </w:r>
      <w:proofErr w:type="spellEnd"/>
      <w:r w:rsidRPr="008C0654">
        <w:rPr>
          <w:rFonts w:ascii="Arial" w:hAnsi="Arial" w:eastAsia="Calibri" w:cs="Arial"/>
          <w:sz w:val="22"/>
          <w:szCs w:val="22"/>
          <w:lang w:val="es-ES_tradnl"/>
        </w:rPr>
        <w:t xml:space="preserve">) Precisa que la posibilidad de participar en convocatorias limitadas a </w:t>
      </w:r>
      <w:proofErr w:type="spellStart"/>
      <w:r w:rsidRPr="008C0654">
        <w:rPr>
          <w:rFonts w:ascii="Arial" w:hAnsi="Arial" w:eastAsia="Calibri" w:cs="Arial"/>
          <w:sz w:val="22"/>
          <w:szCs w:val="22"/>
          <w:lang w:val="es-ES_tradnl"/>
        </w:rPr>
        <w:t>mipymes</w:t>
      </w:r>
      <w:proofErr w:type="spellEnd"/>
      <w:r w:rsidRPr="008C0654">
        <w:rPr>
          <w:rFonts w:ascii="Arial" w:hAnsi="Arial" w:eastAsia="Calibri" w:cs="Arial"/>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rsidR="00FC1AF6" w:rsidP="00FC1AF6" w:rsidRDefault="00FC1AF6" w14:paraId="1C8E9B68" w14:textId="5F2F5B79">
      <w:pPr>
        <w:spacing w:before="120" w:line="276" w:lineRule="auto"/>
        <w:ind w:firstLine="709"/>
        <w:jc w:val="both"/>
        <w:rPr>
          <w:rFonts w:ascii="Arial" w:hAnsi="Arial" w:eastAsia="Calibri" w:cs="Arial"/>
          <w:sz w:val="22"/>
          <w:szCs w:val="22"/>
          <w:lang w:val="es-ES_tradnl"/>
        </w:rPr>
      </w:pPr>
      <w:proofErr w:type="spellStart"/>
      <w:r w:rsidRPr="008C0654">
        <w:rPr>
          <w:rFonts w:ascii="Arial" w:hAnsi="Arial" w:eastAsia="Calibri" w:cs="Arial"/>
          <w:sz w:val="22"/>
          <w:szCs w:val="22"/>
          <w:lang w:val="es-ES_tradnl"/>
        </w:rPr>
        <w:t>viii</w:t>
      </w:r>
      <w:proofErr w:type="spellEnd"/>
      <w:r w:rsidRPr="008C0654">
        <w:rPr>
          <w:rFonts w:ascii="Arial" w:hAnsi="Arial" w:eastAsia="Calibri" w:cs="Arial"/>
          <w:sz w:val="22"/>
          <w:szCs w:val="22"/>
          <w:lang w:val="es-ES_tradnl"/>
        </w:rPr>
        <w:t xml:space="preserve">) Hace obligatorio el cumplimiento de lo dispuesto en los artículos 90 a 95 de la Ley 418 de 1997 –normas que establecen la obligación de declarar la caducidad y la liquidación unilateral cuando el contratista beneficie grupos armados organizados al margen </w:t>
      </w:r>
      <w:r w:rsidRPr="008C0654">
        <w:rPr>
          <w:rFonts w:ascii="Arial" w:hAnsi="Arial" w:eastAsia="Calibri" w:cs="Arial"/>
          <w:sz w:val="22"/>
          <w:szCs w:val="22"/>
          <w:lang w:val="es-ES_tradnl"/>
        </w:rPr>
        <w:lastRenderedPageBreak/>
        <w:t>de la ley– en la ejecución de los contratos celebrados en virtud del artículo 34 de la Ley 2069 de 2020.</w:t>
      </w:r>
    </w:p>
    <w:p w:rsidR="004E5B18" w:rsidP="004E5B18" w:rsidRDefault="004E5B18" w14:paraId="5D31AC48" w14:textId="77777777">
      <w:pPr>
        <w:spacing w:before="120" w:line="276" w:lineRule="auto"/>
        <w:ind w:firstLine="709"/>
        <w:jc w:val="both"/>
        <w:rPr>
          <w:rFonts w:ascii="Arial" w:hAnsi="Arial" w:eastAsia="Calibri" w:cs="Arial"/>
          <w:sz w:val="22"/>
          <w:szCs w:val="22"/>
          <w:lang w:val="es-ES_tradnl"/>
        </w:rPr>
      </w:pPr>
      <w:r>
        <w:rPr>
          <w:rFonts w:ascii="Arial" w:hAnsi="Arial" w:eastAsia="Calibri" w:cs="Arial"/>
          <w:sz w:val="22"/>
          <w:szCs w:val="22"/>
          <w:lang w:val="es-ES_tradnl"/>
        </w:rPr>
        <w:t xml:space="preserve">De acuerdo con lo anterior, y conforme a lo explicado por esta Agencia desde el Concepto </w:t>
      </w:r>
      <w:r w:rsidRPr="00BD2B38">
        <w:rPr>
          <w:rFonts w:ascii="Arial" w:hAnsi="Arial" w:eastAsia="Calibri" w:cs="Arial"/>
          <w:sz w:val="22"/>
          <w:szCs w:val="22"/>
        </w:rPr>
        <w:t>C-043 del 9 de febrero de 202</w:t>
      </w:r>
      <w:r>
        <w:rPr>
          <w:rFonts w:ascii="Arial" w:hAnsi="Arial" w:eastAsia="Calibri" w:cs="Arial"/>
          <w:sz w:val="22"/>
          <w:szCs w:val="22"/>
        </w:rPr>
        <w:t>1</w:t>
      </w:r>
      <w:r>
        <w:rPr>
          <w:rFonts w:ascii="Arial" w:hAnsi="Arial" w:eastAsia="Calibri" w:cs="Arial"/>
          <w:sz w:val="22"/>
          <w:szCs w:val="22"/>
          <w:lang w:val="es-ES_tradnl"/>
        </w:rPr>
        <w:t xml:space="preserve">, postura reiterada en conceptos posteriores, el artículo 34 de la Ley 2069 de 2020 sustituyó íntegramente el contenido del artículo 12 de la Ley 1150 de 2007, por lo que frente a esta última norma se produjo el fenómeno de la subrogación. En tal sentido, </w:t>
      </w:r>
      <w:r w:rsidRPr="00EE341D">
        <w:rPr>
          <w:rFonts w:ascii="Arial" w:hAnsi="Arial" w:eastAsia="Calibri" w:cs="Arial"/>
          <w:sz w:val="22"/>
          <w:szCs w:val="22"/>
          <w:lang w:val="es-ES_tradnl"/>
        </w:rPr>
        <w:t>el artículo 2.2.1.2.4.2.2 original del Decreto 1082 de 2015 –antes del Decreto 1860 de 2021</w:t>
      </w:r>
      <w:r>
        <w:rPr>
          <w:rFonts w:ascii="Arial" w:hAnsi="Arial" w:eastAsia="Calibri" w:cs="Arial"/>
          <w:sz w:val="22"/>
          <w:szCs w:val="22"/>
          <w:lang w:val="es-ES_tradnl"/>
        </w:rPr>
        <w:t>–</w:t>
      </w:r>
      <w:r w:rsidRPr="00EE341D">
        <w:rPr>
          <w:rFonts w:ascii="Arial" w:hAnsi="Arial" w:eastAsia="Calibri" w:cs="Arial"/>
          <w:sz w:val="22"/>
          <w:szCs w:val="22"/>
          <w:lang w:val="es-ES_tradnl"/>
        </w:rPr>
        <w:t xml:space="preserve">, que hasta la expedición de la Ley 2069 de 2020 regulaba las convocatorias limitadas a </w:t>
      </w:r>
      <w:proofErr w:type="spellStart"/>
      <w:r w:rsidRPr="00EE341D">
        <w:rPr>
          <w:rFonts w:ascii="Arial" w:hAnsi="Arial" w:eastAsia="Calibri" w:cs="Arial"/>
          <w:sz w:val="22"/>
          <w:szCs w:val="22"/>
          <w:lang w:val="es-ES_tradnl"/>
        </w:rPr>
        <w:t>Mipymes</w:t>
      </w:r>
      <w:proofErr w:type="spellEnd"/>
      <w:r>
        <w:rPr>
          <w:rFonts w:ascii="Arial" w:hAnsi="Arial" w:eastAsia="Calibri" w:cs="Arial"/>
          <w:sz w:val="22"/>
          <w:szCs w:val="22"/>
          <w:lang w:val="es-ES_tradnl"/>
        </w:rPr>
        <w:t xml:space="preserve">, </w:t>
      </w:r>
      <w:r w:rsidRPr="00EE341D">
        <w:rPr>
          <w:rFonts w:ascii="Arial" w:hAnsi="Arial" w:eastAsia="Calibri" w:cs="Arial"/>
          <w:sz w:val="22"/>
          <w:szCs w:val="22"/>
          <w:lang w:val="es-ES_tradnl"/>
        </w:rPr>
        <w:t>carec</w:t>
      </w:r>
      <w:r>
        <w:rPr>
          <w:rFonts w:ascii="Arial" w:hAnsi="Arial" w:eastAsia="Calibri" w:cs="Arial"/>
          <w:sz w:val="22"/>
          <w:szCs w:val="22"/>
          <w:lang w:val="es-ES_tradnl"/>
        </w:rPr>
        <w:t>ía</w:t>
      </w:r>
      <w:r w:rsidRPr="00EE341D">
        <w:rPr>
          <w:rFonts w:ascii="Arial" w:hAnsi="Arial" w:eastAsia="Calibri" w:cs="Arial"/>
          <w:sz w:val="22"/>
          <w:szCs w:val="22"/>
          <w:lang w:val="es-ES_tradnl"/>
        </w:rPr>
        <w:t xml:space="preserve"> de vigencia, porque su contenido e</w:t>
      </w:r>
      <w:r>
        <w:rPr>
          <w:rFonts w:ascii="Arial" w:hAnsi="Arial" w:eastAsia="Calibri" w:cs="Arial"/>
          <w:sz w:val="22"/>
          <w:szCs w:val="22"/>
          <w:lang w:val="es-ES_tradnl"/>
        </w:rPr>
        <w:t>ra</w:t>
      </w:r>
      <w:r w:rsidRPr="00EE341D">
        <w:rPr>
          <w:rFonts w:ascii="Arial" w:hAnsi="Arial" w:eastAsia="Calibri" w:cs="Arial"/>
          <w:sz w:val="22"/>
          <w:szCs w:val="22"/>
          <w:lang w:val="es-ES_tradnl"/>
        </w:rPr>
        <w:t xml:space="preserve"> contrario al artículo 34 de la Ley 2069 de 2020.</w:t>
      </w:r>
      <w:r>
        <w:rPr>
          <w:rFonts w:ascii="Arial" w:hAnsi="Arial" w:eastAsia="Calibri" w:cs="Arial"/>
          <w:sz w:val="22"/>
          <w:szCs w:val="22"/>
          <w:lang w:val="es-ES_tradnl"/>
        </w:rPr>
        <w:t xml:space="preserve"> En consecuencia</w:t>
      </w:r>
      <w:r w:rsidRPr="00EE341D">
        <w:rPr>
          <w:rFonts w:ascii="Arial" w:hAnsi="Arial" w:eastAsia="Calibri" w:cs="Arial"/>
          <w:sz w:val="22"/>
          <w:szCs w:val="22"/>
          <w:lang w:val="es-ES_tradnl"/>
        </w:rPr>
        <w:t xml:space="preserve">, </w:t>
      </w:r>
      <w:r>
        <w:rPr>
          <w:rFonts w:ascii="Arial" w:hAnsi="Arial" w:eastAsia="Calibri" w:cs="Arial"/>
          <w:sz w:val="22"/>
          <w:szCs w:val="22"/>
          <w:lang w:val="es-ES_tradnl"/>
        </w:rPr>
        <w:t xml:space="preserve">perdió </w:t>
      </w:r>
      <w:r w:rsidRPr="00EE341D">
        <w:rPr>
          <w:rFonts w:ascii="Arial" w:hAnsi="Arial" w:eastAsia="Calibri" w:cs="Arial"/>
          <w:sz w:val="22"/>
          <w:szCs w:val="22"/>
          <w:lang w:val="es-ES_tradnl"/>
        </w:rPr>
        <w:t>fuerza ejecutoria, de conformidad con el artículo 91</w:t>
      </w:r>
      <w:r>
        <w:rPr>
          <w:rFonts w:ascii="Arial" w:hAnsi="Arial" w:eastAsia="Calibri" w:cs="Arial"/>
          <w:sz w:val="22"/>
          <w:szCs w:val="22"/>
          <w:lang w:val="es-ES_tradnl"/>
        </w:rPr>
        <w:t>.</w:t>
      </w:r>
      <w:r w:rsidRPr="00EE341D">
        <w:rPr>
          <w:rFonts w:ascii="Arial" w:hAnsi="Arial" w:eastAsia="Calibri" w:cs="Arial"/>
          <w:sz w:val="22"/>
          <w:szCs w:val="22"/>
          <w:lang w:val="es-ES_tradnl"/>
        </w:rPr>
        <w:t xml:space="preserve">2 de la Ley 1437 de 2011, el cual establece que los actos administrativos –categoría que, como es sabido, incluye los decretos reglamentarios– dejan de ser obligatorios o decaen «Cuando desaparezcan sus fundamentos de hecho o de derecho». </w:t>
      </w:r>
    </w:p>
    <w:p w:rsidR="004E5B18" w:rsidP="004E5B18" w:rsidRDefault="004E5B18" w14:paraId="55AB1BA6" w14:textId="77777777">
      <w:pPr>
        <w:spacing w:before="120" w:line="276" w:lineRule="auto"/>
        <w:ind w:firstLine="709"/>
        <w:jc w:val="both"/>
        <w:rPr>
          <w:rFonts w:ascii="Arial" w:hAnsi="Arial" w:eastAsia="Calibri" w:cs="Arial"/>
          <w:sz w:val="22"/>
          <w:szCs w:val="22"/>
        </w:rPr>
      </w:pPr>
      <w:r>
        <w:rPr>
          <w:rFonts w:ascii="Arial" w:hAnsi="Arial" w:eastAsia="Calibri" w:cs="Arial"/>
          <w:sz w:val="22"/>
          <w:szCs w:val="22"/>
        </w:rPr>
        <w:t>A</w:t>
      </w:r>
      <w:r w:rsidRPr="00BD2B38">
        <w:rPr>
          <w:rFonts w:ascii="Arial" w:hAnsi="Arial" w:eastAsia="Calibri" w:cs="Arial"/>
          <w:sz w:val="22"/>
          <w:szCs w:val="22"/>
        </w:rPr>
        <w:t>demás de la pérdida de fuerza ejecutoria de</w:t>
      </w:r>
      <w:r>
        <w:rPr>
          <w:rFonts w:ascii="Arial" w:hAnsi="Arial" w:eastAsia="Calibri" w:cs="Arial"/>
          <w:sz w:val="22"/>
          <w:szCs w:val="22"/>
        </w:rPr>
        <w:t xml:space="preserve"> la redacción original de</w:t>
      </w:r>
      <w:r w:rsidRPr="00BD2B38">
        <w:rPr>
          <w:rFonts w:ascii="Arial" w:hAnsi="Arial" w:eastAsia="Calibri" w:cs="Arial"/>
          <w:sz w:val="22"/>
          <w:szCs w:val="22"/>
        </w:rPr>
        <w:t xml:space="preserve"> los artículos 2.2.1.2.4.2.2 y 2.2.1.2.4.2.3 del Decreto 1082 de 2015 por la desaparición de su fundamento de derecho, </w:t>
      </w:r>
      <w:r>
        <w:rPr>
          <w:rFonts w:ascii="Arial" w:hAnsi="Arial" w:eastAsia="Calibri" w:cs="Arial"/>
          <w:sz w:val="22"/>
          <w:szCs w:val="22"/>
        </w:rPr>
        <w:t>también se advirtió</w:t>
      </w:r>
      <w:r w:rsidRPr="00BD2B38">
        <w:rPr>
          <w:rFonts w:ascii="Arial" w:hAnsi="Arial" w:eastAsia="Calibri" w:cs="Arial"/>
          <w:sz w:val="22"/>
          <w:szCs w:val="22"/>
        </w:rPr>
        <w:t xml:space="preserve"> una manifiesta oposición entre dichos enunciados normativos y el nuevo contenido del artículo 12 de la Ley 1150 de 2007, modificado por el artículo 34 de la Ley 2069 de 2020. Ante esta contradicción, deb</w:t>
      </w:r>
      <w:r>
        <w:rPr>
          <w:rFonts w:ascii="Arial" w:hAnsi="Arial" w:eastAsia="Calibri" w:cs="Arial"/>
          <w:sz w:val="22"/>
          <w:szCs w:val="22"/>
        </w:rPr>
        <w:t>ía</w:t>
      </w:r>
      <w:r w:rsidRPr="00BD2B38">
        <w:rPr>
          <w:rFonts w:ascii="Arial" w:hAnsi="Arial" w:eastAsia="Calibri" w:cs="Arial"/>
          <w:sz w:val="22"/>
          <w:szCs w:val="22"/>
        </w:rPr>
        <w:t xml:space="preserve"> aplicarse la consecuencia jurídica prevista en el artículo 84 de la Ley 2069 de 2020, según la cual </w:t>
      </w:r>
      <w:proofErr w:type="spellStart"/>
      <w:r w:rsidRPr="00BD2B38">
        <w:rPr>
          <w:rFonts w:ascii="Arial" w:hAnsi="Arial" w:eastAsia="Calibri" w:cs="Arial"/>
          <w:sz w:val="22"/>
          <w:szCs w:val="22"/>
        </w:rPr>
        <w:t>esta</w:t>
      </w:r>
      <w:proofErr w:type="spellEnd"/>
      <w:r w:rsidRPr="00BD2B38">
        <w:rPr>
          <w:rFonts w:ascii="Arial" w:hAnsi="Arial" w:eastAsia="Calibri" w:cs="Arial"/>
          <w:sz w:val="22"/>
          <w:szCs w:val="22"/>
        </w:rPr>
        <w:t xml:space="preserve">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r w:rsidRPr="00B27FED">
        <w:rPr>
          <w:rFonts w:ascii="Arial" w:hAnsi="Arial" w:eastAsia="Calibri" w:cs="Arial"/>
          <w:i/>
          <w:iCs/>
          <w:sz w:val="22"/>
          <w:szCs w:val="22"/>
        </w:rPr>
        <w:t>ibídem</w:t>
      </w:r>
      <w:r>
        <w:rPr>
          <w:rFonts w:ascii="Arial" w:hAnsi="Arial" w:eastAsia="Calibri" w:cs="Arial"/>
          <w:sz w:val="22"/>
          <w:szCs w:val="22"/>
        </w:rPr>
        <w:t xml:space="preserve">. </w:t>
      </w:r>
    </w:p>
    <w:p w:rsidR="004E5B18" w:rsidP="004E5B18" w:rsidRDefault="004E5B18" w14:paraId="205092D0" w14:textId="77777777">
      <w:pPr>
        <w:spacing w:before="120" w:line="276" w:lineRule="auto"/>
        <w:ind w:firstLine="709"/>
        <w:jc w:val="both"/>
        <w:rPr>
          <w:rFonts w:ascii="Arial" w:hAnsi="Arial" w:eastAsia="Calibri" w:cs="Arial"/>
          <w:sz w:val="22"/>
          <w:szCs w:val="22"/>
          <w:lang w:val="es-ES"/>
        </w:rPr>
      </w:pPr>
      <w:r>
        <w:rPr>
          <w:rFonts w:ascii="Arial" w:hAnsi="Arial" w:eastAsia="Calibri" w:cs="Arial"/>
          <w:sz w:val="22"/>
          <w:szCs w:val="22"/>
          <w:lang w:val="es-ES"/>
        </w:rPr>
        <w:t xml:space="preserve">Adicionalmente, </w:t>
      </w:r>
      <w:r w:rsidRPr="00A669AB">
        <w:rPr>
          <w:rFonts w:ascii="Arial" w:hAnsi="Arial" w:eastAsia="Calibri" w:cs="Arial"/>
          <w:sz w:val="22"/>
          <w:szCs w:val="22"/>
          <w:lang w:val="es-ES"/>
        </w:rPr>
        <w:t>el artículo 34 de la Ley de Emprendimiento no es una norma de aplicación directa</w:t>
      </w:r>
      <w:r>
        <w:rPr>
          <w:rFonts w:ascii="Arial" w:hAnsi="Arial" w:eastAsia="Calibri" w:cs="Arial"/>
          <w:sz w:val="22"/>
          <w:szCs w:val="22"/>
          <w:lang w:val="es-ES"/>
        </w:rPr>
        <w:t xml:space="preserve"> y </w:t>
      </w:r>
      <w:r w:rsidRPr="00A669AB">
        <w:rPr>
          <w:rFonts w:ascii="Arial" w:hAnsi="Arial" w:eastAsia="Calibri" w:cs="Arial"/>
          <w:sz w:val="22"/>
          <w:szCs w:val="22"/>
          <w:lang w:val="es-ES"/>
        </w:rPr>
        <w:t xml:space="preserve">contempla supuestos que no estaban previstos en el Decreto 1082 de 2015 original –antes de la modificación realizada por el Decreto 1860 de 2021–. Particularmente, conforme al artículo 2.2.1.2.4.2.2 </w:t>
      </w:r>
      <w:r w:rsidRPr="00A669AB">
        <w:rPr>
          <w:rFonts w:ascii="Arial" w:hAnsi="Arial" w:eastAsia="Calibri" w:cs="Arial"/>
          <w:i/>
          <w:sz w:val="22"/>
          <w:szCs w:val="22"/>
          <w:lang w:val="es-ES"/>
        </w:rPr>
        <w:t>ibídem</w:t>
      </w:r>
      <w:r w:rsidRPr="00A669AB">
        <w:rPr>
          <w:rFonts w:ascii="Arial" w:hAnsi="Arial" w:eastAsia="Calibri" w:cs="Arial"/>
          <w:sz w:val="22"/>
          <w:szCs w:val="22"/>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proofErr w:type="spellStart"/>
      <w:r w:rsidRPr="00A669AB">
        <w:rPr>
          <w:rFonts w:ascii="Arial" w:hAnsi="Arial" w:eastAsia="Calibri" w:cs="Arial"/>
          <w:sz w:val="22"/>
          <w:szCs w:val="22"/>
          <w:lang w:val="es-ES"/>
        </w:rPr>
        <w:t>mipymes</w:t>
      </w:r>
      <w:proofErr w:type="spellEnd"/>
      <w:r w:rsidRPr="00A669AB">
        <w:rPr>
          <w:rFonts w:ascii="Arial" w:hAnsi="Arial" w:eastAsia="Calibri" w:cs="Arial"/>
          <w:sz w:val="22"/>
          <w:szCs w:val="22"/>
          <w:lang w:val="es-ES"/>
        </w:rPr>
        <w:t xml:space="preserve"> nacionales. Frente a este escenario, surg</w:t>
      </w:r>
      <w:r>
        <w:rPr>
          <w:rFonts w:ascii="Arial" w:hAnsi="Arial" w:eastAsia="Calibri" w:cs="Arial"/>
          <w:sz w:val="22"/>
          <w:szCs w:val="22"/>
          <w:lang w:val="es-ES"/>
        </w:rPr>
        <w:t>ió</w:t>
      </w:r>
      <w:r w:rsidRPr="00A669AB">
        <w:rPr>
          <w:rFonts w:ascii="Arial" w:hAnsi="Arial" w:eastAsia="Calibri" w:cs="Arial"/>
          <w:sz w:val="22"/>
          <w:szCs w:val="22"/>
          <w:lang w:val="es-ES"/>
        </w:rPr>
        <w:t xml:space="preserve"> la necesidad de expedir una nueva reglamentación para las convocatorias limitadas que desarrolle los nuevos elementos previstos en la ley, regulación que se </w:t>
      </w:r>
      <w:r>
        <w:rPr>
          <w:rFonts w:ascii="Arial" w:hAnsi="Arial" w:eastAsia="Calibri" w:cs="Arial"/>
          <w:sz w:val="22"/>
          <w:szCs w:val="22"/>
          <w:lang w:val="es-ES"/>
        </w:rPr>
        <w:t>concretó</w:t>
      </w:r>
      <w:r w:rsidRPr="00A669AB">
        <w:rPr>
          <w:rFonts w:ascii="Arial" w:hAnsi="Arial" w:eastAsia="Calibri" w:cs="Arial"/>
          <w:sz w:val="22"/>
          <w:szCs w:val="22"/>
          <w:lang w:val="es-ES"/>
        </w:rPr>
        <w:t xml:space="preserve"> mediante el Decreto 1860 del 24 de diciembre de 2021</w:t>
      </w:r>
      <w:r>
        <w:rPr>
          <w:rFonts w:ascii="Arial" w:hAnsi="Arial" w:eastAsia="Calibri" w:cs="Arial"/>
          <w:sz w:val="22"/>
          <w:szCs w:val="22"/>
          <w:lang w:val="es-ES"/>
        </w:rPr>
        <w:t xml:space="preserve">. </w:t>
      </w:r>
    </w:p>
    <w:p w:rsidRPr="00C5626D" w:rsidR="004E5B18" w:rsidP="004E5B18" w:rsidRDefault="004E5B18" w14:paraId="4E1CF16E" w14:textId="45A33B85">
      <w:pPr>
        <w:spacing w:before="120" w:line="276" w:lineRule="auto"/>
        <w:ind w:firstLine="709"/>
        <w:jc w:val="both"/>
        <w:rPr>
          <w:rFonts w:ascii="Arial" w:hAnsi="Arial" w:eastAsia="Calibri" w:cs="Arial"/>
          <w:color w:val="000000" w:themeColor="text1"/>
          <w:sz w:val="22"/>
          <w:szCs w:val="22"/>
          <w:lang w:val="es-ES_tradnl"/>
        </w:rPr>
      </w:pPr>
      <w:r>
        <w:rPr>
          <w:rFonts w:ascii="Arial" w:hAnsi="Arial" w:eastAsia="Calibri" w:cs="Arial"/>
          <w:color w:val="000000" w:themeColor="text1"/>
          <w:sz w:val="22"/>
          <w:szCs w:val="22"/>
          <w:lang w:val="es-ES_tradnl"/>
        </w:rPr>
        <w:t xml:space="preserve">En resumidas cuentas, el artículo 34 de la Ley 2069 de 2020 establece los parámetros para realizar convocatorias limitadas a </w:t>
      </w:r>
      <w:proofErr w:type="spellStart"/>
      <w:r>
        <w:rPr>
          <w:rFonts w:ascii="Arial" w:hAnsi="Arial" w:eastAsia="Calibri" w:cs="Arial"/>
          <w:color w:val="000000" w:themeColor="text1"/>
          <w:sz w:val="22"/>
          <w:szCs w:val="22"/>
          <w:lang w:val="es-ES_tradnl"/>
        </w:rPr>
        <w:t>Mipyme</w:t>
      </w:r>
      <w:proofErr w:type="spellEnd"/>
      <w:r>
        <w:rPr>
          <w:rFonts w:ascii="Arial" w:hAnsi="Arial" w:eastAsia="Calibri" w:cs="Arial"/>
          <w:color w:val="000000" w:themeColor="text1"/>
          <w:sz w:val="22"/>
          <w:szCs w:val="22"/>
          <w:lang w:val="es-ES_tradnl"/>
        </w:rPr>
        <w:t xml:space="preserve"> cuya aplicación es obligatoria en los procesos de contratación que realicen las entidades estatales indistintamente de su régimen de contratación, los patrimonios autónomos constituidos por aquellas y los particulares que administren recursos públicos. Para su aplicación, esta norma determina que dichas convocatorias se deben efectuar siempre y cuando, antes del acto administrativo </w:t>
      </w:r>
      <w:r>
        <w:rPr>
          <w:rFonts w:ascii="Arial" w:hAnsi="Arial" w:eastAsia="Calibri" w:cs="Arial"/>
          <w:color w:val="000000" w:themeColor="text1"/>
          <w:sz w:val="22"/>
          <w:szCs w:val="22"/>
          <w:lang w:val="es-ES_tradnl"/>
        </w:rPr>
        <w:lastRenderedPageBreak/>
        <w:t xml:space="preserve">de apertura del proceso de selección, por lo menos dos (2) </w:t>
      </w:r>
      <w:proofErr w:type="spellStart"/>
      <w:r>
        <w:rPr>
          <w:rFonts w:ascii="Arial" w:hAnsi="Arial" w:eastAsia="Calibri" w:cs="Arial"/>
          <w:color w:val="000000" w:themeColor="text1"/>
          <w:sz w:val="22"/>
          <w:szCs w:val="22"/>
          <w:lang w:val="es-ES_tradnl"/>
        </w:rPr>
        <w:t>Mipyme</w:t>
      </w:r>
      <w:proofErr w:type="spellEnd"/>
      <w:r>
        <w:rPr>
          <w:rFonts w:ascii="Arial" w:hAnsi="Arial" w:eastAsia="Calibri" w:cs="Arial"/>
          <w:color w:val="000000" w:themeColor="text1"/>
          <w:sz w:val="22"/>
          <w:szCs w:val="22"/>
          <w:lang w:val="es-ES_tradnl"/>
        </w:rPr>
        <w:t xml:space="preserve"> hayan manifestado su interés. </w:t>
      </w:r>
    </w:p>
    <w:p w:rsidR="00933822" w:rsidP="003D5B15" w:rsidRDefault="00933822" w14:paraId="71B74CA3" w14:textId="77777777">
      <w:pPr>
        <w:spacing w:line="276" w:lineRule="auto"/>
        <w:jc w:val="both"/>
        <w:rPr>
          <w:rFonts w:ascii="Arial" w:hAnsi="Arial" w:eastAsia="Calibri" w:cs="Arial"/>
          <w:b/>
          <w:bCs/>
          <w:sz w:val="22"/>
          <w:szCs w:val="22"/>
          <w:lang w:val="es-ES_tradnl"/>
        </w:rPr>
      </w:pPr>
    </w:p>
    <w:p w:rsidRPr="004579E8" w:rsidR="004E5B18" w:rsidP="003D5B15" w:rsidRDefault="004579E8" w14:paraId="36D50999" w14:textId="0055AC15">
      <w:pPr>
        <w:spacing w:line="276" w:lineRule="auto"/>
        <w:jc w:val="both"/>
        <w:rPr>
          <w:rFonts w:ascii="Arial" w:hAnsi="Arial" w:eastAsia="Calibri" w:cs="Arial"/>
          <w:b/>
          <w:bCs/>
          <w:sz w:val="22"/>
          <w:szCs w:val="22"/>
          <w:lang w:val="es-ES_tradnl"/>
        </w:rPr>
      </w:pPr>
      <w:r w:rsidRPr="004579E8">
        <w:rPr>
          <w:rFonts w:ascii="Arial" w:hAnsi="Arial" w:eastAsia="Calibri" w:cs="Arial"/>
          <w:b/>
          <w:bCs/>
          <w:sz w:val="22"/>
          <w:szCs w:val="22"/>
          <w:lang w:val="es-ES_tradnl"/>
        </w:rPr>
        <w:t xml:space="preserve">2.2. </w:t>
      </w:r>
      <w:r>
        <w:rPr>
          <w:rFonts w:ascii="Arial" w:hAnsi="Arial" w:eastAsia="Calibri" w:cs="Arial"/>
          <w:b/>
          <w:bCs/>
          <w:sz w:val="22"/>
          <w:szCs w:val="22"/>
          <w:lang w:val="es-ES_tradnl"/>
        </w:rPr>
        <w:t>C</w:t>
      </w:r>
      <w:r w:rsidRPr="004579E8">
        <w:rPr>
          <w:rFonts w:ascii="Arial" w:hAnsi="Arial" w:eastAsia="Calibri" w:cs="Arial"/>
          <w:b/>
          <w:bCs/>
          <w:sz w:val="22"/>
          <w:szCs w:val="22"/>
          <w:lang w:val="es-ES_tradnl"/>
        </w:rPr>
        <w:t xml:space="preserve">onvocatorias limitadas a </w:t>
      </w:r>
      <w:proofErr w:type="spellStart"/>
      <w:r w:rsidRPr="004579E8">
        <w:rPr>
          <w:rFonts w:ascii="Arial" w:hAnsi="Arial" w:eastAsia="Calibri" w:cs="Arial"/>
          <w:b/>
          <w:bCs/>
          <w:sz w:val="22"/>
          <w:szCs w:val="22"/>
          <w:lang w:val="es-ES_tradnl"/>
        </w:rPr>
        <w:t>mipymes</w:t>
      </w:r>
      <w:proofErr w:type="spellEnd"/>
      <w:r w:rsidRPr="004579E8">
        <w:rPr>
          <w:rFonts w:ascii="Arial" w:hAnsi="Arial" w:eastAsia="Calibri" w:cs="Arial"/>
          <w:b/>
          <w:bCs/>
          <w:sz w:val="22"/>
          <w:szCs w:val="22"/>
          <w:lang w:val="es-ES_tradnl"/>
        </w:rPr>
        <w:t xml:space="preserve"> en el ámbito territorial</w:t>
      </w:r>
      <w:r w:rsidRPr="004579E8">
        <w:rPr>
          <w:rStyle w:val="normaltextrun"/>
          <w:rFonts w:ascii="Arial" w:hAnsi="Arial" w:cs="Arial"/>
          <w:b/>
          <w:bCs/>
          <w:color w:val="000000"/>
          <w:sz w:val="22"/>
          <w:szCs w:val="22"/>
          <w:lang w:val="es-ES"/>
        </w:rPr>
        <w:t xml:space="preserve"> de conformidad con el Decreto 1860 de 2021</w:t>
      </w:r>
    </w:p>
    <w:p w:rsidR="004E5B18" w:rsidP="003D5B15" w:rsidRDefault="004E5B18" w14:paraId="51E004CB" w14:textId="35C7879A">
      <w:pPr>
        <w:spacing w:line="276" w:lineRule="auto"/>
        <w:ind w:firstLine="709"/>
        <w:jc w:val="both"/>
        <w:rPr>
          <w:rFonts w:ascii="Arial" w:hAnsi="Arial" w:eastAsia="Calibri" w:cs="Arial"/>
          <w:sz w:val="22"/>
          <w:szCs w:val="22"/>
          <w:lang w:val="es-ES_tradnl"/>
        </w:rPr>
      </w:pPr>
    </w:p>
    <w:p w:rsidRPr="00C5626D" w:rsidR="004579E8" w:rsidP="004579E8" w:rsidRDefault="004579E8" w14:paraId="0D6F4C0F" w14:textId="78A27F48">
      <w:pPr>
        <w:spacing w:line="276" w:lineRule="auto"/>
        <w:jc w:val="both"/>
        <w:rPr>
          <w:rFonts w:ascii="Arial" w:hAnsi="Arial" w:cs="Arial"/>
          <w:bCs/>
          <w:sz w:val="22"/>
          <w:szCs w:val="22"/>
          <w:lang w:val="es-ES_tradnl" w:eastAsia="es-ES"/>
        </w:rPr>
      </w:pPr>
      <w:r w:rsidRPr="00C5626D">
        <w:rPr>
          <w:rFonts w:ascii="Arial" w:hAnsi="Arial" w:cs="Arial"/>
          <w:bCs/>
          <w:sz w:val="22"/>
          <w:szCs w:val="22"/>
          <w:lang w:val="es-ES_tradnl" w:eastAsia="es-ES"/>
        </w:rPr>
        <w:t xml:space="preserve">En desarrollo de la Ley 2069 de 2021, el Gobierno Nacional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w:t>
      </w:r>
      <w:proofErr w:type="spellStart"/>
      <w:r w:rsidRPr="00C5626D">
        <w:rPr>
          <w:rFonts w:ascii="Arial" w:hAnsi="Arial" w:cs="Arial"/>
          <w:bCs/>
          <w:sz w:val="22"/>
          <w:szCs w:val="22"/>
          <w:lang w:val="es-ES_tradnl" w:eastAsia="es-ES"/>
        </w:rPr>
        <w:t>Mipyme</w:t>
      </w:r>
      <w:proofErr w:type="spellEnd"/>
      <w:r w:rsidRPr="00C5626D">
        <w:rPr>
          <w:rFonts w:ascii="Arial" w:hAnsi="Arial" w:cs="Arial"/>
          <w:bCs/>
          <w:sz w:val="22"/>
          <w:szCs w:val="22"/>
          <w:lang w:val="es-ES_tradnl" w:eastAsia="es-ES"/>
        </w:rPr>
        <w:t xml:space="preserve">. De esta manera, el artículo 5 modifica </w:t>
      </w:r>
      <w:r w:rsidRPr="00C5626D">
        <w:rPr>
          <w:rFonts w:ascii="Arial" w:hAnsi="Arial" w:cs="Arial"/>
          <w:bCs/>
          <w:sz w:val="22"/>
          <w:szCs w:val="22"/>
          <w:lang w:eastAsia="es-ES"/>
        </w:rPr>
        <w:t>los artículos 2.2.1.2.4.2.2</w:t>
      </w:r>
      <w:r w:rsidR="00EA007D">
        <w:rPr>
          <w:rStyle w:val="Refdenotaalpie"/>
          <w:rFonts w:ascii="Arial" w:hAnsi="Arial" w:cs="Arial"/>
          <w:bCs/>
          <w:sz w:val="22"/>
          <w:szCs w:val="22"/>
          <w:lang w:eastAsia="es-ES"/>
        </w:rPr>
        <w:footnoteReference w:id="3"/>
      </w:r>
      <w:r w:rsidRPr="00C5626D">
        <w:rPr>
          <w:rFonts w:ascii="Arial" w:hAnsi="Arial" w:cs="Arial"/>
          <w:bCs/>
          <w:sz w:val="22"/>
          <w:szCs w:val="22"/>
          <w:lang w:eastAsia="es-ES"/>
        </w:rPr>
        <w:t>., 2.2.1.2.4.2.3</w:t>
      </w:r>
      <w:r w:rsidR="00391876">
        <w:rPr>
          <w:rStyle w:val="Refdenotaalpie"/>
          <w:rFonts w:ascii="Arial" w:hAnsi="Arial" w:cs="Arial"/>
          <w:bCs/>
          <w:sz w:val="22"/>
          <w:szCs w:val="22"/>
          <w:lang w:eastAsia="es-ES"/>
        </w:rPr>
        <w:footnoteReference w:id="4"/>
      </w:r>
      <w:r w:rsidRPr="00C5626D">
        <w:rPr>
          <w:rFonts w:ascii="Arial" w:hAnsi="Arial" w:cs="Arial"/>
          <w:bCs/>
          <w:sz w:val="22"/>
          <w:szCs w:val="22"/>
          <w:lang w:eastAsia="es-ES"/>
        </w:rPr>
        <w:t>. y 2.2.1.2.4.2.4</w:t>
      </w:r>
      <w:r w:rsidR="00391876">
        <w:rPr>
          <w:rStyle w:val="Refdenotaalpie"/>
          <w:rFonts w:ascii="Arial" w:hAnsi="Arial" w:cs="Arial"/>
          <w:bCs/>
          <w:sz w:val="22"/>
          <w:szCs w:val="22"/>
          <w:lang w:eastAsia="es-ES"/>
        </w:rPr>
        <w:footnoteReference w:id="5"/>
      </w:r>
      <w:r w:rsidRPr="00C5626D">
        <w:rPr>
          <w:rFonts w:ascii="Arial" w:hAnsi="Arial" w:cs="Arial"/>
          <w:bCs/>
          <w:sz w:val="22"/>
          <w:szCs w:val="22"/>
          <w:lang w:eastAsia="es-ES"/>
        </w:rPr>
        <w:t xml:space="preserve">. de la Subsección 2 de la Sección </w:t>
      </w:r>
      <w:r w:rsidRPr="00C5626D">
        <w:rPr>
          <w:rFonts w:ascii="Arial" w:hAnsi="Arial" w:cs="Arial"/>
          <w:bCs/>
          <w:sz w:val="22"/>
          <w:szCs w:val="22"/>
          <w:lang w:eastAsia="es-ES"/>
        </w:rPr>
        <w:lastRenderedPageBreak/>
        <w:t>4 del Capítulo 2 del Título 1 de la Parte 2 del Libro 2 del Decreto 1082 de 2015,</w:t>
      </w:r>
      <w:r w:rsidRPr="00C5626D">
        <w:rPr>
          <w:rFonts w:ascii="Arial" w:hAnsi="Arial" w:cs="Arial"/>
          <w:bCs/>
          <w:sz w:val="22"/>
          <w:szCs w:val="22"/>
          <w:lang w:val="es-ES_tradnl" w:eastAsia="es-ES"/>
        </w:rPr>
        <w:t xml:space="preserve"> por lo que reglamenta este asunto con fundamento en lo establecido en el artículo 34 de la Ley 2069 de 2020.</w:t>
      </w:r>
    </w:p>
    <w:p w:rsidR="004E5B18" w:rsidP="00273399" w:rsidRDefault="00273399" w14:paraId="110CBD58" w14:textId="0887459E">
      <w:pPr>
        <w:spacing w:before="120" w:line="276" w:lineRule="auto"/>
        <w:ind w:firstLine="709"/>
        <w:jc w:val="both"/>
        <w:rPr>
          <w:rFonts w:ascii="Arial" w:hAnsi="Arial" w:eastAsia="Calibri" w:cs="Arial"/>
          <w:sz w:val="22"/>
          <w:szCs w:val="22"/>
          <w:lang w:val="es-ES_tradnl"/>
        </w:rPr>
      </w:pPr>
      <w:r w:rsidRPr="00C5626D">
        <w:rPr>
          <w:rFonts w:ascii="Arial" w:hAnsi="Arial" w:cs="Arial"/>
          <w:bCs/>
          <w:sz w:val="22"/>
          <w:szCs w:val="22"/>
          <w:lang w:val="es-ES_tradnl" w:eastAsia="es-ES"/>
        </w:rPr>
        <w:t xml:space="preserve">Teniendo en cuenta lo anterior, esta nueva Subsección 2 contempla los siguientes aspectos: i) requisitos para limitar la convocatoria de los </w:t>
      </w:r>
      <w:r w:rsidRPr="00C5626D">
        <w:rPr>
          <w:rFonts w:ascii="Arial" w:hAnsi="Arial" w:cs="Arial"/>
          <w:bCs/>
          <w:sz w:val="22"/>
          <w:szCs w:val="22"/>
          <w:lang w:eastAsia="es-ES"/>
        </w:rPr>
        <w:t>procesos de contratación con pluralidad de oferentes</w:t>
      </w:r>
      <w:r w:rsidRPr="00C5626D">
        <w:rPr>
          <w:rFonts w:ascii="Arial" w:hAnsi="Arial" w:cs="Arial"/>
          <w:bCs/>
          <w:sz w:val="22"/>
          <w:szCs w:val="22"/>
          <w:lang w:val="es-ES_tradnl" w:eastAsia="es-ES"/>
        </w:rPr>
        <w:t xml:space="preserve"> a las </w:t>
      </w:r>
      <w:proofErr w:type="spellStart"/>
      <w:r w:rsidRPr="00C5626D">
        <w:rPr>
          <w:rFonts w:ascii="Arial" w:hAnsi="Arial" w:cs="Arial"/>
          <w:bCs/>
          <w:sz w:val="22"/>
          <w:szCs w:val="22"/>
          <w:lang w:val="es-ES_tradnl" w:eastAsia="es-ES"/>
        </w:rPr>
        <w:t>Mipyme</w:t>
      </w:r>
      <w:proofErr w:type="spellEnd"/>
      <w:r w:rsidRPr="00C5626D">
        <w:rPr>
          <w:rFonts w:ascii="Arial" w:hAnsi="Arial" w:cs="Arial"/>
          <w:bCs/>
          <w:sz w:val="22"/>
          <w:szCs w:val="22"/>
          <w:lang w:val="es-ES_tradnl" w:eastAsia="es-ES"/>
        </w:rPr>
        <w:t xml:space="preserve"> colombianas con mínimo un (1) año de existencia – artículo </w:t>
      </w:r>
      <w:r w:rsidRPr="00C5626D">
        <w:rPr>
          <w:rFonts w:ascii="Arial" w:hAnsi="Arial" w:cs="Arial"/>
          <w:bCs/>
          <w:sz w:val="22"/>
          <w:szCs w:val="22"/>
          <w:lang w:eastAsia="es-ES"/>
        </w:rPr>
        <w:t>2.2.1.2.4.2.2</w:t>
      </w:r>
      <w:r w:rsidRPr="00C5626D">
        <w:rPr>
          <w:rFonts w:ascii="Arial" w:hAnsi="Arial" w:cs="Arial"/>
          <w:bCs/>
          <w:sz w:val="22"/>
          <w:szCs w:val="22"/>
          <w:lang w:val="es-ES_tradnl" w:eastAsia="es-ES"/>
        </w:rPr>
        <w:t xml:space="preserve">–, </w:t>
      </w:r>
      <w:proofErr w:type="spellStart"/>
      <w:r w:rsidRPr="00C5626D">
        <w:rPr>
          <w:rFonts w:ascii="Arial" w:hAnsi="Arial" w:cs="Arial"/>
          <w:bCs/>
          <w:sz w:val="22"/>
          <w:szCs w:val="22"/>
          <w:lang w:val="es-ES_tradnl" w:eastAsia="es-ES"/>
        </w:rPr>
        <w:t>ii</w:t>
      </w:r>
      <w:proofErr w:type="spellEnd"/>
      <w:r w:rsidRPr="00C5626D">
        <w:rPr>
          <w:rFonts w:ascii="Arial" w:hAnsi="Arial" w:cs="Arial"/>
          <w:bCs/>
          <w:sz w:val="22"/>
          <w:szCs w:val="22"/>
          <w:lang w:val="es-ES_tradnl" w:eastAsia="es-ES"/>
        </w:rPr>
        <w:t xml:space="preserve">) desarrolla las </w:t>
      </w:r>
      <w:r w:rsidRPr="00C5626D">
        <w:rPr>
          <w:rFonts w:ascii="Arial" w:hAnsi="Arial" w:cs="Arial"/>
          <w:bCs/>
          <w:sz w:val="22"/>
          <w:szCs w:val="22"/>
          <w:lang w:eastAsia="es-ES"/>
        </w:rPr>
        <w:t xml:space="preserve">convocatorias limitadas a </w:t>
      </w:r>
      <w:proofErr w:type="spellStart"/>
      <w:r w:rsidRPr="00C5626D">
        <w:rPr>
          <w:rFonts w:ascii="Arial" w:hAnsi="Arial" w:cs="Arial"/>
          <w:bCs/>
          <w:sz w:val="22"/>
          <w:szCs w:val="22"/>
          <w:lang w:eastAsia="es-ES"/>
        </w:rPr>
        <w:t>Mipyme</w:t>
      </w:r>
      <w:proofErr w:type="spellEnd"/>
      <w:r w:rsidRPr="00C5626D">
        <w:rPr>
          <w:rFonts w:ascii="Arial" w:hAnsi="Arial" w:cs="Arial"/>
          <w:bCs/>
          <w:sz w:val="22"/>
          <w:szCs w:val="22"/>
          <w:lang w:eastAsia="es-ES"/>
        </w:rPr>
        <w:t xml:space="preserve"> colombianas que tengan domicilio en los departamentos o municipios en donde se va a ejecutar el contrato –artículo 2.2.1.2.4.2.3–,</w:t>
      </w:r>
      <w:r w:rsidRPr="00C5626D">
        <w:rPr>
          <w:rFonts w:ascii="Arial" w:hAnsi="Arial" w:cs="Arial"/>
          <w:bCs/>
          <w:sz w:val="22"/>
          <w:szCs w:val="22"/>
          <w:lang w:val="es-ES_tradnl" w:eastAsia="es-ES"/>
        </w:rPr>
        <w:t xml:space="preserve"> y </w:t>
      </w:r>
      <w:proofErr w:type="spellStart"/>
      <w:r w:rsidRPr="00C5626D">
        <w:rPr>
          <w:rFonts w:ascii="Arial" w:hAnsi="Arial" w:cs="Arial"/>
          <w:bCs/>
          <w:sz w:val="22"/>
          <w:szCs w:val="22"/>
          <w:lang w:val="es-ES_tradnl" w:eastAsia="es-ES"/>
        </w:rPr>
        <w:t>iii</w:t>
      </w:r>
      <w:proofErr w:type="spellEnd"/>
      <w:r w:rsidRPr="00C5626D">
        <w:rPr>
          <w:rFonts w:ascii="Arial" w:hAnsi="Arial" w:cs="Arial"/>
          <w:bCs/>
          <w:sz w:val="22"/>
          <w:szCs w:val="22"/>
          <w:lang w:val="es-ES_tradnl" w:eastAsia="es-ES"/>
        </w:rPr>
        <w:t xml:space="preserve">) </w:t>
      </w:r>
      <w:r w:rsidRPr="00C5626D">
        <w:rPr>
          <w:rFonts w:ascii="Arial" w:hAnsi="Arial" w:cs="Arial"/>
          <w:bCs/>
          <w:sz w:val="22"/>
          <w:szCs w:val="22"/>
          <w:lang w:eastAsia="es-ES"/>
        </w:rPr>
        <w:t>regula la acreditación de requisitos para participar en convocatorias limitadas –artículo 2.2.1.2.4.2.4</w:t>
      </w:r>
      <w:r w:rsidRPr="00C5626D">
        <w:rPr>
          <w:rFonts w:ascii="Arial" w:hAnsi="Arial" w:cs="Arial"/>
          <w:bCs/>
          <w:sz w:val="22"/>
          <w:szCs w:val="22"/>
          <w:lang w:val="es-ES_tradnl" w:eastAsia="es-ES"/>
        </w:rPr>
        <w:t xml:space="preserve">–.De esta manera, el artículo 5 del Decreto 1860 de 2021, que modifica el Decreto 1082 de 2015 en los artículos citados, constituye la nueva reglamentación del artículo 34 de la Ley 2069 de 2020, al desarrollar las reglas aplicables a las convocatorias limitadas a </w:t>
      </w:r>
      <w:proofErr w:type="spellStart"/>
      <w:r w:rsidRPr="00C5626D">
        <w:rPr>
          <w:rFonts w:ascii="Arial" w:hAnsi="Arial" w:cs="Arial"/>
          <w:bCs/>
          <w:sz w:val="22"/>
          <w:szCs w:val="22"/>
          <w:lang w:val="es-ES_tradnl" w:eastAsia="es-ES"/>
        </w:rPr>
        <w:t>Mipyme</w:t>
      </w:r>
      <w:proofErr w:type="spellEnd"/>
      <w:r w:rsidRPr="00C5626D">
        <w:rPr>
          <w:rFonts w:ascii="Arial" w:hAnsi="Arial" w:cs="Arial"/>
          <w:bCs/>
          <w:sz w:val="22"/>
          <w:szCs w:val="22"/>
          <w:lang w:val="es-ES_tradnl" w:eastAsia="es-ES"/>
        </w:rPr>
        <w:t>. Esta</w:t>
      </w:r>
      <w:r w:rsidRPr="00C5626D">
        <w:rPr>
          <w:rFonts w:ascii="Arial" w:hAnsi="Arial" w:eastAsia="Calibri" w:cs="Arial"/>
          <w:sz w:val="22"/>
          <w:szCs w:val="22"/>
          <w:lang w:val="es-ES_tradnl"/>
        </w:rPr>
        <w:t xml:space="preserve"> </w:t>
      </w:r>
      <w:r w:rsidRPr="00C5626D">
        <w:rPr>
          <w:rFonts w:ascii="Arial" w:hAnsi="Arial" w:cs="Arial"/>
          <w:bCs/>
          <w:sz w:val="22"/>
          <w:szCs w:val="22"/>
          <w:lang w:val="es-ES_tradnl" w:eastAsia="es-ES"/>
        </w:rPr>
        <w:t xml:space="preserve">disposición entró a regir desde el pasado 24 de marzo de 2022, pues </w:t>
      </w:r>
      <w:r w:rsidRPr="00C5626D">
        <w:rPr>
          <w:rFonts w:ascii="Arial" w:hAnsi="Arial" w:eastAsia="Calibri" w:cs="Arial"/>
          <w:sz w:val="22"/>
          <w:szCs w:val="22"/>
          <w:lang w:val="es-ES_tradnl"/>
        </w:rPr>
        <w:t>el artículo 8 de dicho decreto sometió su vigencia a un periodo de 3 meses siguientes a su expedición.</w:t>
      </w:r>
    </w:p>
    <w:p w:rsidR="005C7C05" w:rsidP="005C7C05" w:rsidRDefault="005C7C05" w14:paraId="2DEB17D9" w14:textId="0C662986">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Puede decirse, entonces, que el Decreto 1082 de 2015</w:t>
      </w:r>
      <w:r w:rsidR="00247255">
        <w:rPr>
          <w:rFonts w:ascii="Arial" w:hAnsi="Arial" w:cs="Arial"/>
          <w:color w:val="000000" w:themeColor="text1"/>
          <w:sz w:val="22"/>
        </w:rPr>
        <w:t>, modificado por el Decreto 1860 de 2021,</w:t>
      </w:r>
      <w:r w:rsidRPr="00BD58C9">
        <w:rPr>
          <w:rFonts w:ascii="Arial" w:hAnsi="Arial" w:cs="Arial"/>
          <w:color w:val="000000" w:themeColor="text1"/>
          <w:sz w:val="22"/>
        </w:rPr>
        <w:t xml:space="preserve"> regula la limitación de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dos normas distintas, las cuales, sin embargo, deben leerse conjunta y armónicamente. Por un lado, </w:t>
      </w:r>
      <w:r>
        <w:rPr>
          <w:rFonts w:ascii="Arial" w:hAnsi="Arial" w:cs="Arial"/>
          <w:color w:val="000000" w:themeColor="text1"/>
          <w:sz w:val="22"/>
        </w:rPr>
        <w:t>una disposición</w:t>
      </w:r>
      <w:r w:rsidRPr="00BD58C9">
        <w:rPr>
          <w:rFonts w:ascii="Arial" w:hAnsi="Arial" w:cs="Arial"/>
          <w:color w:val="000000" w:themeColor="text1"/>
          <w:sz w:val="22"/>
        </w:rPr>
        <w:t xml:space="preserve"> prevé los requisitos generales para que la entidad limite sus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w:t>
      </w:r>
      <w:r w:rsidRPr="00BD58C9">
        <w:rPr>
          <w:rFonts w:ascii="Arial" w:hAnsi="Arial" w:cs="Arial"/>
          <w:i/>
          <w:iCs/>
          <w:color w:val="000000" w:themeColor="text1"/>
          <w:sz w:val="22"/>
        </w:rPr>
        <w:t>infra</w:t>
      </w:r>
      <w:r w:rsidRPr="00BD58C9">
        <w:rPr>
          <w:rFonts w:ascii="Arial" w:hAnsi="Arial" w:cs="Arial"/>
          <w:color w:val="000000" w:themeColor="text1"/>
          <w:sz w:val="22"/>
        </w:rPr>
        <w:t xml:space="preserve"> literal a» y, por el otro, la </w:t>
      </w:r>
      <w:r>
        <w:rPr>
          <w:rFonts w:ascii="Arial" w:hAnsi="Arial" w:cs="Arial"/>
          <w:color w:val="000000" w:themeColor="text1"/>
          <w:sz w:val="22"/>
        </w:rPr>
        <w:t>otra</w:t>
      </w:r>
      <w:r w:rsidRPr="00BD58C9">
        <w:rPr>
          <w:rFonts w:ascii="Arial" w:hAnsi="Arial" w:cs="Arial"/>
          <w:color w:val="000000" w:themeColor="text1"/>
          <w:sz w:val="22"/>
        </w:rPr>
        <w:t xml:space="preserve"> establece la posibilidad de regular la convocatoria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w:t>
      </w:r>
      <w:r w:rsidRPr="00BD58C9">
        <w:rPr>
          <w:rFonts w:ascii="Arial" w:hAnsi="Arial" w:cs="Arial"/>
          <w:i/>
          <w:iCs/>
          <w:color w:val="000000" w:themeColor="text1"/>
          <w:sz w:val="22"/>
        </w:rPr>
        <w:t xml:space="preserve">infra </w:t>
      </w:r>
      <w:r w:rsidRPr="00BD58C9">
        <w:rPr>
          <w:rFonts w:ascii="Arial" w:hAnsi="Arial" w:cs="Arial"/>
          <w:color w:val="000000" w:themeColor="text1"/>
          <w:sz w:val="22"/>
        </w:rPr>
        <w:t xml:space="preserve">literal b». </w:t>
      </w:r>
    </w:p>
    <w:p w:rsidRPr="00BD58C9" w:rsidR="00C204DF" w:rsidP="00C204DF" w:rsidRDefault="00C204DF" w14:paraId="6EF07A82"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Es de resaltar que estas normas se refieren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genéricamente y, particularmente,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En ambos casos se refiere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distinguiéndolas de las empresas extranjeras. Del artículo 2.2.1.2.4.2.3. del Decreto 1082 de 2015 no se deriva que existan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del orden territorial. Esta categoría no existe en el ordenamiento jurídico. En ese sentido, toda empresa constituida bajo las leyes colombianas o que tenga su domicilio principal en el </w:t>
      </w:r>
      <w:r w:rsidRPr="00BD58C9">
        <w:rPr>
          <w:rFonts w:ascii="Arial" w:hAnsi="Arial" w:cs="Arial"/>
          <w:color w:val="000000" w:themeColor="text1"/>
          <w:sz w:val="22"/>
        </w:rPr>
        <w:lastRenderedPageBreak/>
        <w:t xml:space="preserve">territorio colombiano y, además, cumpla los criterios previstos por la Ley 590 de 2000 y el Decreto 957 de 2019, será considerada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del orden nacional. Otra cosa es que las normas de contratación permitan que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con «domicilio» en un municipio o departamento puedan beneficiarse </w:t>
      </w:r>
      <w:r>
        <w:rPr>
          <w:rFonts w:ascii="Arial" w:hAnsi="Arial" w:cs="Arial"/>
          <w:color w:val="000000" w:themeColor="text1"/>
          <w:sz w:val="22"/>
        </w:rPr>
        <w:t>para ejecutar un contrato en dichos municipios o departamentos</w:t>
      </w:r>
      <w:r w:rsidRPr="00BD58C9">
        <w:rPr>
          <w:rFonts w:ascii="Arial" w:hAnsi="Arial" w:cs="Arial"/>
          <w:color w:val="000000" w:themeColor="text1"/>
          <w:sz w:val="22"/>
        </w:rPr>
        <w:t xml:space="preserve">. De todos modos,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domiciliadas en un municipio o departamento son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En consecuencia, no es procedente distinguir entre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y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municipales o departamentales, habida cuenta que estas últimas no existen como categoría dentro del ordenamiento normativo.</w:t>
      </w:r>
    </w:p>
    <w:p w:rsidRPr="004F460F" w:rsidR="001448C5" w:rsidP="005317FB" w:rsidRDefault="001448C5" w14:paraId="5A76B9D6" w14:textId="67D31EC6">
      <w:pPr>
        <w:spacing w:before="120" w:line="276" w:lineRule="auto"/>
        <w:ind w:firstLine="709"/>
        <w:jc w:val="both"/>
        <w:rPr>
          <w:rFonts w:ascii="Arial" w:hAnsi="Arial" w:cs="Arial"/>
          <w:color w:val="000000" w:themeColor="text1"/>
          <w:sz w:val="22"/>
          <w:szCs w:val="22"/>
        </w:rPr>
      </w:pPr>
      <w:r w:rsidRPr="004F460F">
        <w:rPr>
          <w:rFonts w:ascii="Arial" w:hAnsi="Arial" w:cs="Arial"/>
          <w:bCs/>
          <w:color w:val="000000" w:themeColor="text1"/>
          <w:sz w:val="22"/>
          <w:szCs w:val="22"/>
        </w:rPr>
        <w:t>a)</w:t>
      </w:r>
      <w:r w:rsidRPr="004F460F">
        <w:rPr>
          <w:rFonts w:ascii="Arial" w:hAnsi="Arial" w:cs="Arial"/>
          <w:color w:val="000000" w:themeColor="text1"/>
          <w:sz w:val="22"/>
          <w:szCs w:val="22"/>
        </w:rPr>
        <w:t xml:space="preserve"> El artículo 2.2.1.2.4.2.2. del Decreto 1082 de 2015 establece los requisitos que se deben acreditar en las «convocatorias limitadas a </w:t>
      </w:r>
      <w:proofErr w:type="spellStart"/>
      <w:r w:rsidRPr="004F460F">
        <w:rPr>
          <w:rFonts w:ascii="Arial" w:hAnsi="Arial" w:cs="Arial"/>
          <w:color w:val="000000" w:themeColor="text1"/>
          <w:sz w:val="22"/>
          <w:szCs w:val="22"/>
        </w:rPr>
        <w:t>Mipymes</w:t>
      </w:r>
      <w:proofErr w:type="spellEnd"/>
      <w:r w:rsidRPr="004F460F">
        <w:rPr>
          <w:rFonts w:ascii="Arial" w:hAnsi="Arial" w:cs="Arial"/>
          <w:color w:val="000000" w:themeColor="text1"/>
          <w:sz w:val="22"/>
          <w:szCs w:val="22"/>
        </w:rPr>
        <w:t xml:space="preserve">». </w:t>
      </w:r>
      <w:r w:rsidRPr="004F460F" w:rsidR="00194929">
        <w:rPr>
          <w:rFonts w:ascii="Arial" w:hAnsi="Arial" w:cs="Arial"/>
          <w:color w:val="000000" w:themeColor="text1"/>
          <w:sz w:val="22"/>
          <w:szCs w:val="22"/>
        </w:rPr>
        <w:t xml:space="preserve">El primer elemento delimitador </w:t>
      </w:r>
      <w:r w:rsidRPr="004F460F" w:rsidR="004F460F">
        <w:rPr>
          <w:rFonts w:ascii="Arial" w:hAnsi="Arial" w:cs="Arial"/>
          <w:color w:val="000000" w:themeColor="text1"/>
          <w:sz w:val="22"/>
          <w:szCs w:val="22"/>
        </w:rPr>
        <w:t>del ámbito de aplicación de esta norma deriva del primer inciso en donde se estable que la «</w:t>
      </w:r>
      <w:r w:rsidRPr="0052190F" w:rsidR="004F460F">
        <w:rPr>
          <w:rFonts w:ascii="Arial" w:hAnsi="Arial" w:cs="Arial"/>
          <w:color w:val="000000"/>
          <w:sz w:val="22"/>
          <w:szCs w:val="22"/>
        </w:rPr>
        <w:t>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w:t>
      </w:r>
      <w:r w:rsidR="002550C7">
        <w:rPr>
          <w:rFonts w:ascii="Arial" w:hAnsi="Arial" w:cs="Arial"/>
          <w:color w:val="000000"/>
          <w:sz w:val="20"/>
          <w:szCs w:val="20"/>
        </w:rPr>
        <w:t xml:space="preserve"> a las </w:t>
      </w:r>
      <w:proofErr w:type="spellStart"/>
      <w:r w:rsidR="002550C7">
        <w:rPr>
          <w:rFonts w:ascii="Arial" w:hAnsi="Arial" w:cs="Arial"/>
          <w:color w:val="000000"/>
          <w:sz w:val="20"/>
          <w:szCs w:val="20"/>
        </w:rPr>
        <w:t>Mipyme</w:t>
      </w:r>
      <w:proofErr w:type="spellEnd"/>
      <w:r w:rsidR="002550C7">
        <w:rPr>
          <w:rFonts w:ascii="Arial" w:hAnsi="Arial" w:cs="Arial"/>
          <w:color w:val="000000"/>
          <w:sz w:val="20"/>
          <w:szCs w:val="20"/>
        </w:rPr>
        <w:t xml:space="preserve"> colombianas con mínimo un (1) año de existencia</w:t>
      </w:r>
      <w:r w:rsidRPr="0052190F" w:rsidR="004F460F">
        <w:rPr>
          <w:rFonts w:ascii="Arial" w:hAnsi="Arial" w:cs="Arial"/>
          <w:color w:val="000000"/>
          <w:sz w:val="22"/>
          <w:szCs w:val="22"/>
        </w:rPr>
        <w:t xml:space="preserve"> […]»</w:t>
      </w:r>
      <w:r w:rsidRPr="00721EA7" w:rsidR="00DB6C19">
        <w:rPr>
          <w:rFonts w:ascii="Arial" w:hAnsi="Arial" w:cs="Arial"/>
          <w:color w:val="000000"/>
          <w:sz w:val="22"/>
          <w:szCs w:val="22"/>
        </w:rPr>
        <w:t>. Esta redacción obedece a un cambio introducido por el Decreto 1860</w:t>
      </w:r>
      <w:r w:rsidRPr="00721EA7" w:rsidR="005317FB">
        <w:rPr>
          <w:rFonts w:ascii="Arial" w:hAnsi="Arial" w:cs="Arial"/>
          <w:color w:val="000000"/>
          <w:sz w:val="22"/>
          <w:szCs w:val="22"/>
        </w:rPr>
        <w:t xml:space="preserve"> de 2021, el cual solo permitía la limitación a </w:t>
      </w:r>
      <w:proofErr w:type="spellStart"/>
      <w:r w:rsidRPr="00721EA7" w:rsidR="005317FB">
        <w:rPr>
          <w:rFonts w:ascii="Arial" w:hAnsi="Arial" w:cs="Arial"/>
          <w:color w:val="000000"/>
          <w:sz w:val="22"/>
          <w:szCs w:val="22"/>
        </w:rPr>
        <w:t>mipymes</w:t>
      </w:r>
      <w:proofErr w:type="spellEnd"/>
      <w:r w:rsidRPr="00721EA7" w:rsidR="005317FB">
        <w:rPr>
          <w:rFonts w:ascii="Arial" w:hAnsi="Arial" w:cs="Arial"/>
          <w:color w:val="000000"/>
          <w:sz w:val="22"/>
          <w:szCs w:val="22"/>
        </w:rPr>
        <w:t xml:space="preserve"> nacionales en los</w:t>
      </w:r>
      <w:r w:rsidRPr="00721EA7" w:rsidR="00721EA7">
        <w:rPr>
          <w:rFonts w:ascii="Arial" w:hAnsi="Arial" w:cs="Arial"/>
          <w:color w:val="000000"/>
          <w:sz w:val="22"/>
          <w:szCs w:val="22"/>
        </w:rPr>
        <w:t xml:space="preserve"> procedimientos de</w:t>
      </w:r>
      <w:r w:rsidRPr="00721EA7" w:rsidR="005317FB">
        <w:rPr>
          <w:rFonts w:ascii="Arial" w:hAnsi="Arial" w:cs="Arial"/>
          <w:color w:val="000000"/>
          <w:sz w:val="22"/>
          <w:szCs w:val="22"/>
        </w:rPr>
        <w:t xml:space="preserve"> </w:t>
      </w:r>
      <w:r w:rsidRPr="00721EA7" w:rsidR="00721EA7">
        <w:rPr>
          <w:rFonts w:ascii="Arial" w:hAnsi="Arial" w:cs="Arial"/>
          <w:color w:val="000000"/>
          <w:sz w:val="22"/>
          <w:szCs w:val="22"/>
        </w:rPr>
        <w:t>l</w:t>
      </w:r>
      <w:r w:rsidRPr="00721EA7">
        <w:rPr>
          <w:rFonts w:ascii="Arial" w:hAnsi="Arial" w:cs="Arial"/>
          <w:color w:val="000000" w:themeColor="text1"/>
          <w:sz w:val="22"/>
          <w:szCs w:val="22"/>
        </w:rPr>
        <w:t>icitación pública, selección abreviada y concurso de méritos.</w:t>
      </w:r>
      <w:r w:rsidRPr="004F460F">
        <w:rPr>
          <w:rFonts w:ascii="Arial" w:hAnsi="Arial" w:cs="Arial"/>
          <w:color w:val="000000" w:themeColor="text1"/>
          <w:sz w:val="22"/>
          <w:szCs w:val="22"/>
        </w:rPr>
        <w:t xml:space="preserve"> </w:t>
      </w:r>
    </w:p>
    <w:p w:rsidRPr="00BD58C9" w:rsidR="001448C5" w:rsidP="001448C5" w:rsidRDefault="001448C5" w14:paraId="17C41B6A"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El numeral primero limita cuantitativamente los procesos contractuales en los que se puede hacer esa «convocatoria limitada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w:t>
      </w:r>
      <w:r>
        <w:rPr>
          <w:rFonts w:ascii="Arial" w:hAnsi="Arial" w:cs="Arial"/>
          <w:color w:val="000000" w:themeColor="text1"/>
          <w:sz w:val="22"/>
        </w:rPr>
        <w:t>–</w:t>
      </w:r>
      <w:r w:rsidRPr="00BD58C9">
        <w:rPr>
          <w:rFonts w:ascii="Arial" w:hAnsi="Arial" w:cs="Arial"/>
          <w:color w:val="000000" w:themeColor="text1"/>
          <w:sz w:val="22"/>
        </w:rPr>
        <w:t>TRM</w:t>
      </w:r>
      <w:r w:rsidRPr="00BD58C9">
        <w:rPr>
          <w:rStyle w:val="Refdenotaalpie"/>
          <w:rFonts w:ascii="Arial" w:hAnsi="Arial" w:cs="Arial"/>
          <w:color w:val="000000" w:themeColor="text1"/>
          <w:sz w:val="22"/>
        </w:rPr>
        <w:footnoteReference w:id="6"/>
      </w:r>
      <w:r>
        <w:rPr>
          <w:rFonts w:ascii="Arial" w:hAnsi="Arial" w:cs="Arial"/>
          <w:color w:val="000000" w:themeColor="text1"/>
          <w:sz w:val="22"/>
        </w:rPr>
        <w:t>–</w:t>
      </w:r>
      <w:r w:rsidRPr="00BD58C9">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rsidR="001448C5" w:rsidP="001448C5" w:rsidRDefault="001448C5" w14:paraId="595C6EB9" w14:textId="587BCB08">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Para establecer dicha tasa, el Ministerio toma en cuenta como parámetros, por un lado, el promedio de la TRM</w:t>
      </w:r>
      <w:r w:rsidRPr="00BD58C9">
        <w:rPr>
          <w:rStyle w:val="Refdenotaalpie"/>
          <w:rFonts w:ascii="Arial" w:hAnsi="Arial" w:cs="Arial"/>
          <w:color w:val="000000" w:themeColor="text1"/>
          <w:sz w:val="22"/>
        </w:rPr>
        <w:footnoteReference w:id="7"/>
      </w:r>
      <w:r w:rsidRPr="00BD58C9">
        <w:rPr>
          <w:rFonts w:ascii="Arial" w:hAnsi="Arial" w:cs="Arial"/>
          <w:color w:val="000000" w:themeColor="text1"/>
          <w:sz w:val="22"/>
        </w:rPr>
        <w:t xml:space="preserve"> de los dos años anteriores al periodo a calcular y, por el otro, los «veinticinco mil dólares de los Estados Unidos de América» a los que se refiere el numeral 1º del artículo 2.2.1.2.4.2.2. del Decreto 1082 de 2015. Así lo ha hecho para los periodos 2015</w:t>
      </w:r>
      <w:r w:rsidRPr="00BD58C9">
        <w:rPr>
          <w:rStyle w:val="Refdenotaalpie"/>
          <w:rFonts w:ascii="Arial" w:hAnsi="Arial" w:cs="Arial"/>
          <w:color w:val="000000" w:themeColor="text1"/>
          <w:sz w:val="22"/>
        </w:rPr>
        <w:footnoteReference w:id="8"/>
      </w:r>
      <w:r w:rsidRPr="00BD58C9">
        <w:rPr>
          <w:rFonts w:ascii="Arial" w:hAnsi="Arial" w:cs="Arial"/>
          <w:color w:val="000000" w:themeColor="text1"/>
          <w:sz w:val="22"/>
        </w:rPr>
        <w:t>-2017, 2018-2019 y 2020-2021 (vigente)</w:t>
      </w:r>
      <w:r w:rsidRPr="00BD58C9">
        <w:rPr>
          <w:rStyle w:val="Refdenotaalpie"/>
          <w:rFonts w:ascii="Arial" w:hAnsi="Arial" w:cs="Arial"/>
          <w:color w:val="000000" w:themeColor="text1"/>
          <w:sz w:val="22"/>
        </w:rPr>
        <w:footnoteReference w:id="9"/>
      </w:r>
      <w:r w:rsidRPr="00BD58C9">
        <w:rPr>
          <w:rFonts w:ascii="Arial" w:hAnsi="Arial" w:cs="Arial"/>
          <w:color w:val="000000" w:themeColor="text1"/>
          <w:sz w:val="22"/>
        </w:rPr>
        <w:t xml:space="preserve">. Esta entidad, por otro lado, en </w:t>
      </w:r>
      <w:r w:rsidRPr="00BD58C9">
        <w:rPr>
          <w:rFonts w:ascii="Arial" w:hAnsi="Arial" w:cs="Arial"/>
          <w:color w:val="000000" w:themeColor="text1"/>
          <w:sz w:val="22"/>
        </w:rPr>
        <w:lastRenderedPageBreak/>
        <w:t xml:space="preserve">ejercicio de sus competencias legales y reglamentarias, está encargada de la publicación de la información en su portal Web: </w:t>
      </w:r>
      <w:hyperlink w:history="1" r:id="rId8">
        <w:r w:rsidRPr="00CB0154" w:rsidR="00F2618D">
          <w:rPr>
            <w:rStyle w:val="Hipervnculo"/>
            <w:rFonts w:ascii="Arial" w:hAnsi="Arial" w:cs="Arial"/>
            <w:sz w:val="22"/>
          </w:rPr>
          <w:t>https://www.colombiacompra.gov.co/</w:t>
        </w:r>
      </w:hyperlink>
      <w:r w:rsidRPr="00BD58C9">
        <w:rPr>
          <w:rFonts w:ascii="Arial" w:hAnsi="Arial" w:cs="Arial"/>
          <w:color w:val="000000" w:themeColor="text1"/>
          <w:sz w:val="22"/>
        </w:rPr>
        <w:t>.</w:t>
      </w:r>
    </w:p>
    <w:p w:rsidRPr="00BD58C9" w:rsidR="00C204DF" w:rsidP="005C7C05" w:rsidRDefault="00F2618D" w14:paraId="4653A5E3" w14:textId="03C944FB">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El numeral segundo establece dos exigencias: por un lado, que al menos </w:t>
      </w:r>
      <w:r w:rsidR="00F17A47">
        <w:rPr>
          <w:rFonts w:ascii="Arial" w:hAnsi="Arial" w:cs="Arial"/>
          <w:color w:val="000000" w:themeColor="text1"/>
          <w:sz w:val="22"/>
        </w:rPr>
        <w:t>dos</w:t>
      </w:r>
      <w:r w:rsidRPr="00BD58C9">
        <w:rPr>
          <w:rFonts w:ascii="Arial" w:hAnsi="Arial" w:cs="Arial"/>
          <w:color w:val="000000" w:themeColor="text1"/>
          <w:sz w:val="22"/>
        </w:rPr>
        <w:t xml:space="preserve"> (</w:t>
      </w:r>
      <w:r w:rsidR="00F17A47">
        <w:rPr>
          <w:rFonts w:ascii="Arial" w:hAnsi="Arial" w:cs="Arial"/>
          <w:color w:val="000000" w:themeColor="text1"/>
          <w:sz w:val="22"/>
        </w:rPr>
        <w:t>2</w:t>
      </w:r>
      <w:r w:rsidRPr="00BD58C9">
        <w:rPr>
          <w:rFonts w:ascii="Arial" w:hAnsi="Arial" w:cs="Arial"/>
          <w:color w:val="000000" w:themeColor="text1"/>
          <w:sz w:val="22"/>
        </w:rPr>
        <w:t xml:space="preserve">)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presenten a la entidad la solicitud formal de limitar el proceso contractual; y por el otro, que hagan la solicitud </w:t>
      </w:r>
      <w:r w:rsidRPr="00767C7D" w:rsidR="00767C7D">
        <w:rPr>
          <w:rFonts w:ascii="Arial" w:hAnsi="Arial" w:cs="Arial"/>
          <w:color w:val="000000" w:themeColor="text1"/>
          <w:sz w:val="22"/>
        </w:rPr>
        <w:t>por lo menos un (1) día hábil antes de la expedición del acto administrativo de apertura, o el que haga sus veces de acuerdo con la normativa aplicable a cada Proceso de Contratación.</w:t>
      </w:r>
      <w:r w:rsidR="00D059D0">
        <w:rPr>
          <w:rFonts w:ascii="Arial" w:hAnsi="Arial" w:cs="Arial"/>
          <w:color w:val="000000" w:themeColor="text1"/>
          <w:sz w:val="22"/>
        </w:rPr>
        <w:t xml:space="preserve"> </w:t>
      </w:r>
      <w:r w:rsidR="00D77650">
        <w:rPr>
          <w:rFonts w:ascii="Arial" w:hAnsi="Arial" w:cs="Arial"/>
          <w:color w:val="000000" w:themeColor="text1"/>
          <w:sz w:val="22"/>
        </w:rPr>
        <w:t>Adicionalmente, el segundo inciso del numeral 2 de la norma indica que, t</w:t>
      </w:r>
      <w:r w:rsidRPr="00D77650" w:rsidR="00D77650">
        <w:rPr>
          <w:rFonts w:ascii="Arial" w:hAnsi="Arial" w:cs="Arial"/>
          <w:color w:val="000000" w:themeColor="text1"/>
          <w:sz w:val="22"/>
        </w:rPr>
        <w:t>ratándose de personas jurídicas, las solicitudes solo podrán realizar</w:t>
      </w:r>
      <w:r w:rsidR="00D77650">
        <w:rPr>
          <w:rFonts w:ascii="Arial" w:hAnsi="Arial" w:cs="Arial"/>
          <w:color w:val="000000" w:themeColor="text1"/>
          <w:sz w:val="22"/>
        </w:rPr>
        <w:t xml:space="preserve"> solicitudes </w:t>
      </w:r>
      <w:r w:rsidR="00AC6F90">
        <w:rPr>
          <w:rFonts w:ascii="Arial" w:hAnsi="Arial" w:cs="Arial"/>
          <w:color w:val="000000" w:themeColor="text1"/>
          <w:sz w:val="22"/>
        </w:rPr>
        <w:t>las</w:t>
      </w:r>
      <w:r w:rsidRPr="00D77650" w:rsidR="00D77650">
        <w:rPr>
          <w:rFonts w:ascii="Arial" w:hAnsi="Arial" w:cs="Arial"/>
          <w:color w:val="000000" w:themeColor="text1"/>
          <w:sz w:val="22"/>
        </w:rPr>
        <w:t xml:space="preserve"> </w:t>
      </w:r>
      <w:r w:rsidR="00AC6F90">
        <w:rPr>
          <w:rFonts w:ascii="Arial" w:hAnsi="Arial" w:cs="Arial"/>
          <w:color w:val="000000" w:themeColor="text1"/>
          <w:sz w:val="22"/>
        </w:rPr>
        <w:t xml:space="preserve">«[…] </w:t>
      </w:r>
      <w:proofErr w:type="spellStart"/>
      <w:r w:rsidRPr="00D77650" w:rsidR="00D77650">
        <w:rPr>
          <w:rFonts w:ascii="Arial" w:hAnsi="Arial" w:cs="Arial"/>
          <w:color w:val="000000" w:themeColor="text1"/>
          <w:sz w:val="22"/>
        </w:rPr>
        <w:t>Mipyme</w:t>
      </w:r>
      <w:proofErr w:type="spellEnd"/>
      <w:r w:rsidRPr="00D77650" w:rsidR="00D77650">
        <w:rPr>
          <w:rFonts w:ascii="Arial" w:hAnsi="Arial" w:cs="Arial"/>
          <w:color w:val="000000" w:themeColor="text1"/>
          <w:sz w:val="22"/>
        </w:rPr>
        <w:t>, cuyo objeto social les permita ejecutar el contrato relacionado con el proceso contractual</w:t>
      </w:r>
      <w:r w:rsidR="00AC6F90">
        <w:rPr>
          <w:rFonts w:ascii="Arial" w:hAnsi="Arial" w:cs="Arial"/>
          <w:color w:val="000000" w:themeColor="text1"/>
          <w:sz w:val="22"/>
        </w:rPr>
        <w:t>»</w:t>
      </w:r>
      <w:r w:rsidRPr="00D77650" w:rsidR="00D77650">
        <w:rPr>
          <w:rFonts w:ascii="Arial" w:hAnsi="Arial" w:cs="Arial"/>
          <w:color w:val="000000" w:themeColor="text1"/>
          <w:sz w:val="22"/>
        </w:rPr>
        <w:t>.</w:t>
      </w:r>
    </w:p>
    <w:p w:rsidR="002B0A60" w:rsidP="008F34E0" w:rsidRDefault="00F6621B" w14:paraId="488668BC" w14:textId="57ECF456">
      <w:pPr>
        <w:spacing w:before="120" w:line="276" w:lineRule="auto"/>
        <w:ind w:firstLine="708"/>
        <w:jc w:val="both"/>
        <w:rPr>
          <w:rFonts w:ascii="Arial" w:hAnsi="Arial" w:cs="Arial"/>
          <w:color w:val="000000" w:themeColor="text1"/>
          <w:sz w:val="22"/>
        </w:rPr>
      </w:pPr>
      <w:r w:rsidRPr="00B00AA2">
        <w:rPr>
          <w:rFonts w:ascii="Arial" w:hAnsi="Arial" w:cs="Arial"/>
          <w:color w:val="000000" w:themeColor="text1"/>
          <w:sz w:val="22"/>
        </w:rPr>
        <w:t xml:space="preserve">b) Cumplidos los dos requisitos del artículo 2.2.1.2.4.2.2. </w:t>
      </w:r>
      <w:r w:rsidRPr="00B00AA2">
        <w:rPr>
          <w:rFonts w:ascii="Arial" w:hAnsi="Arial" w:cs="Arial"/>
          <w:i/>
          <w:iCs/>
          <w:color w:val="000000" w:themeColor="text1"/>
          <w:sz w:val="22"/>
        </w:rPr>
        <w:t>ibidem</w:t>
      </w:r>
      <w:r w:rsidRPr="00B00AA2">
        <w:rPr>
          <w:rFonts w:ascii="Arial" w:hAnsi="Arial" w:cs="Arial"/>
          <w:color w:val="000000" w:themeColor="text1"/>
          <w:sz w:val="22"/>
        </w:rPr>
        <w:t xml:space="preserve">, la entidad puede ─no tiene que─ decidir si limita la convocatoria a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domiciliadas en el municipio o departamento en el que se ejecutará el contrato</w:t>
      </w:r>
      <w:r w:rsidRPr="00B00AA2">
        <w:rPr>
          <w:rFonts w:ascii="Arial" w:hAnsi="Arial" w:cs="Arial"/>
          <w:color w:val="000000" w:themeColor="text1"/>
          <w:sz w:val="22"/>
          <w:vertAlign w:val="superscript"/>
        </w:rPr>
        <w:footnoteReference w:id="10"/>
      </w:r>
      <w:r w:rsidRPr="00B00AA2">
        <w:rPr>
          <w:rFonts w:ascii="Arial" w:hAnsi="Arial" w:cs="Arial"/>
          <w:color w:val="000000" w:themeColor="text1"/>
          <w:sz w:val="22"/>
        </w:rPr>
        <w:t xml:space="preserve">. Esto de acuerdo con lo establecido en artículo 2.2.1.2.4.2.3. del Decreto 1082 de 2015, norma que se refiere a la facultad de la administración con el verbo infinitivo «poder», no «deber». </w:t>
      </w:r>
      <w:r w:rsidR="00AA21EF">
        <w:rPr>
          <w:rFonts w:ascii="Arial" w:hAnsi="Arial" w:cs="Arial"/>
          <w:color w:val="000000" w:themeColor="text1"/>
          <w:sz w:val="22"/>
        </w:rPr>
        <w:t>En cualquier caso,</w:t>
      </w:r>
      <w:r w:rsidR="008F34E0">
        <w:rPr>
          <w:rFonts w:ascii="Arial" w:hAnsi="Arial" w:cs="Arial"/>
          <w:color w:val="000000" w:themeColor="text1"/>
          <w:sz w:val="22"/>
        </w:rPr>
        <w:t xml:space="preserve"> </w:t>
      </w:r>
      <w:r w:rsidRPr="00B00AA2" w:rsidR="00D061E2">
        <w:rPr>
          <w:rFonts w:ascii="Arial" w:hAnsi="Arial" w:eastAsia="Calibri" w:cs="Arial"/>
          <w:color w:val="000000" w:themeColor="text1"/>
          <w:sz w:val="22"/>
        </w:rPr>
        <w:t xml:space="preserve">Colombia Compra Eficiente ha sostenido que es discrecional la decisión de limitar territorialmente una convocatoria de </w:t>
      </w:r>
      <w:proofErr w:type="spellStart"/>
      <w:r w:rsidRPr="00B00AA2" w:rsidR="00D061E2">
        <w:rPr>
          <w:rFonts w:ascii="Arial" w:hAnsi="Arial" w:eastAsia="Calibri" w:cs="Arial"/>
          <w:color w:val="000000" w:themeColor="text1"/>
          <w:sz w:val="22"/>
        </w:rPr>
        <w:t>Mipymes</w:t>
      </w:r>
      <w:proofErr w:type="spellEnd"/>
      <w:r w:rsidRPr="00B00AA2" w:rsidR="00D061E2">
        <w:rPr>
          <w:rFonts w:ascii="Arial" w:hAnsi="Arial" w:eastAsia="Calibri" w:cs="Arial"/>
          <w:color w:val="000000" w:themeColor="text1"/>
          <w:sz w:val="22"/>
        </w:rPr>
        <w:t>, y ha precisado que, de todos modos, la decisión debe estar justificada en los correspondientes «estudios del sector».</w:t>
      </w:r>
      <w:r w:rsidRPr="00E156D6" w:rsidR="00E156D6">
        <w:rPr>
          <w:rFonts w:ascii="Arial" w:hAnsi="Arial" w:eastAsia="Calibri" w:cs="Arial"/>
          <w:color w:val="000000" w:themeColor="text1"/>
          <w:sz w:val="22"/>
        </w:rPr>
        <w:t xml:space="preserve"> </w:t>
      </w:r>
      <w:r w:rsidRPr="00B00AA2" w:rsidR="00E156D6">
        <w:rPr>
          <w:rFonts w:ascii="Arial" w:hAnsi="Arial" w:eastAsia="Calibri" w:cs="Arial"/>
          <w:color w:val="000000" w:themeColor="text1"/>
          <w:sz w:val="22"/>
        </w:rPr>
        <w:t xml:space="preserve">Así lo consideró en la consulta No. 216130003241, resuelta el 30 de junio de 2016. Igualmente, en la consulta resuelta en el radicado No. 2201813000008184, del 7 de septiembre de 2018, se dijo que, de acuerdo con el </w:t>
      </w:r>
      <w:r w:rsidRPr="00B00AA2" w:rsidR="00E156D6">
        <w:rPr>
          <w:rFonts w:ascii="Arial" w:hAnsi="Arial" w:cs="Arial"/>
          <w:color w:val="000000" w:themeColor="text1"/>
          <w:sz w:val="22"/>
        </w:rPr>
        <w:t>artículo 2.2.1.2.4.2.3. del Decreto 1082 de 2015,</w:t>
      </w:r>
      <w:r w:rsidRPr="00B00AA2" w:rsidR="00E156D6">
        <w:rPr>
          <w:rFonts w:ascii="Arial" w:hAnsi="Arial" w:eastAsia="Calibri" w:cs="Arial"/>
          <w:color w:val="000000" w:themeColor="text1"/>
          <w:sz w:val="22"/>
        </w:rPr>
        <w:t xml:space="preserve"> las </w:t>
      </w:r>
      <w:proofErr w:type="spellStart"/>
      <w:r w:rsidRPr="00B00AA2" w:rsidR="00E156D6">
        <w:rPr>
          <w:rFonts w:ascii="Arial" w:hAnsi="Arial" w:eastAsia="Calibri" w:cs="Arial"/>
          <w:color w:val="000000" w:themeColor="text1"/>
          <w:sz w:val="22"/>
        </w:rPr>
        <w:t>Mipymes</w:t>
      </w:r>
      <w:proofErr w:type="spellEnd"/>
      <w:r w:rsidRPr="00B00AA2" w:rsidR="00E156D6">
        <w:rPr>
          <w:rFonts w:ascii="Arial" w:hAnsi="Arial" w:eastAsia="Calibri" w:cs="Arial"/>
          <w:color w:val="000000" w:themeColor="text1"/>
          <w:sz w:val="22"/>
        </w:rPr>
        <w:t xml:space="preserve"> beneficiadas deben tener su domicilio principal en el municipio o departamento donde se ejecutará el contrato para poder participar en una convocatoria limitada territorialmente</w:t>
      </w:r>
      <w:r w:rsidRPr="00B00AA2" w:rsidR="00E156D6">
        <w:rPr>
          <w:rStyle w:val="Refdenotaalpie"/>
          <w:rFonts w:ascii="Arial" w:hAnsi="Arial" w:cs="Arial"/>
          <w:color w:val="000000" w:themeColor="text1"/>
          <w:sz w:val="22"/>
        </w:rPr>
        <w:footnoteReference w:id="11"/>
      </w:r>
      <w:r w:rsidRPr="00B00AA2" w:rsidR="00E156D6">
        <w:rPr>
          <w:rFonts w:ascii="Arial" w:hAnsi="Arial" w:cs="Arial"/>
          <w:color w:val="000000" w:themeColor="text1"/>
          <w:sz w:val="22"/>
        </w:rPr>
        <w:t>.</w:t>
      </w:r>
    </w:p>
    <w:p w:rsidR="009F4A3D" w:rsidP="00D536E6" w:rsidRDefault="00E350FA" w14:paraId="14DECEBE" w14:textId="095C3DC1">
      <w:pPr>
        <w:spacing w:before="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 xml:space="preserve">Conforme se mencionó </w:t>
      </w:r>
      <w:r w:rsidR="005E22E9">
        <w:rPr>
          <w:rFonts w:ascii="Arial" w:hAnsi="Arial" w:eastAsia="Calibri" w:cs="Arial"/>
          <w:color w:val="000000" w:themeColor="text1"/>
          <w:sz w:val="22"/>
        </w:rPr>
        <w:t xml:space="preserve">antes, los artículos </w:t>
      </w:r>
      <w:r w:rsidRPr="00B00AA2" w:rsidR="005E22E9">
        <w:rPr>
          <w:rFonts w:ascii="Arial" w:hAnsi="Arial" w:cs="Arial"/>
          <w:color w:val="000000" w:themeColor="text1"/>
          <w:sz w:val="22"/>
        </w:rPr>
        <w:t>2.2.1.2.4.2.2</w:t>
      </w:r>
      <w:r w:rsidR="005E22E9">
        <w:rPr>
          <w:rFonts w:ascii="Arial" w:hAnsi="Arial" w:cs="Arial"/>
          <w:color w:val="000000" w:themeColor="text1"/>
          <w:sz w:val="22"/>
        </w:rPr>
        <w:t xml:space="preserve"> y </w:t>
      </w:r>
      <w:r w:rsidRPr="00B00AA2" w:rsidR="005E22E9">
        <w:rPr>
          <w:rFonts w:ascii="Arial" w:hAnsi="Arial" w:cs="Arial"/>
          <w:color w:val="000000" w:themeColor="text1"/>
          <w:sz w:val="22"/>
        </w:rPr>
        <w:t>2.2.1.2.4.2.</w:t>
      </w:r>
      <w:r w:rsidR="005E22E9">
        <w:rPr>
          <w:rFonts w:ascii="Arial" w:hAnsi="Arial" w:cs="Arial"/>
          <w:color w:val="000000" w:themeColor="text1"/>
          <w:sz w:val="22"/>
        </w:rPr>
        <w:t>3</w:t>
      </w:r>
      <w:r w:rsidR="005E22E9">
        <w:rPr>
          <w:rFonts w:ascii="Arial" w:hAnsi="Arial" w:eastAsia="Calibri" w:cs="Arial"/>
          <w:color w:val="000000" w:themeColor="text1"/>
          <w:sz w:val="22"/>
        </w:rPr>
        <w:t xml:space="preserve"> </w:t>
      </w:r>
      <w:r w:rsidR="00273837">
        <w:rPr>
          <w:rFonts w:ascii="Arial" w:hAnsi="Arial" w:eastAsia="Calibri" w:cs="Arial"/>
          <w:color w:val="000000" w:themeColor="text1"/>
          <w:sz w:val="22"/>
        </w:rPr>
        <w:t xml:space="preserve"> </w:t>
      </w:r>
      <w:r w:rsidR="00D536E6">
        <w:rPr>
          <w:rFonts w:ascii="Arial" w:hAnsi="Arial" w:eastAsia="Calibri" w:cs="Arial"/>
          <w:color w:val="000000" w:themeColor="text1"/>
          <w:sz w:val="22"/>
        </w:rPr>
        <w:t xml:space="preserve">deben ser </w:t>
      </w:r>
      <w:r w:rsidR="0003091E">
        <w:rPr>
          <w:rFonts w:ascii="Arial" w:hAnsi="Arial" w:eastAsia="Calibri" w:cs="Arial"/>
          <w:color w:val="000000" w:themeColor="text1"/>
          <w:sz w:val="22"/>
        </w:rPr>
        <w:t>interpretados</w:t>
      </w:r>
      <w:r w:rsidR="00D536E6">
        <w:rPr>
          <w:rFonts w:ascii="Arial" w:hAnsi="Arial" w:eastAsia="Calibri" w:cs="Arial"/>
          <w:color w:val="000000" w:themeColor="text1"/>
          <w:sz w:val="22"/>
        </w:rPr>
        <w:t xml:space="preserve"> de manera armónica, comoquiera que </w:t>
      </w:r>
      <w:r w:rsidR="00273837">
        <w:rPr>
          <w:rFonts w:ascii="Arial" w:hAnsi="Arial" w:eastAsia="Calibri" w:cs="Arial"/>
          <w:color w:val="000000" w:themeColor="text1"/>
          <w:sz w:val="22"/>
        </w:rPr>
        <w:t>p</w:t>
      </w:r>
      <w:r w:rsidR="00AA21EF">
        <w:rPr>
          <w:rFonts w:ascii="Arial" w:hAnsi="Arial" w:eastAsia="Calibri" w:cs="Arial"/>
          <w:color w:val="000000" w:themeColor="text1"/>
          <w:sz w:val="22"/>
        </w:rPr>
        <w:t>ara p</w:t>
      </w:r>
      <w:r w:rsidR="00640BE3">
        <w:rPr>
          <w:rFonts w:ascii="Arial" w:hAnsi="Arial" w:eastAsia="Calibri" w:cs="Arial"/>
          <w:color w:val="000000" w:themeColor="text1"/>
          <w:sz w:val="22"/>
        </w:rPr>
        <w:t>roceder</w:t>
      </w:r>
      <w:r w:rsidR="00273837">
        <w:rPr>
          <w:rFonts w:ascii="Arial" w:hAnsi="Arial" w:eastAsia="Calibri" w:cs="Arial"/>
          <w:color w:val="000000" w:themeColor="text1"/>
          <w:sz w:val="22"/>
        </w:rPr>
        <w:t xml:space="preserve"> </w:t>
      </w:r>
      <w:r w:rsidRPr="00B00AA2" w:rsidR="000140C8">
        <w:rPr>
          <w:rFonts w:ascii="Arial" w:hAnsi="Arial" w:eastAsia="Calibri" w:cs="Arial"/>
          <w:color w:val="000000" w:themeColor="text1"/>
          <w:sz w:val="22"/>
        </w:rPr>
        <w:t>a</w:t>
      </w:r>
      <w:r w:rsidR="00E83D50">
        <w:rPr>
          <w:rFonts w:ascii="Arial" w:hAnsi="Arial" w:eastAsia="Calibri" w:cs="Arial"/>
          <w:color w:val="000000" w:themeColor="text1"/>
          <w:sz w:val="22"/>
        </w:rPr>
        <w:t xml:space="preserve"> </w:t>
      </w:r>
      <w:r w:rsidRPr="00B00AA2" w:rsidR="000140C8">
        <w:rPr>
          <w:rFonts w:ascii="Arial" w:hAnsi="Arial" w:eastAsia="Calibri" w:cs="Arial"/>
          <w:color w:val="000000" w:themeColor="text1"/>
          <w:sz w:val="22"/>
        </w:rPr>
        <w:t>limitar</w:t>
      </w:r>
      <w:r w:rsidR="008B1F33">
        <w:rPr>
          <w:rFonts w:ascii="Arial" w:hAnsi="Arial" w:eastAsia="Calibri" w:cs="Arial"/>
          <w:color w:val="000000" w:themeColor="text1"/>
          <w:sz w:val="22"/>
        </w:rPr>
        <w:t xml:space="preserve"> hacer una limitación </w:t>
      </w:r>
      <w:r w:rsidRPr="00B00AA2" w:rsidR="000140C8">
        <w:rPr>
          <w:rFonts w:ascii="Arial" w:hAnsi="Arial" w:eastAsia="Calibri" w:cs="Arial"/>
          <w:color w:val="000000" w:themeColor="text1"/>
          <w:sz w:val="22"/>
        </w:rPr>
        <w:t>territoriales</w:t>
      </w:r>
      <w:r w:rsidR="009F4A3D">
        <w:rPr>
          <w:rFonts w:ascii="Arial" w:hAnsi="Arial" w:eastAsia="Calibri" w:cs="Arial"/>
          <w:color w:val="000000" w:themeColor="text1"/>
          <w:sz w:val="22"/>
        </w:rPr>
        <w:t xml:space="preserve"> es indispensable que se cumplan, no solo </w:t>
      </w:r>
      <w:r w:rsidR="008F1F7E">
        <w:rPr>
          <w:rFonts w:ascii="Arial" w:hAnsi="Arial" w:eastAsia="Calibri" w:cs="Arial"/>
          <w:color w:val="000000" w:themeColor="text1"/>
          <w:sz w:val="22"/>
        </w:rPr>
        <w:t xml:space="preserve">el </w:t>
      </w:r>
      <w:r w:rsidR="00E83D50">
        <w:rPr>
          <w:rFonts w:ascii="Arial" w:hAnsi="Arial" w:eastAsia="Calibri" w:cs="Arial"/>
          <w:color w:val="000000" w:themeColor="text1"/>
          <w:sz w:val="22"/>
        </w:rPr>
        <w:t>presupuestos</w:t>
      </w:r>
      <w:r w:rsidR="008F1F7E">
        <w:rPr>
          <w:rFonts w:ascii="Arial" w:hAnsi="Arial" w:eastAsia="Calibri" w:cs="Arial"/>
          <w:color w:val="000000" w:themeColor="text1"/>
          <w:sz w:val="22"/>
        </w:rPr>
        <w:t xml:space="preserve"> establecido</w:t>
      </w:r>
      <w:r w:rsidR="00E83D50">
        <w:rPr>
          <w:rFonts w:ascii="Arial" w:hAnsi="Arial" w:eastAsia="Calibri" w:cs="Arial"/>
          <w:color w:val="000000" w:themeColor="text1"/>
          <w:sz w:val="22"/>
        </w:rPr>
        <w:t>s</w:t>
      </w:r>
      <w:r w:rsidR="008F1F7E">
        <w:rPr>
          <w:rFonts w:ascii="Arial" w:hAnsi="Arial" w:eastAsia="Calibri" w:cs="Arial"/>
          <w:color w:val="000000" w:themeColor="text1"/>
          <w:sz w:val="22"/>
        </w:rPr>
        <w:t xml:space="preserve"> en el artículo </w:t>
      </w:r>
      <w:r w:rsidRPr="00B00AA2" w:rsidR="008F1F7E">
        <w:rPr>
          <w:rFonts w:ascii="Arial" w:hAnsi="Arial" w:cs="Arial"/>
          <w:color w:val="000000" w:themeColor="text1"/>
          <w:sz w:val="22"/>
        </w:rPr>
        <w:t>2.2.1.2.4.2.3.</w:t>
      </w:r>
      <w:r w:rsidR="008F1F7E">
        <w:rPr>
          <w:rFonts w:ascii="Arial" w:hAnsi="Arial" w:cs="Arial"/>
          <w:color w:val="000000" w:themeColor="text1"/>
          <w:sz w:val="22"/>
        </w:rPr>
        <w:t>–domicilio en</w:t>
      </w:r>
      <w:r w:rsidR="00E83D50">
        <w:rPr>
          <w:rFonts w:ascii="Arial" w:hAnsi="Arial" w:cs="Arial"/>
          <w:color w:val="000000" w:themeColor="text1"/>
          <w:sz w:val="22"/>
        </w:rPr>
        <w:t xml:space="preserve"> el</w:t>
      </w:r>
      <w:r w:rsidR="008F1F7E">
        <w:rPr>
          <w:rFonts w:ascii="Arial" w:hAnsi="Arial" w:cs="Arial"/>
          <w:color w:val="000000" w:themeColor="text1"/>
          <w:sz w:val="22"/>
        </w:rPr>
        <w:t xml:space="preserve"> municipio o departamento de ejecución del contrato–, </w:t>
      </w:r>
      <w:r w:rsidR="00523F36">
        <w:rPr>
          <w:rFonts w:ascii="Arial" w:hAnsi="Arial" w:cs="Arial"/>
          <w:color w:val="000000" w:themeColor="text1"/>
          <w:sz w:val="22"/>
        </w:rPr>
        <w:t xml:space="preserve">sino también los establecidos en el artículo </w:t>
      </w:r>
      <w:r w:rsidRPr="00B00AA2" w:rsidR="00523F36">
        <w:rPr>
          <w:rFonts w:ascii="Arial" w:hAnsi="Arial" w:eastAsia="Calibri" w:cs="Arial"/>
          <w:color w:val="000000" w:themeColor="text1"/>
          <w:sz w:val="22"/>
        </w:rPr>
        <w:t>2.2.1.2.4.2.2</w:t>
      </w:r>
      <w:r w:rsidR="00523F36">
        <w:rPr>
          <w:rFonts w:ascii="Arial" w:hAnsi="Arial" w:eastAsia="Calibri" w:cs="Arial"/>
          <w:color w:val="000000" w:themeColor="text1"/>
          <w:sz w:val="22"/>
        </w:rPr>
        <w:t xml:space="preserve"> –valor del proceso de contratación en el rango indicado y solicitudes de al menos </w:t>
      </w:r>
      <w:r w:rsidR="006203E3">
        <w:rPr>
          <w:rFonts w:ascii="Arial" w:hAnsi="Arial" w:eastAsia="Calibri" w:cs="Arial"/>
          <w:color w:val="000000" w:themeColor="text1"/>
          <w:sz w:val="22"/>
        </w:rPr>
        <w:t xml:space="preserve">dos </w:t>
      </w:r>
      <w:proofErr w:type="spellStart"/>
      <w:r w:rsidR="006203E3">
        <w:rPr>
          <w:rFonts w:ascii="Arial" w:hAnsi="Arial" w:eastAsia="Calibri" w:cs="Arial"/>
          <w:color w:val="000000" w:themeColor="text1"/>
          <w:sz w:val="22"/>
        </w:rPr>
        <w:t>mipymes</w:t>
      </w:r>
      <w:proofErr w:type="spellEnd"/>
      <w:r w:rsidR="006203E3">
        <w:rPr>
          <w:rFonts w:ascii="Arial" w:hAnsi="Arial" w:eastAsia="Calibri" w:cs="Arial"/>
          <w:color w:val="000000" w:themeColor="text1"/>
          <w:sz w:val="22"/>
        </w:rPr>
        <w:t xml:space="preserve"> presentadas oportunamente–</w:t>
      </w:r>
      <w:r w:rsidR="00E83D50">
        <w:rPr>
          <w:rFonts w:ascii="Arial" w:hAnsi="Arial" w:eastAsia="Calibri" w:cs="Arial"/>
          <w:color w:val="000000" w:themeColor="text1"/>
          <w:sz w:val="22"/>
        </w:rPr>
        <w:t xml:space="preserve">. </w:t>
      </w:r>
      <w:r>
        <w:rPr>
          <w:rFonts w:ascii="Arial" w:hAnsi="Arial" w:eastAsia="Calibri" w:cs="Arial"/>
          <w:color w:val="000000" w:themeColor="text1"/>
          <w:sz w:val="22"/>
        </w:rPr>
        <w:t>En ese sentido</w:t>
      </w:r>
      <w:r w:rsidR="00D536E6">
        <w:rPr>
          <w:rFonts w:ascii="Arial" w:hAnsi="Arial" w:eastAsia="Calibri" w:cs="Arial"/>
          <w:color w:val="000000" w:themeColor="text1"/>
          <w:sz w:val="22"/>
        </w:rPr>
        <w:t xml:space="preserve">, para que proceda la limitación territorial es necesario que se presenten al menos dos solicitudes de </w:t>
      </w:r>
      <w:proofErr w:type="spellStart"/>
      <w:r w:rsidR="00D536E6">
        <w:rPr>
          <w:rFonts w:ascii="Arial" w:hAnsi="Arial" w:eastAsia="Calibri" w:cs="Arial"/>
          <w:color w:val="000000" w:themeColor="text1"/>
          <w:sz w:val="22"/>
        </w:rPr>
        <w:t>mipymes</w:t>
      </w:r>
      <w:proofErr w:type="spellEnd"/>
      <w:r w:rsidR="00D536E6">
        <w:rPr>
          <w:rFonts w:ascii="Arial" w:hAnsi="Arial" w:eastAsia="Calibri" w:cs="Arial"/>
          <w:color w:val="000000" w:themeColor="text1"/>
          <w:sz w:val="22"/>
        </w:rPr>
        <w:t xml:space="preserve"> </w:t>
      </w:r>
      <w:r w:rsidRPr="00B00AA2">
        <w:rPr>
          <w:rFonts w:ascii="Arial" w:hAnsi="Arial" w:eastAsia="Calibri" w:cs="Arial"/>
          <w:color w:val="000000" w:themeColor="text1"/>
          <w:sz w:val="22"/>
        </w:rPr>
        <w:t>domiciliadas en el departamento o municipio</w:t>
      </w:r>
      <w:r w:rsidR="00F12417">
        <w:rPr>
          <w:rFonts w:ascii="Arial" w:hAnsi="Arial" w:eastAsia="Calibri" w:cs="Arial"/>
          <w:color w:val="000000" w:themeColor="text1"/>
          <w:sz w:val="22"/>
        </w:rPr>
        <w:t xml:space="preserve"> en donde se va a ejecutar el contrato. </w:t>
      </w:r>
      <w:r w:rsidRPr="00B00AA2">
        <w:rPr>
          <w:rFonts w:ascii="Arial" w:hAnsi="Arial" w:eastAsia="Calibri" w:cs="Arial"/>
          <w:color w:val="000000" w:themeColor="text1"/>
          <w:sz w:val="22"/>
        </w:rPr>
        <w:t xml:space="preserve"> Este entendimiento de la norma, sin embargo, da lugar a dos interpretaciones sobre las que se deben hacer unas precisiones.</w:t>
      </w:r>
    </w:p>
    <w:p w:rsidRPr="00B00AA2" w:rsidR="0035518E" w:rsidP="0035518E" w:rsidRDefault="0035518E" w14:paraId="06BE0D2A" w14:textId="73F75E6C">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i/>
          <w:iCs/>
          <w:color w:val="000000" w:themeColor="text1"/>
          <w:sz w:val="22"/>
        </w:rPr>
        <w:lastRenderedPageBreak/>
        <w:t>Por un lado</w:t>
      </w:r>
      <w:r w:rsidRPr="00B00AA2">
        <w:rPr>
          <w:rFonts w:ascii="Arial" w:hAnsi="Arial" w:eastAsia="Calibri" w:cs="Arial"/>
          <w:color w:val="000000" w:themeColor="text1"/>
          <w:sz w:val="22"/>
        </w:rPr>
        <w:t xml:space="preserve">, supone que la decisión de limitar territorialmente la convocatoria opera de pleno derecho, cuando lo solicitan </w:t>
      </w:r>
      <w:r>
        <w:rPr>
          <w:rFonts w:ascii="Arial" w:hAnsi="Arial" w:eastAsia="Calibri" w:cs="Arial"/>
          <w:color w:val="000000" w:themeColor="text1"/>
          <w:sz w:val="22"/>
        </w:rPr>
        <w:t>dos</w:t>
      </w:r>
      <w:r w:rsidRPr="00B00AA2">
        <w:rPr>
          <w:rFonts w:ascii="Arial" w:hAnsi="Arial" w:eastAsia="Calibri" w:cs="Arial"/>
          <w:color w:val="000000" w:themeColor="text1"/>
          <w:sz w:val="22"/>
        </w:rPr>
        <w:t xml:space="preserve">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domiciliadas en el municipio o en el departamento en el que se va a ejecutar el contrato. Sin embargo, se debe tener presente que lo que sucede de pleno derecho es la limitación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a la que se refiere el artículo 2.2.1.2.4.2.2. del Decreto 1082 de 2015, pero no la «limitación territorial» referida en el artículo 2.2.1.2.4.2.3. </w:t>
      </w:r>
      <w:r w:rsidRPr="00B00AA2">
        <w:rPr>
          <w:rFonts w:ascii="Arial" w:hAnsi="Arial" w:eastAsia="Calibri" w:cs="Arial"/>
          <w:i/>
          <w:iCs/>
          <w:color w:val="000000" w:themeColor="text1"/>
          <w:sz w:val="22"/>
        </w:rPr>
        <w:t>ibídem</w:t>
      </w:r>
      <w:r w:rsidRPr="00B00AA2">
        <w:rPr>
          <w:rFonts w:ascii="Arial" w:hAnsi="Arial" w:eastAsia="Calibri" w:cs="Arial"/>
          <w:color w:val="000000" w:themeColor="text1"/>
          <w:sz w:val="22"/>
        </w:rPr>
        <w:t xml:space="preserve">, pues esta, como ya se dijo, es facultativa para la entidad. Las únicas exigencias son que la convocatoria esté limitada a las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los departamentos o municipios en donde se va a ejecutar el contrato» y que la entidad justifique su decisión en los «estudios del sector». No es procedente, entonces, que sean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las que soliciten la «limitación territorial» a la que se refiere el artículo 2.2.1.2.4.2.3. del Decreto 1082 de 2015.</w:t>
      </w:r>
    </w:p>
    <w:p w:rsidRPr="00B00AA2" w:rsidR="00966340" w:rsidP="00966340" w:rsidRDefault="00966340" w14:paraId="22C01A0F"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que solicitan la «limitación territorial» no es relevante frente a dicha decisión, por dos razones. Primero, porque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no están habilitadas para pedir la «limitación territorial», lo están para pedir la «convocatoria limitada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y, segundo, porque el único criterio a tener en cuenta, una vez se ha decidido justificadamente limitar territorialmente la convocatoria previamente limitada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es el lugar donde se va a ejecutar el contrato.</w:t>
      </w:r>
    </w:p>
    <w:p w:rsidR="00BD1384" w:rsidP="00BD1384" w:rsidRDefault="00BD1384" w14:paraId="5DEA649B" w14:textId="546F833B">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i/>
          <w:iCs/>
          <w:color w:val="000000" w:themeColor="text1"/>
          <w:sz w:val="22"/>
        </w:rPr>
        <w:t>Por otro lado</w:t>
      </w:r>
      <w:r w:rsidRPr="00B00AA2">
        <w:rPr>
          <w:rFonts w:ascii="Arial" w:hAnsi="Arial" w:eastAsia="Calibri" w:cs="Arial"/>
          <w:color w:val="000000" w:themeColor="text1"/>
          <w:sz w:val="22"/>
        </w:rPr>
        <w:t xml:space="preserve">, supone que la decisión de la entidad únicamente puede darse si la solicitud provino de </w:t>
      </w:r>
      <w:r>
        <w:rPr>
          <w:rFonts w:ascii="Arial" w:hAnsi="Arial" w:eastAsia="Calibri" w:cs="Arial"/>
          <w:color w:val="000000" w:themeColor="text1"/>
          <w:sz w:val="22"/>
        </w:rPr>
        <w:t>dos</w:t>
      </w:r>
      <w:r w:rsidRPr="00B00AA2">
        <w:rPr>
          <w:rFonts w:ascii="Arial" w:hAnsi="Arial" w:eastAsia="Calibri" w:cs="Arial"/>
          <w:color w:val="000000" w:themeColor="text1"/>
          <w:sz w:val="22"/>
        </w:rPr>
        <w:t xml:space="preserve"> o más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domiciliadas en el municipio o departamento en donde se va a ejecutar el contrato. Sin embargo, una vez se verifican los requisitos de los numerales 1 y 2 del artículo 2.2.1.2.4.2.2. del Decreto 1082 de 2015,</w:t>
      </w:r>
      <w:r>
        <w:rPr>
          <w:rFonts w:ascii="Arial" w:hAnsi="Arial" w:eastAsia="Calibri" w:cs="Arial"/>
          <w:color w:val="000000" w:themeColor="text1"/>
          <w:sz w:val="22"/>
        </w:rPr>
        <w:t xml:space="preserve"> modificado por el Decreto 1860 de 2021,</w:t>
      </w:r>
      <w:r w:rsidRPr="00B00AA2">
        <w:rPr>
          <w:rFonts w:ascii="Arial" w:hAnsi="Arial" w:eastAsia="Calibri" w:cs="Arial"/>
          <w:color w:val="000000" w:themeColor="text1"/>
          <w:sz w:val="22"/>
        </w:rPr>
        <w:t xml:space="preserve"> la entidad queda habilitada para decidir si limita o no la convocatoria «a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los departamentos o municipios en donde se va a ejecutar el contrato», sin que sea relevante el «domicilio» de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que solicitaron limitar la convocatoria.</w:t>
      </w:r>
    </w:p>
    <w:p w:rsidRPr="00B00AA2" w:rsidR="00C127E2" w:rsidP="00C127E2" w:rsidRDefault="00C127E2" w14:paraId="67430342" w14:textId="72873CC8">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Puede pasar, por ejemplo, que </w:t>
      </w:r>
      <w:r>
        <w:rPr>
          <w:rFonts w:ascii="Arial" w:hAnsi="Arial" w:eastAsia="Calibri" w:cs="Arial"/>
          <w:color w:val="000000" w:themeColor="text1"/>
          <w:sz w:val="22"/>
        </w:rPr>
        <w:t>dos</w:t>
      </w:r>
      <w:r w:rsidRPr="00B00AA2">
        <w:rPr>
          <w:rFonts w:ascii="Arial" w:hAnsi="Arial" w:eastAsia="Calibri" w:cs="Arial"/>
          <w:color w:val="000000" w:themeColor="text1"/>
          <w:sz w:val="22"/>
        </w:rPr>
        <w:t xml:space="preserve">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claro está, siempre que se cumplan los requisitos legales, pero se reservaría la posibilidad de limitar el proceso contractual a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los departamentos o municipios en donde se </w:t>
      </w:r>
      <w:r w:rsidRPr="00B00AA2">
        <w:rPr>
          <w:rFonts w:ascii="Arial" w:hAnsi="Arial" w:eastAsia="Calibri" w:cs="Arial"/>
          <w:color w:val="000000" w:themeColor="text1"/>
          <w:sz w:val="22"/>
        </w:rPr>
        <w:lastRenderedPageBreak/>
        <w:t xml:space="preserve">va a ejecutar el contrato», esto es, para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rsidRPr="00B00AA2" w:rsidR="005C3220" w:rsidP="005C3220" w:rsidRDefault="005C3220" w14:paraId="46F18118" w14:textId="4733ED0A">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w:t>
      </w:r>
      <w:r w:rsidR="00D7078E">
        <w:rPr>
          <w:rFonts w:ascii="Arial" w:hAnsi="Arial" w:eastAsia="Calibri" w:cs="Arial"/>
          <w:color w:val="000000" w:themeColor="text1"/>
          <w:sz w:val="22"/>
        </w:rPr>
        <w:t>3</w:t>
      </w:r>
      <w:r w:rsidRPr="00B00AA2">
        <w:rPr>
          <w:rFonts w:ascii="Arial" w:hAnsi="Arial" w:eastAsia="Calibri" w:cs="Arial"/>
          <w:color w:val="000000" w:themeColor="text1"/>
          <w:sz w:val="22"/>
        </w:rPr>
        <w:t>.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rsidRPr="00B00AA2" w:rsidR="00F00733" w:rsidP="00F00733" w:rsidRDefault="00F00733" w14:paraId="2AFE9EF0"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Sin perjuicio de lo anterior, no puede perderse de vista que la decisión de limitar «a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no puede </w:t>
      </w:r>
      <w:r w:rsidRPr="00B00AA2">
        <w:rPr>
          <w:rFonts w:ascii="Arial" w:hAnsi="Arial" w:eastAsia="Calibri" w:cs="Arial"/>
          <w:i/>
          <w:iCs/>
          <w:color w:val="000000" w:themeColor="text1"/>
          <w:sz w:val="22"/>
        </w:rPr>
        <w:t xml:space="preserve">motu propio </w:t>
      </w:r>
      <w:r w:rsidRPr="00B00AA2">
        <w:rPr>
          <w:rFonts w:ascii="Arial" w:hAnsi="Arial" w:eastAsia="Calibri" w:cs="Arial"/>
          <w:color w:val="000000" w:themeColor="text1"/>
          <w:sz w:val="22"/>
        </w:rPr>
        <w:t xml:space="preserve">hacer la «limitación territorial» de que trata el artículo 2.2.1.2.4.2.3. del Decreto 1082 de 2015, ya que el ejercicio de esta facultad solo puede darse ante «limitación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lo cual supone la verificación de los supuestos legales establecidos en los mencionados numerales.</w:t>
      </w:r>
    </w:p>
    <w:p w:rsidRPr="00B00AA2" w:rsidR="00673289" w:rsidP="00673289" w:rsidRDefault="00673289" w14:paraId="1C3E8751" w14:textId="245B6C8C">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En suma, e</w:t>
      </w:r>
      <w:r w:rsidRPr="00B00AA2">
        <w:rPr>
          <w:rFonts w:ascii="Arial" w:hAnsi="Arial" w:cs="Arial"/>
          <w:color w:val="000000" w:themeColor="text1"/>
          <w:sz w:val="22"/>
        </w:rPr>
        <w:t>l Decreto 1082 de 2015</w:t>
      </w:r>
      <w:r>
        <w:rPr>
          <w:rFonts w:ascii="Arial" w:hAnsi="Arial" w:cs="Arial"/>
          <w:color w:val="000000" w:themeColor="text1"/>
          <w:sz w:val="22"/>
        </w:rPr>
        <w:t>, modificado por el Decreto 1860 de 2021</w:t>
      </w:r>
      <w:r w:rsidRPr="00B00AA2">
        <w:rPr>
          <w:rFonts w:ascii="Arial" w:hAnsi="Arial" w:cs="Arial"/>
          <w:color w:val="000000" w:themeColor="text1"/>
          <w:sz w:val="22"/>
        </w:rPr>
        <w:t xml:space="preserve"> regula la limitación de convocatorias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en dos normas distintas que deben leerse conjunta y armónicamente. Por un lado, el artículo </w:t>
      </w:r>
      <w:r w:rsidRPr="00B00AA2">
        <w:rPr>
          <w:rFonts w:ascii="Arial" w:hAnsi="Arial" w:eastAsia="Calibri" w:cs="Arial"/>
          <w:color w:val="000000" w:themeColor="text1"/>
          <w:sz w:val="22"/>
        </w:rPr>
        <w:t xml:space="preserve">2.2.1.2.4.2.2. </w:t>
      </w:r>
      <w:r w:rsidRPr="00B00AA2">
        <w:rPr>
          <w:rFonts w:ascii="Arial" w:hAnsi="Arial" w:cs="Arial"/>
          <w:color w:val="000000" w:themeColor="text1"/>
          <w:sz w:val="22"/>
        </w:rPr>
        <w:t xml:space="preserve">prevé los requisitos generales para que la entidad limite sus convocatorias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Por el otro, el artículo </w:t>
      </w:r>
      <w:r w:rsidRPr="00B00AA2">
        <w:rPr>
          <w:rFonts w:ascii="Arial" w:hAnsi="Arial" w:eastAsia="Calibri" w:cs="Arial"/>
          <w:color w:val="000000" w:themeColor="text1"/>
          <w:sz w:val="22"/>
        </w:rPr>
        <w:t xml:space="preserve">2.2.1.2.4.2.3. </w:t>
      </w:r>
      <w:r w:rsidRPr="00B00AA2">
        <w:rPr>
          <w:rFonts w:ascii="Arial" w:hAnsi="Arial" w:cs="Arial"/>
          <w:color w:val="000000" w:themeColor="text1"/>
          <w:sz w:val="22"/>
        </w:rPr>
        <w:t xml:space="preserve">establece la posibilidad de limitar la convocatoria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domiciliadas en los departamentos o municipios en donde se va a ejecutar el contrato, por supuesto, siempre que la entidad así lo decida y solo si se cumplen las exigencias del artículo </w:t>
      </w:r>
      <w:r w:rsidRPr="00B00AA2">
        <w:rPr>
          <w:rFonts w:ascii="Arial" w:hAnsi="Arial" w:eastAsia="Calibri" w:cs="Arial"/>
          <w:color w:val="000000" w:themeColor="text1"/>
          <w:sz w:val="22"/>
        </w:rPr>
        <w:t>2.2.1.2.4.2.2.</w:t>
      </w:r>
    </w:p>
    <w:p w:rsidRPr="0052190F" w:rsidR="00673289" w:rsidP="00673289" w:rsidRDefault="00673289" w14:paraId="25D9E4E7" w14:textId="77777777">
      <w:pPr>
        <w:spacing w:before="120" w:line="276" w:lineRule="auto"/>
        <w:ind w:firstLine="709"/>
        <w:jc w:val="both"/>
        <w:rPr>
          <w:rFonts w:ascii="Arial" w:hAnsi="Arial" w:eastAsia="Calibri" w:cs="Arial"/>
          <w:sz w:val="22"/>
        </w:rPr>
      </w:pPr>
      <w:r w:rsidRPr="0052190F">
        <w:rPr>
          <w:rFonts w:ascii="Arial" w:hAnsi="Arial" w:eastAsia="Calibri" w:cs="Arial"/>
          <w:sz w:val="22"/>
        </w:rPr>
        <w:t xml:space="preserve">Sin perjuicio de lo anterior, la Agencia Nacional de Contratación Pública – Colombia Compra Eficiente considera que lo recomendable es que las entidades establezcan </w:t>
      </w:r>
      <w:r w:rsidRPr="0052190F">
        <w:rPr>
          <w:rFonts w:ascii="Arial" w:hAnsi="Arial" w:eastAsia="Calibri" w:cs="Arial"/>
          <w:i/>
          <w:iCs/>
          <w:sz w:val="22"/>
        </w:rPr>
        <w:t xml:space="preserve">ex ante </w:t>
      </w:r>
      <w:r w:rsidRPr="0052190F">
        <w:rPr>
          <w:rFonts w:ascii="Arial" w:hAnsi="Arial" w:eastAsia="Calibri" w:cs="Arial"/>
          <w:sz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Pr="0052190F">
        <w:rPr>
          <w:rFonts w:ascii="Arial" w:hAnsi="Arial" w:eastAsia="Calibri" w:cs="Arial"/>
          <w:sz w:val="22"/>
        </w:rPr>
        <w:t>Mipymes</w:t>
      </w:r>
      <w:proofErr w:type="spellEnd"/>
      <w:r w:rsidRPr="0052190F">
        <w:rPr>
          <w:rFonts w:ascii="Arial" w:hAnsi="Arial" w:eastAsia="Calibri" w:cs="Arial"/>
          <w:sz w:val="22"/>
        </w:rPr>
        <w:t>, como por ejemplo, en relación con cuál o cuáles municipios o departamentos harían la limitación territorial de que trata el artículo 2.2.1.2.4.2.3. del Decreto 1082 de 2015.</w:t>
      </w:r>
    </w:p>
    <w:p w:rsidRPr="0052190F" w:rsidR="00FC1AF6" w:rsidP="00FC1AF6" w:rsidRDefault="00FC1AF6" w14:paraId="73A25064" w14:textId="77777777">
      <w:pPr>
        <w:spacing w:before="120" w:line="276" w:lineRule="auto"/>
        <w:ind w:firstLine="709"/>
        <w:jc w:val="both"/>
        <w:rPr>
          <w:rFonts w:ascii="Arial" w:hAnsi="Arial" w:eastAsia="Arial" w:cs="Arial"/>
          <w:sz w:val="22"/>
          <w:szCs w:val="22"/>
          <w:lang w:val="es-MX" w:eastAsia="en-US"/>
        </w:rPr>
      </w:pPr>
      <w:r w:rsidRPr="0052190F">
        <w:rPr>
          <w:rFonts w:ascii="Arial" w:hAnsi="Arial" w:eastAsia="Arial" w:cs="Arial"/>
          <w:sz w:val="22"/>
          <w:szCs w:val="22"/>
          <w:lang w:val="es-MX" w:eastAsia="en-US"/>
        </w:rPr>
        <w:lastRenderedPageBreak/>
        <w:t xml:space="preserve">Finalmente, resta precisar que el domicilio de la mipymes que quiera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–persona jurídica– o del Registro Único de Proponentes – RUP, en donde conste el domicilio de la mipyme interesada en la limitación territorial de la convocatoria pública para celebrar el contrato, que corresponda con el lugar de ejecución del mismo, ya sea departamento o municipio.  </w:t>
      </w:r>
    </w:p>
    <w:p w:rsidRPr="00FC1AF6" w:rsidR="00FC1AF6" w:rsidP="00FC1AF6" w:rsidRDefault="00FC1AF6" w14:paraId="34F2F65A" w14:textId="77777777">
      <w:pPr>
        <w:tabs>
          <w:tab w:val="left" w:pos="0"/>
        </w:tabs>
        <w:jc w:val="both"/>
        <w:rPr>
          <w:rFonts w:ascii="Arial" w:hAnsi="Arial" w:eastAsia="Calibri" w:cs="Arial"/>
          <w:b/>
          <w:sz w:val="22"/>
          <w:highlight w:val="yellow"/>
          <w:lang w:val="es-ES_tradnl"/>
        </w:rPr>
      </w:pPr>
    </w:p>
    <w:p w:rsidRPr="00AB6FE6" w:rsidR="00FC1AF6" w:rsidP="00FC1AF6" w:rsidRDefault="00FC1AF6" w14:paraId="67E1B56E" w14:textId="77777777">
      <w:pPr>
        <w:tabs>
          <w:tab w:val="left" w:pos="0"/>
        </w:tabs>
        <w:jc w:val="both"/>
        <w:rPr>
          <w:rFonts w:ascii="Arial" w:hAnsi="Arial" w:eastAsia="Calibri" w:cs="Arial"/>
          <w:b/>
          <w:sz w:val="22"/>
          <w:lang w:val="es-ES_tradnl"/>
        </w:rPr>
      </w:pPr>
      <w:r w:rsidRPr="00AB6FE6">
        <w:rPr>
          <w:rFonts w:ascii="Arial" w:hAnsi="Arial" w:eastAsia="Calibri" w:cs="Arial"/>
          <w:b/>
          <w:sz w:val="22"/>
          <w:lang w:val="es-ES_tradnl"/>
        </w:rPr>
        <w:t>3. Respuesta</w:t>
      </w:r>
    </w:p>
    <w:p w:rsidRPr="00AB6FE6" w:rsidR="00FC1AF6" w:rsidP="00FC1AF6" w:rsidRDefault="00FC1AF6" w14:paraId="58FA3BE3" w14:textId="77777777">
      <w:pPr>
        <w:ind w:right="709"/>
        <w:jc w:val="both"/>
        <w:rPr>
          <w:rFonts w:ascii="Arial" w:hAnsi="Arial" w:cs="Arial"/>
          <w:sz w:val="21"/>
          <w:szCs w:val="21"/>
          <w:lang w:val="es-ES_tradnl"/>
        </w:rPr>
      </w:pPr>
    </w:p>
    <w:p w:rsidRPr="0052190F" w:rsidR="00AB6FE6" w:rsidP="0052190F" w:rsidRDefault="00AB6FE6" w14:paraId="49D29D50" w14:textId="0084E3C3">
      <w:pPr>
        <w:autoSpaceDE w:val="0"/>
        <w:autoSpaceDN w:val="0"/>
        <w:adjustRightInd w:val="0"/>
        <w:ind w:left="709" w:right="709"/>
        <w:jc w:val="both"/>
        <w:rPr>
          <w:rFonts w:ascii="Arial" w:hAnsi="Arial" w:cs="Arial" w:eastAsiaTheme="minorHAnsi"/>
          <w:sz w:val="21"/>
          <w:szCs w:val="21"/>
          <w:lang w:eastAsia="en-US"/>
        </w:rPr>
      </w:pPr>
      <w:r w:rsidRPr="005B36D8">
        <w:rPr>
          <w:rFonts w:ascii="Arial" w:hAnsi="Arial" w:cs="Arial"/>
          <w:sz w:val="21"/>
          <w:szCs w:val="21"/>
          <w:lang w:val="es-ES_tradnl"/>
        </w:rPr>
        <w:t>«queda</w:t>
      </w:r>
      <w:r w:rsidRPr="0052190F">
        <w:rPr>
          <w:rFonts w:ascii="Arial" w:hAnsi="Arial" w:cs="Arial" w:eastAsiaTheme="minorHAnsi"/>
          <w:sz w:val="21"/>
          <w:szCs w:val="21"/>
          <w:lang w:val="es-MX" w:eastAsia="en-US"/>
        </w:rPr>
        <w:t xml:space="preserve"> a discrecionalidad de la entidad contratante la decisión final de decidir si la limita o no a Mipymes Territoriales? (esto en el caso que las Mipymes Territoriales hayan cumplido los requisitos de la norma en sus solicitudes a la entidad) o ¿se convierte en un deber de la entidad cumplir la norma bajo la intención y/o orientación que le quisieron dar los legisladores para el desarrollo económico de las empresas donde se desarrolle el objeto del contrato.?</w:t>
      </w:r>
      <w:r w:rsidRPr="0052190F">
        <w:rPr>
          <w:rFonts w:ascii="Arial" w:hAnsi="Arial" w:cs="Arial" w:eastAsiaTheme="minorHAnsi"/>
          <w:sz w:val="21"/>
          <w:szCs w:val="21"/>
          <w:lang w:eastAsia="en-US"/>
        </w:rPr>
        <w:t>».</w:t>
      </w:r>
    </w:p>
    <w:p w:rsidRPr="00FC1AF6" w:rsidR="00FC1AF6" w:rsidP="00FC1AF6" w:rsidRDefault="00FC1AF6" w14:paraId="12D86822" w14:textId="2FE9D4BD">
      <w:pPr>
        <w:spacing w:after="120"/>
        <w:ind w:left="709" w:right="709"/>
        <w:jc w:val="both"/>
        <w:rPr>
          <w:rFonts w:ascii="Arial" w:hAnsi="Arial" w:cs="Arial" w:eastAsiaTheme="minorHAnsi"/>
          <w:sz w:val="21"/>
          <w:szCs w:val="21"/>
          <w:highlight w:val="yellow"/>
          <w:lang w:eastAsia="en-US"/>
        </w:rPr>
      </w:pPr>
    </w:p>
    <w:p w:rsidR="000E1B58" w:rsidP="000E1B58" w:rsidRDefault="000E1B58" w14:paraId="4A0BA2F9" w14:textId="6E5D5A22">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E</w:t>
      </w:r>
      <w:r w:rsidRPr="00BD58C9">
        <w:rPr>
          <w:rFonts w:ascii="Arial" w:hAnsi="Arial" w:cs="Arial"/>
          <w:color w:val="000000" w:themeColor="text1"/>
          <w:sz w:val="22"/>
        </w:rPr>
        <w:t>l</w:t>
      </w:r>
      <w:r w:rsidR="00503C47">
        <w:rPr>
          <w:rFonts w:ascii="Arial" w:hAnsi="Arial" w:cs="Arial"/>
          <w:color w:val="000000" w:themeColor="text1"/>
          <w:sz w:val="22"/>
        </w:rPr>
        <w:t xml:space="preserve"> artículo 34 de la Ley 2069 de 2020 y</w:t>
      </w:r>
      <w:r w:rsidRPr="00BD58C9">
        <w:rPr>
          <w:rFonts w:ascii="Arial" w:hAnsi="Arial" w:cs="Arial"/>
          <w:color w:val="000000" w:themeColor="text1"/>
          <w:sz w:val="22"/>
        </w:rPr>
        <w:t xml:space="preserve"> Decreto 1082 de 2015</w:t>
      </w:r>
      <w:r w:rsidR="00607CA1">
        <w:rPr>
          <w:rFonts w:ascii="Arial" w:hAnsi="Arial" w:cs="Arial"/>
          <w:color w:val="000000" w:themeColor="text1"/>
          <w:sz w:val="22"/>
        </w:rPr>
        <w:t>, modificado por el Decreto 1860 de 2021</w:t>
      </w:r>
      <w:r w:rsidRPr="00BD58C9">
        <w:rPr>
          <w:rFonts w:ascii="Arial" w:hAnsi="Arial" w:cs="Arial"/>
          <w:color w:val="000000" w:themeColor="text1"/>
          <w:sz w:val="22"/>
        </w:rPr>
        <w:t xml:space="preserve"> regula</w:t>
      </w:r>
      <w:r w:rsidR="00607CA1">
        <w:rPr>
          <w:rFonts w:ascii="Arial" w:hAnsi="Arial" w:cs="Arial"/>
          <w:color w:val="000000" w:themeColor="text1"/>
          <w:sz w:val="22"/>
        </w:rPr>
        <w:t>n</w:t>
      </w:r>
      <w:r w:rsidRPr="00BD58C9">
        <w:rPr>
          <w:rFonts w:ascii="Arial" w:hAnsi="Arial" w:cs="Arial"/>
          <w:color w:val="000000" w:themeColor="text1"/>
          <w:sz w:val="22"/>
        </w:rPr>
        <w:t xml:space="preserve"> la limitación de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dos normas distintas que deben leerse conjunta y armónicamente. Por un lado, el artículo </w:t>
      </w:r>
      <w:r w:rsidRPr="00BD58C9">
        <w:rPr>
          <w:rFonts w:ascii="Arial" w:hAnsi="Arial" w:eastAsia="Calibri" w:cs="Arial"/>
          <w:color w:val="000000" w:themeColor="text1"/>
          <w:sz w:val="22"/>
        </w:rPr>
        <w:t xml:space="preserve">2.2.1.2.4.2.2. </w:t>
      </w:r>
      <w:r w:rsidRPr="00BD58C9">
        <w:rPr>
          <w:rFonts w:ascii="Arial" w:hAnsi="Arial" w:cs="Arial"/>
          <w:color w:val="000000" w:themeColor="text1"/>
          <w:sz w:val="22"/>
        </w:rPr>
        <w:t>prevé los requisitos generales</w:t>
      </w:r>
      <w:r>
        <w:rPr>
          <w:rFonts w:ascii="Arial" w:hAnsi="Arial" w:cs="Arial"/>
          <w:color w:val="000000" w:themeColor="text1"/>
          <w:sz w:val="22"/>
        </w:rPr>
        <w:t xml:space="preserve"> ante los cuales la entidad debe</w:t>
      </w:r>
      <w:r w:rsidRPr="00BD58C9">
        <w:rPr>
          <w:rFonts w:ascii="Arial" w:hAnsi="Arial" w:cs="Arial"/>
          <w:color w:val="000000" w:themeColor="text1"/>
          <w:sz w:val="22"/>
        </w:rPr>
        <w:t xml:space="preserve"> </w:t>
      </w:r>
      <w:r>
        <w:rPr>
          <w:rFonts w:ascii="Arial" w:hAnsi="Arial" w:cs="Arial"/>
          <w:color w:val="000000" w:themeColor="text1"/>
          <w:sz w:val="22"/>
        </w:rPr>
        <w:t>limitar</w:t>
      </w:r>
      <w:r w:rsidRPr="00BD58C9">
        <w:rPr>
          <w:rFonts w:ascii="Arial" w:hAnsi="Arial" w:cs="Arial"/>
          <w:color w:val="000000" w:themeColor="text1"/>
          <w:sz w:val="22"/>
        </w:rPr>
        <w:t xml:space="preserve"> sus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Por el otro, el artículo </w:t>
      </w:r>
      <w:r w:rsidRPr="00BD58C9">
        <w:rPr>
          <w:rFonts w:ascii="Arial" w:hAnsi="Arial" w:eastAsia="Calibri" w:cs="Arial"/>
          <w:color w:val="000000" w:themeColor="text1"/>
          <w:sz w:val="22"/>
        </w:rPr>
        <w:t xml:space="preserve">2.2.1.2.4.2.3. </w:t>
      </w:r>
      <w:r w:rsidRPr="00BD58C9">
        <w:rPr>
          <w:rFonts w:ascii="Arial" w:hAnsi="Arial" w:cs="Arial"/>
          <w:color w:val="000000" w:themeColor="text1"/>
          <w:sz w:val="22"/>
        </w:rPr>
        <w:t xml:space="preserve">establece la posibilidad de limitar la convocatoria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por supuesto, siempre que la entidad así lo decida y solo si se cumplen las exigencias del artículo </w:t>
      </w:r>
      <w:r w:rsidRPr="00BD58C9">
        <w:rPr>
          <w:rFonts w:ascii="Arial" w:hAnsi="Arial" w:eastAsia="Calibri" w:cs="Arial"/>
          <w:color w:val="000000" w:themeColor="text1"/>
          <w:sz w:val="22"/>
        </w:rPr>
        <w:t>2.2.1.2.4.2.2.</w:t>
      </w:r>
    </w:p>
    <w:p w:rsidRPr="00BD58C9" w:rsidR="0097619E" w:rsidP="0097619E" w:rsidRDefault="0097619E" w14:paraId="2533C2C2" w14:textId="03E1C2A8">
      <w:pPr>
        <w:spacing w:before="120" w:line="276" w:lineRule="auto"/>
        <w:ind w:firstLine="708"/>
        <w:jc w:val="both"/>
        <w:rPr>
          <w:rFonts w:ascii="Arial" w:hAnsi="Arial" w:eastAsia="Calibri" w:cs="Arial"/>
          <w:color w:val="000000" w:themeColor="text1"/>
          <w:sz w:val="22"/>
        </w:rPr>
      </w:pPr>
      <w:r>
        <w:rPr>
          <w:rFonts w:ascii="Arial" w:hAnsi="Arial" w:eastAsia="Calibri" w:cs="Arial"/>
          <w:color w:val="000000" w:themeColor="text1"/>
          <w:sz w:val="22"/>
        </w:rPr>
        <w:t>Esta Agencia considera que l</w:t>
      </w:r>
      <w:r w:rsidRPr="00BD58C9">
        <w:rPr>
          <w:rFonts w:ascii="Arial" w:hAnsi="Arial" w:eastAsia="Calibri" w:cs="Arial"/>
          <w:color w:val="000000" w:themeColor="text1"/>
          <w:sz w:val="22"/>
        </w:rPr>
        <w:t xml:space="preserve">a decisión de limitar </w:t>
      </w:r>
      <w:r w:rsidRPr="00B83979">
        <w:rPr>
          <w:rFonts w:ascii="Arial" w:hAnsi="Arial" w:eastAsia="Calibri" w:cs="Arial"/>
          <w:i/>
          <w:iCs/>
          <w:color w:val="000000" w:themeColor="text1"/>
          <w:sz w:val="22"/>
        </w:rPr>
        <w:t>territorialmente</w:t>
      </w:r>
      <w:r w:rsidRPr="00BD58C9">
        <w:rPr>
          <w:rFonts w:ascii="Arial" w:hAnsi="Arial" w:eastAsia="Calibri" w:cs="Arial"/>
          <w:color w:val="000000" w:themeColor="text1"/>
          <w:sz w:val="22"/>
        </w:rPr>
        <w:t xml:space="preserve"> una convocatoria </w:t>
      </w:r>
      <w:r>
        <w:rPr>
          <w:rFonts w:ascii="Arial" w:hAnsi="Arial" w:eastAsia="Calibri" w:cs="Arial"/>
          <w:color w:val="000000" w:themeColor="text1"/>
          <w:sz w:val="22"/>
        </w:rPr>
        <w:t>a</w:t>
      </w:r>
      <w:r w:rsidRPr="00BD58C9">
        <w:rPr>
          <w:rFonts w:ascii="Arial" w:hAnsi="Arial" w:eastAsia="Calibri" w:cs="Arial"/>
          <w:color w:val="000000" w:themeColor="text1"/>
          <w:sz w:val="22"/>
        </w:rPr>
        <w:t xml:space="preserve"> </w:t>
      </w:r>
      <w:proofErr w:type="spellStart"/>
      <w:r w:rsidRPr="00BD58C9">
        <w:rPr>
          <w:rFonts w:ascii="Arial" w:hAnsi="Arial" w:eastAsia="Calibri" w:cs="Arial"/>
          <w:color w:val="000000" w:themeColor="text1"/>
          <w:sz w:val="22"/>
        </w:rPr>
        <w:t>Mipymes</w:t>
      </w:r>
      <w:proofErr w:type="spellEnd"/>
      <w:r>
        <w:rPr>
          <w:rFonts w:ascii="Arial" w:hAnsi="Arial" w:eastAsia="Calibri" w:cs="Arial"/>
          <w:color w:val="000000" w:themeColor="text1"/>
          <w:sz w:val="22"/>
        </w:rPr>
        <w:t xml:space="preserve"> </w:t>
      </w:r>
      <w:r w:rsidRPr="00BD58C9">
        <w:rPr>
          <w:rFonts w:ascii="Arial" w:hAnsi="Arial" w:eastAsia="Calibri" w:cs="Arial"/>
          <w:color w:val="000000" w:themeColor="text1"/>
          <w:sz w:val="22"/>
        </w:rPr>
        <w:t xml:space="preserve">es </w:t>
      </w:r>
      <w:r w:rsidRPr="00B83979">
        <w:rPr>
          <w:rFonts w:ascii="Arial" w:hAnsi="Arial" w:eastAsia="Calibri" w:cs="Arial"/>
          <w:i/>
          <w:iCs/>
          <w:color w:val="000000" w:themeColor="text1"/>
          <w:sz w:val="22"/>
        </w:rPr>
        <w:t>discrecional</w:t>
      </w:r>
      <w:r w:rsidRPr="00BD58C9">
        <w:rPr>
          <w:rFonts w:ascii="Arial" w:hAnsi="Arial" w:eastAsia="Calibri" w:cs="Arial"/>
          <w:color w:val="000000" w:themeColor="text1"/>
          <w:sz w:val="22"/>
        </w:rPr>
        <w:t xml:space="preserve">, </w:t>
      </w:r>
      <w:r>
        <w:rPr>
          <w:rFonts w:ascii="Arial" w:hAnsi="Arial" w:eastAsia="Calibri" w:cs="Arial"/>
          <w:color w:val="000000" w:themeColor="text1"/>
          <w:sz w:val="22"/>
        </w:rPr>
        <w:t>independientemente del</w:t>
      </w:r>
      <w:r w:rsidRPr="00BD58C9">
        <w:rPr>
          <w:rFonts w:ascii="Arial" w:hAnsi="Arial" w:eastAsia="Calibri" w:cs="Arial"/>
          <w:color w:val="000000" w:themeColor="text1"/>
          <w:sz w:val="22"/>
        </w:rPr>
        <w:t xml:space="preserve"> «domicilio» de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que solicitaron limitar la convocatoria</w:t>
      </w:r>
      <w:r>
        <w:rPr>
          <w:rFonts w:ascii="Arial" w:hAnsi="Arial" w:eastAsia="Calibri" w:cs="Arial"/>
          <w:color w:val="000000" w:themeColor="text1"/>
          <w:sz w:val="22"/>
        </w:rPr>
        <w:t xml:space="preserve"> –aunque dicha circunstancia podría servir de motivación para la limitación territorial–, </w:t>
      </w:r>
      <w:r w:rsidRPr="00BD58C9">
        <w:rPr>
          <w:rFonts w:ascii="Arial" w:hAnsi="Arial" w:eastAsia="Calibri" w:cs="Arial"/>
          <w:color w:val="000000" w:themeColor="text1"/>
          <w:sz w:val="22"/>
        </w:rPr>
        <w:t>y ha precisado que, de todos modos, la decisión debe estar justificada en los correspondientes «estudios del sector».</w:t>
      </w:r>
      <w:r>
        <w:rPr>
          <w:rFonts w:ascii="Arial" w:hAnsi="Arial" w:eastAsia="Calibri" w:cs="Arial"/>
          <w:color w:val="000000" w:themeColor="text1"/>
          <w:sz w:val="22"/>
        </w:rPr>
        <w:t xml:space="preserve"> Por ello, </w:t>
      </w:r>
      <w:r w:rsidRPr="00BD58C9">
        <w:rPr>
          <w:rFonts w:ascii="Arial" w:hAnsi="Arial" w:eastAsia="Calibri" w:cs="Arial"/>
          <w:color w:val="000000" w:themeColor="text1"/>
          <w:sz w:val="22"/>
        </w:rPr>
        <w:t xml:space="preserve">lo </w:t>
      </w:r>
      <w:r w:rsidRPr="00B83979">
        <w:rPr>
          <w:rFonts w:ascii="Arial" w:hAnsi="Arial" w:eastAsia="Calibri" w:cs="Arial"/>
          <w:i/>
          <w:iCs/>
          <w:color w:val="000000" w:themeColor="text1"/>
          <w:sz w:val="22"/>
        </w:rPr>
        <w:t>recomendable</w:t>
      </w:r>
      <w:r w:rsidRPr="00BD58C9">
        <w:rPr>
          <w:rFonts w:ascii="Arial" w:hAnsi="Arial" w:eastAsia="Calibri" w:cs="Arial"/>
          <w:color w:val="000000" w:themeColor="text1"/>
          <w:sz w:val="22"/>
        </w:rPr>
        <w:t xml:space="preserve"> es que las entidades establezcan </w:t>
      </w:r>
      <w:r w:rsidRPr="00BD58C9">
        <w:rPr>
          <w:rFonts w:ascii="Arial" w:hAnsi="Arial" w:eastAsia="Calibri" w:cs="Arial"/>
          <w:i/>
          <w:iCs/>
          <w:color w:val="000000" w:themeColor="text1"/>
          <w:sz w:val="22"/>
        </w:rPr>
        <w:t xml:space="preserve">ex ante </w:t>
      </w:r>
      <w:r w:rsidRPr="00BD58C9">
        <w:rPr>
          <w:rFonts w:ascii="Arial" w:hAnsi="Arial" w:eastAsia="Calibri" w:cs="Arial"/>
          <w:color w:val="000000" w:themeColor="text1"/>
          <w:sz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como, por ejemplo, </w:t>
      </w:r>
      <w:r>
        <w:rPr>
          <w:rFonts w:ascii="Arial" w:hAnsi="Arial" w:eastAsia="Calibri" w:cs="Arial"/>
          <w:color w:val="000000" w:themeColor="text1"/>
          <w:sz w:val="22"/>
        </w:rPr>
        <w:t>hacer explícito en</w:t>
      </w:r>
      <w:r w:rsidRPr="00BD58C9">
        <w:rPr>
          <w:rFonts w:ascii="Arial" w:hAnsi="Arial" w:eastAsia="Calibri" w:cs="Arial"/>
          <w:color w:val="000000" w:themeColor="text1"/>
          <w:sz w:val="22"/>
        </w:rPr>
        <w:t xml:space="preserve"> cuál o cuáles municipios o departamentos harían la limitación territorial de que trata el artículo 2.2.1.2.4.2.3. del Decreto 1082 de 2015.</w:t>
      </w:r>
    </w:p>
    <w:p w:rsidRPr="00621C87" w:rsidR="00FC1AF6" w:rsidP="0052190F" w:rsidRDefault="002937C8" w14:paraId="2CCDD6B7" w14:textId="62CF1F73">
      <w:pPr>
        <w:spacing w:before="120" w:line="276" w:lineRule="auto"/>
        <w:ind w:firstLine="709"/>
        <w:jc w:val="both"/>
        <w:rPr>
          <w:rFonts w:ascii="Arial" w:hAnsi="Arial" w:eastAsia="Arial" w:cs="Arial"/>
          <w:color w:val="000000"/>
          <w:sz w:val="22"/>
          <w:lang w:val="es-MX"/>
        </w:rPr>
      </w:pPr>
      <w:r>
        <w:rPr>
          <w:rFonts w:ascii="Arial" w:hAnsi="Arial" w:eastAsia="Calibri" w:cs="Arial"/>
          <w:sz w:val="22"/>
          <w:szCs w:val="22"/>
        </w:rPr>
        <w:t xml:space="preserve">En todo caso, </w:t>
      </w:r>
      <w:r w:rsidRPr="00621C87" w:rsidR="00621C87">
        <w:rPr>
          <w:rFonts w:ascii="Arial" w:hAnsi="Arial" w:eastAsia="Arial" w:cs="Arial"/>
          <w:color w:val="000000"/>
          <w:sz w:val="22"/>
          <w:szCs w:val="22"/>
          <w:lang w:val="es-MX" w:eastAsia="en-US"/>
        </w:rPr>
        <w:t xml:space="preserve">la decisión de limitar </w:t>
      </w:r>
      <w:r w:rsidR="008574A0">
        <w:rPr>
          <w:rFonts w:ascii="Arial" w:hAnsi="Arial" w:eastAsia="Arial" w:cs="Arial"/>
          <w:color w:val="000000"/>
          <w:sz w:val="22"/>
          <w:szCs w:val="22"/>
          <w:lang w:val="es-MX" w:eastAsia="en-US"/>
        </w:rPr>
        <w:t xml:space="preserve">procesos de contratación </w:t>
      </w:r>
      <w:r w:rsidRPr="00621C87" w:rsidR="00621C87">
        <w:rPr>
          <w:rFonts w:ascii="Arial" w:hAnsi="Arial" w:eastAsia="Arial" w:cs="Arial"/>
          <w:color w:val="000000"/>
          <w:sz w:val="22"/>
          <w:szCs w:val="22"/>
          <w:lang w:val="es-MX" w:eastAsia="en-US"/>
        </w:rPr>
        <w:t xml:space="preserve">«a Mipyme colombianas que tengan domicilio en los departamentos o municipios en donde se va a </w:t>
      </w:r>
      <w:r w:rsidRPr="00621C87" w:rsidR="00621C87">
        <w:rPr>
          <w:rFonts w:ascii="Arial" w:hAnsi="Arial" w:eastAsia="Arial" w:cs="Arial"/>
          <w:color w:val="000000"/>
          <w:sz w:val="22"/>
          <w:szCs w:val="22"/>
          <w:lang w:val="es-MX" w:eastAsia="en-US"/>
        </w:rPr>
        <w:lastRenderedPageBreak/>
        <w:t xml:space="preserve">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r w:rsidRPr="00621C87" w:rsidR="00621C87">
        <w:rPr>
          <w:rFonts w:ascii="Arial" w:hAnsi="Arial" w:eastAsia="Arial" w:cs="Arial"/>
          <w:i/>
          <w:color w:val="000000"/>
          <w:sz w:val="22"/>
          <w:szCs w:val="22"/>
          <w:lang w:val="es-MX" w:eastAsia="en-US"/>
        </w:rPr>
        <w:t xml:space="preserve">motu propio </w:t>
      </w:r>
      <w:r w:rsidRPr="00621C87" w:rsidR="00621C87">
        <w:rPr>
          <w:rFonts w:ascii="Arial" w:hAnsi="Arial" w:eastAsia="Arial" w:cs="Arial"/>
          <w:color w:val="000000"/>
          <w:sz w:val="22"/>
          <w:szCs w:val="22"/>
          <w:lang w:val="es-MX" w:eastAsia="en-US"/>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rsidRPr="00621C87" w:rsidR="00755BB7" w:rsidP="00FC1AF6" w:rsidRDefault="00755BB7" w14:paraId="545DA063" w14:textId="77777777">
      <w:pPr>
        <w:spacing w:line="276" w:lineRule="auto"/>
        <w:jc w:val="both"/>
        <w:rPr>
          <w:rFonts w:ascii="Arial" w:hAnsi="Arial" w:eastAsia="Calibri" w:cs="Arial"/>
          <w:sz w:val="22"/>
          <w:szCs w:val="22"/>
          <w:lang w:val="es-ES_tradnl"/>
        </w:rPr>
      </w:pPr>
    </w:p>
    <w:p w:rsidRPr="00621C87" w:rsidR="00FC1AF6" w:rsidP="00FC1AF6" w:rsidRDefault="00FC1AF6" w14:paraId="6FB2FB7A" w14:textId="77777777">
      <w:pPr>
        <w:spacing w:after="120" w:line="276" w:lineRule="auto"/>
        <w:jc w:val="both"/>
        <w:rPr>
          <w:rFonts w:ascii="Arial" w:hAnsi="Arial" w:cs="Arial"/>
          <w:sz w:val="22"/>
          <w:szCs w:val="22"/>
          <w:lang w:val="es-ES_tradnl"/>
        </w:rPr>
      </w:pPr>
      <w:r w:rsidRPr="00621C87">
        <w:rPr>
          <w:rFonts w:ascii="Arial" w:hAnsi="Arial" w:cs="Arial"/>
          <w:sz w:val="22"/>
          <w:szCs w:val="22"/>
          <w:lang w:val="es-ES_tradnl"/>
        </w:rPr>
        <w:t>Este concepto tiene el alcance previsto en el artículo 28 del Código de Procedimiento Administrativo y de lo Contencioso Administrativo.</w:t>
      </w:r>
    </w:p>
    <w:p w:rsidRPr="00FC1AF6" w:rsidR="00FC1AF6" w:rsidP="00FC1AF6" w:rsidRDefault="00FC1AF6" w14:paraId="40665EB9" w14:textId="77777777">
      <w:pPr>
        <w:spacing w:line="276" w:lineRule="auto"/>
        <w:rPr>
          <w:rFonts w:ascii="Arial" w:hAnsi="Arial" w:cs="Arial"/>
          <w:sz w:val="22"/>
          <w:szCs w:val="22"/>
          <w:highlight w:val="yellow"/>
          <w:lang w:eastAsia="es-CO"/>
        </w:rPr>
      </w:pPr>
    </w:p>
    <w:p w:rsidRPr="00621C87" w:rsidR="00FC1AF6" w:rsidP="00FC1AF6" w:rsidRDefault="00FC1AF6" w14:paraId="324CAC29" w14:textId="650F2BDD">
      <w:pPr>
        <w:spacing w:line="276" w:lineRule="auto"/>
        <w:rPr>
          <w:rFonts w:ascii="Arial" w:hAnsi="Arial" w:cs="Arial"/>
          <w:sz w:val="22"/>
          <w:szCs w:val="22"/>
        </w:rPr>
      </w:pPr>
      <w:r w:rsidRPr="00621C87">
        <w:rPr>
          <w:rFonts w:ascii="Arial" w:hAnsi="Arial" w:cs="Arial"/>
          <w:sz w:val="22"/>
          <w:szCs w:val="22"/>
          <w:lang w:eastAsia="es-CO"/>
        </w:rPr>
        <w:t>Atentamente,</w:t>
      </w:r>
    </w:p>
    <w:p w:rsidRPr="00AA12BE" w:rsidR="00716040" w:rsidP="630C06B5" w:rsidRDefault="00716040" w14:paraId="78DA9C42" w14:noSpellErr="1" w14:textId="3F70697D">
      <w:pPr>
        <w:pStyle w:val="Normal"/>
        <w:spacing w:after="18"/>
        <w:rPr>
          <w:rFonts w:ascii="Times New Roman" w:hAnsi="Times New Roman" w:eastAsia="Times New Roman" w:cs="Times New Roman"/>
          <w:highlight w:val="yellow"/>
          <w:lang w:eastAsia="es-CO"/>
        </w:rPr>
      </w:pPr>
    </w:p>
    <w:p w:rsidR="630C06B5" w:rsidP="630C06B5" w:rsidRDefault="630C06B5" w14:paraId="29E68AA7" w14:textId="51C6BC9A">
      <w:pPr>
        <w:pStyle w:val="Normal"/>
        <w:jc w:val="center"/>
        <w:rPr>
          <w:rFonts w:ascii="Times New Roman" w:hAnsi="Times New Roman" w:eastAsia="Times New Roman" w:cs="Times New Roman"/>
        </w:rPr>
      </w:pPr>
    </w:p>
    <w:p w:rsidR="630C06B5" w:rsidP="630C06B5" w:rsidRDefault="630C06B5" w14:paraId="67C5354D" w14:textId="246C963A">
      <w:pPr>
        <w:pStyle w:val="Normal"/>
        <w:jc w:val="center"/>
        <w:rPr>
          <w:rFonts w:ascii="Times New Roman" w:hAnsi="Times New Roman" w:eastAsia="Times New Roman" w:cs="Times New Roman"/>
        </w:rPr>
      </w:pPr>
      <w:r w:rsidR="630C06B5">
        <w:drawing>
          <wp:inline wp14:editId="222DA42D" wp14:anchorId="22894DEE">
            <wp:extent cx="2533650" cy="990600"/>
            <wp:effectExtent l="0" t="0" r="0" b="0"/>
            <wp:docPr id="968045507" name="" descr="Texto, Carta&#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ea2369edc23c474b">
                      <a:extLst>
                        <a:ext xmlns:a="http://schemas.openxmlformats.org/drawingml/2006/main" uri="{28A0092B-C50C-407E-A947-70E740481C1C}">
                          <a14:useLocalDpi val="0"/>
                        </a:ext>
                      </a:extLst>
                    </a:blip>
                    <a:stretch>
                      <a:fillRect/>
                    </a:stretch>
                  </pic:blipFill>
                  <pic:spPr>
                    <a:xfrm>
                      <a:off x="0" y="0"/>
                      <a:ext cx="2533650" cy="990600"/>
                    </a:xfrm>
                    <a:prstGeom prst="rect">
                      <a:avLst/>
                    </a:prstGeom>
                  </pic:spPr>
                </pic:pic>
              </a:graphicData>
            </a:graphic>
          </wp:inline>
        </w:drawing>
      </w:r>
    </w:p>
    <w:p w:rsidRPr="00AA12BE" w:rsidR="00716040" w:rsidP="00716040" w:rsidRDefault="00716040" w14:paraId="75A97EF1" w14:textId="77777777">
      <w:pPr>
        <w:spacing w:line="276" w:lineRule="auto"/>
        <w:jc w:val="both"/>
        <w:rPr>
          <w:rFonts w:ascii="Arial" w:hAnsi="Arial" w:cs="Arial"/>
          <w:lang w:val="es-ES_tradnl" w:eastAsia="es-CO"/>
        </w:rPr>
      </w:pPr>
    </w:p>
    <w:tbl>
      <w:tblPr>
        <w:tblStyle w:val="Tablaconcuadrcula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A12BE" w:rsidR="00716040" w:rsidTr="00D1228D" w14:paraId="5296D87B" w14:textId="77777777">
        <w:trPr>
          <w:trHeight w:val="315"/>
        </w:trPr>
        <w:tc>
          <w:tcPr>
            <w:tcW w:w="812" w:type="dxa"/>
            <w:vAlign w:val="center"/>
            <w:hideMark/>
          </w:tcPr>
          <w:p w:rsidRPr="00AA12BE" w:rsidR="00716040" w:rsidP="00D1228D" w:rsidRDefault="00716040" w14:paraId="0277E435" w14:textId="77777777">
            <w:pPr>
              <w:rPr>
                <w:rFonts w:ascii="Arial" w:hAnsi="Arial" w:cs="Arial"/>
                <w:sz w:val="16"/>
                <w:szCs w:val="16"/>
                <w:lang w:val="es-ES_tradnl" w:eastAsia="es-ES"/>
              </w:rPr>
            </w:pPr>
            <w:r w:rsidRPr="00AA12BE">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AA12BE" w:rsidR="00716040" w:rsidP="00D1228D" w:rsidRDefault="00716040" w14:paraId="4C7A7415" w14:textId="77777777">
            <w:pPr>
              <w:rPr>
                <w:rFonts w:ascii="Arial" w:hAnsi="Arial" w:cs="Arial"/>
                <w:sz w:val="16"/>
                <w:szCs w:val="16"/>
                <w:lang w:val="es-ES_tradnl" w:eastAsia="es-ES"/>
              </w:rPr>
            </w:pPr>
            <w:r w:rsidRPr="00AA12BE">
              <w:rPr>
                <w:rFonts w:ascii="Arial" w:hAnsi="Arial" w:cs="Arial"/>
                <w:sz w:val="16"/>
                <w:szCs w:val="16"/>
                <w:lang w:val="es-ES_tradnl" w:eastAsia="es-ES"/>
              </w:rPr>
              <w:t xml:space="preserve">Álvaro </w:t>
            </w:r>
            <w:proofErr w:type="spellStart"/>
            <w:r w:rsidRPr="00AA12BE">
              <w:rPr>
                <w:rFonts w:ascii="Arial" w:hAnsi="Arial" w:cs="Arial"/>
                <w:sz w:val="16"/>
                <w:szCs w:val="16"/>
                <w:lang w:val="es-ES_tradnl" w:eastAsia="es-ES"/>
              </w:rPr>
              <w:t>Namén</w:t>
            </w:r>
            <w:proofErr w:type="spellEnd"/>
            <w:r w:rsidRPr="00AA12BE">
              <w:rPr>
                <w:rFonts w:ascii="Arial" w:hAnsi="Arial" w:cs="Arial"/>
                <w:sz w:val="16"/>
                <w:szCs w:val="16"/>
                <w:lang w:val="es-ES_tradnl" w:eastAsia="es-ES"/>
              </w:rPr>
              <w:t xml:space="preserve"> Vargas </w:t>
            </w:r>
          </w:p>
          <w:p w:rsidRPr="00AA12BE" w:rsidR="00716040" w:rsidP="00D1228D" w:rsidRDefault="00716040" w14:paraId="10C437A1" w14:textId="77777777">
            <w:pPr>
              <w:rPr>
                <w:rFonts w:ascii="Arial" w:hAnsi="Arial" w:cs="Arial"/>
                <w:sz w:val="16"/>
                <w:szCs w:val="16"/>
                <w:lang w:val="es-ES_tradnl" w:eastAsia="es-ES"/>
              </w:rPr>
            </w:pPr>
            <w:r w:rsidRPr="00AA12BE">
              <w:rPr>
                <w:rFonts w:ascii="Arial" w:hAnsi="Arial" w:cs="Arial"/>
                <w:sz w:val="16"/>
                <w:szCs w:val="16"/>
                <w:lang w:val="es-ES_tradnl" w:eastAsia="es-ES"/>
              </w:rPr>
              <w:t>Contratista de la Subdirección de Gestión Contractual</w:t>
            </w:r>
          </w:p>
        </w:tc>
      </w:tr>
      <w:tr w:rsidRPr="00AA12BE" w:rsidR="00716040" w:rsidTr="00D1228D" w14:paraId="06E37F4B" w14:textId="77777777">
        <w:trPr>
          <w:trHeight w:val="330"/>
        </w:trPr>
        <w:tc>
          <w:tcPr>
            <w:tcW w:w="812" w:type="dxa"/>
            <w:vAlign w:val="center"/>
            <w:hideMark/>
          </w:tcPr>
          <w:p w:rsidRPr="00AA12BE" w:rsidR="00716040" w:rsidP="00D1228D" w:rsidRDefault="00716040" w14:paraId="7FFBBAF9" w14:textId="77777777">
            <w:pPr>
              <w:rPr>
                <w:rFonts w:ascii="Arial" w:hAnsi="Arial" w:cs="Arial"/>
                <w:sz w:val="16"/>
                <w:szCs w:val="16"/>
                <w:lang w:val="es-ES_tradnl" w:eastAsia="es-ES"/>
              </w:rPr>
            </w:pPr>
            <w:r w:rsidRPr="00AA12BE">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A06F2" w:rsidR="00716040" w:rsidP="00D1228D" w:rsidRDefault="00415B81" w14:paraId="7740EFEB" w14:textId="34D22A6A">
            <w:r>
              <w:rPr>
                <w:rFonts w:ascii="Arial" w:hAnsi="Arial" w:eastAsia="Arial" w:cs="Arial"/>
                <w:color w:val="000000"/>
                <w:sz w:val="16"/>
                <w:szCs w:val="16"/>
              </w:rPr>
              <w:t>Alejandro Sarmiento Cantillo</w:t>
            </w:r>
          </w:p>
          <w:p w:rsidRPr="00AA12BE" w:rsidR="00716040" w:rsidP="00D1228D" w:rsidRDefault="00415B81" w14:paraId="1141082E" w14:textId="02B71E9A">
            <w:pPr>
              <w:rPr>
                <w:rFonts w:ascii="Arial" w:hAnsi="Arial" w:cs="Arial"/>
                <w:sz w:val="16"/>
                <w:szCs w:val="16"/>
                <w:lang w:val="es-ES_tradnl" w:eastAsia="es-ES"/>
              </w:rPr>
            </w:pPr>
            <w:r>
              <w:rPr>
                <w:rFonts w:ascii="Arial" w:hAnsi="Arial" w:eastAsia="Arial" w:cs="Arial"/>
                <w:color w:val="000000"/>
                <w:sz w:val="16"/>
                <w:szCs w:val="16"/>
              </w:rPr>
              <w:t>Gestor T1-15</w:t>
            </w:r>
            <w:r w:rsidRPr="006A06F2">
              <w:rPr>
                <w:rFonts w:ascii="Arial" w:hAnsi="Arial" w:eastAsia="Arial" w:cs="Arial"/>
                <w:color w:val="000000"/>
                <w:sz w:val="16"/>
                <w:szCs w:val="16"/>
              </w:rPr>
              <w:t xml:space="preserve"> </w:t>
            </w:r>
            <w:r w:rsidRPr="006A06F2" w:rsidR="00716040">
              <w:rPr>
                <w:rFonts w:ascii="Arial" w:hAnsi="Arial" w:eastAsia="Arial" w:cs="Arial"/>
                <w:color w:val="000000"/>
                <w:sz w:val="16"/>
                <w:szCs w:val="16"/>
              </w:rPr>
              <w:t>de la Subdirección de Gestión Contractual</w:t>
            </w:r>
          </w:p>
        </w:tc>
      </w:tr>
      <w:tr w:rsidRPr="000C11A8" w:rsidR="00716040" w:rsidTr="00D1228D" w14:paraId="17192D76" w14:textId="77777777">
        <w:trPr>
          <w:trHeight w:val="300"/>
        </w:trPr>
        <w:tc>
          <w:tcPr>
            <w:tcW w:w="812" w:type="dxa"/>
            <w:vAlign w:val="center"/>
            <w:hideMark/>
          </w:tcPr>
          <w:p w:rsidRPr="00AA12BE" w:rsidR="00716040" w:rsidP="00D1228D" w:rsidRDefault="00716040" w14:paraId="609704A9" w14:textId="77777777">
            <w:pPr>
              <w:rPr>
                <w:rFonts w:ascii="Arial" w:hAnsi="Arial" w:cs="Arial"/>
                <w:sz w:val="16"/>
                <w:szCs w:val="16"/>
                <w:lang w:val="es-ES_tradnl" w:eastAsia="es-ES"/>
              </w:rPr>
            </w:pPr>
            <w:r w:rsidRPr="00AA12BE">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A06F2" w:rsidR="00716040" w:rsidP="00D1228D" w:rsidRDefault="00716040" w14:paraId="1C9AABE0" w14:textId="77777777">
            <w:r>
              <w:rPr>
                <w:rFonts w:ascii="Arial" w:hAnsi="Arial" w:eastAsia="Arial" w:cs="Arial"/>
                <w:color w:val="000000"/>
                <w:sz w:val="16"/>
                <w:szCs w:val="16"/>
              </w:rPr>
              <w:t>Juan David Marín López</w:t>
            </w:r>
          </w:p>
          <w:p w:rsidRPr="000C11A8" w:rsidR="00716040" w:rsidP="00D1228D" w:rsidRDefault="00716040" w14:paraId="74C07A1A" w14:textId="77777777">
            <w:pPr>
              <w:rPr>
                <w:rFonts w:ascii="Arial" w:hAnsi="Arial" w:cs="Arial"/>
                <w:sz w:val="16"/>
                <w:szCs w:val="16"/>
                <w:lang w:val="es-ES_tradnl" w:eastAsia="es-ES"/>
              </w:rPr>
            </w:pPr>
            <w:r w:rsidRPr="006A06F2">
              <w:rPr>
                <w:rFonts w:ascii="Arial" w:hAnsi="Arial" w:eastAsia="Arial" w:cs="Arial"/>
                <w:color w:val="000000"/>
                <w:sz w:val="16"/>
                <w:szCs w:val="16"/>
              </w:rPr>
              <w:t xml:space="preserve">Subdirector de Gestión Contractual </w:t>
            </w:r>
            <w:r>
              <w:rPr>
                <w:rFonts w:ascii="Arial" w:hAnsi="Arial" w:eastAsia="Arial" w:cs="Arial"/>
                <w:color w:val="000000"/>
                <w:sz w:val="16"/>
                <w:szCs w:val="16"/>
              </w:rPr>
              <w:t>(E)</w:t>
            </w:r>
          </w:p>
        </w:tc>
      </w:tr>
    </w:tbl>
    <w:p w:rsidR="00716040" w:rsidP="00716040" w:rsidRDefault="00716040" w14:paraId="3BF1BEA4" w14:textId="77777777">
      <w:pPr>
        <w:rPr>
          <w:rFonts w:ascii="Arial" w:hAnsi="Arial" w:eastAsia="Arial" w:cs="Arial"/>
          <w:b/>
          <w:color w:val="000000"/>
          <w:sz w:val="20"/>
          <w:szCs w:val="20"/>
        </w:rPr>
      </w:pPr>
    </w:p>
    <w:p w:rsidR="00597543" w:rsidP="00716040" w:rsidRDefault="00000000" w14:paraId="15C3CF80" w14:textId="77777777">
      <w:pPr>
        <w:spacing w:after="18"/>
        <w:jc w:val="center"/>
      </w:pPr>
    </w:p>
    <w:sectPr w:rsidR="00597543">
      <w:headerReference w:type="default" r:id="rId10"/>
      <w:foot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555A" w:rsidP="00FC1AF6" w:rsidRDefault="0093555A" w14:paraId="2FFD4335" w14:textId="77777777">
      <w:r>
        <w:separator/>
      </w:r>
    </w:p>
  </w:endnote>
  <w:endnote w:type="continuationSeparator" w:id="0">
    <w:p w:rsidR="0093555A" w:rsidP="00FC1AF6" w:rsidRDefault="0093555A" w14:paraId="298A44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6E78EB" w:rsidP="006E78EB" w:rsidRDefault="006E78EB" w14:paraId="76C866C9"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13</w:t>
    </w:r>
    <w:r w:rsidRPr="00084B97">
      <w:rPr>
        <w:rFonts w:ascii="Arial" w:hAnsi="Arial" w:cs="Arial"/>
        <w:b/>
        <w:bCs/>
        <w:color w:val="7F7F7F" w:themeColor="text1" w:themeTint="80"/>
        <w:sz w:val="16"/>
        <w:szCs w:val="16"/>
      </w:rPr>
      <w:fldChar w:fldCharType="end"/>
    </w:r>
  </w:p>
  <w:p w:rsidR="006E78EB" w:rsidP="006E78EB" w:rsidRDefault="006E78EB" w14:paraId="011C243C" w14:textId="77777777">
    <w:pPr>
      <w:pStyle w:val="Piedepgina"/>
      <w:jc w:val="center"/>
      <w:rPr>
        <w:lang w:val="es-ES"/>
      </w:rPr>
    </w:pPr>
    <w:r>
      <w:rPr>
        <w:noProof/>
      </w:rPr>
      <w:drawing>
        <wp:inline distT="0" distB="0" distL="0" distR="0" wp14:anchorId="2FA6C4F9" wp14:editId="2BDF609F">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6E78EB" w:rsidRDefault="006E78EB" w14:paraId="363F416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555A" w:rsidP="00FC1AF6" w:rsidRDefault="0093555A" w14:paraId="277898ED" w14:textId="77777777">
      <w:r>
        <w:separator/>
      </w:r>
    </w:p>
  </w:footnote>
  <w:footnote w:type="continuationSeparator" w:id="0">
    <w:p w:rsidR="0093555A" w:rsidP="00FC1AF6" w:rsidRDefault="0093555A" w14:paraId="1721ADBE" w14:textId="77777777">
      <w:r>
        <w:continuationSeparator/>
      </w:r>
    </w:p>
  </w:footnote>
  <w:footnote w:id="1">
    <w:p w:rsidRPr="0052190F" w:rsidR="008F34E0" w:rsidP="008F34E0" w:rsidRDefault="008F34E0" w14:paraId="2334028D" w14:textId="77777777">
      <w:pPr>
        <w:pStyle w:val="Textonotapie"/>
        <w:ind w:firstLine="708"/>
        <w:jc w:val="both"/>
        <w:rPr>
          <w:rFonts w:ascii="Arial" w:hAnsi="Arial" w:cs="Arial"/>
          <w:sz w:val="18"/>
          <w:szCs w:val="18"/>
        </w:rPr>
      </w:pPr>
    </w:p>
    <w:p w:rsidRPr="0052190F" w:rsidR="008F34E0" w:rsidP="008F34E0" w:rsidRDefault="008F34E0" w14:paraId="1D52AAB9" w14:textId="77777777">
      <w:pPr>
        <w:pStyle w:val="Textonotapie"/>
        <w:ind w:firstLine="708"/>
        <w:jc w:val="both"/>
        <w:rPr>
          <w:rFonts w:ascii="Arial" w:hAnsi="Arial" w:cs="Arial"/>
          <w:sz w:val="18"/>
          <w:szCs w:val="18"/>
        </w:rPr>
      </w:pPr>
      <w:r w:rsidRPr="0052190F">
        <w:rPr>
          <w:rStyle w:val="Refdenotaalpie"/>
          <w:rFonts w:ascii="Arial" w:hAnsi="Arial" w:cs="Arial"/>
          <w:sz w:val="18"/>
          <w:szCs w:val="18"/>
        </w:rPr>
        <w:footnoteRef/>
      </w:r>
      <w:r w:rsidRPr="0052190F">
        <w:rPr>
          <w:rFonts w:ascii="Arial" w:hAnsi="Arial" w:cs="Arial"/>
          <w:sz w:val="18"/>
          <w:szCs w:val="18"/>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rsidRPr="0052190F" w:rsidR="008F34E0" w:rsidP="008F34E0" w:rsidRDefault="008F34E0" w14:paraId="076C4A56" w14:textId="77777777">
      <w:pPr>
        <w:pStyle w:val="Textonotapie"/>
        <w:ind w:firstLine="708"/>
        <w:jc w:val="both"/>
        <w:rPr>
          <w:rFonts w:ascii="Arial" w:hAnsi="Arial" w:cs="Arial"/>
          <w:sz w:val="18"/>
          <w:szCs w:val="18"/>
        </w:rPr>
      </w:pPr>
    </w:p>
  </w:footnote>
  <w:footnote w:id="2">
    <w:p w:rsidRPr="003D5B15" w:rsidR="00FC1AF6" w:rsidP="00391876" w:rsidRDefault="00FC1AF6" w14:paraId="6391E95A" w14:textId="77777777">
      <w:pPr>
        <w:ind w:firstLine="709"/>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w:t>
      </w:r>
      <w:r w:rsidRPr="003D5B15">
        <w:rPr>
          <w:rFonts w:ascii="Arial" w:hAnsi="Arial" w:cs="Arial"/>
          <w:sz w:val="18"/>
          <w:szCs w:val="18"/>
          <w:lang w:val="es-ES"/>
        </w:rPr>
        <w:t>En efecto, el artículo 34 de la Ley 2069 de 2020 establece: «</w:t>
      </w:r>
      <w:r w:rsidRPr="003D5B15">
        <w:rPr>
          <w:rFonts w:ascii="Arial" w:hAnsi="Arial" w:cs="Arial"/>
          <w:sz w:val="18"/>
          <w:szCs w:val="18"/>
        </w:rPr>
        <w:t xml:space="preserve">Modifíquese el artículo 12 de la Ley 1150 de 2007, el cual quedará así: </w:t>
      </w:r>
    </w:p>
    <w:p w:rsidRPr="003D5B15" w:rsidR="00FC1AF6" w:rsidP="00391876" w:rsidRDefault="00FC1AF6" w14:paraId="6FB21588" w14:textId="77777777">
      <w:pPr>
        <w:ind w:firstLine="709"/>
        <w:jc w:val="both"/>
        <w:rPr>
          <w:rFonts w:ascii="Arial" w:hAnsi="Arial" w:eastAsia="Calibri" w:cs="Arial"/>
          <w:color w:val="000000" w:themeColor="text1"/>
          <w:sz w:val="18"/>
          <w:szCs w:val="18"/>
          <w:lang w:val="es-ES_tradnl"/>
        </w:rPr>
      </w:pPr>
      <w:r w:rsidRPr="003D5B15">
        <w:rPr>
          <w:rFonts w:ascii="Arial" w:hAnsi="Arial" w:eastAsia="Calibri" w:cs="Arial"/>
          <w:color w:val="000000" w:themeColor="text1"/>
          <w:sz w:val="18"/>
          <w:szCs w:val="18"/>
        </w:rPr>
        <w:t>»</w:t>
      </w:r>
      <w:r w:rsidRPr="003D5B15">
        <w:rPr>
          <w:rFonts w:ascii="Arial" w:hAnsi="Arial" w:eastAsia="Calibri" w:cs="Arial"/>
          <w:color w:val="000000" w:themeColor="text1"/>
          <w:sz w:val="18"/>
          <w:szCs w:val="18"/>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3D5B15">
        <w:rPr>
          <w:rFonts w:ascii="Arial" w:hAnsi="Arial" w:eastAsia="Calibri" w:cs="Arial"/>
          <w:color w:val="000000" w:themeColor="text1"/>
          <w:sz w:val="18"/>
          <w:szCs w:val="18"/>
          <w:lang w:val="es-ES_tradnl"/>
        </w:rPr>
        <w:t>Mipyme</w:t>
      </w:r>
      <w:proofErr w:type="spellEnd"/>
      <w:r w:rsidRPr="003D5B15">
        <w:rPr>
          <w:rFonts w:ascii="Arial" w:hAnsi="Arial" w:eastAsia="Calibri" w:cs="Arial"/>
          <w:color w:val="000000" w:themeColor="text1"/>
          <w:sz w:val="18"/>
          <w:szCs w:val="18"/>
          <w:lang w:val="es-ES_tradnl"/>
        </w:rPr>
        <w:t xml:space="preserve">, convocatorias limitadas a estas en las que, previo a la Resolución de apertura del proceso respectivo, se haya manifestado el interés de por lo menos dos (2) </w:t>
      </w:r>
      <w:proofErr w:type="spellStart"/>
      <w:r w:rsidRPr="003D5B15">
        <w:rPr>
          <w:rFonts w:ascii="Arial" w:hAnsi="Arial" w:eastAsia="Calibri" w:cs="Arial"/>
          <w:color w:val="000000" w:themeColor="text1"/>
          <w:sz w:val="18"/>
          <w:szCs w:val="18"/>
          <w:lang w:val="es-ES_tradnl"/>
        </w:rPr>
        <w:t>Mipyme</w:t>
      </w:r>
      <w:proofErr w:type="spellEnd"/>
      <w:r w:rsidRPr="003D5B15">
        <w:rPr>
          <w:rFonts w:ascii="Arial" w:hAnsi="Arial" w:eastAsia="Calibri" w:cs="Arial"/>
          <w:color w:val="000000" w:themeColor="text1"/>
          <w:sz w:val="18"/>
          <w:szCs w:val="18"/>
          <w:lang w:val="es-ES_tradnl"/>
        </w:rPr>
        <w:t>.</w:t>
      </w:r>
    </w:p>
    <w:p w:rsidRPr="003D5B15" w:rsidR="00FC1AF6" w:rsidP="00391876" w:rsidRDefault="00FC1AF6" w14:paraId="1DF0FB91" w14:textId="77777777">
      <w:pPr>
        <w:ind w:firstLine="709"/>
        <w:jc w:val="both"/>
        <w:rPr>
          <w:rFonts w:ascii="Arial" w:hAnsi="Arial" w:eastAsia="Calibri" w:cs="Arial"/>
          <w:color w:val="000000" w:themeColor="text1"/>
          <w:sz w:val="18"/>
          <w:szCs w:val="18"/>
          <w:lang w:val="es-ES_tradnl"/>
        </w:rPr>
      </w:pPr>
      <w:proofErr w:type="gramStart"/>
      <w:r w:rsidRPr="003D5B15">
        <w:rPr>
          <w:rFonts w:ascii="Arial" w:hAnsi="Arial" w:eastAsia="Calibri" w:cs="Arial"/>
          <w:color w:val="000000" w:themeColor="text1"/>
          <w:sz w:val="18"/>
          <w:szCs w:val="18"/>
          <w:lang w:val="es-ES_tradnl"/>
        </w:rPr>
        <w:t>»Asimismo</w:t>
      </w:r>
      <w:proofErr w:type="gramEnd"/>
      <w:r w:rsidRPr="003D5B15">
        <w:rPr>
          <w:rFonts w:ascii="Arial" w:hAnsi="Arial" w:eastAsia="Calibri" w:cs="Arial"/>
          <w:color w:val="000000" w:themeColor="text1"/>
          <w:sz w:val="18"/>
          <w:szCs w:val="18"/>
          <w:lang w:val="es-ES_tradnl"/>
        </w:rPr>
        <w:t xml:space="preserve">, el reglamento podrá establecer condiciones preferenciales a favor de la oferta de bienes y servicios producidos por las </w:t>
      </w:r>
      <w:proofErr w:type="spellStart"/>
      <w:r w:rsidRPr="003D5B15">
        <w:rPr>
          <w:rFonts w:ascii="Arial" w:hAnsi="Arial" w:eastAsia="Calibri" w:cs="Arial"/>
          <w:color w:val="000000" w:themeColor="text1"/>
          <w:sz w:val="18"/>
          <w:szCs w:val="18"/>
          <w:lang w:val="es-ES_tradnl"/>
        </w:rPr>
        <w:t>Mipyme</w:t>
      </w:r>
      <w:proofErr w:type="spellEnd"/>
      <w:r w:rsidRPr="003D5B15">
        <w:rPr>
          <w:rFonts w:ascii="Arial" w:hAnsi="Arial" w:eastAsia="Calibri" w:cs="Arial"/>
          <w:color w:val="000000" w:themeColor="text1"/>
          <w:sz w:val="18"/>
          <w:szCs w:val="18"/>
          <w:lang w:val="es-ES_tradnl"/>
        </w:rPr>
        <w:t xml:space="preserve"> respetando los montos y las condiciones contenidas en los compromisos internacionales vigentes, cuando sean aplicables.</w:t>
      </w:r>
    </w:p>
    <w:p w:rsidRPr="003D5B15" w:rsidR="00FC1AF6" w:rsidP="00391876" w:rsidRDefault="00FC1AF6" w14:paraId="40EFB893" w14:textId="77777777">
      <w:pPr>
        <w:ind w:firstLine="709"/>
        <w:jc w:val="both"/>
        <w:rPr>
          <w:rFonts w:ascii="Arial" w:hAnsi="Arial" w:eastAsia="Calibri" w:cs="Arial"/>
          <w:color w:val="000000" w:themeColor="text1"/>
          <w:sz w:val="18"/>
          <w:szCs w:val="18"/>
          <w:lang w:val="es-ES_tradnl"/>
        </w:rPr>
      </w:pPr>
      <w:proofErr w:type="gramStart"/>
      <w:r w:rsidRPr="003D5B15">
        <w:rPr>
          <w:rFonts w:ascii="Arial" w:hAnsi="Arial" w:eastAsia="Calibri" w:cs="Arial"/>
          <w:color w:val="000000" w:themeColor="text1"/>
          <w:sz w:val="18"/>
          <w:szCs w:val="18"/>
          <w:lang w:val="es-ES_tradnl"/>
        </w:rPr>
        <w:t>»En</w:t>
      </w:r>
      <w:proofErr w:type="gramEnd"/>
      <w:r w:rsidRPr="003D5B15">
        <w:rPr>
          <w:rFonts w:ascii="Arial" w:hAnsi="Arial" w:eastAsia="Calibri" w:cs="Arial"/>
          <w:color w:val="000000" w:themeColor="text1"/>
          <w:sz w:val="18"/>
          <w:szCs w:val="18"/>
          <w:lang w:val="es-ES_tradnl"/>
        </w:rPr>
        <w:t xml:space="preserve"> todo caso, se deberá garantizar la satisfacción de las condiciones técnicas y económicas requeridas en el Proceso de Contratación.</w:t>
      </w:r>
    </w:p>
    <w:p w:rsidRPr="003D5B15" w:rsidR="00FC1AF6" w:rsidP="00391876" w:rsidRDefault="00FC1AF6" w14:paraId="4788C382" w14:textId="77777777">
      <w:pPr>
        <w:ind w:firstLine="709"/>
        <w:jc w:val="both"/>
        <w:rPr>
          <w:rFonts w:ascii="Arial" w:hAnsi="Arial" w:eastAsia="Calibri" w:cs="Arial"/>
          <w:color w:val="000000" w:themeColor="text1"/>
          <w:sz w:val="18"/>
          <w:szCs w:val="18"/>
          <w:lang w:val="es-ES_tradnl"/>
        </w:rPr>
      </w:pPr>
      <w:proofErr w:type="gramStart"/>
      <w:r w:rsidRPr="003D5B15">
        <w:rPr>
          <w:rFonts w:ascii="Arial" w:hAnsi="Arial" w:eastAsia="Calibri" w:cs="Arial"/>
          <w:color w:val="000000" w:themeColor="text1"/>
          <w:sz w:val="18"/>
          <w:szCs w:val="18"/>
          <w:lang w:val="es-ES_tradnl"/>
        </w:rPr>
        <w:t>»De</w:t>
      </w:r>
      <w:proofErr w:type="gramEnd"/>
      <w:r w:rsidRPr="003D5B15">
        <w:rPr>
          <w:rFonts w:ascii="Arial" w:hAnsi="Arial" w:eastAsia="Calibri" w:cs="Arial"/>
          <w:color w:val="000000" w:themeColor="text1"/>
          <w:sz w:val="18"/>
          <w:szCs w:val="18"/>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rsidRPr="003D5B15" w:rsidR="00FC1AF6" w:rsidP="00391876" w:rsidRDefault="00FC1AF6" w14:paraId="64C11F7A" w14:textId="77777777">
      <w:pPr>
        <w:ind w:firstLine="709"/>
        <w:jc w:val="both"/>
        <w:rPr>
          <w:rFonts w:ascii="Arial" w:hAnsi="Arial" w:eastAsia="Calibri" w:cs="Arial"/>
          <w:color w:val="000000" w:themeColor="text1"/>
          <w:sz w:val="18"/>
          <w:szCs w:val="18"/>
          <w:lang w:val="es-ES_tradnl"/>
        </w:rPr>
      </w:pPr>
      <w:proofErr w:type="gramStart"/>
      <w:r w:rsidRPr="003D5B15">
        <w:rPr>
          <w:rFonts w:ascii="Arial" w:hAnsi="Arial" w:eastAsia="Calibri" w:cs="Arial"/>
          <w:color w:val="000000" w:themeColor="text1"/>
          <w:sz w:val="18"/>
          <w:szCs w:val="18"/>
          <w:lang w:val="es-ES_tradnl"/>
        </w:rPr>
        <w:t>»Parágrafo</w:t>
      </w:r>
      <w:proofErr w:type="gramEnd"/>
      <w:r w:rsidRPr="003D5B15">
        <w:rPr>
          <w:rFonts w:ascii="Arial" w:hAnsi="Arial" w:eastAsia="Calibri" w:cs="Arial"/>
          <w:color w:val="000000" w:themeColor="text1"/>
          <w:sz w:val="18"/>
          <w:szCs w:val="18"/>
          <w:lang w:val="es-ES_tradnl"/>
        </w:rPr>
        <w:t xml:space="preserve"> Primero. En los Procesos de Contratación que se desarrollen con base en el primer inciso, las entidades podrán realizar las convocatorias limitadas que beneficien a las </w:t>
      </w:r>
      <w:proofErr w:type="spellStart"/>
      <w:r w:rsidRPr="003D5B15">
        <w:rPr>
          <w:rFonts w:ascii="Arial" w:hAnsi="Arial" w:eastAsia="Calibri" w:cs="Arial"/>
          <w:color w:val="000000" w:themeColor="text1"/>
          <w:sz w:val="18"/>
          <w:szCs w:val="18"/>
          <w:lang w:val="es-ES_tradnl"/>
        </w:rPr>
        <w:t>Mipyme</w:t>
      </w:r>
      <w:proofErr w:type="spellEnd"/>
      <w:r w:rsidRPr="003D5B15">
        <w:rPr>
          <w:rFonts w:ascii="Arial" w:hAnsi="Arial" w:eastAsia="Calibri" w:cs="Arial"/>
          <w:color w:val="000000" w:themeColor="text1"/>
          <w:sz w:val="18"/>
          <w:szCs w:val="18"/>
          <w:lang w:val="es-ES_tradnl"/>
        </w:rPr>
        <w:t xml:space="preserve"> del ámbito municipal o departamental correspondiente al de la ejecución del contrato.</w:t>
      </w:r>
    </w:p>
    <w:p w:rsidRPr="003D5B15" w:rsidR="00FC1AF6" w:rsidP="00391876" w:rsidRDefault="00FC1AF6" w14:paraId="5FE16F93" w14:textId="77777777">
      <w:pPr>
        <w:ind w:firstLine="709"/>
        <w:jc w:val="both"/>
        <w:rPr>
          <w:rFonts w:ascii="Arial" w:hAnsi="Arial" w:eastAsia="Calibri" w:cs="Arial"/>
          <w:color w:val="000000" w:themeColor="text1"/>
          <w:sz w:val="18"/>
          <w:szCs w:val="18"/>
          <w:lang w:val="es-ES_tradnl"/>
        </w:rPr>
      </w:pPr>
      <w:proofErr w:type="gramStart"/>
      <w:r w:rsidRPr="003D5B15">
        <w:rPr>
          <w:rFonts w:ascii="Arial" w:hAnsi="Arial" w:eastAsia="Calibri" w:cs="Arial"/>
          <w:color w:val="000000" w:themeColor="text1"/>
          <w:sz w:val="18"/>
          <w:szCs w:val="18"/>
          <w:lang w:val="es-ES_tradnl"/>
        </w:rPr>
        <w:t>»Parágrafo</w:t>
      </w:r>
      <w:proofErr w:type="gramEnd"/>
      <w:r w:rsidRPr="003D5B15">
        <w:rPr>
          <w:rFonts w:ascii="Arial" w:hAnsi="Arial" w:eastAsia="Calibri" w:cs="Arial"/>
          <w:color w:val="000000" w:themeColor="text1"/>
          <w:sz w:val="18"/>
          <w:szCs w:val="18"/>
          <w:lang w:val="es-ES_tradnl"/>
        </w:rPr>
        <w:t xml:space="preserve"> Segundo. Sin perjuicio de lo dispuesto en los artículos 5 y 6 de la Ley 1150 de 2007, para que las </w:t>
      </w:r>
      <w:proofErr w:type="spellStart"/>
      <w:r w:rsidRPr="003D5B15">
        <w:rPr>
          <w:rFonts w:ascii="Arial" w:hAnsi="Arial" w:eastAsia="Calibri" w:cs="Arial"/>
          <w:color w:val="000000" w:themeColor="text1"/>
          <w:sz w:val="18"/>
          <w:szCs w:val="18"/>
          <w:lang w:val="es-ES_tradnl"/>
        </w:rPr>
        <w:t>Mipymes</w:t>
      </w:r>
      <w:proofErr w:type="spellEnd"/>
      <w:r w:rsidRPr="003D5B15">
        <w:rPr>
          <w:rFonts w:ascii="Arial" w:hAnsi="Arial" w:eastAsia="Calibri" w:cs="Arial"/>
          <w:color w:val="000000" w:themeColor="text1"/>
          <w:sz w:val="18"/>
          <w:szCs w:val="18"/>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rsidRPr="003D5B15" w:rsidR="00FC1AF6" w:rsidP="00391876" w:rsidRDefault="00FC1AF6" w14:paraId="66823597" w14:textId="77777777">
      <w:pPr>
        <w:ind w:firstLine="709"/>
        <w:jc w:val="both"/>
        <w:rPr>
          <w:rFonts w:ascii="Arial" w:hAnsi="Arial" w:eastAsia="Calibri" w:cs="Arial"/>
          <w:color w:val="000000" w:themeColor="text1"/>
          <w:sz w:val="18"/>
          <w:szCs w:val="18"/>
          <w:lang w:val="es-ES_tradnl"/>
        </w:rPr>
      </w:pPr>
      <w:proofErr w:type="gramStart"/>
      <w:r w:rsidRPr="003D5B15">
        <w:rPr>
          <w:rFonts w:ascii="Arial" w:hAnsi="Arial" w:eastAsia="Calibri" w:cs="Arial"/>
          <w:color w:val="000000" w:themeColor="text1"/>
          <w:sz w:val="18"/>
          <w:szCs w:val="18"/>
          <w:lang w:val="es-ES_tradnl"/>
        </w:rPr>
        <w:t>»Parágrafo</w:t>
      </w:r>
      <w:proofErr w:type="gramEnd"/>
      <w:r w:rsidRPr="003D5B15">
        <w:rPr>
          <w:rFonts w:ascii="Arial" w:hAnsi="Arial" w:eastAsia="Calibri" w:cs="Arial"/>
          <w:color w:val="000000" w:themeColor="text1"/>
          <w:sz w:val="18"/>
          <w:szCs w:val="18"/>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rsidRPr="003D5B15" w:rsidR="00FC1AF6" w:rsidP="00391876" w:rsidRDefault="00FC1AF6" w14:paraId="2C4EBDDE" w14:textId="77777777">
      <w:pPr>
        <w:pStyle w:val="Textonotapie"/>
        <w:ind w:firstLine="709"/>
        <w:jc w:val="both"/>
        <w:rPr>
          <w:rFonts w:ascii="Arial" w:hAnsi="Arial" w:cs="Arial"/>
          <w:sz w:val="18"/>
          <w:szCs w:val="18"/>
          <w:lang w:val="es-ES_tradnl"/>
        </w:rPr>
      </w:pPr>
    </w:p>
  </w:footnote>
  <w:footnote w:id="3">
    <w:p w:rsidRPr="003D5B15" w:rsidR="00EA007D" w:rsidP="003D5B15" w:rsidRDefault="00EA007D" w14:paraId="33BB547F" w14:textId="77777777">
      <w:pPr>
        <w:pStyle w:val="Textonotapie"/>
        <w:ind w:firstLine="708"/>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Artículo 2.2.1.2.4.2.2. Convocatorías Iímítadas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rsidRPr="003D5B15" w:rsidR="00EA007D" w:rsidP="003D5B15" w:rsidRDefault="00EA007D" w14:paraId="513AC646" w14:textId="56A0D795">
      <w:pPr>
        <w:pStyle w:val="Textonotapie"/>
        <w:ind w:firstLine="708"/>
        <w:jc w:val="both"/>
        <w:rPr>
          <w:rFonts w:ascii="Arial" w:hAnsi="Arial" w:cs="Arial"/>
          <w:sz w:val="18"/>
          <w:szCs w:val="18"/>
        </w:rPr>
      </w:pPr>
      <w:r w:rsidRPr="003D5B15">
        <w:rPr>
          <w:rFonts w:ascii="Arial" w:hAnsi="Arial" w:cs="Arial"/>
          <w:sz w:val="18"/>
          <w:szCs w:val="18"/>
        </w:rPr>
        <w:t>»1. El valor del Proceso de Contratación sea menor a ciento veinticinco mil dólares de los Estados Unidos de América (US$125.000), liquidados con la tasa de cambio que para el efecto determina cada dos años el Ministerio de Comercio, Industria y Turismo.</w:t>
      </w:r>
    </w:p>
    <w:p w:rsidRPr="003D5B15" w:rsidR="00EA007D" w:rsidP="003D5B15" w:rsidRDefault="00EA007D" w14:paraId="12E4B28C" w14:textId="191818C3">
      <w:pPr>
        <w:pStyle w:val="Textonotapie"/>
        <w:jc w:val="both"/>
        <w:rPr>
          <w:rFonts w:ascii="Arial" w:hAnsi="Arial" w:cs="Arial"/>
          <w:sz w:val="18"/>
          <w:szCs w:val="18"/>
        </w:rPr>
      </w:pPr>
      <w:r w:rsidRPr="003D5B15">
        <w:rPr>
          <w:rFonts w:ascii="Arial" w:hAnsi="Arial" w:cs="Arial"/>
          <w:sz w:val="18"/>
          <w:szCs w:val="18"/>
        </w:rPr>
        <w:tab/>
      </w:r>
      <w:r w:rsidRPr="003D5B15">
        <w:rPr>
          <w:rFonts w:ascii="Arial" w:hAnsi="Arial" w:cs="Arial"/>
          <w:sz w:val="18"/>
          <w:szCs w:val="18"/>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rsidRPr="003D5B15" w:rsidR="00EA007D" w:rsidP="003D5B15" w:rsidRDefault="00EA007D" w14:paraId="39A7F0DB" w14:textId="79025B19">
      <w:pPr>
        <w:pStyle w:val="Textonotapie"/>
        <w:ind w:firstLine="708"/>
        <w:jc w:val="both"/>
        <w:rPr>
          <w:rFonts w:ascii="Arial" w:hAnsi="Arial" w:cs="Arial"/>
          <w:sz w:val="18"/>
          <w:szCs w:val="18"/>
        </w:rPr>
      </w:pPr>
      <w:r w:rsidRPr="003D5B15">
        <w:rPr>
          <w:rFonts w:ascii="Arial" w:hAnsi="Arial" w:cs="Arial"/>
          <w:sz w:val="18"/>
          <w:szCs w:val="18"/>
        </w:rPr>
        <w:t>»Tratándose de personas jurídicas, las solicitudes solo las podrán realizar Mipyme, cuyo objeto social les permita ejecutar el contrato relacionado con el proceso contractual.</w:t>
      </w:r>
    </w:p>
    <w:p w:rsidRPr="003D5B15" w:rsidR="00EA007D" w:rsidP="003D5B15" w:rsidRDefault="00EA007D" w14:paraId="52A68194" w14:textId="4E4A3CB4">
      <w:pPr>
        <w:pStyle w:val="Textonotapie"/>
        <w:ind w:firstLine="708"/>
        <w:jc w:val="both"/>
        <w:rPr>
          <w:rFonts w:ascii="Arial" w:hAnsi="Arial" w:cs="Arial"/>
          <w:sz w:val="18"/>
          <w:szCs w:val="18"/>
        </w:rPr>
      </w:pPr>
      <w:r w:rsidRPr="003D5B15">
        <w:rPr>
          <w:rFonts w:ascii="Arial" w:hAnsi="Arial" w:cs="Arial"/>
          <w:sz w:val="18"/>
          <w:szCs w:val="18"/>
        </w:rPr>
        <w:t>»Parágrafo. Las cooperativas y demás entidades de economía solidaria, siempre que tengan la calidad de Mipyme, podrán solicitar y participar en las convocatorias limitadas en las mismas condiciones dispuestas en el presente artículo».</w:t>
      </w:r>
    </w:p>
  </w:footnote>
  <w:footnote w:id="4">
    <w:p w:rsidRPr="003D5B15" w:rsidR="00391876" w:rsidP="003D5B15" w:rsidRDefault="00391876" w14:paraId="4B2896AB" w14:textId="77777777">
      <w:pPr>
        <w:pStyle w:val="Textonotapie"/>
        <w:ind w:firstLine="708"/>
        <w:jc w:val="both"/>
        <w:rPr>
          <w:rFonts w:ascii="Arial" w:hAnsi="Arial" w:cs="Arial"/>
          <w:sz w:val="18"/>
          <w:szCs w:val="18"/>
        </w:rPr>
      </w:pPr>
    </w:p>
    <w:p w:rsidRPr="003D5B15" w:rsidR="00391876" w:rsidP="003D5B15" w:rsidRDefault="00391876" w14:paraId="0A9A2B36" w14:textId="7522495E">
      <w:pPr>
        <w:pStyle w:val="Textonotapie"/>
        <w:ind w:firstLine="708"/>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p w:rsidRPr="003D5B15" w:rsidR="00391876" w:rsidP="003D5B15" w:rsidRDefault="00391876" w14:paraId="66FD0442" w14:textId="1E4AF74A">
      <w:pPr>
        <w:pStyle w:val="Textonotapie"/>
        <w:ind w:firstLine="708"/>
        <w:jc w:val="both"/>
        <w:rPr>
          <w:rFonts w:ascii="Arial" w:hAnsi="Arial" w:cs="Arial"/>
          <w:sz w:val="18"/>
          <w:szCs w:val="18"/>
        </w:rPr>
      </w:pPr>
    </w:p>
  </w:footnote>
  <w:footnote w:id="5">
    <w:p w:rsidRPr="003D5B15" w:rsidR="00391876" w:rsidP="003D5B15" w:rsidRDefault="00391876" w14:paraId="6C2749B2" w14:textId="22ECE049">
      <w:pPr>
        <w:pStyle w:val="Textonotapie"/>
        <w:ind w:firstLine="708"/>
        <w:jc w:val="both"/>
        <w:rPr>
          <w:rFonts w:ascii="Arial" w:hAnsi="Arial" w:cs="Arial"/>
          <w:sz w:val="18"/>
          <w:szCs w:val="18"/>
        </w:rPr>
      </w:pPr>
      <w:r w:rsidRPr="003D5B15">
        <w:rPr>
          <w:rStyle w:val="Refdenotaalpie"/>
          <w:rFonts w:ascii="Arial" w:hAnsi="Arial" w:cs="Arial"/>
          <w:sz w:val="18"/>
          <w:szCs w:val="18"/>
        </w:rPr>
        <w:footnoteRef/>
      </w:r>
      <w:r w:rsidRPr="003D5B15">
        <w:rPr>
          <w:rFonts w:ascii="Arial" w:hAnsi="Arial" w:cs="Arial"/>
          <w:sz w:val="18"/>
          <w:szCs w:val="18"/>
        </w:rPr>
        <w:t xml:space="preserve"> «Artículo 2.2.1.2.4.2.4. Acreditación de requisitos para participar en convocatorias limitadas. La Mipyme colombianas deben acreditar que tiene el tamaño empresarial establecido por la ley de la siguiente manera:</w:t>
      </w:r>
    </w:p>
    <w:p w:rsidRPr="003D5B15" w:rsidR="00391876" w:rsidP="003D5B15" w:rsidRDefault="00391876" w14:paraId="4362B8F2" w14:textId="53450F9D">
      <w:pPr>
        <w:pStyle w:val="Textonotapie"/>
        <w:ind w:firstLine="708"/>
        <w:jc w:val="both"/>
        <w:rPr>
          <w:rFonts w:ascii="Arial" w:hAnsi="Arial" w:cs="Arial"/>
          <w:sz w:val="18"/>
          <w:szCs w:val="18"/>
        </w:rPr>
      </w:pPr>
      <w:r w:rsidRPr="003D5B15">
        <w:rPr>
          <w:rFonts w:ascii="Arial" w:hAnsi="Arial" w:cs="Arial"/>
          <w:sz w:val="18"/>
          <w:szCs w:val="18"/>
        </w:rPr>
        <w:t>»1. Las personas naturales mediante certificación expedida por ellos y un contador público, adjuntando copia del registro mercantil.</w:t>
      </w:r>
    </w:p>
    <w:p w:rsidRPr="003D5B15" w:rsidR="00391876" w:rsidP="003D5B15" w:rsidRDefault="00391876" w14:paraId="5D70B3E9" w14:textId="071D0FCF">
      <w:pPr>
        <w:pStyle w:val="Textonotapie"/>
        <w:ind w:firstLine="708"/>
        <w:jc w:val="both"/>
        <w:rPr>
          <w:rFonts w:ascii="Arial" w:hAnsi="Arial" w:cs="Arial"/>
          <w:sz w:val="18"/>
          <w:szCs w:val="18"/>
        </w:rPr>
      </w:pPr>
      <w:r w:rsidRPr="003D5B15">
        <w:rPr>
          <w:rFonts w:ascii="Arial" w:hAnsi="Arial" w:cs="Arial"/>
          <w:sz w:val="18"/>
          <w:szCs w:val="18"/>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rsidRPr="003D5B15" w:rsidR="00391876" w:rsidP="003D5B15" w:rsidRDefault="00391876" w14:paraId="5E594BB2" w14:textId="108822F3">
      <w:pPr>
        <w:pStyle w:val="Textonotapie"/>
        <w:ind w:firstLine="708"/>
        <w:jc w:val="both"/>
        <w:rPr>
          <w:rFonts w:ascii="Arial" w:hAnsi="Arial" w:cs="Arial"/>
          <w:sz w:val="18"/>
          <w:szCs w:val="18"/>
        </w:rPr>
      </w:pPr>
      <w:r w:rsidRPr="003D5B15">
        <w:rPr>
          <w:rFonts w:ascii="Arial" w:hAnsi="Arial" w:cs="Arial"/>
          <w:sz w:val="18"/>
          <w:szCs w:val="18"/>
        </w:rPr>
        <w:t>»Para la acreditación deberán observarse los rangos de clasificación empresarial establecidos de conformidad con la Ley 590 de 2000 y el Decreto 1074 de 2015, o las normas que lo modifiquen, sustituyan o complementen.</w:t>
      </w:r>
    </w:p>
    <w:p w:rsidRPr="003D5B15" w:rsidR="00391876" w:rsidP="003D5B15" w:rsidRDefault="00391876" w14:paraId="3F6C5765" w14:textId="0A28D1FC">
      <w:pPr>
        <w:pStyle w:val="Textonotapie"/>
        <w:ind w:firstLine="708"/>
        <w:jc w:val="both"/>
        <w:rPr>
          <w:rFonts w:ascii="Arial" w:hAnsi="Arial" w:cs="Arial"/>
          <w:sz w:val="18"/>
          <w:szCs w:val="18"/>
        </w:rPr>
      </w:pPr>
      <w:r w:rsidRPr="003D5B15">
        <w:rPr>
          <w:rFonts w:ascii="Arial" w:hAnsi="Arial" w:cs="Arial"/>
          <w:sz w:val="18"/>
          <w:szCs w:val="18"/>
        </w:rPr>
        <w:t>»Parágrafo 1. En todo caso, las Mipyme también podrán acreditar esta condición con la copia del certificado del Registro Único de Proponentes, el cual deberá encontrarse vigente y en firme al momento de su presentación.</w:t>
      </w:r>
    </w:p>
    <w:p w:rsidRPr="003D5B15" w:rsidR="00391876" w:rsidP="003D5B15" w:rsidRDefault="00391876" w14:paraId="113919B5" w14:textId="1A2BAABA">
      <w:pPr>
        <w:pStyle w:val="Textonotapie"/>
        <w:ind w:firstLine="708"/>
        <w:jc w:val="both"/>
        <w:rPr>
          <w:rFonts w:ascii="Arial" w:hAnsi="Arial" w:cs="Arial"/>
          <w:sz w:val="18"/>
          <w:szCs w:val="18"/>
        </w:rPr>
      </w:pPr>
      <w:r w:rsidRPr="003D5B15">
        <w:rPr>
          <w:rFonts w:ascii="Arial" w:hAnsi="Arial" w:cs="Arial"/>
          <w:sz w:val="18"/>
          <w:szCs w:val="18"/>
        </w:rPr>
        <w:t>»Parágrafo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rsidRPr="003D5B15" w:rsidR="00391876" w:rsidP="003D5B15" w:rsidRDefault="00391876" w14:paraId="3E362C63" w14:textId="40B927E6">
      <w:pPr>
        <w:pStyle w:val="Textonotapie"/>
        <w:ind w:firstLine="708"/>
        <w:jc w:val="both"/>
        <w:rPr>
          <w:rFonts w:ascii="Arial" w:hAnsi="Arial" w:cs="Arial"/>
          <w:sz w:val="18"/>
          <w:szCs w:val="18"/>
        </w:rPr>
      </w:pPr>
      <w:r w:rsidRPr="003D5B15">
        <w:rPr>
          <w:rFonts w:ascii="Arial" w:hAnsi="Arial" w:cs="Arial"/>
          <w:sz w:val="18"/>
          <w:szCs w:val="18"/>
        </w:rPr>
        <w:t>»Parágrafo 3. En las convocatorias limitadas, las Entidades Estatales independientemente de su régimen de contratación, los patrimonios autónomos constituidos por Entidades Estatales y los parliculares que ejecuten recursos públicos, solo deberán aceptar las ofertas de Mipyme o de proponentes plurales integrados únicamente por Mipyme.</w:t>
      </w:r>
    </w:p>
    <w:p w:rsidRPr="003D5B15" w:rsidR="00391876" w:rsidP="0052190F" w:rsidRDefault="00391876" w14:paraId="0CF9DB61" w14:textId="019F320A">
      <w:pPr>
        <w:pStyle w:val="Textonotapie"/>
        <w:ind w:firstLine="708"/>
        <w:jc w:val="both"/>
        <w:rPr>
          <w:rFonts w:ascii="Arial" w:hAnsi="Arial" w:cs="Arial"/>
          <w:sz w:val="18"/>
          <w:szCs w:val="18"/>
        </w:rPr>
      </w:pPr>
      <w:r w:rsidRPr="003D5B15">
        <w:rPr>
          <w:rFonts w:ascii="Arial" w:hAnsi="Arial" w:cs="Arial"/>
          <w:sz w:val="18"/>
          <w:szCs w:val="18"/>
        </w:rPr>
        <w:t xml:space="preserve">»Parágrafo 4. Los incentivos previstos en los artículos 2.2.1.2.4.2.2 y 2.2.1.2.4.2.3 de este Decreto no excluyen la aplicación de los criterios diferenciales para los emprendimientos y empresas de mujeres en el sistema de compras públicas» </w:t>
      </w:r>
    </w:p>
  </w:footnote>
  <w:footnote w:id="6">
    <w:p w:rsidRPr="0052190F" w:rsidR="001448C5" w:rsidP="00391876" w:rsidRDefault="001448C5" w14:paraId="4A109868" w14:textId="77777777">
      <w:pPr>
        <w:pStyle w:val="Textonotapie"/>
        <w:ind w:firstLine="708"/>
        <w:jc w:val="both"/>
        <w:rPr>
          <w:rFonts w:ascii="Arial" w:hAnsi="Arial" w:cs="Arial"/>
          <w:color w:val="000000" w:themeColor="text1"/>
          <w:sz w:val="18"/>
          <w:szCs w:val="18"/>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footnote>
  <w:footnote w:id="7">
    <w:p w:rsidRPr="0052190F" w:rsidR="001448C5" w:rsidP="00391876" w:rsidRDefault="001448C5" w14:paraId="79B3A884" w14:textId="77777777">
      <w:pPr>
        <w:pStyle w:val="Textonotapie"/>
        <w:ind w:firstLine="708"/>
        <w:jc w:val="both"/>
        <w:rPr>
          <w:rFonts w:ascii="Arial" w:hAnsi="Arial" w:cs="Arial"/>
          <w:color w:val="000000" w:themeColor="text1"/>
          <w:sz w:val="18"/>
          <w:szCs w:val="18"/>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La TRM diaria se puede consultar en </w:t>
      </w:r>
      <w:hyperlink w:history="1" r:id="rId1">
        <w:r w:rsidRPr="0052190F">
          <w:rPr>
            <w:rStyle w:val="Hipervnculo"/>
            <w:rFonts w:ascii="Arial" w:hAnsi="Arial" w:cs="Arial"/>
            <w:color w:val="000000" w:themeColor="text1"/>
            <w:sz w:val="18"/>
            <w:szCs w:val="18"/>
          </w:rPr>
          <w:t>https://www.banrep.gov.co/es/estadisticas/trm</w:t>
        </w:r>
      </w:hyperlink>
      <w:r w:rsidRPr="0052190F">
        <w:rPr>
          <w:rFonts w:ascii="Arial" w:hAnsi="Arial" w:cs="Arial"/>
          <w:color w:val="000000" w:themeColor="text1"/>
          <w:sz w:val="18"/>
          <w:szCs w:val="18"/>
        </w:rPr>
        <w:t>.</w:t>
      </w:r>
    </w:p>
  </w:footnote>
  <w:footnote w:id="8">
    <w:p w:rsidRPr="0052190F" w:rsidR="001448C5" w:rsidP="00391876" w:rsidRDefault="001448C5" w14:paraId="7C54CEE1" w14:textId="77777777">
      <w:pPr>
        <w:pStyle w:val="Textonotapie"/>
        <w:ind w:firstLine="708"/>
        <w:jc w:val="both"/>
        <w:rPr>
          <w:rFonts w:ascii="Arial" w:hAnsi="Arial" w:cs="Arial"/>
          <w:color w:val="000000" w:themeColor="text1"/>
          <w:sz w:val="18"/>
          <w:szCs w:val="18"/>
          <w:lang w:val="es-ES"/>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w:t>
      </w:r>
      <w:r w:rsidRPr="0052190F">
        <w:rPr>
          <w:rFonts w:ascii="Arial" w:hAnsi="Arial" w:cs="Arial"/>
          <w:color w:val="000000" w:themeColor="text1"/>
          <w:sz w:val="18"/>
          <w:szCs w:val="18"/>
          <w:lang w:val="es-ES"/>
        </w:rPr>
        <w:t xml:space="preserve">Fecha de expedición del Decreto 1082. </w:t>
      </w:r>
    </w:p>
  </w:footnote>
  <w:footnote w:id="9">
    <w:p w:rsidRPr="0052190F" w:rsidR="001448C5" w:rsidP="00391876" w:rsidRDefault="001448C5" w14:paraId="5C91828D" w14:textId="77777777">
      <w:pPr>
        <w:pStyle w:val="Textonotapie"/>
        <w:ind w:firstLine="708"/>
        <w:jc w:val="both"/>
        <w:rPr>
          <w:rFonts w:ascii="Arial" w:hAnsi="Arial" w:cs="Arial"/>
          <w:color w:val="000000" w:themeColor="text1"/>
          <w:sz w:val="18"/>
          <w:szCs w:val="18"/>
          <w:u w:val="single"/>
        </w:rPr>
      </w:pPr>
      <w:r w:rsidRPr="0052190F">
        <w:rPr>
          <w:rStyle w:val="Refdenotaalpie"/>
          <w:rFonts w:ascii="Arial" w:hAnsi="Arial" w:cs="Arial"/>
          <w:color w:val="000000" w:themeColor="text1"/>
          <w:sz w:val="18"/>
          <w:szCs w:val="18"/>
        </w:rPr>
        <w:footnoteRef/>
      </w:r>
      <w:r w:rsidRPr="0052190F">
        <w:rPr>
          <w:rFonts w:ascii="Arial" w:hAnsi="Arial" w:cs="Arial"/>
          <w:color w:val="000000" w:themeColor="text1"/>
          <w:sz w:val="18"/>
          <w:szCs w:val="18"/>
        </w:rPr>
        <w:t xml:space="preserve"> </w:t>
      </w:r>
      <w:hyperlink w:history="1" r:id="rId2">
        <w:r w:rsidRPr="0052190F">
          <w:rPr>
            <w:rFonts w:ascii="Arial" w:hAnsi="Arial" w:cs="Arial"/>
            <w:sz w:val="18"/>
            <w:szCs w:val="18"/>
            <w:lang w:val="es-ES"/>
          </w:rPr>
          <w:t>https://www.colombiacompra.gov.co/sites/cce_public/files/cce_documentos/umbrales_2020_-_2021.pdf</w:t>
        </w:r>
      </w:hyperlink>
    </w:p>
  </w:footnote>
  <w:footnote w:id="10">
    <w:p w:rsidRPr="0052190F" w:rsidR="00F6621B" w:rsidP="00391876" w:rsidRDefault="00F6621B" w14:paraId="744F69FF" w14:textId="77777777">
      <w:pPr>
        <w:pStyle w:val="Textonotapie"/>
        <w:ind w:firstLine="708"/>
        <w:jc w:val="both"/>
        <w:rPr>
          <w:rFonts w:ascii="Arial" w:hAnsi="Arial" w:cs="Arial"/>
          <w:sz w:val="18"/>
          <w:szCs w:val="18"/>
        </w:rPr>
      </w:pPr>
    </w:p>
    <w:p w:rsidRPr="0052190F" w:rsidR="00F6621B" w:rsidP="00391876" w:rsidRDefault="00F6621B" w14:paraId="25A246B6" w14:textId="77777777">
      <w:pPr>
        <w:pStyle w:val="Textonotapie"/>
        <w:ind w:firstLine="708"/>
        <w:jc w:val="both"/>
        <w:rPr>
          <w:rFonts w:ascii="Arial" w:hAnsi="Arial" w:cs="Arial"/>
          <w:sz w:val="18"/>
          <w:szCs w:val="18"/>
        </w:rPr>
      </w:pPr>
      <w:r w:rsidRPr="0052190F">
        <w:rPr>
          <w:rStyle w:val="Refdenotaalpie"/>
          <w:rFonts w:ascii="Arial" w:hAnsi="Arial" w:cs="Arial"/>
          <w:sz w:val="18"/>
          <w:szCs w:val="18"/>
        </w:rPr>
        <w:footnoteRef/>
      </w:r>
      <w:r w:rsidRPr="0052190F">
        <w:rPr>
          <w:rFonts w:ascii="Arial" w:hAnsi="Arial" w:cs="Arial"/>
          <w:sz w:val="18"/>
          <w:szCs w:val="18"/>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rsidRPr="0052190F" w:rsidR="00F6621B" w:rsidP="00391876" w:rsidRDefault="00F6621B" w14:paraId="5D7F7D52" w14:textId="77777777">
      <w:pPr>
        <w:pStyle w:val="Textonotapie"/>
        <w:ind w:firstLine="708"/>
        <w:jc w:val="both"/>
        <w:rPr>
          <w:rFonts w:ascii="Arial" w:hAnsi="Arial" w:cs="Arial"/>
          <w:sz w:val="18"/>
          <w:szCs w:val="18"/>
        </w:rPr>
      </w:pPr>
    </w:p>
  </w:footnote>
  <w:footnote w:id="11">
    <w:p w:rsidRPr="0052190F" w:rsidR="00E156D6" w:rsidP="00391876" w:rsidRDefault="00E156D6" w14:paraId="649BBA1E" w14:textId="77777777">
      <w:pPr>
        <w:pStyle w:val="Textonotapie"/>
        <w:ind w:firstLine="708"/>
        <w:jc w:val="both"/>
        <w:rPr>
          <w:rFonts w:ascii="Arial" w:hAnsi="Arial" w:cs="Arial"/>
          <w:sz w:val="18"/>
          <w:szCs w:val="18"/>
        </w:rPr>
      </w:pPr>
      <w:r w:rsidRPr="0052190F">
        <w:rPr>
          <w:rStyle w:val="Refdenotaalpie"/>
          <w:rFonts w:ascii="Arial" w:hAnsi="Arial" w:cs="Arial"/>
          <w:sz w:val="18"/>
          <w:szCs w:val="18"/>
        </w:rPr>
        <w:footnoteRef/>
      </w:r>
      <w:r w:rsidRPr="0052190F">
        <w:rPr>
          <w:rFonts w:ascii="Arial" w:hAnsi="Arial" w:cs="Arial"/>
          <w:sz w:val="18"/>
          <w:szCs w:val="18"/>
        </w:rPr>
        <w:t xml:space="preserve"> Cfr. Concepto emitido en el radicado 4201913000005674, dictado el 27 de septiembre de 2019.</w:t>
      </w:r>
    </w:p>
    <w:p w:rsidRPr="0052190F" w:rsidR="00E156D6" w:rsidP="00391876" w:rsidRDefault="00E156D6" w14:paraId="4540033D" w14:textId="77777777">
      <w:pPr>
        <w:pStyle w:val="Textonotapie"/>
        <w:ind w:firstLine="708"/>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78EB" w:rsidRDefault="006E78EB" w14:paraId="6FB40F11" w14:textId="77777777">
    <w:pPr>
      <w:pStyle w:val="Encabezado"/>
    </w:pPr>
  </w:p>
  <w:p w:rsidR="006E78EB" w:rsidRDefault="006E78EB" w14:paraId="110D943B" w14:textId="77777777">
    <w:pPr>
      <w:pStyle w:val="Encabezado"/>
    </w:pPr>
  </w:p>
  <w:p w:rsidR="006E78EB" w:rsidRDefault="006E78EB" w14:paraId="084B2237" w14:textId="69B2F27D">
    <w:pPr>
      <w:pStyle w:val="Encabezado"/>
    </w:pPr>
    <w:r>
      <w:rPr>
        <w:noProof/>
        <w:lang w:val="es-ES_tradnl"/>
      </w:rPr>
      <w:drawing>
        <wp:anchor distT="0" distB="0" distL="114300" distR="114300" simplePos="0" relativeHeight="251659264" behindDoc="1" locked="0" layoutInCell="1" allowOverlap="1" wp14:anchorId="6E48B991" wp14:editId="42B6682F">
          <wp:simplePos x="0" y="0"/>
          <wp:positionH relativeFrom="margin">
            <wp:posOffset>4776861</wp:posOffset>
          </wp:positionH>
          <wp:positionV relativeFrom="margin">
            <wp:posOffset>-643095</wp:posOffset>
          </wp:positionV>
          <wp:extent cx="1257300" cy="51625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7044781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9"/>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F6"/>
    <w:rsid w:val="000029B6"/>
    <w:rsid w:val="000140C8"/>
    <w:rsid w:val="00027E42"/>
    <w:rsid w:val="0003091E"/>
    <w:rsid w:val="000B3424"/>
    <w:rsid w:val="000C782A"/>
    <w:rsid w:val="000E1B58"/>
    <w:rsid w:val="001448C5"/>
    <w:rsid w:val="00194929"/>
    <w:rsid w:val="001F6924"/>
    <w:rsid w:val="00247255"/>
    <w:rsid w:val="002550C7"/>
    <w:rsid w:val="00260524"/>
    <w:rsid w:val="00273399"/>
    <w:rsid w:val="00273837"/>
    <w:rsid w:val="002937C8"/>
    <w:rsid w:val="002B0A60"/>
    <w:rsid w:val="002D095A"/>
    <w:rsid w:val="003042AD"/>
    <w:rsid w:val="00307263"/>
    <w:rsid w:val="0035518E"/>
    <w:rsid w:val="00356545"/>
    <w:rsid w:val="00383AFB"/>
    <w:rsid w:val="00391876"/>
    <w:rsid w:val="003D5B15"/>
    <w:rsid w:val="003F0A8E"/>
    <w:rsid w:val="00415B81"/>
    <w:rsid w:val="004579E8"/>
    <w:rsid w:val="00492C96"/>
    <w:rsid w:val="004A2BC7"/>
    <w:rsid w:val="004E5B18"/>
    <w:rsid w:val="004E67C6"/>
    <w:rsid w:val="004F460F"/>
    <w:rsid w:val="00503C47"/>
    <w:rsid w:val="0052190F"/>
    <w:rsid w:val="00523F36"/>
    <w:rsid w:val="005317FB"/>
    <w:rsid w:val="0056580D"/>
    <w:rsid w:val="00575DCD"/>
    <w:rsid w:val="00596CF4"/>
    <w:rsid w:val="005B3430"/>
    <w:rsid w:val="005B36D8"/>
    <w:rsid w:val="005C3220"/>
    <w:rsid w:val="005C7C05"/>
    <w:rsid w:val="005E22E9"/>
    <w:rsid w:val="00607CA1"/>
    <w:rsid w:val="006203E3"/>
    <w:rsid w:val="00621C87"/>
    <w:rsid w:val="0063145D"/>
    <w:rsid w:val="00640BE3"/>
    <w:rsid w:val="00673289"/>
    <w:rsid w:val="00682AF5"/>
    <w:rsid w:val="006857C9"/>
    <w:rsid w:val="006C6B4F"/>
    <w:rsid w:val="006E78EB"/>
    <w:rsid w:val="006F3FA7"/>
    <w:rsid w:val="00704F90"/>
    <w:rsid w:val="00716040"/>
    <w:rsid w:val="00721EA7"/>
    <w:rsid w:val="00725F05"/>
    <w:rsid w:val="00751DBF"/>
    <w:rsid w:val="00755BB7"/>
    <w:rsid w:val="00767C7D"/>
    <w:rsid w:val="00814769"/>
    <w:rsid w:val="008574A0"/>
    <w:rsid w:val="00864ADB"/>
    <w:rsid w:val="00867265"/>
    <w:rsid w:val="00880363"/>
    <w:rsid w:val="008B1F33"/>
    <w:rsid w:val="008C0654"/>
    <w:rsid w:val="008F16BB"/>
    <w:rsid w:val="008F1ABA"/>
    <w:rsid w:val="008F1F7E"/>
    <w:rsid w:val="008F34E0"/>
    <w:rsid w:val="008F4729"/>
    <w:rsid w:val="00933822"/>
    <w:rsid w:val="0093555A"/>
    <w:rsid w:val="00966340"/>
    <w:rsid w:val="0097619E"/>
    <w:rsid w:val="00983D92"/>
    <w:rsid w:val="0099757B"/>
    <w:rsid w:val="009D4C2A"/>
    <w:rsid w:val="009E1D4F"/>
    <w:rsid w:val="009E1F43"/>
    <w:rsid w:val="009F4A3D"/>
    <w:rsid w:val="00A4552E"/>
    <w:rsid w:val="00A521AB"/>
    <w:rsid w:val="00A55CB0"/>
    <w:rsid w:val="00A81B88"/>
    <w:rsid w:val="00AA21EF"/>
    <w:rsid w:val="00AB5C8F"/>
    <w:rsid w:val="00AB6FE6"/>
    <w:rsid w:val="00AC6F90"/>
    <w:rsid w:val="00AE5BF1"/>
    <w:rsid w:val="00BA4FBC"/>
    <w:rsid w:val="00BD1384"/>
    <w:rsid w:val="00BD513D"/>
    <w:rsid w:val="00C01E7D"/>
    <w:rsid w:val="00C127E2"/>
    <w:rsid w:val="00C204DF"/>
    <w:rsid w:val="00C24FF6"/>
    <w:rsid w:val="00C605B9"/>
    <w:rsid w:val="00C60A8C"/>
    <w:rsid w:val="00CA7380"/>
    <w:rsid w:val="00D059D0"/>
    <w:rsid w:val="00D061E2"/>
    <w:rsid w:val="00D320C5"/>
    <w:rsid w:val="00D50D3C"/>
    <w:rsid w:val="00D536E6"/>
    <w:rsid w:val="00D53C1B"/>
    <w:rsid w:val="00D7078E"/>
    <w:rsid w:val="00D77650"/>
    <w:rsid w:val="00DA405B"/>
    <w:rsid w:val="00DA4FCF"/>
    <w:rsid w:val="00DB6C19"/>
    <w:rsid w:val="00DD5ADE"/>
    <w:rsid w:val="00E1566C"/>
    <w:rsid w:val="00E156D6"/>
    <w:rsid w:val="00E350FA"/>
    <w:rsid w:val="00E47B76"/>
    <w:rsid w:val="00E83D50"/>
    <w:rsid w:val="00EA007D"/>
    <w:rsid w:val="00EB2328"/>
    <w:rsid w:val="00EC7B27"/>
    <w:rsid w:val="00EE09CF"/>
    <w:rsid w:val="00F00733"/>
    <w:rsid w:val="00F12417"/>
    <w:rsid w:val="00F17A47"/>
    <w:rsid w:val="00F2618D"/>
    <w:rsid w:val="00F3180E"/>
    <w:rsid w:val="00F6621B"/>
    <w:rsid w:val="00F943CC"/>
    <w:rsid w:val="00FA28EE"/>
    <w:rsid w:val="00FC1AF6"/>
    <w:rsid w:val="00FD13B8"/>
    <w:rsid w:val="00FE22DA"/>
    <w:rsid w:val="00FF1E5E"/>
    <w:rsid w:val="00FF4EAA"/>
    <w:rsid w:val="00FF6518"/>
    <w:rsid w:val="00FF78D0"/>
    <w:rsid w:val="4E7645AE"/>
    <w:rsid w:val="630C06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2A17"/>
  <w15:chartTrackingRefBased/>
  <w15:docId w15:val="{8CF9A2A2-045A-1A45-8B92-4804FF4D4A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1AF6"/>
    <w:rPr>
      <w:rFonts w:ascii="Times New Roman" w:hAnsi="Times New Roman" w:eastAsia="Times New Roman" w:cs="Times New Roman"/>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C1AF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C1AF6"/>
    <w:pPr>
      <w:ind w:left="720"/>
      <w:contextualSpacing/>
    </w:pPr>
    <w:rPr>
      <w:rFonts w:asciiTheme="minorHAnsi" w:hAnsiTheme="minorHAnsi" w:eastAsiaTheme="minorHAnsi" w:cstheme="minorBidi"/>
      <w:szCs w:val="22"/>
      <w:lang w:val="es-MX" w:eastAsia="en-US"/>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C1A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C1AF6"/>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FC1AF6"/>
    <w:rPr>
      <w:rFonts w:ascii="Times New Roman" w:hAnsi="Times New Roman" w:eastAsia="Times New Roman" w:cs="Times New Roman"/>
      <w:sz w:val="20"/>
      <w:szCs w:val="20"/>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C1AF6"/>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C1AF6"/>
    <w:rPr>
      <w:vertAlign w:val="superscript"/>
    </w:rPr>
  </w:style>
  <w:style w:type="table" w:styleId="Tablaconcuadrcula1" w:customStyle="1">
    <w:name w:val="Tabla con cuadrícula1"/>
    <w:basedOn w:val="Tablanormal"/>
    <w:next w:val="Tablaconcuadrcula"/>
    <w:uiPriority w:val="59"/>
    <w:rsid w:val="00FC1AF6"/>
    <w:pPr>
      <w:jc w:val="both"/>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FC1AF6"/>
    <w:pPr>
      <w:spacing w:after="160" w:line="240" w:lineRule="exact"/>
    </w:pPr>
    <w:rPr>
      <w:rFonts w:asciiTheme="minorHAnsi" w:hAnsiTheme="minorHAnsi" w:eastAsiaTheme="minorHAnsi" w:cstheme="minorBidi"/>
      <w:vertAlign w:val="superscript"/>
      <w:lang w:eastAsia="en-US"/>
    </w:rPr>
  </w:style>
  <w:style w:type="paragraph" w:styleId="Encabezado">
    <w:name w:val="header"/>
    <w:basedOn w:val="Normal"/>
    <w:link w:val="EncabezadoCar"/>
    <w:uiPriority w:val="99"/>
    <w:unhideWhenUsed/>
    <w:rsid w:val="006E78EB"/>
    <w:pPr>
      <w:tabs>
        <w:tab w:val="center" w:pos="4419"/>
        <w:tab w:val="right" w:pos="8838"/>
      </w:tabs>
    </w:pPr>
  </w:style>
  <w:style w:type="character" w:styleId="EncabezadoCar" w:customStyle="1">
    <w:name w:val="Encabezado Car"/>
    <w:basedOn w:val="Fuentedeprrafopredeter"/>
    <w:link w:val="Encabezado"/>
    <w:uiPriority w:val="99"/>
    <w:rsid w:val="006E78EB"/>
    <w:rPr>
      <w:rFonts w:ascii="Times New Roman" w:hAnsi="Times New Roman" w:eastAsia="Times New Roman" w:cs="Times New Roman"/>
      <w:lang w:eastAsia="es-ES_tradnl"/>
    </w:rPr>
  </w:style>
  <w:style w:type="paragraph" w:styleId="Piedepgina">
    <w:name w:val="footer"/>
    <w:basedOn w:val="Normal"/>
    <w:link w:val="PiedepginaCar"/>
    <w:uiPriority w:val="99"/>
    <w:unhideWhenUsed/>
    <w:rsid w:val="006E78EB"/>
    <w:pPr>
      <w:tabs>
        <w:tab w:val="center" w:pos="4419"/>
        <w:tab w:val="right" w:pos="8838"/>
      </w:tabs>
    </w:pPr>
  </w:style>
  <w:style w:type="character" w:styleId="PiedepginaCar" w:customStyle="1">
    <w:name w:val="Pie de página Car"/>
    <w:basedOn w:val="Fuentedeprrafopredeter"/>
    <w:link w:val="Piedepgina"/>
    <w:uiPriority w:val="99"/>
    <w:rsid w:val="006E78EB"/>
    <w:rPr>
      <w:rFonts w:ascii="Times New Roman" w:hAnsi="Times New Roman" w:eastAsia="Times New Roman" w:cs="Times New Roman"/>
      <w:lang w:eastAsia="es-ES_tradnl"/>
    </w:rPr>
  </w:style>
  <w:style w:type="paragraph" w:styleId="paragraph" w:customStyle="1">
    <w:name w:val="paragraph"/>
    <w:basedOn w:val="Normal"/>
    <w:rsid w:val="00E47B76"/>
    <w:pPr>
      <w:spacing w:before="100" w:beforeAutospacing="1" w:after="100" w:afterAutospacing="1"/>
    </w:pPr>
    <w:rPr>
      <w:lang w:eastAsia="es-MX"/>
    </w:rPr>
  </w:style>
  <w:style w:type="character" w:styleId="normaltextrun" w:customStyle="1">
    <w:name w:val="normaltextrun"/>
    <w:basedOn w:val="Fuentedeprrafopredeter"/>
    <w:rsid w:val="00E47B76"/>
  </w:style>
  <w:style w:type="character" w:styleId="eop" w:customStyle="1">
    <w:name w:val="eop"/>
    <w:basedOn w:val="Fuentedeprrafopredeter"/>
    <w:rsid w:val="00E47B76"/>
  </w:style>
  <w:style w:type="paragraph" w:styleId="NormalWeb">
    <w:name w:val="Normal (Web)"/>
    <w:basedOn w:val="Normal"/>
    <w:link w:val="NormalWebCar"/>
    <w:uiPriority w:val="99"/>
    <w:unhideWhenUsed/>
    <w:rsid w:val="004579E8"/>
    <w:pPr>
      <w:spacing w:before="100" w:beforeAutospacing="1" w:after="100" w:afterAutospacing="1"/>
    </w:pPr>
    <w:rPr>
      <w:lang w:eastAsia="es-CO"/>
    </w:rPr>
  </w:style>
  <w:style w:type="character" w:styleId="NormalWebCar" w:customStyle="1">
    <w:name w:val="Normal (Web) Car"/>
    <w:link w:val="NormalWeb"/>
    <w:uiPriority w:val="99"/>
    <w:rsid w:val="004579E8"/>
    <w:rPr>
      <w:rFonts w:ascii="Times New Roman" w:hAnsi="Times New Roman" w:eastAsia="Times New Roman" w:cs="Times New Roman"/>
      <w:lang w:eastAsia="es-CO"/>
    </w:rPr>
  </w:style>
  <w:style w:type="character" w:styleId="Hipervnculo">
    <w:name w:val="Hyperlink"/>
    <w:basedOn w:val="Fuentedeprrafopredeter"/>
    <w:uiPriority w:val="99"/>
    <w:unhideWhenUsed/>
    <w:rsid w:val="003F0A8E"/>
    <w:rPr>
      <w:color w:val="0563C1" w:themeColor="hyperlink"/>
      <w:u w:val="single"/>
    </w:rPr>
  </w:style>
  <w:style w:type="table" w:styleId="Tablaconcuadrcula2" w:customStyle="1">
    <w:name w:val="Tabla con cuadrícula2"/>
    <w:basedOn w:val="Tablanormal"/>
    <w:next w:val="Tablaconcuadrcula"/>
    <w:uiPriority w:val="39"/>
    <w:rsid w:val="0071604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5B3430"/>
    <w:rPr>
      <w:rFonts w:ascii="Times New Roman" w:hAnsi="Times New Roman" w:eastAsia="Times New Roman" w:cs="Times New Roman"/>
      <w:lang w:eastAsia="es-ES_tradnl"/>
    </w:rPr>
  </w:style>
  <w:style w:type="character" w:styleId="Mencinsinresolver">
    <w:name w:val="Unresolved Mention"/>
    <w:basedOn w:val="Fuentedeprrafopredeter"/>
    <w:uiPriority w:val="99"/>
    <w:semiHidden/>
    <w:unhideWhenUsed/>
    <w:rsid w:val="00F2618D"/>
    <w:rPr>
      <w:color w:val="605E5C"/>
      <w:shd w:val="clear" w:color="auto" w:fill="E1DFDD"/>
    </w:rPr>
  </w:style>
  <w:style w:type="character" w:styleId="Refdecomentario">
    <w:name w:val="annotation reference"/>
    <w:basedOn w:val="Fuentedeprrafopredeter"/>
    <w:uiPriority w:val="99"/>
    <w:semiHidden/>
    <w:unhideWhenUsed/>
    <w:rsid w:val="00C01E7D"/>
    <w:rPr>
      <w:sz w:val="16"/>
      <w:szCs w:val="16"/>
    </w:rPr>
  </w:style>
  <w:style w:type="paragraph" w:styleId="Textocomentario">
    <w:name w:val="annotation text"/>
    <w:basedOn w:val="Normal"/>
    <w:link w:val="TextocomentarioCar"/>
    <w:uiPriority w:val="99"/>
    <w:unhideWhenUsed/>
    <w:rsid w:val="00C01E7D"/>
    <w:rPr>
      <w:sz w:val="20"/>
      <w:szCs w:val="20"/>
    </w:rPr>
  </w:style>
  <w:style w:type="character" w:styleId="TextocomentarioCar" w:customStyle="1">
    <w:name w:val="Texto comentario Car"/>
    <w:basedOn w:val="Fuentedeprrafopredeter"/>
    <w:link w:val="Textocomentario"/>
    <w:uiPriority w:val="99"/>
    <w:rsid w:val="00C01E7D"/>
    <w:rPr>
      <w:rFonts w:ascii="Times New Roman" w:hAnsi="Times New Roman" w:eastAsia="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01E7D"/>
    <w:rPr>
      <w:b/>
      <w:bCs/>
    </w:rPr>
  </w:style>
  <w:style w:type="character" w:styleId="AsuntodelcomentarioCar" w:customStyle="1">
    <w:name w:val="Asunto del comentario Car"/>
    <w:basedOn w:val="TextocomentarioCar"/>
    <w:link w:val="Asuntodelcomentario"/>
    <w:uiPriority w:val="99"/>
    <w:semiHidden/>
    <w:rsid w:val="00C01E7D"/>
    <w:rPr>
      <w:rFonts w:ascii="Times New Roman" w:hAnsi="Times New Roman" w:eastAsia="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06091">
      <w:bodyDiv w:val="1"/>
      <w:marLeft w:val="0"/>
      <w:marRight w:val="0"/>
      <w:marTop w:val="0"/>
      <w:marBottom w:val="0"/>
      <w:divBdr>
        <w:top w:val="none" w:sz="0" w:space="0" w:color="auto"/>
        <w:left w:val="none" w:sz="0" w:space="0" w:color="auto"/>
        <w:bottom w:val="none" w:sz="0" w:space="0" w:color="auto"/>
        <w:right w:val="none" w:sz="0" w:space="0" w:color="auto"/>
      </w:divBdr>
    </w:div>
    <w:div w:id="705178269">
      <w:bodyDiv w:val="1"/>
      <w:marLeft w:val="0"/>
      <w:marRight w:val="0"/>
      <w:marTop w:val="0"/>
      <w:marBottom w:val="0"/>
      <w:divBdr>
        <w:top w:val="none" w:sz="0" w:space="0" w:color="auto"/>
        <w:left w:val="none" w:sz="0" w:space="0" w:color="auto"/>
        <w:bottom w:val="none" w:sz="0" w:space="0" w:color="auto"/>
        <w:right w:val="none" w:sz="0" w:space="0" w:color="auto"/>
      </w:divBdr>
      <w:divsChild>
        <w:div w:id="1629969850">
          <w:marLeft w:val="0"/>
          <w:marRight w:val="0"/>
          <w:marTop w:val="0"/>
          <w:marBottom w:val="0"/>
          <w:divBdr>
            <w:top w:val="none" w:sz="0" w:space="0" w:color="auto"/>
            <w:left w:val="none" w:sz="0" w:space="0" w:color="auto"/>
            <w:bottom w:val="none" w:sz="0" w:space="0" w:color="auto"/>
            <w:right w:val="none" w:sz="0" w:space="0" w:color="auto"/>
          </w:divBdr>
          <w:divsChild>
            <w:div w:id="233320260">
              <w:marLeft w:val="0"/>
              <w:marRight w:val="0"/>
              <w:marTop w:val="0"/>
              <w:marBottom w:val="0"/>
              <w:divBdr>
                <w:top w:val="none" w:sz="0" w:space="0" w:color="auto"/>
                <w:left w:val="none" w:sz="0" w:space="0" w:color="auto"/>
                <w:bottom w:val="none" w:sz="0" w:space="0" w:color="auto"/>
                <w:right w:val="none" w:sz="0" w:space="0" w:color="auto"/>
              </w:divBdr>
            </w:div>
          </w:divsChild>
        </w:div>
        <w:div w:id="76755045">
          <w:marLeft w:val="0"/>
          <w:marRight w:val="0"/>
          <w:marTop w:val="0"/>
          <w:marBottom w:val="0"/>
          <w:divBdr>
            <w:top w:val="none" w:sz="0" w:space="0" w:color="auto"/>
            <w:left w:val="none" w:sz="0" w:space="0" w:color="auto"/>
            <w:bottom w:val="none" w:sz="0" w:space="0" w:color="auto"/>
            <w:right w:val="none" w:sz="0" w:space="0" w:color="auto"/>
          </w:divBdr>
          <w:divsChild>
            <w:div w:id="14107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83">
      <w:bodyDiv w:val="1"/>
      <w:marLeft w:val="0"/>
      <w:marRight w:val="0"/>
      <w:marTop w:val="0"/>
      <w:marBottom w:val="0"/>
      <w:divBdr>
        <w:top w:val="none" w:sz="0" w:space="0" w:color="auto"/>
        <w:left w:val="none" w:sz="0" w:space="0" w:color="auto"/>
        <w:bottom w:val="none" w:sz="0" w:space="0" w:color="auto"/>
        <w:right w:val="none" w:sz="0" w:space="0" w:color="auto"/>
      </w:divBdr>
      <w:divsChild>
        <w:div w:id="668875638">
          <w:marLeft w:val="0"/>
          <w:marRight w:val="0"/>
          <w:marTop w:val="0"/>
          <w:marBottom w:val="0"/>
          <w:divBdr>
            <w:top w:val="none" w:sz="0" w:space="0" w:color="auto"/>
            <w:left w:val="none" w:sz="0" w:space="0" w:color="auto"/>
            <w:bottom w:val="none" w:sz="0" w:space="0" w:color="auto"/>
            <w:right w:val="none" w:sz="0" w:space="0" w:color="auto"/>
          </w:divBdr>
        </w:div>
      </w:divsChild>
    </w:div>
    <w:div w:id="1221356349">
      <w:bodyDiv w:val="1"/>
      <w:marLeft w:val="0"/>
      <w:marRight w:val="0"/>
      <w:marTop w:val="0"/>
      <w:marBottom w:val="0"/>
      <w:divBdr>
        <w:top w:val="none" w:sz="0" w:space="0" w:color="auto"/>
        <w:left w:val="none" w:sz="0" w:space="0" w:color="auto"/>
        <w:bottom w:val="none" w:sz="0" w:space="0" w:color="auto"/>
        <w:right w:val="none" w:sz="0" w:space="0" w:color="auto"/>
      </w:divBdr>
      <w:divsChild>
        <w:div w:id="1873178961">
          <w:marLeft w:val="0"/>
          <w:marRight w:val="0"/>
          <w:marTop w:val="0"/>
          <w:marBottom w:val="0"/>
          <w:divBdr>
            <w:top w:val="none" w:sz="0" w:space="0" w:color="auto"/>
            <w:left w:val="none" w:sz="0" w:space="0" w:color="auto"/>
            <w:bottom w:val="none" w:sz="0" w:space="0" w:color="auto"/>
            <w:right w:val="none" w:sz="0" w:space="0" w:color="auto"/>
          </w:divBdr>
        </w:div>
      </w:divsChild>
    </w:div>
    <w:div w:id="1242639759">
      <w:bodyDiv w:val="1"/>
      <w:marLeft w:val="0"/>
      <w:marRight w:val="0"/>
      <w:marTop w:val="0"/>
      <w:marBottom w:val="0"/>
      <w:divBdr>
        <w:top w:val="none" w:sz="0" w:space="0" w:color="auto"/>
        <w:left w:val="none" w:sz="0" w:space="0" w:color="auto"/>
        <w:bottom w:val="none" w:sz="0" w:space="0" w:color="auto"/>
        <w:right w:val="none" w:sz="0" w:space="0" w:color="auto"/>
      </w:divBdr>
    </w:div>
    <w:div w:id="1299144499">
      <w:bodyDiv w:val="1"/>
      <w:marLeft w:val="0"/>
      <w:marRight w:val="0"/>
      <w:marTop w:val="0"/>
      <w:marBottom w:val="0"/>
      <w:divBdr>
        <w:top w:val="none" w:sz="0" w:space="0" w:color="auto"/>
        <w:left w:val="none" w:sz="0" w:space="0" w:color="auto"/>
        <w:bottom w:val="none" w:sz="0" w:space="0" w:color="auto"/>
        <w:right w:val="none" w:sz="0" w:space="0" w:color="auto"/>
      </w:divBdr>
      <w:divsChild>
        <w:div w:id="1588004371">
          <w:marLeft w:val="0"/>
          <w:marRight w:val="0"/>
          <w:marTop w:val="0"/>
          <w:marBottom w:val="0"/>
          <w:divBdr>
            <w:top w:val="none" w:sz="0" w:space="0" w:color="auto"/>
            <w:left w:val="none" w:sz="0" w:space="0" w:color="auto"/>
            <w:bottom w:val="none" w:sz="0" w:space="0" w:color="auto"/>
            <w:right w:val="none" w:sz="0" w:space="0" w:color="auto"/>
          </w:divBdr>
          <w:divsChild>
            <w:div w:id="1272973442">
              <w:marLeft w:val="0"/>
              <w:marRight w:val="0"/>
              <w:marTop w:val="0"/>
              <w:marBottom w:val="0"/>
              <w:divBdr>
                <w:top w:val="none" w:sz="0" w:space="0" w:color="auto"/>
                <w:left w:val="none" w:sz="0" w:space="0" w:color="auto"/>
                <w:bottom w:val="none" w:sz="0" w:space="0" w:color="auto"/>
                <w:right w:val="none" w:sz="0" w:space="0" w:color="auto"/>
              </w:divBdr>
            </w:div>
          </w:divsChild>
        </w:div>
        <w:div w:id="1115979763">
          <w:marLeft w:val="0"/>
          <w:marRight w:val="0"/>
          <w:marTop w:val="0"/>
          <w:marBottom w:val="0"/>
          <w:divBdr>
            <w:top w:val="none" w:sz="0" w:space="0" w:color="auto"/>
            <w:left w:val="none" w:sz="0" w:space="0" w:color="auto"/>
            <w:bottom w:val="none" w:sz="0" w:space="0" w:color="auto"/>
            <w:right w:val="none" w:sz="0" w:space="0" w:color="auto"/>
          </w:divBdr>
          <w:divsChild>
            <w:div w:id="648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lombiacompra.gov.co/"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image" Target="/media/image4.png" Id="Rea2369edc23c474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FD2D9F-9231-4E96-B101-9F6493167677}">
  <ds:schemaRefs>
    <ds:schemaRef ds:uri="http://schemas.openxmlformats.org/officeDocument/2006/bibliography"/>
  </ds:schemaRefs>
</ds:datastoreItem>
</file>

<file path=customXml/itemProps2.xml><?xml version="1.0" encoding="utf-8"?>
<ds:datastoreItem xmlns:ds="http://schemas.openxmlformats.org/officeDocument/2006/customXml" ds:itemID="{E48B601B-36D8-4DDB-9660-B9D4007BC696}"/>
</file>

<file path=customXml/itemProps3.xml><?xml version="1.0" encoding="utf-8"?>
<ds:datastoreItem xmlns:ds="http://schemas.openxmlformats.org/officeDocument/2006/customXml" ds:itemID="{260A35F2-C06F-412A-B7D4-7DE18DC0B809}"/>
</file>

<file path=customXml/itemProps4.xml><?xml version="1.0" encoding="utf-8"?>
<ds:datastoreItem xmlns:ds="http://schemas.openxmlformats.org/officeDocument/2006/customXml" ds:itemID="{498A5FA3-362B-4A14-AE89-0C3BAD5B69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Pascuaza Cabrera</dc:creator>
  <cp:keywords/>
  <dc:description/>
  <cp:lastModifiedBy>Alvaro Namen Vargas</cp:lastModifiedBy>
  <cp:revision>78</cp:revision>
  <dcterms:created xsi:type="dcterms:W3CDTF">2022-07-11T14:51:00Z</dcterms:created>
  <dcterms:modified xsi:type="dcterms:W3CDTF">2022-07-19T17:47:48Z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