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E577" w14:textId="711EDC1B" w:rsidR="000C0444" w:rsidRDefault="002411DE" w:rsidP="000277A2">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103947551"/>
      <w:r>
        <w:rPr>
          <w:rFonts w:ascii="Arial" w:hAnsi="Arial" w:cs="Arial"/>
          <w:b/>
          <w:color w:val="000000" w:themeColor="text1"/>
          <w:sz w:val="16"/>
          <w:szCs w:val="16"/>
          <w:lang w:val="es-ES_tradnl" w:eastAsia="es-ES"/>
        </w:rPr>
        <w:t xml:space="preserve"> </w:t>
      </w:r>
      <w:r w:rsidR="00B55C69" w:rsidRPr="00A51520">
        <w:rPr>
          <w:rFonts w:ascii="Arial" w:hAnsi="Arial" w:cs="Arial"/>
          <w:b/>
          <w:color w:val="000000" w:themeColor="text1"/>
          <w:sz w:val="16"/>
          <w:szCs w:val="16"/>
          <w:lang w:val="es-ES_tradnl" w:eastAsia="es-ES"/>
        </w:rPr>
        <w:t>CCE-DES-FM-17</w:t>
      </w:r>
      <w:bookmarkStart w:id="3" w:name="_Hlk50481752"/>
      <w:bookmarkEnd w:id="0"/>
      <w:bookmarkEnd w:id="1"/>
    </w:p>
    <w:p w14:paraId="47EEE62E" w14:textId="77777777" w:rsidR="000277A2" w:rsidRPr="000277A2" w:rsidRDefault="000277A2" w:rsidP="00A73D15">
      <w:pPr>
        <w:jc w:val="right"/>
        <w:rPr>
          <w:rFonts w:ascii="Arial" w:eastAsia="Calibri" w:hAnsi="Arial" w:cs="Arial"/>
          <w:b/>
          <w:color w:val="000000" w:themeColor="text1"/>
          <w:sz w:val="20"/>
          <w:szCs w:val="20"/>
          <w:lang w:val="es-ES_tradnl"/>
        </w:rPr>
      </w:pPr>
    </w:p>
    <w:bookmarkEnd w:id="3"/>
    <w:p w14:paraId="4D94176F" w14:textId="77777777" w:rsidR="0011452E" w:rsidRPr="00E858D2" w:rsidRDefault="0011452E" w:rsidP="00A73D15">
      <w:pPr>
        <w:jc w:val="both"/>
        <w:rPr>
          <w:rFonts w:ascii="Arial" w:eastAsia="Calibri" w:hAnsi="Arial" w:cs="Arial"/>
          <w:b/>
          <w:sz w:val="22"/>
          <w:lang w:val="es-ES_tradnl"/>
        </w:rPr>
      </w:pPr>
    </w:p>
    <w:p w14:paraId="4553C974" w14:textId="77777777" w:rsidR="0011452E" w:rsidRPr="00E858D2" w:rsidRDefault="0011452E" w:rsidP="00A73D15">
      <w:pPr>
        <w:jc w:val="both"/>
        <w:rPr>
          <w:rFonts w:ascii="Arial" w:eastAsia="Calibri" w:hAnsi="Arial" w:cs="Arial"/>
          <w:b/>
          <w:sz w:val="22"/>
          <w:lang w:val="es-ES_tradnl"/>
        </w:rPr>
      </w:pPr>
      <w:r w:rsidRPr="00E858D2">
        <w:rPr>
          <w:rFonts w:ascii="Arial" w:eastAsia="Calibri" w:hAnsi="Arial" w:cs="Arial"/>
          <w:b/>
          <w:sz w:val="22"/>
          <w:lang w:val="es-ES_tradnl"/>
        </w:rPr>
        <w:t>DOCUMENTOS TIPO – Fundamento normativo – Ley 2022 de 2020</w:t>
      </w:r>
    </w:p>
    <w:p w14:paraId="3A642F99" w14:textId="77777777" w:rsidR="0011452E" w:rsidRPr="00E858D2" w:rsidRDefault="0011452E" w:rsidP="00A73D15">
      <w:pPr>
        <w:jc w:val="both"/>
        <w:rPr>
          <w:rFonts w:ascii="Arial" w:eastAsia="Calibri" w:hAnsi="Arial" w:cs="Arial"/>
          <w:b/>
          <w:sz w:val="22"/>
          <w:lang w:val="es-ES_tradnl"/>
        </w:rPr>
      </w:pPr>
    </w:p>
    <w:p w14:paraId="3082CCDC" w14:textId="77777777" w:rsidR="0011452E" w:rsidRPr="00E858D2" w:rsidRDefault="0011452E" w:rsidP="00A73D15">
      <w:pPr>
        <w:jc w:val="both"/>
        <w:rPr>
          <w:rFonts w:ascii="Arial" w:eastAsia="Calibri" w:hAnsi="Arial" w:cs="Arial"/>
          <w:sz w:val="20"/>
          <w:szCs w:val="20"/>
          <w:lang w:val="es-ES_tradnl"/>
        </w:rPr>
      </w:pPr>
      <w:r w:rsidRPr="00E858D2">
        <w:rPr>
          <w:rFonts w:ascii="Arial" w:eastAsia="Calibri" w:hAnsi="Arial" w:cs="Arial"/>
          <w:sz w:val="20"/>
          <w:szCs w:val="20"/>
          <w:lang w:val="es-ES_tradnl"/>
        </w:rPr>
        <w:t xml:space="preserve">[…], debe tenerse en cuenta que la Ley 2022 de 2020 fue sancionada por el </w:t>
      </w:r>
      <w:proofErr w:type="gramStart"/>
      <w:r w:rsidRPr="00E858D2">
        <w:rPr>
          <w:rFonts w:ascii="Arial" w:eastAsia="Calibri" w:hAnsi="Arial" w:cs="Arial"/>
          <w:sz w:val="20"/>
          <w:szCs w:val="20"/>
          <w:lang w:val="es-ES_tradnl"/>
        </w:rPr>
        <w:t>Presidente</w:t>
      </w:r>
      <w:proofErr w:type="gramEnd"/>
      <w:r w:rsidRPr="00E858D2">
        <w:rPr>
          <w:rFonts w:ascii="Arial" w:eastAsia="Calibri" w:hAnsi="Arial" w:cs="Arial"/>
          <w:sz w:val="20"/>
          <w:szCs w:val="20"/>
          <w:lang w:val="es-ES_tradnl"/>
        </w:rPr>
        <w:t xml:space="preserve"> de la República el 22 de julio, por lo que su expedición es reciente. En este sentido, con la finalidad de realizar un desarrollo armónico y ajustado a la ley que otorga esta competencia, la Agencia Nacional de Contratación Pública expidió la Resolución 160 de 2020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De igual manera, se expidió la Resolución 241 de 2020, «Por la cual se actualizan los Documentos Tipo para los procesos de selección abreviada de menor cuantía de obra pública de infraestructura de transporte y se deroga la Resolución 0044 de 2020». Adicionalmente, </w:t>
      </w:r>
      <w:proofErr w:type="gramStart"/>
      <w:r w:rsidRPr="00E858D2">
        <w:rPr>
          <w:rFonts w:ascii="Arial" w:eastAsia="Calibri" w:hAnsi="Arial" w:cs="Arial"/>
          <w:sz w:val="20"/>
          <w:szCs w:val="20"/>
          <w:lang w:val="es-ES_tradnl"/>
        </w:rPr>
        <w:t>entró en vigencia</w:t>
      </w:r>
      <w:proofErr w:type="gramEnd"/>
      <w:r w:rsidRPr="00E858D2">
        <w:rPr>
          <w:rFonts w:ascii="Arial" w:eastAsia="Calibri" w:hAnsi="Arial" w:cs="Arial"/>
          <w:sz w:val="20"/>
          <w:szCs w:val="20"/>
          <w:lang w:val="es-ES_tradnl"/>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24F9EA51" w14:textId="77777777" w:rsidR="0011452E" w:rsidRPr="00E858D2" w:rsidRDefault="0011452E" w:rsidP="00A73D15">
      <w:pPr>
        <w:jc w:val="both"/>
        <w:rPr>
          <w:rFonts w:ascii="Arial" w:eastAsia="Calibri" w:hAnsi="Arial" w:cs="Arial"/>
          <w:sz w:val="20"/>
          <w:szCs w:val="20"/>
          <w:lang w:val="es-ES_tradnl"/>
        </w:rPr>
      </w:pPr>
    </w:p>
    <w:p w14:paraId="229EE976" w14:textId="77777777" w:rsidR="0011452E" w:rsidRPr="00E858D2" w:rsidRDefault="0011452E" w:rsidP="00A73D15">
      <w:pPr>
        <w:jc w:val="both"/>
        <w:rPr>
          <w:rFonts w:ascii="Arial" w:eastAsia="Calibri" w:hAnsi="Arial" w:cs="Arial"/>
          <w:sz w:val="20"/>
          <w:szCs w:val="20"/>
          <w:lang w:val="es-ES_tradnl"/>
        </w:rPr>
      </w:pPr>
      <w:r w:rsidRPr="00E858D2">
        <w:rPr>
          <w:rFonts w:ascii="Arial" w:eastAsia="Calibri" w:hAnsi="Arial" w:cs="Arial"/>
          <w:b/>
          <w:sz w:val="22"/>
          <w:lang w:val="es-ES_tradnl"/>
        </w:rPr>
        <w:t>DOCUMENTOS TIPO – Ámbito de aplicación</w:t>
      </w:r>
    </w:p>
    <w:p w14:paraId="456F2B02" w14:textId="77777777" w:rsidR="0011452E" w:rsidRPr="00E858D2" w:rsidRDefault="0011452E" w:rsidP="00A73D15">
      <w:pPr>
        <w:jc w:val="both"/>
        <w:rPr>
          <w:rFonts w:ascii="Arial" w:eastAsia="Calibri" w:hAnsi="Arial" w:cs="Arial"/>
          <w:sz w:val="20"/>
          <w:szCs w:val="20"/>
          <w:lang w:val="es-ES_tradnl"/>
        </w:rPr>
      </w:pPr>
    </w:p>
    <w:p w14:paraId="54D1CF15" w14:textId="5D650518" w:rsidR="0011452E" w:rsidRDefault="0011452E" w:rsidP="00A73D15">
      <w:pPr>
        <w:jc w:val="both"/>
        <w:rPr>
          <w:rFonts w:ascii="Arial" w:eastAsia="Calibri" w:hAnsi="Arial" w:cs="Arial"/>
          <w:sz w:val="20"/>
          <w:szCs w:val="20"/>
          <w:lang w:val="es-ES_tradnl"/>
        </w:rPr>
      </w:pPr>
      <w:r w:rsidRPr="00E858D2">
        <w:rPr>
          <w:rFonts w:ascii="Arial" w:eastAsia="Calibri" w:hAnsi="Arial" w:cs="Arial"/>
          <w:sz w:val="20"/>
          <w:szCs w:val="20"/>
          <w:lang w:val="es-ES_tradnl"/>
        </w:rPr>
        <w:t>En cuanto al ámbito de aplicación de estos documentos, es preciso explicar que cada una de estas resoluciones están relacionadas con un sector, un objeto contractual y una modalidad de selección en específico.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w:t>
      </w:r>
    </w:p>
    <w:p w14:paraId="07816042" w14:textId="09568518" w:rsidR="008C6924" w:rsidRPr="008C6924" w:rsidRDefault="008C6924" w:rsidP="00A73D15">
      <w:pPr>
        <w:jc w:val="both"/>
        <w:rPr>
          <w:rFonts w:ascii="Arial" w:eastAsia="Calibri" w:hAnsi="Arial" w:cs="Arial"/>
          <w:sz w:val="22"/>
          <w:szCs w:val="22"/>
          <w:lang w:val="es-ES_tradnl"/>
        </w:rPr>
      </w:pPr>
    </w:p>
    <w:p w14:paraId="73F2ED77" w14:textId="1078B4A6" w:rsidR="008C6924" w:rsidRPr="008C6924" w:rsidRDefault="005272AC" w:rsidP="00A73D15">
      <w:pPr>
        <w:tabs>
          <w:tab w:val="left" w:pos="0"/>
        </w:tabs>
        <w:jc w:val="both"/>
        <w:rPr>
          <w:rFonts w:ascii="Arial" w:eastAsia="Calibri" w:hAnsi="Arial" w:cs="Arial"/>
          <w:b/>
          <w:sz w:val="22"/>
          <w:szCs w:val="22"/>
          <w:lang w:val="es-ES_tradnl"/>
        </w:rPr>
      </w:pPr>
      <w:r>
        <w:rPr>
          <w:rFonts w:ascii="Arial" w:eastAsia="Calibri" w:hAnsi="Arial" w:cs="Arial"/>
          <w:b/>
          <w:sz w:val="22"/>
          <w:szCs w:val="22"/>
          <w:lang w:val="es-ES_tradnl"/>
        </w:rPr>
        <w:t xml:space="preserve">NATURALEZA JURIDICA </w:t>
      </w:r>
      <w:r w:rsidR="008C6924" w:rsidRPr="008C6924">
        <w:rPr>
          <w:rFonts w:ascii="Arial" w:eastAsia="Calibri" w:hAnsi="Arial" w:cs="Arial"/>
          <w:b/>
          <w:sz w:val="22"/>
          <w:szCs w:val="22"/>
          <w:lang w:val="es-ES_tradnl"/>
        </w:rPr>
        <w:t xml:space="preserve">– Empresas Prestadoras de servicios públicos </w:t>
      </w:r>
      <w:r w:rsidRPr="008C6924">
        <w:rPr>
          <w:rFonts w:ascii="Arial" w:eastAsia="Calibri" w:hAnsi="Arial" w:cs="Arial"/>
          <w:b/>
          <w:sz w:val="22"/>
          <w:szCs w:val="22"/>
          <w:lang w:val="es-ES_tradnl"/>
        </w:rPr>
        <w:t>–</w:t>
      </w:r>
      <w:r>
        <w:rPr>
          <w:rFonts w:ascii="Arial" w:eastAsia="Calibri" w:hAnsi="Arial" w:cs="Arial"/>
          <w:b/>
          <w:sz w:val="22"/>
          <w:szCs w:val="22"/>
          <w:lang w:val="es-ES_tradnl"/>
        </w:rPr>
        <w:t xml:space="preserve"> Sociedades de economía mixta </w:t>
      </w:r>
      <w:r w:rsidRPr="008C6924">
        <w:rPr>
          <w:rFonts w:ascii="Arial" w:eastAsia="Calibri" w:hAnsi="Arial" w:cs="Arial"/>
          <w:b/>
          <w:sz w:val="22"/>
          <w:szCs w:val="22"/>
          <w:lang w:val="es-ES_tradnl"/>
        </w:rPr>
        <w:t>–</w:t>
      </w:r>
      <w:r>
        <w:rPr>
          <w:rFonts w:ascii="Arial" w:eastAsia="Calibri" w:hAnsi="Arial" w:cs="Arial"/>
          <w:b/>
          <w:sz w:val="22"/>
          <w:szCs w:val="22"/>
          <w:lang w:val="es-ES_tradnl"/>
        </w:rPr>
        <w:t xml:space="preserve"> Diferencias</w:t>
      </w:r>
    </w:p>
    <w:p w14:paraId="0C5BABB0" w14:textId="77777777" w:rsidR="00594257" w:rsidRDefault="00594257" w:rsidP="00A73D15">
      <w:pPr>
        <w:jc w:val="both"/>
        <w:rPr>
          <w:rFonts w:ascii="Arial" w:eastAsia="Calibri" w:hAnsi="Arial" w:cs="Arial"/>
          <w:bCs/>
          <w:sz w:val="20"/>
          <w:szCs w:val="20"/>
          <w:lang w:val="es-ES_tradnl"/>
        </w:rPr>
      </w:pPr>
    </w:p>
    <w:p w14:paraId="4E40005A" w14:textId="54DF0F52" w:rsidR="005272AC" w:rsidRPr="005272AC" w:rsidRDefault="005272AC" w:rsidP="00A73D15">
      <w:pPr>
        <w:jc w:val="both"/>
        <w:rPr>
          <w:rFonts w:ascii="Arial" w:eastAsia="Calibri" w:hAnsi="Arial" w:cs="Arial"/>
          <w:bCs/>
          <w:sz w:val="20"/>
          <w:szCs w:val="20"/>
          <w:lang w:val="es-ES_tradnl"/>
        </w:rPr>
      </w:pPr>
      <w:r>
        <w:rPr>
          <w:rFonts w:ascii="Arial" w:eastAsia="Calibri" w:hAnsi="Arial" w:cs="Arial"/>
          <w:bCs/>
          <w:sz w:val="20"/>
          <w:szCs w:val="20"/>
          <w:lang w:val="es-ES_tradnl"/>
        </w:rPr>
        <w:t>C</w:t>
      </w:r>
      <w:r w:rsidRPr="005272AC">
        <w:rPr>
          <w:rFonts w:ascii="Arial" w:eastAsia="Calibri" w:hAnsi="Arial" w:cs="Arial"/>
          <w:bCs/>
          <w:sz w:val="20"/>
          <w:szCs w:val="20"/>
          <w:lang w:val="es-ES_tradnl"/>
        </w:rPr>
        <w:t xml:space="preserve">onviene señalar que acorde con lo expresado por la Corte Constitucional en la Sentencia C-736 de 2007, las empresas de servicios públicos domiciliarios son entidades descentralizadas por servicios, independientemente de la naturaleza y porcentaje de su capital. En otras palabras, aunque </w:t>
      </w:r>
      <w:r>
        <w:rPr>
          <w:rFonts w:ascii="Arial" w:eastAsia="Calibri" w:hAnsi="Arial" w:cs="Arial"/>
          <w:bCs/>
          <w:sz w:val="20"/>
          <w:szCs w:val="20"/>
          <w:lang w:val="es-ES_tradnl"/>
        </w:rPr>
        <w:t>e</w:t>
      </w:r>
      <w:r w:rsidRPr="005272AC">
        <w:rPr>
          <w:rFonts w:ascii="Arial" w:eastAsia="Calibri" w:hAnsi="Arial" w:cs="Arial"/>
          <w:bCs/>
          <w:sz w:val="20"/>
          <w:szCs w:val="20"/>
          <w:lang w:val="es-ES_tradnl"/>
        </w:rPr>
        <w:t xml:space="preserve">l artículo 14 de la Ley 142 de 1994 establece que las empresas prestadoras de servicios públicos domiciliarios pueden ser </w:t>
      </w:r>
      <w:r w:rsidRPr="005272AC">
        <w:rPr>
          <w:rFonts w:ascii="Arial" w:eastAsia="Calibri" w:hAnsi="Arial" w:cs="Arial"/>
          <w:bCs/>
          <w:i/>
          <w:iCs/>
          <w:sz w:val="20"/>
          <w:szCs w:val="20"/>
          <w:lang w:val="es-ES_tradnl"/>
        </w:rPr>
        <w:t>oficiales</w:t>
      </w:r>
      <w:r w:rsidRPr="005272AC">
        <w:rPr>
          <w:rFonts w:ascii="Arial" w:eastAsia="Calibri" w:hAnsi="Arial" w:cs="Arial"/>
          <w:bCs/>
          <w:sz w:val="20"/>
          <w:szCs w:val="20"/>
          <w:lang w:val="es-ES_tradnl"/>
        </w:rPr>
        <w:t xml:space="preserve">, </w:t>
      </w:r>
      <w:r w:rsidRPr="005272AC">
        <w:rPr>
          <w:rFonts w:ascii="Arial" w:eastAsia="Calibri" w:hAnsi="Arial" w:cs="Arial"/>
          <w:bCs/>
          <w:i/>
          <w:iCs/>
          <w:sz w:val="20"/>
          <w:szCs w:val="20"/>
          <w:lang w:val="es-ES_tradnl"/>
        </w:rPr>
        <w:t>mixtas</w:t>
      </w:r>
      <w:r w:rsidRPr="005272AC">
        <w:rPr>
          <w:rFonts w:ascii="Arial" w:eastAsia="Calibri" w:hAnsi="Arial" w:cs="Arial"/>
          <w:bCs/>
          <w:sz w:val="20"/>
          <w:szCs w:val="20"/>
          <w:lang w:val="es-ES_tradnl"/>
        </w:rPr>
        <w:t xml:space="preserve"> o </w:t>
      </w:r>
      <w:r w:rsidRPr="005272AC">
        <w:rPr>
          <w:rFonts w:ascii="Arial" w:eastAsia="Calibri" w:hAnsi="Arial" w:cs="Arial"/>
          <w:bCs/>
          <w:i/>
          <w:iCs/>
          <w:sz w:val="20"/>
          <w:szCs w:val="20"/>
          <w:lang w:val="es-ES_tradnl"/>
        </w:rPr>
        <w:t>privadas</w:t>
      </w:r>
      <w:r w:rsidRPr="005272AC">
        <w:rPr>
          <w:rFonts w:ascii="Arial" w:eastAsia="Calibri" w:hAnsi="Arial" w:cs="Arial"/>
          <w:bCs/>
          <w:sz w:val="20"/>
          <w:szCs w:val="20"/>
          <w:lang w:val="es-ES_tradnl"/>
        </w:rPr>
        <w:t xml:space="preserve">, estas tres especies ingresan en la categoría de las </w:t>
      </w:r>
      <w:r w:rsidRPr="005272AC">
        <w:rPr>
          <w:rFonts w:ascii="Arial" w:eastAsia="Calibri" w:hAnsi="Arial" w:cs="Arial"/>
          <w:bCs/>
          <w:i/>
          <w:iCs/>
          <w:sz w:val="20"/>
          <w:szCs w:val="20"/>
          <w:lang w:val="es-ES_tradnl"/>
        </w:rPr>
        <w:t>entidades descentralizadas por servicios</w:t>
      </w:r>
      <w:r w:rsidRPr="005272AC">
        <w:rPr>
          <w:rFonts w:ascii="Arial" w:eastAsia="Calibri" w:hAnsi="Arial" w:cs="Arial"/>
          <w:bCs/>
          <w:sz w:val="20"/>
          <w:szCs w:val="20"/>
          <w:lang w:val="es-ES_tradnl"/>
        </w:rPr>
        <w:t xml:space="preserve">. Adicionalmente, debe recordarse que en dicha Sentencia el alto tribunal afirmó que las empresas prestadoras de servicios públicos domiciliarios </w:t>
      </w:r>
      <w:r w:rsidRPr="005272AC">
        <w:rPr>
          <w:rFonts w:ascii="Arial" w:eastAsia="Calibri" w:hAnsi="Arial" w:cs="Arial"/>
          <w:bCs/>
          <w:i/>
          <w:iCs/>
          <w:sz w:val="20"/>
          <w:szCs w:val="20"/>
          <w:lang w:val="es-ES_tradnl"/>
        </w:rPr>
        <w:t>mixtas y privadas</w:t>
      </w:r>
      <w:r w:rsidRPr="005272AC">
        <w:rPr>
          <w:rFonts w:ascii="Arial" w:eastAsia="Calibri" w:hAnsi="Arial" w:cs="Arial"/>
          <w:bCs/>
          <w:sz w:val="20"/>
          <w:szCs w:val="20"/>
          <w:lang w:val="es-ES_tradnl"/>
        </w:rPr>
        <w:t xml:space="preserve"> son tipos </w:t>
      </w:r>
      <w:r w:rsidRPr="005272AC">
        <w:rPr>
          <w:rFonts w:ascii="Arial" w:eastAsia="Calibri" w:hAnsi="Arial" w:cs="Arial"/>
          <w:bCs/>
          <w:i/>
          <w:iCs/>
          <w:sz w:val="20"/>
          <w:szCs w:val="20"/>
          <w:lang w:val="es-ES_tradnl"/>
        </w:rPr>
        <w:t>especiales</w:t>
      </w:r>
      <w:r w:rsidRPr="005272AC">
        <w:rPr>
          <w:rFonts w:ascii="Arial" w:eastAsia="Calibri" w:hAnsi="Arial" w:cs="Arial"/>
          <w:bCs/>
          <w:sz w:val="20"/>
          <w:szCs w:val="20"/>
          <w:lang w:val="es-ES_tradnl"/>
        </w:rPr>
        <w:t xml:space="preserve"> de entidades descentralizadas por servicios que, por tanto, no pueden encasillarse en las otras especies de entidades descentralizadas por servicios enlistadas </w:t>
      </w:r>
      <w:r w:rsidRPr="005272AC">
        <w:rPr>
          <w:rFonts w:ascii="Arial" w:eastAsia="Calibri" w:hAnsi="Arial" w:cs="Arial"/>
          <w:bCs/>
          <w:sz w:val="20"/>
          <w:szCs w:val="20"/>
          <w:lang w:val="es-ES_tradnl"/>
        </w:rPr>
        <w:lastRenderedPageBreak/>
        <w:t>en el artículo 38 de la Ley 489 de 1998, es decir, que no cabe considerarlas, verbigracia, dentro de las sociedades públicas, ni en las sociedades de economía mixta.</w:t>
      </w:r>
    </w:p>
    <w:p w14:paraId="10022CED" w14:textId="77777777" w:rsidR="0011452E" w:rsidRPr="00E858D2" w:rsidRDefault="0011452E" w:rsidP="00A73D15">
      <w:pPr>
        <w:jc w:val="both"/>
        <w:rPr>
          <w:rFonts w:ascii="Arial" w:eastAsia="Calibri" w:hAnsi="Arial" w:cs="Arial"/>
          <w:sz w:val="20"/>
          <w:szCs w:val="20"/>
          <w:lang w:val="es-ES_tradnl"/>
        </w:rPr>
      </w:pPr>
    </w:p>
    <w:p w14:paraId="3E8240D6" w14:textId="2739EE4D" w:rsidR="0011452E" w:rsidRPr="00E858D2" w:rsidRDefault="0011452E" w:rsidP="00A73D15">
      <w:pPr>
        <w:jc w:val="both"/>
        <w:rPr>
          <w:rFonts w:ascii="Arial" w:eastAsia="Calibri" w:hAnsi="Arial" w:cs="Arial"/>
          <w:b/>
          <w:sz w:val="22"/>
          <w:lang w:val="es-ES_tradnl"/>
        </w:rPr>
      </w:pPr>
      <w:r w:rsidRPr="00E858D2">
        <w:rPr>
          <w:rFonts w:ascii="Arial" w:eastAsia="Calibri" w:hAnsi="Arial" w:cs="Arial"/>
          <w:b/>
          <w:sz w:val="22"/>
          <w:lang w:val="es-ES_tradnl"/>
        </w:rPr>
        <w:t>LEY 2195 DE 2022 – Artículo 56 – Documentos tipo – Estatuto General de Contratación de la Administración Pública</w:t>
      </w:r>
    </w:p>
    <w:p w14:paraId="25FE292F" w14:textId="77777777" w:rsidR="0011452E" w:rsidRPr="00E858D2" w:rsidRDefault="0011452E" w:rsidP="00A73D15">
      <w:pPr>
        <w:jc w:val="both"/>
        <w:rPr>
          <w:rFonts w:ascii="Arial" w:eastAsia="Calibri" w:hAnsi="Arial" w:cs="Arial"/>
          <w:b/>
          <w:sz w:val="22"/>
          <w:lang w:val="es-ES_tradnl"/>
        </w:rPr>
      </w:pPr>
    </w:p>
    <w:p w14:paraId="227EC8F1" w14:textId="77777777" w:rsidR="0011452E" w:rsidRPr="00E858D2" w:rsidRDefault="0011452E" w:rsidP="00A73D15">
      <w:pPr>
        <w:jc w:val="both"/>
        <w:rPr>
          <w:rFonts w:ascii="Arial" w:eastAsia="Calibri" w:hAnsi="Arial" w:cs="Arial"/>
          <w:bCs/>
          <w:sz w:val="20"/>
          <w:szCs w:val="22"/>
          <w:lang w:val="es-ES_tradnl"/>
        </w:rPr>
      </w:pPr>
      <w:r w:rsidRPr="00E858D2">
        <w:rPr>
          <w:rFonts w:ascii="Arial" w:eastAsia="Calibri" w:hAnsi="Arial" w:cs="Arial"/>
          <w:bCs/>
          <w:sz w:val="20"/>
          <w:szCs w:val="22"/>
          <w:lang w:val="es-ES_tradnl"/>
        </w:rPr>
        <w:t xml:space="preserve">De conformidad con los dos primeros incisos del artículo 56 de la Ley 2195 de 2022, las entidades estatales de régimen especial o exceptuado, los patrimonios autónomos, las personas naturales y jurídicas de derecho privado, que en el marco de compromisos contractuales derivados de contratos o convenios de cualquier índole con entidades sometidas al Estatuto General de Contratación de la Administración Pública, deban contratar objetos cobijados por el ámbito de los documentos tipo, están obligadas a contratarlos aplicando los mencionados documentos. En virtud de dicha disposición, tales entidades, además, deberán adelantar el Proceso de Contratación y celebrar el contrato conforme al Estatuto General de Contratación de la Administración Pública.  </w:t>
      </w:r>
    </w:p>
    <w:p w14:paraId="24757706" w14:textId="77777777" w:rsidR="0011452E" w:rsidRPr="00E858D2" w:rsidRDefault="0011452E" w:rsidP="00A73D15">
      <w:pPr>
        <w:jc w:val="both"/>
        <w:rPr>
          <w:rFonts w:ascii="Arial" w:hAnsi="Arial" w:cs="Arial"/>
          <w:noProof/>
          <w:sz w:val="22"/>
          <w:lang w:val="es-ES_tradnl"/>
        </w:rPr>
      </w:pPr>
    </w:p>
    <w:p w14:paraId="72396605" w14:textId="5F9D2FCE" w:rsidR="008C6924" w:rsidRDefault="008C6924" w:rsidP="00A73D15">
      <w:pPr>
        <w:tabs>
          <w:tab w:val="left" w:pos="0"/>
        </w:tabs>
        <w:jc w:val="both"/>
        <w:rPr>
          <w:rFonts w:ascii="Arial" w:eastAsia="Calibri" w:hAnsi="Arial" w:cs="Arial"/>
          <w:b/>
          <w:color w:val="000000" w:themeColor="text1"/>
          <w:sz w:val="22"/>
          <w:lang w:val="es-ES_tradnl"/>
        </w:rPr>
      </w:pPr>
      <w:r w:rsidRPr="00864E72">
        <w:rPr>
          <w:rFonts w:ascii="Arial" w:eastAsia="Calibri" w:hAnsi="Arial" w:cs="Arial"/>
          <w:b/>
          <w:color w:val="000000" w:themeColor="text1"/>
          <w:sz w:val="22"/>
          <w:lang w:val="es-ES_tradnl"/>
        </w:rPr>
        <w:t xml:space="preserve">LEY 2195 DE 2022 – Artículo 56 – Parágrafo – Excepciones </w:t>
      </w:r>
      <w:r w:rsidR="005272AC" w:rsidRPr="00864E72">
        <w:rPr>
          <w:rFonts w:ascii="Arial" w:eastAsia="Calibri" w:hAnsi="Arial" w:cs="Arial"/>
          <w:b/>
          <w:color w:val="000000" w:themeColor="text1"/>
          <w:sz w:val="22"/>
          <w:lang w:val="es-ES_tradnl"/>
        </w:rPr>
        <w:t>–</w:t>
      </w:r>
      <w:r w:rsidR="005272AC">
        <w:rPr>
          <w:rFonts w:ascii="Arial" w:eastAsia="Calibri" w:hAnsi="Arial" w:cs="Arial"/>
          <w:b/>
          <w:color w:val="000000" w:themeColor="text1"/>
          <w:sz w:val="22"/>
          <w:lang w:val="es-ES_tradnl"/>
        </w:rPr>
        <w:t xml:space="preserve"> </w:t>
      </w:r>
      <w:r w:rsidR="005272AC" w:rsidRPr="00864E72">
        <w:rPr>
          <w:rFonts w:ascii="Arial" w:eastAsia="Calibri" w:hAnsi="Arial" w:cs="Arial"/>
          <w:b/>
          <w:color w:val="000000" w:themeColor="text1"/>
          <w:sz w:val="22"/>
          <w:lang w:val="es-ES_tradnl"/>
        </w:rPr>
        <w:t>Interpretación restrictiva</w:t>
      </w:r>
    </w:p>
    <w:p w14:paraId="2C3FE0E2" w14:textId="77777777" w:rsidR="00A73D15" w:rsidRPr="00864E72" w:rsidRDefault="00A73D15" w:rsidP="00A73D15">
      <w:pPr>
        <w:tabs>
          <w:tab w:val="left" w:pos="0"/>
        </w:tabs>
        <w:jc w:val="both"/>
        <w:rPr>
          <w:rFonts w:ascii="Arial" w:eastAsia="Calibri" w:hAnsi="Arial" w:cs="Arial"/>
          <w:bCs/>
          <w:color w:val="000000" w:themeColor="text1"/>
          <w:sz w:val="22"/>
          <w:lang w:val="es-ES_tradnl"/>
        </w:rPr>
      </w:pPr>
    </w:p>
    <w:p w14:paraId="0368BDF1" w14:textId="77777777" w:rsidR="00F7603E" w:rsidRDefault="008C6924" w:rsidP="00A73D15">
      <w:pPr>
        <w:jc w:val="both"/>
        <w:rPr>
          <w:rFonts w:ascii="Arial" w:eastAsia="Calibri" w:hAnsi="Arial" w:cs="Arial"/>
          <w:bCs/>
          <w:color w:val="000000" w:themeColor="text1"/>
          <w:sz w:val="20"/>
          <w:szCs w:val="22"/>
          <w:lang w:val="es-ES_tradnl"/>
        </w:rPr>
      </w:pPr>
      <w:r w:rsidRPr="00864E72">
        <w:rPr>
          <w:rFonts w:ascii="Arial" w:eastAsia="Calibri" w:hAnsi="Arial" w:cs="Arial"/>
          <w:bCs/>
          <w:color w:val="000000" w:themeColor="text1"/>
          <w:sz w:val="20"/>
          <w:szCs w:val="22"/>
          <w:lang w:val="es-ES_tradnl"/>
        </w:rPr>
        <w:t>De conformidad con los dos primeros incisos del artículo 56 de la Ley 2195 de 2022, las entidades estatales de régimen especial o exceptuado, los patrimonios autónomos, las personas naturales y jurídicas de derecho privado, que en el marco de compromisos contractuales derivados de contratos o convenios de cualquier índole con entidades sometidas al Estatuto General de Contratación de la Administración Pública, deban contratar objetos cobijados por el ámbito de los documentos tipo, están obligadas a contratarlos aplicando los mencionados documentos. En virtud de dicha disposición, tales entidades, además, deberán adelantar el Proceso de Contratación y celebrar el contrato conforme al Estatuto General de Contratación de la Administración Pública.  No obstante, de conformidad con lo establecido en el parágrafo de dicha norma, las instituciones de educación superior públicas, las empresas sociales del Estado, las sociedades de economía mixta y las empresas industriales y comerciales del Estado, están exceptuadas de la aplicación de los documentos tipo y del Estatuto General de Contratación de la Administración Pública, en la contratación relacionada con su giro ordinario, independientemente de que deban contratar objetos cobijados por documentos tipo.</w:t>
      </w:r>
    </w:p>
    <w:p w14:paraId="3E9DCFD4" w14:textId="77777777" w:rsidR="00F7603E" w:rsidRDefault="00F7603E" w:rsidP="00A73D15">
      <w:pPr>
        <w:jc w:val="both"/>
        <w:rPr>
          <w:rFonts w:ascii="Arial" w:eastAsia="Calibri" w:hAnsi="Arial" w:cs="Arial"/>
          <w:bCs/>
          <w:color w:val="000000" w:themeColor="text1"/>
          <w:sz w:val="20"/>
          <w:szCs w:val="22"/>
          <w:lang w:val="es-ES_tradnl"/>
        </w:rPr>
      </w:pPr>
    </w:p>
    <w:p w14:paraId="75E896C2" w14:textId="473AC50B" w:rsidR="00F7603E" w:rsidRPr="00864E72" w:rsidRDefault="00F7603E" w:rsidP="00A73D15">
      <w:pPr>
        <w:jc w:val="both"/>
        <w:rPr>
          <w:rFonts w:ascii="Arial" w:hAnsi="Arial" w:cs="Arial"/>
          <w:noProof/>
          <w:color w:val="000000" w:themeColor="text1"/>
          <w:sz w:val="20"/>
          <w:szCs w:val="22"/>
          <w:lang w:val="es-ES_tradnl"/>
        </w:rPr>
      </w:pPr>
      <w:r>
        <w:rPr>
          <w:rFonts w:ascii="Arial" w:eastAsia="Calibri" w:hAnsi="Arial" w:cs="Arial"/>
          <w:bCs/>
          <w:color w:val="000000" w:themeColor="text1"/>
          <w:sz w:val="20"/>
          <w:szCs w:val="22"/>
          <w:lang w:val="es-ES_tradnl"/>
        </w:rPr>
        <w:t xml:space="preserve">[….] </w:t>
      </w:r>
    </w:p>
    <w:p w14:paraId="21573F8A" w14:textId="77777777" w:rsidR="00F7603E" w:rsidRDefault="00F7603E" w:rsidP="00A73D15">
      <w:pPr>
        <w:jc w:val="both"/>
        <w:rPr>
          <w:rFonts w:ascii="Arial" w:hAnsi="Arial" w:cs="Arial"/>
          <w:noProof/>
          <w:color w:val="000000" w:themeColor="text1"/>
          <w:sz w:val="20"/>
          <w:szCs w:val="22"/>
          <w:lang w:val="es-ES_tradnl"/>
        </w:rPr>
      </w:pPr>
    </w:p>
    <w:p w14:paraId="76EC8A4F" w14:textId="3CF1BFC8" w:rsidR="00F7603E" w:rsidRPr="00864E72" w:rsidRDefault="00F7603E" w:rsidP="00A73D15">
      <w:pPr>
        <w:jc w:val="both"/>
        <w:rPr>
          <w:rFonts w:ascii="Arial" w:hAnsi="Arial" w:cs="Arial"/>
          <w:noProof/>
          <w:color w:val="000000" w:themeColor="text1"/>
          <w:sz w:val="22"/>
          <w:lang w:val="es-ES_tradnl"/>
        </w:rPr>
      </w:pPr>
      <w:r w:rsidRPr="00864E72">
        <w:rPr>
          <w:rFonts w:ascii="Arial" w:hAnsi="Arial" w:cs="Arial"/>
          <w:noProof/>
          <w:color w:val="000000" w:themeColor="text1"/>
          <w:sz w:val="20"/>
          <w:szCs w:val="22"/>
          <w:lang w:val="es-ES_tradnl"/>
        </w:rPr>
        <w:t xml:space="preserve">De acuerdo con esta interpretación restrictiva,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giro ordinario, 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 , al igual que la regla según la cual «Lo favorable u odioso de una disposición no se tomará en cuenta para ampliar o restringir su interpretación». </w:t>
      </w:r>
    </w:p>
    <w:p w14:paraId="6B82F6F3" w14:textId="77777777" w:rsidR="00F7603E" w:rsidRPr="00864E72" w:rsidRDefault="00F7603E" w:rsidP="00A73D15">
      <w:pPr>
        <w:jc w:val="both"/>
        <w:rPr>
          <w:rFonts w:ascii="Arial" w:hAnsi="Arial" w:cs="Arial"/>
          <w:noProof/>
          <w:color w:val="000000" w:themeColor="text1"/>
          <w:sz w:val="22"/>
          <w:lang w:val="es-ES_tradnl"/>
        </w:rPr>
      </w:pPr>
    </w:p>
    <w:p w14:paraId="1F0BCD59" w14:textId="1A48CB08" w:rsidR="008C6924" w:rsidRPr="00864E72" w:rsidRDefault="008C6924" w:rsidP="008C6924">
      <w:pPr>
        <w:tabs>
          <w:tab w:val="left" w:pos="0"/>
        </w:tabs>
        <w:spacing w:after="120"/>
        <w:jc w:val="both"/>
        <w:rPr>
          <w:rFonts w:ascii="Arial" w:eastAsia="Calibri" w:hAnsi="Arial" w:cs="Arial"/>
          <w:bCs/>
          <w:color w:val="000000" w:themeColor="text1"/>
          <w:sz w:val="20"/>
          <w:szCs w:val="22"/>
          <w:lang w:val="es-ES_tradnl"/>
        </w:rPr>
      </w:pPr>
    </w:p>
    <w:p w14:paraId="5B1EF950" w14:textId="77777777" w:rsidR="0011452E" w:rsidRDefault="0011452E" w:rsidP="0011452E">
      <w:pPr>
        <w:tabs>
          <w:tab w:val="left" w:pos="0"/>
        </w:tabs>
        <w:spacing w:after="120" w:line="276" w:lineRule="auto"/>
        <w:jc w:val="both"/>
        <w:rPr>
          <w:rFonts w:ascii="Arial" w:eastAsia="Calibri" w:hAnsi="Arial" w:cs="Arial"/>
          <w:b/>
          <w:sz w:val="22"/>
          <w:lang w:val="es-ES_tradnl"/>
        </w:rPr>
      </w:pPr>
    </w:p>
    <w:p w14:paraId="022E4F4D" w14:textId="77777777" w:rsidR="00113952" w:rsidRDefault="00113952" w:rsidP="00C118DB">
      <w:pPr>
        <w:spacing w:line="276" w:lineRule="auto"/>
        <w:jc w:val="both"/>
        <w:rPr>
          <w:rFonts w:ascii="Arial" w:hAnsi="Arial" w:cs="Arial"/>
          <w:noProof/>
          <w:color w:val="000000" w:themeColor="text1"/>
          <w:sz w:val="22"/>
        </w:rPr>
      </w:pPr>
    </w:p>
    <w:p w14:paraId="7BC130C9" w14:textId="333E1EB0" w:rsidR="002E7A01" w:rsidRDefault="002E7A01" w:rsidP="002E7A01">
      <w:pPr>
        <w:spacing w:line="276" w:lineRule="auto"/>
        <w:jc w:val="right"/>
        <w:rPr>
          <w:rFonts w:ascii="Arial" w:hAnsi="Arial" w:cs="Arial"/>
          <w:noProof/>
          <w:color w:val="000000" w:themeColor="text1"/>
          <w:sz w:val="22"/>
        </w:rPr>
      </w:pPr>
      <w:r w:rsidRPr="002E7A01">
        <w:rPr>
          <w:rFonts w:ascii="Arial" w:hAnsi="Arial" w:cs="Arial"/>
          <w:noProof/>
          <w:color w:val="000000" w:themeColor="text1"/>
          <w:sz w:val="22"/>
        </w:rPr>
        <w:drawing>
          <wp:inline distT="0" distB="0" distL="0" distR="0" wp14:anchorId="66844808" wp14:editId="695E6472">
            <wp:extent cx="2257425" cy="7143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714375"/>
                    </a:xfrm>
                    <a:prstGeom prst="rect">
                      <a:avLst/>
                    </a:prstGeom>
                    <a:noFill/>
                    <a:ln>
                      <a:noFill/>
                    </a:ln>
                  </pic:spPr>
                </pic:pic>
              </a:graphicData>
            </a:graphic>
          </wp:inline>
        </w:drawing>
      </w:r>
    </w:p>
    <w:p w14:paraId="7BCE8B92" w14:textId="77777777" w:rsidR="002E7A01" w:rsidRDefault="002E7A01" w:rsidP="002E7A01">
      <w:pPr>
        <w:spacing w:line="276" w:lineRule="auto"/>
        <w:jc w:val="both"/>
        <w:rPr>
          <w:rFonts w:ascii="Arial" w:hAnsi="Arial" w:cs="Arial"/>
          <w:noProof/>
          <w:color w:val="000000" w:themeColor="text1"/>
          <w:sz w:val="22"/>
        </w:rPr>
      </w:pPr>
    </w:p>
    <w:p w14:paraId="6A8A869B" w14:textId="23E1464A" w:rsidR="00B95C30" w:rsidRPr="002E7A01" w:rsidRDefault="00B95C30" w:rsidP="002E7A01">
      <w:pPr>
        <w:spacing w:line="276" w:lineRule="auto"/>
        <w:jc w:val="both"/>
        <w:rPr>
          <w:rFonts w:ascii="Arial" w:hAnsi="Arial" w:cs="Arial"/>
          <w:b/>
          <w:color w:val="000000" w:themeColor="text1"/>
          <w:sz w:val="22"/>
        </w:rPr>
      </w:pPr>
      <w:r w:rsidRPr="00A51520">
        <w:rPr>
          <w:rFonts w:ascii="Arial" w:hAnsi="Arial" w:cs="Arial"/>
          <w:noProof/>
          <w:color w:val="000000" w:themeColor="text1"/>
          <w:sz w:val="22"/>
        </w:rPr>
        <w:t xml:space="preserve">Bogotá D.C., </w:t>
      </w:r>
      <w:r w:rsidR="002E7A01">
        <w:rPr>
          <w:rFonts w:ascii="Arial" w:hAnsi="Arial" w:cs="Arial"/>
          <w:b/>
          <w:color w:val="000000" w:themeColor="text1"/>
          <w:sz w:val="22"/>
        </w:rPr>
        <w:t>25/07/2022</w:t>
      </w:r>
    </w:p>
    <w:p w14:paraId="5FDF9495" w14:textId="77777777" w:rsidR="00631A31" w:rsidRPr="00A51520" w:rsidRDefault="00631A31" w:rsidP="00B95C30">
      <w:pPr>
        <w:jc w:val="both"/>
        <w:rPr>
          <w:rFonts w:ascii="Arial" w:hAnsi="Arial" w:cs="Arial"/>
          <w:b/>
          <w:color w:val="000000" w:themeColor="text1"/>
          <w:sz w:val="22"/>
          <w:lang w:val="pt-BR"/>
        </w:rPr>
      </w:pPr>
    </w:p>
    <w:p w14:paraId="5F5AE9EF" w14:textId="4BCE3E9D" w:rsidR="00B95C30" w:rsidRPr="00A51520" w:rsidRDefault="00B95C30" w:rsidP="00B95C30">
      <w:pPr>
        <w:jc w:val="both"/>
        <w:rPr>
          <w:rFonts w:ascii="Arial" w:eastAsia="Calibri" w:hAnsi="Arial" w:cs="Arial"/>
          <w:color w:val="000000" w:themeColor="text1"/>
          <w:sz w:val="22"/>
        </w:rPr>
      </w:pPr>
      <w:bookmarkStart w:id="4" w:name="_Hlk100051121"/>
      <w:r w:rsidRPr="00A51520">
        <w:rPr>
          <w:rFonts w:ascii="Arial" w:eastAsia="Calibri" w:hAnsi="Arial" w:cs="Arial"/>
          <w:color w:val="000000" w:themeColor="text1"/>
          <w:sz w:val="22"/>
        </w:rPr>
        <w:t>Señor</w:t>
      </w:r>
      <w:r w:rsidR="00F14618">
        <w:rPr>
          <w:rFonts w:ascii="Arial" w:eastAsia="Calibri" w:hAnsi="Arial" w:cs="Arial"/>
          <w:color w:val="000000" w:themeColor="text1"/>
          <w:sz w:val="22"/>
        </w:rPr>
        <w:t>a</w:t>
      </w:r>
    </w:p>
    <w:p w14:paraId="798A20AC" w14:textId="01DA9929" w:rsidR="005F5F37" w:rsidRPr="00A51520" w:rsidRDefault="00F14618" w:rsidP="00F650A2">
      <w:pPr>
        <w:tabs>
          <w:tab w:val="center" w:pos="4394"/>
        </w:tabs>
        <w:jc w:val="both"/>
        <w:rPr>
          <w:rFonts w:ascii="Arial" w:eastAsia="Calibri" w:hAnsi="Arial" w:cs="Arial"/>
          <w:b/>
          <w:color w:val="000000" w:themeColor="text1"/>
          <w:sz w:val="22"/>
        </w:rPr>
      </w:pPr>
      <w:r>
        <w:rPr>
          <w:rFonts w:ascii="Arial" w:eastAsia="Calibri" w:hAnsi="Arial" w:cs="Arial"/>
          <w:b/>
          <w:color w:val="000000" w:themeColor="text1"/>
          <w:sz w:val="22"/>
        </w:rPr>
        <w:t>Sandra Patricia Avellaneda</w:t>
      </w:r>
      <w:r w:rsidR="00F650A2">
        <w:rPr>
          <w:rFonts w:ascii="Arial" w:eastAsia="Calibri" w:hAnsi="Arial" w:cs="Arial"/>
          <w:b/>
          <w:color w:val="000000" w:themeColor="text1"/>
          <w:sz w:val="22"/>
        </w:rPr>
        <w:tab/>
      </w:r>
    </w:p>
    <w:p w14:paraId="4A1C8FFE" w14:textId="0A413161" w:rsidR="008120C4" w:rsidRDefault="00F14618" w:rsidP="003C0791">
      <w:pPr>
        <w:rPr>
          <w:rFonts w:ascii="Arial" w:eastAsia="Calibri" w:hAnsi="Arial" w:cs="Arial"/>
          <w:b/>
          <w:bCs/>
          <w:color w:val="000000" w:themeColor="text1"/>
          <w:sz w:val="22"/>
        </w:rPr>
      </w:pPr>
      <w:r>
        <w:rPr>
          <w:rFonts w:ascii="Arial" w:eastAsia="Calibri" w:hAnsi="Arial" w:cs="Arial"/>
          <w:bCs/>
          <w:color w:val="000000" w:themeColor="text1"/>
          <w:sz w:val="22"/>
        </w:rPr>
        <w:t>Bogotá D.C.</w:t>
      </w:r>
    </w:p>
    <w:p w14:paraId="122205C3" w14:textId="77777777" w:rsidR="000277A2" w:rsidRPr="00A51520" w:rsidRDefault="000277A2" w:rsidP="003C0791">
      <w:pPr>
        <w:rPr>
          <w:rFonts w:ascii="Arial" w:eastAsia="Calibri" w:hAnsi="Arial" w:cs="Arial"/>
          <w:b/>
          <w:bCs/>
          <w:color w:val="000000" w:themeColor="text1"/>
          <w:sz w:val="22"/>
        </w:rPr>
      </w:pPr>
    </w:p>
    <w:p w14:paraId="1BD594F9" w14:textId="53658818" w:rsidR="00B95C30" w:rsidRPr="00A51520" w:rsidRDefault="005B1504" w:rsidP="003C0791">
      <w:pPr>
        <w:rPr>
          <w:rFonts w:ascii="Arial" w:eastAsia="Calibri" w:hAnsi="Arial" w:cs="Arial"/>
          <w:b/>
          <w:bCs/>
          <w:color w:val="000000" w:themeColor="text1"/>
          <w:sz w:val="22"/>
          <w:lang w:val="pt-BR"/>
        </w:rPr>
      </w:pPr>
      <w:r w:rsidRPr="00A51520">
        <w:rPr>
          <w:rFonts w:ascii="Arial" w:eastAsia="Calibri" w:hAnsi="Arial" w:cs="Arial"/>
          <w:b/>
          <w:bCs/>
          <w:color w:val="000000" w:themeColor="text1"/>
          <w:sz w:val="22"/>
        </w:rPr>
        <w:t xml:space="preserve">                     </w:t>
      </w:r>
      <w:r w:rsidR="00923FA6">
        <w:rPr>
          <w:rFonts w:ascii="Arial" w:eastAsia="Calibri" w:hAnsi="Arial" w:cs="Arial"/>
          <w:b/>
          <w:bCs/>
          <w:color w:val="000000" w:themeColor="text1"/>
          <w:sz w:val="22"/>
        </w:rPr>
        <w:t xml:space="preserve">                      </w:t>
      </w:r>
      <w:r w:rsidRPr="00A51520">
        <w:rPr>
          <w:rFonts w:ascii="Arial" w:eastAsia="Calibri" w:hAnsi="Arial" w:cs="Arial"/>
          <w:b/>
          <w:bCs/>
          <w:color w:val="000000" w:themeColor="text1"/>
          <w:sz w:val="22"/>
        </w:rPr>
        <w:t xml:space="preserve"> </w:t>
      </w:r>
      <w:r w:rsidR="00023FA5" w:rsidRPr="00A51520">
        <w:rPr>
          <w:rFonts w:ascii="Arial" w:eastAsia="Calibri" w:hAnsi="Arial" w:cs="Arial"/>
          <w:b/>
          <w:bCs/>
          <w:color w:val="000000" w:themeColor="text1"/>
          <w:sz w:val="22"/>
          <w:lang w:val="pt-BR"/>
        </w:rPr>
        <w:t xml:space="preserve">Concepto C ‒ </w:t>
      </w:r>
      <w:r w:rsidR="00BA2D78">
        <w:rPr>
          <w:rFonts w:ascii="Arial" w:eastAsia="Calibri" w:hAnsi="Arial" w:cs="Arial"/>
          <w:b/>
          <w:bCs/>
          <w:color w:val="000000" w:themeColor="text1"/>
          <w:sz w:val="22"/>
          <w:lang w:val="pt-BR"/>
        </w:rPr>
        <w:t>449</w:t>
      </w:r>
      <w:r w:rsidR="000277A2">
        <w:rPr>
          <w:rFonts w:ascii="Arial" w:eastAsia="Calibri" w:hAnsi="Arial" w:cs="Arial"/>
          <w:b/>
          <w:bCs/>
          <w:color w:val="000000" w:themeColor="text1"/>
          <w:sz w:val="22"/>
          <w:lang w:val="pt-BR"/>
        </w:rPr>
        <w:t xml:space="preserve"> </w:t>
      </w:r>
      <w:r w:rsidR="00275FBF" w:rsidRPr="00A51520">
        <w:rPr>
          <w:rFonts w:ascii="Arial" w:eastAsia="Calibri" w:hAnsi="Arial" w:cs="Arial"/>
          <w:b/>
          <w:bCs/>
          <w:color w:val="000000" w:themeColor="text1"/>
          <w:sz w:val="22"/>
          <w:lang w:val="pt-BR"/>
        </w:rPr>
        <w:t>de 202</w:t>
      </w:r>
      <w:r w:rsidR="00BF4EC5" w:rsidRPr="00A51520">
        <w:rPr>
          <w:rFonts w:ascii="Arial" w:eastAsia="Calibri" w:hAnsi="Arial" w:cs="Arial"/>
          <w:b/>
          <w:bCs/>
          <w:color w:val="000000" w:themeColor="text1"/>
          <w:sz w:val="22"/>
          <w:lang w:val="pt-BR"/>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3138A4">
        <w:trPr>
          <w:trHeight w:val="1735"/>
        </w:trPr>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tcPr>
          <w:p w14:paraId="5F389CAF" w14:textId="1AE9D5C8" w:rsidR="00B95C30" w:rsidRPr="003138A4" w:rsidRDefault="00895FD3" w:rsidP="00F90FA8">
            <w:pPr>
              <w:tabs>
                <w:tab w:val="left" w:pos="0"/>
              </w:tabs>
              <w:jc w:val="both"/>
              <w:rPr>
                <w:rFonts w:ascii="Arial" w:eastAsia="Calibri" w:hAnsi="Arial" w:cs="Arial"/>
                <w:bCs/>
                <w:sz w:val="22"/>
                <w:lang w:val="es-ES_tradnl"/>
              </w:rPr>
            </w:pPr>
            <w:r w:rsidRPr="00E858D2">
              <w:rPr>
                <w:rFonts w:ascii="Arial" w:eastAsia="Calibri" w:hAnsi="Arial" w:cs="Arial"/>
                <w:bCs/>
                <w:sz w:val="22"/>
                <w:lang w:val="es-ES_tradnl"/>
              </w:rPr>
              <w:t>DOCUMENTOS TIPO – Fundamento normativo – Ley 2022 de 2020</w:t>
            </w:r>
            <w:r w:rsidR="008D30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 DOCUMENTOS TIPO – Ámbito de aplicación / </w:t>
            </w:r>
            <w:r w:rsidR="003138A4" w:rsidRPr="003138A4">
              <w:rPr>
                <w:rFonts w:ascii="Arial" w:eastAsia="Calibri" w:hAnsi="Arial" w:cs="Arial"/>
                <w:sz w:val="22"/>
                <w:lang w:val="es-ES_tradnl"/>
              </w:rPr>
              <w:t>NATURALEZA JURIDICA – Empresas Prestadoras de servicios públicos – Sociedades de economía mixta – Diferencias</w:t>
            </w:r>
            <w:r w:rsidR="003138A4">
              <w:rPr>
                <w:rFonts w:ascii="Arial" w:eastAsia="Calibri" w:hAnsi="Arial" w:cs="Arial"/>
                <w:b/>
                <w:bCs/>
                <w:sz w:val="22"/>
                <w:lang w:val="es-ES_tradnl"/>
              </w:rPr>
              <w:t xml:space="preserve"> / </w:t>
            </w:r>
            <w:r w:rsidRPr="00E858D2">
              <w:rPr>
                <w:rFonts w:ascii="Arial" w:eastAsia="Calibri" w:hAnsi="Arial" w:cs="Arial"/>
                <w:bCs/>
                <w:sz w:val="22"/>
                <w:lang w:val="es-ES_tradnl"/>
              </w:rPr>
              <w:t xml:space="preserve">LEY 2195 DE 2022 – Artículo 56 – </w:t>
            </w:r>
            <w:r w:rsidRPr="0067060F">
              <w:rPr>
                <w:rFonts w:ascii="Arial" w:eastAsia="Calibri" w:hAnsi="Arial" w:cs="Arial"/>
                <w:bCs/>
                <w:sz w:val="22"/>
                <w:lang w:val="es-ES_tradnl"/>
              </w:rPr>
              <w:t xml:space="preserve">Documentos tipo – Estatuto General de </w:t>
            </w:r>
            <w:r w:rsidRPr="003138A4">
              <w:rPr>
                <w:rFonts w:ascii="Arial" w:eastAsia="Calibri" w:hAnsi="Arial" w:cs="Arial"/>
                <w:bCs/>
                <w:sz w:val="22"/>
                <w:lang w:val="es-ES_tradnl"/>
              </w:rPr>
              <w:t xml:space="preserve">Contratación de la Administración Pública / </w:t>
            </w:r>
            <w:r w:rsidR="003138A4" w:rsidRPr="003138A4">
              <w:rPr>
                <w:rFonts w:ascii="Arial" w:eastAsia="Calibri" w:hAnsi="Arial" w:cs="Arial"/>
                <w:sz w:val="22"/>
                <w:lang w:val="es-ES_tradnl"/>
              </w:rPr>
              <w:t>LEY 2195 DE 2022 – Artículo 56 – Parágrafo – Excepciones – Interpretación restrictiva</w:t>
            </w:r>
            <w:r w:rsidR="003138A4">
              <w:rPr>
                <w:rFonts w:ascii="Arial" w:eastAsia="Calibri" w:hAnsi="Arial" w:cs="Arial"/>
                <w:sz w:val="22"/>
                <w:lang w:val="es-ES_tradnl"/>
              </w:rPr>
              <w:t xml:space="preserve"> </w:t>
            </w:r>
          </w:p>
        </w:tc>
      </w:tr>
      <w:tr w:rsidR="00B95C30" w:rsidRPr="00A51520" w14:paraId="27CD52AB" w14:textId="77777777" w:rsidTr="00D15356">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0A7A2477" w:rsidR="00B95C30" w:rsidRPr="00A51520" w:rsidRDefault="00B95C30" w:rsidP="00FF7134">
            <w:pPr>
              <w:spacing w:before="120"/>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Respuesta a consulta</w:t>
            </w:r>
            <w:r w:rsidR="00F21D6D" w:rsidRPr="00A51520">
              <w:rPr>
                <w:rFonts w:ascii="Arial" w:eastAsia="Calibri" w:hAnsi="Arial" w:cs="Arial"/>
                <w:color w:val="000000" w:themeColor="text1"/>
                <w:sz w:val="22"/>
                <w:lang w:val="es-ES_tradnl"/>
              </w:rPr>
              <w:t xml:space="preserve"> </w:t>
            </w:r>
            <w:r w:rsidR="00F14618" w:rsidRPr="00F14618">
              <w:rPr>
                <w:rFonts w:ascii="Arial" w:eastAsia="Calibri" w:hAnsi="Arial" w:cs="Arial"/>
                <w:color w:val="000000" w:themeColor="text1"/>
                <w:sz w:val="22"/>
                <w:lang w:val="es-ES_tradnl"/>
              </w:rPr>
              <w:t>P20220607005664</w:t>
            </w:r>
          </w:p>
        </w:tc>
      </w:tr>
    </w:tbl>
    <w:p w14:paraId="635FAA34" w14:textId="77777777" w:rsidR="006D69FA" w:rsidRPr="00A51520" w:rsidRDefault="006D69FA" w:rsidP="003C3339">
      <w:pPr>
        <w:jc w:val="both"/>
        <w:rPr>
          <w:rFonts w:ascii="Arial" w:eastAsia="Calibri" w:hAnsi="Arial" w:cs="Arial"/>
          <w:color w:val="000000" w:themeColor="text1"/>
          <w:sz w:val="22"/>
        </w:rPr>
      </w:pPr>
    </w:p>
    <w:p w14:paraId="234C0002" w14:textId="77777777" w:rsidR="005F5F37" w:rsidRPr="00A51520" w:rsidRDefault="005F5F37" w:rsidP="003C3339">
      <w:pPr>
        <w:jc w:val="both"/>
        <w:rPr>
          <w:rFonts w:ascii="Arial" w:eastAsia="Calibri" w:hAnsi="Arial" w:cs="Arial"/>
          <w:color w:val="000000" w:themeColor="text1"/>
          <w:sz w:val="22"/>
          <w:lang w:val="es-ES_tradnl"/>
        </w:rPr>
      </w:pPr>
    </w:p>
    <w:p w14:paraId="1CF4AEA0" w14:textId="473B3F89" w:rsidR="003C3339" w:rsidRPr="00A51520" w:rsidRDefault="003C3339" w:rsidP="003C3339">
      <w:pPr>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Estimad</w:t>
      </w:r>
      <w:r w:rsidR="00F14618">
        <w:rPr>
          <w:rFonts w:ascii="Arial" w:eastAsia="Calibri" w:hAnsi="Arial" w:cs="Arial"/>
          <w:color w:val="000000" w:themeColor="text1"/>
          <w:sz w:val="22"/>
          <w:lang w:val="es-ES_tradnl"/>
        </w:rPr>
        <w:t>a</w:t>
      </w:r>
      <w:r w:rsidRPr="00A51520">
        <w:rPr>
          <w:rFonts w:ascii="Arial" w:eastAsia="Calibri" w:hAnsi="Arial" w:cs="Arial"/>
          <w:color w:val="000000" w:themeColor="text1"/>
          <w:sz w:val="22"/>
          <w:lang w:val="es-ES_tradnl"/>
        </w:rPr>
        <w:t xml:space="preserve"> señor</w:t>
      </w:r>
      <w:r w:rsidR="00F14618">
        <w:rPr>
          <w:rFonts w:ascii="Arial" w:eastAsia="Calibri" w:hAnsi="Arial" w:cs="Arial"/>
          <w:color w:val="000000" w:themeColor="text1"/>
          <w:sz w:val="22"/>
          <w:lang w:val="es-ES_tradnl"/>
        </w:rPr>
        <w:t>a</w:t>
      </w:r>
      <w:r w:rsidR="00BF4EC5" w:rsidRPr="00A51520">
        <w:rPr>
          <w:rFonts w:ascii="Arial" w:eastAsia="Calibri" w:hAnsi="Arial" w:cs="Arial"/>
          <w:color w:val="000000" w:themeColor="text1"/>
          <w:sz w:val="22"/>
          <w:lang w:val="es-ES_tradnl"/>
        </w:rPr>
        <w:t xml:space="preserve"> </w:t>
      </w:r>
      <w:r w:rsidR="00F14618">
        <w:rPr>
          <w:rFonts w:ascii="Arial" w:eastAsia="Calibri" w:hAnsi="Arial" w:cs="Arial"/>
          <w:color w:val="000000" w:themeColor="text1"/>
          <w:sz w:val="22"/>
          <w:lang w:val="es-ES_tradnl"/>
        </w:rPr>
        <w:t>Avellaneda</w:t>
      </w:r>
      <w:r w:rsidR="008C3FFC">
        <w:rPr>
          <w:rFonts w:ascii="Arial" w:eastAsia="Calibri" w:hAnsi="Arial" w:cs="Arial"/>
          <w:color w:val="000000" w:themeColor="text1"/>
          <w:sz w:val="22"/>
          <w:lang w:val="es-ES_tradnl"/>
        </w:rPr>
        <w:t xml:space="preserve">: </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6E42AA6A"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B24D49" w:rsidRPr="00B24D49">
        <w:rPr>
          <w:rFonts w:ascii="Arial MT" w:eastAsia="Arial MT" w:hAnsi="Arial MT" w:cs="Arial MT"/>
          <w:sz w:val="22"/>
          <w:lang w:val="es-ES"/>
        </w:rPr>
        <w:t xml:space="preserve"> </w:t>
      </w:r>
      <w:r w:rsidRPr="00A51520">
        <w:rPr>
          <w:rFonts w:ascii="Arial" w:eastAsia="Calibri" w:hAnsi="Arial" w:cs="Arial"/>
          <w:color w:val="000000" w:themeColor="text1"/>
          <w:sz w:val="22"/>
          <w:lang w:val="es-ES_tradnl"/>
        </w:rPr>
        <w:t xml:space="preserve">la Agencia Nacional de Contratación Pública </w:t>
      </w:r>
      <w:r w:rsidR="00C31846">
        <w:rPr>
          <w:rFonts w:ascii="Arial" w:eastAsia="Calibri" w:hAnsi="Arial" w:cs="Arial"/>
          <w:color w:val="000000" w:themeColor="text1"/>
          <w:sz w:val="22"/>
          <w:lang w:val="es-ES_tradnl"/>
        </w:rPr>
        <w:t>–</w:t>
      </w:r>
      <w:r w:rsidRPr="00A51520">
        <w:rPr>
          <w:rFonts w:ascii="Arial" w:eastAsia="Calibri" w:hAnsi="Arial" w:cs="Arial"/>
          <w:color w:val="000000" w:themeColor="text1"/>
          <w:sz w:val="22"/>
          <w:lang w:val="es-ES_tradnl"/>
        </w:rPr>
        <w:t xml:space="preserve">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 xml:space="preserve">responde </w:t>
      </w:r>
      <w:r w:rsidR="00F14618">
        <w:rPr>
          <w:rFonts w:ascii="Arial" w:eastAsia="Calibri" w:hAnsi="Arial" w:cs="Arial"/>
          <w:color w:val="000000" w:themeColor="text1"/>
          <w:sz w:val="22"/>
          <w:lang w:val="es-ES_tradnl"/>
        </w:rPr>
        <w:t>su</w:t>
      </w:r>
      <w:r w:rsidR="003902B1">
        <w:rPr>
          <w:rFonts w:ascii="Arial" w:eastAsia="Calibri" w:hAnsi="Arial" w:cs="Arial"/>
          <w:color w:val="000000" w:themeColor="text1"/>
          <w:sz w:val="22"/>
          <w:lang w:val="es-ES_tradnl"/>
        </w:rPr>
        <w:t xml:space="preserve"> </w:t>
      </w:r>
      <w:r w:rsidR="00F14618">
        <w:rPr>
          <w:rFonts w:ascii="Arial" w:eastAsia="Calibri" w:hAnsi="Arial" w:cs="Arial"/>
          <w:color w:val="000000" w:themeColor="text1"/>
          <w:sz w:val="22"/>
          <w:lang w:val="es-ES_tradnl"/>
        </w:rPr>
        <w:t>consulta del 7 de junio de 2021.</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77777777" w:rsidR="00DD5B04" w:rsidRPr="00A515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7F1E2C1" w14:textId="686C814F" w:rsidR="00F14618" w:rsidRDefault="009111AE" w:rsidP="0060580F">
      <w:pPr>
        <w:spacing w:line="276" w:lineRule="auto"/>
        <w:jc w:val="both"/>
        <w:rPr>
          <w:rFonts w:ascii="Arial" w:hAnsi="Arial" w:cs="Arial"/>
          <w:color w:val="000000" w:themeColor="text1"/>
          <w:sz w:val="22"/>
          <w:szCs w:val="22"/>
          <w:lang w:val="es-ES_tradnl"/>
        </w:rPr>
      </w:pPr>
      <w:r w:rsidRPr="00B63B64">
        <w:rPr>
          <w:rFonts w:ascii="Arial" w:hAnsi="Arial" w:cs="Arial"/>
          <w:sz w:val="22"/>
          <w:szCs w:val="22"/>
          <w:lang w:val="es-ES_tradnl"/>
        </w:rPr>
        <w:t xml:space="preserve">En relación con </w:t>
      </w:r>
      <w:r w:rsidR="00653FD4" w:rsidRPr="00B63B64">
        <w:rPr>
          <w:rFonts w:ascii="Arial" w:hAnsi="Arial" w:cs="Arial"/>
          <w:sz w:val="22"/>
          <w:szCs w:val="22"/>
          <w:lang w:val="es-ES_tradnl"/>
        </w:rPr>
        <w:t>el</w:t>
      </w:r>
      <w:r w:rsidR="001C7515">
        <w:rPr>
          <w:rFonts w:ascii="Arial" w:hAnsi="Arial" w:cs="Arial"/>
          <w:sz w:val="22"/>
          <w:szCs w:val="22"/>
          <w:lang w:val="es-ES_tradnl"/>
        </w:rPr>
        <w:t xml:space="preserve"> alcance del</w:t>
      </w:r>
      <w:r w:rsidR="00653FD4" w:rsidRPr="00B63B64">
        <w:rPr>
          <w:rFonts w:ascii="Arial" w:hAnsi="Arial" w:cs="Arial"/>
          <w:sz w:val="22"/>
          <w:szCs w:val="22"/>
          <w:lang w:val="es-ES_tradnl"/>
        </w:rPr>
        <w:t xml:space="preserve"> artículo 56 de la Ley 2195 de 2022</w:t>
      </w:r>
      <w:r w:rsidR="007838B5" w:rsidRPr="00B63B64">
        <w:rPr>
          <w:rFonts w:ascii="Arial" w:hAnsi="Arial" w:cs="Arial"/>
          <w:sz w:val="22"/>
          <w:szCs w:val="22"/>
          <w:lang w:val="es-ES_tradnl"/>
        </w:rPr>
        <w:t>, usted realiza la</w:t>
      </w:r>
      <w:r w:rsidR="00650533">
        <w:rPr>
          <w:rFonts w:ascii="Arial" w:hAnsi="Arial" w:cs="Arial"/>
          <w:sz w:val="22"/>
          <w:szCs w:val="22"/>
          <w:lang w:val="es-ES_tradnl"/>
        </w:rPr>
        <w:t>s</w:t>
      </w:r>
      <w:r w:rsidR="007838B5" w:rsidRPr="00B63B64">
        <w:rPr>
          <w:rFonts w:ascii="Arial" w:hAnsi="Arial" w:cs="Arial"/>
          <w:sz w:val="22"/>
          <w:szCs w:val="22"/>
          <w:lang w:val="es-ES_tradnl"/>
        </w:rPr>
        <w:t xml:space="preserve"> siguiente</w:t>
      </w:r>
      <w:r w:rsidR="00650533">
        <w:rPr>
          <w:rFonts w:ascii="Arial" w:hAnsi="Arial" w:cs="Arial"/>
          <w:sz w:val="22"/>
          <w:szCs w:val="22"/>
          <w:lang w:val="es-ES_tradnl"/>
        </w:rPr>
        <w:t>s</w:t>
      </w:r>
      <w:r w:rsidR="007838B5" w:rsidRPr="00B63B64">
        <w:rPr>
          <w:rFonts w:ascii="Arial" w:hAnsi="Arial" w:cs="Arial"/>
          <w:sz w:val="22"/>
          <w:szCs w:val="22"/>
          <w:lang w:val="es-ES_tradnl"/>
        </w:rPr>
        <w:t xml:space="preserve"> pregunta</w:t>
      </w:r>
      <w:r w:rsidR="00650533">
        <w:rPr>
          <w:rFonts w:ascii="Arial" w:hAnsi="Arial" w:cs="Arial"/>
          <w:sz w:val="22"/>
          <w:szCs w:val="22"/>
          <w:lang w:val="es-ES_tradnl"/>
        </w:rPr>
        <w:t>s</w:t>
      </w:r>
      <w:r w:rsidR="00653FD4" w:rsidRPr="00B63B64">
        <w:rPr>
          <w:rFonts w:ascii="Arial" w:hAnsi="Arial" w:cs="Arial"/>
          <w:color w:val="000000" w:themeColor="text1"/>
          <w:sz w:val="22"/>
          <w:szCs w:val="22"/>
          <w:lang w:val="es-ES_tradnl"/>
        </w:rPr>
        <w:t>:</w:t>
      </w:r>
      <w:r w:rsidR="007838B5" w:rsidRPr="00B63B64">
        <w:rPr>
          <w:rFonts w:ascii="Arial" w:hAnsi="Arial" w:cs="Arial"/>
          <w:color w:val="000000" w:themeColor="text1"/>
          <w:sz w:val="22"/>
          <w:szCs w:val="22"/>
          <w:lang w:val="es-ES_tradnl"/>
        </w:rPr>
        <w:t xml:space="preserve"> </w:t>
      </w:r>
    </w:p>
    <w:p w14:paraId="1305C589" w14:textId="77777777" w:rsidR="00F14618" w:rsidRDefault="00F14618" w:rsidP="0060580F">
      <w:pPr>
        <w:spacing w:line="276" w:lineRule="auto"/>
        <w:jc w:val="both"/>
        <w:rPr>
          <w:rFonts w:ascii="Arial" w:hAnsi="Arial" w:cs="Arial"/>
          <w:color w:val="000000" w:themeColor="text1"/>
          <w:sz w:val="22"/>
          <w:szCs w:val="22"/>
          <w:lang w:val="es-ES_tradnl"/>
        </w:rPr>
      </w:pPr>
    </w:p>
    <w:p w14:paraId="6113F372" w14:textId="77777777" w:rsidR="00F14618" w:rsidRPr="00F14618" w:rsidRDefault="007838B5" w:rsidP="00F14618">
      <w:pPr>
        <w:ind w:left="567" w:right="618"/>
        <w:jc w:val="both"/>
        <w:rPr>
          <w:rFonts w:ascii="Arial" w:eastAsia="Calibri" w:hAnsi="Arial" w:cs="Arial"/>
          <w:sz w:val="21"/>
          <w:szCs w:val="21"/>
        </w:rPr>
      </w:pPr>
      <w:r w:rsidRPr="00F14618">
        <w:rPr>
          <w:rFonts w:ascii="Arial" w:hAnsi="Arial" w:cs="Arial"/>
          <w:color w:val="000000" w:themeColor="text1"/>
          <w:sz w:val="21"/>
          <w:szCs w:val="21"/>
          <w:lang w:val="es-ES_tradnl"/>
        </w:rPr>
        <w:t>«</w:t>
      </w:r>
      <w:r w:rsidR="00F14618" w:rsidRPr="00F14618">
        <w:rPr>
          <w:rFonts w:ascii="Arial" w:eastAsia="Calibri" w:hAnsi="Arial" w:cs="Arial"/>
          <w:sz w:val="21"/>
          <w:szCs w:val="21"/>
        </w:rPr>
        <w:t xml:space="preserve">[…] </w:t>
      </w:r>
    </w:p>
    <w:p w14:paraId="28BA53AE" w14:textId="77777777" w:rsidR="00F14618" w:rsidRPr="00F14618" w:rsidRDefault="00F14618" w:rsidP="00F14618">
      <w:pPr>
        <w:ind w:left="567" w:right="618"/>
        <w:jc w:val="both"/>
        <w:rPr>
          <w:rFonts w:ascii="Arial" w:eastAsia="Calibri" w:hAnsi="Arial" w:cs="Arial"/>
          <w:sz w:val="21"/>
          <w:szCs w:val="21"/>
        </w:rPr>
      </w:pPr>
    </w:p>
    <w:p w14:paraId="59762503" w14:textId="556F4517" w:rsidR="00F14618" w:rsidRPr="00F14618" w:rsidRDefault="00F14618" w:rsidP="00F14618">
      <w:pPr>
        <w:ind w:left="567" w:right="618"/>
        <w:jc w:val="both"/>
        <w:rPr>
          <w:rFonts w:ascii="Arial" w:eastAsia="Calibri" w:hAnsi="Arial" w:cs="Arial"/>
          <w:sz w:val="21"/>
          <w:szCs w:val="21"/>
        </w:rPr>
      </w:pPr>
      <w:r w:rsidRPr="00F14618">
        <w:rPr>
          <w:rFonts w:ascii="Arial" w:eastAsia="Calibri" w:hAnsi="Arial" w:cs="Arial"/>
          <w:sz w:val="21"/>
          <w:szCs w:val="21"/>
        </w:rPr>
        <w:t xml:space="preserve">El primer inciso del artículo 56 de la Ley 2195 de 2022, indica: </w:t>
      </w:r>
    </w:p>
    <w:p w14:paraId="2476B83C" w14:textId="77777777" w:rsidR="00F14618" w:rsidRPr="00F14618" w:rsidRDefault="00F14618" w:rsidP="00F14618">
      <w:pPr>
        <w:ind w:left="567" w:right="618"/>
        <w:jc w:val="both"/>
        <w:rPr>
          <w:rFonts w:ascii="Arial" w:eastAsia="Calibri" w:hAnsi="Arial" w:cs="Arial"/>
          <w:sz w:val="21"/>
          <w:szCs w:val="21"/>
        </w:rPr>
      </w:pPr>
    </w:p>
    <w:p w14:paraId="7986AEF5" w14:textId="77777777" w:rsidR="00F14618" w:rsidRPr="00F14618" w:rsidRDefault="00F14618" w:rsidP="00F14618">
      <w:pPr>
        <w:ind w:left="567" w:right="618"/>
        <w:jc w:val="both"/>
        <w:rPr>
          <w:rFonts w:ascii="Arial" w:eastAsia="Calibri" w:hAnsi="Arial" w:cs="Arial"/>
          <w:i/>
          <w:iCs/>
          <w:sz w:val="21"/>
          <w:szCs w:val="21"/>
          <w:u w:val="single"/>
        </w:rPr>
      </w:pPr>
      <w:r w:rsidRPr="00F14618">
        <w:rPr>
          <w:rFonts w:ascii="Arial" w:eastAsia="Calibri" w:hAnsi="Arial" w:cs="Arial"/>
          <w:i/>
          <w:iCs/>
          <w:sz w:val="21"/>
          <w:szCs w:val="21"/>
        </w:rPr>
        <w:t xml:space="preserve">Para la adquisición de bienes, obras o servicios, </w:t>
      </w:r>
      <w:r w:rsidRPr="00F14618">
        <w:rPr>
          <w:rFonts w:ascii="Arial" w:eastAsia="Calibri" w:hAnsi="Arial" w:cs="Arial"/>
          <w:b/>
          <w:bCs/>
          <w:i/>
          <w:iCs/>
          <w:sz w:val="21"/>
          <w:szCs w:val="21"/>
          <w:u w:val="single"/>
        </w:rPr>
        <w:t>las entidades estatales sometidas al Estatuto General de Contratación de la Administración Pública</w:t>
      </w:r>
      <w:r w:rsidRPr="00F14618">
        <w:rPr>
          <w:rFonts w:ascii="Arial" w:eastAsia="Calibri" w:hAnsi="Arial" w:cs="Arial"/>
          <w:b/>
          <w:bCs/>
          <w:i/>
          <w:iCs/>
          <w:sz w:val="21"/>
          <w:szCs w:val="21"/>
        </w:rPr>
        <w:t xml:space="preserve"> </w:t>
      </w:r>
      <w:r w:rsidRPr="00F14618">
        <w:rPr>
          <w:rFonts w:ascii="Arial" w:eastAsia="Calibri" w:hAnsi="Arial" w:cs="Arial"/>
          <w:i/>
          <w:iCs/>
          <w:sz w:val="21"/>
          <w:szCs w:val="21"/>
        </w:rPr>
        <w:t xml:space="preserve">que celebren contratos o convenios interadministrativos o de cualquier otra índole, </w:t>
      </w:r>
      <w:r w:rsidRPr="00F14618">
        <w:rPr>
          <w:rFonts w:ascii="Arial" w:eastAsia="Calibri" w:hAnsi="Arial" w:cs="Arial"/>
          <w:i/>
          <w:iCs/>
          <w:sz w:val="21"/>
          <w:szCs w:val="21"/>
        </w:rPr>
        <w:lastRenderedPageBreak/>
        <w:t xml:space="preserve">con </w:t>
      </w:r>
      <w:r w:rsidRPr="00F14618">
        <w:rPr>
          <w:rFonts w:ascii="Arial" w:eastAsia="Calibri" w:hAnsi="Arial" w:cs="Arial"/>
          <w:b/>
          <w:bCs/>
          <w:i/>
          <w:iCs/>
          <w:sz w:val="21"/>
          <w:szCs w:val="21"/>
          <w:u w:val="single"/>
        </w:rPr>
        <w:t>otra entidad estatal o con patrimonios autónomos o con personas naturales o jurídicas de derecho privado</w:t>
      </w:r>
      <w:r w:rsidRPr="00F14618">
        <w:rPr>
          <w:rFonts w:ascii="Arial" w:eastAsia="Calibri" w:hAnsi="Arial" w:cs="Arial"/>
          <w:i/>
          <w:iCs/>
          <w:sz w:val="21"/>
          <w:szCs w:val="21"/>
          <w:u w:val="single"/>
        </w:rPr>
        <w:t>,</w:t>
      </w:r>
      <w:r w:rsidRPr="00F14618">
        <w:rPr>
          <w:rFonts w:ascii="Arial" w:eastAsia="Calibri" w:hAnsi="Arial" w:cs="Arial"/>
          <w:i/>
          <w:iCs/>
          <w:sz w:val="21"/>
          <w:szCs w:val="21"/>
        </w:rPr>
        <w:t xml:space="preserve"> cuyo régimen de contratación sea especial o de derecho privado, </w:t>
      </w:r>
      <w:r w:rsidRPr="00F14618">
        <w:rPr>
          <w:rFonts w:ascii="Arial" w:eastAsia="Calibri" w:hAnsi="Arial" w:cs="Arial"/>
          <w:b/>
          <w:bCs/>
          <w:i/>
          <w:iCs/>
          <w:sz w:val="21"/>
          <w:szCs w:val="21"/>
          <w:u w:val="single"/>
        </w:rPr>
        <w:t>deberán</w:t>
      </w:r>
      <w:r w:rsidRPr="00F14618">
        <w:rPr>
          <w:rFonts w:ascii="Arial" w:eastAsia="Calibri" w:hAnsi="Arial" w:cs="Arial"/>
          <w:b/>
          <w:bCs/>
          <w:i/>
          <w:iCs/>
          <w:sz w:val="21"/>
          <w:szCs w:val="21"/>
        </w:rPr>
        <w:t xml:space="preserve"> </w:t>
      </w:r>
      <w:r w:rsidRPr="00F14618">
        <w:rPr>
          <w:rFonts w:ascii="Arial" w:eastAsia="Calibri" w:hAnsi="Arial" w:cs="Arial"/>
          <w:i/>
          <w:iCs/>
          <w:sz w:val="21"/>
          <w:szCs w:val="21"/>
        </w:rPr>
        <w:t>aplicar los documentos tipo adoptados por la Agencia Nacional de Contratación Pública - Colombia Compra Eficiente o quien haga sus veces, conforme al parágrafo 7 del Artículo</w:t>
      </w:r>
      <w:r w:rsidRPr="00F14618">
        <w:rPr>
          <w:rFonts w:ascii="Arial" w:eastAsia="Calibri" w:hAnsi="Arial" w:cs="Arial"/>
          <w:i/>
          <w:iCs/>
          <w:sz w:val="21"/>
          <w:szCs w:val="21"/>
          <w:u w:val="single"/>
        </w:rPr>
        <w:t xml:space="preserve"> 2 </w:t>
      </w:r>
      <w:r w:rsidRPr="00F14618">
        <w:rPr>
          <w:rFonts w:ascii="Arial" w:eastAsia="Calibri" w:hAnsi="Arial" w:cs="Arial"/>
          <w:i/>
          <w:iCs/>
          <w:sz w:val="21"/>
          <w:szCs w:val="21"/>
        </w:rPr>
        <w:t xml:space="preserve">de la Ley </w:t>
      </w:r>
      <w:r w:rsidRPr="00F14618">
        <w:rPr>
          <w:rFonts w:ascii="Arial" w:eastAsia="Calibri" w:hAnsi="Arial" w:cs="Arial"/>
          <w:i/>
          <w:iCs/>
          <w:sz w:val="21"/>
          <w:szCs w:val="21"/>
          <w:u w:val="single"/>
        </w:rPr>
        <w:t>1150</w:t>
      </w:r>
      <w:r w:rsidRPr="00F14618">
        <w:rPr>
          <w:rFonts w:ascii="Arial" w:eastAsia="Calibri" w:hAnsi="Arial" w:cs="Arial"/>
          <w:i/>
          <w:iCs/>
          <w:sz w:val="21"/>
          <w:szCs w:val="21"/>
        </w:rPr>
        <w:t xml:space="preserve"> de </w:t>
      </w:r>
      <w:r w:rsidRPr="00F14618">
        <w:rPr>
          <w:rFonts w:ascii="Arial" w:eastAsia="Calibri" w:hAnsi="Arial" w:cs="Arial"/>
          <w:i/>
          <w:iCs/>
          <w:sz w:val="21"/>
          <w:szCs w:val="21"/>
          <w:u w:val="single"/>
        </w:rPr>
        <w:t>2007</w:t>
      </w:r>
      <w:r w:rsidRPr="00F14618">
        <w:rPr>
          <w:rFonts w:ascii="Arial" w:eastAsia="Calibri" w:hAnsi="Arial" w:cs="Arial"/>
          <w:i/>
          <w:iCs/>
          <w:sz w:val="21"/>
          <w:szCs w:val="21"/>
        </w:rPr>
        <w:t xml:space="preserve"> o las normas que lo modifiquen o sustituya y a regirse por el </w:t>
      </w:r>
      <w:r w:rsidRPr="00F14618">
        <w:rPr>
          <w:rFonts w:ascii="Arial" w:eastAsia="Calibri" w:hAnsi="Arial" w:cs="Arial"/>
          <w:i/>
          <w:iCs/>
          <w:sz w:val="21"/>
          <w:szCs w:val="21"/>
          <w:u w:val="single"/>
        </w:rPr>
        <w:t>Estatuto General de Contratación de la Administración Pública</w:t>
      </w:r>
    </w:p>
    <w:p w14:paraId="3EF2F30D" w14:textId="77777777" w:rsidR="00F14618" w:rsidRPr="00F14618" w:rsidRDefault="00F14618" w:rsidP="00F14618">
      <w:pPr>
        <w:ind w:left="567" w:right="618"/>
        <w:jc w:val="both"/>
        <w:rPr>
          <w:rFonts w:ascii="Arial" w:eastAsia="Calibri" w:hAnsi="Arial" w:cs="Arial"/>
          <w:sz w:val="21"/>
          <w:szCs w:val="21"/>
        </w:rPr>
      </w:pPr>
    </w:p>
    <w:p w14:paraId="096311EB" w14:textId="77777777" w:rsidR="00F14618" w:rsidRPr="00F14618" w:rsidRDefault="00F14618" w:rsidP="00F14618">
      <w:pPr>
        <w:ind w:left="567" w:right="618"/>
        <w:jc w:val="both"/>
        <w:rPr>
          <w:rFonts w:ascii="Arial" w:eastAsia="Calibri" w:hAnsi="Arial" w:cs="Arial"/>
          <w:i/>
          <w:iCs/>
          <w:sz w:val="21"/>
          <w:szCs w:val="21"/>
          <w:u w:val="single"/>
        </w:rPr>
      </w:pPr>
      <w:r w:rsidRPr="00F14618">
        <w:rPr>
          <w:rFonts w:ascii="Arial" w:eastAsia="Calibri" w:hAnsi="Arial" w:cs="Arial"/>
          <w:sz w:val="21"/>
          <w:szCs w:val="21"/>
        </w:rPr>
        <w:t xml:space="preserve">1.1. De acuerdo con la literalidad de la norma citada, ¿quién es el sujeto obligado a </w:t>
      </w:r>
      <w:r w:rsidRPr="00F14618">
        <w:rPr>
          <w:rFonts w:ascii="Arial" w:eastAsia="Calibri" w:hAnsi="Arial" w:cs="Arial"/>
          <w:i/>
          <w:iCs/>
          <w:sz w:val="21"/>
          <w:szCs w:val="21"/>
        </w:rPr>
        <w:t xml:space="preserve">aplicar los documentos tipo adoptados por la Agencia Nacional de Contratación Pública - Colombia Compra Eficiente o quien haga sus veces, conforme al parágrafo 7 del Artículo 2 de la Ley 1150 de 2007 o las normas que lo modifiquen o sustituyan </w:t>
      </w:r>
      <w:r w:rsidRPr="00F14618">
        <w:rPr>
          <w:rFonts w:ascii="Arial" w:eastAsia="Calibri" w:hAnsi="Arial" w:cs="Arial"/>
          <w:sz w:val="21"/>
          <w:szCs w:val="21"/>
        </w:rPr>
        <w:t xml:space="preserve">y a regirse </w:t>
      </w:r>
      <w:r w:rsidRPr="00F14618">
        <w:rPr>
          <w:rFonts w:ascii="Arial" w:eastAsia="Calibri" w:hAnsi="Arial" w:cs="Arial"/>
          <w:i/>
          <w:iCs/>
          <w:sz w:val="21"/>
          <w:szCs w:val="21"/>
        </w:rPr>
        <w:t xml:space="preserve">por el Estatuto General de Contratación de la Administración Pública </w:t>
      </w:r>
      <w:r w:rsidRPr="00F14618">
        <w:rPr>
          <w:rFonts w:ascii="Arial" w:eastAsia="Calibri" w:hAnsi="Arial" w:cs="Arial"/>
          <w:sz w:val="21"/>
          <w:szCs w:val="21"/>
        </w:rPr>
        <w:t xml:space="preserve">al usar dichos documentos tipo (esto último de acuerdo con el inciso 2 del referido artículo 56 de la Ley), las primeras o las segundas Entidades referidas? </w:t>
      </w:r>
    </w:p>
    <w:p w14:paraId="38B30FD5" w14:textId="77777777" w:rsidR="00F14618" w:rsidRPr="00F14618" w:rsidRDefault="00F14618" w:rsidP="00F14618">
      <w:pPr>
        <w:ind w:right="618"/>
        <w:jc w:val="both"/>
        <w:rPr>
          <w:rFonts w:ascii="Arial" w:eastAsia="Calibri" w:hAnsi="Arial" w:cs="Arial"/>
          <w:sz w:val="21"/>
          <w:szCs w:val="21"/>
        </w:rPr>
      </w:pPr>
    </w:p>
    <w:p w14:paraId="48731F57" w14:textId="77777777" w:rsidR="00F14618" w:rsidRPr="00F14618" w:rsidRDefault="00F14618" w:rsidP="00F14618">
      <w:pPr>
        <w:ind w:left="567" w:right="618"/>
        <w:jc w:val="both"/>
        <w:rPr>
          <w:rFonts w:ascii="Arial" w:eastAsia="Calibri" w:hAnsi="Arial" w:cs="Arial"/>
          <w:sz w:val="21"/>
          <w:szCs w:val="21"/>
        </w:rPr>
      </w:pPr>
      <w:r w:rsidRPr="00F14618">
        <w:rPr>
          <w:rFonts w:ascii="Arial" w:eastAsia="Calibri" w:hAnsi="Arial" w:cs="Arial"/>
          <w:sz w:val="21"/>
          <w:szCs w:val="21"/>
        </w:rPr>
        <w:t xml:space="preserve">2. ¿La Excepción que establece el parágrafo del artículo 56 de la Ley 2195 de 2022 abarca o incluye dentro del concepto de Sociedades de Economía Mixta a las Empresas de Servicios públicos mixtas, definidas en el numeral 14.6 de la Ley 142 de 1994? </w:t>
      </w:r>
    </w:p>
    <w:p w14:paraId="038638F5" w14:textId="77777777" w:rsidR="00F14618" w:rsidRPr="00F14618" w:rsidRDefault="00F14618" w:rsidP="00F14618">
      <w:pPr>
        <w:ind w:left="567" w:right="618"/>
        <w:jc w:val="both"/>
        <w:rPr>
          <w:rFonts w:ascii="Arial" w:eastAsia="Calibri" w:hAnsi="Arial" w:cs="Arial"/>
          <w:sz w:val="21"/>
          <w:szCs w:val="21"/>
        </w:rPr>
      </w:pPr>
    </w:p>
    <w:p w14:paraId="4F43B524" w14:textId="77777777" w:rsidR="00F14618" w:rsidRPr="00F14618" w:rsidRDefault="00F14618" w:rsidP="00F14618">
      <w:pPr>
        <w:ind w:left="567" w:right="618"/>
        <w:jc w:val="both"/>
        <w:rPr>
          <w:rFonts w:ascii="Arial" w:eastAsia="Calibri" w:hAnsi="Arial" w:cs="Arial"/>
          <w:sz w:val="21"/>
          <w:szCs w:val="21"/>
        </w:rPr>
      </w:pPr>
      <w:r w:rsidRPr="00F14618">
        <w:rPr>
          <w:rFonts w:ascii="Arial" w:eastAsia="Calibri" w:hAnsi="Arial" w:cs="Arial"/>
          <w:sz w:val="21"/>
          <w:szCs w:val="21"/>
        </w:rPr>
        <w:t xml:space="preserve">3. ¿Las Empresas de Servicios Públicos, que por mandato de la Ley 142 de 1994 tienen régimen especial de contratación (derecho privado), están dentro de la excepción del parágrafo del artículo 56 de la ley 2195 de 2022? </w:t>
      </w:r>
    </w:p>
    <w:p w14:paraId="7389115F" w14:textId="77777777" w:rsidR="00F14618" w:rsidRPr="00F14618" w:rsidRDefault="00F14618" w:rsidP="00F14618">
      <w:pPr>
        <w:ind w:left="567" w:right="618"/>
        <w:jc w:val="both"/>
        <w:rPr>
          <w:rFonts w:ascii="Arial" w:eastAsia="Calibri" w:hAnsi="Arial" w:cs="Arial"/>
          <w:sz w:val="21"/>
          <w:szCs w:val="21"/>
        </w:rPr>
      </w:pPr>
    </w:p>
    <w:p w14:paraId="6C6C6DE8" w14:textId="77777777" w:rsidR="00F14618" w:rsidRPr="00F14618" w:rsidRDefault="00F14618" w:rsidP="00F14618">
      <w:pPr>
        <w:ind w:left="567" w:right="618"/>
        <w:jc w:val="both"/>
        <w:rPr>
          <w:rFonts w:ascii="Arial" w:eastAsia="Calibri" w:hAnsi="Arial" w:cs="Arial"/>
          <w:sz w:val="21"/>
          <w:szCs w:val="21"/>
        </w:rPr>
      </w:pPr>
      <w:r w:rsidRPr="00F14618">
        <w:rPr>
          <w:rFonts w:ascii="Arial" w:eastAsia="Calibri" w:hAnsi="Arial" w:cs="Arial"/>
          <w:sz w:val="21"/>
          <w:szCs w:val="21"/>
        </w:rPr>
        <w:t xml:space="preserve">3.1. Si la respuesta a la pregunta anterior es negativa, ¿cuál es la razón para no haberlas exceptuado, si ellas al igual que las exceptuadas, tienen un régimen especial de contratación? </w:t>
      </w:r>
    </w:p>
    <w:p w14:paraId="16C15BFD" w14:textId="77777777" w:rsidR="00F14618" w:rsidRPr="00F14618" w:rsidRDefault="00F14618" w:rsidP="00F14618">
      <w:pPr>
        <w:ind w:left="567" w:right="618"/>
        <w:jc w:val="both"/>
        <w:rPr>
          <w:rFonts w:ascii="Arial" w:eastAsia="Calibri" w:hAnsi="Arial" w:cs="Arial"/>
          <w:sz w:val="21"/>
          <w:szCs w:val="21"/>
        </w:rPr>
      </w:pPr>
    </w:p>
    <w:p w14:paraId="5A0A5845" w14:textId="375B5FE0" w:rsidR="00621981" w:rsidRPr="00F14618" w:rsidRDefault="00F14618" w:rsidP="00F14618">
      <w:pPr>
        <w:ind w:left="567" w:right="618"/>
        <w:jc w:val="both"/>
        <w:rPr>
          <w:rFonts w:ascii="Arial" w:eastAsia="Calibri" w:hAnsi="Arial" w:cs="Arial"/>
          <w:sz w:val="21"/>
          <w:szCs w:val="21"/>
        </w:rPr>
      </w:pPr>
      <w:r w:rsidRPr="00F14618">
        <w:rPr>
          <w:rFonts w:ascii="Arial" w:eastAsia="Calibri" w:hAnsi="Arial" w:cs="Arial"/>
          <w:sz w:val="21"/>
          <w:szCs w:val="21"/>
        </w:rPr>
        <w:t>3.2. Si la respuesta a la pregunta anterior es negativa, ¿en qué casos las Empresas de Servicio Públicos, definidas en la Ley 142 de 1994, estarían obligadas a aplicar pliegos tipo y a regirse por el Estatuto General de Contratación?</w:t>
      </w:r>
      <w:r w:rsidR="00B63B64" w:rsidRPr="00F14618">
        <w:rPr>
          <w:rFonts w:ascii="Arial" w:eastAsia="Calibri" w:hAnsi="Arial" w:cs="Arial"/>
          <w:sz w:val="21"/>
          <w:szCs w:val="21"/>
        </w:rPr>
        <w:t>».</w:t>
      </w:r>
    </w:p>
    <w:p w14:paraId="5A9E4F83" w14:textId="77777777" w:rsidR="00991805" w:rsidRPr="00A51520"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395997FF" w14:textId="77777777" w:rsidR="00621981" w:rsidRDefault="00621981" w:rsidP="00031AD9">
      <w:pPr>
        <w:spacing w:line="276" w:lineRule="auto"/>
        <w:jc w:val="both"/>
        <w:rPr>
          <w:rFonts w:ascii="Arial" w:eastAsia="Calibri" w:hAnsi="Arial" w:cs="Arial"/>
          <w:color w:val="000000" w:themeColor="text1"/>
          <w:sz w:val="22"/>
          <w:szCs w:val="22"/>
        </w:rPr>
      </w:pPr>
    </w:p>
    <w:p w14:paraId="10001C27" w14:textId="77777777" w:rsidR="001C7515" w:rsidRPr="00864E72" w:rsidRDefault="001C7515" w:rsidP="001C7515">
      <w:pPr>
        <w:spacing w:after="120" w:line="276" w:lineRule="auto"/>
        <w:jc w:val="both"/>
        <w:rPr>
          <w:rFonts w:ascii="Arial" w:eastAsia="Calibri" w:hAnsi="Arial" w:cs="Arial"/>
          <w:color w:val="000000" w:themeColor="text1"/>
          <w:sz w:val="22"/>
          <w:szCs w:val="22"/>
          <w:lang w:val="es-ES_tradnl"/>
        </w:rPr>
      </w:pPr>
      <w:r w:rsidRPr="00864E72">
        <w:rPr>
          <w:rFonts w:ascii="Arial" w:eastAsia="Calibri" w:hAnsi="Arial" w:cs="Arial"/>
          <w:color w:val="000000" w:themeColor="text1"/>
          <w:sz w:val="22"/>
          <w:szCs w:val="22"/>
          <w:lang w:val="es-ES_tradnl"/>
        </w:rPr>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w:t>
      </w:r>
      <w:r w:rsidRPr="00864E72">
        <w:rPr>
          <w:rFonts w:ascii="Arial" w:eastAsia="Calibri" w:hAnsi="Arial" w:cs="Arial"/>
          <w:color w:val="000000" w:themeColor="text1"/>
          <w:sz w:val="22"/>
          <w:szCs w:val="22"/>
          <w:lang w:val="es-ES_tradnl"/>
        </w:rPr>
        <w:lastRenderedPageBreak/>
        <w:t>como una autoridad para solucionar problemas jurídicos particulares de todos los partícipes de la contratación estatal.</w:t>
      </w:r>
    </w:p>
    <w:p w14:paraId="6F44CEDE" w14:textId="77777777" w:rsidR="001C7515" w:rsidRPr="00864E72" w:rsidRDefault="001C7515" w:rsidP="001C7515">
      <w:pPr>
        <w:spacing w:after="120" w:line="276" w:lineRule="auto"/>
        <w:ind w:firstLine="709"/>
        <w:jc w:val="both"/>
        <w:rPr>
          <w:rFonts w:ascii="Arial" w:eastAsia="Calibri" w:hAnsi="Arial" w:cs="Arial"/>
          <w:color w:val="000000" w:themeColor="text1"/>
          <w:sz w:val="22"/>
          <w:szCs w:val="22"/>
          <w:lang w:val="es-ES_tradnl"/>
        </w:rPr>
      </w:pPr>
      <w:r w:rsidRPr="00864E72">
        <w:rPr>
          <w:rFonts w:ascii="Arial" w:eastAsia="Calibri" w:hAnsi="Arial" w:cs="Arial"/>
          <w:color w:val="000000" w:themeColor="text1"/>
          <w:sz w:val="22"/>
          <w:szCs w:val="22"/>
          <w:lang w:val="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 </w:t>
      </w:r>
    </w:p>
    <w:p w14:paraId="3DC11E86" w14:textId="77777777" w:rsidR="001C7515" w:rsidRPr="00864E72" w:rsidRDefault="001C7515" w:rsidP="001C7515">
      <w:pPr>
        <w:spacing w:before="120" w:after="120" w:line="276" w:lineRule="auto"/>
        <w:ind w:firstLine="709"/>
        <w:jc w:val="both"/>
        <w:rPr>
          <w:rFonts w:ascii="Arial" w:eastAsia="Calibri" w:hAnsi="Arial" w:cs="Arial"/>
          <w:color w:val="000000"/>
          <w:sz w:val="22"/>
          <w:szCs w:val="22"/>
          <w:lang w:eastAsia="en-US"/>
        </w:rPr>
      </w:pPr>
      <w:r w:rsidRPr="00864E72">
        <w:rPr>
          <w:rFonts w:ascii="Arial" w:eastAsia="Calibri" w:hAnsi="Arial" w:cs="Arial"/>
          <w:bCs/>
          <w:color w:val="000000"/>
          <w:sz w:val="22"/>
          <w:lang w:eastAsia="es-CO"/>
        </w:rPr>
        <w:t>Bajo estas consideraciones, corresponde a cada entidad pública, en ejercicio de su competencia y previa valoración de los elementos fácticos y jurídicos, determinar la forma de adelantar un procedimiento de selección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66431477" w14:textId="7D602753" w:rsidR="00621981" w:rsidRDefault="001C7515" w:rsidP="00300AC1">
      <w:pPr>
        <w:spacing w:line="276" w:lineRule="auto"/>
        <w:ind w:firstLine="708"/>
        <w:jc w:val="both"/>
        <w:rPr>
          <w:rFonts w:ascii="Arial" w:eastAsia="Calibri" w:hAnsi="Arial" w:cs="Arial"/>
          <w:bCs/>
          <w:color w:val="000000" w:themeColor="text1"/>
          <w:sz w:val="22"/>
          <w:szCs w:val="22"/>
          <w:lang w:val="es-ES_tradnl"/>
        </w:rPr>
      </w:pPr>
      <w:r w:rsidRPr="00864E72">
        <w:rPr>
          <w:rFonts w:ascii="Arial" w:eastAsia="Calibri" w:hAnsi="Arial" w:cs="Arial"/>
          <w:color w:val="000000" w:themeColor="text1"/>
          <w:sz w:val="22"/>
          <w:szCs w:val="22"/>
          <w:lang w:val="es-ES_tradnl"/>
        </w:rPr>
        <w:t xml:space="preserve">Sin perjuicio de lo anterior, </w:t>
      </w:r>
      <w:r w:rsidRPr="00864E72">
        <w:rPr>
          <w:rFonts w:ascii="Arial" w:eastAsia="Calibri" w:hAnsi="Arial" w:cs="Arial"/>
          <w:color w:val="000000" w:themeColor="text1"/>
          <w:sz w:val="22"/>
          <w:lang w:val="es-ES"/>
        </w:rPr>
        <w:t>la Subdirección</w:t>
      </w:r>
      <w:r w:rsidRPr="00864E72">
        <w:rPr>
          <w:rFonts w:ascii="Arial" w:eastAsia="Calibri" w:hAnsi="Arial" w:cs="Arial"/>
          <w:color w:val="000000" w:themeColor="text1"/>
          <w:sz w:val="22"/>
          <w:szCs w:val="22"/>
          <w:lang w:val="es-ES_tradnl"/>
        </w:rPr>
        <w:t xml:space="preserve"> responderá su consulta dentro de los límites de su competencia, en un sentido </w:t>
      </w:r>
      <w:r w:rsidRPr="00864E72">
        <w:rPr>
          <w:rFonts w:ascii="Arial" w:eastAsia="Calibri" w:hAnsi="Arial" w:cs="Arial"/>
          <w:i/>
          <w:iCs/>
          <w:color w:val="000000" w:themeColor="text1"/>
          <w:sz w:val="22"/>
          <w:szCs w:val="22"/>
          <w:lang w:val="es-ES_tradnl"/>
        </w:rPr>
        <w:t>general</w:t>
      </w:r>
      <w:r w:rsidRPr="00864E72">
        <w:rPr>
          <w:rFonts w:ascii="Arial" w:eastAsia="Calibri" w:hAnsi="Arial" w:cs="Arial"/>
          <w:color w:val="000000" w:themeColor="text1"/>
          <w:sz w:val="22"/>
          <w:szCs w:val="22"/>
          <w:lang w:val="es-ES_tradnl"/>
        </w:rPr>
        <w:t xml:space="preserve"> y </w:t>
      </w:r>
      <w:r w:rsidRPr="00864E72">
        <w:rPr>
          <w:rFonts w:ascii="Arial" w:eastAsia="Calibri" w:hAnsi="Arial" w:cs="Arial"/>
          <w:i/>
          <w:iCs/>
          <w:color w:val="000000" w:themeColor="text1"/>
          <w:sz w:val="22"/>
          <w:szCs w:val="22"/>
          <w:lang w:val="es-ES_tradnl"/>
        </w:rPr>
        <w:t>abstracto</w:t>
      </w:r>
      <w:r w:rsidRPr="00864E72">
        <w:rPr>
          <w:rFonts w:ascii="Arial" w:eastAsia="Calibri" w:hAnsi="Arial" w:cs="Arial"/>
          <w:color w:val="000000" w:themeColor="text1"/>
          <w:sz w:val="22"/>
          <w:szCs w:val="22"/>
          <w:lang w:val="es-ES_tradnl"/>
        </w:rPr>
        <w:t>, previo análisis de los siguientes temas: i) fundamento normativo y ámbito de aplicación de los documentos tipo,</w:t>
      </w:r>
      <w:r w:rsidRPr="001C7515">
        <w:rPr>
          <w:rFonts w:ascii="Arial" w:eastAsia="Calibri" w:hAnsi="Arial" w:cs="Arial"/>
          <w:bCs/>
          <w:color w:val="000000" w:themeColor="text1"/>
          <w:sz w:val="22"/>
          <w:szCs w:val="22"/>
        </w:rPr>
        <w:t xml:space="preserve"> </w:t>
      </w:r>
      <w:proofErr w:type="spellStart"/>
      <w:r w:rsidRPr="00621981">
        <w:rPr>
          <w:rFonts w:ascii="Arial" w:eastAsia="Calibri" w:hAnsi="Arial" w:cs="Arial"/>
          <w:bCs/>
          <w:color w:val="000000" w:themeColor="text1"/>
          <w:sz w:val="22"/>
          <w:szCs w:val="22"/>
        </w:rPr>
        <w:t>ii</w:t>
      </w:r>
      <w:proofErr w:type="spellEnd"/>
      <w:r w:rsidRPr="00621981">
        <w:rPr>
          <w:rFonts w:ascii="Arial" w:eastAsia="Calibri" w:hAnsi="Arial" w:cs="Arial"/>
          <w:bCs/>
          <w:color w:val="000000" w:themeColor="text1"/>
          <w:sz w:val="22"/>
          <w:szCs w:val="22"/>
        </w:rPr>
        <w:t xml:space="preserve">) </w:t>
      </w:r>
      <w:r>
        <w:rPr>
          <w:rFonts w:ascii="Arial" w:eastAsia="Calibri" w:hAnsi="Arial" w:cs="Arial"/>
          <w:bCs/>
          <w:color w:val="000000" w:themeColor="text1"/>
          <w:sz w:val="22"/>
          <w:szCs w:val="22"/>
          <w:lang w:val="es-MX"/>
        </w:rPr>
        <w:t>r</w:t>
      </w:r>
      <w:r w:rsidRPr="00CD0D1F">
        <w:rPr>
          <w:rFonts w:ascii="Arial" w:eastAsia="Calibri" w:hAnsi="Arial" w:cs="Arial"/>
          <w:bCs/>
          <w:color w:val="000000" w:themeColor="text1"/>
          <w:sz w:val="22"/>
          <w:szCs w:val="22"/>
          <w:lang w:val="es-MX"/>
        </w:rPr>
        <w:t>égimen contractual de las empresas prestadoras de servicios públicos mixtas</w:t>
      </w:r>
      <w:r w:rsidR="00300AC1">
        <w:rPr>
          <w:rFonts w:ascii="Arial" w:eastAsia="Calibri" w:hAnsi="Arial" w:cs="Arial"/>
          <w:bCs/>
          <w:color w:val="000000" w:themeColor="text1"/>
          <w:sz w:val="22"/>
          <w:szCs w:val="22"/>
          <w:lang w:val="es-MX"/>
        </w:rPr>
        <w:t xml:space="preserve"> y la</w:t>
      </w:r>
      <w:r w:rsidR="00300AC1" w:rsidRPr="00300AC1">
        <w:rPr>
          <w:rFonts w:ascii="Arial" w:eastAsia="Calibri" w:hAnsi="Arial" w:cs="Arial"/>
          <w:bCs/>
          <w:color w:val="000000" w:themeColor="text1"/>
          <w:sz w:val="22"/>
          <w:szCs w:val="22"/>
          <w:lang w:val="es-MX"/>
        </w:rPr>
        <w:t xml:space="preserve"> diferencia con las sociedades de economía mixtas</w:t>
      </w:r>
      <w:r>
        <w:rPr>
          <w:rFonts w:ascii="Arial" w:eastAsia="Calibri" w:hAnsi="Arial" w:cs="Arial"/>
          <w:bCs/>
          <w:color w:val="000000" w:themeColor="text1"/>
          <w:sz w:val="22"/>
          <w:szCs w:val="22"/>
          <w:lang w:val="es-MX"/>
        </w:rPr>
        <w:t xml:space="preserve"> </w:t>
      </w:r>
      <w:r>
        <w:rPr>
          <w:rFonts w:ascii="Arial" w:eastAsia="Calibri" w:hAnsi="Arial" w:cs="Arial"/>
          <w:color w:val="000000" w:themeColor="text1"/>
          <w:sz w:val="22"/>
          <w:szCs w:val="22"/>
          <w:lang w:val="es-ES_tradnl"/>
        </w:rPr>
        <w:t xml:space="preserve">y </w:t>
      </w:r>
      <w:proofErr w:type="spellStart"/>
      <w:r>
        <w:rPr>
          <w:rFonts w:ascii="Arial" w:eastAsia="Calibri" w:hAnsi="Arial" w:cs="Arial"/>
          <w:color w:val="000000" w:themeColor="text1"/>
          <w:sz w:val="22"/>
          <w:szCs w:val="22"/>
          <w:lang w:val="es-ES_tradnl"/>
        </w:rPr>
        <w:t>i</w:t>
      </w:r>
      <w:r w:rsidRPr="00864E72">
        <w:rPr>
          <w:rFonts w:ascii="Arial" w:eastAsia="Calibri" w:hAnsi="Arial" w:cs="Arial"/>
          <w:color w:val="000000" w:themeColor="text1"/>
          <w:sz w:val="22"/>
          <w:szCs w:val="22"/>
          <w:lang w:val="es-ES_tradnl"/>
        </w:rPr>
        <w:t>ii</w:t>
      </w:r>
      <w:proofErr w:type="spellEnd"/>
      <w:r w:rsidRPr="00864E72">
        <w:rPr>
          <w:rFonts w:ascii="Arial" w:eastAsia="Calibri" w:hAnsi="Arial" w:cs="Arial"/>
          <w:color w:val="000000" w:themeColor="text1"/>
          <w:sz w:val="22"/>
          <w:szCs w:val="22"/>
          <w:lang w:val="es-ES_tradnl"/>
        </w:rPr>
        <w:t xml:space="preserve">) alcance del artículo 56 de la Ley 2195 de 2022 frente a la implementación obligatoria del Estatuto General de Contratación de la Administración Pública y de los documentos tipo en la contratación de las entidades estatales exceptuadas y particulares.  </w:t>
      </w:r>
      <w:r w:rsidR="00621981" w:rsidRPr="00621981">
        <w:rPr>
          <w:rFonts w:ascii="Arial" w:eastAsia="Calibri" w:hAnsi="Arial" w:cs="Arial"/>
          <w:bCs/>
          <w:color w:val="000000" w:themeColor="text1"/>
          <w:sz w:val="22"/>
          <w:szCs w:val="22"/>
          <w:lang w:val="es-ES_tradnl"/>
        </w:rPr>
        <w:t xml:space="preserve"> </w:t>
      </w:r>
    </w:p>
    <w:p w14:paraId="6CD1888C" w14:textId="55B30DBB" w:rsidR="005016C7" w:rsidRPr="007537BD" w:rsidRDefault="005016C7" w:rsidP="007537BD">
      <w:pPr>
        <w:spacing w:before="120" w:line="276" w:lineRule="auto"/>
        <w:ind w:firstLine="709"/>
        <w:jc w:val="both"/>
        <w:rPr>
          <w:rFonts w:ascii="Arial" w:eastAsia="Calibri" w:hAnsi="Arial" w:cs="Arial"/>
          <w:noProof/>
          <w:color w:val="000000" w:themeColor="text1"/>
          <w:sz w:val="22"/>
          <w:lang w:val="es-ES_tradnl"/>
        </w:rPr>
      </w:pPr>
      <w:r>
        <w:rPr>
          <w:rFonts w:ascii="Arial" w:hAnsi="Arial" w:cs="Arial"/>
          <w:noProof/>
          <w:color w:val="000000" w:themeColor="text1"/>
          <w:sz w:val="22"/>
          <w:lang w:val="es-ES_tradnl"/>
        </w:rPr>
        <w:t xml:space="preserve">La Agencia Nacional de Contratación Pública – Colombia Compra Eficiente se ha pronunciado sobre el ámbito de aplicación de </w:t>
      </w:r>
      <w:r>
        <w:rPr>
          <w:rFonts w:ascii="Arial" w:eastAsia="Arial" w:hAnsi="Arial" w:cs="Arial"/>
          <w:color w:val="000000" w:themeColor="text1"/>
          <w:sz w:val="22"/>
          <w:lang w:val="es-ES_tradnl"/>
        </w:rPr>
        <w:t xml:space="preserve">los documentos tipo en la contratación estatal, 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y C-744 del 22 de diciembre de 2020. Sobre la aplicación del artículo 56 de </w:t>
      </w:r>
      <w:r w:rsidR="007537BD">
        <w:rPr>
          <w:rFonts w:ascii="Arial" w:eastAsia="Arial" w:hAnsi="Arial" w:cs="Arial"/>
          <w:color w:val="000000" w:themeColor="text1"/>
          <w:sz w:val="22"/>
          <w:lang w:val="es-ES_tradnl"/>
        </w:rPr>
        <w:t>l</w:t>
      </w:r>
      <w:r>
        <w:rPr>
          <w:rFonts w:ascii="Arial" w:eastAsia="Arial" w:hAnsi="Arial" w:cs="Arial"/>
          <w:color w:val="000000" w:themeColor="text1"/>
          <w:sz w:val="22"/>
          <w:lang w:val="es-ES_tradnl"/>
        </w:rPr>
        <w:t xml:space="preserve">a Ley 2195 de 2022 se pronunció en los conceptos </w:t>
      </w:r>
      <w:r>
        <w:rPr>
          <w:rFonts w:ascii="Arial" w:eastAsia="Calibri" w:hAnsi="Arial" w:cs="Arial"/>
          <w:color w:val="000000" w:themeColor="text1"/>
          <w:sz w:val="22"/>
          <w:lang w:val="es-ES"/>
        </w:rPr>
        <w:t xml:space="preserve">C-066 del 28 de enero de 2022, C-033 del 4 de marzo de 2022, C-049 del 07 de marzo de 2022, C-059 de 08 de marzo de 2022, C-065 del 9 de </w:t>
      </w:r>
      <w:r>
        <w:rPr>
          <w:rFonts w:ascii="Arial" w:eastAsia="Calibri" w:hAnsi="Arial" w:cs="Arial"/>
          <w:color w:val="000000" w:themeColor="text1"/>
          <w:sz w:val="22"/>
          <w:lang w:val="es-ES"/>
        </w:rPr>
        <w:lastRenderedPageBreak/>
        <w:t xml:space="preserve">marzo de 2022, C-090 del 16 de marzo de 2022, C-087 del 17 de marzo de 2022, C-083 del 18 de marzo de 2022, C-160 del 05 de abril de 2022, </w:t>
      </w:r>
      <w:r w:rsidR="007537BD">
        <w:rPr>
          <w:rFonts w:ascii="Arial" w:eastAsia="Calibri" w:hAnsi="Arial" w:cs="Arial"/>
          <w:color w:val="000000" w:themeColor="text1"/>
          <w:sz w:val="22"/>
          <w:lang w:val="es-ES"/>
        </w:rPr>
        <w:t xml:space="preserve">C- 244 del 2 de mayo de 2022, </w:t>
      </w:r>
      <w:r>
        <w:rPr>
          <w:rFonts w:ascii="Arial" w:eastAsia="Calibri" w:hAnsi="Arial" w:cs="Arial"/>
          <w:color w:val="000000" w:themeColor="text1"/>
          <w:sz w:val="22"/>
          <w:lang w:val="es-ES"/>
        </w:rPr>
        <w:t>C-</w:t>
      </w:r>
      <w:r w:rsidR="007537BD">
        <w:rPr>
          <w:rFonts w:ascii="Arial" w:eastAsia="Calibri" w:hAnsi="Arial" w:cs="Arial"/>
          <w:color w:val="000000" w:themeColor="text1"/>
          <w:sz w:val="22"/>
          <w:lang w:val="es-ES"/>
        </w:rPr>
        <w:t>269 del 6 de mayo de 2022 y C-341 del 27 de mayo de 2022</w:t>
      </w:r>
      <w:r>
        <w:rPr>
          <w:rStyle w:val="Refdenotaalpie"/>
          <w:rFonts w:ascii="Arial" w:eastAsia="Arial" w:hAnsi="Arial" w:cs="Arial"/>
          <w:color w:val="000000" w:themeColor="text1"/>
          <w:sz w:val="22"/>
          <w:lang w:val="es-ES_tradnl"/>
        </w:rPr>
        <w:footnoteReference w:id="2"/>
      </w:r>
      <w:r>
        <w:rPr>
          <w:rFonts w:ascii="Arial" w:eastAsia="Arial" w:hAnsi="Arial" w:cs="Arial"/>
          <w:color w:val="000000" w:themeColor="text1"/>
          <w:sz w:val="22"/>
          <w:lang w:val="es-ES_tradnl"/>
        </w:rPr>
        <w:t xml:space="preserve">. Las ideas expuestas en dichas oportunidades se reiteran y se complementan a continuación:    </w:t>
      </w:r>
    </w:p>
    <w:p w14:paraId="3A56B07B" w14:textId="77777777" w:rsidR="00031AD9" w:rsidRPr="00E858D2" w:rsidRDefault="00031AD9" w:rsidP="00031AD9">
      <w:pPr>
        <w:spacing w:line="276" w:lineRule="auto"/>
        <w:jc w:val="both"/>
        <w:rPr>
          <w:rFonts w:ascii="Arial" w:eastAsia="Arial" w:hAnsi="Arial" w:cs="Arial"/>
          <w:b/>
          <w:bCs/>
          <w:sz w:val="22"/>
          <w:lang w:val="es-ES_tradnl"/>
        </w:rPr>
      </w:pPr>
    </w:p>
    <w:p w14:paraId="2ABD2AAA" w14:textId="77777777" w:rsidR="00031AD9" w:rsidRPr="00E858D2" w:rsidRDefault="00031AD9" w:rsidP="00031AD9">
      <w:pPr>
        <w:spacing w:line="276" w:lineRule="auto"/>
        <w:jc w:val="both"/>
        <w:rPr>
          <w:rFonts w:ascii="Arial" w:eastAsia="Arial" w:hAnsi="Arial" w:cs="Arial"/>
          <w:b/>
          <w:bCs/>
          <w:sz w:val="22"/>
          <w:lang w:val="es-ES_tradnl"/>
        </w:rPr>
      </w:pPr>
      <w:r w:rsidRPr="00E858D2">
        <w:rPr>
          <w:rFonts w:ascii="Arial" w:eastAsia="Arial" w:hAnsi="Arial" w:cs="Arial"/>
          <w:b/>
          <w:bCs/>
          <w:sz w:val="22"/>
          <w:lang w:val="es-ES_tradnl"/>
        </w:rPr>
        <w:t xml:space="preserve">2.1. Fundamento normativo y ámbito de aplicación de los documentos tipo </w:t>
      </w:r>
    </w:p>
    <w:p w14:paraId="361A7647" w14:textId="77777777" w:rsidR="00031AD9" w:rsidRPr="00E858D2" w:rsidRDefault="00031AD9" w:rsidP="00031AD9">
      <w:pPr>
        <w:spacing w:line="276" w:lineRule="auto"/>
        <w:jc w:val="both"/>
        <w:rPr>
          <w:rFonts w:ascii="Arial" w:eastAsia="Arial" w:hAnsi="Arial" w:cs="Arial"/>
          <w:b/>
          <w:bCs/>
          <w:sz w:val="22"/>
          <w:lang w:val="es-ES_tradnl"/>
        </w:rPr>
      </w:pPr>
    </w:p>
    <w:p w14:paraId="30385650" w14:textId="77777777" w:rsidR="00031AD9" w:rsidRPr="00E858D2" w:rsidRDefault="00031AD9" w:rsidP="00031AD9">
      <w:pPr>
        <w:spacing w:after="120" w:line="276" w:lineRule="auto"/>
        <w:jc w:val="both"/>
        <w:rPr>
          <w:rFonts w:ascii="Arial" w:eastAsia="Calibri" w:hAnsi="Arial" w:cs="Arial"/>
          <w:sz w:val="22"/>
          <w:lang w:val="es-ES_tradnl"/>
        </w:rPr>
      </w:pPr>
      <w:r w:rsidRPr="00E858D2">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E858D2">
        <w:rPr>
          <w:rStyle w:val="Refdenotaalpie"/>
          <w:rFonts w:ascii="Arial" w:eastAsia="Calibri" w:hAnsi="Arial" w:cs="Arial"/>
        </w:rPr>
        <w:footnoteReference w:id="3"/>
      </w:r>
      <w:r w:rsidRPr="00E858D2">
        <w:rPr>
          <w:rFonts w:ascii="Arial" w:eastAsia="Calibri" w:hAnsi="Arial" w:cs="Arial"/>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7C5410B4" w14:textId="77777777" w:rsidR="00031AD9" w:rsidRPr="00E858D2" w:rsidRDefault="00031AD9" w:rsidP="00031AD9">
      <w:pPr>
        <w:spacing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 xml:space="preserve">Debido a lo anterior, el artículo 4 de la Ley 1882 de 2018 es el antecedente más relevante respecto a los documentos tipo. A partir de esta norma se determinó la obligatoriedad para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4011BAD5" w14:textId="77777777" w:rsidR="00031AD9" w:rsidRPr="00E858D2" w:rsidRDefault="00031AD9" w:rsidP="00031AD9">
      <w:pPr>
        <w:spacing w:before="120" w:after="120"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El artículo 4 de la Ley 1882 de 2018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Contratación que adelantaran</w:t>
      </w:r>
      <w:r w:rsidRPr="00E858D2">
        <w:rPr>
          <w:rStyle w:val="Refdenotaalpie"/>
          <w:rFonts w:ascii="Arial" w:eastAsia="Calibri" w:hAnsi="Arial" w:cs="Arial"/>
        </w:rPr>
        <w:footnoteReference w:id="4"/>
      </w:r>
      <w:r w:rsidRPr="00E858D2">
        <w:rPr>
          <w:rFonts w:ascii="Arial" w:eastAsia="Calibri" w:hAnsi="Arial" w:cs="Arial"/>
          <w:sz w:val="22"/>
          <w:lang w:val="es-ES_tradnl"/>
        </w:rPr>
        <w:t>.</w:t>
      </w:r>
    </w:p>
    <w:p w14:paraId="03395786" w14:textId="77777777" w:rsidR="00031AD9" w:rsidRPr="00E858D2" w:rsidRDefault="00031AD9" w:rsidP="00031AD9">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49DF507F" w14:textId="77777777" w:rsidR="00031AD9" w:rsidRPr="00E858D2" w:rsidRDefault="00031AD9" w:rsidP="00031AD9">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De la norma descrita se concluía lo siguiente: i) la adopción de los documentos tipo estaba en cabeza del Gobierno Nacional. </w:t>
      </w:r>
      <w:proofErr w:type="spellStart"/>
      <w:r w:rsidRPr="00E858D2">
        <w:rPr>
          <w:rFonts w:ascii="Arial" w:eastAsia="Calibri" w:hAnsi="Arial" w:cs="Arial"/>
          <w:sz w:val="22"/>
          <w:lang w:val="es-ES_tradnl"/>
        </w:rPr>
        <w:t>ii</w:t>
      </w:r>
      <w:proofErr w:type="spellEnd"/>
      <w:r w:rsidRPr="00E858D2">
        <w:rPr>
          <w:rFonts w:ascii="Arial" w:eastAsia="Calibri" w:hAnsi="Arial" w:cs="Arial"/>
          <w:sz w:val="22"/>
          <w:lang w:val="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E858D2">
        <w:rPr>
          <w:rFonts w:ascii="Arial" w:eastAsia="Calibri" w:hAnsi="Arial" w:cs="Arial"/>
          <w:sz w:val="22"/>
          <w:lang w:val="es-ES_tradnl"/>
        </w:rPr>
        <w:t>iii</w:t>
      </w:r>
      <w:proofErr w:type="spellEnd"/>
      <w:r w:rsidRPr="00E858D2">
        <w:rPr>
          <w:rFonts w:ascii="Arial" w:eastAsia="Calibri" w:hAnsi="Arial" w:cs="Arial"/>
          <w:sz w:val="22"/>
          <w:lang w:val="es-ES_tradnl"/>
        </w:rPr>
        <w:t xml:space="preserve">) Eran de obligatorio cumplimiento por parte de todas las entidades sometidas al Estatuto General de Contratación de la Administración Pública. </w:t>
      </w:r>
      <w:proofErr w:type="spellStart"/>
      <w:r w:rsidRPr="00E858D2">
        <w:rPr>
          <w:rFonts w:ascii="Arial" w:eastAsia="Calibri" w:hAnsi="Arial" w:cs="Arial"/>
          <w:sz w:val="22"/>
          <w:lang w:val="es-ES_tradnl"/>
        </w:rPr>
        <w:t>iv</w:t>
      </w:r>
      <w:proofErr w:type="spellEnd"/>
      <w:r w:rsidRPr="00E858D2">
        <w:rPr>
          <w:rFonts w:ascii="Arial" w:eastAsia="Calibri" w:hAnsi="Arial" w:cs="Arial"/>
          <w:sz w:val="22"/>
          <w:lang w:val="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17200769" w14:textId="77777777" w:rsidR="00031AD9" w:rsidRPr="00E858D2" w:rsidRDefault="00031AD9" w:rsidP="00031AD9">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5" w:name="_Hlk48665985"/>
      <w:r w:rsidRPr="00E858D2">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5"/>
      <w:r w:rsidRPr="00E858D2">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E858D2">
        <w:rPr>
          <w:rStyle w:val="Refdenotaalpie"/>
          <w:rFonts w:ascii="Arial" w:eastAsia="Calibri" w:hAnsi="Arial" w:cs="Arial"/>
        </w:rPr>
        <w:footnoteReference w:id="5"/>
      </w:r>
      <w:r w:rsidRPr="00E858D2">
        <w:rPr>
          <w:rFonts w:ascii="Arial" w:eastAsia="Calibri" w:hAnsi="Arial" w:cs="Arial"/>
          <w:sz w:val="22"/>
          <w:lang w:val="es-ES_tradnl"/>
        </w:rPr>
        <w:t>.</w:t>
      </w:r>
    </w:p>
    <w:p w14:paraId="42C90782" w14:textId="77777777" w:rsidR="00031AD9" w:rsidRPr="00E858D2" w:rsidRDefault="00031AD9" w:rsidP="00031AD9">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lastRenderedPageBreak/>
        <w:tab/>
        <w:t>De este modo, los documentos tipo no afectan la autonomía de las entidades territoriales. Lo anterior, debido a que la definición de los requisitos habilitantes y de aspectos técnicos de la escogencia del contratista en los Procesos de Contratación, son aspectos en los que el legislador tiene amplia libertad de configuración normativa y, por tanto, puede atribuir dicha regulación al Gobierno Nacional. Ahora, dicha autonomía se materializa cuando las entidades territoriales deciden iniciar una convocatoria para satisfacer sus necesidades para la adquisición de un bien, obra o servicio, y además se incluyen en la minuta del contrato las condiciones particulares del negocio jurídico a celebrar.</w:t>
      </w:r>
    </w:p>
    <w:p w14:paraId="3531E131" w14:textId="79C0ABC6" w:rsidR="00031AD9" w:rsidRPr="00E858D2" w:rsidRDefault="00031AD9" w:rsidP="00031AD9">
      <w:pPr>
        <w:spacing w:before="120" w:after="120" w:line="276" w:lineRule="auto"/>
        <w:jc w:val="both"/>
        <w:rPr>
          <w:rFonts w:ascii="Arial" w:eastAsia="Calibri" w:hAnsi="Arial" w:cs="Arial"/>
          <w:sz w:val="22"/>
          <w:szCs w:val="22"/>
          <w:lang w:val="es-ES_tradnl" w:eastAsia="en-US"/>
        </w:rPr>
      </w:pPr>
      <w:r w:rsidRPr="00E858D2">
        <w:rPr>
          <w:rFonts w:ascii="Arial" w:eastAsia="Calibri" w:hAnsi="Arial" w:cs="Arial"/>
          <w:sz w:val="22"/>
          <w:szCs w:val="22"/>
          <w:lang w:val="es-ES_tradnl"/>
        </w:rPr>
        <w:tab/>
      </w:r>
      <w:r w:rsidRPr="00E858D2">
        <w:rPr>
          <w:rFonts w:ascii="Arial" w:eastAsia="Calibri" w:hAnsi="Arial" w:cs="Arial"/>
          <w:sz w:val="22"/>
          <w:szCs w:val="22"/>
          <w:lang w:val="es-ES_tradnl" w:eastAsia="en-US"/>
        </w:rPr>
        <w:t>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 2019, relacionado con los documentos tipo para los procesos de selección de licitación de obra pública de infraestructura de transporte. Luego</w:t>
      </w:r>
      <w:r w:rsidR="0037718A">
        <w:rPr>
          <w:rFonts w:ascii="Arial" w:eastAsia="Calibri" w:hAnsi="Arial" w:cs="Arial"/>
          <w:sz w:val="22"/>
          <w:szCs w:val="22"/>
          <w:lang w:val="es-ES_tradnl" w:eastAsia="en-US"/>
        </w:rPr>
        <w:t>,</w:t>
      </w:r>
      <w:r w:rsidRPr="00E858D2">
        <w:rPr>
          <w:rFonts w:ascii="Arial" w:eastAsia="Calibri" w:hAnsi="Arial" w:cs="Arial"/>
          <w:sz w:val="22"/>
          <w:szCs w:val="22"/>
          <w:lang w:val="es-ES_tradnl" w:eastAsia="en-US"/>
        </w:rPr>
        <w:t xml:space="preserve"> se expidió el Decreto 2096 de 2019, que permitió el desarrollo de los documentos tipo para los pliegos de condiciones de los procesos de obras públicas de infraestructura de transporte que se adelantaran por la modalidad de selección abreviada de menor cuantía. </w:t>
      </w:r>
    </w:p>
    <w:p w14:paraId="5598DBE8" w14:textId="77777777" w:rsidR="00031AD9" w:rsidRPr="00E858D2" w:rsidRDefault="00031AD9" w:rsidP="00031AD9">
      <w:pPr>
        <w:spacing w:before="120" w:after="120" w:line="276" w:lineRule="auto"/>
        <w:ind w:firstLine="708"/>
        <w:jc w:val="both"/>
        <w:rPr>
          <w:rFonts w:ascii="Arial" w:eastAsia="Calibri" w:hAnsi="Arial" w:cs="Arial"/>
          <w:sz w:val="22"/>
          <w:szCs w:val="22"/>
          <w:lang w:val="es-ES_tradnl"/>
        </w:rPr>
      </w:pPr>
      <w:r w:rsidRPr="00E858D2">
        <w:rPr>
          <w:rFonts w:ascii="Arial" w:eastAsia="Calibri" w:hAnsi="Arial" w:cs="Arial"/>
          <w:sz w:val="22"/>
          <w:szCs w:val="22"/>
          <w:lang w:val="es-ES_tradnl" w:eastAsia="en-US"/>
        </w:rPr>
        <w:t>Finalmente, se profirió el Decreto 594 de 2020, frente a los documentos tipo para los contratos de obra pública</w:t>
      </w:r>
      <w:r w:rsidRPr="00E858D2" w:rsidDel="00A434AB">
        <w:rPr>
          <w:rFonts w:ascii="Arial" w:eastAsia="Calibri" w:hAnsi="Arial" w:cs="Arial"/>
          <w:sz w:val="22"/>
          <w:szCs w:val="22"/>
          <w:lang w:val="es-ES_tradnl" w:eastAsia="en-US"/>
        </w:rPr>
        <w:t xml:space="preserve"> </w:t>
      </w:r>
      <w:r w:rsidRPr="00E858D2">
        <w:rPr>
          <w:rFonts w:ascii="Arial" w:eastAsia="Calibri" w:hAnsi="Arial" w:cs="Arial"/>
          <w:sz w:val="22"/>
          <w:szCs w:val="22"/>
          <w:lang w:val="es-ES_tradnl" w:eastAsia="en-US"/>
        </w:rPr>
        <w:t xml:space="preserve">de infraestructura de transporte que se surtieran por la modalidad de mínima cuantía. Estos documentos fueron implementados y desarrollados por la Agencia Nacional de Contratación Pública </w:t>
      </w:r>
      <w:bookmarkStart w:id="6" w:name="_Hlk37841850"/>
      <w:r w:rsidRPr="00E858D2">
        <w:rPr>
          <w:rFonts w:ascii="Arial" w:eastAsia="Calibri" w:hAnsi="Arial" w:cs="Arial"/>
          <w:sz w:val="22"/>
          <w:szCs w:val="22"/>
          <w:lang w:val="es-ES_tradnl" w:eastAsia="en-US"/>
        </w:rPr>
        <w:t xml:space="preserve">– Colombia Compra Eficiente, </w:t>
      </w:r>
      <w:bookmarkEnd w:id="6"/>
      <w:r w:rsidRPr="00E858D2">
        <w:rPr>
          <w:rFonts w:ascii="Arial" w:eastAsia="Calibri" w:hAnsi="Arial" w:cs="Arial"/>
          <w:sz w:val="22"/>
          <w:szCs w:val="22"/>
          <w:lang w:val="es-ES_tradnl" w:eastAsia="en-US"/>
        </w:rPr>
        <w:t>por medio de la Resolución 1798 de 2019 –derogada por la Resolución 045 de 2020–, la Resolución 044 de 2020 y la Resolución 094 de 2020.</w:t>
      </w:r>
    </w:p>
    <w:p w14:paraId="64393B94" w14:textId="77777777" w:rsidR="00031AD9" w:rsidRPr="00E858D2" w:rsidRDefault="00031AD9" w:rsidP="00031AD9">
      <w:pPr>
        <w:pStyle w:val="Normal11pt"/>
        <w:spacing w:before="120" w:line="276" w:lineRule="auto"/>
        <w:ind w:left="0" w:firstLine="709"/>
        <w:rPr>
          <w:rFonts w:eastAsia="Calibri"/>
          <w:color w:val="auto"/>
        </w:rPr>
      </w:pPr>
      <w:r w:rsidRPr="00E858D2">
        <w:rPr>
          <w:rFonts w:eastAsia="Calibri"/>
          <w:color w:val="auto"/>
        </w:rPr>
        <w:t>Con posterioridad a la adopción de los anteriores documentos tipo, se expidió la Ley 2022 de 2020, norma que modificó el parágrafo 7 del artículo 2 de la Ley 1150 de 2007, que había sido adicionado por la Ley 1882 de 2018</w:t>
      </w:r>
      <w:r w:rsidRPr="00E858D2">
        <w:rPr>
          <w:rStyle w:val="Refdenotaalpie"/>
          <w:rFonts w:eastAsia="Calibri"/>
        </w:rPr>
        <w:footnoteReference w:id="6"/>
      </w:r>
      <w:r w:rsidRPr="00E858D2">
        <w:rPr>
          <w:rFonts w:eastAsia="Calibri"/>
          <w:color w:val="auto"/>
        </w:rPr>
        <w:t xml:space="preserve">. Con esta modificación, si bien se </w:t>
      </w:r>
      <w:r w:rsidRPr="00E858D2">
        <w:rPr>
          <w:rFonts w:eastAsia="Calibri"/>
          <w:color w:val="auto"/>
        </w:rPr>
        <w:lastRenderedPageBreak/>
        <w:t xml:space="preserve">mantuvo el mandato de aplicación obligatoria de los documentos tipo por parte de las entidades sometidas al Estatuto General de Contratación de la Administración Pública, se atribuyó, específicamente, a la </w:t>
      </w:r>
      <w:r w:rsidRPr="00E858D2">
        <w:rPr>
          <w:rFonts w:eastAsia="Calibri"/>
          <w:color w:val="auto"/>
          <w:lang w:eastAsia="en-US"/>
        </w:rPr>
        <w:t xml:space="preserve">Agencia Nacional de Contratación Pública – Colombia Compra Eficiente la competencia para su adopción. </w:t>
      </w:r>
      <w:r w:rsidRPr="00E858D2">
        <w:rPr>
          <w:rFonts w:eastAsia="Calibri"/>
          <w:color w:val="auto"/>
        </w:rPr>
        <w:t xml:space="preserve">En este marco, con la finalidad de realizar un desarrollo armónico y ajustado a la ley que otorgó esta competencia, esta Agencia emitió la Resolución 160 de 2020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w:t>
      </w:r>
    </w:p>
    <w:p w14:paraId="02AF96FA" w14:textId="77777777" w:rsidR="00031AD9" w:rsidRPr="00E858D2" w:rsidRDefault="00031AD9" w:rsidP="00031AD9">
      <w:pPr>
        <w:pStyle w:val="Normal11pt"/>
        <w:spacing w:before="120" w:line="276" w:lineRule="auto"/>
        <w:ind w:left="0" w:firstLine="709"/>
        <w:rPr>
          <w:rFonts w:eastAsia="Calibri"/>
          <w:color w:val="auto"/>
        </w:rPr>
      </w:pPr>
      <w:r w:rsidRPr="00E858D2">
        <w:rPr>
          <w:rFonts w:eastAsia="Calibri"/>
          <w:color w:val="auto"/>
        </w:rPr>
        <w:t xml:space="preserve">De igual manera, se expidió la Resolución 241 de 2020, «Por la cual se actualizan los Documentos Tipo para los procesos de selección abreviada de menor cuantía de obra pública de infraestructura de transporte y se deroga la Resolución 0044 de 2020». Adicionalmente, </w:t>
      </w:r>
      <w:proofErr w:type="gramStart"/>
      <w:r w:rsidRPr="00E858D2">
        <w:rPr>
          <w:rFonts w:eastAsia="Calibri"/>
          <w:color w:val="auto"/>
        </w:rPr>
        <w:t>entró en vigencia</w:t>
      </w:r>
      <w:proofErr w:type="gramEnd"/>
      <w:r w:rsidRPr="00E858D2">
        <w:rPr>
          <w:rFonts w:eastAsia="Calibri"/>
          <w:color w:val="auto"/>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253FB21D" w14:textId="77777777" w:rsidR="00031AD9" w:rsidRPr="00E858D2" w:rsidRDefault="00031AD9" w:rsidP="00031AD9">
      <w:pPr>
        <w:pStyle w:val="Normal11pt"/>
        <w:spacing w:before="120" w:line="276" w:lineRule="auto"/>
        <w:ind w:left="0" w:firstLine="709"/>
        <w:rPr>
          <w:color w:val="auto"/>
        </w:rPr>
      </w:pPr>
      <w:r w:rsidRPr="00E858D2">
        <w:rPr>
          <w:rFonts w:eastAsia="Calibri"/>
          <w:color w:val="auto"/>
        </w:rPr>
        <w:lastRenderedPageBreak/>
        <w:t xml:space="preserve">A los actos administrativos mencionados se suman: i) la Resolución 193 de 2021, </w:t>
      </w:r>
      <w:r w:rsidRPr="00E858D2">
        <w:rPr>
          <w:color w:val="auto"/>
        </w:rPr>
        <w:t>«Por la cual se adoptan los documentos tipo para los procesos de selección de concurso de méritos, para contratar la consultoría de estudios de ingeniería de infraestructura de transporte»,</w:t>
      </w:r>
      <w:r w:rsidRPr="00E858D2">
        <w:rPr>
          <w:rFonts w:eastAsia="Calibri"/>
          <w:color w:val="auto"/>
        </w:rPr>
        <w:t xml:space="preserve"> </w:t>
      </w:r>
      <w:proofErr w:type="spellStart"/>
      <w:r w:rsidRPr="00E858D2">
        <w:rPr>
          <w:rFonts w:eastAsia="Calibri"/>
          <w:color w:val="auto"/>
        </w:rPr>
        <w:t>ii</w:t>
      </w:r>
      <w:proofErr w:type="spellEnd"/>
      <w:r w:rsidRPr="00E858D2">
        <w:rPr>
          <w:rFonts w:eastAsia="Calibri"/>
          <w:color w:val="auto"/>
        </w:rPr>
        <w:t>) la Resolución 219 de 2020,</w:t>
      </w:r>
      <w:r w:rsidRPr="00E858D2">
        <w:rPr>
          <w:color w:val="auto"/>
        </w:rPr>
        <w:t xml:space="preserve"> «Por la cual se adoptan los documentos tipo para los procesos de licitación de obra pública de infraestructura social», </w:t>
      </w:r>
      <w:proofErr w:type="spellStart"/>
      <w:r w:rsidRPr="00E858D2">
        <w:rPr>
          <w:color w:val="auto"/>
        </w:rPr>
        <w:t>iii</w:t>
      </w:r>
      <w:proofErr w:type="spellEnd"/>
      <w:r w:rsidRPr="00E858D2">
        <w:rPr>
          <w:color w:val="auto"/>
        </w:rPr>
        <w:t xml:space="preserve">) la Resolución 220 de 2021, «Por la cual se adoptan los documentos tipo complementarios para los procesos de licitación de obra pública de infraestructura social relacionados con el sector educativo», </w:t>
      </w:r>
      <w:proofErr w:type="spellStart"/>
      <w:r w:rsidRPr="00E858D2">
        <w:rPr>
          <w:color w:val="auto"/>
        </w:rPr>
        <w:t>iv</w:t>
      </w:r>
      <w:proofErr w:type="spellEnd"/>
      <w:r w:rsidRPr="00E858D2">
        <w:rPr>
          <w:color w:val="auto"/>
        </w:rPr>
        <w:t xml:space="preserve">) la Resolución 392 de 2021, «Por la cual se adoptan los documentos tipo complementarios para los procesos de licitación de obra pública de infraestructura social relacionados con el sector salud», y v) la Resolución 454 de 2021, «Por la cual se adoptan los documentos tipo complementarios para los procesos de licitación de obra pública de infraestructura social relacionados con el sector cultura, recreación y deporte». </w:t>
      </w:r>
    </w:p>
    <w:p w14:paraId="17A0CC58" w14:textId="77777777" w:rsidR="00031AD9" w:rsidRPr="00E858D2" w:rsidRDefault="00031AD9" w:rsidP="00031AD9">
      <w:pPr>
        <w:pStyle w:val="Normal11pt"/>
        <w:spacing w:before="120" w:after="120" w:line="276" w:lineRule="auto"/>
        <w:ind w:left="0" w:firstLine="709"/>
        <w:rPr>
          <w:color w:val="auto"/>
        </w:rPr>
      </w:pPr>
      <w:r w:rsidRPr="00E858D2">
        <w:rPr>
          <w:color w:val="auto"/>
        </w:rPr>
        <w:t xml:space="preserve">En cuanto al ámbito de aplicación de estos documentos, es preciso explicar que cada una de estas resoluciones está relacionada con un sector, un objeto contractual y una modalidad de selección específica.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aquellos. De ser esto así, la entidad estará obligada a adelantar el proceso de contratación aplicando los documentos tipo del caso. </w:t>
      </w:r>
    </w:p>
    <w:p w14:paraId="0ECC133B" w14:textId="77777777" w:rsidR="00031AD9" w:rsidRPr="00E858D2" w:rsidRDefault="00031AD9" w:rsidP="00031AD9">
      <w:pPr>
        <w:spacing w:line="276" w:lineRule="auto"/>
        <w:ind w:firstLine="708"/>
        <w:jc w:val="both"/>
        <w:rPr>
          <w:rFonts w:ascii="Arial" w:hAnsi="Arial" w:cs="Arial"/>
          <w:sz w:val="22"/>
          <w:shd w:val="clear" w:color="auto" w:fill="FFFFFF"/>
          <w:lang w:val="es-ES_tradnl"/>
        </w:rPr>
      </w:pPr>
      <w:r w:rsidRPr="00E858D2">
        <w:rPr>
          <w:rFonts w:ascii="Arial" w:hAnsi="Arial" w:cs="Arial"/>
          <w:sz w:val="22"/>
          <w:shd w:val="clear" w:color="auto" w:fill="FFFFFF"/>
          <w:lang w:val="es-ES_tradnl"/>
        </w:rPr>
        <w:t xml:space="preserve">Es importante advertir que todas las resoluciones mediante las que se han adoptado documentos tipo consagran la regla de la </w:t>
      </w:r>
      <w:r w:rsidRPr="00D6341E">
        <w:rPr>
          <w:rFonts w:ascii="Arial" w:hAnsi="Arial" w:cs="Arial"/>
          <w:i/>
          <w:iCs/>
          <w:sz w:val="22"/>
          <w:shd w:val="clear" w:color="auto" w:fill="FFFFFF"/>
          <w:lang w:val="es-ES_tradnl"/>
        </w:rPr>
        <w:t>inalterabilidad</w:t>
      </w:r>
      <w:r w:rsidRPr="00E858D2">
        <w:rPr>
          <w:rFonts w:ascii="Arial" w:hAnsi="Arial" w:cs="Arial"/>
          <w:sz w:val="22"/>
          <w:shd w:val="clear" w:color="auto" w:fill="FFFFFF"/>
          <w:lang w:val="es-ES_tradnl"/>
        </w:rPr>
        <w:t xml:space="preserve">. Esta prohibición consiste en que las entidades estatales no pueden incluir o modificar en los </w:t>
      </w:r>
      <w:r w:rsidRPr="00E858D2">
        <w:rPr>
          <w:rFonts w:ascii="Arial" w:hAnsi="Arial" w:cs="Arial"/>
          <w:i/>
          <w:iCs/>
          <w:sz w:val="22"/>
          <w:shd w:val="clear" w:color="auto" w:fill="FFFFFF"/>
          <w:lang w:val="es-ES_tradnl"/>
        </w:rPr>
        <w:t>Documentos del Proceso</w:t>
      </w:r>
      <w:r w:rsidRPr="00E858D2">
        <w:rPr>
          <w:rFonts w:ascii="Arial" w:hAnsi="Arial" w:cs="Arial"/>
          <w:sz w:val="22"/>
          <w:shd w:val="clear" w:color="auto" w:fill="FFFFFF"/>
          <w:lang w:val="es-ES_tradnl"/>
        </w:rPr>
        <w:t xml:space="preserve"> los requisitos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460A67F2" w14:textId="77777777" w:rsidR="00031AD9" w:rsidRPr="00E858D2" w:rsidRDefault="00031AD9" w:rsidP="00031AD9">
      <w:pPr>
        <w:pStyle w:val="Normal11pt"/>
        <w:spacing w:before="120" w:line="276" w:lineRule="auto"/>
        <w:ind w:left="0" w:firstLine="709"/>
        <w:rPr>
          <w:rFonts w:eastAsia="Calibri"/>
          <w:color w:val="auto"/>
          <w:lang w:eastAsia="en-US"/>
        </w:rPr>
      </w:pPr>
      <w:r w:rsidRPr="00E858D2">
        <w:rPr>
          <w:rFonts w:eastAsia="Calibri"/>
          <w:color w:val="auto"/>
        </w:rPr>
        <w:t>Por último, cabe aclarar que la Agencia Nacional de Contratación Pública sigue avanzando en nuevos documentos tipo. Sin embargo, debe tenerse en cuenta que estos exigen un minucioso desarrollo en el cual se consideran las observaciones de las entidades técnicas y especializadas con la finalidad de adoptar documentos tipo que contengan las mejores prácticas contractuales que procuren el adecuado desarrollo de los principios que rigen la contratación pública.</w:t>
      </w:r>
    </w:p>
    <w:p w14:paraId="18427A85" w14:textId="77777777" w:rsidR="00031AD9" w:rsidRPr="00E858D2" w:rsidRDefault="00031AD9" w:rsidP="00031AD9">
      <w:pPr>
        <w:tabs>
          <w:tab w:val="left" w:pos="0"/>
        </w:tabs>
        <w:spacing w:line="276" w:lineRule="auto"/>
        <w:jc w:val="both"/>
        <w:rPr>
          <w:rFonts w:ascii="Arial" w:eastAsia="Calibri" w:hAnsi="Arial" w:cs="Arial"/>
          <w:b/>
          <w:sz w:val="22"/>
          <w:lang w:val="es-ES_tradnl"/>
        </w:rPr>
      </w:pPr>
    </w:p>
    <w:p w14:paraId="239E25FA" w14:textId="4CD0F385" w:rsidR="00033358" w:rsidRDefault="00031AD9" w:rsidP="00031AD9">
      <w:pPr>
        <w:tabs>
          <w:tab w:val="left" w:pos="0"/>
        </w:tabs>
        <w:spacing w:line="276" w:lineRule="auto"/>
        <w:jc w:val="both"/>
        <w:rPr>
          <w:rFonts w:ascii="Arial" w:eastAsia="Calibri" w:hAnsi="Arial" w:cs="Arial"/>
          <w:b/>
          <w:bCs/>
          <w:sz w:val="22"/>
          <w:lang w:val="es-MX"/>
        </w:rPr>
      </w:pPr>
      <w:r w:rsidRPr="00E858D2">
        <w:rPr>
          <w:rFonts w:ascii="Arial" w:eastAsia="Calibri" w:hAnsi="Arial" w:cs="Arial"/>
          <w:b/>
          <w:sz w:val="22"/>
          <w:lang w:val="es-ES_tradnl"/>
        </w:rPr>
        <w:lastRenderedPageBreak/>
        <w:t xml:space="preserve">2.2. </w:t>
      </w:r>
      <w:bookmarkStart w:id="7" w:name="_Hlk95322387"/>
      <w:r w:rsidR="001A43C6">
        <w:rPr>
          <w:rFonts w:ascii="Arial" w:eastAsia="Calibri" w:hAnsi="Arial" w:cs="Arial"/>
          <w:b/>
          <w:bCs/>
          <w:sz w:val="22"/>
          <w:lang w:val="es-MX"/>
        </w:rPr>
        <w:t>R</w:t>
      </w:r>
      <w:r w:rsidR="001A43C6" w:rsidRPr="001A43C6">
        <w:rPr>
          <w:rFonts w:ascii="Arial" w:eastAsia="Calibri" w:hAnsi="Arial" w:cs="Arial"/>
          <w:b/>
          <w:bCs/>
          <w:sz w:val="22"/>
          <w:lang w:val="es-MX"/>
        </w:rPr>
        <w:t xml:space="preserve">égimen contractual de las empresas prestadoras de servicios públicos mixtas </w:t>
      </w:r>
      <w:r w:rsidR="001A43C6" w:rsidRPr="00F74DC7">
        <w:rPr>
          <w:rFonts w:ascii="Arial" w:eastAsia="Calibri" w:hAnsi="Arial" w:cs="Arial"/>
          <w:b/>
          <w:bCs/>
          <w:sz w:val="22"/>
          <w:lang w:val="es-MX"/>
        </w:rPr>
        <w:t>y diferencia con las sociedades de economía mixtas</w:t>
      </w:r>
    </w:p>
    <w:p w14:paraId="1DE5207B" w14:textId="7A1BD257" w:rsidR="001A43C6" w:rsidRDefault="001A43C6" w:rsidP="00031AD9">
      <w:pPr>
        <w:tabs>
          <w:tab w:val="left" w:pos="0"/>
        </w:tabs>
        <w:spacing w:line="276" w:lineRule="auto"/>
        <w:jc w:val="both"/>
        <w:rPr>
          <w:rFonts w:ascii="Arial" w:eastAsia="Calibri" w:hAnsi="Arial" w:cs="Arial"/>
          <w:b/>
          <w:bCs/>
          <w:sz w:val="22"/>
          <w:lang w:val="es-MX"/>
        </w:rPr>
      </w:pPr>
    </w:p>
    <w:p w14:paraId="6AB1D8A2" w14:textId="77777777" w:rsidR="001A43C6" w:rsidRPr="00FC3C59" w:rsidRDefault="001A43C6" w:rsidP="001A43C6">
      <w:pPr>
        <w:spacing w:line="276" w:lineRule="auto"/>
        <w:jc w:val="both"/>
        <w:rPr>
          <w:rFonts w:ascii="Arial" w:eastAsia="Calibri" w:hAnsi="Arial" w:cs="Arial"/>
          <w:color w:val="000000"/>
          <w:sz w:val="22"/>
          <w:lang w:val="es-ES_tradnl"/>
        </w:rPr>
      </w:pPr>
      <w:r w:rsidRPr="00FC3C59">
        <w:rPr>
          <w:rFonts w:ascii="Arial" w:eastAsia="Calibri" w:hAnsi="Arial" w:cs="Arial"/>
          <w:color w:val="000000"/>
          <w:sz w:val="22"/>
          <w:lang w:val="es-ES_tradnl"/>
        </w:rPr>
        <w:t>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w:t>
      </w:r>
      <w:r w:rsidRPr="00FC3C59">
        <w:rPr>
          <w:rFonts w:ascii="Arial" w:eastAsia="Calibri" w:hAnsi="Arial" w:cs="Arial"/>
          <w:color w:val="000000"/>
          <w:sz w:val="22"/>
          <w:vertAlign w:val="superscript"/>
          <w:lang w:val="es-ES_tradnl"/>
        </w:rPr>
        <w:footnoteReference w:id="7"/>
      </w:r>
      <w:r w:rsidRPr="00FC3C59">
        <w:rPr>
          <w:rFonts w:ascii="Arial" w:eastAsia="Calibri" w:hAnsi="Arial" w:cs="Arial"/>
          <w:color w:val="000000"/>
          <w:sz w:val="22"/>
          <w:lang w:val="es-ES_tradnl"/>
        </w:rPr>
        <w:t>. En tal sentido, el artículo 365 de la Constitución dispone lo siguiente:</w:t>
      </w:r>
    </w:p>
    <w:p w14:paraId="43D0A85A" w14:textId="77777777" w:rsidR="001A43C6" w:rsidRPr="00FC3C59" w:rsidRDefault="001A43C6" w:rsidP="001A43C6">
      <w:pPr>
        <w:ind w:left="709" w:right="709"/>
        <w:jc w:val="both"/>
        <w:rPr>
          <w:rFonts w:ascii="Arial" w:eastAsia="Calibri" w:hAnsi="Arial" w:cs="Arial"/>
          <w:color w:val="000000"/>
          <w:sz w:val="21"/>
          <w:szCs w:val="21"/>
          <w:lang w:val="es-ES_tradnl"/>
        </w:rPr>
      </w:pPr>
    </w:p>
    <w:p w14:paraId="36D754F2" w14:textId="77777777" w:rsidR="001A43C6" w:rsidRPr="00FC3C59" w:rsidRDefault="001A43C6" w:rsidP="001A43C6">
      <w:pPr>
        <w:spacing w:after="120"/>
        <w:ind w:left="709" w:right="709"/>
        <w:jc w:val="both"/>
        <w:rPr>
          <w:rFonts w:ascii="Arial" w:eastAsia="Calibri" w:hAnsi="Arial" w:cs="Arial"/>
          <w:color w:val="000000"/>
          <w:sz w:val="21"/>
          <w:szCs w:val="21"/>
          <w:lang w:val="es-ES_tradnl"/>
        </w:rPr>
      </w:pPr>
      <w:r w:rsidRPr="00FC3C59">
        <w:rPr>
          <w:rFonts w:ascii="Arial" w:eastAsia="Calibri" w:hAnsi="Arial" w:cs="Arial"/>
          <w:color w:val="000000"/>
          <w:sz w:val="21"/>
          <w:szCs w:val="21"/>
          <w:lang w:val="es-ES_tradnl"/>
        </w:rPr>
        <w:t>Los servicios públicos son inherentes a la finalidad social del Estado. Es deber del Estado asegurar su prestación eficiente a todos los habitantes del territorio nacional.</w:t>
      </w:r>
    </w:p>
    <w:p w14:paraId="7DE28FFE" w14:textId="77777777" w:rsidR="001A43C6" w:rsidRPr="00FC3C59" w:rsidRDefault="001A43C6" w:rsidP="001A43C6">
      <w:pPr>
        <w:ind w:left="709" w:right="709"/>
        <w:jc w:val="both"/>
        <w:rPr>
          <w:rFonts w:ascii="Arial" w:eastAsia="Calibri" w:hAnsi="Arial" w:cs="Arial"/>
          <w:color w:val="000000"/>
          <w:sz w:val="21"/>
          <w:szCs w:val="21"/>
          <w:lang w:val="es-ES_tradnl"/>
        </w:rPr>
      </w:pPr>
      <w:r w:rsidRPr="00FC3C59">
        <w:rPr>
          <w:rFonts w:ascii="Arial" w:eastAsia="Calibri" w:hAnsi="Arial" w:cs="Arial"/>
          <w:color w:val="000000"/>
          <w:sz w:val="21"/>
          <w:szCs w:val="21"/>
          <w:lang w:val="es-ES_tradnl"/>
        </w:rPr>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p w14:paraId="77BAF96F" w14:textId="77777777" w:rsidR="001A43C6" w:rsidRPr="00FC3C59" w:rsidRDefault="001A43C6" w:rsidP="001A43C6">
      <w:pPr>
        <w:spacing w:line="276" w:lineRule="auto"/>
        <w:ind w:firstLine="709"/>
        <w:jc w:val="both"/>
        <w:rPr>
          <w:rFonts w:ascii="Arial" w:eastAsia="Calibri" w:hAnsi="Arial" w:cs="Arial"/>
          <w:color w:val="000000"/>
          <w:sz w:val="22"/>
          <w:lang w:val="es-ES_tradnl"/>
        </w:rPr>
      </w:pPr>
    </w:p>
    <w:p w14:paraId="5B000265" w14:textId="3FEB05F2" w:rsidR="001A43C6" w:rsidRPr="00FC3C59" w:rsidRDefault="001A43C6" w:rsidP="001A43C6">
      <w:pPr>
        <w:spacing w:line="276" w:lineRule="auto"/>
        <w:ind w:firstLine="709"/>
        <w:jc w:val="both"/>
        <w:rPr>
          <w:rFonts w:ascii="Arial" w:eastAsia="Calibri" w:hAnsi="Arial" w:cs="Arial"/>
          <w:color w:val="000000"/>
          <w:sz w:val="22"/>
          <w:lang w:val="es-ES_tradnl"/>
        </w:rPr>
      </w:pPr>
      <w:bookmarkStart w:id="8" w:name="_Hlk71791168"/>
      <w:r w:rsidRPr="00FC3C59">
        <w:rPr>
          <w:rFonts w:ascii="Arial" w:eastAsia="Calibri" w:hAnsi="Arial" w:cs="Arial"/>
          <w:color w:val="000000"/>
          <w:sz w:val="22"/>
          <w:bdr w:val="none" w:sz="0" w:space="0" w:color="auto" w:frame="1"/>
        </w:rPr>
        <w:t>Con base en este presupuesto constitucional de liberalización de los servicios públicos domiciliarios</w:t>
      </w:r>
      <w:r w:rsidR="00196A9F">
        <w:rPr>
          <w:rFonts w:ascii="Arial" w:eastAsia="Calibri" w:hAnsi="Arial" w:cs="Arial"/>
          <w:color w:val="000000"/>
          <w:sz w:val="22"/>
          <w:bdr w:val="none" w:sz="0" w:space="0" w:color="auto" w:frame="1"/>
        </w:rPr>
        <w:t>,</w:t>
      </w:r>
      <w:r w:rsidRPr="00FC3C59">
        <w:rPr>
          <w:rFonts w:ascii="Arial" w:eastAsia="Calibri" w:hAnsi="Arial" w:cs="Arial"/>
          <w:color w:val="000000"/>
          <w:sz w:val="22"/>
          <w:bdr w:val="none" w:sz="0" w:space="0" w:color="auto" w:frame="1"/>
        </w:rPr>
        <w:t xml:space="preserve"> el legislador expidió la Ley 142 de 1994, mediante la cual se establece el régimen de los servicios públicos domiciliarios. </w:t>
      </w:r>
      <w:r w:rsidRPr="00FC3C59">
        <w:rPr>
          <w:rFonts w:ascii="Arial" w:eastAsia="Calibri" w:hAnsi="Arial" w:cs="Arial"/>
          <w:color w:val="000000"/>
          <w:sz w:val="22"/>
        </w:rPr>
        <w:t>E</w:t>
      </w:r>
      <w:r w:rsidRPr="00FC3C59">
        <w:rPr>
          <w:rFonts w:ascii="Arial" w:eastAsia="Calibri" w:hAnsi="Arial" w:cs="Arial"/>
          <w:color w:val="000000"/>
          <w:sz w:val="22"/>
          <w:lang w:val="es-ES_tradnl"/>
        </w:rPr>
        <w:t xml:space="preserve">l </w:t>
      </w:r>
      <w:bookmarkStart w:id="9" w:name="_Hlk71294880"/>
      <w:r w:rsidRPr="00FC3C59">
        <w:rPr>
          <w:rFonts w:ascii="Arial" w:eastAsia="Calibri" w:hAnsi="Arial" w:cs="Arial"/>
          <w:color w:val="000000"/>
          <w:sz w:val="22"/>
          <w:lang w:val="es-ES_tradnl"/>
        </w:rPr>
        <w:t xml:space="preserve">artículo 15 </w:t>
      </w:r>
      <w:bookmarkStart w:id="10" w:name="_Hlk71296753"/>
      <w:bookmarkEnd w:id="9"/>
      <w:proofErr w:type="spellStart"/>
      <w:r w:rsidRPr="00FC3C59">
        <w:rPr>
          <w:rFonts w:ascii="Arial" w:eastAsia="Calibri" w:hAnsi="Arial" w:cs="Arial"/>
          <w:i/>
          <w:iCs/>
          <w:color w:val="000000"/>
          <w:sz w:val="22"/>
          <w:lang w:val="es-ES_tradnl"/>
        </w:rPr>
        <w:t>ibídem</w:t>
      </w:r>
      <w:proofErr w:type="spellEnd"/>
      <w:r w:rsidRPr="00FC3C59">
        <w:rPr>
          <w:rFonts w:ascii="Arial" w:eastAsia="Calibri" w:hAnsi="Arial" w:cs="Arial"/>
          <w:color w:val="000000"/>
          <w:sz w:val="22"/>
          <w:lang w:val="es-ES_tradnl"/>
        </w:rPr>
        <w:t xml:space="preserve"> enuncia las </w:t>
      </w:r>
      <w:bookmarkStart w:id="11" w:name="_Hlk71294901"/>
      <w:r w:rsidRPr="00FC3C59">
        <w:rPr>
          <w:rFonts w:ascii="Arial" w:eastAsia="Calibri" w:hAnsi="Arial" w:cs="Arial"/>
          <w:color w:val="000000"/>
          <w:sz w:val="22"/>
          <w:lang w:val="es-ES_tradnl"/>
        </w:rPr>
        <w:t xml:space="preserve">personas autorizadas para prestar los servicios públicos domiciliarios: </w:t>
      </w:r>
      <w:bookmarkEnd w:id="11"/>
      <w:r w:rsidRPr="00FC3C59">
        <w:rPr>
          <w:rFonts w:ascii="Arial" w:eastAsia="Calibri" w:hAnsi="Arial" w:cs="Arial"/>
          <w:color w:val="000000"/>
          <w:sz w:val="22"/>
          <w:lang w:val="es-ES_tradnl"/>
        </w:rPr>
        <w:t xml:space="preserve">i) las empresas de servicios públicos, </w:t>
      </w:r>
      <w:proofErr w:type="spellStart"/>
      <w:r w:rsidRPr="00FC3C59">
        <w:rPr>
          <w:rFonts w:ascii="Arial" w:eastAsia="Calibri" w:hAnsi="Arial" w:cs="Arial"/>
          <w:color w:val="000000"/>
          <w:sz w:val="22"/>
          <w:lang w:val="es-ES_tradnl"/>
        </w:rPr>
        <w:t>ii</w:t>
      </w:r>
      <w:proofErr w:type="spellEnd"/>
      <w:r w:rsidRPr="00FC3C59">
        <w:rPr>
          <w:rFonts w:ascii="Arial" w:eastAsia="Calibri" w:hAnsi="Arial" w:cs="Arial"/>
          <w:color w:val="000000"/>
          <w:sz w:val="22"/>
          <w:lang w:val="es-ES_tradnl"/>
        </w:rPr>
        <w:t xml:space="preserve">) los productores marginales, </w:t>
      </w:r>
      <w:proofErr w:type="spellStart"/>
      <w:r w:rsidRPr="00FC3C59">
        <w:rPr>
          <w:rFonts w:ascii="Arial" w:eastAsia="Calibri" w:hAnsi="Arial" w:cs="Arial"/>
          <w:color w:val="000000"/>
          <w:sz w:val="22"/>
          <w:lang w:val="es-ES_tradnl"/>
        </w:rPr>
        <w:t>iii</w:t>
      </w:r>
      <w:proofErr w:type="spellEnd"/>
      <w:r w:rsidRPr="00FC3C59">
        <w:rPr>
          <w:rFonts w:ascii="Arial" w:eastAsia="Calibri" w:hAnsi="Arial" w:cs="Arial"/>
          <w:color w:val="000000"/>
          <w:sz w:val="22"/>
          <w:lang w:val="es-ES_tradnl"/>
        </w:rPr>
        <w:t xml:space="preserve">) los municipios, en ciertos casos, </w:t>
      </w:r>
      <w:proofErr w:type="spellStart"/>
      <w:r w:rsidRPr="00FC3C59">
        <w:rPr>
          <w:rFonts w:ascii="Arial" w:eastAsia="Calibri" w:hAnsi="Arial" w:cs="Arial"/>
          <w:color w:val="000000"/>
          <w:sz w:val="22"/>
          <w:lang w:val="es-ES_tradnl"/>
        </w:rPr>
        <w:t>iv</w:t>
      </w:r>
      <w:proofErr w:type="spellEnd"/>
      <w:r w:rsidRPr="00FC3C59">
        <w:rPr>
          <w:rFonts w:ascii="Arial" w:eastAsia="Calibri" w:hAnsi="Arial" w:cs="Arial"/>
          <w:color w:val="000000"/>
          <w:sz w:val="22"/>
          <w:lang w:val="es-ES_tradnl"/>
        </w:rPr>
        <w:t xml:space="preserve">) </w:t>
      </w:r>
      <w:r w:rsidRPr="00FC3C59">
        <w:rPr>
          <w:rFonts w:ascii="Arial" w:eastAsia="Calibri" w:hAnsi="Arial" w:cs="Arial"/>
          <w:color w:val="000000"/>
          <w:sz w:val="22"/>
          <w:lang w:val="es-ES_tradnl"/>
        </w:rPr>
        <w:lastRenderedPageBreak/>
        <w:t>las organizaciones autorizadas y v) las entidades descentralizadas que se encontraran prestándolos y cumplan los requisitos establecidos en la le</w:t>
      </w:r>
      <w:bookmarkEnd w:id="10"/>
      <w:r w:rsidRPr="00FC3C59">
        <w:rPr>
          <w:rFonts w:ascii="Arial" w:eastAsia="Calibri" w:hAnsi="Arial" w:cs="Arial"/>
          <w:color w:val="000000"/>
          <w:sz w:val="22"/>
          <w:lang w:val="es-ES_tradnl"/>
        </w:rPr>
        <w:t>y</w:t>
      </w:r>
      <w:bookmarkEnd w:id="8"/>
      <w:r w:rsidRPr="00FC3C59">
        <w:rPr>
          <w:rFonts w:ascii="Arial" w:eastAsia="Calibri" w:hAnsi="Arial" w:cs="Arial"/>
          <w:color w:val="000000"/>
          <w:sz w:val="22"/>
          <w:vertAlign w:val="superscript"/>
          <w:lang w:val="es-ES_tradnl"/>
        </w:rPr>
        <w:footnoteReference w:id="8"/>
      </w:r>
      <w:r w:rsidRPr="00FC3C59">
        <w:rPr>
          <w:rFonts w:ascii="Arial" w:eastAsia="Calibri" w:hAnsi="Arial" w:cs="Arial"/>
          <w:color w:val="000000"/>
          <w:sz w:val="22"/>
          <w:lang w:val="es-ES_tradnl"/>
        </w:rPr>
        <w:t>.</w:t>
      </w:r>
    </w:p>
    <w:p w14:paraId="2A68CC43" w14:textId="77777777" w:rsidR="001A43C6" w:rsidRPr="00FC3C59" w:rsidRDefault="001A43C6" w:rsidP="001A43C6">
      <w:pPr>
        <w:spacing w:before="120" w:line="276" w:lineRule="auto"/>
        <w:ind w:firstLine="709"/>
        <w:jc w:val="both"/>
        <w:rPr>
          <w:rFonts w:ascii="Arial" w:eastAsia="Calibri" w:hAnsi="Arial" w:cs="Arial"/>
          <w:color w:val="000000"/>
          <w:sz w:val="22"/>
          <w:lang w:val="es-ES_tradnl"/>
        </w:rPr>
      </w:pPr>
      <w:r w:rsidRPr="00FC3C59">
        <w:rPr>
          <w:rFonts w:ascii="Arial" w:eastAsia="Calibri" w:hAnsi="Arial" w:cs="Arial"/>
          <w:color w:val="000000"/>
          <w:sz w:val="22"/>
          <w:lang w:val="es-ES_tradnl"/>
        </w:rPr>
        <w:t xml:space="preserve">El artículo 14 de dicha Ley clasificó a las empresas de servicios públicos domiciliarios así: i) oficial –«[…] aquella en cuyo capital la Nación, las entidades territoriales, o las entidades descentralizadas de aquella o estas tienen el 100% de los aportes»–, </w:t>
      </w:r>
      <w:proofErr w:type="spellStart"/>
      <w:r w:rsidRPr="00FC3C59">
        <w:rPr>
          <w:rFonts w:ascii="Arial" w:eastAsia="Calibri" w:hAnsi="Arial" w:cs="Arial"/>
          <w:color w:val="000000"/>
          <w:sz w:val="22"/>
          <w:lang w:val="es-ES_tradnl"/>
        </w:rPr>
        <w:t>ii</w:t>
      </w:r>
      <w:proofErr w:type="spellEnd"/>
      <w:r w:rsidRPr="00FC3C59">
        <w:rPr>
          <w:rFonts w:ascii="Arial" w:eastAsia="Calibri" w:hAnsi="Arial" w:cs="Arial"/>
          <w:color w:val="000000"/>
          <w:sz w:val="22"/>
          <w:lang w:val="es-ES_tradnl"/>
        </w:rPr>
        <w:t xml:space="preserve">) mixta –«[…] aquella en cuyo capital la Nación, las entidades territoriales, o las entidades descentralizadas de aquella o éstas tienen aportes iguales o superiores al 50%»– y </w:t>
      </w:r>
      <w:proofErr w:type="spellStart"/>
      <w:r w:rsidRPr="00FC3C59">
        <w:rPr>
          <w:rFonts w:ascii="Arial" w:eastAsia="Calibri" w:hAnsi="Arial" w:cs="Arial"/>
          <w:color w:val="000000"/>
          <w:sz w:val="22"/>
          <w:lang w:val="es-ES_tradnl"/>
        </w:rPr>
        <w:t>iii</w:t>
      </w:r>
      <w:proofErr w:type="spellEnd"/>
      <w:r w:rsidRPr="00FC3C59">
        <w:rPr>
          <w:rFonts w:ascii="Arial" w:eastAsia="Calibri" w:hAnsi="Arial" w:cs="Arial"/>
          <w:color w:val="000000"/>
          <w:sz w:val="22"/>
          <w:lang w:val="es-ES_tradnl"/>
        </w:rPr>
        <w:t>) privada –«[…] aquella cuyo capital pertenece mayoritariamente a particulares, o a entidades surgidas de convenios internacionales que deseen someterse íntegramente para estos efectos a las reglas a las que se someten los particulares»–.</w:t>
      </w:r>
    </w:p>
    <w:p w14:paraId="1170EB94" w14:textId="77777777" w:rsidR="001A43C6" w:rsidRPr="00FC3C59" w:rsidRDefault="001A43C6" w:rsidP="001A43C6">
      <w:pPr>
        <w:spacing w:before="120" w:line="276" w:lineRule="auto"/>
        <w:ind w:firstLine="709"/>
        <w:jc w:val="both"/>
        <w:rPr>
          <w:rFonts w:ascii="Arial" w:eastAsia="Calibri" w:hAnsi="Arial" w:cs="Arial"/>
          <w:color w:val="000000"/>
          <w:sz w:val="22"/>
          <w:lang w:val="es-ES_tradnl"/>
        </w:rPr>
      </w:pPr>
      <w:r w:rsidRPr="00FC3C59">
        <w:rPr>
          <w:rFonts w:ascii="Arial" w:eastAsia="Calibri" w:hAnsi="Arial" w:cs="Arial"/>
          <w:color w:val="000000"/>
          <w:sz w:val="22"/>
          <w:lang w:val="es-ES_tradnl"/>
        </w:rPr>
        <w:t>En lo que atañe específicamente al régimen de contratación, el artículo 31 de la Ley 142 de 1994, modificado por el artículo 3 de la Ley 689 de 2001, dispone que</w:t>
      </w:r>
      <w:r w:rsidRPr="00FC3C59">
        <w:rPr>
          <w:rFonts w:ascii="Arial" w:eastAsia="Calibri" w:hAnsi="Arial" w:cs="Arial"/>
          <w:color w:val="000000"/>
          <w:sz w:val="22"/>
          <w:bdr w:val="none" w:sz="0" w:space="0" w:color="auto" w:frame="1"/>
        </w:rPr>
        <w:t xml:space="preserve"> los contratos que celebren las entidades estatales que prestan los servicios públicos domiciliarios «no estarán sujetos a las disposiciones del Estatuto General de Contratación de la Administración Pública, salvo en lo que la presente ley disponga otra cosa»</w:t>
      </w:r>
      <w:r w:rsidRPr="00FC3C59">
        <w:rPr>
          <w:rFonts w:ascii="Arial" w:eastAsia="Calibri" w:hAnsi="Arial" w:cs="Arial"/>
          <w:color w:val="000000"/>
          <w:sz w:val="22"/>
          <w:lang w:val="es-ES_tradnl"/>
        </w:rPr>
        <w:t>. Por su parte, el artículo 32 de la Ley 142 consagra el régimen de derecho privado para las empresas de servicios públicos domiciliarios, indicando que sus actos se rigen por las reglas del derecho privado</w:t>
      </w:r>
      <w:r w:rsidRPr="00FC3C59">
        <w:rPr>
          <w:rFonts w:ascii="Arial" w:eastAsia="Calibri" w:hAnsi="Arial" w:cs="Arial"/>
          <w:color w:val="000000"/>
          <w:sz w:val="22"/>
          <w:vertAlign w:val="superscript"/>
          <w:lang w:val="es-ES_tradnl"/>
        </w:rPr>
        <w:footnoteReference w:id="9"/>
      </w:r>
      <w:r w:rsidRPr="00FC3C59">
        <w:rPr>
          <w:rFonts w:ascii="Arial" w:eastAsia="Calibri" w:hAnsi="Arial" w:cs="Arial"/>
          <w:color w:val="000000"/>
          <w:sz w:val="22"/>
          <w:lang w:val="es-ES_tradnl"/>
        </w:rPr>
        <w:t>.</w:t>
      </w:r>
    </w:p>
    <w:p w14:paraId="340A39F3" w14:textId="77777777" w:rsidR="001A43C6" w:rsidRPr="00FC3C59" w:rsidRDefault="001A43C6" w:rsidP="001A43C6">
      <w:pPr>
        <w:spacing w:before="120" w:line="276" w:lineRule="auto"/>
        <w:ind w:firstLine="709"/>
        <w:jc w:val="both"/>
        <w:rPr>
          <w:rFonts w:ascii="Arial" w:eastAsia="Calibri" w:hAnsi="Arial" w:cs="Arial"/>
          <w:color w:val="000000"/>
          <w:sz w:val="22"/>
          <w:lang w:val="es-ES_tradnl"/>
        </w:rPr>
      </w:pPr>
      <w:r w:rsidRPr="00FC3C59">
        <w:rPr>
          <w:rFonts w:ascii="Arial" w:eastAsia="Calibri" w:hAnsi="Arial" w:cs="Arial"/>
          <w:color w:val="000000"/>
          <w:sz w:val="22"/>
          <w:lang w:val="es-ES_tradnl"/>
        </w:rPr>
        <w:lastRenderedPageBreak/>
        <w:t>En consecuencia, de la lectura sistemática de las normas referidas puede concluirse que 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w:t>
      </w:r>
      <w:r w:rsidRPr="00FC3C59">
        <w:rPr>
          <w:rFonts w:ascii="Arial" w:eastAsia="Calibri" w:hAnsi="Arial" w:cs="Arial"/>
          <w:color w:val="000000"/>
          <w:sz w:val="21"/>
          <w:szCs w:val="21"/>
          <w:vertAlign w:val="superscript"/>
          <w:lang w:val="es-ES_tradnl"/>
        </w:rPr>
        <w:footnoteReference w:id="10"/>
      </w:r>
      <w:r w:rsidRPr="00FC3C59">
        <w:rPr>
          <w:rFonts w:ascii="Arial" w:eastAsia="Calibri" w:hAnsi="Arial" w:cs="Arial"/>
          <w:color w:val="000000"/>
          <w:sz w:val="21"/>
          <w:szCs w:val="21"/>
          <w:lang w:val="es-ES_tradnl"/>
        </w:rPr>
        <w:t>.</w:t>
      </w:r>
      <w:r w:rsidRPr="00FC3C59">
        <w:rPr>
          <w:rFonts w:ascii="Arial" w:eastAsia="Calibri" w:hAnsi="Arial" w:cs="Arial"/>
          <w:color w:val="000000"/>
          <w:sz w:val="22"/>
          <w:lang w:val="es-ES_tradnl"/>
        </w:rPr>
        <w:t xml:space="preserve"> En otras palabras, </w:t>
      </w:r>
      <w:bookmarkStart w:id="12" w:name="_Hlk71653647"/>
      <w:r w:rsidRPr="00FC3C59">
        <w:rPr>
          <w:rFonts w:ascii="Arial" w:eastAsia="Calibri" w:hAnsi="Arial" w:cs="Arial"/>
          <w:color w:val="000000"/>
          <w:sz w:val="22"/>
          <w:lang w:val="es-ES_tradnl"/>
        </w:rPr>
        <w:t xml:space="preserve">las empresas prestadoras de servicios públicos domiciliarios </w:t>
      </w:r>
      <w:bookmarkStart w:id="13" w:name="_Hlk71738505"/>
      <w:r w:rsidRPr="00FC3C59">
        <w:rPr>
          <w:rFonts w:ascii="Arial" w:eastAsia="Calibri" w:hAnsi="Arial" w:cs="Arial"/>
          <w:color w:val="000000"/>
          <w:sz w:val="22"/>
          <w:lang w:val="es-ES_tradnl"/>
        </w:rPr>
        <w:t xml:space="preserve">se sujetan, en su actividad contractual, a las disposiciones del derecho privado, salvo en aquellos casos en los que la Constitución, la Ley 142 de 1994 u otras leyes especiales, sometan tal conducta al Estatuto General de Contratación de la Administración Pública, es decir, a la Ley 80 de 1993, Ley 1150 de 2007 y demás normas complementarias. </w:t>
      </w:r>
    </w:p>
    <w:bookmarkEnd w:id="12"/>
    <w:bookmarkEnd w:id="13"/>
    <w:p w14:paraId="75E06C7C" w14:textId="77777777" w:rsidR="001A43C6" w:rsidRDefault="001A43C6" w:rsidP="001A43C6">
      <w:pPr>
        <w:spacing w:before="120" w:line="276" w:lineRule="auto"/>
        <w:ind w:firstLine="709"/>
        <w:jc w:val="both"/>
        <w:rPr>
          <w:rFonts w:ascii="Arial" w:eastAsia="Calibri" w:hAnsi="Arial" w:cs="Arial"/>
          <w:color w:val="000000"/>
          <w:sz w:val="22"/>
          <w:lang w:val="es-ES_tradnl"/>
        </w:rPr>
      </w:pPr>
      <w:r w:rsidRPr="00FC3C59">
        <w:rPr>
          <w:rFonts w:ascii="Arial" w:eastAsia="Calibri" w:hAnsi="Arial" w:cs="Arial"/>
          <w:color w:val="000000"/>
          <w:sz w:val="22"/>
          <w:lang w:val="es-ES_tradnl"/>
        </w:rPr>
        <w:t>Lo anterior no significa que la actividad contractual de las empresas prestadoras de servicios públicos domiciliarios se rija por un «derecho privado puro», pues este se encuentra irrigado por los principios de la función administrativa y de la gestión fiscal, previstos en los artículos 209 y 267 de la Constitución, toda vez que así lo dispone el artículo 13 de la Ley 1150 de 2007</w:t>
      </w:r>
      <w:r w:rsidRPr="00FC3C59">
        <w:rPr>
          <w:rFonts w:ascii="Arial" w:eastAsia="Calibri" w:hAnsi="Arial" w:cs="Arial"/>
          <w:color w:val="000000"/>
          <w:sz w:val="22"/>
          <w:vertAlign w:val="superscript"/>
          <w:lang w:val="es-ES_tradnl"/>
        </w:rPr>
        <w:footnoteReference w:id="11"/>
      </w:r>
      <w:r w:rsidRPr="00FC3C59">
        <w:rPr>
          <w:rFonts w:ascii="Arial" w:eastAsia="Calibri" w:hAnsi="Arial" w:cs="Arial"/>
          <w:color w:val="000000"/>
          <w:sz w:val="22"/>
          <w:lang w:val="es-ES_tradnl"/>
        </w:rPr>
        <w:t>.</w:t>
      </w:r>
    </w:p>
    <w:p w14:paraId="63257C16" w14:textId="0BBCFCDB" w:rsidR="00FA7F7F" w:rsidRPr="00864E72" w:rsidRDefault="001A43C6" w:rsidP="00FD1B08">
      <w:pPr>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color w:val="000000"/>
          <w:sz w:val="22"/>
          <w:lang w:val="es-ES_tradnl"/>
        </w:rPr>
        <w:t>Ahora bien,</w:t>
      </w:r>
      <w:r w:rsidR="005D7147">
        <w:rPr>
          <w:rFonts w:ascii="Arial" w:eastAsia="Calibri" w:hAnsi="Arial" w:cs="Arial"/>
          <w:color w:val="000000"/>
          <w:sz w:val="22"/>
          <w:lang w:val="es-ES_tradnl"/>
        </w:rPr>
        <w:t xml:space="preserve"> para efectos de la consulta</w:t>
      </w:r>
      <w:r>
        <w:rPr>
          <w:rFonts w:ascii="Arial" w:eastAsia="Calibri" w:hAnsi="Arial" w:cs="Arial"/>
          <w:color w:val="000000"/>
          <w:sz w:val="22"/>
          <w:lang w:val="es-ES_tradnl"/>
        </w:rPr>
        <w:t xml:space="preserve"> </w:t>
      </w:r>
      <w:r w:rsidR="00FA7F7F" w:rsidRPr="00864E72">
        <w:rPr>
          <w:rFonts w:ascii="Arial" w:eastAsia="Calibri" w:hAnsi="Arial" w:cs="Arial"/>
          <w:bCs/>
          <w:color w:val="000000" w:themeColor="text1"/>
          <w:sz w:val="22"/>
          <w:lang w:val="es-ES_tradnl"/>
        </w:rPr>
        <w:t>conviene señalar</w:t>
      </w:r>
      <w:r w:rsidR="00FD1B08">
        <w:rPr>
          <w:rFonts w:ascii="Arial" w:eastAsia="Calibri" w:hAnsi="Arial" w:cs="Arial"/>
          <w:bCs/>
          <w:color w:val="000000" w:themeColor="text1"/>
          <w:sz w:val="22"/>
          <w:lang w:val="es-ES_tradnl"/>
        </w:rPr>
        <w:t xml:space="preserve"> que</w:t>
      </w:r>
      <w:r w:rsidR="006C1871">
        <w:rPr>
          <w:rFonts w:ascii="Arial" w:eastAsia="Calibri" w:hAnsi="Arial" w:cs="Arial"/>
          <w:bCs/>
          <w:color w:val="000000" w:themeColor="text1"/>
          <w:sz w:val="22"/>
          <w:lang w:val="es-ES_tradnl"/>
        </w:rPr>
        <w:t>,</w:t>
      </w:r>
      <w:r w:rsidR="00FA7F7F" w:rsidRPr="00864E72">
        <w:rPr>
          <w:rFonts w:ascii="Arial" w:eastAsia="Calibri" w:hAnsi="Arial" w:cs="Arial"/>
          <w:bCs/>
          <w:color w:val="000000" w:themeColor="text1"/>
          <w:sz w:val="22"/>
          <w:lang w:val="es-ES_tradnl"/>
        </w:rPr>
        <w:t xml:space="preserve"> acorde con lo expresado por la Corte Constitucional en la Sentencia C-736 de 2007</w:t>
      </w:r>
      <w:r w:rsidR="00FA7F7F" w:rsidRPr="00864E72">
        <w:rPr>
          <w:rStyle w:val="Refdenotaalpie"/>
          <w:rFonts w:ascii="Arial" w:eastAsia="Calibri" w:hAnsi="Arial" w:cs="Arial"/>
          <w:bCs/>
          <w:color w:val="000000" w:themeColor="text1"/>
          <w:sz w:val="22"/>
          <w:lang w:val="es-ES_tradnl"/>
        </w:rPr>
        <w:footnoteReference w:id="12"/>
      </w:r>
      <w:r w:rsidR="00FA7F7F" w:rsidRPr="00864E72">
        <w:rPr>
          <w:rFonts w:ascii="Arial" w:eastAsia="Calibri" w:hAnsi="Arial" w:cs="Arial"/>
          <w:bCs/>
          <w:color w:val="000000" w:themeColor="text1"/>
          <w:sz w:val="22"/>
          <w:lang w:val="es-ES_tradnl"/>
        </w:rPr>
        <w:t xml:space="preserve">, </w:t>
      </w:r>
      <w:r w:rsidR="00FD1B08">
        <w:rPr>
          <w:rFonts w:ascii="Arial" w:eastAsia="Calibri" w:hAnsi="Arial" w:cs="Arial"/>
          <w:bCs/>
          <w:color w:val="000000" w:themeColor="text1"/>
          <w:sz w:val="22"/>
          <w:lang w:val="es-ES_tradnl"/>
        </w:rPr>
        <w:t xml:space="preserve">las empresas de servicios públicos domiciliarios </w:t>
      </w:r>
      <w:r w:rsidR="00FA7F7F" w:rsidRPr="00864E72">
        <w:rPr>
          <w:rFonts w:ascii="Arial" w:eastAsia="Calibri" w:hAnsi="Arial" w:cs="Arial"/>
          <w:bCs/>
          <w:color w:val="000000" w:themeColor="text1"/>
          <w:sz w:val="22"/>
          <w:lang w:val="es-ES_tradnl"/>
        </w:rPr>
        <w:t xml:space="preserve">son entidades descentralizadas por servicios, independientemente de la naturaleza y porcentaje de su capital. En otras palabras, aunque el artículo 14 de la Ley 142 de 1994 establece que las empresas prestadoras de servicios </w:t>
      </w:r>
      <w:r w:rsidR="00FA7F7F" w:rsidRPr="00864E72">
        <w:rPr>
          <w:rFonts w:ascii="Arial" w:eastAsia="Calibri" w:hAnsi="Arial" w:cs="Arial"/>
          <w:bCs/>
          <w:color w:val="000000" w:themeColor="text1"/>
          <w:sz w:val="22"/>
          <w:lang w:val="es-ES_tradnl"/>
        </w:rPr>
        <w:lastRenderedPageBreak/>
        <w:t xml:space="preserve">públicos domiciliarios pueden ser </w:t>
      </w:r>
      <w:r w:rsidR="00FA7F7F" w:rsidRPr="00864E72">
        <w:rPr>
          <w:rFonts w:ascii="Arial" w:eastAsia="Calibri" w:hAnsi="Arial" w:cs="Arial"/>
          <w:bCs/>
          <w:i/>
          <w:iCs/>
          <w:color w:val="000000" w:themeColor="text1"/>
          <w:sz w:val="22"/>
          <w:lang w:val="es-ES_tradnl"/>
        </w:rPr>
        <w:t>oficiales</w:t>
      </w:r>
      <w:r w:rsidR="00FA7F7F" w:rsidRPr="00864E72">
        <w:rPr>
          <w:rFonts w:ascii="Arial" w:eastAsia="Calibri" w:hAnsi="Arial" w:cs="Arial"/>
          <w:bCs/>
          <w:color w:val="000000" w:themeColor="text1"/>
          <w:sz w:val="22"/>
          <w:lang w:val="es-ES_tradnl"/>
        </w:rPr>
        <w:t xml:space="preserve">, </w:t>
      </w:r>
      <w:r w:rsidR="00FA7F7F" w:rsidRPr="00864E72">
        <w:rPr>
          <w:rFonts w:ascii="Arial" w:eastAsia="Calibri" w:hAnsi="Arial" w:cs="Arial"/>
          <w:bCs/>
          <w:i/>
          <w:iCs/>
          <w:color w:val="000000" w:themeColor="text1"/>
          <w:sz w:val="22"/>
          <w:lang w:val="es-ES_tradnl"/>
        </w:rPr>
        <w:t>mixtas</w:t>
      </w:r>
      <w:r w:rsidR="00FA7F7F" w:rsidRPr="00864E72">
        <w:rPr>
          <w:rFonts w:ascii="Arial" w:eastAsia="Calibri" w:hAnsi="Arial" w:cs="Arial"/>
          <w:bCs/>
          <w:color w:val="000000" w:themeColor="text1"/>
          <w:sz w:val="22"/>
          <w:lang w:val="es-ES_tradnl"/>
        </w:rPr>
        <w:t xml:space="preserve"> o </w:t>
      </w:r>
      <w:r w:rsidR="00FA7F7F" w:rsidRPr="00864E72">
        <w:rPr>
          <w:rFonts w:ascii="Arial" w:eastAsia="Calibri" w:hAnsi="Arial" w:cs="Arial"/>
          <w:bCs/>
          <w:i/>
          <w:iCs/>
          <w:color w:val="000000" w:themeColor="text1"/>
          <w:sz w:val="22"/>
          <w:lang w:val="es-ES_tradnl"/>
        </w:rPr>
        <w:t>privadas</w:t>
      </w:r>
      <w:r w:rsidR="00FA7F7F" w:rsidRPr="00864E72">
        <w:rPr>
          <w:rFonts w:ascii="Arial" w:eastAsia="Calibri" w:hAnsi="Arial" w:cs="Arial"/>
          <w:bCs/>
          <w:color w:val="000000" w:themeColor="text1"/>
          <w:sz w:val="22"/>
          <w:lang w:val="es-ES_tradnl"/>
        </w:rPr>
        <w:t xml:space="preserve">, estas tres especies ingresan en la categoría de las </w:t>
      </w:r>
      <w:r w:rsidR="00FA7F7F" w:rsidRPr="00864E72">
        <w:rPr>
          <w:rFonts w:ascii="Arial" w:eastAsia="Calibri" w:hAnsi="Arial" w:cs="Arial"/>
          <w:bCs/>
          <w:i/>
          <w:iCs/>
          <w:color w:val="000000" w:themeColor="text1"/>
          <w:sz w:val="22"/>
          <w:lang w:val="es-ES_tradnl"/>
        </w:rPr>
        <w:t>entidades descentralizadas por servicios</w:t>
      </w:r>
      <w:r w:rsidR="00FA7F7F" w:rsidRPr="00864E72">
        <w:rPr>
          <w:rFonts w:ascii="Arial" w:eastAsia="Calibri" w:hAnsi="Arial" w:cs="Arial"/>
          <w:bCs/>
          <w:color w:val="000000" w:themeColor="text1"/>
          <w:sz w:val="22"/>
          <w:lang w:val="es-ES_tradnl"/>
        </w:rPr>
        <w:t xml:space="preserve">. Adicionalmente, debe recordarse que en dicha Sentencia el alto tribunal afirmó que las empresas prestadoras de servicios públicos domiciliarios </w:t>
      </w:r>
      <w:r w:rsidR="00FA7F7F" w:rsidRPr="00864E72">
        <w:rPr>
          <w:rFonts w:ascii="Arial" w:eastAsia="Calibri" w:hAnsi="Arial" w:cs="Arial"/>
          <w:bCs/>
          <w:i/>
          <w:iCs/>
          <w:color w:val="000000" w:themeColor="text1"/>
          <w:sz w:val="22"/>
          <w:lang w:val="es-ES_tradnl"/>
        </w:rPr>
        <w:t>mixtas y privadas</w:t>
      </w:r>
      <w:r w:rsidR="00FA7F7F" w:rsidRPr="00864E72">
        <w:rPr>
          <w:rFonts w:ascii="Arial" w:eastAsia="Calibri" w:hAnsi="Arial" w:cs="Arial"/>
          <w:bCs/>
          <w:color w:val="000000" w:themeColor="text1"/>
          <w:sz w:val="22"/>
          <w:lang w:val="es-ES_tradnl"/>
        </w:rPr>
        <w:t xml:space="preserve"> son tipos </w:t>
      </w:r>
      <w:r w:rsidR="00FA7F7F" w:rsidRPr="00864E72">
        <w:rPr>
          <w:rFonts w:ascii="Arial" w:eastAsia="Calibri" w:hAnsi="Arial" w:cs="Arial"/>
          <w:bCs/>
          <w:i/>
          <w:iCs/>
          <w:color w:val="000000" w:themeColor="text1"/>
          <w:sz w:val="22"/>
          <w:lang w:val="es-ES_tradnl"/>
        </w:rPr>
        <w:t>especiales</w:t>
      </w:r>
      <w:r w:rsidR="00FA7F7F" w:rsidRPr="00864E72">
        <w:rPr>
          <w:rFonts w:ascii="Arial" w:eastAsia="Calibri" w:hAnsi="Arial" w:cs="Arial"/>
          <w:bCs/>
          <w:color w:val="000000" w:themeColor="text1"/>
          <w:sz w:val="22"/>
          <w:lang w:val="es-ES_tradnl"/>
        </w:rPr>
        <w:t xml:space="preserve"> de entidades descentralizadas por servicios que, por tanto, no pueden encasillarse en las otras especies de entidades descentralizadas por servicios enlistadas en el artículo 38 de la Ley 489 de 1998, es decir, que no cabe considerarlas, verbigracia, dentro de las sociedades públicas, ni en las sociedades de economía mixta. En efecto:</w:t>
      </w:r>
    </w:p>
    <w:p w14:paraId="30163C8C" w14:textId="77777777" w:rsidR="00FA7F7F" w:rsidRPr="00864E72" w:rsidRDefault="00FA7F7F" w:rsidP="00FA7F7F">
      <w:pPr>
        <w:tabs>
          <w:tab w:val="left" w:pos="0"/>
        </w:tabs>
        <w:ind w:left="709" w:right="709"/>
        <w:jc w:val="both"/>
        <w:rPr>
          <w:rFonts w:ascii="Arial" w:eastAsia="Calibri" w:hAnsi="Arial" w:cs="Arial"/>
          <w:bCs/>
          <w:color w:val="000000" w:themeColor="text1"/>
          <w:sz w:val="21"/>
          <w:szCs w:val="21"/>
          <w:lang w:val="es-ES_tradnl"/>
        </w:rPr>
      </w:pPr>
    </w:p>
    <w:p w14:paraId="601D978E" w14:textId="77777777" w:rsidR="00FA7F7F" w:rsidRPr="00864E72" w:rsidRDefault="00FA7F7F" w:rsidP="00FA7F7F">
      <w:pPr>
        <w:tabs>
          <w:tab w:val="left" w:pos="0"/>
        </w:tabs>
        <w:ind w:left="709" w:right="709"/>
        <w:jc w:val="both"/>
        <w:rPr>
          <w:rFonts w:ascii="Arial" w:eastAsia="Calibri" w:hAnsi="Arial" w:cs="Arial"/>
          <w:bCs/>
          <w:i/>
          <w:iCs/>
          <w:color w:val="000000" w:themeColor="text1"/>
          <w:sz w:val="21"/>
          <w:szCs w:val="21"/>
          <w:lang w:val="es-ES_tradnl"/>
        </w:rPr>
      </w:pPr>
      <w:r w:rsidRPr="00864E72">
        <w:rPr>
          <w:rFonts w:ascii="Arial" w:eastAsia="Calibri" w:hAnsi="Arial" w:cs="Arial"/>
          <w:bCs/>
          <w:color w:val="000000" w:themeColor="text1"/>
          <w:sz w:val="21"/>
          <w:szCs w:val="21"/>
          <w:lang w:val="es-ES_tradnl"/>
        </w:rPr>
        <w:t xml:space="preserve">[…] la Corte entiende que el constituyente quiso definir que las personas o entidades que asuman la prestación de los servicios públicos tendrán no sólo un régimen jurídico especial, </w:t>
      </w:r>
      <w:r w:rsidRPr="00864E72">
        <w:rPr>
          <w:rFonts w:ascii="Arial" w:eastAsia="Calibri" w:hAnsi="Arial" w:cs="Arial"/>
          <w:bCs/>
          <w:i/>
          <w:iCs/>
          <w:color w:val="000000" w:themeColor="text1"/>
          <w:sz w:val="21"/>
          <w:szCs w:val="21"/>
          <w:lang w:val="es-ES_tradnl"/>
        </w:rPr>
        <w:t>sino también una naturaleza jurídica especial</w:t>
      </w:r>
      <w:r w:rsidRPr="00864E72">
        <w:rPr>
          <w:rFonts w:ascii="Arial" w:eastAsia="Calibri" w:hAnsi="Arial" w:cs="Arial"/>
          <w:bCs/>
          <w:color w:val="000000" w:themeColor="text1"/>
          <w:sz w:val="21"/>
          <w:szCs w:val="21"/>
          <w:lang w:val="es-ES_tradnl"/>
        </w:rPr>
        <w:t xml:space="preserve">; esta particular naturaleza y reglamentación jurídica encuentra su fundamento en la necesidad de hacer realidad la finalidad social que es definida por la misma Carta como objetivo de la adecuada prestación de los servicios públicos. De lo anterior se desprende que cuando el Estado asume directamente o participa con los particulares en dicho cometido, las entidades que surgen para esos efectos también se revisten de ese carácter especial y quedan sujetas a la reglamentación jurídica particularmente diseñada para la prestación adecuada de los servicios públicos. Otro tanto sucede cuando los particulares asumen la prestación de servicios públicos. </w:t>
      </w:r>
      <w:r w:rsidRPr="00864E72">
        <w:rPr>
          <w:rFonts w:ascii="Arial" w:eastAsia="Calibri" w:hAnsi="Arial" w:cs="Arial"/>
          <w:bCs/>
          <w:i/>
          <w:iCs/>
          <w:color w:val="000000" w:themeColor="text1"/>
          <w:sz w:val="21"/>
          <w:szCs w:val="21"/>
          <w:lang w:val="es-ES_tradnl"/>
        </w:rPr>
        <w:t>Así las cosas, las sociedades públicas, privadas o mixtas cuyo objeto social sea la prestación de los servicios en comento, antes que sociedades de economía mixta, sociedades entre entidades públicas o sociedades de carácter privado, vienen a ser entidades de naturaleza especial, para responder así a este interés constitucional de someter esta actividad de interés social a un régimen jurídico también especial</w:t>
      </w:r>
    </w:p>
    <w:p w14:paraId="03BA69C3" w14:textId="4DF5DB51" w:rsidR="00FA7F7F" w:rsidRPr="00864E72" w:rsidRDefault="00FA7F7F" w:rsidP="00FD1B08">
      <w:pPr>
        <w:tabs>
          <w:tab w:val="left" w:pos="0"/>
        </w:tabs>
        <w:ind w:right="709"/>
        <w:jc w:val="both"/>
        <w:rPr>
          <w:rFonts w:ascii="Arial" w:eastAsia="Calibri" w:hAnsi="Arial" w:cs="Arial"/>
          <w:bCs/>
          <w:color w:val="000000" w:themeColor="text1"/>
          <w:sz w:val="21"/>
          <w:szCs w:val="21"/>
          <w:lang w:val="es-ES_tradnl"/>
        </w:rPr>
      </w:pPr>
    </w:p>
    <w:p w14:paraId="2177FE5C" w14:textId="77777777" w:rsidR="00FA7F7F" w:rsidRPr="00864E72" w:rsidRDefault="00FA7F7F" w:rsidP="00FA7F7F">
      <w:pPr>
        <w:tabs>
          <w:tab w:val="left" w:pos="0"/>
        </w:tabs>
        <w:ind w:left="709" w:right="709"/>
        <w:jc w:val="both"/>
        <w:rPr>
          <w:rFonts w:ascii="Arial" w:eastAsia="Calibri" w:hAnsi="Arial" w:cs="Arial"/>
          <w:bCs/>
          <w:color w:val="000000" w:themeColor="text1"/>
          <w:sz w:val="21"/>
          <w:szCs w:val="21"/>
          <w:lang w:val="es-ES_tradnl"/>
        </w:rPr>
      </w:pPr>
      <w:r w:rsidRPr="00864E72">
        <w:rPr>
          <w:rFonts w:ascii="Arial" w:eastAsia="Calibri" w:hAnsi="Arial" w:cs="Arial"/>
          <w:bCs/>
          <w:color w:val="000000" w:themeColor="text1"/>
          <w:sz w:val="21"/>
          <w:szCs w:val="21"/>
          <w:lang w:val="es-ES_tradnl"/>
        </w:rPr>
        <w:t>[…]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r w:rsidRPr="00864E72">
        <w:rPr>
          <w:rStyle w:val="Refdenotaalpie"/>
          <w:rFonts w:ascii="Arial" w:eastAsia="Calibri" w:hAnsi="Arial" w:cs="Arial"/>
          <w:bCs/>
          <w:color w:val="000000" w:themeColor="text1"/>
          <w:sz w:val="21"/>
          <w:szCs w:val="21"/>
          <w:lang w:val="es-ES_tradnl"/>
        </w:rPr>
        <w:footnoteReference w:id="13"/>
      </w:r>
      <w:r w:rsidRPr="00864E72">
        <w:rPr>
          <w:rFonts w:ascii="Arial" w:eastAsia="Calibri" w:hAnsi="Arial" w:cs="Arial"/>
          <w:bCs/>
          <w:color w:val="000000" w:themeColor="text1"/>
          <w:sz w:val="21"/>
          <w:szCs w:val="21"/>
          <w:lang w:val="es-ES_tradnl"/>
        </w:rPr>
        <w:t xml:space="preserve"> (énfasis fuera de texto).</w:t>
      </w:r>
    </w:p>
    <w:p w14:paraId="209DFB3C" w14:textId="77777777" w:rsidR="00FD1B08" w:rsidRDefault="00FD1B08" w:rsidP="00FD1B08">
      <w:pPr>
        <w:spacing w:line="276" w:lineRule="auto"/>
        <w:ind w:firstLine="709"/>
        <w:jc w:val="both"/>
        <w:rPr>
          <w:rFonts w:ascii="Arial" w:eastAsia="Calibri" w:hAnsi="Arial" w:cs="Arial"/>
          <w:bCs/>
          <w:color w:val="000000" w:themeColor="text1"/>
          <w:sz w:val="22"/>
          <w:lang w:val="es-ES_tradnl"/>
        </w:rPr>
      </w:pPr>
    </w:p>
    <w:p w14:paraId="462CE061" w14:textId="6DE595FC" w:rsidR="00F239D4" w:rsidRDefault="00300AC1" w:rsidP="00F239D4">
      <w:pPr>
        <w:spacing w:line="276" w:lineRule="auto"/>
        <w:ind w:firstLine="709"/>
        <w:jc w:val="both"/>
        <w:rPr>
          <w:rFonts w:ascii="Arial" w:eastAsia="Calibri" w:hAnsi="Arial" w:cs="Arial"/>
          <w:bCs/>
          <w:color w:val="000000" w:themeColor="text1"/>
          <w:sz w:val="22"/>
        </w:rPr>
      </w:pPr>
      <w:r>
        <w:rPr>
          <w:rFonts w:ascii="Arial" w:eastAsia="Calibri" w:hAnsi="Arial" w:cs="Arial"/>
          <w:bCs/>
          <w:color w:val="000000" w:themeColor="text1"/>
          <w:sz w:val="22"/>
          <w:lang w:val="es-ES_tradnl"/>
        </w:rPr>
        <w:t>En armonía con lo anterior, l</w:t>
      </w:r>
      <w:r w:rsidR="00194EF3">
        <w:rPr>
          <w:rFonts w:ascii="Arial" w:eastAsia="Calibri" w:hAnsi="Arial" w:cs="Arial"/>
          <w:bCs/>
          <w:color w:val="000000" w:themeColor="text1"/>
          <w:sz w:val="22"/>
          <w:lang w:val="es-ES_tradnl"/>
        </w:rPr>
        <w:t>a Sala de Consulta y Servicio Civil del</w:t>
      </w:r>
      <w:r w:rsidR="00FD1B08" w:rsidRPr="00864E72">
        <w:rPr>
          <w:rFonts w:ascii="Arial" w:eastAsia="Calibri" w:hAnsi="Arial" w:cs="Arial"/>
          <w:bCs/>
          <w:color w:val="000000" w:themeColor="text1"/>
          <w:sz w:val="22"/>
          <w:lang w:val="es-ES_tradnl"/>
        </w:rPr>
        <w:t xml:space="preserve"> Consejo de Estado</w:t>
      </w:r>
      <w:r w:rsidR="004C5464">
        <w:rPr>
          <w:rFonts w:ascii="Arial" w:eastAsia="Calibri" w:hAnsi="Arial" w:cs="Arial"/>
          <w:bCs/>
          <w:color w:val="000000" w:themeColor="text1"/>
          <w:sz w:val="22"/>
          <w:lang w:val="es-ES_tradnl"/>
        </w:rPr>
        <w:t>, reiterando la</w:t>
      </w:r>
      <w:r w:rsidR="0091244B">
        <w:rPr>
          <w:rFonts w:ascii="Arial" w:eastAsia="Calibri" w:hAnsi="Arial" w:cs="Arial"/>
          <w:bCs/>
          <w:color w:val="000000" w:themeColor="text1"/>
          <w:sz w:val="22"/>
          <w:lang w:val="es-ES_tradnl"/>
        </w:rPr>
        <w:t>s consideraciones de la</w:t>
      </w:r>
      <w:r w:rsidR="004C5464">
        <w:rPr>
          <w:rFonts w:ascii="Arial" w:eastAsia="Calibri" w:hAnsi="Arial" w:cs="Arial"/>
          <w:bCs/>
          <w:color w:val="000000" w:themeColor="text1"/>
          <w:sz w:val="22"/>
          <w:lang w:val="es-ES_tradnl"/>
        </w:rPr>
        <w:t xml:space="preserve"> Corte Constitucional,</w:t>
      </w:r>
      <w:r w:rsidR="00FD1B08" w:rsidRPr="00864E72">
        <w:rPr>
          <w:rFonts w:ascii="Arial" w:eastAsia="Calibri" w:hAnsi="Arial" w:cs="Arial"/>
          <w:bCs/>
          <w:color w:val="000000" w:themeColor="text1"/>
          <w:sz w:val="22"/>
          <w:lang w:val="es-ES_tradnl"/>
        </w:rPr>
        <w:t xml:space="preserve"> </w:t>
      </w:r>
      <w:r w:rsidR="0091244B">
        <w:rPr>
          <w:rFonts w:ascii="Arial" w:eastAsia="Calibri" w:hAnsi="Arial" w:cs="Arial"/>
          <w:bCs/>
          <w:color w:val="000000" w:themeColor="text1"/>
          <w:sz w:val="22"/>
          <w:lang w:val="es-ES_tradnl"/>
        </w:rPr>
        <w:t xml:space="preserve">señalo </w:t>
      </w:r>
      <w:r w:rsidR="00FD1B08" w:rsidRPr="00864E72">
        <w:rPr>
          <w:rFonts w:ascii="Arial" w:eastAsia="Calibri" w:hAnsi="Arial" w:cs="Arial"/>
          <w:bCs/>
          <w:color w:val="000000" w:themeColor="text1"/>
          <w:sz w:val="22"/>
          <w:lang w:val="es-ES_tradnl"/>
        </w:rPr>
        <w:t xml:space="preserve">que </w:t>
      </w:r>
      <w:r w:rsidR="00F239D4" w:rsidRPr="00FC3C59">
        <w:rPr>
          <w:rFonts w:ascii="Arial" w:eastAsia="Calibri" w:hAnsi="Arial" w:cs="Arial"/>
          <w:color w:val="000000"/>
          <w:sz w:val="22"/>
          <w:bdr w:val="none" w:sz="0" w:space="0" w:color="auto" w:frame="1"/>
        </w:rPr>
        <w:t>«</w:t>
      </w:r>
      <w:r w:rsidR="00194EF3" w:rsidRPr="00194EF3">
        <w:rPr>
          <w:rFonts w:ascii="Arial" w:eastAsia="Calibri" w:hAnsi="Arial" w:cs="Arial"/>
          <w:bCs/>
          <w:color w:val="000000" w:themeColor="text1"/>
          <w:sz w:val="22"/>
        </w:rPr>
        <w:t xml:space="preserve">las empresas de servicios públicos mixtas, si bien están constituidas por capital público y privado, al igual que una sociedad de economía mixta, son una tipología especial de </w:t>
      </w:r>
      <w:r w:rsidR="00194EF3" w:rsidRPr="00194EF3">
        <w:rPr>
          <w:rFonts w:ascii="Arial" w:eastAsia="Calibri" w:hAnsi="Arial" w:cs="Arial"/>
          <w:bCs/>
          <w:color w:val="000000" w:themeColor="text1"/>
          <w:sz w:val="22"/>
        </w:rPr>
        <w:lastRenderedPageBreak/>
        <w:t>entidades públicas, que tienen un régimen y una naturaleza jurídica propios, por así determinarlo el constituyente primario en los artículos 365 y 367 de la Constitución, características que están definidas en la Ley 142 de 1994, como se indicó. Por tal razón, no deben confundirse con las sociedades de economía mixta</w:t>
      </w:r>
      <w:r w:rsidR="00F239D4" w:rsidRPr="00E858D2">
        <w:rPr>
          <w:rFonts w:ascii="Arial" w:eastAsia="Calibri" w:hAnsi="Arial" w:cs="Arial"/>
          <w:bCs/>
          <w:sz w:val="22"/>
          <w:lang w:val="es-ES_tradnl"/>
        </w:rPr>
        <w:t>»</w:t>
      </w:r>
      <w:r w:rsidR="001062F0">
        <w:rPr>
          <w:rStyle w:val="Refdenotaalpie"/>
          <w:rFonts w:ascii="Arial" w:eastAsia="Calibri" w:hAnsi="Arial" w:cs="Arial"/>
          <w:bCs/>
          <w:sz w:val="22"/>
          <w:lang w:val="es-ES_tradnl"/>
        </w:rPr>
        <w:footnoteReference w:id="14"/>
      </w:r>
      <w:r w:rsidR="00194EF3" w:rsidRPr="00194EF3">
        <w:rPr>
          <w:rFonts w:ascii="Arial" w:eastAsia="Calibri" w:hAnsi="Arial" w:cs="Arial"/>
          <w:bCs/>
          <w:color w:val="000000" w:themeColor="text1"/>
          <w:sz w:val="22"/>
        </w:rPr>
        <w:t>.</w:t>
      </w:r>
    </w:p>
    <w:p w14:paraId="18616023" w14:textId="52E7B52B" w:rsidR="001A43C6" w:rsidRDefault="001A43C6" w:rsidP="00867326">
      <w:pPr>
        <w:spacing w:before="120" w:line="276" w:lineRule="auto"/>
        <w:ind w:firstLine="708"/>
        <w:jc w:val="both"/>
        <w:rPr>
          <w:rFonts w:ascii="Arial" w:eastAsiaTheme="minorHAnsi" w:hAnsi="Arial" w:cs="Arial"/>
          <w:sz w:val="22"/>
          <w:szCs w:val="22"/>
          <w:lang w:eastAsia="en-US"/>
        </w:rPr>
      </w:pPr>
      <w:r w:rsidRPr="001A43C6">
        <w:rPr>
          <w:rFonts w:ascii="Arial" w:eastAsiaTheme="minorHAnsi" w:hAnsi="Arial" w:cs="Arial"/>
          <w:sz w:val="22"/>
          <w:szCs w:val="22"/>
          <w:lang w:eastAsia="en-US"/>
        </w:rPr>
        <w:t>Así las cosas,</w:t>
      </w:r>
      <w:r w:rsidR="00F74DC7">
        <w:rPr>
          <w:rFonts w:ascii="Arial" w:eastAsiaTheme="minorHAnsi" w:hAnsi="Arial" w:cs="Arial"/>
          <w:sz w:val="22"/>
          <w:szCs w:val="22"/>
          <w:lang w:eastAsia="en-US"/>
        </w:rPr>
        <w:t xml:space="preserve"> con fundamento en l</w:t>
      </w:r>
      <w:r w:rsidR="00867326">
        <w:rPr>
          <w:rFonts w:ascii="Arial" w:eastAsiaTheme="minorHAnsi" w:hAnsi="Arial" w:cs="Arial"/>
          <w:sz w:val="22"/>
          <w:szCs w:val="22"/>
          <w:lang w:eastAsia="en-US"/>
        </w:rPr>
        <w:t>o expuesto</w:t>
      </w:r>
      <w:r w:rsidRPr="001A43C6">
        <w:rPr>
          <w:rFonts w:ascii="Arial" w:eastAsiaTheme="minorHAnsi" w:hAnsi="Arial" w:cs="Arial"/>
          <w:sz w:val="22"/>
          <w:szCs w:val="22"/>
          <w:lang w:eastAsia="en-US"/>
        </w:rPr>
        <w:t xml:space="preserve"> </w:t>
      </w:r>
      <w:r w:rsidR="00F74DC7">
        <w:rPr>
          <w:rFonts w:ascii="Arial" w:eastAsiaTheme="minorHAnsi" w:hAnsi="Arial" w:cs="Arial"/>
          <w:sz w:val="22"/>
          <w:szCs w:val="22"/>
          <w:lang w:eastAsia="en-US"/>
        </w:rPr>
        <w:t xml:space="preserve">se concluye que las </w:t>
      </w:r>
      <w:r w:rsidRPr="001A43C6">
        <w:rPr>
          <w:rFonts w:ascii="Arial" w:eastAsiaTheme="minorHAnsi" w:hAnsi="Arial" w:cs="Arial"/>
          <w:sz w:val="22"/>
          <w:szCs w:val="22"/>
          <w:lang w:eastAsia="en-US"/>
        </w:rPr>
        <w:t>empresas de servicios público</w:t>
      </w:r>
      <w:r w:rsidR="00867326">
        <w:rPr>
          <w:rFonts w:ascii="Arial" w:eastAsiaTheme="minorHAnsi" w:hAnsi="Arial" w:cs="Arial"/>
          <w:sz w:val="22"/>
          <w:szCs w:val="22"/>
          <w:lang w:eastAsia="en-US"/>
        </w:rPr>
        <w:t xml:space="preserve"> mixtas</w:t>
      </w:r>
      <w:r w:rsidR="00F74DC7">
        <w:rPr>
          <w:rFonts w:ascii="Arial" w:eastAsiaTheme="minorHAnsi" w:hAnsi="Arial" w:cs="Arial"/>
          <w:sz w:val="22"/>
          <w:szCs w:val="22"/>
          <w:lang w:eastAsia="en-US"/>
        </w:rPr>
        <w:t xml:space="preserve"> no pueden asimilarse a la </w:t>
      </w:r>
      <w:r w:rsidRPr="001A43C6">
        <w:rPr>
          <w:rFonts w:ascii="Arial" w:eastAsiaTheme="minorHAnsi" w:hAnsi="Arial" w:cs="Arial"/>
          <w:sz w:val="22"/>
          <w:szCs w:val="22"/>
          <w:lang w:eastAsia="en-US"/>
        </w:rPr>
        <w:t>naturaleza jurídica de</w:t>
      </w:r>
      <w:r w:rsidR="00F74DC7">
        <w:rPr>
          <w:rFonts w:ascii="Arial" w:eastAsiaTheme="minorHAnsi" w:hAnsi="Arial" w:cs="Arial"/>
          <w:sz w:val="22"/>
          <w:szCs w:val="22"/>
          <w:lang w:eastAsia="en-US"/>
        </w:rPr>
        <w:t xml:space="preserve"> una</w:t>
      </w:r>
      <w:r w:rsidRPr="001A43C6">
        <w:rPr>
          <w:rFonts w:ascii="Arial" w:eastAsiaTheme="minorHAnsi" w:hAnsi="Arial" w:cs="Arial"/>
          <w:sz w:val="22"/>
          <w:szCs w:val="22"/>
          <w:lang w:eastAsia="en-US"/>
        </w:rPr>
        <w:t xml:space="preserve"> sociedad de economía mixta, toda vez que </w:t>
      </w:r>
      <w:r w:rsidR="00F74DC7">
        <w:rPr>
          <w:rFonts w:ascii="Arial" w:eastAsiaTheme="minorHAnsi" w:hAnsi="Arial" w:cs="Arial"/>
          <w:sz w:val="22"/>
          <w:szCs w:val="22"/>
          <w:lang w:eastAsia="en-US"/>
        </w:rPr>
        <w:t xml:space="preserve">dichas </w:t>
      </w:r>
      <w:r w:rsidRPr="001A43C6">
        <w:rPr>
          <w:rFonts w:ascii="Arial" w:eastAsiaTheme="minorHAnsi" w:hAnsi="Arial" w:cs="Arial"/>
          <w:sz w:val="22"/>
          <w:szCs w:val="22"/>
          <w:lang w:eastAsia="en-US"/>
        </w:rPr>
        <w:t xml:space="preserve">empresas tienen una naturaleza jurídica especial conforme al artículo 356 de la Constitución Política. Por ello, el hecho de que su composición accionaria esté </w:t>
      </w:r>
      <w:r w:rsidR="00763EA4">
        <w:rPr>
          <w:rFonts w:ascii="Arial" w:eastAsiaTheme="minorHAnsi" w:hAnsi="Arial" w:cs="Arial"/>
          <w:sz w:val="22"/>
          <w:szCs w:val="22"/>
          <w:lang w:eastAsia="en-US"/>
        </w:rPr>
        <w:t>integrada</w:t>
      </w:r>
      <w:r w:rsidR="00763EA4" w:rsidRPr="001A43C6">
        <w:rPr>
          <w:rFonts w:ascii="Arial" w:eastAsiaTheme="minorHAnsi" w:hAnsi="Arial" w:cs="Arial"/>
          <w:sz w:val="22"/>
          <w:szCs w:val="22"/>
          <w:lang w:eastAsia="en-US"/>
        </w:rPr>
        <w:t xml:space="preserve"> </w:t>
      </w:r>
      <w:r w:rsidRPr="001A43C6">
        <w:rPr>
          <w:rFonts w:ascii="Arial" w:eastAsiaTheme="minorHAnsi" w:hAnsi="Arial" w:cs="Arial"/>
          <w:sz w:val="22"/>
          <w:szCs w:val="22"/>
          <w:lang w:eastAsia="en-US"/>
        </w:rPr>
        <w:t>por recursos públicos y privados no la convierte en sociedad de economía mixta, pues las empresas de servicios públicos tienen su clasificación propia</w:t>
      </w:r>
      <w:r w:rsidR="00763EA4">
        <w:rPr>
          <w:rFonts w:ascii="Arial" w:eastAsiaTheme="minorHAnsi" w:hAnsi="Arial" w:cs="Arial"/>
          <w:sz w:val="22"/>
          <w:szCs w:val="22"/>
          <w:lang w:eastAsia="en-US"/>
        </w:rPr>
        <w:t>,</w:t>
      </w:r>
      <w:r w:rsidRPr="001A43C6">
        <w:rPr>
          <w:rFonts w:ascii="Arial" w:eastAsiaTheme="minorHAnsi" w:hAnsi="Arial" w:cs="Arial"/>
          <w:sz w:val="22"/>
          <w:szCs w:val="22"/>
          <w:lang w:eastAsia="en-US"/>
        </w:rPr>
        <w:t xml:space="preserve"> dependiendo de la composición de su capital accionario: empresas de servicios públicos oficiales, mixtas y privadas. </w:t>
      </w:r>
    </w:p>
    <w:p w14:paraId="4323431C" w14:textId="77777777" w:rsidR="00033358" w:rsidRDefault="00033358" w:rsidP="00031AD9">
      <w:pPr>
        <w:tabs>
          <w:tab w:val="left" w:pos="0"/>
        </w:tabs>
        <w:spacing w:line="276" w:lineRule="auto"/>
        <w:jc w:val="both"/>
        <w:rPr>
          <w:rFonts w:ascii="Arial" w:eastAsia="Calibri" w:hAnsi="Arial" w:cs="Arial"/>
          <w:b/>
          <w:sz w:val="22"/>
          <w:lang w:val="es-ES_tradnl"/>
        </w:rPr>
      </w:pPr>
    </w:p>
    <w:p w14:paraId="4962FE5B" w14:textId="06C07F49" w:rsidR="00031AD9" w:rsidRPr="00E858D2" w:rsidRDefault="00033358" w:rsidP="00031AD9">
      <w:pPr>
        <w:tabs>
          <w:tab w:val="left" w:pos="0"/>
        </w:tabs>
        <w:spacing w:line="276" w:lineRule="auto"/>
        <w:jc w:val="both"/>
        <w:rPr>
          <w:rFonts w:ascii="Arial" w:eastAsia="Calibri" w:hAnsi="Arial" w:cs="Arial"/>
          <w:b/>
          <w:sz w:val="22"/>
          <w:lang w:val="es-ES_tradnl"/>
        </w:rPr>
      </w:pPr>
      <w:r>
        <w:rPr>
          <w:rFonts w:ascii="Arial" w:eastAsia="Calibri" w:hAnsi="Arial" w:cs="Arial"/>
          <w:b/>
          <w:sz w:val="22"/>
          <w:lang w:val="es-ES_tradnl"/>
        </w:rPr>
        <w:t xml:space="preserve">2.3 </w:t>
      </w:r>
      <w:r w:rsidR="00031AD9" w:rsidRPr="00E858D2">
        <w:rPr>
          <w:rFonts w:ascii="Arial" w:eastAsia="Calibri" w:hAnsi="Arial" w:cs="Arial"/>
          <w:b/>
          <w:sz w:val="22"/>
          <w:lang w:val="es-ES_tradnl"/>
        </w:rPr>
        <w:t xml:space="preserve">Análisis del artículo 56 de la Ley 2195 de 2022. Aplicación obligatoria del Estatuto General de Contratación de la Administración Pública y de los documentos tipo en la contratación de las entidades estatales exceptuadas y de los particulares </w:t>
      </w:r>
    </w:p>
    <w:bookmarkEnd w:id="7"/>
    <w:p w14:paraId="75C4D22E" w14:textId="77777777" w:rsidR="00031AD9" w:rsidRPr="00E858D2" w:rsidRDefault="00031AD9" w:rsidP="00031AD9">
      <w:pPr>
        <w:tabs>
          <w:tab w:val="left" w:pos="0"/>
        </w:tabs>
        <w:spacing w:line="276" w:lineRule="auto"/>
        <w:jc w:val="both"/>
        <w:rPr>
          <w:rFonts w:ascii="Arial" w:eastAsia="Calibri" w:hAnsi="Arial" w:cs="Arial"/>
          <w:b/>
          <w:sz w:val="22"/>
          <w:lang w:val="es-ES_tradnl"/>
        </w:rPr>
      </w:pPr>
    </w:p>
    <w:p w14:paraId="1AC028D9" w14:textId="6B06EAFB"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Conforme se explicó en el acápite</w:t>
      </w:r>
      <w:r w:rsidR="001A43C6">
        <w:rPr>
          <w:rFonts w:ascii="Arial" w:eastAsia="Calibri" w:hAnsi="Arial" w:cs="Arial"/>
          <w:bCs/>
          <w:sz w:val="22"/>
          <w:lang w:val="es-ES_tradnl"/>
        </w:rPr>
        <w:t xml:space="preserve"> 2.1</w:t>
      </w:r>
      <w:r w:rsidRPr="00E858D2">
        <w:rPr>
          <w:rFonts w:ascii="Arial" w:eastAsia="Calibri" w:hAnsi="Arial" w:cs="Arial"/>
          <w:bCs/>
          <w:sz w:val="22"/>
          <w:lang w:val="es-ES_tradnl"/>
        </w:rPr>
        <w:t>, en virtud de la Ley 2022 de 2020, los documentos tipo expedidos por la Agencia Nacional de Contratación Pública son de aplicación obligatoria para las entidades estatales sometidas al Estatuto General de Contratación de la Administración Pública. En ese sentido, el contenido normativo de la Ley 2022 de 2020, y</w:t>
      </w:r>
      <w:r w:rsidR="00BF64F0">
        <w:rPr>
          <w:rFonts w:ascii="Arial" w:eastAsia="Calibri" w:hAnsi="Arial" w:cs="Arial"/>
          <w:bCs/>
          <w:sz w:val="22"/>
          <w:lang w:val="es-ES_tradnl"/>
        </w:rPr>
        <w:t>,</w:t>
      </w:r>
      <w:r w:rsidRPr="00E858D2">
        <w:rPr>
          <w:rFonts w:ascii="Arial" w:eastAsia="Calibri" w:hAnsi="Arial" w:cs="Arial"/>
          <w:bCs/>
          <w:sz w:val="22"/>
          <w:lang w:val="es-ES_tradnl"/>
        </w:rPr>
        <w:t xml:space="preserve"> en su momento</w:t>
      </w:r>
      <w:r w:rsidR="00BF64F0">
        <w:rPr>
          <w:rFonts w:ascii="Arial" w:eastAsia="Calibri" w:hAnsi="Arial" w:cs="Arial"/>
          <w:bCs/>
          <w:sz w:val="22"/>
          <w:lang w:val="es-ES_tradnl"/>
        </w:rPr>
        <w:t>,</w:t>
      </w:r>
      <w:r w:rsidRPr="00E858D2">
        <w:rPr>
          <w:rFonts w:ascii="Arial" w:eastAsia="Calibri" w:hAnsi="Arial" w:cs="Arial"/>
          <w:bCs/>
          <w:sz w:val="22"/>
          <w:lang w:val="es-ES_tradnl"/>
        </w:rPr>
        <w:t xml:space="preserve"> también </w:t>
      </w:r>
      <w:r w:rsidR="00BF64F0">
        <w:rPr>
          <w:rFonts w:ascii="Arial" w:eastAsia="Calibri" w:hAnsi="Arial" w:cs="Arial"/>
          <w:bCs/>
          <w:sz w:val="22"/>
          <w:lang w:val="es-ES_tradnl"/>
        </w:rPr>
        <w:t xml:space="preserve">el de </w:t>
      </w:r>
      <w:r w:rsidRPr="00E858D2">
        <w:rPr>
          <w:rFonts w:ascii="Arial" w:eastAsia="Calibri" w:hAnsi="Arial" w:cs="Arial"/>
          <w:bCs/>
          <w:sz w:val="22"/>
          <w:lang w:val="es-ES_tradnl"/>
        </w:rPr>
        <w:t>la Ley 1882 de 2018</w:t>
      </w:r>
      <w:r w:rsidR="00BF64F0">
        <w:rPr>
          <w:rFonts w:ascii="Arial" w:eastAsia="Calibri" w:hAnsi="Arial" w:cs="Arial"/>
          <w:bCs/>
          <w:sz w:val="22"/>
          <w:lang w:val="es-ES_tradnl"/>
        </w:rPr>
        <w:t>,</w:t>
      </w:r>
      <w:r w:rsidRPr="00E858D2">
        <w:rPr>
          <w:rFonts w:ascii="Arial" w:eastAsia="Calibri" w:hAnsi="Arial" w:cs="Arial"/>
          <w:bCs/>
          <w:sz w:val="22"/>
          <w:lang w:val="es-ES_tradnl"/>
        </w:rPr>
        <w:t xml:space="preserve"> excluían del ámbito de aplicación de los documentos tipo la contratación de entidades estatales de régimen exceptuado, por lo general, sujetas al derecho privado. </w:t>
      </w:r>
    </w:p>
    <w:p w14:paraId="58EBC34E" w14:textId="77777777" w:rsidR="00031AD9" w:rsidRPr="00E858D2" w:rsidRDefault="00031AD9" w:rsidP="00031AD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
          <w:sz w:val="22"/>
          <w:lang w:val="es-ES_tradnl"/>
        </w:rPr>
        <w:tab/>
      </w:r>
      <w:r w:rsidRPr="00E858D2">
        <w:rPr>
          <w:rFonts w:ascii="Arial" w:eastAsia="Calibri" w:hAnsi="Arial" w:cs="Arial"/>
          <w:bCs/>
          <w:sz w:val="22"/>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recuperar los daños ocasionados por la corrupción, promoviendo la cultura de la legalidad e integridad. </w:t>
      </w:r>
    </w:p>
    <w:p w14:paraId="67B06332"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Entre las medidas adoptadas por la Ley mencionada se destaca el artículo 56, norma sobre la que versa la presente consulta. Esta disposición se refiere de manera expresa a los documentos tipo y a su aplicabilidad a sujetos diferentes de las entidades </w:t>
      </w:r>
      <w:r w:rsidRPr="00E858D2">
        <w:rPr>
          <w:rFonts w:ascii="Arial" w:eastAsia="Calibri" w:hAnsi="Arial" w:cs="Arial"/>
          <w:bCs/>
          <w:sz w:val="22"/>
          <w:lang w:val="es-ES_tradnl"/>
        </w:rPr>
        <w:lastRenderedPageBreak/>
        <w:t>estatales sometidas al Estatuto General de Contratación de la Administración Pública. El tenor literal de este precepto prescribe lo siguiente:</w:t>
      </w:r>
    </w:p>
    <w:p w14:paraId="74DA6986"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p>
    <w:p w14:paraId="7A0F3D40" w14:textId="77777777" w:rsidR="00031AD9" w:rsidRPr="00E858D2" w:rsidRDefault="00031AD9" w:rsidP="00031AD9">
      <w:pPr>
        <w:tabs>
          <w:tab w:val="left" w:pos="0"/>
        </w:tabs>
        <w:ind w:left="709" w:right="709"/>
        <w:jc w:val="both"/>
        <w:rPr>
          <w:rFonts w:ascii="Arial" w:hAnsi="Arial" w:cs="Arial"/>
          <w:sz w:val="21"/>
          <w:szCs w:val="21"/>
          <w:lang w:val="es-ES_tradnl"/>
        </w:rPr>
      </w:pPr>
      <w:r w:rsidRPr="00E858D2">
        <w:rPr>
          <w:rFonts w:ascii="Arial" w:hAnsi="Arial" w:cs="Arial"/>
          <w:sz w:val="21"/>
          <w:szCs w:val="21"/>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35ADBEF4" w14:textId="77777777" w:rsidR="00031AD9" w:rsidRPr="00E858D2" w:rsidRDefault="00031AD9" w:rsidP="00031AD9">
      <w:pPr>
        <w:tabs>
          <w:tab w:val="left" w:pos="0"/>
        </w:tabs>
        <w:ind w:left="709" w:right="709"/>
        <w:jc w:val="both"/>
        <w:rPr>
          <w:rFonts w:ascii="Arial" w:hAnsi="Arial" w:cs="Arial"/>
          <w:sz w:val="21"/>
          <w:szCs w:val="21"/>
          <w:lang w:val="es-ES_tradnl"/>
        </w:rPr>
      </w:pPr>
    </w:p>
    <w:p w14:paraId="65837679" w14:textId="77777777" w:rsidR="00031AD9" w:rsidRPr="00E858D2" w:rsidRDefault="00031AD9" w:rsidP="00031AD9">
      <w:pPr>
        <w:tabs>
          <w:tab w:val="left" w:pos="0"/>
        </w:tabs>
        <w:ind w:left="709" w:right="709"/>
        <w:jc w:val="both"/>
        <w:rPr>
          <w:rFonts w:ascii="Arial" w:hAnsi="Arial" w:cs="Arial"/>
          <w:sz w:val="21"/>
          <w:szCs w:val="21"/>
          <w:lang w:val="es-ES_tradnl"/>
        </w:rPr>
      </w:pPr>
      <w:r w:rsidRPr="00E858D2">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7F64E601" w14:textId="77777777" w:rsidR="00031AD9" w:rsidRPr="00E858D2" w:rsidRDefault="00031AD9" w:rsidP="00031AD9">
      <w:pPr>
        <w:tabs>
          <w:tab w:val="left" w:pos="0"/>
        </w:tabs>
        <w:ind w:left="709" w:right="709"/>
        <w:jc w:val="both"/>
        <w:rPr>
          <w:rFonts w:ascii="Arial" w:hAnsi="Arial" w:cs="Arial"/>
          <w:sz w:val="21"/>
          <w:szCs w:val="21"/>
          <w:lang w:val="es-ES_tradnl"/>
        </w:rPr>
      </w:pPr>
    </w:p>
    <w:p w14:paraId="5CD8C3B3" w14:textId="028A92EF" w:rsidR="00031AD9" w:rsidRPr="00E858D2" w:rsidRDefault="00031AD9" w:rsidP="00031AD9">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w:t>
      </w:r>
      <w:r w:rsidRPr="00E858D2">
        <w:rPr>
          <w:rFonts w:ascii="Arial" w:hAnsi="Arial" w:cs="Arial"/>
          <w:i/>
          <w:iCs/>
          <w:sz w:val="21"/>
          <w:szCs w:val="21"/>
          <w:lang w:val="es-ES_tradnl"/>
        </w:rPr>
        <w:t>giro ordinario</w:t>
      </w:r>
      <w:r w:rsidRPr="00E858D2">
        <w:rPr>
          <w:rFonts w:ascii="Arial" w:hAnsi="Arial" w:cs="Arial"/>
          <w:sz w:val="21"/>
          <w:szCs w:val="21"/>
          <w:lang w:val="es-ES_tradnl"/>
        </w:rPr>
        <w:t>. En estos casos, en los manuales de contratación de estas entidades, se fomentará como buena práctica la aplicación de los pliegos tipo.</w:t>
      </w:r>
    </w:p>
    <w:p w14:paraId="02D8964E"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p>
    <w:p w14:paraId="4A0ACD81" w14:textId="0032D5B1" w:rsidR="00031AD9" w:rsidRPr="00E858D2" w:rsidRDefault="00031AD9" w:rsidP="00031AD9">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Las implicaciones de lo establecido en esta norma son variadas y se presentan en múltiples ámbitos de la actividad contractual de las entidades estatales, que</w:t>
      </w:r>
      <w:r w:rsidR="006F3171">
        <w:rPr>
          <w:rFonts w:ascii="Arial" w:eastAsia="Calibri" w:hAnsi="Arial" w:cs="Arial"/>
          <w:bCs/>
          <w:sz w:val="22"/>
          <w:lang w:val="es-ES_tradnl"/>
        </w:rPr>
        <w:t>,</w:t>
      </w:r>
      <w:r w:rsidRPr="00E858D2">
        <w:rPr>
          <w:rFonts w:ascii="Arial" w:eastAsia="Calibri" w:hAnsi="Arial" w:cs="Arial"/>
          <w:bCs/>
          <w:sz w:val="22"/>
          <w:lang w:val="es-ES_tradnl"/>
        </w:rPr>
        <w:t xml:space="preserve"> como consecuencia de la entrada en vigor de la disposición en cita, ven alterado su régimen jurídico. </w:t>
      </w:r>
      <w:r w:rsidR="006F3171">
        <w:rPr>
          <w:rFonts w:ascii="Arial" w:eastAsia="Calibri" w:hAnsi="Arial" w:cs="Arial"/>
          <w:bCs/>
          <w:sz w:val="22"/>
          <w:lang w:val="es-ES_tradnl"/>
        </w:rPr>
        <w:t>P</w:t>
      </w:r>
      <w:r w:rsidRPr="00E858D2">
        <w:rPr>
          <w:rFonts w:ascii="Arial" w:eastAsia="Calibri" w:hAnsi="Arial" w:cs="Arial"/>
          <w:bCs/>
          <w:sz w:val="22"/>
          <w:lang w:val="es-ES_tradnl"/>
        </w:rPr>
        <w:t xml:space="preserve">or </w:t>
      </w:r>
      <w:r w:rsidR="006F3171">
        <w:rPr>
          <w:rFonts w:ascii="Arial" w:eastAsia="Calibri" w:hAnsi="Arial" w:cs="Arial"/>
          <w:bCs/>
          <w:sz w:val="22"/>
          <w:lang w:val="es-ES_tradnl"/>
        </w:rPr>
        <w:t>ello,</w:t>
      </w:r>
      <w:r w:rsidRPr="00E858D2">
        <w:rPr>
          <w:rFonts w:ascii="Arial" w:eastAsia="Calibri" w:hAnsi="Arial" w:cs="Arial"/>
          <w:bCs/>
          <w:sz w:val="22"/>
          <w:lang w:val="es-ES_tradnl"/>
        </w:rPr>
        <w:t xml:space="preserve"> una interpretación adecuada de esta disposición, orientada a establecer con precisión el alcance de sus efectos, exige detenerse sobre ciertos aspectos que, a juicio de esta Agencia, resulta indispensable analizar para la comprensión de la norma materia de consulta, los cuales se desarrollan a continuación.     </w:t>
      </w:r>
    </w:p>
    <w:p w14:paraId="1B7ABD49" w14:textId="77777777" w:rsidR="00031AD9" w:rsidRPr="00E858D2" w:rsidRDefault="00031AD9" w:rsidP="00031AD9">
      <w:pPr>
        <w:tabs>
          <w:tab w:val="left" w:pos="0"/>
        </w:tabs>
        <w:spacing w:line="276" w:lineRule="auto"/>
        <w:jc w:val="both"/>
        <w:rPr>
          <w:rFonts w:ascii="Arial" w:eastAsia="Calibri" w:hAnsi="Arial" w:cs="Arial"/>
          <w:b/>
          <w:sz w:val="22"/>
          <w:lang w:val="es-ES_tradnl"/>
        </w:rPr>
      </w:pPr>
    </w:p>
    <w:p w14:paraId="4EBC67D2" w14:textId="543BF039" w:rsidR="00031AD9" w:rsidRDefault="00031AD9" w:rsidP="00667781">
      <w:pPr>
        <w:tabs>
          <w:tab w:val="left" w:pos="426"/>
        </w:tabs>
        <w:spacing w:line="276" w:lineRule="auto"/>
        <w:jc w:val="both"/>
        <w:rPr>
          <w:rFonts w:ascii="Arial" w:eastAsia="Calibri" w:hAnsi="Arial" w:cs="Arial"/>
          <w:b/>
          <w:sz w:val="22"/>
          <w:lang w:val="es-ES_tradnl"/>
        </w:rPr>
      </w:pPr>
      <w:r w:rsidRPr="00897B2E">
        <w:rPr>
          <w:rFonts w:ascii="Arial" w:eastAsia="Calibri" w:hAnsi="Arial" w:cs="Arial"/>
          <w:b/>
          <w:sz w:val="22"/>
          <w:lang w:val="es-ES_tradnl"/>
        </w:rPr>
        <w:t>2.</w:t>
      </w:r>
      <w:r w:rsidR="00B71ECC">
        <w:rPr>
          <w:rFonts w:ascii="Arial" w:eastAsia="Calibri" w:hAnsi="Arial" w:cs="Arial"/>
          <w:b/>
          <w:sz w:val="22"/>
          <w:lang w:val="es-ES_tradnl"/>
        </w:rPr>
        <w:t>3</w:t>
      </w:r>
      <w:r w:rsidRPr="00897B2E">
        <w:rPr>
          <w:rFonts w:ascii="Arial" w:eastAsia="Calibri" w:hAnsi="Arial" w:cs="Arial"/>
          <w:b/>
          <w:sz w:val="22"/>
          <w:lang w:val="es-ES_tradnl"/>
        </w:rPr>
        <w:t>.1</w:t>
      </w:r>
      <w:r w:rsidRPr="00E858D2">
        <w:rPr>
          <w:rFonts w:ascii="Arial" w:eastAsia="Calibri" w:hAnsi="Arial" w:cs="Arial"/>
          <w:b/>
          <w:i/>
          <w:iCs/>
          <w:sz w:val="22"/>
          <w:lang w:val="es-ES_tradnl"/>
        </w:rPr>
        <w:t xml:space="preserve">. </w:t>
      </w:r>
      <w:r w:rsidRPr="00E858D2">
        <w:rPr>
          <w:rFonts w:ascii="Arial" w:eastAsia="Calibri" w:hAnsi="Arial" w:cs="Arial"/>
          <w:b/>
          <w:sz w:val="22"/>
          <w:lang w:val="es-ES_tradnl"/>
        </w:rPr>
        <w:t>Ámbito de aplicación y finalidad de la norma</w:t>
      </w:r>
    </w:p>
    <w:p w14:paraId="39AEDC56" w14:textId="77777777" w:rsidR="00667781" w:rsidRPr="00E858D2" w:rsidRDefault="00667781" w:rsidP="00667781">
      <w:pPr>
        <w:tabs>
          <w:tab w:val="left" w:pos="426"/>
        </w:tabs>
        <w:spacing w:line="276" w:lineRule="auto"/>
        <w:jc w:val="both"/>
        <w:rPr>
          <w:rFonts w:ascii="Arial" w:eastAsia="Calibri" w:hAnsi="Arial" w:cs="Arial"/>
          <w:b/>
          <w:i/>
          <w:iCs/>
          <w:sz w:val="22"/>
          <w:lang w:val="es-ES_tradnl"/>
        </w:rPr>
      </w:pPr>
    </w:p>
    <w:p w14:paraId="2CE7B603" w14:textId="77777777" w:rsidR="00031AD9" w:rsidRPr="00E858D2" w:rsidRDefault="00031AD9" w:rsidP="00667781">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w:t>
      </w:r>
      <w:r w:rsidRPr="00E858D2">
        <w:rPr>
          <w:rFonts w:ascii="Arial" w:eastAsia="Calibri" w:hAnsi="Arial" w:cs="Arial"/>
          <w:bCs/>
          <w:sz w:val="22"/>
          <w:lang w:val="es-ES_tradnl"/>
        </w:rPr>
        <w:lastRenderedPageBreak/>
        <w:t xml:space="preserve">autónomos o con personas naturales o jurídicas, cuyo régimen de contratación sea especial o de derecho privado.  </w:t>
      </w:r>
    </w:p>
    <w:p w14:paraId="503E58F2" w14:textId="77777777" w:rsidR="00031AD9" w:rsidRPr="00E858D2" w:rsidRDefault="00031AD9" w:rsidP="0066778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02E71D2D" w14:textId="5A2E2A14" w:rsidR="00031AD9" w:rsidRPr="00E858D2" w:rsidRDefault="00031AD9" w:rsidP="0066778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Antes de la expedición del artículo 56 </w:t>
      </w:r>
      <w:proofErr w:type="spellStart"/>
      <w:r w:rsidRPr="00E858D2">
        <w:rPr>
          <w:rFonts w:ascii="Arial" w:eastAsia="Calibri" w:hAnsi="Arial" w:cs="Arial"/>
          <w:bCs/>
          <w:i/>
          <w:iCs/>
          <w:sz w:val="22"/>
          <w:lang w:val="es-ES_tradnl"/>
        </w:rPr>
        <w:t>ibídem</w:t>
      </w:r>
      <w:proofErr w:type="spellEnd"/>
      <w:r w:rsidR="00113FF2">
        <w:rPr>
          <w:rFonts w:ascii="Arial" w:eastAsia="Calibri" w:hAnsi="Arial" w:cs="Arial"/>
          <w:bCs/>
          <w:i/>
          <w:iCs/>
          <w:sz w:val="22"/>
          <w:lang w:val="es-ES_tradnl"/>
        </w:rPr>
        <w:t>,</w:t>
      </w:r>
      <w:r w:rsidRPr="00E858D2">
        <w:rPr>
          <w:rFonts w:ascii="Arial" w:eastAsia="Calibri" w:hAnsi="Arial" w:cs="Arial"/>
          <w:bCs/>
          <w:sz w:val="22"/>
          <w:lang w:val="es-ES_tradnl"/>
        </w:rPr>
        <w:t xml:space="preserve"> la Ley 2022 de 2020 ya había establecido el mandato de aplicación obligatoria de los documentos tipo, atribuyendo a esta a Agencia la competencia para expedirlos. Dicha Ley restringe su aplicación en los Procesos de Contratación a través de los que una entidad estatal regida por el EGCAP debe adquirir una obra o servicio, por supuesto</w:t>
      </w:r>
      <w:r w:rsidR="00807554">
        <w:rPr>
          <w:rFonts w:ascii="Arial" w:eastAsia="Calibri" w:hAnsi="Arial" w:cs="Arial"/>
          <w:bCs/>
          <w:sz w:val="22"/>
          <w:lang w:val="es-ES_tradnl"/>
        </w:rPr>
        <w:t>,</w:t>
      </w:r>
      <w:r w:rsidRPr="00E858D2">
        <w:rPr>
          <w:rFonts w:ascii="Arial" w:eastAsia="Calibri" w:hAnsi="Arial" w:cs="Arial"/>
          <w:bCs/>
          <w:sz w:val="22"/>
          <w:lang w:val="es-ES_tradnl"/>
        </w:rPr>
        <w:t xml:space="preserve">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w:t>
      </w:r>
      <w:r w:rsidR="00113FF2">
        <w:rPr>
          <w:rFonts w:ascii="Arial" w:eastAsia="Calibri" w:hAnsi="Arial" w:cs="Arial"/>
          <w:bCs/>
          <w:sz w:val="22"/>
          <w:lang w:val="es-ES_tradnl"/>
        </w:rPr>
        <w:t>0</w:t>
      </w:r>
      <w:r w:rsidRPr="00E858D2">
        <w:rPr>
          <w:rFonts w:ascii="Arial" w:eastAsia="Calibri" w:hAnsi="Arial" w:cs="Arial"/>
          <w:bCs/>
          <w:sz w:val="22"/>
          <w:lang w:val="es-ES_tradnl"/>
        </w:rPr>
        <w:t xml:space="preserve">, incluso tratándose de obras o servicios para cuya contratación hubieren documentos tipo vigentes, comoquiera que la aplicación de estos solo era procedente cuando el régimen de la entidad contratante </w:t>
      </w:r>
      <w:r w:rsidR="00113FF2">
        <w:rPr>
          <w:rFonts w:ascii="Arial" w:eastAsia="Calibri" w:hAnsi="Arial" w:cs="Arial"/>
          <w:bCs/>
          <w:sz w:val="22"/>
          <w:lang w:val="es-ES_tradnl"/>
        </w:rPr>
        <w:t>fuera</w:t>
      </w:r>
      <w:r w:rsidR="00113FF2"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el EGCAP, toda vez que el parágrafo 7 del artículo 2 de la Ley 1150 de 2007 solo se refiere a la obligación de aplicar los documentos tipo en los Procesos de Contratación que adelanten las entidades sometidas al EGCAP. </w:t>
      </w:r>
    </w:p>
    <w:p w14:paraId="7756F1FB" w14:textId="77777777" w:rsidR="00031AD9" w:rsidRPr="00E858D2" w:rsidRDefault="00031AD9" w:rsidP="0066778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5D8E1196" w14:textId="77777777" w:rsidR="00031AD9" w:rsidRPr="00E858D2" w:rsidRDefault="00031AD9" w:rsidP="0066778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escenario, </w:t>
      </w:r>
      <w:bookmarkStart w:id="14" w:name="_Hlk99351345"/>
      <w:r w:rsidRPr="00E858D2">
        <w:rPr>
          <w:rFonts w:ascii="Arial" w:eastAsia="Calibri" w:hAnsi="Arial" w:cs="Arial"/>
          <w:bCs/>
          <w:sz w:val="22"/>
          <w:lang w:val="es-ES_tradnl"/>
        </w:rPr>
        <w:t xml:space="preserve">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w:t>
      </w:r>
      <w:proofErr w:type="spellStart"/>
      <w:r w:rsidRPr="00E858D2">
        <w:rPr>
          <w:rFonts w:ascii="Arial" w:eastAsia="Calibri" w:hAnsi="Arial" w:cs="Arial"/>
          <w:bCs/>
          <w:sz w:val="22"/>
          <w:lang w:val="es-ES_tradnl"/>
        </w:rPr>
        <w:t>ii</w:t>
      </w:r>
      <w:proofErr w:type="spellEnd"/>
      <w:r w:rsidRPr="00E858D2">
        <w:rPr>
          <w:rFonts w:ascii="Arial" w:eastAsia="Calibri" w:hAnsi="Arial" w:cs="Arial"/>
          <w:bCs/>
          <w:sz w:val="22"/>
          <w:lang w:val="es-ES_tradnl"/>
        </w:rPr>
        <w:t xml:space="preserve">) </w:t>
      </w:r>
      <w:r w:rsidRPr="00E858D2">
        <w:rPr>
          <w:rFonts w:ascii="Arial" w:eastAsia="Calibri" w:hAnsi="Arial" w:cs="Arial"/>
          <w:bCs/>
          <w:sz w:val="22"/>
          <w:lang w:val="es-ES_tradnl"/>
        </w:rPr>
        <w:lastRenderedPageBreak/>
        <w:t xml:space="preserve">patrimonios autónomos o </w:t>
      </w:r>
      <w:proofErr w:type="spellStart"/>
      <w:r w:rsidRPr="00E858D2">
        <w:rPr>
          <w:rFonts w:ascii="Arial" w:eastAsia="Calibri" w:hAnsi="Arial" w:cs="Arial"/>
          <w:bCs/>
          <w:sz w:val="22"/>
          <w:lang w:val="es-ES_tradnl"/>
        </w:rPr>
        <w:t>iii</w:t>
      </w:r>
      <w:proofErr w:type="spellEnd"/>
      <w:r w:rsidRPr="00E858D2">
        <w:rPr>
          <w:rFonts w:ascii="Arial" w:eastAsia="Calibri" w:hAnsi="Arial" w:cs="Arial"/>
          <w:bCs/>
          <w:sz w:val="22"/>
          <w:lang w:val="es-ES_tradnl"/>
        </w:rPr>
        <w:t xml:space="preserve">)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bookmarkEnd w:id="14"/>
    <w:p w14:paraId="2E458B86" w14:textId="77777777" w:rsidR="00031AD9" w:rsidRPr="00E858D2" w:rsidRDefault="00031AD9" w:rsidP="0066778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Sin perjuicio de lo anterior, solo es posible comprender los efectos de lo dispuesto en el artículo 56 de la Ley 2195 de 2020 cuando se interpretan en conjunto todos sus componentes. Esto comoquiera que, a lo anterior se le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3D0659F7" w14:textId="660FCDC1" w:rsidR="00031AD9" w:rsidRPr="00E858D2" w:rsidRDefault="00031AD9" w:rsidP="0060580F">
      <w:pPr>
        <w:tabs>
          <w:tab w:val="left" w:pos="0"/>
        </w:tabs>
        <w:spacing w:before="120"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que se celebren con ocasión de los contratos o convenios a los que se refiere el primer inciso. Esto significa que, ya sea una entidad estatal de régimen especial, un patrimonio autónomo o una persona natural o jurídica de derecho privado, en virtud de lo dispuesto en los incisos primero y segundo del artículo 56 </w:t>
      </w:r>
      <w:proofErr w:type="spellStart"/>
      <w:r w:rsidRPr="00E858D2">
        <w:rPr>
          <w:rFonts w:ascii="Arial" w:eastAsia="Calibri" w:hAnsi="Arial" w:cs="Arial"/>
          <w:bCs/>
          <w:i/>
          <w:iCs/>
          <w:sz w:val="22"/>
          <w:lang w:val="es-ES_tradnl"/>
        </w:rPr>
        <w:t>ejusdem</w:t>
      </w:r>
      <w:proofErr w:type="spellEnd"/>
      <w:r w:rsidRPr="00E858D2">
        <w:rPr>
          <w:rFonts w:ascii="Arial" w:eastAsia="Calibri" w:hAnsi="Arial" w:cs="Arial"/>
          <w:bCs/>
          <w:i/>
          <w:iCs/>
          <w:sz w:val="22"/>
          <w:lang w:val="es-ES_tradnl"/>
        </w:rPr>
        <w:t xml:space="preserve">, </w:t>
      </w:r>
      <w:r w:rsidRPr="00E858D2">
        <w:rPr>
          <w:rFonts w:ascii="Arial" w:eastAsia="Calibri" w:hAnsi="Arial" w:cs="Arial"/>
          <w:bCs/>
          <w:sz w:val="22"/>
          <w:lang w:val="es-ES_tradnl"/>
        </w:rPr>
        <w:t>si,</w:t>
      </w:r>
      <w:r w:rsidRPr="00E858D2">
        <w:rPr>
          <w:rFonts w:ascii="Arial" w:eastAsia="Calibri" w:hAnsi="Arial" w:cs="Arial"/>
          <w:bCs/>
          <w:i/>
          <w:iCs/>
          <w:sz w:val="22"/>
          <w:lang w:val="es-ES_tradnl"/>
        </w:rPr>
        <w:t xml:space="preserve"> </w:t>
      </w:r>
      <w:r w:rsidRPr="00E858D2">
        <w:rPr>
          <w:rFonts w:ascii="Arial" w:eastAsia="Calibri" w:hAnsi="Arial" w:cs="Arial"/>
          <w:bCs/>
          <w:sz w:val="22"/>
          <w:lang w:val="es-ES_tradnl"/>
        </w:rPr>
        <w:t xml:space="preserve">en efecto, debe subcontratar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 </w:t>
      </w:r>
    </w:p>
    <w:p w14:paraId="17D9193F" w14:textId="44AE0218" w:rsidR="00171EE0" w:rsidRDefault="00031AD9" w:rsidP="0060580F">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Esta, además, es la interpretación que se desprende de la justificación del proyecto normativo que se convirtió en la Ley 2195 de 2022, que, respecto de los contratos ejecutados por entidades de derecho privado, se refirió a la «[..] obligatoriedad de aplicar los documentos tipo, aun si son ejecutados con entidades de régimen especial», como uno de los propósitos de la Ley.  Conforme se indica en la justificación jurídica del proyecto ley, este:</w:t>
      </w:r>
    </w:p>
    <w:p w14:paraId="37B61ABE" w14:textId="6A213AC9" w:rsidR="00031AD9" w:rsidRPr="00E858D2" w:rsidRDefault="00031AD9" w:rsidP="0060580F">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 </w:t>
      </w:r>
    </w:p>
    <w:p w14:paraId="30AE8247" w14:textId="51F7AC7F" w:rsidR="00031AD9" w:rsidRDefault="00031AD9" w:rsidP="00AA42E3">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w:t>
      </w:r>
      <w:r w:rsidRPr="00E858D2">
        <w:rPr>
          <w:rFonts w:ascii="Arial" w:eastAsia="Calibri" w:hAnsi="Arial" w:cs="Arial"/>
          <w:bCs/>
          <w:sz w:val="21"/>
          <w:szCs w:val="21"/>
          <w:lang w:val="es-ES_tradnl"/>
        </w:rPr>
        <w:lastRenderedPageBreak/>
        <w:t>privado. Así mismo, se determina que los procedimientos de selección y los contratos realizados en dichos negocios jurídicos deben regirse por las normas de contratación pública»</w:t>
      </w:r>
      <w:r w:rsidRPr="00E858D2">
        <w:rPr>
          <w:rStyle w:val="Refdenotaalpie"/>
          <w:rFonts w:ascii="Arial" w:eastAsia="Calibri" w:hAnsi="Arial" w:cs="Arial"/>
          <w:sz w:val="21"/>
          <w:szCs w:val="21"/>
        </w:rPr>
        <w:footnoteReference w:id="15"/>
      </w:r>
      <w:r w:rsidRPr="00E858D2">
        <w:rPr>
          <w:rFonts w:ascii="Arial" w:eastAsia="Calibri" w:hAnsi="Arial" w:cs="Arial"/>
          <w:bCs/>
          <w:sz w:val="21"/>
          <w:szCs w:val="21"/>
          <w:lang w:val="es-ES_tradnl"/>
        </w:rPr>
        <w:t xml:space="preserve">. </w:t>
      </w:r>
    </w:p>
    <w:p w14:paraId="25A16519" w14:textId="04105497" w:rsidR="00AA42E3" w:rsidRPr="00AA42E3" w:rsidRDefault="002414D3" w:rsidP="002414D3">
      <w:pPr>
        <w:tabs>
          <w:tab w:val="left" w:pos="0"/>
          <w:tab w:val="left" w:pos="3240"/>
        </w:tabs>
        <w:spacing w:line="276" w:lineRule="auto"/>
        <w:ind w:left="709" w:right="709"/>
        <w:jc w:val="both"/>
        <w:rPr>
          <w:rFonts w:ascii="Arial" w:eastAsia="Calibri" w:hAnsi="Arial" w:cs="Arial"/>
          <w:bCs/>
          <w:sz w:val="21"/>
          <w:szCs w:val="21"/>
          <w:lang w:val="es-ES_tradnl"/>
        </w:rPr>
      </w:pPr>
      <w:r>
        <w:rPr>
          <w:rFonts w:ascii="Arial" w:eastAsia="Calibri" w:hAnsi="Arial" w:cs="Arial"/>
          <w:bCs/>
          <w:sz w:val="21"/>
          <w:szCs w:val="21"/>
          <w:lang w:val="es-ES_tradnl"/>
        </w:rPr>
        <w:tab/>
      </w:r>
    </w:p>
    <w:p w14:paraId="1F93FFB6" w14:textId="2800C39D" w:rsidR="00995503" w:rsidRDefault="00031AD9" w:rsidP="00667781">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De lo anterior se desprende que el propósito del legislador</w:t>
      </w:r>
      <w:r w:rsidR="003D72CF">
        <w:rPr>
          <w:rFonts w:ascii="Arial" w:eastAsia="Calibri" w:hAnsi="Arial" w:cs="Arial"/>
          <w:bCs/>
          <w:sz w:val="22"/>
          <w:lang w:val="es-ES_tradnl"/>
        </w:rPr>
        <w:t>,</w:t>
      </w:r>
      <w:r w:rsidRPr="00E858D2">
        <w:rPr>
          <w:rFonts w:ascii="Arial" w:eastAsia="Calibri" w:hAnsi="Arial" w:cs="Arial"/>
          <w:bCs/>
          <w:sz w:val="22"/>
          <w:lang w:val="es-ES_tradnl"/>
        </w:rPr>
        <w:t xml:space="preserve"> con la expedición de la norma objeto de consulta, tal como se ha explicado, es que las entidades estatales que tienen como régimen </w:t>
      </w:r>
      <w:r w:rsidR="00113FF2">
        <w:rPr>
          <w:rFonts w:ascii="Arial" w:eastAsia="Calibri" w:hAnsi="Arial" w:cs="Arial"/>
          <w:bCs/>
          <w:sz w:val="22"/>
          <w:lang w:val="es-ES_tradnl"/>
        </w:rPr>
        <w:t>contractual</w:t>
      </w:r>
      <w:r w:rsidR="00113FF2"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subcontratación derivada de obras, bienes, obras o servicios, siempre que exista documento tipo en el sector en el que se adelanta la contratación.  </w:t>
      </w:r>
    </w:p>
    <w:p w14:paraId="593E1767" w14:textId="77777777" w:rsidR="002402A8" w:rsidRPr="00E858D2" w:rsidRDefault="002402A8" w:rsidP="002402A8">
      <w:pPr>
        <w:tabs>
          <w:tab w:val="left" w:pos="0"/>
        </w:tabs>
        <w:spacing w:line="276" w:lineRule="auto"/>
        <w:jc w:val="both"/>
        <w:rPr>
          <w:rFonts w:ascii="Arial" w:eastAsia="Calibri" w:hAnsi="Arial" w:cs="Arial"/>
          <w:bCs/>
          <w:sz w:val="22"/>
          <w:lang w:val="es-ES_tradnl"/>
        </w:rPr>
      </w:pPr>
    </w:p>
    <w:p w14:paraId="4060E1EC" w14:textId="12E1A651" w:rsidR="00031AD9" w:rsidRPr="00E858D2" w:rsidRDefault="00031AD9" w:rsidP="0060580F">
      <w:pPr>
        <w:tabs>
          <w:tab w:val="left" w:pos="0"/>
        </w:tabs>
        <w:spacing w:line="276" w:lineRule="auto"/>
        <w:jc w:val="both"/>
        <w:rPr>
          <w:rFonts w:ascii="Arial" w:eastAsia="Calibri" w:hAnsi="Arial" w:cs="Arial"/>
          <w:bCs/>
          <w:sz w:val="22"/>
          <w:lang w:val="es-ES_tradnl"/>
        </w:rPr>
      </w:pPr>
      <w:r w:rsidRPr="00897B2E">
        <w:rPr>
          <w:rFonts w:ascii="Arial" w:eastAsia="Calibri" w:hAnsi="Arial" w:cs="Arial"/>
          <w:b/>
          <w:sz w:val="22"/>
          <w:lang w:val="es-ES_tradnl"/>
        </w:rPr>
        <w:t>2.</w:t>
      </w:r>
      <w:r w:rsidR="00B71ECC">
        <w:rPr>
          <w:rFonts w:ascii="Arial" w:eastAsia="Calibri" w:hAnsi="Arial" w:cs="Arial"/>
          <w:b/>
          <w:sz w:val="22"/>
          <w:lang w:val="es-ES_tradnl"/>
        </w:rPr>
        <w:t>3</w:t>
      </w:r>
      <w:r w:rsidRPr="00897B2E">
        <w:rPr>
          <w:rFonts w:ascii="Arial" w:eastAsia="Calibri" w:hAnsi="Arial" w:cs="Arial"/>
          <w:b/>
          <w:sz w:val="22"/>
          <w:lang w:val="es-ES_tradnl"/>
        </w:rPr>
        <w:t>.2.</w:t>
      </w:r>
      <w:r w:rsidRPr="00E858D2">
        <w:rPr>
          <w:rFonts w:ascii="Arial" w:eastAsia="Calibri" w:hAnsi="Arial" w:cs="Arial"/>
          <w:bCs/>
          <w:sz w:val="22"/>
          <w:lang w:val="es-ES_tradnl"/>
        </w:rPr>
        <w:t xml:space="preserve"> </w:t>
      </w:r>
      <w:r w:rsidRPr="00E858D2">
        <w:rPr>
          <w:rFonts w:ascii="Arial" w:eastAsia="Calibri" w:hAnsi="Arial" w:cs="Arial"/>
          <w:b/>
          <w:sz w:val="22"/>
          <w:lang w:val="es-ES_tradnl"/>
        </w:rPr>
        <w:t>Aplicación prevalente del Estatuto General de Contratación de la Administración Pública por parte entidades exceptuadas. Aparente tensión con el literal c) del artículo 2, numeral 4, de la Ley 1150 de 2007.</w:t>
      </w:r>
    </w:p>
    <w:p w14:paraId="5FC7E762" w14:textId="77777777" w:rsidR="00031AD9" w:rsidRPr="00E858D2" w:rsidRDefault="00031AD9" w:rsidP="00031AD9">
      <w:pPr>
        <w:tabs>
          <w:tab w:val="left" w:pos="0"/>
        </w:tabs>
        <w:spacing w:line="276" w:lineRule="auto"/>
        <w:jc w:val="both"/>
        <w:rPr>
          <w:rFonts w:ascii="Arial" w:eastAsia="Calibri" w:hAnsi="Arial" w:cs="Arial"/>
          <w:bCs/>
          <w:sz w:val="22"/>
          <w:lang w:val="es-ES_tradnl"/>
        </w:rPr>
      </w:pPr>
    </w:p>
    <w:p w14:paraId="130493D7" w14:textId="49970A8A" w:rsidR="00031AD9" w:rsidRPr="00E858D2" w:rsidRDefault="00031AD9" w:rsidP="007977F1">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En este punto es necesario analizar los efectos del artículo 56 de la Ley 2195 de 2022, respecto de lo dispuesto en el artículo 2, numeral 4, de la Ley 1150 de 2007, particularmente, de lo establecido en el tercer inciso del literal c)</w:t>
      </w:r>
      <w:r w:rsidRPr="00E858D2">
        <w:rPr>
          <w:rStyle w:val="Refdenotaalpie"/>
          <w:rFonts w:ascii="Arial" w:eastAsia="Calibri" w:hAnsi="Arial" w:cs="Arial"/>
        </w:rPr>
        <w:footnoteReference w:id="16"/>
      </w:r>
      <w:r w:rsidRPr="00E858D2">
        <w:rPr>
          <w:rFonts w:ascii="Arial" w:eastAsia="Calibri" w:hAnsi="Arial" w:cs="Arial"/>
          <w:bCs/>
          <w:sz w:val="22"/>
          <w:lang w:val="es-ES_tradnl"/>
        </w:rPr>
        <w:t xml:space="preserve">. Lo anterior por cuanto </w:t>
      </w:r>
      <w:r w:rsidRPr="00E858D2">
        <w:rPr>
          <w:rFonts w:ascii="Arial" w:eastAsia="Calibri" w:hAnsi="Arial" w:cs="Arial"/>
          <w:bCs/>
          <w:sz w:val="22"/>
          <w:lang w:val="es-ES_tradnl"/>
        </w:rPr>
        <w:lastRenderedPageBreak/>
        <w:t>esta norma, al establecer como causal de contratación directa la celebración de convenios o contratos interadministrativos</w:t>
      </w:r>
      <w:r w:rsidR="00960DBD">
        <w:rPr>
          <w:rFonts w:ascii="Arial" w:eastAsia="Calibri" w:hAnsi="Arial" w:cs="Arial"/>
          <w:bCs/>
          <w:sz w:val="22"/>
          <w:lang w:val="es-ES_tradnl"/>
        </w:rPr>
        <w:t>,</w:t>
      </w:r>
      <w:r w:rsidRPr="00E858D2">
        <w:rPr>
          <w:rFonts w:ascii="Arial" w:eastAsia="Calibri" w:hAnsi="Arial" w:cs="Arial"/>
          <w:bCs/>
          <w:sz w:val="22"/>
          <w:lang w:val="es-ES_tradnl"/>
        </w:rPr>
        <w:t xml:space="preserve">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este último evento el tercer inciso del literal c) del artículo 2-4 de la Ley 1150 de 2007, daba pie a la aplicación de normas de derecho privado, lo que evidencia una aparente tensión entre este y el artículo 56 de la Ley 2195 de 2022, en lo que se refiere al régimen aplicable en estas situaciones, comoquiera que en estos eventos, al tenor de lo dispuesto en esta última norma, deben aplicarse el EGCAP y los documentos tipo. </w:t>
      </w:r>
    </w:p>
    <w:p w14:paraId="31A84E89" w14:textId="77777777" w:rsidR="00031AD9" w:rsidRPr="00E858D2" w:rsidRDefault="00031AD9"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Esto 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 debe ser resuelta en favor del artículo 56 de la Ley 2195 de 2022, cuya aplicación debe ser privilegiada, al ser esta la norma expedida más recientemente. </w:t>
      </w:r>
    </w:p>
    <w:p w14:paraId="20D9B6C9" w14:textId="77777777" w:rsidR="00031AD9" w:rsidRPr="00E858D2" w:rsidRDefault="00031AD9"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 efecto, tratándose de disposiciones de igual jerarquía normativa</w:t>
      </w:r>
      <w:r w:rsidRPr="00E858D2">
        <w:rPr>
          <w:rStyle w:val="Refdenotaalpie"/>
          <w:rFonts w:ascii="Arial" w:eastAsia="Calibri" w:hAnsi="Arial" w:cs="Arial"/>
        </w:rPr>
        <w:footnoteReference w:id="17"/>
      </w:r>
      <w:r w:rsidRPr="00E858D2">
        <w:rPr>
          <w:rFonts w:ascii="Arial" w:eastAsia="Calibri" w:hAnsi="Arial" w:cs="Arial"/>
          <w:bCs/>
          <w:sz w:val="22"/>
          <w:lang w:val="es-ES_tradnl"/>
        </w:rPr>
        <w:t xml:space="preserve">–ambas son leyes ordinarias–, que coinciden en su ámbito de aplicación, debe colegirse que, en lo que </w:t>
      </w:r>
      <w:r w:rsidRPr="00E858D2">
        <w:rPr>
          <w:rFonts w:ascii="Arial" w:eastAsia="Calibri" w:hAnsi="Arial" w:cs="Arial"/>
          <w:bCs/>
          <w:sz w:val="22"/>
          <w:lang w:val="es-ES_tradnl"/>
        </w:rPr>
        <w:lastRenderedPageBreak/>
        <w:t xml:space="preserve">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5B460EC4" w14:textId="77777777" w:rsidR="00031AD9" w:rsidRPr="00E858D2" w:rsidRDefault="00031AD9"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29B15590" w14:textId="30087DB5" w:rsidR="00031AD9" w:rsidRPr="00E858D2" w:rsidRDefault="00031AD9"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relacionados con un contrato o convenio suscrito con una entidad sometida al EGCAP, siempre que exista documento tipo </w:t>
      </w:r>
      <w:r w:rsidR="00113FF2">
        <w:rPr>
          <w:rFonts w:ascii="Arial" w:eastAsia="Calibri" w:hAnsi="Arial" w:cs="Arial"/>
          <w:bCs/>
          <w:sz w:val="22"/>
          <w:lang w:val="es-ES_tradnl"/>
        </w:rPr>
        <w:t>aplicable al objeto contractual</w:t>
      </w:r>
      <w:r w:rsidRPr="00E858D2">
        <w:rPr>
          <w:rFonts w:ascii="Arial" w:eastAsia="Calibri" w:hAnsi="Arial" w:cs="Arial"/>
          <w:bCs/>
          <w:sz w:val="22"/>
          <w:lang w:val="es-ES_tradnl"/>
        </w:rPr>
        <w:t xml:space="preserve"> que se planea contratar. Esto significa que los contratos no relacionados con los compromisos adquiridos con la entidad sometida al EGCAP no tendrían que aplicar el régimen contractual público </w:t>
      </w:r>
      <w:r w:rsidRPr="00E858D2">
        <w:rPr>
          <w:rFonts w:ascii="Arial" w:eastAsia="Calibri" w:hAnsi="Arial" w:cs="Arial"/>
          <w:bCs/>
          <w:sz w:val="22"/>
          <w:lang w:val="es-ES_tradnl"/>
        </w:rPr>
        <w:lastRenderedPageBreak/>
        <w:t xml:space="preserve">ni los documentos tipo, salvo que quieran hacerlo como una buena práctica de contratación. </w:t>
      </w:r>
    </w:p>
    <w:p w14:paraId="07502C9B" w14:textId="427C2E2B" w:rsidR="001A7313" w:rsidRDefault="00031AD9" w:rsidP="007977F1">
      <w:pPr>
        <w:tabs>
          <w:tab w:val="left" w:pos="0"/>
        </w:tabs>
        <w:spacing w:before="120" w:line="276" w:lineRule="auto"/>
        <w:jc w:val="both"/>
        <w:rPr>
          <w:rFonts w:ascii="Arial" w:eastAsia="Calibri" w:hAnsi="Arial" w:cs="Arial"/>
          <w:b/>
          <w:sz w:val="22"/>
          <w:lang w:val="es-ES_tradnl"/>
        </w:rPr>
      </w:pPr>
      <w:r w:rsidRPr="00E858D2">
        <w:rPr>
          <w:rFonts w:ascii="Arial" w:eastAsia="Calibri" w:hAnsi="Arial" w:cs="Arial"/>
          <w:bCs/>
          <w:sz w:val="22"/>
          <w:lang w:val="es-ES_tradnl"/>
        </w:rPr>
        <w:tab/>
        <w:t>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cobijado y sometido a algún documento tipo. Esto significa que la aplicación del EGCAP solo será forzosa cuando existe un documento tipo que contempla bienes, obras y servicios dentro de l</w:t>
      </w:r>
      <w:r w:rsidR="00A02C37">
        <w:rPr>
          <w:rFonts w:ascii="Arial" w:eastAsia="Calibri" w:hAnsi="Arial" w:cs="Arial"/>
          <w:bCs/>
          <w:sz w:val="22"/>
          <w:lang w:val="es-ES_tradnl"/>
        </w:rPr>
        <w:t>o</w:t>
      </w:r>
      <w:r w:rsidRPr="00E858D2">
        <w:rPr>
          <w:rFonts w:ascii="Arial" w:eastAsia="Calibri" w:hAnsi="Arial" w:cs="Arial"/>
          <w:bCs/>
          <w:sz w:val="22"/>
          <w:lang w:val="es-ES_tradnl"/>
        </w:rPr>
        <w:t>s que se subsume la actividad a contratar por parte de la entidad de régimen especial, patrimonio autónomo o particular. Por ejemplo, si en cumplimiento de un convenio con una entidad sometida al EGCAP, un</w:t>
      </w:r>
      <w:r w:rsidR="00113FF2">
        <w:rPr>
          <w:rFonts w:ascii="Arial" w:eastAsia="Calibri" w:hAnsi="Arial" w:cs="Arial"/>
          <w:bCs/>
          <w:sz w:val="22"/>
          <w:lang w:val="es-ES_tradnl"/>
        </w:rPr>
        <w:t>a</w:t>
      </w:r>
      <w:r w:rsidRPr="00E858D2">
        <w:rPr>
          <w:rFonts w:ascii="Arial" w:eastAsia="Calibri" w:hAnsi="Arial" w:cs="Arial"/>
          <w:bCs/>
          <w:sz w:val="22"/>
          <w:lang w:val="es-ES_tradnl"/>
        </w:rPr>
        <w:t xml:space="preserve"> </w:t>
      </w:r>
      <w:r w:rsidR="00113FF2">
        <w:rPr>
          <w:rFonts w:ascii="Arial" w:eastAsia="Calibri" w:hAnsi="Arial" w:cs="Arial"/>
          <w:bCs/>
          <w:sz w:val="22"/>
          <w:lang w:val="es-ES_tradnl"/>
        </w:rPr>
        <w:t>entidad exceptuada</w:t>
      </w:r>
      <w:r w:rsidR="00113FF2"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debe contratar el desarrollo de un software o la compra de unos buses, no estará obligado a seguirse por el EGCAP, al no ser estos objetos cobijados por los documentos tipo vigentes, mientras que si lo que requiere es el mantenimiento o la rehabilitación de una vía secundaría, por el contrario sí estará sometido al EGCAP, al estar tales actividades incluidas dentro de los documentos tipo de infraestructura de transporte. Esto por supuesto puede cambiar si la Agencia, en el futuro, adopta más documentos tipo que incluyan los objetos mencionados. </w:t>
      </w:r>
    </w:p>
    <w:p w14:paraId="2030FCCF" w14:textId="017C8042" w:rsidR="00897B2E" w:rsidRDefault="00E0466B" w:rsidP="00EB26F2">
      <w:pPr>
        <w:spacing w:before="120" w:line="276" w:lineRule="auto"/>
        <w:ind w:firstLine="709"/>
        <w:jc w:val="both"/>
        <w:rPr>
          <w:rFonts w:ascii="Arial" w:hAnsi="Arial" w:cs="Arial"/>
          <w:color w:val="000000" w:themeColor="text1"/>
          <w:sz w:val="22"/>
          <w:szCs w:val="22"/>
          <w:shd w:val="clear" w:color="auto" w:fill="FFFFFF"/>
          <w:lang w:val="es-ES_tradnl"/>
        </w:rPr>
      </w:pPr>
      <w:r>
        <w:rPr>
          <w:rFonts w:ascii="Arial" w:eastAsia="Calibri" w:hAnsi="Arial" w:cs="Arial"/>
          <w:bCs/>
          <w:color w:val="000000" w:themeColor="text1"/>
          <w:sz w:val="22"/>
          <w:lang w:val="es-ES_tradnl"/>
        </w:rPr>
        <w:t xml:space="preserve">Bajo estas consideraciones, para efectos de la consulta es preciso señalar que </w:t>
      </w:r>
      <w:r w:rsidR="00FD4E0F" w:rsidRPr="00864E72">
        <w:rPr>
          <w:rFonts w:ascii="Arial" w:eastAsia="Calibri" w:hAnsi="Arial" w:cs="Arial"/>
          <w:bCs/>
          <w:color w:val="000000" w:themeColor="text1"/>
          <w:sz w:val="22"/>
          <w:lang w:val="es-ES_tradnl"/>
        </w:rPr>
        <w:t>las empresas prestadoras de servicios públicos domiciliarios</w:t>
      </w:r>
      <w:r w:rsidR="006F1C44">
        <w:rPr>
          <w:rFonts w:ascii="Arial" w:eastAsia="Calibri" w:hAnsi="Arial" w:cs="Arial"/>
          <w:bCs/>
          <w:color w:val="000000" w:themeColor="text1"/>
          <w:sz w:val="22"/>
          <w:lang w:val="es-ES_tradnl"/>
        </w:rPr>
        <w:t>,</w:t>
      </w:r>
      <w:r w:rsidR="00FD4E0F">
        <w:rPr>
          <w:rFonts w:ascii="Arial" w:eastAsia="Calibri" w:hAnsi="Arial" w:cs="Arial"/>
          <w:bCs/>
          <w:color w:val="000000" w:themeColor="text1"/>
          <w:sz w:val="22"/>
          <w:lang w:val="es-ES_tradnl"/>
        </w:rPr>
        <w:t xml:space="preserve"> </w:t>
      </w:r>
      <w:r w:rsidR="00576043" w:rsidRPr="00FC3C59">
        <w:rPr>
          <w:rFonts w:ascii="Arial" w:eastAsia="Calibri" w:hAnsi="Arial" w:cs="Arial"/>
          <w:color w:val="000000"/>
          <w:sz w:val="22"/>
          <w:lang w:val="es-ES_tradnl"/>
        </w:rPr>
        <w:t>al contar con un régimen contractual distinto al establecido en el Estatuto General de Contratación de la Administración Pública, esto es, al regirse por el derecho privado</w:t>
      </w:r>
      <w:r w:rsidR="008A20C5">
        <w:rPr>
          <w:rFonts w:ascii="Arial" w:eastAsia="Calibri" w:hAnsi="Arial" w:cs="Arial"/>
          <w:color w:val="000000"/>
          <w:sz w:val="22"/>
          <w:lang w:val="es-ES_tradnl"/>
        </w:rPr>
        <w:t xml:space="preserve"> </w:t>
      </w:r>
      <w:r w:rsidR="006F1C44">
        <w:rPr>
          <w:rFonts w:ascii="Arial" w:eastAsia="Calibri" w:hAnsi="Arial" w:cs="Arial"/>
          <w:color w:val="000000"/>
          <w:sz w:val="22"/>
          <w:lang w:val="es-ES_tradnl"/>
        </w:rPr>
        <w:t>–</w:t>
      </w:r>
      <w:r w:rsidR="008A20C5">
        <w:rPr>
          <w:rFonts w:ascii="Arial" w:eastAsia="Calibri" w:hAnsi="Arial" w:cs="Arial"/>
          <w:color w:val="000000"/>
          <w:sz w:val="22"/>
          <w:lang w:val="es-ES_tradnl"/>
        </w:rPr>
        <w:t>conforme se expuso en el numeral 2.2</w:t>
      </w:r>
      <w:r w:rsidR="006F1C44">
        <w:rPr>
          <w:rFonts w:ascii="Arial" w:eastAsia="Calibri" w:hAnsi="Arial" w:cs="Arial"/>
          <w:color w:val="000000"/>
          <w:sz w:val="22"/>
          <w:lang w:val="es-ES_tradnl"/>
        </w:rPr>
        <w:t>–</w:t>
      </w:r>
      <w:r w:rsidR="00576043" w:rsidRPr="00FC3C59">
        <w:rPr>
          <w:rFonts w:ascii="Arial" w:eastAsia="Calibri" w:hAnsi="Arial" w:cs="Arial"/>
          <w:color w:val="000000"/>
          <w:sz w:val="22"/>
          <w:lang w:val="es-ES_tradnl"/>
        </w:rPr>
        <w:t>, serán destinatarias de los documentos tipo</w:t>
      </w:r>
      <w:r w:rsidR="006F1C44">
        <w:rPr>
          <w:rFonts w:ascii="Arial" w:eastAsia="Calibri" w:hAnsi="Arial" w:cs="Arial"/>
          <w:color w:val="000000"/>
          <w:sz w:val="22"/>
          <w:lang w:val="es-ES_tradnl"/>
        </w:rPr>
        <w:t>,</w:t>
      </w:r>
      <w:r w:rsidR="00576043" w:rsidRPr="00FC3C59">
        <w:rPr>
          <w:rFonts w:ascii="Arial" w:eastAsia="Calibri" w:hAnsi="Arial" w:cs="Arial"/>
          <w:color w:val="000000"/>
          <w:sz w:val="22"/>
          <w:lang w:val="es-ES_tradnl"/>
        </w:rPr>
        <w:t xml:space="preserve"> con fundamento en el artículo 56 de la Ley 2195 de 2022, siempre que se cumplan con los presupuestos para su aplicación</w:t>
      </w:r>
      <w:r w:rsidR="008A20C5">
        <w:rPr>
          <w:rFonts w:ascii="Arial" w:eastAsia="Calibri" w:hAnsi="Arial" w:cs="Arial"/>
          <w:color w:val="000000"/>
          <w:sz w:val="22"/>
          <w:lang w:val="es-ES_tradnl"/>
        </w:rPr>
        <w:t>.</w:t>
      </w:r>
      <w:r w:rsidR="00AE2631">
        <w:rPr>
          <w:rFonts w:ascii="Arial" w:eastAsia="Calibri" w:hAnsi="Arial" w:cs="Arial"/>
          <w:color w:val="000000"/>
          <w:sz w:val="22"/>
          <w:lang w:val="es-ES_tradnl"/>
        </w:rPr>
        <w:t xml:space="preserve"> De esta manera, </w:t>
      </w:r>
      <w:r w:rsidR="00AE2631">
        <w:rPr>
          <w:rFonts w:ascii="Arial" w:hAnsi="Arial" w:cs="Arial"/>
          <w:color w:val="000000" w:themeColor="text1"/>
          <w:sz w:val="22"/>
          <w:szCs w:val="22"/>
          <w:shd w:val="clear" w:color="auto" w:fill="FFFFFF"/>
          <w:lang w:val="es-ES_tradnl"/>
        </w:rPr>
        <w:t>l</w:t>
      </w:r>
      <w:r w:rsidR="00AE2631" w:rsidRPr="00864E72">
        <w:rPr>
          <w:rFonts w:ascii="Arial" w:hAnsi="Arial" w:cs="Arial"/>
          <w:color w:val="000000" w:themeColor="text1"/>
          <w:sz w:val="22"/>
          <w:szCs w:val="22"/>
          <w:shd w:val="clear" w:color="auto" w:fill="FFFFFF"/>
          <w:lang w:val="es-ES_tradnl"/>
        </w:rPr>
        <w:t xml:space="preserve">a obligación de aplicar </w:t>
      </w:r>
      <w:r w:rsidR="006F1C44">
        <w:rPr>
          <w:rFonts w:ascii="Arial" w:hAnsi="Arial" w:cs="Arial"/>
          <w:color w:val="000000" w:themeColor="text1"/>
          <w:sz w:val="22"/>
          <w:szCs w:val="22"/>
          <w:shd w:val="clear" w:color="auto" w:fill="FFFFFF"/>
          <w:lang w:val="es-ES_tradnl"/>
        </w:rPr>
        <w:t xml:space="preserve">los </w:t>
      </w:r>
      <w:r w:rsidR="00AE2631" w:rsidRPr="00864E72">
        <w:rPr>
          <w:rFonts w:ascii="Arial" w:hAnsi="Arial" w:cs="Arial"/>
          <w:color w:val="000000" w:themeColor="text1"/>
          <w:sz w:val="22"/>
          <w:szCs w:val="22"/>
          <w:shd w:val="clear" w:color="auto" w:fill="FFFFFF"/>
          <w:lang w:val="es-ES_tradnl"/>
        </w:rPr>
        <w:t xml:space="preserve">documentos tipo, y </w:t>
      </w:r>
      <w:r w:rsidR="006F1C44">
        <w:rPr>
          <w:rFonts w:ascii="Arial" w:hAnsi="Arial" w:cs="Arial"/>
          <w:color w:val="000000" w:themeColor="text1"/>
          <w:sz w:val="22"/>
          <w:szCs w:val="22"/>
          <w:shd w:val="clear" w:color="auto" w:fill="FFFFFF"/>
          <w:lang w:val="es-ES_tradnl"/>
        </w:rPr>
        <w:t>además</w:t>
      </w:r>
      <w:r w:rsidR="00AE2631" w:rsidRPr="00864E72">
        <w:rPr>
          <w:rFonts w:ascii="Arial" w:hAnsi="Arial" w:cs="Arial"/>
          <w:color w:val="000000" w:themeColor="text1"/>
          <w:sz w:val="22"/>
          <w:szCs w:val="22"/>
          <w:shd w:val="clear" w:color="auto" w:fill="FFFFFF"/>
          <w:lang w:val="es-ES_tradnl"/>
        </w:rPr>
        <w:t>, las disposiciones del Estatuto General de Contratación de la Administración Pública</w:t>
      </w:r>
      <w:r w:rsidR="006F1C44">
        <w:rPr>
          <w:rFonts w:ascii="Arial" w:hAnsi="Arial" w:cs="Arial"/>
          <w:color w:val="000000" w:themeColor="text1"/>
          <w:sz w:val="22"/>
          <w:szCs w:val="22"/>
          <w:shd w:val="clear" w:color="auto" w:fill="FFFFFF"/>
          <w:lang w:val="es-ES_tradnl"/>
        </w:rPr>
        <w:t>,</w:t>
      </w:r>
      <w:r w:rsidR="00AE2631" w:rsidRPr="00864E72">
        <w:rPr>
          <w:rFonts w:ascii="Arial" w:hAnsi="Arial" w:cs="Arial"/>
          <w:color w:val="000000" w:themeColor="text1"/>
          <w:sz w:val="22"/>
          <w:szCs w:val="22"/>
          <w:shd w:val="clear" w:color="auto" w:fill="FFFFFF"/>
          <w:lang w:val="es-ES_tradnl"/>
        </w:rPr>
        <w:t xml:space="preserve"> se extiende no solamente a la celebración del contrato o convenio propiamente dicho, sino también a los compromisos contractuales derivados, según lo expresamente consagrado en el segundo inciso del artículo 56 de la ley citada. Esto implica que, si una </w:t>
      </w:r>
      <w:r w:rsidR="00AE2BD9" w:rsidRPr="00864E72">
        <w:rPr>
          <w:rFonts w:ascii="Arial" w:eastAsia="Calibri" w:hAnsi="Arial" w:cs="Arial"/>
          <w:bCs/>
          <w:color w:val="000000" w:themeColor="text1"/>
          <w:sz w:val="22"/>
          <w:lang w:val="es-ES_tradnl"/>
        </w:rPr>
        <w:t>empresa prestadora de servicios públicos domiciliarios</w:t>
      </w:r>
      <w:r w:rsidR="004E615C">
        <w:rPr>
          <w:rFonts w:ascii="Arial" w:eastAsia="Calibri" w:hAnsi="Arial" w:cs="Arial"/>
          <w:bCs/>
          <w:color w:val="000000" w:themeColor="text1"/>
          <w:sz w:val="22"/>
          <w:lang w:val="es-ES_tradnl"/>
        </w:rPr>
        <w:t>,</w:t>
      </w:r>
      <w:r w:rsidR="00F96FD6">
        <w:rPr>
          <w:rFonts w:ascii="Arial" w:eastAsia="Calibri" w:hAnsi="Arial" w:cs="Arial"/>
          <w:bCs/>
          <w:color w:val="000000" w:themeColor="text1"/>
          <w:sz w:val="22"/>
          <w:lang w:val="es-ES_tradnl"/>
        </w:rPr>
        <w:t xml:space="preserve"> </w:t>
      </w:r>
      <w:r w:rsidR="00AE2631" w:rsidRPr="00864E72">
        <w:rPr>
          <w:rFonts w:ascii="Arial" w:hAnsi="Arial" w:cs="Arial"/>
          <w:color w:val="000000" w:themeColor="text1"/>
          <w:sz w:val="22"/>
          <w:szCs w:val="22"/>
          <w:shd w:val="clear" w:color="auto" w:fill="FFFFFF"/>
          <w:lang w:val="es-ES_tradnl"/>
        </w:rPr>
        <w:t xml:space="preserve">en cumplimiento de un compromiso asumido en el contrato celebrado con una entidad sometida al Estatuto General, debe contratar una obra o servicio cobijado por algún documento tipo, </w:t>
      </w:r>
      <w:r w:rsidR="00AE2631" w:rsidRPr="00F10FC4">
        <w:rPr>
          <w:rFonts w:ascii="Arial" w:hAnsi="Arial" w:cs="Arial"/>
          <w:color w:val="000000" w:themeColor="text1"/>
          <w:sz w:val="22"/>
          <w:szCs w:val="22"/>
          <w:shd w:val="clear" w:color="auto" w:fill="FFFFFF"/>
          <w:lang w:val="es-ES_tradnl"/>
        </w:rPr>
        <w:t>estará obligada a</w:t>
      </w:r>
      <w:r w:rsidR="00AE2631" w:rsidRPr="00864E72">
        <w:rPr>
          <w:rFonts w:ascii="Arial" w:hAnsi="Arial" w:cs="Arial"/>
          <w:color w:val="000000" w:themeColor="text1"/>
          <w:sz w:val="22"/>
          <w:szCs w:val="22"/>
          <w:shd w:val="clear" w:color="auto" w:fill="FFFFFF"/>
          <w:lang w:val="es-ES_tradnl"/>
        </w:rPr>
        <w:t xml:space="preserve"> hacerlo aplicando los mencionados documentos tipo, además de adelantar el proceso de contratación y celebrar el contrato conforme al Estatuto General de Contratación de la Administración Públic</w:t>
      </w:r>
      <w:r w:rsidR="00AE2631">
        <w:rPr>
          <w:rFonts w:ascii="Arial" w:hAnsi="Arial" w:cs="Arial"/>
          <w:color w:val="000000" w:themeColor="text1"/>
          <w:sz w:val="22"/>
          <w:szCs w:val="22"/>
          <w:shd w:val="clear" w:color="auto" w:fill="FFFFFF"/>
          <w:lang w:val="es-ES_tradnl"/>
        </w:rPr>
        <w:t xml:space="preserve">a. </w:t>
      </w:r>
    </w:p>
    <w:p w14:paraId="31A23672" w14:textId="1C46A237" w:rsidR="000E1AC9" w:rsidRPr="000E1AC9" w:rsidRDefault="000E1AC9" w:rsidP="000E1AC9">
      <w:pPr>
        <w:spacing w:before="120" w:line="276" w:lineRule="auto"/>
        <w:ind w:firstLine="709"/>
        <w:jc w:val="both"/>
        <w:rPr>
          <w:rFonts w:ascii="Arial" w:hAnsi="Arial" w:cs="Arial"/>
          <w:bCs/>
          <w:color w:val="000000" w:themeColor="text1"/>
          <w:sz w:val="22"/>
          <w:szCs w:val="22"/>
          <w:shd w:val="clear" w:color="auto" w:fill="FFFFFF"/>
          <w:lang w:val="es-ES_tradnl"/>
        </w:rPr>
      </w:pPr>
      <w:r>
        <w:rPr>
          <w:rFonts w:ascii="Arial" w:hAnsi="Arial" w:cs="Arial"/>
          <w:bCs/>
          <w:color w:val="000000" w:themeColor="text1"/>
          <w:sz w:val="22"/>
          <w:szCs w:val="22"/>
          <w:shd w:val="clear" w:color="auto" w:fill="FFFFFF"/>
          <w:lang w:val="es-ES_tradnl"/>
        </w:rPr>
        <w:t>Así, p</w:t>
      </w:r>
      <w:r w:rsidRPr="000E1AC9">
        <w:rPr>
          <w:rFonts w:ascii="Arial" w:hAnsi="Arial" w:cs="Arial"/>
          <w:bCs/>
          <w:color w:val="000000" w:themeColor="text1"/>
          <w:sz w:val="22"/>
          <w:szCs w:val="22"/>
          <w:shd w:val="clear" w:color="auto" w:fill="FFFFFF"/>
          <w:lang w:val="es-ES_tradnl"/>
        </w:rPr>
        <w:t xml:space="preserve">ara determinar si se encuentran o no obligados a aplicar </w:t>
      </w:r>
      <w:r w:rsidR="004E615C">
        <w:rPr>
          <w:rFonts w:ascii="Arial" w:hAnsi="Arial" w:cs="Arial"/>
          <w:bCs/>
          <w:color w:val="000000" w:themeColor="text1"/>
          <w:sz w:val="22"/>
          <w:szCs w:val="22"/>
          <w:shd w:val="clear" w:color="auto" w:fill="FFFFFF"/>
          <w:lang w:val="es-ES_tradnl"/>
        </w:rPr>
        <w:t xml:space="preserve">los </w:t>
      </w:r>
      <w:r w:rsidRPr="000E1AC9">
        <w:rPr>
          <w:rFonts w:ascii="Arial" w:hAnsi="Arial" w:cs="Arial"/>
          <w:bCs/>
          <w:color w:val="000000" w:themeColor="text1"/>
          <w:sz w:val="22"/>
          <w:szCs w:val="22"/>
          <w:shd w:val="clear" w:color="auto" w:fill="FFFFFF"/>
          <w:lang w:val="es-ES_tradnl"/>
        </w:rPr>
        <w:t xml:space="preserve">documentos tipo, deberán verificar si el objeto contractual </w:t>
      </w:r>
      <w:r w:rsidR="008B3A08">
        <w:rPr>
          <w:rFonts w:ascii="Arial" w:hAnsi="Arial" w:cs="Arial"/>
          <w:bCs/>
          <w:color w:val="000000" w:themeColor="text1"/>
          <w:sz w:val="22"/>
          <w:szCs w:val="22"/>
          <w:shd w:val="clear" w:color="auto" w:fill="FFFFFF"/>
          <w:lang w:val="es-ES_tradnl"/>
        </w:rPr>
        <w:t>a</w:t>
      </w:r>
      <w:r w:rsidRPr="000E1AC9">
        <w:rPr>
          <w:rFonts w:ascii="Arial" w:hAnsi="Arial" w:cs="Arial"/>
          <w:bCs/>
          <w:color w:val="000000" w:themeColor="text1"/>
          <w:sz w:val="22"/>
          <w:szCs w:val="22"/>
          <w:shd w:val="clear" w:color="auto" w:fill="FFFFFF"/>
          <w:lang w:val="es-ES_tradnl"/>
        </w:rPr>
        <w:t xml:space="preserve"> contratar se encuentra cobijado por algún documento tipo existente. De no ser así, no solo no resultaría obligatoria la aplicación de los documentos tipo, sino que tampoco habría lugar a la aplicación del EGCAP, en la medida en que tal medida contemplada en el inciso segundo de la norma en comento está condicionada a la aplicación de documentos tipo. </w:t>
      </w:r>
    </w:p>
    <w:p w14:paraId="370F90A0" w14:textId="43352CAD" w:rsidR="000E1AC9" w:rsidRPr="000E1AC9" w:rsidRDefault="000E1AC9" w:rsidP="000E1AC9">
      <w:pPr>
        <w:spacing w:before="120" w:line="276" w:lineRule="auto"/>
        <w:ind w:firstLine="709"/>
        <w:jc w:val="both"/>
        <w:rPr>
          <w:rFonts w:ascii="Arial" w:hAnsi="Arial" w:cs="Arial"/>
          <w:bCs/>
          <w:color w:val="000000" w:themeColor="text1"/>
          <w:sz w:val="22"/>
          <w:szCs w:val="22"/>
          <w:shd w:val="clear" w:color="auto" w:fill="FFFFFF"/>
          <w:lang w:val="es-ES_tradnl"/>
        </w:rPr>
      </w:pPr>
      <w:r w:rsidRPr="000E1AC9">
        <w:rPr>
          <w:rFonts w:ascii="Arial" w:hAnsi="Arial" w:cs="Arial"/>
          <w:bCs/>
          <w:color w:val="000000" w:themeColor="text1"/>
          <w:sz w:val="22"/>
          <w:szCs w:val="22"/>
          <w:shd w:val="clear" w:color="auto" w:fill="FFFFFF"/>
          <w:lang w:val="es-ES_tradnl"/>
        </w:rPr>
        <w:lastRenderedPageBreak/>
        <w:t xml:space="preserve">De esta manera, el deber de aplicar documentos tipo por parte de entidades estatales con régimen de contratación especial, </w:t>
      </w:r>
      <w:r w:rsidR="00873CE1">
        <w:rPr>
          <w:rFonts w:ascii="Arial" w:hAnsi="Arial" w:cs="Arial"/>
          <w:bCs/>
          <w:color w:val="000000" w:themeColor="text1"/>
          <w:sz w:val="22"/>
          <w:szCs w:val="22"/>
          <w:shd w:val="clear" w:color="auto" w:fill="FFFFFF"/>
          <w:lang w:val="es-ES_tradnl"/>
        </w:rPr>
        <w:t xml:space="preserve">así como de los </w:t>
      </w:r>
      <w:r w:rsidRPr="000E1AC9">
        <w:rPr>
          <w:rFonts w:ascii="Arial" w:hAnsi="Arial" w:cs="Arial"/>
          <w:bCs/>
          <w:color w:val="000000" w:themeColor="text1"/>
          <w:sz w:val="22"/>
          <w:szCs w:val="22"/>
          <w:shd w:val="clear" w:color="auto" w:fill="FFFFFF"/>
          <w:lang w:val="es-ES_tradnl"/>
        </w:rPr>
        <w:t xml:space="preserve">patrimonios autónomos, </w:t>
      </w:r>
      <w:r w:rsidR="00873CE1">
        <w:rPr>
          <w:rFonts w:ascii="Arial" w:hAnsi="Arial" w:cs="Arial"/>
          <w:bCs/>
          <w:color w:val="000000" w:themeColor="text1"/>
          <w:sz w:val="22"/>
          <w:szCs w:val="22"/>
          <w:shd w:val="clear" w:color="auto" w:fill="FFFFFF"/>
          <w:lang w:val="es-ES_tradnl"/>
        </w:rPr>
        <w:t xml:space="preserve">y </w:t>
      </w:r>
      <w:r w:rsidRPr="000E1AC9">
        <w:rPr>
          <w:rFonts w:ascii="Arial" w:hAnsi="Arial" w:cs="Arial"/>
          <w:bCs/>
          <w:color w:val="000000" w:themeColor="text1"/>
          <w:sz w:val="22"/>
          <w:szCs w:val="22"/>
          <w:shd w:val="clear" w:color="auto" w:fill="FFFFFF"/>
          <w:lang w:val="es-ES_tradnl"/>
        </w:rPr>
        <w:t xml:space="preserve">personas naturales o jurídicas de derecho privado, solo se extiende a los procedimientos contractuales cuyos objetos y modalidades en las que deberían ser adelantados, se encuentren dentro del ámbito de aplicación de los documentos tipo que se encuentren vigentes. En ese sentido, si el objeto a contratar no se subsume dentro de ningún documento tipo, la respectiva persona natural o jurídica, entidad exceptuada o patrimonio autónomo podrá contratar con sujeción a las normas y procedimientos que normalmente lo rigen, sin que con ello se vulnere lo dispuesto en el artículo 56 </w:t>
      </w:r>
      <w:proofErr w:type="spellStart"/>
      <w:r w:rsidRPr="000E1AC9">
        <w:rPr>
          <w:rFonts w:ascii="Arial" w:hAnsi="Arial" w:cs="Arial"/>
          <w:bCs/>
          <w:i/>
          <w:iCs/>
          <w:color w:val="000000" w:themeColor="text1"/>
          <w:sz w:val="22"/>
          <w:szCs w:val="22"/>
          <w:shd w:val="clear" w:color="auto" w:fill="FFFFFF"/>
          <w:lang w:val="es-ES_tradnl"/>
        </w:rPr>
        <w:t>ibídem</w:t>
      </w:r>
      <w:proofErr w:type="spellEnd"/>
      <w:r w:rsidRPr="000E1AC9">
        <w:rPr>
          <w:rFonts w:ascii="Arial" w:hAnsi="Arial" w:cs="Arial"/>
          <w:bCs/>
          <w:color w:val="000000" w:themeColor="text1"/>
          <w:sz w:val="22"/>
          <w:szCs w:val="22"/>
          <w:shd w:val="clear" w:color="auto" w:fill="FFFFFF"/>
          <w:lang w:val="es-ES_tradnl"/>
        </w:rPr>
        <w:t xml:space="preserve">. Esto sin perjuicio de que, en el marco de la autonomía que les corresponde, los referidos sujetos puedan incorporar o retomar componentes de los documentos tipo en sus procesos contractuales a modo de buena práctica contractual, siempre que así lo consideren pertinente. </w:t>
      </w:r>
    </w:p>
    <w:p w14:paraId="3166E7D5" w14:textId="77777777" w:rsidR="005272AC" w:rsidRPr="00EB26F2" w:rsidRDefault="005272AC" w:rsidP="000E1AC9">
      <w:pPr>
        <w:spacing w:line="276" w:lineRule="auto"/>
        <w:jc w:val="both"/>
        <w:rPr>
          <w:rFonts w:ascii="Arial" w:hAnsi="Arial" w:cs="Arial"/>
          <w:color w:val="000000" w:themeColor="text1"/>
          <w:sz w:val="22"/>
          <w:szCs w:val="22"/>
          <w:shd w:val="clear" w:color="auto" w:fill="FFFFFF"/>
          <w:lang w:val="es-ES_tradnl"/>
        </w:rPr>
      </w:pPr>
    </w:p>
    <w:p w14:paraId="5ED0E9AE" w14:textId="6A95425A" w:rsidR="00897B2E" w:rsidRPr="00E858D2" w:rsidRDefault="00897B2E" w:rsidP="00897B2E">
      <w:pPr>
        <w:tabs>
          <w:tab w:val="left" w:pos="0"/>
        </w:tabs>
        <w:spacing w:line="276" w:lineRule="auto"/>
        <w:jc w:val="both"/>
        <w:rPr>
          <w:rFonts w:ascii="Arial" w:eastAsia="Calibri" w:hAnsi="Arial" w:cs="Arial"/>
          <w:b/>
          <w:sz w:val="22"/>
          <w:lang w:val="es-ES_tradnl"/>
        </w:rPr>
      </w:pPr>
      <w:r w:rsidRPr="00897B2E">
        <w:rPr>
          <w:rFonts w:ascii="Arial" w:eastAsia="Calibri" w:hAnsi="Arial" w:cs="Arial"/>
          <w:b/>
          <w:sz w:val="22"/>
          <w:lang w:val="es-ES_tradnl"/>
        </w:rPr>
        <w:t>2.</w:t>
      </w:r>
      <w:r w:rsidR="00B71ECC">
        <w:rPr>
          <w:rFonts w:ascii="Arial" w:eastAsia="Calibri" w:hAnsi="Arial" w:cs="Arial"/>
          <w:b/>
          <w:sz w:val="22"/>
          <w:lang w:val="es-ES_tradnl"/>
        </w:rPr>
        <w:t>3</w:t>
      </w:r>
      <w:r w:rsidRPr="00897B2E">
        <w:rPr>
          <w:rFonts w:ascii="Arial" w:eastAsia="Calibri" w:hAnsi="Arial" w:cs="Arial"/>
          <w:b/>
          <w:sz w:val="22"/>
          <w:lang w:val="es-ES_tradnl"/>
        </w:rPr>
        <w:t>.3.</w:t>
      </w:r>
      <w:r w:rsidRPr="00E858D2">
        <w:rPr>
          <w:rFonts w:ascii="Arial" w:eastAsia="Calibri" w:hAnsi="Arial" w:cs="Arial"/>
          <w:b/>
          <w:sz w:val="22"/>
          <w:lang w:val="es-ES_tradnl"/>
        </w:rPr>
        <w:t xml:space="preserve"> La noción de </w:t>
      </w:r>
      <w:r w:rsidRPr="00E858D2">
        <w:rPr>
          <w:rFonts w:ascii="Arial" w:eastAsia="Calibri" w:hAnsi="Arial" w:cs="Arial"/>
          <w:b/>
          <w:i/>
          <w:iCs/>
          <w:sz w:val="22"/>
          <w:lang w:val="es-ES_tradnl"/>
        </w:rPr>
        <w:t xml:space="preserve">giro ordinario </w:t>
      </w:r>
      <w:r w:rsidRPr="00E858D2">
        <w:rPr>
          <w:rFonts w:ascii="Arial" w:eastAsia="Calibri" w:hAnsi="Arial" w:cs="Arial"/>
          <w:b/>
          <w:sz w:val="22"/>
          <w:lang w:val="es-ES_tradnl"/>
        </w:rPr>
        <w:t>y su relevancia para la aplicación del artículo 56 de la Ley 2195 de 2022</w:t>
      </w:r>
    </w:p>
    <w:p w14:paraId="0FA19294" w14:textId="77777777" w:rsidR="00897B2E" w:rsidRPr="00E858D2" w:rsidRDefault="00897B2E" w:rsidP="00897B2E">
      <w:pPr>
        <w:tabs>
          <w:tab w:val="left" w:pos="0"/>
        </w:tabs>
        <w:spacing w:line="276" w:lineRule="auto"/>
        <w:jc w:val="both"/>
        <w:rPr>
          <w:rFonts w:ascii="Arial" w:eastAsia="Calibri" w:hAnsi="Arial" w:cs="Arial"/>
          <w:b/>
          <w:sz w:val="22"/>
          <w:lang w:val="es-ES_tradnl"/>
        </w:rPr>
      </w:pPr>
    </w:p>
    <w:p w14:paraId="4480ED7D" w14:textId="3C5F4C89" w:rsidR="00897B2E" w:rsidRPr="00E858D2" w:rsidRDefault="007E2F33" w:rsidP="007977F1">
      <w:pPr>
        <w:tabs>
          <w:tab w:val="left" w:pos="0"/>
        </w:tabs>
        <w:spacing w:line="276" w:lineRule="auto"/>
        <w:jc w:val="both"/>
        <w:rPr>
          <w:rFonts w:ascii="Arial" w:eastAsia="Calibri" w:hAnsi="Arial" w:cs="Arial"/>
          <w:bCs/>
          <w:sz w:val="22"/>
          <w:lang w:val="es-ES_tradnl"/>
        </w:rPr>
      </w:pPr>
      <w:r>
        <w:rPr>
          <w:rFonts w:ascii="Arial" w:eastAsia="Calibri" w:hAnsi="Arial" w:cs="Arial"/>
          <w:bCs/>
          <w:sz w:val="22"/>
          <w:lang w:val="es-ES_tradnl"/>
        </w:rPr>
        <w:t xml:space="preserve">Ahora bien, </w:t>
      </w:r>
      <w:r w:rsidR="00897B2E" w:rsidRPr="00E858D2">
        <w:rPr>
          <w:rFonts w:ascii="Arial" w:eastAsia="Calibri" w:hAnsi="Arial" w:cs="Arial"/>
          <w:bCs/>
          <w:sz w:val="22"/>
          <w:lang w:val="es-ES_tradnl"/>
        </w:rPr>
        <w:t xml:space="preserve">es necesario precisar el alcance de los dos primeros incisos del artículo 56 a luz de lo establecido en su parágrafo, el cual excluye de la aplicación de los primeros incisos del artículo 56, a cierto tipo de entidades, en lo relacionado con la contratación de su </w:t>
      </w:r>
      <w:r w:rsidR="00897B2E" w:rsidRPr="00E858D2">
        <w:rPr>
          <w:rFonts w:ascii="Arial" w:eastAsia="Calibri" w:hAnsi="Arial" w:cs="Arial"/>
          <w:bCs/>
          <w:i/>
          <w:iCs/>
          <w:sz w:val="22"/>
          <w:lang w:val="es-ES_tradnl"/>
        </w:rPr>
        <w:t>giro ordinario</w:t>
      </w:r>
      <w:r w:rsidR="00897B2E" w:rsidRPr="00E858D2">
        <w:rPr>
          <w:rFonts w:ascii="Arial" w:eastAsia="Calibri" w:hAnsi="Arial" w:cs="Arial"/>
          <w:bCs/>
          <w:sz w:val="22"/>
          <w:lang w:val="es-ES_tradnl"/>
        </w:rPr>
        <w:t>. Conforme se desprende del texto del referido parágrafo, se exceptúa de lo señalado en los dos primeros incisos a: (i) las instituciones de educación superior públicas, (</w:t>
      </w:r>
      <w:proofErr w:type="spellStart"/>
      <w:r w:rsidR="00897B2E" w:rsidRPr="00E858D2">
        <w:rPr>
          <w:rFonts w:ascii="Arial" w:eastAsia="Calibri" w:hAnsi="Arial" w:cs="Arial"/>
          <w:bCs/>
          <w:sz w:val="22"/>
          <w:lang w:val="es-ES_tradnl"/>
        </w:rPr>
        <w:t>ii</w:t>
      </w:r>
      <w:proofErr w:type="spellEnd"/>
      <w:r w:rsidR="00897B2E" w:rsidRPr="00E858D2">
        <w:rPr>
          <w:rFonts w:ascii="Arial" w:eastAsia="Calibri" w:hAnsi="Arial" w:cs="Arial"/>
          <w:bCs/>
          <w:sz w:val="22"/>
          <w:lang w:val="es-ES_tradnl"/>
        </w:rPr>
        <w:t>) las empresas sociales del Estado, (</w:t>
      </w:r>
      <w:proofErr w:type="spellStart"/>
      <w:r w:rsidR="00897B2E" w:rsidRPr="00E858D2">
        <w:rPr>
          <w:rFonts w:ascii="Arial" w:eastAsia="Calibri" w:hAnsi="Arial" w:cs="Arial"/>
          <w:bCs/>
          <w:sz w:val="22"/>
          <w:lang w:val="es-ES_tradnl"/>
        </w:rPr>
        <w:t>iii</w:t>
      </w:r>
      <w:proofErr w:type="spellEnd"/>
      <w:r w:rsidR="00897B2E" w:rsidRPr="00E858D2">
        <w:rPr>
          <w:rFonts w:ascii="Arial" w:eastAsia="Calibri" w:hAnsi="Arial" w:cs="Arial"/>
          <w:bCs/>
          <w:sz w:val="22"/>
          <w:lang w:val="es-ES_tradnl"/>
        </w:rPr>
        <w:t>) las sociedades de economía mixta y (</w:t>
      </w:r>
      <w:proofErr w:type="spellStart"/>
      <w:r w:rsidR="00897B2E" w:rsidRPr="00E858D2">
        <w:rPr>
          <w:rFonts w:ascii="Arial" w:eastAsia="Calibri" w:hAnsi="Arial" w:cs="Arial"/>
          <w:bCs/>
          <w:sz w:val="22"/>
          <w:lang w:val="es-ES_tradnl"/>
        </w:rPr>
        <w:t>iv</w:t>
      </w:r>
      <w:proofErr w:type="spellEnd"/>
      <w:r w:rsidR="00897B2E" w:rsidRPr="00E858D2">
        <w:rPr>
          <w:rFonts w:ascii="Arial" w:eastAsia="Calibri" w:hAnsi="Arial" w:cs="Arial"/>
          <w:bCs/>
          <w:sz w:val="22"/>
          <w:lang w:val="es-ES_tradnl"/>
        </w:rPr>
        <w:t xml:space="preserve">) las empresas industriales y comerciales del Estado, únicamente, en la contratación relacionada con el </w:t>
      </w:r>
      <w:r w:rsidR="00897B2E" w:rsidRPr="00E858D2">
        <w:rPr>
          <w:rFonts w:ascii="Arial" w:eastAsia="Calibri" w:hAnsi="Arial" w:cs="Arial"/>
          <w:bCs/>
          <w:i/>
          <w:iCs/>
          <w:sz w:val="22"/>
          <w:lang w:val="es-ES_tradnl"/>
        </w:rPr>
        <w:t>giro ordinario.</w:t>
      </w:r>
      <w:r w:rsidR="00897B2E" w:rsidRPr="00E858D2">
        <w:rPr>
          <w:rFonts w:ascii="Arial" w:eastAsia="Calibri" w:hAnsi="Arial" w:cs="Arial"/>
          <w:bCs/>
          <w:sz w:val="22"/>
          <w:lang w:val="es-ES_tradnl"/>
        </w:rPr>
        <w:t xml:space="preserve"> Esto significa que en la contratación asociada a su </w:t>
      </w:r>
      <w:r w:rsidR="00897B2E" w:rsidRPr="00E858D2">
        <w:rPr>
          <w:rFonts w:ascii="Arial" w:eastAsia="Calibri" w:hAnsi="Arial" w:cs="Arial"/>
          <w:bCs/>
          <w:i/>
          <w:iCs/>
          <w:sz w:val="22"/>
          <w:lang w:val="es-ES_tradnl"/>
        </w:rPr>
        <w:t xml:space="preserve">giro ordinario, </w:t>
      </w:r>
      <w:r w:rsidR="00897B2E" w:rsidRPr="00E858D2">
        <w:rPr>
          <w:rFonts w:ascii="Arial" w:eastAsia="Calibri" w:hAnsi="Arial" w:cs="Arial"/>
          <w:bCs/>
          <w:sz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2123B751" w14:textId="77777777" w:rsidR="00897B2E" w:rsidRPr="00E858D2" w:rsidRDefault="00897B2E" w:rsidP="007977F1">
      <w:pPr>
        <w:tabs>
          <w:tab w:val="left" w:pos="0"/>
        </w:tabs>
        <w:spacing w:before="120" w:line="276" w:lineRule="auto"/>
        <w:jc w:val="both"/>
        <w:rPr>
          <w:rFonts w:ascii="Arial" w:eastAsia="Arial" w:hAnsi="Arial" w:cs="Arial"/>
          <w:color w:val="000000"/>
          <w:sz w:val="22"/>
          <w:lang w:val="es-ES_tradnl"/>
        </w:rPr>
      </w:pPr>
      <w:r w:rsidRPr="00E858D2">
        <w:rPr>
          <w:rFonts w:ascii="Arial" w:eastAsia="Calibri" w:hAnsi="Arial" w:cs="Arial"/>
          <w:bCs/>
          <w:sz w:val="22"/>
          <w:lang w:val="es-ES_tradnl"/>
        </w:rPr>
        <w:tab/>
        <w:t xml:space="preserve">Ahora, es importante tener en cuenta que cuando la norma se refiere a la contratación del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emplea un concepto jurídico indeterminado</w:t>
      </w:r>
      <w:r w:rsidRPr="00E858D2">
        <w:rPr>
          <w:rStyle w:val="Refdenotaalpie"/>
          <w:rFonts w:ascii="Arial" w:eastAsia="Calibri" w:hAnsi="Arial" w:cs="Arial"/>
        </w:rPr>
        <w:footnoteReference w:id="18"/>
      </w:r>
      <w:r w:rsidRPr="00E858D2">
        <w:rPr>
          <w:rFonts w:ascii="Arial" w:eastAsia="Calibri" w:hAnsi="Arial" w:cs="Arial"/>
          <w:bCs/>
          <w:sz w:val="22"/>
          <w:lang w:val="es-ES_tradnl"/>
        </w:rPr>
        <w:t xml:space="preserve">. </w:t>
      </w:r>
      <w:r w:rsidRPr="00E858D2">
        <w:rPr>
          <w:rFonts w:ascii="Arial" w:eastAsia="Arial" w:hAnsi="Arial" w:cs="Arial"/>
          <w:color w:val="000000"/>
          <w:sz w:val="22"/>
          <w:lang w:val="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w:t>
      </w:r>
      <w:r w:rsidRPr="00E858D2">
        <w:rPr>
          <w:rFonts w:ascii="Arial" w:eastAsia="Arial" w:hAnsi="Arial" w:cs="Arial"/>
          <w:color w:val="000000"/>
          <w:sz w:val="22"/>
          <w:lang w:val="es-ES_tradnl"/>
        </w:rPr>
        <w:lastRenderedPageBreak/>
        <w:t xml:space="preserve">entidades estatales gozan de cierto grado de discrecionalidad en su aplicación, pero deben respetar los límites previstos en las normas de orden público. Por ejemplo, no podrán considerar que cualquier contrato que celebren hace parte del giro ordinario de sus negocios. </w:t>
      </w:r>
    </w:p>
    <w:p w14:paraId="723C6F45" w14:textId="77777777" w:rsidR="00897B2E" w:rsidRPr="00E858D2" w:rsidRDefault="00897B2E" w:rsidP="007977F1">
      <w:pPr>
        <w:tabs>
          <w:tab w:val="left" w:pos="0"/>
        </w:tabs>
        <w:spacing w:before="120" w:line="276" w:lineRule="auto"/>
        <w:ind w:firstLine="709"/>
        <w:jc w:val="both"/>
        <w:rPr>
          <w:rFonts w:ascii="Arial" w:eastAsia="Calibri" w:hAnsi="Arial" w:cs="Arial"/>
          <w:bCs/>
          <w:sz w:val="22"/>
          <w:lang w:val="es-ES_tradnl"/>
        </w:rPr>
      </w:pPr>
      <w:r w:rsidRPr="00E858D2">
        <w:rPr>
          <w:rFonts w:ascii="Arial" w:eastAsia="Arial" w:hAnsi="Arial" w:cs="Arial"/>
          <w:color w:val="000000"/>
          <w:sz w:val="22"/>
          <w:lang w:val="es-ES_tradnl"/>
        </w:rPr>
        <w:t>La Corte Constitucional</w:t>
      </w:r>
      <w:r w:rsidRPr="00E858D2">
        <w:rPr>
          <w:rStyle w:val="Refdenotaalpie"/>
          <w:rFonts w:ascii="Arial" w:eastAsia="Arial" w:hAnsi="Arial" w:cs="Arial"/>
        </w:rPr>
        <w:footnoteReference w:id="19"/>
      </w:r>
      <w:r w:rsidRPr="00E858D2">
        <w:rPr>
          <w:rFonts w:ascii="Arial" w:eastAsia="Arial" w:hAnsi="Arial" w:cs="Arial"/>
          <w:color w:val="000000"/>
          <w:sz w:val="22"/>
          <w:lang w:val="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p>
    <w:p w14:paraId="1385A9E6" w14:textId="77777777" w:rsidR="00897B2E" w:rsidRPr="00E858D2" w:rsidRDefault="00897B2E" w:rsidP="007977F1">
      <w:pPr>
        <w:tabs>
          <w:tab w:val="left" w:pos="0"/>
        </w:tabs>
        <w:spacing w:before="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incluida en la redacción original del parágrafo 1 del artículo 32 de la Ley 80 de 1993</w:t>
      </w:r>
      <w:r w:rsidRPr="00E858D2">
        <w:rPr>
          <w:rStyle w:val="Refdenotaalpie"/>
          <w:rFonts w:ascii="Arial" w:eastAsia="Calibri" w:hAnsi="Arial" w:cs="Arial"/>
        </w:rPr>
        <w:footnoteReference w:id="20"/>
      </w:r>
      <w:r w:rsidRPr="00E858D2">
        <w:rPr>
          <w:rFonts w:ascii="Arial" w:eastAsia="Calibri" w:hAnsi="Arial" w:cs="Arial"/>
          <w:bCs/>
          <w:sz w:val="22"/>
          <w:lang w:val="es-ES_tradnl"/>
        </w:rPr>
        <w:t xml:space="preserve">, la Sección Tercera manifestó lo siguiente: </w:t>
      </w:r>
    </w:p>
    <w:p w14:paraId="09D38B8A" w14:textId="77777777" w:rsidR="00897B2E" w:rsidRPr="00E858D2" w:rsidRDefault="00897B2E" w:rsidP="00897B2E">
      <w:pPr>
        <w:tabs>
          <w:tab w:val="left" w:pos="0"/>
        </w:tabs>
        <w:spacing w:line="276" w:lineRule="auto"/>
        <w:jc w:val="both"/>
        <w:rPr>
          <w:rFonts w:ascii="Arial" w:eastAsia="Calibri" w:hAnsi="Arial" w:cs="Arial"/>
          <w:bCs/>
          <w:sz w:val="22"/>
          <w:lang w:val="es-ES_tradnl"/>
        </w:rPr>
      </w:pPr>
    </w:p>
    <w:p w14:paraId="139CDC57" w14:textId="77777777" w:rsidR="00897B2E" w:rsidRPr="00E858D2" w:rsidRDefault="00897B2E" w:rsidP="00897B2E">
      <w:pPr>
        <w:ind w:left="709" w:right="709"/>
        <w:jc w:val="both"/>
        <w:rPr>
          <w:rFonts w:ascii="Arial" w:hAnsi="Arial" w:cs="Arial"/>
          <w:sz w:val="21"/>
          <w:szCs w:val="21"/>
          <w:lang w:val="es-ES_tradnl" w:eastAsia="es-CO"/>
        </w:rPr>
      </w:pPr>
      <w:r w:rsidRPr="00E858D2">
        <w:rPr>
          <w:rFonts w:ascii="Arial" w:hAnsi="Arial" w:cs="Arial"/>
          <w:sz w:val="21"/>
          <w:szCs w:val="21"/>
          <w:lang w:val="es-ES_tradnl"/>
        </w:rPr>
        <w:t>«[E]l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Siendo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00E858D2">
        <w:rPr>
          <w:rStyle w:val="Refdenotaalpie"/>
          <w:rFonts w:ascii="Arial" w:hAnsi="Arial" w:cs="Arial"/>
        </w:rPr>
        <w:footnoteReference w:id="21"/>
      </w:r>
    </w:p>
    <w:p w14:paraId="03BDB9B8" w14:textId="77777777" w:rsidR="00897B2E" w:rsidRPr="00E858D2" w:rsidRDefault="00897B2E" w:rsidP="00E6685F">
      <w:pPr>
        <w:tabs>
          <w:tab w:val="left" w:pos="0"/>
        </w:tabs>
        <w:spacing w:line="276" w:lineRule="auto"/>
        <w:jc w:val="both"/>
        <w:rPr>
          <w:rFonts w:ascii="Arial" w:eastAsia="Calibri" w:hAnsi="Arial" w:cs="Arial"/>
          <w:bCs/>
          <w:i/>
          <w:iCs/>
          <w:sz w:val="22"/>
          <w:lang w:val="es-ES_tradnl"/>
        </w:rPr>
      </w:pPr>
    </w:p>
    <w:p w14:paraId="208A7F98" w14:textId="2256622C" w:rsidR="00897B2E" w:rsidRDefault="00897B2E" w:rsidP="007977F1">
      <w:pPr>
        <w:tabs>
          <w:tab w:val="left" w:pos="0"/>
        </w:tabs>
        <w:spacing w:before="120"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t xml:space="preserve">En el mismo sentido se pronunció recientemente el Alto Tribunal de lo Contencioso Administrativo, reiterando las anteriores consideraciones, al expresar que: </w:t>
      </w:r>
    </w:p>
    <w:p w14:paraId="6700FE2F" w14:textId="77777777" w:rsidR="007977F1" w:rsidRPr="00E858D2" w:rsidRDefault="007977F1" w:rsidP="007977F1">
      <w:pPr>
        <w:tabs>
          <w:tab w:val="left" w:pos="0"/>
        </w:tabs>
        <w:spacing w:line="276" w:lineRule="auto"/>
        <w:jc w:val="both"/>
        <w:rPr>
          <w:rFonts w:ascii="Arial" w:eastAsia="Calibri" w:hAnsi="Arial" w:cs="Arial"/>
          <w:bCs/>
          <w:sz w:val="22"/>
          <w:szCs w:val="22"/>
          <w:lang w:val="es-ES_tradnl"/>
        </w:rPr>
      </w:pPr>
    </w:p>
    <w:p w14:paraId="7C4DA316" w14:textId="77777777" w:rsidR="00897B2E" w:rsidRPr="00E858D2" w:rsidRDefault="00897B2E" w:rsidP="00897B2E">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lastRenderedPageBreak/>
        <w:t xml:space="preserve"> «[E]l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49767E06" w14:textId="77777777" w:rsidR="00897B2E" w:rsidRPr="00E858D2" w:rsidRDefault="00897B2E" w:rsidP="00897B2E">
      <w:pPr>
        <w:tabs>
          <w:tab w:val="left" w:pos="0"/>
        </w:tabs>
        <w:ind w:left="709" w:right="709"/>
        <w:jc w:val="both"/>
        <w:rPr>
          <w:rFonts w:ascii="Arial" w:eastAsia="Calibri" w:hAnsi="Arial" w:cs="Arial"/>
          <w:bCs/>
          <w:sz w:val="21"/>
          <w:szCs w:val="21"/>
          <w:lang w:val="es-ES_tradnl"/>
        </w:rPr>
      </w:pPr>
    </w:p>
    <w:p w14:paraId="61CD8FE8" w14:textId="77777777" w:rsidR="00897B2E" w:rsidRPr="00E858D2" w:rsidRDefault="00897B2E" w:rsidP="00897B2E">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w:t>
      </w:r>
      <w:proofErr w:type="spellStart"/>
      <w:r w:rsidRPr="00E858D2">
        <w:rPr>
          <w:rFonts w:ascii="Arial" w:eastAsia="Calibri" w:hAnsi="Arial" w:cs="Arial"/>
          <w:bCs/>
          <w:sz w:val="21"/>
          <w:szCs w:val="21"/>
          <w:lang w:val="es-ES_tradnl"/>
        </w:rPr>
        <w:t>Fonade</w:t>
      </w:r>
      <w:proofErr w:type="spellEnd"/>
      <w:r w:rsidRPr="00E858D2">
        <w:rPr>
          <w:rFonts w:ascii="Arial" w:eastAsia="Calibri" w:hAnsi="Arial" w:cs="Arial"/>
          <w:bCs/>
          <w:sz w:val="21"/>
          <w:szCs w:val="21"/>
          <w:lang w:val="es-ES_tradnl"/>
        </w:rPr>
        <w:t xml:space="preserv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2616AE6B" w14:textId="77777777" w:rsidR="00897B2E" w:rsidRPr="00E858D2" w:rsidRDefault="00897B2E" w:rsidP="00897B2E">
      <w:pPr>
        <w:tabs>
          <w:tab w:val="left" w:pos="0"/>
        </w:tabs>
        <w:ind w:left="709" w:right="709"/>
        <w:jc w:val="both"/>
        <w:rPr>
          <w:rFonts w:ascii="Arial" w:eastAsia="Calibri" w:hAnsi="Arial" w:cs="Arial"/>
          <w:bCs/>
          <w:sz w:val="21"/>
          <w:szCs w:val="21"/>
          <w:lang w:val="es-ES_tradnl"/>
        </w:rPr>
      </w:pPr>
    </w:p>
    <w:p w14:paraId="4F2E115E" w14:textId="77777777" w:rsidR="00897B2E" w:rsidRPr="00E858D2" w:rsidRDefault="00897B2E" w:rsidP="00897B2E">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E858D2">
        <w:rPr>
          <w:rStyle w:val="Refdenotaalpie"/>
          <w:rFonts w:ascii="Arial" w:eastAsia="Calibri" w:hAnsi="Arial" w:cs="Arial"/>
        </w:rPr>
        <w:footnoteReference w:id="22"/>
      </w:r>
      <w:r w:rsidRPr="00E858D2">
        <w:rPr>
          <w:rFonts w:ascii="Arial" w:eastAsia="Calibri" w:hAnsi="Arial" w:cs="Arial"/>
          <w:bCs/>
          <w:sz w:val="21"/>
          <w:szCs w:val="21"/>
          <w:lang w:val="es-ES_tradnl"/>
        </w:rPr>
        <w:t xml:space="preserve">. </w:t>
      </w:r>
    </w:p>
    <w:p w14:paraId="355D1C77" w14:textId="77777777" w:rsidR="00897B2E" w:rsidRPr="00E858D2" w:rsidRDefault="00897B2E" w:rsidP="00897B2E">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p>
    <w:p w14:paraId="5019C87D" w14:textId="77777777" w:rsidR="00897B2E" w:rsidRPr="00E858D2" w:rsidRDefault="00897B2E" w:rsidP="0060580F">
      <w:pPr>
        <w:tabs>
          <w:tab w:val="left" w:pos="0"/>
        </w:tabs>
        <w:spacing w:after="120"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t xml:space="preserve">Conforme con lo expresado en estas providencias, el </w:t>
      </w:r>
      <w:r w:rsidRPr="00E858D2">
        <w:rPr>
          <w:rFonts w:ascii="Arial" w:eastAsia="Calibri" w:hAnsi="Arial" w:cs="Arial"/>
          <w:bCs/>
          <w:i/>
          <w:iCs/>
          <w:sz w:val="22"/>
          <w:szCs w:val="22"/>
          <w:lang w:val="es-ES_tradnl"/>
        </w:rPr>
        <w:t xml:space="preserve">giro ordinario </w:t>
      </w:r>
      <w:r w:rsidRPr="00E858D2">
        <w:rPr>
          <w:rFonts w:ascii="Arial" w:eastAsia="Calibri" w:hAnsi="Arial" w:cs="Arial"/>
          <w:bCs/>
          <w:sz w:val="22"/>
          <w:szCs w:val="22"/>
          <w:lang w:val="es-ES_tradn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E858D2">
        <w:rPr>
          <w:rFonts w:ascii="Arial" w:hAnsi="Arial" w:cs="Arial"/>
          <w:sz w:val="22"/>
          <w:szCs w:val="22"/>
          <w:lang w:val="es-ES_tradnl"/>
        </w:rPr>
        <w:t>S]e</w:t>
      </w:r>
      <w:r w:rsidRPr="00E858D2">
        <w:rPr>
          <w:rFonts w:ascii="Arial" w:eastAsia="Calibri" w:hAnsi="Arial" w:cs="Arial"/>
          <w:bCs/>
          <w:sz w:val="22"/>
          <w:szCs w:val="22"/>
          <w:lang w:val="es-ES_tradnl"/>
        </w:rPr>
        <w:t xml:space="preserve"> entenderán incluidos en el objeto social los actos directamente relacionados con </w:t>
      </w:r>
      <w:r w:rsidRPr="00E858D2">
        <w:rPr>
          <w:rFonts w:ascii="Arial" w:eastAsia="Calibri" w:hAnsi="Arial" w:cs="Arial"/>
          <w:bCs/>
          <w:sz w:val="22"/>
          <w:szCs w:val="22"/>
          <w:lang w:val="es-ES_tradnl"/>
        </w:rPr>
        <w:lastRenderedPageBreak/>
        <w:t>el mismo y los que tengan como finalidad ejercer los derechos o cumplir las obligaciones, legal o convencionalmente derivados de la existencia y actividad de la sociedad</w:t>
      </w:r>
      <w:bookmarkStart w:id="15" w:name="_Hlk103089145"/>
      <w:r w:rsidRPr="00E858D2">
        <w:rPr>
          <w:rFonts w:ascii="Arial" w:eastAsia="Calibri" w:hAnsi="Arial" w:cs="Arial"/>
          <w:bCs/>
          <w:sz w:val="22"/>
          <w:szCs w:val="22"/>
          <w:lang w:val="es-ES_tradnl"/>
        </w:rPr>
        <w:t>»</w:t>
      </w:r>
      <w:bookmarkEnd w:id="15"/>
      <w:r w:rsidRPr="00E858D2">
        <w:rPr>
          <w:rStyle w:val="Refdenotaalpie"/>
          <w:rFonts w:ascii="Arial" w:eastAsia="Calibri" w:hAnsi="Arial" w:cs="Arial"/>
        </w:rPr>
        <w:footnoteReference w:id="23"/>
      </w:r>
      <w:r w:rsidRPr="00E858D2">
        <w:rPr>
          <w:rFonts w:ascii="Arial" w:eastAsia="Calibri" w:hAnsi="Arial" w:cs="Arial"/>
          <w:bCs/>
          <w:sz w:val="22"/>
          <w:szCs w:val="22"/>
          <w:lang w:val="es-ES_tradnl"/>
        </w:rPr>
        <w:t xml:space="preserve">. </w:t>
      </w:r>
    </w:p>
    <w:p w14:paraId="082D334A" w14:textId="77777777" w:rsidR="00897B2E" w:rsidRPr="00E858D2" w:rsidRDefault="00897B2E" w:rsidP="00897B2E">
      <w:pPr>
        <w:tabs>
          <w:tab w:val="left" w:pos="0"/>
        </w:tabs>
        <w:spacing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t xml:space="preserve">De otra parte, la doctrina societaria también se ha encargado de definir el </w:t>
      </w:r>
      <w:r w:rsidRPr="00E858D2">
        <w:rPr>
          <w:rFonts w:ascii="Arial" w:eastAsia="Calibri" w:hAnsi="Arial" w:cs="Arial"/>
          <w:bCs/>
          <w:i/>
          <w:iCs/>
          <w:sz w:val="22"/>
          <w:szCs w:val="22"/>
          <w:lang w:val="es-ES_tradnl"/>
        </w:rPr>
        <w:t>objeto social</w:t>
      </w:r>
      <w:r w:rsidRPr="00E858D2">
        <w:rPr>
          <w:rFonts w:ascii="Arial" w:eastAsia="Calibri" w:hAnsi="Arial" w:cs="Arial"/>
          <w:bCs/>
          <w:sz w:val="22"/>
          <w:szCs w:val="22"/>
          <w:lang w:val="es-ES_tradnl"/>
        </w:rPr>
        <w:t xml:space="preserve">, así como su relación con el concepto de </w:t>
      </w:r>
      <w:r w:rsidRPr="00E858D2">
        <w:rPr>
          <w:rFonts w:ascii="Arial" w:eastAsia="Calibri" w:hAnsi="Arial" w:cs="Arial"/>
          <w:bCs/>
          <w:i/>
          <w:iCs/>
          <w:sz w:val="22"/>
          <w:szCs w:val="22"/>
          <w:lang w:val="es-ES_tradnl"/>
        </w:rPr>
        <w:t>giro ordinario</w:t>
      </w:r>
      <w:r w:rsidRPr="00E858D2">
        <w:rPr>
          <w:rFonts w:ascii="Arial" w:eastAsia="Calibri" w:hAnsi="Arial" w:cs="Arial"/>
          <w:bCs/>
          <w:sz w:val="22"/>
          <w:szCs w:val="22"/>
          <w:lang w:val="es-ES_tradnl"/>
        </w:rPr>
        <w:t>. Al respecto, la Superintendencia de Sociedades, citando doctrina autorizada en la materia, ha señalado:</w:t>
      </w:r>
    </w:p>
    <w:p w14:paraId="4915431F" w14:textId="77777777" w:rsidR="00897B2E" w:rsidRPr="00E858D2" w:rsidRDefault="00897B2E" w:rsidP="00897B2E">
      <w:pPr>
        <w:tabs>
          <w:tab w:val="left" w:pos="0"/>
        </w:tabs>
        <w:spacing w:line="276" w:lineRule="auto"/>
        <w:jc w:val="both"/>
        <w:rPr>
          <w:rFonts w:ascii="Arial" w:eastAsia="Calibri" w:hAnsi="Arial" w:cs="Arial"/>
          <w:bCs/>
          <w:sz w:val="22"/>
          <w:szCs w:val="22"/>
          <w:lang w:val="es-ES_tradnl"/>
        </w:rPr>
      </w:pPr>
    </w:p>
    <w:p w14:paraId="4FBCE0AA" w14:textId="77777777" w:rsidR="00897B2E" w:rsidRPr="00E858D2" w:rsidRDefault="00897B2E" w:rsidP="00897B2E">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p w14:paraId="1C03C2E2" w14:textId="77777777" w:rsidR="00897B2E" w:rsidRPr="00E858D2" w:rsidRDefault="00897B2E" w:rsidP="00897B2E">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E858D2">
        <w:rPr>
          <w:rStyle w:val="Refdenotaalpie"/>
          <w:rFonts w:ascii="Arial" w:hAnsi="Arial" w:cs="Arial"/>
        </w:rPr>
        <w:footnoteReference w:id="24"/>
      </w:r>
      <w:r w:rsidRPr="00E858D2">
        <w:rPr>
          <w:rFonts w:ascii="Arial" w:hAnsi="Arial" w:cs="Arial"/>
          <w:sz w:val="21"/>
          <w:szCs w:val="21"/>
          <w:lang w:val="es-ES_tradnl"/>
        </w:rPr>
        <w:t>.</w:t>
      </w:r>
    </w:p>
    <w:p w14:paraId="57582BDF" w14:textId="77777777" w:rsidR="00897B2E" w:rsidRPr="00E858D2" w:rsidRDefault="00897B2E" w:rsidP="00897B2E">
      <w:pPr>
        <w:tabs>
          <w:tab w:val="left" w:pos="0"/>
        </w:tabs>
        <w:spacing w:line="276" w:lineRule="auto"/>
        <w:jc w:val="both"/>
        <w:rPr>
          <w:rFonts w:ascii="Arial" w:eastAsia="Calibri" w:hAnsi="Arial" w:cs="Arial"/>
          <w:bCs/>
          <w:sz w:val="22"/>
          <w:lang w:val="es-ES_tradnl"/>
        </w:rPr>
      </w:pPr>
    </w:p>
    <w:p w14:paraId="6C97E6B2" w14:textId="77777777" w:rsidR="00897B2E" w:rsidRPr="00E858D2" w:rsidRDefault="00897B2E" w:rsidP="007977F1">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estas consideraciones, no existe una plena equivalencia entre las </w:t>
      </w:r>
      <w:bookmarkStart w:id="16" w:name="_Hlk95322109"/>
      <w:r w:rsidRPr="00E858D2">
        <w:rPr>
          <w:rFonts w:ascii="Arial" w:eastAsia="Calibri" w:hAnsi="Arial" w:cs="Arial"/>
          <w:bCs/>
          <w:sz w:val="22"/>
          <w:lang w:val="es-ES_tradnl"/>
        </w:rPr>
        <w:t xml:space="preserve">actividades que hacen parte del desarrollo del </w:t>
      </w:r>
      <w:r w:rsidRPr="00E858D2">
        <w:rPr>
          <w:rFonts w:ascii="Arial" w:eastAsia="Calibri" w:hAnsi="Arial" w:cs="Arial"/>
          <w:bCs/>
          <w:i/>
          <w:iCs/>
          <w:sz w:val="22"/>
          <w:lang w:val="es-ES_tradnl"/>
        </w:rPr>
        <w:t>objeto social</w:t>
      </w:r>
      <w:r w:rsidRPr="00E858D2">
        <w:rPr>
          <w:rFonts w:ascii="Arial" w:eastAsia="Calibri" w:hAnsi="Arial" w:cs="Arial"/>
          <w:bCs/>
          <w:sz w:val="22"/>
          <w:lang w:val="es-ES_tradnl"/>
        </w:rPr>
        <w:t xml:space="preserve"> y las que comprende 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ya que como precisa la Superintendencia de Sociedades, entre lo que designan estas categorías existe una relación de género a especie. En ese sentido, de acuerdo con </w:t>
      </w:r>
      <w:r w:rsidRPr="00E858D2">
        <w:rPr>
          <w:rFonts w:ascii="Arial" w:eastAsia="Calibri" w:hAnsi="Arial" w:cs="Arial"/>
          <w:bCs/>
          <w:sz w:val="22"/>
          <w:lang w:val="es-ES_tradnl"/>
        </w:rPr>
        <w:lastRenderedPageBreak/>
        <w:t xml:space="preserve">este criterio, las actividades que hacen parte del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no son solo aquellas que están efectivamente comprendidas dentro del objeto social, sino que, además, se extiende a todas aquellas conexas </w:t>
      </w:r>
      <w:r w:rsidRPr="00E858D2">
        <w:rPr>
          <w:rFonts w:ascii="Arial" w:eastAsia="Calibri" w:hAnsi="Arial" w:cs="Arial"/>
          <w:bCs/>
          <w:sz w:val="22"/>
          <w:szCs w:val="22"/>
          <w:lang w:val="es-ES_tradnl"/>
        </w:rPr>
        <w:t xml:space="preserve">que se desarrollan en la gestión usual de los asuntos de la sociedad. Esto significa que las actividades que hacen parte del </w:t>
      </w:r>
      <w:r w:rsidRPr="00E858D2">
        <w:rPr>
          <w:rFonts w:ascii="Arial" w:eastAsia="Calibri" w:hAnsi="Arial" w:cs="Arial"/>
          <w:bCs/>
          <w:i/>
          <w:iCs/>
          <w:sz w:val="22"/>
          <w:szCs w:val="22"/>
          <w:lang w:val="es-ES_tradnl"/>
        </w:rPr>
        <w:t>giro ordinario</w:t>
      </w:r>
      <w:r w:rsidRPr="00E858D2">
        <w:rPr>
          <w:rFonts w:ascii="Arial" w:eastAsia="Calibri" w:hAnsi="Arial" w:cs="Arial"/>
          <w:sz w:val="22"/>
          <w:szCs w:val="22"/>
        </w:rPr>
        <w:t xml:space="preserve"> son todas aquellas que hacen parte del objeto social, así como todas aquellas conexas al mismo, siguiendo lo señalado por la jurisprudencia del Consejo de Estado.   </w:t>
      </w:r>
      <w:r w:rsidRPr="00E858D2">
        <w:rPr>
          <w:rFonts w:ascii="Arial" w:eastAsia="Calibri" w:hAnsi="Arial" w:cs="Arial"/>
          <w:bCs/>
          <w:sz w:val="22"/>
          <w:lang w:val="es-ES_tradnl"/>
        </w:rPr>
        <w:t xml:space="preserve"> </w:t>
      </w:r>
    </w:p>
    <w:p w14:paraId="1A7A2EF5" w14:textId="77777777" w:rsidR="00897B2E" w:rsidRPr="00E858D2" w:rsidRDefault="00897B2E"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relación con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en dicha norma se usa para designar a la contratación directamente relacionada con los asuntos de la gestión habitual u ordinaria de los tipos de entidades mencionadas en el parágrafo. No obstante, la determinación de las actividades que comprenden 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E858D2">
        <w:rPr>
          <w:rFonts w:ascii="Arial" w:eastAsia="Calibri" w:hAnsi="Arial" w:cs="Arial"/>
          <w:bCs/>
          <w:i/>
          <w:iCs/>
          <w:sz w:val="22"/>
          <w:lang w:val="es-ES_tradnl"/>
        </w:rPr>
        <w:t>ejusdem</w:t>
      </w:r>
      <w:proofErr w:type="spellEnd"/>
      <w:r w:rsidRPr="00E858D2">
        <w:rPr>
          <w:rFonts w:ascii="Arial" w:eastAsia="Calibri" w:hAnsi="Arial" w:cs="Arial"/>
          <w:bCs/>
          <w:sz w:val="22"/>
          <w:lang w:val="es-ES_tradnl"/>
        </w:rPr>
        <w:t xml:space="preserve"> se limita a enunciar algunos tipos de entidades estatales, las cuales no solo difieren en su naturaleza jurídica, sino también en las actividades que llevan a cabo. </w:t>
      </w:r>
    </w:p>
    <w:p w14:paraId="5C681CE2" w14:textId="77777777" w:rsidR="00897B2E" w:rsidRPr="00E858D2" w:rsidRDefault="00897B2E" w:rsidP="007977F1">
      <w:pPr>
        <w:tabs>
          <w:tab w:val="left" w:pos="0"/>
        </w:tabs>
        <w:spacing w:before="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bookmarkEnd w:id="16"/>
    <w:p w14:paraId="2128E691" w14:textId="77777777" w:rsidR="00897B2E" w:rsidRPr="00E858D2" w:rsidRDefault="00897B2E"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documentos tipo únicamente para la contratación relacionada con el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de sus asuntos, salvo que los manuales internos de contratación de estas entidades dispongan la obligación de tener en cuenta los documentos tipo como una buena práctica contractual.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w:t>
      </w:r>
      <w:r w:rsidRPr="00E858D2">
        <w:rPr>
          <w:rFonts w:ascii="Arial" w:eastAsia="Calibri" w:hAnsi="Arial" w:cs="Arial"/>
          <w:bCs/>
          <w:sz w:val="22"/>
          <w:lang w:val="es-ES_tradnl"/>
        </w:rPr>
        <w:lastRenderedPageBreak/>
        <w:t xml:space="preserve">negocios jurídicos que se deriven de ellos, exclusivamente en lo que se refiere a </w:t>
      </w:r>
      <w:r w:rsidRPr="00E858D2">
        <w:rPr>
          <w:rFonts w:ascii="Arial" w:eastAsia="Calibri" w:hAnsi="Arial" w:cs="Arial"/>
          <w:bCs/>
          <w:i/>
          <w:iCs/>
          <w:sz w:val="22"/>
          <w:lang w:val="es-ES_tradnl"/>
        </w:rPr>
        <w:t>su giro ordinario</w:t>
      </w:r>
      <w:r w:rsidRPr="00E858D2">
        <w:rPr>
          <w:rFonts w:ascii="Arial" w:eastAsia="Calibri" w:hAnsi="Arial" w:cs="Arial"/>
          <w:bCs/>
          <w:sz w:val="22"/>
          <w:lang w:val="es-ES_tradnl"/>
        </w:rPr>
        <w:t xml:space="preserve">, entendido este conforme a los criterios jurisprudenciales y doctrinarios aquí explicados. En otras palabras, ninguna entidad cuya naturaleza jurídica coincida con las mencionadas en el parágrafo del artículo 56, tendrá que someterse de manera obligatoria a los documentos tipo o el EGCAP para la contratación de obras o servicios asociadas a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a menos que su manual de contratación establezca lo contrario. De hacerlo, primará el principio de inderogabilidad singular del reglamento, que obliga a aplicarlo en las actuaciones concretas.  </w:t>
      </w:r>
    </w:p>
    <w:p w14:paraId="392201B2" w14:textId="77777777" w:rsidR="00897B2E" w:rsidRPr="00E858D2" w:rsidRDefault="00897B2E" w:rsidP="007977F1">
      <w:pPr>
        <w:tabs>
          <w:tab w:val="left" w:pos="0"/>
        </w:tabs>
        <w:spacing w:before="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Esta interpretación, a juicio de la Agencia, 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w:t>
      </w:r>
      <w:r w:rsidRPr="00E858D2">
        <w:rPr>
          <w:rStyle w:val="Refdenotaalpie"/>
          <w:rFonts w:ascii="Arial" w:eastAsia="Calibri" w:hAnsi="Arial" w:cs="Arial"/>
        </w:rPr>
        <w:footnoteReference w:id="25"/>
      </w:r>
      <w:r w:rsidRPr="00E858D2">
        <w:rPr>
          <w:rFonts w:ascii="Arial" w:eastAsia="Calibri" w:hAnsi="Arial" w:cs="Arial"/>
          <w:bCs/>
          <w:sz w:val="22"/>
          <w:lang w:val="es-ES_tradnl"/>
        </w:rPr>
        <w:t>–, no es menos cierto que el Legislador, en materia de contratación estatal, goza de un amplio margen de configuración normativa, de conformidad con lo dispuesto en el inciso final del artículo 150 de la Constitución Política</w:t>
      </w:r>
      <w:r w:rsidRPr="00E858D2">
        <w:rPr>
          <w:rStyle w:val="Refdenotaalpie"/>
          <w:rFonts w:ascii="Arial" w:eastAsia="Calibri" w:hAnsi="Arial" w:cs="Arial"/>
        </w:rPr>
        <w:footnoteReference w:id="26"/>
      </w:r>
      <w:r w:rsidRPr="00E858D2">
        <w:rPr>
          <w:rFonts w:ascii="Arial" w:eastAsia="Calibri" w:hAnsi="Arial" w:cs="Arial"/>
          <w:bCs/>
          <w:sz w:val="22"/>
          <w:lang w:val="es-ES_tradnl"/>
        </w:rPr>
        <w:t xml:space="preserve">. En ese sentido, en virtud de esta potestad de configuración </w:t>
      </w:r>
      <w:r w:rsidRPr="00E858D2">
        <w:rPr>
          <w:rFonts w:ascii="Arial" w:eastAsia="Calibri" w:hAnsi="Arial" w:cs="Arial"/>
          <w:bCs/>
          <w:sz w:val="22"/>
          <w:lang w:val="es-ES_tradnl"/>
        </w:rPr>
        <w:lastRenderedPageBreak/>
        <w:t xml:space="preserve">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E858D2">
        <w:rPr>
          <w:rStyle w:val="Refdenotaalpie"/>
          <w:rFonts w:ascii="Arial" w:eastAsia="Calibri" w:hAnsi="Arial" w:cs="Arial"/>
        </w:rPr>
        <w:footnoteReference w:id="27"/>
      </w:r>
      <w:r w:rsidRPr="00E858D2">
        <w:rPr>
          <w:rFonts w:ascii="Arial" w:eastAsia="Calibri" w:hAnsi="Arial" w:cs="Arial"/>
          <w:bCs/>
          <w:sz w:val="22"/>
          <w:lang w:val="es-ES_tradnl"/>
        </w:rPr>
        <w:t>.</w:t>
      </w:r>
    </w:p>
    <w:p w14:paraId="68A7EC44" w14:textId="30803CAD" w:rsidR="00897B2E" w:rsidRPr="00E858D2" w:rsidRDefault="00897B2E" w:rsidP="007977F1">
      <w:pPr>
        <w:tabs>
          <w:tab w:val="left" w:pos="0"/>
        </w:tabs>
        <w:spacing w:before="120" w:line="276" w:lineRule="auto"/>
        <w:ind w:firstLine="709"/>
        <w:jc w:val="both"/>
        <w:rPr>
          <w:rFonts w:ascii="Arial" w:hAnsi="Arial" w:cs="Arial"/>
          <w:sz w:val="22"/>
          <w:szCs w:val="22"/>
        </w:rPr>
      </w:pPr>
      <w:r w:rsidRPr="00E858D2">
        <w:rPr>
          <w:rFonts w:ascii="Arial" w:eastAsia="Calibri" w:hAnsi="Arial" w:cs="Arial"/>
          <w:bCs/>
          <w:sz w:val="22"/>
          <w:szCs w:val="22"/>
          <w:lang w:val="es-ES_tradnl"/>
        </w:rPr>
        <w:t>De acuerdo con esta interpretación restrictiva</w:t>
      </w:r>
      <w:r w:rsidRPr="00E858D2">
        <w:rPr>
          <w:rStyle w:val="Refdenotaalpie"/>
          <w:rFonts w:ascii="Arial" w:eastAsia="Calibri" w:hAnsi="Arial" w:cs="Arial"/>
        </w:rPr>
        <w:footnoteReference w:id="28"/>
      </w:r>
      <w:r w:rsidRPr="00E858D2">
        <w:rPr>
          <w:rFonts w:ascii="Arial" w:eastAsia="Calibri" w:hAnsi="Arial" w:cs="Arial"/>
          <w:bCs/>
          <w:sz w:val="22"/>
          <w:szCs w:val="22"/>
          <w:lang w:val="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w:t>
      </w:r>
      <w:r w:rsidRPr="00E858D2">
        <w:rPr>
          <w:rFonts w:ascii="Arial" w:eastAsia="Calibri" w:hAnsi="Arial" w:cs="Arial"/>
          <w:bCs/>
          <w:i/>
          <w:iCs/>
          <w:sz w:val="22"/>
          <w:szCs w:val="22"/>
          <w:lang w:val="es-ES_tradnl"/>
        </w:rPr>
        <w:t xml:space="preserve">giro ordinario, </w:t>
      </w:r>
      <w:r w:rsidRPr="00E858D2">
        <w:rPr>
          <w:rFonts w:ascii="Arial" w:eastAsia="Calibri" w:hAnsi="Arial" w:cs="Arial"/>
          <w:bCs/>
          <w:sz w:val="22"/>
          <w:szCs w:val="22"/>
          <w:lang w:val="es-ES_tradnl"/>
        </w:rPr>
        <w:t>derivada del cumplimiento de contratos y/o convenios con entidades sometidas al EGCAP. Por ello, no es posible sostener una interpretación teleológica</w:t>
      </w:r>
      <w:r w:rsidR="004A172B">
        <w:rPr>
          <w:rFonts w:ascii="Arial" w:eastAsia="Calibri" w:hAnsi="Arial" w:cs="Arial"/>
          <w:bCs/>
          <w:sz w:val="22"/>
          <w:szCs w:val="22"/>
          <w:lang w:val="es-ES_tradnl"/>
        </w:rPr>
        <w:t>,</w:t>
      </w:r>
      <w:r w:rsidRPr="00E858D2">
        <w:rPr>
          <w:rFonts w:ascii="Arial" w:eastAsia="Calibri" w:hAnsi="Arial" w:cs="Arial"/>
          <w:bCs/>
          <w:sz w:val="22"/>
          <w:szCs w:val="22"/>
          <w:lang w:val="es-ES_tradnl"/>
        </w:rPr>
        <w:t xml:space="preserve"> que pretenda una aplicación extensiva de los documentos tipo por parte de las entidades estatales que menciona el parágrafo, pues  ello</w:t>
      </w:r>
      <w:r w:rsidR="004A172B">
        <w:rPr>
          <w:rFonts w:ascii="Arial" w:eastAsia="Calibri" w:hAnsi="Arial" w:cs="Arial"/>
          <w:bCs/>
          <w:sz w:val="22"/>
          <w:szCs w:val="22"/>
          <w:lang w:val="es-ES_tradnl"/>
        </w:rPr>
        <w:t>,</w:t>
      </w:r>
      <w:r w:rsidRPr="00E858D2">
        <w:rPr>
          <w:rFonts w:ascii="Arial" w:eastAsia="Calibri" w:hAnsi="Arial" w:cs="Arial"/>
          <w:bCs/>
          <w:sz w:val="22"/>
          <w:szCs w:val="22"/>
          <w:lang w:val="es-ES_tradnl"/>
        </w:rPr>
        <w:t xml:space="preserve"> además</w:t>
      </w:r>
      <w:r w:rsidR="004A172B">
        <w:rPr>
          <w:rFonts w:ascii="Arial" w:eastAsia="Calibri" w:hAnsi="Arial" w:cs="Arial"/>
          <w:bCs/>
          <w:sz w:val="22"/>
          <w:szCs w:val="22"/>
          <w:lang w:val="es-ES_tradnl"/>
        </w:rPr>
        <w:t>,</w:t>
      </w:r>
      <w:r w:rsidRPr="00E858D2">
        <w:rPr>
          <w:rFonts w:ascii="Arial" w:eastAsia="Calibri" w:hAnsi="Arial" w:cs="Arial"/>
          <w:bCs/>
          <w:sz w:val="22"/>
          <w:szCs w:val="22"/>
          <w:lang w:val="es-ES_tradnl"/>
        </w:rPr>
        <w:t xml:space="preserve"> implicaría contrariar aquel mandato interpretativo según el cual «cuando el sentido de la ley sea claro, no se desatenderá su tenor literal a pretexto de consultar su espíritu»</w:t>
      </w:r>
      <w:r w:rsidRPr="00E858D2">
        <w:rPr>
          <w:rStyle w:val="Refdenotaalpie"/>
          <w:rFonts w:ascii="Arial" w:hAnsi="Arial" w:cs="Arial"/>
        </w:rPr>
        <w:footnoteReference w:id="29"/>
      </w:r>
      <w:r w:rsidRPr="00E858D2">
        <w:rPr>
          <w:rFonts w:ascii="Arial" w:eastAsia="Calibri" w:hAnsi="Arial" w:cs="Arial"/>
          <w:bCs/>
          <w:sz w:val="22"/>
          <w:szCs w:val="22"/>
          <w:lang w:val="es-ES_tradnl"/>
        </w:rPr>
        <w:t>, al igual que la regla según la cual «</w:t>
      </w:r>
      <w:r w:rsidRPr="00E858D2">
        <w:rPr>
          <w:rFonts w:ascii="Arial" w:hAnsi="Arial" w:cs="Arial"/>
          <w:sz w:val="22"/>
          <w:szCs w:val="22"/>
        </w:rPr>
        <w:t>Lo favorable u odioso de una disposición no se tomará en cuenta para ampliar o restringir su interpretación»</w:t>
      </w:r>
      <w:r w:rsidRPr="00E858D2">
        <w:rPr>
          <w:rStyle w:val="Refdenotaalpie"/>
          <w:rFonts w:ascii="Arial" w:hAnsi="Arial" w:cs="Arial"/>
        </w:rPr>
        <w:footnoteReference w:id="30"/>
      </w:r>
      <w:r w:rsidRPr="00E858D2">
        <w:rPr>
          <w:rFonts w:ascii="Arial" w:hAnsi="Arial" w:cs="Arial"/>
          <w:sz w:val="22"/>
          <w:szCs w:val="22"/>
        </w:rPr>
        <w:t xml:space="preserve">. </w:t>
      </w:r>
    </w:p>
    <w:p w14:paraId="6A043097" w14:textId="205120D2" w:rsidR="00235D5E" w:rsidRDefault="00897B2E" w:rsidP="004633CF">
      <w:pPr>
        <w:tabs>
          <w:tab w:val="left" w:pos="0"/>
        </w:tabs>
        <w:spacing w:before="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lastRenderedPageBreak/>
        <w:t xml:space="preserve">En conclusión, a juicio de esta Agencia lo dispuesto en el parágrafo del artículo 56 de la Ley 2195 de 2022 es una manifestación de la voluntad del Legislador de relevar a las </w:t>
      </w:r>
      <w:r w:rsidRPr="00E858D2">
        <w:rPr>
          <w:rFonts w:ascii="Arial" w:eastAsia="Calibri" w:hAnsi="Arial" w:cs="Arial"/>
          <w:bCs/>
          <w:sz w:val="22"/>
          <w:szCs w:val="22"/>
          <w:lang w:val="es-ES_tradnl"/>
        </w:rPr>
        <w:t xml:space="preserve">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Pr="00E858D2">
        <w:rPr>
          <w:rFonts w:ascii="Arial" w:eastAsia="Calibri" w:hAnsi="Arial" w:cs="Arial"/>
          <w:bCs/>
          <w:i/>
          <w:iCs/>
          <w:sz w:val="22"/>
          <w:szCs w:val="22"/>
          <w:lang w:val="es-ES_tradnl"/>
        </w:rPr>
        <w:t>giro ordinario</w:t>
      </w:r>
      <w:r w:rsidRPr="00E858D2">
        <w:rPr>
          <w:rFonts w:ascii="Arial" w:eastAsia="Calibri" w:hAnsi="Arial" w:cs="Arial"/>
          <w:bCs/>
          <w:sz w:val="22"/>
          <w:szCs w:val="22"/>
          <w:lang w:val="es-ES_tradnl"/>
        </w:rPr>
        <w:t xml:space="preserve">. Esto significa que tales entidades, </w:t>
      </w:r>
      <w:r w:rsidRPr="00E858D2">
        <w:rPr>
          <w:rFonts w:ascii="Arial" w:eastAsia="Calibri" w:hAnsi="Arial" w:cs="Arial"/>
          <w:bCs/>
          <w:sz w:val="22"/>
          <w:lang w:val="es-ES_tradnl"/>
        </w:rPr>
        <w:t>cuando</w:t>
      </w:r>
      <w:r w:rsidR="00AF625B">
        <w:rPr>
          <w:rFonts w:ascii="Arial" w:eastAsia="Calibri" w:hAnsi="Arial" w:cs="Arial"/>
          <w:bCs/>
          <w:sz w:val="22"/>
          <w:lang w:val="es-ES_tradnl"/>
        </w:rPr>
        <w:t>,</w:t>
      </w:r>
      <w:r w:rsidRPr="00E858D2">
        <w:rPr>
          <w:rFonts w:ascii="Arial" w:eastAsia="Calibri" w:hAnsi="Arial" w:cs="Arial"/>
          <w:bCs/>
          <w:sz w:val="22"/>
          <w:lang w:val="es-ES_tradnl"/>
        </w:rPr>
        <w:t xml:space="preserve"> en desarrollo de un contrato o un convenio con una entidad sometida al EGCAP, requieran contratar un objeto cobijado por algún documento tipo, que no esté comprendido dentro de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deberán regirse por lo establecido en los dos incisos del referido artículo. </w:t>
      </w:r>
      <w:r>
        <w:rPr>
          <w:rFonts w:ascii="Arial" w:eastAsia="Calibri" w:hAnsi="Arial" w:cs="Arial"/>
          <w:bCs/>
          <w:sz w:val="22"/>
          <w:lang w:val="es-ES_tradnl"/>
        </w:rPr>
        <w:t xml:space="preserve">Esta interpretación </w:t>
      </w:r>
      <w:r w:rsidRPr="00942B09">
        <w:rPr>
          <w:rFonts w:ascii="Arial" w:eastAsia="Calibri" w:hAnsi="Arial" w:cs="Arial"/>
          <w:bCs/>
          <w:sz w:val="22"/>
          <w:lang w:val="es-ES_tradnl"/>
        </w:rPr>
        <w:t>encuentra sustento en el principio del efecto útil del artículo 56 de la Ley 2195 de 2022, pues refleja el alcance que el Legislador quiso darle a la norma en comento.</w:t>
      </w:r>
      <w:r w:rsidR="00DB13DD" w:rsidRPr="00F31CBB">
        <w:rPr>
          <w:rFonts w:ascii="Arial" w:eastAsia="Calibri" w:hAnsi="Arial" w:cs="Arial"/>
          <w:bCs/>
          <w:sz w:val="22"/>
          <w:lang w:val="es-ES_tradnl"/>
        </w:rPr>
        <w:t xml:space="preserve"> </w:t>
      </w:r>
    </w:p>
    <w:p w14:paraId="3CF5AEC0" w14:textId="6364DEA5" w:rsidR="00186984" w:rsidRDefault="000726D1" w:rsidP="00186984">
      <w:pPr>
        <w:spacing w:before="120" w:line="276" w:lineRule="auto"/>
        <w:ind w:firstLine="709"/>
        <w:jc w:val="both"/>
        <w:rPr>
          <w:rFonts w:ascii="Arial" w:eastAsia="Calibri" w:hAnsi="Arial" w:cs="Arial"/>
          <w:bCs/>
          <w:color w:val="000000"/>
          <w:sz w:val="22"/>
          <w:lang w:val="es-ES_tradnl"/>
        </w:rPr>
      </w:pPr>
      <w:r>
        <w:rPr>
          <w:rFonts w:ascii="Arial" w:eastAsia="Calibri" w:hAnsi="Arial" w:cs="Arial"/>
          <w:color w:val="000000"/>
          <w:sz w:val="22"/>
          <w:lang w:val="es-ES_tradnl"/>
        </w:rPr>
        <w:t>Ahora bien, en la consulta se indaga</w:t>
      </w:r>
      <w:r w:rsidR="006513FF">
        <w:rPr>
          <w:rFonts w:ascii="Arial" w:eastAsia="Calibri" w:hAnsi="Arial" w:cs="Arial"/>
          <w:color w:val="000000"/>
          <w:sz w:val="22"/>
          <w:lang w:val="es-ES_tradnl"/>
        </w:rPr>
        <w:t xml:space="preserve"> </w:t>
      </w:r>
      <w:r w:rsidR="00847804">
        <w:rPr>
          <w:rFonts w:ascii="Arial" w:eastAsia="Calibri" w:hAnsi="Arial" w:cs="Arial"/>
          <w:color w:val="000000"/>
          <w:sz w:val="22"/>
          <w:lang w:val="es-ES_tradnl"/>
        </w:rPr>
        <w:t>respecto de</w:t>
      </w:r>
      <w:r w:rsidR="006513FF">
        <w:rPr>
          <w:rFonts w:ascii="Arial" w:eastAsia="Calibri" w:hAnsi="Arial" w:cs="Arial"/>
          <w:color w:val="000000"/>
          <w:sz w:val="22"/>
          <w:lang w:val="es-ES_tradnl"/>
        </w:rPr>
        <w:t xml:space="preserve"> </w:t>
      </w:r>
      <w:r w:rsidR="00186984">
        <w:rPr>
          <w:rFonts w:ascii="Arial" w:eastAsia="Calibri" w:hAnsi="Arial" w:cs="Arial"/>
          <w:color w:val="000000"/>
          <w:sz w:val="22"/>
          <w:lang w:val="es-ES_tradnl"/>
        </w:rPr>
        <w:t>la aplicación de la excepción consagrada en el parágrafo del artículo 56</w:t>
      </w:r>
      <w:r w:rsidR="00186984" w:rsidRPr="00580A56">
        <w:rPr>
          <w:rFonts w:ascii="Arial" w:eastAsia="Calibri" w:hAnsi="Arial" w:cs="Arial"/>
          <w:i/>
          <w:iCs/>
          <w:color w:val="000000"/>
          <w:sz w:val="22"/>
          <w:lang w:val="es-ES_tradnl"/>
        </w:rPr>
        <w:t xml:space="preserve"> </w:t>
      </w:r>
      <w:proofErr w:type="spellStart"/>
      <w:r w:rsidR="00186984" w:rsidRPr="00580A56">
        <w:rPr>
          <w:rFonts w:ascii="Arial" w:eastAsia="Calibri" w:hAnsi="Arial" w:cs="Arial"/>
          <w:i/>
          <w:iCs/>
          <w:color w:val="000000"/>
          <w:sz w:val="22"/>
          <w:lang w:val="es-ES_tradnl"/>
        </w:rPr>
        <w:t>ib</w:t>
      </w:r>
      <w:r w:rsidR="00847804">
        <w:rPr>
          <w:rFonts w:ascii="Arial" w:eastAsia="Calibri" w:hAnsi="Arial" w:cs="Arial"/>
          <w:i/>
          <w:iCs/>
          <w:color w:val="000000"/>
          <w:sz w:val="22"/>
          <w:lang w:val="es-ES_tradnl"/>
        </w:rPr>
        <w:t>í</w:t>
      </w:r>
      <w:r w:rsidR="00186984" w:rsidRPr="00580A56">
        <w:rPr>
          <w:rFonts w:ascii="Arial" w:eastAsia="Calibri" w:hAnsi="Arial" w:cs="Arial"/>
          <w:i/>
          <w:iCs/>
          <w:color w:val="000000"/>
          <w:sz w:val="22"/>
          <w:lang w:val="es-ES_tradnl"/>
        </w:rPr>
        <w:t>dem</w:t>
      </w:r>
      <w:proofErr w:type="spellEnd"/>
      <w:r w:rsidR="00186984" w:rsidRPr="00580A56">
        <w:rPr>
          <w:rFonts w:ascii="Arial" w:eastAsia="Calibri" w:hAnsi="Arial" w:cs="Arial"/>
          <w:color w:val="000000"/>
          <w:sz w:val="22"/>
          <w:lang w:val="es-ES_tradnl"/>
        </w:rPr>
        <w:t xml:space="preserve"> a las empresas prestadoras de servicios públicos </w:t>
      </w:r>
      <w:r w:rsidR="00847804">
        <w:rPr>
          <w:rFonts w:ascii="Arial" w:eastAsia="Calibri" w:hAnsi="Arial" w:cs="Arial"/>
          <w:color w:val="000000"/>
          <w:sz w:val="22"/>
          <w:lang w:val="es-ES_tradnl"/>
        </w:rPr>
        <w:t>mixtas</w:t>
      </w:r>
      <w:r w:rsidR="00955163">
        <w:rPr>
          <w:rFonts w:ascii="Arial" w:eastAsia="Calibri" w:hAnsi="Arial" w:cs="Arial"/>
          <w:color w:val="000000"/>
          <w:sz w:val="22"/>
          <w:lang w:val="es-ES_tradnl"/>
        </w:rPr>
        <w:t xml:space="preserve"> y </w:t>
      </w:r>
      <w:r w:rsidR="006513FF">
        <w:rPr>
          <w:rFonts w:ascii="Arial" w:eastAsia="Calibri" w:hAnsi="Arial" w:cs="Arial"/>
          <w:color w:val="000000"/>
          <w:sz w:val="22"/>
          <w:lang w:val="es-ES_tradnl"/>
        </w:rPr>
        <w:t>si</w:t>
      </w:r>
      <w:r w:rsidR="00B83811">
        <w:rPr>
          <w:rFonts w:ascii="Arial" w:eastAsia="Calibri" w:hAnsi="Arial" w:cs="Arial"/>
          <w:color w:val="000000"/>
          <w:sz w:val="22"/>
          <w:lang w:val="es-ES_tradnl"/>
        </w:rPr>
        <w:t xml:space="preserve"> </w:t>
      </w:r>
      <w:r w:rsidR="00955163">
        <w:rPr>
          <w:rFonts w:ascii="Arial" w:eastAsia="Calibri" w:hAnsi="Arial" w:cs="Arial"/>
          <w:color w:val="000000"/>
          <w:sz w:val="22"/>
          <w:lang w:val="es-ES_tradnl"/>
        </w:rPr>
        <w:t xml:space="preserve">estas </w:t>
      </w:r>
      <w:r w:rsidR="00F50E0B">
        <w:rPr>
          <w:rFonts w:ascii="Arial" w:eastAsia="Calibri" w:hAnsi="Arial" w:cs="Arial"/>
          <w:color w:val="000000"/>
          <w:sz w:val="22"/>
          <w:lang w:val="es-ES_tradnl"/>
        </w:rPr>
        <w:t>se encuentran</w:t>
      </w:r>
      <w:r w:rsidR="00955163">
        <w:rPr>
          <w:rFonts w:ascii="Arial" w:eastAsia="Calibri" w:hAnsi="Arial" w:cs="Arial"/>
          <w:color w:val="000000"/>
          <w:sz w:val="22"/>
          <w:lang w:val="es-ES_tradnl"/>
        </w:rPr>
        <w:t xml:space="preserve"> inclui</w:t>
      </w:r>
      <w:r w:rsidR="00F50E0B">
        <w:rPr>
          <w:rFonts w:ascii="Arial" w:eastAsia="Calibri" w:hAnsi="Arial" w:cs="Arial"/>
          <w:color w:val="000000"/>
          <w:sz w:val="22"/>
          <w:lang w:val="es-ES_tradnl"/>
        </w:rPr>
        <w:t>das</w:t>
      </w:r>
      <w:r w:rsidR="00955163">
        <w:rPr>
          <w:rFonts w:ascii="Arial" w:eastAsia="Calibri" w:hAnsi="Arial" w:cs="Arial"/>
          <w:color w:val="000000"/>
          <w:sz w:val="22"/>
          <w:lang w:val="es-ES_tradnl"/>
        </w:rPr>
        <w:t xml:space="preserve"> dentro del concepto de sociedades de economía mixta</w:t>
      </w:r>
      <w:r>
        <w:rPr>
          <w:rFonts w:ascii="Arial" w:eastAsia="Calibri" w:hAnsi="Arial" w:cs="Arial"/>
          <w:color w:val="000000"/>
          <w:sz w:val="22"/>
          <w:lang w:val="es-ES_tradnl"/>
        </w:rPr>
        <w:t>. Frente al particular</w:t>
      </w:r>
      <w:r w:rsidR="00955163">
        <w:rPr>
          <w:rFonts w:ascii="Arial" w:eastAsia="Calibri" w:hAnsi="Arial" w:cs="Arial"/>
          <w:color w:val="000000"/>
          <w:sz w:val="22"/>
          <w:lang w:val="es-ES_tradnl"/>
        </w:rPr>
        <w:t>,</w:t>
      </w:r>
      <w:r w:rsidR="00186984" w:rsidRPr="00580A56">
        <w:rPr>
          <w:rFonts w:ascii="Arial" w:eastAsia="Calibri" w:hAnsi="Arial" w:cs="Arial"/>
          <w:color w:val="000000"/>
          <w:sz w:val="22"/>
          <w:lang w:val="es-ES_tradnl"/>
        </w:rPr>
        <w:t xml:space="preserve"> debe </w:t>
      </w:r>
      <w:r w:rsidR="00186984">
        <w:rPr>
          <w:rFonts w:ascii="Arial" w:eastAsia="Calibri" w:hAnsi="Arial" w:cs="Arial"/>
          <w:color w:val="000000"/>
          <w:sz w:val="22"/>
          <w:lang w:val="es-ES_tradnl"/>
        </w:rPr>
        <w:t>reiterarse</w:t>
      </w:r>
      <w:r w:rsidR="00186984" w:rsidRPr="00580A56">
        <w:rPr>
          <w:rFonts w:ascii="Arial" w:eastAsia="Calibri" w:hAnsi="Arial" w:cs="Arial"/>
          <w:color w:val="000000"/>
          <w:sz w:val="22"/>
          <w:lang w:val="es-ES_tradnl"/>
        </w:rPr>
        <w:t xml:space="preserve"> </w:t>
      </w:r>
      <w:r w:rsidR="00186984">
        <w:rPr>
          <w:rFonts w:ascii="Arial" w:eastAsia="Calibri" w:hAnsi="Arial" w:cs="Arial"/>
          <w:color w:val="000000"/>
          <w:sz w:val="22"/>
          <w:lang w:val="es-ES_tradnl"/>
        </w:rPr>
        <w:t xml:space="preserve">que </w:t>
      </w:r>
      <w:r w:rsidR="00186984" w:rsidRPr="00486741">
        <w:rPr>
          <w:rFonts w:ascii="Arial" w:eastAsia="Calibri" w:hAnsi="Arial" w:cs="Arial"/>
          <w:bCs/>
          <w:color w:val="000000"/>
          <w:sz w:val="22"/>
          <w:lang w:val="es-ES_tradnl"/>
        </w:rPr>
        <w:t>e</w:t>
      </w:r>
      <w:r w:rsidR="00186984">
        <w:rPr>
          <w:rFonts w:ascii="Arial" w:eastAsia="Calibri" w:hAnsi="Arial" w:cs="Arial"/>
          <w:bCs/>
          <w:color w:val="000000"/>
          <w:sz w:val="22"/>
          <w:lang w:val="es-ES_tradnl"/>
        </w:rPr>
        <w:t>ste</w:t>
      </w:r>
      <w:r w:rsidR="00186984" w:rsidRPr="00486741">
        <w:rPr>
          <w:rFonts w:ascii="Arial" w:eastAsia="Calibri" w:hAnsi="Arial" w:cs="Arial"/>
          <w:bCs/>
          <w:color w:val="000000"/>
          <w:sz w:val="22"/>
          <w:lang w:val="es-ES_tradnl"/>
        </w:rPr>
        <w:t xml:space="preserve"> parágrafo es una norma que establece una excepción, por lo que, en virtud de dicho carácter, amerita una interpretación restrictiva, esto es, apegada a lo que</w:t>
      </w:r>
      <w:r w:rsidR="00956127">
        <w:rPr>
          <w:rFonts w:ascii="Arial" w:eastAsia="Calibri" w:hAnsi="Arial" w:cs="Arial"/>
          <w:bCs/>
          <w:color w:val="000000"/>
          <w:sz w:val="22"/>
          <w:lang w:val="es-ES_tradnl"/>
        </w:rPr>
        <w:t>,</w:t>
      </w:r>
      <w:r w:rsidR="00186984" w:rsidRPr="00486741">
        <w:rPr>
          <w:rFonts w:ascii="Arial" w:eastAsia="Calibri" w:hAnsi="Arial" w:cs="Arial"/>
          <w:bCs/>
          <w:color w:val="000000"/>
          <w:sz w:val="22"/>
          <w:lang w:val="es-ES_tradnl"/>
        </w:rPr>
        <w:t xml:space="preserve"> literalmente</w:t>
      </w:r>
      <w:r w:rsidR="00956127">
        <w:rPr>
          <w:rFonts w:ascii="Arial" w:eastAsia="Calibri" w:hAnsi="Arial" w:cs="Arial"/>
          <w:bCs/>
          <w:color w:val="000000"/>
          <w:sz w:val="22"/>
          <w:lang w:val="es-ES_tradnl"/>
        </w:rPr>
        <w:t>,</w:t>
      </w:r>
      <w:r w:rsidR="00186984" w:rsidRPr="00486741">
        <w:rPr>
          <w:rFonts w:ascii="Arial" w:eastAsia="Calibri" w:hAnsi="Arial" w:cs="Arial"/>
          <w:bCs/>
          <w:color w:val="000000"/>
          <w:sz w:val="22"/>
          <w:lang w:val="es-ES_tradnl"/>
        </w:rPr>
        <w:t xml:space="preserve"> se desprende del texto. La redacción de la norma evidencia c</w:t>
      </w:r>
      <w:r w:rsidR="00956127">
        <w:rPr>
          <w:rFonts w:ascii="Arial" w:eastAsia="Calibri" w:hAnsi="Arial" w:cs="Arial"/>
          <w:bCs/>
          <w:color w:val="000000"/>
          <w:sz w:val="22"/>
          <w:lang w:val="es-ES_tradnl"/>
        </w:rPr>
        <w:t>ó</w:t>
      </w:r>
      <w:r w:rsidR="00186984" w:rsidRPr="00486741">
        <w:rPr>
          <w:rFonts w:ascii="Arial" w:eastAsia="Calibri" w:hAnsi="Arial" w:cs="Arial"/>
          <w:bCs/>
          <w:color w:val="000000"/>
          <w:sz w:val="22"/>
          <w:lang w:val="es-ES_tradnl"/>
        </w:rPr>
        <w:t xml:space="preserve">mo la excepción a la aplicación forzosa es formulada respecto </w:t>
      </w:r>
      <w:r w:rsidR="00B91A87">
        <w:rPr>
          <w:rFonts w:ascii="Arial" w:eastAsia="Calibri" w:hAnsi="Arial" w:cs="Arial"/>
          <w:bCs/>
          <w:color w:val="000000"/>
          <w:sz w:val="22"/>
          <w:lang w:val="es-ES_tradnl"/>
        </w:rPr>
        <w:t xml:space="preserve">de </w:t>
      </w:r>
      <w:r w:rsidR="00186984" w:rsidRPr="00486741">
        <w:rPr>
          <w:rFonts w:ascii="Arial" w:eastAsia="Calibri" w:hAnsi="Arial" w:cs="Arial"/>
          <w:bCs/>
          <w:color w:val="000000"/>
          <w:sz w:val="22"/>
          <w:lang w:val="es-ES_tradnl"/>
        </w:rPr>
        <w:t xml:space="preserve">ciertos tipos de entidades estatales, las cuales son mencionadas </w:t>
      </w:r>
      <w:r w:rsidR="00955163">
        <w:rPr>
          <w:rFonts w:ascii="Arial" w:eastAsia="Calibri" w:hAnsi="Arial" w:cs="Arial"/>
          <w:bCs/>
          <w:color w:val="000000"/>
          <w:sz w:val="22"/>
          <w:lang w:val="es-ES_tradnl"/>
        </w:rPr>
        <w:t>por</w:t>
      </w:r>
      <w:r w:rsidR="00186984" w:rsidRPr="00486741">
        <w:rPr>
          <w:rFonts w:ascii="Arial" w:eastAsia="Calibri" w:hAnsi="Arial" w:cs="Arial"/>
          <w:bCs/>
          <w:color w:val="000000"/>
          <w:sz w:val="22"/>
          <w:lang w:val="es-ES_tradnl"/>
        </w:rPr>
        <w:t xml:space="preserve"> su naturaleza jurídica, sin que se incluya consideración alguna relacionada con el régimen jurídico al que se encuentren sometidas. La norma tampoco </w:t>
      </w:r>
      <w:r w:rsidR="00186984">
        <w:rPr>
          <w:rFonts w:ascii="Arial" w:eastAsia="Calibri" w:hAnsi="Arial" w:cs="Arial"/>
          <w:bCs/>
          <w:color w:val="000000"/>
          <w:sz w:val="22"/>
          <w:lang w:val="es-ES_tradnl"/>
        </w:rPr>
        <w:t>determina</w:t>
      </w:r>
      <w:r w:rsidR="00186984" w:rsidRPr="00486741">
        <w:rPr>
          <w:rFonts w:ascii="Arial" w:eastAsia="Calibri" w:hAnsi="Arial" w:cs="Arial"/>
          <w:bCs/>
          <w:color w:val="000000"/>
          <w:sz w:val="22"/>
          <w:lang w:val="es-ES_tradnl"/>
        </w:rPr>
        <w:t xml:space="preserve"> algún supuesto en atención al cual pueda aplicarse la excepción a algún sujeto con una naturaleza jurídica distinta de las específicamente mencionadas.</w:t>
      </w:r>
    </w:p>
    <w:p w14:paraId="383DE10E" w14:textId="3F3DE667" w:rsidR="00186984" w:rsidRPr="00486741" w:rsidRDefault="00186984" w:rsidP="00186984">
      <w:pPr>
        <w:spacing w:before="120" w:line="276" w:lineRule="auto"/>
        <w:ind w:firstLine="709"/>
        <w:jc w:val="both"/>
        <w:rPr>
          <w:rFonts w:ascii="Arial" w:eastAsia="Calibri" w:hAnsi="Arial" w:cs="Arial"/>
          <w:bCs/>
          <w:color w:val="000000"/>
          <w:sz w:val="22"/>
          <w:lang w:val="es-ES_tradnl"/>
        </w:rPr>
      </w:pPr>
      <w:r>
        <w:rPr>
          <w:rFonts w:ascii="Arial" w:eastAsia="Calibri" w:hAnsi="Arial" w:cs="Arial"/>
          <w:color w:val="000000"/>
          <w:sz w:val="22"/>
          <w:lang w:val="es-ES_tradnl"/>
        </w:rPr>
        <w:t xml:space="preserve">De acuerdo con </w:t>
      </w:r>
      <w:r w:rsidRPr="00580A56">
        <w:rPr>
          <w:rFonts w:ascii="Arial" w:eastAsia="Calibri" w:hAnsi="Arial" w:cs="Arial"/>
          <w:color w:val="000000"/>
          <w:sz w:val="22"/>
          <w:lang w:val="es-ES_tradnl"/>
        </w:rPr>
        <w:t xml:space="preserve">este criterio interpretativo y comoquiera que la norma determina las excepciones en consideración a la naturaleza jurídica de los sujetos que menciona, sin hacer distinción alguna respecto de su régimen </w:t>
      </w:r>
      <w:r>
        <w:rPr>
          <w:rFonts w:ascii="Arial" w:eastAsia="Calibri" w:hAnsi="Arial" w:cs="Arial"/>
          <w:color w:val="000000"/>
          <w:sz w:val="22"/>
          <w:lang w:val="es-ES_tradnl"/>
        </w:rPr>
        <w:t>contractual</w:t>
      </w:r>
      <w:r w:rsidRPr="00580A56">
        <w:rPr>
          <w:rFonts w:ascii="Arial" w:eastAsia="Calibri" w:hAnsi="Arial" w:cs="Arial"/>
          <w:color w:val="000000"/>
          <w:sz w:val="22"/>
          <w:lang w:val="es-ES_tradnl"/>
        </w:rPr>
        <w:t xml:space="preserve">, es posible concluir que la excepción predicable de las sociedades de económica mixta no resulta extensible a entidades que no </w:t>
      </w:r>
      <w:r>
        <w:rPr>
          <w:rFonts w:ascii="Arial" w:eastAsia="Calibri" w:hAnsi="Arial" w:cs="Arial"/>
          <w:color w:val="000000"/>
          <w:sz w:val="22"/>
          <w:lang w:val="es-ES_tradnl"/>
        </w:rPr>
        <w:t>cuenten con</w:t>
      </w:r>
      <w:r w:rsidRPr="00580A56">
        <w:rPr>
          <w:rFonts w:ascii="Arial" w:eastAsia="Calibri" w:hAnsi="Arial" w:cs="Arial"/>
          <w:color w:val="000000"/>
          <w:sz w:val="22"/>
          <w:lang w:val="es-ES_tradnl"/>
        </w:rPr>
        <w:t xml:space="preserve"> dicha naturaleza</w:t>
      </w:r>
      <w:r w:rsidR="00B83811">
        <w:rPr>
          <w:rFonts w:ascii="Arial" w:eastAsia="Calibri" w:hAnsi="Arial" w:cs="Arial"/>
          <w:color w:val="000000"/>
          <w:sz w:val="22"/>
          <w:lang w:val="es-ES_tradnl"/>
        </w:rPr>
        <w:t>, como sucede con las empresas de servicios públicos mixta</w:t>
      </w:r>
      <w:r w:rsidR="00B91A87">
        <w:rPr>
          <w:rFonts w:ascii="Arial" w:eastAsia="Calibri" w:hAnsi="Arial" w:cs="Arial"/>
          <w:color w:val="000000"/>
          <w:sz w:val="22"/>
          <w:lang w:val="es-ES_tradnl"/>
        </w:rPr>
        <w:t>s</w:t>
      </w:r>
      <w:r w:rsidRPr="00580A56">
        <w:rPr>
          <w:rFonts w:ascii="Arial" w:eastAsia="Calibri" w:hAnsi="Arial" w:cs="Arial"/>
          <w:color w:val="000000"/>
          <w:sz w:val="22"/>
          <w:lang w:val="es-ES_tradnl"/>
        </w:rPr>
        <w:t xml:space="preserve">. </w:t>
      </w:r>
    </w:p>
    <w:p w14:paraId="5BD004B4" w14:textId="775BAB1A" w:rsidR="00186984" w:rsidRPr="00BF1FDE" w:rsidRDefault="00186984" w:rsidP="00BF1FDE">
      <w:pPr>
        <w:spacing w:before="120" w:line="276" w:lineRule="auto"/>
        <w:ind w:firstLine="709"/>
        <w:jc w:val="both"/>
        <w:rPr>
          <w:rFonts w:ascii="Arial" w:eastAsia="Calibri" w:hAnsi="Arial" w:cs="Arial"/>
          <w:bCs/>
          <w:color w:val="000000"/>
          <w:sz w:val="22"/>
          <w:lang w:val="es-ES_tradnl"/>
        </w:rPr>
      </w:pPr>
      <w:r>
        <w:rPr>
          <w:rFonts w:ascii="Arial" w:eastAsia="Calibri" w:hAnsi="Arial" w:cs="Arial"/>
          <w:color w:val="000000"/>
          <w:sz w:val="22"/>
          <w:lang w:val="es-ES_tradnl"/>
        </w:rPr>
        <w:t>En efecto, co</w:t>
      </w:r>
      <w:r w:rsidR="004112B5">
        <w:rPr>
          <w:rFonts w:ascii="Arial" w:eastAsia="Calibri" w:hAnsi="Arial" w:cs="Arial"/>
          <w:color w:val="000000"/>
          <w:sz w:val="22"/>
          <w:lang w:val="es-ES_tradnl"/>
        </w:rPr>
        <w:t>mo</w:t>
      </w:r>
      <w:r>
        <w:rPr>
          <w:rFonts w:ascii="Arial" w:eastAsia="Calibri" w:hAnsi="Arial" w:cs="Arial"/>
          <w:color w:val="000000"/>
          <w:sz w:val="22"/>
          <w:lang w:val="es-ES_tradnl"/>
        </w:rPr>
        <w:t xml:space="preserve"> se expuso en el numeral 2.2. de este concepto, l</w:t>
      </w:r>
      <w:r w:rsidRPr="00580A56">
        <w:rPr>
          <w:rFonts w:ascii="Arial" w:eastAsia="Calibri" w:hAnsi="Arial" w:cs="Arial"/>
          <w:color w:val="000000"/>
          <w:sz w:val="22"/>
          <w:lang w:val="es-ES_tradnl"/>
        </w:rPr>
        <w:t xml:space="preserve">as empresas de servicios públicos mixtas tienen una naturaleza jurídica especial conforme al artículo 356 de la Constitución Política, distinta de las sociedad de economía mixta. Por ello, las empresas de servicios públicos mixtas son una tipología especial de entidades públicas, que tienen un régimen y una naturaleza jurídica propios, por así determinarlo el </w:t>
      </w:r>
      <w:r w:rsidRPr="00580A56">
        <w:rPr>
          <w:rFonts w:ascii="Arial" w:eastAsia="Calibri" w:hAnsi="Arial" w:cs="Arial"/>
          <w:color w:val="000000"/>
          <w:sz w:val="22"/>
          <w:lang w:val="es-ES_tradnl"/>
        </w:rPr>
        <w:lastRenderedPageBreak/>
        <w:t>constituyente primario en los artículos 365 y 367 de la Constitución, por lo que no deben confundirse con las sociedades de economía mixta.</w:t>
      </w:r>
      <w:r w:rsidR="001A2BDB">
        <w:rPr>
          <w:rFonts w:ascii="Arial" w:eastAsia="Calibri" w:hAnsi="Arial" w:cs="Arial"/>
          <w:color w:val="000000"/>
          <w:sz w:val="22"/>
          <w:lang w:val="es-ES_tradnl"/>
        </w:rPr>
        <w:t xml:space="preserve"> </w:t>
      </w:r>
      <w:r w:rsidRPr="00580A56">
        <w:rPr>
          <w:rFonts w:ascii="Arial" w:eastAsia="Calibri" w:hAnsi="Arial" w:cs="Arial"/>
          <w:color w:val="000000"/>
          <w:sz w:val="22"/>
          <w:lang w:val="es-ES_tradnl"/>
        </w:rPr>
        <w:t>En este sentido, al tratarse de figuras distintas</w:t>
      </w:r>
      <w:r w:rsidR="00E057C1">
        <w:rPr>
          <w:rFonts w:ascii="Arial" w:eastAsia="Calibri" w:hAnsi="Arial" w:cs="Arial"/>
          <w:color w:val="000000"/>
          <w:sz w:val="22"/>
          <w:lang w:val="es-ES_tradnl"/>
        </w:rPr>
        <w:t>,</w:t>
      </w:r>
      <w:r w:rsidRPr="00580A56">
        <w:rPr>
          <w:rFonts w:ascii="Arial" w:eastAsia="Calibri" w:hAnsi="Arial" w:cs="Arial"/>
          <w:color w:val="000000"/>
          <w:sz w:val="22"/>
          <w:lang w:val="es-ES_tradnl"/>
        </w:rPr>
        <w:t xml:space="preserve"> no podría hacerse extensiva la aplicación de la excepción del artículo 56 de la ley 2195 de 2022 a las empresas de servicios públicos</w:t>
      </w:r>
      <w:r>
        <w:rPr>
          <w:rFonts w:ascii="Arial" w:eastAsia="Calibri" w:hAnsi="Arial" w:cs="Arial"/>
          <w:color w:val="000000"/>
          <w:sz w:val="22"/>
          <w:lang w:val="es-ES_tradnl"/>
        </w:rPr>
        <w:t xml:space="preserve"> mixtas</w:t>
      </w:r>
      <w:r w:rsidRPr="00580A56">
        <w:rPr>
          <w:rFonts w:ascii="Arial" w:eastAsia="Calibri" w:hAnsi="Arial" w:cs="Arial"/>
          <w:color w:val="000000"/>
          <w:sz w:val="22"/>
          <w:lang w:val="es-ES_tradnl"/>
        </w:rPr>
        <w:t>, en la medida en que estas no</w:t>
      </w:r>
      <w:r w:rsidR="00DC406B">
        <w:rPr>
          <w:rFonts w:ascii="Arial" w:eastAsia="Calibri" w:hAnsi="Arial" w:cs="Arial"/>
          <w:color w:val="000000"/>
          <w:sz w:val="22"/>
          <w:lang w:val="es-ES_tradnl"/>
        </w:rPr>
        <w:t xml:space="preserve"> cuentan con </w:t>
      </w:r>
      <w:r w:rsidRPr="00580A56">
        <w:rPr>
          <w:rFonts w:ascii="Arial" w:eastAsia="Calibri" w:hAnsi="Arial" w:cs="Arial"/>
          <w:color w:val="000000"/>
          <w:sz w:val="22"/>
          <w:lang w:val="es-ES_tradnl"/>
        </w:rPr>
        <w:t>la naturaleza jurídica de una sociedad de economía mixta</w:t>
      </w:r>
      <w:r w:rsidR="00C653B9">
        <w:rPr>
          <w:rFonts w:ascii="Arial" w:eastAsia="Calibri" w:hAnsi="Arial" w:cs="Arial"/>
          <w:color w:val="000000"/>
          <w:sz w:val="22"/>
          <w:lang w:val="es-ES_tradnl"/>
        </w:rPr>
        <w:t xml:space="preserve">. </w:t>
      </w:r>
      <w:r w:rsidR="00BF1FDE" w:rsidRPr="00BF1FDE">
        <w:rPr>
          <w:rFonts w:ascii="Arial" w:eastAsia="Calibri" w:hAnsi="Arial" w:cs="Arial"/>
          <w:bCs/>
          <w:color w:val="000000"/>
          <w:sz w:val="22"/>
          <w:lang w:val="es-ES_tradnl"/>
        </w:rPr>
        <w:t>Esta conclusión</w:t>
      </w:r>
      <w:r w:rsidR="00E057C1">
        <w:rPr>
          <w:rFonts w:ascii="Arial" w:eastAsia="Calibri" w:hAnsi="Arial" w:cs="Arial"/>
          <w:bCs/>
          <w:color w:val="000000"/>
          <w:sz w:val="22"/>
          <w:lang w:val="es-ES_tradnl"/>
        </w:rPr>
        <w:t>,</w:t>
      </w:r>
      <w:r w:rsidR="00BF1FDE" w:rsidRPr="00BF1FDE">
        <w:rPr>
          <w:rFonts w:ascii="Arial" w:eastAsia="Calibri" w:hAnsi="Arial" w:cs="Arial"/>
          <w:bCs/>
          <w:color w:val="000000"/>
          <w:sz w:val="22"/>
          <w:lang w:val="es-ES_tradnl"/>
        </w:rPr>
        <w:t xml:space="preserve"> además</w:t>
      </w:r>
      <w:r w:rsidR="00E057C1">
        <w:rPr>
          <w:rFonts w:ascii="Arial" w:eastAsia="Calibri" w:hAnsi="Arial" w:cs="Arial"/>
          <w:bCs/>
          <w:color w:val="000000"/>
          <w:sz w:val="22"/>
          <w:lang w:val="es-ES_tradnl"/>
        </w:rPr>
        <w:t>,</w:t>
      </w:r>
      <w:r w:rsidR="00BF1FDE" w:rsidRPr="00BF1FDE">
        <w:rPr>
          <w:rFonts w:ascii="Arial" w:eastAsia="Calibri" w:hAnsi="Arial" w:cs="Arial"/>
          <w:bCs/>
          <w:color w:val="000000"/>
          <w:sz w:val="22"/>
          <w:lang w:val="es-ES_tradnl"/>
        </w:rPr>
        <w:t xml:space="preserve"> se sustenta en aquella regla hermenéutica según la cual, donde el legislador no distingue no le es dable al interprete hacerlo, razón por la que, no siendo el régimen jurídico un factor que la norma establezca como relevante para determinar la aplicabilidad de la excepción, no resulta procedente considerarlo de cara a su debida aplicación. </w:t>
      </w:r>
    </w:p>
    <w:p w14:paraId="56514E92" w14:textId="77777777" w:rsidR="00186984" w:rsidRPr="00576043" w:rsidRDefault="00186984" w:rsidP="00186984">
      <w:pPr>
        <w:spacing w:before="120" w:line="276" w:lineRule="auto"/>
        <w:ind w:firstLine="709"/>
        <w:jc w:val="both"/>
        <w:rPr>
          <w:rFonts w:ascii="Arial" w:eastAsia="Calibri" w:hAnsi="Arial" w:cs="Arial"/>
          <w:bCs/>
          <w:color w:val="000000" w:themeColor="text1"/>
          <w:sz w:val="22"/>
          <w:lang w:val="es-ES_tradnl"/>
        </w:rPr>
      </w:pPr>
      <w:r w:rsidRPr="00864E72">
        <w:rPr>
          <w:rFonts w:ascii="Arial" w:eastAsia="Calibri" w:hAnsi="Arial" w:cs="Arial"/>
          <w:bCs/>
          <w:color w:val="000000" w:themeColor="text1"/>
          <w:sz w:val="22"/>
          <w:lang w:val="es-ES_tradnl"/>
        </w:rPr>
        <w:t xml:space="preserve">En este orden de ideas, las excepciones consagradas en el parágrafo del artículo 56 de la Ley 2195 de 2022 solo se aplican a los órganos del Estado cuya naturaleza jurídica coincida con la de las entidades allí indicadas de manera </w:t>
      </w:r>
      <w:r w:rsidRPr="00864E72">
        <w:rPr>
          <w:rFonts w:ascii="Arial" w:eastAsia="Calibri" w:hAnsi="Arial" w:cs="Arial"/>
          <w:bCs/>
          <w:i/>
          <w:iCs/>
          <w:color w:val="000000" w:themeColor="text1"/>
          <w:sz w:val="22"/>
          <w:lang w:val="es-ES_tradnl"/>
        </w:rPr>
        <w:t>taxativa</w:t>
      </w:r>
      <w:r w:rsidRPr="00864E72">
        <w:rPr>
          <w:rFonts w:ascii="Arial" w:eastAsia="Calibri" w:hAnsi="Arial" w:cs="Arial"/>
          <w:bCs/>
          <w:color w:val="000000" w:themeColor="text1"/>
          <w:sz w:val="22"/>
          <w:lang w:val="es-ES_tradnl"/>
        </w:rPr>
        <w:t>, esto es, a «</w:t>
      </w:r>
      <w:r w:rsidRPr="00864E72">
        <w:rPr>
          <w:rFonts w:ascii="Arial" w:hAnsi="Arial" w:cs="Arial"/>
          <w:color w:val="000000" w:themeColor="text1"/>
        </w:rPr>
        <w:t xml:space="preserve">[…] </w:t>
      </w:r>
      <w:r w:rsidRPr="00864E72">
        <w:rPr>
          <w:rFonts w:ascii="Arial" w:eastAsia="Calibri" w:hAnsi="Arial" w:cs="Arial"/>
          <w:bCs/>
          <w:color w:val="000000" w:themeColor="text1"/>
          <w:sz w:val="22"/>
          <w:lang w:val="es-ES_tradnl"/>
        </w:rPr>
        <w:t xml:space="preserve">las Instituciones de Educación Superior públicas, las empresas sociales del Estado, las sociedades de economía mixta y las empresas industriales y comerciales del Estado, únicamente en cuanto a la contratación de su giro ordinario». Por consiguiente, cada entidad estatal deberá analizar su naturaleza jurídica y hacer una interpretación restrictiva de este parágrafo, pues las excepciones deben leerse de manera acorde con dicho parámetro hermenéutico. Tratándose de empresas prestadoras de servicios públicos domiciliarios, no sobra indicar que la autoridad competente para resolver las consultas relacionadas con aspectos asociados a su naturaleza jurídica es la Superintendencia de Servicios Públicos Domiciliarios, de conformidad con el artículo 11, numeral 2, del Decreto 1369 de 2020, según el cual dicha entidad debe «Absolver las consultas jurídicas externas relativas al régimen de los servicios públicos domiciliarios». </w:t>
      </w:r>
    </w:p>
    <w:p w14:paraId="1C567C92" w14:textId="77777777" w:rsidR="00186984" w:rsidRPr="004633CF" w:rsidRDefault="00186984" w:rsidP="001A2BDB">
      <w:pPr>
        <w:tabs>
          <w:tab w:val="left" w:pos="0"/>
        </w:tabs>
        <w:spacing w:line="276" w:lineRule="auto"/>
        <w:ind w:firstLine="709"/>
        <w:jc w:val="both"/>
        <w:rPr>
          <w:rFonts w:ascii="Arial" w:eastAsia="Calibri" w:hAnsi="Arial" w:cs="Arial"/>
          <w:bCs/>
          <w:sz w:val="22"/>
          <w:lang w:val="es-ES_tradnl"/>
        </w:rPr>
      </w:pPr>
    </w:p>
    <w:p w14:paraId="37CA9805" w14:textId="2C6D1DB7" w:rsidR="00DD5B04" w:rsidRPr="00624C21" w:rsidRDefault="004177A6" w:rsidP="00510DE9">
      <w:pPr>
        <w:tabs>
          <w:tab w:val="left" w:pos="0"/>
        </w:tabs>
        <w:jc w:val="both"/>
        <w:rPr>
          <w:rFonts w:ascii="Arial" w:eastAsia="Calibri" w:hAnsi="Arial" w:cs="Arial"/>
          <w:b/>
          <w:color w:val="000000" w:themeColor="text1"/>
          <w:sz w:val="22"/>
          <w:lang w:val="es-ES_tradnl"/>
        </w:rPr>
      </w:pPr>
      <w:r w:rsidRPr="00624C21">
        <w:rPr>
          <w:rFonts w:ascii="Arial" w:eastAsia="Calibri" w:hAnsi="Arial" w:cs="Arial"/>
          <w:b/>
          <w:color w:val="000000" w:themeColor="text1"/>
          <w:sz w:val="22"/>
          <w:lang w:val="es-ES_tradnl"/>
        </w:rPr>
        <w:t>3</w:t>
      </w:r>
      <w:r w:rsidR="00B011A9" w:rsidRPr="00624C21">
        <w:rPr>
          <w:rFonts w:ascii="Arial" w:eastAsia="Calibri" w:hAnsi="Arial" w:cs="Arial"/>
          <w:b/>
          <w:color w:val="000000" w:themeColor="text1"/>
          <w:sz w:val="22"/>
          <w:lang w:val="es-ES_tradnl"/>
        </w:rPr>
        <w:t xml:space="preserve">. </w:t>
      </w:r>
      <w:r w:rsidR="00DD5B04" w:rsidRPr="00624C21">
        <w:rPr>
          <w:rFonts w:ascii="Arial" w:eastAsia="Calibri" w:hAnsi="Arial" w:cs="Arial"/>
          <w:b/>
          <w:color w:val="000000" w:themeColor="text1"/>
          <w:sz w:val="22"/>
          <w:lang w:val="es-ES_tradnl"/>
        </w:rPr>
        <w:t>Respuesta</w:t>
      </w:r>
    </w:p>
    <w:p w14:paraId="49375CFA" w14:textId="77777777" w:rsidR="00D633AC" w:rsidRPr="00624C21" w:rsidRDefault="00D633AC" w:rsidP="00B90E5C">
      <w:pPr>
        <w:spacing w:line="276" w:lineRule="auto"/>
        <w:jc w:val="both"/>
        <w:rPr>
          <w:rFonts w:ascii="Arial" w:hAnsi="Arial" w:cs="Arial"/>
          <w:color w:val="000000" w:themeColor="text1"/>
          <w:sz w:val="22"/>
          <w:lang w:val="es-ES_tradnl"/>
        </w:rPr>
      </w:pPr>
    </w:p>
    <w:p w14:paraId="1C372AE1" w14:textId="77777777" w:rsidR="00F10FC4" w:rsidRPr="00F14618" w:rsidRDefault="00F10FC4" w:rsidP="00F10FC4">
      <w:pPr>
        <w:ind w:left="567" w:right="618"/>
        <w:jc w:val="both"/>
        <w:rPr>
          <w:rFonts w:ascii="Arial" w:eastAsia="Calibri" w:hAnsi="Arial" w:cs="Arial"/>
          <w:sz w:val="21"/>
          <w:szCs w:val="21"/>
        </w:rPr>
      </w:pPr>
      <w:r w:rsidRPr="00F14618">
        <w:rPr>
          <w:rFonts w:ascii="Arial" w:hAnsi="Arial" w:cs="Arial"/>
          <w:color w:val="000000" w:themeColor="text1"/>
          <w:sz w:val="21"/>
          <w:szCs w:val="21"/>
          <w:lang w:val="es-ES_tradnl"/>
        </w:rPr>
        <w:t>«</w:t>
      </w:r>
      <w:r w:rsidRPr="00F14618">
        <w:rPr>
          <w:rFonts w:ascii="Arial" w:eastAsia="Calibri" w:hAnsi="Arial" w:cs="Arial"/>
          <w:sz w:val="21"/>
          <w:szCs w:val="21"/>
        </w:rPr>
        <w:t xml:space="preserve">[…] </w:t>
      </w:r>
    </w:p>
    <w:p w14:paraId="0B74C233" w14:textId="77777777" w:rsidR="00F10FC4" w:rsidRPr="00F14618" w:rsidRDefault="00F10FC4" w:rsidP="00F10FC4">
      <w:pPr>
        <w:ind w:left="567" w:right="618"/>
        <w:jc w:val="both"/>
        <w:rPr>
          <w:rFonts w:ascii="Arial" w:eastAsia="Calibri" w:hAnsi="Arial" w:cs="Arial"/>
          <w:sz w:val="21"/>
          <w:szCs w:val="21"/>
        </w:rPr>
      </w:pPr>
    </w:p>
    <w:p w14:paraId="194AC472" w14:textId="77777777" w:rsidR="00F10FC4" w:rsidRPr="00F14618" w:rsidRDefault="00F10FC4" w:rsidP="00F10FC4">
      <w:pPr>
        <w:ind w:left="567" w:right="618"/>
        <w:jc w:val="both"/>
        <w:rPr>
          <w:rFonts w:ascii="Arial" w:eastAsia="Calibri" w:hAnsi="Arial" w:cs="Arial"/>
          <w:sz w:val="21"/>
          <w:szCs w:val="21"/>
        </w:rPr>
      </w:pPr>
      <w:r w:rsidRPr="00F14618">
        <w:rPr>
          <w:rFonts w:ascii="Arial" w:eastAsia="Calibri" w:hAnsi="Arial" w:cs="Arial"/>
          <w:sz w:val="21"/>
          <w:szCs w:val="21"/>
        </w:rPr>
        <w:t xml:space="preserve">El primer inciso del artículo 56 de la Ley 2195 de 2022, indica: </w:t>
      </w:r>
    </w:p>
    <w:p w14:paraId="645EF971" w14:textId="77777777" w:rsidR="00F10FC4" w:rsidRPr="00F14618" w:rsidRDefault="00F10FC4" w:rsidP="00F10FC4">
      <w:pPr>
        <w:ind w:left="567" w:right="618"/>
        <w:jc w:val="both"/>
        <w:rPr>
          <w:rFonts w:ascii="Arial" w:eastAsia="Calibri" w:hAnsi="Arial" w:cs="Arial"/>
          <w:sz w:val="21"/>
          <w:szCs w:val="21"/>
        </w:rPr>
      </w:pPr>
    </w:p>
    <w:p w14:paraId="2A944E73" w14:textId="77777777" w:rsidR="00F10FC4" w:rsidRPr="00F14618" w:rsidRDefault="00F10FC4" w:rsidP="00F10FC4">
      <w:pPr>
        <w:ind w:left="567" w:right="618"/>
        <w:jc w:val="both"/>
        <w:rPr>
          <w:rFonts w:ascii="Arial" w:eastAsia="Calibri" w:hAnsi="Arial" w:cs="Arial"/>
          <w:i/>
          <w:iCs/>
          <w:sz w:val="21"/>
          <w:szCs w:val="21"/>
          <w:u w:val="single"/>
        </w:rPr>
      </w:pPr>
      <w:r w:rsidRPr="00F14618">
        <w:rPr>
          <w:rFonts w:ascii="Arial" w:eastAsia="Calibri" w:hAnsi="Arial" w:cs="Arial"/>
          <w:i/>
          <w:iCs/>
          <w:sz w:val="21"/>
          <w:szCs w:val="21"/>
        </w:rPr>
        <w:t xml:space="preserve">Para la adquisición de bienes, obras o servicios, </w:t>
      </w:r>
      <w:r w:rsidRPr="00F14618">
        <w:rPr>
          <w:rFonts w:ascii="Arial" w:eastAsia="Calibri" w:hAnsi="Arial" w:cs="Arial"/>
          <w:b/>
          <w:bCs/>
          <w:i/>
          <w:iCs/>
          <w:sz w:val="21"/>
          <w:szCs w:val="21"/>
          <w:u w:val="single"/>
        </w:rPr>
        <w:t>las entidades estatales sometidas al Estatuto General de Contratación de la Administración Pública</w:t>
      </w:r>
      <w:r w:rsidRPr="00F14618">
        <w:rPr>
          <w:rFonts w:ascii="Arial" w:eastAsia="Calibri" w:hAnsi="Arial" w:cs="Arial"/>
          <w:b/>
          <w:bCs/>
          <w:i/>
          <w:iCs/>
          <w:sz w:val="21"/>
          <w:szCs w:val="21"/>
        </w:rPr>
        <w:t xml:space="preserve"> </w:t>
      </w:r>
      <w:r w:rsidRPr="00F14618">
        <w:rPr>
          <w:rFonts w:ascii="Arial" w:eastAsia="Calibri" w:hAnsi="Arial" w:cs="Arial"/>
          <w:i/>
          <w:iCs/>
          <w:sz w:val="21"/>
          <w:szCs w:val="21"/>
        </w:rPr>
        <w:t xml:space="preserve">que celebren contratos o convenios interadministrativos o de cualquier otra índole, con </w:t>
      </w:r>
      <w:r w:rsidRPr="00F14618">
        <w:rPr>
          <w:rFonts w:ascii="Arial" w:eastAsia="Calibri" w:hAnsi="Arial" w:cs="Arial"/>
          <w:b/>
          <w:bCs/>
          <w:i/>
          <w:iCs/>
          <w:sz w:val="21"/>
          <w:szCs w:val="21"/>
          <w:u w:val="single"/>
        </w:rPr>
        <w:t>otra entidad estatal o con patrimonios autónomos o con personas naturales o jurídicas de derecho privado</w:t>
      </w:r>
      <w:r w:rsidRPr="00F14618">
        <w:rPr>
          <w:rFonts w:ascii="Arial" w:eastAsia="Calibri" w:hAnsi="Arial" w:cs="Arial"/>
          <w:i/>
          <w:iCs/>
          <w:sz w:val="21"/>
          <w:szCs w:val="21"/>
          <w:u w:val="single"/>
        </w:rPr>
        <w:t>,</w:t>
      </w:r>
      <w:r w:rsidRPr="00F14618">
        <w:rPr>
          <w:rFonts w:ascii="Arial" w:eastAsia="Calibri" w:hAnsi="Arial" w:cs="Arial"/>
          <w:i/>
          <w:iCs/>
          <w:sz w:val="21"/>
          <w:szCs w:val="21"/>
        </w:rPr>
        <w:t xml:space="preserve"> cuyo régimen de contratación sea especial o de derecho privado, </w:t>
      </w:r>
      <w:r w:rsidRPr="00F14618">
        <w:rPr>
          <w:rFonts w:ascii="Arial" w:eastAsia="Calibri" w:hAnsi="Arial" w:cs="Arial"/>
          <w:b/>
          <w:bCs/>
          <w:i/>
          <w:iCs/>
          <w:sz w:val="21"/>
          <w:szCs w:val="21"/>
          <w:u w:val="single"/>
        </w:rPr>
        <w:t>deberán</w:t>
      </w:r>
      <w:r w:rsidRPr="00F14618">
        <w:rPr>
          <w:rFonts w:ascii="Arial" w:eastAsia="Calibri" w:hAnsi="Arial" w:cs="Arial"/>
          <w:b/>
          <w:bCs/>
          <w:i/>
          <w:iCs/>
          <w:sz w:val="21"/>
          <w:szCs w:val="21"/>
        </w:rPr>
        <w:t xml:space="preserve"> </w:t>
      </w:r>
      <w:r w:rsidRPr="00F14618">
        <w:rPr>
          <w:rFonts w:ascii="Arial" w:eastAsia="Calibri" w:hAnsi="Arial" w:cs="Arial"/>
          <w:i/>
          <w:iCs/>
          <w:sz w:val="21"/>
          <w:szCs w:val="21"/>
        </w:rPr>
        <w:t>aplicar los documentos tipo adoptados por la Agencia Nacional de Contratación Pública - Colombia Compra Eficiente o quien haga sus veces, conforme al parágrafo 7 del Artículo</w:t>
      </w:r>
      <w:r w:rsidRPr="00F14618">
        <w:rPr>
          <w:rFonts w:ascii="Arial" w:eastAsia="Calibri" w:hAnsi="Arial" w:cs="Arial"/>
          <w:i/>
          <w:iCs/>
          <w:sz w:val="21"/>
          <w:szCs w:val="21"/>
          <w:u w:val="single"/>
        </w:rPr>
        <w:t xml:space="preserve"> 2 </w:t>
      </w:r>
      <w:r w:rsidRPr="00F14618">
        <w:rPr>
          <w:rFonts w:ascii="Arial" w:eastAsia="Calibri" w:hAnsi="Arial" w:cs="Arial"/>
          <w:i/>
          <w:iCs/>
          <w:sz w:val="21"/>
          <w:szCs w:val="21"/>
        </w:rPr>
        <w:t xml:space="preserve">de la Ley </w:t>
      </w:r>
      <w:r w:rsidRPr="00F14618">
        <w:rPr>
          <w:rFonts w:ascii="Arial" w:eastAsia="Calibri" w:hAnsi="Arial" w:cs="Arial"/>
          <w:i/>
          <w:iCs/>
          <w:sz w:val="21"/>
          <w:szCs w:val="21"/>
          <w:u w:val="single"/>
        </w:rPr>
        <w:t>1150</w:t>
      </w:r>
      <w:r w:rsidRPr="00F14618">
        <w:rPr>
          <w:rFonts w:ascii="Arial" w:eastAsia="Calibri" w:hAnsi="Arial" w:cs="Arial"/>
          <w:i/>
          <w:iCs/>
          <w:sz w:val="21"/>
          <w:szCs w:val="21"/>
        </w:rPr>
        <w:t xml:space="preserve"> de </w:t>
      </w:r>
      <w:r w:rsidRPr="00F14618">
        <w:rPr>
          <w:rFonts w:ascii="Arial" w:eastAsia="Calibri" w:hAnsi="Arial" w:cs="Arial"/>
          <w:i/>
          <w:iCs/>
          <w:sz w:val="21"/>
          <w:szCs w:val="21"/>
          <w:u w:val="single"/>
        </w:rPr>
        <w:t>2007</w:t>
      </w:r>
      <w:r w:rsidRPr="00F14618">
        <w:rPr>
          <w:rFonts w:ascii="Arial" w:eastAsia="Calibri" w:hAnsi="Arial" w:cs="Arial"/>
          <w:i/>
          <w:iCs/>
          <w:sz w:val="21"/>
          <w:szCs w:val="21"/>
        </w:rPr>
        <w:t xml:space="preserve"> o las normas que lo modifiquen o sustituya y a regirse por el </w:t>
      </w:r>
      <w:r w:rsidRPr="00F14618">
        <w:rPr>
          <w:rFonts w:ascii="Arial" w:eastAsia="Calibri" w:hAnsi="Arial" w:cs="Arial"/>
          <w:i/>
          <w:iCs/>
          <w:sz w:val="21"/>
          <w:szCs w:val="21"/>
          <w:u w:val="single"/>
        </w:rPr>
        <w:t>Estatuto General de Contratación de la Administración Pública</w:t>
      </w:r>
    </w:p>
    <w:p w14:paraId="169268EC" w14:textId="77777777" w:rsidR="00F10FC4" w:rsidRPr="00F14618" w:rsidRDefault="00F10FC4" w:rsidP="00F10FC4">
      <w:pPr>
        <w:ind w:left="567" w:right="618"/>
        <w:jc w:val="both"/>
        <w:rPr>
          <w:rFonts w:ascii="Arial" w:eastAsia="Calibri" w:hAnsi="Arial" w:cs="Arial"/>
          <w:sz w:val="21"/>
          <w:szCs w:val="21"/>
        </w:rPr>
      </w:pPr>
    </w:p>
    <w:p w14:paraId="09CFE2BB" w14:textId="77777777" w:rsidR="00F10FC4" w:rsidRPr="00F14618" w:rsidRDefault="00F10FC4" w:rsidP="00F10FC4">
      <w:pPr>
        <w:ind w:left="567" w:right="618"/>
        <w:jc w:val="both"/>
        <w:rPr>
          <w:rFonts w:ascii="Arial" w:eastAsia="Calibri" w:hAnsi="Arial" w:cs="Arial"/>
          <w:i/>
          <w:iCs/>
          <w:sz w:val="21"/>
          <w:szCs w:val="21"/>
          <w:u w:val="single"/>
        </w:rPr>
      </w:pPr>
      <w:r w:rsidRPr="00F14618">
        <w:rPr>
          <w:rFonts w:ascii="Arial" w:eastAsia="Calibri" w:hAnsi="Arial" w:cs="Arial"/>
          <w:sz w:val="21"/>
          <w:szCs w:val="21"/>
        </w:rPr>
        <w:lastRenderedPageBreak/>
        <w:t xml:space="preserve">1.1. De acuerdo con la literalidad de la norma citada, ¿quién es el sujeto obligado a </w:t>
      </w:r>
      <w:r w:rsidRPr="00F14618">
        <w:rPr>
          <w:rFonts w:ascii="Arial" w:eastAsia="Calibri" w:hAnsi="Arial" w:cs="Arial"/>
          <w:i/>
          <w:iCs/>
          <w:sz w:val="21"/>
          <w:szCs w:val="21"/>
        </w:rPr>
        <w:t xml:space="preserve">aplicar los documentos tipo adoptados por la Agencia Nacional de Contratación Pública - Colombia Compra Eficiente o quien haga sus veces, conforme al parágrafo 7 del Artículo 2 de la Ley 1150 de 2007 o las normas que lo modifiquen o sustituyan </w:t>
      </w:r>
      <w:r w:rsidRPr="00F14618">
        <w:rPr>
          <w:rFonts w:ascii="Arial" w:eastAsia="Calibri" w:hAnsi="Arial" w:cs="Arial"/>
          <w:sz w:val="21"/>
          <w:szCs w:val="21"/>
        </w:rPr>
        <w:t xml:space="preserve">y a regirse </w:t>
      </w:r>
      <w:r w:rsidRPr="00F14618">
        <w:rPr>
          <w:rFonts w:ascii="Arial" w:eastAsia="Calibri" w:hAnsi="Arial" w:cs="Arial"/>
          <w:i/>
          <w:iCs/>
          <w:sz w:val="21"/>
          <w:szCs w:val="21"/>
        </w:rPr>
        <w:t xml:space="preserve">por el Estatuto General de Contratación de la Administración Pública </w:t>
      </w:r>
      <w:r w:rsidRPr="00F14618">
        <w:rPr>
          <w:rFonts w:ascii="Arial" w:eastAsia="Calibri" w:hAnsi="Arial" w:cs="Arial"/>
          <w:sz w:val="21"/>
          <w:szCs w:val="21"/>
        </w:rPr>
        <w:t xml:space="preserve">al usar dichos documentos tipo (esto último de acuerdo con el inciso 2 del referido artículo 56 de la Ley), las primeras o las segundas Entidades referidas? </w:t>
      </w:r>
    </w:p>
    <w:p w14:paraId="0739CDDE" w14:textId="1BE383F8" w:rsidR="00F10FC4" w:rsidRDefault="00F10FC4" w:rsidP="00F10FC4">
      <w:pPr>
        <w:ind w:right="618"/>
        <w:jc w:val="both"/>
        <w:rPr>
          <w:rFonts w:ascii="Arial" w:eastAsia="Calibri" w:hAnsi="Arial" w:cs="Arial"/>
          <w:sz w:val="21"/>
          <w:szCs w:val="21"/>
        </w:rPr>
      </w:pPr>
    </w:p>
    <w:p w14:paraId="5ED43FA1" w14:textId="77777777" w:rsidR="00F10FC4" w:rsidRDefault="00F10FC4" w:rsidP="00F10FC4">
      <w:pPr>
        <w:spacing w:line="276" w:lineRule="auto"/>
        <w:jc w:val="both"/>
        <w:rPr>
          <w:rFonts w:ascii="Arial" w:hAnsi="Arial" w:cs="Arial"/>
          <w:color w:val="000000" w:themeColor="text1"/>
          <w:sz w:val="22"/>
          <w:szCs w:val="22"/>
          <w:shd w:val="clear" w:color="auto" w:fill="FFFFFF"/>
          <w:lang w:val="es-ES_tradnl"/>
        </w:rPr>
      </w:pPr>
      <w:r w:rsidRPr="00864E72">
        <w:rPr>
          <w:rFonts w:ascii="Arial" w:hAnsi="Arial" w:cs="Arial"/>
          <w:color w:val="000000" w:themeColor="text1"/>
          <w:sz w:val="22"/>
          <w:szCs w:val="22"/>
          <w:shd w:val="clear" w:color="auto" w:fill="FFFFFF"/>
          <w:lang w:val="es-ES_tradnl"/>
        </w:rPr>
        <w:t xml:space="preserve">De conformidad con lo expuesto, en virtud de lo establecido en el parágrafo 7 del artículo 2 de la Ley 1150 de 2007, modificado por el artículo 1 de la Ley 2022 de 2020, las entidades estatales regidas por el Estatuto General de Contratación de la Administración Pública están obligadas a aplicar los documentos tipo en los procedimientos y contratos que adelanten en aplicación de dicha normativa. Adicionalmente, en atención a lo dispuesto en los dos primeros incisos del artículo 56 de la Ley 2195 de 2022, cuando estas entidades suscriban convenios o contratos de cualquier índole con entidades estatales de régimen especial o exceptuado, patrimonios autónomos, personas naturales o jurídicas de derecho privado, también deberán aplicar documentos tipo, y en general, las disposiciones del Estatuto General de Contratación de la Administración Pública.  </w:t>
      </w:r>
    </w:p>
    <w:p w14:paraId="024A70AD" w14:textId="114FA8FB" w:rsidR="00F10FC4" w:rsidRDefault="00F10FC4" w:rsidP="00F10FC4">
      <w:pPr>
        <w:spacing w:before="120" w:line="276" w:lineRule="auto"/>
        <w:ind w:firstLine="709"/>
        <w:jc w:val="both"/>
        <w:rPr>
          <w:rFonts w:ascii="Arial" w:hAnsi="Arial" w:cs="Arial"/>
          <w:color w:val="000000" w:themeColor="text1"/>
          <w:sz w:val="22"/>
          <w:szCs w:val="22"/>
          <w:shd w:val="clear" w:color="auto" w:fill="FFFFFF"/>
          <w:lang w:val="es-ES_tradnl"/>
        </w:rPr>
      </w:pPr>
      <w:r>
        <w:rPr>
          <w:rFonts w:ascii="Arial" w:hAnsi="Arial" w:cs="Arial"/>
          <w:color w:val="000000" w:themeColor="text1"/>
          <w:sz w:val="22"/>
          <w:szCs w:val="22"/>
          <w:shd w:val="clear" w:color="auto" w:fill="FFFFFF"/>
          <w:lang w:val="es-ES_tradnl"/>
        </w:rPr>
        <w:t>De esta manera, l</w:t>
      </w:r>
      <w:r w:rsidRPr="00864E72">
        <w:rPr>
          <w:rFonts w:ascii="Arial" w:hAnsi="Arial" w:cs="Arial"/>
          <w:color w:val="000000" w:themeColor="text1"/>
          <w:sz w:val="22"/>
          <w:szCs w:val="22"/>
          <w:shd w:val="clear" w:color="auto" w:fill="FFFFFF"/>
          <w:lang w:val="es-ES_tradnl"/>
        </w:rPr>
        <w:t>a obligación de aplicar documentos tipo, y en general, las disposiciones del Estatuto General de Contratación de la Administración Pública se extiende</w:t>
      </w:r>
      <w:r>
        <w:rPr>
          <w:rFonts w:ascii="Arial" w:hAnsi="Arial" w:cs="Arial"/>
          <w:color w:val="000000" w:themeColor="text1"/>
          <w:sz w:val="22"/>
          <w:szCs w:val="22"/>
          <w:shd w:val="clear" w:color="auto" w:fill="FFFFFF"/>
          <w:lang w:val="es-ES_tradnl"/>
        </w:rPr>
        <w:t>n</w:t>
      </w:r>
      <w:r w:rsidRPr="00864E72">
        <w:rPr>
          <w:rFonts w:ascii="Arial" w:hAnsi="Arial" w:cs="Arial"/>
          <w:color w:val="000000" w:themeColor="text1"/>
          <w:sz w:val="22"/>
          <w:szCs w:val="22"/>
          <w:shd w:val="clear" w:color="auto" w:fill="FFFFFF"/>
          <w:lang w:val="es-ES_tradnl"/>
        </w:rPr>
        <w:t xml:space="preserve"> no solamente a la celebración del contrato o convenio propiamente dicho, sino también a los compromisos contractuales derivados, según lo expresamente consagrado en el segundo inciso del artículo 56 de la ley citada. Esto implica que, si una entidad exceptuada, un patrimonio autónomo o una persona natural o jurídica de derecho privado, en cumplimiento de un compromiso asumido en el contrato celebrado con una entidad sometida al Estatuto General, debe contratar una obra o servicio cobijado por algún documento tipo, </w:t>
      </w:r>
      <w:r w:rsidRPr="00F10FC4">
        <w:rPr>
          <w:rFonts w:ascii="Arial" w:hAnsi="Arial" w:cs="Arial"/>
          <w:color w:val="000000" w:themeColor="text1"/>
          <w:sz w:val="22"/>
          <w:szCs w:val="22"/>
          <w:shd w:val="clear" w:color="auto" w:fill="FFFFFF"/>
          <w:lang w:val="es-ES_tradnl"/>
        </w:rPr>
        <w:t>estará obligada a</w:t>
      </w:r>
      <w:r w:rsidRPr="00864E72">
        <w:rPr>
          <w:rFonts w:ascii="Arial" w:hAnsi="Arial" w:cs="Arial"/>
          <w:color w:val="000000" w:themeColor="text1"/>
          <w:sz w:val="22"/>
          <w:szCs w:val="22"/>
          <w:shd w:val="clear" w:color="auto" w:fill="FFFFFF"/>
          <w:lang w:val="es-ES_tradnl"/>
        </w:rPr>
        <w:t xml:space="preserve"> hacerlo aplicando los mencionados documentos tipo, además de adelantar el proceso de contratación y celebrar el contrato conforme al Estatuto General de Contratación de la Administración Públic</w:t>
      </w:r>
      <w:r>
        <w:rPr>
          <w:rFonts w:ascii="Arial" w:hAnsi="Arial" w:cs="Arial"/>
          <w:color w:val="000000" w:themeColor="text1"/>
          <w:sz w:val="22"/>
          <w:szCs w:val="22"/>
          <w:shd w:val="clear" w:color="auto" w:fill="FFFFFF"/>
          <w:lang w:val="es-ES_tradnl"/>
        </w:rPr>
        <w:t xml:space="preserve">a. </w:t>
      </w:r>
    </w:p>
    <w:p w14:paraId="40409B9B" w14:textId="77777777" w:rsidR="00F10FC4" w:rsidRPr="00F14618" w:rsidRDefault="00F10FC4" w:rsidP="00F10FC4">
      <w:pPr>
        <w:ind w:right="618"/>
        <w:jc w:val="both"/>
        <w:rPr>
          <w:rFonts w:ascii="Arial" w:eastAsia="Calibri" w:hAnsi="Arial" w:cs="Arial"/>
          <w:sz w:val="21"/>
          <w:szCs w:val="21"/>
        </w:rPr>
      </w:pPr>
    </w:p>
    <w:p w14:paraId="4F9B7E63" w14:textId="77777777" w:rsidR="00F10FC4" w:rsidRPr="00F14618" w:rsidRDefault="00F10FC4" w:rsidP="00F10FC4">
      <w:pPr>
        <w:ind w:left="567" w:right="618"/>
        <w:jc w:val="both"/>
        <w:rPr>
          <w:rFonts w:ascii="Arial" w:eastAsia="Calibri" w:hAnsi="Arial" w:cs="Arial"/>
          <w:sz w:val="21"/>
          <w:szCs w:val="21"/>
        </w:rPr>
      </w:pPr>
      <w:r w:rsidRPr="00F14618">
        <w:rPr>
          <w:rFonts w:ascii="Arial" w:eastAsia="Calibri" w:hAnsi="Arial" w:cs="Arial"/>
          <w:sz w:val="21"/>
          <w:szCs w:val="21"/>
        </w:rPr>
        <w:t xml:space="preserve">2. ¿La Excepción que establece el parágrafo del artículo 56 de la Ley 2195 de 2022 abarca o incluye dentro del concepto de Sociedades de Economía Mixta a las Empresas de Servicios públicos mixtas, definidas en el numeral 14.6 de la Ley 142 de 1994? </w:t>
      </w:r>
    </w:p>
    <w:p w14:paraId="1B4C7369" w14:textId="77777777" w:rsidR="00F10FC4" w:rsidRPr="00F14618" w:rsidRDefault="00F10FC4" w:rsidP="00F10FC4">
      <w:pPr>
        <w:ind w:left="567" w:right="618"/>
        <w:jc w:val="both"/>
        <w:rPr>
          <w:rFonts w:ascii="Arial" w:eastAsia="Calibri" w:hAnsi="Arial" w:cs="Arial"/>
          <w:sz w:val="21"/>
          <w:szCs w:val="21"/>
        </w:rPr>
      </w:pPr>
    </w:p>
    <w:p w14:paraId="5EF435A5" w14:textId="3D319C9F" w:rsidR="00F10FC4" w:rsidRDefault="00F10FC4" w:rsidP="00F10FC4">
      <w:pPr>
        <w:ind w:left="567" w:right="618"/>
        <w:jc w:val="both"/>
        <w:rPr>
          <w:rFonts w:ascii="Arial" w:eastAsia="Calibri" w:hAnsi="Arial" w:cs="Arial"/>
          <w:sz w:val="21"/>
          <w:szCs w:val="21"/>
        </w:rPr>
      </w:pPr>
      <w:r w:rsidRPr="00F14618">
        <w:rPr>
          <w:rFonts w:ascii="Arial" w:eastAsia="Calibri" w:hAnsi="Arial" w:cs="Arial"/>
          <w:sz w:val="21"/>
          <w:szCs w:val="21"/>
        </w:rPr>
        <w:t xml:space="preserve">3. ¿Las Empresas de Servicios Públicos, que por mandato de la Ley 142 de 1994 tienen régimen especial de contratación (derecho privado), están dentro de la excepción del parágrafo del artículo 56 de la ley 2195 de 2022? </w:t>
      </w:r>
    </w:p>
    <w:p w14:paraId="2DA443F9" w14:textId="77777777" w:rsidR="00CF1066" w:rsidRPr="00F14618" w:rsidRDefault="00CF1066" w:rsidP="00CF1066">
      <w:pPr>
        <w:ind w:right="618"/>
        <w:jc w:val="both"/>
        <w:rPr>
          <w:rFonts w:ascii="Arial" w:eastAsia="Calibri" w:hAnsi="Arial" w:cs="Arial"/>
          <w:sz w:val="21"/>
          <w:szCs w:val="21"/>
        </w:rPr>
      </w:pPr>
    </w:p>
    <w:p w14:paraId="11D06AD2" w14:textId="77777777" w:rsidR="00CF1066" w:rsidRPr="00F14618" w:rsidRDefault="00CF1066" w:rsidP="00CF1066">
      <w:pPr>
        <w:ind w:left="567" w:right="618"/>
        <w:jc w:val="both"/>
        <w:rPr>
          <w:rFonts w:ascii="Arial" w:eastAsia="Calibri" w:hAnsi="Arial" w:cs="Arial"/>
          <w:sz w:val="21"/>
          <w:szCs w:val="21"/>
        </w:rPr>
      </w:pPr>
      <w:r w:rsidRPr="00F14618">
        <w:rPr>
          <w:rFonts w:ascii="Arial" w:eastAsia="Calibri" w:hAnsi="Arial" w:cs="Arial"/>
          <w:sz w:val="21"/>
          <w:szCs w:val="21"/>
        </w:rPr>
        <w:t xml:space="preserve">3.1. Si la respuesta a la pregunta anterior es negativa, ¿cuál es la razón para no haberlas exceptuado, si ellas al igual que las exceptuadas, tienen un régimen especial de contratación? </w:t>
      </w:r>
    </w:p>
    <w:p w14:paraId="20E135A8" w14:textId="7AD441B9" w:rsidR="00F10FC4" w:rsidRDefault="00F10FC4" w:rsidP="00F10FC4">
      <w:pPr>
        <w:ind w:right="618"/>
        <w:jc w:val="both"/>
        <w:rPr>
          <w:rFonts w:ascii="Arial" w:eastAsia="Calibri" w:hAnsi="Arial" w:cs="Arial"/>
          <w:sz w:val="21"/>
          <w:szCs w:val="21"/>
        </w:rPr>
      </w:pPr>
    </w:p>
    <w:p w14:paraId="490C388F" w14:textId="284CA96D" w:rsidR="008807F0" w:rsidRDefault="00F10FC4" w:rsidP="008807F0">
      <w:pPr>
        <w:spacing w:before="120" w:line="276" w:lineRule="auto"/>
        <w:jc w:val="both"/>
        <w:rPr>
          <w:rFonts w:ascii="Arial" w:eastAsia="Calibri" w:hAnsi="Arial" w:cs="Arial"/>
          <w:bCs/>
          <w:color w:val="000000"/>
          <w:sz w:val="22"/>
          <w:lang w:val="es-ES_tradnl"/>
        </w:rPr>
      </w:pPr>
      <w:r>
        <w:rPr>
          <w:rFonts w:ascii="Arial" w:eastAsia="Calibri" w:hAnsi="Arial" w:cs="Arial"/>
          <w:bCs/>
          <w:color w:val="000000" w:themeColor="text1"/>
          <w:sz w:val="22"/>
          <w:lang w:val="es-ES_tradnl"/>
        </w:rPr>
        <w:t>L</w:t>
      </w:r>
      <w:r w:rsidRPr="00864E72">
        <w:rPr>
          <w:rFonts w:ascii="Arial" w:eastAsia="Calibri" w:hAnsi="Arial" w:cs="Arial"/>
          <w:bCs/>
          <w:color w:val="000000" w:themeColor="text1"/>
          <w:sz w:val="22"/>
          <w:lang w:val="es-ES_tradnl"/>
        </w:rPr>
        <w:t xml:space="preserve">as excepciones consagradas en el parágrafo del artículo 56 de la Ley 2195 de 2022 solo se aplican a los órganos del Estado cuya naturaleza jurídica coincida con la de las entidades allí indicadas de manera </w:t>
      </w:r>
      <w:r w:rsidRPr="00864E72">
        <w:rPr>
          <w:rFonts w:ascii="Arial" w:eastAsia="Calibri" w:hAnsi="Arial" w:cs="Arial"/>
          <w:bCs/>
          <w:i/>
          <w:iCs/>
          <w:color w:val="000000" w:themeColor="text1"/>
          <w:sz w:val="22"/>
          <w:lang w:val="es-ES_tradnl"/>
        </w:rPr>
        <w:t>taxativa</w:t>
      </w:r>
      <w:r w:rsidRPr="00864E72">
        <w:rPr>
          <w:rFonts w:ascii="Arial" w:eastAsia="Calibri" w:hAnsi="Arial" w:cs="Arial"/>
          <w:bCs/>
          <w:color w:val="000000" w:themeColor="text1"/>
          <w:sz w:val="22"/>
          <w:lang w:val="es-ES_tradnl"/>
        </w:rPr>
        <w:t>, esto es, a «</w:t>
      </w:r>
      <w:r w:rsidRPr="00864E72">
        <w:rPr>
          <w:rFonts w:ascii="Arial" w:hAnsi="Arial" w:cs="Arial"/>
          <w:color w:val="000000" w:themeColor="text1"/>
        </w:rPr>
        <w:t xml:space="preserve">[…] </w:t>
      </w:r>
      <w:r w:rsidRPr="00864E72">
        <w:rPr>
          <w:rFonts w:ascii="Arial" w:eastAsia="Calibri" w:hAnsi="Arial" w:cs="Arial"/>
          <w:bCs/>
          <w:color w:val="000000" w:themeColor="text1"/>
          <w:sz w:val="22"/>
          <w:lang w:val="es-ES_tradnl"/>
        </w:rPr>
        <w:t xml:space="preserve">las Instituciones de Educación Superior públicas, las empresas sociales del Estado, las sociedades de economía mixta y las empresas industriales y comerciales del Estado, únicamente en cuanto a la contratación de su giro ordinario». </w:t>
      </w:r>
      <w:r w:rsidR="008807F0">
        <w:rPr>
          <w:rFonts w:ascii="Arial" w:eastAsia="Calibri" w:hAnsi="Arial" w:cs="Arial"/>
          <w:bCs/>
          <w:color w:val="000000"/>
          <w:sz w:val="22"/>
          <w:lang w:val="es-ES_tradnl"/>
        </w:rPr>
        <w:t>Este</w:t>
      </w:r>
      <w:r w:rsidR="008807F0" w:rsidRPr="00486741">
        <w:rPr>
          <w:rFonts w:ascii="Arial" w:eastAsia="Calibri" w:hAnsi="Arial" w:cs="Arial"/>
          <w:bCs/>
          <w:color w:val="000000"/>
          <w:sz w:val="22"/>
          <w:lang w:val="es-ES_tradnl"/>
        </w:rPr>
        <w:t xml:space="preserve"> parágrafo es una norma que establece una excepción, por lo que, en virtud de dicho carácter, amerita una interpretación restrictiva, esto es, apegada a lo que literalmente se desprende del texto. La redacción de la norma evidencia c</w:t>
      </w:r>
      <w:r w:rsidR="00BC28E1">
        <w:rPr>
          <w:rFonts w:ascii="Arial" w:eastAsia="Calibri" w:hAnsi="Arial" w:cs="Arial"/>
          <w:bCs/>
          <w:color w:val="000000"/>
          <w:sz w:val="22"/>
          <w:lang w:val="es-ES_tradnl"/>
        </w:rPr>
        <w:t>ó</w:t>
      </w:r>
      <w:r w:rsidR="008807F0" w:rsidRPr="00486741">
        <w:rPr>
          <w:rFonts w:ascii="Arial" w:eastAsia="Calibri" w:hAnsi="Arial" w:cs="Arial"/>
          <w:bCs/>
          <w:color w:val="000000"/>
          <w:sz w:val="22"/>
          <w:lang w:val="es-ES_tradnl"/>
        </w:rPr>
        <w:t xml:space="preserve">mo la excepción a la aplicación forzosa es formulada respecto </w:t>
      </w:r>
      <w:r w:rsidR="00BC28E1">
        <w:rPr>
          <w:rFonts w:ascii="Arial" w:eastAsia="Calibri" w:hAnsi="Arial" w:cs="Arial"/>
          <w:bCs/>
          <w:color w:val="000000"/>
          <w:sz w:val="22"/>
          <w:lang w:val="es-ES_tradnl"/>
        </w:rPr>
        <w:t xml:space="preserve">de </w:t>
      </w:r>
      <w:r w:rsidR="008807F0" w:rsidRPr="00486741">
        <w:rPr>
          <w:rFonts w:ascii="Arial" w:eastAsia="Calibri" w:hAnsi="Arial" w:cs="Arial"/>
          <w:bCs/>
          <w:color w:val="000000"/>
          <w:sz w:val="22"/>
          <w:lang w:val="es-ES_tradnl"/>
        </w:rPr>
        <w:t xml:space="preserve">ciertos tipos de entidades estatales, las cuales son mencionadas </w:t>
      </w:r>
      <w:r w:rsidR="008807F0">
        <w:rPr>
          <w:rFonts w:ascii="Arial" w:eastAsia="Calibri" w:hAnsi="Arial" w:cs="Arial"/>
          <w:bCs/>
          <w:color w:val="000000"/>
          <w:sz w:val="22"/>
          <w:lang w:val="es-ES_tradnl"/>
        </w:rPr>
        <w:t>por</w:t>
      </w:r>
      <w:r w:rsidR="008807F0" w:rsidRPr="00486741">
        <w:rPr>
          <w:rFonts w:ascii="Arial" w:eastAsia="Calibri" w:hAnsi="Arial" w:cs="Arial"/>
          <w:bCs/>
          <w:color w:val="000000"/>
          <w:sz w:val="22"/>
          <w:lang w:val="es-ES_tradnl"/>
        </w:rPr>
        <w:t xml:space="preserve"> su naturaleza jurídica, sin que se incluya consideración alguna relacionada con el régimen jurídico al que se encuentren sometidas. La norma tampoco </w:t>
      </w:r>
      <w:r w:rsidR="008807F0">
        <w:rPr>
          <w:rFonts w:ascii="Arial" w:eastAsia="Calibri" w:hAnsi="Arial" w:cs="Arial"/>
          <w:bCs/>
          <w:color w:val="000000"/>
          <w:sz w:val="22"/>
          <w:lang w:val="es-ES_tradnl"/>
        </w:rPr>
        <w:t>determina</w:t>
      </w:r>
      <w:r w:rsidR="008807F0" w:rsidRPr="00486741">
        <w:rPr>
          <w:rFonts w:ascii="Arial" w:eastAsia="Calibri" w:hAnsi="Arial" w:cs="Arial"/>
          <w:bCs/>
          <w:color w:val="000000"/>
          <w:sz w:val="22"/>
          <w:lang w:val="es-ES_tradnl"/>
        </w:rPr>
        <w:t xml:space="preserve"> algún supuesto en atención al cual pueda aplicarse la excepción a algún sujeto con una naturaleza jurídica distinta de las específicamente mencionadas.</w:t>
      </w:r>
    </w:p>
    <w:p w14:paraId="0C789021" w14:textId="1F480295" w:rsidR="008807F0" w:rsidRDefault="008807F0" w:rsidP="008807F0">
      <w:pPr>
        <w:spacing w:before="120" w:line="276" w:lineRule="auto"/>
        <w:ind w:firstLine="709"/>
        <w:jc w:val="both"/>
        <w:rPr>
          <w:rFonts w:ascii="Arial" w:eastAsia="Calibri" w:hAnsi="Arial" w:cs="Arial"/>
          <w:bCs/>
          <w:color w:val="000000"/>
          <w:sz w:val="22"/>
          <w:lang w:val="es-ES_tradnl"/>
        </w:rPr>
      </w:pPr>
      <w:r>
        <w:rPr>
          <w:rFonts w:ascii="Arial" w:eastAsia="Calibri" w:hAnsi="Arial" w:cs="Arial"/>
          <w:color w:val="000000"/>
          <w:sz w:val="22"/>
          <w:lang w:val="es-ES_tradnl"/>
        </w:rPr>
        <w:t xml:space="preserve">De acuerdo con </w:t>
      </w:r>
      <w:r w:rsidRPr="00580A56">
        <w:rPr>
          <w:rFonts w:ascii="Arial" w:eastAsia="Calibri" w:hAnsi="Arial" w:cs="Arial"/>
          <w:color w:val="000000"/>
          <w:sz w:val="22"/>
          <w:lang w:val="es-ES_tradnl"/>
        </w:rPr>
        <w:t xml:space="preserve">este criterio interpretativo y comoquiera que la norma determina las excepciones en consideración a la naturaleza jurídica de los sujetos que menciona, sin hacer distinción alguna respecto de su régimen </w:t>
      </w:r>
      <w:r>
        <w:rPr>
          <w:rFonts w:ascii="Arial" w:eastAsia="Calibri" w:hAnsi="Arial" w:cs="Arial"/>
          <w:color w:val="000000"/>
          <w:sz w:val="22"/>
          <w:lang w:val="es-ES_tradnl"/>
        </w:rPr>
        <w:t>contractual</w:t>
      </w:r>
      <w:r w:rsidRPr="00580A56">
        <w:rPr>
          <w:rFonts w:ascii="Arial" w:eastAsia="Calibri" w:hAnsi="Arial" w:cs="Arial"/>
          <w:color w:val="000000"/>
          <w:sz w:val="22"/>
          <w:lang w:val="es-ES_tradnl"/>
        </w:rPr>
        <w:t xml:space="preserve">, es posible concluir que la excepción predicable de las sociedades de económica mixta no resulta extensible a entidades que no </w:t>
      </w:r>
      <w:r>
        <w:rPr>
          <w:rFonts w:ascii="Arial" w:eastAsia="Calibri" w:hAnsi="Arial" w:cs="Arial"/>
          <w:color w:val="000000"/>
          <w:sz w:val="22"/>
          <w:lang w:val="es-ES_tradnl"/>
        </w:rPr>
        <w:t>cuenten con</w:t>
      </w:r>
      <w:r w:rsidRPr="00580A56">
        <w:rPr>
          <w:rFonts w:ascii="Arial" w:eastAsia="Calibri" w:hAnsi="Arial" w:cs="Arial"/>
          <w:color w:val="000000"/>
          <w:sz w:val="22"/>
          <w:lang w:val="es-ES_tradnl"/>
        </w:rPr>
        <w:t xml:space="preserve"> dicha naturaleza</w:t>
      </w:r>
      <w:r>
        <w:rPr>
          <w:rFonts w:ascii="Arial" w:eastAsia="Calibri" w:hAnsi="Arial" w:cs="Arial"/>
          <w:color w:val="000000"/>
          <w:sz w:val="22"/>
          <w:lang w:val="es-ES_tradnl"/>
        </w:rPr>
        <w:t>, como sucede con las empresas de servicios públicos mixta</w:t>
      </w:r>
      <w:r w:rsidR="00300101">
        <w:rPr>
          <w:rFonts w:ascii="Arial" w:eastAsia="Calibri" w:hAnsi="Arial" w:cs="Arial"/>
          <w:color w:val="000000"/>
          <w:sz w:val="22"/>
          <w:lang w:val="es-ES_tradnl"/>
        </w:rPr>
        <w:t>s</w:t>
      </w:r>
      <w:r w:rsidR="00DF3131">
        <w:rPr>
          <w:rFonts w:ascii="Arial" w:eastAsia="Calibri" w:hAnsi="Arial" w:cs="Arial"/>
          <w:color w:val="000000"/>
          <w:sz w:val="22"/>
          <w:lang w:val="es-ES_tradnl"/>
        </w:rPr>
        <w:t xml:space="preserve">, tal y como se expuso en las consideraciones de este concepto. </w:t>
      </w:r>
    </w:p>
    <w:p w14:paraId="14E90247" w14:textId="193E776F" w:rsidR="005E7BED" w:rsidRPr="008807F0" w:rsidRDefault="008807F0" w:rsidP="008807F0">
      <w:pPr>
        <w:spacing w:before="120" w:line="276" w:lineRule="auto"/>
        <w:ind w:firstLine="709"/>
        <w:jc w:val="both"/>
        <w:rPr>
          <w:rFonts w:ascii="Arial" w:eastAsia="Calibri" w:hAnsi="Arial" w:cs="Arial"/>
          <w:bCs/>
          <w:color w:val="000000"/>
          <w:sz w:val="22"/>
          <w:lang w:val="es-ES_tradnl"/>
        </w:rPr>
      </w:pPr>
      <w:r>
        <w:rPr>
          <w:rFonts w:ascii="Arial" w:eastAsia="Calibri" w:hAnsi="Arial" w:cs="Arial"/>
          <w:bCs/>
          <w:color w:val="000000" w:themeColor="text1"/>
          <w:sz w:val="22"/>
          <w:lang w:val="es-ES_tradnl"/>
        </w:rPr>
        <w:t xml:space="preserve">En este contexto, </w:t>
      </w:r>
      <w:r w:rsidR="00F10FC4" w:rsidRPr="00864E72">
        <w:rPr>
          <w:rFonts w:ascii="Arial" w:eastAsia="Calibri" w:hAnsi="Arial" w:cs="Arial"/>
          <w:bCs/>
          <w:color w:val="000000" w:themeColor="text1"/>
          <w:sz w:val="22"/>
          <w:lang w:val="es-ES_tradnl"/>
        </w:rPr>
        <w:t xml:space="preserve">cada entidad estatal deberá analizar su naturaleza jurídica y hacer una interpretación restrictiva de este parágrafo, pues las excepciones deben leerse de manera acorde con dicho parámetro hermenéutico. Tratándose de empresas prestadoras de servicios públicos domiciliarios, no sobra indicar que la autoridad competente para resolver las consultas relacionadas con aspectos asociados a su naturaleza jurídica es la Superintendencia de Servicios Públicos Domiciliarios, de conformidad con el artículo 11, numeral 2, del Decreto 1369 de 2020, según el cual dicha entidad debe «Absolver las consultas jurídicas externas relativas al régimen de los servicios públicos domiciliarios». </w:t>
      </w:r>
    </w:p>
    <w:p w14:paraId="32EB74BD" w14:textId="77777777" w:rsidR="005E7BED" w:rsidRDefault="005E7BED" w:rsidP="00B44196">
      <w:pPr>
        <w:spacing w:line="276" w:lineRule="auto"/>
        <w:jc w:val="both"/>
        <w:rPr>
          <w:rFonts w:ascii="Arial" w:eastAsia="Calibri" w:hAnsi="Arial" w:cs="Arial"/>
          <w:bCs/>
          <w:color w:val="000000" w:themeColor="text1"/>
          <w:sz w:val="22"/>
          <w:lang w:val="es-ES_tradnl"/>
        </w:rPr>
      </w:pPr>
    </w:p>
    <w:p w14:paraId="55C04687" w14:textId="620EFB6B" w:rsidR="00B44196" w:rsidRDefault="005E7BED" w:rsidP="00B44196">
      <w:pPr>
        <w:ind w:left="567" w:right="618"/>
        <w:jc w:val="both"/>
        <w:rPr>
          <w:rFonts w:ascii="Arial" w:eastAsia="Calibri" w:hAnsi="Arial" w:cs="Arial"/>
          <w:sz w:val="21"/>
          <w:szCs w:val="21"/>
        </w:rPr>
      </w:pPr>
      <w:r w:rsidRPr="00F14618">
        <w:rPr>
          <w:rFonts w:ascii="Arial" w:eastAsia="Calibri" w:hAnsi="Arial" w:cs="Arial"/>
          <w:sz w:val="21"/>
          <w:szCs w:val="21"/>
        </w:rPr>
        <w:t>3.2. Si la respuesta a la pregunta anterior es negativa, ¿en qué casos las Empresas de Servicio Públicos, definidas en la Ley 142 de 1994, estarían obligadas a aplicar pliegos tipo y a regirse por el Estatuto General de Contratación?».</w:t>
      </w:r>
    </w:p>
    <w:p w14:paraId="73D0142E" w14:textId="77777777" w:rsidR="00B44196" w:rsidRPr="00B44196" w:rsidRDefault="00B44196" w:rsidP="00B44196">
      <w:pPr>
        <w:spacing w:line="276" w:lineRule="auto"/>
        <w:ind w:left="567" w:right="618"/>
        <w:jc w:val="both"/>
        <w:rPr>
          <w:rFonts w:ascii="Arial" w:eastAsia="Calibri" w:hAnsi="Arial" w:cs="Arial"/>
          <w:sz w:val="21"/>
          <w:szCs w:val="21"/>
        </w:rPr>
      </w:pPr>
    </w:p>
    <w:p w14:paraId="5C67BF65" w14:textId="200C8C1F" w:rsidR="00B44196" w:rsidRPr="00F31CBB" w:rsidRDefault="00B44196" w:rsidP="00B44196">
      <w:pPr>
        <w:tabs>
          <w:tab w:val="left" w:pos="0"/>
        </w:tabs>
        <w:spacing w:line="276" w:lineRule="auto"/>
        <w:jc w:val="both"/>
        <w:rPr>
          <w:rFonts w:ascii="Arial" w:eastAsia="Calibri" w:hAnsi="Arial" w:cs="Arial"/>
          <w:bCs/>
          <w:sz w:val="22"/>
          <w:lang w:val="es-ES_tradnl"/>
        </w:rPr>
      </w:pPr>
      <w:r>
        <w:rPr>
          <w:rFonts w:ascii="Arial" w:eastAsia="Calibri" w:hAnsi="Arial" w:cs="Arial"/>
          <w:bCs/>
          <w:sz w:val="22"/>
          <w:lang w:val="es-ES_tradnl"/>
        </w:rPr>
        <w:t>P</w:t>
      </w:r>
      <w:r w:rsidRPr="00F31CBB">
        <w:rPr>
          <w:rFonts w:ascii="Arial" w:eastAsia="Calibri" w:hAnsi="Arial" w:cs="Arial"/>
          <w:bCs/>
          <w:sz w:val="22"/>
          <w:lang w:val="es-ES_tradnl"/>
        </w:rPr>
        <w:t xml:space="preserve">ara determinar si se encuentran o no obligados a aplicar documentos tipo, las respectivas entidades estatales con régimen de contratación especial, patrimonios autónomos, </w:t>
      </w:r>
      <w:r w:rsidR="005909B1">
        <w:rPr>
          <w:rFonts w:ascii="Arial" w:eastAsia="Calibri" w:hAnsi="Arial" w:cs="Arial"/>
          <w:bCs/>
          <w:sz w:val="22"/>
          <w:lang w:val="es-ES_tradnl"/>
        </w:rPr>
        <w:t xml:space="preserve">y </w:t>
      </w:r>
      <w:r w:rsidRPr="00F31CBB">
        <w:rPr>
          <w:rFonts w:ascii="Arial" w:eastAsia="Calibri" w:hAnsi="Arial" w:cs="Arial"/>
          <w:bCs/>
          <w:sz w:val="22"/>
          <w:lang w:val="es-ES_tradnl"/>
        </w:rPr>
        <w:t>personas naturales o jurídicas de derecho privado</w:t>
      </w:r>
      <w:r w:rsidR="005909B1">
        <w:rPr>
          <w:rFonts w:ascii="Arial" w:eastAsia="Calibri" w:hAnsi="Arial" w:cs="Arial"/>
          <w:bCs/>
          <w:sz w:val="22"/>
          <w:lang w:val="es-ES_tradnl"/>
        </w:rPr>
        <w:t>,</w:t>
      </w:r>
      <w:r w:rsidRPr="00F31CBB">
        <w:rPr>
          <w:rFonts w:ascii="Arial" w:eastAsia="Calibri" w:hAnsi="Arial" w:cs="Arial"/>
          <w:bCs/>
          <w:sz w:val="22"/>
          <w:lang w:val="es-ES_tradnl"/>
        </w:rPr>
        <w:t xml:space="preserve"> deberán verificar si el objeto contractual que deben contratar</w:t>
      </w:r>
      <w:r w:rsidR="005909B1">
        <w:rPr>
          <w:rFonts w:ascii="Arial" w:eastAsia="Calibri" w:hAnsi="Arial" w:cs="Arial"/>
          <w:bCs/>
          <w:sz w:val="22"/>
          <w:lang w:val="es-ES_tradnl"/>
        </w:rPr>
        <w:t>,</w:t>
      </w:r>
      <w:r w:rsidRPr="00F31CBB">
        <w:rPr>
          <w:rFonts w:ascii="Arial" w:eastAsia="Calibri" w:hAnsi="Arial" w:cs="Arial"/>
          <w:bCs/>
          <w:sz w:val="22"/>
          <w:lang w:val="es-ES_tradnl"/>
        </w:rPr>
        <w:t xml:space="preserve"> en efecto</w:t>
      </w:r>
      <w:r w:rsidR="005909B1">
        <w:rPr>
          <w:rFonts w:ascii="Arial" w:eastAsia="Calibri" w:hAnsi="Arial" w:cs="Arial"/>
          <w:bCs/>
          <w:sz w:val="22"/>
          <w:lang w:val="es-ES_tradnl"/>
        </w:rPr>
        <w:t>,</w:t>
      </w:r>
      <w:r w:rsidRPr="00F31CBB">
        <w:rPr>
          <w:rFonts w:ascii="Arial" w:eastAsia="Calibri" w:hAnsi="Arial" w:cs="Arial"/>
          <w:bCs/>
          <w:sz w:val="22"/>
          <w:lang w:val="es-ES_tradnl"/>
        </w:rPr>
        <w:t xml:space="preserve"> se encuentra cobijado por algún documento tipo</w:t>
      </w:r>
      <w:r w:rsidR="00DC406B">
        <w:rPr>
          <w:rFonts w:ascii="Arial" w:eastAsia="Calibri" w:hAnsi="Arial" w:cs="Arial"/>
          <w:bCs/>
          <w:sz w:val="22"/>
          <w:lang w:val="es-ES_tradnl"/>
        </w:rPr>
        <w:t xml:space="preserve"> existente</w:t>
      </w:r>
      <w:r w:rsidRPr="00F31CBB">
        <w:rPr>
          <w:rFonts w:ascii="Arial" w:eastAsia="Calibri" w:hAnsi="Arial" w:cs="Arial"/>
          <w:bCs/>
          <w:sz w:val="22"/>
          <w:lang w:val="es-ES_tradnl"/>
        </w:rPr>
        <w:t xml:space="preserve">. De no ser así, no solo no resultaría obligatoria la aplicación de los documentos tipo, sino </w:t>
      </w:r>
      <w:r w:rsidRPr="00F31CBB">
        <w:rPr>
          <w:rFonts w:ascii="Arial" w:eastAsia="Calibri" w:hAnsi="Arial" w:cs="Arial"/>
          <w:bCs/>
          <w:sz w:val="22"/>
          <w:lang w:val="es-ES_tradnl"/>
        </w:rPr>
        <w:lastRenderedPageBreak/>
        <w:t xml:space="preserve">que tampoco habría lugar a la aplicación del EGCAP, </w:t>
      </w:r>
      <w:r w:rsidR="005909B1">
        <w:rPr>
          <w:rFonts w:ascii="Arial" w:eastAsia="Calibri" w:hAnsi="Arial" w:cs="Arial"/>
          <w:bCs/>
          <w:sz w:val="22"/>
          <w:lang w:val="es-ES_tradnl"/>
        </w:rPr>
        <w:t>dado</w:t>
      </w:r>
      <w:r w:rsidRPr="00F31CBB">
        <w:rPr>
          <w:rFonts w:ascii="Arial" w:eastAsia="Calibri" w:hAnsi="Arial" w:cs="Arial"/>
          <w:bCs/>
          <w:sz w:val="22"/>
          <w:lang w:val="es-ES_tradnl"/>
        </w:rPr>
        <w:t xml:space="preserve"> que tal medida</w:t>
      </w:r>
      <w:r w:rsidR="005909B1">
        <w:rPr>
          <w:rFonts w:ascii="Arial" w:eastAsia="Calibri" w:hAnsi="Arial" w:cs="Arial"/>
          <w:bCs/>
          <w:sz w:val="22"/>
          <w:lang w:val="es-ES_tradnl"/>
        </w:rPr>
        <w:t>,</w:t>
      </w:r>
      <w:r w:rsidRPr="00F31CBB">
        <w:rPr>
          <w:rFonts w:ascii="Arial" w:eastAsia="Calibri" w:hAnsi="Arial" w:cs="Arial"/>
          <w:bCs/>
          <w:sz w:val="22"/>
          <w:lang w:val="es-ES_tradnl"/>
        </w:rPr>
        <w:t xml:space="preserve"> contemplada en el inciso segundo de la norma en comento</w:t>
      </w:r>
      <w:r w:rsidR="005909B1">
        <w:rPr>
          <w:rFonts w:ascii="Arial" w:eastAsia="Calibri" w:hAnsi="Arial" w:cs="Arial"/>
          <w:bCs/>
          <w:sz w:val="22"/>
          <w:lang w:val="es-ES_tradnl"/>
        </w:rPr>
        <w:t>,</w:t>
      </w:r>
      <w:r w:rsidRPr="00F31CBB">
        <w:rPr>
          <w:rFonts w:ascii="Arial" w:eastAsia="Calibri" w:hAnsi="Arial" w:cs="Arial"/>
          <w:bCs/>
          <w:sz w:val="22"/>
          <w:lang w:val="es-ES_tradnl"/>
        </w:rPr>
        <w:t xml:space="preserve"> está condicionada a la aplicación de documentos tipo. </w:t>
      </w:r>
    </w:p>
    <w:p w14:paraId="08114D73" w14:textId="1C684CB8" w:rsidR="005E7BED" w:rsidRPr="00DC406B" w:rsidRDefault="00B44196" w:rsidP="00DC406B">
      <w:pPr>
        <w:tabs>
          <w:tab w:val="left" w:pos="0"/>
        </w:tabs>
        <w:spacing w:before="120" w:line="276" w:lineRule="auto"/>
        <w:jc w:val="both"/>
        <w:rPr>
          <w:rFonts w:ascii="Arial" w:eastAsia="Calibri" w:hAnsi="Arial" w:cs="Arial"/>
          <w:bCs/>
          <w:sz w:val="22"/>
          <w:lang w:val="es-ES_tradnl"/>
        </w:rPr>
      </w:pPr>
      <w:r w:rsidRPr="00F31CBB">
        <w:rPr>
          <w:rFonts w:ascii="Arial" w:eastAsia="Calibri" w:hAnsi="Arial" w:cs="Arial"/>
          <w:bCs/>
          <w:sz w:val="22"/>
          <w:lang w:val="es-ES_tradnl"/>
        </w:rPr>
        <w:tab/>
      </w:r>
      <w:r w:rsidR="009311D1">
        <w:rPr>
          <w:rFonts w:ascii="Arial" w:eastAsia="Calibri" w:hAnsi="Arial" w:cs="Arial"/>
          <w:bCs/>
          <w:sz w:val="22"/>
          <w:lang w:val="es-ES_tradnl"/>
        </w:rPr>
        <w:t>De esta manera</w:t>
      </w:r>
      <w:r w:rsidRPr="00F31CBB">
        <w:rPr>
          <w:rFonts w:ascii="Arial" w:eastAsia="Calibri" w:hAnsi="Arial" w:cs="Arial"/>
          <w:bCs/>
          <w:sz w:val="22"/>
          <w:lang w:val="es-ES_tradnl"/>
        </w:rPr>
        <w:t xml:space="preserve">, el deber de aplicar documentos tipo por parte de entidades estatales con régimen de contratación especial, patrimonios autónomos, </w:t>
      </w:r>
      <w:r w:rsidR="00E43479">
        <w:rPr>
          <w:rFonts w:ascii="Arial" w:eastAsia="Calibri" w:hAnsi="Arial" w:cs="Arial"/>
          <w:bCs/>
          <w:sz w:val="22"/>
          <w:lang w:val="es-ES_tradnl"/>
        </w:rPr>
        <w:t xml:space="preserve">y </w:t>
      </w:r>
      <w:r w:rsidRPr="00F31CBB">
        <w:rPr>
          <w:rFonts w:ascii="Arial" w:eastAsia="Calibri" w:hAnsi="Arial" w:cs="Arial"/>
          <w:bCs/>
          <w:sz w:val="22"/>
          <w:lang w:val="es-ES_tradnl"/>
        </w:rPr>
        <w:t xml:space="preserve">personas naturales o jurídicas de derecho privado, solo se extiende a los procedimientos contractuales cuyos objetos y modalidades en las que deberían ser adelantados, se encuentren dentro del ámbito de aplicación de los documentos tipo que </w:t>
      </w:r>
      <w:r w:rsidR="00E43479">
        <w:rPr>
          <w:rFonts w:ascii="Arial" w:eastAsia="Calibri" w:hAnsi="Arial" w:cs="Arial"/>
          <w:bCs/>
          <w:sz w:val="22"/>
          <w:lang w:val="es-ES_tradnl"/>
        </w:rPr>
        <w:t>estén</w:t>
      </w:r>
      <w:r w:rsidRPr="00F31CBB">
        <w:rPr>
          <w:rFonts w:ascii="Arial" w:eastAsia="Calibri" w:hAnsi="Arial" w:cs="Arial"/>
          <w:bCs/>
          <w:sz w:val="22"/>
          <w:lang w:val="es-ES_tradnl"/>
        </w:rPr>
        <w:t xml:space="preserve"> vigentes. En ese sentido, si el objeto a contratar no se subsume dentro de ningún documento tipo, la respectiva persona natural o jurídica, entidad exceptuada o patrimonio autónomo podrá contratar con sujeción a las normas y procedimientos que normalmente lo rigen, sin que con ello se vulnere lo dispuesto en el artículo 56 </w:t>
      </w:r>
      <w:proofErr w:type="spellStart"/>
      <w:r w:rsidRPr="00F31CBB">
        <w:rPr>
          <w:rFonts w:ascii="Arial" w:eastAsia="Calibri" w:hAnsi="Arial" w:cs="Arial"/>
          <w:bCs/>
          <w:i/>
          <w:iCs/>
          <w:sz w:val="22"/>
          <w:lang w:val="es-ES_tradnl"/>
        </w:rPr>
        <w:t>ibídem</w:t>
      </w:r>
      <w:proofErr w:type="spellEnd"/>
      <w:r w:rsidRPr="00F31CBB">
        <w:rPr>
          <w:rFonts w:ascii="Arial" w:eastAsia="Calibri" w:hAnsi="Arial" w:cs="Arial"/>
          <w:bCs/>
          <w:sz w:val="22"/>
          <w:lang w:val="es-ES_tradnl"/>
        </w:rPr>
        <w:t xml:space="preserve">. Esto sin perjuicio de que, en el marco de la autonomía que les corresponde, los referidos sujetos puedan incorporar o retomar componentes de los documentos tipo en sus procesos contractuales a modo de buena práctica contractual, siempre que así lo consideren pertinente. </w:t>
      </w:r>
    </w:p>
    <w:p w14:paraId="407AD420" w14:textId="77777777" w:rsidR="00F10FC4" w:rsidRPr="00864E72" w:rsidRDefault="00F10FC4" w:rsidP="00F10FC4">
      <w:pPr>
        <w:tabs>
          <w:tab w:val="left" w:pos="0"/>
        </w:tabs>
        <w:spacing w:line="276" w:lineRule="auto"/>
        <w:jc w:val="both"/>
        <w:rPr>
          <w:rFonts w:ascii="Arial" w:eastAsia="Calibri" w:hAnsi="Arial" w:cs="Arial"/>
          <w:b/>
          <w:i/>
          <w:iCs/>
          <w:color w:val="000000" w:themeColor="text1"/>
          <w:sz w:val="22"/>
          <w:lang w:val="es-ES_tradnl"/>
        </w:rPr>
      </w:pPr>
    </w:p>
    <w:p w14:paraId="056816F7" w14:textId="36C087E7" w:rsidR="00D40F8B" w:rsidRPr="00A51520" w:rsidRDefault="00DD5B04" w:rsidP="00B21AD4">
      <w:pPr>
        <w:widowControl w:val="0"/>
        <w:autoSpaceDE w:val="0"/>
        <w:autoSpaceDN w:val="0"/>
        <w:spacing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00D40F8B" w:rsidRPr="00A51520">
        <w:rPr>
          <w:rFonts w:ascii="Arial" w:hAnsi="Arial" w:cs="Arial"/>
          <w:color w:val="000000" w:themeColor="text1"/>
          <w:sz w:val="22"/>
          <w:lang w:val="es-ES_tradnl"/>
        </w:rPr>
        <w:t xml:space="preserve"> lo Contencioso Administrativo.</w:t>
      </w:r>
    </w:p>
    <w:p w14:paraId="6F54E9C9" w14:textId="77777777" w:rsidR="00003233" w:rsidRPr="00A51520"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10A1E411" w14:textId="4A39E32F" w:rsidR="00D40F8B" w:rsidRPr="00A51520" w:rsidRDefault="00EF29ED"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68020A">
        <w:rPr>
          <w:rFonts w:ascii="Arial" w:hAnsi="Arial" w:cs="Arial"/>
          <w:noProof/>
          <w:sz w:val="20"/>
          <w:szCs w:val="20"/>
        </w:rPr>
        <w:drawing>
          <wp:inline distT="0" distB="0" distL="0" distR="0" wp14:anchorId="29CD5C24" wp14:editId="4654914B">
            <wp:extent cx="2990850" cy="11620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1162050"/>
                    </a:xfrm>
                    <a:prstGeom prst="rect">
                      <a:avLst/>
                    </a:prstGeom>
                    <a:noFill/>
                    <a:ln>
                      <a:noFill/>
                    </a:ln>
                  </pic:spPr>
                </pic:pic>
              </a:graphicData>
            </a:graphic>
          </wp:inline>
        </w:drawing>
      </w:r>
    </w:p>
    <w:p w14:paraId="1ED13883" w14:textId="77777777" w:rsidR="00003233" w:rsidRPr="00A51520"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51520" w14:paraId="0C7DC5F7" w14:textId="77777777" w:rsidTr="00D40F8B">
        <w:trPr>
          <w:trHeight w:val="160"/>
        </w:trPr>
        <w:tc>
          <w:tcPr>
            <w:tcW w:w="812" w:type="dxa"/>
            <w:vAlign w:val="center"/>
            <w:hideMark/>
          </w:tcPr>
          <w:p w14:paraId="5BDB1AC9"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A51520" w:rsidRDefault="00F412DF"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Tatiana Baquero Iguarán</w:t>
            </w:r>
          </w:p>
          <w:p w14:paraId="240C71FD" w14:textId="31312C95"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Contratista</w:t>
            </w:r>
            <w:r w:rsidR="00FF0050" w:rsidRPr="00A51520">
              <w:rPr>
                <w:rFonts w:ascii="Arial" w:hAnsi="Arial" w:cs="Arial"/>
                <w:color w:val="000000" w:themeColor="text1"/>
                <w:sz w:val="16"/>
                <w:szCs w:val="16"/>
                <w:lang w:val="es-ES_tradnl" w:eastAsia="es-ES"/>
              </w:rPr>
              <w:t xml:space="preserve"> de la </w:t>
            </w:r>
            <w:r w:rsidRPr="00A51520">
              <w:rPr>
                <w:rFonts w:ascii="Arial" w:hAnsi="Arial" w:cs="Arial"/>
                <w:color w:val="000000" w:themeColor="text1"/>
                <w:sz w:val="16"/>
                <w:szCs w:val="16"/>
                <w:lang w:val="es-ES_tradnl" w:eastAsia="es-ES"/>
              </w:rPr>
              <w:t>Subdirección de Gestión Contractual</w:t>
            </w:r>
          </w:p>
        </w:tc>
      </w:tr>
      <w:tr w:rsidR="00DD5B04" w:rsidRPr="00A51520" w14:paraId="2F8FD650" w14:textId="77777777" w:rsidTr="00D15356">
        <w:trPr>
          <w:trHeight w:val="330"/>
        </w:trPr>
        <w:tc>
          <w:tcPr>
            <w:tcW w:w="812" w:type="dxa"/>
            <w:vAlign w:val="center"/>
            <w:hideMark/>
          </w:tcPr>
          <w:p w14:paraId="50203A0B"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1A4DC18" w14:textId="2EA393C2" w:rsidR="003A07D9" w:rsidRDefault="00B651CB" w:rsidP="003A07D9">
            <w:pPr>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Cristian </w:t>
            </w:r>
            <w:r w:rsidR="00394BAE">
              <w:rPr>
                <w:rFonts w:ascii="Arial" w:hAnsi="Arial" w:cs="Arial"/>
                <w:color w:val="000000" w:themeColor="text1"/>
                <w:sz w:val="16"/>
                <w:szCs w:val="16"/>
                <w:lang w:eastAsia="es-ES"/>
              </w:rPr>
              <w:t xml:space="preserve">Andrés </w:t>
            </w:r>
            <w:r>
              <w:rPr>
                <w:rFonts w:ascii="Arial" w:hAnsi="Arial" w:cs="Arial"/>
                <w:color w:val="000000" w:themeColor="text1"/>
                <w:sz w:val="16"/>
                <w:szCs w:val="16"/>
                <w:lang w:eastAsia="es-ES"/>
              </w:rPr>
              <w:t>Díaz D</w:t>
            </w:r>
            <w:r w:rsidR="00D26D79">
              <w:rPr>
                <w:rFonts w:ascii="Arial" w:hAnsi="Arial" w:cs="Arial"/>
                <w:color w:val="000000" w:themeColor="text1"/>
                <w:sz w:val="16"/>
                <w:szCs w:val="16"/>
                <w:lang w:eastAsia="es-ES"/>
              </w:rPr>
              <w:t>í</w:t>
            </w:r>
            <w:r>
              <w:rPr>
                <w:rFonts w:ascii="Arial" w:hAnsi="Arial" w:cs="Arial"/>
                <w:color w:val="000000" w:themeColor="text1"/>
                <w:sz w:val="16"/>
                <w:szCs w:val="16"/>
                <w:lang w:eastAsia="es-ES"/>
              </w:rPr>
              <w:t xml:space="preserve">ez </w:t>
            </w:r>
          </w:p>
          <w:p w14:paraId="130B3228" w14:textId="41B998FE" w:rsidR="00DD5B04" w:rsidRPr="003A07D9" w:rsidRDefault="00B651CB" w:rsidP="003A07D9">
            <w:pPr>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Contratista de la</w:t>
            </w:r>
            <w:r w:rsidR="003A07D9">
              <w:rPr>
                <w:rFonts w:ascii="Arial" w:hAnsi="Arial" w:cs="Arial"/>
                <w:color w:val="000000" w:themeColor="text1"/>
                <w:sz w:val="16"/>
                <w:szCs w:val="16"/>
                <w:lang w:eastAsia="es-ES"/>
              </w:rPr>
              <w:t xml:space="preserve"> 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C05559" w14:textId="77777777" w:rsidR="008657C6" w:rsidRPr="006A06F2" w:rsidRDefault="008657C6" w:rsidP="008657C6">
            <w:r>
              <w:rPr>
                <w:rFonts w:ascii="Arial" w:eastAsia="Arial" w:hAnsi="Arial" w:cs="Arial"/>
                <w:color w:val="000000"/>
                <w:sz w:val="16"/>
                <w:szCs w:val="16"/>
              </w:rPr>
              <w:t>Juan David Marín López</w:t>
            </w:r>
          </w:p>
          <w:p w14:paraId="1ADC483B" w14:textId="0B971153" w:rsidR="00DD5B04" w:rsidRPr="00D40F8B" w:rsidRDefault="008657C6" w:rsidP="008657C6">
            <w:pPr>
              <w:jc w:val="both"/>
              <w:rPr>
                <w:rFonts w:ascii="Arial" w:hAnsi="Arial" w:cs="Arial"/>
                <w:color w:val="000000" w:themeColor="text1"/>
                <w:sz w:val="16"/>
                <w:szCs w:val="16"/>
                <w:lang w:val="es-ES_tradnl" w:eastAsia="es-ES"/>
              </w:rPr>
            </w:pPr>
            <w:r w:rsidRPr="006A06F2">
              <w:rPr>
                <w:rFonts w:ascii="Arial" w:eastAsia="Arial" w:hAnsi="Arial" w:cs="Arial"/>
                <w:color w:val="000000"/>
                <w:sz w:val="16"/>
                <w:szCs w:val="16"/>
              </w:rPr>
              <w:t xml:space="preserve">Subdirector de Gestión Contractual </w:t>
            </w:r>
            <w:r>
              <w:rPr>
                <w:rFonts w:ascii="Arial" w:eastAsia="Arial" w:hAnsi="Arial" w:cs="Arial"/>
                <w:color w:val="000000"/>
                <w:sz w:val="16"/>
                <w:szCs w:val="16"/>
              </w:rPr>
              <w:t>(E)</w:t>
            </w:r>
          </w:p>
        </w:tc>
      </w:tr>
    </w:tbl>
    <w:p w14:paraId="62A9C657" w14:textId="77777777" w:rsidR="00453A53" w:rsidRDefault="00453A53" w:rsidP="00215B8E">
      <w:pPr>
        <w:jc w:val="both"/>
        <w:rPr>
          <w:rFonts w:ascii="Arial" w:hAnsi="Arial" w:cs="Arial"/>
          <w:lang w:val="es-ES_tradnl"/>
        </w:rPr>
      </w:pPr>
    </w:p>
    <w:p w14:paraId="3F7284BE" w14:textId="3AD023D9" w:rsidR="008351F8" w:rsidRPr="009D3964" w:rsidRDefault="008351F8" w:rsidP="00215B8E">
      <w:pPr>
        <w:jc w:val="both"/>
        <w:rPr>
          <w:rFonts w:ascii="Arial" w:hAnsi="Arial" w:cs="Arial"/>
          <w:lang w:val="es-ES_tradnl"/>
        </w:rPr>
      </w:pPr>
    </w:p>
    <w:bookmarkEnd w:id="4"/>
    <w:p w14:paraId="4D3D318F" w14:textId="0570CAF4" w:rsidR="00FC710F" w:rsidRDefault="00FC710F">
      <w:pPr>
        <w:jc w:val="both"/>
        <w:rPr>
          <w:rFonts w:ascii="Arial" w:hAnsi="Arial" w:cs="Arial"/>
          <w:lang w:val="es-ES_tradnl"/>
        </w:rPr>
      </w:pPr>
    </w:p>
    <w:bookmarkEnd w:id="2"/>
    <w:p w14:paraId="575AF8D6" w14:textId="503E82EC" w:rsidR="003A07D9" w:rsidRPr="003A07D9" w:rsidRDefault="003A07D9" w:rsidP="003A07D9">
      <w:pPr>
        <w:tabs>
          <w:tab w:val="left" w:pos="3570"/>
        </w:tabs>
        <w:rPr>
          <w:rFonts w:ascii="Arial" w:hAnsi="Arial" w:cs="Arial"/>
          <w:lang w:val="es-ES_tradnl"/>
        </w:rPr>
      </w:pPr>
    </w:p>
    <w:sectPr w:rsidR="003A07D9" w:rsidRPr="003A07D9" w:rsidSect="00026B36">
      <w:headerReference w:type="default" r:id="rId13"/>
      <w:footerReference w:type="default" r:id="rId14"/>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BD3F" w14:textId="77777777" w:rsidR="00287A05" w:rsidRDefault="00287A05">
      <w:r>
        <w:separator/>
      </w:r>
    </w:p>
  </w:endnote>
  <w:endnote w:type="continuationSeparator" w:id="0">
    <w:p w14:paraId="7189C9C2" w14:textId="77777777" w:rsidR="00287A05" w:rsidRDefault="00287A05">
      <w:r>
        <w:continuationSeparator/>
      </w:r>
    </w:p>
  </w:endnote>
  <w:endnote w:type="continuationNotice" w:id="1">
    <w:p w14:paraId="0ACC8146" w14:textId="77777777" w:rsidR="00287A05" w:rsidRDefault="00287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14DD3" w14:textId="77777777" w:rsidR="00287A05" w:rsidRDefault="00287A05">
      <w:r>
        <w:separator/>
      </w:r>
    </w:p>
  </w:footnote>
  <w:footnote w:type="continuationSeparator" w:id="0">
    <w:p w14:paraId="7F4D0A20" w14:textId="77777777" w:rsidR="00287A05" w:rsidRDefault="00287A05">
      <w:r>
        <w:continuationSeparator/>
      </w:r>
    </w:p>
  </w:footnote>
  <w:footnote w:type="continuationNotice" w:id="1">
    <w:p w14:paraId="5DE6784C" w14:textId="77777777" w:rsidR="00287A05" w:rsidRDefault="00287A05"/>
  </w:footnote>
  <w:footnote w:id="2">
    <w:p w14:paraId="2196D2C3" w14:textId="77777777" w:rsidR="005016C7" w:rsidRPr="00582B72" w:rsidRDefault="005016C7" w:rsidP="005016C7">
      <w:pPr>
        <w:pStyle w:val="Textonotapie"/>
        <w:ind w:firstLine="709"/>
        <w:jc w:val="both"/>
        <w:rPr>
          <w:rFonts w:ascii="Arial" w:hAnsi="Arial" w:cs="Arial"/>
          <w:color w:val="000000" w:themeColor="text1"/>
          <w:sz w:val="19"/>
          <w:szCs w:val="19"/>
        </w:rPr>
      </w:pPr>
      <w:r w:rsidRPr="00582B72">
        <w:rPr>
          <w:rStyle w:val="Refdenotaalpie"/>
          <w:rFonts w:ascii="Arial" w:hAnsi="Arial" w:cs="Arial"/>
          <w:color w:val="000000" w:themeColor="text1"/>
          <w:sz w:val="19"/>
          <w:szCs w:val="19"/>
        </w:rPr>
        <w:footnoteRef/>
      </w:r>
      <w:r w:rsidRPr="00582B72">
        <w:rPr>
          <w:rFonts w:ascii="Arial" w:hAnsi="Arial" w:cs="Arial"/>
          <w:color w:val="000000" w:themeColor="text1"/>
          <w:sz w:val="19"/>
          <w:szCs w:val="19"/>
        </w:rPr>
        <w:t xml:space="preserve"> Los conceptos indicados pueden consultarse en el siguiente enlace: https://relatoria.colombiacompra.gov.co/busqueda/conceptos.</w:t>
      </w:r>
    </w:p>
  </w:footnote>
  <w:footnote w:id="3">
    <w:p w14:paraId="32FD0B6F" w14:textId="77777777" w:rsidR="00031AD9" w:rsidRPr="00582B72" w:rsidRDefault="00031AD9" w:rsidP="00113FF2">
      <w:pPr>
        <w:pStyle w:val="Textonotapie"/>
        <w:ind w:firstLine="709"/>
        <w:jc w:val="both"/>
        <w:rPr>
          <w:rFonts w:ascii="Arial" w:hAnsi="Arial" w:cs="Arial"/>
          <w:color w:val="000000" w:themeColor="text1"/>
          <w:sz w:val="19"/>
          <w:szCs w:val="19"/>
          <w:lang w:val="es-CO"/>
        </w:rPr>
      </w:pPr>
      <w:r w:rsidRPr="00582B72">
        <w:rPr>
          <w:rStyle w:val="Refdenotaalpie"/>
          <w:rFonts w:ascii="Arial" w:hAnsi="Arial" w:cs="Arial"/>
          <w:sz w:val="19"/>
          <w:szCs w:val="19"/>
        </w:rPr>
        <w:footnoteRef/>
      </w:r>
      <w:r w:rsidRPr="00582B72">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4">
    <w:p w14:paraId="30AC710D" w14:textId="77777777" w:rsidR="00031AD9" w:rsidRPr="00582B72" w:rsidRDefault="00031AD9" w:rsidP="00D04750">
      <w:pPr>
        <w:pStyle w:val="Textonotapie"/>
        <w:ind w:firstLine="709"/>
        <w:jc w:val="both"/>
        <w:rPr>
          <w:rFonts w:ascii="Arial" w:hAnsi="Arial" w:cs="Arial"/>
          <w:color w:val="000000" w:themeColor="text1"/>
          <w:sz w:val="19"/>
          <w:szCs w:val="19"/>
        </w:rPr>
      </w:pPr>
      <w:r w:rsidRPr="00582B72">
        <w:rPr>
          <w:rStyle w:val="Refdenotaalpie"/>
          <w:rFonts w:ascii="Arial" w:hAnsi="Arial" w:cs="Arial"/>
          <w:sz w:val="19"/>
          <w:szCs w:val="19"/>
        </w:rPr>
        <w:footnoteRef/>
      </w:r>
      <w:r w:rsidRPr="00582B72">
        <w:rPr>
          <w:rFonts w:ascii="Arial" w:hAnsi="Arial" w:cs="Arial"/>
          <w:color w:val="000000" w:themeColor="text1"/>
          <w:sz w:val="19"/>
          <w:szCs w:val="19"/>
        </w:rPr>
        <w:t xml:space="preserve"> </w:t>
      </w:r>
      <w:r w:rsidRPr="00582B72">
        <w:rPr>
          <w:rFonts w:ascii="Arial" w:hAnsi="Arial" w:cs="Arial"/>
          <w:color w:val="000000" w:themeColor="text1"/>
          <w:sz w:val="19"/>
          <w:szCs w:val="19"/>
          <w:lang w:val="es-CO"/>
        </w:rPr>
        <w:t xml:space="preserve">Ley 1882 de 2018: «Artículo 4. </w:t>
      </w:r>
      <w:r w:rsidRPr="00582B72">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279BD63" w14:textId="77777777" w:rsidR="00031AD9" w:rsidRPr="00582B72" w:rsidRDefault="00031AD9" w:rsidP="00D04750">
      <w:pPr>
        <w:pStyle w:val="Textonotapie"/>
        <w:ind w:firstLine="709"/>
        <w:jc w:val="both"/>
        <w:rPr>
          <w:rFonts w:ascii="Arial" w:hAnsi="Arial" w:cs="Arial"/>
          <w:color w:val="000000" w:themeColor="text1"/>
          <w:sz w:val="19"/>
          <w:szCs w:val="19"/>
          <w:lang w:val="es-CO"/>
        </w:rPr>
      </w:pPr>
      <w:r w:rsidRPr="00582B72">
        <w:rPr>
          <w:rFonts w:ascii="Arial" w:hAnsi="Arial" w:cs="Arial"/>
          <w:color w:val="000000" w:themeColor="text1"/>
          <w:sz w:val="19"/>
          <w:szCs w:val="19"/>
          <w:lang w:val="es-CO"/>
        </w:rPr>
        <w:t>»La facultad de adoptar documentos tipo la tendrá el Gobierno nacional, cuando lo considere necesario, en relación con otros contratos o procesos de selección.</w:t>
      </w:r>
    </w:p>
    <w:p w14:paraId="73636B9C" w14:textId="77777777" w:rsidR="00031AD9" w:rsidRPr="00582B72" w:rsidRDefault="00031AD9" w:rsidP="00D81718">
      <w:pPr>
        <w:pStyle w:val="Textonotapie"/>
        <w:ind w:firstLine="709"/>
        <w:jc w:val="both"/>
        <w:rPr>
          <w:rFonts w:ascii="Arial" w:hAnsi="Arial" w:cs="Arial"/>
          <w:color w:val="000000" w:themeColor="text1"/>
          <w:sz w:val="19"/>
          <w:szCs w:val="19"/>
          <w:lang w:val="es-CO"/>
        </w:rPr>
      </w:pPr>
      <w:r w:rsidRPr="00582B72">
        <w:rPr>
          <w:rFonts w:ascii="Arial" w:hAnsi="Arial" w:cs="Arial"/>
          <w:color w:val="000000" w:themeColor="text1"/>
          <w:sz w:val="19"/>
          <w:szCs w:val="19"/>
          <w:lang w:val="es-CO"/>
        </w:rPr>
        <w:t>»Los pliegos tipo se adoptarán por categorías de acuerdo con la cuantía de la contratación, según la reglamentación que expida el Gobierno nacional».</w:t>
      </w:r>
    </w:p>
  </w:footnote>
  <w:footnote w:id="5">
    <w:p w14:paraId="4824280C" w14:textId="77777777" w:rsidR="00031AD9" w:rsidRPr="00582B72" w:rsidRDefault="00031AD9" w:rsidP="00D81718">
      <w:pPr>
        <w:pStyle w:val="Textonotapie"/>
        <w:ind w:firstLine="709"/>
        <w:jc w:val="both"/>
        <w:rPr>
          <w:rFonts w:ascii="Arial" w:hAnsi="Arial" w:cs="Arial"/>
          <w:color w:val="000000" w:themeColor="text1"/>
          <w:sz w:val="19"/>
          <w:szCs w:val="19"/>
        </w:rPr>
      </w:pPr>
      <w:r w:rsidRPr="00582B72">
        <w:rPr>
          <w:rStyle w:val="Refdenotaalpie"/>
          <w:rFonts w:ascii="Arial" w:hAnsi="Arial" w:cs="Arial"/>
          <w:sz w:val="19"/>
          <w:szCs w:val="19"/>
        </w:rPr>
        <w:footnoteRef/>
      </w:r>
      <w:r w:rsidRPr="00582B72">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2E212F40" w14:textId="77777777" w:rsidR="00031AD9" w:rsidRPr="00582B72" w:rsidRDefault="00031AD9" w:rsidP="00450B1A">
      <w:pPr>
        <w:pStyle w:val="Textonotapie"/>
        <w:ind w:firstLine="709"/>
        <w:jc w:val="both"/>
        <w:rPr>
          <w:rFonts w:ascii="Arial" w:hAnsi="Arial" w:cs="Arial"/>
          <w:color w:val="000000" w:themeColor="text1"/>
          <w:sz w:val="19"/>
          <w:szCs w:val="19"/>
        </w:rPr>
      </w:pPr>
    </w:p>
  </w:footnote>
  <w:footnote w:id="6">
    <w:p w14:paraId="4A1E6A63" w14:textId="77777777" w:rsidR="00031AD9" w:rsidRPr="00582B72" w:rsidRDefault="00031AD9" w:rsidP="00450B1A">
      <w:pPr>
        <w:pStyle w:val="NormalWeb"/>
        <w:spacing w:before="0" w:beforeAutospacing="0" w:after="0" w:afterAutospacing="0"/>
        <w:ind w:firstLine="709"/>
        <w:jc w:val="both"/>
        <w:rPr>
          <w:rFonts w:ascii="Arial" w:hAnsi="Arial" w:cs="Arial"/>
          <w:color w:val="000000" w:themeColor="text1"/>
          <w:sz w:val="19"/>
          <w:szCs w:val="19"/>
        </w:rPr>
      </w:pPr>
      <w:r w:rsidRPr="00582B72">
        <w:rPr>
          <w:rStyle w:val="Refdenotaalpie"/>
          <w:rFonts w:ascii="Arial" w:hAnsi="Arial" w:cs="Arial"/>
          <w:sz w:val="19"/>
          <w:szCs w:val="19"/>
        </w:rPr>
        <w:footnoteRef/>
      </w:r>
      <w:r w:rsidRPr="00582B72">
        <w:rPr>
          <w:rFonts w:ascii="Arial" w:hAnsi="Arial" w:cs="Arial"/>
          <w:color w:val="000000" w:themeColor="text1"/>
          <w:sz w:val="19"/>
          <w:szCs w:val="19"/>
        </w:rPr>
        <w:t xml:space="preserve"> Ley 2022 de 2020: «</w:t>
      </w:r>
      <w:r w:rsidRPr="00582B72">
        <w:rPr>
          <w:rStyle w:val="Textoennegrita"/>
          <w:rFonts w:ascii="Arial" w:hAnsi="Arial" w:cs="Arial"/>
          <w:b w:val="0"/>
          <w:bCs w:val="0"/>
          <w:color w:val="000000" w:themeColor="text1"/>
          <w:sz w:val="19"/>
          <w:szCs w:val="19"/>
        </w:rPr>
        <w:t>Artículo 1º.</w:t>
      </w:r>
      <w:r w:rsidRPr="00582B72">
        <w:rPr>
          <w:rFonts w:ascii="Arial" w:hAnsi="Arial" w:cs="Arial"/>
          <w:color w:val="000000" w:themeColor="text1"/>
          <w:sz w:val="19"/>
          <w:szCs w:val="19"/>
        </w:rPr>
        <w:t> Modifíquese el artículo 4º de la Ley 1882 de 2018, el cual quedará así: </w:t>
      </w:r>
    </w:p>
    <w:p w14:paraId="0BE44464" w14:textId="77777777" w:rsidR="00031AD9" w:rsidRPr="00582B72" w:rsidRDefault="00031AD9">
      <w:pPr>
        <w:pStyle w:val="NormalWeb"/>
        <w:spacing w:before="0" w:beforeAutospacing="0" w:after="0" w:afterAutospacing="0"/>
        <w:ind w:firstLine="709"/>
        <w:jc w:val="both"/>
        <w:rPr>
          <w:rFonts w:ascii="Arial" w:hAnsi="Arial" w:cs="Arial"/>
          <w:color w:val="000000" w:themeColor="text1"/>
          <w:sz w:val="19"/>
          <w:szCs w:val="19"/>
        </w:rPr>
      </w:pPr>
      <w:r w:rsidRPr="00582B72">
        <w:rPr>
          <w:rStyle w:val="Textoennegrita"/>
          <w:rFonts w:ascii="Arial" w:hAnsi="Arial" w:cs="Arial"/>
          <w:b w:val="0"/>
          <w:bCs w:val="0"/>
          <w:color w:val="000000" w:themeColor="text1"/>
          <w:sz w:val="19"/>
          <w:szCs w:val="19"/>
        </w:rPr>
        <w:t>»Artículo 4º.</w:t>
      </w:r>
      <w:r w:rsidRPr="00582B72">
        <w:rPr>
          <w:rFonts w:ascii="Arial" w:hAnsi="Arial" w:cs="Arial"/>
          <w:color w:val="000000" w:themeColor="text1"/>
          <w:sz w:val="19"/>
          <w:szCs w:val="19"/>
        </w:rPr>
        <w:t> Adiciónese el siguiente parágrafo al artículo 2º de la Ley 1150 de 2007. </w:t>
      </w:r>
    </w:p>
    <w:p w14:paraId="4F205D6F" w14:textId="77777777" w:rsidR="00031AD9" w:rsidRPr="00582B72" w:rsidRDefault="00031AD9">
      <w:pPr>
        <w:pStyle w:val="NormalWeb"/>
        <w:spacing w:before="0" w:beforeAutospacing="0" w:after="0" w:afterAutospacing="0"/>
        <w:ind w:firstLine="709"/>
        <w:jc w:val="both"/>
        <w:rPr>
          <w:rFonts w:ascii="Arial" w:hAnsi="Arial" w:cs="Arial"/>
          <w:color w:val="000000" w:themeColor="text1"/>
          <w:sz w:val="19"/>
          <w:szCs w:val="19"/>
        </w:rPr>
      </w:pPr>
      <w:r w:rsidRPr="00582B72">
        <w:rPr>
          <w:rStyle w:val="Textoennegrita"/>
          <w:rFonts w:ascii="Arial" w:hAnsi="Arial" w:cs="Arial"/>
          <w:b w:val="0"/>
          <w:bCs w:val="0"/>
          <w:color w:val="000000" w:themeColor="text1"/>
          <w:sz w:val="19"/>
          <w:szCs w:val="19"/>
        </w:rPr>
        <w:t>»Parágrafo 7º.</w:t>
      </w:r>
      <w:r w:rsidRPr="00582B72">
        <w:rPr>
          <w:rFonts w:ascii="Arial" w:hAnsi="Arial" w:cs="Arial"/>
          <w:color w:val="000000" w:themeColor="text1"/>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7AD5281" w14:textId="77777777" w:rsidR="00031AD9" w:rsidRPr="00582B72" w:rsidRDefault="00031AD9">
      <w:pPr>
        <w:pStyle w:val="NormalWeb"/>
        <w:spacing w:before="0" w:beforeAutospacing="0" w:after="0" w:afterAutospacing="0"/>
        <w:ind w:firstLine="709"/>
        <w:jc w:val="both"/>
        <w:rPr>
          <w:rFonts w:ascii="Arial" w:hAnsi="Arial" w:cs="Arial"/>
          <w:color w:val="000000" w:themeColor="text1"/>
          <w:sz w:val="19"/>
          <w:szCs w:val="19"/>
        </w:rPr>
      </w:pPr>
      <w:r w:rsidRPr="00582B72">
        <w:rPr>
          <w:rFonts w:ascii="Arial" w:hAnsi="Arial" w:cs="Arial"/>
          <w:color w:val="000000" w:themeColor="text1"/>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3F42D6E9" w14:textId="77777777" w:rsidR="00031AD9" w:rsidRPr="00582B72" w:rsidRDefault="00031AD9">
      <w:pPr>
        <w:pStyle w:val="NormalWeb"/>
        <w:spacing w:before="0" w:beforeAutospacing="0" w:after="0" w:afterAutospacing="0"/>
        <w:ind w:firstLine="709"/>
        <w:jc w:val="both"/>
        <w:rPr>
          <w:rFonts w:ascii="Arial" w:hAnsi="Arial" w:cs="Arial"/>
          <w:color w:val="000000" w:themeColor="text1"/>
          <w:sz w:val="19"/>
          <w:szCs w:val="19"/>
        </w:rPr>
      </w:pPr>
      <w:r w:rsidRPr="00582B72">
        <w:rPr>
          <w:rFonts w:ascii="Arial" w:hAnsi="Arial" w:cs="Arial"/>
          <w:color w:val="000000" w:themeColor="text1"/>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23B7D64" w14:textId="77777777" w:rsidR="00031AD9" w:rsidRPr="00582B72" w:rsidRDefault="00031AD9">
      <w:pPr>
        <w:pStyle w:val="NormalWeb"/>
        <w:spacing w:before="0" w:beforeAutospacing="0" w:after="0" w:afterAutospacing="0"/>
        <w:ind w:firstLine="709"/>
        <w:jc w:val="both"/>
        <w:rPr>
          <w:rFonts w:ascii="Arial" w:hAnsi="Arial" w:cs="Arial"/>
          <w:color w:val="000000" w:themeColor="text1"/>
          <w:sz w:val="19"/>
          <w:szCs w:val="19"/>
        </w:rPr>
      </w:pPr>
      <w:r w:rsidRPr="00582B72">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3F462983" w14:textId="77777777" w:rsidR="00031AD9" w:rsidRPr="00582B72" w:rsidRDefault="00031AD9">
      <w:pPr>
        <w:pStyle w:val="NormalWeb"/>
        <w:spacing w:before="0" w:beforeAutospacing="0" w:after="0" w:afterAutospacing="0"/>
        <w:ind w:firstLine="709"/>
        <w:jc w:val="both"/>
        <w:rPr>
          <w:rFonts w:ascii="Arial" w:hAnsi="Arial" w:cs="Arial"/>
          <w:color w:val="000000" w:themeColor="text1"/>
          <w:sz w:val="19"/>
          <w:szCs w:val="19"/>
        </w:rPr>
      </w:pPr>
      <w:r w:rsidRPr="00582B72">
        <w:rPr>
          <w:rFonts w:ascii="Arial" w:hAnsi="Arial" w:cs="Arial"/>
          <w:color w:val="000000" w:themeColor="text1"/>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7">
    <w:p w14:paraId="22A09BC8" w14:textId="77777777" w:rsidR="001A43C6" w:rsidRPr="00582B72" w:rsidRDefault="001A43C6" w:rsidP="001A43C6">
      <w:pPr>
        <w:pStyle w:val="Textonotapie"/>
        <w:ind w:firstLine="709"/>
        <w:jc w:val="both"/>
        <w:rPr>
          <w:rFonts w:ascii="Arial" w:hAnsi="Arial" w:cs="Arial"/>
          <w:color w:val="000000"/>
          <w:sz w:val="19"/>
          <w:szCs w:val="19"/>
          <w:lang w:val="es-ES_tradnl"/>
        </w:rPr>
      </w:pPr>
      <w:r w:rsidRPr="00582B72">
        <w:rPr>
          <w:rStyle w:val="Refdenotaalpie"/>
          <w:rFonts w:ascii="Arial" w:hAnsi="Arial" w:cs="Arial"/>
          <w:color w:val="000000"/>
          <w:sz w:val="19"/>
          <w:szCs w:val="19"/>
          <w:lang w:val="es-ES_tradnl"/>
        </w:rPr>
        <w:footnoteRef/>
      </w:r>
      <w:r w:rsidRPr="00582B72">
        <w:rPr>
          <w:rFonts w:ascii="Arial" w:hAnsi="Arial" w:cs="Arial"/>
          <w:color w:val="000000"/>
          <w:sz w:val="19"/>
          <w:szCs w:val="19"/>
          <w:lang w:val="es-ES_tradnl"/>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06850853" w14:textId="77777777" w:rsidR="001A43C6" w:rsidRPr="00582B72" w:rsidRDefault="001A43C6" w:rsidP="001A43C6">
      <w:pPr>
        <w:pStyle w:val="Textonotapie"/>
        <w:ind w:firstLine="709"/>
        <w:jc w:val="both"/>
        <w:rPr>
          <w:rFonts w:ascii="Arial" w:hAnsi="Arial" w:cs="Arial"/>
          <w:color w:val="000000"/>
          <w:sz w:val="19"/>
          <w:szCs w:val="19"/>
          <w:lang w:val="es-ES_tradnl"/>
        </w:rPr>
      </w:pPr>
      <w:proofErr w:type="gramStart"/>
      <w:r w:rsidRPr="00582B72">
        <w:rPr>
          <w:rFonts w:ascii="Arial" w:hAnsi="Arial" w:cs="Arial"/>
          <w:color w:val="000000"/>
          <w:sz w:val="19"/>
          <w:szCs w:val="19"/>
          <w:lang w:val="es-ES_tradnl"/>
        </w:rPr>
        <w:t>»Como</w:t>
      </w:r>
      <w:proofErr w:type="gramEnd"/>
      <w:r w:rsidRPr="00582B72">
        <w:rPr>
          <w:rFonts w:ascii="Arial" w:hAnsi="Arial" w:cs="Arial"/>
          <w:color w:val="000000"/>
          <w:sz w:val="19"/>
          <w:szCs w:val="19"/>
          <w:lang w:val="es-ES_tradnl"/>
        </w:rPr>
        <w:t xml:space="preserve">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389D0243" w14:textId="77777777" w:rsidR="001A43C6" w:rsidRPr="00582B72" w:rsidRDefault="001A43C6" w:rsidP="001A43C6">
      <w:pPr>
        <w:pStyle w:val="Textonotapie"/>
        <w:ind w:firstLine="709"/>
        <w:jc w:val="both"/>
        <w:rPr>
          <w:rFonts w:ascii="Arial" w:hAnsi="Arial" w:cs="Arial"/>
          <w:color w:val="000000"/>
          <w:sz w:val="19"/>
          <w:szCs w:val="19"/>
          <w:lang w:val="es-ES_tradnl"/>
        </w:rPr>
      </w:pPr>
      <w:proofErr w:type="gramStart"/>
      <w:r w:rsidRPr="00582B72">
        <w:rPr>
          <w:rFonts w:ascii="Arial" w:hAnsi="Arial" w:cs="Arial"/>
          <w:color w:val="000000"/>
          <w:sz w:val="19"/>
          <w:szCs w:val="19"/>
          <w:lang w:val="es-ES_tradnl"/>
        </w:rPr>
        <w:t>»Al</w:t>
      </w:r>
      <w:proofErr w:type="gramEnd"/>
      <w:r w:rsidRPr="00582B72">
        <w:rPr>
          <w:rFonts w:ascii="Arial" w:hAnsi="Arial" w:cs="Arial"/>
          <w:color w:val="000000"/>
          <w:sz w:val="19"/>
          <w:szCs w:val="19"/>
          <w:lang w:val="es-ES_tradnl"/>
        </w:rPr>
        <w:t xml:space="preserve">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 domiciliarios, telecomunicaciones e infraestructura (instituciones, regulación y competencia). Bogotá: Universidad Externado de Colombia, 2017. p. 43).</w:t>
      </w:r>
    </w:p>
    <w:p w14:paraId="7A6CA153" w14:textId="77777777" w:rsidR="001A43C6" w:rsidRPr="00582B72" w:rsidRDefault="001A43C6" w:rsidP="001A43C6">
      <w:pPr>
        <w:pStyle w:val="Textonotapie"/>
        <w:ind w:firstLine="709"/>
        <w:jc w:val="both"/>
        <w:rPr>
          <w:rFonts w:ascii="Arial" w:hAnsi="Arial" w:cs="Arial"/>
          <w:color w:val="000000"/>
          <w:sz w:val="19"/>
          <w:szCs w:val="19"/>
          <w:lang w:val="es-ES_tradnl"/>
        </w:rPr>
      </w:pPr>
    </w:p>
  </w:footnote>
  <w:footnote w:id="8">
    <w:p w14:paraId="3475D6F4" w14:textId="77777777" w:rsidR="001A43C6" w:rsidRPr="00582B72" w:rsidRDefault="001A43C6" w:rsidP="001A43C6">
      <w:pPr>
        <w:pStyle w:val="Textonotapie"/>
        <w:ind w:firstLine="709"/>
        <w:jc w:val="both"/>
        <w:rPr>
          <w:rFonts w:ascii="Arial" w:hAnsi="Arial" w:cs="Arial"/>
          <w:color w:val="000000"/>
          <w:sz w:val="19"/>
          <w:szCs w:val="19"/>
        </w:rPr>
      </w:pPr>
      <w:r w:rsidRPr="00582B72">
        <w:rPr>
          <w:rStyle w:val="Refdenotaalpie"/>
          <w:rFonts w:ascii="Arial" w:hAnsi="Arial" w:cs="Arial"/>
          <w:color w:val="000000"/>
          <w:sz w:val="19"/>
          <w:szCs w:val="19"/>
        </w:rPr>
        <w:footnoteRef/>
      </w:r>
      <w:r w:rsidRPr="00582B72">
        <w:rPr>
          <w:rFonts w:ascii="Arial" w:hAnsi="Arial" w:cs="Arial"/>
          <w:color w:val="000000"/>
          <w:sz w:val="19"/>
          <w:szCs w:val="19"/>
        </w:rPr>
        <w:t xml:space="preserve"> En efecto, dicho artículo establece: «Pueden prestar los servicios públicos:</w:t>
      </w:r>
    </w:p>
    <w:p w14:paraId="27C41467" w14:textId="77777777" w:rsidR="001A43C6" w:rsidRPr="00582B72" w:rsidRDefault="001A43C6" w:rsidP="001A43C6">
      <w:pPr>
        <w:pStyle w:val="Textonotapie"/>
        <w:ind w:firstLine="709"/>
        <w:jc w:val="both"/>
        <w:rPr>
          <w:rFonts w:ascii="Arial" w:hAnsi="Arial" w:cs="Arial"/>
          <w:color w:val="000000"/>
          <w:sz w:val="19"/>
          <w:szCs w:val="19"/>
        </w:rPr>
      </w:pPr>
      <w:r w:rsidRPr="00582B72">
        <w:rPr>
          <w:rFonts w:ascii="Arial" w:hAnsi="Arial" w:cs="Arial"/>
          <w:color w:val="000000"/>
          <w:sz w:val="19"/>
          <w:szCs w:val="19"/>
        </w:rPr>
        <w:t>»15.1. Las empresas de servicios públicos.</w:t>
      </w:r>
    </w:p>
    <w:p w14:paraId="284F6B04" w14:textId="77777777" w:rsidR="001A43C6" w:rsidRPr="00582B72" w:rsidRDefault="001A43C6" w:rsidP="001A43C6">
      <w:pPr>
        <w:pStyle w:val="Textonotapie"/>
        <w:ind w:firstLine="709"/>
        <w:jc w:val="both"/>
        <w:rPr>
          <w:rFonts w:ascii="Arial" w:hAnsi="Arial" w:cs="Arial"/>
          <w:color w:val="000000"/>
          <w:sz w:val="19"/>
          <w:szCs w:val="19"/>
        </w:rPr>
      </w:pPr>
      <w:r w:rsidRPr="00582B72">
        <w:rPr>
          <w:rFonts w:ascii="Arial" w:hAnsi="Arial" w:cs="Arial"/>
          <w:color w:val="000000"/>
          <w:sz w:val="19"/>
          <w:szCs w:val="19"/>
        </w:rPr>
        <w:t>»15.2. Las personas naturales o jurídicas que produzcan para ellas mismas, o como consecuencia o complemento de su actividad principal, los bienes y servicios propios del objeto de las empresas de servicios públicos.</w:t>
      </w:r>
    </w:p>
    <w:p w14:paraId="09C949C1" w14:textId="77777777" w:rsidR="001A43C6" w:rsidRPr="00582B72" w:rsidRDefault="001A43C6" w:rsidP="001A43C6">
      <w:pPr>
        <w:pStyle w:val="Textonotapie"/>
        <w:ind w:firstLine="709"/>
        <w:jc w:val="both"/>
        <w:rPr>
          <w:rFonts w:ascii="Arial" w:hAnsi="Arial" w:cs="Arial"/>
          <w:color w:val="000000"/>
          <w:sz w:val="19"/>
          <w:szCs w:val="19"/>
        </w:rPr>
      </w:pPr>
      <w:r w:rsidRPr="00582B72">
        <w:rPr>
          <w:rFonts w:ascii="Arial" w:hAnsi="Arial" w:cs="Arial"/>
          <w:color w:val="000000"/>
          <w:sz w:val="19"/>
          <w:szCs w:val="19"/>
        </w:rPr>
        <w:t>»15.3. Los municipios cuando asuman en forma directa, a través de su administración central, la prestación de los servicios públicos, conforme a lo dispuesto en esta Ley.</w:t>
      </w:r>
    </w:p>
    <w:p w14:paraId="0A1F27AA" w14:textId="77777777" w:rsidR="001A43C6" w:rsidRPr="00582B72" w:rsidRDefault="001A43C6" w:rsidP="001A43C6">
      <w:pPr>
        <w:pStyle w:val="Textonotapie"/>
        <w:ind w:firstLine="709"/>
        <w:jc w:val="both"/>
        <w:rPr>
          <w:rFonts w:ascii="Arial" w:hAnsi="Arial" w:cs="Arial"/>
          <w:color w:val="000000"/>
          <w:sz w:val="19"/>
          <w:szCs w:val="19"/>
        </w:rPr>
      </w:pPr>
      <w:r w:rsidRPr="00582B72">
        <w:rPr>
          <w:rFonts w:ascii="Arial" w:hAnsi="Arial" w:cs="Arial"/>
          <w:color w:val="000000"/>
          <w:sz w:val="19"/>
          <w:szCs w:val="19"/>
        </w:rPr>
        <w:t>»15.4. Las organizaciones autorizadas conforme a esta Ley para prestar servicios públicos en municipios menores en zonas rurales y en áreas o zonas urbanas específicas.</w:t>
      </w:r>
    </w:p>
    <w:p w14:paraId="68416139" w14:textId="77777777" w:rsidR="001A43C6" w:rsidRPr="00582B72" w:rsidRDefault="001A43C6" w:rsidP="001A43C6">
      <w:pPr>
        <w:pStyle w:val="Textonotapie"/>
        <w:ind w:firstLine="709"/>
        <w:jc w:val="both"/>
        <w:rPr>
          <w:rFonts w:ascii="Arial" w:hAnsi="Arial" w:cs="Arial"/>
          <w:color w:val="000000"/>
          <w:sz w:val="19"/>
          <w:szCs w:val="19"/>
        </w:rPr>
      </w:pPr>
      <w:r w:rsidRPr="00582B72">
        <w:rPr>
          <w:rFonts w:ascii="Arial" w:hAnsi="Arial" w:cs="Arial"/>
          <w:color w:val="000000"/>
          <w:sz w:val="19"/>
          <w:szCs w:val="19"/>
        </w:rPr>
        <w:t>»15.5. Las entidades autorizadas para prestar servicios públicos durante los períodos de transición previstos en esta Ley.</w:t>
      </w:r>
    </w:p>
    <w:p w14:paraId="2F3BB7F3" w14:textId="77777777" w:rsidR="001A43C6" w:rsidRPr="00582B72" w:rsidRDefault="001A43C6" w:rsidP="001A43C6">
      <w:pPr>
        <w:pStyle w:val="Textonotapie"/>
        <w:ind w:firstLine="709"/>
        <w:jc w:val="both"/>
        <w:rPr>
          <w:rFonts w:ascii="Arial" w:hAnsi="Arial" w:cs="Arial"/>
          <w:color w:val="000000"/>
          <w:sz w:val="19"/>
          <w:szCs w:val="19"/>
        </w:rPr>
      </w:pPr>
      <w:r w:rsidRPr="00582B72">
        <w:rPr>
          <w:rFonts w:ascii="Arial" w:hAnsi="Arial" w:cs="Arial"/>
          <w:color w:val="000000"/>
          <w:sz w:val="19"/>
          <w:szCs w:val="19"/>
        </w:rPr>
        <w:t>»15.6. Las entidades descentralizadas de cualquier orden territorial o nacional que al momento de expedirse esta Ley estén prestando cualquiera de los servicios públicos y se ajusten a lo establecido en el parágrafo del artículo 17».</w:t>
      </w:r>
    </w:p>
    <w:p w14:paraId="210CC2DD" w14:textId="77777777" w:rsidR="001A43C6" w:rsidRPr="00582B72" w:rsidRDefault="001A43C6" w:rsidP="001A43C6">
      <w:pPr>
        <w:pStyle w:val="Textonotapie"/>
        <w:ind w:firstLine="709"/>
        <w:jc w:val="both"/>
        <w:rPr>
          <w:rFonts w:ascii="Arial" w:hAnsi="Arial" w:cs="Arial"/>
          <w:color w:val="000000"/>
          <w:sz w:val="19"/>
          <w:szCs w:val="19"/>
          <w:lang w:val="es-ES"/>
        </w:rPr>
      </w:pPr>
    </w:p>
  </w:footnote>
  <w:footnote w:id="9">
    <w:p w14:paraId="019C6D1C" w14:textId="77777777" w:rsidR="001A43C6" w:rsidRPr="00582B72" w:rsidRDefault="001A43C6" w:rsidP="001A43C6">
      <w:pPr>
        <w:pStyle w:val="Textonotapie"/>
        <w:ind w:firstLine="709"/>
        <w:jc w:val="both"/>
        <w:rPr>
          <w:rFonts w:ascii="Arial" w:hAnsi="Arial" w:cs="Arial"/>
          <w:color w:val="000000"/>
          <w:sz w:val="19"/>
          <w:szCs w:val="19"/>
        </w:rPr>
      </w:pPr>
      <w:r w:rsidRPr="00582B72">
        <w:rPr>
          <w:rStyle w:val="Refdenotaalpie"/>
          <w:rFonts w:ascii="Arial" w:hAnsi="Arial" w:cs="Arial"/>
          <w:color w:val="000000"/>
          <w:sz w:val="19"/>
          <w:szCs w:val="19"/>
        </w:rPr>
        <w:footnoteRef/>
      </w:r>
      <w:r w:rsidRPr="00582B72">
        <w:rPr>
          <w:rFonts w:ascii="Arial" w:hAnsi="Arial" w:cs="Arial"/>
          <w:color w:val="000000"/>
          <w:sz w:val="19"/>
          <w:szCs w:val="19"/>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69126FF6" w14:textId="77777777" w:rsidR="001A43C6" w:rsidRPr="00582B72" w:rsidRDefault="001A43C6" w:rsidP="001A43C6">
      <w:pPr>
        <w:pStyle w:val="Textonotapie"/>
        <w:ind w:firstLine="709"/>
        <w:jc w:val="both"/>
        <w:rPr>
          <w:rFonts w:ascii="Arial" w:hAnsi="Arial" w:cs="Arial"/>
          <w:color w:val="000000"/>
          <w:sz w:val="19"/>
          <w:szCs w:val="19"/>
        </w:rPr>
      </w:pPr>
      <w:r w:rsidRPr="00582B72">
        <w:rPr>
          <w:rFonts w:ascii="Arial" w:hAnsi="Arial" w:cs="Arial"/>
          <w:color w:val="000000"/>
          <w:sz w:val="19"/>
          <w:szCs w:val="19"/>
        </w:rPr>
        <w:t>»La regla precedente se aplicará, inclusive, a las sociedades en las que las entidades públicas sean parte, sin atender al porcentaje que sus aportes representen dentro del capital social, ni a la naturaleza del acto o del derecho que se ejerce.</w:t>
      </w:r>
    </w:p>
    <w:p w14:paraId="035E1154" w14:textId="77777777" w:rsidR="001A43C6" w:rsidRPr="00582B72" w:rsidRDefault="001A43C6" w:rsidP="001A43C6">
      <w:pPr>
        <w:pStyle w:val="Textonotapie"/>
        <w:ind w:firstLine="709"/>
        <w:jc w:val="both"/>
        <w:rPr>
          <w:rFonts w:ascii="Arial" w:hAnsi="Arial" w:cs="Arial"/>
          <w:color w:val="000000"/>
          <w:sz w:val="19"/>
          <w:szCs w:val="19"/>
        </w:rPr>
      </w:pPr>
      <w:r w:rsidRPr="00582B72">
        <w:rPr>
          <w:rFonts w:ascii="Arial" w:hAnsi="Arial" w:cs="Arial"/>
          <w:color w:val="000000"/>
          <w:sz w:val="19"/>
          <w:szCs w:val="19"/>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4ACB841A" w14:textId="77777777" w:rsidR="001A43C6" w:rsidRPr="00582B72" w:rsidRDefault="001A43C6" w:rsidP="001A43C6">
      <w:pPr>
        <w:pStyle w:val="Textonotapie"/>
        <w:ind w:firstLine="709"/>
        <w:jc w:val="both"/>
        <w:rPr>
          <w:rFonts w:ascii="Arial" w:hAnsi="Arial" w:cs="Arial"/>
          <w:color w:val="000000"/>
          <w:sz w:val="19"/>
          <w:szCs w:val="19"/>
        </w:rPr>
      </w:pPr>
    </w:p>
  </w:footnote>
  <w:footnote w:id="10">
    <w:p w14:paraId="7C97C94F" w14:textId="77777777" w:rsidR="001A43C6" w:rsidRPr="00582B72" w:rsidRDefault="001A43C6" w:rsidP="001A43C6">
      <w:pPr>
        <w:ind w:firstLine="709"/>
        <w:jc w:val="both"/>
        <w:rPr>
          <w:rFonts w:ascii="Arial" w:hAnsi="Arial" w:cs="Arial"/>
          <w:color w:val="000000"/>
          <w:sz w:val="19"/>
          <w:szCs w:val="19"/>
          <w:lang w:val="es-ES_tradnl"/>
        </w:rPr>
      </w:pPr>
      <w:r w:rsidRPr="00582B72">
        <w:rPr>
          <w:rStyle w:val="Refdenotaalpie"/>
          <w:rFonts w:ascii="Arial" w:hAnsi="Arial" w:cs="Arial"/>
          <w:color w:val="000000"/>
          <w:sz w:val="19"/>
          <w:szCs w:val="19"/>
          <w:lang w:val="es-ES_tradnl"/>
        </w:rPr>
        <w:footnoteRef/>
      </w:r>
      <w:r w:rsidRPr="00582B72">
        <w:rPr>
          <w:rFonts w:ascii="Arial" w:hAnsi="Arial" w:cs="Arial"/>
          <w:color w:val="000000"/>
          <w:sz w:val="19"/>
          <w:szCs w:val="19"/>
          <w:lang w:val="es-ES_tradnl"/>
        </w:rPr>
        <w:t xml:space="preserve"> Consejo de Estado. Sección Tercera, Subsección C. Sentencia del 13 de abril de 2011. </w:t>
      </w:r>
      <w:proofErr w:type="spellStart"/>
      <w:r w:rsidRPr="00582B72">
        <w:rPr>
          <w:rFonts w:ascii="Arial" w:hAnsi="Arial" w:cs="Arial"/>
          <w:color w:val="000000"/>
          <w:sz w:val="19"/>
          <w:szCs w:val="19"/>
          <w:lang w:val="es-ES_tradnl"/>
        </w:rPr>
        <w:t>Exp</w:t>
      </w:r>
      <w:proofErr w:type="spellEnd"/>
      <w:r w:rsidRPr="00582B72">
        <w:rPr>
          <w:rFonts w:ascii="Arial" w:hAnsi="Arial" w:cs="Arial"/>
          <w:color w:val="000000"/>
          <w:sz w:val="19"/>
          <w:szCs w:val="19"/>
          <w:lang w:val="es-ES_tradnl"/>
        </w:rPr>
        <w:t xml:space="preserve">. 37423. Consejero Ponente: Jaime Orlando Santofimio Gamboa. En similar sentido, puede verse la Sentencia del Consejo de Estado. Sección Tercera. Subsección B, del 15 de noviembre de 2011. </w:t>
      </w:r>
      <w:proofErr w:type="spellStart"/>
      <w:r w:rsidRPr="00582B72">
        <w:rPr>
          <w:rFonts w:ascii="Arial" w:hAnsi="Arial" w:cs="Arial"/>
          <w:color w:val="000000"/>
          <w:sz w:val="19"/>
          <w:szCs w:val="19"/>
          <w:lang w:val="es-ES_tradnl"/>
        </w:rPr>
        <w:t>Exp</w:t>
      </w:r>
      <w:proofErr w:type="spellEnd"/>
      <w:r w:rsidRPr="00582B72">
        <w:rPr>
          <w:rFonts w:ascii="Arial" w:hAnsi="Arial" w:cs="Arial"/>
          <w:color w:val="000000"/>
          <w:sz w:val="19"/>
          <w:szCs w:val="19"/>
          <w:lang w:val="es-ES_tradnl"/>
        </w:rPr>
        <w:t xml:space="preserve">. 21178. </w:t>
      </w:r>
      <w:r w:rsidRPr="00582B72">
        <w:rPr>
          <w:rFonts w:ascii="Arial" w:hAnsi="Arial" w:cs="Arial"/>
          <w:color w:val="000000"/>
          <w:sz w:val="19"/>
          <w:szCs w:val="19"/>
          <w:lang w:val="es-ES_tradnl"/>
        </w:rPr>
        <w:t>Consejera ponente: Ruth Stella Correa Palacio.</w:t>
      </w:r>
    </w:p>
    <w:p w14:paraId="6612E32B" w14:textId="77777777" w:rsidR="001A43C6" w:rsidRPr="00582B72" w:rsidRDefault="001A43C6" w:rsidP="001A43C6">
      <w:pPr>
        <w:ind w:firstLine="709"/>
        <w:jc w:val="both"/>
        <w:rPr>
          <w:rFonts w:ascii="Arial" w:hAnsi="Arial" w:cs="Arial"/>
          <w:color w:val="000000"/>
          <w:sz w:val="19"/>
          <w:szCs w:val="19"/>
          <w:lang w:val="es-ES_tradnl"/>
        </w:rPr>
      </w:pPr>
    </w:p>
  </w:footnote>
  <w:footnote w:id="11">
    <w:p w14:paraId="672ED00B" w14:textId="12D3F373" w:rsidR="00D05CCE" w:rsidRPr="00582B72" w:rsidRDefault="001A43C6" w:rsidP="006C1871">
      <w:pPr>
        <w:ind w:firstLine="709"/>
        <w:jc w:val="both"/>
        <w:rPr>
          <w:rFonts w:ascii="Arial" w:eastAsia="Calibri" w:hAnsi="Arial" w:cs="Arial"/>
          <w:color w:val="000000"/>
          <w:sz w:val="19"/>
          <w:szCs w:val="19"/>
          <w:lang w:val="es-ES_tradnl"/>
        </w:rPr>
      </w:pPr>
      <w:r w:rsidRPr="00582B72">
        <w:rPr>
          <w:rStyle w:val="Refdenotaalpie"/>
          <w:rFonts w:ascii="Arial" w:hAnsi="Arial" w:cs="Arial"/>
          <w:color w:val="000000"/>
          <w:sz w:val="19"/>
          <w:szCs w:val="19"/>
        </w:rPr>
        <w:footnoteRef/>
      </w:r>
      <w:r w:rsidRPr="00582B72">
        <w:rPr>
          <w:rFonts w:ascii="Arial" w:hAnsi="Arial" w:cs="Arial"/>
          <w:color w:val="000000"/>
          <w:sz w:val="19"/>
          <w:szCs w:val="19"/>
        </w:rPr>
        <w:t xml:space="preserve"> </w:t>
      </w:r>
      <w:r w:rsidRPr="00582B72">
        <w:rPr>
          <w:rFonts w:ascii="Arial" w:hAnsi="Arial" w:cs="Arial"/>
          <w:color w:val="000000"/>
          <w:sz w:val="19"/>
          <w:szCs w:val="19"/>
          <w:lang w:val="es-ES"/>
        </w:rPr>
        <w:t>Esta norma dispone: «</w:t>
      </w:r>
      <w:r w:rsidR="00D05CCE" w:rsidRPr="00582B72">
        <w:rPr>
          <w:rFonts w:ascii="Arial" w:eastAsia="Calibri" w:hAnsi="Arial" w:cs="Arial"/>
          <w:color w:val="000000"/>
          <w:sz w:val="19"/>
          <w:szCs w:val="19"/>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5A3D4F2C" w14:textId="7DB7E77B" w:rsidR="00D05CCE" w:rsidRPr="00582B72" w:rsidRDefault="006C1871" w:rsidP="006C1871">
      <w:pPr>
        <w:ind w:firstLine="709"/>
        <w:jc w:val="both"/>
        <w:rPr>
          <w:rFonts w:ascii="Arial" w:eastAsia="Calibri" w:hAnsi="Arial" w:cs="Arial"/>
          <w:color w:val="000000"/>
          <w:sz w:val="19"/>
          <w:szCs w:val="19"/>
          <w:lang w:val="es-ES_tradnl"/>
        </w:rPr>
      </w:pPr>
      <w:proofErr w:type="gramStart"/>
      <w:r w:rsidRPr="00582B72">
        <w:rPr>
          <w:rFonts w:ascii="Arial" w:eastAsia="Calibri" w:hAnsi="Arial" w:cs="Arial"/>
          <w:color w:val="000000"/>
          <w:sz w:val="19"/>
          <w:szCs w:val="19"/>
          <w:lang w:val="es-ES_tradnl"/>
        </w:rPr>
        <w:t>»</w:t>
      </w:r>
      <w:r w:rsidR="00D05CCE" w:rsidRPr="00582B72">
        <w:rPr>
          <w:rFonts w:ascii="Arial" w:eastAsia="Calibri" w:hAnsi="Arial" w:cs="Arial"/>
          <w:color w:val="000000"/>
          <w:sz w:val="19"/>
          <w:szCs w:val="19"/>
          <w:lang w:val="es-ES_tradnl"/>
        </w:rPr>
        <w:t>&lt;</w:t>
      </w:r>
      <w:proofErr w:type="gramEnd"/>
      <w:r w:rsidR="00D05CCE" w:rsidRPr="00582B72">
        <w:rPr>
          <w:rFonts w:ascii="Arial" w:eastAsia="Calibri" w:hAnsi="Arial" w:cs="Arial"/>
          <w:color w:val="000000"/>
          <w:sz w:val="19"/>
          <w:szCs w:val="19"/>
          <w:lang w:val="es-ES_tradnl"/>
        </w:rPr>
        <w:t xml:space="preserve">Inciso adicionado por el artículo 53 de la Ley 2195 de 2022. El nuevo texto es el siguiente:&gt; 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00D05CCE" w:rsidRPr="00582B72">
        <w:rPr>
          <w:rFonts w:ascii="Arial" w:eastAsia="Calibri" w:hAnsi="Arial" w:cs="Arial"/>
          <w:color w:val="000000"/>
          <w:sz w:val="19"/>
          <w:szCs w:val="19"/>
          <w:lang w:val="es-ES_tradnl"/>
        </w:rPr>
        <w:t>poscontractual</w:t>
      </w:r>
      <w:proofErr w:type="spellEnd"/>
      <w:r w:rsidR="00D05CCE" w:rsidRPr="00582B72">
        <w:rPr>
          <w:rFonts w:ascii="Arial" w:eastAsia="Calibri" w:hAnsi="Arial" w:cs="Arial"/>
          <w:color w:val="000000"/>
          <w:sz w:val="19"/>
          <w:szCs w:val="19"/>
          <w:lang w:val="es-ES_tradnl"/>
        </w:rPr>
        <w:t>.</w:t>
      </w:r>
    </w:p>
    <w:p w14:paraId="7DA1D20B" w14:textId="311DBCD9" w:rsidR="001A43C6" w:rsidRPr="00582B72" w:rsidRDefault="006C1871" w:rsidP="00D05CCE">
      <w:pPr>
        <w:ind w:firstLine="709"/>
        <w:jc w:val="both"/>
        <w:rPr>
          <w:rFonts w:ascii="Arial" w:eastAsia="Calibri" w:hAnsi="Arial" w:cs="Arial"/>
          <w:color w:val="000000"/>
          <w:sz w:val="19"/>
          <w:szCs w:val="19"/>
          <w:lang w:val="es-ES_tradnl"/>
        </w:rPr>
      </w:pPr>
      <w:proofErr w:type="gramStart"/>
      <w:r w:rsidRPr="00582B72">
        <w:rPr>
          <w:rFonts w:ascii="Arial" w:eastAsia="Calibri" w:hAnsi="Arial" w:cs="Arial"/>
          <w:color w:val="000000"/>
          <w:sz w:val="19"/>
          <w:szCs w:val="19"/>
          <w:lang w:val="es-ES_tradnl"/>
        </w:rPr>
        <w:t>»</w:t>
      </w:r>
      <w:r w:rsidR="00D05CCE" w:rsidRPr="00582B72">
        <w:rPr>
          <w:rFonts w:ascii="Arial" w:eastAsia="Calibri" w:hAnsi="Arial" w:cs="Arial"/>
          <w:color w:val="000000"/>
          <w:sz w:val="19"/>
          <w:szCs w:val="19"/>
          <w:lang w:val="es-ES_tradnl"/>
        </w:rPr>
        <w:t>&lt;</w:t>
      </w:r>
      <w:proofErr w:type="gramEnd"/>
      <w:r w:rsidR="00D05CCE" w:rsidRPr="00582B72">
        <w:rPr>
          <w:rFonts w:ascii="Arial" w:eastAsia="Calibri" w:hAnsi="Arial" w:cs="Arial"/>
          <w:color w:val="000000"/>
          <w:sz w:val="19"/>
          <w:szCs w:val="19"/>
          <w:lang w:val="es-ES_tradnl"/>
        </w:rPr>
        <w:t xml:space="preserve">Inciso adicionado por el artículo 53 de la Ley 2195 de 2022. El nuevo texto es el siguiente:&gt; A partir de la </w:t>
      </w:r>
      <w:proofErr w:type="gramStart"/>
      <w:r w:rsidR="00D05CCE" w:rsidRPr="00582B72">
        <w:rPr>
          <w:rFonts w:ascii="Arial" w:eastAsia="Calibri" w:hAnsi="Arial" w:cs="Arial"/>
          <w:color w:val="000000"/>
          <w:sz w:val="19"/>
          <w:szCs w:val="19"/>
          <w:lang w:val="es-ES_tradnl"/>
        </w:rPr>
        <w:t>entrada en vigencia</w:t>
      </w:r>
      <w:proofErr w:type="gramEnd"/>
      <w:r w:rsidR="00D05CCE" w:rsidRPr="00582B72">
        <w:rPr>
          <w:rFonts w:ascii="Arial" w:eastAsia="Calibri" w:hAnsi="Arial" w:cs="Arial"/>
          <w:color w:val="000000"/>
          <w:sz w:val="19"/>
          <w:szCs w:val="19"/>
          <w:lang w:val="es-ES_tradnl"/>
        </w:rPr>
        <w:t xml:space="preserve"> de la presente ley, se establecerá un periodo de transición de seis (6) meses, para que las entidades den cumplimiento efectivo a lo aquí establecido</w:t>
      </w:r>
      <w:r w:rsidR="001A43C6" w:rsidRPr="00582B72">
        <w:rPr>
          <w:rFonts w:ascii="Arial" w:eastAsia="Calibri" w:hAnsi="Arial" w:cs="Arial"/>
          <w:color w:val="000000"/>
          <w:sz w:val="19"/>
          <w:szCs w:val="19"/>
          <w:lang w:val="es-ES_tradnl"/>
        </w:rPr>
        <w:t>».</w:t>
      </w:r>
    </w:p>
    <w:p w14:paraId="4403DFA4" w14:textId="77777777" w:rsidR="001A43C6" w:rsidRPr="00582B72" w:rsidRDefault="001A43C6" w:rsidP="001A43C6">
      <w:pPr>
        <w:ind w:firstLine="709"/>
        <w:jc w:val="both"/>
        <w:rPr>
          <w:rFonts w:ascii="Arial" w:eastAsia="Calibri" w:hAnsi="Arial" w:cs="Arial"/>
          <w:color w:val="000000"/>
          <w:sz w:val="19"/>
          <w:szCs w:val="19"/>
          <w:lang w:val="es-ES_tradnl"/>
        </w:rPr>
      </w:pPr>
    </w:p>
  </w:footnote>
  <w:footnote w:id="12">
    <w:p w14:paraId="46BB4C22" w14:textId="77777777" w:rsidR="00FA7F7F" w:rsidRPr="00582B72" w:rsidRDefault="00FA7F7F" w:rsidP="00FA7F7F">
      <w:pPr>
        <w:pStyle w:val="Textonotapie"/>
        <w:ind w:firstLine="709"/>
        <w:jc w:val="both"/>
        <w:rPr>
          <w:rFonts w:ascii="Arial" w:hAnsi="Arial" w:cs="Arial"/>
          <w:color w:val="000000" w:themeColor="text1"/>
          <w:sz w:val="19"/>
          <w:szCs w:val="19"/>
          <w:lang w:val="es-ES"/>
        </w:rPr>
      </w:pPr>
      <w:r w:rsidRPr="00582B72">
        <w:rPr>
          <w:rStyle w:val="Refdenotaalpie"/>
          <w:rFonts w:ascii="Arial" w:hAnsi="Arial" w:cs="Arial"/>
          <w:color w:val="000000" w:themeColor="text1"/>
          <w:sz w:val="19"/>
          <w:szCs w:val="19"/>
        </w:rPr>
        <w:footnoteRef/>
      </w:r>
      <w:r w:rsidRPr="00582B72">
        <w:rPr>
          <w:rFonts w:ascii="Arial" w:hAnsi="Arial" w:cs="Arial"/>
          <w:color w:val="000000" w:themeColor="text1"/>
          <w:sz w:val="19"/>
          <w:szCs w:val="19"/>
        </w:rPr>
        <w:t xml:space="preserve"> </w:t>
      </w:r>
      <w:r w:rsidRPr="00582B72">
        <w:rPr>
          <w:rFonts w:ascii="Arial" w:hAnsi="Arial" w:cs="Arial"/>
          <w:color w:val="000000" w:themeColor="text1"/>
          <w:sz w:val="19"/>
          <w:szCs w:val="19"/>
          <w:lang w:val="es-ES"/>
        </w:rPr>
        <w:t>Magistrado Ponente: Marco Gerardo Monroy Cabra.</w:t>
      </w:r>
    </w:p>
    <w:p w14:paraId="1A6496E3" w14:textId="77777777" w:rsidR="00FA7F7F" w:rsidRPr="00582B72" w:rsidRDefault="00FA7F7F" w:rsidP="00FA7F7F">
      <w:pPr>
        <w:pStyle w:val="Textonotapie"/>
        <w:ind w:firstLine="709"/>
        <w:jc w:val="both"/>
        <w:rPr>
          <w:rFonts w:ascii="Arial" w:hAnsi="Arial" w:cs="Arial"/>
          <w:color w:val="000000" w:themeColor="text1"/>
          <w:sz w:val="19"/>
          <w:szCs w:val="19"/>
          <w:lang w:val="es-ES"/>
        </w:rPr>
      </w:pPr>
    </w:p>
  </w:footnote>
  <w:footnote w:id="13">
    <w:p w14:paraId="2408CCF3" w14:textId="77777777" w:rsidR="00FA7F7F" w:rsidRPr="00582B72" w:rsidRDefault="00FA7F7F" w:rsidP="00FA7F7F">
      <w:pPr>
        <w:pStyle w:val="Textonotapie"/>
        <w:ind w:firstLine="709"/>
        <w:jc w:val="both"/>
        <w:rPr>
          <w:rFonts w:ascii="Arial" w:hAnsi="Arial" w:cs="Arial"/>
          <w:color w:val="000000" w:themeColor="text1"/>
          <w:sz w:val="19"/>
          <w:szCs w:val="19"/>
          <w:lang w:val="es-ES"/>
        </w:rPr>
      </w:pPr>
      <w:r w:rsidRPr="00582B72">
        <w:rPr>
          <w:rStyle w:val="Refdenotaalpie"/>
          <w:rFonts w:ascii="Arial" w:hAnsi="Arial" w:cs="Arial"/>
          <w:color w:val="000000" w:themeColor="text1"/>
          <w:sz w:val="19"/>
          <w:szCs w:val="19"/>
        </w:rPr>
        <w:footnoteRef/>
      </w:r>
      <w:r w:rsidRPr="00582B72">
        <w:rPr>
          <w:rFonts w:ascii="Arial" w:hAnsi="Arial" w:cs="Arial"/>
          <w:color w:val="000000" w:themeColor="text1"/>
          <w:sz w:val="19"/>
          <w:szCs w:val="19"/>
        </w:rPr>
        <w:t xml:space="preserve"> Sentencia C-736 de 2007.</w:t>
      </w:r>
    </w:p>
  </w:footnote>
  <w:footnote w:id="14">
    <w:p w14:paraId="76FB01A3" w14:textId="17ACC273" w:rsidR="001062F0" w:rsidRPr="00582B72" w:rsidRDefault="001062F0" w:rsidP="001062F0">
      <w:pPr>
        <w:pStyle w:val="Textonotapie"/>
        <w:ind w:firstLine="709"/>
        <w:jc w:val="both"/>
        <w:rPr>
          <w:rFonts w:ascii="Arial" w:hAnsi="Arial" w:cs="Arial"/>
          <w:color w:val="000000" w:themeColor="text1"/>
          <w:sz w:val="19"/>
          <w:szCs w:val="19"/>
        </w:rPr>
      </w:pPr>
      <w:r w:rsidRPr="00582B72">
        <w:rPr>
          <w:rStyle w:val="Refdenotaalpie"/>
        </w:rPr>
        <w:footnoteRef/>
      </w:r>
      <w:r w:rsidRPr="00582B72">
        <w:t xml:space="preserve"> </w:t>
      </w:r>
      <w:r w:rsidRPr="00582B72">
        <w:rPr>
          <w:rFonts w:ascii="Arial" w:hAnsi="Arial" w:cs="Arial"/>
          <w:color w:val="000000" w:themeColor="text1"/>
          <w:sz w:val="19"/>
          <w:szCs w:val="19"/>
        </w:rPr>
        <w:t>Consejo de Estado. Sala de Consulta y Servicio Civil.</w:t>
      </w:r>
      <w:r w:rsidR="00867326" w:rsidRPr="00582B72">
        <w:rPr>
          <w:rFonts w:ascii="Arial" w:hAnsi="Arial" w:cs="Arial"/>
          <w:color w:val="000000" w:themeColor="text1"/>
          <w:sz w:val="19"/>
          <w:szCs w:val="19"/>
        </w:rPr>
        <w:t xml:space="preserve"> Concepto del</w:t>
      </w:r>
      <w:r w:rsidRPr="00582B72">
        <w:rPr>
          <w:rFonts w:ascii="Arial" w:hAnsi="Arial" w:cs="Arial"/>
          <w:color w:val="000000" w:themeColor="text1"/>
          <w:sz w:val="19"/>
          <w:szCs w:val="19"/>
        </w:rPr>
        <w:t xml:space="preserve"> </w:t>
      </w:r>
      <w:r w:rsidR="00867326" w:rsidRPr="00582B72">
        <w:rPr>
          <w:rFonts w:ascii="Arial" w:hAnsi="Arial" w:cs="Arial"/>
          <w:color w:val="000000" w:themeColor="text1"/>
          <w:sz w:val="19"/>
          <w:szCs w:val="19"/>
        </w:rPr>
        <w:t>23 de noviembre de 2020</w:t>
      </w:r>
      <w:r w:rsidRPr="00582B72">
        <w:rPr>
          <w:rFonts w:ascii="Arial" w:hAnsi="Arial" w:cs="Arial"/>
          <w:color w:val="000000" w:themeColor="text1"/>
          <w:sz w:val="19"/>
          <w:szCs w:val="19"/>
        </w:rPr>
        <w:t xml:space="preserve">Consejero ponente: Oscar </w:t>
      </w:r>
      <w:r w:rsidR="00867326" w:rsidRPr="00582B72">
        <w:rPr>
          <w:rFonts w:ascii="Arial" w:hAnsi="Arial" w:cs="Arial"/>
          <w:color w:val="000000" w:themeColor="text1"/>
          <w:sz w:val="19"/>
          <w:szCs w:val="19"/>
        </w:rPr>
        <w:t>Darío</w:t>
      </w:r>
      <w:r w:rsidRPr="00582B72">
        <w:rPr>
          <w:rFonts w:ascii="Arial" w:hAnsi="Arial" w:cs="Arial"/>
          <w:color w:val="000000" w:themeColor="text1"/>
          <w:sz w:val="19"/>
          <w:szCs w:val="19"/>
        </w:rPr>
        <w:t xml:space="preserve"> Amaya Navas. </w:t>
      </w:r>
      <w:r w:rsidR="00867326" w:rsidRPr="00582B72">
        <w:rPr>
          <w:rFonts w:ascii="Arial" w:hAnsi="Arial" w:cs="Arial"/>
          <w:color w:val="000000" w:themeColor="text1"/>
          <w:sz w:val="19"/>
          <w:szCs w:val="19"/>
        </w:rPr>
        <w:t>Radicado No.</w:t>
      </w:r>
      <w:r w:rsidRPr="00582B72">
        <w:rPr>
          <w:rFonts w:ascii="Arial" w:hAnsi="Arial" w:cs="Arial"/>
          <w:color w:val="000000" w:themeColor="text1"/>
          <w:sz w:val="19"/>
          <w:szCs w:val="19"/>
        </w:rPr>
        <w:t xml:space="preserve"> </w:t>
      </w:r>
      <w:r w:rsidR="00867326" w:rsidRPr="00582B72">
        <w:rPr>
          <w:rFonts w:ascii="Arial" w:hAnsi="Arial" w:cs="Arial"/>
          <w:color w:val="000000" w:themeColor="text1"/>
          <w:sz w:val="19"/>
          <w:szCs w:val="19"/>
        </w:rPr>
        <w:t>2454</w:t>
      </w:r>
      <w:r w:rsidRPr="00582B72">
        <w:rPr>
          <w:rFonts w:ascii="Arial" w:hAnsi="Arial" w:cs="Arial"/>
          <w:color w:val="000000" w:themeColor="text1"/>
          <w:sz w:val="19"/>
          <w:szCs w:val="19"/>
        </w:rPr>
        <w:t xml:space="preserve">. </w:t>
      </w:r>
    </w:p>
    <w:p w14:paraId="12FAEEE3" w14:textId="167ACB52" w:rsidR="001062F0" w:rsidRPr="00582B72" w:rsidRDefault="001062F0">
      <w:pPr>
        <w:pStyle w:val="Textonotapie"/>
        <w:rPr>
          <w:lang w:val="es-CO"/>
        </w:rPr>
      </w:pPr>
    </w:p>
  </w:footnote>
  <w:footnote w:id="15">
    <w:p w14:paraId="01B36BAD" w14:textId="77777777" w:rsidR="00031AD9" w:rsidRPr="00582B72" w:rsidRDefault="00031AD9">
      <w:pPr>
        <w:pStyle w:val="Textonotapie"/>
        <w:ind w:firstLine="709"/>
        <w:jc w:val="both"/>
        <w:rPr>
          <w:rFonts w:ascii="Arial" w:hAnsi="Arial" w:cs="Arial"/>
          <w:color w:val="000000" w:themeColor="text1"/>
          <w:sz w:val="19"/>
          <w:szCs w:val="19"/>
        </w:rPr>
      </w:pPr>
      <w:r w:rsidRPr="00582B72">
        <w:rPr>
          <w:rStyle w:val="Refdenotaalpie"/>
          <w:rFonts w:ascii="Arial" w:hAnsi="Arial" w:cs="Arial"/>
          <w:sz w:val="19"/>
          <w:szCs w:val="19"/>
        </w:rPr>
        <w:footnoteRef/>
      </w:r>
      <w:r w:rsidRPr="00582B72">
        <w:rPr>
          <w:rFonts w:ascii="Arial" w:hAnsi="Arial" w:cs="Arial"/>
          <w:color w:val="000000" w:themeColor="text1"/>
          <w:sz w:val="19"/>
          <w:szCs w:val="19"/>
        </w:rPr>
        <w:t xml:space="preserve"> ». CONGRESO DE LA REPÚBLICA. Gaceta Nº 1677 del 23 de noviembre de 2021. Justificación jurídica del Proyecto de Ley No. 226 de 2021 Cámara. p. 15.</w:t>
      </w:r>
      <w:r w:rsidRPr="00582B72">
        <w:rPr>
          <w:rFonts w:ascii="Arial" w:hAnsi="Arial" w:cs="Arial"/>
          <w:color w:val="000000" w:themeColor="text1"/>
          <w:sz w:val="19"/>
          <w:szCs w:val="19"/>
        </w:rPr>
        <w:cr/>
      </w:r>
    </w:p>
  </w:footnote>
  <w:footnote w:id="16">
    <w:p w14:paraId="5B36713C" w14:textId="77777777" w:rsidR="00031AD9" w:rsidRPr="00582B72" w:rsidRDefault="00031AD9">
      <w:pPr>
        <w:pStyle w:val="NormalWeb"/>
        <w:spacing w:before="0" w:beforeAutospacing="0" w:after="0" w:afterAutospacing="0"/>
        <w:ind w:firstLine="708"/>
        <w:jc w:val="both"/>
        <w:rPr>
          <w:rFonts w:ascii="Arial" w:hAnsi="Arial" w:cs="Arial"/>
          <w:color w:val="000000"/>
          <w:sz w:val="19"/>
          <w:szCs w:val="19"/>
        </w:rPr>
      </w:pPr>
      <w:r w:rsidRPr="00582B72">
        <w:rPr>
          <w:rStyle w:val="Refdenotaalpie"/>
          <w:rFonts w:ascii="Arial" w:hAnsi="Arial" w:cs="Arial"/>
          <w:sz w:val="19"/>
          <w:szCs w:val="19"/>
        </w:rPr>
        <w:footnoteRef/>
      </w:r>
      <w:r w:rsidRPr="00582B72">
        <w:rPr>
          <w:rFonts w:ascii="Arial" w:hAnsi="Arial" w:cs="Arial"/>
          <w:sz w:val="19"/>
          <w:szCs w:val="19"/>
        </w:rPr>
        <w:t xml:space="preserve"> «</w:t>
      </w:r>
      <w:r w:rsidRPr="00D6341E">
        <w:rPr>
          <w:rStyle w:val="Textoennegrita"/>
          <w:rFonts w:ascii="Arial" w:hAnsi="Arial" w:cs="Arial"/>
          <w:b w:val="0"/>
          <w:bCs w:val="0"/>
          <w:color w:val="000000"/>
          <w:sz w:val="19"/>
          <w:szCs w:val="19"/>
        </w:rPr>
        <w:t>Artículo 2°.</w:t>
      </w:r>
      <w:r w:rsidRPr="00582B72">
        <w:rPr>
          <w:rStyle w:val="nfasis"/>
          <w:rFonts w:ascii="Arial" w:hAnsi="Arial" w:cs="Arial"/>
          <w:color w:val="000000"/>
          <w:sz w:val="19"/>
          <w:szCs w:val="19"/>
        </w:rPr>
        <w:t>De las modalidades de selección. </w:t>
      </w:r>
      <w:r w:rsidRPr="00582B72">
        <w:rPr>
          <w:rFonts w:ascii="Arial" w:hAnsi="Arial" w:cs="Arial"/>
          <w:color w:val="000000"/>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52A2FD24" w14:textId="77777777" w:rsidR="00031AD9" w:rsidRPr="00582B72" w:rsidRDefault="00031AD9">
      <w:pPr>
        <w:pStyle w:val="NormalWeb"/>
        <w:spacing w:before="0" w:beforeAutospacing="0" w:after="0" w:afterAutospacing="0"/>
        <w:ind w:firstLine="708"/>
        <w:jc w:val="both"/>
        <w:rPr>
          <w:rFonts w:ascii="Arial" w:hAnsi="Arial" w:cs="Arial"/>
          <w:color w:val="000000"/>
          <w:sz w:val="19"/>
          <w:szCs w:val="19"/>
        </w:rPr>
      </w:pPr>
      <w:r w:rsidRPr="00582B72">
        <w:rPr>
          <w:rFonts w:ascii="Arial" w:hAnsi="Arial" w:cs="Arial"/>
          <w:color w:val="000000"/>
          <w:sz w:val="19"/>
          <w:szCs w:val="19"/>
        </w:rPr>
        <w:t>[…]</w:t>
      </w:r>
    </w:p>
    <w:p w14:paraId="51D61F99" w14:textId="77777777" w:rsidR="00031AD9" w:rsidRPr="00582B72" w:rsidRDefault="00031AD9">
      <w:pPr>
        <w:pStyle w:val="NormalWeb"/>
        <w:spacing w:before="0" w:beforeAutospacing="0" w:after="0" w:afterAutospacing="0"/>
        <w:ind w:firstLine="708"/>
        <w:jc w:val="both"/>
        <w:rPr>
          <w:rFonts w:ascii="Arial" w:hAnsi="Arial" w:cs="Arial"/>
          <w:color w:val="000000"/>
          <w:sz w:val="19"/>
          <w:szCs w:val="19"/>
        </w:rPr>
      </w:pPr>
      <w:r w:rsidRPr="00582B72">
        <w:rPr>
          <w:rFonts w:ascii="Arial" w:hAnsi="Arial" w:cs="Arial"/>
          <w:color w:val="000000"/>
          <w:sz w:val="19"/>
          <w:szCs w:val="19"/>
        </w:rPr>
        <w:t>»4. Contratación directa</w:t>
      </w:r>
      <w:r w:rsidRPr="00D6341E">
        <w:rPr>
          <w:rFonts w:ascii="Arial" w:hAnsi="Arial" w:cs="Arial"/>
          <w:color w:val="000000"/>
          <w:sz w:val="19"/>
          <w:szCs w:val="19"/>
        </w:rPr>
        <w:t>. </w:t>
      </w:r>
      <w:r w:rsidRPr="00582B72">
        <w:rPr>
          <w:rFonts w:ascii="Arial" w:hAnsi="Arial" w:cs="Arial"/>
          <w:color w:val="000000"/>
          <w:sz w:val="19"/>
          <w:szCs w:val="19"/>
        </w:rPr>
        <w:t>La modalidad de selección de contratación directa, solamente procederá en los siguientes casos: </w:t>
      </w:r>
    </w:p>
    <w:p w14:paraId="1E872267" w14:textId="77777777" w:rsidR="00031AD9" w:rsidRPr="00582B72" w:rsidRDefault="00031AD9">
      <w:pPr>
        <w:jc w:val="both"/>
        <w:rPr>
          <w:rFonts w:ascii="Arial" w:hAnsi="Arial" w:cs="Arial"/>
          <w:color w:val="000000"/>
          <w:sz w:val="19"/>
          <w:szCs w:val="19"/>
          <w:lang w:eastAsia="es-CO"/>
        </w:rPr>
      </w:pPr>
      <w:r w:rsidRPr="00582B72">
        <w:rPr>
          <w:rFonts w:ascii="Arial" w:hAnsi="Arial" w:cs="Arial"/>
          <w:color w:val="000000"/>
          <w:sz w:val="19"/>
          <w:szCs w:val="19"/>
          <w:lang w:eastAsia="es-CO"/>
        </w:rPr>
        <w:t>  […]  </w:t>
      </w:r>
    </w:p>
    <w:p w14:paraId="413F7986" w14:textId="77777777" w:rsidR="00031AD9" w:rsidRPr="00582B72" w:rsidRDefault="00031AD9" w:rsidP="00D04750">
      <w:pPr>
        <w:ind w:firstLine="708"/>
        <w:jc w:val="both"/>
        <w:rPr>
          <w:rFonts w:ascii="Arial" w:hAnsi="Arial" w:cs="Arial"/>
          <w:color w:val="000000"/>
          <w:sz w:val="19"/>
          <w:szCs w:val="19"/>
          <w:lang w:eastAsia="es-CO"/>
        </w:rPr>
      </w:pPr>
      <w:r w:rsidRPr="00582B72">
        <w:rPr>
          <w:rFonts w:ascii="Arial" w:hAnsi="Arial" w:cs="Arial"/>
          <w:color w:val="000000"/>
          <w:sz w:val="19"/>
          <w:szCs w:val="19"/>
          <w:lang w:eastAsia="es-CO"/>
        </w:rPr>
        <w:t>»c) Contratos interadministrativos, siempre que las obligaciones derivadas del mismo tengan relación directa con el objeto de la entidad ejecutora señalado en la ley o en sus reglamentos.  </w:t>
      </w:r>
    </w:p>
    <w:p w14:paraId="3B25D4AF" w14:textId="77777777" w:rsidR="00031AD9" w:rsidRPr="00582B72" w:rsidRDefault="00031AD9" w:rsidP="00D04750">
      <w:pPr>
        <w:jc w:val="both"/>
        <w:rPr>
          <w:rFonts w:ascii="Arial" w:hAnsi="Arial" w:cs="Arial"/>
          <w:color w:val="000000"/>
          <w:sz w:val="19"/>
          <w:szCs w:val="19"/>
          <w:lang w:eastAsia="es-CO"/>
        </w:rPr>
      </w:pPr>
      <w:r w:rsidRPr="00582B72">
        <w:rPr>
          <w:rFonts w:ascii="Arial" w:hAnsi="Arial" w:cs="Arial"/>
          <w:color w:val="000000"/>
          <w:sz w:val="19"/>
          <w:szCs w:val="19"/>
          <w:lang w:eastAsia="es-CO"/>
        </w:rPr>
        <w:t>  </w:t>
      </w:r>
      <w:r w:rsidRPr="00582B72">
        <w:rPr>
          <w:rFonts w:ascii="Arial" w:hAnsi="Arial" w:cs="Arial"/>
          <w:color w:val="000000"/>
          <w:sz w:val="19"/>
          <w:szCs w:val="19"/>
          <w:lang w:eastAsia="es-CO"/>
        </w:rPr>
        <w:tab/>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355D1099" w14:textId="77777777" w:rsidR="00031AD9" w:rsidRPr="00582B72" w:rsidRDefault="00031AD9" w:rsidP="00D04750">
      <w:pPr>
        <w:jc w:val="both"/>
        <w:rPr>
          <w:rFonts w:ascii="Arial" w:hAnsi="Arial" w:cs="Arial"/>
          <w:color w:val="000000"/>
          <w:sz w:val="19"/>
          <w:szCs w:val="19"/>
          <w:lang w:eastAsia="es-CO"/>
        </w:rPr>
      </w:pPr>
      <w:r w:rsidRPr="00582B72">
        <w:rPr>
          <w:rFonts w:ascii="Arial" w:hAnsi="Arial" w:cs="Arial"/>
          <w:color w:val="000000"/>
          <w:sz w:val="19"/>
          <w:szCs w:val="19"/>
          <w:lang w:eastAsia="es-CO"/>
        </w:rPr>
        <w:t>  </w:t>
      </w:r>
      <w:r w:rsidRPr="00582B72">
        <w:rPr>
          <w:rFonts w:ascii="Arial" w:hAnsi="Arial" w:cs="Arial"/>
          <w:color w:val="000000"/>
          <w:sz w:val="19"/>
          <w:szCs w:val="19"/>
          <w:lang w:eastAsia="es-CO"/>
        </w:rPr>
        <w:tab/>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4E527AF3" w14:textId="77777777" w:rsidR="00031AD9" w:rsidRPr="00582B72" w:rsidRDefault="00031AD9" w:rsidP="00D04750">
      <w:pPr>
        <w:jc w:val="both"/>
        <w:rPr>
          <w:rFonts w:ascii="Arial" w:hAnsi="Arial" w:cs="Arial"/>
          <w:color w:val="000000"/>
          <w:sz w:val="19"/>
          <w:szCs w:val="19"/>
          <w:lang w:eastAsia="es-CO"/>
        </w:rPr>
      </w:pPr>
      <w:r w:rsidRPr="00582B72">
        <w:rPr>
          <w:rFonts w:ascii="Arial" w:hAnsi="Arial" w:cs="Arial"/>
          <w:color w:val="000000"/>
          <w:sz w:val="19"/>
          <w:szCs w:val="19"/>
          <w:lang w:eastAsia="es-CO"/>
        </w:rPr>
        <w:t>  </w:t>
      </w:r>
      <w:r w:rsidRPr="00582B72">
        <w:rPr>
          <w:rFonts w:ascii="Arial" w:hAnsi="Arial" w:cs="Arial"/>
          <w:color w:val="000000"/>
          <w:sz w:val="19"/>
          <w:szCs w:val="19"/>
          <w:lang w:eastAsia="es-CO"/>
        </w:rPr>
        <w:tab/>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4D438D0D" w14:textId="77777777" w:rsidR="00031AD9" w:rsidRPr="00582B72" w:rsidRDefault="00031AD9" w:rsidP="00D81718">
      <w:pPr>
        <w:jc w:val="both"/>
        <w:rPr>
          <w:rFonts w:ascii="Arial" w:hAnsi="Arial" w:cs="Arial"/>
          <w:sz w:val="19"/>
          <w:szCs w:val="19"/>
        </w:rPr>
      </w:pPr>
      <w:r w:rsidRPr="00582B72">
        <w:rPr>
          <w:rFonts w:ascii="Arial" w:hAnsi="Arial" w:cs="Arial"/>
          <w:color w:val="000000"/>
          <w:sz w:val="19"/>
          <w:szCs w:val="19"/>
          <w:lang w:eastAsia="es-CO"/>
        </w:rPr>
        <w:t>  </w:t>
      </w:r>
      <w:r w:rsidRPr="00582B72">
        <w:rPr>
          <w:rFonts w:ascii="Arial" w:hAnsi="Arial" w:cs="Arial"/>
          <w:color w:val="000000"/>
          <w:sz w:val="19"/>
          <w:szCs w:val="19"/>
          <w:lang w:eastAsia="es-CO"/>
        </w:rPr>
        <w:tab/>
        <w:t>»Estarán exceptuados de la figura del contrato interadministrativo, los contratos de seguro de las entidades estatales[…]». </w:t>
      </w:r>
      <w:r w:rsidRPr="00582B72">
        <w:rPr>
          <w:rFonts w:ascii="Arial" w:hAnsi="Arial" w:cs="Arial"/>
          <w:sz w:val="19"/>
          <w:szCs w:val="19"/>
        </w:rPr>
        <w:t xml:space="preserve"> </w:t>
      </w:r>
    </w:p>
  </w:footnote>
  <w:footnote w:id="17">
    <w:p w14:paraId="3386FE38" w14:textId="77777777" w:rsidR="00031AD9" w:rsidRPr="00582B72" w:rsidRDefault="00031AD9" w:rsidP="00450B1A">
      <w:pPr>
        <w:pStyle w:val="Textonotapie"/>
        <w:ind w:firstLine="708"/>
        <w:jc w:val="both"/>
        <w:rPr>
          <w:rFonts w:ascii="Arial" w:hAnsi="Arial" w:cs="Arial"/>
          <w:sz w:val="19"/>
          <w:szCs w:val="19"/>
          <w:lang w:val="es-CO"/>
        </w:rPr>
      </w:pPr>
      <w:r w:rsidRPr="00582B72">
        <w:rPr>
          <w:rStyle w:val="Refdenotaalpie"/>
          <w:rFonts w:ascii="Arial" w:hAnsi="Arial" w:cs="Arial"/>
          <w:sz w:val="19"/>
          <w:szCs w:val="19"/>
        </w:rPr>
        <w:footnoteRef/>
      </w:r>
      <w:r w:rsidRPr="00582B72">
        <w:rPr>
          <w:rFonts w:ascii="Arial" w:hAnsi="Arial" w:cs="Arial"/>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582B72">
        <w:rPr>
          <w:rFonts w:ascii="Arial" w:hAnsi="Arial" w:cs="Arial"/>
          <w:i/>
          <w:iCs/>
          <w:sz w:val="19"/>
          <w:szCs w:val="19"/>
        </w:rPr>
        <w:t>lex posterior derogat legi priori</w:t>
      </w:r>
      <w:r w:rsidRPr="00582B72">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18">
    <w:p w14:paraId="1D09CF5E" w14:textId="77777777" w:rsidR="00897B2E" w:rsidRPr="00582B72" w:rsidRDefault="00897B2E" w:rsidP="00897B2E">
      <w:pPr>
        <w:pStyle w:val="Textonotapie"/>
        <w:ind w:firstLine="709"/>
        <w:jc w:val="both"/>
        <w:rPr>
          <w:rFonts w:ascii="Arial" w:hAnsi="Arial" w:cs="Arial"/>
          <w:sz w:val="19"/>
          <w:szCs w:val="19"/>
        </w:rPr>
      </w:pPr>
      <w:r w:rsidRPr="00582B72">
        <w:rPr>
          <w:rStyle w:val="Refdenotaalpie"/>
          <w:rFonts w:ascii="Arial" w:hAnsi="Arial" w:cs="Arial"/>
          <w:sz w:val="19"/>
          <w:szCs w:val="19"/>
        </w:rPr>
        <w:footnoteRef/>
      </w:r>
      <w:r w:rsidRPr="00582B72">
        <w:rPr>
          <w:rFonts w:ascii="Arial" w:hAnsi="Arial" w:cs="Arial"/>
          <w:sz w:val="19"/>
          <w:szCs w:val="19"/>
        </w:rPr>
        <w:t xml:space="preserve"> </w:t>
      </w:r>
      <w:r w:rsidRPr="00582B72">
        <w:rPr>
          <w:rFonts w:ascii="Arial" w:hAnsi="Arial" w:cs="Arial"/>
          <w:color w:val="000000" w:themeColor="text1"/>
          <w:sz w:val="19"/>
          <w:szCs w:val="19"/>
          <w:lang w:val="es-ES"/>
        </w:rPr>
        <w:t xml:space="preserve">Según García de Enterría, «Estos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w:t>
      </w:r>
      <w:proofErr w:type="spellStart"/>
      <w:r w:rsidRPr="00582B72">
        <w:rPr>
          <w:rFonts w:ascii="Arial" w:hAnsi="Arial" w:cs="Arial"/>
          <w:color w:val="000000" w:themeColor="text1"/>
          <w:sz w:val="19"/>
          <w:szCs w:val="19"/>
          <w:lang w:val="es-ES"/>
        </w:rPr>
        <w:t>Civitas</w:t>
      </w:r>
      <w:proofErr w:type="spellEnd"/>
      <w:r w:rsidRPr="00582B72">
        <w:rPr>
          <w:rFonts w:ascii="Arial" w:hAnsi="Arial" w:cs="Arial"/>
          <w:color w:val="000000" w:themeColor="text1"/>
          <w:sz w:val="19"/>
          <w:szCs w:val="19"/>
          <w:lang w:val="es-ES"/>
        </w:rPr>
        <w:t>, 1983. pp. 33-34).</w:t>
      </w:r>
    </w:p>
  </w:footnote>
  <w:footnote w:id="19">
    <w:p w14:paraId="1C651CD9" w14:textId="77777777" w:rsidR="00897B2E" w:rsidRPr="00582B72" w:rsidRDefault="00897B2E" w:rsidP="00897B2E">
      <w:pPr>
        <w:pStyle w:val="Textonotapie"/>
        <w:ind w:firstLine="709"/>
        <w:rPr>
          <w:rFonts w:ascii="Arial" w:hAnsi="Arial" w:cs="Arial"/>
          <w:sz w:val="19"/>
          <w:szCs w:val="19"/>
        </w:rPr>
      </w:pPr>
      <w:r w:rsidRPr="00582B72">
        <w:rPr>
          <w:rStyle w:val="Refdenotaalpie"/>
          <w:rFonts w:ascii="Arial" w:hAnsi="Arial" w:cs="Arial"/>
          <w:sz w:val="19"/>
          <w:szCs w:val="19"/>
        </w:rPr>
        <w:footnoteRef/>
      </w:r>
      <w:r w:rsidRPr="00582B72">
        <w:rPr>
          <w:rFonts w:ascii="Arial" w:hAnsi="Arial" w:cs="Arial"/>
          <w:sz w:val="19"/>
          <w:szCs w:val="19"/>
        </w:rPr>
        <w:t xml:space="preserve"> Sentencia C-382 de 2019, M.P. Alejandro Linares Cantillo.</w:t>
      </w:r>
    </w:p>
  </w:footnote>
  <w:footnote w:id="20">
    <w:p w14:paraId="6E10602F" w14:textId="77777777" w:rsidR="00897B2E" w:rsidRPr="00582B72" w:rsidRDefault="00897B2E" w:rsidP="00897B2E">
      <w:pPr>
        <w:pStyle w:val="Textonotapie"/>
        <w:ind w:firstLine="709"/>
        <w:jc w:val="both"/>
        <w:rPr>
          <w:rFonts w:ascii="Arial" w:hAnsi="Arial" w:cs="Arial"/>
          <w:color w:val="000000" w:themeColor="text1"/>
          <w:sz w:val="19"/>
          <w:szCs w:val="19"/>
        </w:rPr>
      </w:pPr>
      <w:r w:rsidRPr="00582B72">
        <w:rPr>
          <w:rStyle w:val="Refdenotaalpie"/>
          <w:rFonts w:ascii="Arial" w:hAnsi="Arial" w:cs="Arial"/>
          <w:sz w:val="19"/>
          <w:szCs w:val="19"/>
        </w:rPr>
        <w:footnoteRef/>
      </w:r>
      <w:r w:rsidRPr="00582B72">
        <w:rPr>
          <w:rFonts w:ascii="Arial" w:hAnsi="Arial" w:cs="Arial"/>
          <w:color w:val="000000" w:themeColor="text1"/>
          <w:sz w:val="19"/>
          <w:szCs w:val="19"/>
        </w:rPr>
        <w:t xml:space="preserve"> La redacción original del parágrafo primero del artículo 32 de la Ley 80 de 1993, incluía la expresión </w:t>
      </w:r>
      <w:r w:rsidRPr="00582B72">
        <w:rPr>
          <w:rFonts w:ascii="Arial" w:hAnsi="Arial" w:cs="Arial"/>
          <w:i/>
          <w:iCs/>
          <w:color w:val="000000" w:themeColor="text1"/>
          <w:sz w:val="19"/>
          <w:szCs w:val="19"/>
        </w:rPr>
        <w:t>giro ordinario</w:t>
      </w:r>
      <w:r w:rsidRPr="00582B72">
        <w:rPr>
          <w:rFonts w:ascii="Arial" w:hAnsi="Arial" w:cs="Arial"/>
          <w:color w:val="000000" w:themeColor="text1"/>
          <w:sz w:val="19"/>
          <w:szCs w:val="19"/>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582B72">
        <w:rPr>
          <w:rFonts w:ascii="Arial" w:hAnsi="Arial" w:cs="Arial"/>
          <w:i/>
          <w:iCs/>
          <w:color w:val="000000" w:themeColor="text1"/>
          <w:sz w:val="19"/>
          <w:szCs w:val="19"/>
        </w:rPr>
        <w:t>al giro ordinario de las actividades propias de su objeto social,</w:t>
      </w:r>
      <w:r w:rsidRPr="00582B72">
        <w:rPr>
          <w:rFonts w:ascii="Arial" w:hAnsi="Arial" w:cs="Arial"/>
          <w:color w:val="000000" w:themeColor="text1"/>
          <w:sz w:val="19"/>
          <w:szCs w:val="19"/>
        </w:rPr>
        <w:t xml:space="preserve"> no estarán sujetos a las disposiciones del presente estatuto y se regirán por las disposiciones legales y reglamentarias aplicables a dichas actividades» [Énfasis fuera de texto].</w:t>
      </w:r>
    </w:p>
    <w:p w14:paraId="0546E37D" w14:textId="77777777" w:rsidR="00897B2E" w:rsidRPr="00582B72" w:rsidRDefault="00897B2E" w:rsidP="00897B2E">
      <w:pPr>
        <w:pStyle w:val="Textonotapie"/>
        <w:ind w:firstLine="709"/>
        <w:jc w:val="both"/>
        <w:rPr>
          <w:rFonts w:ascii="Arial" w:hAnsi="Arial" w:cs="Arial"/>
          <w:color w:val="000000" w:themeColor="text1"/>
          <w:sz w:val="19"/>
          <w:szCs w:val="19"/>
        </w:rPr>
      </w:pPr>
    </w:p>
  </w:footnote>
  <w:footnote w:id="21">
    <w:p w14:paraId="0B91E1FE" w14:textId="77777777" w:rsidR="00897B2E" w:rsidRPr="00582B72" w:rsidRDefault="00897B2E" w:rsidP="00897B2E">
      <w:pPr>
        <w:pStyle w:val="Textonotapie"/>
        <w:ind w:firstLine="709"/>
        <w:jc w:val="both"/>
        <w:rPr>
          <w:rFonts w:ascii="Arial" w:hAnsi="Arial" w:cs="Arial"/>
          <w:color w:val="000000" w:themeColor="text1"/>
          <w:sz w:val="19"/>
          <w:szCs w:val="19"/>
        </w:rPr>
      </w:pPr>
      <w:r w:rsidRPr="00582B72">
        <w:rPr>
          <w:rStyle w:val="Refdenotaalpie"/>
          <w:rFonts w:ascii="Arial" w:hAnsi="Arial" w:cs="Arial"/>
          <w:sz w:val="19"/>
          <w:szCs w:val="19"/>
        </w:rPr>
        <w:footnoteRef/>
      </w:r>
      <w:r w:rsidRPr="00582B72">
        <w:rPr>
          <w:rFonts w:ascii="Arial" w:hAnsi="Arial" w:cs="Arial"/>
          <w:color w:val="000000" w:themeColor="text1"/>
          <w:sz w:val="19"/>
          <w:szCs w:val="19"/>
        </w:rPr>
        <w:t xml:space="preserve"> Consejo de Estado. Sección Tercera. Subsección B. Sentencia del 12 de octubre de 2011. Exp. No. 20070. C.P. Danilo Rojas Betancourt.</w:t>
      </w:r>
    </w:p>
    <w:p w14:paraId="76978DDC" w14:textId="77777777" w:rsidR="00897B2E" w:rsidRPr="00582B72" w:rsidRDefault="00897B2E" w:rsidP="00897B2E">
      <w:pPr>
        <w:pStyle w:val="Textonotapie"/>
        <w:ind w:firstLine="709"/>
        <w:jc w:val="both"/>
        <w:rPr>
          <w:rFonts w:ascii="Arial" w:hAnsi="Arial" w:cs="Arial"/>
          <w:color w:val="000000" w:themeColor="text1"/>
          <w:sz w:val="19"/>
          <w:szCs w:val="19"/>
          <w:lang w:val="es-ES"/>
        </w:rPr>
      </w:pPr>
    </w:p>
  </w:footnote>
  <w:footnote w:id="22">
    <w:p w14:paraId="2F2A20CB" w14:textId="77777777" w:rsidR="00897B2E" w:rsidRPr="00582B72" w:rsidRDefault="00897B2E" w:rsidP="00897B2E">
      <w:pPr>
        <w:ind w:firstLine="709"/>
        <w:jc w:val="both"/>
        <w:rPr>
          <w:rFonts w:ascii="Arial" w:hAnsi="Arial" w:cs="Arial"/>
          <w:color w:val="000000" w:themeColor="text1"/>
          <w:sz w:val="19"/>
          <w:szCs w:val="19"/>
        </w:rPr>
      </w:pPr>
      <w:r w:rsidRPr="00582B72">
        <w:rPr>
          <w:rStyle w:val="Refdenotaalpie"/>
          <w:rFonts w:ascii="Arial" w:hAnsi="Arial" w:cs="Arial"/>
          <w:sz w:val="19"/>
          <w:szCs w:val="19"/>
        </w:rPr>
        <w:footnoteRef/>
      </w:r>
      <w:r w:rsidRPr="00582B72">
        <w:rPr>
          <w:rFonts w:ascii="Arial" w:hAnsi="Arial" w:cs="Arial"/>
          <w:color w:val="000000" w:themeColor="text1"/>
          <w:sz w:val="19"/>
          <w:szCs w:val="19"/>
        </w:rPr>
        <w:t xml:space="preserve"> Consejo de Estado. Sección Tercera. Subsección A. Sentencia del 3 de marzo de 2021. </w:t>
      </w:r>
      <w:proofErr w:type="spellStart"/>
      <w:r w:rsidRPr="00582B72">
        <w:rPr>
          <w:rFonts w:ascii="Arial" w:hAnsi="Arial" w:cs="Arial"/>
          <w:color w:val="000000" w:themeColor="text1"/>
          <w:sz w:val="19"/>
          <w:szCs w:val="19"/>
        </w:rPr>
        <w:t>Exp</w:t>
      </w:r>
      <w:proofErr w:type="spellEnd"/>
      <w:r w:rsidRPr="00582B72">
        <w:rPr>
          <w:rFonts w:ascii="Arial" w:hAnsi="Arial" w:cs="Arial"/>
          <w:color w:val="000000" w:themeColor="text1"/>
          <w:sz w:val="19"/>
          <w:szCs w:val="19"/>
        </w:rPr>
        <w:t>. No. 51373. C.P. José Roberto Sáchica Méndez.</w:t>
      </w:r>
    </w:p>
    <w:p w14:paraId="7E38C690" w14:textId="77777777" w:rsidR="00897B2E" w:rsidRPr="00582B72" w:rsidRDefault="00897B2E" w:rsidP="00897B2E">
      <w:pPr>
        <w:ind w:firstLine="709"/>
        <w:jc w:val="both"/>
        <w:rPr>
          <w:rFonts w:ascii="Arial" w:hAnsi="Arial" w:cs="Arial"/>
          <w:color w:val="000000" w:themeColor="text1"/>
          <w:sz w:val="19"/>
          <w:szCs w:val="19"/>
        </w:rPr>
      </w:pPr>
      <w:r w:rsidRPr="00582B72">
        <w:rPr>
          <w:rFonts w:ascii="Arial" w:hAnsi="Arial" w:cs="Arial"/>
          <w:color w:val="000000" w:themeColor="text1"/>
          <w:sz w:val="19"/>
          <w:szCs w:val="19"/>
        </w:rPr>
        <w:t xml:space="preserve"> </w:t>
      </w:r>
    </w:p>
  </w:footnote>
  <w:footnote w:id="23">
    <w:p w14:paraId="632672B4" w14:textId="77777777" w:rsidR="00897B2E" w:rsidRPr="00582B72" w:rsidRDefault="00897B2E" w:rsidP="00897B2E">
      <w:pPr>
        <w:pStyle w:val="Textonotapie"/>
        <w:ind w:firstLine="709"/>
        <w:jc w:val="both"/>
        <w:rPr>
          <w:rFonts w:ascii="Arial" w:hAnsi="Arial" w:cs="Arial"/>
          <w:color w:val="000000" w:themeColor="text1"/>
          <w:sz w:val="19"/>
          <w:szCs w:val="19"/>
        </w:rPr>
      </w:pPr>
      <w:r w:rsidRPr="00582B72">
        <w:rPr>
          <w:rStyle w:val="Refdenotaalpie"/>
          <w:rFonts w:ascii="Arial" w:hAnsi="Arial" w:cs="Arial"/>
          <w:sz w:val="19"/>
          <w:szCs w:val="19"/>
        </w:rPr>
        <w:footnoteRef/>
      </w:r>
      <w:r w:rsidRPr="00582B72">
        <w:rPr>
          <w:rFonts w:ascii="Arial" w:hAnsi="Arial" w:cs="Arial"/>
          <w:color w:val="000000" w:themeColor="text1"/>
          <w:sz w:val="19"/>
          <w:szCs w:val="19"/>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550B4EE9" w14:textId="77777777" w:rsidR="00897B2E" w:rsidRPr="00582B72" w:rsidRDefault="00897B2E" w:rsidP="00897B2E">
      <w:pPr>
        <w:pStyle w:val="Textonotapie"/>
        <w:ind w:firstLine="709"/>
        <w:jc w:val="both"/>
        <w:rPr>
          <w:rFonts w:ascii="Arial" w:hAnsi="Arial" w:cs="Arial"/>
          <w:color w:val="000000" w:themeColor="text1"/>
          <w:sz w:val="19"/>
          <w:szCs w:val="19"/>
        </w:rPr>
      </w:pPr>
      <w:r w:rsidRPr="00582B72">
        <w:rPr>
          <w:rFonts w:ascii="Arial" w:hAnsi="Arial" w:cs="Arial"/>
          <w:color w:val="000000" w:themeColor="text1"/>
          <w:sz w:val="19"/>
          <w:szCs w:val="19"/>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24">
    <w:p w14:paraId="66CACD64" w14:textId="77777777" w:rsidR="00897B2E" w:rsidRPr="00582B72" w:rsidRDefault="00897B2E" w:rsidP="00897B2E">
      <w:pPr>
        <w:pStyle w:val="Textonotapie"/>
        <w:ind w:firstLine="709"/>
        <w:jc w:val="both"/>
        <w:rPr>
          <w:rFonts w:ascii="Arial" w:hAnsi="Arial" w:cs="Arial"/>
          <w:color w:val="000000" w:themeColor="text1"/>
          <w:sz w:val="19"/>
          <w:szCs w:val="19"/>
        </w:rPr>
      </w:pPr>
      <w:r w:rsidRPr="00582B72">
        <w:rPr>
          <w:rStyle w:val="Refdenotaalpie"/>
          <w:rFonts w:ascii="Arial" w:hAnsi="Arial" w:cs="Arial"/>
          <w:sz w:val="19"/>
          <w:szCs w:val="19"/>
        </w:rPr>
        <w:footnoteRef/>
      </w:r>
      <w:r w:rsidRPr="00582B72">
        <w:rPr>
          <w:rFonts w:ascii="Arial" w:hAnsi="Arial" w:cs="Arial"/>
          <w:color w:val="000000" w:themeColor="text1"/>
          <w:sz w:val="19"/>
          <w:szCs w:val="19"/>
        </w:rPr>
        <w:t xml:space="preserve"> Superintendencia de Sociedades. Oficio 220-014111 del 18 de febrero de 2015. Consultado el 9 de febrero de 2022 en: </w:t>
      </w:r>
      <w:hyperlink r:id="rId1" w:history="1">
        <w:r w:rsidRPr="00582B72">
          <w:rPr>
            <w:rStyle w:val="Hipervnculo"/>
            <w:rFonts w:ascii="Arial" w:hAnsi="Arial" w:cs="Arial"/>
            <w:color w:val="000000" w:themeColor="text1"/>
            <w:sz w:val="19"/>
            <w:szCs w:val="19"/>
            <w:u w:val="none"/>
          </w:rPr>
          <w:t>https://www.supersociedades.gov.co/nuestra_entidad/normatividad/normatividad_conceptos_juridicos/OFICIO_220-014111_DE_2015.pdf</w:t>
        </w:r>
      </w:hyperlink>
    </w:p>
  </w:footnote>
  <w:footnote w:id="25">
    <w:p w14:paraId="0D36759C" w14:textId="77777777" w:rsidR="00897B2E" w:rsidRPr="00582B72" w:rsidRDefault="00897B2E" w:rsidP="00897B2E">
      <w:pPr>
        <w:pStyle w:val="Textonotapie"/>
        <w:ind w:firstLine="709"/>
        <w:jc w:val="both"/>
        <w:rPr>
          <w:rFonts w:ascii="Arial" w:hAnsi="Arial" w:cs="Arial"/>
          <w:color w:val="000000" w:themeColor="text1"/>
          <w:sz w:val="19"/>
          <w:szCs w:val="19"/>
        </w:rPr>
      </w:pPr>
      <w:r w:rsidRPr="00582B72">
        <w:rPr>
          <w:rStyle w:val="Refdenotaalpie"/>
          <w:rFonts w:ascii="Arial" w:hAnsi="Arial" w:cs="Arial"/>
          <w:sz w:val="19"/>
          <w:szCs w:val="19"/>
        </w:rPr>
        <w:footnoteRef/>
      </w:r>
      <w:r w:rsidRPr="00582B72">
        <w:rPr>
          <w:rFonts w:ascii="Arial" w:hAnsi="Arial" w:cs="Arial"/>
          <w:color w:val="000000" w:themeColor="text1"/>
          <w:sz w:val="19"/>
          <w:szCs w:val="19"/>
        </w:rPr>
        <w:t xml:space="preserve"> En efecto, en audiencia Pública del 18 de marzo de 2021, esta Agencia llamó la atención sobre la necesidad  de incluir en el Proyecto de Ley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r w:rsidRPr="00582B72">
        <w:rPr>
          <w:rFonts w:ascii="Arial" w:hAnsi="Arial" w:cs="Arial"/>
          <w:color w:val="000000" w:themeColor="text1"/>
          <w:sz w:val="19"/>
          <w:szCs w:val="19"/>
        </w:rPr>
        <w:cr/>
      </w:r>
    </w:p>
  </w:footnote>
  <w:footnote w:id="26">
    <w:p w14:paraId="7D4A93F2" w14:textId="77777777" w:rsidR="00897B2E" w:rsidRPr="00582B72" w:rsidRDefault="00897B2E" w:rsidP="00897B2E">
      <w:pPr>
        <w:pStyle w:val="Textonotapie"/>
        <w:ind w:firstLine="709"/>
        <w:jc w:val="both"/>
        <w:rPr>
          <w:rFonts w:ascii="Arial" w:hAnsi="Arial" w:cs="Arial"/>
          <w:color w:val="000000" w:themeColor="text1"/>
          <w:sz w:val="19"/>
          <w:szCs w:val="19"/>
        </w:rPr>
      </w:pPr>
      <w:r w:rsidRPr="00582B72">
        <w:rPr>
          <w:rStyle w:val="Refdenotaalpie"/>
          <w:rFonts w:ascii="Arial" w:hAnsi="Arial" w:cs="Arial"/>
          <w:sz w:val="19"/>
          <w:szCs w:val="19"/>
        </w:rPr>
        <w:footnoteRef/>
      </w:r>
      <w:r w:rsidRPr="00582B72">
        <w:rPr>
          <w:rFonts w:ascii="Arial" w:hAnsi="Arial" w:cs="Arial"/>
          <w:color w:val="000000" w:themeColor="text1"/>
          <w:sz w:val="19"/>
          <w:szCs w:val="19"/>
        </w:rPr>
        <w:t xml:space="preserve"> Al respecto ha señalado la Corte Constitucional: «En relación con el ámbito de configuración del legislador en materia contractual la jurisprudencia constitucional ha señalado los siguientes criterios:</w:t>
      </w:r>
    </w:p>
    <w:p w14:paraId="311AA68C" w14:textId="77777777" w:rsidR="00897B2E" w:rsidRPr="00582B72" w:rsidRDefault="00897B2E" w:rsidP="00897B2E">
      <w:pPr>
        <w:pStyle w:val="Textonotapie"/>
        <w:ind w:firstLine="709"/>
        <w:jc w:val="both"/>
        <w:rPr>
          <w:rFonts w:ascii="Arial" w:hAnsi="Arial" w:cs="Arial"/>
          <w:color w:val="000000" w:themeColor="text1"/>
          <w:sz w:val="19"/>
          <w:szCs w:val="19"/>
        </w:rPr>
      </w:pPr>
      <w:r w:rsidRPr="00582B72">
        <w:rPr>
          <w:rFonts w:ascii="Arial" w:hAnsi="Arial" w:cs="Arial"/>
          <w:color w:val="000000" w:themeColor="text1"/>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6674179B" w14:textId="77777777" w:rsidR="00897B2E" w:rsidRPr="00582B72" w:rsidRDefault="00897B2E" w:rsidP="00897B2E">
      <w:pPr>
        <w:pStyle w:val="Textonotapie"/>
        <w:spacing w:after="120"/>
        <w:ind w:firstLine="709"/>
        <w:jc w:val="both"/>
        <w:rPr>
          <w:rFonts w:ascii="Arial" w:hAnsi="Arial" w:cs="Arial"/>
          <w:color w:val="000000" w:themeColor="text1"/>
          <w:sz w:val="19"/>
          <w:szCs w:val="19"/>
        </w:rPr>
      </w:pPr>
      <w:r w:rsidRPr="00582B72">
        <w:rPr>
          <w:rFonts w:ascii="Arial" w:hAnsi="Arial" w:cs="Arial"/>
          <w:color w:val="000000" w:themeColor="text1"/>
          <w:sz w:val="19"/>
          <w:szCs w:val="19"/>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0EBA91D8" w14:textId="77777777" w:rsidR="00897B2E" w:rsidRPr="00582B72" w:rsidRDefault="00897B2E" w:rsidP="00897B2E">
      <w:pPr>
        <w:pStyle w:val="Textonotapie"/>
        <w:ind w:firstLine="709"/>
        <w:jc w:val="both"/>
        <w:rPr>
          <w:rFonts w:ascii="Arial" w:hAnsi="Arial" w:cs="Arial"/>
          <w:color w:val="000000" w:themeColor="text1"/>
          <w:sz w:val="19"/>
          <w:szCs w:val="19"/>
        </w:rPr>
      </w:pPr>
      <w:r w:rsidRPr="00582B72">
        <w:rPr>
          <w:rFonts w:ascii="Arial" w:hAnsi="Arial" w:cs="Arial"/>
          <w:color w:val="000000" w:themeColor="text1"/>
          <w:sz w:val="19"/>
          <w:szCs w:val="19"/>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2679BA9A" w14:textId="77777777" w:rsidR="00897B2E" w:rsidRPr="00582B72" w:rsidRDefault="00897B2E" w:rsidP="00897B2E">
      <w:pPr>
        <w:pStyle w:val="Textonotapie"/>
        <w:ind w:firstLine="709"/>
        <w:jc w:val="both"/>
        <w:rPr>
          <w:rFonts w:ascii="Arial" w:hAnsi="Arial" w:cs="Arial"/>
          <w:color w:val="000000" w:themeColor="text1"/>
          <w:sz w:val="19"/>
          <w:szCs w:val="19"/>
        </w:rPr>
      </w:pPr>
      <w:r w:rsidRPr="00582B72">
        <w:rPr>
          <w:rFonts w:ascii="Arial" w:hAnsi="Arial" w:cs="Arial"/>
          <w:color w:val="000000" w:themeColor="text1"/>
          <w:sz w:val="19"/>
          <w:szCs w:val="19"/>
        </w:rPr>
        <w:t xml:space="preserve"> </w:t>
      </w:r>
    </w:p>
  </w:footnote>
  <w:footnote w:id="27">
    <w:p w14:paraId="26F86317" w14:textId="77777777" w:rsidR="00897B2E" w:rsidRPr="00582B72" w:rsidRDefault="00897B2E" w:rsidP="00897B2E">
      <w:pPr>
        <w:pStyle w:val="Textonotapie"/>
        <w:ind w:firstLine="709"/>
        <w:jc w:val="both"/>
        <w:rPr>
          <w:rFonts w:ascii="Arial" w:hAnsi="Arial" w:cs="Arial"/>
          <w:color w:val="000000" w:themeColor="text1"/>
          <w:sz w:val="19"/>
          <w:szCs w:val="19"/>
        </w:rPr>
      </w:pPr>
      <w:r w:rsidRPr="00582B72">
        <w:rPr>
          <w:rStyle w:val="Refdenotaalpie"/>
          <w:rFonts w:ascii="Arial" w:hAnsi="Arial" w:cs="Arial"/>
          <w:sz w:val="19"/>
          <w:szCs w:val="19"/>
        </w:rPr>
        <w:footnoteRef/>
      </w:r>
      <w:r w:rsidRPr="00582B72">
        <w:rPr>
          <w:rFonts w:ascii="Arial" w:hAnsi="Arial" w:cs="Arial"/>
          <w:sz w:val="19"/>
          <w:szCs w:val="19"/>
        </w:rPr>
        <w:t xml:space="preserve"> </w:t>
      </w:r>
      <w:r w:rsidRPr="00582B72">
        <w:rPr>
          <w:rFonts w:ascii="Arial" w:hAnsi="Arial" w:cs="Arial"/>
          <w:color w:val="000000" w:themeColor="text1"/>
          <w:sz w:val="19"/>
          <w:szCs w:val="19"/>
        </w:rPr>
        <w:t>Consejo de Estado. Sección Tercera. Subsección A. Sentencia del 24 de junio de 2015. Exp. 40.635. Consejero Ponente: Hernán Andrade Rincón (E).</w:t>
      </w:r>
    </w:p>
    <w:p w14:paraId="21FE253A" w14:textId="77777777" w:rsidR="00897B2E" w:rsidRPr="00582B72" w:rsidRDefault="00897B2E" w:rsidP="00897B2E">
      <w:pPr>
        <w:pStyle w:val="Textonotapie"/>
        <w:ind w:firstLine="709"/>
        <w:jc w:val="both"/>
        <w:rPr>
          <w:rFonts w:ascii="Arial" w:hAnsi="Arial" w:cs="Arial"/>
          <w:sz w:val="19"/>
          <w:szCs w:val="19"/>
          <w:lang w:val="es-ES"/>
        </w:rPr>
      </w:pPr>
    </w:p>
  </w:footnote>
  <w:footnote w:id="28">
    <w:p w14:paraId="2DE6DA91" w14:textId="77777777" w:rsidR="00897B2E" w:rsidRPr="00582B72" w:rsidRDefault="00897B2E" w:rsidP="00897B2E">
      <w:pPr>
        <w:pStyle w:val="Textonotapie"/>
        <w:ind w:firstLine="709"/>
        <w:jc w:val="both"/>
        <w:rPr>
          <w:rFonts w:ascii="Arial" w:hAnsi="Arial" w:cs="Arial"/>
          <w:color w:val="000000" w:themeColor="text1"/>
          <w:sz w:val="19"/>
          <w:szCs w:val="19"/>
          <w:lang w:val="es-ES"/>
        </w:rPr>
      </w:pPr>
      <w:r w:rsidRPr="00582B72">
        <w:rPr>
          <w:rStyle w:val="Refdenotaalpie"/>
          <w:rFonts w:ascii="Arial" w:hAnsi="Arial" w:cs="Arial"/>
          <w:sz w:val="19"/>
          <w:szCs w:val="19"/>
        </w:rPr>
        <w:footnoteRef/>
      </w:r>
      <w:r w:rsidRPr="00582B72">
        <w:rPr>
          <w:rFonts w:ascii="Arial" w:hAnsi="Arial" w:cs="Arial"/>
          <w:sz w:val="19"/>
          <w:szCs w:val="19"/>
        </w:rPr>
        <w:t xml:space="preserve"> </w:t>
      </w:r>
      <w:r w:rsidRPr="00582B72">
        <w:rPr>
          <w:rFonts w:ascii="Arial" w:hAnsi="Arial" w:cs="Arial"/>
          <w:color w:val="000000" w:themeColor="text1"/>
          <w:sz w:val="19"/>
          <w:szCs w:val="19"/>
          <w:lang w:val="es-ES"/>
        </w:rPr>
        <w:t xml:space="preserve">Consejo de Estado. Sala de Consulta y Servicio Civil. Concepto del 30 de abril de 2015. Expediente: 2251. Consejero Ponente: Álvaro </w:t>
      </w:r>
      <w:proofErr w:type="spellStart"/>
      <w:r w:rsidRPr="00582B72">
        <w:rPr>
          <w:rFonts w:ascii="Arial" w:hAnsi="Arial" w:cs="Arial"/>
          <w:color w:val="000000" w:themeColor="text1"/>
          <w:sz w:val="19"/>
          <w:szCs w:val="19"/>
          <w:lang w:val="es-ES"/>
        </w:rPr>
        <w:t>Namén</w:t>
      </w:r>
      <w:proofErr w:type="spellEnd"/>
      <w:r w:rsidRPr="00582B72">
        <w:rPr>
          <w:rFonts w:ascii="Arial" w:hAnsi="Arial" w:cs="Arial"/>
          <w:color w:val="000000" w:themeColor="text1"/>
          <w:sz w:val="19"/>
          <w:szCs w:val="19"/>
          <w:lang w:val="es-ES"/>
        </w:rPr>
        <w:t xml:space="preserve"> Vargas.</w:t>
      </w:r>
    </w:p>
    <w:p w14:paraId="0C5BC4DF" w14:textId="77777777" w:rsidR="00897B2E" w:rsidRPr="00582B72" w:rsidRDefault="00897B2E" w:rsidP="00897B2E">
      <w:pPr>
        <w:pStyle w:val="Textonotapie"/>
        <w:ind w:firstLine="709"/>
        <w:jc w:val="both"/>
        <w:rPr>
          <w:rFonts w:ascii="Arial" w:hAnsi="Arial" w:cs="Arial"/>
          <w:sz w:val="19"/>
          <w:szCs w:val="19"/>
          <w:lang w:val="es-ES"/>
        </w:rPr>
      </w:pPr>
    </w:p>
  </w:footnote>
  <w:footnote w:id="29">
    <w:p w14:paraId="379C4A79" w14:textId="77777777" w:rsidR="00897B2E" w:rsidRPr="00582B72" w:rsidRDefault="00897B2E" w:rsidP="00897B2E">
      <w:pPr>
        <w:pStyle w:val="Textonotapie"/>
        <w:ind w:firstLine="709"/>
        <w:jc w:val="both"/>
        <w:rPr>
          <w:rFonts w:ascii="Arial" w:hAnsi="Arial" w:cs="Arial"/>
          <w:color w:val="000000" w:themeColor="text1"/>
          <w:sz w:val="19"/>
          <w:szCs w:val="19"/>
        </w:rPr>
      </w:pPr>
      <w:r w:rsidRPr="00582B72">
        <w:rPr>
          <w:rStyle w:val="Refdenotaalpie"/>
          <w:rFonts w:ascii="Arial" w:hAnsi="Arial" w:cs="Arial"/>
          <w:sz w:val="19"/>
          <w:szCs w:val="19"/>
        </w:rPr>
        <w:footnoteRef/>
      </w:r>
      <w:r w:rsidRPr="00582B72">
        <w:rPr>
          <w:rFonts w:ascii="Arial" w:hAnsi="Arial" w:cs="Arial"/>
          <w:color w:val="000000" w:themeColor="text1"/>
          <w:sz w:val="19"/>
          <w:szCs w:val="19"/>
        </w:rPr>
        <w:t xml:space="preserve"> Código Civil: «Artículo 27. Interpretación Gramatical. Cuando el sentido de la ley sea claro, no se desatenderá su tenor literal a pretexto de consultar su espíritu.</w:t>
      </w:r>
    </w:p>
    <w:p w14:paraId="01E1C4ED" w14:textId="77777777" w:rsidR="00897B2E" w:rsidRPr="00582B72" w:rsidRDefault="00897B2E" w:rsidP="00897B2E">
      <w:pPr>
        <w:pStyle w:val="Textonotapie"/>
        <w:ind w:firstLine="709"/>
        <w:jc w:val="both"/>
        <w:rPr>
          <w:rFonts w:ascii="Arial" w:hAnsi="Arial" w:cs="Arial"/>
          <w:color w:val="000000" w:themeColor="text1"/>
          <w:sz w:val="19"/>
          <w:szCs w:val="19"/>
        </w:rPr>
      </w:pPr>
      <w:r w:rsidRPr="00582B72">
        <w:rPr>
          <w:rFonts w:ascii="Arial" w:hAnsi="Arial" w:cs="Arial"/>
          <w:color w:val="000000" w:themeColor="text1"/>
          <w:sz w:val="19"/>
          <w:szCs w:val="19"/>
        </w:rPr>
        <w:t>»Pero bien se puede, para interpretar una expresión oscura de la ley, recurrir a su intención o espíritu, claramente manifestados en ella misma o en la historia fidedigna de su establecimiento».</w:t>
      </w:r>
    </w:p>
  </w:footnote>
  <w:footnote w:id="30">
    <w:p w14:paraId="4D4C57B8" w14:textId="77777777" w:rsidR="00897B2E" w:rsidRPr="00582B72" w:rsidRDefault="00897B2E" w:rsidP="00897B2E">
      <w:pPr>
        <w:pStyle w:val="Textonotapie"/>
        <w:ind w:firstLine="708"/>
        <w:rPr>
          <w:rFonts w:ascii="Arial" w:hAnsi="Arial" w:cs="Arial"/>
          <w:sz w:val="19"/>
          <w:szCs w:val="19"/>
        </w:rPr>
      </w:pPr>
    </w:p>
    <w:p w14:paraId="04CDFA5A" w14:textId="77777777" w:rsidR="00897B2E" w:rsidRPr="00582B72" w:rsidRDefault="00897B2E" w:rsidP="00897B2E">
      <w:pPr>
        <w:ind w:firstLine="708"/>
        <w:jc w:val="both"/>
        <w:rPr>
          <w:rFonts w:ascii="Arial" w:eastAsiaTheme="minorHAnsi" w:hAnsi="Arial" w:cs="Arial"/>
          <w:sz w:val="19"/>
          <w:szCs w:val="19"/>
          <w:lang w:val="es-MX" w:eastAsia="en-US"/>
        </w:rPr>
      </w:pPr>
      <w:r w:rsidRPr="00582B72">
        <w:rPr>
          <w:rStyle w:val="Refdenotaalpie"/>
          <w:rFonts w:ascii="Arial" w:hAnsi="Arial" w:cs="Arial"/>
          <w:sz w:val="19"/>
          <w:szCs w:val="19"/>
        </w:rPr>
        <w:footnoteRef/>
      </w:r>
      <w:r w:rsidRPr="00582B72">
        <w:rPr>
          <w:rFonts w:ascii="Arial" w:hAnsi="Arial" w:cs="Arial"/>
          <w:sz w:val="19"/>
          <w:szCs w:val="19"/>
        </w:rPr>
        <w:t xml:space="preserve"> Código Civil: «</w:t>
      </w:r>
      <w:r w:rsidRPr="00582B72">
        <w:rPr>
          <w:rFonts w:ascii="Arial" w:eastAsiaTheme="minorHAnsi" w:hAnsi="Arial" w:cs="Arial"/>
          <w:sz w:val="19"/>
          <w:szCs w:val="19"/>
          <w:lang w:val="es-MX" w:eastAsia="en-US"/>
        </w:rPr>
        <w:t>Artículo 31. Interpretación sobre la extensión de una ley. Lo favorable u odioso de una disposición no se tomará en cuenta para ampliar o restringir su interpretación. La extensión que deba darse a toda ley se determinará por su genuino sentido, y según las reglas de interpretación precedentes».</w:t>
      </w:r>
    </w:p>
    <w:p w14:paraId="6D0A0444" w14:textId="77777777" w:rsidR="00897B2E" w:rsidRPr="00582B72" w:rsidRDefault="00897B2E" w:rsidP="00897B2E">
      <w:pPr>
        <w:pStyle w:val="Textonotapie"/>
        <w:ind w:firstLine="708"/>
        <w:rPr>
          <w:rFonts w:ascii="Arial" w:hAnsi="Arial" w:cs="Arial"/>
          <w:sz w:val="19"/>
          <w:szCs w:val="19"/>
          <w:lang w:val="es-CO"/>
        </w:rPr>
      </w:pPr>
      <w:r w:rsidRPr="00582B72">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F4DC003" w:rsidR="00E2520A" w:rsidRDefault="0089572F">
    <w:r>
      <w:rPr>
        <w:noProof/>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3CBD2553"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42F300C"/>
    <w:multiLevelType w:val="multilevel"/>
    <w:tmpl w:val="0846C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9"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2"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2F422EAE"/>
    <w:multiLevelType w:val="multilevel"/>
    <w:tmpl w:val="1570C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35440152">
    <w:abstractNumId w:val="17"/>
  </w:num>
  <w:num w:numId="2" w16cid:durableId="1478569355">
    <w:abstractNumId w:val="15"/>
  </w:num>
  <w:num w:numId="3" w16cid:durableId="1952978564">
    <w:abstractNumId w:val="24"/>
  </w:num>
  <w:num w:numId="4" w16cid:durableId="1315186126">
    <w:abstractNumId w:val="29"/>
  </w:num>
  <w:num w:numId="5" w16cid:durableId="1309093109">
    <w:abstractNumId w:val="33"/>
  </w:num>
  <w:num w:numId="6" w16cid:durableId="131996089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807759">
    <w:abstractNumId w:val="30"/>
  </w:num>
  <w:num w:numId="8" w16cid:durableId="1008755670">
    <w:abstractNumId w:val="3"/>
  </w:num>
  <w:num w:numId="9" w16cid:durableId="65764095">
    <w:abstractNumId w:val="9"/>
  </w:num>
  <w:num w:numId="10" w16cid:durableId="13496027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80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95747">
    <w:abstractNumId w:val="16"/>
  </w:num>
  <w:num w:numId="13" w16cid:durableId="1145464557">
    <w:abstractNumId w:val="22"/>
  </w:num>
  <w:num w:numId="14" w16cid:durableId="848450862">
    <w:abstractNumId w:val="12"/>
  </w:num>
  <w:num w:numId="15" w16cid:durableId="191215078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23118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212629">
    <w:abstractNumId w:val="35"/>
  </w:num>
  <w:num w:numId="18" w16cid:durableId="718556045">
    <w:abstractNumId w:val="25"/>
  </w:num>
  <w:num w:numId="19" w16cid:durableId="2109496769">
    <w:abstractNumId w:val="8"/>
  </w:num>
  <w:num w:numId="20" w16cid:durableId="1574777690">
    <w:abstractNumId w:val="36"/>
  </w:num>
  <w:num w:numId="21" w16cid:durableId="343829570">
    <w:abstractNumId w:val="27"/>
  </w:num>
  <w:num w:numId="22" w16cid:durableId="1521091477">
    <w:abstractNumId w:val="11"/>
  </w:num>
  <w:num w:numId="23" w16cid:durableId="1406491540">
    <w:abstractNumId w:val="10"/>
  </w:num>
  <w:num w:numId="24" w16cid:durableId="216599317">
    <w:abstractNumId w:val="31"/>
  </w:num>
  <w:num w:numId="25" w16cid:durableId="706416597">
    <w:abstractNumId w:val="19"/>
  </w:num>
  <w:num w:numId="26" w16cid:durableId="270862301">
    <w:abstractNumId w:val="34"/>
  </w:num>
  <w:num w:numId="27" w16cid:durableId="1795712713">
    <w:abstractNumId w:val="38"/>
  </w:num>
  <w:num w:numId="28" w16cid:durableId="969941319">
    <w:abstractNumId w:val="23"/>
  </w:num>
  <w:num w:numId="29" w16cid:durableId="1808891589">
    <w:abstractNumId w:val="2"/>
  </w:num>
  <w:num w:numId="30" w16cid:durableId="1508400274">
    <w:abstractNumId w:val="26"/>
  </w:num>
  <w:num w:numId="31" w16cid:durableId="1848517314">
    <w:abstractNumId w:val="20"/>
  </w:num>
  <w:num w:numId="32" w16cid:durableId="1225678077">
    <w:abstractNumId w:val="28"/>
  </w:num>
  <w:num w:numId="33" w16cid:durableId="283007414">
    <w:abstractNumId w:val="37"/>
  </w:num>
  <w:num w:numId="34" w16cid:durableId="669528079">
    <w:abstractNumId w:val="18"/>
  </w:num>
  <w:num w:numId="35" w16cid:durableId="905913167">
    <w:abstractNumId w:val="1"/>
  </w:num>
  <w:num w:numId="36" w16cid:durableId="1683971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9351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6094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4024974">
    <w:abstractNumId w:val="6"/>
  </w:num>
  <w:num w:numId="40" w16cid:durableId="1655065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6735314">
    <w:abstractNumId w:val="14"/>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31A8"/>
    <w:rsid w:val="00003233"/>
    <w:rsid w:val="000037D0"/>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C6B"/>
    <w:rsid w:val="0001406B"/>
    <w:rsid w:val="000143F8"/>
    <w:rsid w:val="00014624"/>
    <w:rsid w:val="000147ED"/>
    <w:rsid w:val="000159D5"/>
    <w:rsid w:val="00015B44"/>
    <w:rsid w:val="00016081"/>
    <w:rsid w:val="000165AC"/>
    <w:rsid w:val="00016651"/>
    <w:rsid w:val="00016881"/>
    <w:rsid w:val="000171A2"/>
    <w:rsid w:val="00017B65"/>
    <w:rsid w:val="00020158"/>
    <w:rsid w:val="000207E0"/>
    <w:rsid w:val="00020D41"/>
    <w:rsid w:val="00020D87"/>
    <w:rsid w:val="00020F8F"/>
    <w:rsid w:val="00021A95"/>
    <w:rsid w:val="00021C0A"/>
    <w:rsid w:val="00021F62"/>
    <w:rsid w:val="0002256F"/>
    <w:rsid w:val="0002296A"/>
    <w:rsid w:val="00023DAE"/>
    <w:rsid w:val="00023FA5"/>
    <w:rsid w:val="00024592"/>
    <w:rsid w:val="00024896"/>
    <w:rsid w:val="000258A6"/>
    <w:rsid w:val="00026092"/>
    <w:rsid w:val="000263F0"/>
    <w:rsid w:val="00026407"/>
    <w:rsid w:val="000264F6"/>
    <w:rsid w:val="00026608"/>
    <w:rsid w:val="00026B36"/>
    <w:rsid w:val="00026DEB"/>
    <w:rsid w:val="0002738B"/>
    <w:rsid w:val="00027545"/>
    <w:rsid w:val="00027787"/>
    <w:rsid w:val="000277A2"/>
    <w:rsid w:val="000278D2"/>
    <w:rsid w:val="00031384"/>
    <w:rsid w:val="000315E1"/>
    <w:rsid w:val="00031AD9"/>
    <w:rsid w:val="0003236E"/>
    <w:rsid w:val="000323E9"/>
    <w:rsid w:val="00033295"/>
    <w:rsid w:val="00033358"/>
    <w:rsid w:val="0003339A"/>
    <w:rsid w:val="00034134"/>
    <w:rsid w:val="000341F2"/>
    <w:rsid w:val="00034651"/>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6EDB"/>
    <w:rsid w:val="0004716A"/>
    <w:rsid w:val="00047316"/>
    <w:rsid w:val="00047385"/>
    <w:rsid w:val="000473E8"/>
    <w:rsid w:val="000504DE"/>
    <w:rsid w:val="00051074"/>
    <w:rsid w:val="0005211A"/>
    <w:rsid w:val="00052B79"/>
    <w:rsid w:val="00052B86"/>
    <w:rsid w:val="00052EA0"/>
    <w:rsid w:val="000536E3"/>
    <w:rsid w:val="00053EDA"/>
    <w:rsid w:val="00054252"/>
    <w:rsid w:val="0005474D"/>
    <w:rsid w:val="00055CB9"/>
    <w:rsid w:val="00056F66"/>
    <w:rsid w:val="0005702F"/>
    <w:rsid w:val="00057661"/>
    <w:rsid w:val="0005779C"/>
    <w:rsid w:val="00057848"/>
    <w:rsid w:val="00061D06"/>
    <w:rsid w:val="00062289"/>
    <w:rsid w:val="0006294B"/>
    <w:rsid w:val="00062CDD"/>
    <w:rsid w:val="00063FA5"/>
    <w:rsid w:val="000640AF"/>
    <w:rsid w:val="00064940"/>
    <w:rsid w:val="00064CAE"/>
    <w:rsid w:val="00064DB7"/>
    <w:rsid w:val="00064FA7"/>
    <w:rsid w:val="00065195"/>
    <w:rsid w:val="00070AF1"/>
    <w:rsid w:val="000714DE"/>
    <w:rsid w:val="0007254F"/>
    <w:rsid w:val="000726D1"/>
    <w:rsid w:val="00073C30"/>
    <w:rsid w:val="00074305"/>
    <w:rsid w:val="00074B2A"/>
    <w:rsid w:val="00075057"/>
    <w:rsid w:val="00075108"/>
    <w:rsid w:val="00075B3E"/>
    <w:rsid w:val="00076456"/>
    <w:rsid w:val="00076604"/>
    <w:rsid w:val="0007779B"/>
    <w:rsid w:val="000777E7"/>
    <w:rsid w:val="0007790A"/>
    <w:rsid w:val="0008017B"/>
    <w:rsid w:val="00080287"/>
    <w:rsid w:val="00080ACD"/>
    <w:rsid w:val="000811ED"/>
    <w:rsid w:val="00081284"/>
    <w:rsid w:val="0008191B"/>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86B"/>
    <w:rsid w:val="00086B2A"/>
    <w:rsid w:val="00086ED2"/>
    <w:rsid w:val="00090CAE"/>
    <w:rsid w:val="000914D6"/>
    <w:rsid w:val="00091569"/>
    <w:rsid w:val="00092DCA"/>
    <w:rsid w:val="000935F8"/>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67A"/>
    <w:rsid w:val="000A3B49"/>
    <w:rsid w:val="000A41BA"/>
    <w:rsid w:val="000A446A"/>
    <w:rsid w:val="000A5AAF"/>
    <w:rsid w:val="000A5F97"/>
    <w:rsid w:val="000A648E"/>
    <w:rsid w:val="000A73BB"/>
    <w:rsid w:val="000A7EF4"/>
    <w:rsid w:val="000B0A15"/>
    <w:rsid w:val="000B0DF3"/>
    <w:rsid w:val="000B103F"/>
    <w:rsid w:val="000B10D0"/>
    <w:rsid w:val="000B1437"/>
    <w:rsid w:val="000B1470"/>
    <w:rsid w:val="000B2B86"/>
    <w:rsid w:val="000B3051"/>
    <w:rsid w:val="000B419B"/>
    <w:rsid w:val="000B4716"/>
    <w:rsid w:val="000B5781"/>
    <w:rsid w:val="000B5891"/>
    <w:rsid w:val="000B6E4B"/>
    <w:rsid w:val="000B7122"/>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7BB"/>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1AC9"/>
    <w:rsid w:val="000E22CF"/>
    <w:rsid w:val="000E2977"/>
    <w:rsid w:val="000E2B36"/>
    <w:rsid w:val="000E300F"/>
    <w:rsid w:val="000E30AC"/>
    <w:rsid w:val="000E3B46"/>
    <w:rsid w:val="000E3E11"/>
    <w:rsid w:val="000E4596"/>
    <w:rsid w:val="000E5399"/>
    <w:rsid w:val="000E5768"/>
    <w:rsid w:val="000E5843"/>
    <w:rsid w:val="000E6139"/>
    <w:rsid w:val="000E6B73"/>
    <w:rsid w:val="000E6BE1"/>
    <w:rsid w:val="000E7E0B"/>
    <w:rsid w:val="000F078A"/>
    <w:rsid w:val="000F122D"/>
    <w:rsid w:val="000F1450"/>
    <w:rsid w:val="000F14E8"/>
    <w:rsid w:val="000F1BBD"/>
    <w:rsid w:val="000F2739"/>
    <w:rsid w:val="000F3138"/>
    <w:rsid w:val="000F3D39"/>
    <w:rsid w:val="000F4403"/>
    <w:rsid w:val="000F4C3F"/>
    <w:rsid w:val="000F4E17"/>
    <w:rsid w:val="000F636A"/>
    <w:rsid w:val="000F6578"/>
    <w:rsid w:val="000F70CD"/>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2F0"/>
    <w:rsid w:val="001065E4"/>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52"/>
    <w:rsid w:val="00113975"/>
    <w:rsid w:val="00113CFC"/>
    <w:rsid w:val="00113FEA"/>
    <w:rsid w:val="00113FF2"/>
    <w:rsid w:val="00114324"/>
    <w:rsid w:val="0011452E"/>
    <w:rsid w:val="00114A22"/>
    <w:rsid w:val="00114E9D"/>
    <w:rsid w:val="0011507B"/>
    <w:rsid w:val="00115715"/>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D1"/>
    <w:rsid w:val="00137FFA"/>
    <w:rsid w:val="00140109"/>
    <w:rsid w:val="0014029B"/>
    <w:rsid w:val="00140A4F"/>
    <w:rsid w:val="001413AB"/>
    <w:rsid w:val="00141A94"/>
    <w:rsid w:val="001432AF"/>
    <w:rsid w:val="00144335"/>
    <w:rsid w:val="0014502F"/>
    <w:rsid w:val="00145282"/>
    <w:rsid w:val="001453B0"/>
    <w:rsid w:val="001454D9"/>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05"/>
    <w:rsid w:val="00153A18"/>
    <w:rsid w:val="00153BFB"/>
    <w:rsid w:val="0015407E"/>
    <w:rsid w:val="0015448E"/>
    <w:rsid w:val="00154A6F"/>
    <w:rsid w:val="00155D08"/>
    <w:rsid w:val="00156BE5"/>
    <w:rsid w:val="00156FDB"/>
    <w:rsid w:val="00157232"/>
    <w:rsid w:val="00160401"/>
    <w:rsid w:val="00160D4E"/>
    <w:rsid w:val="00161E62"/>
    <w:rsid w:val="00161F1C"/>
    <w:rsid w:val="0016200B"/>
    <w:rsid w:val="00162AEC"/>
    <w:rsid w:val="00163D7A"/>
    <w:rsid w:val="00164281"/>
    <w:rsid w:val="00164AF1"/>
    <w:rsid w:val="001654DF"/>
    <w:rsid w:val="00167503"/>
    <w:rsid w:val="001676A9"/>
    <w:rsid w:val="0016789B"/>
    <w:rsid w:val="00167A15"/>
    <w:rsid w:val="00167A50"/>
    <w:rsid w:val="00167D66"/>
    <w:rsid w:val="00167DF5"/>
    <w:rsid w:val="00170001"/>
    <w:rsid w:val="0017145A"/>
    <w:rsid w:val="00171EE0"/>
    <w:rsid w:val="00172198"/>
    <w:rsid w:val="00172612"/>
    <w:rsid w:val="00172817"/>
    <w:rsid w:val="001734E3"/>
    <w:rsid w:val="0017350E"/>
    <w:rsid w:val="00173754"/>
    <w:rsid w:val="0017391B"/>
    <w:rsid w:val="001742BF"/>
    <w:rsid w:val="001749DF"/>
    <w:rsid w:val="00175E49"/>
    <w:rsid w:val="00176470"/>
    <w:rsid w:val="0017659F"/>
    <w:rsid w:val="00177076"/>
    <w:rsid w:val="001805C1"/>
    <w:rsid w:val="00180A2E"/>
    <w:rsid w:val="001813AF"/>
    <w:rsid w:val="001829CD"/>
    <w:rsid w:val="00182F01"/>
    <w:rsid w:val="00184F27"/>
    <w:rsid w:val="001850E6"/>
    <w:rsid w:val="0018519B"/>
    <w:rsid w:val="00185AFE"/>
    <w:rsid w:val="00185E78"/>
    <w:rsid w:val="00186984"/>
    <w:rsid w:val="00187177"/>
    <w:rsid w:val="00187443"/>
    <w:rsid w:val="00187ABD"/>
    <w:rsid w:val="001904E3"/>
    <w:rsid w:val="0019087A"/>
    <w:rsid w:val="00191395"/>
    <w:rsid w:val="00191C5A"/>
    <w:rsid w:val="00191CEB"/>
    <w:rsid w:val="00191E63"/>
    <w:rsid w:val="00192D68"/>
    <w:rsid w:val="0019388B"/>
    <w:rsid w:val="00193B9A"/>
    <w:rsid w:val="00193F7E"/>
    <w:rsid w:val="001946AE"/>
    <w:rsid w:val="001946D5"/>
    <w:rsid w:val="00194E8C"/>
    <w:rsid w:val="00194EF3"/>
    <w:rsid w:val="001962EC"/>
    <w:rsid w:val="001963DD"/>
    <w:rsid w:val="001965DB"/>
    <w:rsid w:val="00196647"/>
    <w:rsid w:val="00196A9F"/>
    <w:rsid w:val="00196DC9"/>
    <w:rsid w:val="001A0236"/>
    <w:rsid w:val="001A0AF8"/>
    <w:rsid w:val="001A18D5"/>
    <w:rsid w:val="001A1D4A"/>
    <w:rsid w:val="001A2BDB"/>
    <w:rsid w:val="001A3011"/>
    <w:rsid w:val="001A325B"/>
    <w:rsid w:val="001A3FC3"/>
    <w:rsid w:val="001A43C6"/>
    <w:rsid w:val="001A4A08"/>
    <w:rsid w:val="001A4DAF"/>
    <w:rsid w:val="001A652F"/>
    <w:rsid w:val="001A66DF"/>
    <w:rsid w:val="001A67D0"/>
    <w:rsid w:val="001A687E"/>
    <w:rsid w:val="001A6BF1"/>
    <w:rsid w:val="001A7313"/>
    <w:rsid w:val="001A7591"/>
    <w:rsid w:val="001A75B1"/>
    <w:rsid w:val="001B0366"/>
    <w:rsid w:val="001B0444"/>
    <w:rsid w:val="001B096B"/>
    <w:rsid w:val="001B0F9F"/>
    <w:rsid w:val="001B123C"/>
    <w:rsid w:val="001B1A0D"/>
    <w:rsid w:val="001B1BF1"/>
    <w:rsid w:val="001B2456"/>
    <w:rsid w:val="001B40C7"/>
    <w:rsid w:val="001B449C"/>
    <w:rsid w:val="001B4AA2"/>
    <w:rsid w:val="001B4ADE"/>
    <w:rsid w:val="001B5C86"/>
    <w:rsid w:val="001B5EF8"/>
    <w:rsid w:val="001C037A"/>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515"/>
    <w:rsid w:val="001C7C7B"/>
    <w:rsid w:val="001D068D"/>
    <w:rsid w:val="001D0A71"/>
    <w:rsid w:val="001D12D1"/>
    <w:rsid w:val="001D15DF"/>
    <w:rsid w:val="001D2970"/>
    <w:rsid w:val="001D30F3"/>
    <w:rsid w:val="001D31A0"/>
    <w:rsid w:val="001D338E"/>
    <w:rsid w:val="001D3D3F"/>
    <w:rsid w:val="001D408D"/>
    <w:rsid w:val="001D4141"/>
    <w:rsid w:val="001D56E9"/>
    <w:rsid w:val="001D7923"/>
    <w:rsid w:val="001D796A"/>
    <w:rsid w:val="001D7A84"/>
    <w:rsid w:val="001D7C79"/>
    <w:rsid w:val="001E0E15"/>
    <w:rsid w:val="001E1533"/>
    <w:rsid w:val="001E15F0"/>
    <w:rsid w:val="001E1CC4"/>
    <w:rsid w:val="001E1D38"/>
    <w:rsid w:val="001E1DEE"/>
    <w:rsid w:val="001E250D"/>
    <w:rsid w:val="001E4258"/>
    <w:rsid w:val="001E442F"/>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5AE"/>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06C"/>
    <w:rsid w:val="00201F1E"/>
    <w:rsid w:val="0020299B"/>
    <w:rsid w:val="00202E44"/>
    <w:rsid w:val="002037AA"/>
    <w:rsid w:val="00203FE3"/>
    <w:rsid w:val="002042D8"/>
    <w:rsid w:val="00204515"/>
    <w:rsid w:val="00204BF5"/>
    <w:rsid w:val="00204D91"/>
    <w:rsid w:val="00204D9B"/>
    <w:rsid w:val="00204E6B"/>
    <w:rsid w:val="002058D4"/>
    <w:rsid w:val="00205BAA"/>
    <w:rsid w:val="0020632A"/>
    <w:rsid w:val="002064A6"/>
    <w:rsid w:val="0020697F"/>
    <w:rsid w:val="00210430"/>
    <w:rsid w:val="0021096F"/>
    <w:rsid w:val="002110EB"/>
    <w:rsid w:val="00211338"/>
    <w:rsid w:val="00211342"/>
    <w:rsid w:val="00211388"/>
    <w:rsid w:val="0021148C"/>
    <w:rsid w:val="00211694"/>
    <w:rsid w:val="0021201A"/>
    <w:rsid w:val="00213592"/>
    <w:rsid w:val="00213A1F"/>
    <w:rsid w:val="00213C63"/>
    <w:rsid w:val="00214502"/>
    <w:rsid w:val="00214741"/>
    <w:rsid w:val="0021539A"/>
    <w:rsid w:val="00215793"/>
    <w:rsid w:val="00215852"/>
    <w:rsid w:val="00215AC4"/>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710"/>
    <w:rsid w:val="00227A8B"/>
    <w:rsid w:val="0023146B"/>
    <w:rsid w:val="002315A0"/>
    <w:rsid w:val="00231CE0"/>
    <w:rsid w:val="00231DBA"/>
    <w:rsid w:val="00231EC7"/>
    <w:rsid w:val="00232354"/>
    <w:rsid w:val="00232A6C"/>
    <w:rsid w:val="00232E15"/>
    <w:rsid w:val="00233079"/>
    <w:rsid w:val="0023382C"/>
    <w:rsid w:val="00233977"/>
    <w:rsid w:val="00233C58"/>
    <w:rsid w:val="00233C71"/>
    <w:rsid w:val="002345B6"/>
    <w:rsid w:val="00234B84"/>
    <w:rsid w:val="00235D5E"/>
    <w:rsid w:val="00236016"/>
    <w:rsid w:val="00237065"/>
    <w:rsid w:val="00237589"/>
    <w:rsid w:val="0023758D"/>
    <w:rsid w:val="002375A7"/>
    <w:rsid w:val="0024016B"/>
    <w:rsid w:val="0024019A"/>
    <w:rsid w:val="002402A8"/>
    <w:rsid w:val="002411DE"/>
    <w:rsid w:val="0024131D"/>
    <w:rsid w:val="002413B5"/>
    <w:rsid w:val="002414D3"/>
    <w:rsid w:val="002415B8"/>
    <w:rsid w:val="00241618"/>
    <w:rsid w:val="00242D62"/>
    <w:rsid w:val="00243057"/>
    <w:rsid w:val="002431D7"/>
    <w:rsid w:val="00243257"/>
    <w:rsid w:val="00243434"/>
    <w:rsid w:val="00244058"/>
    <w:rsid w:val="00244F9A"/>
    <w:rsid w:val="00245718"/>
    <w:rsid w:val="00245E07"/>
    <w:rsid w:val="00246A5D"/>
    <w:rsid w:val="0024729C"/>
    <w:rsid w:val="00247712"/>
    <w:rsid w:val="00250C45"/>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129B"/>
    <w:rsid w:val="00261560"/>
    <w:rsid w:val="00261715"/>
    <w:rsid w:val="00261CF9"/>
    <w:rsid w:val="00261EC0"/>
    <w:rsid w:val="0026231B"/>
    <w:rsid w:val="00263101"/>
    <w:rsid w:val="00263201"/>
    <w:rsid w:val="00263A37"/>
    <w:rsid w:val="00263EAE"/>
    <w:rsid w:val="00264409"/>
    <w:rsid w:val="002648AB"/>
    <w:rsid w:val="002653A6"/>
    <w:rsid w:val="00265663"/>
    <w:rsid w:val="0026608D"/>
    <w:rsid w:val="002661F1"/>
    <w:rsid w:val="002663BA"/>
    <w:rsid w:val="002664B7"/>
    <w:rsid w:val="00266CB5"/>
    <w:rsid w:val="002711A4"/>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0FE"/>
    <w:rsid w:val="002834E9"/>
    <w:rsid w:val="0028396F"/>
    <w:rsid w:val="00283A52"/>
    <w:rsid w:val="00283C5E"/>
    <w:rsid w:val="00283E26"/>
    <w:rsid w:val="0028428F"/>
    <w:rsid w:val="00284CFC"/>
    <w:rsid w:val="0028565E"/>
    <w:rsid w:val="00285832"/>
    <w:rsid w:val="00285969"/>
    <w:rsid w:val="0028663B"/>
    <w:rsid w:val="00286CEC"/>
    <w:rsid w:val="002871A9"/>
    <w:rsid w:val="00287A05"/>
    <w:rsid w:val="00287B7E"/>
    <w:rsid w:val="00290781"/>
    <w:rsid w:val="002912D3"/>
    <w:rsid w:val="00291784"/>
    <w:rsid w:val="002929BB"/>
    <w:rsid w:val="00292E64"/>
    <w:rsid w:val="002932BA"/>
    <w:rsid w:val="00293669"/>
    <w:rsid w:val="00294368"/>
    <w:rsid w:val="00294B78"/>
    <w:rsid w:val="00295646"/>
    <w:rsid w:val="00295949"/>
    <w:rsid w:val="0029624A"/>
    <w:rsid w:val="00296922"/>
    <w:rsid w:val="0029697C"/>
    <w:rsid w:val="00296EAF"/>
    <w:rsid w:val="00297098"/>
    <w:rsid w:val="002A05D4"/>
    <w:rsid w:val="002A09FF"/>
    <w:rsid w:val="002A0C01"/>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5A80"/>
    <w:rsid w:val="002A6AFB"/>
    <w:rsid w:val="002A6E3A"/>
    <w:rsid w:val="002A733D"/>
    <w:rsid w:val="002A774A"/>
    <w:rsid w:val="002A7AFB"/>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73B0"/>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704D"/>
    <w:rsid w:val="002D0845"/>
    <w:rsid w:val="002D0933"/>
    <w:rsid w:val="002D0F58"/>
    <w:rsid w:val="002D1866"/>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A01"/>
    <w:rsid w:val="002E7FCF"/>
    <w:rsid w:val="002F0073"/>
    <w:rsid w:val="002F0618"/>
    <w:rsid w:val="002F1D41"/>
    <w:rsid w:val="002F240B"/>
    <w:rsid w:val="002F2F50"/>
    <w:rsid w:val="002F3601"/>
    <w:rsid w:val="002F45F6"/>
    <w:rsid w:val="002F692F"/>
    <w:rsid w:val="002F69BE"/>
    <w:rsid w:val="002F7B66"/>
    <w:rsid w:val="00300101"/>
    <w:rsid w:val="00300AC1"/>
    <w:rsid w:val="00300CB4"/>
    <w:rsid w:val="00300DE7"/>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8E7"/>
    <w:rsid w:val="00311A1F"/>
    <w:rsid w:val="00311B47"/>
    <w:rsid w:val="00311D52"/>
    <w:rsid w:val="00312190"/>
    <w:rsid w:val="003125E0"/>
    <w:rsid w:val="00312606"/>
    <w:rsid w:val="0031271D"/>
    <w:rsid w:val="0031336A"/>
    <w:rsid w:val="00313447"/>
    <w:rsid w:val="00313748"/>
    <w:rsid w:val="003138A4"/>
    <w:rsid w:val="00313EA3"/>
    <w:rsid w:val="0031447D"/>
    <w:rsid w:val="0031496A"/>
    <w:rsid w:val="00315457"/>
    <w:rsid w:val="003161A4"/>
    <w:rsid w:val="00316955"/>
    <w:rsid w:val="0031720A"/>
    <w:rsid w:val="0031749B"/>
    <w:rsid w:val="003174E5"/>
    <w:rsid w:val="00317C9D"/>
    <w:rsid w:val="00317CD2"/>
    <w:rsid w:val="00317D99"/>
    <w:rsid w:val="00317EA2"/>
    <w:rsid w:val="0032078D"/>
    <w:rsid w:val="003209BE"/>
    <w:rsid w:val="00320A6E"/>
    <w:rsid w:val="00320F34"/>
    <w:rsid w:val="0032137B"/>
    <w:rsid w:val="003214F7"/>
    <w:rsid w:val="00321BD6"/>
    <w:rsid w:val="00321FA3"/>
    <w:rsid w:val="003227D3"/>
    <w:rsid w:val="003228EB"/>
    <w:rsid w:val="00322937"/>
    <w:rsid w:val="00322A46"/>
    <w:rsid w:val="00322A84"/>
    <w:rsid w:val="00323881"/>
    <w:rsid w:val="00323B73"/>
    <w:rsid w:val="003254F5"/>
    <w:rsid w:val="00325D98"/>
    <w:rsid w:val="0032682A"/>
    <w:rsid w:val="00327A5C"/>
    <w:rsid w:val="0033092C"/>
    <w:rsid w:val="0033122A"/>
    <w:rsid w:val="003315AC"/>
    <w:rsid w:val="00331932"/>
    <w:rsid w:val="0033245D"/>
    <w:rsid w:val="00333A88"/>
    <w:rsid w:val="00333FFB"/>
    <w:rsid w:val="00335B15"/>
    <w:rsid w:val="00335B21"/>
    <w:rsid w:val="00335D3F"/>
    <w:rsid w:val="00336104"/>
    <w:rsid w:val="00336729"/>
    <w:rsid w:val="00336AB1"/>
    <w:rsid w:val="0033726D"/>
    <w:rsid w:val="00337362"/>
    <w:rsid w:val="00337807"/>
    <w:rsid w:val="00337CA8"/>
    <w:rsid w:val="00337EAD"/>
    <w:rsid w:val="0034125B"/>
    <w:rsid w:val="0034177C"/>
    <w:rsid w:val="00342345"/>
    <w:rsid w:val="00342B56"/>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54F"/>
    <w:rsid w:val="003525E7"/>
    <w:rsid w:val="0035273A"/>
    <w:rsid w:val="00352D59"/>
    <w:rsid w:val="003533F4"/>
    <w:rsid w:val="003536F6"/>
    <w:rsid w:val="00353DD5"/>
    <w:rsid w:val="00354A64"/>
    <w:rsid w:val="00355131"/>
    <w:rsid w:val="00355462"/>
    <w:rsid w:val="00356438"/>
    <w:rsid w:val="00356687"/>
    <w:rsid w:val="00357107"/>
    <w:rsid w:val="0036098D"/>
    <w:rsid w:val="003609C4"/>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971"/>
    <w:rsid w:val="00373F04"/>
    <w:rsid w:val="0037401C"/>
    <w:rsid w:val="00374A1E"/>
    <w:rsid w:val="0037507B"/>
    <w:rsid w:val="003759D1"/>
    <w:rsid w:val="00375C7C"/>
    <w:rsid w:val="003762F6"/>
    <w:rsid w:val="00377027"/>
    <w:rsid w:val="00377135"/>
    <w:rsid w:val="0037718A"/>
    <w:rsid w:val="00380272"/>
    <w:rsid w:val="00380355"/>
    <w:rsid w:val="00380576"/>
    <w:rsid w:val="003805DB"/>
    <w:rsid w:val="003813F4"/>
    <w:rsid w:val="0038152A"/>
    <w:rsid w:val="00382BAD"/>
    <w:rsid w:val="00383A8D"/>
    <w:rsid w:val="00384CD6"/>
    <w:rsid w:val="00384DF1"/>
    <w:rsid w:val="00384FF3"/>
    <w:rsid w:val="00386456"/>
    <w:rsid w:val="003865A9"/>
    <w:rsid w:val="00387642"/>
    <w:rsid w:val="003902B1"/>
    <w:rsid w:val="003903B6"/>
    <w:rsid w:val="00390F32"/>
    <w:rsid w:val="0039135E"/>
    <w:rsid w:val="0039200F"/>
    <w:rsid w:val="0039319C"/>
    <w:rsid w:val="003938CD"/>
    <w:rsid w:val="00393CAE"/>
    <w:rsid w:val="003945DC"/>
    <w:rsid w:val="003945F4"/>
    <w:rsid w:val="00394BAE"/>
    <w:rsid w:val="00394EB5"/>
    <w:rsid w:val="0039539A"/>
    <w:rsid w:val="003953B4"/>
    <w:rsid w:val="0039615F"/>
    <w:rsid w:val="00396675"/>
    <w:rsid w:val="00396A29"/>
    <w:rsid w:val="00397FF0"/>
    <w:rsid w:val="003A07D9"/>
    <w:rsid w:val="003A0878"/>
    <w:rsid w:val="003A10DE"/>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1F7F"/>
    <w:rsid w:val="003B2885"/>
    <w:rsid w:val="003B2EF3"/>
    <w:rsid w:val="003B3676"/>
    <w:rsid w:val="003B4B1C"/>
    <w:rsid w:val="003B4CB2"/>
    <w:rsid w:val="003B534F"/>
    <w:rsid w:val="003B5391"/>
    <w:rsid w:val="003B5952"/>
    <w:rsid w:val="003B65D7"/>
    <w:rsid w:val="003B65E0"/>
    <w:rsid w:val="003B6BD4"/>
    <w:rsid w:val="003B6E93"/>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73C7"/>
    <w:rsid w:val="003D0195"/>
    <w:rsid w:val="003D03F3"/>
    <w:rsid w:val="003D050B"/>
    <w:rsid w:val="003D0B98"/>
    <w:rsid w:val="003D0C3C"/>
    <w:rsid w:val="003D0DE5"/>
    <w:rsid w:val="003D1351"/>
    <w:rsid w:val="003D21C1"/>
    <w:rsid w:val="003D3707"/>
    <w:rsid w:val="003D3B15"/>
    <w:rsid w:val="003D3B2E"/>
    <w:rsid w:val="003D484D"/>
    <w:rsid w:val="003D49CB"/>
    <w:rsid w:val="003D4BD6"/>
    <w:rsid w:val="003D5960"/>
    <w:rsid w:val="003D6412"/>
    <w:rsid w:val="003D6B8F"/>
    <w:rsid w:val="003D72CF"/>
    <w:rsid w:val="003D7566"/>
    <w:rsid w:val="003D7708"/>
    <w:rsid w:val="003D7C2F"/>
    <w:rsid w:val="003E08B3"/>
    <w:rsid w:val="003E09BB"/>
    <w:rsid w:val="003E159D"/>
    <w:rsid w:val="003E20EA"/>
    <w:rsid w:val="003E210C"/>
    <w:rsid w:val="003E27ED"/>
    <w:rsid w:val="003E2913"/>
    <w:rsid w:val="003E2F55"/>
    <w:rsid w:val="003E317C"/>
    <w:rsid w:val="003E34DB"/>
    <w:rsid w:val="003E3833"/>
    <w:rsid w:val="003E3902"/>
    <w:rsid w:val="003E3AF9"/>
    <w:rsid w:val="003E412A"/>
    <w:rsid w:val="003E4A70"/>
    <w:rsid w:val="003E4C48"/>
    <w:rsid w:val="003E4CD9"/>
    <w:rsid w:val="003E54B3"/>
    <w:rsid w:val="003E5780"/>
    <w:rsid w:val="003E5B9F"/>
    <w:rsid w:val="003E6072"/>
    <w:rsid w:val="003E62C1"/>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3F7FCA"/>
    <w:rsid w:val="00400002"/>
    <w:rsid w:val="00400054"/>
    <w:rsid w:val="004016A3"/>
    <w:rsid w:val="00401B31"/>
    <w:rsid w:val="0040202B"/>
    <w:rsid w:val="00402DE1"/>
    <w:rsid w:val="00402EEB"/>
    <w:rsid w:val="004037C2"/>
    <w:rsid w:val="00404041"/>
    <w:rsid w:val="00404B43"/>
    <w:rsid w:val="00404C61"/>
    <w:rsid w:val="00405487"/>
    <w:rsid w:val="004054B1"/>
    <w:rsid w:val="00405792"/>
    <w:rsid w:val="0040602B"/>
    <w:rsid w:val="00407A7A"/>
    <w:rsid w:val="00407ABC"/>
    <w:rsid w:val="00407F1E"/>
    <w:rsid w:val="00410A88"/>
    <w:rsid w:val="004112B5"/>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6879"/>
    <w:rsid w:val="00417089"/>
    <w:rsid w:val="004170D7"/>
    <w:rsid w:val="004177A6"/>
    <w:rsid w:val="00417EFD"/>
    <w:rsid w:val="004200EE"/>
    <w:rsid w:val="004209D2"/>
    <w:rsid w:val="00420D6E"/>
    <w:rsid w:val="00421BD2"/>
    <w:rsid w:val="00421E00"/>
    <w:rsid w:val="00421FCB"/>
    <w:rsid w:val="00421FF6"/>
    <w:rsid w:val="0042261B"/>
    <w:rsid w:val="00422DCA"/>
    <w:rsid w:val="00423F9F"/>
    <w:rsid w:val="0042499B"/>
    <w:rsid w:val="00424FEC"/>
    <w:rsid w:val="00425444"/>
    <w:rsid w:val="00425C43"/>
    <w:rsid w:val="00426C69"/>
    <w:rsid w:val="004273FA"/>
    <w:rsid w:val="00430186"/>
    <w:rsid w:val="00430730"/>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68C3"/>
    <w:rsid w:val="0044772C"/>
    <w:rsid w:val="004502AA"/>
    <w:rsid w:val="004507BD"/>
    <w:rsid w:val="00450846"/>
    <w:rsid w:val="00450B1A"/>
    <w:rsid w:val="004510BD"/>
    <w:rsid w:val="0045159C"/>
    <w:rsid w:val="00451A52"/>
    <w:rsid w:val="00451FC8"/>
    <w:rsid w:val="0045271D"/>
    <w:rsid w:val="00452755"/>
    <w:rsid w:val="00452803"/>
    <w:rsid w:val="004529C6"/>
    <w:rsid w:val="00452EAD"/>
    <w:rsid w:val="004531D5"/>
    <w:rsid w:val="004533D1"/>
    <w:rsid w:val="004534D1"/>
    <w:rsid w:val="00453A53"/>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3CF"/>
    <w:rsid w:val="0046361D"/>
    <w:rsid w:val="004638E2"/>
    <w:rsid w:val="00463E31"/>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ACB"/>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4074"/>
    <w:rsid w:val="004843F9"/>
    <w:rsid w:val="00484F0F"/>
    <w:rsid w:val="00484F40"/>
    <w:rsid w:val="0048540C"/>
    <w:rsid w:val="0048592F"/>
    <w:rsid w:val="0048605E"/>
    <w:rsid w:val="004861B4"/>
    <w:rsid w:val="00486741"/>
    <w:rsid w:val="00486AB4"/>
    <w:rsid w:val="00486BD0"/>
    <w:rsid w:val="00486D00"/>
    <w:rsid w:val="00487263"/>
    <w:rsid w:val="0048734F"/>
    <w:rsid w:val="0049029D"/>
    <w:rsid w:val="0049030C"/>
    <w:rsid w:val="004903C0"/>
    <w:rsid w:val="0049105E"/>
    <w:rsid w:val="0049114B"/>
    <w:rsid w:val="004912A8"/>
    <w:rsid w:val="00491577"/>
    <w:rsid w:val="0049196E"/>
    <w:rsid w:val="0049241A"/>
    <w:rsid w:val="00492C1F"/>
    <w:rsid w:val="00492E4C"/>
    <w:rsid w:val="00493B2C"/>
    <w:rsid w:val="00493E04"/>
    <w:rsid w:val="004940E3"/>
    <w:rsid w:val="004942DE"/>
    <w:rsid w:val="0049530F"/>
    <w:rsid w:val="00495980"/>
    <w:rsid w:val="00496664"/>
    <w:rsid w:val="00496786"/>
    <w:rsid w:val="0049695B"/>
    <w:rsid w:val="00496D8F"/>
    <w:rsid w:val="00497463"/>
    <w:rsid w:val="00497B15"/>
    <w:rsid w:val="00497BA8"/>
    <w:rsid w:val="004A054C"/>
    <w:rsid w:val="004A08D1"/>
    <w:rsid w:val="004A16C1"/>
    <w:rsid w:val="004A172B"/>
    <w:rsid w:val="004A1CE2"/>
    <w:rsid w:val="004A2069"/>
    <w:rsid w:val="004A2800"/>
    <w:rsid w:val="004A34D2"/>
    <w:rsid w:val="004A41BA"/>
    <w:rsid w:val="004A4301"/>
    <w:rsid w:val="004A4E65"/>
    <w:rsid w:val="004A58EE"/>
    <w:rsid w:val="004A59B7"/>
    <w:rsid w:val="004A623B"/>
    <w:rsid w:val="004A6A04"/>
    <w:rsid w:val="004A6A52"/>
    <w:rsid w:val="004A6C78"/>
    <w:rsid w:val="004A79F2"/>
    <w:rsid w:val="004B0F0B"/>
    <w:rsid w:val="004B1501"/>
    <w:rsid w:val="004B163F"/>
    <w:rsid w:val="004B2197"/>
    <w:rsid w:val="004B298A"/>
    <w:rsid w:val="004B459F"/>
    <w:rsid w:val="004B578D"/>
    <w:rsid w:val="004B5BE7"/>
    <w:rsid w:val="004B5E2D"/>
    <w:rsid w:val="004B5ED5"/>
    <w:rsid w:val="004B6793"/>
    <w:rsid w:val="004B6C07"/>
    <w:rsid w:val="004B74D3"/>
    <w:rsid w:val="004B76D3"/>
    <w:rsid w:val="004B788E"/>
    <w:rsid w:val="004B79B3"/>
    <w:rsid w:val="004B7E5D"/>
    <w:rsid w:val="004C0DD8"/>
    <w:rsid w:val="004C22F7"/>
    <w:rsid w:val="004C2B27"/>
    <w:rsid w:val="004C3929"/>
    <w:rsid w:val="004C3D09"/>
    <w:rsid w:val="004C4DCB"/>
    <w:rsid w:val="004C5212"/>
    <w:rsid w:val="004C5464"/>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041"/>
    <w:rsid w:val="004D61E1"/>
    <w:rsid w:val="004D6826"/>
    <w:rsid w:val="004D6D5E"/>
    <w:rsid w:val="004E023F"/>
    <w:rsid w:val="004E02DB"/>
    <w:rsid w:val="004E0742"/>
    <w:rsid w:val="004E0C64"/>
    <w:rsid w:val="004E0F6B"/>
    <w:rsid w:val="004E1545"/>
    <w:rsid w:val="004E1F1C"/>
    <w:rsid w:val="004E2A35"/>
    <w:rsid w:val="004E40CE"/>
    <w:rsid w:val="004E4465"/>
    <w:rsid w:val="004E518D"/>
    <w:rsid w:val="004E5736"/>
    <w:rsid w:val="004E5B36"/>
    <w:rsid w:val="004E6045"/>
    <w:rsid w:val="004E615C"/>
    <w:rsid w:val="004E6F43"/>
    <w:rsid w:val="004E7200"/>
    <w:rsid w:val="004F034D"/>
    <w:rsid w:val="004F091D"/>
    <w:rsid w:val="004F0960"/>
    <w:rsid w:val="004F0A5C"/>
    <w:rsid w:val="004F163F"/>
    <w:rsid w:val="004F18A0"/>
    <w:rsid w:val="004F1A08"/>
    <w:rsid w:val="004F2B64"/>
    <w:rsid w:val="004F3764"/>
    <w:rsid w:val="004F3EEF"/>
    <w:rsid w:val="004F47D0"/>
    <w:rsid w:val="004F4B65"/>
    <w:rsid w:val="004F4DA2"/>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16C7"/>
    <w:rsid w:val="0050284E"/>
    <w:rsid w:val="00505DCB"/>
    <w:rsid w:val="005075CA"/>
    <w:rsid w:val="0051074C"/>
    <w:rsid w:val="00510DE9"/>
    <w:rsid w:val="005111E2"/>
    <w:rsid w:val="00511231"/>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065"/>
    <w:rsid w:val="00520899"/>
    <w:rsid w:val="00520922"/>
    <w:rsid w:val="005209FC"/>
    <w:rsid w:val="00520E50"/>
    <w:rsid w:val="005224E5"/>
    <w:rsid w:val="005226BE"/>
    <w:rsid w:val="005235ED"/>
    <w:rsid w:val="00523903"/>
    <w:rsid w:val="005239B6"/>
    <w:rsid w:val="00523C45"/>
    <w:rsid w:val="00524165"/>
    <w:rsid w:val="005242BA"/>
    <w:rsid w:val="005246E7"/>
    <w:rsid w:val="00524FD2"/>
    <w:rsid w:val="00525621"/>
    <w:rsid w:val="00525B2E"/>
    <w:rsid w:val="00526431"/>
    <w:rsid w:val="005265D8"/>
    <w:rsid w:val="005272AC"/>
    <w:rsid w:val="00527440"/>
    <w:rsid w:val="00527C6B"/>
    <w:rsid w:val="00527E57"/>
    <w:rsid w:val="00530405"/>
    <w:rsid w:val="00530522"/>
    <w:rsid w:val="005305E5"/>
    <w:rsid w:val="00530F38"/>
    <w:rsid w:val="00531F26"/>
    <w:rsid w:val="0053277C"/>
    <w:rsid w:val="005327C0"/>
    <w:rsid w:val="00533101"/>
    <w:rsid w:val="005336C5"/>
    <w:rsid w:val="00533CA9"/>
    <w:rsid w:val="00533DA7"/>
    <w:rsid w:val="005342A3"/>
    <w:rsid w:val="005346AD"/>
    <w:rsid w:val="00534C25"/>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42EC"/>
    <w:rsid w:val="00564704"/>
    <w:rsid w:val="00564712"/>
    <w:rsid w:val="00564ED5"/>
    <w:rsid w:val="005657A8"/>
    <w:rsid w:val="00565952"/>
    <w:rsid w:val="00565D27"/>
    <w:rsid w:val="00566866"/>
    <w:rsid w:val="005670A5"/>
    <w:rsid w:val="00567106"/>
    <w:rsid w:val="00567723"/>
    <w:rsid w:val="00567AB8"/>
    <w:rsid w:val="00567C02"/>
    <w:rsid w:val="005707F7"/>
    <w:rsid w:val="00570A26"/>
    <w:rsid w:val="0057170B"/>
    <w:rsid w:val="0057221F"/>
    <w:rsid w:val="00572539"/>
    <w:rsid w:val="0057337D"/>
    <w:rsid w:val="00573504"/>
    <w:rsid w:val="00574708"/>
    <w:rsid w:val="00574D81"/>
    <w:rsid w:val="005756AA"/>
    <w:rsid w:val="00575FB1"/>
    <w:rsid w:val="00576043"/>
    <w:rsid w:val="00576233"/>
    <w:rsid w:val="0057696F"/>
    <w:rsid w:val="005771B1"/>
    <w:rsid w:val="005774FE"/>
    <w:rsid w:val="0058040C"/>
    <w:rsid w:val="00580918"/>
    <w:rsid w:val="00580A56"/>
    <w:rsid w:val="00580D6D"/>
    <w:rsid w:val="005813DE"/>
    <w:rsid w:val="00581796"/>
    <w:rsid w:val="00581B45"/>
    <w:rsid w:val="00582480"/>
    <w:rsid w:val="00582763"/>
    <w:rsid w:val="0058290E"/>
    <w:rsid w:val="00582B72"/>
    <w:rsid w:val="00582CAB"/>
    <w:rsid w:val="00583121"/>
    <w:rsid w:val="0058375E"/>
    <w:rsid w:val="00584233"/>
    <w:rsid w:val="005842D0"/>
    <w:rsid w:val="005855AE"/>
    <w:rsid w:val="00585829"/>
    <w:rsid w:val="00585CA8"/>
    <w:rsid w:val="00586412"/>
    <w:rsid w:val="005864B9"/>
    <w:rsid w:val="005866C4"/>
    <w:rsid w:val="00586BDB"/>
    <w:rsid w:val="005909B1"/>
    <w:rsid w:val="00590F1A"/>
    <w:rsid w:val="00591C03"/>
    <w:rsid w:val="00591E2A"/>
    <w:rsid w:val="005923C4"/>
    <w:rsid w:val="00592B56"/>
    <w:rsid w:val="00593F75"/>
    <w:rsid w:val="005940A0"/>
    <w:rsid w:val="00594257"/>
    <w:rsid w:val="0059429A"/>
    <w:rsid w:val="00595FDD"/>
    <w:rsid w:val="00596AF7"/>
    <w:rsid w:val="00596CCE"/>
    <w:rsid w:val="00597096"/>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4F02"/>
    <w:rsid w:val="005A5A3D"/>
    <w:rsid w:val="005A5C25"/>
    <w:rsid w:val="005A6035"/>
    <w:rsid w:val="005A6B75"/>
    <w:rsid w:val="005A6E00"/>
    <w:rsid w:val="005A718A"/>
    <w:rsid w:val="005B0891"/>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1FA"/>
    <w:rsid w:val="005D53E8"/>
    <w:rsid w:val="005D5A26"/>
    <w:rsid w:val="005D5A9D"/>
    <w:rsid w:val="005D60D4"/>
    <w:rsid w:val="005D6651"/>
    <w:rsid w:val="005D691D"/>
    <w:rsid w:val="005D6A72"/>
    <w:rsid w:val="005D7035"/>
    <w:rsid w:val="005D7147"/>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E7BED"/>
    <w:rsid w:val="005F041F"/>
    <w:rsid w:val="005F1216"/>
    <w:rsid w:val="005F1819"/>
    <w:rsid w:val="005F1D7D"/>
    <w:rsid w:val="005F1D89"/>
    <w:rsid w:val="005F22AB"/>
    <w:rsid w:val="005F305B"/>
    <w:rsid w:val="005F3361"/>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BC7"/>
    <w:rsid w:val="00604D3F"/>
    <w:rsid w:val="0060580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981"/>
    <w:rsid w:val="00621D0C"/>
    <w:rsid w:val="00622470"/>
    <w:rsid w:val="00622725"/>
    <w:rsid w:val="006231AA"/>
    <w:rsid w:val="00623482"/>
    <w:rsid w:val="00623AC2"/>
    <w:rsid w:val="00623FF7"/>
    <w:rsid w:val="006240EF"/>
    <w:rsid w:val="0062471F"/>
    <w:rsid w:val="00624C21"/>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6B20"/>
    <w:rsid w:val="00646D0F"/>
    <w:rsid w:val="0064708F"/>
    <w:rsid w:val="00647936"/>
    <w:rsid w:val="00647A36"/>
    <w:rsid w:val="00647DCC"/>
    <w:rsid w:val="00647EFA"/>
    <w:rsid w:val="00647F14"/>
    <w:rsid w:val="00650027"/>
    <w:rsid w:val="00650533"/>
    <w:rsid w:val="00650DE0"/>
    <w:rsid w:val="006513FF"/>
    <w:rsid w:val="00651B9C"/>
    <w:rsid w:val="00651C47"/>
    <w:rsid w:val="00651D98"/>
    <w:rsid w:val="00652854"/>
    <w:rsid w:val="00652D2C"/>
    <w:rsid w:val="00652E70"/>
    <w:rsid w:val="0065303A"/>
    <w:rsid w:val="00653091"/>
    <w:rsid w:val="0065339A"/>
    <w:rsid w:val="00653469"/>
    <w:rsid w:val="00653FD4"/>
    <w:rsid w:val="00654A38"/>
    <w:rsid w:val="00654B4B"/>
    <w:rsid w:val="00655301"/>
    <w:rsid w:val="00655371"/>
    <w:rsid w:val="0065566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781"/>
    <w:rsid w:val="00667ED8"/>
    <w:rsid w:val="0067060F"/>
    <w:rsid w:val="0067064C"/>
    <w:rsid w:val="00670B20"/>
    <w:rsid w:val="00670E12"/>
    <w:rsid w:val="00672971"/>
    <w:rsid w:val="00672DE7"/>
    <w:rsid w:val="00672E80"/>
    <w:rsid w:val="006739E4"/>
    <w:rsid w:val="00673ECF"/>
    <w:rsid w:val="0067426B"/>
    <w:rsid w:val="00674A1B"/>
    <w:rsid w:val="006754F8"/>
    <w:rsid w:val="00676127"/>
    <w:rsid w:val="00676AED"/>
    <w:rsid w:val="006776AC"/>
    <w:rsid w:val="00677981"/>
    <w:rsid w:val="006779B2"/>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803"/>
    <w:rsid w:val="006A6B0B"/>
    <w:rsid w:val="006A6BF9"/>
    <w:rsid w:val="006A6F85"/>
    <w:rsid w:val="006A7CB5"/>
    <w:rsid w:val="006A7FD0"/>
    <w:rsid w:val="006B025C"/>
    <w:rsid w:val="006B16D3"/>
    <w:rsid w:val="006B2534"/>
    <w:rsid w:val="006B2CB2"/>
    <w:rsid w:val="006B347D"/>
    <w:rsid w:val="006B3E19"/>
    <w:rsid w:val="006B4488"/>
    <w:rsid w:val="006B671C"/>
    <w:rsid w:val="006B67AC"/>
    <w:rsid w:val="006B6A25"/>
    <w:rsid w:val="006B7285"/>
    <w:rsid w:val="006B786A"/>
    <w:rsid w:val="006B7E4E"/>
    <w:rsid w:val="006C003A"/>
    <w:rsid w:val="006C1871"/>
    <w:rsid w:val="006C1C1B"/>
    <w:rsid w:val="006C2454"/>
    <w:rsid w:val="006C2551"/>
    <w:rsid w:val="006C3746"/>
    <w:rsid w:val="006C37CA"/>
    <w:rsid w:val="006C3889"/>
    <w:rsid w:val="006C40B7"/>
    <w:rsid w:val="006C40D2"/>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130"/>
    <w:rsid w:val="006E155A"/>
    <w:rsid w:val="006E3452"/>
    <w:rsid w:val="006E39D1"/>
    <w:rsid w:val="006E437F"/>
    <w:rsid w:val="006E4D5B"/>
    <w:rsid w:val="006E602F"/>
    <w:rsid w:val="006E6720"/>
    <w:rsid w:val="006E68FA"/>
    <w:rsid w:val="006E7275"/>
    <w:rsid w:val="006E77B8"/>
    <w:rsid w:val="006F15CC"/>
    <w:rsid w:val="006F1C44"/>
    <w:rsid w:val="006F3171"/>
    <w:rsid w:val="006F3BDD"/>
    <w:rsid w:val="006F4147"/>
    <w:rsid w:val="006F4315"/>
    <w:rsid w:val="006F4478"/>
    <w:rsid w:val="006F458D"/>
    <w:rsid w:val="006F4A6D"/>
    <w:rsid w:val="006F4CB0"/>
    <w:rsid w:val="006F4F78"/>
    <w:rsid w:val="006F547E"/>
    <w:rsid w:val="006F5656"/>
    <w:rsid w:val="006F5CA8"/>
    <w:rsid w:val="006F5CCF"/>
    <w:rsid w:val="006F6A47"/>
    <w:rsid w:val="006F772B"/>
    <w:rsid w:val="006F78DC"/>
    <w:rsid w:val="006F7E39"/>
    <w:rsid w:val="00700D5F"/>
    <w:rsid w:val="0070138A"/>
    <w:rsid w:val="0070157E"/>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1EE1"/>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210A9"/>
    <w:rsid w:val="00721BFF"/>
    <w:rsid w:val="00722376"/>
    <w:rsid w:val="00722FD8"/>
    <w:rsid w:val="007236C4"/>
    <w:rsid w:val="00723B59"/>
    <w:rsid w:val="00724635"/>
    <w:rsid w:val="0072554B"/>
    <w:rsid w:val="00725AFD"/>
    <w:rsid w:val="00725F81"/>
    <w:rsid w:val="00726603"/>
    <w:rsid w:val="00727DDC"/>
    <w:rsid w:val="0073000A"/>
    <w:rsid w:val="00730CD6"/>
    <w:rsid w:val="00730F74"/>
    <w:rsid w:val="0073114B"/>
    <w:rsid w:val="00734414"/>
    <w:rsid w:val="00734952"/>
    <w:rsid w:val="00734990"/>
    <w:rsid w:val="00734FF5"/>
    <w:rsid w:val="00735761"/>
    <w:rsid w:val="00735B78"/>
    <w:rsid w:val="00735DA7"/>
    <w:rsid w:val="007367B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2ABF"/>
    <w:rsid w:val="007537BD"/>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200D"/>
    <w:rsid w:val="0076228A"/>
    <w:rsid w:val="00762440"/>
    <w:rsid w:val="007629B7"/>
    <w:rsid w:val="00762E60"/>
    <w:rsid w:val="007634AD"/>
    <w:rsid w:val="00763527"/>
    <w:rsid w:val="0076387E"/>
    <w:rsid w:val="00763EA4"/>
    <w:rsid w:val="00764996"/>
    <w:rsid w:val="00766ECC"/>
    <w:rsid w:val="007672F3"/>
    <w:rsid w:val="007676A9"/>
    <w:rsid w:val="007677B5"/>
    <w:rsid w:val="007678B1"/>
    <w:rsid w:val="00770317"/>
    <w:rsid w:val="007708A8"/>
    <w:rsid w:val="00772275"/>
    <w:rsid w:val="00773350"/>
    <w:rsid w:val="00773484"/>
    <w:rsid w:val="007734E4"/>
    <w:rsid w:val="0077380D"/>
    <w:rsid w:val="0077393F"/>
    <w:rsid w:val="00773BC8"/>
    <w:rsid w:val="0077466F"/>
    <w:rsid w:val="007752B7"/>
    <w:rsid w:val="007759A8"/>
    <w:rsid w:val="00775D98"/>
    <w:rsid w:val="00776FE5"/>
    <w:rsid w:val="00777101"/>
    <w:rsid w:val="007774E7"/>
    <w:rsid w:val="0077768C"/>
    <w:rsid w:val="00777696"/>
    <w:rsid w:val="00777E63"/>
    <w:rsid w:val="00777F46"/>
    <w:rsid w:val="00777FF4"/>
    <w:rsid w:val="00780251"/>
    <w:rsid w:val="007804FE"/>
    <w:rsid w:val="00780F32"/>
    <w:rsid w:val="0078122E"/>
    <w:rsid w:val="00781939"/>
    <w:rsid w:val="00781D29"/>
    <w:rsid w:val="007825EF"/>
    <w:rsid w:val="007827B0"/>
    <w:rsid w:val="0078286B"/>
    <w:rsid w:val="00782D2C"/>
    <w:rsid w:val="00782FC2"/>
    <w:rsid w:val="007838B5"/>
    <w:rsid w:val="00784FC4"/>
    <w:rsid w:val="00785BBB"/>
    <w:rsid w:val="00786FAD"/>
    <w:rsid w:val="007873C9"/>
    <w:rsid w:val="00787D90"/>
    <w:rsid w:val="00787F5E"/>
    <w:rsid w:val="00790164"/>
    <w:rsid w:val="007906E2"/>
    <w:rsid w:val="00790A24"/>
    <w:rsid w:val="00790A37"/>
    <w:rsid w:val="00790A60"/>
    <w:rsid w:val="0079146D"/>
    <w:rsid w:val="007917AD"/>
    <w:rsid w:val="00791C32"/>
    <w:rsid w:val="00791E08"/>
    <w:rsid w:val="00791FF0"/>
    <w:rsid w:val="007923D0"/>
    <w:rsid w:val="0079302C"/>
    <w:rsid w:val="007930D3"/>
    <w:rsid w:val="0079381F"/>
    <w:rsid w:val="00793B2E"/>
    <w:rsid w:val="007942C3"/>
    <w:rsid w:val="007943FC"/>
    <w:rsid w:val="007948F5"/>
    <w:rsid w:val="00795647"/>
    <w:rsid w:val="007963F6"/>
    <w:rsid w:val="00796418"/>
    <w:rsid w:val="00796485"/>
    <w:rsid w:val="00796576"/>
    <w:rsid w:val="00796E80"/>
    <w:rsid w:val="007977F1"/>
    <w:rsid w:val="007979AD"/>
    <w:rsid w:val="00797A9C"/>
    <w:rsid w:val="007A0EAB"/>
    <w:rsid w:val="007A2341"/>
    <w:rsid w:val="007A38A1"/>
    <w:rsid w:val="007A3967"/>
    <w:rsid w:val="007A3BBE"/>
    <w:rsid w:val="007A4629"/>
    <w:rsid w:val="007A4766"/>
    <w:rsid w:val="007A5816"/>
    <w:rsid w:val="007A5947"/>
    <w:rsid w:val="007B00D8"/>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0C17"/>
    <w:rsid w:val="007C13FA"/>
    <w:rsid w:val="007C1672"/>
    <w:rsid w:val="007C2AD3"/>
    <w:rsid w:val="007C312A"/>
    <w:rsid w:val="007C3570"/>
    <w:rsid w:val="007C3F3B"/>
    <w:rsid w:val="007C4241"/>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693"/>
    <w:rsid w:val="007D3C6D"/>
    <w:rsid w:val="007D409B"/>
    <w:rsid w:val="007D481A"/>
    <w:rsid w:val="007D5402"/>
    <w:rsid w:val="007D5648"/>
    <w:rsid w:val="007D58C5"/>
    <w:rsid w:val="007D5DE8"/>
    <w:rsid w:val="007D7503"/>
    <w:rsid w:val="007D7CFC"/>
    <w:rsid w:val="007D7FFC"/>
    <w:rsid w:val="007E0812"/>
    <w:rsid w:val="007E16A4"/>
    <w:rsid w:val="007E18DF"/>
    <w:rsid w:val="007E2A04"/>
    <w:rsid w:val="007E2C36"/>
    <w:rsid w:val="007E2F33"/>
    <w:rsid w:val="007E342A"/>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5F90"/>
    <w:rsid w:val="007F616E"/>
    <w:rsid w:val="007F665F"/>
    <w:rsid w:val="007F6B46"/>
    <w:rsid w:val="007F72CB"/>
    <w:rsid w:val="007F736A"/>
    <w:rsid w:val="007F75F1"/>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554"/>
    <w:rsid w:val="00807666"/>
    <w:rsid w:val="00807C35"/>
    <w:rsid w:val="00807F69"/>
    <w:rsid w:val="008100EC"/>
    <w:rsid w:val="008100F7"/>
    <w:rsid w:val="00810206"/>
    <w:rsid w:val="00811898"/>
    <w:rsid w:val="008120C4"/>
    <w:rsid w:val="008124D8"/>
    <w:rsid w:val="0081323E"/>
    <w:rsid w:val="00813A7B"/>
    <w:rsid w:val="00813F04"/>
    <w:rsid w:val="00814B72"/>
    <w:rsid w:val="00814D88"/>
    <w:rsid w:val="008150B1"/>
    <w:rsid w:val="00815A07"/>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5240"/>
    <w:rsid w:val="00825B43"/>
    <w:rsid w:val="0082629D"/>
    <w:rsid w:val="00827203"/>
    <w:rsid w:val="0082767A"/>
    <w:rsid w:val="00827CC0"/>
    <w:rsid w:val="008309D9"/>
    <w:rsid w:val="00831026"/>
    <w:rsid w:val="0083119B"/>
    <w:rsid w:val="00831654"/>
    <w:rsid w:val="00831BAE"/>
    <w:rsid w:val="00832216"/>
    <w:rsid w:val="00832CD0"/>
    <w:rsid w:val="00833430"/>
    <w:rsid w:val="00834128"/>
    <w:rsid w:val="0083417F"/>
    <w:rsid w:val="00835143"/>
    <w:rsid w:val="008351F8"/>
    <w:rsid w:val="00835741"/>
    <w:rsid w:val="00836404"/>
    <w:rsid w:val="00836E74"/>
    <w:rsid w:val="00836EAB"/>
    <w:rsid w:val="00837673"/>
    <w:rsid w:val="00837937"/>
    <w:rsid w:val="00837D82"/>
    <w:rsid w:val="00840893"/>
    <w:rsid w:val="008409EC"/>
    <w:rsid w:val="00840E88"/>
    <w:rsid w:val="008412C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804"/>
    <w:rsid w:val="00847B6D"/>
    <w:rsid w:val="00847FFA"/>
    <w:rsid w:val="0085092D"/>
    <w:rsid w:val="00850D82"/>
    <w:rsid w:val="00850F79"/>
    <w:rsid w:val="0085100B"/>
    <w:rsid w:val="0085304C"/>
    <w:rsid w:val="00853973"/>
    <w:rsid w:val="00853B5D"/>
    <w:rsid w:val="00854853"/>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5127"/>
    <w:rsid w:val="008657C6"/>
    <w:rsid w:val="0086633B"/>
    <w:rsid w:val="00866495"/>
    <w:rsid w:val="00866931"/>
    <w:rsid w:val="00866FEF"/>
    <w:rsid w:val="00867326"/>
    <w:rsid w:val="00867512"/>
    <w:rsid w:val="0087033C"/>
    <w:rsid w:val="00870B44"/>
    <w:rsid w:val="008712E8"/>
    <w:rsid w:val="008715ED"/>
    <w:rsid w:val="008717D8"/>
    <w:rsid w:val="00871E3C"/>
    <w:rsid w:val="0087213A"/>
    <w:rsid w:val="00872B54"/>
    <w:rsid w:val="00872F97"/>
    <w:rsid w:val="00873863"/>
    <w:rsid w:val="0087392A"/>
    <w:rsid w:val="00873CE1"/>
    <w:rsid w:val="00874607"/>
    <w:rsid w:val="00874915"/>
    <w:rsid w:val="00874B89"/>
    <w:rsid w:val="008752DA"/>
    <w:rsid w:val="00875403"/>
    <w:rsid w:val="00875434"/>
    <w:rsid w:val="00876215"/>
    <w:rsid w:val="0087646C"/>
    <w:rsid w:val="00876815"/>
    <w:rsid w:val="00877932"/>
    <w:rsid w:val="008807F0"/>
    <w:rsid w:val="008808C7"/>
    <w:rsid w:val="0088106B"/>
    <w:rsid w:val="0088107D"/>
    <w:rsid w:val="008812E2"/>
    <w:rsid w:val="00881596"/>
    <w:rsid w:val="0088168A"/>
    <w:rsid w:val="00881E64"/>
    <w:rsid w:val="00882A3F"/>
    <w:rsid w:val="00882E39"/>
    <w:rsid w:val="008850E3"/>
    <w:rsid w:val="008850EB"/>
    <w:rsid w:val="00886DF2"/>
    <w:rsid w:val="00886FB9"/>
    <w:rsid w:val="00887080"/>
    <w:rsid w:val="00887BC5"/>
    <w:rsid w:val="00887C79"/>
    <w:rsid w:val="008907CC"/>
    <w:rsid w:val="00890F8E"/>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5C08"/>
    <w:rsid w:val="00895FD3"/>
    <w:rsid w:val="0089606D"/>
    <w:rsid w:val="00896129"/>
    <w:rsid w:val="008965DF"/>
    <w:rsid w:val="0089774F"/>
    <w:rsid w:val="00897875"/>
    <w:rsid w:val="00897B2E"/>
    <w:rsid w:val="00897B8F"/>
    <w:rsid w:val="008A00D8"/>
    <w:rsid w:val="008A00D9"/>
    <w:rsid w:val="008A07D5"/>
    <w:rsid w:val="008A20C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3A08"/>
    <w:rsid w:val="008B47A6"/>
    <w:rsid w:val="008B6649"/>
    <w:rsid w:val="008B672C"/>
    <w:rsid w:val="008B7611"/>
    <w:rsid w:val="008C036D"/>
    <w:rsid w:val="008C0743"/>
    <w:rsid w:val="008C0B4C"/>
    <w:rsid w:val="008C11F0"/>
    <w:rsid w:val="008C1DBA"/>
    <w:rsid w:val="008C20B8"/>
    <w:rsid w:val="008C24E7"/>
    <w:rsid w:val="008C2500"/>
    <w:rsid w:val="008C2792"/>
    <w:rsid w:val="008C2CAC"/>
    <w:rsid w:val="008C3E2A"/>
    <w:rsid w:val="008C3FFC"/>
    <w:rsid w:val="008C45BD"/>
    <w:rsid w:val="008C4B19"/>
    <w:rsid w:val="008C5295"/>
    <w:rsid w:val="008C568F"/>
    <w:rsid w:val="008C62D4"/>
    <w:rsid w:val="008C6924"/>
    <w:rsid w:val="008C6B89"/>
    <w:rsid w:val="008C6DE3"/>
    <w:rsid w:val="008D09E3"/>
    <w:rsid w:val="008D18AA"/>
    <w:rsid w:val="008D1A16"/>
    <w:rsid w:val="008D1A2A"/>
    <w:rsid w:val="008D29B1"/>
    <w:rsid w:val="008D2EB5"/>
    <w:rsid w:val="008D30D2"/>
    <w:rsid w:val="008D35D9"/>
    <w:rsid w:val="008D3B85"/>
    <w:rsid w:val="008D4527"/>
    <w:rsid w:val="008D462D"/>
    <w:rsid w:val="008D51F2"/>
    <w:rsid w:val="008D66CA"/>
    <w:rsid w:val="008D69B1"/>
    <w:rsid w:val="008D7338"/>
    <w:rsid w:val="008E0012"/>
    <w:rsid w:val="008E0DF7"/>
    <w:rsid w:val="008E0FAD"/>
    <w:rsid w:val="008E1347"/>
    <w:rsid w:val="008E16E0"/>
    <w:rsid w:val="008E1836"/>
    <w:rsid w:val="008E1C15"/>
    <w:rsid w:val="008E1C9A"/>
    <w:rsid w:val="008E23C7"/>
    <w:rsid w:val="008E28BD"/>
    <w:rsid w:val="008E38B4"/>
    <w:rsid w:val="008E3BA4"/>
    <w:rsid w:val="008E41C4"/>
    <w:rsid w:val="008E44AB"/>
    <w:rsid w:val="008E5179"/>
    <w:rsid w:val="008E6598"/>
    <w:rsid w:val="008E6A17"/>
    <w:rsid w:val="008E7214"/>
    <w:rsid w:val="008E7348"/>
    <w:rsid w:val="008E7884"/>
    <w:rsid w:val="008E7D6E"/>
    <w:rsid w:val="008F0737"/>
    <w:rsid w:val="008F1056"/>
    <w:rsid w:val="008F2E8D"/>
    <w:rsid w:val="008F3374"/>
    <w:rsid w:val="008F387B"/>
    <w:rsid w:val="008F3DD9"/>
    <w:rsid w:val="008F4814"/>
    <w:rsid w:val="008F4B91"/>
    <w:rsid w:val="008F4DA6"/>
    <w:rsid w:val="008F538E"/>
    <w:rsid w:val="008F59B4"/>
    <w:rsid w:val="008F5A20"/>
    <w:rsid w:val="008F5ABA"/>
    <w:rsid w:val="008F6CF9"/>
    <w:rsid w:val="008F78EC"/>
    <w:rsid w:val="008F7905"/>
    <w:rsid w:val="008F7989"/>
    <w:rsid w:val="009026AF"/>
    <w:rsid w:val="009028E8"/>
    <w:rsid w:val="00902E5C"/>
    <w:rsid w:val="0090350D"/>
    <w:rsid w:val="009039EB"/>
    <w:rsid w:val="009046E5"/>
    <w:rsid w:val="009047C5"/>
    <w:rsid w:val="009058D1"/>
    <w:rsid w:val="00905C04"/>
    <w:rsid w:val="00906BE2"/>
    <w:rsid w:val="009070AA"/>
    <w:rsid w:val="00910683"/>
    <w:rsid w:val="00910E00"/>
    <w:rsid w:val="009111AE"/>
    <w:rsid w:val="009116CE"/>
    <w:rsid w:val="00911714"/>
    <w:rsid w:val="00911A5B"/>
    <w:rsid w:val="0091244B"/>
    <w:rsid w:val="009136D4"/>
    <w:rsid w:val="00913857"/>
    <w:rsid w:val="00914B9A"/>
    <w:rsid w:val="00914C3F"/>
    <w:rsid w:val="00914DEF"/>
    <w:rsid w:val="00914F33"/>
    <w:rsid w:val="009153F6"/>
    <w:rsid w:val="00915FCE"/>
    <w:rsid w:val="00916AFE"/>
    <w:rsid w:val="00916FC8"/>
    <w:rsid w:val="009170D3"/>
    <w:rsid w:val="0091759C"/>
    <w:rsid w:val="00917910"/>
    <w:rsid w:val="00920026"/>
    <w:rsid w:val="0092032F"/>
    <w:rsid w:val="009203E2"/>
    <w:rsid w:val="00921304"/>
    <w:rsid w:val="00921805"/>
    <w:rsid w:val="00921BA7"/>
    <w:rsid w:val="00923396"/>
    <w:rsid w:val="00923F56"/>
    <w:rsid w:val="00923FA6"/>
    <w:rsid w:val="009246C4"/>
    <w:rsid w:val="00925743"/>
    <w:rsid w:val="0092579F"/>
    <w:rsid w:val="00927E8D"/>
    <w:rsid w:val="00927F23"/>
    <w:rsid w:val="00930698"/>
    <w:rsid w:val="00930727"/>
    <w:rsid w:val="009307CD"/>
    <w:rsid w:val="009311D1"/>
    <w:rsid w:val="00931451"/>
    <w:rsid w:val="009314FA"/>
    <w:rsid w:val="0093194F"/>
    <w:rsid w:val="00931BF3"/>
    <w:rsid w:val="00931C55"/>
    <w:rsid w:val="009330BE"/>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49F9"/>
    <w:rsid w:val="009451CE"/>
    <w:rsid w:val="00945812"/>
    <w:rsid w:val="00945E18"/>
    <w:rsid w:val="009460F9"/>
    <w:rsid w:val="00946A24"/>
    <w:rsid w:val="009470D4"/>
    <w:rsid w:val="00947337"/>
    <w:rsid w:val="00947AA9"/>
    <w:rsid w:val="009512FA"/>
    <w:rsid w:val="00951E57"/>
    <w:rsid w:val="00953018"/>
    <w:rsid w:val="009533E2"/>
    <w:rsid w:val="00953554"/>
    <w:rsid w:val="0095385A"/>
    <w:rsid w:val="00953928"/>
    <w:rsid w:val="009540F0"/>
    <w:rsid w:val="00955163"/>
    <w:rsid w:val="00955463"/>
    <w:rsid w:val="00955906"/>
    <w:rsid w:val="00955978"/>
    <w:rsid w:val="00956127"/>
    <w:rsid w:val="00957010"/>
    <w:rsid w:val="009574FE"/>
    <w:rsid w:val="0095780A"/>
    <w:rsid w:val="009579E4"/>
    <w:rsid w:val="00957AA4"/>
    <w:rsid w:val="00957ACB"/>
    <w:rsid w:val="00957E21"/>
    <w:rsid w:val="00957F27"/>
    <w:rsid w:val="009609F0"/>
    <w:rsid w:val="00960BDB"/>
    <w:rsid w:val="00960DBD"/>
    <w:rsid w:val="0096147D"/>
    <w:rsid w:val="00961E5F"/>
    <w:rsid w:val="009625C6"/>
    <w:rsid w:val="009629B5"/>
    <w:rsid w:val="00962A50"/>
    <w:rsid w:val="00962E25"/>
    <w:rsid w:val="00962F47"/>
    <w:rsid w:val="009631BD"/>
    <w:rsid w:val="00964138"/>
    <w:rsid w:val="00964B3F"/>
    <w:rsid w:val="00964C98"/>
    <w:rsid w:val="00964D5B"/>
    <w:rsid w:val="00964E0A"/>
    <w:rsid w:val="00966214"/>
    <w:rsid w:val="00971441"/>
    <w:rsid w:val="009715D4"/>
    <w:rsid w:val="00971AC8"/>
    <w:rsid w:val="00972470"/>
    <w:rsid w:val="009739A9"/>
    <w:rsid w:val="00973AA2"/>
    <w:rsid w:val="00973DF6"/>
    <w:rsid w:val="0097494E"/>
    <w:rsid w:val="00974B58"/>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C77"/>
    <w:rsid w:val="00990345"/>
    <w:rsid w:val="00990701"/>
    <w:rsid w:val="0099090B"/>
    <w:rsid w:val="00990BC7"/>
    <w:rsid w:val="0099119C"/>
    <w:rsid w:val="0099137A"/>
    <w:rsid w:val="00991805"/>
    <w:rsid w:val="0099211C"/>
    <w:rsid w:val="00993B78"/>
    <w:rsid w:val="0099483A"/>
    <w:rsid w:val="00995119"/>
    <w:rsid w:val="009953AD"/>
    <w:rsid w:val="00995503"/>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0D1"/>
    <w:rsid w:val="009A6CA7"/>
    <w:rsid w:val="009A6FDF"/>
    <w:rsid w:val="009A76D6"/>
    <w:rsid w:val="009B01D3"/>
    <w:rsid w:val="009B0522"/>
    <w:rsid w:val="009B199E"/>
    <w:rsid w:val="009B27AC"/>
    <w:rsid w:val="009B2E29"/>
    <w:rsid w:val="009B3163"/>
    <w:rsid w:val="009B422F"/>
    <w:rsid w:val="009B46BC"/>
    <w:rsid w:val="009B4D1A"/>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76A"/>
    <w:rsid w:val="009E4E05"/>
    <w:rsid w:val="009E52D9"/>
    <w:rsid w:val="009E56FF"/>
    <w:rsid w:val="009E5CB1"/>
    <w:rsid w:val="009E5E56"/>
    <w:rsid w:val="009E61EA"/>
    <w:rsid w:val="009E6990"/>
    <w:rsid w:val="009E6FEE"/>
    <w:rsid w:val="009F060F"/>
    <w:rsid w:val="009F0781"/>
    <w:rsid w:val="009F0850"/>
    <w:rsid w:val="009F11B2"/>
    <w:rsid w:val="009F1BDF"/>
    <w:rsid w:val="009F1EAE"/>
    <w:rsid w:val="009F29A5"/>
    <w:rsid w:val="009F3429"/>
    <w:rsid w:val="009F369D"/>
    <w:rsid w:val="009F36FE"/>
    <w:rsid w:val="009F46A9"/>
    <w:rsid w:val="009F4F25"/>
    <w:rsid w:val="009F59C2"/>
    <w:rsid w:val="009F61DE"/>
    <w:rsid w:val="009F7263"/>
    <w:rsid w:val="009F76EA"/>
    <w:rsid w:val="009F78EB"/>
    <w:rsid w:val="009F7D10"/>
    <w:rsid w:val="009F7F32"/>
    <w:rsid w:val="009F7FEB"/>
    <w:rsid w:val="00A01852"/>
    <w:rsid w:val="00A0188B"/>
    <w:rsid w:val="00A01E73"/>
    <w:rsid w:val="00A023E7"/>
    <w:rsid w:val="00A02B88"/>
    <w:rsid w:val="00A02C37"/>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091"/>
    <w:rsid w:val="00A12355"/>
    <w:rsid w:val="00A12384"/>
    <w:rsid w:val="00A127A3"/>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714"/>
    <w:rsid w:val="00A57EB2"/>
    <w:rsid w:val="00A6009E"/>
    <w:rsid w:val="00A60762"/>
    <w:rsid w:val="00A60B1F"/>
    <w:rsid w:val="00A61C60"/>
    <w:rsid w:val="00A61F10"/>
    <w:rsid w:val="00A62589"/>
    <w:rsid w:val="00A62C3A"/>
    <w:rsid w:val="00A63812"/>
    <w:rsid w:val="00A63DF7"/>
    <w:rsid w:val="00A64505"/>
    <w:rsid w:val="00A65CC5"/>
    <w:rsid w:val="00A668BA"/>
    <w:rsid w:val="00A66FA7"/>
    <w:rsid w:val="00A677F6"/>
    <w:rsid w:val="00A67E16"/>
    <w:rsid w:val="00A703CC"/>
    <w:rsid w:val="00A70C5C"/>
    <w:rsid w:val="00A71EA7"/>
    <w:rsid w:val="00A730AD"/>
    <w:rsid w:val="00A733D2"/>
    <w:rsid w:val="00A73855"/>
    <w:rsid w:val="00A73D1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E0B"/>
    <w:rsid w:val="00A9069B"/>
    <w:rsid w:val="00A90F12"/>
    <w:rsid w:val="00A9106F"/>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3D7B"/>
    <w:rsid w:val="00AA42A0"/>
    <w:rsid w:val="00AA42E3"/>
    <w:rsid w:val="00AA442B"/>
    <w:rsid w:val="00AA46A4"/>
    <w:rsid w:val="00AA5687"/>
    <w:rsid w:val="00AA5779"/>
    <w:rsid w:val="00AA58A1"/>
    <w:rsid w:val="00AA61C7"/>
    <w:rsid w:val="00AA669D"/>
    <w:rsid w:val="00AA66ED"/>
    <w:rsid w:val="00AA6BE1"/>
    <w:rsid w:val="00AA7416"/>
    <w:rsid w:val="00AA7619"/>
    <w:rsid w:val="00AA7A60"/>
    <w:rsid w:val="00AA7B42"/>
    <w:rsid w:val="00AB041C"/>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5BC4"/>
    <w:rsid w:val="00AB5DB2"/>
    <w:rsid w:val="00AB724B"/>
    <w:rsid w:val="00AB726C"/>
    <w:rsid w:val="00AB72B4"/>
    <w:rsid w:val="00AC01FD"/>
    <w:rsid w:val="00AC02AA"/>
    <w:rsid w:val="00AC0537"/>
    <w:rsid w:val="00AC0A84"/>
    <w:rsid w:val="00AC264D"/>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EFA"/>
    <w:rsid w:val="00AD2072"/>
    <w:rsid w:val="00AD2808"/>
    <w:rsid w:val="00AD2DBD"/>
    <w:rsid w:val="00AD2FBF"/>
    <w:rsid w:val="00AD416B"/>
    <w:rsid w:val="00AD455D"/>
    <w:rsid w:val="00AD463C"/>
    <w:rsid w:val="00AD46A2"/>
    <w:rsid w:val="00AD47E8"/>
    <w:rsid w:val="00AD4F60"/>
    <w:rsid w:val="00AD5044"/>
    <w:rsid w:val="00AD5114"/>
    <w:rsid w:val="00AD6236"/>
    <w:rsid w:val="00AD67E6"/>
    <w:rsid w:val="00AD7619"/>
    <w:rsid w:val="00AD7770"/>
    <w:rsid w:val="00AE04A1"/>
    <w:rsid w:val="00AE0D1C"/>
    <w:rsid w:val="00AE1772"/>
    <w:rsid w:val="00AE1990"/>
    <w:rsid w:val="00AE2523"/>
    <w:rsid w:val="00AE25E8"/>
    <w:rsid w:val="00AE2631"/>
    <w:rsid w:val="00AE2AD4"/>
    <w:rsid w:val="00AE2BD9"/>
    <w:rsid w:val="00AE2CA7"/>
    <w:rsid w:val="00AE2F1D"/>
    <w:rsid w:val="00AE4B2B"/>
    <w:rsid w:val="00AE586F"/>
    <w:rsid w:val="00AE5A78"/>
    <w:rsid w:val="00AE6582"/>
    <w:rsid w:val="00AE6DC5"/>
    <w:rsid w:val="00AE73D7"/>
    <w:rsid w:val="00AE7686"/>
    <w:rsid w:val="00AE799A"/>
    <w:rsid w:val="00AF078E"/>
    <w:rsid w:val="00AF0E81"/>
    <w:rsid w:val="00AF117A"/>
    <w:rsid w:val="00AF186E"/>
    <w:rsid w:val="00AF19DF"/>
    <w:rsid w:val="00AF1F4F"/>
    <w:rsid w:val="00AF26CF"/>
    <w:rsid w:val="00AF47D5"/>
    <w:rsid w:val="00AF4E92"/>
    <w:rsid w:val="00AF554B"/>
    <w:rsid w:val="00AF5C9B"/>
    <w:rsid w:val="00AF5D53"/>
    <w:rsid w:val="00AF5E2D"/>
    <w:rsid w:val="00AF625B"/>
    <w:rsid w:val="00AF644B"/>
    <w:rsid w:val="00AF6CA6"/>
    <w:rsid w:val="00AF6EB6"/>
    <w:rsid w:val="00AF7796"/>
    <w:rsid w:val="00B011A9"/>
    <w:rsid w:val="00B024ED"/>
    <w:rsid w:val="00B02C4A"/>
    <w:rsid w:val="00B02EB3"/>
    <w:rsid w:val="00B02FCB"/>
    <w:rsid w:val="00B033F8"/>
    <w:rsid w:val="00B03C1E"/>
    <w:rsid w:val="00B04400"/>
    <w:rsid w:val="00B04835"/>
    <w:rsid w:val="00B05A55"/>
    <w:rsid w:val="00B05DE1"/>
    <w:rsid w:val="00B06595"/>
    <w:rsid w:val="00B10109"/>
    <w:rsid w:val="00B1053C"/>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77D"/>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1AD4"/>
    <w:rsid w:val="00B228D1"/>
    <w:rsid w:val="00B22C58"/>
    <w:rsid w:val="00B22E22"/>
    <w:rsid w:val="00B22F5F"/>
    <w:rsid w:val="00B23813"/>
    <w:rsid w:val="00B23FD9"/>
    <w:rsid w:val="00B24591"/>
    <w:rsid w:val="00B245D5"/>
    <w:rsid w:val="00B24C36"/>
    <w:rsid w:val="00B24D49"/>
    <w:rsid w:val="00B24F94"/>
    <w:rsid w:val="00B25126"/>
    <w:rsid w:val="00B25A52"/>
    <w:rsid w:val="00B25B0A"/>
    <w:rsid w:val="00B25FC3"/>
    <w:rsid w:val="00B26CC4"/>
    <w:rsid w:val="00B27026"/>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37F8"/>
    <w:rsid w:val="00B4387A"/>
    <w:rsid w:val="00B44196"/>
    <w:rsid w:val="00B44260"/>
    <w:rsid w:val="00B44746"/>
    <w:rsid w:val="00B44854"/>
    <w:rsid w:val="00B453FE"/>
    <w:rsid w:val="00B458D0"/>
    <w:rsid w:val="00B46120"/>
    <w:rsid w:val="00B47040"/>
    <w:rsid w:val="00B4792C"/>
    <w:rsid w:val="00B50CAE"/>
    <w:rsid w:val="00B512AD"/>
    <w:rsid w:val="00B5196C"/>
    <w:rsid w:val="00B525CB"/>
    <w:rsid w:val="00B52697"/>
    <w:rsid w:val="00B53E7C"/>
    <w:rsid w:val="00B54D8F"/>
    <w:rsid w:val="00B55857"/>
    <w:rsid w:val="00B55C69"/>
    <w:rsid w:val="00B56851"/>
    <w:rsid w:val="00B56A6A"/>
    <w:rsid w:val="00B56D6E"/>
    <w:rsid w:val="00B572F7"/>
    <w:rsid w:val="00B57B9D"/>
    <w:rsid w:val="00B57DAF"/>
    <w:rsid w:val="00B60094"/>
    <w:rsid w:val="00B6022C"/>
    <w:rsid w:val="00B60867"/>
    <w:rsid w:val="00B614F8"/>
    <w:rsid w:val="00B61994"/>
    <w:rsid w:val="00B61FD4"/>
    <w:rsid w:val="00B62880"/>
    <w:rsid w:val="00B63872"/>
    <w:rsid w:val="00B63B64"/>
    <w:rsid w:val="00B63CB2"/>
    <w:rsid w:val="00B63F51"/>
    <w:rsid w:val="00B6416D"/>
    <w:rsid w:val="00B64246"/>
    <w:rsid w:val="00B64EDB"/>
    <w:rsid w:val="00B651CB"/>
    <w:rsid w:val="00B65379"/>
    <w:rsid w:val="00B654D3"/>
    <w:rsid w:val="00B65938"/>
    <w:rsid w:val="00B65C8A"/>
    <w:rsid w:val="00B65CE2"/>
    <w:rsid w:val="00B65CED"/>
    <w:rsid w:val="00B660AD"/>
    <w:rsid w:val="00B66109"/>
    <w:rsid w:val="00B66349"/>
    <w:rsid w:val="00B67630"/>
    <w:rsid w:val="00B67FBF"/>
    <w:rsid w:val="00B7024E"/>
    <w:rsid w:val="00B71ECC"/>
    <w:rsid w:val="00B71FA7"/>
    <w:rsid w:val="00B72110"/>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6F"/>
    <w:rsid w:val="00B82123"/>
    <w:rsid w:val="00B8225B"/>
    <w:rsid w:val="00B82BB5"/>
    <w:rsid w:val="00B83182"/>
    <w:rsid w:val="00B83811"/>
    <w:rsid w:val="00B84684"/>
    <w:rsid w:val="00B84866"/>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A87"/>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C54"/>
    <w:rsid w:val="00BA1382"/>
    <w:rsid w:val="00BA1EFD"/>
    <w:rsid w:val="00BA20D8"/>
    <w:rsid w:val="00BA22FC"/>
    <w:rsid w:val="00BA2D78"/>
    <w:rsid w:val="00BA2F30"/>
    <w:rsid w:val="00BA4771"/>
    <w:rsid w:val="00BA4DA4"/>
    <w:rsid w:val="00BA5027"/>
    <w:rsid w:val="00BA665B"/>
    <w:rsid w:val="00BA7370"/>
    <w:rsid w:val="00BA778B"/>
    <w:rsid w:val="00BB0888"/>
    <w:rsid w:val="00BB0DF1"/>
    <w:rsid w:val="00BB0E9B"/>
    <w:rsid w:val="00BB2729"/>
    <w:rsid w:val="00BB2841"/>
    <w:rsid w:val="00BB300F"/>
    <w:rsid w:val="00BB32C9"/>
    <w:rsid w:val="00BB35C5"/>
    <w:rsid w:val="00BB43A7"/>
    <w:rsid w:val="00BB47D0"/>
    <w:rsid w:val="00BB4C8E"/>
    <w:rsid w:val="00BB57ED"/>
    <w:rsid w:val="00BB65C3"/>
    <w:rsid w:val="00BB662E"/>
    <w:rsid w:val="00BB67A9"/>
    <w:rsid w:val="00BB6C01"/>
    <w:rsid w:val="00BB6C4C"/>
    <w:rsid w:val="00BB7942"/>
    <w:rsid w:val="00BB7CD1"/>
    <w:rsid w:val="00BC0F33"/>
    <w:rsid w:val="00BC14A7"/>
    <w:rsid w:val="00BC1611"/>
    <w:rsid w:val="00BC1632"/>
    <w:rsid w:val="00BC17CC"/>
    <w:rsid w:val="00BC229E"/>
    <w:rsid w:val="00BC23C0"/>
    <w:rsid w:val="00BC2898"/>
    <w:rsid w:val="00BC28E1"/>
    <w:rsid w:val="00BC2928"/>
    <w:rsid w:val="00BC2AA9"/>
    <w:rsid w:val="00BC2BB1"/>
    <w:rsid w:val="00BC34A3"/>
    <w:rsid w:val="00BC3FF9"/>
    <w:rsid w:val="00BC4834"/>
    <w:rsid w:val="00BC4A97"/>
    <w:rsid w:val="00BC5A25"/>
    <w:rsid w:val="00BC5FDD"/>
    <w:rsid w:val="00BC68B4"/>
    <w:rsid w:val="00BC6C2D"/>
    <w:rsid w:val="00BC7B9A"/>
    <w:rsid w:val="00BD00A9"/>
    <w:rsid w:val="00BD0140"/>
    <w:rsid w:val="00BD02CC"/>
    <w:rsid w:val="00BD1675"/>
    <w:rsid w:val="00BD2063"/>
    <w:rsid w:val="00BD33D9"/>
    <w:rsid w:val="00BD38C5"/>
    <w:rsid w:val="00BD3A59"/>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D44"/>
    <w:rsid w:val="00BF1DD2"/>
    <w:rsid w:val="00BF1FDE"/>
    <w:rsid w:val="00BF23A3"/>
    <w:rsid w:val="00BF28DB"/>
    <w:rsid w:val="00BF2A7E"/>
    <w:rsid w:val="00BF3331"/>
    <w:rsid w:val="00BF3A45"/>
    <w:rsid w:val="00BF436F"/>
    <w:rsid w:val="00BF4EC5"/>
    <w:rsid w:val="00BF5723"/>
    <w:rsid w:val="00BF5C05"/>
    <w:rsid w:val="00BF60C8"/>
    <w:rsid w:val="00BF64F0"/>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408"/>
    <w:rsid w:val="00C125C1"/>
    <w:rsid w:val="00C1299A"/>
    <w:rsid w:val="00C12F05"/>
    <w:rsid w:val="00C12FB3"/>
    <w:rsid w:val="00C138BC"/>
    <w:rsid w:val="00C13D85"/>
    <w:rsid w:val="00C14639"/>
    <w:rsid w:val="00C14E82"/>
    <w:rsid w:val="00C14FF6"/>
    <w:rsid w:val="00C150A6"/>
    <w:rsid w:val="00C15A85"/>
    <w:rsid w:val="00C1641B"/>
    <w:rsid w:val="00C165FC"/>
    <w:rsid w:val="00C176D5"/>
    <w:rsid w:val="00C2082C"/>
    <w:rsid w:val="00C20832"/>
    <w:rsid w:val="00C209F7"/>
    <w:rsid w:val="00C20EB0"/>
    <w:rsid w:val="00C21005"/>
    <w:rsid w:val="00C2183B"/>
    <w:rsid w:val="00C220B6"/>
    <w:rsid w:val="00C229E0"/>
    <w:rsid w:val="00C22D7C"/>
    <w:rsid w:val="00C22DDE"/>
    <w:rsid w:val="00C2338B"/>
    <w:rsid w:val="00C233CE"/>
    <w:rsid w:val="00C23661"/>
    <w:rsid w:val="00C236AE"/>
    <w:rsid w:val="00C237DD"/>
    <w:rsid w:val="00C238F4"/>
    <w:rsid w:val="00C23924"/>
    <w:rsid w:val="00C23A99"/>
    <w:rsid w:val="00C245EE"/>
    <w:rsid w:val="00C2475A"/>
    <w:rsid w:val="00C24AE1"/>
    <w:rsid w:val="00C24B8D"/>
    <w:rsid w:val="00C24BD7"/>
    <w:rsid w:val="00C252CC"/>
    <w:rsid w:val="00C25813"/>
    <w:rsid w:val="00C27143"/>
    <w:rsid w:val="00C27490"/>
    <w:rsid w:val="00C27A55"/>
    <w:rsid w:val="00C27D37"/>
    <w:rsid w:val="00C27FB2"/>
    <w:rsid w:val="00C302E5"/>
    <w:rsid w:val="00C309E8"/>
    <w:rsid w:val="00C31846"/>
    <w:rsid w:val="00C32017"/>
    <w:rsid w:val="00C325CD"/>
    <w:rsid w:val="00C3322E"/>
    <w:rsid w:val="00C337F5"/>
    <w:rsid w:val="00C33B90"/>
    <w:rsid w:val="00C34350"/>
    <w:rsid w:val="00C34B5F"/>
    <w:rsid w:val="00C3543E"/>
    <w:rsid w:val="00C358D4"/>
    <w:rsid w:val="00C36785"/>
    <w:rsid w:val="00C36845"/>
    <w:rsid w:val="00C3711C"/>
    <w:rsid w:val="00C37256"/>
    <w:rsid w:val="00C37A7B"/>
    <w:rsid w:val="00C37CFF"/>
    <w:rsid w:val="00C37FFE"/>
    <w:rsid w:val="00C407E4"/>
    <w:rsid w:val="00C40B50"/>
    <w:rsid w:val="00C41457"/>
    <w:rsid w:val="00C41858"/>
    <w:rsid w:val="00C419E3"/>
    <w:rsid w:val="00C419F4"/>
    <w:rsid w:val="00C41E6A"/>
    <w:rsid w:val="00C421A3"/>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4AA2"/>
    <w:rsid w:val="00C65151"/>
    <w:rsid w:val="00C653B9"/>
    <w:rsid w:val="00C657F4"/>
    <w:rsid w:val="00C66119"/>
    <w:rsid w:val="00C66292"/>
    <w:rsid w:val="00C672A3"/>
    <w:rsid w:val="00C672F1"/>
    <w:rsid w:val="00C673D0"/>
    <w:rsid w:val="00C6742E"/>
    <w:rsid w:val="00C677BE"/>
    <w:rsid w:val="00C70012"/>
    <w:rsid w:val="00C70321"/>
    <w:rsid w:val="00C71CBB"/>
    <w:rsid w:val="00C71E2A"/>
    <w:rsid w:val="00C72571"/>
    <w:rsid w:val="00C733BA"/>
    <w:rsid w:val="00C74F3F"/>
    <w:rsid w:val="00C760DC"/>
    <w:rsid w:val="00C800AB"/>
    <w:rsid w:val="00C8082B"/>
    <w:rsid w:val="00C81A88"/>
    <w:rsid w:val="00C81AEC"/>
    <w:rsid w:val="00C81D46"/>
    <w:rsid w:val="00C820AD"/>
    <w:rsid w:val="00C82298"/>
    <w:rsid w:val="00C82F91"/>
    <w:rsid w:val="00C833B4"/>
    <w:rsid w:val="00C84284"/>
    <w:rsid w:val="00C84E33"/>
    <w:rsid w:val="00C853E0"/>
    <w:rsid w:val="00C856D1"/>
    <w:rsid w:val="00C85897"/>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59BD"/>
    <w:rsid w:val="00C95F44"/>
    <w:rsid w:val="00C96D1B"/>
    <w:rsid w:val="00C97106"/>
    <w:rsid w:val="00C97684"/>
    <w:rsid w:val="00CA0031"/>
    <w:rsid w:val="00CA0413"/>
    <w:rsid w:val="00CA043A"/>
    <w:rsid w:val="00CA04F8"/>
    <w:rsid w:val="00CA0D61"/>
    <w:rsid w:val="00CA1691"/>
    <w:rsid w:val="00CA2314"/>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CBD"/>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0D1F"/>
    <w:rsid w:val="00CD205D"/>
    <w:rsid w:val="00CD2A22"/>
    <w:rsid w:val="00CD2B50"/>
    <w:rsid w:val="00CD3AD3"/>
    <w:rsid w:val="00CD41FE"/>
    <w:rsid w:val="00CD4506"/>
    <w:rsid w:val="00CD520B"/>
    <w:rsid w:val="00CD592E"/>
    <w:rsid w:val="00CD5982"/>
    <w:rsid w:val="00CD5A1A"/>
    <w:rsid w:val="00CD6054"/>
    <w:rsid w:val="00CD71E9"/>
    <w:rsid w:val="00CD7EFA"/>
    <w:rsid w:val="00CE020E"/>
    <w:rsid w:val="00CE0566"/>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F26"/>
    <w:rsid w:val="00CE7FBF"/>
    <w:rsid w:val="00CF1066"/>
    <w:rsid w:val="00CF1226"/>
    <w:rsid w:val="00CF16C0"/>
    <w:rsid w:val="00CF1ABB"/>
    <w:rsid w:val="00CF1E1D"/>
    <w:rsid w:val="00CF24FE"/>
    <w:rsid w:val="00CF35D0"/>
    <w:rsid w:val="00CF3DD5"/>
    <w:rsid w:val="00CF41D5"/>
    <w:rsid w:val="00CF4897"/>
    <w:rsid w:val="00CF4AF7"/>
    <w:rsid w:val="00CF4D20"/>
    <w:rsid w:val="00CF539C"/>
    <w:rsid w:val="00CF55DF"/>
    <w:rsid w:val="00CF6180"/>
    <w:rsid w:val="00CF64F6"/>
    <w:rsid w:val="00CF73F8"/>
    <w:rsid w:val="00CF7928"/>
    <w:rsid w:val="00CF7CA2"/>
    <w:rsid w:val="00D00A8E"/>
    <w:rsid w:val="00D00DE0"/>
    <w:rsid w:val="00D00F79"/>
    <w:rsid w:val="00D012BF"/>
    <w:rsid w:val="00D01760"/>
    <w:rsid w:val="00D0368E"/>
    <w:rsid w:val="00D03D2D"/>
    <w:rsid w:val="00D03E7B"/>
    <w:rsid w:val="00D0401A"/>
    <w:rsid w:val="00D04750"/>
    <w:rsid w:val="00D047E0"/>
    <w:rsid w:val="00D04B9F"/>
    <w:rsid w:val="00D04FFB"/>
    <w:rsid w:val="00D05153"/>
    <w:rsid w:val="00D058E9"/>
    <w:rsid w:val="00D05CCE"/>
    <w:rsid w:val="00D0612A"/>
    <w:rsid w:val="00D068E3"/>
    <w:rsid w:val="00D06A0E"/>
    <w:rsid w:val="00D06D40"/>
    <w:rsid w:val="00D1060D"/>
    <w:rsid w:val="00D10E7C"/>
    <w:rsid w:val="00D11182"/>
    <w:rsid w:val="00D1137B"/>
    <w:rsid w:val="00D11807"/>
    <w:rsid w:val="00D11DB3"/>
    <w:rsid w:val="00D12D82"/>
    <w:rsid w:val="00D1306E"/>
    <w:rsid w:val="00D134CD"/>
    <w:rsid w:val="00D13CE5"/>
    <w:rsid w:val="00D13D98"/>
    <w:rsid w:val="00D14B5F"/>
    <w:rsid w:val="00D14E13"/>
    <w:rsid w:val="00D14F23"/>
    <w:rsid w:val="00D15356"/>
    <w:rsid w:val="00D16054"/>
    <w:rsid w:val="00D160AA"/>
    <w:rsid w:val="00D16740"/>
    <w:rsid w:val="00D16A8B"/>
    <w:rsid w:val="00D16E39"/>
    <w:rsid w:val="00D17951"/>
    <w:rsid w:val="00D17AD8"/>
    <w:rsid w:val="00D17B53"/>
    <w:rsid w:val="00D2104A"/>
    <w:rsid w:val="00D21302"/>
    <w:rsid w:val="00D213F1"/>
    <w:rsid w:val="00D21BB5"/>
    <w:rsid w:val="00D21FFC"/>
    <w:rsid w:val="00D223A3"/>
    <w:rsid w:val="00D223B6"/>
    <w:rsid w:val="00D223E8"/>
    <w:rsid w:val="00D22DC8"/>
    <w:rsid w:val="00D24ECD"/>
    <w:rsid w:val="00D2522A"/>
    <w:rsid w:val="00D2531C"/>
    <w:rsid w:val="00D255F3"/>
    <w:rsid w:val="00D26C21"/>
    <w:rsid w:val="00D26D79"/>
    <w:rsid w:val="00D2742F"/>
    <w:rsid w:val="00D2754F"/>
    <w:rsid w:val="00D27912"/>
    <w:rsid w:val="00D279D9"/>
    <w:rsid w:val="00D30418"/>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BE"/>
    <w:rsid w:val="00D4043A"/>
    <w:rsid w:val="00D40A8E"/>
    <w:rsid w:val="00D40AB0"/>
    <w:rsid w:val="00D40DB0"/>
    <w:rsid w:val="00D40F8B"/>
    <w:rsid w:val="00D41858"/>
    <w:rsid w:val="00D422DB"/>
    <w:rsid w:val="00D42A83"/>
    <w:rsid w:val="00D42AC2"/>
    <w:rsid w:val="00D4498E"/>
    <w:rsid w:val="00D4515F"/>
    <w:rsid w:val="00D451E8"/>
    <w:rsid w:val="00D4636B"/>
    <w:rsid w:val="00D466C9"/>
    <w:rsid w:val="00D467D8"/>
    <w:rsid w:val="00D47275"/>
    <w:rsid w:val="00D4750C"/>
    <w:rsid w:val="00D4767B"/>
    <w:rsid w:val="00D50AEF"/>
    <w:rsid w:val="00D50C39"/>
    <w:rsid w:val="00D51E15"/>
    <w:rsid w:val="00D52B7E"/>
    <w:rsid w:val="00D52E2F"/>
    <w:rsid w:val="00D52F59"/>
    <w:rsid w:val="00D53E3E"/>
    <w:rsid w:val="00D55279"/>
    <w:rsid w:val="00D55904"/>
    <w:rsid w:val="00D5616F"/>
    <w:rsid w:val="00D57940"/>
    <w:rsid w:val="00D60327"/>
    <w:rsid w:val="00D61526"/>
    <w:rsid w:val="00D61F81"/>
    <w:rsid w:val="00D623A9"/>
    <w:rsid w:val="00D62BE6"/>
    <w:rsid w:val="00D630E3"/>
    <w:rsid w:val="00D633AC"/>
    <w:rsid w:val="00D6341E"/>
    <w:rsid w:val="00D63766"/>
    <w:rsid w:val="00D63912"/>
    <w:rsid w:val="00D63923"/>
    <w:rsid w:val="00D63F05"/>
    <w:rsid w:val="00D6451B"/>
    <w:rsid w:val="00D64A49"/>
    <w:rsid w:val="00D64B57"/>
    <w:rsid w:val="00D65A92"/>
    <w:rsid w:val="00D65DEA"/>
    <w:rsid w:val="00D65DFE"/>
    <w:rsid w:val="00D67BC7"/>
    <w:rsid w:val="00D701F1"/>
    <w:rsid w:val="00D705D3"/>
    <w:rsid w:val="00D7088A"/>
    <w:rsid w:val="00D70E00"/>
    <w:rsid w:val="00D71014"/>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01"/>
    <w:rsid w:val="00D7692B"/>
    <w:rsid w:val="00D76A19"/>
    <w:rsid w:val="00D76CBD"/>
    <w:rsid w:val="00D7734F"/>
    <w:rsid w:val="00D8044C"/>
    <w:rsid w:val="00D805D6"/>
    <w:rsid w:val="00D8075E"/>
    <w:rsid w:val="00D80860"/>
    <w:rsid w:val="00D80D4C"/>
    <w:rsid w:val="00D8166D"/>
    <w:rsid w:val="00D81718"/>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251"/>
    <w:rsid w:val="00D9261C"/>
    <w:rsid w:val="00D9310B"/>
    <w:rsid w:val="00D93299"/>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49EF"/>
    <w:rsid w:val="00DA5989"/>
    <w:rsid w:val="00DA5AB1"/>
    <w:rsid w:val="00DA5F9D"/>
    <w:rsid w:val="00DA69B2"/>
    <w:rsid w:val="00DA6A7B"/>
    <w:rsid w:val="00DA735F"/>
    <w:rsid w:val="00DA7462"/>
    <w:rsid w:val="00DA777E"/>
    <w:rsid w:val="00DA7AD0"/>
    <w:rsid w:val="00DB02D7"/>
    <w:rsid w:val="00DB03CC"/>
    <w:rsid w:val="00DB12D4"/>
    <w:rsid w:val="00DB13DD"/>
    <w:rsid w:val="00DB14F0"/>
    <w:rsid w:val="00DB1745"/>
    <w:rsid w:val="00DB1AFF"/>
    <w:rsid w:val="00DB219A"/>
    <w:rsid w:val="00DB3165"/>
    <w:rsid w:val="00DB350B"/>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06B"/>
    <w:rsid w:val="00DC478F"/>
    <w:rsid w:val="00DC5DFB"/>
    <w:rsid w:val="00DC62E5"/>
    <w:rsid w:val="00DC6AB9"/>
    <w:rsid w:val="00DC6F33"/>
    <w:rsid w:val="00DC729E"/>
    <w:rsid w:val="00DC7349"/>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4C7"/>
    <w:rsid w:val="00DE064A"/>
    <w:rsid w:val="00DE0755"/>
    <w:rsid w:val="00DE082D"/>
    <w:rsid w:val="00DE1410"/>
    <w:rsid w:val="00DE1ED0"/>
    <w:rsid w:val="00DE3119"/>
    <w:rsid w:val="00DE3F23"/>
    <w:rsid w:val="00DE3FF0"/>
    <w:rsid w:val="00DE4105"/>
    <w:rsid w:val="00DE5189"/>
    <w:rsid w:val="00DE6230"/>
    <w:rsid w:val="00DE7108"/>
    <w:rsid w:val="00DE78D1"/>
    <w:rsid w:val="00DF0263"/>
    <w:rsid w:val="00DF0EB4"/>
    <w:rsid w:val="00DF1412"/>
    <w:rsid w:val="00DF1E36"/>
    <w:rsid w:val="00DF1FDB"/>
    <w:rsid w:val="00DF236B"/>
    <w:rsid w:val="00DF2A91"/>
    <w:rsid w:val="00DF2F82"/>
    <w:rsid w:val="00DF3131"/>
    <w:rsid w:val="00DF3747"/>
    <w:rsid w:val="00DF3889"/>
    <w:rsid w:val="00DF3CC9"/>
    <w:rsid w:val="00DF4451"/>
    <w:rsid w:val="00DF49FF"/>
    <w:rsid w:val="00DF4FFB"/>
    <w:rsid w:val="00DF5236"/>
    <w:rsid w:val="00DF5D32"/>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466B"/>
    <w:rsid w:val="00E0573A"/>
    <w:rsid w:val="00E057BA"/>
    <w:rsid w:val="00E057C0"/>
    <w:rsid w:val="00E057C1"/>
    <w:rsid w:val="00E05E70"/>
    <w:rsid w:val="00E0631A"/>
    <w:rsid w:val="00E064BC"/>
    <w:rsid w:val="00E07225"/>
    <w:rsid w:val="00E07AAA"/>
    <w:rsid w:val="00E07B7A"/>
    <w:rsid w:val="00E1002B"/>
    <w:rsid w:val="00E1079C"/>
    <w:rsid w:val="00E109DD"/>
    <w:rsid w:val="00E11229"/>
    <w:rsid w:val="00E114CA"/>
    <w:rsid w:val="00E11CF0"/>
    <w:rsid w:val="00E12A54"/>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EB"/>
    <w:rsid w:val="00E257C3"/>
    <w:rsid w:val="00E25CB3"/>
    <w:rsid w:val="00E25DA4"/>
    <w:rsid w:val="00E25DBC"/>
    <w:rsid w:val="00E26CB8"/>
    <w:rsid w:val="00E26FCF"/>
    <w:rsid w:val="00E27165"/>
    <w:rsid w:val="00E27226"/>
    <w:rsid w:val="00E3044A"/>
    <w:rsid w:val="00E3189C"/>
    <w:rsid w:val="00E31A4A"/>
    <w:rsid w:val="00E31C43"/>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37CD3"/>
    <w:rsid w:val="00E40430"/>
    <w:rsid w:val="00E40690"/>
    <w:rsid w:val="00E40AEB"/>
    <w:rsid w:val="00E4143A"/>
    <w:rsid w:val="00E41A5D"/>
    <w:rsid w:val="00E424C8"/>
    <w:rsid w:val="00E4251D"/>
    <w:rsid w:val="00E42F41"/>
    <w:rsid w:val="00E43479"/>
    <w:rsid w:val="00E43D00"/>
    <w:rsid w:val="00E44128"/>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24EC"/>
    <w:rsid w:val="00E630C0"/>
    <w:rsid w:val="00E63107"/>
    <w:rsid w:val="00E634E6"/>
    <w:rsid w:val="00E63DCE"/>
    <w:rsid w:val="00E64700"/>
    <w:rsid w:val="00E64E0B"/>
    <w:rsid w:val="00E65074"/>
    <w:rsid w:val="00E65E70"/>
    <w:rsid w:val="00E65EE9"/>
    <w:rsid w:val="00E66087"/>
    <w:rsid w:val="00E6685F"/>
    <w:rsid w:val="00E66D79"/>
    <w:rsid w:val="00E66FF9"/>
    <w:rsid w:val="00E67856"/>
    <w:rsid w:val="00E679C8"/>
    <w:rsid w:val="00E70314"/>
    <w:rsid w:val="00E70FCD"/>
    <w:rsid w:val="00E724E7"/>
    <w:rsid w:val="00E729DC"/>
    <w:rsid w:val="00E72B41"/>
    <w:rsid w:val="00E7343E"/>
    <w:rsid w:val="00E7347B"/>
    <w:rsid w:val="00E73D03"/>
    <w:rsid w:val="00E7471C"/>
    <w:rsid w:val="00E7498A"/>
    <w:rsid w:val="00E7514E"/>
    <w:rsid w:val="00E75B34"/>
    <w:rsid w:val="00E77AF5"/>
    <w:rsid w:val="00E8029A"/>
    <w:rsid w:val="00E803A6"/>
    <w:rsid w:val="00E81653"/>
    <w:rsid w:val="00E823F9"/>
    <w:rsid w:val="00E82C1F"/>
    <w:rsid w:val="00E82EEA"/>
    <w:rsid w:val="00E83671"/>
    <w:rsid w:val="00E8414B"/>
    <w:rsid w:val="00E84A71"/>
    <w:rsid w:val="00E8544B"/>
    <w:rsid w:val="00E8554E"/>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B0A89"/>
    <w:rsid w:val="00EB0B22"/>
    <w:rsid w:val="00EB1573"/>
    <w:rsid w:val="00EB1650"/>
    <w:rsid w:val="00EB17CA"/>
    <w:rsid w:val="00EB1910"/>
    <w:rsid w:val="00EB1D24"/>
    <w:rsid w:val="00EB209B"/>
    <w:rsid w:val="00EB26F2"/>
    <w:rsid w:val="00EB2E97"/>
    <w:rsid w:val="00EB3416"/>
    <w:rsid w:val="00EB4AE1"/>
    <w:rsid w:val="00EB52F4"/>
    <w:rsid w:val="00EB5694"/>
    <w:rsid w:val="00EB5779"/>
    <w:rsid w:val="00EB6098"/>
    <w:rsid w:val="00EB6199"/>
    <w:rsid w:val="00EB65ED"/>
    <w:rsid w:val="00EB67F1"/>
    <w:rsid w:val="00EB72CD"/>
    <w:rsid w:val="00EB749A"/>
    <w:rsid w:val="00EB76B6"/>
    <w:rsid w:val="00EB7D8A"/>
    <w:rsid w:val="00EC05E2"/>
    <w:rsid w:val="00EC08AF"/>
    <w:rsid w:val="00EC0B29"/>
    <w:rsid w:val="00EC0E84"/>
    <w:rsid w:val="00EC16E2"/>
    <w:rsid w:val="00EC1CE7"/>
    <w:rsid w:val="00EC249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3F96"/>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9ED"/>
    <w:rsid w:val="00EF2B2B"/>
    <w:rsid w:val="00EF2E1C"/>
    <w:rsid w:val="00EF2FD6"/>
    <w:rsid w:val="00EF3217"/>
    <w:rsid w:val="00EF326A"/>
    <w:rsid w:val="00EF3A5D"/>
    <w:rsid w:val="00EF3F02"/>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1B7"/>
    <w:rsid w:val="00F02744"/>
    <w:rsid w:val="00F02BFD"/>
    <w:rsid w:val="00F02D25"/>
    <w:rsid w:val="00F0435D"/>
    <w:rsid w:val="00F04580"/>
    <w:rsid w:val="00F047E7"/>
    <w:rsid w:val="00F04ECA"/>
    <w:rsid w:val="00F05DC2"/>
    <w:rsid w:val="00F06E19"/>
    <w:rsid w:val="00F06F84"/>
    <w:rsid w:val="00F076E7"/>
    <w:rsid w:val="00F07AA1"/>
    <w:rsid w:val="00F105AE"/>
    <w:rsid w:val="00F10618"/>
    <w:rsid w:val="00F10FC4"/>
    <w:rsid w:val="00F1108B"/>
    <w:rsid w:val="00F11768"/>
    <w:rsid w:val="00F11951"/>
    <w:rsid w:val="00F11BA8"/>
    <w:rsid w:val="00F12259"/>
    <w:rsid w:val="00F12262"/>
    <w:rsid w:val="00F12AF8"/>
    <w:rsid w:val="00F12C52"/>
    <w:rsid w:val="00F14352"/>
    <w:rsid w:val="00F14618"/>
    <w:rsid w:val="00F148B7"/>
    <w:rsid w:val="00F14BE9"/>
    <w:rsid w:val="00F14EA9"/>
    <w:rsid w:val="00F15505"/>
    <w:rsid w:val="00F15BFF"/>
    <w:rsid w:val="00F17105"/>
    <w:rsid w:val="00F20A0B"/>
    <w:rsid w:val="00F213A0"/>
    <w:rsid w:val="00F217AB"/>
    <w:rsid w:val="00F21A51"/>
    <w:rsid w:val="00F21D54"/>
    <w:rsid w:val="00F21D6D"/>
    <w:rsid w:val="00F21EF4"/>
    <w:rsid w:val="00F227B8"/>
    <w:rsid w:val="00F23113"/>
    <w:rsid w:val="00F23255"/>
    <w:rsid w:val="00F23393"/>
    <w:rsid w:val="00F23759"/>
    <w:rsid w:val="00F239D4"/>
    <w:rsid w:val="00F23CB5"/>
    <w:rsid w:val="00F245A1"/>
    <w:rsid w:val="00F24644"/>
    <w:rsid w:val="00F24ABF"/>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45D"/>
    <w:rsid w:val="00F4387B"/>
    <w:rsid w:val="00F4425D"/>
    <w:rsid w:val="00F4518D"/>
    <w:rsid w:val="00F45B91"/>
    <w:rsid w:val="00F46285"/>
    <w:rsid w:val="00F46639"/>
    <w:rsid w:val="00F46692"/>
    <w:rsid w:val="00F47AAA"/>
    <w:rsid w:val="00F47B3B"/>
    <w:rsid w:val="00F50183"/>
    <w:rsid w:val="00F50D92"/>
    <w:rsid w:val="00F50E0B"/>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0A2"/>
    <w:rsid w:val="00F65A3C"/>
    <w:rsid w:val="00F66282"/>
    <w:rsid w:val="00F67D8B"/>
    <w:rsid w:val="00F70961"/>
    <w:rsid w:val="00F70A8F"/>
    <w:rsid w:val="00F70F18"/>
    <w:rsid w:val="00F71397"/>
    <w:rsid w:val="00F72389"/>
    <w:rsid w:val="00F72516"/>
    <w:rsid w:val="00F72FB4"/>
    <w:rsid w:val="00F732C4"/>
    <w:rsid w:val="00F735E5"/>
    <w:rsid w:val="00F73DD9"/>
    <w:rsid w:val="00F73E80"/>
    <w:rsid w:val="00F7469C"/>
    <w:rsid w:val="00F747E9"/>
    <w:rsid w:val="00F7492E"/>
    <w:rsid w:val="00F74945"/>
    <w:rsid w:val="00F749A3"/>
    <w:rsid w:val="00F74A04"/>
    <w:rsid w:val="00F74AE8"/>
    <w:rsid w:val="00F74DC7"/>
    <w:rsid w:val="00F75A86"/>
    <w:rsid w:val="00F7603E"/>
    <w:rsid w:val="00F76C11"/>
    <w:rsid w:val="00F77021"/>
    <w:rsid w:val="00F775CB"/>
    <w:rsid w:val="00F77E61"/>
    <w:rsid w:val="00F814B2"/>
    <w:rsid w:val="00F815AC"/>
    <w:rsid w:val="00F82CA5"/>
    <w:rsid w:val="00F83200"/>
    <w:rsid w:val="00F83B33"/>
    <w:rsid w:val="00F83CAE"/>
    <w:rsid w:val="00F840BF"/>
    <w:rsid w:val="00F8415D"/>
    <w:rsid w:val="00F8427A"/>
    <w:rsid w:val="00F843DF"/>
    <w:rsid w:val="00F84899"/>
    <w:rsid w:val="00F848AB"/>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0FA8"/>
    <w:rsid w:val="00F9167D"/>
    <w:rsid w:val="00F91CB2"/>
    <w:rsid w:val="00F9289C"/>
    <w:rsid w:val="00F93DBC"/>
    <w:rsid w:val="00F93E41"/>
    <w:rsid w:val="00F94644"/>
    <w:rsid w:val="00F95075"/>
    <w:rsid w:val="00F9537B"/>
    <w:rsid w:val="00F95567"/>
    <w:rsid w:val="00F963FC"/>
    <w:rsid w:val="00F96FD6"/>
    <w:rsid w:val="00FA015F"/>
    <w:rsid w:val="00FA0FAC"/>
    <w:rsid w:val="00FA1DA2"/>
    <w:rsid w:val="00FA3414"/>
    <w:rsid w:val="00FA347A"/>
    <w:rsid w:val="00FA39D7"/>
    <w:rsid w:val="00FA3CDE"/>
    <w:rsid w:val="00FA49B7"/>
    <w:rsid w:val="00FA5043"/>
    <w:rsid w:val="00FA5ECF"/>
    <w:rsid w:val="00FA6F8B"/>
    <w:rsid w:val="00FA7A30"/>
    <w:rsid w:val="00FA7F7F"/>
    <w:rsid w:val="00FB033F"/>
    <w:rsid w:val="00FB12E3"/>
    <w:rsid w:val="00FB1570"/>
    <w:rsid w:val="00FB193B"/>
    <w:rsid w:val="00FB1FBC"/>
    <w:rsid w:val="00FB27B7"/>
    <w:rsid w:val="00FB2C36"/>
    <w:rsid w:val="00FB3444"/>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4AE"/>
    <w:rsid w:val="00FD086B"/>
    <w:rsid w:val="00FD1890"/>
    <w:rsid w:val="00FD1994"/>
    <w:rsid w:val="00FD1B08"/>
    <w:rsid w:val="00FD21A9"/>
    <w:rsid w:val="00FD2AC8"/>
    <w:rsid w:val="00FD2CA6"/>
    <w:rsid w:val="00FD3508"/>
    <w:rsid w:val="00FD393C"/>
    <w:rsid w:val="00FD43BB"/>
    <w:rsid w:val="00FD4AF3"/>
    <w:rsid w:val="00FD4E0F"/>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4058"/>
    <w:rsid w:val="00FE41AC"/>
    <w:rsid w:val="00FE42E2"/>
    <w:rsid w:val="00FE42ED"/>
    <w:rsid w:val="00FE4C6D"/>
    <w:rsid w:val="00FE55A7"/>
    <w:rsid w:val="00FE55E6"/>
    <w:rsid w:val="00FE56D5"/>
    <w:rsid w:val="00FE576D"/>
    <w:rsid w:val="00FE5C5A"/>
    <w:rsid w:val="00FE6432"/>
    <w:rsid w:val="00FE6517"/>
    <w:rsid w:val="00FE72A0"/>
    <w:rsid w:val="00FF0050"/>
    <w:rsid w:val="00FF045F"/>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00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09464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6765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332073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355292">
      <w:bodyDiv w:val="1"/>
      <w:marLeft w:val="0"/>
      <w:marRight w:val="0"/>
      <w:marTop w:val="0"/>
      <w:marBottom w:val="0"/>
      <w:divBdr>
        <w:top w:val="none" w:sz="0" w:space="0" w:color="auto"/>
        <w:left w:val="none" w:sz="0" w:space="0" w:color="auto"/>
        <w:bottom w:val="none" w:sz="0" w:space="0" w:color="auto"/>
        <w:right w:val="none" w:sz="0" w:space="0" w:color="auto"/>
      </w:divBdr>
    </w:div>
    <w:div w:id="1721325717">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01903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409">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upersociedades.gov.co/nuestra_entidad/normatividad/normatividad_conceptos_juridicos/OFICIO_220-014111_DE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5F42069-3681-4B26-AB0B-54C8FF763958}"/>
</file>

<file path=docProps/app.xml><?xml version="1.0" encoding="utf-8"?>
<Properties xmlns="http://schemas.openxmlformats.org/officeDocument/2006/extended-properties" xmlns:vt="http://schemas.openxmlformats.org/officeDocument/2006/docPropsVTypes">
  <Template>Respuesta a consultas</Template>
  <TotalTime>2</TotalTime>
  <Pages>34</Pages>
  <Words>13033</Words>
  <Characters>71683</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2022-07-25T19:08:00Z</dcterms:created>
  <dcterms:modified xsi:type="dcterms:W3CDTF">2022-07-25T19:09:00Z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