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30DE" w14:textId="47271401" w:rsidR="003E3511" w:rsidRPr="00BF3E13" w:rsidRDefault="003E3511" w:rsidP="0010045F">
      <w:pPr>
        <w:widowControl w:val="0"/>
        <w:autoSpaceDE w:val="0"/>
        <w:autoSpaceDN w:val="0"/>
        <w:rPr>
          <w:rFonts w:ascii="Arial" w:eastAsia="Calibri" w:hAnsi="Arial" w:cs="Arial"/>
          <w:b/>
          <w:sz w:val="20"/>
          <w:szCs w:val="20"/>
          <w:lang w:val="es-ES_tradnl"/>
        </w:rPr>
      </w:pPr>
    </w:p>
    <w:p w14:paraId="413739DD" w14:textId="373F8F25" w:rsidR="00A53021" w:rsidRPr="00F14E00" w:rsidRDefault="00A53021" w:rsidP="00B140BD">
      <w:pPr>
        <w:widowControl w:val="0"/>
        <w:autoSpaceDE w:val="0"/>
        <w:autoSpaceDN w:val="0"/>
        <w:rPr>
          <w:rFonts w:ascii="Arial" w:eastAsia="Calibri" w:hAnsi="Arial" w:cs="Arial"/>
          <w:b/>
          <w:sz w:val="20"/>
          <w:szCs w:val="20"/>
          <w:lang w:val="es-ES_tradnl"/>
        </w:rPr>
      </w:pPr>
      <w:r w:rsidRPr="00F14E00">
        <w:rPr>
          <w:rFonts w:ascii="Arial" w:eastAsia="Calibri" w:hAnsi="Arial" w:cs="Arial"/>
          <w:b/>
          <w:color w:val="000000"/>
          <w:sz w:val="22"/>
        </w:rPr>
        <w:t>DOCUMENTOS TIPO – Infraestructura de transporte</w:t>
      </w:r>
    </w:p>
    <w:p w14:paraId="207BA4B1" w14:textId="32E8D86E" w:rsidR="007C2EF0" w:rsidRPr="00F14E00" w:rsidRDefault="007C2EF0" w:rsidP="00B47D0B">
      <w:pPr>
        <w:widowControl w:val="0"/>
        <w:autoSpaceDE w:val="0"/>
        <w:autoSpaceDN w:val="0"/>
        <w:rPr>
          <w:rFonts w:ascii="Arial" w:eastAsia="Calibri" w:hAnsi="Arial" w:cs="Arial"/>
          <w:sz w:val="20"/>
          <w:szCs w:val="20"/>
          <w:lang w:val="es-ES_tradnl"/>
        </w:rPr>
      </w:pPr>
    </w:p>
    <w:p w14:paraId="64AD23A1" w14:textId="1F6E78B2" w:rsidR="00C05B50" w:rsidRPr="00C05B50" w:rsidRDefault="00A53021" w:rsidP="00B140BD">
      <w:pPr>
        <w:jc w:val="both"/>
        <w:rPr>
          <w:rFonts w:ascii="Arial" w:eastAsia="Calibri" w:hAnsi="Arial" w:cs="Arial"/>
          <w:color w:val="000000"/>
          <w:sz w:val="20"/>
          <w:szCs w:val="20"/>
        </w:rPr>
      </w:pPr>
      <w:r w:rsidRPr="00C05B50">
        <w:rPr>
          <w:rFonts w:ascii="Arial" w:eastAsia="Calibri" w:hAnsi="Arial" w:cs="Arial"/>
          <w:color w:val="000000"/>
          <w:sz w:val="20"/>
          <w:szCs w:val="20"/>
        </w:rPr>
        <w:t>[…] 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w:t>
      </w:r>
      <w:r w:rsidR="00C05B50" w:rsidRPr="00C05B50">
        <w:rPr>
          <w:rFonts w:ascii="Arial" w:eastAsia="Calibri" w:hAnsi="Arial" w:cs="Arial"/>
          <w:color w:val="000000"/>
          <w:sz w:val="20"/>
          <w:szCs w:val="20"/>
        </w:rPr>
        <w:t xml:space="preserve"> </w:t>
      </w:r>
      <w:r w:rsidR="00C05B50" w:rsidRPr="00C05B50">
        <w:rPr>
          <w:rFonts w:ascii="Arial" w:eastAsia="Calibri" w:hAnsi="Arial" w:cs="Arial"/>
          <w:color w:val="000000"/>
          <w:sz w:val="20"/>
          <w:szCs w:val="20"/>
          <w:lang w:val="es-ES_tradnl"/>
        </w:rPr>
        <w:t>De igual manera, se adoptaron los documentos tipo de mínima cuantía de obra pública de infraestructura de transporte mediante la Resolución 094 del 21 de mayo de 2020.</w:t>
      </w:r>
    </w:p>
    <w:p w14:paraId="4420C4E6" w14:textId="77777777" w:rsidR="00A53021" w:rsidRPr="00F14E00" w:rsidRDefault="00A53021" w:rsidP="00B140BD">
      <w:pPr>
        <w:jc w:val="both"/>
        <w:rPr>
          <w:rFonts w:ascii="Arial" w:eastAsia="Calibri" w:hAnsi="Arial" w:cs="Arial"/>
          <w:color w:val="000000"/>
          <w:sz w:val="20"/>
          <w:szCs w:val="20"/>
        </w:rPr>
      </w:pPr>
    </w:p>
    <w:p w14:paraId="382E8CF6" w14:textId="27A3BDDA" w:rsidR="00A53021" w:rsidRPr="00F14E00" w:rsidRDefault="00A53021" w:rsidP="00B140BD">
      <w:pPr>
        <w:jc w:val="both"/>
        <w:rPr>
          <w:rFonts w:ascii="Arial" w:eastAsia="Calibri" w:hAnsi="Arial" w:cs="Arial"/>
          <w:color w:val="000000"/>
          <w:sz w:val="20"/>
          <w:szCs w:val="20"/>
        </w:rPr>
      </w:pPr>
      <w:r w:rsidRPr="00F14E00">
        <w:rPr>
          <w:rFonts w:ascii="Arial" w:eastAsia="Calibri" w:hAnsi="Arial" w:cs="Arial"/>
          <w:color w:val="000000"/>
          <w:sz w:val="20"/>
          <w:szCs w:val="20"/>
        </w:rPr>
        <w:t>Además, teni</w:t>
      </w:r>
      <w:r w:rsidR="00F859FC">
        <w:rPr>
          <w:rFonts w:ascii="Arial" w:eastAsia="Calibri" w:hAnsi="Arial" w:cs="Arial"/>
          <w:color w:val="000000"/>
          <w:sz w:val="20"/>
          <w:szCs w:val="20"/>
        </w:rPr>
        <w:t>endo en cuenta que el Gobierno n</w:t>
      </w:r>
      <w:r w:rsidRPr="00F14E00">
        <w:rPr>
          <w:rFonts w:ascii="Arial" w:eastAsia="Calibri" w:hAnsi="Arial" w:cs="Arial"/>
          <w:color w:val="000000"/>
          <w:sz w:val="20"/>
          <w:szCs w:val="20"/>
        </w:rPr>
        <w:t>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29C3B47A" w14:textId="49E33EB9" w:rsidR="00A53021" w:rsidRPr="00F14E00" w:rsidRDefault="00A53021" w:rsidP="00B140BD">
      <w:pPr>
        <w:widowControl w:val="0"/>
        <w:autoSpaceDE w:val="0"/>
        <w:autoSpaceDN w:val="0"/>
        <w:rPr>
          <w:rFonts w:ascii="Arial" w:eastAsia="Calibri" w:hAnsi="Arial" w:cs="Arial"/>
          <w:sz w:val="20"/>
          <w:szCs w:val="20"/>
        </w:rPr>
      </w:pPr>
    </w:p>
    <w:p w14:paraId="6C85E9F9" w14:textId="79AFA836" w:rsidR="00BF3E13" w:rsidRPr="00F14E00" w:rsidRDefault="002A0763" w:rsidP="00B140BD">
      <w:pPr>
        <w:jc w:val="both"/>
        <w:rPr>
          <w:rFonts w:ascii="Arial" w:eastAsia="Arial MT" w:hAnsi="Arial" w:cs="Arial"/>
          <w:b/>
          <w:sz w:val="22"/>
        </w:rPr>
      </w:pPr>
      <w:r w:rsidRPr="00F14E00">
        <w:rPr>
          <w:rFonts w:ascii="Arial" w:eastAsia="Arial MT" w:hAnsi="Arial" w:cs="Arial"/>
          <w:b/>
          <w:sz w:val="22"/>
        </w:rPr>
        <w:t xml:space="preserve">DOCUMENTOS TIPO – Regla de inalterabilidad – Excepciones </w:t>
      </w:r>
    </w:p>
    <w:p w14:paraId="535693ED" w14:textId="77777777" w:rsidR="00BF3E13" w:rsidRPr="00F14E00" w:rsidRDefault="00BF3E13" w:rsidP="00B140BD">
      <w:pPr>
        <w:jc w:val="both"/>
        <w:rPr>
          <w:rFonts w:ascii="Arial" w:eastAsia="Calibri" w:hAnsi="Arial" w:cs="Arial"/>
          <w:color w:val="000000"/>
          <w:sz w:val="20"/>
          <w:szCs w:val="20"/>
          <w:lang w:val="es-ES_tradnl"/>
        </w:rPr>
      </w:pPr>
    </w:p>
    <w:p w14:paraId="686DF4E8" w14:textId="5C222C67" w:rsidR="00BF3E13" w:rsidRDefault="00BA7D19" w:rsidP="00B613EE">
      <w:pPr>
        <w:jc w:val="both"/>
        <w:rPr>
          <w:rFonts w:ascii="Arial" w:eastAsia="Calibri" w:hAnsi="Arial" w:cs="Arial"/>
          <w:sz w:val="20"/>
          <w:szCs w:val="20"/>
          <w:lang w:val="es-ES_tradnl"/>
        </w:rPr>
      </w:pPr>
      <w:r w:rsidRPr="00B613EE">
        <w:rPr>
          <w:rFonts w:ascii="Arial" w:eastAsia="Calibri" w:hAnsi="Arial" w:cs="Arial"/>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B613EE">
        <w:rPr>
          <w:rFonts w:ascii="Arial" w:eastAsia="Calibri" w:hAnsi="Arial" w:cs="Arial"/>
          <w:i/>
          <w:iCs/>
          <w:sz w:val="20"/>
          <w:szCs w:val="20"/>
          <w:lang w:val="es-ES_tradnl"/>
        </w:rPr>
        <w:t>Documentos del Proceso</w:t>
      </w:r>
      <w:r w:rsidRPr="00B613EE">
        <w:rPr>
          <w:rFonts w:ascii="Arial" w:eastAsia="Calibri" w:hAnsi="Arial" w:cs="Arial"/>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r>
        <w:rPr>
          <w:rFonts w:ascii="Arial" w:eastAsia="Calibri" w:hAnsi="Arial" w:cs="Arial"/>
          <w:sz w:val="20"/>
          <w:szCs w:val="20"/>
          <w:lang w:val="es-ES_tradnl"/>
        </w:rPr>
        <w:t>.</w:t>
      </w:r>
    </w:p>
    <w:p w14:paraId="260E49D4" w14:textId="52AB85AF" w:rsidR="00F859FC" w:rsidRDefault="00F859FC" w:rsidP="00B613EE">
      <w:pPr>
        <w:jc w:val="both"/>
        <w:rPr>
          <w:rFonts w:ascii="Arial" w:eastAsia="Calibri" w:hAnsi="Arial" w:cs="Arial"/>
          <w:color w:val="000000"/>
          <w:sz w:val="20"/>
          <w:szCs w:val="20"/>
          <w:lang w:val="es-ES_tradnl"/>
        </w:rPr>
      </w:pPr>
    </w:p>
    <w:p w14:paraId="41A6A18A" w14:textId="1CA0302D" w:rsidR="00F859FC" w:rsidRPr="00F14E00" w:rsidRDefault="00F859FC" w:rsidP="00F859FC">
      <w:pPr>
        <w:widowControl w:val="0"/>
        <w:autoSpaceDE w:val="0"/>
        <w:autoSpaceDN w:val="0"/>
        <w:rPr>
          <w:rFonts w:ascii="Arial" w:eastAsia="Calibri" w:hAnsi="Arial" w:cs="Arial"/>
          <w:b/>
          <w:bCs/>
          <w:sz w:val="22"/>
          <w:lang w:val="es-ES"/>
        </w:rPr>
      </w:pPr>
      <w:r>
        <w:rPr>
          <w:rFonts w:ascii="Arial" w:eastAsia="Calibri" w:hAnsi="Arial" w:cs="Arial"/>
          <w:b/>
          <w:bCs/>
          <w:sz w:val="22"/>
          <w:lang w:val="es-ES"/>
        </w:rPr>
        <w:t>C</w:t>
      </w:r>
      <w:r w:rsidRPr="00F14E00">
        <w:rPr>
          <w:rFonts w:ascii="Arial" w:eastAsia="Calibri" w:hAnsi="Arial" w:cs="Arial"/>
          <w:b/>
          <w:bCs/>
          <w:sz w:val="22"/>
          <w:lang w:val="es-ES"/>
        </w:rPr>
        <w:t>AUSALES DE RECHAZO</w:t>
      </w:r>
      <w:r>
        <w:rPr>
          <w:rFonts w:ascii="Arial" w:eastAsia="Calibri" w:hAnsi="Arial" w:cs="Arial"/>
          <w:b/>
          <w:bCs/>
          <w:sz w:val="22"/>
          <w:lang w:val="es-ES"/>
        </w:rPr>
        <w:t xml:space="preserve"> – Carácter taxativo – Numeral 1.15 - Documentos tipo</w:t>
      </w:r>
    </w:p>
    <w:p w14:paraId="30900247" w14:textId="77777777" w:rsidR="00F859FC" w:rsidRPr="00F14E00" w:rsidRDefault="00F859FC" w:rsidP="00F859FC">
      <w:pPr>
        <w:jc w:val="both"/>
        <w:rPr>
          <w:rFonts w:ascii="Arial" w:eastAsia="Calibri" w:hAnsi="Arial" w:cs="Arial"/>
          <w:sz w:val="20"/>
          <w:szCs w:val="20"/>
        </w:rPr>
      </w:pPr>
    </w:p>
    <w:p w14:paraId="48988B8A" w14:textId="61CE29BF" w:rsidR="00F859FC" w:rsidRPr="00F859FC" w:rsidRDefault="00F859FC" w:rsidP="00F859FC">
      <w:pPr>
        <w:jc w:val="both"/>
        <w:rPr>
          <w:rFonts w:ascii="Arial" w:eastAsia="Calibri" w:hAnsi="Arial" w:cs="Arial"/>
          <w:sz w:val="20"/>
          <w:szCs w:val="20"/>
        </w:rPr>
      </w:pPr>
      <w:r>
        <w:rPr>
          <w:rFonts w:ascii="Arial" w:eastAsia="Calibri" w:hAnsi="Arial" w:cs="Arial"/>
          <w:sz w:val="20"/>
          <w:szCs w:val="20"/>
        </w:rPr>
        <w:t xml:space="preserve">[…] </w:t>
      </w:r>
      <w:r w:rsidR="00992278" w:rsidRPr="00992278">
        <w:rPr>
          <w:rFonts w:ascii="Arial" w:eastAsia="Calibri" w:hAnsi="Arial" w:cs="Arial"/>
          <w:sz w:val="20"/>
          <w:szCs w:val="20"/>
        </w:rPr>
        <w:t xml:space="preserve">las causales de rechazo que aplican para los procedimientos de infraestructura de </w:t>
      </w:r>
      <w:proofErr w:type="gramStart"/>
      <w:r w:rsidR="00992278" w:rsidRPr="00992278">
        <w:rPr>
          <w:rFonts w:ascii="Arial" w:eastAsia="Calibri" w:hAnsi="Arial" w:cs="Arial"/>
          <w:sz w:val="20"/>
          <w:szCs w:val="20"/>
        </w:rPr>
        <w:t>transporte  de</w:t>
      </w:r>
      <w:proofErr w:type="gramEnd"/>
      <w:r w:rsidR="00992278" w:rsidRPr="00992278">
        <w:rPr>
          <w:rFonts w:ascii="Arial" w:eastAsia="Calibri" w:hAnsi="Arial" w:cs="Arial"/>
          <w:sz w:val="20"/>
          <w:szCs w:val="20"/>
        </w:rPr>
        <w:t xml:space="preserve"> licitación pública, selección abreviada de menor cuantía y la modalidad de mínima cuantía son las establecidas en la ley y las definidas en el numeral 1.15 del documento base o la invitación pública, según corresponda.  De igual forma, se rigen por el principio de inalterabilidad, en la medida en que señala: «Las entidades no podrán incluir causales de rechazo distintas a las señaladas en la presente sección». Estas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w:t>
      </w:r>
      <w:proofErr w:type="gramStart"/>
      <w:r w:rsidR="00992278" w:rsidRPr="00992278">
        <w:rPr>
          <w:rFonts w:ascii="Arial" w:eastAsia="Calibri" w:hAnsi="Arial" w:cs="Arial"/>
          <w:sz w:val="20"/>
          <w:szCs w:val="20"/>
        </w:rPr>
        <w:t>2007.</w:t>
      </w:r>
      <w:r w:rsidRPr="00992278">
        <w:rPr>
          <w:rFonts w:ascii="Arial" w:eastAsia="Calibri" w:hAnsi="Arial" w:cs="Arial"/>
          <w:sz w:val="20"/>
          <w:szCs w:val="20"/>
        </w:rPr>
        <w:t>.</w:t>
      </w:r>
      <w:proofErr w:type="gramEnd"/>
    </w:p>
    <w:p w14:paraId="0432468E" w14:textId="77777777" w:rsidR="00F859FC" w:rsidRDefault="00F859FC" w:rsidP="00F859FC">
      <w:pPr>
        <w:jc w:val="both"/>
        <w:rPr>
          <w:rFonts w:ascii="Arial" w:eastAsia="Calibri" w:hAnsi="Arial" w:cs="Arial"/>
          <w:sz w:val="20"/>
          <w:szCs w:val="20"/>
        </w:rPr>
      </w:pPr>
    </w:p>
    <w:p w14:paraId="3C126285" w14:textId="3EF5992F" w:rsidR="0010045F" w:rsidRPr="00F14E00" w:rsidRDefault="002A0763" w:rsidP="00B140BD">
      <w:pPr>
        <w:widowControl w:val="0"/>
        <w:autoSpaceDE w:val="0"/>
        <w:autoSpaceDN w:val="0"/>
        <w:rPr>
          <w:rFonts w:ascii="Arial" w:eastAsia="Calibri" w:hAnsi="Arial" w:cs="Arial"/>
          <w:b/>
          <w:bCs/>
          <w:sz w:val="22"/>
          <w:lang w:val="es-ES"/>
        </w:rPr>
      </w:pPr>
      <w:r w:rsidRPr="00F14E00">
        <w:rPr>
          <w:rFonts w:ascii="Arial" w:eastAsia="Arial MT" w:hAnsi="Arial" w:cs="Arial"/>
          <w:b/>
          <w:sz w:val="22"/>
        </w:rPr>
        <w:t xml:space="preserve">ANEXO TÉCNICO </w:t>
      </w:r>
      <w:r w:rsidR="00C4688B">
        <w:rPr>
          <w:rFonts w:ascii="Arial" w:eastAsia="Calibri" w:hAnsi="Arial" w:cs="Arial"/>
          <w:b/>
          <w:bCs/>
          <w:sz w:val="22"/>
          <w:lang w:val="es-ES"/>
        </w:rPr>
        <w:t>– C</w:t>
      </w:r>
      <w:r w:rsidRPr="00F14E00">
        <w:rPr>
          <w:rFonts w:ascii="Arial" w:eastAsia="Calibri" w:hAnsi="Arial" w:cs="Arial"/>
          <w:b/>
          <w:bCs/>
          <w:sz w:val="22"/>
          <w:lang w:val="es-ES"/>
        </w:rPr>
        <w:t>aracterísticas</w:t>
      </w:r>
      <w:r w:rsidRPr="00F14E00">
        <w:rPr>
          <w:rFonts w:ascii="Arial" w:eastAsia="Arial MT" w:hAnsi="Arial" w:cs="Arial"/>
          <w:b/>
          <w:sz w:val="22"/>
        </w:rPr>
        <w:t xml:space="preserve"> </w:t>
      </w:r>
      <w:r w:rsidR="00C4688B">
        <w:rPr>
          <w:rFonts w:ascii="Arial" w:eastAsia="Calibri" w:hAnsi="Arial" w:cs="Arial"/>
          <w:b/>
          <w:bCs/>
          <w:sz w:val="22"/>
          <w:lang w:val="es-ES"/>
        </w:rPr>
        <w:t>– C</w:t>
      </w:r>
      <w:r w:rsidRPr="00F14E00">
        <w:rPr>
          <w:rFonts w:ascii="Arial" w:eastAsia="Calibri" w:hAnsi="Arial" w:cs="Arial"/>
          <w:b/>
          <w:bCs/>
          <w:sz w:val="22"/>
          <w:lang w:val="es-ES"/>
        </w:rPr>
        <w:t>ausales de rechazo</w:t>
      </w:r>
      <w:r w:rsidR="00F859FC">
        <w:rPr>
          <w:rFonts w:ascii="Arial" w:eastAsia="Calibri" w:hAnsi="Arial" w:cs="Arial"/>
          <w:b/>
          <w:bCs/>
          <w:sz w:val="22"/>
          <w:lang w:val="es-ES"/>
        </w:rPr>
        <w:t>- Documentos tipo- Infraestructura de transporte</w:t>
      </w:r>
    </w:p>
    <w:p w14:paraId="7CC51D6E" w14:textId="77777777" w:rsidR="002603F3" w:rsidRPr="00F14E00" w:rsidRDefault="002603F3" w:rsidP="00B140BD">
      <w:pPr>
        <w:jc w:val="both"/>
        <w:rPr>
          <w:rFonts w:ascii="Arial" w:eastAsia="Calibri" w:hAnsi="Arial" w:cs="Arial"/>
          <w:sz w:val="20"/>
          <w:szCs w:val="20"/>
        </w:rPr>
      </w:pPr>
    </w:p>
    <w:p w14:paraId="61612091" w14:textId="2C16ABAF" w:rsidR="002603F3" w:rsidRPr="00C4688B" w:rsidRDefault="002603F3" w:rsidP="00B140BD">
      <w:pPr>
        <w:jc w:val="both"/>
        <w:rPr>
          <w:rFonts w:ascii="Arial" w:eastAsia="Calibri" w:hAnsi="Arial" w:cs="Arial"/>
          <w:sz w:val="20"/>
          <w:szCs w:val="20"/>
        </w:rPr>
      </w:pPr>
      <w:r w:rsidRPr="00C4688B">
        <w:rPr>
          <w:rFonts w:ascii="Arial" w:eastAsia="Calibri" w:hAnsi="Arial" w:cs="Arial"/>
          <w:sz w:val="20"/>
          <w:szCs w:val="20"/>
        </w:rPr>
        <w:lastRenderedPageBreak/>
        <w:t xml:space="preserve">El «Anexo 1» de los documentos tipo contiene los siguientes elementos: i) descripción del proyecto –alcance, sitio de trabajo, ubicación rural o urbana y distancia, entre otros–, </w:t>
      </w:r>
      <w:proofErr w:type="spellStart"/>
      <w:r w:rsidRPr="00C4688B">
        <w:rPr>
          <w:rFonts w:ascii="Arial" w:eastAsia="Calibri" w:hAnsi="Arial" w:cs="Arial"/>
          <w:sz w:val="20"/>
          <w:szCs w:val="20"/>
        </w:rPr>
        <w:t>ii</w:t>
      </w:r>
      <w:proofErr w:type="spellEnd"/>
      <w:r w:rsidRPr="00C4688B">
        <w:rPr>
          <w:rFonts w:ascii="Arial" w:eastAsia="Calibri" w:hAnsi="Arial" w:cs="Arial"/>
          <w:sz w:val="20"/>
          <w:szCs w:val="20"/>
        </w:rPr>
        <w:t xml:space="preserve">) descripción obra actual o zona a intervenir –estado del lugar–, </w:t>
      </w:r>
      <w:proofErr w:type="spellStart"/>
      <w:r w:rsidRPr="00C4688B">
        <w:rPr>
          <w:rFonts w:ascii="Arial" w:eastAsia="Calibri" w:hAnsi="Arial" w:cs="Arial"/>
          <w:sz w:val="20"/>
          <w:szCs w:val="20"/>
        </w:rPr>
        <w:t>iii</w:t>
      </w:r>
      <w:proofErr w:type="spellEnd"/>
      <w:r w:rsidRPr="00C4688B">
        <w:rPr>
          <w:rFonts w:ascii="Arial" w:eastAsia="Calibri" w:hAnsi="Arial" w:cs="Arial"/>
          <w:sz w:val="20"/>
          <w:szCs w:val="20"/>
        </w:rPr>
        <w:t xml:space="preserve">) principales actividades por ejecutar y alcance –expectativas de la entidad respecto de la contratación y principales </w:t>
      </w:r>
      <w:r w:rsidRPr="00C4688B">
        <w:rPr>
          <w:rFonts w:ascii="Arial" w:eastAsia="Calibri" w:hAnsi="Arial" w:cs="Arial"/>
          <w:i/>
          <w:iCs/>
          <w:sz w:val="20"/>
          <w:szCs w:val="20"/>
        </w:rPr>
        <w:t>ítems de pago</w:t>
      </w:r>
      <w:r w:rsidRPr="00C4688B">
        <w:rPr>
          <w:rFonts w:ascii="Arial" w:eastAsia="Calibri" w:hAnsi="Arial" w:cs="Arial"/>
          <w:sz w:val="20"/>
          <w:szCs w:val="20"/>
        </w:rPr>
        <w:t xml:space="preserve">–, </w:t>
      </w:r>
      <w:proofErr w:type="spellStart"/>
      <w:r w:rsidRPr="00C4688B">
        <w:rPr>
          <w:rFonts w:ascii="Arial" w:eastAsia="Calibri" w:hAnsi="Arial" w:cs="Arial"/>
          <w:sz w:val="20"/>
          <w:szCs w:val="20"/>
        </w:rPr>
        <w:t>iv</w:t>
      </w:r>
      <w:proofErr w:type="spellEnd"/>
      <w:r w:rsidRPr="00C4688B">
        <w:rPr>
          <w:rFonts w:ascii="Arial" w:eastAsia="Calibri" w:hAnsi="Arial" w:cs="Arial"/>
          <w:sz w:val="20"/>
          <w:szCs w:val="20"/>
        </w:rPr>
        <w:t xml:space="preserve">) plazo para la ejecución del contrato –etapas y su inicio, si aplica–, v) forma de pago –anticipos y la justificación de su inclusión o exclusión–, vi) condiciones particulares del proyecto, </w:t>
      </w:r>
      <w:proofErr w:type="spellStart"/>
      <w:r w:rsidRPr="00C4688B">
        <w:rPr>
          <w:rFonts w:ascii="Arial" w:eastAsia="Calibri" w:hAnsi="Arial" w:cs="Arial"/>
          <w:sz w:val="20"/>
          <w:szCs w:val="20"/>
        </w:rPr>
        <w:t>vii</w:t>
      </w:r>
      <w:proofErr w:type="spellEnd"/>
      <w:r w:rsidRPr="00C4688B">
        <w:rPr>
          <w:rFonts w:ascii="Arial" w:eastAsia="Calibri" w:hAnsi="Arial" w:cs="Arial"/>
          <w:sz w:val="20"/>
          <w:szCs w:val="20"/>
        </w:rPr>
        <w:t xml:space="preserve">) información sobre el personal profesional –el anexo señala las condiciones que la entidad tendrá en cuenta para analizar la información–, </w:t>
      </w:r>
      <w:proofErr w:type="spellStart"/>
      <w:r w:rsidRPr="00C4688B">
        <w:rPr>
          <w:rFonts w:ascii="Arial" w:eastAsia="Calibri" w:hAnsi="Arial" w:cs="Arial"/>
          <w:sz w:val="20"/>
          <w:szCs w:val="20"/>
        </w:rPr>
        <w:t>viii</w:t>
      </w:r>
      <w:proofErr w:type="spellEnd"/>
      <w:r w:rsidRPr="00C4688B">
        <w:rPr>
          <w:rFonts w:ascii="Arial" w:eastAsia="Calibri" w:hAnsi="Arial" w:cs="Arial"/>
          <w:sz w:val="20"/>
          <w:szCs w:val="20"/>
        </w:rPr>
        <w:t xml:space="preserve">) posibles fuentes de materiales para el proyecto, </w:t>
      </w:r>
      <w:proofErr w:type="spellStart"/>
      <w:r w:rsidRPr="00C4688B">
        <w:rPr>
          <w:rFonts w:ascii="Arial" w:eastAsia="Calibri" w:hAnsi="Arial" w:cs="Arial"/>
          <w:sz w:val="20"/>
          <w:szCs w:val="20"/>
        </w:rPr>
        <w:t>ix</w:t>
      </w:r>
      <w:proofErr w:type="spellEnd"/>
      <w:r w:rsidRPr="00C4688B">
        <w:rPr>
          <w:rFonts w:ascii="Arial" w:eastAsia="Calibri" w:hAnsi="Arial" w:cs="Arial"/>
          <w:sz w:val="20"/>
          <w:szCs w:val="20"/>
        </w:rPr>
        <w:t xml:space="preserve">) examen del sitio de la obra, x) obras provisionales, xi) señalización, </w:t>
      </w:r>
      <w:proofErr w:type="spellStart"/>
      <w:r w:rsidRPr="00C4688B">
        <w:rPr>
          <w:rFonts w:ascii="Arial" w:eastAsia="Calibri" w:hAnsi="Arial" w:cs="Arial"/>
          <w:sz w:val="20"/>
          <w:szCs w:val="20"/>
        </w:rPr>
        <w:t>xii</w:t>
      </w:r>
      <w:proofErr w:type="spellEnd"/>
      <w:r w:rsidRPr="00C4688B">
        <w:rPr>
          <w:rFonts w:ascii="Arial" w:eastAsia="Calibri" w:hAnsi="Arial" w:cs="Arial"/>
          <w:sz w:val="20"/>
          <w:szCs w:val="20"/>
        </w:rPr>
        <w:t xml:space="preserve">) permisos, licencias y autorización –los que sean necesarios para la ejecución de la obra–, </w:t>
      </w:r>
      <w:proofErr w:type="spellStart"/>
      <w:r w:rsidRPr="00C4688B">
        <w:rPr>
          <w:rFonts w:ascii="Arial" w:eastAsia="Calibri" w:hAnsi="Arial" w:cs="Arial"/>
          <w:sz w:val="20"/>
          <w:szCs w:val="20"/>
        </w:rPr>
        <w:t>xiii</w:t>
      </w:r>
      <w:proofErr w:type="spellEnd"/>
      <w:r w:rsidRPr="00C4688B">
        <w:rPr>
          <w:rFonts w:ascii="Arial" w:eastAsia="Calibri" w:hAnsi="Arial" w:cs="Arial"/>
          <w:sz w:val="20"/>
          <w:szCs w:val="20"/>
        </w:rPr>
        <w:t xml:space="preserve">) notas técnicas específicas para el proyecto –verificar con la guía de Colombia Compra Eficiente–, y </w:t>
      </w:r>
      <w:proofErr w:type="spellStart"/>
      <w:r w:rsidRPr="00C4688B">
        <w:rPr>
          <w:rFonts w:ascii="Arial" w:eastAsia="Calibri" w:hAnsi="Arial" w:cs="Arial"/>
          <w:sz w:val="20"/>
          <w:szCs w:val="20"/>
        </w:rPr>
        <w:t>xiv</w:t>
      </w:r>
      <w:proofErr w:type="spellEnd"/>
      <w:r w:rsidRPr="00C4688B">
        <w:rPr>
          <w:rFonts w:ascii="Arial" w:eastAsia="Calibri" w:hAnsi="Arial" w:cs="Arial"/>
          <w:sz w:val="20"/>
          <w:szCs w:val="20"/>
        </w:rPr>
        <w:t xml:space="preserve">) documentos técnicos adicionales –los que la entidad considere como manuales, guías, apéndices, anexos o similares, requeridos para la ejecución del contrato–. </w:t>
      </w:r>
    </w:p>
    <w:p w14:paraId="2E82F412" w14:textId="77777777" w:rsidR="002603F3" w:rsidRPr="00C4688B" w:rsidRDefault="002603F3" w:rsidP="00B140BD">
      <w:pPr>
        <w:jc w:val="both"/>
        <w:rPr>
          <w:rFonts w:ascii="Arial" w:eastAsia="Calibri" w:hAnsi="Arial" w:cs="Arial"/>
          <w:sz w:val="20"/>
          <w:szCs w:val="20"/>
        </w:rPr>
      </w:pPr>
    </w:p>
    <w:p w14:paraId="1ADBBFC7" w14:textId="77777777" w:rsidR="00F859FC" w:rsidRDefault="00F859FC" w:rsidP="00B140BD">
      <w:pPr>
        <w:jc w:val="both"/>
        <w:rPr>
          <w:rFonts w:ascii="Arial" w:eastAsia="Calibri" w:hAnsi="Arial" w:cs="Arial"/>
          <w:sz w:val="20"/>
          <w:szCs w:val="20"/>
        </w:rPr>
      </w:pPr>
      <w:r w:rsidRPr="00F859FC">
        <w:rPr>
          <w:rFonts w:ascii="Arial" w:eastAsia="Calibri" w:hAnsi="Arial" w:cs="Arial"/>
          <w:sz w:val="20"/>
          <w:szCs w:val="20"/>
        </w:rPr>
        <w:t xml:space="preserve">Debe tenerse en cuenta que las características del Anexo 1- Anexo Técnico son construidas por la entidad, con el fin de establecer las condiciones técnicas que deben cumplir los posibles proponentes que pretendan presentarse dentro del proceso de selección. En esa orientación, el numeral 1.15 del Documento Base establece como causales de rechazo en torno al Anexo Técnico las siguientes: i)  « Ofrecer un plazo superior al señalado por la entidad en el Anexo 1 – Anexo Técnico», causal consagrada en el literal AA de los Documentos tipo de licitación de obra pública de </w:t>
      </w:r>
      <w:proofErr w:type="spellStart"/>
      <w:r w:rsidRPr="00F859FC">
        <w:rPr>
          <w:rFonts w:ascii="Arial" w:eastAsia="Calibri" w:hAnsi="Arial" w:cs="Arial"/>
          <w:sz w:val="20"/>
          <w:szCs w:val="20"/>
        </w:rPr>
        <w:t>infraestrutura</w:t>
      </w:r>
      <w:proofErr w:type="spellEnd"/>
      <w:r w:rsidRPr="00F859FC">
        <w:rPr>
          <w:rFonts w:ascii="Arial" w:eastAsia="Calibri" w:hAnsi="Arial" w:cs="Arial"/>
          <w:sz w:val="20"/>
          <w:szCs w:val="20"/>
        </w:rPr>
        <w:t xml:space="preserve"> de transporte, y en el literal EE de estos documentos tipo para la modalidad de selección abreviada de menor cuantía, y </w:t>
      </w:r>
      <w:proofErr w:type="spellStart"/>
      <w:r w:rsidRPr="00F859FC">
        <w:rPr>
          <w:rFonts w:ascii="Arial" w:eastAsia="Calibri" w:hAnsi="Arial" w:cs="Arial"/>
          <w:sz w:val="20"/>
          <w:szCs w:val="20"/>
        </w:rPr>
        <w:t>ii</w:t>
      </w:r>
      <w:proofErr w:type="spellEnd"/>
      <w:r w:rsidRPr="00F859FC">
        <w:rPr>
          <w:rFonts w:ascii="Arial" w:eastAsia="Calibri" w:hAnsi="Arial" w:cs="Arial"/>
          <w:sz w:val="20"/>
          <w:szCs w:val="20"/>
        </w:rPr>
        <w:t xml:space="preserve">)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 causal consagrada en el literal </w:t>
      </w:r>
      <w:proofErr w:type="spellStart"/>
      <w:r w:rsidRPr="00F859FC">
        <w:rPr>
          <w:rFonts w:ascii="Arial" w:eastAsia="Calibri" w:hAnsi="Arial" w:cs="Arial"/>
          <w:sz w:val="20"/>
          <w:szCs w:val="20"/>
        </w:rPr>
        <w:t>BB</w:t>
      </w:r>
      <w:proofErr w:type="spellEnd"/>
      <w:r w:rsidRPr="00F859FC">
        <w:rPr>
          <w:rFonts w:ascii="Arial" w:eastAsia="Calibri" w:hAnsi="Arial" w:cs="Arial"/>
          <w:sz w:val="20"/>
          <w:szCs w:val="20"/>
        </w:rPr>
        <w:t xml:space="preserve"> de los Documentos tipo de licitación de obra pública de </w:t>
      </w:r>
      <w:proofErr w:type="spellStart"/>
      <w:r w:rsidRPr="00F859FC">
        <w:rPr>
          <w:rFonts w:ascii="Arial" w:eastAsia="Calibri" w:hAnsi="Arial" w:cs="Arial"/>
          <w:sz w:val="20"/>
          <w:szCs w:val="20"/>
        </w:rPr>
        <w:t>infraestrutura</w:t>
      </w:r>
      <w:proofErr w:type="spellEnd"/>
      <w:r w:rsidRPr="00F859FC">
        <w:rPr>
          <w:rFonts w:ascii="Arial" w:eastAsia="Calibri" w:hAnsi="Arial" w:cs="Arial"/>
          <w:sz w:val="20"/>
          <w:szCs w:val="20"/>
        </w:rPr>
        <w:t xml:space="preserve"> de transporte, y en el literal FF de estos documentos tipo para la modalidad de selección abreviada de menor cuantía</w:t>
      </w:r>
      <w:r>
        <w:rPr>
          <w:rFonts w:ascii="Arial" w:eastAsia="Calibri" w:hAnsi="Arial" w:cs="Arial"/>
          <w:sz w:val="20"/>
          <w:szCs w:val="20"/>
        </w:rPr>
        <w:t>.</w:t>
      </w:r>
    </w:p>
    <w:p w14:paraId="664887C7" w14:textId="77777777" w:rsidR="00F859FC" w:rsidRDefault="00F859FC" w:rsidP="00B140BD">
      <w:pPr>
        <w:jc w:val="both"/>
        <w:rPr>
          <w:rFonts w:ascii="Arial" w:eastAsia="Calibri" w:hAnsi="Arial" w:cs="Arial"/>
          <w:sz w:val="20"/>
          <w:szCs w:val="20"/>
        </w:rPr>
      </w:pPr>
    </w:p>
    <w:p w14:paraId="2DF06EBF" w14:textId="444D587D" w:rsidR="002603F3" w:rsidRPr="00BB78E0" w:rsidRDefault="005232BB" w:rsidP="00B140BD">
      <w:pPr>
        <w:jc w:val="both"/>
        <w:rPr>
          <w:rFonts w:ascii="Arial" w:eastAsia="Calibri" w:hAnsi="Arial" w:cs="Arial"/>
          <w:sz w:val="20"/>
          <w:szCs w:val="20"/>
        </w:rPr>
      </w:pPr>
      <w:r w:rsidRPr="00BB78E0">
        <w:rPr>
          <w:rFonts w:ascii="Arial" w:hAnsi="Arial" w:cs="Arial"/>
          <w:color w:val="000000" w:themeColor="text1"/>
          <w:sz w:val="20"/>
          <w:szCs w:val="20"/>
          <w:lang w:val="es-ES_tradnl"/>
        </w:rPr>
        <w:t xml:space="preserve">La razón por la cual se incluyeron estas causales de rechazo en el pliego tipo de licitación de obra pública de infraestructura de transporte fue evitar que se ofrecieran </w:t>
      </w:r>
      <w:proofErr w:type="gramStart"/>
      <w:r w:rsidRPr="00BB78E0">
        <w:rPr>
          <w:rFonts w:ascii="Arial" w:hAnsi="Arial" w:cs="Arial"/>
          <w:color w:val="000000" w:themeColor="text1"/>
          <w:sz w:val="20"/>
          <w:szCs w:val="20"/>
          <w:lang w:val="es-ES_tradnl"/>
        </w:rPr>
        <w:t>plazos superior</w:t>
      </w:r>
      <w:proofErr w:type="gramEnd"/>
      <w:r w:rsidRPr="00BB78E0">
        <w:rPr>
          <w:rFonts w:ascii="Arial" w:hAnsi="Arial" w:cs="Arial"/>
          <w:color w:val="000000" w:themeColor="text1"/>
          <w:sz w:val="20"/>
          <w:szCs w:val="20"/>
          <w:lang w:val="es-ES_tradnl"/>
        </w:rPr>
        <w:t xml:space="preserve"> al determinado por la entidad para ejecución de la obra o </w:t>
      </w:r>
      <w:r w:rsidRPr="00BB78E0">
        <w:rPr>
          <w:rFonts w:ascii="Arial" w:hAnsi="Arial" w:cs="Arial"/>
          <w:color w:val="201F1E"/>
          <w:sz w:val="20"/>
          <w:szCs w:val="20"/>
          <w:bdr w:val="none" w:sz="0" w:space="0" w:color="auto" w:frame="1"/>
        </w:rPr>
        <w:t xml:space="preserve">condiciones técnicas inferiores o contrarias a las que se exigen en el anexo técnico. En tal sentido, no es posible que los proponentes ofrezcan de antemano ejecutar la obra en tiempo mayor al para ello previsto, ni que expresen que no van a cumplir con alguna especificación técnica exigida en el pliego, bajo la excusa de que ejecutarán el proyecto como ellos prefieren hacerlo. En ese sentido estos eventos </w:t>
      </w:r>
      <w:proofErr w:type="gramStart"/>
      <w:r w:rsidRPr="00BB78E0">
        <w:rPr>
          <w:rFonts w:ascii="Arial" w:hAnsi="Arial" w:cs="Arial"/>
          <w:color w:val="201F1E"/>
          <w:sz w:val="20"/>
          <w:szCs w:val="20"/>
          <w:bdr w:val="none" w:sz="0" w:space="0" w:color="auto" w:frame="1"/>
        </w:rPr>
        <w:t>se  contemplan</w:t>
      </w:r>
      <w:proofErr w:type="gramEnd"/>
      <w:r w:rsidRPr="00BB78E0">
        <w:rPr>
          <w:rFonts w:ascii="Arial" w:hAnsi="Arial" w:cs="Arial"/>
          <w:color w:val="201F1E"/>
          <w:sz w:val="20"/>
          <w:szCs w:val="20"/>
          <w:bdr w:val="none" w:sz="0" w:space="0" w:color="auto" w:frame="1"/>
        </w:rPr>
        <w:t xml:space="preserve"> como causales de rechazo, porque afectan las condiciones mínimas requeridas por la entidad en el proceso de contratación</w:t>
      </w:r>
      <w:r w:rsidR="00BB78E0">
        <w:rPr>
          <w:rFonts w:ascii="Arial" w:hAnsi="Arial" w:cs="Arial"/>
          <w:color w:val="201F1E"/>
          <w:sz w:val="20"/>
          <w:szCs w:val="20"/>
          <w:bdr w:val="none" w:sz="0" w:space="0" w:color="auto" w:frame="1"/>
        </w:rPr>
        <w:t>.</w:t>
      </w:r>
    </w:p>
    <w:p w14:paraId="140D875D" w14:textId="77777777" w:rsidR="00BF3E13" w:rsidRPr="00F14E00" w:rsidRDefault="00BF3E13" w:rsidP="00B140BD">
      <w:pPr>
        <w:jc w:val="both"/>
        <w:rPr>
          <w:rFonts w:ascii="Arial" w:hAnsi="Arial" w:cs="Arial"/>
          <w:b/>
          <w:sz w:val="20"/>
          <w:szCs w:val="20"/>
          <w:lang w:val="es-ES" w:eastAsia="es-ES"/>
        </w:rPr>
      </w:pPr>
    </w:p>
    <w:p w14:paraId="697A50BA" w14:textId="30D2B480" w:rsidR="002603F3" w:rsidRPr="00F14E00" w:rsidRDefault="002603F3" w:rsidP="002A0763">
      <w:pPr>
        <w:widowControl w:val="0"/>
        <w:autoSpaceDE w:val="0"/>
        <w:autoSpaceDN w:val="0"/>
        <w:rPr>
          <w:rFonts w:ascii="Arial MT" w:eastAsia="Arial MT" w:hAnsi="Arial MT" w:cs="Arial MT"/>
          <w:sz w:val="22"/>
        </w:rPr>
      </w:pPr>
    </w:p>
    <w:p w14:paraId="1E636D2A" w14:textId="59E80C46" w:rsidR="002603F3" w:rsidRPr="00F14E00" w:rsidRDefault="002603F3" w:rsidP="002A0763">
      <w:pPr>
        <w:widowControl w:val="0"/>
        <w:autoSpaceDE w:val="0"/>
        <w:autoSpaceDN w:val="0"/>
        <w:rPr>
          <w:rFonts w:ascii="Arial MT" w:eastAsia="Arial MT" w:hAnsi="Arial MT" w:cs="Arial MT"/>
          <w:sz w:val="22"/>
        </w:rPr>
      </w:pPr>
    </w:p>
    <w:p w14:paraId="362BBCDC" w14:textId="77FAA58D" w:rsidR="002603F3" w:rsidRPr="00F14E00" w:rsidRDefault="002603F3" w:rsidP="002A0763">
      <w:pPr>
        <w:widowControl w:val="0"/>
        <w:autoSpaceDE w:val="0"/>
        <w:autoSpaceDN w:val="0"/>
        <w:rPr>
          <w:rFonts w:ascii="Arial MT" w:eastAsia="Arial MT" w:hAnsi="Arial MT" w:cs="Arial MT"/>
          <w:sz w:val="22"/>
        </w:rPr>
      </w:pPr>
    </w:p>
    <w:p w14:paraId="71B06DDB" w14:textId="5999E429" w:rsidR="0086272D" w:rsidRPr="0086272D" w:rsidRDefault="0086272D" w:rsidP="0086272D">
      <w:pPr>
        <w:widowControl w:val="0"/>
        <w:autoSpaceDE w:val="0"/>
        <w:autoSpaceDN w:val="0"/>
        <w:ind w:left="4825"/>
        <w:rPr>
          <w:rFonts w:ascii="Times New Roman" w:eastAsia="Arial MT" w:hAnsi="Arial MT" w:cs="Arial MT"/>
          <w:sz w:val="20"/>
          <w:lang w:val="es-ES"/>
        </w:rPr>
      </w:pPr>
    </w:p>
    <w:p w14:paraId="07791F22" w14:textId="77777777" w:rsidR="0086272D" w:rsidRPr="0086272D" w:rsidRDefault="0086272D" w:rsidP="0086272D">
      <w:pPr>
        <w:widowControl w:val="0"/>
        <w:autoSpaceDE w:val="0"/>
        <w:autoSpaceDN w:val="0"/>
        <w:spacing w:before="1"/>
        <w:rPr>
          <w:rFonts w:ascii="Times New Roman" w:eastAsia="Arial MT" w:hAnsi="Arial MT" w:cs="Arial MT"/>
          <w:sz w:val="18"/>
          <w:lang w:val="es-ES"/>
        </w:rPr>
      </w:pPr>
    </w:p>
    <w:p w14:paraId="21A3561C" w14:textId="2B5B9D75" w:rsidR="00B47D0B" w:rsidRDefault="00B47D0B">
      <w:pPr>
        <w:spacing w:after="200" w:line="276" w:lineRule="auto"/>
        <w:rPr>
          <w:rFonts w:ascii="Arial" w:eastAsia="Arial MT" w:hAnsi="Arial MT" w:cs="Arial MT"/>
          <w:b/>
          <w:color w:val="585858"/>
          <w:sz w:val="18"/>
          <w:lang w:val="es-ES"/>
        </w:rPr>
      </w:pPr>
      <w:r>
        <w:rPr>
          <w:rFonts w:ascii="Arial" w:eastAsia="Arial MT" w:hAnsi="Arial MT" w:cs="Arial MT"/>
          <w:b/>
          <w:color w:val="585858"/>
          <w:sz w:val="18"/>
          <w:lang w:val="es-ES"/>
        </w:rPr>
        <w:br w:type="page"/>
      </w:r>
    </w:p>
    <w:p w14:paraId="4CAC1A37" w14:textId="4255322C" w:rsidR="0086272D" w:rsidRPr="0086272D" w:rsidRDefault="00B87BF8" w:rsidP="0086272D">
      <w:pPr>
        <w:widowControl w:val="0"/>
        <w:autoSpaceDE w:val="0"/>
        <w:autoSpaceDN w:val="0"/>
        <w:spacing w:before="94"/>
        <w:ind w:right="173"/>
        <w:jc w:val="right"/>
        <w:rPr>
          <w:rFonts w:ascii="Arial" w:eastAsia="Arial MT" w:hAnsi="Arial MT" w:cs="Arial MT"/>
          <w:b/>
          <w:sz w:val="18"/>
          <w:lang w:val="es-ES"/>
        </w:rPr>
      </w:pPr>
      <w:r w:rsidRPr="00B87BF8">
        <w:rPr>
          <w:rFonts w:ascii="Arial MT" w:eastAsia="Arial MT" w:hAnsi="Arial MT" w:cs="Arial MT"/>
          <w:noProof/>
          <w:sz w:val="22"/>
          <w:lang w:val="es-ES"/>
        </w:rPr>
        <w:lastRenderedPageBreak/>
        <w:drawing>
          <wp:anchor distT="0" distB="0" distL="114300" distR="114300" simplePos="0" relativeHeight="251658240" behindDoc="1" locked="0" layoutInCell="1" allowOverlap="1" wp14:anchorId="32188EAA" wp14:editId="53976FEB">
            <wp:simplePos x="0" y="0"/>
            <wp:positionH relativeFrom="margin">
              <wp:posOffset>2838202</wp:posOffset>
            </wp:positionH>
            <wp:positionV relativeFrom="paragraph">
              <wp:posOffset>-703176</wp:posOffset>
            </wp:positionV>
            <wp:extent cx="2945080" cy="72881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5080" cy="728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72D" w:rsidRPr="0086272D">
        <w:rPr>
          <w:rFonts w:ascii="Arial" w:eastAsia="Arial MT" w:hAnsi="Arial MT" w:cs="Arial MT"/>
          <w:b/>
          <w:color w:val="585858"/>
          <w:sz w:val="18"/>
          <w:lang w:val="es-ES"/>
        </w:rPr>
        <w:t>CCE-DES-FM-17</w:t>
      </w:r>
    </w:p>
    <w:p w14:paraId="01769909" w14:textId="24BEA814" w:rsidR="0086272D" w:rsidRDefault="0086272D" w:rsidP="0086272D">
      <w:pPr>
        <w:widowControl w:val="0"/>
        <w:autoSpaceDE w:val="0"/>
        <w:autoSpaceDN w:val="0"/>
        <w:rPr>
          <w:rFonts w:ascii="Arial" w:eastAsia="Arial MT" w:hAnsi="Arial MT" w:cs="Arial MT"/>
          <w:b/>
          <w:sz w:val="20"/>
          <w:lang w:val="es-ES"/>
        </w:rPr>
      </w:pPr>
    </w:p>
    <w:p w14:paraId="65ADFB6C" w14:textId="5666FE04" w:rsidR="002603F3" w:rsidRPr="008B438D" w:rsidRDefault="002603F3" w:rsidP="002A0763">
      <w:pPr>
        <w:widowControl w:val="0"/>
        <w:autoSpaceDE w:val="0"/>
        <w:autoSpaceDN w:val="0"/>
        <w:rPr>
          <w:rFonts w:ascii="Arial MT" w:eastAsia="Arial MT" w:hAnsi="Arial MT" w:cs="Arial MT"/>
          <w:sz w:val="22"/>
        </w:rPr>
      </w:pPr>
    </w:p>
    <w:p w14:paraId="3CABADFD" w14:textId="1D0D1C9C" w:rsidR="008E4625" w:rsidRDefault="00B87BF8" w:rsidP="00D4187C">
      <w:pPr>
        <w:widowControl w:val="0"/>
        <w:autoSpaceDE w:val="0"/>
        <w:autoSpaceDN w:val="0"/>
        <w:spacing w:before="144"/>
        <w:rPr>
          <w:rFonts w:ascii="Arial" w:hAnsi="Arial" w:cs="Arial"/>
        </w:rPr>
      </w:pPr>
      <w:r>
        <w:rPr>
          <w:rFonts w:ascii="ArialMT" w:hAnsi="ArialMT" w:cs="ArialMT"/>
          <w:color w:val="4E4D4D"/>
          <w:sz w:val="22"/>
          <w:lang w:val="es-CO"/>
        </w:rPr>
        <w:t>Bogotá, 30 Junio 2022</w:t>
      </w:r>
    </w:p>
    <w:p w14:paraId="254D6373" w14:textId="197F43B5" w:rsidR="00B87BF8" w:rsidRDefault="00B87BF8" w:rsidP="00D4187C">
      <w:pPr>
        <w:widowControl w:val="0"/>
        <w:autoSpaceDE w:val="0"/>
        <w:autoSpaceDN w:val="0"/>
        <w:spacing w:before="144"/>
        <w:rPr>
          <w:rFonts w:ascii="Arial MT" w:eastAsia="Arial MT" w:hAnsi="Arial MT" w:cs="Arial MT"/>
          <w:sz w:val="22"/>
          <w:lang w:val="es-ES"/>
        </w:rPr>
      </w:pPr>
    </w:p>
    <w:p w14:paraId="1467BFC7" w14:textId="72A34352" w:rsidR="00C175DA" w:rsidRPr="00430975" w:rsidRDefault="00C175DA" w:rsidP="00D4187C">
      <w:pPr>
        <w:widowControl w:val="0"/>
        <w:autoSpaceDE w:val="0"/>
        <w:autoSpaceDN w:val="0"/>
        <w:spacing w:before="144"/>
        <w:rPr>
          <w:rFonts w:ascii="Arial" w:eastAsia="Arial MT" w:hAnsi="Arial" w:cs="Arial"/>
          <w:sz w:val="22"/>
          <w:lang w:val="es-ES"/>
        </w:rPr>
      </w:pPr>
      <w:r w:rsidRPr="00430975">
        <w:rPr>
          <w:rFonts w:ascii="Arial" w:eastAsia="Arial MT" w:hAnsi="Arial" w:cs="Arial"/>
          <w:sz w:val="22"/>
          <w:lang w:val="es-ES"/>
        </w:rPr>
        <w:t>Señor</w:t>
      </w:r>
      <w:r w:rsidR="001B0A86" w:rsidRPr="00430975">
        <w:rPr>
          <w:rFonts w:ascii="Arial" w:eastAsia="Arial MT" w:hAnsi="Arial" w:cs="Arial"/>
          <w:sz w:val="22"/>
          <w:lang w:val="es-ES"/>
        </w:rPr>
        <w:t>a</w:t>
      </w:r>
    </w:p>
    <w:p w14:paraId="5613BC46" w14:textId="13249EAB" w:rsidR="008B438D" w:rsidRPr="00430975" w:rsidRDefault="001B0A86" w:rsidP="00D4187C">
      <w:pPr>
        <w:widowControl w:val="0"/>
        <w:autoSpaceDE w:val="0"/>
        <w:autoSpaceDN w:val="0"/>
        <w:outlineLvl w:val="0"/>
        <w:rPr>
          <w:rFonts w:ascii="Arial" w:eastAsia="Arial" w:hAnsi="Arial" w:cs="Arial"/>
          <w:b/>
          <w:bCs/>
          <w:sz w:val="22"/>
          <w:lang w:val="es-ES"/>
        </w:rPr>
      </w:pPr>
      <w:r w:rsidRPr="00430975">
        <w:rPr>
          <w:rFonts w:ascii="Arial" w:eastAsia="Arial" w:hAnsi="Arial" w:cs="Arial"/>
          <w:b/>
          <w:bCs/>
          <w:sz w:val="22"/>
          <w:lang w:val="es-ES"/>
        </w:rPr>
        <w:t>Ana Lorena Sierra Díaz</w:t>
      </w:r>
    </w:p>
    <w:p w14:paraId="51A1D5F0" w14:textId="692C74FB" w:rsidR="00C175DA" w:rsidRPr="00430975" w:rsidRDefault="001B0A86" w:rsidP="008B438D">
      <w:pPr>
        <w:widowControl w:val="0"/>
        <w:autoSpaceDE w:val="0"/>
        <w:autoSpaceDN w:val="0"/>
        <w:rPr>
          <w:rFonts w:ascii="Arial" w:eastAsia="Arial MT" w:hAnsi="Arial" w:cs="Arial"/>
          <w:sz w:val="22"/>
          <w:lang w:val="es-ES"/>
        </w:rPr>
      </w:pPr>
      <w:r w:rsidRPr="00430975">
        <w:rPr>
          <w:rFonts w:ascii="Arial" w:eastAsia="Arial MT" w:hAnsi="Arial" w:cs="Arial"/>
          <w:sz w:val="22"/>
          <w:lang w:val="es-ES"/>
        </w:rPr>
        <w:t>abogadaanalorenacontratacion@gmail.com</w:t>
      </w:r>
    </w:p>
    <w:p w14:paraId="0C85C775" w14:textId="77777777" w:rsidR="00B140BD" w:rsidRPr="00F14E00" w:rsidRDefault="00B140BD" w:rsidP="00C175DA">
      <w:pPr>
        <w:widowControl w:val="0"/>
        <w:autoSpaceDE w:val="0"/>
        <w:autoSpaceDN w:val="0"/>
        <w:rPr>
          <w:rFonts w:ascii="Arial MT" w:eastAsia="Arial MT" w:hAnsi="Arial MT" w:cs="Arial MT"/>
          <w:sz w:val="20"/>
          <w:lang w:val="es-ES"/>
        </w:rPr>
      </w:pPr>
    </w:p>
    <w:p w14:paraId="489932A0" w14:textId="7B7EE4B8" w:rsidR="00C175DA" w:rsidRPr="00483C47" w:rsidRDefault="00C175DA" w:rsidP="00884E4C">
      <w:pPr>
        <w:jc w:val="center"/>
        <w:rPr>
          <w:rFonts w:ascii="Arial" w:eastAsia="Calibri" w:hAnsi="Arial" w:cs="Arial"/>
          <w:b/>
          <w:sz w:val="22"/>
        </w:rPr>
      </w:pPr>
      <w:r w:rsidRPr="00483C47">
        <w:rPr>
          <w:rFonts w:ascii="Arial" w:eastAsia="Calibri" w:hAnsi="Arial" w:cs="Arial"/>
          <w:b/>
          <w:sz w:val="22"/>
        </w:rPr>
        <w:t xml:space="preserve">Concepto C – </w:t>
      </w:r>
      <w:r w:rsidR="0083614B">
        <w:rPr>
          <w:rFonts w:ascii="Arial" w:eastAsia="Calibri" w:hAnsi="Arial" w:cs="Arial"/>
          <w:b/>
          <w:sz w:val="22"/>
        </w:rPr>
        <w:t>444</w:t>
      </w:r>
      <w:r w:rsidRPr="00483C47">
        <w:rPr>
          <w:rFonts w:ascii="Arial" w:eastAsia="Calibri" w:hAnsi="Arial" w:cs="Arial"/>
          <w:b/>
          <w:sz w:val="22"/>
        </w:rPr>
        <w:t xml:space="preserve"> de </w:t>
      </w:r>
      <w:r w:rsidR="008B438D" w:rsidRPr="00483C47">
        <w:rPr>
          <w:rFonts w:ascii="Arial" w:eastAsia="Calibri" w:hAnsi="Arial" w:cs="Arial"/>
          <w:b/>
          <w:sz w:val="22"/>
        </w:rPr>
        <w:t>2022</w:t>
      </w:r>
    </w:p>
    <w:p w14:paraId="3838072E" w14:textId="77777777" w:rsidR="00C175DA" w:rsidRDefault="00C175DA" w:rsidP="00C175DA">
      <w:pPr>
        <w:widowControl w:val="0"/>
        <w:autoSpaceDE w:val="0"/>
        <w:autoSpaceDN w:val="0"/>
        <w:spacing w:before="10"/>
        <w:rPr>
          <w:rFonts w:ascii="Arial" w:eastAsia="Arial MT" w:hAnsi="Arial MT" w:cs="Arial MT"/>
          <w:b/>
          <w:sz w:val="35"/>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7B03" w:rsidRPr="005873AF" w14:paraId="64E6FFCD" w14:textId="77777777" w:rsidTr="00B1743F">
        <w:tc>
          <w:tcPr>
            <w:tcW w:w="2689" w:type="dxa"/>
          </w:tcPr>
          <w:p w14:paraId="4D8344B4" w14:textId="77777777" w:rsidR="005A7B03" w:rsidRPr="005873AF" w:rsidRDefault="005A7B03" w:rsidP="00B1743F">
            <w:pPr>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Temas:                                      </w:t>
            </w:r>
          </w:p>
        </w:tc>
        <w:tc>
          <w:tcPr>
            <w:tcW w:w="6237" w:type="dxa"/>
          </w:tcPr>
          <w:p w14:paraId="3FEF92FE" w14:textId="08214C3F" w:rsidR="005A7B03" w:rsidRPr="002F436E" w:rsidRDefault="005A7B03" w:rsidP="002F436E">
            <w:pPr>
              <w:jc w:val="both"/>
              <w:rPr>
                <w:rFonts w:ascii="Arial" w:hAnsi="Arial" w:cs="Arial"/>
                <w:color w:val="000000" w:themeColor="text1"/>
                <w:sz w:val="22"/>
                <w:lang w:val="es-ES"/>
              </w:rPr>
            </w:pPr>
            <w:r w:rsidRPr="002F436E">
              <w:rPr>
                <w:rFonts w:ascii="Arial" w:hAnsi="Arial" w:cs="Arial"/>
                <w:color w:val="000000" w:themeColor="text1"/>
                <w:sz w:val="22"/>
                <w:lang w:val="es-ES_tradnl"/>
              </w:rPr>
              <w:t xml:space="preserve">DOCUMENTOS TIPO – Infraestructura de transporte </w:t>
            </w:r>
            <w:proofErr w:type="gramStart"/>
            <w:r w:rsidRPr="002F436E">
              <w:rPr>
                <w:rFonts w:ascii="Arial" w:hAnsi="Arial" w:cs="Arial"/>
                <w:color w:val="000000" w:themeColor="text1"/>
                <w:sz w:val="22"/>
                <w:lang w:val="es-ES_tradnl"/>
              </w:rPr>
              <w:t>/  DOCUMENTOS</w:t>
            </w:r>
            <w:proofErr w:type="gramEnd"/>
            <w:r w:rsidRPr="002F436E">
              <w:rPr>
                <w:rFonts w:ascii="Arial" w:hAnsi="Arial" w:cs="Arial"/>
                <w:color w:val="000000" w:themeColor="text1"/>
                <w:sz w:val="22"/>
                <w:lang w:val="es-ES_tradnl"/>
              </w:rPr>
              <w:t xml:space="preserve"> TIPO – Regla de inalterabilidad – Excepciones / </w:t>
            </w:r>
            <w:r w:rsidR="002F436E" w:rsidRPr="002F436E">
              <w:rPr>
                <w:rFonts w:ascii="Arial" w:hAnsi="Arial" w:cs="Arial"/>
                <w:color w:val="000000" w:themeColor="text1"/>
                <w:sz w:val="22"/>
                <w:lang w:val="es-ES_tradnl"/>
              </w:rPr>
              <w:t>CAUSALES DE RECHAZO – Carácter taxativo – Numeral 1.15 - Documentos tipo / ANEXO TÉCNICO – Características – Causales de rechazo- Documentos tipo- Infraestructura de transporte</w:t>
            </w:r>
          </w:p>
        </w:tc>
      </w:tr>
      <w:tr w:rsidR="005A7B03" w:rsidRPr="005873AF" w14:paraId="4FCE87CC" w14:textId="77777777" w:rsidTr="00B1743F">
        <w:trPr>
          <w:trHeight w:val="391"/>
        </w:trPr>
        <w:tc>
          <w:tcPr>
            <w:tcW w:w="2689" w:type="dxa"/>
          </w:tcPr>
          <w:p w14:paraId="0CF03A09" w14:textId="77777777" w:rsidR="005A7B03" w:rsidRPr="005873AF" w:rsidRDefault="005A7B03" w:rsidP="00B1743F">
            <w:pPr>
              <w:spacing w:before="120"/>
              <w:jc w:val="both"/>
              <w:rPr>
                <w:rFonts w:ascii="Arial" w:eastAsia="Calibri" w:hAnsi="Arial" w:cs="Arial"/>
                <w:color w:val="000000" w:themeColor="text1"/>
                <w:sz w:val="22"/>
                <w:lang w:val="es-ES_tradnl"/>
              </w:rPr>
            </w:pPr>
            <w:r w:rsidRPr="005873AF">
              <w:rPr>
                <w:rFonts w:ascii="Arial" w:eastAsia="Calibri" w:hAnsi="Arial" w:cs="Arial"/>
                <w:b/>
                <w:color w:val="000000" w:themeColor="text1"/>
                <w:sz w:val="22"/>
                <w:lang w:val="es-ES_tradnl"/>
              </w:rPr>
              <w:t>Radicación</w:t>
            </w:r>
            <w:r w:rsidRPr="005873AF">
              <w:rPr>
                <w:rFonts w:ascii="Arial" w:eastAsia="Calibri" w:hAnsi="Arial" w:cs="Arial"/>
                <w:color w:val="000000" w:themeColor="text1"/>
                <w:sz w:val="22"/>
                <w:lang w:val="es-ES_tradnl"/>
              </w:rPr>
              <w:t xml:space="preserve">:                              </w:t>
            </w:r>
          </w:p>
        </w:tc>
        <w:tc>
          <w:tcPr>
            <w:tcW w:w="6237" w:type="dxa"/>
          </w:tcPr>
          <w:p w14:paraId="76EF2795" w14:textId="76F84A52" w:rsidR="005A7B03" w:rsidRPr="00FA036C" w:rsidRDefault="005A7B03" w:rsidP="00B1743F">
            <w:pPr>
              <w:widowControl w:val="0"/>
              <w:autoSpaceDE w:val="0"/>
              <w:autoSpaceDN w:val="0"/>
              <w:adjustRightInd w:val="0"/>
              <w:spacing w:line="300" w:lineRule="atLeast"/>
              <w:jc w:val="both"/>
              <w:rPr>
                <w:rFonts w:ascii="Arial" w:hAnsi="Arial" w:cs="Arial"/>
                <w:color w:val="000000" w:themeColor="text1"/>
                <w:sz w:val="22"/>
                <w:lang w:val="es-ES_tradnl"/>
              </w:rPr>
            </w:pPr>
            <w:r w:rsidRPr="00E0224A">
              <w:rPr>
                <w:rFonts w:ascii="Arial" w:hAnsi="Arial" w:cs="Arial"/>
                <w:color w:val="000000" w:themeColor="text1"/>
                <w:sz w:val="22"/>
                <w:lang w:val="es-ES_tradnl"/>
              </w:rPr>
              <w:t xml:space="preserve">Respuesta a la consulta </w:t>
            </w:r>
            <w:r w:rsidR="001B0A86" w:rsidRPr="001B0A86">
              <w:rPr>
                <w:rFonts w:ascii="Arial" w:hAnsi="Arial" w:cs="Arial"/>
                <w:color w:val="000000" w:themeColor="text1"/>
                <w:sz w:val="22"/>
                <w:lang w:val="es-ES_tradnl"/>
              </w:rPr>
              <w:t>P20220525005198</w:t>
            </w:r>
          </w:p>
        </w:tc>
      </w:tr>
    </w:tbl>
    <w:p w14:paraId="1A52FB29" w14:textId="77777777" w:rsidR="00EC171C" w:rsidRDefault="00EC171C" w:rsidP="00DE7D58">
      <w:pPr>
        <w:jc w:val="both"/>
        <w:rPr>
          <w:rFonts w:ascii="Arial" w:eastAsia="Calibri" w:hAnsi="Arial" w:cs="Arial"/>
          <w:sz w:val="22"/>
          <w:lang w:val="es-CO"/>
        </w:rPr>
      </w:pPr>
    </w:p>
    <w:p w14:paraId="517A8240" w14:textId="77777777" w:rsidR="005A7B03" w:rsidRPr="00F14E00" w:rsidRDefault="005A7B03" w:rsidP="00DE7D58">
      <w:pPr>
        <w:jc w:val="both"/>
        <w:rPr>
          <w:rFonts w:ascii="Arial" w:eastAsia="Calibri" w:hAnsi="Arial" w:cs="Arial"/>
          <w:sz w:val="22"/>
          <w:lang w:val="es-CO"/>
        </w:rPr>
      </w:pPr>
    </w:p>
    <w:p w14:paraId="23FFBBCE" w14:textId="145C8F05" w:rsidR="00904CD9" w:rsidRPr="00F14E00" w:rsidRDefault="009F6F22" w:rsidP="00904CD9">
      <w:pPr>
        <w:rPr>
          <w:rFonts w:ascii="Arial" w:eastAsia="Calibri" w:hAnsi="Arial" w:cs="Arial"/>
          <w:sz w:val="22"/>
          <w:lang w:val="es-CO"/>
        </w:rPr>
      </w:pPr>
      <w:r w:rsidRPr="00C4688B">
        <w:rPr>
          <w:rFonts w:ascii="Arial" w:eastAsia="Calibri" w:hAnsi="Arial" w:cs="Arial"/>
          <w:sz w:val="22"/>
          <w:lang w:val="es-CO"/>
        </w:rPr>
        <w:t>Estimad</w:t>
      </w:r>
      <w:r w:rsidR="001B0A86">
        <w:rPr>
          <w:rFonts w:ascii="Arial" w:eastAsia="Calibri" w:hAnsi="Arial" w:cs="Arial"/>
          <w:sz w:val="22"/>
          <w:lang w:val="es-CO"/>
        </w:rPr>
        <w:t>a señora Sierra</w:t>
      </w:r>
      <w:r w:rsidR="00567165" w:rsidRPr="00C4688B">
        <w:rPr>
          <w:rFonts w:ascii="Arial" w:eastAsia="Calibri" w:hAnsi="Arial" w:cs="Arial"/>
          <w:sz w:val="22"/>
          <w:lang w:val="es-CO"/>
        </w:rPr>
        <w:t>:</w:t>
      </w:r>
      <w:r w:rsidR="00567165" w:rsidRPr="00F14E00">
        <w:rPr>
          <w:rFonts w:ascii="Arial" w:eastAsia="Calibri" w:hAnsi="Arial" w:cs="Arial"/>
          <w:sz w:val="22"/>
          <w:lang w:val="es-CO"/>
        </w:rPr>
        <w:t xml:space="preserve"> </w:t>
      </w:r>
    </w:p>
    <w:p w14:paraId="24D48CA1" w14:textId="77777777" w:rsidR="00904CD9" w:rsidRPr="00F14E00" w:rsidRDefault="00904CD9" w:rsidP="00904CD9">
      <w:pPr>
        <w:rPr>
          <w:rFonts w:ascii="Arial" w:eastAsia="Calibri" w:hAnsi="Arial" w:cs="Arial"/>
          <w:sz w:val="22"/>
          <w:lang w:val="es-CO"/>
        </w:rPr>
      </w:pPr>
    </w:p>
    <w:p w14:paraId="0923B836" w14:textId="4EBB3429" w:rsidR="00904CD9" w:rsidRPr="00F14E00" w:rsidRDefault="00912BD6" w:rsidP="00904CD9">
      <w:pPr>
        <w:spacing w:line="276" w:lineRule="auto"/>
        <w:ind w:right="49"/>
        <w:jc w:val="both"/>
        <w:rPr>
          <w:rFonts w:ascii="Arial" w:eastAsia="Calibri" w:hAnsi="Arial" w:cs="Arial"/>
          <w:sz w:val="22"/>
          <w:lang w:val="es-CO"/>
        </w:rPr>
      </w:pPr>
      <w:r w:rsidRPr="00F14E00">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w:t>
      </w:r>
      <w:r w:rsidR="00626B4F" w:rsidRPr="00F14E00">
        <w:rPr>
          <w:rFonts w:ascii="Arial" w:eastAsia="Calibri" w:hAnsi="Arial" w:cs="Arial"/>
          <w:sz w:val="22"/>
          <w:lang w:val="es-ES_tradnl"/>
        </w:rPr>
        <w:t xml:space="preserve"> Efici</w:t>
      </w:r>
      <w:r w:rsidR="001A4138" w:rsidRPr="00F14E00">
        <w:rPr>
          <w:rFonts w:ascii="Arial" w:eastAsia="Calibri" w:hAnsi="Arial" w:cs="Arial"/>
          <w:sz w:val="22"/>
          <w:lang w:val="es-ES_tradnl"/>
        </w:rPr>
        <w:t>ent</w:t>
      </w:r>
      <w:r w:rsidR="005D269B">
        <w:rPr>
          <w:rFonts w:ascii="Arial" w:eastAsia="Calibri" w:hAnsi="Arial" w:cs="Arial"/>
          <w:sz w:val="22"/>
          <w:lang w:val="es-ES_tradnl"/>
        </w:rPr>
        <w:t>e responde a su consulta del 25 de mayo</w:t>
      </w:r>
      <w:r w:rsidR="008B438D">
        <w:rPr>
          <w:rFonts w:ascii="Arial" w:eastAsia="Calibri" w:hAnsi="Arial" w:cs="Arial"/>
          <w:sz w:val="22"/>
          <w:lang w:val="es-ES_tradnl"/>
        </w:rPr>
        <w:t xml:space="preserve"> de 2022</w:t>
      </w:r>
      <w:r w:rsidR="001A4138" w:rsidRPr="00F14E00">
        <w:rPr>
          <w:rFonts w:ascii="Arial" w:eastAsia="Calibri" w:hAnsi="Arial" w:cs="Arial"/>
          <w:sz w:val="22"/>
          <w:lang w:val="es-ES_tradnl"/>
        </w:rPr>
        <w:t xml:space="preserve">. </w:t>
      </w:r>
    </w:p>
    <w:p w14:paraId="3A5E9A2D" w14:textId="77777777" w:rsidR="00904CD9" w:rsidRPr="00F14E00" w:rsidRDefault="00904CD9" w:rsidP="00904CD9">
      <w:pPr>
        <w:spacing w:line="276" w:lineRule="auto"/>
        <w:jc w:val="both"/>
        <w:rPr>
          <w:rFonts w:ascii="Arial" w:eastAsia="Calibri" w:hAnsi="Arial" w:cs="Arial"/>
          <w:sz w:val="22"/>
          <w:lang w:val="es-CO"/>
        </w:rPr>
      </w:pPr>
    </w:p>
    <w:p w14:paraId="5A4D90C7" w14:textId="3CFBE737" w:rsidR="00904CD9" w:rsidRPr="00B613EE"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613EE">
        <w:rPr>
          <w:rFonts w:ascii="Arial" w:eastAsia="Calibri" w:hAnsi="Arial" w:cs="Arial"/>
          <w:b/>
          <w:sz w:val="22"/>
          <w:lang w:val="es-CO"/>
        </w:rPr>
        <w:t xml:space="preserve">Problema planteado </w:t>
      </w:r>
    </w:p>
    <w:p w14:paraId="6CB819BA" w14:textId="77777777" w:rsidR="00904CD9" w:rsidRPr="00B613EE" w:rsidRDefault="00904CD9" w:rsidP="00FD7994">
      <w:pPr>
        <w:tabs>
          <w:tab w:val="left" w:pos="426"/>
        </w:tabs>
        <w:spacing w:line="276" w:lineRule="auto"/>
        <w:jc w:val="both"/>
        <w:rPr>
          <w:rFonts w:ascii="Arial" w:eastAsia="Calibri" w:hAnsi="Arial" w:cs="Arial"/>
          <w:b/>
          <w:sz w:val="22"/>
          <w:lang w:val="es-CO"/>
        </w:rPr>
      </w:pPr>
    </w:p>
    <w:p w14:paraId="28632483" w14:textId="5655EA9E" w:rsidR="00582241" w:rsidRDefault="00582241" w:rsidP="00582241">
      <w:pPr>
        <w:spacing w:line="276" w:lineRule="auto"/>
        <w:jc w:val="both"/>
        <w:rPr>
          <w:rFonts w:ascii="Arial" w:hAnsi="Arial" w:cs="Arial"/>
          <w:sz w:val="22"/>
          <w:lang w:val="es-ES"/>
        </w:rPr>
      </w:pPr>
      <w:r>
        <w:rPr>
          <w:rFonts w:ascii="Arial" w:hAnsi="Arial" w:cs="Arial"/>
          <w:sz w:val="22"/>
          <w:lang w:val="es-ES"/>
        </w:rPr>
        <w:t>En relación con las causales de rechazo en los documentos tipo de obra pública de infraestructura de transporte, u</w:t>
      </w:r>
      <w:r w:rsidRPr="00AE5671">
        <w:rPr>
          <w:rFonts w:ascii="Arial" w:hAnsi="Arial" w:cs="Arial"/>
          <w:sz w:val="22"/>
          <w:lang w:val="es-ES"/>
        </w:rPr>
        <w:t xml:space="preserve">sted formuló las siguientes preguntas: </w:t>
      </w:r>
    </w:p>
    <w:p w14:paraId="7E7C8995" w14:textId="77777777" w:rsidR="00582241" w:rsidRDefault="00582241" w:rsidP="00582241">
      <w:pPr>
        <w:spacing w:line="276" w:lineRule="auto"/>
        <w:ind w:firstLine="708"/>
        <w:jc w:val="both"/>
        <w:rPr>
          <w:rFonts w:ascii="Arial" w:hAnsi="Arial" w:cs="Arial"/>
          <w:sz w:val="22"/>
          <w:lang w:val="es-ES"/>
        </w:rPr>
      </w:pPr>
    </w:p>
    <w:p w14:paraId="0AB70AB9" w14:textId="77777777" w:rsidR="00582241" w:rsidRDefault="00582241" w:rsidP="00582241">
      <w:pPr>
        <w:ind w:left="709" w:right="709"/>
        <w:jc w:val="both"/>
        <w:rPr>
          <w:rFonts w:ascii="Arial" w:eastAsia="Calibri" w:hAnsi="Arial" w:cs="Arial"/>
          <w:color w:val="000000"/>
          <w:sz w:val="21"/>
          <w:szCs w:val="21"/>
        </w:rPr>
      </w:pPr>
      <w:r>
        <w:rPr>
          <w:rFonts w:ascii="Arial" w:eastAsia="Calibri" w:hAnsi="Arial" w:cs="Arial"/>
          <w:color w:val="000000"/>
          <w:sz w:val="21"/>
          <w:szCs w:val="21"/>
        </w:rPr>
        <w:t xml:space="preserve">[…] </w:t>
      </w:r>
      <w:r w:rsidRPr="00B74F38">
        <w:rPr>
          <w:rFonts w:ascii="Arial" w:eastAsia="Calibri" w:hAnsi="Arial" w:cs="Arial"/>
          <w:color w:val="000000"/>
          <w:sz w:val="21"/>
          <w:szCs w:val="21"/>
        </w:rPr>
        <w:t xml:space="preserve">requiero de la Agencia se indique de forma expresa, debido a que algunas entidades están aplicando causales de rechazo que no encuentro </w:t>
      </w:r>
      <w:proofErr w:type="gramStart"/>
      <w:r w:rsidRPr="00B74F38">
        <w:rPr>
          <w:rFonts w:ascii="Arial" w:eastAsia="Calibri" w:hAnsi="Arial" w:cs="Arial"/>
          <w:color w:val="000000"/>
          <w:sz w:val="21"/>
          <w:szCs w:val="21"/>
        </w:rPr>
        <w:t>dentro de los pliego</w:t>
      </w:r>
      <w:proofErr w:type="gramEnd"/>
      <w:r w:rsidRPr="00B74F38">
        <w:rPr>
          <w:rFonts w:ascii="Arial" w:eastAsia="Calibri" w:hAnsi="Arial" w:cs="Arial"/>
          <w:color w:val="000000"/>
          <w:sz w:val="21"/>
          <w:szCs w:val="21"/>
        </w:rPr>
        <w:t xml:space="preserve"> tipo de Infraestructura de transporte lo siguiente:</w:t>
      </w:r>
    </w:p>
    <w:p w14:paraId="2B231CC5" w14:textId="77777777" w:rsidR="00582241" w:rsidRDefault="00582241" w:rsidP="00582241">
      <w:pPr>
        <w:ind w:left="709" w:right="709"/>
        <w:jc w:val="both"/>
        <w:rPr>
          <w:rFonts w:ascii="Arial" w:eastAsia="Calibri" w:hAnsi="Arial" w:cs="Arial"/>
          <w:color w:val="000000"/>
          <w:sz w:val="21"/>
          <w:szCs w:val="21"/>
        </w:rPr>
      </w:pPr>
    </w:p>
    <w:p w14:paraId="7D1388EE"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1. En que documento o aparte del Pliego Tipo de Infraestructura de Transporte, se señala como requisito habilitante que los proponentes deben presentar el Anexo 1 - Técnico, ya que este es un documento que debe ser diligenciado por la Entidad Pública, y hasta qué punto debe ser diligenciado o presentado por los oferentes; en el Entendido que algunas Entidades están aplicando la no presentación de ese documento como causal de rechazo. </w:t>
      </w:r>
    </w:p>
    <w:p w14:paraId="71790AB8" w14:textId="77777777" w:rsidR="00582241" w:rsidRDefault="00582241" w:rsidP="00582241">
      <w:pPr>
        <w:ind w:left="709" w:right="709"/>
        <w:jc w:val="both"/>
        <w:rPr>
          <w:rFonts w:ascii="Arial" w:eastAsia="Calibri" w:hAnsi="Arial" w:cs="Arial"/>
          <w:color w:val="000000"/>
          <w:sz w:val="21"/>
          <w:szCs w:val="21"/>
        </w:rPr>
      </w:pPr>
    </w:p>
    <w:p w14:paraId="4B9D2336"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lastRenderedPageBreak/>
        <w:t xml:space="preserve">2. Existe alguna disposición, concepto, directriz que impida a los oferentes subsanar el anexo técnico, bajo las reglas de </w:t>
      </w:r>
      <w:proofErr w:type="spellStart"/>
      <w:r w:rsidRPr="00B74F38">
        <w:rPr>
          <w:rFonts w:ascii="Arial" w:eastAsia="Calibri" w:hAnsi="Arial" w:cs="Arial"/>
          <w:color w:val="000000"/>
          <w:sz w:val="21"/>
          <w:szCs w:val="21"/>
        </w:rPr>
        <w:t>subsanabilidad</w:t>
      </w:r>
      <w:proofErr w:type="spellEnd"/>
      <w:r w:rsidRPr="00B74F38">
        <w:rPr>
          <w:rFonts w:ascii="Arial" w:eastAsia="Calibri" w:hAnsi="Arial" w:cs="Arial"/>
          <w:color w:val="000000"/>
          <w:sz w:val="21"/>
          <w:szCs w:val="21"/>
        </w:rPr>
        <w:t xml:space="preserve"> del pliego de condiciones, justificando que la ausencia de este incide en la comparación de las ofertas.</w:t>
      </w:r>
    </w:p>
    <w:p w14:paraId="665CBDE2" w14:textId="77777777" w:rsidR="00582241" w:rsidRDefault="00582241" w:rsidP="00582241">
      <w:pPr>
        <w:ind w:left="709" w:right="709"/>
        <w:jc w:val="both"/>
        <w:rPr>
          <w:rFonts w:ascii="Arial" w:eastAsia="Calibri" w:hAnsi="Arial" w:cs="Arial"/>
          <w:color w:val="000000"/>
          <w:sz w:val="21"/>
          <w:szCs w:val="21"/>
        </w:rPr>
      </w:pPr>
    </w:p>
    <w:p w14:paraId="0EED7D31"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3. En el entendido que dentro de los documentos que componen el pliego tipo existen otros anexos: (anexo 1- técnico, glosario, minuta, pacto transparencia, cronograma), estos al ser también anexos, puede predicarse de cualquiera de ellos una causal de rechazo.</w:t>
      </w:r>
    </w:p>
    <w:p w14:paraId="47E87E77" w14:textId="77777777" w:rsidR="00582241" w:rsidRDefault="00582241" w:rsidP="00582241">
      <w:pPr>
        <w:ind w:left="709" w:right="709"/>
        <w:jc w:val="both"/>
        <w:rPr>
          <w:rFonts w:ascii="Arial" w:eastAsia="Calibri" w:hAnsi="Arial" w:cs="Arial"/>
          <w:color w:val="000000"/>
          <w:sz w:val="21"/>
          <w:szCs w:val="21"/>
        </w:rPr>
      </w:pPr>
    </w:p>
    <w:p w14:paraId="3D4887E1"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4. Colombia compra eficiente ha señalado en sus conceptos que los documentos que hacen parte del pliego tipo son: </w:t>
      </w:r>
    </w:p>
    <w:p w14:paraId="229184C1" w14:textId="77777777" w:rsidR="00582241" w:rsidRDefault="00582241" w:rsidP="00582241">
      <w:pPr>
        <w:ind w:left="709" w:right="709"/>
        <w:jc w:val="both"/>
        <w:rPr>
          <w:rFonts w:ascii="Arial" w:eastAsia="Calibri" w:hAnsi="Arial" w:cs="Arial"/>
          <w:color w:val="000000"/>
          <w:sz w:val="21"/>
          <w:szCs w:val="21"/>
        </w:rPr>
      </w:pPr>
    </w:p>
    <w:p w14:paraId="439E9490"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A. Anexos </w:t>
      </w:r>
    </w:p>
    <w:p w14:paraId="35B637D9"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B. Matrices </w:t>
      </w:r>
    </w:p>
    <w:p w14:paraId="2A894A03" w14:textId="77777777" w:rsidR="00582241" w:rsidRDefault="00582241" w:rsidP="00582241">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C. Formatos</w:t>
      </w:r>
    </w:p>
    <w:p w14:paraId="6FE9282F" w14:textId="77777777" w:rsidR="00582241" w:rsidRDefault="00582241" w:rsidP="00582241">
      <w:pPr>
        <w:ind w:left="709" w:right="709"/>
        <w:jc w:val="both"/>
        <w:rPr>
          <w:rFonts w:ascii="Arial" w:eastAsia="Calibri" w:hAnsi="Arial" w:cs="Arial"/>
          <w:color w:val="000000"/>
          <w:sz w:val="21"/>
          <w:szCs w:val="21"/>
        </w:rPr>
      </w:pPr>
    </w:p>
    <w:p w14:paraId="5EB77DC5" w14:textId="77777777" w:rsidR="00582241" w:rsidRPr="00B74F38" w:rsidRDefault="00582241" w:rsidP="004A4319">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Cuales, de dichos documentos Anexos, Matrices y Formatos, su no presentación acarrea causales de rechazo, u otra condición especial, por favor enunciarlos detalladamente.</w:t>
      </w:r>
    </w:p>
    <w:p w14:paraId="33FD7DD3" w14:textId="7724CC2F" w:rsidR="009F6F22" w:rsidRPr="008E08B2" w:rsidRDefault="009F6F22" w:rsidP="004A4319">
      <w:pPr>
        <w:pStyle w:val="Default"/>
        <w:ind w:left="709" w:right="709"/>
        <w:jc w:val="both"/>
        <w:rPr>
          <w:color w:val="auto"/>
          <w:sz w:val="21"/>
          <w:szCs w:val="21"/>
          <w:lang w:val="es-ES"/>
        </w:rPr>
      </w:pPr>
      <w:r w:rsidRPr="008E08B2">
        <w:rPr>
          <w:bCs/>
          <w:color w:val="auto"/>
          <w:sz w:val="21"/>
          <w:szCs w:val="21"/>
          <w:lang w:val="es-ES"/>
        </w:rPr>
        <w:t xml:space="preserve"> </w:t>
      </w:r>
    </w:p>
    <w:p w14:paraId="76A6A0AF" w14:textId="77777777" w:rsidR="00003409" w:rsidRPr="00F14E00" w:rsidRDefault="00003409" w:rsidP="004A4319">
      <w:pPr>
        <w:spacing w:line="276" w:lineRule="auto"/>
        <w:jc w:val="both"/>
        <w:rPr>
          <w:rFonts w:ascii="Arial" w:eastAsia="Calibri" w:hAnsi="Arial" w:cs="Arial"/>
          <w:b/>
          <w:sz w:val="22"/>
        </w:rPr>
      </w:pPr>
      <w:r w:rsidRPr="00F14E00">
        <w:rPr>
          <w:rFonts w:ascii="Arial" w:eastAsia="Calibri" w:hAnsi="Arial" w:cs="Arial"/>
          <w:b/>
          <w:sz w:val="22"/>
        </w:rPr>
        <w:t>2. Consideraciones</w:t>
      </w:r>
    </w:p>
    <w:p w14:paraId="716F4877" w14:textId="77777777" w:rsidR="00003409" w:rsidRPr="00F14E00" w:rsidRDefault="00003409" w:rsidP="004A4319">
      <w:pPr>
        <w:jc w:val="both"/>
        <w:rPr>
          <w:rFonts w:ascii="Arial" w:eastAsia="Calibri" w:hAnsi="Arial" w:cs="Arial"/>
          <w:b/>
          <w:sz w:val="22"/>
        </w:rPr>
      </w:pPr>
    </w:p>
    <w:p w14:paraId="7BF71092" w14:textId="6B830C26" w:rsidR="00F858AD" w:rsidRPr="00F172AE" w:rsidRDefault="00F858AD" w:rsidP="004A4319">
      <w:pPr>
        <w:spacing w:after="120" w:line="276" w:lineRule="auto"/>
        <w:jc w:val="both"/>
        <w:rPr>
          <w:rFonts w:ascii="Arial" w:hAnsi="Arial" w:cs="Arial"/>
          <w:sz w:val="22"/>
          <w:highlight w:val="yellow"/>
        </w:rPr>
      </w:pPr>
      <w:r w:rsidRPr="0045129A">
        <w:rPr>
          <w:rFonts w:ascii="Arial" w:hAnsi="Arial" w:cs="Arial"/>
          <w:sz w:val="22"/>
        </w:rPr>
        <w:t xml:space="preserve">Para </w:t>
      </w:r>
      <w:r>
        <w:rPr>
          <w:rFonts w:ascii="Arial" w:hAnsi="Arial" w:cs="Arial"/>
          <w:sz w:val="22"/>
        </w:rPr>
        <w:t xml:space="preserve">absolver la consulta </w:t>
      </w:r>
      <w:proofErr w:type="gramStart"/>
      <w:r>
        <w:rPr>
          <w:rFonts w:ascii="Arial" w:hAnsi="Arial" w:cs="Arial"/>
          <w:sz w:val="22"/>
        </w:rPr>
        <w:t>planteada  se</w:t>
      </w:r>
      <w:proofErr w:type="gramEnd"/>
      <w:r>
        <w:rPr>
          <w:rFonts w:ascii="Arial" w:hAnsi="Arial" w:cs="Arial"/>
          <w:sz w:val="22"/>
        </w:rPr>
        <w:t xml:space="preserve"> abordarán los siguientes temas: </w:t>
      </w:r>
      <w:r w:rsidRPr="00B277D3">
        <w:rPr>
          <w:rFonts w:ascii="Arial" w:hAnsi="Arial" w:cs="Arial"/>
          <w:sz w:val="22"/>
        </w:rPr>
        <w:t>i</w:t>
      </w:r>
      <w:r w:rsidRPr="00B277D3">
        <w:t xml:space="preserve">) </w:t>
      </w:r>
      <w:r w:rsidRPr="00F858AD">
        <w:rPr>
          <w:rFonts w:ascii="Arial" w:hAnsi="Arial" w:cs="Arial"/>
          <w:sz w:val="22"/>
        </w:rPr>
        <w:t>Expedición de los documentos tipo de obra pública de infraestructura de transporte</w:t>
      </w:r>
      <w:r w:rsidRPr="00B277D3">
        <w:rPr>
          <w:rFonts w:ascii="Arial" w:hAnsi="Arial" w:cs="Arial"/>
          <w:sz w:val="22"/>
        </w:rPr>
        <w:t xml:space="preserve">; y </w:t>
      </w:r>
      <w:proofErr w:type="spellStart"/>
      <w:r w:rsidRPr="00B277D3">
        <w:rPr>
          <w:rFonts w:ascii="Arial" w:hAnsi="Arial" w:cs="Arial"/>
          <w:sz w:val="22"/>
        </w:rPr>
        <w:t>ii</w:t>
      </w:r>
      <w:proofErr w:type="spellEnd"/>
      <w:r w:rsidRPr="00B277D3">
        <w:rPr>
          <w:rFonts w:ascii="Arial" w:hAnsi="Arial" w:cs="Arial"/>
          <w:sz w:val="22"/>
        </w:rPr>
        <w:t xml:space="preserve">) </w:t>
      </w:r>
      <w:r w:rsidR="00F172AE" w:rsidRPr="00F172AE">
        <w:rPr>
          <w:rFonts w:ascii="Arial" w:hAnsi="Arial" w:cs="Arial"/>
          <w:sz w:val="22"/>
        </w:rPr>
        <w:t>Alcance de la regla de inalterabilidad de los documentos tipo y sus excepciones</w:t>
      </w:r>
      <w:r w:rsidR="00582241">
        <w:rPr>
          <w:rFonts w:ascii="Arial" w:hAnsi="Arial" w:cs="Arial"/>
          <w:sz w:val="22"/>
        </w:rPr>
        <w:t xml:space="preserve">, </w:t>
      </w:r>
      <w:r w:rsidR="00F172AE">
        <w:rPr>
          <w:rFonts w:ascii="Arial" w:hAnsi="Arial" w:cs="Arial"/>
          <w:sz w:val="22"/>
        </w:rPr>
        <w:t xml:space="preserve"> </w:t>
      </w:r>
      <w:proofErr w:type="spellStart"/>
      <w:r w:rsidR="00F172AE">
        <w:rPr>
          <w:rFonts w:ascii="Arial" w:hAnsi="Arial" w:cs="Arial"/>
          <w:sz w:val="22"/>
        </w:rPr>
        <w:t>iii</w:t>
      </w:r>
      <w:proofErr w:type="spellEnd"/>
      <w:r w:rsidR="00F172AE">
        <w:rPr>
          <w:rFonts w:ascii="Arial" w:hAnsi="Arial" w:cs="Arial"/>
          <w:sz w:val="22"/>
        </w:rPr>
        <w:t xml:space="preserve">) </w:t>
      </w:r>
      <w:proofErr w:type="spellStart"/>
      <w:r w:rsidR="00582241" w:rsidRPr="00582241">
        <w:rPr>
          <w:rFonts w:ascii="Arial" w:hAnsi="Arial" w:cs="Arial"/>
          <w:sz w:val="22"/>
        </w:rPr>
        <w:t>Subsanabilidad</w:t>
      </w:r>
      <w:proofErr w:type="spellEnd"/>
      <w:r w:rsidR="00582241" w:rsidRPr="00582241">
        <w:rPr>
          <w:rFonts w:ascii="Arial" w:hAnsi="Arial" w:cs="Arial"/>
          <w:sz w:val="22"/>
        </w:rPr>
        <w:t xml:space="preserve"> en los documentos tipo de obra pública de infraestructura de transporte</w:t>
      </w:r>
      <w:r w:rsidR="00582241">
        <w:rPr>
          <w:rFonts w:ascii="Arial" w:hAnsi="Arial" w:cs="Arial"/>
          <w:sz w:val="22"/>
        </w:rPr>
        <w:t xml:space="preserve"> y </w:t>
      </w:r>
      <w:proofErr w:type="spellStart"/>
      <w:r w:rsidR="00582241">
        <w:rPr>
          <w:rFonts w:ascii="Arial" w:hAnsi="Arial" w:cs="Arial"/>
          <w:sz w:val="22"/>
        </w:rPr>
        <w:t>iv</w:t>
      </w:r>
      <w:proofErr w:type="spellEnd"/>
      <w:r w:rsidR="00582241">
        <w:rPr>
          <w:rFonts w:ascii="Arial" w:hAnsi="Arial" w:cs="Arial"/>
          <w:sz w:val="22"/>
        </w:rPr>
        <w:t>) Causales de rechazo y su carácter taxativo</w:t>
      </w:r>
      <w:r w:rsidR="00F26E22">
        <w:rPr>
          <w:rFonts w:ascii="Arial" w:hAnsi="Arial" w:cs="Arial"/>
          <w:sz w:val="22"/>
        </w:rPr>
        <w:t xml:space="preserve"> en los documentos tipo</w:t>
      </w:r>
      <w:r w:rsidR="00582241">
        <w:rPr>
          <w:rFonts w:ascii="Arial" w:hAnsi="Arial" w:cs="Arial"/>
          <w:sz w:val="22"/>
        </w:rPr>
        <w:t xml:space="preserve"> y v)</w:t>
      </w:r>
      <w:r w:rsidR="00F172AE">
        <w:rPr>
          <w:rFonts w:ascii="Arial" w:hAnsi="Arial" w:cs="Arial"/>
          <w:sz w:val="22"/>
        </w:rPr>
        <w:t xml:space="preserve"> </w:t>
      </w:r>
      <w:r w:rsidR="00F172AE" w:rsidRPr="00F172AE">
        <w:rPr>
          <w:rFonts w:ascii="Arial" w:hAnsi="Arial" w:cs="Arial"/>
          <w:sz w:val="22"/>
        </w:rPr>
        <w:t>Alcance del «Anexo 1 – Anexo Técnico»</w:t>
      </w:r>
      <w:r w:rsidR="00F26E22">
        <w:rPr>
          <w:rFonts w:ascii="Arial" w:hAnsi="Arial" w:cs="Arial"/>
          <w:sz w:val="22"/>
        </w:rPr>
        <w:t>. Procedencia del rechazo de la oferta.</w:t>
      </w:r>
    </w:p>
    <w:p w14:paraId="0FE5E82E" w14:textId="509A37E9" w:rsidR="00F172AE" w:rsidRPr="00F14E00" w:rsidRDefault="00F172AE" w:rsidP="004A4319">
      <w:pPr>
        <w:spacing w:line="276" w:lineRule="auto"/>
        <w:ind w:firstLine="708"/>
        <w:jc w:val="both"/>
        <w:rPr>
          <w:rFonts w:ascii="Arial" w:hAnsi="Arial" w:cs="Arial"/>
          <w:sz w:val="22"/>
          <w:shd w:val="clear" w:color="auto" w:fill="FFFFFF"/>
          <w:lang w:val="es-CO"/>
        </w:rPr>
      </w:pPr>
      <w:r w:rsidRPr="00F14E00">
        <w:rPr>
          <w:rStyle w:val="normaltextrun"/>
          <w:rFonts w:ascii="Arial" w:hAnsi="Arial" w:cs="Arial"/>
          <w:sz w:val="22"/>
          <w:shd w:val="clear" w:color="auto" w:fill="FFFFFF"/>
          <w:lang w:val="es-CO"/>
        </w:rPr>
        <w:t>La Agencia Nacional de Contratación Pública − Colombia Compra Eficiente </w:t>
      </w:r>
      <w:r>
        <w:rPr>
          <w:rStyle w:val="normaltextrun"/>
          <w:rFonts w:ascii="Arial" w:hAnsi="Arial" w:cs="Arial"/>
          <w:sz w:val="22"/>
          <w:shd w:val="clear" w:color="auto" w:fill="FFFFFF"/>
          <w:lang w:val="es-CO"/>
        </w:rPr>
        <w:t xml:space="preserve">ha abordado </w:t>
      </w:r>
      <w:r w:rsidR="00F26E22">
        <w:rPr>
          <w:rStyle w:val="normaltextrun"/>
          <w:rFonts w:ascii="Arial" w:hAnsi="Arial" w:cs="Arial"/>
          <w:sz w:val="22"/>
          <w:shd w:val="clear" w:color="auto" w:fill="FFFFFF"/>
          <w:lang w:val="es-CO"/>
        </w:rPr>
        <w:t>el tema de los documentos tipo,</w:t>
      </w:r>
      <w:r>
        <w:rPr>
          <w:rStyle w:val="normaltextrun"/>
          <w:rFonts w:ascii="Arial" w:hAnsi="Arial" w:cs="Arial"/>
          <w:sz w:val="22"/>
          <w:shd w:val="clear" w:color="auto" w:fill="FFFFFF"/>
          <w:lang w:val="es-CO"/>
        </w:rPr>
        <w:t xml:space="preserve"> su inalterabilidad</w:t>
      </w:r>
      <w:r w:rsidR="00F26E22">
        <w:rPr>
          <w:rStyle w:val="normaltextrun"/>
          <w:rFonts w:ascii="Arial" w:hAnsi="Arial" w:cs="Arial"/>
          <w:sz w:val="22"/>
          <w:shd w:val="clear" w:color="auto" w:fill="FFFFFF"/>
          <w:lang w:val="es-CO"/>
        </w:rPr>
        <w:t xml:space="preserve"> y las causales de rechazo</w:t>
      </w:r>
      <w:r>
        <w:rPr>
          <w:rStyle w:val="normaltextrun"/>
          <w:rFonts w:ascii="Arial" w:hAnsi="Arial" w:cs="Arial"/>
          <w:sz w:val="22"/>
          <w:shd w:val="clear" w:color="auto" w:fill="FFFFFF"/>
          <w:lang w:val="es-CO"/>
        </w:rPr>
        <w:t xml:space="preserve">, entre otros, </w:t>
      </w:r>
      <w:r w:rsidRPr="00F14E00">
        <w:rPr>
          <w:rStyle w:val="normaltextrun"/>
          <w:rFonts w:ascii="Arial" w:hAnsi="Arial" w:cs="Arial"/>
          <w:sz w:val="22"/>
          <w:shd w:val="clear" w:color="auto" w:fill="FFFFFF"/>
          <w:lang w:val="es-CO"/>
        </w:rPr>
        <w:t xml:space="preserve">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w:t>
      </w:r>
      <w:r w:rsidRPr="00F14E00">
        <w:rPr>
          <w:rStyle w:val="normaltextrun"/>
          <w:rFonts w:ascii="Arial" w:hAnsi="Arial" w:cs="Arial"/>
          <w:sz w:val="22"/>
          <w:shd w:val="clear" w:color="auto" w:fill="FFFFFF"/>
          <w:lang w:val="es-CO"/>
        </w:rPr>
        <w:lastRenderedPageBreak/>
        <w:t>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w:t>
      </w:r>
      <w:r w:rsidRPr="00F14E00">
        <w:rPr>
          <w:rStyle w:val="normaltextrun"/>
          <w:rFonts w:ascii="Arial" w:hAnsi="Arial" w:cs="Arial"/>
          <w:sz w:val="22"/>
          <w:shd w:val="clear" w:color="auto" w:fill="FFFFFF"/>
          <w:lang w:val="es-ES"/>
        </w:rPr>
        <w:t>C-031 del 1 de febrero de 2021,</w:t>
      </w:r>
      <w:r w:rsidRPr="00F14E00">
        <w:rPr>
          <w:rStyle w:val="normaltextrun"/>
          <w:rFonts w:ascii="Arial" w:hAnsi="Arial" w:cs="Arial"/>
          <w:sz w:val="22"/>
          <w:shd w:val="clear" w:color="auto" w:fill="FFFFFF"/>
          <w:lang w:val="es-CO"/>
        </w:rPr>
        <w:t xml:space="preserve"> C-027 del 1 de marzo de 2021, C-064 del 8 de marzo 2021, </w:t>
      </w:r>
      <w:r w:rsidR="00CE5EC3">
        <w:rPr>
          <w:rFonts w:ascii="Arial" w:eastAsia="Calibri" w:hAnsi="Arial" w:cs="Arial"/>
          <w:sz w:val="22"/>
          <w:szCs w:val="20"/>
        </w:rPr>
        <w:t xml:space="preserve">C-096 del 24 de marzo de </w:t>
      </w:r>
      <w:r w:rsidR="00CE5EC3" w:rsidRPr="00992278">
        <w:rPr>
          <w:rFonts w:ascii="Arial" w:eastAsia="Calibri" w:hAnsi="Arial" w:cs="Arial"/>
          <w:sz w:val="22"/>
          <w:szCs w:val="20"/>
        </w:rPr>
        <w:t xml:space="preserve">2021, </w:t>
      </w:r>
      <w:r w:rsidR="00CE5EC3">
        <w:rPr>
          <w:rStyle w:val="normaltextrun"/>
          <w:rFonts w:ascii="Arial" w:hAnsi="Arial" w:cs="Arial"/>
          <w:sz w:val="22"/>
          <w:shd w:val="clear" w:color="auto" w:fill="FFFFFF"/>
          <w:lang w:val="es-CO"/>
        </w:rPr>
        <w:t xml:space="preserve">C-157 del 13 de abril de 2021, </w:t>
      </w:r>
      <w:r w:rsidR="00CE5EC3" w:rsidRPr="00992278">
        <w:rPr>
          <w:rFonts w:ascii="Arial" w:eastAsia="Calibri" w:hAnsi="Arial" w:cs="Arial"/>
          <w:sz w:val="22"/>
          <w:szCs w:val="20"/>
        </w:rPr>
        <w:t>C-056 del 20 de abril de 2021</w:t>
      </w:r>
      <w:r w:rsidR="00CE5EC3">
        <w:rPr>
          <w:rFonts w:ascii="Arial" w:eastAsia="Calibri" w:hAnsi="Arial" w:cs="Arial"/>
          <w:sz w:val="22"/>
          <w:szCs w:val="20"/>
        </w:rPr>
        <w:t xml:space="preserve">, </w:t>
      </w:r>
      <w:r w:rsidRPr="00F14E00">
        <w:rPr>
          <w:rStyle w:val="normaltextrun"/>
          <w:rFonts w:ascii="Arial" w:hAnsi="Arial" w:cs="Arial"/>
          <w:sz w:val="22"/>
          <w:shd w:val="clear" w:color="auto" w:fill="FFFFFF"/>
          <w:lang w:val="es-CO"/>
        </w:rPr>
        <w:t xml:space="preserve">C-204 del 6 de mayo de 2021, C-555 del 20 de octubre de </w:t>
      </w:r>
      <w:r w:rsidRPr="00F172AE">
        <w:rPr>
          <w:rStyle w:val="normaltextrun"/>
          <w:rFonts w:ascii="Arial" w:hAnsi="Arial" w:cs="Arial"/>
          <w:sz w:val="22"/>
          <w:shd w:val="clear" w:color="auto" w:fill="FFFFFF"/>
          <w:lang w:val="es-CO"/>
        </w:rPr>
        <w:t>2021, C-691 del 28 de</w:t>
      </w:r>
      <w:r w:rsidR="00BB78E0">
        <w:rPr>
          <w:rStyle w:val="normaltextrun"/>
          <w:rFonts w:ascii="Arial" w:hAnsi="Arial" w:cs="Arial"/>
          <w:sz w:val="22"/>
          <w:shd w:val="clear" w:color="auto" w:fill="FFFFFF"/>
          <w:lang w:val="es-CO"/>
        </w:rPr>
        <w:t xml:space="preserve"> diciembre de 2021,</w:t>
      </w:r>
      <w:r w:rsidRPr="00F172AE">
        <w:rPr>
          <w:rStyle w:val="normaltextrun"/>
          <w:rFonts w:ascii="Arial" w:hAnsi="Arial" w:cs="Arial"/>
          <w:sz w:val="22"/>
          <w:shd w:val="clear" w:color="auto" w:fill="FFFFFF"/>
          <w:lang w:val="es-CO"/>
        </w:rPr>
        <w:t xml:space="preserve"> C-753 del </w:t>
      </w:r>
      <w:r w:rsidR="008B438D">
        <w:rPr>
          <w:rStyle w:val="normaltextrun"/>
          <w:rFonts w:ascii="Arial" w:hAnsi="Arial" w:cs="Arial"/>
          <w:sz w:val="22"/>
          <w:shd w:val="clear" w:color="auto" w:fill="FFFFFF"/>
          <w:lang w:val="es-CO"/>
        </w:rPr>
        <w:t>06 de febrero de 2022</w:t>
      </w:r>
      <w:r w:rsidR="00F26E22">
        <w:rPr>
          <w:rStyle w:val="normaltextrun"/>
          <w:rFonts w:ascii="Arial" w:hAnsi="Arial" w:cs="Arial"/>
          <w:sz w:val="22"/>
          <w:shd w:val="clear" w:color="auto" w:fill="FFFFFF"/>
          <w:lang w:val="es-CO"/>
        </w:rPr>
        <w:t>, C-078 del 15 de marzo de 2022,</w:t>
      </w:r>
      <w:r w:rsidR="00BB78E0">
        <w:rPr>
          <w:rStyle w:val="normaltextrun"/>
          <w:rFonts w:ascii="Arial" w:hAnsi="Arial" w:cs="Arial"/>
          <w:sz w:val="22"/>
          <w:shd w:val="clear" w:color="auto" w:fill="FFFFFF"/>
          <w:lang w:val="es-CO"/>
        </w:rPr>
        <w:t xml:space="preserve"> C-321</w:t>
      </w:r>
      <w:r w:rsidR="00F26E22">
        <w:rPr>
          <w:rStyle w:val="normaltextrun"/>
          <w:rFonts w:ascii="Arial" w:hAnsi="Arial" w:cs="Arial"/>
          <w:sz w:val="22"/>
          <w:shd w:val="clear" w:color="auto" w:fill="FFFFFF"/>
          <w:lang w:val="es-CO"/>
        </w:rPr>
        <w:t xml:space="preserve"> del 17 de mayo de 2022, C-113 del 22 de marzo de 2022, C-178 y C-186  del 12 de abril de 2022</w:t>
      </w:r>
      <w:r w:rsidR="002F436E">
        <w:rPr>
          <w:rStyle w:val="Refdenotaalpie"/>
          <w:rFonts w:ascii="Arial" w:hAnsi="Arial" w:cs="Arial"/>
          <w:sz w:val="22"/>
          <w:shd w:val="clear" w:color="auto" w:fill="FFFFFF"/>
          <w:lang w:val="es-CO"/>
        </w:rPr>
        <w:footnoteReference w:id="1"/>
      </w:r>
      <w:r w:rsidR="00F26E22">
        <w:rPr>
          <w:rStyle w:val="normaltextrun"/>
          <w:rFonts w:ascii="Arial" w:hAnsi="Arial" w:cs="Arial"/>
          <w:sz w:val="22"/>
          <w:shd w:val="clear" w:color="auto" w:fill="FFFFFF"/>
          <w:lang w:val="es-CO"/>
        </w:rPr>
        <w:t>.</w:t>
      </w:r>
      <w:r w:rsidRPr="00F172AE">
        <w:rPr>
          <w:rStyle w:val="normaltextrun"/>
          <w:rFonts w:ascii="Arial" w:hAnsi="Arial" w:cs="Arial"/>
          <w:sz w:val="22"/>
          <w:shd w:val="clear" w:color="auto" w:fill="FFFFFF"/>
          <w:lang w:val="es-CO"/>
        </w:rPr>
        <w:t>Las tesis desarrolladas en estos conceptos se reiteran a</w:t>
      </w:r>
      <w:r>
        <w:rPr>
          <w:rStyle w:val="normaltextrun"/>
          <w:rFonts w:ascii="Arial" w:hAnsi="Arial" w:cs="Arial"/>
          <w:sz w:val="22"/>
          <w:shd w:val="clear" w:color="auto" w:fill="FFFFFF"/>
          <w:lang w:val="es-CO"/>
        </w:rPr>
        <w:t xml:space="preserve"> continuación y se complementan en lo pertinente.</w:t>
      </w:r>
    </w:p>
    <w:p w14:paraId="3D9DB932" w14:textId="77777777" w:rsidR="00E0224A" w:rsidRPr="004A4319" w:rsidRDefault="00E0224A" w:rsidP="004A4319">
      <w:pPr>
        <w:spacing w:line="276" w:lineRule="auto"/>
        <w:jc w:val="both"/>
        <w:rPr>
          <w:rFonts w:ascii="Arial" w:eastAsia="Calibri" w:hAnsi="Arial" w:cs="Arial"/>
          <w:b/>
          <w:bCs/>
          <w:sz w:val="22"/>
          <w:lang w:val="es-CO"/>
        </w:rPr>
      </w:pPr>
    </w:p>
    <w:p w14:paraId="7DB757FB" w14:textId="14F8C267" w:rsidR="008B7E23" w:rsidRPr="00F14E00" w:rsidRDefault="008B7E23" w:rsidP="004A4319">
      <w:pPr>
        <w:spacing w:line="276" w:lineRule="auto"/>
        <w:jc w:val="both"/>
        <w:rPr>
          <w:rFonts w:ascii="Arial" w:eastAsia="Calibri" w:hAnsi="Arial" w:cs="Arial"/>
          <w:b/>
          <w:bCs/>
          <w:sz w:val="22"/>
        </w:rPr>
      </w:pPr>
      <w:r w:rsidRPr="00F14E00">
        <w:rPr>
          <w:rFonts w:ascii="Arial" w:eastAsia="Calibri" w:hAnsi="Arial" w:cs="Arial"/>
          <w:b/>
          <w:bCs/>
          <w:sz w:val="22"/>
        </w:rPr>
        <w:t>2.1. Expedición de los documentos tipo de obra pública de infraestructura de transporte</w:t>
      </w:r>
    </w:p>
    <w:p w14:paraId="7DB72FC4" w14:textId="77777777" w:rsidR="008B7E23" w:rsidRPr="00F14E00" w:rsidRDefault="008B7E23" w:rsidP="004A4319">
      <w:pPr>
        <w:spacing w:line="276" w:lineRule="auto"/>
        <w:jc w:val="both"/>
        <w:rPr>
          <w:rFonts w:ascii="Arial" w:eastAsia="Calibri" w:hAnsi="Arial" w:cs="Arial"/>
          <w:b/>
          <w:bCs/>
          <w:sz w:val="22"/>
        </w:rPr>
      </w:pPr>
    </w:p>
    <w:p w14:paraId="77B06E82" w14:textId="4468F3C5" w:rsidR="008B7E23" w:rsidRPr="00F14E00" w:rsidRDefault="00E36F58" w:rsidP="004A4319">
      <w:pPr>
        <w:shd w:val="clear" w:color="auto" w:fill="FFFFFF"/>
        <w:spacing w:after="120" w:line="276" w:lineRule="auto"/>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Los pliegos tipo tiene su origen</w:t>
      </w:r>
      <w:r w:rsidR="008B7E23" w:rsidRPr="00F14E00">
        <w:rPr>
          <w:rFonts w:ascii="Arial" w:eastAsia="Calibri" w:hAnsi="Arial" w:cs="Arial"/>
          <w:sz w:val="22"/>
          <w:bdr w:val="none" w:sz="0" w:space="0" w:color="auto" w:frame="1"/>
          <w:lang w:eastAsia="es-CO"/>
        </w:rPr>
        <w:t xml:space="preserve"> en el 2007</w:t>
      </w:r>
      <w:r w:rsidR="00A267B5" w:rsidRPr="00F14E00">
        <w:rPr>
          <w:rFonts w:ascii="Arial" w:eastAsia="Calibri" w:hAnsi="Arial" w:cs="Arial"/>
          <w:sz w:val="22"/>
          <w:bdr w:val="none" w:sz="0" w:space="0" w:color="auto" w:frame="1"/>
          <w:lang w:eastAsia="es-CO"/>
        </w:rPr>
        <w:t>,</w:t>
      </w:r>
      <w:r w:rsidR="008B7E23" w:rsidRPr="00F14E00">
        <w:rPr>
          <w:rFonts w:ascii="Arial" w:eastAsia="Calibri" w:hAnsi="Arial" w:cs="Arial"/>
          <w:sz w:val="22"/>
          <w:bdr w:val="none" w:sz="0" w:space="0" w:color="auto" w:frame="1"/>
          <w:lang w:eastAsia="es-CO"/>
        </w:rPr>
        <w:t xml:space="preserve"> cuando el legislador facultó al Gobierno Nacional para adoptarlos en la compra o suministro de bienes de características técnicas uniformes</w:t>
      </w:r>
      <w:r w:rsidR="008B7E23" w:rsidRPr="00F14E00">
        <w:rPr>
          <w:rFonts w:ascii="Arial" w:eastAsia="Calibri" w:hAnsi="Arial" w:cs="Arial"/>
          <w:sz w:val="22"/>
          <w:bdr w:val="none" w:sz="0" w:space="0" w:color="auto" w:frame="1"/>
          <w:vertAlign w:val="superscript"/>
          <w:lang w:eastAsia="es-CO"/>
        </w:rPr>
        <w:footnoteReference w:id="2"/>
      </w:r>
      <w:r w:rsidR="008B7E23" w:rsidRPr="00F14E00">
        <w:rPr>
          <w:rFonts w:ascii="Arial" w:eastAsia="Calibri" w:hAnsi="Arial" w:cs="Arial"/>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008B7E23" w:rsidRPr="00F14E00">
        <w:rPr>
          <w:rFonts w:ascii="Arial" w:eastAsia="Calibri" w:hAnsi="Arial" w:cs="Arial"/>
          <w:sz w:val="22"/>
          <w:bdr w:val="none" w:sz="0" w:space="0" w:color="auto" w:frame="1"/>
          <w:vertAlign w:val="superscript"/>
          <w:lang w:eastAsia="es-CO"/>
        </w:rPr>
        <w:footnoteReference w:id="3"/>
      </w:r>
      <w:r w:rsidR="008B7E23" w:rsidRPr="00F14E00">
        <w:rPr>
          <w:rFonts w:ascii="Arial" w:eastAsia="Calibri" w:hAnsi="Arial" w:cs="Arial"/>
          <w:sz w:val="22"/>
          <w:bdr w:val="none" w:sz="0" w:space="0" w:color="auto" w:frame="1"/>
          <w:lang w:eastAsia="es-CO"/>
        </w:rPr>
        <w:t>. </w:t>
      </w:r>
    </w:p>
    <w:p w14:paraId="468C5841" w14:textId="7DFB2DF6" w:rsidR="008B7E23" w:rsidRPr="00F14E00" w:rsidRDefault="008B7E23" w:rsidP="00767D99">
      <w:pPr>
        <w:shd w:val="clear" w:color="auto" w:fill="FFFFFF"/>
        <w:spacing w:line="276" w:lineRule="auto"/>
        <w:ind w:firstLine="708"/>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 xml:space="preserve">La intención era agilizar y </w:t>
      </w:r>
      <w:r w:rsidR="00E36F58" w:rsidRPr="00F14E00">
        <w:rPr>
          <w:rFonts w:ascii="Arial" w:eastAsia="Calibri" w:hAnsi="Arial" w:cs="Arial"/>
          <w:sz w:val="22"/>
          <w:bdr w:val="none" w:sz="0" w:space="0" w:color="auto" w:frame="1"/>
          <w:lang w:eastAsia="es-CO"/>
        </w:rPr>
        <w:t xml:space="preserve">generar la </w:t>
      </w:r>
      <w:r w:rsidRPr="00F14E00">
        <w:rPr>
          <w:rFonts w:ascii="Arial" w:eastAsia="Calibri" w:hAnsi="Arial" w:cs="Arial"/>
          <w:sz w:val="22"/>
          <w:bdr w:val="none" w:sz="0" w:space="0" w:color="auto" w:frame="1"/>
          <w:lang w:eastAsia="es-CO"/>
        </w:rPr>
        <w:t>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F14E00">
        <w:rPr>
          <w:rFonts w:ascii="Arial" w:eastAsia="Calibri" w:hAnsi="Arial" w:cs="Arial"/>
          <w:sz w:val="22"/>
          <w:bdr w:val="none" w:sz="0" w:space="0" w:color="auto" w:frame="1"/>
          <w:vertAlign w:val="superscript"/>
          <w:lang w:eastAsia="es-CO"/>
        </w:rPr>
        <w:footnoteReference w:id="4"/>
      </w:r>
      <w:r w:rsidRPr="00F14E00">
        <w:rPr>
          <w:rFonts w:ascii="Arial" w:eastAsia="Calibri" w:hAnsi="Arial" w:cs="Arial"/>
          <w:sz w:val="22"/>
          <w:bdr w:val="none" w:sz="0" w:space="0" w:color="auto" w:frame="1"/>
          <w:lang w:eastAsia="es-CO"/>
        </w:rPr>
        <w:t xml:space="preserve">. Sin embargo, en el texto </w:t>
      </w:r>
      <w:r w:rsidRPr="00F14E00">
        <w:rPr>
          <w:rFonts w:ascii="Arial" w:eastAsia="Calibri" w:hAnsi="Arial" w:cs="Arial"/>
          <w:sz w:val="22"/>
          <w:bdr w:val="none" w:sz="0" w:space="0" w:color="auto" w:frame="1"/>
          <w:lang w:eastAsia="es-CO"/>
        </w:rPr>
        <w:lastRenderedPageBreak/>
        <w:t>aprobado, los pliegos tipo se limitaron a la adquisición o suministro de bienes de características técnicas uniformes</w:t>
      </w:r>
      <w:r w:rsidRPr="00F14E00">
        <w:rPr>
          <w:rFonts w:ascii="Arial" w:eastAsia="Calibri" w:hAnsi="Arial" w:cs="Arial"/>
          <w:sz w:val="22"/>
          <w:bdr w:val="none" w:sz="0" w:space="0" w:color="auto" w:frame="1"/>
          <w:vertAlign w:val="superscript"/>
          <w:lang w:eastAsia="es-CO"/>
        </w:rPr>
        <w:footnoteReference w:id="5"/>
      </w:r>
      <w:r w:rsidRPr="00F14E00">
        <w:rPr>
          <w:rFonts w:ascii="Arial" w:eastAsia="Calibri" w:hAnsi="Arial" w:cs="Arial"/>
          <w:sz w:val="22"/>
          <w:bdr w:val="none" w:sz="0" w:space="0" w:color="auto" w:frame="1"/>
          <w:lang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1122862A" w14:textId="77777777" w:rsidR="008B7E23" w:rsidRPr="00F14E00" w:rsidRDefault="008B7E23" w:rsidP="00767D99">
      <w:pPr>
        <w:shd w:val="clear" w:color="auto" w:fill="FFFFFF"/>
        <w:spacing w:line="276" w:lineRule="auto"/>
        <w:ind w:firstLine="709"/>
        <w:jc w:val="both"/>
        <w:rPr>
          <w:rFonts w:ascii="Arial" w:eastAsia="Calibri" w:hAnsi="Arial" w:cs="Arial"/>
          <w:sz w:val="22"/>
          <w:lang w:eastAsia="es-CO"/>
        </w:rPr>
      </w:pPr>
    </w:p>
    <w:p w14:paraId="7481B6D9" w14:textId="77777777" w:rsidR="008B7E23" w:rsidRPr="00F14E00" w:rsidRDefault="008B7E23" w:rsidP="00767D99">
      <w:pPr>
        <w:shd w:val="clear" w:color="auto" w:fill="FFFFFF"/>
        <w:ind w:left="709" w:right="709"/>
        <w:jc w:val="both"/>
        <w:rPr>
          <w:rFonts w:ascii="Arial" w:eastAsia="Calibri" w:hAnsi="Arial" w:cs="Arial"/>
          <w:sz w:val="21"/>
          <w:szCs w:val="21"/>
          <w:bdr w:val="none" w:sz="0" w:space="0" w:color="auto" w:frame="1"/>
          <w:lang w:eastAsia="es-CO"/>
        </w:rPr>
      </w:pPr>
      <w:r w:rsidRPr="00F14E00">
        <w:rPr>
          <w:rFonts w:ascii="Arial" w:eastAsia="Calibri" w:hAnsi="Arial" w:cs="Arial"/>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F14E00">
        <w:rPr>
          <w:rFonts w:ascii="Arial" w:eastAsia="Calibri" w:hAnsi="Arial" w:cs="Arial"/>
          <w:i/>
          <w:iCs/>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F14E00">
        <w:rPr>
          <w:rFonts w:ascii="Arial" w:eastAsia="Calibri" w:hAnsi="Arial" w:cs="Arial"/>
          <w:sz w:val="21"/>
          <w:szCs w:val="21"/>
          <w:bdr w:val="none" w:sz="0" w:space="0" w:color="auto" w:frame="1"/>
          <w:lang w:eastAsia="es-CO"/>
        </w:rPr>
        <w:t> […] </w:t>
      </w:r>
      <w:r w:rsidRPr="00F14E00">
        <w:rPr>
          <w:rFonts w:ascii="Arial" w:eastAsia="Calibri" w:hAnsi="Arial" w:cs="Arial"/>
          <w:i/>
          <w:iCs/>
          <w:sz w:val="21"/>
          <w:szCs w:val="21"/>
          <w:bdr w:val="none" w:sz="0" w:space="0" w:color="auto" w:frame="1"/>
          <w:lang w:eastAsia="es-CO"/>
        </w:rPr>
        <w:t>teniendo en cuenta la naturaleza y cuantía de los contratos</w:t>
      </w:r>
      <w:r w:rsidRPr="00F14E00">
        <w:rPr>
          <w:rFonts w:ascii="Arial" w:eastAsia="Calibri" w:hAnsi="Arial" w:cs="Arial"/>
          <w:sz w:val="21"/>
          <w:szCs w:val="21"/>
          <w:bdr w:val="none" w:sz="0" w:space="0" w:color="auto" w:frame="1"/>
          <w:lang w:eastAsia="es-CO"/>
        </w:rPr>
        <w:t> […]. (Énfasis fuera de texto) </w:t>
      </w:r>
    </w:p>
    <w:p w14:paraId="2F508883" w14:textId="77777777" w:rsidR="008B7E23" w:rsidRPr="00F14E00" w:rsidRDefault="008B7E23" w:rsidP="00767D99">
      <w:pPr>
        <w:shd w:val="clear" w:color="auto" w:fill="FFFFFF"/>
        <w:spacing w:line="276" w:lineRule="auto"/>
        <w:ind w:left="709" w:right="709"/>
        <w:jc w:val="both"/>
        <w:rPr>
          <w:rFonts w:ascii="Arial" w:eastAsia="Calibri" w:hAnsi="Arial" w:cs="Arial"/>
          <w:sz w:val="22"/>
          <w:lang w:eastAsia="es-CO"/>
        </w:rPr>
      </w:pPr>
    </w:p>
    <w:p w14:paraId="3F91CFCC" w14:textId="1E231EBB" w:rsidR="008B7E23" w:rsidRPr="00F14E00" w:rsidRDefault="008B7E23" w:rsidP="00767D99">
      <w:pPr>
        <w:shd w:val="clear" w:color="auto" w:fill="FFFFFF"/>
        <w:spacing w:after="120" w:line="276" w:lineRule="auto"/>
        <w:ind w:firstLine="708"/>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Sin embargo, el 2</w:t>
      </w:r>
      <w:r w:rsidR="00BB78E0">
        <w:rPr>
          <w:rFonts w:ascii="Arial" w:eastAsia="Calibri" w:hAnsi="Arial" w:cs="Arial"/>
          <w:sz w:val="22"/>
          <w:bdr w:val="none" w:sz="0" w:space="0" w:color="auto" w:frame="1"/>
          <w:lang w:eastAsia="es-CO"/>
        </w:rPr>
        <w:t>2 de julio de 2020 el Gobierno n</w:t>
      </w:r>
      <w:r w:rsidRPr="00F14E00">
        <w:rPr>
          <w:rFonts w:ascii="Arial" w:eastAsia="Calibri" w:hAnsi="Arial" w:cs="Arial"/>
          <w:sz w:val="22"/>
          <w:bdr w:val="none" w:sz="0" w:space="0" w:color="auto" w:frame="1"/>
          <w:lang w:eastAsia="es-CO"/>
        </w:rPr>
        <w:t>acional sancionó la Ley 2022, que rige a partir de su publicación y cuyo artículo 1 modifica el artículo 4 de la Ley 1882 de 2018 en relación con los siguientes aspectos: i) el sujeto encargado de la adopción de los documentos tipo, ya que antes se</w:t>
      </w:r>
      <w:r w:rsidR="00523A3E">
        <w:rPr>
          <w:rFonts w:ascii="Arial" w:eastAsia="Calibri" w:hAnsi="Arial" w:cs="Arial"/>
          <w:sz w:val="22"/>
          <w:bdr w:val="none" w:sz="0" w:space="0" w:color="auto" w:frame="1"/>
          <w:lang w:eastAsia="es-CO"/>
        </w:rPr>
        <w:t xml:space="preserve"> señalaba al Gobierno n</w:t>
      </w:r>
      <w:r w:rsidRPr="00F14E00">
        <w:rPr>
          <w:rFonts w:ascii="Arial" w:eastAsia="Calibri" w:hAnsi="Arial" w:cs="Arial"/>
          <w:sz w:val="22"/>
          <w:bdr w:val="none" w:sz="0" w:space="0" w:color="auto" w:frame="1"/>
          <w:lang w:eastAsia="es-CO"/>
        </w:rPr>
        <w:t xml:space="preserve">acional y ahora la entidad encargada directamente por la Ley es la Agencia Nacional de Contratación Pública – Colombia Compra Eficiente o quien haga sus veces; </w:t>
      </w:r>
      <w:proofErr w:type="spellStart"/>
      <w:r w:rsidRPr="00F14E00">
        <w:rPr>
          <w:rFonts w:ascii="Arial" w:eastAsia="Calibri" w:hAnsi="Arial" w:cs="Arial"/>
          <w:sz w:val="22"/>
          <w:bdr w:val="none" w:sz="0" w:space="0" w:color="auto" w:frame="1"/>
          <w:lang w:eastAsia="es-CO"/>
        </w:rPr>
        <w:t>ii</w:t>
      </w:r>
      <w:proofErr w:type="spellEnd"/>
      <w:r w:rsidRPr="00F14E00">
        <w:rPr>
          <w:rFonts w:ascii="Arial" w:eastAsia="Calibri" w:hAnsi="Arial" w:cs="Arial"/>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F14E00">
        <w:rPr>
          <w:rFonts w:ascii="Arial" w:eastAsia="Calibri" w:hAnsi="Arial" w:cs="Arial"/>
          <w:sz w:val="22"/>
          <w:bdr w:val="none" w:sz="0" w:space="0" w:color="auto" w:frame="1"/>
          <w:lang w:eastAsia="es-CO"/>
        </w:rPr>
        <w:t>iii</w:t>
      </w:r>
      <w:proofErr w:type="spellEnd"/>
      <w:r w:rsidRPr="00F14E00">
        <w:rPr>
          <w:rFonts w:ascii="Arial" w:eastAsia="Calibri" w:hAnsi="Arial" w:cs="Arial"/>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F14E00">
        <w:rPr>
          <w:rFonts w:ascii="Arial" w:eastAsia="Calibri" w:hAnsi="Arial" w:cs="Arial"/>
          <w:sz w:val="22"/>
          <w:bdr w:val="none" w:sz="0" w:space="0" w:color="auto" w:frame="1"/>
          <w:lang w:eastAsia="es-CO"/>
        </w:rPr>
        <w:t>iv</w:t>
      </w:r>
      <w:proofErr w:type="spellEnd"/>
      <w:r w:rsidRPr="00F14E00">
        <w:rPr>
          <w:rFonts w:ascii="Arial" w:eastAsia="Calibri" w:hAnsi="Arial" w:cs="Arial"/>
          <w:sz w:val="22"/>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F14E00">
        <w:rPr>
          <w:rFonts w:ascii="Arial" w:eastAsia="Calibri" w:hAnsi="Arial" w:cs="Arial"/>
          <w:sz w:val="22"/>
          <w:bdr w:val="none" w:sz="0" w:space="0" w:color="auto" w:frame="1"/>
          <w:vertAlign w:val="superscript"/>
          <w:lang w:eastAsia="es-CO"/>
        </w:rPr>
        <w:footnoteReference w:id="6"/>
      </w:r>
      <w:r w:rsidRPr="00F14E00">
        <w:rPr>
          <w:rFonts w:ascii="Arial" w:eastAsia="Calibri" w:hAnsi="Arial" w:cs="Arial"/>
          <w:sz w:val="22"/>
          <w:bdr w:val="none" w:sz="0" w:space="0" w:color="auto" w:frame="1"/>
          <w:lang w:eastAsia="es-CO"/>
        </w:rPr>
        <w:t>.  </w:t>
      </w:r>
    </w:p>
    <w:p w14:paraId="57DDA684" w14:textId="31365F7B" w:rsidR="008B7E23" w:rsidRPr="00BB78E0" w:rsidRDefault="008B7E23" w:rsidP="00767D99">
      <w:pPr>
        <w:spacing w:after="120" w:line="276" w:lineRule="auto"/>
        <w:ind w:firstLine="709"/>
        <w:jc w:val="both"/>
        <w:rPr>
          <w:rFonts w:ascii="Arial" w:eastAsia="Times New Roman" w:hAnsi="Arial" w:cs="Arial"/>
          <w:sz w:val="22"/>
          <w:highlight w:val="yellow"/>
          <w:bdr w:val="none" w:sz="0" w:space="0" w:color="auto" w:frame="1"/>
          <w:lang w:val="es-ES_tradnl" w:eastAsia="es-CO"/>
        </w:rPr>
      </w:pPr>
      <w:r w:rsidRPr="00F14E00">
        <w:rPr>
          <w:rFonts w:ascii="Arial" w:eastAsia="Calibri" w:hAnsi="Arial" w:cs="Arial"/>
          <w:sz w:val="22"/>
          <w:bdr w:val="none" w:sz="0" w:space="0" w:color="auto" w:frame="1"/>
          <w:lang w:eastAsia="es-CO"/>
        </w:rPr>
        <w:lastRenderedPageBreak/>
        <w:t>Con fundamento en las disposiciones anteriores</w:t>
      </w:r>
      <w:r w:rsidRPr="00F14E00">
        <w:rPr>
          <w:rFonts w:ascii="Arial" w:eastAsia="Times New Roman" w:hAnsi="Arial" w:cs="Arial"/>
          <w:sz w:val="22"/>
          <w:bdr w:val="none" w:sz="0" w:space="0" w:color="auto" w:frame="1"/>
          <w:lang w:val="es-ES_tradnl" w:eastAsia="es-CO"/>
        </w:rPr>
        <w:t>, la Agencia Nacional de Contratación Pública – Colombia Compra Eficiente expidió las Resoluciones No. 240 y 241 del 27 de noviembre 2020, mediante las cuales se adoptan los documentos tipo de licitación de obra pública de infraestructura de transporte –versión 3</w:t>
      </w:r>
      <w:r w:rsidR="00F317BC" w:rsidRPr="00F14E00">
        <w:rPr>
          <w:rFonts w:ascii="Arial" w:eastAsia="Times New Roman" w:hAnsi="Arial" w:cs="Arial"/>
          <w:sz w:val="22"/>
          <w:bdr w:val="none" w:sz="0" w:space="0" w:color="auto" w:frame="1"/>
          <w:lang w:val="es-ES_tradnl" w:eastAsia="es-CO"/>
        </w:rPr>
        <w:t>–</w:t>
      </w:r>
      <w:r w:rsidRPr="00F14E00">
        <w:rPr>
          <w:rFonts w:ascii="Arial" w:eastAsia="Times New Roman" w:hAnsi="Arial" w:cs="Arial"/>
          <w:sz w:val="22"/>
          <w:bdr w:val="none" w:sz="0" w:space="0" w:color="auto" w:frame="1"/>
          <w:lang w:val="es-ES_tradnl" w:eastAsia="es-CO"/>
        </w:rPr>
        <w:t xml:space="preserve"> y de selección abreviada de menor cuantía de obra de infraestructura de transporte –versión 2</w:t>
      </w:r>
      <w:r w:rsidR="00F317BC" w:rsidRPr="00F14E00">
        <w:rPr>
          <w:rFonts w:ascii="Arial" w:eastAsia="Times New Roman" w:hAnsi="Arial" w:cs="Arial"/>
          <w:sz w:val="22"/>
          <w:bdr w:val="none" w:sz="0" w:space="0" w:color="auto" w:frame="1"/>
          <w:lang w:val="es-ES_tradnl" w:eastAsia="es-CO"/>
        </w:rPr>
        <w:softHyphen/>
      </w:r>
      <w:r w:rsidR="00EB351D" w:rsidRPr="00F14E00">
        <w:rPr>
          <w:rFonts w:ascii="Arial" w:eastAsia="Times New Roman" w:hAnsi="Arial" w:cs="Arial"/>
          <w:sz w:val="22"/>
          <w:bdr w:val="none" w:sz="0" w:space="0" w:color="auto" w:frame="1"/>
          <w:lang w:val="es-ES_tradnl" w:eastAsia="es-CO"/>
        </w:rPr>
        <w:t>–</w:t>
      </w:r>
      <w:r w:rsidRPr="00F14E00">
        <w:rPr>
          <w:rFonts w:ascii="Arial" w:eastAsia="Times New Roman" w:hAnsi="Arial" w:cs="Arial"/>
          <w:sz w:val="22"/>
          <w:bdr w:val="none" w:sz="0" w:space="0" w:color="auto" w:frame="1"/>
          <w:lang w:val="es-ES_tradnl" w:eastAsia="es-CO"/>
        </w:rPr>
        <w:t xml:space="preserve">. Estas versiones de los documentos tipo son obligatorias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w:t>
      </w:r>
      <w:r w:rsidRPr="00992278">
        <w:rPr>
          <w:rFonts w:ascii="Arial" w:eastAsia="Times New Roman" w:hAnsi="Arial" w:cs="Arial"/>
          <w:sz w:val="22"/>
          <w:bdr w:val="none" w:sz="0" w:space="0" w:color="auto" w:frame="1"/>
          <w:lang w:val="es-ES_tradnl" w:eastAsia="es-CO"/>
        </w:rPr>
        <w:t xml:space="preserve">publique a partir del 28 de junio de 2021. </w:t>
      </w:r>
      <w:r w:rsidR="002F436E" w:rsidRPr="00992278">
        <w:rPr>
          <w:rFonts w:ascii="Arial" w:eastAsia="Times New Roman" w:hAnsi="Arial" w:cs="Arial"/>
          <w:sz w:val="22"/>
          <w:bdr w:val="none" w:sz="0" w:space="0" w:color="auto" w:frame="1"/>
          <w:lang w:val="es-ES_tradnl" w:eastAsia="es-CO"/>
        </w:rPr>
        <w:t>De</w:t>
      </w:r>
      <w:r w:rsidR="002F436E">
        <w:rPr>
          <w:rFonts w:ascii="Arial" w:eastAsia="Times New Roman" w:hAnsi="Arial" w:cs="Arial"/>
          <w:sz w:val="22"/>
          <w:bdr w:val="none" w:sz="0" w:space="0" w:color="auto" w:frame="1"/>
          <w:lang w:val="es-ES_tradnl" w:eastAsia="es-CO"/>
        </w:rPr>
        <w:t xml:space="preserve"> igual manera, </w:t>
      </w:r>
      <w:r w:rsidR="00992278">
        <w:rPr>
          <w:rFonts w:ascii="Arial" w:eastAsia="Times New Roman" w:hAnsi="Arial" w:cs="Arial"/>
          <w:sz w:val="22"/>
          <w:bdr w:val="none" w:sz="0" w:space="0" w:color="auto" w:frame="1"/>
          <w:lang w:val="es-ES_tradnl" w:eastAsia="es-CO"/>
        </w:rPr>
        <w:t xml:space="preserve">se adoptaron </w:t>
      </w:r>
      <w:r w:rsidR="002F436E" w:rsidRPr="00F14E00">
        <w:rPr>
          <w:rFonts w:ascii="Arial" w:eastAsia="Times New Roman" w:hAnsi="Arial" w:cs="Arial"/>
          <w:sz w:val="22"/>
          <w:bdr w:val="none" w:sz="0" w:space="0" w:color="auto" w:frame="1"/>
          <w:lang w:val="es-ES_tradnl" w:eastAsia="es-CO"/>
        </w:rPr>
        <w:t xml:space="preserve">los documentos tipo de </w:t>
      </w:r>
      <w:r w:rsidR="002F436E">
        <w:rPr>
          <w:rFonts w:ascii="Arial" w:eastAsia="Times New Roman" w:hAnsi="Arial" w:cs="Arial"/>
          <w:sz w:val="22"/>
          <w:bdr w:val="none" w:sz="0" w:space="0" w:color="auto" w:frame="1"/>
          <w:lang w:val="es-ES_tradnl" w:eastAsia="es-CO"/>
        </w:rPr>
        <w:t>mínima cuantía</w:t>
      </w:r>
      <w:r w:rsidR="002F436E" w:rsidRPr="00F14E00">
        <w:rPr>
          <w:rFonts w:ascii="Arial" w:eastAsia="Times New Roman" w:hAnsi="Arial" w:cs="Arial"/>
          <w:sz w:val="22"/>
          <w:bdr w:val="none" w:sz="0" w:space="0" w:color="auto" w:frame="1"/>
          <w:lang w:val="es-ES_tradnl" w:eastAsia="es-CO"/>
        </w:rPr>
        <w:t xml:space="preserve"> de obra pública de infraestructura de transporte</w:t>
      </w:r>
      <w:r w:rsidR="00992278">
        <w:rPr>
          <w:rFonts w:ascii="Arial" w:eastAsia="Times New Roman" w:hAnsi="Arial" w:cs="Arial"/>
          <w:sz w:val="22"/>
          <w:bdr w:val="none" w:sz="0" w:space="0" w:color="auto" w:frame="1"/>
          <w:lang w:val="es-ES_tradnl" w:eastAsia="es-CO"/>
        </w:rPr>
        <w:t xml:space="preserve"> mediante la</w:t>
      </w:r>
      <w:r w:rsidR="002F436E" w:rsidRPr="002F436E">
        <w:rPr>
          <w:rFonts w:ascii="Arial" w:eastAsia="Times New Roman" w:hAnsi="Arial" w:cs="Arial"/>
          <w:sz w:val="22"/>
          <w:bdr w:val="none" w:sz="0" w:space="0" w:color="auto" w:frame="1"/>
          <w:lang w:val="es-ES_tradnl" w:eastAsia="es-CO"/>
        </w:rPr>
        <w:t xml:space="preserve"> Resolución 094 </w:t>
      </w:r>
      <w:r w:rsidR="00992278">
        <w:rPr>
          <w:rFonts w:ascii="Arial" w:eastAsia="Times New Roman" w:hAnsi="Arial" w:cs="Arial"/>
          <w:sz w:val="22"/>
          <w:bdr w:val="none" w:sz="0" w:space="0" w:color="auto" w:frame="1"/>
          <w:lang w:val="es-ES_tradnl" w:eastAsia="es-CO"/>
        </w:rPr>
        <w:t xml:space="preserve">del 21 de mayo </w:t>
      </w:r>
      <w:r w:rsidR="002F436E" w:rsidRPr="002F436E">
        <w:rPr>
          <w:rFonts w:ascii="Arial" w:eastAsia="Times New Roman" w:hAnsi="Arial" w:cs="Arial"/>
          <w:sz w:val="22"/>
          <w:bdr w:val="none" w:sz="0" w:space="0" w:color="auto" w:frame="1"/>
          <w:lang w:val="es-ES_tradnl" w:eastAsia="es-CO"/>
        </w:rPr>
        <w:t>de 2020</w:t>
      </w:r>
      <w:r w:rsidR="00992278" w:rsidRPr="00E57501">
        <w:rPr>
          <w:rStyle w:val="Refdenotaalpie"/>
          <w:rFonts w:ascii="Arial" w:eastAsia="Calibri" w:hAnsi="Arial" w:cs="Arial"/>
        </w:rPr>
        <w:footnoteReference w:id="7"/>
      </w:r>
      <w:r w:rsidR="002F436E" w:rsidRPr="002F436E">
        <w:rPr>
          <w:rFonts w:ascii="Arial" w:eastAsia="Times New Roman" w:hAnsi="Arial" w:cs="Arial"/>
          <w:sz w:val="22"/>
          <w:bdr w:val="none" w:sz="0" w:space="0" w:color="auto" w:frame="1"/>
          <w:lang w:val="es-ES_tradnl" w:eastAsia="es-CO"/>
        </w:rPr>
        <w:t>.</w:t>
      </w:r>
    </w:p>
    <w:p w14:paraId="6D49F4E3" w14:textId="376CC453" w:rsidR="008B7E23" w:rsidRPr="00F14E00" w:rsidRDefault="008B7E23"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992278">
        <w:rPr>
          <w:rFonts w:ascii="Arial" w:eastAsia="Times New Roman" w:hAnsi="Arial" w:cs="Arial"/>
          <w:sz w:val="22"/>
          <w:bdr w:val="none" w:sz="0" w:space="0" w:color="auto" w:frame="1"/>
          <w:lang w:val="es-ES_tradnl" w:eastAsia="es-CO"/>
        </w:rPr>
        <w:t>Además, tenie</w:t>
      </w:r>
      <w:r w:rsidR="00523A3E" w:rsidRPr="00992278">
        <w:rPr>
          <w:rFonts w:ascii="Arial" w:eastAsia="Times New Roman" w:hAnsi="Arial" w:cs="Arial"/>
          <w:sz w:val="22"/>
          <w:bdr w:val="none" w:sz="0" w:space="0" w:color="auto" w:frame="1"/>
          <w:lang w:val="es-ES_tradnl" w:eastAsia="es-CO"/>
        </w:rPr>
        <w:t>ndo en cuenta que el Gobierno n</w:t>
      </w:r>
      <w:r w:rsidRPr="00992278">
        <w:rPr>
          <w:rFonts w:ascii="Arial" w:eastAsia="Times New Roman" w:hAnsi="Arial" w:cs="Arial"/>
          <w:sz w:val="22"/>
          <w:bdr w:val="none" w:sz="0" w:space="0" w:color="auto" w:frame="1"/>
          <w:lang w:val="es-ES_tradnl" w:eastAsia="es-CO"/>
        </w:rPr>
        <w:t>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r w:rsidRPr="00F14E00">
        <w:rPr>
          <w:rFonts w:ascii="Arial" w:eastAsia="Times New Roman" w:hAnsi="Arial" w:cs="Arial"/>
          <w:sz w:val="22"/>
          <w:bdr w:val="none" w:sz="0" w:space="0" w:color="auto" w:frame="1"/>
          <w:lang w:val="es-ES_tradnl" w:eastAsia="es-CO"/>
        </w:rPr>
        <w:t xml:space="preserve"> </w:t>
      </w:r>
    </w:p>
    <w:p w14:paraId="494487A0" w14:textId="502BB278" w:rsidR="008B7E23" w:rsidRPr="00F14E00" w:rsidRDefault="008B7E23" w:rsidP="00767D99">
      <w:pPr>
        <w:spacing w:line="276" w:lineRule="auto"/>
        <w:ind w:firstLine="709"/>
        <w:jc w:val="both"/>
        <w:rPr>
          <w:rFonts w:ascii="Arial" w:eastAsia="Calibri" w:hAnsi="Arial" w:cs="Arial"/>
          <w:sz w:val="22"/>
          <w:lang w:val="es-ES_tradnl"/>
        </w:rPr>
      </w:pPr>
      <w:r w:rsidRPr="00F14E00">
        <w:rPr>
          <w:rFonts w:ascii="Arial" w:eastAsia="Calibri" w:hAnsi="Arial" w:cs="Arial"/>
          <w:sz w:val="22"/>
          <w:lang w:val="es-ES_tradnl" w:eastAsia="es-ES"/>
        </w:rPr>
        <w:t>Cabe aclarar que la Agencia Nacional de Contratación Pública sigue avanzando en la expedición de nuevos documentos tipo. Sin embargo, debe tenerse en cuenta que estos exigen un minucioso desarrollo</w:t>
      </w:r>
      <w:r w:rsidR="00395A3E" w:rsidRPr="00F14E00">
        <w:rPr>
          <w:rFonts w:ascii="Arial" w:eastAsia="Calibri" w:hAnsi="Arial" w:cs="Arial"/>
          <w:sz w:val="22"/>
          <w:lang w:val="es-ES_tradnl" w:eastAsia="es-ES"/>
        </w:rPr>
        <w:t>,</w:t>
      </w:r>
      <w:r w:rsidRPr="00F14E00">
        <w:rPr>
          <w:rFonts w:ascii="Arial" w:eastAsia="Calibri" w:hAnsi="Arial" w:cs="Arial"/>
          <w:sz w:val="22"/>
          <w:lang w:val="es-ES_tradnl" w:eastAsia="es-ES"/>
        </w:rPr>
        <w:t xml:space="preserve"> en el cual se consideran las observaciones de las </w:t>
      </w:r>
      <w:r w:rsidRPr="00F14E00">
        <w:rPr>
          <w:rFonts w:ascii="Arial" w:eastAsia="Calibri" w:hAnsi="Arial" w:cs="Arial"/>
          <w:sz w:val="22"/>
          <w:lang w:val="es-ES_tradnl" w:eastAsia="es-ES"/>
        </w:rPr>
        <w:lastRenderedPageBreak/>
        <w:t>entidades técnicas y especializadas, con la finalidad de expedir documentos tipo que contengan las mejores prácticas contractuales y que procuren el adecuado desarrollo de los principios que rigen la contratación pública.</w:t>
      </w:r>
    </w:p>
    <w:p w14:paraId="148F36D2" w14:textId="6627C365" w:rsidR="0069660F" w:rsidRPr="00F14E00" w:rsidRDefault="0069660F" w:rsidP="00767D99">
      <w:pPr>
        <w:spacing w:line="276" w:lineRule="auto"/>
        <w:jc w:val="both"/>
        <w:rPr>
          <w:rFonts w:ascii="Arial" w:hAnsi="Arial" w:cs="Arial"/>
          <w:sz w:val="22"/>
          <w:bdr w:val="none" w:sz="0" w:space="0" w:color="auto" w:frame="1"/>
          <w:lang w:eastAsia="es-CO"/>
        </w:rPr>
      </w:pPr>
    </w:p>
    <w:p w14:paraId="25E4C2B0" w14:textId="55846F07" w:rsidR="00003409" w:rsidRPr="00F14E00" w:rsidRDefault="008A4852" w:rsidP="00767D99">
      <w:pPr>
        <w:pStyle w:val="Normal11pt"/>
        <w:spacing w:line="276" w:lineRule="auto"/>
        <w:ind w:left="0"/>
        <w:rPr>
          <w:b/>
          <w:bCs/>
          <w:lang w:eastAsia="es-CO"/>
        </w:rPr>
      </w:pPr>
      <w:r>
        <w:rPr>
          <w:b/>
          <w:bCs/>
          <w:color w:val="auto"/>
          <w:bdr w:val="none" w:sz="0" w:space="0" w:color="auto" w:frame="1"/>
          <w:lang w:eastAsia="es-CO"/>
        </w:rPr>
        <w:t>2.2.</w:t>
      </w:r>
      <w:r w:rsidR="00003409" w:rsidRPr="00F14E00">
        <w:rPr>
          <w:b/>
          <w:bCs/>
          <w:lang w:eastAsia="es-CO"/>
        </w:rPr>
        <w:t xml:space="preserve"> Alcance de la regla de inalterabilidad de los documentos tipo y sus excepciones </w:t>
      </w:r>
    </w:p>
    <w:p w14:paraId="4FB5937E" w14:textId="77777777" w:rsidR="00E0224A" w:rsidRDefault="00E0224A" w:rsidP="00767D99">
      <w:pPr>
        <w:spacing w:line="276" w:lineRule="auto"/>
        <w:jc w:val="both"/>
        <w:rPr>
          <w:rFonts w:ascii="Arial" w:eastAsia="Calibri" w:hAnsi="Arial" w:cs="Arial"/>
          <w:sz w:val="22"/>
          <w:lang w:val="es-ES_tradnl"/>
        </w:rPr>
      </w:pPr>
    </w:p>
    <w:p w14:paraId="72DCB9E2" w14:textId="66D68B94" w:rsidR="00003409" w:rsidRPr="00F14E00" w:rsidRDefault="00003409" w:rsidP="00767D99">
      <w:pPr>
        <w:spacing w:after="120" w:line="276" w:lineRule="auto"/>
        <w:jc w:val="both"/>
        <w:rPr>
          <w:rFonts w:ascii="Arial" w:eastAsia="Calibri" w:hAnsi="Arial" w:cs="Arial"/>
          <w:sz w:val="22"/>
          <w:lang w:val="es-ES_tradnl"/>
        </w:rPr>
      </w:pPr>
      <w:r w:rsidRPr="00F14E00">
        <w:rPr>
          <w:rFonts w:ascii="Arial" w:eastAsia="Calibri" w:hAnsi="Arial" w:cs="Arial"/>
          <w:sz w:val="22"/>
          <w:lang w:val="es-ES_tradnl"/>
        </w:rPr>
        <w:t>Todas las resoluciones</w:t>
      </w:r>
      <w:r w:rsidRPr="00F14E00">
        <w:rPr>
          <w:rFonts w:ascii="Arial" w:eastAsia="Calibri" w:hAnsi="Arial" w:cs="Arial"/>
          <w:sz w:val="22"/>
          <w:vertAlign w:val="superscript"/>
          <w:lang w:val="es-ES_tradnl"/>
        </w:rPr>
        <w:footnoteReference w:id="8"/>
      </w:r>
      <w:r w:rsidRPr="00F14E00">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F14E00">
        <w:rPr>
          <w:rFonts w:ascii="Arial" w:eastAsia="Calibri" w:hAnsi="Arial" w:cs="Arial"/>
          <w:i/>
          <w:iCs/>
          <w:sz w:val="22"/>
          <w:lang w:val="es-ES_tradnl"/>
        </w:rPr>
        <w:t>Documentos del Proceso</w:t>
      </w:r>
      <w:r w:rsidRPr="00F14E00">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B4B5EE8" w14:textId="009B73FE" w:rsidR="00F60DF8" w:rsidRPr="00F14E00" w:rsidRDefault="00003409" w:rsidP="00767D99">
      <w:pPr>
        <w:spacing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r w:rsidR="00F60DF8" w:rsidRPr="00F14E00">
        <w:rPr>
          <w:rFonts w:ascii="Arial" w:eastAsia="Calibri" w:hAnsi="Arial" w:cs="Arial"/>
          <w:sz w:val="22"/>
          <w:lang w:val="es-ES_tradnl"/>
        </w:rPr>
        <w:t xml:space="preserve">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18D40512" w14:textId="38958737" w:rsidR="00003409" w:rsidRPr="00F14E00" w:rsidRDefault="00F60DF8" w:rsidP="00767D99">
      <w:pPr>
        <w:spacing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La inalterabilidad de los documentos es una manifestación en mayor grado de las potestades regladas, lo cual implica una reducción de la discrecionalidad de la Administración en el momento de tomar una decisión en el proceso de contratación</w:t>
      </w:r>
      <w:r w:rsidRPr="00F14E00">
        <w:rPr>
          <w:rStyle w:val="Refdenotaalpie"/>
          <w:rFonts w:ascii="Arial" w:eastAsia="Calibri" w:hAnsi="Arial" w:cs="Arial"/>
          <w:sz w:val="22"/>
          <w:lang w:val="es-ES_tradnl"/>
        </w:rPr>
        <w:footnoteReference w:id="9"/>
      </w:r>
      <w:r w:rsidRPr="00F14E00">
        <w:rPr>
          <w:rFonts w:ascii="Arial" w:eastAsia="Calibri" w:hAnsi="Arial" w:cs="Arial"/>
          <w:sz w:val="22"/>
          <w:lang w:val="es-ES_tradnl"/>
        </w:rPr>
        <w:t xml:space="preserve">. Cada </w:t>
      </w:r>
      <w:r w:rsidRPr="00F14E00">
        <w:rPr>
          <w:rFonts w:ascii="Arial" w:eastAsia="Calibri" w:hAnsi="Arial" w:cs="Arial"/>
          <w:sz w:val="22"/>
          <w:lang w:val="es-ES_tradnl"/>
        </w:rPr>
        <w:lastRenderedPageBreak/>
        <w:t xml:space="preserve">entidad pública sujeta a los documentos tipo deberá hacer una aplicación o constatación irrestricta de las reglas y condiciones dispuestas en estos, salvo que las mismas posibilitan la discrecionalidad en determinados aspectos. </w:t>
      </w:r>
    </w:p>
    <w:p w14:paraId="18D341A8" w14:textId="176DFE9B" w:rsidR="00003409" w:rsidRDefault="00003409" w:rsidP="00767D99">
      <w:pPr>
        <w:spacing w:after="120" w:line="276" w:lineRule="auto"/>
        <w:ind w:firstLine="709"/>
        <w:jc w:val="both"/>
        <w:rPr>
          <w:rFonts w:ascii="Arial" w:eastAsia="Calibri" w:hAnsi="Arial" w:cs="Arial"/>
          <w:bCs/>
          <w:sz w:val="22"/>
          <w:lang w:val="es-ES_tradnl"/>
        </w:rPr>
      </w:pPr>
      <w:r w:rsidRPr="00F14E00">
        <w:rPr>
          <w:rFonts w:ascii="Arial" w:eastAsia="Calibri" w:hAnsi="Arial" w:cs="Arial"/>
          <w:bCs/>
          <w:sz w:val="22"/>
          <w:lang w:val="es-ES_tradnl"/>
        </w:rPr>
        <w:t xml:space="preserve">Además, las entidades estatales deben garantizar el </w:t>
      </w:r>
      <w:r w:rsidRPr="00F14E00">
        <w:rPr>
          <w:rFonts w:ascii="Arial" w:eastAsia="Calibri" w:hAnsi="Arial" w:cs="Arial"/>
          <w:bCs/>
          <w:i/>
          <w:iCs/>
          <w:sz w:val="22"/>
          <w:lang w:val="es-ES_tradnl"/>
        </w:rPr>
        <w:t>principio de economía</w:t>
      </w:r>
      <w:r w:rsidRPr="00F14E00">
        <w:rPr>
          <w:rFonts w:ascii="Arial" w:eastAsia="Calibri" w:hAnsi="Arial" w:cs="Arial"/>
          <w:bCs/>
          <w:sz w:val="22"/>
          <w:lang w:val="es-ES_tradnl"/>
        </w:rPr>
        <w:t>, del cual se desprende que no pueden exigir documentos o requisitos más allá de los que permitan la Constitución, la ley y los reglamentos. Este postulado ha sido recogido no solo en la contratación estatal</w:t>
      </w:r>
      <w:r w:rsidRPr="00F14E00">
        <w:rPr>
          <w:rFonts w:ascii="Arial" w:eastAsia="Calibri" w:hAnsi="Arial" w:cs="Arial"/>
          <w:bCs/>
          <w:sz w:val="22"/>
          <w:vertAlign w:val="superscript"/>
          <w:lang w:val="es-ES_tradnl"/>
        </w:rPr>
        <w:footnoteReference w:id="10"/>
      </w:r>
      <w:r w:rsidRPr="00F14E00">
        <w:rPr>
          <w:rFonts w:ascii="Arial" w:eastAsia="Calibri" w:hAnsi="Arial" w:cs="Arial"/>
          <w:bCs/>
          <w:sz w:val="22"/>
          <w:lang w:val="es-ES_tradnl"/>
        </w:rPr>
        <w:t xml:space="preserve"> sino además en la normativa </w:t>
      </w:r>
      <w:proofErr w:type="spellStart"/>
      <w:r w:rsidRPr="00F14E00">
        <w:rPr>
          <w:rFonts w:ascii="Arial" w:eastAsia="Calibri" w:hAnsi="Arial" w:cs="Arial"/>
          <w:bCs/>
          <w:sz w:val="22"/>
          <w:lang w:val="es-ES_tradnl"/>
        </w:rPr>
        <w:t>antitrámites</w:t>
      </w:r>
      <w:proofErr w:type="spellEnd"/>
      <w:r w:rsidRPr="00F14E00">
        <w:rPr>
          <w:rFonts w:ascii="Arial" w:eastAsia="Calibri" w:hAnsi="Arial" w:cs="Arial"/>
          <w:bCs/>
          <w:sz w:val="22"/>
          <w:vertAlign w:val="superscript"/>
          <w:lang w:val="es-ES_tradnl"/>
        </w:rPr>
        <w:footnoteReference w:id="11"/>
      </w:r>
      <w:r w:rsidRPr="00F14E00">
        <w:rPr>
          <w:rFonts w:ascii="Arial" w:eastAsia="Calibri" w:hAnsi="Arial" w:cs="Arial"/>
          <w:bCs/>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2568042A" w14:textId="77777777" w:rsidR="0081562A" w:rsidRDefault="0081562A" w:rsidP="00767D99">
      <w:pPr>
        <w:spacing w:after="120" w:line="276" w:lineRule="auto"/>
        <w:ind w:firstLine="709"/>
        <w:jc w:val="both"/>
        <w:rPr>
          <w:rFonts w:ascii="Arial" w:eastAsia="Calibri" w:hAnsi="Arial" w:cs="Arial"/>
          <w:bCs/>
          <w:sz w:val="22"/>
        </w:rPr>
      </w:pPr>
      <w:r w:rsidRPr="00F14E00">
        <w:rPr>
          <w:rFonts w:ascii="Arial" w:eastAsia="Calibri" w:hAnsi="Arial" w:cs="Arial"/>
          <w:bCs/>
          <w:sz w:val="22"/>
        </w:rPr>
        <w:t>Esta regla de inalterabilidad también aplica a los formatos</w:t>
      </w:r>
      <w:r>
        <w:rPr>
          <w:rFonts w:ascii="Arial" w:eastAsia="Calibri" w:hAnsi="Arial" w:cs="Arial"/>
          <w:bCs/>
          <w:sz w:val="22"/>
        </w:rPr>
        <w:t>, formularios</w:t>
      </w:r>
      <w:r w:rsidRPr="00F14E00">
        <w:rPr>
          <w:rFonts w:ascii="Arial" w:eastAsia="Calibri" w:hAnsi="Arial" w:cs="Arial"/>
          <w:bCs/>
          <w:sz w:val="22"/>
        </w:rPr>
        <w:t xml:space="preserve">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7B8A93C2" w14:textId="5973F499" w:rsidR="00003409" w:rsidRDefault="00003409"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w:t>
      </w:r>
      <w:r w:rsidRPr="00F14E00">
        <w:rPr>
          <w:rFonts w:ascii="Arial" w:eastAsia="Calibri" w:hAnsi="Arial" w:cs="Arial"/>
          <w:sz w:val="22"/>
        </w:rPr>
        <w:lastRenderedPageBreak/>
        <w:t xml:space="preserve">que se diligenciará en los documentos tipo, de acuerdo con su necesidad y las instrucciones de los mismos documentos tipo. </w:t>
      </w:r>
    </w:p>
    <w:p w14:paraId="6881180F" w14:textId="66284739" w:rsidR="0081562A" w:rsidRDefault="00003409" w:rsidP="00767D99">
      <w:pPr>
        <w:spacing w:line="276" w:lineRule="auto"/>
        <w:ind w:firstLine="709"/>
        <w:jc w:val="both"/>
        <w:rPr>
          <w:rFonts w:ascii="Arial" w:eastAsia="Calibri" w:hAnsi="Arial" w:cs="Arial"/>
          <w:bCs/>
          <w:sz w:val="22"/>
        </w:rPr>
      </w:pPr>
      <w:r w:rsidRPr="00F14E00">
        <w:rPr>
          <w:rFonts w:ascii="Arial" w:eastAsia="Calibri" w:hAnsi="Arial" w:cs="Arial"/>
          <w:bCs/>
          <w:sz w:val="22"/>
        </w:rPr>
        <w:t>En suma, la regla general frente la aplicación de los documentos tipo</w:t>
      </w:r>
      <w:r w:rsidR="00EC171C" w:rsidRPr="00F14E00">
        <w:rPr>
          <w:rFonts w:ascii="Arial" w:eastAsia="Calibri" w:hAnsi="Arial" w:cs="Arial"/>
          <w:bCs/>
          <w:sz w:val="22"/>
        </w:rPr>
        <w:t xml:space="preserve"> es su inalterabilidad, y no </w:t>
      </w:r>
      <w:r w:rsidRPr="00F14E00">
        <w:rPr>
          <w:rFonts w:ascii="Arial" w:eastAsia="Calibri" w:hAnsi="Arial" w:cs="Arial"/>
          <w:bCs/>
          <w:sz w:val="22"/>
        </w:rPr>
        <w:t>podrán incluir</w:t>
      </w:r>
      <w:r w:rsidR="00EC171C" w:rsidRPr="00F14E00">
        <w:rPr>
          <w:rFonts w:ascii="Arial" w:eastAsia="Calibri" w:hAnsi="Arial" w:cs="Arial"/>
          <w:bCs/>
          <w:sz w:val="22"/>
        </w:rPr>
        <w:t>se</w:t>
      </w:r>
      <w:r w:rsidRPr="00F14E00">
        <w:rPr>
          <w:rFonts w:ascii="Arial" w:eastAsia="Calibri" w:hAnsi="Arial" w:cs="Arial"/>
          <w:bCs/>
          <w:sz w:val="22"/>
        </w:rPr>
        <w:t xml:space="preserve"> o modificar</w:t>
      </w:r>
      <w:r w:rsidR="00EC171C" w:rsidRPr="00F14E00">
        <w:rPr>
          <w:rFonts w:ascii="Arial" w:eastAsia="Calibri" w:hAnsi="Arial" w:cs="Arial"/>
          <w:bCs/>
          <w:sz w:val="22"/>
        </w:rPr>
        <w:t>se</w:t>
      </w:r>
      <w:r w:rsidRPr="00F14E00">
        <w:rPr>
          <w:rFonts w:ascii="Arial" w:eastAsia="Calibri" w:hAnsi="Arial" w:cs="Arial"/>
          <w:bCs/>
          <w:sz w:val="22"/>
        </w:rPr>
        <w:t xml:space="preserve"> en los documentos del proceso las condiciones habilitantes, los factores técnicos y económicos de escogencia y los sistemas de ponderación distintos a los señalados en los documentos tipo. En tal sentido, solo se podrán modificar aquellos contenidos que </w:t>
      </w:r>
      <w:r w:rsidR="00050E8C">
        <w:rPr>
          <w:rFonts w:ascii="Arial" w:eastAsia="Calibri" w:hAnsi="Arial" w:cs="Arial"/>
          <w:bCs/>
          <w:sz w:val="22"/>
        </w:rPr>
        <w:t xml:space="preserve">el mismo documento tipo permita, como ocurre, por ejemplo, con el </w:t>
      </w:r>
      <w:r w:rsidR="00050E8C" w:rsidRPr="00050E8C">
        <w:rPr>
          <w:rFonts w:ascii="Arial" w:eastAsia="Calibri" w:hAnsi="Arial" w:cs="Arial"/>
          <w:bCs/>
          <w:sz w:val="22"/>
        </w:rPr>
        <w:t>«Formulario 1 – Formulario de Presupuesto Oficial»</w:t>
      </w:r>
      <w:r w:rsidR="00050E8C">
        <w:rPr>
          <w:rFonts w:ascii="Arial" w:eastAsia="Calibri" w:hAnsi="Arial" w:cs="Arial"/>
          <w:bCs/>
          <w:sz w:val="22"/>
        </w:rPr>
        <w:t xml:space="preserve">, </w:t>
      </w:r>
      <w:r w:rsidR="00050E8C" w:rsidRPr="009B6E85">
        <w:rPr>
          <w:rFonts w:ascii="Arial" w:eastAsia="Calibri" w:hAnsi="Arial" w:cs="Arial"/>
          <w:bCs/>
          <w:sz w:val="22"/>
        </w:rPr>
        <w:t xml:space="preserve">el cual permite </w:t>
      </w:r>
      <w:proofErr w:type="gramStart"/>
      <w:r w:rsidR="00050E8C" w:rsidRPr="009B6E85">
        <w:rPr>
          <w:rFonts w:ascii="Arial" w:eastAsia="Calibri" w:hAnsi="Arial" w:cs="Arial"/>
          <w:bCs/>
          <w:sz w:val="22"/>
        </w:rPr>
        <w:t>que</w:t>
      </w:r>
      <w:proofErr w:type="gramEnd"/>
      <w:r w:rsidR="00050E8C" w:rsidRPr="009B6E85">
        <w:rPr>
          <w:rFonts w:ascii="Arial" w:eastAsia="Calibri" w:hAnsi="Arial" w:cs="Arial"/>
          <w:bCs/>
          <w:sz w:val="22"/>
        </w:rPr>
        <w:t xml:space="preserve"> para efectos de la presentación de la propuesta económica, la entidad estatal pueda</w:t>
      </w:r>
      <w:r w:rsidR="00050E8C">
        <w:rPr>
          <w:rFonts w:ascii="Arial" w:eastAsia="Calibri" w:hAnsi="Arial" w:cs="Arial"/>
          <w:bCs/>
          <w:sz w:val="22"/>
        </w:rPr>
        <w:t xml:space="preserve"> modificar el formulario o </w:t>
      </w:r>
      <w:r w:rsidR="0081562A">
        <w:rPr>
          <w:rFonts w:ascii="Arial" w:eastAsia="Calibri" w:hAnsi="Arial" w:cs="Arial"/>
          <w:bCs/>
          <w:sz w:val="22"/>
        </w:rPr>
        <w:t xml:space="preserve">exigir otro diferente.  Respecto de este formulario, la Agencia Nacional de Contratación Pública - Colombia Compra Eficiente, en el concepto C-113 del 22 de marzo de </w:t>
      </w:r>
      <w:proofErr w:type="gramStart"/>
      <w:r w:rsidR="0081562A">
        <w:rPr>
          <w:rFonts w:ascii="Arial" w:eastAsia="Calibri" w:hAnsi="Arial" w:cs="Arial"/>
          <w:bCs/>
          <w:sz w:val="22"/>
        </w:rPr>
        <w:t xml:space="preserve">2022, </w:t>
      </w:r>
      <w:r w:rsidR="009B6E85">
        <w:rPr>
          <w:rFonts w:ascii="Arial" w:eastAsia="Calibri" w:hAnsi="Arial" w:cs="Arial"/>
          <w:bCs/>
          <w:sz w:val="22"/>
        </w:rPr>
        <w:t xml:space="preserve"> manifestó</w:t>
      </w:r>
      <w:proofErr w:type="gramEnd"/>
      <w:r w:rsidR="0081562A">
        <w:rPr>
          <w:rFonts w:ascii="Arial" w:eastAsia="Calibri" w:hAnsi="Arial" w:cs="Arial"/>
          <w:bCs/>
          <w:sz w:val="22"/>
        </w:rPr>
        <w:t xml:space="preserve"> lo siguiente:</w:t>
      </w:r>
    </w:p>
    <w:p w14:paraId="7B57E792" w14:textId="77777777" w:rsidR="00767D99" w:rsidRDefault="00767D99" w:rsidP="00767D99">
      <w:pPr>
        <w:tabs>
          <w:tab w:val="left" w:pos="709"/>
        </w:tabs>
        <w:ind w:left="709" w:right="709"/>
        <w:jc w:val="both"/>
        <w:rPr>
          <w:rFonts w:ascii="Arial" w:eastAsia="Calibri" w:hAnsi="Arial" w:cs="Arial"/>
          <w:sz w:val="21"/>
          <w:szCs w:val="21"/>
        </w:rPr>
      </w:pPr>
    </w:p>
    <w:p w14:paraId="373ADF6E" w14:textId="3860F9B2" w:rsidR="00050E8C" w:rsidRPr="009B6E85" w:rsidRDefault="0081562A" w:rsidP="00767D99">
      <w:pPr>
        <w:tabs>
          <w:tab w:val="left" w:pos="709"/>
        </w:tabs>
        <w:ind w:left="709" w:right="709"/>
        <w:jc w:val="both"/>
        <w:rPr>
          <w:rFonts w:ascii="Arial" w:hAnsi="Arial" w:cs="Arial"/>
          <w:sz w:val="21"/>
          <w:szCs w:val="21"/>
        </w:rPr>
      </w:pPr>
      <w:r w:rsidRPr="009B6E85">
        <w:rPr>
          <w:rFonts w:ascii="Arial" w:eastAsia="Calibri" w:hAnsi="Arial" w:cs="Arial"/>
          <w:sz w:val="21"/>
          <w:szCs w:val="21"/>
        </w:rPr>
        <w:t>E</w:t>
      </w:r>
      <w:r w:rsidR="00050E8C" w:rsidRPr="009B6E85">
        <w:rPr>
          <w:rFonts w:ascii="Arial" w:eastAsia="Calibri" w:hAnsi="Arial" w:cs="Arial"/>
          <w:sz w:val="21"/>
          <w:szCs w:val="21"/>
        </w:rPr>
        <w:t xml:space="preserve">n los documentos tipo </w:t>
      </w:r>
      <w:r w:rsidR="00050E8C" w:rsidRPr="009B6E85">
        <w:rPr>
          <w:rFonts w:ascii="Arial" w:hAnsi="Arial" w:cs="Arial"/>
          <w:sz w:val="21"/>
          <w:szCs w:val="21"/>
          <w:lang w:eastAsia="es-ES" w:bidi="es-ES"/>
        </w:rPr>
        <w:t>para los procesos de licitación pública, menor cuantía y mínima cuantía de obra de infraestructura de transporte el</w:t>
      </w:r>
      <w:r w:rsidR="00050E8C" w:rsidRPr="009B6E85">
        <w:rPr>
          <w:rFonts w:ascii="Arial" w:hAnsi="Arial" w:cs="Arial"/>
          <w:sz w:val="21"/>
          <w:szCs w:val="21"/>
        </w:rPr>
        <w:t xml:space="preserve"> «Formulario 1 – Formulario de Presupuesto Oficial</w:t>
      </w:r>
      <w:r w:rsidR="00050E8C" w:rsidRPr="009B6E85">
        <w:rPr>
          <w:rFonts w:ascii="Arial" w:eastAsia="Calibri" w:hAnsi="Arial" w:cs="Arial"/>
          <w:sz w:val="21"/>
          <w:szCs w:val="21"/>
        </w:rPr>
        <w:t>»</w:t>
      </w:r>
      <w:r w:rsidR="00050E8C" w:rsidRPr="009B6E85">
        <w:rPr>
          <w:rFonts w:ascii="Arial" w:hAnsi="Arial" w:cs="Arial"/>
          <w:sz w:val="21"/>
          <w:szCs w:val="21"/>
        </w:rPr>
        <w:t xml:space="preserve"> tiene dos connotaciones: i) por un lado, es el formulario sobre el cual la entidad estructura y presenta el presupuesto oficial del procedimiento de contratación; y </w:t>
      </w:r>
      <w:proofErr w:type="spellStart"/>
      <w:r w:rsidR="00050E8C" w:rsidRPr="009B6E85">
        <w:rPr>
          <w:rFonts w:ascii="Arial" w:hAnsi="Arial" w:cs="Arial"/>
          <w:sz w:val="21"/>
          <w:szCs w:val="21"/>
        </w:rPr>
        <w:t>ii</w:t>
      </w:r>
      <w:proofErr w:type="spellEnd"/>
      <w:r w:rsidR="00050E8C" w:rsidRPr="009B6E85">
        <w:rPr>
          <w:rFonts w:ascii="Arial" w:hAnsi="Arial" w:cs="Arial"/>
          <w:sz w:val="21"/>
          <w:szCs w:val="21"/>
        </w:rPr>
        <w:t>) por el otro, es el documento sobre 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659FF2FE" w14:textId="77777777" w:rsidR="009B6E85" w:rsidRDefault="009B6E85" w:rsidP="00767D99">
      <w:pPr>
        <w:tabs>
          <w:tab w:val="left" w:pos="709"/>
        </w:tabs>
        <w:ind w:left="709" w:right="709"/>
        <w:jc w:val="both"/>
        <w:rPr>
          <w:rFonts w:ascii="Arial" w:hAnsi="Arial" w:cs="Arial"/>
          <w:sz w:val="21"/>
          <w:szCs w:val="21"/>
          <w:lang w:eastAsia="es-ES" w:bidi="es-ES"/>
        </w:rPr>
      </w:pPr>
    </w:p>
    <w:p w14:paraId="689A40D2" w14:textId="61E9E917" w:rsidR="00050E8C" w:rsidRPr="009B6E85" w:rsidRDefault="00050E8C" w:rsidP="00767D99">
      <w:pPr>
        <w:tabs>
          <w:tab w:val="left" w:pos="709"/>
        </w:tabs>
        <w:ind w:left="709" w:right="709"/>
        <w:jc w:val="both"/>
        <w:rPr>
          <w:rFonts w:ascii="Arial" w:hAnsi="Arial" w:cs="Arial"/>
          <w:i/>
          <w:sz w:val="21"/>
          <w:szCs w:val="21"/>
          <w:lang w:eastAsia="es-ES" w:bidi="es-ES"/>
        </w:rPr>
      </w:pPr>
      <w:r w:rsidRPr="009B6E85">
        <w:rPr>
          <w:rFonts w:ascii="Arial" w:hAnsi="Arial" w:cs="Arial"/>
          <w:sz w:val="21"/>
          <w:szCs w:val="21"/>
          <w:lang w:eastAsia="es-ES" w:bidi="es-ES"/>
        </w:rPr>
        <w:t xml:space="preserve">En ese contexto, se tiene que en la primera hoja del Formulario 1, que corresponde al presupuesto oficial, la entidad debe enlistar los </w:t>
      </w:r>
      <w:r w:rsidRPr="009B6E85">
        <w:rPr>
          <w:rFonts w:ascii="Arial" w:hAnsi="Arial" w:cs="Arial"/>
          <w:i/>
          <w:sz w:val="21"/>
          <w:szCs w:val="21"/>
          <w:lang w:eastAsia="es-ES" w:bidi="es-ES"/>
        </w:rPr>
        <w:t xml:space="preserve">ítems de pago </w:t>
      </w:r>
      <w:r w:rsidRPr="009B6E85">
        <w:rPr>
          <w:rFonts w:ascii="Arial" w:hAnsi="Arial" w:cs="Arial"/>
          <w:sz w:val="21"/>
          <w:szCs w:val="21"/>
          <w:lang w:eastAsia="es-ES" w:bidi="es-ES"/>
        </w:rPr>
        <w:t xml:space="preserve">de los bienes, obras o servicios que se requieren para la ejecución de la obra pública de infraestructura de transporte que se contrata. Además, es posible establecer: i) sus especificaciones generales y particulares, </w:t>
      </w:r>
      <w:proofErr w:type="spellStart"/>
      <w:r w:rsidRPr="009B6E85">
        <w:rPr>
          <w:rFonts w:ascii="Arial" w:hAnsi="Arial" w:cs="Arial"/>
          <w:sz w:val="21"/>
          <w:szCs w:val="21"/>
          <w:lang w:eastAsia="es-ES" w:bidi="es-ES"/>
        </w:rPr>
        <w:t>ii</w:t>
      </w:r>
      <w:proofErr w:type="spellEnd"/>
      <w:r w:rsidRPr="009B6E85">
        <w:rPr>
          <w:rFonts w:ascii="Arial" w:hAnsi="Arial" w:cs="Arial"/>
          <w:sz w:val="21"/>
          <w:szCs w:val="21"/>
          <w:lang w:eastAsia="es-ES" w:bidi="es-ES"/>
        </w:rPr>
        <w:t xml:space="preserve">) la descripción, </w:t>
      </w:r>
      <w:proofErr w:type="spellStart"/>
      <w:r w:rsidRPr="009B6E85">
        <w:rPr>
          <w:rFonts w:ascii="Arial" w:hAnsi="Arial" w:cs="Arial"/>
          <w:sz w:val="21"/>
          <w:szCs w:val="21"/>
          <w:lang w:eastAsia="es-ES" w:bidi="es-ES"/>
        </w:rPr>
        <w:t>iii</w:t>
      </w:r>
      <w:proofErr w:type="spellEnd"/>
      <w:r w:rsidRPr="009B6E85">
        <w:rPr>
          <w:rFonts w:ascii="Arial" w:hAnsi="Arial" w:cs="Arial"/>
          <w:sz w:val="21"/>
          <w:szCs w:val="21"/>
          <w:lang w:eastAsia="es-ES" w:bidi="es-ES"/>
        </w:rPr>
        <w:t xml:space="preserve">) la unidad de medida, </w:t>
      </w:r>
      <w:proofErr w:type="spellStart"/>
      <w:r w:rsidRPr="009B6E85">
        <w:rPr>
          <w:rFonts w:ascii="Arial" w:hAnsi="Arial" w:cs="Arial"/>
          <w:sz w:val="21"/>
          <w:szCs w:val="21"/>
          <w:lang w:eastAsia="es-ES" w:bidi="es-ES"/>
        </w:rPr>
        <w:t>iv</w:t>
      </w:r>
      <w:proofErr w:type="spellEnd"/>
      <w:r w:rsidRPr="009B6E85">
        <w:rPr>
          <w:rFonts w:ascii="Arial" w:hAnsi="Arial" w:cs="Arial"/>
          <w:sz w:val="21"/>
          <w:szCs w:val="21"/>
          <w:lang w:eastAsia="es-ES" w:bidi="es-ES"/>
        </w:rPr>
        <w:t xml:space="preserve">) la cantidad, v) el valor unitario y vi) el valor total de los </w:t>
      </w:r>
      <w:r w:rsidRPr="009B6E85">
        <w:rPr>
          <w:rFonts w:ascii="Arial" w:hAnsi="Arial" w:cs="Arial"/>
          <w:i/>
          <w:sz w:val="21"/>
          <w:szCs w:val="21"/>
          <w:lang w:eastAsia="es-ES" w:bidi="es-ES"/>
        </w:rPr>
        <w:t>ítems.</w:t>
      </w:r>
    </w:p>
    <w:p w14:paraId="37AC3B3E" w14:textId="77777777" w:rsidR="00767D99" w:rsidRDefault="00767D99" w:rsidP="00767D99">
      <w:pPr>
        <w:tabs>
          <w:tab w:val="left" w:pos="709"/>
        </w:tabs>
        <w:ind w:left="709" w:right="709"/>
        <w:jc w:val="both"/>
        <w:rPr>
          <w:rFonts w:ascii="Arial" w:hAnsi="Arial" w:cs="Arial"/>
          <w:sz w:val="21"/>
          <w:szCs w:val="21"/>
        </w:rPr>
      </w:pPr>
    </w:p>
    <w:p w14:paraId="5A0E1FC6" w14:textId="765BB7EF" w:rsidR="009B6E85" w:rsidRPr="009B6E85" w:rsidRDefault="009B6E85" w:rsidP="00767D99">
      <w:pPr>
        <w:tabs>
          <w:tab w:val="left" w:pos="709"/>
        </w:tabs>
        <w:ind w:left="709" w:right="709"/>
        <w:jc w:val="both"/>
        <w:rPr>
          <w:iCs/>
          <w:sz w:val="21"/>
          <w:szCs w:val="21"/>
          <w:lang w:eastAsia="es-ES" w:bidi="es-ES"/>
        </w:rPr>
      </w:pPr>
      <w:r w:rsidRPr="009B6E85">
        <w:rPr>
          <w:rFonts w:ascii="Arial" w:hAnsi="Arial" w:cs="Arial"/>
          <w:sz w:val="21"/>
          <w:szCs w:val="21"/>
        </w:rPr>
        <w:t>[…]</w:t>
      </w:r>
    </w:p>
    <w:p w14:paraId="1EDCA1BC" w14:textId="77777777" w:rsidR="00767D99" w:rsidRDefault="00767D99" w:rsidP="00767D99">
      <w:pPr>
        <w:tabs>
          <w:tab w:val="left" w:pos="709"/>
        </w:tabs>
        <w:ind w:left="709" w:right="709"/>
        <w:jc w:val="both"/>
        <w:rPr>
          <w:rFonts w:ascii="Arial" w:eastAsia="Arial" w:hAnsi="Arial" w:cs="Arial"/>
          <w:sz w:val="21"/>
          <w:szCs w:val="21"/>
          <w:lang w:val="es-CO" w:eastAsia="es-ES" w:bidi="es-ES"/>
        </w:rPr>
      </w:pPr>
    </w:p>
    <w:p w14:paraId="49850EF6" w14:textId="77777777" w:rsidR="00767D99" w:rsidRDefault="00050E8C" w:rsidP="00767D99">
      <w:pPr>
        <w:tabs>
          <w:tab w:val="left" w:pos="709"/>
        </w:tabs>
        <w:ind w:left="709" w:right="709"/>
        <w:jc w:val="both"/>
        <w:rPr>
          <w:rFonts w:ascii="Arial" w:hAnsi="Arial" w:cs="Arial"/>
          <w:color w:val="000000"/>
          <w:sz w:val="21"/>
          <w:szCs w:val="21"/>
          <w:lang w:val="es-ES_tradnl"/>
        </w:rPr>
      </w:pPr>
      <w:r w:rsidRPr="009B6E85">
        <w:rPr>
          <w:rFonts w:ascii="Arial" w:eastAsia="Arial" w:hAnsi="Arial" w:cs="Arial"/>
          <w:sz w:val="21"/>
          <w:szCs w:val="21"/>
          <w:lang w:val="es-CO" w:eastAsia="es-ES" w:bidi="es-ES"/>
        </w:rPr>
        <w:t xml:space="preserve">De otra parte, </w:t>
      </w:r>
      <w:r w:rsidRPr="009B6E85">
        <w:rPr>
          <w:rFonts w:ascii="Arial" w:eastAsia="Arial" w:hAnsi="Arial" w:cs="Arial"/>
          <w:sz w:val="21"/>
          <w:szCs w:val="21"/>
          <w:lang w:val="es-ES" w:eastAsia="es-ES" w:bidi="es-ES"/>
        </w:rPr>
        <w:t>el «Formulario 1</w:t>
      </w:r>
      <w:r w:rsidRPr="009B6E85">
        <w:rPr>
          <w:rFonts w:ascii="Arial" w:hAnsi="Arial" w:cs="Arial"/>
          <w:sz w:val="21"/>
          <w:szCs w:val="21"/>
          <w:lang w:val="es-ES" w:eastAsia="es-ES" w:bidi="es-ES"/>
        </w:rPr>
        <w:t>» en su segunda pestaña en Excel, titulada «Formulario 1 propuesta económica»</w:t>
      </w:r>
      <w:r w:rsidRPr="009B6E85">
        <w:rPr>
          <w:rFonts w:ascii="Arial" w:eastAsia="Arial" w:hAnsi="Arial" w:cs="Arial"/>
          <w:sz w:val="21"/>
          <w:szCs w:val="21"/>
          <w:lang w:val="es-ES" w:eastAsia="es-ES" w:bidi="es-ES"/>
        </w:rPr>
        <w:t xml:space="preserve"> señala en la parte superior derecha: «</w:t>
      </w:r>
      <w:r w:rsidRPr="009B6E85">
        <w:rPr>
          <w:rFonts w:ascii="Arial" w:eastAsia="Arial" w:hAnsi="Arial" w:cs="Arial"/>
          <w:sz w:val="21"/>
          <w:szCs w:val="21"/>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Pr="009B6E85">
        <w:rPr>
          <w:rFonts w:ascii="Arial" w:eastAsia="Arial" w:hAnsi="Arial" w:cs="Arial"/>
          <w:sz w:val="21"/>
          <w:szCs w:val="21"/>
          <w:lang w:val="es-ES" w:eastAsia="es-ES" w:bidi="es-ES"/>
        </w:rPr>
        <w:t xml:space="preserve">». </w:t>
      </w:r>
      <w:r w:rsidRPr="009B6E85">
        <w:rPr>
          <w:rFonts w:ascii="Arial" w:hAnsi="Arial" w:cs="Arial"/>
          <w:color w:val="000000"/>
          <w:sz w:val="21"/>
          <w:szCs w:val="21"/>
          <w:lang w:val="es-ES_tradnl"/>
        </w:rPr>
        <w:t xml:space="preserve">Igualmente, se indica que los proponentes emplearán el formulario establecido por la entidad para determinar su propuesta económica conforme al Formulario </w:t>
      </w:r>
    </w:p>
    <w:p w14:paraId="0F241E73" w14:textId="109BC7D1" w:rsidR="00050E8C" w:rsidRDefault="00050E8C" w:rsidP="00767D99">
      <w:pPr>
        <w:tabs>
          <w:tab w:val="left" w:pos="709"/>
        </w:tabs>
        <w:ind w:left="709" w:right="709"/>
        <w:jc w:val="both"/>
        <w:rPr>
          <w:rFonts w:ascii="Arial" w:eastAsia="Arial" w:hAnsi="Arial" w:cs="Arial"/>
          <w:bCs/>
          <w:sz w:val="21"/>
          <w:szCs w:val="21"/>
          <w:lang w:val="es-ES"/>
        </w:rPr>
      </w:pPr>
      <w:r w:rsidRPr="009B6E85">
        <w:rPr>
          <w:rFonts w:ascii="Arial" w:hAnsi="Arial" w:cs="Arial"/>
          <w:color w:val="000000"/>
          <w:sz w:val="21"/>
          <w:szCs w:val="21"/>
          <w:lang w:val="es-ES_tradnl"/>
        </w:rPr>
        <w:t>1 - Presupuesto Oficial publicado por la Entidad. Esto</w:t>
      </w:r>
      <w:r w:rsidRPr="009B6E85">
        <w:rPr>
          <w:rFonts w:ascii="Arial" w:hAnsi="Arial" w:cs="Arial"/>
          <w:sz w:val="21"/>
          <w:szCs w:val="21"/>
          <w:lang w:val="es-ES_tradnl"/>
        </w:rPr>
        <w:t xml:space="preserve"> significa </w:t>
      </w:r>
      <w:r w:rsidRPr="009B6E85">
        <w:rPr>
          <w:rFonts w:ascii="Arial" w:hAnsi="Arial" w:cs="Arial"/>
          <w:sz w:val="21"/>
          <w:szCs w:val="21"/>
          <w:lang w:val="es-ES"/>
        </w:rPr>
        <w:t xml:space="preserve">que las entidades pueden diseñar un formulario para que los proponentes presenten su oferta económica, sin que sea obligatorio sujetarse al formulario que los documentos </w:t>
      </w:r>
      <w:r w:rsidRPr="009B6E85">
        <w:rPr>
          <w:rFonts w:ascii="Arial" w:hAnsi="Arial" w:cs="Arial"/>
          <w:sz w:val="21"/>
          <w:szCs w:val="21"/>
          <w:lang w:val="es-ES"/>
        </w:rPr>
        <w:lastRenderedPageBreak/>
        <w:t>tipo proponen para el efecto.</w:t>
      </w:r>
      <w:r w:rsidRPr="009B6E85">
        <w:rPr>
          <w:rFonts w:ascii="Arial" w:eastAsia="Arial" w:hAnsi="Arial" w:cs="Arial"/>
          <w:bCs/>
          <w:sz w:val="21"/>
          <w:szCs w:val="21"/>
          <w:lang w:val="es-ES"/>
        </w:rPr>
        <w:t xml:space="preserve"> En todo caso, el proponente deberá emplear el formulario que establezca la entidad. </w:t>
      </w:r>
    </w:p>
    <w:p w14:paraId="77ABF978" w14:textId="77777777" w:rsidR="009B6E85" w:rsidRPr="009B6E85" w:rsidRDefault="009B6E85" w:rsidP="00767D99">
      <w:pPr>
        <w:tabs>
          <w:tab w:val="left" w:pos="709"/>
        </w:tabs>
        <w:ind w:left="709" w:right="709"/>
        <w:jc w:val="both"/>
        <w:rPr>
          <w:rFonts w:ascii="Arial" w:eastAsia="Arial" w:hAnsi="Arial" w:cs="Arial"/>
          <w:sz w:val="21"/>
          <w:szCs w:val="21"/>
          <w:lang w:val="es-ES" w:eastAsia="es-ES" w:bidi="es-ES"/>
        </w:rPr>
      </w:pPr>
    </w:p>
    <w:p w14:paraId="4FA12B3B" w14:textId="77777777" w:rsidR="00003409" w:rsidRPr="00F14E00" w:rsidRDefault="00003409"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4E3E1102" w14:textId="6FD85DA6" w:rsidR="00157CA4" w:rsidRPr="00F14E00" w:rsidRDefault="00003409"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644456FA" w14:textId="333F93C9" w:rsidR="00000CA5" w:rsidRDefault="006A143D" w:rsidP="00767D99">
      <w:pPr>
        <w:spacing w:line="276" w:lineRule="auto"/>
        <w:ind w:firstLine="709"/>
        <w:jc w:val="both"/>
        <w:rPr>
          <w:rFonts w:ascii="Arial" w:eastAsia="Calibri" w:hAnsi="Arial" w:cs="Arial"/>
          <w:sz w:val="22"/>
        </w:rPr>
      </w:pPr>
      <w:r w:rsidRPr="00F14E00">
        <w:rPr>
          <w:rFonts w:ascii="Arial" w:eastAsia="Calibri" w:hAnsi="Arial" w:cs="Arial"/>
          <w:sz w:val="22"/>
        </w:rPr>
        <w:t xml:space="preserve">Bajo este entendimiento </w:t>
      </w:r>
      <w:proofErr w:type="spellStart"/>
      <w:r w:rsidRPr="00F14E00">
        <w:rPr>
          <w:rFonts w:ascii="Arial" w:eastAsia="Calibri" w:hAnsi="Arial" w:cs="Arial"/>
          <w:sz w:val="22"/>
        </w:rPr>
        <w:t>principialístico</w:t>
      </w:r>
      <w:proofErr w:type="spellEnd"/>
      <w:r w:rsidRPr="00F14E00">
        <w:rPr>
          <w:rFonts w:ascii="Arial" w:eastAsia="Calibri" w:hAnsi="Arial" w:cs="Arial"/>
          <w:sz w:val="22"/>
        </w:rPr>
        <w:t xml:space="preserve">, </w:t>
      </w:r>
      <w:r w:rsidR="00361FDA" w:rsidRPr="00F14E00">
        <w:rPr>
          <w:rFonts w:ascii="Arial" w:eastAsia="Calibri" w:hAnsi="Arial" w:cs="Arial"/>
          <w:sz w:val="22"/>
        </w:rPr>
        <w:t xml:space="preserve">la inclusión o supresión de expresiones en los formatos y anexos de los documentos tipo no generan </w:t>
      </w:r>
      <w:r w:rsidR="002E0AA8" w:rsidRPr="00F14E00">
        <w:rPr>
          <w:rFonts w:ascii="Arial" w:eastAsia="Calibri" w:hAnsi="Arial" w:cs="Arial"/>
          <w:i/>
          <w:sz w:val="22"/>
        </w:rPr>
        <w:t>per se</w:t>
      </w:r>
      <w:r w:rsidR="002E0AA8" w:rsidRPr="00F14E00">
        <w:rPr>
          <w:rFonts w:ascii="Arial" w:eastAsia="Calibri" w:hAnsi="Arial" w:cs="Arial"/>
          <w:sz w:val="22"/>
        </w:rPr>
        <w:t xml:space="preserve"> </w:t>
      </w:r>
      <w:r w:rsidR="00361FDA" w:rsidRPr="00F14E00">
        <w:rPr>
          <w:rFonts w:ascii="Arial" w:eastAsia="Calibri" w:hAnsi="Arial" w:cs="Arial"/>
          <w:sz w:val="22"/>
        </w:rPr>
        <w:t>un rechazo de la oferta, toda vez que lo importa</w:t>
      </w:r>
      <w:r w:rsidR="001D4A42" w:rsidRPr="00F14E00">
        <w:rPr>
          <w:rFonts w:ascii="Arial" w:eastAsia="Calibri" w:hAnsi="Arial" w:cs="Arial"/>
          <w:sz w:val="22"/>
        </w:rPr>
        <w:t>nte</w:t>
      </w:r>
      <w:r w:rsidR="00361FDA" w:rsidRPr="00F14E00">
        <w:rPr>
          <w:rFonts w:ascii="Arial" w:eastAsia="Calibri" w:hAnsi="Arial" w:cs="Arial"/>
          <w:sz w:val="22"/>
        </w:rPr>
        <w:t xml:space="preserve"> es que lo expresado </w:t>
      </w:r>
      <w:r w:rsidR="00872A3B" w:rsidRPr="00F14E00">
        <w:rPr>
          <w:rFonts w:ascii="Arial" w:eastAsia="Calibri" w:hAnsi="Arial" w:cs="Arial"/>
          <w:sz w:val="22"/>
        </w:rPr>
        <w:t xml:space="preserve">en el documento sea </w:t>
      </w:r>
      <w:r w:rsidR="00361FDA" w:rsidRPr="00F14E00">
        <w:rPr>
          <w:rFonts w:ascii="Arial" w:eastAsia="Calibri" w:hAnsi="Arial" w:cs="Arial"/>
          <w:sz w:val="22"/>
        </w:rPr>
        <w:t xml:space="preserve">necesario dentro del proceso de contratación. </w:t>
      </w:r>
      <w:r w:rsidR="00B81C71" w:rsidRPr="00F14E00">
        <w:rPr>
          <w:rFonts w:ascii="Arial" w:eastAsia="Calibri" w:hAnsi="Arial" w:cs="Arial"/>
          <w:sz w:val="22"/>
        </w:rPr>
        <w:t>Por ello</w:t>
      </w:r>
      <w:r w:rsidR="00361FDA" w:rsidRPr="00F14E00">
        <w:rPr>
          <w:rFonts w:ascii="Arial" w:eastAsia="Calibri" w:hAnsi="Arial" w:cs="Arial"/>
          <w:sz w:val="22"/>
        </w:rPr>
        <w:t>, en aras de garantizar la primac</w:t>
      </w:r>
      <w:r w:rsidR="004B40DB" w:rsidRPr="00F14E00">
        <w:rPr>
          <w:rFonts w:ascii="Arial" w:eastAsia="Calibri" w:hAnsi="Arial" w:cs="Arial"/>
          <w:sz w:val="22"/>
        </w:rPr>
        <w:t>í</w:t>
      </w:r>
      <w:r w:rsidR="00361FDA" w:rsidRPr="00F14E00">
        <w:rPr>
          <w:rFonts w:ascii="Arial" w:eastAsia="Calibri" w:hAnsi="Arial" w:cs="Arial"/>
          <w:sz w:val="22"/>
        </w:rPr>
        <w:t>a de lo sustancial sobre l</w:t>
      </w:r>
      <w:r w:rsidR="004B40DB" w:rsidRPr="00F14E00">
        <w:rPr>
          <w:rFonts w:ascii="Arial" w:eastAsia="Calibri" w:hAnsi="Arial" w:cs="Arial"/>
          <w:sz w:val="22"/>
        </w:rPr>
        <w:t>o</w:t>
      </w:r>
      <w:r w:rsidR="00361FDA" w:rsidRPr="00F14E00">
        <w:rPr>
          <w:rFonts w:ascii="Arial" w:eastAsia="Calibri" w:hAnsi="Arial" w:cs="Arial"/>
          <w:sz w:val="22"/>
        </w:rPr>
        <w:t xml:space="preserve"> forma</w:t>
      </w:r>
      <w:r w:rsidR="004B40DB" w:rsidRPr="00F14E00">
        <w:rPr>
          <w:rFonts w:ascii="Arial" w:eastAsia="Calibri" w:hAnsi="Arial" w:cs="Arial"/>
          <w:sz w:val="22"/>
        </w:rPr>
        <w:t>l</w:t>
      </w:r>
      <w:r w:rsidR="00BA7C2F" w:rsidRPr="00F14E00">
        <w:rPr>
          <w:rFonts w:ascii="Arial" w:eastAsia="Calibri" w:hAnsi="Arial" w:cs="Arial"/>
          <w:sz w:val="22"/>
        </w:rPr>
        <w:t>,</w:t>
      </w:r>
      <w:r w:rsidR="00361FDA" w:rsidRPr="00F14E00">
        <w:rPr>
          <w:rFonts w:ascii="Arial" w:eastAsia="Calibri" w:hAnsi="Arial" w:cs="Arial"/>
          <w:sz w:val="22"/>
        </w:rPr>
        <w:t xml:space="preserve"> no podrá rechazar</w:t>
      </w:r>
      <w:r w:rsidR="00872A3B" w:rsidRPr="00F14E00">
        <w:rPr>
          <w:rFonts w:ascii="Arial" w:eastAsia="Calibri" w:hAnsi="Arial" w:cs="Arial"/>
          <w:sz w:val="22"/>
        </w:rPr>
        <w:t>se</w:t>
      </w:r>
      <w:r w:rsidR="00361FDA" w:rsidRPr="00F14E00">
        <w:rPr>
          <w:rFonts w:ascii="Arial" w:eastAsia="Calibri" w:hAnsi="Arial" w:cs="Arial"/>
          <w:sz w:val="22"/>
        </w:rPr>
        <w:t xml:space="preserve"> la oferta por cuestiones formales, </w:t>
      </w:r>
      <w:r w:rsidR="00872A3B" w:rsidRPr="00F14E00">
        <w:rPr>
          <w:rFonts w:ascii="Arial" w:eastAsia="Calibri" w:hAnsi="Arial" w:cs="Arial"/>
          <w:sz w:val="22"/>
        </w:rPr>
        <w:t xml:space="preserve">ya sea en esta o en </w:t>
      </w:r>
      <w:r w:rsidR="00361FDA" w:rsidRPr="00F14E00">
        <w:rPr>
          <w:rFonts w:ascii="Arial" w:eastAsia="Calibri" w:hAnsi="Arial" w:cs="Arial"/>
          <w:sz w:val="22"/>
        </w:rPr>
        <w:t>los anexos</w:t>
      </w:r>
      <w:r w:rsidR="00E46983">
        <w:rPr>
          <w:rFonts w:ascii="Arial" w:eastAsia="Calibri" w:hAnsi="Arial" w:cs="Arial"/>
          <w:sz w:val="22"/>
        </w:rPr>
        <w:t>. Así pues</w:t>
      </w:r>
      <w:r w:rsidR="00872A3B" w:rsidRPr="00F14E00">
        <w:rPr>
          <w:rFonts w:ascii="Arial" w:eastAsia="Calibri" w:hAnsi="Arial" w:cs="Arial"/>
          <w:sz w:val="22"/>
        </w:rPr>
        <w:t>, aquellas modificaciones formales en los diferentes formatos y anexos de los documentos no son un argumento suficiente para un rechazo de la oferta, pues lo que debe garantizarse es el principio de selección objetiva y la libre concurrencia de los proponentes</w:t>
      </w:r>
      <w:r w:rsidR="006F79F7" w:rsidRPr="00F14E00">
        <w:rPr>
          <w:rFonts w:ascii="Arial" w:eastAsia="Calibri" w:hAnsi="Arial" w:cs="Arial"/>
          <w:sz w:val="22"/>
        </w:rPr>
        <w:t xml:space="preserve">. </w:t>
      </w:r>
    </w:p>
    <w:p w14:paraId="3A8F09CF" w14:textId="77777777" w:rsidR="00767D99" w:rsidRDefault="00767D99" w:rsidP="00767D99">
      <w:pPr>
        <w:spacing w:line="276" w:lineRule="auto"/>
        <w:jc w:val="both"/>
        <w:rPr>
          <w:rFonts w:ascii="Arial" w:eastAsia="Calibri" w:hAnsi="Arial" w:cs="Arial"/>
          <w:b/>
          <w:bCs/>
          <w:color w:val="000000" w:themeColor="text1"/>
          <w:sz w:val="22"/>
          <w:lang w:val="es-ES_tradnl"/>
        </w:rPr>
      </w:pPr>
    </w:p>
    <w:p w14:paraId="7274C7B9" w14:textId="3AFA9766" w:rsidR="003D5728" w:rsidRDefault="003D5728" w:rsidP="00767D99">
      <w:pPr>
        <w:spacing w:line="276" w:lineRule="auto"/>
        <w:jc w:val="both"/>
        <w:rPr>
          <w:rFonts w:ascii="Arial" w:eastAsia="Calibri" w:hAnsi="Arial" w:cs="Arial"/>
          <w:sz w:val="22"/>
        </w:rPr>
      </w:pPr>
      <w:r>
        <w:rPr>
          <w:rFonts w:ascii="Arial" w:eastAsia="Calibri" w:hAnsi="Arial" w:cs="Arial"/>
          <w:b/>
          <w:bCs/>
          <w:color w:val="000000" w:themeColor="text1"/>
          <w:sz w:val="22"/>
          <w:lang w:val="es-ES_tradnl"/>
        </w:rPr>
        <w:t xml:space="preserve">2.3. </w:t>
      </w:r>
      <w:proofErr w:type="spellStart"/>
      <w:r w:rsidRPr="0081168C">
        <w:rPr>
          <w:rFonts w:ascii="Arial" w:eastAsia="Calibri" w:hAnsi="Arial" w:cs="Arial"/>
          <w:b/>
          <w:bCs/>
          <w:color w:val="000000" w:themeColor="text1"/>
          <w:sz w:val="22"/>
          <w:lang w:val="es-ES_tradnl"/>
        </w:rPr>
        <w:t>Subsanabilidad</w:t>
      </w:r>
      <w:proofErr w:type="spellEnd"/>
      <w:r w:rsidRPr="0081168C">
        <w:rPr>
          <w:rFonts w:ascii="Arial" w:eastAsia="Calibri" w:hAnsi="Arial" w:cs="Arial"/>
          <w:b/>
          <w:bCs/>
          <w:color w:val="000000" w:themeColor="text1"/>
          <w:sz w:val="22"/>
          <w:lang w:val="es-ES_tradnl"/>
        </w:rPr>
        <w:t xml:space="preserve"> en los documentos tipo</w:t>
      </w:r>
      <w:r>
        <w:rPr>
          <w:rFonts w:ascii="Arial" w:eastAsia="Calibri" w:hAnsi="Arial" w:cs="Arial"/>
          <w:b/>
          <w:bCs/>
          <w:color w:val="000000" w:themeColor="text1"/>
          <w:sz w:val="22"/>
          <w:lang w:val="es-ES_tradnl"/>
        </w:rPr>
        <w:t xml:space="preserve"> de obra pública de infraestructura de transporte</w:t>
      </w:r>
    </w:p>
    <w:p w14:paraId="4622BB4A" w14:textId="77777777" w:rsidR="00767D99" w:rsidRDefault="00767D99" w:rsidP="00767D99">
      <w:pPr>
        <w:spacing w:line="276" w:lineRule="auto"/>
        <w:jc w:val="both"/>
        <w:rPr>
          <w:rFonts w:ascii="Arial" w:hAnsi="Arial" w:cs="Arial"/>
          <w:color w:val="000000" w:themeColor="text1"/>
          <w:sz w:val="22"/>
          <w:lang w:val="es-ES_tradnl"/>
        </w:rPr>
      </w:pPr>
    </w:p>
    <w:p w14:paraId="1C31322C" w14:textId="1C78174E" w:rsidR="003D5728" w:rsidRPr="0081168C" w:rsidRDefault="00992278" w:rsidP="00767D99">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En línea con lo expuesto en el numeral precedente</w:t>
      </w:r>
      <w:r w:rsidR="003D5728" w:rsidRPr="0081168C">
        <w:rPr>
          <w:rFonts w:ascii="Arial" w:hAnsi="Arial" w:cs="Arial"/>
          <w:color w:val="000000" w:themeColor="text1"/>
          <w:sz w:val="22"/>
          <w:lang w:val="es-ES_tradnl"/>
        </w:rPr>
        <w:t xml:space="preserve">, </w:t>
      </w:r>
      <w:r w:rsidR="003D5728">
        <w:rPr>
          <w:rFonts w:ascii="Arial" w:hAnsi="Arial" w:cs="Arial"/>
          <w:color w:val="000000" w:themeColor="text1"/>
          <w:sz w:val="22"/>
          <w:lang w:val="es-ES_tradnl"/>
        </w:rPr>
        <w:t xml:space="preserve">es importante </w:t>
      </w:r>
      <w:proofErr w:type="spellStart"/>
      <w:r w:rsidR="003D5728">
        <w:rPr>
          <w:rFonts w:ascii="Arial" w:hAnsi="Arial" w:cs="Arial"/>
          <w:color w:val="000000" w:themeColor="text1"/>
          <w:sz w:val="22"/>
          <w:lang w:val="es-ES_tradnl"/>
        </w:rPr>
        <w:t>aboradar</w:t>
      </w:r>
      <w:proofErr w:type="spellEnd"/>
      <w:r w:rsidR="003D5728" w:rsidRPr="0081168C">
        <w:rPr>
          <w:rFonts w:ascii="Arial" w:hAnsi="Arial" w:cs="Arial"/>
          <w:color w:val="000000" w:themeColor="text1"/>
          <w:sz w:val="22"/>
          <w:lang w:val="es-ES_tradnl"/>
        </w:rPr>
        <w:t xml:space="preserve"> el alcance de las reglas de </w:t>
      </w:r>
      <w:proofErr w:type="spellStart"/>
      <w:r w:rsidR="003D5728" w:rsidRPr="0081168C">
        <w:rPr>
          <w:rFonts w:ascii="Arial" w:hAnsi="Arial" w:cs="Arial"/>
          <w:color w:val="000000" w:themeColor="text1"/>
          <w:sz w:val="22"/>
          <w:lang w:val="es-ES_tradnl"/>
        </w:rPr>
        <w:t>subsanabilidad</w:t>
      </w:r>
      <w:proofErr w:type="spellEnd"/>
      <w:r w:rsidR="003D5728" w:rsidRPr="0081168C">
        <w:rPr>
          <w:rFonts w:ascii="Arial" w:hAnsi="Arial" w:cs="Arial"/>
          <w:color w:val="000000" w:themeColor="text1"/>
          <w:sz w:val="22"/>
          <w:lang w:val="es-ES_tradnl"/>
        </w:rPr>
        <w:t xml:space="preserve"> contenida</w:t>
      </w:r>
      <w:r w:rsidR="003D5728">
        <w:rPr>
          <w:rFonts w:ascii="Arial" w:hAnsi="Arial" w:cs="Arial"/>
          <w:color w:val="000000" w:themeColor="text1"/>
          <w:sz w:val="22"/>
          <w:lang w:val="es-ES_tradnl"/>
        </w:rPr>
        <w:t>s</w:t>
      </w:r>
      <w:r w:rsidR="003D5728" w:rsidRPr="0081168C">
        <w:rPr>
          <w:rFonts w:ascii="Arial" w:hAnsi="Arial" w:cs="Arial"/>
          <w:color w:val="000000" w:themeColor="text1"/>
          <w:sz w:val="22"/>
          <w:lang w:val="es-ES_tradnl"/>
        </w:rPr>
        <w:t xml:space="preserve"> en el artículo 5 de la Ley 1150 de 2007</w:t>
      </w:r>
      <w:r w:rsidR="003D5728">
        <w:rPr>
          <w:rFonts w:ascii="Arial" w:hAnsi="Arial" w:cs="Arial"/>
          <w:color w:val="000000" w:themeColor="text1"/>
          <w:sz w:val="22"/>
          <w:lang w:val="es-ES_tradnl"/>
        </w:rPr>
        <w:t xml:space="preserve">.  </w:t>
      </w:r>
      <w:r w:rsidR="003D5728" w:rsidRPr="0081168C">
        <w:rPr>
          <w:rFonts w:ascii="Arial" w:hAnsi="Arial" w:cs="Arial"/>
          <w:color w:val="000000" w:themeColor="text1"/>
          <w:sz w:val="22"/>
          <w:lang w:val="es-ES_tradnl"/>
        </w:rPr>
        <w:t xml:space="preserve">En efecto, la Agencia Nacional de Contratación Pública – Colombia Compra Eficiente, en el Concepto CU–060 de 16 de enero de 2020, unificó su criterio en torno al alcance de la regla de la </w:t>
      </w:r>
      <w:proofErr w:type="spellStart"/>
      <w:r w:rsidR="003D5728" w:rsidRPr="0081168C">
        <w:rPr>
          <w:rFonts w:ascii="Arial" w:hAnsi="Arial" w:cs="Arial"/>
          <w:color w:val="000000" w:themeColor="text1"/>
          <w:sz w:val="22"/>
          <w:lang w:val="es-ES_tradnl"/>
        </w:rPr>
        <w:t>subsanabilidad</w:t>
      </w:r>
      <w:proofErr w:type="spellEnd"/>
      <w:r w:rsidR="003D5728" w:rsidRPr="0081168C">
        <w:rPr>
          <w:rFonts w:ascii="Arial" w:hAnsi="Arial" w:cs="Arial"/>
          <w:color w:val="000000" w:themeColor="text1"/>
          <w:sz w:val="22"/>
          <w:lang w:val="es-ES_tradnl"/>
        </w:rPr>
        <w:t xml:space="preserve">, contenida en el artículo 5 de la Ley 1150 de 2007. En dicho concepto se unificó la </w:t>
      </w:r>
      <w:r w:rsidR="003D5728" w:rsidRPr="0081168C">
        <w:rPr>
          <w:rFonts w:ascii="Arial" w:eastAsia="Calibri" w:hAnsi="Arial" w:cs="Arial"/>
          <w:color w:val="000000" w:themeColor="text1"/>
          <w:sz w:val="22"/>
          <w:lang w:val="es-ES_tradnl"/>
        </w:rPr>
        <w:t xml:space="preserve">tesis expuesta en los conceptos con radicado No. 4201913000006471 del 28 de octubre de 2019, 4201912000006711 del 12 de noviembre de 2019 y 4201912000006496 </w:t>
      </w:r>
      <w:r w:rsidR="003D5728" w:rsidRPr="0081168C">
        <w:rPr>
          <w:rFonts w:ascii="Arial" w:eastAsia="Calibri" w:hAnsi="Arial" w:cs="Arial"/>
          <w:color w:val="000000" w:themeColor="text1"/>
          <w:sz w:val="22"/>
          <w:lang w:val="es-ES_tradnl"/>
        </w:rPr>
        <w:lastRenderedPageBreak/>
        <w:t>del 15 de noviembre de 2019, la cual ha sido reiterada en varios conceptos expedidos con posterioridad al concepto de unificación</w:t>
      </w:r>
      <w:r w:rsidR="003D5728" w:rsidRPr="0081168C">
        <w:rPr>
          <w:rStyle w:val="Refdenotaalpie"/>
          <w:rFonts w:ascii="Arial" w:eastAsia="Calibri" w:hAnsi="Arial" w:cs="Arial"/>
          <w:color w:val="000000" w:themeColor="text1"/>
          <w:sz w:val="22"/>
          <w:lang w:val="es-ES_tradnl"/>
        </w:rPr>
        <w:footnoteReference w:id="12"/>
      </w:r>
      <w:r w:rsidR="003D5728" w:rsidRPr="0081168C">
        <w:rPr>
          <w:rFonts w:ascii="Arial" w:eastAsia="Calibri" w:hAnsi="Arial" w:cs="Arial"/>
          <w:color w:val="000000" w:themeColor="text1"/>
          <w:sz w:val="22"/>
        </w:rPr>
        <w:t>.</w:t>
      </w:r>
      <w:r w:rsidR="003D5728" w:rsidRPr="0081168C">
        <w:rPr>
          <w:rFonts w:ascii="Arial" w:hAnsi="Arial" w:cs="Arial"/>
          <w:color w:val="000000" w:themeColor="text1"/>
          <w:sz w:val="22"/>
          <w:lang w:val="es-ES_tradnl"/>
        </w:rPr>
        <w:t xml:space="preserve"> De las tesis desarrolladas se tomarán algunas consideraciones para ilustrar el alcanc</w:t>
      </w:r>
      <w:r w:rsidR="003D5728">
        <w:rPr>
          <w:rFonts w:ascii="Arial" w:hAnsi="Arial" w:cs="Arial"/>
          <w:color w:val="000000" w:themeColor="text1"/>
          <w:sz w:val="22"/>
          <w:lang w:val="es-ES_tradnl"/>
        </w:rPr>
        <w:t xml:space="preserve">e de la regla de </w:t>
      </w:r>
      <w:proofErr w:type="spellStart"/>
      <w:r w:rsidR="003D5728">
        <w:rPr>
          <w:rFonts w:ascii="Arial" w:hAnsi="Arial" w:cs="Arial"/>
          <w:color w:val="000000" w:themeColor="text1"/>
          <w:sz w:val="22"/>
          <w:lang w:val="es-ES_tradnl"/>
        </w:rPr>
        <w:t>subsanabilidad</w:t>
      </w:r>
      <w:proofErr w:type="spellEnd"/>
      <w:r w:rsidR="003D5728">
        <w:rPr>
          <w:rFonts w:ascii="Arial" w:hAnsi="Arial" w:cs="Arial"/>
          <w:color w:val="000000" w:themeColor="text1"/>
          <w:sz w:val="22"/>
          <w:lang w:val="es-ES_tradnl"/>
        </w:rPr>
        <w:t xml:space="preserve"> frente a los formatos, anexos, formularios y matrices que conforman los documentos tipo.</w:t>
      </w:r>
    </w:p>
    <w:p w14:paraId="265E8413" w14:textId="77777777" w:rsidR="003D5728" w:rsidRPr="0081168C" w:rsidRDefault="003D5728" w:rsidP="00767D99">
      <w:pPr>
        <w:spacing w:line="276" w:lineRule="auto"/>
        <w:ind w:firstLine="709"/>
        <w:jc w:val="both"/>
        <w:rPr>
          <w:rFonts w:ascii="Arial" w:hAnsi="Arial" w:cs="Arial"/>
          <w:color w:val="000000" w:themeColor="text1"/>
          <w:sz w:val="22"/>
          <w:lang w:val="es-ES_tradnl"/>
        </w:rPr>
      </w:pPr>
      <w:r w:rsidRPr="0081168C">
        <w:rPr>
          <w:rFonts w:ascii="Arial" w:hAnsi="Arial" w:cs="Arial"/>
          <w:color w:val="000000" w:themeColor="text1"/>
          <w:sz w:val="22"/>
          <w:lang w:val="es-ES_tradnl"/>
        </w:rPr>
        <w:t xml:space="preserve">De esta manera, el régimen actual de </w:t>
      </w:r>
      <w:proofErr w:type="spellStart"/>
      <w:r w:rsidRPr="0081168C">
        <w:rPr>
          <w:rFonts w:ascii="Arial" w:hAnsi="Arial" w:cs="Arial"/>
          <w:color w:val="000000" w:themeColor="text1"/>
          <w:sz w:val="22"/>
          <w:lang w:val="es-ES_tradnl"/>
        </w:rPr>
        <w:t>subsanabilidad</w:t>
      </w:r>
      <w:proofErr w:type="spellEnd"/>
      <w:r w:rsidRPr="0081168C">
        <w:rPr>
          <w:rFonts w:ascii="Arial" w:hAnsi="Arial" w:cs="Arial"/>
          <w:color w:val="000000" w:themeColor="text1"/>
          <w:sz w:val="22"/>
          <w:lang w:val="es-ES_tradnl"/>
        </w:rPr>
        <w:t xml:space="preserve"> de ofertas está regulado actualmente en el parágrafo 1 del artículo 5 de la Ley 1150 de 2007, modificado por el artículo 5 de la Ley 1882 de 2018. La disposición vigente establece:</w:t>
      </w:r>
    </w:p>
    <w:p w14:paraId="12FD8853" w14:textId="77777777" w:rsidR="003D5728" w:rsidRPr="0081168C" w:rsidRDefault="003D5728" w:rsidP="00767D99">
      <w:pPr>
        <w:tabs>
          <w:tab w:val="left" w:pos="426"/>
        </w:tabs>
        <w:ind w:left="709" w:right="709"/>
        <w:jc w:val="both"/>
        <w:rPr>
          <w:rFonts w:ascii="Arial" w:eastAsia="Calibri" w:hAnsi="Arial" w:cs="Arial"/>
          <w:bCs/>
          <w:color w:val="000000" w:themeColor="text1"/>
          <w:sz w:val="21"/>
          <w:szCs w:val="21"/>
          <w:lang w:val="es-ES_tradnl"/>
        </w:rPr>
      </w:pPr>
    </w:p>
    <w:p w14:paraId="23638D34" w14:textId="77777777" w:rsidR="003D5728" w:rsidRPr="0081168C" w:rsidRDefault="003D5728" w:rsidP="00767D99">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Artículo 5°. De la selección objetiva. </w:t>
      </w:r>
    </w:p>
    <w:p w14:paraId="3C3E7D53" w14:textId="77777777" w:rsidR="00767D99" w:rsidRDefault="00767D99" w:rsidP="00767D99">
      <w:pPr>
        <w:tabs>
          <w:tab w:val="left" w:pos="426"/>
        </w:tabs>
        <w:ind w:left="709" w:right="709"/>
        <w:jc w:val="both"/>
        <w:rPr>
          <w:rFonts w:ascii="Arial" w:eastAsia="Calibri" w:hAnsi="Arial" w:cs="Arial"/>
          <w:bCs/>
          <w:color w:val="000000" w:themeColor="text1"/>
          <w:sz w:val="21"/>
          <w:szCs w:val="21"/>
          <w:lang w:val="es-ES_tradnl"/>
        </w:rPr>
      </w:pPr>
    </w:p>
    <w:p w14:paraId="3D2CCE72" w14:textId="3D77E950" w:rsidR="003D5728" w:rsidRPr="0081168C" w:rsidRDefault="003D5728" w:rsidP="00767D99">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 ] </w:t>
      </w:r>
    </w:p>
    <w:p w14:paraId="67F03C2A" w14:textId="77777777" w:rsidR="00767D99" w:rsidRDefault="00767D99" w:rsidP="00767D99">
      <w:pPr>
        <w:tabs>
          <w:tab w:val="left" w:pos="426"/>
        </w:tabs>
        <w:ind w:left="709" w:right="709"/>
        <w:jc w:val="both"/>
        <w:rPr>
          <w:rFonts w:ascii="Arial" w:eastAsia="Calibri" w:hAnsi="Arial" w:cs="Arial"/>
          <w:bCs/>
          <w:color w:val="000000" w:themeColor="text1"/>
          <w:sz w:val="21"/>
          <w:szCs w:val="21"/>
          <w:lang w:val="es-ES_tradnl"/>
        </w:rPr>
      </w:pPr>
    </w:p>
    <w:p w14:paraId="7AF8BAFC" w14:textId="445ABC22" w:rsidR="003D5728" w:rsidRPr="0081168C" w:rsidRDefault="003D5728" w:rsidP="00767D99">
      <w:pPr>
        <w:tabs>
          <w:tab w:val="left" w:pos="426"/>
        </w:tabs>
        <w:ind w:left="709" w:right="709"/>
        <w:jc w:val="both"/>
        <w:rPr>
          <w:rFonts w:ascii="Arial" w:eastAsia="Calibri" w:hAnsi="Arial" w:cs="Arial"/>
          <w:bCs/>
          <w:color w:val="000000" w:themeColor="text1"/>
          <w:sz w:val="21"/>
          <w:szCs w:val="21"/>
          <w:lang w:val="es-ES_tradnl"/>
        </w:rPr>
      </w:pPr>
      <w:r w:rsidRPr="0081168C">
        <w:rPr>
          <w:rFonts w:ascii="Arial" w:eastAsia="Calibri" w:hAnsi="Arial" w:cs="Arial"/>
          <w:bCs/>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81168C">
        <w:rPr>
          <w:rFonts w:ascii="Arial" w:eastAsia="Calibri" w:hAnsi="Arial" w:cs="Arial"/>
          <w:bCs/>
          <w:color w:val="000000" w:themeColor="text1"/>
          <w:sz w:val="21"/>
          <w:szCs w:val="21"/>
          <w:lang w:val="es-ES_tradnl"/>
        </w:rPr>
        <w:t>puntaje,</w:t>
      </w:r>
      <w:proofErr w:type="gramEnd"/>
      <w:r w:rsidRPr="0081168C">
        <w:rPr>
          <w:rFonts w:ascii="Arial" w:eastAsia="Calibri" w:hAnsi="Arial" w:cs="Arial"/>
          <w:bCs/>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332A5201" w14:textId="77777777" w:rsidR="003D5728" w:rsidRPr="0081168C" w:rsidRDefault="003D5728" w:rsidP="00767D99">
      <w:pPr>
        <w:spacing w:line="276" w:lineRule="auto"/>
        <w:ind w:firstLine="709"/>
        <w:jc w:val="both"/>
        <w:rPr>
          <w:rFonts w:ascii="Arial" w:hAnsi="Arial" w:cs="Arial"/>
          <w:color w:val="000000" w:themeColor="text1"/>
          <w:sz w:val="22"/>
          <w:lang w:val="es-ES_tradnl"/>
        </w:rPr>
      </w:pPr>
    </w:p>
    <w:p w14:paraId="1230C05C" w14:textId="555975E3" w:rsidR="003D5728" w:rsidRPr="0081168C" w:rsidRDefault="003D5728" w:rsidP="00767D99">
      <w:pPr>
        <w:spacing w:after="120" w:line="276" w:lineRule="auto"/>
        <w:ind w:firstLine="709"/>
        <w:jc w:val="both"/>
        <w:rPr>
          <w:rFonts w:ascii="Arial" w:eastAsia="Calibri" w:hAnsi="Arial" w:cs="Arial"/>
          <w:b/>
          <w:color w:val="000000" w:themeColor="text1"/>
          <w:sz w:val="22"/>
          <w:lang w:val="es-ES_tradnl"/>
        </w:rPr>
      </w:pPr>
      <w:r w:rsidRPr="0081168C">
        <w:rPr>
          <w:rFonts w:ascii="Arial" w:hAnsi="Arial" w:cs="Arial"/>
          <w:color w:val="000000" w:themeColor="text1"/>
          <w:sz w:val="22"/>
          <w:lang w:val="es-ES_tradnl"/>
        </w:rPr>
        <w:t xml:space="preserve">Esta norma, conservando la filosofía de las disposiciones anteriores que regulaban el régimen de </w:t>
      </w:r>
      <w:proofErr w:type="spellStart"/>
      <w:r w:rsidRPr="0081168C">
        <w:rPr>
          <w:rFonts w:ascii="Arial" w:hAnsi="Arial" w:cs="Arial"/>
          <w:color w:val="000000" w:themeColor="text1"/>
          <w:sz w:val="22"/>
          <w:lang w:val="es-ES_tradnl"/>
        </w:rPr>
        <w:t>subsanabilidad</w:t>
      </w:r>
      <w:proofErr w:type="spellEnd"/>
      <w:r w:rsidRPr="0081168C">
        <w:rPr>
          <w:rFonts w:ascii="Arial" w:hAnsi="Arial" w:cs="Arial"/>
          <w:color w:val="000000" w:themeColor="text1"/>
          <w:sz w:val="22"/>
          <w:lang w:val="es-ES_tradnl"/>
        </w:rPr>
        <w:t xml:space="preserve"> de ofertas, mantiene el criterio de la Ley 80 de 1993, relativo a que todo lo que no sea necesario para la comparación de propuestas no es título suficiente para su rechazo; y </w:t>
      </w:r>
      <w:proofErr w:type="spellStart"/>
      <w:r w:rsidRPr="0081168C">
        <w:rPr>
          <w:rFonts w:ascii="Arial" w:hAnsi="Arial" w:cs="Arial"/>
          <w:color w:val="000000" w:themeColor="text1"/>
          <w:sz w:val="22"/>
          <w:lang w:val="es-ES_tradnl"/>
        </w:rPr>
        <w:t>ii</w:t>
      </w:r>
      <w:proofErr w:type="spellEnd"/>
      <w:r w:rsidRPr="0081168C">
        <w:rPr>
          <w:rFonts w:ascii="Arial" w:hAnsi="Arial" w:cs="Arial"/>
          <w:color w:val="000000" w:themeColor="text1"/>
          <w:sz w:val="22"/>
          <w:lang w:val="es-ES_tradnl"/>
        </w:rPr>
        <w:t>) mantiene el criterio aclaratorio de la Ley 1150 de 2007, según el cual todo lo que no afecte la asignación de puntaje puede subsanarse. Pese a que la disposición tiene varios elementos adicionales relevantes, para efectos de la consulta, basta con destacar los elementos anteriores, particularmente, que la subsanación procede sobre todos aquellos requisitos de la propuesta que no afecten la asignación de puntaje.</w:t>
      </w:r>
    </w:p>
    <w:p w14:paraId="73505492" w14:textId="40895509" w:rsidR="003D5728" w:rsidRPr="0081168C" w:rsidRDefault="0030086F" w:rsidP="00767D99">
      <w:pPr>
        <w:spacing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Por su parte, el numeral 1.6 del documento base de los documentos tipo consagra</w:t>
      </w:r>
      <w:r w:rsidR="003D5728" w:rsidRPr="0081168C">
        <w:rPr>
          <w:rFonts w:ascii="Arial" w:eastAsia="Calibri" w:hAnsi="Arial" w:cs="Arial"/>
          <w:bCs/>
          <w:color w:val="000000" w:themeColor="text1"/>
          <w:sz w:val="22"/>
          <w:lang w:val="es-ES_tradnl"/>
        </w:rPr>
        <w:t xml:space="preserve"> el deber genérico de los proponentes de presentar su oferta en forma correcta e íntegra, </w:t>
      </w:r>
      <w:proofErr w:type="gramStart"/>
      <w:r w:rsidR="003D5728" w:rsidRPr="0081168C">
        <w:rPr>
          <w:rFonts w:ascii="Arial" w:eastAsia="Calibri" w:hAnsi="Arial" w:cs="Arial"/>
          <w:bCs/>
          <w:color w:val="000000" w:themeColor="text1"/>
          <w:sz w:val="22"/>
          <w:lang w:val="es-ES_tradnl"/>
        </w:rPr>
        <w:t>y</w:t>
      </w:r>
      <w:proofErr w:type="gramEnd"/>
      <w:r w:rsidR="003D5728" w:rsidRPr="0081168C">
        <w:rPr>
          <w:rFonts w:ascii="Arial" w:eastAsia="Calibri" w:hAnsi="Arial" w:cs="Arial"/>
          <w:bCs/>
          <w:color w:val="000000" w:themeColor="text1"/>
          <w:sz w:val="22"/>
          <w:lang w:val="es-ES_tradnl"/>
        </w:rPr>
        <w:t xml:space="preserve"> además, permite solicitar a los proponentes la subsanación de las ofertas, además de la posibilidad de solicitar aclaraciones y explicaciones de cualquier contenido de la oferta, incluso si está relacionada con aspectos que inciden en la asignación e puntaje. </w:t>
      </w:r>
      <w:r>
        <w:rPr>
          <w:rFonts w:ascii="Arial" w:eastAsia="Calibri" w:hAnsi="Arial" w:cs="Arial"/>
          <w:bCs/>
          <w:color w:val="000000" w:themeColor="text1"/>
          <w:sz w:val="22"/>
          <w:lang w:val="es-ES_tradnl"/>
        </w:rPr>
        <w:t xml:space="preserve"> De igual modo, señala que</w:t>
      </w:r>
      <w:r w:rsidR="003D5728" w:rsidRPr="0081168C">
        <w:rPr>
          <w:rFonts w:ascii="Arial" w:eastAsia="Calibri" w:hAnsi="Arial" w:cs="Arial"/>
          <w:bCs/>
          <w:i/>
          <w:iCs/>
          <w:color w:val="000000" w:themeColor="text1"/>
          <w:sz w:val="22"/>
          <w:lang w:val="es-ES_tradnl"/>
        </w:rPr>
        <w:t xml:space="preserve"> </w:t>
      </w:r>
      <w:r w:rsidR="003D5728" w:rsidRPr="007D632C">
        <w:rPr>
          <w:rFonts w:ascii="Arial" w:eastAsia="Calibri" w:hAnsi="Arial" w:cs="Arial"/>
          <w:bCs/>
          <w:iCs/>
          <w:color w:val="000000" w:themeColor="text1"/>
          <w:sz w:val="22"/>
          <w:lang w:val="es-ES_tradnl"/>
        </w:rPr>
        <w:t>los proponentes no podrán completar, adicionar o mejorar sus propuestas en los aspectos que otorgan puntaje, los cuales podrán ser objeto de aclaraciones y explicaciones</w:t>
      </w:r>
      <w:r w:rsidR="003D5728" w:rsidRPr="0081168C">
        <w:rPr>
          <w:rFonts w:ascii="Arial" w:eastAsia="Calibri" w:hAnsi="Arial" w:cs="Arial"/>
          <w:bCs/>
          <w:color w:val="000000" w:themeColor="text1"/>
          <w:sz w:val="22"/>
          <w:lang w:val="es-ES_tradnl"/>
        </w:rPr>
        <w:t xml:space="preserve">. </w:t>
      </w:r>
    </w:p>
    <w:p w14:paraId="6BC96C5B" w14:textId="4A4EBAB6" w:rsidR="003D5728" w:rsidRPr="0081168C" w:rsidRDefault="003D5728" w:rsidP="00767D99">
      <w:pPr>
        <w:spacing w:after="120" w:line="276" w:lineRule="auto"/>
        <w:ind w:firstLine="709"/>
        <w:jc w:val="both"/>
        <w:rPr>
          <w:rFonts w:ascii="Arial" w:eastAsia="Calibri" w:hAnsi="Arial" w:cs="Arial"/>
          <w:bCs/>
          <w:color w:val="000000" w:themeColor="text1"/>
          <w:sz w:val="22"/>
          <w:lang w:val="es-ES_tradnl"/>
        </w:rPr>
      </w:pPr>
      <w:r w:rsidRPr="0081168C">
        <w:rPr>
          <w:rFonts w:ascii="Arial" w:eastAsia="Calibri" w:hAnsi="Arial" w:cs="Arial"/>
          <w:bCs/>
          <w:color w:val="000000" w:themeColor="text1"/>
          <w:sz w:val="22"/>
          <w:lang w:val="es-ES_tradnl"/>
        </w:rPr>
        <w:t>En armonía con lo anteri</w:t>
      </w:r>
      <w:r w:rsidR="007D632C">
        <w:rPr>
          <w:rFonts w:ascii="Arial" w:eastAsia="Calibri" w:hAnsi="Arial" w:cs="Arial"/>
          <w:bCs/>
          <w:color w:val="000000" w:themeColor="text1"/>
          <w:sz w:val="22"/>
          <w:lang w:val="es-ES_tradnl"/>
        </w:rPr>
        <w:t xml:space="preserve">or, el «Anexo 3 – Glosario» de los </w:t>
      </w:r>
      <w:r w:rsidRPr="0081168C">
        <w:rPr>
          <w:rFonts w:ascii="Arial" w:eastAsia="Calibri" w:hAnsi="Arial" w:cs="Arial"/>
          <w:bCs/>
          <w:color w:val="000000" w:themeColor="text1"/>
          <w:sz w:val="22"/>
          <w:lang w:val="es-ES_tradnl"/>
        </w:rPr>
        <w:t>documento</w:t>
      </w:r>
      <w:r w:rsidR="007D632C">
        <w:rPr>
          <w:rFonts w:ascii="Arial" w:eastAsia="Calibri" w:hAnsi="Arial" w:cs="Arial"/>
          <w:bCs/>
          <w:color w:val="000000" w:themeColor="text1"/>
          <w:sz w:val="22"/>
          <w:lang w:val="es-ES_tradnl"/>
        </w:rPr>
        <w:t>s</w:t>
      </w:r>
      <w:r w:rsidRPr="0081168C">
        <w:rPr>
          <w:rFonts w:ascii="Arial" w:eastAsia="Calibri" w:hAnsi="Arial" w:cs="Arial"/>
          <w:bCs/>
          <w:color w:val="000000" w:themeColor="text1"/>
          <w:sz w:val="22"/>
          <w:lang w:val="es-ES_tradnl"/>
        </w:rPr>
        <w:t xml:space="preserve"> tipo en relación con esta posibilidad establece la siguiente remisión: «Aclaraciones y explicaciones de ofertas: Se remite a las nociones desarrolladas en la sentencia del Consejo de Estado, Sección Tercera, Subsección C, del 12 de noviembre de 2014, Radicado 27.986, Consejero Ponente: Enrique Gil Botero». De esta manera, la posibilidad de «subsanar», no incide en la posibilidad más amplia de presentar «</w:t>
      </w:r>
      <w:r w:rsidRPr="0081168C">
        <w:rPr>
          <w:rFonts w:ascii="Arial" w:eastAsia="Calibri" w:hAnsi="Arial" w:cs="Arial"/>
          <w:bCs/>
          <w:i/>
          <w:iCs/>
          <w:color w:val="000000" w:themeColor="text1"/>
          <w:sz w:val="22"/>
          <w:lang w:val="es-ES_tradnl"/>
        </w:rPr>
        <w:t>aclaraciones o explicaciones» del contenido de las ofertas.</w:t>
      </w:r>
      <w:r w:rsidRPr="0081168C">
        <w:rPr>
          <w:rFonts w:ascii="Arial" w:eastAsia="Calibri" w:hAnsi="Arial" w:cs="Arial"/>
          <w:bCs/>
          <w:color w:val="000000" w:themeColor="text1"/>
          <w:sz w:val="22"/>
          <w:lang w:val="es-ES_tradnl"/>
        </w:rPr>
        <w:t xml:space="preserve"> En efecto, de acuerdo con la jurisprudencia esta actuación aplica en aquellos supuestos en que la entidad tiene dudas respecto el alcance o contenido de lo que está presente en la oferta y, por tanto, antes de decidir sobre la forma de evaluar lo que está presente allí considera necesario contar previamente con una explicación o aclaración por parte del proponente.</w:t>
      </w:r>
    </w:p>
    <w:p w14:paraId="294EE110" w14:textId="77777777" w:rsidR="003D5728" w:rsidRPr="0081168C" w:rsidRDefault="003D5728" w:rsidP="00767D99">
      <w:pPr>
        <w:spacing w:line="276" w:lineRule="auto"/>
        <w:ind w:firstLine="709"/>
        <w:jc w:val="both"/>
        <w:rPr>
          <w:rFonts w:ascii="Arial" w:eastAsia="Calibri" w:hAnsi="Arial" w:cs="Arial"/>
          <w:bCs/>
          <w:color w:val="000000" w:themeColor="text1"/>
          <w:sz w:val="22"/>
          <w:lang w:val="es-ES_tradnl"/>
        </w:rPr>
      </w:pPr>
      <w:r w:rsidRPr="0081168C">
        <w:rPr>
          <w:rFonts w:ascii="Arial" w:eastAsia="Calibri" w:hAnsi="Arial" w:cs="Arial"/>
          <w:bCs/>
          <w:color w:val="000000" w:themeColor="text1"/>
          <w:sz w:val="22"/>
          <w:lang w:val="es-ES_tradnl"/>
        </w:rPr>
        <w:t xml:space="preserve">Sin perjuicio de lo anterior, atendiendo a las múltiples problemáticas que se presentan en el proceso de evaluación de las ofertas y teniendo en cuenta lo expuesto en su petición y las definiciones traídas de la jurisprudencia y del documento tipo referido, se encuentra que un error eminentemente formal en documentos que otorguen puntaje, incluso podría hacer innecesario acudir a figuras como la subsanación, o la aclaración o explicación del contenido de las ofertas, porque con ellas se persigue una finalidad distinta a la que se plantea en aquellos eventos en casos de errores netamente formales, cuando la entidad logra por sí misma esclarecer el alcance real de lo contenido en la oferta. Por esta razón, la entidad ni siquiera tendría que solicitar al proponente la corrección del </w:t>
      </w:r>
      <w:proofErr w:type="gramStart"/>
      <w:r w:rsidRPr="0081168C">
        <w:rPr>
          <w:rFonts w:ascii="Arial" w:eastAsia="Calibri" w:hAnsi="Arial" w:cs="Arial"/>
          <w:bCs/>
          <w:color w:val="000000" w:themeColor="text1"/>
          <w:sz w:val="22"/>
          <w:lang w:val="es-ES_tradnl"/>
        </w:rPr>
        <w:t>mismo</w:t>
      </w:r>
      <w:proofErr w:type="gramEnd"/>
      <w:r w:rsidRPr="0081168C">
        <w:rPr>
          <w:rFonts w:ascii="Arial" w:eastAsia="Calibri" w:hAnsi="Arial" w:cs="Arial"/>
          <w:bCs/>
          <w:color w:val="000000" w:themeColor="text1"/>
          <w:sz w:val="22"/>
          <w:lang w:val="es-ES_tradnl"/>
        </w:rPr>
        <w:t xml:space="preserve"> sino que, para evitar la configuración de un exceso ritual manifiesto, debe proceder a interpretar la propuesta en clave con el contenido de lo que está presente en los documentos presentados por el proponente.</w:t>
      </w:r>
    </w:p>
    <w:p w14:paraId="0981634D" w14:textId="77777777" w:rsidR="00767D99" w:rsidRDefault="00767D99" w:rsidP="00767D99">
      <w:pPr>
        <w:spacing w:line="276" w:lineRule="auto"/>
        <w:jc w:val="both"/>
        <w:rPr>
          <w:rFonts w:ascii="Arial" w:eastAsia="Calibri" w:hAnsi="Arial" w:cs="Arial"/>
          <w:b/>
          <w:sz w:val="22"/>
        </w:rPr>
      </w:pPr>
    </w:p>
    <w:p w14:paraId="3F9668D8" w14:textId="064112F8" w:rsidR="00DF4B95" w:rsidRPr="00DF4B95" w:rsidRDefault="00F26E22" w:rsidP="00767D99">
      <w:pPr>
        <w:spacing w:line="276" w:lineRule="auto"/>
        <w:jc w:val="both"/>
        <w:rPr>
          <w:rFonts w:ascii="Arial" w:eastAsia="Calibri" w:hAnsi="Arial" w:cs="Arial"/>
          <w:b/>
          <w:sz w:val="22"/>
        </w:rPr>
      </w:pPr>
      <w:r>
        <w:rPr>
          <w:rFonts w:ascii="Arial" w:eastAsia="Calibri" w:hAnsi="Arial" w:cs="Arial"/>
          <w:b/>
          <w:sz w:val="22"/>
        </w:rPr>
        <w:t>2.4</w:t>
      </w:r>
      <w:r w:rsidR="00DF4B95" w:rsidRPr="00DF4B95">
        <w:rPr>
          <w:rFonts w:ascii="Arial" w:eastAsia="Calibri" w:hAnsi="Arial" w:cs="Arial"/>
          <w:b/>
          <w:sz w:val="22"/>
        </w:rPr>
        <w:t>. Causales de rechazo</w:t>
      </w:r>
      <w:r w:rsidR="009B6E85">
        <w:rPr>
          <w:rFonts w:ascii="Arial" w:eastAsia="Calibri" w:hAnsi="Arial" w:cs="Arial"/>
          <w:b/>
          <w:sz w:val="22"/>
        </w:rPr>
        <w:t xml:space="preserve"> y su carácter taxativo</w:t>
      </w:r>
      <w:r>
        <w:rPr>
          <w:rFonts w:ascii="Arial" w:eastAsia="Calibri" w:hAnsi="Arial" w:cs="Arial"/>
          <w:b/>
          <w:sz w:val="22"/>
        </w:rPr>
        <w:t xml:space="preserve"> en los documentos tipo</w:t>
      </w:r>
    </w:p>
    <w:p w14:paraId="682614BD" w14:textId="77777777" w:rsidR="00767D99" w:rsidRDefault="00767D99" w:rsidP="00767D99">
      <w:pPr>
        <w:tabs>
          <w:tab w:val="left" w:pos="709"/>
        </w:tabs>
        <w:spacing w:line="276" w:lineRule="auto"/>
        <w:jc w:val="both"/>
        <w:rPr>
          <w:rFonts w:ascii="Arial" w:hAnsi="Arial" w:cs="Arial"/>
          <w:sz w:val="22"/>
        </w:rPr>
      </w:pPr>
    </w:p>
    <w:p w14:paraId="339B199A" w14:textId="43CB4515" w:rsidR="00DF4B95" w:rsidRPr="004708A0" w:rsidRDefault="00DF4B95" w:rsidP="00767D99">
      <w:pPr>
        <w:tabs>
          <w:tab w:val="left" w:pos="709"/>
        </w:tabs>
        <w:spacing w:line="276" w:lineRule="auto"/>
        <w:jc w:val="both"/>
        <w:rPr>
          <w:rFonts w:ascii="Arial" w:hAnsi="Arial" w:cs="Arial"/>
          <w:sz w:val="22"/>
        </w:rPr>
      </w:pPr>
      <w:r w:rsidRPr="009B6E85">
        <w:rPr>
          <w:rFonts w:ascii="Arial" w:hAnsi="Arial" w:cs="Arial"/>
          <w:sz w:val="22"/>
        </w:rPr>
        <w:t>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6031FE83" w14:textId="77777777" w:rsidR="00DF4B95" w:rsidRPr="004708A0" w:rsidRDefault="00DF4B95" w:rsidP="00767D99">
      <w:pPr>
        <w:tabs>
          <w:tab w:val="left" w:pos="709"/>
        </w:tabs>
        <w:spacing w:line="276" w:lineRule="auto"/>
        <w:ind w:firstLine="709"/>
        <w:jc w:val="both"/>
        <w:rPr>
          <w:rFonts w:ascii="Arial" w:hAnsi="Arial" w:cs="Arial"/>
          <w:sz w:val="22"/>
        </w:rPr>
      </w:pPr>
    </w:p>
    <w:p w14:paraId="78FDD20F" w14:textId="77777777" w:rsidR="00DF4B95" w:rsidRPr="004708A0" w:rsidRDefault="00DF4B95" w:rsidP="00767D99">
      <w:pPr>
        <w:tabs>
          <w:tab w:val="left" w:pos="709"/>
        </w:tabs>
        <w:ind w:left="709" w:right="709"/>
        <w:jc w:val="both"/>
        <w:rPr>
          <w:rFonts w:ascii="Arial" w:hAnsi="Arial" w:cs="Arial"/>
          <w:sz w:val="22"/>
        </w:rPr>
      </w:pPr>
      <w:r w:rsidRPr="004708A0">
        <w:rPr>
          <w:rFonts w:ascii="Arial" w:hAnsi="Arial" w:cs="Arial"/>
          <w:sz w:val="21"/>
          <w:szCs w:val="21"/>
        </w:rPr>
        <w:t xml:space="preserve">Quiere con esto destacar la Sala que las causales de rechazo de las propuestas pueden ser legales y por lo mismo generan el efecto del descarte o exclusión de la oferta </w:t>
      </w:r>
      <w:proofErr w:type="spellStart"/>
      <w:r w:rsidRPr="004708A0">
        <w:rPr>
          <w:rFonts w:ascii="Arial" w:hAnsi="Arial" w:cs="Arial"/>
          <w:sz w:val="21"/>
          <w:szCs w:val="21"/>
        </w:rPr>
        <w:t>ope</w:t>
      </w:r>
      <w:proofErr w:type="spellEnd"/>
      <w:r w:rsidRPr="004708A0">
        <w:rPr>
          <w:rFonts w:ascii="Arial" w:hAnsi="Arial" w:cs="Arial"/>
          <w:sz w:val="21"/>
          <w:szCs w:val="21"/>
        </w:rPr>
        <w:t xml:space="preserve"> </w:t>
      </w:r>
      <w:proofErr w:type="spellStart"/>
      <w:r w:rsidRPr="004708A0">
        <w:rPr>
          <w:rFonts w:ascii="Arial" w:hAnsi="Arial" w:cs="Arial"/>
          <w:sz w:val="21"/>
          <w:szCs w:val="21"/>
        </w:rPr>
        <w:t>legis</w:t>
      </w:r>
      <w:proofErr w:type="spellEnd"/>
      <w:r w:rsidRPr="004708A0">
        <w:rPr>
          <w:rFonts w:ascii="Arial" w:hAnsi="Arial" w:cs="Arial"/>
          <w:sz w:val="21"/>
          <w:szCs w:val="21"/>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4708A0">
        <w:rPr>
          <w:rFonts w:ascii="Arial" w:hAnsi="Arial" w:cs="Arial"/>
          <w:sz w:val="22"/>
        </w:rPr>
        <w:t xml:space="preserve"> </w:t>
      </w:r>
      <w:r w:rsidRPr="004708A0">
        <w:rPr>
          <w:rFonts w:ascii="Arial" w:hAnsi="Arial" w:cs="Arial"/>
          <w:sz w:val="21"/>
          <w:szCs w:val="21"/>
        </w:rPr>
        <w:t>transparencia, economía y responsabilidad, así como el deber de selección objetiva en la contratación</w:t>
      </w:r>
      <w:r w:rsidRPr="004708A0">
        <w:rPr>
          <w:rFonts w:ascii="Arial" w:hAnsi="Arial" w:cs="Arial"/>
          <w:sz w:val="21"/>
          <w:szCs w:val="21"/>
          <w:vertAlign w:val="superscript"/>
        </w:rPr>
        <w:footnoteReference w:id="13"/>
      </w:r>
      <w:r w:rsidRPr="004708A0">
        <w:rPr>
          <w:rFonts w:ascii="Arial" w:hAnsi="Arial" w:cs="Arial"/>
          <w:sz w:val="21"/>
          <w:szCs w:val="21"/>
        </w:rPr>
        <w:t>.</w:t>
      </w:r>
    </w:p>
    <w:p w14:paraId="3C708DEC" w14:textId="77777777" w:rsidR="00DF4B95" w:rsidRDefault="00DF4B95" w:rsidP="00767D99">
      <w:pPr>
        <w:tabs>
          <w:tab w:val="left" w:pos="709"/>
          <w:tab w:val="left" w:pos="851"/>
        </w:tabs>
        <w:spacing w:line="276" w:lineRule="auto"/>
        <w:jc w:val="both"/>
        <w:rPr>
          <w:rFonts w:ascii="Arial" w:eastAsia="Calibri" w:hAnsi="Arial" w:cs="Arial"/>
          <w:sz w:val="22"/>
          <w:szCs w:val="20"/>
        </w:rPr>
      </w:pPr>
    </w:p>
    <w:p w14:paraId="450175F8" w14:textId="17F675E6" w:rsidR="00DF4B95" w:rsidRDefault="00767D99" w:rsidP="00767D99">
      <w:pPr>
        <w:tabs>
          <w:tab w:val="left" w:pos="709"/>
          <w:tab w:val="left" w:pos="851"/>
        </w:tabs>
        <w:spacing w:after="120" w:line="276" w:lineRule="auto"/>
        <w:jc w:val="both"/>
        <w:rPr>
          <w:rFonts w:ascii="Arial" w:eastAsia="Calibri" w:hAnsi="Arial" w:cs="Arial"/>
          <w:sz w:val="22"/>
          <w:szCs w:val="20"/>
        </w:rPr>
      </w:pPr>
      <w:r>
        <w:rPr>
          <w:rFonts w:ascii="Arial" w:eastAsia="Calibri" w:hAnsi="Arial" w:cs="Arial"/>
          <w:sz w:val="22"/>
          <w:szCs w:val="20"/>
        </w:rPr>
        <w:tab/>
      </w:r>
      <w:r w:rsidR="00DF4B95" w:rsidRPr="00BA6C38">
        <w:rPr>
          <w:rFonts w:ascii="Arial" w:eastAsia="Calibri" w:hAnsi="Arial" w:cs="Arial"/>
          <w:sz w:val="22"/>
          <w:szCs w:val="20"/>
        </w:rPr>
        <w:t>La Agencia Nacional de Contratación Pública –Colombia Compra Eficiente– mediante los conceptos con radicados Nos. 2201913000007117 del 25 de septiembre de 2019, 2201913000009538 del 23 de diciembre de 2019</w:t>
      </w:r>
      <w:r w:rsidR="00DF4B95">
        <w:rPr>
          <w:rFonts w:ascii="Arial" w:eastAsia="Calibri" w:hAnsi="Arial" w:cs="Arial"/>
          <w:sz w:val="22"/>
          <w:szCs w:val="20"/>
        </w:rPr>
        <w:t>,</w:t>
      </w:r>
      <w:r w:rsidR="00DF4B95" w:rsidRPr="00BA6C38">
        <w:rPr>
          <w:rFonts w:ascii="Arial" w:eastAsia="Calibri" w:hAnsi="Arial" w:cs="Arial"/>
          <w:sz w:val="22"/>
          <w:szCs w:val="20"/>
        </w:rPr>
        <w:t xml:space="preserve"> C- 716 del 30 de octubre de 2020</w:t>
      </w:r>
      <w:r w:rsidR="00DF4B95">
        <w:rPr>
          <w:rFonts w:ascii="Arial" w:eastAsia="Calibri" w:hAnsi="Arial" w:cs="Arial"/>
          <w:sz w:val="22"/>
          <w:szCs w:val="20"/>
        </w:rPr>
        <w:t xml:space="preserve">, </w:t>
      </w:r>
      <w:r w:rsidR="00992278">
        <w:rPr>
          <w:rFonts w:ascii="Arial" w:eastAsia="Calibri" w:hAnsi="Arial" w:cs="Arial"/>
          <w:sz w:val="22"/>
          <w:szCs w:val="20"/>
        </w:rPr>
        <w:t xml:space="preserve">C-096 del 24 de marzo de </w:t>
      </w:r>
      <w:r w:rsidR="00992278" w:rsidRPr="00992278">
        <w:rPr>
          <w:rFonts w:ascii="Arial" w:eastAsia="Calibri" w:hAnsi="Arial" w:cs="Arial"/>
          <w:sz w:val="22"/>
          <w:szCs w:val="20"/>
        </w:rPr>
        <w:t xml:space="preserve">2021, </w:t>
      </w:r>
      <w:r w:rsidR="00DF4B95" w:rsidRPr="00992278">
        <w:rPr>
          <w:rFonts w:ascii="Arial" w:eastAsia="Calibri" w:hAnsi="Arial" w:cs="Arial"/>
          <w:sz w:val="22"/>
          <w:szCs w:val="20"/>
        </w:rPr>
        <w:t>C-056 del 20 de abril de 2021,</w:t>
      </w:r>
      <w:r w:rsidR="00992278" w:rsidRPr="00992278">
        <w:rPr>
          <w:rStyle w:val="normaltextrun"/>
          <w:rFonts w:ascii="Arial" w:hAnsi="Arial" w:cs="Arial"/>
          <w:sz w:val="22"/>
          <w:shd w:val="clear" w:color="auto" w:fill="FFFFFF"/>
          <w:lang w:val="es-CO"/>
        </w:rPr>
        <w:t xml:space="preserve"> C-</w:t>
      </w:r>
      <w:r w:rsidR="00992278">
        <w:rPr>
          <w:rStyle w:val="normaltextrun"/>
          <w:rFonts w:ascii="Arial" w:hAnsi="Arial" w:cs="Arial"/>
          <w:sz w:val="22"/>
          <w:shd w:val="clear" w:color="auto" w:fill="FFFFFF"/>
          <w:lang w:val="es-CO"/>
        </w:rPr>
        <w:t>078 del 15 de marzo de 2022, C-321 del 17 de mayo de 2022, C-113 del 22 de marzo de 2022, C-178 y C-186  del 12 de abril de 2022,</w:t>
      </w:r>
      <w:r w:rsidR="00DF4B95" w:rsidRPr="00BA6C38">
        <w:rPr>
          <w:rFonts w:ascii="Arial" w:eastAsia="Calibri" w:hAnsi="Arial" w:cs="Arial"/>
          <w:sz w:val="22"/>
          <w:szCs w:val="20"/>
        </w:rPr>
        <w:t xml:space="preserve">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w:t>
      </w:r>
    </w:p>
    <w:p w14:paraId="6F8C013B" w14:textId="312F2E4A" w:rsidR="00000CA5" w:rsidRPr="00F14E00" w:rsidRDefault="00DF4B95" w:rsidP="00767D99">
      <w:pPr>
        <w:tabs>
          <w:tab w:val="left" w:pos="709"/>
        </w:tabs>
        <w:spacing w:line="276" w:lineRule="auto"/>
        <w:jc w:val="both"/>
        <w:rPr>
          <w:rFonts w:ascii="Arial" w:eastAsia="Times New Roman" w:hAnsi="Arial" w:cs="Arial"/>
          <w:sz w:val="22"/>
          <w:lang w:val="es-CO" w:eastAsia="es-ES_tradnl"/>
        </w:rPr>
      </w:pPr>
      <w:r>
        <w:rPr>
          <w:rFonts w:ascii="Arial" w:eastAsia="Times New Roman" w:hAnsi="Arial" w:cs="Arial"/>
          <w:sz w:val="22"/>
          <w:szCs w:val="24"/>
          <w:lang w:val="es-CO" w:eastAsia="es-ES_tradnl"/>
        </w:rPr>
        <w:tab/>
        <w:t>De acuerdo con lo anterior</w:t>
      </w:r>
      <w:r w:rsidR="00000CA5" w:rsidRPr="00F14E00">
        <w:rPr>
          <w:rFonts w:ascii="Arial" w:eastAsia="Times New Roman" w:hAnsi="Arial" w:cs="Arial"/>
          <w:sz w:val="22"/>
          <w:szCs w:val="24"/>
          <w:lang w:val="es-CO" w:eastAsia="es-ES_tradnl"/>
        </w:rPr>
        <w:t xml:space="preserve">, las causales de rechazo que aplican para los procedimientos de infraestructura de </w:t>
      </w:r>
      <w:proofErr w:type="gramStart"/>
      <w:r w:rsidR="00000CA5" w:rsidRPr="00F14E00">
        <w:rPr>
          <w:rFonts w:ascii="Arial" w:eastAsia="Times New Roman" w:hAnsi="Arial" w:cs="Arial"/>
          <w:sz w:val="22"/>
          <w:szCs w:val="24"/>
          <w:lang w:val="es-CO" w:eastAsia="es-ES_tradnl"/>
        </w:rPr>
        <w:t xml:space="preserve">transporte </w:t>
      </w:r>
      <w:r w:rsidR="009B6E85">
        <w:rPr>
          <w:rFonts w:ascii="Arial" w:eastAsia="Times New Roman" w:hAnsi="Arial" w:cs="Arial"/>
          <w:sz w:val="22"/>
          <w:szCs w:val="24"/>
          <w:lang w:val="es-CO" w:eastAsia="es-ES_tradnl"/>
        </w:rPr>
        <w:t xml:space="preserve"> de</w:t>
      </w:r>
      <w:proofErr w:type="gramEnd"/>
      <w:r w:rsidR="009B6E85">
        <w:rPr>
          <w:rFonts w:ascii="Arial" w:eastAsia="Times New Roman" w:hAnsi="Arial" w:cs="Arial"/>
          <w:sz w:val="22"/>
          <w:szCs w:val="24"/>
          <w:lang w:val="es-CO" w:eastAsia="es-ES_tradnl"/>
        </w:rPr>
        <w:t xml:space="preserve"> licitaci</w:t>
      </w:r>
      <w:r w:rsidR="00654EE4">
        <w:rPr>
          <w:rFonts w:ascii="Arial" w:eastAsia="Times New Roman" w:hAnsi="Arial" w:cs="Arial"/>
          <w:sz w:val="22"/>
          <w:szCs w:val="24"/>
          <w:lang w:val="es-CO" w:eastAsia="es-ES_tradnl"/>
        </w:rPr>
        <w:t xml:space="preserve">ón pública, selección abreviada </w:t>
      </w:r>
      <w:r w:rsidR="009B6E85">
        <w:rPr>
          <w:rFonts w:ascii="Arial" w:eastAsia="Times New Roman" w:hAnsi="Arial" w:cs="Arial"/>
          <w:sz w:val="22"/>
          <w:szCs w:val="24"/>
          <w:lang w:val="es-CO" w:eastAsia="es-ES_tradnl"/>
        </w:rPr>
        <w:t xml:space="preserve">de menor cuantía y </w:t>
      </w:r>
      <w:r w:rsidR="00992278">
        <w:rPr>
          <w:rFonts w:ascii="Arial" w:eastAsia="Times New Roman" w:hAnsi="Arial" w:cs="Arial"/>
          <w:sz w:val="22"/>
          <w:szCs w:val="24"/>
          <w:lang w:val="es-CO" w:eastAsia="es-ES_tradnl"/>
        </w:rPr>
        <w:t xml:space="preserve">la modalidad de </w:t>
      </w:r>
      <w:r w:rsidR="009B6E85">
        <w:rPr>
          <w:rFonts w:ascii="Arial" w:eastAsia="Times New Roman" w:hAnsi="Arial" w:cs="Arial"/>
          <w:sz w:val="22"/>
          <w:szCs w:val="24"/>
          <w:lang w:val="es-CO" w:eastAsia="es-ES_tradnl"/>
        </w:rPr>
        <w:t xml:space="preserve">mínima cuantía </w:t>
      </w:r>
      <w:r w:rsidR="00000CA5" w:rsidRPr="00F14E00">
        <w:rPr>
          <w:rFonts w:ascii="Arial" w:eastAsia="Times New Roman" w:hAnsi="Arial" w:cs="Arial"/>
          <w:sz w:val="22"/>
          <w:szCs w:val="24"/>
          <w:lang w:val="es-CO" w:eastAsia="es-ES_tradnl"/>
        </w:rPr>
        <w:t xml:space="preserve">son las establecidas en la ley y las definidas en el numeral 1.15 del </w:t>
      </w:r>
      <w:r w:rsidR="0020637E">
        <w:rPr>
          <w:rFonts w:ascii="Arial" w:eastAsia="Times New Roman" w:hAnsi="Arial" w:cs="Arial"/>
          <w:sz w:val="22"/>
          <w:szCs w:val="24"/>
          <w:lang w:val="es-CO" w:eastAsia="es-ES_tradnl"/>
        </w:rPr>
        <w:t>documento b</w:t>
      </w:r>
      <w:r w:rsidR="00000CA5" w:rsidRPr="00F14E00">
        <w:rPr>
          <w:rFonts w:ascii="Arial" w:eastAsia="Times New Roman" w:hAnsi="Arial" w:cs="Arial"/>
          <w:sz w:val="22"/>
          <w:szCs w:val="24"/>
          <w:lang w:val="es-CO" w:eastAsia="es-ES_tradnl"/>
        </w:rPr>
        <w:t>ase</w:t>
      </w:r>
      <w:r w:rsidR="00DC753E">
        <w:rPr>
          <w:rFonts w:ascii="Arial" w:eastAsia="Times New Roman" w:hAnsi="Arial" w:cs="Arial"/>
          <w:sz w:val="22"/>
          <w:szCs w:val="24"/>
          <w:lang w:val="es-CO" w:eastAsia="es-ES_tradnl"/>
        </w:rPr>
        <w:t xml:space="preserve"> </w:t>
      </w:r>
      <w:r w:rsidR="009B6E85">
        <w:rPr>
          <w:rFonts w:ascii="Arial" w:eastAsia="Times New Roman" w:hAnsi="Arial" w:cs="Arial"/>
          <w:sz w:val="22"/>
          <w:szCs w:val="24"/>
          <w:lang w:val="es-CO" w:eastAsia="es-ES_tradnl"/>
        </w:rPr>
        <w:t xml:space="preserve">o </w:t>
      </w:r>
      <w:r w:rsidR="0020637E">
        <w:rPr>
          <w:rFonts w:ascii="Arial" w:eastAsia="Times New Roman" w:hAnsi="Arial" w:cs="Arial"/>
          <w:sz w:val="22"/>
          <w:szCs w:val="24"/>
          <w:lang w:val="es-CO" w:eastAsia="es-ES_tradnl"/>
        </w:rPr>
        <w:t>la invitación pública</w:t>
      </w:r>
      <w:r w:rsidR="009B6E85">
        <w:rPr>
          <w:rFonts w:ascii="Arial" w:eastAsia="Times New Roman" w:hAnsi="Arial" w:cs="Arial"/>
          <w:sz w:val="22"/>
          <w:szCs w:val="24"/>
          <w:lang w:val="es-CO" w:eastAsia="es-ES_tradnl"/>
        </w:rPr>
        <w:t>, según corresponda</w:t>
      </w:r>
      <w:r w:rsidR="0020637E">
        <w:rPr>
          <w:rFonts w:ascii="Arial" w:eastAsia="Times New Roman" w:hAnsi="Arial" w:cs="Arial"/>
          <w:sz w:val="22"/>
          <w:szCs w:val="24"/>
          <w:lang w:val="es-CO" w:eastAsia="es-ES_tradnl"/>
        </w:rPr>
        <w:t xml:space="preserve">. </w:t>
      </w:r>
      <w:r w:rsidR="00DC753E" w:rsidRPr="00F14E00">
        <w:rPr>
          <w:rFonts w:ascii="Arial" w:eastAsia="Times New Roman" w:hAnsi="Arial" w:cs="Arial"/>
          <w:sz w:val="22"/>
          <w:szCs w:val="24"/>
          <w:lang w:val="es-CO" w:eastAsia="es-ES_tradnl"/>
        </w:rPr>
        <w:t xml:space="preserve"> </w:t>
      </w:r>
      <w:r w:rsidR="00000CA5" w:rsidRPr="00F14E00">
        <w:rPr>
          <w:rFonts w:ascii="Arial" w:eastAsia="Times New Roman" w:hAnsi="Arial" w:cs="Arial"/>
          <w:sz w:val="22"/>
          <w:szCs w:val="24"/>
          <w:lang w:val="es-CO" w:eastAsia="es-ES_tradnl"/>
        </w:rPr>
        <w:t>De igual forma, se rigen por el principio de inalterabilidad</w:t>
      </w:r>
      <w:r w:rsidR="00214DF8" w:rsidRPr="00F14E00">
        <w:rPr>
          <w:rFonts w:ascii="Arial" w:eastAsia="Times New Roman" w:hAnsi="Arial" w:cs="Arial"/>
          <w:sz w:val="22"/>
          <w:szCs w:val="24"/>
          <w:lang w:val="es-CO" w:eastAsia="es-ES_tradnl"/>
        </w:rPr>
        <w:t>,</w:t>
      </w:r>
      <w:r w:rsidR="00000CA5" w:rsidRPr="00F14E00">
        <w:rPr>
          <w:rFonts w:ascii="Arial" w:eastAsia="Times New Roman" w:hAnsi="Arial" w:cs="Arial"/>
          <w:sz w:val="22"/>
          <w:szCs w:val="24"/>
          <w:lang w:val="es-CO" w:eastAsia="es-ES_tradnl"/>
        </w:rPr>
        <w:t xml:space="preserve"> en la medida </w:t>
      </w:r>
      <w:r w:rsidR="00214DF8" w:rsidRPr="00F14E00">
        <w:rPr>
          <w:rFonts w:ascii="Arial" w:eastAsia="Times New Roman" w:hAnsi="Arial" w:cs="Arial"/>
          <w:sz w:val="22"/>
          <w:szCs w:val="24"/>
          <w:lang w:val="es-CO" w:eastAsia="es-ES_tradnl"/>
        </w:rPr>
        <w:t xml:space="preserve">en </w:t>
      </w:r>
      <w:r w:rsidR="00000CA5" w:rsidRPr="00F14E00">
        <w:rPr>
          <w:rFonts w:ascii="Arial" w:eastAsia="Times New Roman" w:hAnsi="Arial" w:cs="Arial"/>
          <w:sz w:val="22"/>
          <w:szCs w:val="24"/>
          <w:lang w:val="es-CO" w:eastAsia="es-ES_tradnl"/>
        </w:rPr>
        <w:t xml:space="preserve">que </w:t>
      </w:r>
      <w:r w:rsidR="009B6E85">
        <w:rPr>
          <w:rFonts w:ascii="Arial" w:eastAsia="Times New Roman" w:hAnsi="Arial" w:cs="Arial"/>
          <w:sz w:val="22"/>
          <w:szCs w:val="24"/>
          <w:lang w:val="es-CO" w:eastAsia="es-ES_tradnl"/>
        </w:rPr>
        <w:t xml:space="preserve">señala: </w:t>
      </w:r>
      <w:r w:rsidR="00000CA5" w:rsidRPr="00F14E00">
        <w:rPr>
          <w:rFonts w:ascii="Arial" w:eastAsia="Times New Roman" w:hAnsi="Arial" w:cs="Arial"/>
          <w:sz w:val="22"/>
          <w:szCs w:val="24"/>
          <w:lang w:val="es-CO" w:eastAsia="es-ES_tradnl"/>
        </w:rPr>
        <w:t>«Las entidades no podrán incluir causales de rechazo distintas a las señaladas en la presente sección». Estas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sidR="00000CA5" w:rsidRPr="00F14E00">
        <w:rPr>
          <w:rFonts w:ascii="Arial" w:eastAsia="Times New Roman" w:hAnsi="Arial" w:cs="Arial"/>
          <w:sz w:val="19"/>
          <w:szCs w:val="19"/>
          <w:lang w:val="es-CO" w:eastAsia="es-ES_tradnl"/>
        </w:rPr>
        <w:t xml:space="preserve"> </w:t>
      </w:r>
      <w:r w:rsidR="00000CA5" w:rsidRPr="00F14E00">
        <w:rPr>
          <w:rFonts w:ascii="Arial" w:eastAsia="Times New Roman" w:hAnsi="Arial" w:cs="Arial"/>
          <w:sz w:val="22"/>
          <w:lang w:val="es-CO" w:eastAsia="es-ES_tradnl"/>
        </w:rPr>
        <w:t>Al respecto, la jurisprudencia explica que:</w:t>
      </w:r>
    </w:p>
    <w:p w14:paraId="69183861" w14:textId="77777777" w:rsidR="00000CA5" w:rsidRPr="00F14E00" w:rsidRDefault="00000CA5" w:rsidP="00767D99">
      <w:pPr>
        <w:tabs>
          <w:tab w:val="left" w:pos="709"/>
        </w:tabs>
        <w:spacing w:line="276" w:lineRule="auto"/>
        <w:jc w:val="both"/>
        <w:rPr>
          <w:rFonts w:ascii="Arial" w:eastAsia="Times New Roman" w:hAnsi="Arial" w:cs="Arial"/>
          <w:sz w:val="22"/>
          <w:lang w:val="es-CO" w:eastAsia="es-ES_tradnl"/>
        </w:rPr>
      </w:pPr>
    </w:p>
    <w:p w14:paraId="6137DC7E" w14:textId="77777777" w:rsidR="00000CA5" w:rsidRPr="00F14E00" w:rsidRDefault="00000CA5" w:rsidP="00767D99">
      <w:pPr>
        <w:tabs>
          <w:tab w:val="left" w:pos="709"/>
        </w:tabs>
        <w:ind w:left="709" w:right="709"/>
        <w:jc w:val="both"/>
        <w:rPr>
          <w:rFonts w:ascii="Arial" w:eastAsia="Calibri" w:hAnsi="Arial" w:cs="Arial"/>
          <w:color w:val="404040" w:themeColor="text1" w:themeTint="BF"/>
          <w:sz w:val="21"/>
          <w:szCs w:val="21"/>
          <w:lang w:val="es-ES_tradnl" w:eastAsia="es-ES_tradnl"/>
        </w:rPr>
      </w:pPr>
      <w:r w:rsidRPr="00F14E00">
        <w:rPr>
          <w:rFonts w:ascii="Arial" w:eastAsia="Times New Roman" w:hAnsi="Arial" w:cs="Arial"/>
          <w:sz w:val="21"/>
          <w:szCs w:val="21"/>
          <w:lang w:val="es-CO" w:eastAsia="es-ES_tradnl"/>
        </w:rPr>
        <w:lastRenderedPageBreak/>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F14E00">
        <w:rPr>
          <w:rFonts w:ascii="Arial" w:eastAsia="Calibri" w:hAnsi="Arial" w:cs="Arial"/>
          <w:sz w:val="21"/>
          <w:szCs w:val="21"/>
          <w:vertAlign w:val="superscript"/>
          <w:lang w:val="es-ES_tradnl" w:eastAsia="es-ES_tradnl"/>
        </w:rPr>
        <w:footnoteReference w:id="14"/>
      </w:r>
      <w:r w:rsidRPr="00F14E00">
        <w:rPr>
          <w:rFonts w:ascii="Arial" w:eastAsia="Calibri" w:hAnsi="Arial" w:cs="Arial"/>
          <w:color w:val="404040" w:themeColor="text1" w:themeTint="BF"/>
          <w:sz w:val="21"/>
          <w:szCs w:val="21"/>
          <w:lang w:val="es-ES_tradnl" w:eastAsia="es-ES_tradnl"/>
        </w:rPr>
        <w:t>.</w:t>
      </w:r>
    </w:p>
    <w:p w14:paraId="3712C642" w14:textId="77777777" w:rsidR="00000CA5" w:rsidRPr="00F14E00" w:rsidRDefault="00000CA5" w:rsidP="00767D99">
      <w:pPr>
        <w:tabs>
          <w:tab w:val="left" w:pos="709"/>
        </w:tabs>
        <w:spacing w:line="276" w:lineRule="auto"/>
        <w:ind w:left="709" w:right="709"/>
        <w:jc w:val="both"/>
        <w:rPr>
          <w:rFonts w:ascii="Arial" w:eastAsia="Times New Roman" w:hAnsi="Arial" w:cs="Arial"/>
          <w:sz w:val="22"/>
          <w:lang w:val="es-CO" w:eastAsia="es-ES_tradnl"/>
        </w:rPr>
      </w:pPr>
    </w:p>
    <w:p w14:paraId="5AD16800" w14:textId="5D1E65F5" w:rsidR="000C6043" w:rsidRDefault="00000CA5" w:rsidP="00767D99">
      <w:pPr>
        <w:tabs>
          <w:tab w:val="left" w:pos="709"/>
        </w:tabs>
        <w:spacing w:after="120" w:line="276" w:lineRule="auto"/>
        <w:jc w:val="both"/>
        <w:rPr>
          <w:rFonts w:ascii="Arial" w:hAnsi="Arial" w:cs="Arial"/>
          <w:sz w:val="22"/>
        </w:rPr>
      </w:pPr>
      <w:r w:rsidRPr="00F14E00">
        <w:rPr>
          <w:rFonts w:ascii="Arial" w:eastAsia="Times New Roman" w:hAnsi="Arial" w:cs="Arial"/>
          <w:sz w:val="22"/>
          <w:szCs w:val="24"/>
          <w:lang w:val="es-CO" w:eastAsia="es-ES_tradnl"/>
        </w:rPr>
        <w:tab/>
      </w:r>
      <w:r w:rsidR="00DF4B95" w:rsidRPr="004708A0">
        <w:rPr>
          <w:rFonts w:ascii="Arial" w:hAnsi="Arial" w:cs="Arial"/>
          <w:sz w:val="22"/>
        </w:rPr>
        <w:t xml:space="preserve">En este sentido, la Administración no tiene la facultad de descalificar una oferta de forma arbitraria,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 </w:t>
      </w:r>
    </w:p>
    <w:p w14:paraId="1A161906" w14:textId="3E0753A2" w:rsidR="00DF4B95" w:rsidRDefault="00DF4B95" w:rsidP="00767D99">
      <w:pPr>
        <w:tabs>
          <w:tab w:val="left" w:pos="709"/>
          <w:tab w:val="left" w:pos="851"/>
        </w:tabs>
        <w:spacing w:line="276" w:lineRule="auto"/>
        <w:jc w:val="both"/>
        <w:rPr>
          <w:rFonts w:ascii="Arial" w:eastAsia="Calibri" w:hAnsi="Arial" w:cs="Arial"/>
          <w:sz w:val="22"/>
          <w:szCs w:val="20"/>
        </w:rPr>
      </w:pPr>
      <w:r>
        <w:rPr>
          <w:rFonts w:ascii="Arial" w:eastAsia="Calibri" w:hAnsi="Arial" w:cs="Arial"/>
          <w:sz w:val="22"/>
          <w:szCs w:val="20"/>
        </w:rPr>
        <w:tab/>
      </w:r>
      <w:r w:rsidR="003D5728">
        <w:rPr>
          <w:rFonts w:ascii="Arial" w:eastAsia="Calibri" w:hAnsi="Arial" w:cs="Arial"/>
          <w:sz w:val="22"/>
          <w:szCs w:val="20"/>
        </w:rPr>
        <w:t xml:space="preserve">De </w:t>
      </w:r>
      <w:proofErr w:type="spellStart"/>
      <w:r w:rsidR="003D5728">
        <w:rPr>
          <w:rFonts w:ascii="Arial" w:eastAsia="Calibri" w:hAnsi="Arial" w:cs="Arial"/>
          <w:sz w:val="22"/>
          <w:szCs w:val="20"/>
        </w:rPr>
        <w:t>acuedo</w:t>
      </w:r>
      <w:proofErr w:type="spellEnd"/>
      <w:r w:rsidR="003D5728">
        <w:rPr>
          <w:rFonts w:ascii="Arial" w:eastAsia="Calibri" w:hAnsi="Arial" w:cs="Arial"/>
          <w:sz w:val="22"/>
          <w:szCs w:val="20"/>
        </w:rPr>
        <w:t xml:space="preserve"> con lo expuesto, </w:t>
      </w:r>
      <w:r w:rsidR="000C6043">
        <w:rPr>
          <w:rFonts w:ascii="Arial" w:eastAsia="Calibri" w:hAnsi="Arial" w:cs="Arial"/>
          <w:sz w:val="22"/>
          <w:szCs w:val="20"/>
        </w:rPr>
        <w:t xml:space="preserve"> </w:t>
      </w:r>
      <w:r w:rsidRPr="00BA6C38">
        <w:rPr>
          <w:rFonts w:ascii="Arial" w:eastAsia="Calibri" w:hAnsi="Arial" w:cs="Arial"/>
          <w:sz w:val="22"/>
          <w:szCs w:val="20"/>
        </w:rPr>
        <w:t>se desprenden  las siguientes reglas para las entidades estatales</w:t>
      </w:r>
      <w:r w:rsidR="003D5728">
        <w:rPr>
          <w:rFonts w:ascii="Arial" w:eastAsia="Calibri" w:hAnsi="Arial" w:cs="Arial"/>
          <w:sz w:val="22"/>
          <w:szCs w:val="20"/>
        </w:rPr>
        <w:t xml:space="preserve"> en aplicación de los documentos tipo</w:t>
      </w:r>
      <w:r w:rsidRPr="00BA6C38">
        <w:rPr>
          <w:rFonts w:ascii="Arial" w:eastAsia="Calibri" w:hAnsi="Arial" w:cs="Arial"/>
          <w:sz w:val="22"/>
          <w:szCs w:val="20"/>
        </w:rPr>
        <w:t xml:space="preserve">: i) no pueden incluir nuevas causales de rechazo en sus pliegos de condiciones distintas a las establecidas en los documentos tipo; </w:t>
      </w:r>
      <w:proofErr w:type="spellStart"/>
      <w:r w:rsidRPr="00BA6C38">
        <w:rPr>
          <w:rFonts w:ascii="Arial" w:eastAsia="Calibri" w:hAnsi="Arial" w:cs="Arial"/>
          <w:sz w:val="22"/>
          <w:szCs w:val="20"/>
        </w:rPr>
        <w:t>ii</w:t>
      </w:r>
      <w:proofErr w:type="spellEnd"/>
      <w:r w:rsidRPr="00BA6C38">
        <w:rPr>
          <w:rFonts w:ascii="Arial" w:eastAsia="Calibri" w:hAnsi="Arial" w:cs="Arial"/>
          <w:sz w:val="22"/>
          <w:szCs w:val="20"/>
        </w:rPr>
        <w:t xml:space="preserve">) solo pueden modificar los aspectos puntuales de las causales, es decir, los apartes entre corchetes y resaltados en gris; </w:t>
      </w:r>
      <w:proofErr w:type="spellStart"/>
      <w:r w:rsidRPr="00BA6C38">
        <w:rPr>
          <w:rFonts w:ascii="Arial" w:eastAsia="Calibri" w:hAnsi="Arial" w:cs="Arial"/>
          <w:sz w:val="22"/>
          <w:szCs w:val="20"/>
        </w:rPr>
        <w:t>iii</w:t>
      </w:r>
      <w:proofErr w:type="spellEnd"/>
      <w:r w:rsidRPr="00BA6C38">
        <w:rPr>
          <w:rFonts w:ascii="Arial" w:eastAsia="Calibri" w:hAnsi="Arial" w:cs="Arial"/>
          <w:sz w:val="22"/>
          <w:szCs w:val="20"/>
        </w:rPr>
        <w:t xml:space="preserve">) teniendo en cuenta el contenido prohibitivo de las causales de rechazo, estas se deben interpretar de forma estricta, evitando realizar interpretaciones extensivas; y </w:t>
      </w:r>
      <w:proofErr w:type="spellStart"/>
      <w:r w:rsidRPr="00BA6C38">
        <w:rPr>
          <w:rFonts w:ascii="Arial" w:eastAsia="Calibri" w:hAnsi="Arial" w:cs="Arial"/>
          <w:sz w:val="22"/>
          <w:szCs w:val="20"/>
        </w:rPr>
        <w:t>iv</w:t>
      </w:r>
      <w:proofErr w:type="spellEnd"/>
      <w:r w:rsidRPr="00BA6C38">
        <w:rPr>
          <w:rFonts w:ascii="Arial" w:eastAsia="Calibri" w:hAnsi="Arial" w:cs="Arial"/>
          <w:sz w:val="22"/>
          <w:szCs w:val="20"/>
        </w:rPr>
        <w:t>) las obligaciones legales tienen plena aplicación de acuerdo a su regulación concreta, sin que su ausencia en el documento tipo se pueda interpretar como una autorización para desconocer su exigibilidad, pues aplican por ministerio de la ley, pese a que algunas de ellas no tengan una incidencia concreta en los procedimientos de selección.</w:t>
      </w:r>
    </w:p>
    <w:p w14:paraId="050639C5" w14:textId="77777777" w:rsidR="00767D99" w:rsidRDefault="00767D99" w:rsidP="00767D99">
      <w:pPr>
        <w:spacing w:line="276" w:lineRule="auto"/>
        <w:jc w:val="both"/>
        <w:rPr>
          <w:rFonts w:ascii="Arial" w:eastAsia="Calibri" w:hAnsi="Arial" w:cs="Arial"/>
          <w:b/>
          <w:bCs/>
          <w:sz w:val="22"/>
        </w:rPr>
      </w:pPr>
    </w:p>
    <w:p w14:paraId="73863B0A" w14:textId="7CD7FCB2" w:rsidR="00802872" w:rsidRPr="00F14E00" w:rsidRDefault="00F03D6F" w:rsidP="00767D99">
      <w:pPr>
        <w:spacing w:line="276" w:lineRule="auto"/>
        <w:jc w:val="both"/>
        <w:rPr>
          <w:rFonts w:ascii="Arial" w:eastAsia="Calibri" w:hAnsi="Arial" w:cs="Arial"/>
          <w:b/>
          <w:bCs/>
          <w:sz w:val="22"/>
        </w:rPr>
      </w:pPr>
      <w:r w:rsidRPr="00523A3E">
        <w:rPr>
          <w:rFonts w:ascii="Arial" w:eastAsia="Calibri" w:hAnsi="Arial" w:cs="Arial"/>
          <w:b/>
          <w:bCs/>
          <w:sz w:val="22"/>
        </w:rPr>
        <w:t>2.</w:t>
      </w:r>
      <w:r w:rsidR="00F26E22">
        <w:rPr>
          <w:rFonts w:ascii="Arial" w:eastAsia="Calibri" w:hAnsi="Arial" w:cs="Arial"/>
          <w:b/>
          <w:bCs/>
          <w:sz w:val="22"/>
        </w:rPr>
        <w:t>5</w:t>
      </w:r>
      <w:r w:rsidR="00802872" w:rsidRPr="00523A3E">
        <w:rPr>
          <w:rFonts w:ascii="Arial" w:eastAsia="Calibri" w:hAnsi="Arial" w:cs="Arial"/>
          <w:b/>
          <w:bCs/>
          <w:sz w:val="22"/>
        </w:rPr>
        <w:t>.</w:t>
      </w:r>
      <w:r w:rsidR="00802872" w:rsidRPr="00F14E00">
        <w:rPr>
          <w:rFonts w:ascii="Arial" w:eastAsia="Calibri" w:hAnsi="Arial" w:cs="Arial"/>
          <w:b/>
          <w:bCs/>
          <w:sz w:val="22"/>
        </w:rPr>
        <w:t xml:space="preserve"> Alcance del «Anexo 1 – Anexo Técnico»</w:t>
      </w:r>
      <w:r w:rsidR="00CE38F9">
        <w:rPr>
          <w:rFonts w:ascii="Arial" w:eastAsia="Calibri" w:hAnsi="Arial" w:cs="Arial"/>
          <w:b/>
          <w:bCs/>
          <w:sz w:val="22"/>
        </w:rPr>
        <w:t xml:space="preserve">. Procedencia del rechazo de la oferta </w:t>
      </w:r>
      <w:r w:rsidR="00802872" w:rsidRPr="00F14E00">
        <w:rPr>
          <w:rFonts w:ascii="Arial" w:eastAsia="Calibri" w:hAnsi="Arial" w:cs="Arial"/>
          <w:b/>
          <w:bCs/>
          <w:sz w:val="22"/>
        </w:rPr>
        <w:t xml:space="preserve"> </w:t>
      </w:r>
      <w:bookmarkStart w:id="1" w:name="_Hlk61610425"/>
    </w:p>
    <w:bookmarkEnd w:id="1"/>
    <w:p w14:paraId="7F93E504" w14:textId="77777777" w:rsidR="00802872" w:rsidRPr="00F14E00" w:rsidRDefault="00802872" w:rsidP="00767D99">
      <w:pPr>
        <w:spacing w:line="276" w:lineRule="auto"/>
        <w:jc w:val="both"/>
        <w:rPr>
          <w:rFonts w:ascii="Arial" w:eastAsia="Calibri" w:hAnsi="Arial" w:cs="Arial"/>
          <w:sz w:val="22"/>
        </w:rPr>
      </w:pPr>
    </w:p>
    <w:p w14:paraId="67C5CA5B" w14:textId="6EB1738A" w:rsidR="00802872" w:rsidRPr="00F14E00" w:rsidRDefault="00802872" w:rsidP="00767D99">
      <w:pPr>
        <w:spacing w:after="120" w:line="276" w:lineRule="auto"/>
        <w:jc w:val="both"/>
        <w:rPr>
          <w:rFonts w:ascii="Arial" w:eastAsia="Calibri" w:hAnsi="Arial" w:cs="Arial"/>
          <w:sz w:val="22"/>
        </w:rPr>
      </w:pPr>
      <w:r w:rsidRPr="00F14E00">
        <w:rPr>
          <w:rFonts w:ascii="Arial" w:eastAsia="Calibri" w:hAnsi="Arial" w:cs="Arial"/>
          <w:sz w:val="22"/>
        </w:rPr>
        <w:t xml:space="preserve">Las características técnicas de los materiales y especificaciones necesarios para la ejecución del objeto contractual deben plasmarse en el «Anexo 1 – Anexo Técnico». De acuerdo con la guía para la comprensión e implementación de los Documentos Tipo de obra pública de infraestructura de transporte expedida por la Agencia, este anexo contiene «[…] las condiciones técnicas aplicables a la obra pública de infraestructura de transporte </w:t>
      </w:r>
      <w:r w:rsidRPr="00F14E00">
        <w:rPr>
          <w:rFonts w:ascii="Arial" w:eastAsia="Calibri" w:hAnsi="Arial" w:cs="Arial"/>
          <w:sz w:val="22"/>
        </w:rPr>
        <w:lastRenderedPageBreak/>
        <w:t>que se pretende contratar, siguiendo los lineamientos de dicho documento»</w:t>
      </w:r>
      <w:r w:rsidRPr="00F14E00">
        <w:rPr>
          <w:rFonts w:ascii="Arial" w:eastAsia="Calibri" w:hAnsi="Arial" w:cs="Arial"/>
          <w:sz w:val="22"/>
          <w:vertAlign w:val="superscript"/>
        </w:rPr>
        <w:footnoteReference w:id="15"/>
      </w:r>
      <w:r w:rsidRPr="00F14E00">
        <w:rPr>
          <w:rFonts w:ascii="Arial" w:eastAsia="Calibri" w:hAnsi="Arial" w:cs="Arial"/>
          <w:sz w:val="22"/>
        </w:rPr>
        <w:t>. Además, señala que «Cuando la Entidad cuente con documentos adicionales como un Anexo técnico separable por capítulos (Pavimentos, geotécnica, urbanismo, social, ambiental, SST, etc.), podrá adjuntarlos como documentos complementarios al Anexo 1, siempre y cuando no se realicen requerimientos o requisitos de participación en dichos anexos».</w:t>
      </w:r>
    </w:p>
    <w:p w14:paraId="29F0E14C" w14:textId="77777777" w:rsidR="00802872" w:rsidRPr="00F14E00" w:rsidRDefault="00802872"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El «Anexo 1» de los documentos tipo contiene los siguientes elementos: i) descripción del proyecto –alcance, sitio de trabajo, ubicación rural o urbana y distancia, entre otros–, </w:t>
      </w:r>
      <w:proofErr w:type="spellStart"/>
      <w:r w:rsidRPr="00F14E00">
        <w:rPr>
          <w:rFonts w:ascii="Arial" w:eastAsia="Calibri" w:hAnsi="Arial" w:cs="Arial"/>
          <w:sz w:val="22"/>
        </w:rPr>
        <w:t>ii</w:t>
      </w:r>
      <w:proofErr w:type="spellEnd"/>
      <w:r w:rsidRPr="00F14E00">
        <w:rPr>
          <w:rFonts w:ascii="Arial" w:eastAsia="Calibri" w:hAnsi="Arial" w:cs="Arial"/>
          <w:sz w:val="22"/>
        </w:rPr>
        <w:t xml:space="preserve">) descripción obra actual o zona a intervenir –estado del lugar–, </w:t>
      </w:r>
      <w:proofErr w:type="spellStart"/>
      <w:r w:rsidRPr="00F14E00">
        <w:rPr>
          <w:rFonts w:ascii="Arial" w:eastAsia="Calibri" w:hAnsi="Arial" w:cs="Arial"/>
          <w:sz w:val="22"/>
        </w:rPr>
        <w:t>iii</w:t>
      </w:r>
      <w:proofErr w:type="spellEnd"/>
      <w:r w:rsidRPr="00F14E00">
        <w:rPr>
          <w:rFonts w:ascii="Arial" w:eastAsia="Calibri" w:hAnsi="Arial" w:cs="Arial"/>
          <w:sz w:val="22"/>
        </w:rPr>
        <w:t xml:space="preserve">) principales actividades por ejecutar y alcance –expectativas de la entidad respecto de la contratación y principales </w:t>
      </w:r>
      <w:r w:rsidRPr="00F14E00">
        <w:rPr>
          <w:rFonts w:ascii="Arial" w:eastAsia="Calibri" w:hAnsi="Arial" w:cs="Arial"/>
          <w:i/>
          <w:iCs/>
          <w:sz w:val="22"/>
        </w:rPr>
        <w:t>ítems de pago</w:t>
      </w:r>
      <w:r w:rsidRPr="00F14E00">
        <w:rPr>
          <w:rFonts w:ascii="Arial" w:eastAsia="Calibri" w:hAnsi="Arial" w:cs="Arial"/>
          <w:sz w:val="22"/>
        </w:rPr>
        <w:t xml:space="preserve">–, </w:t>
      </w:r>
      <w:proofErr w:type="spellStart"/>
      <w:r w:rsidRPr="00F14E00">
        <w:rPr>
          <w:rFonts w:ascii="Arial" w:eastAsia="Calibri" w:hAnsi="Arial" w:cs="Arial"/>
          <w:sz w:val="22"/>
        </w:rPr>
        <w:t>iv</w:t>
      </w:r>
      <w:proofErr w:type="spellEnd"/>
      <w:r w:rsidRPr="00F14E00">
        <w:rPr>
          <w:rFonts w:ascii="Arial" w:eastAsia="Calibri" w:hAnsi="Arial" w:cs="Arial"/>
          <w:sz w:val="22"/>
        </w:rPr>
        <w:t xml:space="preserve">) plazo para la ejecución del contrato –etapas y su inicio, si aplica–, v) forma de pago –anticipos y la justificación de su inclusión o exclusión–, vi) condiciones particulares del proyecto, </w:t>
      </w:r>
      <w:proofErr w:type="spellStart"/>
      <w:r w:rsidRPr="00F14E00">
        <w:rPr>
          <w:rFonts w:ascii="Arial" w:eastAsia="Calibri" w:hAnsi="Arial" w:cs="Arial"/>
          <w:sz w:val="22"/>
        </w:rPr>
        <w:t>vii</w:t>
      </w:r>
      <w:proofErr w:type="spellEnd"/>
      <w:r w:rsidRPr="00F14E00">
        <w:rPr>
          <w:rFonts w:ascii="Arial" w:eastAsia="Calibri" w:hAnsi="Arial" w:cs="Arial"/>
          <w:sz w:val="22"/>
        </w:rPr>
        <w:t xml:space="preserve">) información sobre el personal profesional –el anexo señala las condiciones que la entidad tendrá en cuenta para analizar la información–, </w:t>
      </w:r>
      <w:proofErr w:type="spellStart"/>
      <w:r w:rsidRPr="00F14E00">
        <w:rPr>
          <w:rFonts w:ascii="Arial" w:eastAsia="Calibri" w:hAnsi="Arial" w:cs="Arial"/>
          <w:sz w:val="22"/>
        </w:rPr>
        <w:t>viii</w:t>
      </w:r>
      <w:proofErr w:type="spellEnd"/>
      <w:r w:rsidRPr="00F14E00">
        <w:rPr>
          <w:rFonts w:ascii="Arial" w:eastAsia="Calibri" w:hAnsi="Arial" w:cs="Arial"/>
          <w:sz w:val="22"/>
        </w:rPr>
        <w:t xml:space="preserve">) posibles fuentes de materiales para el proyecto, </w:t>
      </w:r>
      <w:proofErr w:type="spellStart"/>
      <w:r w:rsidRPr="00F14E00">
        <w:rPr>
          <w:rFonts w:ascii="Arial" w:eastAsia="Calibri" w:hAnsi="Arial" w:cs="Arial"/>
          <w:sz w:val="22"/>
        </w:rPr>
        <w:t>ix</w:t>
      </w:r>
      <w:proofErr w:type="spellEnd"/>
      <w:r w:rsidRPr="00F14E00">
        <w:rPr>
          <w:rFonts w:ascii="Arial" w:eastAsia="Calibri" w:hAnsi="Arial" w:cs="Arial"/>
          <w:sz w:val="22"/>
        </w:rPr>
        <w:t xml:space="preserve">) examen del sitio de la obra, x) obras provisionales, xi) señalización, </w:t>
      </w:r>
      <w:proofErr w:type="spellStart"/>
      <w:r w:rsidRPr="00F14E00">
        <w:rPr>
          <w:rFonts w:ascii="Arial" w:eastAsia="Calibri" w:hAnsi="Arial" w:cs="Arial"/>
          <w:sz w:val="22"/>
        </w:rPr>
        <w:t>xii</w:t>
      </w:r>
      <w:proofErr w:type="spellEnd"/>
      <w:r w:rsidRPr="00F14E00">
        <w:rPr>
          <w:rFonts w:ascii="Arial" w:eastAsia="Calibri" w:hAnsi="Arial" w:cs="Arial"/>
          <w:sz w:val="22"/>
        </w:rPr>
        <w:t xml:space="preserve">) permisos, licencias y autorización –los que sean necesarios para la ejecución de la obra–, </w:t>
      </w:r>
      <w:proofErr w:type="spellStart"/>
      <w:r w:rsidRPr="00F14E00">
        <w:rPr>
          <w:rFonts w:ascii="Arial" w:eastAsia="Calibri" w:hAnsi="Arial" w:cs="Arial"/>
          <w:sz w:val="22"/>
        </w:rPr>
        <w:t>xiii</w:t>
      </w:r>
      <w:proofErr w:type="spellEnd"/>
      <w:r w:rsidRPr="00F14E00">
        <w:rPr>
          <w:rFonts w:ascii="Arial" w:eastAsia="Calibri" w:hAnsi="Arial" w:cs="Arial"/>
          <w:sz w:val="22"/>
        </w:rPr>
        <w:t xml:space="preserve">) notas técnicas específicas para el proyecto –verificar con la guía de Colombia Compra Eficiente–, y </w:t>
      </w:r>
      <w:proofErr w:type="spellStart"/>
      <w:r w:rsidRPr="00F14E00">
        <w:rPr>
          <w:rFonts w:ascii="Arial" w:eastAsia="Calibri" w:hAnsi="Arial" w:cs="Arial"/>
          <w:sz w:val="22"/>
        </w:rPr>
        <w:t>xiv</w:t>
      </w:r>
      <w:proofErr w:type="spellEnd"/>
      <w:r w:rsidRPr="00F14E00">
        <w:rPr>
          <w:rFonts w:ascii="Arial" w:eastAsia="Calibri" w:hAnsi="Arial" w:cs="Arial"/>
          <w:sz w:val="22"/>
        </w:rPr>
        <w:t xml:space="preserve">) documentos técnicos adicionales –los que la entidad considere como manuales, guías, apéndices, anexos o similares, requeridos para la ejecución del contrato–. </w:t>
      </w:r>
    </w:p>
    <w:p w14:paraId="18FFEB17" w14:textId="52922F87" w:rsidR="00802872" w:rsidRPr="00F14E00" w:rsidRDefault="00802872"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Por consiguiente, el «Anexo 1» establece reglas cuando la entidad cuenta con los estudios y diseños definitivos y el contratista los ha aceptado</w:t>
      </w:r>
      <w:r w:rsidR="006C1636" w:rsidRPr="00F14E00">
        <w:rPr>
          <w:rFonts w:ascii="Arial" w:eastAsia="Calibri" w:hAnsi="Arial" w:cs="Arial"/>
          <w:sz w:val="22"/>
        </w:rPr>
        <w:t>,</w:t>
      </w:r>
      <w:r w:rsidRPr="00F14E00">
        <w:rPr>
          <w:rFonts w:ascii="Arial" w:eastAsia="Calibri" w:hAnsi="Arial" w:cs="Arial"/>
          <w:sz w:val="22"/>
        </w:rPr>
        <w:t xml:space="preserve"> expresa o tácitamente, asumiendo la responsabilidad de su contenido. La entidad, al estructurar el «Anexo 1», puede modificar los parámetros del i) al </w:t>
      </w:r>
      <w:proofErr w:type="spellStart"/>
      <w:r w:rsidRPr="00F14E00">
        <w:rPr>
          <w:rFonts w:ascii="Arial" w:eastAsia="Calibri" w:hAnsi="Arial" w:cs="Arial"/>
          <w:sz w:val="22"/>
        </w:rPr>
        <w:t>vii</w:t>
      </w:r>
      <w:proofErr w:type="spellEnd"/>
      <w:r w:rsidRPr="00F14E00">
        <w:rPr>
          <w:rFonts w:ascii="Arial" w:eastAsia="Calibri" w:hAnsi="Arial" w:cs="Arial"/>
          <w:sz w:val="22"/>
        </w:rPr>
        <w:t xml:space="preserve">), el x), y del </w:t>
      </w:r>
      <w:proofErr w:type="spellStart"/>
      <w:r w:rsidRPr="00F14E00">
        <w:rPr>
          <w:rFonts w:ascii="Arial" w:eastAsia="Calibri" w:hAnsi="Arial" w:cs="Arial"/>
          <w:sz w:val="22"/>
        </w:rPr>
        <w:t>xii</w:t>
      </w:r>
      <w:proofErr w:type="spellEnd"/>
      <w:r w:rsidRPr="00F14E00">
        <w:rPr>
          <w:rFonts w:ascii="Arial" w:eastAsia="Calibri" w:hAnsi="Arial" w:cs="Arial"/>
          <w:sz w:val="22"/>
        </w:rPr>
        <w:t xml:space="preserve">) al </w:t>
      </w:r>
      <w:proofErr w:type="spellStart"/>
      <w:r w:rsidRPr="00F14E00">
        <w:rPr>
          <w:rFonts w:ascii="Arial" w:eastAsia="Calibri" w:hAnsi="Arial" w:cs="Arial"/>
          <w:sz w:val="22"/>
        </w:rPr>
        <w:t>xiv</w:t>
      </w:r>
      <w:proofErr w:type="spellEnd"/>
      <w:r w:rsidRPr="00F14E00">
        <w:rPr>
          <w:rFonts w:ascii="Arial" w:eastAsia="Calibri" w:hAnsi="Arial" w:cs="Arial"/>
          <w:sz w:val="22"/>
        </w:rPr>
        <w:t xml:space="preserve">), puesto que contienen espacios en corchetes y resaltado en gris que deben ser revisados o diligenciados por la entidad, según corresponda. Los restantes están fijados en el documento, y en su mayoría no contienen los espacios que puedan diligenciarse por quien adelante el procedimiento de selección. </w:t>
      </w:r>
    </w:p>
    <w:p w14:paraId="2CEA99F6" w14:textId="77777777" w:rsidR="00802872" w:rsidRPr="00F14E00" w:rsidRDefault="00802872"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así como los requerimientos de técnicos de los materiales en los cuales serán ejecutadas las obras. De allí que estas condiciones deben definirse en el «Anexo 1», de </w:t>
      </w:r>
      <w:r w:rsidRPr="00F14E00">
        <w:rPr>
          <w:rFonts w:ascii="Arial" w:eastAsia="Calibri" w:hAnsi="Arial" w:cs="Arial"/>
          <w:sz w:val="22"/>
        </w:rPr>
        <w:lastRenderedPageBreak/>
        <w:t>forma tal que estas sean adecuadas, proporcionales y consecuentes con el contenido de los documentos tipo y el proyecto a ejecutar.</w:t>
      </w:r>
    </w:p>
    <w:p w14:paraId="54357C65" w14:textId="1FAD1645" w:rsidR="00F03D6F" w:rsidRPr="00F14E00" w:rsidRDefault="00802872" w:rsidP="00767D99">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Ahora bien, el numeral 6 del </w:t>
      </w:r>
      <w:r w:rsidRPr="00F14E00">
        <w:rPr>
          <w:rFonts w:ascii="Arial" w:eastAsia="Arial" w:hAnsi="Arial" w:cs="Arial"/>
          <w:sz w:val="22"/>
        </w:rPr>
        <w:t>«Anexo 1</w:t>
      </w:r>
      <w:r w:rsidRPr="00F14E00">
        <w:rPr>
          <w:rFonts w:ascii="Arial" w:eastAsia="Calibri" w:hAnsi="Arial" w:cs="Arial"/>
          <w:sz w:val="22"/>
        </w:rPr>
        <w:t>» hace referencia a las condiciones particulares del proyecto, el cual permite definir las características técnicas de los materiales del objeto contractual en el literal «a) materiales». Según el numeral 1.1 del documento base, el «Anexo 1 – Anexo Técnico» contiene las especificaciones técnicas del proyecto»</w:t>
      </w:r>
      <w:r w:rsidR="004B2A5D" w:rsidRPr="00F14E00">
        <w:rPr>
          <w:rFonts w:ascii="Arial" w:eastAsia="Calibri" w:hAnsi="Arial" w:cs="Arial"/>
          <w:sz w:val="22"/>
        </w:rPr>
        <w:t>,</w:t>
      </w:r>
      <w:r w:rsidRPr="00F14E00">
        <w:rPr>
          <w:rFonts w:ascii="Arial" w:eastAsia="Calibri" w:hAnsi="Arial" w:cs="Arial"/>
          <w:sz w:val="22"/>
        </w:rPr>
        <w:t xml:space="preserve"> por lo que la entidad debe definir, en detalle, la obra pública de infraestructura de transporte que se pretende contratar, desagregándola en los numerales señalados en este anexo, modificando los que contengan espacios en corchete y resaltado en gris </w:t>
      </w:r>
      <w:r w:rsidR="00F060C6" w:rsidRPr="00F14E00">
        <w:rPr>
          <w:rFonts w:ascii="Arial" w:eastAsia="Calibri" w:hAnsi="Arial" w:cs="Arial"/>
          <w:sz w:val="22"/>
        </w:rPr>
        <w:t xml:space="preserve">los </w:t>
      </w:r>
      <w:r w:rsidRPr="00F14E00">
        <w:rPr>
          <w:rFonts w:ascii="Arial" w:eastAsia="Calibri" w:hAnsi="Arial" w:cs="Arial"/>
          <w:sz w:val="22"/>
        </w:rPr>
        <w:t xml:space="preserve">que deben ser diligenciados por la entidad. Por tanto, las entidades pueden definir los estándares que debe cumplir el futuro contratista frente a cada uno de los insumos y especificaciones técnicas requeridos para la construcción de la obra, de acuerdo con el contenido del anexo técnico. </w:t>
      </w:r>
    </w:p>
    <w:p w14:paraId="5700675B" w14:textId="2BC3F6B6" w:rsidR="006E5FAC" w:rsidRPr="00523A3E" w:rsidRDefault="00555AA7" w:rsidP="00767D99">
      <w:pPr>
        <w:spacing w:after="120" w:line="276" w:lineRule="auto"/>
        <w:ind w:firstLine="709"/>
        <w:jc w:val="both"/>
        <w:rPr>
          <w:rFonts w:ascii="Arial" w:eastAsia="Calibri" w:hAnsi="Arial" w:cs="Arial"/>
          <w:sz w:val="22"/>
        </w:rPr>
      </w:pPr>
      <w:r w:rsidRPr="00523A3E">
        <w:rPr>
          <w:rFonts w:ascii="Arial" w:eastAsia="Calibri" w:hAnsi="Arial" w:cs="Arial"/>
          <w:sz w:val="22"/>
        </w:rPr>
        <w:t>D</w:t>
      </w:r>
      <w:r w:rsidR="00F03D6F" w:rsidRPr="00523A3E">
        <w:rPr>
          <w:rFonts w:ascii="Arial" w:eastAsia="Calibri" w:hAnsi="Arial" w:cs="Arial"/>
          <w:sz w:val="22"/>
        </w:rPr>
        <w:t xml:space="preserve">ebe tenerse </w:t>
      </w:r>
      <w:r w:rsidR="00802872" w:rsidRPr="00523A3E">
        <w:rPr>
          <w:rFonts w:ascii="Arial" w:eastAsia="Calibri" w:hAnsi="Arial" w:cs="Arial"/>
          <w:sz w:val="22"/>
        </w:rPr>
        <w:t xml:space="preserve">en cuenta </w:t>
      </w:r>
      <w:r w:rsidR="00F03D6F" w:rsidRPr="00523A3E">
        <w:rPr>
          <w:rFonts w:ascii="Arial" w:eastAsia="Calibri" w:hAnsi="Arial" w:cs="Arial"/>
          <w:sz w:val="22"/>
        </w:rPr>
        <w:t xml:space="preserve">que </w:t>
      </w:r>
      <w:r w:rsidR="00802872" w:rsidRPr="00523A3E">
        <w:rPr>
          <w:rFonts w:ascii="Arial" w:eastAsia="Calibri" w:hAnsi="Arial" w:cs="Arial"/>
          <w:sz w:val="22"/>
        </w:rPr>
        <w:t>la</w:t>
      </w:r>
      <w:r w:rsidR="00F03D6F" w:rsidRPr="00523A3E">
        <w:rPr>
          <w:rFonts w:ascii="Arial" w:eastAsia="Calibri" w:hAnsi="Arial" w:cs="Arial"/>
          <w:sz w:val="22"/>
        </w:rPr>
        <w:t>s</w:t>
      </w:r>
      <w:r w:rsidR="00802872" w:rsidRPr="00523A3E">
        <w:rPr>
          <w:rFonts w:ascii="Arial" w:eastAsia="Calibri" w:hAnsi="Arial" w:cs="Arial"/>
          <w:sz w:val="22"/>
        </w:rPr>
        <w:t xml:space="preserve"> características del Anexo 1- Anexo T</w:t>
      </w:r>
      <w:r w:rsidR="00F03D6F" w:rsidRPr="00523A3E">
        <w:rPr>
          <w:rFonts w:ascii="Arial" w:eastAsia="Calibri" w:hAnsi="Arial" w:cs="Arial"/>
          <w:sz w:val="22"/>
        </w:rPr>
        <w:t>écnico son construidas</w:t>
      </w:r>
      <w:r w:rsidR="00802872" w:rsidRPr="00523A3E">
        <w:rPr>
          <w:rFonts w:ascii="Arial" w:eastAsia="Calibri" w:hAnsi="Arial" w:cs="Arial"/>
          <w:sz w:val="22"/>
        </w:rPr>
        <w:t xml:space="preserve"> por la entidad, con el fin de establecer </w:t>
      </w:r>
      <w:r w:rsidR="004B5ECB" w:rsidRPr="00523A3E">
        <w:rPr>
          <w:rFonts w:ascii="Arial" w:eastAsia="Calibri" w:hAnsi="Arial" w:cs="Arial"/>
          <w:sz w:val="22"/>
        </w:rPr>
        <w:t>las condiciones técnicas que deben cumplir los</w:t>
      </w:r>
      <w:r w:rsidR="00F03D6F" w:rsidRPr="00523A3E">
        <w:rPr>
          <w:rFonts w:ascii="Arial" w:eastAsia="Calibri" w:hAnsi="Arial" w:cs="Arial"/>
          <w:sz w:val="22"/>
        </w:rPr>
        <w:t xml:space="preserve"> posibles proponentes</w:t>
      </w:r>
      <w:r w:rsidR="004B5ECB" w:rsidRPr="00523A3E">
        <w:rPr>
          <w:rFonts w:ascii="Arial" w:eastAsia="Calibri" w:hAnsi="Arial" w:cs="Arial"/>
          <w:sz w:val="22"/>
        </w:rPr>
        <w:t xml:space="preserve"> que pretendan presentarse dentro del proceso de selección. En esa orientación, el numeral 1.15 del Documento B</w:t>
      </w:r>
      <w:r w:rsidR="006E5FAC" w:rsidRPr="00523A3E">
        <w:rPr>
          <w:rFonts w:ascii="Arial" w:eastAsia="Calibri" w:hAnsi="Arial" w:cs="Arial"/>
          <w:sz w:val="22"/>
        </w:rPr>
        <w:t>ase establece como causales de rechazo en torno al Anexo Técnico</w:t>
      </w:r>
      <w:r w:rsidR="00066C3F">
        <w:rPr>
          <w:rFonts w:ascii="Arial" w:eastAsia="Calibri" w:hAnsi="Arial" w:cs="Arial"/>
          <w:sz w:val="22"/>
        </w:rPr>
        <w:t xml:space="preserve"> las siguientes: i)  «</w:t>
      </w:r>
      <w:r w:rsidR="00066C3F" w:rsidRPr="00066C3F">
        <w:t xml:space="preserve"> </w:t>
      </w:r>
      <w:r w:rsidR="00066C3F" w:rsidRPr="00066C3F">
        <w:rPr>
          <w:rFonts w:ascii="Arial" w:eastAsia="Calibri" w:hAnsi="Arial" w:cs="Arial"/>
          <w:sz w:val="22"/>
        </w:rPr>
        <w:t>Ofrecer un plazo superior al señalado por la entida</w:t>
      </w:r>
      <w:r w:rsidR="00066C3F">
        <w:rPr>
          <w:rFonts w:ascii="Arial" w:eastAsia="Calibri" w:hAnsi="Arial" w:cs="Arial"/>
          <w:sz w:val="22"/>
        </w:rPr>
        <w:t xml:space="preserve">d en el Anexo 1 – Anexo Técnico», causal consagrada en el literal AA de los Documentos tipo de licitación de obra pública de </w:t>
      </w:r>
      <w:proofErr w:type="spellStart"/>
      <w:r w:rsidR="00066C3F">
        <w:rPr>
          <w:rFonts w:ascii="Arial" w:eastAsia="Calibri" w:hAnsi="Arial" w:cs="Arial"/>
          <w:sz w:val="22"/>
        </w:rPr>
        <w:t>infraestrutura</w:t>
      </w:r>
      <w:proofErr w:type="spellEnd"/>
      <w:r w:rsidR="00066C3F">
        <w:rPr>
          <w:rFonts w:ascii="Arial" w:eastAsia="Calibri" w:hAnsi="Arial" w:cs="Arial"/>
          <w:sz w:val="22"/>
        </w:rPr>
        <w:t xml:space="preserve"> de transporte, y en el literal EE de estos documentos tipo para la modalidad de selección abreviada de menor cuantía, y </w:t>
      </w:r>
      <w:proofErr w:type="spellStart"/>
      <w:r w:rsidR="00066C3F">
        <w:rPr>
          <w:rFonts w:ascii="Arial" w:eastAsia="Calibri" w:hAnsi="Arial" w:cs="Arial"/>
          <w:sz w:val="22"/>
        </w:rPr>
        <w:t>ii</w:t>
      </w:r>
      <w:proofErr w:type="spellEnd"/>
      <w:r w:rsidR="00066C3F">
        <w:rPr>
          <w:rFonts w:ascii="Arial" w:eastAsia="Calibri" w:hAnsi="Arial" w:cs="Arial"/>
          <w:sz w:val="22"/>
        </w:rPr>
        <w:t>) «</w:t>
      </w:r>
      <w:r w:rsidR="00066C3F" w:rsidRPr="00066C3F">
        <w:rPr>
          <w:rFonts w:ascii="Arial" w:eastAsia="Calibri" w:hAnsi="Arial" w:cs="Arial"/>
          <w:sz w:val="22"/>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00066C3F">
        <w:rPr>
          <w:rFonts w:ascii="Arial" w:eastAsia="Calibri" w:hAnsi="Arial" w:cs="Arial"/>
          <w:sz w:val="22"/>
        </w:rPr>
        <w:t xml:space="preserve">», causal consagrada en el literal </w:t>
      </w:r>
      <w:proofErr w:type="spellStart"/>
      <w:r w:rsidR="00066C3F">
        <w:rPr>
          <w:rFonts w:ascii="Arial" w:eastAsia="Calibri" w:hAnsi="Arial" w:cs="Arial"/>
          <w:sz w:val="22"/>
        </w:rPr>
        <w:t>BB</w:t>
      </w:r>
      <w:proofErr w:type="spellEnd"/>
      <w:r w:rsidR="00066C3F">
        <w:rPr>
          <w:rFonts w:ascii="Arial" w:eastAsia="Calibri" w:hAnsi="Arial" w:cs="Arial"/>
          <w:sz w:val="22"/>
        </w:rPr>
        <w:t xml:space="preserve"> de los Documentos tipo de licitación de obra pública de </w:t>
      </w:r>
      <w:proofErr w:type="spellStart"/>
      <w:r w:rsidR="00066C3F">
        <w:rPr>
          <w:rFonts w:ascii="Arial" w:eastAsia="Calibri" w:hAnsi="Arial" w:cs="Arial"/>
          <w:sz w:val="22"/>
        </w:rPr>
        <w:t>infraestrutura</w:t>
      </w:r>
      <w:proofErr w:type="spellEnd"/>
      <w:r w:rsidR="00066C3F">
        <w:rPr>
          <w:rFonts w:ascii="Arial" w:eastAsia="Calibri" w:hAnsi="Arial" w:cs="Arial"/>
          <w:sz w:val="22"/>
        </w:rPr>
        <w:t xml:space="preserve"> de transporte, y en el literal FF de estos documentos tipo para la modalidad de selección abreviada de menor cuantía.</w:t>
      </w:r>
      <w:r w:rsidR="00066C3F">
        <w:rPr>
          <w:rStyle w:val="Refdenotaalpie"/>
          <w:rFonts w:ascii="Arial" w:eastAsia="Calibri" w:hAnsi="Arial" w:cs="Arial"/>
          <w:sz w:val="22"/>
        </w:rPr>
        <w:footnoteReference w:id="16"/>
      </w:r>
    </w:p>
    <w:p w14:paraId="1F839507" w14:textId="2C151205" w:rsidR="00233365" w:rsidRDefault="00233365" w:rsidP="00767D99">
      <w:pPr>
        <w:tabs>
          <w:tab w:val="left" w:pos="0"/>
        </w:tabs>
        <w:spacing w:after="120" w:line="276" w:lineRule="auto"/>
        <w:ind w:firstLine="709"/>
        <w:jc w:val="both"/>
        <w:rPr>
          <w:rFonts w:ascii="Arial" w:hAnsi="Arial" w:cs="Arial"/>
          <w:color w:val="201F1E"/>
          <w:sz w:val="22"/>
          <w:bdr w:val="none" w:sz="0" w:space="0" w:color="auto" w:frame="1"/>
        </w:rPr>
      </w:pPr>
      <w:r w:rsidRPr="00221403">
        <w:rPr>
          <w:rFonts w:ascii="Arial" w:hAnsi="Arial" w:cs="Arial"/>
          <w:color w:val="000000" w:themeColor="text1"/>
          <w:sz w:val="22"/>
          <w:lang w:val="es-ES_tradnl"/>
        </w:rPr>
        <w:t>La razón por la cual se incluy</w:t>
      </w:r>
      <w:r>
        <w:rPr>
          <w:rFonts w:ascii="Arial" w:hAnsi="Arial" w:cs="Arial"/>
          <w:color w:val="000000" w:themeColor="text1"/>
          <w:sz w:val="22"/>
          <w:lang w:val="es-ES_tradnl"/>
        </w:rPr>
        <w:t>eron</w:t>
      </w:r>
      <w:r w:rsidRPr="00221403">
        <w:rPr>
          <w:rFonts w:ascii="Arial" w:hAnsi="Arial" w:cs="Arial"/>
          <w:color w:val="000000" w:themeColor="text1"/>
          <w:sz w:val="22"/>
          <w:lang w:val="es-ES_tradnl"/>
        </w:rPr>
        <w:t xml:space="preserve"> </w:t>
      </w:r>
      <w:r>
        <w:rPr>
          <w:rFonts w:ascii="Arial" w:hAnsi="Arial" w:cs="Arial"/>
          <w:color w:val="000000" w:themeColor="text1"/>
          <w:sz w:val="22"/>
          <w:lang w:val="es-ES_tradnl"/>
        </w:rPr>
        <w:t>estas</w:t>
      </w:r>
      <w:r w:rsidRPr="00221403">
        <w:rPr>
          <w:rFonts w:ascii="Arial" w:hAnsi="Arial" w:cs="Arial"/>
          <w:color w:val="000000" w:themeColor="text1"/>
          <w:sz w:val="22"/>
          <w:lang w:val="es-ES_tradnl"/>
        </w:rPr>
        <w:t xml:space="preserve"> causal</w:t>
      </w:r>
      <w:r>
        <w:rPr>
          <w:rFonts w:ascii="Arial" w:hAnsi="Arial" w:cs="Arial"/>
          <w:color w:val="000000" w:themeColor="text1"/>
          <w:sz w:val="22"/>
          <w:lang w:val="es-ES_tradnl"/>
        </w:rPr>
        <w:t>es</w:t>
      </w:r>
      <w:r w:rsidRPr="00221403">
        <w:rPr>
          <w:rFonts w:ascii="Arial" w:hAnsi="Arial" w:cs="Arial"/>
          <w:color w:val="000000" w:themeColor="text1"/>
          <w:sz w:val="22"/>
          <w:lang w:val="es-ES_tradnl"/>
        </w:rPr>
        <w:t xml:space="preserve"> de rechazo </w:t>
      </w:r>
      <w:r w:rsidR="00654EE4">
        <w:rPr>
          <w:rFonts w:ascii="Arial" w:hAnsi="Arial" w:cs="Arial"/>
          <w:color w:val="000000" w:themeColor="text1"/>
          <w:sz w:val="22"/>
          <w:lang w:val="es-ES_tradnl"/>
        </w:rPr>
        <w:t xml:space="preserve">en los </w:t>
      </w:r>
      <w:r w:rsidRPr="00221403">
        <w:rPr>
          <w:rFonts w:ascii="Arial" w:hAnsi="Arial" w:cs="Arial"/>
          <w:color w:val="000000" w:themeColor="text1"/>
          <w:sz w:val="22"/>
          <w:lang w:val="es-ES_tradnl"/>
        </w:rPr>
        <w:t>pliego</w:t>
      </w:r>
      <w:r w:rsidR="00654EE4">
        <w:rPr>
          <w:rFonts w:ascii="Arial" w:hAnsi="Arial" w:cs="Arial"/>
          <w:color w:val="000000" w:themeColor="text1"/>
          <w:sz w:val="22"/>
          <w:lang w:val="es-ES_tradnl"/>
        </w:rPr>
        <w:t>s</w:t>
      </w:r>
      <w:r w:rsidRPr="00221403">
        <w:rPr>
          <w:rFonts w:ascii="Arial" w:hAnsi="Arial" w:cs="Arial"/>
          <w:color w:val="000000" w:themeColor="text1"/>
          <w:sz w:val="22"/>
          <w:lang w:val="es-ES_tradnl"/>
        </w:rPr>
        <w:t xml:space="preserve"> tipo de obra pública de infraestructura de transporte </w:t>
      </w:r>
      <w:r>
        <w:rPr>
          <w:rFonts w:ascii="Arial" w:hAnsi="Arial" w:cs="Arial"/>
          <w:color w:val="000000" w:themeColor="text1"/>
          <w:sz w:val="22"/>
          <w:lang w:val="es-ES_tradnl"/>
        </w:rPr>
        <w:t>fue</w:t>
      </w:r>
      <w:r w:rsidRPr="00221403">
        <w:rPr>
          <w:rFonts w:ascii="Arial" w:hAnsi="Arial" w:cs="Arial"/>
          <w:color w:val="000000" w:themeColor="text1"/>
          <w:sz w:val="22"/>
          <w:lang w:val="es-ES_tradnl"/>
        </w:rPr>
        <w:t xml:space="preserve"> evitar que se ofrecieran</w:t>
      </w:r>
      <w:r>
        <w:rPr>
          <w:rFonts w:ascii="Arial" w:hAnsi="Arial" w:cs="Arial"/>
          <w:color w:val="000000" w:themeColor="text1"/>
          <w:sz w:val="22"/>
          <w:lang w:val="es-ES_tradnl"/>
        </w:rPr>
        <w:t xml:space="preserve"> plazos superior</w:t>
      </w:r>
      <w:r w:rsidR="00654EE4">
        <w:rPr>
          <w:rFonts w:ascii="Arial" w:hAnsi="Arial" w:cs="Arial"/>
          <w:color w:val="000000" w:themeColor="text1"/>
          <w:sz w:val="22"/>
          <w:lang w:val="es-ES_tradnl"/>
        </w:rPr>
        <w:t>es</w:t>
      </w:r>
      <w:r>
        <w:rPr>
          <w:rFonts w:ascii="Arial" w:hAnsi="Arial" w:cs="Arial"/>
          <w:color w:val="000000" w:themeColor="text1"/>
          <w:sz w:val="22"/>
          <w:lang w:val="es-ES_tradnl"/>
        </w:rPr>
        <w:t xml:space="preserve"> al determinado por la entidad para </w:t>
      </w:r>
      <w:r w:rsidR="00654EE4">
        <w:rPr>
          <w:rFonts w:ascii="Arial" w:hAnsi="Arial" w:cs="Arial"/>
          <w:color w:val="000000" w:themeColor="text1"/>
          <w:sz w:val="22"/>
          <w:lang w:val="es-ES_tradnl"/>
        </w:rPr>
        <w:t xml:space="preserve">la </w:t>
      </w:r>
      <w:r w:rsidR="0024604B">
        <w:rPr>
          <w:rFonts w:ascii="Arial" w:hAnsi="Arial" w:cs="Arial"/>
          <w:color w:val="000000" w:themeColor="text1"/>
          <w:sz w:val="22"/>
          <w:lang w:val="es-ES_tradnl"/>
        </w:rPr>
        <w:t>ejecución de la obra o</w:t>
      </w:r>
      <w:r w:rsidRPr="00221403">
        <w:rPr>
          <w:rFonts w:ascii="Arial" w:hAnsi="Arial" w:cs="Arial"/>
          <w:color w:val="000000" w:themeColor="text1"/>
          <w:sz w:val="22"/>
          <w:lang w:val="es-ES_tradnl"/>
        </w:rPr>
        <w:t xml:space="preserve"> </w:t>
      </w:r>
      <w:r w:rsidRPr="00221403">
        <w:rPr>
          <w:rFonts w:ascii="Arial" w:hAnsi="Arial" w:cs="Arial"/>
          <w:color w:val="201F1E"/>
          <w:sz w:val="22"/>
          <w:bdr w:val="none" w:sz="0" w:space="0" w:color="auto" w:frame="1"/>
        </w:rPr>
        <w:t xml:space="preserve">condiciones técnicas inferiores o contrarias a las que se exigen en el anexo técnico. </w:t>
      </w:r>
      <w:r>
        <w:rPr>
          <w:rFonts w:ascii="Arial" w:hAnsi="Arial" w:cs="Arial"/>
          <w:color w:val="201F1E"/>
          <w:sz w:val="22"/>
          <w:bdr w:val="none" w:sz="0" w:space="0" w:color="auto" w:frame="1"/>
        </w:rPr>
        <w:t>En tal sentido, no es posible</w:t>
      </w:r>
      <w:r w:rsidR="0024604B">
        <w:rPr>
          <w:rFonts w:ascii="Arial" w:hAnsi="Arial" w:cs="Arial"/>
          <w:color w:val="201F1E"/>
          <w:sz w:val="22"/>
          <w:bdr w:val="none" w:sz="0" w:space="0" w:color="auto" w:frame="1"/>
        </w:rPr>
        <w:t xml:space="preserve"> que los proponentes ofrezcan de antemano ejecutar la obra en tiempo mayor al para ello previsto, ni</w:t>
      </w:r>
      <w:r>
        <w:rPr>
          <w:rFonts w:ascii="Arial" w:hAnsi="Arial" w:cs="Arial"/>
          <w:color w:val="201F1E"/>
          <w:sz w:val="22"/>
          <w:bdr w:val="none" w:sz="0" w:space="0" w:color="auto" w:frame="1"/>
        </w:rPr>
        <w:t xml:space="preserve"> que expresen </w:t>
      </w:r>
      <w:r w:rsidRPr="00221403">
        <w:rPr>
          <w:rFonts w:ascii="Arial" w:hAnsi="Arial" w:cs="Arial"/>
          <w:color w:val="201F1E"/>
          <w:sz w:val="22"/>
          <w:bdr w:val="none" w:sz="0" w:space="0" w:color="auto" w:frame="1"/>
        </w:rPr>
        <w:t xml:space="preserve">que no van a </w:t>
      </w:r>
      <w:r>
        <w:rPr>
          <w:rFonts w:ascii="Arial" w:hAnsi="Arial" w:cs="Arial"/>
          <w:color w:val="201F1E"/>
          <w:sz w:val="22"/>
          <w:bdr w:val="none" w:sz="0" w:space="0" w:color="auto" w:frame="1"/>
        </w:rPr>
        <w:t>cumplir</w:t>
      </w:r>
      <w:r w:rsidRPr="00221403">
        <w:rPr>
          <w:rFonts w:ascii="Arial" w:hAnsi="Arial" w:cs="Arial"/>
          <w:color w:val="201F1E"/>
          <w:sz w:val="22"/>
          <w:bdr w:val="none" w:sz="0" w:space="0" w:color="auto" w:frame="1"/>
        </w:rPr>
        <w:t xml:space="preserve"> con </w:t>
      </w:r>
      <w:r>
        <w:rPr>
          <w:rFonts w:ascii="Arial" w:hAnsi="Arial" w:cs="Arial"/>
          <w:color w:val="201F1E"/>
          <w:sz w:val="22"/>
          <w:bdr w:val="none" w:sz="0" w:space="0" w:color="auto" w:frame="1"/>
        </w:rPr>
        <w:t>alguna</w:t>
      </w:r>
      <w:r w:rsidRPr="00221403">
        <w:rPr>
          <w:rFonts w:ascii="Arial" w:hAnsi="Arial" w:cs="Arial"/>
          <w:color w:val="201F1E"/>
          <w:sz w:val="22"/>
          <w:bdr w:val="none" w:sz="0" w:space="0" w:color="auto" w:frame="1"/>
        </w:rPr>
        <w:t xml:space="preserve"> especificación</w:t>
      </w:r>
      <w:r>
        <w:rPr>
          <w:rFonts w:ascii="Arial" w:hAnsi="Arial" w:cs="Arial"/>
          <w:color w:val="201F1E"/>
          <w:sz w:val="22"/>
          <w:bdr w:val="none" w:sz="0" w:space="0" w:color="auto" w:frame="1"/>
        </w:rPr>
        <w:t xml:space="preserve"> técnica exigida en el pliego, </w:t>
      </w:r>
      <w:r>
        <w:rPr>
          <w:rFonts w:ascii="Arial" w:hAnsi="Arial" w:cs="Arial"/>
          <w:color w:val="201F1E"/>
          <w:sz w:val="22"/>
          <w:bdr w:val="none" w:sz="0" w:space="0" w:color="auto" w:frame="1"/>
        </w:rPr>
        <w:lastRenderedPageBreak/>
        <w:t>bajo la excusa de que ejecutarán el proyecto como ellos prefieren hacerlo</w:t>
      </w:r>
      <w:r w:rsidRPr="00011709">
        <w:rPr>
          <w:rFonts w:ascii="Arial" w:hAnsi="Arial" w:cs="Arial"/>
          <w:color w:val="201F1E"/>
          <w:sz w:val="22"/>
          <w:bdr w:val="none" w:sz="0" w:space="0" w:color="auto" w:frame="1"/>
        </w:rPr>
        <w:t xml:space="preserve">. </w:t>
      </w:r>
      <w:r>
        <w:rPr>
          <w:rFonts w:ascii="Arial" w:hAnsi="Arial" w:cs="Arial"/>
          <w:color w:val="201F1E"/>
          <w:sz w:val="22"/>
          <w:bdr w:val="none" w:sz="0" w:space="0" w:color="auto" w:frame="1"/>
        </w:rPr>
        <w:t>E</w:t>
      </w:r>
      <w:r w:rsidR="00AF376E">
        <w:rPr>
          <w:rFonts w:ascii="Arial" w:hAnsi="Arial" w:cs="Arial"/>
          <w:color w:val="201F1E"/>
          <w:sz w:val="22"/>
          <w:bdr w:val="none" w:sz="0" w:space="0" w:color="auto" w:frame="1"/>
        </w:rPr>
        <w:t>n ese sentido e</w:t>
      </w:r>
      <w:r>
        <w:rPr>
          <w:rFonts w:ascii="Arial" w:hAnsi="Arial" w:cs="Arial"/>
          <w:color w:val="201F1E"/>
          <w:sz w:val="22"/>
          <w:bdr w:val="none" w:sz="0" w:space="0" w:color="auto" w:frame="1"/>
        </w:rPr>
        <w:t>st</w:t>
      </w:r>
      <w:r w:rsidR="0024604B">
        <w:rPr>
          <w:rFonts w:ascii="Arial" w:hAnsi="Arial" w:cs="Arial"/>
          <w:color w:val="201F1E"/>
          <w:sz w:val="22"/>
          <w:bdr w:val="none" w:sz="0" w:space="0" w:color="auto" w:frame="1"/>
        </w:rPr>
        <w:t>os</w:t>
      </w:r>
      <w:r>
        <w:rPr>
          <w:rFonts w:ascii="Arial" w:hAnsi="Arial" w:cs="Arial"/>
          <w:color w:val="201F1E"/>
          <w:sz w:val="22"/>
          <w:bdr w:val="none" w:sz="0" w:space="0" w:color="auto" w:frame="1"/>
        </w:rPr>
        <w:t xml:space="preserve"> </w:t>
      </w:r>
      <w:r w:rsidR="0024604B">
        <w:rPr>
          <w:rFonts w:ascii="Arial" w:hAnsi="Arial" w:cs="Arial"/>
          <w:color w:val="201F1E"/>
          <w:sz w:val="22"/>
          <w:bdr w:val="none" w:sz="0" w:space="0" w:color="auto" w:frame="1"/>
        </w:rPr>
        <w:t xml:space="preserve">eventos </w:t>
      </w:r>
      <w:proofErr w:type="gramStart"/>
      <w:r>
        <w:rPr>
          <w:rFonts w:ascii="Arial" w:hAnsi="Arial" w:cs="Arial"/>
          <w:color w:val="201F1E"/>
          <w:sz w:val="22"/>
          <w:bdr w:val="none" w:sz="0" w:space="0" w:color="auto" w:frame="1"/>
        </w:rPr>
        <w:t xml:space="preserve">se  </w:t>
      </w:r>
      <w:r w:rsidR="00AF376E">
        <w:rPr>
          <w:rFonts w:ascii="Arial" w:hAnsi="Arial" w:cs="Arial"/>
          <w:color w:val="201F1E"/>
          <w:sz w:val="22"/>
          <w:bdr w:val="none" w:sz="0" w:space="0" w:color="auto" w:frame="1"/>
        </w:rPr>
        <w:t>contemplan</w:t>
      </w:r>
      <w:proofErr w:type="gramEnd"/>
      <w:r w:rsidR="00AF376E">
        <w:rPr>
          <w:rFonts w:ascii="Arial" w:hAnsi="Arial" w:cs="Arial"/>
          <w:color w:val="201F1E"/>
          <w:sz w:val="22"/>
          <w:bdr w:val="none" w:sz="0" w:space="0" w:color="auto" w:frame="1"/>
        </w:rPr>
        <w:t xml:space="preserve"> como </w:t>
      </w:r>
      <w:r w:rsidRPr="00221403">
        <w:rPr>
          <w:rFonts w:ascii="Arial" w:hAnsi="Arial" w:cs="Arial"/>
          <w:color w:val="201F1E"/>
          <w:sz w:val="22"/>
          <w:bdr w:val="none" w:sz="0" w:space="0" w:color="auto" w:frame="1"/>
        </w:rPr>
        <w:t>causal</w:t>
      </w:r>
      <w:r w:rsidR="00AF376E">
        <w:rPr>
          <w:rFonts w:ascii="Arial" w:hAnsi="Arial" w:cs="Arial"/>
          <w:color w:val="201F1E"/>
          <w:sz w:val="22"/>
          <w:bdr w:val="none" w:sz="0" w:space="0" w:color="auto" w:frame="1"/>
        </w:rPr>
        <w:t>es</w:t>
      </w:r>
      <w:r w:rsidRPr="00221403">
        <w:rPr>
          <w:rFonts w:ascii="Arial" w:hAnsi="Arial" w:cs="Arial"/>
          <w:color w:val="201F1E"/>
          <w:sz w:val="22"/>
          <w:bdr w:val="none" w:sz="0" w:space="0" w:color="auto" w:frame="1"/>
        </w:rPr>
        <w:t xml:space="preserve"> de rechazo, porque </w:t>
      </w:r>
      <w:r>
        <w:rPr>
          <w:rFonts w:ascii="Arial" w:hAnsi="Arial" w:cs="Arial"/>
          <w:color w:val="201F1E"/>
          <w:sz w:val="22"/>
          <w:bdr w:val="none" w:sz="0" w:space="0" w:color="auto" w:frame="1"/>
        </w:rPr>
        <w:t>afecta</w:t>
      </w:r>
      <w:r w:rsidR="00AF376E">
        <w:rPr>
          <w:rFonts w:ascii="Arial" w:hAnsi="Arial" w:cs="Arial"/>
          <w:color w:val="201F1E"/>
          <w:sz w:val="22"/>
          <w:bdr w:val="none" w:sz="0" w:space="0" w:color="auto" w:frame="1"/>
        </w:rPr>
        <w:t>n</w:t>
      </w:r>
      <w:r w:rsidRPr="00221403">
        <w:rPr>
          <w:rFonts w:ascii="Arial" w:hAnsi="Arial" w:cs="Arial"/>
          <w:color w:val="201F1E"/>
          <w:sz w:val="22"/>
          <w:bdr w:val="none" w:sz="0" w:space="0" w:color="auto" w:frame="1"/>
        </w:rPr>
        <w:t xml:space="preserve"> las condiciones </w:t>
      </w:r>
      <w:r w:rsidRPr="00295EB0">
        <w:rPr>
          <w:rFonts w:ascii="Arial" w:hAnsi="Arial" w:cs="Arial"/>
          <w:color w:val="201F1E"/>
          <w:sz w:val="22"/>
          <w:bdr w:val="none" w:sz="0" w:space="0" w:color="auto" w:frame="1"/>
        </w:rPr>
        <w:t>mínimas requeridas</w:t>
      </w:r>
      <w:r w:rsidRPr="00221403">
        <w:rPr>
          <w:rFonts w:ascii="Arial" w:hAnsi="Arial" w:cs="Arial"/>
          <w:color w:val="201F1E"/>
          <w:sz w:val="22"/>
          <w:bdr w:val="none" w:sz="0" w:space="0" w:color="auto" w:frame="1"/>
        </w:rPr>
        <w:t xml:space="preserve"> por la entidad en </w:t>
      </w:r>
      <w:r>
        <w:rPr>
          <w:rFonts w:ascii="Arial" w:hAnsi="Arial" w:cs="Arial"/>
          <w:color w:val="201F1E"/>
          <w:sz w:val="22"/>
          <w:bdr w:val="none" w:sz="0" w:space="0" w:color="auto" w:frame="1"/>
        </w:rPr>
        <w:t>el</w:t>
      </w:r>
      <w:r w:rsidRPr="00221403">
        <w:rPr>
          <w:rFonts w:ascii="Arial" w:hAnsi="Arial" w:cs="Arial"/>
          <w:color w:val="201F1E"/>
          <w:sz w:val="22"/>
          <w:bdr w:val="none" w:sz="0" w:space="0" w:color="auto" w:frame="1"/>
        </w:rPr>
        <w:t xml:space="preserve"> proceso de contratación.</w:t>
      </w:r>
      <w:r>
        <w:rPr>
          <w:rFonts w:ascii="Arial" w:hAnsi="Arial" w:cs="Arial"/>
          <w:color w:val="201F1E"/>
          <w:sz w:val="22"/>
          <w:bdr w:val="none" w:sz="0" w:space="0" w:color="auto" w:frame="1"/>
        </w:rPr>
        <w:t xml:space="preserve"> </w:t>
      </w:r>
    </w:p>
    <w:p w14:paraId="76E2135F" w14:textId="3331B57D" w:rsidR="000C6043" w:rsidRDefault="00071D4B" w:rsidP="00767D99">
      <w:pPr>
        <w:tabs>
          <w:tab w:val="left" w:pos="0"/>
        </w:tabs>
        <w:spacing w:after="120" w:line="276" w:lineRule="auto"/>
        <w:ind w:firstLine="709"/>
        <w:jc w:val="both"/>
        <w:rPr>
          <w:rFonts w:ascii="Arial" w:hAnsi="Arial" w:cs="Arial"/>
          <w:color w:val="201F1E"/>
          <w:sz w:val="22"/>
          <w:bdr w:val="none" w:sz="0" w:space="0" w:color="auto" w:frame="1"/>
        </w:rPr>
      </w:pPr>
      <w:r>
        <w:rPr>
          <w:rFonts w:ascii="Arial" w:hAnsi="Arial" w:cs="Arial"/>
          <w:color w:val="201F1E"/>
          <w:sz w:val="22"/>
          <w:bdr w:val="none" w:sz="0" w:space="0" w:color="auto" w:frame="1"/>
        </w:rPr>
        <w:t xml:space="preserve">De acuerdo con esto, si por ejemplo, la entidad </w:t>
      </w:r>
      <w:r w:rsidR="002C5D89">
        <w:rPr>
          <w:rFonts w:ascii="Arial" w:hAnsi="Arial" w:cs="Arial"/>
          <w:color w:val="201F1E"/>
          <w:sz w:val="22"/>
          <w:bdr w:val="none" w:sz="0" w:space="0" w:color="auto" w:frame="1"/>
        </w:rPr>
        <w:t>en el «</w:t>
      </w:r>
      <w:r w:rsidR="002C5D89" w:rsidRPr="000733FE">
        <w:rPr>
          <w:rFonts w:ascii="Arial" w:hAnsi="Arial" w:cs="Arial"/>
          <w:color w:val="201F1E"/>
          <w:sz w:val="22"/>
          <w:bdr w:val="none" w:sz="0" w:space="0" w:color="auto" w:frame="1"/>
        </w:rPr>
        <w:t>Anexo 1 – Anexo Técnico</w:t>
      </w:r>
      <w:r w:rsidR="002C5D89">
        <w:rPr>
          <w:rFonts w:ascii="Arial" w:hAnsi="Arial" w:cs="Arial"/>
          <w:color w:val="201F1E"/>
          <w:sz w:val="22"/>
          <w:bdr w:val="none" w:sz="0" w:space="0" w:color="auto" w:frame="1"/>
        </w:rPr>
        <w:t>»</w:t>
      </w:r>
      <w:r w:rsidR="00C83121">
        <w:rPr>
          <w:rFonts w:ascii="Arial" w:hAnsi="Arial" w:cs="Arial"/>
          <w:color w:val="201F1E"/>
          <w:sz w:val="22"/>
          <w:bdr w:val="none" w:sz="0" w:space="0" w:color="auto" w:frame="1"/>
        </w:rPr>
        <w:t xml:space="preserve"> establece como plazo máximo para la ejecución de la obra el término de cinco (5) años, y se presenta una oferta que ofrece </w:t>
      </w:r>
      <w:proofErr w:type="spellStart"/>
      <w:r w:rsidR="00C83121">
        <w:rPr>
          <w:rFonts w:ascii="Arial" w:hAnsi="Arial" w:cs="Arial"/>
          <w:color w:val="201F1E"/>
          <w:sz w:val="22"/>
          <w:bdr w:val="none" w:sz="0" w:space="0" w:color="auto" w:frame="1"/>
        </w:rPr>
        <w:t>ejercutar</w:t>
      </w:r>
      <w:proofErr w:type="spellEnd"/>
      <w:r w:rsidR="00C83121">
        <w:rPr>
          <w:rFonts w:ascii="Arial" w:hAnsi="Arial" w:cs="Arial"/>
          <w:color w:val="201F1E"/>
          <w:sz w:val="22"/>
          <w:bdr w:val="none" w:sz="0" w:space="0" w:color="auto" w:frame="1"/>
        </w:rPr>
        <w:t xml:space="preserve"> la obra en un mínimo de siete (7) años, la entidad deberá dar aplicación a la causal de rechazo de la oferta </w:t>
      </w:r>
      <w:r w:rsidR="0082378E">
        <w:rPr>
          <w:rFonts w:ascii="Arial" w:hAnsi="Arial" w:cs="Arial"/>
          <w:color w:val="201F1E"/>
          <w:sz w:val="22"/>
          <w:bdr w:val="none" w:sz="0" w:space="0" w:color="auto" w:frame="1"/>
        </w:rPr>
        <w:t>previ</w:t>
      </w:r>
      <w:r w:rsidR="00654EE4">
        <w:rPr>
          <w:rFonts w:ascii="Arial" w:hAnsi="Arial" w:cs="Arial"/>
          <w:color w:val="201F1E"/>
          <w:sz w:val="22"/>
          <w:bdr w:val="none" w:sz="0" w:space="0" w:color="auto" w:frame="1"/>
        </w:rPr>
        <w:t>s</w:t>
      </w:r>
      <w:r w:rsidR="0082378E">
        <w:rPr>
          <w:rFonts w:ascii="Arial" w:hAnsi="Arial" w:cs="Arial"/>
          <w:color w:val="201F1E"/>
          <w:sz w:val="22"/>
          <w:bdr w:val="none" w:sz="0" w:space="0" w:color="auto" w:frame="1"/>
        </w:rPr>
        <w:t xml:space="preserve">ta en el </w:t>
      </w:r>
      <w:r w:rsidR="005D4609">
        <w:rPr>
          <w:rFonts w:ascii="Arial" w:hAnsi="Arial" w:cs="Arial"/>
          <w:color w:val="201F1E"/>
          <w:sz w:val="22"/>
          <w:bdr w:val="none" w:sz="0" w:space="0" w:color="auto" w:frame="1"/>
        </w:rPr>
        <w:t>numeral 1.15</w:t>
      </w:r>
      <w:r w:rsidR="0082378E">
        <w:rPr>
          <w:rFonts w:ascii="Arial" w:hAnsi="Arial" w:cs="Arial"/>
          <w:color w:val="201F1E"/>
          <w:sz w:val="22"/>
          <w:bdr w:val="none" w:sz="0" w:space="0" w:color="auto" w:frame="1"/>
        </w:rPr>
        <w:t xml:space="preserve"> Documento Base</w:t>
      </w:r>
      <w:r w:rsidR="00654EE4">
        <w:rPr>
          <w:rFonts w:ascii="Arial" w:hAnsi="Arial" w:cs="Arial"/>
          <w:color w:val="201F1E"/>
          <w:sz w:val="22"/>
          <w:bdr w:val="none" w:sz="0" w:space="0" w:color="auto" w:frame="1"/>
        </w:rPr>
        <w:t>, de acuerdo con el literal aplicable para la modalidad de contratación, es decir, el literal AA para licitación pública, y el literal EE para selección abreviada de menor cuantía.</w:t>
      </w:r>
      <w:r w:rsidR="00EB76EE">
        <w:rPr>
          <w:rFonts w:ascii="Arial" w:hAnsi="Arial" w:cs="Arial"/>
          <w:color w:val="201F1E"/>
          <w:sz w:val="22"/>
          <w:bdr w:val="none" w:sz="0" w:space="0" w:color="auto" w:frame="1"/>
        </w:rPr>
        <w:t xml:space="preserve"> De la misma manera, si, hipotéticamente, </w:t>
      </w:r>
      <w:r w:rsidR="00C96171">
        <w:rPr>
          <w:rFonts w:ascii="Arial" w:hAnsi="Arial" w:cs="Arial"/>
          <w:color w:val="201F1E"/>
          <w:sz w:val="22"/>
          <w:bdr w:val="none" w:sz="0" w:space="0" w:color="auto" w:frame="1"/>
        </w:rPr>
        <w:t>en el marco de un proceso de contratación</w:t>
      </w:r>
      <w:r w:rsidR="00EB76EE">
        <w:rPr>
          <w:rFonts w:ascii="Arial" w:hAnsi="Arial" w:cs="Arial"/>
          <w:color w:val="201F1E"/>
          <w:sz w:val="22"/>
          <w:bdr w:val="none" w:sz="0" w:space="0" w:color="auto" w:frame="1"/>
        </w:rPr>
        <w:t xml:space="preserve"> </w:t>
      </w:r>
      <w:r w:rsidR="00576B7C">
        <w:rPr>
          <w:rFonts w:ascii="Arial" w:hAnsi="Arial" w:cs="Arial"/>
          <w:color w:val="201F1E"/>
          <w:sz w:val="22"/>
          <w:bdr w:val="none" w:sz="0" w:space="0" w:color="auto" w:frame="1"/>
        </w:rPr>
        <w:t xml:space="preserve">de </w:t>
      </w:r>
      <w:r w:rsidR="00C96171">
        <w:rPr>
          <w:rFonts w:ascii="Arial" w:hAnsi="Arial" w:cs="Arial"/>
          <w:color w:val="201F1E"/>
          <w:sz w:val="22"/>
          <w:bdr w:val="none" w:sz="0" w:space="0" w:color="auto" w:frame="1"/>
        </w:rPr>
        <w:t>una obra tendiente</w:t>
      </w:r>
      <w:r w:rsidR="00EB76EE">
        <w:rPr>
          <w:rFonts w:ascii="Arial" w:hAnsi="Arial" w:cs="Arial"/>
          <w:color w:val="201F1E"/>
          <w:sz w:val="22"/>
          <w:bdr w:val="none" w:sz="0" w:space="0" w:color="auto" w:frame="1"/>
        </w:rPr>
        <w:t xml:space="preserve"> la constr</w:t>
      </w:r>
      <w:r w:rsidR="001010FA">
        <w:rPr>
          <w:rFonts w:ascii="Arial" w:hAnsi="Arial" w:cs="Arial"/>
          <w:color w:val="201F1E"/>
          <w:sz w:val="22"/>
          <w:bdr w:val="none" w:sz="0" w:space="0" w:color="auto" w:frame="1"/>
        </w:rPr>
        <w:t>u</w:t>
      </w:r>
      <w:r w:rsidR="00EB76EE">
        <w:rPr>
          <w:rFonts w:ascii="Arial" w:hAnsi="Arial" w:cs="Arial"/>
          <w:color w:val="201F1E"/>
          <w:sz w:val="22"/>
          <w:bdr w:val="none" w:sz="0" w:space="0" w:color="auto" w:frame="1"/>
        </w:rPr>
        <w:t>cción de una</w:t>
      </w:r>
      <w:r w:rsidR="002C7CF0">
        <w:rPr>
          <w:rFonts w:ascii="Arial" w:hAnsi="Arial" w:cs="Arial"/>
          <w:color w:val="201F1E"/>
          <w:sz w:val="22"/>
          <w:bdr w:val="none" w:sz="0" w:space="0" w:color="auto" w:frame="1"/>
        </w:rPr>
        <w:t xml:space="preserve"> vía </w:t>
      </w:r>
      <w:r w:rsidR="001010FA">
        <w:rPr>
          <w:rFonts w:ascii="Arial" w:hAnsi="Arial" w:cs="Arial"/>
          <w:color w:val="201F1E"/>
          <w:sz w:val="22"/>
          <w:bdr w:val="none" w:sz="0" w:space="0" w:color="auto" w:frame="1"/>
        </w:rPr>
        <w:t>urbana</w:t>
      </w:r>
      <w:r w:rsidR="002C7CF0">
        <w:rPr>
          <w:rFonts w:ascii="Arial" w:hAnsi="Arial" w:cs="Arial"/>
          <w:color w:val="201F1E"/>
          <w:sz w:val="22"/>
          <w:bdr w:val="none" w:sz="0" w:space="0" w:color="auto" w:frame="1"/>
        </w:rPr>
        <w:t xml:space="preserve"> en </w:t>
      </w:r>
      <w:r w:rsidR="00E50B32">
        <w:rPr>
          <w:rFonts w:ascii="Arial" w:hAnsi="Arial" w:cs="Arial"/>
          <w:color w:val="201F1E"/>
          <w:sz w:val="22"/>
          <w:bdr w:val="none" w:sz="0" w:space="0" w:color="auto" w:frame="1"/>
        </w:rPr>
        <w:t>pavimento</w:t>
      </w:r>
      <w:r w:rsidR="002C7CF0">
        <w:rPr>
          <w:rFonts w:ascii="Arial" w:hAnsi="Arial" w:cs="Arial"/>
          <w:color w:val="201F1E"/>
          <w:sz w:val="22"/>
          <w:bdr w:val="none" w:sz="0" w:space="0" w:color="auto" w:frame="1"/>
        </w:rPr>
        <w:t xml:space="preserve"> hidráulico</w:t>
      </w:r>
      <w:r w:rsidR="00576B7C">
        <w:rPr>
          <w:rFonts w:ascii="Arial" w:hAnsi="Arial" w:cs="Arial"/>
          <w:color w:val="201F1E"/>
          <w:sz w:val="22"/>
          <w:bdr w:val="none" w:sz="0" w:space="0" w:color="auto" w:frame="1"/>
        </w:rPr>
        <w:t xml:space="preserve"> en determinada longitud</w:t>
      </w:r>
      <w:r w:rsidR="002C7CF0">
        <w:rPr>
          <w:rFonts w:ascii="Arial" w:hAnsi="Arial" w:cs="Arial"/>
          <w:color w:val="201F1E"/>
          <w:sz w:val="22"/>
          <w:bdr w:val="none" w:sz="0" w:space="0" w:color="auto" w:frame="1"/>
        </w:rPr>
        <w:t>,</w:t>
      </w:r>
      <w:r w:rsidR="001010FA">
        <w:rPr>
          <w:rFonts w:ascii="Arial" w:hAnsi="Arial" w:cs="Arial"/>
          <w:color w:val="201F1E"/>
          <w:sz w:val="22"/>
          <w:bdr w:val="none" w:sz="0" w:space="0" w:color="auto" w:frame="1"/>
        </w:rPr>
        <w:t xml:space="preserve"> </w:t>
      </w:r>
      <w:r w:rsidR="00576B7C">
        <w:rPr>
          <w:rFonts w:ascii="Arial" w:hAnsi="Arial" w:cs="Arial"/>
          <w:color w:val="201F1E"/>
          <w:sz w:val="22"/>
          <w:bdr w:val="none" w:sz="0" w:space="0" w:color="auto" w:frame="1"/>
        </w:rPr>
        <w:t xml:space="preserve">se presenta una propuesta para ejecutar la obra </w:t>
      </w:r>
      <w:r w:rsidR="00504EAC">
        <w:rPr>
          <w:rFonts w:ascii="Arial" w:hAnsi="Arial" w:cs="Arial"/>
          <w:color w:val="201F1E"/>
          <w:sz w:val="22"/>
          <w:bdr w:val="none" w:sz="0" w:space="0" w:color="auto" w:frame="1"/>
        </w:rPr>
        <w:t xml:space="preserve">pero con pavimento </w:t>
      </w:r>
      <w:proofErr w:type="spellStart"/>
      <w:r w:rsidR="00504EAC">
        <w:rPr>
          <w:rFonts w:ascii="Arial" w:hAnsi="Arial" w:cs="Arial"/>
          <w:color w:val="201F1E"/>
          <w:sz w:val="22"/>
          <w:bdr w:val="none" w:sz="0" w:space="0" w:color="auto" w:frame="1"/>
        </w:rPr>
        <w:t>asfacltico</w:t>
      </w:r>
      <w:proofErr w:type="spellEnd"/>
      <w:r w:rsidR="00504EAC">
        <w:rPr>
          <w:rFonts w:ascii="Arial" w:hAnsi="Arial" w:cs="Arial"/>
          <w:color w:val="201F1E"/>
          <w:sz w:val="22"/>
          <w:bdr w:val="none" w:sz="0" w:space="0" w:color="auto" w:frame="1"/>
        </w:rPr>
        <w:t>, en</w:t>
      </w:r>
      <w:r w:rsidR="00576B7C">
        <w:rPr>
          <w:rFonts w:ascii="Arial" w:hAnsi="Arial" w:cs="Arial"/>
          <w:color w:val="201F1E"/>
          <w:sz w:val="22"/>
          <w:bdr w:val="none" w:sz="0" w:space="0" w:color="auto" w:frame="1"/>
        </w:rPr>
        <w:t xml:space="preserve"> una distancia </w:t>
      </w:r>
      <w:r w:rsidR="00504EAC">
        <w:rPr>
          <w:rFonts w:ascii="Arial" w:hAnsi="Arial" w:cs="Arial"/>
          <w:color w:val="201F1E"/>
          <w:sz w:val="22"/>
          <w:bdr w:val="none" w:sz="0" w:space="0" w:color="auto" w:frame="1"/>
        </w:rPr>
        <w:t xml:space="preserve">más corta de la establecida por la entidad, </w:t>
      </w:r>
      <w:r w:rsidR="00DF02B2">
        <w:rPr>
          <w:rFonts w:ascii="Arial" w:hAnsi="Arial" w:cs="Arial"/>
          <w:color w:val="201F1E"/>
          <w:sz w:val="22"/>
          <w:bdr w:val="none" w:sz="0" w:space="0" w:color="auto" w:frame="1"/>
        </w:rPr>
        <w:t xml:space="preserve">podría rechazarse la oferta con sustento en </w:t>
      </w:r>
      <w:r w:rsidR="008B4D79">
        <w:rPr>
          <w:rFonts w:ascii="Arial" w:hAnsi="Arial" w:cs="Arial"/>
          <w:color w:val="201F1E"/>
          <w:sz w:val="22"/>
          <w:bdr w:val="none" w:sz="0" w:space="0" w:color="auto" w:frame="1"/>
        </w:rPr>
        <w:t xml:space="preserve">numeral 1.15 del documento base de acuerdo con </w:t>
      </w:r>
      <w:r w:rsidR="00DF02B2">
        <w:rPr>
          <w:rFonts w:ascii="Arial" w:hAnsi="Arial" w:cs="Arial"/>
          <w:color w:val="201F1E"/>
          <w:sz w:val="22"/>
          <w:bdr w:val="none" w:sz="0" w:space="0" w:color="auto" w:frame="1"/>
        </w:rPr>
        <w:t xml:space="preserve">la causal del literal </w:t>
      </w:r>
      <w:proofErr w:type="spellStart"/>
      <w:r w:rsidR="00DF02B2">
        <w:rPr>
          <w:rFonts w:ascii="Arial" w:hAnsi="Arial" w:cs="Arial"/>
          <w:color w:val="201F1E"/>
          <w:sz w:val="22"/>
          <w:bdr w:val="none" w:sz="0" w:space="0" w:color="auto" w:frame="1"/>
        </w:rPr>
        <w:t>BB</w:t>
      </w:r>
      <w:proofErr w:type="spellEnd"/>
      <w:r w:rsidR="008B4D79">
        <w:rPr>
          <w:rFonts w:ascii="Arial" w:hAnsi="Arial" w:cs="Arial"/>
          <w:color w:val="201F1E"/>
          <w:sz w:val="22"/>
          <w:bdr w:val="none" w:sz="0" w:space="0" w:color="auto" w:frame="1"/>
        </w:rPr>
        <w:t xml:space="preserve"> en el caso de </w:t>
      </w:r>
      <w:proofErr w:type="spellStart"/>
      <w:r w:rsidR="008B4D79">
        <w:rPr>
          <w:rFonts w:ascii="Arial" w:hAnsi="Arial" w:cs="Arial"/>
          <w:color w:val="201F1E"/>
          <w:sz w:val="22"/>
          <w:bdr w:val="none" w:sz="0" w:space="0" w:color="auto" w:frame="1"/>
        </w:rPr>
        <w:t>lcitación</w:t>
      </w:r>
      <w:proofErr w:type="spellEnd"/>
      <w:r w:rsidR="008B4D79">
        <w:rPr>
          <w:rFonts w:ascii="Arial" w:hAnsi="Arial" w:cs="Arial"/>
          <w:color w:val="201F1E"/>
          <w:sz w:val="22"/>
          <w:bdr w:val="none" w:sz="0" w:space="0" w:color="auto" w:frame="1"/>
        </w:rPr>
        <w:t xml:space="preserve"> pública</w:t>
      </w:r>
      <w:r w:rsidR="00DF02B2">
        <w:rPr>
          <w:rFonts w:ascii="Arial" w:hAnsi="Arial" w:cs="Arial"/>
          <w:color w:val="201F1E"/>
          <w:sz w:val="22"/>
          <w:bdr w:val="none" w:sz="0" w:space="0" w:color="auto" w:frame="1"/>
        </w:rPr>
        <w:t xml:space="preserve"> </w:t>
      </w:r>
      <w:r w:rsidR="008B4D79">
        <w:rPr>
          <w:rFonts w:ascii="Arial" w:hAnsi="Arial" w:cs="Arial"/>
          <w:color w:val="201F1E"/>
          <w:sz w:val="22"/>
          <w:bdr w:val="none" w:sz="0" w:space="0" w:color="auto" w:frame="1"/>
        </w:rPr>
        <w:t xml:space="preserve">o FF en el caso de la selección abreviada de menor cuantía. </w:t>
      </w:r>
    </w:p>
    <w:p w14:paraId="6D618AB1" w14:textId="766A3947" w:rsidR="00621206" w:rsidRDefault="00621206" w:rsidP="00767D99">
      <w:pPr>
        <w:tabs>
          <w:tab w:val="left" w:pos="0"/>
        </w:tabs>
        <w:spacing w:after="120" w:line="276" w:lineRule="auto"/>
        <w:ind w:firstLine="709"/>
        <w:jc w:val="both"/>
        <w:rPr>
          <w:rFonts w:ascii="Arial" w:eastAsia="Calibri" w:hAnsi="Arial" w:cs="Arial"/>
          <w:sz w:val="22"/>
          <w:szCs w:val="20"/>
        </w:rPr>
      </w:pPr>
      <w:r>
        <w:rPr>
          <w:rFonts w:ascii="Arial" w:hAnsi="Arial" w:cs="Arial"/>
          <w:color w:val="201F1E"/>
          <w:sz w:val="22"/>
          <w:bdr w:val="none" w:sz="0" w:space="0" w:color="auto" w:frame="1"/>
        </w:rPr>
        <w:t xml:space="preserve">Cabe aclarar que lo constituye las causales de rechazo relacionadas con el </w:t>
      </w:r>
      <w:r w:rsidR="004A183E">
        <w:rPr>
          <w:rFonts w:ascii="Arial" w:hAnsi="Arial" w:cs="Arial"/>
          <w:color w:val="201F1E"/>
          <w:sz w:val="22"/>
          <w:bdr w:val="none" w:sz="0" w:space="0" w:color="auto" w:frame="1"/>
        </w:rPr>
        <w:t>«</w:t>
      </w:r>
      <w:r>
        <w:rPr>
          <w:rFonts w:ascii="Arial" w:hAnsi="Arial" w:cs="Arial"/>
          <w:color w:val="201F1E"/>
          <w:sz w:val="22"/>
          <w:bdr w:val="none" w:sz="0" w:space="0" w:color="auto" w:frame="1"/>
        </w:rPr>
        <w:t>Anexo 1- Anexo Técnico</w:t>
      </w:r>
      <w:r w:rsidR="004A183E">
        <w:rPr>
          <w:rFonts w:ascii="Arial" w:hAnsi="Arial" w:cs="Arial"/>
          <w:color w:val="201F1E"/>
          <w:sz w:val="22"/>
          <w:bdr w:val="none" w:sz="0" w:space="0" w:color="auto" w:frame="1"/>
        </w:rPr>
        <w:t>»</w:t>
      </w:r>
      <w:r>
        <w:rPr>
          <w:rFonts w:ascii="Arial" w:hAnsi="Arial" w:cs="Arial"/>
          <w:color w:val="201F1E"/>
          <w:sz w:val="22"/>
          <w:bdr w:val="none" w:sz="0" w:space="0" w:color="auto" w:frame="1"/>
        </w:rPr>
        <w:t xml:space="preserve">, son los eventos expresamente señalados en los documentos tipo de infraestructura de transporte en los literales AA y </w:t>
      </w:r>
      <w:proofErr w:type="spellStart"/>
      <w:r>
        <w:rPr>
          <w:rFonts w:ascii="Arial" w:hAnsi="Arial" w:cs="Arial"/>
          <w:color w:val="201F1E"/>
          <w:sz w:val="22"/>
          <w:bdr w:val="none" w:sz="0" w:space="0" w:color="auto" w:frame="1"/>
        </w:rPr>
        <w:t>BB</w:t>
      </w:r>
      <w:proofErr w:type="spellEnd"/>
      <w:r>
        <w:rPr>
          <w:rFonts w:ascii="Arial" w:hAnsi="Arial" w:cs="Arial"/>
          <w:color w:val="201F1E"/>
          <w:sz w:val="22"/>
          <w:bdr w:val="none" w:sz="0" w:space="0" w:color="auto" w:frame="1"/>
        </w:rPr>
        <w:t xml:space="preserve"> de los procesos adelantados mediante licitación pública y los literales EE y FF de los procesos adelantados mediante la modalidad de selección abreviada de menor cuantía, no es la no presentación del Anexo 1- </w:t>
      </w:r>
      <w:r w:rsidR="00133BB0">
        <w:rPr>
          <w:rFonts w:ascii="Arial" w:hAnsi="Arial" w:cs="Arial"/>
          <w:color w:val="201F1E"/>
          <w:sz w:val="22"/>
          <w:bdr w:val="none" w:sz="0" w:space="0" w:color="auto" w:frame="1"/>
        </w:rPr>
        <w:t xml:space="preserve">Anexo </w:t>
      </w:r>
      <w:r>
        <w:rPr>
          <w:rFonts w:ascii="Arial" w:hAnsi="Arial" w:cs="Arial"/>
          <w:color w:val="201F1E"/>
          <w:sz w:val="22"/>
          <w:bdr w:val="none" w:sz="0" w:space="0" w:color="auto" w:frame="1"/>
        </w:rPr>
        <w:t>Técnico</w:t>
      </w:r>
      <w:r w:rsidR="004A183E">
        <w:rPr>
          <w:rFonts w:ascii="Arial" w:hAnsi="Arial" w:cs="Arial"/>
          <w:color w:val="201F1E"/>
          <w:sz w:val="22"/>
          <w:bdr w:val="none" w:sz="0" w:space="0" w:color="auto" w:frame="1"/>
        </w:rPr>
        <w:t xml:space="preserve"> por parte de los oferentes</w:t>
      </w:r>
      <w:r>
        <w:rPr>
          <w:rFonts w:ascii="Arial" w:hAnsi="Arial" w:cs="Arial"/>
          <w:color w:val="201F1E"/>
          <w:sz w:val="22"/>
          <w:bdr w:val="none" w:sz="0" w:space="0" w:color="auto" w:frame="1"/>
        </w:rPr>
        <w:t xml:space="preserve">, puesto </w:t>
      </w:r>
      <w:r w:rsidRPr="00133BB0">
        <w:rPr>
          <w:rFonts w:ascii="Arial" w:hAnsi="Arial" w:cs="Arial"/>
          <w:color w:val="201F1E"/>
          <w:sz w:val="22"/>
          <w:bdr w:val="none" w:sz="0" w:space="0" w:color="auto" w:frame="1"/>
        </w:rPr>
        <w:t xml:space="preserve">que </w:t>
      </w:r>
      <w:r w:rsidRPr="00133BB0">
        <w:rPr>
          <w:rFonts w:ascii="Arial" w:eastAsia="Calibri" w:hAnsi="Arial" w:cs="Arial"/>
          <w:sz w:val="22"/>
          <w:szCs w:val="20"/>
        </w:rPr>
        <w:t xml:space="preserve">la regulación contenida en el numeral 1.15, que establece las causales de rechazo, no estableció dicho evento. </w:t>
      </w:r>
    </w:p>
    <w:p w14:paraId="77D79425" w14:textId="25D16C69" w:rsidR="005D4609" w:rsidRDefault="005D4609" w:rsidP="00767D99">
      <w:pPr>
        <w:tabs>
          <w:tab w:val="left" w:pos="0"/>
        </w:tabs>
        <w:spacing w:line="276" w:lineRule="auto"/>
        <w:ind w:firstLine="709"/>
        <w:jc w:val="both"/>
        <w:rPr>
          <w:rFonts w:ascii="Arial" w:hAnsi="Arial" w:cs="Arial"/>
          <w:color w:val="201F1E"/>
          <w:sz w:val="22"/>
          <w:bdr w:val="none" w:sz="0" w:space="0" w:color="auto" w:frame="1"/>
        </w:rPr>
      </w:pPr>
      <w:r>
        <w:rPr>
          <w:rFonts w:ascii="Arial" w:hAnsi="Arial" w:cs="Arial"/>
          <w:color w:val="201F1E"/>
          <w:sz w:val="22"/>
          <w:bdr w:val="none" w:sz="0" w:space="0" w:color="auto" w:frame="1"/>
        </w:rPr>
        <w:t xml:space="preserve">Con todo </w:t>
      </w:r>
      <w:proofErr w:type="spellStart"/>
      <w:r>
        <w:rPr>
          <w:rFonts w:ascii="Arial" w:hAnsi="Arial" w:cs="Arial"/>
          <w:color w:val="201F1E"/>
          <w:sz w:val="22"/>
          <w:bdr w:val="none" w:sz="0" w:space="0" w:color="auto" w:frame="1"/>
        </w:rPr>
        <w:t>todo</w:t>
      </w:r>
      <w:proofErr w:type="spellEnd"/>
      <w:r>
        <w:rPr>
          <w:rFonts w:ascii="Arial" w:hAnsi="Arial" w:cs="Arial"/>
          <w:color w:val="201F1E"/>
          <w:sz w:val="22"/>
          <w:bdr w:val="none" w:sz="0" w:space="0" w:color="auto" w:frame="1"/>
        </w:rPr>
        <w:t xml:space="preserve">, debe señalarse que la configuración de causales de rechazo en casos particulares </w:t>
      </w:r>
      <w:r w:rsidR="00A8281A">
        <w:rPr>
          <w:rFonts w:ascii="Arial" w:hAnsi="Arial" w:cs="Arial"/>
          <w:color w:val="201F1E"/>
          <w:sz w:val="22"/>
          <w:bdr w:val="none" w:sz="0" w:space="0" w:color="auto" w:frame="1"/>
        </w:rPr>
        <w:t xml:space="preserve">debe ser determinada por </w:t>
      </w:r>
      <w:r>
        <w:rPr>
          <w:rFonts w:ascii="Arial" w:hAnsi="Arial" w:cs="Arial"/>
          <w:color w:val="201F1E"/>
          <w:sz w:val="22"/>
          <w:bdr w:val="none" w:sz="0" w:space="0" w:color="auto" w:frame="1"/>
        </w:rPr>
        <w:t>las entidades estatales que adelantan los procesos de contratación y sus comités eval</w:t>
      </w:r>
      <w:r w:rsidR="00A8281A">
        <w:rPr>
          <w:rFonts w:ascii="Arial" w:hAnsi="Arial" w:cs="Arial"/>
          <w:color w:val="201F1E"/>
          <w:sz w:val="22"/>
          <w:bdr w:val="none" w:sz="0" w:space="0" w:color="auto" w:frame="1"/>
        </w:rPr>
        <w:t xml:space="preserve">uadores, </w:t>
      </w:r>
      <w:r w:rsidR="00AC4C3C">
        <w:rPr>
          <w:rFonts w:ascii="Arial" w:hAnsi="Arial" w:cs="Arial"/>
          <w:color w:val="201F1E"/>
          <w:sz w:val="22"/>
          <w:bdr w:val="none" w:sz="0" w:space="0" w:color="auto" w:frame="1"/>
        </w:rPr>
        <w:t xml:space="preserve">a </w:t>
      </w:r>
      <w:r w:rsidR="00A8281A">
        <w:rPr>
          <w:rFonts w:ascii="Arial" w:hAnsi="Arial" w:cs="Arial"/>
          <w:color w:val="201F1E"/>
          <w:sz w:val="22"/>
          <w:bdr w:val="none" w:sz="0" w:space="0" w:color="auto" w:frame="1"/>
        </w:rPr>
        <w:t>quienes</w:t>
      </w:r>
      <w:r w:rsidR="00EC249E">
        <w:rPr>
          <w:rFonts w:ascii="Arial" w:hAnsi="Arial" w:cs="Arial"/>
          <w:color w:val="201F1E"/>
          <w:sz w:val="22"/>
          <w:bdr w:val="none" w:sz="0" w:space="0" w:color="auto" w:frame="1"/>
        </w:rPr>
        <w:t>,</w:t>
      </w:r>
      <w:r w:rsidR="00E27565">
        <w:rPr>
          <w:rFonts w:ascii="Arial" w:hAnsi="Arial" w:cs="Arial"/>
          <w:color w:val="201F1E"/>
          <w:sz w:val="22"/>
          <w:bdr w:val="none" w:sz="0" w:space="0" w:color="auto" w:frame="1"/>
        </w:rPr>
        <w:t xml:space="preserve"> analizando las circunstancias propias de cada caso, con un criterio de interpretación restrictiva,</w:t>
      </w:r>
      <w:r w:rsidR="00AC4C3C">
        <w:rPr>
          <w:rFonts w:ascii="Arial" w:hAnsi="Arial" w:cs="Arial"/>
          <w:color w:val="201F1E"/>
          <w:sz w:val="22"/>
          <w:bdr w:val="none" w:sz="0" w:space="0" w:color="auto" w:frame="1"/>
        </w:rPr>
        <w:t xml:space="preserve"> corresponde</w:t>
      </w:r>
      <w:r w:rsidR="00E27565">
        <w:rPr>
          <w:rFonts w:ascii="Arial" w:hAnsi="Arial" w:cs="Arial"/>
          <w:color w:val="201F1E"/>
          <w:sz w:val="22"/>
          <w:bdr w:val="none" w:sz="0" w:space="0" w:color="auto" w:frame="1"/>
        </w:rPr>
        <w:t xml:space="preserve"> establecer si en efecto se presentan los supuestos de hecho </w:t>
      </w:r>
      <w:r w:rsidR="00A0237A">
        <w:rPr>
          <w:rFonts w:ascii="Arial" w:hAnsi="Arial" w:cs="Arial"/>
          <w:color w:val="201F1E"/>
          <w:sz w:val="22"/>
          <w:bdr w:val="none" w:sz="0" w:space="0" w:color="auto" w:frame="1"/>
        </w:rPr>
        <w:t>de estas causales</w:t>
      </w:r>
      <w:r w:rsidR="00AC4C3C">
        <w:rPr>
          <w:rFonts w:ascii="Arial" w:hAnsi="Arial" w:cs="Arial"/>
          <w:color w:val="201F1E"/>
          <w:sz w:val="22"/>
          <w:bdr w:val="none" w:sz="0" w:space="0" w:color="auto" w:frame="1"/>
        </w:rPr>
        <w:t xml:space="preserve"> de rechazo</w:t>
      </w:r>
      <w:r w:rsidR="00A0237A">
        <w:rPr>
          <w:rFonts w:ascii="Arial" w:hAnsi="Arial" w:cs="Arial"/>
          <w:color w:val="201F1E"/>
          <w:sz w:val="22"/>
          <w:bdr w:val="none" w:sz="0" w:space="0" w:color="auto" w:frame="1"/>
        </w:rPr>
        <w:t xml:space="preserve">. </w:t>
      </w:r>
      <w:r w:rsidR="00E27565">
        <w:rPr>
          <w:rFonts w:ascii="Arial" w:hAnsi="Arial" w:cs="Arial"/>
          <w:color w:val="201F1E"/>
          <w:sz w:val="22"/>
          <w:bdr w:val="none" w:sz="0" w:space="0" w:color="auto" w:frame="1"/>
        </w:rPr>
        <w:t xml:space="preserve">  </w:t>
      </w:r>
      <w:r w:rsidR="00A8281A">
        <w:rPr>
          <w:rFonts w:ascii="Arial" w:hAnsi="Arial" w:cs="Arial"/>
          <w:color w:val="201F1E"/>
          <w:sz w:val="22"/>
          <w:bdr w:val="none" w:sz="0" w:space="0" w:color="auto" w:frame="1"/>
        </w:rPr>
        <w:t xml:space="preserve"> </w:t>
      </w:r>
    </w:p>
    <w:p w14:paraId="68D49236" w14:textId="77777777" w:rsidR="00E0224A" w:rsidRDefault="00E0224A" w:rsidP="00802EB9">
      <w:pPr>
        <w:jc w:val="both"/>
        <w:rPr>
          <w:rFonts w:ascii="Arial" w:eastAsia="Calibri" w:hAnsi="Arial" w:cs="Arial"/>
          <w:b/>
          <w:sz w:val="22"/>
        </w:rPr>
      </w:pPr>
    </w:p>
    <w:p w14:paraId="44E20D10" w14:textId="7356ED25" w:rsidR="007C2EF0" w:rsidRPr="00F14E00" w:rsidRDefault="007C2EF0" w:rsidP="00767D99">
      <w:pPr>
        <w:spacing w:line="276" w:lineRule="auto"/>
        <w:jc w:val="both"/>
        <w:rPr>
          <w:rFonts w:ascii="Arial" w:eastAsia="Calibri" w:hAnsi="Arial" w:cs="Arial"/>
          <w:b/>
          <w:sz w:val="22"/>
        </w:rPr>
      </w:pPr>
      <w:r w:rsidRPr="00F14E00">
        <w:rPr>
          <w:rFonts w:ascii="Arial" w:eastAsia="Calibri" w:hAnsi="Arial" w:cs="Arial"/>
          <w:b/>
          <w:sz w:val="22"/>
        </w:rPr>
        <w:t xml:space="preserve">3. Respuesta. </w:t>
      </w:r>
    </w:p>
    <w:p w14:paraId="2F1BFB33" w14:textId="19B6DD5A" w:rsidR="007C2EF0" w:rsidRPr="00F14E00" w:rsidRDefault="007C2EF0" w:rsidP="00802EB9">
      <w:pPr>
        <w:jc w:val="both"/>
        <w:rPr>
          <w:rFonts w:ascii="Arial" w:eastAsia="Calibri" w:hAnsi="Arial" w:cs="Arial"/>
          <w:b/>
          <w:sz w:val="22"/>
        </w:rPr>
      </w:pPr>
    </w:p>
    <w:p w14:paraId="2BF7EF08" w14:textId="77777777" w:rsidR="00621206" w:rsidRDefault="00621206" w:rsidP="00767D99">
      <w:pPr>
        <w:ind w:left="709" w:right="709"/>
        <w:jc w:val="both"/>
        <w:rPr>
          <w:rFonts w:ascii="Arial" w:eastAsia="Calibri" w:hAnsi="Arial" w:cs="Arial"/>
          <w:color w:val="000000"/>
          <w:sz w:val="21"/>
          <w:szCs w:val="21"/>
        </w:rPr>
      </w:pPr>
      <w:r>
        <w:rPr>
          <w:rFonts w:ascii="Arial" w:eastAsia="Calibri" w:hAnsi="Arial" w:cs="Arial"/>
          <w:color w:val="000000"/>
          <w:sz w:val="21"/>
          <w:szCs w:val="21"/>
        </w:rPr>
        <w:t xml:space="preserve">[…] </w:t>
      </w:r>
      <w:r w:rsidRPr="00B74F38">
        <w:rPr>
          <w:rFonts w:ascii="Arial" w:eastAsia="Calibri" w:hAnsi="Arial" w:cs="Arial"/>
          <w:color w:val="000000"/>
          <w:sz w:val="21"/>
          <w:szCs w:val="21"/>
        </w:rPr>
        <w:t xml:space="preserve">requiero de la Agencia se indique de forma expresa, debido a que algunas entidades están aplicando causales de rechazo que no encuentro </w:t>
      </w:r>
      <w:proofErr w:type="gramStart"/>
      <w:r w:rsidRPr="00B74F38">
        <w:rPr>
          <w:rFonts w:ascii="Arial" w:eastAsia="Calibri" w:hAnsi="Arial" w:cs="Arial"/>
          <w:color w:val="000000"/>
          <w:sz w:val="21"/>
          <w:szCs w:val="21"/>
        </w:rPr>
        <w:t>dentro de los pliego</w:t>
      </w:r>
      <w:proofErr w:type="gramEnd"/>
      <w:r w:rsidRPr="00B74F38">
        <w:rPr>
          <w:rFonts w:ascii="Arial" w:eastAsia="Calibri" w:hAnsi="Arial" w:cs="Arial"/>
          <w:color w:val="000000"/>
          <w:sz w:val="21"/>
          <w:szCs w:val="21"/>
        </w:rPr>
        <w:t xml:space="preserve"> tipo de Infraestructura de transporte lo siguiente:</w:t>
      </w:r>
    </w:p>
    <w:p w14:paraId="6199E13E" w14:textId="77777777" w:rsidR="00621206" w:rsidRDefault="00621206" w:rsidP="00767D99">
      <w:pPr>
        <w:ind w:left="709" w:right="709"/>
        <w:jc w:val="both"/>
        <w:rPr>
          <w:rFonts w:ascii="Arial" w:eastAsia="Calibri" w:hAnsi="Arial" w:cs="Arial"/>
          <w:color w:val="000000"/>
          <w:sz w:val="21"/>
          <w:szCs w:val="21"/>
        </w:rPr>
      </w:pPr>
    </w:p>
    <w:p w14:paraId="6762F178" w14:textId="63CADAFE" w:rsidR="00621206" w:rsidRDefault="00621206" w:rsidP="00525253">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1. En que documento o aparte del Pliego Tipo de Infraestructura de Transporte, se señala como requisito habilitante que los proponentes deben presentar el Anexo 1 - Técnico, ya que este es un documento que debe ser diligenciado por la Entidad Pública, y hasta qué punto debe ser diligenciado o presentado por los </w:t>
      </w:r>
      <w:r w:rsidRPr="00B74F38">
        <w:rPr>
          <w:rFonts w:ascii="Arial" w:eastAsia="Calibri" w:hAnsi="Arial" w:cs="Arial"/>
          <w:color w:val="000000"/>
          <w:sz w:val="21"/>
          <w:szCs w:val="21"/>
        </w:rPr>
        <w:lastRenderedPageBreak/>
        <w:t xml:space="preserve">oferentes; en el Entendido que algunas Entidades están aplicando la no presentación de ese documento como causal de rechazo. </w:t>
      </w:r>
    </w:p>
    <w:p w14:paraId="7840343D" w14:textId="7CF80EEC" w:rsidR="00AE7F59" w:rsidRDefault="00AE7F59" w:rsidP="00525253">
      <w:pPr>
        <w:ind w:left="709" w:right="709"/>
        <w:jc w:val="both"/>
        <w:rPr>
          <w:rFonts w:ascii="Arial" w:eastAsia="Calibri" w:hAnsi="Arial" w:cs="Arial"/>
          <w:color w:val="000000"/>
          <w:sz w:val="21"/>
          <w:szCs w:val="21"/>
        </w:rPr>
      </w:pPr>
    </w:p>
    <w:p w14:paraId="3A93CDF0" w14:textId="482CB442" w:rsidR="004A183E" w:rsidRPr="004A183E" w:rsidRDefault="00AE7F59" w:rsidP="00802EB9">
      <w:pPr>
        <w:spacing w:line="276" w:lineRule="auto"/>
        <w:jc w:val="both"/>
        <w:rPr>
          <w:rFonts w:ascii="Arial" w:hAnsi="Arial" w:cs="Arial"/>
          <w:color w:val="000000" w:themeColor="text1"/>
          <w:sz w:val="22"/>
        </w:rPr>
      </w:pPr>
      <w:r w:rsidRPr="00992278">
        <w:rPr>
          <w:rFonts w:ascii="Arial" w:hAnsi="Arial" w:cs="Arial"/>
          <w:color w:val="000000" w:themeColor="text1"/>
          <w:sz w:val="22"/>
          <w:lang w:val="es-ES_tradnl"/>
        </w:rPr>
        <w:t>Los documentos tipo no exigen la presentación del «Anexo 1- Anexo Técnico» como un requisito habilitante para participar en el proceso</w:t>
      </w:r>
      <w:r w:rsidR="00E10FCB" w:rsidRPr="00992278">
        <w:rPr>
          <w:rFonts w:ascii="Arial" w:hAnsi="Arial" w:cs="Arial"/>
          <w:color w:val="000000" w:themeColor="text1"/>
          <w:sz w:val="22"/>
          <w:lang w:val="es-ES_tradnl"/>
        </w:rPr>
        <w:t xml:space="preserve"> de selección</w:t>
      </w:r>
      <w:r w:rsidRPr="00992278">
        <w:rPr>
          <w:rFonts w:ascii="Arial" w:hAnsi="Arial" w:cs="Arial"/>
          <w:color w:val="000000" w:themeColor="text1"/>
          <w:sz w:val="22"/>
          <w:lang w:val="es-ES_tradnl"/>
        </w:rPr>
        <w:t xml:space="preserve">, </w:t>
      </w:r>
      <w:proofErr w:type="gramStart"/>
      <w:r w:rsidRPr="00992278">
        <w:rPr>
          <w:rFonts w:ascii="Arial" w:hAnsi="Arial" w:cs="Arial"/>
          <w:color w:val="000000" w:themeColor="text1"/>
          <w:sz w:val="22"/>
          <w:lang w:val="es-ES_tradnl"/>
        </w:rPr>
        <w:t xml:space="preserve">puesto </w:t>
      </w:r>
      <w:r w:rsidR="00D441C6" w:rsidRPr="00992278">
        <w:rPr>
          <w:rFonts w:ascii="Arial" w:hAnsi="Arial" w:cs="Arial"/>
          <w:color w:val="000000" w:themeColor="text1"/>
          <w:sz w:val="22"/>
          <w:lang w:val="es-ES_tradnl"/>
        </w:rPr>
        <w:t xml:space="preserve"> que</w:t>
      </w:r>
      <w:proofErr w:type="gramEnd"/>
      <w:r w:rsidR="00D441C6" w:rsidRPr="00992278">
        <w:rPr>
          <w:rFonts w:ascii="Arial" w:hAnsi="Arial" w:cs="Arial"/>
          <w:color w:val="000000" w:themeColor="text1"/>
          <w:sz w:val="22"/>
          <w:lang w:val="es-ES_tradnl"/>
        </w:rPr>
        <w:t xml:space="preserve">, este es un componente  </w:t>
      </w:r>
      <w:r w:rsidR="006D2391">
        <w:rPr>
          <w:rFonts w:ascii="Arial" w:hAnsi="Arial" w:cs="Arial"/>
          <w:color w:val="000000" w:themeColor="text1"/>
          <w:sz w:val="22"/>
          <w:lang w:val="es-ES_tradnl"/>
        </w:rPr>
        <w:t>que debe ser diligenciado</w:t>
      </w:r>
      <w:r w:rsidR="006D2391" w:rsidRPr="00992278">
        <w:rPr>
          <w:rFonts w:ascii="Arial" w:hAnsi="Arial" w:cs="Arial"/>
          <w:color w:val="000000" w:themeColor="text1"/>
          <w:sz w:val="22"/>
          <w:lang w:val="es-ES_tradnl"/>
        </w:rPr>
        <w:t xml:space="preserve"> </w:t>
      </w:r>
      <w:r w:rsidR="00D441C6" w:rsidRPr="00992278">
        <w:rPr>
          <w:rFonts w:ascii="Arial" w:hAnsi="Arial" w:cs="Arial"/>
          <w:color w:val="000000" w:themeColor="text1"/>
          <w:sz w:val="22"/>
          <w:lang w:val="es-ES_tradnl"/>
        </w:rPr>
        <w:t xml:space="preserve">por la entidad estatal con el fin de establecer las condiciones técnicas que deben cumplir los posibles proponentes que pretendan presentarse dentro del proceso de selección. </w:t>
      </w:r>
      <w:r w:rsidR="004A183E" w:rsidRPr="004A183E">
        <w:rPr>
          <w:rFonts w:ascii="Arial" w:hAnsi="Arial" w:cs="Arial"/>
          <w:color w:val="000000" w:themeColor="text1"/>
          <w:sz w:val="22"/>
        </w:rPr>
        <w:t xml:space="preserve">Cabe aclarar que lo constituye las causales de rechazo relacionadas con el «Anexo 1- Anexo Técnico», son los eventos expresamente señalados en </w:t>
      </w:r>
      <w:r w:rsidR="004A183E">
        <w:rPr>
          <w:rFonts w:ascii="Arial" w:hAnsi="Arial" w:cs="Arial"/>
          <w:color w:val="000000" w:themeColor="text1"/>
          <w:sz w:val="22"/>
        </w:rPr>
        <w:t xml:space="preserve">el numeral 1.15 </w:t>
      </w:r>
      <w:r w:rsidR="00AF34FC">
        <w:rPr>
          <w:rFonts w:ascii="Arial" w:hAnsi="Arial" w:cs="Arial"/>
          <w:color w:val="000000" w:themeColor="text1"/>
          <w:sz w:val="22"/>
        </w:rPr>
        <w:t xml:space="preserve">del documento base </w:t>
      </w:r>
      <w:r w:rsidR="004A183E">
        <w:rPr>
          <w:rFonts w:ascii="Arial" w:hAnsi="Arial" w:cs="Arial"/>
          <w:color w:val="000000" w:themeColor="text1"/>
          <w:sz w:val="22"/>
        </w:rPr>
        <w:t xml:space="preserve">de </w:t>
      </w:r>
      <w:r w:rsidR="004A183E" w:rsidRPr="004A183E">
        <w:rPr>
          <w:rFonts w:ascii="Arial" w:hAnsi="Arial" w:cs="Arial"/>
          <w:color w:val="000000" w:themeColor="text1"/>
          <w:sz w:val="22"/>
        </w:rPr>
        <w:t xml:space="preserve">los documentos tipo de infraestructura de transporte en los literales AA y </w:t>
      </w:r>
      <w:proofErr w:type="spellStart"/>
      <w:r w:rsidR="004A183E" w:rsidRPr="004A183E">
        <w:rPr>
          <w:rFonts w:ascii="Arial" w:hAnsi="Arial" w:cs="Arial"/>
          <w:color w:val="000000" w:themeColor="text1"/>
          <w:sz w:val="22"/>
        </w:rPr>
        <w:t>BB</w:t>
      </w:r>
      <w:proofErr w:type="spellEnd"/>
      <w:r w:rsidR="004A183E" w:rsidRPr="004A183E">
        <w:rPr>
          <w:rFonts w:ascii="Arial" w:hAnsi="Arial" w:cs="Arial"/>
          <w:color w:val="000000" w:themeColor="text1"/>
          <w:sz w:val="22"/>
        </w:rPr>
        <w:t xml:space="preserve"> de los procesos adelantados mediante licitación pública y los literales EE y FF de los procesos adelantados mediante la modalidad de selec</w:t>
      </w:r>
      <w:r w:rsidR="00AF34FC">
        <w:rPr>
          <w:rFonts w:ascii="Arial" w:hAnsi="Arial" w:cs="Arial"/>
          <w:color w:val="000000" w:themeColor="text1"/>
          <w:sz w:val="22"/>
        </w:rPr>
        <w:t>ción abreviada de menor cuantía;</w:t>
      </w:r>
      <w:r w:rsidR="004A183E" w:rsidRPr="004A183E">
        <w:rPr>
          <w:rFonts w:ascii="Arial" w:hAnsi="Arial" w:cs="Arial"/>
          <w:color w:val="000000" w:themeColor="text1"/>
          <w:sz w:val="22"/>
        </w:rPr>
        <w:t xml:space="preserve"> no es la no presentación del Anexo 1- Anexo Técnico por parte de los oferentes, puesto que la regulación contenida en el numeral 1.15, que establece las causales de rechazo, no estableció dicho evento.</w:t>
      </w:r>
    </w:p>
    <w:p w14:paraId="7730022C" w14:textId="4951C0D6" w:rsidR="00D441C6" w:rsidRDefault="00D441C6" w:rsidP="00525253">
      <w:pPr>
        <w:ind w:right="709"/>
        <w:jc w:val="both"/>
        <w:rPr>
          <w:rFonts w:ascii="Arial" w:eastAsia="Calibri" w:hAnsi="Arial" w:cs="Arial"/>
          <w:sz w:val="22"/>
        </w:rPr>
      </w:pPr>
    </w:p>
    <w:p w14:paraId="155F1664" w14:textId="2C502447" w:rsidR="00621206" w:rsidRDefault="00235341" w:rsidP="00525253">
      <w:pPr>
        <w:ind w:left="709" w:right="709"/>
        <w:jc w:val="both"/>
        <w:rPr>
          <w:rFonts w:ascii="Arial" w:eastAsia="Calibri" w:hAnsi="Arial" w:cs="Arial"/>
          <w:color w:val="000000"/>
          <w:sz w:val="21"/>
          <w:szCs w:val="21"/>
        </w:rPr>
      </w:pPr>
      <w:r>
        <w:rPr>
          <w:rFonts w:ascii="Arial" w:eastAsia="Calibri" w:hAnsi="Arial" w:cs="Arial"/>
          <w:color w:val="000000"/>
          <w:sz w:val="21"/>
          <w:szCs w:val="21"/>
        </w:rPr>
        <w:t>«</w:t>
      </w:r>
      <w:r w:rsidR="00621206" w:rsidRPr="00B74F38">
        <w:rPr>
          <w:rFonts w:ascii="Arial" w:eastAsia="Calibri" w:hAnsi="Arial" w:cs="Arial"/>
          <w:color w:val="000000"/>
          <w:sz w:val="21"/>
          <w:szCs w:val="21"/>
        </w:rPr>
        <w:t xml:space="preserve">2. Existe alguna disposición, concepto, directriz que impida a los oferentes subsanar el anexo técnico, bajo las reglas de </w:t>
      </w:r>
      <w:proofErr w:type="spellStart"/>
      <w:r w:rsidR="00621206" w:rsidRPr="00B74F38">
        <w:rPr>
          <w:rFonts w:ascii="Arial" w:eastAsia="Calibri" w:hAnsi="Arial" w:cs="Arial"/>
          <w:color w:val="000000"/>
          <w:sz w:val="21"/>
          <w:szCs w:val="21"/>
        </w:rPr>
        <w:t>subsanabilidad</w:t>
      </w:r>
      <w:proofErr w:type="spellEnd"/>
      <w:r w:rsidR="00621206" w:rsidRPr="00B74F38">
        <w:rPr>
          <w:rFonts w:ascii="Arial" w:eastAsia="Calibri" w:hAnsi="Arial" w:cs="Arial"/>
          <w:color w:val="000000"/>
          <w:sz w:val="21"/>
          <w:szCs w:val="21"/>
        </w:rPr>
        <w:t xml:space="preserve"> del pliego de condiciones, justificando que la ausencia de este incide en la comparación de las ofertas</w:t>
      </w:r>
      <w:r>
        <w:rPr>
          <w:rFonts w:ascii="Arial" w:eastAsia="Calibri" w:hAnsi="Arial" w:cs="Arial"/>
          <w:color w:val="000000"/>
          <w:sz w:val="21"/>
          <w:szCs w:val="21"/>
        </w:rPr>
        <w:t>»</w:t>
      </w:r>
      <w:r w:rsidR="00621206" w:rsidRPr="00B74F38">
        <w:rPr>
          <w:rFonts w:ascii="Arial" w:eastAsia="Calibri" w:hAnsi="Arial" w:cs="Arial"/>
          <w:color w:val="000000"/>
          <w:sz w:val="21"/>
          <w:szCs w:val="21"/>
        </w:rPr>
        <w:t>.</w:t>
      </w:r>
    </w:p>
    <w:p w14:paraId="794068E1" w14:textId="7ABD8A96" w:rsidR="00D441C6" w:rsidRDefault="00D441C6" w:rsidP="00525253">
      <w:pPr>
        <w:ind w:left="709" w:right="709"/>
        <w:jc w:val="both"/>
        <w:rPr>
          <w:rFonts w:ascii="Arial" w:eastAsia="Calibri" w:hAnsi="Arial" w:cs="Arial"/>
          <w:color w:val="000000"/>
          <w:sz w:val="21"/>
          <w:szCs w:val="21"/>
        </w:rPr>
      </w:pPr>
    </w:p>
    <w:p w14:paraId="23FBC606" w14:textId="760C2C14" w:rsidR="00D441C6" w:rsidRDefault="00235341" w:rsidP="00802EB9">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Conforme a lo expuesto, e</w:t>
      </w:r>
      <w:r w:rsidR="00D441C6" w:rsidRPr="0081168C">
        <w:rPr>
          <w:rFonts w:ascii="Arial" w:hAnsi="Arial" w:cs="Arial"/>
          <w:color w:val="000000" w:themeColor="text1"/>
          <w:sz w:val="22"/>
          <w:lang w:val="es-ES_tradnl"/>
        </w:rPr>
        <w:t xml:space="preserve">sta Subdirección se ha pronunciado en diversas oportunidades acerca del alcance de la regla de la </w:t>
      </w:r>
      <w:proofErr w:type="spellStart"/>
      <w:r w:rsidR="00D441C6" w:rsidRPr="0081168C">
        <w:rPr>
          <w:rFonts w:ascii="Arial" w:hAnsi="Arial" w:cs="Arial"/>
          <w:color w:val="000000" w:themeColor="text1"/>
          <w:sz w:val="22"/>
          <w:lang w:val="es-ES_tradnl"/>
        </w:rPr>
        <w:t>subsanabilidad</w:t>
      </w:r>
      <w:proofErr w:type="spellEnd"/>
      <w:r w:rsidR="00D441C6" w:rsidRPr="0081168C">
        <w:rPr>
          <w:rFonts w:ascii="Arial" w:hAnsi="Arial" w:cs="Arial"/>
          <w:color w:val="000000" w:themeColor="text1"/>
          <w:sz w:val="22"/>
          <w:lang w:val="es-ES_tradnl"/>
        </w:rPr>
        <w:t xml:space="preserve">, contenida actualmente en el artículo 5 de la Ley 1150 de 2007. Al respecto, la postura que se reitera en el presente concepto es la siguiente: por regla general, i) la falta de entrega o </w:t>
      </w:r>
      <w:proofErr w:type="spellStart"/>
      <w:r w:rsidR="00D441C6" w:rsidRPr="0081168C">
        <w:rPr>
          <w:rFonts w:ascii="Arial" w:hAnsi="Arial" w:cs="Arial"/>
          <w:color w:val="000000" w:themeColor="text1"/>
          <w:sz w:val="22"/>
          <w:lang w:val="es-ES_tradnl"/>
        </w:rPr>
        <w:t>ii</w:t>
      </w:r>
      <w:proofErr w:type="spellEnd"/>
      <w:r w:rsidR="00D441C6" w:rsidRPr="0081168C">
        <w:rPr>
          <w:rFonts w:ascii="Arial" w:hAnsi="Arial" w:cs="Arial"/>
          <w:color w:val="000000" w:themeColor="text1"/>
          <w:sz w:val="22"/>
          <w:lang w:val="es-ES_tradnl"/>
        </w:rPr>
        <w:t xml:space="preserve">) los defectos de los requisitos que no asignen puntaje son subsanables. La excepción se encuentra en los casos, previstos en la ley, que limitan la </w:t>
      </w:r>
      <w:proofErr w:type="spellStart"/>
      <w:r w:rsidR="00D441C6" w:rsidRPr="0081168C">
        <w:rPr>
          <w:rFonts w:ascii="Arial" w:hAnsi="Arial" w:cs="Arial"/>
          <w:color w:val="000000" w:themeColor="text1"/>
          <w:sz w:val="22"/>
          <w:lang w:val="es-ES_tradnl"/>
        </w:rPr>
        <w:t>subsanabilidad</w:t>
      </w:r>
      <w:proofErr w:type="spellEnd"/>
      <w:r w:rsidR="00D441C6" w:rsidRPr="0081168C">
        <w:rPr>
          <w:rFonts w:ascii="Arial" w:hAnsi="Arial" w:cs="Arial"/>
          <w:color w:val="000000" w:themeColor="text1"/>
          <w:sz w:val="22"/>
          <w:lang w:val="es-ES_tradnl"/>
        </w:rPr>
        <w:t>, es decir, en la prohibición de entregar la garantía de seriedad de la oferta que no fue aportada con la propuesta y de acreditar circunstancias ocurridas con posterioridad al cierre del proceso. En tal sentido, no sería posible subsanar requisitos de la propuesta que a</w:t>
      </w:r>
      <w:r w:rsidR="00E10FCB">
        <w:rPr>
          <w:rFonts w:ascii="Arial" w:hAnsi="Arial" w:cs="Arial"/>
          <w:color w:val="000000" w:themeColor="text1"/>
          <w:sz w:val="22"/>
          <w:lang w:val="es-ES_tradnl"/>
        </w:rPr>
        <w:t xml:space="preserve">fecten la asignación de puntaje, los cuales se encuentran   </w:t>
      </w:r>
      <w:proofErr w:type="gramStart"/>
      <w:r w:rsidR="00E10FCB">
        <w:rPr>
          <w:rFonts w:ascii="Arial" w:hAnsi="Arial" w:cs="Arial"/>
          <w:color w:val="000000" w:themeColor="text1"/>
          <w:sz w:val="22"/>
          <w:lang w:val="es-ES_tradnl"/>
        </w:rPr>
        <w:t>expresamente  señalados</w:t>
      </w:r>
      <w:proofErr w:type="gramEnd"/>
      <w:r w:rsidR="00E10FCB">
        <w:rPr>
          <w:rFonts w:ascii="Arial" w:hAnsi="Arial" w:cs="Arial"/>
          <w:color w:val="000000" w:themeColor="text1"/>
          <w:sz w:val="22"/>
          <w:lang w:val="es-ES_tradnl"/>
        </w:rPr>
        <w:t xml:space="preserve">  en los documentos tipo.</w:t>
      </w:r>
    </w:p>
    <w:p w14:paraId="0582DC74" w14:textId="3FC29C93" w:rsidR="00E50B01" w:rsidRDefault="00E10FCB" w:rsidP="00525253">
      <w:pPr>
        <w:spacing w:line="276" w:lineRule="auto"/>
        <w:ind w:firstLine="708"/>
        <w:jc w:val="both"/>
        <w:rPr>
          <w:rFonts w:ascii="Arial" w:eastAsia="Calibri" w:hAnsi="Arial" w:cs="Arial"/>
          <w:sz w:val="22"/>
        </w:rPr>
      </w:pPr>
      <w:r>
        <w:rPr>
          <w:rFonts w:ascii="Arial" w:hAnsi="Arial" w:cs="Arial"/>
          <w:color w:val="000000" w:themeColor="text1"/>
          <w:sz w:val="22"/>
          <w:lang w:val="es-ES_tradnl"/>
        </w:rPr>
        <w:t>Sin perjuicio de lo anterior, se deben tener en cuenta las causales de rechazo relacionadas con e</w:t>
      </w:r>
      <w:r w:rsidR="00D441C6">
        <w:rPr>
          <w:rFonts w:ascii="Arial" w:hAnsi="Arial" w:cs="Arial"/>
          <w:color w:val="000000" w:themeColor="text1"/>
          <w:sz w:val="22"/>
          <w:lang w:val="es-ES_tradnl"/>
        </w:rPr>
        <w:t>l Anexo 1- Anexo Técnico</w:t>
      </w:r>
      <w:r>
        <w:rPr>
          <w:rFonts w:ascii="Arial" w:hAnsi="Arial" w:cs="Arial"/>
          <w:color w:val="000000" w:themeColor="text1"/>
          <w:sz w:val="22"/>
          <w:lang w:val="es-ES_tradnl"/>
        </w:rPr>
        <w:t>, las cuales se encuentran consagradas en el numeral 1.15 del documento base de los procesos de obra pública de infraestructura del transporte</w:t>
      </w:r>
      <w:r w:rsidR="00E50B01">
        <w:rPr>
          <w:rFonts w:ascii="Arial" w:hAnsi="Arial" w:cs="Arial"/>
          <w:color w:val="000000" w:themeColor="text1"/>
          <w:sz w:val="22"/>
          <w:lang w:val="es-ES_tradnl"/>
        </w:rPr>
        <w:t xml:space="preserve"> que se adelanten mediante licitación pública (literales AA y </w:t>
      </w:r>
      <w:proofErr w:type="spellStart"/>
      <w:r w:rsidR="00E50B01">
        <w:rPr>
          <w:rFonts w:ascii="Arial" w:hAnsi="Arial" w:cs="Arial"/>
          <w:color w:val="000000" w:themeColor="text1"/>
          <w:sz w:val="22"/>
          <w:lang w:val="es-ES_tradnl"/>
        </w:rPr>
        <w:t>BB</w:t>
      </w:r>
      <w:proofErr w:type="spellEnd"/>
      <w:r w:rsidR="00E50B01">
        <w:rPr>
          <w:rFonts w:ascii="Arial" w:hAnsi="Arial" w:cs="Arial"/>
          <w:color w:val="000000" w:themeColor="text1"/>
          <w:sz w:val="22"/>
          <w:lang w:val="es-ES_tradnl"/>
        </w:rPr>
        <w:t>)  o selección abreviada de menor cuantía (literales EE y FF), lo que significa que l</w:t>
      </w:r>
      <w:r w:rsidR="00E50B01">
        <w:rPr>
          <w:rFonts w:ascii="Arial" w:eastAsia="Calibri" w:hAnsi="Arial" w:cs="Arial"/>
          <w:sz w:val="22"/>
        </w:rPr>
        <w:t xml:space="preserve">os proponentes </w:t>
      </w:r>
      <w:proofErr w:type="spellStart"/>
      <w:r w:rsidR="00E50B01">
        <w:rPr>
          <w:rFonts w:ascii="Arial" w:eastAsia="Calibri" w:hAnsi="Arial" w:cs="Arial"/>
          <w:sz w:val="22"/>
        </w:rPr>
        <w:t>deberan</w:t>
      </w:r>
      <w:proofErr w:type="spellEnd"/>
      <w:r w:rsidR="00E50B01">
        <w:rPr>
          <w:rFonts w:ascii="Arial" w:eastAsia="Calibri" w:hAnsi="Arial" w:cs="Arial"/>
          <w:sz w:val="22"/>
        </w:rPr>
        <w:t xml:space="preserve"> sujetarse al plazo máximo y especificaciones mínimas establecidas por la entidad estatal en el «Anexo 1- Anexo Técnico», por lo que no podrán ofrecer ejecutar la obra en mayor tiempo al estimado, ni ofrecer ejecutarla con unas condiciones técnicas distintas a las establecidas por la </w:t>
      </w:r>
      <w:r w:rsidR="00F02695">
        <w:rPr>
          <w:rFonts w:ascii="Arial" w:eastAsia="Calibri" w:hAnsi="Arial" w:cs="Arial"/>
          <w:sz w:val="22"/>
        </w:rPr>
        <w:t xml:space="preserve">entidad. </w:t>
      </w:r>
      <w:r w:rsidR="00E50B01">
        <w:rPr>
          <w:rFonts w:ascii="Arial" w:eastAsia="Calibri" w:hAnsi="Arial" w:cs="Arial"/>
          <w:sz w:val="22"/>
        </w:rPr>
        <w:t xml:space="preserve">Para evitar estar circunstancias se </w:t>
      </w:r>
      <w:proofErr w:type="spellStart"/>
      <w:r w:rsidR="00E50B01">
        <w:rPr>
          <w:rFonts w:ascii="Arial" w:eastAsia="Calibri" w:hAnsi="Arial" w:cs="Arial"/>
          <w:sz w:val="22"/>
        </w:rPr>
        <w:t>tipificarón</w:t>
      </w:r>
      <w:proofErr w:type="spellEnd"/>
      <w:r w:rsidR="00E50B01">
        <w:rPr>
          <w:rFonts w:ascii="Arial" w:eastAsia="Calibri" w:hAnsi="Arial" w:cs="Arial"/>
          <w:sz w:val="22"/>
        </w:rPr>
        <w:t xml:space="preserve"> las causales </w:t>
      </w:r>
      <w:r w:rsidR="00E50B01">
        <w:rPr>
          <w:rFonts w:ascii="Arial" w:eastAsia="Calibri" w:hAnsi="Arial" w:cs="Arial"/>
          <w:sz w:val="22"/>
        </w:rPr>
        <w:lastRenderedPageBreak/>
        <w:t>de rechazo de los literales mencionados del numeral 1.15 del «Documento Base», que sancionan con el rechazo de la ofert</w:t>
      </w:r>
      <w:r w:rsidR="00F02695">
        <w:rPr>
          <w:rFonts w:ascii="Arial" w:eastAsia="Calibri" w:hAnsi="Arial" w:cs="Arial"/>
          <w:sz w:val="22"/>
        </w:rPr>
        <w:t xml:space="preserve">a las dos conductas mencionadas, y no la presentación del </w:t>
      </w:r>
      <w:r w:rsidR="009A28F6">
        <w:rPr>
          <w:rFonts w:ascii="Arial" w:eastAsia="Calibri" w:hAnsi="Arial" w:cs="Arial"/>
          <w:sz w:val="22"/>
        </w:rPr>
        <w:t>«</w:t>
      </w:r>
      <w:r w:rsidR="00F02695">
        <w:rPr>
          <w:rFonts w:ascii="Arial" w:eastAsia="Calibri" w:hAnsi="Arial" w:cs="Arial"/>
          <w:sz w:val="22"/>
        </w:rPr>
        <w:t>A</w:t>
      </w:r>
      <w:r w:rsidR="009A28F6">
        <w:rPr>
          <w:rFonts w:ascii="Arial" w:eastAsia="Calibri" w:hAnsi="Arial" w:cs="Arial"/>
          <w:sz w:val="22"/>
        </w:rPr>
        <w:t xml:space="preserve">nexo 1-Técnico», el cual, como ya se indicó, es de elaboración de la entidad estatal. </w:t>
      </w:r>
    </w:p>
    <w:p w14:paraId="114C77E3" w14:textId="77777777" w:rsidR="006D2391" w:rsidRDefault="006D2391" w:rsidP="00525253">
      <w:pPr>
        <w:ind w:left="709" w:right="709"/>
        <w:jc w:val="both"/>
        <w:rPr>
          <w:rFonts w:ascii="Arial" w:eastAsia="Calibri" w:hAnsi="Arial" w:cs="Arial"/>
          <w:color w:val="000000"/>
          <w:sz w:val="21"/>
          <w:szCs w:val="21"/>
        </w:rPr>
      </w:pPr>
    </w:p>
    <w:p w14:paraId="73EF96F4" w14:textId="2F318D62" w:rsidR="00621206" w:rsidRDefault="006D2391" w:rsidP="00525253">
      <w:pPr>
        <w:ind w:left="709" w:right="709"/>
        <w:jc w:val="both"/>
        <w:rPr>
          <w:rFonts w:ascii="Arial" w:eastAsia="Calibri" w:hAnsi="Arial" w:cs="Arial"/>
          <w:color w:val="000000"/>
          <w:sz w:val="21"/>
          <w:szCs w:val="21"/>
        </w:rPr>
      </w:pPr>
      <w:r>
        <w:rPr>
          <w:rFonts w:ascii="Arial" w:eastAsia="Calibri" w:hAnsi="Arial" w:cs="Arial"/>
          <w:color w:val="000000"/>
          <w:sz w:val="21"/>
          <w:szCs w:val="21"/>
        </w:rPr>
        <w:t>«</w:t>
      </w:r>
      <w:r w:rsidR="00621206" w:rsidRPr="00B74F38">
        <w:rPr>
          <w:rFonts w:ascii="Arial" w:eastAsia="Calibri" w:hAnsi="Arial" w:cs="Arial"/>
          <w:color w:val="000000"/>
          <w:sz w:val="21"/>
          <w:szCs w:val="21"/>
        </w:rPr>
        <w:t>3. En el entendido que dentro de los documentos que componen el pliego tipo existen otros anexos: (anexo 1- técnico, glosario, minuta, pacto transparencia, cronograma), estos al ser también anexos, puede predicarse de cualquiera de ellos una causal de rechazo.</w:t>
      </w:r>
    </w:p>
    <w:p w14:paraId="238DC161" w14:textId="77777777" w:rsidR="00D441C6" w:rsidRPr="00D441C6" w:rsidRDefault="00D441C6" w:rsidP="00525253">
      <w:pPr>
        <w:ind w:right="709"/>
        <w:jc w:val="both"/>
        <w:rPr>
          <w:rFonts w:ascii="Arial" w:eastAsia="Calibri" w:hAnsi="Arial" w:cs="Arial"/>
          <w:color w:val="000000"/>
          <w:sz w:val="21"/>
          <w:szCs w:val="21"/>
        </w:rPr>
      </w:pPr>
    </w:p>
    <w:p w14:paraId="2B5ABB5B" w14:textId="77777777" w:rsidR="00621206" w:rsidRDefault="00621206" w:rsidP="00525253">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4. Colombia compra eficiente ha señalado en sus conceptos que los documentos que hacen parte del pliego tipo son: </w:t>
      </w:r>
    </w:p>
    <w:p w14:paraId="52D24B27" w14:textId="77777777" w:rsidR="00621206" w:rsidRDefault="00621206" w:rsidP="00525253">
      <w:pPr>
        <w:ind w:left="709" w:right="709"/>
        <w:jc w:val="both"/>
        <w:rPr>
          <w:rFonts w:ascii="Arial" w:eastAsia="Calibri" w:hAnsi="Arial" w:cs="Arial"/>
          <w:color w:val="000000"/>
          <w:sz w:val="21"/>
          <w:szCs w:val="21"/>
        </w:rPr>
      </w:pPr>
    </w:p>
    <w:p w14:paraId="689A00BD" w14:textId="77777777" w:rsidR="00621206" w:rsidRDefault="00621206" w:rsidP="00525253">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A. Anexos </w:t>
      </w:r>
    </w:p>
    <w:p w14:paraId="771B503D" w14:textId="77777777" w:rsidR="00621206" w:rsidRDefault="00621206" w:rsidP="00525253">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 xml:space="preserve">B. Matrices </w:t>
      </w:r>
    </w:p>
    <w:p w14:paraId="6DE21E7B" w14:textId="77777777" w:rsidR="00621206" w:rsidRDefault="00621206" w:rsidP="00525253">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C. Formatos</w:t>
      </w:r>
    </w:p>
    <w:p w14:paraId="16B84B4C" w14:textId="77777777" w:rsidR="00621206" w:rsidRDefault="00621206" w:rsidP="00525253">
      <w:pPr>
        <w:ind w:left="709" w:right="709"/>
        <w:jc w:val="both"/>
        <w:rPr>
          <w:rFonts w:ascii="Arial" w:eastAsia="Calibri" w:hAnsi="Arial" w:cs="Arial"/>
          <w:color w:val="000000"/>
          <w:sz w:val="21"/>
          <w:szCs w:val="21"/>
        </w:rPr>
      </w:pPr>
    </w:p>
    <w:p w14:paraId="372D6AC4" w14:textId="37566846" w:rsidR="00621206" w:rsidRPr="00B74F38" w:rsidRDefault="00621206" w:rsidP="00525253">
      <w:pPr>
        <w:ind w:left="709" w:right="709"/>
        <w:jc w:val="both"/>
        <w:rPr>
          <w:rFonts w:ascii="Arial" w:eastAsia="Calibri" w:hAnsi="Arial" w:cs="Arial"/>
          <w:color w:val="000000"/>
          <w:sz w:val="21"/>
          <w:szCs w:val="21"/>
        </w:rPr>
      </w:pPr>
      <w:r w:rsidRPr="00B74F38">
        <w:rPr>
          <w:rFonts w:ascii="Arial" w:eastAsia="Calibri" w:hAnsi="Arial" w:cs="Arial"/>
          <w:color w:val="000000"/>
          <w:sz w:val="21"/>
          <w:szCs w:val="21"/>
        </w:rPr>
        <w:t>Cuales, de dichos documentos Anexos, Matrices y Formatos, su no presentación acarrea causales de rechazo, u otra condición especial, por favor enunciarlos detalladamente</w:t>
      </w:r>
      <w:r w:rsidR="006D2391">
        <w:rPr>
          <w:rFonts w:ascii="Arial" w:eastAsia="Calibri" w:hAnsi="Arial" w:cs="Arial"/>
          <w:color w:val="000000"/>
          <w:sz w:val="21"/>
          <w:szCs w:val="21"/>
        </w:rPr>
        <w:t>»</w:t>
      </w:r>
      <w:r w:rsidRPr="00B74F38">
        <w:rPr>
          <w:rFonts w:ascii="Arial" w:eastAsia="Calibri" w:hAnsi="Arial" w:cs="Arial"/>
          <w:color w:val="000000"/>
          <w:sz w:val="21"/>
          <w:szCs w:val="21"/>
        </w:rPr>
        <w:t>.</w:t>
      </w:r>
    </w:p>
    <w:p w14:paraId="6465B7F8" w14:textId="77777777" w:rsidR="00621206" w:rsidRPr="00B74F38" w:rsidRDefault="00621206" w:rsidP="00525253">
      <w:pPr>
        <w:ind w:left="709" w:right="709"/>
        <w:jc w:val="both"/>
        <w:rPr>
          <w:rFonts w:ascii="Arial" w:eastAsia="Calibri" w:hAnsi="Arial" w:cs="Arial"/>
          <w:color w:val="000000"/>
          <w:sz w:val="21"/>
          <w:szCs w:val="21"/>
          <w:highlight w:val="yellow"/>
        </w:rPr>
      </w:pPr>
    </w:p>
    <w:p w14:paraId="5AE151C9" w14:textId="16D0ACC6" w:rsidR="00133BB0" w:rsidRDefault="00235341" w:rsidP="00525253">
      <w:pPr>
        <w:tabs>
          <w:tab w:val="left" w:pos="0"/>
        </w:tabs>
        <w:spacing w:after="120" w:line="276" w:lineRule="auto"/>
        <w:jc w:val="both"/>
        <w:rPr>
          <w:rFonts w:ascii="Arial" w:hAnsi="Arial" w:cs="Arial"/>
          <w:color w:val="201F1E"/>
          <w:sz w:val="22"/>
          <w:bdr w:val="none" w:sz="0" w:space="0" w:color="auto" w:frame="1"/>
        </w:rPr>
      </w:pPr>
      <w:r>
        <w:rPr>
          <w:rFonts w:ascii="Arial" w:hAnsi="Arial" w:cs="Arial"/>
          <w:bCs/>
          <w:sz w:val="22"/>
        </w:rPr>
        <w:tab/>
      </w:r>
      <w:r w:rsidR="008B4D79">
        <w:rPr>
          <w:rFonts w:ascii="Arial" w:hAnsi="Arial" w:cs="Arial"/>
          <w:bCs/>
          <w:sz w:val="22"/>
        </w:rPr>
        <w:t>Para efectos prácticos e</w:t>
      </w:r>
      <w:r w:rsidR="006D3287" w:rsidRPr="0067584A">
        <w:rPr>
          <w:rFonts w:ascii="Arial" w:hAnsi="Arial" w:cs="Arial"/>
          <w:bCs/>
          <w:sz w:val="22"/>
        </w:rPr>
        <w:t>stas dos preguntas se agrupan por unidad de ma</w:t>
      </w:r>
      <w:r w:rsidR="0067584A">
        <w:rPr>
          <w:rFonts w:ascii="Arial" w:hAnsi="Arial" w:cs="Arial"/>
          <w:bCs/>
          <w:sz w:val="22"/>
        </w:rPr>
        <w:t xml:space="preserve">teria, </w:t>
      </w:r>
      <w:r w:rsidR="006D3287" w:rsidRPr="0067584A">
        <w:rPr>
          <w:rFonts w:ascii="Arial" w:hAnsi="Arial" w:cs="Arial"/>
          <w:bCs/>
          <w:sz w:val="22"/>
        </w:rPr>
        <w:t>y al respecto se indica que l</w:t>
      </w:r>
      <w:r w:rsidR="00621206" w:rsidRPr="0067584A">
        <w:rPr>
          <w:rFonts w:ascii="Arial" w:hAnsi="Arial" w:cs="Arial"/>
          <w:bCs/>
          <w:sz w:val="22"/>
        </w:rPr>
        <w:t>as causales de rechazo</w:t>
      </w:r>
      <w:r w:rsidR="00DC753E" w:rsidRPr="0067584A">
        <w:rPr>
          <w:rFonts w:ascii="Arial" w:hAnsi="Arial" w:cs="Arial"/>
          <w:bCs/>
          <w:sz w:val="22"/>
        </w:rPr>
        <w:t xml:space="preserve"> configuradas en los documentos tipo</w:t>
      </w:r>
      <w:r w:rsidR="00621206" w:rsidRPr="0067584A">
        <w:rPr>
          <w:rFonts w:ascii="Arial" w:hAnsi="Arial" w:cs="Arial"/>
          <w:bCs/>
          <w:sz w:val="22"/>
        </w:rPr>
        <w:t xml:space="preserve"> </w:t>
      </w:r>
      <w:r w:rsidR="0067584A">
        <w:rPr>
          <w:rFonts w:ascii="Arial" w:hAnsi="Arial" w:cs="Arial"/>
          <w:bCs/>
          <w:sz w:val="22"/>
        </w:rPr>
        <w:t xml:space="preserve">de obra pública de </w:t>
      </w:r>
      <w:proofErr w:type="spellStart"/>
      <w:r w:rsidR="0067584A">
        <w:rPr>
          <w:rFonts w:ascii="Arial" w:hAnsi="Arial" w:cs="Arial"/>
          <w:bCs/>
          <w:sz w:val="22"/>
        </w:rPr>
        <w:t>infrestructura</w:t>
      </w:r>
      <w:proofErr w:type="spellEnd"/>
      <w:r w:rsidR="0067584A">
        <w:rPr>
          <w:rFonts w:ascii="Arial" w:hAnsi="Arial" w:cs="Arial"/>
          <w:bCs/>
          <w:sz w:val="22"/>
        </w:rPr>
        <w:t xml:space="preserve"> de transporte </w:t>
      </w:r>
      <w:r w:rsidR="00DC753E" w:rsidRPr="0067584A">
        <w:rPr>
          <w:rFonts w:ascii="Arial" w:hAnsi="Arial" w:cs="Arial"/>
          <w:bCs/>
          <w:sz w:val="22"/>
        </w:rPr>
        <w:t>son las señaladas expresamente en el numeral 1.15 del document</w:t>
      </w:r>
      <w:r w:rsidR="00C05B50">
        <w:rPr>
          <w:rFonts w:ascii="Arial" w:hAnsi="Arial" w:cs="Arial"/>
          <w:bCs/>
          <w:sz w:val="22"/>
        </w:rPr>
        <w:t>o base o la invitación pública, además de las que establezca la ley.</w:t>
      </w:r>
      <w:r>
        <w:rPr>
          <w:rFonts w:ascii="Arial" w:hAnsi="Arial" w:cs="Arial"/>
          <w:color w:val="201F1E"/>
          <w:sz w:val="22"/>
          <w:bdr w:val="none" w:sz="0" w:space="0" w:color="auto" w:frame="1"/>
        </w:rPr>
        <w:t xml:space="preserve"> </w:t>
      </w:r>
      <w:r w:rsidR="00133BB0">
        <w:rPr>
          <w:rFonts w:ascii="Arial" w:hAnsi="Arial" w:cs="Arial"/>
          <w:color w:val="201F1E"/>
          <w:sz w:val="22"/>
          <w:bdr w:val="none" w:sz="0" w:space="0" w:color="auto" w:frame="1"/>
        </w:rPr>
        <w:t xml:space="preserve">Con todo </w:t>
      </w:r>
      <w:proofErr w:type="spellStart"/>
      <w:r w:rsidR="00133BB0">
        <w:rPr>
          <w:rFonts w:ascii="Arial" w:hAnsi="Arial" w:cs="Arial"/>
          <w:color w:val="201F1E"/>
          <w:sz w:val="22"/>
          <w:bdr w:val="none" w:sz="0" w:space="0" w:color="auto" w:frame="1"/>
        </w:rPr>
        <w:t>todo</w:t>
      </w:r>
      <w:proofErr w:type="spellEnd"/>
      <w:r w:rsidR="00133BB0">
        <w:rPr>
          <w:rFonts w:ascii="Arial" w:hAnsi="Arial" w:cs="Arial"/>
          <w:color w:val="201F1E"/>
          <w:sz w:val="22"/>
          <w:bdr w:val="none" w:sz="0" w:space="0" w:color="auto" w:frame="1"/>
        </w:rPr>
        <w:t xml:space="preserve">, debe señalarse que la configuración de causales de rechazo en casos particulares debe ser determinada por las entidades estatales que adelantan los procesos de contratación y sus comités evaluadores, a quienes, analizando las circunstancias propias de cada caso, con un criterio de interpretación restrictiva, corresponde establecer si en efecto se presentan los supuestos de hecho de estas causales de rechazo, así como la configuración de la regla de </w:t>
      </w:r>
      <w:proofErr w:type="spellStart"/>
      <w:r w:rsidR="00133BB0">
        <w:rPr>
          <w:rFonts w:ascii="Arial" w:hAnsi="Arial" w:cs="Arial"/>
          <w:color w:val="201F1E"/>
          <w:sz w:val="22"/>
          <w:bdr w:val="none" w:sz="0" w:space="0" w:color="auto" w:frame="1"/>
        </w:rPr>
        <w:t>subsanabilidad</w:t>
      </w:r>
      <w:proofErr w:type="spellEnd"/>
      <w:r w:rsidR="00133BB0">
        <w:rPr>
          <w:rFonts w:ascii="Arial" w:hAnsi="Arial" w:cs="Arial"/>
          <w:color w:val="201F1E"/>
          <w:sz w:val="22"/>
          <w:bdr w:val="none" w:sz="0" w:space="0" w:color="auto" w:frame="1"/>
        </w:rPr>
        <w:t xml:space="preserve"> mencionada en la respuesta anterior.</w:t>
      </w:r>
    </w:p>
    <w:p w14:paraId="285BAF75" w14:textId="690BF920" w:rsidR="00BB78E0" w:rsidRPr="00554C0F" w:rsidRDefault="00BB78E0" w:rsidP="00802EB9">
      <w:pPr>
        <w:widowControl w:val="0"/>
        <w:autoSpaceDE w:val="0"/>
        <w:autoSpaceDN w:val="0"/>
        <w:spacing w:line="276" w:lineRule="auto"/>
        <w:ind w:firstLine="709"/>
        <w:jc w:val="both"/>
        <w:rPr>
          <w:rFonts w:ascii="Arial" w:eastAsia="Arial" w:hAnsi="Arial" w:cs="Arial"/>
          <w:bCs/>
          <w:sz w:val="22"/>
        </w:rPr>
      </w:pPr>
      <w:r>
        <w:rPr>
          <w:rFonts w:ascii="Arial" w:eastAsia="Calibri" w:hAnsi="Arial" w:cs="Arial"/>
          <w:sz w:val="22"/>
        </w:rPr>
        <w:t>Se debe tener en cuenta que e</w:t>
      </w:r>
      <w:r w:rsidRPr="00F14E00">
        <w:rPr>
          <w:rFonts w:ascii="Arial" w:eastAsia="Calibri" w:hAnsi="Arial" w:cs="Arial"/>
          <w:sz w:val="22"/>
        </w:rPr>
        <w:t>xcepcionalmente</w:t>
      </w:r>
      <w:r>
        <w:rPr>
          <w:rFonts w:ascii="Arial" w:eastAsia="Calibri" w:hAnsi="Arial" w:cs="Arial"/>
          <w:sz w:val="22"/>
        </w:rPr>
        <w:t xml:space="preserve"> en algunos </w:t>
      </w:r>
      <w:proofErr w:type="gramStart"/>
      <w:r>
        <w:rPr>
          <w:rFonts w:ascii="Arial" w:eastAsia="Calibri" w:hAnsi="Arial" w:cs="Arial"/>
          <w:sz w:val="22"/>
        </w:rPr>
        <w:t xml:space="preserve">formatos </w:t>
      </w:r>
      <w:r w:rsidRPr="00F14E00">
        <w:rPr>
          <w:rFonts w:ascii="Arial" w:eastAsia="Calibri" w:hAnsi="Arial" w:cs="Arial"/>
          <w:sz w:val="22"/>
        </w:rPr>
        <w:t xml:space="preserve"> le</w:t>
      </w:r>
      <w:proofErr w:type="gramEnd"/>
      <w:r w:rsidRPr="00F14E00">
        <w:rPr>
          <w:rFonts w:ascii="Arial" w:eastAsia="Calibri" w:hAnsi="Arial" w:cs="Arial"/>
          <w:sz w:val="22"/>
        </w:rPr>
        <w:t xml:space="preserve"> corresponde al proponente consignar la información incluida en corchetes y resaltada en gris, como, por ejemplo, los formatos que requieren de la firma del prop</w:t>
      </w:r>
      <w:r>
        <w:rPr>
          <w:rFonts w:ascii="Arial" w:eastAsia="Calibri" w:hAnsi="Arial" w:cs="Arial"/>
          <w:sz w:val="22"/>
        </w:rPr>
        <w:t>onente o su representante legal, así como el diligenciamiento y presentación del «Formulario 1- Formulario de presupuesto oficial» en aquellos casos en que la entidad estatal haya establecido la presentación de la oferta económica mediante este formulario. Sobre estos</w:t>
      </w:r>
      <w:r w:rsidR="000E496F">
        <w:rPr>
          <w:rFonts w:ascii="Arial" w:eastAsia="Calibri" w:hAnsi="Arial" w:cs="Arial"/>
          <w:sz w:val="22"/>
        </w:rPr>
        <w:t>,</w:t>
      </w:r>
      <w:r>
        <w:rPr>
          <w:rFonts w:ascii="Arial" w:eastAsia="Calibri" w:hAnsi="Arial" w:cs="Arial"/>
          <w:sz w:val="22"/>
        </w:rPr>
        <w:t xml:space="preserve"> debe examinarse en cada caso particular la posibilidad de subsanación, aclaración o explicación a la luz de lo indicado en el numeral 1.6 del documento base de los documentos tipo de infraestructura de transporte, el cual señala que t</w:t>
      </w:r>
      <w:proofErr w:type="spellStart"/>
      <w:r w:rsidRPr="00554C0F">
        <w:rPr>
          <w:rFonts w:ascii="Arial" w:eastAsia="Arial" w:hAnsi="Arial" w:cs="Arial"/>
          <w:bCs/>
          <w:sz w:val="22"/>
          <w:lang w:val="es-ES"/>
        </w:rPr>
        <w:t>odos</w:t>
      </w:r>
      <w:proofErr w:type="spellEnd"/>
      <w:r w:rsidRPr="00554C0F">
        <w:rPr>
          <w:rFonts w:ascii="Arial" w:eastAsia="Arial" w:hAnsi="Arial" w:cs="Arial"/>
          <w:bCs/>
          <w:sz w:val="22"/>
          <w:lang w:val="es-ES"/>
        </w:rPr>
        <w:t xml:space="preserve"> aquellos requisitos de la oferta que afecten la asignación de puntaje, incluyendo los necesarios para acreditar requisitos de desempate, no son subsanables, </w:t>
      </w:r>
      <w:r>
        <w:rPr>
          <w:rFonts w:ascii="Arial" w:eastAsia="Arial" w:hAnsi="Arial" w:cs="Arial"/>
          <w:bCs/>
          <w:sz w:val="22"/>
          <w:lang w:val="es-ES"/>
        </w:rPr>
        <w:t>n</w:t>
      </w:r>
      <w:r w:rsidRPr="00554C0F">
        <w:rPr>
          <w:rFonts w:ascii="Arial" w:eastAsia="Arial" w:hAnsi="Arial" w:cs="Arial"/>
          <w:bCs/>
          <w:sz w:val="22"/>
          <w:lang w:val="es-ES"/>
        </w:rPr>
        <w:t>o obstante, pueden ser aclarados o ser objeto de explicación</w:t>
      </w:r>
      <w:r>
        <w:rPr>
          <w:rFonts w:ascii="Arial" w:eastAsia="Arial" w:hAnsi="Arial" w:cs="Arial"/>
          <w:bCs/>
          <w:sz w:val="22"/>
          <w:lang w:val="es-ES"/>
        </w:rPr>
        <w:t>.</w:t>
      </w:r>
    </w:p>
    <w:p w14:paraId="5B70E2F6" w14:textId="2E11EB70" w:rsidR="006A01DD" w:rsidRPr="0051623D" w:rsidRDefault="006A01DD" w:rsidP="00802EB9">
      <w:pPr>
        <w:pStyle w:val="Default"/>
        <w:ind w:right="709"/>
        <w:jc w:val="both"/>
        <w:rPr>
          <w:bCs/>
          <w:sz w:val="21"/>
          <w:szCs w:val="21"/>
          <w:lang w:val="es-MX"/>
        </w:rPr>
      </w:pPr>
    </w:p>
    <w:p w14:paraId="1A44042C" w14:textId="77777777" w:rsidR="006A01DD" w:rsidRPr="0045129A" w:rsidRDefault="006A01DD" w:rsidP="00802EB9">
      <w:pPr>
        <w:spacing w:line="276" w:lineRule="auto"/>
        <w:jc w:val="both"/>
        <w:rPr>
          <w:rFonts w:ascii="Arial" w:eastAsia="Calibri" w:hAnsi="Arial" w:cs="Arial"/>
          <w:sz w:val="22"/>
        </w:rPr>
      </w:pPr>
      <w:r w:rsidRPr="0051623D">
        <w:rPr>
          <w:rFonts w:ascii="Arial" w:eastAsia="Calibri" w:hAnsi="Arial" w:cs="Arial"/>
          <w:sz w:val="22"/>
        </w:rPr>
        <w:t>Este concepto tiene el alcance previsto en el artículo 28 del</w:t>
      </w:r>
      <w:r w:rsidRPr="0045129A">
        <w:rPr>
          <w:rFonts w:ascii="Arial" w:eastAsia="Calibri" w:hAnsi="Arial" w:cs="Arial"/>
          <w:sz w:val="22"/>
        </w:rPr>
        <w:t xml:space="preserve"> Código de Procedimiento Administrativo y de lo Contencioso Administrativo.</w:t>
      </w:r>
    </w:p>
    <w:p w14:paraId="3E60D497" w14:textId="77777777" w:rsidR="006A01DD" w:rsidRPr="0045129A" w:rsidRDefault="006A01DD" w:rsidP="006A01DD">
      <w:pPr>
        <w:spacing w:line="276" w:lineRule="auto"/>
        <w:rPr>
          <w:rFonts w:ascii="Arial" w:hAnsi="Arial" w:cs="Arial"/>
          <w:lang w:eastAsia="es-CO"/>
        </w:rPr>
      </w:pPr>
      <w:bookmarkStart w:id="2" w:name="_Hlk50370367"/>
    </w:p>
    <w:bookmarkEnd w:id="2"/>
    <w:p w14:paraId="23C87F12" w14:textId="158B84CE" w:rsidR="006A01DD" w:rsidRDefault="006A01DD" w:rsidP="006A01D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24727D66" w14:textId="1E746481" w:rsidR="000E496F" w:rsidRDefault="000E496F" w:rsidP="006A01D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24065DA" w14:textId="7DA91B52" w:rsidR="000E496F" w:rsidRPr="005873AF" w:rsidRDefault="00235341" w:rsidP="00235341">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eastAsia="es-ES"/>
        </w:rPr>
        <w:drawing>
          <wp:inline distT="0" distB="0" distL="0" distR="0" wp14:anchorId="64E84124" wp14:editId="441B3A25">
            <wp:extent cx="2181396" cy="9604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stretch>
                      <a:fillRect/>
                    </a:stretch>
                  </pic:blipFill>
                  <pic:spPr>
                    <a:xfrm>
                      <a:off x="0" y="0"/>
                      <a:ext cx="2181396" cy="960465"/>
                    </a:xfrm>
                    <a:prstGeom prst="rect">
                      <a:avLst/>
                    </a:prstGeom>
                  </pic:spPr>
                </pic:pic>
              </a:graphicData>
            </a:graphic>
          </wp:inline>
        </w:drawing>
      </w:r>
    </w:p>
    <w:p w14:paraId="5DBFA3B0" w14:textId="7285A030" w:rsidR="006A01DD" w:rsidRPr="005873AF" w:rsidRDefault="006A01DD" w:rsidP="006A01DD">
      <w:pPr>
        <w:pStyle w:val="NormalWeb"/>
        <w:spacing w:before="0" w:beforeAutospacing="0" w:after="0" w:afterAutospacing="0" w:line="276" w:lineRule="auto"/>
        <w:jc w:val="center"/>
        <w:rPr>
          <w:color w:val="000000" w:themeColor="text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6A01DD" w:rsidRPr="005873AF" w14:paraId="73FF4653" w14:textId="77777777" w:rsidTr="00B1743F">
        <w:trPr>
          <w:trHeight w:val="315"/>
        </w:trPr>
        <w:tc>
          <w:tcPr>
            <w:tcW w:w="812" w:type="dxa"/>
            <w:vAlign w:val="center"/>
            <w:hideMark/>
          </w:tcPr>
          <w:p w14:paraId="1BF78216" w14:textId="77777777" w:rsidR="006A01DD" w:rsidRPr="005873AF" w:rsidRDefault="006A01DD" w:rsidP="00B1743F">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858" w:type="dxa"/>
            <w:tcBorders>
              <w:top w:val="nil"/>
              <w:left w:val="nil"/>
              <w:bottom w:val="dotted" w:sz="4" w:space="0" w:color="7F7F7F" w:themeColor="text1" w:themeTint="80"/>
              <w:right w:val="nil"/>
            </w:tcBorders>
            <w:vAlign w:val="center"/>
            <w:hideMark/>
          </w:tcPr>
          <w:p w14:paraId="01465618" w14:textId="77777777" w:rsidR="006A01DD" w:rsidRPr="00E21A8A" w:rsidRDefault="006A01DD" w:rsidP="00B1743F">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 xml:space="preserve">Guillermo Escolar Flórez </w:t>
            </w:r>
          </w:p>
          <w:p w14:paraId="026190DE" w14:textId="77777777" w:rsidR="006A01DD" w:rsidRPr="00E21A8A" w:rsidRDefault="006A01DD" w:rsidP="00B1743F">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Contratista de la Subdirección de Gestión Contractual</w:t>
            </w:r>
          </w:p>
        </w:tc>
      </w:tr>
      <w:tr w:rsidR="006A01DD" w:rsidRPr="005873AF" w14:paraId="1FE999A5" w14:textId="77777777" w:rsidTr="00B1743F">
        <w:trPr>
          <w:trHeight w:val="330"/>
        </w:trPr>
        <w:tc>
          <w:tcPr>
            <w:tcW w:w="812" w:type="dxa"/>
            <w:vAlign w:val="center"/>
            <w:hideMark/>
          </w:tcPr>
          <w:p w14:paraId="2339D3E7" w14:textId="77777777" w:rsidR="006A01DD" w:rsidRPr="005873AF" w:rsidRDefault="006A01DD" w:rsidP="00B1743F">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7C8305E1" w14:textId="24AAE3E8" w:rsidR="006A01DD" w:rsidRPr="00E21A8A" w:rsidRDefault="0051623D" w:rsidP="00B1743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49857516" w14:textId="77777777" w:rsidR="006A01DD" w:rsidRPr="00E21A8A" w:rsidRDefault="006A01DD" w:rsidP="00B1743F">
            <w:pPr>
              <w:jc w:val="both"/>
              <w:rPr>
                <w:rFonts w:ascii="Arial" w:hAnsi="Arial" w:cs="Arial"/>
                <w:color w:val="000000" w:themeColor="text1"/>
                <w:sz w:val="16"/>
                <w:szCs w:val="16"/>
                <w:highlight w:val="yellow"/>
                <w:lang w:val="es-ES_tradnl" w:eastAsia="es-ES"/>
              </w:rPr>
            </w:pPr>
            <w:r w:rsidRPr="00E21A8A">
              <w:rPr>
                <w:rFonts w:ascii="Arial" w:hAnsi="Arial" w:cs="Arial"/>
                <w:color w:val="000000" w:themeColor="text1"/>
                <w:sz w:val="16"/>
                <w:szCs w:val="16"/>
                <w:lang w:val="es-ES_tradnl" w:eastAsia="es-ES"/>
              </w:rPr>
              <w:t xml:space="preserve">Gestor T1-15 de la de la Subdirección de Gestión Contractual  </w:t>
            </w:r>
          </w:p>
        </w:tc>
      </w:tr>
      <w:tr w:rsidR="006A01DD" w:rsidRPr="006A6B87" w14:paraId="5EC124A6" w14:textId="77777777" w:rsidTr="00B1743F">
        <w:trPr>
          <w:trHeight w:val="300"/>
        </w:trPr>
        <w:tc>
          <w:tcPr>
            <w:tcW w:w="812" w:type="dxa"/>
            <w:vAlign w:val="center"/>
            <w:hideMark/>
          </w:tcPr>
          <w:p w14:paraId="5FB821CF" w14:textId="77777777" w:rsidR="006A01DD" w:rsidRPr="005873AF" w:rsidRDefault="006A01DD" w:rsidP="00B1743F">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35F5FE5B" w14:textId="27C1A93B" w:rsidR="006A01DD" w:rsidRPr="00E21A8A" w:rsidRDefault="000E496F" w:rsidP="00B1743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Jorge Augusto Tirado Navarro</w:t>
            </w:r>
          </w:p>
          <w:p w14:paraId="392BC213" w14:textId="218C7CDB" w:rsidR="006A01DD" w:rsidRPr="00E21A8A" w:rsidRDefault="006D2391" w:rsidP="00B1743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Director General de la</w:t>
            </w:r>
            <w:r w:rsidR="006A01DD" w:rsidRPr="00E21A8A">
              <w:rPr>
                <w:rFonts w:ascii="Arial" w:hAnsi="Arial" w:cs="Arial"/>
                <w:color w:val="000000" w:themeColor="text1"/>
                <w:sz w:val="16"/>
                <w:szCs w:val="16"/>
                <w:lang w:val="es-ES_tradnl" w:eastAsia="es-ES"/>
              </w:rPr>
              <w:t xml:space="preserve"> </w:t>
            </w:r>
            <w:proofErr w:type="spellStart"/>
            <w:r w:rsidR="006A01DD" w:rsidRPr="00E21A8A">
              <w:rPr>
                <w:rFonts w:ascii="Arial" w:hAnsi="Arial" w:cs="Arial"/>
                <w:color w:val="000000" w:themeColor="text1"/>
                <w:sz w:val="16"/>
                <w:szCs w:val="16"/>
                <w:lang w:val="es-ES_tradnl" w:eastAsia="es-ES"/>
              </w:rPr>
              <w:t>ANCP</w:t>
            </w:r>
            <w:proofErr w:type="spellEnd"/>
            <w:r w:rsidR="006A01DD" w:rsidRPr="00E21A8A">
              <w:rPr>
                <w:rFonts w:ascii="Arial" w:hAnsi="Arial" w:cs="Arial"/>
                <w:color w:val="000000" w:themeColor="text1"/>
                <w:sz w:val="16"/>
                <w:szCs w:val="16"/>
                <w:lang w:val="es-ES_tradnl" w:eastAsia="es-ES"/>
              </w:rPr>
              <w:t xml:space="preserve"> – </w:t>
            </w:r>
            <w:proofErr w:type="spellStart"/>
            <w:r w:rsidR="006A01DD" w:rsidRPr="00E21A8A">
              <w:rPr>
                <w:rFonts w:ascii="Arial" w:hAnsi="Arial" w:cs="Arial"/>
                <w:color w:val="000000" w:themeColor="text1"/>
                <w:sz w:val="16"/>
                <w:szCs w:val="16"/>
                <w:lang w:val="es-ES_tradnl" w:eastAsia="es-ES"/>
              </w:rPr>
              <w:t>CCE</w:t>
            </w:r>
            <w:proofErr w:type="spellEnd"/>
            <w:r w:rsidR="006A01DD" w:rsidRPr="00E21A8A">
              <w:rPr>
                <w:rFonts w:ascii="Arial" w:hAnsi="Arial" w:cs="Arial"/>
                <w:color w:val="000000" w:themeColor="text1"/>
                <w:sz w:val="16"/>
                <w:szCs w:val="16"/>
                <w:lang w:val="es-ES_tradnl" w:eastAsia="es-ES"/>
              </w:rPr>
              <w:t xml:space="preserve"> (E)</w:t>
            </w:r>
          </w:p>
        </w:tc>
      </w:tr>
    </w:tbl>
    <w:p w14:paraId="32A7D4AA" w14:textId="77777777" w:rsidR="006A01DD" w:rsidRPr="002B79DC" w:rsidRDefault="006A01DD" w:rsidP="006A01DD">
      <w:pPr>
        <w:spacing w:line="276" w:lineRule="auto"/>
        <w:rPr>
          <w:rFonts w:ascii="Arial" w:hAnsi="Arial" w:cs="Arial"/>
          <w:sz w:val="14"/>
          <w:szCs w:val="14"/>
        </w:rPr>
      </w:pPr>
    </w:p>
    <w:p w14:paraId="0081E2F6" w14:textId="77777777" w:rsidR="006A01DD" w:rsidRPr="00F14E00" w:rsidRDefault="006A01DD" w:rsidP="003D2167">
      <w:pPr>
        <w:pStyle w:val="Default"/>
        <w:ind w:right="709"/>
        <w:jc w:val="both"/>
        <w:rPr>
          <w:bCs/>
          <w:sz w:val="21"/>
          <w:szCs w:val="21"/>
          <w:lang w:val="es-MX"/>
        </w:rPr>
      </w:pPr>
    </w:p>
    <w:sectPr w:rsidR="006A01DD" w:rsidRPr="00F14E00"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C5AC" w14:textId="77777777" w:rsidR="004240BB" w:rsidRDefault="004240BB">
      <w:r>
        <w:separator/>
      </w:r>
    </w:p>
  </w:endnote>
  <w:endnote w:type="continuationSeparator" w:id="0">
    <w:p w14:paraId="556BC023" w14:textId="77777777" w:rsidR="004240BB" w:rsidRDefault="0042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F14E00" w:rsidRDefault="00F14E00" w:rsidP="00B6444C">
    <w:pPr>
      <w:pStyle w:val="Sinespaciado"/>
      <w:rPr>
        <w:rFonts w:ascii="Arial" w:hAnsi="Arial" w:cs="Arial"/>
        <w:sz w:val="18"/>
        <w:szCs w:val="18"/>
      </w:rPr>
    </w:pPr>
  </w:p>
  <w:p w14:paraId="53DF6B5B" w14:textId="77777777" w:rsidR="00F14E00" w:rsidRDefault="00F14E00" w:rsidP="00B6444C">
    <w:pPr>
      <w:pStyle w:val="Sinespaciado"/>
      <w:rPr>
        <w:rFonts w:ascii="Arial" w:hAnsi="Arial" w:cs="Arial"/>
        <w:sz w:val="18"/>
        <w:szCs w:val="18"/>
      </w:rPr>
    </w:pPr>
  </w:p>
  <w:p w14:paraId="312C4A14" w14:textId="5192B49B" w:rsidR="00F14E00" w:rsidRPr="005A79FE" w:rsidRDefault="00F14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F396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F396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4A5E79D2" w:rsidR="00F14E00" w:rsidRDefault="00F14E00"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F14E00" w:rsidRDefault="00F14E00" w:rsidP="007B0854">
    <w:pPr>
      <w:pStyle w:val="Piedepgina"/>
      <w:jc w:val="center"/>
      <w:rPr>
        <w:lang w:val="es-ES"/>
      </w:rPr>
    </w:pPr>
  </w:p>
  <w:p w14:paraId="645768A8" w14:textId="77777777" w:rsidR="00F14E00" w:rsidRPr="007B0854" w:rsidRDefault="00F14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F75C" w14:textId="77777777" w:rsidR="004240BB" w:rsidRDefault="004240BB">
      <w:r>
        <w:separator/>
      </w:r>
    </w:p>
  </w:footnote>
  <w:footnote w:type="continuationSeparator" w:id="0">
    <w:p w14:paraId="781B19CE" w14:textId="77777777" w:rsidR="004240BB" w:rsidRDefault="004240BB">
      <w:r>
        <w:continuationSeparator/>
      </w:r>
    </w:p>
  </w:footnote>
  <w:footnote w:id="1">
    <w:p w14:paraId="36A180EA" w14:textId="77777777" w:rsidR="002F436E" w:rsidRDefault="002F436E" w:rsidP="002F436E">
      <w:pPr>
        <w:pStyle w:val="Textonotapie"/>
        <w:ind w:firstLine="708"/>
        <w:rPr>
          <w:rFonts w:ascii="Arial" w:hAnsi="Arial" w:cs="Arial"/>
          <w:sz w:val="19"/>
          <w:szCs w:val="19"/>
        </w:rPr>
      </w:pPr>
      <w:r w:rsidRPr="002F436E">
        <w:rPr>
          <w:rStyle w:val="Refdenotaalpie"/>
          <w:rFonts w:ascii="Arial" w:hAnsi="Arial" w:cs="Arial"/>
          <w:sz w:val="19"/>
          <w:szCs w:val="19"/>
        </w:rPr>
        <w:footnoteRef/>
      </w:r>
      <w:r w:rsidRPr="002F436E">
        <w:rPr>
          <w:rFonts w:ascii="Arial" w:hAnsi="Arial" w:cs="Arial"/>
          <w:sz w:val="19"/>
          <w:szCs w:val="19"/>
        </w:rPr>
        <w:t xml:space="preserve"> Estos conceptos pueden ser consultados en la relatoría de la Agencia Nacional de Contratación Públilca- Colombia Compra Eficiente en el siguiente enlace:</w:t>
      </w:r>
      <w:r>
        <w:rPr>
          <w:rFonts w:ascii="Arial" w:hAnsi="Arial" w:cs="Arial"/>
          <w:sz w:val="19"/>
          <w:szCs w:val="19"/>
        </w:rPr>
        <w:t xml:space="preserve"> </w:t>
      </w:r>
    </w:p>
    <w:p w14:paraId="7DBB33FE" w14:textId="713FC626" w:rsidR="002F436E" w:rsidRDefault="00B87BF8" w:rsidP="002F436E">
      <w:pPr>
        <w:pStyle w:val="Textonotapie"/>
        <w:rPr>
          <w:rFonts w:ascii="Arial" w:hAnsi="Arial" w:cs="Arial"/>
          <w:color w:val="000000" w:themeColor="text1"/>
          <w:sz w:val="19"/>
          <w:szCs w:val="19"/>
          <w:lang w:val="es-ES"/>
        </w:rPr>
      </w:pPr>
      <w:hyperlink r:id="rId1" w:history="1">
        <w:r w:rsidR="002F436E" w:rsidRPr="002F436E">
          <w:rPr>
            <w:rStyle w:val="Hipervnculo"/>
            <w:rFonts w:ascii="Arial" w:hAnsi="Arial" w:cs="Arial"/>
            <w:color w:val="auto"/>
            <w:sz w:val="19"/>
            <w:szCs w:val="19"/>
            <w:lang w:val="es-ES"/>
          </w:rPr>
          <w:t>http://relatoria.colombiacompra.gov.co/busqueda/conceptos</w:t>
        </w:r>
      </w:hyperlink>
    </w:p>
    <w:p w14:paraId="027524A5" w14:textId="77777777" w:rsidR="002F436E" w:rsidRPr="002F436E" w:rsidRDefault="002F436E" w:rsidP="002F436E">
      <w:pPr>
        <w:pStyle w:val="Textonotapie"/>
        <w:ind w:firstLine="708"/>
        <w:rPr>
          <w:rFonts w:ascii="Arial" w:hAnsi="Arial" w:cs="Arial"/>
          <w:sz w:val="19"/>
          <w:szCs w:val="19"/>
        </w:rPr>
      </w:pPr>
    </w:p>
  </w:footnote>
  <w:footnote w:id="2">
    <w:p w14:paraId="6513D2F9" w14:textId="77777777" w:rsidR="00F14E00" w:rsidRPr="005A14E0" w:rsidRDefault="00F14E00" w:rsidP="00526831">
      <w:pPr>
        <w:pStyle w:val="Textonotapie"/>
        <w:ind w:firstLine="709"/>
        <w:jc w:val="both"/>
        <w:rPr>
          <w:rFonts w:ascii="Arial" w:eastAsia="Times New Roman"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eastAsia="Times New Roman" w:hAnsi="Arial" w:cs="Arial"/>
          <w:sz w:val="18"/>
          <w:szCs w:val="18"/>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4919018" w14:textId="77777777" w:rsidR="00F14E00" w:rsidRPr="005A14E0" w:rsidRDefault="00F14E00" w:rsidP="00526831">
      <w:pPr>
        <w:pStyle w:val="Textonotapie"/>
        <w:ind w:firstLine="709"/>
        <w:jc w:val="both"/>
        <w:rPr>
          <w:rFonts w:ascii="Arial" w:hAnsi="Arial" w:cs="Arial"/>
          <w:sz w:val="18"/>
          <w:szCs w:val="18"/>
        </w:rPr>
      </w:pPr>
    </w:p>
  </w:footnote>
  <w:footnote w:id="3">
    <w:p w14:paraId="1F51C94E" w14:textId="77777777" w:rsidR="00F14E00" w:rsidRPr="005A14E0" w:rsidRDefault="00F14E00" w:rsidP="00526831">
      <w:pPr>
        <w:pStyle w:val="Textonotapie"/>
        <w:ind w:firstLine="709"/>
        <w:jc w:val="both"/>
        <w:rPr>
          <w:rFonts w:ascii="Arial" w:eastAsia="Times New Roman"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eastAsia="Times New Roman" w:hAnsi="Arial" w:cs="Arial"/>
          <w:sz w:val="18"/>
          <w:szCs w:val="18"/>
          <w:bdr w:val="none" w:sz="0" w:space="0" w:color="auto" w:frame="1"/>
          <w:lang w:eastAsia="es-CO"/>
        </w:rPr>
        <w:t>Diario Oficial. Gaceta del Congreso 458 de 2005.  </w:t>
      </w:r>
    </w:p>
    <w:p w14:paraId="1FA46DFC" w14:textId="77777777" w:rsidR="00F14E00" w:rsidRPr="005A14E0" w:rsidRDefault="00F14E00" w:rsidP="00526831">
      <w:pPr>
        <w:pStyle w:val="Textonotapie"/>
        <w:ind w:firstLine="709"/>
        <w:jc w:val="both"/>
        <w:rPr>
          <w:rFonts w:ascii="Arial" w:hAnsi="Arial" w:cs="Arial"/>
          <w:sz w:val="18"/>
          <w:szCs w:val="18"/>
        </w:rPr>
      </w:pPr>
    </w:p>
  </w:footnote>
  <w:footnote w:id="4">
    <w:p w14:paraId="021C1C51" w14:textId="77777777" w:rsidR="00F14E00" w:rsidRPr="005A14E0" w:rsidRDefault="00F14E00" w:rsidP="00526831">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Ibídem.  </w:t>
      </w:r>
    </w:p>
    <w:p w14:paraId="0B76F2A5" w14:textId="77777777" w:rsidR="00F14E00" w:rsidRPr="005A14E0" w:rsidRDefault="00F14E00" w:rsidP="00526831">
      <w:pPr>
        <w:pStyle w:val="Textonotapie"/>
        <w:ind w:firstLine="709"/>
        <w:jc w:val="both"/>
        <w:rPr>
          <w:rFonts w:ascii="Arial" w:hAnsi="Arial" w:cs="Arial"/>
          <w:sz w:val="18"/>
          <w:szCs w:val="18"/>
        </w:rPr>
      </w:pPr>
    </w:p>
  </w:footnote>
  <w:footnote w:id="5">
    <w:p w14:paraId="6D4765A7" w14:textId="77777777" w:rsidR="00F14E00" w:rsidRPr="005A14E0" w:rsidRDefault="00F14E00" w:rsidP="00F14E00">
      <w:pPr>
        <w:shd w:val="clear" w:color="auto" w:fill="FFFFFF"/>
        <w:ind w:firstLine="709"/>
        <w:jc w:val="both"/>
        <w:textAlignment w:val="baseline"/>
        <w:rPr>
          <w:rFonts w:ascii="Arial"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bdr w:val="none" w:sz="0" w:space="0" w:color="auto" w:frame="1"/>
          <w:lang w:eastAsia="es-CO"/>
        </w:rPr>
        <w:t>Diario Oficial. Gaceta del Congreso 416 de 2007, Informe de Conciliación Senado. </w:t>
      </w:r>
    </w:p>
    <w:p w14:paraId="6713B3F6"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p>
  </w:footnote>
  <w:footnote w:id="6">
    <w:p w14:paraId="79EBE278"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95C0A54"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B0538B9"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25DBC84"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115ED58"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13F1733" w14:textId="77777777" w:rsidR="00F14E00" w:rsidRPr="005A14E0" w:rsidRDefault="00F14E00" w:rsidP="00F14E00">
      <w:pPr>
        <w:pStyle w:val="Textonotapie"/>
        <w:ind w:firstLine="709"/>
        <w:jc w:val="both"/>
        <w:rPr>
          <w:rFonts w:ascii="Arial" w:hAnsi="Arial" w:cs="Arial"/>
          <w:sz w:val="18"/>
          <w:szCs w:val="18"/>
        </w:rPr>
      </w:pPr>
    </w:p>
  </w:footnote>
  <w:footnote w:id="7">
    <w:p w14:paraId="5BEABECC" w14:textId="77777777" w:rsidR="00992278" w:rsidRPr="00B67585" w:rsidRDefault="00992278" w:rsidP="00992278">
      <w:pPr>
        <w:pStyle w:val="Textonotapie"/>
        <w:rPr>
          <w:rFonts w:ascii="Arial" w:hAnsi="Arial" w:cs="Arial"/>
          <w:sz w:val="19"/>
          <w:szCs w:val="19"/>
          <w:lang w:val="es-ES"/>
        </w:rPr>
      </w:pPr>
      <w:r w:rsidRPr="00B67585">
        <w:rPr>
          <w:rStyle w:val="Refdenotaalpie"/>
          <w:rFonts w:ascii="Arial" w:hAnsi="Arial" w:cs="Arial"/>
          <w:sz w:val="19"/>
          <w:szCs w:val="19"/>
        </w:rPr>
        <w:footnoteRef/>
      </w:r>
      <w:r w:rsidRPr="00B67585">
        <w:rPr>
          <w:rFonts w:ascii="Arial" w:hAnsi="Arial" w:cs="Arial"/>
          <w:sz w:val="19"/>
          <w:szCs w:val="19"/>
        </w:rPr>
        <w:t xml:space="preserve"> </w:t>
      </w:r>
      <w:r>
        <w:rPr>
          <w:rFonts w:ascii="Arial" w:hAnsi="Arial" w:cs="Arial"/>
          <w:sz w:val="19"/>
          <w:szCs w:val="19"/>
        </w:rPr>
        <w:t xml:space="preserve">Modificada por las Resoluciones No. 161 de 2020 y 146 de 2022. </w:t>
      </w:r>
    </w:p>
  </w:footnote>
  <w:footnote w:id="8">
    <w:p w14:paraId="2EC96ACD" w14:textId="6E86BFC6" w:rsidR="00F14E00" w:rsidRPr="00DA5414" w:rsidRDefault="00F14E00" w:rsidP="00526831">
      <w:pPr>
        <w:pStyle w:val="Textonotapie"/>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 xml:space="preserve">En cuanto a las resoluciones vigentes, dicha regla se observa en el artículo 3 de las Resoluciones </w:t>
      </w:r>
      <w:bookmarkStart w:id="0" w:name="_Hlk82363077"/>
      <w:r w:rsidRPr="00D035F8">
        <w:rPr>
          <w:rFonts w:ascii="Arial" w:hAnsi="Arial" w:cs="Arial"/>
          <w:sz w:val="18"/>
          <w:szCs w:val="18"/>
          <w:lang w:val="es-ES"/>
        </w:rPr>
        <w:t xml:space="preserve">240 de 2020, 241 de 2020, 248 de 2020, 249 de 2020, 269 de 2020, 219 de 2021, 392 de 2021, 454 de 2021, entre otras, así como lo dispuesto en el </w:t>
      </w:r>
      <w:r w:rsidRPr="00992278">
        <w:rPr>
          <w:rFonts w:ascii="Arial" w:hAnsi="Arial" w:cs="Arial"/>
          <w:sz w:val="18"/>
          <w:szCs w:val="18"/>
          <w:lang w:val="es-ES"/>
        </w:rPr>
        <w:t>artículo 2 de la Resolución 094 de 2020</w:t>
      </w:r>
      <w:bookmarkEnd w:id="0"/>
      <w:r w:rsidRPr="00992278">
        <w:rPr>
          <w:rFonts w:ascii="Arial" w:hAnsi="Arial" w:cs="Arial"/>
          <w:sz w:val="18"/>
          <w:szCs w:val="18"/>
          <w:lang w:val="es-ES"/>
        </w:rPr>
        <w:t>.</w:t>
      </w:r>
    </w:p>
    <w:p w14:paraId="00130F39" w14:textId="77777777" w:rsidR="00F14E00" w:rsidRPr="005A14E0" w:rsidRDefault="00F14E00" w:rsidP="00526831">
      <w:pPr>
        <w:pStyle w:val="Textonotapie"/>
        <w:ind w:firstLine="709"/>
        <w:jc w:val="both"/>
        <w:rPr>
          <w:rFonts w:ascii="Arial" w:hAnsi="Arial" w:cs="Arial"/>
          <w:sz w:val="18"/>
          <w:szCs w:val="18"/>
          <w:lang w:val="es-ES"/>
        </w:rPr>
      </w:pPr>
    </w:p>
  </w:footnote>
  <w:footnote w:id="9">
    <w:p w14:paraId="685B67BC" w14:textId="4A30E13B" w:rsidR="00F14E00" w:rsidRPr="005A14E0" w:rsidRDefault="00F14E00" w:rsidP="00F14E00">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En torno a las potestades regladas, García de Enterría y Fernández manifiestan: «El ejercicio de las ptestades regladas reduce a la Administración a la constatación (accertamento, en el expresivo concepto italiano) del</w:t>
      </w:r>
      <w:r w:rsidRPr="00DA5414">
        <w:rPr>
          <w:rFonts w:ascii="Arial" w:hAnsi="Arial" w:cs="Arial"/>
          <w:sz w:val="18"/>
          <w:szCs w:val="18"/>
        </w:rPr>
        <w:t xml:space="preserve"> supuesto de hecho legalmente definido de manera completa y aplicar en presenci</w:t>
      </w:r>
      <w:r w:rsidRPr="005A14E0">
        <w:rPr>
          <w:rFonts w:ascii="Arial" w:hAnsi="Arial" w:cs="Arial"/>
          <w:sz w:val="18"/>
          <w:szCs w:val="18"/>
        </w:rPr>
        <w:t>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w:t>
      </w:r>
      <w:r>
        <w:rPr>
          <w:rFonts w:ascii="Arial" w:hAnsi="Arial" w:cs="Arial"/>
          <w:sz w:val="18"/>
          <w:szCs w:val="18"/>
        </w:rPr>
        <w:t>á</w:t>
      </w:r>
      <w:r w:rsidRPr="005A14E0">
        <w:rPr>
          <w:rFonts w:ascii="Arial" w:hAnsi="Arial" w:cs="Arial"/>
          <w:sz w:val="18"/>
          <w:szCs w:val="18"/>
        </w:rPr>
        <w:t>s</w:t>
      </w:r>
      <w:r>
        <w:rPr>
          <w:rFonts w:ascii="Arial" w:hAnsi="Arial" w:cs="Arial"/>
          <w:sz w:val="18"/>
          <w:szCs w:val="18"/>
        </w:rPr>
        <w:t>-Ramón</w:t>
      </w:r>
      <w:r w:rsidRPr="005A14E0">
        <w:rPr>
          <w:rFonts w:ascii="Arial" w:hAnsi="Arial" w:cs="Arial"/>
          <w:sz w:val="18"/>
          <w:szCs w:val="18"/>
        </w:rPr>
        <w:t>. Curso de derecho administrativo. Tomo I. Madrid: Civitas, 1997. pp. 444-445)</w:t>
      </w:r>
    </w:p>
    <w:p w14:paraId="0C05B834" w14:textId="77777777" w:rsidR="00F14E00" w:rsidRPr="005A14E0" w:rsidRDefault="00F14E00" w:rsidP="00F14E00">
      <w:pPr>
        <w:pStyle w:val="Textonotapie"/>
        <w:ind w:firstLine="709"/>
        <w:jc w:val="both"/>
        <w:rPr>
          <w:rFonts w:ascii="Arial" w:hAnsi="Arial" w:cs="Arial"/>
          <w:sz w:val="18"/>
          <w:szCs w:val="18"/>
        </w:rPr>
      </w:pPr>
    </w:p>
  </w:footnote>
  <w:footnote w:id="10">
    <w:p w14:paraId="763B9B87" w14:textId="77777777" w:rsidR="00F14E00" w:rsidRPr="00DA5414" w:rsidRDefault="00F14E00" w:rsidP="00526831">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w:t>
      </w:r>
      <w:r w:rsidRPr="00DA5414">
        <w:rPr>
          <w:rFonts w:ascii="Arial" w:hAnsi="Arial" w:cs="Arial"/>
          <w:sz w:val="18"/>
          <w:szCs w:val="18"/>
        </w:rPr>
        <w:t>oficioso a las actuaciones».</w:t>
      </w:r>
    </w:p>
    <w:p w14:paraId="67CA6F1F" w14:textId="77777777" w:rsidR="00F14E00" w:rsidRPr="005A14E0" w:rsidRDefault="00F14E00" w:rsidP="00526831">
      <w:pPr>
        <w:pStyle w:val="Textonotapie"/>
        <w:ind w:firstLine="709"/>
        <w:jc w:val="both"/>
        <w:rPr>
          <w:rFonts w:ascii="Arial" w:hAnsi="Arial" w:cs="Arial"/>
          <w:sz w:val="18"/>
          <w:szCs w:val="18"/>
        </w:rPr>
      </w:pPr>
    </w:p>
  </w:footnote>
  <w:footnote w:id="11">
    <w:p w14:paraId="5C15E116" w14:textId="77777777" w:rsidR="00F14E00" w:rsidRPr="005A14E0" w:rsidRDefault="00F14E00" w:rsidP="00526831">
      <w:pPr>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w:t>
      </w:r>
      <w:r w:rsidRPr="00DA5414">
        <w:rPr>
          <w:rFonts w:ascii="Arial" w:hAnsi="Arial" w:cs="Arial"/>
          <w:sz w:val="18"/>
          <w:szCs w:val="18"/>
          <w:lang w:val="es-ES"/>
        </w:rPr>
        <w:t>on la menor cantidad de gastos de quienes intervienen en ellos; las autoridades</w:t>
      </w:r>
      <w:r w:rsidRPr="005A14E0">
        <w:rPr>
          <w:rFonts w:ascii="Arial" w:hAnsi="Arial" w:cs="Arial"/>
          <w:sz w:val="18"/>
          <w:szCs w:val="18"/>
          <w:lang w:val="es-ES"/>
        </w:rPr>
        <w:t xml:space="preserve">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E68E740" w14:textId="77777777" w:rsidR="00F14E00" w:rsidRPr="005A14E0" w:rsidRDefault="00F14E00" w:rsidP="00526831">
      <w:pPr>
        <w:ind w:firstLine="709"/>
        <w:jc w:val="both"/>
        <w:rPr>
          <w:rFonts w:ascii="Arial" w:hAnsi="Arial" w:cs="Arial"/>
          <w:sz w:val="18"/>
          <w:szCs w:val="18"/>
          <w:lang w:val="es-ES"/>
        </w:rPr>
      </w:pPr>
    </w:p>
  </w:footnote>
  <w:footnote w:id="12">
    <w:p w14:paraId="5FA6E4B3" w14:textId="7454B6D3" w:rsidR="003D5728" w:rsidRPr="00331208" w:rsidRDefault="003D5728" w:rsidP="003D5728">
      <w:pPr>
        <w:pStyle w:val="Textonotapie"/>
        <w:ind w:firstLine="708"/>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Cfr. conceptos C-218 de 2020, C-267 de 2020, C-283 de 2020, C-307 de 2020, C-365 de 2020, C-391 de 2020, C-675 de 2020, C-683 de 202</w:t>
      </w:r>
      <w:r>
        <w:rPr>
          <w:rFonts w:ascii="Arial" w:hAnsi="Arial" w:cs="Arial"/>
          <w:color w:val="000000" w:themeColor="text1"/>
          <w:sz w:val="19"/>
          <w:szCs w:val="19"/>
          <w:lang w:val="es-ES"/>
        </w:rPr>
        <w:t xml:space="preserve">0, C-730 de 2020, </w:t>
      </w:r>
      <w:r w:rsidRPr="00331208">
        <w:rPr>
          <w:rFonts w:ascii="Arial" w:hAnsi="Arial" w:cs="Arial"/>
          <w:color w:val="000000" w:themeColor="text1"/>
          <w:sz w:val="19"/>
          <w:szCs w:val="19"/>
          <w:lang w:val="es-ES"/>
        </w:rPr>
        <w:t xml:space="preserve"> C-779 de 2020</w:t>
      </w:r>
      <w:r>
        <w:rPr>
          <w:rFonts w:ascii="Arial" w:hAnsi="Arial" w:cs="Arial"/>
          <w:color w:val="000000" w:themeColor="text1"/>
          <w:sz w:val="19"/>
          <w:szCs w:val="19"/>
          <w:lang w:val="es-ES"/>
        </w:rPr>
        <w:t xml:space="preserve"> y C-178 del 12 de abril de 2022</w:t>
      </w:r>
      <w:r w:rsidRPr="00331208">
        <w:rPr>
          <w:rFonts w:ascii="Arial" w:hAnsi="Arial" w:cs="Arial"/>
          <w:color w:val="000000" w:themeColor="text1"/>
          <w:sz w:val="19"/>
          <w:szCs w:val="19"/>
          <w:lang w:val="es-ES"/>
        </w:rPr>
        <w:t>. Los conceptos expedidos por la Agencia pueden consultarse en</w:t>
      </w:r>
      <w:r>
        <w:rPr>
          <w:rFonts w:ascii="Arial" w:hAnsi="Arial" w:cs="Arial"/>
          <w:color w:val="000000" w:themeColor="text1"/>
          <w:sz w:val="19"/>
          <w:szCs w:val="19"/>
          <w:lang w:val="es-ES"/>
        </w:rPr>
        <w:t xml:space="preserve"> la relatoría de la entidad</w:t>
      </w:r>
      <w:r w:rsidRPr="00331208">
        <w:rPr>
          <w:rFonts w:ascii="Arial" w:hAnsi="Arial" w:cs="Arial"/>
          <w:color w:val="000000" w:themeColor="text1"/>
          <w:sz w:val="19"/>
          <w:szCs w:val="19"/>
          <w:lang w:val="es-ES"/>
        </w:rPr>
        <w:t xml:space="preserve"> el siguiente link: http://relatoria.colombiacompra.gov.co/busqueda/conceptos.</w:t>
      </w:r>
    </w:p>
    <w:p w14:paraId="20A093C0" w14:textId="77777777" w:rsidR="003D5728" w:rsidRPr="00331208" w:rsidRDefault="003D5728" w:rsidP="003D5728">
      <w:pPr>
        <w:pStyle w:val="Textonotapie"/>
        <w:ind w:firstLine="708"/>
        <w:jc w:val="both"/>
        <w:rPr>
          <w:rFonts w:ascii="Arial" w:hAnsi="Arial" w:cs="Arial"/>
          <w:color w:val="000000" w:themeColor="text1"/>
          <w:sz w:val="19"/>
          <w:szCs w:val="19"/>
          <w:lang w:val="es-CO"/>
        </w:rPr>
      </w:pPr>
    </w:p>
  </w:footnote>
  <w:footnote w:id="13">
    <w:p w14:paraId="369F313E" w14:textId="77777777" w:rsidR="00DF4B95" w:rsidRPr="00846F03" w:rsidRDefault="00DF4B95" w:rsidP="00DF4B95">
      <w:pPr>
        <w:pStyle w:val="Textonotapie"/>
        <w:ind w:firstLine="708"/>
        <w:jc w:val="both"/>
        <w:rPr>
          <w:rFonts w:ascii="Arial" w:eastAsia="Times New Roman" w:hAnsi="Arial" w:cs="Arial"/>
          <w:sz w:val="18"/>
          <w:szCs w:val="18"/>
          <w:lang w:val="es-CO" w:eastAsia="es-CO"/>
        </w:rPr>
      </w:pPr>
      <w:r w:rsidRPr="00846F03">
        <w:rPr>
          <w:rStyle w:val="Refdenotaalpie"/>
          <w:rFonts w:ascii="Arial" w:hAnsi="Arial" w:cs="Arial"/>
          <w:sz w:val="18"/>
          <w:szCs w:val="18"/>
        </w:rPr>
        <w:footnoteRef/>
      </w:r>
      <w:r w:rsidRPr="00846F03">
        <w:rPr>
          <w:rFonts w:ascii="Arial" w:hAnsi="Arial" w:cs="Arial"/>
          <w:sz w:val="18"/>
          <w:szCs w:val="18"/>
        </w:rPr>
        <w:t xml:space="preserve"> </w:t>
      </w:r>
      <w:r w:rsidRPr="00846F03">
        <w:rPr>
          <w:rFonts w:ascii="Arial" w:eastAsia="Times New Roman" w:hAnsi="Arial" w:cs="Arial"/>
          <w:sz w:val="18"/>
          <w:szCs w:val="18"/>
          <w:lang w:val="es-CO" w:eastAsia="es-CO"/>
        </w:rPr>
        <w:t>Consejo de Estado. Sección Tercera. Sentencia del 27 de abril de 2011. Exp. 18.293. C.P. Ruth Stella Correa Palacio.</w:t>
      </w:r>
    </w:p>
    <w:p w14:paraId="1430EA66" w14:textId="77777777" w:rsidR="00DF4B95" w:rsidRPr="00846F03" w:rsidRDefault="00DF4B95" w:rsidP="00DF4B95">
      <w:pPr>
        <w:pStyle w:val="Textonotapie"/>
        <w:ind w:firstLine="708"/>
        <w:jc w:val="both"/>
        <w:rPr>
          <w:rFonts w:ascii="Arial" w:eastAsia="Calibri" w:hAnsi="Arial" w:cs="Arial"/>
          <w:sz w:val="18"/>
          <w:szCs w:val="18"/>
          <w:lang w:val="es-CO"/>
        </w:rPr>
      </w:pPr>
    </w:p>
  </w:footnote>
  <w:footnote w:id="14">
    <w:p w14:paraId="01CF5217" w14:textId="77777777" w:rsidR="00F14E00" w:rsidRPr="0010045F" w:rsidRDefault="00F14E00" w:rsidP="00F14E00">
      <w:pPr>
        <w:pStyle w:val="Textonotapie"/>
        <w:ind w:firstLine="709"/>
        <w:jc w:val="both"/>
        <w:rPr>
          <w:rFonts w:ascii="Arial" w:hAnsi="Arial" w:cs="Arial"/>
          <w:sz w:val="18"/>
          <w:szCs w:val="18"/>
          <w:lang w:val="es-ES"/>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10045F">
        <w:rPr>
          <w:rFonts w:ascii="Arial" w:hAnsi="Arial" w:cs="Arial"/>
          <w:sz w:val="18"/>
          <w:szCs w:val="18"/>
        </w:rPr>
        <w:t>CONSEJO DE ESTADO. Sección Tercera. Sentencia del 4 de junio de 2008. Exp. 17.783. C.P. Myriam Guerrero de Escobar.</w:t>
      </w:r>
    </w:p>
  </w:footnote>
  <w:footnote w:id="15">
    <w:p w14:paraId="7B83BE47" w14:textId="77777777" w:rsidR="00F14E00" w:rsidRPr="005A14E0" w:rsidRDefault="00F14E00" w:rsidP="00F14E00">
      <w:pPr>
        <w:pStyle w:val="Textonotapie"/>
        <w:ind w:firstLine="709"/>
        <w:jc w:val="both"/>
        <w:rPr>
          <w:rFonts w:ascii="Arial" w:hAnsi="Arial" w:cs="Arial"/>
          <w:sz w:val="18"/>
          <w:szCs w:val="18"/>
          <w:lang w:val="es-CO"/>
        </w:rPr>
      </w:pPr>
      <w:r w:rsidRPr="0010045F">
        <w:rPr>
          <w:rStyle w:val="Refdenotaalpie"/>
          <w:rFonts w:ascii="Arial" w:hAnsi="Arial" w:cs="Arial"/>
          <w:sz w:val="18"/>
          <w:szCs w:val="18"/>
        </w:rPr>
        <w:footnoteRef/>
      </w:r>
      <w:r w:rsidRPr="0010045F">
        <w:rPr>
          <w:rFonts w:ascii="Arial" w:hAnsi="Arial" w:cs="Arial"/>
          <w:sz w:val="18"/>
          <w:szCs w:val="18"/>
        </w:rPr>
        <w:t xml:space="preserve"> Cfr. </w:t>
      </w:r>
      <w:hyperlink r:id="rId2" w:history="1">
        <w:r w:rsidRPr="002603F3">
          <w:rPr>
            <w:rStyle w:val="Hipervnculo"/>
            <w:rFonts w:ascii="Arial" w:hAnsi="Arial" w:cs="Arial"/>
            <w:color w:val="auto"/>
            <w:sz w:val="18"/>
            <w:szCs w:val="18"/>
          </w:rPr>
          <w:t>https://colombiacompra.gov.co/sites/cce_public/files/cce_documents/guia_para_la_comprension_e_implementacion_de_los_documentos_tipo_obra_publica_de_infraestructura_transporte_-_cce-eicp-gi12.pdf</w:t>
        </w:r>
      </w:hyperlink>
      <w:r w:rsidRPr="0010045F">
        <w:rPr>
          <w:rFonts w:ascii="Arial" w:hAnsi="Arial" w:cs="Arial"/>
          <w:sz w:val="18"/>
          <w:szCs w:val="18"/>
        </w:rPr>
        <w:t xml:space="preserve">. </w:t>
      </w:r>
    </w:p>
  </w:footnote>
  <w:footnote w:id="16">
    <w:p w14:paraId="17DC64C8" w14:textId="11BA3D2E" w:rsidR="00066C3F" w:rsidRPr="004A183E" w:rsidRDefault="00066C3F" w:rsidP="004A183E">
      <w:pPr>
        <w:pStyle w:val="Textonotapie"/>
        <w:ind w:firstLine="708"/>
        <w:jc w:val="both"/>
        <w:rPr>
          <w:rFonts w:ascii="Arial" w:hAnsi="Arial" w:cs="Arial"/>
          <w:sz w:val="19"/>
          <w:szCs w:val="19"/>
          <w:lang w:val="es-ES"/>
        </w:rPr>
      </w:pPr>
      <w:r w:rsidRPr="004A183E">
        <w:rPr>
          <w:rStyle w:val="Refdenotaalpie"/>
          <w:rFonts w:ascii="Arial" w:hAnsi="Arial" w:cs="Arial"/>
          <w:sz w:val="19"/>
          <w:szCs w:val="19"/>
        </w:rPr>
        <w:footnoteRef/>
      </w:r>
      <w:r w:rsidRPr="004A183E">
        <w:rPr>
          <w:rFonts w:ascii="Arial" w:hAnsi="Arial" w:cs="Arial"/>
          <w:sz w:val="19"/>
          <w:szCs w:val="19"/>
        </w:rPr>
        <w:t xml:space="preserve"> </w:t>
      </w:r>
      <w:r w:rsidR="004A183E" w:rsidRPr="004A183E">
        <w:rPr>
          <w:rFonts w:ascii="Arial" w:hAnsi="Arial" w:cs="Arial"/>
          <w:sz w:val="19"/>
          <w:szCs w:val="19"/>
        </w:rPr>
        <w:t xml:space="preserve">En el caso de los Documentos tipo de obra de infraestructura de transporte de mínima cuantía, no se establece un Anexo 1- Anexo Técnico y estas causales de rechazo se encuentran en los literales X y Y del numeral 1.15 de la invitación pública.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F14E00" w:rsidRDefault="00F14E00">
    <w:pPr>
      <w:pStyle w:val="Encabezado"/>
    </w:pPr>
  </w:p>
  <w:p w14:paraId="6A4C7F2C" w14:textId="7D093DBB" w:rsidR="00F14E00" w:rsidRDefault="00F14E00">
    <w:pPr>
      <w:pStyle w:val="Encabezado"/>
    </w:pPr>
  </w:p>
  <w:p w14:paraId="055F2E1F" w14:textId="0B935ADD" w:rsidR="00F14E00" w:rsidRDefault="00F14E00">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14E00" w:rsidRDefault="00F14E00">
    <w:pPr>
      <w:pStyle w:val="Encabezado"/>
    </w:pPr>
  </w:p>
  <w:p w14:paraId="3D323BDB" w14:textId="04AF0DE6" w:rsidR="00F14E00" w:rsidRDefault="00F14E00">
    <w:pPr>
      <w:pStyle w:val="Encabezado"/>
    </w:pPr>
  </w:p>
  <w:p w14:paraId="6520770B" w14:textId="18EB07B5" w:rsidR="00F14E00" w:rsidRDefault="00F1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1384613">
    <w:abstractNumId w:val="6"/>
  </w:num>
  <w:num w:numId="2" w16cid:durableId="92171394">
    <w:abstractNumId w:val="5"/>
  </w:num>
  <w:num w:numId="3" w16cid:durableId="221602685">
    <w:abstractNumId w:val="8"/>
  </w:num>
  <w:num w:numId="4" w16cid:durableId="2070181138">
    <w:abstractNumId w:val="10"/>
  </w:num>
  <w:num w:numId="5" w16cid:durableId="385951785">
    <w:abstractNumId w:val="13"/>
  </w:num>
  <w:num w:numId="6" w16cid:durableId="3999843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156807">
    <w:abstractNumId w:val="3"/>
  </w:num>
  <w:num w:numId="8" w16cid:durableId="1355421801">
    <w:abstractNumId w:val="14"/>
  </w:num>
  <w:num w:numId="9" w16cid:durableId="1931160657">
    <w:abstractNumId w:val="3"/>
    <w:lvlOverride w:ilvl="0">
      <w:startOverride w:val="1"/>
    </w:lvlOverride>
  </w:num>
  <w:num w:numId="10" w16cid:durableId="1478573243">
    <w:abstractNumId w:val="15"/>
  </w:num>
  <w:num w:numId="11" w16cid:durableId="1088960772">
    <w:abstractNumId w:val="4"/>
  </w:num>
  <w:num w:numId="12" w16cid:durableId="1240363533">
    <w:abstractNumId w:val="16"/>
  </w:num>
  <w:num w:numId="13" w16cid:durableId="58329623">
    <w:abstractNumId w:val="9"/>
  </w:num>
  <w:num w:numId="14" w16cid:durableId="152646377">
    <w:abstractNumId w:val="11"/>
  </w:num>
  <w:num w:numId="15" w16cid:durableId="1721048396">
    <w:abstractNumId w:val="1"/>
  </w:num>
  <w:num w:numId="16" w16cid:durableId="839276998">
    <w:abstractNumId w:val="2"/>
  </w:num>
  <w:num w:numId="17" w16cid:durableId="1972049919">
    <w:abstractNumId w:val="12"/>
  </w:num>
  <w:num w:numId="18" w16cid:durableId="122560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CA5"/>
    <w:rsid w:val="0000268F"/>
    <w:rsid w:val="00003409"/>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441"/>
    <w:rsid w:val="00023549"/>
    <w:rsid w:val="000244AB"/>
    <w:rsid w:val="00024BE5"/>
    <w:rsid w:val="0002665B"/>
    <w:rsid w:val="00026AD9"/>
    <w:rsid w:val="000271AD"/>
    <w:rsid w:val="00027940"/>
    <w:rsid w:val="00027F74"/>
    <w:rsid w:val="000303EC"/>
    <w:rsid w:val="00032DA3"/>
    <w:rsid w:val="000365C0"/>
    <w:rsid w:val="00037112"/>
    <w:rsid w:val="00037BF5"/>
    <w:rsid w:val="00042AC5"/>
    <w:rsid w:val="00044E56"/>
    <w:rsid w:val="000503A1"/>
    <w:rsid w:val="0005095B"/>
    <w:rsid w:val="00050E8C"/>
    <w:rsid w:val="00051882"/>
    <w:rsid w:val="00055733"/>
    <w:rsid w:val="00056024"/>
    <w:rsid w:val="00056BF7"/>
    <w:rsid w:val="00057953"/>
    <w:rsid w:val="0006293E"/>
    <w:rsid w:val="0006625D"/>
    <w:rsid w:val="00066C3F"/>
    <w:rsid w:val="0006738C"/>
    <w:rsid w:val="00070770"/>
    <w:rsid w:val="00070A22"/>
    <w:rsid w:val="00071D4B"/>
    <w:rsid w:val="00071D6E"/>
    <w:rsid w:val="00072969"/>
    <w:rsid w:val="0007590A"/>
    <w:rsid w:val="00080D35"/>
    <w:rsid w:val="00081AF3"/>
    <w:rsid w:val="0008260E"/>
    <w:rsid w:val="000827F2"/>
    <w:rsid w:val="00084278"/>
    <w:rsid w:val="00084DC0"/>
    <w:rsid w:val="00085CC3"/>
    <w:rsid w:val="00085D36"/>
    <w:rsid w:val="00087888"/>
    <w:rsid w:val="00090683"/>
    <w:rsid w:val="000939E0"/>
    <w:rsid w:val="00093D35"/>
    <w:rsid w:val="000942EB"/>
    <w:rsid w:val="0009440D"/>
    <w:rsid w:val="0009651A"/>
    <w:rsid w:val="00096EAB"/>
    <w:rsid w:val="000970AA"/>
    <w:rsid w:val="0009712F"/>
    <w:rsid w:val="000972BA"/>
    <w:rsid w:val="000A15CB"/>
    <w:rsid w:val="000A1B81"/>
    <w:rsid w:val="000A2169"/>
    <w:rsid w:val="000A2C01"/>
    <w:rsid w:val="000A3536"/>
    <w:rsid w:val="000A44E8"/>
    <w:rsid w:val="000A5189"/>
    <w:rsid w:val="000A668C"/>
    <w:rsid w:val="000A7E46"/>
    <w:rsid w:val="000B0831"/>
    <w:rsid w:val="000B103F"/>
    <w:rsid w:val="000B1C28"/>
    <w:rsid w:val="000B1DCE"/>
    <w:rsid w:val="000B26E7"/>
    <w:rsid w:val="000B3893"/>
    <w:rsid w:val="000B4FC6"/>
    <w:rsid w:val="000B53D0"/>
    <w:rsid w:val="000C0B7C"/>
    <w:rsid w:val="000C1091"/>
    <w:rsid w:val="000C2DD2"/>
    <w:rsid w:val="000C4F67"/>
    <w:rsid w:val="000C4F79"/>
    <w:rsid w:val="000C5A1F"/>
    <w:rsid w:val="000C6043"/>
    <w:rsid w:val="000C6347"/>
    <w:rsid w:val="000D0AFA"/>
    <w:rsid w:val="000D228B"/>
    <w:rsid w:val="000E00A8"/>
    <w:rsid w:val="000E1761"/>
    <w:rsid w:val="000E1F13"/>
    <w:rsid w:val="000E2297"/>
    <w:rsid w:val="000E2B3A"/>
    <w:rsid w:val="000E496F"/>
    <w:rsid w:val="000E68FA"/>
    <w:rsid w:val="000E6962"/>
    <w:rsid w:val="000E6D84"/>
    <w:rsid w:val="000F07B8"/>
    <w:rsid w:val="000F14E8"/>
    <w:rsid w:val="000F2007"/>
    <w:rsid w:val="000F3B04"/>
    <w:rsid w:val="000F6869"/>
    <w:rsid w:val="000F7AE4"/>
    <w:rsid w:val="0010045F"/>
    <w:rsid w:val="001010FA"/>
    <w:rsid w:val="001015E9"/>
    <w:rsid w:val="001017F1"/>
    <w:rsid w:val="00102AA1"/>
    <w:rsid w:val="00103915"/>
    <w:rsid w:val="00103D3D"/>
    <w:rsid w:val="00106085"/>
    <w:rsid w:val="001065D1"/>
    <w:rsid w:val="00106B75"/>
    <w:rsid w:val="00110012"/>
    <w:rsid w:val="001112CF"/>
    <w:rsid w:val="00111438"/>
    <w:rsid w:val="00111636"/>
    <w:rsid w:val="00112192"/>
    <w:rsid w:val="00112B4A"/>
    <w:rsid w:val="00112D2F"/>
    <w:rsid w:val="00114236"/>
    <w:rsid w:val="00114D72"/>
    <w:rsid w:val="001152BA"/>
    <w:rsid w:val="0011561C"/>
    <w:rsid w:val="00115D3E"/>
    <w:rsid w:val="001170AB"/>
    <w:rsid w:val="001214FF"/>
    <w:rsid w:val="0012244A"/>
    <w:rsid w:val="001229C6"/>
    <w:rsid w:val="00122B23"/>
    <w:rsid w:val="00123AA4"/>
    <w:rsid w:val="00124CE3"/>
    <w:rsid w:val="00124E73"/>
    <w:rsid w:val="00124EC3"/>
    <w:rsid w:val="00125291"/>
    <w:rsid w:val="0012570E"/>
    <w:rsid w:val="00125D4C"/>
    <w:rsid w:val="0012754A"/>
    <w:rsid w:val="00130333"/>
    <w:rsid w:val="00130544"/>
    <w:rsid w:val="0013236F"/>
    <w:rsid w:val="00132C50"/>
    <w:rsid w:val="001332D0"/>
    <w:rsid w:val="00133BB0"/>
    <w:rsid w:val="001344AA"/>
    <w:rsid w:val="001349B6"/>
    <w:rsid w:val="00137BA1"/>
    <w:rsid w:val="00137FFA"/>
    <w:rsid w:val="001425C5"/>
    <w:rsid w:val="001428CF"/>
    <w:rsid w:val="001448B5"/>
    <w:rsid w:val="00146179"/>
    <w:rsid w:val="00146E1D"/>
    <w:rsid w:val="00152609"/>
    <w:rsid w:val="0015382E"/>
    <w:rsid w:val="00154263"/>
    <w:rsid w:val="001550CF"/>
    <w:rsid w:val="001554A4"/>
    <w:rsid w:val="00155B6E"/>
    <w:rsid w:val="00156A50"/>
    <w:rsid w:val="00156DAF"/>
    <w:rsid w:val="00157821"/>
    <w:rsid w:val="00157CA4"/>
    <w:rsid w:val="0016135A"/>
    <w:rsid w:val="0016149E"/>
    <w:rsid w:val="0016152C"/>
    <w:rsid w:val="00161D78"/>
    <w:rsid w:val="00163B50"/>
    <w:rsid w:val="00164225"/>
    <w:rsid w:val="0016511A"/>
    <w:rsid w:val="00165EA8"/>
    <w:rsid w:val="0016658C"/>
    <w:rsid w:val="0016680A"/>
    <w:rsid w:val="00167B9D"/>
    <w:rsid w:val="00167F0C"/>
    <w:rsid w:val="00170733"/>
    <w:rsid w:val="00172E0A"/>
    <w:rsid w:val="001736CF"/>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A4138"/>
    <w:rsid w:val="001A569E"/>
    <w:rsid w:val="001A70EF"/>
    <w:rsid w:val="001B0A86"/>
    <w:rsid w:val="001B1BE7"/>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4297"/>
    <w:rsid w:val="001C54B1"/>
    <w:rsid w:val="001C6128"/>
    <w:rsid w:val="001C722C"/>
    <w:rsid w:val="001D172E"/>
    <w:rsid w:val="001D4A20"/>
    <w:rsid w:val="001D4A42"/>
    <w:rsid w:val="001D5E4D"/>
    <w:rsid w:val="001E0042"/>
    <w:rsid w:val="001E008B"/>
    <w:rsid w:val="001E0545"/>
    <w:rsid w:val="001E0849"/>
    <w:rsid w:val="001E1694"/>
    <w:rsid w:val="001E1984"/>
    <w:rsid w:val="001E1A13"/>
    <w:rsid w:val="001E24F4"/>
    <w:rsid w:val="001E30CF"/>
    <w:rsid w:val="001E453C"/>
    <w:rsid w:val="001E7880"/>
    <w:rsid w:val="001F140A"/>
    <w:rsid w:val="001F1AFA"/>
    <w:rsid w:val="001F25AA"/>
    <w:rsid w:val="001F2AD0"/>
    <w:rsid w:val="001F3C7B"/>
    <w:rsid w:val="001F3D53"/>
    <w:rsid w:val="001F416A"/>
    <w:rsid w:val="001F5546"/>
    <w:rsid w:val="001F6AAC"/>
    <w:rsid w:val="001F790E"/>
    <w:rsid w:val="002005CC"/>
    <w:rsid w:val="00203F1A"/>
    <w:rsid w:val="00204114"/>
    <w:rsid w:val="00204C65"/>
    <w:rsid w:val="002059AF"/>
    <w:rsid w:val="0020637E"/>
    <w:rsid w:val="002107F4"/>
    <w:rsid w:val="002131AD"/>
    <w:rsid w:val="0021327A"/>
    <w:rsid w:val="002135F3"/>
    <w:rsid w:val="002146C0"/>
    <w:rsid w:val="00214DF8"/>
    <w:rsid w:val="0021564F"/>
    <w:rsid w:val="0021571D"/>
    <w:rsid w:val="00216478"/>
    <w:rsid w:val="00216F1A"/>
    <w:rsid w:val="0021759E"/>
    <w:rsid w:val="00220CE5"/>
    <w:rsid w:val="002215FF"/>
    <w:rsid w:val="00221BD0"/>
    <w:rsid w:val="00222935"/>
    <w:rsid w:val="002236DB"/>
    <w:rsid w:val="00224570"/>
    <w:rsid w:val="0022655C"/>
    <w:rsid w:val="00233365"/>
    <w:rsid w:val="00233A24"/>
    <w:rsid w:val="0023484E"/>
    <w:rsid w:val="00234B84"/>
    <w:rsid w:val="00235341"/>
    <w:rsid w:val="00235EAA"/>
    <w:rsid w:val="00237329"/>
    <w:rsid w:val="00237CB3"/>
    <w:rsid w:val="002412CB"/>
    <w:rsid w:val="002416BA"/>
    <w:rsid w:val="00242EFF"/>
    <w:rsid w:val="00244CC4"/>
    <w:rsid w:val="002457FD"/>
    <w:rsid w:val="00245C7E"/>
    <w:rsid w:val="0024604B"/>
    <w:rsid w:val="00246B81"/>
    <w:rsid w:val="00250718"/>
    <w:rsid w:val="00251445"/>
    <w:rsid w:val="00253276"/>
    <w:rsid w:val="00253C1D"/>
    <w:rsid w:val="00254319"/>
    <w:rsid w:val="002563B9"/>
    <w:rsid w:val="0025685E"/>
    <w:rsid w:val="00256BB9"/>
    <w:rsid w:val="00256EDF"/>
    <w:rsid w:val="0025768C"/>
    <w:rsid w:val="002603F3"/>
    <w:rsid w:val="00265C96"/>
    <w:rsid w:val="00265CEB"/>
    <w:rsid w:val="00265ED0"/>
    <w:rsid w:val="00266E0C"/>
    <w:rsid w:val="00270234"/>
    <w:rsid w:val="0027071C"/>
    <w:rsid w:val="00272C62"/>
    <w:rsid w:val="00273DED"/>
    <w:rsid w:val="00275701"/>
    <w:rsid w:val="00276521"/>
    <w:rsid w:val="00283380"/>
    <w:rsid w:val="0028382A"/>
    <w:rsid w:val="00284F66"/>
    <w:rsid w:val="00285D7E"/>
    <w:rsid w:val="00285FED"/>
    <w:rsid w:val="00286A53"/>
    <w:rsid w:val="00287542"/>
    <w:rsid w:val="002877E9"/>
    <w:rsid w:val="0029159E"/>
    <w:rsid w:val="00292CD9"/>
    <w:rsid w:val="00294801"/>
    <w:rsid w:val="00295418"/>
    <w:rsid w:val="002A01C4"/>
    <w:rsid w:val="002A0763"/>
    <w:rsid w:val="002A3730"/>
    <w:rsid w:val="002A4E44"/>
    <w:rsid w:val="002A4F10"/>
    <w:rsid w:val="002A63F4"/>
    <w:rsid w:val="002B0564"/>
    <w:rsid w:val="002B0BD2"/>
    <w:rsid w:val="002B4907"/>
    <w:rsid w:val="002B50DA"/>
    <w:rsid w:val="002B5BCA"/>
    <w:rsid w:val="002B7DD1"/>
    <w:rsid w:val="002C087E"/>
    <w:rsid w:val="002C27C5"/>
    <w:rsid w:val="002C2B17"/>
    <w:rsid w:val="002C2BF2"/>
    <w:rsid w:val="002C43B5"/>
    <w:rsid w:val="002C5940"/>
    <w:rsid w:val="002C5D89"/>
    <w:rsid w:val="002C7CF0"/>
    <w:rsid w:val="002D17B8"/>
    <w:rsid w:val="002D3456"/>
    <w:rsid w:val="002D4BB3"/>
    <w:rsid w:val="002D6190"/>
    <w:rsid w:val="002D696B"/>
    <w:rsid w:val="002D7E62"/>
    <w:rsid w:val="002D7F92"/>
    <w:rsid w:val="002E0A18"/>
    <w:rsid w:val="002E0AA8"/>
    <w:rsid w:val="002E0FAD"/>
    <w:rsid w:val="002E1964"/>
    <w:rsid w:val="002E19A6"/>
    <w:rsid w:val="002E1E7E"/>
    <w:rsid w:val="002E2947"/>
    <w:rsid w:val="002E6B6F"/>
    <w:rsid w:val="002E6F7C"/>
    <w:rsid w:val="002F0602"/>
    <w:rsid w:val="002F0800"/>
    <w:rsid w:val="002F3606"/>
    <w:rsid w:val="002F436E"/>
    <w:rsid w:val="002F4BC7"/>
    <w:rsid w:val="002F5131"/>
    <w:rsid w:val="002F6EDA"/>
    <w:rsid w:val="002F6EE0"/>
    <w:rsid w:val="002F70EB"/>
    <w:rsid w:val="002F779E"/>
    <w:rsid w:val="002F7BFE"/>
    <w:rsid w:val="0030086F"/>
    <w:rsid w:val="003033BA"/>
    <w:rsid w:val="003038BC"/>
    <w:rsid w:val="00303EFC"/>
    <w:rsid w:val="003046D6"/>
    <w:rsid w:val="003103C3"/>
    <w:rsid w:val="00310895"/>
    <w:rsid w:val="003112B5"/>
    <w:rsid w:val="0031293C"/>
    <w:rsid w:val="00313BBA"/>
    <w:rsid w:val="00313D9F"/>
    <w:rsid w:val="00314010"/>
    <w:rsid w:val="00314899"/>
    <w:rsid w:val="00314A89"/>
    <w:rsid w:val="00315623"/>
    <w:rsid w:val="00316182"/>
    <w:rsid w:val="0032072B"/>
    <w:rsid w:val="00320C7F"/>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47C6A"/>
    <w:rsid w:val="00351383"/>
    <w:rsid w:val="0035216C"/>
    <w:rsid w:val="00352927"/>
    <w:rsid w:val="00353FDF"/>
    <w:rsid w:val="0035453F"/>
    <w:rsid w:val="00354545"/>
    <w:rsid w:val="003555B4"/>
    <w:rsid w:val="003567B6"/>
    <w:rsid w:val="00361B65"/>
    <w:rsid w:val="00361FDA"/>
    <w:rsid w:val="00362486"/>
    <w:rsid w:val="0036497E"/>
    <w:rsid w:val="00364F1A"/>
    <w:rsid w:val="00366C32"/>
    <w:rsid w:val="00370640"/>
    <w:rsid w:val="0037099D"/>
    <w:rsid w:val="00372A55"/>
    <w:rsid w:val="00374F25"/>
    <w:rsid w:val="003776F1"/>
    <w:rsid w:val="00377AD6"/>
    <w:rsid w:val="00381A7D"/>
    <w:rsid w:val="00381B41"/>
    <w:rsid w:val="00383DDA"/>
    <w:rsid w:val="00384AFA"/>
    <w:rsid w:val="00384B44"/>
    <w:rsid w:val="00385EC9"/>
    <w:rsid w:val="00386456"/>
    <w:rsid w:val="00387241"/>
    <w:rsid w:val="0039010E"/>
    <w:rsid w:val="003901D8"/>
    <w:rsid w:val="003914FA"/>
    <w:rsid w:val="00391D93"/>
    <w:rsid w:val="00393184"/>
    <w:rsid w:val="0039340C"/>
    <w:rsid w:val="003934DD"/>
    <w:rsid w:val="00395A3E"/>
    <w:rsid w:val="003960C7"/>
    <w:rsid w:val="003962C5"/>
    <w:rsid w:val="003966FF"/>
    <w:rsid w:val="00396D23"/>
    <w:rsid w:val="003A02EB"/>
    <w:rsid w:val="003A046A"/>
    <w:rsid w:val="003A25E4"/>
    <w:rsid w:val="003A2C66"/>
    <w:rsid w:val="003A362C"/>
    <w:rsid w:val="003A3686"/>
    <w:rsid w:val="003A4F71"/>
    <w:rsid w:val="003A581E"/>
    <w:rsid w:val="003A651C"/>
    <w:rsid w:val="003B0B16"/>
    <w:rsid w:val="003B241A"/>
    <w:rsid w:val="003B2705"/>
    <w:rsid w:val="003B621E"/>
    <w:rsid w:val="003B79A5"/>
    <w:rsid w:val="003C40DD"/>
    <w:rsid w:val="003C4141"/>
    <w:rsid w:val="003C50C9"/>
    <w:rsid w:val="003C62BD"/>
    <w:rsid w:val="003C7DFA"/>
    <w:rsid w:val="003D2167"/>
    <w:rsid w:val="003D284B"/>
    <w:rsid w:val="003D40F4"/>
    <w:rsid w:val="003D4F72"/>
    <w:rsid w:val="003D5728"/>
    <w:rsid w:val="003D711A"/>
    <w:rsid w:val="003E05EB"/>
    <w:rsid w:val="003E07B4"/>
    <w:rsid w:val="003E11A8"/>
    <w:rsid w:val="003E14B0"/>
    <w:rsid w:val="003E3511"/>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0A4C"/>
    <w:rsid w:val="00404A20"/>
    <w:rsid w:val="00407BD2"/>
    <w:rsid w:val="0041043C"/>
    <w:rsid w:val="00411B85"/>
    <w:rsid w:val="00411D1B"/>
    <w:rsid w:val="00411F9D"/>
    <w:rsid w:val="00412972"/>
    <w:rsid w:val="004129E3"/>
    <w:rsid w:val="00414B1E"/>
    <w:rsid w:val="00415610"/>
    <w:rsid w:val="00416511"/>
    <w:rsid w:val="004200BB"/>
    <w:rsid w:val="004207E3"/>
    <w:rsid w:val="00420D01"/>
    <w:rsid w:val="0042321C"/>
    <w:rsid w:val="00423267"/>
    <w:rsid w:val="004240BB"/>
    <w:rsid w:val="00424744"/>
    <w:rsid w:val="004250CD"/>
    <w:rsid w:val="004252E8"/>
    <w:rsid w:val="004268C3"/>
    <w:rsid w:val="00426EEE"/>
    <w:rsid w:val="00426F4A"/>
    <w:rsid w:val="00430975"/>
    <w:rsid w:val="0043155D"/>
    <w:rsid w:val="00432915"/>
    <w:rsid w:val="00435AA2"/>
    <w:rsid w:val="004363BC"/>
    <w:rsid w:val="00436BC5"/>
    <w:rsid w:val="00436C94"/>
    <w:rsid w:val="0043754D"/>
    <w:rsid w:val="00437BF5"/>
    <w:rsid w:val="00437BF8"/>
    <w:rsid w:val="004422D6"/>
    <w:rsid w:val="00442BFD"/>
    <w:rsid w:val="004440EF"/>
    <w:rsid w:val="00444A46"/>
    <w:rsid w:val="004453FD"/>
    <w:rsid w:val="00445EE4"/>
    <w:rsid w:val="00447095"/>
    <w:rsid w:val="00447ADC"/>
    <w:rsid w:val="004507CF"/>
    <w:rsid w:val="0045342C"/>
    <w:rsid w:val="00454B0F"/>
    <w:rsid w:val="00460FD4"/>
    <w:rsid w:val="0046169F"/>
    <w:rsid w:val="00463997"/>
    <w:rsid w:val="0046604D"/>
    <w:rsid w:val="004675A7"/>
    <w:rsid w:val="0047250D"/>
    <w:rsid w:val="0047444E"/>
    <w:rsid w:val="00474491"/>
    <w:rsid w:val="00474614"/>
    <w:rsid w:val="00474644"/>
    <w:rsid w:val="00474880"/>
    <w:rsid w:val="004749E6"/>
    <w:rsid w:val="0047589D"/>
    <w:rsid w:val="004768C9"/>
    <w:rsid w:val="00476A0B"/>
    <w:rsid w:val="00477A49"/>
    <w:rsid w:val="00477BFF"/>
    <w:rsid w:val="00481FA4"/>
    <w:rsid w:val="004838AB"/>
    <w:rsid w:val="00483C47"/>
    <w:rsid w:val="00485F24"/>
    <w:rsid w:val="004878C1"/>
    <w:rsid w:val="0049189C"/>
    <w:rsid w:val="00491F45"/>
    <w:rsid w:val="0049331C"/>
    <w:rsid w:val="0049505C"/>
    <w:rsid w:val="00496626"/>
    <w:rsid w:val="0049684A"/>
    <w:rsid w:val="00496EEE"/>
    <w:rsid w:val="00497B27"/>
    <w:rsid w:val="004A183E"/>
    <w:rsid w:val="004A34D2"/>
    <w:rsid w:val="004A40FC"/>
    <w:rsid w:val="004A411B"/>
    <w:rsid w:val="004A4319"/>
    <w:rsid w:val="004A488B"/>
    <w:rsid w:val="004A5C48"/>
    <w:rsid w:val="004B1AF2"/>
    <w:rsid w:val="004B219E"/>
    <w:rsid w:val="004B2A5D"/>
    <w:rsid w:val="004B40DB"/>
    <w:rsid w:val="004B4A0E"/>
    <w:rsid w:val="004B5ECB"/>
    <w:rsid w:val="004B6DE0"/>
    <w:rsid w:val="004C003F"/>
    <w:rsid w:val="004C05CA"/>
    <w:rsid w:val="004C0993"/>
    <w:rsid w:val="004C1226"/>
    <w:rsid w:val="004C1F44"/>
    <w:rsid w:val="004C1F93"/>
    <w:rsid w:val="004C247D"/>
    <w:rsid w:val="004C3FAA"/>
    <w:rsid w:val="004C5092"/>
    <w:rsid w:val="004D2B08"/>
    <w:rsid w:val="004D2C64"/>
    <w:rsid w:val="004D3473"/>
    <w:rsid w:val="004D40F7"/>
    <w:rsid w:val="004D4556"/>
    <w:rsid w:val="004D7A98"/>
    <w:rsid w:val="004E1E4A"/>
    <w:rsid w:val="004E2973"/>
    <w:rsid w:val="004E4142"/>
    <w:rsid w:val="004E5102"/>
    <w:rsid w:val="004E5B78"/>
    <w:rsid w:val="004E77C8"/>
    <w:rsid w:val="004F0B50"/>
    <w:rsid w:val="004F1050"/>
    <w:rsid w:val="004F32CC"/>
    <w:rsid w:val="004F4EB9"/>
    <w:rsid w:val="00500564"/>
    <w:rsid w:val="005019B6"/>
    <w:rsid w:val="00502467"/>
    <w:rsid w:val="00502929"/>
    <w:rsid w:val="00502A2B"/>
    <w:rsid w:val="00502F06"/>
    <w:rsid w:val="005037CD"/>
    <w:rsid w:val="00503872"/>
    <w:rsid w:val="0050454C"/>
    <w:rsid w:val="00504EAC"/>
    <w:rsid w:val="005053B0"/>
    <w:rsid w:val="0051074C"/>
    <w:rsid w:val="0051089A"/>
    <w:rsid w:val="00510975"/>
    <w:rsid w:val="00510BB6"/>
    <w:rsid w:val="0051288D"/>
    <w:rsid w:val="00513A69"/>
    <w:rsid w:val="00513AE4"/>
    <w:rsid w:val="00513AF2"/>
    <w:rsid w:val="0051420E"/>
    <w:rsid w:val="005148C5"/>
    <w:rsid w:val="005152C2"/>
    <w:rsid w:val="0051623D"/>
    <w:rsid w:val="00517A9B"/>
    <w:rsid w:val="005200B5"/>
    <w:rsid w:val="0052099D"/>
    <w:rsid w:val="005216BC"/>
    <w:rsid w:val="00521B54"/>
    <w:rsid w:val="00522B0F"/>
    <w:rsid w:val="0052307C"/>
    <w:rsid w:val="005232BB"/>
    <w:rsid w:val="00523A3E"/>
    <w:rsid w:val="00523A7E"/>
    <w:rsid w:val="00524F8D"/>
    <w:rsid w:val="00525253"/>
    <w:rsid w:val="00526831"/>
    <w:rsid w:val="0052715F"/>
    <w:rsid w:val="00527891"/>
    <w:rsid w:val="00532AC6"/>
    <w:rsid w:val="0053307D"/>
    <w:rsid w:val="00533367"/>
    <w:rsid w:val="0053422D"/>
    <w:rsid w:val="00535161"/>
    <w:rsid w:val="0053606E"/>
    <w:rsid w:val="00536424"/>
    <w:rsid w:val="00536C27"/>
    <w:rsid w:val="005379F9"/>
    <w:rsid w:val="005418FA"/>
    <w:rsid w:val="0054413A"/>
    <w:rsid w:val="005443C9"/>
    <w:rsid w:val="00545144"/>
    <w:rsid w:val="00545326"/>
    <w:rsid w:val="00545604"/>
    <w:rsid w:val="005457A0"/>
    <w:rsid w:val="0054784F"/>
    <w:rsid w:val="00550551"/>
    <w:rsid w:val="00550E5E"/>
    <w:rsid w:val="00554C0F"/>
    <w:rsid w:val="00555AA7"/>
    <w:rsid w:val="005564CA"/>
    <w:rsid w:val="00561510"/>
    <w:rsid w:val="005620AD"/>
    <w:rsid w:val="005626E7"/>
    <w:rsid w:val="00562799"/>
    <w:rsid w:val="0056664B"/>
    <w:rsid w:val="00566BCB"/>
    <w:rsid w:val="00567165"/>
    <w:rsid w:val="005678D7"/>
    <w:rsid w:val="00571897"/>
    <w:rsid w:val="005731B5"/>
    <w:rsid w:val="0057389B"/>
    <w:rsid w:val="00573E10"/>
    <w:rsid w:val="00574D20"/>
    <w:rsid w:val="0057593D"/>
    <w:rsid w:val="00575B77"/>
    <w:rsid w:val="00575D08"/>
    <w:rsid w:val="00576B7C"/>
    <w:rsid w:val="005770F6"/>
    <w:rsid w:val="005811F1"/>
    <w:rsid w:val="00582241"/>
    <w:rsid w:val="00584E86"/>
    <w:rsid w:val="0058545D"/>
    <w:rsid w:val="00586344"/>
    <w:rsid w:val="00590DD9"/>
    <w:rsid w:val="005911A7"/>
    <w:rsid w:val="0059266D"/>
    <w:rsid w:val="00592B47"/>
    <w:rsid w:val="005938AB"/>
    <w:rsid w:val="005977A4"/>
    <w:rsid w:val="005A0585"/>
    <w:rsid w:val="005A0B35"/>
    <w:rsid w:val="005A14E0"/>
    <w:rsid w:val="005A1570"/>
    <w:rsid w:val="005A34F0"/>
    <w:rsid w:val="005A456B"/>
    <w:rsid w:val="005A4A4C"/>
    <w:rsid w:val="005A5272"/>
    <w:rsid w:val="005A5275"/>
    <w:rsid w:val="005A5BF9"/>
    <w:rsid w:val="005A6DCD"/>
    <w:rsid w:val="005A79FE"/>
    <w:rsid w:val="005A7B03"/>
    <w:rsid w:val="005B2AF3"/>
    <w:rsid w:val="005B4AA6"/>
    <w:rsid w:val="005B6A46"/>
    <w:rsid w:val="005B7215"/>
    <w:rsid w:val="005B7515"/>
    <w:rsid w:val="005B7A2F"/>
    <w:rsid w:val="005C0D43"/>
    <w:rsid w:val="005C1FFD"/>
    <w:rsid w:val="005C24FC"/>
    <w:rsid w:val="005C266E"/>
    <w:rsid w:val="005C31C3"/>
    <w:rsid w:val="005C51A7"/>
    <w:rsid w:val="005C5A22"/>
    <w:rsid w:val="005C5B5C"/>
    <w:rsid w:val="005D269B"/>
    <w:rsid w:val="005D29B5"/>
    <w:rsid w:val="005D2A61"/>
    <w:rsid w:val="005D3445"/>
    <w:rsid w:val="005D4609"/>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05CEA"/>
    <w:rsid w:val="00610457"/>
    <w:rsid w:val="00610C94"/>
    <w:rsid w:val="0061135A"/>
    <w:rsid w:val="00611D3C"/>
    <w:rsid w:val="00612BDB"/>
    <w:rsid w:val="00612E94"/>
    <w:rsid w:val="006134DB"/>
    <w:rsid w:val="00617D73"/>
    <w:rsid w:val="00620CBF"/>
    <w:rsid w:val="00620E47"/>
    <w:rsid w:val="00621206"/>
    <w:rsid w:val="006212BE"/>
    <w:rsid w:val="0062567A"/>
    <w:rsid w:val="00625C29"/>
    <w:rsid w:val="00626B4F"/>
    <w:rsid w:val="006334A8"/>
    <w:rsid w:val="00634CC6"/>
    <w:rsid w:val="00635BA5"/>
    <w:rsid w:val="006367B1"/>
    <w:rsid w:val="00637235"/>
    <w:rsid w:val="00637830"/>
    <w:rsid w:val="0063788B"/>
    <w:rsid w:val="006404C9"/>
    <w:rsid w:val="00641EB9"/>
    <w:rsid w:val="00642D57"/>
    <w:rsid w:val="00645ADA"/>
    <w:rsid w:val="00647622"/>
    <w:rsid w:val="00651D31"/>
    <w:rsid w:val="006524BE"/>
    <w:rsid w:val="00652A5C"/>
    <w:rsid w:val="006533F8"/>
    <w:rsid w:val="00654EE4"/>
    <w:rsid w:val="00655360"/>
    <w:rsid w:val="00655371"/>
    <w:rsid w:val="006563C3"/>
    <w:rsid w:val="0065641E"/>
    <w:rsid w:val="006568E8"/>
    <w:rsid w:val="006622BE"/>
    <w:rsid w:val="006623E2"/>
    <w:rsid w:val="00666AF7"/>
    <w:rsid w:val="00667C72"/>
    <w:rsid w:val="00667EBB"/>
    <w:rsid w:val="00670B1B"/>
    <w:rsid w:val="00671F22"/>
    <w:rsid w:val="00672EEC"/>
    <w:rsid w:val="00673789"/>
    <w:rsid w:val="00673AB7"/>
    <w:rsid w:val="0067584A"/>
    <w:rsid w:val="00677F77"/>
    <w:rsid w:val="0068250F"/>
    <w:rsid w:val="00683085"/>
    <w:rsid w:val="00683332"/>
    <w:rsid w:val="0068338B"/>
    <w:rsid w:val="0068394B"/>
    <w:rsid w:val="0069158F"/>
    <w:rsid w:val="00691C58"/>
    <w:rsid w:val="00693CC2"/>
    <w:rsid w:val="0069660F"/>
    <w:rsid w:val="0069678A"/>
    <w:rsid w:val="00697665"/>
    <w:rsid w:val="00697D73"/>
    <w:rsid w:val="006A01DD"/>
    <w:rsid w:val="006A12F4"/>
    <w:rsid w:val="006A143D"/>
    <w:rsid w:val="006A1A12"/>
    <w:rsid w:val="006A25AB"/>
    <w:rsid w:val="006A27C9"/>
    <w:rsid w:val="006A2F2D"/>
    <w:rsid w:val="006A3206"/>
    <w:rsid w:val="006A3CD1"/>
    <w:rsid w:val="006A454C"/>
    <w:rsid w:val="006A58B8"/>
    <w:rsid w:val="006A64A9"/>
    <w:rsid w:val="006A6650"/>
    <w:rsid w:val="006A7FD0"/>
    <w:rsid w:val="006B161A"/>
    <w:rsid w:val="006B2195"/>
    <w:rsid w:val="006B34D7"/>
    <w:rsid w:val="006B55C5"/>
    <w:rsid w:val="006C084F"/>
    <w:rsid w:val="006C12CA"/>
    <w:rsid w:val="006C1636"/>
    <w:rsid w:val="006C4A30"/>
    <w:rsid w:val="006C5364"/>
    <w:rsid w:val="006C68E5"/>
    <w:rsid w:val="006D07CF"/>
    <w:rsid w:val="006D2391"/>
    <w:rsid w:val="006D23BA"/>
    <w:rsid w:val="006D2CB8"/>
    <w:rsid w:val="006D3287"/>
    <w:rsid w:val="006D40DC"/>
    <w:rsid w:val="006D4F07"/>
    <w:rsid w:val="006D5386"/>
    <w:rsid w:val="006D7687"/>
    <w:rsid w:val="006D7E35"/>
    <w:rsid w:val="006E0385"/>
    <w:rsid w:val="006E0572"/>
    <w:rsid w:val="006E1324"/>
    <w:rsid w:val="006E1CCF"/>
    <w:rsid w:val="006E3872"/>
    <w:rsid w:val="006E5FAC"/>
    <w:rsid w:val="006E6D63"/>
    <w:rsid w:val="006E6E42"/>
    <w:rsid w:val="006F10DD"/>
    <w:rsid w:val="006F27FF"/>
    <w:rsid w:val="006F3DAA"/>
    <w:rsid w:val="006F3EF7"/>
    <w:rsid w:val="006F4573"/>
    <w:rsid w:val="006F77A7"/>
    <w:rsid w:val="006F79F7"/>
    <w:rsid w:val="00700377"/>
    <w:rsid w:val="007020A1"/>
    <w:rsid w:val="00702115"/>
    <w:rsid w:val="00702D2C"/>
    <w:rsid w:val="00703E2C"/>
    <w:rsid w:val="007054AA"/>
    <w:rsid w:val="00705631"/>
    <w:rsid w:val="00705FE1"/>
    <w:rsid w:val="00706399"/>
    <w:rsid w:val="00707FF5"/>
    <w:rsid w:val="00711A50"/>
    <w:rsid w:val="00711F3A"/>
    <w:rsid w:val="00713DE5"/>
    <w:rsid w:val="00714254"/>
    <w:rsid w:val="00714718"/>
    <w:rsid w:val="00714774"/>
    <w:rsid w:val="00715929"/>
    <w:rsid w:val="00715AC3"/>
    <w:rsid w:val="00716FED"/>
    <w:rsid w:val="00720966"/>
    <w:rsid w:val="007210EC"/>
    <w:rsid w:val="0072127D"/>
    <w:rsid w:val="00722363"/>
    <w:rsid w:val="007229B0"/>
    <w:rsid w:val="007252B4"/>
    <w:rsid w:val="00725AC2"/>
    <w:rsid w:val="00726DBE"/>
    <w:rsid w:val="00727A8F"/>
    <w:rsid w:val="00727EAE"/>
    <w:rsid w:val="00727FB6"/>
    <w:rsid w:val="007300F3"/>
    <w:rsid w:val="007305C3"/>
    <w:rsid w:val="00731139"/>
    <w:rsid w:val="0073364E"/>
    <w:rsid w:val="00733865"/>
    <w:rsid w:val="007348A0"/>
    <w:rsid w:val="00734D43"/>
    <w:rsid w:val="00736214"/>
    <w:rsid w:val="007363BD"/>
    <w:rsid w:val="0073763F"/>
    <w:rsid w:val="007404BC"/>
    <w:rsid w:val="00742DD2"/>
    <w:rsid w:val="00745106"/>
    <w:rsid w:val="00745E02"/>
    <w:rsid w:val="00752568"/>
    <w:rsid w:val="00752A9B"/>
    <w:rsid w:val="00752FBE"/>
    <w:rsid w:val="00753620"/>
    <w:rsid w:val="00754621"/>
    <w:rsid w:val="00755EFB"/>
    <w:rsid w:val="0075647A"/>
    <w:rsid w:val="00757862"/>
    <w:rsid w:val="00757A66"/>
    <w:rsid w:val="00761319"/>
    <w:rsid w:val="007634AD"/>
    <w:rsid w:val="00764CD2"/>
    <w:rsid w:val="0076566F"/>
    <w:rsid w:val="007656E6"/>
    <w:rsid w:val="00765BE2"/>
    <w:rsid w:val="007673F0"/>
    <w:rsid w:val="00767D99"/>
    <w:rsid w:val="00770B77"/>
    <w:rsid w:val="00770D63"/>
    <w:rsid w:val="00771679"/>
    <w:rsid w:val="00772C6C"/>
    <w:rsid w:val="00772FD2"/>
    <w:rsid w:val="0077336F"/>
    <w:rsid w:val="00773FAA"/>
    <w:rsid w:val="007741D9"/>
    <w:rsid w:val="007743B6"/>
    <w:rsid w:val="007748F6"/>
    <w:rsid w:val="007750BB"/>
    <w:rsid w:val="00775796"/>
    <w:rsid w:val="007765A3"/>
    <w:rsid w:val="0078122E"/>
    <w:rsid w:val="00782024"/>
    <w:rsid w:val="00783506"/>
    <w:rsid w:val="0078442B"/>
    <w:rsid w:val="00785A12"/>
    <w:rsid w:val="0078614D"/>
    <w:rsid w:val="00791C0F"/>
    <w:rsid w:val="00793845"/>
    <w:rsid w:val="0079520D"/>
    <w:rsid w:val="00795BA3"/>
    <w:rsid w:val="00796EC8"/>
    <w:rsid w:val="00797AAA"/>
    <w:rsid w:val="00797DF7"/>
    <w:rsid w:val="007A0D0E"/>
    <w:rsid w:val="007A2E32"/>
    <w:rsid w:val="007A4C5A"/>
    <w:rsid w:val="007A4CB6"/>
    <w:rsid w:val="007A615D"/>
    <w:rsid w:val="007B0646"/>
    <w:rsid w:val="007B0854"/>
    <w:rsid w:val="007B09F4"/>
    <w:rsid w:val="007B0F58"/>
    <w:rsid w:val="007B192E"/>
    <w:rsid w:val="007B24B5"/>
    <w:rsid w:val="007B3AE4"/>
    <w:rsid w:val="007B4C6A"/>
    <w:rsid w:val="007C0326"/>
    <w:rsid w:val="007C2EF0"/>
    <w:rsid w:val="007C38CA"/>
    <w:rsid w:val="007C4430"/>
    <w:rsid w:val="007C5086"/>
    <w:rsid w:val="007C6273"/>
    <w:rsid w:val="007C6410"/>
    <w:rsid w:val="007C66D7"/>
    <w:rsid w:val="007C672F"/>
    <w:rsid w:val="007C744F"/>
    <w:rsid w:val="007C7638"/>
    <w:rsid w:val="007C7F04"/>
    <w:rsid w:val="007D0305"/>
    <w:rsid w:val="007D0C22"/>
    <w:rsid w:val="007D1949"/>
    <w:rsid w:val="007D1AD1"/>
    <w:rsid w:val="007D55E9"/>
    <w:rsid w:val="007D5E0B"/>
    <w:rsid w:val="007D632C"/>
    <w:rsid w:val="007D698F"/>
    <w:rsid w:val="007E01FC"/>
    <w:rsid w:val="007E39F0"/>
    <w:rsid w:val="007E44A3"/>
    <w:rsid w:val="007E5F95"/>
    <w:rsid w:val="007E750C"/>
    <w:rsid w:val="007F0C9F"/>
    <w:rsid w:val="007F0D40"/>
    <w:rsid w:val="007F168F"/>
    <w:rsid w:val="007F367B"/>
    <w:rsid w:val="007F3D1F"/>
    <w:rsid w:val="007F4347"/>
    <w:rsid w:val="007F505E"/>
    <w:rsid w:val="007F72CB"/>
    <w:rsid w:val="007F7BDE"/>
    <w:rsid w:val="00802872"/>
    <w:rsid w:val="008028A1"/>
    <w:rsid w:val="00802A13"/>
    <w:rsid w:val="00802EB9"/>
    <w:rsid w:val="00804C29"/>
    <w:rsid w:val="00804CE6"/>
    <w:rsid w:val="00804EB1"/>
    <w:rsid w:val="00805114"/>
    <w:rsid w:val="00805603"/>
    <w:rsid w:val="00805916"/>
    <w:rsid w:val="0080594C"/>
    <w:rsid w:val="008101D2"/>
    <w:rsid w:val="008111B0"/>
    <w:rsid w:val="00811ED3"/>
    <w:rsid w:val="008127A2"/>
    <w:rsid w:val="00813504"/>
    <w:rsid w:val="00813C1B"/>
    <w:rsid w:val="0081452B"/>
    <w:rsid w:val="0081562A"/>
    <w:rsid w:val="00815851"/>
    <w:rsid w:val="008159D3"/>
    <w:rsid w:val="00816302"/>
    <w:rsid w:val="00817578"/>
    <w:rsid w:val="00817CA8"/>
    <w:rsid w:val="0082159E"/>
    <w:rsid w:val="00822D58"/>
    <w:rsid w:val="0082378E"/>
    <w:rsid w:val="008259B9"/>
    <w:rsid w:val="00826A9D"/>
    <w:rsid w:val="008272F1"/>
    <w:rsid w:val="008273B8"/>
    <w:rsid w:val="0083119B"/>
    <w:rsid w:val="0083133A"/>
    <w:rsid w:val="0083271F"/>
    <w:rsid w:val="00836134"/>
    <w:rsid w:val="0083614B"/>
    <w:rsid w:val="008362A4"/>
    <w:rsid w:val="008366AF"/>
    <w:rsid w:val="00836EAB"/>
    <w:rsid w:val="00841280"/>
    <w:rsid w:val="0084152B"/>
    <w:rsid w:val="00841639"/>
    <w:rsid w:val="00842535"/>
    <w:rsid w:val="00842F23"/>
    <w:rsid w:val="008437E8"/>
    <w:rsid w:val="00843BC4"/>
    <w:rsid w:val="00843E6C"/>
    <w:rsid w:val="00845FF9"/>
    <w:rsid w:val="00847D50"/>
    <w:rsid w:val="0085092D"/>
    <w:rsid w:val="008509DD"/>
    <w:rsid w:val="00850DF5"/>
    <w:rsid w:val="0085128C"/>
    <w:rsid w:val="00852018"/>
    <w:rsid w:val="008524B4"/>
    <w:rsid w:val="0085264F"/>
    <w:rsid w:val="00852E12"/>
    <w:rsid w:val="00852F5E"/>
    <w:rsid w:val="0085374E"/>
    <w:rsid w:val="00853776"/>
    <w:rsid w:val="00854DBB"/>
    <w:rsid w:val="00855FDF"/>
    <w:rsid w:val="00857F63"/>
    <w:rsid w:val="00860B10"/>
    <w:rsid w:val="00861408"/>
    <w:rsid w:val="008617E0"/>
    <w:rsid w:val="0086272D"/>
    <w:rsid w:val="00862B2A"/>
    <w:rsid w:val="00865967"/>
    <w:rsid w:val="00867771"/>
    <w:rsid w:val="008705DE"/>
    <w:rsid w:val="00872A3B"/>
    <w:rsid w:val="00873BCF"/>
    <w:rsid w:val="00874031"/>
    <w:rsid w:val="00874CC0"/>
    <w:rsid w:val="00877366"/>
    <w:rsid w:val="00881730"/>
    <w:rsid w:val="008817ED"/>
    <w:rsid w:val="0088243F"/>
    <w:rsid w:val="008844BE"/>
    <w:rsid w:val="0088457C"/>
    <w:rsid w:val="00884E4C"/>
    <w:rsid w:val="00885AA7"/>
    <w:rsid w:val="00886201"/>
    <w:rsid w:val="00886412"/>
    <w:rsid w:val="008871CF"/>
    <w:rsid w:val="00887B15"/>
    <w:rsid w:val="00890882"/>
    <w:rsid w:val="008927A8"/>
    <w:rsid w:val="00893165"/>
    <w:rsid w:val="0089412F"/>
    <w:rsid w:val="00897B7A"/>
    <w:rsid w:val="008A0A11"/>
    <w:rsid w:val="008A2225"/>
    <w:rsid w:val="008A257A"/>
    <w:rsid w:val="008A265F"/>
    <w:rsid w:val="008A3228"/>
    <w:rsid w:val="008A3DB4"/>
    <w:rsid w:val="008A4852"/>
    <w:rsid w:val="008A53F7"/>
    <w:rsid w:val="008A54C1"/>
    <w:rsid w:val="008A575E"/>
    <w:rsid w:val="008A5AC8"/>
    <w:rsid w:val="008A69BA"/>
    <w:rsid w:val="008B1A31"/>
    <w:rsid w:val="008B438D"/>
    <w:rsid w:val="008B4D79"/>
    <w:rsid w:val="008B7E23"/>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5E9"/>
    <w:rsid w:val="008D56F0"/>
    <w:rsid w:val="008D63A0"/>
    <w:rsid w:val="008D6B0E"/>
    <w:rsid w:val="008D76C2"/>
    <w:rsid w:val="008D776A"/>
    <w:rsid w:val="008E08B2"/>
    <w:rsid w:val="008E1C15"/>
    <w:rsid w:val="008E3219"/>
    <w:rsid w:val="008E4625"/>
    <w:rsid w:val="008E6F70"/>
    <w:rsid w:val="008F14CC"/>
    <w:rsid w:val="008F1588"/>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38D4"/>
    <w:rsid w:val="00914EC4"/>
    <w:rsid w:val="00914F02"/>
    <w:rsid w:val="00916C89"/>
    <w:rsid w:val="009176F3"/>
    <w:rsid w:val="00917700"/>
    <w:rsid w:val="00920389"/>
    <w:rsid w:val="0092143E"/>
    <w:rsid w:val="00921659"/>
    <w:rsid w:val="00923DC9"/>
    <w:rsid w:val="00924541"/>
    <w:rsid w:val="0092462A"/>
    <w:rsid w:val="0092465E"/>
    <w:rsid w:val="0092478E"/>
    <w:rsid w:val="00924D2F"/>
    <w:rsid w:val="00926500"/>
    <w:rsid w:val="009278F1"/>
    <w:rsid w:val="00931310"/>
    <w:rsid w:val="0093193A"/>
    <w:rsid w:val="00931B7E"/>
    <w:rsid w:val="00932FBD"/>
    <w:rsid w:val="00935661"/>
    <w:rsid w:val="00936908"/>
    <w:rsid w:val="00937BFF"/>
    <w:rsid w:val="009409CA"/>
    <w:rsid w:val="00944EA4"/>
    <w:rsid w:val="00945536"/>
    <w:rsid w:val="009465F7"/>
    <w:rsid w:val="00946737"/>
    <w:rsid w:val="00946CFA"/>
    <w:rsid w:val="00947DB5"/>
    <w:rsid w:val="00950258"/>
    <w:rsid w:val="0095385A"/>
    <w:rsid w:val="00955CAC"/>
    <w:rsid w:val="009568DA"/>
    <w:rsid w:val="00956C80"/>
    <w:rsid w:val="00956E82"/>
    <w:rsid w:val="00957BB0"/>
    <w:rsid w:val="0096196C"/>
    <w:rsid w:val="00962034"/>
    <w:rsid w:val="00962A37"/>
    <w:rsid w:val="00964EB4"/>
    <w:rsid w:val="00965638"/>
    <w:rsid w:val="00965849"/>
    <w:rsid w:val="009701E5"/>
    <w:rsid w:val="0097090E"/>
    <w:rsid w:val="00973F55"/>
    <w:rsid w:val="009754FD"/>
    <w:rsid w:val="00975D1B"/>
    <w:rsid w:val="00976CC3"/>
    <w:rsid w:val="00977088"/>
    <w:rsid w:val="00981B5D"/>
    <w:rsid w:val="00982489"/>
    <w:rsid w:val="009859D0"/>
    <w:rsid w:val="009866C8"/>
    <w:rsid w:val="009874B4"/>
    <w:rsid w:val="009877AC"/>
    <w:rsid w:val="00987F32"/>
    <w:rsid w:val="00990A2F"/>
    <w:rsid w:val="00990EBD"/>
    <w:rsid w:val="00992278"/>
    <w:rsid w:val="009967F8"/>
    <w:rsid w:val="009A28F6"/>
    <w:rsid w:val="009A2E0F"/>
    <w:rsid w:val="009A353C"/>
    <w:rsid w:val="009A77CC"/>
    <w:rsid w:val="009A7A2E"/>
    <w:rsid w:val="009B0CB9"/>
    <w:rsid w:val="009B1BF2"/>
    <w:rsid w:val="009B29F8"/>
    <w:rsid w:val="009B4391"/>
    <w:rsid w:val="009B6E85"/>
    <w:rsid w:val="009C24BD"/>
    <w:rsid w:val="009C2A57"/>
    <w:rsid w:val="009C376A"/>
    <w:rsid w:val="009C3794"/>
    <w:rsid w:val="009C6A4B"/>
    <w:rsid w:val="009C782E"/>
    <w:rsid w:val="009D0923"/>
    <w:rsid w:val="009D0FC4"/>
    <w:rsid w:val="009D19A0"/>
    <w:rsid w:val="009D3049"/>
    <w:rsid w:val="009D424F"/>
    <w:rsid w:val="009D54EC"/>
    <w:rsid w:val="009E0D1B"/>
    <w:rsid w:val="009E2882"/>
    <w:rsid w:val="009E2A67"/>
    <w:rsid w:val="009E48B1"/>
    <w:rsid w:val="009E5CE5"/>
    <w:rsid w:val="009E7320"/>
    <w:rsid w:val="009E7C61"/>
    <w:rsid w:val="009F2377"/>
    <w:rsid w:val="009F396F"/>
    <w:rsid w:val="009F48F0"/>
    <w:rsid w:val="009F4F93"/>
    <w:rsid w:val="009F6B3F"/>
    <w:rsid w:val="009F6F22"/>
    <w:rsid w:val="00A0237A"/>
    <w:rsid w:val="00A02449"/>
    <w:rsid w:val="00A028FC"/>
    <w:rsid w:val="00A03556"/>
    <w:rsid w:val="00A035A4"/>
    <w:rsid w:val="00A036C4"/>
    <w:rsid w:val="00A044A1"/>
    <w:rsid w:val="00A059F9"/>
    <w:rsid w:val="00A06181"/>
    <w:rsid w:val="00A07446"/>
    <w:rsid w:val="00A07B99"/>
    <w:rsid w:val="00A10135"/>
    <w:rsid w:val="00A11267"/>
    <w:rsid w:val="00A118A0"/>
    <w:rsid w:val="00A14F3C"/>
    <w:rsid w:val="00A16ACF"/>
    <w:rsid w:val="00A24560"/>
    <w:rsid w:val="00A267B5"/>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37A8E"/>
    <w:rsid w:val="00A41BFA"/>
    <w:rsid w:val="00A42A3B"/>
    <w:rsid w:val="00A43FD5"/>
    <w:rsid w:val="00A44DA5"/>
    <w:rsid w:val="00A470F2"/>
    <w:rsid w:val="00A47DA6"/>
    <w:rsid w:val="00A47F59"/>
    <w:rsid w:val="00A507B2"/>
    <w:rsid w:val="00A5235A"/>
    <w:rsid w:val="00A52E43"/>
    <w:rsid w:val="00A53021"/>
    <w:rsid w:val="00A533E4"/>
    <w:rsid w:val="00A53490"/>
    <w:rsid w:val="00A539FF"/>
    <w:rsid w:val="00A53B56"/>
    <w:rsid w:val="00A546CA"/>
    <w:rsid w:val="00A54AB9"/>
    <w:rsid w:val="00A55D83"/>
    <w:rsid w:val="00A572E1"/>
    <w:rsid w:val="00A578E2"/>
    <w:rsid w:val="00A61FEE"/>
    <w:rsid w:val="00A6404B"/>
    <w:rsid w:val="00A72A3B"/>
    <w:rsid w:val="00A74FC9"/>
    <w:rsid w:val="00A7716E"/>
    <w:rsid w:val="00A77505"/>
    <w:rsid w:val="00A814D6"/>
    <w:rsid w:val="00A8216B"/>
    <w:rsid w:val="00A8281A"/>
    <w:rsid w:val="00A82C85"/>
    <w:rsid w:val="00A8432B"/>
    <w:rsid w:val="00A84361"/>
    <w:rsid w:val="00A84904"/>
    <w:rsid w:val="00A852F0"/>
    <w:rsid w:val="00A87C40"/>
    <w:rsid w:val="00A97342"/>
    <w:rsid w:val="00A97AEB"/>
    <w:rsid w:val="00AA03C4"/>
    <w:rsid w:val="00AA0F9D"/>
    <w:rsid w:val="00AA18DB"/>
    <w:rsid w:val="00AA24CE"/>
    <w:rsid w:val="00AA3DEF"/>
    <w:rsid w:val="00AA442B"/>
    <w:rsid w:val="00AA52D5"/>
    <w:rsid w:val="00AA6CC1"/>
    <w:rsid w:val="00AB00BD"/>
    <w:rsid w:val="00AB05AF"/>
    <w:rsid w:val="00AB09DD"/>
    <w:rsid w:val="00AB0D4D"/>
    <w:rsid w:val="00AB0E2B"/>
    <w:rsid w:val="00AB0FFD"/>
    <w:rsid w:val="00AB14CE"/>
    <w:rsid w:val="00AB196B"/>
    <w:rsid w:val="00AB1AC8"/>
    <w:rsid w:val="00AB27FD"/>
    <w:rsid w:val="00AB30DF"/>
    <w:rsid w:val="00AB3E40"/>
    <w:rsid w:val="00AB3F4B"/>
    <w:rsid w:val="00AB47E2"/>
    <w:rsid w:val="00AB4DF6"/>
    <w:rsid w:val="00AB513F"/>
    <w:rsid w:val="00AC0EEB"/>
    <w:rsid w:val="00AC1646"/>
    <w:rsid w:val="00AC3414"/>
    <w:rsid w:val="00AC3ACC"/>
    <w:rsid w:val="00AC4527"/>
    <w:rsid w:val="00AC4C3C"/>
    <w:rsid w:val="00AC65A4"/>
    <w:rsid w:val="00AD0308"/>
    <w:rsid w:val="00AD0B1D"/>
    <w:rsid w:val="00AD22FC"/>
    <w:rsid w:val="00AD2F7B"/>
    <w:rsid w:val="00AD3331"/>
    <w:rsid w:val="00AD47FB"/>
    <w:rsid w:val="00AD48B1"/>
    <w:rsid w:val="00AD5E7A"/>
    <w:rsid w:val="00AD6135"/>
    <w:rsid w:val="00AD7298"/>
    <w:rsid w:val="00AD7C52"/>
    <w:rsid w:val="00AE1289"/>
    <w:rsid w:val="00AE19FC"/>
    <w:rsid w:val="00AE4119"/>
    <w:rsid w:val="00AE4E69"/>
    <w:rsid w:val="00AE5B43"/>
    <w:rsid w:val="00AE65B9"/>
    <w:rsid w:val="00AE6D68"/>
    <w:rsid w:val="00AE7F59"/>
    <w:rsid w:val="00AF1383"/>
    <w:rsid w:val="00AF1ED8"/>
    <w:rsid w:val="00AF34FC"/>
    <w:rsid w:val="00AF376E"/>
    <w:rsid w:val="00AF426F"/>
    <w:rsid w:val="00AF51A9"/>
    <w:rsid w:val="00AF5CE1"/>
    <w:rsid w:val="00AF6FAC"/>
    <w:rsid w:val="00AF713D"/>
    <w:rsid w:val="00B02705"/>
    <w:rsid w:val="00B02E80"/>
    <w:rsid w:val="00B04843"/>
    <w:rsid w:val="00B05552"/>
    <w:rsid w:val="00B055C7"/>
    <w:rsid w:val="00B0560B"/>
    <w:rsid w:val="00B0615F"/>
    <w:rsid w:val="00B06243"/>
    <w:rsid w:val="00B07B48"/>
    <w:rsid w:val="00B07BE4"/>
    <w:rsid w:val="00B1060D"/>
    <w:rsid w:val="00B10D05"/>
    <w:rsid w:val="00B118E9"/>
    <w:rsid w:val="00B120C2"/>
    <w:rsid w:val="00B140BD"/>
    <w:rsid w:val="00B16E58"/>
    <w:rsid w:val="00B1743F"/>
    <w:rsid w:val="00B17763"/>
    <w:rsid w:val="00B20A74"/>
    <w:rsid w:val="00B21D6C"/>
    <w:rsid w:val="00B22E22"/>
    <w:rsid w:val="00B230FE"/>
    <w:rsid w:val="00B23606"/>
    <w:rsid w:val="00B243F7"/>
    <w:rsid w:val="00B258A0"/>
    <w:rsid w:val="00B32C0B"/>
    <w:rsid w:val="00B32DE6"/>
    <w:rsid w:val="00B33D08"/>
    <w:rsid w:val="00B36E67"/>
    <w:rsid w:val="00B371E9"/>
    <w:rsid w:val="00B41170"/>
    <w:rsid w:val="00B439B4"/>
    <w:rsid w:val="00B43C9B"/>
    <w:rsid w:val="00B441D5"/>
    <w:rsid w:val="00B4473B"/>
    <w:rsid w:val="00B46402"/>
    <w:rsid w:val="00B47D0B"/>
    <w:rsid w:val="00B50315"/>
    <w:rsid w:val="00B50DB8"/>
    <w:rsid w:val="00B512C3"/>
    <w:rsid w:val="00B5146F"/>
    <w:rsid w:val="00B5178D"/>
    <w:rsid w:val="00B525CB"/>
    <w:rsid w:val="00B531D7"/>
    <w:rsid w:val="00B53F68"/>
    <w:rsid w:val="00B548D8"/>
    <w:rsid w:val="00B54E40"/>
    <w:rsid w:val="00B5556E"/>
    <w:rsid w:val="00B55682"/>
    <w:rsid w:val="00B556C7"/>
    <w:rsid w:val="00B56262"/>
    <w:rsid w:val="00B5777C"/>
    <w:rsid w:val="00B57F79"/>
    <w:rsid w:val="00B60926"/>
    <w:rsid w:val="00B613B9"/>
    <w:rsid w:val="00B613EE"/>
    <w:rsid w:val="00B6143C"/>
    <w:rsid w:val="00B6341F"/>
    <w:rsid w:val="00B637F3"/>
    <w:rsid w:val="00B63CB2"/>
    <w:rsid w:val="00B64278"/>
    <w:rsid w:val="00B6444C"/>
    <w:rsid w:val="00B67883"/>
    <w:rsid w:val="00B71561"/>
    <w:rsid w:val="00B71E68"/>
    <w:rsid w:val="00B73B11"/>
    <w:rsid w:val="00B73E64"/>
    <w:rsid w:val="00B754CA"/>
    <w:rsid w:val="00B75BAA"/>
    <w:rsid w:val="00B75C7C"/>
    <w:rsid w:val="00B76DD3"/>
    <w:rsid w:val="00B80316"/>
    <w:rsid w:val="00B80794"/>
    <w:rsid w:val="00B80D60"/>
    <w:rsid w:val="00B81C71"/>
    <w:rsid w:val="00B81F14"/>
    <w:rsid w:val="00B82E58"/>
    <w:rsid w:val="00B8385C"/>
    <w:rsid w:val="00B87BF8"/>
    <w:rsid w:val="00B90205"/>
    <w:rsid w:val="00B90B34"/>
    <w:rsid w:val="00B914C4"/>
    <w:rsid w:val="00B91C2E"/>
    <w:rsid w:val="00B93287"/>
    <w:rsid w:val="00B94B3C"/>
    <w:rsid w:val="00BA0E6C"/>
    <w:rsid w:val="00BA1433"/>
    <w:rsid w:val="00BA2F75"/>
    <w:rsid w:val="00BA4904"/>
    <w:rsid w:val="00BA4B5B"/>
    <w:rsid w:val="00BA549C"/>
    <w:rsid w:val="00BA54F0"/>
    <w:rsid w:val="00BA67BE"/>
    <w:rsid w:val="00BA73DE"/>
    <w:rsid w:val="00BA7C2F"/>
    <w:rsid w:val="00BA7D19"/>
    <w:rsid w:val="00BB10FB"/>
    <w:rsid w:val="00BB37BD"/>
    <w:rsid w:val="00BB5C7A"/>
    <w:rsid w:val="00BB78E0"/>
    <w:rsid w:val="00BC0980"/>
    <w:rsid w:val="00BC1901"/>
    <w:rsid w:val="00BC24FF"/>
    <w:rsid w:val="00BC3610"/>
    <w:rsid w:val="00BC46FA"/>
    <w:rsid w:val="00BC4CFC"/>
    <w:rsid w:val="00BC638A"/>
    <w:rsid w:val="00BC6722"/>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779"/>
    <w:rsid w:val="00BF3E13"/>
    <w:rsid w:val="00BF3E3E"/>
    <w:rsid w:val="00BF46EB"/>
    <w:rsid w:val="00BF52BB"/>
    <w:rsid w:val="00BF59DD"/>
    <w:rsid w:val="00BF6B5E"/>
    <w:rsid w:val="00BF6F68"/>
    <w:rsid w:val="00C01360"/>
    <w:rsid w:val="00C02F56"/>
    <w:rsid w:val="00C0391F"/>
    <w:rsid w:val="00C03D7A"/>
    <w:rsid w:val="00C05B50"/>
    <w:rsid w:val="00C06C24"/>
    <w:rsid w:val="00C07969"/>
    <w:rsid w:val="00C07EFC"/>
    <w:rsid w:val="00C1063D"/>
    <w:rsid w:val="00C108FF"/>
    <w:rsid w:val="00C175DA"/>
    <w:rsid w:val="00C17996"/>
    <w:rsid w:val="00C204CE"/>
    <w:rsid w:val="00C215F9"/>
    <w:rsid w:val="00C21979"/>
    <w:rsid w:val="00C21B8B"/>
    <w:rsid w:val="00C22C1C"/>
    <w:rsid w:val="00C2341D"/>
    <w:rsid w:val="00C236F1"/>
    <w:rsid w:val="00C248E6"/>
    <w:rsid w:val="00C24D65"/>
    <w:rsid w:val="00C25356"/>
    <w:rsid w:val="00C2785E"/>
    <w:rsid w:val="00C32E42"/>
    <w:rsid w:val="00C339FE"/>
    <w:rsid w:val="00C3599D"/>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688B"/>
    <w:rsid w:val="00C474F7"/>
    <w:rsid w:val="00C50FFB"/>
    <w:rsid w:val="00C51383"/>
    <w:rsid w:val="00C51D0E"/>
    <w:rsid w:val="00C527CB"/>
    <w:rsid w:val="00C52AA0"/>
    <w:rsid w:val="00C54884"/>
    <w:rsid w:val="00C56658"/>
    <w:rsid w:val="00C606C0"/>
    <w:rsid w:val="00C61197"/>
    <w:rsid w:val="00C62DD6"/>
    <w:rsid w:val="00C63537"/>
    <w:rsid w:val="00C63B97"/>
    <w:rsid w:val="00C65F11"/>
    <w:rsid w:val="00C67675"/>
    <w:rsid w:val="00C713D7"/>
    <w:rsid w:val="00C74D7F"/>
    <w:rsid w:val="00C75515"/>
    <w:rsid w:val="00C8023B"/>
    <w:rsid w:val="00C81AC2"/>
    <w:rsid w:val="00C82754"/>
    <w:rsid w:val="00C83121"/>
    <w:rsid w:val="00C83D45"/>
    <w:rsid w:val="00C8433B"/>
    <w:rsid w:val="00C845E6"/>
    <w:rsid w:val="00C8556C"/>
    <w:rsid w:val="00C85B4E"/>
    <w:rsid w:val="00C878E8"/>
    <w:rsid w:val="00C87FB1"/>
    <w:rsid w:val="00C92306"/>
    <w:rsid w:val="00C93C7B"/>
    <w:rsid w:val="00C9425D"/>
    <w:rsid w:val="00C96171"/>
    <w:rsid w:val="00C97546"/>
    <w:rsid w:val="00CA0C3E"/>
    <w:rsid w:val="00CA1540"/>
    <w:rsid w:val="00CA287E"/>
    <w:rsid w:val="00CA44C0"/>
    <w:rsid w:val="00CA44E6"/>
    <w:rsid w:val="00CA5926"/>
    <w:rsid w:val="00CA5FFD"/>
    <w:rsid w:val="00CA6253"/>
    <w:rsid w:val="00CA6B80"/>
    <w:rsid w:val="00CA73A8"/>
    <w:rsid w:val="00CB084F"/>
    <w:rsid w:val="00CB1DAE"/>
    <w:rsid w:val="00CB21C6"/>
    <w:rsid w:val="00CB28A7"/>
    <w:rsid w:val="00CB3DAB"/>
    <w:rsid w:val="00CB3E07"/>
    <w:rsid w:val="00CB4B63"/>
    <w:rsid w:val="00CB532E"/>
    <w:rsid w:val="00CB78EB"/>
    <w:rsid w:val="00CB7FCB"/>
    <w:rsid w:val="00CC00CD"/>
    <w:rsid w:val="00CC2C34"/>
    <w:rsid w:val="00CC3766"/>
    <w:rsid w:val="00CC5BE0"/>
    <w:rsid w:val="00CC5E3E"/>
    <w:rsid w:val="00CC670C"/>
    <w:rsid w:val="00CC6D9C"/>
    <w:rsid w:val="00CC786F"/>
    <w:rsid w:val="00CD080F"/>
    <w:rsid w:val="00CD1A2C"/>
    <w:rsid w:val="00CD2F3A"/>
    <w:rsid w:val="00CD4012"/>
    <w:rsid w:val="00CD4748"/>
    <w:rsid w:val="00CD4CEE"/>
    <w:rsid w:val="00CD5F34"/>
    <w:rsid w:val="00CD64E2"/>
    <w:rsid w:val="00CE041B"/>
    <w:rsid w:val="00CE163D"/>
    <w:rsid w:val="00CE33FA"/>
    <w:rsid w:val="00CE3652"/>
    <w:rsid w:val="00CE38F9"/>
    <w:rsid w:val="00CE3953"/>
    <w:rsid w:val="00CE5EC3"/>
    <w:rsid w:val="00CE7849"/>
    <w:rsid w:val="00CF298B"/>
    <w:rsid w:val="00CF2CA1"/>
    <w:rsid w:val="00CF2EF6"/>
    <w:rsid w:val="00CF4690"/>
    <w:rsid w:val="00CF5D8B"/>
    <w:rsid w:val="00CF6B14"/>
    <w:rsid w:val="00CF7584"/>
    <w:rsid w:val="00CF7DE3"/>
    <w:rsid w:val="00D004A0"/>
    <w:rsid w:val="00D03273"/>
    <w:rsid w:val="00D0349B"/>
    <w:rsid w:val="00D035F8"/>
    <w:rsid w:val="00D04268"/>
    <w:rsid w:val="00D04F45"/>
    <w:rsid w:val="00D054BD"/>
    <w:rsid w:val="00D063D2"/>
    <w:rsid w:val="00D06D43"/>
    <w:rsid w:val="00D1185B"/>
    <w:rsid w:val="00D11E53"/>
    <w:rsid w:val="00D1318F"/>
    <w:rsid w:val="00D13CF4"/>
    <w:rsid w:val="00D15396"/>
    <w:rsid w:val="00D15D40"/>
    <w:rsid w:val="00D16345"/>
    <w:rsid w:val="00D16516"/>
    <w:rsid w:val="00D16E36"/>
    <w:rsid w:val="00D16E39"/>
    <w:rsid w:val="00D2094E"/>
    <w:rsid w:val="00D20C61"/>
    <w:rsid w:val="00D23634"/>
    <w:rsid w:val="00D24BCF"/>
    <w:rsid w:val="00D24CC2"/>
    <w:rsid w:val="00D250D0"/>
    <w:rsid w:val="00D26C96"/>
    <w:rsid w:val="00D30246"/>
    <w:rsid w:val="00D319E3"/>
    <w:rsid w:val="00D31F4A"/>
    <w:rsid w:val="00D32C9D"/>
    <w:rsid w:val="00D348D5"/>
    <w:rsid w:val="00D35D5C"/>
    <w:rsid w:val="00D361D0"/>
    <w:rsid w:val="00D36A8C"/>
    <w:rsid w:val="00D36EF3"/>
    <w:rsid w:val="00D376C1"/>
    <w:rsid w:val="00D40DDB"/>
    <w:rsid w:val="00D4187C"/>
    <w:rsid w:val="00D4245F"/>
    <w:rsid w:val="00D42812"/>
    <w:rsid w:val="00D441C6"/>
    <w:rsid w:val="00D44651"/>
    <w:rsid w:val="00D44846"/>
    <w:rsid w:val="00D45AF8"/>
    <w:rsid w:val="00D4690E"/>
    <w:rsid w:val="00D4754F"/>
    <w:rsid w:val="00D47ADA"/>
    <w:rsid w:val="00D50796"/>
    <w:rsid w:val="00D5088B"/>
    <w:rsid w:val="00D50CC2"/>
    <w:rsid w:val="00D53EA2"/>
    <w:rsid w:val="00D55E8F"/>
    <w:rsid w:val="00D56AB8"/>
    <w:rsid w:val="00D57255"/>
    <w:rsid w:val="00D577D1"/>
    <w:rsid w:val="00D627E4"/>
    <w:rsid w:val="00D63787"/>
    <w:rsid w:val="00D644AA"/>
    <w:rsid w:val="00D64797"/>
    <w:rsid w:val="00D65554"/>
    <w:rsid w:val="00D67754"/>
    <w:rsid w:val="00D70679"/>
    <w:rsid w:val="00D710DF"/>
    <w:rsid w:val="00D729F6"/>
    <w:rsid w:val="00D72E9D"/>
    <w:rsid w:val="00D73A21"/>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638"/>
    <w:rsid w:val="00DA4710"/>
    <w:rsid w:val="00DA5414"/>
    <w:rsid w:val="00DA5AB1"/>
    <w:rsid w:val="00DA6EE1"/>
    <w:rsid w:val="00DA72B4"/>
    <w:rsid w:val="00DB04FC"/>
    <w:rsid w:val="00DB12BD"/>
    <w:rsid w:val="00DB2EB1"/>
    <w:rsid w:val="00DB31D9"/>
    <w:rsid w:val="00DB3448"/>
    <w:rsid w:val="00DB4398"/>
    <w:rsid w:val="00DB44D8"/>
    <w:rsid w:val="00DB49AA"/>
    <w:rsid w:val="00DB5ED4"/>
    <w:rsid w:val="00DB768D"/>
    <w:rsid w:val="00DC32BD"/>
    <w:rsid w:val="00DC3D67"/>
    <w:rsid w:val="00DC578F"/>
    <w:rsid w:val="00DC62E5"/>
    <w:rsid w:val="00DC6ACC"/>
    <w:rsid w:val="00DC753E"/>
    <w:rsid w:val="00DD0196"/>
    <w:rsid w:val="00DD0A90"/>
    <w:rsid w:val="00DD160B"/>
    <w:rsid w:val="00DD1C18"/>
    <w:rsid w:val="00DD2075"/>
    <w:rsid w:val="00DD31A9"/>
    <w:rsid w:val="00DD3432"/>
    <w:rsid w:val="00DD3F40"/>
    <w:rsid w:val="00DD70F8"/>
    <w:rsid w:val="00DD735D"/>
    <w:rsid w:val="00DD7D8D"/>
    <w:rsid w:val="00DE035A"/>
    <w:rsid w:val="00DE0618"/>
    <w:rsid w:val="00DE1FEF"/>
    <w:rsid w:val="00DE2858"/>
    <w:rsid w:val="00DE2B79"/>
    <w:rsid w:val="00DE3119"/>
    <w:rsid w:val="00DE3A59"/>
    <w:rsid w:val="00DE62DC"/>
    <w:rsid w:val="00DE6953"/>
    <w:rsid w:val="00DE6B11"/>
    <w:rsid w:val="00DE6E79"/>
    <w:rsid w:val="00DE70DC"/>
    <w:rsid w:val="00DE7D58"/>
    <w:rsid w:val="00DF02B2"/>
    <w:rsid w:val="00DF0A9C"/>
    <w:rsid w:val="00DF0AB4"/>
    <w:rsid w:val="00DF16DA"/>
    <w:rsid w:val="00DF1DAA"/>
    <w:rsid w:val="00DF236B"/>
    <w:rsid w:val="00DF4B95"/>
    <w:rsid w:val="00DF5090"/>
    <w:rsid w:val="00DF6ACD"/>
    <w:rsid w:val="00E000C8"/>
    <w:rsid w:val="00E009B9"/>
    <w:rsid w:val="00E01453"/>
    <w:rsid w:val="00E017C4"/>
    <w:rsid w:val="00E0224A"/>
    <w:rsid w:val="00E04C9B"/>
    <w:rsid w:val="00E056B2"/>
    <w:rsid w:val="00E06F42"/>
    <w:rsid w:val="00E07843"/>
    <w:rsid w:val="00E10A6D"/>
    <w:rsid w:val="00E10FCB"/>
    <w:rsid w:val="00E13AB8"/>
    <w:rsid w:val="00E13FD3"/>
    <w:rsid w:val="00E14299"/>
    <w:rsid w:val="00E144AB"/>
    <w:rsid w:val="00E163A8"/>
    <w:rsid w:val="00E17C49"/>
    <w:rsid w:val="00E17EE1"/>
    <w:rsid w:val="00E21494"/>
    <w:rsid w:val="00E23732"/>
    <w:rsid w:val="00E240E7"/>
    <w:rsid w:val="00E24319"/>
    <w:rsid w:val="00E2553E"/>
    <w:rsid w:val="00E27565"/>
    <w:rsid w:val="00E3090F"/>
    <w:rsid w:val="00E3117C"/>
    <w:rsid w:val="00E33B62"/>
    <w:rsid w:val="00E34612"/>
    <w:rsid w:val="00E36BAD"/>
    <w:rsid w:val="00E36E37"/>
    <w:rsid w:val="00E36F58"/>
    <w:rsid w:val="00E42CEA"/>
    <w:rsid w:val="00E43A34"/>
    <w:rsid w:val="00E44462"/>
    <w:rsid w:val="00E449E0"/>
    <w:rsid w:val="00E45104"/>
    <w:rsid w:val="00E453B7"/>
    <w:rsid w:val="00E45E0B"/>
    <w:rsid w:val="00E46983"/>
    <w:rsid w:val="00E50B01"/>
    <w:rsid w:val="00E50B32"/>
    <w:rsid w:val="00E52D01"/>
    <w:rsid w:val="00E55371"/>
    <w:rsid w:val="00E5557F"/>
    <w:rsid w:val="00E5588F"/>
    <w:rsid w:val="00E57442"/>
    <w:rsid w:val="00E60196"/>
    <w:rsid w:val="00E60756"/>
    <w:rsid w:val="00E60BE9"/>
    <w:rsid w:val="00E61299"/>
    <w:rsid w:val="00E61E09"/>
    <w:rsid w:val="00E62192"/>
    <w:rsid w:val="00E621BC"/>
    <w:rsid w:val="00E63396"/>
    <w:rsid w:val="00E64B60"/>
    <w:rsid w:val="00E657D4"/>
    <w:rsid w:val="00E66E98"/>
    <w:rsid w:val="00E66ECC"/>
    <w:rsid w:val="00E67E83"/>
    <w:rsid w:val="00E737A7"/>
    <w:rsid w:val="00E74C96"/>
    <w:rsid w:val="00E768B7"/>
    <w:rsid w:val="00E80C3F"/>
    <w:rsid w:val="00E832F8"/>
    <w:rsid w:val="00E83789"/>
    <w:rsid w:val="00E87315"/>
    <w:rsid w:val="00E874AC"/>
    <w:rsid w:val="00E911EE"/>
    <w:rsid w:val="00E91306"/>
    <w:rsid w:val="00E91477"/>
    <w:rsid w:val="00E915AC"/>
    <w:rsid w:val="00E9178F"/>
    <w:rsid w:val="00E91DA5"/>
    <w:rsid w:val="00E91E80"/>
    <w:rsid w:val="00E921B1"/>
    <w:rsid w:val="00E939A8"/>
    <w:rsid w:val="00E93C78"/>
    <w:rsid w:val="00E96EC1"/>
    <w:rsid w:val="00E9754A"/>
    <w:rsid w:val="00E9760B"/>
    <w:rsid w:val="00E97732"/>
    <w:rsid w:val="00E97CC7"/>
    <w:rsid w:val="00EA04EF"/>
    <w:rsid w:val="00EA1131"/>
    <w:rsid w:val="00EA189B"/>
    <w:rsid w:val="00EA1ADA"/>
    <w:rsid w:val="00EA3483"/>
    <w:rsid w:val="00EA4DB3"/>
    <w:rsid w:val="00EA704D"/>
    <w:rsid w:val="00EA79EB"/>
    <w:rsid w:val="00EB0D81"/>
    <w:rsid w:val="00EB0DF1"/>
    <w:rsid w:val="00EB2933"/>
    <w:rsid w:val="00EB351D"/>
    <w:rsid w:val="00EB76EE"/>
    <w:rsid w:val="00EC0082"/>
    <w:rsid w:val="00EC100B"/>
    <w:rsid w:val="00EC171C"/>
    <w:rsid w:val="00EC19AB"/>
    <w:rsid w:val="00EC249E"/>
    <w:rsid w:val="00EC44C2"/>
    <w:rsid w:val="00EC5F41"/>
    <w:rsid w:val="00EC60CB"/>
    <w:rsid w:val="00EC7B4C"/>
    <w:rsid w:val="00ED0667"/>
    <w:rsid w:val="00ED0F19"/>
    <w:rsid w:val="00ED2ED4"/>
    <w:rsid w:val="00ED2EFF"/>
    <w:rsid w:val="00ED3BF4"/>
    <w:rsid w:val="00ED3C6D"/>
    <w:rsid w:val="00ED4234"/>
    <w:rsid w:val="00ED55E1"/>
    <w:rsid w:val="00ED65D6"/>
    <w:rsid w:val="00ED741C"/>
    <w:rsid w:val="00ED7F90"/>
    <w:rsid w:val="00EE094E"/>
    <w:rsid w:val="00EE1CCD"/>
    <w:rsid w:val="00EE4DB7"/>
    <w:rsid w:val="00EE5189"/>
    <w:rsid w:val="00EE776B"/>
    <w:rsid w:val="00EF1522"/>
    <w:rsid w:val="00EF15DA"/>
    <w:rsid w:val="00EF16DD"/>
    <w:rsid w:val="00EF2829"/>
    <w:rsid w:val="00EF5251"/>
    <w:rsid w:val="00EF66D5"/>
    <w:rsid w:val="00EF66D6"/>
    <w:rsid w:val="00F02695"/>
    <w:rsid w:val="00F03853"/>
    <w:rsid w:val="00F03D6F"/>
    <w:rsid w:val="00F04CC2"/>
    <w:rsid w:val="00F05499"/>
    <w:rsid w:val="00F058FE"/>
    <w:rsid w:val="00F060C6"/>
    <w:rsid w:val="00F06B15"/>
    <w:rsid w:val="00F0755F"/>
    <w:rsid w:val="00F109B1"/>
    <w:rsid w:val="00F1157D"/>
    <w:rsid w:val="00F11EDA"/>
    <w:rsid w:val="00F1301C"/>
    <w:rsid w:val="00F13DF7"/>
    <w:rsid w:val="00F14E00"/>
    <w:rsid w:val="00F155B7"/>
    <w:rsid w:val="00F172AE"/>
    <w:rsid w:val="00F237C9"/>
    <w:rsid w:val="00F24361"/>
    <w:rsid w:val="00F26E22"/>
    <w:rsid w:val="00F277D0"/>
    <w:rsid w:val="00F30701"/>
    <w:rsid w:val="00F317BC"/>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DF8"/>
    <w:rsid w:val="00F60E91"/>
    <w:rsid w:val="00F62C3C"/>
    <w:rsid w:val="00F70D8C"/>
    <w:rsid w:val="00F71570"/>
    <w:rsid w:val="00F72BAE"/>
    <w:rsid w:val="00F74127"/>
    <w:rsid w:val="00F74374"/>
    <w:rsid w:val="00F74FD2"/>
    <w:rsid w:val="00F7558E"/>
    <w:rsid w:val="00F76205"/>
    <w:rsid w:val="00F803F1"/>
    <w:rsid w:val="00F8177B"/>
    <w:rsid w:val="00F81A22"/>
    <w:rsid w:val="00F81B47"/>
    <w:rsid w:val="00F823C6"/>
    <w:rsid w:val="00F83B75"/>
    <w:rsid w:val="00F84899"/>
    <w:rsid w:val="00F858AD"/>
    <w:rsid w:val="00F859F0"/>
    <w:rsid w:val="00F859FC"/>
    <w:rsid w:val="00F8789E"/>
    <w:rsid w:val="00F92E29"/>
    <w:rsid w:val="00F93C66"/>
    <w:rsid w:val="00F9407E"/>
    <w:rsid w:val="00F94B56"/>
    <w:rsid w:val="00FA06A3"/>
    <w:rsid w:val="00FA0FB5"/>
    <w:rsid w:val="00FA188E"/>
    <w:rsid w:val="00FA22B3"/>
    <w:rsid w:val="00FA310C"/>
    <w:rsid w:val="00FA3B5A"/>
    <w:rsid w:val="00FA40C0"/>
    <w:rsid w:val="00FA4A30"/>
    <w:rsid w:val="00FA540E"/>
    <w:rsid w:val="00FA562B"/>
    <w:rsid w:val="00FA6587"/>
    <w:rsid w:val="00FA69B7"/>
    <w:rsid w:val="00FA79D2"/>
    <w:rsid w:val="00FB0D40"/>
    <w:rsid w:val="00FB0E35"/>
    <w:rsid w:val="00FB301D"/>
    <w:rsid w:val="00FB309D"/>
    <w:rsid w:val="00FB42FF"/>
    <w:rsid w:val="00FB47F3"/>
    <w:rsid w:val="00FB516F"/>
    <w:rsid w:val="00FC3726"/>
    <w:rsid w:val="00FC639D"/>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149"/>
    <w:rsid w:val="00FE21DA"/>
    <w:rsid w:val="00FE24F4"/>
    <w:rsid w:val="00FE2A33"/>
    <w:rsid w:val="00FE2B5E"/>
    <w:rsid w:val="00FE58FE"/>
    <w:rsid w:val="00FE5ECC"/>
    <w:rsid w:val="00FE674D"/>
    <w:rsid w:val="00FE78CB"/>
    <w:rsid w:val="00FE793C"/>
    <w:rsid w:val="00FF3657"/>
    <w:rsid w:val="00FF417D"/>
    <w:rsid w:val="00FF4A50"/>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9AA5CD62-4DB0-4438-9B21-DB19E451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 w:type="paragraph" w:styleId="Textoindependiente">
    <w:name w:val="Body Text"/>
    <w:basedOn w:val="Normal"/>
    <w:link w:val="TextoindependienteCar"/>
    <w:uiPriority w:val="1"/>
    <w:qFormat/>
    <w:rsid w:val="00050E8C"/>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50E8C"/>
    <w:rPr>
      <w:rFonts w:ascii="Arial" w:eastAsia="Arial" w:hAnsi="Arial" w:cs="Arial"/>
      <w:lang w:val="es-ES"/>
    </w:rPr>
  </w:style>
  <w:style w:type="character" w:customStyle="1" w:styleId="apple-converted-space">
    <w:name w:val="apple-converted-space"/>
    <w:basedOn w:val="Fuentedeprrafopredeter"/>
    <w:rsid w:val="003D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7896281">
      <w:bodyDiv w:val="1"/>
      <w:marLeft w:val="0"/>
      <w:marRight w:val="0"/>
      <w:marTop w:val="0"/>
      <w:marBottom w:val="0"/>
      <w:divBdr>
        <w:top w:val="none" w:sz="0" w:space="0" w:color="auto"/>
        <w:left w:val="none" w:sz="0" w:space="0" w:color="auto"/>
        <w:bottom w:val="none" w:sz="0" w:space="0" w:color="auto"/>
        <w:right w:val="none" w:sz="0" w:space="0" w:color="auto"/>
      </w:divBdr>
    </w:div>
    <w:div w:id="410280652">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883">
      <w:bodyDiv w:val="1"/>
      <w:marLeft w:val="0"/>
      <w:marRight w:val="0"/>
      <w:marTop w:val="0"/>
      <w:marBottom w:val="0"/>
      <w:divBdr>
        <w:top w:val="none" w:sz="0" w:space="0" w:color="auto"/>
        <w:left w:val="none" w:sz="0" w:space="0" w:color="auto"/>
        <w:bottom w:val="none" w:sz="0" w:space="0" w:color="auto"/>
        <w:right w:val="none" w:sz="0" w:space="0" w:color="auto"/>
      </w:divBdr>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documents/guia_para_la_comprension_e_implementacion_de_los_documentos_tipo_obra_publica_de_infraestructura_transporte_-_cce-eicp-gi12.pdf" TargetMode="External"/><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33D5DBE-87A6-4EEA-BF86-D395C4FFC535}"/>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40E15D1-19D9-4DAE-A3E4-DBAC86E5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491</TotalTime>
  <Pages>21</Pages>
  <Words>8129</Words>
  <Characters>44715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 Castañeda</cp:lastModifiedBy>
  <cp:revision>13</cp:revision>
  <dcterms:created xsi:type="dcterms:W3CDTF">2022-06-05T17:58:00Z</dcterms:created>
  <dcterms:modified xsi:type="dcterms:W3CDTF">2022-07-07T17:05:00Z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