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EEFED" w14:textId="57041105" w:rsidR="00DB478D" w:rsidRPr="00080C71" w:rsidRDefault="00587A88" w:rsidP="00DB478D">
      <w:pPr>
        <w:contextualSpacing/>
        <w:jc w:val="both"/>
        <w:rPr>
          <w:rFonts w:ascii="Arial" w:hAnsi="Arial" w:cs="Arial"/>
          <w:b/>
          <w:bCs/>
          <w:iCs/>
          <w:sz w:val="22"/>
          <w:szCs w:val="22"/>
          <w:lang w:val="es-ES_tradnl"/>
        </w:rPr>
      </w:pPr>
      <w:r>
        <w:rPr>
          <w:rFonts w:ascii="Arial" w:hAnsi="Arial" w:cs="Arial"/>
          <w:b/>
          <w:bCs/>
          <w:iCs/>
          <w:sz w:val="22"/>
          <w:szCs w:val="22"/>
          <w:lang w:val="es-ES_tradnl"/>
        </w:rPr>
        <w:t>DEBER DE PUBLICACIÓN</w:t>
      </w:r>
      <w:r w:rsidR="00DB478D" w:rsidRPr="00080C71">
        <w:rPr>
          <w:rFonts w:ascii="Arial" w:hAnsi="Arial" w:cs="Arial"/>
          <w:b/>
          <w:bCs/>
          <w:iCs/>
          <w:sz w:val="22"/>
          <w:szCs w:val="22"/>
          <w:lang w:val="es-ES_tradnl"/>
        </w:rPr>
        <w:t xml:space="preserve"> </w:t>
      </w:r>
      <w:r w:rsidR="00DB478D" w:rsidRPr="00080C71">
        <w:rPr>
          <w:rFonts w:ascii="Arial" w:eastAsia="Calibri" w:hAnsi="Arial" w:cs="Arial"/>
          <w:b/>
          <w:sz w:val="22"/>
          <w:szCs w:val="22"/>
          <w:lang w:val="es-ES_tradnl" w:eastAsia="en-US"/>
        </w:rPr>
        <w:t>–</w:t>
      </w:r>
      <w:r w:rsidR="00DB478D" w:rsidRPr="00080C71">
        <w:rPr>
          <w:rFonts w:ascii="Arial" w:hAnsi="Arial" w:cs="Arial"/>
          <w:b/>
          <w:bCs/>
          <w:iCs/>
          <w:sz w:val="22"/>
          <w:szCs w:val="22"/>
          <w:lang w:val="es-ES_tradnl"/>
        </w:rPr>
        <w:t xml:space="preserve"> Entidades exceptuadas del </w:t>
      </w:r>
      <w:r w:rsidR="00A5764C">
        <w:rPr>
          <w:rFonts w:ascii="Arial" w:hAnsi="Arial" w:cs="Arial"/>
          <w:b/>
          <w:bCs/>
          <w:iCs/>
          <w:sz w:val="22"/>
          <w:szCs w:val="22"/>
          <w:lang w:val="es-ES_tradnl"/>
        </w:rPr>
        <w:t>e</w:t>
      </w:r>
      <w:r w:rsidR="00DB478D" w:rsidRPr="00080C71">
        <w:rPr>
          <w:rFonts w:ascii="Arial" w:hAnsi="Arial" w:cs="Arial"/>
          <w:b/>
          <w:bCs/>
          <w:iCs/>
          <w:sz w:val="22"/>
          <w:szCs w:val="22"/>
          <w:lang w:val="es-ES_tradnl"/>
        </w:rPr>
        <w:t xml:space="preserve">statuto </w:t>
      </w:r>
      <w:r w:rsidR="00A5764C">
        <w:rPr>
          <w:rFonts w:ascii="Arial" w:hAnsi="Arial" w:cs="Arial"/>
          <w:b/>
          <w:bCs/>
          <w:iCs/>
          <w:sz w:val="22"/>
          <w:szCs w:val="22"/>
          <w:lang w:val="es-ES_tradnl"/>
        </w:rPr>
        <w:t>g</w:t>
      </w:r>
      <w:r w:rsidR="00DB478D" w:rsidRPr="00080C71">
        <w:rPr>
          <w:rFonts w:ascii="Arial" w:hAnsi="Arial" w:cs="Arial"/>
          <w:b/>
          <w:bCs/>
          <w:iCs/>
          <w:sz w:val="22"/>
          <w:szCs w:val="22"/>
          <w:lang w:val="es-ES_tradnl"/>
        </w:rPr>
        <w:t xml:space="preserve">eneral de </w:t>
      </w:r>
      <w:r w:rsidR="00A5764C">
        <w:rPr>
          <w:rFonts w:ascii="Arial" w:hAnsi="Arial" w:cs="Arial"/>
          <w:b/>
          <w:bCs/>
          <w:iCs/>
          <w:sz w:val="22"/>
          <w:szCs w:val="22"/>
          <w:lang w:val="es-ES_tradnl"/>
        </w:rPr>
        <w:t>c</w:t>
      </w:r>
      <w:r w:rsidR="00DB478D" w:rsidRPr="00080C71">
        <w:rPr>
          <w:rFonts w:ascii="Arial" w:hAnsi="Arial" w:cs="Arial"/>
          <w:b/>
          <w:bCs/>
          <w:iCs/>
          <w:sz w:val="22"/>
          <w:szCs w:val="22"/>
          <w:lang w:val="es-ES_tradnl"/>
        </w:rPr>
        <w:t>ontratación</w:t>
      </w:r>
    </w:p>
    <w:p w14:paraId="09F72121" w14:textId="77777777" w:rsidR="00DB478D" w:rsidRPr="00080C71" w:rsidRDefault="00DB478D" w:rsidP="00DB478D">
      <w:pPr>
        <w:contextualSpacing/>
        <w:jc w:val="both"/>
        <w:rPr>
          <w:rFonts w:ascii="Arial" w:hAnsi="Arial" w:cs="Arial"/>
          <w:b/>
          <w:bCs/>
          <w:iCs/>
          <w:sz w:val="20"/>
          <w:szCs w:val="20"/>
          <w:lang w:val="es-ES_tradnl"/>
        </w:rPr>
      </w:pPr>
    </w:p>
    <w:p w14:paraId="68BEB425" w14:textId="77777777" w:rsidR="00DB478D" w:rsidRDefault="00DB478D" w:rsidP="00DB478D">
      <w:pPr>
        <w:pStyle w:val="Textoindependiente"/>
        <w:spacing w:after="0"/>
        <w:contextualSpacing/>
        <w:jc w:val="both"/>
        <w:rPr>
          <w:rFonts w:ascii="Arial" w:hAnsi="Arial" w:cs="Arial"/>
          <w:sz w:val="20"/>
          <w:szCs w:val="20"/>
        </w:rPr>
      </w:pPr>
      <w:r w:rsidRPr="00080C71">
        <w:rPr>
          <w:rFonts w:ascii="Arial" w:hAnsi="Arial" w:cs="Arial"/>
          <w:sz w:val="20"/>
          <w:szCs w:val="20"/>
        </w:rPr>
        <w:t>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 El principio de transparencia en la información alude al deber de los sujetos de proporcionar y facilitar el acceso a la misma en los términos más amplios posibles, a través de los medios y procedimientos que establezca la</w:t>
      </w:r>
      <w:r w:rsidRPr="00080C71">
        <w:rPr>
          <w:rFonts w:ascii="Arial" w:hAnsi="Arial" w:cs="Arial"/>
          <w:spacing w:val="-2"/>
          <w:sz w:val="20"/>
          <w:szCs w:val="20"/>
        </w:rPr>
        <w:t xml:space="preserve"> </w:t>
      </w:r>
      <w:r w:rsidRPr="00080C71">
        <w:rPr>
          <w:rFonts w:ascii="Arial" w:hAnsi="Arial" w:cs="Arial"/>
          <w:sz w:val="20"/>
          <w:szCs w:val="20"/>
        </w:rPr>
        <w:t>ley.</w:t>
      </w:r>
    </w:p>
    <w:p w14:paraId="7711E261" w14:textId="77777777" w:rsidR="00DB478D" w:rsidRPr="00080C71" w:rsidRDefault="00DB478D" w:rsidP="00DB478D">
      <w:pPr>
        <w:pStyle w:val="Textoindependiente"/>
        <w:spacing w:after="0"/>
        <w:contextualSpacing/>
        <w:jc w:val="both"/>
        <w:rPr>
          <w:rFonts w:ascii="Arial" w:hAnsi="Arial" w:cs="Arial"/>
          <w:sz w:val="20"/>
          <w:szCs w:val="20"/>
        </w:rPr>
      </w:pPr>
    </w:p>
    <w:p w14:paraId="04269582" w14:textId="77777777" w:rsidR="00DB478D" w:rsidRDefault="00DB478D" w:rsidP="00DB478D">
      <w:pPr>
        <w:pStyle w:val="Textoindependiente"/>
        <w:spacing w:after="0"/>
        <w:contextualSpacing/>
        <w:jc w:val="both"/>
        <w:rPr>
          <w:rFonts w:ascii="Arial" w:hAnsi="Arial" w:cs="Arial"/>
          <w:sz w:val="20"/>
          <w:szCs w:val="20"/>
        </w:rPr>
      </w:pPr>
      <w:r w:rsidRPr="00080C71">
        <w:rPr>
          <w:rFonts w:ascii="Arial" w:hAnsi="Arial" w:cs="Arial"/>
          <w:sz w:val="20"/>
          <w:szCs w:val="20"/>
        </w:rPr>
        <w:t>La citada ley establece, en el literal e) del artículo 9, que los sujetos obligados, que son todas las entidades públicas, deben publicar la información relativa a su contratación. Esta obligación fue desarrollada por el artículo 2.1.1.2.1.7. del Decreto Único Reglamentario 1081 de 2015, el cual dispone que la publicación de la información contractual de los sujetos obligados,</w:t>
      </w:r>
      <w:r w:rsidRPr="00080C71">
        <w:rPr>
          <w:rFonts w:ascii="Arial" w:hAnsi="Arial" w:cs="Arial"/>
          <w:spacing w:val="3"/>
          <w:sz w:val="20"/>
          <w:szCs w:val="20"/>
        </w:rPr>
        <w:t xml:space="preserve"> </w:t>
      </w:r>
      <w:r w:rsidRPr="00080C71">
        <w:rPr>
          <w:rFonts w:ascii="Arial" w:hAnsi="Arial" w:cs="Arial"/>
          <w:sz w:val="20"/>
          <w:szCs w:val="20"/>
        </w:rPr>
        <w:t xml:space="preserve">que contratan con cargo a recursos públicos, debe hacerse en el Sistema Electrónico de Contratación Pública ─ SECOP. </w:t>
      </w:r>
    </w:p>
    <w:p w14:paraId="57424FDA" w14:textId="77777777" w:rsidR="00DB478D" w:rsidRPr="00080C71" w:rsidRDefault="00DB478D" w:rsidP="00DB478D">
      <w:pPr>
        <w:pStyle w:val="Textoindependiente"/>
        <w:spacing w:after="0"/>
        <w:contextualSpacing/>
        <w:jc w:val="both"/>
        <w:rPr>
          <w:rFonts w:ascii="Arial" w:hAnsi="Arial" w:cs="Arial"/>
          <w:sz w:val="20"/>
          <w:szCs w:val="20"/>
        </w:rPr>
      </w:pPr>
    </w:p>
    <w:p w14:paraId="25FE3DCE" w14:textId="646D9479" w:rsidR="00DB478D" w:rsidRPr="00080C71" w:rsidRDefault="00DB478D" w:rsidP="00DB478D">
      <w:pPr>
        <w:contextualSpacing/>
        <w:jc w:val="both"/>
        <w:rPr>
          <w:rFonts w:ascii="Arial" w:hAnsi="Arial" w:cs="Arial"/>
          <w:b/>
          <w:bCs/>
          <w:iCs/>
          <w:sz w:val="22"/>
          <w:szCs w:val="22"/>
          <w:lang w:val="es-ES_tradnl"/>
        </w:rPr>
      </w:pPr>
      <w:r w:rsidRPr="00080C71">
        <w:rPr>
          <w:rFonts w:ascii="Arial" w:hAnsi="Arial" w:cs="Arial"/>
          <w:b/>
          <w:bCs/>
          <w:iCs/>
          <w:sz w:val="22"/>
          <w:szCs w:val="22"/>
          <w:lang w:val="es-ES_tradnl"/>
        </w:rPr>
        <w:t xml:space="preserve">SECOP II </w:t>
      </w:r>
      <w:r w:rsidRPr="00080C71">
        <w:rPr>
          <w:rFonts w:ascii="Arial" w:eastAsia="Calibri" w:hAnsi="Arial" w:cs="Arial"/>
          <w:b/>
          <w:sz w:val="22"/>
          <w:szCs w:val="22"/>
          <w:lang w:val="es-ES_tradnl" w:eastAsia="en-US"/>
        </w:rPr>
        <w:t>–</w:t>
      </w:r>
      <w:r w:rsidRPr="00080C71">
        <w:rPr>
          <w:rFonts w:ascii="Arial" w:hAnsi="Arial" w:cs="Arial"/>
          <w:b/>
          <w:bCs/>
          <w:iCs/>
          <w:sz w:val="22"/>
          <w:szCs w:val="22"/>
          <w:lang w:val="es-ES_tradnl"/>
        </w:rPr>
        <w:t xml:space="preserve"> Deber de publicación </w:t>
      </w:r>
      <w:r w:rsidRPr="00080C71">
        <w:rPr>
          <w:rFonts w:ascii="Arial" w:eastAsia="Calibri" w:hAnsi="Arial" w:cs="Arial"/>
          <w:b/>
          <w:sz w:val="22"/>
          <w:szCs w:val="22"/>
          <w:lang w:val="es-ES_tradnl" w:eastAsia="en-US"/>
        </w:rPr>
        <w:t>–</w:t>
      </w:r>
      <w:r w:rsidRPr="00080C71">
        <w:rPr>
          <w:rFonts w:ascii="Arial" w:hAnsi="Arial" w:cs="Arial"/>
          <w:b/>
          <w:bCs/>
          <w:iCs/>
          <w:sz w:val="22"/>
          <w:szCs w:val="22"/>
          <w:lang w:val="es-ES_tradnl"/>
        </w:rPr>
        <w:t xml:space="preserve"> </w:t>
      </w:r>
      <w:r w:rsidR="00A5764C" w:rsidRPr="00080C71">
        <w:rPr>
          <w:rFonts w:ascii="Arial" w:hAnsi="Arial" w:cs="Arial"/>
          <w:b/>
          <w:bCs/>
          <w:iCs/>
          <w:sz w:val="22"/>
          <w:szCs w:val="22"/>
          <w:lang w:val="es-ES_tradnl"/>
        </w:rPr>
        <w:t xml:space="preserve">Entidades exceptuadas del </w:t>
      </w:r>
      <w:r w:rsidR="00A5764C">
        <w:rPr>
          <w:rFonts w:ascii="Arial" w:hAnsi="Arial" w:cs="Arial"/>
          <w:b/>
          <w:bCs/>
          <w:iCs/>
          <w:sz w:val="22"/>
          <w:szCs w:val="22"/>
          <w:lang w:val="es-ES_tradnl"/>
        </w:rPr>
        <w:t>e</w:t>
      </w:r>
      <w:r w:rsidR="00A5764C" w:rsidRPr="00080C71">
        <w:rPr>
          <w:rFonts w:ascii="Arial" w:hAnsi="Arial" w:cs="Arial"/>
          <w:b/>
          <w:bCs/>
          <w:iCs/>
          <w:sz w:val="22"/>
          <w:szCs w:val="22"/>
          <w:lang w:val="es-ES_tradnl"/>
        </w:rPr>
        <w:t xml:space="preserve">statuto </w:t>
      </w:r>
      <w:r w:rsidR="00A5764C">
        <w:rPr>
          <w:rFonts w:ascii="Arial" w:hAnsi="Arial" w:cs="Arial"/>
          <w:b/>
          <w:bCs/>
          <w:iCs/>
          <w:sz w:val="22"/>
          <w:szCs w:val="22"/>
          <w:lang w:val="es-ES_tradnl"/>
        </w:rPr>
        <w:t>g</w:t>
      </w:r>
      <w:r w:rsidR="00A5764C" w:rsidRPr="00080C71">
        <w:rPr>
          <w:rFonts w:ascii="Arial" w:hAnsi="Arial" w:cs="Arial"/>
          <w:b/>
          <w:bCs/>
          <w:iCs/>
          <w:sz w:val="22"/>
          <w:szCs w:val="22"/>
          <w:lang w:val="es-ES_tradnl"/>
        </w:rPr>
        <w:t xml:space="preserve">eneral de </w:t>
      </w:r>
      <w:r w:rsidR="00A5764C">
        <w:rPr>
          <w:rFonts w:ascii="Arial" w:hAnsi="Arial" w:cs="Arial"/>
          <w:b/>
          <w:bCs/>
          <w:iCs/>
          <w:sz w:val="22"/>
          <w:szCs w:val="22"/>
          <w:lang w:val="es-ES_tradnl"/>
        </w:rPr>
        <w:t>c</w:t>
      </w:r>
      <w:r w:rsidR="00A5764C" w:rsidRPr="00080C71">
        <w:rPr>
          <w:rFonts w:ascii="Arial" w:hAnsi="Arial" w:cs="Arial"/>
          <w:b/>
          <w:bCs/>
          <w:iCs/>
          <w:sz w:val="22"/>
          <w:szCs w:val="22"/>
          <w:lang w:val="es-ES_tradnl"/>
        </w:rPr>
        <w:t>ontratación</w:t>
      </w:r>
      <w:r w:rsidR="00A5764C" w:rsidRPr="00080C71">
        <w:rPr>
          <w:rFonts w:ascii="Arial" w:hAnsi="Arial" w:cs="Arial"/>
          <w:b/>
          <w:bCs/>
          <w:iCs/>
          <w:sz w:val="22"/>
          <w:szCs w:val="22"/>
          <w:lang w:val="es-ES_tradnl"/>
        </w:rPr>
        <w:t xml:space="preserve"> </w:t>
      </w:r>
      <w:r w:rsidRPr="00080C71">
        <w:rPr>
          <w:rFonts w:ascii="Arial" w:hAnsi="Arial" w:cs="Arial"/>
          <w:b/>
          <w:bCs/>
          <w:iCs/>
          <w:sz w:val="22"/>
          <w:szCs w:val="22"/>
          <w:lang w:val="es-ES_tradnl"/>
        </w:rPr>
        <w:t>– Modificación artículo 53 de la Ley 2195 de 2022</w:t>
      </w:r>
    </w:p>
    <w:p w14:paraId="2595D8FC" w14:textId="77777777" w:rsidR="00DB478D" w:rsidRPr="00080C71" w:rsidRDefault="00DB478D" w:rsidP="00DB478D">
      <w:pPr>
        <w:contextualSpacing/>
        <w:jc w:val="both"/>
        <w:rPr>
          <w:rFonts w:ascii="Arial" w:hAnsi="Arial" w:cs="Arial"/>
          <w:b/>
          <w:bCs/>
          <w:iCs/>
          <w:sz w:val="20"/>
          <w:szCs w:val="20"/>
          <w:lang w:val="es-ES_tradnl"/>
        </w:rPr>
      </w:pPr>
    </w:p>
    <w:p w14:paraId="00B20A87" w14:textId="77777777" w:rsidR="00DB478D" w:rsidRPr="00080C71" w:rsidRDefault="00DB478D" w:rsidP="00DB478D">
      <w:pPr>
        <w:contextualSpacing/>
        <w:jc w:val="both"/>
        <w:rPr>
          <w:rFonts w:ascii="Arial" w:hAnsi="Arial" w:cs="Arial"/>
          <w:b/>
          <w:bCs/>
          <w:iCs/>
          <w:sz w:val="20"/>
          <w:szCs w:val="20"/>
          <w:lang w:val="es-ES_tradnl"/>
        </w:rPr>
      </w:pPr>
      <w:r w:rsidRPr="00080C71">
        <w:rPr>
          <w:rFonts w:ascii="Arial" w:hAnsi="Arial" w:cs="Arial"/>
          <w:sz w:val="20"/>
          <w:szCs w:val="20"/>
        </w:rPr>
        <w:t>Las anteriores disposiciones normativas fueron complementadas con la expedición del artículo 53 de la Ley 2195 de 2022, el cual le asigna la obligación expresa a las entidades estatales que por disposición legal cuenten con un régimen contractual excepcional al del Estatuto General de Contratación de la Administración Pública de publicar los documentos relacionados con su actividad contractual en el Sistema Electrónico para la Contratación Pública -SECOP II- o la plataforma transaccional que haga sus veces.</w:t>
      </w:r>
    </w:p>
    <w:p w14:paraId="494A7B64" w14:textId="77777777" w:rsidR="00DB478D" w:rsidRPr="00080C71" w:rsidRDefault="00DB478D" w:rsidP="00DB478D">
      <w:pPr>
        <w:contextualSpacing/>
        <w:jc w:val="both"/>
        <w:rPr>
          <w:rFonts w:ascii="Arial" w:hAnsi="Arial" w:cs="Arial"/>
          <w:b/>
          <w:bCs/>
          <w:iCs/>
          <w:sz w:val="20"/>
          <w:szCs w:val="20"/>
          <w:lang w:val="es-ES_tradnl"/>
        </w:rPr>
      </w:pPr>
    </w:p>
    <w:p w14:paraId="496C7476" w14:textId="406B0830" w:rsidR="00DB478D" w:rsidRPr="00080C71" w:rsidRDefault="00DB478D" w:rsidP="00DB478D">
      <w:pPr>
        <w:contextualSpacing/>
        <w:jc w:val="both"/>
        <w:rPr>
          <w:rFonts w:ascii="Arial" w:eastAsia="Calibri" w:hAnsi="Arial" w:cs="Arial"/>
          <w:b/>
          <w:sz w:val="22"/>
          <w:szCs w:val="22"/>
          <w:lang w:val="es-ES_tradnl" w:eastAsia="en-US"/>
        </w:rPr>
      </w:pPr>
      <w:r w:rsidRPr="00080C71">
        <w:rPr>
          <w:rFonts w:ascii="Arial" w:eastAsia="Calibri" w:hAnsi="Arial" w:cs="Arial"/>
          <w:b/>
          <w:sz w:val="22"/>
          <w:szCs w:val="22"/>
          <w:lang w:val="es-ES_tradnl" w:eastAsia="en-US"/>
        </w:rPr>
        <w:t>SECOP II –</w:t>
      </w:r>
      <w:r w:rsidRPr="00080C71">
        <w:rPr>
          <w:rFonts w:ascii="Arial" w:hAnsi="Arial" w:cs="Arial"/>
          <w:b/>
          <w:bCs/>
          <w:iCs/>
          <w:sz w:val="22"/>
          <w:szCs w:val="22"/>
          <w:lang w:val="es-ES_tradnl"/>
        </w:rPr>
        <w:t xml:space="preserve"> Deber de publicación </w:t>
      </w:r>
      <w:r w:rsidRPr="00080C71">
        <w:rPr>
          <w:rFonts w:ascii="Arial" w:eastAsia="Calibri" w:hAnsi="Arial" w:cs="Arial"/>
          <w:b/>
          <w:sz w:val="22"/>
          <w:szCs w:val="22"/>
          <w:lang w:val="es-ES_tradnl" w:eastAsia="en-US"/>
        </w:rPr>
        <w:t>–</w:t>
      </w:r>
      <w:r w:rsidRPr="00080C71">
        <w:rPr>
          <w:rFonts w:ascii="Arial" w:hAnsi="Arial" w:cs="Arial"/>
          <w:b/>
          <w:bCs/>
          <w:iCs/>
          <w:sz w:val="22"/>
          <w:szCs w:val="22"/>
          <w:lang w:val="es-ES_tradnl"/>
        </w:rPr>
        <w:t xml:space="preserve"> Entidades </w:t>
      </w:r>
      <w:r w:rsidR="00A5764C">
        <w:rPr>
          <w:rFonts w:ascii="Arial" w:hAnsi="Arial" w:cs="Arial"/>
          <w:b/>
          <w:bCs/>
          <w:iCs/>
          <w:sz w:val="22"/>
          <w:szCs w:val="22"/>
          <w:lang w:val="es-ES_tradnl"/>
        </w:rPr>
        <w:t>e</w:t>
      </w:r>
      <w:r w:rsidRPr="00080C71">
        <w:rPr>
          <w:rFonts w:ascii="Arial" w:hAnsi="Arial" w:cs="Arial"/>
          <w:b/>
          <w:bCs/>
          <w:iCs/>
          <w:sz w:val="22"/>
          <w:szCs w:val="22"/>
          <w:lang w:val="es-ES_tradnl"/>
        </w:rPr>
        <w:t xml:space="preserve">statales exceptuadas </w:t>
      </w:r>
      <w:r w:rsidRPr="00080C71">
        <w:rPr>
          <w:rFonts w:ascii="Arial" w:eastAsia="Calibri" w:hAnsi="Arial" w:cs="Arial"/>
          <w:b/>
          <w:sz w:val="22"/>
          <w:szCs w:val="22"/>
          <w:lang w:val="es-ES_tradnl" w:eastAsia="en-US"/>
        </w:rPr>
        <w:t>–</w:t>
      </w:r>
      <w:r w:rsidRPr="00080C71">
        <w:rPr>
          <w:rFonts w:ascii="Arial" w:hAnsi="Arial" w:cs="Arial"/>
          <w:b/>
          <w:bCs/>
          <w:iCs/>
          <w:sz w:val="22"/>
          <w:szCs w:val="22"/>
          <w:lang w:val="es-ES_tradnl"/>
        </w:rPr>
        <w:t xml:space="preserve"> </w:t>
      </w:r>
      <w:r w:rsidRPr="00080C71">
        <w:rPr>
          <w:rFonts w:ascii="Arial" w:eastAsia="Calibri" w:hAnsi="Arial" w:cs="Arial"/>
          <w:b/>
          <w:sz w:val="22"/>
          <w:szCs w:val="22"/>
          <w:lang w:val="es-ES_tradnl" w:eastAsia="en-US"/>
        </w:rPr>
        <w:t xml:space="preserve">Documentos relacionados con la actividad contractual  </w:t>
      </w:r>
    </w:p>
    <w:p w14:paraId="60BC9C98" w14:textId="77777777" w:rsidR="00DB478D" w:rsidRPr="00080C71" w:rsidRDefault="00DB478D" w:rsidP="00DB478D">
      <w:pPr>
        <w:contextualSpacing/>
        <w:jc w:val="both"/>
        <w:rPr>
          <w:rFonts w:ascii="Arial" w:eastAsia="Calibri" w:hAnsi="Arial" w:cs="Arial"/>
          <w:b/>
          <w:sz w:val="20"/>
          <w:szCs w:val="20"/>
          <w:lang w:val="es-ES_tradnl" w:eastAsia="en-US"/>
        </w:rPr>
      </w:pPr>
    </w:p>
    <w:p w14:paraId="3ED0693B" w14:textId="77777777" w:rsidR="00DB478D" w:rsidRDefault="00DB478D" w:rsidP="00DB478D">
      <w:pPr>
        <w:contextualSpacing/>
        <w:jc w:val="both"/>
        <w:rPr>
          <w:rFonts w:ascii="Arial" w:eastAsia="Calibri" w:hAnsi="Arial" w:cs="Arial"/>
          <w:sz w:val="20"/>
          <w:szCs w:val="20"/>
          <w:lang w:val="es-ES_tradnl"/>
        </w:rPr>
      </w:pPr>
      <w:r w:rsidRPr="00080C71">
        <w:rPr>
          <w:rFonts w:ascii="Arial" w:eastAsia="Calibri" w:hAnsi="Arial" w:cs="Arial"/>
          <w:sz w:val="20"/>
          <w:szCs w:val="20"/>
          <w:lang w:val="es-ES_tradnl"/>
        </w:rPr>
        <w:t xml:space="preserve">En cuanto a los documentos que deben ser publicados en el SECOP II a efectos de dar cumplimiento al mandato consagrado en el artículo 53 de la Ley 2195 de 2022, es preciso advertir que la disposición hace referencia a los documentos relacionados con su </w:t>
      </w:r>
      <w:r w:rsidRPr="00080C71">
        <w:rPr>
          <w:rFonts w:ascii="Arial" w:eastAsia="Calibri" w:hAnsi="Arial" w:cs="Arial"/>
          <w:i/>
          <w:iCs/>
          <w:sz w:val="20"/>
          <w:szCs w:val="20"/>
          <w:lang w:val="es-ES_tradnl"/>
        </w:rPr>
        <w:t>actividad contractual,</w:t>
      </w:r>
      <w:r w:rsidRPr="00080C71">
        <w:rPr>
          <w:rFonts w:ascii="Arial" w:eastAsia="Calibri" w:hAnsi="Arial" w:cs="Arial"/>
          <w:sz w:val="20"/>
          <w:szCs w:val="20"/>
          <w:lang w:val="es-ES_tradnl"/>
        </w:rPr>
        <w:t xml:space="preserve"> la cual define como «[…] los documentos, contratos, actos e información generada por oferentes, contratista, contratante, supervisor o interventor, tanto en la </w:t>
      </w:r>
      <w:r w:rsidRPr="00080C71">
        <w:rPr>
          <w:rFonts w:ascii="Arial" w:eastAsia="Calibri" w:hAnsi="Arial" w:cs="Arial"/>
          <w:i/>
          <w:iCs/>
          <w:sz w:val="20"/>
          <w:szCs w:val="20"/>
          <w:lang w:val="es-ES_tradnl"/>
        </w:rPr>
        <w:t xml:space="preserve">etapa precontractual, como en la contractual y la </w:t>
      </w:r>
      <w:proofErr w:type="spellStart"/>
      <w:r w:rsidRPr="00080C71">
        <w:rPr>
          <w:rFonts w:ascii="Arial" w:eastAsia="Calibri" w:hAnsi="Arial" w:cs="Arial"/>
          <w:i/>
          <w:iCs/>
          <w:sz w:val="20"/>
          <w:szCs w:val="20"/>
          <w:lang w:val="es-ES_tradnl"/>
        </w:rPr>
        <w:t>postcontractual</w:t>
      </w:r>
      <w:proofErr w:type="spellEnd"/>
      <w:r w:rsidRPr="00080C71">
        <w:rPr>
          <w:rFonts w:ascii="Arial" w:eastAsia="Calibri" w:hAnsi="Arial" w:cs="Arial"/>
          <w:sz w:val="20"/>
          <w:szCs w:val="20"/>
          <w:lang w:val="es-ES_tradnl"/>
        </w:rPr>
        <w:t xml:space="preserve">». En ese sentido, el artículo 53 de la Ley 2195 de 2022 establece el deber de publicar toda aquella información relacionada con el respectivo contrato, sin incluir ninguna excepción relacionada con la naturaleza u objeto del contrato, por lo que no puede colegirse que los procesos de contratación relacionados con asuntos </w:t>
      </w:r>
      <w:r w:rsidRPr="00080C71">
        <w:rPr>
          <w:rFonts w:ascii="Arial" w:eastAsia="Calibri" w:hAnsi="Arial" w:cs="Arial"/>
          <w:i/>
          <w:iCs/>
          <w:sz w:val="20"/>
          <w:szCs w:val="20"/>
          <w:lang w:val="es-ES_tradnl"/>
        </w:rPr>
        <w:t>«no misionales»</w:t>
      </w:r>
      <w:r w:rsidRPr="00080C71">
        <w:rPr>
          <w:rFonts w:ascii="Arial" w:eastAsia="Calibri" w:hAnsi="Arial" w:cs="Arial"/>
          <w:sz w:val="20"/>
          <w:szCs w:val="20"/>
          <w:lang w:val="es-ES_tradnl"/>
        </w:rPr>
        <w:t xml:space="preserve"> estén </w:t>
      </w:r>
      <w:r w:rsidRPr="00080C71">
        <w:rPr>
          <w:rFonts w:ascii="Arial" w:eastAsia="Calibri" w:hAnsi="Arial" w:cs="Arial"/>
          <w:i/>
          <w:iCs/>
          <w:sz w:val="20"/>
          <w:szCs w:val="20"/>
          <w:lang w:val="es-ES_tradnl"/>
        </w:rPr>
        <w:t>per se</w:t>
      </w:r>
      <w:r w:rsidRPr="00080C71">
        <w:rPr>
          <w:rFonts w:ascii="Arial" w:eastAsia="Calibri" w:hAnsi="Arial" w:cs="Arial"/>
          <w:sz w:val="20"/>
          <w:szCs w:val="20"/>
          <w:lang w:val="es-ES_tradnl"/>
        </w:rPr>
        <w:t xml:space="preserve"> excluidos del deber de publicidad. </w:t>
      </w:r>
    </w:p>
    <w:p w14:paraId="5C61D97E" w14:textId="77777777" w:rsidR="00DB478D" w:rsidRPr="00080C71" w:rsidRDefault="00DB478D" w:rsidP="00DB478D">
      <w:pPr>
        <w:contextualSpacing/>
        <w:jc w:val="both"/>
        <w:rPr>
          <w:rFonts w:ascii="Arial" w:eastAsia="Calibri" w:hAnsi="Arial" w:cs="Arial"/>
          <w:sz w:val="20"/>
          <w:szCs w:val="20"/>
          <w:lang w:val="es-ES_tradnl"/>
        </w:rPr>
      </w:pPr>
    </w:p>
    <w:p w14:paraId="30E1A78B" w14:textId="7BECFCB8" w:rsidR="00DB478D" w:rsidRPr="00080C71" w:rsidRDefault="00DB478D" w:rsidP="00DB478D">
      <w:pPr>
        <w:contextualSpacing/>
        <w:jc w:val="both"/>
        <w:rPr>
          <w:rFonts w:ascii="Arial" w:eastAsia="Calibri" w:hAnsi="Arial" w:cs="Arial"/>
          <w:b/>
          <w:sz w:val="22"/>
          <w:szCs w:val="22"/>
          <w:lang w:val="es-ES_tradnl" w:eastAsia="en-US"/>
        </w:rPr>
      </w:pPr>
      <w:r w:rsidRPr="00080C71">
        <w:rPr>
          <w:rFonts w:ascii="Arial" w:eastAsia="Calibri" w:hAnsi="Arial" w:cs="Arial"/>
          <w:b/>
          <w:sz w:val="22"/>
          <w:szCs w:val="22"/>
          <w:lang w:val="es-ES_tradnl" w:eastAsia="en-US"/>
        </w:rPr>
        <w:t>SECOP II –</w:t>
      </w:r>
      <w:r w:rsidRPr="00080C71">
        <w:rPr>
          <w:rFonts w:ascii="Arial" w:hAnsi="Arial" w:cs="Arial"/>
          <w:b/>
          <w:bCs/>
          <w:iCs/>
          <w:sz w:val="22"/>
          <w:szCs w:val="22"/>
          <w:lang w:val="es-ES_tradnl"/>
        </w:rPr>
        <w:t xml:space="preserve"> Deber de publicación </w:t>
      </w:r>
      <w:r w:rsidRPr="00080C71">
        <w:rPr>
          <w:rFonts w:ascii="Arial" w:eastAsia="Calibri" w:hAnsi="Arial" w:cs="Arial"/>
          <w:b/>
          <w:sz w:val="22"/>
          <w:szCs w:val="22"/>
          <w:lang w:val="es-ES_tradnl" w:eastAsia="en-US"/>
        </w:rPr>
        <w:t>–</w:t>
      </w:r>
      <w:r w:rsidRPr="00080C71">
        <w:rPr>
          <w:rFonts w:ascii="Arial" w:hAnsi="Arial" w:cs="Arial"/>
          <w:b/>
          <w:bCs/>
          <w:iCs/>
          <w:sz w:val="22"/>
          <w:szCs w:val="22"/>
          <w:lang w:val="es-ES_tradnl"/>
        </w:rPr>
        <w:t xml:space="preserve"> Entidades </w:t>
      </w:r>
      <w:r w:rsidR="00A5764C">
        <w:rPr>
          <w:rFonts w:ascii="Arial" w:hAnsi="Arial" w:cs="Arial"/>
          <w:b/>
          <w:bCs/>
          <w:iCs/>
          <w:sz w:val="22"/>
          <w:szCs w:val="22"/>
          <w:lang w:val="es-ES_tradnl"/>
        </w:rPr>
        <w:t>e</w:t>
      </w:r>
      <w:r w:rsidRPr="00080C71">
        <w:rPr>
          <w:rFonts w:ascii="Arial" w:hAnsi="Arial" w:cs="Arial"/>
          <w:b/>
          <w:bCs/>
          <w:iCs/>
          <w:sz w:val="22"/>
          <w:szCs w:val="22"/>
          <w:lang w:val="es-ES_tradnl"/>
        </w:rPr>
        <w:t xml:space="preserve">statales exceptuadas </w:t>
      </w:r>
      <w:r w:rsidRPr="00080C71">
        <w:rPr>
          <w:rFonts w:ascii="Arial" w:eastAsia="Calibri" w:hAnsi="Arial" w:cs="Arial"/>
          <w:b/>
          <w:sz w:val="22"/>
          <w:szCs w:val="22"/>
          <w:lang w:val="es-ES_tradnl" w:eastAsia="en-US"/>
        </w:rPr>
        <w:t>–</w:t>
      </w:r>
      <w:r w:rsidRPr="00080C71">
        <w:rPr>
          <w:rFonts w:ascii="Arial" w:hAnsi="Arial" w:cs="Arial"/>
          <w:b/>
          <w:bCs/>
          <w:iCs/>
          <w:sz w:val="22"/>
          <w:szCs w:val="22"/>
          <w:lang w:val="es-ES_tradnl"/>
        </w:rPr>
        <w:t xml:space="preserve"> </w:t>
      </w:r>
      <w:r w:rsidRPr="00080C71">
        <w:rPr>
          <w:rFonts w:ascii="Arial" w:eastAsia="Calibri" w:hAnsi="Arial" w:cs="Arial"/>
          <w:b/>
          <w:sz w:val="22"/>
          <w:szCs w:val="22"/>
          <w:lang w:val="es-ES_tradnl" w:eastAsia="en-US"/>
        </w:rPr>
        <w:t xml:space="preserve">Vigencia   </w:t>
      </w:r>
    </w:p>
    <w:p w14:paraId="5BE54122" w14:textId="77777777" w:rsidR="00DB478D" w:rsidRPr="00080C71" w:rsidRDefault="00DB478D" w:rsidP="00DB478D">
      <w:pPr>
        <w:contextualSpacing/>
        <w:jc w:val="both"/>
        <w:rPr>
          <w:rFonts w:ascii="Arial" w:eastAsia="Calibri" w:hAnsi="Arial" w:cs="Arial"/>
          <w:sz w:val="20"/>
          <w:szCs w:val="20"/>
          <w:lang w:val="es-ES_tradnl"/>
        </w:rPr>
      </w:pPr>
    </w:p>
    <w:p w14:paraId="050093B1" w14:textId="77777777" w:rsidR="00DB478D" w:rsidRPr="00080C71" w:rsidRDefault="00DB478D" w:rsidP="00DB478D">
      <w:pPr>
        <w:contextualSpacing/>
        <w:jc w:val="both"/>
        <w:rPr>
          <w:rFonts w:ascii="Arial" w:eastAsia="Calibri" w:hAnsi="Arial" w:cs="Arial"/>
          <w:sz w:val="20"/>
          <w:szCs w:val="20"/>
          <w:lang w:val="es-ES_tradnl"/>
        </w:rPr>
      </w:pPr>
      <w:r w:rsidRPr="00080C71">
        <w:rPr>
          <w:rFonts w:ascii="Arial" w:eastAsia="Calibri" w:hAnsi="Arial" w:cs="Arial"/>
          <w:sz w:val="20"/>
          <w:szCs w:val="20"/>
          <w:lang w:val="es-ES_tradnl"/>
        </w:rPr>
        <w:t xml:space="preserve">Finalmente, el referido artículo dispone, en el inciso final, que «A partir de la entrada en vigencia de la presente Ley, se establecerá un periodo de transición de seis (6) meses, para que las entidades den cumplimiento efectivo a lo aquí establecido». Es decir que se trata un período concedido por el Legislador a las entidades que tienen un régimen especial de contratación para adelantar las </w:t>
      </w:r>
      <w:r w:rsidRPr="00080C71">
        <w:rPr>
          <w:rFonts w:ascii="Arial" w:eastAsia="Calibri" w:hAnsi="Arial" w:cs="Arial"/>
          <w:sz w:val="20"/>
          <w:szCs w:val="20"/>
          <w:lang w:val="es-ES_tradnl"/>
        </w:rPr>
        <w:lastRenderedPageBreak/>
        <w:t>gestiones administrativas, técnicas y jurídicas pertinentes, a fin de cumplir lo establecido en el artículo 53. Este período de transición va del 18 de enero al 18 de julio de 2022.</w:t>
      </w:r>
    </w:p>
    <w:p w14:paraId="022E94B8" w14:textId="77777777" w:rsidR="00DB478D" w:rsidRDefault="00DB478D" w:rsidP="00DB478D">
      <w:pPr>
        <w:contextualSpacing/>
        <w:jc w:val="both"/>
        <w:rPr>
          <w:rFonts w:ascii="Arial" w:eastAsia="Calibri" w:hAnsi="Arial" w:cs="Arial"/>
          <w:b/>
          <w:sz w:val="20"/>
          <w:szCs w:val="20"/>
          <w:lang w:val="es-ES_tradnl" w:eastAsia="en-US"/>
        </w:rPr>
      </w:pPr>
    </w:p>
    <w:p w14:paraId="500BF8C9" w14:textId="46E6D3A8" w:rsidR="00DB478D" w:rsidRPr="00080C71" w:rsidRDefault="00DB478D" w:rsidP="00DB478D">
      <w:pPr>
        <w:contextualSpacing/>
        <w:jc w:val="both"/>
        <w:rPr>
          <w:rFonts w:ascii="Arial" w:eastAsia="Calibri" w:hAnsi="Arial" w:cs="Arial"/>
          <w:b/>
          <w:sz w:val="22"/>
          <w:szCs w:val="22"/>
          <w:lang w:val="es-ES_tradnl" w:eastAsia="en-US"/>
        </w:rPr>
      </w:pPr>
      <w:r w:rsidRPr="00080C71">
        <w:rPr>
          <w:rFonts w:ascii="Arial" w:eastAsia="Calibri" w:hAnsi="Arial" w:cs="Arial"/>
          <w:b/>
          <w:sz w:val="22"/>
          <w:szCs w:val="22"/>
          <w:lang w:val="es-ES_tradnl" w:eastAsia="en-US"/>
        </w:rPr>
        <w:t>SECOP II –</w:t>
      </w:r>
      <w:r w:rsidRPr="00080C71">
        <w:rPr>
          <w:rFonts w:ascii="Arial" w:hAnsi="Arial" w:cs="Arial"/>
          <w:b/>
          <w:bCs/>
          <w:iCs/>
          <w:sz w:val="22"/>
          <w:szCs w:val="22"/>
          <w:lang w:val="es-ES_tradnl"/>
        </w:rPr>
        <w:t xml:space="preserve"> Deber de publicación </w:t>
      </w:r>
      <w:r w:rsidRPr="00080C71">
        <w:rPr>
          <w:rFonts w:ascii="Arial" w:eastAsia="Calibri" w:hAnsi="Arial" w:cs="Arial"/>
          <w:b/>
          <w:sz w:val="22"/>
          <w:szCs w:val="22"/>
          <w:lang w:val="es-ES_tradnl" w:eastAsia="en-US"/>
        </w:rPr>
        <w:t xml:space="preserve">– </w:t>
      </w:r>
      <w:r w:rsidRPr="00080C71">
        <w:rPr>
          <w:rFonts w:ascii="Arial" w:hAnsi="Arial" w:cs="Arial"/>
          <w:b/>
          <w:bCs/>
          <w:iCs/>
          <w:sz w:val="22"/>
          <w:szCs w:val="22"/>
          <w:lang w:val="es-ES_tradnl"/>
        </w:rPr>
        <w:t xml:space="preserve">Entidades </w:t>
      </w:r>
      <w:r w:rsidR="00A5764C">
        <w:rPr>
          <w:rFonts w:ascii="Arial" w:hAnsi="Arial" w:cs="Arial"/>
          <w:b/>
          <w:bCs/>
          <w:iCs/>
          <w:sz w:val="22"/>
          <w:szCs w:val="22"/>
          <w:lang w:val="es-ES_tradnl"/>
        </w:rPr>
        <w:t>e</w:t>
      </w:r>
      <w:r w:rsidRPr="00080C71">
        <w:rPr>
          <w:rFonts w:ascii="Arial" w:hAnsi="Arial" w:cs="Arial"/>
          <w:b/>
          <w:bCs/>
          <w:iCs/>
          <w:sz w:val="22"/>
          <w:szCs w:val="22"/>
          <w:lang w:val="es-ES_tradnl"/>
        </w:rPr>
        <w:t xml:space="preserve">statales exceptuadas </w:t>
      </w:r>
      <w:r w:rsidRPr="00080C71">
        <w:rPr>
          <w:rFonts w:ascii="Arial" w:eastAsia="Calibri" w:hAnsi="Arial" w:cs="Arial"/>
          <w:b/>
          <w:sz w:val="22"/>
          <w:szCs w:val="22"/>
          <w:lang w:val="es-ES_tradnl" w:eastAsia="en-US"/>
        </w:rPr>
        <w:t>– Uso</w:t>
      </w:r>
    </w:p>
    <w:p w14:paraId="76541BB9" w14:textId="77777777" w:rsidR="00DB478D" w:rsidRPr="00080C71" w:rsidRDefault="00DB478D" w:rsidP="00DB478D">
      <w:pPr>
        <w:contextualSpacing/>
        <w:jc w:val="both"/>
        <w:rPr>
          <w:rFonts w:ascii="Arial" w:eastAsia="Calibri" w:hAnsi="Arial" w:cs="Arial"/>
          <w:b/>
          <w:sz w:val="20"/>
          <w:szCs w:val="20"/>
          <w:lang w:val="es-ES_tradnl" w:eastAsia="en-US"/>
        </w:rPr>
      </w:pPr>
    </w:p>
    <w:p w14:paraId="13B87DD9" w14:textId="77777777" w:rsidR="00DB478D" w:rsidRPr="00080C71" w:rsidRDefault="00DB478D" w:rsidP="00DB478D">
      <w:pPr>
        <w:autoSpaceDE w:val="0"/>
        <w:autoSpaceDN w:val="0"/>
        <w:adjustRightInd w:val="0"/>
        <w:contextualSpacing/>
        <w:jc w:val="both"/>
        <w:rPr>
          <w:rFonts w:ascii="Arial" w:hAnsi="Arial" w:cs="Arial"/>
          <w:sz w:val="20"/>
          <w:szCs w:val="20"/>
        </w:rPr>
      </w:pPr>
      <w:r w:rsidRPr="00080C71">
        <w:rPr>
          <w:rFonts w:ascii="Arial" w:eastAsia="Calibri" w:hAnsi="Arial" w:cs="Arial"/>
          <w:iCs/>
          <w:sz w:val="20"/>
          <w:szCs w:val="20"/>
          <w:lang w:val="es-ES"/>
        </w:rPr>
        <w:t>Dado que el artículo 53 de la Ley 2195 de 2022 no cambió la forma en que se perfeccionan los contratos suscritos por estas entidades exceptuadas, para cumplir con el deber de publicidad que les asiste, estas podrán elegir cualquiera de las siguientes opciones:</w:t>
      </w:r>
      <w:r>
        <w:rPr>
          <w:rFonts w:ascii="Arial" w:eastAsia="Calibri" w:hAnsi="Arial" w:cs="Arial"/>
          <w:iCs/>
          <w:sz w:val="20"/>
          <w:szCs w:val="20"/>
          <w:lang w:val="es-ES"/>
        </w:rPr>
        <w:t xml:space="preserve"> </w:t>
      </w:r>
      <w:r w:rsidRPr="00080C71">
        <w:rPr>
          <w:rFonts w:ascii="Arial" w:eastAsia="Calibri" w:hAnsi="Arial" w:cs="Arial"/>
          <w:iCs/>
          <w:sz w:val="20"/>
          <w:szCs w:val="20"/>
          <w:lang w:val="es-ES"/>
        </w:rPr>
        <w:t xml:space="preserve">1. </w:t>
      </w:r>
      <w:r w:rsidRPr="00080C71">
        <w:rPr>
          <w:rFonts w:ascii="Arial" w:hAnsi="Arial" w:cs="Arial"/>
          <w:sz w:val="20"/>
          <w:szCs w:val="20"/>
          <w:lang w:val="es-ES"/>
        </w:rPr>
        <w:t>F</w:t>
      </w:r>
      <w:proofErr w:type="spellStart"/>
      <w:r w:rsidRPr="00080C71">
        <w:rPr>
          <w:rFonts w:ascii="Arial" w:hAnsi="Arial" w:cs="Arial"/>
          <w:sz w:val="20"/>
          <w:szCs w:val="20"/>
        </w:rPr>
        <w:t>irmar</w:t>
      </w:r>
      <w:proofErr w:type="spellEnd"/>
      <w:r w:rsidRPr="00080C71">
        <w:rPr>
          <w:rFonts w:ascii="Arial" w:hAnsi="Arial" w:cs="Arial"/>
          <w:sz w:val="20"/>
          <w:szCs w:val="20"/>
        </w:rPr>
        <w:t xml:space="preserve"> el contrato electrónicamente, es decir, realizar un uso transaccional de la plataforma. 2. Firmar el contrato en físico y publica los documentos de ejecución en la etapa precontractual del SECOP II, es decir, realizar un uso publicitario de la plataforma.</w:t>
      </w:r>
    </w:p>
    <w:p w14:paraId="27C0A834" w14:textId="77777777" w:rsidR="00DB478D" w:rsidRDefault="00DB478D" w:rsidP="00DB478D">
      <w:pPr>
        <w:autoSpaceDE w:val="0"/>
        <w:autoSpaceDN w:val="0"/>
        <w:adjustRightInd w:val="0"/>
        <w:contextualSpacing/>
        <w:jc w:val="both"/>
        <w:rPr>
          <w:rFonts w:ascii="Arial" w:hAnsi="Arial" w:cs="Arial"/>
          <w:sz w:val="20"/>
          <w:szCs w:val="20"/>
        </w:rPr>
      </w:pPr>
    </w:p>
    <w:p w14:paraId="2501997A" w14:textId="77777777" w:rsidR="00DB478D" w:rsidRPr="00080C71" w:rsidRDefault="00DB478D" w:rsidP="00DB478D">
      <w:pPr>
        <w:autoSpaceDE w:val="0"/>
        <w:autoSpaceDN w:val="0"/>
        <w:adjustRightInd w:val="0"/>
        <w:contextualSpacing/>
        <w:jc w:val="both"/>
        <w:rPr>
          <w:rFonts w:ascii="Arial" w:hAnsi="Arial" w:cs="Arial"/>
          <w:sz w:val="20"/>
          <w:szCs w:val="20"/>
        </w:rPr>
      </w:pPr>
      <w:r w:rsidRPr="00080C71">
        <w:rPr>
          <w:rFonts w:ascii="Arial" w:hAnsi="Arial" w:cs="Arial"/>
          <w:sz w:val="20"/>
          <w:szCs w:val="20"/>
        </w:rPr>
        <w:t>En el primer caso, si la entidad opta por hacer uso de la plataforma de manera transaccional (firmando el contrato electrónicamente), deberá utilizar el módulo de “Contratación Régimen Especial,” estructurar el proceso de contratación, generar el contrato electrónico y realizar la gestión contractual en línea a través de la plataforma.</w:t>
      </w:r>
    </w:p>
    <w:p w14:paraId="496994D8" w14:textId="77777777" w:rsidR="00DB478D" w:rsidRDefault="00DB478D" w:rsidP="00DB478D">
      <w:pPr>
        <w:autoSpaceDE w:val="0"/>
        <w:autoSpaceDN w:val="0"/>
        <w:adjustRightInd w:val="0"/>
        <w:contextualSpacing/>
        <w:jc w:val="both"/>
        <w:rPr>
          <w:rFonts w:ascii="Arial" w:hAnsi="Arial" w:cs="Arial"/>
          <w:sz w:val="20"/>
          <w:szCs w:val="20"/>
        </w:rPr>
      </w:pPr>
    </w:p>
    <w:p w14:paraId="727FECCB" w14:textId="77777777" w:rsidR="00DB478D" w:rsidRPr="00080C71" w:rsidRDefault="00DB478D" w:rsidP="00DB478D">
      <w:pPr>
        <w:autoSpaceDE w:val="0"/>
        <w:autoSpaceDN w:val="0"/>
        <w:adjustRightInd w:val="0"/>
        <w:contextualSpacing/>
        <w:jc w:val="both"/>
        <w:rPr>
          <w:rFonts w:ascii="Arial" w:hAnsi="Arial" w:cs="Arial"/>
          <w:sz w:val="20"/>
          <w:szCs w:val="20"/>
        </w:rPr>
      </w:pPr>
      <w:r w:rsidRPr="00080C71">
        <w:rPr>
          <w:rFonts w:ascii="Arial" w:hAnsi="Arial" w:cs="Arial"/>
          <w:sz w:val="20"/>
          <w:szCs w:val="20"/>
        </w:rPr>
        <w:t>En el segundo caso, si decide utilizar el SECOP II como herramienta de publicidad, deberá crear el proceso de contratación en el SECOP II mediante el módulo “</w:t>
      </w:r>
      <w:r w:rsidRPr="00080C71">
        <w:rPr>
          <w:rFonts w:ascii="Arial" w:hAnsi="Arial" w:cs="Arial"/>
          <w:i/>
          <w:iCs/>
          <w:sz w:val="20"/>
          <w:szCs w:val="20"/>
        </w:rPr>
        <w:t>Contratación Régimen Especial (sin ofertas)”</w:t>
      </w:r>
      <w:r w:rsidRPr="00080C71">
        <w:rPr>
          <w:rFonts w:ascii="Arial" w:hAnsi="Arial" w:cs="Arial"/>
          <w:sz w:val="20"/>
          <w:szCs w:val="20"/>
        </w:rPr>
        <w:t>, cargar todos los documentos del proceso en la sección dispuesta para ello y publicar el proceso. La publicación de los documentos de la gestión contractual, incluido el contrato firmado manuscritamente, se debe realizar mediante modificaciones al proceso a través de la opción “Modificaciones/Adendas”. Sin embargo, las entidades públicas deberán tener en cuenta que, si utilizan esta opción, no deben dar clic en “</w:t>
      </w:r>
      <w:r w:rsidRPr="00080C71">
        <w:rPr>
          <w:rFonts w:ascii="Arial" w:hAnsi="Arial" w:cs="Arial"/>
          <w:i/>
          <w:iCs/>
          <w:sz w:val="20"/>
          <w:szCs w:val="20"/>
        </w:rPr>
        <w:t>Finalizar</w:t>
      </w:r>
      <w:r w:rsidRPr="00080C71">
        <w:rPr>
          <w:rFonts w:ascii="Arial" w:hAnsi="Arial" w:cs="Arial"/>
          <w:sz w:val="20"/>
          <w:szCs w:val="20"/>
        </w:rPr>
        <w:t>” después de publicar el proceso, en tanto que la plataforma cierra el expediente y no permite la publicación posterior de ningún otro documento.</w:t>
      </w:r>
    </w:p>
    <w:p w14:paraId="422A17F5" w14:textId="20144A16" w:rsidR="00DB478D" w:rsidRDefault="00DB478D">
      <w:pPr>
        <w:spacing w:after="160" w:line="259" w:lineRule="auto"/>
        <w:rPr>
          <w:rFonts w:ascii="Arial" w:hAnsi="Arial" w:cs="Arial"/>
          <w:bCs/>
          <w:sz w:val="16"/>
          <w:szCs w:val="16"/>
          <w:lang w:val="es-ES_tradnl" w:eastAsia="es-ES"/>
        </w:rPr>
      </w:pPr>
      <w:r>
        <w:rPr>
          <w:rFonts w:ascii="Arial" w:hAnsi="Arial" w:cs="Arial"/>
          <w:bCs/>
          <w:sz w:val="16"/>
          <w:szCs w:val="16"/>
          <w:lang w:val="es-ES_tradnl" w:eastAsia="es-ES"/>
        </w:rPr>
        <w:br w:type="page"/>
      </w:r>
    </w:p>
    <w:p w14:paraId="14F388A1" w14:textId="76EBFEAB" w:rsidR="00445AA8" w:rsidRPr="00E67187" w:rsidRDefault="00F90321" w:rsidP="00F90321">
      <w:pPr>
        <w:spacing w:after="160" w:line="259" w:lineRule="auto"/>
        <w:jc w:val="right"/>
        <w:rPr>
          <w:rFonts w:ascii="Arial" w:hAnsi="Arial" w:cs="Arial"/>
          <w:bCs/>
          <w:sz w:val="16"/>
          <w:szCs w:val="16"/>
          <w:lang w:val="es-ES_tradnl" w:eastAsia="es-ES"/>
        </w:rPr>
      </w:pPr>
      <w:r>
        <w:rPr>
          <w:rFonts w:ascii="Arial" w:hAnsi="Arial" w:cs="Arial"/>
          <w:bCs/>
          <w:noProof/>
          <w:sz w:val="16"/>
          <w:szCs w:val="16"/>
          <w:lang w:val="es-ES_tradnl" w:eastAsia="es-ES"/>
        </w:rPr>
        <w:lastRenderedPageBreak/>
        <w:drawing>
          <wp:inline distT="0" distB="0" distL="0" distR="0" wp14:anchorId="3DA328D8" wp14:editId="2F4ED55B">
            <wp:extent cx="3043690" cy="690638"/>
            <wp:effectExtent l="0" t="0" r="444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5707" cy="706979"/>
                    </a:xfrm>
                    <a:prstGeom prst="rect">
                      <a:avLst/>
                    </a:prstGeom>
                    <a:noFill/>
                    <a:ln>
                      <a:noFill/>
                    </a:ln>
                  </pic:spPr>
                </pic:pic>
              </a:graphicData>
            </a:graphic>
          </wp:inline>
        </w:drawing>
      </w:r>
      <w:r w:rsidR="006D1570" w:rsidRPr="006D1570">
        <w:rPr>
          <w:rFonts w:ascii="Arial" w:hAnsi="Arial" w:cs="Arial"/>
          <w:bCs/>
          <w:noProof/>
          <w:sz w:val="16"/>
          <w:szCs w:val="16"/>
          <w:lang w:val="es-ES_tradnl" w:eastAsia="es-ES"/>
        </w:rPr>
        <w:drawing>
          <wp:inline distT="0" distB="0" distL="0" distR="0" wp14:anchorId="0D8383AC" wp14:editId="3B9C42A7">
            <wp:extent cx="2968965" cy="814070"/>
            <wp:effectExtent l="0" t="0" r="3175"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38182" cy="833049"/>
                    </a:xfrm>
                    <a:prstGeom prst="rect">
                      <a:avLst/>
                    </a:prstGeom>
                  </pic:spPr>
                </pic:pic>
              </a:graphicData>
            </a:graphic>
          </wp:inline>
        </w:drawing>
      </w:r>
    </w:p>
    <w:p w14:paraId="06B623D4" w14:textId="1F190EBE" w:rsidR="002141EE" w:rsidRPr="00E67187" w:rsidRDefault="002141EE" w:rsidP="002141EE">
      <w:pPr>
        <w:jc w:val="right"/>
        <w:rPr>
          <w:rFonts w:ascii="Arial" w:eastAsia="Calibri" w:hAnsi="Arial" w:cs="Arial"/>
          <w:sz w:val="22"/>
          <w:lang w:val="es-ES_tradnl"/>
        </w:rPr>
      </w:pPr>
      <w:r w:rsidRPr="00E67187">
        <w:rPr>
          <w:rFonts w:ascii="Arial" w:hAnsi="Arial" w:cs="Arial"/>
          <w:bCs/>
          <w:sz w:val="16"/>
          <w:szCs w:val="16"/>
          <w:lang w:val="es-ES_tradnl" w:eastAsia="es-ES"/>
        </w:rPr>
        <w:t>CCE-DES-FM-17</w:t>
      </w:r>
    </w:p>
    <w:p w14:paraId="047D81FB" w14:textId="77777777" w:rsidR="001703C3" w:rsidRDefault="001703C3" w:rsidP="0008765C">
      <w:pPr>
        <w:contextualSpacing/>
        <w:jc w:val="both"/>
        <w:rPr>
          <w:rFonts w:ascii="Arial" w:eastAsia="Calibri" w:hAnsi="Arial" w:cs="Arial"/>
          <w:sz w:val="22"/>
          <w:szCs w:val="22"/>
          <w:lang w:val="es-ES_tradnl"/>
        </w:rPr>
      </w:pPr>
    </w:p>
    <w:p w14:paraId="5630F96F" w14:textId="3D78EE4E" w:rsidR="001C57B6" w:rsidRDefault="001C57B6" w:rsidP="0008765C">
      <w:pPr>
        <w:contextualSpacing/>
        <w:jc w:val="both"/>
        <w:rPr>
          <w:rFonts w:ascii="Arial" w:eastAsia="Calibri" w:hAnsi="Arial" w:cs="Arial"/>
          <w:sz w:val="22"/>
          <w:szCs w:val="22"/>
          <w:lang w:val="es-ES_tradnl"/>
        </w:rPr>
      </w:pPr>
      <w:r>
        <w:rPr>
          <w:rFonts w:ascii="Arial" w:eastAsia="Calibri" w:hAnsi="Arial" w:cs="Arial"/>
          <w:sz w:val="22"/>
          <w:szCs w:val="22"/>
          <w:lang w:val="es-ES_tradnl"/>
        </w:rPr>
        <w:t>Bogotá D.C., 13 de junio de 2022</w:t>
      </w:r>
    </w:p>
    <w:p w14:paraId="6F997404" w14:textId="77777777" w:rsidR="001C57B6" w:rsidRDefault="001C57B6" w:rsidP="0008765C">
      <w:pPr>
        <w:contextualSpacing/>
        <w:jc w:val="both"/>
        <w:rPr>
          <w:rFonts w:ascii="Arial" w:eastAsia="Calibri" w:hAnsi="Arial" w:cs="Arial"/>
          <w:sz w:val="22"/>
          <w:szCs w:val="22"/>
          <w:lang w:val="es-ES_tradnl"/>
        </w:rPr>
      </w:pPr>
    </w:p>
    <w:p w14:paraId="311AC3D7" w14:textId="2FDDEB52" w:rsidR="001D3749" w:rsidRPr="00E67187" w:rsidRDefault="001D3749" w:rsidP="0008765C">
      <w:pPr>
        <w:contextualSpacing/>
        <w:jc w:val="both"/>
        <w:rPr>
          <w:rFonts w:ascii="Arial" w:eastAsia="Calibri" w:hAnsi="Arial" w:cs="Arial"/>
          <w:sz w:val="22"/>
          <w:szCs w:val="22"/>
          <w:lang w:val="es-ES_tradnl"/>
        </w:rPr>
      </w:pPr>
      <w:r w:rsidRPr="00E67187">
        <w:rPr>
          <w:rFonts w:ascii="Arial" w:eastAsia="Calibri" w:hAnsi="Arial" w:cs="Arial"/>
          <w:sz w:val="22"/>
          <w:szCs w:val="22"/>
          <w:lang w:val="es-ES_tradnl"/>
        </w:rPr>
        <w:t>Señor</w:t>
      </w:r>
    </w:p>
    <w:p w14:paraId="31830B05" w14:textId="60D7D6C5" w:rsidR="002141EE" w:rsidRPr="00E67187" w:rsidRDefault="002141EE" w:rsidP="0008765C">
      <w:pPr>
        <w:contextualSpacing/>
        <w:jc w:val="both"/>
        <w:rPr>
          <w:rFonts w:ascii="Arial" w:hAnsi="Arial" w:cs="Arial"/>
          <w:b/>
          <w:bCs/>
          <w:sz w:val="22"/>
          <w:szCs w:val="22"/>
        </w:rPr>
      </w:pPr>
      <w:r w:rsidRPr="00E67187">
        <w:rPr>
          <w:rFonts w:ascii="Arial" w:hAnsi="Arial" w:cs="Arial"/>
          <w:b/>
          <w:bCs/>
          <w:sz w:val="22"/>
          <w:szCs w:val="22"/>
        </w:rPr>
        <w:t>Juan David Peláez Henao</w:t>
      </w:r>
    </w:p>
    <w:p w14:paraId="73D78E36" w14:textId="1251C968" w:rsidR="001D3749" w:rsidRPr="00E67187" w:rsidRDefault="002141EE" w:rsidP="0008765C">
      <w:pPr>
        <w:contextualSpacing/>
        <w:jc w:val="both"/>
        <w:rPr>
          <w:rFonts w:ascii="Arial" w:eastAsia="Calibri" w:hAnsi="Arial" w:cs="Arial"/>
          <w:sz w:val="22"/>
          <w:szCs w:val="22"/>
          <w:lang w:val="es-ES_tradnl"/>
        </w:rPr>
      </w:pPr>
      <w:r w:rsidRPr="00E67187">
        <w:rPr>
          <w:rFonts w:ascii="Arial" w:eastAsia="Calibri" w:hAnsi="Arial" w:cs="Arial"/>
          <w:sz w:val="22"/>
          <w:szCs w:val="22"/>
          <w:lang w:val="es-ES_tradnl"/>
        </w:rPr>
        <w:t>Pereira, Risaralda</w:t>
      </w:r>
    </w:p>
    <w:p w14:paraId="2F779625" w14:textId="77777777" w:rsidR="001D3749" w:rsidRPr="00E67187" w:rsidRDefault="001D3749" w:rsidP="0008765C">
      <w:pPr>
        <w:contextualSpacing/>
        <w:jc w:val="both"/>
        <w:rPr>
          <w:rFonts w:ascii="Arial" w:eastAsia="Calibri" w:hAnsi="Arial" w:cs="Arial"/>
          <w:sz w:val="22"/>
          <w:szCs w:val="22"/>
          <w:lang w:val="es-ES_tradnl"/>
        </w:rPr>
      </w:pPr>
    </w:p>
    <w:p w14:paraId="20E63B2E" w14:textId="522E17AE" w:rsidR="001D3749" w:rsidRPr="00E67187" w:rsidRDefault="001D3749" w:rsidP="0008765C">
      <w:pPr>
        <w:contextualSpacing/>
        <w:jc w:val="center"/>
        <w:rPr>
          <w:rFonts w:ascii="Arial" w:eastAsia="Calibri" w:hAnsi="Arial" w:cs="Arial"/>
          <w:b/>
          <w:bCs/>
          <w:sz w:val="22"/>
          <w:szCs w:val="22"/>
          <w:lang w:val="es-ES_tradnl"/>
        </w:rPr>
      </w:pPr>
      <w:r w:rsidRPr="00E67187">
        <w:rPr>
          <w:rFonts w:ascii="Arial" w:eastAsia="Calibri" w:hAnsi="Arial" w:cs="Arial"/>
          <w:b/>
          <w:bCs/>
          <w:sz w:val="22"/>
          <w:szCs w:val="22"/>
          <w:lang w:val="es-ES_tradnl"/>
        </w:rPr>
        <w:t xml:space="preserve">Concepto C ‒ </w:t>
      </w:r>
      <w:r w:rsidR="002141EE" w:rsidRPr="00E67187">
        <w:rPr>
          <w:rFonts w:ascii="Arial" w:eastAsia="Calibri" w:hAnsi="Arial" w:cs="Arial"/>
          <w:b/>
          <w:bCs/>
          <w:sz w:val="22"/>
          <w:szCs w:val="22"/>
          <w:lang w:val="es-ES_tradnl"/>
        </w:rPr>
        <w:t>348</w:t>
      </w:r>
      <w:r w:rsidRPr="00E67187">
        <w:rPr>
          <w:rFonts w:ascii="Arial" w:eastAsia="Calibri" w:hAnsi="Arial" w:cs="Arial"/>
          <w:b/>
          <w:bCs/>
          <w:sz w:val="22"/>
          <w:szCs w:val="22"/>
          <w:lang w:val="es-ES_tradnl"/>
        </w:rPr>
        <w:t xml:space="preserve"> de 2022</w:t>
      </w:r>
    </w:p>
    <w:p w14:paraId="51F0595A" w14:textId="77777777" w:rsidR="001D3749" w:rsidRPr="00E67187" w:rsidRDefault="001D3749" w:rsidP="0008765C">
      <w:pPr>
        <w:contextualSpacing/>
        <w:jc w:val="both"/>
        <w:rPr>
          <w:rFonts w:ascii="Arial" w:eastAsia="Calibri" w:hAnsi="Arial" w:cs="Arial"/>
          <w:sz w:val="22"/>
          <w:szCs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67187" w:rsidRPr="00E67187" w14:paraId="575E4A4E" w14:textId="77777777" w:rsidTr="000A16C4">
        <w:tc>
          <w:tcPr>
            <w:tcW w:w="2689" w:type="dxa"/>
          </w:tcPr>
          <w:p w14:paraId="0CA0B3DB" w14:textId="77777777" w:rsidR="001D3749" w:rsidRPr="00E67187" w:rsidRDefault="001D3749" w:rsidP="0008765C">
            <w:pPr>
              <w:contextualSpacing/>
              <w:jc w:val="both"/>
              <w:rPr>
                <w:rFonts w:ascii="Arial" w:eastAsia="Calibri" w:hAnsi="Arial" w:cs="Arial"/>
                <w:sz w:val="22"/>
                <w:szCs w:val="22"/>
                <w:lang w:val="es-ES_tradnl"/>
              </w:rPr>
            </w:pPr>
            <w:r w:rsidRPr="00E67187">
              <w:rPr>
                <w:rFonts w:ascii="Arial" w:eastAsia="Calibri" w:hAnsi="Arial" w:cs="Arial"/>
                <w:b/>
                <w:sz w:val="22"/>
                <w:szCs w:val="22"/>
                <w:lang w:val="es-ES_tradnl"/>
              </w:rPr>
              <w:t>Temas:</w:t>
            </w:r>
            <w:r w:rsidRPr="00E67187">
              <w:rPr>
                <w:rFonts w:ascii="Arial" w:eastAsia="Calibri" w:hAnsi="Arial" w:cs="Arial"/>
                <w:sz w:val="22"/>
                <w:szCs w:val="22"/>
                <w:lang w:val="es-ES_tradnl"/>
              </w:rPr>
              <w:t xml:space="preserve">                                      </w:t>
            </w:r>
          </w:p>
        </w:tc>
        <w:tc>
          <w:tcPr>
            <w:tcW w:w="6237" w:type="dxa"/>
          </w:tcPr>
          <w:p w14:paraId="4074671E" w14:textId="77777777" w:rsidR="00DB478D" w:rsidRPr="00DB478D" w:rsidRDefault="00DB478D" w:rsidP="00DB478D">
            <w:pPr>
              <w:contextualSpacing/>
              <w:jc w:val="both"/>
              <w:rPr>
                <w:rFonts w:ascii="Arial" w:eastAsia="Calibri" w:hAnsi="Arial" w:cs="Arial"/>
                <w:sz w:val="22"/>
                <w:szCs w:val="22"/>
                <w:lang w:val="es-ES_tradnl" w:eastAsia="en-US"/>
              </w:rPr>
            </w:pPr>
            <w:r w:rsidRPr="00DB478D">
              <w:rPr>
                <w:rFonts w:ascii="Arial" w:hAnsi="Arial" w:cs="Arial"/>
                <w:iCs/>
                <w:sz w:val="22"/>
                <w:szCs w:val="22"/>
                <w:lang w:val="es-ES_tradnl"/>
              </w:rPr>
              <w:t xml:space="preserve">Deber de publicación </w:t>
            </w:r>
            <w:r w:rsidRPr="00DB478D">
              <w:rPr>
                <w:rFonts w:ascii="Arial" w:eastAsia="Calibri" w:hAnsi="Arial" w:cs="Arial"/>
                <w:sz w:val="22"/>
                <w:szCs w:val="22"/>
                <w:lang w:val="es-ES_tradnl" w:eastAsia="en-US"/>
              </w:rPr>
              <w:t>–</w:t>
            </w:r>
            <w:r w:rsidRPr="00DB478D">
              <w:rPr>
                <w:rFonts w:ascii="Arial" w:hAnsi="Arial" w:cs="Arial"/>
                <w:iCs/>
                <w:sz w:val="22"/>
                <w:szCs w:val="22"/>
                <w:lang w:val="es-ES_tradnl"/>
              </w:rPr>
              <w:t xml:space="preserve"> Entidades Estatales exceptuadas del Estatuto General de Contratación de la Administración Pública / SECOP II </w:t>
            </w:r>
            <w:r w:rsidRPr="00DB478D">
              <w:rPr>
                <w:rFonts w:ascii="Arial" w:eastAsia="Calibri" w:hAnsi="Arial" w:cs="Arial"/>
                <w:sz w:val="22"/>
                <w:szCs w:val="22"/>
                <w:lang w:val="es-ES_tradnl" w:eastAsia="en-US"/>
              </w:rPr>
              <w:t>–</w:t>
            </w:r>
            <w:r w:rsidRPr="00DB478D">
              <w:rPr>
                <w:rFonts w:ascii="Arial" w:hAnsi="Arial" w:cs="Arial"/>
                <w:iCs/>
                <w:sz w:val="22"/>
                <w:szCs w:val="22"/>
                <w:lang w:val="es-ES_tradnl"/>
              </w:rPr>
              <w:t xml:space="preserve"> Deber de publicación </w:t>
            </w:r>
            <w:r w:rsidRPr="00DB478D">
              <w:rPr>
                <w:rFonts w:ascii="Arial" w:eastAsia="Calibri" w:hAnsi="Arial" w:cs="Arial"/>
                <w:sz w:val="22"/>
                <w:szCs w:val="22"/>
                <w:lang w:val="es-ES_tradnl" w:eastAsia="en-US"/>
              </w:rPr>
              <w:t>–</w:t>
            </w:r>
            <w:r w:rsidRPr="00DB478D">
              <w:rPr>
                <w:rFonts w:ascii="Arial" w:hAnsi="Arial" w:cs="Arial"/>
                <w:iCs/>
                <w:sz w:val="22"/>
                <w:szCs w:val="22"/>
                <w:lang w:val="es-ES_tradnl"/>
              </w:rPr>
              <w:t xml:space="preserve"> Entidades Estatales exceptuadas del Estatuto General de Contratación de la Administración Pública – Modificación artículo 53 de la Ley 2195 de 2022 / </w:t>
            </w:r>
            <w:r w:rsidRPr="00DB478D">
              <w:rPr>
                <w:rFonts w:ascii="Arial" w:eastAsia="Calibri" w:hAnsi="Arial" w:cs="Arial"/>
                <w:sz w:val="22"/>
                <w:szCs w:val="22"/>
                <w:lang w:val="es-ES_tradnl" w:eastAsia="en-US"/>
              </w:rPr>
              <w:t>SECOP II –</w:t>
            </w:r>
            <w:r w:rsidRPr="00DB478D">
              <w:rPr>
                <w:rFonts w:ascii="Arial" w:hAnsi="Arial" w:cs="Arial"/>
                <w:iCs/>
                <w:sz w:val="22"/>
                <w:szCs w:val="22"/>
                <w:lang w:val="es-ES_tradnl"/>
              </w:rPr>
              <w:t xml:space="preserve"> Deber de publicación </w:t>
            </w:r>
            <w:r w:rsidRPr="00DB478D">
              <w:rPr>
                <w:rFonts w:ascii="Arial" w:eastAsia="Calibri" w:hAnsi="Arial" w:cs="Arial"/>
                <w:sz w:val="22"/>
                <w:szCs w:val="22"/>
                <w:lang w:val="es-ES_tradnl" w:eastAsia="en-US"/>
              </w:rPr>
              <w:t>–</w:t>
            </w:r>
            <w:r w:rsidRPr="00DB478D">
              <w:rPr>
                <w:rFonts w:ascii="Arial" w:hAnsi="Arial" w:cs="Arial"/>
                <w:iCs/>
                <w:sz w:val="22"/>
                <w:szCs w:val="22"/>
                <w:lang w:val="es-ES_tradnl"/>
              </w:rPr>
              <w:t xml:space="preserve"> Entidades Estatales exceptuadas </w:t>
            </w:r>
            <w:r w:rsidRPr="00DB478D">
              <w:rPr>
                <w:rFonts w:ascii="Arial" w:eastAsia="Calibri" w:hAnsi="Arial" w:cs="Arial"/>
                <w:sz w:val="22"/>
                <w:szCs w:val="22"/>
                <w:lang w:val="es-ES_tradnl" w:eastAsia="en-US"/>
              </w:rPr>
              <w:t>–</w:t>
            </w:r>
            <w:r w:rsidRPr="00DB478D">
              <w:rPr>
                <w:rFonts w:ascii="Arial" w:hAnsi="Arial" w:cs="Arial"/>
                <w:iCs/>
                <w:sz w:val="22"/>
                <w:szCs w:val="22"/>
                <w:lang w:val="es-ES_tradnl"/>
              </w:rPr>
              <w:t xml:space="preserve"> </w:t>
            </w:r>
            <w:r w:rsidRPr="00DB478D">
              <w:rPr>
                <w:rFonts w:ascii="Arial" w:eastAsia="Calibri" w:hAnsi="Arial" w:cs="Arial"/>
                <w:sz w:val="22"/>
                <w:szCs w:val="22"/>
                <w:lang w:val="es-ES_tradnl" w:eastAsia="en-US"/>
              </w:rPr>
              <w:t>Documentos relacionados con la actividad contractual / SECOP II –</w:t>
            </w:r>
            <w:r w:rsidRPr="00DB478D">
              <w:rPr>
                <w:rFonts w:ascii="Arial" w:hAnsi="Arial" w:cs="Arial"/>
                <w:iCs/>
                <w:sz w:val="22"/>
                <w:szCs w:val="22"/>
                <w:lang w:val="es-ES_tradnl"/>
              </w:rPr>
              <w:t xml:space="preserve"> Deber de publicación </w:t>
            </w:r>
            <w:r w:rsidRPr="00DB478D">
              <w:rPr>
                <w:rFonts w:ascii="Arial" w:eastAsia="Calibri" w:hAnsi="Arial" w:cs="Arial"/>
                <w:sz w:val="22"/>
                <w:szCs w:val="22"/>
                <w:lang w:val="es-ES_tradnl" w:eastAsia="en-US"/>
              </w:rPr>
              <w:t>–</w:t>
            </w:r>
            <w:r w:rsidRPr="00DB478D">
              <w:rPr>
                <w:rFonts w:ascii="Arial" w:hAnsi="Arial" w:cs="Arial"/>
                <w:iCs/>
                <w:sz w:val="22"/>
                <w:szCs w:val="22"/>
                <w:lang w:val="es-ES_tradnl"/>
              </w:rPr>
              <w:t xml:space="preserve"> Entidades Estatales exceptuadas </w:t>
            </w:r>
            <w:r w:rsidRPr="00DB478D">
              <w:rPr>
                <w:rFonts w:ascii="Arial" w:eastAsia="Calibri" w:hAnsi="Arial" w:cs="Arial"/>
                <w:sz w:val="22"/>
                <w:szCs w:val="22"/>
                <w:lang w:val="es-ES_tradnl" w:eastAsia="en-US"/>
              </w:rPr>
              <w:t>–</w:t>
            </w:r>
            <w:r w:rsidRPr="00DB478D">
              <w:rPr>
                <w:rFonts w:ascii="Arial" w:hAnsi="Arial" w:cs="Arial"/>
                <w:iCs/>
                <w:sz w:val="22"/>
                <w:szCs w:val="22"/>
                <w:lang w:val="es-ES_tradnl"/>
              </w:rPr>
              <w:t xml:space="preserve"> </w:t>
            </w:r>
            <w:r w:rsidRPr="00DB478D">
              <w:rPr>
                <w:rFonts w:ascii="Arial" w:eastAsia="Calibri" w:hAnsi="Arial" w:cs="Arial"/>
                <w:sz w:val="22"/>
                <w:szCs w:val="22"/>
                <w:lang w:val="es-ES_tradnl" w:eastAsia="en-US"/>
              </w:rPr>
              <w:t>Vigencia / SECOP II –</w:t>
            </w:r>
            <w:r w:rsidRPr="00DB478D">
              <w:rPr>
                <w:rFonts w:ascii="Arial" w:hAnsi="Arial" w:cs="Arial"/>
                <w:iCs/>
                <w:sz w:val="22"/>
                <w:szCs w:val="22"/>
                <w:lang w:val="es-ES_tradnl"/>
              </w:rPr>
              <w:t xml:space="preserve"> Deber de publicación </w:t>
            </w:r>
            <w:r w:rsidRPr="00DB478D">
              <w:rPr>
                <w:rFonts w:ascii="Arial" w:eastAsia="Calibri" w:hAnsi="Arial" w:cs="Arial"/>
                <w:sz w:val="22"/>
                <w:szCs w:val="22"/>
                <w:lang w:val="es-ES_tradnl" w:eastAsia="en-US"/>
              </w:rPr>
              <w:t xml:space="preserve">– </w:t>
            </w:r>
            <w:r w:rsidRPr="00DB478D">
              <w:rPr>
                <w:rFonts w:ascii="Arial" w:hAnsi="Arial" w:cs="Arial"/>
                <w:iCs/>
                <w:sz w:val="22"/>
                <w:szCs w:val="22"/>
                <w:lang w:val="es-ES_tradnl"/>
              </w:rPr>
              <w:t xml:space="preserve">Entidades Estatales exceptuadas </w:t>
            </w:r>
            <w:r w:rsidRPr="00DB478D">
              <w:rPr>
                <w:rFonts w:ascii="Arial" w:eastAsia="Calibri" w:hAnsi="Arial" w:cs="Arial"/>
                <w:sz w:val="22"/>
                <w:szCs w:val="22"/>
                <w:lang w:val="es-ES_tradnl" w:eastAsia="en-US"/>
              </w:rPr>
              <w:t>– Uso</w:t>
            </w:r>
          </w:p>
          <w:p w14:paraId="0C208A17" w14:textId="0D8E93D8" w:rsidR="002141EE" w:rsidRPr="00E67187" w:rsidRDefault="002141EE" w:rsidP="0008765C">
            <w:pPr>
              <w:pStyle w:val="Sinespaciado"/>
              <w:contextualSpacing/>
              <w:jc w:val="both"/>
              <w:rPr>
                <w:rFonts w:ascii="Arial" w:hAnsi="Arial" w:cs="Arial"/>
                <w:bCs/>
                <w:sz w:val="22"/>
                <w:lang w:val="es-ES_tradnl"/>
              </w:rPr>
            </w:pPr>
          </w:p>
        </w:tc>
      </w:tr>
      <w:tr w:rsidR="000E3154" w:rsidRPr="00E67187" w14:paraId="1B0F69C6" w14:textId="77777777" w:rsidTr="000A16C4">
        <w:tc>
          <w:tcPr>
            <w:tcW w:w="2689" w:type="dxa"/>
          </w:tcPr>
          <w:p w14:paraId="575563C8" w14:textId="77777777" w:rsidR="001D3749" w:rsidRPr="00E67187" w:rsidRDefault="001D3749" w:rsidP="0008765C">
            <w:pPr>
              <w:contextualSpacing/>
              <w:jc w:val="both"/>
              <w:rPr>
                <w:rFonts w:ascii="Arial" w:eastAsia="Calibri" w:hAnsi="Arial" w:cs="Arial"/>
                <w:b/>
                <w:sz w:val="22"/>
                <w:szCs w:val="22"/>
                <w:lang w:val="es-ES_tradnl"/>
              </w:rPr>
            </w:pPr>
            <w:r w:rsidRPr="00E67187">
              <w:rPr>
                <w:rFonts w:ascii="Arial" w:eastAsia="Calibri" w:hAnsi="Arial" w:cs="Arial"/>
                <w:b/>
                <w:sz w:val="22"/>
                <w:szCs w:val="22"/>
                <w:lang w:val="es-ES_tradnl"/>
              </w:rPr>
              <w:t>Radicación:</w:t>
            </w:r>
            <w:r w:rsidRPr="00E67187">
              <w:rPr>
                <w:rFonts w:ascii="Arial" w:eastAsia="Calibri" w:hAnsi="Arial" w:cs="Arial"/>
                <w:sz w:val="22"/>
                <w:szCs w:val="22"/>
                <w:lang w:val="es-ES_tradnl"/>
              </w:rPr>
              <w:t xml:space="preserve">                              </w:t>
            </w:r>
          </w:p>
        </w:tc>
        <w:tc>
          <w:tcPr>
            <w:tcW w:w="6237" w:type="dxa"/>
          </w:tcPr>
          <w:p w14:paraId="01E1DA82" w14:textId="77ADA1AC" w:rsidR="001D3749" w:rsidRPr="00E67187" w:rsidRDefault="001D3749" w:rsidP="0008765C">
            <w:pPr>
              <w:contextualSpacing/>
              <w:jc w:val="both"/>
              <w:rPr>
                <w:rFonts w:ascii="Arial" w:eastAsia="Calibri" w:hAnsi="Arial" w:cs="Arial"/>
                <w:sz w:val="22"/>
                <w:szCs w:val="22"/>
                <w:lang w:val="es-ES_tradnl"/>
              </w:rPr>
            </w:pPr>
            <w:r w:rsidRPr="00E67187">
              <w:rPr>
                <w:rFonts w:ascii="Arial" w:eastAsia="Calibri" w:hAnsi="Arial" w:cs="Arial"/>
                <w:sz w:val="22"/>
                <w:szCs w:val="22"/>
                <w:lang w:val="es-ES_tradnl"/>
              </w:rPr>
              <w:t xml:space="preserve">Respuesta a consulta # </w:t>
            </w:r>
            <w:r w:rsidR="002141EE" w:rsidRPr="00E67187">
              <w:rPr>
                <w:rFonts w:ascii="Arial" w:eastAsia="Calibri" w:hAnsi="Arial" w:cs="Arial"/>
                <w:sz w:val="22"/>
                <w:szCs w:val="22"/>
                <w:lang w:val="es-ES_tradnl"/>
              </w:rPr>
              <w:t>P20220427004121</w:t>
            </w:r>
          </w:p>
          <w:p w14:paraId="50886173" w14:textId="77777777" w:rsidR="001D3749" w:rsidRPr="00E67187" w:rsidRDefault="001D3749" w:rsidP="0008765C">
            <w:pPr>
              <w:contextualSpacing/>
              <w:jc w:val="both"/>
              <w:rPr>
                <w:rFonts w:ascii="Arial" w:eastAsia="Calibri" w:hAnsi="Arial" w:cs="Arial"/>
                <w:sz w:val="22"/>
                <w:szCs w:val="22"/>
                <w:lang w:val="es-ES_tradnl"/>
              </w:rPr>
            </w:pPr>
            <w:r w:rsidRPr="00E67187">
              <w:rPr>
                <w:rFonts w:ascii="Arial" w:eastAsia="Calibri" w:hAnsi="Arial" w:cs="Arial"/>
                <w:sz w:val="22"/>
                <w:szCs w:val="22"/>
                <w:lang w:val="es-ES_tradnl"/>
              </w:rPr>
              <w:t xml:space="preserve"> </w:t>
            </w:r>
          </w:p>
        </w:tc>
      </w:tr>
    </w:tbl>
    <w:p w14:paraId="3959981D" w14:textId="0E3CE021" w:rsidR="001D3749" w:rsidRPr="00E67187" w:rsidRDefault="001D3749" w:rsidP="0008765C">
      <w:pPr>
        <w:spacing w:line="276" w:lineRule="auto"/>
        <w:contextualSpacing/>
        <w:jc w:val="both"/>
        <w:rPr>
          <w:rFonts w:ascii="Arial" w:eastAsia="Calibri" w:hAnsi="Arial" w:cs="Arial"/>
          <w:sz w:val="22"/>
          <w:szCs w:val="22"/>
          <w:lang w:val="es-ES_tradnl"/>
        </w:rPr>
      </w:pPr>
      <w:r w:rsidRPr="00E67187">
        <w:rPr>
          <w:rFonts w:ascii="Arial" w:eastAsia="Calibri" w:hAnsi="Arial" w:cs="Arial"/>
          <w:sz w:val="22"/>
          <w:szCs w:val="22"/>
          <w:lang w:val="es-ES_tradnl"/>
        </w:rPr>
        <w:t>Estimad</w:t>
      </w:r>
      <w:r w:rsidR="002141EE" w:rsidRPr="00E67187">
        <w:rPr>
          <w:rFonts w:ascii="Arial" w:eastAsia="Calibri" w:hAnsi="Arial" w:cs="Arial"/>
          <w:sz w:val="22"/>
          <w:szCs w:val="22"/>
          <w:lang w:val="es-ES_tradnl"/>
        </w:rPr>
        <w:t>o</w:t>
      </w:r>
      <w:r w:rsidRPr="00E67187">
        <w:rPr>
          <w:rFonts w:ascii="Arial" w:eastAsia="Calibri" w:hAnsi="Arial" w:cs="Arial"/>
          <w:sz w:val="22"/>
          <w:szCs w:val="22"/>
          <w:lang w:val="es-ES_tradnl"/>
        </w:rPr>
        <w:t xml:space="preserve"> señor</w:t>
      </w:r>
      <w:r w:rsidR="002141EE" w:rsidRPr="00E67187">
        <w:rPr>
          <w:rFonts w:ascii="Arial" w:eastAsia="Calibri" w:hAnsi="Arial" w:cs="Arial"/>
          <w:sz w:val="22"/>
          <w:szCs w:val="22"/>
          <w:lang w:val="es-ES_tradnl"/>
        </w:rPr>
        <w:t xml:space="preserve"> Peláez</w:t>
      </w:r>
      <w:r w:rsidRPr="00E67187">
        <w:rPr>
          <w:rFonts w:ascii="Arial" w:eastAsia="Calibri" w:hAnsi="Arial" w:cs="Arial"/>
          <w:sz w:val="22"/>
          <w:szCs w:val="22"/>
          <w:lang w:val="es-ES_tradnl"/>
        </w:rPr>
        <w:t>:</w:t>
      </w:r>
    </w:p>
    <w:p w14:paraId="3D2D5971" w14:textId="77777777" w:rsidR="001D3749" w:rsidRPr="00E67187" w:rsidRDefault="001D3749" w:rsidP="0008765C">
      <w:pPr>
        <w:spacing w:line="276" w:lineRule="auto"/>
        <w:contextualSpacing/>
        <w:jc w:val="both"/>
        <w:rPr>
          <w:rFonts w:ascii="Arial" w:eastAsia="Calibri" w:hAnsi="Arial" w:cs="Arial"/>
          <w:sz w:val="22"/>
          <w:szCs w:val="22"/>
          <w:lang w:val="es-ES_tradnl"/>
        </w:rPr>
      </w:pPr>
    </w:p>
    <w:p w14:paraId="0FCD13C7" w14:textId="3C1C8E95" w:rsidR="001D3749" w:rsidRPr="00E67187" w:rsidRDefault="001D3749" w:rsidP="0008765C">
      <w:pPr>
        <w:spacing w:line="276" w:lineRule="auto"/>
        <w:contextualSpacing/>
        <w:jc w:val="both"/>
        <w:rPr>
          <w:rFonts w:ascii="Arial" w:eastAsia="Calibri" w:hAnsi="Arial" w:cs="Arial"/>
          <w:sz w:val="22"/>
          <w:szCs w:val="22"/>
          <w:lang w:val="es-ES_tradnl"/>
        </w:rPr>
      </w:pPr>
      <w:r w:rsidRPr="00E67187">
        <w:rPr>
          <w:rFonts w:ascii="Arial" w:eastAsia="Calibri" w:hAnsi="Arial" w:cs="Arial"/>
          <w:sz w:val="22"/>
          <w:szCs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0B6C5C" w:rsidRPr="00E67187">
        <w:rPr>
          <w:rFonts w:ascii="Arial" w:eastAsia="Calibri" w:hAnsi="Arial" w:cs="Arial"/>
          <w:sz w:val="22"/>
          <w:szCs w:val="22"/>
          <w:lang w:val="es-ES_tradnl"/>
        </w:rPr>
        <w:t>27 de abril</w:t>
      </w:r>
      <w:r w:rsidRPr="00E67187">
        <w:rPr>
          <w:rFonts w:ascii="Arial" w:eastAsia="Calibri" w:hAnsi="Arial" w:cs="Arial"/>
          <w:sz w:val="22"/>
          <w:szCs w:val="22"/>
          <w:lang w:val="es-ES_tradnl"/>
        </w:rPr>
        <w:t xml:space="preserve"> del 2022.</w:t>
      </w:r>
    </w:p>
    <w:p w14:paraId="497C76F5" w14:textId="77777777" w:rsidR="001D3749" w:rsidRPr="00E67187" w:rsidRDefault="001D3749" w:rsidP="0008765C">
      <w:pPr>
        <w:spacing w:line="276" w:lineRule="auto"/>
        <w:contextualSpacing/>
        <w:jc w:val="both"/>
        <w:rPr>
          <w:rFonts w:ascii="Arial" w:eastAsia="Calibri" w:hAnsi="Arial" w:cs="Arial"/>
          <w:b/>
          <w:sz w:val="22"/>
          <w:szCs w:val="22"/>
          <w:lang w:val="es-ES_tradnl"/>
        </w:rPr>
      </w:pPr>
    </w:p>
    <w:p w14:paraId="46EC81A6" w14:textId="77777777" w:rsidR="001D3749" w:rsidRPr="00E67187" w:rsidRDefault="001D3749" w:rsidP="0008765C">
      <w:pPr>
        <w:pStyle w:val="Prrafodelista"/>
        <w:numPr>
          <w:ilvl w:val="0"/>
          <w:numId w:val="1"/>
        </w:numPr>
        <w:tabs>
          <w:tab w:val="left" w:pos="0"/>
          <w:tab w:val="left" w:pos="142"/>
          <w:tab w:val="left" w:pos="284"/>
        </w:tabs>
        <w:spacing w:line="276" w:lineRule="auto"/>
        <w:ind w:left="0" w:firstLine="0"/>
        <w:jc w:val="both"/>
        <w:rPr>
          <w:rFonts w:ascii="Arial" w:eastAsia="Calibri" w:hAnsi="Arial" w:cs="Arial"/>
          <w:b/>
          <w:sz w:val="22"/>
          <w:lang w:val="es-ES_tradnl"/>
        </w:rPr>
      </w:pPr>
      <w:r w:rsidRPr="00E67187">
        <w:rPr>
          <w:rFonts w:ascii="Arial" w:eastAsia="Calibri" w:hAnsi="Arial" w:cs="Arial"/>
          <w:b/>
          <w:sz w:val="22"/>
          <w:lang w:val="es-ES_tradnl"/>
        </w:rPr>
        <w:t xml:space="preserve">Problema planteado </w:t>
      </w:r>
    </w:p>
    <w:p w14:paraId="7A36A5AD" w14:textId="77777777" w:rsidR="001D3749" w:rsidRPr="00E67187" w:rsidRDefault="001D3749" w:rsidP="0008765C">
      <w:pPr>
        <w:tabs>
          <w:tab w:val="left" w:pos="426"/>
        </w:tabs>
        <w:spacing w:line="276" w:lineRule="auto"/>
        <w:contextualSpacing/>
        <w:jc w:val="both"/>
        <w:rPr>
          <w:rFonts w:ascii="Arial" w:eastAsia="Calibri" w:hAnsi="Arial" w:cs="Arial"/>
          <w:b/>
          <w:sz w:val="22"/>
          <w:szCs w:val="22"/>
          <w:lang w:val="es-ES_tradnl"/>
        </w:rPr>
      </w:pPr>
    </w:p>
    <w:p w14:paraId="1D7EDF07" w14:textId="14A77A1D" w:rsidR="001D3749" w:rsidRPr="00E67187" w:rsidRDefault="002C24F8" w:rsidP="0008765C">
      <w:pPr>
        <w:spacing w:line="276" w:lineRule="auto"/>
        <w:contextualSpacing/>
        <w:jc w:val="both"/>
        <w:rPr>
          <w:rFonts w:ascii="Arial" w:hAnsi="Arial" w:cs="Arial"/>
          <w:sz w:val="22"/>
          <w:lang w:val="es-ES_tradnl"/>
        </w:rPr>
      </w:pPr>
      <w:r w:rsidRPr="00E67187">
        <w:rPr>
          <w:rFonts w:ascii="Arial" w:hAnsi="Arial" w:cs="Arial"/>
          <w:sz w:val="22"/>
          <w:lang w:val="es-ES_tradnl"/>
        </w:rPr>
        <w:t>Respecto del artículo 53 de la Ley 2195 de 2022, u</w:t>
      </w:r>
      <w:r w:rsidR="001D3749" w:rsidRPr="00E67187">
        <w:rPr>
          <w:rFonts w:ascii="Arial" w:hAnsi="Arial" w:cs="Arial"/>
          <w:sz w:val="22"/>
          <w:lang w:val="es-ES_tradnl"/>
        </w:rPr>
        <w:t xml:space="preserve">sted realiza la siguiente consulta: </w:t>
      </w:r>
    </w:p>
    <w:p w14:paraId="273EC8B7" w14:textId="77777777" w:rsidR="001D3749" w:rsidRPr="00E67187" w:rsidRDefault="001D3749" w:rsidP="0008765C">
      <w:pPr>
        <w:spacing w:line="276" w:lineRule="auto"/>
        <w:contextualSpacing/>
        <w:jc w:val="both"/>
        <w:rPr>
          <w:rFonts w:ascii="Arial" w:hAnsi="Arial" w:cs="Arial"/>
          <w:sz w:val="22"/>
          <w:lang w:val="es-ES_tradnl"/>
        </w:rPr>
      </w:pPr>
    </w:p>
    <w:p w14:paraId="426BA016" w14:textId="07F9E0B0" w:rsidR="00501411" w:rsidRPr="00E67187" w:rsidRDefault="001D3749" w:rsidP="0008765C">
      <w:pPr>
        <w:ind w:left="709" w:right="709"/>
        <w:contextualSpacing/>
        <w:jc w:val="both"/>
        <w:rPr>
          <w:rFonts w:ascii="Arial" w:hAnsi="Arial" w:cs="Arial"/>
          <w:sz w:val="21"/>
          <w:szCs w:val="21"/>
        </w:rPr>
      </w:pPr>
      <w:r w:rsidRPr="00E67187">
        <w:rPr>
          <w:rFonts w:ascii="Arial" w:hAnsi="Arial" w:cs="Arial"/>
          <w:sz w:val="21"/>
          <w:szCs w:val="21"/>
          <w:lang w:val="es-ES_tradnl"/>
        </w:rPr>
        <w:t>«</w:t>
      </w:r>
      <w:r w:rsidR="009B7221" w:rsidRPr="00E67187">
        <w:rPr>
          <w:rFonts w:ascii="Arial" w:hAnsi="Arial" w:cs="Arial"/>
          <w:sz w:val="21"/>
          <w:szCs w:val="21"/>
        </w:rPr>
        <w:t xml:space="preserve">Frente a la exigencia dispuesta en el artículo 53 de La Ley 2195 de 2022, de exigir a todas las </w:t>
      </w:r>
      <w:proofErr w:type="gramStart"/>
      <w:r w:rsidR="009B7221" w:rsidRPr="00E67187">
        <w:rPr>
          <w:rFonts w:ascii="Arial" w:hAnsi="Arial" w:cs="Arial"/>
          <w:sz w:val="21"/>
          <w:szCs w:val="21"/>
        </w:rPr>
        <w:t>entidad no sometidas</w:t>
      </w:r>
      <w:proofErr w:type="gramEnd"/>
      <w:r w:rsidR="009B7221" w:rsidRPr="00E67187">
        <w:rPr>
          <w:rFonts w:ascii="Arial" w:hAnsi="Arial" w:cs="Arial"/>
          <w:sz w:val="21"/>
          <w:szCs w:val="21"/>
        </w:rPr>
        <w:t xml:space="preserve"> al EGCP de publicar </w:t>
      </w:r>
      <w:r w:rsidR="00D52790" w:rsidRPr="00E67187">
        <w:rPr>
          <w:rFonts w:ascii="Arial" w:hAnsi="Arial" w:cs="Arial"/>
          <w:sz w:val="21"/>
          <w:szCs w:val="21"/>
        </w:rPr>
        <w:t>l</w:t>
      </w:r>
      <w:r w:rsidR="009B7221" w:rsidRPr="00E67187">
        <w:rPr>
          <w:rFonts w:ascii="Arial" w:hAnsi="Arial" w:cs="Arial"/>
          <w:sz w:val="21"/>
          <w:szCs w:val="21"/>
        </w:rPr>
        <w:t xml:space="preserve">os documentos </w:t>
      </w:r>
      <w:r w:rsidR="009B7221" w:rsidRPr="00E67187">
        <w:rPr>
          <w:rFonts w:ascii="Arial" w:hAnsi="Arial" w:cs="Arial"/>
          <w:sz w:val="21"/>
          <w:szCs w:val="21"/>
        </w:rPr>
        <w:lastRenderedPageBreak/>
        <w:t xml:space="preserve">relacionados con su actividad contractual en el Sistema Electrónico para la Contratación </w:t>
      </w:r>
      <w:proofErr w:type="spellStart"/>
      <w:r w:rsidR="009B7221" w:rsidRPr="00E67187">
        <w:rPr>
          <w:rFonts w:ascii="Arial" w:hAnsi="Arial" w:cs="Arial"/>
          <w:sz w:val="21"/>
          <w:szCs w:val="21"/>
        </w:rPr>
        <w:t>Publica</w:t>
      </w:r>
      <w:proofErr w:type="spellEnd"/>
      <w:r w:rsidR="009B7221" w:rsidRPr="00E67187">
        <w:rPr>
          <w:rFonts w:ascii="Arial" w:hAnsi="Arial" w:cs="Arial"/>
          <w:sz w:val="21"/>
          <w:szCs w:val="21"/>
        </w:rPr>
        <w:t xml:space="preserve"> -SECOP </w:t>
      </w:r>
      <w:r w:rsidR="00886F31" w:rsidRPr="00E67187">
        <w:rPr>
          <w:rFonts w:ascii="Arial" w:hAnsi="Arial" w:cs="Arial"/>
          <w:sz w:val="21"/>
          <w:szCs w:val="21"/>
        </w:rPr>
        <w:t>II</w:t>
      </w:r>
      <w:r w:rsidR="009B7221" w:rsidRPr="00E67187">
        <w:rPr>
          <w:rFonts w:ascii="Arial" w:hAnsi="Arial" w:cs="Arial"/>
          <w:sz w:val="21"/>
          <w:szCs w:val="21"/>
        </w:rPr>
        <w:t xml:space="preserve">- o la plataforma transaccional que haga sus veces. Surgen las siguientes preguntas. </w:t>
      </w:r>
    </w:p>
    <w:p w14:paraId="4E9F2B47" w14:textId="77777777" w:rsidR="00501411" w:rsidRPr="00E67187" w:rsidRDefault="00501411" w:rsidP="0008765C">
      <w:pPr>
        <w:ind w:left="709" w:right="709"/>
        <w:contextualSpacing/>
        <w:jc w:val="both"/>
        <w:rPr>
          <w:rFonts w:ascii="Arial" w:hAnsi="Arial" w:cs="Arial"/>
          <w:sz w:val="21"/>
          <w:szCs w:val="21"/>
        </w:rPr>
      </w:pPr>
    </w:p>
    <w:p w14:paraId="437A32EF" w14:textId="77777777" w:rsidR="00501411" w:rsidRPr="00E67187" w:rsidRDefault="009B7221" w:rsidP="0008765C">
      <w:pPr>
        <w:ind w:left="709" w:right="709"/>
        <w:contextualSpacing/>
        <w:jc w:val="both"/>
        <w:rPr>
          <w:rFonts w:ascii="Arial" w:hAnsi="Arial" w:cs="Arial"/>
          <w:sz w:val="21"/>
          <w:szCs w:val="21"/>
        </w:rPr>
      </w:pPr>
      <w:r w:rsidRPr="00E67187">
        <w:rPr>
          <w:rFonts w:ascii="Arial" w:hAnsi="Arial" w:cs="Arial"/>
          <w:sz w:val="21"/>
          <w:szCs w:val="21"/>
        </w:rPr>
        <w:t xml:space="preserve">1. Cuando se hace referencia a la actividad </w:t>
      </w:r>
      <w:proofErr w:type="gramStart"/>
      <w:r w:rsidRPr="00E67187">
        <w:rPr>
          <w:rFonts w:ascii="Arial" w:hAnsi="Arial" w:cs="Arial"/>
          <w:sz w:val="21"/>
          <w:szCs w:val="21"/>
        </w:rPr>
        <w:t>contractual ,</w:t>
      </w:r>
      <w:proofErr w:type="gramEnd"/>
      <w:r w:rsidRPr="00E67187">
        <w:rPr>
          <w:rFonts w:ascii="Arial" w:hAnsi="Arial" w:cs="Arial"/>
          <w:sz w:val="21"/>
          <w:szCs w:val="21"/>
        </w:rPr>
        <w:t xml:space="preserve"> esta incluye aquellos procesos no misionales ? </w:t>
      </w:r>
    </w:p>
    <w:p w14:paraId="3718F657" w14:textId="77777777" w:rsidR="00501411" w:rsidRPr="00E67187" w:rsidRDefault="00501411" w:rsidP="0008765C">
      <w:pPr>
        <w:ind w:left="709" w:right="709"/>
        <w:contextualSpacing/>
        <w:jc w:val="both"/>
        <w:rPr>
          <w:rFonts w:ascii="Arial" w:hAnsi="Arial" w:cs="Arial"/>
          <w:sz w:val="21"/>
          <w:szCs w:val="21"/>
        </w:rPr>
      </w:pPr>
    </w:p>
    <w:p w14:paraId="39EB1145" w14:textId="4200E333" w:rsidR="009B7221" w:rsidRPr="00E67187" w:rsidRDefault="009B7221" w:rsidP="0008765C">
      <w:pPr>
        <w:ind w:left="709" w:right="709"/>
        <w:contextualSpacing/>
        <w:jc w:val="both"/>
        <w:rPr>
          <w:rFonts w:ascii="Arial" w:hAnsi="Arial" w:cs="Arial"/>
          <w:sz w:val="21"/>
          <w:szCs w:val="21"/>
          <w:lang w:val="es-ES_tradnl"/>
        </w:rPr>
      </w:pPr>
      <w:r w:rsidRPr="00E67187">
        <w:rPr>
          <w:rFonts w:ascii="Arial" w:hAnsi="Arial" w:cs="Arial"/>
          <w:sz w:val="21"/>
          <w:szCs w:val="21"/>
        </w:rPr>
        <w:t xml:space="preserve">2. Cuando hace referencia a que la publicación debe realizarse en el sistema electrónico para la contratación pública - SECOP II- o quien haga sus veces, frente a esta última afirmación "o quien haga sus veces" quiere decir que si la entidad posee un sistema de contratación electrónica puede usar este como medio para cumplir con la obligación de publicidad de la actividad contractual estimada en el art. 53 de la Ley 2195 de </w:t>
      </w:r>
      <w:proofErr w:type="gramStart"/>
      <w:r w:rsidRPr="00E67187">
        <w:rPr>
          <w:rFonts w:ascii="Arial" w:hAnsi="Arial" w:cs="Arial"/>
          <w:sz w:val="21"/>
          <w:szCs w:val="21"/>
        </w:rPr>
        <w:t>2022 .</w:t>
      </w:r>
      <w:proofErr w:type="gramEnd"/>
    </w:p>
    <w:p w14:paraId="6576007A" w14:textId="7AFD460C" w:rsidR="00501411" w:rsidRPr="00E67187" w:rsidRDefault="00501411" w:rsidP="0008765C">
      <w:pPr>
        <w:ind w:left="709" w:right="709"/>
        <w:contextualSpacing/>
        <w:jc w:val="both"/>
        <w:rPr>
          <w:rFonts w:ascii="Arial" w:hAnsi="Arial" w:cs="Arial"/>
          <w:sz w:val="21"/>
          <w:szCs w:val="21"/>
        </w:rPr>
      </w:pPr>
    </w:p>
    <w:p w14:paraId="6E1ABA50" w14:textId="0E8C05DF" w:rsidR="001D3749" w:rsidRPr="00E67187" w:rsidRDefault="00501411" w:rsidP="0008765C">
      <w:pPr>
        <w:ind w:left="709" w:right="709"/>
        <w:contextualSpacing/>
        <w:jc w:val="both"/>
        <w:rPr>
          <w:rFonts w:ascii="Arial" w:hAnsi="Arial" w:cs="Arial"/>
          <w:sz w:val="21"/>
          <w:szCs w:val="21"/>
        </w:rPr>
      </w:pPr>
      <w:r w:rsidRPr="00E67187">
        <w:rPr>
          <w:rFonts w:ascii="Arial" w:hAnsi="Arial" w:cs="Arial"/>
          <w:sz w:val="21"/>
          <w:szCs w:val="21"/>
        </w:rPr>
        <w:t xml:space="preserve">3. Siendo la naturaleza del SECOP II netamente transaccional, en donde están establecidos </w:t>
      </w:r>
      <w:proofErr w:type="gramStart"/>
      <w:r w:rsidRPr="00E67187">
        <w:rPr>
          <w:rFonts w:ascii="Arial" w:hAnsi="Arial" w:cs="Arial"/>
          <w:sz w:val="21"/>
          <w:szCs w:val="21"/>
        </w:rPr>
        <w:t>los procedimiento</w:t>
      </w:r>
      <w:proofErr w:type="gramEnd"/>
      <w:r w:rsidRPr="00E67187">
        <w:rPr>
          <w:rFonts w:ascii="Arial" w:hAnsi="Arial" w:cs="Arial"/>
          <w:sz w:val="21"/>
          <w:szCs w:val="21"/>
        </w:rPr>
        <w:t xml:space="preserve"> por pasos y procesos, y cada etapa o acción requiere ciertas acciones, por ejemplo: En la etapa del proceso la configuración del cronograma o de las preguntas en el cuestionario, o en el contrato electrónico la firma de las partes. ¿Explicar por favor, como gestiono la plataforma transaccional SECOP II como una plataforma de publicidad solamente?</w:t>
      </w:r>
      <w:r w:rsidR="001D3749" w:rsidRPr="00E67187">
        <w:rPr>
          <w:rFonts w:ascii="Arial" w:hAnsi="Arial" w:cs="Arial"/>
          <w:sz w:val="21"/>
          <w:szCs w:val="21"/>
        </w:rPr>
        <w:t>» (</w:t>
      </w:r>
      <w:r w:rsidRPr="00E67187">
        <w:rPr>
          <w:rFonts w:ascii="Arial" w:hAnsi="Arial" w:cs="Arial"/>
          <w:sz w:val="21"/>
          <w:szCs w:val="21"/>
        </w:rPr>
        <w:t>SIC</w:t>
      </w:r>
      <w:r w:rsidR="001D3749" w:rsidRPr="00E67187">
        <w:rPr>
          <w:rFonts w:ascii="Arial" w:hAnsi="Arial" w:cs="Arial"/>
          <w:sz w:val="21"/>
          <w:szCs w:val="21"/>
        </w:rPr>
        <w:t xml:space="preserve">). </w:t>
      </w:r>
    </w:p>
    <w:p w14:paraId="18E24540" w14:textId="77777777" w:rsidR="001D3749" w:rsidRPr="00E67187" w:rsidRDefault="001D3749" w:rsidP="00635BFB">
      <w:pPr>
        <w:spacing w:line="276" w:lineRule="auto"/>
        <w:ind w:right="709"/>
        <w:contextualSpacing/>
        <w:jc w:val="both"/>
        <w:rPr>
          <w:rFonts w:ascii="Arial" w:hAnsi="Arial" w:cs="Arial"/>
          <w:sz w:val="22"/>
          <w:szCs w:val="22"/>
        </w:rPr>
      </w:pPr>
    </w:p>
    <w:p w14:paraId="3B875B5A" w14:textId="77777777" w:rsidR="001D3749" w:rsidRPr="00E67187" w:rsidRDefault="001D3749" w:rsidP="00635BFB">
      <w:pPr>
        <w:pStyle w:val="Prrafodelista"/>
        <w:numPr>
          <w:ilvl w:val="0"/>
          <w:numId w:val="1"/>
        </w:numPr>
        <w:tabs>
          <w:tab w:val="left" w:pos="0"/>
          <w:tab w:val="left" w:pos="284"/>
        </w:tabs>
        <w:spacing w:line="276" w:lineRule="auto"/>
        <w:ind w:left="0" w:firstLine="0"/>
        <w:jc w:val="both"/>
        <w:rPr>
          <w:rFonts w:ascii="Arial" w:eastAsia="Calibri" w:hAnsi="Arial" w:cs="Arial"/>
          <w:b/>
          <w:sz w:val="22"/>
          <w:lang w:val="es-ES_tradnl"/>
        </w:rPr>
      </w:pPr>
      <w:r w:rsidRPr="00E67187">
        <w:rPr>
          <w:rFonts w:ascii="Arial" w:eastAsia="Calibri" w:hAnsi="Arial" w:cs="Arial"/>
          <w:b/>
          <w:sz w:val="22"/>
          <w:lang w:val="es-ES_tradnl"/>
        </w:rPr>
        <w:t>Consideraciones</w:t>
      </w:r>
    </w:p>
    <w:p w14:paraId="52C860E3" w14:textId="77777777" w:rsidR="001D3749" w:rsidRPr="00E67187" w:rsidRDefault="001D3749" w:rsidP="00635BFB">
      <w:pPr>
        <w:spacing w:line="276" w:lineRule="auto"/>
        <w:contextualSpacing/>
        <w:jc w:val="both"/>
        <w:rPr>
          <w:rFonts w:ascii="Arial" w:eastAsia="Calibri" w:hAnsi="Arial" w:cs="Arial"/>
          <w:sz w:val="22"/>
          <w:szCs w:val="22"/>
          <w:lang w:val="es-ES_tradnl"/>
        </w:rPr>
      </w:pPr>
    </w:p>
    <w:p w14:paraId="412CFADD" w14:textId="30CEC517" w:rsidR="00B85876" w:rsidRPr="00E67187" w:rsidRDefault="001D3749" w:rsidP="00635BFB">
      <w:pPr>
        <w:spacing w:after="120" w:line="276" w:lineRule="auto"/>
        <w:jc w:val="both"/>
        <w:rPr>
          <w:rFonts w:ascii="Arial" w:eastAsia="Calibri" w:hAnsi="Arial" w:cs="Arial"/>
          <w:sz w:val="22"/>
          <w:szCs w:val="22"/>
          <w:lang w:val="es-ES"/>
        </w:rPr>
      </w:pPr>
      <w:r w:rsidRPr="00E67187">
        <w:rPr>
          <w:rFonts w:ascii="Arial" w:hAnsi="Arial" w:cs="Arial"/>
          <w:sz w:val="22"/>
          <w:szCs w:val="22"/>
          <w:lang w:val="es-ES_tradnl"/>
        </w:rPr>
        <w:t xml:space="preserve">Para resolver su consulta, se analizarán los siguientes temas: </w:t>
      </w:r>
      <w:r w:rsidR="00B85876" w:rsidRPr="00E67187">
        <w:rPr>
          <w:rFonts w:ascii="Arial" w:hAnsi="Arial" w:cs="Arial"/>
          <w:iCs/>
          <w:sz w:val="22"/>
          <w:szCs w:val="22"/>
          <w:lang w:val="es-ES_tradnl"/>
        </w:rPr>
        <w:t xml:space="preserve">i) </w:t>
      </w:r>
      <w:r w:rsidR="008F4D7B" w:rsidRPr="00E67187">
        <w:rPr>
          <w:rFonts w:ascii="Arial" w:hAnsi="Arial" w:cs="Arial"/>
          <w:iCs/>
          <w:sz w:val="22"/>
          <w:szCs w:val="22"/>
          <w:lang w:val="es-ES_tradnl"/>
        </w:rPr>
        <w:t>deber de las entidades estatales exceptuadas del Estatuto General de Contratación de la Administración Pública de publicar los documentos relacionados con su actividad contractual en el SECOP II</w:t>
      </w:r>
      <w:r w:rsidR="00635BFB" w:rsidRPr="00E67187">
        <w:rPr>
          <w:rFonts w:ascii="Arial" w:hAnsi="Arial" w:cs="Arial"/>
          <w:iCs/>
          <w:sz w:val="22"/>
          <w:szCs w:val="22"/>
          <w:lang w:val="es-ES_tradnl"/>
        </w:rPr>
        <w:t>, en virtud de la m</w:t>
      </w:r>
      <w:r w:rsidR="008F4D7B" w:rsidRPr="00E67187">
        <w:rPr>
          <w:rFonts w:ascii="Arial" w:hAnsi="Arial" w:cs="Arial"/>
          <w:iCs/>
          <w:sz w:val="22"/>
          <w:szCs w:val="22"/>
          <w:lang w:val="es-ES_tradnl"/>
        </w:rPr>
        <w:t>odificación introducida por el artículo 53 de la Ley 2195 de 2022</w:t>
      </w:r>
      <w:r w:rsidR="00740EA4" w:rsidRPr="00E67187">
        <w:rPr>
          <w:rFonts w:ascii="Arial" w:hAnsi="Arial" w:cs="Arial"/>
          <w:iCs/>
          <w:sz w:val="22"/>
          <w:szCs w:val="22"/>
          <w:lang w:val="es-ES_tradnl"/>
        </w:rPr>
        <w:t>; ii</w:t>
      </w:r>
      <w:r w:rsidR="00B85876" w:rsidRPr="00E67187">
        <w:rPr>
          <w:rFonts w:ascii="Arial" w:eastAsia="Arial" w:hAnsi="Arial" w:cs="Arial"/>
          <w:sz w:val="22"/>
          <w:szCs w:val="22"/>
          <w:lang w:val="es-ES"/>
        </w:rPr>
        <w:t xml:space="preserve">) </w:t>
      </w:r>
      <w:r w:rsidR="008F4D7B" w:rsidRPr="00E67187">
        <w:rPr>
          <w:rFonts w:ascii="Arial" w:eastAsia="Calibri" w:hAnsi="Arial" w:cs="Arial"/>
          <w:sz w:val="22"/>
          <w:szCs w:val="22"/>
          <w:lang w:val="es-ES_tradnl"/>
        </w:rPr>
        <w:t xml:space="preserve">uso del SECOP II por las entidades con </w:t>
      </w:r>
      <w:r w:rsidR="008F4D7B" w:rsidRPr="00E67187">
        <w:rPr>
          <w:rFonts w:ascii="Arial" w:hAnsi="Arial" w:cs="Arial"/>
          <w:iCs/>
          <w:sz w:val="22"/>
          <w:szCs w:val="22"/>
          <w:lang w:val="es-ES_tradnl"/>
        </w:rPr>
        <w:t>exceptuadas del Estatuto General de Contratación de la Administración Pública</w:t>
      </w:r>
      <w:r w:rsidR="00B533A3" w:rsidRPr="00E67187">
        <w:rPr>
          <w:rFonts w:ascii="Arial" w:eastAsia="Calibri" w:hAnsi="Arial" w:cs="Arial"/>
          <w:sz w:val="22"/>
          <w:szCs w:val="22"/>
          <w:lang w:val="es-ES"/>
        </w:rPr>
        <w:t xml:space="preserve">. </w:t>
      </w:r>
    </w:p>
    <w:p w14:paraId="014BC539" w14:textId="5DB39EA6" w:rsidR="001D3749" w:rsidRPr="00E67187" w:rsidRDefault="001D3749" w:rsidP="00635BFB">
      <w:pPr>
        <w:spacing w:before="120" w:line="276" w:lineRule="auto"/>
        <w:ind w:firstLine="709"/>
        <w:jc w:val="both"/>
        <w:rPr>
          <w:rFonts w:ascii="Arial" w:eastAsia="Calibri" w:hAnsi="Arial" w:cs="Arial"/>
          <w:sz w:val="22"/>
          <w:szCs w:val="22"/>
          <w:lang w:val="es-ES"/>
        </w:rPr>
      </w:pPr>
      <w:r w:rsidRPr="00E67187">
        <w:rPr>
          <w:rFonts w:ascii="Arial" w:hAnsi="Arial" w:cs="Arial"/>
          <w:sz w:val="22"/>
          <w:szCs w:val="22"/>
          <w:lang w:val="es-ES_tradnl"/>
        </w:rPr>
        <w:t xml:space="preserve">La Agencia Nacional de Contratación Pública – Colombia Compra Eficiente </w:t>
      </w:r>
      <w:r w:rsidRPr="00E67187">
        <w:rPr>
          <w:rFonts w:ascii="Arial" w:hAnsi="Arial" w:cs="Arial"/>
          <w:sz w:val="22"/>
          <w:szCs w:val="22"/>
        </w:rPr>
        <w:t xml:space="preserve">se ha pronunciado en múltiples ocasiones sobre los principios de publicidad y de acceso a la información pública en la contratación estatal, y sobre </w:t>
      </w:r>
      <w:r w:rsidRPr="00E67187">
        <w:rPr>
          <w:rFonts w:ascii="Arial" w:eastAsia="Calibri" w:hAnsi="Arial" w:cs="Arial"/>
          <w:sz w:val="22"/>
          <w:szCs w:val="22"/>
          <w:lang w:val="es-ES"/>
        </w:rPr>
        <w:t xml:space="preserve">los fundamentos normativos del deber de publicar la documentación contractual en las plataformas SECOP I y SECOP II. Así lo analizó la Agencia en el concepto </w:t>
      </w:r>
      <w:r w:rsidRPr="00E67187">
        <w:rPr>
          <w:rFonts w:ascii="Arial" w:hAnsi="Arial" w:cs="Arial"/>
          <w:sz w:val="22"/>
          <w:szCs w:val="22"/>
        </w:rPr>
        <w:t xml:space="preserve">CU-367 del 23 de julio de 2020, reiterado en los conceptos: C−433 de 24 de julio de 2020, C−468 del 24 de julio de 2020, C−474 de 24 de julio de 2020, C−488 del 28 de julio de 2020, C−544 del 21 de agosto de 2020, C−575 del 27 de agosto de 2020, C−643 del 26 de octubre de 2020, C−661 del 17 de noviembre de 2020, C-094 del 13 de abril de 2021, C−068 del 22 de abril de 2021, C-185 del 29 de abril de 2021 y C-472 del 6 de septiembre de 2021. </w:t>
      </w:r>
      <w:r w:rsidRPr="00E67187">
        <w:rPr>
          <w:rFonts w:ascii="Arial" w:hAnsi="Arial" w:cs="Arial"/>
          <w:sz w:val="22"/>
          <w:szCs w:val="22"/>
          <w:lang w:val="es-ES_tradnl"/>
        </w:rPr>
        <w:t>Las ideas expuestas en dichas oportunidades se reiteran a continuación, complementándolas con la interpretación del artículo 53 de la Ley 2195 de 2022, que suscita las inquietudes de la presente consulta.</w:t>
      </w:r>
    </w:p>
    <w:p w14:paraId="2636331B" w14:textId="1A229565" w:rsidR="00403110" w:rsidRPr="00E67187" w:rsidRDefault="00403110" w:rsidP="00635BFB">
      <w:pPr>
        <w:pStyle w:val="Textoindependiente"/>
        <w:spacing w:after="0" w:line="276" w:lineRule="auto"/>
        <w:contextualSpacing/>
        <w:jc w:val="both"/>
        <w:rPr>
          <w:rFonts w:ascii="Arial" w:hAnsi="Arial" w:cs="Arial"/>
          <w:sz w:val="22"/>
          <w:szCs w:val="22"/>
          <w:lang w:val="es-ES_tradnl"/>
        </w:rPr>
      </w:pPr>
    </w:p>
    <w:p w14:paraId="7CCA2272" w14:textId="6F5937EC" w:rsidR="00BA2A03" w:rsidRPr="00E67187" w:rsidRDefault="00BA2A03" w:rsidP="00635BFB">
      <w:pPr>
        <w:spacing w:line="276" w:lineRule="auto"/>
        <w:contextualSpacing/>
        <w:jc w:val="both"/>
        <w:rPr>
          <w:rFonts w:ascii="Arial" w:hAnsi="Arial" w:cs="Arial"/>
          <w:b/>
          <w:bCs/>
          <w:iCs/>
          <w:sz w:val="22"/>
          <w:szCs w:val="22"/>
          <w:lang w:val="es-ES_tradnl"/>
        </w:rPr>
      </w:pPr>
      <w:r w:rsidRPr="00E67187">
        <w:rPr>
          <w:rFonts w:ascii="Arial" w:hAnsi="Arial" w:cs="Arial"/>
          <w:b/>
          <w:bCs/>
          <w:iCs/>
          <w:sz w:val="22"/>
          <w:szCs w:val="22"/>
          <w:lang w:val="es-ES_tradnl"/>
        </w:rPr>
        <w:lastRenderedPageBreak/>
        <w:t>2.</w:t>
      </w:r>
      <w:r w:rsidR="00E46001" w:rsidRPr="00E67187">
        <w:rPr>
          <w:rFonts w:ascii="Arial" w:hAnsi="Arial" w:cs="Arial"/>
          <w:b/>
          <w:bCs/>
          <w:iCs/>
          <w:sz w:val="22"/>
          <w:szCs w:val="22"/>
          <w:lang w:val="es-ES_tradnl"/>
        </w:rPr>
        <w:t>1</w:t>
      </w:r>
      <w:r w:rsidRPr="00E67187">
        <w:rPr>
          <w:rFonts w:ascii="Arial" w:hAnsi="Arial" w:cs="Arial"/>
          <w:b/>
          <w:bCs/>
          <w:iCs/>
          <w:sz w:val="22"/>
          <w:szCs w:val="22"/>
          <w:lang w:val="es-ES_tradnl"/>
        </w:rPr>
        <w:t>. Deber de las entidades estatales</w:t>
      </w:r>
      <w:r w:rsidR="00635BFB" w:rsidRPr="00E67187">
        <w:rPr>
          <w:rFonts w:ascii="Arial" w:hAnsi="Arial" w:cs="Arial"/>
          <w:b/>
          <w:bCs/>
          <w:iCs/>
          <w:sz w:val="22"/>
          <w:szCs w:val="22"/>
          <w:lang w:val="es-ES_tradnl"/>
        </w:rPr>
        <w:t xml:space="preserve"> </w:t>
      </w:r>
      <w:r w:rsidRPr="00E67187">
        <w:rPr>
          <w:rFonts w:ascii="Arial" w:hAnsi="Arial" w:cs="Arial"/>
          <w:b/>
          <w:bCs/>
          <w:iCs/>
          <w:sz w:val="22"/>
          <w:szCs w:val="22"/>
          <w:lang w:val="es-ES_tradnl"/>
        </w:rPr>
        <w:t>exceptuadas del Estatuto General de Contratación de la Administración Pública de publicar los documentos relacionados con su actividad contractual en el SECOP II.</w:t>
      </w:r>
      <w:r w:rsidR="00D75B88" w:rsidRPr="00E67187">
        <w:rPr>
          <w:rFonts w:ascii="Arial" w:hAnsi="Arial" w:cs="Arial"/>
          <w:b/>
          <w:bCs/>
          <w:iCs/>
          <w:sz w:val="22"/>
          <w:szCs w:val="22"/>
          <w:lang w:val="es-ES_tradnl"/>
        </w:rPr>
        <w:t xml:space="preserve"> </w:t>
      </w:r>
      <w:r w:rsidR="00491C68" w:rsidRPr="00E67187">
        <w:rPr>
          <w:rFonts w:ascii="Arial" w:hAnsi="Arial" w:cs="Arial"/>
          <w:b/>
          <w:bCs/>
          <w:iCs/>
          <w:sz w:val="22"/>
          <w:szCs w:val="22"/>
          <w:lang w:val="es-ES_tradnl"/>
        </w:rPr>
        <w:t>Modificación introducida por el a</w:t>
      </w:r>
      <w:r w:rsidRPr="00E67187">
        <w:rPr>
          <w:rFonts w:ascii="Arial" w:hAnsi="Arial" w:cs="Arial"/>
          <w:b/>
          <w:bCs/>
          <w:iCs/>
          <w:sz w:val="22"/>
          <w:szCs w:val="22"/>
          <w:lang w:val="es-ES_tradnl"/>
        </w:rPr>
        <w:t>rtículo 53 de la Ley 2195 de 2022</w:t>
      </w:r>
    </w:p>
    <w:p w14:paraId="06C98BD8" w14:textId="77777777" w:rsidR="0008765C" w:rsidRPr="00E67187" w:rsidRDefault="0008765C" w:rsidP="00635BFB">
      <w:pPr>
        <w:spacing w:line="276" w:lineRule="auto"/>
        <w:contextualSpacing/>
        <w:jc w:val="both"/>
        <w:rPr>
          <w:rFonts w:ascii="Arial" w:hAnsi="Arial" w:cs="Arial"/>
          <w:b/>
          <w:bCs/>
          <w:iCs/>
          <w:sz w:val="22"/>
          <w:szCs w:val="22"/>
          <w:lang w:val="es-ES_tradnl"/>
        </w:rPr>
      </w:pPr>
    </w:p>
    <w:p w14:paraId="7E984B66" w14:textId="73800550" w:rsidR="00934976" w:rsidRPr="00E67187" w:rsidRDefault="00934976" w:rsidP="00635BFB">
      <w:pPr>
        <w:pStyle w:val="Textoindependiente"/>
        <w:spacing w:line="276" w:lineRule="auto"/>
        <w:jc w:val="both"/>
        <w:rPr>
          <w:rFonts w:ascii="Arial" w:hAnsi="Arial" w:cs="Arial"/>
          <w:sz w:val="22"/>
          <w:szCs w:val="22"/>
        </w:rPr>
      </w:pPr>
      <w:r w:rsidRPr="00E67187">
        <w:rPr>
          <w:rFonts w:ascii="Arial" w:hAnsi="Arial" w:cs="Arial"/>
          <w:sz w:val="22"/>
          <w:szCs w:val="22"/>
        </w:rPr>
        <w:t>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E67187">
        <w:rPr>
          <w:rStyle w:val="Refdenotaalpie"/>
          <w:rFonts w:ascii="Arial" w:hAnsi="Arial" w:cs="Arial"/>
          <w:sz w:val="22"/>
          <w:szCs w:val="22"/>
        </w:rPr>
        <w:footnoteReference w:id="1"/>
      </w:r>
      <w:r w:rsidRPr="00E67187">
        <w:rPr>
          <w:rFonts w:ascii="Arial" w:hAnsi="Arial" w:cs="Arial"/>
          <w:sz w:val="22"/>
          <w:szCs w:val="22"/>
        </w:rPr>
        <w:t>. El principio de transparencia en la información alude al deber de los sujetos de proporcionar y facilitar el acceso a la misma en los términos más amplios posibles</w:t>
      </w:r>
      <w:r w:rsidR="00806D0A" w:rsidRPr="00E67187">
        <w:rPr>
          <w:rFonts w:ascii="Arial" w:hAnsi="Arial" w:cs="Arial"/>
          <w:sz w:val="22"/>
          <w:szCs w:val="22"/>
        </w:rPr>
        <w:t>,</w:t>
      </w:r>
      <w:r w:rsidRPr="00E67187">
        <w:rPr>
          <w:rFonts w:ascii="Arial" w:hAnsi="Arial" w:cs="Arial"/>
          <w:sz w:val="22"/>
          <w:szCs w:val="22"/>
        </w:rPr>
        <w:t xml:space="preserve"> a través de los medios y procedimientos que establezca la</w:t>
      </w:r>
      <w:r w:rsidRPr="00E67187">
        <w:rPr>
          <w:rFonts w:ascii="Arial" w:hAnsi="Arial" w:cs="Arial"/>
          <w:spacing w:val="-2"/>
          <w:sz w:val="22"/>
          <w:szCs w:val="22"/>
        </w:rPr>
        <w:t xml:space="preserve"> </w:t>
      </w:r>
      <w:r w:rsidRPr="00E67187">
        <w:rPr>
          <w:rFonts w:ascii="Arial" w:hAnsi="Arial" w:cs="Arial"/>
          <w:sz w:val="22"/>
          <w:szCs w:val="22"/>
        </w:rPr>
        <w:t>ley.</w:t>
      </w:r>
    </w:p>
    <w:p w14:paraId="73052833" w14:textId="34679989" w:rsidR="00934976" w:rsidRPr="00E67187" w:rsidRDefault="00934976" w:rsidP="00635BFB">
      <w:pPr>
        <w:pStyle w:val="Textoindependiente"/>
        <w:spacing w:before="2" w:line="276" w:lineRule="auto"/>
        <w:ind w:firstLine="709"/>
        <w:jc w:val="both"/>
        <w:rPr>
          <w:rFonts w:ascii="Arial" w:hAnsi="Arial" w:cs="Arial"/>
          <w:sz w:val="22"/>
          <w:szCs w:val="22"/>
        </w:rPr>
      </w:pPr>
      <w:r w:rsidRPr="00E67187">
        <w:rPr>
          <w:rFonts w:ascii="Arial" w:hAnsi="Arial" w:cs="Arial"/>
          <w:sz w:val="22"/>
          <w:szCs w:val="22"/>
        </w:rPr>
        <w:t xml:space="preserve">La citada </w:t>
      </w:r>
      <w:r w:rsidR="007A4A41" w:rsidRPr="00E67187">
        <w:rPr>
          <w:rFonts w:ascii="Arial" w:hAnsi="Arial" w:cs="Arial"/>
          <w:sz w:val="22"/>
          <w:szCs w:val="22"/>
        </w:rPr>
        <w:t xml:space="preserve">ley </w:t>
      </w:r>
      <w:r w:rsidRPr="00E67187">
        <w:rPr>
          <w:rFonts w:ascii="Arial" w:hAnsi="Arial" w:cs="Arial"/>
          <w:sz w:val="22"/>
          <w:szCs w:val="22"/>
        </w:rPr>
        <w:t>establece, en el literal e) del artículo 9, que los sujetos obligados, que son todas las entidades públicas</w:t>
      </w:r>
      <w:r w:rsidRPr="00E67187">
        <w:rPr>
          <w:rStyle w:val="Refdenotaalpie"/>
          <w:rFonts w:ascii="Arial" w:hAnsi="Arial" w:cs="Arial"/>
          <w:sz w:val="22"/>
          <w:szCs w:val="22"/>
        </w:rPr>
        <w:footnoteReference w:id="2"/>
      </w:r>
      <w:r w:rsidRPr="00E67187">
        <w:rPr>
          <w:rFonts w:ascii="Arial" w:hAnsi="Arial" w:cs="Arial"/>
          <w:sz w:val="22"/>
          <w:szCs w:val="22"/>
        </w:rPr>
        <w:t xml:space="preserve">, deben publicar la información relativa a su contratación. Esta obligación fue desarrollada por el </w:t>
      </w:r>
      <w:r w:rsidR="00921987" w:rsidRPr="00E67187">
        <w:rPr>
          <w:rFonts w:ascii="Arial" w:hAnsi="Arial" w:cs="Arial"/>
          <w:sz w:val="22"/>
          <w:szCs w:val="22"/>
        </w:rPr>
        <w:t>artí</w:t>
      </w:r>
      <w:r w:rsidR="008A0149" w:rsidRPr="00E67187">
        <w:rPr>
          <w:rFonts w:ascii="Arial" w:hAnsi="Arial" w:cs="Arial"/>
          <w:sz w:val="22"/>
          <w:szCs w:val="22"/>
        </w:rPr>
        <w:t xml:space="preserve">culo 2.1.1.2.1.7. del </w:t>
      </w:r>
      <w:r w:rsidRPr="00E67187">
        <w:rPr>
          <w:rFonts w:ascii="Arial" w:hAnsi="Arial" w:cs="Arial"/>
          <w:sz w:val="22"/>
          <w:szCs w:val="22"/>
        </w:rPr>
        <w:t>Decreto Único Reglamentario 1081 de 2015</w:t>
      </w:r>
      <w:r w:rsidRPr="00E67187">
        <w:rPr>
          <w:rStyle w:val="Refdenotaalpie"/>
          <w:rFonts w:ascii="Arial" w:hAnsi="Arial" w:cs="Arial"/>
          <w:sz w:val="22"/>
          <w:szCs w:val="22"/>
        </w:rPr>
        <w:footnoteReference w:id="3"/>
      </w:r>
      <w:r w:rsidRPr="00E67187">
        <w:rPr>
          <w:rFonts w:ascii="Arial" w:hAnsi="Arial" w:cs="Arial"/>
          <w:sz w:val="22"/>
          <w:szCs w:val="22"/>
        </w:rPr>
        <w:t>, el cual dispone que la publicación de la información contractual de los sujetos obligados,</w:t>
      </w:r>
      <w:r w:rsidRPr="00E67187">
        <w:rPr>
          <w:rFonts w:ascii="Arial" w:hAnsi="Arial" w:cs="Arial"/>
          <w:spacing w:val="3"/>
          <w:sz w:val="22"/>
          <w:szCs w:val="22"/>
        </w:rPr>
        <w:t xml:space="preserve"> </w:t>
      </w:r>
      <w:r w:rsidRPr="00E67187">
        <w:rPr>
          <w:rFonts w:ascii="Arial" w:hAnsi="Arial" w:cs="Arial"/>
          <w:sz w:val="22"/>
          <w:szCs w:val="22"/>
        </w:rPr>
        <w:t>que contratan con cargo a recursos públicos, debe hacerse en el Sistema Electrónico de Contratación Pública ─ SECOP.</w:t>
      </w:r>
      <w:r w:rsidR="007A4A41" w:rsidRPr="00E67187">
        <w:rPr>
          <w:rFonts w:ascii="Arial" w:hAnsi="Arial" w:cs="Arial"/>
          <w:sz w:val="22"/>
          <w:szCs w:val="22"/>
        </w:rPr>
        <w:t xml:space="preserve"> </w:t>
      </w:r>
    </w:p>
    <w:p w14:paraId="27E4162E" w14:textId="77777777" w:rsidR="00934976" w:rsidRPr="00E67187" w:rsidRDefault="00934976" w:rsidP="00635BFB">
      <w:pPr>
        <w:pStyle w:val="Textoindependiente"/>
        <w:spacing w:line="276" w:lineRule="auto"/>
        <w:ind w:firstLine="709"/>
        <w:jc w:val="both"/>
        <w:rPr>
          <w:rFonts w:ascii="Arial" w:hAnsi="Arial" w:cs="Arial"/>
          <w:sz w:val="22"/>
          <w:szCs w:val="22"/>
        </w:rPr>
      </w:pPr>
      <w:r w:rsidRPr="00E67187">
        <w:rPr>
          <w:rFonts w:ascii="Arial" w:hAnsi="Arial" w:cs="Arial"/>
          <w:sz w:val="22"/>
          <w:szCs w:val="22"/>
        </w:rPr>
        <w:t xml:space="preserve">Asimismo, de acuerdo con el literal g) del artículo 11 de la misma Ley, todos los destinatarios de la ley de transparencia deben garantizar la publicidad de «sus procedimientos, lineamientos, políticas en materia de adquisiciones y compras, así como </w:t>
      </w:r>
      <w:r w:rsidRPr="00E67187">
        <w:rPr>
          <w:rFonts w:ascii="Arial" w:hAnsi="Arial" w:cs="Arial"/>
          <w:sz w:val="22"/>
          <w:szCs w:val="22"/>
        </w:rPr>
        <w:lastRenderedPageBreak/>
        <w:t>todos los datos de adjudicación y ejecución de contratos, incluidos concursos y licitaciones», y esta información también debe estar en el SECOP.</w:t>
      </w:r>
    </w:p>
    <w:p w14:paraId="37FD3685" w14:textId="1A6A2068" w:rsidR="00934976" w:rsidRPr="00E67187" w:rsidRDefault="00FC4E89" w:rsidP="00635BFB">
      <w:pPr>
        <w:spacing w:line="276" w:lineRule="auto"/>
        <w:ind w:firstLine="709"/>
        <w:contextualSpacing/>
        <w:jc w:val="both"/>
        <w:rPr>
          <w:rFonts w:ascii="Arial" w:hAnsi="Arial" w:cs="Arial"/>
          <w:sz w:val="22"/>
          <w:szCs w:val="22"/>
        </w:rPr>
      </w:pPr>
      <w:r w:rsidRPr="00E67187">
        <w:rPr>
          <w:rFonts w:ascii="Arial" w:hAnsi="Arial" w:cs="Arial"/>
          <w:sz w:val="22"/>
          <w:szCs w:val="22"/>
        </w:rPr>
        <w:t>Las anteriores disposiciones normativas</w:t>
      </w:r>
      <w:r w:rsidR="00934976" w:rsidRPr="00E67187">
        <w:rPr>
          <w:rFonts w:ascii="Arial" w:hAnsi="Arial" w:cs="Arial"/>
          <w:sz w:val="22"/>
          <w:szCs w:val="22"/>
        </w:rPr>
        <w:t xml:space="preserve"> fue</w:t>
      </w:r>
      <w:r w:rsidRPr="00E67187">
        <w:rPr>
          <w:rFonts w:ascii="Arial" w:hAnsi="Arial" w:cs="Arial"/>
          <w:sz w:val="22"/>
          <w:szCs w:val="22"/>
        </w:rPr>
        <w:t>ron</w:t>
      </w:r>
      <w:r w:rsidR="00934976" w:rsidRPr="00E67187">
        <w:rPr>
          <w:rFonts w:ascii="Arial" w:hAnsi="Arial" w:cs="Arial"/>
          <w:sz w:val="22"/>
          <w:szCs w:val="22"/>
        </w:rPr>
        <w:t xml:space="preserve"> complementad</w:t>
      </w:r>
      <w:r w:rsidRPr="00E67187">
        <w:rPr>
          <w:rFonts w:ascii="Arial" w:hAnsi="Arial" w:cs="Arial"/>
          <w:sz w:val="22"/>
          <w:szCs w:val="22"/>
        </w:rPr>
        <w:t>as</w:t>
      </w:r>
      <w:r w:rsidR="00934976" w:rsidRPr="00E67187">
        <w:rPr>
          <w:rFonts w:ascii="Arial" w:hAnsi="Arial" w:cs="Arial"/>
          <w:sz w:val="22"/>
          <w:szCs w:val="22"/>
        </w:rPr>
        <w:t xml:space="preserve"> con la expedición del artículo 53 de la Ley 2195 de 2022, el cual le asigna </w:t>
      </w:r>
      <w:r w:rsidR="004956BD" w:rsidRPr="00E67187">
        <w:rPr>
          <w:rFonts w:ascii="Arial" w:hAnsi="Arial" w:cs="Arial"/>
          <w:sz w:val="22"/>
          <w:szCs w:val="22"/>
        </w:rPr>
        <w:t>la</w:t>
      </w:r>
      <w:r w:rsidR="00934976" w:rsidRPr="00E67187">
        <w:rPr>
          <w:rFonts w:ascii="Arial" w:hAnsi="Arial" w:cs="Arial"/>
          <w:sz w:val="22"/>
          <w:szCs w:val="22"/>
        </w:rPr>
        <w:t xml:space="preserve"> obligación expresa a las entidades estatales que por disposición legal cuenten con un régimen contractual excepcional al del Estatuto General de Contratación de la Administración </w:t>
      </w:r>
      <w:r w:rsidR="005006CF" w:rsidRPr="00E67187">
        <w:rPr>
          <w:rFonts w:ascii="Arial" w:hAnsi="Arial" w:cs="Arial"/>
          <w:sz w:val="22"/>
          <w:szCs w:val="22"/>
        </w:rPr>
        <w:t>Pública</w:t>
      </w:r>
      <w:r w:rsidR="00934976" w:rsidRPr="00E67187">
        <w:rPr>
          <w:rFonts w:ascii="Arial" w:hAnsi="Arial" w:cs="Arial"/>
          <w:sz w:val="22"/>
          <w:szCs w:val="22"/>
        </w:rPr>
        <w:t xml:space="preserve"> de publicar los documentos relacionados con su actividad contractual en el Sistema Electrónico para la Contratación </w:t>
      </w:r>
      <w:r w:rsidR="005006CF" w:rsidRPr="00E67187">
        <w:rPr>
          <w:rFonts w:ascii="Arial" w:hAnsi="Arial" w:cs="Arial"/>
          <w:sz w:val="22"/>
          <w:szCs w:val="22"/>
        </w:rPr>
        <w:t>Pública</w:t>
      </w:r>
      <w:r w:rsidR="00934976" w:rsidRPr="00E67187">
        <w:rPr>
          <w:rFonts w:ascii="Arial" w:hAnsi="Arial" w:cs="Arial"/>
          <w:sz w:val="22"/>
          <w:szCs w:val="22"/>
        </w:rPr>
        <w:t xml:space="preserve"> -SECOP II- o la plataforma transaccional que haga sus veces. Al respecto, la disposición citada de manera expresa señala:</w:t>
      </w:r>
    </w:p>
    <w:p w14:paraId="082169C1" w14:textId="77777777" w:rsidR="00934976" w:rsidRPr="00E67187" w:rsidRDefault="00934976" w:rsidP="00635BFB">
      <w:pPr>
        <w:spacing w:line="276" w:lineRule="auto"/>
        <w:ind w:firstLine="300"/>
        <w:contextualSpacing/>
        <w:rPr>
          <w:rFonts w:ascii="Work Sans" w:hAnsi="Work Sans"/>
          <w:sz w:val="22"/>
          <w:szCs w:val="22"/>
        </w:rPr>
      </w:pPr>
    </w:p>
    <w:p w14:paraId="72109C2F" w14:textId="77777777" w:rsidR="00FE24D3" w:rsidRPr="00E67187" w:rsidRDefault="00FE24D3" w:rsidP="00E55E59">
      <w:pPr>
        <w:ind w:left="709" w:right="709"/>
        <w:contextualSpacing/>
        <w:jc w:val="both"/>
        <w:rPr>
          <w:rFonts w:ascii="Arial" w:eastAsia="Calibri" w:hAnsi="Arial" w:cs="Arial"/>
          <w:sz w:val="21"/>
          <w:szCs w:val="21"/>
        </w:rPr>
      </w:pPr>
      <w:r w:rsidRPr="00E67187">
        <w:rPr>
          <w:rFonts w:ascii="Arial" w:eastAsia="Calibri" w:hAnsi="Arial" w:cs="Arial"/>
          <w:sz w:val="21"/>
          <w:szCs w:val="21"/>
        </w:rPr>
        <w:t>Adiciónese los siguientes incisos al artículo 13 de la Ley 1150 de 2007, el cual quedará así:</w:t>
      </w:r>
    </w:p>
    <w:p w14:paraId="0244AFCA" w14:textId="77777777" w:rsidR="00FE24D3" w:rsidRPr="00E67187" w:rsidRDefault="00FE24D3" w:rsidP="00E55E59">
      <w:pPr>
        <w:ind w:left="709" w:right="709"/>
        <w:contextualSpacing/>
        <w:jc w:val="both"/>
        <w:rPr>
          <w:rFonts w:ascii="Arial" w:eastAsia="Calibri" w:hAnsi="Arial" w:cs="Arial"/>
          <w:sz w:val="21"/>
          <w:szCs w:val="21"/>
        </w:rPr>
      </w:pPr>
    </w:p>
    <w:p w14:paraId="20187D79" w14:textId="77777777" w:rsidR="00FE24D3" w:rsidRPr="00E67187" w:rsidRDefault="00FE24D3" w:rsidP="00E55E59">
      <w:pPr>
        <w:ind w:left="709" w:right="709"/>
        <w:contextualSpacing/>
        <w:jc w:val="both"/>
        <w:rPr>
          <w:rFonts w:ascii="Arial" w:eastAsia="Calibri" w:hAnsi="Arial" w:cs="Arial"/>
          <w:sz w:val="21"/>
          <w:szCs w:val="21"/>
        </w:rPr>
      </w:pPr>
      <w:r w:rsidRPr="00E67187">
        <w:rPr>
          <w:rFonts w:ascii="Arial" w:eastAsia="Calibri" w:hAnsi="Arial" w:cs="Arial"/>
          <w:sz w:val="21"/>
          <w:szCs w:val="21"/>
        </w:rPr>
        <w:t>Artículo 13. PRINCIPIOS GENERALES DE LA ACTIVIDAD CONTRACTUAL PARA ENTIDADES NO SOMETIDAS AL ESTATUTO GENERAL DE CONTRATACIÓN DE LA ADMINISTRACIÓN PÚBLICA.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6692616D" w14:textId="77777777" w:rsidR="00FE24D3" w:rsidRPr="00E67187" w:rsidRDefault="00FE24D3" w:rsidP="00E55E59">
      <w:pPr>
        <w:ind w:left="709" w:right="709"/>
        <w:contextualSpacing/>
        <w:jc w:val="both"/>
        <w:rPr>
          <w:rFonts w:ascii="Arial" w:eastAsia="Calibri" w:hAnsi="Arial" w:cs="Arial"/>
          <w:sz w:val="21"/>
          <w:szCs w:val="21"/>
        </w:rPr>
      </w:pPr>
    </w:p>
    <w:p w14:paraId="18B0749B" w14:textId="77777777" w:rsidR="00FE24D3" w:rsidRPr="00E67187" w:rsidRDefault="00FE24D3" w:rsidP="00E55E59">
      <w:pPr>
        <w:ind w:left="709" w:right="709"/>
        <w:contextualSpacing/>
        <w:jc w:val="both"/>
        <w:rPr>
          <w:rFonts w:ascii="Arial" w:eastAsia="Calibri" w:hAnsi="Arial" w:cs="Arial"/>
          <w:i/>
          <w:iCs/>
          <w:sz w:val="21"/>
          <w:szCs w:val="21"/>
        </w:rPr>
      </w:pPr>
      <w:r w:rsidRPr="00E67187">
        <w:rPr>
          <w:rFonts w:ascii="Arial" w:eastAsia="Calibri" w:hAnsi="Arial" w:cs="Arial"/>
          <w:i/>
          <w:iCs/>
          <w:sz w:val="21"/>
          <w:szCs w:val="21"/>
        </w:rPr>
        <w:t xml:space="preserve">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w:t>
      </w:r>
      <w:proofErr w:type="spellStart"/>
      <w:r w:rsidRPr="00E67187">
        <w:rPr>
          <w:rFonts w:ascii="Arial" w:eastAsia="Calibri" w:hAnsi="Arial" w:cs="Arial"/>
          <w:i/>
          <w:iCs/>
          <w:sz w:val="21"/>
          <w:szCs w:val="21"/>
        </w:rPr>
        <w:t>postcontractual</w:t>
      </w:r>
      <w:proofErr w:type="spellEnd"/>
      <w:r w:rsidRPr="00E67187">
        <w:rPr>
          <w:rFonts w:ascii="Arial" w:eastAsia="Calibri" w:hAnsi="Arial" w:cs="Arial"/>
          <w:i/>
          <w:iCs/>
          <w:sz w:val="21"/>
          <w:szCs w:val="21"/>
        </w:rPr>
        <w:t>.</w:t>
      </w:r>
    </w:p>
    <w:p w14:paraId="44762843" w14:textId="77777777" w:rsidR="00FE24D3" w:rsidRPr="00E67187" w:rsidRDefault="00FE24D3" w:rsidP="00E55E59">
      <w:pPr>
        <w:ind w:left="709" w:right="709"/>
        <w:contextualSpacing/>
        <w:jc w:val="both"/>
        <w:rPr>
          <w:rFonts w:ascii="Arial" w:eastAsia="Calibri" w:hAnsi="Arial" w:cs="Arial"/>
          <w:i/>
          <w:iCs/>
          <w:sz w:val="21"/>
          <w:szCs w:val="21"/>
        </w:rPr>
      </w:pPr>
    </w:p>
    <w:p w14:paraId="03F376E6" w14:textId="77777777" w:rsidR="00FE24D3" w:rsidRPr="00E67187" w:rsidRDefault="00FE24D3" w:rsidP="00E55E59">
      <w:pPr>
        <w:ind w:left="709" w:right="709"/>
        <w:contextualSpacing/>
        <w:jc w:val="both"/>
        <w:rPr>
          <w:rFonts w:ascii="Arial" w:eastAsia="Calibri" w:hAnsi="Arial" w:cs="Arial"/>
          <w:sz w:val="21"/>
          <w:szCs w:val="21"/>
        </w:rPr>
      </w:pPr>
      <w:r w:rsidRPr="00E67187">
        <w:rPr>
          <w:rFonts w:ascii="Arial" w:eastAsia="Calibri" w:hAnsi="Arial" w:cs="Arial"/>
          <w:i/>
          <w:iCs/>
          <w:sz w:val="21"/>
          <w:szCs w:val="21"/>
        </w:rPr>
        <w:t>A partir de la entrada en vigencia de la presente Ley, se establecerá un periodo de transición de seis (6) meses, para que las entidades den cumplimiento efectivo a lo aquí establecido</w:t>
      </w:r>
      <w:r w:rsidRPr="00E67187">
        <w:rPr>
          <w:rFonts w:ascii="Arial" w:eastAsia="Calibri" w:hAnsi="Arial" w:cs="Arial"/>
          <w:sz w:val="21"/>
          <w:szCs w:val="21"/>
        </w:rPr>
        <w:t>. (Cursiva fuera del original).</w:t>
      </w:r>
    </w:p>
    <w:p w14:paraId="04E2D800" w14:textId="77777777" w:rsidR="00934976" w:rsidRPr="00E67187" w:rsidRDefault="00934976" w:rsidP="00E55E59">
      <w:pPr>
        <w:spacing w:line="276" w:lineRule="auto"/>
        <w:ind w:firstLine="709"/>
        <w:contextualSpacing/>
        <w:jc w:val="both"/>
        <w:rPr>
          <w:rFonts w:eastAsia="Calibri"/>
          <w:lang w:val="es-ES_tradnl"/>
        </w:rPr>
      </w:pPr>
    </w:p>
    <w:p w14:paraId="47EA841D" w14:textId="5E0AD628" w:rsidR="00934976" w:rsidRPr="00E67187" w:rsidRDefault="00934976" w:rsidP="00635BFB">
      <w:pPr>
        <w:spacing w:after="120" w:line="276" w:lineRule="auto"/>
        <w:ind w:firstLine="709"/>
        <w:jc w:val="both"/>
        <w:rPr>
          <w:rFonts w:ascii="Arial" w:eastAsia="Calibri" w:hAnsi="Arial" w:cs="Arial"/>
          <w:sz w:val="22"/>
          <w:szCs w:val="22"/>
          <w:lang w:val="es-ES_tradnl"/>
        </w:rPr>
      </w:pPr>
      <w:r w:rsidRPr="00E67187">
        <w:rPr>
          <w:rFonts w:ascii="Arial" w:eastAsia="Calibri" w:hAnsi="Arial" w:cs="Arial"/>
          <w:sz w:val="22"/>
          <w:szCs w:val="22"/>
          <w:lang w:val="es-ES_tradnl"/>
        </w:rPr>
        <w:t>Cabe destacar</w:t>
      </w:r>
      <w:r w:rsidR="00462F40" w:rsidRPr="00E67187">
        <w:rPr>
          <w:rFonts w:ascii="Arial" w:eastAsia="Calibri" w:hAnsi="Arial" w:cs="Arial"/>
          <w:sz w:val="22"/>
          <w:szCs w:val="22"/>
          <w:lang w:val="es-ES_tradnl"/>
        </w:rPr>
        <w:t xml:space="preserve"> </w:t>
      </w:r>
      <w:r w:rsidRPr="00E67187">
        <w:rPr>
          <w:rFonts w:ascii="Arial" w:eastAsia="Calibri" w:hAnsi="Arial" w:cs="Arial"/>
          <w:sz w:val="22"/>
          <w:szCs w:val="22"/>
          <w:lang w:val="es-ES_tradnl"/>
        </w:rPr>
        <w:t>que</w:t>
      </w:r>
      <w:r w:rsidR="00462F40" w:rsidRPr="00E67187">
        <w:rPr>
          <w:rFonts w:ascii="Arial" w:eastAsia="Calibri" w:hAnsi="Arial" w:cs="Arial"/>
          <w:sz w:val="22"/>
          <w:szCs w:val="22"/>
          <w:lang w:val="es-ES_tradnl"/>
        </w:rPr>
        <w:t>,</w:t>
      </w:r>
      <w:r w:rsidRPr="00E67187">
        <w:rPr>
          <w:rFonts w:ascii="Arial" w:eastAsia="Calibri" w:hAnsi="Arial" w:cs="Arial"/>
          <w:sz w:val="22"/>
          <w:szCs w:val="22"/>
          <w:lang w:val="es-ES_tradnl"/>
        </w:rPr>
        <w:t xml:space="preserve"> cuando la norma trascrita hace referencia a que el mencionado deber de publicidad debe cumplirse en el SECOP II o </w:t>
      </w:r>
      <w:r w:rsidR="00462F40" w:rsidRPr="00E67187">
        <w:rPr>
          <w:rFonts w:ascii="Arial" w:hAnsi="Arial" w:cs="Arial"/>
          <w:sz w:val="22"/>
          <w:szCs w:val="22"/>
        </w:rPr>
        <w:t>«</w:t>
      </w:r>
      <w:r w:rsidRPr="00E67187">
        <w:rPr>
          <w:rFonts w:ascii="Arial" w:eastAsia="Calibri" w:hAnsi="Arial" w:cs="Arial"/>
          <w:sz w:val="22"/>
          <w:szCs w:val="22"/>
          <w:lang w:val="es-ES_tradnl"/>
        </w:rPr>
        <w:t>la plataforma transaccional que haga sus veces</w:t>
      </w:r>
      <w:r w:rsidR="00462F40" w:rsidRPr="00E67187">
        <w:rPr>
          <w:rFonts w:ascii="Arial" w:hAnsi="Arial" w:cs="Arial"/>
          <w:sz w:val="22"/>
          <w:szCs w:val="22"/>
        </w:rPr>
        <w:t>»</w:t>
      </w:r>
      <w:r w:rsidRPr="00E67187">
        <w:rPr>
          <w:rFonts w:ascii="Arial" w:eastAsia="Calibri" w:hAnsi="Arial" w:cs="Arial"/>
          <w:sz w:val="22"/>
          <w:szCs w:val="22"/>
          <w:lang w:val="es-ES_tradnl"/>
        </w:rPr>
        <w:t xml:space="preserve">, esta expresión debe interpretarse bajo el entendido de que si bien el SECOP II es la plataforma oficial que actualmente se utiliza como mecanismo transaccional, en caso de que dicha plataforma sea remplazada por otra que tenga una denominación distinta, las entidades que tienen un régimen exceptuado deben continuar publicando la documentación de su actividad contractual en la nueva plataforma. En ese sentido, la locución </w:t>
      </w:r>
      <w:r w:rsidR="00343596" w:rsidRPr="00E67187">
        <w:rPr>
          <w:rFonts w:ascii="Arial" w:hAnsi="Arial" w:cs="Arial"/>
          <w:sz w:val="22"/>
          <w:szCs w:val="22"/>
        </w:rPr>
        <w:t>«</w:t>
      </w:r>
      <w:r w:rsidRPr="00E67187">
        <w:rPr>
          <w:rFonts w:ascii="Arial" w:eastAsia="Calibri" w:hAnsi="Arial" w:cs="Arial"/>
          <w:sz w:val="22"/>
          <w:szCs w:val="22"/>
          <w:lang w:val="es-ES_tradnl"/>
        </w:rPr>
        <w:t>la plataforma que haga sus veces</w:t>
      </w:r>
      <w:r w:rsidR="00343596" w:rsidRPr="00E67187">
        <w:rPr>
          <w:rFonts w:ascii="Arial" w:hAnsi="Arial" w:cs="Arial"/>
          <w:sz w:val="22"/>
          <w:szCs w:val="22"/>
        </w:rPr>
        <w:t>»</w:t>
      </w:r>
      <w:r w:rsidRPr="00E67187">
        <w:rPr>
          <w:rFonts w:ascii="Arial" w:eastAsia="Calibri" w:hAnsi="Arial" w:cs="Arial"/>
          <w:sz w:val="22"/>
          <w:szCs w:val="22"/>
          <w:lang w:val="es-ES_tradnl"/>
        </w:rPr>
        <w:t xml:space="preserve"> no puede interpretarse como una autorización para que </w:t>
      </w:r>
      <w:r w:rsidRPr="00E67187">
        <w:rPr>
          <w:rFonts w:ascii="Arial" w:eastAsia="Calibri" w:hAnsi="Arial" w:cs="Arial"/>
          <w:sz w:val="22"/>
          <w:szCs w:val="22"/>
          <w:lang w:val="es-ES_tradnl"/>
        </w:rPr>
        <w:lastRenderedPageBreak/>
        <w:t>las entidades obligadas en virtud del artículo 53 de la Ley 2195 de 2022 pueden emplear sus páginas web o sus propios portales electrónicos para cumplir con el deber de publicidad que les asiste.</w:t>
      </w:r>
      <w:r w:rsidR="00343596" w:rsidRPr="00E67187">
        <w:rPr>
          <w:rFonts w:ascii="Arial" w:eastAsia="Calibri" w:hAnsi="Arial" w:cs="Arial"/>
          <w:sz w:val="22"/>
          <w:szCs w:val="22"/>
          <w:lang w:val="es-ES_tradnl"/>
        </w:rPr>
        <w:t xml:space="preserve"> </w:t>
      </w:r>
    </w:p>
    <w:p w14:paraId="622452FF" w14:textId="101C9F2E" w:rsidR="00934976" w:rsidRPr="00E67187" w:rsidRDefault="00934976" w:rsidP="00635BFB">
      <w:pPr>
        <w:spacing w:before="120" w:after="120" w:line="276" w:lineRule="auto"/>
        <w:ind w:firstLine="709"/>
        <w:jc w:val="both"/>
        <w:rPr>
          <w:rFonts w:ascii="Arial" w:eastAsia="Calibri" w:hAnsi="Arial" w:cs="Arial"/>
          <w:sz w:val="22"/>
          <w:szCs w:val="22"/>
          <w:lang w:val="es-ES_tradnl"/>
        </w:rPr>
      </w:pPr>
      <w:r w:rsidRPr="00E67187">
        <w:rPr>
          <w:rFonts w:ascii="Arial" w:eastAsia="Calibri" w:hAnsi="Arial" w:cs="Arial"/>
          <w:sz w:val="22"/>
          <w:szCs w:val="22"/>
          <w:lang w:val="es-ES_tradnl"/>
        </w:rPr>
        <w:t xml:space="preserve">En cuanto a los documentos que deben ser publicados en el SECOP II a efectos de dar cumplimiento al mandato consagrado en el artículo 53 de la Ley 2195 de 2022, es preciso advertir que la disposición hace referencia a los documentos relacionados con su </w:t>
      </w:r>
      <w:r w:rsidRPr="00E67187">
        <w:rPr>
          <w:rFonts w:ascii="Arial" w:eastAsia="Calibri" w:hAnsi="Arial" w:cs="Arial"/>
          <w:i/>
          <w:iCs/>
          <w:sz w:val="22"/>
          <w:szCs w:val="22"/>
          <w:lang w:val="es-ES_tradnl"/>
        </w:rPr>
        <w:t>actividad contractual,</w:t>
      </w:r>
      <w:r w:rsidRPr="00E67187">
        <w:rPr>
          <w:rFonts w:ascii="Arial" w:eastAsia="Calibri" w:hAnsi="Arial" w:cs="Arial"/>
          <w:sz w:val="22"/>
          <w:szCs w:val="22"/>
          <w:lang w:val="es-ES_tradnl"/>
        </w:rPr>
        <w:t xml:space="preserve"> la cual define como «[…] los documentos, contratos, actos e información generada por oferentes, contratista, contratante, supervisor o interventor, tanto en la </w:t>
      </w:r>
      <w:r w:rsidRPr="00E67187">
        <w:rPr>
          <w:rFonts w:ascii="Arial" w:eastAsia="Calibri" w:hAnsi="Arial" w:cs="Arial"/>
          <w:i/>
          <w:iCs/>
          <w:sz w:val="22"/>
          <w:szCs w:val="22"/>
          <w:lang w:val="es-ES_tradnl"/>
        </w:rPr>
        <w:t xml:space="preserve">etapa precontractual, como en la contractual y la </w:t>
      </w:r>
      <w:proofErr w:type="spellStart"/>
      <w:r w:rsidRPr="00E67187">
        <w:rPr>
          <w:rFonts w:ascii="Arial" w:eastAsia="Calibri" w:hAnsi="Arial" w:cs="Arial"/>
          <w:i/>
          <w:iCs/>
          <w:sz w:val="22"/>
          <w:szCs w:val="22"/>
          <w:lang w:val="es-ES_tradnl"/>
        </w:rPr>
        <w:t>postcontractual</w:t>
      </w:r>
      <w:proofErr w:type="spellEnd"/>
      <w:r w:rsidRPr="00E67187">
        <w:rPr>
          <w:rFonts w:ascii="Arial" w:eastAsia="Calibri" w:hAnsi="Arial" w:cs="Arial"/>
          <w:sz w:val="22"/>
          <w:szCs w:val="22"/>
          <w:lang w:val="es-ES_tradnl"/>
        </w:rPr>
        <w:t xml:space="preserve">». </w:t>
      </w:r>
      <w:r w:rsidR="00024A07" w:rsidRPr="00E67187">
        <w:rPr>
          <w:rFonts w:ascii="Arial" w:eastAsia="Calibri" w:hAnsi="Arial" w:cs="Arial"/>
          <w:sz w:val="22"/>
          <w:szCs w:val="22"/>
          <w:lang w:val="es-ES_tradnl"/>
        </w:rPr>
        <w:t xml:space="preserve">En ese sentido, el artículo 53 de la Ley 2195 de 2022 establece el deber de publicar toda aquella información relacionada con el respectivo contrato, sin incluir ninguna excepción relacionada con la naturaleza u objeto del contrato, por lo que no puede colegirse que los procesos de contratación relacionados con asuntos </w:t>
      </w:r>
      <w:r w:rsidR="00024A07" w:rsidRPr="00E67187">
        <w:rPr>
          <w:rFonts w:ascii="Arial" w:eastAsia="Calibri" w:hAnsi="Arial" w:cs="Arial"/>
          <w:i/>
          <w:iCs/>
          <w:sz w:val="22"/>
          <w:szCs w:val="22"/>
          <w:lang w:val="es-ES_tradnl"/>
        </w:rPr>
        <w:t>«no misionales»</w:t>
      </w:r>
      <w:r w:rsidR="00024A07" w:rsidRPr="00E67187">
        <w:rPr>
          <w:rFonts w:ascii="Arial" w:eastAsia="Calibri" w:hAnsi="Arial" w:cs="Arial"/>
          <w:sz w:val="22"/>
          <w:szCs w:val="22"/>
          <w:lang w:val="es-ES_tradnl"/>
        </w:rPr>
        <w:t xml:space="preserve"> estén </w:t>
      </w:r>
      <w:r w:rsidR="00024A07" w:rsidRPr="00E67187">
        <w:rPr>
          <w:rFonts w:ascii="Arial" w:eastAsia="Calibri" w:hAnsi="Arial" w:cs="Arial"/>
          <w:i/>
          <w:iCs/>
          <w:sz w:val="22"/>
          <w:szCs w:val="22"/>
          <w:lang w:val="es-ES_tradnl"/>
        </w:rPr>
        <w:t>per se</w:t>
      </w:r>
      <w:r w:rsidR="00024A07" w:rsidRPr="00E67187">
        <w:rPr>
          <w:rFonts w:ascii="Arial" w:eastAsia="Calibri" w:hAnsi="Arial" w:cs="Arial"/>
          <w:sz w:val="22"/>
          <w:szCs w:val="22"/>
          <w:lang w:val="es-ES_tradnl"/>
        </w:rPr>
        <w:t xml:space="preserve"> excluidos del deber de publicidad. </w:t>
      </w:r>
    </w:p>
    <w:p w14:paraId="7FAED989" w14:textId="059D6088" w:rsidR="00934976" w:rsidRPr="00E67187" w:rsidRDefault="00024A07" w:rsidP="00635BFB">
      <w:pPr>
        <w:spacing w:before="120" w:after="120" w:line="276" w:lineRule="auto"/>
        <w:ind w:firstLine="709"/>
        <w:jc w:val="both"/>
        <w:rPr>
          <w:rFonts w:ascii="Arial" w:eastAsia="Calibri" w:hAnsi="Arial" w:cs="Arial"/>
          <w:sz w:val="22"/>
          <w:szCs w:val="22"/>
          <w:lang w:val="es-ES_tradnl"/>
        </w:rPr>
      </w:pPr>
      <w:r w:rsidRPr="00E67187">
        <w:rPr>
          <w:rFonts w:ascii="Arial" w:eastAsia="Calibri" w:hAnsi="Arial" w:cs="Arial"/>
          <w:sz w:val="22"/>
          <w:szCs w:val="22"/>
          <w:lang w:val="es-ES_tradnl"/>
        </w:rPr>
        <w:t>Por lo tanto</w:t>
      </w:r>
      <w:r w:rsidR="00934976" w:rsidRPr="00E67187">
        <w:rPr>
          <w:rFonts w:ascii="Arial" w:eastAsia="Calibri" w:hAnsi="Arial" w:cs="Arial"/>
          <w:sz w:val="22"/>
          <w:szCs w:val="22"/>
          <w:lang w:val="es-ES_tradnl"/>
        </w:rPr>
        <w:t xml:space="preserve">, para que las entidades exceptuadas </w:t>
      </w:r>
      <w:r w:rsidRPr="00E67187">
        <w:rPr>
          <w:rFonts w:ascii="Arial" w:eastAsia="Calibri" w:hAnsi="Arial" w:cs="Arial"/>
          <w:sz w:val="22"/>
          <w:szCs w:val="22"/>
          <w:lang w:val="es-ES_tradnl"/>
        </w:rPr>
        <w:t>cumplan</w:t>
      </w:r>
      <w:r w:rsidR="00934976" w:rsidRPr="00E67187">
        <w:rPr>
          <w:rFonts w:ascii="Arial" w:eastAsia="Calibri" w:hAnsi="Arial" w:cs="Arial"/>
          <w:sz w:val="22"/>
          <w:szCs w:val="22"/>
          <w:lang w:val="es-ES_tradnl"/>
        </w:rPr>
        <w:t xml:space="preserve"> </w:t>
      </w:r>
      <w:r w:rsidRPr="00E67187">
        <w:rPr>
          <w:rFonts w:ascii="Arial" w:eastAsia="Calibri" w:hAnsi="Arial" w:cs="Arial"/>
          <w:sz w:val="22"/>
          <w:szCs w:val="22"/>
          <w:lang w:val="es-ES_tradnl"/>
        </w:rPr>
        <w:t>con el</w:t>
      </w:r>
      <w:r w:rsidR="00934976" w:rsidRPr="00E67187">
        <w:rPr>
          <w:rFonts w:ascii="Arial" w:eastAsia="Calibri" w:hAnsi="Arial" w:cs="Arial"/>
          <w:sz w:val="22"/>
          <w:szCs w:val="22"/>
          <w:lang w:val="es-ES_tradnl"/>
        </w:rPr>
        <w:t xml:space="preserve"> deber de publicidad consagrado en el artículo 53 de la Ley 2195 de 2022, se requiere que publiquen en el SECOP II todo documento expedido durante las diferentes etapas del contrato, abarcando desde la fase previa a su celebración, pasando por la ejecución y hasta la fase posterior a su ejecución. </w:t>
      </w:r>
    </w:p>
    <w:p w14:paraId="6F8C4336" w14:textId="76E07168" w:rsidR="00FE24D3" w:rsidRPr="00E67187" w:rsidRDefault="00934976" w:rsidP="00635BFB">
      <w:pPr>
        <w:spacing w:before="120" w:after="120" w:line="276" w:lineRule="auto"/>
        <w:ind w:firstLine="709"/>
        <w:jc w:val="both"/>
        <w:rPr>
          <w:rFonts w:ascii="Arial" w:eastAsia="Calibri" w:hAnsi="Arial" w:cs="Arial"/>
          <w:sz w:val="22"/>
          <w:szCs w:val="22"/>
          <w:lang w:val="es-ES"/>
        </w:rPr>
      </w:pPr>
      <w:r w:rsidRPr="00E67187">
        <w:rPr>
          <w:rFonts w:ascii="Arial" w:eastAsia="Calibri" w:hAnsi="Arial" w:cs="Arial"/>
          <w:sz w:val="22"/>
          <w:szCs w:val="22"/>
          <w:lang w:val="es-ES"/>
        </w:rPr>
        <w:t>Sin perjuicio de lo anterior, vale la pena aclarar que el cumplimiento del deber de publicación de la documentación contractual debe armonizarse con las normas aplicables al tipo de información que estas contienen</w:t>
      </w:r>
      <w:r w:rsidRPr="00E67187">
        <w:rPr>
          <w:rStyle w:val="Refdenotaalpie"/>
          <w:rFonts w:ascii="Arial" w:eastAsia="Calibri" w:hAnsi="Arial" w:cs="Arial"/>
          <w:sz w:val="22"/>
          <w:szCs w:val="22"/>
          <w:lang w:val="es-ES"/>
        </w:rPr>
        <w:footnoteReference w:id="4"/>
      </w:r>
      <w:r w:rsidRPr="00E67187">
        <w:rPr>
          <w:rFonts w:ascii="Arial" w:eastAsia="Calibri" w:hAnsi="Arial" w:cs="Arial"/>
          <w:sz w:val="22"/>
          <w:szCs w:val="22"/>
          <w:lang w:val="es-ES"/>
        </w:rPr>
        <w:t xml:space="preserve">. Lo anterior significa que, respecto de datos </w:t>
      </w:r>
      <w:r w:rsidRPr="00E67187">
        <w:rPr>
          <w:rFonts w:ascii="Arial" w:eastAsia="Calibri" w:hAnsi="Arial" w:cs="Arial"/>
          <w:sz w:val="22"/>
          <w:szCs w:val="22"/>
          <w:lang w:val="es-ES"/>
        </w:rPr>
        <w:lastRenderedPageBreak/>
        <w:t>sensibles, información sometida a reserva o de la cual proceda un tratamiento especial que impida su publicidad, las entidades deberán proceder de conformidad con el tratamiento que impongan tales normas</w:t>
      </w:r>
      <w:r w:rsidR="00FE24D3" w:rsidRPr="00E67187">
        <w:rPr>
          <w:rFonts w:ascii="Arial" w:eastAsia="Calibri" w:hAnsi="Arial" w:cs="Arial"/>
          <w:sz w:val="22"/>
          <w:szCs w:val="22"/>
          <w:lang w:val="es-ES"/>
        </w:rPr>
        <w:t>.</w:t>
      </w:r>
    </w:p>
    <w:p w14:paraId="2D653FB3" w14:textId="77777777" w:rsidR="0071435A" w:rsidRPr="00E67187" w:rsidRDefault="00FE24D3" w:rsidP="00635BFB">
      <w:pPr>
        <w:spacing w:before="120" w:after="120" w:line="276" w:lineRule="auto"/>
        <w:ind w:firstLine="709"/>
        <w:jc w:val="both"/>
        <w:rPr>
          <w:rFonts w:ascii="Arial" w:eastAsia="Calibri" w:hAnsi="Arial" w:cs="Arial"/>
          <w:sz w:val="22"/>
          <w:szCs w:val="22"/>
          <w:lang w:val="es-ES_tradnl"/>
        </w:rPr>
      </w:pPr>
      <w:r w:rsidRPr="00E67187">
        <w:rPr>
          <w:rFonts w:ascii="Arial" w:eastAsia="Calibri" w:hAnsi="Arial" w:cs="Arial"/>
          <w:sz w:val="22"/>
          <w:szCs w:val="22"/>
          <w:lang w:val="es-ES_tradnl"/>
        </w:rPr>
        <w:t>Finalmente, el referido artículo dispone, en el inciso final, que «A partir de la entrada en vigencia de la presente Ley, se establecerá un periodo de transición de seis (6) meses, para que las entidades den cumplimiento efectivo a lo aquí establecido». Es decir que se trata un período concedido por el Legislador a las entidades que tienen un régimen especial de contratación para adelantar las gestiones administrativas, técnicas y jurídicas pertinentes, a fin de cumplir lo establecido en el artículo 53. Este período de transición va del 18 de enero al 18 de julio de 2022.</w:t>
      </w:r>
    </w:p>
    <w:p w14:paraId="4CA094AA" w14:textId="78D7549D" w:rsidR="00FE24D3" w:rsidRPr="00E67187" w:rsidRDefault="002160DE" w:rsidP="00161D0C">
      <w:pPr>
        <w:spacing w:before="120" w:line="276" w:lineRule="auto"/>
        <w:ind w:firstLine="709"/>
        <w:jc w:val="both"/>
        <w:rPr>
          <w:rFonts w:ascii="Arial" w:eastAsia="Calibri" w:hAnsi="Arial" w:cs="Arial"/>
          <w:sz w:val="22"/>
          <w:szCs w:val="22"/>
          <w:lang w:val="es-ES_tradnl"/>
        </w:rPr>
      </w:pPr>
      <w:r w:rsidRPr="00E67187">
        <w:rPr>
          <w:rFonts w:ascii="Arial" w:eastAsia="Calibri" w:hAnsi="Arial" w:cs="Arial"/>
          <w:sz w:val="22"/>
          <w:szCs w:val="22"/>
          <w:lang w:val="es-ES_tradnl"/>
        </w:rPr>
        <w:t>Si bien</w:t>
      </w:r>
      <w:r w:rsidR="0071435A" w:rsidRPr="00E67187">
        <w:rPr>
          <w:rFonts w:ascii="Arial" w:eastAsia="Calibri" w:hAnsi="Arial" w:cs="Arial"/>
          <w:sz w:val="22"/>
          <w:szCs w:val="22"/>
          <w:lang w:val="es-ES_tradnl"/>
        </w:rPr>
        <w:t xml:space="preserve"> la norma </w:t>
      </w:r>
      <w:r w:rsidRPr="00E67187">
        <w:rPr>
          <w:rFonts w:ascii="Arial" w:eastAsia="Calibri" w:hAnsi="Arial" w:cs="Arial"/>
          <w:sz w:val="22"/>
          <w:szCs w:val="22"/>
          <w:lang w:val="es-ES_tradnl"/>
        </w:rPr>
        <w:t xml:space="preserve">materia de estudio no hace referencia a los contratos suscritos con </w:t>
      </w:r>
      <w:r w:rsidR="00B879A4" w:rsidRPr="00E67187">
        <w:rPr>
          <w:rFonts w:ascii="Arial" w:eastAsia="Calibri" w:hAnsi="Arial" w:cs="Arial"/>
          <w:sz w:val="22"/>
          <w:szCs w:val="22"/>
          <w:lang w:val="es-ES_tradnl"/>
        </w:rPr>
        <w:t xml:space="preserve">anterioridad a su entrada en vigencia, </w:t>
      </w:r>
      <w:r w:rsidR="00C36DDB" w:rsidRPr="00E67187">
        <w:rPr>
          <w:rFonts w:ascii="Arial" w:eastAsia="Calibri" w:hAnsi="Arial" w:cs="Arial"/>
          <w:sz w:val="22"/>
          <w:szCs w:val="22"/>
          <w:lang w:val="es-ES_tradnl"/>
        </w:rPr>
        <w:t xml:space="preserve">de acuerdo con el artículo 38 de la Ley 153 de 1887, el cual dispone que en todo contrato se entenderán incorporadas las leyes vigentes al tiempo de su celebración, la </w:t>
      </w:r>
      <w:r w:rsidR="00FA3102" w:rsidRPr="00E67187">
        <w:rPr>
          <w:rFonts w:ascii="Arial" w:eastAsia="Calibri" w:hAnsi="Arial" w:cs="Arial"/>
          <w:sz w:val="22"/>
          <w:szCs w:val="22"/>
          <w:lang w:val="es-ES_tradnl"/>
        </w:rPr>
        <w:t xml:space="preserve">obligación para las entidades estatales exceptuadas de publicar los documentos relacionados con su </w:t>
      </w:r>
      <w:r w:rsidR="006A66B4" w:rsidRPr="00E67187">
        <w:rPr>
          <w:rFonts w:ascii="Arial" w:eastAsia="Calibri" w:hAnsi="Arial" w:cs="Arial"/>
          <w:sz w:val="22"/>
          <w:szCs w:val="22"/>
          <w:lang w:val="es-ES_tradnl"/>
        </w:rPr>
        <w:t>actividad contractual en el SECOP II</w:t>
      </w:r>
      <w:r w:rsidR="008E40A9" w:rsidRPr="00E67187">
        <w:rPr>
          <w:rFonts w:ascii="Arial" w:eastAsia="Calibri" w:hAnsi="Arial" w:cs="Arial"/>
          <w:sz w:val="22"/>
          <w:szCs w:val="22"/>
          <w:lang w:val="es-ES_tradnl"/>
        </w:rPr>
        <w:t xml:space="preserve"> solo aplica para los contratos suscritos con posterioridad al término dispuesto en el artículo 53 de la Ley 2195 de 2022</w:t>
      </w:r>
      <w:r w:rsidR="00161D0C" w:rsidRPr="00E67187">
        <w:rPr>
          <w:rFonts w:ascii="Arial" w:eastAsia="Calibri" w:hAnsi="Arial" w:cs="Arial"/>
          <w:sz w:val="22"/>
          <w:szCs w:val="22"/>
          <w:lang w:val="es-ES_tradnl"/>
        </w:rPr>
        <w:t>, esto es el 18 de julio de 2022.</w:t>
      </w:r>
    </w:p>
    <w:p w14:paraId="7333D98F" w14:textId="77777777" w:rsidR="00B840B1" w:rsidRPr="00E67187" w:rsidRDefault="00B840B1" w:rsidP="008D406A">
      <w:pPr>
        <w:spacing w:line="276" w:lineRule="auto"/>
        <w:contextualSpacing/>
        <w:jc w:val="both"/>
        <w:rPr>
          <w:rFonts w:ascii="Arial" w:eastAsia="Calibri" w:hAnsi="Arial" w:cs="Arial"/>
          <w:sz w:val="22"/>
          <w:szCs w:val="22"/>
          <w:lang w:val="es-ES_tradnl"/>
        </w:rPr>
      </w:pPr>
    </w:p>
    <w:p w14:paraId="136E3718" w14:textId="389E64AB" w:rsidR="00CA3940" w:rsidRPr="00E67187" w:rsidRDefault="00B840B1" w:rsidP="008D406A">
      <w:pPr>
        <w:spacing w:line="276" w:lineRule="auto"/>
        <w:contextualSpacing/>
        <w:jc w:val="both"/>
        <w:rPr>
          <w:rFonts w:ascii="Arial" w:eastAsia="Calibri" w:hAnsi="Arial" w:cs="Arial"/>
          <w:b/>
          <w:bCs/>
          <w:sz w:val="22"/>
          <w:szCs w:val="22"/>
          <w:lang w:val="es-ES_tradnl"/>
        </w:rPr>
      </w:pPr>
      <w:r w:rsidRPr="00E67187">
        <w:rPr>
          <w:rFonts w:ascii="Arial" w:eastAsia="Calibri" w:hAnsi="Arial" w:cs="Arial"/>
          <w:b/>
          <w:bCs/>
          <w:sz w:val="22"/>
          <w:szCs w:val="22"/>
          <w:lang w:val="es-ES_tradnl"/>
        </w:rPr>
        <w:t xml:space="preserve">2.2. </w:t>
      </w:r>
      <w:r w:rsidR="00E46001" w:rsidRPr="00E67187">
        <w:rPr>
          <w:rFonts w:ascii="Arial" w:eastAsia="Calibri" w:hAnsi="Arial" w:cs="Arial"/>
          <w:b/>
          <w:bCs/>
          <w:sz w:val="22"/>
          <w:szCs w:val="22"/>
          <w:lang w:val="es-ES_tradnl"/>
        </w:rPr>
        <w:t xml:space="preserve">Uso del SECOP II por las entidades con </w:t>
      </w:r>
      <w:r w:rsidRPr="00E67187">
        <w:rPr>
          <w:rFonts w:ascii="Arial" w:hAnsi="Arial" w:cs="Arial"/>
          <w:b/>
          <w:bCs/>
          <w:iCs/>
          <w:sz w:val="22"/>
          <w:szCs w:val="22"/>
          <w:lang w:val="es-ES_tradnl"/>
        </w:rPr>
        <w:t>exceptuadas del Estatuto General de Contratación de la Administración Pública</w:t>
      </w:r>
    </w:p>
    <w:p w14:paraId="3D6FE2A7" w14:textId="77777777" w:rsidR="00B840B1" w:rsidRPr="00E67187" w:rsidRDefault="00B840B1" w:rsidP="008D406A">
      <w:pPr>
        <w:spacing w:line="276" w:lineRule="auto"/>
        <w:contextualSpacing/>
        <w:jc w:val="both"/>
        <w:rPr>
          <w:rFonts w:ascii="Arial" w:eastAsia="Calibri" w:hAnsi="Arial" w:cs="Arial"/>
          <w:b/>
          <w:bCs/>
          <w:sz w:val="22"/>
          <w:szCs w:val="22"/>
          <w:lang w:val="es-ES_tradnl"/>
        </w:rPr>
      </w:pPr>
    </w:p>
    <w:p w14:paraId="56307308" w14:textId="62F93EE5" w:rsidR="006004A3" w:rsidRPr="00E67187" w:rsidRDefault="006004A3" w:rsidP="00EA1F1D">
      <w:pPr>
        <w:spacing w:after="120" w:line="276" w:lineRule="auto"/>
        <w:jc w:val="both"/>
        <w:rPr>
          <w:rFonts w:ascii="Arial" w:eastAsia="Calibri" w:hAnsi="Arial" w:cs="Arial"/>
          <w:sz w:val="22"/>
          <w:szCs w:val="22"/>
          <w:lang w:val="es-ES_tradnl"/>
        </w:rPr>
      </w:pPr>
      <w:r w:rsidRPr="00E67187">
        <w:rPr>
          <w:rFonts w:ascii="Arial" w:eastAsia="Calibri" w:hAnsi="Arial" w:cs="Arial"/>
          <w:sz w:val="22"/>
          <w:szCs w:val="22"/>
          <w:lang w:val="es-ES_tradnl"/>
        </w:rPr>
        <w:t xml:space="preserve">Con el propósito de garantizar el cumplimiento </w:t>
      </w:r>
      <w:r w:rsidR="004F4752" w:rsidRPr="00E67187">
        <w:rPr>
          <w:rFonts w:ascii="Arial" w:eastAsia="Calibri" w:hAnsi="Arial" w:cs="Arial"/>
          <w:sz w:val="22"/>
          <w:szCs w:val="22"/>
          <w:lang w:val="es-ES_tradnl"/>
        </w:rPr>
        <w:t>d</w:t>
      </w:r>
      <w:r w:rsidR="00024A07" w:rsidRPr="00E67187">
        <w:rPr>
          <w:rFonts w:ascii="Arial" w:eastAsia="Calibri" w:hAnsi="Arial" w:cs="Arial"/>
          <w:sz w:val="22"/>
          <w:szCs w:val="22"/>
          <w:lang w:val="es-ES_tradnl"/>
        </w:rPr>
        <w:t xml:space="preserve">el mencionado </w:t>
      </w:r>
      <w:r w:rsidRPr="00E67187">
        <w:rPr>
          <w:rFonts w:ascii="Arial" w:eastAsia="Calibri" w:hAnsi="Arial" w:cs="Arial"/>
          <w:sz w:val="22"/>
          <w:szCs w:val="22"/>
          <w:lang w:val="es-ES_tradnl"/>
        </w:rPr>
        <w:t xml:space="preserve">deber de publicidad, la Agencia Nacional de Contratación Pública </w:t>
      </w:r>
      <w:r w:rsidR="008D406A" w:rsidRPr="00E67187">
        <w:rPr>
          <w:rFonts w:ascii="Arial" w:eastAsia="Calibri" w:hAnsi="Arial" w:cs="Arial"/>
          <w:sz w:val="22"/>
          <w:szCs w:val="22"/>
          <w:lang w:val="es-ES_tradnl"/>
        </w:rPr>
        <w:t xml:space="preserve">- </w:t>
      </w:r>
      <w:r w:rsidRPr="00E67187">
        <w:rPr>
          <w:rFonts w:ascii="Arial" w:eastAsia="Calibri" w:hAnsi="Arial" w:cs="Arial"/>
          <w:sz w:val="22"/>
          <w:szCs w:val="22"/>
          <w:lang w:val="es-ES_tradnl"/>
        </w:rPr>
        <w:t>Colombia Compra Eficiente</w:t>
      </w:r>
      <w:r w:rsidR="008D406A" w:rsidRPr="00E67187">
        <w:rPr>
          <w:rFonts w:ascii="Arial" w:eastAsia="Calibri" w:hAnsi="Arial" w:cs="Arial"/>
          <w:sz w:val="22"/>
          <w:szCs w:val="22"/>
          <w:lang w:val="es-ES_tradnl"/>
        </w:rPr>
        <w:t xml:space="preserve">, </w:t>
      </w:r>
      <w:r w:rsidRPr="00E67187">
        <w:rPr>
          <w:rFonts w:ascii="Arial" w:eastAsia="Calibri" w:hAnsi="Arial" w:cs="Arial"/>
          <w:sz w:val="22"/>
          <w:szCs w:val="22"/>
          <w:lang w:val="es-ES_tradnl"/>
        </w:rPr>
        <w:t>en su calidad de administrador del SECOP, en los términos estable</w:t>
      </w:r>
      <w:r w:rsidR="00EF540A" w:rsidRPr="00E67187">
        <w:rPr>
          <w:rFonts w:ascii="Arial" w:eastAsia="Calibri" w:hAnsi="Arial" w:cs="Arial"/>
          <w:sz w:val="22"/>
          <w:szCs w:val="22"/>
          <w:lang w:val="es-ES_tradnl"/>
        </w:rPr>
        <w:t>cidos</w:t>
      </w:r>
      <w:r w:rsidR="00024A07" w:rsidRPr="00E67187">
        <w:rPr>
          <w:rFonts w:ascii="Arial" w:eastAsia="Calibri" w:hAnsi="Arial" w:cs="Arial"/>
          <w:sz w:val="22"/>
          <w:szCs w:val="22"/>
          <w:lang w:val="es-ES_tradnl"/>
        </w:rPr>
        <w:t xml:space="preserve"> </w:t>
      </w:r>
      <w:r w:rsidRPr="00E67187">
        <w:rPr>
          <w:rFonts w:ascii="Arial" w:eastAsia="Calibri" w:hAnsi="Arial" w:cs="Arial"/>
          <w:sz w:val="22"/>
          <w:szCs w:val="22"/>
          <w:lang w:val="es-ES_tradnl"/>
        </w:rPr>
        <w:t>en el numera</w:t>
      </w:r>
      <w:r w:rsidR="00AD692E" w:rsidRPr="00E67187">
        <w:rPr>
          <w:rFonts w:ascii="Arial" w:eastAsia="Calibri" w:hAnsi="Arial" w:cs="Arial"/>
          <w:sz w:val="22"/>
          <w:szCs w:val="22"/>
          <w:lang w:val="es-ES_tradnl"/>
        </w:rPr>
        <w:t>l</w:t>
      </w:r>
      <w:r w:rsidRPr="00E67187">
        <w:rPr>
          <w:rFonts w:ascii="Arial" w:eastAsia="Calibri" w:hAnsi="Arial" w:cs="Arial"/>
          <w:sz w:val="22"/>
          <w:szCs w:val="22"/>
          <w:lang w:val="es-ES_tradnl"/>
        </w:rPr>
        <w:t xml:space="preserve"> </w:t>
      </w:r>
      <w:r w:rsidR="00AD692E" w:rsidRPr="00E67187">
        <w:rPr>
          <w:rFonts w:ascii="Arial" w:eastAsia="Calibri" w:hAnsi="Arial" w:cs="Arial"/>
          <w:sz w:val="22"/>
          <w:szCs w:val="22"/>
          <w:lang w:val="es-ES_tradnl"/>
        </w:rPr>
        <w:t>8</w:t>
      </w:r>
      <w:r w:rsidRPr="00E67187">
        <w:rPr>
          <w:rFonts w:ascii="Arial" w:eastAsia="Calibri" w:hAnsi="Arial" w:cs="Arial"/>
          <w:sz w:val="22"/>
          <w:szCs w:val="22"/>
          <w:lang w:val="es-ES_tradnl"/>
        </w:rPr>
        <w:t xml:space="preserve"> del artículo </w:t>
      </w:r>
      <w:r w:rsidR="00132C96" w:rsidRPr="00E67187">
        <w:rPr>
          <w:rFonts w:ascii="Arial" w:eastAsia="Calibri" w:hAnsi="Arial" w:cs="Arial"/>
          <w:sz w:val="22"/>
          <w:szCs w:val="22"/>
          <w:lang w:val="es-ES_tradnl"/>
        </w:rPr>
        <w:t>3</w:t>
      </w:r>
      <w:r w:rsidRPr="00E67187">
        <w:rPr>
          <w:rFonts w:ascii="Arial" w:eastAsia="Calibri" w:hAnsi="Arial" w:cs="Arial"/>
          <w:sz w:val="22"/>
          <w:szCs w:val="22"/>
          <w:lang w:val="es-ES_tradnl"/>
        </w:rPr>
        <w:t xml:space="preserve"> del Decreto-Ley </w:t>
      </w:r>
      <w:r w:rsidR="00132C96" w:rsidRPr="00E67187">
        <w:rPr>
          <w:rFonts w:ascii="Arial" w:eastAsia="Calibri" w:hAnsi="Arial" w:cs="Arial"/>
          <w:sz w:val="22"/>
          <w:szCs w:val="22"/>
          <w:lang w:val="es-ES_tradnl"/>
        </w:rPr>
        <w:t>4170</w:t>
      </w:r>
      <w:r w:rsidR="00AD6EB5" w:rsidRPr="00E67187">
        <w:rPr>
          <w:rStyle w:val="Refdenotaalpie"/>
          <w:rFonts w:ascii="Arial" w:eastAsia="Calibri" w:hAnsi="Arial" w:cs="Arial"/>
          <w:sz w:val="22"/>
          <w:szCs w:val="22"/>
          <w:lang w:val="es-ES_tradnl"/>
        </w:rPr>
        <w:footnoteReference w:id="5"/>
      </w:r>
      <w:r w:rsidRPr="00E67187">
        <w:rPr>
          <w:rFonts w:ascii="Arial" w:eastAsia="Calibri" w:hAnsi="Arial" w:cs="Arial"/>
          <w:sz w:val="22"/>
          <w:szCs w:val="22"/>
          <w:lang w:val="es-ES_tradnl"/>
        </w:rPr>
        <w:t xml:space="preserve">, </w:t>
      </w:r>
      <w:r w:rsidR="00CA3940" w:rsidRPr="00E67187">
        <w:rPr>
          <w:rFonts w:ascii="Arial" w:eastAsia="Calibri" w:hAnsi="Arial" w:cs="Arial"/>
          <w:sz w:val="22"/>
          <w:szCs w:val="22"/>
          <w:lang w:val="es-ES_tradnl"/>
        </w:rPr>
        <w:t>tiene</w:t>
      </w:r>
      <w:r w:rsidRPr="00E67187">
        <w:rPr>
          <w:rFonts w:ascii="Arial" w:eastAsia="Calibri" w:hAnsi="Arial" w:cs="Arial"/>
          <w:sz w:val="22"/>
          <w:szCs w:val="22"/>
          <w:lang w:val="es-ES_tradnl"/>
        </w:rPr>
        <w:t xml:space="preserve"> dispuesto </w:t>
      </w:r>
      <w:r w:rsidR="00024A07" w:rsidRPr="00E67187">
        <w:rPr>
          <w:rFonts w:ascii="Arial" w:eastAsia="Calibri" w:hAnsi="Arial" w:cs="Arial"/>
          <w:sz w:val="22"/>
          <w:szCs w:val="22"/>
          <w:lang w:val="es-ES_tradnl"/>
        </w:rPr>
        <w:t>dos módulos</w:t>
      </w:r>
      <w:r w:rsidR="005C1D28" w:rsidRPr="00E67187">
        <w:rPr>
          <w:rFonts w:ascii="Arial" w:eastAsia="Calibri" w:hAnsi="Arial" w:cs="Arial"/>
          <w:sz w:val="22"/>
          <w:szCs w:val="22"/>
          <w:lang w:val="es-ES_tradnl"/>
        </w:rPr>
        <w:t xml:space="preserve"> </w:t>
      </w:r>
      <w:r w:rsidR="00AB0868" w:rsidRPr="00E67187">
        <w:rPr>
          <w:rFonts w:ascii="Arial" w:eastAsia="Calibri" w:hAnsi="Arial" w:cs="Arial"/>
          <w:sz w:val="22"/>
          <w:szCs w:val="22"/>
          <w:lang w:val="es-ES_tradnl"/>
        </w:rPr>
        <w:t xml:space="preserve">para las </w:t>
      </w:r>
      <w:r w:rsidR="00714080" w:rsidRPr="00E67187">
        <w:rPr>
          <w:rFonts w:ascii="Arial" w:eastAsia="Calibri" w:hAnsi="Arial" w:cs="Arial"/>
          <w:sz w:val="22"/>
          <w:szCs w:val="22"/>
          <w:lang w:val="es-ES_tradnl"/>
        </w:rPr>
        <w:t xml:space="preserve">entidades estatales con </w:t>
      </w:r>
      <w:r w:rsidR="00877EE7" w:rsidRPr="00E67187">
        <w:rPr>
          <w:rFonts w:ascii="Arial" w:eastAsia="Calibri" w:hAnsi="Arial" w:cs="Arial"/>
          <w:sz w:val="22"/>
          <w:szCs w:val="22"/>
          <w:lang w:val="es-ES_tradnl"/>
        </w:rPr>
        <w:t>régimen</w:t>
      </w:r>
      <w:r w:rsidR="00714080" w:rsidRPr="00E67187">
        <w:rPr>
          <w:rFonts w:ascii="Arial" w:eastAsia="Calibri" w:hAnsi="Arial" w:cs="Arial"/>
          <w:sz w:val="22"/>
          <w:szCs w:val="22"/>
          <w:lang w:val="es-ES_tradnl"/>
        </w:rPr>
        <w:t xml:space="preserve"> especial</w:t>
      </w:r>
      <w:r w:rsidR="007453FA" w:rsidRPr="00E67187">
        <w:rPr>
          <w:rFonts w:ascii="Arial" w:eastAsia="Calibri" w:hAnsi="Arial" w:cs="Arial"/>
          <w:sz w:val="22"/>
          <w:szCs w:val="22"/>
          <w:lang w:val="es-ES_tradnl"/>
        </w:rPr>
        <w:t>,</w:t>
      </w:r>
      <w:r w:rsidR="00024A07" w:rsidRPr="00E67187">
        <w:rPr>
          <w:rFonts w:ascii="Arial" w:eastAsia="Calibri" w:hAnsi="Arial" w:cs="Arial"/>
          <w:sz w:val="22"/>
          <w:szCs w:val="22"/>
          <w:lang w:val="es-ES_tradnl"/>
        </w:rPr>
        <w:t xml:space="preserve"> los cuales son:</w:t>
      </w:r>
    </w:p>
    <w:p w14:paraId="4B35FE2E" w14:textId="51423944" w:rsidR="00EE5B8A" w:rsidRPr="00E67187" w:rsidRDefault="006004A3" w:rsidP="00EA1F1D">
      <w:pPr>
        <w:pStyle w:val="Prrafodelista"/>
        <w:numPr>
          <w:ilvl w:val="0"/>
          <w:numId w:val="8"/>
        </w:numPr>
        <w:spacing w:after="120" w:line="276" w:lineRule="auto"/>
        <w:contextualSpacing w:val="0"/>
        <w:jc w:val="both"/>
        <w:rPr>
          <w:rFonts w:ascii="Arial" w:hAnsi="Arial" w:cs="Arial"/>
          <w:sz w:val="22"/>
          <w:u w:val="single"/>
          <w:lang w:eastAsia="es-ES"/>
        </w:rPr>
      </w:pPr>
      <w:r w:rsidRPr="00E67187">
        <w:rPr>
          <w:rFonts w:ascii="Arial" w:eastAsia="Times New Roman" w:hAnsi="Arial" w:cs="Arial"/>
          <w:b/>
          <w:bCs/>
          <w:sz w:val="22"/>
          <w:lang w:eastAsia="es-ES"/>
        </w:rPr>
        <w:t>Contratación Régimen Especial (con ofertas)</w:t>
      </w:r>
      <w:r w:rsidR="00BC421B" w:rsidRPr="00E67187">
        <w:rPr>
          <w:rStyle w:val="Refdenotaalpie"/>
          <w:rFonts w:ascii="Arial" w:eastAsia="Calibri" w:hAnsi="Arial" w:cs="Arial"/>
          <w:iCs/>
          <w:sz w:val="22"/>
          <w:lang w:val="es-ES"/>
        </w:rPr>
        <w:footnoteReference w:id="6"/>
      </w:r>
      <w:r w:rsidRPr="00E67187">
        <w:rPr>
          <w:rFonts w:ascii="Arial" w:eastAsia="Times New Roman" w:hAnsi="Arial" w:cs="Arial"/>
          <w:b/>
          <w:bCs/>
          <w:sz w:val="22"/>
          <w:lang w:eastAsia="es-ES"/>
        </w:rPr>
        <w:t>:</w:t>
      </w:r>
      <w:r w:rsidRPr="00E67187">
        <w:rPr>
          <w:rFonts w:ascii="Arial" w:eastAsia="Times New Roman" w:hAnsi="Arial" w:cs="Arial"/>
          <w:sz w:val="22"/>
          <w:lang w:eastAsia="es-ES"/>
        </w:rPr>
        <w:t xml:space="preserve"> </w:t>
      </w:r>
      <w:r w:rsidR="005A177D" w:rsidRPr="00E67187">
        <w:rPr>
          <w:rFonts w:ascii="Arial" w:eastAsia="Times New Roman" w:hAnsi="Arial" w:cs="Arial"/>
          <w:sz w:val="22"/>
          <w:lang w:eastAsia="es-ES"/>
        </w:rPr>
        <w:t xml:space="preserve">Permite a las entidades </w:t>
      </w:r>
      <w:r w:rsidR="00EA23EC" w:rsidRPr="00E67187">
        <w:rPr>
          <w:rFonts w:ascii="Arial" w:eastAsia="Times New Roman" w:hAnsi="Arial" w:cs="Arial"/>
          <w:sz w:val="22"/>
          <w:lang w:eastAsia="es-ES"/>
        </w:rPr>
        <w:t>gestionar sus procesos competitivos de contratación. Mediante este m</w:t>
      </w:r>
      <w:r w:rsidR="00E830E4" w:rsidRPr="00E67187">
        <w:rPr>
          <w:rFonts w:ascii="Arial" w:eastAsia="Times New Roman" w:hAnsi="Arial" w:cs="Arial"/>
          <w:sz w:val="22"/>
          <w:lang w:eastAsia="es-ES"/>
        </w:rPr>
        <w:t>ódulo las entidades</w:t>
      </w:r>
      <w:r w:rsidR="00545673" w:rsidRPr="00E67187">
        <w:rPr>
          <w:rFonts w:ascii="Arial" w:eastAsia="Times New Roman" w:hAnsi="Arial" w:cs="Arial"/>
          <w:sz w:val="22"/>
          <w:lang w:eastAsia="es-ES"/>
        </w:rPr>
        <w:t xml:space="preserve"> pueden</w:t>
      </w:r>
      <w:r w:rsidR="00E830E4" w:rsidRPr="00E67187">
        <w:rPr>
          <w:rFonts w:ascii="Arial" w:eastAsia="Times New Roman" w:hAnsi="Arial" w:cs="Arial"/>
          <w:sz w:val="22"/>
          <w:lang w:eastAsia="es-ES"/>
        </w:rPr>
        <w:t xml:space="preserve"> </w:t>
      </w:r>
      <w:r w:rsidR="00105B13" w:rsidRPr="00E67187">
        <w:rPr>
          <w:rFonts w:ascii="Arial" w:eastAsia="Times New Roman" w:hAnsi="Arial" w:cs="Arial"/>
          <w:sz w:val="22"/>
          <w:lang w:eastAsia="es-ES"/>
        </w:rPr>
        <w:t>adelantar el proceso de contratación de manera transaccional</w:t>
      </w:r>
      <w:r w:rsidR="00545673" w:rsidRPr="00E67187">
        <w:rPr>
          <w:rFonts w:ascii="Arial" w:eastAsia="Times New Roman" w:hAnsi="Arial" w:cs="Arial"/>
          <w:sz w:val="22"/>
          <w:lang w:eastAsia="es-ES"/>
        </w:rPr>
        <w:t xml:space="preserve">, es decir, que </w:t>
      </w:r>
      <w:r w:rsidR="00545673" w:rsidRPr="00E67187">
        <w:rPr>
          <w:rFonts w:ascii="Arial" w:eastAsia="Times New Roman" w:hAnsi="Arial" w:cs="Arial"/>
          <w:sz w:val="22"/>
          <w:lang w:eastAsia="es-CO"/>
        </w:rPr>
        <w:t>a</w:t>
      </w:r>
      <w:r w:rsidR="00971637" w:rsidRPr="00E67187">
        <w:rPr>
          <w:rFonts w:ascii="Arial" w:eastAsia="Times New Roman" w:hAnsi="Arial" w:cs="Arial"/>
          <w:sz w:val="22"/>
          <w:lang w:eastAsia="es-CO"/>
        </w:rPr>
        <w:t xml:space="preserve"> través de este módulo </w:t>
      </w:r>
      <w:r w:rsidR="00ED52FA" w:rsidRPr="00E67187">
        <w:rPr>
          <w:rFonts w:ascii="Arial" w:eastAsia="Times New Roman" w:hAnsi="Arial" w:cs="Arial"/>
          <w:sz w:val="22"/>
          <w:lang w:eastAsia="es-CO"/>
        </w:rPr>
        <w:t xml:space="preserve">las entidades estatales </w:t>
      </w:r>
      <w:r w:rsidR="00545673" w:rsidRPr="00E67187">
        <w:rPr>
          <w:rFonts w:ascii="Arial" w:eastAsia="Times New Roman" w:hAnsi="Arial" w:cs="Arial"/>
          <w:sz w:val="22"/>
          <w:lang w:eastAsia="es-CO"/>
        </w:rPr>
        <w:t>pueden</w:t>
      </w:r>
      <w:r w:rsidR="00ED52FA" w:rsidRPr="00E67187">
        <w:rPr>
          <w:rFonts w:ascii="Arial" w:eastAsia="Times New Roman" w:hAnsi="Arial" w:cs="Arial"/>
          <w:sz w:val="22"/>
          <w:lang w:eastAsia="es-CO"/>
        </w:rPr>
        <w:t xml:space="preserve"> </w:t>
      </w:r>
      <w:r w:rsidR="00F36D13" w:rsidRPr="00E67187">
        <w:rPr>
          <w:rFonts w:ascii="Arial" w:eastAsia="Times New Roman" w:hAnsi="Arial" w:cs="Arial"/>
          <w:sz w:val="22"/>
          <w:lang w:eastAsia="es-CO"/>
        </w:rPr>
        <w:t xml:space="preserve">estructurar </w:t>
      </w:r>
      <w:r w:rsidR="009C6199" w:rsidRPr="00E67187">
        <w:rPr>
          <w:rFonts w:ascii="Arial" w:eastAsia="Times New Roman" w:hAnsi="Arial" w:cs="Arial"/>
          <w:sz w:val="22"/>
          <w:lang w:eastAsia="es-CO"/>
        </w:rPr>
        <w:t xml:space="preserve">el proceso de </w:t>
      </w:r>
      <w:r w:rsidR="009C6199" w:rsidRPr="00E67187">
        <w:rPr>
          <w:rFonts w:ascii="Arial" w:eastAsia="Times New Roman" w:hAnsi="Arial" w:cs="Arial"/>
          <w:sz w:val="22"/>
          <w:lang w:eastAsia="es-CO"/>
        </w:rPr>
        <w:lastRenderedPageBreak/>
        <w:t xml:space="preserve">contratación, recibir ofertas de los proveedores, generar el contrato de electrónico </w:t>
      </w:r>
      <w:r w:rsidR="00E830E4" w:rsidRPr="00E67187">
        <w:rPr>
          <w:rFonts w:ascii="Arial" w:eastAsia="Times New Roman" w:hAnsi="Arial" w:cs="Arial"/>
          <w:sz w:val="22"/>
          <w:lang w:eastAsia="es-CO"/>
        </w:rPr>
        <w:t xml:space="preserve">y realizar la gestión contractual. </w:t>
      </w:r>
    </w:p>
    <w:p w14:paraId="1AE3D8EA" w14:textId="4504975C" w:rsidR="00614F0D" w:rsidRPr="00E67187" w:rsidRDefault="006004A3" w:rsidP="00EA1F1D">
      <w:pPr>
        <w:pStyle w:val="Prrafodelista"/>
        <w:numPr>
          <w:ilvl w:val="0"/>
          <w:numId w:val="8"/>
        </w:numPr>
        <w:spacing w:after="120" w:line="276" w:lineRule="auto"/>
        <w:contextualSpacing w:val="0"/>
        <w:jc w:val="both"/>
        <w:rPr>
          <w:rFonts w:ascii="Arial" w:hAnsi="Arial" w:cs="Arial"/>
          <w:sz w:val="22"/>
          <w:u w:val="single"/>
          <w:lang w:eastAsia="es-ES"/>
        </w:rPr>
      </w:pPr>
      <w:r w:rsidRPr="00E67187">
        <w:rPr>
          <w:rFonts w:ascii="Arial" w:eastAsia="Times New Roman" w:hAnsi="Arial" w:cs="Arial"/>
          <w:b/>
          <w:bCs/>
          <w:sz w:val="22"/>
          <w:lang w:eastAsia="es-ES"/>
        </w:rPr>
        <w:t>Contratación Régimen Especial (sin ofertas)</w:t>
      </w:r>
      <w:r w:rsidR="001D5819" w:rsidRPr="00E67187">
        <w:rPr>
          <w:rStyle w:val="Refdenotaalpie"/>
          <w:rFonts w:ascii="Arial" w:eastAsia="Calibri" w:hAnsi="Arial" w:cs="Arial"/>
          <w:iCs/>
          <w:sz w:val="22"/>
          <w:lang w:val="es-ES"/>
        </w:rPr>
        <w:footnoteReference w:id="7"/>
      </w:r>
      <w:r w:rsidRPr="00E67187">
        <w:rPr>
          <w:rFonts w:ascii="Arial" w:eastAsia="Times New Roman" w:hAnsi="Arial" w:cs="Arial"/>
          <w:b/>
          <w:bCs/>
          <w:sz w:val="22"/>
          <w:lang w:eastAsia="es-ES"/>
        </w:rPr>
        <w:t>:</w:t>
      </w:r>
      <w:r w:rsidRPr="00E67187">
        <w:rPr>
          <w:rFonts w:ascii="Arial" w:eastAsia="Times New Roman" w:hAnsi="Arial" w:cs="Arial"/>
          <w:sz w:val="22"/>
          <w:lang w:eastAsia="es-ES"/>
        </w:rPr>
        <w:t xml:space="preserve"> </w:t>
      </w:r>
      <w:r w:rsidR="00D66D23" w:rsidRPr="00E67187">
        <w:rPr>
          <w:rFonts w:ascii="Arial" w:eastAsia="Times New Roman" w:hAnsi="Arial" w:cs="Arial"/>
          <w:sz w:val="22"/>
          <w:lang w:eastAsia="es-ES"/>
        </w:rPr>
        <w:t>Este módulo p</w:t>
      </w:r>
      <w:r w:rsidRPr="00E67187">
        <w:rPr>
          <w:rFonts w:ascii="Arial" w:eastAsia="Times New Roman" w:hAnsi="Arial" w:cs="Arial"/>
          <w:sz w:val="22"/>
          <w:lang w:eastAsia="es-ES"/>
        </w:rPr>
        <w:t xml:space="preserve">ermite a las entidades gestionar sus procesos de selección directos. </w:t>
      </w:r>
      <w:r w:rsidR="00CA3940" w:rsidRPr="00E67187">
        <w:rPr>
          <w:rFonts w:ascii="Arial" w:eastAsia="Times New Roman" w:hAnsi="Arial" w:cs="Arial"/>
          <w:sz w:val="22"/>
          <w:lang w:eastAsia="es-ES"/>
        </w:rPr>
        <w:t xml:space="preserve"> </w:t>
      </w:r>
      <w:r w:rsidR="00D66D23" w:rsidRPr="00E67187">
        <w:rPr>
          <w:rFonts w:ascii="Arial" w:eastAsia="Times New Roman" w:hAnsi="Arial" w:cs="Arial"/>
          <w:sz w:val="22"/>
          <w:lang w:eastAsia="es-ES"/>
        </w:rPr>
        <w:t>Asimismo, este módulo</w:t>
      </w:r>
      <w:r w:rsidR="00614F0D" w:rsidRPr="00E67187">
        <w:rPr>
          <w:rFonts w:ascii="Arial" w:eastAsia="Times New Roman" w:hAnsi="Arial" w:cs="Arial"/>
          <w:sz w:val="22"/>
          <w:lang w:eastAsia="es-ES"/>
        </w:rPr>
        <w:t xml:space="preserve"> </w:t>
      </w:r>
      <w:r w:rsidR="00614F0D" w:rsidRPr="00E67187">
        <w:rPr>
          <w:rFonts w:ascii="Arial" w:hAnsi="Arial" w:cs="Arial"/>
          <w:sz w:val="22"/>
        </w:rPr>
        <w:t xml:space="preserve">permite estructurar los procesos de contratación, publicar documentos generados por fuera de la plataforma y realizar la gestión contractual en línea. </w:t>
      </w:r>
    </w:p>
    <w:p w14:paraId="6E3884A0" w14:textId="793433F8" w:rsidR="00C219AD" w:rsidRPr="00E67187" w:rsidRDefault="00C219AD" w:rsidP="00EA1F1D">
      <w:pPr>
        <w:spacing w:before="120" w:after="120" w:line="276" w:lineRule="auto"/>
        <w:ind w:firstLine="708"/>
        <w:jc w:val="both"/>
        <w:rPr>
          <w:rFonts w:ascii="Arial" w:hAnsi="Arial" w:cs="Arial"/>
          <w:sz w:val="22"/>
          <w:szCs w:val="22"/>
        </w:rPr>
      </w:pPr>
      <w:r w:rsidRPr="00E67187">
        <w:rPr>
          <w:rFonts w:ascii="Arial" w:hAnsi="Arial" w:cs="Arial"/>
          <w:sz w:val="22"/>
          <w:szCs w:val="22"/>
        </w:rPr>
        <w:t xml:space="preserve">Una diferencia importante entre ambos módulos de la plataforma radica en la necesidad de crear cuentas de </w:t>
      </w:r>
      <w:r w:rsidRPr="00E67187">
        <w:rPr>
          <w:rFonts w:ascii="Arial" w:hAnsi="Arial" w:cs="Arial"/>
          <w:i/>
          <w:iCs/>
          <w:sz w:val="22"/>
          <w:szCs w:val="22"/>
        </w:rPr>
        <w:t>proveedores</w:t>
      </w:r>
      <w:r w:rsidRPr="00E67187">
        <w:rPr>
          <w:rFonts w:ascii="Arial" w:hAnsi="Arial" w:cs="Arial"/>
          <w:sz w:val="22"/>
          <w:szCs w:val="22"/>
        </w:rPr>
        <w:t xml:space="preserve"> por parte de los contratistas. Al utilizarse el módulo de </w:t>
      </w:r>
      <w:r w:rsidRPr="00E67187">
        <w:rPr>
          <w:rFonts w:ascii="Arial" w:eastAsia="Calibri" w:hAnsi="Arial" w:cs="Arial"/>
          <w:i/>
          <w:sz w:val="22"/>
          <w:szCs w:val="22"/>
          <w:lang w:val="es-ES"/>
        </w:rPr>
        <w:t xml:space="preserve">Contratación Régimen Especial (Con Ofertas) </w:t>
      </w:r>
      <w:r w:rsidRPr="00E67187">
        <w:rPr>
          <w:rFonts w:ascii="Arial" w:hAnsi="Arial" w:cs="Arial"/>
          <w:sz w:val="22"/>
          <w:szCs w:val="22"/>
        </w:rPr>
        <w:t xml:space="preserve">es necesario que los proveedores con los que vayan a suscribir contratos estén registrados como </w:t>
      </w:r>
      <w:r w:rsidRPr="00E67187">
        <w:rPr>
          <w:rFonts w:ascii="Arial" w:hAnsi="Arial" w:cs="Arial"/>
          <w:i/>
          <w:iCs/>
          <w:sz w:val="22"/>
          <w:szCs w:val="22"/>
        </w:rPr>
        <w:t>proveedores</w:t>
      </w:r>
      <w:r w:rsidRPr="00E67187">
        <w:rPr>
          <w:rFonts w:ascii="Arial" w:hAnsi="Arial" w:cs="Arial"/>
          <w:sz w:val="22"/>
          <w:szCs w:val="22"/>
        </w:rPr>
        <w:t xml:space="preserve"> en la plataforma, debido a que a esa cuenta le será enviado el contrato electrónico para su firma y gestión. Por el contrario, si la entidad decide usar el módulo de </w:t>
      </w:r>
      <w:r w:rsidRPr="00E67187">
        <w:rPr>
          <w:rFonts w:ascii="Arial" w:eastAsia="Calibri" w:hAnsi="Arial" w:cs="Arial"/>
          <w:i/>
          <w:sz w:val="22"/>
          <w:szCs w:val="22"/>
          <w:lang w:val="es-ES"/>
        </w:rPr>
        <w:t>Contratación Régimen Especial (Sin ofertas</w:t>
      </w:r>
      <w:r w:rsidR="006772CD" w:rsidRPr="00E67187">
        <w:rPr>
          <w:rFonts w:ascii="Arial" w:eastAsia="Calibri" w:hAnsi="Arial" w:cs="Arial"/>
          <w:i/>
          <w:sz w:val="22"/>
          <w:szCs w:val="22"/>
          <w:lang w:val="es-ES"/>
        </w:rPr>
        <w:t>)</w:t>
      </w:r>
      <w:r w:rsidRPr="00E67187">
        <w:rPr>
          <w:rFonts w:ascii="Arial" w:hAnsi="Arial" w:cs="Arial"/>
          <w:sz w:val="22"/>
          <w:szCs w:val="22"/>
        </w:rPr>
        <w:t xml:space="preserve"> no será necesario que los contratistas con quien suscriba contratos se registren en el SECOP II toda vez que, al usar la opción publicitaria, el proceso de contratación ocurre de manera externa a la plataforma y no existirá un contrato electrónico.</w:t>
      </w:r>
    </w:p>
    <w:p w14:paraId="12EC59DA" w14:textId="1F62C42C" w:rsidR="006004A3" w:rsidRPr="00E67187" w:rsidRDefault="006004A3" w:rsidP="00EA1F1D">
      <w:pPr>
        <w:autoSpaceDE w:val="0"/>
        <w:autoSpaceDN w:val="0"/>
        <w:adjustRightInd w:val="0"/>
        <w:spacing w:after="120" w:line="276" w:lineRule="auto"/>
        <w:ind w:firstLine="360"/>
        <w:jc w:val="both"/>
        <w:rPr>
          <w:rFonts w:ascii="Arial" w:eastAsia="Calibri" w:hAnsi="Arial" w:cs="Arial"/>
          <w:iCs/>
          <w:sz w:val="22"/>
          <w:szCs w:val="22"/>
          <w:lang w:val="es-ES"/>
        </w:rPr>
      </w:pPr>
      <w:r w:rsidRPr="00E67187">
        <w:rPr>
          <w:rFonts w:ascii="Arial" w:eastAsia="Calibri" w:hAnsi="Arial" w:cs="Arial"/>
          <w:iCs/>
          <w:sz w:val="22"/>
          <w:szCs w:val="22"/>
          <w:lang w:val="es-ES"/>
        </w:rPr>
        <w:t xml:space="preserve">Ahora bien, dado que el artículo 53 de la Ley 2195 de 2022 no cambió la forma en que se perfeccionan los contratos suscritos por estas entidades exceptuadas, para cumplir con el deber de publicidad que les asiste, </w:t>
      </w:r>
      <w:r w:rsidR="00E31C61" w:rsidRPr="00E67187">
        <w:rPr>
          <w:rFonts w:ascii="Arial" w:eastAsia="Calibri" w:hAnsi="Arial" w:cs="Arial"/>
          <w:iCs/>
          <w:sz w:val="22"/>
          <w:szCs w:val="22"/>
          <w:lang w:val="es-ES"/>
        </w:rPr>
        <w:t xml:space="preserve">estas </w:t>
      </w:r>
      <w:r w:rsidRPr="00E67187">
        <w:rPr>
          <w:rFonts w:ascii="Arial" w:eastAsia="Calibri" w:hAnsi="Arial" w:cs="Arial"/>
          <w:iCs/>
          <w:sz w:val="22"/>
          <w:szCs w:val="22"/>
          <w:lang w:val="es-ES"/>
        </w:rPr>
        <w:t>podrán elegir cualquiera de las siguientes opciones:</w:t>
      </w:r>
    </w:p>
    <w:p w14:paraId="7AAB1350" w14:textId="1315B2D7" w:rsidR="006004A3" w:rsidRPr="00E67187" w:rsidRDefault="006004A3" w:rsidP="00EA1F1D">
      <w:pPr>
        <w:pStyle w:val="Prrafodelista"/>
        <w:numPr>
          <w:ilvl w:val="0"/>
          <w:numId w:val="7"/>
        </w:numPr>
        <w:autoSpaceDE w:val="0"/>
        <w:autoSpaceDN w:val="0"/>
        <w:adjustRightInd w:val="0"/>
        <w:spacing w:after="120" w:line="276" w:lineRule="auto"/>
        <w:contextualSpacing w:val="0"/>
        <w:jc w:val="both"/>
        <w:rPr>
          <w:rFonts w:ascii="Arial" w:eastAsia="Calibri" w:hAnsi="Arial" w:cs="Arial"/>
          <w:iCs/>
          <w:sz w:val="22"/>
          <w:lang w:val="es-ES"/>
        </w:rPr>
      </w:pPr>
      <w:r w:rsidRPr="00E67187">
        <w:rPr>
          <w:rFonts w:ascii="Arial" w:hAnsi="Arial" w:cs="Arial"/>
          <w:sz w:val="22"/>
          <w:lang w:val="es-ES"/>
        </w:rPr>
        <w:t>F</w:t>
      </w:r>
      <w:proofErr w:type="spellStart"/>
      <w:r w:rsidRPr="00E67187">
        <w:rPr>
          <w:rFonts w:ascii="Arial" w:hAnsi="Arial" w:cs="Arial"/>
          <w:sz w:val="22"/>
        </w:rPr>
        <w:t>irmar</w:t>
      </w:r>
      <w:proofErr w:type="spellEnd"/>
      <w:r w:rsidRPr="00E67187">
        <w:rPr>
          <w:rFonts w:ascii="Arial" w:hAnsi="Arial" w:cs="Arial"/>
          <w:sz w:val="22"/>
        </w:rPr>
        <w:t xml:space="preserve"> el contrato electrónicamente</w:t>
      </w:r>
      <w:r w:rsidR="002C22CD" w:rsidRPr="00E67187">
        <w:rPr>
          <w:rFonts w:ascii="Arial" w:hAnsi="Arial" w:cs="Arial"/>
          <w:sz w:val="22"/>
        </w:rPr>
        <w:t xml:space="preserve">, </w:t>
      </w:r>
      <w:r w:rsidRPr="00E67187">
        <w:rPr>
          <w:rFonts w:ascii="Arial" w:hAnsi="Arial" w:cs="Arial"/>
          <w:sz w:val="22"/>
        </w:rPr>
        <w:t>es decir, realiza</w:t>
      </w:r>
      <w:r w:rsidR="002C22CD" w:rsidRPr="00E67187">
        <w:rPr>
          <w:rFonts w:ascii="Arial" w:hAnsi="Arial" w:cs="Arial"/>
          <w:sz w:val="22"/>
        </w:rPr>
        <w:t>r</w:t>
      </w:r>
      <w:r w:rsidRPr="00E67187">
        <w:rPr>
          <w:rFonts w:ascii="Arial" w:hAnsi="Arial" w:cs="Arial"/>
          <w:sz w:val="22"/>
        </w:rPr>
        <w:t xml:space="preserve"> un uso transaccional de la plataforma.</w:t>
      </w:r>
    </w:p>
    <w:p w14:paraId="709C52B2" w14:textId="6BEFA652" w:rsidR="006004A3" w:rsidRPr="00E67187" w:rsidRDefault="006004A3" w:rsidP="00EA1F1D">
      <w:pPr>
        <w:pStyle w:val="Prrafodelista"/>
        <w:numPr>
          <w:ilvl w:val="0"/>
          <w:numId w:val="7"/>
        </w:numPr>
        <w:autoSpaceDE w:val="0"/>
        <w:autoSpaceDN w:val="0"/>
        <w:adjustRightInd w:val="0"/>
        <w:spacing w:after="120" w:line="276" w:lineRule="auto"/>
        <w:contextualSpacing w:val="0"/>
        <w:jc w:val="both"/>
        <w:rPr>
          <w:rFonts w:ascii="Arial" w:hAnsi="Arial" w:cs="Arial"/>
          <w:sz w:val="22"/>
        </w:rPr>
      </w:pPr>
      <w:r w:rsidRPr="00E67187">
        <w:rPr>
          <w:rFonts w:ascii="Arial" w:hAnsi="Arial" w:cs="Arial"/>
          <w:sz w:val="22"/>
        </w:rPr>
        <w:t>Firmar el contrato en físico y publica los documentos de ejecución en la etapa precontractual del SECOP II</w:t>
      </w:r>
      <w:r w:rsidR="002C22CD" w:rsidRPr="00E67187">
        <w:rPr>
          <w:rFonts w:ascii="Arial" w:hAnsi="Arial" w:cs="Arial"/>
          <w:sz w:val="22"/>
        </w:rPr>
        <w:t xml:space="preserve">, </w:t>
      </w:r>
      <w:r w:rsidRPr="00E67187">
        <w:rPr>
          <w:rFonts w:ascii="Arial" w:hAnsi="Arial" w:cs="Arial"/>
          <w:sz w:val="22"/>
        </w:rPr>
        <w:t>es decir, realiza</w:t>
      </w:r>
      <w:r w:rsidR="002C22CD" w:rsidRPr="00E67187">
        <w:rPr>
          <w:rFonts w:ascii="Arial" w:hAnsi="Arial" w:cs="Arial"/>
          <w:sz w:val="22"/>
        </w:rPr>
        <w:t>r</w:t>
      </w:r>
      <w:r w:rsidRPr="00E67187">
        <w:rPr>
          <w:rFonts w:ascii="Arial" w:hAnsi="Arial" w:cs="Arial"/>
          <w:sz w:val="22"/>
        </w:rPr>
        <w:t xml:space="preserve"> un uso publicitario de la plataforma.</w:t>
      </w:r>
    </w:p>
    <w:p w14:paraId="6E584CB7" w14:textId="397B6309" w:rsidR="00024A07" w:rsidRPr="00E67187" w:rsidRDefault="00024A07" w:rsidP="00EA1F1D">
      <w:pPr>
        <w:autoSpaceDE w:val="0"/>
        <w:autoSpaceDN w:val="0"/>
        <w:adjustRightInd w:val="0"/>
        <w:spacing w:after="120" w:line="276" w:lineRule="auto"/>
        <w:ind w:firstLine="360"/>
        <w:jc w:val="both"/>
        <w:rPr>
          <w:rFonts w:ascii="Arial" w:hAnsi="Arial" w:cs="Arial"/>
          <w:sz w:val="22"/>
          <w:szCs w:val="22"/>
        </w:rPr>
      </w:pPr>
      <w:r w:rsidRPr="00E67187">
        <w:rPr>
          <w:rFonts w:ascii="Arial" w:hAnsi="Arial" w:cs="Arial"/>
          <w:sz w:val="22"/>
          <w:szCs w:val="22"/>
        </w:rPr>
        <w:t>En el primer caso, si la entidad opta por hacer uso de la plataforma de manera transaccional (firmando el contrato electrónicamente), deberá utilizar el módulo de “Contratación Régimen Especial,</w:t>
      </w:r>
      <w:r w:rsidR="000A63D3" w:rsidRPr="00E67187">
        <w:rPr>
          <w:rFonts w:ascii="Arial" w:hAnsi="Arial" w:cs="Arial"/>
          <w:sz w:val="22"/>
          <w:szCs w:val="22"/>
        </w:rPr>
        <w:t>”</w:t>
      </w:r>
      <w:r w:rsidRPr="00E67187">
        <w:rPr>
          <w:rFonts w:ascii="Arial" w:hAnsi="Arial" w:cs="Arial"/>
          <w:sz w:val="22"/>
          <w:szCs w:val="22"/>
        </w:rPr>
        <w:t xml:space="preserve"> estructurar el proceso de contratación, generar el contrato electrónico y realizar la gestión contractual en línea a través de la plataforma.</w:t>
      </w:r>
    </w:p>
    <w:p w14:paraId="3422307F" w14:textId="04DBA00A" w:rsidR="00FE24D3" w:rsidRPr="00E67187" w:rsidRDefault="00024A07" w:rsidP="00E67187">
      <w:pPr>
        <w:autoSpaceDE w:val="0"/>
        <w:autoSpaceDN w:val="0"/>
        <w:adjustRightInd w:val="0"/>
        <w:spacing w:after="120"/>
        <w:ind w:firstLine="357"/>
        <w:jc w:val="both"/>
        <w:rPr>
          <w:rFonts w:ascii="Arial" w:hAnsi="Arial" w:cs="Arial"/>
          <w:sz w:val="22"/>
          <w:szCs w:val="22"/>
        </w:rPr>
      </w:pPr>
      <w:r w:rsidRPr="00E67187">
        <w:rPr>
          <w:rFonts w:ascii="Arial" w:hAnsi="Arial" w:cs="Arial"/>
          <w:sz w:val="22"/>
          <w:szCs w:val="22"/>
        </w:rPr>
        <w:t>En el segundo caso, si decide utilizar el SECOP II como herramienta de publicidad, deberá crear el proceso de contratación en el SECOP II mediante el módulo “</w:t>
      </w:r>
      <w:r w:rsidRPr="00E67187">
        <w:rPr>
          <w:rFonts w:ascii="Arial" w:hAnsi="Arial" w:cs="Arial"/>
          <w:i/>
          <w:iCs/>
          <w:sz w:val="22"/>
          <w:szCs w:val="22"/>
        </w:rPr>
        <w:t>Contratación Régimen Especial (sin ofertas)”</w:t>
      </w:r>
      <w:r w:rsidRPr="00E67187">
        <w:rPr>
          <w:rFonts w:ascii="Arial" w:hAnsi="Arial" w:cs="Arial"/>
          <w:sz w:val="22"/>
          <w:szCs w:val="22"/>
        </w:rPr>
        <w:t xml:space="preserve">, cargar todos los documentos del proceso en la sección dispuesta para ello y publicar el proceso. La publicación de los documentos de la gestión contractual, incluido el contrato firmado manuscritamente, se debe realizar mediante modificaciones al proceso a través de la opción “Modificaciones/Adendas”. Sin embargo, las </w:t>
      </w:r>
      <w:r w:rsidR="00B536BE" w:rsidRPr="00E67187">
        <w:rPr>
          <w:rFonts w:ascii="Arial" w:hAnsi="Arial" w:cs="Arial"/>
          <w:sz w:val="22"/>
          <w:szCs w:val="22"/>
        </w:rPr>
        <w:t xml:space="preserve">entidades públicas </w:t>
      </w:r>
      <w:r w:rsidRPr="00E67187">
        <w:rPr>
          <w:rFonts w:ascii="Arial" w:hAnsi="Arial" w:cs="Arial"/>
          <w:sz w:val="22"/>
          <w:szCs w:val="22"/>
        </w:rPr>
        <w:t xml:space="preserve">deberán tener en cuenta </w:t>
      </w:r>
      <w:r w:rsidR="00333D07" w:rsidRPr="00E67187">
        <w:rPr>
          <w:rFonts w:ascii="Arial" w:hAnsi="Arial" w:cs="Arial"/>
          <w:sz w:val="22"/>
          <w:szCs w:val="22"/>
        </w:rPr>
        <w:t>que,</w:t>
      </w:r>
      <w:r w:rsidRPr="00E67187">
        <w:rPr>
          <w:rFonts w:ascii="Arial" w:hAnsi="Arial" w:cs="Arial"/>
          <w:sz w:val="22"/>
          <w:szCs w:val="22"/>
        </w:rPr>
        <w:t xml:space="preserve"> si utilizan esta opción, no deben dar </w:t>
      </w:r>
      <w:r w:rsidRPr="00E67187">
        <w:rPr>
          <w:rFonts w:ascii="Arial" w:hAnsi="Arial" w:cs="Arial"/>
          <w:sz w:val="22"/>
          <w:szCs w:val="22"/>
        </w:rPr>
        <w:lastRenderedPageBreak/>
        <w:t>clic en “</w:t>
      </w:r>
      <w:r w:rsidRPr="00E67187">
        <w:rPr>
          <w:rFonts w:ascii="Arial" w:hAnsi="Arial" w:cs="Arial"/>
          <w:i/>
          <w:iCs/>
          <w:sz w:val="22"/>
          <w:szCs w:val="22"/>
        </w:rPr>
        <w:t>Finalizar</w:t>
      </w:r>
      <w:r w:rsidRPr="00E67187">
        <w:rPr>
          <w:rFonts w:ascii="Arial" w:hAnsi="Arial" w:cs="Arial"/>
          <w:sz w:val="22"/>
          <w:szCs w:val="22"/>
        </w:rPr>
        <w:t>” después de publicar el proceso, en tanto que la plataforma cierra el expediente y no permite la publicación posterior de ningún otro documento.</w:t>
      </w:r>
    </w:p>
    <w:p w14:paraId="7897531B" w14:textId="72E57256" w:rsidR="00E67187" w:rsidRPr="00E67187" w:rsidRDefault="00E67187" w:rsidP="00E67187">
      <w:pPr>
        <w:autoSpaceDE w:val="0"/>
        <w:autoSpaceDN w:val="0"/>
        <w:adjustRightInd w:val="0"/>
        <w:spacing w:line="276" w:lineRule="auto"/>
        <w:ind w:firstLine="360"/>
        <w:jc w:val="both"/>
        <w:rPr>
          <w:rFonts w:ascii="Arial" w:hAnsi="Arial" w:cs="Arial"/>
          <w:sz w:val="22"/>
          <w:szCs w:val="22"/>
        </w:rPr>
      </w:pPr>
      <w:r w:rsidRPr="00E67187">
        <w:rPr>
          <w:rFonts w:ascii="Arial" w:eastAsia="Calibri" w:hAnsi="Arial" w:cs="Arial"/>
          <w:sz w:val="22"/>
          <w:szCs w:val="22"/>
          <w:lang w:val="es-ES_tradnl"/>
        </w:rPr>
        <w:t xml:space="preserve">Por último, resulta importante señalar que el pasado </w:t>
      </w:r>
      <w:r w:rsidRPr="00E67187">
        <w:rPr>
          <w:rFonts w:ascii="Arial" w:eastAsia="Calibri" w:hAnsi="Arial" w:cs="Arial"/>
          <w:sz w:val="22"/>
          <w:szCs w:val="22"/>
          <w:lang w:val="es-ES"/>
        </w:rPr>
        <w:t xml:space="preserve">1 de junio, el Departamento Administrativo de la Presidencia de la Republica profirió la Circular 02 del 2022, mediante la cual se imparten instrucciones sobre la aplicación del artículo 53 de la Ley 2195 de 2022, en los siguientes aspectos: i) publicación de los documentos contractuales en el SECOP II; ii) reserva de los documentos relacionados con la actividad contractual y; iii) régimen de transición de los contratos celebrados con anterioridad a la entrada en vigencia de la obligación consagrada en el artículo 53 de la Ley 2195 de 2022. La mencionada guía contiene una serie de instrucciones con miras a garantizar el cumplimiento del deber legal por parte de las entidades estatales exceptuadas del Estatuto General de Contratación Pública. </w:t>
      </w:r>
    </w:p>
    <w:p w14:paraId="4BE7A26B" w14:textId="77777777" w:rsidR="00802AED" w:rsidRPr="00E67187" w:rsidRDefault="00802AED" w:rsidP="009848F0">
      <w:pPr>
        <w:tabs>
          <w:tab w:val="left" w:pos="0"/>
        </w:tabs>
        <w:spacing w:line="276" w:lineRule="auto"/>
        <w:contextualSpacing/>
        <w:jc w:val="both"/>
        <w:rPr>
          <w:rFonts w:ascii="Arial" w:eastAsia="Calibri" w:hAnsi="Arial" w:cs="Arial"/>
          <w:b/>
          <w:bCs/>
          <w:sz w:val="22"/>
          <w:szCs w:val="22"/>
          <w:lang w:val="es-ES"/>
        </w:rPr>
      </w:pPr>
    </w:p>
    <w:p w14:paraId="33392539" w14:textId="685A7C71" w:rsidR="001D3749" w:rsidRPr="00E67187" w:rsidRDefault="001D3749" w:rsidP="009848F0">
      <w:pPr>
        <w:tabs>
          <w:tab w:val="left" w:pos="0"/>
        </w:tabs>
        <w:spacing w:line="276" w:lineRule="auto"/>
        <w:contextualSpacing/>
        <w:jc w:val="both"/>
        <w:rPr>
          <w:rFonts w:ascii="Arial" w:eastAsia="Calibri" w:hAnsi="Arial" w:cs="Arial"/>
          <w:b/>
          <w:sz w:val="22"/>
          <w:lang w:val="es-ES_tradnl"/>
        </w:rPr>
      </w:pPr>
      <w:r w:rsidRPr="00E67187">
        <w:rPr>
          <w:rFonts w:ascii="Arial" w:eastAsia="Calibri" w:hAnsi="Arial" w:cs="Arial"/>
          <w:b/>
          <w:sz w:val="22"/>
          <w:lang w:val="es-ES_tradnl"/>
        </w:rPr>
        <w:t>3. Respuesta</w:t>
      </w:r>
    </w:p>
    <w:p w14:paraId="3255BC5F" w14:textId="77777777" w:rsidR="001D3749" w:rsidRPr="00E67187" w:rsidRDefault="001D3749" w:rsidP="00F36CEB">
      <w:pPr>
        <w:tabs>
          <w:tab w:val="left" w:pos="0"/>
        </w:tabs>
        <w:contextualSpacing/>
        <w:jc w:val="both"/>
        <w:rPr>
          <w:rFonts w:ascii="Arial" w:eastAsia="Calibri" w:hAnsi="Arial" w:cs="Arial"/>
          <w:sz w:val="22"/>
          <w:lang w:val="es-ES_tradnl"/>
        </w:rPr>
      </w:pPr>
    </w:p>
    <w:p w14:paraId="5386610D" w14:textId="601386CB" w:rsidR="0045549B" w:rsidRPr="00E67187" w:rsidRDefault="0036243E" w:rsidP="00F36CEB">
      <w:pPr>
        <w:pStyle w:val="Prrafodelista"/>
        <w:spacing w:line="276" w:lineRule="auto"/>
        <w:ind w:left="709" w:right="709"/>
        <w:jc w:val="both"/>
        <w:rPr>
          <w:rFonts w:ascii="Arial" w:hAnsi="Arial" w:cs="Arial"/>
          <w:sz w:val="21"/>
          <w:szCs w:val="21"/>
        </w:rPr>
      </w:pPr>
      <w:r w:rsidRPr="00E67187">
        <w:rPr>
          <w:rFonts w:ascii="Arial" w:hAnsi="Arial" w:cs="Arial"/>
          <w:sz w:val="21"/>
          <w:szCs w:val="21"/>
          <w:lang w:val="es-ES_tradnl"/>
        </w:rPr>
        <w:t>«</w:t>
      </w:r>
      <w:r w:rsidR="00FE7E6F" w:rsidRPr="00E67187">
        <w:rPr>
          <w:rFonts w:ascii="Arial" w:hAnsi="Arial" w:cs="Arial"/>
          <w:sz w:val="21"/>
          <w:szCs w:val="21"/>
        </w:rPr>
        <w:t>1. ¿</w:t>
      </w:r>
      <w:proofErr w:type="spellStart"/>
      <w:r w:rsidR="0045549B" w:rsidRPr="00E67187">
        <w:rPr>
          <w:rFonts w:ascii="Arial" w:hAnsi="Arial" w:cs="Arial"/>
          <w:sz w:val="21"/>
          <w:szCs w:val="21"/>
        </w:rPr>
        <w:t>Cuando</w:t>
      </w:r>
      <w:proofErr w:type="spellEnd"/>
      <w:r w:rsidR="0045549B" w:rsidRPr="00E67187">
        <w:rPr>
          <w:rFonts w:ascii="Arial" w:hAnsi="Arial" w:cs="Arial"/>
          <w:sz w:val="21"/>
          <w:szCs w:val="21"/>
        </w:rPr>
        <w:t xml:space="preserve"> se hace referencia a la actividad </w:t>
      </w:r>
      <w:r w:rsidR="0049776B" w:rsidRPr="00E67187">
        <w:rPr>
          <w:rFonts w:ascii="Arial" w:hAnsi="Arial" w:cs="Arial"/>
          <w:sz w:val="21"/>
          <w:szCs w:val="21"/>
        </w:rPr>
        <w:t>contractual,</w:t>
      </w:r>
      <w:r w:rsidR="0045549B" w:rsidRPr="00E67187">
        <w:rPr>
          <w:rFonts w:ascii="Arial" w:hAnsi="Arial" w:cs="Arial"/>
          <w:sz w:val="21"/>
          <w:szCs w:val="21"/>
        </w:rPr>
        <w:t xml:space="preserve"> esta incluye aquellos procesos no misionales?</w:t>
      </w:r>
      <w:r w:rsidRPr="00E67187">
        <w:rPr>
          <w:rFonts w:ascii="Arial" w:hAnsi="Arial" w:cs="Arial"/>
          <w:sz w:val="21"/>
          <w:szCs w:val="21"/>
        </w:rPr>
        <w:t>».</w:t>
      </w:r>
      <w:r w:rsidR="0045549B" w:rsidRPr="00E67187">
        <w:rPr>
          <w:rFonts w:ascii="Arial" w:hAnsi="Arial" w:cs="Arial"/>
          <w:sz w:val="21"/>
          <w:szCs w:val="21"/>
        </w:rPr>
        <w:t xml:space="preserve"> </w:t>
      </w:r>
    </w:p>
    <w:p w14:paraId="5D99D116" w14:textId="77777777" w:rsidR="00FE7E6F" w:rsidRPr="00E67187" w:rsidRDefault="00FE7E6F" w:rsidP="00F36CEB">
      <w:pPr>
        <w:pStyle w:val="Prrafodelista"/>
        <w:ind w:left="1072" w:right="709"/>
        <w:jc w:val="both"/>
        <w:rPr>
          <w:rFonts w:ascii="Arial" w:hAnsi="Arial" w:cs="Arial"/>
          <w:sz w:val="21"/>
          <w:szCs w:val="21"/>
        </w:rPr>
      </w:pPr>
    </w:p>
    <w:p w14:paraId="2A37EBE5" w14:textId="311A870A" w:rsidR="00C63F6D" w:rsidRPr="00E67187" w:rsidRDefault="00FE7E6F" w:rsidP="00F36CEB">
      <w:pPr>
        <w:spacing w:after="120" w:line="276" w:lineRule="auto"/>
        <w:jc w:val="both"/>
        <w:rPr>
          <w:rFonts w:ascii="Arial" w:eastAsia="Calibri" w:hAnsi="Arial" w:cs="Arial"/>
          <w:sz w:val="22"/>
          <w:szCs w:val="22"/>
          <w:lang w:val="es-ES_tradnl"/>
        </w:rPr>
      </w:pPr>
      <w:r w:rsidRPr="00E67187">
        <w:rPr>
          <w:rFonts w:ascii="Arial" w:eastAsia="Calibri" w:hAnsi="Arial" w:cs="Arial"/>
          <w:sz w:val="22"/>
          <w:lang w:val="es-ES"/>
        </w:rPr>
        <w:t>D</w:t>
      </w:r>
      <w:r w:rsidR="00D52F45" w:rsidRPr="00E67187">
        <w:rPr>
          <w:rFonts w:ascii="Arial" w:eastAsia="Calibri" w:hAnsi="Arial" w:cs="Arial"/>
          <w:sz w:val="22"/>
          <w:lang w:val="es-ES"/>
        </w:rPr>
        <w:t xml:space="preserve">e conformidad con </w:t>
      </w:r>
      <w:r w:rsidR="00A166AA" w:rsidRPr="00E67187">
        <w:rPr>
          <w:rFonts w:ascii="Arial" w:eastAsia="Calibri" w:hAnsi="Arial" w:cs="Arial"/>
          <w:sz w:val="22"/>
          <w:lang w:val="es-ES"/>
        </w:rPr>
        <w:t xml:space="preserve">lo expuesto, </w:t>
      </w:r>
      <w:r w:rsidR="00000D58" w:rsidRPr="00E67187">
        <w:rPr>
          <w:rFonts w:ascii="Arial" w:eastAsia="Calibri" w:hAnsi="Arial" w:cs="Arial"/>
          <w:sz w:val="22"/>
          <w:lang w:val="es-ES"/>
        </w:rPr>
        <w:t>el inciso segundo del artículo 13 de la Ley 1150 de 2007, adicionado por el artículo 53 de la Ley 2195 de 2022</w:t>
      </w:r>
      <w:r w:rsidR="008B6272" w:rsidRPr="00E67187">
        <w:rPr>
          <w:rFonts w:ascii="Arial" w:eastAsia="Calibri" w:hAnsi="Arial" w:cs="Arial"/>
          <w:sz w:val="22"/>
          <w:lang w:val="es-ES"/>
        </w:rPr>
        <w:t xml:space="preserve">, </w:t>
      </w:r>
      <w:r w:rsidR="00347CEA" w:rsidRPr="00E67187">
        <w:rPr>
          <w:rFonts w:ascii="Arial" w:eastAsia="Calibri" w:hAnsi="Arial" w:cs="Arial"/>
          <w:sz w:val="22"/>
          <w:lang w:val="es-ES"/>
        </w:rPr>
        <w:t>establece que la</w:t>
      </w:r>
      <w:r w:rsidR="008B6272" w:rsidRPr="00E67187">
        <w:rPr>
          <w:rFonts w:ascii="Arial" w:eastAsia="Calibri" w:hAnsi="Arial" w:cs="Arial"/>
          <w:sz w:val="22"/>
          <w:lang w:val="es-ES"/>
        </w:rPr>
        <w:t xml:space="preserve"> </w:t>
      </w:r>
      <w:r w:rsidR="008B6272" w:rsidRPr="00E67187">
        <w:rPr>
          <w:rFonts w:ascii="Arial" w:eastAsia="Calibri" w:hAnsi="Arial" w:cs="Arial"/>
          <w:i/>
          <w:iCs/>
          <w:sz w:val="22"/>
          <w:lang w:val="es-ES"/>
        </w:rPr>
        <w:t>actividad contractual</w:t>
      </w:r>
      <w:r w:rsidR="00347CEA" w:rsidRPr="00E67187">
        <w:rPr>
          <w:rFonts w:ascii="Arial" w:eastAsia="Calibri" w:hAnsi="Arial" w:cs="Arial"/>
          <w:i/>
          <w:iCs/>
          <w:sz w:val="22"/>
          <w:lang w:val="es-ES"/>
        </w:rPr>
        <w:t xml:space="preserve"> </w:t>
      </w:r>
      <w:r w:rsidR="00347CEA" w:rsidRPr="00E67187">
        <w:rPr>
          <w:rFonts w:ascii="Arial" w:eastAsia="Calibri" w:hAnsi="Arial" w:cs="Arial"/>
          <w:sz w:val="22"/>
          <w:lang w:val="es-ES"/>
        </w:rPr>
        <w:t xml:space="preserve">que debe ser objeto de </w:t>
      </w:r>
      <w:r w:rsidR="0015488C" w:rsidRPr="00E67187">
        <w:rPr>
          <w:rFonts w:ascii="Arial" w:eastAsia="Calibri" w:hAnsi="Arial" w:cs="Arial"/>
          <w:sz w:val="22"/>
          <w:lang w:val="es-ES"/>
        </w:rPr>
        <w:t xml:space="preserve">publicación abarca todos </w:t>
      </w:r>
      <w:r w:rsidR="008B6272" w:rsidRPr="00E67187">
        <w:rPr>
          <w:rFonts w:ascii="Arial" w:eastAsia="Calibri" w:hAnsi="Arial" w:cs="Arial"/>
          <w:sz w:val="22"/>
          <w:szCs w:val="22"/>
          <w:lang w:val="es-ES_tradnl"/>
        </w:rPr>
        <w:t xml:space="preserve">«[…] los documentos, contratos, actos e información generada por oferentes, contratista, contratante, supervisor o interventor, tanto en la </w:t>
      </w:r>
      <w:r w:rsidR="008B6272" w:rsidRPr="00E67187">
        <w:rPr>
          <w:rFonts w:ascii="Arial" w:eastAsia="Calibri" w:hAnsi="Arial" w:cs="Arial"/>
          <w:i/>
          <w:iCs/>
          <w:sz w:val="22"/>
          <w:szCs w:val="22"/>
          <w:lang w:val="es-ES_tradnl"/>
        </w:rPr>
        <w:t xml:space="preserve">etapa precontractual, como en la contractual y la </w:t>
      </w:r>
      <w:proofErr w:type="spellStart"/>
      <w:r w:rsidR="008B6272" w:rsidRPr="00E67187">
        <w:rPr>
          <w:rFonts w:ascii="Arial" w:eastAsia="Calibri" w:hAnsi="Arial" w:cs="Arial"/>
          <w:i/>
          <w:iCs/>
          <w:sz w:val="22"/>
          <w:szCs w:val="22"/>
          <w:lang w:val="es-ES_tradnl"/>
        </w:rPr>
        <w:t>postcontractual</w:t>
      </w:r>
      <w:proofErr w:type="spellEnd"/>
      <w:r w:rsidR="008B6272" w:rsidRPr="00E67187">
        <w:rPr>
          <w:rFonts w:ascii="Arial" w:eastAsia="Calibri" w:hAnsi="Arial" w:cs="Arial"/>
          <w:sz w:val="22"/>
          <w:szCs w:val="22"/>
          <w:lang w:val="es-ES_tradnl"/>
        </w:rPr>
        <w:t>»</w:t>
      </w:r>
      <w:r w:rsidR="0015488C" w:rsidRPr="00E67187">
        <w:rPr>
          <w:rFonts w:ascii="Arial" w:eastAsia="Calibri" w:hAnsi="Arial" w:cs="Arial"/>
          <w:sz w:val="22"/>
          <w:szCs w:val="22"/>
          <w:lang w:val="es-ES_tradnl"/>
        </w:rPr>
        <w:t xml:space="preserve">. </w:t>
      </w:r>
      <w:r w:rsidR="00994446" w:rsidRPr="00E67187">
        <w:rPr>
          <w:rFonts w:ascii="Arial" w:eastAsia="Calibri" w:hAnsi="Arial" w:cs="Arial"/>
          <w:sz w:val="22"/>
          <w:szCs w:val="22"/>
          <w:lang w:val="es-ES_tradnl"/>
        </w:rPr>
        <w:t>Esto debe ser armonizado</w:t>
      </w:r>
      <w:r w:rsidR="001F52A0" w:rsidRPr="00E67187">
        <w:rPr>
          <w:rFonts w:ascii="Arial" w:eastAsia="Calibri" w:hAnsi="Arial" w:cs="Arial"/>
          <w:sz w:val="22"/>
          <w:szCs w:val="22"/>
          <w:lang w:val="es-ES_tradnl"/>
        </w:rPr>
        <w:t xml:space="preserve"> con el deber de publicidad que deviene de normas </w:t>
      </w:r>
      <w:r w:rsidR="004C6976" w:rsidRPr="00E67187">
        <w:rPr>
          <w:rFonts w:ascii="Arial" w:eastAsia="Calibri" w:hAnsi="Arial" w:cs="Arial"/>
          <w:sz w:val="22"/>
          <w:szCs w:val="22"/>
          <w:lang w:val="es-ES_tradnl"/>
        </w:rPr>
        <w:t xml:space="preserve">como el </w:t>
      </w:r>
      <w:r w:rsidR="001F52A0" w:rsidRPr="00E67187">
        <w:rPr>
          <w:rFonts w:ascii="Arial" w:eastAsia="Calibri" w:hAnsi="Arial" w:cs="Arial"/>
          <w:sz w:val="22"/>
          <w:lang w:val="es-ES"/>
        </w:rPr>
        <w:t>artículo 3 de la Ley 1150 de 2007, el literal g) del artículo 11 de la Ley 1712 de 2014</w:t>
      </w:r>
      <w:r w:rsidR="004C6976" w:rsidRPr="00E67187">
        <w:rPr>
          <w:rFonts w:ascii="Arial" w:eastAsia="Calibri" w:hAnsi="Arial" w:cs="Arial"/>
          <w:sz w:val="22"/>
          <w:lang w:val="es-ES"/>
        </w:rPr>
        <w:t>,</w:t>
      </w:r>
      <w:r w:rsidR="001F52A0" w:rsidRPr="00E67187">
        <w:rPr>
          <w:rFonts w:ascii="Arial" w:eastAsia="Calibri" w:hAnsi="Arial" w:cs="Arial"/>
          <w:sz w:val="22"/>
          <w:lang w:val="es-ES"/>
        </w:rPr>
        <w:t xml:space="preserve"> los artículos 2.1.1.2.1.7, 2.1.1.2.1.8, 2.1.1.2.1.9 y 2.1.1.2.1.10 del Decreto 1081 de 2015, en virtud de l</w:t>
      </w:r>
      <w:r w:rsidR="00994446" w:rsidRPr="00E67187">
        <w:rPr>
          <w:rFonts w:ascii="Arial" w:eastAsia="Calibri" w:hAnsi="Arial" w:cs="Arial"/>
          <w:sz w:val="22"/>
          <w:lang w:val="es-ES"/>
        </w:rPr>
        <w:t>a</w:t>
      </w:r>
      <w:r w:rsidR="001F52A0" w:rsidRPr="00E67187">
        <w:rPr>
          <w:rFonts w:ascii="Arial" w:eastAsia="Calibri" w:hAnsi="Arial" w:cs="Arial"/>
          <w:sz w:val="22"/>
          <w:lang w:val="es-ES"/>
        </w:rPr>
        <w:t>s cuales</w:t>
      </w:r>
      <w:r w:rsidR="004C6976" w:rsidRPr="00E67187">
        <w:rPr>
          <w:rFonts w:ascii="Arial" w:eastAsia="Calibri" w:hAnsi="Arial" w:cs="Arial"/>
          <w:sz w:val="22"/>
          <w:lang w:val="es-ES"/>
        </w:rPr>
        <w:t xml:space="preserve"> las e</w:t>
      </w:r>
      <w:r w:rsidR="00D90B5A" w:rsidRPr="00E67187">
        <w:rPr>
          <w:rFonts w:ascii="Arial" w:eastAsia="Calibri" w:hAnsi="Arial" w:cs="Arial"/>
          <w:sz w:val="22"/>
          <w:lang w:val="es-ES"/>
        </w:rPr>
        <w:t xml:space="preserve">ntidades estatales </w:t>
      </w:r>
      <w:r w:rsidR="001F52A0" w:rsidRPr="00E67187">
        <w:rPr>
          <w:rFonts w:ascii="Arial" w:eastAsia="Calibri" w:hAnsi="Arial" w:cs="Arial"/>
          <w:sz w:val="22"/>
          <w:lang w:val="es-ES"/>
        </w:rPr>
        <w:t>deben publicar en el SECOP todos los documentos, actos administrativos</w:t>
      </w:r>
      <w:r w:rsidR="00D90B5A" w:rsidRPr="00E67187">
        <w:rPr>
          <w:rFonts w:ascii="Arial" w:eastAsia="Calibri" w:hAnsi="Arial" w:cs="Arial"/>
          <w:sz w:val="22"/>
          <w:lang w:val="es-ES"/>
        </w:rPr>
        <w:t xml:space="preserve"> e información </w:t>
      </w:r>
      <w:r w:rsidR="00AE3188" w:rsidRPr="00E67187">
        <w:rPr>
          <w:rFonts w:ascii="Arial" w:eastAsia="Calibri" w:hAnsi="Arial" w:cs="Arial"/>
          <w:sz w:val="22"/>
          <w:lang w:val="es-ES"/>
        </w:rPr>
        <w:t xml:space="preserve">producida con ocasión de los procesos de contratación que </w:t>
      </w:r>
      <w:r w:rsidR="00CF190F" w:rsidRPr="00E67187">
        <w:rPr>
          <w:rFonts w:ascii="Arial" w:eastAsia="Calibri" w:hAnsi="Arial" w:cs="Arial"/>
          <w:sz w:val="22"/>
          <w:lang w:val="es-ES"/>
        </w:rPr>
        <w:t>se adelanten con cargo a recursos públicos</w:t>
      </w:r>
      <w:r w:rsidR="00AE3188" w:rsidRPr="00E67187">
        <w:rPr>
          <w:rFonts w:ascii="Arial" w:eastAsia="Calibri" w:hAnsi="Arial" w:cs="Arial"/>
          <w:sz w:val="22"/>
          <w:lang w:val="es-ES"/>
        </w:rPr>
        <w:t xml:space="preserve">. </w:t>
      </w:r>
    </w:p>
    <w:p w14:paraId="47D70080" w14:textId="4E355AB3" w:rsidR="009A6933" w:rsidRPr="00E67187" w:rsidRDefault="00E842AE" w:rsidP="00F36CEB">
      <w:pPr>
        <w:spacing w:before="120" w:line="276" w:lineRule="auto"/>
        <w:ind w:firstLine="708"/>
        <w:jc w:val="both"/>
        <w:rPr>
          <w:rFonts w:ascii="Arial" w:eastAsia="Calibri" w:hAnsi="Arial" w:cs="Arial"/>
          <w:sz w:val="22"/>
          <w:szCs w:val="22"/>
          <w:lang w:val="es-ES_tradnl"/>
        </w:rPr>
      </w:pPr>
      <w:r w:rsidRPr="00E67187">
        <w:rPr>
          <w:rFonts w:ascii="Arial" w:eastAsia="Calibri" w:hAnsi="Arial" w:cs="Arial"/>
          <w:sz w:val="22"/>
          <w:szCs w:val="22"/>
          <w:lang w:val="es-ES_tradnl"/>
        </w:rPr>
        <w:t>Ninguna de e</w:t>
      </w:r>
      <w:r w:rsidR="004F4F98" w:rsidRPr="00E67187">
        <w:rPr>
          <w:rFonts w:ascii="Arial" w:eastAsia="Calibri" w:hAnsi="Arial" w:cs="Arial"/>
          <w:sz w:val="22"/>
          <w:szCs w:val="22"/>
          <w:lang w:val="es-ES_tradnl"/>
        </w:rPr>
        <w:t>stas normas</w:t>
      </w:r>
      <w:r w:rsidR="00F66685" w:rsidRPr="00E67187">
        <w:rPr>
          <w:rFonts w:ascii="Arial" w:eastAsia="Calibri" w:hAnsi="Arial" w:cs="Arial"/>
          <w:sz w:val="22"/>
          <w:szCs w:val="22"/>
          <w:lang w:val="es-ES_tradnl"/>
        </w:rPr>
        <w:t xml:space="preserve"> indi</w:t>
      </w:r>
      <w:r w:rsidRPr="00E67187">
        <w:rPr>
          <w:rFonts w:ascii="Arial" w:eastAsia="Calibri" w:hAnsi="Arial" w:cs="Arial"/>
          <w:sz w:val="22"/>
          <w:szCs w:val="22"/>
          <w:lang w:val="es-ES_tradnl"/>
        </w:rPr>
        <w:t>ca</w:t>
      </w:r>
      <w:r w:rsidR="00F66685" w:rsidRPr="00E67187">
        <w:rPr>
          <w:rFonts w:ascii="Arial" w:eastAsia="Calibri" w:hAnsi="Arial" w:cs="Arial"/>
          <w:sz w:val="22"/>
          <w:szCs w:val="22"/>
          <w:lang w:val="es-ES_tradnl"/>
        </w:rPr>
        <w:t xml:space="preserve"> que la información relacionada con </w:t>
      </w:r>
      <w:r w:rsidR="00F66685" w:rsidRPr="00E67187">
        <w:rPr>
          <w:rFonts w:ascii="Arial" w:eastAsia="Calibri" w:hAnsi="Arial" w:cs="Arial"/>
          <w:i/>
          <w:iCs/>
          <w:sz w:val="22"/>
          <w:szCs w:val="22"/>
          <w:lang w:val="es-ES_tradnl"/>
        </w:rPr>
        <w:t>«procesos no misionales»</w:t>
      </w:r>
      <w:r w:rsidR="00F66685" w:rsidRPr="00E67187">
        <w:rPr>
          <w:rFonts w:ascii="Arial" w:eastAsia="Calibri" w:hAnsi="Arial" w:cs="Arial"/>
          <w:sz w:val="22"/>
          <w:szCs w:val="22"/>
          <w:lang w:val="es-ES_tradnl"/>
        </w:rPr>
        <w:t xml:space="preserve"> esté relevada del deber de publicidad </w:t>
      </w:r>
      <w:r w:rsidR="006F3AF6" w:rsidRPr="00E67187">
        <w:rPr>
          <w:rFonts w:ascii="Arial" w:eastAsia="Calibri" w:hAnsi="Arial" w:cs="Arial"/>
          <w:sz w:val="22"/>
          <w:szCs w:val="22"/>
          <w:lang w:val="es-ES_tradnl"/>
        </w:rPr>
        <w:t xml:space="preserve">de la información contractual, por lo que, en principio, esta también debe ser objeto de publicación, siempre </w:t>
      </w:r>
      <w:r w:rsidR="00344AF1" w:rsidRPr="00E67187">
        <w:rPr>
          <w:rFonts w:ascii="Arial" w:eastAsia="Calibri" w:hAnsi="Arial" w:cs="Arial"/>
          <w:sz w:val="22"/>
          <w:szCs w:val="22"/>
          <w:lang w:val="es-ES_tradnl"/>
        </w:rPr>
        <w:t xml:space="preserve">encaje en la noción de actividad contractual establecida en las referidas disposiciones. </w:t>
      </w:r>
      <w:r w:rsidR="009A6933" w:rsidRPr="00E67187">
        <w:rPr>
          <w:rFonts w:ascii="Arial" w:eastAsia="Calibri" w:hAnsi="Arial" w:cs="Arial"/>
          <w:sz w:val="22"/>
          <w:lang w:val="es-ES"/>
        </w:rPr>
        <w:t xml:space="preserve">No obstante, tratándose </w:t>
      </w:r>
      <w:r w:rsidR="00783B38" w:rsidRPr="00E67187">
        <w:rPr>
          <w:rFonts w:ascii="Arial" w:eastAsia="Calibri" w:hAnsi="Arial" w:cs="Arial"/>
          <w:sz w:val="22"/>
          <w:lang w:val="es-ES"/>
        </w:rPr>
        <w:t>de</w:t>
      </w:r>
      <w:r w:rsidR="009A6933" w:rsidRPr="00E67187">
        <w:rPr>
          <w:rFonts w:ascii="Arial" w:eastAsia="Calibri" w:hAnsi="Arial" w:cs="Arial"/>
          <w:sz w:val="22"/>
          <w:lang w:val="es-ES"/>
        </w:rPr>
        <w:t xml:space="preserve"> información sometida a reserva o </w:t>
      </w:r>
      <w:r w:rsidR="00783B38" w:rsidRPr="00E67187">
        <w:rPr>
          <w:rFonts w:ascii="Arial" w:eastAsia="Calibri" w:hAnsi="Arial" w:cs="Arial"/>
          <w:sz w:val="22"/>
          <w:lang w:val="es-ES"/>
        </w:rPr>
        <w:t xml:space="preserve">respecto </w:t>
      </w:r>
      <w:r w:rsidR="009A6933" w:rsidRPr="00E67187">
        <w:rPr>
          <w:rFonts w:ascii="Arial" w:eastAsia="Calibri" w:hAnsi="Arial" w:cs="Arial"/>
          <w:sz w:val="22"/>
          <w:lang w:val="es-ES"/>
        </w:rPr>
        <w:t xml:space="preserve">de la cual proceda un tratamiento especial que impida su publicidad, las entidades deberán proceder de conformidad con el tratamiento que impongan </w:t>
      </w:r>
      <w:r w:rsidR="00783B38" w:rsidRPr="00E67187">
        <w:rPr>
          <w:rFonts w:ascii="Arial" w:eastAsia="Calibri" w:hAnsi="Arial" w:cs="Arial"/>
          <w:sz w:val="22"/>
          <w:lang w:val="es-ES"/>
        </w:rPr>
        <w:t xml:space="preserve">las respectivas </w:t>
      </w:r>
      <w:r w:rsidR="009A6933" w:rsidRPr="00E67187">
        <w:rPr>
          <w:rFonts w:ascii="Arial" w:eastAsia="Calibri" w:hAnsi="Arial" w:cs="Arial"/>
          <w:sz w:val="22"/>
          <w:lang w:val="es-ES"/>
        </w:rPr>
        <w:t>normas, absteniéndose, de ser el caso, de publicar documentación contractual o las partes pertinentes en las que se evidencie este tipo de información.</w:t>
      </w:r>
    </w:p>
    <w:p w14:paraId="128911CB" w14:textId="51786C6A" w:rsidR="006F165A" w:rsidRPr="00E67187" w:rsidRDefault="006F3AF6" w:rsidP="006F165A">
      <w:pPr>
        <w:ind w:right="709"/>
        <w:contextualSpacing/>
        <w:jc w:val="both"/>
        <w:rPr>
          <w:rFonts w:ascii="Arial" w:hAnsi="Arial" w:cs="Arial"/>
          <w:sz w:val="21"/>
          <w:szCs w:val="21"/>
          <w:lang w:val="es-ES_tradnl"/>
        </w:rPr>
      </w:pPr>
      <w:r w:rsidRPr="00E67187">
        <w:rPr>
          <w:rFonts w:ascii="Arial" w:eastAsia="Calibri" w:hAnsi="Arial" w:cs="Arial"/>
          <w:sz w:val="22"/>
          <w:szCs w:val="22"/>
          <w:lang w:val="es-ES_tradnl"/>
        </w:rPr>
        <w:t xml:space="preserve"> </w:t>
      </w:r>
      <w:r w:rsidR="004F4F98" w:rsidRPr="00E67187">
        <w:rPr>
          <w:rFonts w:ascii="Arial" w:eastAsia="Calibri" w:hAnsi="Arial" w:cs="Arial"/>
          <w:sz w:val="22"/>
          <w:szCs w:val="22"/>
          <w:lang w:val="es-ES_tradnl"/>
        </w:rPr>
        <w:t xml:space="preserve"> </w:t>
      </w:r>
    </w:p>
    <w:p w14:paraId="4BBB818B" w14:textId="302EE80D" w:rsidR="0045549B" w:rsidRPr="00E67187" w:rsidRDefault="0036243E" w:rsidP="00170309">
      <w:pPr>
        <w:ind w:left="709" w:right="709"/>
        <w:contextualSpacing/>
        <w:jc w:val="both"/>
        <w:rPr>
          <w:rFonts w:ascii="Arial" w:hAnsi="Arial" w:cs="Arial"/>
          <w:sz w:val="21"/>
          <w:szCs w:val="21"/>
        </w:rPr>
      </w:pPr>
      <w:r w:rsidRPr="00E67187">
        <w:rPr>
          <w:rFonts w:ascii="Arial" w:hAnsi="Arial" w:cs="Arial"/>
          <w:sz w:val="21"/>
          <w:szCs w:val="21"/>
          <w:lang w:val="es-ES_tradnl"/>
        </w:rPr>
        <w:lastRenderedPageBreak/>
        <w:t>«</w:t>
      </w:r>
      <w:r w:rsidR="0045549B" w:rsidRPr="00E67187">
        <w:rPr>
          <w:rFonts w:ascii="Arial" w:hAnsi="Arial" w:cs="Arial"/>
          <w:sz w:val="21"/>
          <w:szCs w:val="21"/>
        </w:rPr>
        <w:t>2. Cuando hace referencia a que la publicación debe realizarse en el sistema electrónico para la contratación pública - SECOP II- o quien haga sus veces, frente a esta última afirmación "o quien haga sus veces" quiere decir que si la entidad posee un sistema de contratación electrónica puede usar este como medio para cumplir con la obligación de publicidad de la actividad contractual estimada en el art. 53 de la Ley 2195 de 2022</w:t>
      </w:r>
      <w:r w:rsidR="002B576F" w:rsidRPr="00E67187">
        <w:rPr>
          <w:rFonts w:ascii="Arial" w:hAnsi="Arial" w:cs="Arial"/>
          <w:sz w:val="21"/>
          <w:szCs w:val="21"/>
        </w:rPr>
        <w:t>»</w:t>
      </w:r>
      <w:r w:rsidR="0045549B" w:rsidRPr="00E67187">
        <w:rPr>
          <w:rFonts w:ascii="Arial" w:hAnsi="Arial" w:cs="Arial"/>
          <w:sz w:val="21"/>
          <w:szCs w:val="21"/>
        </w:rPr>
        <w:t>.</w:t>
      </w:r>
    </w:p>
    <w:p w14:paraId="0B067E93" w14:textId="77777777" w:rsidR="00FF5228" w:rsidRPr="00E67187" w:rsidRDefault="00FF5228" w:rsidP="0036243E">
      <w:pPr>
        <w:spacing w:line="276" w:lineRule="auto"/>
        <w:ind w:left="709" w:right="709"/>
        <w:contextualSpacing/>
        <w:jc w:val="both"/>
        <w:rPr>
          <w:rFonts w:ascii="Arial" w:hAnsi="Arial" w:cs="Arial"/>
          <w:sz w:val="21"/>
          <w:szCs w:val="21"/>
          <w:lang w:val="es-ES_tradnl"/>
        </w:rPr>
      </w:pPr>
    </w:p>
    <w:p w14:paraId="43331B94" w14:textId="4E858F80" w:rsidR="00FC7718" w:rsidRPr="00E67187" w:rsidRDefault="00FC7718" w:rsidP="00F36CEB">
      <w:pPr>
        <w:spacing w:after="120" w:line="276" w:lineRule="auto"/>
        <w:ind w:firstLine="709"/>
        <w:jc w:val="both"/>
        <w:rPr>
          <w:rFonts w:ascii="Arial" w:eastAsia="Calibri" w:hAnsi="Arial" w:cs="Arial"/>
          <w:sz w:val="22"/>
          <w:szCs w:val="22"/>
          <w:lang w:val="es-ES_tradnl"/>
        </w:rPr>
      </w:pPr>
      <w:r w:rsidRPr="00E67187">
        <w:rPr>
          <w:rFonts w:ascii="Arial" w:eastAsia="Calibri" w:hAnsi="Arial" w:cs="Arial"/>
          <w:sz w:val="22"/>
          <w:szCs w:val="22"/>
          <w:lang w:val="es-ES_tradnl"/>
        </w:rPr>
        <w:t>La Agencia Nacional de Contratación Pública – Colombia Compra Eficiente considera que lo dispuesto en el artículo 53 respecto de que la obligación se debe cumplir en el SECOP II «o la plataforma transaccional que haga sus veces» debe interpretarse en el sentido en que a pesar de que en la actualidad el SECOP II es la plataforma transaccional vigente en el Estado colombiano, si en el futuro esta es reemplazada por otra que tenga otra denominación, las entidades que tienen un régimen especial de contratación pública deben continuar publicando la documentación de su actividad contractual en la nueva plataforma. Esta Agencia no considera que la disposición analizada, al utilizar la expresión indicada, deba entenderse como que las entidades exceptuadas del Estatuto General de Contratación de la Administración Pública pueden emplear sus páginas web o sus propios portales electrónicos, para realizar, a través de ellos, el procedimiento contractual, pues, precisamente, el artículo 53 de la Ley 2195 de 2022 unifica el régimen de publicidad de las entidades estatales en una sola plataforma, actualmente denominada SECOP II. Con esto se logra que la ciudadanía pueda encontrar en un mismo sistema la gestión de la actividad contractual del Estado, garantizándose en mayor grado la transparencia y el acceso a la documentación pública.</w:t>
      </w:r>
    </w:p>
    <w:p w14:paraId="16735EF0" w14:textId="557280F7" w:rsidR="00EC3CF8" w:rsidRPr="00E67187" w:rsidRDefault="00F91070" w:rsidP="00EC3CF8">
      <w:pPr>
        <w:tabs>
          <w:tab w:val="left" w:pos="0"/>
        </w:tabs>
        <w:spacing w:line="276" w:lineRule="auto"/>
        <w:jc w:val="both"/>
        <w:rPr>
          <w:rFonts w:ascii="Arial" w:eastAsia="Calibri" w:hAnsi="Arial" w:cs="Arial"/>
          <w:sz w:val="22"/>
          <w:lang w:val="es-ES"/>
        </w:rPr>
      </w:pPr>
      <w:r w:rsidRPr="00E67187">
        <w:rPr>
          <w:rFonts w:ascii="Arial" w:eastAsia="Calibri" w:hAnsi="Arial" w:cs="Arial"/>
          <w:sz w:val="22"/>
          <w:szCs w:val="22"/>
          <w:lang w:val="es-ES_tradnl"/>
        </w:rPr>
        <w:tab/>
      </w:r>
      <w:r w:rsidR="00EA0891" w:rsidRPr="00E67187">
        <w:rPr>
          <w:rFonts w:ascii="Arial" w:eastAsia="Calibri" w:hAnsi="Arial" w:cs="Arial"/>
          <w:sz w:val="22"/>
          <w:szCs w:val="22"/>
          <w:lang w:val="es-ES_tradnl"/>
        </w:rPr>
        <w:t xml:space="preserve">Sin perjuicio de lo anterior, </w:t>
      </w:r>
      <w:r w:rsidR="000661B2" w:rsidRPr="00E67187">
        <w:rPr>
          <w:rFonts w:ascii="Arial" w:eastAsia="Calibri" w:hAnsi="Arial" w:cs="Arial"/>
          <w:sz w:val="22"/>
          <w:szCs w:val="22"/>
          <w:lang w:val="es-ES_tradnl"/>
        </w:rPr>
        <w:t xml:space="preserve">a efectos de la consulta planteada, resulta necesario mencionar que la Circular 2 </w:t>
      </w:r>
      <w:r w:rsidR="00E67187" w:rsidRPr="00E67187">
        <w:rPr>
          <w:rFonts w:ascii="Arial" w:eastAsia="Calibri" w:hAnsi="Arial" w:cs="Arial"/>
          <w:sz w:val="22"/>
          <w:szCs w:val="22"/>
          <w:lang w:val="es-ES_tradnl"/>
        </w:rPr>
        <w:t>de</w:t>
      </w:r>
      <w:r w:rsidR="000661B2" w:rsidRPr="00E67187">
        <w:rPr>
          <w:rFonts w:ascii="Arial" w:eastAsia="Calibri" w:hAnsi="Arial" w:cs="Arial"/>
          <w:sz w:val="22"/>
          <w:szCs w:val="22"/>
          <w:lang w:val="es-ES_tradnl"/>
        </w:rPr>
        <w:t xml:space="preserve"> junio de 2022, dictada por el Departamento de Administrativo de la Presidencia de la República señala que </w:t>
      </w:r>
      <w:r w:rsidR="00257031" w:rsidRPr="00E67187">
        <w:rPr>
          <w:rFonts w:ascii="Arial" w:eastAsia="Calibri" w:hAnsi="Arial" w:cs="Arial"/>
          <w:sz w:val="22"/>
          <w:szCs w:val="22"/>
          <w:lang w:val="es-ES_tradnl"/>
        </w:rPr>
        <w:t xml:space="preserve">el </w:t>
      </w:r>
      <w:r w:rsidR="00EC3CF8" w:rsidRPr="00E67187">
        <w:rPr>
          <w:rFonts w:ascii="Arial" w:eastAsia="Calibri" w:hAnsi="Arial" w:cs="Arial"/>
          <w:sz w:val="22"/>
          <w:lang w:val="es-ES"/>
        </w:rPr>
        <w:t>el deber de publicar en la plataforma SECOP II, que se encuentra a cargo de las entidades estatales que por disposición legal cuenten con un régimen contractual excepcional al del Estatuto General de Contratación de la Administración Pública, se realizará por parte de d</w:t>
      </w:r>
      <w:r w:rsidR="00E67187" w:rsidRPr="00E67187">
        <w:rPr>
          <w:rFonts w:ascii="Arial" w:eastAsia="Calibri" w:hAnsi="Arial" w:cs="Arial"/>
          <w:sz w:val="22"/>
          <w:lang w:val="es-ES"/>
        </w:rPr>
        <w:t>i</w:t>
      </w:r>
      <w:r w:rsidR="00EC3CF8" w:rsidRPr="00E67187">
        <w:rPr>
          <w:rFonts w:ascii="Arial" w:eastAsia="Calibri" w:hAnsi="Arial" w:cs="Arial"/>
          <w:sz w:val="22"/>
          <w:lang w:val="es-ES"/>
        </w:rPr>
        <w:t xml:space="preserve">chas entidades de acuerdo con el régimen especial aplicable y sin perjuicio de que, de manera paralela, continúen adelantado la gestión de sus procesos mediante las plataformas electrónicas que tengan dispuestas para el efecto. </w:t>
      </w:r>
    </w:p>
    <w:p w14:paraId="736590F4" w14:textId="77777777" w:rsidR="0045549B" w:rsidRPr="00E67187" w:rsidRDefault="0045549B" w:rsidP="0036243E">
      <w:pPr>
        <w:spacing w:line="276" w:lineRule="auto"/>
        <w:ind w:left="709" w:right="709"/>
        <w:contextualSpacing/>
        <w:jc w:val="both"/>
        <w:rPr>
          <w:rFonts w:ascii="Arial" w:hAnsi="Arial" w:cs="Arial"/>
          <w:sz w:val="21"/>
          <w:szCs w:val="21"/>
        </w:rPr>
      </w:pPr>
    </w:p>
    <w:p w14:paraId="6A47D7B6" w14:textId="2686644C" w:rsidR="009E1C4C" w:rsidRPr="00E67187" w:rsidRDefault="0036243E" w:rsidP="00F36CEB">
      <w:pPr>
        <w:ind w:left="709" w:right="709"/>
        <w:contextualSpacing/>
        <w:jc w:val="both"/>
        <w:rPr>
          <w:rFonts w:ascii="Arial" w:hAnsi="Arial" w:cs="Arial"/>
          <w:sz w:val="21"/>
          <w:szCs w:val="21"/>
        </w:rPr>
      </w:pPr>
      <w:r w:rsidRPr="00E67187">
        <w:rPr>
          <w:rFonts w:ascii="Arial" w:hAnsi="Arial" w:cs="Arial"/>
          <w:sz w:val="21"/>
          <w:szCs w:val="21"/>
          <w:lang w:val="es-ES_tradnl"/>
        </w:rPr>
        <w:t>«</w:t>
      </w:r>
      <w:r w:rsidR="0045549B" w:rsidRPr="00E67187">
        <w:rPr>
          <w:rFonts w:ascii="Arial" w:hAnsi="Arial" w:cs="Arial"/>
          <w:sz w:val="21"/>
          <w:szCs w:val="21"/>
        </w:rPr>
        <w:t xml:space="preserve">3. Siendo la naturaleza del SECOP II netamente transaccional, en donde están establecidos los procedimiento por pasos y procesos, y cada etapa o acción requiere ciertas acciones, por ejemplo: En la etapa del proceso la configuración del cronograma o de las preguntas en el cuestionario, o en el contrato electrónico la firma de las partes. </w:t>
      </w:r>
      <w:proofErr w:type="gramStart"/>
      <w:r w:rsidR="0045549B" w:rsidRPr="00E67187">
        <w:rPr>
          <w:rFonts w:ascii="Arial" w:hAnsi="Arial" w:cs="Arial"/>
          <w:sz w:val="21"/>
          <w:szCs w:val="21"/>
        </w:rPr>
        <w:t>¿ Explicar</w:t>
      </w:r>
      <w:proofErr w:type="gramEnd"/>
      <w:r w:rsidR="0045549B" w:rsidRPr="00E67187">
        <w:rPr>
          <w:rFonts w:ascii="Arial" w:hAnsi="Arial" w:cs="Arial"/>
          <w:sz w:val="21"/>
          <w:szCs w:val="21"/>
        </w:rPr>
        <w:t xml:space="preserve"> por favor, como gestiono la plataforma transaccional SECOP II como una plataforma de publicidad solamente?» (SIC). </w:t>
      </w:r>
    </w:p>
    <w:p w14:paraId="2113CC80" w14:textId="47F8AB54" w:rsidR="00D6059F" w:rsidRPr="00E67187" w:rsidRDefault="00D6059F" w:rsidP="009E1C4C">
      <w:pPr>
        <w:ind w:left="709" w:right="709"/>
        <w:contextualSpacing/>
        <w:jc w:val="both"/>
        <w:rPr>
          <w:rFonts w:ascii="Arial" w:hAnsi="Arial" w:cs="Arial"/>
          <w:sz w:val="22"/>
          <w:lang w:val="es-ES_tradnl"/>
        </w:rPr>
      </w:pPr>
    </w:p>
    <w:p w14:paraId="31D7B4D1" w14:textId="5AEB88B5" w:rsidR="00D17E9C" w:rsidRPr="00E67187" w:rsidRDefault="009E1C4C" w:rsidP="00F36CEB">
      <w:pPr>
        <w:spacing w:after="120" w:line="276" w:lineRule="auto"/>
        <w:jc w:val="both"/>
        <w:rPr>
          <w:rFonts w:ascii="Arial" w:hAnsi="Arial" w:cs="Arial"/>
          <w:sz w:val="22"/>
          <w:szCs w:val="22"/>
        </w:rPr>
      </w:pPr>
      <w:r w:rsidRPr="00E67187">
        <w:rPr>
          <w:rFonts w:ascii="Arial" w:hAnsi="Arial" w:cs="Arial"/>
          <w:sz w:val="22"/>
          <w:lang w:val="es-ES_tradnl"/>
        </w:rPr>
        <w:t xml:space="preserve">De acuerdo con lo expuesto en el numeral </w:t>
      </w:r>
      <w:r w:rsidRPr="00E67187">
        <w:rPr>
          <w:rFonts w:ascii="Arial" w:hAnsi="Arial" w:cs="Arial"/>
          <w:i/>
          <w:iCs/>
          <w:sz w:val="22"/>
          <w:lang w:val="es-ES_tradnl"/>
        </w:rPr>
        <w:t>2.</w:t>
      </w:r>
      <w:r w:rsidR="006D3B47" w:rsidRPr="00E67187">
        <w:rPr>
          <w:rFonts w:ascii="Arial" w:hAnsi="Arial" w:cs="Arial"/>
          <w:sz w:val="22"/>
          <w:lang w:val="es-ES_tradnl"/>
        </w:rPr>
        <w:t>4</w:t>
      </w:r>
      <w:r w:rsidRPr="00E67187">
        <w:rPr>
          <w:rFonts w:ascii="Arial" w:hAnsi="Arial" w:cs="Arial"/>
          <w:i/>
          <w:iCs/>
          <w:sz w:val="22"/>
          <w:lang w:val="es-ES_tradnl"/>
        </w:rPr>
        <w:t xml:space="preserve"> </w:t>
      </w:r>
      <w:r w:rsidRPr="00E67187">
        <w:rPr>
          <w:rFonts w:ascii="Arial" w:hAnsi="Arial" w:cs="Arial"/>
          <w:sz w:val="22"/>
          <w:lang w:val="es-ES_tradnl"/>
        </w:rPr>
        <w:t xml:space="preserve">del presente concepto, el SECOP II cuenta con dos módulos para uso de </w:t>
      </w:r>
      <w:r w:rsidRPr="00E67187">
        <w:rPr>
          <w:rFonts w:ascii="Arial" w:eastAsia="Calibri" w:hAnsi="Arial" w:cs="Arial"/>
          <w:sz w:val="22"/>
          <w:szCs w:val="22"/>
          <w:lang w:val="es-ES_tradnl"/>
        </w:rPr>
        <w:t xml:space="preserve">las entidades estatales con régimen especial, </w:t>
      </w:r>
      <w:r w:rsidRPr="00E67187">
        <w:rPr>
          <w:rFonts w:ascii="Arial" w:eastAsia="Calibri" w:hAnsi="Arial" w:cs="Arial"/>
          <w:i/>
          <w:sz w:val="22"/>
          <w:szCs w:val="22"/>
          <w:lang w:val="es-ES"/>
        </w:rPr>
        <w:t>i)</w:t>
      </w:r>
      <w:r w:rsidRPr="00E67187">
        <w:rPr>
          <w:rFonts w:ascii="Arial" w:eastAsia="Calibri" w:hAnsi="Arial" w:cs="Arial"/>
          <w:iCs/>
          <w:sz w:val="22"/>
          <w:szCs w:val="22"/>
          <w:lang w:val="es-ES"/>
        </w:rPr>
        <w:t xml:space="preserve"> </w:t>
      </w:r>
      <w:r w:rsidRPr="00E67187">
        <w:rPr>
          <w:rFonts w:ascii="Arial" w:eastAsia="Calibri" w:hAnsi="Arial" w:cs="Arial"/>
          <w:i/>
          <w:sz w:val="22"/>
          <w:szCs w:val="22"/>
          <w:lang w:val="es-ES"/>
        </w:rPr>
        <w:t xml:space="preserve">Contratación </w:t>
      </w:r>
      <w:r w:rsidRPr="00E67187">
        <w:rPr>
          <w:rFonts w:ascii="Arial" w:eastAsia="Calibri" w:hAnsi="Arial" w:cs="Arial"/>
          <w:i/>
          <w:sz w:val="22"/>
          <w:szCs w:val="22"/>
          <w:lang w:val="es-ES"/>
        </w:rPr>
        <w:lastRenderedPageBreak/>
        <w:t>Régimen Especial (Con Ofertas) y ii) Contratación Régimen Especial (Sin ofertas</w:t>
      </w:r>
      <w:r w:rsidR="00226416" w:rsidRPr="00E67187">
        <w:rPr>
          <w:rFonts w:ascii="Arial" w:eastAsia="Calibri" w:hAnsi="Arial" w:cs="Arial"/>
          <w:i/>
          <w:sz w:val="22"/>
          <w:szCs w:val="22"/>
          <w:lang w:val="es-ES"/>
        </w:rPr>
        <w:t xml:space="preserve">). </w:t>
      </w:r>
      <w:r w:rsidR="00226416" w:rsidRPr="00E67187">
        <w:rPr>
          <w:rFonts w:ascii="Arial" w:eastAsia="Calibri" w:hAnsi="Arial" w:cs="Arial"/>
          <w:iCs/>
          <w:sz w:val="22"/>
          <w:szCs w:val="22"/>
          <w:lang w:val="es-ES"/>
        </w:rPr>
        <w:t xml:space="preserve">El primero de estos permite adelantar el proceso de contratación de manera transaccional, </w:t>
      </w:r>
      <w:r w:rsidR="00226416" w:rsidRPr="00E67187">
        <w:rPr>
          <w:rFonts w:ascii="Arial" w:hAnsi="Arial" w:cs="Arial"/>
          <w:sz w:val="22"/>
          <w:szCs w:val="22"/>
        </w:rPr>
        <w:t xml:space="preserve">realizar invitaciones públicas, estructurar y publicar el proceso, recibir observaciones y ofertas de los proponentes en línea, adjudicar y generar su contrato electrónico, así como realizar la gestión contractual a través de la plataforma. Por su parte, el módulo de </w:t>
      </w:r>
      <w:r w:rsidR="00226416" w:rsidRPr="00E67187">
        <w:rPr>
          <w:rFonts w:ascii="Arial" w:hAnsi="Arial" w:cs="Arial"/>
          <w:i/>
          <w:iCs/>
          <w:sz w:val="22"/>
          <w:szCs w:val="22"/>
        </w:rPr>
        <w:t>Contratación</w:t>
      </w:r>
      <w:r w:rsidR="00226416" w:rsidRPr="00E67187">
        <w:rPr>
          <w:rFonts w:ascii="Arial" w:hAnsi="Arial" w:cs="Arial"/>
          <w:sz w:val="22"/>
          <w:szCs w:val="22"/>
        </w:rPr>
        <w:t xml:space="preserve"> </w:t>
      </w:r>
      <w:r w:rsidR="00226416" w:rsidRPr="00E67187">
        <w:rPr>
          <w:rFonts w:ascii="Arial" w:hAnsi="Arial" w:cs="Arial"/>
          <w:i/>
          <w:iCs/>
          <w:sz w:val="22"/>
          <w:szCs w:val="22"/>
        </w:rPr>
        <w:t>Régimen especial (Sin ofertas)</w:t>
      </w:r>
      <w:r w:rsidR="00226416" w:rsidRPr="00E67187">
        <w:rPr>
          <w:rFonts w:ascii="Arial" w:hAnsi="Arial" w:cs="Arial"/>
          <w:sz w:val="22"/>
          <w:szCs w:val="22"/>
        </w:rPr>
        <w:t xml:space="preserve"> permite estructurar los procesos de contratación, publicar documentos generados por fuera de la plataforma y realizar la gestión contractual en línea. </w:t>
      </w:r>
    </w:p>
    <w:p w14:paraId="6157931B" w14:textId="3D824DD5" w:rsidR="00226416" w:rsidRPr="00E67187" w:rsidRDefault="00AA5F5A">
      <w:pPr>
        <w:spacing w:line="276" w:lineRule="auto"/>
        <w:ind w:firstLine="708"/>
        <w:jc w:val="both"/>
        <w:rPr>
          <w:rFonts w:ascii="Arial" w:hAnsi="Arial" w:cs="Arial"/>
          <w:sz w:val="22"/>
          <w:szCs w:val="22"/>
          <w:lang w:val="es-ES" w:eastAsia="es-ES"/>
        </w:rPr>
      </w:pPr>
      <w:r w:rsidRPr="00E67187">
        <w:rPr>
          <w:rFonts w:ascii="Arial" w:eastAsia="Calibri" w:hAnsi="Arial" w:cs="Arial"/>
          <w:iCs/>
          <w:sz w:val="22"/>
          <w:szCs w:val="22"/>
          <w:lang w:val="es-ES"/>
        </w:rPr>
        <w:t xml:space="preserve">Las entidades pueden optar por cualquiera de estos módulos para dar cumplimiento al artículo 53 de la Ley 2195 de 2022, toda vez </w:t>
      </w:r>
      <w:r w:rsidR="00226416" w:rsidRPr="00E67187">
        <w:rPr>
          <w:rFonts w:ascii="Arial" w:eastAsia="Calibri" w:hAnsi="Arial" w:cs="Arial"/>
          <w:iCs/>
          <w:sz w:val="22"/>
          <w:szCs w:val="22"/>
          <w:lang w:val="es-ES"/>
        </w:rPr>
        <w:t xml:space="preserve">que </w:t>
      </w:r>
      <w:r w:rsidRPr="00E67187">
        <w:rPr>
          <w:rFonts w:ascii="Arial" w:eastAsia="Calibri" w:hAnsi="Arial" w:cs="Arial"/>
          <w:iCs/>
          <w:sz w:val="22"/>
          <w:szCs w:val="22"/>
          <w:lang w:val="es-ES"/>
        </w:rPr>
        <w:t>ambos</w:t>
      </w:r>
      <w:r w:rsidR="00226416" w:rsidRPr="00E67187">
        <w:rPr>
          <w:rFonts w:ascii="Arial" w:eastAsia="Calibri" w:hAnsi="Arial" w:cs="Arial"/>
          <w:iCs/>
          <w:sz w:val="22"/>
          <w:szCs w:val="22"/>
          <w:lang w:val="es-ES"/>
        </w:rPr>
        <w:t xml:space="preserve"> permiten realizar el cargue de los documentos e información producida con ocasión de los procesos de contratación</w:t>
      </w:r>
      <w:r w:rsidRPr="00E67187">
        <w:rPr>
          <w:rFonts w:ascii="Arial" w:eastAsia="Calibri" w:hAnsi="Arial" w:cs="Arial"/>
          <w:iCs/>
          <w:sz w:val="22"/>
          <w:szCs w:val="22"/>
          <w:lang w:val="es-ES"/>
        </w:rPr>
        <w:t>,</w:t>
      </w:r>
      <w:r w:rsidR="00226416" w:rsidRPr="00E67187">
        <w:rPr>
          <w:rFonts w:ascii="Arial" w:eastAsia="Calibri" w:hAnsi="Arial" w:cs="Arial"/>
          <w:iCs/>
          <w:sz w:val="22"/>
          <w:szCs w:val="22"/>
          <w:lang w:val="es-ES"/>
        </w:rPr>
        <w:t xml:space="preserve"> </w:t>
      </w:r>
      <w:r w:rsidR="00226416" w:rsidRPr="00E67187">
        <w:rPr>
          <w:rFonts w:ascii="Arial" w:hAnsi="Arial" w:cs="Arial"/>
          <w:sz w:val="22"/>
          <w:szCs w:val="22"/>
          <w:shd w:val="clear" w:color="auto" w:fill="FFFFFF"/>
          <w:lang w:val="es-MX"/>
        </w:rPr>
        <w:t>cargándol</w:t>
      </w:r>
      <w:r w:rsidRPr="00E67187">
        <w:rPr>
          <w:rFonts w:ascii="Arial" w:hAnsi="Arial" w:cs="Arial"/>
          <w:sz w:val="22"/>
          <w:szCs w:val="22"/>
          <w:shd w:val="clear" w:color="auto" w:fill="FFFFFF"/>
          <w:lang w:val="es-MX"/>
        </w:rPr>
        <w:t>a</w:t>
      </w:r>
      <w:r w:rsidR="00226416" w:rsidRPr="00E67187">
        <w:rPr>
          <w:rFonts w:ascii="Arial" w:hAnsi="Arial" w:cs="Arial"/>
          <w:sz w:val="22"/>
          <w:szCs w:val="22"/>
          <w:shd w:val="clear" w:color="auto" w:fill="FFFFFF"/>
          <w:lang w:val="es-MX"/>
        </w:rPr>
        <w:t xml:space="preserve"> dentro de los </w:t>
      </w:r>
      <w:r w:rsidR="00226416" w:rsidRPr="00E67187">
        <w:rPr>
          <w:rFonts w:ascii="Arial" w:hAnsi="Arial" w:cs="Arial"/>
          <w:i/>
          <w:iCs/>
          <w:sz w:val="22"/>
          <w:szCs w:val="22"/>
          <w:shd w:val="clear" w:color="auto" w:fill="FFFFFF"/>
          <w:lang w:val="es-MX"/>
        </w:rPr>
        <w:t>documentos de ejecución</w:t>
      </w:r>
      <w:r w:rsidR="00226416" w:rsidRPr="00E67187">
        <w:rPr>
          <w:rFonts w:ascii="Arial" w:hAnsi="Arial" w:cs="Arial"/>
          <w:sz w:val="22"/>
          <w:szCs w:val="22"/>
          <w:shd w:val="clear" w:color="auto" w:fill="FFFFFF"/>
          <w:lang w:val="es-MX"/>
        </w:rPr>
        <w:t>, en la etapa precontractual del SECOP II [«Etapa de Proceso»].</w:t>
      </w:r>
      <w:r w:rsidR="00226416" w:rsidRPr="00E67187">
        <w:rPr>
          <w:rFonts w:ascii="Arial" w:eastAsia="Calibri" w:hAnsi="Arial" w:cs="Arial"/>
          <w:iCs/>
          <w:sz w:val="22"/>
          <w:szCs w:val="22"/>
          <w:lang w:val="es-ES"/>
        </w:rPr>
        <w:t xml:space="preserve"> </w:t>
      </w:r>
      <w:r w:rsidR="00226416" w:rsidRPr="00E67187">
        <w:rPr>
          <w:rFonts w:ascii="Arial" w:hAnsi="Arial" w:cs="Arial"/>
          <w:sz w:val="22"/>
          <w:szCs w:val="22"/>
          <w:lang w:val="es-ES" w:eastAsia="es-ES"/>
        </w:rPr>
        <w:t xml:space="preserve">Si decide utilizar el SECOP II como herramienta de publicidad, es decir, mediante el módulo </w:t>
      </w:r>
      <w:r w:rsidR="00226416" w:rsidRPr="00E67187">
        <w:rPr>
          <w:rFonts w:ascii="Arial" w:hAnsi="Arial" w:cs="Arial"/>
          <w:i/>
          <w:iCs/>
          <w:sz w:val="22"/>
          <w:szCs w:val="22"/>
          <w:lang w:val="es-ES" w:eastAsia="es-ES"/>
        </w:rPr>
        <w:t>Contratación Régimen Especial (sin ofertas)</w:t>
      </w:r>
      <w:r w:rsidR="00226416" w:rsidRPr="00E67187">
        <w:rPr>
          <w:rFonts w:ascii="Arial" w:hAnsi="Arial" w:cs="Arial"/>
          <w:sz w:val="22"/>
          <w:szCs w:val="22"/>
          <w:lang w:val="es-ES" w:eastAsia="es-ES"/>
        </w:rPr>
        <w:t>, la publicación de los documentos de gestión contractual incluido el contrato firmado físicamente debe realizarse mediante la sección</w:t>
      </w:r>
      <w:r w:rsidR="00226416" w:rsidRPr="00E67187">
        <w:rPr>
          <w:rFonts w:ascii="Arial" w:hAnsi="Arial" w:cs="Arial"/>
          <w:i/>
          <w:iCs/>
          <w:sz w:val="22"/>
          <w:szCs w:val="22"/>
          <w:lang w:val="es-ES" w:eastAsia="es-ES"/>
        </w:rPr>
        <w:t xml:space="preserve"> «Modificaciones/Adendas»</w:t>
      </w:r>
      <w:r w:rsidR="00226416" w:rsidRPr="00E67187">
        <w:rPr>
          <w:rFonts w:ascii="Arial" w:hAnsi="Arial" w:cs="Arial"/>
          <w:sz w:val="22"/>
          <w:szCs w:val="22"/>
          <w:lang w:val="es-ES" w:eastAsia="es-ES"/>
        </w:rPr>
        <w:t xml:space="preserve">. Al hacer uso de esta opción esta opción, se debe procurar no dar clic en </w:t>
      </w:r>
      <w:r w:rsidR="00226416" w:rsidRPr="00E67187">
        <w:rPr>
          <w:rFonts w:ascii="Arial" w:hAnsi="Arial" w:cs="Arial"/>
          <w:i/>
          <w:iCs/>
          <w:sz w:val="22"/>
          <w:szCs w:val="22"/>
          <w:lang w:val="es-ES" w:eastAsia="es-ES"/>
        </w:rPr>
        <w:t>«Finalizar»</w:t>
      </w:r>
      <w:r w:rsidR="00226416" w:rsidRPr="00E67187">
        <w:rPr>
          <w:rFonts w:ascii="Arial" w:hAnsi="Arial" w:cs="Arial"/>
          <w:sz w:val="22"/>
          <w:szCs w:val="22"/>
          <w:lang w:val="es-ES" w:eastAsia="es-ES"/>
        </w:rPr>
        <w:t xml:space="preserve">, en tanto que la plataforma cierra el expediente y no permite la publicación posterior de ningún documento. </w:t>
      </w:r>
    </w:p>
    <w:p w14:paraId="6D8C054E" w14:textId="72191EDC" w:rsidR="008706E2" w:rsidRPr="00E67187" w:rsidRDefault="008706E2" w:rsidP="00F36CEB">
      <w:pPr>
        <w:spacing w:before="120" w:line="276" w:lineRule="auto"/>
        <w:jc w:val="both"/>
        <w:rPr>
          <w:rFonts w:ascii="Arial" w:hAnsi="Arial" w:cs="Arial"/>
          <w:sz w:val="22"/>
          <w:lang w:eastAsia="es-ES"/>
        </w:rPr>
      </w:pPr>
      <w:r w:rsidRPr="00E67187">
        <w:rPr>
          <w:rFonts w:ascii="Arial" w:eastAsia="Calibri" w:hAnsi="Arial" w:cs="Arial"/>
          <w:b/>
          <w:bCs/>
          <w:sz w:val="22"/>
          <w:szCs w:val="22"/>
          <w:lang w:val="es-ES"/>
        </w:rPr>
        <w:tab/>
      </w:r>
      <w:r w:rsidRPr="00E67187">
        <w:rPr>
          <w:rFonts w:ascii="Arial" w:hAnsi="Arial" w:cs="Arial"/>
          <w:sz w:val="22"/>
          <w:szCs w:val="22"/>
          <w:lang w:eastAsia="es-ES"/>
        </w:rPr>
        <w:t xml:space="preserve">Por último, </w:t>
      </w:r>
      <w:r w:rsidR="0009315C" w:rsidRPr="00E67187">
        <w:rPr>
          <w:rFonts w:ascii="Arial" w:hAnsi="Arial" w:cs="Arial"/>
          <w:sz w:val="22"/>
          <w:szCs w:val="22"/>
          <w:lang w:eastAsia="es-ES"/>
        </w:rPr>
        <w:t xml:space="preserve">le informamos que la Agencia tiene dispuesta una oferta de capacitaciones </w:t>
      </w:r>
      <w:r w:rsidR="00B533A3" w:rsidRPr="00E67187">
        <w:rPr>
          <w:rFonts w:ascii="Arial" w:hAnsi="Arial" w:cs="Arial"/>
          <w:sz w:val="22"/>
          <w:szCs w:val="22"/>
          <w:lang w:eastAsia="es-ES"/>
        </w:rPr>
        <w:t xml:space="preserve">generales </w:t>
      </w:r>
      <w:r w:rsidR="00490F9B" w:rsidRPr="00E67187">
        <w:rPr>
          <w:rFonts w:ascii="Arial" w:hAnsi="Arial" w:cs="Arial"/>
          <w:sz w:val="22"/>
          <w:szCs w:val="22"/>
          <w:lang w:eastAsia="es-ES"/>
        </w:rPr>
        <w:t xml:space="preserve">sobre el funcionamiento de la plataforma </w:t>
      </w:r>
      <w:r w:rsidR="0009315C" w:rsidRPr="00E67187">
        <w:rPr>
          <w:rFonts w:ascii="Arial" w:hAnsi="Arial" w:cs="Arial"/>
          <w:sz w:val="22"/>
          <w:szCs w:val="22"/>
          <w:lang w:eastAsia="es-ES"/>
        </w:rPr>
        <w:t xml:space="preserve">para </w:t>
      </w:r>
      <w:r w:rsidRPr="00E67187">
        <w:rPr>
          <w:rFonts w:ascii="Arial" w:hAnsi="Arial" w:cs="Arial"/>
          <w:sz w:val="22"/>
          <w:szCs w:val="22"/>
        </w:rPr>
        <w:t xml:space="preserve">las entidades </w:t>
      </w:r>
      <w:r w:rsidRPr="00E67187">
        <w:rPr>
          <w:rFonts w:ascii="Arial" w:hAnsi="Arial" w:cs="Arial"/>
          <w:sz w:val="22"/>
          <w:szCs w:val="22"/>
          <w:lang w:val="es-ES"/>
        </w:rPr>
        <w:t>que cuentan con un régimen especial de contratación</w:t>
      </w:r>
      <w:r w:rsidR="00E50A0F" w:rsidRPr="00E67187">
        <w:rPr>
          <w:rFonts w:ascii="Arial" w:hAnsi="Arial" w:cs="Arial"/>
          <w:sz w:val="22"/>
          <w:szCs w:val="22"/>
          <w:lang w:val="es-ES"/>
        </w:rPr>
        <w:t xml:space="preserve">, las cuales se realizan de manera pública a través de Microsoft </w:t>
      </w:r>
      <w:proofErr w:type="spellStart"/>
      <w:r w:rsidR="00E50A0F" w:rsidRPr="00E67187">
        <w:rPr>
          <w:rFonts w:ascii="Arial" w:hAnsi="Arial" w:cs="Arial"/>
          <w:sz w:val="22"/>
          <w:szCs w:val="22"/>
          <w:lang w:val="es-ES"/>
        </w:rPr>
        <w:t>Teams</w:t>
      </w:r>
      <w:proofErr w:type="spellEnd"/>
      <w:r w:rsidR="00E50A0F" w:rsidRPr="00E67187">
        <w:rPr>
          <w:rFonts w:ascii="Arial" w:hAnsi="Arial" w:cs="Arial"/>
          <w:sz w:val="22"/>
          <w:szCs w:val="22"/>
          <w:lang w:val="es-ES"/>
        </w:rPr>
        <w:t xml:space="preserve"> y a las cuales se puede acceder a través del siguiente enlace: </w:t>
      </w:r>
      <w:hyperlink r:id="rId13" w:history="1">
        <w:r w:rsidR="00E50A0F" w:rsidRPr="00E67187">
          <w:rPr>
            <w:rStyle w:val="Hipervnculo"/>
            <w:rFonts w:ascii="Arial" w:hAnsi="Arial" w:cs="Arial"/>
            <w:color w:val="auto"/>
            <w:sz w:val="22"/>
            <w:szCs w:val="22"/>
            <w:lang w:val="es-ES"/>
          </w:rPr>
          <w:t>https://www.colombiacompra.gov.co/ciudadanos/calendario/</w:t>
        </w:r>
      </w:hyperlink>
      <w:r w:rsidR="00E50A0F" w:rsidRPr="00E67187">
        <w:rPr>
          <w:rFonts w:ascii="Arial" w:hAnsi="Arial" w:cs="Arial"/>
          <w:sz w:val="22"/>
          <w:szCs w:val="22"/>
          <w:lang w:val="es-ES"/>
        </w:rPr>
        <w:t>.</w:t>
      </w:r>
      <w:r w:rsidR="006C23D7" w:rsidRPr="00E67187">
        <w:rPr>
          <w:rFonts w:ascii="Arial" w:hAnsi="Arial" w:cs="Arial"/>
          <w:sz w:val="22"/>
          <w:szCs w:val="22"/>
          <w:lang w:val="es-ES"/>
        </w:rPr>
        <w:t xml:space="preserve"> Adicionalmente, la Agencia </w:t>
      </w:r>
      <w:r w:rsidR="00B533A3" w:rsidRPr="00E67187">
        <w:rPr>
          <w:rFonts w:ascii="Arial" w:hAnsi="Arial" w:cs="Arial"/>
          <w:sz w:val="22"/>
          <w:szCs w:val="22"/>
          <w:lang w:val="es-ES"/>
        </w:rPr>
        <w:t>también</w:t>
      </w:r>
      <w:r w:rsidR="00C97C7D" w:rsidRPr="00E67187">
        <w:rPr>
          <w:rFonts w:ascii="Arial" w:hAnsi="Arial" w:cs="Arial"/>
          <w:sz w:val="22"/>
          <w:szCs w:val="22"/>
          <w:lang w:val="es-ES"/>
        </w:rPr>
        <w:t xml:space="preserve"> brinda</w:t>
      </w:r>
      <w:r w:rsidR="006C23D7" w:rsidRPr="00E67187">
        <w:rPr>
          <w:rFonts w:ascii="Arial" w:hAnsi="Arial" w:cs="Arial"/>
          <w:sz w:val="22"/>
          <w:szCs w:val="22"/>
          <w:lang w:val="es-ES"/>
        </w:rPr>
        <w:t xml:space="preserve"> </w:t>
      </w:r>
      <w:r w:rsidR="00C97C7D" w:rsidRPr="00E67187">
        <w:rPr>
          <w:rFonts w:ascii="Arial" w:hAnsi="Arial" w:cs="Arial"/>
          <w:sz w:val="22"/>
          <w:szCs w:val="22"/>
        </w:rPr>
        <w:t xml:space="preserve">el </w:t>
      </w:r>
      <w:r w:rsidRPr="00E67187">
        <w:rPr>
          <w:rFonts w:ascii="Arial" w:hAnsi="Arial" w:cs="Arial"/>
          <w:sz w:val="22"/>
          <w:szCs w:val="22"/>
        </w:rPr>
        <w:t>servicio de capacitaci</w:t>
      </w:r>
      <w:r w:rsidR="00B533A3" w:rsidRPr="00E67187">
        <w:rPr>
          <w:rFonts w:ascii="Arial" w:hAnsi="Arial" w:cs="Arial"/>
          <w:sz w:val="22"/>
          <w:szCs w:val="22"/>
        </w:rPr>
        <w:t>ones virtuales</w:t>
      </w:r>
      <w:r w:rsidR="00C97C7D" w:rsidRPr="00E67187">
        <w:rPr>
          <w:rFonts w:ascii="Arial" w:hAnsi="Arial" w:cs="Arial"/>
          <w:sz w:val="22"/>
          <w:szCs w:val="22"/>
        </w:rPr>
        <w:t xml:space="preserve"> </w:t>
      </w:r>
      <w:r w:rsidRPr="00E67187">
        <w:rPr>
          <w:rFonts w:ascii="Arial" w:hAnsi="Arial" w:cs="Arial"/>
          <w:sz w:val="22"/>
          <w:szCs w:val="22"/>
        </w:rPr>
        <w:t>personalizad</w:t>
      </w:r>
      <w:r w:rsidR="00C97C7D" w:rsidRPr="00E67187">
        <w:rPr>
          <w:rFonts w:ascii="Arial" w:hAnsi="Arial" w:cs="Arial"/>
          <w:sz w:val="22"/>
          <w:szCs w:val="22"/>
        </w:rPr>
        <w:t>a</w:t>
      </w:r>
      <w:r w:rsidR="00B533A3" w:rsidRPr="00E67187">
        <w:rPr>
          <w:rFonts w:ascii="Arial" w:hAnsi="Arial" w:cs="Arial"/>
          <w:sz w:val="22"/>
          <w:szCs w:val="22"/>
        </w:rPr>
        <w:t>s</w:t>
      </w:r>
      <w:r w:rsidR="00C97C7D" w:rsidRPr="00E67187">
        <w:rPr>
          <w:rFonts w:ascii="Arial" w:hAnsi="Arial" w:cs="Arial"/>
          <w:sz w:val="22"/>
          <w:szCs w:val="22"/>
        </w:rPr>
        <w:t xml:space="preserve"> a las entidades que lo requieran, para lo cual es necesario </w:t>
      </w:r>
      <w:r w:rsidR="00C97C7D" w:rsidRPr="00E67187">
        <w:rPr>
          <w:rFonts w:ascii="Arial" w:hAnsi="Arial" w:cs="Arial"/>
          <w:sz w:val="22"/>
          <w:szCs w:val="22"/>
          <w:lang w:eastAsia="es-ES"/>
        </w:rPr>
        <w:t>enviar la respectiva solicitud</w:t>
      </w:r>
      <w:r w:rsidRPr="00E67187">
        <w:rPr>
          <w:rFonts w:ascii="Arial" w:hAnsi="Arial" w:cs="Arial"/>
          <w:sz w:val="22"/>
          <w:szCs w:val="22"/>
          <w:lang w:eastAsia="es-ES"/>
        </w:rPr>
        <w:t xml:space="preserve"> al correo electrónico </w:t>
      </w:r>
      <w:hyperlink r:id="rId14" w:history="1">
        <w:r w:rsidRPr="00E67187">
          <w:rPr>
            <w:rStyle w:val="Hipervnculo"/>
            <w:rFonts w:ascii="Arial" w:hAnsi="Arial" w:cs="Arial"/>
            <w:color w:val="auto"/>
            <w:sz w:val="22"/>
            <w:szCs w:val="22"/>
          </w:rPr>
          <w:t>secopii@colombiacompra.gov.co</w:t>
        </w:r>
      </w:hyperlink>
      <w:r w:rsidRPr="00E67187">
        <w:rPr>
          <w:rFonts w:ascii="Arial" w:hAnsi="Arial" w:cs="Arial"/>
          <w:sz w:val="22"/>
          <w:szCs w:val="22"/>
          <w:lang w:eastAsia="es-ES"/>
        </w:rPr>
        <w:t xml:space="preserve"> </w:t>
      </w:r>
      <w:r w:rsidR="00C97C7D" w:rsidRPr="00E67187">
        <w:rPr>
          <w:rFonts w:ascii="Arial" w:hAnsi="Arial" w:cs="Arial"/>
          <w:sz w:val="22"/>
          <w:szCs w:val="22"/>
          <w:lang w:eastAsia="es-ES"/>
        </w:rPr>
        <w:t xml:space="preserve">incluyendo </w:t>
      </w:r>
      <w:r w:rsidRPr="00E67187">
        <w:rPr>
          <w:rFonts w:ascii="Arial" w:hAnsi="Arial" w:cs="Arial"/>
          <w:sz w:val="22"/>
          <w:szCs w:val="22"/>
          <w:lang w:eastAsia="es-ES"/>
        </w:rPr>
        <w:t>los siguientes datos de la persona que</w:t>
      </w:r>
      <w:r w:rsidR="00B533A3" w:rsidRPr="00E67187">
        <w:rPr>
          <w:rFonts w:ascii="Arial" w:hAnsi="Arial" w:cs="Arial"/>
          <w:sz w:val="22"/>
          <w:szCs w:val="22"/>
          <w:lang w:eastAsia="es-ES"/>
        </w:rPr>
        <w:t xml:space="preserve"> se</w:t>
      </w:r>
      <w:r w:rsidRPr="00E67187">
        <w:rPr>
          <w:rFonts w:ascii="Arial" w:hAnsi="Arial" w:cs="Arial"/>
          <w:sz w:val="22"/>
          <w:szCs w:val="22"/>
          <w:lang w:eastAsia="es-ES"/>
        </w:rPr>
        <w:t xml:space="preserve"> designe </w:t>
      </w:r>
      <w:r w:rsidR="00B533A3" w:rsidRPr="00E67187">
        <w:rPr>
          <w:rFonts w:ascii="Arial" w:hAnsi="Arial" w:cs="Arial"/>
          <w:sz w:val="22"/>
          <w:szCs w:val="22"/>
          <w:lang w:eastAsia="es-ES"/>
        </w:rPr>
        <w:t>para</w:t>
      </w:r>
      <w:r w:rsidRPr="00E67187">
        <w:rPr>
          <w:rFonts w:ascii="Arial" w:hAnsi="Arial" w:cs="Arial"/>
          <w:sz w:val="22"/>
          <w:szCs w:val="22"/>
          <w:lang w:eastAsia="es-ES"/>
        </w:rPr>
        <w:t xml:space="preserve"> coordinar l</w:t>
      </w:r>
      <w:r w:rsidR="00B533A3" w:rsidRPr="00E67187">
        <w:rPr>
          <w:rFonts w:ascii="Arial" w:hAnsi="Arial" w:cs="Arial"/>
          <w:sz w:val="22"/>
          <w:szCs w:val="22"/>
          <w:lang w:eastAsia="es-ES"/>
        </w:rPr>
        <w:t>os aspectos logísticos</w:t>
      </w:r>
      <w:r w:rsidRPr="00E67187">
        <w:rPr>
          <w:rFonts w:ascii="Arial" w:hAnsi="Arial" w:cs="Arial"/>
          <w:sz w:val="22"/>
          <w:szCs w:val="22"/>
          <w:lang w:eastAsia="es-ES"/>
        </w:rPr>
        <w:t xml:space="preserve"> </w:t>
      </w:r>
      <w:r w:rsidR="00B533A3" w:rsidRPr="00E67187">
        <w:rPr>
          <w:rFonts w:ascii="Arial" w:hAnsi="Arial" w:cs="Arial"/>
          <w:sz w:val="22"/>
          <w:szCs w:val="22"/>
          <w:lang w:eastAsia="es-ES"/>
        </w:rPr>
        <w:t xml:space="preserve">de </w:t>
      </w:r>
      <w:r w:rsidRPr="00E67187">
        <w:rPr>
          <w:rFonts w:ascii="Arial" w:hAnsi="Arial" w:cs="Arial"/>
          <w:sz w:val="22"/>
          <w:szCs w:val="22"/>
          <w:lang w:eastAsia="es-ES"/>
        </w:rPr>
        <w:t>capacitación</w:t>
      </w:r>
      <w:r w:rsidR="00B533A3" w:rsidRPr="00E67187">
        <w:rPr>
          <w:rFonts w:ascii="Arial" w:hAnsi="Arial" w:cs="Arial"/>
          <w:sz w:val="22"/>
          <w:szCs w:val="22"/>
          <w:lang w:eastAsia="es-ES"/>
        </w:rPr>
        <w:t>:</w:t>
      </w:r>
      <w:r w:rsidRPr="00E67187">
        <w:rPr>
          <w:rFonts w:ascii="Arial" w:hAnsi="Arial" w:cs="Arial"/>
          <w:sz w:val="22"/>
          <w:szCs w:val="22"/>
          <w:lang w:eastAsia="es-ES"/>
        </w:rPr>
        <w:t xml:space="preserve"> </w:t>
      </w:r>
      <w:r w:rsidR="00490F9B" w:rsidRPr="00E67187">
        <w:rPr>
          <w:rFonts w:ascii="Arial" w:hAnsi="Arial" w:cs="Arial"/>
          <w:sz w:val="22"/>
          <w:szCs w:val="22"/>
          <w:lang w:eastAsia="es-ES"/>
        </w:rPr>
        <w:t>n</w:t>
      </w:r>
      <w:r w:rsidRPr="00E67187">
        <w:rPr>
          <w:rFonts w:ascii="Arial" w:hAnsi="Arial" w:cs="Arial"/>
          <w:sz w:val="22"/>
          <w:szCs w:val="22"/>
          <w:lang w:eastAsia="es-ES"/>
        </w:rPr>
        <w:t>ombre completo</w:t>
      </w:r>
      <w:r w:rsidR="00490F9B" w:rsidRPr="00E67187">
        <w:rPr>
          <w:rFonts w:ascii="Arial" w:hAnsi="Arial" w:cs="Arial"/>
          <w:sz w:val="22"/>
          <w:szCs w:val="22"/>
          <w:lang w:eastAsia="es-ES"/>
        </w:rPr>
        <w:t>, c</w:t>
      </w:r>
      <w:r w:rsidRPr="00E67187">
        <w:rPr>
          <w:rFonts w:ascii="Arial" w:hAnsi="Arial" w:cs="Arial"/>
          <w:sz w:val="22"/>
          <w:szCs w:val="22"/>
          <w:lang w:eastAsia="es-ES"/>
        </w:rPr>
        <w:t>argo</w:t>
      </w:r>
      <w:r w:rsidR="00490F9B" w:rsidRPr="00E67187">
        <w:rPr>
          <w:rFonts w:ascii="Arial" w:hAnsi="Arial" w:cs="Arial"/>
          <w:sz w:val="22"/>
          <w:szCs w:val="22"/>
          <w:lang w:eastAsia="es-ES"/>
        </w:rPr>
        <w:t>, c</w:t>
      </w:r>
      <w:r w:rsidRPr="00E67187">
        <w:rPr>
          <w:rFonts w:ascii="Arial" w:hAnsi="Arial" w:cs="Arial"/>
          <w:sz w:val="22"/>
          <w:szCs w:val="22"/>
          <w:lang w:eastAsia="es-ES"/>
        </w:rPr>
        <w:t>orreo electrónico</w:t>
      </w:r>
      <w:r w:rsidR="00490F9B" w:rsidRPr="00E67187">
        <w:rPr>
          <w:rFonts w:ascii="Arial" w:hAnsi="Arial" w:cs="Arial"/>
          <w:sz w:val="22"/>
          <w:szCs w:val="22"/>
          <w:lang w:eastAsia="es-ES"/>
        </w:rPr>
        <w:t xml:space="preserve"> y n</w:t>
      </w:r>
      <w:r w:rsidRPr="00E67187">
        <w:rPr>
          <w:rFonts w:ascii="Arial" w:hAnsi="Arial" w:cs="Arial"/>
          <w:sz w:val="22"/>
          <w:szCs w:val="22"/>
          <w:lang w:eastAsia="es-ES"/>
        </w:rPr>
        <w:t>úmero de teléfono celular</w:t>
      </w:r>
      <w:r w:rsidR="00490F9B" w:rsidRPr="00E67187">
        <w:rPr>
          <w:rFonts w:ascii="Arial" w:hAnsi="Arial" w:cs="Arial"/>
          <w:sz w:val="22"/>
          <w:szCs w:val="22"/>
          <w:lang w:eastAsia="es-ES"/>
        </w:rPr>
        <w:t>.</w:t>
      </w:r>
    </w:p>
    <w:p w14:paraId="569CC3E6" w14:textId="77777777" w:rsidR="009E1C4C" w:rsidRPr="00E67187" w:rsidRDefault="009E1C4C" w:rsidP="005F220D">
      <w:pPr>
        <w:spacing w:line="276" w:lineRule="auto"/>
        <w:contextualSpacing/>
        <w:jc w:val="both"/>
        <w:rPr>
          <w:rFonts w:ascii="Arial" w:hAnsi="Arial" w:cs="Arial"/>
          <w:sz w:val="22"/>
          <w:lang w:val="es-ES_tradnl"/>
        </w:rPr>
      </w:pPr>
    </w:p>
    <w:p w14:paraId="40F2E0DC" w14:textId="2184C469" w:rsidR="005F220D" w:rsidRPr="00E67187" w:rsidRDefault="005F220D" w:rsidP="005F220D">
      <w:pPr>
        <w:spacing w:line="276" w:lineRule="auto"/>
        <w:contextualSpacing/>
        <w:jc w:val="both"/>
        <w:rPr>
          <w:rFonts w:ascii="Arial" w:hAnsi="Arial" w:cs="Arial"/>
          <w:sz w:val="22"/>
          <w:lang w:val="es-ES_tradnl"/>
        </w:rPr>
      </w:pPr>
      <w:r w:rsidRPr="00E67187">
        <w:rPr>
          <w:rFonts w:ascii="Arial" w:hAnsi="Arial" w:cs="Arial"/>
          <w:sz w:val="22"/>
          <w:lang w:val="es-ES_tradnl"/>
        </w:rPr>
        <w:t>Este concepto tiene el alcance previsto en el artículo 28 del Código de Procedimiento Administrativo y de lo Contencioso Administrativo.</w:t>
      </w:r>
    </w:p>
    <w:p w14:paraId="5E90EBBE" w14:textId="77777777" w:rsidR="001D3749" w:rsidRPr="00E67187" w:rsidRDefault="001D3749" w:rsidP="001C0FA1">
      <w:pPr>
        <w:pStyle w:val="NormalWeb"/>
        <w:spacing w:before="0" w:beforeAutospacing="0" w:after="0" w:afterAutospacing="0" w:line="276" w:lineRule="auto"/>
        <w:contextualSpacing/>
        <w:jc w:val="both"/>
        <w:rPr>
          <w:rFonts w:ascii="Arial" w:hAnsi="Arial" w:cs="Arial"/>
          <w:sz w:val="22"/>
          <w:szCs w:val="22"/>
          <w:lang w:val="es-ES_tradnl"/>
        </w:rPr>
      </w:pPr>
    </w:p>
    <w:p w14:paraId="78B0B60E" w14:textId="77777777" w:rsidR="001D3749" w:rsidRPr="00E67187" w:rsidRDefault="001D3749" w:rsidP="001C0FA1">
      <w:pPr>
        <w:pStyle w:val="NormalWeb"/>
        <w:spacing w:before="0" w:beforeAutospacing="0" w:after="0" w:afterAutospacing="0" w:line="276" w:lineRule="auto"/>
        <w:contextualSpacing/>
        <w:jc w:val="both"/>
        <w:rPr>
          <w:rFonts w:ascii="Arial" w:hAnsi="Arial" w:cs="Arial"/>
          <w:sz w:val="22"/>
          <w:szCs w:val="22"/>
          <w:lang w:val="es-ES_tradnl"/>
        </w:rPr>
      </w:pPr>
      <w:r w:rsidRPr="00E67187">
        <w:rPr>
          <w:rFonts w:ascii="Arial" w:hAnsi="Arial" w:cs="Arial"/>
          <w:sz w:val="22"/>
          <w:szCs w:val="22"/>
          <w:lang w:val="es-ES_tradnl"/>
        </w:rPr>
        <w:t>Atentamente,</w:t>
      </w:r>
    </w:p>
    <w:p w14:paraId="11F75C1E" w14:textId="140D5FCA" w:rsidR="0036243E" w:rsidRPr="00E67187" w:rsidRDefault="001703C3" w:rsidP="001703C3">
      <w:pPr>
        <w:tabs>
          <w:tab w:val="left" w:pos="3590"/>
        </w:tabs>
        <w:spacing w:line="276" w:lineRule="auto"/>
        <w:jc w:val="center"/>
        <w:rPr>
          <w:rFonts w:ascii="Arial" w:eastAsiaTheme="minorHAnsi" w:hAnsi="Arial" w:cs="Arial"/>
          <w:noProof/>
          <w:szCs w:val="22"/>
          <w:lang w:val="en-US" w:eastAsia="en-US"/>
        </w:rPr>
      </w:pPr>
      <w:r>
        <w:rPr>
          <w:rFonts w:ascii="Arial" w:eastAsiaTheme="minorHAnsi" w:hAnsi="Arial" w:cs="Arial"/>
          <w:noProof/>
          <w:szCs w:val="22"/>
          <w:lang w:val="en-US" w:eastAsia="en-US"/>
        </w:rPr>
        <w:drawing>
          <wp:inline distT="0" distB="0" distL="0" distR="0" wp14:anchorId="370A5742" wp14:editId="14A49F81">
            <wp:extent cx="1873250" cy="832555"/>
            <wp:effectExtent l="0" t="0" r="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3250" cy="832555"/>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E67187" w:rsidRPr="00E67187" w14:paraId="46564002" w14:textId="77777777" w:rsidTr="000A16C4">
        <w:trPr>
          <w:trHeight w:val="315"/>
        </w:trPr>
        <w:tc>
          <w:tcPr>
            <w:tcW w:w="812" w:type="dxa"/>
            <w:vAlign w:val="center"/>
            <w:hideMark/>
          </w:tcPr>
          <w:p w14:paraId="5995972E" w14:textId="77777777" w:rsidR="0036243E" w:rsidRPr="00E67187" w:rsidRDefault="0036243E" w:rsidP="000A16C4">
            <w:pPr>
              <w:rPr>
                <w:rFonts w:ascii="Arial" w:hAnsi="Arial" w:cs="Arial"/>
                <w:sz w:val="16"/>
                <w:szCs w:val="16"/>
                <w:lang w:eastAsia="es-ES"/>
              </w:rPr>
            </w:pPr>
            <w:r w:rsidRPr="00E67187">
              <w:rPr>
                <w:rFonts w:ascii="Arial" w:hAnsi="Arial" w:cs="Arial"/>
                <w:sz w:val="16"/>
                <w:szCs w:val="16"/>
                <w:lang w:eastAsia="es-ES"/>
              </w:rPr>
              <w:t>Elaboró:</w:t>
            </w:r>
          </w:p>
        </w:tc>
        <w:tc>
          <w:tcPr>
            <w:tcW w:w="4291" w:type="dxa"/>
            <w:tcBorders>
              <w:top w:val="nil"/>
              <w:left w:val="nil"/>
              <w:bottom w:val="dotted" w:sz="4" w:space="0" w:color="7F7F7F"/>
              <w:right w:val="nil"/>
            </w:tcBorders>
            <w:vAlign w:val="center"/>
            <w:hideMark/>
          </w:tcPr>
          <w:p w14:paraId="5AD5A6F6" w14:textId="77777777" w:rsidR="0036243E" w:rsidRPr="00E67187" w:rsidRDefault="0036243E" w:rsidP="000A16C4">
            <w:pPr>
              <w:rPr>
                <w:rFonts w:ascii="Arial" w:hAnsi="Arial" w:cs="Arial"/>
                <w:sz w:val="16"/>
                <w:szCs w:val="16"/>
                <w:lang w:eastAsia="es-ES"/>
              </w:rPr>
            </w:pPr>
            <w:r w:rsidRPr="00E67187">
              <w:rPr>
                <w:rFonts w:ascii="Arial" w:hAnsi="Arial" w:cs="Arial"/>
                <w:sz w:val="16"/>
                <w:szCs w:val="16"/>
                <w:lang w:eastAsia="es-ES"/>
              </w:rPr>
              <w:t>Diana Lucia Saavedra Castañeda</w:t>
            </w:r>
          </w:p>
          <w:p w14:paraId="517310BF" w14:textId="77777777" w:rsidR="0036243E" w:rsidRPr="00E67187" w:rsidRDefault="0036243E" w:rsidP="000A16C4">
            <w:pPr>
              <w:rPr>
                <w:rFonts w:ascii="Arial" w:hAnsi="Arial" w:cs="Arial"/>
                <w:sz w:val="16"/>
                <w:szCs w:val="16"/>
                <w:lang w:eastAsia="es-ES"/>
              </w:rPr>
            </w:pPr>
            <w:r w:rsidRPr="00E67187">
              <w:rPr>
                <w:rFonts w:ascii="Arial" w:hAnsi="Arial" w:cs="Arial"/>
                <w:sz w:val="16"/>
                <w:szCs w:val="16"/>
                <w:lang w:eastAsia="es-ES"/>
              </w:rPr>
              <w:t>Contratista de la Subdirección de Gestión Contractual</w:t>
            </w:r>
          </w:p>
        </w:tc>
      </w:tr>
      <w:tr w:rsidR="00E67187" w:rsidRPr="00E67187" w14:paraId="493AB267" w14:textId="77777777" w:rsidTr="000A16C4">
        <w:trPr>
          <w:trHeight w:val="330"/>
        </w:trPr>
        <w:tc>
          <w:tcPr>
            <w:tcW w:w="812" w:type="dxa"/>
            <w:vAlign w:val="center"/>
            <w:hideMark/>
          </w:tcPr>
          <w:p w14:paraId="75E277A5" w14:textId="77777777" w:rsidR="0036243E" w:rsidRPr="00E67187" w:rsidRDefault="0036243E" w:rsidP="000A16C4">
            <w:pPr>
              <w:rPr>
                <w:rFonts w:ascii="Arial" w:hAnsi="Arial" w:cs="Arial"/>
                <w:sz w:val="16"/>
                <w:szCs w:val="16"/>
                <w:lang w:eastAsia="es-ES"/>
              </w:rPr>
            </w:pPr>
            <w:r w:rsidRPr="00E67187">
              <w:rPr>
                <w:rFonts w:ascii="Arial" w:hAnsi="Arial" w:cs="Arial"/>
                <w:sz w:val="16"/>
                <w:szCs w:val="16"/>
                <w:lang w:eastAsia="es-ES"/>
              </w:rPr>
              <w:lastRenderedPageBreak/>
              <w:t>Revisó:</w:t>
            </w:r>
          </w:p>
        </w:tc>
        <w:tc>
          <w:tcPr>
            <w:tcW w:w="4291" w:type="dxa"/>
            <w:tcBorders>
              <w:top w:val="dotted" w:sz="4" w:space="0" w:color="7F7F7F"/>
              <w:left w:val="nil"/>
              <w:bottom w:val="dotted" w:sz="4" w:space="0" w:color="7F7F7F"/>
              <w:right w:val="nil"/>
            </w:tcBorders>
            <w:vAlign w:val="center"/>
            <w:hideMark/>
          </w:tcPr>
          <w:p w14:paraId="0C14FCDD" w14:textId="77777777" w:rsidR="0036243E" w:rsidRPr="00E67187" w:rsidRDefault="0036243E" w:rsidP="000A16C4">
            <w:pPr>
              <w:rPr>
                <w:rFonts w:asciiTheme="minorHAnsi" w:hAnsiTheme="minorHAnsi" w:cstheme="minorBidi"/>
                <w:sz w:val="16"/>
                <w:szCs w:val="16"/>
                <w:lang w:eastAsia="es-ES"/>
              </w:rPr>
            </w:pPr>
            <w:r w:rsidRPr="00E67187">
              <w:rPr>
                <w:rFonts w:ascii="Arial" w:hAnsi="Arial" w:cs="Arial"/>
                <w:sz w:val="16"/>
                <w:szCs w:val="16"/>
                <w:lang w:eastAsia="es-ES"/>
              </w:rPr>
              <w:t>Alejandro Sarmiento Cantillo</w:t>
            </w:r>
            <w:r w:rsidRPr="00E67187">
              <w:rPr>
                <w:rFonts w:asciiTheme="minorHAnsi" w:hAnsiTheme="minorHAnsi" w:cstheme="minorBidi"/>
                <w:sz w:val="16"/>
                <w:szCs w:val="16"/>
                <w:lang w:eastAsia="es-ES"/>
              </w:rPr>
              <w:t> </w:t>
            </w:r>
          </w:p>
          <w:p w14:paraId="1322FD6F" w14:textId="77777777" w:rsidR="0036243E" w:rsidRPr="00E67187" w:rsidRDefault="0036243E" w:rsidP="000A16C4">
            <w:pPr>
              <w:rPr>
                <w:rFonts w:ascii="Arial" w:hAnsi="Arial" w:cs="Arial"/>
                <w:sz w:val="16"/>
                <w:szCs w:val="16"/>
                <w:lang w:eastAsia="es-ES"/>
              </w:rPr>
            </w:pPr>
            <w:r w:rsidRPr="00E67187">
              <w:rPr>
                <w:rFonts w:ascii="Arial" w:hAnsi="Arial" w:cs="Arial"/>
                <w:sz w:val="16"/>
                <w:szCs w:val="16"/>
                <w:lang w:eastAsia="es-ES"/>
              </w:rPr>
              <w:t>Gestor T1-15 de la Subdirección de Gestión Contractual</w:t>
            </w:r>
          </w:p>
          <w:p w14:paraId="1F9478A9" w14:textId="5D4F7E1D" w:rsidR="00F81517" w:rsidRPr="00E67187" w:rsidRDefault="00F81517" w:rsidP="000A16C4">
            <w:pPr>
              <w:rPr>
                <w:rFonts w:ascii="Arial" w:hAnsi="Arial" w:cs="Arial"/>
                <w:sz w:val="16"/>
                <w:szCs w:val="16"/>
                <w:lang w:eastAsia="es-ES"/>
              </w:rPr>
            </w:pPr>
            <w:r w:rsidRPr="00E67187">
              <w:rPr>
                <w:rFonts w:ascii="Arial" w:hAnsi="Arial" w:cs="Arial"/>
                <w:sz w:val="16"/>
                <w:szCs w:val="16"/>
                <w:lang w:eastAsia="es-ES"/>
              </w:rPr>
              <w:t xml:space="preserve">Juan David </w:t>
            </w:r>
            <w:r w:rsidR="00775FD6" w:rsidRPr="00E67187">
              <w:rPr>
                <w:rFonts w:ascii="Arial" w:hAnsi="Arial" w:cs="Arial"/>
                <w:sz w:val="16"/>
                <w:szCs w:val="16"/>
                <w:lang w:eastAsia="es-ES"/>
              </w:rPr>
              <w:t>Marín</w:t>
            </w:r>
            <w:r w:rsidRPr="00E67187">
              <w:rPr>
                <w:rFonts w:ascii="Arial" w:hAnsi="Arial" w:cs="Arial"/>
                <w:sz w:val="16"/>
                <w:szCs w:val="16"/>
                <w:lang w:eastAsia="es-ES"/>
              </w:rPr>
              <w:t xml:space="preserve"> Rico</w:t>
            </w:r>
          </w:p>
          <w:p w14:paraId="1C3570F2" w14:textId="61BE2F81" w:rsidR="00F81517" w:rsidRPr="00E67187" w:rsidRDefault="00F81517" w:rsidP="000A16C4">
            <w:pPr>
              <w:rPr>
                <w:rFonts w:ascii="Arial" w:hAnsi="Arial" w:cs="Arial"/>
                <w:sz w:val="16"/>
                <w:szCs w:val="16"/>
                <w:lang w:eastAsia="es-ES"/>
              </w:rPr>
            </w:pPr>
            <w:r w:rsidRPr="00E67187">
              <w:rPr>
                <w:rFonts w:ascii="Arial" w:hAnsi="Arial" w:cs="Arial"/>
                <w:sz w:val="16"/>
                <w:szCs w:val="16"/>
                <w:lang w:eastAsia="es-ES"/>
              </w:rPr>
              <w:t>Asesor Jurídico</w:t>
            </w:r>
            <w:r w:rsidR="00775FD6" w:rsidRPr="00E67187">
              <w:rPr>
                <w:rFonts w:ascii="Arial" w:hAnsi="Arial" w:cs="Arial"/>
                <w:sz w:val="16"/>
                <w:szCs w:val="16"/>
                <w:lang w:eastAsia="es-ES"/>
              </w:rPr>
              <w:t xml:space="preserve"> ANCP – CCE</w:t>
            </w:r>
          </w:p>
        </w:tc>
      </w:tr>
      <w:tr w:rsidR="0036243E" w:rsidRPr="00E67187" w14:paraId="4F6BDE95" w14:textId="77777777" w:rsidTr="000A16C4">
        <w:trPr>
          <w:trHeight w:val="300"/>
        </w:trPr>
        <w:tc>
          <w:tcPr>
            <w:tcW w:w="812" w:type="dxa"/>
            <w:vAlign w:val="center"/>
            <w:hideMark/>
          </w:tcPr>
          <w:p w14:paraId="6BDB05FD" w14:textId="77777777" w:rsidR="0036243E" w:rsidRPr="00E67187" w:rsidRDefault="0036243E" w:rsidP="000A16C4">
            <w:pPr>
              <w:rPr>
                <w:rFonts w:ascii="Arial" w:hAnsi="Arial" w:cs="Arial"/>
                <w:sz w:val="16"/>
                <w:szCs w:val="16"/>
                <w:lang w:eastAsia="es-ES"/>
              </w:rPr>
            </w:pPr>
            <w:r w:rsidRPr="00E67187">
              <w:rPr>
                <w:rFonts w:ascii="Arial" w:hAnsi="Arial" w:cs="Arial"/>
                <w:sz w:val="16"/>
                <w:szCs w:val="16"/>
                <w:lang w:eastAsia="es-ES"/>
              </w:rPr>
              <w:t>Aprobó:</w:t>
            </w:r>
          </w:p>
        </w:tc>
        <w:tc>
          <w:tcPr>
            <w:tcW w:w="4291" w:type="dxa"/>
            <w:tcBorders>
              <w:top w:val="dotted" w:sz="4" w:space="0" w:color="7F7F7F"/>
              <w:left w:val="nil"/>
              <w:bottom w:val="dotted" w:sz="4" w:space="0" w:color="7F7F7F"/>
              <w:right w:val="nil"/>
            </w:tcBorders>
            <w:vAlign w:val="center"/>
            <w:hideMark/>
          </w:tcPr>
          <w:p w14:paraId="4C819C51" w14:textId="77777777" w:rsidR="0036243E" w:rsidRPr="00E67187" w:rsidRDefault="0036243E" w:rsidP="000A16C4">
            <w:pPr>
              <w:rPr>
                <w:rFonts w:ascii="Arial" w:hAnsi="Arial" w:cs="Arial"/>
                <w:sz w:val="16"/>
                <w:szCs w:val="16"/>
                <w:lang w:eastAsia="es-ES"/>
              </w:rPr>
            </w:pPr>
            <w:r w:rsidRPr="00E67187">
              <w:rPr>
                <w:rFonts w:ascii="Arial" w:hAnsi="Arial" w:cs="Arial"/>
                <w:sz w:val="16"/>
                <w:szCs w:val="16"/>
                <w:lang w:eastAsia="es-ES"/>
              </w:rPr>
              <w:t>Jorge Augusto Tirado Navarro</w:t>
            </w:r>
          </w:p>
          <w:p w14:paraId="2356AE5D" w14:textId="77777777" w:rsidR="0036243E" w:rsidRPr="00E67187" w:rsidRDefault="0036243E" w:rsidP="000A16C4">
            <w:pPr>
              <w:rPr>
                <w:rFonts w:ascii="Arial" w:hAnsi="Arial" w:cs="Arial"/>
                <w:sz w:val="16"/>
                <w:szCs w:val="16"/>
                <w:lang w:eastAsia="es-ES"/>
              </w:rPr>
            </w:pPr>
            <w:r w:rsidRPr="00E67187">
              <w:rPr>
                <w:rFonts w:ascii="Arial" w:hAnsi="Arial" w:cs="Arial"/>
                <w:sz w:val="16"/>
                <w:szCs w:val="16"/>
                <w:lang w:eastAsia="es-ES"/>
              </w:rPr>
              <w:t>Subdirector de Gestión Contractual ANCP – CCE</w:t>
            </w:r>
          </w:p>
        </w:tc>
      </w:tr>
    </w:tbl>
    <w:p w14:paraId="1B7F4476" w14:textId="77777777" w:rsidR="00C624EC" w:rsidRPr="00E67187" w:rsidRDefault="00C624EC" w:rsidP="00F36939"/>
    <w:sectPr w:rsidR="00C624EC" w:rsidRPr="00E67187" w:rsidSect="005D791B">
      <w:headerReference w:type="default" r:id="rId16"/>
      <w:footerReference w:type="default" r:id="rId17"/>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D8514" w14:textId="77777777" w:rsidR="007203D0" w:rsidRDefault="007203D0" w:rsidP="001D3749">
      <w:r>
        <w:separator/>
      </w:r>
    </w:p>
  </w:endnote>
  <w:endnote w:type="continuationSeparator" w:id="0">
    <w:p w14:paraId="65F8183C" w14:textId="77777777" w:rsidR="007203D0" w:rsidRDefault="007203D0" w:rsidP="001D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ork Sans">
    <w:altName w:val="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48E6" w14:textId="77777777" w:rsidR="006A59DE" w:rsidRDefault="00000000" w:rsidP="00322937">
    <w:pPr>
      <w:pStyle w:val="Sinespaciado"/>
      <w:jc w:val="right"/>
      <w:rPr>
        <w:rFonts w:ascii="Arial" w:hAnsi="Arial" w:cs="Arial"/>
        <w:sz w:val="18"/>
        <w:szCs w:val="18"/>
      </w:rPr>
    </w:pPr>
  </w:p>
  <w:p w14:paraId="62BA842E" w14:textId="77777777" w:rsidR="006A59DE" w:rsidRPr="008217B7" w:rsidRDefault="00893262"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286DD6BE" w14:textId="77777777" w:rsidR="006A59DE" w:rsidRDefault="00893262" w:rsidP="00322937">
    <w:pPr>
      <w:pStyle w:val="Piedepgina"/>
      <w:jc w:val="center"/>
      <w:rPr>
        <w:lang w:val="es-ES"/>
      </w:rPr>
    </w:pPr>
    <w:r>
      <w:rPr>
        <w:noProof/>
        <w:lang w:val="es-ES_tradnl" w:eastAsia="es-ES_tradnl"/>
      </w:rPr>
      <w:drawing>
        <wp:inline distT="0" distB="0" distL="0" distR="0" wp14:anchorId="1703929F" wp14:editId="7F1C97D4">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18D3FE6F" w14:textId="77777777" w:rsidR="006A59DE" w:rsidRDefault="00000000" w:rsidP="007B0854">
    <w:pPr>
      <w:pStyle w:val="Piedepgina"/>
      <w:jc w:val="center"/>
      <w:rPr>
        <w:lang w:val="es-ES"/>
      </w:rPr>
    </w:pPr>
  </w:p>
  <w:p w14:paraId="17D49FC6" w14:textId="77777777" w:rsidR="006A59DE" w:rsidRPr="007B0854" w:rsidRDefault="00000000"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59D9F" w14:textId="77777777" w:rsidR="007203D0" w:rsidRDefault="007203D0" w:rsidP="001D3749">
      <w:r>
        <w:separator/>
      </w:r>
    </w:p>
  </w:footnote>
  <w:footnote w:type="continuationSeparator" w:id="0">
    <w:p w14:paraId="0792D909" w14:textId="77777777" w:rsidR="007203D0" w:rsidRDefault="007203D0" w:rsidP="001D3749">
      <w:r>
        <w:continuationSeparator/>
      </w:r>
    </w:p>
  </w:footnote>
  <w:footnote w:id="1">
    <w:p w14:paraId="27A1B8C6" w14:textId="77777777" w:rsidR="00934976" w:rsidRPr="00F276F1" w:rsidRDefault="00934976" w:rsidP="00F276F1">
      <w:pPr>
        <w:ind w:firstLine="707"/>
        <w:contextualSpacing/>
        <w:jc w:val="both"/>
        <w:rPr>
          <w:rFonts w:ascii="Arial" w:hAnsi="Arial" w:cs="Arial"/>
          <w:sz w:val="19"/>
          <w:szCs w:val="19"/>
        </w:rPr>
      </w:pPr>
      <w:r w:rsidRPr="00F276F1">
        <w:rPr>
          <w:rStyle w:val="Refdenotaalpie"/>
          <w:rFonts w:ascii="Arial" w:hAnsi="Arial" w:cs="Arial"/>
          <w:sz w:val="19"/>
          <w:szCs w:val="19"/>
        </w:rPr>
        <w:footnoteRef/>
      </w:r>
      <w:r w:rsidRPr="00F276F1">
        <w:rPr>
          <w:rFonts w:ascii="Arial" w:hAnsi="Arial" w:cs="Arial"/>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023A5CCC" w14:textId="77777777" w:rsidR="00934976" w:rsidRPr="00F276F1" w:rsidRDefault="00934976" w:rsidP="00F276F1">
      <w:pPr>
        <w:pStyle w:val="Textonotapie"/>
        <w:contextualSpacing/>
        <w:rPr>
          <w:rFonts w:ascii="Arial" w:hAnsi="Arial" w:cs="Arial"/>
          <w:sz w:val="19"/>
          <w:szCs w:val="19"/>
        </w:rPr>
      </w:pPr>
    </w:p>
  </w:footnote>
  <w:footnote w:id="2">
    <w:p w14:paraId="1406C1EC" w14:textId="77777777" w:rsidR="00934976" w:rsidRPr="00F276F1" w:rsidRDefault="00934976" w:rsidP="00F276F1">
      <w:pPr>
        <w:ind w:firstLine="707"/>
        <w:contextualSpacing/>
        <w:jc w:val="both"/>
        <w:rPr>
          <w:rFonts w:ascii="Arial" w:hAnsi="Arial" w:cs="Arial"/>
          <w:sz w:val="19"/>
          <w:szCs w:val="19"/>
        </w:rPr>
      </w:pPr>
      <w:r w:rsidRPr="00F276F1">
        <w:rPr>
          <w:rStyle w:val="Refdenotaalpie"/>
          <w:rFonts w:ascii="Arial" w:hAnsi="Arial" w:cs="Arial"/>
          <w:sz w:val="19"/>
          <w:szCs w:val="19"/>
        </w:rPr>
        <w:footnoteRef/>
      </w:r>
      <w:r w:rsidRPr="00F276F1">
        <w:rPr>
          <w:rFonts w:ascii="Arial" w:hAnsi="Arial" w:cs="Arial"/>
          <w:sz w:val="19"/>
          <w:szCs w:val="19"/>
        </w:rPr>
        <w:t xml:space="preserve"> Ley 1712 de 2014: «Artículo 5. Ámbito de aplicación. Las disposiciones de esta ley serán aplicables a las siguientes personas en calidad de sujetos obligados:</w:t>
      </w:r>
    </w:p>
    <w:p w14:paraId="624A3CF9" w14:textId="77777777" w:rsidR="00934976" w:rsidRPr="00F276F1" w:rsidRDefault="00934976" w:rsidP="00F276F1">
      <w:pPr>
        <w:ind w:firstLine="707"/>
        <w:contextualSpacing/>
        <w:jc w:val="both"/>
        <w:rPr>
          <w:rFonts w:ascii="Arial" w:hAnsi="Arial" w:cs="Arial"/>
          <w:sz w:val="19"/>
          <w:szCs w:val="19"/>
        </w:rPr>
      </w:pPr>
      <w:r w:rsidRPr="00F276F1">
        <w:rPr>
          <w:rFonts w:ascii="Arial" w:hAnsi="Arial" w:cs="Arial"/>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5511FCD0" w14:textId="77777777" w:rsidR="00934976" w:rsidRPr="00F276F1" w:rsidRDefault="00934976" w:rsidP="00F276F1">
      <w:pPr>
        <w:pStyle w:val="Textonotapie"/>
        <w:contextualSpacing/>
        <w:rPr>
          <w:rFonts w:ascii="Arial" w:hAnsi="Arial" w:cs="Arial"/>
          <w:sz w:val="19"/>
          <w:szCs w:val="19"/>
        </w:rPr>
      </w:pPr>
    </w:p>
  </w:footnote>
  <w:footnote w:id="3">
    <w:p w14:paraId="2E1CA808" w14:textId="77777777" w:rsidR="00934976" w:rsidRPr="00F276F1" w:rsidRDefault="00934976" w:rsidP="00F276F1">
      <w:pPr>
        <w:ind w:firstLine="709"/>
        <w:contextualSpacing/>
        <w:jc w:val="both"/>
        <w:rPr>
          <w:rFonts w:ascii="Arial" w:hAnsi="Arial" w:cs="Arial"/>
          <w:sz w:val="19"/>
          <w:szCs w:val="19"/>
        </w:rPr>
      </w:pPr>
      <w:r w:rsidRPr="00F276F1">
        <w:rPr>
          <w:rStyle w:val="Refdenotaalpie"/>
          <w:rFonts w:ascii="Arial" w:hAnsi="Arial" w:cs="Arial"/>
          <w:sz w:val="19"/>
          <w:szCs w:val="19"/>
        </w:rPr>
        <w:footnoteRef/>
      </w:r>
      <w:r w:rsidRPr="00F276F1">
        <w:rPr>
          <w:rFonts w:ascii="Arial" w:hAnsi="Arial" w:cs="Arial"/>
          <w:sz w:val="19"/>
          <w:szCs w:val="19"/>
        </w:rPr>
        <w:t xml:space="preserve"> «Artículo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w:t>
      </w:r>
    </w:p>
    <w:p w14:paraId="1C670709" w14:textId="77777777" w:rsidR="00934976" w:rsidRPr="00F276F1" w:rsidRDefault="00934976" w:rsidP="00F276F1">
      <w:pPr>
        <w:contextualSpacing/>
        <w:rPr>
          <w:rFonts w:ascii="Arial" w:hAnsi="Arial" w:cs="Arial"/>
          <w:sz w:val="19"/>
          <w:szCs w:val="19"/>
        </w:rPr>
      </w:pPr>
      <w:r w:rsidRPr="00F276F1">
        <w:rPr>
          <w:rFonts w:ascii="Arial" w:hAnsi="Arial" w:cs="Arial"/>
          <w:sz w:val="19"/>
          <w:szCs w:val="19"/>
        </w:rPr>
        <w:t>[…].</w:t>
      </w:r>
    </w:p>
    <w:p w14:paraId="3785ACBA" w14:textId="77777777" w:rsidR="00934976" w:rsidRPr="00F276F1" w:rsidRDefault="00934976" w:rsidP="00F276F1">
      <w:pPr>
        <w:ind w:firstLine="709"/>
        <w:contextualSpacing/>
        <w:jc w:val="both"/>
        <w:rPr>
          <w:rFonts w:ascii="Arial" w:hAnsi="Arial" w:cs="Arial"/>
          <w:sz w:val="19"/>
          <w:szCs w:val="19"/>
        </w:rPr>
      </w:pPr>
      <w:r w:rsidRPr="00F276F1">
        <w:rPr>
          <w:rFonts w:ascii="Arial" w:hAnsi="Arial" w:cs="Arial"/>
          <w:sz w:val="19"/>
          <w:szCs w:val="19"/>
        </w:rPr>
        <w:t>«Los sujetos obligados que contratan con recursos públicos y recursos privados, deben publicar la información de su gestión contractual con cargo a recursos públicos en el Sistema Electrónico para la Contratación Pública [SECOP]».</w:t>
      </w:r>
    </w:p>
    <w:p w14:paraId="1E4027DA" w14:textId="77777777" w:rsidR="00934976" w:rsidRPr="00F276F1" w:rsidRDefault="00934976" w:rsidP="00F276F1">
      <w:pPr>
        <w:pStyle w:val="Textonotapie"/>
        <w:contextualSpacing/>
        <w:rPr>
          <w:rFonts w:ascii="Arial" w:hAnsi="Arial" w:cs="Arial"/>
          <w:sz w:val="19"/>
          <w:szCs w:val="19"/>
        </w:rPr>
      </w:pPr>
    </w:p>
  </w:footnote>
  <w:footnote w:id="4">
    <w:p w14:paraId="6C3B231A" w14:textId="77777777" w:rsidR="00934976" w:rsidRPr="00F276F1" w:rsidRDefault="00934976" w:rsidP="00F276F1">
      <w:pPr>
        <w:pStyle w:val="Textonotapie"/>
        <w:ind w:firstLine="708"/>
        <w:contextualSpacing/>
        <w:jc w:val="both"/>
        <w:rPr>
          <w:rFonts w:ascii="Arial" w:hAnsi="Arial" w:cs="Arial"/>
          <w:sz w:val="19"/>
          <w:szCs w:val="19"/>
        </w:rPr>
      </w:pPr>
      <w:r w:rsidRPr="00F276F1">
        <w:rPr>
          <w:rStyle w:val="Refdenotaalpie"/>
          <w:rFonts w:ascii="Arial" w:hAnsi="Arial" w:cs="Arial"/>
          <w:sz w:val="19"/>
          <w:szCs w:val="19"/>
        </w:rPr>
        <w:footnoteRef/>
      </w:r>
      <w:r w:rsidRPr="00F276F1">
        <w:rPr>
          <w:rFonts w:ascii="Arial" w:hAnsi="Arial" w:cs="Arial"/>
          <w:sz w:val="19"/>
          <w:szCs w:val="19"/>
        </w:rPr>
        <w:t xml:space="preserve"> Ley 1437 de 2011: «Artículo 24. Informaciones y documentos reservados. Solo tendrán carácter reservado las informaciones y documentos expresamente sometidos a reserva por la Constitución Política o la ley, y en especial:  </w:t>
      </w:r>
    </w:p>
    <w:p w14:paraId="33BE99F4" w14:textId="77777777" w:rsidR="00934976" w:rsidRPr="00F276F1" w:rsidRDefault="00934976" w:rsidP="00F276F1">
      <w:pPr>
        <w:pStyle w:val="Textonotapie"/>
        <w:ind w:firstLine="708"/>
        <w:contextualSpacing/>
        <w:jc w:val="both"/>
        <w:rPr>
          <w:rFonts w:ascii="Arial" w:hAnsi="Arial" w:cs="Arial"/>
          <w:sz w:val="19"/>
          <w:szCs w:val="19"/>
        </w:rPr>
      </w:pPr>
      <w:r w:rsidRPr="00F276F1">
        <w:rPr>
          <w:rFonts w:ascii="Arial" w:hAnsi="Arial" w:cs="Arial"/>
          <w:sz w:val="19"/>
          <w:szCs w:val="19"/>
        </w:rPr>
        <w:t xml:space="preserve">»1. Los relacionados con la defensa o seguridad nacionales.  </w:t>
      </w:r>
    </w:p>
    <w:p w14:paraId="3224E2B5" w14:textId="77777777" w:rsidR="00934976" w:rsidRPr="00F276F1" w:rsidRDefault="00934976" w:rsidP="00F276F1">
      <w:pPr>
        <w:pStyle w:val="Textonotapie"/>
        <w:ind w:firstLine="708"/>
        <w:contextualSpacing/>
        <w:jc w:val="both"/>
        <w:rPr>
          <w:rFonts w:ascii="Arial" w:hAnsi="Arial" w:cs="Arial"/>
          <w:sz w:val="19"/>
          <w:szCs w:val="19"/>
        </w:rPr>
      </w:pPr>
      <w:r w:rsidRPr="00F276F1">
        <w:rPr>
          <w:rFonts w:ascii="Arial" w:hAnsi="Arial" w:cs="Arial"/>
          <w:sz w:val="19"/>
          <w:szCs w:val="19"/>
        </w:rPr>
        <w:t xml:space="preserve">»2. Las instrucciones en materia diplomática o sobre negociaciones reservadas.  </w:t>
      </w:r>
    </w:p>
    <w:p w14:paraId="4C1A1504" w14:textId="77777777" w:rsidR="00934976" w:rsidRPr="00F276F1" w:rsidRDefault="00934976" w:rsidP="00F276F1">
      <w:pPr>
        <w:pStyle w:val="Textonotapie"/>
        <w:ind w:firstLine="708"/>
        <w:contextualSpacing/>
        <w:jc w:val="both"/>
        <w:rPr>
          <w:rFonts w:ascii="Arial" w:hAnsi="Arial" w:cs="Arial"/>
          <w:sz w:val="19"/>
          <w:szCs w:val="19"/>
        </w:rPr>
      </w:pPr>
      <w:r w:rsidRPr="00F276F1">
        <w:rPr>
          <w:rFonts w:ascii="Arial" w:hAnsi="Arial" w:cs="Arial"/>
          <w:sz w:val="19"/>
          <w:szCs w:val="19"/>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14:paraId="1FA51D70" w14:textId="77777777" w:rsidR="00934976" w:rsidRPr="00F276F1" w:rsidRDefault="00934976" w:rsidP="00F276F1">
      <w:pPr>
        <w:pStyle w:val="Textonotapie"/>
        <w:ind w:firstLine="708"/>
        <w:contextualSpacing/>
        <w:jc w:val="both"/>
        <w:rPr>
          <w:rFonts w:ascii="Arial" w:hAnsi="Arial" w:cs="Arial"/>
          <w:sz w:val="19"/>
          <w:szCs w:val="19"/>
        </w:rPr>
      </w:pPr>
      <w:r w:rsidRPr="00F276F1">
        <w:rPr>
          <w:rFonts w:ascii="Arial" w:hAnsi="Arial" w:cs="Arial"/>
          <w:sz w:val="19"/>
          <w:szCs w:val="19"/>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14:paraId="1C670325" w14:textId="77777777" w:rsidR="00934976" w:rsidRPr="00F276F1" w:rsidRDefault="00934976" w:rsidP="00F276F1">
      <w:pPr>
        <w:pStyle w:val="Textonotapie"/>
        <w:ind w:firstLine="708"/>
        <w:contextualSpacing/>
        <w:jc w:val="both"/>
        <w:rPr>
          <w:rFonts w:ascii="Arial" w:hAnsi="Arial" w:cs="Arial"/>
          <w:sz w:val="19"/>
          <w:szCs w:val="19"/>
        </w:rPr>
      </w:pPr>
      <w:r w:rsidRPr="00F276F1">
        <w:rPr>
          <w:rFonts w:ascii="Arial" w:hAnsi="Arial" w:cs="Arial"/>
          <w:sz w:val="19"/>
          <w:szCs w:val="19"/>
        </w:rPr>
        <w:t xml:space="preserve">»5. Los datos referentes a la información financiera y comercial, en los términos de la Ley Estatutaria 1266 de 2008.  </w:t>
      </w:r>
    </w:p>
    <w:p w14:paraId="36F0516C" w14:textId="77777777" w:rsidR="00934976" w:rsidRPr="00F276F1" w:rsidRDefault="00934976" w:rsidP="00F276F1">
      <w:pPr>
        <w:pStyle w:val="Textonotapie"/>
        <w:ind w:firstLine="708"/>
        <w:contextualSpacing/>
        <w:jc w:val="both"/>
        <w:rPr>
          <w:rFonts w:ascii="Arial" w:hAnsi="Arial" w:cs="Arial"/>
          <w:sz w:val="19"/>
          <w:szCs w:val="19"/>
        </w:rPr>
      </w:pPr>
      <w:r w:rsidRPr="00F276F1">
        <w:rPr>
          <w:rFonts w:ascii="Arial" w:hAnsi="Arial" w:cs="Arial"/>
          <w:sz w:val="19"/>
          <w:szCs w:val="19"/>
        </w:rPr>
        <w:t xml:space="preserve">»6. Los protegidos por el secreto comercial o industrial, así como los planes estratégicos de las empresas públicas de servicios públicos.  </w:t>
      </w:r>
    </w:p>
    <w:p w14:paraId="3C7071CE" w14:textId="77777777" w:rsidR="00934976" w:rsidRPr="00F276F1" w:rsidRDefault="00934976" w:rsidP="00F276F1">
      <w:pPr>
        <w:pStyle w:val="Textonotapie"/>
        <w:ind w:firstLine="708"/>
        <w:contextualSpacing/>
        <w:jc w:val="both"/>
        <w:rPr>
          <w:rFonts w:ascii="Arial" w:hAnsi="Arial" w:cs="Arial"/>
          <w:sz w:val="19"/>
          <w:szCs w:val="19"/>
        </w:rPr>
      </w:pPr>
      <w:r w:rsidRPr="00F276F1">
        <w:rPr>
          <w:rFonts w:ascii="Arial" w:hAnsi="Arial" w:cs="Arial"/>
          <w:sz w:val="19"/>
          <w:szCs w:val="19"/>
        </w:rPr>
        <w:t xml:space="preserve">»7. Los amparados por el secreto profesional.  </w:t>
      </w:r>
    </w:p>
    <w:p w14:paraId="40CAAFF2" w14:textId="77777777" w:rsidR="00934976" w:rsidRPr="00F276F1" w:rsidRDefault="00934976" w:rsidP="00F276F1">
      <w:pPr>
        <w:pStyle w:val="Textonotapie"/>
        <w:ind w:firstLine="708"/>
        <w:contextualSpacing/>
        <w:jc w:val="both"/>
        <w:rPr>
          <w:rFonts w:ascii="Arial" w:hAnsi="Arial" w:cs="Arial"/>
          <w:sz w:val="19"/>
          <w:szCs w:val="19"/>
        </w:rPr>
      </w:pPr>
      <w:r w:rsidRPr="00F276F1">
        <w:rPr>
          <w:rFonts w:ascii="Arial" w:hAnsi="Arial" w:cs="Arial"/>
          <w:sz w:val="19"/>
          <w:szCs w:val="19"/>
        </w:rPr>
        <w:t xml:space="preserve">»8. Los datos genéticos humanos.  </w:t>
      </w:r>
    </w:p>
    <w:p w14:paraId="3ACCB506" w14:textId="77777777" w:rsidR="00934976" w:rsidRPr="00F276F1" w:rsidRDefault="00934976" w:rsidP="00F276F1">
      <w:pPr>
        <w:pStyle w:val="Textonotapie"/>
        <w:ind w:firstLine="708"/>
        <w:contextualSpacing/>
        <w:jc w:val="both"/>
        <w:rPr>
          <w:rFonts w:ascii="Arial" w:hAnsi="Arial" w:cs="Arial"/>
          <w:sz w:val="19"/>
          <w:szCs w:val="19"/>
        </w:rPr>
      </w:pPr>
      <w:r w:rsidRPr="00F276F1">
        <w:rPr>
          <w:rFonts w:ascii="Arial" w:hAnsi="Arial" w:cs="Arial"/>
          <w:sz w:val="19"/>
          <w:szCs w:val="19"/>
        </w:rPr>
        <w:t xml:space="preserve">»Parágrafo. Para efecto de la solicitud de información de carácter reservado, enunciada en los numerales 3, 5, 6 y 7 solo podrá ser solicitada por el titular de la información, por sus apoderados o por personas autorizadas con facultad expresa para acceder a esa información».  </w:t>
      </w:r>
    </w:p>
  </w:footnote>
  <w:footnote w:id="5">
    <w:p w14:paraId="6087C5D2" w14:textId="77777777" w:rsidR="00F276F1" w:rsidRPr="00F276F1" w:rsidRDefault="00AD6EB5" w:rsidP="00F276F1">
      <w:pPr>
        <w:pStyle w:val="Textonotapie"/>
        <w:ind w:firstLine="708"/>
        <w:contextualSpacing/>
        <w:jc w:val="both"/>
        <w:rPr>
          <w:rFonts w:ascii="Arial" w:hAnsi="Arial" w:cs="Arial"/>
          <w:color w:val="000000"/>
          <w:sz w:val="19"/>
          <w:szCs w:val="19"/>
        </w:rPr>
      </w:pPr>
      <w:r w:rsidRPr="00F276F1">
        <w:rPr>
          <w:rStyle w:val="Refdenotaalpie"/>
          <w:rFonts w:ascii="Arial" w:hAnsi="Arial" w:cs="Arial"/>
          <w:sz w:val="19"/>
          <w:szCs w:val="19"/>
        </w:rPr>
        <w:footnoteRef/>
      </w:r>
      <w:r w:rsidRPr="00F276F1">
        <w:rPr>
          <w:rFonts w:ascii="Arial" w:hAnsi="Arial" w:cs="Arial"/>
          <w:sz w:val="19"/>
          <w:szCs w:val="19"/>
        </w:rPr>
        <w:t xml:space="preserve"> </w:t>
      </w:r>
      <w:r w:rsidR="00F276F1" w:rsidRPr="00F276F1">
        <w:rPr>
          <w:rFonts w:ascii="Arial" w:hAnsi="Arial" w:cs="Arial"/>
          <w:color w:val="000000"/>
          <w:sz w:val="19"/>
          <w:szCs w:val="19"/>
        </w:rPr>
        <w:t>Decreto 4170 de 2011: «Artículo 3. Funciones: La Agencia Nacional de Contratación Pública –Colombia Compra Eficiente– ejercerá las siguientes funciones: [...]</w:t>
      </w:r>
    </w:p>
    <w:p w14:paraId="53BCF183" w14:textId="6DFD2C56" w:rsidR="00F276F1" w:rsidRPr="00F276F1" w:rsidRDefault="00F276F1" w:rsidP="00F276F1">
      <w:pPr>
        <w:pStyle w:val="Textonotapie"/>
        <w:ind w:firstLine="708"/>
        <w:contextualSpacing/>
        <w:jc w:val="both"/>
        <w:rPr>
          <w:rFonts w:ascii="Arial" w:hAnsi="Arial" w:cs="Arial"/>
          <w:color w:val="000000"/>
          <w:sz w:val="19"/>
          <w:szCs w:val="19"/>
        </w:rPr>
      </w:pPr>
      <w:r w:rsidRPr="00F276F1">
        <w:rPr>
          <w:rFonts w:ascii="Arial" w:hAnsi="Arial" w:cs="Arial"/>
          <w:color w:val="000000"/>
          <w:sz w:val="19"/>
          <w:szCs w:val="19"/>
        </w:rPr>
        <w:t>»8. Desarrollar y administrar el Sistema Electrónico para la Contratación Pública (SECOP) o el que haga sus veces, y gestionar nuevos desarrollos tecnológicos en los asuntos de su competencia, teniendo en cuenta los parámetros fijados por el Consejo Directivo. [...]».</w:t>
      </w:r>
    </w:p>
    <w:p w14:paraId="5FAE3965" w14:textId="128A21D5" w:rsidR="00AD6EB5" w:rsidRPr="00F276F1" w:rsidRDefault="00AD6EB5" w:rsidP="00F276F1">
      <w:pPr>
        <w:pStyle w:val="Textonotapie"/>
        <w:contextualSpacing/>
        <w:rPr>
          <w:rFonts w:ascii="Arial" w:hAnsi="Arial" w:cs="Arial"/>
          <w:sz w:val="19"/>
          <w:szCs w:val="19"/>
          <w:lang w:val="es-ES"/>
        </w:rPr>
      </w:pPr>
    </w:p>
  </w:footnote>
  <w:footnote w:id="6">
    <w:p w14:paraId="2B9DA018" w14:textId="249CD72B" w:rsidR="00BC421B" w:rsidRPr="00DD1433" w:rsidRDefault="00BC421B" w:rsidP="00BC421B">
      <w:pPr>
        <w:pStyle w:val="Textonotapie"/>
        <w:ind w:firstLine="708"/>
        <w:rPr>
          <w:rStyle w:val="Hipervnculo"/>
          <w:rFonts w:ascii="Arial" w:hAnsi="Arial" w:cs="Arial"/>
          <w:sz w:val="19"/>
          <w:szCs w:val="19"/>
        </w:rPr>
      </w:pPr>
      <w:r w:rsidRPr="00DD1433">
        <w:rPr>
          <w:rStyle w:val="Refdenotaalpie"/>
          <w:rFonts w:ascii="Arial" w:hAnsi="Arial" w:cs="Arial"/>
          <w:sz w:val="19"/>
          <w:szCs w:val="19"/>
        </w:rPr>
        <w:footnoteRef/>
      </w:r>
      <w:r w:rsidRPr="00DD1433">
        <w:rPr>
          <w:rFonts w:ascii="Arial" w:hAnsi="Arial" w:cs="Arial"/>
          <w:sz w:val="19"/>
          <w:szCs w:val="19"/>
        </w:rPr>
        <w:t xml:space="preserve"> </w:t>
      </w:r>
      <w:r w:rsidR="00477AFF">
        <w:rPr>
          <w:rFonts w:ascii="Arial" w:hAnsi="Arial" w:cs="Arial"/>
          <w:sz w:val="19"/>
          <w:szCs w:val="19"/>
        </w:rPr>
        <w:t xml:space="preserve">En el siguiente link se puede consultar la Guía para gestionar o publicar los procesos de Régimen Especial con oferta en el SECOP II:  </w:t>
      </w:r>
      <w:hyperlink r:id="rId1" w:history="1">
        <w:r w:rsidR="00477AFF" w:rsidRPr="00A32801">
          <w:rPr>
            <w:rStyle w:val="Hipervnculo"/>
            <w:rFonts w:ascii="Arial" w:hAnsi="Arial" w:cs="Arial"/>
            <w:sz w:val="19"/>
            <w:szCs w:val="19"/>
          </w:rPr>
          <w:t>https://www.colombiacompra.gov.co/node/23628</w:t>
        </w:r>
      </w:hyperlink>
    </w:p>
    <w:p w14:paraId="591392A2" w14:textId="77777777" w:rsidR="00BC421B" w:rsidRPr="00DD1433" w:rsidRDefault="00BC421B" w:rsidP="00BC421B">
      <w:pPr>
        <w:pStyle w:val="Textonotapie"/>
        <w:ind w:firstLine="708"/>
        <w:rPr>
          <w:rFonts w:ascii="Arial" w:hAnsi="Arial" w:cs="Arial"/>
          <w:sz w:val="19"/>
          <w:szCs w:val="19"/>
        </w:rPr>
      </w:pPr>
      <w:r w:rsidRPr="00DD1433">
        <w:rPr>
          <w:rFonts w:ascii="Arial" w:hAnsi="Arial" w:cs="Arial"/>
          <w:sz w:val="19"/>
          <w:szCs w:val="19"/>
        </w:rPr>
        <w:t xml:space="preserve"> </w:t>
      </w:r>
    </w:p>
  </w:footnote>
  <w:footnote w:id="7">
    <w:p w14:paraId="64251945" w14:textId="1F939A74" w:rsidR="001D5819" w:rsidRDefault="001D5819" w:rsidP="001D5819">
      <w:pPr>
        <w:pStyle w:val="Textonotapie"/>
        <w:ind w:firstLine="708"/>
      </w:pPr>
      <w:r w:rsidRPr="00DD1433">
        <w:rPr>
          <w:rStyle w:val="Refdenotaalpie"/>
          <w:rFonts w:ascii="Arial" w:hAnsi="Arial" w:cs="Arial"/>
          <w:sz w:val="19"/>
          <w:szCs w:val="19"/>
        </w:rPr>
        <w:footnoteRef/>
      </w:r>
      <w:r w:rsidRPr="00DD1433">
        <w:rPr>
          <w:rFonts w:ascii="Arial" w:hAnsi="Arial" w:cs="Arial"/>
          <w:sz w:val="19"/>
          <w:szCs w:val="19"/>
        </w:rPr>
        <w:t xml:space="preserve"> </w:t>
      </w:r>
      <w:r w:rsidR="00477AFF">
        <w:rPr>
          <w:rFonts w:ascii="Arial" w:hAnsi="Arial" w:cs="Arial"/>
          <w:sz w:val="19"/>
          <w:szCs w:val="19"/>
        </w:rPr>
        <w:t xml:space="preserve">En el siguiente link se puede consultar la Guía para gestionar o publicar los procesos de Régimen Especial sin oferta en el SECOP II:  </w:t>
      </w:r>
      <w:r w:rsidRPr="00DD1433">
        <w:rPr>
          <w:rFonts w:ascii="Arial" w:hAnsi="Arial" w:cs="Arial"/>
          <w:sz w:val="19"/>
          <w:szCs w:val="19"/>
        </w:rPr>
        <w:t xml:space="preserve"> </w:t>
      </w:r>
      <w:hyperlink r:id="rId2" w:history="1">
        <w:r w:rsidRPr="00DD1433">
          <w:rPr>
            <w:rStyle w:val="Hipervnculo"/>
            <w:rFonts w:ascii="Arial" w:hAnsi="Arial" w:cs="Arial"/>
            <w:sz w:val="19"/>
            <w:szCs w:val="19"/>
          </w:rPr>
          <w:t>https://www.colombiacompra.gov.co/node/30741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09FEE" w14:textId="77777777" w:rsidR="006A59DE" w:rsidRDefault="00893262">
    <w:pPr>
      <w:pStyle w:val="Encabezado"/>
    </w:pPr>
    <w:r>
      <w:rPr>
        <w:noProof/>
        <w:lang w:val="es-ES_tradnl" w:eastAsia="es-ES_tradnl"/>
      </w:rPr>
      <w:drawing>
        <wp:anchor distT="0" distB="0" distL="114300" distR="114300" simplePos="0" relativeHeight="251659264" behindDoc="1" locked="0" layoutInCell="1" allowOverlap="1" wp14:anchorId="1650260A" wp14:editId="1BD0095A">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786"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1E4309D"/>
    <w:multiLevelType w:val="hybridMultilevel"/>
    <w:tmpl w:val="B0E2594A"/>
    <w:lvl w:ilvl="0" w:tplc="008E945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7138F2"/>
    <w:multiLevelType w:val="multilevel"/>
    <w:tmpl w:val="D6448A4E"/>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207A1F"/>
    <w:multiLevelType w:val="hybridMultilevel"/>
    <w:tmpl w:val="C2EC8DF4"/>
    <w:lvl w:ilvl="0" w:tplc="F02206D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0F82114"/>
    <w:multiLevelType w:val="hybridMultilevel"/>
    <w:tmpl w:val="B6C06020"/>
    <w:lvl w:ilvl="0" w:tplc="2F4CFC7C">
      <w:start w:val="1"/>
      <w:numFmt w:val="decimal"/>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5BE1AAF"/>
    <w:multiLevelType w:val="hybridMultilevel"/>
    <w:tmpl w:val="4F20CD00"/>
    <w:lvl w:ilvl="0" w:tplc="2494A244">
      <w:start w:val="1"/>
      <w:numFmt w:val="bullet"/>
      <w:lvlText w:val=""/>
      <w:lvlJc w:val="left"/>
      <w:pPr>
        <w:ind w:left="360" w:hanging="360"/>
      </w:pPr>
      <w:rPr>
        <w:rFonts w:ascii="Wingdings" w:hAnsi="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cs="Wingdings" w:hint="default"/>
      </w:rPr>
    </w:lvl>
    <w:lvl w:ilvl="3" w:tplc="FFFFFFFF" w:tentative="1">
      <w:start w:val="1"/>
      <w:numFmt w:val="bullet"/>
      <w:lvlText w:val=""/>
      <w:lvlJc w:val="left"/>
      <w:pPr>
        <w:ind w:left="2520" w:hanging="360"/>
      </w:pPr>
      <w:rPr>
        <w:rFonts w:ascii="Symbol" w:hAnsi="Symbol" w:cs="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cs="Wingdings" w:hint="default"/>
      </w:rPr>
    </w:lvl>
    <w:lvl w:ilvl="6" w:tplc="FFFFFFFF" w:tentative="1">
      <w:start w:val="1"/>
      <w:numFmt w:val="bullet"/>
      <w:lvlText w:val=""/>
      <w:lvlJc w:val="left"/>
      <w:pPr>
        <w:ind w:left="4680" w:hanging="360"/>
      </w:pPr>
      <w:rPr>
        <w:rFonts w:ascii="Symbol" w:hAnsi="Symbol" w:cs="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cs="Wingdings" w:hint="default"/>
      </w:rPr>
    </w:lvl>
  </w:abstractNum>
  <w:abstractNum w:abstractNumId="6" w15:restartNumberingAfterBreak="0">
    <w:nsid w:val="636A1965"/>
    <w:multiLevelType w:val="hybridMultilevel"/>
    <w:tmpl w:val="0CDCC3E0"/>
    <w:lvl w:ilvl="0" w:tplc="B4C2F47E">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E271121"/>
    <w:multiLevelType w:val="hybridMultilevel"/>
    <w:tmpl w:val="B16272F4"/>
    <w:lvl w:ilvl="0" w:tplc="624C605A">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8" w15:restartNumberingAfterBreak="0">
    <w:nsid w:val="783E41F5"/>
    <w:multiLevelType w:val="hybridMultilevel"/>
    <w:tmpl w:val="4B8A4030"/>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num w:numId="1" w16cid:durableId="106779862">
    <w:abstractNumId w:val="0"/>
  </w:num>
  <w:num w:numId="2" w16cid:durableId="295375356">
    <w:abstractNumId w:val="7"/>
  </w:num>
  <w:num w:numId="3" w16cid:durableId="961688332">
    <w:abstractNumId w:val="5"/>
  </w:num>
  <w:num w:numId="4" w16cid:durableId="803431712">
    <w:abstractNumId w:val="8"/>
  </w:num>
  <w:num w:numId="5" w16cid:durableId="505483040">
    <w:abstractNumId w:val="6"/>
  </w:num>
  <w:num w:numId="6" w16cid:durableId="1712142995">
    <w:abstractNumId w:val="3"/>
  </w:num>
  <w:num w:numId="7" w16cid:durableId="391344857">
    <w:abstractNumId w:val="4"/>
  </w:num>
  <w:num w:numId="8" w16cid:durableId="151720221">
    <w:abstractNumId w:val="1"/>
  </w:num>
  <w:num w:numId="9" w16cid:durableId="1974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749"/>
    <w:rsid w:val="00000D58"/>
    <w:rsid w:val="00010DB1"/>
    <w:rsid w:val="00016847"/>
    <w:rsid w:val="000224BF"/>
    <w:rsid w:val="00024A07"/>
    <w:rsid w:val="00027911"/>
    <w:rsid w:val="00032B63"/>
    <w:rsid w:val="000351B4"/>
    <w:rsid w:val="000369E1"/>
    <w:rsid w:val="00037C63"/>
    <w:rsid w:val="00042129"/>
    <w:rsid w:val="00047FA6"/>
    <w:rsid w:val="000537BA"/>
    <w:rsid w:val="00056DB2"/>
    <w:rsid w:val="000601F9"/>
    <w:rsid w:val="000615DD"/>
    <w:rsid w:val="00065B61"/>
    <w:rsid w:val="000661B2"/>
    <w:rsid w:val="000721DE"/>
    <w:rsid w:val="00072ABF"/>
    <w:rsid w:val="00072C84"/>
    <w:rsid w:val="00074AB1"/>
    <w:rsid w:val="00082540"/>
    <w:rsid w:val="0008348A"/>
    <w:rsid w:val="0008765C"/>
    <w:rsid w:val="0009315C"/>
    <w:rsid w:val="00096B6B"/>
    <w:rsid w:val="000A0C3B"/>
    <w:rsid w:val="000A158D"/>
    <w:rsid w:val="000A1919"/>
    <w:rsid w:val="000A1C22"/>
    <w:rsid w:val="000A2276"/>
    <w:rsid w:val="000A496E"/>
    <w:rsid w:val="000A63D3"/>
    <w:rsid w:val="000B4049"/>
    <w:rsid w:val="000B6C5C"/>
    <w:rsid w:val="000C58C5"/>
    <w:rsid w:val="000D1271"/>
    <w:rsid w:val="000D7044"/>
    <w:rsid w:val="000E09C8"/>
    <w:rsid w:val="000E3154"/>
    <w:rsid w:val="000E3EC1"/>
    <w:rsid w:val="000F230C"/>
    <w:rsid w:val="000F4165"/>
    <w:rsid w:val="000F7C55"/>
    <w:rsid w:val="001007B2"/>
    <w:rsid w:val="00105B13"/>
    <w:rsid w:val="00111082"/>
    <w:rsid w:val="00115E78"/>
    <w:rsid w:val="00117192"/>
    <w:rsid w:val="00117C68"/>
    <w:rsid w:val="00122B35"/>
    <w:rsid w:val="00126309"/>
    <w:rsid w:val="00127711"/>
    <w:rsid w:val="00131191"/>
    <w:rsid w:val="00132497"/>
    <w:rsid w:val="00132C96"/>
    <w:rsid w:val="00150493"/>
    <w:rsid w:val="00152841"/>
    <w:rsid w:val="0015488C"/>
    <w:rsid w:val="00161D0C"/>
    <w:rsid w:val="001641EF"/>
    <w:rsid w:val="00170309"/>
    <w:rsid w:val="001703C3"/>
    <w:rsid w:val="00174F08"/>
    <w:rsid w:val="0018142A"/>
    <w:rsid w:val="00186FE7"/>
    <w:rsid w:val="00190D7F"/>
    <w:rsid w:val="0019441A"/>
    <w:rsid w:val="001950E0"/>
    <w:rsid w:val="001A641F"/>
    <w:rsid w:val="001B3FF6"/>
    <w:rsid w:val="001B7837"/>
    <w:rsid w:val="001C0FA1"/>
    <w:rsid w:val="001C57B6"/>
    <w:rsid w:val="001D0FB7"/>
    <w:rsid w:val="001D341C"/>
    <w:rsid w:val="001D3749"/>
    <w:rsid w:val="001D5819"/>
    <w:rsid w:val="001E2894"/>
    <w:rsid w:val="001E6C25"/>
    <w:rsid w:val="001E775A"/>
    <w:rsid w:val="001F2A10"/>
    <w:rsid w:val="001F33F7"/>
    <w:rsid w:val="001F52A0"/>
    <w:rsid w:val="00205854"/>
    <w:rsid w:val="002141EE"/>
    <w:rsid w:val="00215B70"/>
    <w:rsid w:val="002160DE"/>
    <w:rsid w:val="00226416"/>
    <w:rsid w:val="00235F69"/>
    <w:rsid w:val="00257031"/>
    <w:rsid w:val="00263B4D"/>
    <w:rsid w:val="002766C2"/>
    <w:rsid w:val="002770E6"/>
    <w:rsid w:val="0028309A"/>
    <w:rsid w:val="00283A80"/>
    <w:rsid w:val="002A3F12"/>
    <w:rsid w:val="002B3A95"/>
    <w:rsid w:val="002B576F"/>
    <w:rsid w:val="002B6BD6"/>
    <w:rsid w:val="002C22CD"/>
    <w:rsid w:val="002C24F8"/>
    <w:rsid w:val="002D1781"/>
    <w:rsid w:val="002E13F9"/>
    <w:rsid w:val="002E19F9"/>
    <w:rsid w:val="002E3344"/>
    <w:rsid w:val="002E5585"/>
    <w:rsid w:val="002F6F1A"/>
    <w:rsid w:val="002F7263"/>
    <w:rsid w:val="00306F4F"/>
    <w:rsid w:val="0031134C"/>
    <w:rsid w:val="00311F96"/>
    <w:rsid w:val="00322637"/>
    <w:rsid w:val="00325A61"/>
    <w:rsid w:val="00333D07"/>
    <w:rsid w:val="003356B8"/>
    <w:rsid w:val="00342D5B"/>
    <w:rsid w:val="00343596"/>
    <w:rsid w:val="00344AF1"/>
    <w:rsid w:val="00345E27"/>
    <w:rsid w:val="00347CEA"/>
    <w:rsid w:val="003609A7"/>
    <w:rsid w:val="0036243E"/>
    <w:rsid w:val="00363738"/>
    <w:rsid w:val="00382823"/>
    <w:rsid w:val="0038370E"/>
    <w:rsid w:val="0038559D"/>
    <w:rsid w:val="00386BE5"/>
    <w:rsid w:val="0039042D"/>
    <w:rsid w:val="0039145E"/>
    <w:rsid w:val="00393BA1"/>
    <w:rsid w:val="00395476"/>
    <w:rsid w:val="00395E95"/>
    <w:rsid w:val="00396E1B"/>
    <w:rsid w:val="00397768"/>
    <w:rsid w:val="003A51F2"/>
    <w:rsid w:val="003A6756"/>
    <w:rsid w:val="003A7B99"/>
    <w:rsid w:val="003B08FA"/>
    <w:rsid w:val="003C2AFC"/>
    <w:rsid w:val="003C2F2A"/>
    <w:rsid w:val="003C6C63"/>
    <w:rsid w:val="003C6ED4"/>
    <w:rsid w:val="003D049D"/>
    <w:rsid w:val="003D72E4"/>
    <w:rsid w:val="003F2809"/>
    <w:rsid w:val="003F29D7"/>
    <w:rsid w:val="003F433F"/>
    <w:rsid w:val="00403110"/>
    <w:rsid w:val="00404835"/>
    <w:rsid w:val="00410824"/>
    <w:rsid w:val="004162DA"/>
    <w:rsid w:val="00417527"/>
    <w:rsid w:val="00426AE0"/>
    <w:rsid w:val="00431355"/>
    <w:rsid w:val="00432C3E"/>
    <w:rsid w:val="00434F43"/>
    <w:rsid w:val="00435E72"/>
    <w:rsid w:val="00445A04"/>
    <w:rsid w:val="00445AA8"/>
    <w:rsid w:val="0045030E"/>
    <w:rsid w:val="0045549B"/>
    <w:rsid w:val="00462F40"/>
    <w:rsid w:val="00464121"/>
    <w:rsid w:val="00472085"/>
    <w:rsid w:val="00472224"/>
    <w:rsid w:val="004730F4"/>
    <w:rsid w:val="00477AFF"/>
    <w:rsid w:val="00490F9B"/>
    <w:rsid w:val="00491C68"/>
    <w:rsid w:val="004956BD"/>
    <w:rsid w:val="0049776B"/>
    <w:rsid w:val="004A4259"/>
    <w:rsid w:val="004A7607"/>
    <w:rsid w:val="004B74E4"/>
    <w:rsid w:val="004C14BC"/>
    <w:rsid w:val="004C6976"/>
    <w:rsid w:val="004D34C1"/>
    <w:rsid w:val="004D50C3"/>
    <w:rsid w:val="004E35A2"/>
    <w:rsid w:val="004E7A12"/>
    <w:rsid w:val="004F4752"/>
    <w:rsid w:val="004F4AAE"/>
    <w:rsid w:val="004F4F98"/>
    <w:rsid w:val="005006CF"/>
    <w:rsid w:val="00501411"/>
    <w:rsid w:val="00523B79"/>
    <w:rsid w:val="0052735E"/>
    <w:rsid w:val="00541B64"/>
    <w:rsid w:val="00545673"/>
    <w:rsid w:val="00545A91"/>
    <w:rsid w:val="0055184F"/>
    <w:rsid w:val="00567A22"/>
    <w:rsid w:val="005753C2"/>
    <w:rsid w:val="00587A88"/>
    <w:rsid w:val="005A177D"/>
    <w:rsid w:val="005A1AB7"/>
    <w:rsid w:val="005A2209"/>
    <w:rsid w:val="005B57D2"/>
    <w:rsid w:val="005C1D28"/>
    <w:rsid w:val="005C65DC"/>
    <w:rsid w:val="005D3FB7"/>
    <w:rsid w:val="005D61FB"/>
    <w:rsid w:val="005F220D"/>
    <w:rsid w:val="005F7BA2"/>
    <w:rsid w:val="006004A3"/>
    <w:rsid w:val="00604C53"/>
    <w:rsid w:val="00612D24"/>
    <w:rsid w:val="00613353"/>
    <w:rsid w:val="006137FA"/>
    <w:rsid w:val="00614F0D"/>
    <w:rsid w:val="00624B3B"/>
    <w:rsid w:val="0062655F"/>
    <w:rsid w:val="006269AC"/>
    <w:rsid w:val="00630110"/>
    <w:rsid w:val="00633310"/>
    <w:rsid w:val="006333B8"/>
    <w:rsid w:val="00635BFB"/>
    <w:rsid w:val="00643816"/>
    <w:rsid w:val="00645F89"/>
    <w:rsid w:val="00646D2A"/>
    <w:rsid w:val="00661FEE"/>
    <w:rsid w:val="00663163"/>
    <w:rsid w:val="0067130B"/>
    <w:rsid w:val="006713AE"/>
    <w:rsid w:val="00674B99"/>
    <w:rsid w:val="006772CD"/>
    <w:rsid w:val="00680FA2"/>
    <w:rsid w:val="0068126D"/>
    <w:rsid w:val="006A177C"/>
    <w:rsid w:val="006A66B4"/>
    <w:rsid w:val="006C23D7"/>
    <w:rsid w:val="006D1570"/>
    <w:rsid w:val="006D3B47"/>
    <w:rsid w:val="006D4428"/>
    <w:rsid w:val="006D519E"/>
    <w:rsid w:val="006E236F"/>
    <w:rsid w:val="006E3417"/>
    <w:rsid w:val="006E6BAD"/>
    <w:rsid w:val="006F1095"/>
    <w:rsid w:val="006F165A"/>
    <w:rsid w:val="006F3AF6"/>
    <w:rsid w:val="007019C5"/>
    <w:rsid w:val="00703F90"/>
    <w:rsid w:val="00711D67"/>
    <w:rsid w:val="00714080"/>
    <w:rsid w:val="0071435A"/>
    <w:rsid w:val="007203D0"/>
    <w:rsid w:val="0072148D"/>
    <w:rsid w:val="00723A84"/>
    <w:rsid w:val="00740EA4"/>
    <w:rsid w:val="007432FD"/>
    <w:rsid w:val="007453FA"/>
    <w:rsid w:val="0075325C"/>
    <w:rsid w:val="00754DFE"/>
    <w:rsid w:val="00760E53"/>
    <w:rsid w:val="00764F43"/>
    <w:rsid w:val="00774B2B"/>
    <w:rsid w:val="0077520C"/>
    <w:rsid w:val="00775FD6"/>
    <w:rsid w:val="00776043"/>
    <w:rsid w:val="00783B38"/>
    <w:rsid w:val="00797A23"/>
    <w:rsid w:val="007A4A41"/>
    <w:rsid w:val="007A506D"/>
    <w:rsid w:val="007B72D1"/>
    <w:rsid w:val="007C787F"/>
    <w:rsid w:val="007D73F9"/>
    <w:rsid w:val="007F1007"/>
    <w:rsid w:val="007F7F62"/>
    <w:rsid w:val="00802AED"/>
    <w:rsid w:val="00806D0A"/>
    <w:rsid w:val="00815BBA"/>
    <w:rsid w:val="00816906"/>
    <w:rsid w:val="00816B32"/>
    <w:rsid w:val="00842693"/>
    <w:rsid w:val="00850454"/>
    <w:rsid w:val="00851B68"/>
    <w:rsid w:val="00860124"/>
    <w:rsid w:val="00862F11"/>
    <w:rsid w:val="008706E2"/>
    <w:rsid w:val="008775A5"/>
    <w:rsid w:val="00877EE7"/>
    <w:rsid w:val="008828DB"/>
    <w:rsid w:val="00886724"/>
    <w:rsid w:val="00886F31"/>
    <w:rsid w:val="00893262"/>
    <w:rsid w:val="008A0149"/>
    <w:rsid w:val="008A058F"/>
    <w:rsid w:val="008A161E"/>
    <w:rsid w:val="008A356F"/>
    <w:rsid w:val="008A3F6A"/>
    <w:rsid w:val="008A58C0"/>
    <w:rsid w:val="008B1A89"/>
    <w:rsid w:val="008B3BFD"/>
    <w:rsid w:val="008B6272"/>
    <w:rsid w:val="008B657D"/>
    <w:rsid w:val="008C556A"/>
    <w:rsid w:val="008D406A"/>
    <w:rsid w:val="008D5751"/>
    <w:rsid w:val="008E32F5"/>
    <w:rsid w:val="008E40A9"/>
    <w:rsid w:val="008E43F6"/>
    <w:rsid w:val="008F013A"/>
    <w:rsid w:val="008F460D"/>
    <w:rsid w:val="008F4D7B"/>
    <w:rsid w:val="0090194B"/>
    <w:rsid w:val="00905226"/>
    <w:rsid w:val="0090637D"/>
    <w:rsid w:val="00921987"/>
    <w:rsid w:val="00924035"/>
    <w:rsid w:val="009251AF"/>
    <w:rsid w:val="00926562"/>
    <w:rsid w:val="00934976"/>
    <w:rsid w:val="00937FD9"/>
    <w:rsid w:val="00942F34"/>
    <w:rsid w:val="00953AA2"/>
    <w:rsid w:val="00971637"/>
    <w:rsid w:val="0097230D"/>
    <w:rsid w:val="009731E4"/>
    <w:rsid w:val="00973E94"/>
    <w:rsid w:val="009845B6"/>
    <w:rsid w:val="009848F0"/>
    <w:rsid w:val="0098603A"/>
    <w:rsid w:val="00990ACF"/>
    <w:rsid w:val="0099104A"/>
    <w:rsid w:val="00994446"/>
    <w:rsid w:val="009A280E"/>
    <w:rsid w:val="009A6933"/>
    <w:rsid w:val="009B6205"/>
    <w:rsid w:val="009B7221"/>
    <w:rsid w:val="009C6199"/>
    <w:rsid w:val="009C7F1E"/>
    <w:rsid w:val="009D4FDE"/>
    <w:rsid w:val="009E1A39"/>
    <w:rsid w:val="009E1C4C"/>
    <w:rsid w:val="009E3E48"/>
    <w:rsid w:val="009E3F7A"/>
    <w:rsid w:val="009E4C5E"/>
    <w:rsid w:val="009F311A"/>
    <w:rsid w:val="009F6444"/>
    <w:rsid w:val="009F7C55"/>
    <w:rsid w:val="00A04381"/>
    <w:rsid w:val="00A0615A"/>
    <w:rsid w:val="00A07327"/>
    <w:rsid w:val="00A11EDA"/>
    <w:rsid w:val="00A1468C"/>
    <w:rsid w:val="00A166AA"/>
    <w:rsid w:val="00A169A8"/>
    <w:rsid w:val="00A20188"/>
    <w:rsid w:val="00A275A8"/>
    <w:rsid w:val="00A2780C"/>
    <w:rsid w:val="00A36DF2"/>
    <w:rsid w:val="00A37D12"/>
    <w:rsid w:val="00A418E1"/>
    <w:rsid w:val="00A5764C"/>
    <w:rsid w:val="00A6026A"/>
    <w:rsid w:val="00A62912"/>
    <w:rsid w:val="00A66366"/>
    <w:rsid w:val="00A72AB5"/>
    <w:rsid w:val="00A75DB0"/>
    <w:rsid w:val="00A82484"/>
    <w:rsid w:val="00AA1DD7"/>
    <w:rsid w:val="00AA1F28"/>
    <w:rsid w:val="00AA51F8"/>
    <w:rsid w:val="00AA5F5A"/>
    <w:rsid w:val="00AA6071"/>
    <w:rsid w:val="00AB0478"/>
    <w:rsid w:val="00AB0868"/>
    <w:rsid w:val="00AB7C92"/>
    <w:rsid w:val="00AC6466"/>
    <w:rsid w:val="00AC6564"/>
    <w:rsid w:val="00AD1647"/>
    <w:rsid w:val="00AD4FA9"/>
    <w:rsid w:val="00AD67C4"/>
    <w:rsid w:val="00AD692E"/>
    <w:rsid w:val="00AD6EB5"/>
    <w:rsid w:val="00AE3188"/>
    <w:rsid w:val="00AE421F"/>
    <w:rsid w:val="00AF0FE9"/>
    <w:rsid w:val="00AF47A3"/>
    <w:rsid w:val="00B00BD2"/>
    <w:rsid w:val="00B04CE3"/>
    <w:rsid w:val="00B11D58"/>
    <w:rsid w:val="00B16204"/>
    <w:rsid w:val="00B24336"/>
    <w:rsid w:val="00B31211"/>
    <w:rsid w:val="00B33B5A"/>
    <w:rsid w:val="00B413D5"/>
    <w:rsid w:val="00B42BDF"/>
    <w:rsid w:val="00B4741C"/>
    <w:rsid w:val="00B533A3"/>
    <w:rsid w:val="00B536BE"/>
    <w:rsid w:val="00B53A6C"/>
    <w:rsid w:val="00B66BDE"/>
    <w:rsid w:val="00B70726"/>
    <w:rsid w:val="00B723D0"/>
    <w:rsid w:val="00B76961"/>
    <w:rsid w:val="00B840B1"/>
    <w:rsid w:val="00B84196"/>
    <w:rsid w:val="00B85876"/>
    <w:rsid w:val="00B879A4"/>
    <w:rsid w:val="00B93EDB"/>
    <w:rsid w:val="00BA2A03"/>
    <w:rsid w:val="00BB0237"/>
    <w:rsid w:val="00BB149B"/>
    <w:rsid w:val="00BB4358"/>
    <w:rsid w:val="00BC287C"/>
    <w:rsid w:val="00BC421B"/>
    <w:rsid w:val="00BC57D9"/>
    <w:rsid w:val="00BD0B22"/>
    <w:rsid w:val="00BE3823"/>
    <w:rsid w:val="00C203F9"/>
    <w:rsid w:val="00C219AD"/>
    <w:rsid w:val="00C232B4"/>
    <w:rsid w:val="00C24D5E"/>
    <w:rsid w:val="00C255E8"/>
    <w:rsid w:val="00C36DDB"/>
    <w:rsid w:val="00C41DB9"/>
    <w:rsid w:val="00C445CD"/>
    <w:rsid w:val="00C51765"/>
    <w:rsid w:val="00C523C9"/>
    <w:rsid w:val="00C61178"/>
    <w:rsid w:val="00C624EC"/>
    <w:rsid w:val="00C63BF6"/>
    <w:rsid w:val="00C63F6D"/>
    <w:rsid w:val="00C87048"/>
    <w:rsid w:val="00C97C7D"/>
    <w:rsid w:val="00CA336D"/>
    <w:rsid w:val="00CA3940"/>
    <w:rsid w:val="00CB6125"/>
    <w:rsid w:val="00CC07B6"/>
    <w:rsid w:val="00CC2B88"/>
    <w:rsid w:val="00CC55B3"/>
    <w:rsid w:val="00CE2C80"/>
    <w:rsid w:val="00CF1204"/>
    <w:rsid w:val="00CF190F"/>
    <w:rsid w:val="00D02D49"/>
    <w:rsid w:val="00D104B0"/>
    <w:rsid w:val="00D10C18"/>
    <w:rsid w:val="00D11F8C"/>
    <w:rsid w:val="00D168AD"/>
    <w:rsid w:val="00D17348"/>
    <w:rsid w:val="00D17569"/>
    <w:rsid w:val="00D17797"/>
    <w:rsid w:val="00D17E9C"/>
    <w:rsid w:val="00D20B11"/>
    <w:rsid w:val="00D2250B"/>
    <w:rsid w:val="00D27475"/>
    <w:rsid w:val="00D36DD6"/>
    <w:rsid w:val="00D52790"/>
    <w:rsid w:val="00D52F45"/>
    <w:rsid w:val="00D53C61"/>
    <w:rsid w:val="00D6059F"/>
    <w:rsid w:val="00D66D23"/>
    <w:rsid w:val="00D75B88"/>
    <w:rsid w:val="00D8178F"/>
    <w:rsid w:val="00D85EC0"/>
    <w:rsid w:val="00D90B5A"/>
    <w:rsid w:val="00D92DCA"/>
    <w:rsid w:val="00DA62C3"/>
    <w:rsid w:val="00DB1DCD"/>
    <w:rsid w:val="00DB478D"/>
    <w:rsid w:val="00DB58A9"/>
    <w:rsid w:val="00DC3B13"/>
    <w:rsid w:val="00DC3EA0"/>
    <w:rsid w:val="00DC4F20"/>
    <w:rsid w:val="00DC6ADA"/>
    <w:rsid w:val="00DD287E"/>
    <w:rsid w:val="00DE1B2F"/>
    <w:rsid w:val="00DE2CD6"/>
    <w:rsid w:val="00DE3463"/>
    <w:rsid w:val="00DF0346"/>
    <w:rsid w:val="00DF162F"/>
    <w:rsid w:val="00DF4E7F"/>
    <w:rsid w:val="00DF7806"/>
    <w:rsid w:val="00E102E4"/>
    <w:rsid w:val="00E24697"/>
    <w:rsid w:val="00E31C61"/>
    <w:rsid w:val="00E32199"/>
    <w:rsid w:val="00E34E1D"/>
    <w:rsid w:val="00E46001"/>
    <w:rsid w:val="00E50A0F"/>
    <w:rsid w:val="00E55E59"/>
    <w:rsid w:val="00E5798D"/>
    <w:rsid w:val="00E63447"/>
    <w:rsid w:val="00E67187"/>
    <w:rsid w:val="00E70C9F"/>
    <w:rsid w:val="00E75268"/>
    <w:rsid w:val="00E75D6E"/>
    <w:rsid w:val="00E75FD9"/>
    <w:rsid w:val="00E805C9"/>
    <w:rsid w:val="00E817E5"/>
    <w:rsid w:val="00E81CA7"/>
    <w:rsid w:val="00E830E4"/>
    <w:rsid w:val="00E842AE"/>
    <w:rsid w:val="00E90584"/>
    <w:rsid w:val="00EA0891"/>
    <w:rsid w:val="00EA1F1D"/>
    <w:rsid w:val="00EA23EC"/>
    <w:rsid w:val="00EA35CB"/>
    <w:rsid w:val="00EA3927"/>
    <w:rsid w:val="00EA617F"/>
    <w:rsid w:val="00EC3CF8"/>
    <w:rsid w:val="00EC5B77"/>
    <w:rsid w:val="00ED2E34"/>
    <w:rsid w:val="00ED427A"/>
    <w:rsid w:val="00ED52FA"/>
    <w:rsid w:val="00EE5B8A"/>
    <w:rsid w:val="00EE633C"/>
    <w:rsid w:val="00EF540A"/>
    <w:rsid w:val="00F2100F"/>
    <w:rsid w:val="00F26756"/>
    <w:rsid w:val="00F276F1"/>
    <w:rsid w:val="00F36939"/>
    <w:rsid w:val="00F36CEB"/>
    <w:rsid w:val="00F36D13"/>
    <w:rsid w:val="00F37CBA"/>
    <w:rsid w:val="00F41AAE"/>
    <w:rsid w:val="00F54875"/>
    <w:rsid w:val="00F6465E"/>
    <w:rsid w:val="00F661CC"/>
    <w:rsid w:val="00F66685"/>
    <w:rsid w:val="00F81517"/>
    <w:rsid w:val="00F86953"/>
    <w:rsid w:val="00F90321"/>
    <w:rsid w:val="00F91070"/>
    <w:rsid w:val="00F916A6"/>
    <w:rsid w:val="00F92047"/>
    <w:rsid w:val="00F9741F"/>
    <w:rsid w:val="00FA0E45"/>
    <w:rsid w:val="00FA0F0A"/>
    <w:rsid w:val="00FA3102"/>
    <w:rsid w:val="00FA78FA"/>
    <w:rsid w:val="00FB583B"/>
    <w:rsid w:val="00FB691D"/>
    <w:rsid w:val="00FC020D"/>
    <w:rsid w:val="00FC19E0"/>
    <w:rsid w:val="00FC4E89"/>
    <w:rsid w:val="00FC7718"/>
    <w:rsid w:val="00FC7801"/>
    <w:rsid w:val="00FD192A"/>
    <w:rsid w:val="00FD530F"/>
    <w:rsid w:val="00FD5E14"/>
    <w:rsid w:val="00FD7425"/>
    <w:rsid w:val="00FE24D3"/>
    <w:rsid w:val="00FE5627"/>
    <w:rsid w:val="00FE7E6F"/>
    <w:rsid w:val="00FF5228"/>
    <w:rsid w:val="00FF6D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C316A"/>
  <w15:chartTrackingRefBased/>
  <w15:docId w15:val="{EE900769-6901-4CA2-A721-FA093021E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B63"/>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D3749"/>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1D3749"/>
    <w:rPr>
      <w:sz w:val="24"/>
      <w:lang w:val="es-MX"/>
    </w:rPr>
  </w:style>
  <w:style w:type="paragraph" w:styleId="Encabezado">
    <w:name w:val="header"/>
    <w:basedOn w:val="Normal"/>
    <w:link w:val="EncabezadoCar"/>
    <w:uiPriority w:val="99"/>
    <w:unhideWhenUsed/>
    <w:rsid w:val="001D3749"/>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1D3749"/>
    <w:rPr>
      <w:sz w:val="24"/>
      <w:lang w:val="es-MX"/>
    </w:rPr>
  </w:style>
  <w:style w:type="table" w:styleId="Tablaconcuadrcula">
    <w:name w:val="Table Grid"/>
    <w:basedOn w:val="Tablanormal"/>
    <w:uiPriority w:val="59"/>
    <w:rsid w:val="001D3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1D3749"/>
    <w:pPr>
      <w:ind w:left="720"/>
      <w:contextualSpacing/>
    </w:pPr>
    <w:rPr>
      <w:rFonts w:asciiTheme="minorHAnsi" w:eastAsiaTheme="minorHAnsi" w:hAnsiTheme="minorHAnsi" w:cstheme="minorBidi"/>
      <w:szCs w:val="22"/>
      <w:lang w:val="es-MX" w:eastAsia="en-US"/>
    </w:rPr>
  </w:style>
  <w:style w:type="paragraph" w:styleId="NormalWeb">
    <w:name w:val="Normal (Web)"/>
    <w:basedOn w:val="Normal"/>
    <w:link w:val="NormalWebCar"/>
    <w:uiPriority w:val="99"/>
    <w:unhideWhenUsed/>
    <w:rsid w:val="001D3749"/>
    <w:pPr>
      <w:spacing w:before="100" w:beforeAutospacing="1" w:after="100" w:afterAutospacing="1"/>
    </w:pPr>
    <w:rPr>
      <w:lang w:eastAsia="es-CO"/>
    </w:rPr>
  </w:style>
  <w:style w:type="paragraph" w:styleId="Sinespaciado">
    <w:name w:val="No Spacing"/>
    <w:aliases w:val="No Indent"/>
    <w:uiPriority w:val="3"/>
    <w:qFormat/>
    <w:rsid w:val="001D3749"/>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1D3749"/>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1D3749"/>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1D3749"/>
    <w:rPr>
      <w:rFonts w:ascii="Times New Roman" w:eastAsia="Times New Roman" w:hAnsi="Times New Roman" w:cs="Times New Roman"/>
      <w:sz w:val="20"/>
      <w:szCs w:val="20"/>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1D3749"/>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1D3749"/>
    <w:rPr>
      <w:vertAlign w:val="superscript"/>
    </w:rPr>
  </w:style>
  <w:style w:type="paragraph" w:customStyle="1" w:styleId="Appelnotedebasde">
    <w:name w:val="Appel note de bas de..."/>
    <w:basedOn w:val="Normal"/>
    <w:link w:val="Refdenotaalpie"/>
    <w:uiPriority w:val="99"/>
    <w:rsid w:val="001D3749"/>
    <w:pPr>
      <w:spacing w:after="160" w:line="240" w:lineRule="exact"/>
    </w:pPr>
    <w:rPr>
      <w:rFonts w:asciiTheme="minorHAnsi" w:eastAsiaTheme="minorHAnsi" w:hAnsiTheme="minorHAnsi" w:cstheme="minorBidi"/>
      <w:sz w:val="22"/>
      <w:szCs w:val="22"/>
      <w:vertAlign w:val="superscript"/>
      <w:lang w:eastAsia="en-US"/>
    </w:rPr>
  </w:style>
  <w:style w:type="character" w:styleId="Textoennegrita">
    <w:name w:val="Strong"/>
    <w:basedOn w:val="Fuentedeprrafopredeter"/>
    <w:uiPriority w:val="22"/>
    <w:qFormat/>
    <w:rsid w:val="001D3749"/>
    <w:rPr>
      <w:b/>
      <w:bCs/>
    </w:rPr>
  </w:style>
  <w:style w:type="character" w:styleId="nfasis">
    <w:name w:val="Emphasis"/>
    <w:basedOn w:val="Fuentedeprrafopredeter"/>
    <w:uiPriority w:val="20"/>
    <w:qFormat/>
    <w:rsid w:val="001D3749"/>
    <w:rPr>
      <w:i/>
      <w:iCs/>
    </w:rPr>
  </w:style>
  <w:style w:type="character" w:customStyle="1" w:styleId="NormalWebCar">
    <w:name w:val="Normal (Web) Car"/>
    <w:link w:val="NormalWeb"/>
    <w:uiPriority w:val="99"/>
    <w:rsid w:val="001D3749"/>
    <w:rPr>
      <w:rFonts w:ascii="Times New Roman" w:eastAsia="Times New Roman" w:hAnsi="Times New Roman" w:cs="Times New Roman"/>
      <w:sz w:val="24"/>
      <w:szCs w:val="24"/>
      <w:lang w:eastAsia="es-CO"/>
    </w:rPr>
  </w:style>
  <w:style w:type="paragraph" w:styleId="Revisin">
    <w:name w:val="Revision"/>
    <w:hidden/>
    <w:uiPriority w:val="99"/>
    <w:semiHidden/>
    <w:rsid w:val="00ED427A"/>
    <w:pPr>
      <w:spacing w:after="0" w:line="240" w:lineRule="auto"/>
    </w:pPr>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8A356F"/>
    <w:rPr>
      <w:sz w:val="16"/>
      <w:szCs w:val="16"/>
    </w:rPr>
  </w:style>
  <w:style w:type="paragraph" w:styleId="Textocomentario">
    <w:name w:val="annotation text"/>
    <w:basedOn w:val="Normal"/>
    <w:link w:val="TextocomentarioCar"/>
    <w:uiPriority w:val="99"/>
    <w:semiHidden/>
    <w:unhideWhenUsed/>
    <w:rsid w:val="008A356F"/>
    <w:rPr>
      <w:sz w:val="20"/>
      <w:szCs w:val="20"/>
    </w:rPr>
  </w:style>
  <w:style w:type="character" w:customStyle="1" w:styleId="TextocomentarioCar">
    <w:name w:val="Texto comentario Car"/>
    <w:basedOn w:val="Fuentedeprrafopredeter"/>
    <w:link w:val="Textocomentario"/>
    <w:uiPriority w:val="99"/>
    <w:semiHidden/>
    <w:rsid w:val="008A356F"/>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8A356F"/>
    <w:rPr>
      <w:b/>
      <w:bCs/>
    </w:rPr>
  </w:style>
  <w:style w:type="character" w:customStyle="1" w:styleId="AsuntodelcomentarioCar">
    <w:name w:val="Asunto del comentario Car"/>
    <w:basedOn w:val="TextocomentarioCar"/>
    <w:link w:val="Asuntodelcomentario"/>
    <w:uiPriority w:val="99"/>
    <w:semiHidden/>
    <w:rsid w:val="008A356F"/>
    <w:rPr>
      <w:rFonts w:ascii="Times New Roman" w:eastAsia="Times New Roman" w:hAnsi="Times New Roman" w:cs="Times New Roman"/>
      <w:b/>
      <w:bCs/>
      <w:sz w:val="20"/>
      <w:szCs w:val="20"/>
      <w:lang w:eastAsia="es-ES_tradnl"/>
    </w:rPr>
  </w:style>
  <w:style w:type="character" w:styleId="Hipervnculo">
    <w:name w:val="Hyperlink"/>
    <w:basedOn w:val="Fuentedeprrafopredeter"/>
    <w:uiPriority w:val="99"/>
    <w:unhideWhenUsed/>
    <w:rsid w:val="007019C5"/>
    <w:rPr>
      <w:color w:val="0563C1" w:themeColor="hyperlink"/>
      <w:u w:val="single"/>
    </w:rPr>
  </w:style>
  <w:style w:type="character" w:styleId="Mencinsinresolver">
    <w:name w:val="Unresolved Mention"/>
    <w:basedOn w:val="Fuentedeprrafopredeter"/>
    <w:uiPriority w:val="99"/>
    <w:semiHidden/>
    <w:unhideWhenUsed/>
    <w:rsid w:val="00E50A0F"/>
    <w:rPr>
      <w:color w:val="605E5C"/>
      <w:shd w:val="clear" w:color="auto" w:fill="E1DFDD"/>
    </w:rPr>
  </w:style>
  <w:style w:type="paragraph" w:styleId="Textoindependiente">
    <w:name w:val="Body Text"/>
    <w:basedOn w:val="Normal"/>
    <w:link w:val="TextoindependienteCar"/>
    <w:rsid w:val="007D73F9"/>
    <w:pPr>
      <w:spacing w:after="120"/>
    </w:pPr>
    <w:rPr>
      <w:lang w:eastAsia="es-CO"/>
    </w:rPr>
  </w:style>
  <w:style w:type="character" w:customStyle="1" w:styleId="TextoindependienteCar">
    <w:name w:val="Texto independiente Car"/>
    <w:basedOn w:val="Fuentedeprrafopredeter"/>
    <w:link w:val="Textoindependiente"/>
    <w:rsid w:val="007D73F9"/>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775FD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5FD6"/>
    <w:rPr>
      <w:rFonts w:ascii="Segoe UI" w:eastAsia="Times New Roman" w:hAnsi="Segoe UI" w:cs="Segoe UI"/>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6782">
      <w:bodyDiv w:val="1"/>
      <w:marLeft w:val="0"/>
      <w:marRight w:val="0"/>
      <w:marTop w:val="0"/>
      <w:marBottom w:val="0"/>
      <w:divBdr>
        <w:top w:val="none" w:sz="0" w:space="0" w:color="auto"/>
        <w:left w:val="none" w:sz="0" w:space="0" w:color="auto"/>
        <w:bottom w:val="none" w:sz="0" w:space="0" w:color="auto"/>
        <w:right w:val="none" w:sz="0" w:space="0" w:color="auto"/>
      </w:divBdr>
    </w:div>
    <w:div w:id="110573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ciudadanos/calendario/%20%2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copii@colombiacompra.gov.c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node/30741" TargetMode="External"/><Relationship Id="rId1" Type="http://schemas.openxmlformats.org/officeDocument/2006/relationships/hyperlink" Target="https://www.colombiacompra.gov.co/node/236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SharedWithUsers xmlns="a6cb9e4b-f1d1-4245-83ec-6cad768d538a">
      <UserInfo>
        <DisplayName/>
        <AccountId xsi:nil="true"/>
        <AccountType/>
      </UserInfo>
    </SharedWithUsers>
  </documentManagement>
</p:properties>
</file>

<file path=customXml/itemProps1.xml><?xml version="1.0" encoding="utf-8"?>
<ds:datastoreItem xmlns:ds="http://schemas.openxmlformats.org/officeDocument/2006/customXml" ds:itemID="{8FCE571E-2027-47E5-BB78-6BB8D318342D}">
  <ds:schemaRefs>
    <ds:schemaRef ds:uri="http://schemas.openxmlformats.org/officeDocument/2006/bibliography"/>
  </ds:schemaRefs>
</ds:datastoreItem>
</file>

<file path=customXml/itemProps2.xml><?xml version="1.0" encoding="utf-8"?>
<ds:datastoreItem xmlns:ds="http://schemas.openxmlformats.org/officeDocument/2006/customXml" ds:itemID="{EF96BCBE-55F2-4231-943D-F3E659AF5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AFEF87-99EE-442A-85B7-9383039C4A6A}">
  <ds:schemaRefs>
    <ds:schemaRef ds:uri="http://schemas.microsoft.com/sharepoint/v3/contenttype/forms"/>
  </ds:schemaRefs>
</ds:datastoreItem>
</file>

<file path=customXml/itemProps4.xml><?xml version="1.0" encoding="utf-8"?>
<ds:datastoreItem xmlns:ds="http://schemas.openxmlformats.org/officeDocument/2006/customXml" ds:itemID="{04E23712-3BDC-4D47-B228-DE1EB2FFE5B6}">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4561</Words>
  <Characters>25086</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Saavedra</dc:creator>
  <cp:keywords/>
  <dc:description/>
  <cp:lastModifiedBy>Martin Rojas Mejia</cp:lastModifiedBy>
  <cp:revision>10</cp:revision>
  <dcterms:created xsi:type="dcterms:W3CDTF">2022-06-13T21:05:00Z</dcterms:created>
  <dcterms:modified xsi:type="dcterms:W3CDTF">2022-08-01T16:50:00Z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Order">
    <vt:r8>30500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