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4C12" w14:textId="77777777" w:rsidR="00734BD3" w:rsidRPr="002A6E3A" w:rsidRDefault="00734BD3" w:rsidP="00734BD3">
      <w:pPr>
        <w:jc w:val="right"/>
        <w:rPr>
          <w:rFonts w:ascii="Arial" w:eastAsia="Calibri" w:hAnsi="Arial" w:cs="Arial"/>
          <w:b/>
          <w:color w:val="000000" w:themeColor="text1"/>
          <w:sz w:val="20"/>
          <w:szCs w:val="20"/>
          <w:lang w:val="es-ES_tradnl"/>
        </w:rPr>
      </w:pPr>
      <w:bookmarkStart w:id="0" w:name="_Hlk28946138"/>
      <w:bookmarkStart w:id="1" w:name="_Hlk29548183"/>
      <w:r w:rsidRPr="002A6E3A">
        <w:rPr>
          <w:rFonts w:ascii="Arial" w:hAnsi="Arial" w:cs="Arial"/>
          <w:b/>
          <w:color w:val="000000" w:themeColor="text1"/>
          <w:sz w:val="16"/>
          <w:szCs w:val="16"/>
          <w:lang w:val="es-ES_tradnl" w:eastAsia="es-ES"/>
        </w:rPr>
        <w:t>CCE-DES-FM-17</w:t>
      </w:r>
      <w:bookmarkEnd w:id="0"/>
      <w:bookmarkEnd w:id="1"/>
    </w:p>
    <w:p w14:paraId="72E2423A" w14:textId="77777777" w:rsidR="00734BD3" w:rsidRDefault="00734BD3" w:rsidP="00734BD3">
      <w:pPr>
        <w:spacing w:after="0" w:line="240" w:lineRule="auto"/>
        <w:jc w:val="both"/>
        <w:rPr>
          <w:rFonts w:ascii="Arial" w:eastAsia="Calibri" w:hAnsi="Arial" w:cs="Arial"/>
          <w:b/>
          <w:szCs w:val="24"/>
          <w:lang w:val="es-ES_tradnl" w:eastAsia="es-ES_tradnl"/>
        </w:rPr>
      </w:pPr>
    </w:p>
    <w:p w14:paraId="6D13964A" w14:textId="77777777" w:rsidR="00734BD3" w:rsidRPr="00406A84" w:rsidRDefault="00734BD3" w:rsidP="00734BD3">
      <w:pPr>
        <w:spacing w:after="0" w:line="240" w:lineRule="auto"/>
        <w:jc w:val="both"/>
        <w:rPr>
          <w:rFonts w:ascii="Arial" w:eastAsia="Calibri" w:hAnsi="Arial" w:cs="Arial"/>
          <w:b/>
          <w:sz w:val="20"/>
          <w:szCs w:val="20"/>
          <w:lang w:val="es-ES_tradnl" w:eastAsia="es-ES_tradnl"/>
        </w:rPr>
      </w:pPr>
      <w:r w:rsidRPr="00406A84">
        <w:rPr>
          <w:rFonts w:ascii="Arial" w:eastAsia="Calibri" w:hAnsi="Arial" w:cs="Arial"/>
          <w:b/>
          <w:sz w:val="20"/>
          <w:szCs w:val="20"/>
          <w:lang w:val="es-ES_tradnl" w:eastAsia="es-ES_tradnl"/>
        </w:rPr>
        <w:t xml:space="preserve">DOCUMENTOS TIPO </w:t>
      </w:r>
      <w:r w:rsidRPr="00406A84">
        <w:rPr>
          <w:rFonts w:ascii="Arial" w:eastAsia="Calibri" w:hAnsi="Arial" w:cs="Arial"/>
          <w:b/>
          <w:color w:val="000000"/>
          <w:sz w:val="20"/>
          <w:szCs w:val="20"/>
          <w:lang w:val="es-ES_tradnl" w:eastAsia="es-ES_tradnl"/>
        </w:rPr>
        <w:t>–</w:t>
      </w:r>
      <w:r w:rsidRPr="00406A84">
        <w:rPr>
          <w:rFonts w:ascii="Arial" w:eastAsia="Calibri" w:hAnsi="Arial" w:cs="Arial"/>
          <w:b/>
          <w:sz w:val="20"/>
          <w:szCs w:val="20"/>
          <w:lang w:val="es-ES_tradnl" w:eastAsia="es-ES_tradnl"/>
        </w:rPr>
        <w:t xml:space="preserve"> Fundamento normativo </w:t>
      </w:r>
      <w:r w:rsidRPr="00406A84">
        <w:rPr>
          <w:rFonts w:ascii="Arial" w:eastAsia="Calibri" w:hAnsi="Arial" w:cs="Arial"/>
          <w:b/>
          <w:color w:val="000000"/>
          <w:sz w:val="20"/>
          <w:szCs w:val="20"/>
          <w:lang w:val="es-ES_tradnl" w:eastAsia="es-ES_tradnl"/>
        </w:rPr>
        <w:t xml:space="preserve">– </w:t>
      </w:r>
      <w:r w:rsidRPr="00406A84">
        <w:rPr>
          <w:rFonts w:ascii="Arial" w:eastAsia="Calibri" w:hAnsi="Arial" w:cs="Arial"/>
          <w:b/>
          <w:sz w:val="20"/>
          <w:szCs w:val="20"/>
          <w:lang w:val="es-ES_tradnl" w:eastAsia="es-ES_tradnl"/>
        </w:rPr>
        <w:t>Ley 2022 de 2020</w:t>
      </w:r>
    </w:p>
    <w:p w14:paraId="23799264" w14:textId="77777777" w:rsidR="00734BD3" w:rsidRPr="00406A84" w:rsidRDefault="00734BD3" w:rsidP="00734BD3">
      <w:pPr>
        <w:spacing w:after="0" w:line="240" w:lineRule="auto"/>
        <w:jc w:val="both"/>
        <w:rPr>
          <w:rFonts w:ascii="Arial" w:eastAsia="Calibri" w:hAnsi="Arial" w:cs="Arial"/>
          <w:b/>
          <w:sz w:val="20"/>
          <w:szCs w:val="20"/>
          <w:lang w:val="es-ES_tradnl" w:eastAsia="es-ES_tradnl"/>
        </w:rPr>
      </w:pPr>
    </w:p>
    <w:p w14:paraId="09F1C366" w14:textId="77777777" w:rsidR="00734BD3" w:rsidRPr="00406A84" w:rsidRDefault="00734BD3" w:rsidP="00734BD3">
      <w:pPr>
        <w:spacing w:after="0" w:line="240" w:lineRule="auto"/>
        <w:jc w:val="both"/>
        <w:rPr>
          <w:rFonts w:ascii="Arial" w:eastAsia="Calibri" w:hAnsi="Arial" w:cs="Arial"/>
          <w:color w:val="000000"/>
          <w:sz w:val="20"/>
          <w:szCs w:val="20"/>
          <w:lang w:val="es-ES" w:eastAsia="es-ES"/>
        </w:rPr>
      </w:pPr>
      <w:r w:rsidRPr="00406A84">
        <w:rPr>
          <w:rFonts w:ascii="Arial" w:eastAsia="Calibri" w:hAnsi="Arial" w:cs="Arial"/>
          <w:color w:val="000000"/>
          <w:sz w:val="20"/>
          <w:szCs w:val="20"/>
          <w:lang w:val="es-ES" w:eastAsia="es-ES"/>
        </w:rPr>
        <w:t>[…] debe tenerse en cuenta que la Ley 2022 de 2020 fue sancionada por el Presidente de la República el 22 de julio del año pasado,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w:t>
      </w:r>
    </w:p>
    <w:p w14:paraId="1AE1D4F5" w14:textId="77777777" w:rsidR="00734BD3" w:rsidRPr="00406A84" w:rsidRDefault="00734BD3" w:rsidP="00734BD3">
      <w:pPr>
        <w:spacing w:after="0" w:line="240" w:lineRule="auto"/>
        <w:jc w:val="both"/>
        <w:rPr>
          <w:rFonts w:ascii="Arial" w:eastAsia="Calibri" w:hAnsi="Arial" w:cs="Arial"/>
          <w:sz w:val="20"/>
          <w:szCs w:val="20"/>
          <w:lang w:val="es-ES_tradnl" w:eastAsia="es-ES_tradnl"/>
        </w:rPr>
      </w:pPr>
    </w:p>
    <w:p w14:paraId="64B3779E" w14:textId="77777777" w:rsidR="00734BD3" w:rsidRPr="00406A84" w:rsidRDefault="00734BD3" w:rsidP="00734BD3">
      <w:pPr>
        <w:spacing w:after="0" w:line="240" w:lineRule="auto"/>
        <w:jc w:val="both"/>
        <w:rPr>
          <w:rFonts w:ascii="Arial" w:eastAsia="Calibri" w:hAnsi="Arial" w:cs="Arial"/>
          <w:b/>
          <w:sz w:val="20"/>
          <w:szCs w:val="20"/>
          <w:lang w:val="es-ES_tradnl" w:eastAsia="es-ES_tradnl"/>
        </w:rPr>
      </w:pPr>
      <w:r w:rsidRPr="00406A84">
        <w:rPr>
          <w:rFonts w:ascii="Arial" w:eastAsia="Calibri" w:hAnsi="Arial" w:cs="Arial"/>
          <w:b/>
          <w:sz w:val="20"/>
          <w:szCs w:val="20"/>
          <w:lang w:val="es-ES_tradnl" w:eastAsia="es-ES_tradnl"/>
        </w:rPr>
        <w:t xml:space="preserve">INALTERABILIDAD </w:t>
      </w:r>
      <w:r w:rsidRPr="00406A84">
        <w:rPr>
          <w:rFonts w:ascii="Arial" w:eastAsia="Calibri" w:hAnsi="Arial" w:cs="Arial"/>
          <w:b/>
          <w:color w:val="000000"/>
          <w:sz w:val="20"/>
          <w:szCs w:val="20"/>
          <w:lang w:val="es-ES_tradnl" w:eastAsia="es-ES_tradnl"/>
        </w:rPr>
        <w:t>–</w:t>
      </w:r>
      <w:r w:rsidRPr="00406A84">
        <w:rPr>
          <w:rFonts w:ascii="Arial" w:eastAsia="Calibri" w:hAnsi="Arial" w:cs="Arial"/>
          <w:b/>
          <w:sz w:val="20"/>
          <w:szCs w:val="20"/>
          <w:lang w:val="es-ES_tradnl" w:eastAsia="es-ES_tradnl"/>
        </w:rPr>
        <w:t xml:space="preserve"> Documentos tipo </w:t>
      </w:r>
      <w:r w:rsidRPr="00406A84">
        <w:rPr>
          <w:rFonts w:ascii="Arial" w:eastAsia="Calibri" w:hAnsi="Arial" w:cs="Arial"/>
          <w:b/>
          <w:color w:val="000000"/>
          <w:sz w:val="20"/>
          <w:szCs w:val="20"/>
          <w:lang w:val="es-ES_tradnl" w:eastAsia="es-ES_tradnl"/>
        </w:rPr>
        <w:t xml:space="preserve">– </w:t>
      </w:r>
      <w:r w:rsidRPr="00406A84">
        <w:rPr>
          <w:rFonts w:ascii="Arial" w:eastAsia="Calibri" w:hAnsi="Arial" w:cs="Arial"/>
          <w:b/>
          <w:sz w:val="20"/>
          <w:szCs w:val="20"/>
          <w:lang w:val="es-ES_tradnl" w:eastAsia="es-ES_tradnl"/>
        </w:rPr>
        <w:t xml:space="preserve">Regla vigente </w:t>
      </w:r>
      <w:r w:rsidRPr="00406A84">
        <w:rPr>
          <w:rFonts w:ascii="Arial" w:eastAsia="Calibri" w:hAnsi="Arial" w:cs="Arial"/>
          <w:b/>
          <w:color w:val="000000"/>
          <w:sz w:val="20"/>
          <w:szCs w:val="20"/>
          <w:lang w:val="es-ES_tradnl" w:eastAsia="es-ES_tradnl"/>
        </w:rPr>
        <w:t>– Alcance</w:t>
      </w:r>
    </w:p>
    <w:p w14:paraId="5400E694" w14:textId="77777777" w:rsidR="00734BD3" w:rsidRPr="00406A84" w:rsidRDefault="00734BD3" w:rsidP="00734BD3">
      <w:pPr>
        <w:spacing w:after="0" w:line="240" w:lineRule="auto"/>
        <w:jc w:val="both"/>
        <w:rPr>
          <w:rFonts w:ascii="Arial" w:eastAsia="Calibri" w:hAnsi="Arial" w:cs="Arial"/>
          <w:sz w:val="20"/>
          <w:szCs w:val="20"/>
          <w:lang w:val="es-ES_tradnl" w:eastAsia="es-ES_tradnl"/>
        </w:rPr>
      </w:pPr>
    </w:p>
    <w:p w14:paraId="419A911C" w14:textId="77777777" w:rsidR="00734BD3" w:rsidRPr="00406A84" w:rsidRDefault="00734BD3" w:rsidP="00734BD3">
      <w:pPr>
        <w:spacing w:after="120" w:line="240" w:lineRule="auto"/>
        <w:jc w:val="both"/>
        <w:rPr>
          <w:rFonts w:ascii="Arial" w:eastAsia="Times New Roman" w:hAnsi="Arial" w:cs="Arial"/>
          <w:sz w:val="20"/>
          <w:szCs w:val="20"/>
          <w:shd w:val="clear" w:color="auto" w:fill="FFFFFF"/>
          <w:lang w:val="es-ES_tradnl" w:eastAsia="es-ES_tradnl"/>
        </w:rPr>
      </w:pPr>
      <w:r w:rsidRPr="00406A84">
        <w:rPr>
          <w:rFonts w:ascii="Arial" w:eastAsia="Times New Roman" w:hAnsi="Arial" w:cs="Arial"/>
          <w:sz w:val="20"/>
          <w:szCs w:val="20"/>
          <w:shd w:val="clear" w:color="auto" w:fill="FFFFFF"/>
          <w:lang w:val="es-ES_tradnl" w:eastAsia="es-ES_tradnl"/>
        </w:rPr>
        <w:t xml:space="preserve">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 entre estas, la </w:t>
      </w:r>
      <w:r w:rsidRPr="00406A84">
        <w:rPr>
          <w:rFonts w:ascii="Arial" w:eastAsia="Calibri" w:hAnsi="Arial" w:cs="Arial"/>
          <w:color w:val="000000"/>
          <w:sz w:val="20"/>
          <w:szCs w:val="20"/>
          <w:lang w:val="es-ES" w:eastAsia="es-ES"/>
        </w:rPr>
        <w:t>Resolución 240 del 27 de noviembre de 2020, «Por la cual se actualizan los Documentos Tipo para los procesos de selección de licitación de obra pública de infraestructura de transporte</w:t>
      </w:r>
      <w:r w:rsidRPr="00406A84">
        <w:rPr>
          <w:rFonts w:ascii="Arial" w:eastAsia="Calibri" w:hAnsi="Arial" w:cs="Arial"/>
          <w:sz w:val="20"/>
          <w:szCs w:val="20"/>
        </w:rPr>
        <w:t xml:space="preserve">, </w:t>
      </w:r>
      <w:r w:rsidRPr="00406A84">
        <w:rPr>
          <w:rFonts w:ascii="Arial" w:eastAsia="Times New Roman" w:hAnsi="Arial" w:cs="Arial"/>
          <w:sz w:val="20"/>
          <w:szCs w:val="20"/>
          <w:shd w:val="clear" w:color="auto" w:fill="FFFFFF"/>
          <w:lang w:val="es-ES_tradnl" w:eastAsia="es-ES_tradnl"/>
        </w:rPr>
        <w:t xml:space="preserve">cuyo artículo 3 establece la regla de la inalterabilidad de esos documentos tipo, cuando prescribe que «[…] </w:t>
      </w:r>
      <w:r w:rsidRPr="00406A84">
        <w:rPr>
          <w:rFonts w:ascii="Arial" w:eastAsia="Calibri" w:hAnsi="Arial" w:cs="Arial"/>
          <w:sz w:val="20"/>
          <w:szCs w:val="20"/>
        </w:rPr>
        <w:t xml:space="preserve">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r w:rsidRPr="00406A84">
        <w:rPr>
          <w:rFonts w:ascii="Arial" w:eastAsia="Times New Roman" w:hAnsi="Arial" w:cs="Arial"/>
          <w:sz w:val="20"/>
          <w:szCs w:val="20"/>
          <w:shd w:val="clear" w:color="auto" w:fill="FFFFFF"/>
          <w:lang w:val="es-ES_tradnl" w:eastAsia="es-ES_tradnl"/>
        </w:rPr>
        <w:t xml:space="preserve">Por tanto, frente a los documentos tipo relacionados con la pregunta del peticionario, rige la regla de la inalterabilidad, explicada anteriormente. </w:t>
      </w:r>
    </w:p>
    <w:p w14:paraId="61BDB4BD" w14:textId="77777777" w:rsidR="00734BD3" w:rsidRPr="0090344C" w:rsidRDefault="00734BD3" w:rsidP="00734BD3">
      <w:pPr>
        <w:spacing w:after="0" w:line="240" w:lineRule="auto"/>
        <w:jc w:val="both"/>
        <w:rPr>
          <w:rFonts w:ascii="Arial" w:eastAsia="Calibri" w:hAnsi="Arial" w:cs="Arial"/>
          <w:b/>
          <w:bCs/>
          <w:color w:val="000000"/>
          <w:lang w:val="es-ES_tradnl" w:eastAsia="es-ES_tradnl"/>
        </w:rPr>
      </w:pPr>
    </w:p>
    <w:p w14:paraId="45CBA122" w14:textId="77777777" w:rsidR="00734BD3" w:rsidRDefault="00734BD3" w:rsidP="00734BD3">
      <w:pPr>
        <w:spacing w:after="0" w:line="240" w:lineRule="auto"/>
        <w:rPr>
          <w:rFonts w:ascii="Arial" w:eastAsia="Calibri" w:hAnsi="Arial" w:cs="Arial"/>
          <w:color w:val="000000"/>
          <w:lang w:val="es-ES_tradnl"/>
        </w:rPr>
      </w:pPr>
    </w:p>
    <w:p w14:paraId="2FF17376" w14:textId="77777777" w:rsidR="00734BD3" w:rsidRDefault="00734BD3" w:rsidP="00734BD3">
      <w:pPr>
        <w:spacing w:after="0" w:line="240" w:lineRule="auto"/>
        <w:rPr>
          <w:rFonts w:ascii="Arial" w:eastAsia="Calibri" w:hAnsi="Arial" w:cs="Arial"/>
          <w:color w:val="000000"/>
          <w:lang w:val="es-ES_tradnl"/>
        </w:rPr>
      </w:pPr>
    </w:p>
    <w:p w14:paraId="5CE75519" w14:textId="77777777" w:rsidR="00734BD3" w:rsidRDefault="00734BD3" w:rsidP="00734BD3">
      <w:pPr>
        <w:spacing w:after="0" w:line="240" w:lineRule="auto"/>
        <w:rPr>
          <w:rFonts w:ascii="Arial" w:eastAsia="Calibri" w:hAnsi="Arial" w:cs="Arial"/>
          <w:color w:val="000000"/>
          <w:lang w:val="es-ES_tradnl"/>
        </w:rPr>
      </w:pPr>
    </w:p>
    <w:p w14:paraId="31B89B1E" w14:textId="77777777" w:rsidR="00734BD3" w:rsidRDefault="00734BD3" w:rsidP="00734BD3">
      <w:pPr>
        <w:spacing w:after="0" w:line="240" w:lineRule="auto"/>
        <w:rPr>
          <w:rFonts w:ascii="Arial" w:eastAsia="Calibri" w:hAnsi="Arial" w:cs="Arial"/>
          <w:color w:val="000000"/>
          <w:lang w:val="es-ES_tradnl"/>
        </w:rPr>
      </w:pPr>
    </w:p>
    <w:p w14:paraId="12238B1E" w14:textId="77777777" w:rsidR="00734BD3" w:rsidRDefault="00734BD3" w:rsidP="00734BD3">
      <w:pPr>
        <w:spacing w:after="0" w:line="240" w:lineRule="auto"/>
        <w:rPr>
          <w:rFonts w:ascii="Arial" w:eastAsia="Calibri" w:hAnsi="Arial" w:cs="Arial"/>
          <w:color w:val="000000"/>
          <w:lang w:val="es-ES_tradnl"/>
        </w:rPr>
      </w:pPr>
    </w:p>
    <w:p w14:paraId="789CC0BB" w14:textId="77777777" w:rsidR="00734BD3" w:rsidRDefault="00734BD3" w:rsidP="00734BD3">
      <w:pPr>
        <w:spacing w:after="0" w:line="240" w:lineRule="auto"/>
        <w:rPr>
          <w:rFonts w:ascii="Arial" w:eastAsia="Calibri" w:hAnsi="Arial" w:cs="Arial"/>
          <w:color w:val="000000"/>
          <w:lang w:val="es-ES_tradnl"/>
        </w:rPr>
      </w:pPr>
    </w:p>
    <w:p w14:paraId="309AC709" w14:textId="77777777" w:rsidR="00734BD3" w:rsidRDefault="00734BD3" w:rsidP="00734BD3">
      <w:pPr>
        <w:spacing w:after="0" w:line="240" w:lineRule="auto"/>
        <w:rPr>
          <w:rFonts w:ascii="Arial" w:eastAsia="Calibri" w:hAnsi="Arial" w:cs="Arial"/>
          <w:color w:val="000000"/>
          <w:lang w:val="es-ES_tradnl"/>
        </w:rPr>
      </w:pPr>
    </w:p>
    <w:p w14:paraId="3CD27CE9" w14:textId="77777777" w:rsidR="00734BD3" w:rsidRDefault="00734BD3" w:rsidP="00734BD3">
      <w:pPr>
        <w:spacing w:after="0" w:line="240" w:lineRule="auto"/>
        <w:rPr>
          <w:rFonts w:ascii="Arial" w:eastAsia="Calibri" w:hAnsi="Arial" w:cs="Arial"/>
          <w:color w:val="000000"/>
          <w:lang w:val="es-ES_tradnl"/>
        </w:rPr>
      </w:pPr>
    </w:p>
    <w:p w14:paraId="720ECBE9" w14:textId="77777777" w:rsidR="00734BD3" w:rsidRDefault="00734BD3" w:rsidP="00734BD3">
      <w:pPr>
        <w:spacing w:after="0" w:line="240" w:lineRule="auto"/>
        <w:rPr>
          <w:rFonts w:ascii="Arial" w:eastAsia="Calibri" w:hAnsi="Arial" w:cs="Arial"/>
          <w:color w:val="000000"/>
          <w:lang w:val="es-ES_tradnl"/>
        </w:rPr>
      </w:pPr>
    </w:p>
    <w:p w14:paraId="3CB19E9C" w14:textId="77777777" w:rsidR="00734BD3" w:rsidRDefault="00734BD3" w:rsidP="00734BD3">
      <w:pPr>
        <w:spacing w:after="0" w:line="240" w:lineRule="auto"/>
        <w:rPr>
          <w:rFonts w:ascii="Arial" w:eastAsia="Calibri" w:hAnsi="Arial" w:cs="Arial"/>
          <w:color w:val="000000"/>
          <w:lang w:val="es-ES_tradnl"/>
        </w:rPr>
      </w:pPr>
    </w:p>
    <w:p w14:paraId="051E8EFB" w14:textId="77777777" w:rsidR="00734BD3" w:rsidRDefault="00734BD3" w:rsidP="00734BD3">
      <w:pPr>
        <w:spacing w:after="0" w:line="240" w:lineRule="auto"/>
        <w:rPr>
          <w:rFonts w:ascii="Arial" w:eastAsia="Calibri" w:hAnsi="Arial" w:cs="Arial"/>
          <w:color w:val="000000"/>
          <w:lang w:val="es-ES_tradnl"/>
        </w:rPr>
      </w:pPr>
    </w:p>
    <w:p w14:paraId="005FF187" w14:textId="77777777" w:rsidR="00734BD3" w:rsidRDefault="00734BD3" w:rsidP="00734BD3">
      <w:pPr>
        <w:spacing w:after="0" w:line="240" w:lineRule="auto"/>
        <w:rPr>
          <w:rFonts w:ascii="Arial" w:eastAsia="Calibri" w:hAnsi="Arial" w:cs="Arial"/>
          <w:color w:val="000000"/>
          <w:lang w:val="es-ES_tradnl"/>
        </w:rPr>
      </w:pPr>
    </w:p>
    <w:p w14:paraId="7BC18050" w14:textId="77777777" w:rsidR="00734BD3" w:rsidRDefault="00734BD3" w:rsidP="00734BD3">
      <w:pPr>
        <w:spacing w:after="0" w:line="240" w:lineRule="auto"/>
        <w:rPr>
          <w:rFonts w:ascii="Arial" w:eastAsia="Calibri" w:hAnsi="Arial" w:cs="Arial"/>
          <w:color w:val="000000"/>
          <w:lang w:val="es-ES_tradnl"/>
        </w:rPr>
      </w:pPr>
    </w:p>
    <w:p w14:paraId="496466B6" w14:textId="77777777" w:rsidR="00734BD3" w:rsidRDefault="00734BD3" w:rsidP="00734BD3">
      <w:pPr>
        <w:spacing w:after="0" w:line="240" w:lineRule="auto"/>
        <w:rPr>
          <w:rFonts w:ascii="Arial" w:eastAsia="Calibri" w:hAnsi="Arial" w:cs="Arial"/>
          <w:color w:val="000000"/>
          <w:lang w:val="es-ES_tradnl"/>
        </w:rPr>
      </w:pPr>
    </w:p>
    <w:p w14:paraId="2BC540B1" w14:textId="77777777" w:rsidR="00734BD3" w:rsidRDefault="00734BD3" w:rsidP="00734BD3">
      <w:pPr>
        <w:spacing w:after="0" w:line="240" w:lineRule="auto"/>
        <w:rPr>
          <w:rFonts w:ascii="Arial" w:eastAsia="Calibri" w:hAnsi="Arial" w:cs="Arial"/>
          <w:color w:val="000000"/>
          <w:lang w:val="es-ES_tradnl"/>
        </w:rPr>
      </w:pPr>
    </w:p>
    <w:p w14:paraId="494F8158" w14:textId="77777777" w:rsidR="00734BD3" w:rsidRDefault="00734BD3" w:rsidP="00734BD3">
      <w:pPr>
        <w:spacing w:after="0" w:line="240" w:lineRule="auto"/>
        <w:rPr>
          <w:rFonts w:ascii="Arial" w:eastAsia="Calibri" w:hAnsi="Arial" w:cs="Arial"/>
          <w:color w:val="000000"/>
          <w:lang w:val="es-ES_tradnl"/>
        </w:rPr>
      </w:pPr>
    </w:p>
    <w:p w14:paraId="0A21EBE8" w14:textId="77777777" w:rsidR="00734BD3" w:rsidRDefault="00734BD3" w:rsidP="00734BD3">
      <w:pPr>
        <w:spacing w:after="0" w:line="240" w:lineRule="auto"/>
        <w:rPr>
          <w:rFonts w:ascii="Arial" w:eastAsia="Calibri" w:hAnsi="Arial" w:cs="Arial"/>
          <w:color w:val="000000"/>
          <w:lang w:val="es-ES_tradnl"/>
        </w:rPr>
      </w:pPr>
    </w:p>
    <w:p w14:paraId="5263DC13" w14:textId="77777777" w:rsidR="00734BD3" w:rsidRDefault="00734BD3" w:rsidP="00734BD3">
      <w:pPr>
        <w:spacing w:after="0" w:line="240" w:lineRule="auto"/>
        <w:rPr>
          <w:rFonts w:ascii="Arial" w:eastAsia="Calibri" w:hAnsi="Arial" w:cs="Arial"/>
          <w:color w:val="000000"/>
          <w:lang w:val="es-ES_tradnl"/>
        </w:rPr>
      </w:pPr>
    </w:p>
    <w:p w14:paraId="5BFEB8F7" w14:textId="77777777" w:rsidR="00734BD3" w:rsidRDefault="00734BD3" w:rsidP="00734BD3">
      <w:pPr>
        <w:spacing w:after="0" w:line="240" w:lineRule="auto"/>
        <w:rPr>
          <w:rFonts w:ascii="Arial" w:eastAsia="Calibri" w:hAnsi="Arial" w:cs="Arial"/>
          <w:color w:val="000000"/>
          <w:lang w:val="es-ES_tradnl"/>
        </w:rPr>
      </w:pPr>
    </w:p>
    <w:p w14:paraId="560AC36E" w14:textId="77777777" w:rsidR="00734BD3" w:rsidRDefault="00734BD3" w:rsidP="00734BD3">
      <w:pPr>
        <w:spacing w:after="0" w:line="240" w:lineRule="auto"/>
        <w:rPr>
          <w:rFonts w:ascii="Arial" w:eastAsia="Calibri" w:hAnsi="Arial" w:cs="Arial"/>
          <w:color w:val="000000"/>
          <w:lang w:val="es-ES_tradnl"/>
        </w:rPr>
      </w:pPr>
    </w:p>
    <w:p w14:paraId="4F1A6C47" w14:textId="77777777" w:rsidR="00734BD3" w:rsidRPr="00706F5D" w:rsidRDefault="00734BD3" w:rsidP="00734BD3">
      <w:pPr>
        <w:spacing w:after="0" w:line="240" w:lineRule="auto"/>
        <w:jc w:val="right"/>
        <w:rPr>
          <w:rFonts w:ascii="Times New Roman" w:eastAsia="Times New Roman" w:hAnsi="Times New Roman" w:cs="Times New Roman"/>
          <w:sz w:val="24"/>
          <w:szCs w:val="24"/>
          <w:lang w:eastAsia="es-MX"/>
        </w:rPr>
      </w:pPr>
      <w:r w:rsidRPr="00706F5D">
        <w:rPr>
          <w:rFonts w:ascii="Times New Roman" w:eastAsia="Times New Roman" w:hAnsi="Times New Roman" w:cs="Times New Roman"/>
          <w:sz w:val="24"/>
          <w:szCs w:val="24"/>
          <w:lang w:eastAsia="es-MX"/>
        </w:rPr>
        <w:lastRenderedPageBreak/>
        <w:fldChar w:fldCharType="begin"/>
      </w:r>
      <w:r w:rsidRPr="00706F5D">
        <w:rPr>
          <w:rFonts w:ascii="Times New Roman" w:eastAsia="Times New Roman" w:hAnsi="Times New Roman" w:cs="Times New Roman"/>
          <w:sz w:val="24"/>
          <w:szCs w:val="24"/>
          <w:lang w:eastAsia="es-MX"/>
        </w:rPr>
        <w:instrText xml:space="preserve"> INCLUDEPICTURE "/var/folders/tb/0fmk9b510f57pz5rwhv8lnpw0000gp/T/com.microsoft.Word/WebArchiveCopyPasteTempFiles/page1image10852448" \* MERGEFORMATINET </w:instrText>
      </w:r>
      <w:r w:rsidRPr="00706F5D">
        <w:rPr>
          <w:rFonts w:ascii="Times New Roman" w:eastAsia="Times New Roman" w:hAnsi="Times New Roman" w:cs="Times New Roman"/>
          <w:sz w:val="24"/>
          <w:szCs w:val="24"/>
          <w:lang w:eastAsia="es-MX"/>
        </w:rPr>
        <w:fldChar w:fldCharType="separate"/>
      </w:r>
      <w:r w:rsidRPr="00706F5D">
        <w:rPr>
          <w:rFonts w:ascii="Times New Roman" w:eastAsia="Times New Roman" w:hAnsi="Times New Roman" w:cs="Times New Roman"/>
          <w:noProof/>
          <w:sz w:val="24"/>
          <w:szCs w:val="24"/>
          <w:lang w:eastAsia="es-MX"/>
        </w:rPr>
        <w:drawing>
          <wp:inline distT="0" distB="0" distL="0" distR="0" wp14:anchorId="5A5FD8F3" wp14:editId="2A12BB98">
            <wp:extent cx="2401570" cy="605790"/>
            <wp:effectExtent l="0" t="0" r="0" b="3810"/>
            <wp:docPr id="1" name="Imagen 1" descr="page1image1085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08524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1570" cy="605790"/>
                    </a:xfrm>
                    <a:prstGeom prst="rect">
                      <a:avLst/>
                    </a:prstGeom>
                    <a:noFill/>
                    <a:ln>
                      <a:noFill/>
                    </a:ln>
                  </pic:spPr>
                </pic:pic>
              </a:graphicData>
            </a:graphic>
          </wp:inline>
        </w:drawing>
      </w:r>
      <w:r w:rsidRPr="00706F5D">
        <w:rPr>
          <w:rFonts w:ascii="Times New Roman" w:eastAsia="Times New Roman" w:hAnsi="Times New Roman" w:cs="Times New Roman"/>
          <w:sz w:val="24"/>
          <w:szCs w:val="24"/>
          <w:lang w:eastAsia="es-MX"/>
        </w:rPr>
        <w:fldChar w:fldCharType="end"/>
      </w:r>
    </w:p>
    <w:p w14:paraId="43B8CD1D" w14:textId="77777777" w:rsidR="00734BD3" w:rsidRDefault="00734BD3" w:rsidP="00734BD3">
      <w:pPr>
        <w:spacing w:after="0" w:line="240" w:lineRule="auto"/>
        <w:rPr>
          <w:rFonts w:ascii="Arial" w:eastAsia="Calibri" w:hAnsi="Arial" w:cs="Arial"/>
          <w:color w:val="000000"/>
          <w:lang w:val="es-ES_tradnl"/>
        </w:rPr>
      </w:pPr>
    </w:p>
    <w:p w14:paraId="68BB856F" w14:textId="6C40C1F0" w:rsidR="00190F43" w:rsidRDefault="00190F43" w:rsidP="00190F43">
      <w:pPr>
        <w:spacing w:after="0" w:line="240" w:lineRule="auto"/>
        <w:rPr>
          <w:rFonts w:ascii="Arial" w:eastAsia="Calibri" w:hAnsi="Arial" w:cs="Arial"/>
          <w:color w:val="000000"/>
          <w:lang w:val="es-ES_tradnl"/>
        </w:rPr>
      </w:pPr>
      <w:r w:rsidRPr="00D42F53">
        <w:rPr>
          <w:rFonts w:ascii="Arial" w:eastAsia="Calibri" w:hAnsi="Arial" w:cs="Arial"/>
          <w:color w:val="000000"/>
          <w:lang w:val="es-ES_tradnl"/>
        </w:rPr>
        <w:t>Bogot</w:t>
      </w:r>
      <w:r w:rsidRPr="00D42F53">
        <w:rPr>
          <w:rFonts w:ascii="Arial" w:eastAsia="Calibri" w:hAnsi="Arial" w:cs="Arial" w:hint="eastAsia"/>
          <w:color w:val="000000"/>
          <w:lang w:val="es-ES_tradnl"/>
        </w:rPr>
        <w:t>á</w:t>
      </w:r>
      <w:r w:rsidRPr="00D42F53">
        <w:rPr>
          <w:rFonts w:ascii="Arial" w:eastAsia="Calibri" w:hAnsi="Arial" w:cs="Arial"/>
          <w:color w:val="000000"/>
          <w:lang w:val="es-ES_tradnl"/>
        </w:rPr>
        <w:t xml:space="preserve">, </w:t>
      </w:r>
      <w:r>
        <w:rPr>
          <w:rFonts w:ascii="Arial" w:eastAsia="Calibri" w:hAnsi="Arial" w:cs="Arial"/>
          <w:color w:val="000000"/>
          <w:lang w:val="es-ES_tradnl"/>
        </w:rPr>
        <w:t>6 de julio de 2022</w:t>
      </w:r>
    </w:p>
    <w:p w14:paraId="649ACE2E" w14:textId="77777777" w:rsidR="00190F43" w:rsidRDefault="00190F43" w:rsidP="00734BD3">
      <w:pPr>
        <w:spacing w:after="0" w:line="240" w:lineRule="auto"/>
        <w:rPr>
          <w:rFonts w:ascii="Arial" w:eastAsia="Calibri" w:hAnsi="Arial" w:cs="Arial"/>
          <w:color w:val="000000"/>
          <w:lang w:val="es-ES_tradnl"/>
        </w:rPr>
      </w:pPr>
    </w:p>
    <w:p w14:paraId="5B823B9B" w14:textId="77777777" w:rsidR="00190F43" w:rsidRDefault="00190F43" w:rsidP="00734BD3">
      <w:pPr>
        <w:spacing w:after="0" w:line="240" w:lineRule="auto"/>
        <w:rPr>
          <w:rFonts w:ascii="Arial" w:eastAsia="Calibri" w:hAnsi="Arial" w:cs="Arial"/>
          <w:color w:val="000000"/>
          <w:lang w:val="es-ES_tradnl"/>
        </w:rPr>
      </w:pPr>
    </w:p>
    <w:p w14:paraId="23A1ABE7" w14:textId="21E4A45D" w:rsidR="00734BD3" w:rsidRDefault="00734BD3" w:rsidP="00734BD3">
      <w:pPr>
        <w:spacing w:after="0" w:line="240" w:lineRule="auto"/>
        <w:rPr>
          <w:rFonts w:ascii="Arial" w:eastAsia="Calibri" w:hAnsi="Arial" w:cs="Arial"/>
          <w:color w:val="000000"/>
          <w:lang w:val="es-ES_tradnl"/>
        </w:rPr>
      </w:pPr>
      <w:r w:rsidRPr="004F0480">
        <w:rPr>
          <w:rFonts w:ascii="Arial" w:eastAsia="Calibri" w:hAnsi="Arial" w:cs="Arial"/>
          <w:color w:val="000000"/>
          <w:lang w:val="es-ES_tradnl"/>
        </w:rPr>
        <w:t>Señor</w:t>
      </w:r>
      <w:r>
        <w:rPr>
          <w:rFonts w:ascii="Arial" w:eastAsia="Calibri" w:hAnsi="Arial" w:cs="Arial"/>
          <w:color w:val="000000"/>
          <w:lang w:val="es-ES_tradnl"/>
        </w:rPr>
        <w:t>a</w:t>
      </w:r>
    </w:p>
    <w:p w14:paraId="0C4C72A5" w14:textId="77777777" w:rsidR="00734BD3" w:rsidRDefault="00734BD3" w:rsidP="00734BD3">
      <w:pPr>
        <w:spacing w:after="0" w:line="240" w:lineRule="auto"/>
        <w:rPr>
          <w:rFonts w:ascii="Arial" w:eastAsia="Calibri" w:hAnsi="Arial" w:cs="Arial"/>
          <w:b/>
          <w:bCs/>
          <w:color w:val="000000"/>
          <w:lang w:val="es-ES_tradnl"/>
        </w:rPr>
      </w:pPr>
      <w:r>
        <w:rPr>
          <w:rFonts w:ascii="Arial" w:eastAsia="Calibri" w:hAnsi="Arial" w:cs="Arial"/>
          <w:b/>
          <w:bCs/>
          <w:color w:val="000000"/>
          <w:lang w:val="es-ES_tradnl"/>
        </w:rPr>
        <w:t>Diana Aurora Garzón</w:t>
      </w:r>
    </w:p>
    <w:p w14:paraId="6BD6E07B" w14:textId="77777777" w:rsidR="00734BD3" w:rsidRDefault="00734BD3" w:rsidP="00734BD3">
      <w:pPr>
        <w:spacing w:after="0" w:line="240" w:lineRule="auto"/>
        <w:rPr>
          <w:rFonts w:ascii="Arial" w:eastAsia="Calibri" w:hAnsi="Arial" w:cs="Arial"/>
          <w:color w:val="000000"/>
          <w:lang w:val="es-ES_tradnl"/>
        </w:rPr>
      </w:pPr>
      <w:r>
        <w:rPr>
          <w:rFonts w:ascii="Arial" w:eastAsia="Calibri" w:hAnsi="Arial" w:cs="Arial"/>
          <w:color w:val="000000"/>
          <w:lang w:val="es-ES_tradnl"/>
        </w:rPr>
        <w:t xml:space="preserve">El Carmen de Viboral, Antioquía </w:t>
      </w:r>
    </w:p>
    <w:p w14:paraId="2D6EC5E5" w14:textId="77777777" w:rsidR="00734BD3" w:rsidRPr="00B648F9" w:rsidRDefault="00734BD3" w:rsidP="00734BD3">
      <w:pPr>
        <w:spacing w:after="0" w:line="240" w:lineRule="auto"/>
        <w:rPr>
          <w:rFonts w:ascii="Arial" w:eastAsia="Calibri" w:hAnsi="Arial" w:cs="Arial"/>
          <w:color w:val="000000"/>
          <w:lang w:val="es-ES_tradnl"/>
        </w:rPr>
      </w:pPr>
    </w:p>
    <w:p w14:paraId="0DAABBBC" w14:textId="77777777" w:rsidR="00734BD3" w:rsidRPr="004F0480" w:rsidRDefault="00734BD3" w:rsidP="00734BD3">
      <w:pPr>
        <w:spacing w:after="0" w:line="276" w:lineRule="auto"/>
        <w:jc w:val="center"/>
        <w:rPr>
          <w:rFonts w:ascii="Arial" w:eastAsia="Calibri" w:hAnsi="Arial" w:cs="Arial"/>
          <w:b/>
          <w:color w:val="000000"/>
          <w:lang w:val="es-ES_tradnl"/>
        </w:rPr>
      </w:pPr>
    </w:p>
    <w:p w14:paraId="69F0D118" w14:textId="77777777" w:rsidR="00734BD3" w:rsidRPr="004F0480" w:rsidRDefault="00734BD3" w:rsidP="00734BD3">
      <w:pPr>
        <w:spacing w:after="0" w:line="276" w:lineRule="auto"/>
        <w:jc w:val="center"/>
        <w:rPr>
          <w:rFonts w:ascii="Arial" w:eastAsia="Calibri" w:hAnsi="Arial" w:cs="Arial"/>
          <w:b/>
          <w:color w:val="000000"/>
          <w:lang w:val="es-ES_tradnl"/>
        </w:rPr>
      </w:pPr>
      <w:r w:rsidRPr="004F0480">
        <w:rPr>
          <w:rFonts w:ascii="Arial" w:eastAsia="Calibri" w:hAnsi="Arial" w:cs="Arial"/>
          <w:b/>
          <w:color w:val="000000"/>
          <w:lang w:val="es-ES_tradnl"/>
        </w:rPr>
        <w:t xml:space="preserve">Concepto C </w:t>
      </w:r>
      <w:r>
        <w:rPr>
          <w:rFonts w:ascii="Arial" w:eastAsia="Calibri" w:hAnsi="Arial" w:cs="Arial"/>
          <w:b/>
          <w:color w:val="000000"/>
          <w:lang w:val="es-ES_tradnl"/>
        </w:rPr>
        <w:t>–</w:t>
      </w:r>
      <w:r w:rsidRPr="004F0480">
        <w:rPr>
          <w:rFonts w:ascii="Arial" w:eastAsia="Calibri" w:hAnsi="Arial" w:cs="Arial"/>
          <w:b/>
          <w:color w:val="000000"/>
          <w:lang w:val="es-ES_tradnl"/>
        </w:rPr>
        <w:t xml:space="preserve"> </w:t>
      </w:r>
      <w:r>
        <w:rPr>
          <w:rFonts w:ascii="Arial" w:eastAsia="Calibri" w:hAnsi="Arial" w:cs="Arial"/>
          <w:b/>
          <w:color w:val="000000"/>
          <w:lang w:val="es-ES_tradnl"/>
        </w:rPr>
        <w:t>356 de 2022</w:t>
      </w:r>
    </w:p>
    <w:p w14:paraId="56926F97" w14:textId="77777777" w:rsidR="00734BD3" w:rsidRPr="004F0480" w:rsidRDefault="00734BD3" w:rsidP="00734BD3">
      <w:pPr>
        <w:spacing w:after="0" w:line="276" w:lineRule="auto"/>
        <w:jc w:val="center"/>
        <w:rPr>
          <w:rFonts w:ascii="Arial" w:eastAsia="Calibri" w:hAnsi="Arial" w:cs="Arial"/>
          <w:b/>
          <w:color w:val="000000"/>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34BD3" w:rsidRPr="004F0480" w14:paraId="0A662E45" w14:textId="77777777" w:rsidTr="00B53228">
        <w:trPr>
          <w:trHeight w:val="1184"/>
        </w:trPr>
        <w:tc>
          <w:tcPr>
            <w:tcW w:w="2689" w:type="dxa"/>
            <w:hideMark/>
          </w:tcPr>
          <w:p w14:paraId="4ACFE6F2" w14:textId="77777777" w:rsidR="00734BD3" w:rsidRPr="004F0480" w:rsidRDefault="00734BD3" w:rsidP="00B53228">
            <w:pPr>
              <w:rPr>
                <w:rFonts w:ascii="Arial" w:eastAsia="Calibri" w:hAnsi="Arial" w:cs="Arial"/>
                <w:color w:val="000000"/>
                <w:lang w:val="es-ES_tradnl"/>
              </w:rPr>
            </w:pPr>
            <w:r w:rsidRPr="004F0480">
              <w:rPr>
                <w:rFonts w:ascii="Arial" w:eastAsia="Calibri" w:hAnsi="Arial" w:cs="Arial"/>
                <w:b/>
                <w:color w:val="000000"/>
                <w:lang w:val="es-ES_tradnl"/>
              </w:rPr>
              <w:t>Temas:</w:t>
            </w:r>
            <w:r w:rsidRPr="004F0480">
              <w:rPr>
                <w:rFonts w:ascii="Arial" w:eastAsia="Calibri" w:hAnsi="Arial" w:cs="Arial"/>
                <w:color w:val="000000"/>
                <w:lang w:val="es-ES_tradnl"/>
              </w:rPr>
              <w:t xml:space="preserve">           </w:t>
            </w:r>
          </w:p>
          <w:p w14:paraId="24DBABC1" w14:textId="77777777" w:rsidR="00734BD3" w:rsidRPr="004F0480" w:rsidRDefault="00734BD3" w:rsidP="00B53228">
            <w:pPr>
              <w:rPr>
                <w:rFonts w:ascii="Arial" w:eastAsia="Calibri" w:hAnsi="Arial" w:cs="Arial"/>
                <w:color w:val="000000"/>
                <w:lang w:val="es-ES_tradnl"/>
              </w:rPr>
            </w:pPr>
            <w:r w:rsidRPr="004F0480">
              <w:rPr>
                <w:rFonts w:ascii="Arial" w:eastAsia="Calibri" w:hAnsi="Arial" w:cs="Arial"/>
                <w:color w:val="000000"/>
                <w:lang w:val="es-ES_tradnl"/>
              </w:rPr>
              <w:t xml:space="preserve">                           </w:t>
            </w:r>
          </w:p>
        </w:tc>
        <w:tc>
          <w:tcPr>
            <w:tcW w:w="6237" w:type="dxa"/>
            <w:hideMark/>
          </w:tcPr>
          <w:p w14:paraId="1A58DCCA" w14:textId="77777777" w:rsidR="00734BD3" w:rsidRDefault="00734BD3" w:rsidP="00B53228">
            <w:pPr>
              <w:widowControl w:val="0"/>
              <w:autoSpaceDE w:val="0"/>
              <w:autoSpaceDN w:val="0"/>
              <w:jc w:val="both"/>
              <w:rPr>
                <w:rFonts w:ascii="Arial" w:eastAsia="Arial" w:hAnsi="Arial" w:cs="Arial"/>
                <w:bCs/>
                <w:lang w:eastAsia="es-ES" w:bidi="es-ES"/>
              </w:rPr>
            </w:pPr>
            <w:r w:rsidRPr="0090344C">
              <w:rPr>
                <w:rFonts w:ascii="Arial" w:eastAsia="Calibri" w:hAnsi="Arial" w:cs="Arial"/>
                <w:bCs/>
                <w:szCs w:val="24"/>
                <w:lang w:val="es-ES_tradnl" w:eastAsia="es-ES_tradnl"/>
              </w:rPr>
              <w:t xml:space="preserve">DOCUMENTOS TIPO </w:t>
            </w:r>
            <w:r w:rsidRPr="0090344C">
              <w:rPr>
                <w:rFonts w:ascii="Arial" w:eastAsia="Calibri" w:hAnsi="Arial" w:cs="Arial"/>
                <w:bCs/>
                <w:color w:val="000000"/>
                <w:szCs w:val="24"/>
                <w:lang w:val="es-ES_tradnl" w:eastAsia="es-ES_tradnl"/>
              </w:rPr>
              <w:t>–</w:t>
            </w:r>
            <w:r w:rsidRPr="0090344C">
              <w:rPr>
                <w:rFonts w:ascii="Arial" w:eastAsia="Calibri" w:hAnsi="Arial" w:cs="Arial"/>
                <w:bCs/>
                <w:szCs w:val="24"/>
                <w:lang w:val="es-ES_tradnl" w:eastAsia="es-ES_tradnl"/>
              </w:rPr>
              <w:t xml:space="preserve"> Fundamento normativo </w:t>
            </w:r>
            <w:r w:rsidRPr="0090344C">
              <w:rPr>
                <w:rFonts w:ascii="Arial" w:eastAsia="Calibri" w:hAnsi="Arial" w:cs="Arial"/>
                <w:bCs/>
                <w:color w:val="000000"/>
                <w:szCs w:val="24"/>
                <w:lang w:val="es-ES_tradnl" w:eastAsia="es-ES_tradnl"/>
              </w:rPr>
              <w:t xml:space="preserve">– </w:t>
            </w:r>
            <w:r w:rsidRPr="0090344C">
              <w:rPr>
                <w:rFonts w:ascii="Arial" w:eastAsia="Calibri" w:hAnsi="Arial" w:cs="Arial"/>
                <w:bCs/>
                <w:szCs w:val="24"/>
                <w:lang w:val="es-ES_tradnl" w:eastAsia="es-ES_tradnl"/>
              </w:rPr>
              <w:t>Ley 2022 de 2020</w:t>
            </w:r>
            <w:r w:rsidRPr="007A44DB">
              <w:rPr>
                <w:rFonts w:ascii="Arial" w:eastAsia="Calibri" w:hAnsi="Arial" w:cs="Arial"/>
                <w:bCs/>
                <w:szCs w:val="24"/>
                <w:lang w:val="es-ES_tradnl" w:eastAsia="es-ES_tradnl"/>
              </w:rPr>
              <w:t xml:space="preserve"> / </w:t>
            </w:r>
            <w:r w:rsidRPr="0090344C">
              <w:rPr>
                <w:rFonts w:ascii="Arial" w:eastAsia="Calibri" w:hAnsi="Arial" w:cs="Arial"/>
                <w:bCs/>
                <w:szCs w:val="24"/>
                <w:lang w:val="es-ES_tradnl" w:eastAsia="es-ES_tradnl"/>
              </w:rPr>
              <w:t xml:space="preserve">INALTERABILIDAD </w:t>
            </w:r>
            <w:r w:rsidRPr="0090344C">
              <w:rPr>
                <w:rFonts w:ascii="Arial" w:eastAsia="Calibri" w:hAnsi="Arial" w:cs="Arial"/>
                <w:bCs/>
                <w:color w:val="000000"/>
                <w:szCs w:val="24"/>
                <w:lang w:val="es-ES_tradnl" w:eastAsia="es-ES_tradnl"/>
              </w:rPr>
              <w:t>–</w:t>
            </w:r>
            <w:r w:rsidRPr="0090344C">
              <w:rPr>
                <w:rFonts w:ascii="Arial" w:eastAsia="Calibri" w:hAnsi="Arial" w:cs="Arial"/>
                <w:bCs/>
                <w:szCs w:val="24"/>
                <w:lang w:val="es-ES_tradnl" w:eastAsia="es-ES_tradnl"/>
              </w:rPr>
              <w:t xml:space="preserve"> Documentos tipo </w:t>
            </w:r>
            <w:r w:rsidRPr="0090344C">
              <w:rPr>
                <w:rFonts w:ascii="Arial" w:eastAsia="Calibri" w:hAnsi="Arial" w:cs="Arial"/>
                <w:bCs/>
                <w:color w:val="000000"/>
                <w:szCs w:val="24"/>
                <w:lang w:val="es-ES_tradnl" w:eastAsia="es-ES_tradnl"/>
              </w:rPr>
              <w:t xml:space="preserve">– </w:t>
            </w:r>
            <w:r w:rsidRPr="0090344C">
              <w:rPr>
                <w:rFonts w:ascii="Arial" w:eastAsia="Calibri" w:hAnsi="Arial" w:cs="Arial"/>
                <w:bCs/>
                <w:szCs w:val="24"/>
                <w:lang w:val="es-ES_tradnl" w:eastAsia="es-ES_tradnl"/>
              </w:rPr>
              <w:t xml:space="preserve">Regla vigente </w:t>
            </w:r>
            <w:r w:rsidRPr="0090344C">
              <w:rPr>
                <w:rFonts w:ascii="Arial" w:eastAsia="Calibri" w:hAnsi="Arial" w:cs="Arial"/>
                <w:bCs/>
                <w:color w:val="000000"/>
                <w:szCs w:val="24"/>
                <w:lang w:val="es-ES_tradnl" w:eastAsia="es-ES_tradnl"/>
              </w:rPr>
              <w:t>– Alcance</w:t>
            </w:r>
            <w:r w:rsidRPr="007A44DB">
              <w:rPr>
                <w:rFonts w:ascii="Arial" w:eastAsia="Calibri" w:hAnsi="Arial" w:cs="Arial"/>
                <w:bCs/>
                <w:color w:val="000000"/>
                <w:szCs w:val="24"/>
                <w:lang w:val="es-ES_tradnl" w:eastAsia="es-ES_tradnl"/>
              </w:rPr>
              <w:t xml:space="preserve"> </w:t>
            </w:r>
          </w:p>
          <w:p w14:paraId="5E1AE468" w14:textId="77777777" w:rsidR="00734BD3" w:rsidRPr="0090344C" w:rsidRDefault="00734BD3" w:rsidP="00B53228">
            <w:pPr>
              <w:widowControl w:val="0"/>
              <w:autoSpaceDE w:val="0"/>
              <w:autoSpaceDN w:val="0"/>
              <w:jc w:val="both"/>
              <w:rPr>
                <w:rFonts w:ascii="Arial" w:eastAsia="Arial" w:hAnsi="Arial" w:cs="Arial"/>
                <w:bCs/>
                <w:lang w:eastAsia="es-ES" w:bidi="es-ES"/>
              </w:rPr>
            </w:pPr>
          </w:p>
          <w:p w14:paraId="48B95E5F" w14:textId="77777777" w:rsidR="00734BD3" w:rsidRPr="004F0480" w:rsidRDefault="00734BD3" w:rsidP="00B53228">
            <w:pPr>
              <w:jc w:val="both"/>
              <w:rPr>
                <w:rFonts w:ascii="Arial" w:eastAsia="Calibri" w:hAnsi="Arial" w:cs="Arial"/>
                <w:bCs/>
                <w:color w:val="000000"/>
                <w:lang w:val="es-ES_tradnl"/>
              </w:rPr>
            </w:pPr>
          </w:p>
        </w:tc>
      </w:tr>
      <w:tr w:rsidR="00734BD3" w:rsidRPr="004F0480" w14:paraId="7375D33C" w14:textId="77777777" w:rsidTr="00B53228">
        <w:tc>
          <w:tcPr>
            <w:tcW w:w="2689" w:type="dxa"/>
          </w:tcPr>
          <w:p w14:paraId="0D09B2AF" w14:textId="77777777" w:rsidR="00734BD3" w:rsidRPr="004F0480" w:rsidRDefault="00734BD3" w:rsidP="00B53228">
            <w:pPr>
              <w:spacing w:before="120"/>
              <w:rPr>
                <w:rFonts w:ascii="Arial" w:eastAsia="Calibri" w:hAnsi="Arial" w:cs="Arial"/>
                <w:b/>
                <w:color w:val="000000"/>
                <w:lang w:val="es-ES_tradnl"/>
              </w:rPr>
            </w:pPr>
            <w:r w:rsidRPr="004F0480">
              <w:rPr>
                <w:rFonts w:ascii="Arial" w:eastAsia="Calibri" w:hAnsi="Arial" w:cs="Arial"/>
                <w:b/>
                <w:color w:val="000000"/>
                <w:lang w:val="es-ES_tradnl"/>
              </w:rPr>
              <w:t>Radicación:</w:t>
            </w:r>
            <w:r w:rsidRPr="004F0480">
              <w:rPr>
                <w:rFonts w:ascii="Arial" w:eastAsia="Calibri" w:hAnsi="Arial" w:cs="Arial"/>
                <w:color w:val="000000"/>
                <w:lang w:val="es-ES_tradnl"/>
              </w:rPr>
              <w:t xml:space="preserve">                              </w:t>
            </w:r>
          </w:p>
        </w:tc>
        <w:tc>
          <w:tcPr>
            <w:tcW w:w="6237" w:type="dxa"/>
          </w:tcPr>
          <w:p w14:paraId="48189E18" w14:textId="77777777" w:rsidR="00734BD3" w:rsidRPr="00A04F48" w:rsidRDefault="00734BD3" w:rsidP="00B53228">
            <w:pPr>
              <w:jc w:val="both"/>
              <w:rPr>
                <w:rFonts w:ascii="Arial" w:hAnsi="Arial" w:cs="Arial"/>
              </w:rPr>
            </w:pPr>
            <w:r w:rsidRPr="004F0480">
              <w:rPr>
                <w:rFonts w:ascii="Arial" w:eastAsia="Calibri" w:hAnsi="Arial" w:cs="Arial"/>
                <w:color w:val="000000"/>
                <w:lang w:val="es-ES_tradnl"/>
              </w:rPr>
              <w:t xml:space="preserve">Respuesta a consulta </w:t>
            </w:r>
            <w:r w:rsidRPr="00F03F85">
              <w:rPr>
                <w:rFonts w:ascii="Arial" w:hAnsi="Arial" w:cs="Arial"/>
              </w:rPr>
              <w:t>P20220520005007</w:t>
            </w:r>
          </w:p>
        </w:tc>
      </w:tr>
    </w:tbl>
    <w:p w14:paraId="0A35A0CF" w14:textId="77777777" w:rsidR="00734BD3" w:rsidRDefault="00734BD3" w:rsidP="00734BD3">
      <w:pPr>
        <w:spacing w:after="0" w:line="240" w:lineRule="auto"/>
        <w:rPr>
          <w:rFonts w:ascii="Arial" w:eastAsia="Calibri" w:hAnsi="Arial" w:cs="Arial"/>
          <w:color w:val="000000"/>
          <w:lang w:val="es-ES_tradnl"/>
        </w:rPr>
      </w:pPr>
    </w:p>
    <w:p w14:paraId="4666C9FD" w14:textId="77777777" w:rsidR="00734BD3" w:rsidRPr="004F0480" w:rsidRDefault="00734BD3" w:rsidP="00734BD3">
      <w:pPr>
        <w:spacing w:after="0" w:line="240" w:lineRule="auto"/>
        <w:rPr>
          <w:rFonts w:ascii="Arial" w:eastAsia="Calibri" w:hAnsi="Arial" w:cs="Arial"/>
          <w:color w:val="000000"/>
          <w:lang w:val="es-ES_tradnl"/>
        </w:rPr>
      </w:pPr>
    </w:p>
    <w:p w14:paraId="705FCFDD" w14:textId="77777777" w:rsidR="00734BD3" w:rsidRPr="004F0480" w:rsidRDefault="00734BD3" w:rsidP="00734BD3">
      <w:pPr>
        <w:spacing w:after="0" w:line="240" w:lineRule="auto"/>
        <w:rPr>
          <w:rFonts w:ascii="Arial" w:eastAsia="Calibri" w:hAnsi="Arial" w:cs="Arial"/>
          <w:color w:val="000000"/>
          <w:lang w:val="es-ES_tradnl"/>
        </w:rPr>
      </w:pPr>
      <w:r w:rsidRPr="004F0480">
        <w:rPr>
          <w:rFonts w:ascii="Arial" w:eastAsia="Calibri" w:hAnsi="Arial" w:cs="Arial"/>
          <w:color w:val="000000"/>
          <w:lang w:val="es-ES_tradnl"/>
        </w:rPr>
        <w:t>Estimad</w:t>
      </w:r>
      <w:r>
        <w:rPr>
          <w:rFonts w:ascii="Arial" w:eastAsia="Calibri" w:hAnsi="Arial" w:cs="Arial"/>
          <w:color w:val="000000"/>
          <w:lang w:val="es-ES_tradnl"/>
        </w:rPr>
        <w:t xml:space="preserve">a </w:t>
      </w:r>
      <w:r w:rsidRPr="004F0480">
        <w:rPr>
          <w:rFonts w:ascii="Arial" w:eastAsia="Calibri" w:hAnsi="Arial" w:cs="Arial"/>
          <w:color w:val="000000"/>
          <w:lang w:val="es-ES_tradnl"/>
        </w:rPr>
        <w:t>señor</w:t>
      </w:r>
      <w:r>
        <w:rPr>
          <w:rFonts w:ascii="Arial" w:eastAsia="Calibri" w:hAnsi="Arial" w:cs="Arial"/>
          <w:color w:val="000000"/>
          <w:lang w:val="es-ES_tradnl"/>
        </w:rPr>
        <w:t>a Garzón</w:t>
      </w:r>
      <w:r w:rsidRPr="004F0480">
        <w:rPr>
          <w:rFonts w:ascii="Arial" w:eastAsia="Calibri" w:hAnsi="Arial" w:cs="Arial"/>
          <w:color w:val="000000"/>
          <w:lang w:val="es-ES_tradnl"/>
        </w:rPr>
        <w:t>,</w:t>
      </w:r>
    </w:p>
    <w:p w14:paraId="26B65323" w14:textId="77777777" w:rsidR="00734BD3" w:rsidRPr="004F0480" w:rsidRDefault="00734BD3" w:rsidP="00734BD3">
      <w:pPr>
        <w:spacing w:after="0" w:line="276" w:lineRule="auto"/>
        <w:rPr>
          <w:rFonts w:ascii="Arial" w:eastAsia="Calibri" w:hAnsi="Arial" w:cs="Arial"/>
          <w:color w:val="000000"/>
          <w:lang w:val="es-ES_tradnl"/>
        </w:rPr>
      </w:pPr>
    </w:p>
    <w:p w14:paraId="3BA03750" w14:textId="77777777" w:rsidR="00734BD3" w:rsidRPr="004F0480" w:rsidRDefault="00734BD3" w:rsidP="00734BD3">
      <w:pPr>
        <w:spacing w:after="0" w:line="276" w:lineRule="auto"/>
        <w:jc w:val="both"/>
        <w:rPr>
          <w:rFonts w:ascii="Arial" w:eastAsia="Calibri" w:hAnsi="Arial" w:cs="Arial"/>
          <w:color w:val="000000"/>
          <w:lang w:val="es-ES_tradnl"/>
        </w:rPr>
      </w:pPr>
      <w:r w:rsidRPr="004F0480">
        <w:rPr>
          <w:rFonts w:ascii="Arial" w:eastAsia="Calibri" w:hAnsi="Arial" w:cs="Arial"/>
          <w:color w:val="000000"/>
          <w:lang w:val="es-ES_tradnl"/>
        </w:rPr>
        <w:t>En ejercicio de la competencia otorgada por el numeral 8 del artículo 11 y el numeral 5 del artículo 3 del Decreto Ley 4170 de 2011, la Agencia Nacional de Contratación Pública ― Colombia Compra Eficiente responde su consulta del</w:t>
      </w:r>
      <w:r>
        <w:rPr>
          <w:rFonts w:ascii="Arial" w:eastAsia="Calibri" w:hAnsi="Arial" w:cs="Arial"/>
          <w:color w:val="000000"/>
          <w:lang w:val="es-ES_tradnl"/>
        </w:rPr>
        <w:t xml:space="preserve"> 20 de mayo de 2022</w:t>
      </w:r>
      <w:r w:rsidRPr="004F0480">
        <w:rPr>
          <w:rFonts w:ascii="Arial" w:eastAsia="Calibri" w:hAnsi="Arial" w:cs="Arial"/>
          <w:color w:val="000000"/>
          <w:lang w:val="es-ES_tradnl"/>
        </w:rPr>
        <w:t>.</w:t>
      </w:r>
    </w:p>
    <w:p w14:paraId="0C76CA7D" w14:textId="77777777" w:rsidR="00734BD3" w:rsidRPr="004F0480" w:rsidRDefault="00734BD3" w:rsidP="00734BD3">
      <w:pPr>
        <w:tabs>
          <w:tab w:val="left" w:pos="426"/>
        </w:tabs>
        <w:spacing w:after="0" w:line="276" w:lineRule="auto"/>
        <w:jc w:val="both"/>
        <w:rPr>
          <w:rFonts w:ascii="Arial" w:eastAsia="Calibri" w:hAnsi="Arial" w:cs="Arial"/>
          <w:color w:val="000000"/>
          <w:lang w:val="es-ES_tradnl"/>
        </w:rPr>
      </w:pPr>
    </w:p>
    <w:p w14:paraId="4442C965" w14:textId="77777777" w:rsidR="00734BD3" w:rsidRPr="004F0480" w:rsidRDefault="00734BD3" w:rsidP="00734BD3">
      <w:pPr>
        <w:tabs>
          <w:tab w:val="left" w:pos="284"/>
        </w:tabs>
        <w:spacing w:after="0" w:line="276" w:lineRule="auto"/>
        <w:contextualSpacing/>
        <w:jc w:val="both"/>
        <w:rPr>
          <w:rFonts w:ascii="Arial" w:eastAsia="Calibri" w:hAnsi="Arial" w:cs="Arial"/>
          <w:b/>
          <w:color w:val="000000"/>
          <w:lang w:val="es-ES_tradnl"/>
        </w:rPr>
      </w:pPr>
      <w:r w:rsidRPr="004F0480">
        <w:rPr>
          <w:rFonts w:ascii="Arial" w:eastAsia="Calibri" w:hAnsi="Arial" w:cs="Arial"/>
          <w:b/>
          <w:color w:val="000000"/>
          <w:lang w:val="es-ES_tradnl"/>
        </w:rPr>
        <w:t xml:space="preserve">1. Problema planteado </w:t>
      </w:r>
    </w:p>
    <w:p w14:paraId="5134F312" w14:textId="77777777" w:rsidR="00734BD3" w:rsidRDefault="00734BD3" w:rsidP="00734BD3">
      <w:pPr>
        <w:tabs>
          <w:tab w:val="left" w:pos="426"/>
        </w:tabs>
        <w:spacing w:after="0" w:line="276" w:lineRule="auto"/>
        <w:jc w:val="both"/>
        <w:rPr>
          <w:rFonts w:ascii="Arial" w:eastAsia="Calibri" w:hAnsi="Arial" w:cs="Arial"/>
          <w:b/>
          <w:color w:val="000000"/>
          <w:lang w:val="es-ES_tradnl"/>
        </w:rPr>
      </w:pPr>
    </w:p>
    <w:p w14:paraId="775DC909" w14:textId="77777777" w:rsidR="00734BD3" w:rsidRPr="00F91BD9" w:rsidRDefault="00734BD3" w:rsidP="00734BD3">
      <w:pPr>
        <w:tabs>
          <w:tab w:val="left" w:pos="426"/>
        </w:tabs>
        <w:spacing w:after="0" w:line="276" w:lineRule="auto"/>
        <w:jc w:val="both"/>
        <w:rPr>
          <w:rFonts w:ascii="Arial" w:eastAsia="Calibri" w:hAnsi="Arial" w:cs="Arial"/>
          <w:bCs/>
          <w:color w:val="000000"/>
          <w:lang w:val="es-ES_tradnl"/>
        </w:rPr>
      </w:pPr>
      <w:r>
        <w:rPr>
          <w:rFonts w:ascii="Arial" w:eastAsia="Calibri" w:hAnsi="Arial" w:cs="Arial"/>
          <w:bCs/>
          <w:color w:val="000000"/>
          <w:lang w:val="es-ES_tradnl"/>
        </w:rPr>
        <w:t xml:space="preserve">Usted realiza las siguientes consultas: </w:t>
      </w:r>
    </w:p>
    <w:p w14:paraId="63F653C1" w14:textId="77777777" w:rsidR="00734BD3" w:rsidRPr="00433397" w:rsidRDefault="00734BD3" w:rsidP="00734BD3">
      <w:pPr>
        <w:pStyle w:val="NormalWeb"/>
        <w:numPr>
          <w:ilvl w:val="0"/>
          <w:numId w:val="2"/>
        </w:numPr>
        <w:spacing w:before="100" w:beforeAutospacing="1" w:after="100" w:afterAutospacing="1" w:line="240" w:lineRule="auto"/>
        <w:ind w:right="709"/>
        <w:jc w:val="both"/>
        <w:rPr>
          <w:rFonts w:ascii="Arial" w:hAnsi="Arial" w:cs="Arial"/>
          <w:sz w:val="21"/>
          <w:szCs w:val="21"/>
        </w:rPr>
      </w:pPr>
      <w:proofErr w:type="gramStart"/>
      <w:r w:rsidRPr="00433397">
        <w:rPr>
          <w:rFonts w:ascii="Arial" w:hAnsi="Arial" w:cs="Arial"/>
          <w:sz w:val="21"/>
          <w:szCs w:val="21"/>
        </w:rPr>
        <w:t>¿La entidad puede solicitar al momento de la presentación de la oferta económica, El Análisis de Precios Unitarios APUS, bajo el entendido en el numeral 4.</w:t>
      </w:r>
      <w:proofErr w:type="gramEnd"/>
      <w:r w:rsidRPr="00433397">
        <w:rPr>
          <w:rFonts w:ascii="Arial" w:hAnsi="Arial" w:cs="Arial"/>
          <w:sz w:val="21"/>
          <w:szCs w:val="21"/>
        </w:rPr>
        <w:t xml:space="preserve">1 descrito anteriormente? </w:t>
      </w:r>
      <w:r w:rsidRPr="00433397">
        <w:rPr>
          <w:rFonts w:ascii="Arial" w:hAnsi="Arial" w:cs="Arial"/>
          <w:i/>
          <w:iCs/>
          <w:sz w:val="21"/>
          <w:szCs w:val="21"/>
        </w:rPr>
        <w:t xml:space="preserve">“...El desglose de los Análisis de Precios Unitarios publicados por la Entidad es únicamente de referencia, constituye una guía para la preparación de la OFERTA...” </w:t>
      </w:r>
    </w:p>
    <w:p w14:paraId="7BF80C1E" w14:textId="77777777" w:rsidR="00734BD3" w:rsidRPr="00433397" w:rsidRDefault="00734BD3" w:rsidP="00734BD3">
      <w:pPr>
        <w:pStyle w:val="NormalWeb"/>
        <w:numPr>
          <w:ilvl w:val="0"/>
          <w:numId w:val="2"/>
        </w:numPr>
        <w:spacing w:before="100" w:beforeAutospacing="1" w:after="100" w:afterAutospacing="1" w:line="240" w:lineRule="auto"/>
        <w:ind w:right="709"/>
        <w:jc w:val="both"/>
        <w:rPr>
          <w:rFonts w:ascii="Arial" w:hAnsi="Arial" w:cs="Arial"/>
          <w:sz w:val="21"/>
          <w:szCs w:val="21"/>
        </w:rPr>
      </w:pPr>
      <w:r w:rsidRPr="00433397">
        <w:rPr>
          <w:rFonts w:ascii="Arial" w:hAnsi="Arial" w:cs="Arial"/>
          <w:sz w:val="21"/>
          <w:szCs w:val="21"/>
        </w:rPr>
        <w:t xml:space="preserve">Teniendo en cuenta lo prescrito en el Pliego Tipo en los numerales 4.1 y 8.1, se comprende que existen dos (2) momentos para que el oferente allegue el Análisis de Precios Unitarios, el 1ro. A la presentación de la propuesta y el 2do. En caso de resultar adjudicatario. ¿Es acertada la interpretación dada por la entidad? </w:t>
      </w:r>
    </w:p>
    <w:p w14:paraId="75F5E883" w14:textId="77777777" w:rsidR="00734BD3" w:rsidRPr="00433397" w:rsidRDefault="00734BD3" w:rsidP="00734BD3">
      <w:pPr>
        <w:pStyle w:val="NormalWeb"/>
        <w:numPr>
          <w:ilvl w:val="0"/>
          <w:numId w:val="2"/>
        </w:numPr>
        <w:spacing w:before="100" w:beforeAutospacing="1" w:after="100" w:afterAutospacing="1" w:line="240" w:lineRule="auto"/>
        <w:ind w:right="709"/>
        <w:jc w:val="both"/>
        <w:rPr>
          <w:rFonts w:ascii="Arial" w:hAnsi="Arial" w:cs="Arial"/>
          <w:sz w:val="21"/>
          <w:szCs w:val="21"/>
        </w:rPr>
      </w:pPr>
      <w:r w:rsidRPr="00433397">
        <w:rPr>
          <w:rFonts w:ascii="Arial" w:hAnsi="Arial" w:cs="Arial"/>
          <w:sz w:val="21"/>
          <w:szCs w:val="21"/>
        </w:rPr>
        <w:t xml:space="preserve">Bajo el principio de voluntad administrativa y acogiéndonos a las anotaciones dispuestas en el FORMULARIO 1 – PRESUPUESTO OFICIAL. ¿La entidad puede modificar el mencionado formulario y exigir la presentación del Análisis de Precios Unitarios como requisito habilitante? </w:t>
      </w:r>
    </w:p>
    <w:p w14:paraId="75E5CF1D" w14:textId="77777777" w:rsidR="00734BD3" w:rsidRPr="00433397" w:rsidRDefault="00734BD3" w:rsidP="00734BD3">
      <w:pPr>
        <w:pStyle w:val="NormalWeb"/>
        <w:numPr>
          <w:ilvl w:val="0"/>
          <w:numId w:val="2"/>
        </w:numPr>
        <w:spacing w:before="100" w:beforeAutospacing="1" w:after="100" w:afterAutospacing="1" w:line="240" w:lineRule="auto"/>
        <w:ind w:right="709"/>
        <w:jc w:val="both"/>
        <w:rPr>
          <w:rFonts w:ascii="Arial" w:hAnsi="Arial" w:cs="Arial"/>
          <w:sz w:val="21"/>
          <w:szCs w:val="21"/>
        </w:rPr>
      </w:pPr>
      <w:r w:rsidRPr="00433397">
        <w:rPr>
          <w:rFonts w:ascii="Arial" w:hAnsi="Arial" w:cs="Arial"/>
          <w:sz w:val="21"/>
          <w:szCs w:val="21"/>
        </w:rPr>
        <w:lastRenderedPageBreak/>
        <w:t xml:space="preserve">Por último, y no siendo menos importante, en el </w:t>
      </w:r>
      <w:bookmarkStart w:id="2" w:name="_Hlk106967110"/>
      <w:r w:rsidRPr="00433397">
        <w:rPr>
          <w:rFonts w:ascii="Arial" w:hAnsi="Arial" w:cs="Arial"/>
          <w:sz w:val="21"/>
          <w:szCs w:val="21"/>
        </w:rPr>
        <w:t xml:space="preserve">Anexo 1- Anexo Técnico CCE-EICP-IDI-01 </w:t>
      </w:r>
      <w:bookmarkEnd w:id="2"/>
      <w:r w:rsidRPr="00433397">
        <w:rPr>
          <w:rFonts w:ascii="Arial" w:hAnsi="Arial" w:cs="Arial"/>
          <w:sz w:val="21"/>
          <w:szCs w:val="21"/>
        </w:rPr>
        <w:t xml:space="preserve">licitación, se establece, la INFORMACION SOBRE EL PERSONAL PROFESIONAL, así́: </w:t>
      </w:r>
    </w:p>
    <w:p w14:paraId="0C479089" w14:textId="77777777" w:rsidR="00734BD3" w:rsidRPr="00433397" w:rsidRDefault="00734BD3" w:rsidP="00734BD3">
      <w:pPr>
        <w:pStyle w:val="NormalWeb"/>
        <w:spacing w:before="100" w:beforeAutospacing="1" w:after="100" w:afterAutospacing="1" w:line="240" w:lineRule="auto"/>
        <w:ind w:left="709" w:right="709"/>
        <w:jc w:val="both"/>
        <w:rPr>
          <w:rFonts w:ascii="Arial" w:hAnsi="Arial" w:cs="Arial"/>
          <w:sz w:val="21"/>
          <w:szCs w:val="21"/>
        </w:rPr>
      </w:pPr>
      <w:r w:rsidRPr="00433397">
        <w:rPr>
          <w:rFonts w:ascii="Arial" w:hAnsi="Arial" w:cs="Arial"/>
          <w:sz w:val="21"/>
          <w:szCs w:val="21"/>
        </w:rPr>
        <w:t xml:space="preserve">-Las hojas de vida y soportes del personal vinculado al proyecto serán verificadas una vez se adjudique el contrato y no podrán ser pedidas durante la selección del contratista para efectos de otorgar puntaje o como criterio habilitante. </w:t>
      </w:r>
    </w:p>
    <w:p w14:paraId="30809B22" w14:textId="77777777" w:rsidR="00734BD3" w:rsidRPr="00433397" w:rsidRDefault="00734BD3" w:rsidP="00734BD3">
      <w:pPr>
        <w:pStyle w:val="NormalWeb"/>
        <w:spacing w:before="100" w:beforeAutospacing="1" w:after="100" w:afterAutospacing="1" w:line="240" w:lineRule="auto"/>
        <w:ind w:left="709" w:right="709"/>
        <w:jc w:val="both"/>
        <w:rPr>
          <w:rFonts w:ascii="Arial" w:hAnsi="Arial" w:cs="Arial"/>
          <w:sz w:val="21"/>
          <w:szCs w:val="21"/>
        </w:rPr>
      </w:pPr>
      <w:r w:rsidRPr="00433397">
        <w:rPr>
          <w:rFonts w:ascii="Arial" w:hAnsi="Arial" w:cs="Arial"/>
          <w:sz w:val="21"/>
          <w:szCs w:val="21"/>
        </w:rPr>
        <w:t xml:space="preserve">-Si el contratista ofrece dos (2) o más profesionales para realizar actividades de un mismo cargo, cada uno de ellos deberá́ cumplir los requisitos exigidos en los pliegos de condiciones para el respectivo cargo. Un mismo profesional no puede ser ofrecido para dos o más cargos diferentes. </w:t>
      </w:r>
    </w:p>
    <w:p w14:paraId="50CC2624" w14:textId="77777777" w:rsidR="00734BD3" w:rsidRPr="00433397" w:rsidRDefault="00734BD3" w:rsidP="00734BD3">
      <w:pPr>
        <w:pStyle w:val="NormalWeb"/>
        <w:spacing w:line="240" w:lineRule="auto"/>
        <w:ind w:left="709" w:right="709"/>
        <w:jc w:val="both"/>
        <w:rPr>
          <w:rFonts w:ascii="Arial" w:hAnsi="Arial" w:cs="Arial"/>
          <w:sz w:val="21"/>
          <w:szCs w:val="21"/>
          <w:vertAlign w:val="subscript"/>
        </w:rPr>
      </w:pPr>
      <w:r w:rsidRPr="00433397">
        <w:rPr>
          <w:rFonts w:ascii="Arial" w:hAnsi="Arial" w:cs="Arial"/>
          <w:sz w:val="21"/>
          <w:szCs w:val="21"/>
        </w:rPr>
        <w:t>¿Es pertinente que la entidad solicite las HOJAS DE VIDA y los soportes que acrediten la capacidad, experiencia e idoneidad del personal mínimo establecido en el Anexo Técnico 1, al momento de la presentación de la oferta, constituyéndose como un requisito habilitante, aclarando que tal exigencia predica solamente del personal MINIMO?</w:t>
      </w:r>
    </w:p>
    <w:p w14:paraId="42E01529" w14:textId="77777777" w:rsidR="00734BD3" w:rsidRPr="004F0480" w:rsidRDefault="00734BD3" w:rsidP="00734BD3">
      <w:pPr>
        <w:tabs>
          <w:tab w:val="left" w:pos="426"/>
        </w:tabs>
        <w:spacing w:after="0" w:line="240" w:lineRule="auto"/>
        <w:ind w:left="709" w:right="709"/>
        <w:jc w:val="both"/>
        <w:rPr>
          <w:rFonts w:ascii="Arial" w:eastAsia="Calibri" w:hAnsi="Arial" w:cs="Arial"/>
          <w:color w:val="000000"/>
          <w:lang w:val="es-ES_tradnl"/>
        </w:rPr>
      </w:pPr>
    </w:p>
    <w:p w14:paraId="299896D2" w14:textId="77777777" w:rsidR="00734BD3" w:rsidRPr="004F0480" w:rsidRDefault="00734BD3" w:rsidP="00734BD3">
      <w:pPr>
        <w:tabs>
          <w:tab w:val="left" w:pos="426"/>
        </w:tabs>
        <w:spacing w:after="0" w:line="276" w:lineRule="auto"/>
        <w:jc w:val="both"/>
        <w:rPr>
          <w:rFonts w:ascii="Arial" w:eastAsia="Calibri" w:hAnsi="Arial" w:cs="Arial"/>
          <w:b/>
          <w:color w:val="000000"/>
          <w:lang w:val="es-ES_tradnl"/>
        </w:rPr>
      </w:pPr>
      <w:r w:rsidRPr="004F0480">
        <w:rPr>
          <w:rFonts w:ascii="Arial" w:eastAsia="Calibri" w:hAnsi="Arial" w:cs="Arial"/>
          <w:b/>
          <w:color w:val="000000"/>
          <w:lang w:val="es-ES_tradnl"/>
        </w:rPr>
        <w:t>2. Consideraciones</w:t>
      </w:r>
    </w:p>
    <w:p w14:paraId="5DDEB05B" w14:textId="77777777" w:rsidR="00734BD3" w:rsidRPr="004F0480" w:rsidRDefault="00734BD3" w:rsidP="00734BD3">
      <w:pPr>
        <w:spacing w:after="0" w:line="276" w:lineRule="auto"/>
        <w:jc w:val="both"/>
        <w:rPr>
          <w:rFonts w:ascii="Arial" w:eastAsia="Calibri" w:hAnsi="Arial" w:cs="Arial"/>
          <w:color w:val="000000"/>
          <w:lang w:val="es-ES_tradnl"/>
        </w:rPr>
      </w:pPr>
    </w:p>
    <w:p w14:paraId="43208A7F" w14:textId="77777777" w:rsidR="00734BD3" w:rsidRPr="00471EB4" w:rsidRDefault="00734BD3" w:rsidP="00734BD3">
      <w:pPr>
        <w:spacing w:line="276" w:lineRule="auto"/>
        <w:jc w:val="both"/>
        <w:rPr>
          <w:rFonts w:ascii="Arial" w:eastAsia="Calibri" w:hAnsi="Arial" w:cs="Arial"/>
          <w:color w:val="000000"/>
          <w:lang w:val="es-ES_tradnl"/>
        </w:rPr>
      </w:pPr>
      <w:r w:rsidRPr="004F0480">
        <w:rPr>
          <w:rFonts w:ascii="Arial" w:eastAsia="Calibri" w:hAnsi="Arial" w:cs="Arial"/>
          <w:color w:val="000000"/>
          <w:lang w:val="es-ES_tradnl"/>
        </w:rPr>
        <w:t>Para abordar el interrogante planteado, se analizarán los siguientes temas</w:t>
      </w:r>
      <w:r w:rsidRPr="006D5539">
        <w:rPr>
          <w:rFonts w:ascii="Arial" w:eastAsia="Calibri" w:hAnsi="Arial" w:cs="Arial"/>
          <w:color w:val="000000"/>
          <w:lang w:val="es-ES_tradnl"/>
        </w:rPr>
        <w:t xml:space="preserve">: </w:t>
      </w:r>
      <w:r w:rsidRPr="00471EB4">
        <w:rPr>
          <w:rFonts w:ascii="Arial" w:eastAsia="Calibri" w:hAnsi="Arial" w:cs="Arial"/>
          <w:color w:val="000000"/>
          <w:lang w:val="es-ES_tradnl"/>
        </w:rPr>
        <w:t xml:space="preserve">i) Fundamento normativo de los documentos tipo, </w:t>
      </w:r>
      <w:proofErr w:type="spellStart"/>
      <w:r w:rsidRPr="00471EB4">
        <w:rPr>
          <w:rFonts w:ascii="Arial" w:eastAsia="Calibri" w:hAnsi="Arial" w:cs="Arial"/>
          <w:color w:val="000000"/>
          <w:lang w:val="es-ES_tradnl"/>
        </w:rPr>
        <w:t>ii</w:t>
      </w:r>
      <w:proofErr w:type="spellEnd"/>
      <w:r w:rsidRPr="00471EB4">
        <w:rPr>
          <w:rFonts w:ascii="Arial" w:eastAsia="Calibri" w:hAnsi="Arial" w:cs="Arial"/>
          <w:color w:val="000000"/>
          <w:lang w:val="es-ES_tradnl"/>
        </w:rPr>
        <w:t xml:space="preserve">) la inalterabilidad de los documentos tipo y </w:t>
      </w:r>
      <w:proofErr w:type="spellStart"/>
      <w:r w:rsidRPr="00471EB4">
        <w:rPr>
          <w:rFonts w:ascii="Arial" w:eastAsia="Calibri" w:hAnsi="Arial" w:cs="Arial"/>
          <w:color w:val="000000"/>
          <w:lang w:val="es-ES_tradnl"/>
        </w:rPr>
        <w:t>iii</w:t>
      </w:r>
      <w:proofErr w:type="spellEnd"/>
      <w:r w:rsidRPr="00471EB4">
        <w:rPr>
          <w:rFonts w:ascii="Arial" w:eastAsia="Calibri" w:hAnsi="Arial" w:cs="Arial"/>
          <w:color w:val="000000"/>
          <w:lang w:val="es-ES_tradnl"/>
        </w:rPr>
        <w:t xml:space="preserve">) Documentos tipo de licitación de obra de infraestructura de transporte: análisis de precios unitarios y hojas de vida del personal. </w:t>
      </w:r>
    </w:p>
    <w:p w14:paraId="526DF224" w14:textId="77777777" w:rsidR="00734BD3" w:rsidRDefault="00734BD3" w:rsidP="00734BD3">
      <w:pPr>
        <w:spacing w:after="120" w:line="276" w:lineRule="auto"/>
        <w:ind w:firstLine="708"/>
        <w:jc w:val="both"/>
        <w:rPr>
          <w:rFonts w:ascii="Arial" w:eastAsia="Calibri" w:hAnsi="Arial" w:cs="Arial"/>
          <w:lang w:val="es-MX"/>
        </w:rPr>
      </w:pPr>
      <w:r w:rsidRPr="00BA6980">
        <w:rPr>
          <w:rFonts w:ascii="Arial" w:eastAsia="Calibri" w:hAnsi="Arial" w:cs="Arial"/>
          <w:lang w:val="es-MX"/>
        </w:rPr>
        <w:t xml:space="preserve">La Agencia Nacional de Contratación Pública – Colombia Compra Eficiente analizó el fundamento normativo de los pliegos de condiciones tipo en la contratación estatal, entre otros, en los siguientes conceptos: </w:t>
      </w:r>
      <w:r w:rsidRPr="00BA6980">
        <w:rPr>
          <w:rFonts w:ascii="Arial" w:hAnsi="Arial" w:cs="Arial"/>
        </w:rPr>
        <w:t>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w:t>
      </w:r>
      <w:r w:rsidRPr="00BA6980">
        <w:rPr>
          <w:rFonts w:ascii="Arial" w:eastAsia="Calibri" w:hAnsi="Arial" w:cs="Arial"/>
          <w:lang w:val="es-MX"/>
        </w:rPr>
        <w:t xml:space="preserve">, C-215 </w:t>
      </w:r>
      <w:r w:rsidRPr="00BA6980">
        <w:rPr>
          <w:rFonts w:ascii="Arial" w:eastAsia="Calibri" w:hAnsi="Arial" w:cs="Arial"/>
          <w:lang w:val="es-MX"/>
        </w:rPr>
        <w:lastRenderedPageBreak/>
        <w:t>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w:t>
      </w:r>
      <w:r>
        <w:rPr>
          <w:rFonts w:ascii="Arial" w:eastAsia="Calibri" w:hAnsi="Arial" w:cs="Arial"/>
          <w:lang w:val="es-MX"/>
        </w:rPr>
        <w:t>, C-591 del 31 de agosto de 2021, C-493 del 13 de septiembre de 2021, C-569 del 12 de octubre de 2021, C-599 del 26 de octubre de 2021 y C-643 del 17 de noviembre de 2021.</w:t>
      </w:r>
    </w:p>
    <w:p w14:paraId="5EEF3E45" w14:textId="77777777" w:rsidR="00734BD3" w:rsidRPr="00BA6980" w:rsidRDefault="00734BD3" w:rsidP="00734BD3">
      <w:pPr>
        <w:spacing w:after="120" w:line="276" w:lineRule="auto"/>
        <w:ind w:firstLine="708"/>
        <w:jc w:val="both"/>
        <w:rPr>
          <w:rFonts w:ascii="Arial" w:eastAsia="Calibri" w:hAnsi="Arial" w:cs="Arial"/>
          <w:lang w:val="es-MX"/>
        </w:rPr>
      </w:pPr>
      <w:r>
        <w:rPr>
          <w:rFonts w:ascii="Arial" w:eastAsia="Times New Roman" w:hAnsi="Arial" w:cs="Arial"/>
          <w:color w:val="000000"/>
          <w:szCs w:val="24"/>
          <w:lang w:val="es-ES" w:eastAsia="es-ES_tradnl"/>
        </w:rPr>
        <w:t>Así mismo, l</w:t>
      </w:r>
      <w:r w:rsidRPr="004317B4">
        <w:rPr>
          <w:rFonts w:ascii="Arial" w:eastAsia="Times New Roman" w:hAnsi="Arial" w:cs="Arial"/>
          <w:color w:val="000000"/>
          <w:szCs w:val="24"/>
          <w:lang w:val="es-ES" w:eastAsia="es-ES_tradnl"/>
        </w:rPr>
        <w:t xml:space="preserve">a Agencia Nacional de Contratación Pública – Colombia Compra Eficiente se pronunció sobre </w:t>
      </w:r>
      <w:r w:rsidRPr="004317B4">
        <w:rPr>
          <w:rFonts w:ascii="Arial" w:eastAsia="Arial" w:hAnsi="Arial" w:cs="Arial"/>
          <w:color w:val="000000"/>
          <w:szCs w:val="24"/>
          <w:lang w:val="es-ES" w:eastAsia="es-ES_tradnl"/>
        </w:rPr>
        <w:t>los pliegos de condiciones tipo en la contratación estatal</w:t>
      </w:r>
      <w:r>
        <w:rPr>
          <w:rFonts w:ascii="Arial" w:eastAsia="Arial" w:hAnsi="Arial" w:cs="Arial"/>
          <w:color w:val="000000"/>
          <w:szCs w:val="24"/>
          <w:lang w:val="es-ES" w:eastAsia="es-ES_tradnl"/>
        </w:rPr>
        <w:t xml:space="preserve"> y</w:t>
      </w:r>
      <w:r w:rsidRPr="004317B4">
        <w:rPr>
          <w:rFonts w:ascii="Arial" w:eastAsia="Arial" w:hAnsi="Arial" w:cs="Arial"/>
          <w:color w:val="000000"/>
          <w:szCs w:val="24"/>
          <w:lang w:val="es-ES" w:eastAsia="es-ES_tradnl"/>
        </w:rPr>
        <w:t xml:space="preserve"> su inalterabilidad, entre otros, en los Conceptos </w:t>
      </w:r>
      <w:r w:rsidRPr="004317B4">
        <w:rPr>
          <w:rFonts w:ascii="Arial" w:eastAsia="Arial" w:hAnsi="Arial" w:cs="Arial"/>
          <w:szCs w:val="24"/>
          <w:lang w:val="es-ES" w:eastAsia="es-ES_tradnl"/>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 C-031 del 1 de febrero de 2021</w:t>
      </w:r>
      <w:r w:rsidRPr="004317B4">
        <w:rPr>
          <w:rFonts w:ascii="Arial" w:eastAsia="Arial" w:hAnsi="Arial" w:cs="Arial"/>
          <w:szCs w:val="24"/>
          <w:lang w:val="es-ES_tradnl" w:eastAsia="es-ES_tradnl"/>
        </w:rPr>
        <w:t xml:space="preserve"> y C-157 de 13 de abril de 2021</w:t>
      </w:r>
      <w:r w:rsidRPr="004317B4">
        <w:rPr>
          <w:rFonts w:ascii="Arial" w:eastAsia="Arial" w:hAnsi="Arial" w:cs="Arial"/>
          <w:szCs w:val="24"/>
          <w:lang w:val="es-ES" w:eastAsia="es-ES_tradnl"/>
        </w:rPr>
        <w:t>.</w:t>
      </w:r>
      <w:r w:rsidRPr="004317B4">
        <w:rPr>
          <w:rFonts w:ascii="Arial" w:eastAsia="Calibri" w:hAnsi="Arial" w:cs="Arial"/>
          <w:szCs w:val="24"/>
          <w:lang w:eastAsia="es-ES_tradnl"/>
        </w:rPr>
        <w:t xml:space="preserve"> </w:t>
      </w:r>
      <w:r w:rsidRPr="004317B4">
        <w:rPr>
          <w:rFonts w:ascii="Arial" w:eastAsia="Arial" w:hAnsi="Arial" w:cs="Arial"/>
          <w:szCs w:val="24"/>
          <w:lang w:val="es-ES" w:eastAsia="es-ES_tradnl"/>
        </w:rPr>
        <w:t xml:space="preserve">Sobre </w:t>
      </w:r>
      <w:r w:rsidRPr="004317B4">
        <w:rPr>
          <w:rFonts w:ascii="Arial" w:eastAsia="Calibri" w:hAnsi="Arial" w:cs="Arial"/>
          <w:color w:val="000000"/>
          <w:szCs w:val="24"/>
          <w:lang w:val="es-ES_tradnl" w:eastAsia="es-ES_tradnl"/>
        </w:rPr>
        <w:t>el Decreto 680 de 2021</w:t>
      </w:r>
      <w:r w:rsidRPr="004317B4">
        <w:rPr>
          <w:rFonts w:ascii="Arial" w:eastAsia="Calibri" w:hAnsi="Arial" w:cs="Arial"/>
          <w:szCs w:val="24"/>
          <w:lang w:eastAsia="es-ES_tradnl"/>
        </w:rPr>
        <w:t xml:space="preserve">, esta Agencia se pronunció en los </w:t>
      </w:r>
      <w:r w:rsidRPr="004317B4">
        <w:rPr>
          <w:rFonts w:ascii="Arial" w:eastAsia="Calibri" w:hAnsi="Arial" w:cs="Arial"/>
          <w:color w:val="000000"/>
          <w:szCs w:val="24"/>
          <w:lang w:val="es-ES_tradnl" w:eastAsia="es-ES_tradnl"/>
        </w:rPr>
        <w:t>Concepto C-442 del 26 de agosto de 2021, C-547 del 5 de octubre de 2021</w:t>
      </w:r>
      <w:r>
        <w:rPr>
          <w:rFonts w:ascii="Arial" w:eastAsia="Calibri" w:hAnsi="Arial" w:cs="Arial"/>
          <w:color w:val="000000"/>
          <w:szCs w:val="24"/>
          <w:lang w:val="es-ES_tradnl" w:eastAsia="es-ES_tradnl"/>
        </w:rPr>
        <w:t xml:space="preserve">, </w:t>
      </w:r>
      <w:r w:rsidRPr="004317B4">
        <w:rPr>
          <w:rFonts w:ascii="Arial" w:eastAsia="Calibri" w:hAnsi="Arial" w:cs="Arial"/>
          <w:color w:val="000000"/>
          <w:szCs w:val="24"/>
          <w:lang w:val="es-ES_tradnl" w:eastAsia="es-ES_tradnl"/>
        </w:rPr>
        <w:t>C-542 del 20 de octubre de 2021</w:t>
      </w:r>
      <w:r>
        <w:rPr>
          <w:rFonts w:ascii="Arial" w:eastAsia="Calibri" w:hAnsi="Arial" w:cs="Arial"/>
          <w:color w:val="000000"/>
          <w:szCs w:val="24"/>
          <w:lang w:val="es-ES_tradnl" w:eastAsia="es-ES_tradnl"/>
        </w:rPr>
        <w:t xml:space="preserve"> y C-647 del 22 de noviembre de 2021.</w:t>
      </w:r>
    </w:p>
    <w:p w14:paraId="1B34CC30" w14:textId="77777777" w:rsidR="00734BD3" w:rsidRPr="004F0480" w:rsidRDefault="00734BD3" w:rsidP="00734BD3">
      <w:pPr>
        <w:tabs>
          <w:tab w:val="left" w:pos="426"/>
        </w:tabs>
        <w:spacing w:after="0" w:line="276" w:lineRule="auto"/>
        <w:jc w:val="both"/>
        <w:rPr>
          <w:rFonts w:ascii="Arial" w:eastAsia="Calibri" w:hAnsi="Arial" w:cs="Arial"/>
          <w:lang w:val="es-ES_tradnl"/>
        </w:rPr>
      </w:pPr>
    </w:p>
    <w:p w14:paraId="538A0F39" w14:textId="77777777" w:rsidR="00734BD3" w:rsidRPr="004F0480" w:rsidRDefault="00734BD3" w:rsidP="00734BD3">
      <w:pPr>
        <w:spacing w:after="0" w:line="276" w:lineRule="auto"/>
        <w:jc w:val="both"/>
        <w:rPr>
          <w:rFonts w:ascii="Arial" w:eastAsia="Arial" w:hAnsi="Arial" w:cs="Arial"/>
          <w:b/>
          <w:bCs/>
          <w:color w:val="000000"/>
          <w:lang w:val="es-ES_tradnl"/>
        </w:rPr>
      </w:pPr>
      <w:r w:rsidRPr="004F0480">
        <w:rPr>
          <w:rFonts w:ascii="Arial" w:eastAsia="Arial" w:hAnsi="Arial" w:cs="Arial"/>
          <w:b/>
          <w:bCs/>
          <w:color w:val="000000"/>
          <w:lang w:val="es-ES_tradnl"/>
        </w:rPr>
        <w:t xml:space="preserve">2.1. Fundamento normativo de los documentos tipo </w:t>
      </w:r>
    </w:p>
    <w:p w14:paraId="7276E9FA" w14:textId="77777777" w:rsidR="00734BD3" w:rsidRPr="004F0480" w:rsidRDefault="00734BD3" w:rsidP="00734BD3">
      <w:pPr>
        <w:spacing w:after="0" w:line="240" w:lineRule="auto"/>
        <w:jc w:val="both"/>
        <w:rPr>
          <w:rFonts w:ascii="Arial" w:eastAsia="Calibri" w:hAnsi="Arial" w:cs="Arial"/>
          <w:color w:val="000000"/>
          <w:lang w:val="es-ES_tradnl"/>
        </w:rPr>
      </w:pPr>
    </w:p>
    <w:p w14:paraId="56FB07B7" w14:textId="77777777" w:rsidR="00734BD3" w:rsidRPr="00F41B77" w:rsidRDefault="00734BD3" w:rsidP="00734BD3">
      <w:pPr>
        <w:spacing w:after="120" w:line="276" w:lineRule="auto"/>
        <w:jc w:val="both"/>
        <w:rPr>
          <w:rFonts w:ascii="Arial" w:eastAsia="Calibri" w:hAnsi="Arial" w:cs="Arial"/>
          <w:szCs w:val="24"/>
          <w:lang w:val="es-ES_tradnl" w:eastAsia="es-ES_tradnl"/>
        </w:rPr>
      </w:pPr>
      <w:r w:rsidRPr="00F41B77">
        <w:rPr>
          <w:rFonts w:ascii="Arial" w:eastAsia="Calibri" w:hAnsi="Arial" w:cs="Arial"/>
          <w:szCs w:val="24"/>
          <w:lang w:val="es-ES_tradnl" w:eastAsia="es-ES_tradnl"/>
        </w:rPr>
        <w:t>La adopción de los documentos tipo obligatorios en el ordenamiento jurídico colombiano se incluyó por primera vez en el parágrafo 3 del artículo 2 de la Ley 1150 de 2007</w:t>
      </w:r>
      <w:r w:rsidRPr="00F41B77">
        <w:rPr>
          <w:rFonts w:ascii="Arial" w:eastAsia="Calibri" w:hAnsi="Arial" w:cs="Arial"/>
          <w:szCs w:val="24"/>
          <w:vertAlign w:val="superscript"/>
          <w:lang w:val="es-ES_tradnl" w:eastAsia="es-ES_tradnl"/>
        </w:rPr>
        <w:footnoteReference w:id="1"/>
      </w:r>
      <w:r w:rsidRPr="00F41B77">
        <w:rPr>
          <w:rFonts w:ascii="Arial" w:eastAsia="Calibri" w:hAnsi="Arial" w:cs="Arial"/>
          <w:szCs w:val="24"/>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7763E6E5" w14:textId="77777777" w:rsidR="00734BD3" w:rsidRPr="00F41B77" w:rsidRDefault="00734BD3" w:rsidP="00734BD3">
      <w:pPr>
        <w:spacing w:after="0" w:line="276" w:lineRule="auto"/>
        <w:ind w:firstLine="708"/>
        <w:jc w:val="both"/>
        <w:rPr>
          <w:rFonts w:ascii="Arial" w:eastAsia="Calibri" w:hAnsi="Arial" w:cs="Arial"/>
          <w:szCs w:val="24"/>
          <w:lang w:val="es-ES_tradnl" w:eastAsia="es-ES_tradnl"/>
        </w:rPr>
      </w:pPr>
      <w:r w:rsidRPr="00F41B77">
        <w:rPr>
          <w:rFonts w:ascii="Arial" w:eastAsia="Calibri" w:hAnsi="Arial" w:cs="Arial"/>
          <w:szCs w:val="24"/>
          <w:lang w:val="es-ES_tradnl" w:eastAsia="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4E9DE337" w14:textId="77777777" w:rsidR="00734BD3" w:rsidRPr="00F41B77" w:rsidRDefault="00734BD3" w:rsidP="00734BD3">
      <w:pPr>
        <w:spacing w:before="120" w:after="120" w:line="276" w:lineRule="auto"/>
        <w:ind w:firstLine="708"/>
        <w:jc w:val="both"/>
        <w:rPr>
          <w:rFonts w:ascii="Arial" w:eastAsia="Calibri" w:hAnsi="Arial" w:cs="Arial"/>
          <w:szCs w:val="24"/>
          <w:lang w:val="es-ES_tradnl" w:eastAsia="es-ES_tradnl"/>
        </w:rPr>
      </w:pPr>
      <w:r w:rsidRPr="00F41B77">
        <w:rPr>
          <w:rFonts w:ascii="Arial" w:eastAsia="Calibri" w:hAnsi="Arial" w:cs="Arial"/>
          <w:szCs w:val="24"/>
          <w:lang w:val="es-ES_tradnl" w:eastAsia="es-ES_tradnl"/>
        </w:rPr>
        <w:t xml:space="preserve">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w:t>
      </w:r>
      <w:r w:rsidRPr="00F41B77">
        <w:rPr>
          <w:rFonts w:ascii="Arial" w:eastAsia="Calibri" w:hAnsi="Arial" w:cs="Arial"/>
          <w:szCs w:val="24"/>
          <w:lang w:val="es-ES_tradnl" w:eastAsia="es-ES_tradnl"/>
        </w:rPr>
        <w:lastRenderedPageBreak/>
        <w:t>utilizados por todas las entidades sometidas al Estatuto General de Contratación de la Administración Pública en los procesos de selección que adelantaran</w:t>
      </w:r>
      <w:r w:rsidRPr="00F41B77">
        <w:rPr>
          <w:rFonts w:ascii="Arial" w:eastAsia="Calibri" w:hAnsi="Arial" w:cs="Arial"/>
          <w:szCs w:val="24"/>
          <w:vertAlign w:val="superscript"/>
          <w:lang w:val="es-ES_tradnl" w:eastAsia="es-ES_tradnl"/>
        </w:rPr>
        <w:footnoteReference w:id="2"/>
      </w:r>
      <w:r w:rsidRPr="00F41B77">
        <w:rPr>
          <w:rFonts w:ascii="Arial" w:eastAsia="Calibri" w:hAnsi="Arial" w:cs="Arial"/>
          <w:szCs w:val="24"/>
          <w:lang w:val="es-ES_tradnl" w:eastAsia="es-ES_tradnl"/>
        </w:rPr>
        <w:t>.</w:t>
      </w:r>
    </w:p>
    <w:p w14:paraId="1A2290EC" w14:textId="77777777" w:rsidR="00734BD3" w:rsidRPr="00F41B77" w:rsidRDefault="00734BD3" w:rsidP="00734BD3">
      <w:pPr>
        <w:spacing w:before="120" w:after="120" w:line="276" w:lineRule="auto"/>
        <w:jc w:val="both"/>
        <w:rPr>
          <w:rFonts w:ascii="Arial" w:eastAsia="Calibri" w:hAnsi="Arial" w:cs="Arial"/>
          <w:szCs w:val="24"/>
          <w:lang w:val="es-ES_tradnl" w:eastAsia="es-ES_tradnl"/>
        </w:rPr>
      </w:pPr>
      <w:r w:rsidRPr="00F41B77">
        <w:rPr>
          <w:rFonts w:ascii="Arial" w:eastAsia="Calibri" w:hAnsi="Arial" w:cs="Arial"/>
          <w:szCs w:val="24"/>
          <w:lang w:val="es-ES_tradnl"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B1E5C57" w14:textId="77777777" w:rsidR="00734BD3" w:rsidRPr="00F41B77" w:rsidRDefault="00734BD3" w:rsidP="00734BD3">
      <w:pPr>
        <w:spacing w:before="120" w:after="120" w:line="276" w:lineRule="auto"/>
        <w:jc w:val="both"/>
        <w:rPr>
          <w:rFonts w:ascii="Arial" w:eastAsia="Calibri" w:hAnsi="Arial" w:cs="Arial"/>
          <w:szCs w:val="24"/>
          <w:lang w:val="es-ES_tradnl" w:eastAsia="es-ES_tradnl"/>
        </w:rPr>
      </w:pPr>
      <w:r w:rsidRPr="00F41B77">
        <w:rPr>
          <w:rFonts w:ascii="Arial" w:eastAsia="Calibri" w:hAnsi="Arial" w:cs="Arial"/>
          <w:szCs w:val="24"/>
          <w:lang w:val="es-ES_tradnl" w:eastAsia="es-ES_tradnl"/>
        </w:rPr>
        <w:tab/>
        <w:t xml:space="preserve">De la norma descrita se concluía lo siguiente: i) la adopción de los documentos tipo estaba en cabeza del gobierno nacional. </w:t>
      </w:r>
      <w:proofErr w:type="spellStart"/>
      <w:r w:rsidRPr="00F41B77">
        <w:rPr>
          <w:rFonts w:ascii="Arial" w:eastAsia="Calibri" w:hAnsi="Arial" w:cs="Arial"/>
          <w:szCs w:val="24"/>
          <w:lang w:val="es-ES_tradnl" w:eastAsia="es-ES_tradnl"/>
        </w:rPr>
        <w:t>ii</w:t>
      </w:r>
      <w:proofErr w:type="spellEnd"/>
      <w:r w:rsidRPr="00F41B77">
        <w:rPr>
          <w:rFonts w:ascii="Arial" w:eastAsia="Calibri" w:hAnsi="Arial" w:cs="Arial"/>
          <w:szCs w:val="24"/>
          <w:lang w:val="es-ES_tradnl" w:eastAsia="es-ES_tradnl"/>
        </w:rPr>
        <w:t xml:space="preserve">) Estos debían relacionarse con procesos de obras públicas, interventoría para las obras públicas, interventoría para consultoría de estudios y diseños y, finalmente, consultoría en ingeniería para obras. </w:t>
      </w:r>
      <w:proofErr w:type="spellStart"/>
      <w:r w:rsidRPr="00F41B77">
        <w:rPr>
          <w:rFonts w:ascii="Arial" w:eastAsia="Calibri" w:hAnsi="Arial" w:cs="Arial"/>
          <w:szCs w:val="24"/>
          <w:lang w:val="es-ES_tradnl" w:eastAsia="es-ES_tradnl"/>
        </w:rPr>
        <w:t>iii</w:t>
      </w:r>
      <w:proofErr w:type="spellEnd"/>
      <w:r w:rsidRPr="00F41B77">
        <w:rPr>
          <w:rFonts w:ascii="Arial" w:eastAsia="Calibri" w:hAnsi="Arial" w:cs="Arial"/>
          <w:szCs w:val="24"/>
          <w:lang w:val="es-ES_tradnl" w:eastAsia="es-ES_tradnl"/>
        </w:rPr>
        <w:t xml:space="preserve">) Eran de obligatorio cumplimiento por parte de todas las entidades sometidas al Estatuto General de Contratación de la Administración Pública. </w:t>
      </w:r>
      <w:proofErr w:type="spellStart"/>
      <w:r w:rsidRPr="00F41B77">
        <w:rPr>
          <w:rFonts w:ascii="Arial" w:eastAsia="Calibri" w:hAnsi="Arial" w:cs="Arial"/>
          <w:szCs w:val="24"/>
          <w:lang w:val="es-ES_tradnl" w:eastAsia="es-ES_tradnl"/>
        </w:rPr>
        <w:t>iv</w:t>
      </w:r>
      <w:proofErr w:type="spellEnd"/>
      <w:r w:rsidRPr="00F41B77">
        <w:rPr>
          <w:rFonts w:ascii="Arial" w:eastAsia="Calibri" w:hAnsi="Arial" w:cs="Arial"/>
          <w:szCs w:val="24"/>
          <w:lang w:val="es-ES_tradnl"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16C94EB3" w14:textId="77777777" w:rsidR="00734BD3" w:rsidRPr="00F41B77" w:rsidRDefault="00734BD3" w:rsidP="00734BD3">
      <w:pPr>
        <w:spacing w:before="120" w:after="120" w:line="276" w:lineRule="auto"/>
        <w:jc w:val="both"/>
        <w:rPr>
          <w:rFonts w:ascii="Arial" w:eastAsia="Calibri" w:hAnsi="Arial" w:cs="Arial"/>
          <w:szCs w:val="24"/>
          <w:lang w:val="es-ES_tradnl" w:eastAsia="es-ES_tradnl"/>
        </w:rPr>
      </w:pPr>
      <w:r w:rsidRPr="00F41B77">
        <w:rPr>
          <w:rFonts w:ascii="Arial" w:eastAsia="Calibri" w:hAnsi="Arial" w:cs="Arial"/>
          <w:szCs w:val="24"/>
          <w:lang w:val="es-ES_tradnl" w:eastAsia="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3" w:name="_Hlk48665985"/>
      <w:r w:rsidRPr="00F41B77">
        <w:rPr>
          <w:rFonts w:ascii="Arial" w:eastAsia="Calibri" w:hAnsi="Arial" w:cs="Arial"/>
          <w:szCs w:val="24"/>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3"/>
      <w:r w:rsidRPr="00F41B77">
        <w:rPr>
          <w:rFonts w:ascii="Arial" w:eastAsia="Calibri" w:hAnsi="Arial" w:cs="Arial"/>
          <w:szCs w:val="24"/>
          <w:lang w:val="es-ES_tradnl" w:eastAsia="es-ES_tradnl"/>
        </w:rPr>
        <w:t xml:space="preserve">. De igual manera, se establece que </w:t>
      </w:r>
      <w:r w:rsidRPr="00F41B77">
        <w:rPr>
          <w:rFonts w:ascii="Arial" w:eastAsia="Calibri" w:hAnsi="Arial" w:cs="Arial"/>
          <w:szCs w:val="24"/>
          <w:lang w:val="es-ES_tradnl" w:eastAsia="es-ES_tradnl"/>
        </w:rPr>
        <w:lastRenderedPageBreak/>
        <w:t>esta autonomía se garantiza con la identificación autónoma de sus necesidades y la configuración de los elementos del contrato</w:t>
      </w:r>
      <w:r w:rsidRPr="00F41B77">
        <w:rPr>
          <w:rFonts w:ascii="Arial" w:eastAsia="Calibri" w:hAnsi="Arial" w:cs="Arial"/>
          <w:szCs w:val="24"/>
          <w:vertAlign w:val="superscript"/>
          <w:lang w:val="es-ES_tradnl" w:eastAsia="es-ES_tradnl"/>
        </w:rPr>
        <w:footnoteReference w:id="3"/>
      </w:r>
      <w:r w:rsidRPr="00F41B77">
        <w:rPr>
          <w:rFonts w:ascii="Arial" w:eastAsia="Calibri" w:hAnsi="Arial" w:cs="Arial"/>
          <w:szCs w:val="24"/>
          <w:lang w:val="es-ES_tradnl" w:eastAsia="es-ES_tradnl"/>
        </w:rPr>
        <w:t>.</w:t>
      </w:r>
    </w:p>
    <w:p w14:paraId="43DCDB61" w14:textId="77777777" w:rsidR="00734BD3" w:rsidRPr="00F41B77" w:rsidRDefault="00734BD3" w:rsidP="00734BD3">
      <w:pPr>
        <w:spacing w:before="120" w:after="120" w:line="276" w:lineRule="auto"/>
        <w:jc w:val="both"/>
        <w:rPr>
          <w:rFonts w:ascii="Arial" w:eastAsia="Calibri" w:hAnsi="Arial" w:cs="Arial"/>
          <w:szCs w:val="24"/>
          <w:lang w:val="es-ES_tradnl" w:eastAsia="es-ES_tradnl"/>
        </w:rPr>
      </w:pPr>
      <w:r w:rsidRPr="00F41B77">
        <w:rPr>
          <w:rFonts w:ascii="Arial" w:eastAsia="Calibri" w:hAnsi="Arial" w:cs="Arial"/>
          <w:szCs w:val="24"/>
          <w:lang w:val="es-ES_tradnl"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0AD8F47B" w14:textId="77777777" w:rsidR="00734BD3" w:rsidRPr="00F41B77" w:rsidRDefault="00734BD3" w:rsidP="00734BD3">
      <w:pPr>
        <w:spacing w:before="120" w:after="120" w:line="276" w:lineRule="auto"/>
        <w:jc w:val="both"/>
        <w:rPr>
          <w:rFonts w:ascii="Arial" w:eastAsia="Calibri" w:hAnsi="Arial" w:cs="Arial"/>
          <w:lang w:val="es-ES_tradnl"/>
        </w:rPr>
      </w:pPr>
      <w:r w:rsidRPr="00F41B77">
        <w:rPr>
          <w:rFonts w:ascii="Arial" w:eastAsia="Calibri" w:hAnsi="Arial" w:cs="Arial"/>
          <w:lang w:val="es-ES_tradnl" w:eastAsia="es-ES_tradnl"/>
        </w:rPr>
        <w:tab/>
      </w:r>
      <w:r w:rsidRPr="00F41B77">
        <w:rPr>
          <w:rFonts w:ascii="Arial" w:eastAsia="Calibri" w:hAnsi="Arial" w:cs="Arial"/>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del 5 de marzo de 2019, relacionado con los documentos tipo para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w:t>
      </w:r>
    </w:p>
    <w:p w14:paraId="4027B6CD" w14:textId="77777777" w:rsidR="00734BD3" w:rsidRPr="00F41B77" w:rsidRDefault="00734BD3" w:rsidP="00734BD3">
      <w:pPr>
        <w:spacing w:before="120" w:after="120" w:line="276" w:lineRule="auto"/>
        <w:ind w:firstLine="708"/>
        <w:jc w:val="both"/>
        <w:rPr>
          <w:rFonts w:ascii="Arial" w:eastAsia="Calibri" w:hAnsi="Arial" w:cs="Arial"/>
          <w:lang w:val="es-ES_tradnl" w:eastAsia="es-ES_tradnl"/>
        </w:rPr>
      </w:pPr>
      <w:r w:rsidRPr="00F41B77">
        <w:rPr>
          <w:rFonts w:ascii="Arial" w:eastAsia="Calibri" w:hAnsi="Arial" w:cs="Arial"/>
          <w:lang w:val="es-ES_tradnl"/>
        </w:rPr>
        <w:t>Finalmente, se profirió el Decreto 594 del 25 de abril de 2020, frente a los documentos tipo para los contratos de obra pública</w:t>
      </w:r>
      <w:r w:rsidRPr="00F41B77" w:rsidDel="00A434AB">
        <w:rPr>
          <w:rFonts w:ascii="Arial" w:eastAsia="Calibri" w:hAnsi="Arial" w:cs="Arial"/>
          <w:lang w:val="es-ES_tradnl"/>
        </w:rPr>
        <w:t xml:space="preserve"> </w:t>
      </w:r>
      <w:r w:rsidRPr="00F41B77">
        <w:rPr>
          <w:rFonts w:ascii="Arial" w:eastAsia="Calibri" w:hAnsi="Arial" w:cs="Arial"/>
          <w:lang w:val="es-ES_tradnl"/>
        </w:rPr>
        <w:t xml:space="preserve">de infraestructura de transporte que se surtieran por la modalidad de mínima cuantía. Estos documentos fueron implementados y desarrollados por la Agencia Nacional de Contratación Pública </w:t>
      </w:r>
      <w:bookmarkStart w:id="4" w:name="_Hlk37841850"/>
      <w:r w:rsidRPr="00F41B77">
        <w:rPr>
          <w:rFonts w:ascii="Arial" w:eastAsia="Calibri" w:hAnsi="Arial" w:cs="Arial"/>
          <w:lang w:val="es-ES_tradnl"/>
        </w:rPr>
        <w:t xml:space="preserve">– Colombia Compra Eficiente, </w:t>
      </w:r>
      <w:bookmarkEnd w:id="4"/>
      <w:r w:rsidRPr="00F41B77">
        <w:rPr>
          <w:rFonts w:ascii="Arial" w:eastAsia="Calibri" w:hAnsi="Arial" w:cs="Arial"/>
          <w:lang w:val="es-ES_tradnl"/>
        </w:rPr>
        <w:t>por medio de la Resolución 1798 de 1 de abril de 2019 –derogada por la Resolución 045 del 14 de febrero de 2020–, la Resolución 044 del 14 de febrero de 2020 y la Resolución 094 del 21 de mayo de 2020.</w:t>
      </w:r>
    </w:p>
    <w:p w14:paraId="4E9C9F14" w14:textId="77777777" w:rsidR="00734BD3" w:rsidRPr="00F41B77" w:rsidRDefault="00734BD3" w:rsidP="00734BD3">
      <w:pPr>
        <w:spacing w:before="120" w:after="0" w:line="276" w:lineRule="auto"/>
        <w:ind w:firstLine="709"/>
        <w:jc w:val="both"/>
        <w:rPr>
          <w:rFonts w:ascii="Arial" w:eastAsia="Calibri" w:hAnsi="Arial" w:cs="Arial"/>
          <w:lang w:val="es-ES_tradnl" w:eastAsia="es-ES"/>
        </w:rPr>
      </w:pPr>
      <w:r w:rsidRPr="00F41B77">
        <w:rPr>
          <w:rFonts w:ascii="Arial" w:eastAsia="Calibri" w:hAnsi="Arial" w:cs="Arial"/>
          <w:lang w:val="es-ES_tradnl" w:eastAsia="es-ES"/>
        </w:rPr>
        <w:t>Con posterioridad a la expedición de los anteriores documentos tipo, se expidió la Ley 2022 de 2020, norma que modificó el contenido del parágrafo 7 del artículo 2 de la Ley 1150 de 2007, que había sido adicionado por la Ley 1882 de 2018</w:t>
      </w:r>
      <w:r w:rsidRPr="00F41B77">
        <w:rPr>
          <w:rFonts w:ascii="Arial" w:eastAsia="Calibri" w:hAnsi="Arial" w:cs="Arial"/>
          <w:vertAlign w:val="superscript"/>
          <w:lang w:val="es-ES_tradnl" w:eastAsia="es-ES"/>
        </w:rPr>
        <w:footnoteReference w:id="4"/>
      </w:r>
      <w:r w:rsidRPr="00F41B77">
        <w:rPr>
          <w:rFonts w:ascii="Arial" w:eastAsia="Calibri" w:hAnsi="Arial" w:cs="Arial"/>
          <w:lang w:val="es-ES_tradnl" w:eastAsia="es-ES"/>
        </w:rPr>
        <w:t xml:space="preserve">. Con esta modificación, </w:t>
      </w:r>
      <w:r w:rsidRPr="00F41B77">
        <w:rPr>
          <w:rFonts w:ascii="Arial" w:eastAsia="Calibri" w:hAnsi="Arial" w:cs="Arial"/>
          <w:lang w:val="es-ES_tradnl" w:eastAsia="es-ES"/>
        </w:rPr>
        <w:lastRenderedPageBreak/>
        <w:t xml:space="preserve">si bien se mantuvo el mandato de aplicación obligatoria de los documentos tipo por parte de las entidades sometidas al Estatuto General de Contratación de la Administración Pública, se atribuyó a la </w:t>
      </w:r>
      <w:r w:rsidRPr="00F41B77">
        <w:rPr>
          <w:rFonts w:ascii="Arial" w:eastAsia="Calibri" w:hAnsi="Arial" w:cs="Arial"/>
          <w:lang w:val="es-ES_tradnl"/>
        </w:rPr>
        <w:t xml:space="preserve">Agencia Nacional de Contratación Pública – Colombia Compra Eficiente la competencia para su expedición. </w:t>
      </w:r>
      <w:r w:rsidRPr="00F41B77">
        <w:rPr>
          <w:rFonts w:ascii="Arial" w:eastAsia="Calibri" w:hAnsi="Arial" w:cs="Arial"/>
          <w:lang w:val="es-ES_tradnl" w:eastAsia="es-ES"/>
        </w:rPr>
        <w:t xml:space="preserve">En este marco,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698F9C7A" w14:textId="77777777" w:rsidR="00734BD3" w:rsidRPr="00F41B77" w:rsidRDefault="00734BD3" w:rsidP="00734BD3">
      <w:pPr>
        <w:spacing w:before="120" w:after="0" w:line="276" w:lineRule="auto"/>
        <w:ind w:firstLine="709"/>
        <w:jc w:val="both"/>
        <w:rPr>
          <w:rFonts w:ascii="Arial" w:eastAsia="Calibri" w:hAnsi="Arial" w:cs="Arial"/>
          <w:lang w:val="es-ES_tradnl" w:eastAsia="es-ES"/>
        </w:rPr>
      </w:pPr>
      <w:r w:rsidRPr="00F41B77">
        <w:rPr>
          <w:rFonts w:ascii="Arial" w:eastAsia="Calibri" w:hAnsi="Arial" w:cs="Arial"/>
          <w:lang w:val="es-ES_tradnl"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F41B77">
        <w:rPr>
          <w:rFonts w:ascii="Arial" w:eastAsia="Calibri" w:hAnsi="Arial" w:cs="Arial"/>
          <w:lang w:val="es-ES_tradnl" w:eastAsia="es-ES"/>
        </w:rPr>
        <w:t>entró en vigencia</w:t>
      </w:r>
      <w:proofErr w:type="gramEnd"/>
      <w:r w:rsidRPr="00F41B77">
        <w:rPr>
          <w:rFonts w:ascii="Arial" w:eastAsia="Calibri" w:hAnsi="Arial" w:cs="Arial"/>
          <w:lang w:val="es-ES_tradnl"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4572E8D5" w14:textId="77777777" w:rsidR="00734BD3" w:rsidRPr="00F41B77" w:rsidRDefault="00734BD3" w:rsidP="00734BD3">
      <w:pPr>
        <w:spacing w:before="120" w:after="0" w:line="276" w:lineRule="auto"/>
        <w:ind w:firstLine="709"/>
        <w:jc w:val="both"/>
        <w:rPr>
          <w:rFonts w:ascii="Arial" w:eastAsia="Times New Roman" w:hAnsi="Arial" w:cs="Arial"/>
          <w:lang w:val="es-ES_tradnl" w:eastAsia="es-ES"/>
        </w:rPr>
      </w:pPr>
      <w:r w:rsidRPr="00F41B77">
        <w:rPr>
          <w:rFonts w:ascii="Arial" w:eastAsia="Calibri" w:hAnsi="Arial" w:cs="Arial"/>
          <w:lang w:val="es-ES_tradnl" w:eastAsia="es-ES"/>
        </w:rPr>
        <w:t xml:space="preserve">A los actos administrativos mencionados se suman: i) la Resolución 193 de 14 de julio de 2021, </w:t>
      </w:r>
      <w:r w:rsidRPr="00F41B77">
        <w:rPr>
          <w:rFonts w:ascii="Arial" w:eastAsia="Times New Roman" w:hAnsi="Arial" w:cs="Arial"/>
          <w:lang w:val="es-ES_tradnl" w:eastAsia="es-ES"/>
        </w:rPr>
        <w:t xml:space="preserve">«Por la cual se adoptan los documentos tipo para los procesos de selección de concurso de méritos, para contratar la consultoría de estudios de ingeniería de </w:t>
      </w:r>
      <w:r w:rsidRPr="00F41B77">
        <w:rPr>
          <w:rFonts w:ascii="Arial" w:eastAsia="Times New Roman" w:hAnsi="Arial" w:cs="Arial"/>
          <w:lang w:val="es-ES_tradnl" w:eastAsia="es-ES"/>
        </w:rPr>
        <w:lastRenderedPageBreak/>
        <w:t xml:space="preserve">infraestructura de transporte», </w:t>
      </w:r>
      <w:proofErr w:type="spellStart"/>
      <w:r w:rsidRPr="00F41B77">
        <w:rPr>
          <w:rFonts w:ascii="Arial" w:eastAsia="Times New Roman" w:hAnsi="Arial" w:cs="Arial"/>
          <w:lang w:val="es-ES_tradnl" w:eastAsia="es-ES"/>
        </w:rPr>
        <w:t>ii</w:t>
      </w:r>
      <w:proofErr w:type="spellEnd"/>
      <w:r w:rsidRPr="00F41B77">
        <w:rPr>
          <w:rFonts w:ascii="Arial" w:eastAsia="Times New Roman" w:hAnsi="Arial" w:cs="Arial"/>
          <w:lang w:val="es-ES_tradnl" w:eastAsia="es-ES"/>
        </w:rPr>
        <w:t>)</w:t>
      </w:r>
      <w:r w:rsidRPr="00F41B77">
        <w:rPr>
          <w:rFonts w:ascii="Arial" w:eastAsia="Calibri" w:hAnsi="Arial" w:cs="Arial"/>
          <w:lang w:val="es-ES_tradnl" w:eastAsia="es-ES"/>
        </w:rPr>
        <w:t xml:space="preserve"> la Resolución 219 de 2021,</w:t>
      </w:r>
      <w:r w:rsidRPr="00F41B77">
        <w:rPr>
          <w:rFonts w:ascii="Arial" w:eastAsia="Times New Roman" w:hAnsi="Arial" w:cs="Arial"/>
          <w:lang w:val="es-ES_tradnl" w:eastAsia="es-ES"/>
        </w:rPr>
        <w:t xml:space="preserve"> «Por la cual se adoptan los documentos tipo para los procesos de licitación de obra pública de infraestructura social», </w:t>
      </w:r>
      <w:proofErr w:type="spellStart"/>
      <w:r w:rsidRPr="00F41B77">
        <w:rPr>
          <w:rFonts w:ascii="Arial" w:eastAsia="Times New Roman" w:hAnsi="Arial" w:cs="Arial"/>
          <w:lang w:val="es-ES_tradnl" w:eastAsia="es-ES"/>
        </w:rPr>
        <w:t>iii</w:t>
      </w:r>
      <w:proofErr w:type="spellEnd"/>
      <w:r w:rsidRPr="00F41B77">
        <w:rPr>
          <w:rFonts w:ascii="Arial" w:eastAsia="Times New Roman" w:hAnsi="Arial" w:cs="Arial"/>
          <w:lang w:val="es-ES_tradnl" w:eastAsia="es-ES"/>
        </w:rPr>
        <w:t xml:space="preserve">) la Resolución 220 del 6 de agosto de 2021, «Por la cual se adoptan los documentos tipo complementarios para los procesos de licitación de obra pública de infraestructura social relacionados con el sector educativo», </w:t>
      </w:r>
      <w:proofErr w:type="spellStart"/>
      <w:r w:rsidRPr="00F41B77">
        <w:rPr>
          <w:rFonts w:ascii="Arial" w:eastAsia="Times New Roman" w:hAnsi="Arial" w:cs="Arial"/>
          <w:lang w:val="es-ES_tradnl" w:eastAsia="es-ES"/>
        </w:rPr>
        <w:t>iv</w:t>
      </w:r>
      <w:proofErr w:type="spellEnd"/>
      <w:r w:rsidRPr="00F41B77">
        <w:rPr>
          <w:rFonts w:ascii="Arial" w:eastAsia="Times New Roman" w:hAnsi="Arial" w:cs="Arial"/>
          <w:lang w:val="es-ES_tradnl" w:eastAsia="es-ES"/>
        </w:rPr>
        <w:t xml:space="preserve">) la Resolución 392 del 18 de noviembre de 2021, «Por la cual se adoptan los documentos tipo complementarios para los procesos de licitación de obra pública de infraestructura social relacionados con el sector salud», y v) la Resolución 454 del 16 de diciembre de 2021, «Por la cual se adoptan los documentos tipo complementarios para los procesos de licitación de obra pública de infraestructura social relacionados con el sector cultura, recreación y deporte». </w:t>
      </w:r>
    </w:p>
    <w:p w14:paraId="645B1E86" w14:textId="77777777" w:rsidR="00734BD3" w:rsidRPr="00F41B77" w:rsidRDefault="00734BD3" w:rsidP="00734BD3">
      <w:pPr>
        <w:spacing w:before="120" w:after="0" w:line="276" w:lineRule="auto"/>
        <w:ind w:firstLine="708"/>
        <w:jc w:val="both"/>
        <w:rPr>
          <w:rFonts w:ascii="Arial" w:eastAsia="Calibri" w:hAnsi="Arial" w:cs="Arial"/>
          <w:color w:val="000000"/>
          <w:lang w:val="es-ES_tradnl" w:eastAsia="es-ES"/>
        </w:rPr>
      </w:pPr>
      <w:r w:rsidRPr="00F41B77">
        <w:rPr>
          <w:rFonts w:ascii="Arial" w:eastAsia="Calibri" w:hAnsi="Arial" w:cs="Arial"/>
          <w:color w:val="000000"/>
          <w:lang w:val="es-ES_tradnl" w:eastAsia="es-ES"/>
        </w:rPr>
        <w:t xml:space="preserve">Las resoluciones señaladas </w:t>
      </w:r>
      <w:r w:rsidRPr="00F41B77">
        <w:rPr>
          <w:rFonts w:ascii="Arial" w:eastAsia="Times New Roman" w:hAnsi="Arial" w:cs="Arial"/>
          <w:color w:val="000000"/>
          <w:bdr w:val="none" w:sz="0" w:space="0" w:color="auto" w:frame="1"/>
          <w:lang w:eastAsia="es-MX"/>
        </w:rPr>
        <w:t>reiteran el alcance de la obligatoriedad de los documentos tipo en la materia</w:t>
      </w:r>
      <w:r w:rsidRPr="00F41B77">
        <w:rPr>
          <w:rFonts w:ascii="Arial" w:eastAsia="Calibri" w:hAnsi="Arial" w:cs="Arial"/>
          <w:color w:val="000000"/>
          <w:lang w:val="es-ES_tradnl" w:eastAsia="es-ES"/>
        </w:rPr>
        <w:t xml:space="preserve"> y establecen parámetros obligatorios para las entidades estatales cuya contratación se rija por el Estatuto General de Contratación de la Administración Pública, siempre que las actividades que se contraten estén incluidas en la «Matriz – Experiencia», de acuerdo con el documento tipo a aplicar. Así, para determinar el ámbito de aplicación de los documentos tipo debe acudirse a la «Matriz – Experiencia», en la que se contemplan las clases de obra aplicables al sector, sean de infraestructura de transporte, agua potable y saneamiento básico o infraestructura social.</w:t>
      </w:r>
    </w:p>
    <w:p w14:paraId="16AEF125" w14:textId="77777777" w:rsidR="00734BD3" w:rsidRPr="00F41B77" w:rsidRDefault="00734BD3" w:rsidP="00734BD3">
      <w:pPr>
        <w:spacing w:before="120" w:after="0" w:line="276" w:lineRule="auto"/>
        <w:ind w:firstLine="709"/>
        <w:jc w:val="both"/>
        <w:rPr>
          <w:rFonts w:ascii="Arial" w:eastAsia="Calibri" w:hAnsi="Arial" w:cs="Arial"/>
          <w:color w:val="000000"/>
          <w:lang w:val="es-ES" w:eastAsia="es-ES"/>
        </w:rPr>
      </w:pPr>
      <w:r w:rsidRPr="00F41B77">
        <w:rPr>
          <w:rFonts w:ascii="Arial" w:eastAsia="Calibri" w:hAnsi="Arial" w:cs="Arial"/>
          <w:color w:val="000000"/>
          <w:lang w:val="es-ES" w:eastAsia="es-ES"/>
        </w:rPr>
        <w:t xml:space="preserve">En síntesis, hasta el momento se han expedido los siguientes documentos tipo que son obligatorios para todas las entidades sometidas al Estatuto General de Contratación de la Administración Pública: </w:t>
      </w:r>
    </w:p>
    <w:p w14:paraId="5065D296" w14:textId="77777777" w:rsidR="00734BD3" w:rsidRPr="00F41B77" w:rsidRDefault="00734BD3" w:rsidP="00734BD3">
      <w:pPr>
        <w:spacing w:before="120" w:after="0" w:line="276" w:lineRule="auto"/>
        <w:ind w:firstLine="709"/>
        <w:jc w:val="both"/>
        <w:rPr>
          <w:rFonts w:ascii="Arial" w:eastAsia="Calibri" w:hAnsi="Arial" w:cs="Arial"/>
          <w:color w:val="000000"/>
          <w:lang w:val="es-ES" w:eastAsia="es-ES"/>
        </w:rPr>
      </w:pPr>
      <w:r w:rsidRPr="00F41B77">
        <w:rPr>
          <w:rFonts w:ascii="Arial" w:eastAsia="Calibri" w:hAnsi="Arial" w:cs="Arial"/>
          <w:color w:val="000000"/>
          <w:lang w:val="es-ES" w:eastAsia="es-ES"/>
        </w:rPr>
        <w:t xml:space="preserve">i) Documentos tipo para licitación de obra pública de infraestructura de transporte –versión 1–, obligatorios para los procesos cuyo aviso de convocatoria se haya publicado desde el 1 de abril de 2019. </w:t>
      </w:r>
    </w:p>
    <w:p w14:paraId="6D4C9C88" w14:textId="77777777" w:rsidR="00734BD3" w:rsidRPr="00F41B77" w:rsidRDefault="00734BD3" w:rsidP="00734BD3">
      <w:pPr>
        <w:spacing w:before="120" w:after="0" w:line="276" w:lineRule="auto"/>
        <w:ind w:firstLine="709"/>
        <w:jc w:val="both"/>
        <w:rPr>
          <w:rFonts w:ascii="Arial" w:eastAsia="Calibri" w:hAnsi="Arial" w:cs="Arial"/>
          <w:color w:val="000000"/>
          <w:lang w:val="es-ES" w:eastAsia="es-ES"/>
        </w:rPr>
      </w:pPr>
      <w:proofErr w:type="spellStart"/>
      <w:r w:rsidRPr="00F41B77">
        <w:rPr>
          <w:rFonts w:ascii="Arial" w:eastAsia="Calibri" w:hAnsi="Arial" w:cs="Arial"/>
          <w:color w:val="000000"/>
          <w:lang w:val="es-ES" w:eastAsia="es-ES"/>
        </w:rPr>
        <w:t>ii</w:t>
      </w:r>
      <w:proofErr w:type="spellEnd"/>
      <w:r w:rsidRPr="00F41B77">
        <w:rPr>
          <w:rFonts w:ascii="Arial" w:eastAsia="Calibri" w:hAnsi="Arial" w:cs="Arial"/>
          <w:color w:val="000000"/>
          <w:lang w:val="es-ES" w:eastAsia="es-ES"/>
        </w:rPr>
        <w:t>) Documentos tipo para licitación de obra pública de infraestructura de transporte –versión 2–, obligatorios para los procesos cuyo aviso de convocatoria se haya publicado desde el 10 de marzo de 2020.</w:t>
      </w:r>
    </w:p>
    <w:p w14:paraId="2F1DF7A8" w14:textId="77777777" w:rsidR="00734BD3" w:rsidRPr="00F41B77" w:rsidRDefault="00734BD3" w:rsidP="00734BD3">
      <w:pPr>
        <w:spacing w:before="120" w:after="0" w:line="276" w:lineRule="auto"/>
        <w:ind w:firstLine="709"/>
        <w:jc w:val="both"/>
        <w:rPr>
          <w:rFonts w:ascii="Arial" w:eastAsia="Calibri" w:hAnsi="Arial" w:cs="Arial"/>
          <w:color w:val="000000"/>
          <w:lang w:val="es-ES" w:eastAsia="es-ES"/>
        </w:rPr>
      </w:pPr>
      <w:proofErr w:type="spellStart"/>
      <w:r w:rsidRPr="00F41B77">
        <w:rPr>
          <w:rFonts w:ascii="Arial" w:eastAsia="Calibri" w:hAnsi="Arial" w:cs="Arial"/>
          <w:color w:val="000000"/>
          <w:lang w:val="es-ES" w:eastAsia="es-ES"/>
        </w:rPr>
        <w:t>iii</w:t>
      </w:r>
      <w:proofErr w:type="spellEnd"/>
      <w:r w:rsidRPr="00F41B77">
        <w:rPr>
          <w:rFonts w:ascii="Arial" w:eastAsia="Calibri" w:hAnsi="Arial" w:cs="Arial"/>
          <w:color w:val="000000"/>
          <w:lang w:val="es-ES" w:eastAsia="es-ES"/>
        </w:rPr>
        <w:t>) Documentos tipo para licitación de obra pública de infraestructura de transporte –versión 3–, obligatorios para los procesos cuyo aviso de convocatoria se haya publicado desde el 1 de enero de 2021.</w:t>
      </w:r>
    </w:p>
    <w:p w14:paraId="2BB2B163" w14:textId="77777777" w:rsidR="00734BD3" w:rsidRPr="00F41B77" w:rsidRDefault="00734BD3" w:rsidP="00734BD3">
      <w:pPr>
        <w:spacing w:before="120" w:after="0" w:line="276" w:lineRule="auto"/>
        <w:ind w:firstLine="709"/>
        <w:jc w:val="both"/>
        <w:rPr>
          <w:rFonts w:ascii="Arial" w:eastAsia="Calibri" w:hAnsi="Arial" w:cs="Arial"/>
          <w:color w:val="000000"/>
          <w:lang w:val="es-ES" w:eastAsia="es-ES"/>
        </w:rPr>
      </w:pPr>
      <w:proofErr w:type="spellStart"/>
      <w:r w:rsidRPr="00F41B77">
        <w:rPr>
          <w:rFonts w:ascii="Arial" w:eastAsia="Calibri" w:hAnsi="Arial" w:cs="Arial"/>
          <w:color w:val="000000"/>
          <w:lang w:val="es-ES" w:eastAsia="es-ES"/>
        </w:rPr>
        <w:t>iv</w:t>
      </w:r>
      <w:proofErr w:type="spellEnd"/>
      <w:r w:rsidRPr="00F41B77">
        <w:rPr>
          <w:rFonts w:ascii="Arial" w:eastAsia="Calibri" w:hAnsi="Arial" w:cs="Arial"/>
          <w:color w:val="000000"/>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014BF624" w14:textId="77777777" w:rsidR="00734BD3" w:rsidRPr="00F41B77" w:rsidRDefault="00734BD3" w:rsidP="00734BD3">
      <w:pPr>
        <w:spacing w:before="120" w:after="0" w:line="276" w:lineRule="auto"/>
        <w:ind w:firstLine="709"/>
        <w:jc w:val="both"/>
        <w:rPr>
          <w:rFonts w:ascii="Arial" w:eastAsia="Calibri" w:hAnsi="Arial" w:cs="Arial"/>
          <w:color w:val="000000"/>
          <w:lang w:val="es-ES" w:eastAsia="es-ES"/>
        </w:rPr>
      </w:pPr>
      <w:r w:rsidRPr="00F41B77">
        <w:rPr>
          <w:rFonts w:ascii="Arial" w:eastAsia="Calibri" w:hAnsi="Arial" w:cs="Arial"/>
          <w:color w:val="000000"/>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5A2E6804" w14:textId="77777777" w:rsidR="00734BD3" w:rsidRPr="00F41B77" w:rsidRDefault="00734BD3" w:rsidP="00734BD3">
      <w:pPr>
        <w:spacing w:before="120" w:after="0" w:line="276" w:lineRule="auto"/>
        <w:ind w:firstLine="709"/>
        <w:jc w:val="both"/>
        <w:rPr>
          <w:rFonts w:ascii="Arial" w:eastAsia="Calibri" w:hAnsi="Arial" w:cs="Arial"/>
          <w:color w:val="000000"/>
          <w:lang w:val="es-ES" w:eastAsia="es-ES"/>
        </w:rPr>
      </w:pPr>
      <w:r w:rsidRPr="00F41B77">
        <w:rPr>
          <w:rFonts w:ascii="Arial" w:eastAsia="Calibri" w:hAnsi="Arial" w:cs="Arial"/>
          <w:color w:val="000000"/>
          <w:lang w:val="es-ES" w:eastAsia="es-ES"/>
        </w:rPr>
        <w:t>vi) Documentos tipo para procesos de mínima cuantía de infraestructura de transporte, obligatorios para los procesos cuya invitación pública se haya publicado a partir del 10 de junio de 2020.</w:t>
      </w:r>
    </w:p>
    <w:p w14:paraId="41595059" w14:textId="77777777" w:rsidR="00734BD3" w:rsidRPr="00F41B77" w:rsidRDefault="00734BD3" w:rsidP="00734BD3">
      <w:pPr>
        <w:spacing w:before="120" w:after="0" w:line="276" w:lineRule="auto"/>
        <w:ind w:firstLine="709"/>
        <w:jc w:val="both"/>
        <w:rPr>
          <w:rFonts w:ascii="Arial" w:eastAsia="Calibri" w:hAnsi="Arial" w:cs="Arial"/>
          <w:color w:val="000000"/>
          <w:lang w:val="es-ES" w:eastAsia="es-ES"/>
        </w:rPr>
      </w:pPr>
      <w:proofErr w:type="spellStart"/>
      <w:r w:rsidRPr="00F41B77">
        <w:rPr>
          <w:rFonts w:ascii="Arial" w:eastAsia="Calibri" w:hAnsi="Arial" w:cs="Arial"/>
          <w:color w:val="000000"/>
          <w:lang w:val="es-ES" w:eastAsia="es-ES"/>
        </w:rPr>
        <w:lastRenderedPageBreak/>
        <w:t>vii</w:t>
      </w:r>
      <w:proofErr w:type="spellEnd"/>
      <w:r w:rsidRPr="00F41B77">
        <w:rPr>
          <w:rFonts w:ascii="Arial" w:eastAsia="Calibri" w:hAnsi="Arial" w:cs="Arial"/>
          <w:color w:val="000000"/>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1A6C450B" w14:textId="77777777" w:rsidR="00734BD3" w:rsidRPr="00F41B77" w:rsidRDefault="00734BD3" w:rsidP="00734BD3">
      <w:pPr>
        <w:spacing w:before="120" w:after="0" w:line="276" w:lineRule="auto"/>
        <w:ind w:firstLine="709"/>
        <w:jc w:val="both"/>
        <w:rPr>
          <w:rFonts w:ascii="Arial" w:eastAsia="Calibri" w:hAnsi="Arial" w:cs="Arial"/>
          <w:color w:val="000000"/>
          <w:lang w:val="es-ES" w:eastAsia="es-ES"/>
        </w:rPr>
      </w:pPr>
      <w:proofErr w:type="spellStart"/>
      <w:r w:rsidRPr="00F41B77">
        <w:rPr>
          <w:rFonts w:ascii="Arial" w:eastAsia="Calibri" w:hAnsi="Arial" w:cs="Arial"/>
          <w:color w:val="000000"/>
          <w:lang w:val="es-ES" w:eastAsia="es-ES"/>
        </w:rPr>
        <w:t>viii</w:t>
      </w:r>
      <w:proofErr w:type="spellEnd"/>
      <w:r w:rsidRPr="00F41B77">
        <w:rPr>
          <w:rFonts w:ascii="Arial" w:eastAsia="Calibri" w:hAnsi="Arial" w:cs="Arial"/>
          <w:color w:val="000000"/>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46A18140" w14:textId="77777777" w:rsidR="00734BD3" w:rsidRPr="00F41B77" w:rsidRDefault="00734BD3" w:rsidP="00734BD3">
      <w:pPr>
        <w:spacing w:before="120" w:after="0" w:line="276" w:lineRule="auto"/>
        <w:ind w:firstLine="709"/>
        <w:jc w:val="both"/>
        <w:rPr>
          <w:rFonts w:ascii="Arial" w:eastAsia="Calibri" w:hAnsi="Arial" w:cs="Arial"/>
          <w:color w:val="000000"/>
          <w:lang w:val="es-ES" w:eastAsia="es-ES"/>
        </w:rPr>
      </w:pPr>
      <w:proofErr w:type="spellStart"/>
      <w:r w:rsidRPr="00F41B77">
        <w:rPr>
          <w:rFonts w:ascii="Arial" w:eastAsia="Calibri" w:hAnsi="Arial" w:cs="Arial"/>
          <w:color w:val="000000"/>
          <w:lang w:val="es-ES" w:eastAsia="es-ES"/>
        </w:rPr>
        <w:t>ix</w:t>
      </w:r>
      <w:proofErr w:type="spellEnd"/>
      <w:r w:rsidRPr="00F41B77">
        <w:rPr>
          <w:rFonts w:ascii="Arial" w:eastAsia="Calibri" w:hAnsi="Arial" w:cs="Arial"/>
          <w:color w:val="000000"/>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3CE84E50" w14:textId="77777777" w:rsidR="00734BD3" w:rsidRPr="00F41B77" w:rsidRDefault="00734BD3" w:rsidP="00734BD3">
      <w:pPr>
        <w:spacing w:before="120" w:after="0" w:line="276" w:lineRule="auto"/>
        <w:ind w:firstLine="709"/>
        <w:jc w:val="both"/>
        <w:rPr>
          <w:rFonts w:ascii="Arial" w:eastAsia="Calibri" w:hAnsi="Arial" w:cs="Arial"/>
          <w:color w:val="000000"/>
          <w:lang w:val="es-ES" w:eastAsia="es-ES"/>
        </w:rPr>
      </w:pPr>
      <w:r w:rsidRPr="00F41B77">
        <w:rPr>
          <w:rFonts w:ascii="Arial" w:eastAsia="Calibri" w:hAnsi="Arial" w:cs="Arial"/>
          <w:color w:val="000000"/>
          <w:lang w:val="es-ES" w:eastAsia="es-ES"/>
        </w:rPr>
        <w:t>x) Documentos tipo para procesos de gestión catastral con enfoque multipropósito que se celebren a través de contratos interadministrativos, a partir del 1 de febrero de 2021.</w:t>
      </w:r>
    </w:p>
    <w:p w14:paraId="371139A4" w14:textId="77777777" w:rsidR="00734BD3" w:rsidRPr="00F41B77" w:rsidRDefault="00734BD3" w:rsidP="00734BD3">
      <w:pPr>
        <w:spacing w:before="120" w:after="120" w:line="276" w:lineRule="auto"/>
        <w:ind w:firstLine="709"/>
        <w:jc w:val="both"/>
        <w:rPr>
          <w:rFonts w:ascii="Arial" w:eastAsia="Calibri" w:hAnsi="Arial" w:cs="Arial"/>
          <w:color w:val="000000"/>
          <w:lang w:val="es-ES" w:eastAsia="es-ES"/>
        </w:rPr>
      </w:pPr>
      <w:r w:rsidRPr="00F41B77">
        <w:rPr>
          <w:rFonts w:ascii="Arial" w:eastAsia="Calibri" w:hAnsi="Arial" w:cs="Arial"/>
          <w:color w:val="000000"/>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2ADD159B" w14:textId="77777777" w:rsidR="00734BD3" w:rsidRPr="00F41B77" w:rsidRDefault="00734BD3" w:rsidP="00734BD3">
      <w:pPr>
        <w:spacing w:after="120" w:line="276" w:lineRule="auto"/>
        <w:ind w:firstLine="708"/>
        <w:jc w:val="both"/>
        <w:rPr>
          <w:rFonts w:ascii="Arial" w:eastAsia="Calibri" w:hAnsi="Arial" w:cs="Arial"/>
          <w:lang w:val="es-ES_tradnl" w:eastAsia="es-ES_tradnl"/>
        </w:rPr>
      </w:pPr>
      <w:proofErr w:type="spellStart"/>
      <w:r w:rsidRPr="00F41B77">
        <w:rPr>
          <w:rFonts w:ascii="Arial" w:eastAsia="Calibri" w:hAnsi="Arial" w:cs="Arial"/>
          <w:color w:val="000000"/>
          <w:lang w:val="es-ES" w:eastAsia="es-ES"/>
        </w:rPr>
        <w:t>xii</w:t>
      </w:r>
      <w:proofErr w:type="spellEnd"/>
      <w:r w:rsidRPr="00F41B77">
        <w:rPr>
          <w:rFonts w:ascii="Arial" w:eastAsia="Calibri" w:hAnsi="Arial" w:cs="Arial"/>
          <w:color w:val="000000"/>
          <w:lang w:val="es-ES" w:eastAsia="es-ES"/>
        </w:rPr>
        <w:t xml:space="preserve">) Documentos tipo para procesos de licitación de obra pública de infraestructura social, que </w:t>
      </w:r>
      <w:r w:rsidRPr="00F41B77">
        <w:rPr>
          <w:rFonts w:ascii="Arial" w:eastAsia="Times New Roman" w:hAnsi="Arial" w:cs="Arial"/>
          <w:lang w:val="es-ES_tradnl" w:eastAsia="es-ES_tradnl"/>
        </w:rPr>
        <w:t>entrarán a regir de acuerdo con los términos establecidos en el artículo 6 de la Resolución 219 de 2021 −modificado por el artículo 1 de la Resolución 336 del 2 de noviembre de 2021−</w:t>
      </w:r>
      <w:r w:rsidRPr="00F41B77">
        <w:rPr>
          <w:rFonts w:ascii="Arial" w:eastAsia="Calibri" w:hAnsi="Arial" w:cs="Arial"/>
          <w:lang w:val="es-ES_tradnl" w:eastAsia="es-ES_tradnl"/>
        </w:rPr>
        <w:t>.</w:t>
      </w:r>
    </w:p>
    <w:p w14:paraId="7E92AAA7" w14:textId="77777777" w:rsidR="00734BD3" w:rsidRPr="00F41B77" w:rsidRDefault="00734BD3" w:rsidP="00734BD3">
      <w:pPr>
        <w:spacing w:after="120" w:line="276" w:lineRule="auto"/>
        <w:ind w:firstLine="708"/>
        <w:jc w:val="both"/>
        <w:rPr>
          <w:rFonts w:ascii="Arial" w:eastAsia="Calibri" w:hAnsi="Arial" w:cs="Arial"/>
          <w:lang w:val="es-ES_tradnl" w:eastAsia="es-ES_tradnl"/>
        </w:rPr>
      </w:pPr>
      <w:proofErr w:type="spellStart"/>
      <w:r w:rsidRPr="00F41B77">
        <w:rPr>
          <w:rFonts w:ascii="Arial" w:eastAsia="Calibri" w:hAnsi="Arial" w:cs="Arial"/>
          <w:color w:val="000000"/>
          <w:lang w:val="es-ES" w:eastAsia="es-ES"/>
        </w:rPr>
        <w:t>xiii</w:t>
      </w:r>
      <w:proofErr w:type="spellEnd"/>
      <w:r w:rsidRPr="00F41B77">
        <w:rPr>
          <w:rFonts w:ascii="Arial" w:eastAsia="Calibri" w:hAnsi="Arial" w:cs="Arial"/>
          <w:color w:val="000000"/>
          <w:lang w:val="es-ES" w:eastAsia="es-ES"/>
        </w:rPr>
        <w:t xml:space="preserve">) Documentos tipo complementarios para los procesos de licitación de obra pública de infraestructura social relacionados con el sector educativo, que </w:t>
      </w:r>
      <w:r w:rsidRPr="00F41B77">
        <w:rPr>
          <w:rFonts w:ascii="Arial" w:eastAsia="Times New Roman" w:hAnsi="Arial" w:cs="Arial"/>
          <w:lang w:val="es-ES_tradnl" w:eastAsia="es-ES_tradnl"/>
        </w:rPr>
        <w:t>entrarán a regir de acuerdo con los términos establecidos en el artículo 6 de la Resolución 219 de 2021 −modificado por el artículo 1 de la Resolución 336 del 2 de noviembre de 2021−.</w:t>
      </w:r>
    </w:p>
    <w:p w14:paraId="5BA9D695" w14:textId="77777777" w:rsidR="00734BD3" w:rsidRPr="00F41B77" w:rsidRDefault="00734BD3" w:rsidP="00734BD3">
      <w:pPr>
        <w:spacing w:after="120" w:line="276" w:lineRule="auto"/>
        <w:ind w:firstLine="708"/>
        <w:jc w:val="both"/>
        <w:rPr>
          <w:rFonts w:ascii="Arial" w:eastAsia="Calibri" w:hAnsi="Arial" w:cs="Arial"/>
          <w:lang w:val="es-ES_tradnl" w:eastAsia="es-ES_tradnl"/>
        </w:rPr>
      </w:pPr>
      <w:proofErr w:type="spellStart"/>
      <w:r w:rsidRPr="00F41B77">
        <w:rPr>
          <w:rFonts w:ascii="Arial" w:eastAsia="Calibri" w:hAnsi="Arial" w:cs="Arial"/>
          <w:color w:val="000000"/>
          <w:lang w:val="es-ES" w:eastAsia="es-ES"/>
        </w:rPr>
        <w:t>xiv</w:t>
      </w:r>
      <w:proofErr w:type="spellEnd"/>
      <w:r w:rsidRPr="00F41B77">
        <w:rPr>
          <w:rFonts w:ascii="Arial" w:eastAsia="Calibri" w:hAnsi="Arial" w:cs="Arial"/>
          <w:color w:val="000000"/>
          <w:lang w:val="es-ES" w:eastAsia="es-ES"/>
        </w:rPr>
        <w:t xml:space="preserve">) Documentos tipo complementarios para los procesos de licitación de obra pública de infraestructura social relacionados con el sector salud, que entrarán a regir </w:t>
      </w:r>
      <w:r w:rsidRPr="00F41B77">
        <w:rPr>
          <w:rFonts w:ascii="Arial" w:eastAsia="Times New Roman" w:hAnsi="Arial" w:cs="Arial"/>
          <w:lang w:val="es-ES_tradnl" w:eastAsia="es-ES_tradnl"/>
        </w:rPr>
        <w:t>de acuerdo con los términos establecidos en el artículo 6 de la Resolución 219 de 2021 −modificado por el artículo 1 de la Resolución 336 del 2 de noviembre de 2021− y en el artículo 4 de la Resolución 392 de 18 de noviembre de 2021</w:t>
      </w:r>
      <w:r w:rsidRPr="00F41B77">
        <w:rPr>
          <w:rFonts w:ascii="Arial" w:eastAsia="Calibri" w:hAnsi="Arial" w:cs="Arial"/>
          <w:lang w:val="es-ES_tradnl" w:eastAsia="es-ES_tradnl"/>
        </w:rPr>
        <w:t>.</w:t>
      </w:r>
    </w:p>
    <w:p w14:paraId="1D99ED2B" w14:textId="77777777" w:rsidR="00734BD3" w:rsidRPr="00F41B77" w:rsidRDefault="00734BD3" w:rsidP="00734BD3">
      <w:pPr>
        <w:spacing w:after="120" w:line="276" w:lineRule="auto"/>
        <w:ind w:firstLine="708"/>
        <w:jc w:val="both"/>
        <w:rPr>
          <w:rFonts w:ascii="Arial" w:eastAsia="Calibri" w:hAnsi="Arial" w:cs="Arial"/>
          <w:lang w:val="es-ES_tradnl" w:eastAsia="es-ES_tradnl"/>
        </w:rPr>
      </w:pPr>
      <w:proofErr w:type="spellStart"/>
      <w:r w:rsidRPr="00F41B77">
        <w:rPr>
          <w:rFonts w:ascii="Arial" w:eastAsia="Calibri" w:hAnsi="Arial" w:cs="Arial"/>
          <w:lang w:val="es-ES_tradnl" w:eastAsia="es-ES_tradnl"/>
        </w:rPr>
        <w:t>xv</w:t>
      </w:r>
      <w:proofErr w:type="spellEnd"/>
      <w:r w:rsidRPr="00F41B77">
        <w:rPr>
          <w:rFonts w:ascii="Arial" w:eastAsia="Calibri" w:hAnsi="Arial" w:cs="Arial"/>
          <w:lang w:val="es-ES_tradnl" w:eastAsia="es-ES_tradnl"/>
        </w:rPr>
        <w:t xml:space="preserve">) </w:t>
      </w:r>
      <w:r w:rsidRPr="00F41B77">
        <w:rPr>
          <w:rFonts w:ascii="Arial" w:eastAsia="Calibri" w:hAnsi="Arial" w:cs="Arial"/>
          <w:color w:val="000000"/>
          <w:lang w:val="es-ES" w:eastAsia="es-ES"/>
        </w:rPr>
        <w:t>Documentos tipo complementarios para los procesos de licitación de obra pública de infraestructura social relacionados con el sector cultura, recreación y deporte</w:t>
      </w:r>
      <w:r w:rsidRPr="00F41B77">
        <w:rPr>
          <w:rFonts w:ascii="Arial" w:eastAsia="Calibri" w:hAnsi="Arial" w:cs="Arial"/>
          <w:lang w:val="es-ES_tradnl" w:eastAsia="es-ES_tradnl"/>
        </w:rPr>
        <w:t xml:space="preserve">, </w:t>
      </w:r>
      <w:r w:rsidRPr="00F41B77">
        <w:rPr>
          <w:rFonts w:ascii="Arial" w:eastAsia="Calibri" w:hAnsi="Arial" w:cs="Arial"/>
          <w:color w:val="000000"/>
          <w:lang w:val="es-ES" w:eastAsia="es-ES"/>
        </w:rPr>
        <w:t xml:space="preserve">que entrarán a regir </w:t>
      </w:r>
      <w:r w:rsidRPr="00F41B77">
        <w:rPr>
          <w:rFonts w:ascii="Arial" w:eastAsia="Times New Roman" w:hAnsi="Arial" w:cs="Arial"/>
          <w:lang w:val="es-ES_tradnl" w:eastAsia="es-ES_tradnl"/>
        </w:rPr>
        <w:t>de acuerdo con los términos establecidos en el artículo 4 de la Resolución 454 de 2021</w:t>
      </w:r>
    </w:p>
    <w:p w14:paraId="352C58B3" w14:textId="77777777" w:rsidR="00734BD3" w:rsidRPr="00F41B77" w:rsidRDefault="00734BD3" w:rsidP="00734BD3">
      <w:pPr>
        <w:shd w:val="clear" w:color="auto" w:fill="FFFFFF"/>
        <w:spacing w:after="0" w:line="276" w:lineRule="auto"/>
        <w:ind w:firstLine="709"/>
        <w:jc w:val="both"/>
        <w:textAlignment w:val="baseline"/>
        <w:rPr>
          <w:rFonts w:ascii="Arial" w:hAnsi="Arial" w:cs="Arial"/>
        </w:rPr>
      </w:pPr>
      <w:r w:rsidRPr="00F41B77">
        <w:rPr>
          <w:rFonts w:ascii="Arial" w:eastAsia="Calibri" w:hAnsi="Arial" w:cs="Arial"/>
        </w:rPr>
        <w:t xml:space="preserve">De acuerdo con lo expuesto, </w:t>
      </w:r>
      <w:r w:rsidRPr="00F41B77">
        <w:rPr>
          <w:rFonts w:ascii="Arial" w:eastAsia="Calibri" w:hAnsi="Arial" w:cs="Arial"/>
          <w:color w:val="000000"/>
          <w:bdr w:val="none" w:sz="0" w:space="0" w:color="auto" w:frame="1"/>
        </w:rPr>
        <w:t>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w:t>
      </w:r>
    </w:p>
    <w:p w14:paraId="015388D9" w14:textId="77777777" w:rsidR="00734BD3" w:rsidRPr="004F0480" w:rsidRDefault="00734BD3" w:rsidP="00734BD3">
      <w:pPr>
        <w:spacing w:after="0" w:line="276" w:lineRule="auto"/>
        <w:jc w:val="both"/>
        <w:rPr>
          <w:rFonts w:ascii="Arial" w:eastAsia="Arial" w:hAnsi="Arial" w:cs="Arial"/>
          <w:b/>
          <w:bCs/>
          <w:color w:val="000000"/>
          <w:szCs w:val="24"/>
          <w:lang w:val="es-ES_tradnl" w:eastAsia="es-ES_tradnl"/>
        </w:rPr>
      </w:pPr>
    </w:p>
    <w:p w14:paraId="7CB59AAF" w14:textId="77777777" w:rsidR="00734BD3" w:rsidRDefault="00734BD3" w:rsidP="00734BD3">
      <w:pPr>
        <w:spacing w:after="0" w:line="276" w:lineRule="auto"/>
        <w:jc w:val="both"/>
        <w:rPr>
          <w:rFonts w:ascii="Arial" w:eastAsia="Arial" w:hAnsi="Arial" w:cs="Arial"/>
          <w:b/>
          <w:bCs/>
          <w:color w:val="000000"/>
          <w:lang w:val="es-ES_tradnl" w:eastAsia="es-ES_tradnl"/>
        </w:rPr>
      </w:pPr>
      <w:r w:rsidRPr="00F03F85">
        <w:rPr>
          <w:rFonts w:ascii="Arial" w:eastAsia="Arial" w:hAnsi="Arial" w:cs="Arial"/>
          <w:b/>
          <w:bCs/>
          <w:color w:val="000000"/>
          <w:lang w:val="es-ES_tradnl" w:eastAsia="es-ES_tradnl"/>
        </w:rPr>
        <w:t>2.</w:t>
      </w:r>
      <w:r>
        <w:rPr>
          <w:rFonts w:ascii="Arial" w:eastAsia="Arial" w:hAnsi="Arial" w:cs="Arial"/>
          <w:b/>
          <w:bCs/>
          <w:color w:val="000000"/>
          <w:lang w:val="es-ES_tradnl" w:eastAsia="es-ES_tradnl"/>
        </w:rPr>
        <w:t>2</w:t>
      </w:r>
      <w:r w:rsidRPr="00F03F85">
        <w:rPr>
          <w:rFonts w:ascii="Arial" w:eastAsia="Arial" w:hAnsi="Arial" w:cs="Arial"/>
          <w:b/>
          <w:bCs/>
          <w:color w:val="000000"/>
          <w:lang w:val="es-ES_tradnl" w:eastAsia="es-ES_tradnl"/>
        </w:rPr>
        <w:t>. Alcance de la regla de la inalterabilidad de los documentos tipo</w:t>
      </w:r>
    </w:p>
    <w:p w14:paraId="5DFC3212" w14:textId="77777777" w:rsidR="00734BD3" w:rsidRPr="00226A64" w:rsidRDefault="00734BD3" w:rsidP="00734BD3">
      <w:pPr>
        <w:spacing w:after="0" w:line="276" w:lineRule="auto"/>
        <w:jc w:val="both"/>
        <w:rPr>
          <w:rFonts w:ascii="Arial" w:eastAsia="Arial" w:hAnsi="Arial" w:cs="Arial"/>
          <w:b/>
          <w:bCs/>
          <w:color w:val="000000"/>
          <w:lang w:val="es-ES_tradnl" w:eastAsia="es-ES_tradnl"/>
        </w:rPr>
      </w:pPr>
    </w:p>
    <w:p w14:paraId="2F19C3B7" w14:textId="77777777" w:rsidR="00734BD3" w:rsidRPr="00F03F85" w:rsidRDefault="00734BD3" w:rsidP="00734BD3">
      <w:pPr>
        <w:spacing w:line="276" w:lineRule="auto"/>
        <w:jc w:val="both"/>
        <w:rPr>
          <w:rFonts w:ascii="Arial" w:eastAsia="Times New Roman" w:hAnsi="Arial" w:cs="Arial"/>
          <w:shd w:val="clear" w:color="auto" w:fill="FFFFFF"/>
          <w:lang w:val="es-ES_tradnl" w:eastAsia="es-ES_tradnl"/>
        </w:rPr>
      </w:pPr>
      <w:r w:rsidRPr="00F03F85">
        <w:rPr>
          <w:rFonts w:ascii="Arial" w:eastAsia="Times New Roman" w:hAnsi="Arial" w:cs="Arial"/>
          <w:shd w:val="clear" w:color="auto" w:fill="FFFFFF"/>
          <w:lang w:val="es-ES_tradnl" w:eastAsia="es-ES_tradnl"/>
        </w:rPr>
        <w:lastRenderedPageBreak/>
        <w:t>Todas las resoluciones</w:t>
      </w:r>
      <w:r w:rsidRPr="00F03F85">
        <w:rPr>
          <w:rFonts w:ascii="Arial" w:eastAsia="Times New Roman" w:hAnsi="Arial" w:cs="Arial"/>
          <w:shd w:val="clear" w:color="auto" w:fill="FFFFFF"/>
          <w:vertAlign w:val="superscript"/>
          <w:lang w:val="es-ES_tradnl" w:eastAsia="es-ES_tradnl"/>
        </w:rPr>
        <w:footnoteReference w:id="5"/>
      </w:r>
      <w:r w:rsidRPr="00F03F85">
        <w:rPr>
          <w:rFonts w:ascii="Arial" w:eastAsia="Times New Roman" w:hAnsi="Arial" w:cs="Arial"/>
          <w:shd w:val="clear" w:color="auto" w:fill="FFFFFF"/>
          <w:lang w:val="es-ES_tradnl" w:eastAsia="es-ES_tradnl"/>
        </w:rPr>
        <w:t xml:space="preserve"> expedidas por la Agencia Nacional de Contratación Pública – Colombia Compra Eficiente, mediante las cuales se han adoptado los documentos tipo, consagran la regla de la </w:t>
      </w:r>
      <w:r w:rsidRPr="00F03F85">
        <w:rPr>
          <w:rFonts w:ascii="Arial" w:eastAsia="Times New Roman" w:hAnsi="Arial" w:cs="Arial"/>
          <w:i/>
          <w:iCs/>
          <w:shd w:val="clear" w:color="auto" w:fill="FFFFFF"/>
          <w:lang w:val="es-ES_tradnl" w:eastAsia="es-ES_tradnl"/>
        </w:rPr>
        <w:t>inalterabilidad</w:t>
      </w:r>
      <w:r w:rsidRPr="00F03F85">
        <w:rPr>
          <w:rFonts w:ascii="Arial" w:eastAsia="Times New Roman" w:hAnsi="Arial" w:cs="Arial"/>
          <w:shd w:val="clear" w:color="auto" w:fill="FFFFFF"/>
          <w:lang w:val="es-ES_tradnl" w:eastAsia="es-ES_tradnl"/>
        </w:rPr>
        <w:t xml:space="preserve">. Esta prohibición consiste en que las entidades estatales no pueden incluir o modificar en los </w:t>
      </w:r>
      <w:r w:rsidRPr="00F03F85">
        <w:rPr>
          <w:rFonts w:ascii="Arial" w:eastAsia="Times New Roman" w:hAnsi="Arial" w:cs="Arial"/>
          <w:i/>
          <w:iCs/>
          <w:shd w:val="clear" w:color="auto" w:fill="FFFFFF"/>
          <w:lang w:val="es-ES_tradnl" w:eastAsia="es-ES_tradnl"/>
        </w:rPr>
        <w:t>Documentos del Proceso</w:t>
      </w:r>
      <w:r w:rsidRPr="00F03F85">
        <w:rPr>
          <w:rFonts w:ascii="Arial" w:eastAsia="Times New Roman" w:hAnsi="Arial" w:cs="Arial"/>
          <w:shd w:val="clear" w:color="auto" w:fill="FFFFFF"/>
          <w:lang w:val="es-ES_tradnl" w:eastAsia="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A7621E5" w14:textId="77777777" w:rsidR="00734BD3" w:rsidRPr="00F03F85" w:rsidRDefault="00734BD3" w:rsidP="00734BD3">
      <w:pPr>
        <w:spacing w:before="120" w:after="120" w:line="276" w:lineRule="auto"/>
        <w:ind w:firstLine="709"/>
        <w:jc w:val="both"/>
        <w:rPr>
          <w:rFonts w:ascii="Arial" w:eastAsia="Times New Roman" w:hAnsi="Arial" w:cs="Arial"/>
          <w:shd w:val="clear" w:color="auto" w:fill="FFFFFF"/>
          <w:lang w:val="es-ES_tradnl" w:eastAsia="es-ES_tradnl"/>
        </w:rPr>
      </w:pPr>
      <w:r w:rsidRPr="00F03F85">
        <w:rPr>
          <w:rFonts w:ascii="Arial" w:eastAsia="Times New Roman" w:hAnsi="Arial" w:cs="Arial"/>
          <w:shd w:val="clear" w:color="auto" w:fill="FFFFFF"/>
          <w:lang w:val="es-ES_tradnl" w:eastAsia="es-ES_tradnl"/>
        </w:rPr>
        <w:t>El fundamento legal vigente de la regla de la inalterabilidad se encuentra en el artículo 1 de la Ley 2022 de 2020, según el cual «</w:t>
      </w:r>
      <w:r w:rsidRPr="00F03F85">
        <w:rPr>
          <w:rFonts w:ascii="Arial" w:eastAsia="Times New Roman" w:hAnsi="Arial" w:cs="Arial"/>
          <w:lang w:val="es-ES_tradnl" w:eastAsia="es-ES_tradnl"/>
        </w:rPr>
        <w:t xml:space="preserve">[…] </w:t>
      </w:r>
      <w:r w:rsidRPr="00F03F85">
        <w:rPr>
          <w:rFonts w:ascii="Arial" w:eastAsia="Times New Roman" w:hAnsi="Arial" w:cs="Arial"/>
          <w:shd w:val="clear" w:color="auto" w:fill="FFFFFF"/>
          <w:lang w:val="es-ES_tradnl" w:eastAsia="es-ES_tradnl"/>
        </w:rPr>
        <w:t>serán de obligatorio cumplimiento en la actividad contractual de todas las entidades sometidas al Estatuto General de Contratación de la Administración Pública», el cual tenía como antecedente normativo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70FEFC92" w14:textId="77777777" w:rsidR="00734BD3" w:rsidRDefault="00734BD3" w:rsidP="00734BD3">
      <w:pPr>
        <w:spacing w:after="0" w:line="276" w:lineRule="auto"/>
        <w:ind w:firstLine="709"/>
        <w:jc w:val="both"/>
        <w:rPr>
          <w:rFonts w:ascii="Arial" w:eastAsia="Times New Roman" w:hAnsi="Arial" w:cs="Arial"/>
          <w:shd w:val="clear" w:color="auto" w:fill="FFFFFF"/>
          <w:lang w:val="es-ES_tradnl" w:eastAsia="es-ES_tradnl"/>
        </w:rPr>
      </w:pPr>
      <w:r w:rsidRPr="00F03F85">
        <w:rPr>
          <w:rFonts w:ascii="Arial" w:eastAsia="Times New Roman" w:hAnsi="Arial" w:cs="Arial"/>
          <w:shd w:val="clear" w:color="auto" w:fill="FFFFFF"/>
          <w:lang w:val="es-ES_tradnl" w:eastAsia="es-ES_tradnl"/>
        </w:rPr>
        <w:t xml:space="preserve">Por tanto, 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 entre estas, la </w:t>
      </w:r>
      <w:r w:rsidRPr="00F03F85">
        <w:rPr>
          <w:rFonts w:ascii="Arial" w:eastAsia="Calibri" w:hAnsi="Arial" w:cs="Arial"/>
          <w:color w:val="000000"/>
          <w:lang w:val="es-ES" w:eastAsia="es-ES"/>
        </w:rPr>
        <w:t>Resolución 240 del 27 de noviembre de 2020, «Por la cual se actualizan los Documentos Tipo para los procesos de selección de licitación de obra pública de infraestructura de transporte</w:t>
      </w:r>
      <w:r>
        <w:rPr>
          <w:rFonts w:ascii="Arial" w:eastAsia="Calibri" w:hAnsi="Arial" w:cs="Arial"/>
          <w:color w:val="000000"/>
          <w:lang w:val="es-ES" w:eastAsia="es-ES"/>
        </w:rPr>
        <w:t>»</w:t>
      </w:r>
      <w:r w:rsidRPr="00F03F85">
        <w:rPr>
          <w:rFonts w:ascii="Arial" w:eastAsia="Calibri" w:hAnsi="Arial" w:cs="Arial"/>
        </w:rPr>
        <w:t xml:space="preserve">, </w:t>
      </w:r>
      <w:r w:rsidRPr="00F03F85">
        <w:rPr>
          <w:rFonts w:ascii="Arial" w:eastAsia="Times New Roman" w:hAnsi="Arial" w:cs="Arial"/>
          <w:shd w:val="clear" w:color="auto" w:fill="FFFFFF"/>
          <w:lang w:val="es-ES_tradnl" w:eastAsia="es-ES_tradnl"/>
        </w:rPr>
        <w:t xml:space="preserve">cuyo artículo 3 establece la regla de la inalterabilidad de esos documentos tipo, cuando prescribe que «[…] </w:t>
      </w:r>
      <w:r w:rsidRPr="00F03F85">
        <w:rPr>
          <w:rFonts w:ascii="Arial" w:eastAsia="Calibri" w:hAnsi="Arial" w:cs="Arial"/>
        </w:rPr>
        <w:t xml:space="preserve">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r w:rsidRPr="00F03F85">
        <w:rPr>
          <w:rFonts w:ascii="Arial" w:eastAsia="Times New Roman" w:hAnsi="Arial" w:cs="Arial"/>
          <w:shd w:val="clear" w:color="auto" w:fill="FFFFFF"/>
          <w:lang w:val="es-ES_tradnl" w:eastAsia="es-ES_tradnl"/>
        </w:rPr>
        <w:t>Por tanto, frente a los documentos tipo relacionados con la pregunta del peticionario, rige la regla de la inalterabilidad, explicada anteriormente</w:t>
      </w:r>
      <w:r>
        <w:rPr>
          <w:rFonts w:ascii="Arial" w:eastAsia="Times New Roman" w:hAnsi="Arial" w:cs="Arial"/>
          <w:shd w:val="clear" w:color="auto" w:fill="FFFFFF"/>
          <w:lang w:val="es-ES_tradnl" w:eastAsia="es-ES_tradnl"/>
        </w:rPr>
        <w:t xml:space="preserve">. </w:t>
      </w:r>
    </w:p>
    <w:p w14:paraId="012C5797" w14:textId="77777777" w:rsidR="00734BD3" w:rsidRDefault="00734BD3" w:rsidP="00734BD3">
      <w:pPr>
        <w:spacing w:after="120" w:line="276" w:lineRule="auto"/>
        <w:ind w:firstLine="709"/>
        <w:jc w:val="both"/>
        <w:rPr>
          <w:rFonts w:ascii="Arial" w:eastAsia="Times New Roman" w:hAnsi="Arial" w:cs="Arial"/>
          <w:shd w:val="clear" w:color="auto" w:fill="FFFFFF"/>
          <w:lang w:val="es-ES_tradnl" w:eastAsia="es-ES_tradnl"/>
        </w:rPr>
      </w:pPr>
    </w:p>
    <w:p w14:paraId="1D28FAB9" w14:textId="77777777" w:rsidR="00734BD3" w:rsidRPr="002968D5" w:rsidRDefault="00734BD3" w:rsidP="00734BD3">
      <w:pPr>
        <w:spacing w:after="120" w:line="276" w:lineRule="auto"/>
        <w:jc w:val="both"/>
        <w:rPr>
          <w:rFonts w:ascii="Arial" w:eastAsia="Times New Roman" w:hAnsi="Arial" w:cs="Arial"/>
          <w:b/>
          <w:bCs/>
          <w:shd w:val="clear" w:color="auto" w:fill="FFFFFF"/>
          <w:lang w:val="es-ES_tradnl" w:eastAsia="es-ES_tradnl"/>
        </w:rPr>
      </w:pPr>
      <w:r w:rsidRPr="002968D5">
        <w:rPr>
          <w:rFonts w:ascii="Arial" w:eastAsia="Times New Roman" w:hAnsi="Arial" w:cs="Arial"/>
          <w:b/>
          <w:bCs/>
          <w:shd w:val="clear" w:color="auto" w:fill="FFFFFF"/>
          <w:lang w:val="es-ES_tradnl" w:eastAsia="es-ES_tradnl"/>
        </w:rPr>
        <w:t>2.</w:t>
      </w:r>
      <w:r>
        <w:rPr>
          <w:rFonts w:ascii="Arial" w:eastAsia="Times New Roman" w:hAnsi="Arial" w:cs="Arial"/>
          <w:b/>
          <w:bCs/>
          <w:shd w:val="clear" w:color="auto" w:fill="FFFFFF"/>
          <w:lang w:val="es-ES_tradnl" w:eastAsia="es-ES_tradnl"/>
        </w:rPr>
        <w:t>3.</w:t>
      </w:r>
      <w:r w:rsidRPr="002968D5">
        <w:rPr>
          <w:rFonts w:ascii="Arial" w:eastAsia="Times New Roman" w:hAnsi="Arial" w:cs="Arial"/>
          <w:b/>
          <w:bCs/>
          <w:shd w:val="clear" w:color="auto" w:fill="FFFFFF"/>
          <w:lang w:val="es-ES_tradnl" w:eastAsia="es-ES_tradnl"/>
        </w:rPr>
        <w:t xml:space="preserve"> </w:t>
      </w:r>
      <w:bookmarkStart w:id="5" w:name="_Hlk108018615"/>
      <w:r w:rsidRPr="002968D5">
        <w:rPr>
          <w:rFonts w:ascii="Arial" w:eastAsia="Times New Roman" w:hAnsi="Arial" w:cs="Arial"/>
          <w:b/>
          <w:bCs/>
          <w:shd w:val="clear" w:color="auto" w:fill="FFFFFF"/>
          <w:lang w:val="es-ES_tradnl" w:eastAsia="es-ES_tradnl"/>
        </w:rPr>
        <w:t>Documento</w:t>
      </w:r>
      <w:r>
        <w:rPr>
          <w:rFonts w:ascii="Arial" w:eastAsia="Times New Roman" w:hAnsi="Arial" w:cs="Arial"/>
          <w:b/>
          <w:bCs/>
          <w:shd w:val="clear" w:color="auto" w:fill="FFFFFF"/>
          <w:lang w:val="es-ES_tradnl" w:eastAsia="es-ES_tradnl"/>
        </w:rPr>
        <w:t>s</w:t>
      </w:r>
      <w:r w:rsidRPr="002968D5">
        <w:rPr>
          <w:rFonts w:ascii="Arial" w:eastAsia="Times New Roman" w:hAnsi="Arial" w:cs="Arial"/>
          <w:b/>
          <w:bCs/>
          <w:shd w:val="clear" w:color="auto" w:fill="FFFFFF"/>
          <w:lang w:val="es-ES_tradnl" w:eastAsia="es-ES_tradnl"/>
        </w:rPr>
        <w:t xml:space="preserve"> tipo de licitación de </w:t>
      </w:r>
      <w:r>
        <w:rPr>
          <w:rFonts w:ascii="Arial" w:eastAsia="Times New Roman" w:hAnsi="Arial" w:cs="Arial"/>
          <w:b/>
          <w:bCs/>
          <w:shd w:val="clear" w:color="auto" w:fill="FFFFFF"/>
          <w:lang w:val="es-ES_tradnl" w:eastAsia="es-ES_tradnl"/>
        </w:rPr>
        <w:t xml:space="preserve">obra de </w:t>
      </w:r>
      <w:r w:rsidRPr="002968D5">
        <w:rPr>
          <w:rFonts w:ascii="Arial" w:eastAsia="Times New Roman" w:hAnsi="Arial" w:cs="Arial"/>
          <w:b/>
          <w:bCs/>
          <w:shd w:val="clear" w:color="auto" w:fill="FFFFFF"/>
          <w:lang w:val="es-ES_tradnl" w:eastAsia="es-ES_tradnl"/>
        </w:rPr>
        <w:t>infraestructura de transporte: análisis de precios unitarios y hojas de vida</w:t>
      </w:r>
      <w:r>
        <w:rPr>
          <w:rFonts w:ascii="Arial" w:eastAsia="Times New Roman" w:hAnsi="Arial" w:cs="Arial"/>
          <w:b/>
          <w:bCs/>
          <w:shd w:val="clear" w:color="auto" w:fill="FFFFFF"/>
          <w:lang w:val="es-ES_tradnl" w:eastAsia="es-ES_tradnl"/>
        </w:rPr>
        <w:t xml:space="preserve"> del personal</w:t>
      </w:r>
      <w:bookmarkEnd w:id="5"/>
    </w:p>
    <w:p w14:paraId="48274DE5" w14:textId="77777777" w:rsidR="00734BD3" w:rsidRDefault="00734BD3" w:rsidP="00734BD3">
      <w:pPr>
        <w:spacing w:before="120" w:line="276" w:lineRule="auto"/>
        <w:jc w:val="both"/>
        <w:rPr>
          <w:rFonts w:ascii="Arial" w:eastAsia="Calibri" w:hAnsi="Arial" w:cs="Arial"/>
          <w:lang w:val="es-ES_tradnl"/>
        </w:rPr>
      </w:pPr>
      <w:r>
        <w:rPr>
          <w:rFonts w:ascii="Arial" w:eastAsia="Calibri" w:hAnsi="Arial" w:cs="Arial"/>
          <w:lang w:val="es-ES_tradnl"/>
        </w:rPr>
        <w:t>El numeral 4.1 del Documento base de los documentos tipo de licitación de obra pública de infraestructura de transporte – versión 3 establece lo siguiente en relación con la oferta económica:</w:t>
      </w:r>
    </w:p>
    <w:p w14:paraId="26E4227F" w14:textId="77777777" w:rsidR="00734BD3" w:rsidRPr="00471EB4" w:rsidRDefault="00734BD3" w:rsidP="00734BD3">
      <w:pPr>
        <w:spacing w:after="120" w:line="240" w:lineRule="auto"/>
        <w:ind w:left="709" w:right="709"/>
        <w:jc w:val="both"/>
        <w:rPr>
          <w:rFonts w:ascii="Arial" w:hAnsi="Arial" w:cs="Arial"/>
          <w:sz w:val="21"/>
          <w:szCs w:val="21"/>
          <w:highlight w:val="lightGray"/>
          <w:lang w:val="es-MX"/>
        </w:rPr>
      </w:pPr>
      <w:r w:rsidRPr="00471EB4">
        <w:rPr>
          <w:rFonts w:ascii="Arial" w:hAnsi="Arial" w:cs="Arial"/>
          <w:sz w:val="21"/>
          <w:szCs w:val="21"/>
          <w:highlight w:val="lightGray"/>
          <w:lang w:val="es-MX"/>
        </w:rPr>
        <w:lastRenderedPageBreak/>
        <w:t>[La entidad debe indicar si la forma de pago es por precio global, llave en mano, precios unitarios, administración delegada o reembolso de gastos. El Anexo 1 – Anexo Técnico y el Formulario 1– Formulario de Presupuesto Oficial debe ser concordante con la modalidad de pago seleccionada]</w:t>
      </w:r>
    </w:p>
    <w:p w14:paraId="190C2B45" w14:textId="77777777" w:rsidR="00734BD3" w:rsidRPr="00471EB4" w:rsidRDefault="00734BD3" w:rsidP="00734BD3">
      <w:pPr>
        <w:spacing w:after="120" w:line="240" w:lineRule="auto"/>
        <w:ind w:left="709" w:right="709"/>
        <w:jc w:val="both"/>
        <w:rPr>
          <w:rFonts w:ascii="Arial" w:hAnsi="Arial" w:cs="Arial"/>
          <w:sz w:val="21"/>
          <w:szCs w:val="21"/>
          <w:lang w:val="es-MX"/>
        </w:rPr>
      </w:pPr>
      <w:r w:rsidRPr="00471EB4">
        <w:rPr>
          <w:rFonts w:ascii="Arial" w:hAnsi="Arial" w:cs="Arial"/>
          <w:sz w:val="21"/>
          <w:szCs w:val="21"/>
          <w:highlight w:val="lightGray"/>
          <w:lang w:val="es-MX"/>
        </w:rPr>
        <w:t>[Cuando el presupuesto del proceso de contratación es estructurado por precios unitarios, la entidad debe aplicar las notas señaladas en el Formulario 1 – Formulario de Presupuesto oficial. Cuando se estructura a través de otra modalidad de pago, la entidad debe definir las notas que debe tener en cuenta el proponente para presentar su oferta económica]</w:t>
      </w:r>
    </w:p>
    <w:p w14:paraId="02E4B456" w14:textId="77777777" w:rsidR="00734BD3" w:rsidRPr="00471EB4" w:rsidRDefault="00734BD3" w:rsidP="00734BD3">
      <w:pPr>
        <w:spacing w:after="120" w:line="240" w:lineRule="auto"/>
        <w:ind w:left="709" w:right="709"/>
        <w:jc w:val="both"/>
        <w:rPr>
          <w:rFonts w:ascii="Arial" w:hAnsi="Arial" w:cs="Arial"/>
          <w:sz w:val="21"/>
          <w:szCs w:val="21"/>
          <w:lang w:val="es-MX"/>
        </w:rPr>
      </w:pPr>
      <w:r w:rsidRPr="00471EB4">
        <w:rPr>
          <w:rFonts w:ascii="Arial" w:hAnsi="Arial" w:cs="Arial"/>
          <w:sz w:val="21"/>
          <w:szCs w:val="21"/>
          <w:lang w:val="es-MX"/>
        </w:rPr>
        <w:t>Para calificar este factor se tendrá en cuenta el valor total indicado en la propuesta económica o el obtenido de la corrección aritmética. La propuesta económica deberá ser allegada en el Sobre No. 2 y firmada.</w:t>
      </w:r>
    </w:p>
    <w:p w14:paraId="1AE6F88C" w14:textId="77777777" w:rsidR="00734BD3" w:rsidRPr="00471EB4" w:rsidRDefault="00734BD3" w:rsidP="00734BD3">
      <w:pPr>
        <w:spacing w:after="120" w:line="240" w:lineRule="auto"/>
        <w:ind w:left="709" w:right="709"/>
        <w:jc w:val="both"/>
        <w:rPr>
          <w:rFonts w:ascii="Arial" w:hAnsi="Arial" w:cs="Arial"/>
          <w:sz w:val="21"/>
          <w:szCs w:val="21"/>
          <w:highlight w:val="lightGray"/>
          <w:lang w:val="es-MX"/>
        </w:rPr>
      </w:pPr>
      <w:r w:rsidRPr="00471EB4">
        <w:rPr>
          <w:rFonts w:ascii="Arial" w:hAnsi="Arial" w:cs="Arial"/>
          <w:sz w:val="21"/>
          <w:szCs w:val="21"/>
          <w:highlight w:val="lightGray"/>
          <w:lang w:val="es-MX"/>
        </w:rPr>
        <w:t xml:space="preserve">[La entidad debe configurar el formato de oferta económica que se encuentra en el Formulario 1 – Formulario de Presupuesto Oficial, para que sea diligenciado por los proponentes. </w:t>
      </w:r>
    </w:p>
    <w:p w14:paraId="29D9DA45" w14:textId="77777777" w:rsidR="00734BD3" w:rsidRPr="00471EB4" w:rsidRDefault="00734BD3" w:rsidP="00734BD3">
      <w:pPr>
        <w:spacing w:after="120" w:line="240" w:lineRule="auto"/>
        <w:ind w:left="709" w:right="709"/>
        <w:jc w:val="both"/>
        <w:rPr>
          <w:rFonts w:ascii="Arial" w:hAnsi="Arial" w:cs="Arial"/>
          <w:sz w:val="21"/>
          <w:szCs w:val="21"/>
          <w:lang w:val="es-MX"/>
        </w:rPr>
      </w:pPr>
      <w:r w:rsidRPr="00471EB4">
        <w:rPr>
          <w:rFonts w:ascii="Arial" w:hAnsi="Arial" w:cs="Arial"/>
          <w:sz w:val="21"/>
          <w:szCs w:val="21"/>
          <w:highlight w:val="lightGray"/>
          <w:lang w:val="es-MX"/>
        </w:rPr>
        <w:t>La entidad debe incluir el Formulario 1 – Formulario de Presupuesto Oficial y la oferta económica en formato Excel]</w:t>
      </w:r>
      <w:r w:rsidRPr="00471EB4">
        <w:rPr>
          <w:rFonts w:ascii="Arial" w:hAnsi="Arial" w:cs="Arial"/>
          <w:sz w:val="21"/>
          <w:szCs w:val="21"/>
          <w:lang w:val="es-MX"/>
        </w:rPr>
        <w:t xml:space="preserve"> </w:t>
      </w:r>
    </w:p>
    <w:p w14:paraId="25975785" w14:textId="77777777" w:rsidR="00734BD3" w:rsidRPr="00471EB4" w:rsidRDefault="00734BD3" w:rsidP="00734BD3">
      <w:pPr>
        <w:spacing w:after="120" w:line="240" w:lineRule="auto"/>
        <w:ind w:left="709" w:right="709"/>
        <w:jc w:val="both"/>
        <w:rPr>
          <w:rFonts w:ascii="Arial" w:hAnsi="Arial" w:cs="Arial"/>
          <w:sz w:val="21"/>
          <w:szCs w:val="21"/>
          <w:lang w:val="es-MX"/>
        </w:rPr>
      </w:pPr>
      <w:r w:rsidRPr="00471EB4">
        <w:rPr>
          <w:rFonts w:ascii="Arial" w:hAnsi="Arial" w:cs="Arial"/>
          <w:sz w:val="21"/>
          <w:szCs w:val="21"/>
          <w:lang w:val="es-MX"/>
        </w:rPr>
        <w:t>El valor de la propuesta económica debe presentarse en pesos colombianos y contemplar todos los costos directos e indirectos para la completa y adecuada ejecución de la obra del presente proceso, los riesgos y la administración de estos.</w:t>
      </w:r>
    </w:p>
    <w:p w14:paraId="3A05439C" w14:textId="77777777" w:rsidR="00734BD3" w:rsidRPr="00471EB4" w:rsidRDefault="00734BD3" w:rsidP="00734BD3">
      <w:pPr>
        <w:spacing w:after="120" w:line="240" w:lineRule="auto"/>
        <w:ind w:left="709" w:right="709"/>
        <w:jc w:val="both"/>
        <w:rPr>
          <w:rFonts w:ascii="Arial" w:hAnsi="Arial" w:cs="Arial"/>
          <w:sz w:val="21"/>
          <w:szCs w:val="21"/>
          <w:lang w:val="es-MX"/>
        </w:rPr>
      </w:pPr>
      <w:r w:rsidRPr="00471EB4">
        <w:rPr>
          <w:rFonts w:ascii="Arial" w:hAnsi="Arial" w:cs="Arial"/>
          <w:sz w:val="21"/>
          <w:szCs w:val="21"/>
          <w:lang w:val="es-MX"/>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14:paraId="76FF9DA5" w14:textId="77777777" w:rsidR="00734BD3" w:rsidRPr="00471EB4" w:rsidRDefault="00734BD3" w:rsidP="00734BD3">
      <w:pPr>
        <w:spacing w:after="120" w:line="240" w:lineRule="auto"/>
        <w:ind w:left="709" w:right="709"/>
        <w:jc w:val="both"/>
        <w:rPr>
          <w:rFonts w:ascii="Arial" w:hAnsi="Arial" w:cs="Arial"/>
          <w:sz w:val="21"/>
          <w:szCs w:val="21"/>
          <w:lang w:val="es-MX"/>
        </w:rPr>
      </w:pPr>
      <w:r w:rsidRPr="00471EB4">
        <w:rPr>
          <w:rFonts w:ascii="Arial" w:hAnsi="Arial" w:cs="Arial"/>
          <w:sz w:val="21"/>
          <w:szCs w:val="21"/>
          <w:lang w:val="es-MX"/>
        </w:rPr>
        <w:t>Los estimativos técnicos que hagan los proponentes para la presentación de sus ofertas deben tener en cuenta que la ejecución del contrato se regirá íntegramente por lo previsto en los documentos del proceso y que en sus cálculos económicos deben incluir todos los aspectos y requerimientos necesarios para cumplir con todas las obligaciones contractuales y asumir los riesgos previstos en dichos documentos.</w:t>
      </w:r>
    </w:p>
    <w:p w14:paraId="474FCB50" w14:textId="77777777" w:rsidR="00734BD3" w:rsidRPr="00471EB4" w:rsidRDefault="00734BD3" w:rsidP="00734BD3">
      <w:pPr>
        <w:spacing w:after="120" w:line="240" w:lineRule="auto"/>
        <w:ind w:left="709" w:right="709"/>
        <w:jc w:val="both"/>
        <w:rPr>
          <w:rFonts w:ascii="Arial" w:hAnsi="Arial" w:cs="Arial"/>
          <w:sz w:val="21"/>
          <w:szCs w:val="21"/>
          <w:lang w:val="es-MX"/>
        </w:rPr>
      </w:pPr>
      <w:r w:rsidRPr="00471EB4">
        <w:rPr>
          <w:rFonts w:ascii="Arial" w:hAnsi="Arial" w:cs="Arial"/>
          <w:sz w:val="21"/>
          <w:szCs w:val="21"/>
          <w:highlight w:val="lightGray"/>
          <w:lang w:val="es-MX"/>
        </w:rPr>
        <w:t>[Incluir en el evento en el que el proceso de contratación sea por precios unitarios]</w:t>
      </w:r>
      <w:r w:rsidRPr="00471EB4">
        <w:rPr>
          <w:rFonts w:ascii="Arial" w:hAnsi="Arial" w:cs="Arial"/>
          <w:sz w:val="21"/>
          <w:szCs w:val="21"/>
          <w:lang w:val="es-MX"/>
        </w:rPr>
        <w:t xml:space="preserve"> El desglose de los Análisis de Precios Unitarios publicados por la entidad es únicamente de referencia, constituye una guía para la preparación de la oferta. Si existe alguna duda o interrogante sobre la presentación de estos Análisis de Precios Unitarios y el precio de estudios publicados por la entidad, es deber de los Proponente hacerlos conocer dentro del plazo establecido en el Anexo 2 - Cronograma para la presentación de observaciones al proyecto de pliego de condiciones para que la Entidad los pueda estudiar.</w:t>
      </w:r>
    </w:p>
    <w:p w14:paraId="5B378604" w14:textId="77777777" w:rsidR="00734BD3" w:rsidRPr="00471EB4" w:rsidRDefault="00734BD3" w:rsidP="00734BD3">
      <w:pPr>
        <w:spacing w:after="120" w:line="240" w:lineRule="auto"/>
        <w:ind w:left="709" w:right="709"/>
        <w:jc w:val="both"/>
        <w:rPr>
          <w:rFonts w:ascii="Arial" w:hAnsi="Arial" w:cs="Arial"/>
          <w:sz w:val="21"/>
          <w:szCs w:val="21"/>
          <w:lang w:val="es-MX"/>
        </w:rPr>
      </w:pPr>
      <w:r w:rsidRPr="00471EB4">
        <w:rPr>
          <w:rFonts w:ascii="Arial" w:hAnsi="Arial" w:cs="Arial"/>
          <w:sz w:val="21"/>
          <w:szCs w:val="21"/>
          <w:highlight w:val="lightGray"/>
          <w:lang w:val="es-MX"/>
        </w:rPr>
        <w:t>[La entidad estatal en esta sección o en el “Formulario 1 – Formulario del presupuesto oficial” discriminará los impuestos, tasas o contribuciones que aplican al proceso de contratación. Los oferentes tendrán en cuenta está información al presentar su oferta]</w:t>
      </w:r>
    </w:p>
    <w:p w14:paraId="7C1D2C01" w14:textId="77777777" w:rsidR="00734BD3" w:rsidRDefault="00734BD3" w:rsidP="00734BD3">
      <w:pPr>
        <w:spacing w:before="120" w:line="276" w:lineRule="auto"/>
        <w:jc w:val="both"/>
        <w:rPr>
          <w:rFonts w:ascii="Arial" w:eastAsia="Calibri" w:hAnsi="Arial" w:cs="Arial"/>
          <w:lang w:val="es-ES_tradnl"/>
        </w:rPr>
      </w:pPr>
      <w:r>
        <w:rPr>
          <w:rFonts w:ascii="Arial" w:eastAsia="Calibri" w:hAnsi="Arial" w:cs="Arial"/>
          <w:lang w:val="es-MX"/>
        </w:rPr>
        <w:tab/>
      </w:r>
      <w:r>
        <w:rPr>
          <w:rFonts w:ascii="Arial" w:eastAsia="Calibri" w:hAnsi="Arial" w:cs="Arial"/>
          <w:lang w:val="es-ES_tradnl"/>
        </w:rPr>
        <w:t xml:space="preserve">Los párrafos que están en corchetes son notas aclaratorias o instrucciones para la entidad contratante, que deben ser seguidas sin vulnerar el carácter obligatorio y la regla </w:t>
      </w:r>
      <w:r>
        <w:rPr>
          <w:rFonts w:ascii="Arial" w:eastAsia="Calibri" w:hAnsi="Arial" w:cs="Arial"/>
          <w:lang w:val="es-ES_tradnl"/>
        </w:rPr>
        <w:lastRenderedPageBreak/>
        <w:t>de inalterabilidad de los documentos tipo. En específico, sobre la escogencia de precios unitarios como modalidad de pago del contrato, según el texto transcrito, se tiene que:</w:t>
      </w:r>
    </w:p>
    <w:p w14:paraId="062E196E" w14:textId="77777777" w:rsidR="00734BD3" w:rsidRDefault="00734BD3" w:rsidP="00734BD3">
      <w:pPr>
        <w:pStyle w:val="Prrafodelista"/>
        <w:numPr>
          <w:ilvl w:val="0"/>
          <w:numId w:val="1"/>
        </w:numPr>
        <w:spacing w:before="120" w:line="276" w:lineRule="auto"/>
        <w:rPr>
          <w:rFonts w:eastAsia="Calibri" w:cs="Arial"/>
          <w:sz w:val="22"/>
          <w:lang w:val="es-ES_tradnl"/>
        </w:rPr>
      </w:pPr>
      <w:r>
        <w:rPr>
          <w:rFonts w:eastAsia="Calibri" w:cs="Arial"/>
          <w:sz w:val="22"/>
          <w:lang w:val="es-ES_tradnl"/>
        </w:rPr>
        <w:t>L</w:t>
      </w:r>
      <w:r w:rsidRPr="00464A25">
        <w:rPr>
          <w:rFonts w:eastAsia="Calibri" w:cs="Arial"/>
          <w:sz w:val="22"/>
          <w:lang w:val="es-ES_tradnl"/>
        </w:rPr>
        <w:t>a entidad debe aplicar las notas señaladas en el Formulario 1 – Formulario de Presupuesto oficial.</w:t>
      </w:r>
      <w:r>
        <w:rPr>
          <w:rFonts w:eastAsia="Calibri" w:cs="Arial"/>
          <w:sz w:val="22"/>
          <w:lang w:val="es-ES_tradnl"/>
        </w:rPr>
        <w:t xml:space="preserve"> Sin embargo, c</w:t>
      </w:r>
      <w:r w:rsidRPr="00464A25">
        <w:rPr>
          <w:rFonts w:eastAsia="Calibri" w:cs="Arial"/>
          <w:sz w:val="22"/>
          <w:lang w:val="es-ES_tradnl"/>
        </w:rPr>
        <w:t>uando se estructura a través de otra modalidad de pago, la entidad debe definir las notas que debe tener en cuenta el proponente para presentar su oferta económica.</w:t>
      </w:r>
    </w:p>
    <w:p w14:paraId="31923634" w14:textId="77777777" w:rsidR="00734BD3" w:rsidRDefault="00734BD3" w:rsidP="00734BD3">
      <w:pPr>
        <w:pStyle w:val="Prrafodelista"/>
        <w:numPr>
          <w:ilvl w:val="0"/>
          <w:numId w:val="1"/>
        </w:numPr>
        <w:spacing w:before="120" w:line="276" w:lineRule="auto"/>
        <w:rPr>
          <w:rFonts w:eastAsia="Calibri" w:cs="Arial"/>
          <w:sz w:val="22"/>
          <w:lang w:val="es-ES_tradnl"/>
        </w:rPr>
      </w:pPr>
      <w:r w:rsidRPr="00464A25">
        <w:rPr>
          <w:rFonts w:eastAsia="Calibri" w:cs="Arial"/>
          <w:sz w:val="22"/>
          <w:lang w:val="es-ES_tradnl"/>
        </w:rPr>
        <w:t>El valor de la propuesta económica debe presentarse en pesos colombianos y contemplar todos los costos directos e indirectos para la completa y adecuada ejecución de la obra, los riesgos y la administración de estos.</w:t>
      </w:r>
    </w:p>
    <w:p w14:paraId="513626EE" w14:textId="77777777" w:rsidR="00734BD3" w:rsidRDefault="00734BD3" w:rsidP="00734BD3">
      <w:pPr>
        <w:pStyle w:val="Prrafodelista"/>
        <w:numPr>
          <w:ilvl w:val="0"/>
          <w:numId w:val="1"/>
        </w:numPr>
        <w:spacing w:before="120" w:line="276" w:lineRule="auto"/>
        <w:rPr>
          <w:rFonts w:eastAsia="Calibri" w:cs="Arial"/>
          <w:sz w:val="22"/>
          <w:lang w:val="es-ES_tradnl"/>
        </w:rPr>
      </w:pPr>
      <w:r w:rsidRPr="00C0167C">
        <w:rPr>
          <w:rFonts w:eastAsia="Calibri" w:cs="Arial"/>
          <w:sz w:val="22"/>
          <w:lang w:val="es-ES_tradnl"/>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14:paraId="25806196" w14:textId="77777777" w:rsidR="00734BD3" w:rsidRPr="00C0167C" w:rsidRDefault="00734BD3" w:rsidP="00734BD3">
      <w:pPr>
        <w:spacing w:before="120" w:line="276" w:lineRule="auto"/>
        <w:ind w:firstLine="708"/>
        <w:jc w:val="both"/>
        <w:rPr>
          <w:rFonts w:ascii="Arial" w:eastAsia="Calibri" w:hAnsi="Arial" w:cs="Arial"/>
          <w:lang w:val="es-ES_tradnl"/>
        </w:rPr>
      </w:pPr>
      <w:r>
        <w:rPr>
          <w:rFonts w:ascii="Arial" w:eastAsia="Calibri" w:hAnsi="Arial" w:cs="Arial"/>
          <w:lang w:val="es-ES_tradnl"/>
        </w:rPr>
        <w:t xml:space="preserve">Por su parte, en relación con el análisis de precios unitarios, y a efectos de algunas de las preguntas del peticionario, en el Documento Base se establece que aquel análisis </w:t>
      </w:r>
      <w:r w:rsidRPr="00C0167C">
        <w:rPr>
          <w:rFonts w:ascii="Arial" w:eastAsia="Calibri" w:hAnsi="Arial" w:cs="Arial"/>
          <w:lang w:val="es-ES_tradnl"/>
        </w:rPr>
        <w:t xml:space="preserve">publicado por la entidad </w:t>
      </w:r>
      <w:r>
        <w:rPr>
          <w:rFonts w:ascii="Arial" w:eastAsia="Calibri" w:hAnsi="Arial" w:cs="Arial"/>
          <w:lang w:val="es-ES_tradnl"/>
        </w:rPr>
        <w:t>es</w:t>
      </w:r>
      <w:r w:rsidRPr="00C0167C">
        <w:rPr>
          <w:rFonts w:ascii="Arial" w:eastAsia="Calibri" w:hAnsi="Arial" w:cs="Arial"/>
          <w:lang w:val="es-ES_tradnl"/>
        </w:rPr>
        <w:t xml:space="preserve"> únicamente de referencia</w:t>
      </w:r>
      <w:r>
        <w:rPr>
          <w:rFonts w:ascii="Arial" w:eastAsia="Calibri" w:hAnsi="Arial" w:cs="Arial"/>
          <w:lang w:val="es-ES_tradnl"/>
        </w:rPr>
        <w:t xml:space="preserve"> y</w:t>
      </w:r>
      <w:r w:rsidRPr="00C0167C">
        <w:rPr>
          <w:rFonts w:ascii="Arial" w:eastAsia="Calibri" w:hAnsi="Arial" w:cs="Arial"/>
          <w:lang w:val="es-ES_tradnl"/>
        </w:rPr>
        <w:t xml:space="preserve"> constituye una guía para la preparación de la oferta</w:t>
      </w:r>
      <w:r>
        <w:rPr>
          <w:rFonts w:ascii="Arial" w:eastAsia="Calibri" w:hAnsi="Arial" w:cs="Arial"/>
          <w:lang w:val="es-ES_tradnl"/>
        </w:rPr>
        <w:t xml:space="preserve"> por parte de los interesados</w:t>
      </w:r>
      <w:r w:rsidRPr="00C0167C">
        <w:rPr>
          <w:rFonts w:ascii="Arial" w:eastAsia="Calibri" w:hAnsi="Arial" w:cs="Arial"/>
          <w:lang w:val="es-ES_tradnl"/>
        </w:rPr>
        <w:t>.</w:t>
      </w:r>
      <w:r>
        <w:rPr>
          <w:rFonts w:ascii="Arial" w:eastAsia="Calibri" w:hAnsi="Arial" w:cs="Arial"/>
          <w:lang w:val="es-ES_tradnl"/>
        </w:rPr>
        <w:t xml:space="preserve"> Así, se establece también que, s</w:t>
      </w:r>
      <w:r w:rsidRPr="00C0167C">
        <w:rPr>
          <w:rFonts w:ascii="Arial" w:eastAsia="Calibri" w:hAnsi="Arial" w:cs="Arial"/>
          <w:lang w:val="es-ES_tradnl"/>
        </w:rPr>
        <w:t xml:space="preserve">i existe alguna duda o interrogante sobre estos Análisis de Precios Unitarios y el precio de estudios publicados por la entidad, es deber de los </w:t>
      </w:r>
      <w:r>
        <w:rPr>
          <w:rFonts w:ascii="Arial" w:eastAsia="Calibri" w:hAnsi="Arial" w:cs="Arial"/>
          <w:lang w:val="es-ES_tradnl"/>
        </w:rPr>
        <w:t>p</w:t>
      </w:r>
      <w:r w:rsidRPr="00C0167C">
        <w:rPr>
          <w:rFonts w:ascii="Arial" w:eastAsia="Calibri" w:hAnsi="Arial" w:cs="Arial"/>
          <w:lang w:val="es-ES_tradnl"/>
        </w:rPr>
        <w:t>roponente</w:t>
      </w:r>
      <w:r>
        <w:rPr>
          <w:rFonts w:ascii="Arial" w:eastAsia="Calibri" w:hAnsi="Arial" w:cs="Arial"/>
          <w:lang w:val="es-ES_tradnl"/>
        </w:rPr>
        <w:t>s</w:t>
      </w:r>
      <w:r w:rsidRPr="00C0167C">
        <w:rPr>
          <w:rFonts w:ascii="Arial" w:eastAsia="Calibri" w:hAnsi="Arial" w:cs="Arial"/>
          <w:lang w:val="es-ES_tradnl"/>
        </w:rPr>
        <w:t xml:space="preserve"> hacerlos conocer dentro del plazo establecido en el Anexo 2 - Cronograma para la presentación de observaciones al proyecto de pliego de condiciones</w:t>
      </w:r>
      <w:r>
        <w:rPr>
          <w:rFonts w:ascii="Arial" w:eastAsia="Calibri" w:hAnsi="Arial" w:cs="Arial"/>
          <w:lang w:val="es-ES_tradnl"/>
        </w:rPr>
        <w:t>,</w:t>
      </w:r>
      <w:r w:rsidRPr="00C0167C">
        <w:rPr>
          <w:rFonts w:ascii="Arial" w:eastAsia="Calibri" w:hAnsi="Arial" w:cs="Arial"/>
          <w:lang w:val="es-ES_tradnl"/>
        </w:rPr>
        <w:t xml:space="preserve"> para que la </w:t>
      </w:r>
      <w:r>
        <w:rPr>
          <w:rFonts w:ascii="Arial" w:eastAsia="Calibri" w:hAnsi="Arial" w:cs="Arial"/>
          <w:lang w:val="es-ES_tradnl"/>
        </w:rPr>
        <w:t>e</w:t>
      </w:r>
      <w:r w:rsidRPr="00C0167C">
        <w:rPr>
          <w:rFonts w:ascii="Arial" w:eastAsia="Calibri" w:hAnsi="Arial" w:cs="Arial"/>
          <w:lang w:val="es-ES_tradnl"/>
        </w:rPr>
        <w:t>ntidad los pueda estudiar.</w:t>
      </w:r>
    </w:p>
    <w:p w14:paraId="492C8B43" w14:textId="77777777" w:rsidR="00734BD3" w:rsidRDefault="00734BD3" w:rsidP="00734BD3">
      <w:pPr>
        <w:spacing w:before="120" w:line="276" w:lineRule="auto"/>
        <w:jc w:val="both"/>
        <w:rPr>
          <w:rFonts w:ascii="Arial" w:eastAsia="Calibri" w:hAnsi="Arial" w:cs="Arial"/>
          <w:lang w:val="es-ES_tradnl"/>
        </w:rPr>
      </w:pPr>
      <w:r>
        <w:rPr>
          <w:rFonts w:ascii="Arial" w:eastAsia="Calibri" w:hAnsi="Arial" w:cs="Arial"/>
          <w:lang w:val="es-ES_tradnl"/>
        </w:rPr>
        <w:tab/>
        <w:t xml:space="preserve">Esta última previsión del Documento Base se refiere a la posibilidad dada a los proponentes para que, mediante las observaciones al proyecto de pliego de condiciones y en los tiempos previstos en el Anexo 2 – Cronograma, pongan en conocimiento de la entidad contratante las dudas o interrogantes que tengan sobre el </w:t>
      </w:r>
      <w:r w:rsidRPr="00C0167C">
        <w:rPr>
          <w:rFonts w:ascii="Arial" w:eastAsia="Calibri" w:hAnsi="Arial" w:cs="Arial"/>
          <w:lang w:val="es-ES_tradnl"/>
        </w:rPr>
        <w:t>Análisis de Precios Unitarios</w:t>
      </w:r>
      <w:r>
        <w:rPr>
          <w:rFonts w:ascii="Arial" w:eastAsia="Calibri" w:hAnsi="Arial" w:cs="Arial"/>
          <w:lang w:val="es-ES_tradnl"/>
        </w:rPr>
        <w:t>, con el fin de que sean estudiadas. Es decir, a efectos de sus consultas, no se trata de una oportunidad dentro del procedimiento de selección para que la entidad estatal solicite algún tipo de información a los proponentes sobre la estructuración de la oferta y de los precios unitarios.</w:t>
      </w:r>
    </w:p>
    <w:p w14:paraId="4CE76607" w14:textId="77777777" w:rsidR="00734BD3" w:rsidRDefault="00734BD3" w:rsidP="00734BD3">
      <w:pPr>
        <w:spacing w:before="120" w:line="276" w:lineRule="auto"/>
        <w:jc w:val="both"/>
        <w:rPr>
          <w:rFonts w:ascii="Arial" w:eastAsia="Calibri" w:hAnsi="Arial" w:cs="Arial"/>
          <w:lang w:val="es-ES_tradnl"/>
        </w:rPr>
      </w:pPr>
      <w:r>
        <w:rPr>
          <w:rFonts w:ascii="Arial" w:eastAsia="Calibri" w:hAnsi="Arial" w:cs="Arial"/>
          <w:lang w:val="es-ES_tradnl"/>
        </w:rPr>
        <w:tab/>
        <w:t xml:space="preserve">A su turno, y también a efectos de otra de sus preguntas, el numeral 8.1 del Documento Base de los documentos tipo de licitación de obra pública de infraestructura de transporte – Versión 3 regula lo relativo a la «información para el control de la ejecución de la obra» y, al efecto, establece la obligación del contratista de presentar al interventor de obra dentro del término previsto por la entidad estatal algunos documentos, </w:t>
      </w:r>
      <w:r w:rsidRPr="001B1FC0">
        <w:rPr>
          <w:rFonts w:ascii="Arial" w:eastAsia="Calibri" w:hAnsi="Arial" w:cs="Arial"/>
          <w:lang w:val="es-ES_tradnl"/>
        </w:rPr>
        <w:t>diligenciados de conformidad con el pliego de condiciones</w:t>
      </w:r>
      <w:r>
        <w:rPr>
          <w:rFonts w:ascii="Arial" w:eastAsia="Calibri" w:hAnsi="Arial" w:cs="Arial"/>
          <w:lang w:val="es-ES_tradnl"/>
        </w:rPr>
        <w:t>, dentro de los cuales se encuentra «</w:t>
      </w:r>
      <w:r w:rsidRPr="001B1FC0">
        <w:rPr>
          <w:rFonts w:ascii="Arial" w:eastAsia="Calibri" w:hAnsi="Arial" w:cs="Arial"/>
          <w:lang w:val="es-ES_tradnl"/>
        </w:rPr>
        <w:t>3.</w:t>
      </w:r>
      <w:r>
        <w:rPr>
          <w:rFonts w:ascii="Arial" w:eastAsia="Calibri" w:hAnsi="Arial" w:cs="Arial"/>
          <w:lang w:val="es-ES_tradnl"/>
        </w:rPr>
        <w:t xml:space="preserve"> </w:t>
      </w:r>
      <w:r w:rsidRPr="001B1FC0">
        <w:rPr>
          <w:rFonts w:ascii="Arial" w:eastAsia="Calibri" w:hAnsi="Arial" w:cs="Arial"/>
          <w:lang w:val="es-ES_tradnl"/>
        </w:rPr>
        <w:t>Análisis de precios unitarios correspondientes a la propuesta económica</w:t>
      </w:r>
      <w:r>
        <w:rPr>
          <w:rFonts w:ascii="Arial" w:eastAsia="Calibri" w:hAnsi="Arial" w:cs="Arial"/>
          <w:lang w:val="es-ES_tradnl"/>
        </w:rPr>
        <w:t>». Se trata, en esta oportunidad, del análisis de precios unitarios efectuado, no por la entidad estatal, sino por el contratista en el momento de elaborar su propuesta económica. En estricto sentido, esta información es la contenida en la hoja número 2 del Formulario 1 de los documentos tipo, con fundamento en la cual se elabora la «Propuesta económica» del proponente.</w:t>
      </w:r>
    </w:p>
    <w:p w14:paraId="6441E877" w14:textId="77777777" w:rsidR="00734BD3" w:rsidRDefault="00734BD3" w:rsidP="00734BD3">
      <w:pPr>
        <w:spacing w:before="120" w:line="276" w:lineRule="auto"/>
        <w:jc w:val="both"/>
        <w:rPr>
          <w:rFonts w:ascii="Arial" w:eastAsia="Calibri" w:hAnsi="Arial" w:cs="Arial"/>
          <w:lang w:val="es-ES_tradnl"/>
        </w:rPr>
      </w:pPr>
      <w:r>
        <w:rPr>
          <w:rFonts w:ascii="Arial" w:eastAsia="Calibri" w:hAnsi="Arial" w:cs="Arial"/>
          <w:lang w:val="es-ES_tradnl"/>
        </w:rPr>
        <w:lastRenderedPageBreak/>
        <w:tab/>
        <w:t xml:space="preserve">De este modo, es en la propuesta económica del oferente en donde se encontrará reflejado el análisis de precios unitarios hecho por el mismo oferente –hoja número 2 del Formulario 1 de los documentos tipo–, el cual debe ser presentado con la propuesta y estructurado con base en el análisis de precios unitarios efectuado por la entidad, que son, en todo caso, según lo contenido en el numeral 4.1 del Documento Base, </w:t>
      </w:r>
      <w:r w:rsidRPr="00841097">
        <w:rPr>
          <w:rFonts w:ascii="Arial" w:eastAsia="Calibri" w:hAnsi="Arial" w:cs="Arial"/>
          <w:lang w:val="es-ES_tradnl"/>
        </w:rPr>
        <w:t>únicamente de referencia</w:t>
      </w:r>
      <w:r>
        <w:rPr>
          <w:rFonts w:ascii="Arial" w:eastAsia="Calibri" w:hAnsi="Arial" w:cs="Arial"/>
          <w:lang w:val="es-ES_tradnl"/>
        </w:rPr>
        <w:t xml:space="preserve"> y</w:t>
      </w:r>
      <w:r w:rsidRPr="00841097">
        <w:rPr>
          <w:rFonts w:ascii="Arial" w:eastAsia="Calibri" w:hAnsi="Arial" w:cs="Arial"/>
          <w:lang w:val="es-ES_tradnl"/>
        </w:rPr>
        <w:t xml:space="preserve"> constituye</w:t>
      </w:r>
      <w:r>
        <w:rPr>
          <w:rFonts w:ascii="Arial" w:eastAsia="Calibri" w:hAnsi="Arial" w:cs="Arial"/>
          <w:lang w:val="es-ES_tradnl"/>
        </w:rPr>
        <w:t>n</w:t>
      </w:r>
      <w:r w:rsidRPr="00841097">
        <w:rPr>
          <w:rFonts w:ascii="Arial" w:eastAsia="Calibri" w:hAnsi="Arial" w:cs="Arial"/>
          <w:lang w:val="es-ES_tradnl"/>
        </w:rPr>
        <w:t xml:space="preserve"> una guía para la preparación de la oferta.</w:t>
      </w:r>
    </w:p>
    <w:p w14:paraId="4F8019D6" w14:textId="77777777" w:rsidR="00734BD3" w:rsidRDefault="00734BD3" w:rsidP="00734BD3">
      <w:pPr>
        <w:spacing w:before="120" w:line="276" w:lineRule="auto"/>
        <w:jc w:val="both"/>
        <w:rPr>
          <w:rFonts w:ascii="Arial" w:eastAsia="Calibri" w:hAnsi="Arial" w:cs="Arial"/>
          <w:lang w:val="es-ES_tradnl"/>
        </w:rPr>
      </w:pPr>
      <w:r>
        <w:rPr>
          <w:rFonts w:ascii="Arial" w:eastAsia="Calibri" w:hAnsi="Arial" w:cs="Arial"/>
          <w:lang w:val="es-ES_tradnl"/>
        </w:rPr>
        <w:tab/>
        <w:t>Distinta es la obligación que se deriva del numeral 8.1 del Documento base, que a efectos del control de la ejecución de la obra establece que el contratista debe presentar al interventor de la obra cierta información, dentro de la cual se encuentra el «a</w:t>
      </w:r>
      <w:r w:rsidRPr="001B1FC0">
        <w:rPr>
          <w:rFonts w:ascii="Arial" w:eastAsia="Calibri" w:hAnsi="Arial" w:cs="Arial"/>
          <w:lang w:val="es-ES_tradnl"/>
        </w:rPr>
        <w:t>nálisis de precios unitarios correspondientes a la propuesta económica</w:t>
      </w:r>
      <w:r>
        <w:rPr>
          <w:rFonts w:ascii="Arial" w:eastAsia="Calibri" w:hAnsi="Arial" w:cs="Arial"/>
          <w:lang w:val="es-ES_tradnl"/>
        </w:rPr>
        <w:t>», es decir, la información que fue objeto de análisis por parte de la entidad para evaluar la propuesta, que corresponde a aquella información contenida en la hoja número 2 del Formulario 1 de los documentos tipo, con fundamento en la cual se elabora la oferta económica.</w:t>
      </w:r>
    </w:p>
    <w:p w14:paraId="006C0335" w14:textId="77777777" w:rsidR="00734BD3" w:rsidRDefault="00734BD3" w:rsidP="00734BD3">
      <w:pPr>
        <w:spacing w:before="120" w:line="276" w:lineRule="auto"/>
        <w:jc w:val="both"/>
        <w:rPr>
          <w:rFonts w:ascii="Arial" w:eastAsia="Calibri" w:hAnsi="Arial" w:cs="Arial"/>
          <w:lang w:val="es-ES_tradnl"/>
        </w:rPr>
      </w:pPr>
      <w:r>
        <w:rPr>
          <w:rFonts w:ascii="Arial" w:eastAsia="Calibri" w:hAnsi="Arial" w:cs="Arial"/>
          <w:lang w:val="es-ES_tradnl"/>
        </w:rPr>
        <w:tab/>
        <w:t xml:space="preserve">Por su parte, en relación con el personal profesional que puede exigirse, tal como lo relaciona en su pregunta 4, el </w:t>
      </w:r>
      <w:r w:rsidRPr="001678C1">
        <w:rPr>
          <w:rFonts w:ascii="Arial" w:eastAsia="Calibri" w:hAnsi="Arial" w:cs="Arial"/>
          <w:lang w:val="es-ES_tradnl"/>
        </w:rPr>
        <w:t>Anexo 1</w:t>
      </w:r>
      <w:r>
        <w:rPr>
          <w:rFonts w:ascii="Arial" w:eastAsia="Calibri" w:hAnsi="Arial" w:cs="Arial"/>
          <w:lang w:val="es-ES_tradnl"/>
        </w:rPr>
        <w:t xml:space="preserve"> –</w:t>
      </w:r>
      <w:r w:rsidRPr="001678C1">
        <w:rPr>
          <w:rFonts w:ascii="Arial" w:eastAsia="Calibri" w:hAnsi="Arial" w:cs="Arial"/>
          <w:lang w:val="es-ES_tradnl"/>
        </w:rPr>
        <w:t xml:space="preserve"> Anexo Técnico </w:t>
      </w:r>
      <w:r>
        <w:rPr>
          <w:rFonts w:ascii="Arial" w:eastAsia="Calibri" w:hAnsi="Arial" w:cs="Arial"/>
          <w:lang w:val="es-ES_tradnl"/>
        </w:rPr>
        <w:t>de los documentos tipo de licitación de obra pública de infraestructura de transporte – Versión 3 prevé dos reglas claras e indisponibles, en virtud de la regla de inalterabilidad. En efecto, en el numeral 7 «</w:t>
      </w:r>
      <w:r w:rsidRPr="00DC23C0">
        <w:rPr>
          <w:rFonts w:ascii="Arial" w:eastAsia="Calibri" w:hAnsi="Arial" w:cs="Arial"/>
          <w:lang w:val="es-ES_tradnl"/>
        </w:rPr>
        <w:t>Información sobre el personal profesional</w:t>
      </w:r>
      <w:r>
        <w:rPr>
          <w:rFonts w:ascii="Arial" w:eastAsia="Calibri" w:hAnsi="Arial" w:cs="Arial"/>
          <w:lang w:val="es-ES_tradnl"/>
        </w:rPr>
        <w:t>» se establece:</w:t>
      </w:r>
    </w:p>
    <w:p w14:paraId="4AC3C146" w14:textId="77777777" w:rsidR="00734BD3" w:rsidRPr="00DC23C0" w:rsidRDefault="00734BD3" w:rsidP="00734BD3">
      <w:pPr>
        <w:spacing w:before="120" w:after="120" w:line="240" w:lineRule="auto"/>
        <w:ind w:left="709" w:right="902"/>
        <w:jc w:val="both"/>
        <w:rPr>
          <w:rFonts w:ascii="Arial" w:eastAsia="Calibri" w:hAnsi="Arial" w:cs="Arial"/>
          <w:sz w:val="21"/>
          <w:szCs w:val="21"/>
          <w:lang w:val="es-ES_tradnl"/>
        </w:rPr>
      </w:pPr>
      <w:r w:rsidRPr="00DC23C0">
        <w:rPr>
          <w:rFonts w:ascii="Arial" w:eastAsia="Calibri" w:hAnsi="Arial" w:cs="Arial"/>
          <w:sz w:val="21"/>
          <w:szCs w:val="21"/>
          <w:lang w:val="es-ES_tradnl"/>
        </w:rPr>
        <w:t xml:space="preserve">a. Las hojas de vida y soportes del personal vinculado al proyecto serán verificadas una vez se adjudique el contrato y no podrán ser pedidas durante la selección del contratista para efectos de otorgar puntaje o como criterio habilitante. </w:t>
      </w:r>
    </w:p>
    <w:p w14:paraId="52DA7D09" w14:textId="77777777" w:rsidR="00734BD3" w:rsidRDefault="00734BD3" w:rsidP="00734BD3">
      <w:pPr>
        <w:spacing w:before="120" w:after="120" w:line="240" w:lineRule="auto"/>
        <w:ind w:left="709" w:right="902"/>
        <w:jc w:val="both"/>
        <w:rPr>
          <w:rFonts w:ascii="Arial" w:eastAsia="Calibri" w:hAnsi="Arial" w:cs="Arial"/>
          <w:lang w:val="es-ES_tradnl"/>
        </w:rPr>
      </w:pPr>
      <w:r w:rsidRPr="00DC23C0">
        <w:rPr>
          <w:rFonts w:ascii="Arial" w:eastAsia="Calibri" w:hAnsi="Arial" w:cs="Arial"/>
          <w:sz w:val="21"/>
          <w:szCs w:val="21"/>
          <w:lang w:val="es-ES_tradnl"/>
        </w:rPr>
        <w:t>b. Si el contratista ofrece dos (2) o más profesionales para realizar actividades de un mismo cargo, cada uno de ellos deberá cumplir los requisitos exigidos en los pliegos de condiciones para el respectivo cargo. Un mismo profesional no puede ser ofrecido para dos o más cargos diferentes.</w:t>
      </w:r>
    </w:p>
    <w:p w14:paraId="22FBA913" w14:textId="77777777" w:rsidR="00734BD3" w:rsidRDefault="00734BD3" w:rsidP="00734BD3">
      <w:pPr>
        <w:spacing w:before="120" w:line="276" w:lineRule="auto"/>
        <w:ind w:firstLine="708"/>
        <w:jc w:val="both"/>
        <w:rPr>
          <w:rFonts w:ascii="Arial" w:eastAsia="Calibri" w:hAnsi="Arial" w:cs="Arial"/>
          <w:lang w:val="es-ES_tradnl"/>
        </w:rPr>
      </w:pPr>
      <w:r>
        <w:rPr>
          <w:rFonts w:ascii="Arial" w:eastAsia="Calibri" w:hAnsi="Arial" w:cs="Arial"/>
          <w:lang w:val="es-ES_tradnl"/>
        </w:rPr>
        <w:t xml:space="preserve">A efectos de algunas de las preguntas de su consulta, resulta claro que, en virtud de las reglas contenidas en el </w:t>
      </w:r>
      <w:r w:rsidRPr="001678C1">
        <w:rPr>
          <w:rFonts w:ascii="Arial" w:eastAsia="Calibri" w:hAnsi="Arial" w:cs="Arial"/>
          <w:lang w:val="es-ES_tradnl"/>
        </w:rPr>
        <w:t>Anexo 1</w:t>
      </w:r>
      <w:r>
        <w:rPr>
          <w:rFonts w:ascii="Arial" w:eastAsia="Calibri" w:hAnsi="Arial" w:cs="Arial"/>
          <w:lang w:val="es-ES_tradnl"/>
        </w:rPr>
        <w:t xml:space="preserve"> –</w:t>
      </w:r>
      <w:r w:rsidRPr="001678C1">
        <w:rPr>
          <w:rFonts w:ascii="Arial" w:eastAsia="Calibri" w:hAnsi="Arial" w:cs="Arial"/>
          <w:lang w:val="es-ES_tradnl"/>
        </w:rPr>
        <w:t xml:space="preserve"> Anexo Técnico</w:t>
      </w:r>
      <w:r>
        <w:rPr>
          <w:rFonts w:ascii="Arial" w:eastAsia="Calibri" w:hAnsi="Arial" w:cs="Arial"/>
          <w:lang w:val="es-ES_tradnl"/>
        </w:rPr>
        <w:t xml:space="preserve">, las hojas de vida y los soportes del personal vinculado al proyecto no pueden ser previstos como requisitos habilitantes o ponderables y solo serán verificados con posterioridad a la adjudicación del contrato. Lo anterior, además es concordante con lo señalado en el numeral 8.1 del documento base donde se establece que el contratista dentro de la </w:t>
      </w:r>
      <w:bookmarkStart w:id="6" w:name="_Toc84411377"/>
      <w:r>
        <w:rPr>
          <w:rFonts w:ascii="Arial" w:eastAsia="Calibri" w:hAnsi="Arial" w:cs="Arial"/>
          <w:lang w:val="es-ES_tradnl"/>
        </w:rPr>
        <w:t>«</w:t>
      </w:r>
      <w:r w:rsidRPr="005826D8">
        <w:rPr>
          <w:rFonts w:ascii="Arial" w:eastAsia="Calibri" w:hAnsi="Arial" w:cs="Arial"/>
          <w:lang w:val="es-ES_tradnl"/>
        </w:rPr>
        <w:t>información para el control de la ejecución de la obra</w:t>
      </w:r>
      <w:bookmarkEnd w:id="6"/>
      <w:r>
        <w:rPr>
          <w:rFonts w:ascii="Arial" w:eastAsia="Calibri" w:hAnsi="Arial" w:cs="Arial"/>
          <w:lang w:val="es-ES_tradnl"/>
        </w:rPr>
        <w:t>» que deberá entregar al interventor se encuentra, entre otra, las hojas de vida del personal profesional.</w:t>
      </w:r>
    </w:p>
    <w:p w14:paraId="2B91F979" w14:textId="77777777" w:rsidR="00734BD3" w:rsidRPr="00C97770" w:rsidRDefault="00734BD3" w:rsidP="00734BD3">
      <w:pPr>
        <w:spacing w:before="120" w:line="276" w:lineRule="auto"/>
        <w:ind w:firstLine="708"/>
        <w:jc w:val="both"/>
        <w:rPr>
          <w:rFonts w:ascii="Arial" w:eastAsia="Calibri" w:hAnsi="Arial" w:cs="Arial"/>
          <w:lang w:val="es-ES_tradnl"/>
        </w:rPr>
      </w:pPr>
      <w:r>
        <w:rPr>
          <w:rFonts w:ascii="Arial" w:eastAsia="Calibri" w:hAnsi="Arial" w:cs="Arial"/>
          <w:lang w:val="es-ES_tradnl"/>
        </w:rPr>
        <w:t xml:space="preserve">Por último, es pertinente resaltar que en virtud de la regla de inalterabilidad de los documentos tipo, ni las reglas relativas al análisis de precios unitarios reseñadas, ni aquellas sobre las reglas del análisis de la información del personal pueden ser modificadas, condicionadas o eliminadas por parte de las entidades estatales. </w:t>
      </w:r>
    </w:p>
    <w:p w14:paraId="1A1C59F2" w14:textId="77777777" w:rsidR="00734BD3" w:rsidRDefault="00734BD3" w:rsidP="00734BD3">
      <w:pPr>
        <w:spacing w:after="0"/>
        <w:rPr>
          <w:rFonts w:ascii="Arial" w:eastAsia="Arial" w:hAnsi="Arial" w:cs="Arial"/>
          <w:b/>
          <w:lang w:val="es-ES_tradnl" w:eastAsia="es-ES" w:bidi="es-ES"/>
        </w:rPr>
      </w:pPr>
      <w:r w:rsidRPr="007F4207">
        <w:rPr>
          <w:rFonts w:ascii="Arial" w:eastAsia="Arial" w:hAnsi="Arial" w:cs="Arial"/>
          <w:b/>
          <w:lang w:val="es-ES_tradnl" w:eastAsia="es-ES" w:bidi="es-ES"/>
        </w:rPr>
        <w:t xml:space="preserve">3. Respuesta </w:t>
      </w:r>
    </w:p>
    <w:p w14:paraId="4CB35B3A" w14:textId="77777777" w:rsidR="00734BD3" w:rsidRPr="00433397" w:rsidRDefault="00734BD3" w:rsidP="00734BD3">
      <w:pPr>
        <w:pStyle w:val="NormalWeb"/>
        <w:numPr>
          <w:ilvl w:val="0"/>
          <w:numId w:val="3"/>
        </w:numPr>
        <w:spacing w:before="100" w:beforeAutospacing="1" w:after="100" w:afterAutospacing="1" w:line="240" w:lineRule="auto"/>
        <w:ind w:right="709"/>
        <w:jc w:val="both"/>
        <w:rPr>
          <w:rFonts w:ascii="Arial" w:hAnsi="Arial" w:cs="Arial"/>
          <w:sz w:val="21"/>
          <w:szCs w:val="21"/>
        </w:rPr>
      </w:pPr>
      <w:proofErr w:type="gramStart"/>
      <w:r w:rsidRPr="00433397">
        <w:rPr>
          <w:rFonts w:ascii="Arial" w:hAnsi="Arial" w:cs="Arial"/>
          <w:sz w:val="21"/>
          <w:szCs w:val="21"/>
        </w:rPr>
        <w:lastRenderedPageBreak/>
        <w:t>¿La entidad puede solicitar al momento de la presentación de la oferta económica, El Análisis de Precios Unitarios APUS, bajo el entendido en el numeral 4.</w:t>
      </w:r>
      <w:proofErr w:type="gramEnd"/>
      <w:r w:rsidRPr="00433397">
        <w:rPr>
          <w:rFonts w:ascii="Arial" w:hAnsi="Arial" w:cs="Arial"/>
          <w:sz w:val="21"/>
          <w:szCs w:val="21"/>
        </w:rPr>
        <w:t xml:space="preserve">1 descrito anteriormente? </w:t>
      </w:r>
      <w:r w:rsidRPr="00433397">
        <w:rPr>
          <w:rFonts w:ascii="Arial" w:hAnsi="Arial" w:cs="Arial"/>
          <w:i/>
          <w:iCs/>
          <w:sz w:val="21"/>
          <w:szCs w:val="21"/>
        </w:rPr>
        <w:t xml:space="preserve">“...El desglose de los Análisis de Precios Unitarios publicados por la Entidad es únicamente de referencia, constituye una guía para la preparación de la OFERTA...” </w:t>
      </w:r>
    </w:p>
    <w:p w14:paraId="17BF9065" w14:textId="77777777" w:rsidR="00734BD3" w:rsidRDefault="00734BD3" w:rsidP="00734BD3">
      <w:pPr>
        <w:pStyle w:val="NormalWeb"/>
        <w:numPr>
          <w:ilvl w:val="0"/>
          <w:numId w:val="3"/>
        </w:numPr>
        <w:spacing w:before="100" w:beforeAutospacing="1" w:after="100" w:afterAutospacing="1" w:line="240" w:lineRule="auto"/>
        <w:ind w:right="709"/>
        <w:jc w:val="both"/>
        <w:rPr>
          <w:rFonts w:ascii="Arial" w:hAnsi="Arial" w:cs="Arial"/>
          <w:sz w:val="21"/>
          <w:szCs w:val="21"/>
        </w:rPr>
      </w:pPr>
      <w:r w:rsidRPr="00433397">
        <w:rPr>
          <w:rFonts w:ascii="Arial" w:hAnsi="Arial" w:cs="Arial"/>
          <w:sz w:val="21"/>
          <w:szCs w:val="21"/>
        </w:rPr>
        <w:t xml:space="preserve">Teniendo en cuenta lo prescrito en el Pliego Tipo en los numerales 4.1 y 8.1, se comprende que existen dos (2) momentos para que el oferente allegue el Análisis de Precios Unitarios, el 1ro. A la presentación de la propuesta y el 2do. En caso de resultar adjudicatario. ¿Es acertada la interpretación dada por la entidad? </w:t>
      </w:r>
    </w:p>
    <w:p w14:paraId="2B1341BE" w14:textId="77777777" w:rsidR="00734BD3" w:rsidRDefault="00734BD3" w:rsidP="00734BD3">
      <w:pPr>
        <w:pStyle w:val="NormalWeb"/>
        <w:numPr>
          <w:ilvl w:val="0"/>
          <w:numId w:val="3"/>
        </w:numPr>
        <w:spacing w:before="100" w:beforeAutospacing="1" w:after="100" w:afterAutospacing="1" w:line="240" w:lineRule="auto"/>
        <w:ind w:right="709"/>
        <w:jc w:val="both"/>
        <w:rPr>
          <w:rFonts w:ascii="Arial" w:hAnsi="Arial" w:cs="Arial"/>
          <w:sz w:val="21"/>
          <w:szCs w:val="21"/>
        </w:rPr>
      </w:pPr>
      <w:r w:rsidRPr="00433397">
        <w:rPr>
          <w:rFonts w:ascii="Arial" w:hAnsi="Arial" w:cs="Arial"/>
          <w:sz w:val="21"/>
          <w:szCs w:val="21"/>
        </w:rPr>
        <w:t xml:space="preserve">Bajo el principio de voluntad administrativa y acogiéndonos a las anotaciones dispuestas en el FORMULARIO 1 – PRESUPUESTO OFICIAL. ¿La entidad puede modificar el mencionado formulario y exigir la presentación del Análisis de Precios Unitarios como requisito habilitante? </w:t>
      </w:r>
    </w:p>
    <w:p w14:paraId="1CCDE1B4" w14:textId="77777777" w:rsidR="00734BD3" w:rsidRPr="00C0167C" w:rsidRDefault="00734BD3" w:rsidP="00734BD3">
      <w:pPr>
        <w:spacing w:before="120" w:after="120" w:line="276" w:lineRule="auto"/>
        <w:jc w:val="both"/>
        <w:rPr>
          <w:rFonts w:ascii="Arial" w:eastAsia="Calibri" w:hAnsi="Arial" w:cs="Arial"/>
          <w:lang w:val="es-ES_tradnl"/>
        </w:rPr>
      </w:pPr>
      <w:r w:rsidRPr="00F03F85">
        <w:rPr>
          <w:rFonts w:ascii="Arial" w:hAnsi="Arial" w:cs="Arial"/>
        </w:rPr>
        <w:t>Con base en l</w:t>
      </w:r>
      <w:r>
        <w:rPr>
          <w:rFonts w:ascii="Arial" w:hAnsi="Arial" w:cs="Arial"/>
        </w:rPr>
        <w:t>as anteriores consideraciones, esta Agencia concluye que e</w:t>
      </w:r>
      <w:r>
        <w:rPr>
          <w:rFonts w:ascii="Arial" w:eastAsia="Calibri" w:hAnsi="Arial" w:cs="Arial"/>
          <w:lang w:val="es-ES_tradnl"/>
        </w:rPr>
        <w:t xml:space="preserve">n relación con el análisis de precios unitarios en el Documento Base de los documentos tipo de licitación de obra pública de infraestructura de transporte, se establece en el numeral 4.1 que el análisis </w:t>
      </w:r>
      <w:r w:rsidRPr="00C0167C">
        <w:rPr>
          <w:rFonts w:ascii="Arial" w:eastAsia="Calibri" w:hAnsi="Arial" w:cs="Arial"/>
          <w:lang w:val="es-ES_tradnl"/>
        </w:rPr>
        <w:t xml:space="preserve">publicado por la entidad </w:t>
      </w:r>
      <w:r>
        <w:rPr>
          <w:rFonts w:ascii="Arial" w:eastAsia="Calibri" w:hAnsi="Arial" w:cs="Arial"/>
          <w:lang w:val="es-ES_tradnl"/>
        </w:rPr>
        <w:t>es</w:t>
      </w:r>
      <w:r w:rsidRPr="00C0167C">
        <w:rPr>
          <w:rFonts w:ascii="Arial" w:eastAsia="Calibri" w:hAnsi="Arial" w:cs="Arial"/>
          <w:lang w:val="es-ES_tradnl"/>
        </w:rPr>
        <w:t xml:space="preserve"> únicamente de referencia</w:t>
      </w:r>
      <w:r>
        <w:rPr>
          <w:rFonts w:ascii="Arial" w:eastAsia="Calibri" w:hAnsi="Arial" w:cs="Arial"/>
          <w:lang w:val="es-ES_tradnl"/>
        </w:rPr>
        <w:t xml:space="preserve"> y</w:t>
      </w:r>
      <w:r w:rsidRPr="00C0167C">
        <w:rPr>
          <w:rFonts w:ascii="Arial" w:eastAsia="Calibri" w:hAnsi="Arial" w:cs="Arial"/>
          <w:lang w:val="es-ES_tradnl"/>
        </w:rPr>
        <w:t xml:space="preserve"> constituye una guía para la preparación de la oferta</w:t>
      </w:r>
      <w:r>
        <w:rPr>
          <w:rFonts w:ascii="Arial" w:eastAsia="Calibri" w:hAnsi="Arial" w:cs="Arial"/>
          <w:lang w:val="es-ES_tradnl"/>
        </w:rPr>
        <w:t xml:space="preserve"> por parte de los interesados</w:t>
      </w:r>
      <w:r w:rsidRPr="00C0167C">
        <w:rPr>
          <w:rFonts w:ascii="Arial" w:eastAsia="Calibri" w:hAnsi="Arial" w:cs="Arial"/>
          <w:lang w:val="es-ES_tradnl"/>
        </w:rPr>
        <w:t>.</w:t>
      </w:r>
      <w:r>
        <w:rPr>
          <w:rFonts w:ascii="Arial" w:eastAsia="Calibri" w:hAnsi="Arial" w:cs="Arial"/>
          <w:lang w:val="es-ES_tradnl"/>
        </w:rPr>
        <w:t xml:space="preserve"> Así, en el mismo numeral se establece que, s</w:t>
      </w:r>
      <w:r w:rsidRPr="00C0167C">
        <w:rPr>
          <w:rFonts w:ascii="Arial" w:eastAsia="Calibri" w:hAnsi="Arial" w:cs="Arial"/>
          <w:lang w:val="es-ES_tradnl"/>
        </w:rPr>
        <w:t xml:space="preserve">i existe alguna duda o interrogante sobre la presentación de estos Análisis de Precios Unitarios y el precio de estudios publicados por la entidad, es deber de los </w:t>
      </w:r>
      <w:r>
        <w:rPr>
          <w:rFonts w:ascii="Arial" w:eastAsia="Calibri" w:hAnsi="Arial" w:cs="Arial"/>
          <w:lang w:val="es-ES_tradnl"/>
        </w:rPr>
        <w:t>p</w:t>
      </w:r>
      <w:r w:rsidRPr="00C0167C">
        <w:rPr>
          <w:rFonts w:ascii="Arial" w:eastAsia="Calibri" w:hAnsi="Arial" w:cs="Arial"/>
          <w:lang w:val="es-ES_tradnl"/>
        </w:rPr>
        <w:t>roponente</w:t>
      </w:r>
      <w:r>
        <w:rPr>
          <w:rFonts w:ascii="Arial" w:eastAsia="Calibri" w:hAnsi="Arial" w:cs="Arial"/>
          <w:lang w:val="es-ES_tradnl"/>
        </w:rPr>
        <w:t>s</w:t>
      </w:r>
      <w:r w:rsidRPr="00C0167C">
        <w:rPr>
          <w:rFonts w:ascii="Arial" w:eastAsia="Calibri" w:hAnsi="Arial" w:cs="Arial"/>
          <w:lang w:val="es-ES_tradnl"/>
        </w:rPr>
        <w:t xml:space="preserve"> hacerlos conocer dentro del plazo establecido en el Anexo 2 - Cronograma para la presentación de observaciones al proyecto de pliego de condiciones para que la </w:t>
      </w:r>
      <w:r>
        <w:rPr>
          <w:rFonts w:ascii="Arial" w:eastAsia="Calibri" w:hAnsi="Arial" w:cs="Arial"/>
          <w:lang w:val="es-ES_tradnl"/>
        </w:rPr>
        <w:t>e</w:t>
      </w:r>
      <w:r w:rsidRPr="00C0167C">
        <w:rPr>
          <w:rFonts w:ascii="Arial" w:eastAsia="Calibri" w:hAnsi="Arial" w:cs="Arial"/>
          <w:lang w:val="es-ES_tradnl"/>
        </w:rPr>
        <w:t>ntidad los pueda estudiar.</w:t>
      </w:r>
    </w:p>
    <w:p w14:paraId="21587B67" w14:textId="77777777" w:rsidR="00734BD3" w:rsidRDefault="00734BD3" w:rsidP="00734BD3">
      <w:pPr>
        <w:spacing w:before="120" w:after="120" w:line="276" w:lineRule="auto"/>
        <w:jc w:val="both"/>
        <w:rPr>
          <w:rFonts w:ascii="Arial" w:eastAsia="Calibri" w:hAnsi="Arial" w:cs="Arial"/>
          <w:lang w:val="es-ES_tradnl"/>
        </w:rPr>
      </w:pPr>
      <w:r>
        <w:rPr>
          <w:rFonts w:ascii="Arial" w:eastAsia="Calibri" w:hAnsi="Arial" w:cs="Arial"/>
          <w:lang w:val="es-ES_tradnl"/>
        </w:rPr>
        <w:tab/>
        <w:t xml:space="preserve">Esta última previsión del Documento Base se refiere a la posibilidad dada a los proponentes para que, mediante las observaciones al proyecto de pliego de condiciones y en los tiempos previstos en el Anexo 2 – Cronograma, pongan en conocimiento de la entidad contratante las dudas o interrogantes que tengan sobre el </w:t>
      </w:r>
      <w:r w:rsidRPr="00C0167C">
        <w:rPr>
          <w:rFonts w:ascii="Arial" w:eastAsia="Calibri" w:hAnsi="Arial" w:cs="Arial"/>
          <w:lang w:val="es-ES_tradnl"/>
        </w:rPr>
        <w:t>Análisis de Precios Unitarios</w:t>
      </w:r>
      <w:r>
        <w:rPr>
          <w:rFonts w:ascii="Arial" w:eastAsia="Calibri" w:hAnsi="Arial" w:cs="Arial"/>
          <w:lang w:val="es-ES_tradnl"/>
        </w:rPr>
        <w:t>, con el fin de que sean estudiadas. Es decir, a efectos de sus consultas, no se trata de una oportunidad dentro del procedimiento de selección para que la entidad estatal solicite algún tipo de información a los proponentes sobre la estructuración de la oferta y de los precios unitarios.</w:t>
      </w:r>
    </w:p>
    <w:p w14:paraId="5A82DD0F" w14:textId="77777777" w:rsidR="00734BD3" w:rsidRDefault="00734BD3" w:rsidP="00734BD3">
      <w:pPr>
        <w:spacing w:before="120" w:after="120" w:line="276" w:lineRule="auto"/>
        <w:jc w:val="both"/>
        <w:rPr>
          <w:rFonts w:ascii="Arial" w:eastAsia="Calibri" w:hAnsi="Arial" w:cs="Arial"/>
          <w:lang w:val="es-ES_tradnl"/>
        </w:rPr>
      </w:pPr>
      <w:r>
        <w:rPr>
          <w:rFonts w:ascii="Arial" w:eastAsia="Calibri" w:hAnsi="Arial" w:cs="Arial"/>
          <w:lang w:val="es-ES_tradnl"/>
        </w:rPr>
        <w:tab/>
        <w:t xml:space="preserve">A su turno, el numeral 8.1 del Documento Base de los documentos tipo de licitación de obra pública de infraestructura de transporte – Versión 3 regula lo relativo a la «información para el control de la ejecución de la obra» y, para efectos de sus consultas, se establece la obligación del contratista de presentar al interventor de obra dentro del término previsto por la entidad estatal algunos documentos, </w:t>
      </w:r>
      <w:r w:rsidRPr="001B1FC0">
        <w:rPr>
          <w:rFonts w:ascii="Arial" w:eastAsia="Calibri" w:hAnsi="Arial" w:cs="Arial"/>
          <w:lang w:val="es-ES_tradnl"/>
        </w:rPr>
        <w:t>diligenciados de conformidad con el pliego de condiciones</w:t>
      </w:r>
      <w:r>
        <w:rPr>
          <w:rFonts w:ascii="Arial" w:eastAsia="Calibri" w:hAnsi="Arial" w:cs="Arial"/>
          <w:lang w:val="es-ES_tradnl"/>
        </w:rPr>
        <w:t>, dentro de los cuales se encuentra «</w:t>
      </w:r>
      <w:r w:rsidRPr="001B1FC0">
        <w:rPr>
          <w:rFonts w:ascii="Arial" w:eastAsia="Calibri" w:hAnsi="Arial" w:cs="Arial"/>
          <w:lang w:val="es-ES_tradnl"/>
        </w:rPr>
        <w:t>3.</w:t>
      </w:r>
      <w:r>
        <w:rPr>
          <w:rFonts w:ascii="Arial" w:eastAsia="Calibri" w:hAnsi="Arial" w:cs="Arial"/>
          <w:lang w:val="es-ES_tradnl"/>
        </w:rPr>
        <w:t xml:space="preserve"> </w:t>
      </w:r>
      <w:r w:rsidRPr="001B1FC0">
        <w:rPr>
          <w:rFonts w:ascii="Arial" w:eastAsia="Calibri" w:hAnsi="Arial" w:cs="Arial"/>
          <w:lang w:val="es-ES_tradnl"/>
        </w:rPr>
        <w:t>Análisis de precios unitarios correspondientes a la propuesta económica</w:t>
      </w:r>
      <w:r>
        <w:rPr>
          <w:rFonts w:ascii="Arial" w:eastAsia="Calibri" w:hAnsi="Arial" w:cs="Arial"/>
          <w:lang w:val="es-ES_tradnl"/>
        </w:rPr>
        <w:t>». Se trata, en esta oportunidad, del análisis de precios efectuado, no por la entidad estatal, sino por el contratista en el momento de elaborar su propuesta económica. En estricto sentido, esta información es la contenida en la hoja número 2 del Formulario 1 de los documentos tipo, con fundamento en la cual se elabora la «Propuesta económica» del proponente.</w:t>
      </w:r>
    </w:p>
    <w:p w14:paraId="69675C97" w14:textId="77777777" w:rsidR="00734BD3" w:rsidRDefault="00734BD3" w:rsidP="00734BD3">
      <w:pPr>
        <w:spacing w:before="120" w:after="120" w:line="276" w:lineRule="auto"/>
        <w:jc w:val="both"/>
        <w:rPr>
          <w:rFonts w:ascii="Arial" w:eastAsia="Calibri" w:hAnsi="Arial" w:cs="Arial"/>
          <w:lang w:val="es-ES_tradnl"/>
        </w:rPr>
      </w:pPr>
      <w:r>
        <w:rPr>
          <w:rFonts w:ascii="Arial" w:eastAsia="Calibri" w:hAnsi="Arial" w:cs="Arial"/>
          <w:lang w:val="es-ES_tradnl"/>
        </w:rPr>
        <w:lastRenderedPageBreak/>
        <w:tab/>
        <w:t xml:space="preserve">De este modo, es en la propuesta económica del oferente en donde se encontrará reflejado el análisis de precios unitarios hecho por el mismo proponente –hoja número 2 del Formulario 1 de los documentos tipo–, el cual debe ser presentado con la propuesta y estructurado con base en el análisis de precios unitarios efectuado por la entidad, que son, en todo caso, según lo contenido en el numeral 4.1 del Documento Base, </w:t>
      </w:r>
      <w:r w:rsidRPr="00841097">
        <w:rPr>
          <w:rFonts w:ascii="Arial" w:eastAsia="Calibri" w:hAnsi="Arial" w:cs="Arial"/>
          <w:lang w:val="es-ES_tradnl"/>
        </w:rPr>
        <w:t>únicamente de referencia</w:t>
      </w:r>
      <w:r>
        <w:rPr>
          <w:rFonts w:ascii="Arial" w:eastAsia="Calibri" w:hAnsi="Arial" w:cs="Arial"/>
          <w:lang w:val="es-ES_tradnl"/>
        </w:rPr>
        <w:t xml:space="preserve"> y</w:t>
      </w:r>
      <w:r w:rsidRPr="00841097">
        <w:rPr>
          <w:rFonts w:ascii="Arial" w:eastAsia="Calibri" w:hAnsi="Arial" w:cs="Arial"/>
          <w:lang w:val="es-ES_tradnl"/>
        </w:rPr>
        <w:t xml:space="preserve"> constituye</w:t>
      </w:r>
      <w:r>
        <w:rPr>
          <w:rFonts w:ascii="Arial" w:eastAsia="Calibri" w:hAnsi="Arial" w:cs="Arial"/>
          <w:lang w:val="es-ES_tradnl"/>
        </w:rPr>
        <w:t>n</w:t>
      </w:r>
      <w:r w:rsidRPr="00841097">
        <w:rPr>
          <w:rFonts w:ascii="Arial" w:eastAsia="Calibri" w:hAnsi="Arial" w:cs="Arial"/>
          <w:lang w:val="es-ES_tradnl"/>
        </w:rPr>
        <w:t xml:space="preserve"> una guía para la preparación de la oferta.</w:t>
      </w:r>
    </w:p>
    <w:p w14:paraId="3D580C62" w14:textId="77777777" w:rsidR="00734BD3" w:rsidRDefault="00734BD3" w:rsidP="00734BD3">
      <w:pPr>
        <w:spacing w:before="120" w:line="276" w:lineRule="auto"/>
        <w:jc w:val="both"/>
        <w:rPr>
          <w:rFonts w:ascii="Arial" w:eastAsia="Calibri" w:hAnsi="Arial" w:cs="Arial"/>
          <w:lang w:val="es-ES_tradnl"/>
        </w:rPr>
      </w:pPr>
      <w:r>
        <w:rPr>
          <w:rFonts w:ascii="Arial" w:eastAsia="Calibri" w:hAnsi="Arial" w:cs="Arial"/>
          <w:lang w:val="es-ES_tradnl"/>
        </w:rPr>
        <w:tab/>
        <w:t>Distinta es la obligación que se deriva del numeral 8.1 del Documento base, que a efectos del control de la ejecución de la obra establece que el contratista debe presentar al interventor de la obra cierta información, dentro de la cual se encuentra el «a</w:t>
      </w:r>
      <w:r w:rsidRPr="001B1FC0">
        <w:rPr>
          <w:rFonts w:ascii="Arial" w:eastAsia="Calibri" w:hAnsi="Arial" w:cs="Arial"/>
          <w:lang w:val="es-ES_tradnl"/>
        </w:rPr>
        <w:t>nálisis de precios unitarios correspondientes a la propuesta económica</w:t>
      </w:r>
      <w:r>
        <w:rPr>
          <w:rFonts w:ascii="Arial" w:eastAsia="Calibri" w:hAnsi="Arial" w:cs="Arial"/>
          <w:lang w:val="es-ES_tradnl"/>
        </w:rPr>
        <w:t xml:space="preserve">», es decir, la información que fue objeto de análisis por parte de la entidad para evaluar la propuesta, que corresponde a aquella información contenida en la hoja número 2 del Formulario 1 de los documentos tipo, con fundamento en la cual se elabora la oferta económica. </w:t>
      </w:r>
    </w:p>
    <w:p w14:paraId="75DFEB48" w14:textId="77777777" w:rsidR="00734BD3" w:rsidRDefault="00734BD3" w:rsidP="00734BD3">
      <w:pPr>
        <w:spacing w:before="120" w:after="0" w:line="276" w:lineRule="auto"/>
        <w:ind w:firstLine="709"/>
        <w:jc w:val="both"/>
        <w:rPr>
          <w:rFonts w:ascii="Arial" w:eastAsia="Calibri" w:hAnsi="Arial" w:cs="Arial"/>
          <w:lang w:val="es-ES_tradnl"/>
        </w:rPr>
      </w:pPr>
      <w:r>
        <w:rPr>
          <w:rFonts w:ascii="Arial" w:eastAsia="Calibri" w:hAnsi="Arial" w:cs="Arial"/>
          <w:lang w:val="es-ES_tradnl"/>
        </w:rPr>
        <w:t xml:space="preserve">De conformidad con el contexto anterior, para el momento de presentación de las propuestas, atendiendo a las reglas establecidas en los documentos tipo, los oferentes deben cumplir con la presentación de sus propuestas económicas, para lo que bastará con presentar el Sobre 2, el cual debe contener la oferta económica.  </w:t>
      </w:r>
    </w:p>
    <w:p w14:paraId="2A5227A3" w14:textId="77777777" w:rsidR="00734BD3" w:rsidRDefault="00734BD3" w:rsidP="00734BD3">
      <w:pPr>
        <w:spacing w:before="120" w:after="0" w:line="276" w:lineRule="auto"/>
        <w:ind w:firstLine="709"/>
        <w:jc w:val="both"/>
        <w:rPr>
          <w:rFonts w:ascii="Arial" w:eastAsia="Calibri" w:hAnsi="Arial" w:cs="Arial"/>
          <w:lang w:val="es-ES_tradnl"/>
        </w:rPr>
      </w:pPr>
    </w:p>
    <w:p w14:paraId="2CC76312" w14:textId="77777777" w:rsidR="00734BD3" w:rsidRPr="00C97770" w:rsidRDefault="00734BD3" w:rsidP="00734BD3">
      <w:pPr>
        <w:pStyle w:val="NormalWeb"/>
        <w:numPr>
          <w:ilvl w:val="0"/>
          <w:numId w:val="3"/>
        </w:numPr>
        <w:spacing w:line="240" w:lineRule="auto"/>
        <w:ind w:right="709"/>
        <w:jc w:val="both"/>
        <w:rPr>
          <w:rFonts w:ascii="Arial" w:hAnsi="Arial" w:cs="Arial"/>
          <w:sz w:val="21"/>
          <w:szCs w:val="21"/>
          <w:vertAlign w:val="subscript"/>
        </w:rPr>
      </w:pPr>
      <w:r w:rsidRPr="00433397">
        <w:rPr>
          <w:rFonts w:ascii="Arial" w:hAnsi="Arial" w:cs="Arial"/>
          <w:sz w:val="21"/>
          <w:szCs w:val="21"/>
        </w:rPr>
        <w:t>¿Es pertinente que la entidad solicite las HOJAS DE VIDA y los soportes que acrediten la capacidad, experiencia e idoneidad del personal mínimo establecido en el Anexo Técnico 1, al momento de la presentación de la oferta, constituyéndose como un requisito habilitante, aclarando que tal exigencia predica solamente del personal MINIMO?</w:t>
      </w:r>
    </w:p>
    <w:p w14:paraId="78306E9F" w14:textId="77777777" w:rsidR="00734BD3" w:rsidRDefault="00734BD3" w:rsidP="00734BD3">
      <w:pPr>
        <w:spacing w:before="120" w:line="276" w:lineRule="auto"/>
        <w:jc w:val="both"/>
        <w:rPr>
          <w:rFonts w:ascii="Arial" w:eastAsia="Calibri" w:hAnsi="Arial" w:cs="Arial"/>
          <w:lang w:val="es-ES_tradnl"/>
        </w:rPr>
      </w:pPr>
      <w:r>
        <w:rPr>
          <w:rFonts w:ascii="Arial" w:eastAsia="Calibri" w:hAnsi="Arial" w:cs="Arial"/>
          <w:lang w:val="es-ES_tradnl"/>
        </w:rPr>
        <w:t xml:space="preserve">En relación con el personal profesional que puede exigirse, tal como lo relaciona en su pregunta, el </w:t>
      </w:r>
      <w:r w:rsidRPr="001678C1">
        <w:rPr>
          <w:rFonts w:ascii="Arial" w:eastAsia="Calibri" w:hAnsi="Arial" w:cs="Arial"/>
          <w:lang w:val="es-ES_tradnl"/>
        </w:rPr>
        <w:t>Anexo 1</w:t>
      </w:r>
      <w:r>
        <w:rPr>
          <w:rFonts w:ascii="Arial" w:eastAsia="Calibri" w:hAnsi="Arial" w:cs="Arial"/>
          <w:lang w:val="es-ES_tradnl"/>
        </w:rPr>
        <w:t xml:space="preserve"> –</w:t>
      </w:r>
      <w:r w:rsidRPr="001678C1">
        <w:rPr>
          <w:rFonts w:ascii="Arial" w:eastAsia="Calibri" w:hAnsi="Arial" w:cs="Arial"/>
          <w:lang w:val="es-ES_tradnl"/>
        </w:rPr>
        <w:t xml:space="preserve"> Anexo Técnico </w:t>
      </w:r>
      <w:r>
        <w:rPr>
          <w:rFonts w:ascii="Arial" w:eastAsia="Calibri" w:hAnsi="Arial" w:cs="Arial"/>
          <w:lang w:val="es-ES_tradnl"/>
        </w:rPr>
        <w:t>de los documentos tipo de licitación de obra pública de infraestructura de transporte – Versión 3 prevé dos reglas claras e indisponibles, en virtud de la regla de inalterabilidad. En efecto, en el numeral 7 «</w:t>
      </w:r>
      <w:r w:rsidRPr="00DC23C0">
        <w:rPr>
          <w:rFonts w:ascii="Arial" w:eastAsia="Calibri" w:hAnsi="Arial" w:cs="Arial"/>
          <w:lang w:val="es-ES_tradnl"/>
        </w:rPr>
        <w:t>Información sobre el personal profesional</w:t>
      </w:r>
      <w:r>
        <w:rPr>
          <w:rFonts w:ascii="Arial" w:eastAsia="Calibri" w:hAnsi="Arial" w:cs="Arial"/>
          <w:lang w:val="es-ES_tradnl"/>
        </w:rPr>
        <w:t>» se establece:</w:t>
      </w:r>
    </w:p>
    <w:p w14:paraId="7510B5BB" w14:textId="77777777" w:rsidR="00734BD3" w:rsidRPr="00DC23C0" w:rsidRDefault="00734BD3" w:rsidP="00734BD3">
      <w:pPr>
        <w:spacing w:before="120" w:after="120" w:line="240" w:lineRule="auto"/>
        <w:ind w:left="709" w:right="902"/>
        <w:jc w:val="both"/>
        <w:rPr>
          <w:rFonts w:ascii="Arial" w:eastAsia="Calibri" w:hAnsi="Arial" w:cs="Arial"/>
          <w:sz w:val="21"/>
          <w:szCs w:val="21"/>
          <w:lang w:val="es-ES_tradnl"/>
        </w:rPr>
      </w:pPr>
      <w:r w:rsidRPr="00DC23C0">
        <w:rPr>
          <w:rFonts w:ascii="Arial" w:eastAsia="Calibri" w:hAnsi="Arial" w:cs="Arial"/>
          <w:sz w:val="21"/>
          <w:szCs w:val="21"/>
          <w:lang w:val="es-ES_tradnl"/>
        </w:rPr>
        <w:t xml:space="preserve">a. Las hojas de vida y soportes del personal vinculado al proyecto serán verificadas una vez se adjudique el contrato y no podrán ser pedidas durante la selección del contratista para efectos de otorgar puntaje o como criterio habilitante. </w:t>
      </w:r>
    </w:p>
    <w:p w14:paraId="1D18BD66" w14:textId="77777777" w:rsidR="00734BD3" w:rsidRDefault="00734BD3" w:rsidP="00734BD3">
      <w:pPr>
        <w:spacing w:before="120" w:after="120" w:line="240" w:lineRule="auto"/>
        <w:ind w:left="709" w:right="902"/>
        <w:jc w:val="both"/>
        <w:rPr>
          <w:rFonts w:ascii="Arial" w:eastAsia="Calibri" w:hAnsi="Arial" w:cs="Arial"/>
          <w:lang w:val="es-ES_tradnl"/>
        </w:rPr>
      </w:pPr>
      <w:r w:rsidRPr="00DC23C0">
        <w:rPr>
          <w:rFonts w:ascii="Arial" w:eastAsia="Calibri" w:hAnsi="Arial" w:cs="Arial"/>
          <w:sz w:val="21"/>
          <w:szCs w:val="21"/>
          <w:lang w:val="es-ES_tradnl"/>
        </w:rPr>
        <w:t>b. Si el contratista ofrece dos (2) o más profesionales para realizar actividades de un mismo cargo, cada uno de ellos deberá cumplir los requisitos exigidos en los pliegos de condiciones para el respectivo cargo. Un mismo profesional no puede ser ofrecido para dos o más cargos diferentes.</w:t>
      </w:r>
    </w:p>
    <w:p w14:paraId="5926AC46" w14:textId="77777777" w:rsidR="00734BD3" w:rsidRDefault="00734BD3" w:rsidP="00734BD3">
      <w:pPr>
        <w:spacing w:before="120" w:line="276" w:lineRule="auto"/>
        <w:ind w:firstLine="708"/>
        <w:jc w:val="both"/>
        <w:rPr>
          <w:rFonts w:ascii="Arial" w:eastAsia="Calibri" w:hAnsi="Arial" w:cs="Arial"/>
          <w:lang w:val="es-ES_tradnl"/>
        </w:rPr>
      </w:pPr>
      <w:r>
        <w:rPr>
          <w:rFonts w:ascii="Arial" w:eastAsia="Calibri" w:hAnsi="Arial" w:cs="Arial"/>
          <w:lang w:val="es-ES_tradnl"/>
        </w:rPr>
        <w:t xml:space="preserve">Teniendo en cuenta lo anterior, en virtud de las reglas contenidas en el </w:t>
      </w:r>
      <w:r w:rsidRPr="001678C1">
        <w:rPr>
          <w:rFonts w:ascii="Arial" w:eastAsia="Calibri" w:hAnsi="Arial" w:cs="Arial"/>
          <w:lang w:val="es-ES_tradnl"/>
        </w:rPr>
        <w:t>Anexo 1</w:t>
      </w:r>
      <w:r>
        <w:rPr>
          <w:rFonts w:ascii="Arial" w:eastAsia="Calibri" w:hAnsi="Arial" w:cs="Arial"/>
          <w:lang w:val="es-ES_tradnl"/>
        </w:rPr>
        <w:t xml:space="preserve"> –</w:t>
      </w:r>
      <w:r w:rsidRPr="001678C1">
        <w:rPr>
          <w:rFonts w:ascii="Arial" w:eastAsia="Calibri" w:hAnsi="Arial" w:cs="Arial"/>
          <w:lang w:val="es-ES_tradnl"/>
        </w:rPr>
        <w:t xml:space="preserve"> Anexo Técnico</w:t>
      </w:r>
      <w:r>
        <w:rPr>
          <w:rFonts w:ascii="Arial" w:eastAsia="Calibri" w:hAnsi="Arial" w:cs="Arial"/>
          <w:lang w:val="es-ES_tradnl"/>
        </w:rPr>
        <w:t xml:space="preserve">, las hojas de vida y los soportes del personal vinculado al proyecto no pueden ser previstos como requisitos habilitantes o ponderables y solo serán verificados con posterioridad a la adjudicación del contrato. Lo anterior, además es concordante con lo señalado en el numeral 8.1 del documento base donde se establece que el contratista </w:t>
      </w:r>
      <w:r w:rsidRPr="00471EB4">
        <w:rPr>
          <w:rFonts w:ascii="Arial" w:eastAsia="Calibri" w:hAnsi="Arial" w:cs="Arial"/>
          <w:color w:val="000000"/>
          <w:lang w:val="es-ES_tradnl"/>
        </w:rPr>
        <w:t xml:space="preserve">dentro de la «información para el control de la ejecución de la obra» que deberá entregar al </w:t>
      </w:r>
      <w:r w:rsidRPr="00471EB4">
        <w:rPr>
          <w:rFonts w:ascii="Arial" w:eastAsia="Calibri" w:hAnsi="Arial" w:cs="Arial"/>
          <w:color w:val="000000"/>
          <w:lang w:val="es-ES_tradnl"/>
        </w:rPr>
        <w:lastRenderedPageBreak/>
        <w:t>interventor se encuentra, entre otra, las hojas de vida del personal profesional. En conclusión, los mismos documentos tipo establecen la imposibilidad de exigir las hojas de vida y soportes del personal vinculado al proyecto como requisito habilitante o de asignación de puntaje.</w:t>
      </w:r>
    </w:p>
    <w:p w14:paraId="3BABD870" w14:textId="77777777" w:rsidR="00734BD3" w:rsidRDefault="00734BD3" w:rsidP="00734BD3">
      <w:pPr>
        <w:pStyle w:val="Sinespaciado"/>
        <w:spacing w:before="120" w:after="120" w:line="276" w:lineRule="auto"/>
        <w:jc w:val="both"/>
        <w:rPr>
          <w:rFonts w:ascii="Arial" w:hAnsi="Arial" w:cs="Arial"/>
          <w:sz w:val="21"/>
          <w:szCs w:val="21"/>
        </w:rPr>
      </w:pPr>
    </w:p>
    <w:p w14:paraId="4A9B26D0" w14:textId="77777777" w:rsidR="00734BD3" w:rsidRPr="004212E5" w:rsidRDefault="00734BD3" w:rsidP="00734BD3">
      <w:pPr>
        <w:spacing w:after="0" w:line="276" w:lineRule="auto"/>
        <w:jc w:val="both"/>
        <w:rPr>
          <w:rFonts w:ascii="Arial" w:eastAsia="Calibri" w:hAnsi="Arial" w:cs="Arial"/>
          <w:color w:val="000000"/>
          <w:lang w:val="es-ES_tradnl"/>
        </w:rPr>
      </w:pPr>
      <w:r w:rsidRPr="004212E5">
        <w:rPr>
          <w:rFonts w:ascii="Arial" w:eastAsia="Calibri" w:hAnsi="Arial" w:cs="Arial"/>
          <w:color w:val="000000"/>
          <w:lang w:val="es-ES_tradnl"/>
        </w:rPr>
        <w:t>Este concepto tiene el alcance previsto en el artículo 28 del Código de Procedimiento Administrativo y de lo Contencioso Administrativo.</w:t>
      </w:r>
    </w:p>
    <w:p w14:paraId="3D2CE982" w14:textId="77777777" w:rsidR="00734BD3" w:rsidRPr="004212E5" w:rsidRDefault="00734BD3" w:rsidP="00734BD3">
      <w:pPr>
        <w:spacing w:after="0" w:line="276" w:lineRule="auto"/>
        <w:jc w:val="both"/>
        <w:rPr>
          <w:rFonts w:ascii="Arial" w:eastAsia="Times New Roman" w:hAnsi="Arial" w:cs="Arial"/>
          <w:color w:val="000000"/>
          <w:lang w:val="es-ES_tradnl" w:eastAsia="es-CO"/>
        </w:rPr>
      </w:pPr>
    </w:p>
    <w:p w14:paraId="7F06E1EF" w14:textId="77777777" w:rsidR="00734BD3" w:rsidRPr="004212E5" w:rsidRDefault="00734BD3" w:rsidP="00734BD3">
      <w:pPr>
        <w:spacing w:after="0" w:line="276" w:lineRule="auto"/>
        <w:jc w:val="both"/>
        <w:rPr>
          <w:rFonts w:ascii="Arial" w:eastAsia="Times New Roman" w:hAnsi="Arial" w:cs="Arial"/>
          <w:color w:val="000000"/>
          <w:lang w:val="es-ES_tradnl" w:eastAsia="es-CO"/>
        </w:rPr>
      </w:pPr>
    </w:p>
    <w:p w14:paraId="4616997E" w14:textId="77777777" w:rsidR="00734BD3" w:rsidRPr="004212E5" w:rsidRDefault="00734BD3" w:rsidP="00734BD3">
      <w:pPr>
        <w:spacing w:after="0" w:line="276" w:lineRule="auto"/>
        <w:jc w:val="both"/>
        <w:rPr>
          <w:rFonts w:ascii="Arial" w:eastAsia="Times New Roman" w:hAnsi="Arial" w:cs="Arial"/>
          <w:color w:val="000000"/>
          <w:lang w:val="es-ES_tradnl" w:eastAsia="es-CO"/>
        </w:rPr>
      </w:pPr>
      <w:r w:rsidRPr="004212E5">
        <w:rPr>
          <w:rFonts w:ascii="Arial" w:eastAsia="Times New Roman" w:hAnsi="Arial" w:cs="Arial"/>
          <w:color w:val="000000"/>
          <w:lang w:val="es-ES_tradnl" w:eastAsia="es-CO"/>
        </w:rPr>
        <w:t>Atentamente,</w:t>
      </w:r>
    </w:p>
    <w:p w14:paraId="6C0B406D" w14:textId="77777777" w:rsidR="00734BD3" w:rsidRPr="004212E5" w:rsidRDefault="00734BD3" w:rsidP="00734BD3">
      <w:pPr>
        <w:spacing w:after="0" w:line="276" w:lineRule="auto"/>
        <w:jc w:val="center"/>
        <w:rPr>
          <w:rFonts w:ascii="Arial" w:eastAsia="Times New Roman" w:hAnsi="Arial" w:cs="Arial"/>
          <w:color w:val="000000"/>
          <w:lang w:val="es-ES_tradnl" w:eastAsia="es-CO"/>
        </w:rPr>
      </w:pPr>
      <w:r>
        <w:rPr>
          <w:noProof/>
        </w:rPr>
        <w:drawing>
          <wp:inline distT="0" distB="0" distL="0" distR="0" wp14:anchorId="2BB37D7A" wp14:editId="1FE18132">
            <wp:extent cx="2534004" cy="981212"/>
            <wp:effectExtent l="0" t="0" r="0" b="9525"/>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1"/>
                    <a:stretch>
                      <a:fillRect/>
                    </a:stretch>
                  </pic:blipFill>
                  <pic:spPr>
                    <a:xfrm>
                      <a:off x="0" y="0"/>
                      <a:ext cx="2534004" cy="981212"/>
                    </a:xfrm>
                    <a:prstGeom prst="rect">
                      <a:avLst/>
                    </a:prstGeom>
                  </pic:spPr>
                </pic:pic>
              </a:graphicData>
            </a:graphic>
          </wp:inline>
        </w:drawing>
      </w:r>
    </w:p>
    <w:p w14:paraId="06B384A5" w14:textId="77777777" w:rsidR="00734BD3" w:rsidRPr="004212E5" w:rsidRDefault="00734BD3" w:rsidP="00734BD3">
      <w:pPr>
        <w:spacing w:after="0" w:line="240" w:lineRule="auto"/>
        <w:rPr>
          <w:rFonts w:ascii="Arial" w:eastAsia="Calibri" w:hAnsi="Arial" w:cs="Arial"/>
          <w:color w:val="000000"/>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34BD3" w:rsidRPr="00530937" w14:paraId="4B0F0EF7" w14:textId="77777777" w:rsidTr="00B53228">
        <w:trPr>
          <w:trHeight w:val="315"/>
        </w:trPr>
        <w:tc>
          <w:tcPr>
            <w:tcW w:w="812" w:type="dxa"/>
            <w:vAlign w:val="center"/>
          </w:tcPr>
          <w:p w14:paraId="2FF468E9" w14:textId="77777777" w:rsidR="00734BD3" w:rsidRPr="00FD2DFE" w:rsidRDefault="00734BD3" w:rsidP="00446CFC">
            <w:pPr>
              <w:spacing w:line="240" w:lineRule="auto"/>
              <w:rPr>
                <w:rFonts w:ascii="Arial" w:eastAsia="Times New Roman" w:hAnsi="Arial" w:cs="Arial"/>
                <w:sz w:val="16"/>
                <w:szCs w:val="16"/>
                <w:lang w:eastAsia="es-ES"/>
              </w:rPr>
            </w:pPr>
            <w:r w:rsidRPr="00FD2DFE">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4E698A9C" w14:textId="77777777" w:rsidR="00734BD3" w:rsidRPr="00FD2DFE" w:rsidRDefault="00734BD3" w:rsidP="00446CFC">
            <w:pPr>
              <w:spacing w:line="240" w:lineRule="auto"/>
              <w:rPr>
                <w:rFonts w:ascii="Arial" w:eastAsia="Times New Roman" w:hAnsi="Arial" w:cs="Arial"/>
                <w:sz w:val="16"/>
                <w:szCs w:val="16"/>
                <w:lang w:eastAsia="es-ES"/>
              </w:rPr>
            </w:pPr>
            <w:r w:rsidRPr="00FD2DFE">
              <w:rPr>
                <w:rFonts w:ascii="Arial" w:eastAsia="Times New Roman" w:hAnsi="Arial" w:cs="Arial"/>
                <w:sz w:val="16"/>
                <w:szCs w:val="16"/>
                <w:lang w:eastAsia="es-ES"/>
              </w:rPr>
              <w:t xml:space="preserve">Camilo Perdomo Villamil </w:t>
            </w:r>
          </w:p>
          <w:p w14:paraId="41F765F4" w14:textId="77777777" w:rsidR="00734BD3" w:rsidRPr="00FD2DFE" w:rsidRDefault="00734BD3" w:rsidP="00446CFC">
            <w:pPr>
              <w:spacing w:line="240" w:lineRule="auto"/>
              <w:rPr>
                <w:rFonts w:ascii="Arial" w:eastAsia="Times New Roman" w:hAnsi="Arial" w:cs="Arial"/>
                <w:sz w:val="16"/>
                <w:szCs w:val="16"/>
                <w:lang w:eastAsia="es-ES"/>
              </w:rPr>
            </w:pPr>
            <w:r w:rsidRPr="00FD2DFE">
              <w:rPr>
                <w:rFonts w:ascii="Arial" w:eastAsia="Times New Roman" w:hAnsi="Arial" w:cs="Arial"/>
                <w:sz w:val="16"/>
                <w:szCs w:val="16"/>
                <w:lang w:eastAsia="es-ES"/>
              </w:rPr>
              <w:t xml:space="preserve">Contratista de la Subdirección de Gestión Contractual  </w:t>
            </w:r>
          </w:p>
        </w:tc>
      </w:tr>
      <w:tr w:rsidR="00734BD3" w:rsidRPr="00530937" w14:paraId="5DABBC7E" w14:textId="77777777" w:rsidTr="00B53228">
        <w:trPr>
          <w:trHeight w:val="330"/>
        </w:trPr>
        <w:tc>
          <w:tcPr>
            <w:tcW w:w="812" w:type="dxa"/>
            <w:vAlign w:val="center"/>
          </w:tcPr>
          <w:p w14:paraId="1BBE04F5" w14:textId="77777777" w:rsidR="00734BD3" w:rsidRPr="00FD2DFE" w:rsidRDefault="00734BD3" w:rsidP="00446CFC">
            <w:pPr>
              <w:spacing w:line="240" w:lineRule="auto"/>
              <w:rPr>
                <w:rFonts w:ascii="Arial" w:eastAsia="Times New Roman" w:hAnsi="Arial" w:cs="Arial"/>
                <w:sz w:val="16"/>
                <w:szCs w:val="16"/>
                <w:lang w:eastAsia="es-ES"/>
              </w:rPr>
            </w:pPr>
            <w:r w:rsidRPr="00FD2DFE">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63D0DBB5" w14:textId="77777777" w:rsidR="00734BD3" w:rsidRPr="00FD2DFE" w:rsidRDefault="00734BD3" w:rsidP="00446CFC">
            <w:pPr>
              <w:spacing w:line="240" w:lineRule="auto"/>
              <w:rPr>
                <w:rFonts w:ascii="Arial" w:hAnsi="Arial" w:cs="Arial"/>
                <w:sz w:val="16"/>
                <w:szCs w:val="16"/>
                <w:lang w:eastAsia="es-ES"/>
              </w:rPr>
            </w:pPr>
            <w:r>
              <w:rPr>
                <w:rFonts w:ascii="Arial" w:hAnsi="Arial" w:cs="Arial"/>
                <w:sz w:val="16"/>
                <w:szCs w:val="16"/>
                <w:lang w:eastAsia="es-ES"/>
              </w:rPr>
              <w:t>Sebastián Ramírez Grisales</w:t>
            </w:r>
          </w:p>
          <w:p w14:paraId="5E898B24" w14:textId="77777777" w:rsidR="00734BD3" w:rsidRPr="00FD2DFE" w:rsidRDefault="00734BD3" w:rsidP="00446CFC">
            <w:pPr>
              <w:spacing w:line="240" w:lineRule="auto"/>
              <w:rPr>
                <w:rFonts w:ascii="Arial" w:eastAsia="Times New Roman" w:hAnsi="Arial" w:cs="Arial"/>
                <w:sz w:val="16"/>
                <w:szCs w:val="16"/>
                <w:lang w:eastAsia="es-ES"/>
              </w:rPr>
            </w:pPr>
            <w:r>
              <w:rPr>
                <w:rFonts w:ascii="Arial" w:hAnsi="Arial" w:cs="Arial"/>
                <w:sz w:val="16"/>
                <w:szCs w:val="16"/>
                <w:lang w:eastAsia="es-ES"/>
              </w:rPr>
              <w:t>Contratista</w:t>
            </w:r>
            <w:r w:rsidRPr="00FD2DFE">
              <w:rPr>
                <w:rFonts w:ascii="Arial" w:hAnsi="Arial" w:cs="Arial"/>
                <w:sz w:val="16"/>
                <w:szCs w:val="16"/>
                <w:lang w:eastAsia="es-ES"/>
              </w:rPr>
              <w:t xml:space="preserve"> de la Subdirección de Gestión Contractual</w:t>
            </w:r>
          </w:p>
        </w:tc>
      </w:tr>
      <w:tr w:rsidR="00734BD3" w:rsidRPr="00530937" w14:paraId="6FE3EC8A" w14:textId="77777777" w:rsidTr="00B53228">
        <w:trPr>
          <w:trHeight w:val="300"/>
        </w:trPr>
        <w:tc>
          <w:tcPr>
            <w:tcW w:w="812" w:type="dxa"/>
            <w:vAlign w:val="center"/>
          </w:tcPr>
          <w:p w14:paraId="206B1481" w14:textId="77777777" w:rsidR="00734BD3" w:rsidRPr="00FD2DFE" w:rsidRDefault="00734BD3" w:rsidP="00446CFC">
            <w:pPr>
              <w:spacing w:line="240" w:lineRule="auto"/>
              <w:rPr>
                <w:rFonts w:ascii="Arial" w:eastAsia="Times New Roman" w:hAnsi="Arial" w:cs="Arial"/>
                <w:sz w:val="16"/>
                <w:szCs w:val="16"/>
                <w:lang w:eastAsia="es-ES"/>
              </w:rPr>
            </w:pPr>
            <w:r w:rsidRPr="00FD2DFE">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46FE4D76" w14:textId="77777777" w:rsidR="00734BD3" w:rsidRPr="00530937" w:rsidRDefault="00734BD3" w:rsidP="00446CFC">
            <w:pPr>
              <w:spacing w:line="240" w:lineRule="auto"/>
              <w:rPr>
                <w:rFonts w:ascii="Arial" w:eastAsia="Calibri" w:hAnsi="Arial" w:cs="Arial"/>
                <w:sz w:val="16"/>
                <w:szCs w:val="16"/>
                <w:lang w:val="pt-BR" w:eastAsia="es-ES"/>
              </w:rPr>
            </w:pPr>
            <w:r w:rsidRPr="00530937">
              <w:rPr>
                <w:rFonts w:ascii="Arial" w:eastAsia="Calibri" w:hAnsi="Arial" w:cs="Arial"/>
                <w:sz w:val="16"/>
                <w:szCs w:val="16"/>
                <w:lang w:val="pt-BR" w:eastAsia="es-ES"/>
              </w:rPr>
              <w:t>Juan David Marín López</w:t>
            </w:r>
          </w:p>
          <w:p w14:paraId="24EE9557" w14:textId="77777777" w:rsidR="00734BD3" w:rsidRPr="00FD2DFE" w:rsidRDefault="00734BD3" w:rsidP="00446CFC">
            <w:pPr>
              <w:spacing w:line="240" w:lineRule="auto"/>
              <w:rPr>
                <w:rFonts w:ascii="Arial" w:eastAsia="Times New Roman" w:hAnsi="Arial" w:cs="Arial"/>
                <w:sz w:val="16"/>
                <w:szCs w:val="16"/>
                <w:lang w:eastAsia="es-ES"/>
              </w:rPr>
            </w:pPr>
            <w:r w:rsidRPr="00530937">
              <w:rPr>
                <w:rFonts w:ascii="Arial" w:eastAsia="Calibri" w:hAnsi="Arial" w:cs="Arial"/>
                <w:sz w:val="16"/>
                <w:szCs w:val="16"/>
                <w:lang w:eastAsia="es-ES"/>
              </w:rPr>
              <w:t xml:space="preserve">Subdirector de Gestión Contractual </w:t>
            </w:r>
            <w:r w:rsidRPr="00530937">
              <w:rPr>
                <w:rFonts w:ascii="Arial" w:eastAsia="Calibri" w:hAnsi="Arial" w:cs="Arial"/>
                <w:sz w:val="16"/>
                <w:szCs w:val="16"/>
                <w:lang w:val="pt-BR" w:eastAsia="es-ES"/>
              </w:rPr>
              <w:t>(E)</w:t>
            </w:r>
          </w:p>
        </w:tc>
      </w:tr>
    </w:tbl>
    <w:p w14:paraId="15F66458" w14:textId="77777777" w:rsidR="00734BD3" w:rsidRPr="003443CF" w:rsidRDefault="00734BD3" w:rsidP="00734BD3">
      <w:pPr>
        <w:jc w:val="center"/>
        <w:rPr>
          <w:rFonts w:ascii="Arial" w:hAnsi="Arial" w:cs="Arial"/>
          <w:sz w:val="18"/>
          <w:szCs w:val="20"/>
          <w:lang w:eastAsia="es-CO"/>
        </w:rPr>
      </w:pPr>
      <w:bookmarkStart w:id="7" w:name="_Hlk107478123"/>
    </w:p>
    <w:bookmarkEnd w:id="7"/>
    <w:p w14:paraId="28744156" w14:textId="77777777" w:rsidR="00734BD3" w:rsidRPr="004212E5" w:rsidRDefault="00734BD3" w:rsidP="00734BD3">
      <w:pPr>
        <w:spacing w:after="0" w:line="240" w:lineRule="auto"/>
        <w:rPr>
          <w:rFonts w:ascii="Arial" w:eastAsia="Calibri" w:hAnsi="Arial" w:cs="Arial"/>
          <w:sz w:val="16"/>
          <w:szCs w:val="16"/>
          <w:lang w:val="pt-BR" w:eastAsia="es-ES"/>
        </w:rPr>
      </w:pPr>
    </w:p>
    <w:p w14:paraId="0EFB5105" w14:textId="77777777" w:rsidR="00734BD3" w:rsidRDefault="00734BD3" w:rsidP="00734BD3"/>
    <w:p w14:paraId="153C382F" w14:textId="77777777" w:rsidR="00734BD3" w:rsidRDefault="00734BD3"/>
    <w:sectPr w:rsidR="00734BD3">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F30B" w14:textId="77777777" w:rsidR="00E55748" w:rsidRDefault="00E55748" w:rsidP="00734BD3">
      <w:pPr>
        <w:spacing w:after="0" w:line="240" w:lineRule="auto"/>
      </w:pPr>
      <w:r>
        <w:separator/>
      </w:r>
    </w:p>
  </w:endnote>
  <w:endnote w:type="continuationSeparator" w:id="0">
    <w:p w14:paraId="4BD8FCFB" w14:textId="77777777" w:rsidR="00E55748" w:rsidRDefault="00E55748" w:rsidP="0073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ED16" w14:textId="77777777" w:rsidR="002A74DC" w:rsidRPr="008217B7" w:rsidRDefault="00000000" w:rsidP="002A74D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20</w:t>
    </w:r>
    <w:r w:rsidRPr="00084B97">
      <w:rPr>
        <w:rFonts w:ascii="Arial" w:hAnsi="Arial" w:cs="Arial"/>
        <w:b/>
        <w:bCs/>
        <w:color w:val="7F7F7F" w:themeColor="text1" w:themeTint="80"/>
        <w:sz w:val="16"/>
        <w:szCs w:val="16"/>
      </w:rPr>
      <w:fldChar w:fldCharType="end"/>
    </w:r>
  </w:p>
  <w:p w14:paraId="6E823E4E" w14:textId="77777777" w:rsidR="002A74DC" w:rsidRDefault="00000000" w:rsidP="002A74DC">
    <w:pPr>
      <w:pStyle w:val="Piedepgina"/>
      <w:jc w:val="center"/>
      <w:rPr>
        <w:lang w:val="es-ES"/>
      </w:rPr>
    </w:pPr>
    <w:r>
      <w:rPr>
        <w:noProof/>
        <w:lang w:val="en-US"/>
      </w:rPr>
      <w:drawing>
        <wp:inline distT="0" distB="0" distL="0" distR="0" wp14:anchorId="3CF1D3E7" wp14:editId="245B0821">
          <wp:extent cx="3700130" cy="51913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5637" w14:textId="77777777" w:rsidR="00E55748" w:rsidRDefault="00E55748" w:rsidP="00734BD3">
      <w:pPr>
        <w:spacing w:after="0" w:line="240" w:lineRule="auto"/>
      </w:pPr>
      <w:r>
        <w:separator/>
      </w:r>
    </w:p>
  </w:footnote>
  <w:footnote w:type="continuationSeparator" w:id="0">
    <w:p w14:paraId="0019C45F" w14:textId="77777777" w:rsidR="00E55748" w:rsidRDefault="00E55748" w:rsidP="00734BD3">
      <w:pPr>
        <w:spacing w:after="0" w:line="240" w:lineRule="auto"/>
      </w:pPr>
      <w:r>
        <w:continuationSeparator/>
      </w:r>
    </w:p>
  </w:footnote>
  <w:footnote w:id="1">
    <w:p w14:paraId="292626C5" w14:textId="77777777" w:rsidR="00734BD3" w:rsidRPr="00E74C09" w:rsidRDefault="00734BD3" w:rsidP="00734BD3">
      <w:pPr>
        <w:pStyle w:val="Textonotapie"/>
        <w:ind w:firstLine="709"/>
        <w:jc w:val="both"/>
        <w:rPr>
          <w:rFonts w:ascii="Arial" w:hAnsi="Arial" w:cs="Arial"/>
          <w:sz w:val="19"/>
          <w:szCs w:val="19"/>
          <w:lang w:val="es-CO"/>
        </w:rPr>
      </w:pPr>
      <w:r w:rsidRPr="00E74C09">
        <w:rPr>
          <w:rStyle w:val="Refdenotaalpie"/>
          <w:rFonts w:ascii="Arial" w:hAnsi="Arial" w:cs="Arial"/>
          <w:sz w:val="19"/>
          <w:szCs w:val="19"/>
        </w:rPr>
        <w:footnoteRef/>
      </w:r>
      <w:r w:rsidRPr="00E74C09">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
    <w:p w14:paraId="37AA119C" w14:textId="77777777" w:rsidR="00734BD3" w:rsidRPr="00E74C09" w:rsidRDefault="00734BD3" w:rsidP="00734BD3">
      <w:pPr>
        <w:pStyle w:val="Textonotapie"/>
        <w:ind w:firstLine="709"/>
        <w:jc w:val="both"/>
        <w:rPr>
          <w:rFonts w:ascii="Arial" w:hAnsi="Arial" w:cs="Arial"/>
          <w:sz w:val="19"/>
          <w:szCs w:val="19"/>
        </w:rPr>
      </w:pPr>
      <w:r w:rsidRPr="00E74C09">
        <w:rPr>
          <w:rStyle w:val="Refdenotaalpie"/>
          <w:rFonts w:ascii="Arial" w:hAnsi="Arial" w:cs="Arial"/>
          <w:sz w:val="19"/>
          <w:szCs w:val="19"/>
        </w:rPr>
        <w:footnoteRef/>
      </w:r>
      <w:r w:rsidRPr="00E74C09">
        <w:rPr>
          <w:rFonts w:ascii="Arial" w:hAnsi="Arial" w:cs="Arial"/>
          <w:sz w:val="19"/>
          <w:szCs w:val="19"/>
        </w:rPr>
        <w:t xml:space="preserve"> </w:t>
      </w:r>
      <w:r w:rsidRPr="00E74C09">
        <w:rPr>
          <w:rFonts w:ascii="Arial" w:hAnsi="Arial" w:cs="Arial"/>
          <w:sz w:val="19"/>
          <w:szCs w:val="19"/>
          <w:lang w:val="es-CO"/>
        </w:rPr>
        <w:t xml:space="preserve">Ley 1882 de 2018: «Artículo 4. </w:t>
      </w:r>
      <w:r w:rsidRPr="00E74C09">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2725070" w14:textId="77777777" w:rsidR="00734BD3" w:rsidRPr="00E74C09" w:rsidRDefault="00734BD3" w:rsidP="00734BD3">
      <w:pPr>
        <w:pStyle w:val="Textonotapie"/>
        <w:ind w:firstLine="709"/>
        <w:jc w:val="both"/>
        <w:rPr>
          <w:rFonts w:ascii="Arial" w:hAnsi="Arial" w:cs="Arial"/>
          <w:sz w:val="19"/>
          <w:szCs w:val="19"/>
          <w:lang w:val="es-CO"/>
        </w:rPr>
      </w:pPr>
      <w:r w:rsidRPr="00E74C09">
        <w:rPr>
          <w:rFonts w:ascii="Arial" w:hAnsi="Arial" w:cs="Arial"/>
          <w:sz w:val="19"/>
          <w:szCs w:val="19"/>
          <w:lang w:val="es-CO"/>
        </w:rPr>
        <w:t>»La facultad de adoptar documentos tipo la tendrá el Gobierno nacional, cuando lo considere necesario, en relación con otros contratos o procesos de selección.</w:t>
      </w:r>
    </w:p>
    <w:p w14:paraId="46848618" w14:textId="77777777" w:rsidR="00734BD3" w:rsidRPr="00E74C09" w:rsidRDefault="00734BD3" w:rsidP="00734BD3">
      <w:pPr>
        <w:pStyle w:val="Textonotapie"/>
        <w:ind w:firstLine="709"/>
        <w:jc w:val="both"/>
        <w:rPr>
          <w:rFonts w:ascii="Arial" w:hAnsi="Arial" w:cs="Arial"/>
          <w:sz w:val="19"/>
          <w:szCs w:val="19"/>
          <w:lang w:val="es-CO"/>
        </w:rPr>
      </w:pPr>
      <w:r w:rsidRPr="00E74C09">
        <w:rPr>
          <w:rFonts w:ascii="Arial" w:hAnsi="Arial" w:cs="Arial"/>
          <w:sz w:val="19"/>
          <w:szCs w:val="19"/>
          <w:lang w:val="es-CO"/>
        </w:rPr>
        <w:t>»Los pliegos tipo se adoptarán por categorías de acuerdo con la cuantía de la contratación, según la reglamentación que expida el Gobierno nacional».</w:t>
      </w:r>
    </w:p>
  </w:footnote>
  <w:footnote w:id="3">
    <w:p w14:paraId="65192367" w14:textId="77777777" w:rsidR="00734BD3" w:rsidRPr="00E74C09" w:rsidRDefault="00734BD3" w:rsidP="00734BD3">
      <w:pPr>
        <w:pStyle w:val="Textonotapie"/>
        <w:ind w:firstLine="709"/>
        <w:jc w:val="both"/>
        <w:rPr>
          <w:rFonts w:ascii="Arial" w:hAnsi="Arial" w:cs="Arial"/>
          <w:sz w:val="19"/>
          <w:szCs w:val="19"/>
        </w:rPr>
      </w:pPr>
      <w:r w:rsidRPr="00E74C09">
        <w:rPr>
          <w:rStyle w:val="Refdenotaalpie"/>
          <w:rFonts w:ascii="Arial" w:hAnsi="Arial" w:cs="Arial"/>
          <w:sz w:val="19"/>
          <w:szCs w:val="19"/>
        </w:rPr>
        <w:footnoteRef/>
      </w:r>
      <w:r w:rsidRPr="00E74C09">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0701AB6" w14:textId="77777777" w:rsidR="00734BD3" w:rsidRPr="00E74C09" w:rsidRDefault="00734BD3" w:rsidP="00734BD3">
      <w:pPr>
        <w:pStyle w:val="Textonotapie"/>
        <w:ind w:firstLine="709"/>
        <w:jc w:val="both"/>
        <w:rPr>
          <w:rFonts w:ascii="Arial" w:hAnsi="Arial" w:cs="Arial"/>
          <w:sz w:val="19"/>
          <w:szCs w:val="19"/>
        </w:rPr>
      </w:pPr>
    </w:p>
  </w:footnote>
  <w:footnote w:id="4">
    <w:p w14:paraId="37BD67FF" w14:textId="77777777" w:rsidR="00734BD3" w:rsidRPr="00C92F7F" w:rsidRDefault="00734BD3" w:rsidP="00734BD3">
      <w:pPr>
        <w:pStyle w:val="NormalWeb"/>
        <w:spacing w:after="0" w:line="240" w:lineRule="auto"/>
        <w:ind w:firstLine="708"/>
        <w:jc w:val="both"/>
        <w:rPr>
          <w:rFonts w:ascii="Arial" w:hAnsi="Arial" w:cs="Arial"/>
          <w:color w:val="000000" w:themeColor="text1"/>
          <w:sz w:val="19"/>
          <w:szCs w:val="19"/>
        </w:rPr>
      </w:pPr>
      <w:r w:rsidRPr="00E74C09">
        <w:rPr>
          <w:rStyle w:val="Refdenotaalpie"/>
          <w:rFonts w:ascii="Arial" w:hAnsi="Arial" w:cs="Arial"/>
          <w:sz w:val="19"/>
          <w:szCs w:val="19"/>
        </w:rPr>
        <w:footnoteRef/>
      </w:r>
      <w:r w:rsidRPr="00E74C09">
        <w:rPr>
          <w:rFonts w:ascii="Arial" w:hAnsi="Arial" w:cs="Arial"/>
          <w:sz w:val="19"/>
          <w:szCs w:val="19"/>
        </w:rPr>
        <w:t xml:space="preserve"> </w:t>
      </w:r>
      <w:r w:rsidRPr="009163FE">
        <w:rPr>
          <w:rFonts w:ascii="Arial" w:hAnsi="Arial" w:cs="Arial"/>
          <w:color w:val="000000" w:themeColor="text1"/>
          <w:sz w:val="19"/>
          <w:szCs w:val="19"/>
        </w:rPr>
        <w:t>Ley 2022 de 2020: «</w:t>
      </w:r>
      <w:r w:rsidRPr="00471EB4">
        <w:t>Artículo 1º.</w:t>
      </w:r>
      <w:r w:rsidRPr="00C92F7F">
        <w:rPr>
          <w:rFonts w:ascii="Arial" w:hAnsi="Arial" w:cs="Arial"/>
          <w:color w:val="000000" w:themeColor="text1"/>
          <w:sz w:val="19"/>
          <w:szCs w:val="19"/>
        </w:rPr>
        <w:t> Modifíquese el artículo 4º de la Ley 1882 de 2018, el cual quedará así: </w:t>
      </w:r>
    </w:p>
    <w:p w14:paraId="784B7E18" w14:textId="77777777" w:rsidR="00734BD3" w:rsidRPr="00C92F7F" w:rsidRDefault="00734BD3" w:rsidP="00734BD3">
      <w:pPr>
        <w:pStyle w:val="NormalWeb"/>
        <w:spacing w:after="0" w:line="240" w:lineRule="auto"/>
        <w:ind w:firstLine="708"/>
        <w:jc w:val="both"/>
        <w:rPr>
          <w:rFonts w:ascii="Arial" w:hAnsi="Arial" w:cs="Arial"/>
          <w:color w:val="000000" w:themeColor="text1"/>
          <w:sz w:val="19"/>
          <w:szCs w:val="19"/>
        </w:rPr>
      </w:pPr>
      <w:r w:rsidRPr="00471EB4">
        <w:t>»Artículo 4º.</w:t>
      </w:r>
      <w:r w:rsidRPr="00C92F7F">
        <w:rPr>
          <w:rFonts w:ascii="Arial" w:hAnsi="Arial" w:cs="Arial"/>
          <w:color w:val="000000" w:themeColor="text1"/>
          <w:sz w:val="19"/>
          <w:szCs w:val="19"/>
        </w:rPr>
        <w:t> Adiciónese el siguiente parágrafo al artículo 2º de la Ley 1150 de 2007. </w:t>
      </w:r>
    </w:p>
    <w:p w14:paraId="03316478" w14:textId="77777777" w:rsidR="00734BD3" w:rsidRPr="00471EB4" w:rsidRDefault="00734BD3" w:rsidP="00734BD3">
      <w:pPr>
        <w:pStyle w:val="NormalWeb"/>
        <w:spacing w:after="0" w:line="240" w:lineRule="auto"/>
        <w:ind w:firstLine="708"/>
        <w:jc w:val="both"/>
        <w:rPr>
          <w:rFonts w:ascii="Arial" w:hAnsi="Arial" w:cs="Arial"/>
          <w:color w:val="000000" w:themeColor="text1"/>
          <w:sz w:val="19"/>
          <w:szCs w:val="19"/>
        </w:rPr>
      </w:pPr>
      <w:r w:rsidRPr="00471EB4">
        <w:t>»Parágrafo 7º</w:t>
      </w:r>
      <w:r w:rsidRPr="00471EB4">
        <w:rPr>
          <w:color w:val="000000" w:themeColor="text1"/>
        </w:rPr>
        <w:t>.</w:t>
      </w:r>
      <w:r w:rsidRPr="00471EB4">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18E80BEA" w14:textId="77777777" w:rsidR="00734BD3" w:rsidRPr="00E74C09" w:rsidRDefault="00734BD3" w:rsidP="00734BD3">
      <w:pPr>
        <w:pStyle w:val="NormalWeb"/>
        <w:spacing w:after="0" w:line="240" w:lineRule="auto"/>
        <w:ind w:firstLine="708"/>
        <w:jc w:val="both"/>
        <w:rPr>
          <w:rFonts w:ascii="Arial" w:hAnsi="Arial" w:cs="Arial"/>
          <w:color w:val="000000"/>
          <w:sz w:val="19"/>
          <w:szCs w:val="19"/>
        </w:rPr>
      </w:pPr>
      <w:r w:rsidRPr="00E74C09">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91DCBF5" w14:textId="77777777" w:rsidR="00734BD3" w:rsidRPr="00E74C09" w:rsidRDefault="00734BD3" w:rsidP="00734BD3">
      <w:pPr>
        <w:pStyle w:val="NormalWeb"/>
        <w:spacing w:after="0" w:line="240" w:lineRule="auto"/>
        <w:ind w:firstLine="708"/>
        <w:jc w:val="both"/>
        <w:rPr>
          <w:rFonts w:ascii="Arial" w:hAnsi="Arial" w:cs="Arial"/>
          <w:color w:val="000000"/>
          <w:sz w:val="19"/>
          <w:szCs w:val="19"/>
        </w:rPr>
      </w:pPr>
      <w:r w:rsidRPr="00E74C09">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2726261C" w14:textId="77777777" w:rsidR="00734BD3" w:rsidRPr="00E74C09" w:rsidRDefault="00734BD3" w:rsidP="00734BD3">
      <w:pPr>
        <w:pStyle w:val="NormalWeb"/>
        <w:spacing w:after="0" w:line="240" w:lineRule="auto"/>
        <w:ind w:firstLine="708"/>
        <w:jc w:val="both"/>
        <w:rPr>
          <w:rFonts w:ascii="Arial" w:hAnsi="Arial" w:cs="Arial"/>
          <w:color w:val="000000"/>
          <w:sz w:val="19"/>
          <w:szCs w:val="19"/>
        </w:rPr>
      </w:pPr>
      <w:r w:rsidRPr="00E74C09">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7D90CB2C" w14:textId="77777777" w:rsidR="00734BD3" w:rsidRPr="00E74C09" w:rsidRDefault="00734BD3" w:rsidP="00734BD3">
      <w:pPr>
        <w:pStyle w:val="NormalWeb"/>
        <w:spacing w:after="0" w:line="240" w:lineRule="auto"/>
        <w:ind w:firstLine="708"/>
        <w:jc w:val="both"/>
        <w:rPr>
          <w:rFonts w:ascii="Arial" w:hAnsi="Arial" w:cs="Arial"/>
          <w:sz w:val="19"/>
          <w:szCs w:val="19"/>
        </w:rPr>
      </w:pPr>
      <w:r w:rsidRPr="00E74C09">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36CF505E" w14:textId="77777777" w:rsidR="00734BD3" w:rsidRPr="00730F7B" w:rsidRDefault="00734BD3" w:rsidP="00734BD3">
      <w:pPr>
        <w:pStyle w:val="Textonotapie"/>
        <w:ind w:firstLine="709"/>
        <w:jc w:val="both"/>
        <w:rPr>
          <w:rFonts w:ascii="Arial" w:hAnsi="Arial" w:cs="Arial"/>
          <w:sz w:val="19"/>
          <w:szCs w:val="19"/>
          <w:lang w:val="es-ES"/>
        </w:rPr>
      </w:pPr>
      <w:r w:rsidRPr="00730F7B">
        <w:rPr>
          <w:rStyle w:val="Refdenotaalpie"/>
          <w:rFonts w:ascii="Arial" w:hAnsi="Arial" w:cs="Arial"/>
          <w:sz w:val="19"/>
          <w:szCs w:val="19"/>
        </w:rPr>
        <w:footnoteRef/>
      </w:r>
      <w:r w:rsidRPr="00730F7B">
        <w:rPr>
          <w:rFonts w:ascii="Arial" w:hAnsi="Arial" w:cs="Arial"/>
          <w:sz w:val="19"/>
          <w:szCs w:val="19"/>
        </w:rPr>
        <w:t xml:space="preserve"> </w:t>
      </w:r>
      <w:r w:rsidRPr="00730F7B">
        <w:rPr>
          <w:rFonts w:ascii="Arial" w:hAnsi="Arial" w:cs="Arial"/>
          <w:sz w:val="19"/>
          <w:szCs w:val="19"/>
          <w:lang w:val="es-ES"/>
        </w:rPr>
        <w:t>En cuanto a las resoluciones vigentes, dicha regla se observa en el artículo 3 de las Resoluciones 240, 241, 248, 249, 256 y 269 de 2020 y Resoluciones 193, 219</w:t>
      </w:r>
      <w:r>
        <w:rPr>
          <w:rFonts w:ascii="Arial" w:hAnsi="Arial" w:cs="Arial"/>
          <w:sz w:val="19"/>
          <w:szCs w:val="19"/>
          <w:lang w:val="es-ES"/>
        </w:rPr>
        <w:t xml:space="preserve">, </w:t>
      </w:r>
      <w:r w:rsidRPr="00730F7B">
        <w:rPr>
          <w:rFonts w:ascii="Arial" w:hAnsi="Arial" w:cs="Arial"/>
          <w:sz w:val="19"/>
          <w:szCs w:val="19"/>
          <w:lang w:val="es-ES"/>
        </w:rPr>
        <w:t xml:space="preserve">2020 </w:t>
      </w:r>
      <w:r>
        <w:rPr>
          <w:rFonts w:ascii="Arial" w:hAnsi="Arial" w:cs="Arial"/>
          <w:sz w:val="19"/>
          <w:szCs w:val="19"/>
          <w:lang w:val="es-ES"/>
        </w:rPr>
        <w:t xml:space="preserve">y 392 </w:t>
      </w:r>
      <w:r w:rsidRPr="00730F7B">
        <w:rPr>
          <w:rFonts w:ascii="Arial" w:hAnsi="Arial" w:cs="Arial"/>
          <w:sz w:val="19"/>
          <w:szCs w:val="19"/>
          <w:lang w:val="es-ES"/>
        </w:rPr>
        <w:t>de 2021. Así como en el artículo 2 de la Resolución 094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09E1" w14:textId="77777777" w:rsidR="00692DE4" w:rsidRDefault="00000000">
    <w:pPr>
      <w:pStyle w:val="Encabezado"/>
    </w:pPr>
    <w:r>
      <w:rPr>
        <w:noProof/>
        <w:lang w:val="en-US"/>
      </w:rPr>
      <w:drawing>
        <wp:anchor distT="0" distB="0" distL="114300" distR="114300" simplePos="0" relativeHeight="251659264" behindDoc="1" locked="0" layoutInCell="1" allowOverlap="1" wp14:anchorId="48793DF4" wp14:editId="6E4A8C36">
          <wp:simplePos x="0" y="0"/>
          <wp:positionH relativeFrom="column">
            <wp:posOffset>4389120</wp:posOffset>
          </wp:positionH>
          <wp:positionV relativeFrom="paragraph">
            <wp:posOffset>-176504</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25D"/>
    <w:multiLevelType w:val="hybridMultilevel"/>
    <w:tmpl w:val="6B04D01A"/>
    <w:lvl w:ilvl="0" w:tplc="0C0A0019">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36080E2D"/>
    <w:multiLevelType w:val="multilevel"/>
    <w:tmpl w:val="CF26A346"/>
    <w:lvl w:ilvl="0">
      <w:start w:val="1"/>
      <w:numFmt w:val="decimal"/>
      <w:lvlText w:val="%1."/>
      <w:lvlJc w:val="left"/>
      <w:pPr>
        <w:tabs>
          <w:tab w:val="num" w:pos="720"/>
        </w:tabs>
        <w:ind w:left="720" w:hanging="360"/>
      </w:pPr>
      <w:rPr>
        <w:rFonts w:ascii="Arial" w:eastAsiaTheme="minorHAnsi" w:hAnsi="Arial" w:cs="Arial"/>
      </w:r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7C691C57"/>
    <w:multiLevelType w:val="multilevel"/>
    <w:tmpl w:val="72046C14"/>
    <w:lvl w:ilvl="0">
      <w:start w:val="1"/>
      <w:numFmt w:val="decimal"/>
      <w:lvlText w:val="%1."/>
      <w:lvlJc w:val="left"/>
      <w:pPr>
        <w:tabs>
          <w:tab w:val="num" w:pos="720"/>
        </w:tabs>
        <w:ind w:left="720" w:hanging="360"/>
      </w:pPr>
      <w:rPr>
        <w:rFonts w:ascii="Arial" w:eastAsiaTheme="minorHAnsi" w:hAnsi="Arial" w:cs="Arial"/>
        <w:vertAlign w:val="baseline"/>
      </w:r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97968065">
    <w:abstractNumId w:val="0"/>
  </w:num>
  <w:num w:numId="2" w16cid:durableId="1239093146">
    <w:abstractNumId w:val="1"/>
  </w:num>
  <w:num w:numId="3" w16cid:durableId="830874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D3"/>
    <w:rsid w:val="00190F43"/>
    <w:rsid w:val="00446CFC"/>
    <w:rsid w:val="00734BD3"/>
    <w:rsid w:val="00C72B7F"/>
    <w:rsid w:val="00E557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1B5F"/>
  <w15:chartTrackingRefBased/>
  <w15:docId w15:val="{81551028-F247-C746-9372-FFAAED91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BD3"/>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34BD3"/>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34BD3"/>
    <w:rPr>
      <w:vertAlign w:val="superscript"/>
    </w:rPr>
  </w:style>
  <w:style w:type="paragraph" w:customStyle="1" w:styleId="Appelnotedebasde">
    <w:name w:val="Appel note de bas de..."/>
    <w:basedOn w:val="Normal"/>
    <w:link w:val="Refdenotaalpie"/>
    <w:uiPriority w:val="99"/>
    <w:rsid w:val="00734BD3"/>
    <w:pPr>
      <w:spacing w:line="240" w:lineRule="exact"/>
    </w:pPr>
    <w:rPr>
      <w:sz w:val="24"/>
      <w:szCs w:val="24"/>
      <w:vertAlign w:val="superscript"/>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34BD3"/>
    <w:pPr>
      <w:spacing w:after="0" w:line="240" w:lineRule="auto"/>
    </w:pPr>
    <w:rPr>
      <w:sz w:val="20"/>
      <w:szCs w:val="20"/>
      <w:lang w:val="es-MX"/>
    </w:rPr>
  </w:style>
  <w:style w:type="character" w:customStyle="1" w:styleId="TextonotapieCar1">
    <w:name w:val="Texto nota pie Car1"/>
    <w:basedOn w:val="Fuentedeprrafopredeter"/>
    <w:uiPriority w:val="99"/>
    <w:semiHidden/>
    <w:rsid w:val="00734BD3"/>
    <w:rPr>
      <w:sz w:val="20"/>
      <w:szCs w:val="20"/>
    </w:rPr>
  </w:style>
  <w:style w:type="paragraph" w:styleId="Prrafodelista">
    <w:name w:val="List Paragraph"/>
    <w:basedOn w:val="Normal"/>
    <w:uiPriority w:val="34"/>
    <w:qFormat/>
    <w:rsid w:val="00734BD3"/>
    <w:pPr>
      <w:spacing w:after="0" w:line="240" w:lineRule="auto"/>
      <w:ind w:left="720"/>
      <w:contextualSpacing/>
      <w:jc w:val="both"/>
    </w:pPr>
    <w:rPr>
      <w:rFonts w:ascii="Arial" w:hAnsi="Arial"/>
      <w:sz w:val="20"/>
      <w:lang w:val="es-MX"/>
    </w:rPr>
  </w:style>
  <w:style w:type="paragraph" w:styleId="NormalWeb">
    <w:name w:val="Normal (Web)"/>
    <w:basedOn w:val="Normal"/>
    <w:uiPriority w:val="99"/>
    <w:unhideWhenUsed/>
    <w:rsid w:val="00734BD3"/>
    <w:rPr>
      <w:rFonts w:ascii="Times New Roman" w:hAnsi="Times New Roman" w:cs="Times New Roman"/>
      <w:sz w:val="24"/>
      <w:szCs w:val="24"/>
    </w:rPr>
  </w:style>
  <w:style w:type="table" w:styleId="Tablaconcuadrcula">
    <w:name w:val="Table Grid"/>
    <w:basedOn w:val="Tablanormal"/>
    <w:uiPriority w:val="59"/>
    <w:rsid w:val="00734B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4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4BD3"/>
    <w:rPr>
      <w:sz w:val="22"/>
      <w:szCs w:val="22"/>
    </w:rPr>
  </w:style>
  <w:style w:type="paragraph" w:styleId="Piedepgina">
    <w:name w:val="footer"/>
    <w:basedOn w:val="Normal"/>
    <w:link w:val="PiedepginaCar"/>
    <w:uiPriority w:val="99"/>
    <w:unhideWhenUsed/>
    <w:rsid w:val="00734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4BD3"/>
    <w:rPr>
      <w:sz w:val="22"/>
      <w:szCs w:val="22"/>
    </w:rPr>
  </w:style>
  <w:style w:type="paragraph" w:styleId="Sinespaciado">
    <w:name w:val="No Spacing"/>
    <w:uiPriority w:val="1"/>
    <w:qFormat/>
    <w:rsid w:val="00734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740E2-E3BA-4934-99D1-32E2002258E8}">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3BD552BD-AEA7-4E1F-AE61-CF8525B44462}">
  <ds:schemaRefs>
    <ds:schemaRef ds:uri="http://schemas.microsoft.com/sharepoint/v3/contenttype/forms"/>
  </ds:schemaRefs>
</ds:datastoreItem>
</file>

<file path=customXml/itemProps3.xml><?xml version="1.0" encoding="utf-8"?>
<ds:datastoreItem xmlns:ds="http://schemas.openxmlformats.org/officeDocument/2006/customXml" ds:itemID="{54BD3BFD-D47D-494C-B673-5398581B0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6596</Words>
  <Characters>36278</Characters>
  <Application>Microsoft Office Word</Application>
  <DocSecurity>0</DocSecurity>
  <Lines>302</Lines>
  <Paragraphs>85</Paragraphs>
  <ScaleCrop>false</ScaleCrop>
  <Company/>
  <LinksUpToDate>false</LinksUpToDate>
  <CharactersWithSpaces>42789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3</cp:revision>
  <dcterms:created xsi:type="dcterms:W3CDTF">2022-07-20T23:52:00Z</dcterms:created>
  <dcterms:modified xsi:type="dcterms:W3CDTF">2022-08-01T17:11:00Z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