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1770" w14:textId="77777777" w:rsidR="000B2F93" w:rsidRPr="00BB5A45" w:rsidRDefault="000B2F93" w:rsidP="000B2F93">
      <w:pPr>
        <w:jc w:val="right"/>
        <w:rPr>
          <w:rFonts w:ascii="Arial" w:hAnsi="Arial" w:cs="Arial"/>
          <w:b/>
          <w:sz w:val="16"/>
          <w:szCs w:val="16"/>
          <w:lang w:val="es-ES" w:eastAsia="es-ES"/>
        </w:rPr>
      </w:pPr>
      <w:r w:rsidRPr="00BB5A45">
        <w:rPr>
          <w:rFonts w:ascii="Arial" w:hAnsi="Arial" w:cs="Arial"/>
          <w:b/>
          <w:sz w:val="16"/>
          <w:szCs w:val="16"/>
          <w:lang w:val="es-ES" w:eastAsia="es-ES"/>
        </w:rPr>
        <w:t>CCE-DES-FM-17</w:t>
      </w:r>
    </w:p>
    <w:p w14:paraId="1FE3ED05" w14:textId="77777777" w:rsidR="00953313" w:rsidRPr="00BB5A45" w:rsidRDefault="00953313" w:rsidP="00F11750">
      <w:pPr>
        <w:jc w:val="both"/>
        <w:rPr>
          <w:rFonts w:ascii="Arial" w:eastAsia="Calibri" w:hAnsi="Arial" w:cs="Arial"/>
          <w:b/>
          <w:sz w:val="20"/>
          <w:szCs w:val="20"/>
          <w:lang w:val="es-MX"/>
        </w:rPr>
      </w:pPr>
    </w:p>
    <w:p w14:paraId="4402B7B0" w14:textId="0792CC63" w:rsidR="00417118" w:rsidRPr="00BB5A45" w:rsidRDefault="00953313" w:rsidP="3923DC84">
      <w:pPr>
        <w:jc w:val="both"/>
        <w:rPr>
          <w:rFonts w:ascii="Arial" w:eastAsia="Calibri" w:hAnsi="Arial" w:cs="Arial"/>
          <w:b/>
          <w:bCs/>
          <w:sz w:val="22"/>
          <w:szCs w:val="22"/>
          <w:lang w:val="es-MX"/>
        </w:rPr>
      </w:pPr>
      <w:r w:rsidRPr="00BB5A45">
        <w:rPr>
          <w:rFonts w:ascii="Arial" w:eastAsia="Calibri" w:hAnsi="Arial" w:cs="Arial"/>
          <w:b/>
          <w:bCs/>
          <w:sz w:val="22"/>
          <w:szCs w:val="22"/>
          <w:lang w:val="es-MX"/>
        </w:rPr>
        <w:t xml:space="preserve">PRINCIPIO DE SELECCIÓN OBJETIVA – </w:t>
      </w:r>
      <w:r w:rsidR="003A6CDA" w:rsidRPr="00BB5A45">
        <w:rPr>
          <w:rFonts w:ascii="Arial" w:eastAsia="Calibri" w:hAnsi="Arial" w:cs="Arial"/>
          <w:b/>
          <w:bCs/>
          <w:sz w:val="22"/>
          <w:szCs w:val="22"/>
          <w:lang w:val="es-MX"/>
        </w:rPr>
        <w:t>Alcance</w:t>
      </w:r>
    </w:p>
    <w:p w14:paraId="00A29B92" w14:textId="06089417" w:rsidR="000A12D9" w:rsidRPr="00BB5A45" w:rsidRDefault="000A12D9" w:rsidP="00E87923">
      <w:pPr>
        <w:jc w:val="both"/>
        <w:rPr>
          <w:rFonts w:ascii="Arial" w:eastAsia="Calibri" w:hAnsi="Arial" w:cs="Arial"/>
          <w:b/>
          <w:sz w:val="20"/>
          <w:szCs w:val="20"/>
          <w:lang w:val="es-MX"/>
        </w:rPr>
      </w:pPr>
    </w:p>
    <w:p w14:paraId="1D7B226D" w14:textId="30B69632" w:rsidR="00150841" w:rsidRPr="00BB5A45" w:rsidRDefault="00150841" w:rsidP="00150841">
      <w:pPr>
        <w:jc w:val="both"/>
        <w:rPr>
          <w:rFonts w:ascii="Arial" w:eastAsia="Calibri" w:hAnsi="Arial" w:cs="Arial"/>
          <w:color w:val="000000" w:themeColor="text1"/>
          <w:sz w:val="20"/>
          <w:szCs w:val="20"/>
          <w:lang w:val="es-ES_tradnl"/>
        </w:rPr>
      </w:pPr>
      <w:r w:rsidRPr="00BB5A45">
        <w:rPr>
          <w:rFonts w:ascii="Arial" w:eastAsia="Calibri" w:hAnsi="Arial" w:cs="Arial"/>
          <w:color w:val="000000" w:themeColor="text1"/>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67ACC42B" w14:textId="77777777" w:rsidR="00150841" w:rsidRPr="00BB5A45" w:rsidRDefault="00150841" w:rsidP="00150841">
      <w:pPr>
        <w:jc w:val="both"/>
        <w:rPr>
          <w:rFonts w:ascii="Arial" w:eastAsia="Calibri" w:hAnsi="Arial" w:cs="Arial"/>
          <w:color w:val="000000" w:themeColor="text1"/>
          <w:sz w:val="20"/>
          <w:szCs w:val="20"/>
          <w:lang w:val="es-ES_tradnl"/>
        </w:rPr>
      </w:pPr>
    </w:p>
    <w:p w14:paraId="00CFDEAF" w14:textId="77777777" w:rsidR="00150841" w:rsidRPr="00BB5A45" w:rsidRDefault="00150841" w:rsidP="00150841">
      <w:pPr>
        <w:tabs>
          <w:tab w:val="left" w:pos="0"/>
        </w:tabs>
        <w:spacing w:after="120"/>
        <w:jc w:val="both"/>
        <w:rPr>
          <w:rFonts w:ascii="Arial" w:eastAsia="Calibri" w:hAnsi="Arial" w:cs="Arial"/>
          <w:color w:val="000000" w:themeColor="text1"/>
          <w:sz w:val="20"/>
          <w:szCs w:val="20"/>
          <w:lang w:val="es-ES_tradnl"/>
        </w:rPr>
      </w:pPr>
      <w:r w:rsidRPr="00BB5A45">
        <w:rPr>
          <w:rFonts w:ascii="Arial" w:eastAsia="Calibri" w:hAnsi="Arial" w:cs="Arial"/>
          <w:color w:val="000000" w:themeColor="text1"/>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43EEA630" w14:textId="663C50A1" w:rsidR="00E87923" w:rsidRPr="00BB5A45" w:rsidRDefault="00E87923" w:rsidP="00E87923">
      <w:pPr>
        <w:tabs>
          <w:tab w:val="left" w:pos="0"/>
        </w:tabs>
        <w:spacing w:after="120"/>
        <w:jc w:val="both"/>
        <w:rPr>
          <w:rFonts w:ascii="Arial" w:eastAsia="Calibri" w:hAnsi="Arial" w:cs="Arial"/>
          <w:b/>
          <w:sz w:val="20"/>
          <w:szCs w:val="20"/>
        </w:rPr>
      </w:pPr>
    </w:p>
    <w:p w14:paraId="3D877A37" w14:textId="77777777" w:rsidR="00516C3C" w:rsidRPr="00BB5A45" w:rsidRDefault="00516C3C" w:rsidP="00516C3C">
      <w:pPr>
        <w:contextualSpacing/>
        <w:jc w:val="both"/>
        <w:rPr>
          <w:rFonts w:ascii="Arial" w:hAnsi="Arial" w:cs="Arial"/>
          <w:b/>
          <w:bCs/>
          <w:sz w:val="22"/>
          <w:szCs w:val="22"/>
          <w:lang w:val="es-ES_tradnl"/>
        </w:rPr>
      </w:pPr>
      <w:r w:rsidRPr="00BB5A45">
        <w:rPr>
          <w:rFonts w:ascii="Arial" w:hAnsi="Arial" w:cs="Arial"/>
          <w:b/>
          <w:bCs/>
          <w:sz w:val="22"/>
          <w:szCs w:val="22"/>
          <w:lang w:val="es-ES_tradnl"/>
        </w:rPr>
        <w:t xml:space="preserve">REQUISITOS HABILITANTES – Concepto </w:t>
      </w:r>
    </w:p>
    <w:p w14:paraId="116871EA" w14:textId="77777777" w:rsidR="00516C3C" w:rsidRPr="00BB5A45" w:rsidRDefault="00516C3C" w:rsidP="00516C3C">
      <w:pPr>
        <w:contextualSpacing/>
        <w:jc w:val="both"/>
        <w:rPr>
          <w:rFonts w:ascii="Arial" w:hAnsi="Arial" w:cs="Arial"/>
          <w:b/>
          <w:bCs/>
          <w:sz w:val="22"/>
          <w:szCs w:val="22"/>
          <w:lang w:val="es-ES_tradnl"/>
        </w:rPr>
      </w:pPr>
    </w:p>
    <w:p w14:paraId="6EE6E0FE" w14:textId="77777777" w:rsidR="00516C3C" w:rsidRPr="00BB5A45" w:rsidRDefault="00516C3C" w:rsidP="00516C3C">
      <w:pPr>
        <w:contextualSpacing/>
        <w:jc w:val="both"/>
        <w:rPr>
          <w:rFonts w:ascii="Arial" w:eastAsiaTheme="minorHAnsi" w:hAnsi="Arial" w:cs="Arial"/>
          <w:sz w:val="20"/>
          <w:szCs w:val="20"/>
          <w:lang w:eastAsia="en-US"/>
        </w:rPr>
      </w:pPr>
      <w:r w:rsidRPr="00BB5A45">
        <w:rPr>
          <w:rFonts w:ascii="Arial" w:eastAsiaTheme="minorHAnsi" w:hAnsi="Arial" w:cs="Arial"/>
          <w:sz w:val="20"/>
          <w:szCs w:val="20"/>
          <w:lang w:eastAsia="en-US"/>
        </w:rPr>
        <w:t xml:space="preserve">Los requisitos habilitantes se definen como aquellas exigencias de participación en los procedimientos de selección, establecidas en disposiciones normativas, de carácter legal o reglamentario, o contenidas en el acto administrativo que regula las reglas de la convocatoria–es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p w14:paraId="2A5258F3" w14:textId="77777777" w:rsidR="00516C3C" w:rsidRPr="00BB5A45" w:rsidRDefault="00516C3C" w:rsidP="00516C3C">
      <w:pPr>
        <w:contextualSpacing/>
        <w:jc w:val="both"/>
        <w:rPr>
          <w:rFonts w:ascii="Arial" w:eastAsiaTheme="minorHAnsi" w:hAnsi="Arial" w:cs="Arial"/>
          <w:sz w:val="20"/>
          <w:szCs w:val="20"/>
          <w:lang w:eastAsia="en-US"/>
        </w:rPr>
      </w:pPr>
    </w:p>
    <w:p w14:paraId="342B32AD" w14:textId="77777777" w:rsidR="00516C3C" w:rsidRPr="00BB5A45" w:rsidRDefault="00516C3C" w:rsidP="00516C3C">
      <w:pPr>
        <w:contextualSpacing/>
        <w:jc w:val="both"/>
        <w:rPr>
          <w:rFonts w:ascii="Arial" w:eastAsia="Calibri" w:hAnsi="Arial" w:cs="Arial"/>
          <w:sz w:val="20"/>
          <w:szCs w:val="20"/>
          <w:lang w:val="es-ES_tradnl"/>
        </w:rPr>
      </w:pPr>
      <w:r w:rsidRPr="00BB5A45">
        <w:rPr>
          <w:rFonts w:ascii="Arial" w:eastAsiaTheme="minorHAnsi" w:hAnsi="Arial" w:cs="Arial"/>
          <w:sz w:val="20"/>
          <w:szCs w:val="20"/>
          <w:lang w:eastAsia="en-US"/>
        </w:rPr>
        <w:t xml:space="preserve">[…] </w:t>
      </w:r>
      <w:r w:rsidRPr="00BB5A45">
        <w:rPr>
          <w:rFonts w:ascii="Arial" w:eastAsia="Calibri" w:hAnsi="Arial" w:cs="Arial"/>
          <w:sz w:val="20"/>
          <w:szCs w:val="20"/>
          <w:lang w:val="es-ES_tradnl"/>
        </w:rPr>
        <w:t xml:space="preserve">Específicamente, el numeral 1º del artículo referido establece que en los procesos de selección de contratistas serán objeto de verificación, como requisitos habilitantes, entre otros, los siguientes: i) la capacidad jurídica; </w:t>
      </w:r>
      <w:proofErr w:type="spellStart"/>
      <w:r w:rsidRPr="00BB5A45">
        <w:rPr>
          <w:rFonts w:ascii="Arial" w:eastAsia="Calibri" w:hAnsi="Arial" w:cs="Arial"/>
          <w:sz w:val="20"/>
          <w:szCs w:val="20"/>
          <w:lang w:val="es-ES_tradnl"/>
        </w:rPr>
        <w:t>ii</w:t>
      </w:r>
      <w:proofErr w:type="spellEnd"/>
      <w:r w:rsidRPr="00BB5A45">
        <w:rPr>
          <w:rFonts w:ascii="Arial" w:eastAsia="Calibri" w:hAnsi="Arial" w:cs="Arial"/>
          <w:sz w:val="20"/>
          <w:szCs w:val="20"/>
          <w:lang w:val="es-ES_tradnl"/>
        </w:rPr>
        <w:t xml:space="preserve">) la experiencia; </w:t>
      </w:r>
      <w:proofErr w:type="spellStart"/>
      <w:r w:rsidRPr="00BB5A45">
        <w:rPr>
          <w:rFonts w:ascii="Arial" w:eastAsia="Calibri" w:hAnsi="Arial" w:cs="Arial"/>
          <w:sz w:val="20"/>
          <w:szCs w:val="20"/>
          <w:lang w:val="es-ES_tradnl"/>
        </w:rPr>
        <w:t>iii</w:t>
      </w:r>
      <w:proofErr w:type="spellEnd"/>
      <w:r w:rsidRPr="00BB5A45">
        <w:rPr>
          <w:rFonts w:ascii="Arial" w:eastAsia="Calibri" w:hAnsi="Arial" w:cs="Arial"/>
          <w:sz w:val="20"/>
          <w:szCs w:val="20"/>
          <w:lang w:val="es-ES_tradnl"/>
        </w:rPr>
        <w:t>) la capacidad financiera y iv) la capacidad de organización.</w:t>
      </w:r>
    </w:p>
    <w:p w14:paraId="32EE1318" w14:textId="77777777" w:rsidR="00516C3C" w:rsidRPr="00BB5A45" w:rsidRDefault="00516C3C" w:rsidP="00E87923">
      <w:pPr>
        <w:tabs>
          <w:tab w:val="left" w:pos="0"/>
        </w:tabs>
        <w:spacing w:after="120"/>
        <w:jc w:val="both"/>
        <w:rPr>
          <w:rFonts w:ascii="Arial" w:eastAsia="Calibri" w:hAnsi="Arial" w:cs="Arial"/>
          <w:b/>
          <w:sz w:val="20"/>
          <w:szCs w:val="20"/>
        </w:rPr>
      </w:pPr>
    </w:p>
    <w:p w14:paraId="56C77777" w14:textId="77777777" w:rsidR="00BD67A4" w:rsidRPr="00BB5A45" w:rsidRDefault="00BD67A4" w:rsidP="00BD67A4">
      <w:pPr>
        <w:contextualSpacing/>
        <w:jc w:val="both"/>
        <w:rPr>
          <w:rFonts w:ascii="Arial" w:hAnsi="Arial" w:cs="Arial"/>
          <w:b/>
          <w:bCs/>
          <w:sz w:val="22"/>
          <w:szCs w:val="22"/>
          <w:lang w:val="es-ES_tradnl"/>
        </w:rPr>
      </w:pPr>
      <w:r w:rsidRPr="00BB5A45">
        <w:rPr>
          <w:rFonts w:ascii="Arial" w:eastAsiaTheme="minorHAnsi" w:hAnsi="Arial" w:cs="Arial"/>
          <w:b/>
          <w:bCs/>
          <w:sz w:val="22"/>
          <w:szCs w:val="22"/>
          <w:lang w:eastAsia="en-US"/>
        </w:rPr>
        <w:t>EXPERIENCIA</w:t>
      </w:r>
      <w:r w:rsidRPr="00BB5A45">
        <w:rPr>
          <w:rFonts w:ascii="Arial" w:eastAsiaTheme="minorHAnsi" w:hAnsi="Arial" w:cs="Arial"/>
          <w:sz w:val="22"/>
          <w:szCs w:val="22"/>
          <w:lang w:eastAsia="en-US"/>
        </w:rPr>
        <w:t xml:space="preserve"> </w:t>
      </w:r>
      <w:r w:rsidRPr="00BB5A45">
        <w:rPr>
          <w:rFonts w:ascii="Arial" w:hAnsi="Arial" w:cs="Arial"/>
          <w:b/>
          <w:bCs/>
          <w:sz w:val="22"/>
          <w:szCs w:val="22"/>
          <w:lang w:val="es-ES_tradnl"/>
        </w:rPr>
        <w:t>– Concepto</w:t>
      </w:r>
    </w:p>
    <w:p w14:paraId="3D3F0139" w14:textId="77777777" w:rsidR="00BD67A4" w:rsidRPr="00BB5A45" w:rsidRDefault="00BD67A4" w:rsidP="00BD67A4">
      <w:pPr>
        <w:contextualSpacing/>
        <w:jc w:val="both"/>
        <w:rPr>
          <w:rFonts w:ascii="Arial" w:hAnsi="Arial" w:cs="Arial"/>
          <w:b/>
          <w:bCs/>
          <w:sz w:val="22"/>
          <w:szCs w:val="22"/>
          <w:lang w:val="es-ES_tradnl"/>
        </w:rPr>
      </w:pPr>
    </w:p>
    <w:p w14:paraId="351EBE40" w14:textId="77777777" w:rsidR="00BD67A4" w:rsidRPr="00BB5A45" w:rsidRDefault="00BD67A4" w:rsidP="00BD67A4">
      <w:pPr>
        <w:contextualSpacing/>
        <w:jc w:val="both"/>
        <w:rPr>
          <w:rFonts w:ascii="Arial" w:eastAsiaTheme="minorHAnsi" w:hAnsi="Arial" w:cs="Arial"/>
          <w:sz w:val="20"/>
          <w:szCs w:val="20"/>
          <w:lang w:eastAsia="en-US"/>
        </w:rPr>
      </w:pPr>
      <w:r w:rsidRPr="00BB5A45">
        <w:rPr>
          <w:rFonts w:ascii="Arial" w:eastAsiaTheme="minorHAnsi" w:hAnsi="Arial" w:cs="Arial"/>
          <w:sz w:val="20"/>
          <w:szCs w:val="20"/>
          <w:lang w:eastAsia="en-US"/>
        </w:rPr>
        <w:t xml:space="preserve">Dentro de los requisitos habilitantes establecidos por el artículo 5 de la Ley 1150 de 2007 se destaca la experiencia. En el «Manual para determinar y verificar requisitos habilitantes en los procesos de contratación» expedido por Colombia Compra Eficiente se define a la experiencia como «[…] el </w:t>
      </w:r>
      <w:r w:rsidRPr="00BB5A45">
        <w:rPr>
          <w:rFonts w:ascii="Arial" w:eastAsiaTheme="minorHAnsi" w:hAnsi="Arial" w:cs="Arial"/>
          <w:sz w:val="20"/>
          <w:szCs w:val="20"/>
          <w:lang w:eastAsia="en-US"/>
        </w:rPr>
        <w:lastRenderedPageBreak/>
        <w:t xml:space="preserve">conocimiento del proponente derivado de su participación previa en actividades iguales o similares a las previstas en el objeto del contrato». </w:t>
      </w:r>
    </w:p>
    <w:p w14:paraId="77756F38" w14:textId="77777777" w:rsidR="00BD67A4" w:rsidRPr="00BB5A45" w:rsidRDefault="00BD67A4" w:rsidP="00BD67A4">
      <w:pPr>
        <w:contextualSpacing/>
        <w:jc w:val="both"/>
        <w:rPr>
          <w:rFonts w:ascii="Arial" w:eastAsiaTheme="minorHAnsi" w:hAnsi="Arial" w:cs="Arial"/>
          <w:sz w:val="20"/>
          <w:szCs w:val="20"/>
          <w:lang w:eastAsia="en-US"/>
        </w:rPr>
      </w:pPr>
    </w:p>
    <w:p w14:paraId="6F38AC9B" w14:textId="77777777" w:rsidR="00BD67A4" w:rsidRPr="00BB5A45" w:rsidRDefault="00BD67A4" w:rsidP="00BD67A4">
      <w:pPr>
        <w:contextualSpacing/>
        <w:jc w:val="both"/>
        <w:rPr>
          <w:rFonts w:ascii="Arial" w:eastAsiaTheme="minorHAnsi" w:hAnsi="Arial" w:cs="Arial"/>
          <w:sz w:val="20"/>
          <w:szCs w:val="20"/>
          <w:lang w:eastAsia="en-US"/>
        </w:rPr>
      </w:pPr>
      <w:r w:rsidRPr="00BB5A45">
        <w:rPr>
          <w:rFonts w:ascii="Arial" w:eastAsiaTheme="minorHAnsi" w:hAnsi="Arial" w:cs="Arial"/>
          <w:sz w:val="20"/>
          <w:szCs w:val="20"/>
          <w:lang w:eastAsia="en-US"/>
        </w:rPr>
        <w:t>Precisamente, de la experiencia se deriva el conocimiento del proponente, el cual en el marco de la contratación pública se reviste de particular importancia, en la medida en que garantiza en cierto grado que no habrá improvisación ni mayores costos por errores o dificultades originadas en realizar una actividad por primera vez. […]</w:t>
      </w:r>
    </w:p>
    <w:p w14:paraId="42F7811D" w14:textId="77777777" w:rsidR="00E87923" w:rsidRPr="00BB5A45" w:rsidRDefault="00E87923" w:rsidP="00E87923">
      <w:pPr>
        <w:tabs>
          <w:tab w:val="left" w:pos="0"/>
        </w:tabs>
        <w:spacing w:after="120"/>
        <w:jc w:val="both"/>
        <w:rPr>
          <w:rFonts w:ascii="Arial" w:eastAsia="Calibri" w:hAnsi="Arial" w:cs="Arial"/>
          <w:bCs/>
          <w:sz w:val="20"/>
          <w:szCs w:val="20"/>
        </w:rPr>
      </w:pPr>
    </w:p>
    <w:p w14:paraId="1CB7E5B2" w14:textId="77777777" w:rsidR="00806B2F" w:rsidRPr="00BB5A45" w:rsidRDefault="00806B2F" w:rsidP="00806B2F">
      <w:pPr>
        <w:contextualSpacing/>
        <w:jc w:val="both"/>
        <w:rPr>
          <w:rFonts w:ascii="Arial" w:eastAsiaTheme="minorHAnsi" w:hAnsi="Arial" w:cs="Arial"/>
          <w:b/>
          <w:bCs/>
          <w:sz w:val="22"/>
          <w:szCs w:val="22"/>
          <w:lang w:eastAsia="en-US"/>
        </w:rPr>
      </w:pPr>
      <w:r w:rsidRPr="00BB5A45">
        <w:rPr>
          <w:rFonts w:ascii="Arial" w:eastAsiaTheme="minorHAnsi" w:hAnsi="Arial" w:cs="Arial"/>
          <w:b/>
          <w:bCs/>
          <w:sz w:val="22"/>
          <w:szCs w:val="22"/>
          <w:lang w:eastAsia="en-US"/>
        </w:rPr>
        <w:t>EXPERIENCIA ESPECÍFICA – Documentos Tipo – Ejemplo</w:t>
      </w:r>
    </w:p>
    <w:p w14:paraId="70030944" w14:textId="3F8757EF" w:rsidR="00F11750" w:rsidRPr="00BB5A45" w:rsidRDefault="00F11750" w:rsidP="009175BF">
      <w:pPr>
        <w:jc w:val="both"/>
        <w:rPr>
          <w:rFonts w:ascii="Arial" w:eastAsia="Calibri" w:hAnsi="Arial" w:cs="Arial"/>
          <w:sz w:val="20"/>
          <w:szCs w:val="20"/>
          <w:lang w:val="es-ES"/>
        </w:rPr>
      </w:pPr>
    </w:p>
    <w:p w14:paraId="004823FD" w14:textId="77777777" w:rsidR="00806B2F" w:rsidRPr="00BB5A45" w:rsidRDefault="00806B2F" w:rsidP="009175BF">
      <w:pPr>
        <w:jc w:val="both"/>
        <w:rPr>
          <w:rFonts w:ascii="Arial" w:eastAsia="Calibri" w:hAnsi="Arial" w:cs="Arial"/>
          <w:sz w:val="20"/>
          <w:szCs w:val="20"/>
          <w:lang w:val="es-ES"/>
        </w:rPr>
      </w:pPr>
      <w:r w:rsidRPr="00BB5A45">
        <w:rPr>
          <w:rFonts w:ascii="Arial" w:eastAsia="Calibri" w:hAnsi="Arial" w:cs="Arial"/>
          <w:sz w:val="20"/>
          <w:szCs w:val="20"/>
          <w:lang w:val="es-ES"/>
        </w:rPr>
        <w:t>A manera de ejemplo, por regla general, en los diferentes Documentos Tipo propuestos por esta Agencia, uno de los elementos comunes es la «Matriz 1 – Experiencia». Esta consta de unas celdas en las que se describe la experiencia requerida en relación con el objeto a contratar, definiendo además qué tipo de actividades relacionadas con cada sector deben acogerse a los pliegos tipo. Por otro lado, encontramos el «Anexo 3 – Glosario», el cual contiene las definiciones de los términos usados en los documentos del proceso. Utilizando estos dos documentos, la entidad estatal puede definir si el objeto a contratarse debe emplear los documentos tipo adoptados por esta Agencia.</w:t>
      </w:r>
    </w:p>
    <w:p w14:paraId="6A995BBA" w14:textId="77777777" w:rsidR="00806B2F" w:rsidRPr="00BB5A45" w:rsidRDefault="00806B2F" w:rsidP="009175BF">
      <w:pPr>
        <w:jc w:val="both"/>
        <w:rPr>
          <w:rFonts w:ascii="Arial" w:eastAsia="Calibri" w:hAnsi="Arial" w:cs="Arial"/>
          <w:sz w:val="20"/>
          <w:szCs w:val="20"/>
          <w:lang w:val="es-ES"/>
        </w:rPr>
      </w:pPr>
    </w:p>
    <w:p w14:paraId="46454AC2" w14:textId="1860DEF8" w:rsidR="00F11750" w:rsidRPr="00BB5A45" w:rsidRDefault="00806B2F" w:rsidP="009175BF">
      <w:pPr>
        <w:jc w:val="both"/>
        <w:rPr>
          <w:rFonts w:ascii="Arial" w:eastAsia="Calibri" w:hAnsi="Arial" w:cs="Arial"/>
          <w:sz w:val="20"/>
          <w:szCs w:val="20"/>
          <w:lang w:val="es-ES"/>
        </w:rPr>
      </w:pPr>
      <w:r w:rsidRPr="00BB5A45">
        <w:rPr>
          <w:rFonts w:ascii="Arial" w:eastAsia="Calibri" w:hAnsi="Arial" w:cs="Arial"/>
          <w:sz w:val="20"/>
          <w:szCs w:val="20"/>
          <w:lang w:val="es-ES"/>
        </w:rPr>
        <w:t>Conforme a lo anterior, la Matriz 1, cumple una doble función. Por un lado, sirve para estandarizar las condiciones de experiencia, conforme al parágrafo 7 del artículo 2 de la Ley 1150 de 2007. De otro lado, dicha matriz permite determinar el ámbito de aplicación de los documentos tipo respecto de objetos contractuales asociados, ya que son las actividades descritas en esta las que, obligatoriamente, deben contratarse aplicando documentos tipo.</w:t>
      </w:r>
    </w:p>
    <w:p w14:paraId="3D30E1EA" w14:textId="1757B5C9" w:rsidR="00F11750" w:rsidRPr="00BB5A45" w:rsidRDefault="00F11750" w:rsidP="008F1F27">
      <w:pPr>
        <w:rPr>
          <w:rFonts w:ascii="Arial" w:eastAsia="Calibri" w:hAnsi="Arial" w:cs="Arial"/>
          <w:sz w:val="22"/>
          <w:szCs w:val="22"/>
          <w:lang w:val="es-ES"/>
        </w:rPr>
      </w:pPr>
    </w:p>
    <w:p w14:paraId="1AE5A974" w14:textId="77A27AEA" w:rsidR="00F11750" w:rsidRPr="00BB5A45" w:rsidRDefault="00F11750" w:rsidP="008F1F27">
      <w:pPr>
        <w:rPr>
          <w:rFonts w:ascii="Arial" w:eastAsia="Calibri" w:hAnsi="Arial" w:cs="Arial"/>
          <w:sz w:val="22"/>
          <w:szCs w:val="22"/>
          <w:lang w:val="es-ES"/>
        </w:rPr>
      </w:pPr>
    </w:p>
    <w:p w14:paraId="2F52508E" w14:textId="03E920A5" w:rsidR="00F11750" w:rsidRPr="00BB5A45" w:rsidRDefault="00F11750" w:rsidP="008F1F27">
      <w:pPr>
        <w:rPr>
          <w:rFonts w:ascii="Arial" w:eastAsia="Calibri" w:hAnsi="Arial" w:cs="Arial"/>
          <w:sz w:val="22"/>
          <w:szCs w:val="22"/>
          <w:lang w:val="es-ES"/>
        </w:rPr>
      </w:pPr>
    </w:p>
    <w:p w14:paraId="2196113E" w14:textId="15202CF3" w:rsidR="00F11750" w:rsidRPr="00BB5A45" w:rsidRDefault="00F11750" w:rsidP="008F1F27">
      <w:pPr>
        <w:rPr>
          <w:rFonts w:ascii="Arial" w:eastAsia="Calibri" w:hAnsi="Arial" w:cs="Arial"/>
          <w:sz w:val="22"/>
          <w:szCs w:val="22"/>
          <w:lang w:val="es-ES"/>
        </w:rPr>
      </w:pPr>
    </w:p>
    <w:p w14:paraId="0E692D50" w14:textId="73FC1107" w:rsidR="00F11750" w:rsidRPr="00BB5A45" w:rsidRDefault="00F11750" w:rsidP="008F1F27">
      <w:pPr>
        <w:rPr>
          <w:rFonts w:ascii="Arial" w:eastAsia="Calibri" w:hAnsi="Arial" w:cs="Arial"/>
          <w:sz w:val="22"/>
          <w:szCs w:val="22"/>
          <w:lang w:val="es-ES"/>
        </w:rPr>
      </w:pPr>
    </w:p>
    <w:p w14:paraId="282637E0" w14:textId="5D3A4971" w:rsidR="00F11750" w:rsidRPr="00BB5A45" w:rsidRDefault="00F11750" w:rsidP="008F1F27">
      <w:pPr>
        <w:rPr>
          <w:rFonts w:ascii="Arial" w:eastAsia="Calibri" w:hAnsi="Arial" w:cs="Arial"/>
          <w:sz w:val="22"/>
          <w:szCs w:val="22"/>
          <w:lang w:val="es-ES"/>
        </w:rPr>
      </w:pPr>
    </w:p>
    <w:p w14:paraId="20204F51" w14:textId="128F930C" w:rsidR="00F11750" w:rsidRPr="00BB5A45" w:rsidRDefault="00F11750" w:rsidP="008F1F27">
      <w:pPr>
        <w:rPr>
          <w:rFonts w:ascii="Arial" w:eastAsia="Calibri" w:hAnsi="Arial" w:cs="Arial"/>
          <w:sz w:val="22"/>
          <w:szCs w:val="22"/>
          <w:lang w:val="es-ES"/>
        </w:rPr>
      </w:pPr>
    </w:p>
    <w:p w14:paraId="2908E4D0" w14:textId="553ED4E8" w:rsidR="00F11750" w:rsidRPr="00BB5A45" w:rsidRDefault="00F11750" w:rsidP="008F1F27">
      <w:pPr>
        <w:rPr>
          <w:rFonts w:ascii="Arial" w:eastAsia="Calibri" w:hAnsi="Arial" w:cs="Arial"/>
          <w:sz w:val="22"/>
          <w:szCs w:val="22"/>
          <w:lang w:val="es-ES"/>
        </w:rPr>
      </w:pPr>
    </w:p>
    <w:p w14:paraId="667A9DD9" w14:textId="0906784F" w:rsidR="00F11750" w:rsidRPr="00BB5A45" w:rsidRDefault="00F11750" w:rsidP="008F1F27">
      <w:pPr>
        <w:rPr>
          <w:rFonts w:ascii="Arial" w:eastAsia="Calibri" w:hAnsi="Arial" w:cs="Arial"/>
          <w:sz w:val="22"/>
          <w:szCs w:val="22"/>
          <w:lang w:val="es-ES"/>
        </w:rPr>
      </w:pPr>
    </w:p>
    <w:p w14:paraId="27B0BB9F" w14:textId="629249DF" w:rsidR="00CC410C" w:rsidRPr="00BB5A45" w:rsidRDefault="00CC410C" w:rsidP="008F1F27">
      <w:pPr>
        <w:rPr>
          <w:rFonts w:ascii="Arial" w:eastAsia="Calibri" w:hAnsi="Arial" w:cs="Arial"/>
          <w:sz w:val="22"/>
          <w:szCs w:val="22"/>
          <w:lang w:val="es-ES"/>
        </w:rPr>
      </w:pPr>
    </w:p>
    <w:p w14:paraId="2128E161" w14:textId="77777777" w:rsidR="00150841" w:rsidRPr="00BB5A45" w:rsidRDefault="00150841" w:rsidP="008F1F27">
      <w:pPr>
        <w:rPr>
          <w:rFonts w:ascii="Arial" w:eastAsia="Calibri" w:hAnsi="Arial" w:cs="Arial"/>
          <w:sz w:val="22"/>
          <w:szCs w:val="22"/>
          <w:lang w:val="es-ES"/>
        </w:rPr>
      </w:pPr>
    </w:p>
    <w:p w14:paraId="7C6FF621" w14:textId="77777777" w:rsidR="003A6CDA" w:rsidRPr="00BB5A45" w:rsidRDefault="003A6CDA" w:rsidP="00B65034">
      <w:pPr>
        <w:jc w:val="right"/>
      </w:pPr>
    </w:p>
    <w:p w14:paraId="030522CA" w14:textId="77777777" w:rsidR="003A6CDA" w:rsidRPr="00BB5A45" w:rsidRDefault="003A6CDA" w:rsidP="00B65034">
      <w:pPr>
        <w:jc w:val="right"/>
      </w:pPr>
    </w:p>
    <w:p w14:paraId="3F5AE4C8" w14:textId="6E425D60" w:rsidR="00B65034" w:rsidRPr="00BB5A45" w:rsidRDefault="00B65034" w:rsidP="00B65034">
      <w:pPr>
        <w:jc w:val="right"/>
      </w:pPr>
      <w:r w:rsidRPr="00BB5A45">
        <w:fldChar w:fldCharType="begin"/>
      </w:r>
      <w:r w:rsidR="00574976" w:rsidRPr="00BB5A45">
        <w:instrText xml:space="preserve"> INCLUDEPICTURE "C:\\var\\folders\\tb\\0fmk9b510f57pz5rwhv8lnpw0000gp\\T\\com.microsoft.Word\\WebArchiveCopyPasteTempFiles\\page1image1038500256" \* MERGEFORMAT </w:instrText>
      </w:r>
      <w:r w:rsidR="00564C0E">
        <w:fldChar w:fldCharType="separate"/>
      </w:r>
      <w:r w:rsidRPr="00BB5A45">
        <w:fldChar w:fldCharType="end"/>
      </w:r>
    </w:p>
    <w:p w14:paraId="06748ECA" w14:textId="664CC3D5" w:rsidR="00B65034" w:rsidRPr="00BB5A45" w:rsidRDefault="00B65034" w:rsidP="008F1F27">
      <w:pPr>
        <w:rPr>
          <w:rFonts w:ascii="Arial" w:eastAsia="Calibri" w:hAnsi="Arial" w:cs="Arial"/>
          <w:sz w:val="22"/>
          <w:szCs w:val="22"/>
          <w:lang w:val="es-ES"/>
        </w:rPr>
      </w:pPr>
    </w:p>
    <w:p w14:paraId="2A01B386" w14:textId="1E50D9CC" w:rsidR="005B62F9" w:rsidRPr="00BB5A45" w:rsidRDefault="005B62F9" w:rsidP="008F1F27">
      <w:pPr>
        <w:rPr>
          <w:rFonts w:ascii="Arial" w:eastAsia="Calibri" w:hAnsi="Arial" w:cs="Arial"/>
          <w:sz w:val="22"/>
          <w:szCs w:val="22"/>
          <w:lang w:val="es-ES"/>
        </w:rPr>
      </w:pPr>
    </w:p>
    <w:p w14:paraId="1EC030D7" w14:textId="4E1E77C1" w:rsidR="005B62F9" w:rsidRPr="00BB5A45" w:rsidRDefault="005B62F9" w:rsidP="008F1F27">
      <w:pPr>
        <w:rPr>
          <w:rFonts w:ascii="Arial" w:eastAsia="Calibri" w:hAnsi="Arial" w:cs="Arial"/>
          <w:sz w:val="22"/>
          <w:szCs w:val="22"/>
          <w:lang w:val="es-ES"/>
        </w:rPr>
      </w:pPr>
    </w:p>
    <w:p w14:paraId="01E5042E" w14:textId="49DDFCC0" w:rsidR="005B62F9" w:rsidRPr="00BB5A45" w:rsidRDefault="005B62F9" w:rsidP="008F1F27">
      <w:pPr>
        <w:rPr>
          <w:rFonts w:ascii="Arial" w:eastAsia="Calibri" w:hAnsi="Arial" w:cs="Arial"/>
          <w:sz w:val="22"/>
          <w:szCs w:val="22"/>
          <w:lang w:val="es-ES"/>
        </w:rPr>
      </w:pPr>
    </w:p>
    <w:p w14:paraId="643639C0" w14:textId="0F527017" w:rsidR="005B62F9" w:rsidRPr="00BB5A45" w:rsidRDefault="005B62F9" w:rsidP="008F1F27">
      <w:pPr>
        <w:rPr>
          <w:rFonts w:ascii="Arial" w:eastAsia="Calibri" w:hAnsi="Arial" w:cs="Arial"/>
          <w:sz w:val="22"/>
          <w:szCs w:val="22"/>
          <w:lang w:val="es-ES"/>
        </w:rPr>
      </w:pPr>
    </w:p>
    <w:p w14:paraId="68A2E710" w14:textId="4C87404E" w:rsidR="005B62F9" w:rsidRPr="00BB5A45" w:rsidRDefault="005B62F9" w:rsidP="008F1F27">
      <w:pPr>
        <w:rPr>
          <w:rFonts w:ascii="Arial" w:eastAsia="Calibri" w:hAnsi="Arial" w:cs="Arial"/>
          <w:sz w:val="22"/>
          <w:szCs w:val="22"/>
          <w:lang w:val="es-ES"/>
        </w:rPr>
      </w:pPr>
    </w:p>
    <w:p w14:paraId="7BBAD4F6" w14:textId="4988DF65" w:rsidR="005B62F9" w:rsidRPr="00BB5A45" w:rsidRDefault="005B62F9" w:rsidP="008F1F27">
      <w:pPr>
        <w:rPr>
          <w:rFonts w:ascii="Arial" w:eastAsia="Calibri" w:hAnsi="Arial" w:cs="Arial"/>
          <w:sz w:val="22"/>
          <w:szCs w:val="22"/>
          <w:lang w:val="es-ES"/>
        </w:rPr>
      </w:pPr>
    </w:p>
    <w:p w14:paraId="22EF139D" w14:textId="48D0336B" w:rsidR="005B62F9" w:rsidRPr="00BB5A45" w:rsidRDefault="005B62F9" w:rsidP="008F1F27">
      <w:pPr>
        <w:rPr>
          <w:rFonts w:ascii="Arial" w:eastAsia="Calibri" w:hAnsi="Arial" w:cs="Arial"/>
          <w:sz w:val="22"/>
          <w:szCs w:val="22"/>
          <w:lang w:val="es-ES"/>
        </w:rPr>
      </w:pPr>
    </w:p>
    <w:p w14:paraId="449A808D" w14:textId="764279B6" w:rsidR="005B62F9" w:rsidRPr="00BB5A45" w:rsidRDefault="005B62F9" w:rsidP="008F1F27">
      <w:pPr>
        <w:rPr>
          <w:rFonts w:ascii="Arial" w:eastAsia="Calibri" w:hAnsi="Arial" w:cs="Arial"/>
          <w:sz w:val="22"/>
          <w:szCs w:val="22"/>
          <w:lang w:val="es-ES"/>
        </w:rPr>
      </w:pPr>
    </w:p>
    <w:p w14:paraId="6F4428CF" w14:textId="22FCC835" w:rsidR="005B62F9" w:rsidRPr="00BB5A45" w:rsidRDefault="005B62F9" w:rsidP="008F1F27">
      <w:pPr>
        <w:rPr>
          <w:rFonts w:ascii="Arial" w:eastAsia="Calibri" w:hAnsi="Arial" w:cs="Arial"/>
          <w:sz w:val="22"/>
          <w:szCs w:val="22"/>
          <w:lang w:val="es-ES"/>
        </w:rPr>
      </w:pPr>
    </w:p>
    <w:p w14:paraId="56996262" w14:textId="2D4D445F" w:rsidR="00987109" w:rsidRDefault="00987109" w:rsidP="008F1F27">
      <w:pPr>
        <w:rPr>
          <w:rFonts w:ascii="Arial" w:eastAsia="Calibri" w:hAnsi="Arial" w:cs="Arial"/>
          <w:sz w:val="22"/>
          <w:szCs w:val="22"/>
          <w:lang w:val="es-ES"/>
        </w:rPr>
      </w:pPr>
    </w:p>
    <w:p w14:paraId="0844B7D9" w14:textId="70531654" w:rsidR="00E76591" w:rsidRDefault="00E76591" w:rsidP="008F1F27">
      <w:pPr>
        <w:rPr>
          <w:rFonts w:ascii="Arial" w:eastAsia="Calibri" w:hAnsi="Arial" w:cs="Arial"/>
          <w:sz w:val="22"/>
          <w:szCs w:val="22"/>
          <w:lang w:val="es-ES"/>
        </w:rPr>
      </w:pPr>
    </w:p>
    <w:p w14:paraId="3E8C8C2D" w14:textId="3376AE46" w:rsidR="00E76591" w:rsidRDefault="00E76591" w:rsidP="00E76591">
      <w:pPr>
        <w:jc w:val="right"/>
        <w:rPr>
          <w:rFonts w:ascii="Arial" w:eastAsia="Calibri" w:hAnsi="Arial" w:cs="Arial"/>
          <w:sz w:val="22"/>
          <w:szCs w:val="22"/>
          <w:lang w:val="es-ES"/>
        </w:rPr>
      </w:pPr>
      <w:r w:rsidRPr="00E76591">
        <w:rPr>
          <w:rFonts w:ascii="Arial" w:eastAsia="Calibri" w:hAnsi="Arial" w:cs="Arial"/>
          <w:noProof/>
          <w:sz w:val="22"/>
          <w:szCs w:val="22"/>
          <w:lang w:val="es-ES"/>
        </w:rPr>
        <w:drawing>
          <wp:inline distT="0" distB="0" distL="0" distR="0" wp14:anchorId="2A2A9D42" wp14:editId="2516B918">
            <wp:extent cx="3554154" cy="943610"/>
            <wp:effectExtent l="0" t="0" r="8255"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3058" cy="945974"/>
                    </a:xfrm>
                    <a:prstGeom prst="rect">
                      <a:avLst/>
                    </a:prstGeom>
                    <a:noFill/>
                    <a:ln>
                      <a:noFill/>
                    </a:ln>
                  </pic:spPr>
                </pic:pic>
              </a:graphicData>
            </a:graphic>
          </wp:inline>
        </w:drawing>
      </w:r>
    </w:p>
    <w:p w14:paraId="4F98E41D" w14:textId="77777777" w:rsidR="00E76591" w:rsidRPr="00BB5A45" w:rsidRDefault="00E76591" w:rsidP="008F1F27">
      <w:pPr>
        <w:rPr>
          <w:rFonts w:ascii="Arial" w:eastAsia="Calibri" w:hAnsi="Arial" w:cs="Arial"/>
          <w:sz w:val="22"/>
          <w:szCs w:val="22"/>
          <w:lang w:val="es-ES"/>
        </w:rPr>
      </w:pPr>
    </w:p>
    <w:p w14:paraId="082B6DB4" w14:textId="5DFB22D8" w:rsidR="008F1F27" w:rsidRPr="00BB5A45" w:rsidRDefault="008F1F27" w:rsidP="008F1F27">
      <w:pPr>
        <w:rPr>
          <w:rFonts w:ascii="Arial" w:eastAsia="Calibri" w:hAnsi="Arial" w:cs="Arial"/>
          <w:sz w:val="22"/>
          <w:szCs w:val="22"/>
          <w:lang w:val="es-ES"/>
        </w:rPr>
      </w:pPr>
      <w:r w:rsidRPr="00BB5A45">
        <w:rPr>
          <w:rFonts w:ascii="Arial" w:eastAsia="Calibri" w:hAnsi="Arial" w:cs="Arial"/>
          <w:sz w:val="22"/>
          <w:szCs w:val="22"/>
          <w:lang w:val="es-ES"/>
        </w:rPr>
        <w:t>Señor</w:t>
      </w:r>
    </w:p>
    <w:p w14:paraId="20EB80AD" w14:textId="20081386" w:rsidR="00D83877" w:rsidRPr="00BB5A45" w:rsidRDefault="00A02A78" w:rsidP="008F1F27">
      <w:pPr>
        <w:rPr>
          <w:rFonts w:ascii="Arial" w:eastAsia="Calibri" w:hAnsi="Arial" w:cs="Arial"/>
          <w:b/>
          <w:bCs/>
          <w:sz w:val="22"/>
          <w:szCs w:val="22"/>
          <w:lang w:val="es-ES"/>
        </w:rPr>
      </w:pPr>
      <w:r w:rsidRPr="00BB5A45">
        <w:rPr>
          <w:rFonts w:ascii="Arial" w:eastAsia="Calibri" w:hAnsi="Arial" w:cs="Arial"/>
          <w:b/>
          <w:bCs/>
          <w:sz w:val="22"/>
          <w:szCs w:val="22"/>
          <w:lang w:val="es-ES"/>
        </w:rPr>
        <w:t xml:space="preserve">Wilson Díaz </w:t>
      </w:r>
    </w:p>
    <w:p w14:paraId="2B910637" w14:textId="65482764" w:rsidR="008F1F27" w:rsidRPr="00BB5A45" w:rsidRDefault="00A02A78" w:rsidP="008F1F27">
      <w:pPr>
        <w:rPr>
          <w:rFonts w:ascii="Arial" w:eastAsia="Calibri" w:hAnsi="Arial" w:cs="Arial"/>
          <w:sz w:val="22"/>
          <w:szCs w:val="22"/>
          <w:lang w:val="es-ES"/>
        </w:rPr>
      </w:pPr>
      <w:r w:rsidRPr="00BB5A45">
        <w:rPr>
          <w:rFonts w:ascii="Arial" w:eastAsia="Calibri" w:hAnsi="Arial" w:cs="Arial"/>
          <w:sz w:val="22"/>
          <w:szCs w:val="22"/>
          <w:lang w:val="es-ES"/>
        </w:rPr>
        <w:t xml:space="preserve">Bogotá D.C. </w:t>
      </w:r>
    </w:p>
    <w:p w14:paraId="75A8322F" w14:textId="77777777" w:rsidR="008F1F27" w:rsidRPr="00BB5A45" w:rsidRDefault="008F1F27" w:rsidP="008F1F27">
      <w:pPr>
        <w:rPr>
          <w:rFonts w:ascii="Arial" w:eastAsia="Calibri" w:hAnsi="Arial" w:cs="Arial"/>
          <w:sz w:val="22"/>
          <w:szCs w:val="22"/>
          <w:lang w:val="es-ES"/>
        </w:rPr>
      </w:pPr>
    </w:p>
    <w:p w14:paraId="509A3CD8" w14:textId="77777777" w:rsidR="008F1F27" w:rsidRPr="00BB5A45" w:rsidRDefault="008F1F27" w:rsidP="008F1F27">
      <w:pPr>
        <w:rPr>
          <w:rFonts w:ascii="Arial" w:eastAsia="Calibri" w:hAnsi="Arial" w:cs="Arial"/>
          <w:b/>
          <w:sz w:val="22"/>
          <w:szCs w:val="22"/>
          <w:lang w:val="es-ES"/>
        </w:rPr>
      </w:pPr>
    </w:p>
    <w:p w14:paraId="481D0967" w14:textId="10590D96" w:rsidR="008F1F27" w:rsidRPr="00BB5A45" w:rsidRDefault="008F1F27" w:rsidP="008F1F27">
      <w:pPr>
        <w:rPr>
          <w:rFonts w:ascii="Arial" w:eastAsia="Calibri" w:hAnsi="Arial" w:cs="Arial"/>
          <w:b/>
          <w:sz w:val="22"/>
          <w:szCs w:val="22"/>
          <w:lang w:val="es-ES"/>
        </w:rPr>
      </w:pPr>
      <w:r w:rsidRPr="00BB5A45">
        <w:rPr>
          <w:rFonts w:ascii="Arial" w:eastAsia="Calibri" w:hAnsi="Arial" w:cs="Arial"/>
          <w:b/>
          <w:sz w:val="22"/>
          <w:szCs w:val="22"/>
          <w:lang w:val="es-ES"/>
        </w:rPr>
        <w:t xml:space="preserve">                                           Concepto C – </w:t>
      </w:r>
      <w:r w:rsidR="00A02A78" w:rsidRPr="00BB5A45">
        <w:rPr>
          <w:rFonts w:ascii="Arial" w:eastAsia="Calibri" w:hAnsi="Arial" w:cs="Arial"/>
          <w:b/>
          <w:sz w:val="22"/>
          <w:szCs w:val="22"/>
          <w:lang w:val="es-ES"/>
        </w:rPr>
        <w:t>467</w:t>
      </w:r>
      <w:r w:rsidRPr="00BB5A45">
        <w:rPr>
          <w:rFonts w:ascii="Arial" w:eastAsia="Calibri" w:hAnsi="Arial" w:cs="Arial"/>
          <w:b/>
          <w:sz w:val="22"/>
          <w:szCs w:val="22"/>
          <w:lang w:val="es-ES"/>
        </w:rPr>
        <w:t xml:space="preserve"> de 2022</w:t>
      </w:r>
    </w:p>
    <w:p w14:paraId="1CFE9394" w14:textId="77777777" w:rsidR="008F1F27" w:rsidRPr="00BB5A45" w:rsidRDefault="008F1F27" w:rsidP="008F1F27">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25"/>
        <w:gridCol w:w="6301"/>
      </w:tblGrid>
      <w:tr w:rsidR="000A12D9" w:rsidRPr="00BB5A45" w14:paraId="273EBBC8" w14:textId="77777777" w:rsidTr="3923DC84">
        <w:trPr>
          <w:trHeight w:val="550"/>
        </w:trPr>
        <w:tc>
          <w:tcPr>
            <w:tcW w:w="2625" w:type="dxa"/>
          </w:tcPr>
          <w:p w14:paraId="6D706277" w14:textId="09319225" w:rsidR="000A12D9" w:rsidRPr="00BB5A45" w:rsidRDefault="000A12D9" w:rsidP="000A12D9">
            <w:pPr>
              <w:rPr>
                <w:rFonts w:ascii="Arial" w:eastAsia="Calibri" w:hAnsi="Arial" w:cs="Arial"/>
                <w:lang w:val="es-ES"/>
              </w:rPr>
            </w:pPr>
            <w:r w:rsidRPr="00BB5A45">
              <w:rPr>
                <w:rFonts w:ascii="Arial" w:eastAsia="Calibri" w:hAnsi="Arial" w:cs="Arial"/>
                <w:b/>
                <w:lang w:val="es-ES"/>
              </w:rPr>
              <w:t>T</w:t>
            </w:r>
            <w:r w:rsidR="00150841" w:rsidRPr="00BB5A45">
              <w:rPr>
                <w:rFonts w:ascii="Arial" w:eastAsia="Calibri" w:hAnsi="Arial" w:cs="Arial"/>
                <w:b/>
                <w:lang w:val="es-ES"/>
              </w:rPr>
              <w:t>e</w:t>
            </w:r>
            <w:r w:rsidRPr="00BB5A45">
              <w:rPr>
                <w:rFonts w:ascii="Arial" w:eastAsia="Calibri" w:hAnsi="Arial" w:cs="Arial"/>
                <w:b/>
                <w:lang w:val="es-ES"/>
              </w:rPr>
              <w:t>mas:</w:t>
            </w:r>
            <w:r w:rsidRPr="00BB5A45">
              <w:rPr>
                <w:rFonts w:ascii="Arial" w:eastAsia="Calibri" w:hAnsi="Arial" w:cs="Arial"/>
                <w:lang w:val="es-ES"/>
              </w:rPr>
              <w:t xml:space="preserve">                                    </w:t>
            </w:r>
          </w:p>
        </w:tc>
        <w:tc>
          <w:tcPr>
            <w:tcW w:w="6301" w:type="dxa"/>
          </w:tcPr>
          <w:p w14:paraId="66713F2E" w14:textId="57567D46" w:rsidR="00150841" w:rsidRPr="00BB5A45" w:rsidRDefault="00150841" w:rsidP="3923DC84">
            <w:pPr>
              <w:spacing w:after="120"/>
              <w:jc w:val="both"/>
              <w:rPr>
                <w:rFonts w:ascii="Arial" w:eastAsia="Calibri" w:hAnsi="Arial" w:cs="Arial"/>
                <w:b/>
                <w:bCs/>
              </w:rPr>
            </w:pPr>
            <w:r w:rsidRPr="00BB5A45">
              <w:rPr>
                <w:rFonts w:ascii="Arial" w:eastAsia="Calibri" w:hAnsi="Arial" w:cs="Arial"/>
                <w:lang w:val="es-MX"/>
              </w:rPr>
              <w:t xml:space="preserve">PRINCIPIO DE SELECCIÓN OBJETIVA – </w:t>
            </w:r>
            <w:r w:rsidR="003A6CDA" w:rsidRPr="00BB5A45">
              <w:rPr>
                <w:rFonts w:ascii="Arial" w:eastAsia="Calibri" w:hAnsi="Arial" w:cs="Arial"/>
                <w:lang w:val="es-MX"/>
              </w:rPr>
              <w:t>Alcance</w:t>
            </w:r>
            <w:r w:rsidR="005A0BBD" w:rsidRPr="00BB5A45">
              <w:rPr>
                <w:rFonts w:ascii="Arial" w:eastAsia="Calibri" w:hAnsi="Arial" w:cs="Arial"/>
                <w:lang w:val="es-MX"/>
              </w:rPr>
              <w:t xml:space="preserve"> </w:t>
            </w:r>
            <w:r w:rsidRPr="00BB5A45">
              <w:rPr>
                <w:rFonts w:ascii="Arial" w:eastAsia="Calibri" w:hAnsi="Arial" w:cs="Arial"/>
                <w:lang w:val="es-MX"/>
              </w:rPr>
              <w:t xml:space="preserve">/ </w:t>
            </w:r>
            <w:r w:rsidR="005A0BBD" w:rsidRPr="00BB5A45">
              <w:rPr>
                <w:rFonts w:ascii="Arial" w:eastAsia="Calibri" w:hAnsi="Arial" w:cs="Arial"/>
                <w:lang w:val="es-MX"/>
              </w:rPr>
              <w:t>REQUISITOS HABILITANTES – Concepto / EXPERIENCIA – Concepto</w:t>
            </w:r>
            <w:r w:rsidRPr="00BB5A45">
              <w:rPr>
                <w:rFonts w:ascii="Arial" w:eastAsia="Calibri" w:hAnsi="Arial" w:cs="Arial"/>
                <w:b/>
                <w:bCs/>
              </w:rPr>
              <w:t xml:space="preserve"> </w:t>
            </w:r>
            <w:r w:rsidR="005B62F9" w:rsidRPr="00BB5A45">
              <w:rPr>
                <w:rFonts w:ascii="Arial" w:eastAsia="Calibri" w:hAnsi="Arial" w:cs="Arial"/>
                <w:b/>
                <w:bCs/>
              </w:rPr>
              <w:t xml:space="preserve">/ </w:t>
            </w:r>
            <w:r w:rsidR="005B62F9" w:rsidRPr="00BB5A45">
              <w:rPr>
                <w:rFonts w:ascii="Arial" w:eastAsia="Calibri" w:hAnsi="Arial" w:cs="Arial"/>
              </w:rPr>
              <w:t>EXPERIENCIA ESPECÍFICA</w:t>
            </w:r>
            <w:r w:rsidR="005B62F9" w:rsidRPr="00BB5A45">
              <w:rPr>
                <w:rFonts w:ascii="Arial" w:eastAsia="Calibri" w:hAnsi="Arial" w:cs="Arial"/>
                <w:b/>
                <w:bCs/>
              </w:rPr>
              <w:t xml:space="preserve"> </w:t>
            </w:r>
            <w:r w:rsidR="005B62F9" w:rsidRPr="00BB5A45">
              <w:rPr>
                <w:rFonts w:ascii="Arial" w:eastAsia="Calibri" w:hAnsi="Arial" w:cs="Arial"/>
                <w:lang w:val="es-MX"/>
              </w:rPr>
              <w:t>– Documentos Tipo – Ejemplo</w:t>
            </w:r>
          </w:p>
          <w:p w14:paraId="08D9D14A" w14:textId="3C2BE816" w:rsidR="000A12D9" w:rsidRPr="00BB5A45" w:rsidRDefault="000A12D9" w:rsidP="00284A4E">
            <w:pPr>
              <w:tabs>
                <w:tab w:val="left" w:pos="0"/>
              </w:tabs>
              <w:spacing w:after="120"/>
              <w:jc w:val="both"/>
              <w:rPr>
                <w:rFonts w:ascii="Arial" w:eastAsia="Calibri" w:hAnsi="Arial" w:cs="Arial"/>
                <w:bCs/>
              </w:rPr>
            </w:pPr>
          </w:p>
        </w:tc>
      </w:tr>
      <w:tr w:rsidR="008F1F27" w:rsidRPr="00BB5A45" w14:paraId="4D112C5C" w14:textId="77777777" w:rsidTr="3923DC84">
        <w:tc>
          <w:tcPr>
            <w:tcW w:w="2625" w:type="dxa"/>
          </w:tcPr>
          <w:p w14:paraId="2CB6AE77" w14:textId="77777777" w:rsidR="008F1F27" w:rsidRPr="00BB5A45" w:rsidRDefault="008F1F27" w:rsidP="00B10244">
            <w:pPr>
              <w:rPr>
                <w:rFonts w:ascii="Arial" w:eastAsia="Calibri" w:hAnsi="Arial" w:cs="Arial"/>
                <w:lang w:val="es-ES"/>
              </w:rPr>
            </w:pPr>
            <w:r w:rsidRPr="00BB5A45">
              <w:rPr>
                <w:rFonts w:ascii="Arial" w:eastAsia="Calibri" w:hAnsi="Arial" w:cs="Arial"/>
                <w:b/>
                <w:lang w:val="es-ES"/>
              </w:rPr>
              <w:t>Radicación:</w:t>
            </w:r>
            <w:r w:rsidRPr="00BB5A45">
              <w:rPr>
                <w:rFonts w:ascii="Arial" w:eastAsia="Calibri" w:hAnsi="Arial" w:cs="Arial"/>
                <w:lang w:val="es-ES"/>
              </w:rPr>
              <w:t xml:space="preserve">                              </w:t>
            </w:r>
          </w:p>
        </w:tc>
        <w:tc>
          <w:tcPr>
            <w:tcW w:w="6301" w:type="dxa"/>
          </w:tcPr>
          <w:p w14:paraId="774FD7A7" w14:textId="45DD37EC" w:rsidR="008F1F27" w:rsidRPr="00BB5A45" w:rsidRDefault="008F1F27" w:rsidP="00B10244">
            <w:pPr>
              <w:rPr>
                <w:rFonts w:ascii="Arial" w:eastAsia="Calibri" w:hAnsi="Arial" w:cs="Arial"/>
                <w:lang w:val="es-ES"/>
              </w:rPr>
            </w:pPr>
            <w:r w:rsidRPr="00BB5A45">
              <w:rPr>
                <w:rFonts w:ascii="Arial" w:eastAsia="Calibri" w:hAnsi="Arial" w:cs="Arial"/>
                <w:lang w:val="es-ES"/>
              </w:rPr>
              <w:t xml:space="preserve">Respuesta a consulta </w:t>
            </w:r>
            <w:r w:rsidR="00293834" w:rsidRPr="00BB5A45">
              <w:rPr>
                <w:rFonts w:ascii="Arial" w:hAnsi="Arial" w:cs="Arial"/>
                <w:lang w:val="es-ES"/>
              </w:rPr>
              <w:t>P2022</w:t>
            </w:r>
            <w:r w:rsidR="00A02A78" w:rsidRPr="00BB5A45">
              <w:rPr>
                <w:rFonts w:ascii="Arial" w:hAnsi="Arial" w:cs="Arial"/>
                <w:lang w:val="es-ES"/>
              </w:rPr>
              <w:t>0606005560</w:t>
            </w:r>
          </w:p>
        </w:tc>
      </w:tr>
    </w:tbl>
    <w:p w14:paraId="26DFA7A8" w14:textId="77777777" w:rsidR="008F1F27" w:rsidRPr="00BB5A45" w:rsidRDefault="008F1F27" w:rsidP="008F1F27">
      <w:pPr>
        <w:spacing w:line="276" w:lineRule="auto"/>
        <w:rPr>
          <w:rFonts w:ascii="Arial" w:eastAsia="Calibri" w:hAnsi="Arial" w:cs="Arial"/>
          <w:sz w:val="22"/>
          <w:szCs w:val="22"/>
          <w:lang w:val="es-ES"/>
        </w:rPr>
      </w:pPr>
    </w:p>
    <w:p w14:paraId="6D2F9086" w14:textId="77777777" w:rsidR="008F1F27" w:rsidRPr="00BB5A45" w:rsidRDefault="008F1F27" w:rsidP="008F1F27">
      <w:pPr>
        <w:spacing w:line="276" w:lineRule="auto"/>
        <w:rPr>
          <w:rFonts w:ascii="Arial" w:eastAsia="Calibri" w:hAnsi="Arial" w:cs="Arial"/>
          <w:sz w:val="22"/>
          <w:szCs w:val="22"/>
          <w:lang w:val="es-ES"/>
        </w:rPr>
      </w:pPr>
    </w:p>
    <w:p w14:paraId="54C8633C" w14:textId="674CD4B5" w:rsidR="008F1F27" w:rsidRPr="00BB5A45" w:rsidRDefault="008F1F27" w:rsidP="008F1F27">
      <w:pPr>
        <w:tabs>
          <w:tab w:val="left" w:pos="3736"/>
        </w:tabs>
        <w:spacing w:line="276" w:lineRule="auto"/>
        <w:rPr>
          <w:rFonts w:ascii="Arial" w:eastAsia="Calibri" w:hAnsi="Arial" w:cs="Arial"/>
          <w:sz w:val="22"/>
          <w:szCs w:val="22"/>
          <w:lang w:val="es-ES"/>
        </w:rPr>
      </w:pPr>
      <w:r w:rsidRPr="00BB5A45">
        <w:rPr>
          <w:rFonts w:ascii="Arial" w:eastAsia="Calibri" w:hAnsi="Arial" w:cs="Arial"/>
          <w:sz w:val="22"/>
          <w:szCs w:val="22"/>
          <w:lang w:val="es-ES"/>
        </w:rPr>
        <w:t>Estimad</w:t>
      </w:r>
      <w:r w:rsidR="00CA648B" w:rsidRPr="00BB5A45">
        <w:rPr>
          <w:rFonts w:ascii="Arial" w:eastAsia="Calibri" w:hAnsi="Arial" w:cs="Arial"/>
          <w:sz w:val="22"/>
          <w:szCs w:val="22"/>
          <w:lang w:val="es-ES"/>
        </w:rPr>
        <w:t>o</w:t>
      </w:r>
      <w:r w:rsidRPr="00BB5A45">
        <w:rPr>
          <w:rFonts w:ascii="Arial" w:eastAsia="Calibri" w:hAnsi="Arial" w:cs="Arial"/>
          <w:sz w:val="22"/>
          <w:szCs w:val="22"/>
          <w:lang w:val="es-ES"/>
        </w:rPr>
        <w:t xml:space="preserve"> señor</w:t>
      </w:r>
      <w:r w:rsidR="00CA648B" w:rsidRPr="00BB5A45">
        <w:rPr>
          <w:rFonts w:ascii="Arial" w:eastAsia="Calibri" w:hAnsi="Arial" w:cs="Arial"/>
          <w:sz w:val="22"/>
          <w:szCs w:val="22"/>
          <w:lang w:val="es-ES"/>
        </w:rPr>
        <w:t xml:space="preserve"> </w:t>
      </w:r>
      <w:r w:rsidR="000A1F5F" w:rsidRPr="00BB5A45">
        <w:rPr>
          <w:rFonts w:ascii="Arial" w:eastAsia="Calibri" w:hAnsi="Arial" w:cs="Arial"/>
          <w:sz w:val="22"/>
          <w:szCs w:val="22"/>
          <w:lang w:val="es-ES"/>
        </w:rPr>
        <w:t>Díaz</w:t>
      </w:r>
      <w:r w:rsidRPr="00BB5A45">
        <w:rPr>
          <w:rFonts w:ascii="Arial" w:eastAsia="Calibri" w:hAnsi="Arial" w:cs="Arial"/>
          <w:sz w:val="22"/>
          <w:szCs w:val="22"/>
          <w:lang w:val="es-ES"/>
        </w:rPr>
        <w:t>:</w:t>
      </w:r>
      <w:r w:rsidRPr="00BB5A45">
        <w:rPr>
          <w:rFonts w:ascii="Arial" w:eastAsia="Calibri" w:hAnsi="Arial" w:cs="Arial"/>
          <w:sz w:val="22"/>
          <w:szCs w:val="22"/>
          <w:lang w:val="es-ES"/>
        </w:rPr>
        <w:tab/>
      </w:r>
    </w:p>
    <w:p w14:paraId="2693C6B2" w14:textId="77777777" w:rsidR="008F1F27" w:rsidRPr="00BB5A45" w:rsidRDefault="008F1F27" w:rsidP="008F1F27">
      <w:pPr>
        <w:spacing w:line="276" w:lineRule="auto"/>
        <w:rPr>
          <w:rFonts w:ascii="Arial" w:eastAsia="Calibri" w:hAnsi="Arial" w:cs="Arial"/>
          <w:sz w:val="22"/>
          <w:szCs w:val="22"/>
          <w:lang w:val="es-ES"/>
        </w:rPr>
      </w:pPr>
    </w:p>
    <w:p w14:paraId="0E3A6299" w14:textId="3DCBE858" w:rsidR="008F1F27" w:rsidRPr="00BB5A45" w:rsidRDefault="008F1F27" w:rsidP="008F1F27">
      <w:pPr>
        <w:spacing w:line="276" w:lineRule="auto"/>
        <w:jc w:val="both"/>
        <w:rPr>
          <w:rFonts w:ascii="Arial" w:eastAsia="Calibri" w:hAnsi="Arial" w:cs="Arial"/>
          <w:sz w:val="22"/>
          <w:szCs w:val="22"/>
          <w:lang w:val="es-ES"/>
        </w:rPr>
      </w:pPr>
      <w:r w:rsidRPr="00BB5A45">
        <w:rPr>
          <w:rFonts w:ascii="Arial" w:eastAsia="Calibri" w:hAnsi="Arial" w:cs="Arial"/>
          <w:sz w:val="22"/>
          <w:szCs w:val="22"/>
          <w:lang w:val="es-ES"/>
        </w:rPr>
        <w:t xml:space="preserve">La Agencia Nacional de Contratación Pública – Colombia Compra Eficiente, en ejercicio de la competencia otorgada por el numeral 8 del artículo 11 y el numeral 5 del artículo 3 del Decreto Ley 4170 de 2011, responde su consulta del </w:t>
      </w:r>
      <w:r w:rsidR="000A1F5F" w:rsidRPr="00BB5A45">
        <w:rPr>
          <w:rFonts w:ascii="Arial" w:eastAsia="Calibri" w:hAnsi="Arial" w:cs="Arial"/>
          <w:sz w:val="22"/>
          <w:szCs w:val="22"/>
          <w:lang w:val="es-ES"/>
        </w:rPr>
        <w:t xml:space="preserve">6 </w:t>
      </w:r>
      <w:r w:rsidRPr="00BB5A45">
        <w:rPr>
          <w:rFonts w:ascii="Arial" w:eastAsia="Calibri" w:hAnsi="Arial" w:cs="Arial"/>
          <w:sz w:val="22"/>
          <w:szCs w:val="22"/>
          <w:lang w:val="es-ES"/>
        </w:rPr>
        <w:t xml:space="preserve">de </w:t>
      </w:r>
      <w:r w:rsidR="000A1F5F" w:rsidRPr="00BB5A45">
        <w:rPr>
          <w:rFonts w:ascii="Arial" w:eastAsia="Calibri" w:hAnsi="Arial" w:cs="Arial"/>
          <w:sz w:val="22"/>
          <w:szCs w:val="22"/>
          <w:lang w:val="es-ES"/>
        </w:rPr>
        <w:t>junio</w:t>
      </w:r>
      <w:r w:rsidRPr="00BB5A45">
        <w:rPr>
          <w:rFonts w:ascii="Arial" w:eastAsia="Calibri" w:hAnsi="Arial" w:cs="Arial"/>
          <w:sz w:val="22"/>
          <w:szCs w:val="22"/>
          <w:lang w:val="es-ES"/>
        </w:rPr>
        <w:t xml:space="preserve"> de 2022.</w:t>
      </w:r>
    </w:p>
    <w:p w14:paraId="70E54971" w14:textId="77777777" w:rsidR="008F1F27" w:rsidRPr="00BB5A45" w:rsidRDefault="008F1F27" w:rsidP="008F1F27">
      <w:pPr>
        <w:pStyle w:val="Prrafodelista"/>
        <w:spacing w:line="276" w:lineRule="auto"/>
        <w:ind w:left="0"/>
        <w:rPr>
          <w:rFonts w:ascii="Arial" w:eastAsia="Calibri" w:hAnsi="Arial" w:cs="Arial"/>
          <w:sz w:val="22"/>
          <w:lang w:val="es-ES"/>
        </w:rPr>
      </w:pPr>
    </w:p>
    <w:p w14:paraId="273F674B" w14:textId="77777777" w:rsidR="008F1F27" w:rsidRPr="00BB5A45" w:rsidRDefault="008F1F27" w:rsidP="008F1F27">
      <w:pPr>
        <w:tabs>
          <w:tab w:val="left" w:pos="0"/>
        </w:tabs>
        <w:spacing w:line="276" w:lineRule="auto"/>
        <w:jc w:val="both"/>
        <w:rPr>
          <w:rFonts w:ascii="Arial" w:eastAsia="Calibri" w:hAnsi="Arial" w:cs="Arial"/>
          <w:b/>
          <w:sz w:val="22"/>
          <w:szCs w:val="22"/>
          <w:lang w:val="es-ES"/>
        </w:rPr>
      </w:pPr>
      <w:r w:rsidRPr="00BB5A45">
        <w:rPr>
          <w:rFonts w:ascii="Arial" w:eastAsia="Calibri" w:hAnsi="Arial" w:cs="Arial"/>
          <w:b/>
          <w:sz w:val="22"/>
          <w:szCs w:val="22"/>
          <w:lang w:val="es-ES"/>
        </w:rPr>
        <w:t>1. Problema planteado</w:t>
      </w:r>
    </w:p>
    <w:p w14:paraId="466A69CF" w14:textId="77777777" w:rsidR="008F1F27" w:rsidRPr="00BB5A45" w:rsidRDefault="008F1F27" w:rsidP="008F1F27">
      <w:pPr>
        <w:rPr>
          <w:rFonts w:ascii="Arial" w:eastAsia="Calibri" w:hAnsi="Arial" w:cs="Arial"/>
          <w:sz w:val="22"/>
          <w:szCs w:val="22"/>
          <w:lang w:val="es-ES"/>
        </w:rPr>
      </w:pPr>
    </w:p>
    <w:p w14:paraId="7B6A0190" w14:textId="650D1761" w:rsidR="008F1F27" w:rsidRPr="00BB5A45" w:rsidRDefault="008F1F27" w:rsidP="008F1F27">
      <w:pPr>
        <w:spacing w:line="276" w:lineRule="auto"/>
        <w:jc w:val="both"/>
        <w:rPr>
          <w:rFonts w:ascii="Arial" w:eastAsia="Calibri" w:hAnsi="Arial" w:cs="Arial"/>
          <w:sz w:val="22"/>
          <w:szCs w:val="22"/>
          <w:lang w:val="es-ES"/>
        </w:rPr>
      </w:pPr>
      <w:r w:rsidRPr="00BB5A45">
        <w:rPr>
          <w:rFonts w:ascii="Arial" w:eastAsia="Calibri" w:hAnsi="Arial" w:cs="Arial"/>
          <w:sz w:val="22"/>
          <w:szCs w:val="22"/>
          <w:lang w:val="es-ES"/>
        </w:rPr>
        <w:t>Usted realiza la siguiente</w:t>
      </w:r>
      <w:r w:rsidR="000A1F5F" w:rsidRPr="00BB5A45">
        <w:rPr>
          <w:rFonts w:ascii="Arial" w:eastAsia="Calibri" w:hAnsi="Arial" w:cs="Arial"/>
          <w:sz w:val="22"/>
          <w:szCs w:val="22"/>
          <w:lang w:val="es-ES"/>
        </w:rPr>
        <w:t xml:space="preserve"> </w:t>
      </w:r>
      <w:r w:rsidRPr="00BB5A45">
        <w:rPr>
          <w:rFonts w:ascii="Arial" w:eastAsia="Calibri" w:hAnsi="Arial" w:cs="Arial"/>
          <w:sz w:val="22"/>
          <w:szCs w:val="22"/>
          <w:lang w:val="es-ES"/>
        </w:rPr>
        <w:t xml:space="preserve">pregunta: </w:t>
      </w:r>
    </w:p>
    <w:p w14:paraId="4246C9B1" w14:textId="77777777" w:rsidR="00BA1EE5" w:rsidRPr="00BB5A45" w:rsidRDefault="00BA1EE5" w:rsidP="008F1F27">
      <w:pPr>
        <w:spacing w:line="276" w:lineRule="auto"/>
        <w:jc w:val="both"/>
        <w:rPr>
          <w:rFonts w:ascii="Arial" w:eastAsia="Calibri" w:hAnsi="Arial" w:cs="Arial"/>
          <w:sz w:val="22"/>
          <w:szCs w:val="22"/>
          <w:lang w:val="es-ES"/>
        </w:rPr>
      </w:pPr>
    </w:p>
    <w:p w14:paraId="71D1A8F9" w14:textId="05F2EFA1" w:rsidR="008F1F27" w:rsidRPr="009175BF" w:rsidRDefault="00CA648B" w:rsidP="009175BF">
      <w:pPr>
        <w:ind w:left="709" w:right="709"/>
        <w:jc w:val="both"/>
        <w:rPr>
          <w:rFonts w:ascii="Arial" w:eastAsia="Calibri" w:hAnsi="Arial" w:cs="Arial"/>
          <w:sz w:val="21"/>
          <w:szCs w:val="21"/>
          <w:lang w:val="es-ES"/>
        </w:rPr>
      </w:pPr>
      <w:r w:rsidRPr="009175BF">
        <w:rPr>
          <w:rFonts w:ascii="Arial" w:eastAsia="Calibri" w:hAnsi="Arial" w:cs="Arial"/>
          <w:sz w:val="21"/>
          <w:szCs w:val="21"/>
          <w:lang w:val="es-ES"/>
        </w:rPr>
        <w:t>«</w:t>
      </w:r>
      <w:r w:rsidR="00BA1EE5" w:rsidRPr="009175BF">
        <w:rPr>
          <w:rFonts w:ascii="Arial" w:eastAsia="Calibri" w:hAnsi="Arial" w:cs="Arial"/>
          <w:sz w:val="21"/>
          <w:szCs w:val="21"/>
          <w:lang w:val="es-ES"/>
        </w:rPr>
        <w:t>[M]</w:t>
      </w:r>
      <w:r w:rsidR="000A1F5F" w:rsidRPr="009175BF">
        <w:rPr>
          <w:rFonts w:ascii="Arial" w:eastAsia="Calibri" w:hAnsi="Arial" w:cs="Arial"/>
          <w:sz w:val="21"/>
          <w:szCs w:val="21"/>
          <w:lang w:val="es-ES"/>
        </w:rPr>
        <w:t>e gustaría conocer si es posible encontrar una definición o un concepto técnico por parte de Colombia compra eficiente con</w:t>
      </w:r>
      <w:r w:rsidR="00BA1EE5" w:rsidRPr="009175BF">
        <w:rPr>
          <w:rFonts w:ascii="Arial" w:eastAsia="Calibri" w:hAnsi="Arial" w:cs="Arial"/>
          <w:sz w:val="21"/>
          <w:szCs w:val="21"/>
          <w:lang w:val="es-ES"/>
        </w:rPr>
        <w:t xml:space="preserve"> (sic)</w:t>
      </w:r>
      <w:r w:rsidR="000A1F5F" w:rsidRPr="009175BF">
        <w:rPr>
          <w:rFonts w:ascii="Arial" w:eastAsia="Calibri" w:hAnsi="Arial" w:cs="Arial"/>
          <w:sz w:val="21"/>
          <w:szCs w:val="21"/>
          <w:lang w:val="es-ES"/>
        </w:rPr>
        <w:t xml:space="preserve"> </w:t>
      </w:r>
      <w:proofErr w:type="spellStart"/>
      <w:r w:rsidR="000A1F5F" w:rsidRPr="009175BF">
        <w:rPr>
          <w:rFonts w:ascii="Arial" w:eastAsia="Calibri" w:hAnsi="Arial" w:cs="Arial"/>
          <w:sz w:val="21"/>
          <w:szCs w:val="21"/>
          <w:lang w:val="es-ES"/>
        </w:rPr>
        <w:t>relacion</w:t>
      </w:r>
      <w:proofErr w:type="spellEnd"/>
      <w:r w:rsidR="000A1F5F" w:rsidRPr="009175BF">
        <w:rPr>
          <w:rFonts w:ascii="Arial" w:eastAsia="Calibri" w:hAnsi="Arial" w:cs="Arial"/>
          <w:sz w:val="21"/>
          <w:szCs w:val="21"/>
          <w:lang w:val="es-ES"/>
        </w:rPr>
        <w:t xml:space="preserve"> al termino experiencia especifica.</w:t>
      </w:r>
      <w:r w:rsidR="00293834" w:rsidRPr="009175BF">
        <w:rPr>
          <w:rFonts w:ascii="Arial" w:eastAsia="Calibri" w:hAnsi="Arial" w:cs="Arial"/>
          <w:sz w:val="21"/>
          <w:szCs w:val="21"/>
          <w:lang w:val="es-ES"/>
        </w:rPr>
        <w:t>»</w:t>
      </w:r>
      <w:r w:rsidR="00254949" w:rsidRPr="009175BF">
        <w:rPr>
          <w:rFonts w:ascii="Arial" w:eastAsia="Calibri" w:hAnsi="Arial" w:cs="Arial"/>
          <w:sz w:val="21"/>
          <w:szCs w:val="21"/>
          <w:lang w:val="es-ES"/>
        </w:rPr>
        <w:t>.</w:t>
      </w:r>
    </w:p>
    <w:p w14:paraId="198DFE27" w14:textId="775BDE9A" w:rsidR="000A1F5F" w:rsidRPr="00BB5A45" w:rsidRDefault="000A1F5F" w:rsidP="000A1F5F">
      <w:pPr>
        <w:autoSpaceDE w:val="0"/>
        <w:autoSpaceDN w:val="0"/>
        <w:adjustRightInd w:val="0"/>
        <w:jc w:val="both"/>
        <w:rPr>
          <w:rFonts w:ascii="Arial" w:hAnsi="Arial" w:cs="Arial"/>
          <w:sz w:val="21"/>
          <w:szCs w:val="21"/>
        </w:rPr>
      </w:pPr>
    </w:p>
    <w:p w14:paraId="1A77C23E" w14:textId="77777777" w:rsidR="000A1F5F" w:rsidRPr="00BB5A45" w:rsidRDefault="000A1F5F" w:rsidP="000A1F5F">
      <w:pPr>
        <w:autoSpaceDE w:val="0"/>
        <w:autoSpaceDN w:val="0"/>
        <w:adjustRightInd w:val="0"/>
        <w:jc w:val="both"/>
        <w:rPr>
          <w:rFonts w:ascii="ArialMT" w:eastAsiaTheme="minorHAnsi" w:hAnsi="ArialMT" w:cs="ArialMT"/>
          <w:lang w:eastAsia="en-US"/>
        </w:rPr>
      </w:pPr>
    </w:p>
    <w:p w14:paraId="7062BAA0" w14:textId="4F8916A2" w:rsidR="008F1F27" w:rsidRPr="00BB5A45" w:rsidRDefault="008F1F27" w:rsidP="008F1F27">
      <w:pPr>
        <w:spacing w:line="276" w:lineRule="auto"/>
        <w:jc w:val="both"/>
        <w:rPr>
          <w:rFonts w:ascii="Arial" w:eastAsia="Calibri" w:hAnsi="Arial" w:cs="Arial"/>
          <w:b/>
          <w:sz w:val="22"/>
          <w:szCs w:val="22"/>
          <w:lang w:val="es-ES"/>
        </w:rPr>
      </w:pPr>
      <w:r w:rsidRPr="00BB5A45">
        <w:rPr>
          <w:rFonts w:ascii="Arial" w:eastAsia="Calibri" w:hAnsi="Arial" w:cs="Arial"/>
          <w:b/>
          <w:sz w:val="22"/>
          <w:szCs w:val="22"/>
          <w:lang w:val="es-ES"/>
        </w:rPr>
        <w:t>2. Consideraciones</w:t>
      </w:r>
    </w:p>
    <w:p w14:paraId="59362B81" w14:textId="5A130E26" w:rsidR="00EC0963" w:rsidRPr="00BB5A45" w:rsidRDefault="00EC0963" w:rsidP="008F1F27">
      <w:pPr>
        <w:spacing w:line="276" w:lineRule="auto"/>
        <w:jc w:val="both"/>
        <w:rPr>
          <w:rFonts w:ascii="Arial" w:eastAsia="Calibri" w:hAnsi="Arial" w:cs="Arial"/>
          <w:b/>
          <w:sz w:val="22"/>
          <w:szCs w:val="22"/>
          <w:lang w:val="es-ES"/>
        </w:rPr>
      </w:pPr>
    </w:p>
    <w:p w14:paraId="2812AFBB" w14:textId="7D1F71E4" w:rsidR="00EC0963" w:rsidRPr="00BB5A45" w:rsidRDefault="00EC0963" w:rsidP="009175BF">
      <w:pPr>
        <w:spacing w:after="120" w:line="276" w:lineRule="auto"/>
        <w:jc w:val="both"/>
        <w:rPr>
          <w:rFonts w:ascii="Arial" w:eastAsia="Calibri" w:hAnsi="Arial" w:cs="Arial"/>
          <w:color w:val="000000" w:themeColor="text1"/>
          <w:sz w:val="22"/>
          <w:szCs w:val="22"/>
          <w:lang w:val="es-ES_tradnl"/>
        </w:rPr>
      </w:pPr>
      <w:r w:rsidRPr="00BB5A45">
        <w:rPr>
          <w:rFonts w:ascii="Arial" w:eastAsia="Calibri" w:hAnsi="Arial" w:cs="Arial"/>
          <w:color w:val="000000" w:themeColor="text1"/>
          <w:sz w:val="22"/>
          <w:szCs w:val="22"/>
          <w:lang w:val="es-ES_tradnl"/>
        </w:rPr>
        <w:lastRenderedPageBreak/>
        <w:t xml:space="preserve">La Subdirección de Gestión Contractual responderá la consulta, luego de analizar los siguientes temas: i) </w:t>
      </w:r>
      <w:r w:rsidR="00B61CCC" w:rsidRPr="00BB5A45">
        <w:rPr>
          <w:rFonts w:ascii="Arial" w:eastAsia="Calibri" w:hAnsi="Arial" w:cs="Arial"/>
          <w:color w:val="000000" w:themeColor="text1"/>
          <w:sz w:val="22"/>
          <w:szCs w:val="22"/>
          <w:lang w:val="es-ES_tradnl"/>
        </w:rPr>
        <w:t>La selección objetiva y los</w:t>
      </w:r>
      <w:r w:rsidRPr="00BB5A45">
        <w:rPr>
          <w:rFonts w:ascii="Arial" w:eastAsia="Calibri" w:hAnsi="Arial" w:cs="Arial"/>
          <w:color w:val="000000" w:themeColor="text1"/>
          <w:sz w:val="22"/>
          <w:szCs w:val="22"/>
          <w:lang w:val="es-ES_tradnl"/>
        </w:rPr>
        <w:t xml:space="preserve"> requisito</w:t>
      </w:r>
      <w:r w:rsidR="00B61CCC" w:rsidRPr="00BB5A45">
        <w:rPr>
          <w:rFonts w:ascii="Arial" w:eastAsia="Calibri" w:hAnsi="Arial" w:cs="Arial"/>
          <w:color w:val="000000" w:themeColor="text1"/>
          <w:sz w:val="22"/>
          <w:szCs w:val="22"/>
          <w:lang w:val="es-ES_tradnl"/>
        </w:rPr>
        <w:t>s</w:t>
      </w:r>
      <w:r w:rsidRPr="00BB5A45">
        <w:rPr>
          <w:rFonts w:ascii="Arial" w:eastAsia="Calibri" w:hAnsi="Arial" w:cs="Arial"/>
          <w:color w:val="000000" w:themeColor="text1"/>
          <w:sz w:val="22"/>
          <w:szCs w:val="22"/>
          <w:lang w:val="es-ES_tradnl"/>
        </w:rPr>
        <w:t xml:space="preserve"> habilitante</w:t>
      </w:r>
      <w:r w:rsidR="00B61CCC" w:rsidRPr="00BB5A45">
        <w:rPr>
          <w:rFonts w:ascii="Arial" w:eastAsia="Calibri" w:hAnsi="Arial" w:cs="Arial"/>
          <w:color w:val="000000" w:themeColor="text1"/>
          <w:sz w:val="22"/>
          <w:szCs w:val="22"/>
          <w:lang w:val="es-ES_tradnl"/>
        </w:rPr>
        <w:t>s y ii) la experiencia en los procedimientos de selección de contratistas.</w:t>
      </w:r>
    </w:p>
    <w:p w14:paraId="611A0611" w14:textId="3A612599" w:rsidR="0003011E" w:rsidRPr="00BB5A45" w:rsidRDefault="00516C3C" w:rsidP="009175BF">
      <w:pPr>
        <w:spacing w:line="276" w:lineRule="auto"/>
        <w:ind w:firstLine="709"/>
        <w:jc w:val="both"/>
        <w:rPr>
          <w:rFonts w:ascii="Arial" w:eastAsia="Calibri" w:hAnsi="Arial" w:cs="Arial"/>
          <w:sz w:val="22"/>
          <w:szCs w:val="22"/>
          <w:lang w:val="es-ES_tradnl"/>
        </w:rPr>
      </w:pPr>
      <w:r w:rsidRPr="00BB5A45">
        <w:rPr>
          <w:rFonts w:ascii="Arial" w:eastAsia="Calibri" w:hAnsi="Arial" w:cs="Arial"/>
          <w:sz w:val="22"/>
          <w:szCs w:val="22"/>
          <w:lang w:val="es-ES_tradnl"/>
        </w:rPr>
        <w:t>L</w:t>
      </w:r>
      <w:r w:rsidR="0003011E" w:rsidRPr="00BB5A45">
        <w:rPr>
          <w:rFonts w:ascii="Arial" w:eastAsia="Calibri" w:hAnsi="Arial" w:cs="Arial"/>
          <w:sz w:val="22"/>
          <w:szCs w:val="22"/>
          <w:lang w:val="es-ES_tradnl"/>
        </w:rPr>
        <w:t>a Agencia Nacional de Contratación Pública – Colombia Compra Eficiente se pronunció, en términos generales, sobre</w:t>
      </w:r>
      <w:r w:rsidR="00EC0963" w:rsidRPr="00BB5A45">
        <w:rPr>
          <w:rFonts w:ascii="Arial" w:eastAsia="Calibri" w:hAnsi="Arial" w:cs="Arial"/>
          <w:sz w:val="22"/>
          <w:szCs w:val="22"/>
          <w:lang w:val="es-ES_tradnl"/>
        </w:rPr>
        <w:t xml:space="preserve"> el principio de selección objetiva </w:t>
      </w:r>
      <w:r w:rsidR="00732672" w:rsidRPr="00BB5A45">
        <w:rPr>
          <w:rFonts w:ascii="Arial" w:eastAsia="Calibri" w:hAnsi="Arial" w:cs="Arial"/>
          <w:sz w:val="22"/>
          <w:szCs w:val="22"/>
          <w:lang w:val="es-ES_tradnl"/>
        </w:rPr>
        <w:t>y los</w:t>
      </w:r>
      <w:r w:rsidR="0003011E" w:rsidRPr="00BB5A45">
        <w:rPr>
          <w:rFonts w:ascii="Arial" w:eastAsia="Calibri" w:hAnsi="Arial" w:cs="Arial"/>
          <w:sz w:val="22"/>
          <w:szCs w:val="22"/>
          <w:lang w:val="es-ES_tradnl"/>
        </w:rPr>
        <w:t xml:space="preserve"> factores de desempate en los procedimientos de contratación estatal, en los conceptos C-285 del 4 de mayo de 2020, C-481 del 27 de julio de 2020, C-514 y C-535 del 26 de agosto de 2020 y C-556 del 31 de agosto de 2020. De igual manera, Colombia Compra Eficiente estudió, en los conceptos C-006 del 5 de febrero de 2021, C-043 del 9 de febrero de 2021, C-044 del 2 de marzo de 2021, C-056 del 8 de marzo de 2021, C-069 del 12 de marzo de 2021, C-101 del 24 de marzo de 202, C-102 del 25 de marzo de 2021, C-136, C-138 y C-139 del 7 de abril de 2021, C-141 del 08 de abril de 2021, C-162 y C-165 de 13 de abril de 2021, C-164 del 19 de abril de 2021, C-166 del 23 de abril de 2021, C-191 del 26 de abril de 2021 y C-209 del 10 de mayo de 2021</w:t>
      </w:r>
      <w:r w:rsidR="00EC0963" w:rsidRPr="00BB5A45">
        <w:rPr>
          <w:rFonts w:ascii="Arial" w:eastAsia="Calibri" w:hAnsi="Arial" w:cs="Arial"/>
          <w:sz w:val="22"/>
          <w:szCs w:val="22"/>
          <w:lang w:val="es-ES_tradnl"/>
        </w:rPr>
        <w:t xml:space="preserve"> y C-140 del 28 de marzo de 2022</w:t>
      </w:r>
      <w:r w:rsidR="0003011E" w:rsidRPr="00BB5A45">
        <w:rPr>
          <w:rFonts w:ascii="Arial" w:eastAsia="Calibri" w:hAnsi="Arial" w:cs="Arial"/>
          <w:sz w:val="22"/>
          <w:szCs w:val="22"/>
          <w:lang w:val="es-ES_tradnl"/>
        </w:rPr>
        <w:t xml:space="preserve">, algunos aspectos sobre la aplicación de los factores de desempate introducidos por la Ley 2069 de 2020. </w:t>
      </w:r>
      <w:r w:rsidR="00732672" w:rsidRPr="00BB5A45">
        <w:rPr>
          <w:rFonts w:ascii="Arial" w:eastAsia="Calibri" w:hAnsi="Arial" w:cs="Arial"/>
          <w:sz w:val="22"/>
          <w:szCs w:val="22"/>
          <w:lang w:val="es-ES_tradnl"/>
        </w:rPr>
        <w:t>Por otro lado</w:t>
      </w:r>
      <w:r w:rsidR="0003011E" w:rsidRPr="00BB5A45">
        <w:rPr>
          <w:rFonts w:ascii="Arial" w:eastAsia="Calibri" w:hAnsi="Arial" w:cs="Arial"/>
          <w:sz w:val="22"/>
          <w:szCs w:val="22"/>
          <w:lang w:val="es-ES_tradnl"/>
        </w:rPr>
        <w:t xml:space="preserve">, </w:t>
      </w:r>
      <w:r w:rsidR="004D59DA" w:rsidRPr="00BB5A45">
        <w:rPr>
          <w:rFonts w:ascii="Arial" w:eastAsia="Calibri" w:hAnsi="Arial" w:cs="Arial"/>
          <w:sz w:val="22"/>
          <w:szCs w:val="22"/>
          <w:lang w:val="es-ES_tradnl"/>
        </w:rPr>
        <w:t>en los conceptos C-002 del 20 de febrero de 2020, C-491 del 27 de julio de 2020, C-708 del 9 de diciembre de 2020, C-052 de 8 de marzo de 2021, C-727 del 26 de enero de 2022 y C-142 del 30 de marzo de 2022, la Agencia se pronunció sobre la experiencia como requisito habilitante en la contratación pública. Del mismo modo, en los en los conceptos C-025 del 16 de marzo de 2020,  C-710 del 9 de diciembre de 2020, C-717 del 10 de diciembre de 2020, C-729 del 11 de diciembre de 2020, C-103 del 24 de marzo del 2021, C-140 del 9 de abril del 2021, C-316 y C-318 del 29 de junio de 2021, C-474 del 6 de septiembre de 2021, C-441 del 13 de octubre de 2021, C-589 del 19 de octubre de 2021, entre otros, se estudiaron diferentes aspectos relativos a  la acreditación de la experiencia en los procedimientos de selección. Algunos de los argumentos expuestos en estos conceptos se reiteran y complementan a continuación.</w:t>
      </w:r>
    </w:p>
    <w:p w14:paraId="75874BEA" w14:textId="77777777" w:rsidR="00B61CCC" w:rsidRPr="00BB5A45" w:rsidRDefault="00B61CCC" w:rsidP="009175BF">
      <w:pPr>
        <w:spacing w:line="276" w:lineRule="auto"/>
        <w:ind w:firstLine="709"/>
        <w:jc w:val="both"/>
        <w:rPr>
          <w:rFonts w:ascii="Arial" w:eastAsia="Calibri" w:hAnsi="Arial" w:cs="Arial"/>
          <w:sz w:val="22"/>
          <w:szCs w:val="22"/>
          <w:lang w:val="es-ES_tradnl"/>
        </w:rPr>
      </w:pPr>
    </w:p>
    <w:p w14:paraId="402E320E" w14:textId="4BBC721C" w:rsidR="00B61CCC" w:rsidRPr="009175BF" w:rsidRDefault="00B61CCC" w:rsidP="009175BF">
      <w:pPr>
        <w:spacing w:line="276" w:lineRule="auto"/>
        <w:jc w:val="both"/>
        <w:rPr>
          <w:rFonts w:ascii="Arial" w:eastAsia="Calibri" w:hAnsi="Arial" w:cs="Arial"/>
          <w:b/>
          <w:bCs/>
          <w:sz w:val="22"/>
          <w:szCs w:val="22"/>
          <w:lang w:val="es-ES_tradnl"/>
        </w:rPr>
      </w:pPr>
      <w:r w:rsidRPr="00BB5A45">
        <w:rPr>
          <w:rFonts w:ascii="Arial" w:eastAsia="Calibri" w:hAnsi="Arial" w:cs="Arial"/>
          <w:b/>
          <w:bCs/>
          <w:sz w:val="22"/>
          <w:szCs w:val="22"/>
          <w:lang w:val="es-ES_tradnl"/>
        </w:rPr>
        <w:t>2.1. La selección objetiva y los requisitos habilitantes</w:t>
      </w:r>
    </w:p>
    <w:p w14:paraId="37069242" w14:textId="77777777" w:rsidR="00B61CCC" w:rsidRPr="00BB5A45" w:rsidRDefault="00B61CCC" w:rsidP="009175BF">
      <w:pPr>
        <w:spacing w:line="276" w:lineRule="auto"/>
        <w:jc w:val="both"/>
        <w:rPr>
          <w:rFonts w:ascii="Arial" w:eastAsia="Calibri" w:hAnsi="Arial" w:cs="Arial"/>
          <w:sz w:val="22"/>
          <w:szCs w:val="22"/>
          <w:lang w:val="es-ES_tradnl"/>
        </w:rPr>
      </w:pPr>
    </w:p>
    <w:p w14:paraId="56537887" w14:textId="2072BCC7" w:rsidR="00435999" w:rsidRPr="00BB5A45" w:rsidRDefault="00A8451F" w:rsidP="00435999">
      <w:pPr>
        <w:spacing w:line="276" w:lineRule="auto"/>
        <w:jc w:val="both"/>
        <w:rPr>
          <w:rFonts w:ascii="Arial" w:eastAsia="Calibri" w:hAnsi="Arial" w:cs="Arial"/>
          <w:color w:val="000000" w:themeColor="text1"/>
          <w:sz w:val="22"/>
          <w:szCs w:val="22"/>
          <w:lang w:val="es-ES_tradnl"/>
        </w:rPr>
      </w:pPr>
      <w:bookmarkStart w:id="0" w:name="_Hlk66196033"/>
      <w:r w:rsidRPr="00BB5A45">
        <w:rPr>
          <w:rFonts w:ascii="Arial" w:eastAsia="Calibri" w:hAnsi="Arial" w:cs="Arial"/>
          <w:color w:val="000000" w:themeColor="text1"/>
          <w:sz w:val="22"/>
          <w:szCs w:val="22"/>
          <w:lang w:val="es-ES_tradnl"/>
        </w:rPr>
        <w:t>L</w:t>
      </w:r>
      <w:r w:rsidR="00435999" w:rsidRPr="00BB5A45">
        <w:rPr>
          <w:rFonts w:ascii="Arial" w:eastAsia="Calibri" w:hAnsi="Arial" w:cs="Arial"/>
          <w:color w:val="000000" w:themeColor="text1"/>
          <w:sz w:val="22"/>
          <w:szCs w:val="22"/>
          <w:lang w:val="es-ES_tradnl"/>
        </w:rPr>
        <w:t>a selección objetiva es uno de los principios medulares de la contratación estatal</w:t>
      </w:r>
      <w:r w:rsidR="009A7635" w:rsidRPr="00BB5A45">
        <w:rPr>
          <w:rFonts w:ascii="Arial" w:eastAsia="Calibri" w:hAnsi="Arial" w:cs="Arial"/>
          <w:color w:val="000000" w:themeColor="text1"/>
          <w:sz w:val="22"/>
          <w:szCs w:val="22"/>
          <w:lang w:val="es-ES_tradnl"/>
        </w:rPr>
        <w:t xml:space="preserve">. En efecto, </w:t>
      </w:r>
      <w:r w:rsidR="00602D4D" w:rsidRPr="00BB5A45">
        <w:rPr>
          <w:rFonts w:ascii="Arial" w:eastAsia="Calibri" w:hAnsi="Arial" w:cs="Arial"/>
          <w:color w:val="000000" w:themeColor="text1"/>
          <w:sz w:val="22"/>
          <w:szCs w:val="22"/>
          <w:lang w:val="es-ES_tradnl"/>
        </w:rPr>
        <w:t xml:space="preserve">la </w:t>
      </w:r>
      <w:r w:rsidR="00435999" w:rsidRPr="00BB5A45">
        <w:rPr>
          <w:rFonts w:ascii="Arial" w:eastAsia="Calibri" w:hAnsi="Arial" w:cs="Arial"/>
          <w:color w:val="000000" w:themeColor="text1"/>
          <w:sz w:val="22"/>
          <w:szCs w:val="22"/>
          <w:lang w:val="es-ES_tradnl"/>
        </w:rPr>
        <w:t xml:space="preserve">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w:t>
      </w:r>
      <w:r w:rsidR="00435999" w:rsidRPr="009175BF">
        <w:rPr>
          <w:rFonts w:ascii="Arial" w:eastAsia="Calibri" w:hAnsi="Arial" w:cs="Arial"/>
          <w:color w:val="000000" w:themeColor="text1"/>
          <w:sz w:val="22"/>
          <w:szCs w:val="22"/>
          <w:lang w:val="es-ES_tradnl"/>
        </w:rPr>
        <w:t>la experiencia</w:t>
      </w:r>
      <w:r w:rsidR="009A7635" w:rsidRPr="00BB5A45">
        <w:rPr>
          <w:rFonts w:ascii="Arial" w:eastAsia="Calibri" w:hAnsi="Arial" w:cs="Arial"/>
          <w:color w:val="000000" w:themeColor="text1"/>
          <w:sz w:val="22"/>
          <w:szCs w:val="22"/>
          <w:lang w:val="es-ES_tradnl"/>
        </w:rPr>
        <w:t>,</w:t>
      </w:r>
      <w:r w:rsidR="00435999" w:rsidRPr="00BB5A45">
        <w:rPr>
          <w:rFonts w:ascii="Arial" w:eastAsia="Calibri" w:hAnsi="Arial" w:cs="Arial"/>
          <w:color w:val="000000" w:themeColor="text1"/>
          <w:sz w:val="22"/>
          <w:szCs w:val="22"/>
          <w:lang w:val="es-ES_tradnl"/>
        </w:rPr>
        <w:t xml:space="preserve"> la capacidad jurídica, financiera y de organización, </w:t>
      </w:r>
      <w:r w:rsidR="00435999" w:rsidRPr="00BB5A45">
        <w:rPr>
          <w:rFonts w:ascii="Arial" w:eastAsia="Calibri" w:hAnsi="Arial" w:cs="Arial"/>
          <w:color w:val="000000" w:themeColor="text1"/>
          <w:sz w:val="22"/>
          <w:szCs w:val="22"/>
          <w:lang w:val="es-ES_tradnl"/>
        </w:rPr>
        <w:lastRenderedPageBreak/>
        <w:t>entre otros elementos que garanticen la escogencia de la mejor opción de negocio para la entidad estatal.</w:t>
      </w:r>
    </w:p>
    <w:p w14:paraId="632C2BCE" w14:textId="76E04153" w:rsidR="00822ECB" w:rsidRPr="00BB5A45" w:rsidRDefault="00435999" w:rsidP="009175BF">
      <w:pPr>
        <w:spacing w:before="120" w:after="120" w:line="276" w:lineRule="auto"/>
        <w:ind w:firstLine="709"/>
        <w:jc w:val="both"/>
        <w:rPr>
          <w:rFonts w:ascii="Arial" w:eastAsia="Calibri" w:hAnsi="Arial" w:cs="Arial"/>
          <w:color w:val="000000" w:themeColor="text1"/>
          <w:sz w:val="22"/>
          <w:szCs w:val="22"/>
          <w:lang w:val="es-ES_tradnl"/>
        </w:rPr>
      </w:pPr>
      <w:r w:rsidRPr="00BB5A45">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w:t>
      </w:r>
      <w:bookmarkStart w:id="1" w:name="_Toc84411344"/>
      <w:bookmarkEnd w:id="0"/>
    </w:p>
    <w:p w14:paraId="732A9897" w14:textId="29588E89" w:rsidR="00A8451F" w:rsidRPr="00BB5A45" w:rsidRDefault="00602D4D" w:rsidP="009175BF">
      <w:pPr>
        <w:spacing w:after="120" w:line="276" w:lineRule="auto"/>
        <w:ind w:firstLine="708"/>
        <w:jc w:val="both"/>
        <w:rPr>
          <w:rFonts w:ascii="Arial" w:eastAsia="Calibri" w:hAnsi="Arial" w:cs="Arial"/>
          <w:sz w:val="22"/>
          <w:szCs w:val="22"/>
          <w:lang w:val="es-ES_tradnl"/>
        </w:rPr>
      </w:pPr>
      <w:bookmarkStart w:id="2" w:name="_Hlk99546562"/>
      <w:r w:rsidRPr="00BB5A45">
        <w:rPr>
          <w:rFonts w:ascii="Arial" w:eastAsia="Calibri" w:hAnsi="Arial" w:cs="Arial"/>
          <w:sz w:val="22"/>
          <w:szCs w:val="22"/>
          <w:lang w:val="es-ES_tradnl"/>
        </w:rPr>
        <w:t xml:space="preserve">Respecto a los </w:t>
      </w:r>
      <w:r w:rsidR="00A8451F" w:rsidRPr="00BB5A45">
        <w:rPr>
          <w:rFonts w:ascii="Arial" w:eastAsia="Calibri" w:hAnsi="Arial" w:cs="Arial"/>
          <w:i/>
          <w:iCs/>
          <w:sz w:val="22"/>
          <w:szCs w:val="22"/>
          <w:lang w:val="es-ES_tradnl"/>
        </w:rPr>
        <w:t>requisitos habilitantes</w:t>
      </w:r>
      <w:r w:rsidRPr="00BB5A45">
        <w:rPr>
          <w:rFonts w:ascii="Arial" w:eastAsia="Calibri" w:hAnsi="Arial" w:cs="Arial"/>
          <w:sz w:val="22"/>
          <w:szCs w:val="22"/>
          <w:lang w:val="es-ES_tradnl"/>
        </w:rPr>
        <w:t>, estos</w:t>
      </w:r>
      <w:r w:rsidR="00A8451F" w:rsidRPr="00BB5A45">
        <w:rPr>
          <w:rFonts w:ascii="Arial" w:eastAsia="Calibri" w:hAnsi="Arial" w:cs="Arial"/>
          <w:sz w:val="22"/>
          <w:szCs w:val="22"/>
          <w:lang w:val="es-ES_tradnl"/>
        </w:rPr>
        <w:t xml:space="preserve"> se definen como aquellas exigencias de participación en los procedimientos de selección, establecidas en disposiciones normativas, de carácter legal o reglamentario, o contenidas en el acto administrativo que regula las reglas de la convocatoria</w:t>
      </w:r>
      <w:r w:rsidR="00AB45A2" w:rsidRPr="00BB5A45">
        <w:rPr>
          <w:rFonts w:ascii="Arial" w:eastAsia="Calibri" w:hAnsi="Arial" w:cs="Arial"/>
          <w:sz w:val="22"/>
          <w:szCs w:val="22"/>
          <w:lang w:val="es-ES_tradnl"/>
        </w:rPr>
        <w:t xml:space="preserve"> </w:t>
      </w:r>
      <w:r w:rsidR="00A8451F" w:rsidRPr="00BB5A45">
        <w:rPr>
          <w:rFonts w:ascii="Arial" w:eastAsia="Calibri" w:hAnsi="Arial" w:cs="Arial"/>
          <w:sz w:val="22"/>
          <w:szCs w:val="22"/>
          <w:lang w:val="es-ES_tradnl"/>
        </w:rPr>
        <w:t xml:space="preserve">–es decir, en el pliego de condiciones o el documento equivalente a este–. Se diferencian de los </w:t>
      </w:r>
      <w:r w:rsidR="00A8451F" w:rsidRPr="00BB5A45">
        <w:rPr>
          <w:rFonts w:ascii="Arial" w:eastAsia="Calibri" w:hAnsi="Arial" w:cs="Arial"/>
          <w:i/>
          <w:iCs/>
          <w:sz w:val="22"/>
          <w:szCs w:val="22"/>
          <w:lang w:val="es-ES_tradnl"/>
        </w:rPr>
        <w:t xml:space="preserve">criterios de </w:t>
      </w:r>
      <w:r w:rsidR="00AB45A2" w:rsidRPr="00BB5A45">
        <w:rPr>
          <w:rFonts w:ascii="Arial" w:eastAsia="Calibri" w:hAnsi="Arial" w:cs="Arial"/>
          <w:i/>
          <w:iCs/>
          <w:sz w:val="22"/>
          <w:szCs w:val="22"/>
          <w:lang w:val="es-ES_tradnl"/>
        </w:rPr>
        <w:t>asignación de puntaje</w:t>
      </w:r>
      <w:r w:rsidR="00AB45A2" w:rsidRPr="00BB5A45">
        <w:rPr>
          <w:rFonts w:ascii="Arial" w:eastAsia="Calibri" w:hAnsi="Arial" w:cs="Arial"/>
          <w:sz w:val="22"/>
          <w:szCs w:val="22"/>
          <w:lang w:val="es-ES_tradnl"/>
        </w:rPr>
        <w:t xml:space="preserve"> </w:t>
      </w:r>
      <w:r w:rsidR="00A8451F" w:rsidRPr="00BB5A45">
        <w:rPr>
          <w:rFonts w:ascii="Arial" w:eastAsia="Calibri" w:hAnsi="Arial" w:cs="Arial"/>
          <w:sz w:val="22"/>
          <w:szCs w:val="22"/>
          <w:lang w:val="es-ES_tradnl"/>
        </w:rPr>
        <w:t xml:space="preserve">–también conocidos como criterios de calificación– en que estos son los factores definidos por la entidad estatal para la asignación de puntaje </w:t>
      </w:r>
      <w:r w:rsidR="00AB45A2" w:rsidRPr="00BB5A45">
        <w:rPr>
          <w:rFonts w:ascii="Arial" w:eastAsia="Calibri" w:hAnsi="Arial" w:cs="Arial"/>
          <w:sz w:val="22"/>
          <w:szCs w:val="22"/>
          <w:lang w:val="es-ES_tradnl"/>
        </w:rPr>
        <w:t>al realizar</w:t>
      </w:r>
      <w:r w:rsidR="00A8451F" w:rsidRPr="00BB5A45">
        <w:rPr>
          <w:rFonts w:ascii="Arial" w:eastAsia="Calibri" w:hAnsi="Arial" w:cs="Arial"/>
          <w:sz w:val="22"/>
          <w:szCs w:val="22"/>
          <w:lang w:val="es-ES_tradnl"/>
        </w:rPr>
        <w:t xml:space="preserve"> la comparación de las ofertas, y que, a partir de su ponderación, permiten establecer el orden de elegibilidad y, por ende, la propuesta ganadora. </w:t>
      </w:r>
    </w:p>
    <w:bookmarkEnd w:id="2"/>
    <w:p w14:paraId="442CD277" w14:textId="294B56E7" w:rsidR="00A8451F" w:rsidRPr="00BB5A45" w:rsidRDefault="00A8451F" w:rsidP="00A8451F">
      <w:pPr>
        <w:spacing w:after="120" w:line="276" w:lineRule="auto"/>
        <w:ind w:firstLine="708"/>
        <w:jc w:val="both"/>
        <w:rPr>
          <w:rFonts w:ascii="Arial" w:eastAsia="Calibri" w:hAnsi="Arial" w:cs="Arial"/>
          <w:sz w:val="22"/>
          <w:szCs w:val="22"/>
          <w:lang w:val="es-ES_tradnl"/>
        </w:rPr>
      </w:pPr>
      <w:r w:rsidRPr="00BB5A45">
        <w:rPr>
          <w:rFonts w:ascii="Arial" w:eastAsia="Calibri" w:hAnsi="Arial" w:cs="Arial"/>
          <w:sz w:val="22"/>
          <w:szCs w:val="22"/>
          <w:lang w:val="es-ES_tradnl"/>
        </w:rPr>
        <w:t xml:space="preserve">Los requisitos habilitantes constituyen los requerimientos mínimos que deben cumplir los proponentes para poder participar en el procedimiento de selección, razón por la que los mismos no se valoran con un puntaje tendiente a determinar el orden de escogencia, sino que se analizan como criterios previos a la evaluación </w:t>
      </w:r>
      <w:r w:rsidR="00AB45A2" w:rsidRPr="00BB5A45">
        <w:rPr>
          <w:rFonts w:ascii="Arial" w:eastAsia="Calibri" w:hAnsi="Arial" w:cs="Arial"/>
          <w:sz w:val="22"/>
          <w:szCs w:val="22"/>
          <w:lang w:val="es-ES_tradnl"/>
        </w:rPr>
        <w:t>de los requisitos de ponderación de las ofertas o de asignación de puntaje</w:t>
      </w:r>
      <w:r w:rsidRPr="00BB5A45">
        <w:rPr>
          <w:rFonts w:ascii="Arial" w:eastAsia="Calibri" w:hAnsi="Arial" w:cs="Arial"/>
          <w:sz w:val="22"/>
          <w:szCs w:val="22"/>
          <w:lang w:val="es-ES_tradnl"/>
        </w:rPr>
        <w:t>, de manera que quienes no los reúnan no pueden continuar en el procedimiento de selección, es decir, incurr</w:t>
      </w:r>
      <w:r w:rsidR="00AB45A2" w:rsidRPr="00BB5A45">
        <w:rPr>
          <w:rFonts w:ascii="Arial" w:eastAsia="Calibri" w:hAnsi="Arial" w:cs="Arial"/>
          <w:sz w:val="22"/>
          <w:szCs w:val="22"/>
          <w:lang w:val="es-ES_tradnl"/>
        </w:rPr>
        <w:t>irían</w:t>
      </w:r>
      <w:r w:rsidRPr="00BB5A45">
        <w:rPr>
          <w:rFonts w:ascii="Arial" w:eastAsia="Calibri" w:hAnsi="Arial" w:cs="Arial"/>
          <w:sz w:val="22"/>
          <w:szCs w:val="22"/>
          <w:lang w:val="es-ES_tradnl"/>
        </w:rPr>
        <w:t xml:space="preserve"> en causal de rechazo. Esto sin perjuicio del derecho que tienen los oferentes de subsanar los defectos que se presenten en la </w:t>
      </w:r>
      <w:r w:rsidR="00AB45A2" w:rsidRPr="00BB5A45">
        <w:rPr>
          <w:rFonts w:ascii="Arial" w:eastAsia="Calibri" w:hAnsi="Arial" w:cs="Arial"/>
          <w:sz w:val="22"/>
          <w:szCs w:val="22"/>
          <w:lang w:val="es-ES_tradnl"/>
        </w:rPr>
        <w:t xml:space="preserve">acreditación </w:t>
      </w:r>
      <w:r w:rsidRPr="00BB5A45">
        <w:rPr>
          <w:rFonts w:ascii="Arial" w:eastAsia="Calibri" w:hAnsi="Arial" w:cs="Arial"/>
          <w:sz w:val="22"/>
          <w:szCs w:val="22"/>
          <w:lang w:val="es-ES_tradnl"/>
        </w:rPr>
        <w:t>de tales requisitos, de conformidad con el artículo 5, parágrafos 1º al 4º, de la Ley 1150 de 2007.</w:t>
      </w:r>
    </w:p>
    <w:p w14:paraId="4E4A8625" w14:textId="49AE86A7" w:rsidR="00A8451F" w:rsidRPr="00BB5A45" w:rsidRDefault="00AB45A2" w:rsidP="00A8451F">
      <w:pPr>
        <w:spacing w:line="276" w:lineRule="auto"/>
        <w:ind w:firstLine="709"/>
        <w:contextualSpacing/>
        <w:jc w:val="both"/>
        <w:rPr>
          <w:rFonts w:ascii="Arial" w:eastAsia="Calibri" w:hAnsi="Arial" w:cs="Arial"/>
          <w:sz w:val="22"/>
          <w:szCs w:val="22"/>
          <w:lang w:val="es-ES_tradnl"/>
        </w:rPr>
      </w:pPr>
      <w:r w:rsidRPr="00BB5A45">
        <w:rPr>
          <w:rFonts w:ascii="Arial" w:eastAsia="Calibri" w:hAnsi="Arial" w:cs="Arial"/>
          <w:sz w:val="22"/>
          <w:szCs w:val="22"/>
          <w:lang w:val="es-ES_tradnl"/>
        </w:rPr>
        <w:t>E</w:t>
      </w:r>
      <w:r w:rsidR="00A8451F" w:rsidRPr="00BB5A45">
        <w:rPr>
          <w:rFonts w:ascii="Arial" w:eastAsia="Calibri" w:hAnsi="Arial" w:cs="Arial"/>
          <w:sz w:val="22"/>
          <w:szCs w:val="22"/>
          <w:lang w:val="es-ES_tradnl"/>
        </w:rPr>
        <w:t xml:space="preserve">l numeral 1º del artículo </w:t>
      </w:r>
      <w:r w:rsidRPr="00BB5A45">
        <w:rPr>
          <w:rFonts w:ascii="Arial" w:eastAsia="Calibri" w:hAnsi="Arial" w:cs="Arial"/>
          <w:sz w:val="22"/>
          <w:szCs w:val="22"/>
          <w:lang w:val="es-ES_tradnl"/>
        </w:rPr>
        <w:t>5 de la Ley 1150 de 2007</w:t>
      </w:r>
      <w:r w:rsidR="00A8451F" w:rsidRPr="00BB5A45">
        <w:rPr>
          <w:rFonts w:ascii="Arial" w:eastAsia="Calibri" w:hAnsi="Arial" w:cs="Arial"/>
          <w:sz w:val="22"/>
          <w:szCs w:val="22"/>
          <w:lang w:val="es-ES_tradnl"/>
        </w:rPr>
        <w:t xml:space="preserve"> establece que en los procesos de selección de contratistas serán objeto de verificación, como requisitos habilitantes, entre otros, los siguientes</w:t>
      </w:r>
      <w:r w:rsidR="00B37E25" w:rsidRPr="00BB5A45">
        <w:rPr>
          <w:rFonts w:ascii="Arial" w:eastAsia="Calibri" w:hAnsi="Arial" w:cs="Arial"/>
          <w:sz w:val="22"/>
          <w:szCs w:val="22"/>
          <w:lang w:val="es-ES_tradnl"/>
        </w:rPr>
        <w:t>, que, por tanto, no asignarán puntaje –sin perjuicio de algunas excepciones que establece el mismo artículo–</w:t>
      </w:r>
      <w:r w:rsidR="00A8451F" w:rsidRPr="00BB5A45">
        <w:rPr>
          <w:rFonts w:ascii="Arial" w:eastAsia="Calibri" w:hAnsi="Arial" w:cs="Arial"/>
          <w:sz w:val="22"/>
          <w:szCs w:val="22"/>
          <w:lang w:val="es-ES_tradnl"/>
        </w:rPr>
        <w:t xml:space="preserve">: i) la capacidad jurídica; </w:t>
      </w:r>
      <w:proofErr w:type="spellStart"/>
      <w:r w:rsidR="00A8451F" w:rsidRPr="009175BF">
        <w:rPr>
          <w:rFonts w:ascii="Arial" w:eastAsia="Calibri" w:hAnsi="Arial" w:cs="Arial"/>
          <w:sz w:val="22"/>
          <w:szCs w:val="22"/>
          <w:lang w:val="es-ES_tradnl"/>
        </w:rPr>
        <w:t>ii</w:t>
      </w:r>
      <w:proofErr w:type="spellEnd"/>
      <w:r w:rsidR="00A8451F" w:rsidRPr="009175BF">
        <w:rPr>
          <w:rFonts w:ascii="Arial" w:eastAsia="Calibri" w:hAnsi="Arial" w:cs="Arial"/>
          <w:sz w:val="22"/>
          <w:szCs w:val="22"/>
          <w:lang w:val="es-ES_tradnl"/>
        </w:rPr>
        <w:t>) la experiencia</w:t>
      </w:r>
      <w:r w:rsidR="00A8451F" w:rsidRPr="00BB5A45">
        <w:rPr>
          <w:rFonts w:ascii="Arial" w:eastAsia="Calibri" w:hAnsi="Arial" w:cs="Arial"/>
          <w:sz w:val="22"/>
          <w:szCs w:val="22"/>
          <w:lang w:val="es-ES_tradnl"/>
        </w:rPr>
        <w:t xml:space="preserve">; </w:t>
      </w:r>
      <w:proofErr w:type="spellStart"/>
      <w:r w:rsidR="00A8451F" w:rsidRPr="00BB5A45">
        <w:rPr>
          <w:rFonts w:ascii="Arial" w:eastAsia="Calibri" w:hAnsi="Arial" w:cs="Arial"/>
          <w:sz w:val="22"/>
          <w:szCs w:val="22"/>
          <w:lang w:val="es-ES_tradnl"/>
        </w:rPr>
        <w:t>iii</w:t>
      </w:r>
      <w:proofErr w:type="spellEnd"/>
      <w:r w:rsidR="00A8451F" w:rsidRPr="00BB5A45">
        <w:rPr>
          <w:rFonts w:ascii="Arial" w:eastAsia="Calibri" w:hAnsi="Arial" w:cs="Arial"/>
          <w:sz w:val="22"/>
          <w:szCs w:val="22"/>
          <w:lang w:val="es-ES_tradnl"/>
        </w:rPr>
        <w:t xml:space="preserve">) la capacidad financiera y iv) la capacidad de organización. En efecto, la normativa citada </w:t>
      </w:r>
      <w:r w:rsidR="00B37E25" w:rsidRPr="00BB5A45">
        <w:rPr>
          <w:rFonts w:ascii="Arial" w:eastAsia="Calibri" w:hAnsi="Arial" w:cs="Arial"/>
          <w:sz w:val="22"/>
          <w:szCs w:val="22"/>
          <w:lang w:val="es-ES_tradnl"/>
        </w:rPr>
        <w:t>establece</w:t>
      </w:r>
      <w:r w:rsidR="00A8451F" w:rsidRPr="00BB5A45">
        <w:rPr>
          <w:rFonts w:ascii="Arial" w:eastAsia="Calibri" w:hAnsi="Arial" w:cs="Arial"/>
          <w:sz w:val="22"/>
          <w:szCs w:val="22"/>
          <w:lang w:val="es-ES_tradnl"/>
        </w:rPr>
        <w:t xml:space="preserve">: </w:t>
      </w:r>
    </w:p>
    <w:p w14:paraId="1C0908F1" w14:textId="77777777" w:rsidR="00A8451F" w:rsidRPr="00BB5A45" w:rsidRDefault="00A8451F" w:rsidP="00A8451F">
      <w:pPr>
        <w:spacing w:line="276" w:lineRule="auto"/>
        <w:ind w:firstLine="709"/>
        <w:contextualSpacing/>
        <w:jc w:val="both"/>
        <w:rPr>
          <w:rFonts w:ascii="Arial" w:eastAsia="Calibri" w:hAnsi="Arial" w:cs="Arial"/>
          <w:sz w:val="22"/>
          <w:szCs w:val="22"/>
          <w:lang w:val="es-ES_tradnl"/>
        </w:rPr>
      </w:pPr>
    </w:p>
    <w:p w14:paraId="21A8D4AD" w14:textId="77777777" w:rsidR="00A8451F" w:rsidRPr="00BB5A45" w:rsidRDefault="00A8451F" w:rsidP="00A8451F">
      <w:pPr>
        <w:spacing w:line="259" w:lineRule="auto"/>
        <w:ind w:left="709" w:right="709"/>
        <w:contextualSpacing/>
        <w:jc w:val="both"/>
        <w:rPr>
          <w:rFonts w:ascii="Arial" w:eastAsia="Calibri" w:hAnsi="Arial" w:cs="Arial"/>
          <w:sz w:val="21"/>
          <w:szCs w:val="21"/>
          <w:lang w:val="es-ES_tradnl"/>
        </w:rPr>
      </w:pPr>
      <w:r w:rsidRPr="00BB5A45">
        <w:rPr>
          <w:rFonts w:ascii="Arial" w:eastAsia="Calibri" w:hAnsi="Arial" w:cs="Arial"/>
          <w:sz w:val="21"/>
          <w:szCs w:val="21"/>
          <w:lang w:val="es-ES_tradnl"/>
        </w:rPr>
        <w:t xml:space="preserve">Artículo 5. De la Selección Objetiva. </w:t>
      </w:r>
    </w:p>
    <w:p w14:paraId="769FA006" w14:textId="77777777" w:rsidR="00A8451F" w:rsidRPr="00BB5A45" w:rsidRDefault="00A8451F" w:rsidP="00A8451F">
      <w:pPr>
        <w:spacing w:after="120" w:line="259" w:lineRule="auto"/>
        <w:ind w:left="709" w:right="709"/>
        <w:jc w:val="both"/>
        <w:rPr>
          <w:rFonts w:ascii="Arial" w:eastAsia="Calibri" w:hAnsi="Arial" w:cs="Arial"/>
          <w:sz w:val="21"/>
          <w:szCs w:val="21"/>
          <w:lang w:val="es-ES_tradnl"/>
        </w:rPr>
      </w:pPr>
      <w:r w:rsidRPr="00BB5A45">
        <w:rPr>
          <w:rFonts w:ascii="Arial" w:eastAsia="Calibri" w:hAnsi="Arial" w:cs="Arial"/>
          <w:sz w:val="21"/>
          <w:szCs w:val="21"/>
          <w:lang w:val="es-ES_tradnl"/>
        </w:rPr>
        <w:t>[…]</w:t>
      </w:r>
    </w:p>
    <w:p w14:paraId="57BB9DA5" w14:textId="77777777" w:rsidR="00A8451F" w:rsidRPr="00BB5A45" w:rsidRDefault="00A8451F" w:rsidP="00A8451F">
      <w:pPr>
        <w:spacing w:line="259" w:lineRule="auto"/>
        <w:ind w:left="709" w:right="709"/>
        <w:contextualSpacing/>
        <w:jc w:val="both"/>
        <w:rPr>
          <w:rFonts w:ascii="Arial" w:eastAsia="Calibri" w:hAnsi="Arial" w:cs="Arial"/>
          <w:sz w:val="21"/>
          <w:szCs w:val="21"/>
          <w:lang w:val="es-ES_tradnl" w:eastAsia="en-US"/>
        </w:rPr>
      </w:pPr>
      <w:r w:rsidRPr="00BB5A45">
        <w:rPr>
          <w:rFonts w:ascii="Arial" w:eastAsia="Calibri" w:hAnsi="Arial" w:cs="Arial"/>
          <w:sz w:val="21"/>
          <w:szCs w:val="21"/>
          <w:lang w:val="es-ES_tradnl" w:eastAsia="en-US"/>
        </w:rPr>
        <w:t xml:space="preserve">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w:t>
      </w:r>
      <w:r w:rsidRPr="00BB5A45">
        <w:rPr>
          <w:rFonts w:ascii="Arial" w:eastAsia="Calibri" w:hAnsi="Arial" w:cs="Arial"/>
          <w:sz w:val="21"/>
          <w:szCs w:val="21"/>
          <w:lang w:val="es-ES_tradnl" w:eastAsia="en-US"/>
        </w:rPr>
        <w:lastRenderedPageBreak/>
        <w:t>documental de las condiciones antes señaladas será efectuada por las Cámaras de Comercio de conformidad con lo establecido en el artículo 6 de la presente ley, de acuerdo con lo cual se expedirá la respectiva certificación.</w:t>
      </w:r>
    </w:p>
    <w:p w14:paraId="539BB4D5" w14:textId="77777777" w:rsidR="00A8451F" w:rsidRPr="00BB5A45" w:rsidRDefault="00A8451F" w:rsidP="00A8451F">
      <w:pPr>
        <w:spacing w:line="259" w:lineRule="auto"/>
        <w:ind w:left="709" w:right="709"/>
        <w:contextualSpacing/>
        <w:jc w:val="both"/>
        <w:rPr>
          <w:rFonts w:ascii="Arial" w:eastAsia="Calibri" w:hAnsi="Arial" w:cs="Arial"/>
          <w:sz w:val="21"/>
          <w:szCs w:val="21"/>
          <w:lang w:val="es-ES_tradnl" w:eastAsia="en-US"/>
        </w:rPr>
      </w:pPr>
    </w:p>
    <w:p w14:paraId="17752CD1" w14:textId="41FE5B15" w:rsidR="00A8451F" w:rsidRPr="00BB5A45" w:rsidRDefault="00A8451F" w:rsidP="00A8451F">
      <w:pPr>
        <w:spacing w:after="120" w:line="276" w:lineRule="auto"/>
        <w:ind w:firstLine="708"/>
        <w:jc w:val="both"/>
        <w:rPr>
          <w:rFonts w:ascii="Arial" w:hAnsi="Arial" w:cs="Arial"/>
          <w:sz w:val="22"/>
          <w:szCs w:val="22"/>
          <w:lang w:val="es-ES_tradnl"/>
        </w:rPr>
      </w:pPr>
      <w:bookmarkStart w:id="3" w:name="_Hlk99547809"/>
      <w:bookmarkStart w:id="4" w:name="_Hlk99546625"/>
      <w:r w:rsidRPr="00BB5A45">
        <w:rPr>
          <w:rFonts w:ascii="Arial" w:hAnsi="Arial" w:cs="Arial"/>
          <w:sz w:val="22"/>
          <w:szCs w:val="22"/>
          <w:lang w:val="es-ES_tradnl"/>
        </w:rPr>
        <w:t xml:space="preserve">La Agencia Nacional de Contratación Pública ha defendido el carácter </w:t>
      </w:r>
      <w:bookmarkStart w:id="5" w:name="_Hlk99547799"/>
      <w:r w:rsidRPr="00BB5A45">
        <w:rPr>
          <w:rFonts w:ascii="Arial" w:hAnsi="Arial" w:cs="Arial"/>
          <w:sz w:val="22"/>
          <w:szCs w:val="22"/>
          <w:lang w:val="es-ES_tradnl"/>
        </w:rPr>
        <w:t xml:space="preserve">enunciativo del listado de los requisitos habilitantes contenidos en el numeral 1 del artículo 5 de la Ley 1150 de 2007, en la medida en que la </w:t>
      </w:r>
      <w:r w:rsidR="00D67945" w:rsidRPr="00BB5A45">
        <w:rPr>
          <w:rFonts w:ascii="Arial" w:hAnsi="Arial" w:cs="Arial"/>
          <w:sz w:val="22"/>
          <w:szCs w:val="22"/>
          <w:lang w:val="es-ES_tradnl"/>
        </w:rPr>
        <w:t xml:space="preserve">indicada </w:t>
      </w:r>
      <w:r w:rsidRPr="00BB5A45">
        <w:rPr>
          <w:rFonts w:ascii="Arial" w:hAnsi="Arial" w:cs="Arial"/>
          <w:sz w:val="22"/>
          <w:szCs w:val="22"/>
          <w:lang w:val="es-ES_tradnl"/>
        </w:rPr>
        <w:t xml:space="preserve">disposición, al referirse a los requisitos habilitantes, no contiene una expresión como «únicamente» o «solo», de la que pueda colegirse la taxatividad de los requisitos mencionados. </w:t>
      </w:r>
      <w:bookmarkEnd w:id="3"/>
      <w:bookmarkEnd w:id="5"/>
      <w:r w:rsidRPr="00BB5A45">
        <w:rPr>
          <w:rFonts w:ascii="Arial" w:hAnsi="Arial" w:cs="Arial"/>
          <w:sz w:val="22"/>
          <w:szCs w:val="22"/>
          <w:lang w:val="es-ES_tradnl"/>
        </w:rPr>
        <w:t xml:space="preserve">Esta conclusión además se apoya en una la lectura integral de las normas que regulan la contratación estatal, en virtud de la cual es posible evidenciar que existen otras condiciones que deben cumplirse para </w:t>
      </w:r>
      <w:r w:rsidR="00D67945" w:rsidRPr="00BB5A45">
        <w:rPr>
          <w:rFonts w:ascii="Arial" w:hAnsi="Arial" w:cs="Arial"/>
          <w:sz w:val="22"/>
          <w:szCs w:val="22"/>
          <w:lang w:val="es-ES_tradnl"/>
        </w:rPr>
        <w:t>contratar</w:t>
      </w:r>
      <w:r w:rsidRPr="00BB5A45">
        <w:rPr>
          <w:rFonts w:ascii="Arial" w:hAnsi="Arial" w:cs="Arial"/>
          <w:sz w:val="22"/>
          <w:szCs w:val="22"/>
          <w:lang w:val="es-ES_tradnl"/>
        </w:rPr>
        <w:t xml:space="preserve"> con entidades públicas, de las que derivan requisitos habilitantes, como sucede, por ejemplo, con la capacidad residual a la que se refiere el artículo 6º, parágrafo 1, de la Ley 1150 de 2007</w:t>
      </w:r>
      <w:bookmarkEnd w:id="4"/>
      <w:r w:rsidRPr="00BB5A45">
        <w:rPr>
          <w:rFonts w:ascii="Arial" w:hAnsi="Arial" w:cs="Arial"/>
          <w:sz w:val="22"/>
          <w:szCs w:val="22"/>
          <w:vertAlign w:val="superscript"/>
          <w:lang w:val="es-ES_tradnl"/>
        </w:rPr>
        <w:footnoteReference w:id="1"/>
      </w:r>
      <w:r w:rsidRPr="00BB5A45">
        <w:rPr>
          <w:rFonts w:ascii="Arial" w:hAnsi="Arial" w:cs="Arial"/>
          <w:sz w:val="22"/>
          <w:szCs w:val="22"/>
          <w:lang w:val="es-ES_tradnl"/>
        </w:rPr>
        <w:t xml:space="preserve">. </w:t>
      </w:r>
    </w:p>
    <w:p w14:paraId="054514D0" w14:textId="4F1CFE39" w:rsidR="00A8451F" w:rsidRPr="00BB5A45" w:rsidRDefault="00A8451F" w:rsidP="00A8451F">
      <w:pPr>
        <w:spacing w:before="120" w:after="120" w:line="276" w:lineRule="auto"/>
        <w:ind w:firstLine="709"/>
        <w:jc w:val="both"/>
        <w:rPr>
          <w:rFonts w:ascii="Arial" w:hAnsi="Arial" w:cs="Arial"/>
          <w:sz w:val="22"/>
          <w:szCs w:val="22"/>
          <w:lang w:val="es-ES_tradnl"/>
        </w:rPr>
      </w:pPr>
      <w:r w:rsidRPr="00BB5A45">
        <w:rPr>
          <w:rFonts w:ascii="Arial" w:hAnsi="Arial" w:cs="Arial"/>
          <w:sz w:val="22"/>
          <w:szCs w:val="22"/>
          <w:lang w:val="es-ES_tradnl"/>
        </w:rPr>
        <w:t>Por otro lado, en el «Manual para determinar y verificar los requisitos habilitantes en los Procesos de Contratación»</w:t>
      </w:r>
      <w:r w:rsidRPr="00BB5A45">
        <w:rPr>
          <w:rFonts w:ascii="Arial" w:eastAsia="Calibri" w:hAnsi="Arial" w:cs="Arial"/>
          <w:sz w:val="22"/>
          <w:szCs w:val="22"/>
          <w:lang w:val="es-ES_tradnl"/>
        </w:rPr>
        <w:t>,</w:t>
      </w:r>
      <w:r w:rsidRPr="00BB5A45">
        <w:rPr>
          <w:rFonts w:ascii="Arial" w:hAnsi="Arial" w:cs="Arial"/>
          <w:sz w:val="22"/>
          <w:szCs w:val="22"/>
          <w:lang w:val="es-ES_tradnl"/>
        </w:rPr>
        <w:t xml:space="preserve"> expedido por la </w:t>
      </w:r>
      <w:r w:rsidRPr="00BB5A45">
        <w:rPr>
          <w:rFonts w:ascii="Arial" w:eastAsia="Calibri" w:hAnsi="Arial" w:cs="Arial"/>
          <w:sz w:val="22"/>
          <w:szCs w:val="22"/>
          <w:lang w:val="es-ES_tradnl"/>
        </w:rPr>
        <w:t>Agencia Nacional de Contratación Pública – Colombia Compra Eficiente</w:t>
      </w:r>
      <w:r w:rsidRPr="00BB5A45">
        <w:rPr>
          <w:rFonts w:ascii="Arial" w:hAnsi="Arial" w:cs="Arial"/>
          <w:sz w:val="22"/>
          <w:szCs w:val="22"/>
          <w:lang w:val="es-ES_tradnl"/>
        </w:rPr>
        <w:t xml:space="preserve"> se determinaron los parámetros para establecer</w:t>
      </w:r>
      <w:r w:rsidR="0044701C" w:rsidRPr="00BB5A45">
        <w:rPr>
          <w:rFonts w:ascii="Arial" w:hAnsi="Arial" w:cs="Arial"/>
          <w:sz w:val="22"/>
          <w:szCs w:val="22"/>
          <w:lang w:val="es-ES_tradnl"/>
        </w:rPr>
        <w:t xml:space="preserve"> y</w:t>
      </w:r>
      <w:r w:rsidRPr="00BB5A45">
        <w:rPr>
          <w:rFonts w:ascii="Arial" w:hAnsi="Arial" w:cs="Arial"/>
          <w:sz w:val="22"/>
          <w:szCs w:val="22"/>
          <w:lang w:val="es-ES_tradnl"/>
        </w:rPr>
        <w:t xml:space="preserve"> acreditar los requisitos habilitantes. Allí también se precisó que estos tienen como fin primordial medir «la aptitud del proponente para participar en un Proceso de Contratación como oferente y están referidos a su capacidad jurídica, financiera, organizacional y su experiencia». De acuerdo con el Manual, su propósito consiste en «establecer unas condiciones mínimas para los proponentes de tal manera que la Entidad Estatal sólo evalúe las ofertas de aquellos que están en condiciones de cumplir con el objeto del Proceso de Contratación». Así las cosas, al tratarse de condiciones mínimas, significa que las entidades podrían establecer otras, según su autonomía de la voluntad, y teniendo en cuenta el objeto del contrato, los riesgos detectados en los estudios previos, el presupuesto oficial, entre otros factores.</w:t>
      </w:r>
    </w:p>
    <w:p w14:paraId="463C1C98" w14:textId="77777777" w:rsidR="00A8451F" w:rsidRPr="00BB5A45" w:rsidRDefault="00A8451F" w:rsidP="00A8451F">
      <w:pPr>
        <w:spacing w:before="120" w:after="120" w:line="276" w:lineRule="auto"/>
        <w:ind w:firstLine="709"/>
        <w:jc w:val="both"/>
        <w:rPr>
          <w:rFonts w:ascii="Arial" w:hAnsi="Arial" w:cs="Arial"/>
          <w:sz w:val="22"/>
          <w:szCs w:val="22"/>
          <w:lang w:val="es-ES_tradnl"/>
        </w:rPr>
      </w:pPr>
      <w:r w:rsidRPr="00BB5A45">
        <w:rPr>
          <w:rFonts w:ascii="Arial" w:hAnsi="Arial" w:cs="Arial"/>
          <w:sz w:val="22"/>
          <w:szCs w:val="22"/>
          <w:lang w:val="es-ES_tradnl"/>
        </w:rPr>
        <w:t xml:space="preserve">Al respecto, en la Sentencia C-004 de 2017, la Corte Constitucional señaló que «[l]a determinación de dichas condiciones habilitantes para participar, es competencia de la entidad que planee la celebración del contrato, a través de la valoración en concreto de las características mínimas de idoneidad, experiencia, capacidad jurídica y financiera para que </w:t>
      </w:r>
      <w:r w:rsidRPr="00BB5A45">
        <w:rPr>
          <w:rFonts w:ascii="Arial" w:hAnsi="Arial" w:cs="Arial"/>
          <w:sz w:val="22"/>
          <w:szCs w:val="22"/>
          <w:lang w:val="es-ES_tradnl"/>
        </w:rPr>
        <w:lastRenderedPageBreak/>
        <w:t>la realización del objeto contractual resulte eficiente y eficaz frente a la necesidad identificada».</w:t>
      </w:r>
    </w:p>
    <w:p w14:paraId="0B21D36E" w14:textId="77777777" w:rsidR="00A8451F" w:rsidRPr="00BB5A45" w:rsidRDefault="00A8451F" w:rsidP="00A8451F">
      <w:pPr>
        <w:tabs>
          <w:tab w:val="left" w:pos="426"/>
        </w:tabs>
        <w:spacing w:before="120" w:after="120" w:line="276" w:lineRule="auto"/>
        <w:ind w:firstLine="709"/>
        <w:jc w:val="both"/>
        <w:rPr>
          <w:rFonts w:ascii="Arial" w:hAnsi="Arial" w:cs="Arial"/>
          <w:sz w:val="22"/>
          <w:szCs w:val="22"/>
          <w:lang w:val="es-ES_tradnl"/>
        </w:rPr>
      </w:pPr>
      <w:bookmarkStart w:id="6" w:name="_Hlk99548027"/>
      <w:r w:rsidRPr="00BB5A45">
        <w:rPr>
          <w:rFonts w:ascii="Arial" w:hAnsi="Arial" w:cs="Arial"/>
          <w:sz w:val="22"/>
          <w:szCs w:val="22"/>
          <w:lang w:val="es-ES_tradnl"/>
        </w:rPr>
        <w:t xml:space="preserve">En ese sentido, si bien </w:t>
      </w:r>
      <w:r w:rsidRPr="00BB5A45">
        <w:rPr>
          <w:rFonts w:ascii="Arial" w:eastAsia="Calibri" w:hAnsi="Arial" w:cs="Arial"/>
          <w:sz w:val="22"/>
          <w:szCs w:val="22"/>
          <w:lang w:val="es-ES_tradnl"/>
        </w:rPr>
        <w:t xml:space="preserve">la Ley 1150 de 2007 estableció unos requisitos habilitantes para los proponentes –la capacidad jurídica, </w:t>
      </w:r>
      <w:r w:rsidRPr="009175BF">
        <w:rPr>
          <w:rFonts w:ascii="Arial" w:eastAsia="Calibri" w:hAnsi="Arial" w:cs="Arial"/>
          <w:sz w:val="22"/>
          <w:szCs w:val="22"/>
          <w:lang w:val="es-ES_tradnl"/>
        </w:rPr>
        <w:t>las condiciones de experiencia</w:t>
      </w:r>
      <w:r w:rsidRPr="00BB5A45">
        <w:rPr>
          <w:rFonts w:ascii="Arial" w:eastAsia="Calibri" w:hAnsi="Arial" w:cs="Arial"/>
          <w:sz w:val="22"/>
          <w:szCs w:val="22"/>
          <w:lang w:val="es-ES_tradnl"/>
        </w:rPr>
        <w:t xml:space="preserve">, la capacidad financiera y la capacidad de organización–, estos no son taxativos. </w:t>
      </w:r>
      <w:bookmarkStart w:id="7" w:name="_Hlk34917473"/>
      <w:r w:rsidRPr="00BB5A45">
        <w:rPr>
          <w:rFonts w:ascii="Arial" w:hAnsi="Arial" w:cs="Arial"/>
          <w:sz w:val="22"/>
          <w:szCs w:val="22"/>
          <w:lang w:val="es-ES_tradnl"/>
        </w:rPr>
        <w:t xml:space="preserve">En consecuencia, corresponde a las entidades estatales, durante la etapa de planeación del contrato estatal, estudiar y </w:t>
      </w:r>
      <w:r w:rsidRPr="00BB5A45">
        <w:rPr>
          <w:rFonts w:ascii="Arial" w:hAnsi="Arial" w:cs="Arial"/>
          <w:bCs/>
          <w:iCs/>
          <w:sz w:val="22"/>
          <w:szCs w:val="22"/>
          <w:lang w:val="es-ES_tradnl"/>
        </w:rPr>
        <w:t>determinar</w:t>
      </w:r>
      <w:r w:rsidRPr="00BB5A45">
        <w:rPr>
          <w:rFonts w:ascii="Arial" w:hAnsi="Arial" w:cs="Arial"/>
          <w:sz w:val="22"/>
          <w:szCs w:val="22"/>
          <w:lang w:val="es-ES_tradnl"/>
        </w:rPr>
        <w:t xml:space="preserve"> los requisitos habilitantes que establecerán en los pliegos de condiciones, los cuales deben fijarse de forma adecuada y proporcional. </w:t>
      </w:r>
    </w:p>
    <w:bookmarkEnd w:id="6"/>
    <w:p w14:paraId="2BB8DF21" w14:textId="52FC360E" w:rsidR="00A8451F" w:rsidRPr="00BB5A45" w:rsidRDefault="00A8451F" w:rsidP="00A8451F">
      <w:pPr>
        <w:tabs>
          <w:tab w:val="left" w:pos="426"/>
        </w:tabs>
        <w:spacing w:before="120" w:after="120" w:line="276" w:lineRule="auto"/>
        <w:ind w:firstLine="709"/>
        <w:jc w:val="both"/>
        <w:rPr>
          <w:rFonts w:ascii="Arial" w:hAnsi="Arial" w:cs="Arial"/>
          <w:sz w:val="22"/>
          <w:szCs w:val="22"/>
          <w:lang w:val="es-ES_tradnl"/>
        </w:rPr>
      </w:pPr>
      <w:r w:rsidRPr="00BB5A45">
        <w:rPr>
          <w:rFonts w:ascii="Arial" w:hAnsi="Arial" w:cs="Arial"/>
          <w:sz w:val="22"/>
          <w:szCs w:val="22"/>
          <w:lang w:val="es-ES_tradnl"/>
        </w:rPr>
        <w:t xml:space="preserve">El Decreto 1082 de 2015 en su artículo 2.2.1.1.1.6.2 </w:t>
      </w:r>
      <w:r w:rsidR="0044701C" w:rsidRPr="00BB5A45">
        <w:rPr>
          <w:rFonts w:ascii="Arial" w:hAnsi="Arial" w:cs="Arial"/>
          <w:sz w:val="22"/>
          <w:szCs w:val="22"/>
          <w:lang w:val="es-ES_tradnl"/>
        </w:rPr>
        <w:t xml:space="preserve">desarrolla la determinación de </w:t>
      </w:r>
      <w:r w:rsidRPr="00BB5A45">
        <w:rPr>
          <w:rFonts w:ascii="Arial" w:hAnsi="Arial" w:cs="Arial"/>
          <w:sz w:val="22"/>
          <w:szCs w:val="22"/>
          <w:lang w:val="es-ES_tradnl"/>
        </w:rPr>
        <w:t>los requisitos habilitantes, estableciendo que estos deben ser señalados en los pliegos de condiciones o en la invitación</w:t>
      </w:r>
      <w:r w:rsidRPr="00BB5A45">
        <w:rPr>
          <w:rFonts w:ascii="Arial" w:hAnsi="Arial" w:cs="Arial"/>
          <w:sz w:val="22"/>
          <w:szCs w:val="22"/>
          <w:vertAlign w:val="superscript"/>
          <w:lang w:val="es-ES_tradnl"/>
        </w:rPr>
        <w:footnoteReference w:id="2"/>
      </w:r>
      <w:r w:rsidRPr="00BB5A45">
        <w:rPr>
          <w:rFonts w:ascii="Arial" w:hAnsi="Arial" w:cs="Arial"/>
          <w:sz w:val="22"/>
          <w:szCs w:val="22"/>
          <w:lang w:val="es-ES_tradnl"/>
        </w:rPr>
        <w:t>, lo cual es concordante con el numeral 5 del artículo 2.2.1.1.2.1.3, en el que se establece como uno de los componentes mínimos de los pliegos de condiciones</w:t>
      </w:r>
      <w:r w:rsidRPr="00BB5A45">
        <w:rPr>
          <w:rFonts w:ascii="Arial" w:eastAsiaTheme="minorHAnsi" w:hAnsi="Arial" w:cs="Arial"/>
          <w:color w:val="000000"/>
          <w:sz w:val="22"/>
          <w:szCs w:val="22"/>
          <w:lang w:eastAsia="en-US"/>
        </w:rPr>
        <w:t xml:space="preserve"> las reglas aplicables </w:t>
      </w:r>
      <w:r w:rsidR="0044701C" w:rsidRPr="00BB5A45">
        <w:rPr>
          <w:rFonts w:ascii="Arial" w:eastAsiaTheme="minorHAnsi" w:hAnsi="Arial" w:cs="Arial"/>
          <w:color w:val="000000"/>
          <w:sz w:val="22"/>
          <w:szCs w:val="22"/>
          <w:lang w:eastAsia="en-US"/>
        </w:rPr>
        <w:t>para</w:t>
      </w:r>
      <w:r w:rsidRPr="00BB5A45">
        <w:rPr>
          <w:rFonts w:ascii="Arial" w:eastAsiaTheme="minorHAnsi" w:hAnsi="Arial" w:cs="Arial"/>
          <w:color w:val="000000"/>
          <w:sz w:val="22"/>
          <w:szCs w:val="22"/>
          <w:lang w:eastAsia="en-US"/>
        </w:rPr>
        <w:t xml:space="preserve"> la presentación y evaluación de las ofertas, entre las que se inscriben las relativas a la acreditación de las condiciones habilitantes. </w:t>
      </w:r>
      <w:r w:rsidRPr="00BB5A45">
        <w:rPr>
          <w:rFonts w:ascii="Arial" w:hAnsi="Arial" w:cs="Arial"/>
          <w:sz w:val="22"/>
          <w:szCs w:val="22"/>
          <w:lang w:val="es-ES_tradnl"/>
        </w:rPr>
        <w:t xml:space="preserve"> Establece además el artículo 2.2.1.1.1.6.2 que la determinación de los requisitos habilitantes debe ser realizada en función de criterios como el riesgo del proceso de contratación, el valor del contrato, el análisis del sector económico respectivo y el conocimiento de fondo de los posibles oferentes desde la perspectiva comercial. </w:t>
      </w:r>
    </w:p>
    <w:p w14:paraId="6E54C95B" w14:textId="30B2AB73" w:rsidR="00A8451F" w:rsidRPr="00BB5A45" w:rsidRDefault="00A8451F" w:rsidP="00A8451F">
      <w:pPr>
        <w:tabs>
          <w:tab w:val="left" w:pos="426"/>
        </w:tabs>
        <w:spacing w:before="120" w:line="276" w:lineRule="auto"/>
        <w:ind w:firstLine="709"/>
        <w:jc w:val="both"/>
        <w:rPr>
          <w:rFonts w:ascii="Arial" w:hAnsi="Arial" w:cs="Arial"/>
          <w:sz w:val="22"/>
          <w:szCs w:val="22"/>
          <w:lang w:val="es-ES_tradnl"/>
        </w:rPr>
      </w:pPr>
      <w:r w:rsidRPr="00BB5A45">
        <w:rPr>
          <w:rFonts w:ascii="Arial" w:hAnsi="Arial" w:cs="Arial"/>
          <w:sz w:val="22"/>
          <w:szCs w:val="22"/>
          <w:lang w:val="es-ES_tradnl"/>
        </w:rPr>
        <w:t xml:space="preserve">Los mencionados criterios deben ser aplicados de manera tal que de </w:t>
      </w:r>
      <w:r w:rsidR="0044701C" w:rsidRPr="00BB5A45">
        <w:rPr>
          <w:rFonts w:ascii="Arial" w:hAnsi="Arial" w:cs="Arial"/>
          <w:sz w:val="22"/>
          <w:szCs w:val="22"/>
          <w:lang w:val="es-ES_tradnl"/>
        </w:rPr>
        <w:t>su inclusión</w:t>
      </w:r>
      <w:r w:rsidRPr="00BB5A45">
        <w:rPr>
          <w:rFonts w:ascii="Arial" w:hAnsi="Arial" w:cs="Arial"/>
          <w:sz w:val="22"/>
          <w:szCs w:val="22"/>
          <w:lang w:val="es-ES_tradnl"/>
        </w:rPr>
        <w:t xml:space="preserve"> resulten requisitos que permitan medir la aptitud de los oferentes para cumplir con el contrato, y que, además de ser proporcionales y adecuados al objeto del contrato, no limiten </w:t>
      </w:r>
      <w:r w:rsidR="0044701C" w:rsidRPr="00BB5A45">
        <w:rPr>
          <w:rFonts w:ascii="Arial" w:hAnsi="Arial" w:cs="Arial"/>
          <w:sz w:val="22"/>
          <w:szCs w:val="22"/>
          <w:lang w:val="es-ES_tradnl"/>
        </w:rPr>
        <w:t xml:space="preserve">ostensiblemente </w:t>
      </w:r>
      <w:r w:rsidRPr="00BB5A45">
        <w:rPr>
          <w:rFonts w:ascii="Arial" w:hAnsi="Arial" w:cs="Arial"/>
          <w:sz w:val="22"/>
          <w:szCs w:val="22"/>
          <w:lang w:val="es-ES_tradnl"/>
        </w:rPr>
        <w:t xml:space="preserve">la participación en el proceso de selección. En ese sentido, las entidades tienen autonomía para estructurar los requisitos habilitantes en los procesos que adelantan, pero tal facultad no puede ejercerse de forma arbitraria, caprichosa y, mucho menos, con </w:t>
      </w:r>
      <w:r w:rsidRPr="00BB5A45">
        <w:rPr>
          <w:rFonts w:ascii="Arial" w:hAnsi="Arial" w:cs="Arial"/>
          <w:sz w:val="22"/>
          <w:szCs w:val="22"/>
          <w:lang w:val="es-ES_tradnl"/>
        </w:rPr>
        <w:lastRenderedPageBreak/>
        <w:t xml:space="preserve">el ánimo de direccionar el proceso de contratación o favorecer a alguno de los proponentes. Tampoco puede suceder que el ejercicio de dicha atribución se haga con desconocimiento de los límites impuestos por la normativa vigente, como, por ejemplo, el parágrafo 2 del artículo 5 de la Ley 1150 de 2007, que prohíbe exigir certificaciones de sistemas de gestión de calidad como requisito habilitante. </w:t>
      </w:r>
    </w:p>
    <w:p w14:paraId="45BD9621" w14:textId="2638BD41" w:rsidR="00A8451F" w:rsidRPr="00BB5A45" w:rsidRDefault="005D7AA2" w:rsidP="00A8451F">
      <w:pPr>
        <w:tabs>
          <w:tab w:val="left" w:pos="426"/>
        </w:tabs>
        <w:spacing w:before="120" w:line="276" w:lineRule="auto"/>
        <w:ind w:firstLine="709"/>
        <w:jc w:val="both"/>
        <w:rPr>
          <w:rFonts w:ascii="Arial" w:hAnsi="Arial" w:cs="Arial"/>
          <w:sz w:val="22"/>
          <w:szCs w:val="22"/>
          <w:lang w:val="es-ES_tradnl"/>
        </w:rPr>
      </w:pPr>
      <w:bookmarkStart w:id="8" w:name="_Hlk99547936"/>
      <w:r w:rsidRPr="00BB5A45">
        <w:rPr>
          <w:rFonts w:ascii="Arial" w:hAnsi="Arial" w:cs="Arial"/>
          <w:sz w:val="22"/>
          <w:szCs w:val="22"/>
          <w:lang w:val="es-ES_tradnl"/>
        </w:rPr>
        <w:t>Con base en lo anterior</w:t>
      </w:r>
      <w:r w:rsidR="00A8451F" w:rsidRPr="00BB5A45">
        <w:rPr>
          <w:rFonts w:ascii="Arial" w:hAnsi="Arial" w:cs="Arial"/>
          <w:sz w:val="22"/>
          <w:szCs w:val="22"/>
          <w:lang w:val="es-ES_tradnl"/>
        </w:rPr>
        <w:t xml:space="preserve">, las entidades estatales son autónomas para definir los requisitos habilitantes, pero tal facultad debe ser ejercida procurando diseñar condiciones habilitantes de manera objetiva, de suerte que estas sirvan para determinar si los participantes del proceso de contratación cuentan con las capacidades que los hacen aptos para ejecutar el objeto contractual. Para esto resulta indispensable que los requisitos establecidos por la entidad, además se fijen de manera adecuada y proporcional a las características del objeto </w:t>
      </w:r>
      <w:r w:rsidR="0044701C" w:rsidRPr="00BB5A45">
        <w:rPr>
          <w:rFonts w:ascii="Arial" w:hAnsi="Arial" w:cs="Arial"/>
          <w:sz w:val="22"/>
          <w:szCs w:val="22"/>
          <w:lang w:val="es-ES_tradnl"/>
        </w:rPr>
        <w:t>contractual</w:t>
      </w:r>
      <w:r w:rsidR="00A8451F" w:rsidRPr="00BB5A45">
        <w:rPr>
          <w:rFonts w:ascii="Arial" w:hAnsi="Arial" w:cs="Arial"/>
          <w:sz w:val="22"/>
          <w:szCs w:val="22"/>
          <w:lang w:val="es-ES_tradnl"/>
        </w:rPr>
        <w:t xml:space="preserve">, </w:t>
      </w:r>
      <w:r w:rsidR="0044701C" w:rsidRPr="00BB5A45">
        <w:rPr>
          <w:rFonts w:ascii="Arial" w:hAnsi="Arial" w:cs="Arial"/>
          <w:sz w:val="22"/>
          <w:szCs w:val="22"/>
          <w:lang w:val="es-ES_tradnl"/>
        </w:rPr>
        <w:t>ciñéndose, además,</w:t>
      </w:r>
      <w:r w:rsidR="00A8451F" w:rsidRPr="00BB5A45">
        <w:rPr>
          <w:rFonts w:ascii="Arial" w:hAnsi="Arial" w:cs="Arial"/>
          <w:sz w:val="22"/>
          <w:szCs w:val="22"/>
          <w:lang w:val="es-ES_tradnl"/>
        </w:rPr>
        <w:t xml:space="preserve"> a la normativa que resulte aplicable. </w:t>
      </w:r>
    </w:p>
    <w:p w14:paraId="491B78DA" w14:textId="0A8324CD" w:rsidR="00B61CCC" w:rsidRPr="00BB5A45" w:rsidRDefault="00B61CCC" w:rsidP="009175BF">
      <w:pPr>
        <w:tabs>
          <w:tab w:val="left" w:pos="426"/>
        </w:tabs>
        <w:spacing w:line="276" w:lineRule="auto"/>
        <w:jc w:val="both"/>
        <w:rPr>
          <w:rFonts w:ascii="Arial" w:hAnsi="Arial" w:cs="Arial"/>
          <w:sz w:val="22"/>
          <w:szCs w:val="22"/>
          <w:lang w:val="es-ES_tradnl"/>
        </w:rPr>
      </w:pPr>
    </w:p>
    <w:p w14:paraId="642773F5" w14:textId="3DD5FDF8" w:rsidR="00B61CCC" w:rsidRPr="009175BF" w:rsidRDefault="00B61CCC" w:rsidP="009175BF">
      <w:pPr>
        <w:tabs>
          <w:tab w:val="left" w:pos="426"/>
        </w:tabs>
        <w:spacing w:line="276" w:lineRule="auto"/>
        <w:jc w:val="both"/>
        <w:rPr>
          <w:rFonts w:ascii="Arial" w:hAnsi="Arial" w:cs="Arial"/>
          <w:b/>
          <w:bCs/>
          <w:sz w:val="22"/>
          <w:szCs w:val="22"/>
          <w:lang w:val="es-ES_tradnl"/>
        </w:rPr>
      </w:pPr>
      <w:r w:rsidRPr="009175BF">
        <w:rPr>
          <w:rFonts w:ascii="Arial" w:eastAsia="Calibri" w:hAnsi="Arial" w:cs="Arial"/>
          <w:b/>
          <w:bCs/>
          <w:color w:val="000000" w:themeColor="text1"/>
          <w:sz w:val="22"/>
          <w:szCs w:val="22"/>
          <w:lang w:val="es-ES_tradnl"/>
        </w:rPr>
        <w:t>2.2. Experiencia en los procedimientos de selección de contratistas</w:t>
      </w:r>
    </w:p>
    <w:p w14:paraId="09884EFC" w14:textId="77777777" w:rsidR="00B61CCC" w:rsidRPr="00BB5A45" w:rsidRDefault="00B61CCC" w:rsidP="009175BF">
      <w:pPr>
        <w:tabs>
          <w:tab w:val="left" w:pos="426"/>
        </w:tabs>
        <w:spacing w:line="276" w:lineRule="auto"/>
        <w:jc w:val="both"/>
        <w:rPr>
          <w:rFonts w:ascii="Arial" w:hAnsi="Arial" w:cs="Arial"/>
          <w:sz w:val="22"/>
          <w:szCs w:val="22"/>
          <w:lang w:val="es-ES_tradnl"/>
        </w:rPr>
      </w:pPr>
    </w:p>
    <w:p w14:paraId="2E31C3BD" w14:textId="77777777" w:rsidR="00C04FFD" w:rsidRPr="00BB5A45" w:rsidRDefault="00C04FFD" w:rsidP="009175BF">
      <w:pPr>
        <w:tabs>
          <w:tab w:val="left" w:pos="426"/>
        </w:tabs>
        <w:spacing w:line="276" w:lineRule="auto"/>
        <w:jc w:val="both"/>
        <w:rPr>
          <w:rFonts w:ascii="Arial" w:hAnsi="Arial" w:cs="Arial"/>
          <w:sz w:val="22"/>
          <w:szCs w:val="22"/>
          <w:lang w:val="es-ES_tradnl"/>
        </w:rPr>
      </w:pPr>
      <w:bookmarkStart w:id="9" w:name="_Hlk99548082"/>
      <w:r w:rsidRPr="00BB5A45">
        <w:rPr>
          <w:rFonts w:ascii="Arial" w:hAnsi="Arial" w:cs="Arial"/>
          <w:sz w:val="22"/>
          <w:szCs w:val="22"/>
          <w:lang w:val="es-ES_tradnl"/>
        </w:rPr>
        <w:t xml:space="preserve">Dentro de los requisitos habilitantes establecidos por el artículo 5 de la Ley 1150 de 2007 se destaca la experiencia. En el «Manual para determinar y verificar requisitos habilitantes en los procesos de contratación» expedido por Colombia Compra Eficiente se define a la experiencia como «[…] el conocimiento del proponente derivado de su participación previa en actividades iguales o similares a las previstas en el objeto del contrato». </w:t>
      </w:r>
    </w:p>
    <w:p w14:paraId="462F0154" w14:textId="77777777" w:rsidR="00C04FFD" w:rsidRPr="00BB5A45" w:rsidRDefault="00C04FFD" w:rsidP="00C04FFD">
      <w:pPr>
        <w:spacing w:before="120" w:after="120" w:line="276" w:lineRule="auto"/>
        <w:ind w:firstLine="708"/>
        <w:jc w:val="both"/>
        <w:rPr>
          <w:rFonts w:ascii="Arial" w:eastAsia="Calibri" w:hAnsi="Arial" w:cs="Arial"/>
          <w:sz w:val="22"/>
          <w:szCs w:val="22"/>
          <w:lang w:eastAsia="en-US"/>
        </w:rPr>
      </w:pPr>
      <w:r w:rsidRPr="00BB5A45">
        <w:rPr>
          <w:rFonts w:ascii="Arial" w:eastAsia="Calibri" w:hAnsi="Arial" w:cs="Arial"/>
          <w:sz w:val="22"/>
          <w:szCs w:val="22"/>
          <w:lang w:eastAsia="en-US"/>
        </w:rPr>
        <w:t xml:space="preserve">Precisamente, de la experiencia se deriva el conocimiento del proponente, el cual en el marco de la contratación pública se reviste de particular importancia, en la medida en que garantiza en cierto grado que no habrá improvisación ni mayores costos por errores o dificultades originadas en realizar una actividad por primera vez. </w:t>
      </w:r>
      <w:bookmarkEnd w:id="9"/>
      <w:r w:rsidRPr="00BB5A45">
        <w:rPr>
          <w:rFonts w:ascii="Arial" w:eastAsia="Calibri" w:hAnsi="Arial" w:cs="Arial"/>
          <w:sz w:val="22"/>
          <w:szCs w:val="22"/>
          <w:lang w:eastAsia="en-US"/>
        </w:rPr>
        <w:t xml:space="preserve">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evento en el cual, por tratarse de esquemas asociativos, la experiencia es compartida. </w:t>
      </w:r>
    </w:p>
    <w:p w14:paraId="1452BAED" w14:textId="2A7C52A1" w:rsidR="00C04FFD" w:rsidRPr="00BB5A45" w:rsidRDefault="00C04FFD" w:rsidP="00C04FFD">
      <w:pPr>
        <w:spacing w:before="120" w:after="120" w:line="276" w:lineRule="auto"/>
        <w:ind w:firstLine="708"/>
        <w:jc w:val="both"/>
        <w:rPr>
          <w:rFonts w:ascii="Arial" w:eastAsia="Calibri" w:hAnsi="Arial" w:cs="Arial"/>
          <w:sz w:val="22"/>
          <w:szCs w:val="22"/>
          <w:lang w:eastAsia="en-US"/>
        </w:rPr>
      </w:pPr>
      <w:r w:rsidRPr="00BB5A45">
        <w:rPr>
          <w:rFonts w:ascii="Arial" w:eastAsia="Calibri" w:hAnsi="Arial" w:cs="Arial"/>
          <w:sz w:val="22"/>
          <w:szCs w:val="22"/>
          <w:lang w:eastAsia="en-US"/>
        </w:rPr>
        <w:t xml:space="preserve">Conforme se viene explicando, las entidades contratantes, como responsables de la estructuración de los procedimientos </w:t>
      </w:r>
      <w:r w:rsidR="00BC09D6" w:rsidRPr="00BB5A45">
        <w:rPr>
          <w:rFonts w:ascii="Arial" w:eastAsia="Calibri" w:hAnsi="Arial" w:cs="Arial"/>
          <w:sz w:val="22"/>
          <w:szCs w:val="22"/>
          <w:lang w:eastAsia="en-US"/>
        </w:rPr>
        <w:t>de selección</w:t>
      </w:r>
      <w:r w:rsidRPr="00BB5A45">
        <w:rPr>
          <w:rFonts w:ascii="Arial" w:eastAsia="Calibri" w:hAnsi="Arial" w:cs="Arial"/>
          <w:sz w:val="22"/>
          <w:szCs w:val="22"/>
          <w:lang w:eastAsia="en-US"/>
        </w:rPr>
        <w:t>, son autónomas para establecer los requisitos habilitantes cuya exigencia estiman necesaria para garantizar la aptitud de los participantes, entre estos</w:t>
      </w:r>
      <w:r w:rsidR="00BC09D6" w:rsidRPr="00BB5A45">
        <w:rPr>
          <w:rFonts w:ascii="Arial" w:eastAsia="Calibri" w:hAnsi="Arial" w:cs="Arial"/>
          <w:sz w:val="22"/>
          <w:szCs w:val="22"/>
          <w:lang w:eastAsia="en-US"/>
        </w:rPr>
        <w:t>,</w:t>
      </w:r>
      <w:r w:rsidRPr="00BB5A45">
        <w:rPr>
          <w:rFonts w:ascii="Arial" w:eastAsia="Calibri" w:hAnsi="Arial" w:cs="Arial"/>
          <w:sz w:val="22"/>
          <w:szCs w:val="22"/>
          <w:lang w:eastAsia="en-US"/>
        </w:rPr>
        <w:t xml:space="preserve"> se encuentran el de experiencia. </w:t>
      </w:r>
      <w:r w:rsidR="00BC09D6" w:rsidRPr="00BB5A45">
        <w:rPr>
          <w:rFonts w:ascii="Arial" w:eastAsia="Calibri" w:hAnsi="Arial" w:cs="Arial"/>
          <w:sz w:val="22"/>
          <w:szCs w:val="22"/>
          <w:lang w:eastAsia="en-US"/>
        </w:rPr>
        <w:t>En este sentido</w:t>
      </w:r>
      <w:r w:rsidRPr="00BB5A45">
        <w:rPr>
          <w:rFonts w:ascii="Arial" w:eastAsia="Calibri" w:hAnsi="Arial" w:cs="Arial"/>
          <w:sz w:val="22"/>
          <w:szCs w:val="22"/>
          <w:lang w:eastAsia="en-US"/>
        </w:rPr>
        <w:t xml:space="preserve">, el artículo 2.2.1.1.1.6.2. del Decreto 1082 de 2015 resulta aplicable </w:t>
      </w:r>
      <w:r w:rsidR="00BC09D6" w:rsidRPr="00BB5A45">
        <w:rPr>
          <w:rFonts w:ascii="Arial" w:eastAsia="Calibri" w:hAnsi="Arial" w:cs="Arial"/>
          <w:sz w:val="22"/>
          <w:szCs w:val="22"/>
          <w:lang w:eastAsia="en-US"/>
        </w:rPr>
        <w:t>para</w:t>
      </w:r>
      <w:r w:rsidRPr="00BB5A45">
        <w:rPr>
          <w:rFonts w:ascii="Arial" w:eastAsia="Calibri" w:hAnsi="Arial" w:cs="Arial"/>
          <w:sz w:val="22"/>
          <w:szCs w:val="22"/>
          <w:lang w:eastAsia="en-US"/>
        </w:rPr>
        <w:t xml:space="preserve"> establecer los requisitos de experiencia, </w:t>
      </w:r>
      <w:r w:rsidR="00BC09D6" w:rsidRPr="00BB5A45">
        <w:rPr>
          <w:rFonts w:ascii="Arial" w:eastAsia="Calibri" w:hAnsi="Arial" w:cs="Arial"/>
          <w:sz w:val="22"/>
          <w:szCs w:val="22"/>
          <w:lang w:eastAsia="en-US"/>
        </w:rPr>
        <w:t xml:space="preserve">que </w:t>
      </w:r>
      <w:r w:rsidRPr="00BB5A45">
        <w:rPr>
          <w:rFonts w:ascii="Arial" w:eastAsia="Calibri" w:hAnsi="Arial" w:cs="Arial"/>
          <w:sz w:val="22"/>
          <w:szCs w:val="22"/>
          <w:lang w:eastAsia="en-US"/>
        </w:rPr>
        <w:t xml:space="preserve">deben tener en cuenta aspectos como el estudio del sector y sus componentes, la identificación de riesgos, así como el mercado y precio del bien, obra o servicio a contratar, dentro de los límites que le impone el principio de proporcionalidad. </w:t>
      </w:r>
    </w:p>
    <w:p w14:paraId="3FE49BE2" w14:textId="7E4CD3D5" w:rsidR="0017205F" w:rsidRPr="00BB5A45" w:rsidRDefault="00C04FFD" w:rsidP="009175BF">
      <w:pPr>
        <w:spacing w:before="120" w:after="120" w:line="276" w:lineRule="auto"/>
        <w:ind w:firstLine="708"/>
        <w:jc w:val="both"/>
        <w:rPr>
          <w:rFonts w:ascii="Arial" w:eastAsia="Calibri" w:hAnsi="Arial" w:cs="Arial"/>
          <w:sz w:val="22"/>
          <w:szCs w:val="22"/>
          <w:lang w:eastAsia="en-US"/>
        </w:rPr>
      </w:pPr>
      <w:r w:rsidRPr="00BB5A45">
        <w:rPr>
          <w:rFonts w:ascii="Arial" w:eastAsia="Calibri" w:hAnsi="Arial" w:cs="Arial"/>
          <w:sz w:val="22"/>
          <w:szCs w:val="22"/>
          <w:lang w:eastAsia="en-US"/>
        </w:rPr>
        <w:lastRenderedPageBreak/>
        <w:t xml:space="preserve">Por otra parte, la Agencia recomienda que la experiencia que se solicite sea proporcional y no igual al objeto que se va a contratar, ya que esto </w:t>
      </w:r>
      <w:r w:rsidR="00BC09D6" w:rsidRPr="00BB5A45">
        <w:rPr>
          <w:rFonts w:ascii="Arial" w:eastAsia="Calibri" w:hAnsi="Arial" w:cs="Arial"/>
          <w:sz w:val="22"/>
          <w:szCs w:val="22"/>
          <w:lang w:eastAsia="en-US"/>
        </w:rPr>
        <w:t xml:space="preserve">podría </w:t>
      </w:r>
      <w:r w:rsidRPr="00BB5A45">
        <w:rPr>
          <w:rFonts w:ascii="Arial" w:eastAsia="Calibri" w:hAnsi="Arial" w:cs="Arial"/>
          <w:sz w:val="22"/>
          <w:szCs w:val="22"/>
          <w:lang w:eastAsia="en-US"/>
        </w:rPr>
        <w:t xml:space="preserve">limitar la participación de los </w:t>
      </w:r>
      <w:r w:rsidR="00BC09D6" w:rsidRPr="00BB5A45">
        <w:rPr>
          <w:rFonts w:ascii="Arial" w:eastAsia="Calibri" w:hAnsi="Arial" w:cs="Arial"/>
          <w:sz w:val="22"/>
          <w:szCs w:val="22"/>
          <w:lang w:eastAsia="en-US"/>
        </w:rPr>
        <w:t>proponentes</w:t>
      </w:r>
      <w:r w:rsidRPr="00BB5A45">
        <w:rPr>
          <w:rFonts w:ascii="Arial" w:eastAsia="Calibri" w:hAnsi="Arial" w:cs="Arial"/>
          <w:sz w:val="22"/>
          <w:szCs w:val="22"/>
          <w:lang w:eastAsia="en-US"/>
        </w:rPr>
        <w:t>, por no haber ejecutado un objeto igual pero sí similar, que puede funcionar para las exigencias de la entidad</w:t>
      </w:r>
      <w:r w:rsidR="00BC09D6" w:rsidRPr="00BB5A45">
        <w:rPr>
          <w:rFonts w:ascii="Arial" w:eastAsia="Calibri" w:hAnsi="Arial" w:cs="Arial"/>
          <w:sz w:val="22"/>
          <w:szCs w:val="22"/>
          <w:lang w:eastAsia="en-US"/>
        </w:rPr>
        <w:t>,</w:t>
      </w:r>
      <w:r w:rsidRPr="00BB5A45">
        <w:rPr>
          <w:rFonts w:ascii="Arial" w:eastAsia="Calibri" w:hAnsi="Arial" w:cs="Arial"/>
          <w:sz w:val="22"/>
          <w:szCs w:val="22"/>
          <w:lang w:eastAsia="en-US"/>
        </w:rPr>
        <w:t xml:space="preserve"> </w:t>
      </w:r>
      <w:r w:rsidR="00BC09D6" w:rsidRPr="00BB5A45">
        <w:rPr>
          <w:rFonts w:ascii="Arial" w:eastAsia="Calibri" w:hAnsi="Arial" w:cs="Arial"/>
          <w:sz w:val="22"/>
          <w:szCs w:val="22"/>
          <w:lang w:eastAsia="en-US"/>
        </w:rPr>
        <w:t xml:space="preserve">procurando </w:t>
      </w:r>
      <w:r w:rsidRPr="00BB5A45">
        <w:rPr>
          <w:rFonts w:ascii="Arial" w:eastAsia="Calibri" w:hAnsi="Arial" w:cs="Arial"/>
          <w:sz w:val="22"/>
          <w:szCs w:val="22"/>
          <w:lang w:eastAsia="en-US"/>
        </w:rPr>
        <w:t xml:space="preserve">que exista pluralidad de oferentes. </w:t>
      </w:r>
      <w:bookmarkStart w:id="10" w:name="_Hlk86133842"/>
      <w:r w:rsidRPr="00BB5A45">
        <w:rPr>
          <w:rFonts w:ascii="Arial" w:eastAsia="Calibri" w:hAnsi="Arial" w:cs="Arial"/>
          <w:sz w:val="22"/>
          <w:szCs w:val="22"/>
          <w:lang w:eastAsia="en-US"/>
        </w:rPr>
        <w:t xml:space="preserve">De no ser así, se limitaría </w:t>
      </w:r>
      <w:r w:rsidR="00BC09D6" w:rsidRPr="00BB5A45">
        <w:rPr>
          <w:rFonts w:ascii="Arial" w:eastAsia="Calibri" w:hAnsi="Arial" w:cs="Arial"/>
          <w:sz w:val="22"/>
          <w:szCs w:val="22"/>
          <w:lang w:eastAsia="en-US"/>
        </w:rPr>
        <w:t xml:space="preserve">excesivamente </w:t>
      </w:r>
      <w:r w:rsidRPr="00BB5A45">
        <w:rPr>
          <w:rFonts w:ascii="Arial" w:eastAsia="Calibri" w:hAnsi="Arial" w:cs="Arial"/>
          <w:sz w:val="22"/>
          <w:szCs w:val="22"/>
          <w:lang w:eastAsia="en-US"/>
        </w:rPr>
        <w:t xml:space="preserve">la participación de los </w:t>
      </w:r>
      <w:r w:rsidR="00BC09D6" w:rsidRPr="00BB5A45">
        <w:rPr>
          <w:rFonts w:ascii="Arial" w:eastAsia="Calibri" w:hAnsi="Arial" w:cs="Arial"/>
          <w:sz w:val="22"/>
          <w:szCs w:val="22"/>
          <w:lang w:eastAsia="en-US"/>
        </w:rPr>
        <w:t xml:space="preserve">oferentes </w:t>
      </w:r>
      <w:r w:rsidRPr="00BB5A45">
        <w:rPr>
          <w:rFonts w:ascii="Arial" w:eastAsia="Calibri" w:hAnsi="Arial" w:cs="Arial"/>
          <w:sz w:val="22"/>
          <w:szCs w:val="22"/>
          <w:lang w:eastAsia="en-US"/>
        </w:rPr>
        <w:t xml:space="preserve">que han ejecutado contratos no iguales, pero sí similares, y que pueden aportar trayectoria para satisfacer las exigencias de la entidad. </w:t>
      </w:r>
      <w:bookmarkStart w:id="11" w:name="_Hlk86155584"/>
      <w:bookmarkEnd w:id="10"/>
    </w:p>
    <w:p w14:paraId="196E5B03" w14:textId="3EE261F3" w:rsidR="00C04FFD" w:rsidRPr="00BB5A45" w:rsidRDefault="0017205F" w:rsidP="009175BF">
      <w:pPr>
        <w:spacing w:after="120" w:line="276" w:lineRule="auto"/>
        <w:ind w:firstLine="709"/>
        <w:jc w:val="both"/>
        <w:rPr>
          <w:rFonts w:ascii="Arial" w:eastAsia="Calibri" w:hAnsi="Arial" w:cs="Arial"/>
          <w:sz w:val="22"/>
          <w:szCs w:val="22"/>
          <w:lang w:eastAsia="en-US"/>
        </w:rPr>
      </w:pPr>
      <w:r w:rsidRPr="00BB5A45">
        <w:rPr>
          <w:rFonts w:ascii="Arial" w:eastAsia="Calibri" w:hAnsi="Arial" w:cs="Arial"/>
          <w:sz w:val="22"/>
          <w:szCs w:val="22"/>
          <w:lang w:eastAsia="en-US"/>
        </w:rPr>
        <w:t xml:space="preserve">En lo que a la noción de experiencia respecta, </w:t>
      </w:r>
      <w:bookmarkEnd w:id="11"/>
      <w:r w:rsidR="0057549D" w:rsidRPr="00BB5A45">
        <w:rPr>
          <w:rFonts w:ascii="Arial" w:eastAsia="Calibri" w:hAnsi="Arial" w:cs="Arial"/>
          <w:sz w:val="22"/>
          <w:szCs w:val="22"/>
          <w:lang w:eastAsia="en-US"/>
        </w:rPr>
        <w:t xml:space="preserve">se puede partir de </w:t>
      </w:r>
      <w:r w:rsidR="00BC09D6" w:rsidRPr="00BB5A45">
        <w:rPr>
          <w:rFonts w:ascii="Arial" w:eastAsia="Calibri" w:hAnsi="Arial" w:cs="Arial"/>
          <w:sz w:val="22"/>
          <w:szCs w:val="22"/>
          <w:lang w:eastAsia="en-US"/>
        </w:rPr>
        <w:t>alg</w:t>
      </w:r>
      <w:r w:rsidR="0057549D" w:rsidRPr="00BB5A45">
        <w:rPr>
          <w:rFonts w:ascii="Arial" w:eastAsia="Calibri" w:hAnsi="Arial" w:cs="Arial"/>
          <w:sz w:val="22"/>
          <w:szCs w:val="22"/>
          <w:lang w:eastAsia="en-US"/>
        </w:rPr>
        <w:t>unas fuentes normativas y doctrinar</w:t>
      </w:r>
      <w:r w:rsidR="009C6D3A" w:rsidRPr="00BB5A45">
        <w:rPr>
          <w:rFonts w:ascii="Arial" w:eastAsia="Calibri" w:hAnsi="Arial" w:cs="Arial"/>
          <w:sz w:val="22"/>
          <w:szCs w:val="22"/>
          <w:lang w:eastAsia="en-US"/>
        </w:rPr>
        <w:t>ia</w:t>
      </w:r>
      <w:r w:rsidR="0057549D" w:rsidRPr="00BB5A45">
        <w:rPr>
          <w:rFonts w:ascii="Arial" w:eastAsia="Calibri" w:hAnsi="Arial" w:cs="Arial"/>
          <w:sz w:val="22"/>
          <w:szCs w:val="22"/>
          <w:lang w:eastAsia="en-US"/>
        </w:rPr>
        <w:t xml:space="preserve">s que esbozan </w:t>
      </w:r>
      <w:r w:rsidR="00BC09D6" w:rsidRPr="00BB5A45">
        <w:rPr>
          <w:rFonts w:ascii="Arial" w:eastAsia="Calibri" w:hAnsi="Arial" w:cs="Arial"/>
          <w:sz w:val="22"/>
          <w:szCs w:val="22"/>
          <w:lang w:eastAsia="en-US"/>
        </w:rPr>
        <w:t xml:space="preserve">su </w:t>
      </w:r>
      <w:r w:rsidR="0057549D" w:rsidRPr="00BB5A45">
        <w:rPr>
          <w:rFonts w:ascii="Arial" w:eastAsia="Calibri" w:hAnsi="Arial" w:cs="Arial"/>
          <w:sz w:val="22"/>
          <w:szCs w:val="22"/>
          <w:lang w:eastAsia="en-US"/>
        </w:rPr>
        <w:t>definición</w:t>
      </w:r>
      <w:r w:rsidR="00BC09D6" w:rsidRPr="00BB5A45">
        <w:rPr>
          <w:rFonts w:ascii="Arial" w:eastAsia="Calibri" w:hAnsi="Arial" w:cs="Arial"/>
          <w:sz w:val="22"/>
          <w:szCs w:val="22"/>
          <w:lang w:eastAsia="en-US"/>
        </w:rPr>
        <w:t xml:space="preserve">, teniendo en cuenta incluso que en algunos procesos es posible incluir </w:t>
      </w:r>
      <w:r w:rsidR="00E546D7" w:rsidRPr="00BB5A45">
        <w:rPr>
          <w:rFonts w:ascii="Arial" w:eastAsia="Calibri" w:hAnsi="Arial" w:cs="Arial"/>
          <w:sz w:val="22"/>
          <w:szCs w:val="22"/>
          <w:lang w:eastAsia="en-US"/>
        </w:rPr>
        <w:t>requisitos de experiencia como criterios de asignación de puntaje, concretamente, en los procesos para la selección de consultores</w:t>
      </w:r>
      <w:r w:rsidR="0057549D" w:rsidRPr="00BB5A45">
        <w:rPr>
          <w:rFonts w:ascii="Arial" w:eastAsia="Calibri" w:hAnsi="Arial" w:cs="Arial"/>
          <w:sz w:val="22"/>
          <w:szCs w:val="22"/>
          <w:lang w:eastAsia="en-US"/>
        </w:rPr>
        <w:t>. Al respecto</w:t>
      </w:r>
      <w:r w:rsidR="00E546D7" w:rsidRPr="00BB5A45">
        <w:rPr>
          <w:rFonts w:ascii="Arial" w:eastAsia="Calibri" w:hAnsi="Arial" w:cs="Arial"/>
          <w:sz w:val="22"/>
          <w:szCs w:val="22"/>
          <w:lang w:eastAsia="en-US"/>
        </w:rPr>
        <w:t>,</w:t>
      </w:r>
      <w:r w:rsidR="0057549D" w:rsidRPr="00BB5A45">
        <w:rPr>
          <w:rFonts w:ascii="Arial" w:eastAsia="Calibri" w:hAnsi="Arial" w:cs="Arial"/>
          <w:sz w:val="22"/>
          <w:szCs w:val="22"/>
          <w:lang w:eastAsia="en-US"/>
        </w:rPr>
        <w:t xml:space="preserve"> </w:t>
      </w:r>
      <w:bookmarkStart w:id="12" w:name="_Hlk109301034"/>
      <w:r w:rsidR="0057549D" w:rsidRPr="00BB5A45">
        <w:rPr>
          <w:rFonts w:ascii="Arial" w:eastAsia="Calibri" w:hAnsi="Arial" w:cs="Arial"/>
          <w:sz w:val="22"/>
          <w:szCs w:val="22"/>
          <w:lang w:eastAsia="en-US"/>
        </w:rPr>
        <w:t>e</w:t>
      </w:r>
      <w:r w:rsidR="007C1B55" w:rsidRPr="00BB5A45">
        <w:rPr>
          <w:rFonts w:ascii="Arial" w:eastAsia="Calibri" w:hAnsi="Arial" w:cs="Arial"/>
          <w:sz w:val="22"/>
          <w:szCs w:val="22"/>
          <w:lang w:eastAsia="en-US"/>
        </w:rPr>
        <w:t xml:space="preserve">l </w:t>
      </w:r>
      <w:r w:rsidR="00D30B14" w:rsidRPr="00BB5A45">
        <w:rPr>
          <w:rFonts w:ascii="Arial" w:eastAsia="Calibri" w:hAnsi="Arial" w:cs="Arial"/>
          <w:sz w:val="22"/>
          <w:szCs w:val="22"/>
          <w:lang w:eastAsia="en-US"/>
        </w:rPr>
        <w:t xml:space="preserve">numeral 4 del artículo 5 de la Ley 1150 de </w:t>
      </w:r>
      <w:r w:rsidR="00BF2399" w:rsidRPr="00BB5A45">
        <w:rPr>
          <w:rFonts w:ascii="Arial" w:eastAsia="Calibri" w:hAnsi="Arial" w:cs="Arial"/>
          <w:sz w:val="22"/>
          <w:szCs w:val="22"/>
          <w:lang w:eastAsia="en-US"/>
        </w:rPr>
        <w:t>2007</w:t>
      </w:r>
      <w:bookmarkEnd w:id="12"/>
      <w:r w:rsidR="00BF2399" w:rsidRPr="00BB5A45">
        <w:rPr>
          <w:rFonts w:ascii="Arial" w:eastAsia="Calibri" w:hAnsi="Arial" w:cs="Arial"/>
          <w:sz w:val="22"/>
          <w:szCs w:val="22"/>
          <w:lang w:eastAsia="en-US"/>
        </w:rPr>
        <w:t xml:space="preserve"> –</w:t>
      </w:r>
      <w:r w:rsidR="00D30B14" w:rsidRPr="00BB5A45">
        <w:rPr>
          <w:rFonts w:ascii="Arial" w:eastAsia="Calibri" w:hAnsi="Arial" w:cs="Arial"/>
          <w:sz w:val="22"/>
          <w:szCs w:val="22"/>
          <w:lang w:eastAsia="en-US"/>
        </w:rPr>
        <w:t>sobre el principio de selección objetiva</w:t>
      </w:r>
      <w:r w:rsidR="009140F3" w:rsidRPr="00BB5A45">
        <w:rPr>
          <w:rStyle w:val="Refdenotaalpie"/>
          <w:rFonts w:ascii="Arial" w:eastAsia="Calibri" w:hAnsi="Arial" w:cs="Arial"/>
          <w:sz w:val="22"/>
          <w:szCs w:val="22"/>
          <w:lang w:eastAsia="en-US"/>
        </w:rPr>
        <w:footnoteReference w:id="3"/>
      </w:r>
      <w:r w:rsidR="00BC09D6" w:rsidRPr="00BB5A45">
        <w:rPr>
          <w:rFonts w:ascii="Arial" w:eastAsia="Calibri" w:hAnsi="Arial" w:cs="Arial"/>
          <w:sz w:val="22"/>
          <w:szCs w:val="22"/>
          <w:lang w:eastAsia="en-US"/>
        </w:rPr>
        <w:t>–</w:t>
      </w:r>
      <w:r w:rsidR="00D30B14" w:rsidRPr="00BB5A45">
        <w:rPr>
          <w:rFonts w:ascii="Arial" w:eastAsia="Calibri" w:hAnsi="Arial" w:cs="Arial"/>
          <w:sz w:val="22"/>
          <w:szCs w:val="22"/>
          <w:lang w:eastAsia="en-US"/>
        </w:rPr>
        <w:t xml:space="preserve"> refiere, respecto a la experiencia</w:t>
      </w:r>
      <w:r w:rsidR="00BF2399" w:rsidRPr="00BB5A45">
        <w:rPr>
          <w:rFonts w:ascii="Arial" w:eastAsia="Calibri" w:hAnsi="Arial" w:cs="Arial"/>
          <w:sz w:val="22"/>
          <w:szCs w:val="22"/>
          <w:lang w:eastAsia="en-US"/>
        </w:rPr>
        <w:t>,</w:t>
      </w:r>
      <w:r w:rsidR="00D30B14" w:rsidRPr="00BB5A45">
        <w:rPr>
          <w:rFonts w:ascii="Arial" w:eastAsia="Calibri" w:hAnsi="Arial" w:cs="Arial"/>
          <w:sz w:val="22"/>
          <w:szCs w:val="22"/>
          <w:lang w:eastAsia="en-US"/>
        </w:rPr>
        <w:t xml:space="preserve"> que «</w:t>
      </w:r>
      <w:r w:rsidR="00BF2399" w:rsidRPr="00BB5A45">
        <w:rPr>
          <w:rFonts w:ascii="Arial" w:eastAsia="Calibri" w:hAnsi="Arial" w:cs="Arial"/>
          <w:sz w:val="22"/>
          <w:szCs w:val="22"/>
          <w:lang w:eastAsia="en-US"/>
        </w:rPr>
        <w:t xml:space="preserve">En los procesos para la selección de consultores se hará uso de factores de calificación destinados a valorar los aspectos técnicos de la oferta o proyecto. De conformidad con las condiciones que señale el reglamento, </w:t>
      </w:r>
      <w:r w:rsidR="00BF2399" w:rsidRPr="009175BF">
        <w:rPr>
          <w:rFonts w:ascii="Arial" w:eastAsia="Calibri" w:hAnsi="Arial" w:cs="Arial"/>
          <w:sz w:val="22"/>
          <w:szCs w:val="22"/>
          <w:lang w:eastAsia="en-US"/>
        </w:rPr>
        <w:t>se podrán utilizar criterios de experiencia específica del oferente y del equipo de trabajo, en el campo de que se trate</w:t>
      </w:r>
      <w:r w:rsidR="00D30B14" w:rsidRPr="00BB5A45">
        <w:rPr>
          <w:rFonts w:ascii="Arial" w:eastAsia="Calibri" w:hAnsi="Arial" w:cs="Arial"/>
          <w:sz w:val="22"/>
          <w:szCs w:val="22"/>
          <w:lang w:eastAsia="en-US"/>
        </w:rPr>
        <w:t>»</w:t>
      </w:r>
      <w:r w:rsidR="00E546D7" w:rsidRPr="00BB5A45">
        <w:rPr>
          <w:rFonts w:ascii="Arial" w:eastAsia="Calibri" w:hAnsi="Arial" w:cs="Arial"/>
          <w:sz w:val="22"/>
          <w:szCs w:val="22"/>
          <w:lang w:eastAsia="en-US"/>
        </w:rPr>
        <w:t>.</w:t>
      </w:r>
      <w:r w:rsidR="00BF2399" w:rsidRPr="00BB5A45">
        <w:rPr>
          <w:rFonts w:ascii="Arial" w:eastAsia="Calibri" w:hAnsi="Arial" w:cs="Arial"/>
          <w:sz w:val="22"/>
          <w:szCs w:val="22"/>
          <w:lang w:eastAsia="en-US"/>
        </w:rPr>
        <w:t xml:space="preserve"> </w:t>
      </w:r>
      <w:r w:rsidR="00E546D7" w:rsidRPr="00BB5A45">
        <w:rPr>
          <w:rFonts w:ascii="Arial" w:eastAsia="Calibri" w:hAnsi="Arial" w:cs="Arial"/>
          <w:sz w:val="22"/>
          <w:szCs w:val="22"/>
          <w:lang w:eastAsia="en-US"/>
        </w:rPr>
        <w:t>L</w:t>
      </w:r>
      <w:r w:rsidR="00BF2399" w:rsidRPr="00BB5A45">
        <w:rPr>
          <w:rFonts w:ascii="Arial" w:eastAsia="Calibri" w:hAnsi="Arial" w:cs="Arial"/>
          <w:sz w:val="22"/>
          <w:szCs w:val="22"/>
          <w:lang w:eastAsia="en-US"/>
        </w:rPr>
        <w:t>a anterior referencia normativa pone de presente la autonomía con la que cuentan las entidades estatales para prever o solicitar al proponente la acreditación de ciert</w:t>
      </w:r>
      <w:r w:rsidR="00E546D7" w:rsidRPr="00BB5A45">
        <w:rPr>
          <w:rFonts w:ascii="Arial" w:eastAsia="Calibri" w:hAnsi="Arial" w:cs="Arial"/>
          <w:sz w:val="22"/>
          <w:szCs w:val="22"/>
          <w:lang w:eastAsia="en-US"/>
        </w:rPr>
        <w:t>a</w:t>
      </w:r>
      <w:r w:rsidR="00BF2399" w:rsidRPr="00BB5A45">
        <w:rPr>
          <w:rFonts w:ascii="Arial" w:eastAsia="Calibri" w:hAnsi="Arial" w:cs="Arial"/>
          <w:sz w:val="22"/>
          <w:szCs w:val="22"/>
          <w:lang w:eastAsia="en-US"/>
        </w:rPr>
        <w:t xml:space="preserve"> experiencia específica, relacionada con el objeto a contratar, con un grado de concreción y técnica mayor</w:t>
      </w:r>
      <w:r w:rsidR="009140F3" w:rsidRPr="00BB5A45">
        <w:rPr>
          <w:rFonts w:ascii="Arial" w:eastAsia="Calibri" w:hAnsi="Arial" w:cs="Arial"/>
          <w:sz w:val="22"/>
          <w:szCs w:val="22"/>
          <w:lang w:eastAsia="en-US"/>
        </w:rPr>
        <w:t>, factor que podría diferenciar la experiencia específica de la general</w:t>
      </w:r>
      <w:r w:rsidR="0034446F" w:rsidRPr="00BB5A45">
        <w:rPr>
          <w:rFonts w:ascii="Arial" w:eastAsia="Calibri" w:hAnsi="Arial" w:cs="Arial"/>
          <w:sz w:val="22"/>
          <w:szCs w:val="22"/>
          <w:lang w:eastAsia="en-US"/>
        </w:rPr>
        <w:t xml:space="preserve">. La norma se refiere, en </w:t>
      </w:r>
      <w:r w:rsidR="009369F9" w:rsidRPr="00BB5A45">
        <w:rPr>
          <w:rFonts w:ascii="Arial" w:eastAsia="Calibri" w:hAnsi="Arial" w:cs="Arial"/>
          <w:sz w:val="22"/>
          <w:szCs w:val="22"/>
          <w:lang w:eastAsia="en-US"/>
        </w:rPr>
        <w:t>concreto, a los criterios de calificación de la experiencia en</w:t>
      </w:r>
      <w:r w:rsidR="0034446F" w:rsidRPr="00BB5A45">
        <w:rPr>
          <w:rFonts w:ascii="Arial" w:eastAsia="Calibri" w:hAnsi="Arial" w:cs="Arial"/>
          <w:sz w:val="22"/>
          <w:szCs w:val="22"/>
          <w:lang w:eastAsia="en-US"/>
        </w:rPr>
        <w:t xml:space="preserve"> los procesos de selección de </w:t>
      </w:r>
      <w:r w:rsidR="00E546D7" w:rsidRPr="00BB5A45">
        <w:rPr>
          <w:rFonts w:ascii="Arial" w:eastAsia="Calibri" w:hAnsi="Arial" w:cs="Arial"/>
          <w:sz w:val="22"/>
          <w:szCs w:val="22"/>
          <w:lang w:eastAsia="en-US"/>
        </w:rPr>
        <w:t>consultores</w:t>
      </w:r>
      <w:r w:rsidR="0034446F" w:rsidRPr="00BB5A45">
        <w:rPr>
          <w:rFonts w:ascii="Arial" w:eastAsia="Calibri" w:hAnsi="Arial" w:cs="Arial"/>
          <w:sz w:val="22"/>
          <w:szCs w:val="22"/>
          <w:lang w:eastAsia="en-US"/>
        </w:rPr>
        <w:t xml:space="preserve">. </w:t>
      </w:r>
      <w:r w:rsidR="009140F3" w:rsidRPr="00BB5A45">
        <w:rPr>
          <w:rFonts w:ascii="Arial" w:eastAsia="Calibri" w:hAnsi="Arial" w:cs="Arial"/>
          <w:sz w:val="22"/>
          <w:szCs w:val="22"/>
          <w:lang w:eastAsia="en-US"/>
        </w:rPr>
        <w:t xml:space="preserve"> </w:t>
      </w:r>
      <w:r w:rsidR="00BF2399" w:rsidRPr="00BB5A45">
        <w:rPr>
          <w:rFonts w:ascii="Arial" w:eastAsia="Calibri" w:hAnsi="Arial" w:cs="Arial"/>
          <w:sz w:val="22"/>
          <w:szCs w:val="22"/>
          <w:lang w:eastAsia="en-US"/>
        </w:rPr>
        <w:t xml:space="preserve"> </w:t>
      </w:r>
    </w:p>
    <w:p w14:paraId="54FF2AD5" w14:textId="1219680E" w:rsidR="006A66D2" w:rsidRPr="00BB5A45" w:rsidRDefault="00EE7489" w:rsidP="00C04FFD">
      <w:pPr>
        <w:spacing w:line="276" w:lineRule="auto"/>
        <w:ind w:firstLine="708"/>
        <w:jc w:val="both"/>
        <w:rPr>
          <w:rFonts w:ascii="Arial" w:eastAsia="Calibri" w:hAnsi="Arial" w:cs="Arial"/>
          <w:sz w:val="22"/>
          <w:szCs w:val="22"/>
          <w:lang w:eastAsia="en-US"/>
        </w:rPr>
      </w:pPr>
      <w:r w:rsidRPr="00BB5A45">
        <w:rPr>
          <w:rFonts w:ascii="Arial" w:eastAsia="Calibri" w:hAnsi="Arial" w:cs="Arial"/>
          <w:sz w:val="22"/>
          <w:szCs w:val="22"/>
          <w:lang w:eastAsia="en-US"/>
        </w:rPr>
        <w:t xml:space="preserve">De igual forma, el artículo 2.2.1.1.1.5.3 del Decreto 1082 de 2015 </w:t>
      </w:r>
      <w:r w:rsidR="00861DCB" w:rsidRPr="00BB5A45">
        <w:rPr>
          <w:rFonts w:ascii="Arial" w:eastAsia="Calibri" w:hAnsi="Arial" w:cs="Arial"/>
          <w:sz w:val="22"/>
          <w:szCs w:val="22"/>
          <w:lang w:eastAsia="en-US"/>
        </w:rPr>
        <w:t>se refiere</w:t>
      </w:r>
      <w:r w:rsidR="00E546D7" w:rsidRPr="00BB5A45">
        <w:rPr>
          <w:rFonts w:ascii="Arial" w:eastAsia="Calibri" w:hAnsi="Arial" w:cs="Arial"/>
          <w:sz w:val="22"/>
          <w:szCs w:val="22"/>
          <w:lang w:eastAsia="en-US"/>
        </w:rPr>
        <w:t xml:space="preserve"> a la</w:t>
      </w:r>
      <w:r w:rsidRPr="00BB5A45">
        <w:rPr>
          <w:rFonts w:ascii="Arial" w:eastAsia="Calibri" w:hAnsi="Arial" w:cs="Arial"/>
          <w:sz w:val="22"/>
          <w:szCs w:val="22"/>
          <w:lang w:eastAsia="en-US"/>
        </w:rPr>
        <w:t xml:space="preserve"> experiencia como parte de los requisitos habilitantes </w:t>
      </w:r>
      <w:r w:rsidR="00727AAA" w:rsidRPr="00BB5A45">
        <w:rPr>
          <w:rFonts w:ascii="Arial" w:eastAsia="Calibri" w:hAnsi="Arial" w:cs="Arial"/>
          <w:sz w:val="22"/>
          <w:szCs w:val="22"/>
          <w:lang w:eastAsia="en-US"/>
        </w:rPr>
        <w:t>contenidos en el RUP</w:t>
      </w:r>
      <w:r w:rsidR="00E546D7" w:rsidRPr="00BB5A45">
        <w:rPr>
          <w:rFonts w:ascii="Arial" w:eastAsia="Calibri" w:hAnsi="Arial" w:cs="Arial"/>
          <w:sz w:val="22"/>
          <w:szCs w:val="22"/>
          <w:lang w:eastAsia="en-US"/>
        </w:rPr>
        <w:t>.</w:t>
      </w:r>
      <w:r w:rsidR="00727AAA" w:rsidRPr="00BB5A45">
        <w:rPr>
          <w:rFonts w:ascii="Arial" w:eastAsia="Calibri" w:hAnsi="Arial" w:cs="Arial"/>
          <w:sz w:val="22"/>
          <w:szCs w:val="22"/>
          <w:lang w:eastAsia="en-US"/>
        </w:rPr>
        <w:t xml:space="preserve"> </w:t>
      </w:r>
      <w:r w:rsidR="00E546D7" w:rsidRPr="00BB5A45">
        <w:rPr>
          <w:rFonts w:ascii="Arial" w:eastAsia="Calibri" w:hAnsi="Arial" w:cs="Arial"/>
          <w:sz w:val="22"/>
          <w:szCs w:val="22"/>
          <w:lang w:eastAsia="en-US"/>
        </w:rPr>
        <w:t>A</w:t>
      </w:r>
      <w:r w:rsidR="00727AAA" w:rsidRPr="00BB5A45">
        <w:rPr>
          <w:rFonts w:ascii="Arial" w:eastAsia="Calibri" w:hAnsi="Arial" w:cs="Arial"/>
          <w:sz w:val="22"/>
          <w:szCs w:val="22"/>
          <w:lang w:eastAsia="en-US"/>
        </w:rPr>
        <w:t xml:space="preserve">l respecto </w:t>
      </w:r>
      <w:r w:rsidR="00E546D7" w:rsidRPr="00BB5A45">
        <w:rPr>
          <w:rFonts w:ascii="Arial" w:eastAsia="Calibri" w:hAnsi="Arial" w:cs="Arial"/>
          <w:sz w:val="22"/>
          <w:szCs w:val="22"/>
          <w:lang w:eastAsia="en-US"/>
        </w:rPr>
        <w:t xml:space="preserve">establece que </w:t>
      </w:r>
      <w:r w:rsidR="00727AAA" w:rsidRPr="00BB5A45">
        <w:rPr>
          <w:rFonts w:ascii="Arial" w:eastAsia="Calibri" w:hAnsi="Arial" w:cs="Arial"/>
          <w:sz w:val="22"/>
          <w:szCs w:val="22"/>
          <w:lang w:eastAsia="en-US"/>
        </w:rPr>
        <w:t>«</w:t>
      </w:r>
      <w:r w:rsidR="00861DCB" w:rsidRPr="00BB5A45">
        <w:rPr>
          <w:rFonts w:ascii="Arial" w:eastAsia="Calibri" w:hAnsi="Arial" w:cs="Arial"/>
          <w:sz w:val="22"/>
          <w:szCs w:val="22"/>
          <w:lang w:eastAsia="en-US"/>
        </w:rPr>
        <w:t>Las cámaras de comercio, con base en la información a la que hace referencia el artículo anterior, deben verificar y certificar los siguientes requisitos habilitantes: […]</w:t>
      </w:r>
      <w:r w:rsidR="00E546D7" w:rsidRPr="00BB5A45">
        <w:rPr>
          <w:rFonts w:ascii="Arial" w:eastAsia="Calibri" w:hAnsi="Arial" w:cs="Arial"/>
          <w:sz w:val="22"/>
          <w:szCs w:val="22"/>
          <w:lang w:eastAsia="en-US"/>
        </w:rPr>
        <w:t xml:space="preserve"> </w:t>
      </w:r>
      <w:r w:rsidR="00861DCB" w:rsidRPr="00BB5A45">
        <w:rPr>
          <w:rFonts w:ascii="Arial" w:eastAsia="Calibri" w:hAnsi="Arial" w:cs="Arial"/>
          <w:sz w:val="22"/>
          <w:szCs w:val="22"/>
          <w:lang w:eastAsia="en-US"/>
        </w:rPr>
        <w:t>Experiencia – Los contratos celebrados por el interesado para cada uno de los bienes, obras y servicios que ofrecerá a las Entidades Estatales, identificados con el Clasificador de Bienes y Servicios en el tercer nivel y su valor expresado en SMMLV</w:t>
      </w:r>
      <w:r w:rsidR="00727AAA" w:rsidRPr="00BB5A45">
        <w:rPr>
          <w:rFonts w:ascii="Arial" w:eastAsia="Calibri" w:hAnsi="Arial" w:cs="Arial"/>
          <w:sz w:val="22"/>
          <w:szCs w:val="22"/>
          <w:lang w:eastAsia="en-US"/>
        </w:rPr>
        <w:t>»</w:t>
      </w:r>
      <w:r w:rsidR="00861DCB" w:rsidRPr="00BB5A45">
        <w:rPr>
          <w:rFonts w:ascii="Arial" w:eastAsia="Calibri" w:hAnsi="Arial" w:cs="Arial"/>
          <w:sz w:val="22"/>
          <w:szCs w:val="22"/>
          <w:lang w:eastAsia="en-US"/>
        </w:rPr>
        <w:t>. Por su parte</w:t>
      </w:r>
      <w:r w:rsidR="003D5DAD" w:rsidRPr="00BB5A45">
        <w:rPr>
          <w:rFonts w:ascii="Arial" w:eastAsia="Calibri" w:hAnsi="Arial" w:cs="Arial"/>
          <w:sz w:val="22"/>
          <w:szCs w:val="22"/>
          <w:lang w:eastAsia="en-US"/>
        </w:rPr>
        <w:t xml:space="preserve">, como se ha mencionado, el «Manual para determinar y verificar los requisitos habilitantes en los procesos de contratación» define el factor de la experiencia como </w:t>
      </w:r>
      <w:bookmarkStart w:id="13" w:name="_Hlk109299701"/>
      <w:r w:rsidR="003D5DAD" w:rsidRPr="00BB5A45">
        <w:rPr>
          <w:rFonts w:ascii="Arial" w:eastAsia="Calibri" w:hAnsi="Arial" w:cs="Arial"/>
          <w:sz w:val="22"/>
          <w:szCs w:val="22"/>
          <w:lang w:eastAsia="en-US"/>
        </w:rPr>
        <w:t>«[…] el conocimiento del proponente derivado de su participación previa en actividades iguales o similares a las previstas en el objeto del contrato»</w:t>
      </w:r>
      <w:bookmarkEnd w:id="13"/>
      <w:r w:rsidR="00E546D7" w:rsidRPr="00BB5A45">
        <w:rPr>
          <w:rFonts w:ascii="Arial" w:eastAsia="Calibri" w:hAnsi="Arial" w:cs="Arial"/>
          <w:sz w:val="22"/>
          <w:szCs w:val="22"/>
          <w:lang w:eastAsia="en-US"/>
        </w:rPr>
        <w:t>,</w:t>
      </w:r>
      <w:r w:rsidR="003D5DAD" w:rsidRPr="00BB5A45">
        <w:rPr>
          <w:rFonts w:ascii="Arial" w:eastAsia="Calibri" w:hAnsi="Arial" w:cs="Arial"/>
          <w:sz w:val="22"/>
          <w:szCs w:val="22"/>
          <w:lang w:eastAsia="en-US"/>
        </w:rPr>
        <w:t xml:space="preserve"> y agrega que</w:t>
      </w:r>
      <w:r w:rsidR="002660B0" w:rsidRPr="00BB5A45">
        <w:rPr>
          <w:rFonts w:ascii="Arial" w:eastAsia="Calibri" w:hAnsi="Arial" w:cs="Arial"/>
          <w:sz w:val="22"/>
          <w:szCs w:val="22"/>
          <w:lang w:eastAsia="en-US"/>
        </w:rPr>
        <w:t xml:space="preserve"> </w:t>
      </w:r>
      <w:bookmarkStart w:id="14" w:name="_Hlk109301433"/>
      <w:r w:rsidR="002660B0" w:rsidRPr="00BB5A45">
        <w:rPr>
          <w:rFonts w:ascii="Arial" w:eastAsia="Calibri" w:hAnsi="Arial" w:cs="Arial"/>
          <w:sz w:val="22"/>
          <w:szCs w:val="22"/>
          <w:lang w:eastAsia="en-US"/>
        </w:rPr>
        <w:t xml:space="preserve">«La experiencia requerida en un Proceso de Contratación debe ser adecuada y proporcional a la naturaleza del </w:t>
      </w:r>
      <w:r w:rsidR="002660B0" w:rsidRPr="00BB5A45">
        <w:rPr>
          <w:rFonts w:ascii="Arial" w:eastAsia="Calibri" w:hAnsi="Arial" w:cs="Arial"/>
          <w:sz w:val="22"/>
          <w:szCs w:val="22"/>
          <w:lang w:eastAsia="en-US"/>
        </w:rPr>
        <w:lastRenderedPageBreak/>
        <w:t>contrato y su valor. La experiencia es adecuada cuando es afín al tipo de actividades previstas en el objeto del contrato a celebrar. […] La experiencia es proporcional cuando tiene relación con el alcance, la cuantía y complejidad del contrato a celebrar»</w:t>
      </w:r>
      <w:r w:rsidR="00E546D7" w:rsidRPr="00BB5A45">
        <w:rPr>
          <w:rFonts w:ascii="Arial" w:eastAsia="Calibri" w:hAnsi="Arial" w:cs="Arial"/>
          <w:sz w:val="22"/>
          <w:szCs w:val="22"/>
          <w:lang w:eastAsia="en-US"/>
        </w:rPr>
        <w:t xml:space="preserve">. </w:t>
      </w:r>
      <w:bookmarkEnd w:id="14"/>
      <w:r w:rsidR="00861DCB" w:rsidRPr="00BB5A45">
        <w:rPr>
          <w:rFonts w:ascii="Arial" w:eastAsia="Calibri" w:hAnsi="Arial" w:cs="Arial"/>
          <w:sz w:val="22"/>
          <w:szCs w:val="22"/>
          <w:lang w:eastAsia="en-US"/>
        </w:rPr>
        <w:t xml:space="preserve">La doctrina también ha aportado </w:t>
      </w:r>
      <w:r w:rsidR="00E546D7" w:rsidRPr="00BB5A45">
        <w:rPr>
          <w:rFonts w:ascii="Arial" w:eastAsia="Calibri" w:hAnsi="Arial" w:cs="Arial"/>
          <w:sz w:val="22"/>
          <w:szCs w:val="22"/>
          <w:lang w:eastAsia="en-US"/>
        </w:rPr>
        <w:t>en</w:t>
      </w:r>
      <w:r w:rsidR="00861DCB" w:rsidRPr="00BB5A45">
        <w:rPr>
          <w:rFonts w:ascii="Arial" w:eastAsia="Calibri" w:hAnsi="Arial" w:cs="Arial"/>
          <w:sz w:val="22"/>
          <w:szCs w:val="22"/>
          <w:lang w:eastAsia="en-US"/>
        </w:rPr>
        <w:t xml:space="preserve"> la delimitación de la noción de experienci</w:t>
      </w:r>
      <w:r w:rsidR="007D7E5A" w:rsidRPr="00BB5A45">
        <w:rPr>
          <w:rFonts w:ascii="Arial" w:eastAsia="Calibri" w:hAnsi="Arial" w:cs="Arial"/>
          <w:sz w:val="22"/>
          <w:szCs w:val="22"/>
          <w:lang w:eastAsia="en-US"/>
        </w:rPr>
        <w:t>a</w:t>
      </w:r>
      <w:r w:rsidR="00E546D7" w:rsidRPr="00BB5A45">
        <w:rPr>
          <w:rFonts w:ascii="Arial" w:eastAsia="Calibri" w:hAnsi="Arial" w:cs="Arial"/>
          <w:sz w:val="22"/>
          <w:szCs w:val="22"/>
          <w:lang w:eastAsia="en-US"/>
        </w:rPr>
        <w:t>:</w:t>
      </w:r>
    </w:p>
    <w:p w14:paraId="17D91403" w14:textId="77777777" w:rsidR="006A66D2" w:rsidRPr="00BB5A45" w:rsidRDefault="006A66D2" w:rsidP="00C04FFD">
      <w:pPr>
        <w:spacing w:line="276" w:lineRule="auto"/>
        <w:ind w:firstLine="708"/>
        <w:jc w:val="both"/>
        <w:rPr>
          <w:rFonts w:ascii="Arial" w:eastAsia="Calibri" w:hAnsi="Arial" w:cs="Arial"/>
          <w:sz w:val="22"/>
          <w:szCs w:val="22"/>
          <w:lang w:eastAsia="en-US"/>
        </w:rPr>
      </w:pPr>
    </w:p>
    <w:p w14:paraId="10506ADC" w14:textId="77777777" w:rsidR="00682223" w:rsidRPr="00BB5A45" w:rsidRDefault="0047235C" w:rsidP="0047235C">
      <w:pPr>
        <w:spacing w:line="259" w:lineRule="auto"/>
        <w:ind w:left="709" w:right="709"/>
        <w:contextualSpacing/>
        <w:jc w:val="both"/>
        <w:rPr>
          <w:rFonts w:ascii="Arial" w:eastAsia="Calibri" w:hAnsi="Arial" w:cs="Arial"/>
          <w:i/>
          <w:iCs/>
          <w:sz w:val="21"/>
          <w:szCs w:val="21"/>
          <w:lang w:eastAsia="en-US"/>
        </w:rPr>
      </w:pPr>
      <w:r w:rsidRPr="00BB5A45">
        <w:rPr>
          <w:rFonts w:ascii="Arial" w:eastAsia="Calibri" w:hAnsi="Arial" w:cs="Arial"/>
          <w:sz w:val="21"/>
          <w:szCs w:val="21"/>
          <w:lang w:eastAsia="en-US"/>
        </w:rPr>
        <w:t xml:space="preserve">A su vez, el artículo 2.2.1.1.1.5.3. del Decreto 1082 de 2015, que regula los requisitos habilitantes contenidos en el registro único de proponentes –RUP–, prescribe, en relación con la «experiencia», que se acreditará ante las cámaras de comercio aportando los contratos celebrados por el interesado para cada uno de los bienes y servicios que ofrece, identificados con el «Clasificador de Bienes y Servicios» e informando el valor en salarios mínimos. Lo anterior confirma que, por un lado, la </w:t>
      </w:r>
      <w:bookmarkStart w:id="15" w:name="_Hlk109298816"/>
      <w:r w:rsidRPr="00BB5A45">
        <w:rPr>
          <w:rFonts w:ascii="Arial" w:eastAsia="Calibri" w:hAnsi="Arial" w:cs="Arial"/>
          <w:sz w:val="21"/>
          <w:szCs w:val="21"/>
          <w:lang w:eastAsia="en-US"/>
        </w:rPr>
        <w:t>«</w:t>
      </w:r>
      <w:bookmarkEnd w:id="15"/>
      <w:r w:rsidRPr="00BB5A45">
        <w:rPr>
          <w:rFonts w:ascii="Arial" w:eastAsia="Calibri" w:hAnsi="Arial" w:cs="Arial"/>
          <w:sz w:val="21"/>
          <w:szCs w:val="21"/>
          <w:lang w:eastAsia="en-US"/>
        </w:rPr>
        <w:t xml:space="preserve">experiencia», a diferencia de la normativa anterior, es un factor que la entidad tiene en cuenta, pero que no otorgan puntaje; y, por otro, que </w:t>
      </w:r>
      <w:r w:rsidRPr="009175BF">
        <w:rPr>
          <w:rFonts w:ascii="Arial" w:eastAsia="Calibri" w:hAnsi="Arial" w:cs="Arial"/>
          <w:i/>
          <w:iCs/>
          <w:sz w:val="21"/>
          <w:szCs w:val="21"/>
          <w:lang w:eastAsia="en-US"/>
        </w:rPr>
        <w:t>los fundamentos de este requisito residen en el área técnica y financiera, más que en el razonamiento jurídico</w:t>
      </w:r>
    </w:p>
    <w:p w14:paraId="4C80CA3A" w14:textId="77777777" w:rsidR="00682223" w:rsidRPr="00BB5A45" w:rsidRDefault="00682223" w:rsidP="0047235C">
      <w:pPr>
        <w:spacing w:line="259" w:lineRule="auto"/>
        <w:ind w:left="709" w:right="709"/>
        <w:contextualSpacing/>
        <w:jc w:val="both"/>
        <w:rPr>
          <w:rStyle w:val="Refdenotaalpie"/>
          <w:rFonts w:ascii="Arial" w:eastAsia="Calibri" w:hAnsi="Arial" w:cs="Arial"/>
          <w:sz w:val="22"/>
          <w:szCs w:val="22"/>
          <w:lang w:eastAsia="en-US"/>
        </w:rPr>
      </w:pPr>
    </w:p>
    <w:p w14:paraId="41F0CA6D" w14:textId="00683D64" w:rsidR="0047235C" w:rsidRPr="00BB5A45" w:rsidRDefault="00682223" w:rsidP="0047235C">
      <w:pPr>
        <w:spacing w:line="259" w:lineRule="auto"/>
        <w:ind w:left="709" w:right="709"/>
        <w:contextualSpacing/>
        <w:jc w:val="both"/>
        <w:rPr>
          <w:rFonts w:ascii="Arial" w:eastAsia="Calibri" w:hAnsi="Arial" w:cs="Arial"/>
          <w:sz w:val="21"/>
          <w:szCs w:val="21"/>
          <w:lang w:eastAsia="en-US"/>
        </w:rPr>
      </w:pPr>
      <w:r w:rsidRPr="00BB5A45">
        <w:rPr>
          <w:rFonts w:ascii="Arial" w:eastAsia="Calibri" w:hAnsi="Arial" w:cs="Arial"/>
          <w:sz w:val="21"/>
          <w:szCs w:val="21"/>
          <w:lang w:eastAsia="en-US"/>
        </w:rPr>
        <w:t xml:space="preserve">[…] </w:t>
      </w:r>
      <w:r w:rsidRPr="009175BF">
        <w:rPr>
          <w:rFonts w:ascii="Arial" w:eastAsia="Calibri" w:hAnsi="Arial" w:cs="Arial"/>
          <w:sz w:val="21"/>
          <w:szCs w:val="21"/>
          <w:lang w:eastAsia="en-US"/>
        </w:rPr>
        <w:t>acudiendo al sentido natural de las palabras, el Diccionario de la Lengua Española la define, entre otras acepciones, así: «1. f. Hecho de haber sentido, conocido o presenciado alguien algo» y «2. f. Práctica prolongada que proporciona conocimiento o habilidad para hacer algo». En la materia, entonces, se trata de la capacidad práctica de ejecutar alguna actividad o de proveer un servicio, atendiendo el hecho de haberlo hecho en una circunstancia anterior. Esta posición, claramente, es tan solo un intento de construir la definición del concepto, ante una ausencia conceptual en la materia</w:t>
      </w:r>
      <w:r w:rsidR="00E546D7" w:rsidRPr="00BB5A45">
        <w:rPr>
          <w:rStyle w:val="Refdenotaalpie"/>
          <w:rFonts w:ascii="Arial" w:eastAsia="Calibri" w:hAnsi="Arial" w:cs="Arial"/>
          <w:sz w:val="22"/>
          <w:szCs w:val="22"/>
          <w:lang w:eastAsia="en-US"/>
        </w:rPr>
        <w:footnoteReference w:id="4"/>
      </w:r>
      <w:r w:rsidRPr="00BB5A45">
        <w:rPr>
          <w:rFonts w:ascii="Arial" w:eastAsia="Calibri" w:hAnsi="Arial" w:cs="Arial"/>
          <w:sz w:val="21"/>
          <w:szCs w:val="21"/>
          <w:lang w:eastAsia="en-US"/>
        </w:rPr>
        <w:t>.</w:t>
      </w:r>
      <w:r w:rsidR="001944CF" w:rsidRPr="00BB5A45">
        <w:rPr>
          <w:rFonts w:ascii="Arial" w:eastAsia="Calibri" w:hAnsi="Arial" w:cs="Arial"/>
          <w:sz w:val="21"/>
          <w:szCs w:val="21"/>
          <w:lang w:eastAsia="en-US"/>
        </w:rPr>
        <w:t xml:space="preserve"> (Cursiva fuera del original).</w:t>
      </w:r>
    </w:p>
    <w:p w14:paraId="185FED0D" w14:textId="0C89F257" w:rsidR="00F45A24" w:rsidRPr="00BB5A45" w:rsidRDefault="00F45A24" w:rsidP="00F45A24">
      <w:pPr>
        <w:spacing w:line="259" w:lineRule="auto"/>
        <w:ind w:right="709"/>
        <w:contextualSpacing/>
        <w:jc w:val="both"/>
        <w:rPr>
          <w:rFonts w:ascii="Arial" w:eastAsia="Calibri" w:hAnsi="Arial" w:cs="Arial"/>
          <w:sz w:val="21"/>
          <w:szCs w:val="21"/>
          <w:lang w:eastAsia="en-US"/>
        </w:rPr>
      </w:pPr>
    </w:p>
    <w:p w14:paraId="011FB5D0" w14:textId="0D9C655C" w:rsidR="00861DCB" w:rsidRPr="00BB5A45" w:rsidRDefault="002D6C82" w:rsidP="009175BF">
      <w:pPr>
        <w:spacing w:after="120" w:line="276" w:lineRule="auto"/>
        <w:ind w:firstLine="708"/>
        <w:jc w:val="both"/>
        <w:rPr>
          <w:rFonts w:ascii="Arial" w:eastAsia="Calibri" w:hAnsi="Arial" w:cs="Arial"/>
          <w:sz w:val="22"/>
          <w:szCs w:val="22"/>
          <w:lang w:eastAsia="en-US"/>
        </w:rPr>
      </w:pPr>
      <w:r w:rsidRPr="00BB5A45">
        <w:rPr>
          <w:rFonts w:ascii="Arial" w:eastAsia="Calibri" w:hAnsi="Arial" w:cs="Arial"/>
          <w:sz w:val="22"/>
          <w:szCs w:val="22"/>
          <w:lang w:eastAsia="en-US"/>
        </w:rPr>
        <w:t>De las normas y la doctrina citada,</w:t>
      </w:r>
      <w:r w:rsidR="005D06ED" w:rsidRPr="00BB5A45">
        <w:rPr>
          <w:rFonts w:ascii="Arial" w:eastAsia="Calibri" w:hAnsi="Arial" w:cs="Arial"/>
          <w:sz w:val="22"/>
          <w:szCs w:val="22"/>
          <w:lang w:eastAsia="en-US"/>
        </w:rPr>
        <w:t xml:space="preserve"> se puede </w:t>
      </w:r>
      <w:r w:rsidRPr="00BB5A45">
        <w:rPr>
          <w:rFonts w:ascii="Arial" w:eastAsia="Calibri" w:hAnsi="Arial" w:cs="Arial"/>
          <w:sz w:val="22"/>
          <w:szCs w:val="22"/>
          <w:lang w:eastAsia="en-US"/>
        </w:rPr>
        <w:t xml:space="preserve">precisar </w:t>
      </w:r>
      <w:r w:rsidR="005D06ED" w:rsidRPr="00BB5A45">
        <w:rPr>
          <w:rFonts w:ascii="Arial" w:eastAsia="Calibri" w:hAnsi="Arial" w:cs="Arial"/>
          <w:sz w:val="22"/>
          <w:szCs w:val="22"/>
          <w:lang w:eastAsia="en-US"/>
        </w:rPr>
        <w:t xml:space="preserve">que </w:t>
      </w:r>
      <w:r w:rsidR="000D2904" w:rsidRPr="00BB5A45">
        <w:rPr>
          <w:rFonts w:ascii="Arial" w:eastAsia="Calibri" w:hAnsi="Arial" w:cs="Arial"/>
          <w:sz w:val="22"/>
          <w:szCs w:val="22"/>
          <w:lang w:eastAsia="en-US"/>
        </w:rPr>
        <w:t xml:space="preserve">la experiencia tiene una doble funcionalidad en </w:t>
      </w:r>
      <w:r w:rsidRPr="00BB5A45">
        <w:rPr>
          <w:rFonts w:ascii="Arial" w:eastAsia="Calibri" w:hAnsi="Arial" w:cs="Arial"/>
          <w:sz w:val="22"/>
          <w:szCs w:val="22"/>
          <w:lang w:eastAsia="en-US"/>
        </w:rPr>
        <w:t>la contratación estatal</w:t>
      </w:r>
      <w:r w:rsidR="000D2904" w:rsidRPr="00BB5A45">
        <w:rPr>
          <w:rFonts w:ascii="Arial" w:eastAsia="Calibri" w:hAnsi="Arial" w:cs="Arial"/>
          <w:sz w:val="22"/>
          <w:szCs w:val="22"/>
          <w:lang w:eastAsia="en-US"/>
        </w:rPr>
        <w:t>, como «requisito habilitante» y</w:t>
      </w:r>
      <w:r w:rsidR="001944CF" w:rsidRPr="00BB5A45">
        <w:rPr>
          <w:rFonts w:ascii="Arial" w:eastAsia="Calibri" w:hAnsi="Arial" w:cs="Arial"/>
          <w:sz w:val="22"/>
          <w:szCs w:val="22"/>
          <w:lang w:eastAsia="en-US"/>
        </w:rPr>
        <w:t>,</w:t>
      </w:r>
      <w:r w:rsidR="000D2904" w:rsidRPr="00BB5A45">
        <w:rPr>
          <w:rFonts w:ascii="Arial" w:eastAsia="Calibri" w:hAnsi="Arial" w:cs="Arial"/>
          <w:sz w:val="22"/>
          <w:szCs w:val="22"/>
          <w:lang w:eastAsia="en-US"/>
        </w:rPr>
        <w:t xml:space="preserve"> por otro lado</w:t>
      </w:r>
      <w:r w:rsidR="001944CF" w:rsidRPr="00BB5A45">
        <w:rPr>
          <w:rFonts w:ascii="Arial" w:eastAsia="Calibri" w:hAnsi="Arial" w:cs="Arial"/>
          <w:sz w:val="22"/>
          <w:szCs w:val="22"/>
          <w:lang w:eastAsia="en-US"/>
        </w:rPr>
        <w:t>,</w:t>
      </w:r>
      <w:r w:rsidR="000D2904" w:rsidRPr="00BB5A45">
        <w:rPr>
          <w:rFonts w:ascii="Arial" w:eastAsia="Calibri" w:hAnsi="Arial" w:cs="Arial"/>
          <w:sz w:val="22"/>
          <w:szCs w:val="22"/>
          <w:lang w:eastAsia="en-US"/>
        </w:rPr>
        <w:t xml:space="preserve"> como «criterio de </w:t>
      </w:r>
      <w:r w:rsidR="001944CF" w:rsidRPr="00BB5A45">
        <w:rPr>
          <w:rFonts w:ascii="Arial" w:eastAsia="Calibri" w:hAnsi="Arial" w:cs="Arial"/>
          <w:sz w:val="22"/>
          <w:szCs w:val="22"/>
          <w:lang w:eastAsia="en-US"/>
        </w:rPr>
        <w:t>asignación de puntaje</w:t>
      </w:r>
      <w:r w:rsidR="000D2904" w:rsidRPr="00BB5A45">
        <w:rPr>
          <w:rFonts w:ascii="Arial" w:eastAsia="Calibri" w:hAnsi="Arial" w:cs="Arial"/>
          <w:sz w:val="22"/>
          <w:szCs w:val="22"/>
          <w:lang w:eastAsia="en-US"/>
        </w:rPr>
        <w:t>»</w:t>
      </w:r>
      <w:r w:rsidR="003C5512" w:rsidRPr="00BB5A45">
        <w:rPr>
          <w:rFonts w:ascii="Arial" w:eastAsia="Calibri" w:hAnsi="Arial" w:cs="Arial"/>
          <w:sz w:val="22"/>
          <w:szCs w:val="22"/>
          <w:lang w:eastAsia="en-US"/>
        </w:rPr>
        <w:t>,</w:t>
      </w:r>
      <w:r w:rsidR="003A35EB" w:rsidRPr="00BB5A45">
        <w:rPr>
          <w:rFonts w:ascii="Arial" w:eastAsia="Calibri" w:hAnsi="Arial" w:cs="Arial"/>
          <w:sz w:val="22"/>
          <w:szCs w:val="22"/>
          <w:lang w:eastAsia="en-US"/>
        </w:rPr>
        <w:t xml:space="preserve"> en los procesos de selección de consultores</w:t>
      </w:r>
      <w:r w:rsidR="00B61CCC" w:rsidRPr="00BB5A45">
        <w:rPr>
          <w:rFonts w:ascii="Arial" w:eastAsia="Calibri" w:hAnsi="Arial" w:cs="Arial"/>
          <w:sz w:val="22"/>
          <w:szCs w:val="22"/>
          <w:lang w:eastAsia="en-US"/>
        </w:rPr>
        <w:t>.</w:t>
      </w:r>
      <w:r w:rsidR="000D2904" w:rsidRPr="00BB5A45">
        <w:rPr>
          <w:rFonts w:ascii="Arial" w:eastAsia="Calibri" w:hAnsi="Arial" w:cs="Arial"/>
          <w:sz w:val="22"/>
          <w:szCs w:val="22"/>
          <w:lang w:eastAsia="en-US"/>
        </w:rPr>
        <w:t xml:space="preserve"> </w:t>
      </w:r>
      <w:r w:rsidR="00B61CCC" w:rsidRPr="00BB5A45">
        <w:rPr>
          <w:rFonts w:ascii="Arial" w:eastAsia="Calibri" w:hAnsi="Arial" w:cs="Arial"/>
          <w:sz w:val="22"/>
          <w:szCs w:val="22"/>
          <w:lang w:eastAsia="en-US"/>
        </w:rPr>
        <w:t>E</w:t>
      </w:r>
      <w:r w:rsidR="000D2904" w:rsidRPr="00BB5A45">
        <w:rPr>
          <w:rFonts w:ascii="Arial" w:eastAsia="Calibri" w:hAnsi="Arial" w:cs="Arial"/>
          <w:sz w:val="22"/>
          <w:szCs w:val="22"/>
          <w:lang w:eastAsia="en-US"/>
        </w:rPr>
        <w:t>n todo caso</w:t>
      </w:r>
      <w:r w:rsidR="00B61CCC" w:rsidRPr="00BB5A45">
        <w:rPr>
          <w:rFonts w:ascii="Arial" w:eastAsia="Calibri" w:hAnsi="Arial" w:cs="Arial"/>
          <w:sz w:val="22"/>
          <w:szCs w:val="22"/>
          <w:lang w:eastAsia="en-US"/>
        </w:rPr>
        <w:t>,</w:t>
      </w:r>
      <w:r w:rsidR="000D2904" w:rsidRPr="00BB5A45">
        <w:rPr>
          <w:rFonts w:ascii="Arial" w:eastAsia="Calibri" w:hAnsi="Arial" w:cs="Arial"/>
          <w:sz w:val="22"/>
          <w:szCs w:val="22"/>
          <w:lang w:eastAsia="en-US"/>
        </w:rPr>
        <w:t xml:space="preserve"> partiendo de un análisis funcional</w:t>
      </w:r>
      <w:r w:rsidRPr="00BB5A45">
        <w:rPr>
          <w:rFonts w:ascii="Arial" w:eastAsia="Calibri" w:hAnsi="Arial" w:cs="Arial"/>
          <w:sz w:val="22"/>
          <w:szCs w:val="22"/>
          <w:lang w:eastAsia="en-US"/>
        </w:rPr>
        <w:t>,</w:t>
      </w:r>
      <w:r w:rsidR="000D2904" w:rsidRPr="00BB5A45">
        <w:rPr>
          <w:rFonts w:ascii="Arial" w:eastAsia="Calibri" w:hAnsi="Arial" w:cs="Arial"/>
          <w:sz w:val="22"/>
          <w:szCs w:val="22"/>
          <w:lang w:eastAsia="en-US"/>
        </w:rPr>
        <w:t xml:space="preserve"> se concluye que la noción de experiencia, tanto general como específica, atienden a un </w:t>
      </w:r>
      <w:r w:rsidR="001944CF" w:rsidRPr="00BB5A45">
        <w:rPr>
          <w:rFonts w:ascii="Arial" w:eastAsia="Calibri" w:hAnsi="Arial" w:cs="Arial"/>
          <w:sz w:val="22"/>
          <w:szCs w:val="22"/>
          <w:lang w:eastAsia="en-US"/>
        </w:rPr>
        <w:t xml:space="preserve">razonamiento eminentemente técnico, más que </w:t>
      </w:r>
      <w:r w:rsidRPr="00BB5A45">
        <w:rPr>
          <w:rFonts w:ascii="Arial" w:eastAsia="Calibri" w:hAnsi="Arial" w:cs="Arial"/>
          <w:sz w:val="22"/>
          <w:szCs w:val="22"/>
          <w:lang w:eastAsia="en-US"/>
        </w:rPr>
        <w:t>a</w:t>
      </w:r>
      <w:r w:rsidR="001944CF" w:rsidRPr="00BB5A45">
        <w:rPr>
          <w:rFonts w:ascii="Arial" w:eastAsia="Calibri" w:hAnsi="Arial" w:cs="Arial"/>
          <w:sz w:val="22"/>
          <w:szCs w:val="22"/>
          <w:lang w:eastAsia="en-US"/>
        </w:rPr>
        <w:t xml:space="preserve"> un</w:t>
      </w:r>
      <w:r w:rsidR="003A35EB" w:rsidRPr="00BB5A45">
        <w:rPr>
          <w:rFonts w:ascii="Arial" w:eastAsia="Calibri" w:hAnsi="Arial" w:cs="Arial"/>
          <w:sz w:val="22"/>
          <w:szCs w:val="22"/>
          <w:lang w:eastAsia="en-US"/>
        </w:rPr>
        <w:t xml:space="preserve">o </w:t>
      </w:r>
      <w:r w:rsidR="001944CF" w:rsidRPr="00BB5A45">
        <w:rPr>
          <w:rFonts w:ascii="Arial" w:eastAsia="Calibri" w:hAnsi="Arial" w:cs="Arial"/>
          <w:sz w:val="22"/>
          <w:szCs w:val="22"/>
          <w:lang w:eastAsia="en-US"/>
        </w:rPr>
        <w:t xml:space="preserve">jurídico, pese a las </w:t>
      </w:r>
      <w:r w:rsidR="00B61CCC" w:rsidRPr="00BB5A45">
        <w:rPr>
          <w:rFonts w:ascii="Arial" w:eastAsia="Calibri" w:hAnsi="Arial" w:cs="Arial"/>
          <w:sz w:val="22"/>
          <w:szCs w:val="22"/>
          <w:lang w:eastAsia="en-US"/>
        </w:rPr>
        <w:t>referencias</w:t>
      </w:r>
      <w:r w:rsidR="001944CF" w:rsidRPr="00BB5A45">
        <w:rPr>
          <w:rFonts w:ascii="Arial" w:eastAsia="Calibri" w:hAnsi="Arial" w:cs="Arial"/>
          <w:sz w:val="22"/>
          <w:szCs w:val="22"/>
          <w:lang w:eastAsia="en-US"/>
        </w:rPr>
        <w:t xml:space="preserve"> realizadas </w:t>
      </w:r>
      <w:r w:rsidR="00B61CCC" w:rsidRPr="00BB5A45">
        <w:rPr>
          <w:rFonts w:ascii="Arial" w:eastAsia="Calibri" w:hAnsi="Arial" w:cs="Arial"/>
          <w:sz w:val="22"/>
          <w:szCs w:val="22"/>
          <w:lang w:eastAsia="en-US"/>
        </w:rPr>
        <w:t>a</w:t>
      </w:r>
      <w:r w:rsidR="001944CF" w:rsidRPr="00BB5A45">
        <w:rPr>
          <w:rFonts w:ascii="Arial" w:eastAsia="Calibri" w:hAnsi="Arial" w:cs="Arial"/>
          <w:sz w:val="22"/>
          <w:szCs w:val="22"/>
          <w:lang w:eastAsia="en-US"/>
        </w:rPr>
        <w:t xml:space="preserve"> algunas normas que acuden al concepto de experiencia</w:t>
      </w:r>
      <w:r w:rsidR="000D2904" w:rsidRPr="00BB5A45">
        <w:rPr>
          <w:rFonts w:ascii="Arial" w:eastAsia="Calibri" w:hAnsi="Arial" w:cs="Arial"/>
          <w:sz w:val="22"/>
          <w:szCs w:val="22"/>
          <w:lang w:eastAsia="en-US"/>
        </w:rPr>
        <w:t>.</w:t>
      </w:r>
    </w:p>
    <w:p w14:paraId="12F53D8B" w14:textId="1CF7DC3C" w:rsidR="00164D73" w:rsidRPr="00BB5A45" w:rsidRDefault="00861DCB" w:rsidP="00B61CCC">
      <w:pPr>
        <w:spacing w:after="120" w:line="276" w:lineRule="auto"/>
        <w:ind w:firstLine="708"/>
        <w:jc w:val="both"/>
        <w:rPr>
          <w:rFonts w:ascii="Arial" w:eastAsia="Calibri" w:hAnsi="Arial" w:cs="Arial"/>
          <w:sz w:val="22"/>
          <w:szCs w:val="22"/>
          <w:lang w:eastAsia="en-US"/>
        </w:rPr>
      </w:pPr>
      <w:r w:rsidRPr="00BB5A45">
        <w:rPr>
          <w:rFonts w:ascii="Arial" w:eastAsia="Calibri" w:hAnsi="Arial" w:cs="Arial"/>
          <w:sz w:val="22"/>
          <w:szCs w:val="22"/>
          <w:lang w:eastAsia="en-US"/>
        </w:rPr>
        <w:t>Visto los aportes normativos y doctrinarios sobre la experiencia, más allá de lo explicado,</w:t>
      </w:r>
      <w:r w:rsidR="00B61CCC" w:rsidRPr="00BB5A45">
        <w:rPr>
          <w:rFonts w:ascii="Arial" w:eastAsia="Calibri" w:hAnsi="Arial" w:cs="Arial"/>
          <w:sz w:val="22"/>
          <w:szCs w:val="22"/>
          <w:lang w:eastAsia="en-US"/>
        </w:rPr>
        <w:t xml:space="preserve"> atendiendo a la pregunta del peticionario, cabe señalar que</w:t>
      </w:r>
      <w:r w:rsidRPr="00BB5A45">
        <w:rPr>
          <w:rFonts w:ascii="Arial" w:eastAsia="Calibri" w:hAnsi="Arial" w:cs="Arial"/>
          <w:sz w:val="22"/>
          <w:szCs w:val="22"/>
          <w:lang w:eastAsia="en-US"/>
        </w:rPr>
        <w:t xml:space="preserve"> </w:t>
      </w:r>
      <w:r w:rsidR="002D6C82" w:rsidRPr="00BB5A45">
        <w:rPr>
          <w:rFonts w:ascii="Arial" w:eastAsia="Calibri" w:hAnsi="Arial" w:cs="Arial"/>
          <w:sz w:val="22"/>
          <w:szCs w:val="22"/>
          <w:lang w:eastAsia="en-US"/>
        </w:rPr>
        <w:t xml:space="preserve">en el ordenamiento jurídico </w:t>
      </w:r>
      <w:r w:rsidRPr="00BB5A45">
        <w:rPr>
          <w:rFonts w:ascii="Arial" w:eastAsia="Calibri" w:hAnsi="Arial" w:cs="Arial"/>
          <w:sz w:val="22"/>
          <w:szCs w:val="22"/>
          <w:lang w:eastAsia="en-US"/>
        </w:rPr>
        <w:t xml:space="preserve">no existe una definición </w:t>
      </w:r>
      <w:r w:rsidR="00B61CCC" w:rsidRPr="00BB5A45">
        <w:rPr>
          <w:rFonts w:ascii="Arial" w:eastAsia="Calibri" w:hAnsi="Arial" w:cs="Arial"/>
          <w:sz w:val="22"/>
          <w:szCs w:val="22"/>
          <w:lang w:eastAsia="en-US"/>
        </w:rPr>
        <w:t xml:space="preserve">concreta </w:t>
      </w:r>
      <w:r w:rsidRPr="00BB5A45">
        <w:rPr>
          <w:rFonts w:ascii="Arial" w:eastAsia="Calibri" w:hAnsi="Arial" w:cs="Arial"/>
          <w:sz w:val="22"/>
          <w:szCs w:val="22"/>
          <w:lang w:eastAsia="en-US"/>
        </w:rPr>
        <w:t xml:space="preserve">de </w:t>
      </w:r>
      <w:r w:rsidR="00164D73" w:rsidRPr="00BB5A45">
        <w:rPr>
          <w:rFonts w:ascii="Arial" w:eastAsia="Calibri" w:hAnsi="Arial" w:cs="Arial"/>
          <w:sz w:val="22"/>
          <w:szCs w:val="22"/>
          <w:lang w:eastAsia="en-US"/>
        </w:rPr>
        <w:t>«</w:t>
      </w:r>
      <w:r w:rsidRPr="00BB5A45">
        <w:rPr>
          <w:rFonts w:ascii="Arial" w:eastAsia="Calibri" w:hAnsi="Arial" w:cs="Arial"/>
          <w:sz w:val="22"/>
          <w:szCs w:val="22"/>
          <w:lang w:eastAsia="en-US"/>
        </w:rPr>
        <w:t>experiencia específica</w:t>
      </w:r>
      <w:r w:rsidR="00164D73" w:rsidRPr="00BB5A45">
        <w:rPr>
          <w:rFonts w:ascii="Arial" w:eastAsia="Calibri" w:hAnsi="Arial" w:cs="Arial"/>
          <w:sz w:val="22"/>
          <w:szCs w:val="22"/>
          <w:lang w:eastAsia="en-US"/>
        </w:rPr>
        <w:t>»</w:t>
      </w:r>
      <w:r w:rsidR="002D6C82" w:rsidRPr="00BB5A45">
        <w:rPr>
          <w:rFonts w:ascii="Arial" w:eastAsia="Calibri" w:hAnsi="Arial" w:cs="Arial"/>
          <w:sz w:val="22"/>
          <w:szCs w:val="22"/>
          <w:lang w:eastAsia="en-US"/>
        </w:rPr>
        <w:t xml:space="preserve"> en materia contractual</w:t>
      </w:r>
      <w:r w:rsidR="00B61CCC" w:rsidRPr="00BB5A45">
        <w:rPr>
          <w:rFonts w:ascii="Arial" w:eastAsia="Calibri" w:hAnsi="Arial" w:cs="Arial"/>
          <w:sz w:val="22"/>
          <w:szCs w:val="22"/>
          <w:lang w:eastAsia="en-US"/>
        </w:rPr>
        <w:t>.</w:t>
      </w:r>
      <w:r w:rsidRPr="00BB5A45">
        <w:rPr>
          <w:rFonts w:ascii="Arial" w:eastAsia="Calibri" w:hAnsi="Arial" w:cs="Arial"/>
          <w:sz w:val="22"/>
          <w:szCs w:val="22"/>
          <w:lang w:eastAsia="en-US"/>
        </w:rPr>
        <w:t xml:space="preserve"> </w:t>
      </w:r>
      <w:r w:rsidR="00B61CCC" w:rsidRPr="00BB5A45">
        <w:rPr>
          <w:rFonts w:ascii="Arial" w:eastAsia="Calibri" w:hAnsi="Arial" w:cs="Arial"/>
          <w:sz w:val="22"/>
          <w:szCs w:val="22"/>
          <w:lang w:eastAsia="en-US"/>
        </w:rPr>
        <w:t>E</w:t>
      </w:r>
      <w:r w:rsidR="009F0843" w:rsidRPr="00BB5A45">
        <w:rPr>
          <w:rFonts w:ascii="Arial" w:eastAsia="Calibri" w:hAnsi="Arial" w:cs="Arial"/>
          <w:sz w:val="22"/>
          <w:szCs w:val="22"/>
          <w:lang w:eastAsia="en-US"/>
        </w:rPr>
        <w:t xml:space="preserve">ste </w:t>
      </w:r>
      <w:r w:rsidRPr="00BB5A45">
        <w:rPr>
          <w:rFonts w:ascii="Arial" w:eastAsia="Calibri" w:hAnsi="Arial" w:cs="Arial"/>
          <w:sz w:val="22"/>
          <w:szCs w:val="22"/>
          <w:lang w:eastAsia="en-US"/>
        </w:rPr>
        <w:t xml:space="preserve">es un concepto abstracto que atiende, en la </w:t>
      </w:r>
      <w:r w:rsidR="009F0843" w:rsidRPr="00BB5A45">
        <w:rPr>
          <w:rFonts w:ascii="Arial" w:eastAsia="Calibri" w:hAnsi="Arial" w:cs="Arial"/>
          <w:sz w:val="22"/>
          <w:szCs w:val="22"/>
          <w:lang w:eastAsia="en-US"/>
        </w:rPr>
        <w:t>práctica</w:t>
      </w:r>
      <w:r w:rsidRPr="00BB5A45">
        <w:rPr>
          <w:rFonts w:ascii="Arial" w:eastAsia="Calibri" w:hAnsi="Arial" w:cs="Arial"/>
          <w:sz w:val="22"/>
          <w:szCs w:val="22"/>
          <w:lang w:eastAsia="en-US"/>
        </w:rPr>
        <w:t>, por un lado</w:t>
      </w:r>
      <w:r w:rsidR="00164D73" w:rsidRPr="00BB5A45">
        <w:rPr>
          <w:rFonts w:ascii="Arial" w:eastAsia="Calibri" w:hAnsi="Arial" w:cs="Arial"/>
          <w:sz w:val="22"/>
          <w:szCs w:val="22"/>
          <w:lang w:eastAsia="en-US"/>
        </w:rPr>
        <w:t>,</w:t>
      </w:r>
      <w:r w:rsidRPr="00BB5A45">
        <w:rPr>
          <w:rFonts w:ascii="Arial" w:eastAsia="Calibri" w:hAnsi="Arial" w:cs="Arial"/>
          <w:sz w:val="22"/>
          <w:szCs w:val="22"/>
          <w:lang w:eastAsia="en-US"/>
        </w:rPr>
        <w:t xml:space="preserve"> a la </w:t>
      </w:r>
      <w:r w:rsidR="00164D73" w:rsidRPr="00BB5A45">
        <w:rPr>
          <w:rFonts w:ascii="Arial" w:eastAsia="Calibri" w:hAnsi="Arial" w:cs="Arial"/>
          <w:sz w:val="22"/>
          <w:szCs w:val="22"/>
          <w:lang w:eastAsia="en-US"/>
        </w:rPr>
        <w:t>discrecionalidad</w:t>
      </w:r>
      <w:r w:rsidRPr="00BB5A45">
        <w:rPr>
          <w:rFonts w:ascii="Arial" w:eastAsia="Calibri" w:hAnsi="Arial" w:cs="Arial"/>
          <w:sz w:val="22"/>
          <w:szCs w:val="22"/>
          <w:lang w:eastAsia="en-US"/>
        </w:rPr>
        <w:t xml:space="preserve"> de las entidades estatales</w:t>
      </w:r>
      <w:r w:rsidR="00164D73" w:rsidRPr="00BB5A45">
        <w:rPr>
          <w:rFonts w:ascii="Arial" w:eastAsia="Calibri" w:hAnsi="Arial" w:cs="Arial"/>
          <w:sz w:val="22"/>
          <w:szCs w:val="22"/>
          <w:lang w:eastAsia="en-US"/>
        </w:rPr>
        <w:t xml:space="preserve"> en la elaboración del pliego de condiciones</w:t>
      </w:r>
      <w:r w:rsidR="009F0843" w:rsidRPr="00BB5A45">
        <w:rPr>
          <w:rFonts w:ascii="Arial" w:eastAsia="Calibri" w:hAnsi="Arial" w:cs="Arial"/>
          <w:sz w:val="22"/>
          <w:szCs w:val="22"/>
          <w:lang w:eastAsia="en-US"/>
        </w:rPr>
        <w:t xml:space="preserve">, ya </w:t>
      </w:r>
      <w:r w:rsidR="009F0843" w:rsidRPr="00BB5A45">
        <w:rPr>
          <w:rFonts w:ascii="Arial" w:eastAsia="Calibri" w:hAnsi="Arial" w:cs="Arial"/>
          <w:sz w:val="22"/>
          <w:szCs w:val="22"/>
          <w:lang w:eastAsia="en-US"/>
        </w:rPr>
        <w:lastRenderedPageBreak/>
        <w:t xml:space="preserve">que la </w:t>
      </w:r>
      <w:r w:rsidR="00164D73" w:rsidRPr="00BB5A45">
        <w:rPr>
          <w:rFonts w:ascii="Arial" w:eastAsia="Calibri" w:hAnsi="Arial" w:cs="Arial"/>
          <w:sz w:val="22"/>
          <w:szCs w:val="22"/>
          <w:lang w:eastAsia="en-US"/>
        </w:rPr>
        <w:t>inclusión de una «</w:t>
      </w:r>
      <w:r w:rsidR="009F0843" w:rsidRPr="00BB5A45">
        <w:rPr>
          <w:rFonts w:ascii="Arial" w:eastAsia="Calibri" w:hAnsi="Arial" w:cs="Arial"/>
          <w:sz w:val="22"/>
          <w:szCs w:val="22"/>
          <w:lang w:eastAsia="en-US"/>
        </w:rPr>
        <w:t>experiencia espec</w:t>
      </w:r>
      <w:r w:rsidR="00164D73" w:rsidRPr="00BB5A45">
        <w:rPr>
          <w:rFonts w:ascii="Arial" w:eastAsia="Calibri" w:hAnsi="Arial" w:cs="Arial"/>
          <w:sz w:val="22"/>
          <w:szCs w:val="22"/>
          <w:lang w:eastAsia="en-US"/>
        </w:rPr>
        <w:t>í</w:t>
      </w:r>
      <w:r w:rsidR="009F0843" w:rsidRPr="00BB5A45">
        <w:rPr>
          <w:rFonts w:ascii="Arial" w:eastAsia="Calibri" w:hAnsi="Arial" w:cs="Arial"/>
          <w:sz w:val="22"/>
          <w:szCs w:val="22"/>
          <w:lang w:eastAsia="en-US"/>
        </w:rPr>
        <w:t>fica</w:t>
      </w:r>
      <w:r w:rsidR="00164D73" w:rsidRPr="00BB5A45">
        <w:rPr>
          <w:rFonts w:ascii="Arial" w:eastAsia="Calibri" w:hAnsi="Arial" w:cs="Arial"/>
          <w:sz w:val="22"/>
          <w:szCs w:val="22"/>
          <w:lang w:eastAsia="en-US"/>
        </w:rPr>
        <w:t>»</w:t>
      </w:r>
      <w:r w:rsidR="009F0843" w:rsidRPr="00BB5A45">
        <w:rPr>
          <w:rFonts w:ascii="Arial" w:eastAsia="Calibri" w:hAnsi="Arial" w:cs="Arial"/>
          <w:sz w:val="22"/>
          <w:szCs w:val="22"/>
          <w:lang w:eastAsia="en-US"/>
        </w:rPr>
        <w:t xml:space="preserve"> como requisito habilitante es potestativo de cada entidad estatal</w:t>
      </w:r>
      <w:r w:rsidR="00164D73" w:rsidRPr="00BB5A45">
        <w:rPr>
          <w:rFonts w:ascii="Arial" w:eastAsia="Calibri" w:hAnsi="Arial" w:cs="Arial"/>
          <w:sz w:val="22"/>
          <w:szCs w:val="22"/>
          <w:lang w:eastAsia="en-US"/>
        </w:rPr>
        <w:t>.</w:t>
      </w:r>
      <w:r w:rsidRPr="00BB5A45">
        <w:rPr>
          <w:rFonts w:ascii="Arial" w:eastAsia="Calibri" w:hAnsi="Arial" w:cs="Arial"/>
          <w:sz w:val="22"/>
          <w:szCs w:val="22"/>
          <w:lang w:eastAsia="en-US"/>
        </w:rPr>
        <w:t xml:space="preserve"> </w:t>
      </w:r>
      <w:r w:rsidR="00164D73" w:rsidRPr="00BB5A45">
        <w:rPr>
          <w:rFonts w:ascii="Arial" w:eastAsia="Calibri" w:hAnsi="Arial" w:cs="Arial"/>
          <w:sz w:val="22"/>
          <w:szCs w:val="22"/>
          <w:lang w:eastAsia="en-US"/>
        </w:rPr>
        <w:t xml:space="preserve">Además, puede obedecer, </w:t>
      </w:r>
      <w:r w:rsidRPr="00BB5A45">
        <w:rPr>
          <w:rFonts w:ascii="Arial" w:eastAsia="Calibri" w:hAnsi="Arial" w:cs="Arial"/>
          <w:sz w:val="22"/>
          <w:szCs w:val="22"/>
          <w:lang w:eastAsia="en-US"/>
        </w:rPr>
        <w:t>por otro lado</w:t>
      </w:r>
      <w:r w:rsidR="00164D73" w:rsidRPr="00BB5A45">
        <w:rPr>
          <w:rFonts w:ascii="Arial" w:eastAsia="Calibri" w:hAnsi="Arial" w:cs="Arial"/>
          <w:sz w:val="22"/>
          <w:szCs w:val="22"/>
          <w:lang w:eastAsia="en-US"/>
        </w:rPr>
        <w:t>,</w:t>
      </w:r>
      <w:r w:rsidRPr="00BB5A45">
        <w:rPr>
          <w:rFonts w:ascii="Arial" w:eastAsia="Calibri" w:hAnsi="Arial" w:cs="Arial"/>
          <w:sz w:val="22"/>
          <w:szCs w:val="22"/>
          <w:lang w:eastAsia="en-US"/>
        </w:rPr>
        <w:t xml:space="preserve"> a la acreditación de los proponentes como </w:t>
      </w:r>
      <w:r w:rsidR="005D6C35" w:rsidRPr="00BB5A45">
        <w:rPr>
          <w:rFonts w:ascii="Arial" w:eastAsia="Calibri" w:hAnsi="Arial" w:cs="Arial"/>
          <w:sz w:val="22"/>
          <w:szCs w:val="22"/>
          <w:lang w:eastAsia="en-US"/>
        </w:rPr>
        <w:t>requisito</w:t>
      </w:r>
      <w:r w:rsidRPr="00BB5A45">
        <w:rPr>
          <w:rFonts w:ascii="Arial" w:eastAsia="Calibri" w:hAnsi="Arial" w:cs="Arial"/>
          <w:sz w:val="22"/>
          <w:szCs w:val="22"/>
          <w:lang w:eastAsia="en-US"/>
        </w:rPr>
        <w:t xml:space="preserve"> habilitante, y en </w:t>
      </w:r>
      <w:r w:rsidR="005D6C35" w:rsidRPr="00BB5A45">
        <w:rPr>
          <w:rFonts w:ascii="Arial" w:eastAsia="Calibri" w:hAnsi="Arial" w:cs="Arial"/>
          <w:sz w:val="22"/>
          <w:szCs w:val="22"/>
          <w:lang w:eastAsia="en-US"/>
        </w:rPr>
        <w:t>algunos</w:t>
      </w:r>
      <w:r w:rsidRPr="00BB5A45">
        <w:rPr>
          <w:rFonts w:ascii="Arial" w:eastAsia="Calibri" w:hAnsi="Arial" w:cs="Arial"/>
          <w:sz w:val="22"/>
          <w:szCs w:val="22"/>
          <w:lang w:eastAsia="en-US"/>
        </w:rPr>
        <w:t xml:space="preserve"> casos posteriormente como factor de </w:t>
      </w:r>
      <w:r w:rsidR="00164D73" w:rsidRPr="00BB5A45">
        <w:rPr>
          <w:rFonts w:ascii="Arial" w:eastAsia="Calibri" w:hAnsi="Arial" w:cs="Arial"/>
          <w:sz w:val="22"/>
          <w:szCs w:val="22"/>
          <w:lang w:eastAsia="en-US"/>
        </w:rPr>
        <w:t>asignación de puntaje, en lo que tiene que ver con la selección de consultores</w:t>
      </w:r>
      <w:r w:rsidR="005D6C35" w:rsidRPr="00BB5A45">
        <w:rPr>
          <w:rFonts w:ascii="Arial" w:eastAsia="Calibri" w:hAnsi="Arial" w:cs="Arial"/>
          <w:sz w:val="22"/>
          <w:szCs w:val="22"/>
          <w:lang w:eastAsia="en-US"/>
        </w:rPr>
        <w:t>. En síntesis,</w:t>
      </w:r>
      <w:r w:rsidR="003A35EB" w:rsidRPr="00BB5A45">
        <w:rPr>
          <w:rFonts w:ascii="Arial" w:eastAsia="Calibri" w:hAnsi="Arial" w:cs="Arial"/>
          <w:sz w:val="22"/>
          <w:szCs w:val="22"/>
          <w:lang w:eastAsia="en-US"/>
        </w:rPr>
        <w:t xml:space="preserve"> esta Agencia considera que</w:t>
      </w:r>
      <w:r w:rsidR="005D6C35" w:rsidRPr="00BB5A45">
        <w:rPr>
          <w:rFonts w:ascii="Arial" w:eastAsia="Calibri" w:hAnsi="Arial" w:cs="Arial"/>
          <w:sz w:val="22"/>
          <w:szCs w:val="22"/>
          <w:lang w:eastAsia="en-US"/>
        </w:rPr>
        <w:t xml:space="preserve"> la experiencia específica también es «[…] el conocimiento del proponente derivado de su participación previa en actividades iguales o similares a las previstas en el objeto del contrato»</w:t>
      </w:r>
      <w:r w:rsidR="002D6C82" w:rsidRPr="00BB5A45">
        <w:rPr>
          <w:rStyle w:val="Refdenotaalpie"/>
          <w:rFonts w:ascii="Arial" w:eastAsia="Calibri" w:hAnsi="Arial" w:cs="Arial"/>
          <w:sz w:val="22"/>
          <w:szCs w:val="22"/>
          <w:lang w:eastAsia="en-US"/>
        </w:rPr>
        <w:footnoteReference w:id="5"/>
      </w:r>
      <w:r w:rsidR="00164D73" w:rsidRPr="00BB5A45">
        <w:rPr>
          <w:rFonts w:ascii="Arial" w:eastAsia="Calibri" w:hAnsi="Arial" w:cs="Arial"/>
          <w:sz w:val="22"/>
          <w:szCs w:val="22"/>
          <w:lang w:eastAsia="en-US"/>
        </w:rPr>
        <w:t>,</w:t>
      </w:r>
      <w:r w:rsidR="00D76EE6" w:rsidRPr="00BB5A45">
        <w:rPr>
          <w:rFonts w:ascii="Arial" w:eastAsia="Calibri" w:hAnsi="Arial" w:cs="Arial"/>
          <w:sz w:val="22"/>
          <w:szCs w:val="22"/>
          <w:lang w:eastAsia="en-US"/>
        </w:rPr>
        <w:t xml:space="preserve"> </w:t>
      </w:r>
      <w:r w:rsidR="00B85581" w:rsidRPr="00BB5A45">
        <w:rPr>
          <w:rFonts w:ascii="Arial" w:eastAsia="Calibri" w:hAnsi="Arial" w:cs="Arial"/>
          <w:sz w:val="22"/>
          <w:szCs w:val="22"/>
          <w:lang w:eastAsia="en-US"/>
        </w:rPr>
        <w:t xml:space="preserve">pero </w:t>
      </w:r>
      <w:r w:rsidR="00164D73" w:rsidRPr="00BB5A45">
        <w:rPr>
          <w:rFonts w:ascii="Arial" w:eastAsia="Calibri" w:hAnsi="Arial" w:cs="Arial"/>
          <w:sz w:val="22"/>
          <w:szCs w:val="22"/>
          <w:lang w:eastAsia="en-US"/>
        </w:rPr>
        <w:t>cuya exigencia se realiza con un mayor grado de concreción y precisión respecto a un alcance más preciso de la experiencia del proponente.</w:t>
      </w:r>
    </w:p>
    <w:p w14:paraId="51F1F911" w14:textId="06EE89F5" w:rsidR="00861DCB" w:rsidRPr="00BB5A45" w:rsidRDefault="00164D73" w:rsidP="009175BF">
      <w:pPr>
        <w:spacing w:after="120" w:line="276" w:lineRule="auto"/>
        <w:ind w:firstLine="708"/>
        <w:jc w:val="both"/>
        <w:rPr>
          <w:rFonts w:ascii="Arial" w:eastAsia="Calibri" w:hAnsi="Arial" w:cs="Arial"/>
          <w:sz w:val="22"/>
          <w:szCs w:val="22"/>
          <w:lang w:eastAsia="en-US"/>
        </w:rPr>
      </w:pPr>
      <w:r w:rsidRPr="00BB5A45">
        <w:rPr>
          <w:rFonts w:ascii="Arial" w:eastAsia="Calibri" w:hAnsi="Arial" w:cs="Arial"/>
          <w:sz w:val="22"/>
          <w:szCs w:val="22"/>
          <w:lang w:eastAsia="en-US"/>
        </w:rPr>
        <w:t>En este sentido, se considera que la «experiencia específica»</w:t>
      </w:r>
      <w:r w:rsidR="00D76EE6" w:rsidRPr="00BB5A45">
        <w:rPr>
          <w:rFonts w:ascii="Arial" w:eastAsia="Calibri" w:hAnsi="Arial" w:cs="Arial"/>
          <w:sz w:val="22"/>
          <w:szCs w:val="22"/>
          <w:lang w:eastAsia="en-US"/>
        </w:rPr>
        <w:t xml:space="preserve"> </w:t>
      </w:r>
      <w:r w:rsidRPr="00BB5A45">
        <w:rPr>
          <w:rFonts w:ascii="Arial" w:eastAsia="Calibri" w:hAnsi="Arial" w:cs="Arial"/>
          <w:sz w:val="22"/>
          <w:szCs w:val="22"/>
          <w:lang w:eastAsia="en-US"/>
        </w:rPr>
        <w:t>se origina en la práctica contractual, bajo el entendido de que algunas entidades estatales suelen exigir en sus pliegos de condiciones la acreditación de una «experiencia general» y una «experiencia específica»</w:t>
      </w:r>
      <w:r w:rsidR="00E96086" w:rsidRPr="00BB5A45">
        <w:rPr>
          <w:rFonts w:ascii="Arial" w:eastAsia="Calibri" w:hAnsi="Arial" w:cs="Arial"/>
          <w:sz w:val="22"/>
          <w:szCs w:val="22"/>
          <w:lang w:eastAsia="en-US"/>
        </w:rPr>
        <w:t>. En este sentido, la experiencia general suele tener una exigencia menor en cuanto a su precisión, que permite una mayor posibilidad de acreditación por los proponentes</w:t>
      </w:r>
      <w:r w:rsidR="007C75C8" w:rsidRPr="00BB5A45">
        <w:rPr>
          <w:rFonts w:ascii="Arial" w:eastAsia="Calibri" w:hAnsi="Arial" w:cs="Arial"/>
          <w:sz w:val="22"/>
          <w:szCs w:val="22"/>
          <w:lang w:eastAsia="en-US"/>
        </w:rPr>
        <w:t>;</w:t>
      </w:r>
      <w:r w:rsidR="00E96086" w:rsidRPr="00BB5A45">
        <w:rPr>
          <w:rFonts w:ascii="Arial" w:eastAsia="Calibri" w:hAnsi="Arial" w:cs="Arial"/>
          <w:sz w:val="22"/>
          <w:szCs w:val="22"/>
          <w:lang w:eastAsia="en-US"/>
        </w:rPr>
        <w:t xml:space="preserve"> mientras que la específica suele incluirse para exigir que los </w:t>
      </w:r>
      <w:r w:rsidR="007C75C8" w:rsidRPr="00BB5A45">
        <w:rPr>
          <w:rFonts w:ascii="Arial" w:eastAsia="Calibri" w:hAnsi="Arial" w:cs="Arial"/>
          <w:sz w:val="22"/>
          <w:szCs w:val="22"/>
          <w:lang w:eastAsia="en-US"/>
        </w:rPr>
        <w:t>oferentes</w:t>
      </w:r>
      <w:r w:rsidR="00E96086" w:rsidRPr="00BB5A45">
        <w:rPr>
          <w:rFonts w:ascii="Arial" w:eastAsia="Calibri" w:hAnsi="Arial" w:cs="Arial"/>
          <w:sz w:val="22"/>
          <w:szCs w:val="22"/>
          <w:lang w:eastAsia="en-US"/>
        </w:rPr>
        <w:t xml:space="preserve"> </w:t>
      </w:r>
      <w:r w:rsidR="00A0454F" w:rsidRPr="00BB5A45">
        <w:rPr>
          <w:rFonts w:ascii="Arial" w:eastAsia="Calibri" w:hAnsi="Arial" w:cs="Arial"/>
          <w:sz w:val="22"/>
          <w:szCs w:val="22"/>
          <w:lang w:eastAsia="en-US"/>
        </w:rPr>
        <w:t>demuestren</w:t>
      </w:r>
      <w:r w:rsidR="00E96086" w:rsidRPr="00BB5A45">
        <w:rPr>
          <w:rFonts w:ascii="Arial" w:eastAsia="Calibri" w:hAnsi="Arial" w:cs="Arial"/>
          <w:sz w:val="22"/>
          <w:szCs w:val="22"/>
          <w:lang w:eastAsia="en-US"/>
        </w:rPr>
        <w:t xml:space="preserve"> un alcance más concreto respecto </w:t>
      </w:r>
      <w:r w:rsidR="007C75C8" w:rsidRPr="00BB5A45">
        <w:rPr>
          <w:rFonts w:ascii="Arial" w:eastAsia="Calibri" w:hAnsi="Arial" w:cs="Arial"/>
          <w:sz w:val="22"/>
          <w:szCs w:val="22"/>
          <w:lang w:eastAsia="en-US"/>
        </w:rPr>
        <w:t>de</w:t>
      </w:r>
      <w:r w:rsidR="00E96086" w:rsidRPr="00BB5A45">
        <w:rPr>
          <w:rFonts w:ascii="Arial" w:eastAsia="Calibri" w:hAnsi="Arial" w:cs="Arial"/>
          <w:sz w:val="22"/>
          <w:szCs w:val="22"/>
          <w:lang w:eastAsia="en-US"/>
        </w:rPr>
        <w:t xml:space="preserve"> su experiencia, que suele tener una relación más estrecha con el contrato a ejecutar o debido a la razonabilidad que encuentra la entidad de conocer que el proponente cuenta con la idoneidad para ejecutar algunas actividades concretas, que son especialmente relevantes para el proceso contractual. Sin embargo, también sería admisible que una entidad configure </w:t>
      </w:r>
      <w:r w:rsidR="007C75C8" w:rsidRPr="00BB5A45">
        <w:rPr>
          <w:rFonts w:ascii="Arial" w:eastAsia="Calibri" w:hAnsi="Arial" w:cs="Arial"/>
          <w:sz w:val="22"/>
          <w:szCs w:val="22"/>
          <w:lang w:eastAsia="en-US"/>
        </w:rPr>
        <w:t>su pliego de condiciones sin acudir a una «experiencia específica»; sino estableciendo, por ejemplo, simplemente un requisito de experiencia que no se divida en general y específica. En tal sentido, son razonamientos de orden eminentemente técnicos los que justifican la inclusión de este requisito en los pliegos de condiciones.</w:t>
      </w:r>
    </w:p>
    <w:p w14:paraId="71534BD4" w14:textId="7E39943A" w:rsidR="00D45828" w:rsidRPr="00BB5A45" w:rsidRDefault="00D44687" w:rsidP="009175BF">
      <w:pPr>
        <w:spacing w:after="120" w:line="276" w:lineRule="auto"/>
        <w:ind w:firstLine="708"/>
        <w:jc w:val="both"/>
        <w:rPr>
          <w:rFonts w:ascii="Arial" w:eastAsia="Calibri" w:hAnsi="Arial" w:cs="Arial"/>
          <w:sz w:val="22"/>
          <w:szCs w:val="22"/>
          <w:lang w:eastAsia="en-US"/>
        </w:rPr>
      </w:pPr>
      <w:r w:rsidRPr="00BB5A45">
        <w:rPr>
          <w:rFonts w:ascii="Arial" w:eastAsia="Calibri" w:hAnsi="Arial" w:cs="Arial"/>
          <w:sz w:val="22"/>
          <w:szCs w:val="22"/>
          <w:lang w:eastAsia="en-US"/>
        </w:rPr>
        <w:t xml:space="preserve">Teniendo en cuenta lo anterior, </w:t>
      </w:r>
      <w:bookmarkStart w:id="16" w:name="_Hlk109300728"/>
      <w:r w:rsidRPr="00BB5A45">
        <w:rPr>
          <w:rFonts w:ascii="Arial" w:eastAsia="Calibri" w:hAnsi="Arial" w:cs="Arial"/>
          <w:sz w:val="22"/>
          <w:szCs w:val="22"/>
          <w:lang w:eastAsia="en-US"/>
        </w:rPr>
        <w:t>a</w:t>
      </w:r>
      <w:r w:rsidR="00D45828" w:rsidRPr="00BB5A45">
        <w:rPr>
          <w:rFonts w:ascii="Arial" w:eastAsia="Calibri" w:hAnsi="Arial" w:cs="Arial"/>
          <w:sz w:val="22"/>
          <w:szCs w:val="22"/>
          <w:lang w:eastAsia="en-US"/>
        </w:rPr>
        <w:t xml:space="preserve"> manera de ejemplo, por regla general, en los diferentes Documentos Tipo </w:t>
      </w:r>
      <w:r w:rsidR="001C3260" w:rsidRPr="00BB5A45">
        <w:rPr>
          <w:rFonts w:ascii="Arial" w:eastAsia="Calibri" w:hAnsi="Arial" w:cs="Arial"/>
          <w:sz w:val="22"/>
          <w:szCs w:val="22"/>
          <w:lang w:eastAsia="en-US"/>
        </w:rPr>
        <w:t>adoptados</w:t>
      </w:r>
      <w:r w:rsidR="00D45828" w:rsidRPr="00BB5A45">
        <w:rPr>
          <w:rFonts w:ascii="Arial" w:eastAsia="Calibri" w:hAnsi="Arial" w:cs="Arial"/>
          <w:sz w:val="22"/>
          <w:szCs w:val="22"/>
          <w:lang w:eastAsia="en-US"/>
        </w:rPr>
        <w:t xml:space="preserve"> por </w:t>
      </w:r>
      <w:r w:rsidR="00651219" w:rsidRPr="00BB5A45">
        <w:rPr>
          <w:rFonts w:ascii="Arial" w:eastAsia="Calibri" w:hAnsi="Arial" w:cs="Arial"/>
          <w:sz w:val="22"/>
          <w:szCs w:val="22"/>
          <w:lang w:eastAsia="en-US"/>
        </w:rPr>
        <w:t xml:space="preserve">esta Agencia, uno de los elementos comunes es la </w:t>
      </w:r>
      <w:r w:rsidRPr="00BB5A45">
        <w:rPr>
          <w:rFonts w:ascii="Arial" w:eastAsia="Calibri" w:hAnsi="Arial" w:cs="Arial"/>
          <w:sz w:val="22"/>
          <w:szCs w:val="22"/>
          <w:lang w:eastAsia="en-US"/>
        </w:rPr>
        <w:t>«</w:t>
      </w:r>
      <w:r w:rsidR="00651219" w:rsidRPr="00BB5A45">
        <w:rPr>
          <w:rFonts w:ascii="Arial" w:eastAsia="Calibri" w:hAnsi="Arial" w:cs="Arial"/>
          <w:sz w:val="22"/>
          <w:szCs w:val="22"/>
          <w:lang w:eastAsia="en-US"/>
        </w:rPr>
        <w:t xml:space="preserve">Matriz </w:t>
      </w:r>
      <w:r w:rsidRPr="00BB5A45">
        <w:rPr>
          <w:rFonts w:ascii="Arial" w:eastAsia="Calibri" w:hAnsi="Arial" w:cs="Arial"/>
          <w:sz w:val="22"/>
          <w:szCs w:val="22"/>
          <w:lang w:eastAsia="en-US"/>
        </w:rPr>
        <w:t>de</w:t>
      </w:r>
      <w:r w:rsidR="00651219" w:rsidRPr="00BB5A45">
        <w:rPr>
          <w:rFonts w:ascii="Arial" w:eastAsia="Calibri" w:hAnsi="Arial" w:cs="Arial"/>
          <w:sz w:val="22"/>
          <w:szCs w:val="22"/>
          <w:lang w:eastAsia="en-US"/>
        </w:rPr>
        <w:t xml:space="preserve"> Experiencia»</w:t>
      </w:r>
      <w:r w:rsidR="00A21877" w:rsidRPr="00BB5A45">
        <w:rPr>
          <w:rStyle w:val="Refdenotaalpie"/>
          <w:rFonts w:ascii="Arial" w:eastAsia="Calibri" w:hAnsi="Arial" w:cs="Arial"/>
          <w:sz w:val="22"/>
          <w:szCs w:val="22"/>
          <w:lang w:eastAsia="en-US"/>
        </w:rPr>
        <w:footnoteReference w:id="6"/>
      </w:r>
      <w:r w:rsidR="00651219" w:rsidRPr="00BB5A45">
        <w:rPr>
          <w:rFonts w:ascii="Arial" w:eastAsia="Calibri" w:hAnsi="Arial" w:cs="Arial"/>
          <w:sz w:val="22"/>
          <w:szCs w:val="22"/>
          <w:lang w:eastAsia="en-US"/>
        </w:rPr>
        <w:t xml:space="preserve">. </w:t>
      </w:r>
      <w:r w:rsidR="001C3260" w:rsidRPr="00BB5A45">
        <w:rPr>
          <w:rFonts w:ascii="Arial" w:eastAsia="Calibri" w:hAnsi="Arial" w:cs="Arial"/>
          <w:sz w:val="22"/>
          <w:szCs w:val="22"/>
          <w:lang w:eastAsia="en-US"/>
        </w:rPr>
        <w:t>Esta matriz tiene como una de sus funciones estandarizar los requisitos de experiencia que las entidades estatales exigirán en sus pliegos de condiciones o invitaciones</w:t>
      </w:r>
      <w:r w:rsidR="008172D7" w:rsidRPr="00BB5A45">
        <w:rPr>
          <w:rFonts w:ascii="Arial" w:eastAsia="Calibri" w:hAnsi="Arial" w:cs="Arial"/>
          <w:sz w:val="22"/>
          <w:szCs w:val="22"/>
          <w:lang w:eastAsia="en-US"/>
        </w:rPr>
        <w:t>,</w:t>
      </w:r>
      <w:r w:rsidR="001C3260" w:rsidRPr="00BB5A45">
        <w:rPr>
          <w:rFonts w:ascii="Arial" w:eastAsia="Calibri" w:hAnsi="Arial" w:cs="Arial"/>
          <w:sz w:val="22"/>
          <w:szCs w:val="22"/>
          <w:lang w:eastAsia="en-US"/>
        </w:rPr>
        <w:t xml:space="preserve"> en los casos en que estos documentos tipo resulte</w:t>
      </w:r>
      <w:r w:rsidR="008172D7" w:rsidRPr="00BB5A45">
        <w:rPr>
          <w:rFonts w:ascii="Arial" w:eastAsia="Calibri" w:hAnsi="Arial" w:cs="Arial"/>
          <w:sz w:val="22"/>
          <w:szCs w:val="22"/>
          <w:lang w:eastAsia="en-US"/>
        </w:rPr>
        <w:t>n</w:t>
      </w:r>
      <w:r w:rsidR="001C3260" w:rsidRPr="00BB5A45">
        <w:rPr>
          <w:rFonts w:ascii="Arial" w:eastAsia="Calibri" w:hAnsi="Arial" w:cs="Arial"/>
          <w:sz w:val="22"/>
          <w:szCs w:val="22"/>
          <w:lang w:eastAsia="en-US"/>
        </w:rPr>
        <w:t xml:space="preserve"> de obligatoria aplicación. Al ver las distintas matrices de experiencia se encuentra </w:t>
      </w:r>
      <w:r w:rsidR="008172D7" w:rsidRPr="00BB5A45">
        <w:rPr>
          <w:rFonts w:ascii="Arial" w:eastAsia="Calibri" w:hAnsi="Arial" w:cs="Arial"/>
          <w:sz w:val="22"/>
          <w:szCs w:val="22"/>
          <w:lang w:eastAsia="en-US"/>
        </w:rPr>
        <w:t>que</w:t>
      </w:r>
      <w:r w:rsidR="00A21877" w:rsidRPr="00BB5A45">
        <w:rPr>
          <w:rFonts w:ascii="Arial" w:eastAsia="Calibri" w:hAnsi="Arial" w:cs="Arial"/>
          <w:sz w:val="22"/>
          <w:szCs w:val="22"/>
          <w:lang w:eastAsia="en-US"/>
        </w:rPr>
        <w:t>,</w:t>
      </w:r>
      <w:r w:rsidR="008172D7" w:rsidRPr="00BB5A45">
        <w:rPr>
          <w:rFonts w:ascii="Arial" w:eastAsia="Calibri" w:hAnsi="Arial" w:cs="Arial"/>
          <w:sz w:val="22"/>
          <w:szCs w:val="22"/>
          <w:lang w:eastAsia="en-US"/>
        </w:rPr>
        <w:t xml:space="preserve"> </w:t>
      </w:r>
      <w:r w:rsidR="001C3260" w:rsidRPr="00BB5A45">
        <w:rPr>
          <w:rFonts w:ascii="Arial" w:eastAsia="Calibri" w:hAnsi="Arial" w:cs="Arial"/>
          <w:sz w:val="22"/>
          <w:szCs w:val="22"/>
          <w:lang w:eastAsia="en-US"/>
        </w:rPr>
        <w:t>en la mayoría de los casos</w:t>
      </w:r>
      <w:r w:rsidR="008172D7" w:rsidRPr="00BB5A45">
        <w:rPr>
          <w:rFonts w:ascii="Arial" w:eastAsia="Calibri" w:hAnsi="Arial" w:cs="Arial"/>
          <w:sz w:val="22"/>
          <w:szCs w:val="22"/>
          <w:lang w:eastAsia="en-US"/>
        </w:rPr>
        <w:t>,</w:t>
      </w:r>
      <w:r w:rsidR="001C3260" w:rsidRPr="00BB5A45">
        <w:rPr>
          <w:rFonts w:ascii="Arial" w:eastAsia="Calibri" w:hAnsi="Arial" w:cs="Arial"/>
          <w:sz w:val="22"/>
          <w:szCs w:val="22"/>
          <w:lang w:eastAsia="en-US"/>
        </w:rPr>
        <w:t xml:space="preserve"> respecto a las actividades a contratar</w:t>
      </w:r>
      <w:r w:rsidR="008172D7" w:rsidRPr="00BB5A45">
        <w:rPr>
          <w:rFonts w:ascii="Arial" w:eastAsia="Calibri" w:hAnsi="Arial" w:cs="Arial"/>
          <w:sz w:val="22"/>
          <w:szCs w:val="22"/>
          <w:lang w:eastAsia="en-US"/>
        </w:rPr>
        <w:t>,</w:t>
      </w:r>
      <w:r w:rsidR="001C3260" w:rsidRPr="00BB5A45">
        <w:rPr>
          <w:rFonts w:ascii="Arial" w:eastAsia="Calibri" w:hAnsi="Arial" w:cs="Arial"/>
          <w:sz w:val="22"/>
          <w:szCs w:val="22"/>
          <w:lang w:eastAsia="en-US"/>
        </w:rPr>
        <w:t xml:space="preserve"> se exige una «experiencia general» y una «experiencia específica»; sin embargo, frente a algunos proyectos no se exige la experiencia específica. Lo anterior, simplemente es un ejemplo de cómo incluso esta Agencia </w:t>
      </w:r>
      <w:r w:rsidR="008172D7" w:rsidRPr="00BB5A45">
        <w:rPr>
          <w:rFonts w:ascii="Arial" w:eastAsia="Calibri" w:hAnsi="Arial" w:cs="Arial"/>
          <w:sz w:val="22"/>
          <w:szCs w:val="22"/>
          <w:lang w:eastAsia="en-US"/>
        </w:rPr>
        <w:t xml:space="preserve">ha acudido a la práctica contractual de exigir la experiencia en tales </w:t>
      </w:r>
      <w:r w:rsidR="008172D7" w:rsidRPr="00BB5A45">
        <w:rPr>
          <w:rFonts w:ascii="Arial" w:eastAsia="Calibri" w:hAnsi="Arial" w:cs="Arial"/>
          <w:sz w:val="22"/>
          <w:szCs w:val="22"/>
          <w:lang w:eastAsia="en-US"/>
        </w:rPr>
        <w:lastRenderedPageBreak/>
        <w:t>condiciones; sin perjuicio de que en algunos caso debido a la complejidad técnica de algunos proyectos o su cuantía no se exija una experiencia específica.</w:t>
      </w:r>
    </w:p>
    <w:bookmarkEnd w:id="16"/>
    <w:bookmarkEnd w:id="7"/>
    <w:bookmarkEnd w:id="8"/>
    <w:bookmarkEnd w:id="1"/>
    <w:p w14:paraId="104BD8E5" w14:textId="77777777" w:rsidR="00237A66" w:rsidRPr="00BB5A45" w:rsidRDefault="00237A66" w:rsidP="00417118">
      <w:pPr>
        <w:tabs>
          <w:tab w:val="left" w:pos="709"/>
        </w:tabs>
        <w:spacing w:line="276" w:lineRule="auto"/>
        <w:jc w:val="both"/>
        <w:rPr>
          <w:rFonts w:ascii="Arial" w:eastAsia="Calibri" w:hAnsi="Arial" w:cs="Arial"/>
          <w:b/>
          <w:sz w:val="22"/>
          <w:szCs w:val="22"/>
          <w:lang w:val="es-ES"/>
        </w:rPr>
      </w:pPr>
    </w:p>
    <w:p w14:paraId="0B37DE35" w14:textId="3262B879" w:rsidR="008F1F27" w:rsidRPr="00BB5A45" w:rsidRDefault="008F1F27" w:rsidP="00417118">
      <w:pPr>
        <w:tabs>
          <w:tab w:val="left" w:pos="709"/>
        </w:tabs>
        <w:spacing w:line="276" w:lineRule="auto"/>
        <w:jc w:val="both"/>
        <w:rPr>
          <w:rFonts w:ascii="Arial" w:eastAsia="Calibri" w:hAnsi="Arial" w:cs="Arial"/>
          <w:b/>
          <w:sz w:val="22"/>
          <w:szCs w:val="22"/>
          <w:lang w:val="es-ES"/>
        </w:rPr>
      </w:pPr>
      <w:r w:rsidRPr="00BB5A45">
        <w:rPr>
          <w:rFonts w:ascii="Arial" w:eastAsia="Calibri" w:hAnsi="Arial" w:cs="Arial"/>
          <w:b/>
          <w:sz w:val="22"/>
          <w:szCs w:val="22"/>
          <w:lang w:val="es-ES"/>
        </w:rPr>
        <w:t>3. Respuesta</w:t>
      </w:r>
    </w:p>
    <w:p w14:paraId="46BB8CCC" w14:textId="1838A2E6" w:rsidR="00E25DCE" w:rsidRPr="00BB5A45" w:rsidRDefault="00EC0963" w:rsidP="00EC0963">
      <w:pPr>
        <w:pStyle w:val="NormalWeb"/>
        <w:ind w:left="709" w:right="709"/>
        <w:jc w:val="both"/>
        <w:rPr>
          <w:rFonts w:ascii="Arial" w:hAnsi="Arial" w:cs="Arial"/>
          <w:sz w:val="21"/>
          <w:szCs w:val="21"/>
        </w:rPr>
      </w:pPr>
      <w:r w:rsidRPr="00BB5A45">
        <w:rPr>
          <w:rFonts w:ascii="Arial" w:hAnsi="Arial" w:cs="Arial"/>
          <w:sz w:val="21"/>
          <w:szCs w:val="21"/>
          <w:lang w:val="es-ES"/>
        </w:rPr>
        <w:t xml:space="preserve">«[M]e gustaría conocer si es posible encontrar una definición o un concepto técnico por parte de Colombia compra eficiente con (sic) </w:t>
      </w:r>
      <w:proofErr w:type="spellStart"/>
      <w:r w:rsidRPr="00BB5A45">
        <w:rPr>
          <w:rFonts w:ascii="Arial" w:hAnsi="Arial" w:cs="Arial"/>
          <w:sz w:val="21"/>
          <w:szCs w:val="21"/>
          <w:lang w:val="es-ES"/>
        </w:rPr>
        <w:t>relacion</w:t>
      </w:r>
      <w:proofErr w:type="spellEnd"/>
      <w:r w:rsidRPr="00BB5A45">
        <w:rPr>
          <w:rFonts w:ascii="Arial" w:hAnsi="Arial" w:cs="Arial"/>
          <w:sz w:val="21"/>
          <w:szCs w:val="21"/>
          <w:lang w:val="es-ES"/>
        </w:rPr>
        <w:t xml:space="preserve"> al termino experiencia especifica.».</w:t>
      </w:r>
    </w:p>
    <w:p w14:paraId="689C9266" w14:textId="0DFCB221" w:rsidR="000027B6" w:rsidRPr="00BB5A45" w:rsidRDefault="00636966" w:rsidP="009175BF">
      <w:pPr>
        <w:spacing w:after="120" w:line="276" w:lineRule="auto"/>
        <w:jc w:val="both"/>
        <w:rPr>
          <w:rFonts w:ascii="Arial" w:eastAsia="Calibri" w:hAnsi="Arial" w:cs="Arial"/>
          <w:sz w:val="22"/>
          <w:szCs w:val="22"/>
          <w:lang w:eastAsia="en-US"/>
        </w:rPr>
      </w:pPr>
      <w:r w:rsidRPr="009175BF">
        <w:rPr>
          <w:rFonts w:ascii="Arial" w:eastAsia="Calibri" w:hAnsi="Arial" w:cs="Arial"/>
          <w:sz w:val="22"/>
          <w:szCs w:val="22"/>
          <w:lang w:eastAsia="en-US"/>
        </w:rPr>
        <w:t>Conforme a las referencias normativas</w:t>
      </w:r>
      <w:r w:rsidR="00271A32" w:rsidRPr="009175BF">
        <w:rPr>
          <w:rFonts w:ascii="Arial" w:eastAsia="Calibri" w:hAnsi="Arial" w:cs="Arial"/>
          <w:sz w:val="22"/>
          <w:szCs w:val="22"/>
          <w:lang w:eastAsia="en-US"/>
        </w:rPr>
        <w:t xml:space="preserve"> </w:t>
      </w:r>
      <w:r w:rsidR="003A35EB" w:rsidRPr="009175BF">
        <w:rPr>
          <w:rFonts w:ascii="Arial" w:eastAsia="Calibri" w:hAnsi="Arial" w:cs="Arial"/>
          <w:sz w:val="22"/>
          <w:szCs w:val="22"/>
          <w:lang w:eastAsia="en-US"/>
        </w:rPr>
        <w:t xml:space="preserve">y doctrinarias </w:t>
      </w:r>
      <w:r w:rsidRPr="009175BF">
        <w:rPr>
          <w:rFonts w:ascii="Arial" w:eastAsia="Calibri" w:hAnsi="Arial" w:cs="Arial"/>
          <w:sz w:val="22"/>
          <w:szCs w:val="22"/>
          <w:lang w:eastAsia="en-US"/>
        </w:rPr>
        <w:t xml:space="preserve">sobre la experiencia, analizadas </w:t>
      </w:r>
      <w:r w:rsidR="003A35EB" w:rsidRPr="009175BF">
        <w:rPr>
          <w:rFonts w:ascii="Arial" w:eastAsia="Calibri" w:hAnsi="Arial" w:cs="Arial"/>
          <w:sz w:val="22"/>
          <w:szCs w:val="22"/>
          <w:lang w:eastAsia="en-US"/>
        </w:rPr>
        <w:t>en desarrollo</w:t>
      </w:r>
      <w:r w:rsidRPr="009175BF">
        <w:rPr>
          <w:rFonts w:ascii="Arial" w:eastAsia="Calibri" w:hAnsi="Arial" w:cs="Arial"/>
          <w:sz w:val="22"/>
          <w:szCs w:val="22"/>
          <w:lang w:eastAsia="en-US"/>
        </w:rPr>
        <w:t xml:space="preserve"> del concepto, tales como el artículo 5 de la Ley 1150 de 2007, el artículo 2.2.1.1.1.5.3. del Decreto 1082 de 2015</w:t>
      </w:r>
      <w:r w:rsidR="003C5512" w:rsidRPr="00BB5A45">
        <w:rPr>
          <w:rFonts w:ascii="Arial" w:eastAsia="Calibri" w:hAnsi="Arial" w:cs="Arial"/>
          <w:sz w:val="22"/>
          <w:szCs w:val="22"/>
          <w:lang w:eastAsia="en-US"/>
        </w:rPr>
        <w:t xml:space="preserve"> y</w:t>
      </w:r>
      <w:r w:rsidRPr="009175BF">
        <w:rPr>
          <w:rFonts w:ascii="Arial" w:eastAsia="Calibri" w:hAnsi="Arial" w:cs="Arial"/>
          <w:sz w:val="22"/>
          <w:szCs w:val="22"/>
          <w:lang w:eastAsia="en-US"/>
        </w:rPr>
        <w:t xml:space="preserve"> el </w:t>
      </w:r>
      <w:bookmarkStart w:id="17" w:name="_Hlk109301466"/>
      <w:r w:rsidRPr="009175BF">
        <w:rPr>
          <w:rFonts w:ascii="Arial" w:eastAsia="Calibri" w:hAnsi="Arial" w:cs="Arial"/>
          <w:sz w:val="22"/>
          <w:szCs w:val="22"/>
          <w:lang w:eastAsia="en-US"/>
        </w:rPr>
        <w:t>«Manual para determinar y verificar los requisitos habilitantes en los procesos de contratación»</w:t>
      </w:r>
      <w:r w:rsidR="003A35EB" w:rsidRPr="009175BF">
        <w:rPr>
          <w:rFonts w:ascii="Arial" w:eastAsia="Calibri" w:hAnsi="Arial" w:cs="Arial"/>
          <w:sz w:val="22"/>
          <w:szCs w:val="22"/>
          <w:lang w:eastAsia="en-US"/>
        </w:rPr>
        <w:t>, se concluye que el ordenamiento jurídico no establece una noción de «experiencia específica».</w:t>
      </w:r>
      <w:r w:rsidR="000027B6" w:rsidRPr="009175BF">
        <w:rPr>
          <w:rFonts w:ascii="Arial" w:eastAsia="Calibri" w:hAnsi="Arial" w:cs="Arial"/>
          <w:sz w:val="22"/>
          <w:szCs w:val="22"/>
          <w:lang w:eastAsia="en-US"/>
        </w:rPr>
        <w:t xml:space="preserve"> </w:t>
      </w:r>
      <w:r w:rsidR="003C5512" w:rsidRPr="00BB5A45">
        <w:rPr>
          <w:rFonts w:ascii="Arial" w:eastAsia="Calibri" w:hAnsi="Arial" w:cs="Arial"/>
          <w:sz w:val="22"/>
          <w:szCs w:val="22"/>
          <w:lang w:eastAsia="en-US"/>
        </w:rPr>
        <w:t>Además, conviene</w:t>
      </w:r>
      <w:r w:rsidR="000027B6" w:rsidRPr="00BB5A45">
        <w:rPr>
          <w:rFonts w:ascii="Arial" w:eastAsia="Calibri" w:hAnsi="Arial" w:cs="Arial"/>
          <w:sz w:val="22"/>
          <w:szCs w:val="22"/>
          <w:lang w:eastAsia="en-US"/>
        </w:rPr>
        <w:t xml:space="preserve"> precisar que la experiencia tiene una doble funcionalidad en la contratación estatal, como «requisito habilitante» y, por otro lado, como «criterio de asignación de puntaje»</w:t>
      </w:r>
      <w:r w:rsidR="003C5512" w:rsidRPr="00BB5A45">
        <w:rPr>
          <w:rFonts w:ascii="Arial" w:eastAsia="Calibri" w:hAnsi="Arial" w:cs="Arial"/>
          <w:sz w:val="22"/>
          <w:szCs w:val="22"/>
          <w:lang w:eastAsia="en-US"/>
        </w:rPr>
        <w:t>,</w:t>
      </w:r>
      <w:r w:rsidR="000027B6" w:rsidRPr="00BB5A45">
        <w:rPr>
          <w:rFonts w:ascii="Arial" w:eastAsia="Calibri" w:hAnsi="Arial" w:cs="Arial"/>
          <w:sz w:val="22"/>
          <w:szCs w:val="22"/>
          <w:lang w:eastAsia="en-US"/>
        </w:rPr>
        <w:t xml:space="preserve"> en los procesos de selección de consultores. En todo caso, partiendo de un análisis funcional, se concluye que la noción de experiencia, tanto general como específica, atienden a un razonamiento eminentemente técnico, más que a uno jurídico, pese a las referencias realizadas a algunas normas que acuden al concepto de experiencia.</w:t>
      </w:r>
    </w:p>
    <w:p w14:paraId="59A93343" w14:textId="77777777" w:rsidR="000027B6" w:rsidRPr="00BB5A45" w:rsidRDefault="000027B6" w:rsidP="000027B6">
      <w:pPr>
        <w:spacing w:after="120" w:line="276" w:lineRule="auto"/>
        <w:ind w:firstLine="708"/>
        <w:jc w:val="both"/>
        <w:rPr>
          <w:rFonts w:ascii="Arial" w:eastAsia="Calibri" w:hAnsi="Arial" w:cs="Arial"/>
          <w:sz w:val="22"/>
          <w:szCs w:val="22"/>
          <w:lang w:eastAsia="en-US"/>
        </w:rPr>
      </w:pPr>
      <w:r w:rsidRPr="00BB5A45">
        <w:rPr>
          <w:rFonts w:ascii="Arial" w:eastAsia="Calibri" w:hAnsi="Arial" w:cs="Arial"/>
          <w:sz w:val="22"/>
          <w:szCs w:val="22"/>
          <w:lang w:eastAsia="en-US"/>
        </w:rPr>
        <w:t>Visto los aportes normativos y doctrinarios sobre la experiencia, más allá de lo explicado, atendiendo a la pregunta del peticionario, cabe señalar que en el ordenamiento jurídico no existe una definición concreta de «experiencia específica» en materia contractual. Este es un concepto abstracto que atiende, en la práctica, por un lado, a la discrecionalidad de las entidades estatales en la elaboración del pliego de condiciones, ya que la inclusión de una «experiencia específica» como requisito habilitante es potestativo de cada entidad estatal. Además, puede obedecer, por otro lado, a la acreditación de los proponentes como requisito habilitante, y en algunos casos posteriormente como factor de asignación de puntaje, en lo que tiene que ver con la selección de consultores. En síntesis, esta Agencia considera que la experiencia específica también es «[…] el conocimiento del proponente derivado de su participación previa en actividades iguales o similares a las previstas en el objeto del contrato»</w:t>
      </w:r>
      <w:r w:rsidRPr="00BB5A45">
        <w:rPr>
          <w:rStyle w:val="Refdenotaalpie"/>
          <w:rFonts w:ascii="Arial" w:eastAsia="Calibri" w:hAnsi="Arial" w:cs="Arial"/>
          <w:sz w:val="22"/>
          <w:szCs w:val="22"/>
          <w:lang w:eastAsia="en-US"/>
        </w:rPr>
        <w:footnoteReference w:id="7"/>
      </w:r>
      <w:r w:rsidRPr="00BB5A45">
        <w:rPr>
          <w:rFonts w:ascii="Arial" w:eastAsia="Calibri" w:hAnsi="Arial" w:cs="Arial"/>
          <w:sz w:val="22"/>
          <w:szCs w:val="22"/>
          <w:lang w:eastAsia="en-US"/>
        </w:rPr>
        <w:t>, pero cuya exigencia se realiza con un mayor grado de concreción y precisión respecto a un alcance más preciso de la experiencia del proponente.</w:t>
      </w:r>
    </w:p>
    <w:p w14:paraId="4B2073DF" w14:textId="027D452B" w:rsidR="000027B6" w:rsidRPr="00BB5A45" w:rsidRDefault="000027B6" w:rsidP="000027B6">
      <w:pPr>
        <w:spacing w:after="120" w:line="276" w:lineRule="auto"/>
        <w:ind w:firstLine="708"/>
        <w:jc w:val="both"/>
        <w:rPr>
          <w:rFonts w:ascii="Arial" w:eastAsia="Calibri" w:hAnsi="Arial" w:cs="Arial"/>
          <w:sz w:val="22"/>
          <w:szCs w:val="22"/>
          <w:lang w:eastAsia="en-US"/>
        </w:rPr>
      </w:pPr>
      <w:r w:rsidRPr="00BB5A45">
        <w:rPr>
          <w:rFonts w:ascii="Arial" w:eastAsia="Calibri" w:hAnsi="Arial" w:cs="Arial"/>
          <w:sz w:val="22"/>
          <w:szCs w:val="22"/>
          <w:lang w:eastAsia="en-US"/>
        </w:rPr>
        <w:t xml:space="preserve">En este sentido, se considera que la «experiencia específica» se origina en la práctica contractual, bajo el entendido de que algunas entidades estatales suelen exigir en sus pliegos de condiciones la acreditación de una «experiencia general» y una «experiencia </w:t>
      </w:r>
      <w:r w:rsidRPr="00BB5A45">
        <w:rPr>
          <w:rFonts w:ascii="Arial" w:eastAsia="Calibri" w:hAnsi="Arial" w:cs="Arial"/>
          <w:sz w:val="22"/>
          <w:szCs w:val="22"/>
          <w:lang w:eastAsia="en-US"/>
        </w:rPr>
        <w:lastRenderedPageBreak/>
        <w:t>específica». En este sentido, la experiencia general suele tener una exigencia menor en cuanto a su precisión, que permite una mayor posibilidad de acreditación por los proponentes; mientras que la específica suele incluirse para exigir que los oferentes demuestren un alcance más concreto respecto de su experiencia, que suele tener una relación más estrecha con el contrato a ejecutar o debido a la razonabilidad que encuentra la entidad de conocer que el proponente cuenta con la idoneidad para ejecutar algunas actividades concretas, que son especialmente relevantes para el proceso contractual. Sin embargo, también sería admisible que una entidad configure su pliego de condiciones sin acudir a una «experiencia específica»; sino estableciendo, por ejemplo, simplemente un requisito de experiencia que no se divida en general y específica. En tal sentido, son razonamientos de orden eminentemente técnicos los que justifican la inclusión de este requisito en los pliegos de condiciones.</w:t>
      </w:r>
    </w:p>
    <w:bookmarkEnd w:id="17"/>
    <w:p w14:paraId="18C9DD95" w14:textId="49631EFA" w:rsidR="00050559" w:rsidRPr="00BB5A45" w:rsidRDefault="00050559" w:rsidP="00B5766C">
      <w:pPr>
        <w:spacing w:line="276" w:lineRule="auto"/>
        <w:ind w:firstLine="708"/>
        <w:jc w:val="both"/>
        <w:rPr>
          <w:rFonts w:ascii="Arial" w:eastAsia="Calibri" w:hAnsi="Arial" w:cs="Arial"/>
          <w:sz w:val="22"/>
          <w:szCs w:val="22"/>
          <w:lang w:eastAsia="en-US"/>
        </w:rPr>
      </w:pPr>
      <w:r w:rsidRPr="00BB5A45">
        <w:rPr>
          <w:rFonts w:ascii="Arial" w:eastAsia="Calibri" w:hAnsi="Arial" w:cs="Arial"/>
          <w:sz w:val="22"/>
          <w:szCs w:val="22"/>
          <w:lang w:eastAsia="en-US"/>
        </w:rPr>
        <w:t>De igual forma, y con fundamento en</w:t>
      </w:r>
      <w:r w:rsidR="00B5766C" w:rsidRPr="00BB5A45">
        <w:rPr>
          <w:rFonts w:ascii="Arial" w:eastAsia="Calibri" w:hAnsi="Arial" w:cs="Arial"/>
          <w:sz w:val="22"/>
          <w:szCs w:val="22"/>
          <w:lang w:eastAsia="en-US"/>
        </w:rPr>
        <w:t xml:space="preserve"> el «Manual para determinar y verificar los requisitos habilitantes en los procesos de contratación», </w:t>
      </w:r>
      <w:r w:rsidR="00C22221" w:rsidRPr="00BB5A45">
        <w:rPr>
          <w:rFonts w:ascii="Arial" w:eastAsia="Calibri" w:hAnsi="Arial" w:cs="Arial"/>
          <w:sz w:val="22"/>
          <w:szCs w:val="22"/>
          <w:lang w:eastAsia="en-US"/>
        </w:rPr>
        <w:t xml:space="preserve">cabe señalar que </w:t>
      </w:r>
      <w:r w:rsidR="00B5766C" w:rsidRPr="00BB5A45">
        <w:rPr>
          <w:rFonts w:ascii="Arial" w:eastAsia="Calibri" w:hAnsi="Arial" w:cs="Arial"/>
          <w:sz w:val="22"/>
          <w:szCs w:val="22"/>
          <w:lang w:eastAsia="en-US"/>
        </w:rPr>
        <w:t>tanto la experiencia general como la espec</w:t>
      </w:r>
      <w:r w:rsidR="00C22221" w:rsidRPr="00BB5A45">
        <w:rPr>
          <w:rFonts w:ascii="Arial" w:eastAsia="Calibri" w:hAnsi="Arial" w:cs="Arial"/>
          <w:sz w:val="22"/>
          <w:szCs w:val="22"/>
          <w:lang w:eastAsia="en-US"/>
        </w:rPr>
        <w:t>í</w:t>
      </w:r>
      <w:r w:rsidR="00B5766C" w:rsidRPr="00BB5A45">
        <w:rPr>
          <w:rFonts w:ascii="Arial" w:eastAsia="Calibri" w:hAnsi="Arial" w:cs="Arial"/>
          <w:sz w:val="22"/>
          <w:szCs w:val="22"/>
          <w:lang w:eastAsia="en-US"/>
        </w:rPr>
        <w:t>fica debe</w:t>
      </w:r>
      <w:r w:rsidR="000027B6" w:rsidRPr="00BB5A45">
        <w:rPr>
          <w:rFonts w:ascii="Arial" w:eastAsia="Calibri" w:hAnsi="Arial" w:cs="Arial"/>
          <w:sz w:val="22"/>
          <w:szCs w:val="22"/>
          <w:lang w:eastAsia="en-US"/>
        </w:rPr>
        <w:t>n</w:t>
      </w:r>
      <w:r w:rsidR="00B5766C" w:rsidRPr="00BB5A45">
        <w:rPr>
          <w:rFonts w:ascii="Arial" w:eastAsia="Calibri" w:hAnsi="Arial" w:cs="Arial"/>
          <w:sz w:val="22"/>
          <w:szCs w:val="22"/>
          <w:lang w:eastAsia="en-US"/>
        </w:rPr>
        <w:t xml:space="preserve"> </w:t>
      </w:r>
      <w:r w:rsidR="000027B6" w:rsidRPr="00BB5A45">
        <w:rPr>
          <w:rFonts w:ascii="Arial" w:eastAsia="Calibri" w:hAnsi="Arial" w:cs="Arial"/>
          <w:sz w:val="22"/>
          <w:szCs w:val="22"/>
          <w:lang w:eastAsia="en-US"/>
        </w:rPr>
        <w:t>obedecer</w:t>
      </w:r>
      <w:r w:rsidR="00B5766C" w:rsidRPr="00BB5A45">
        <w:rPr>
          <w:rFonts w:ascii="Arial" w:eastAsia="Calibri" w:hAnsi="Arial" w:cs="Arial"/>
          <w:sz w:val="22"/>
          <w:szCs w:val="22"/>
          <w:lang w:eastAsia="en-US"/>
        </w:rPr>
        <w:t xml:space="preserve"> a criterios de proporcionalidad y pertinencia, así pues </w:t>
      </w:r>
      <w:r w:rsidRPr="00BB5A45">
        <w:rPr>
          <w:rFonts w:ascii="Arial" w:eastAsia="Calibri" w:hAnsi="Arial" w:cs="Arial"/>
          <w:sz w:val="22"/>
          <w:szCs w:val="22"/>
          <w:lang w:eastAsia="en-US"/>
        </w:rPr>
        <w:t>«La experiencia requerida en un Proceso de Contratación debe ser adecuada y proporcional a la naturaleza del contrato y su valor. La experiencia es adecuada cuando es afín al tipo de actividades previstas en el objeto del contrato a celebrar. […] La experiencia es proporcional cuando tiene relación con el alcance, la cuantía y complejidad del contrato a celebrar»</w:t>
      </w:r>
      <w:r w:rsidR="000027B6" w:rsidRPr="00BB5A45">
        <w:rPr>
          <w:rStyle w:val="Refdenotaalpie"/>
          <w:rFonts w:ascii="Arial" w:eastAsia="Calibri" w:hAnsi="Arial" w:cs="Arial"/>
          <w:sz w:val="22"/>
          <w:szCs w:val="22"/>
          <w:lang w:eastAsia="en-US"/>
        </w:rPr>
        <w:footnoteReference w:id="8"/>
      </w:r>
      <w:r w:rsidR="000027B6" w:rsidRPr="00BB5A45">
        <w:rPr>
          <w:rFonts w:ascii="Arial" w:eastAsia="Calibri" w:hAnsi="Arial" w:cs="Arial"/>
          <w:sz w:val="22"/>
          <w:szCs w:val="22"/>
          <w:lang w:eastAsia="en-US"/>
        </w:rPr>
        <w:t>.</w:t>
      </w:r>
    </w:p>
    <w:p w14:paraId="2E4D7572" w14:textId="77777777" w:rsidR="00CC410C" w:rsidRPr="00BB5A45" w:rsidRDefault="00CC410C" w:rsidP="0003011E">
      <w:pPr>
        <w:spacing w:after="120" w:line="276" w:lineRule="auto"/>
        <w:jc w:val="both"/>
        <w:rPr>
          <w:rFonts w:ascii="Arial" w:hAnsi="Arial" w:cs="Arial"/>
          <w:sz w:val="22"/>
          <w:szCs w:val="22"/>
        </w:rPr>
      </w:pPr>
    </w:p>
    <w:p w14:paraId="5F50678A" w14:textId="77777777" w:rsidR="008F1F27" w:rsidRPr="00BB5A45" w:rsidRDefault="008F1F27" w:rsidP="008F1F27">
      <w:pPr>
        <w:spacing w:line="276" w:lineRule="auto"/>
        <w:jc w:val="both"/>
        <w:rPr>
          <w:rFonts w:ascii="Arial" w:eastAsia="Calibri" w:hAnsi="Arial" w:cs="Arial"/>
          <w:sz w:val="22"/>
          <w:szCs w:val="22"/>
          <w:lang w:val="es-ES"/>
        </w:rPr>
      </w:pPr>
      <w:r w:rsidRPr="00BB5A45">
        <w:rPr>
          <w:rFonts w:ascii="Arial" w:eastAsia="Calibri" w:hAnsi="Arial" w:cs="Arial"/>
          <w:sz w:val="22"/>
          <w:szCs w:val="22"/>
          <w:lang w:val="es-ES"/>
        </w:rPr>
        <w:t>Este concepto tiene el alcance previsto en el artículo 28 del Código de Procedimiento Administrativo y de lo Contencioso Administrativo.</w:t>
      </w:r>
    </w:p>
    <w:p w14:paraId="2AA109C0" w14:textId="77777777" w:rsidR="008F1F27" w:rsidRPr="00BB5A45" w:rsidRDefault="008F1F27" w:rsidP="008F1F27">
      <w:pPr>
        <w:jc w:val="both"/>
        <w:rPr>
          <w:rFonts w:ascii="Arial" w:eastAsia="Calibri" w:hAnsi="Arial" w:cs="Arial"/>
          <w:sz w:val="22"/>
          <w:szCs w:val="22"/>
          <w:lang w:val="es-ES"/>
        </w:rPr>
      </w:pPr>
    </w:p>
    <w:p w14:paraId="7EFFE4CF" w14:textId="77777777" w:rsidR="008F1F27" w:rsidRPr="00BB5A45" w:rsidRDefault="008F1F27" w:rsidP="008F1F27">
      <w:pPr>
        <w:jc w:val="both"/>
        <w:rPr>
          <w:rFonts w:ascii="Arial" w:hAnsi="Arial" w:cs="Arial"/>
          <w:sz w:val="22"/>
          <w:szCs w:val="22"/>
          <w:lang w:val="es-ES" w:eastAsia="es-CO"/>
        </w:rPr>
      </w:pPr>
      <w:r w:rsidRPr="00BB5A45">
        <w:rPr>
          <w:rFonts w:ascii="Arial" w:hAnsi="Arial" w:cs="Arial"/>
          <w:sz w:val="22"/>
          <w:szCs w:val="22"/>
          <w:lang w:val="es-ES" w:eastAsia="es-CO"/>
        </w:rPr>
        <w:t>Atentamente,</w:t>
      </w:r>
    </w:p>
    <w:p w14:paraId="39F9E624" w14:textId="73A526BC" w:rsidR="008F1F27" w:rsidRPr="00BB5A45" w:rsidRDefault="008F1F27" w:rsidP="60CF8755">
      <w:pPr>
        <w:jc w:val="center"/>
        <w:rPr>
          <w:lang w:val="es-ES" w:eastAsia="es-CO"/>
        </w:rPr>
      </w:pPr>
      <w:r w:rsidRPr="00BB5A45">
        <w:br/>
      </w:r>
      <w:r w:rsidR="00E76591" w:rsidRPr="00754BE1">
        <w:rPr>
          <w:noProof/>
          <w:lang w:eastAsia="es-ES_tradnl"/>
        </w:rPr>
        <w:drawing>
          <wp:inline distT="0" distB="0" distL="0" distR="0" wp14:anchorId="21CBEEF6" wp14:editId="279B262A">
            <wp:extent cx="2533650" cy="990600"/>
            <wp:effectExtent l="0" t="0" r="0" b="0"/>
            <wp:docPr id="968045507" name="Imagen 96804550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33650" cy="990600"/>
                    </a:xfrm>
                    <a:prstGeom prst="rect">
                      <a:avLst/>
                    </a:prstGeom>
                  </pic:spPr>
                </pic:pic>
              </a:graphicData>
            </a:graphic>
          </wp:inline>
        </w:drawing>
      </w:r>
    </w:p>
    <w:p w14:paraId="42FEC02E" w14:textId="77777777" w:rsidR="008F1F27" w:rsidRPr="00BB5A45" w:rsidRDefault="008F1F27" w:rsidP="008F1F27">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F1F27" w:rsidRPr="00BB5A45" w14:paraId="0ADD22D4" w14:textId="77777777" w:rsidTr="00B10244">
        <w:trPr>
          <w:trHeight w:val="315"/>
        </w:trPr>
        <w:tc>
          <w:tcPr>
            <w:tcW w:w="812" w:type="dxa"/>
            <w:vAlign w:val="center"/>
            <w:hideMark/>
          </w:tcPr>
          <w:p w14:paraId="421F7B07" w14:textId="77777777" w:rsidR="008F1F27" w:rsidRPr="00BB5A45" w:rsidRDefault="008F1F27" w:rsidP="00B10244">
            <w:pPr>
              <w:rPr>
                <w:rFonts w:ascii="Arial" w:hAnsi="Arial" w:cs="Arial"/>
                <w:sz w:val="16"/>
                <w:szCs w:val="16"/>
                <w:lang w:val="es-ES" w:eastAsia="es-ES"/>
              </w:rPr>
            </w:pPr>
            <w:r w:rsidRPr="00BB5A45">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4A45E57F" w14:textId="77777777" w:rsidR="00226F37" w:rsidRPr="00BB5A45" w:rsidRDefault="00226F37" w:rsidP="00226F37">
            <w:pPr>
              <w:rPr>
                <w:rFonts w:ascii="Arial" w:hAnsi="Arial" w:cs="Arial"/>
                <w:sz w:val="16"/>
                <w:szCs w:val="16"/>
                <w:lang w:val="es-ES" w:eastAsia="es-ES"/>
              </w:rPr>
            </w:pPr>
            <w:r w:rsidRPr="00BB5A45">
              <w:rPr>
                <w:rFonts w:ascii="Arial" w:hAnsi="Arial" w:cs="Arial"/>
                <w:sz w:val="16"/>
                <w:szCs w:val="16"/>
                <w:lang w:val="es-ES" w:eastAsia="es-ES"/>
              </w:rPr>
              <w:t>Gabriel Alejandro Murcia Taboada</w:t>
            </w:r>
          </w:p>
          <w:p w14:paraId="6E4291B8" w14:textId="768206AF" w:rsidR="008F1F27" w:rsidRPr="00BB5A45" w:rsidRDefault="00226F37" w:rsidP="00226F37">
            <w:pPr>
              <w:rPr>
                <w:rFonts w:ascii="Arial" w:hAnsi="Arial" w:cs="Arial"/>
                <w:sz w:val="16"/>
                <w:szCs w:val="16"/>
                <w:lang w:val="es-ES" w:eastAsia="es-ES"/>
              </w:rPr>
            </w:pPr>
            <w:r w:rsidRPr="00BB5A45">
              <w:rPr>
                <w:rFonts w:ascii="Arial" w:hAnsi="Arial" w:cs="Arial"/>
                <w:sz w:val="16"/>
                <w:szCs w:val="16"/>
                <w:lang w:val="es-ES" w:eastAsia="es-ES"/>
              </w:rPr>
              <w:t>Contratista de la Subdirección de Gestión Contractual</w:t>
            </w:r>
          </w:p>
        </w:tc>
      </w:tr>
      <w:tr w:rsidR="008F1F27" w:rsidRPr="00BB5A45" w14:paraId="157EA2CB" w14:textId="77777777" w:rsidTr="00B10244">
        <w:trPr>
          <w:trHeight w:val="330"/>
        </w:trPr>
        <w:tc>
          <w:tcPr>
            <w:tcW w:w="812" w:type="dxa"/>
            <w:vAlign w:val="center"/>
            <w:hideMark/>
          </w:tcPr>
          <w:p w14:paraId="608DD08B" w14:textId="77777777" w:rsidR="008F1F27" w:rsidRPr="00BB5A45" w:rsidRDefault="008F1F27" w:rsidP="00B10244">
            <w:pPr>
              <w:rPr>
                <w:rFonts w:ascii="Arial" w:hAnsi="Arial" w:cs="Arial"/>
                <w:sz w:val="16"/>
                <w:szCs w:val="16"/>
                <w:lang w:val="es-ES" w:eastAsia="es-ES"/>
              </w:rPr>
            </w:pPr>
            <w:r w:rsidRPr="00BB5A45">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7DEA66" w14:textId="77777777" w:rsidR="00226F37" w:rsidRPr="00BB5A45" w:rsidRDefault="00226F37" w:rsidP="00226F37">
            <w:pPr>
              <w:rPr>
                <w:rFonts w:ascii="Arial" w:hAnsi="Arial" w:cs="Arial"/>
                <w:sz w:val="16"/>
                <w:szCs w:val="16"/>
                <w:lang w:val="es-ES" w:eastAsia="es-ES"/>
              </w:rPr>
            </w:pPr>
            <w:r w:rsidRPr="00BB5A45">
              <w:rPr>
                <w:rFonts w:ascii="Arial" w:hAnsi="Arial" w:cs="Arial"/>
                <w:sz w:val="16"/>
                <w:szCs w:val="16"/>
                <w:lang w:val="es-ES" w:eastAsia="es-ES"/>
              </w:rPr>
              <w:t>Sebastián Ramírez Grisales</w:t>
            </w:r>
          </w:p>
          <w:p w14:paraId="287116A6" w14:textId="35963035" w:rsidR="008F1F27" w:rsidRPr="00BB5A45" w:rsidRDefault="00226F37" w:rsidP="00226F37">
            <w:pPr>
              <w:rPr>
                <w:rFonts w:ascii="Arial" w:hAnsi="Arial" w:cs="Arial"/>
                <w:sz w:val="16"/>
                <w:szCs w:val="16"/>
                <w:lang w:val="es-ES" w:eastAsia="es-ES"/>
              </w:rPr>
            </w:pPr>
            <w:r w:rsidRPr="00BB5A45">
              <w:rPr>
                <w:rFonts w:ascii="Arial" w:hAnsi="Arial" w:cs="Arial"/>
                <w:sz w:val="16"/>
                <w:szCs w:val="16"/>
                <w:lang w:val="es-ES" w:eastAsia="es-ES"/>
              </w:rPr>
              <w:t>Contratista de la Subdirección de Gestión Contractual</w:t>
            </w:r>
          </w:p>
        </w:tc>
      </w:tr>
      <w:tr w:rsidR="008F1F27" w:rsidRPr="0008465D" w14:paraId="56EFC3BD" w14:textId="77777777" w:rsidTr="00B10244">
        <w:trPr>
          <w:trHeight w:val="300"/>
        </w:trPr>
        <w:tc>
          <w:tcPr>
            <w:tcW w:w="812" w:type="dxa"/>
            <w:vAlign w:val="center"/>
            <w:hideMark/>
          </w:tcPr>
          <w:p w14:paraId="3637F9F9" w14:textId="77777777" w:rsidR="008F1F27" w:rsidRPr="00BB5A45" w:rsidRDefault="008F1F27" w:rsidP="00B10244">
            <w:pPr>
              <w:rPr>
                <w:rFonts w:ascii="Arial" w:hAnsi="Arial" w:cs="Arial"/>
                <w:sz w:val="16"/>
                <w:szCs w:val="16"/>
                <w:lang w:val="es-ES" w:eastAsia="es-ES"/>
              </w:rPr>
            </w:pPr>
            <w:r w:rsidRPr="00BB5A45">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01B705F" w14:textId="77777777" w:rsidR="00226F37" w:rsidRPr="00BB5A45" w:rsidRDefault="00226F37" w:rsidP="00226F37">
            <w:pPr>
              <w:rPr>
                <w:rFonts w:ascii="Arial" w:hAnsi="Arial" w:cs="Arial"/>
                <w:sz w:val="16"/>
                <w:szCs w:val="16"/>
                <w:lang w:val="es-ES" w:eastAsia="es-ES"/>
              </w:rPr>
            </w:pPr>
            <w:r w:rsidRPr="00BB5A45">
              <w:rPr>
                <w:rFonts w:ascii="Arial" w:hAnsi="Arial" w:cs="Arial"/>
                <w:sz w:val="16"/>
                <w:szCs w:val="16"/>
                <w:lang w:val="es-ES" w:eastAsia="es-ES"/>
              </w:rPr>
              <w:t>Juan David Marín López</w:t>
            </w:r>
          </w:p>
          <w:p w14:paraId="180D728A" w14:textId="18F69660" w:rsidR="008F1F27" w:rsidRPr="0008465D" w:rsidRDefault="00226F37" w:rsidP="00226F37">
            <w:pPr>
              <w:rPr>
                <w:rFonts w:ascii="Arial" w:hAnsi="Arial" w:cs="Arial"/>
                <w:sz w:val="16"/>
                <w:szCs w:val="16"/>
                <w:lang w:val="es-ES" w:eastAsia="es-ES"/>
              </w:rPr>
            </w:pPr>
            <w:r w:rsidRPr="00BB5A45">
              <w:rPr>
                <w:rFonts w:ascii="Arial" w:hAnsi="Arial" w:cs="Arial"/>
                <w:sz w:val="16"/>
                <w:szCs w:val="16"/>
                <w:lang w:val="es-ES" w:eastAsia="es-ES"/>
              </w:rPr>
              <w:t>Subdirector de Gestión Contractual (E)</w:t>
            </w:r>
            <w:r w:rsidR="001E202D">
              <w:rPr>
                <w:rFonts w:ascii="Arial" w:hAnsi="Arial" w:cs="Arial"/>
                <w:sz w:val="16"/>
                <w:szCs w:val="16"/>
                <w:lang w:val="es-ES" w:eastAsia="es-ES"/>
              </w:rPr>
              <w:t xml:space="preserve"> </w:t>
            </w:r>
          </w:p>
        </w:tc>
      </w:tr>
    </w:tbl>
    <w:p w14:paraId="50A69111" w14:textId="77777777" w:rsidR="000B2F93" w:rsidRDefault="000B2F93" w:rsidP="008F1F27">
      <w:pPr>
        <w:spacing w:line="276" w:lineRule="auto"/>
      </w:pPr>
    </w:p>
    <w:sectPr w:rsidR="000B2F93" w:rsidSect="007F1895">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B100" w14:textId="77777777" w:rsidR="00611918" w:rsidRDefault="00611918" w:rsidP="000B2F93">
      <w:r>
        <w:separator/>
      </w:r>
    </w:p>
  </w:endnote>
  <w:endnote w:type="continuationSeparator" w:id="0">
    <w:p w14:paraId="455C3925" w14:textId="77777777" w:rsidR="00611918" w:rsidRDefault="00611918" w:rsidP="000B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7096" w14:textId="77777777" w:rsidR="00387886" w:rsidRDefault="00564C0E" w:rsidP="007F1895">
    <w:pPr>
      <w:pStyle w:val="Sinespaciado"/>
      <w:jc w:val="right"/>
      <w:rPr>
        <w:rFonts w:ascii="Arial" w:hAnsi="Arial" w:cs="Arial"/>
        <w:sz w:val="18"/>
        <w:szCs w:val="18"/>
      </w:rPr>
    </w:pPr>
  </w:p>
  <w:p w14:paraId="6B8912A4" w14:textId="77777777" w:rsidR="00387886" w:rsidRDefault="00564C0E" w:rsidP="007F1895">
    <w:pPr>
      <w:pStyle w:val="Sinespaciado"/>
      <w:jc w:val="right"/>
      <w:rPr>
        <w:rFonts w:ascii="Arial" w:hAnsi="Arial" w:cs="Arial"/>
        <w:sz w:val="18"/>
        <w:szCs w:val="18"/>
      </w:rPr>
    </w:pPr>
  </w:p>
  <w:p w14:paraId="049D09DA" w14:textId="77777777" w:rsidR="00387886" w:rsidRPr="008217B7" w:rsidRDefault="007C2EF0"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178FB5CE" w14:textId="77777777" w:rsidR="00387886" w:rsidRDefault="007C2EF0" w:rsidP="007F1895">
    <w:pPr>
      <w:pStyle w:val="Piedepgina"/>
      <w:jc w:val="center"/>
      <w:rPr>
        <w:lang w:val="es-ES"/>
      </w:rPr>
    </w:pPr>
    <w:r>
      <w:rPr>
        <w:noProof/>
      </w:rPr>
      <w:drawing>
        <wp:inline distT="0" distB="0" distL="0" distR="0" wp14:anchorId="231BB9A0" wp14:editId="79ACFD46">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F3E6FDB" w14:textId="77777777" w:rsidR="00387886" w:rsidRPr="00E756AC" w:rsidRDefault="00564C0E" w:rsidP="007F1895">
    <w:pPr>
      <w:pStyle w:val="Piedepgina"/>
      <w:jc w:val="center"/>
      <w:rPr>
        <w:sz w:val="18"/>
        <w:szCs w:val="18"/>
        <w:lang w:val="es-ES"/>
      </w:rPr>
    </w:pPr>
  </w:p>
  <w:p w14:paraId="19562477" w14:textId="77777777" w:rsidR="00387886" w:rsidRPr="00E756AC" w:rsidRDefault="00564C0E"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34A9" w14:textId="77777777" w:rsidR="00611918" w:rsidRDefault="00611918" w:rsidP="000B2F93">
      <w:r>
        <w:separator/>
      </w:r>
    </w:p>
  </w:footnote>
  <w:footnote w:type="continuationSeparator" w:id="0">
    <w:p w14:paraId="4598A88D" w14:textId="77777777" w:rsidR="00611918" w:rsidRDefault="00611918" w:rsidP="000B2F93">
      <w:r>
        <w:continuationSeparator/>
      </w:r>
    </w:p>
  </w:footnote>
  <w:footnote w:id="1">
    <w:p w14:paraId="15354363" w14:textId="77777777" w:rsidR="00A8451F" w:rsidRPr="009175BF" w:rsidRDefault="00A8451F" w:rsidP="009175BF">
      <w:pPr>
        <w:pStyle w:val="NormalWeb"/>
        <w:spacing w:before="0" w:beforeAutospacing="0" w:after="0" w:afterAutospacing="0"/>
        <w:ind w:firstLine="709"/>
        <w:jc w:val="both"/>
        <w:rPr>
          <w:rFonts w:ascii="Arial" w:hAnsi="Arial" w:cs="Arial"/>
          <w:sz w:val="19"/>
          <w:szCs w:val="19"/>
        </w:rPr>
      </w:pPr>
      <w:r w:rsidRPr="009175BF">
        <w:rPr>
          <w:rStyle w:val="Refdenotaalpie"/>
          <w:rFonts w:ascii="Arial" w:hAnsi="Arial" w:cs="Arial"/>
          <w:sz w:val="19"/>
          <w:szCs w:val="19"/>
        </w:rPr>
        <w:footnoteRef/>
      </w:r>
      <w:r w:rsidRPr="009175BF">
        <w:rPr>
          <w:rFonts w:ascii="Arial" w:hAnsi="Arial" w:cs="Arial"/>
          <w:sz w:val="19"/>
          <w:szCs w:val="19"/>
        </w:rPr>
        <w:t xml:space="preserve"> </w:t>
      </w:r>
      <w:r w:rsidRPr="009175BF">
        <w:rPr>
          <w:rFonts w:ascii="Arial" w:hAnsi="Arial" w:cs="Arial"/>
          <w:sz w:val="19"/>
          <w:szCs w:val="19"/>
          <w:lang w:val="es-ES"/>
        </w:rPr>
        <w:t>“</w:t>
      </w:r>
      <w:r w:rsidRPr="009175BF">
        <w:rPr>
          <w:rFonts w:ascii="Arial" w:hAnsi="Arial" w:cs="Arial"/>
          <w:sz w:val="19"/>
          <w:szCs w:val="19"/>
        </w:rPr>
        <w:t xml:space="preserve">Para poder participar en los procesos de selección de los contratos de obra, la capacidad residual del proponente o K de contratación deberá ser igual o superior al que la entidad haya establecido para el efecto en los pliegos de condiciones. </w:t>
      </w:r>
    </w:p>
    <w:p w14:paraId="3766E6CF" w14:textId="77777777" w:rsidR="00A8451F" w:rsidRPr="009175BF" w:rsidRDefault="00A8451F" w:rsidP="009175BF">
      <w:pPr>
        <w:pStyle w:val="NormalWeb"/>
        <w:spacing w:before="0" w:beforeAutospacing="0" w:after="0" w:afterAutospacing="0"/>
        <w:ind w:firstLine="709"/>
        <w:jc w:val="both"/>
        <w:rPr>
          <w:rFonts w:ascii="Arial" w:hAnsi="Arial" w:cs="Arial"/>
          <w:sz w:val="19"/>
          <w:szCs w:val="19"/>
        </w:rPr>
      </w:pPr>
    </w:p>
    <w:p w14:paraId="01B175BC" w14:textId="77777777" w:rsidR="00A8451F" w:rsidRPr="009175BF" w:rsidRDefault="00A8451F" w:rsidP="00A0454F">
      <w:pPr>
        <w:ind w:firstLine="709"/>
        <w:jc w:val="both"/>
        <w:rPr>
          <w:rFonts w:ascii="Arial" w:hAnsi="Arial" w:cs="Arial"/>
          <w:sz w:val="19"/>
          <w:szCs w:val="19"/>
        </w:rPr>
      </w:pPr>
      <w:r w:rsidRPr="009175BF">
        <w:rPr>
          <w:rFonts w:ascii="Arial" w:hAnsi="Arial" w:cs="Arial"/>
          <w:sz w:val="19"/>
          <w:szCs w:val="19"/>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footnote>
  <w:footnote w:id="2">
    <w:p w14:paraId="0FFE5B4E" w14:textId="77777777" w:rsidR="00A8451F" w:rsidRPr="009175BF" w:rsidRDefault="00A8451F" w:rsidP="009175BF">
      <w:pPr>
        <w:pStyle w:val="NormalWeb"/>
        <w:spacing w:before="0" w:beforeAutospacing="0" w:after="0" w:afterAutospacing="0"/>
        <w:ind w:firstLine="709"/>
        <w:jc w:val="both"/>
        <w:rPr>
          <w:rFonts w:ascii="Arial" w:hAnsi="Arial" w:cs="Arial"/>
          <w:sz w:val="19"/>
          <w:szCs w:val="19"/>
          <w:lang w:val="es-ES"/>
        </w:rPr>
      </w:pPr>
      <w:r w:rsidRPr="009175BF">
        <w:rPr>
          <w:rStyle w:val="Refdenotaalpie"/>
          <w:rFonts w:ascii="Arial" w:hAnsi="Arial" w:cs="Arial"/>
          <w:sz w:val="19"/>
          <w:szCs w:val="19"/>
        </w:rPr>
        <w:footnoteRef/>
      </w:r>
      <w:r w:rsidRPr="009175BF">
        <w:rPr>
          <w:rStyle w:val="Refdenotaalpie"/>
          <w:rFonts w:ascii="Arial" w:hAnsi="Arial" w:cs="Arial"/>
          <w:sz w:val="19"/>
          <w:szCs w:val="19"/>
        </w:rPr>
        <w:t xml:space="preserve"> «</w:t>
      </w:r>
      <w:r w:rsidRPr="009175BF">
        <w:rPr>
          <w:rFonts w:ascii="Arial" w:hAnsi="Arial" w:cs="Arial"/>
          <w:sz w:val="19"/>
          <w:szCs w:val="19"/>
          <w:lang w:val="es-ES"/>
        </w:rPr>
        <w:t>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2C01870C" w14:textId="77777777" w:rsidR="00A8451F" w:rsidRPr="009175BF" w:rsidRDefault="00A8451F" w:rsidP="009175BF">
      <w:pPr>
        <w:pStyle w:val="NormalWeb"/>
        <w:spacing w:before="0" w:beforeAutospacing="0" w:after="0" w:afterAutospacing="0"/>
        <w:ind w:firstLine="709"/>
        <w:jc w:val="both"/>
        <w:rPr>
          <w:rFonts w:ascii="Arial" w:hAnsi="Arial" w:cs="Arial"/>
          <w:sz w:val="19"/>
          <w:szCs w:val="19"/>
          <w:lang w:val="es-ES"/>
        </w:rPr>
      </w:pPr>
      <w:r w:rsidRPr="009175BF">
        <w:rPr>
          <w:rFonts w:ascii="Arial" w:hAnsi="Arial" w:cs="Arial"/>
          <w:sz w:val="19"/>
          <w:szCs w:val="19"/>
          <w:lang w:val="es-ES"/>
        </w:rPr>
        <w:t>»Parágrafo Transitorio. </w:t>
      </w:r>
      <w:hyperlink r:id="rId1" w:tgtFrame="_blank" w:history="1"/>
      <w:r w:rsidRPr="009175BF">
        <w:rPr>
          <w:rFonts w:ascii="Arial" w:hAnsi="Arial" w:cs="Arial"/>
          <w:sz w:val="19"/>
          <w:szCs w:val="19"/>
          <w:lang w:val="es-ES"/>
        </w:rPr>
        <w:t>De conformidad con los parágrafos transitorios de los artículos 2.2.1.1.1.5.2. y 2.2.1.1.1.5.6., yen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51A69B52" w14:textId="77777777" w:rsidR="00A8451F" w:rsidRPr="009175BF" w:rsidRDefault="00A8451F" w:rsidP="009175BF">
      <w:pPr>
        <w:pStyle w:val="NormalWeb"/>
        <w:spacing w:before="0" w:beforeAutospacing="0" w:after="0" w:afterAutospacing="0"/>
        <w:ind w:firstLine="709"/>
        <w:jc w:val="both"/>
        <w:rPr>
          <w:rFonts w:ascii="Arial" w:hAnsi="Arial" w:cs="Arial"/>
          <w:sz w:val="19"/>
          <w:szCs w:val="19"/>
          <w:lang w:val="es-ES"/>
        </w:rPr>
      </w:pPr>
      <w:r w:rsidRPr="009175BF">
        <w:rPr>
          <w:rFonts w:ascii="Arial" w:hAnsi="Arial" w:cs="Arial"/>
          <w:sz w:val="19"/>
          <w:szCs w:val="19"/>
          <w:lang w:val="es-ES"/>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índicadores, teniendo en cuenta el mejor año fiscal que se refleje en el regístro de cada proponente​».</w:t>
      </w:r>
    </w:p>
    <w:p w14:paraId="7FA168F5" w14:textId="77777777" w:rsidR="00A8451F" w:rsidRPr="009175BF" w:rsidRDefault="00A8451F" w:rsidP="009175BF">
      <w:pPr>
        <w:pStyle w:val="NormalWeb"/>
        <w:spacing w:before="0" w:beforeAutospacing="0" w:after="0" w:afterAutospacing="0"/>
        <w:ind w:firstLine="709"/>
        <w:jc w:val="both"/>
        <w:rPr>
          <w:rStyle w:val="Refdenotaalpie"/>
          <w:rFonts w:ascii="Arial" w:hAnsi="Arial" w:cs="Arial"/>
          <w:sz w:val="19"/>
          <w:szCs w:val="19"/>
        </w:rPr>
      </w:pPr>
    </w:p>
  </w:footnote>
  <w:footnote w:id="3">
    <w:p w14:paraId="1504AF70" w14:textId="593A7F2F" w:rsidR="009140F3" w:rsidRPr="009175BF" w:rsidRDefault="009140F3" w:rsidP="009175BF">
      <w:pPr>
        <w:pStyle w:val="Textonotapie"/>
        <w:ind w:firstLine="708"/>
        <w:jc w:val="both"/>
        <w:rPr>
          <w:rFonts w:ascii="Arial" w:hAnsi="Arial" w:cs="Arial"/>
          <w:sz w:val="19"/>
          <w:szCs w:val="19"/>
          <w:lang w:val="es-CO"/>
        </w:rPr>
      </w:pPr>
      <w:r w:rsidRPr="009175BF">
        <w:rPr>
          <w:rStyle w:val="Refdenotaalpie"/>
          <w:rFonts w:ascii="Arial" w:hAnsi="Arial" w:cs="Arial"/>
          <w:sz w:val="19"/>
          <w:szCs w:val="19"/>
        </w:rPr>
        <w:footnoteRef/>
      </w:r>
      <w:r w:rsidRPr="009175BF">
        <w:rPr>
          <w:rFonts w:ascii="Arial" w:hAnsi="Arial" w:cs="Arial"/>
          <w:sz w:val="19"/>
          <w:szCs w:val="19"/>
        </w:rPr>
        <w:t xml:space="preserve"> «Artículo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footnote>
  <w:footnote w:id="4">
    <w:p w14:paraId="41AF861D" w14:textId="06367911" w:rsidR="00E546D7" w:rsidRPr="00A0454F" w:rsidRDefault="00E546D7" w:rsidP="00A0454F">
      <w:pPr>
        <w:pStyle w:val="Textonotapie"/>
        <w:ind w:firstLine="708"/>
        <w:jc w:val="both"/>
        <w:rPr>
          <w:rFonts w:ascii="Arial" w:hAnsi="Arial" w:cs="Arial"/>
          <w:sz w:val="19"/>
          <w:szCs w:val="19"/>
          <w:lang w:val="es-CO"/>
        </w:rPr>
      </w:pPr>
      <w:r w:rsidRPr="00A0454F">
        <w:rPr>
          <w:rStyle w:val="Refdenotaalpie"/>
          <w:rFonts w:ascii="Arial" w:hAnsi="Arial" w:cs="Arial"/>
          <w:sz w:val="19"/>
          <w:szCs w:val="19"/>
        </w:rPr>
        <w:footnoteRef/>
      </w:r>
      <w:r w:rsidRPr="00A0454F">
        <w:rPr>
          <w:rFonts w:ascii="Arial" w:hAnsi="Arial" w:cs="Arial"/>
          <w:sz w:val="19"/>
          <w:szCs w:val="19"/>
        </w:rPr>
        <w:t xml:space="preserve"> PALACIO GÓMEZ, Aura Sofía. Requisitos habilitantes en el «pliego de condiciones»: a propósito de la «experiencia». Centro de Estudios de Derecho Administrativo – CEDA. Disponible en: </w:t>
      </w:r>
      <w:hyperlink r:id="rId2" w:history="1">
        <w:r w:rsidR="004808BA" w:rsidRPr="00A0454F">
          <w:rPr>
            <w:rStyle w:val="Hipervnculo"/>
            <w:rFonts w:ascii="Arial" w:hAnsi="Arial" w:cs="Arial"/>
            <w:sz w:val="19"/>
            <w:szCs w:val="19"/>
          </w:rPr>
          <w:t>https://www.ceda.com.co/tema-requisitos-habilitantes</w:t>
        </w:r>
      </w:hyperlink>
      <w:r w:rsidR="004808BA" w:rsidRPr="00A0454F">
        <w:rPr>
          <w:rFonts w:ascii="Arial" w:hAnsi="Arial" w:cs="Arial"/>
          <w:sz w:val="19"/>
          <w:szCs w:val="19"/>
        </w:rPr>
        <w:t xml:space="preserve">. </w:t>
      </w:r>
    </w:p>
  </w:footnote>
  <w:footnote w:id="5">
    <w:p w14:paraId="3F55591E" w14:textId="1F1020AC" w:rsidR="002D6C82" w:rsidRDefault="002D6C82" w:rsidP="00A0454F">
      <w:pPr>
        <w:pStyle w:val="Textonotapie"/>
        <w:ind w:firstLine="708"/>
        <w:jc w:val="both"/>
        <w:rPr>
          <w:rFonts w:ascii="Arial" w:hAnsi="Arial" w:cs="Arial"/>
          <w:sz w:val="19"/>
          <w:szCs w:val="19"/>
        </w:rPr>
      </w:pPr>
      <w:r w:rsidRPr="00A0454F">
        <w:rPr>
          <w:rStyle w:val="Refdenotaalpie"/>
          <w:rFonts w:ascii="Arial" w:hAnsi="Arial" w:cs="Arial"/>
          <w:sz w:val="19"/>
          <w:szCs w:val="19"/>
        </w:rPr>
        <w:footnoteRef/>
      </w:r>
      <w:r w:rsidRPr="00A0454F">
        <w:rPr>
          <w:rFonts w:ascii="Arial" w:hAnsi="Arial" w:cs="Arial"/>
          <w:sz w:val="19"/>
          <w:szCs w:val="19"/>
        </w:rPr>
        <w:t xml:space="preserve"> Colombia Compra Eficiente. Manual para determinar y verificar los requisitos habilitantes en los Procesos de Contratación. </w:t>
      </w:r>
      <w:r w:rsidR="00A0454F" w:rsidRPr="00A0454F">
        <w:rPr>
          <w:rFonts w:ascii="Arial" w:hAnsi="Arial" w:cs="Arial"/>
          <w:sz w:val="19"/>
          <w:szCs w:val="19"/>
        </w:rPr>
        <w:t xml:space="preserve">Disponible en: </w:t>
      </w:r>
      <w:hyperlink r:id="rId3" w:history="1">
        <w:r w:rsidR="00A0454F" w:rsidRPr="00A0454F">
          <w:rPr>
            <w:rStyle w:val="Hipervnculo"/>
            <w:rFonts w:ascii="Arial" w:hAnsi="Arial" w:cs="Arial"/>
            <w:sz w:val="19"/>
            <w:szCs w:val="19"/>
          </w:rPr>
          <w:t>https://www.colombiacompra.gov.co/manuales-guias-y-pliegos-tipo/manuales-y-guias</w:t>
        </w:r>
      </w:hyperlink>
      <w:r w:rsidR="00A0454F" w:rsidRPr="00A0454F">
        <w:rPr>
          <w:rFonts w:ascii="Arial" w:hAnsi="Arial" w:cs="Arial"/>
          <w:sz w:val="19"/>
          <w:szCs w:val="19"/>
        </w:rPr>
        <w:t xml:space="preserve">. </w:t>
      </w:r>
    </w:p>
    <w:p w14:paraId="48C2244D" w14:textId="77777777" w:rsidR="00A21877" w:rsidRPr="009175BF" w:rsidRDefault="00A21877" w:rsidP="00A0454F">
      <w:pPr>
        <w:pStyle w:val="Textonotapie"/>
        <w:ind w:firstLine="708"/>
        <w:jc w:val="both"/>
        <w:rPr>
          <w:rFonts w:ascii="Arial" w:hAnsi="Arial" w:cs="Arial"/>
          <w:lang w:val="es-CO"/>
        </w:rPr>
      </w:pPr>
    </w:p>
  </w:footnote>
  <w:footnote w:id="6">
    <w:p w14:paraId="33DA4035" w14:textId="74ABD9F6" w:rsidR="00A21877" w:rsidRPr="009175BF" w:rsidRDefault="00A21877" w:rsidP="009175BF">
      <w:pPr>
        <w:pStyle w:val="Textonotapie"/>
        <w:ind w:firstLine="708"/>
        <w:rPr>
          <w:lang w:val="es-CO"/>
        </w:rPr>
      </w:pPr>
      <w:r>
        <w:rPr>
          <w:rStyle w:val="Refdenotaalpie"/>
        </w:rPr>
        <w:footnoteRef/>
      </w:r>
      <w:r>
        <w:t xml:space="preserve"> </w:t>
      </w:r>
      <w:hyperlink r:id="rId4" w:history="1">
        <w:r w:rsidRPr="00D71DFE">
          <w:rPr>
            <w:rStyle w:val="Hipervnculo"/>
          </w:rPr>
          <w:t>https://www.colombiacompra.gov.co/documentos-tipo/documentos-tipo</w:t>
        </w:r>
      </w:hyperlink>
      <w:r>
        <w:t xml:space="preserve">. </w:t>
      </w:r>
    </w:p>
  </w:footnote>
  <w:footnote w:id="7">
    <w:p w14:paraId="16A3A550" w14:textId="77777777" w:rsidR="000027B6" w:rsidRPr="00E44A79" w:rsidRDefault="000027B6" w:rsidP="000027B6">
      <w:pPr>
        <w:pStyle w:val="Textonotapie"/>
        <w:ind w:firstLine="708"/>
        <w:jc w:val="both"/>
        <w:rPr>
          <w:rFonts w:ascii="Arial" w:hAnsi="Arial" w:cs="Arial"/>
          <w:lang w:val="es-CO"/>
        </w:rPr>
      </w:pPr>
      <w:r w:rsidRPr="00A0454F">
        <w:rPr>
          <w:rStyle w:val="Refdenotaalpie"/>
          <w:rFonts w:ascii="Arial" w:hAnsi="Arial" w:cs="Arial"/>
          <w:sz w:val="19"/>
          <w:szCs w:val="19"/>
        </w:rPr>
        <w:footnoteRef/>
      </w:r>
      <w:r w:rsidRPr="00A0454F">
        <w:rPr>
          <w:rFonts w:ascii="Arial" w:hAnsi="Arial" w:cs="Arial"/>
          <w:sz w:val="19"/>
          <w:szCs w:val="19"/>
        </w:rPr>
        <w:t xml:space="preserve"> Colombia Compra Eficiente. Manual para determinar y verificar los requisitos habilitantes en los Procesos de Contratación. Disponible en: </w:t>
      </w:r>
      <w:hyperlink r:id="rId5" w:history="1">
        <w:r w:rsidRPr="00A0454F">
          <w:rPr>
            <w:rStyle w:val="Hipervnculo"/>
            <w:rFonts w:ascii="Arial" w:hAnsi="Arial" w:cs="Arial"/>
            <w:sz w:val="19"/>
            <w:szCs w:val="19"/>
          </w:rPr>
          <w:t>https://www.colombiacompra.gov.co/manuales-guias-y-pliegos-tipo/manuales-y-guias</w:t>
        </w:r>
      </w:hyperlink>
      <w:r w:rsidRPr="00A0454F">
        <w:rPr>
          <w:rFonts w:ascii="Arial" w:hAnsi="Arial" w:cs="Arial"/>
          <w:sz w:val="19"/>
          <w:szCs w:val="19"/>
        </w:rPr>
        <w:t xml:space="preserve">. </w:t>
      </w:r>
    </w:p>
  </w:footnote>
  <w:footnote w:id="8">
    <w:p w14:paraId="30A80E7B" w14:textId="06A56604" w:rsidR="000027B6" w:rsidRPr="009175BF" w:rsidRDefault="000027B6" w:rsidP="009175BF">
      <w:pPr>
        <w:pStyle w:val="Textonotapie"/>
        <w:ind w:firstLine="708"/>
        <w:rPr>
          <w:lang w:val="es-CO"/>
        </w:rPr>
      </w:pPr>
      <w:r>
        <w:rPr>
          <w:rStyle w:val="Refdenotaalpie"/>
        </w:rPr>
        <w:footnoteRef/>
      </w:r>
      <w:r>
        <w:t xml:space="preserve"> </w:t>
      </w:r>
      <w:r w:rsidRPr="009175BF">
        <w:rPr>
          <w:i/>
          <w:iCs/>
        </w:rPr>
        <w:t>Ibidem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A9E4" w14:textId="77777777" w:rsidR="00387886" w:rsidRDefault="007C2EF0">
    <w:pPr>
      <w:pStyle w:val="Encabezado"/>
    </w:pPr>
    <w:r>
      <w:rPr>
        <w:noProof/>
        <w:lang w:val="es-CO" w:eastAsia="es-CO"/>
      </w:rPr>
      <w:drawing>
        <wp:anchor distT="0" distB="0" distL="114300" distR="114300" simplePos="0" relativeHeight="251659264" behindDoc="1" locked="0" layoutInCell="1" allowOverlap="1" wp14:anchorId="57019949" wp14:editId="7362747C">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136D2"/>
    <w:multiLevelType w:val="hybridMultilevel"/>
    <w:tmpl w:val="B6BA718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 w15:restartNumberingAfterBreak="0">
    <w:nsid w:val="377F3431"/>
    <w:multiLevelType w:val="hybridMultilevel"/>
    <w:tmpl w:val="346A0E58"/>
    <w:lvl w:ilvl="0" w:tplc="240A0001">
      <w:start w:val="1"/>
      <w:numFmt w:val="bullet"/>
      <w:lvlText w:val=""/>
      <w:lvlJc w:val="left"/>
      <w:pPr>
        <w:ind w:left="1490" w:hanging="360"/>
      </w:pPr>
      <w:rPr>
        <w:rFonts w:ascii="Symbol" w:hAnsi="Symbol" w:hint="default"/>
      </w:rPr>
    </w:lvl>
    <w:lvl w:ilvl="1" w:tplc="240A0003" w:tentative="1">
      <w:start w:val="1"/>
      <w:numFmt w:val="bullet"/>
      <w:lvlText w:val="o"/>
      <w:lvlJc w:val="left"/>
      <w:pPr>
        <w:ind w:left="2210" w:hanging="360"/>
      </w:pPr>
      <w:rPr>
        <w:rFonts w:ascii="Courier New" w:hAnsi="Courier New" w:cs="Courier New" w:hint="default"/>
      </w:rPr>
    </w:lvl>
    <w:lvl w:ilvl="2" w:tplc="240A0005" w:tentative="1">
      <w:start w:val="1"/>
      <w:numFmt w:val="bullet"/>
      <w:lvlText w:val=""/>
      <w:lvlJc w:val="left"/>
      <w:pPr>
        <w:ind w:left="2930" w:hanging="360"/>
      </w:pPr>
      <w:rPr>
        <w:rFonts w:ascii="Wingdings" w:hAnsi="Wingdings" w:hint="default"/>
      </w:rPr>
    </w:lvl>
    <w:lvl w:ilvl="3" w:tplc="240A0001" w:tentative="1">
      <w:start w:val="1"/>
      <w:numFmt w:val="bullet"/>
      <w:lvlText w:val=""/>
      <w:lvlJc w:val="left"/>
      <w:pPr>
        <w:ind w:left="3650" w:hanging="360"/>
      </w:pPr>
      <w:rPr>
        <w:rFonts w:ascii="Symbol" w:hAnsi="Symbol" w:hint="default"/>
      </w:rPr>
    </w:lvl>
    <w:lvl w:ilvl="4" w:tplc="240A0003" w:tentative="1">
      <w:start w:val="1"/>
      <w:numFmt w:val="bullet"/>
      <w:lvlText w:val="o"/>
      <w:lvlJc w:val="left"/>
      <w:pPr>
        <w:ind w:left="4370" w:hanging="360"/>
      </w:pPr>
      <w:rPr>
        <w:rFonts w:ascii="Courier New" w:hAnsi="Courier New" w:cs="Courier New" w:hint="default"/>
      </w:rPr>
    </w:lvl>
    <w:lvl w:ilvl="5" w:tplc="240A0005" w:tentative="1">
      <w:start w:val="1"/>
      <w:numFmt w:val="bullet"/>
      <w:lvlText w:val=""/>
      <w:lvlJc w:val="left"/>
      <w:pPr>
        <w:ind w:left="5090" w:hanging="360"/>
      </w:pPr>
      <w:rPr>
        <w:rFonts w:ascii="Wingdings" w:hAnsi="Wingdings" w:hint="default"/>
      </w:rPr>
    </w:lvl>
    <w:lvl w:ilvl="6" w:tplc="240A0001" w:tentative="1">
      <w:start w:val="1"/>
      <w:numFmt w:val="bullet"/>
      <w:lvlText w:val=""/>
      <w:lvlJc w:val="left"/>
      <w:pPr>
        <w:ind w:left="5810" w:hanging="360"/>
      </w:pPr>
      <w:rPr>
        <w:rFonts w:ascii="Symbol" w:hAnsi="Symbol" w:hint="default"/>
      </w:rPr>
    </w:lvl>
    <w:lvl w:ilvl="7" w:tplc="240A0003" w:tentative="1">
      <w:start w:val="1"/>
      <w:numFmt w:val="bullet"/>
      <w:lvlText w:val="o"/>
      <w:lvlJc w:val="left"/>
      <w:pPr>
        <w:ind w:left="6530" w:hanging="360"/>
      </w:pPr>
      <w:rPr>
        <w:rFonts w:ascii="Courier New" w:hAnsi="Courier New" w:cs="Courier New" w:hint="default"/>
      </w:rPr>
    </w:lvl>
    <w:lvl w:ilvl="8" w:tplc="240A0005" w:tentative="1">
      <w:start w:val="1"/>
      <w:numFmt w:val="bullet"/>
      <w:lvlText w:val=""/>
      <w:lvlJc w:val="left"/>
      <w:pPr>
        <w:ind w:left="7250" w:hanging="360"/>
      </w:pPr>
      <w:rPr>
        <w:rFonts w:ascii="Wingdings" w:hAnsi="Wingdings" w:hint="default"/>
      </w:rPr>
    </w:lvl>
  </w:abstractNum>
  <w:num w:numId="1" w16cid:durableId="1434856435">
    <w:abstractNumId w:val="1"/>
  </w:num>
  <w:num w:numId="2" w16cid:durableId="161717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93"/>
    <w:rsid w:val="000027B6"/>
    <w:rsid w:val="0000748D"/>
    <w:rsid w:val="0003011E"/>
    <w:rsid w:val="00050559"/>
    <w:rsid w:val="00055E3F"/>
    <w:rsid w:val="00064409"/>
    <w:rsid w:val="000A12D9"/>
    <w:rsid w:val="000A1F5F"/>
    <w:rsid w:val="000B011E"/>
    <w:rsid w:val="000B2F93"/>
    <w:rsid w:val="000B4490"/>
    <w:rsid w:val="000D2904"/>
    <w:rsid w:val="000D6091"/>
    <w:rsid w:val="00101939"/>
    <w:rsid w:val="0010780D"/>
    <w:rsid w:val="00150841"/>
    <w:rsid w:val="0015294A"/>
    <w:rsid w:val="00164D73"/>
    <w:rsid w:val="0017205F"/>
    <w:rsid w:val="001944CF"/>
    <w:rsid w:val="001A1A0D"/>
    <w:rsid w:val="001C3260"/>
    <w:rsid w:val="001E202D"/>
    <w:rsid w:val="00201B06"/>
    <w:rsid w:val="00211F5E"/>
    <w:rsid w:val="002249BE"/>
    <w:rsid w:val="00226F37"/>
    <w:rsid w:val="002275B6"/>
    <w:rsid w:val="00237A66"/>
    <w:rsid w:val="00240B73"/>
    <w:rsid w:val="00252BB8"/>
    <w:rsid w:val="00254949"/>
    <w:rsid w:val="002660B0"/>
    <w:rsid w:val="00271A32"/>
    <w:rsid w:val="00284A4E"/>
    <w:rsid w:val="00293834"/>
    <w:rsid w:val="00296FD4"/>
    <w:rsid w:val="00297D4D"/>
    <w:rsid w:val="002B3E9C"/>
    <w:rsid w:val="002B4CE5"/>
    <w:rsid w:val="002D3A36"/>
    <w:rsid w:val="002D5118"/>
    <w:rsid w:val="002D6C82"/>
    <w:rsid w:val="00322518"/>
    <w:rsid w:val="0034446F"/>
    <w:rsid w:val="00364293"/>
    <w:rsid w:val="00390998"/>
    <w:rsid w:val="003A35EB"/>
    <w:rsid w:val="003A6CDA"/>
    <w:rsid w:val="003C31E8"/>
    <w:rsid w:val="003C5512"/>
    <w:rsid w:val="003C60BC"/>
    <w:rsid w:val="003C7DB7"/>
    <w:rsid w:val="003D5DAD"/>
    <w:rsid w:val="003E35B1"/>
    <w:rsid w:val="00417118"/>
    <w:rsid w:val="0043136F"/>
    <w:rsid w:val="00435999"/>
    <w:rsid w:val="0044701C"/>
    <w:rsid w:val="00453A6E"/>
    <w:rsid w:val="0047235C"/>
    <w:rsid w:val="004808BA"/>
    <w:rsid w:val="004B2CE3"/>
    <w:rsid w:val="004D59DA"/>
    <w:rsid w:val="004F4122"/>
    <w:rsid w:val="005072EF"/>
    <w:rsid w:val="005109F4"/>
    <w:rsid w:val="00516C3C"/>
    <w:rsid w:val="00564C0E"/>
    <w:rsid w:val="00574976"/>
    <w:rsid w:val="0057549D"/>
    <w:rsid w:val="005A0BBD"/>
    <w:rsid w:val="005B37D5"/>
    <w:rsid w:val="005B62F9"/>
    <w:rsid w:val="005D06ED"/>
    <w:rsid w:val="005D6C35"/>
    <w:rsid w:val="005D7AA2"/>
    <w:rsid w:val="005E2DF7"/>
    <w:rsid w:val="005F65BA"/>
    <w:rsid w:val="00602D4D"/>
    <w:rsid w:val="00611918"/>
    <w:rsid w:val="006172AF"/>
    <w:rsid w:val="00625A84"/>
    <w:rsid w:val="00636966"/>
    <w:rsid w:val="006372B8"/>
    <w:rsid w:val="006374F7"/>
    <w:rsid w:val="00651219"/>
    <w:rsid w:val="006579CD"/>
    <w:rsid w:val="00682223"/>
    <w:rsid w:val="00685908"/>
    <w:rsid w:val="006A66D2"/>
    <w:rsid w:val="006E0AA8"/>
    <w:rsid w:val="007001A5"/>
    <w:rsid w:val="00707F4C"/>
    <w:rsid w:val="00727AAA"/>
    <w:rsid w:val="00732672"/>
    <w:rsid w:val="00791A94"/>
    <w:rsid w:val="00794929"/>
    <w:rsid w:val="00794A8C"/>
    <w:rsid w:val="00796F76"/>
    <w:rsid w:val="007C1B55"/>
    <w:rsid w:val="007C25D3"/>
    <w:rsid w:val="007C2EF0"/>
    <w:rsid w:val="007C75C8"/>
    <w:rsid w:val="007D01F8"/>
    <w:rsid w:val="007D2816"/>
    <w:rsid w:val="007D7E5A"/>
    <w:rsid w:val="007F39CD"/>
    <w:rsid w:val="00801942"/>
    <w:rsid w:val="00806B2F"/>
    <w:rsid w:val="008172D7"/>
    <w:rsid w:val="00822ECB"/>
    <w:rsid w:val="008563F2"/>
    <w:rsid w:val="00861DCB"/>
    <w:rsid w:val="008D5075"/>
    <w:rsid w:val="008D75F3"/>
    <w:rsid w:val="008F1F27"/>
    <w:rsid w:val="009140F3"/>
    <w:rsid w:val="009165F4"/>
    <w:rsid w:val="009175BF"/>
    <w:rsid w:val="009252DF"/>
    <w:rsid w:val="009369F9"/>
    <w:rsid w:val="00944899"/>
    <w:rsid w:val="00953313"/>
    <w:rsid w:val="00987109"/>
    <w:rsid w:val="00990D67"/>
    <w:rsid w:val="00995C47"/>
    <w:rsid w:val="009A7635"/>
    <w:rsid w:val="009C4252"/>
    <w:rsid w:val="009C6D3A"/>
    <w:rsid w:val="009E688F"/>
    <w:rsid w:val="009F0843"/>
    <w:rsid w:val="00A00F7F"/>
    <w:rsid w:val="00A02A78"/>
    <w:rsid w:val="00A0454F"/>
    <w:rsid w:val="00A21877"/>
    <w:rsid w:val="00A34FD7"/>
    <w:rsid w:val="00A4661E"/>
    <w:rsid w:val="00A47AA9"/>
    <w:rsid w:val="00A712A2"/>
    <w:rsid w:val="00A8451F"/>
    <w:rsid w:val="00AA2BDA"/>
    <w:rsid w:val="00AB45A2"/>
    <w:rsid w:val="00AB6847"/>
    <w:rsid w:val="00B15023"/>
    <w:rsid w:val="00B37E25"/>
    <w:rsid w:val="00B50EF0"/>
    <w:rsid w:val="00B5202F"/>
    <w:rsid w:val="00B5766C"/>
    <w:rsid w:val="00B61CCC"/>
    <w:rsid w:val="00B65034"/>
    <w:rsid w:val="00B76D93"/>
    <w:rsid w:val="00B85581"/>
    <w:rsid w:val="00BA1EE5"/>
    <w:rsid w:val="00BB5A45"/>
    <w:rsid w:val="00BC09D6"/>
    <w:rsid w:val="00BD67A4"/>
    <w:rsid w:val="00BF2399"/>
    <w:rsid w:val="00BF34F2"/>
    <w:rsid w:val="00C04FFD"/>
    <w:rsid w:val="00C22221"/>
    <w:rsid w:val="00C25166"/>
    <w:rsid w:val="00C74B3A"/>
    <w:rsid w:val="00C91611"/>
    <w:rsid w:val="00CA0752"/>
    <w:rsid w:val="00CA648B"/>
    <w:rsid w:val="00CC410C"/>
    <w:rsid w:val="00CC7CCF"/>
    <w:rsid w:val="00CD023B"/>
    <w:rsid w:val="00CD29A6"/>
    <w:rsid w:val="00CF0ADF"/>
    <w:rsid w:val="00CF318F"/>
    <w:rsid w:val="00D03416"/>
    <w:rsid w:val="00D10C1A"/>
    <w:rsid w:val="00D30B14"/>
    <w:rsid w:val="00D36675"/>
    <w:rsid w:val="00D44687"/>
    <w:rsid w:val="00D45828"/>
    <w:rsid w:val="00D67945"/>
    <w:rsid w:val="00D724A9"/>
    <w:rsid w:val="00D76EE6"/>
    <w:rsid w:val="00D81D35"/>
    <w:rsid w:val="00D83877"/>
    <w:rsid w:val="00D902B7"/>
    <w:rsid w:val="00DE3656"/>
    <w:rsid w:val="00DF178A"/>
    <w:rsid w:val="00E018E5"/>
    <w:rsid w:val="00E049E3"/>
    <w:rsid w:val="00E142F6"/>
    <w:rsid w:val="00E146F0"/>
    <w:rsid w:val="00E2049E"/>
    <w:rsid w:val="00E25DCE"/>
    <w:rsid w:val="00E546D7"/>
    <w:rsid w:val="00E668CC"/>
    <w:rsid w:val="00E76591"/>
    <w:rsid w:val="00E87923"/>
    <w:rsid w:val="00E96086"/>
    <w:rsid w:val="00EA2FEE"/>
    <w:rsid w:val="00EB6025"/>
    <w:rsid w:val="00EC0963"/>
    <w:rsid w:val="00EC1837"/>
    <w:rsid w:val="00EE151D"/>
    <w:rsid w:val="00EE7489"/>
    <w:rsid w:val="00F11750"/>
    <w:rsid w:val="00F25B2A"/>
    <w:rsid w:val="00F4421F"/>
    <w:rsid w:val="00F45A24"/>
    <w:rsid w:val="00F55393"/>
    <w:rsid w:val="00F57173"/>
    <w:rsid w:val="00F734F2"/>
    <w:rsid w:val="00F92A79"/>
    <w:rsid w:val="00F93ACE"/>
    <w:rsid w:val="00FB7620"/>
    <w:rsid w:val="00FC03E1"/>
    <w:rsid w:val="00FD32BE"/>
    <w:rsid w:val="00FE487F"/>
    <w:rsid w:val="00FF392A"/>
    <w:rsid w:val="12D794C6"/>
    <w:rsid w:val="14736527"/>
    <w:rsid w:val="23BF6454"/>
    <w:rsid w:val="3156D122"/>
    <w:rsid w:val="3923DC84"/>
    <w:rsid w:val="4C98CF6B"/>
    <w:rsid w:val="60CF8755"/>
    <w:rsid w:val="6821E2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394C"/>
  <w15:chartTrackingRefBased/>
  <w15:docId w15:val="{847351DB-D241-9A45-8995-A577B523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34"/>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B2F93"/>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0B2F93"/>
    <w:rPr>
      <w:szCs w:val="22"/>
      <w:lang w:val="es-MX"/>
    </w:rPr>
  </w:style>
  <w:style w:type="paragraph" w:styleId="Encabezado">
    <w:name w:val="header"/>
    <w:basedOn w:val="Normal"/>
    <w:link w:val="EncabezadoCar"/>
    <w:uiPriority w:val="99"/>
    <w:unhideWhenUsed/>
    <w:rsid w:val="000B2F93"/>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0B2F93"/>
    <w:rPr>
      <w:szCs w:val="22"/>
      <w:lang w:val="es-MX"/>
    </w:rPr>
  </w:style>
  <w:style w:type="table" w:styleId="Tablaconcuadrcula">
    <w:name w:val="Table Grid"/>
    <w:basedOn w:val="Tablanormal"/>
    <w:uiPriority w:val="39"/>
    <w:qFormat/>
    <w:rsid w:val="000B2F9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0B2F93"/>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1"/>
    <w:qFormat/>
    <w:rsid w:val="000B2F93"/>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B2F9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0B2F93"/>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0B2F93"/>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B2F93"/>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0B2F93"/>
    <w:rPr>
      <w:vertAlign w:val="superscript"/>
    </w:rPr>
  </w:style>
  <w:style w:type="paragraph" w:customStyle="1" w:styleId="Appelnotedebasde">
    <w:name w:val="Appel note de bas de..."/>
    <w:basedOn w:val="Normal"/>
    <w:link w:val="Refdenotaalpie"/>
    <w:uiPriority w:val="99"/>
    <w:rsid w:val="000B2F93"/>
    <w:pPr>
      <w:spacing w:after="160" w:line="240" w:lineRule="exact"/>
    </w:pPr>
    <w:rPr>
      <w:rFonts w:asciiTheme="minorHAnsi" w:eastAsiaTheme="minorHAnsi" w:hAnsiTheme="minorHAnsi" w:cstheme="minorBidi"/>
      <w:vertAlign w:val="superscript"/>
      <w:lang w:eastAsia="en-US"/>
    </w:rPr>
  </w:style>
  <w:style w:type="paragraph" w:styleId="NormalWeb">
    <w:name w:val="Normal (Web)"/>
    <w:basedOn w:val="Normal"/>
    <w:link w:val="NormalWebCar"/>
    <w:uiPriority w:val="99"/>
    <w:unhideWhenUsed/>
    <w:rsid w:val="000B2F93"/>
    <w:pPr>
      <w:spacing w:before="100" w:beforeAutospacing="1" w:after="100" w:afterAutospacing="1"/>
    </w:pPr>
  </w:style>
  <w:style w:type="character" w:customStyle="1" w:styleId="NormalWebCar">
    <w:name w:val="Normal (Web) Car"/>
    <w:link w:val="NormalWeb"/>
    <w:uiPriority w:val="99"/>
    <w:rsid w:val="000B2F93"/>
    <w:rPr>
      <w:rFonts w:ascii="Times New Roman" w:eastAsia="Times New Roman" w:hAnsi="Times New Roman" w:cs="Times New Roman"/>
      <w:lang w:eastAsia="es-MX"/>
    </w:rPr>
  </w:style>
  <w:style w:type="paragraph" w:styleId="Textoindependiente">
    <w:name w:val="Body Text"/>
    <w:basedOn w:val="Normal"/>
    <w:link w:val="TextoindependienteCar"/>
    <w:uiPriority w:val="1"/>
    <w:qFormat/>
    <w:rsid w:val="008F1F2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8F1F27"/>
    <w:rPr>
      <w:rFonts w:ascii="Arial" w:eastAsia="Arial" w:hAnsi="Arial" w:cs="Arial"/>
      <w:sz w:val="20"/>
      <w:szCs w:val="20"/>
      <w:lang w:val="es-ES"/>
    </w:rPr>
  </w:style>
  <w:style w:type="character" w:customStyle="1" w:styleId="baj">
    <w:name w:val="b_aj"/>
    <w:basedOn w:val="Fuentedeprrafopredeter"/>
    <w:rsid w:val="008F1F27"/>
  </w:style>
  <w:style w:type="character" w:styleId="Textoennegrita">
    <w:name w:val="Strong"/>
    <w:basedOn w:val="Fuentedeprrafopredeter"/>
    <w:uiPriority w:val="22"/>
    <w:qFormat/>
    <w:rsid w:val="00E25DCE"/>
    <w:rPr>
      <w:b/>
      <w:bCs/>
    </w:rPr>
  </w:style>
  <w:style w:type="paragraph" w:styleId="Revisin">
    <w:name w:val="Revision"/>
    <w:hidden/>
    <w:uiPriority w:val="99"/>
    <w:semiHidden/>
    <w:rsid w:val="00E146F0"/>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CC410C"/>
    <w:rPr>
      <w:sz w:val="16"/>
      <w:szCs w:val="16"/>
    </w:rPr>
  </w:style>
  <w:style w:type="paragraph" w:styleId="Textocomentario">
    <w:name w:val="annotation text"/>
    <w:basedOn w:val="Normal"/>
    <w:link w:val="TextocomentarioCar"/>
    <w:uiPriority w:val="99"/>
    <w:unhideWhenUsed/>
    <w:rsid w:val="00CC410C"/>
    <w:rPr>
      <w:sz w:val="20"/>
      <w:szCs w:val="20"/>
    </w:rPr>
  </w:style>
  <w:style w:type="character" w:customStyle="1" w:styleId="TextocomentarioCar">
    <w:name w:val="Texto comentario Car"/>
    <w:basedOn w:val="Fuentedeprrafopredeter"/>
    <w:link w:val="Textocomentario"/>
    <w:uiPriority w:val="99"/>
    <w:rsid w:val="00CC410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C410C"/>
    <w:rPr>
      <w:b/>
      <w:bCs/>
    </w:rPr>
  </w:style>
  <w:style w:type="character" w:customStyle="1" w:styleId="AsuntodelcomentarioCar">
    <w:name w:val="Asunto del comentario Car"/>
    <w:basedOn w:val="TextocomentarioCar"/>
    <w:link w:val="Asuntodelcomentario"/>
    <w:uiPriority w:val="99"/>
    <w:semiHidden/>
    <w:rsid w:val="00CC410C"/>
    <w:rPr>
      <w:rFonts w:ascii="Times New Roman" w:eastAsia="Times New Roman" w:hAnsi="Times New Roman" w:cs="Times New Roman"/>
      <w:b/>
      <w:bCs/>
      <w:sz w:val="20"/>
      <w:szCs w:val="20"/>
      <w:lang w:eastAsia="es-MX"/>
    </w:rPr>
  </w:style>
  <w:style w:type="character" w:customStyle="1" w:styleId="normaltextrun">
    <w:name w:val="normaltextrun"/>
    <w:basedOn w:val="Fuentedeprrafopredeter"/>
    <w:rsid w:val="00435999"/>
  </w:style>
  <w:style w:type="character" w:customStyle="1" w:styleId="eop">
    <w:name w:val="eop"/>
    <w:basedOn w:val="Fuentedeprrafopredeter"/>
    <w:rsid w:val="00435999"/>
  </w:style>
  <w:style w:type="character" w:styleId="Hipervnculo">
    <w:name w:val="Hyperlink"/>
    <w:basedOn w:val="Fuentedeprrafopredeter"/>
    <w:uiPriority w:val="99"/>
    <w:unhideWhenUsed/>
    <w:rsid w:val="005F65BA"/>
    <w:rPr>
      <w:color w:val="0563C1" w:themeColor="hyperlink"/>
      <w:u w:val="single"/>
    </w:rPr>
  </w:style>
  <w:style w:type="character" w:customStyle="1" w:styleId="Hipervnculo1">
    <w:name w:val="Hipervínculo1"/>
    <w:basedOn w:val="Fuentedeprrafopredeter"/>
    <w:uiPriority w:val="99"/>
    <w:unhideWhenUsed/>
    <w:rsid w:val="005F65BA"/>
    <w:rPr>
      <w:color w:val="F2F2F2"/>
      <w:u w:val="single"/>
    </w:rPr>
  </w:style>
  <w:style w:type="character" w:styleId="Mencinsinresolver">
    <w:name w:val="Unresolved Mention"/>
    <w:basedOn w:val="Fuentedeprrafopredeter"/>
    <w:uiPriority w:val="99"/>
    <w:semiHidden/>
    <w:unhideWhenUsed/>
    <w:rsid w:val="0048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21641">
      <w:bodyDiv w:val="1"/>
      <w:marLeft w:val="0"/>
      <w:marRight w:val="0"/>
      <w:marTop w:val="0"/>
      <w:marBottom w:val="0"/>
      <w:divBdr>
        <w:top w:val="none" w:sz="0" w:space="0" w:color="auto"/>
        <w:left w:val="none" w:sz="0" w:space="0" w:color="auto"/>
        <w:bottom w:val="none" w:sz="0" w:space="0" w:color="auto"/>
        <w:right w:val="none" w:sz="0" w:space="0" w:color="auto"/>
      </w:divBdr>
      <w:divsChild>
        <w:div w:id="1752896554">
          <w:marLeft w:val="0"/>
          <w:marRight w:val="0"/>
          <w:marTop w:val="0"/>
          <w:marBottom w:val="0"/>
          <w:divBdr>
            <w:top w:val="none" w:sz="0" w:space="0" w:color="auto"/>
            <w:left w:val="none" w:sz="0" w:space="0" w:color="auto"/>
            <w:bottom w:val="none" w:sz="0" w:space="0" w:color="auto"/>
            <w:right w:val="none" w:sz="0" w:space="0" w:color="auto"/>
          </w:divBdr>
        </w:div>
      </w:divsChild>
    </w:div>
    <w:div w:id="682053784">
      <w:bodyDiv w:val="1"/>
      <w:marLeft w:val="0"/>
      <w:marRight w:val="0"/>
      <w:marTop w:val="0"/>
      <w:marBottom w:val="0"/>
      <w:divBdr>
        <w:top w:val="none" w:sz="0" w:space="0" w:color="auto"/>
        <w:left w:val="none" w:sz="0" w:space="0" w:color="auto"/>
        <w:bottom w:val="none" w:sz="0" w:space="0" w:color="auto"/>
        <w:right w:val="none" w:sz="0" w:space="0" w:color="auto"/>
      </w:divBdr>
      <w:divsChild>
        <w:div w:id="953904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manuales-guias-y-pliegos-tipo/manuales-y-guias" TargetMode="External"/><Relationship Id="rId2" Type="http://schemas.openxmlformats.org/officeDocument/2006/relationships/hyperlink" Target="https://www.ceda.com.co/tema-requisitos-habilitantes" TargetMode="External"/><Relationship Id="rId1" Type="http://schemas.openxmlformats.org/officeDocument/2006/relationships/hyperlink" Target="https://colaboracion.dnp.gov.co/CDT/Normatividad/DECRETO%20579%20DEL%2031%20DE%20MAYO%20DE%202021.pdf" TargetMode="External"/><Relationship Id="rId5" Type="http://schemas.openxmlformats.org/officeDocument/2006/relationships/hyperlink" Target="https://www.colombiacompra.gov.co/manuales-guias-y-pliegos-tipo/manuales-y-guias" TargetMode="External"/><Relationship Id="rId4"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E5291-3377-4389-B4F9-28302479F31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7751E004-88D1-4E39-BB8A-CC72806B0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68A56B-054D-42EF-B248-D32F64F3011F}">
  <ds:schemaRefs>
    <ds:schemaRef ds:uri="http://schemas.microsoft.com/sharepoint/v3/contenttype/forms"/>
  </ds:schemaRefs>
</ds:datastoreItem>
</file>

<file path=customXml/itemProps4.xml><?xml version="1.0" encoding="utf-8"?>
<ds:datastoreItem xmlns:ds="http://schemas.openxmlformats.org/officeDocument/2006/customXml" ds:itemID="{EE0E2F89-250A-4FB2-A96C-B022B93D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5042</Words>
  <Characters>27734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MARIA CLAUDIA DE LA OSSA BOBADILLA</cp:lastModifiedBy>
  <cp:revision>2</cp:revision>
  <dcterms:created xsi:type="dcterms:W3CDTF">2022-08-01T17:59:00Z</dcterms:created>
  <dcterms:modified xsi:type="dcterms:W3CDTF">2022-08-01T17:59:00Z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