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1D42" w14:textId="2E1D8D94" w:rsidR="007934CB" w:rsidRPr="00DD243D" w:rsidRDefault="007934CB" w:rsidP="009772F9">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DD243D">
        <w:rPr>
          <w:rFonts w:ascii="Arial" w:eastAsia="Calibri" w:hAnsi="Arial" w:cs="Arial"/>
          <w:b/>
          <w:bCs/>
          <w:lang w:val="es-MX"/>
        </w:rPr>
        <w:t>LEY DE GARANTÍAS ELECTORALES ‒ Finalidad</w:t>
      </w:r>
    </w:p>
    <w:p w14:paraId="7A27307C" w14:textId="77777777" w:rsidR="007934CB" w:rsidRPr="00DD243D" w:rsidRDefault="007934CB" w:rsidP="009772F9">
      <w:pPr>
        <w:tabs>
          <w:tab w:val="left" w:pos="426"/>
        </w:tabs>
        <w:spacing w:after="0" w:line="240" w:lineRule="auto"/>
        <w:contextualSpacing/>
        <w:jc w:val="both"/>
        <w:rPr>
          <w:rFonts w:ascii="Arial" w:eastAsia="Calibri" w:hAnsi="Arial" w:cs="Arial"/>
          <w:b/>
          <w:bCs/>
          <w:sz w:val="20"/>
          <w:szCs w:val="20"/>
          <w:lang w:val="es-MX"/>
        </w:rPr>
      </w:pPr>
    </w:p>
    <w:p w14:paraId="4C7BF823" w14:textId="77777777" w:rsidR="007934CB" w:rsidRPr="00DD243D" w:rsidRDefault="007934CB" w:rsidP="009772F9">
      <w:pPr>
        <w:tabs>
          <w:tab w:val="left" w:pos="426"/>
        </w:tabs>
        <w:spacing w:after="0" w:line="240" w:lineRule="auto"/>
        <w:contextualSpacing/>
        <w:jc w:val="both"/>
        <w:rPr>
          <w:rFonts w:ascii="Arial" w:eastAsia="Times New Roman" w:hAnsi="Arial" w:cs="Arial"/>
          <w:bCs/>
          <w:sz w:val="20"/>
          <w:szCs w:val="20"/>
          <w:lang w:val="es-MX" w:eastAsia="es-CO"/>
        </w:rPr>
      </w:pPr>
      <w:r w:rsidRPr="00DD243D">
        <w:rPr>
          <w:rFonts w:ascii="Arial" w:eastAsia="Calibri" w:hAnsi="Arial" w:cs="Arial"/>
          <w:noProof/>
          <w:sz w:val="20"/>
          <w:szCs w:val="20"/>
          <w:lang w:val="es-ES_tradnl"/>
        </w:rPr>
        <w:t xml:space="preserve">[…], </w:t>
      </w:r>
      <w:r w:rsidRPr="00DD243D">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4AEB308E" w14:textId="77777777" w:rsidR="007934CB" w:rsidRPr="00DD243D" w:rsidRDefault="007934CB" w:rsidP="009772F9">
      <w:pPr>
        <w:tabs>
          <w:tab w:val="left" w:pos="426"/>
        </w:tabs>
        <w:spacing w:after="0" w:line="240" w:lineRule="auto"/>
        <w:contextualSpacing/>
        <w:jc w:val="both"/>
        <w:rPr>
          <w:rFonts w:ascii="Arial" w:eastAsia="Calibri" w:hAnsi="Arial" w:cs="Arial"/>
          <w:b/>
          <w:bCs/>
          <w:sz w:val="20"/>
          <w:szCs w:val="20"/>
          <w:lang w:val="es-MX"/>
        </w:rPr>
      </w:pPr>
    </w:p>
    <w:p w14:paraId="3BB28942" w14:textId="77777777" w:rsidR="007934CB" w:rsidRPr="00DD243D" w:rsidRDefault="007934CB" w:rsidP="009772F9">
      <w:pPr>
        <w:tabs>
          <w:tab w:val="left" w:pos="426"/>
        </w:tabs>
        <w:spacing w:after="0" w:line="240" w:lineRule="auto"/>
        <w:contextualSpacing/>
        <w:jc w:val="both"/>
        <w:rPr>
          <w:rFonts w:ascii="Arial" w:eastAsia="Calibri" w:hAnsi="Arial" w:cs="Arial"/>
          <w:b/>
          <w:bCs/>
          <w:lang w:val="es-MX"/>
        </w:rPr>
      </w:pPr>
      <w:r w:rsidRPr="00DD243D">
        <w:rPr>
          <w:rFonts w:ascii="Arial" w:eastAsia="Calibri" w:hAnsi="Arial" w:cs="Arial"/>
          <w:b/>
          <w:bCs/>
          <w:lang w:val="es-MX"/>
        </w:rPr>
        <w:t>LEY DE GARANTÍAS ELECTORALES ‒</w:t>
      </w:r>
      <w:bookmarkEnd w:id="0"/>
      <w:r w:rsidRPr="00DD243D">
        <w:rPr>
          <w:rFonts w:ascii="Arial" w:eastAsia="Calibri" w:hAnsi="Arial" w:cs="Arial"/>
          <w:b/>
          <w:bCs/>
          <w:lang w:val="es-MX"/>
        </w:rPr>
        <w:t xml:space="preserve"> Tipos de restricciones </w:t>
      </w:r>
      <w:bookmarkStart w:id="3" w:name="_Hlk77157034"/>
      <w:r w:rsidRPr="00DD243D">
        <w:rPr>
          <w:rFonts w:ascii="Arial" w:eastAsia="Calibri" w:hAnsi="Arial" w:cs="Arial"/>
          <w:b/>
          <w:bCs/>
          <w:lang w:val="es-MX"/>
        </w:rPr>
        <w:t xml:space="preserve">‒ </w:t>
      </w:r>
      <w:bookmarkStart w:id="4" w:name="_Hlk77153098"/>
      <w:bookmarkEnd w:id="3"/>
      <w:r w:rsidRPr="00DD243D">
        <w:rPr>
          <w:rFonts w:ascii="Arial" w:eastAsia="Calibri" w:hAnsi="Arial" w:cs="Arial"/>
          <w:b/>
          <w:bCs/>
          <w:lang w:val="es-MX"/>
        </w:rPr>
        <w:t xml:space="preserve">Ámbito temporal </w:t>
      </w:r>
      <w:bookmarkEnd w:id="4"/>
    </w:p>
    <w:p w14:paraId="4B48825E" w14:textId="77777777" w:rsidR="007934CB" w:rsidRPr="00DD243D" w:rsidRDefault="007934CB" w:rsidP="009772F9">
      <w:pPr>
        <w:tabs>
          <w:tab w:val="left" w:pos="426"/>
        </w:tabs>
        <w:spacing w:after="0" w:line="240" w:lineRule="auto"/>
        <w:contextualSpacing/>
        <w:jc w:val="both"/>
        <w:rPr>
          <w:rFonts w:ascii="Arial" w:eastAsia="Calibri" w:hAnsi="Arial" w:cs="Arial"/>
          <w:b/>
          <w:bCs/>
          <w:sz w:val="20"/>
          <w:szCs w:val="20"/>
          <w:lang w:val="es-MX"/>
        </w:rPr>
      </w:pPr>
    </w:p>
    <w:p w14:paraId="37BE1E60" w14:textId="77777777" w:rsidR="007934CB" w:rsidRPr="00DD243D" w:rsidRDefault="007934CB" w:rsidP="009772F9">
      <w:pPr>
        <w:spacing w:after="0" w:line="240" w:lineRule="auto"/>
        <w:contextualSpacing/>
        <w:jc w:val="both"/>
        <w:rPr>
          <w:rFonts w:ascii="Arial" w:eastAsia="Calibri" w:hAnsi="Arial" w:cs="Arial"/>
          <w:sz w:val="20"/>
          <w:szCs w:val="20"/>
        </w:rPr>
      </w:pPr>
      <w:bookmarkStart w:id="5" w:name="_Hlk77165666"/>
      <w:bookmarkEnd w:id="1"/>
      <w:r w:rsidRPr="00DD243D">
        <w:rPr>
          <w:rFonts w:ascii="Arial" w:eastAsia="Calibri" w:hAnsi="Arial" w:cs="Arial"/>
          <w:sz w:val="20"/>
          <w:szCs w:val="20"/>
        </w:rPr>
        <w:t xml:space="preserve">Por un lado, el artículo 33 de la Ley 996 de 2005 prohíbe </w:t>
      </w:r>
      <w:r w:rsidRPr="00DD243D">
        <w:rPr>
          <w:rFonts w:ascii="Arial" w:eastAsia="Calibri" w:hAnsi="Arial" w:cs="Arial"/>
          <w:bCs/>
          <w:sz w:val="20"/>
          <w:szCs w:val="20"/>
        </w:rPr>
        <w:t xml:space="preserve">«[…] </w:t>
      </w:r>
      <w:r w:rsidRPr="00DD243D">
        <w:rPr>
          <w:rFonts w:ascii="Arial" w:eastAsia="Calibri" w:hAnsi="Arial" w:cs="Arial"/>
          <w:sz w:val="20"/>
          <w:szCs w:val="20"/>
        </w:rPr>
        <w:t>la contratación directa por parte de todos los entes del Estado</w:t>
      </w:r>
      <w:r w:rsidRPr="00DD243D">
        <w:rPr>
          <w:rFonts w:ascii="Arial" w:eastAsia="Calibri" w:hAnsi="Arial" w:cs="Arial"/>
          <w:bCs/>
          <w:sz w:val="20"/>
          <w:szCs w:val="20"/>
        </w:rPr>
        <w:t>»</w:t>
      </w:r>
      <w:r w:rsidRPr="00DD243D">
        <w:rPr>
          <w:rFonts w:ascii="Arial" w:eastAsia="Calibri" w:hAnsi="Arial" w:cs="Arial"/>
          <w:sz w:val="20"/>
          <w:szCs w:val="20"/>
        </w:rPr>
        <w:t xml:space="preserve"> durante los cuatro (4) meses anteriores a las elecciones presidenciales, salvo </w:t>
      </w:r>
      <w:r w:rsidRPr="00DD243D">
        <w:rPr>
          <w:rFonts w:ascii="Arial" w:eastAsia="Calibri" w:hAnsi="Arial" w:cs="Arial"/>
          <w:bCs/>
          <w:sz w:val="20"/>
          <w:szCs w:val="20"/>
        </w:rPr>
        <w:t xml:space="preserve">«[…] </w:t>
      </w:r>
      <w:r w:rsidRPr="00DD243D">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D243D">
        <w:rPr>
          <w:rFonts w:ascii="Arial" w:eastAsia="Calibri" w:hAnsi="Arial" w:cs="Arial"/>
          <w:bCs/>
          <w:sz w:val="20"/>
          <w:szCs w:val="20"/>
        </w:rPr>
        <w:t>»</w:t>
      </w:r>
      <w:r w:rsidRPr="00DD243D">
        <w:rPr>
          <w:rFonts w:ascii="Arial" w:eastAsia="Calibri" w:hAnsi="Arial" w:cs="Arial"/>
          <w:sz w:val="20"/>
          <w:szCs w:val="20"/>
        </w:rPr>
        <w:t>.</w:t>
      </w:r>
    </w:p>
    <w:p w14:paraId="13A014A1" w14:textId="77777777" w:rsidR="007934CB" w:rsidRPr="00DD243D" w:rsidRDefault="007934CB" w:rsidP="009772F9">
      <w:pPr>
        <w:spacing w:after="0" w:line="240" w:lineRule="auto"/>
        <w:contextualSpacing/>
        <w:jc w:val="both"/>
        <w:rPr>
          <w:rFonts w:ascii="Arial" w:eastAsia="Calibri" w:hAnsi="Arial" w:cs="Arial"/>
          <w:sz w:val="20"/>
          <w:szCs w:val="20"/>
        </w:rPr>
      </w:pPr>
    </w:p>
    <w:p w14:paraId="7F443076" w14:textId="77777777" w:rsidR="007934CB" w:rsidRPr="00DD243D" w:rsidRDefault="007934CB" w:rsidP="009772F9">
      <w:pPr>
        <w:spacing w:after="0" w:line="240" w:lineRule="auto"/>
        <w:contextualSpacing/>
        <w:jc w:val="both"/>
        <w:rPr>
          <w:rFonts w:ascii="Arial" w:eastAsia="Calibri" w:hAnsi="Arial" w:cs="Arial"/>
          <w:bCs/>
          <w:sz w:val="20"/>
          <w:szCs w:val="20"/>
        </w:rPr>
      </w:pPr>
      <w:r w:rsidRPr="00DD243D">
        <w:rPr>
          <w:rFonts w:ascii="Arial" w:eastAsia="Calibri" w:hAnsi="Arial"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DD243D">
        <w:rPr>
          <w:rFonts w:ascii="Arial" w:eastAsia="Calibri" w:hAnsi="Arial" w:cs="Arial"/>
          <w:bCs/>
          <w:sz w:val="20"/>
          <w:szCs w:val="20"/>
        </w:rPr>
        <w:t xml:space="preserve">«[…] </w:t>
      </w:r>
      <w:r w:rsidRPr="00DD243D">
        <w:rPr>
          <w:rFonts w:ascii="Arial" w:eastAsia="Calibri" w:hAnsi="Arial"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D243D">
        <w:rPr>
          <w:rFonts w:ascii="Arial" w:eastAsia="Calibri" w:hAnsi="Arial" w:cs="Arial"/>
          <w:bCs/>
          <w:sz w:val="20"/>
          <w:szCs w:val="20"/>
        </w:rPr>
        <w:t>» […]</w:t>
      </w:r>
    </w:p>
    <w:p w14:paraId="7604261C" w14:textId="77777777" w:rsidR="007934CB" w:rsidRPr="00DD243D" w:rsidRDefault="007934CB" w:rsidP="009772F9">
      <w:pPr>
        <w:spacing w:after="0" w:line="240" w:lineRule="auto"/>
        <w:contextualSpacing/>
        <w:jc w:val="both"/>
        <w:rPr>
          <w:rFonts w:ascii="Arial" w:eastAsia="Calibri" w:hAnsi="Arial" w:cs="Arial"/>
          <w:sz w:val="20"/>
          <w:szCs w:val="20"/>
        </w:rPr>
      </w:pPr>
    </w:p>
    <w:p w14:paraId="1836FB22" w14:textId="77777777" w:rsidR="007934CB" w:rsidRPr="00DD243D" w:rsidRDefault="007934CB" w:rsidP="009772F9">
      <w:pPr>
        <w:tabs>
          <w:tab w:val="left" w:pos="426"/>
        </w:tabs>
        <w:spacing w:after="0" w:line="240" w:lineRule="auto"/>
        <w:contextualSpacing/>
        <w:jc w:val="both"/>
        <w:rPr>
          <w:rFonts w:ascii="Arial" w:eastAsia="Calibri" w:hAnsi="Arial" w:cs="Arial"/>
          <w:b/>
          <w:bCs/>
          <w:lang w:val="es-MX"/>
        </w:rPr>
      </w:pPr>
      <w:r w:rsidRPr="00DD243D">
        <w:rPr>
          <w:rFonts w:ascii="Arial" w:eastAsia="Calibri" w:hAnsi="Arial" w:cs="Arial"/>
          <w:b/>
          <w:bCs/>
          <w:lang w:val="es-MX"/>
        </w:rPr>
        <w:t xml:space="preserve">LEY DE GARANTÍAS ELECTORALES ─ Prohibición ‒ </w:t>
      </w:r>
      <w:bookmarkEnd w:id="5"/>
      <w:r w:rsidRPr="00DD243D">
        <w:rPr>
          <w:rFonts w:ascii="Arial" w:eastAsia="Calibri" w:hAnsi="Arial" w:cs="Arial"/>
          <w:b/>
          <w:bCs/>
          <w:lang w:val="es-MX"/>
        </w:rPr>
        <w:t xml:space="preserve">Contratación directa ‒ Alcance </w:t>
      </w:r>
    </w:p>
    <w:p w14:paraId="104CFDAE" w14:textId="77777777" w:rsidR="007934CB" w:rsidRPr="00DD243D" w:rsidRDefault="007934CB" w:rsidP="009772F9">
      <w:pPr>
        <w:tabs>
          <w:tab w:val="left" w:pos="426"/>
        </w:tabs>
        <w:spacing w:after="0" w:line="240" w:lineRule="auto"/>
        <w:contextualSpacing/>
        <w:jc w:val="both"/>
        <w:rPr>
          <w:rFonts w:ascii="Arial" w:eastAsia="Calibri" w:hAnsi="Arial" w:cs="Arial"/>
          <w:noProof/>
          <w:sz w:val="20"/>
          <w:szCs w:val="20"/>
          <w:lang w:val="es-MX"/>
        </w:rPr>
      </w:pPr>
    </w:p>
    <w:p w14:paraId="74ACA3C5" w14:textId="77777777" w:rsidR="007934CB" w:rsidRPr="00DD243D" w:rsidRDefault="007934CB" w:rsidP="009772F9">
      <w:pPr>
        <w:spacing w:after="0" w:line="240" w:lineRule="auto"/>
        <w:contextualSpacing/>
        <w:jc w:val="both"/>
        <w:rPr>
          <w:rFonts w:ascii="Arial" w:eastAsia="Times New Roman" w:hAnsi="Arial" w:cs="Arial"/>
          <w:bCs/>
          <w:sz w:val="20"/>
          <w:szCs w:val="20"/>
          <w:lang w:val="es-MX" w:eastAsia="x-none"/>
        </w:rPr>
      </w:pPr>
      <w:r w:rsidRPr="00DD243D">
        <w:rPr>
          <w:rFonts w:ascii="Arial" w:eastAsia="Calibri" w:hAnsi="Arial" w:cs="Arial"/>
          <w:noProof/>
          <w:sz w:val="20"/>
          <w:szCs w:val="20"/>
          <w:lang w:val="es-ES_tradnl"/>
        </w:rPr>
        <w:t xml:space="preserve">[…] </w:t>
      </w:r>
      <w:r w:rsidRPr="00DD243D">
        <w:rPr>
          <w:rFonts w:ascii="Arial" w:eastAsia="Times New Roman"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DD243D">
        <w:rPr>
          <w:rFonts w:ascii="Arial" w:eastAsia="Times New Roman" w:hAnsi="Arial" w:cs="Arial"/>
          <w:sz w:val="20"/>
          <w:szCs w:val="20"/>
          <w:vertAlign w:val="superscript"/>
          <w:lang w:eastAsia="x-none"/>
        </w:rPr>
        <w:t xml:space="preserve"> </w:t>
      </w:r>
    </w:p>
    <w:p w14:paraId="1E13B92D" w14:textId="77777777" w:rsidR="007934CB" w:rsidRPr="00DD243D" w:rsidRDefault="007934CB" w:rsidP="009772F9">
      <w:pPr>
        <w:spacing w:after="0" w:line="240" w:lineRule="auto"/>
        <w:contextualSpacing/>
        <w:jc w:val="both"/>
        <w:rPr>
          <w:rFonts w:ascii="Arial" w:eastAsia="Times New Roman" w:hAnsi="Arial" w:cs="Arial"/>
          <w:bCs/>
          <w:sz w:val="20"/>
          <w:szCs w:val="20"/>
          <w:lang w:val="es-MX" w:eastAsia="x-none"/>
        </w:rPr>
      </w:pPr>
    </w:p>
    <w:p w14:paraId="75B3A985" w14:textId="77777777" w:rsidR="007934CB" w:rsidRPr="00DD243D" w:rsidRDefault="007934CB" w:rsidP="009772F9">
      <w:pPr>
        <w:spacing w:after="0" w:line="240" w:lineRule="auto"/>
        <w:contextualSpacing/>
        <w:jc w:val="both"/>
        <w:rPr>
          <w:rFonts w:ascii="Arial" w:eastAsia="Times New Roman" w:hAnsi="Arial" w:cs="Arial"/>
          <w:sz w:val="20"/>
          <w:szCs w:val="20"/>
          <w:lang w:eastAsia="x-none"/>
        </w:rPr>
      </w:pPr>
      <w:r w:rsidRPr="00DD243D">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DD243D">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087B39AC" w14:textId="77777777" w:rsidR="007934CB" w:rsidRPr="00DD243D" w:rsidRDefault="007934CB" w:rsidP="009772F9">
      <w:pPr>
        <w:spacing w:after="0" w:line="240" w:lineRule="auto"/>
        <w:contextualSpacing/>
        <w:jc w:val="both"/>
        <w:rPr>
          <w:rFonts w:ascii="Arial" w:eastAsia="Times New Roman" w:hAnsi="Arial" w:cs="Arial"/>
          <w:sz w:val="20"/>
          <w:szCs w:val="20"/>
          <w:lang w:eastAsia="x-none"/>
        </w:rPr>
      </w:pPr>
    </w:p>
    <w:p w14:paraId="7A6033C1" w14:textId="77777777" w:rsidR="007934CB" w:rsidRPr="00DD243D" w:rsidRDefault="007934CB" w:rsidP="009772F9">
      <w:pPr>
        <w:tabs>
          <w:tab w:val="left" w:pos="426"/>
        </w:tabs>
        <w:spacing w:after="0" w:line="240" w:lineRule="auto"/>
        <w:contextualSpacing/>
        <w:jc w:val="both"/>
        <w:rPr>
          <w:rFonts w:ascii="Arial" w:eastAsia="Calibri" w:hAnsi="Arial" w:cs="Arial"/>
          <w:b/>
          <w:bCs/>
          <w:lang w:val="es-MX"/>
        </w:rPr>
      </w:pPr>
      <w:r w:rsidRPr="00DD243D">
        <w:rPr>
          <w:rFonts w:ascii="Arial" w:eastAsia="Calibri" w:hAnsi="Arial" w:cs="Arial"/>
          <w:b/>
          <w:bCs/>
          <w:lang w:val="es-MX"/>
        </w:rPr>
        <w:t xml:space="preserve">LEY DE GARANTÍAS ELECTORALES ─ Prohibición ‒ Contratación directa ‒ </w:t>
      </w:r>
      <w:r w:rsidRPr="00DD243D">
        <w:rPr>
          <w:rFonts w:ascii="Arial" w:eastAsia="Times New Roman" w:hAnsi="Arial" w:cs="Arial"/>
          <w:b/>
          <w:bCs/>
          <w:lang w:eastAsia="es-CO"/>
        </w:rPr>
        <w:t>Excepciones</w:t>
      </w:r>
      <w:r w:rsidRPr="00DD243D">
        <w:rPr>
          <w:rFonts w:ascii="Arial" w:eastAsia="Calibri" w:hAnsi="Arial" w:cs="Arial"/>
          <w:b/>
          <w:bCs/>
          <w:lang w:val="es-MX"/>
        </w:rPr>
        <w:t xml:space="preserve"> </w:t>
      </w:r>
    </w:p>
    <w:p w14:paraId="57AE5CC3" w14:textId="77777777" w:rsidR="007934CB" w:rsidRPr="00DD243D" w:rsidRDefault="007934CB" w:rsidP="009772F9">
      <w:pPr>
        <w:tabs>
          <w:tab w:val="left" w:pos="426"/>
        </w:tabs>
        <w:spacing w:after="0" w:line="240" w:lineRule="auto"/>
        <w:contextualSpacing/>
        <w:jc w:val="both"/>
        <w:rPr>
          <w:rFonts w:ascii="Arial" w:eastAsia="Times New Roman" w:hAnsi="Arial" w:cs="Arial"/>
          <w:sz w:val="20"/>
          <w:szCs w:val="20"/>
          <w:lang w:eastAsia="x-none"/>
        </w:rPr>
      </w:pPr>
    </w:p>
    <w:p w14:paraId="5729832C" w14:textId="77777777" w:rsidR="007934CB" w:rsidRPr="00DD243D" w:rsidRDefault="007934CB" w:rsidP="009772F9">
      <w:pPr>
        <w:spacing w:after="0" w:line="240" w:lineRule="auto"/>
        <w:contextualSpacing/>
        <w:jc w:val="both"/>
        <w:rPr>
          <w:rFonts w:ascii="Arial" w:eastAsia="Times New Roman" w:hAnsi="Arial" w:cs="Arial"/>
          <w:bCs/>
          <w:sz w:val="20"/>
          <w:szCs w:val="20"/>
          <w:lang w:val="es-MX" w:eastAsia="es-CO"/>
        </w:rPr>
      </w:pPr>
      <w:r w:rsidRPr="00DD243D">
        <w:rPr>
          <w:rFonts w:ascii="Arial" w:eastAsia="Calibri" w:hAnsi="Arial" w:cs="Arial"/>
          <w:noProof/>
          <w:sz w:val="20"/>
          <w:szCs w:val="20"/>
          <w:lang w:val="es-ES_tradnl"/>
        </w:rPr>
        <w:lastRenderedPageBreak/>
        <w:t xml:space="preserve">[…] </w:t>
      </w:r>
      <w:r w:rsidRPr="00DD243D">
        <w:rPr>
          <w:rFonts w:ascii="Arial" w:eastAsia="Times New Roman" w:hAnsi="Arial"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DD243D">
        <w:rPr>
          <w:rFonts w:ascii="Arial" w:eastAsia="Times New Roman" w:hAnsi="Arial" w:cs="Arial"/>
          <w:bCs/>
          <w:sz w:val="20"/>
          <w:szCs w:val="20"/>
          <w:lang w:val="es-MX" w:eastAsia="x-none"/>
        </w:rPr>
        <w:t>ii</w:t>
      </w:r>
      <w:proofErr w:type="spellEnd"/>
      <w:r w:rsidRPr="00DD243D">
        <w:rPr>
          <w:rFonts w:ascii="Arial" w:eastAsia="Times New Roman" w:hAnsi="Arial" w:cs="Arial"/>
          <w:bCs/>
          <w:sz w:val="20"/>
          <w:szCs w:val="20"/>
          <w:lang w:val="es-MX" w:eastAsia="x-none"/>
        </w:rPr>
        <w:t xml:space="preserve">) los contratos de crédito público; </w:t>
      </w:r>
      <w:proofErr w:type="spellStart"/>
      <w:r w:rsidRPr="00DD243D">
        <w:rPr>
          <w:rFonts w:ascii="Arial" w:eastAsia="Times New Roman" w:hAnsi="Arial" w:cs="Arial"/>
          <w:bCs/>
          <w:sz w:val="20"/>
          <w:szCs w:val="20"/>
          <w:lang w:val="es-MX" w:eastAsia="x-none"/>
        </w:rPr>
        <w:t>iii</w:t>
      </w:r>
      <w:proofErr w:type="spellEnd"/>
      <w:r w:rsidRPr="00DD243D">
        <w:rPr>
          <w:rFonts w:ascii="Arial" w:eastAsia="Times New Roman" w:hAnsi="Arial" w:cs="Arial"/>
          <w:bCs/>
          <w:sz w:val="20"/>
          <w:szCs w:val="20"/>
          <w:lang w:val="es-MX" w:eastAsia="x-none"/>
        </w:rPr>
        <w:t xml:space="preserve">) los requeridos para cubrir las emergencias educativas, sanitarias y desastres; </w:t>
      </w:r>
      <w:proofErr w:type="spellStart"/>
      <w:r w:rsidRPr="00DD243D">
        <w:rPr>
          <w:rFonts w:ascii="Arial" w:eastAsia="Times New Roman" w:hAnsi="Arial" w:cs="Arial"/>
          <w:bCs/>
          <w:sz w:val="20"/>
          <w:szCs w:val="20"/>
          <w:lang w:val="es-MX" w:eastAsia="x-none"/>
        </w:rPr>
        <w:t>iv</w:t>
      </w:r>
      <w:proofErr w:type="spellEnd"/>
      <w:r w:rsidRPr="00DD243D">
        <w:rPr>
          <w:rFonts w:ascii="Arial" w:eastAsia="Times New Roman"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DD243D">
        <w:rPr>
          <w:rFonts w:ascii="Arial" w:eastAsia="Times New Roman"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E9A231F" w14:textId="77777777" w:rsidR="007934CB" w:rsidRPr="00DD243D" w:rsidRDefault="007934CB" w:rsidP="009772F9">
      <w:pPr>
        <w:spacing w:after="0" w:line="240" w:lineRule="auto"/>
        <w:contextualSpacing/>
        <w:jc w:val="both"/>
        <w:rPr>
          <w:rFonts w:ascii="Arial" w:eastAsia="Times New Roman" w:hAnsi="Arial" w:cs="Arial"/>
          <w:bCs/>
          <w:sz w:val="20"/>
          <w:szCs w:val="20"/>
          <w:lang w:val="es-MX" w:eastAsia="es-CO"/>
        </w:rPr>
      </w:pPr>
    </w:p>
    <w:p w14:paraId="2A424AEF" w14:textId="77777777" w:rsidR="007934CB" w:rsidRPr="00DD243D" w:rsidRDefault="007934CB" w:rsidP="009772F9">
      <w:pPr>
        <w:spacing w:after="0" w:line="240" w:lineRule="auto"/>
        <w:contextualSpacing/>
        <w:jc w:val="both"/>
        <w:rPr>
          <w:rFonts w:ascii="Arial" w:eastAsia="Times New Roman" w:hAnsi="Arial" w:cs="Arial"/>
          <w:b/>
          <w:lang w:val="es-ES" w:eastAsia="es-CO"/>
        </w:rPr>
      </w:pPr>
      <w:r w:rsidRPr="00DD243D">
        <w:rPr>
          <w:rFonts w:ascii="Arial" w:eastAsia="Times New Roman" w:hAnsi="Arial" w:cs="Arial"/>
          <w:b/>
          <w:bCs/>
          <w:lang w:eastAsia="es-CO"/>
        </w:rPr>
        <w:t xml:space="preserve">LEY DE GARANTÍAS ELECTORALES </w:t>
      </w:r>
      <w:bookmarkStart w:id="6" w:name="_Hlk77166669"/>
      <w:r w:rsidRPr="00DD243D">
        <w:rPr>
          <w:rFonts w:ascii="Arial" w:eastAsia="Times New Roman" w:hAnsi="Arial" w:cs="Arial"/>
          <w:b/>
          <w:bCs/>
          <w:lang w:eastAsia="es-CO"/>
        </w:rPr>
        <w:t>‒</w:t>
      </w:r>
      <w:bookmarkEnd w:id="6"/>
      <w:r w:rsidRPr="00DD243D">
        <w:rPr>
          <w:rFonts w:ascii="Arial" w:eastAsia="Times New Roman" w:hAnsi="Arial" w:cs="Arial"/>
          <w:b/>
          <w:bCs/>
          <w:lang w:eastAsia="es-CO"/>
        </w:rPr>
        <w:t xml:space="preserve"> </w:t>
      </w:r>
      <w:r w:rsidRPr="00DD243D">
        <w:rPr>
          <w:rFonts w:ascii="Arial" w:eastAsia="Times New Roman" w:hAnsi="Arial" w:cs="Arial"/>
          <w:b/>
          <w:lang w:val="es-ES" w:eastAsia="es-CO"/>
        </w:rPr>
        <w:t xml:space="preserve">Prohibición del artículo 33 </w:t>
      </w:r>
      <w:r w:rsidRPr="00DD243D">
        <w:rPr>
          <w:rFonts w:ascii="Arial" w:eastAsia="Times New Roman" w:hAnsi="Arial" w:cs="Arial"/>
          <w:b/>
          <w:bCs/>
          <w:lang w:eastAsia="es-CO"/>
        </w:rPr>
        <w:t>‒ Destinatarios</w:t>
      </w:r>
    </w:p>
    <w:p w14:paraId="4C41713D" w14:textId="77777777" w:rsidR="007934CB" w:rsidRPr="00DD243D" w:rsidRDefault="007934CB" w:rsidP="009772F9">
      <w:pPr>
        <w:tabs>
          <w:tab w:val="left" w:pos="426"/>
        </w:tabs>
        <w:spacing w:after="0" w:line="240" w:lineRule="auto"/>
        <w:contextualSpacing/>
        <w:jc w:val="both"/>
        <w:rPr>
          <w:rFonts w:ascii="Arial" w:eastAsia="Calibri" w:hAnsi="Arial" w:cs="Arial"/>
          <w:noProof/>
          <w:sz w:val="20"/>
          <w:szCs w:val="20"/>
          <w:lang w:val="es-ES"/>
        </w:rPr>
      </w:pPr>
    </w:p>
    <w:p w14:paraId="05A216C4" w14:textId="77777777" w:rsidR="007934CB" w:rsidRPr="00DD243D" w:rsidRDefault="007934CB" w:rsidP="009772F9">
      <w:pPr>
        <w:tabs>
          <w:tab w:val="left" w:pos="426"/>
        </w:tabs>
        <w:spacing w:after="0" w:line="240" w:lineRule="auto"/>
        <w:contextualSpacing/>
        <w:jc w:val="both"/>
        <w:rPr>
          <w:rFonts w:ascii="Arial" w:eastAsia="Times New Roman" w:hAnsi="Arial" w:cs="Arial"/>
          <w:bCs/>
          <w:sz w:val="20"/>
          <w:szCs w:val="20"/>
          <w:lang w:val="es-MX" w:eastAsia="x-none"/>
        </w:rPr>
      </w:pPr>
      <w:r w:rsidRPr="00DD243D">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D243D">
        <w:rPr>
          <w:rFonts w:ascii="Arial" w:eastAsia="Calibri" w:hAnsi="Arial" w:cs="Arial"/>
          <w:sz w:val="20"/>
          <w:szCs w:val="20"/>
          <w:lang w:val="es-MX"/>
        </w:rPr>
        <w:t xml:space="preserve"> </w:t>
      </w:r>
      <w:r w:rsidRPr="00DD243D">
        <w:rPr>
          <w:rFonts w:ascii="Arial" w:eastAsia="Times New Roman" w:hAnsi="Arial" w:cs="Arial"/>
          <w:bCs/>
          <w:sz w:val="20"/>
          <w:szCs w:val="20"/>
          <w:lang w:val="es-MX" w:eastAsia="x-none"/>
        </w:rPr>
        <w:t>En efecto, como ha sostenido el Consejo de Estado, el vocablo «todos» utilizado por el legislador comprende</w:t>
      </w:r>
      <w:r w:rsidRPr="00DD243D">
        <w:rPr>
          <w:rFonts w:ascii="Arial" w:eastAsia="Calibri" w:hAnsi="Arial" w:cs="Arial"/>
          <w:sz w:val="20"/>
          <w:szCs w:val="20"/>
          <w:lang w:val="es-MX"/>
        </w:rPr>
        <w:t xml:space="preserve"> </w:t>
      </w:r>
      <w:r w:rsidRPr="00DD243D">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6501C5E" w14:textId="77777777" w:rsidR="007934CB" w:rsidRPr="00DD243D" w:rsidRDefault="007934CB" w:rsidP="009772F9">
      <w:pPr>
        <w:tabs>
          <w:tab w:val="left" w:pos="426"/>
        </w:tabs>
        <w:spacing w:after="0" w:line="240" w:lineRule="auto"/>
        <w:contextualSpacing/>
        <w:jc w:val="both"/>
        <w:rPr>
          <w:rFonts w:ascii="Arial" w:eastAsia="Calibri" w:hAnsi="Arial" w:cs="Arial"/>
          <w:sz w:val="20"/>
          <w:szCs w:val="20"/>
          <w:lang w:val="es-MX"/>
        </w:rPr>
      </w:pPr>
    </w:p>
    <w:p w14:paraId="3A5D20B5" w14:textId="77777777" w:rsidR="007934CB" w:rsidRPr="00DD243D" w:rsidRDefault="007934CB" w:rsidP="009772F9">
      <w:pPr>
        <w:tabs>
          <w:tab w:val="left" w:pos="426"/>
        </w:tabs>
        <w:spacing w:after="0" w:line="240" w:lineRule="auto"/>
        <w:contextualSpacing/>
        <w:jc w:val="both"/>
        <w:rPr>
          <w:rFonts w:ascii="Arial" w:eastAsia="Calibri" w:hAnsi="Arial" w:cs="Arial"/>
          <w:b/>
          <w:bCs/>
          <w:lang w:val="es-MX"/>
        </w:rPr>
      </w:pPr>
      <w:r w:rsidRPr="00DD243D">
        <w:rPr>
          <w:rFonts w:ascii="Arial" w:eastAsia="Calibri" w:hAnsi="Arial" w:cs="Arial"/>
          <w:b/>
          <w:bCs/>
          <w:lang w:val="es-MX"/>
        </w:rPr>
        <w:t xml:space="preserve">LEY DE GARANTÍAS ELECTORALES ‒ Prohibición por elección de cargos populares – Convenios y contratos interadministrativos </w:t>
      </w:r>
      <w:r w:rsidRPr="00DD243D">
        <w:rPr>
          <w:rFonts w:ascii="Arial" w:eastAsia="Calibri" w:hAnsi="Arial" w:cs="Arial"/>
          <w:b/>
          <w:lang w:val="es-MX"/>
        </w:rPr>
        <w:t>– Definición – Criterio orgánico</w:t>
      </w:r>
    </w:p>
    <w:p w14:paraId="21BCA270" w14:textId="77777777" w:rsidR="007934CB" w:rsidRPr="00DD243D" w:rsidRDefault="007934CB" w:rsidP="009772F9">
      <w:pPr>
        <w:tabs>
          <w:tab w:val="left" w:pos="426"/>
        </w:tabs>
        <w:spacing w:after="0" w:line="240" w:lineRule="auto"/>
        <w:contextualSpacing/>
        <w:jc w:val="both"/>
        <w:rPr>
          <w:rFonts w:ascii="Arial" w:eastAsia="Calibri" w:hAnsi="Arial" w:cs="Arial"/>
          <w:sz w:val="20"/>
          <w:szCs w:val="20"/>
          <w:lang w:val="es-MX"/>
        </w:rPr>
      </w:pPr>
    </w:p>
    <w:p w14:paraId="5CB05EA1" w14:textId="77777777" w:rsidR="007934CB" w:rsidRPr="00DD243D" w:rsidRDefault="007934CB" w:rsidP="009772F9">
      <w:pPr>
        <w:tabs>
          <w:tab w:val="left" w:pos="426"/>
        </w:tabs>
        <w:spacing w:after="0" w:line="240" w:lineRule="auto"/>
        <w:contextualSpacing/>
        <w:jc w:val="both"/>
        <w:rPr>
          <w:rFonts w:ascii="Arial" w:eastAsia="Calibri" w:hAnsi="Arial" w:cs="Arial"/>
          <w:sz w:val="20"/>
          <w:szCs w:val="20"/>
          <w:lang w:val="es-MX"/>
        </w:rPr>
      </w:pPr>
      <w:r w:rsidRPr="00DD243D">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752B2C50" w14:textId="77777777" w:rsidR="007934CB" w:rsidRPr="00DD243D" w:rsidRDefault="007934CB" w:rsidP="009772F9">
      <w:pPr>
        <w:tabs>
          <w:tab w:val="left" w:pos="426"/>
        </w:tabs>
        <w:spacing w:after="0" w:line="240" w:lineRule="auto"/>
        <w:contextualSpacing/>
        <w:jc w:val="both"/>
        <w:rPr>
          <w:rFonts w:ascii="Arial" w:eastAsia="Calibri" w:hAnsi="Arial" w:cs="Arial"/>
          <w:sz w:val="20"/>
          <w:szCs w:val="20"/>
          <w:lang w:val="es-MX"/>
        </w:rPr>
      </w:pPr>
    </w:p>
    <w:p w14:paraId="144FF380" w14:textId="77777777" w:rsidR="007934CB" w:rsidRPr="00DD243D" w:rsidRDefault="007934CB" w:rsidP="009772F9">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D243D">
        <w:rPr>
          <w:rFonts w:ascii="Arial" w:eastAsia="Calibri" w:hAnsi="Arial" w:cs="Arial"/>
          <w:sz w:val="20"/>
          <w:szCs w:val="20"/>
          <w:lang w:val="es-MX"/>
        </w:rPr>
        <w:t xml:space="preserve">[…] </w:t>
      </w:r>
      <w:r w:rsidRPr="00DD243D">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DD243D">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D243D">
        <w:rPr>
          <w:rFonts w:ascii="Arial" w:eastAsia="Arial" w:hAnsi="Arial" w:cs="Arial"/>
          <w:spacing w:val="-6"/>
          <w:sz w:val="20"/>
          <w:szCs w:val="20"/>
          <w:lang w:val="es-ES" w:eastAsia="es-ES" w:bidi="es-ES"/>
        </w:rPr>
        <w:t xml:space="preserve"> </w:t>
      </w:r>
      <w:r w:rsidRPr="00DD243D">
        <w:rPr>
          <w:rFonts w:ascii="Arial" w:eastAsia="Arial" w:hAnsi="Arial" w:cs="Arial"/>
          <w:sz w:val="20"/>
          <w:szCs w:val="20"/>
          <w:lang w:val="es-ES" w:eastAsia="es-ES" w:bidi="es-ES"/>
        </w:rPr>
        <w:t>estatales.</w:t>
      </w:r>
    </w:p>
    <w:bookmarkEnd w:id="2"/>
    <w:p w14:paraId="5A3D217B" w14:textId="77777777" w:rsidR="007934CB" w:rsidRPr="00DD243D" w:rsidRDefault="007934CB" w:rsidP="009772F9">
      <w:pPr>
        <w:spacing w:after="0" w:line="240" w:lineRule="auto"/>
        <w:contextualSpacing/>
        <w:jc w:val="both"/>
        <w:rPr>
          <w:rFonts w:ascii="Arial" w:eastAsia="Calibri" w:hAnsi="Arial" w:cs="Arial"/>
          <w:sz w:val="20"/>
          <w:szCs w:val="20"/>
          <w:lang w:val="es-MX"/>
        </w:rPr>
      </w:pPr>
    </w:p>
    <w:p w14:paraId="763A5D6C" w14:textId="77777777" w:rsidR="007934CB" w:rsidRPr="008C2801" w:rsidRDefault="007934CB" w:rsidP="009772F9">
      <w:pPr>
        <w:spacing w:after="0" w:line="240" w:lineRule="auto"/>
        <w:contextualSpacing/>
        <w:jc w:val="both"/>
        <w:rPr>
          <w:rFonts w:ascii="Arial" w:hAnsi="Arial" w:cs="Arial"/>
          <w:b/>
          <w:color w:val="000000" w:themeColor="text1"/>
          <w:lang w:val="es-MX"/>
        </w:rPr>
      </w:pPr>
      <w:r w:rsidRPr="008C2801">
        <w:rPr>
          <w:rFonts w:ascii="Arial" w:eastAsia="Calibri" w:hAnsi="Arial" w:cs="Arial"/>
          <w:b/>
          <w:color w:val="000000" w:themeColor="text1"/>
          <w:lang w:val="es-MX"/>
        </w:rPr>
        <w:t xml:space="preserve">CONTRATOS Y </w:t>
      </w:r>
      <w:r w:rsidRPr="008C2801">
        <w:rPr>
          <w:rFonts w:ascii="Arial" w:hAnsi="Arial" w:cs="Arial"/>
          <w:b/>
          <w:color w:val="000000" w:themeColor="text1"/>
          <w:lang w:val="es-MX"/>
        </w:rPr>
        <w:t>CONVENIOS INTERADMINISTRATIVOS – Modalidad de selección</w:t>
      </w:r>
    </w:p>
    <w:p w14:paraId="381EEE19" w14:textId="77777777" w:rsidR="007934CB" w:rsidRPr="008C2801" w:rsidRDefault="007934CB" w:rsidP="009772F9">
      <w:pPr>
        <w:spacing w:after="0" w:line="240" w:lineRule="auto"/>
        <w:contextualSpacing/>
        <w:jc w:val="both"/>
        <w:rPr>
          <w:rFonts w:ascii="Arial" w:hAnsi="Arial" w:cs="Arial"/>
          <w:b/>
          <w:color w:val="000000" w:themeColor="text1"/>
          <w:sz w:val="20"/>
          <w:szCs w:val="20"/>
          <w:lang w:val="es-MX"/>
        </w:rPr>
      </w:pPr>
    </w:p>
    <w:p w14:paraId="15A10449" w14:textId="77777777" w:rsidR="007934CB" w:rsidRPr="008C2801" w:rsidRDefault="007934CB" w:rsidP="009772F9">
      <w:pPr>
        <w:spacing w:after="0" w:line="240" w:lineRule="auto"/>
        <w:contextualSpacing/>
        <w:jc w:val="both"/>
        <w:rPr>
          <w:rFonts w:ascii="Arial" w:eastAsia="Calibri" w:hAnsi="Arial" w:cs="Arial"/>
          <w:bCs/>
          <w:color w:val="000000" w:themeColor="text1"/>
          <w:sz w:val="20"/>
          <w:szCs w:val="20"/>
          <w:lang w:val="es-MX" w:bidi="es-ES"/>
        </w:rPr>
      </w:pPr>
      <w:r w:rsidRPr="008C2801">
        <w:rPr>
          <w:rFonts w:ascii="Arial" w:eastAsia="Calibri" w:hAnsi="Arial" w:cs="Arial"/>
          <w:bCs/>
          <w:color w:val="000000" w:themeColor="text1"/>
          <w:sz w:val="20"/>
          <w:szCs w:val="20"/>
          <w:lang w:val="es-MX"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w:t>
      </w:r>
      <w:r w:rsidRPr="008C2801">
        <w:rPr>
          <w:rFonts w:ascii="Arial" w:eastAsia="Calibri" w:hAnsi="Arial" w:cs="Arial"/>
          <w:bCs/>
          <w:color w:val="000000" w:themeColor="text1"/>
          <w:sz w:val="20"/>
          <w:szCs w:val="20"/>
          <w:lang w:val="es-MX" w:bidi="es-ES"/>
        </w:rPr>
        <w:lastRenderedPageBreak/>
        <w:t>deba adelantarse un procedimiento con pluralidad de oferentes. Nótese que, en este caso, lo que cambia es la modalidad de selección y no la naturaleza de contrato interadministrativo.</w:t>
      </w:r>
    </w:p>
    <w:p w14:paraId="5D2E17C5" w14:textId="77777777" w:rsidR="007934CB" w:rsidRPr="008C2801" w:rsidRDefault="007934CB" w:rsidP="009772F9">
      <w:pPr>
        <w:tabs>
          <w:tab w:val="left" w:pos="426"/>
        </w:tabs>
        <w:spacing w:after="0" w:line="240" w:lineRule="auto"/>
        <w:contextualSpacing/>
        <w:jc w:val="both"/>
        <w:rPr>
          <w:rFonts w:ascii="Arial" w:hAnsi="Arial" w:cs="Arial"/>
          <w:sz w:val="20"/>
          <w:szCs w:val="20"/>
        </w:rPr>
      </w:pPr>
    </w:p>
    <w:p w14:paraId="4C52C3B2" w14:textId="77777777" w:rsidR="007934CB" w:rsidRPr="008C2801" w:rsidRDefault="007934CB" w:rsidP="009772F9">
      <w:pPr>
        <w:tabs>
          <w:tab w:val="left" w:pos="426"/>
          <w:tab w:val="right" w:pos="8838"/>
        </w:tabs>
        <w:spacing w:after="0" w:line="240" w:lineRule="auto"/>
        <w:contextualSpacing/>
        <w:jc w:val="both"/>
        <w:outlineLvl w:val="0"/>
        <w:rPr>
          <w:rFonts w:ascii="Arial" w:eastAsia="Calibri" w:hAnsi="Arial" w:cs="Arial"/>
          <w:b/>
          <w:color w:val="000000" w:themeColor="text1"/>
          <w:lang w:val="es-ES_tradnl"/>
        </w:rPr>
      </w:pPr>
      <w:r w:rsidRPr="008C2801">
        <w:rPr>
          <w:rFonts w:ascii="Arial" w:eastAsia="Calibri" w:hAnsi="Arial" w:cs="Arial"/>
          <w:b/>
          <w:color w:val="000000" w:themeColor="text1"/>
          <w:lang w:val="es-ES_tradnl"/>
        </w:rPr>
        <w:t xml:space="preserve">DECLARATORIA DE INEXEQUIBILIDAD </w:t>
      </w:r>
      <w:r w:rsidRPr="008C2801">
        <w:rPr>
          <w:rFonts w:ascii="Arial" w:hAnsi="Arial" w:cs="Arial"/>
          <w:b/>
          <w:color w:val="000000" w:themeColor="text1"/>
          <w:lang w:val="es-MX"/>
        </w:rPr>
        <w:t>–</w:t>
      </w:r>
      <w:r w:rsidRPr="008C2801">
        <w:rPr>
          <w:rFonts w:ascii="Arial" w:eastAsia="Calibri" w:hAnsi="Arial" w:cs="Arial"/>
          <w:b/>
          <w:color w:val="000000" w:themeColor="text1"/>
          <w:lang w:val="es-ES_tradnl"/>
        </w:rPr>
        <w:t xml:space="preserve"> Artículo 124 de la Ley 2159 de 2021 – Carencia de objeto</w:t>
      </w:r>
    </w:p>
    <w:p w14:paraId="1E2A696B" w14:textId="77777777" w:rsidR="007934CB" w:rsidRPr="008C2801" w:rsidRDefault="007934CB" w:rsidP="009772F9">
      <w:pPr>
        <w:tabs>
          <w:tab w:val="left" w:pos="426"/>
          <w:tab w:val="right" w:pos="8838"/>
        </w:tabs>
        <w:spacing w:after="0" w:line="240" w:lineRule="auto"/>
        <w:contextualSpacing/>
        <w:jc w:val="both"/>
        <w:outlineLvl w:val="0"/>
        <w:rPr>
          <w:rFonts w:ascii="Arial" w:eastAsia="Calibri" w:hAnsi="Arial" w:cs="Arial"/>
          <w:b/>
          <w:color w:val="000000" w:themeColor="text1"/>
          <w:sz w:val="20"/>
          <w:szCs w:val="20"/>
          <w:lang w:val="es-ES_tradnl"/>
        </w:rPr>
      </w:pPr>
      <w:r w:rsidRPr="008C2801">
        <w:rPr>
          <w:rFonts w:ascii="Arial" w:eastAsia="Calibri" w:hAnsi="Arial" w:cs="Arial"/>
          <w:b/>
          <w:color w:val="000000" w:themeColor="text1"/>
          <w:sz w:val="20"/>
          <w:szCs w:val="20"/>
          <w:lang w:val="es-ES_tradnl"/>
        </w:rPr>
        <w:tab/>
      </w:r>
    </w:p>
    <w:p w14:paraId="5C1AFAF9" w14:textId="77777777" w:rsidR="007934CB" w:rsidRPr="00152AA0" w:rsidRDefault="007934CB" w:rsidP="009772F9">
      <w:pPr>
        <w:spacing w:after="0" w:line="240" w:lineRule="auto"/>
        <w:contextualSpacing/>
        <w:jc w:val="both"/>
        <w:rPr>
          <w:sz w:val="20"/>
          <w:szCs w:val="20"/>
        </w:rPr>
      </w:pPr>
      <w:r w:rsidRPr="00152AA0">
        <w:rPr>
          <w:rFonts w:ascii="Arial" w:eastAsia="Calibri" w:hAnsi="Arial" w:cs="Arial"/>
          <w:bCs/>
          <w:color w:val="000000" w:themeColor="text1"/>
          <w:sz w:val="20"/>
          <w:szCs w:val="20"/>
          <w:lang w:val="es-ES_tradnl"/>
        </w:rPr>
        <w:t xml:space="preserve">Al declararse inexequible el artículo 124 de la Ley 2159 de 2021 por parte de la Corte Constitucional, la Agencia Nacional de Contratación Pública – Colombia Compra Eficiente carece de competencia para pronunciarse respecto de su consulta, por haber salido del ordenamiento jurídico el precepto sobre el que versa la petición, presentándose la carencia actual de objeto por </w:t>
      </w:r>
      <w:r w:rsidRPr="00152AA0">
        <w:rPr>
          <w:rFonts w:ascii="Arial" w:eastAsia="Calibri" w:hAnsi="Arial" w:cs="Arial"/>
          <w:bCs/>
          <w:i/>
          <w:iCs/>
          <w:color w:val="000000" w:themeColor="text1"/>
          <w:sz w:val="20"/>
          <w:szCs w:val="20"/>
          <w:lang w:val="es-ES_tradnl"/>
        </w:rPr>
        <w:t>sustracción de materia</w:t>
      </w:r>
      <w:r>
        <w:rPr>
          <w:rFonts w:ascii="Arial" w:eastAsia="Calibri" w:hAnsi="Arial" w:cs="Arial"/>
          <w:bCs/>
          <w:i/>
          <w:iCs/>
          <w:color w:val="000000" w:themeColor="text1"/>
          <w:sz w:val="20"/>
          <w:szCs w:val="20"/>
          <w:lang w:val="es-ES_tradnl"/>
        </w:rPr>
        <w:t xml:space="preserve">. </w:t>
      </w:r>
    </w:p>
    <w:p w14:paraId="7FEF19FC" w14:textId="2D70CF8E" w:rsidR="007934CB" w:rsidRDefault="007934CB">
      <w:pPr>
        <w:rPr>
          <w:rFonts w:ascii="Arial" w:eastAsia="Arial" w:hAnsi="Arial" w:cs="Arial"/>
          <w:b/>
          <w:bCs/>
          <w:lang w:val="es-ES" w:eastAsia="es-ES" w:bidi="es-ES"/>
        </w:rPr>
      </w:pPr>
      <w:r>
        <w:rPr>
          <w:rFonts w:ascii="Arial" w:eastAsia="Arial" w:hAnsi="Arial" w:cs="Arial"/>
          <w:b/>
          <w:bCs/>
          <w:lang w:val="es-ES" w:eastAsia="es-ES" w:bidi="es-ES"/>
        </w:rPr>
        <w:br w:type="page"/>
      </w:r>
    </w:p>
    <w:p w14:paraId="773D9FEF" w14:textId="03115F14" w:rsidR="009E73EC" w:rsidRDefault="009E73EC" w:rsidP="009E73EC">
      <w:pPr>
        <w:spacing w:after="0" w:line="276" w:lineRule="auto"/>
        <w:jc w:val="right"/>
        <w:rPr>
          <w:rFonts w:ascii="Arial" w:eastAsia="Times New Roman" w:hAnsi="Arial" w:cs="Arial"/>
          <w:b/>
          <w:bCs/>
          <w:sz w:val="16"/>
          <w:szCs w:val="16"/>
          <w:lang w:eastAsia="es-ES"/>
        </w:rPr>
      </w:pPr>
      <w:r w:rsidRPr="00DD243D">
        <w:rPr>
          <w:rFonts w:ascii="Arial" w:eastAsia="Times New Roman" w:hAnsi="Arial" w:cs="Arial"/>
          <w:b/>
          <w:bCs/>
          <w:sz w:val="16"/>
          <w:szCs w:val="16"/>
          <w:lang w:eastAsia="es-ES"/>
        </w:rPr>
        <w:lastRenderedPageBreak/>
        <w:t>CCE-DES-FM-17</w:t>
      </w:r>
    </w:p>
    <w:p w14:paraId="4C793059" w14:textId="60409502" w:rsidR="009772F9" w:rsidRDefault="009772F9" w:rsidP="009E73EC">
      <w:pPr>
        <w:spacing w:after="0" w:line="276" w:lineRule="auto"/>
        <w:jc w:val="right"/>
        <w:rPr>
          <w:rFonts w:ascii="Arial" w:eastAsia="Times New Roman" w:hAnsi="Arial" w:cs="Arial"/>
          <w:b/>
          <w:bCs/>
          <w:sz w:val="16"/>
          <w:szCs w:val="16"/>
          <w:lang w:eastAsia="es-ES"/>
        </w:rPr>
      </w:pPr>
    </w:p>
    <w:p w14:paraId="7825ECAD" w14:textId="110550F2" w:rsidR="009772F9" w:rsidRDefault="0013042B" w:rsidP="009E73EC">
      <w:pPr>
        <w:spacing w:after="0" w:line="276" w:lineRule="auto"/>
        <w:jc w:val="right"/>
        <w:rPr>
          <w:rFonts w:ascii="Arial" w:eastAsia="Times New Roman" w:hAnsi="Arial" w:cs="Arial"/>
          <w:b/>
          <w:bCs/>
          <w:sz w:val="16"/>
          <w:szCs w:val="16"/>
          <w:lang w:eastAsia="es-ES"/>
        </w:rPr>
      </w:pPr>
      <w:r>
        <w:rPr>
          <w:rFonts w:ascii="Arial" w:eastAsia="Arial" w:hAnsi="Arial" w:cs="Arial"/>
          <w:noProof/>
          <w:lang w:val="es-MX" w:eastAsia="es-ES_tradnl"/>
        </w:rPr>
        <w:drawing>
          <wp:inline distT="0" distB="0" distL="0" distR="0" wp14:anchorId="13FF06DE" wp14:editId="11B7F801">
            <wp:extent cx="3067050" cy="69285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749" cy="693016"/>
                    </a:xfrm>
                    <a:prstGeom prst="rect">
                      <a:avLst/>
                    </a:prstGeom>
                    <a:noFill/>
                    <a:ln>
                      <a:noFill/>
                    </a:ln>
                  </pic:spPr>
                </pic:pic>
              </a:graphicData>
            </a:graphic>
          </wp:inline>
        </w:drawing>
      </w:r>
    </w:p>
    <w:p w14:paraId="3A81BE6A" w14:textId="5AA9B4E5" w:rsidR="009772F9" w:rsidRPr="00DD243D" w:rsidRDefault="00377BA7" w:rsidP="009E73EC">
      <w:pPr>
        <w:spacing w:after="0" w:line="276" w:lineRule="auto"/>
        <w:jc w:val="right"/>
        <w:rPr>
          <w:rFonts w:ascii="Arial" w:eastAsia="Calibri" w:hAnsi="Arial" w:cs="Arial"/>
          <w:b/>
          <w:bCs/>
          <w:sz w:val="16"/>
          <w:szCs w:val="16"/>
        </w:rPr>
      </w:pPr>
      <w:r w:rsidRPr="00377BA7">
        <w:rPr>
          <w:rFonts w:ascii="Arial" w:eastAsia="Calibri" w:hAnsi="Arial" w:cs="Arial"/>
          <w:b/>
          <w:bCs/>
          <w:sz w:val="16"/>
          <w:szCs w:val="16"/>
        </w:rPr>
        <w:drawing>
          <wp:inline distT="0" distB="0" distL="0" distR="0" wp14:anchorId="3B8DA3B6" wp14:editId="402B1B31">
            <wp:extent cx="3119590" cy="851416"/>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7576" cy="861783"/>
                    </a:xfrm>
                    <a:prstGeom prst="rect">
                      <a:avLst/>
                    </a:prstGeom>
                  </pic:spPr>
                </pic:pic>
              </a:graphicData>
            </a:graphic>
          </wp:inline>
        </w:drawing>
      </w:r>
    </w:p>
    <w:p w14:paraId="34693C1A" w14:textId="708137C4" w:rsidR="009E73EC" w:rsidRPr="00DD243D" w:rsidRDefault="009E73EC" w:rsidP="006443A5">
      <w:pPr>
        <w:spacing w:after="0" w:line="276" w:lineRule="auto"/>
        <w:contextualSpacing/>
        <w:jc w:val="both"/>
        <w:rPr>
          <w:rFonts w:ascii="Arial" w:eastAsia="Calibri" w:hAnsi="Arial" w:cs="Arial"/>
        </w:rPr>
      </w:pPr>
      <w:bookmarkStart w:id="7" w:name="_Hlk96417464"/>
      <w:bookmarkStart w:id="8" w:name="_Hlk100170951"/>
      <w:r w:rsidRPr="00DD243D">
        <w:rPr>
          <w:rFonts w:ascii="Arial" w:eastAsia="Calibri" w:hAnsi="Arial" w:cs="Arial"/>
        </w:rPr>
        <w:t xml:space="preserve">Bogotá D.C., </w:t>
      </w:r>
      <w:r w:rsidR="009772F9">
        <w:rPr>
          <w:rFonts w:ascii="Arial" w:eastAsia="Calibri" w:hAnsi="Arial" w:cs="Arial"/>
        </w:rPr>
        <w:t>26 de mayo de 2022</w:t>
      </w:r>
    </w:p>
    <w:p w14:paraId="44337B06" w14:textId="77777777" w:rsidR="009E73EC" w:rsidRPr="00DD243D" w:rsidRDefault="009E73EC" w:rsidP="006443A5">
      <w:pPr>
        <w:spacing w:after="0" w:line="276" w:lineRule="auto"/>
        <w:contextualSpacing/>
        <w:jc w:val="both"/>
        <w:rPr>
          <w:rFonts w:ascii="Arial" w:eastAsia="Calibri" w:hAnsi="Arial" w:cs="Arial"/>
        </w:rPr>
      </w:pPr>
    </w:p>
    <w:p w14:paraId="06037D42" w14:textId="77777777" w:rsidR="009E73EC" w:rsidRPr="00DD243D" w:rsidRDefault="009E73EC" w:rsidP="006443A5">
      <w:pPr>
        <w:spacing w:after="0" w:line="276" w:lineRule="auto"/>
        <w:contextualSpacing/>
        <w:jc w:val="both"/>
        <w:rPr>
          <w:rFonts w:ascii="Arial" w:eastAsia="Calibri" w:hAnsi="Arial" w:cs="Arial"/>
        </w:rPr>
      </w:pPr>
    </w:p>
    <w:p w14:paraId="4EE90BEA" w14:textId="25E56138" w:rsidR="009E73EC" w:rsidRPr="00DD243D" w:rsidRDefault="009E73EC" w:rsidP="006443A5">
      <w:pPr>
        <w:spacing w:after="0" w:line="276" w:lineRule="auto"/>
        <w:contextualSpacing/>
        <w:jc w:val="both"/>
        <w:rPr>
          <w:rFonts w:ascii="Arial" w:eastAsia="Calibri" w:hAnsi="Arial" w:cs="Arial"/>
        </w:rPr>
      </w:pPr>
      <w:r w:rsidRPr="00DD243D">
        <w:rPr>
          <w:rFonts w:ascii="Arial" w:eastAsia="Calibri" w:hAnsi="Arial" w:cs="Arial"/>
        </w:rPr>
        <w:t xml:space="preserve">Señor </w:t>
      </w:r>
    </w:p>
    <w:p w14:paraId="5D7B0006" w14:textId="2EC20DC0" w:rsidR="009E73EC" w:rsidRPr="00DD243D" w:rsidRDefault="009E73EC" w:rsidP="006443A5">
      <w:pPr>
        <w:spacing w:after="0" w:line="276" w:lineRule="auto"/>
        <w:contextualSpacing/>
        <w:jc w:val="both"/>
        <w:rPr>
          <w:rFonts w:ascii="Arial" w:eastAsia="Calibri" w:hAnsi="Arial" w:cs="Arial"/>
          <w:b/>
        </w:rPr>
      </w:pPr>
      <w:r w:rsidRPr="00DD243D">
        <w:rPr>
          <w:rFonts w:ascii="Arial" w:eastAsia="Calibri" w:hAnsi="Arial" w:cs="Arial"/>
          <w:b/>
        </w:rPr>
        <w:t xml:space="preserve">Walter Pulido </w:t>
      </w:r>
      <w:r w:rsidR="006443A5" w:rsidRPr="00DD243D">
        <w:rPr>
          <w:rFonts w:ascii="Arial" w:eastAsia="Calibri" w:hAnsi="Arial" w:cs="Arial"/>
          <w:b/>
        </w:rPr>
        <w:t>Ríos</w:t>
      </w:r>
    </w:p>
    <w:p w14:paraId="52BCD539" w14:textId="42F169EC" w:rsidR="009E73EC" w:rsidRPr="00DD243D" w:rsidRDefault="009E73EC" w:rsidP="006443A5">
      <w:pPr>
        <w:spacing w:after="0" w:line="276" w:lineRule="auto"/>
        <w:contextualSpacing/>
        <w:jc w:val="both"/>
        <w:rPr>
          <w:rFonts w:ascii="Arial" w:eastAsia="Calibri" w:hAnsi="Arial" w:cs="Arial"/>
        </w:rPr>
      </w:pPr>
      <w:r w:rsidRPr="00DD243D">
        <w:rPr>
          <w:rFonts w:ascii="Arial" w:hAnsi="Arial" w:cs="Arial"/>
        </w:rPr>
        <w:t>Ibagué, Tolima</w:t>
      </w:r>
      <w:r w:rsidRPr="00DD243D">
        <w:rPr>
          <w:rFonts w:ascii="Arial" w:eastAsia="Calibri" w:hAnsi="Arial" w:cs="Arial"/>
        </w:rPr>
        <w:t xml:space="preserve"> </w:t>
      </w:r>
    </w:p>
    <w:p w14:paraId="314CCCE4" w14:textId="77777777" w:rsidR="009E73EC" w:rsidRPr="00DD243D" w:rsidRDefault="009E73EC" w:rsidP="006443A5">
      <w:pPr>
        <w:spacing w:after="0" w:line="276" w:lineRule="auto"/>
        <w:contextualSpacing/>
        <w:jc w:val="both"/>
        <w:rPr>
          <w:rFonts w:ascii="Arial" w:eastAsia="Calibri" w:hAnsi="Arial" w:cs="Arial"/>
        </w:rPr>
      </w:pPr>
    </w:p>
    <w:p w14:paraId="6A5D10DB" w14:textId="77777777" w:rsidR="009E73EC" w:rsidRPr="00DD243D" w:rsidRDefault="009E73EC" w:rsidP="006443A5">
      <w:pPr>
        <w:spacing w:after="0" w:line="276" w:lineRule="auto"/>
        <w:contextualSpacing/>
        <w:jc w:val="both"/>
        <w:rPr>
          <w:rFonts w:ascii="Arial" w:eastAsia="Calibri" w:hAnsi="Arial" w:cs="Arial"/>
        </w:rPr>
      </w:pPr>
    </w:p>
    <w:p w14:paraId="0F5C8D16" w14:textId="5E3B3C59" w:rsidR="009E73EC" w:rsidRPr="00DD243D" w:rsidRDefault="009E73EC" w:rsidP="006443A5">
      <w:pPr>
        <w:spacing w:after="0" w:line="276" w:lineRule="auto"/>
        <w:contextualSpacing/>
        <w:jc w:val="both"/>
        <w:rPr>
          <w:rFonts w:ascii="Arial" w:eastAsia="Calibri" w:hAnsi="Arial" w:cs="Arial"/>
        </w:rPr>
      </w:pPr>
      <w:r w:rsidRPr="00DD243D">
        <w:rPr>
          <w:rFonts w:ascii="Arial" w:eastAsia="Calibri" w:hAnsi="Arial" w:cs="Arial"/>
        </w:rPr>
        <w:t xml:space="preserve">                                            </w:t>
      </w:r>
      <w:r w:rsidRPr="00DD243D">
        <w:rPr>
          <w:rFonts w:ascii="Arial" w:eastAsia="Calibri" w:hAnsi="Arial" w:cs="Arial"/>
          <w:b/>
        </w:rPr>
        <w:t>Concepto C – 112 de 2022</w:t>
      </w:r>
      <w:r w:rsidRPr="00DD243D">
        <w:rPr>
          <w:rFonts w:ascii="Arial" w:eastAsia="Calibri" w:hAnsi="Arial" w:cs="Arial"/>
        </w:rPr>
        <w:t xml:space="preserve"> </w:t>
      </w:r>
    </w:p>
    <w:p w14:paraId="6C9D2B34" w14:textId="77777777" w:rsidR="009E73EC" w:rsidRPr="00DD243D" w:rsidRDefault="009E73EC" w:rsidP="006443A5">
      <w:pPr>
        <w:spacing w:after="0" w:line="276"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D3168" w:rsidRPr="00DD243D" w14:paraId="2E8969DD" w14:textId="77777777" w:rsidTr="00EB4171">
        <w:trPr>
          <w:trHeight w:val="485"/>
        </w:trPr>
        <w:tc>
          <w:tcPr>
            <w:tcW w:w="2689" w:type="dxa"/>
            <w:hideMark/>
          </w:tcPr>
          <w:p w14:paraId="648F5C28" w14:textId="77777777" w:rsidR="009E73EC" w:rsidRPr="00DD243D" w:rsidRDefault="009E73EC" w:rsidP="006443A5">
            <w:pPr>
              <w:spacing w:line="276" w:lineRule="auto"/>
              <w:contextualSpacing/>
              <w:rPr>
                <w:rFonts w:ascii="Arial" w:eastAsia="Calibri" w:hAnsi="Arial" w:cs="Arial"/>
                <w:noProof/>
                <w:lang w:val="es-ES_tradnl"/>
              </w:rPr>
            </w:pPr>
            <w:r w:rsidRPr="00DD243D">
              <w:rPr>
                <w:rFonts w:ascii="Arial" w:eastAsia="Calibri" w:hAnsi="Arial" w:cs="Arial"/>
                <w:b/>
                <w:noProof/>
                <w:lang w:val="es-ES_tradnl"/>
              </w:rPr>
              <w:t>Temas:</w:t>
            </w:r>
            <w:r w:rsidRPr="00DD243D">
              <w:rPr>
                <w:rFonts w:ascii="Arial" w:eastAsia="Calibri" w:hAnsi="Arial" w:cs="Arial"/>
                <w:noProof/>
                <w:lang w:val="es-ES_tradnl"/>
              </w:rPr>
              <w:t xml:space="preserve">        </w:t>
            </w:r>
          </w:p>
        </w:tc>
        <w:tc>
          <w:tcPr>
            <w:tcW w:w="6237" w:type="dxa"/>
            <w:hideMark/>
          </w:tcPr>
          <w:p w14:paraId="04138C1E" w14:textId="77777777" w:rsidR="00C7187C" w:rsidRPr="008C2801" w:rsidRDefault="00010FFE" w:rsidP="00C7187C">
            <w:pPr>
              <w:tabs>
                <w:tab w:val="left" w:pos="426"/>
                <w:tab w:val="right" w:pos="8838"/>
              </w:tabs>
              <w:contextualSpacing/>
              <w:jc w:val="both"/>
              <w:outlineLvl w:val="0"/>
              <w:rPr>
                <w:rFonts w:ascii="Arial" w:eastAsia="Calibri" w:hAnsi="Arial" w:cs="Arial"/>
                <w:b/>
                <w:color w:val="000000" w:themeColor="text1"/>
                <w:lang w:val="es-ES_tradnl"/>
              </w:rPr>
            </w:pPr>
            <w:r w:rsidRPr="00DD243D">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DD243D">
              <w:rPr>
                <w:rFonts w:ascii="Arial" w:eastAsia="Times New Roman" w:hAnsi="Arial" w:cs="Arial"/>
                <w:lang w:eastAsia="es-CO"/>
              </w:rPr>
              <w:t>Excepciones</w:t>
            </w:r>
            <w:r w:rsidRPr="00DD243D">
              <w:rPr>
                <w:rFonts w:ascii="Arial" w:eastAsia="Calibri" w:hAnsi="Arial" w:cs="Arial"/>
                <w:lang w:val="es-MX"/>
              </w:rPr>
              <w:t xml:space="preserve"> / </w:t>
            </w:r>
            <w:r w:rsidRPr="00DD243D">
              <w:rPr>
                <w:rFonts w:ascii="Arial" w:eastAsia="Times New Roman" w:hAnsi="Arial" w:cs="Arial"/>
                <w:lang w:eastAsia="es-CO"/>
              </w:rPr>
              <w:t xml:space="preserve">LEY DE GARANTÍAS ELECTORALES ‒ </w:t>
            </w:r>
            <w:r w:rsidRPr="00DD243D">
              <w:rPr>
                <w:rFonts w:ascii="Arial" w:eastAsia="Times New Roman" w:hAnsi="Arial" w:cs="Arial"/>
                <w:lang w:val="es-ES" w:eastAsia="es-CO"/>
              </w:rPr>
              <w:t xml:space="preserve">Prohibición del artículo 33 </w:t>
            </w:r>
            <w:r w:rsidRPr="00DD243D">
              <w:rPr>
                <w:rFonts w:ascii="Arial" w:eastAsia="Times New Roman" w:hAnsi="Arial" w:cs="Arial"/>
                <w:lang w:eastAsia="es-CO"/>
              </w:rPr>
              <w:t xml:space="preserve">‒ Destinatarios / </w:t>
            </w:r>
            <w:r w:rsidRPr="00DD243D">
              <w:rPr>
                <w:rFonts w:ascii="Arial" w:eastAsia="Calibri" w:hAnsi="Arial" w:cs="Arial"/>
                <w:lang w:val="es-MX"/>
              </w:rPr>
              <w:t xml:space="preserve">LEY DE GARANTÍAS ELECTORALES ‒ Prohibición por elección de cargos populares – Convenios y contratos interadministrativos – Definición – Criterio orgánico / </w:t>
            </w:r>
            <w:r w:rsidR="00FC3E5A" w:rsidRPr="00C7187C">
              <w:rPr>
                <w:rFonts w:ascii="Arial" w:eastAsia="Calibri" w:hAnsi="Arial" w:cs="Arial"/>
                <w:bCs/>
                <w:color w:val="000000" w:themeColor="text1"/>
                <w:lang w:val="es-MX"/>
              </w:rPr>
              <w:t xml:space="preserve">CONTRATOS Y </w:t>
            </w:r>
            <w:r w:rsidR="00FC3E5A" w:rsidRPr="00C7187C">
              <w:rPr>
                <w:rFonts w:ascii="Arial" w:hAnsi="Arial" w:cs="Arial"/>
                <w:bCs/>
                <w:color w:val="000000" w:themeColor="text1"/>
                <w:lang w:val="es-MX"/>
              </w:rPr>
              <w:t xml:space="preserve">CONVENIOS INTERADMINISTRATIVOS – Modalidad de selección / </w:t>
            </w:r>
            <w:r w:rsidR="00C7187C" w:rsidRPr="00C7187C">
              <w:rPr>
                <w:rFonts w:ascii="Arial" w:eastAsia="Calibri" w:hAnsi="Arial" w:cs="Arial"/>
                <w:bCs/>
                <w:color w:val="000000" w:themeColor="text1"/>
                <w:lang w:val="es-ES_tradnl"/>
              </w:rPr>
              <w:t xml:space="preserve">DECLARATORIA DE INEXEQUIBILIDAD </w:t>
            </w:r>
            <w:r w:rsidR="00C7187C" w:rsidRPr="00C7187C">
              <w:rPr>
                <w:rFonts w:ascii="Arial" w:hAnsi="Arial" w:cs="Arial"/>
                <w:bCs/>
                <w:color w:val="000000" w:themeColor="text1"/>
                <w:lang w:val="es-MX"/>
              </w:rPr>
              <w:t>–</w:t>
            </w:r>
            <w:r w:rsidR="00C7187C" w:rsidRPr="00C7187C">
              <w:rPr>
                <w:rFonts w:ascii="Arial" w:eastAsia="Calibri" w:hAnsi="Arial" w:cs="Arial"/>
                <w:bCs/>
                <w:color w:val="000000" w:themeColor="text1"/>
                <w:lang w:val="es-ES_tradnl"/>
              </w:rPr>
              <w:t xml:space="preserve"> Artículo 124 de la Ley 2159 de 2021 – Carencia de objeto</w:t>
            </w:r>
          </w:p>
          <w:p w14:paraId="2C8481ED" w14:textId="092C7DD9" w:rsidR="009E73EC" w:rsidRPr="00DD243D" w:rsidRDefault="009E73EC" w:rsidP="006443A5">
            <w:pPr>
              <w:tabs>
                <w:tab w:val="left" w:pos="426"/>
              </w:tabs>
              <w:spacing w:line="276" w:lineRule="auto"/>
              <w:contextualSpacing/>
              <w:jc w:val="both"/>
              <w:rPr>
                <w:rFonts w:ascii="Arial" w:eastAsia="Calibri" w:hAnsi="Arial" w:cs="Arial"/>
                <w:lang w:val="es-MX"/>
              </w:rPr>
            </w:pPr>
          </w:p>
          <w:p w14:paraId="7279323E" w14:textId="77777777" w:rsidR="009E73EC" w:rsidRPr="00DD243D" w:rsidRDefault="009E73EC" w:rsidP="006443A5">
            <w:pPr>
              <w:spacing w:line="276" w:lineRule="auto"/>
              <w:contextualSpacing/>
              <w:rPr>
                <w:rFonts w:ascii="Arial" w:eastAsia="Calibri" w:hAnsi="Arial" w:cs="Arial"/>
                <w:lang w:val="es-MX"/>
              </w:rPr>
            </w:pPr>
          </w:p>
        </w:tc>
      </w:tr>
      <w:tr w:rsidR="009E73EC" w:rsidRPr="00DD243D" w14:paraId="0DAF399E" w14:textId="77777777" w:rsidTr="00EB4171">
        <w:tc>
          <w:tcPr>
            <w:tcW w:w="2689" w:type="dxa"/>
          </w:tcPr>
          <w:p w14:paraId="68AF0824" w14:textId="77777777" w:rsidR="009E73EC" w:rsidRPr="00DD243D" w:rsidRDefault="009E73EC" w:rsidP="006443A5">
            <w:pPr>
              <w:spacing w:line="276" w:lineRule="auto"/>
              <w:contextualSpacing/>
              <w:rPr>
                <w:rFonts w:ascii="Arial" w:eastAsia="Calibri" w:hAnsi="Arial" w:cs="Arial"/>
                <w:b/>
                <w:noProof/>
                <w:lang w:val="es-ES_tradnl"/>
              </w:rPr>
            </w:pPr>
            <w:r w:rsidRPr="00DD243D">
              <w:rPr>
                <w:rFonts w:ascii="Arial" w:eastAsia="Calibri" w:hAnsi="Arial" w:cs="Arial"/>
                <w:b/>
                <w:noProof/>
                <w:lang w:val="es-ES_tradnl"/>
              </w:rPr>
              <w:t>Radicación:</w:t>
            </w:r>
            <w:r w:rsidRPr="00DD243D">
              <w:rPr>
                <w:rFonts w:ascii="Arial" w:eastAsia="Calibri" w:hAnsi="Arial" w:cs="Arial"/>
                <w:noProof/>
                <w:lang w:val="es-ES_tradnl"/>
              </w:rPr>
              <w:t xml:space="preserve">                              </w:t>
            </w:r>
          </w:p>
        </w:tc>
        <w:tc>
          <w:tcPr>
            <w:tcW w:w="6237" w:type="dxa"/>
          </w:tcPr>
          <w:p w14:paraId="1DD84A83" w14:textId="4861A986" w:rsidR="009E73EC" w:rsidRPr="00DD243D" w:rsidRDefault="009E73EC" w:rsidP="006443A5">
            <w:pPr>
              <w:spacing w:line="276" w:lineRule="auto"/>
              <w:contextualSpacing/>
              <w:jc w:val="both"/>
              <w:rPr>
                <w:rFonts w:ascii="Arial" w:eastAsia="Calibri" w:hAnsi="Arial" w:cs="Arial"/>
                <w:noProof/>
                <w:lang w:val="es-ES_tradnl"/>
              </w:rPr>
            </w:pPr>
            <w:r w:rsidRPr="00DD243D">
              <w:rPr>
                <w:rFonts w:ascii="Arial" w:eastAsia="Calibri" w:hAnsi="Arial" w:cs="Arial"/>
                <w:noProof/>
                <w:lang w:val="es-ES_tradnl"/>
              </w:rPr>
              <w:t>Respuesta a consulta P20220323002854</w:t>
            </w:r>
          </w:p>
        </w:tc>
      </w:tr>
    </w:tbl>
    <w:p w14:paraId="16421474" w14:textId="77777777" w:rsidR="009E73EC" w:rsidRPr="00DD243D" w:rsidRDefault="009E73EC" w:rsidP="006443A5">
      <w:pPr>
        <w:spacing w:after="0" w:line="276" w:lineRule="auto"/>
        <w:contextualSpacing/>
        <w:jc w:val="both"/>
        <w:rPr>
          <w:rFonts w:ascii="Arial" w:eastAsia="Calibri" w:hAnsi="Arial" w:cs="Arial"/>
        </w:rPr>
      </w:pPr>
    </w:p>
    <w:p w14:paraId="1CC43DD4" w14:textId="089169AB" w:rsidR="009E73EC" w:rsidRPr="00DD243D" w:rsidRDefault="009E73EC" w:rsidP="006443A5">
      <w:pPr>
        <w:spacing w:after="0" w:line="276" w:lineRule="auto"/>
        <w:contextualSpacing/>
        <w:jc w:val="both"/>
        <w:rPr>
          <w:rFonts w:ascii="Arial" w:eastAsia="Calibri" w:hAnsi="Arial" w:cs="Arial"/>
        </w:rPr>
      </w:pPr>
      <w:r w:rsidRPr="00DD243D">
        <w:rPr>
          <w:rFonts w:ascii="Arial" w:eastAsia="Calibri" w:hAnsi="Arial" w:cs="Arial"/>
        </w:rPr>
        <w:t>Estimado señor Pulido:</w:t>
      </w:r>
    </w:p>
    <w:p w14:paraId="2F84B520" w14:textId="77777777" w:rsidR="009E73EC" w:rsidRPr="00DD243D" w:rsidRDefault="009E73EC" w:rsidP="006443A5">
      <w:pPr>
        <w:spacing w:after="0" w:line="276" w:lineRule="auto"/>
        <w:ind w:firstLine="709"/>
        <w:contextualSpacing/>
        <w:jc w:val="both"/>
        <w:rPr>
          <w:rFonts w:ascii="Arial" w:eastAsia="Calibri" w:hAnsi="Arial" w:cs="Arial"/>
        </w:rPr>
      </w:pPr>
    </w:p>
    <w:p w14:paraId="11255C34" w14:textId="15AEE0E9" w:rsidR="009E73EC" w:rsidRPr="00DD243D" w:rsidRDefault="009E73EC" w:rsidP="006443A5">
      <w:pPr>
        <w:spacing w:after="0" w:line="276" w:lineRule="auto"/>
        <w:ind w:right="51"/>
        <w:contextualSpacing/>
        <w:jc w:val="both"/>
        <w:rPr>
          <w:rFonts w:ascii="Arial" w:eastAsia="Calibri" w:hAnsi="Arial" w:cs="Arial"/>
        </w:rPr>
      </w:pPr>
      <w:r w:rsidRPr="00DD243D">
        <w:rPr>
          <w:rFonts w:ascii="Arial" w:eastAsia="Calibri" w:hAnsi="Arial" w:cs="Arial"/>
        </w:rPr>
        <w:lastRenderedPageBreak/>
        <w:t xml:space="preserve">En ejercicio de la competencia otorgada por el numeral 8 del artículo 11 y el numeral 5 del artículo 3 del Decreto Ley 4170 de 2011, la Agencia Nacional de Contratación Pública – Colombia Compra Eficiente responde la consulta radicada el 23 de marzo de 2022. </w:t>
      </w:r>
    </w:p>
    <w:p w14:paraId="614EE69E" w14:textId="77777777" w:rsidR="009E73EC" w:rsidRPr="00DD243D" w:rsidRDefault="009E73EC" w:rsidP="006443A5">
      <w:pPr>
        <w:spacing w:after="0" w:line="276" w:lineRule="auto"/>
        <w:contextualSpacing/>
        <w:jc w:val="both"/>
        <w:rPr>
          <w:rFonts w:ascii="Arial" w:eastAsia="Calibri" w:hAnsi="Arial" w:cs="Arial"/>
        </w:rPr>
      </w:pPr>
    </w:p>
    <w:p w14:paraId="2AF2304A" w14:textId="77777777" w:rsidR="009E73EC" w:rsidRPr="00DD243D" w:rsidRDefault="009E73EC" w:rsidP="006443A5">
      <w:pPr>
        <w:tabs>
          <w:tab w:val="left" w:pos="284"/>
        </w:tabs>
        <w:spacing w:after="0" w:line="276" w:lineRule="auto"/>
        <w:contextualSpacing/>
        <w:jc w:val="both"/>
        <w:rPr>
          <w:rFonts w:ascii="Arial" w:eastAsia="Calibri" w:hAnsi="Arial" w:cs="Arial"/>
          <w:b/>
        </w:rPr>
      </w:pPr>
      <w:r w:rsidRPr="00DD243D">
        <w:rPr>
          <w:rFonts w:ascii="Arial" w:eastAsia="Calibri" w:hAnsi="Arial" w:cs="Arial"/>
          <w:b/>
        </w:rPr>
        <w:t xml:space="preserve">1. Problema planteado </w:t>
      </w:r>
    </w:p>
    <w:p w14:paraId="28334826" w14:textId="77777777" w:rsidR="009E73EC" w:rsidRPr="00DD243D" w:rsidRDefault="009E73EC" w:rsidP="00D53E08">
      <w:pPr>
        <w:tabs>
          <w:tab w:val="left" w:pos="284"/>
        </w:tabs>
        <w:spacing w:after="0" w:line="276" w:lineRule="auto"/>
        <w:ind w:firstLine="709"/>
        <w:contextualSpacing/>
        <w:jc w:val="both"/>
        <w:rPr>
          <w:rFonts w:ascii="Arial" w:eastAsia="Calibri" w:hAnsi="Arial" w:cs="Arial"/>
          <w:b/>
        </w:rPr>
      </w:pPr>
    </w:p>
    <w:p w14:paraId="5263954C" w14:textId="5B184584" w:rsidR="009E73EC" w:rsidRPr="00DD243D" w:rsidRDefault="009E73EC" w:rsidP="00D53E08">
      <w:pPr>
        <w:spacing w:after="0" w:line="276" w:lineRule="auto"/>
        <w:contextualSpacing/>
        <w:jc w:val="both"/>
        <w:rPr>
          <w:rFonts w:ascii="Arial" w:eastAsia="Times New Roman" w:hAnsi="Arial" w:cs="Arial"/>
          <w:lang w:eastAsia="es-ES_tradnl"/>
        </w:rPr>
      </w:pPr>
      <w:bookmarkStart w:id="9" w:name="_Hlk58917991"/>
      <w:bookmarkStart w:id="10" w:name="_Hlk56103000"/>
      <w:r w:rsidRPr="00DD243D">
        <w:rPr>
          <w:rFonts w:ascii="Arial" w:eastAsia="Times New Roman" w:hAnsi="Arial" w:cs="Arial"/>
          <w:lang w:eastAsia="es-ES_tradnl"/>
        </w:rPr>
        <w:t>Respecto de la Ley de Garantías Electorales y la modificación introducida por el artículo 12</w:t>
      </w:r>
      <w:r w:rsidR="00AA04B0" w:rsidRPr="00DD243D">
        <w:rPr>
          <w:rFonts w:ascii="Arial" w:eastAsia="Times New Roman" w:hAnsi="Arial" w:cs="Arial"/>
          <w:lang w:eastAsia="es-ES_tradnl"/>
        </w:rPr>
        <w:t xml:space="preserve">4 </w:t>
      </w:r>
      <w:r w:rsidRPr="00DD243D">
        <w:rPr>
          <w:rFonts w:ascii="Arial" w:eastAsia="Times New Roman" w:hAnsi="Arial" w:cs="Arial"/>
          <w:lang w:eastAsia="es-ES_tradnl"/>
        </w:rPr>
        <w:t xml:space="preserve">de la Ley 2159 de 2021, usted realiza la siguiente pregunta: </w:t>
      </w:r>
      <w:bookmarkStart w:id="11" w:name="_Hlk94514883"/>
      <w:r w:rsidRPr="00DD243D">
        <w:rPr>
          <w:rFonts w:ascii="Arial" w:eastAsia="Times New Roman" w:hAnsi="Arial" w:cs="Arial"/>
          <w:lang w:eastAsia="es-ES_tradnl"/>
        </w:rPr>
        <w:t xml:space="preserve">«[…] La ley 2159 de presupuesto en su art 125 </w:t>
      </w:r>
      <w:proofErr w:type="spellStart"/>
      <w:r w:rsidRPr="00DD243D">
        <w:rPr>
          <w:rFonts w:ascii="Arial" w:eastAsia="Times New Roman" w:hAnsi="Arial" w:cs="Arial"/>
          <w:lang w:eastAsia="es-ES_tradnl"/>
        </w:rPr>
        <w:t>modific</w:t>
      </w:r>
      <w:proofErr w:type="spellEnd"/>
      <w:r w:rsidRPr="00DD243D">
        <w:rPr>
          <w:rFonts w:ascii="Arial" w:eastAsia="Times New Roman" w:hAnsi="Arial" w:cs="Arial"/>
          <w:lang w:eastAsia="es-ES_tradnl"/>
        </w:rPr>
        <w:t xml:space="preserve">? el inciso 1 del </w:t>
      </w:r>
      <w:proofErr w:type="spellStart"/>
      <w:r w:rsidRPr="00DD243D">
        <w:rPr>
          <w:rFonts w:ascii="Arial" w:eastAsia="Times New Roman" w:hAnsi="Arial" w:cs="Arial"/>
          <w:lang w:eastAsia="es-ES_tradnl"/>
        </w:rPr>
        <w:t>paragrafo</w:t>
      </w:r>
      <w:proofErr w:type="spellEnd"/>
      <w:r w:rsidRPr="00DD243D">
        <w:rPr>
          <w:rFonts w:ascii="Arial" w:eastAsia="Times New Roman" w:hAnsi="Arial" w:cs="Arial"/>
          <w:lang w:eastAsia="es-ES_tradnl"/>
        </w:rPr>
        <w:t xml:space="preserve"> del art 38 de la ley de </w:t>
      </w:r>
      <w:proofErr w:type="spellStart"/>
      <w:proofErr w:type="gramStart"/>
      <w:r w:rsidRPr="00DD243D">
        <w:rPr>
          <w:rFonts w:ascii="Arial" w:eastAsia="Times New Roman" w:hAnsi="Arial" w:cs="Arial"/>
          <w:lang w:eastAsia="es-ES_tradnl"/>
        </w:rPr>
        <w:t>garant?as</w:t>
      </w:r>
      <w:proofErr w:type="spellEnd"/>
      <w:proofErr w:type="gramEnd"/>
      <w:r w:rsidRPr="00DD243D">
        <w:rPr>
          <w:rFonts w:ascii="Arial" w:eastAsia="Times New Roman" w:hAnsi="Arial" w:cs="Arial"/>
          <w:lang w:eastAsia="es-ES_tradnl"/>
        </w:rPr>
        <w:t xml:space="preserve">. Con esta </w:t>
      </w:r>
      <w:proofErr w:type="spellStart"/>
      <w:proofErr w:type="gramStart"/>
      <w:r w:rsidRPr="00DD243D">
        <w:rPr>
          <w:rFonts w:ascii="Arial" w:eastAsia="Times New Roman" w:hAnsi="Arial" w:cs="Arial"/>
          <w:lang w:eastAsia="es-ES_tradnl"/>
        </w:rPr>
        <w:t>modificaci?n</w:t>
      </w:r>
      <w:proofErr w:type="spellEnd"/>
      <w:proofErr w:type="gramEnd"/>
      <w:r w:rsidRPr="00DD243D">
        <w:rPr>
          <w:rFonts w:ascii="Arial" w:eastAsia="Times New Roman" w:hAnsi="Arial" w:cs="Arial"/>
          <w:lang w:eastAsia="es-ES_tradnl"/>
        </w:rPr>
        <w:t xml:space="preserve"> (</w:t>
      </w:r>
      <w:proofErr w:type="spellStart"/>
      <w:r w:rsidRPr="00DD243D">
        <w:rPr>
          <w:rFonts w:ascii="Arial" w:eastAsia="Times New Roman" w:hAnsi="Arial" w:cs="Arial"/>
          <w:lang w:eastAsia="es-ES_tradnl"/>
        </w:rPr>
        <w:t>suspensi?n</w:t>
      </w:r>
      <w:proofErr w:type="spellEnd"/>
      <w:r w:rsidRPr="00DD243D">
        <w:rPr>
          <w:rFonts w:ascii="Arial" w:eastAsia="Times New Roman" w:hAnsi="Arial" w:cs="Arial"/>
          <w:lang w:eastAsia="es-ES_tradnl"/>
        </w:rPr>
        <w:t xml:space="preserve"> del inciso del </w:t>
      </w:r>
      <w:proofErr w:type="spellStart"/>
      <w:r w:rsidRPr="00DD243D">
        <w:rPr>
          <w:rFonts w:ascii="Arial" w:eastAsia="Times New Roman" w:hAnsi="Arial" w:cs="Arial"/>
          <w:lang w:eastAsia="es-ES_tradnl"/>
        </w:rPr>
        <w:t>paragrafo</w:t>
      </w:r>
      <w:proofErr w:type="spellEnd"/>
      <w:r w:rsidRPr="00DD243D">
        <w:rPr>
          <w:rFonts w:ascii="Arial" w:eastAsia="Times New Roman" w:hAnsi="Arial" w:cs="Arial"/>
          <w:lang w:eastAsia="es-ES_tradnl"/>
        </w:rPr>
        <w:t xml:space="preserve"> del art 38) pueden los entes territoriales realizar convenios interadministrativos entre entidades </w:t>
      </w:r>
      <w:proofErr w:type="spellStart"/>
      <w:r w:rsidRPr="00DD243D">
        <w:rPr>
          <w:rFonts w:ascii="Arial" w:eastAsia="Times New Roman" w:hAnsi="Arial" w:cs="Arial"/>
          <w:lang w:eastAsia="es-ES_tradnl"/>
        </w:rPr>
        <w:t>p?blicas</w:t>
      </w:r>
      <w:proofErr w:type="spellEnd"/>
      <w:r w:rsidRPr="00DD243D">
        <w:rPr>
          <w:rFonts w:ascii="Arial" w:eastAsia="Times New Roman" w:hAnsi="Arial" w:cs="Arial"/>
          <w:lang w:eastAsia="es-ES_tradnl"/>
        </w:rPr>
        <w:t xml:space="preserve"> del mismo orden; </w:t>
      </w:r>
      <w:proofErr w:type="spellStart"/>
      <w:r w:rsidRPr="00DD243D">
        <w:rPr>
          <w:rFonts w:ascii="Arial" w:eastAsia="Times New Roman" w:hAnsi="Arial" w:cs="Arial"/>
          <w:lang w:eastAsia="es-ES_tradnl"/>
        </w:rPr>
        <w:t>ej</w:t>
      </w:r>
      <w:proofErr w:type="spellEnd"/>
      <w:r w:rsidRPr="00DD243D">
        <w:rPr>
          <w:rFonts w:ascii="Arial" w:eastAsia="Times New Roman" w:hAnsi="Arial" w:cs="Arial"/>
          <w:lang w:eastAsia="es-ES_tradnl"/>
        </w:rPr>
        <w:t xml:space="preserve">: puede una </w:t>
      </w:r>
      <w:proofErr w:type="spellStart"/>
      <w:r w:rsidRPr="00DD243D">
        <w:rPr>
          <w:rFonts w:ascii="Arial" w:eastAsia="Times New Roman" w:hAnsi="Arial" w:cs="Arial"/>
          <w:lang w:eastAsia="es-ES_tradnl"/>
        </w:rPr>
        <w:t>alcald?a</w:t>
      </w:r>
      <w:proofErr w:type="spellEnd"/>
      <w:r w:rsidRPr="00DD243D">
        <w:rPr>
          <w:rFonts w:ascii="Arial" w:eastAsia="Times New Roman" w:hAnsi="Arial" w:cs="Arial"/>
          <w:lang w:eastAsia="es-ES_tradnl"/>
        </w:rPr>
        <w:t xml:space="preserve"> municipal celebrar un convenio con un hospital </w:t>
      </w:r>
      <w:proofErr w:type="spellStart"/>
      <w:r w:rsidRPr="00DD243D">
        <w:rPr>
          <w:rFonts w:ascii="Arial" w:eastAsia="Times New Roman" w:hAnsi="Arial" w:cs="Arial"/>
          <w:lang w:eastAsia="es-ES_tradnl"/>
        </w:rPr>
        <w:t>p?blico</w:t>
      </w:r>
      <w:proofErr w:type="spellEnd"/>
      <w:r w:rsidRPr="00DD243D">
        <w:rPr>
          <w:rFonts w:ascii="Arial" w:eastAsia="Times New Roman" w:hAnsi="Arial" w:cs="Arial"/>
          <w:lang w:eastAsia="es-ES_tradnl"/>
        </w:rPr>
        <w:t xml:space="preserve"> del mismo orden, como un comodato para entregar una ambulancia?» [SIC]. </w:t>
      </w:r>
      <w:bookmarkEnd w:id="11"/>
    </w:p>
    <w:p w14:paraId="516366FD" w14:textId="77777777" w:rsidR="009E73EC" w:rsidRPr="00DD243D" w:rsidRDefault="009E73EC" w:rsidP="009E73EC">
      <w:pPr>
        <w:tabs>
          <w:tab w:val="left" w:pos="426"/>
        </w:tabs>
        <w:spacing w:after="0" w:line="276" w:lineRule="auto"/>
        <w:contextualSpacing/>
        <w:jc w:val="both"/>
        <w:rPr>
          <w:rFonts w:ascii="Arial" w:eastAsia="Calibri" w:hAnsi="Arial" w:cs="Arial"/>
        </w:rPr>
      </w:pPr>
    </w:p>
    <w:bookmarkEnd w:id="9"/>
    <w:bookmarkEnd w:id="10"/>
    <w:p w14:paraId="6D72E4B4" w14:textId="77777777" w:rsidR="009E73EC" w:rsidRPr="00DD243D" w:rsidRDefault="009E73EC" w:rsidP="009E73EC">
      <w:pPr>
        <w:tabs>
          <w:tab w:val="left" w:pos="284"/>
        </w:tabs>
        <w:spacing w:after="0" w:line="276" w:lineRule="auto"/>
        <w:contextualSpacing/>
        <w:jc w:val="both"/>
        <w:rPr>
          <w:rFonts w:ascii="Arial" w:eastAsia="Calibri" w:hAnsi="Arial" w:cs="Arial"/>
          <w:b/>
        </w:rPr>
      </w:pPr>
      <w:r w:rsidRPr="00DD243D">
        <w:rPr>
          <w:rFonts w:ascii="Arial" w:eastAsia="Calibri" w:hAnsi="Arial" w:cs="Arial"/>
          <w:b/>
        </w:rPr>
        <w:t>2. Consideraciones</w:t>
      </w:r>
    </w:p>
    <w:p w14:paraId="6BBCC3B3" w14:textId="77777777" w:rsidR="009E73EC" w:rsidRPr="00DD243D" w:rsidRDefault="009E73EC" w:rsidP="009E73EC">
      <w:pPr>
        <w:tabs>
          <w:tab w:val="left" w:pos="426"/>
        </w:tabs>
        <w:spacing w:after="0" w:line="276" w:lineRule="auto"/>
        <w:ind w:firstLine="709"/>
        <w:contextualSpacing/>
        <w:jc w:val="both"/>
        <w:rPr>
          <w:rFonts w:ascii="Arial" w:eastAsia="Calibri" w:hAnsi="Arial" w:cs="Arial"/>
          <w:bCs/>
        </w:rPr>
      </w:pPr>
    </w:p>
    <w:p w14:paraId="43ACA309" w14:textId="07A42341" w:rsidR="009E73EC" w:rsidRPr="00DD243D" w:rsidRDefault="009E73EC" w:rsidP="009E73EC">
      <w:pPr>
        <w:spacing w:after="120" w:line="276" w:lineRule="auto"/>
        <w:jc w:val="both"/>
        <w:rPr>
          <w:rFonts w:ascii="Arial" w:hAnsi="Arial" w:cs="Arial"/>
          <w:lang w:val="es-ES"/>
        </w:rPr>
      </w:pPr>
      <w:bookmarkStart w:id="12" w:name="_Hlk96420693"/>
      <w:r w:rsidRPr="00DD243D">
        <w:rPr>
          <w:rFonts w:ascii="Arial" w:hAnsi="Arial" w:cs="Arial"/>
          <w:bCs/>
        </w:rPr>
        <w:t xml:space="preserve">En ejercicio de las competencias establecidas en los artículos 3.5 y 11.8 del Decreto 4170 de 2011, </w:t>
      </w:r>
      <w:r w:rsidR="00BD2FA5" w:rsidRPr="00DD243D">
        <w:rPr>
          <w:rFonts w:ascii="Arial" w:hAnsi="Arial" w:cs="Arial"/>
          <w:bCs/>
        </w:rPr>
        <w:t>la Agencia</w:t>
      </w:r>
      <w:r w:rsidRPr="00DD243D">
        <w:rPr>
          <w:rFonts w:ascii="Arial" w:hAnsi="Arial" w:cs="Arial"/>
          <w:bCs/>
        </w:rPr>
        <w:t xml:space="preserve"> Nacional de Contratación Pública – Colombia Compra Eficiente resuelve consultas sobre </w:t>
      </w:r>
      <w:r w:rsidRPr="00DD243D">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DD243D">
        <w:rPr>
          <w:rFonts w:ascii="Arial" w:hAnsi="Arial" w:cs="Arial"/>
          <w:bCs/>
        </w:rPr>
        <w:t xml:space="preserve"> de todos los partícipes de la contratación estatal ni para interpretar el alcance de cualquier norma vigente en el ordenamiento jurídico.</w:t>
      </w:r>
    </w:p>
    <w:p w14:paraId="50F77798" w14:textId="55DF6582" w:rsidR="009E73EC" w:rsidRPr="00DD243D" w:rsidRDefault="009E73EC" w:rsidP="009E73EC">
      <w:pPr>
        <w:spacing w:after="120" w:line="276" w:lineRule="auto"/>
        <w:ind w:firstLine="708"/>
        <w:jc w:val="both"/>
        <w:rPr>
          <w:rFonts w:ascii="Arial" w:hAnsi="Arial" w:cs="Arial"/>
          <w:lang w:val="es-ES"/>
        </w:rPr>
      </w:pPr>
      <w:r w:rsidRPr="00DD243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D243D">
        <w:rPr>
          <w:rFonts w:ascii="Arial" w:hAnsi="Arial" w:cs="Arial"/>
          <w:vertAlign w:val="superscript"/>
          <w:lang w:val="es-ES"/>
        </w:rPr>
        <w:footnoteReference w:id="1"/>
      </w:r>
      <w:r w:rsidRPr="00DD243D">
        <w:rPr>
          <w:rFonts w:ascii="Arial" w:hAnsi="Arial" w:cs="Arial"/>
          <w:lang w:val="es-ES"/>
        </w:rPr>
        <w:t xml:space="preserve">. Esta </w:t>
      </w:r>
      <w:r w:rsidRPr="00DD243D">
        <w:rPr>
          <w:rFonts w:ascii="Arial" w:hAnsi="Arial" w:cs="Arial"/>
          <w:lang w:val="es-ES"/>
        </w:rPr>
        <w:lastRenderedPageBreak/>
        <w:t xml:space="preserve">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w:t>
      </w:r>
      <w:r w:rsidR="007552FC" w:rsidRPr="00DD243D">
        <w:rPr>
          <w:rFonts w:ascii="Arial" w:hAnsi="Arial" w:cs="Arial"/>
          <w:lang w:val="es-ES"/>
        </w:rPr>
        <w:t xml:space="preserve">le </w:t>
      </w:r>
      <w:r w:rsidRPr="00DD243D">
        <w:rPr>
          <w:rFonts w:ascii="Arial" w:hAnsi="Arial" w:cs="Arial"/>
          <w:lang w:val="es-ES"/>
        </w:rPr>
        <w:t xml:space="preserve">corresponde a la entidad </w:t>
      </w:r>
      <w:r w:rsidR="00BA7F13" w:rsidRPr="00DD243D">
        <w:rPr>
          <w:rFonts w:ascii="Arial" w:hAnsi="Arial" w:cs="Arial"/>
          <w:lang w:val="es-ES"/>
        </w:rPr>
        <w:t xml:space="preserve">encargada </w:t>
      </w:r>
      <w:r w:rsidRPr="00DD243D">
        <w:rPr>
          <w:rFonts w:ascii="Arial" w:hAnsi="Arial" w:cs="Arial"/>
          <w:lang w:val="es-ES"/>
        </w:rPr>
        <w:t>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0565270E" w14:textId="77777777" w:rsidR="00D92E2E" w:rsidRPr="00D92E2E" w:rsidRDefault="00E113D2" w:rsidP="00D92E2E">
      <w:pPr>
        <w:spacing w:before="120" w:after="120" w:line="276" w:lineRule="auto"/>
        <w:ind w:firstLine="709"/>
        <w:jc w:val="both"/>
        <w:rPr>
          <w:rFonts w:ascii="Arial" w:eastAsia="Calibri" w:hAnsi="Arial" w:cs="Arial"/>
          <w:lang w:eastAsia="es-ES_tradnl"/>
        </w:rPr>
      </w:pPr>
      <w:r w:rsidRPr="00D92E2E">
        <w:rPr>
          <w:rFonts w:ascii="Arial" w:hAnsi="Arial" w:cs="Arial"/>
          <w:lang w:val="es-ES"/>
        </w:rPr>
        <w:t xml:space="preserve">Así las cosas, </w:t>
      </w:r>
      <w:r w:rsidR="009E73EC" w:rsidRPr="00D92E2E">
        <w:rPr>
          <w:rFonts w:ascii="Arial" w:eastAsia="Calibri" w:hAnsi="Arial" w:cs="Arial"/>
          <w:lang w:val="es-ES"/>
        </w:rPr>
        <w:t xml:space="preserve">la Agencia –dentro de los límites de sus atribuciones, resolverá la consulta conforme a las normas generales del sistema de compras públicas. Con este objetivo se analizarán los siguientes temas: </w:t>
      </w:r>
      <w:r w:rsidR="009E73EC" w:rsidRPr="00D92E2E">
        <w:rPr>
          <w:rFonts w:ascii="Arial" w:eastAsia="Calibri" w:hAnsi="Arial" w:cs="Arial"/>
          <w:bCs/>
        </w:rPr>
        <w:t xml:space="preserve">i) definición y finalidad de la Ley de Garantías Electorales, </w:t>
      </w:r>
      <w:proofErr w:type="spellStart"/>
      <w:r w:rsidR="009E73EC" w:rsidRPr="00D92E2E">
        <w:rPr>
          <w:rFonts w:ascii="Arial" w:eastAsia="Calibri" w:hAnsi="Arial" w:cs="Arial"/>
          <w:bCs/>
        </w:rPr>
        <w:t>ii</w:t>
      </w:r>
      <w:proofErr w:type="spellEnd"/>
      <w:r w:rsidR="009E73EC" w:rsidRPr="00D92E2E">
        <w:rPr>
          <w:rFonts w:ascii="Arial" w:eastAsia="Calibri" w:hAnsi="Arial" w:cs="Arial"/>
          <w:bCs/>
        </w:rPr>
        <w:t xml:space="preserve">) restricciones </w:t>
      </w:r>
      <w:r w:rsidR="009E73EC" w:rsidRPr="00D92E2E">
        <w:rPr>
          <w:rFonts w:ascii="Arial" w:eastAsia="Calibri" w:hAnsi="Arial" w:cs="Arial"/>
          <w:bCs/>
          <w:lang w:val="es-MX"/>
        </w:rPr>
        <w:t xml:space="preserve">para elecciones presidenciales, </w:t>
      </w:r>
      <w:proofErr w:type="spellStart"/>
      <w:r w:rsidR="009E73EC" w:rsidRPr="00D92E2E">
        <w:rPr>
          <w:rFonts w:ascii="Arial" w:eastAsia="Calibri" w:hAnsi="Arial" w:cs="Arial"/>
          <w:bCs/>
          <w:lang w:val="es-MX"/>
        </w:rPr>
        <w:t>iii</w:t>
      </w:r>
      <w:proofErr w:type="spellEnd"/>
      <w:r w:rsidR="009E73EC" w:rsidRPr="00D92E2E">
        <w:rPr>
          <w:rFonts w:ascii="Arial" w:eastAsia="Calibri" w:hAnsi="Arial" w:cs="Arial"/>
          <w:bCs/>
          <w:lang w:val="es-MX"/>
        </w:rPr>
        <w:t xml:space="preserve">) destinatarios de la prohibición del artículo 33 de la Ley 996 de 2005, </w:t>
      </w:r>
      <w:proofErr w:type="spellStart"/>
      <w:r w:rsidR="009E73EC" w:rsidRPr="00D92E2E">
        <w:rPr>
          <w:rFonts w:ascii="Arial" w:eastAsia="Calibri" w:hAnsi="Arial" w:cs="Arial"/>
          <w:bCs/>
          <w:lang w:val="es-MX"/>
        </w:rPr>
        <w:t>iv</w:t>
      </w:r>
      <w:proofErr w:type="spellEnd"/>
      <w:r w:rsidR="009E73EC" w:rsidRPr="00D92E2E">
        <w:rPr>
          <w:rFonts w:ascii="Arial" w:eastAsia="Calibri" w:hAnsi="Arial" w:cs="Arial"/>
          <w:bCs/>
          <w:lang w:val="es-MX"/>
        </w:rPr>
        <w:t xml:space="preserve">) </w:t>
      </w:r>
      <w:r w:rsidR="009E73EC" w:rsidRPr="00D92E2E">
        <w:rPr>
          <w:rFonts w:ascii="Arial" w:eastAsia="Calibri" w:hAnsi="Arial" w:cs="Arial"/>
          <w:lang w:val="es-MX"/>
        </w:rPr>
        <w:t>restricciones en los comicios para cargos de elección popular</w:t>
      </w:r>
      <w:bookmarkStart w:id="13" w:name="_Hlk76110351"/>
      <w:r w:rsidR="009E73EC" w:rsidRPr="00D92E2E">
        <w:rPr>
          <w:rFonts w:ascii="Arial" w:eastAsia="Calibri" w:hAnsi="Arial" w:cs="Arial"/>
          <w:lang w:val="es-MX"/>
        </w:rPr>
        <w:t xml:space="preserve"> y</w:t>
      </w:r>
      <w:r w:rsidR="006308A6" w:rsidRPr="00D92E2E">
        <w:rPr>
          <w:rFonts w:ascii="Arial" w:eastAsia="Calibri" w:hAnsi="Arial" w:cs="Arial"/>
          <w:lang w:val="es-MX"/>
        </w:rPr>
        <w:t>,</w:t>
      </w:r>
      <w:r w:rsidR="009E73EC" w:rsidRPr="00D92E2E">
        <w:rPr>
          <w:rFonts w:ascii="Arial" w:eastAsia="Calibri" w:hAnsi="Arial" w:cs="Arial"/>
          <w:lang w:val="es-MX"/>
        </w:rPr>
        <w:t xml:space="preserve"> v) </w:t>
      </w:r>
      <w:bookmarkEnd w:id="13"/>
      <w:r w:rsidR="00D92E2E" w:rsidRPr="00D92E2E">
        <w:rPr>
          <w:rFonts w:ascii="Arial" w:eastAsia="Calibri" w:hAnsi="Arial" w:cs="Arial"/>
          <w:color w:val="000000" w:themeColor="text1"/>
          <w:lang w:val="es-ES_tradnl"/>
        </w:rPr>
        <w:t xml:space="preserve">carencia actual de objeto, por sustracción de materia, en virtud de la declaratoria de </w:t>
      </w:r>
      <w:proofErr w:type="spellStart"/>
      <w:r w:rsidR="00D92E2E" w:rsidRPr="00D92E2E">
        <w:rPr>
          <w:rFonts w:ascii="Arial" w:eastAsia="Calibri" w:hAnsi="Arial" w:cs="Arial"/>
          <w:color w:val="000000" w:themeColor="text1"/>
          <w:lang w:val="es-ES_tradnl"/>
        </w:rPr>
        <w:t>inexequibilidad</w:t>
      </w:r>
      <w:proofErr w:type="spellEnd"/>
      <w:r w:rsidR="00D92E2E" w:rsidRPr="00D92E2E">
        <w:rPr>
          <w:rFonts w:ascii="Arial" w:eastAsia="Calibri" w:hAnsi="Arial" w:cs="Arial"/>
          <w:color w:val="000000" w:themeColor="text1"/>
          <w:lang w:val="es-ES_tradnl"/>
        </w:rPr>
        <w:t xml:space="preserve"> del artículo 124 de la Ley 2159 de 2021. </w:t>
      </w:r>
    </w:p>
    <w:p w14:paraId="4CA492A5" w14:textId="5DA6C8A3" w:rsidR="009E73EC" w:rsidRPr="00DD243D" w:rsidRDefault="009E73EC" w:rsidP="009E73EC">
      <w:pPr>
        <w:tabs>
          <w:tab w:val="left" w:pos="426"/>
        </w:tabs>
        <w:spacing w:after="0" w:line="276" w:lineRule="auto"/>
        <w:ind w:firstLine="709"/>
        <w:jc w:val="both"/>
        <w:rPr>
          <w:rFonts w:ascii="Arial" w:eastAsia="Calibri" w:hAnsi="Arial" w:cs="Arial"/>
          <w:bCs/>
        </w:rPr>
      </w:pPr>
      <w:r w:rsidRPr="00DD243D">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C-715 del 21 de enero de 2022, C-718 del 24 de enero de 2022 y C-726 del 24 de enero de 2022, C-002 del 15 de febrero de 2022, C005 del 16 de febrero de 2022, C-009 del 15 de febrero de 2022, C-014 del 18 de febrero de 2022, C-022 del 21 de febrero de 2022, </w:t>
      </w:r>
      <w:r w:rsidRPr="00DD243D">
        <w:rPr>
          <w:rFonts w:ascii="Arial" w:eastAsia="Calibri" w:hAnsi="Arial" w:cs="Arial"/>
          <w:bCs/>
        </w:rPr>
        <w:lastRenderedPageBreak/>
        <w:t>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322C40" w:rsidRPr="00DD243D">
        <w:rPr>
          <w:rFonts w:ascii="Arial" w:eastAsia="Calibri" w:hAnsi="Arial" w:cs="Arial"/>
          <w:bCs/>
        </w:rPr>
        <w:t>,</w:t>
      </w:r>
      <w:r w:rsidRPr="00DD243D">
        <w:rPr>
          <w:rFonts w:ascii="Arial" w:eastAsia="Calibri" w:hAnsi="Arial" w:cs="Arial"/>
          <w:bCs/>
        </w:rPr>
        <w:t xml:space="preserve"> C-164 del 22 de marzo de 2022</w:t>
      </w:r>
      <w:r w:rsidR="00C61B45" w:rsidRPr="00DD243D">
        <w:rPr>
          <w:rFonts w:ascii="Arial" w:eastAsia="Calibri" w:hAnsi="Arial" w:cs="Arial"/>
          <w:bCs/>
        </w:rPr>
        <w:t>, C-169</w:t>
      </w:r>
      <w:r w:rsidR="00C3291F" w:rsidRPr="00DD243D">
        <w:rPr>
          <w:rFonts w:ascii="Arial" w:eastAsia="Calibri" w:hAnsi="Arial" w:cs="Arial"/>
          <w:bCs/>
        </w:rPr>
        <w:t xml:space="preserve"> del </w:t>
      </w:r>
      <w:r w:rsidR="00073A45" w:rsidRPr="00DD243D">
        <w:rPr>
          <w:rFonts w:ascii="Arial" w:eastAsia="Calibri" w:hAnsi="Arial" w:cs="Arial"/>
          <w:bCs/>
        </w:rPr>
        <w:t>7</w:t>
      </w:r>
      <w:r w:rsidR="00C3291F" w:rsidRPr="00DD243D">
        <w:rPr>
          <w:rFonts w:ascii="Arial" w:eastAsia="Calibri" w:hAnsi="Arial" w:cs="Arial"/>
          <w:bCs/>
        </w:rPr>
        <w:t xml:space="preserve"> de abril de 2022</w:t>
      </w:r>
      <w:r w:rsidR="00C61B45" w:rsidRPr="00DD243D">
        <w:rPr>
          <w:rFonts w:ascii="Arial" w:eastAsia="Calibri" w:hAnsi="Arial" w:cs="Arial"/>
          <w:bCs/>
        </w:rPr>
        <w:t>, C-171</w:t>
      </w:r>
      <w:r w:rsidR="00F10C0A" w:rsidRPr="00DD243D">
        <w:rPr>
          <w:rFonts w:ascii="Arial" w:eastAsia="Calibri" w:hAnsi="Arial" w:cs="Arial"/>
          <w:bCs/>
        </w:rPr>
        <w:t xml:space="preserve"> del 6 de abril de 2022</w:t>
      </w:r>
      <w:r w:rsidR="00C61B45" w:rsidRPr="00DD243D">
        <w:rPr>
          <w:rFonts w:ascii="Arial" w:eastAsia="Calibri" w:hAnsi="Arial" w:cs="Arial"/>
          <w:bCs/>
        </w:rPr>
        <w:t>, C-172</w:t>
      </w:r>
      <w:r w:rsidR="00F10C0A" w:rsidRPr="00DD243D">
        <w:rPr>
          <w:rFonts w:ascii="Arial" w:eastAsia="Calibri" w:hAnsi="Arial" w:cs="Arial"/>
          <w:bCs/>
        </w:rPr>
        <w:t xml:space="preserve"> del 6 de abril de 2022</w:t>
      </w:r>
      <w:r w:rsidR="00C61B45" w:rsidRPr="00DD243D">
        <w:rPr>
          <w:rFonts w:ascii="Arial" w:eastAsia="Calibri" w:hAnsi="Arial" w:cs="Arial"/>
          <w:bCs/>
        </w:rPr>
        <w:t>, C-179</w:t>
      </w:r>
      <w:r w:rsidR="00F10C0A" w:rsidRPr="00DD243D">
        <w:rPr>
          <w:rFonts w:ascii="Arial" w:eastAsia="Calibri" w:hAnsi="Arial" w:cs="Arial"/>
          <w:bCs/>
        </w:rPr>
        <w:t xml:space="preserve"> del 8 de abril de 2022</w:t>
      </w:r>
      <w:r w:rsidR="00C61B45" w:rsidRPr="00DD243D">
        <w:rPr>
          <w:rFonts w:ascii="Arial" w:eastAsia="Calibri" w:hAnsi="Arial" w:cs="Arial"/>
          <w:bCs/>
        </w:rPr>
        <w:t>, C-183</w:t>
      </w:r>
      <w:r w:rsidR="009A2716" w:rsidRPr="00DD243D">
        <w:rPr>
          <w:rFonts w:ascii="Arial" w:eastAsia="Calibri" w:hAnsi="Arial" w:cs="Arial"/>
          <w:bCs/>
        </w:rPr>
        <w:t xml:space="preserve"> del 7 de abril de 2022</w:t>
      </w:r>
      <w:r w:rsidR="00C61B45" w:rsidRPr="00DD243D">
        <w:rPr>
          <w:rFonts w:ascii="Arial" w:eastAsia="Calibri" w:hAnsi="Arial" w:cs="Arial"/>
          <w:bCs/>
        </w:rPr>
        <w:t>, C-</w:t>
      </w:r>
      <w:r w:rsidR="00507849" w:rsidRPr="00DD243D">
        <w:rPr>
          <w:rFonts w:ascii="Arial" w:eastAsia="Calibri" w:hAnsi="Arial" w:cs="Arial"/>
          <w:bCs/>
        </w:rPr>
        <w:t>216</w:t>
      </w:r>
      <w:r w:rsidR="009A2716" w:rsidRPr="00DD243D">
        <w:rPr>
          <w:rFonts w:ascii="Arial" w:eastAsia="Calibri" w:hAnsi="Arial" w:cs="Arial"/>
          <w:bCs/>
        </w:rPr>
        <w:t xml:space="preserve"> del 9 de marzo de 2022</w:t>
      </w:r>
      <w:r w:rsidR="00507849" w:rsidRPr="00DD243D">
        <w:rPr>
          <w:rFonts w:ascii="Arial" w:eastAsia="Calibri" w:hAnsi="Arial" w:cs="Arial"/>
          <w:bCs/>
        </w:rPr>
        <w:t xml:space="preserve"> y C-246</w:t>
      </w:r>
      <w:r w:rsidR="009A2716" w:rsidRPr="00DD243D">
        <w:rPr>
          <w:rFonts w:ascii="Arial" w:eastAsia="Calibri" w:hAnsi="Arial" w:cs="Arial"/>
          <w:bCs/>
        </w:rPr>
        <w:t xml:space="preserve"> del 29 de marzo de 2022</w:t>
      </w:r>
      <w:r w:rsidRPr="00DD243D">
        <w:rPr>
          <w:rFonts w:ascii="Arial" w:eastAsia="Calibri" w:hAnsi="Arial" w:cs="Arial"/>
          <w:bCs/>
        </w:rPr>
        <w:t>. La tesis desarrollada en estos conceptos se reitera y complementa a continuación:</w:t>
      </w:r>
    </w:p>
    <w:bookmarkEnd w:id="12"/>
    <w:p w14:paraId="609AA1FA" w14:textId="77777777" w:rsidR="009E73EC" w:rsidRPr="00DD243D" w:rsidRDefault="009E73EC" w:rsidP="009E73EC">
      <w:pPr>
        <w:tabs>
          <w:tab w:val="left" w:pos="426"/>
        </w:tabs>
        <w:spacing w:after="0" w:line="276" w:lineRule="auto"/>
        <w:ind w:firstLine="709"/>
        <w:contextualSpacing/>
        <w:jc w:val="both"/>
        <w:rPr>
          <w:rFonts w:ascii="Arial" w:eastAsia="Calibri" w:hAnsi="Arial" w:cs="Arial"/>
          <w:b/>
          <w:bCs/>
        </w:rPr>
      </w:pPr>
    </w:p>
    <w:p w14:paraId="2744CC16" w14:textId="77777777" w:rsidR="009E73EC" w:rsidRPr="00DD243D" w:rsidRDefault="009E73EC" w:rsidP="009E73EC">
      <w:pPr>
        <w:tabs>
          <w:tab w:val="left" w:pos="426"/>
        </w:tabs>
        <w:spacing w:after="0" w:line="276" w:lineRule="auto"/>
        <w:contextualSpacing/>
        <w:jc w:val="both"/>
        <w:rPr>
          <w:rFonts w:ascii="Arial" w:eastAsia="Calibri" w:hAnsi="Arial" w:cs="Arial"/>
          <w:b/>
          <w:bCs/>
        </w:rPr>
      </w:pPr>
      <w:r w:rsidRPr="00DD243D">
        <w:rPr>
          <w:rFonts w:ascii="Arial" w:eastAsia="Calibri" w:hAnsi="Arial" w:cs="Arial"/>
          <w:b/>
          <w:bCs/>
        </w:rPr>
        <w:t>2.1. Definición y finalidad de la Ley de Garantías Electorales: alcance de las restricciones</w:t>
      </w:r>
    </w:p>
    <w:p w14:paraId="155640C9" w14:textId="77777777" w:rsidR="009E73EC" w:rsidRPr="00DD243D" w:rsidRDefault="009E73EC" w:rsidP="009E73EC">
      <w:pPr>
        <w:tabs>
          <w:tab w:val="left" w:pos="426"/>
        </w:tabs>
        <w:spacing w:after="0" w:line="276" w:lineRule="auto"/>
        <w:ind w:firstLine="709"/>
        <w:contextualSpacing/>
        <w:jc w:val="both"/>
        <w:rPr>
          <w:rFonts w:ascii="Arial" w:eastAsia="Calibri" w:hAnsi="Arial" w:cs="Arial"/>
          <w:bCs/>
        </w:rPr>
      </w:pPr>
    </w:p>
    <w:p w14:paraId="29001BDD" w14:textId="77777777" w:rsidR="009E73EC" w:rsidRPr="00DD243D" w:rsidRDefault="009E73EC" w:rsidP="009E73EC">
      <w:pPr>
        <w:tabs>
          <w:tab w:val="left" w:pos="426"/>
        </w:tabs>
        <w:spacing w:after="120" w:line="276" w:lineRule="auto"/>
        <w:jc w:val="both"/>
        <w:rPr>
          <w:rFonts w:ascii="Arial" w:eastAsia="Times New Roman" w:hAnsi="Arial" w:cs="Arial"/>
          <w:bCs/>
          <w:lang w:eastAsia="es-CO"/>
        </w:rPr>
      </w:pPr>
      <w:r w:rsidRPr="00DD243D">
        <w:rPr>
          <w:rFonts w:ascii="Arial" w:eastAsia="Calibri" w:hAnsi="Arial" w:cs="Arial"/>
          <w:bCs/>
        </w:rPr>
        <w:t>El ordenamiento jurídico colombiano contempla previsiones claras para evitar la obtención de beneficios personales en asuntos propios de la administración pública</w:t>
      </w:r>
      <w:r w:rsidRPr="00DD243D">
        <w:rPr>
          <w:rFonts w:ascii="Arial" w:eastAsia="Calibri" w:hAnsi="Arial" w:cs="Arial"/>
          <w:bCs/>
          <w:i/>
          <w:iCs/>
        </w:rPr>
        <w:t xml:space="preserve">. </w:t>
      </w:r>
      <w:r w:rsidRPr="00DD243D">
        <w:rPr>
          <w:rFonts w:ascii="Arial" w:eastAsia="Calibri" w:hAnsi="Arial"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DD243D">
        <w:rPr>
          <w:rFonts w:ascii="Arial" w:eastAsia="Calibri" w:hAnsi="Arial" w:cs="Arial"/>
          <w:bCs/>
          <w:vertAlign w:val="superscript"/>
        </w:rPr>
        <w:footnoteReference w:id="2"/>
      </w:r>
      <w:r w:rsidRPr="00DD243D">
        <w:rPr>
          <w:rFonts w:ascii="Arial" w:eastAsia="Calibri" w:hAnsi="Arial" w:cs="Arial"/>
          <w:bCs/>
        </w:rPr>
        <w:t xml:space="preserve">. </w:t>
      </w:r>
    </w:p>
    <w:p w14:paraId="0439B3A6" w14:textId="77777777" w:rsidR="009E73EC" w:rsidRPr="00DD243D" w:rsidRDefault="009E73EC" w:rsidP="009E73EC">
      <w:pPr>
        <w:tabs>
          <w:tab w:val="left" w:pos="426"/>
        </w:tabs>
        <w:spacing w:after="0" w:line="276" w:lineRule="auto"/>
        <w:ind w:firstLine="709"/>
        <w:jc w:val="both"/>
        <w:rPr>
          <w:rFonts w:ascii="Arial" w:eastAsia="Times New Roman" w:hAnsi="Arial" w:cs="Arial"/>
          <w:bCs/>
          <w:lang w:val="es-MX" w:eastAsia="es-CO"/>
        </w:rPr>
      </w:pPr>
      <w:r w:rsidRPr="00DD243D">
        <w:rPr>
          <w:rFonts w:ascii="Arial" w:eastAsia="Times New Roman" w:hAnsi="Arial" w:cs="Arial"/>
          <w:bCs/>
          <w:lang w:eastAsia="es-CO"/>
        </w:rPr>
        <w:t>En el mismo sentido</w:t>
      </w:r>
      <w:r w:rsidRPr="00DD243D">
        <w:rPr>
          <w:rFonts w:ascii="Arial" w:eastAsia="Times New Roman" w:hAnsi="Arial" w:cs="Arial"/>
          <w:bCs/>
          <w:lang w:val="es-MX" w:eastAsia="es-CO"/>
        </w:rPr>
        <w:t xml:space="preserve">, </w:t>
      </w:r>
      <w:bookmarkStart w:id="14" w:name="_Hlk99576829"/>
      <w:r w:rsidRPr="00DD243D">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DD243D">
        <w:rPr>
          <w:rFonts w:ascii="Arial" w:eastAsia="Times New Roman" w:hAnsi="Arial" w:cs="Arial"/>
          <w:bCs/>
          <w:vertAlign w:val="superscript"/>
          <w:lang w:val="es-MX" w:eastAsia="es-CO"/>
        </w:rPr>
        <w:footnoteReference w:id="3"/>
      </w:r>
      <w:r w:rsidRPr="00DD243D">
        <w:rPr>
          <w:rFonts w:ascii="Arial" w:eastAsia="Times New Roman" w:hAnsi="Arial" w:cs="Arial"/>
          <w:bCs/>
          <w:lang w:val="es-MX" w:eastAsia="es-CO"/>
        </w:rPr>
        <w:t xml:space="preserve">. En esta medida, introduce limitaciones para realizar nombramientos, postulaciones, contrataciones o cualquier otro tipo de actividad que implique destinación de </w:t>
      </w:r>
      <w:r w:rsidRPr="00DD243D">
        <w:rPr>
          <w:rFonts w:ascii="Arial" w:eastAsia="Times New Roman" w:hAnsi="Arial" w:cs="Arial"/>
          <w:bCs/>
          <w:lang w:val="es-MX" w:eastAsia="es-CO"/>
        </w:rPr>
        <w:lastRenderedPageBreak/>
        <w:t>recursos públicos bajo el devenir propio de las entidades estatales.</w:t>
      </w:r>
      <w:r w:rsidRPr="00DD243D">
        <w:rPr>
          <w:rFonts w:ascii="Arial" w:eastAsia="Calibri" w:hAnsi="Arial" w:cs="Arial"/>
          <w:noProof/>
          <w:lang w:val="es-ES_tradnl"/>
        </w:rPr>
        <w:t xml:space="preserve"> </w:t>
      </w:r>
      <w:bookmarkEnd w:id="14"/>
      <w:r w:rsidRPr="00DD243D">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34AD89EC" w14:textId="77777777" w:rsidR="009E73EC" w:rsidRPr="00DD243D" w:rsidRDefault="009E73EC" w:rsidP="009E73EC">
      <w:pPr>
        <w:spacing w:after="0" w:line="276" w:lineRule="auto"/>
        <w:ind w:right="709"/>
        <w:contextualSpacing/>
        <w:jc w:val="both"/>
        <w:rPr>
          <w:rFonts w:ascii="Arial" w:eastAsia="Times New Roman" w:hAnsi="Arial" w:cs="Arial"/>
          <w:sz w:val="21"/>
          <w:szCs w:val="21"/>
          <w:lang w:val="es-ES" w:eastAsia="es-CO"/>
        </w:rPr>
      </w:pPr>
    </w:p>
    <w:p w14:paraId="0090F96E" w14:textId="1177A6C0"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r w:rsidRPr="00DD243D">
        <w:rPr>
          <w:rFonts w:ascii="Arial" w:eastAsia="Times New Roman" w:hAnsi="Arial" w:cs="Arial"/>
          <w:sz w:val="21"/>
          <w:szCs w:val="21"/>
          <w:lang w:val="es-ES" w:eastAsia="es-CO"/>
        </w:rPr>
        <w:t xml:space="preserve">[…] </w:t>
      </w:r>
      <w:r w:rsidRPr="00DD243D">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644D3AA" w14:textId="77777777" w:rsidR="00D36547" w:rsidRPr="00DD243D" w:rsidRDefault="00D36547" w:rsidP="009E73EC">
      <w:pPr>
        <w:spacing w:after="0" w:line="240" w:lineRule="auto"/>
        <w:ind w:left="709" w:right="709"/>
        <w:contextualSpacing/>
        <w:jc w:val="both"/>
        <w:rPr>
          <w:rFonts w:ascii="Arial" w:eastAsia="Times New Roman" w:hAnsi="Arial" w:cs="Arial"/>
          <w:bCs/>
          <w:sz w:val="21"/>
          <w:szCs w:val="21"/>
          <w:lang w:val="es-MX" w:eastAsia="es-CO"/>
        </w:rPr>
      </w:pPr>
    </w:p>
    <w:p w14:paraId="54BDAA81" w14:textId="77777777"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r w:rsidRPr="00DD243D">
        <w:rPr>
          <w:rFonts w:ascii="Arial" w:eastAsia="Times New Roman" w:hAnsi="Arial" w:cs="Arial"/>
          <w:bCs/>
          <w:sz w:val="21"/>
          <w:szCs w:val="21"/>
          <w:lang w:val="es-MX" w:eastAsia="es-CO"/>
        </w:rPr>
        <w:t xml:space="preserve">[…] </w:t>
      </w:r>
    </w:p>
    <w:p w14:paraId="0B4303E3" w14:textId="77777777" w:rsidR="009E73EC" w:rsidRPr="00DD243D" w:rsidRDefault="009E73EC" w:rsidP="009E73EC">
      <w:pPr>
        <w:spacing w:after="0" w:line="240" w:lineRule="auto"/>
        <w:ind w:right="709"/>
        <w:contextualSpacing/>
        <w:jc w:val="both"/>
        <w:rPr>
          <w:rFonts w:ascii="Arial" w:eastAsia="Times New Roman" w:hAnsi="Arial" w:cs="Arial"/>
          <w:bCs/>
          <w:sz w:val="21"/>
          <w:szCs w:val="21"/>
          <w:lang w:val="es-MX" w:eastAsia="es-CO"/>
        </w:rPr>
      </w:pPr>
    </w:p>
    <w:p w14:paraId="24F8E56C" w14:textId="77777777"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r w:rsidRPr="00DD243D">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DD243D">
        <w:rPr>
          <w:rFonts w:ascii="Arial" w:eastAsia="Calibri" w:hAnsi="Arial" w:cs="Arial"/>
          <w:sz w:val="21"/>
          <w:szCs w:val="21"/>
          <w:vertAlign w:val="superscript"/>
          <w:lang w:val="es-MX"/>
        </w:rPr>
        <w:footnoteReference w:id="4"/>
      </w:r>
    </w:p>
    <w:p w14:paraId="7B861E6C" w14:textId="77777777" w:rsidR="009E73EC" w:rsidRPr="00DD243D" w:rsidRDefault="009E73EC" w:rsidP="009E73EC">
      <w:pPr>
        <w:spacing w:after="0" w:line="276" w:lineRule="auto"/>
        <w:ind w:left="709" w:right="709"/>
        <w:contextualSpacing/>
        <w:jc w:val="both"/>
        <w:rPr>
          <w:rFonts w:ascii="Arial" w:eastAsia="Times New Roman" w:hAnsi="Arial" w:cs="Arial"/>
          <w:bCs/>
          <w:sz w:val="21"/>
          <w:szCs w:val="21"/>
          <w:lang w:val="es-MX" w:eastAsia="es-CO"/>
        </w:rPr>
      </w:pPr>
    </w:p>
    <w:p w14:paraId="634A0C4B" w14:textId="77777777" w:rsidR="009E73EC" w:rsidRPr="00DD243D" w:rsidRDefault="009E73EC" w:rsidP="009E73EC">
      <w:pPr>
        <w:spacing w:after="0" w:line="276" w:lineRule="auto"/>
        <w:ind w:firstLine="709"/>
        <w:contextualSpacing/>
        <w:jc w:val="both"/>
        <w:rPr>
          <w:rFonts w:ascii="Arial" w:eastAsia="Times New Roman" w:hAnsi="Arial" w:cs="Arial"/>
          <w:bCs/>
          <w:lang w:val="es-MX" w:eastAsia="es-CO"/>
        </w:rPr>
      </w:pPr>
      <w:bookmarkStart w:id="15" w:name="_Hlk78818186"/>
      <w:r w:rsidRPr="00DD243D">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5"/>
      <w:r w:rsidRPr="00DD243D">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AC68B37" w14:textId="77777777" w:rsidR="009E73EC" w:rsidRPr="00DD243D" w:rsidRDefault="009E73EC" w:rsidP="009E73EC">
      <w:pPr>
        <w:spacing w:after="0" w:line="276" w:lineRule="auto"/>
        <w:ind w:firstLine="709"/>
        <w:contextualSpacing/>
        <w:jc w:val="both"/>
        <w:rPr>
          <w:rFonts w:ascii="Arial" w:eastAsia="Times New Roman" w:hAnsi="Arial" w:cs="Arial"/>
          <w:bCs/>
          <w:lang w:val="es-MX" w:eastAsia="es-CO"/>
        </w:rPr>
      </w:pPr>
    </w:p>
    <w:p w14:paraId="1DD77B06" w14:textId="77777777"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r w:rsidRPr="00DD243D">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DD243D">
        <w:rPr>
          <w:rFonts w:ascii="Arial" w:eastAsia="Times New Roman" w:hAnsi="Arial" w:cs="Arial"/>
          <w:bCs/>
          <w:sz w:val="21"/>
          <w:szCs w:val="21"/>
          <w:lang w:val="es-MX" w:eastAsia="es-CO"/>
        </w:rPr>
        <w:t>legis</w:t>
      </w:r>
      <w:proofErr w:type="spellEnd"/>
      <w:r w:rsidRPr="00DD243D">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E9757F0" w14:textId="77777777"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p>
    <w:p w14:paraId="3F158C52" w14:textId="77777777" w:rsidR="009E73EC" w:rsidRPr="00DD243D" w:rsidRDefault="009E73EC" w:rsidP="009E73EC">
      <w:pPr>
        <w:spacing w:after="0" w:line="240" w:lineRule="auto"/>
        <w:ind w:left="709" w:right="709"/>
        <w:contextualSpacing/>
        <w:jc w:val="both"/>
        <w:rPr>
          <w:rFonts w:ascii="Arial" w:eastAsia="Times New Roman" w:hAnsi="Arial" w:cs="Arial"/>
          <w:bCs/>
          <w:sz w:val="21"/>
          <w:szCs w:val="21"/>
          <w:lang w:val="es-MX" w:eastAsia="es-CO"/>
        </w:rPr>
      </w:pPr>
      <w:r w:rsidRPr="00DD243D">
        <w:rPr>
          <w:rFonts w:ascii="Arial" w:eastAsia="Times New Roman" w:hAnsi="Arial" w:cs="Arial"/>
          <w:bCs/>
          <w:sz w:val="21"/>
          <w:szCs w:val="21"/>
          <w:lang w:val="es-MX" w:eastAsia="es-CO"/>
        </w:rPr>
        <w:lastRenderedPageBreak/>
        <w:t>La jurisprudencia de la Corte Constitucional</w:t>
      </w:r>
      <w:r w:rsidRPr="00DD243D">
        <w:rPr>
          <w:rFonts w:ascii="Arial" w:eastAsia="Times New Roman" w:hAnsi="Arial" w:cs="Arial"/>
          <w:bCs/>
          <w:sz w:val="21"/>
          <w:szCs w:val="21"/>
          <w:vertAlign w:val="superscript"/>
          <w:lang w:val="es-MX" w:eastAsia="es-CO"/>
        </w:rPr>
        <w:footnoteReference w:id="5"/>
      </w:r>
      <w:r w:rsidRPr="00DD243D">
        <w:rPr>
          <w:rFonts w:ascii="Arial" w:eastAsia="Times New Roman" w:hAnsi="Arial" w:cs="Arial"/>
          <w:bCs/>
          <w:sz w:val="21"/>
          <w:szCs w:val="21"/>
          <w:lang w:val="es-MX" w:eastAsia="es-CO"/>
        </w:rPr>
        <w:t> y del Consejo de Estado</w:t>
      </w:r>
      <w:r w:rsidRPr="00DD243D">
        <w:rPr>
          <w:rFonts w:ascii="Arial" w:eastAsia="Times New Roman" w:hAnsi="Arial" w:cs="Arial"/>
          <w:bCs/>
          <w:sz w:val="21"/>
          <w:szCs w:val="21"/>
          <w:vertAlign w:val="superscript"/>
          <w:lang w:val="es-MX" w:eastAsia="es-CO"/>
        </w:rPr>
        <w:footnoteReference w:id="6"/>
      </w:r>
      <w:r w:rsidRPr="00DD243D">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DD243D">
        <w:rPr>
          <w:rFonts w:ascii="Arial" w:eastAsia="Times New Roman" w:hAnsi="Arial" w:cs="Arial"/>
          <w:bCs/>
          <w:sz w:val="21"/>
          <w:szCs w:val="21"/>
          <w:vertAlign w:val="superscript"/>
          <w:lang w:val="es-MX" w:eastAsia="es-CO"/>
        </w:rPr>
        <w:footnoteReference w:id="7"/>
      </w:r>
      <w:r w:rsidRPr="00DD243D">
        <w:rPr>
          <w:rFonts w:ascii="Arial" w:eastAsia="Times New Roman" w:hAnsi="Arial" w:cs="Arial"/>
          <w:bCs/>
          <w:sz w:val="21"/>
          <w:szCs w:val="21"/>
          <w:lang w:val="es-MX" w:eastAsia="es-CO"/>
        </w:rPr>
        <w:t>.</w:t>
      </w:r>
    </w:p>
    <w:p w14:paraId="38B502A0" w14:textId="77777777" w:rsidR="009E73EC" w:rsidRPr="00DD243D" w:rsidRDefault="009E73EC" w:rsidP="009E73EC">
      <w:pPr>
        <w:spacing w:after="0" w:line="276" w:lineRule="auto"/>
        <w:ind w:right="709"/>
        <w:contextualSpacing/>
        <w:jc w:val="both"/>
        <w:rPr>
          <w:rFonts w:ascii="Arial" w:eastAsia="Times New Roman" w:hAnsi="Arial" w:cs="Arial"/>
          <w:bCs/>
          <w:sz w:val="21"/>
          <w:szCs w:val="21"/>
          <w:lang w:val="es-MX" w:eastAsia="es-CO"/>
        </w:rPr>
      </w:pPr>
    </w:p>
    <w:p w14:paraId="13328FFD" w14:textId="77777777" w:rsidR="009E73EC" w:rsidRPr="00DD243D" w:rsidRDefault="009E73EC" w:rsidP="009E73EC">
      <w:pPr>
        <w:spacing w:after="120" w:line="276" w:lineRule="auto"/>
        <w:jc w:val="both"/>
        <w:rPr>
          <w:rFonts w:ascii="Arial" w:eastAsia="Arial" w:hAnsi="Arial" w:cs="Arial"/>
          <w:lang w:val="es-ES" w:eastAsia="es-ES" w:bidi="es-ES"/>
        </w:rPr>
      </w:pPr>
      <w:r w:rsidRPr="00DD243D">
        <w:rPr>
          <w:rFonts w:ascii="Arial" w:eastAsia="Times New Roman" w:hAnsi="Arial" w:cs="Arial"/>
          <w:bCs/>
          <w:lang w:val="es-MX" w:eastAsia="es-CO"/>
        </w:rPr>
        <w:tab/>
        <w:t>De</w:t>
      </w:r>
      <w:r w:rsidRPr="00DD243D">
        <w:rPr>
          <w:rFonts w:ascii="Arial" w:eastAsia="Arial" w:hAnsi="Arial" w:cs="Arial"/>
          <w:lang w:val="es-ES" w:eastAsia="es-ES" w:bidi="es-ES"/>
        </w:rPr>
        <w:t xml:space="preserve"> conformidad con lo anterior, </w:t>
      </w:r>
      <w:bookmarkStart w:id="16" w:name="_Hlk77236098"/>
      <w:bookmarkStart w:id="17" w:name="_Hlk100679383"/>
      <w:r w:rsidRPr="00DD243D">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6"/>
    </w:p>
    <w:p w14:paraId="15CAAAEA" w14:textId="77777777" w:rsidR="009E73EC" w:rsidRPr="00DD243D" w:rsidRDefault="009E73EC" w:rsidP="009E73EC">
      <w:pPr>
        <w:spacing w:after="120" w:line="276" w:lineRule="auto"/>
        <w:ind w:firstLine="708"/>
        <w:jc w:val="both"/>
        <w:rPr>
          <w:rFonts w:ascii="Arial" w:eastAsia="Calibri" w:hAnsi="Arial" w:cs="Arial"/>
        </w:rPr>
      </w:pPr>
      <w:bookmarkStart w:id="18" w:name="_Hlk101463562"/>
      <w:r w:rsidRPr="00DD243D">
        <w:rPr>
          <w:rFonts w:ascii="Arial" w:eastAsia="Calibri" w:hAnsi="Arial" w:cs="Arial"/>
        </w:rPr>
        <w:t xml:space="preserve">Por un lado, el artículo 33 de la Ley 996 de 2005 prohíbe </w:t>
      </w:r>
      <w:r w:rsidRPr="00DD243D">
        <w:rPr>
          <w:rFonts w:ascii="Arial" w:eastAsia="Calibri" w:hAnsi="Arial" w:cs="Arial"/>
          <w:bCs/>
        </w:rPr>
        <w:t xml:space="preserve">«[…] </w:t>
      </w:r>
      <w:r w:rsidRPr="00DD243D">
        <w:rPr>
          <w:rFonts w:ascii="Arial" w:eastAsia="Calibri" w:hAnsi="Arial" w:cs="Arial"/>
        </w:rPr>
        <w:t>la contratación directa por parte de todos los entes del Estado</w:t>
      </w:r>
      <w:r w:rsidRPr="00DD243D">
        <w:rPr>
          <w:rFonts w:ascii="Arial" w:eastAsia="Calibri" w:hAnsi="Arial" w:cs="Arial"/>
          <w:bCs/>
        </w:rPr>
        <w:t>»</w:t>
      </w:r>
      <w:r w:rsidRPr="00DD243D">
        <w:rPr>
          <w:rFonts w:ascii="Arial" w:eastAsia="Calibri" w:hAnsi="Arial" w:cs="Arial"/>
        </w:rPr>
        <w:t xml:space="preserve"> durante los cuatro (4) meses anteriores a las elecciones presidenciales, salvo </w:t>
      </w:r>
      <w:r w:rsidRPr="00DD243D">
        <w:rPr>
          <w:rFonts w:ascii="Arial" w:eastAsia="Calibri" w:hAnsi="Arial" w:cs="Arial"/>
          <w:bCs/>
        </w:rPr>
        <w:t xml:space="preserve">«[…] </w:t>
      </w:r>
      <w:r w:rsidRPr="00DD243D">
        <w:rPr>
          <w:rFonts w:ascii="Arial" w:eastAsia="Calibri" w:hAnsi="Arial" w:cs="Aria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DD243D">
        <w:rPr>
          <w:rFonts w:ascii="Arial" w:eastAsia="Calibri" w:hAnsi="Arial" w:cs="Arial"/>
        </w:rPr>
        <w:lastRenderedPageBreak/>
        <w:t>sido objeto de atentados, acciones terroristas, desastres naturales o casos de fuerza mayor, y los que deban realizar las entidades sanitarias y hospitalarias</w:t>
      </w:r>
      <w:r w:rsidRPr="00DD243D">
        <w:rPr>
          <w:rFonts w:ascii="Arial" w:eastAsia="Calibri" w:hAnsi="Arial" w:cs="Arial"/>
          <w:bCs/>
        </w:rPr>
        <w:t>»</w:t>
      </w:r>
      <w:r w:rsidRPr="00DD243D">
        <w:rPr>
          <w:rFonts w:ascii="Arial" w:eastAsia="Calibri" w:hAnsi="Arial" w:cs="Arial"/>
          <w:bCs/>
          <w:vertAlign w:val="superscript"/>
        </w:rPr>
        <w:footnoteReference w:id="8"/>
      </w:r>
      <w:r w:rsidRPr="00DD243D">
        <w:rPr>
          <w:rFonts w:ascii="Arial" w:eastAsia="Calibri" w:hAnsi="Arial" w:cs="Arial"/>
        </w:rPr>
        <w:t>.</w:t>
      </w:r>
    </w:p>
    <w:p w14:paraId="1B0B89DC" w14:textId="77777777" w:rsidR="009E73EC" w:rsidRPr="00DD243D" w:rsidRDefault="009E73EC" w:rsidP="009E73EC">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DD243D">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DD243D">
        <w:rPr>
          <w:rFonts w:ascii="Arial" w:eastAsia="Calibri" w:hAnsi="Arial" w:cs="Arial"/>
          <w:bCs/>
        </w:rPr>
        <w:t xml:space="preserve">«[…] </w:t>
      </w:r>
      <w:r w:rsidRPr="00DD243D">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D243D">
        <w:rPr>
          <w:rFonts w:ascii="Arial" w:eastAsia="Calibri" w:hAnsi="Arial" w:cs="Arial"/>
          <w:bCs/>
          <w:sz w:val="19"/>
          <w:szCs w:val="19"/>
        </w:rPr>
        <w:t>»</w:t>
      </w:r>
      <w:bookmarkEnd w:id="17"/>
      <w:bookmarkEnd w:id="18"/>
      <w:r w:rsidRPr="00DD243D">
        <w:rPr>
          <w:rFonts w:ascii="Arial" w:eastAsia="Calibri" w:hAnsi="Arial" w:cs="Arial"/>
          <w:bCs/>
          <w:sz w:val="19"/>
          <w:szCs w:val="19"/>
          <w:vertAlign w:val="superscript"/>
        </w:rPr>
        <w:footnoteReference w:id="9"/>
      </w:r>
      <w:r w:rsidRPr="00DD243D">
        <w:rPr>
          <w:rFonts w:ascii="Arial" w:eastAsia="Calibri" w:hAnsi="Arial" w:cs="Arial"/>
          <w:lang w:val="es-MX"/>
        </w:rPr>
        <w:t>.</w:t>
      </w:r>
      <w:r w:rsidRPr="00DD243D">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4B46EE7" w14:textId="77777777" w:rsidR="009E73EC" w:rsidRPr="00DD243D" w:rsidRDefault="009E73EC" w:rsidP="009E73EC">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390F4D50" w14:textId="77777777" w:rsidR="009E73EC" w:rsidRPr="00DD243D" w:rsidRDefault="009E73EC" w:rsidP="009E73EC">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DD243D">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DD243D">
        <w:rPr>
          <w:rFonts w:ascii="Arial" w:eastAsia="Arial" w:hAnsi="Arial" w:cs="Arial"/>
          <w:sz w:val="21"/>
          <w:szCs w:val="21"/>
          <w:lang w:val="es-ES" w:eastAsia="es-ES" w:bidi="es-ES"/>
        </w:rPr>
        <w:t>se integran parcialmente</w:t>
      </w:r>
      <w:bookmarkEnd w:id="21"/>
      <w:r w:rsidRPr="00DD243D">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DD243D">
        <w:rPr>
          <w:rFonts w:ascii="Arial" w:eastAsia="Arial" w:hAnsi="Arial" w:cs="Arial"/>
          <w:bCs/>
          <w:sz w:val="21"/>
          <w:szCs w:val="21"/>
          <w:lang w:val="es-ES" w:eastAsia="es-ES" w:bidi="es-ES"/>
        </w:rPr>
        <w:t xml:space="preserve">En cambio, para </w:t>
      </w:r>
      <w:r w:rsidRPr="00DD243D">
        <w:rPr>
          <w:rFonts w:ascii="Arial" w:eastAsia="Arial" w:hAnsi="Arial" w:cs="Arial"/>
          <w:bCs/>
          <w:sz w:val="21"/>
          <w:szCs w:val="21"/>
          <w:lang w:val="es-ES" w:eastAsia="es-ES" w:bidi="es-ES"/>
        </w:rPr>
        <w:lastRenderedPageBreak/>
        <w:t xml:space="preserve">elecciones en general, excluyendo las correspondientes a </w:t>
      </w:r>
      <w:proofErr w:type="gramStart"/>
      <w:r w:rsidRPr="00DD243D">
        <w:rPr>
          <w:rFonts w:ascii="Arial" w:eastAsia="Arial" w:hAnsi="Arial" w:cs="Arial"/>
          <w:bCs/>
          <w:sz w:val="21"/>
          <w:szCs w:val="21"/>
          <w:lang w:val="es-ES" w:eastAsia="es-ES" w:bidi="es-ES"/>
        </w:rPr>
        <w:t>Presidente</w:t>
      </w:r>
      <w:proofErr w:type="gramEnd"/>
      <w:r w:rsidRPr="00DD243D">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DD243D">
        <w:rPr>
          <w:rFonts w:ascii="Arial" w:eastAsia="Arial" w:hAnsi="Arial" w:cs="Arial"/>
          <w:sz w:val="21"/>
          <w:szCs w:val="21"/>
          <w:lang w:val="es-ES" w:eastAsia="es-ES" w:bidi="es-ES"/>
        </w:rPr>
        <w:t>.</w:t>
      </w:r>
      <w:r w:rsidRPr="00DD243D">
        <w:rPr>
          <w:rFonts w:ascii="Arial" w:eastAsia="Arial" w:hAnsi="Arial" w:cs="Arial"/>
          <w:sz w:val="21"/>
          <w:szCs w:val="21"/>
          <w:vertAlign w:val="superscript"/>
          <w:lang w:val="es-ES" w:eastAsia="es-ES" w:bidi="es-ES"/>
        </w:rPr>
        <w:footnoteReference w:id="10"/>
      </w:r>
    </w:p>
    <w:p w14:paraId="1B15D526" w14:textId="77777777" w:rsidR="009E73EC" w:rsidRPr="00DD243D" w:rsidRDefault="009E73EC" w:rsidP="009E73EC">
      <w:pPr>
        <w:widowControl w:val="0"/>
        <w:autoSpaceDE w:val="0"/>
        <w:autoSpaceDN w:val="0"/>
        <w:spacing w:after="0" w:line="276" w:lineRule="auto"/>
        <w:contextualSpacing/>
        <w:rPr>
          <w:rFonts w:ascii="Arial" w:eastAsia="Arial" w:hAnsi="Arial" w:cs="Arial"/>
          <w:lang w:val="es-ES" w:eastAsia="es-ES" w:bidi="es-ES"/>
        </w:rPr>
      </w:pPr>
    </w:p>
    <w:p w14:paraId="2F9ED98A" w14:textId="77777777" w:rsidR="009E73EC" w:rsidRPr="00DD243D" w:rsidRDefault="009E73EC" w:rsidP="009E73EC">
      <w:pPr>
        <w:spacing w:after="120" w:line="276" w:lineRule="auto"/>
        <w:ind w:firstLine="709"/>
        <w:jc w:val="both"/>
        <w:rPr>
          <w:rFonts w:ascii="Arial" w:eastAsia="Arial" w:hAnsi="Arial" w:cs="Arial"/>
          <w:lang w:val="es-ES" w:eastAsia="es-ES" w:bidi="es-ES"/>
        </w:rPr>
      </w:pPr>
      <w:r w:rsidRPr="00DD243D">
        <w:rPr>
          <w:rFonts w:ascii="Arial" w:eastAsia="Arial" w:hAnsi="Arial" w:cs="Arial"/>
          <w:lang w:val="es-ES" w:eastAsia="es-ES" w:bidi="es-ES"/>
        </w:rPr>
        <w:t xml:space="preserve">De conformidad con lo anterior, </w:t>
      </w:r>
      <w:bookmarkStart w:id="22" w:name="_Hlk77236420"/>
      <w:bookmarkStart w:id="23" w:name="_Hlk78818435"/>
      <w:bookmarkStart w:id="24" w:name="_Hlk75780333"/>
      <w:r w:rsidRPr="00DD243D">
        <w:rPr>
          <w:rFonts w:ascii="Arial" w:eastAsia="Arial" w:hAnsi="Arial" w:cs="Arial"/>
          <w:lang w:val="es-ES" w:eastAsia="es-ES" w:bidi="es-ES"/>
        </w:rPr>
        <w:t xml:space="preserve">la Ley 996 de 2005 establece dos (2) tipos de restricciones en materia de contratación, las cuales coinciden parcialmente. </w:t>
      </w:r>
      <w:r w:rsidRPr="00DD243D">
        <w:rPr>
          <w:rFonts w:ascii="Arial" w:eastAsia="Arial" w:hAnsi="Arial" w:cs="Arial"/>
          <w:i/>
          <w:iCs/>
          <w:lang w:val="es-ES" w:eastAsia="es-ES" w:bidi="es-ES"/>
        </w:rPr>
        <w:t>En primer lugar</w:t>
      </w:r>
      <w:r w:rsidRPr="00DD243D">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DD243D">
        <w:rPr>
          <w:rFonts w:ascii="Arial" w:eastAsia="Arial" w:hAnsi="Arial" w:cs="Arial"/>
          <w:i/>
          <w:iCs/>
          <w:lang w:val="es-ES" w:eastAsia="es-ES" w:bidi="es-ES"/>
        </w:rPr>
        <w:t>En segundo lugar</w:t>
      </w:r>
      <w:r w:rsidRPr="00DD243D">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7C0C4897" w14:textId="77777777" w:rsidR="009E73EC" w:rsidRPr="00DD243D" w:rsidRDefault="009E73EC" w:rsidP="009E73EC">
      <w:pPr>
        <w:spacing w:after="120" w:line="276" w:lineRule="auto"/>
        <w:ind w:firstLine="709"/>
        <w:jc w:val="both"/>
        <w:rPr>
          <w:rFonts w:ascii="Arial" w:eastAsia="Arial" w:hAnsi="Arial" w:cs="Arial"/>
          <w:lang w:val="es-ES" w:eastAsia="es-ES" w:bidi="es-ES"/>
        </w:rPr>
      </w:pPr>
      <w:r w:rsidRPr="00DD243D">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DD243D">
        <w:rPr>
          <w:rFonts w:ascii="Arial" w:eastAsia="Arial" w:hAnsi="Arial" w:cs="Arial"/>
          <w:lang w:val="es-ES" w:eastAsia="es-ES" w:bidi="es-ES"/>
        </w:rPr>
        <w:t>Presidente</w:t>
      </w:r>
      <w:proofErr w:type="gramEnd"/>
      <w:r w:rsidRPr="00DD243D">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DD243D">
        <w:rPr>
          <w:rFonts w:ascii="Arial" w:eastAsia="Arial" w:hAnsi="Arial" w:cs="Arial"/>
          <w:lang w:val="es-ES" w:eastAsia="es-ES" w:bidi="es-ES"/>
        </w:rPr>
        <w:t>Presidente</w:t>
      </w:r>
      <w:proofErr w:type="gramEnd"/>
      <w:r w:rsidRPr="00DD243D">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24"/>
    <w:p w14:paraId="7E49B14D" w14:textId="77777777" w:rsidR="009E73EC" w:rsidRPr="00DD243D" w:rsidRDefault="009E73EC" w:rsidP="009E73EC">
      <w:pPr>
        <w:spacing w:after="0" w:line="276" w:lineRule="auto"/>
        <w:ind w:firstLine="708"/>
        <w:jc w:val="both"/>
        <w:rPr>
          <w:rFonts w:ascii="Arial" w:eastAsia="Arial" w:hAnsi="Arial" w:cs="Arial"/>
          <w:lang w:val="es-ES" w:eastAsia="es-ES" w:bidi="es-ES"/>
        </w:rPr>
      </w:pPr>
      <w:r w:rsidRPr="00DD243D">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DD243D">
        <w:rPr>
          <w:rFonts w:ascii="Arial" w:eastAsia="Arial" w:hAnsi="Arial" w:cs="Arial"/>
          <w:lang w:val="es-ES" w:eastAsia="es-ES" w:bidi="es-ES"/>
        </w:rPr>
        <w:t>Presidente</w:t>
      </w:r>
      <w:proofErr w:type="gramEnd"/>
      <w:r w:rsidRPr="00DD243D">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w:t>
      </w:r>
      <w:r w:rsidRPr="00DD243D">
        <w:rPr>
          <w:rFonts w:ascii="Arial" w:eastAsia="Arial" w:hAnsi="Arial" w:cs="Arial"/>
          <w:lang w:val="es-ES" w:eastAsia="es-ES" w:bidi="es-ES"/>
        </w:rPr>
        <w:lastRenderedPageBreak/>
        <w:t xml:space="preserve">el respectivo cuatrienio, en forma continua o discontinua, conforme al artículo 197 de la Constitución Política.  </w:t>
      </w:r>
    </w:p>
    <w:p w14:paraId="6C23DF44" w14:textId="77777777" w:rsidR="009E73EC" w:rsidRPr="00DD243D" w:rsidRDefault="009E73EC" w:rsidP="009E73EC">
      <w:pPr>
        <w:spacing w:after="0" w:line="276" w:lineRule="auto"/>
        <w:contextualSpacing/>
        <w:jc w:val="both"/>
        <w:rPr>
          <w:rFonts w:ascii="Arial" w:eastAsia="Times New Roman" w:hAnsi="Arial" w:cs="Arial"/>
          <w:bCs/>
          <w:lang w:val="es-ES" w:eastAsia="es-CO"/>
        </w:rPr>
      </w:pPr>
    </w:p>
    <w:p w14:paraId="37391D21" w14:textId="77777777" w:rsidR="009E73EC" w:rsidRPr="00DD243D" w:rsidRDefault="009E73EC" w:rsidP="009E73EC">
      <w:pPr>
        <w:spacing w:after="0" w:line="276" w:lineRule="auto"/>
        <w:contextualSpacing/>
        <w:jc w:val="both"/>
        <w:rPr>
          <w:rFonts w:ascii="Arial" w:eastAsia="Times New Roman" w:hAnsi="Arial" w:cs="Arial"/>
          <w:b/>
          <w:lang w:val="es-ES" w:eastAsia="es-CO"/>
        </w:rPr>
      </w:pPr>
      <w:r w:rsidRPr="00DD243D">
        <w:rPr>
          <w:rFonts w:ascii="Arial" w:eastAsia="Times New Roman" w:hAnsi="Arial" w:cs="Arial"/>
          <w:b/>
          <w:lang w:val="es-ES" w:eastAsia="es-CO"/>
        </w:rPr>
        <w:t xml:space="preserve">2.2. </w:t>
      </w:r>
      <w:r w:rsidRPr="00DD243D">
        <w:rPr>
          <w:rFonts w:ascii="Arial" w:eastAsia="Times New Roman" w:hAnsi="Arial" w:cs="Arial"/>
          <w:b/>
          <w:bCs/>
          <w:lang w:val="es-MX" w:eastAsia="es-CO"/>
        </w:rPr>
        <w:t>Restricciones en elecciones presidenciales: prohibición del artículo 33 de la Ley 996 de 2005</w:t>
      </w:r>
    </w:p>
    <w:p w14:paraId="251F4458" w14:textId="77777777" w:rsidR="009E73EC" w:rsidRPr="00DD243D" w:rsidRDefault="009E73EC" w:rsidP="009E73EC">
      <w:pPr>
        <w:spacing w:after="0" w:line="276" w:lineRule="auto"/>
        <w:contextualSpacing/>
        <w:jc w:val="both"/>
        <w:rPr>
          <w:rFonts w:ascii="Arial" w:eastAsia="Times New Roman" w:hAnsi="Arial" w:cs="Arial"/>
          <w:bCs/>
          <w:lang w:val="es-MX" w:eastAsia="x-none"/>
        </w:rPr>
      </w:pPr>
    </w:p>
    <w:p w14:paraId="3B8DB724" w14:textId="77777777" w:rsidR="009E73EC" w:rsidRPr="00DD243D" w:rsidRDefault="009E73EC" w:rsidP="009E73EC">
      <w:pPr>
        <w:spacing w:after="0" w:line="276" w:lineRule="auto"/>
        <w:contextualSpacing/>
        <w:jc w:val="both"/>
        <w:rPr>
          <w:rFonts w:ascii="Arial" w:eastAsia="Times New Roman" w:hAnsi="Arial" w:cs="Arial"/>
          <w:bCs/>
          <w:lang w:val="es-MX" w:eastAsia="es-CO"/>
        </w:rPr>
      </w:pPr>
      <w:r w:rsidRPr="00DD243D">
        <w:rPr>
          <w:rFonts w:ascii="Arial" w:eastAsia="Times New Roman" w:hAnsi="Arial" w:cs="Arial"/>
          <w:bCs/>
          <w:lang w:val="es-MX" w:eastAsia="x-none"/>
        </w:rPr>
        <w:t xml:space="preserve">El ámbito material de la prohibición contenida </w:t>
      </w:r>
      <w:bookmarkStart w:id="25" w:name="_Hlk75628761"/>
      <w:r w:rsidRPr="00DD243D">
        <w:rPr>
          <w:rFonts w:ascii="Arial" w:eastAsia="Times New Roman" w:hAnsi="Arial" w:cs="Arial"/>
          <w:bCs/>
          <w:lang w:val="es-MX" w:eastAsia="x-none"/>
        </w:rPr>
        <w:t xml:space="preserve">en el artículo 33 de la Ley 996 de 2005 </w:t>
      </w:r>
      <w:bookmarkEnd w:id="25"/>
      <w:r w:rsidRPr="00DD243D">
        <w:rPr>
          <w:rFonts w:ascii="Arial" w:eastAsia="Times New Roman" w:hAnsi="Arial" w:cs="Arial"/>
          <w:bCs/>
          <w:lang w:val="es-MX" w:eastAsia="x-none"/>
        </w:rPr>
        <w:t xml:space="preserve">está delimitado por la expresión </w:t>
      </w:r>
      <w:r w:rsidRPr="00DD243D">
        <w:rPr>
          <w:rFonts w:ascii="Arial" w:eastAsia="Calibri" w:hAnsi="Arial" w:cs="Arial"/>
          <w:bCs/>
          <w:sz w:val="20"/>
          <w:szCs w:val="20"/>
          <w:lang w:val="es-MX"/>
        </w:rPr>
        <w:t>«</w:t>
      </w:r>
      <w:r w:rsidRPr="00DD243D">
        <w:rPr>
          <w:rFonts w:ascii="Arial" w:eastAsia="Times New Roman" w:hAnsi="Arial" w:cs="Arial"/>
          <w:bCs/>
          <w:lang w:val="es-MX" w:eastAsia="x-none"/>
        </w:rPr>
        <w:t>queda prohibida la contratación directa</w:t>
      </w:r>
      <w:r w:rsidRPr="00DD243D">
        <w:rPr>
          <w:rFonts w:ascii="Arial" w:eastAsia="Calibri" w:hAnsi="Arial" w:cs="Arial"/>
          <w:sz w:val="20"/>
          <w:szCs w:val="20"/>
          <w:lang w:val="es-MX"/>
        </w:rPr>
        <w:t>»</w:t>
      </w:r>
      <w:r w:rsidRPr="00DD243D">
        <w:rPr>
          <w:rFonts w:ascii="Arial" w:eastAsia="Times New Roman" w:hAnsi="Arial" w:cs="Arial"/>
          <w:bCs/>
          <w:lang w:val="es-MX" w:eastAsia="x-none"/>
        </w:rPr>
        <w:t>.</w:t>
      </w:r>
      <w:r w:rsidRPr="00DD243D">
        <w:rPr>
          <w:rFonts w:ascii="Arial" w:eastAsia="Times New Roman" w:hAnsi="Arial" w:cs="Arial"/>
          <w:lang w:val="es-MX" w:eastAsia="es-CO"/>
        </w:rPr>
        <w:t xml:space="preserve"> A propósito de </w:t>
      </w:r>
      <w:r w:rsidRPr="00DD243D">
        <w:rPr>
          <w:rFonts w:ascii="Arial" w:eastAsia="Times New Roman" w:hAnsi="Arial" w:cs="Arial"/>
          <w:lang w:eastAsia="es-CO"/>
        </w:rPr>
        <w:t>esta restricción de la Ley de Garantías Electorales, la Sala de Consulta y Servicio Civil del Consejo de Estado ha considerado que:</w:t>
      </w:r>
    </w:p>
    <w:p w14:paraId="46B7AB62" w14:textId="77777777" w:rsidR="009E73EC" w:rsidRPr="00DD243D" w:rsidRDefault="009E73EC" w:rsidP="009E73EC">
      <w:pPr>
        <w:spacing w:after="0" w:line="276" w:lineRule="auto"/>
        <w:ind w:left="708" w:right="709"/>
        <w:contextualSpacing/>
        <w:jc w:val="both"/>
        <w:rPr>
          <w:rFonts w:ascii="Arial" w:eastAsia="Calibri" w:hAnsi="Arial" w:cs="Arial"/>
          <w:sz w:val="21"/>
          <w:szCs w:val="21"/>
          <w:lang w:val="es-MX"/>
        </w:rPr>
      </w:pPr>
    </w:p>
    <w:p w14:paraId="0F369723"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r w:rsidRPr="00DD243D">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DD243D">
        <w:rPr>
          <w:rFonts w:ascii="Arial" w:eastAsia="Times New Roman" w:hAnsi="Arial" w:cs="Arial"/>
          <w:vertAlign w:val="superscript"/>
          <w:lang w:eastAsia="es-CO"/>
        </w:rPr>
        <w:footnoteReference w:id="11"/>
      </w:r>
      <w:r w:rsidRPr="00DD243D">
        <w:rPr>
          <w:rFonts w:ascii="Arial" w:eastAsia="Calibri" w:hAnsi="Arial" w:cs="Arial"/>
          <w:sz w:val="21"/>
          <w:szCs w:val="21"/>
          <w:lang w:val="es-MX"/>
        </w:rPr>
        <w:t>.</w:t>
      </w:r>
    </w:p>
    <w:p w14:paraId="3C50C699"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p>
    <w:p w14:paraId="01DFADDB" w14:textId="77777777" w:rsidR="009E73EC" w:rsidRPr="00DD243D" w:rsidRDefault="009E73EC" w:rsidP="009E73EC">
      <w:pPr>
        <w:spacing w:after="0" w:line="240" w:lineRule="auto"/>
        <w:ind w:left="708" w:right="709"/>
        <w:contextualSpacing/>
        <w:jc w:val="both"/>
        <w:rPr>
          <w:rFonts w:ascii="Arial" w:eastAsia="Calibri" w:hAnsi="Arial" w:cs="Arial"/>
          <w:sz w:val="21"/>
          <w:szCs w:val="21"/>
          <w:lang w:val="es-MX"/>
        </w:rPr>
      </w:pPr>
      <w:r w:rsidRPr="00DD243D">
        <w:rPr>
          <w:rFonts w:ascii="Arial" w:eastAsia="Calibri" w:hAnsi="Arial" w:cs="Arial"/>
          <w:sz w:val="21"/>
          <w:szCs w:val="21"/>
          <w:lang w:val="es-MX"/>
        </w:rPr>
        <w:t xml:space="preserve">Esta Sala ha entendido </w:t>
      </w:r>
      <w:proofErr w:type="gramStart"/>
      <w:r w:rsidRPr="00DD243D">
        <w:rPr>
          <w:rFonts w:ascii="Arial" w:eastAsia="Calibri" w:hAnsi="Arial" w:cs="Arial"/>
          <w:sz w:val="21"/>
          <w:szCs w:val="21"/>
          <w:lang w:val="es-MX"/>
        </w:rPr>
        <w:t>que</w:t>
      </w:r>
      <w:proofErr w:type="gramEnd"/>
      <w:r w:rsidRPr="00DD243D">
        <w:rPr>
          <w:rFonts w:ascii="Arial" w:eastAsia="Calibri" w:hAnsi="Arial" w:cs="Arial"/>
          <w:sz w:val="21"/>
          <w:szCs w:val="21"/>
          <w:lang w:val="es-MX"/>
        </w:rPr>
        <w:t xml:space="preserve"> para los efectos de la ley de garantías, y dada su finalidad, el enunciado ´contratación directa´ es sinónimo </w:t>
      </w:r>
      <w:bookmarkStart w:id="28" w:name="_Hlk75741738"/>
      <w:r w:rsidRPr="00DD243D">
        <w:rPr>
          <w:rFonts w:ascii="Arial" w:eastAsia="Calibri" w:hAnsi="Arial" w:cs="Arial"/>
          <w:sz w:val="21"/>
          <w:szCs w:val="21"/>
          <w:lang w:val="es-MX"/>
        </w:rPr>
        <w:t xml:space="preserve">de cualquier sistema que no implique convocatoria pública y posibilidad de pluralidad de oferentes, </w:t>
      </w:r>
      <w:bookmarkEnd w:id="28"/>
      <w:r w:rsidRPr="00DD243D">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DD243D">
        <w:rPr>
          <w:rFonts w:ascii="Arial" w:eastAsia="Times New Roman" w:hAnsi="Arial" w:cs="Arial"/>
          <w:sz w:val="21"/>
          <w:szCs w:val="21"/>
          <w:vertAlign w:val="superscript"/>
          <w:lang w:val="es-MX"/>
        </w:rPr>
        <w:footnoteReference w:id="12"/>
      </w:r>
      <w:r w:rsidRPr="00DD243D">
        <w:rPr>
          <w:rFonts w:ascii="Arial" w:eastAsia="Times New Roman" w:hAnsi="Arial" w:cs="Arial"/>
          <w:sz w:val="21"/>
          <w:szCs w:val="21"/>
          <w:vertAlign w:val="superscript"/>
          <w:lang w:val="es-MX"/>
        </w:rPr>
        <w:t>.</w:t>
      </w:r>
      <w:r w:rsidRPr="00DD243D">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DD243D">
        <w:rPr>
          <w:rFonts w:ascii="Arial" w:eastAsia="Times New Roman" w:hAnsi="Arial" w:cs="Arial"/>
          <w:vertAlign w:val="superscript"/>
          <w:lang w:eastAsia="es-CO"/>
        </w:rPr>
        <w:footnoteReference w:id="13"/>
      </w:r>
      <w:r w:rsidRPr="00DD243D">
        <w:rPr>
          <w:rFonts w:ascii="Arial" w:eastAsia="Calibri" w:hAnsi="Arial" w:cs="Arial"/>
          <w:sz w:val="21"/>
          <w:szCs w:val="21"/>
          <w:lang w:val="es-MX"/>
        </w:rPr>
        <w:t xml:space="preserve"> .</w:t>
      </w:r>
    </w:p>
    <w:p w14:paraId="7D1D6EF7" w14:textId="77777777" w:rsidR="009E73EC" w:rsidRPr="00DD243D" w:rsidRDefault="009E73EC" w:rsidP="00CE1F82">
      <w:pPr>
        <w:shd w:val="clear" w:color="auto" w:fill="FFFFFF"/>
        <w:spacing w:after="0" w:line="276" w:lineRule="auto"/>
        <w:ind w:firstLine="709"/>
        <w:jc w:val="both"/>
        <w:rPr>
          <w:rFonts w:ascii="Arial" w:eastAsia="Times New Roman" w:hAnsi="Arial" w:cs="Arial"/>
          <w:lang w:eastAsia="x-none"/>
        </w:rPr>
      </w:pPr>
    </w:p>
    <w:p w14:paraId="6D36F3B7" w14:textId="77777777" w:rsidR="009E73EC" w:rsidRPr="00DD243D" w:rsidRDefault="009E73EC" w:rsidP="00426180">
      <w:pPr>
        <w:spacing w:after="120" w:line="276" w:lineRule="auto"/>
        <w:ind w:firstLine="709"/>
        <w:jc w:val="both"/>
        <w:rPr>
          <w:rFonts w:ascii="Arial" w:eastAsia="Times New Roman" w:hAnsi="Arial" w:cs="Arial"/>
          <w:bCs/>
          <w:lang w:eastAsia="x-none"/>
        </w:rPr>
      </w:pPr>
      <w:bookmarkStart w:id="30" w:name="_Hlk94521748"/>
      <w:r w:rsidRPr="00DD243D">
        <w:rPr>
          <w:rFonts w:ascii="Arial" w:eastAsia="Times New Roman" w:hAnsi="Arial" w:cs="Arial"/>
          <w:lang w:eastAsia="x-none"/>
        </w:rPr>
        <w:t xml:space="preserve">De conformidad con el citado concepto, </w:t>
      </w:r>
      <w:bookmarkStart w:id="31" w:name="_Hlk78818702"/>
      <w:r w:rsidRPr="00DD243D">
        <w:rPr>
          <w:rFonts w:ascii="Arial" w:eastAsia="Times New Roman" w:hAnsi="Arial" w:cs="Arial"/>
          <w:lang w:eastAsia="x-none"/>
        </w:rPr>
        <w:t xml:space="preserve">la prohibición del artículo 33 de la Ley de Garantías Electorales se refiere a </w:t>
      </w:r>
      <w:bookmarkStart w:id="32" w:name="_Hlk74294635"/>
      <w:r w:rsidRPr="00DD243D">
        <w:rPr>
          <w:rFonts w:ascii="Arial" w:eastAsia="Times New Roman" w:hAnsi="Arial" w:cs="Arial"/>
          <w:sz w:val="19"/>
          <w:szCs w:val="19"/>
          <w:lang w:eastAsia="en-GB"/>
        </w:rPr>
        <w:t>«</w:t>
      </w:r>
      <w:bookmarkEnd w:id="32"/>
      <w:r w:rsidRPr="00DD243D">
        <w:rPr>
          <w:rFonts w:ascii="Arial" w:eastAsia="Times New Roman" w:hAnsi="Arial" w:cs="Arial"/>
          <w:lang w:eastAsia="x-none"/>
        </w:rPr>
        <w:t>cualquier sistema que no implique convocatoria pública y posibilidad de pluralidad de oferentes</w:t>
      </w:r>
      <w:bookmarkStart w:id="33" w:name="_Hlk74404754"/>
      <w:r w:rsidRPr="00DD243D">
        <w:rPr>
          <w:rFonts w:ascii="Arial" w:eastAsia="Times New Roman" w:hAnsi="Arial" w:cs="Arial"/>
          <w:lang w:eastAsia="en-GB"/>
        </w:rPr>
        <w:t>»</w:t>
      </w:r>
      <w:bookmarkEnd w:id="33"/>
      <w:r w:rsidRPr="00DD243D">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0"/>
      <w:bookmarkEnd w:id="31"/>
      <w:r w:rsidRPr="00DD243D">
        <w:rPr>
          <w:rFonts w:ascii="Arial" w:eastAsia="Times New Roman" w:hAnsi="Arial" w:cs="Arial"/>
          <w:lang w:eastAsia="x-none"/>
        </w:rPr>
        <w:t xml:space="preserve">Esta posición es congruente con la expedición de la Ley 1150 de 2007 que, entre otras reformas, introdujo la </w:t>
      </w:r>
      <w:r w:rsidRPr="00DD243D">
        <w:rPr>
          <w:rFonts w:ascii="Arial" w:eastAsia="Times New Roman" w:hAnsi="Arial" w:cs="Arial"/>
          <w:lang w:eastAsia="x-none"/>
        </w:rPr>
        <w:lastRenderedPageBreak/>
        <w:t>selección abreviada, rediseñó el concurso de méritos</w:t>
      </w:r>
      <w:r w:rsidRPr="00DD243D">
        <w:rPr>
          <w:rFonts w:ascii="Arial" w:eastAsia="Times New Roman" w:hAnsi="Arial" w:cs="Arial"/>
          <w:vertAlign w:val="superscript"/>
          <w:lang w:val="en-GB" w:eastAsia="x-none"/>
        </w:rPr>
        <w:footnoteReference w:id="14"/>
      </w:r>
      <w:r w:rsidRPr="00DD243D">
        <w:rPr>
          <w:rFonts w:ascii="Arial" w:eastAsia="Times New Roman" w:hAnsi="Arial" w:cs="Arial"/>
          <w:lang w:eastAsia="x-none"/>
        </w:rPr>
        <w:t xml:space="preserve"> y sistematizó las causales de contratación directa</w:t>
      </w:r>
      <w:r w:rsidRPr="00DD243D">
        <w:rPr>
          <w:rFonts w:ascii="Arial" w:eastAsia="Times New Roman" w:hAnsi="Arial" w:cs="Arial"/>
          <w:vertAlign w:val="superscript"/>
          <w:lang w:val="en-GB" w:eastAsia="x-none"/>
        </w:rPr>
        <w:footnoteReference w:id="15"/>
      </w:r>
      <w:r w:rsidRPr="00DD243D">
        <w:rPr>
          <w:rFonts w:ascii="Arial" w:eastAsia="Times New Roman" w:hAnsi="Arial" w:cs="Arial"/>
          <w:lang w:eastAsia="x-none"/>
        </w:rPr>
        <w:t xml:space="preserve">. </w:t>
      </w:r>
    </w:p>
    <w:p w14:paraId="7030994E" w14:textId="77777777" w:rsidR="009E73EC" w:rsidRPr="00DD243D" w:rsidRDefault="009E73EC" w:rsidP="00426180">
      <w:pPr>
        <w:spacing w:after="120" w:line="276" w:lineRule="auto"/>
        <w:ind w:firstLine="709"/>
        <w:jc w:val="both"/>
        <w:rPr>
          <w:rFonts w:ascii="Arial" w:eastAsia="Times New Roman" w:hAnsi="Arial" w:cs="Arial"/>
          <w:lang w:val="es-MX" w:eastAsia="x-none"/>
        </w:rPr>
      </w:pPr>
      <w:r w:rsidRPr="00DD243D">
        <w:rPr>
          <w:rFonts w:ascii="Arial" w:eastAsia="Times New Roman" w:hAnsi="Arial" w:cs="Arial"/>
          <w:lang w:eastAsia="x-none"/>
        </w:rPr>
        <w:t xml:space="preserve">De esta forma, se ha depurado la noción de </w:t>
      </w:r>
      <w:r w:rsidRPr="00DD243D">
        <w:rPr>
          <w:rFonts w:ascii="Arial" w:eastAsia="Times New Roman" w:hAnsi="Arial" w:cs="Arial"/>
          <w:sz w:val="19"/>
          <w:szCs w:val="19"/>
          <w:lang w:eastAsia="en-GB"/>
        </w:rPr>
        <w:t>«</w:t>
      </w:r>
      <w:r w:rsidRPr="00DD243D">
        <w:rPr>
          <w:rFonts w:ascii="Arial" w:eastAsia="Times New Roman" w:hAnsi="Arial" w:cs="Arial"/>
          <w:lang w:eastAsia="x-none"/>
        </w:rPr>
        <w:t>contratación directa</w:t>
      </w:r>
      <w:r w:rsidRPr="00DD243D">
        <w:rPr>
          <w:rFonts w:ascii="Arial" w:eastAsia="Times New Roman" w:hAnsi="Arial" w:cs="Arial"/>
          <w:lang w:eastAsia="en-GB"/>
        </w:rPr>
        <w:t>»</w:t>
      </w:r>
      <w:r w:rsidRPr="00DD243D">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DD243D">
        <w:rPr>
          <w:rFonts w:ascii="Arial" w:eastAsia="Times New Roman" w:hAnsi="Arial" w:cs="Arial"/>
          <w:vertAlign w:val="superscript"/>
          <w:lang w:val="en-GB" w:eastAsia="x-none"/>
        </w:rPr>
        <w:footnoteReference w:id="16"/>
      </w:r>
      <w:r w:rsidRPr="00DD243D">
        <w:rPr>
          <w:rFonts w:ascii="Arial" w:eastAsia="Times New Roman" w:hAnsi="Arial" w:cs="Arial"/>
          <w:lang w:eastAsia="x-none"/>
        </w:rPr>
        <w:t>, han establecido sistemas de contratación que implican convocatoria pública y participación de varios oferentes</w:t>
      </w:r>
      <w:r w:rsidRPr="00DD243D">
        <w:rPr>
          <w:rFonts w:ascii="Arial" w:eastAsia="Times New Roman" w:hAnsi="Arial" w:cs="Arial"/>
          <w:lang w:eastAsia="en-GB"/>
        </w:rPr>
        <w:t>»</w:t>
      </w:r>
      <w:r w:rsidRPr="00DD243D">
        <w:rPr>
          <w:rFonts w:ascii="Arial" w:eastAsia="Times New Roman" w:hAnsi="Arial" w:cs="Arial"/>
          <w:lang w:eastAsia="x-none"/>
        </w:rPr>
        <w:t xml:space="preserve">. </w:t>
      </w:r>
    </w:p>
    <w:p w14:paraId="13763FD9" w14:textId="77777777" w:rsidR="009E73EC" w:rsidRPr="00DD243D" w:rsidRDefault="009E73EC" w:rsidP="00426180">
      <w:pPr>
        <w:spacing w:after="120" w:line="276" w:lineRule="auto"/>
        <w:ind w:firstLine="709"/>
        <w:jc w:val="both"/>
        <w:rPr>
          <w:rFonts w:ascii="Arial" w:eastAsia="Times New Roman" w:hAnsi="Arial" w:cs="Arial"/>
          <w:bCs/>
          <w:lang w:val="es-MX" w:eastAsia="es-CO"/>
        </w:rPr>
      </w:pPr>
      <w:r w:rsidRPr="00DD243D">
        <w:rPr>
          <w:rFonts w:ascii="Arial" w:eastAsia="Times New Roman" w:hAnsi="Arial" w:cs="Arial"/>
          <w:bCs/>
          <w:lang w:val="es-MX" w:eastAsia="x-none"/>
        </w:rPr>
        <w:t>E</w:t>
      </w:r>
      <w:r w:rsidRPr="00DD243D">
        <w:rPr>
          <w:rFonts w:ascii="Arial" w:eastAsia="Times New Roman" w:hAnsi="Arial" w:cs="Arial"/>
          <w:lang w:eastAsia="x-none"/>
        </w:rPr>
        <w:t xml:space="preserve">n efecto, vale la pena mencionar que, </w:t>
      </w:r>
      <w:bookmarkStart w:id="35" w:name="_Hlk75636073"/>
      <w:r w:rsidRPr="00DD243D">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Pr="00DD243D">
        <w:rPr>
          <w:rFonts w:ascii="Arial" w:eastAsia="Times New Roman" w:hAnsi="Arial" w:cs="Arial"/>
          <w:vertAlign w:val="superscript"/>
          <w:lang w:eastAsia="x-none"/>
        </w:rPr>
        <w:footnoteReference w:id="17"/>
      </w:r>
      <w:r w:rsidRPr="00DD243D">
        <w:rPr>
          <w:rFonts w:ascii="Arial" w:eastAsia="Times New Roman" w:hAnsi="Arial" w:cs="Arial"/>
          <w:lang w:eastAsia="x-none"/>
        </w:rPr>
        <w:t xml:space="preserve">. </w:t>
      </w:r>
    </w:p>
    <w:p w14:paraId="3A7C1AB6" w14:textId="77777777" w:rsidR="009E73EC" w:rsidRPr="00DD243D" w:rsidRDefault="009E73EC" w:rsidP="00426180">
      <w:pPr>
        <w:spacing w:after="120" w:line="276" w:lineRule="auto"/>
        <w:ind w:firstLine="709"/>
        <w:jc w:val="both"/>
        <w:rPr>
          <w:rFonts w:ascii="Arial" w:eastAsia="Times New Roman" w:hAnsi="Arial" w:cs="Arial"/>
          <w:bCs/>
          <w:lang w:val="es-MX" w:eastAsia="es-CO"/>
        </w:rPr>
      </w:pPr>
      <w:r w:rsidRPr="00DD243D">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6197868" w14:textId="77777777" w:rsidR="009E73EC" w:rsidRPr="00DD243D" w:rsidRDefault="009E73EC" w:rsidP="00426180">
      <w:pPr>
        <w:spacing w:after="120" w:line="276" w:lineRule="auto"/>
        <w:ind w:firstLine="709"/>
        <w:jc w:val="both"/>
        <w:rPr>
          <w:rFonts w:ascii="Arial" w:eastAsia="Times New Roman" w:hAnsi="Arial" w:cs="Arial"/>
          <w:bCs/>
          <w:lang w:val="es-MX" w:eastAsia="x-none"/>
        </w:rPr>
      </w:pPr>
      <w:bookmarkStart w:id="36" w:name="_Hlk78818796"/>
      <w:r w:rsidRPr="00DD243D">
        <w:rPr>
          <w:rFonts w:ascii="Arial" w:eastAsia="Times New Roman" w:hAnsi="Arial" w:cs="Arial"/>
          <w:bCs/>
          <w:lang w:val="es-MX" w:eastAsia="x-none"/>
        </w:rPr>
        <w:t xml:space="preserve"> Así las cosas, </w:t>
      </w:r>
      <w:bookmarkStart w:id="37" w:name="_Hlk99577798"/>
      <w:r w:rsidRPr="00DD243D">
        <w:rPr>
          <w:rFonts w:ascii="Arial" w:eastAsia="Times New Roman" w:hAnsi="Arial" w:cs="Arial"/>
          <w:bCs/>
          <w:lang w:val="es-MX" w:eastAsia="x-none"/>
        </w:rPr>
        <w:t xml:space="preserve">ha de entenderse que, para los efectos de la Ley de Garantías Electorales y, en particular, para la restricción temporal contenida en su artículo 33, «contratación directa» es cualquier sistema de selección o procedimiento de contratación </w:t>
      </w:r>
      <w:r w:rsidRPr="00DD243D">
        <w:rPr>
          <w:rFonts w:ascii="Arial" w:eastAsia="Times New Roman" w:hAnsi="Arial" w:cs="Arial"/>
          <w:bCs/>
          <w:lang w:val="es-MX" w:eastAsia="x-none"/>
        </w:rPr>
        <w:lastRenderedPageBreak/>
        <w:t>utilizado por las entidades estatales que no incluya la convocatoria pública en alguna de sus etapas, ni permita la participación de una pluralidad de oferentes</w:t>
      </w:r>
      <w:r w:rsidRPr="00DD243D">
        <w:rPr>
          <w:rFonts w:ascii="Arial" w:eastAsia="Times New Roman" w:hAnsi="Arial" w:cs="Arial"/>
          <w:vertAlign w:val="superscript"/>
          <w:lang w:eastAsia="x-none"/>
        </w:rPr>
        <w:footnoteReference w:id="18"/>
      </w:r>
      <w:r w:rsidRPr="00DD243D">
        <w:rPr>
          <w:rFonts w:ascii="Arial" w:eastAsia="Times New Roman" w:hAnsi="Arial" w:cs="Arial"/>
          <w:bCs/>
          <w:lang w:val="es-MX" w:eastAsia="x-none"/>
        </w:rPr>
        <w:t>.</w:t>
      </w:r>
      <w:r w:rsidRPr="00DD243D">
        <w:rPr>
          <w:rFonts w:ascii="Arial" w:eastAsia="Times New Roman" w:hAnsi="Arial" w:cs="Arial"/>
          <w:vertAlign w:val="superscript"/>
          <w:lang w:eastAsia="x-none"/>
        </w:rPr>
        <w:t xml:space="preserve"> </w:t>
      </w:r>
    </w:p>
    <w:bookmarkEnd w:id="36"/>
    <w:p w14:paraId="5A2D01C6" w14:textId="77777777" w:rsidR="009E73EC" w:rsidRPr="00DD243D" w:rsidRDefault="009E73EC" w:rsidP="00426180">
      <w:pPr>
        <w:spacing w:after="120" w:line="276" w:lineRule="auto"/>
        <w:ind w:firstLine="709"/>
        <w:jc w:val="both"/>
        <w:rPr>
          <w:rFonts w:ascii="Arial" w:eastAsia="Times New Roman" w:hAnsi="Arial" w:cs="Arial"/>
          <w:lang w:eastAsia="x-none"/>
        </w:rPr>
      </w:pPr>
      <w:r w:rsidRPr="00DD243D">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DD243D">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0BA9FA86" w14:textId="45F85995" w:rsidR="009E73EC" w:rsidRPr="00DD243D" w:rsidRDefault="009E73EC" w:rsidP="00426180">
      <w:pPr>
        <w:spacing w:after="120" w:line="276" w:lineRule="auto"/>
        <w:ind w:firstLine="709"/>
        <w:jc w:val="both"/>
        <w:rPr>
          <w:rFonts w:ascii="Arial" w:eastAsia="Times New Roman" w:hAnsi="Arial" w:cs="Arial"/>
          <w:bCs/>
          <w:lang w:val="es-MX" w:eastAsia="x-none"/>
        </w:rPr>
      </w:pPr>
      <w:bookmarkStart w:id="38" w:name="_Hlk77237094"/>
      <w:bookmarkEnd w:id="37"/>
      <w:r w:rsidRPr="00DD243D">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7527AA" w:rsidRPr="00DD243D">
        <w:rPr>
          <w:rFonts w:ascii="Arial" w:eastAsia="Times New Roman" w:hAnsi="Arial" w:cs="Arial"/>
          <w:bCs/>
          <w:lang w:val="es-MX" w:eastAsia="es-CO"/>
        </w:rPr>
        <w:t xml:space="preserve"> Electorales</w:t>
      </w:r>
      <w:r w:rsidRPr="00DD243D">
        <w:rPr>
          <w:rFonts w:ascii="Arial" w:eastAsia="Times New Roman" w:hAnsi="Arial" w:cs="Arial"/>
          <w:bCs/>
          <w:lang w:val="es-MX" w:eastAsia="es-CO"/>
        </w:rPr>
        <w:t>, sin que ello haga nugatoria la restricción de la contratación directa y siempre que cumplan los principios de planeación, transparencia y responsabilidad.</w:t>
      </w:r>
      <w:bookmarkEnd w:id="38"/>
    </w:p>
    <w:p w14:paraId="12FCA83F" w14:textId="77777777" w:rsidR="009E73EC" w:rsidRPr="00DD243D" w:rsidRDefault="009E73EC" w:rsidP="00426180">
      <w:pPr>
        <w:spacing w:after="120" w:line="276" w:lineRule="auto"/>
        <w:ind w:firstLine="709"/>
        <w:jc w:val="both"/>
        <w:rPr>
          <w:rFonts w:ascii="Arial" w:eastAsia="Times New Roman" w:hAnsi="Arial" w:cs="Arial"/>
          <w:bCs/>
          <w:lang w:val="es-MX" w:eastAsia="es-CO"/>
        </w:rPr>
      </w:pPr>
      <w:r w:rsidRPr="00DD243D">
        <w:rPr>
          <w:rFonts w:ascii="Arial" w:eastAsia="Times New Roman" w:hAnsi="Arial" w:cs="Arial"/>
          <w:bCs/>
          <w:lang w:val="es-MX" w:eastAsia="x-none"/>
        </w:rPr>
        <w:t xml:space="preserve">De otro lado, </w:t>
      </w:r>
      <w:bookmarkStart w:id="39" w:name="_Hlk99577887"/>
      <w:bookmarkStart w:id="40" w:name="_Hlk100679762"/>
      <w:r w:rsidRPr="00DD243D">
        <w:rPr>
          <w:rFonts w:ascii="Arial" w:eastAsia="Times New Roman" w:hAnsi="Arial" w:cs="Arial"/>
          <w:bCs/>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DD243D">
        <w:rPr>
          <w:rFonts w:ascii="Arial" w:eastAsia="Times New Roman" w:hAnsi="Arial" w:cs="Arial"/>
          <w:bCs/>
          <w:lang w:val="es-MX" w:eastAsia="x-none"/>
        </w:rPr>
        <w:t>ii</w:t>
      </w:r>
      <w:proofErr w:type="spellEnd"/>
      <w:r w:rsidRPr="00DD243D">
        <w:rPr>
          <w:rFonts w:ascii="Arial" w:eastAsia="Times New Roman" w:hAnsi="Arial" w:cs="Arial"/>
          <w:bCs/>
          <w:lang w:val="es-MX" w:eastAsia="x-none"/>
        </w:rPr>
        <w:t xml:space="preserve">) los contratos de crédito público; </w:t>
      </w:r>
      <w:proofErr w:type="spellStart"/>
      <w:r w:rsidRPr="00DD243D">
        <w:rPr>
          <w:rFonts w:ascii="Arial" w:eastAsia="Times New Roman" w:hAnsi="Arial" w:cs="Arial"/>
          <w:bCs/>
          <w:lang w:val="es-MX" w:eastAsia="x-none"/>
        </w:rPr>
        <w:t>iii</w:t>
      </w:r>
      <w:proofErr w:type="spellEnd"/>
      <w:r w:rsidRPr="00DD243D">
        <w:rPr>
          <w:rFonts w:ascii="Arial" w:eastAsia="Times New Roman" w:hAnsi="Arial" w:cs="Arial"/>
          <w:bCs/>
          <w:lang w:val="es-MX" w:eastAsia="x-none"/>
        </w:rPr>
        <w:t xml:space="preserve">) los requeridos para cubrir las emergencias educativas, sanitarias y desastres; </w:t>
      </w:r>
      <w:proofErr w:type="spellStart"/>
      <w:r w:rsidRPr="00DD243D">
        <w:rPr>
          <w:rFonts w:ascii="Arial" w:eastAsia="Times New Roman" w:hAnsi="Arial" w:cs="Arial"/>
          <w:bCs/>
          <w:lang w:val="es-MX" w:eastAsia="x-none"/>
        </w:rPr>
        <w:t>iv</w:t>
      </w:r>
      <w:proofErr w:type="spellEnd"/>
      <w:r w:rsidRPr="00DD243D">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DD243D">
        <w:rPr>
          <w:rFonts w:ascii="Arial" w:eastAsia="Times New Roman"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9"/>
    </w:p>
    <w:bookmarkEnd w:id="40"/>
    <w:p w14:paraId="01CF29E5" w14:textId="77777777" w:rsidR="009E73EC" w:rsidRPr="00DD243D" w:rsidRDefault="009E73EC" w:rsidP="009E73EC">
      <w:pPr>
        <w:spacing w:after="0" w:line="276" w:lineRule="auto"/>
        <w:ind w:firstLine="708"/>
        <w:jc w:val="both"/>
        <w:rPr>
          <w:rFonts w:ascii="Arial" w:eastAsia="Times New Roman" w:hAnsi="Arial" w:cs="Arial"/>
          <w:bCs/>
          <w:lang w:val="es-MX" w:eastAsia="x-none"/>
        </w:rPr>
      </w:pPr>
      <w:r w:rsidRPr="00DD243D">
        <w:rPr>
          <w:rFonts w:ascii="Arial" w:eastAsia="Times New Roman" w:hAnsi="Arial" w:cs="Arial"/>
          <w:bCs/>
          <w:lang w:val="es-MX" w:eastAsia="x-none"/>
        </w:rPr>
        <w:t>En esta labor es importante tener en cuenta, como lo anotó la Corte Constitucional, en Sentencia C-1153 de noviembre 11 de 2005</w:t>
      </w:r>
      <w:r w:rsidRPr="00DD243D">
        <w:rPr>
          <w:rFonts w:ascii="Calibri" w:eastAsia="Calibri" w:hAnsi="Calibri" w:cs="Times New Roman"/>
          <w:sz w:val="24"/>
          <w:lang w:val="es-MX"/>
        </w:rPr>
        <w:t>,</w:t>
      </w:r>
      <w:r w:rsidRPr="00DD243D">
        <w:rPr>
          <w:rFonts w:ascii="Arial" w:eastAsia="Times New Roman" w:hAnsi="Arial" w:cs="Arial"/>
          <w:bCs/>
          <w:lang w:val="es-MX" w:eastAsia="x-none"/>
        </w:rPr>
        <w:t xml:space="preserve"> </w:t>
      </w:r>
      <w:bookmarkStart w:id="41" w:name="_Hlk74309042"/>
      <w:r w:rsidRPr="00DD243D">
        <w:rPr>
          <w:rFonts w:ascii="Arial" w:eastAsia="Times New Roman" w:hAnsi="Arial" w:cs="Arial"/>
          <w:bCs/>
          <w:lang w:val="es-MX" w:eastAsia="x-none"/>
        </w:rPr>
        <w:t>que «</w:t>
      </w:r>
      <w:bookmarkEnd w:id="41"/>
      <w:r w:rsidRPr="00DD243D">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42" w:name="_Hlk75768308"/>
      <w:r w:rsidRPr="00DD243D">
        <w:rPr>
          <w:rFonts w:ascii="Arial" w:eastAsia="Times New Roman" w:hAnsi="Arial" w:cs="Arial"/>
          <w:bCs/>
          <w:lang w:val="es-MX" w:eastAsia="x-none"/>
        </w:rPr>
        <w:t xml:space="preserve">no termine yendo en detrimento de intereses públicos, cuya garantía está en cabeza del </w:t>
      </w:r>
      <w:r w:rsidRPr="00DD243D">
        <w:rPr>
          <w:rFonts w:ascii="Arial" w:eastAsia="Times New Roman" w:hAnsi="Arial" w:cs="Arial"/>
          <w:bCs/>
          <w:lang w:val="es-MX" w:eastAsia="x-none"/>
        </w:rPr>
        <w:lastRenderedPageBreak/>
        <w:t>ejecutivo, como son los inmersos en las excepciones para la prohibición de contratación</w:t>
      </w:r>
      <w:bookmarkStart w:id="43" w:name="_Hlk74309060"/>
      <w:r w:rsidRPr="00DD243D">
        <w:rPr>
          <w:rFonts w:ascii="Arial" w:eastAsia="Times New Roman" w:hAnsi="Arial" w:cs="Arial"/>
          <w:bCs/>
          <w:lang w:val="es-MX" w:eastAsia="x-none"/>
        </w:rPr>
        <w:t>»</w:t>
      </w:r>
      <w:bookmarkEnd w:id="43"/>
      <w:r w:rsidRPr="00DD243D">
        <w:rPr>
          <w:rFonts w:ascii="Arial" w:eastAsia="Calibri" w:hAnsi="Arial" w:cs="Arial"/>
          <w:vertAlign w:val="superscript"/>
          <w:lang w:val="es-MX"/>
        </w:rPr>
        <w:footnoteReference w:id="19"/>
      </w:r>
      <w:r w:rsidRPr="00DD243D">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4" w:name="_Hlk75783800"/>
      <w:bookmarkEnd w:id="42"/>
    </w:p>
    <w:p w14:paraId="0A035F7D" w14:textId="77777777" w:rsidR="003C2300" w:rsidRPr="00DD243D" w:rsidRDefault="003C2300" w:rsidP="006611AB">
      <w:pPr>
        <w:spacing w:after="0" w:line="276" w:lineRule="auto"/>
        <w:contextualSpacing/>
        <w:jc w:val="both"/>
        <w:rPr>
          <w:rFonts w:ascii="Arial" w:eastAsia="Times New Roman" w:hAnsi="Arial" w:cs="Arial"/>
          <w:bCs/>
          <w:lang w:val="es-MX" w:eastAsia="x-none"/>
        </w:rPr>
      </w:pPr>
    </w:p>
    <w:p w14:paraId="688E6480" w14:textId="77777777" w:rsidR="009E73EC" w:rsidRPr="00DD243D" w:rsidRDefault="009E73EC" w:rsidP="009E73EC">
      <w:pPr>
        <w:spacing w:after="0" w:line="276" w:lineRule="auto"/>
        <w:contextualSpacing/>
        <w:jc w:val="both"/>
        <w:rPr>
          <w:rFonts w:ascii="Arial" w:eastAsia="Times New Roman" w:hAnsi="Arial" w:cs="Arial"/>
          <w:b/>
          <w:lang w:val="es-MX" w:eastAsia="x-none"/>
        </w:rPr>
      </w:pPr>
      <w:r w:rsidRPr="00DD243D">
        <w:rPr>
          <w:rFonts w:ascii="Arial" w:eastAsia="Times New Roman" w:hAnsi="Arial" w:cs="Arial"/>
          <w:b/>
          <w:lang w:val="es-MX" w:eastAsia="x-none"/>
        </w:rPr>
        <w:t>2.3.  Destinatarios de la restricción del artículo 33 de la Ley 996 de 2005</w:t>
      </w:r>
    </w:p>
    <w:p w14:paraId="39B281B8" w14:textId="77777777" w:rsidR="009E73EC" w:rsidRPr="00DD243D" w:rsidRDefault="009E73EC" w:rsidP="009E73EC">
      <w:pPr>
        <w:spacing w:after="0" w:line="276" w:lineRule="auto"/>
        <w:contextualSpacing/>
        <w:jc w:val="both"/>
        <w:rPr>
          <w:rFonts w:ascii="Arial" w:eastAsia="Times New Roman" w:hAnsi="Arial" w:cs="Arial"/>
          <w:bCs/>
          <w:lang w:val="es-MX" w:eastAsia="x-none"/>
        </w:rPr>
      </w:pPr>
    </w:p>
    <w:p w14:paraId="10274ABC" w14:textId="77777777" w:rsidR="009E73EC" w:rsidRPr="00DD243D" w:rsidRDefault="009E73EC" w:rsidP="009E73EC">
      <w:pPr>
        <w:spacing w:after="0" w:line="276" w:lineRule="auto"/>
        <w:contextualSpacing/>
        <w:jc w:val="both"/>
        <w:rPr>
          <w:rFonts w:ascii="Arial" w:eastAsia="Times New Roman" w:hAnsi="Arial" w:cs="Arial"/>
          <w:bCs/>
          <w:lang w:val="es-MX" w:eastAsia="x-none"/>
        </w:rPr>
      </w:pPr>
      <w:bookmarkStart w:id="45" w:name="_Hlk99578018"/>
      <w:r w:rsidRPr="00DD243D">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D243D">
        <w:rPr>
          <w:rFonts w:ascii="Calibri" w:eastAsia="Calibri" w:hAnsi="Calibri" w:cs="Times New Roman"/>
          <w:sz w:val="24"/>
          <w:lang w:val="es-MX"/>
        </w:rPr>
        <w:t xml:space="preserve"> </w:t>
      </w:r>
      <w:r w:rsidRPr="00DD243D">
        <w:rPr>
          <w:rFonts w:ascii="Arial" w:eastAsia="Times New Roman" w:hAnsi="Arial" w:cs="Arial"/>
          <w:bCs/>
          <w:lang w:val="es-MX" w:eastAsia="x-none"/>
        </w:rPr>
        <w:t xml:space="preserve">En efecto, como ha sostenido el Consejo de Estado, el vocablo </w:t>
      </w:r>
      <w:bookmarkStart w:id="46" w:name="_Hlk75632581"/>
      <w:r w:rsidRPr="00DD243D">
        <w:rPr>
          <w:rFonts w:ascii="Arial" w:eastAsia="Times New Roman" w:hAnsi="Arial" w:cs="Arial"/>
          <w:bCs/>
          <w:lang w:val="es-MX" w:eastAsia="x-none"/>
        </w:rPr>
        <w:t>«</w:t>
      </w:r>
      <w:bookmarkEnd w:id="46"/>
      <w:r w:rsidRPr="00DD243D">
        <w:rPr>
          <w:rFonts w:ascii="Arial" w:eastAsia="Times New Roman" w:hAnsi="Arial" w:cs="Arial"/>
          <w:bCs/>
          <w:lang w:val="es-MX" w:eastAsia="x-none"/>
        </w:rPr>
        <w:t>todos» utilizado por el legislador comprende</w:t>
      </w:r>
      <w:r w:rsidRPr="00DD243D">
        <w:rPr>
          <w:rFonts w:ascii="Calibri" w:eastAsia="Calibri" w:hAnsi="Calibri" w:cs="Times New Roman"/>
          <w:sz w:val="24"/>
          <w:lang w:val="es-MX"/>
        </w:rPr>
        <w:t xml:space="preserve"> </w:t>
      </w:r>
      <w:r w:rsidRPr="00DD243D">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4"/>
      <w:r w:rsidRPr="00DD243D">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5"/>
      <w:r w:rsidRPr="00DD243D">
        <w:rPr>
          <w:rFonts w:ascii="Arial" w:eastAsia="Times New Roman" w:hAnsi="Arial" w:cs="Arial"/>
          <w:bCs/>
          <w:lang w:val="es-MX" w:eastAsia="x-none"/>
        </w:rPr>
        <w:t xml:space="preserve">El Consejo de Estado, en Concepto con radicado 1727 de fecha 20 de febrero de 2006, consideró que: </w:t>
      </w:r>
    </w:p>
    <w:p w14:paraId="4E6ACE6F" w14:textId="77777777" w:rsidR="009E73EC" w:rsidRPr="00DD243D" w:rsidRDefault="009E73EC" w:rsidP="009E73EC">
      <w:pPr>
        <w:spacing w:after="0" w:line="276" w:lineRule="auto"/>
        <w:ind w:firstLine="708"/>
        <w:contextualSpacing/>
        <w:jc w:val="both"/>
        <w:rPr>
          <w:rFonts w:ascii="Arial" w:eastAsia="Times New Roman" w:hAnsi="Arial" w:cs="Arial"/>
          <w:bCs/>
          <w:lang w:val="es-MX" w:eastAsia="x-none"/>
        </w:rPr>
      </w:pPr>
    </w:p>
    <w:p w14:paraId="727E64BE" w14:textId="77777777" w:rsidR="009E73EC" w:rsidRPr="00DD243D" w:rsidRDefault="009E73EC" w:rsidP="009E73EC">
      <w:pPr>
        <w:spacing w:after="0" w:line="240" w:lineRule="auto"/>
        <w:ind w:left="708" w:right="709"/>
        <w:contextualSpacing/>
        <w:jc w:val="both"/>
        <w:rPr>
          <w:rFonts w:ascii="Arial" w:eastAsia="Times New Roman" w:hAnsi="Arial" w:cs="Arial"/>
          <w:bCs/>
          <w:sz w:val="21"/>
          <w:szCs w:val="21"/>
          <w:lang w:val="es-MX" w:eastAsia="es-CO"/>
        </w:rPr>
      </w:pPr>
      <w:r w:rsidRPr="00DD243D">
        <w:rPr>
          <w:rFonts w:ascii="Arial" w:eastAsia="Times New Roman" w:hAnsi="Arial" w:cs="Arial"/>
          <w:bCs/>
          <w:sz w:val="21"/>
          <w:szCs w:val="21"/>
          <w:lang w:val="es-MX" w:eastAsia="x-none"/>
        </w:rPr>
        <w:t xml:space="preserve">El artículo 33 de la ley 996 de 2005, </w:t>
      </w:r>
      <w:bookmarkStart w:id="47" w:name="_Hlk75787147"/>
      <w:r w:rsidRPr="00DD243D">
        <w:rPr>
          <w:rFonts w:ascii="Arial" w:eastAsia="Times New Roman" w:hAnsi="Arial" w:cs="Arial"/>
          <w:bCs/>
          <w:sz w:val="21"/>
          <w:szCs w:val="21"/>
          <w:lang w:val="es-MX" w:eastAsia="x-none"/>
        </w:rPr>
        <w:t xml:space="preserve">efectivamente se aplica </w:t>
      </w:r>
      <w:bookmarkStart w:id="48" w:name="_Hlk76074089"/>
      <w:r w:rsidRPr="00DD243D">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8"/>
      <w:r w:rsidRPr="00DD243D">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DD243D">
        <w:rPr>
          <w:rFonts w:ascii="Arial" w:eastAsia="Times New Roman" w:hAnsi="Arial" w:cs="Arial"/>
          <w:bCs/>
          <w:sz w:val="21"/>
          <w:szCs w:val="21"/>
          <w:vertAlign w:val="superscript"/>
          <w:lang w:val="es-MX" w:eastAsia="x-none"/>
        </w:rPr>
        <w:footnoteReference w:id="20"/>
      </w:r>
      <w:r w:rsidRPr="00DD243D">
        <w:rPr>
          <w:rFonts w:ascii="Arial" w:eastAsia="Times New Roman" w:hAnsi="Arial" w:cs="Arial"/>
          <w:bCs/>
          <w:sz w:val="21"/>
          <w:szCs w:val="21"/>
          <w:lang w:val="es-MX" w:eastAsia="x-none"/>
        </w:rPr>
        <w:t>.</w:t>
      </w:r>
      <w:r w:rsidRPr="00DD243D">
        <w:rPr>
          <w:rFonts w:ascii="Arial" w:eastAsia="Times New Roman" w:hAnsi="Arial" w:cs="Arial"/>
          <w:bCs/>
          <w:sz w:val="21"/>
          <w:szCs w:val="21"/>
          <w:lang w:val="es-MX" w:eastAsia="es-CO"/>
        </w:rPr>
        <w:t xml:space="preserve"> </w:t>
      </w:r>
    </w:p>
    <w:p w14:paraId="75EBC6DB" w14:textId="77777777" w:rsidR="009E73EC" w:rsidRPr="00DD243D" w:rsidRDefault="009E73EC" w:rsidP="009E73EC">
      <w:pPr>
        <w:spacing w:after="0" w:line="276" w:lineRule="auto"/>
        <w:ind w:firstLine="708"/>
        <w:contextualSpacing/>
        <w:jc w:val="both"/>
        <w:rPr>
          <w:rFonts w:ascii="Arial" w:eastAsia="Times New Roman" w:hAnsi="Arial" w:cs="Arial"/>
          <w:bCs/>
          <w:lang w:val="es-MX" w:eastAsia="es-CO"/>
        </w:rPr>
      </w:pPr>
    </w:p>
    <w:p w14:paraId="7138A6E2" w14:textId="77777777" w:rsidR="009E73EC" w:rsidRPr="00DD243D" w:rsidRDefault="009E73EC" w:rsidP="009E73EC">
      <w:pPr>
        <w:spacing w:after="0" w:line="276" w:lineRule="auto"/>
        <w:ind w:firstLine="708"/>
        <w:contextualSpacing/>
        <w:jc w:val="both"/>
        <w:rPr>
          <w:rFonts w:ascii="Arial" w:eastAsia="Calibri" w:hAnsi="Arial" w:cs="Arial"/>
          <w:lang w:val="es-MX"/>
        </w:rPr>
      </w:pPr>
      <w:r w:rsidRPr="00DD243D">
        <w:rPr>
          <w:rFonts w:ascii="Arial" w:eastAsia="Times New Roman" w:hAnsi="Arial" w:cs="Arial"/>
          <w:bCs/>
          <w:lang w:val="es-MX" w:eastAsia="x-none"/>
        </w:rPr>
        <w:t xml:space="preserve">En Concepto con radicado 1738 de 6 de abril de 2006, esa misma Corporación manifestó que «Las restricciones de la Ley de Garantías en materia de contratación directa </w:t>
      </w:r>
      <w:r w:rsidRPr="00DD243D">
        <w:rPr>
          <w:rFonts w:ascii="Arial" w:eastAsia="Times New Roman" w:hAnsi="Arial" w:cs="Arial"/>
          <w:bCs/>
          <w:lang w:val="es-MX" w:eastAsia="x-none"/>
        </w:rPr>
        <w:lastRenderedPageBreak/>
        <w:t>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9" w:name="_Hlk75635823"/>
      <w:r w:rsidRPr="00DD243D">
        <w:rPr>
          <w:rFonts w:ascii="Arial" w:eastAsia="Times New Roman" w:hAnsi="Arial" w:cs="Arial"/>
          <w:bCs/>
          <w:lang w:val="es-MX" w:eastAsia="x-none"/>
        </w:rPr>
        <w:t>»</w:t>
      </w:r>
      <w:bookmarkStart w:id="50" w:name="_Hlk75758868"/>
      <w:bookmarkStart w:id="51" w:name="_Hlk75741220"/>
      <w:bookmarkEnd w:id="49"/>
      <w:r w:rsidRPr="00DD243D">
        <w:rPr>
          <w:rFonts w:ascii="Arial" w:eastAsia="Calibri" w:hAnsi="Arial" w:cs="Arial"/>
          <w:vertAlign w:val="superscript"/>
          <w:lang w:val="es-MX"/>
        </w:rPr>
        <w:footnoteReference w:id="21"/>
      </w:r>
      <w:bookmarkEnd w:id="50"/>
      <w:bookmarkEnd w:id="51"/>
      <w:r w:rsidRPr="00DD243D">
        <w:rPr>
          <w:rFonts w:ascii="Arial" w:eastAsia="Times New Roman" w:hAnsi="Arial" w:cs="Arial"/>
          <w:bCs/>
          <w:lang w:val="es-MX" w:eastAsia="x-none"/>
        </w:rPr>
        <w:t>.</w:t>
      </w:r>
      <w:r w:rsidRPr="00DD243D">
        <w:rPr>
          <w:rFonts w:ascii="Arial" w:eastAsia="Calibri" w:hAnsi="Arial" w:cs="Arial"/>
          <w:lang w:val="es-MX"/>
        </w:rPr>
        <w:t xml:space="preserve"> Sin embargo, debe precisarse el siguiente aspecto que distinguió la Sala de Consulta y Servicio Civil:</w:t>
      </w:r>
    </w:p>
    <w:p w14:paraId="25671886" w14:textId="77777777" w:rsidR="009E73EC" w:rsidRPr="00DD243D" w:rsidRDefault="009E73EC" w:rsidP="009E73EC">
      <w:pPr>
        <w:spacing w:after="0" w:line="276" w:lineRule="auto"/>
        <w:contextualSpacing/>
        <w:jc w:val="both"/>
        <w:rPr>
          <w:rFonts w:ascii="Arial" w:eastAsia="Calibri" w:hAnsi="Arial" w:cs="Arial"/>
          <w:lang w:val="es-MX"/>
        </w:rPr>
      </w:pPr>
    </w:p>
    <w:p w14:paraId="7F24A039" w14:textId="77777777" w:rsidR="009E73EC" w:rsidRPr="00DD243D" w:rsidRDefault="009E73EC" w:rsidP="009E73EC">
      <w:pPr>
        <w:spacing w:after="0" w:line="240" w:lineRule="auto"/>
        <w:ind w:left="708" w:right="709"/>
        <w:contextualSpacing/>
        <w:jc w:val="both"/>
        <w:rPr>
          <w:rFonts w:ascii="Arial" w:eastAsia="Calibri" w:hAnsi="Arial" w:cs="Arial"/>
          <w:sz w:val="21"/>
          <w:szCs w:val="21"/>
          <w:lang w:val="es-MX"/>
        </w:rPr>
      </w:pPr>
      <w:bookmarkStart w:id="53" w:name="_Hlk75811446"/>
      <w:r w:rsidRPr="00DD243D">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3"/>
      <w:r w:rsidRPr="00DD243D">
        <w:rPr>
          <w:rFonts w:ascii="Arial" w:eastAsia="Calibri" w:hAnsi="Arial" w:cs="Arial"/>
          <w:sz w:val="24"/>
          <w:vertAlign w:val="superscript"/>
          <w:lang w:val="es-MX"/>
        </w:rPr>
        <w:footnoteReference w:id="22"/>
      </w:r>
      <w:r w:rsidRPr="00DD243D">
        <w:rPr>
          <w:rFonts w:ascii="Arial" w:eastAsia="Times New Roman" w:hAnsi="Arial" w:cs="Arial"/>
          <w:bCs/>
          <w:lang w:val="es-MX" w:eastAsia="x-none"/>
        </w:rPr>
        <w:t>.</w:t>
      </w:r>
    </w:p>
    <w:p w14:paraId="3B2398DA" w14:textId="77777777" w:rsidR="009E73EC" w:rsidRPr="00DD243D" w:rsidRDefault="009E73EC" w:rsidP="009E73EC">
      <w:pPr>
        <w:spacing w:after="0" w:line="276" w:lineRule="auto"/>
        <w:contextualSpacing/>
        <w:jc w:val="both"/>
        <w:rPr>
          <w:rFonts w:ascii="Arial" w:eastAsia="Calibri" w:hAnsi="Arial" w:cs="Arial"/>
          <w:lang w:val="es-MX"/>
        </w:rPr>
      </w:pPr>
    </w:p>
    <w:p w14:paraId="5FABBDA2" w14:textId="77777777" w:rsidR="009E73EC" w:rsidRPr="00DD243D" w:rsidRDefault="009E73EC" w:rsidP="009E73EC">
      <w:pPr>
        <w:spacing w:after="120" w:line="276" w:lineRule="auto"/>
        <w:ind w:firstLine="709"/>
        <w:jc w:val="both"/>
        <w:rPr>
          <w:rFonts w:ascii="Arial" w:eastAsia="Times New Roman" w:hAnsi="Arial" w:cs="Arial"/>
          <w:bCs/>
          <w:lang w:val="es-MX" w:eastAsia="x-none"/>
        </w:rPr>
      </w:pPr>
      <w:r w:rsidRPr="00DD243D">
        <w:rPr>
          <w:rFonts w:ascii="Arial" w:eastAsia="Calibri" w:hAnsi="Arial" w:cs="Arial"/>
          <w:lang w:val="es-MX"/>
        </w:rPr>
        <w:t>Aplicando este razonamiento,</w:t>
      </w:r>
      <w:bookmarkStart w:id="54" w:name="_Hlk75811096"/>
      <w:r w:rsidRPr="00DD243D">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4"/>
      <w:r w:rsidRPr="00DD243D">
        <w:rPr>
          <w:rFonts w:ascii="Arial" w:eastAsia="Calibri" w:hAnsi="Arial" w:cs="Arial"/>
          <w:lang w:val="es-MX"/>
        </w:rPr>
        <w:t>»</w:t>
      </w:r>
      <w:r w:rsidRPr="00DD243D">
        <w:rPr>
          <w:rFonts w:ascii="Arial" w:eastAsia="Calibri" w:hAnsi="Arial" w:cs="Arial"/>
          <w:sz w:val="24"/>
          <w:vertAlign w:val="superscript"/>
          <w:lang w:val="es-MX"/>
        </w:rPr>
        <w:t xml:space="preserve"> </w:t>
      </w:r>
      <w:r w:rsidRPr="00DD243D">
        <w:rPr>
          <w:rFonts w:ascii="Arial" w:eastAsia="Calibri" w:hAnsi="Arial" w:cs="Arial"/>
          <w:vertAlign w:val="superscript"/>
          <w:lang w:val="es-MX"/>
        </w:rPr>
        <w:footnoteReference w:id="23"/>
      </w:r>
      <w:r w:rsidRPr="00DD243D">
        <w:rPr>
          <w:rFonts w:ascii="Arial" w:eastAsia="Calibri" w:hAnsi="Arial" w:cs="Arial"/>
          <w:lang w:val="es-MX"/>
        </w:rPr>
        <w:t>.</w:t>
      </w:r>
    </w:p>
    <w:p w14:paraId="5A96D2E8" w14:textId="0AD9F84F" w:rsidR="009E73EC" w:rsidRPr="00DD243D" w:rsidRDefault="009E73EC" w:rsidP="009E73EC">
      <w:pPr>
        <w:spacing w:after="0" w:line="276" w:lineRule="auto"/>
        <w:ind w:firstLine="708"/>
        <w:jc w:val="both"/>
        <w:rPr>
          <w:rFonts w:ascii="Arial" w:eastAsia="Times New Roman" w:hAnsi="Arial" w:cs="Arial"/>
          <w:bCs/>
          <w:lang w:val="es-MX" w:eastAsia="x-none"/>
        </w:rPr>
      </w:pPr>
      <w:bookmarkStart w:id="55" w:name="_Hlk77237229"/>
      <w:bookmarkEnd w:id="47"/>
      <w:r w:rsidRPr="00DD243D">
        <w:rPr>
          <w:rFonts w:ascii="Arial" w:eastAsia="Calibri" w:hAnsi="Arial" w:cs="Arial"/>
          <w:lang w:val="es-MX"/>
        </w:rPr>
        <w:lastRenderedPageBreak/>
        <w:t>Por lo tanto, la restricción prevista en la Ley 996 de 200</w:t>
      </w:r>
      <w:bookmarkStart w:id="56" w:name="_Hlk75741539"/>
      <w:r w:rsidRPr="00DD243D">
        <w:rPr>
          <w:rFonts w:ascii="Arial" w:eastAsia="Calibri" w:hAnsi="Arial" w:cs="Arial"/>
          <w:lang w:val="es-MX"/>
        </w:rPr>
        <w:t xml:space="preserve">5, </w:t>
      </w:r>
      <w:r w:rsidRPr="00DD243D">
        <w:rPr>
          <w:rFonts w:ascii="Arial" w:eastAsia="Times New Roman" w:hAnsi="Arial" w:cs="Arial"/>
          <w:bCs/>
          <w:lang w:val="es-MX" w:eastAsia="x-none"/>
        </w:rPr>
        <w:t xml:space="preserve">teniendo en cuenta la finalidad de la </w:t>
      </w:r>
      <w:r w:rsidR="00AA4D34" w:rsidRPr="00DD243D">
        <w:rPr>
          <w:rFonts w:ascii="Arial" w:eastAsia="Times New Roman" w:hAnsi="Arial" w:cs="Arial"/>
          <w:bCs/>
          <w:lang w:val="es-MX" w:eastAsia="x-none"/>
        </w:rPr>
        <w:t xml:space="preserve">Ley </w:t>
      </w:r>
      <w:r w:rsidRPr="00DD243D">
        <w:rPr>
          <w:rFonts w:ascii="Arial" w:eastAsia="Times New Roman" w:hAnsi="Arial" w:cs="Arial"/>
          <w:bCs/>
          <w:lang w:val="es-MX" w:eastAsia="x-none"/>
        </w:rPr>
        <w:t xml:space="preserve">de </w:t>
      </w:r>
      <w:r w:rsidR="00AA4D34" w:rsidRPr="00DD243D">
        <w:rPr>
          <w:rFonts w:ascii="Arial" w:eastAsia="Times New Roman" w:hAnsi="Arial" w:cs="Arial"/>
          <w:bCs/>
          <w:lang w:val="es-MX" w:eastAsia="x-none"/>
        </w:rPr>
        <w:t>Garantías Electorales</w:t>
      </w:r>
      <w:r w:rsidRPr="00DD243D">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5"/>
    <w:bookmarkEnd w:id="56"/>
    <w:p w14:paraId="6725ED10" w14:textId="77777777" w:rsidR="009E73EC" w:rsidRPr="00DD243D" w:rsidRDefault="009E73EC" w:rsidP="009E73EC">
      <w:pPr>
        <w:spacing w:after="0" w:line="276" w:lineRule="auto"/>
        <w:contextualSpacing/>
        <w:jc w:val="both"/>
        <w:rPr>
          <w:rFonts w:ascii="Arial" w:eastAsia="Calibri" w:hAnsi="Arial" w:cs="Arial"/>
          <w:lang w:val="es-MX"/>
        </w:rPr>
      </w:pPr>
    </w:p>
    <w:p w14:paraId="35047666" w14:textId="77777777" w:rsidR="009E73EC" w:rsidRPr="00DD243D" w:rsidRDefault="009E73EC" w:rsidP="009E73EC">
      <w:pPr>
        <w:spacing w:after="0" w:line="276" w:lineRule="auto"/>
        <w:contextualSpacing/>
        <w:jc w:val="both"/>
        <w:rPr>
          <w:rFonts w:ascii="Arial" w:eastAsia="Calibri" w:hAnsi="Arial" w:cs="Arial"/>
          <w:b/>
          <w:bCs/>
          <w:lang w:val="es-MX"/>
        </w:rPr>
      </w:pPr>
      <w:bookmarkStart w:id="57" w:name="_Hlk75784645"/>
      <w:r w:rsidRPr="00DD243D">
        <w:rPr>
          <w:rFonts w:ascii="Arial" w:eastAsia="Calibri" w:hAnsi="Arial" w:cs="Arial"/>
          <w:b/>
          <w:bCs/>
          <w:lang w:val="es-MX"/>
        </w:rPr>
        <w:t xml:space="preserve">2.4. </w:t>
      </w:r>
      <w:bookmarkStart w:id="58" w:name="_Hlk77153296"/>
      <w:r w:rsidRPr="00DD243D">
        <w:rPr>
          <w:rFonts w:ascii="Arial" w:eastAsia="Times New Roman" w:hAnsi="Arial" w:cs="Arial"/>
          <w:b/>
          <w:bCs/>
          <w:lang w:val="es-MX" w:eastAsia="es-CO"/>
        </w:rPr>
        <w:t xml:space="preserve">Restricciones </w:t>
      </w:r>
      <w:bookmarkStart w:id="59" w:name="_Hlk75643279"/>
      <w:r w:rsidRPr="00DD243D">
        <w:rPr>
          <w:rFonts w:ascii="Arial" w:eastAsia="Times New Roman" w:hAnsi="Arial" w:cs="Arial"/>
          <w:b/>
          <w:bCs/>
          <w:lang w:val="es-MX" w:eastAsia="es-CO"/>
        </w:rPr>
        <w:t xml:space="preserve">para la celebración de contratos y convenios interadministrativos en los comicios para cargos de elección popular </w:t>
      </w:r>
    </w:p>
    <w:p w14:paraId="073EFD00" w14:textId="77777777" w:rsidR="009E73EC" w:rsidRPr="00DD243D" w:rsidRDefault="009E73EC" w:rsidP="009E73EC">
      <w:pPr>
        <w:tabs>
          <w:tab w:val="left" w:pos="426"/>
        </w:tabs>
        <w:spacing w:after="0" w:line="276" w:lineRule="auto"/>
        <w:contextualSpacing/>
        <w:jc w:val="both"/>
        <w:rPr>
          <w:rFonts w:ascii="Arial" w:eastAsia="Calibri" w:hAnsi="Arial" w:cs="Arial"/>
          <w:bCs/>
        </w:rPr>
      </w:pPr>
      <w:bookmarkStart w:id="60" w:name="_Hlk88210558"/>
      <w:bookmarkEnd w:id="58"/>
      <w:bookmarkEnd w:id="59"/>
    </w:p>
    <w:p w14:paraId="167CA997" w14:textId="77777777" w:rsidR="009E73EC" w:rsidRPr="00DD243D" w:rsidRDefault="009E73EC" w:rsidP="009E73EC">
      <w:pPr>
        <w:tabs>
          <w:tab w:val="left" w:pos="426"/>
        </w:tabs>
        <w:spacing w:after="120" w:line="276" w:lineRule="auto"/>
        <w:jc w:val="both"/>
        <w:rPr>
          <w:rFonts w:ascii="Arial" w:eastAsia="Calibri" w:hAnsi="Arial" w:cs="Arial"/>
          <w:bCs/>
        </w:rPr>
      </w:pPr>
      <w:r w:rsidRPr="00DD243D">
        <w:rPr>
          <w:rFonts w:ascii="Arial" w:eastAsia="Calibri" w:hAnsi="Arial" w:cs="Arial"/>
          <w:bCs/>
        </w:rPr>
        <w:t xml:space="preserve">El parágrafo del artículo 38 de la Ley 996 de 2005 dispone que «[l]os Gobernadores, </w:t>
      </w:r>
      <w:proofErr w:type="gramStart"/>
      <w:r w:rsidRPr="00DD243D">
        <w:rPr>
          <w:rFonts w:ascii="Arial" w:eastAsia="Calibri" w:hAnsi="Arial" w:cs="Arial"/>
          <w:bCs/>
        </w:rPr>
        <w:t>Alcaldes</w:t>
      </w:r>
      <w:proofErr w:type="gramEnd"/>
      <w:r w:rsidRPr="00DD243D">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D243D">
        <w:rPr>
          <w:rFonts w:ascii="Arial" w:eastAsia="Times New Roman" w:hAnsi="Arial" w:cs="Arial"/>
          <w:bCs/>
          <w:iCs/>
          <w:lang w:val="es-MX" w:eastAsia="x-none"/>
        </w:rPr>
        <w:t xml:space="preserve"> </w:t>
      </w:r>
      <w:bookmarkStart w:id="61" w:name="_Hlk99578153"/>
      <w:bookmarkEnd w:id="60"/>
      <w:r w:rsidRPr="00DD243D">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61"/>
      <w:r w:rsidRPr="00DD243D">
        <w:rPr>
          <w:rFonts w:ascii="Arial" w:eastAsia="Times New Roman" w:hAnsi="Arial" w:cs="Arial"/>
          <w:bCs/>
          <w:iCs/>
          <w:vertAlign w:val="superscript"/>
          <w:lang w:val="es-MX" w:eastAsia="x-none"/>
        </w:rPr>
        <w:footnoteReference w:id="24"/>
      </w:r>
      <w:r w:rsidRPr="00DD243D">
        <w:rPr>
          <w:rFonts w:ascii="Arial" w:eastAsia="Times New Roman" w:hAnsi="Arial" w:cs="Arial"/>
          <w:bCs/>
          <w:iCs/>
          <w:lang w:val="es-MX" w:eastAsia="x-none"/>
        </w:rPr>
        <w:t>.</w:t>
      </w:r>
      <w:r w:rsidRPr="00DD243D">
        <w:rPr>
          <w:rFonts w:ascii="Arial" w:eastAsia="Calibri" w:hAnsi="Arial" w:cs="Arial"/>
          <w:sz w:val="24"/>
          <w:lang w:val="es-MX"/>
        </w:rPr>
        <w:t xml:space="preserve"> </w:t>
      </w:r>
    </w:p>
    <w:p w14:paraId="4782CF5C" w14:textId="77777777" w:rsidR="009E73EC" w:rsidRPr="00DD243D" w:rsidRDefault="009E73EC" w:rsidP="009E73EC">
      <w:pPr>
        <w:widowControl w:val="0"/>
        <w:autoSpaceDE w:val="0"/>
        <w:autoSpaceDN w:val="0"/>
        <w:spacing w:after="120" w:line="276" w:lineRule="auto"/>
        <w:ind w:firstLine="707"/>
        <w:jc w:val="both"/>
        <w:rPr>
          <w:rFonts w:ascii="Arial" w:eastAsia="Arial" w:hAnsi="Arial" w:cs="Arial"/>
          <w:lang w:val="es-ES" w:eastAsia="es-ES" w:bidi="es-ES"/>
        </w:rPr>
      </w:pPr>
      <w:r w:rsidRPr="00DD243D">
        <w:rPr>
          <w:rFonts w:ascii="Arial" w:eastAsia="Calibri" w:hAnsi="Arial" w:cs="Arial"/>
          <w:bCs/>
          <w:lang w:eastAsia="es-ES" w:bidi="es-ES"/>
        </w:rPr>
        <w:t xml:space="preserve">Ahora bien, </w:t>
      </w:r>
      <w:bookmarkStart w:id="62" w:name="_Hlk78820161"/>
      <w:r w:rsidRPr="00DD243D">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DD243D">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DD243D">
        <w:rPr>
          <w:rFonts w:ascii="Arial" w:eastAsia="Arial" w:hAnsi="Arial" w:cs="Arial"/>
          <w:vertAlign w:val="superscript"/>
          <w:lang w:val="es-ES" w:eastAsia="es-ES" w:bidi="es-ES"/>
        </w:rPr>
        <w:footnoteReference w:id="25"/>
      </w:r>
      <w:r w:rsidRPr="00DD243D">
        <w:rPr>
          <w:rFonts w:ascii="Arial" w:eastAsia="Arial" w:hAnsi="Arial" w:cs="Arial"/>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w:t>
      </w:r>
      <w:r w:rsidRPr="00DD243D">
        <w:rPr>
          <w:rFonts w:ascii="Arial" w:eastAsia="Arial" w:hAnsi="Arial" w:cs="Arial"/>
          <w:lang w:val="es-ES" w:eastAsia="es-ES" w:bidi="es-ES"/>
        </w:rPr>
        <w:lastRenderedPageBreak/>
        <w:t>por un criterio orgánico, pues es necesario que los extremos de la relación contractual sean entidades</w:t>
      </w:r>
      <w:r w:rsidRPr="00DD243D">
        <w:rPr>
          <w:rFonts w:ascii="Arial" w:eastAsia="Arial" w:hAnsi="Arial" w:cs="Arial"/>
          <w:spacing w:val="-6"/>
          <w:lang w:val="es-ES" w:eastAsia="es-ES" w:bidi="es-ES"/>
        </w:rPr>
        <w:t xml:space="preserve"> </w:t>
      </w:r>
      <w:r w:rsidRPr="00DD243D">
        <w:rPr>
          <w:rFonts w:ascii="Arial" w:eastAsia="Arial" w:hAnsi="Arial" w:cs="Arial"/>
          <w:lang w:val="es-ES" w:eastAsia="es-ES" w:bidi="es-ES"/>
        </w:rPr>
        <w:t>estatales.</w:t>
      </w:r>
    </w:p>
    <w:p w14:paraId="0059DD88" w14:textId="77777777" w:rsidR="009E73EC" w:rsidRPr="00DD243D" w:rsidRDefault="009E73EC" w:rsidP="009E73EC">
      <w:pPr>
        <w:widowControl w:val="0"/>
        <w:autoSpaceDE w:val="0"/>
        <w:autoSpaceDN w:val="0"/>
        <w:spacing w:before="117" w:after="120" w:line="276" w:lineRule="auto"/>
        <w:ind w:firstLine="707"/>
        <w:jc w:val="both"/>
        <w:rPr>
          <w:rFonts w:ascii="Arial" w:eastAsia="Arial" w:hAnsi="Arial" w:cs="Arial"/>
          <w:lang w:val="es-ES" w:eastAsia="es-ES" w:bidi="es-ES"/>
        </w:rPr>
      </w:pPr>
      <w:bookmarkStart w:id="63" w:name="_Hlk78820654"/>
      <w:bookmarkEnd w:id="62"/>
      <w:r w:rsidRPr="00DD243D">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2946D78" w14:textId="77777777" w:rsidR="009E73EC" w:rsidRPr="00DD243D" w:rsidRDefault="009E73EC" w:rsidP="009E73EC">
      <w:pPr>
        <w:widowControl w:val="0"/>
        <w:autoSpaceDE w:val="0"/>
        <w:autoSpaceDN w:val="0"/>
        <w:spacing w:before="121" w:after="120" w:line="276" w:lineRule="auto"/>
        <w:ind w:firstLine="707"/>
        <w:jc w:val="both"/>
        <w:rPr>
          <w:rFonts w:ascii="Arial" w:eastAsia="Arial" w:hAnsi="Arial" w:cs="Arial"/>
          <w:lang w:val="es-ES" w:eastAsia="es-ES" w:bidi="es-ES"/>
        </w:rPr>
      </w:pPr>
      <w:bookmarkStart w:id="64" w:name="_Hlk99578261"/>
      <w:bookmarkEnd w:id="63"/>
      <w:r w:rsidRPr="00DD243D">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D243D">
        <w:rPr>
          <w:rFonts w:ascii="Arial" w:eastAsia="Arial" w:hAnsi="Arial" w:cs="Arial"/>
          <w:vertAlign w:val="superscript"/>
          <w:lang w:val="es-ES" w:eastAsia="es-ES" w:bidi="es-ES"/>
        </w:rPr>
        <w:footnoteReference w:id="26"/>
      </w:r>
      <w:r w:rsidRPr="00DD243D">
        <w:rPr>
          <w:rFonts w:ascii="Arial" w:eastAsia="Arial" w:hAnsi="Arial" w:cs="Arial"/>
          <w:lang w:val="es-ES" w:eastAsia="es-ES" w:bidi="es-ES"/>
        </w:rPr>
        <w:t>. Nótese que, en este caso, lo que cambia es la modalidad de selección y no la naturaleza de contrato</w:t>
      </w:r>
      <w:r w:rsidRPr="00DD243D">
        <w:rPr>
          <w:rFonts w:ascii="Arial" w:eastAsia="Arial" w:hAnsi="Arial" w:cs="Arial"/>
          <w:spacing w:val="-18"/>
          <w:lang w:val="es-ES" w:eastAsia="es-ES" w:bidi="es-ES"/>
        </w:rPr>
        <w:t xml:space="preserve"> </w:t>
      </w:r>
      <w:r w:rsidRPr="00DD243D">
        <w:rPr>
          <w:rFonts w:ascii="Arial" w:eastAsia="Arial" w:hAnsi="Arial" w:cs="Arial"/>
          <w:lang w:val="es-ES" w:eastAsia="es-ES" w:bidi="es-ES"/>
        </w:rPr>
        <w:t>interadministrativo.</w:t>
      </w:r>
    </w:p>
    <w:bookmarkEnd w:id="64"/>
    <w:p w14:paraId="63385DE0" w14:textId="77777777" w:rsidR="009E73EC" w:rsidRPr="00DD243D" w:rsidRDefault="009E73EC" w:rsidP="002D2EF1">
      <w:pPr>
        <w:widowControl w:val="0"/>
        <w:autoSpaceDE w:val="0"/>
        <w:autoSpaceDN w:val="0"/>
        <w:spacing w:after="0" w:line="276" w:lineRule="auto"/>
        <w:ind w:firstLine="707"/>
        <w:contextualSpacing/>
        <w:jc w:val="both"/>
        <w:rPr>
          <w:rFonts w:ascii="Arial" w:eastAsia="Arial" w:hAnsi="Arial" w:cs="Arial"/>
          <w:lang w:val="es-ES" w:eastAsia="es-ES" w:bidi="es-ES"/>
        </w:rPr>
      </w:pPr>
      <w:r w:rsidRPr="00DD243D">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DD243D">
        <w:rPr>
          <w:rFonts w:ascii="Arial" w:eastAsia="Arial" w:hAnsi="Arial" w:cs="Arial"/>
          <w:spacing w:val="-13"/>
          <w:lang w:val="es-ES" w:eastAsia="es-ES" w:bidi="es-ES"/>
        </w:rPr>
        <w:t xml:space="preserve"> </w:t>
      </w:r>
      <w:r w:rsidRPr="00DD243D">
        <w:rPr>
          <w:rFonts w:ascii="Arial" w:eastAsia="Arial" w:hAnsi="Arial" w:cs="Arial"/>
          <w:lang w:val="es-ES" w:eastAsia="es-ES" w:bidi="es-ES"/>
        </w:rPr>
        <w:t>que:</w:t>
      </w:r>
    </w:p>
    <w:p w14:paraId="047634F3" w14:textId="77777777" w:rsidR="009E73EC" w:rsidRPr="00DD243D" w:rsidRDefault="009E73EC" w:rsidP="002D2EF1">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45D9FA69" w14:textId="77777777" w:rsidR="009E73EC" w:rsidRPr="00DD243D" w:rsidRDefault="009E73EC" w:rsidP="002D2EF1">
      <w:pPr>
        <w:spacing w:after="0" w:line="240" w:lineRule="auto"/>
        <w:ind w:left="709" w:right="709"/>
        <w:contextualSpacing/>
        <w:jc w:val="both"/>
        <w:rPr>
          <w:rFonts w:ascii="Arial" w:eastAsia="Calibri" w:hAnsi="Arial" w:cs="Arial"/>
          <w:sz w:val="21"/>
          <w:lang w:val="es-MX"/>
        </w:rPr>
      </w:pPr>
      <w:r w:rsidRPr="00DD243D">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DD243D">
        <w:rPr>
          <w:rFonts w:ascii="Arial" w:eastAsia="Calibri" w:hAnsi="Arial" w:cs="Arial"/>
          <w:sz w:val="21"/>
          <w:lang w:val="es-MX"/>
        </w:rPr>
        <w:t>ii</w:t>
      </w:r>
      <w:proofErr w:type="spellEnd"/>
      <w:r w:rsidRPr="00DD243D">
        <w:rPr>
          <w:rFonts w:ascii="Arial" w:eastAsia="Calibri" w:hAnsi="Arial" w:cs="Arial"/>
          <w:sz w:val="21"/>
          <w:lang w:val="es-MX"/>
        </w:rPr>
        <w:t>) tienen como fuente la autonomía contractual; (</w:t>
      </w:r>
      <w:proofErr w:type="spellStart"/>
      <w:r w:rsidRPr="00DD243D">
        <w:rPr>
          <w:rFonts w:ascii="Arial" w:eastAsia="Calibri" w:hAnsi="Arial" w:cs="Arial"/>
          <w:sz w:val="21"/>
          <w:lang w:val="es-MX"/>
        </w:rPr>
        <w:t>iii</w:t>
      </w:r>
      <w:proofErr w:type="spellEnd"/>
      <w:r w:rsidRPr="00DD243D">
        <w:rPr>
          <w:rFonts w:ascii="Arial" w:eastAsia="Calibri" w:hAnsi="Arial" w:cs="Arial"/>
          <w:sz w:val="21"/>
          <w:lang w:val="es-MX"/>
        </w:rPr>
        <w:t>) son contratos nominados puesto que están mencionados en la ley; (</w:t>
      </w:r>
      <w:proofErr w:type="spellStart"/>
      <w:r w:rsidRPr="00DD243D">
        <w:rPr>
          <w:rFonts w:ascii="Arial" w:eastAsia="Calibri" w:hAnsi="Arial" w:cs="Arial"/>
          <w:sz w:val="21"/>
          <w:lang w:val="es-MX"/>
        </w:rPr>
        <w:t>iv</w:t>
      </w:r>
      <w:proofErr w:type="spellEnd"/>
      <w:r w:rsidRPr="00DD243D">
        <w:rPr>
          <w:rFonts w:ascii="Arial" w:eastAsia="Calibri" w:hAnsi="Arial" w:cs="Arial"/>
          <w:sz w:val="21"/>
          <w:lang w:val="es-MX"/>
        </w:rPr>
        <w:t xml:space="preserve">) son contratos atípicos desde la perspectiva legal dado que se advierte la ausencia de </w:t>
      </w:r>
      <w:r w:rsidRPr="00DD243D">
        <w:rPr>
          <w:rFonts w:ascii="Arial" w:eastAsia="Calibri" w:hAnsi="Arial" w:cs="Arial"/>
          <w:sz w:val="21"/>
          <w:lang w:val="es-MX"/>
        </w:rPr>
        <w:lastRenderedPageBreak/>
        <w:t>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DD243D">
        <w:rPr>
          <w:rFonts w:ascii="Arial" w:eastAsia="Calibri" w:hAnsi="Arial" w:cs="Arial"/>
          <w:sz w:val="21"/>
          <w:lang w:val="es-MX"/>
        </w:rPr>
        <w:t>vii</w:t>
      </w:r>
      <w:proofErr w:type="spellEnd"/>
      <w:r w:rsidRPr="00DD243D">
        <w:rPr>
          <w:rFonts w:ascii="Arial" w:eastAsia="Calibri" w:hAnsi="Arial" w:cs="Arial"/>
          <w:sz w:val="21"/>
          <w:lang w:val="es-MX"/>
        </w:rPr>
        <w:t>) persiguen  una finalidad común a través de la realización de intereses compartidos entre las entidades vinculadas; (</w:t>
      </w:r>
      <w:proofErr w:type="spellStart"/>
      <w:r w:rsidRPr="00DD243D">
        <w:rPr>
          <w:rFonts w:ascii="Arial" w:eastAsia="Calibri" w:hAnsi="Arial" w:cs="Arial"/>
          <w:sz w:val="21"/>
          <w:lang w:val="es-MX"/>
        </w:rPr>
        <w:t>viii</w:t>
      </w:r>
      <w:proofErr w:type="spellEnd"/>
      <w:r w:rsidRPr="00DD243D">
        <w:rPr>
          <w:rFonts w:ascii="Arial" w:eastAsia="Calibri" w:hAnsi="Arial" w:cs="Arial"/>
          <w:sz w:val="21"/>
          <w:lang w:val="es-MX"/>
        </w:rPr>
        <w:t>) la acción mediante la cual se deben ventilar las diferencias que sobre el particular surjan es la de controversias contractuales</w:t>
      </w:r>
      <w:r w:rsidRPr="00DD243D">
        <w:rPr>
          <w:rFonts w:ascii="Arial" w:eastAsia="Calibri" w:hAnsi="Arial" w:cs="Arial"/>
          <w:sz w:val="21"/>
          <w:vertAlign w:val="superscript"/>
          <w:lang w:val="es-MX"/>
        </w:rPr>
        <w:footnoteReference w:id="27"/>
      </w:r>
      <w:r w:rsidRPr="00DD243D">
        <w:rPr>
          <w:rFonts w:ascii="Arial" w:eastAsia="Calibri" w:hAnsi="Arial" w:cs="Arial"/>
          <w:sz w:val="21"/>
          <w:lang w:val="es-MX"/>
        </w:rPr>
        <w:t>.</w:t>
      </w:r>
    </w:p>
    <w:p w14:paraId="56686775" w14:textId="77777777" w:rsidR="009E73EC" w:rsidRPr="00DD243D" w:rsidRDefault="009E73EC" w:rsidP="002D2EF1">
      <w:pPr>
        <w:spacing w:after="0" w:line="276" w:lineRule="auto"/>
        <w:ind w:left="709" w:right="709"/>
        <w:contextualSpacing/>
        <w:jc w:val="both"/>
        <w:rPr>
          <w:rFonts w:ascii="Arial" w:eastAsia="Calibri" w:hAnsi="Arial" w:cs="Arial"/>
          <w:lang w:val="es-MX"/>
        </w:rPr>
      </w:pPr>
    </w:p>
    <w:p w14:paraId="7E55E11F" w14:textId="77777777" w:rsidR="009E73EC" w:rsidRPr="00DD243D" w:rsidRDefault="009E73EC" w:rsidP="009E73EC">
      <w:pPr>
        <w:widowControl w:val="0"/>
        <w:autoSpaceDE w:val="0"/>
        <w:autoSpaceDN w:val="0"/>
        <w:spacing w:after="120" w:line="276" w:lineRule="auto"/>
        <w:ind w:firstLine="707"/>
        <w:jc w:val="both"/>
        <w:rPr>
          <w:rFonts w:ascii="Arial" w:eastAsia="Arial" w:hAnsi="Arial" w:cs="Arial"/>
          <w:lang w:val="es-ES" w:eastAsia="es-ES" w:bidi="es-ES"/>
        </w:rPr>
      </w:pPr>
      <w:r w:rsidRPr="00DD243D">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FAA5880" w14:textId="77777777" w:rsidR="009E73EC" w:rsidRPr="00DD243D" w:rsidRDefault="009E73EC" w:rsidP="009E73EC">
      <w:pPr>
        <w:widowControl w:val="0"/>
        <w:autoSpaceDE w:val="0"/>
        <w:autoSpaceDN w:val="0"/>
        <w:spacing w:before="119" w:after="120" w:line="276" w:lineRule="auto"/>
        <w:ind w:firstLine="707"/>
        <w:jc w:val="both"/>
        <w:rPr>
          <w:rFonts w:ascii="Arial" w:eastAsia="Arial" w:hAnsi="Arial" w:cs="Arial"/>
          <w:lang w:val="es-ES" w:eastAsia="es-ES" w:bidi="es-ES"/>
        </w:rPr>
      </w:pPr>
      <w:r w:rsidRPr="00DD243D">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DD243D">
        <w:rPr>
          <w:rFonts w:ascii="Arial" w:eastAsia="Arial" w:hAnsi="Arial" w:cs="Arial"/>
          <w:spacing w:val="-3"/>
          <w:lang w:val="es-ES" w:eastAsia="es-ES" w:bidi="es-ES"/>
        </w:rPr>
        <w:t xml:space="preserve"> </w:t>
      </w:r>
      <w:r w:rsidRPr="00DD243D">
        <w:rPr>
          <w:rFonts w:ascii="Arial" w:eastAsia="Arial" w:hAnsi="Arial" w:cs="Arial"/>
          <w:lang w:val="es-ES" w:eastAsia="es-ES" w:bidi="es-ES"/>
        </w:rPr>
        <w:t>estatales.</w:t>
      </w:r>
    </w:p>
    <w:p w14:paraId="0511F242" w14:textId="77777777" w:rsidR="009E73EC" w:rsidRPr="00DD243D" w:rsidRDefault="009E73EC" w:rsidP="009E73EC">
      <w:pPr>
        <w:widowControl w:val="0"/>
        <w:autoSpaceDE w:val="0"/>
        <w:autoSpaceDN w:val="0"/>
        <w:spacing w:before="120" w:after="120" w:line="276" w:lineRule="auto"/>
        <w:ind w:firstLine="709"/>
        <w:jc w:val="both"/>
        <w:rPr>
          <w:rFonts w:ascii="Arial" w:eastAsia="Arial" w:hAnsi="Arial" w:cs="Arial"/>
          <w:lang w:val="es-ES" w:eastAsia="es-ES" w:bidi="es-ES"/>
        </w:rPr>
      </w:pPr>
      <w:r w:rsidRPr="00DD243D">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w:t>
      </w:r>
      <w:r w:rsidRPr="00DD243D">
        <w:rPr>
          <w:rFonts w:ascii="Arial" w:eastAsia="Arial" w:hAnsi="Arial" w:cs="Arial"/>
          <w:lang w:val="es-ES" w:eastAsia="es-ES" w:bidi="es-ES"/>
        </w:rPr>
        <w:lastRenderedPageBreak/>
        <w:t>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DD243D">
        <w:rPr>
          <w:rFonts w:ascii="Arial" w:eastAsia="Arial" w:hAnsi="Arial" w:cs="Arial"/>
          <w:spacing w:val="-4"/>
          <w:lang w:val="es-ES" w:eastAsia="es-ES" w:bidi="es-ES"/>
        </w:rPr>
        <w:t xml:space="preserve"> </w:t>
      </w:r>
      <w:r w:rsidRPr="00DD243D">
        <w:rPr>
          <w:rFonts w:ascii="Arial" w:eastAsia="Arial" w:hAnsi="Arial" w:cs="Arial"/>
          <w:lang w:val="es-ES" w:eastAsia="es-ES" w:bidi="es-ES"/>
        </w:rPr>
        <w:t>estatales.</w:t>
      </w:r>
    </w:p>
    <w:p w14:paraId="1C877398" w14:textId="77777777" w:rsidR="009E73EC" w:rsidRPr="00DD243D" w:rsidRDefault="009E73EC" w:rsidP="009E73EC">
      <w:pPr>
        <w:widowControl w:val="0"/>
        <w:autoSpaceDE w:val="0"/>
        <w:autoSpaceDN w:val="0"/>
        <w:spacing w:before="122" w:after="120" w:line="276" w:lineRule="auto"/>
        <w:ind w:firstLine="708"/>
        <w:jc w:val="both"/>
        <w:rPr>
          <w:rFonts w:ascii="Arial" w:eastAsia="Arial" w:hAnsi="Arial" w:cs="Arial"/>
          <w:lang w:val="es-ES" w:eastAsia="es-ES" w:bidi="es-ES"/>
        </w:rPr>
      </w:pPr>
      <w:r w:rsidRPr="00DD243D">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36A48BE" w14:textId="77777777" w:rsidR="009E73EC" w:rsidRPr="00DD243D" w:rsidRDefault="009E73EC" w:rsidP="009E73EC">
      <w:pPr>
        <w:widowControl w:val="0"/>
        <w:autoSpaceDE w:val="0"/>
        <w:autoSpaceDN w:val="0"/>
        <w:spacing w:after="120" w:line="276" w:lineRule="auto"/>
        <w:ind w:firstLine="708"/>
        <w:jc w:val="both"/>
        <w:rPr>
          <w:rFonts w:ascii="Arial" w:eastAsia="Calibri" w:hAnsi="Arial" w:cs="Arial"/>
          <w:bCs/>
          <w:lang w:eastAsia="es-ES" w:bidi="es-ES"/>
        </w:rPr>
      </w:pPr>
      <w:r w:rsidRPr="00DD243D">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DD243D">
        <w:rPr>
          <w:rFonts w:ascii="Arial" w:eastAsia="Arial" w:hAnsi="Arial" w:cs="Arial"/>
          <w:spacing w:val="-4"/>
          <w:lang w:val="es-ES" w:eastAsia="es-ES" w:bidi="es-ES"/>
        </w:rPr>
        <w:t xml:space="preserve"> </w:t>
      </w:r>
      <w:r w:rsidRPr="00DD243D">
        <w:rPr>
          <w:rFonts w:ascii="Arial" w:eastAsia="Arial" w:hAnsi="Arial" w:cs="Arial"/>
          <w:lang w:val="es-ES" w:eastAsia="es-ES" w:bidi="es-ES"/>
        </w:rPr>
        <w:t>[…]»</w:t>
      </w:r>
      <w:r w:rsidRPr="00DD243D">
        <w:rPr>
          <w:rFonts w:ascii="Arial" w:eastAsia="Arial" w:hAnsi="Arial" w:cs="Arial"/>
          <w:vertAlign w:val="superscript"/>
          <w:lang w:val="es-ES" w:eastAsia="es-ES" w:bidi="es-ES"/>
        </w:rPr>
        <w:footnoteReference w:id="28"/>
      </w:r>
      <w:r w:rsidRPr="00DD243D">
        <w:rPr>
          <w:rFonts w:ascii="Arial" w:eastAsia="Arial" w:hAnsi="Arial" w:cs="Arial"/>
          <w:lang w:val="es-ES" w:eastAsia="es-ES" w:bidi="es-ES"/>
        </w:rPr>
        <w:t>.</w:t>
      </w:r>
      <w:bookmarkStart w:id="65" w:name="_Hlk77171241"/>
    </w:p>
    <w:p w14:paraId="6F754F2D" w14:textId="77777777" w:rsidR="009E73EC" w:rsidRPr="00DD243D" w:rsidRDefault="009E73EC" w:rsidP="009E73EC">
      <w:pPr>
        <w:widowControl w:val="0"/>
        <w:autoSpaceDE w:val="0"/>
        <w:autoSpaceDN w:val="0"/>
        <w:spacing w:after="0" w:line="276" w:lineRule="auto"/>
        <w:ind w:firstLine="709"/>
        <w:contextualSpacing/>
        <w:jc w:val="both"/>
        <w:rPr>
          <w:rFonts w:ascii="Arial" w:eastAsia="Arial" w:hAnsi="Arial" w:cs="Arial"/>
          <w:lang w:val="es-ES" w:eastAsia="es-ES" w:bidi="es-ES"/>
        </w:rPr>
      </w:pPr>
      <w:r w:rsidRPr="00DD243D">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026B6D5C" w14:textId="77777777" w:rsidR="009E73EC" w:rsidRPr="00DD243D" w:rsidRDefault="009E73EC" w:rsidP="009E73EC">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6E4F0736"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ES_tradnl"/>
        </w:rPr>
      </w:pPr>
      <w:r w:rsidRPr="00DD243D">
        <w:rPr>
          <w:rFonts w:ascii="Arial" w:eastAsia="Calibri" w:hAnsi="Arial" w:cs="Arial"/>
          <w:sz w:val="21"/>
          <w:szCs w:val="21"/>
          <w:lang w:val="es-ES_tradnl"/>
        </w:rPr>
        <w:t>La Sala de Consulta y Servicio Civil</w:t>
      </w:r>
      <w:r w:rsidRPr="00DD243D">
        <w:rPr>
          <w:rFonts w:ascii="Arial" w:eastAsia="Calibri" w:hAnsi="Arial" w:cs="Arial"/>
          <w:sz w:val="21"/>
          <w:szCs w:val="21"/>
          <w:vertAlign w:val="superscript"/>
          <w:lang w:val="es-ES_tradnl"/>
        </w:rPr>
        <w:footnoteReference w:id="29"/>
      </w:r>
      <w:r w:rsidRPr="00DD243D">
        <w:rPr>
          <w:rFonts w:ascii="Arial" w:eastAsia="Calibri" w:hAnsi="Arial" w:cs="Arial"/>
          <w:sz w:val="21"/>
          <w:szCs w:val="21"/>
          <w:lang w:val="es-ES_tradnl"/>
        </w:rPr>
        <w:t xml:space="preserve"> de esta Corporación se ha referido a los </w:t>
      </w:r>
      <w:r w:rsidRPr="00DD243D">
        <w:rPr>
          <w:rFonts w:ascii="Arial" w:eastAsia="Calibri" w:hAnsi="Arial" w:cs="Arial"/>
          <w:i/>
          <w:sz w:val="21"/>
          <w:szCs w:val="21"/>
          <w:lang w:val="es-ES_tradnl"/>
        </w:rPr>
        <w:t>“convenios interadministrativos”</w:t>
      </w:r>
      <w:r w:rsidRPr="00DD243D">
        <w:rPr>
          <w:rFonts w:ascii="Arial" w:eastAsia="Calibri" w:hAnsi="Arial" w:cs="Arial"/>
          <w:sz w:val="21"/>
          <w:szCs w:val="21"/>
          <w:lang w:val="es-ES_tradnl"/>
        </w:rPr>
        <w:t xml:space="preserve"> a los cuales alude el artículo 95 de la Ley 489 de 1998, calificándolos de </w:t>
      </w:r>
      <w:r w:rsidRPr="00DD243D">
        <w:rPr>
          <w:rFonts w:ascii="Arial" w:eastAsia="Calibri" w:hAnsi="Arial" w:cs="Arial"/>
          <w:i/>
          <w:sz w:val="21"/>
          <w:szCs w:val="21"/>
          <w:lang w:val="es-ES_tradnl"/>
        </w:rPr>
        <w:t xml:space="preserve">“puros” </w:t>
      </w:r>
      <w:r w:rsidRPr="00DD243D">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DD243D">
        <w:rPr>
          <w:rFonts w:ascii="Arial" w:eastAsia="Calibri" w:hAnsi="Arial" w:cs="Arial"/>
          <w:i/>
          <w:sz w:val="21"/>
          <w:szCs w:val="21"/>
          <w:lang w:val="es-ES_tradnl"/>
        </w:rPr>
        <w:t>“intercambio patrimonial”</w:t>
      </w:r>
      <w:r w:rsidRPr="00DD243D">
        <w:rPr>
          <w:rFonts w:ascii="Arial" w:eastAsia="Calibri" w:hAnsi="Arial" w:cs="Arial"/>
          <w:sz w:val="21"/>
          <w:szCs w:val="21"/>
          <w:lang w:val="es-ES_tradnl"/>
        </w:rPr>
        <w:t xml:space="preserve">. Sin perjuicio de lo </w:t>
      </w:r>
      <w:r w:rsidRPr="00DD243D">
        <w:rPr>
          <w:rFonts w:ascii="Arial" w:eastAsia="Calibri" w:hAnsi="Arial" w:cs="Arial"/>
          <w:sz w:val="21"/>
          <w:szCs w:val="21"/>
          <w:lang w:val="es-ES_tradnl"/>
        </w:rPr>
        <w:lastRenderedPageBreak/>
        <w:t>anterior, en otra oportunidad, la misma Sala</w:t>
      </w:r>
      <w:r w:rsidRPr="00DD243D">
        <w:rPr>
          <w:rFonts w:ascii="Arial" w:eastAsia="Calibri" w:hAnsi="Arial" w:cs="Arial"/>
          <w:sz w:val="21"/>
          <w:szCs w:val="21"/>
          <w:vertAlign w:val="superscript"/>
          <w:lang w:val="es-ES_tradnl"/>
        </w:rPr>
        <w:footnoteReference w:id="30"/>
      </w:r>
      <w:r w:rsidRPr="00DD243D">
        <w:rPr>
          <w:rFonts w:ascii="Arial" w:eastAsia="Calibri" w:hAnsi="Arial" w:cs="Arial"/>
          <w:sz w:val="21"/>
          <w:szCs w:val="21"/>
          <w:lang w:val="es-ES_tradnl"/>
        </w:rPr>
        <w:t xml:space="preserve"> había indicado que, si bien en dichos convenios no se daba un </w:t>
      </w:r>
      <w:r w:rsidRPr="00DD243D">
        <w:rPr>
          <w:rFonts w:ascii="Arial" w:eastAsia="Calibri" w:hAnsi="Arial" w:cs="Arial"/>
          <w:i/>
          <w:sz w:val="21"/>
          <w:szCs w:val="21"/>
          <w:lang w:val="es-ES_tradnl"/>
        </w:rPr>
        <w:t>“verdadero intercambio de bienes o servicios (contrato conmutativo)”</w:t>
      </w:r>
      <w:r w:rsidRPr="00DD243D">
        <w:rPr>
          <w:rFonts w:ascii="Arial" w:eastAsia="Calibri" w:hAnsi="Arial" w:cs="Arial"/>
          <w:sz w:val="21"/>
          <w:szCs w:val="21"/>
          <w:lang w:val="es-ES_tradnl"/>
        </w:rPr>
        <w:t>, ello no impedía que se conviniera una remuneración a cargo de alguna(s) entidad(es).</w:t>
      </w:r>
    </w:p>
    <w:p w14:paraId="68D48393"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ES_tradnl"/>
        </w:rPr>
      </w:pPr>
    </w:p>
    <w:p w14:paraId="3BC890F8" w14:textId="77777777" w:rsidR="009E73EC" w:rsidRPr="00DD243D" w:rsidRDefault="009E73EC" w:rsidP="009E73EC">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DD243D">
        <w:rPr>
          <w:rFonts w:ascii="Arial" w:eastAsia="Arial" w:hAnsi="Arial" w:cs="Arial"/>
          <w:sz w:val="21"/>
          <w:szCs w:val="21"/>
          <w:lang w:val="es-ES_tradnl" w:eastAsia="es-ES" w:bidi="es-ES"/>
        </w:rPr>
        <w:t xml:space="preserve">Lo expuesto evidencia que, en general, las interpretaciones en torno a los </w:t>
      </w:r>
      <w:r w:rsidRPr="00DD243D">
        <w:rPr>
          <w:rFonts w:ascii="Arial" w:eastAsia="Arial" w:hAnsi="Arial" w:cs="Arial"/>
          <w:i/>
          <w:sz w:val="21"/>
          <w:szCs w:val="21"/>
          <w:lang w:val="es-ES_tradnl" w:eastAsia="es-ES" w:bidi="es-ES"/>
        </w:rPr>
        <w:t>“convenios interadministrativos”</w:t>
      </w:r>
      <w:r w:rsidRPr="00DD243D">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DD243D">
        <w:rPr>
          <w:rFonts w:ascii="Arial" w:eastAsia="Arial" w:hAnsi="Arial" w:cs="Arial"/>
          <w:sz w:val="21"/>
          <w:szCs w:val="21"/>
          <w:vertAlign w:val="superscript"/>
          <w:lang w:val="es-ES_tradnl" w:eastAsia="es-ES" w:bidi="es-ES"/>
        </w:rPr>
        <w:footnoteReference w:id="31"/>
      </w:r>
      <w:r w:rsidRPr="00DD243D">
        <w:rPr>
          <w:rFonts w:ascii="Arial" w:eastAsia="Arial" w:hAnsi="Arial" w:cs="Arial"/>
          <w:sz w:val="21"/>
          <w:szCs w:val="21"/>
          <w:vertAlign w:val="superscript"/>
          <w:lang w:val="es-ES_tradnl" w:eastAsia="es-ES" w:bidi="es-ES"/>
        </w:rPr>
        <w:footnoteReference w:id="32"/>
      </w:r>
      <w:r w:rsidRPr="00DD243D">
        <w:rPr>
          <w:rFonts w:ascii="Arial" w:eastAsia="Arial" w:hAnsi="Arial" w:cs="Arial"/>
          <w:sz w:val="21"/>
          <w:szCs w:val="21"/>
          <w:lang w:val="es-ES_tradnl" w:eastAsia="es-ES" w:bidi="es-ES"/>
        </w:rPr>
        <w:t>.</w:t>
      </w:r>
    </w:p>
    <w:p w14:paraId="186E4985" w14:textId="77777777" w:rsidR="009E73EC" w:rsidRPr="00DD243D" w:rsidRDefault="009E73EC" w:rsidP="009E73EC">
      <w:pPr>
        <w:widowControl w:val="0"/>
        <w:autoSpaceDE w:val="0"/>
        <w:autoSpaceDN w:val="0"/>
        <w:spacing w:after="0" w:line="276" w:lineRule="auto"/>
        <w:contextualSpacing/>
        <w:jc w:val="both"/>
        <w:rPr>
          <w:rFonts w:ascii="Arial" w:eastAsia="Arial" w:hAnsi="Arial" w:cs="Arial"/>
          <w:lang w:val="es-ES" w:eastAsia="es-ES" w:bidi="es-ES"/>
        </w:rPr>
      </w:pPr>
    </w:p>
    <w:p w14:paraId="5A073B79" w14:textId="77777777" w:rsidR="009E73EC" w:rsidRPr="00DD243D" w:rsidRDefault="009E73EC" w:rsidP="009E73EC">
      <w:pPr>
        <w:widowControl w:val="0"/>
        <w:autoSpaceDE w:val="0"/>
        <w:autoSpaceDN w:val="0"/>
        <w:spacing w:after="120" w:line="276" w:lineRule="auto"/>
        <w:jc w:val="both"/>
        <w:rPr>
          <w:rFonts w:ascii="Arial" w:eastAsia="Arial" w:hAnsi="Arial" w:cs="Arial"/>
          <w:lang w:val="es-ES" w:eastAsia="es-ES" w:bidi="es-ES"/>
        </w:rPr>
      </w:pPr>
      <w:r w:rsidRPr="00DD243D">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DD243D">
        <w:rPr>
          <w:rFonts w:ascii="Arial" w:eastAsia="Arial" w:hAnsi="Arial" w:cs="Arial"/>
          <w:vertAlign w:val="superscript"/>
          <w:lang w:val="es-ES" w:eastAsia="es-ES" w:bidi="es-ES"/>
        </w:rPr>
        <w:footnoteReference w:id="33"/>
      </w:r>
      <w:r w:rsidRPr="00DD243D">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DD243D">
        <w:rPr>
          <w:rFonts w:ascii="Arial" w:eastAsia="Arial" w:hAnsi="Arial" w:cs="Arial"/>
          <w:vertAlign w:val="superscript"/>
          <w:lang w:val="es-ES" w:eastAsia="es-ES" w:bidi="es-ES"/>
        </w:rPr>
        <w:footnoteReference w:id="34"/>
      </w:r>
      <w:r w:rsidRPr="00DD243D">
        <w:rPr>
          <w:rFonts w:ascii="Arial" w:eastAsia="Arial" w:hAnsi="Arial" w:cs="Arial"/>
          <w:lang w:val="es-ES" w:eastAsia="es-ES" w:bidi="es-ES"/>
        </w:rPr>
        <w:t>.</w:t>
      </w:r>
    </w:p>
    <w:p w14:paraId="628167B9" w14:textId="77777777" w:rsidR="009E73EC" w:rsidRPr="00DD243D" w:rsidRDefault="009E73EC" w:rsidP="009E73EC">
      <w:pPr>
        <w:widowControl w:val="0"/>
        <w:autoSpaceDE w:val="0"/>
        <w:autoSpaceDN w:val="0"/>
        <w:spacing w:after="0" w:line="276" w:lineRule="auto"/>
        <w:contextualSpacing/>
        <w:jc w:val="both"/>
        <w:rPr>
          <w:rFonts w:ascii="Arial" w:eastAsia="Arial" w:hAnsi="Arial" w:cs="Arial"/>
          <w:lang w:val="es-ES" w:eastAsia="es-ES" w:bidi="es-ES"/>
        </w:rPr>
      </w:pPr>
      <w:r w:rsidRPr="00DD243D">
        <w:rPr>
          <w:rFonts w:ascii="Arial" w:eastAsia="Arial" w:hAnsi="Arial" w:cs="Arial"/>
          <w:lang w:val="es-ES" w:eastAsia="es-ES" w:bidi="es-ES"/>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19750B16" w14:textId="77777777" w:rsidR="009E73EC" w:rsidRPr="00DD243D" w:rsidRDefault="009E73EC" w:rsidP="009E73EC">
      <w:pPr>
        <w:widowControl w:val="0"/>
        <w:autoSpaceDE w:val="0"/>
        <w:autoSpaceDN w:val="0"/>
        <w:spacing w:after="0" w:line="276" w:lineRule="auto"/>
        <w:contextualSpacing/>
        <w:jc w:val="both"/>
        <w:rPr>
          <w:rFonts w:ascii="Arial" w:eastAsia="Arial" w:hAnsi="Arial" w:cs="Arial"/>
          <w:lang w:val="es-ES" w:eastAsia="es-ES" w:bidi="es-ES"/>
        </w:rPr>
      </w:pPr>
    </w:p>
    <w:p w14:paraId="3A370D87"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r w:rsidRPr="00DD243D">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DD243D">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6D0ED945"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r w:rsidRPr="00DD243D">
        <w:rPr>
          <w:rFonts w:ascii="Arial" w:eastAsia="Calibri" w:hAnsi="Arial" w:cs="Arial"/>
          <w:sz w:val="21"/>
          <w:szCs w:val="21"/>
          <w:lang w:val="es-MX"/>
        </w:rPr>
        <w:t xml:space="preserve"> </w:t>
      </w:r>
    </w:p>
    <w:p w14:paraId="6DB2151D"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r w:rsidRPr="00DD243D">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3E0ECD9" w14:textId="77777777" w:rsidR="009E73EC" w:rsidRPr="00DD243D" w:rsidRDefault="009E73EC" w:rsidP="009E73EC">
      <w:pPr>
        <w:spacing w:after="0" w:line="240" w:lineRule="auto"/>
        <w:ind w:left="709" w:right="709"/>
        <w:contextualSpacing/>
        <w:jc w:val="both"/>
        <w:rPr>
          <w:rFonts w:ascii="Arial" w:eastAsia="Calibri" w:hAnsi="Arial" w:cs="Arial"/>
          <w:sz w:val="21"/>
          <w:szCs w:val="21"/>
          <w:lang w:val="es-MX"/>
        </w:rPr>
      </w:pPr>
    </w:p>
    <w:p w14:paraId="46EB2FA7" w14:textId="77777777" w:rsidR="009E73EC" w:rsidRPr="00DD243D" w:rsidRDefault="009E73EC" w:rsidP="009E73EC">
      <w:pPr>
        <w:spacing w:after="0" w:line="240" w:lineRule="auto"/>
        <w:ind w:left="709" w:right="709"/>
        <w:contextualSpacing/>
        <w:jc w:val="both"/>
        <w:rPr>
          <w:rFonts w:ascii="Calibri" w:eastAsia="Calibri" w:hAnsi="Calibri" w:cs="Times New Roman"/>
          <w:sz w:val="24"/>
          <w:lang w:val="es-MX"/>
        </w:rPr>
      </w:pPr>
      <w:r w:rsidRPr="00DD243D">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78FE5F2" w14:textId="77777777" w:rsidR="009E73EC" w:rsidRPr="00DD243D" w:rsidRDefault="009E73EC" w:rsidP="009E73EC">
      <w:pPr>
        <w:widowControl w:val="0"/>
        <w:autoSpaceDE w:val="0"/>
        <w:autoSpaceDN w:val="0"/>
        <w:spacing w:after="0" w:line="276" w:lineRule="auto"/>
        <w:contextualSpacing/>
        <w:jc w:val="both"/>
        <w:rPr>
          <w:rFonts w:ascii="Arial" w:eastAsia="Arial" w:hAnsi="Arial" w:cs="Arial"/>
          <w:lang w:val="es-ES" w:eastAsia="es-ES" w:bidi="es-ES"/>
        </w:rPr>
      </w:pPr>
    </w:p>
    <w:p w14:paraId="76754B4E" w14:textId="77777777" w:rsidR="009E73EC" w:rsidRPr="00DD243D" w:rsidRDefault="009E73EC" w:rsidP="00CE20C3">
      <w:pPr>
        <w:widowControl w:val="0"/>
        <w:autoSpaceDE w:val="0"/>
        <w:autoSpaceDN w:val="0"/>
        <w:spacing w:after="120" w:line="276" w:lineRule="auto"/>
        <w:jc w:val="both"/>
        <w:rPr>
          <w:rFonts w:ascii="Arial" w:eastAsia="Calibri" w:hAnsi="Arial" w:cs="Arial"/>
          <w:bCs/>
          <w:lang w:eastAsia="es-ES" w:bidi="es-ES"/>
        </w:rPr>
      </w:pPr>
      <w:r w:rsidRPr="00DD243D">
        <w:rPr>
          <w:rFonts w:ascii="Arial" w:eastAsia="Arial" w:hAnsi="Arial" w:cs="Arial"/>
          <w:sz w:val="25"/>
          <w:lang w:val="es-ES" w:eastAsia="es-ES" w:bidi="es-ES"/>
        </w:rPr>
        <w:tab/>
      </w:r>
      <w:r w:rsidRPr="00DD243D">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65"/>
    </w:p>
    <w:p w14:paraId="08823172" w14:textId="3DE2DC10" w:rsidR="00C80448" w:rsidRPr="00DD243D" w:rsidRDefault="009E73EC" w:rsidP="00CE20C3">
      <w:pPr>
        <w:tabs>
          <w:tab w:val="left" w:pos="426"/>
        </w:tabs>
        <w:spacing w:after="120" w:line="276" w:lineRule="auto"/>
        <w:ind w:firstLine="709"/>
        <w:jc w:val="both"/>
        <w:rPr>
          <w:rFonts w:ascii="Arial" w:eastAsia="Times New Roman" w:hAnsi="Arial" w:cs="Arial"/>
          <w:bCs/>
          <w:lang w:val="es-MX" w:eastAsia="es-CO"/>
        </w:rPr>
      </w:pPr>
      <w:r w:rsidRPr="00DD243D">
        <w:rPr>
          <w:rFonts w:ascii="Arial" w:eastAsia="Times New Roman" w:hAnsi="Arial" w:cs="Arial"/>
          <w:bCs/>
          <w:lang w:eastAsia="es-CO"/>
        </w:rPr>
        <w:t xml:space="preserve">Se observa entonces que </w:t>
      </w:r>
      <w:r w:rsidRPr="00DD243D">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DD243D">
        <w:rPr>
          <w:rFonts w:ascii="Arial" w:eastAsia="Times New Roman" w:hAnsi="Arial" w:cs="Arial"/>
          <w:bCs/>
          <w:i/>
          <w:iCs/>
          <w:lang w:val="es-MX" w:eastAsia="es-CO"/>
        </w:rPr>
        <w:t>ibidem</w:t>
      </w:r>
      <w:r w:rsidRPr="00DD243D">
        <w:rPr>
          <w:rFonts w:ascii="Arial" w:eastAsia="Times New Roman" w:hAnsi="Arial" w:cs="Arial"/>
          <w:bCs/>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DD243D">
        <w:rPr>
          <w:rFonts w:ascii="Arial" w:eastAsia="Calibri" w:hAnsi="Arial" w:cs="Arial"/>
          <w:bCs/>
          <w:vertAlign w:val="superscript"/>
          <w:lang w:val="es-MX" w:eastAsia="es-CO"/>
        </w:rPr>
        <w:footnoteReference w:id="35"/>
      </w:r>
      <w:r w:rsidRPr="00DD243D">
        <w:rPr>
          <w:rFonts w:ascii="Arial" w:eastAsia="Times New Roman" w:hAnsi="Arial" w:cs="Arial"/>
          <w:bCs/>
          <w:lang w:val="es-MX" w:eastAsia="es-CO"/>
        </w:rPr>
        <w:t xml:space="preserve">. </w:t>
      </w:r>
      <w:bookmarkStart w:id="66" w:name="_Hlk100680150"/>
    </w:p>
    <w:p w14:paraId="7B8B6AF0" w14:textId="77777777" w:rsidR="00CE20C3" w:rsidRPr="00DD243D" w:rsidRDefault="00CE20C3" w:rsidP="00CE20C3">
      <w:pPr>
        <w:widowControl w:val="0"/>
        <w:autoSpaceDE w:val="0"/>
        <w:autoSpaceDN w:val="0"/>
        <w:spacing w:after="0" w:line="276" w:lineRule="auto"/>
        <w:ind w:firstLine="709"/>
        <w:contextualSpacing/>
        <w:jc w:val="both"/>
        <w:rPr>
          <w:rFonts w:ascii="Arial" w:eastAsia="Calibri" w:hAnsi="Arial" w:cs="Arial"/>
          <w:lang w:eastAsia="es-ES" w:bidi="es-ES"/>
        </w:rPr>
      </w:pPr>
      <w:bookmarkStart w:id="67" w:name="_Hlk77154098"/>
      <w:r w:rsidRPr="00DD243D">
        <w:rPr>
          <w:rFonts w:ascii="Arial" w:eastAsia="Times New Roman" w:hAnsi="Arial" w:cs="Arial"/>
          <w:bCs/>
          <w:lang w:val="es-ES" w:eastAsia="es-CO" w:bidi="es-ES"/>
        </w:rPr>
        <w:t>En todo caso</w:t>
      </w:r>
      <w:r w:rsidRPr="00DD243D">
        <w:rPr>
          <w:rFonts w:ascii="Arial" w:eastAsia="Arial" w:hAnsi="Arial" w:cs="Arial"/>
          <w:lang w:val="es-ES" w:eastAsia="es-ES" w:bidi="es-ES"/>
        </w:rPr>
        <w:t xml:space="preserve">, es importante resaltar que la Sala de Consulta y Servicio Civil del Consejo de Estado se ha pronunciado en el sentido de que </w:t>
      </w:r>
      <w:bookmarkStart w:id="68" w:name="_Hlk78820889"/>
      <w:r w:rsidRPr="00DD243D">
        <w:rPr>
          <w:rFonts w:ascii="Arial" w:eastAsia="Arial" w:hAnsi="Arial"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8"/>
      <w:r w:rsidRPr="00DD243D">
        <w:rPr>
          <w:rFonts w:ascii="Arial" w:eastAsia="Arial" w:hAnsi="Arial" w:cs="Arial"/>
          <w:vertAlign w:val="superscript"/>
          <w:lang w:val="es-ES" w:eastAsia="es-ES" w:bidi="es-ES"/>
        </w:rPr>
        <w:footnoteReference w:id="36"/>
      </w:r>
      <w:r w:rsidRPr="00DD243D">
        <w:rPr>
          <w:rFonts w:ascii="Arial" w:eastAsia="Calibri" w:hAnsi="Arial" w:cs="Arial"/>
          <w:lang w:eastAsia="es-ES" w:bidi="es-ES"/>
        </w:rPr>
        <w:t>.</w:t>
      </w:r>
      <w:bookmarkEnd w:id="67"/>
    </w:p>
    <w:p w14:paraId="0DEF7AC1" w14:textId="77777777" w:rsidR="007F7854" w:rsidRPr="00DD243D" w:rsidRDefault="007F7854" w:rsidP="007F7854">
      <w:pPr>
        <w:tabs>
          <w:tab w:val="left" w:pos="426"/>
        </w:tabs>
        <w:spacing w:after="0" w:line="276" w:lineRule="auto"/>
        <w:ind w:firstLine="709"/>
        <w:contextualSpacing/>
        <w:jc w:val="both"/>
        <w:rPr>
          <w:rFonts w:ascii="Arial" w:eastAsia="Times New Roman" w:hAnsi="Arial" w:cs="Arial"/>
          <w:bCs/>
          <w:lang w:val="es-MX" w:eastAsia="es-CO"/>
        </w:rPr>
      </w:pPr>
    </w:p>
    <w:p w14:paraId="7F7B6B47" w14:textId="77777777" w:rsidR="004000D4" w:rsidRPr="004000D4" w:rsidRDefault="007F7854" w:rsidP="004000D4">
      <w:pPr>
        <w:tabs>
          <w:tab w:val="left" w:pos="426"/>
        </w:tabs>
        <w:spacing w:after="0" w:line="276" w:lineRule="auto"/>
        <w:contextualSpacing/>
        <w:jc w:val="both"/>
        <w:outlineLvl w:val="0"/>
        <w:rPr>
          <w:rFonts w:ascii="Arial" w:eastAsia="Calibri" w:hAnsi="Arial" w:cs="Arial"/>
          <w:b/>
          <w:color w:val="000000" w:themeColor="text1"/>
          <w:lang w:val="es-ES_tradnl"/>
        </w:rPr>
      </w:pPr>
      <w:r w:rsidRPr="00DD243D">
        <w:rPr>
          <w:rFonts w:ascii="Arial" w:hAnsi="Arial" w:cs="Arial"/>
          <w:b/>
          <w:bCs/>
          <w:lang w:eastAsia="es-CO"/>
        </w:rPr>
        <w:t>2.5.</w:t>
      </w:r>
      <w:r w:rsidRPr="00DD243D">
        <w:rPr>
          <w:rFonts w:ascii="Arial" w:hAnsi="Arial" w:cs="Arial"/>
          <w:lang w:eastAsia="es-CO"/>
        </w:rPr>
        <w:t xml:space="preserve"> </w:t>
      </w:r>
      <w:bookmarkEnd w:id="57"/>
      <w:bookmarkEnd w:id="66"/>
      <w:r w:rsidR="004000D4" w:rsidRPr="004000D4">
        <w:rPr>
          <w:rFonts w:ascii="Arial" w:eastAsia="Calibri" w:hAnsi="Arial" w:cs="Arial"/>
          <w:b/>
          <w:color w:val="000000" w:themeColor="text1"/>
          <w:lang w:val="es-ES_tradnl"/>
        </w:rPr>
        <w:t xml:space="preserve">Carencia actual de objeto, por sustracción de materia, en virtud de la declaratoria de </w:t>
      </w:r>
      <w:proofErr w:type="spellStart"/>
      <w:r w:rsidR="004000D4" w:rsidRPr="004000D4">
        <w:rPr>
          <w:rFonts w:ascii="Arial" w:eastAsia="Calibri" w:hAnsi="Arial" w:cs="Arial"/>
          <w:b/>
          <w:color w:val="000000" w:themeColor="text1"/>
          <w:lang w:val="es-ES_tradnl"/>
        </w:rPr>
        <w:t>inexequibilidad</w:t>
      </w:r>
      <w:proofErr w:type="spellEnd"/>
      <w:r w:rsidR="004000D4" w:rsidRPr="004000D4">
        <w:rPr>
          <w:rFonts w:ascii="Arial" w:eastAsia="Calibri" w:hAnsi="Arial" w:cs="Arial"/>
          <w:b/>
          <w:color w:val="000000" w:themeColor="text1"/>
          <w:lang w:val="es-ES_tradnl"/>
        </w:rPr>
        <w:t xml:space="preserve"> del artículo 124 de la Ley 2159 de 2021</w:t>
      </w:r>
    </w:p>
    <w:p w14:paraId="3CCF76EF" w14:textId="77777777" w:rsidR="004000D4" w:rsidRPr="004000D4" w:rsidRDefault="004000D4" w:rsidP="004000D4">
      <w:pPr>
        <w:tabs>
          <w:tab w:val="left" w:pos="426"/>
        </w:tabs>
        <w:spacing w:after="0" w:line="276" w:lineRule="auto"/>
        <w:contextualSpacing/>
        <w:jc w:val="both"/>
        <w:outlineLvl w:val="0"/>
        <w:rPr>
          <w:rFonts w:ascii="Arial" w:eastAsia="Calibri" w:hAnsi="Arial" w:cs="Arial"/>
          <w:b/>
          <w:color w:val="000000" w:themeColor="text1"/>
          <w:lang w:val="es-ES_tradnl"/>
        </w:rPr>
      </w:pPr>
    </w:p>
    <w:p w14:paraId="7E127747" w14:textId="77777777" w:rsidR="004000D4" w:rsidRPr="004000D4" w:rsidRDefault="004000D4" w:rsidP="004000D4">
      <w:pPr>
        <w:tabs>
          <w:tab w:val="left" w:pos="426"/>
        </w:tabs>
        <w:spacing w:after="120" w:line="276" w:lineRule="auto"/>
        <w:jc w:val="both"/>
        <w:outlineLvl w:val="0"/>
        <w:rPr>
          <w:rFonts w:ascii="Arial" w:eastAsia="Calibri" w:hAnsi="Arial" w:cs="Arial"/>
          <w:bCs/>
          <w:color w:val="000000" w:themeColor="text1"/>
          <w:lang w:val="es-ES_tradnl"/>
        </w:rPr>
      </w:pPr>
      <w:r w:rsidRPr="004000D4">
        <w:rPr>
          <w:rFonts w:ascii="Arial" w:eastAsia="Calibri" w:hAnsi="Arial" w:cs="Arial"/>
          <w:bCs/>
          <w:color w:val="000000" w:themeColor="text1"/>
          <w:lang w:val="es-ES_tradnl"/>
        </w:rPr>
        <w:lastRenderedPageBreak/>
        <w:t>Mediante comunicado No. 14 del 5 de mayo de 2022</w:t>
      </w:r>
      <w:r w:rsidRPr="004000D4">
        <w:rPr>
          <w:rFonts w:ascii="Arial" w:eastAsia="Calibri" w:hAnsi="Arial" w:cs="Arial"/>
          <w:bCs/>
          <w:color w:val="000000" w:themeColor="text1"/>
          <w:vertAlign w:val="superscript"/>
          <w:lang w:val="es-ES_tradnl"/>
        </w:rPr>
        <w:footnoteReference w:id="37"/>
      </w:r>
      <w:r w:rsidRPr="004000D4">
        <w:rPr>
          <w:rFonts w:ascii="Arial" w:eastAsia="Calibri" w:hAnsi="Arial" w:cs="Arial"/>
          <w:bCs/>
          <w:color w:val="000000" w:themeColor="text1"/>
          <w:lang w:val="es-ES_tradnl"/>
        </w:rPr>
        <w:t xml:space="preserve"> la Corte Constitucional dio a conocer la decisión tomada por su Sala Plena en la Sentencia C-153 de 2022, en el sentido de declarar la </w:t>
      </w:r>
      <w:proofErr w:type="spellStart"/>
      <w:r w:rsidRPr="004000D4">
        <w:rPr>
          <w:rFonts w:ascii="Arial" w:eastAsia="Calibri" w:hAnsi="Arial" w:cs="Arial"/>
          <w:bCs/>
          <w:color w:val="000000" w:themeColor="text1"/>
          <w:lang w:val="es-ES_tradnl"/>
        </w:rPr>
        <w:t>inexequibilidad</w:t>
      </w:r>
      <w:proofErr w:type="spellEnd"/>
      <w:r w:rsidRPr="004000D4">
        <w:rPr>
          <w:rFonts w:ascii="Arial" w:eastAsia="Calibri" w:hAnsi="Arial" w:cs="Arial"/>
          <w:bCs/>
          <w:color w:val="000000" w:themeColor="text1"/>
          <w:lang w:val="es-ES_tradnl"/>
        </w:rPr>
        <w:t xml:space="preserve"> del </w:t>
      </w:r>
      <w:r w:rsidRPr="004000D4">
        <w:rPr>
          <w:rFonts w:ascii="Arial" w:hAnsi="Arial" w:cs="Arial"/>
        </w:rPr>
        <w:t>artículo 124 de la Ley 2159 de 2021 «[p]</w:t>
      </w:r>
      <w:proofErr w:type="spellStart"/>
      <w:r w:rsidRPr="004000D4">
        <w:rPr>
          <w:rFonts w:ascii="Arial" w:hAnsi="Arial" w:cs="Arial"/>
        </w:rPr>
        <w:t>or</w:t>
      </w:r>
      <w:proofErr w:type="spellEnd"/>
      <w:r w:rsidRPr="004000D4">
        <w:rPr>
          <w:rFonts w:ascii="Arial" w:hAnsi="Arial" w:cs="Arial"/>
        </w:rPr>
        <w:t xml:space="preserve"> la cual se decreta el presupuesto de rentas y recursos de capital y ley de apropiaciones para la vigencia fiscal del 1º de enero al 31 de diciembre de 2022», </w:t>
      </w:r>
      <w:r w:rsidRPr="004000D4">
        <w:rPr>
          <w:rFonts w:ascii="Arial" w:eastAsia="Calibri" w:hAnsi="Arial" w:cs="Arial"/>
          <w:bCs/>
          <w:color w:val="000000" w:themeColor="text1"/>
          <w:lang w:val="es-ES_tradnl"/>
        </w:rPr>
        <w:t>con efectos retroactivos, a partir de su expedición</w:t>
      </w:r>
      <w:r w:rsidRPr="004000D4">
        <w:rPr>
          <w:rFonts w:ascii="Arial" w:hAnsi="Arial" w:cs="Arial"/>
        </w:rPr>
        <w:t xml:space="preserve">. Sin perjuicio de la posterior publicación del cuerpo de la providencia, el referido comunicado desarrolla algunas ordenes en relación con los convenios interadministrativos y contratos estatales que se hayan tramitado, celebrado y/o ejecutado con sustento en dicha norma, las cuales comienzan a surtir efectos desde la publicación del comunicado, según ordenó el Alto Tribunal.  </w:t>
      </w:r>
    </w:p>
    <w:p w14:paraId="2576D16F" w14:textId="0C5BA3CE" w:rsidR="004000D4" w:rsidRPr="004000D4" w:rsidRDefault="004000D4" w:rsidP="004000D4">
      <w:pPr>
        <w:tabs>
          <w:tab w:val="left" w:pos="709"/>
        </w:tabs>
        <w:spacing w:after="120" w:line="276" w:lineRule="auto"/>
        <w:jc w:val="both"/>
        <w:rPr>
          <w:rFonts w:ascii="Arial" w:eastAsia="Calibri" w:hAnsi="Arial" w:cs="Arial"/>
          <w:bCs/>
          <w:color w:val="000000" w:themeColor="text1"/>
          <w:lang w:val="es-ES_tradnl"/>
        </w:rPr>
      </w:pPr>
      <w:r w:rsidRPr="004000D4">
        <w:rPr>
          <w:rFonts w:ascii="Arial" w:eastAsia="Calibri" w:hAnsi="Arial" w:cs="Arial"/>
          <w:bCs/>
          <w:color w:val="000000" w:themeColor="text1"/>
          <w:lang w:val="es-ES_tradnl"/>
        </w:rPr>
        <w:tab/>
      </w:r>
      <w:r w:rsidR="004434EA" w:rsidRPr="008C2801">
        <w:rPr>
          <w:rFonts w:ascii="Arial" w:eastAsia="Calibri" w:hAnsi="Arial" w:cs="Arial"/>
          <w:bCs/>
          <w:color w:val="000000" w:themeColor="text1"/>
          <w:lang w:val="es-ES_tradnl"/>
        </w:rPr>
        <w:t>Al declararse inexequible el artículo 124 de la Ley 2159 de 2021 por parte de la Corte Constitucional, la Agencia Nacional de Contratación Pública – Colombia Compra Eficiente carece de</w:t>
      </w:r>
      <w:r w:rsidR="004434EA">
        <w:rPr>
          <w:rFonts w:ascii="Arial" w:eastAsia="Calibri" w:hAnsi="Arial" w:cs="Arial"/>
          <w:bCs/>
          <w:color w:val="000000" w:themeColor="text1"/>
          <w:lang w:val="es-ES_tradnl"/>
        </w:rPr>
        <w:t xml:space="preserve"> competencia para pronunciarse respecto de su consulta,</w:t>
      </w:r>
      <w:r w:rsidR="00B30A83">
        <w:rPr>
          <w:rFonts w:ascii="Arial" w:eastAsia="Calibri" w:hAnsi="Arial" w:cs="Arial"/>
          <w:bCs/>
          <w:color w:val="000000" w:themeColor="text1"/>
          <w:lang w:val="es-ES_tradnl"/>
        </w:rPr>
        <w:t xml:space="preserve"> por haber</w:t>
      </w:r>
      <w:r w:rsidR="00BA0E82">
        <w:rPr>
          <w:rFonts w:ascii="Arial" w:eastAsia="Calibri" w:hAnsi="Arial" w:cs="Arial"/>
          <w:bCs/>
          <w:color w:val="000000" w:themeColor="text1"/>
          <w:lang w:val="es-ES_tradnl"/>
        </w:rPr>
        <w:t xml:space="preserve"> sali</w:t>
      </w:r>
      <w:r w:rsidR="00B30A83">
        <w:rPr>
          <w:rFonts w:ascii="Arial" w:eastAsia="Calibri" w:hAnsi="Arial" w:cs="Arial"/>
          <w:bCs/>
          <w:color w:val="000000" w:themeColor="text1"/>
          <w:lang w:val="es-ES_tradnl"/>
        </w:rPr>
        <w:t>do</w:t>
      </w:r>
      <w:r w:rsidR="00BA0E82">
        <w:rPr>
          <w:rFonts w:ascii="Arial" w:eastAsia="Calibri" w:hAnsi="Arial" w:cs="Arial"/>
          <w:bCs/>
          <w:color w:val="000000" w:themeColor="text1"/>
          <w:lang w:val="es-ES_tradnl"/>
        </w:rPr>
        <w:t xml:space="preserve"> del ordenamiento jurídico </w:t>
      </w:r>
      <w:r w:rsidR="004434EA">
        <w:rPr>
          <w:rFonts w:ascii="Arial" w:eastAsia="Calibri" w:hAnsi="Arial" w:cs="Arial"/>
          <w:bCs/>
          <w:color w:val="000000" w:themeColor="text1"/>
          <w:lang w:val="es-ES_tradnl"/>
        </w:rPr>
        <w:t xml:space="preserve">el </w:t>
      </w:r>
      <w:r w:rsidR="004434EA" w:rsidRPr="008C2801">
        <w:rPr>
          <w:rFonts w:ascii="Arial" w:eastAsia="Calibri" w:hAnsi="Arial" w:cs="Arial"/>
          <w:bCs/>
          <w:color w:val="000000" w:themeColor="text1"/>
          <w:lang w:val="es-ES_tradnl"/>
        </w:rPr>
        <w:t xml:space="preserve">precepto </w:t>
      </w:r>
      <w:r w:rsidR="004434EA">
        <w:rPr>
          <w:rFonts w:ascii="Arial" w:eastAsia="Calibri" w:hAnsi="Arial" w:cs="Arial"/>
          <w:bCs/>
          <w:color w:val="000000" w:themeColor="text1"/>
          <w:lang w:val="es-ES_tradnl"/>
        </w:rPr>
        <w:t>sobre el que versa</w:t>
      </w:r>
      <w:r w:rsidR="00B30A83">
        <w:rPr>
          <w:rFonts w:ascii="Arial" w:eastAsia="Calibri" w:hAnsi="Arial" w:cs="Arial"/>
          <w:bCs/>
          <w:color w:val="000000" w:themeColor="text1"/>
          <w:lang w:val="es-ES_tradnl"/>
        </w:rPr>
        <w:t xml:space="preserve"> la petición</w:t>
      </w:r>
      <w:r w:rsidR="004434EA" w:rsidRPr="008C2801">
        <w:rPr>
          <w:rFonts w:ascii="Arial" w:eastAsia="Calibri" w:hAnsi="Arial" w:cs="Arial"/>
          <w:bCs/>
          <w:color w:val="000000" w:themeColor="text1"/>
          <w:lang w:val="es-ES_tradnl"/>
        </w:rPr>
        <w:t xml:space="preserve">, </w:t>
      </w:r>
      <w:r w:rsidR="00733E65">
        <w:rPr>
          <w:rFonts w:ascii="Arial" w:eastAsia="Calibri" w:hAnsi="Arial" w:cs="Arial"/>
          <w:bCs/>
          <w:color w:val="000000" w:themeColor="text1"/>
          <w:lang w:val="es-ES_tradnl"/>
        </w:rPr>
        <w:t>presentándose</w:t>
      </w:r>
      <w:r w:rsidR="004434EA">
        <w:rPr>
          <w:rFonts w:ascii="Arial" w:eastAsia="Calibri" w:hAnsi="Arial" w:cs="Arial"/>
          <w:bCs/>
          <w:color w:val="000000" w:themeColor="text1"/>
          <w:lang w:val="es-ES_tradnl"/>
        </w:rPr>
        <w:t xml:space="preserve"> la carencia actual de objeto </w:t>
      </w:r>
      <w:r w:rsidR="004434EA" w:rsidRPr="008C2801">
        <w:rPr>
          <w:rFonts w:ascii="Arial" w:eastAsia="Calibri" w:hAnsi="Arial" w:cs="Arial"/>
          <w:bCs/>
          <w:color w:val="000000" w:themeColor="text1"/>
          <w:lang w:val="es-ES_tradnl"/>
        </w:rPr>
        <w:t xml:space="preserve">por </w:t>
      </w:r>
      <w:r w:rsidR="004434EA" w:rsidRPr="008C2801">
        <w:rPr>
          <w:rFonts w:ascii="Arial" w:eastAsia="Calibri" w:hAnsi="Arial" w:cs="Arial"/>
          <w:bCs/>
          <w:i/>
          <w:iCs/>
          <w:color w:val="000000" w:themeColor="text1"/>
          <w:lang w:val="es-ES_tradnl"/>
        </w:rPr>
        <w:t>sustracción de materia</w:t>
      </w:r>
      <w:r w:rsidR="004434EA" w:rsidRPr="008C2801">
        <w:rPr>
          <w:rStyle w:val="Refdenotaalpie"/>
          <w:rFonts w:ascii="Arial" w:eastAsia="Calibri" w:hAnsi="Arial" w:cs="Arial"/>
          <w:bCs/>
          <w:color w:val="000000" w:themeColor="text1"/>
          <w:lang w:val="es-ES_tradnl"/>
        </w:rPr>
        <w:footnoteReference w:id="38"/>
      </w:r>
      <w:r w:rsidRPr="004000D4">
        <w:rPr>
          <w:rFonts w:ascii="Arial" w:eastAsia="Calibri" w:hAnsi="Arial" w:cs="Arial"/>
          <w:bCs/>
          <w:color w:val="000000" w:themeColor="text1"/>
          <w:lang w:val="es-ES_tradnl"/>
        </w:rPr>
        <w:t>. En efecto, tal como se señala en el referido comunicado, el artículo 45 de la Ley 270 de 1996 establece que «Las sentencias que profiera la Corte Constitucional sobre los actos sujetos a su control en los términos del artículo 241 de la Constitución Política, tienen efectos hacia el futuro a menos que la Corte resuelva lo contrario». En otras palabras, cuando una norma es declarada inconstitucional queda expulsada del ordenamiento jurídico hacia el futuro, a menos que la Corte Constitucional module temporalmente los efectos de su fallo</w:t>
      </w:r>
      <w:r w:rsidRPr="004000D4">
        <w:rPr>
          <w:rFonts w:ascii="Arial" w:eastAsia="Calibri" w:hAnsi="Arial" w:cs="Arial"/>
          <w:bCs/>
          <w:color w:val="000000" w:themeColor="text1"/>
          <w:vertAlign w:val="superscript"/>
          <w:lang w:val="es-ES_tradnl"/>
        </w:rPr>
        <w:footnoteReference w:id="39"/>
      </w:r>
      <w:r w:rsidRPr="004000D4">
        <w:rPr>
          <w:rFonts w:ascii="Arial" w:eastAsia="Calibri" w:hAnsi="Arial" w:cs="Arial"/>
          <w:bCs/>
          <w:color w:val="000000" w:themeColor="text1"/>
          <w:lang w:val="es-ES_tradnl"/>
        </w:rPr>
        <w:t xml:space="preserve">. En ese sentido, a pesar de que la regla </w:t>
      </w:r>
      <w:r w:rsidRPr="004000D4">
        <w:rPr>
          <w:rFonts w:ascii="Arial" w:eastAsia="Calibri" w:hAnsi="Arial" w:cs="Arial"/>
          <w:bCs/>
          <w:color w:val="000000" w:themeColor="text1"/>
          <w:lang w:val="es-ES_tradnl"/>
        </w:rPr>
        <w:lastRenderedPageBreak/>
        <w:t xml:space="preserve">general es que la </w:t>
      </w:r>
      <w:proofErr w:type="spellStart"/>
      <w:r w:rsidRPr="004000D4">
        <w:rPr>
          <w:rFonts w:ascii="Arial" w:eastAsia="Calibri" w:hAnsi="Arial" w:cs="Arial"/>
          <w:bCs/>
          <w:color w:val="000000" w:themeColor="text1"/>
          <w:lang w:val="es-ES_tradnl"/>
        </w:rPr>
        <w:t>inexequibilidad</w:t>
      </w:r>
      <w:proofErr w:type="spellEnd"/>
      <w:r w:rsidRPr="004000D4">
        <w:rPr>
          <w:rFonts w:ascii="Arial" w:eastAsia="Calibri" w:hAnsi="Arial" w:cs="Arial"/>
          <w:bCs/>
          <w:color w:val="000000" w:themeColor="text1"/>
          <w:lang w:val="es-ES_tradnl"/>
        </w:rPr>
        <w:t xml:space="preserve"> de las normas produzca su pérdida de vigencia con efectos hacia el futuro –</w:t>
      </w:r>
      <w:r w:rsidRPr="004000D4">
        <w:rPr>
          <w:rFonts w:ascii="Arial" w:eastAsia="Calibri" w:hAnsi="Arial" w:cs="Arial"/>
          <w:bCs/>
          <w:i/>
          <w:iCs/>
          <w:color w:val="000000" w:themeColor="text1"/>
          <w:lang w:val="es-ES_tradnl"/>
        </w:rPr>
        <w:t>ex nunc</w:t>
      </w:r>
      <w:r w:rsidRPr="004000D4">
        <w:rPr>
          <w:rFonts w:ascii="Arial" w:eastAsia="Calibri" w:hAnsi="Arial" w:cs="Arial"/>
          <w:bCs/>
          <w:color w:val="000000" w:themeColor="text1"/>
          <w:lang w:val="es-ES_tradnl"/>
        </w:rPr>
        <w:t>–, el Alto Tribunal constitucional se encuentra facultado para modular los efectos de sus decisiones, lo cual implica la posibilidad de emitir fallos con efectos retroactivos –</w:t>
      </w:r>
      <w:r w:rsidRPr="004000D4">
        <w:rPr>
          <w:rFonts w:ascii="Arial" w:eastAsia="Calibri" w:hAnsi="Arial" w:cs="Arial"/>
          <w:bCs/>
          <w:i/>
          <w:iCs/>
          <w:color w:val="000000" w:themeColor="text1"/>
          <w:lang w:val="es-ES_tradnl"/>
        </w:rPr>
        <w:t xml:space="preserve">ex </w:t>
      </w:r>
      <w:proofErr w:type="spellStart"/>
      <w:r w:rsidRPr="004000D4">
        <w:rPr>
          <w:rFonts w:ascii="Arial" w:eastAsia="Calibri" w:hAnsi="Arial" w:cs="Arial"/>
          <w:bCs/>
          <w:i/>
          <w:iCs/>
          <w:color w:val="000000" w:themeColor="text1"/>
          <w:lang w:val="es-ES_tradnl"/>
        </w:rPr>
        <w:t>tunc</w:t>
      </w:r>
      <w:proofErr w:type="spellEnd"/>
      <w:r w:rsidRPr="004000D4">
        <w:rPr>
          <w:rFonts w:ascii="Arial" w:eastAsia="Calibri" w:hAnsi="Arial" w:cs="Arial"/>
          <w:bCs/>
          <w:i/>
          <w:iCs/>
          <w:color w:val="000000" w:themeColor="text1"/>
          <w:vertAlign w:val="superscript"/>
          <w:lang w:val="es-ES_tradnl"/>
        </w:rPr>
        <w:footnoteReference w:id="40"/>
      </w:r>
      <w:r w:rsidRPr="004000D4">
        <w:rPr>
          <w:rFonts w:ascii="Arial" w:eastAsia="Calibri" w:hAnsi="Arial" w:cs="Arial"/>
          <w:bCs/>
          <w:color w:val="000000" w:themeColor="text1"/>
          <w:lang w:val="es-ES_tradnl"/>
        </w:rPr>
        <w:t xml:space="preserve">–, tal como es el caso de la decisión tomada en la Sentencia C-123 de 2022, respecto del artículo 124 de la Ley 2159 de 2021.       </w:t>
      </w:r>
    </w:p>
    <w:p w14:paraId="5A4D65DD" w14:textId="77777777" w:rsidR="004000D4" w:rsidRPr="004000D4" w:rsidRDefault="004000D4" w:rsidP="004000D4">
      <w:pPr>
        <w:spacing w:after="120" w:line="276" w:lineRule="auto"/>
        <w:jc w:val="both"/>
        <w:rPr>
          <w:rFonts w:ascii="Arial" w:eastAsia="Calibri" w:hAnsi="Arial" w:cs="Arial"/>
          <w:bCs/>
          <w:color w:val="000000" w:themeColor="text1"/>
          <w:lang w:val="es-ES_tradnl"/>
        </w:rPr>
      </w:pPr>
      <w:r w:rsidRPr="004000D4">
        <w:rPr>
          <w:rFonts w:ascii="Arial" w:eastAsia="Calibri" w:hAnsi="Arial" w:cs="Arial"/>
          <w:bCs/>
          <w:color w:val="000000" w:themeColor="text1"/>
          <w:lang w:val="es-ES_tradnl"/>
        </w:rPr>
        <w:tab/>
        <w:t xml:space="preserve">Con todo, el principal efecto de la </w:t>
      </w:r>
      <w:proofErr w:type="spellStart"/>
      <w:r w:rsidRPr="004000D4">
        <w:rPr>
          <w:rFonts w:ascii="Arial" w:eastAsia="Calibri" w:hAnsi="Arial" w:cs="Arial"/>
          <w:bCs/>
          <w:color w:val="000000" w:themeColor="text1"/>
          <w:lang w:val="es-ES_tradnl"/>
        </w:rPr>
        <w:t>inexequibilidad</w:t>
      </w:r>
      <w:proofErr w:type="spellEnd"/>
      <w:r w:rsidRPr="004000D4">
        <w:rPr>
          <w:rFonts w:ascii="Arial" w:eastAsia="Calibri" w:hAnsi="Arial" w:cs="Arial"/>
          <w:bCs/>
          <w:color w:val="000000" w:themeColor="text1"/>
          <w:lang w:val="es-ES_tradnl"/>
        </w:rPr>
        <w:t xml:space="preserve"> es la perdida de vigencia de la norma, por ello se afirma que el tribunal constitucional se comporta como una especie de «legislador negativo». </w:t>
      </w:r>
      <w:r w:rsidRPr="004000D4">
        <w:rPr>
          <w:rFonts w:ascii="Arial" w:eastAsia="Calibri" w:hAnsi="Arial" w:cs="Arial"/>
          <w:lang w:val="es-ES_tradnl"/>
        </w:rPr>
        <w:t xml:space="preserve">En consecuencia, </w:t>
      </w:r>
      <w:r w:rsidRPr="004000D4">
        <w:rPr>
          <w:rFonts w:ascii="Arial" w:eastAsia="Calibri" w:hAnsi="Arial" w:cs="Arial"/>
          <w:bCs/>
          <w:color w:val="000000" w:themeColor="text1"/>
          <w:lang w:val="es-ES_tradnl"/>
        </w:rPr>
        <w:t xml:space="preserve">las normas declaradas inexequibles no pueden ser interpretadas, </w:t>
      </w:r>
      <w:r w:rsidRPr="004000D4">
        <w:rPr>
          <w:rFonts w:ascii="Arial" w:eastAsia="Calibri" w:hAnsi="Arial" w:cs="Arial"/>
          <w:bCs/>
          <w:i/>
          <w:iCs/>
          <w:color w:val="000000" w:themeColor="text1"/>
          <w:lang w:val="es-ES_tradnl"/>
        </w:rPr>
        <w:t>en ejercicio de su función consultiva</w:t>
      </w:r>
      <w:r w:rsidRPr="004000D4">
        <w:rPr>
          <w:rFonts w:ascii="Arial" w:eastAsia="Calibri" w:hAnsi="Arial" w:cs="Arial"/>
          <w:bCs/>
          <w:color w:val="000000" w:themeColor="text1"/>
          <w:lang w:val="es-ES_tradnl"/>
        </w:rPr>
        <w:t xml:space="preserve">, por parte de la Agencia Nacional de Contratación Pública – Colombia Compra Eficiente. Lo anterior en la medida en que el Decreto-Ley 4170 de 2011 le asigna a esta entidad competencia para resolver consultas sobre normas que sean </w:t>
      </w:r>
      <w:r w:rsidRPr="004000D4">
        <w:rPr>
          <w:rFonts w:ascii="Arial" w:eastAsia="Calibri" w:hAnsi="Arial" w:cs="Arial"/>
          <w:bCs/>
          <w:i/>
          <w:iCs/>
          <w:color w:val="000000" w:themeColor="text1"/>
          <w:lang w:val="es-ES_tradnl"/>
        </w:rPr>
        <w:t>aplicables</w:t>
      </w:r>
      <w:r w:rsidRPr="004000D4">
        <w:rPr>
          <w:rFonts w:ascii="Arial" w:eastAsia="Calibri" w:hAnsi="Arial" w:cs="Arial"/>
          <w:bCs/>
          <w:color w:val="000000" w:themeColor="text1"/>
          <w:lang w:val="es-ES_tradnl"/>
        </w:rPr>
        <w:t xml:space="preserve">, es decir, que se encuentren vigentes –lo que no sucede con los enunciados normativos que han salido del ordenamiento jurídico, por ser inconstitucionales–. Así, se desprende del numeral 5 del artículo 3 del referido cuerpo normativo, el cual dispone que una de las funciones de la Agencia es «Absolver consultas sobre la </w:t>
      </w:r>
      <w:r w:rsidRPr="004000D4">
        <w:rPr>
          <w:rFonts w:ascii="Arial" w:eastAsia="Calibri" w:hAnsi="Arial" w:cs="Arial"/>
          <w:bCs/>
          <w:i/>
          <w:iCs/>
          <w:color w:val="000000" w:themeColor="text1"/>
          <w:lang w:val="es-ES_tradnl"/>
        </w:rPr>
        <w:t>aplicación</w:t>
      </w:r>
      <w:r w:rsidRPr="004000D4">
        <w:rPr>
          <w:rFonts w:ascii="Arial" w:eastAsia="Calibri" w:hAnsi="Arial" w:cs="Arial"/>
          <w:bCs/>
          <w:color w:val="000000" w:themeColor="text1"/>
          <w:lang w:val="es-ES_tradnl"/>
        </w:rPr>
        <w:t xml:space="preserve"> de normas de carácter general […]» (énfasis fuera de texto); función que se reproduce textualmente en el artículo 11, numeral 8 del mismo Decreto-Ley. Una norma que ha sido declarada inexequible no es </w:t>
      </w:r>
      <w:r w:rsidRPr="004000D4">
        <w:rPr>
          <w:rFonts w:ascii="Arial" w:eastAsia="Calibri" w:hAnsi="Arial" w:cs="Arial"/>
          <w:bCs/>
          <w:i/>
          <w:iCs/>
          <w:color w:val="000000" w:themeColor="text1"/>
          <w:lang w:val="es-ES_tradnl"/>
        </w:rPr>
        <w:t>aplicable</w:t>
      </w:r>
      <w:r w:rsidRPr="004000D4">
        <w:rPr>
          <w:rFonts w:ascii="Arial" w:eastAsia="Calibri" w:hAnsi="Arial" w:cs="Arial"/>
          <w:bCs/>
          <w:color w:val="000000" w:themeColor="text1"/>
          <w:lang w:val="es-ES_tradnl"/>
        </w:rPr>
        <w:t xml:space="preserve"> por inexistente; por lo tanto, la Agencia no puede emitir conceptos sobre la misma. </w:t>
      </w:r>
    </w:p>
    <w:p w14:paraId="6649C79E" w14:textId="77777777" w:rsidR="004000D4" w:rsidRPr="004000D4" w:rsidRDefault="004000D4" w:rsidP="004000D4">
      <w:pPr>
        <w:spacing w:before="120" w:after="120" w:line="276" w:lineRule="auto"/>
        <w:ind w:firstLine="709"/>
        <w:jc w:val="both"/>
        <w:rPr>
          <w:rFonts w:ascii="Arial" w:eastAsia="Calibri" w:hAnsi="Arial" w:cs="Arial"/>
          <w:bCs/>
          <w:color w:val="000000" w:themeColor="text1"/>
          <w:lang w:val="es-ES_tradnl"/>
        </w:rPr>
      </w:pPr>
      <w:r w:rsidRPr="004000D4">
        <w:rPr>
          <w:rFonts w:ascii="Arial" w:eastAsia="Calibri" w:hAnsi="Arial" w:cs="Arial"/>
          <w:bCs/>
          <w:color w:val="000000" w:themeColor="text1"/>
          <w:lang w:val="es-ES_tradnl"/>
        </w:rPr>
        <w:lastRenderedPageBreak/>
        <w:t xml:space="preserve">Obsérvese que el legislador extraordinario circunscribió la competencia consultiva de Colombia Compra Eficiente a la </w:t>
      </w:r>
      <w:r w:rsidRPr="004000D4">
        <w:rPr>
          <w:rFonts w:ascii="Arial" w:eastAsia="Calibri" w:hAnsi="Arial" w:cs="Arial"/>
          <w:bCs/>
          <w:i/>
          <w:iCs/>
          <w:color w:val="000000" w:themeColor="text1"/>
          <w:lang w:val="es-ES_tradnl"/>
        </w:rPr>
        <w:t>vigencia</w:t>
      </w:r>
      <w:r w:rsidRPr="004000D4">
        <w:rPr>
          <w:rFonts w:ascii="Arial" w:eastAsia="Calibri" w:hAnsi="Arial" w:cs="Arial"/>
          <w:bCs/>
          <w:color w:val="000000" w:themeColor="text1"/>
          <w:lang w:val="es-ES_tradnl"/>
        </w:rPr>
        <w:t xml:space="preserve"> de las normas del sistema de compras y contratación pública, sin permitirle emitir conceptos sobre preceptos derogados o declarados inexequibles. Esta idea guarda coherencia con el alcance </w:t>
      </w:r>
      <w:r w:rsidRPr="004000D4">
        <w:rPr>
          <w:rFonts w:ascii="Arial" w:eastAsia="Calibri" w:hAnsi="Arial" w:cs="Arial"/>
          <w:bCs/>
          <w:i/>
          <w:iCs/>
          <w:color w:val="000000" w:themeColor="text1"/>
          <w:lang w:val="es-ES_tradnl"/>
        </w:rPr>
        <w:t>erga omnes</w:t>
      </w:r>
      <w:r w:rsidRPr="004000D4">
        <w:rPr>
          <w:rFonts w:ascii="Arial" w:eastAsia="Calibri" w:hAnsi="Arial" w:cs="Arial"/>
          <w:bCs/>
          <w:color w:val="000000" w:themeColor="text1"/>
          <w:lang w:val="es-ES_tradnl"/>
        </w:rPr>
        <w:t xml:space="preserve"> de las sentencias expedidas en ejercicio del control constitucional consagrado en el artículo 48, numeral 1, de la Ley 270 de 1996, a cuyo tenor las sentencias «dictadas como resultado del examen de las normas legales, ya sea por vía de acción, de revisión previa o con motivo del ejercicio del control automático de constitucionalidad, serán de obligatorio cumplimiento y con efecto erga omnes en su parte resolutiva». Esta norma debe entenderse en forma armónica con el artículo 243 de la Constitución, según el cual «Los fallos que la Corte dicte en ejercicio del control jurisdiccional hacen tránsito a cosa juzgada constitucional».</w:t>
      </w:r>
    </w:p>
    <w:p w14:paraId="377BEDA9" w14:textId="77777777" w:rsidR="004000D4" w:rsidRPr="004000D4" w:rsidRDefault="004000D4" w:rsidP="004000D4">
      <w:pPr>
        <w:spacing w:before="120" w:after="120" w:line="276" w:lineRule="auto"/>
        <w:ind w:firstLine="709"/>
        <w:jc w:val="both"/>
        <w:rPr>
          <w:rFonts w:ascii="Arial" w:eastAsia="Calibri" w:hAnsi="Arial" w:cs="Arial"/>
          <w:lang w:val="es-ES_tradnl"/>
        </w:rPr>
      </w:pPr>
      <w:r w:rsidRPr="004000D4">
        <w:rPr>
          <w:rFonts w:ascii="Arial" w:eastAsia="Calibri" w:hAnsi="Arial" w:cs="Arial"/>
          <w:lang w:val="es-ES_tradnl"/>
        </w:rPr>
        <w:t xml:space="preserve">De las consideraciones anteriores se concluye que existe carencia actual de objeto, por sustracción de materia, debido a que la norma frente a la cual se formula una consulta a la Agencia Nacional de Contratación Pública – Colombia Compra Eficiente ha sido declarada inexequible por la Corte Constitucional, porque en tal caso la norma no es </w:t>
      </w:r>
      <w:r w:rsidRPr="004000D4">
        <w:rPr>
          <w:rFonts w:ascii="Arial" w:eastAsia="Calibri" w:hAnsi="Arial" w:cs="Arial"/>
          <w:i/>
          <w:iCs/>
          <w:lang w:val="es-ES_tradnl"/>
        </w:rPr>
        <w:t>aplicable</w:t>
      </w:r>
      <w:r w:rsidRPr="004000D4">
        <w:rPr>
          <w:rFonts w:ascii="Arial" w:eastAsia="Calibri" w:hAnsi="Arial" w:cs="Arial"/>
          <w:lang w:val="es-ES_tradnl"/>
        </w:rPr>
        <w:t xml:space="preserve">, como ya se indicó, pues no cumple con la condición establecida en los artículos 3, numeral 5 y 11, numeral 8, del Decreto-Ley 4170 de 2011. Estas disposiciones –se reitera– solo le permiten a la Agencia emitir conceptos sobre la interpretación de normas </w:t>
      </w:r>
      <w:r w:rsidRPr="004000D4">
        <w:rPr>
          <w:rFonts w:ascii="Arial" w:eastAsia="Calibri" w:hAnsi="Arial" w:cs="Arial"/>
          <w:i/>
          <w:iCs/>
          <w:lang w:val="es-ES_tradnl"/>
        </w:rPr>
        <w:t>aplicables</w:t>
      </w:r>
      <w:r w:rsidRPr="004000D4">
        <w:rPr>
          <w:rFonts w:ascii="Arial" w:eastAsia="Calibri" w:hAnsi="Arial" w:cs="Arial"/>
          <w:lang w:val="es-ES_tradnl"/>
        </w:rPr>
        <w:t>, es decir, que estén aún vigentes en el ordenamiento jurídico. Además, las normas que consagran las competencias de las autoridades deben interpretarse de manera restrictiva. Así se deduce del artículo 6 de la Constitución, que hace responsables a los servidores públicos, entre otros eventos, por «extralimitación en el ejercicio de sus funciones», y del artículo 121 de la Carta, según el cual «Ninguna autoridad del Estado podrá ejercer funciones distintas de las que le atribuyen la Constitución y la ley».</w:t>
      </w:r>
    </w:p>
    <w:p w14:paraId="28595080" w14:textId="77777777" w:rsidR="004000D4" w:rsidRPr="004000D4" w:rsidRDefault="004000D4" w:rsidP="004000D4">
      <w:pPr>
        <w:spacing w:after="0" w:line="276" w:lineRule="auto"/>
        <w:ind w:firstLine="709"/>
        <w:contextualSpacing/>
        <w:jc w:val="both"/>
        <w:rPr>
          <w:rFonts w:ascii="Arial" w:eastAsia="Calibri" w:hAnsi="Arial" w:cs="Arial"/>
          <w:bCs/>
          <w:i/>
          <w:iCs/>
          <w:color w:val="000000" w:themeColor="text1"/>
          <w:lang w:val="es-ES_tradnl"/>
        </w:rPr>
      </w:pPr>
      <w:r w:rsidRPr="004000D4">
        <w:rPr>
          <w:rFonts w:ascii="Arial" w:eastAsia="Calibri" w:hAnsi="Arial" w:cs="Arial"/>
          <w:lang w:val="es-ES_tradnl"/>
        </w:rPr>
        <w:t xml:space="preserve">Por tanto, la declaratoria de </w:t>
      </w:r>
      <w:proofErr w:type="spellStart"/>
      <w:r w:rsidRPr="004000D4">
        <w:rPr>
          <w:rFonts w:ascii="Arial" w:eastAsia="Calibri" w:hAnsi="Arial" w:cs="Arial"/>
          <w:lang w:val="es-ES_tradnl"/>
        </w:rPr>
        <w:t>inexequibilidad</w:t>
      </w:r>
      <w:proofErr w:type="spellEnd"/>
      <w:r w:rsidRPr="004000D4">
        <w:rPr>
          <w:rFonts w:ascii="Arial" w:eastAsia="Calibri" w:hAnsi="Arial" w:cs="Arial"/>
          <w:lang w:val="es-ES_tradnl"/>
        </w:rPr>
        <w:t xml:space="preserve"> del artículo 124 de la Ley 2159 de 2021 tiene como efecto que el primer inciso del parágrafo del artículo 38 de la Ley 996 de 2005 recobre sus efectos y se convierta en la norma </w:t>
      </w:r>
      <w:r w:rsidRPr="004000D4">
        <w:rPr>
          <w:rFonts w:ascii="Arial" w:eastAsia="Calibri" w:hAnsi="Arial" w:cs="Arial"/>
          <w:i/>
          <w:iCs/>
          <w:lang w:val="es-ES_tradnl"/>
        </w:rPr>
        <w:t>aplicable</w:t>
      </w:r>
      <w:r w:rsidRPr="004000D4">
        <w:rPr>
          <w:rFonts w:ascii="Arial" w:eastAsia="Calibri" w:hAnsi="Arial" w:cs="Arial"/>
          <w:lang w:val="es-ES_tradnl"/>
        </w:rPr>
        <w:t xml:space="preserve">. En tal sentido, las consultas referidas a este tema deben referirse al contenido vigente del mencionado parágrafo, que establece: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conforme se explicó en el numeral 2.5 de este concepto. </w:t>
      </w:r>
    </w:p>
    <w:p w14:paraId="55E3ACF9" w14:textId="77777777" w:rsidR="00202AD4" w:rsidRPr="00DD243D" w:rsidRDefault="00202AD4" w:rsidP="007A461E">
      <w:pPr>
        <w:spacing w:after="0" w:line="276" w:lineRule="auto"/>
        <w:ind w:firstLine="709"/>
        <w:contextualSpacing/>
        <w:jc w:val="both"/>
        <w:rPr>
          <w:rFonts w:ascii="Arial" w:eastAsia="Calibri" w:hAnsi="Arial" w:cs="Arial"/>
          <w:lang w:val="es-ES_tradnl"/>
        </w:rPr>
      </w:pPr>
    </w:p>
    <w:p w14:paraId="08F1C103" w14:textId="77777777" w:rsidR="009E73EC" w:rsidRPr="00DD243D" w:rsidRDefault="009E73EC" w:rsidP="007A461E">
      <w:pPr>
        <w:spacing w:after="0" w:line="276" w:lineRule="auto"/>
        <w:contextualSpacing/>
        <w:jc w:val="both"/>
        <w:rPr>
          <w:rFonts w:ascii="Arial" w:eastAsia="Calibri" w:hAnsi="Arial" w:cs="Arial"/>
          <w:b/>
        </w:rPr>
      </w:pPr>
      <w:r w:rsidRPr="00DD243D">
        <w:rPr>
          <w:rFonts w:ascii="Arial" w:eastAsia="Calibri" w:hAnsi="Arial" w:cs="Arial"/>
          <w:b/>
        </w:rPr>
        <w:t>3. Respuesta</w:t>
      </w:r>
    </w:p>
    <w:p w14:paraId="3D8647E9" w14:textId="77777777" w:rsidR="009E73EC" w:rsidRPr="00DD243D" w:rsidRDefault="009E73EC" w:rsidP="007A461E">
      <w:pPr>
        <w:spacing w:after="0" w:line="276" w:lineRule="auto"/>
        <w:contextualSpacing/>
        <w:jc w:val="both"/>
        <w:rPr>
          <w:rFonts w:ascii="Arial" w:eastAsia="Calibri" w:hAnsi="Arial" w:cs="Arial"/>
          <w:bCs/>
        </w:rPr>
      </w:pPr>
    </w:p>
    <w:p w14:paraId="023C5862" w14:textId="77777777" w:rsidR="00BA1D17" w:rsidRPr="00DD243D" w:rsidRDefault="00BA1D17" w:rsidP="007A461E">
      <w:pPr>
        <w:spacing w:after="0" w:line="240" w:lineRule="auto"/>
        <w:ind w:left="709" w:right="709"/>
        <w:contextualSpacing/>
        <w:jc w:val="both"/>
        <w:rPr>
          <w:rFonts w:ascii="Arial" w:eastAsia="Times New Roman" w:hAnsi="Arial" w:cs="Arial"/>
          <w:sz w:val="21"/>
          <w:szCs w:val="21"/>
          <w:shd w:val="clear" w:color="auto" w:fill="FFFFFF"/>
          <w:lang w:eastAsia="es-CO"/>
        </w:rPr>
      </w:pPr>
      <w:bookmarkStart w:id="69" w:name="_Hlk57650395"/>
      <w:r w:rsidRPr="00DD243D">
        <w:rPr>
          <w:rFonts w:ascii="Arial" w:eastAsia="Times New Roman" w:hAnsi="Arial" w:cs="Arial"/>
          <w:sz w:val="21"/>
          <w:szCs w:val="21"/>
          <w:shd w:val="clear" w:color="auto" w:fill="FFFFFF"/>
          <w:lang w:eastAsia="es-CO"/>
        </w:rPr>
        <w:t xml:space="preserve">«[…] La ley 2159 de presupuesto en su art 125 </w:t>
      </w:r>
      <w:proofErr w:type="spellStart"/>
      <w:r w:rsidRPr="00DD243D">
        <w:rPr>
          <w:rFonts w:ascii="Arial" w:eastAsia="Times New Roman" w:hAnsi="Arial" w:cs="Arial"/>
          <w:sz w:val="21"/>
          <w:szCs w:val="21"/>
          <w:shd w:val="clear" w:color="auto" w:fill="FFFFFF"/>
          <w:lang w:eastAsia="es-CO"/>
        </w:rPr>
        <w:t>modific</w:t>
      </w:r>
      <w:proofErr w:type="spellEnd"/>
      <w:r w:rsidRPr="00DD243D">
        <w:rPr>
          <w:rFonts w:ascii="Arial" w:eastAsia="Times New Roman" w:hAnsi="Arial" w:cs="Arial"/>
          <w:sz w:val="21"/>
          <w:szCs w:val="21"/>
          <w:shd w:val="clear" w:color="auto" w:fill="FFFFFF"/>
          <w:lang w:eastAsia="es-CO"/>
        </w:rPr>
        <w:t xml:space="preserve">? el inciso 1 del </w:t>
      </w:r>
      <w:proofErr w:type="spellStart"/>
      <w:r w:rsidRPr="00DD243D">
        <w:rPr>
          <w:rFonts w:ascii="Arial" w:eastAsia="Times New Roman" w:hAnsi="Arial" w:cs="Arial"/>
          <w:sz w:val="21"/>
          <w:szCs w:val="21"/>
          <w:shd w:val="clear" w:color="auto" w:fill="FFFFFF"/>
          <w:lang w:eastAsia="es-CO"/>
        </w:rPr>
        <w:t>paragrafo</w:t>
      </w:r>
      <w:proofErr w:type="spellEnd"/>
      <w:r w:rsidRPr="00DD243D">
        <w:rPr>
          <w:rFonts w:ascii="Arial" w:eastAsia="Times New Roman" w:hAnsi="Arial" w:cs="Arial"/>
          <w:sz w:val="21"/>
          <w:szCs w:val="21"/>
          <w:shd w:val="clear" w:color="auto" w:fill="FFFFFF"/>
          <w:lang w:eastAsia="es-CO"/>
        </w:rPr>
        <w:t xml:space="preserve"> del art 38 de la ley de </w:t>
      </w:r>
      <w:proofErr w:type="spellStart"/>
      <w:proofErr w:type="gramStart"/>
      <w:r w:rsidRPr="00DD243D">
        <w:rPr>
          <w:rFonts w:ascii="Arial" w:eastAsia="Times New Roman" w:hAnsi="Arial" w:cs="Arial"/>
          <w:sz w:val="21"/>
          <w:szCs w:val="21"/>
          <w:shd w:val="clear" w:color="auto" w:fill="FFFFFF"/>
          <w:lang w:eastAsia="es-CO"/>
        </w:rPr>
        <w:t>garant?as</w:t>
      </w:r>
      <w:proofErr w:type="spellEnd"/>
      <w:proofErr w:type="gramEnd"/>
      <w:r w:rsidRPr="00DD243D">
        <w:rPr>
          <w:rFonts w:ascii="Arial" w:eastAsia="Times New Roman" w:hAnsi="Arial" w:cs="Arial"/>
          <w:sz w:val="21"/>
          <w:szCs w:val="21"/>
          <w:shd w:val="clear" w:color="auto" w:fill="FFFFFF"/>
          <w:lang w:eastAsia="es-CO"/>
        </w:rPr>
        <w:t xml:space="preserve">. Con esta </w:t>
      </w:r>
      <w:proofErr w:type="spellStart"/>
      <w:proofErr w:type="gramStart"/>
      <w:r w:rsidRPr="00DD243D">
        <w:rPr>
          <w:rFonts w:ascii="Arial" w:eastAsia="Times New Roman" w:hAnsi="Arial" w:cs="Arial"/>
          <w:sz w:val="21"/>
          <w:szCs w:val="21"/>
          <w:shd w:val="clear" w:color="auto" w:fill="FFFFFF"/>
          <w:lang w:eastAsia="es-CO"/>
        </w:rPr>
        <w:t>modificaci?n</w:t>
      </w:r>
      <w:proofErr w:type="spellEnd"/>
      <w:proofErr w:type="gramEnd"/>
      <w:r w:rsidRPr="00DD243D">
        <w:rPr>
          <w:rFonts w:ascii="Arial" w:eastAsia="Times New Roman" w:hAnsi="Arial" w:cs="Arial"/>
          <w:sz w:val="21"/>
          <w:szCs w:val="21"/>
          <w:shd w:val="clear" w:color="auto" w:fill="FFFFFF"/>
          <w:lang w:eastAsia="es-CO"/>
        </w:rPr>
        <w:t xml:space="preserve"> (</w:t>
      </w:r>
      <w:proofErr w:type="spellStart"/>
      <w:r w:rsidRPr="00DD243D">
        <w:rPr>
          <w:rFonts w:ascii="Arial" w:eastAsia="Times New Roman" w:hAnsi="Arial" w:cs="Arial"/>
          <w:sz w:val="21"/>
          <w:szCs w:val="21"/>
          <w:shd w:val="clear" w:color="auto" w:fill="FFFFFF"/>
          <w:lang w:eastAsia="es-CO"/>
        </w:rPr>
        <w:t>suspensi?n</w:t>
      </w:r>
      <w:proofErr w:type="spellEnd"/>
      <w:r w:rsidRPr="00DD243D">
        <w:rPr>
          <w:rFonts w:ascii="Arial" w:eastAsia="Times New Roman" w:hAnsi="Arial" w:cs="Arial"/>
          <w:sz w:val="21"/>
          <w:szCs w:val="21"/>
          <w:shd w:val="clear" w:color="auto" w:fill="FFFFFF"/>
          <w:lang w:eastAsia="es-CO"/>
        </w:rPr>
        <w:t xml:space="preserve"> del inciso del </w:t>
      </w:r>
      <w:proofErr w:type="spellStart"/>
      <w:r w:rsidRPr="00DD243D">
        <w:rPr>
          <w:rFonts w:ascii="Arial" w:eastAsia="Times New Roman" w:hAnsi="Arial" w:cs="Arial"/>
          <w:sz w:val="21"/>
          <w:szCs w:val="21"/>
          <w:shd w:val="clear" w:color="auto" w:fill="FFFFFF"/>
          <w:lang w:eastAsia="es-CO"/>
        </w:rPr>
        <w:t>paragrafo</w:t>
      </w:r>
      <w:proofErr w:type="spellEnd"/>
      <w:r w:rsidRPr="00DD243D">
        <w:rPr>
          <w:rFonts w:ascii="Arial" w:eastAsia="Times New Roman" w:hAnsi="Arial" w:cs="Arial"/>
          <w:sz w:val="21"/>
          <w:szCs w:val="21"/>
          <w:shd w:val="clear" w:color="auto" w:fill="FFFFFF"/>
          <w:lang w:eastAsia="es-CO"/>
        </w:rPr>
        <w:t xml:space="preserve"> del art 38) pueden los entes territoriales realizar convenios interadministrativos entre entidades </w:t>
      </w:r>
      <w:proofErr w:type="spellStart"/>
      <w:r w:rsidRPr="00DD243D">
        <w:rPr>
          <w:rFonts w:ascii="Arial" w:eastAsia="Times New Roman" w:hAnsi="Arial" w:cs="Arial"/>
          <w:sz w:val="21"/>
          <w:szCs w:val="21"/>
          <w:shd w:val="clear" w:color="auto" w:fill="FFFFFF"/>
          <w:lang w:eastAsia="es-CO"/>
        </w:rPr>
        <w:t>p?blicas</w:t>
      </w:r>
      <w:proofErr w:type="spellEnd"/>
      <w:r w:rsidRPr="00DD243D">
        <w:rPr>
          <w:rFonts w:ascii="Arial" w:eastAsia="Times New Roman" w:hAnsi="Arial" w:cs="Arial"/>
          <w:sz w:val="21"/>
          <w:szCs w:val="21"/>
          <w:shd w:val="clear" w:color="auto" w:fill="FFFFFF"/>
          <w:lang w:eastAsia="es-CO"/>
        </w:rPr>
        <w:t xml:space="preserve"> del mismo orden; </w:t>
      </w:r>
      <w:proofErr w:type="spellStart"/>
      <w:r w:rsidRPr="00DD243D">
        <w:rPr>
          <w:rFonts w:ascii="Arial" w:eastAsia="Times New Roman" w:hAnsi="Arial" w:cs="Arial"/>
          <w:sz w:val="21"/>
          <w:szCs w:val="21"/>
          <w:shd w:val="clear" w:color="auto" w:fill="FFFFFF"/>
          <w:lang w:eastAsia="es-CO"/>
        </w:rPr>
        <w:t>ej</w:t>
      </w:r>
      <w:proofErr w:type="spellEnd"/>
      <w:r w:rsidRPr="00DD243D">
        <w:rPr>
          <w:rFonts w:ascii="Arial" w:eastAsia="Times New Roman" w:hAnsi="Arial" w:cs="Arial"/>
          <w:sz w:val="21"/>
          <w:szCs w:val="21"/>
          <w:shd w:val="clear" w:color="auto" w:fill="FFFFFF"/>
          <w:lang w:eastAsia="es-CO"/>
        </w:rPr>
        <w:t xml:space="preserve">: puede una </w:t>
      </w:r>
      <w:proofErr w:type="spellStart"/>
      <w:r w:rsidRPr="00DD243D">
        <w:rPr>
          <w:rFonts w:ascii="Arial" w:eastAsia="Times New Roman" w:hAnsi="Arial" w:cs="Arial"/>
          <w:sz w:val="21"/>
          <w:szCs w:val="21"/>
          <w:shd w:val="clear" w:color="auto" w:fill="FFFFFF"/>
          <w:lang w:eastAsia="es-CO"/>
        </w:rPr>
        <w:t>alcald?a</w:t>
      </w:r>
      <w:proofErr w:type="spellEnd"/>
      <w:r w:rsidRPr="00DD243D">
        <w:rPr>
          <w:rFonts w:ascii="Arial" w:eastAsia="Times New Roman" w:hAnsi="Arial" w:cs="Arial"/>
          <w:sz w:val="21"/>
          <w:szCs w:val="21"/>
          <w:shd w:val="clear" w:color="auto" w:fill="FFFFFF"/>
          <w:lang w:eastAsia="es-CO"/>
        </w:rPr>
        <w:t xml:space="preserve"> municipal celebrar un convenio con un hospital </w:t>
      </w:r>
      <w:proofErr w:type="spellStart"/>
      <w:r w:rsidRPr="00DD243D">
        <w:rPr>
          <w:rFonts w:ascii="Arial" w:eastAsia="Times New Roman" w:hAnsi="Arial" w:cs="Arial"/>
          <w:sz w:val="21"/>
          <w:szCs w:val="21"/>
          <w:shd w:val="clear" w:color="auto" w:fill="FFFFFF"/>
          <w:lang w:eastAsia="es-CO"/>
        </w:rPr>
        <w:t>p?blico</w:t>
      </w:r>
      <w:proofErr w:type="spellEnd"/>
      <w:r w:rsidRPr="00DD243D">
        <w:rPr>
          <w:rFonts w:ascii="Arial" w:eastAsia="Times New Roman" w:hAnsi="Arial" w:cs="Arial"/>
          <w:sz w:val="21"/>
          <w:szCs w:val="21"/>
          <w:shd w:val="clear" w:color="auto" w:fill="FFFFFF"/>
          <w:lang w:eastAsia="es-CO"/>
        </w:rPr>
        <w:t xml:space="preserve"> del mismo orden, como un comodato para entregar una ambulancia?» [SIC]. </w:t>
      </w:r>
    </w:p>
    <w:p w14:paraId="26861E12" w14:textId="77777777" w:rsidR="00BA1D17" w:rsidRPr="00DD243D" w:rsidRDefault="00BA1D17" w:rsidP="009E73EC">
      <w:pPr>
        <w:spacing w:after="0" w:line="276" w:lineRule="auto"/>
        <w:ind w:left="709" w:right="709"/>
        <w:contextualSpacing/>
        <w:jc w:val="both"/>
        <w:rPr>
          <w:rFonts w:ascii="Arial" w:eastAsia="Times New Roman" w:hAnsi="Arial" w:cs="Arial"/>
          <w:shd w:val="clear" w:color="auto" w:fill="FFFFFF"/>
          <w:lang w:eastAsia="es-CO"/>
        </w:rPr>
      </w:pPr>
    </w:p>
    <w:p w14:paraId="7B44F188" w14:textId="68FB3133" w:rsidR="0019250C" w:rsidRPr="00DD243D" w:rsidRDefault="002816B6" w:rsidP="007A461E">
      <w:pPr>
        <w:spacing w:after="120" w:line="276" w:lineRule="auto"/>
        <w:jc w:val="both"/>
        <w:rPr>
          <w:rFonts w:ascii="Arial" w:eastAsia="Arial" w:hAnsi="Arial" w:cs="Arial"/>
          <w:lang w:val="es-ES" w:eastAsia="es-ES" w:bidi="es-ES"/>
        </w:rPr>
      </w:pPr>
      <w:r>
        <w:rPr>
          <w:rFonts w:ascii="Arial" w:eastAsia="Arial" w:hAnsi="Arial" w:cs="Arial"/>
          <w:lang w:val="es-ES" w:eastAsia="es-ES" w:bidi="es-ES"/>
        </w:rPr>
        <w:t>Conforme lo expuesto, l</w:t>
      </w:r>
      <w:r w:rsidR="0019250C" w:rsidRPr="00DD243D">
        <w:rPr>
          <w:rFonts w:ascii="Arial" w:eastAsia="Arial" w:hAnsi="Arial" w:cs="Arial"/>
          <w:lang w:val="es-ES" w:eastAsia="es-ES" w:bidi="es-ES"/>
        </w:rPr>
        <w:t xml:space="preserve">a Ley 996 de 2005 establece dos (2) tipos de restricciones en materia de contratación, las cuales coinciden parcialmente. </w:t>
      </w:r>
      <w:r w:rsidR="0019250C" w:rsidRPr="00DD243D">
        <w:rPr>
          <w:rFonts w:ascii="Arial" w:eastAsia="Arial" w:hAnsi="Arial" w:cs="Arial"/>
          <w:i/>
          <w:iCs/>
          <w:lang w:val="es-ES" w:eastAsia="es-ES" w:bidi="es-ES"/>
        </w:rPr>
        <w:t>En primer lugar</w:t>
      </w:r>
      <w:r w:rsidR="0019250C" w:rsidRPr="00DD243D">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excepciones contempladas en el inciso segundo del mismo artículo.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19250C" w:rsidRPr="00DD243D">
        <w:rPr>
          <w:rFonts w:ascii="Arial" w:eastAsia="Arial" w:hAnsi="Arial" w:cs="Arial"/>
          <w:i/>
          <w:iCs/>
          <w:lang w:val="es-ES" w:eastAsia="es-ES" w:bidi="es-ES"/>
        </w:rPr>
        <w:t>En segundo lugar</w:t>
      </w:r>
      <w:r w:rsidR="0019250C" w:rsidRPr="00DD243D">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EF2E35F" w14:textId="77777777" w:rsidR="0019250C" w:rsidRPr="00DD243D" w:rsidRDefault="0019250C" w:rsidP="0019250C">
      <w:pPr>
        <w:spacing w:before="120" w:after="120" w:line="276" w:lineRule="auto"/>
        <w:ind w:firstLine="709"/>
        <w:jc w:val="both"/>
        <w:rPr>
          <w:rFonts w:ascii="Arial" w:eastAsia="Calibri" w:hAnsi="Arial" w:cs="Arial"/>
        </w:rPr>
      </w:pPr>
      <w:r w:rsidRPr="00DD243D">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DD243D">
        <w:rPr>
          <w:rFonts w:ascii="Arial" w:eastAsia="Arial" w:hAnsi="Arial" w:cs="Arial"/>
          <w:lang w:val="es-ES" w:eastAsia="es-ES" w:bidi="es-ES"/>
        </w:rPr>
        <w:t>Presidente</w:t>
      </w:r>
      <w:proofErr w:type="gramEnd"/>
      <w:r w:rsidRPr="00DD243D">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DD243D">
        <w:rPr>
          <w:rFonts w:ascii="Arial" w:eastAsia="Arial" w:hAnsi="Arial" w:cs="Arial"/>
          <w:lang w:val="es-ES" w:eastAsia="es-ES" w:bidi="es-ES"/>
        </w:rPr>
        <w:t>Presidente</w:t>
      </w:r>
      <w:proofErr w:type="gramEnd"/>
      <w:r w:rsidRPr="00DD243D">
        <w:rPr>
          <w:rFonts w:ascii="Arial" w:eastAsia="Arial" w:hAnsi="Arial" w:cs="Arial"/>
          <w:lang w:val="es-ES" w:eastAsia="es-ES" w:bidi="es-ES"/>
        </w:rPr>
        <w:t xml:space="preserve"> de la República, las autoridades allí mencionadas sólo deben aplicar las restricciones contenidas en el parágrafo del artículo 38. Lo anterior, sin perjuicio de la modificación introducida por la Ley 2159 de 2021 a esta última norma.</w:t>
      </w:r>
    </w:p>
    <w:p w14:paraId="7A00B059" w14:textId="77777777" w:rsidR="007A461E" w:rsidRDefault="0019250C" w:rsidP="007A461E">
      <w:pPr>
        <w:spacing w:before="120" w:after="120" w:line="276" w:lineRule="auto"/>
        <w:ind w:firstLine="709"/>
        <w:jc w:val="both"/>
        <w:rPr>
          <w:rFonts w:ascii="Arial" w:eastAsia="Arial" w:hAnsi="Arial" w:cs="Arial"/>
          <w:lang w:val="es-ES" w:eastAsia="es-ES" w:bidi="es-ES"/>
        </w:rPr>
      </w:pPr>
      <w:r w:rsidRPr="00DD243D">
        <w:rPr>
          <w:rFonts w:ascii="Arial" w:eastAsia="Arial" w:hAnsi="Arial" w:cs="Arial"/>
          <w:lang w:val="es-ES" w:eastAsia="es-ES" w:bidi="es-ES"/>
        </w:rPr>
        <w:t xml:space="preserve">En ese contexto, </w:t>
      </w:r>
      <w:r w:rsidR="00FC40BF" w:rsidRPr="00DD243D">
        <w:rPr>
          <w:rFonts w:ascii="Arial" w:eastAsia="Arial" w:hAnsi="Arial" w:cs="Arial"/>
          <w:lang w:val="es-ES" w:eastAsia="es-ES" w:bidi="es-ES"/>
        </w:rPr>
        <w:t xml:space="preserve">en razón a la prohibición del parágrafo del artículo 38 de la Ley de Garantías, </w:t>
      </w:r>
      <w:r w:rsidRPr="00DD243D">
        <w:rPr>
          <w:rFonts w:ascii="Arial" w:eastAsia="Arial" w:hAnsi="Arial" w:cs="Arial"/>
          <w:lang w:val="es-ES" w:eastAsia="es-ES" w:bidi="es-ES"/>
        </w:rPr>
        <w:t>los gobernadores, alcaldes municipales y/o distritales, secretarios, gerentes y directores de entidades descentralizadas del orden municipal, departamental o distrital, no pueden celebrar convenios de cooperación con otras entidades estatales dentro de los cuatro</w:t>
      </w:r>
      <w:r w:rsidR="00FC40BF" w:rsidRPr="00DD243D">
        <w:rPr>
          <w:rFonts w:ascii="Arial" w:eastAsia="Arial" w:hAnsi="Arial" w:cs="Arial"/>
          <w:lang w:val="es-ES" w:eastAsia="es-ES" w:bidi="es-ES"/>
        </w:rPr>
        <w:t xml:space="preserve"> (4)</w:t>
      </w:r>
      <w:r w:rsidRPr="00DD243D">
        <w:rPr>
          <w:rFonts w:ascii="Arial" w:eastAsia="Arial" w:hAnsi="Arial" w:cs="Arial"/>
          <w:lang w:val="es-ES" w:eastAsia="es-ES" w:bidi="es-ES"/>
        </w:rPr>
        <w:t xml:space="preserve"> meses anteriores a las elecciones legislativas, en los que se pretenda ejecutar recursos públicos.</w:t>
      </w:r>
      <w:r w:rsidR="004F6737">
        <w:rPr>
          <w:rFonts w:ascii="Arial" w:eastAsia="Arial" w:hAnsi="Arial" w:cs="Arial"/>
          <w:lang w:val="es-ES" w:eastAsia="es-ES" w:bidi="es-ES"/>
        </w:rPr>
        <w:t xml:space="preserve"> </w:t>
      </w:r>
      <w:r w:rsidR="00FC40BF" w:rsidRPr="00DD243D">
        <w:rPr>
          <w:rFonts w:ascii="Arial" w:eastAsia="Arial" w:hAnsi="Arial" w:cs="Arial"/>
          <w:lang w:val="es-ES" w:eastAsia="es-ES" w:bidi="es-ES"/>
        </w:rPr>
        <w:t xml:space="preserve">De acuerdo con </w:t>
      </w:r>
      <w:r w:rsidR="00BD3168" w:rsidRPr="00DD243D">
        <w:rPr>
          <w:rFonts w:ascii="Arial" w:eastAsia="Arial" w:hAnsi="Arial" w:cs="Arial"/>
          <w:lang w:val="es-ES" w:eastAsia="es-ES" w:bidi="es-ES"/>
        </w:rPr>
        <w:t>lo expuesto</w:t>
      </w:r>
      <w:r w:rsidR="00FC40BF" w:rsidRPr="00DD243D">
        <w:rPr>
          <w:rFonts w:ascii="Arial" w:eastAsia="Arial" w:hAnsi="Arial" w:cs="Arial"/>
          <w:lang w:val="es-ES" w:eastAsia="es-ES" w:bidi="es-ES"/>
        </w:rPr>
        <w:t xml:space="preserve">, a los convenios interadministrativos </w:t>
      </w:r>
      <w:r w:rsidR="00BD3168" w:rsidRPr="00DD243D">
        <w:rPr>
          <w:rFonts w:ascii="Arial" w:eastAsia="Arial" w:hAnsi="Arial" w:cs="Arial"/>
          <w:lang w:val="es-ES" w:eastAsia="es-ES" w:bidi="es-ES"/>
        </w:rPr>
        <w:t>celebrados entre entidades del orden territorial, como por ejemplo una alcaldía municipal y un hospital municipal,</w:t>
      </w:r>
      <w:r w:rsidR="00FC40BF" w:rsidRPr="00DD243D">
        <w:rPr>
          <w:rFonts w:ascii="Arial" w:eastAsia="Arial" w:hAnsi="Arial" w:cs="Arial"/>
          <w:lang w:val="es-ES" w:eastAsia="es-ES" w:bidi="es-ES"/>
        </w:rPr>
        <w:t xml:space="preserve"> les aplicaría la restricción del artículo 38</w:t>
      </w:r>
      <w:r w:rsidR="00C61876">
        <w:rPr>
          <w:rFonts w:ascii="Arial" w:eastAsia="Arial" w:hAnsi="Arial" w:cs="Arial"/>
          <w:lang w:val="es-ES" w:eastAsia="es-ES" w:bidi="es-ES"/>
        </w:rPr>
        <w:t xml:space="preserve">. Así mismo, </w:t>
      </w:r>
      <w:r w:rsidR="00C61876" w:rsidRPr="00DD243D">
        <w:rPr>
          <w:rFonts w:ascii="Arial" w:eastAsia="Calibri" w:hAnsi="Arial" w:cs="Arial"/>
        </w:rPr>
        <w:t xml:space="preserve">resulta pertinente </w:t>
      </w:r>
      <w:r w:rsidR="00C61876" w:rsidRPr="00DD243D">
        <w:rPr>
          <w:rFonts w:ascii="Arial" w:eastAsia="Calibri" w:hAnsi="Arial" w:cs="Arial"/>
        </w:rPr>
        <w:lastRenderedPageBreak/>
        <w:t>resaltar que a todos los entes del Estado les queda prohibido celebrar convenios interadministrativos bajo la modalidad de contratación directa, durante los cuatro (4) meses anteriores a las elecciones presidenciales y hasta la realización de la segunda vuelta, si fuere el caso. Esto, en virtud de la restricción a la contratación pública del artículo 33 de la Ley 996 de 2005, la cual aplica a cualquier procedimiento sin pluralidad de oferentes, sin importar de que se trate de un contrato que involucre o no la ejecución de recursos públicos, salvo que se configure alguna de las excepciones previstas, de forma expresa, en el inciso segundo de dicho artículo, o que se adelanten procesos de selección de carácter competitivo y con pluralidad de oferentes.</w:t>
      </w:r>
    </w:p>
    <w:p w14:paraId="4F0A125A" w14:textId="32A7C903" w:rsidR="007A461E" w:rsidRPr="007A461E" w:rsidRDefault="00BD3168" w:rsidP="007A461E">
      <w:pPr>
        <w:spacing w:before="120" w:after="120" w:line="276" w:lineRule="auto"/>
        <w:ind w:firstLine="709"/>
        <w:jc w:val="both"/>
        <w:rPr>
          <w:rFonts w:ascii="Arial" w:eastAsia="Arial" w:hAnsi="Arial" w:cs="Arial"/>
          <w:lang w:val="es-ES" w:eastAsia="es-ES" w:bidi="es-ES"/>
        </w:rPr>
      </w:pPr>
      <w:r w:rsidRPr="00DD243D">
        <w:rPr>
          <w:rFonts w:ascii="Arial" w:eastAsia="Calibri" w:hAnsi="Arial" w:cs="Arial"/>
        </w:rPr>
        <w:t>Finalmente</w:t>
      </w:r>
      <w:r w:rsidR="0019250C" w:rsidRPr="00DD243D">
        <w:rPr>
          <w:rFonts w:ascii="Arial" w:eastAsia="Calibri" w:hAnsi="Arial" w:cs="Arial"/>
        </w:rPr>
        <w:t>,</w:t>
      </w:r>
      <w:r w:rsidRPr="00DD243D">
        <w:rPr>
          <w:rFonts w:ascii="Arial" w:eastAsia="Calibri" w:hAnsi="Arial" w:cs="Arial"/>
        </w:rPr>
        <w:t xml:space="preserve"> </w:t>
      </w:r>
      <w:r w:rsidR="00D51D76">
        <w:rPr>
          <w:rFonts w:ascii="Arial" w:eastAsia="Calibri" w:hAnsi="Arial" w:cs="Arial"/>
        </w:rPr>
        <w:t xml:space="preserve">respecto de la modificación </w:t>
      </w:r>
      <w:r w:rsidR="00276578">
        <w:rPr>
          <w:rFonts w:ascii="Arial" w:eastAsia="Calibri" w:hAnsi="Arial" w:cs="Arial"/>
        </w:rPr>
        <w:t xml:space="preserve">introducida por el artículo 124 de la Ley 2159, se debe señalar que, </w:t>
      </w:r>
      <w:r w:rsidR="007A461E" w:rsidRPr="008C2801">
        <w:rPr>
          <w:rFonts w:ascii="Arial" w:eastAsia="Times New Roman" w:hAnsi="Arial" w:cs="Arial"/>
          <w:szCs w:val="24"/>
          <w:lang w:val="es-ES_tradnl" w:eastAsia="es-ES_tradnl"/>
        </w:rPr>
        <w:t xml:space="preserve">a la Agencia Nacional de Contratación Pública - Colombia Compra Eficiente le fue asignada la competencia </w:t>
      </w:r>
      <w:r w:rsidR="007A461E" w:rsidRPr="008C2801">
        <w:rPr>
          <w:rFonts w:ascii="Arial" w:eastAsia="Calibri" w:hAnsi="Arial" w:cs="Arial"/>
          <w:bCs/>
          <w:lang w:val="es-ES_tradnl"/>
        </w:rPr>
        <w:t xml:space="preserve">para resolver consultas sobre normas que sean </w:t>
      </w:r>
      <w:r w:rsidR="007A461E" w:rsidRPr="008C2801">
        <w:rPr>
          <w:rFonts w:ascii="Arial" w:eastAsia="Calibri" w:hAnsi="Arial" w:cs="Arial"/>
          <w:bCs/>
          <w:i/>
          <w:iCs/>
          <w:lang w:val="es-ES_tradnl"/>
        </w:rPr>
        <w:t>aplicables</w:t>
      </w:r>
      <w:r w:rsidR="007A461E" w:rsidRPr="008C2801">
        <w:rPr>
          <w:rFonts w:ascii="Arial" w:eastAsia="Calibri" w:hAnsi="Arial" w:cs="Arial"/>
          <w:bCs/>
          <w:lang w:val="es-ES_tradnl"/>
        </w:rPr>
        <w:t xml:space="preserve">, es decir, que se encuentren vigentes –lo que no sucede con los enunciados normativos que han salido del ordenamiento jurídico, por ser inconstitucionales–, en consecuencia, las normas declaradas inexequibles no pueden ser interpretadas, </w:t>
      </w:r>
      <w:r w:rsidR="007A461E" w:rsidRPr="008C2801">
        <w:rPr>
          <w:rFonts w:ascii="Arial" w:eastAsia="Calibri" w:hAnsi="Arial" w:cs="Arial"/>
          <w:bCs/>
          <w:i/>
          <w:iCs/>
          <w:lang w:val="es-ES_tradnl"/>
        </w:rPr>
        <w:t>en ejercicio de su función consultiva</w:t>
      </w:r>
      <w:r w:rsidR="007A461E" w:rsidRPr="008C2801">
        <w:rPr>
          <w:rFonts w:ascii="Arial" w:eastAsia="Calibri" w:hAnsi="Arial" w:cs="Arial"/>
          <w:bCs/>
          <w:lang w:val="es-ES_tradnl"/>
        </w:rPr>
        <w:t xml:space="preserve">, por parte de </w:t>
      </w:r>
      <w:r w:rsidR="00B7217B">
        <w:rPr>
          <w:rFonts w:ascii="Arial" w:eastAsia="Calibri" w:hAnsi="Arial" w:cs="Arial"/>
          <w:bCs/>
          <w:lang w:val="es-ES_tradnl"/>
        </w:rPr>
        <w:t>esta entidad</w:t>
      </w:r>
      <w:r w:rsidR="007A461E" w:rsidRPr="008C2801">
        <w:rPr>
          <w:rFonts w:ascii="Arial" w:eastAsia="Calibri" w:hAnsi="Arial" w:cs="Arial"/>
          <w:bCs/>
          <w:lang w:val="es-ES_tradnl"/>
        </w:rPr>
        <w:t xml:space="preserve">. </w:t>
      </w:r>
      <w:r w:rsidR="00B7217B">
        <w:rPr>
          <w:rFonts w:ascii="Arial" w:eastAsia="Calibri" w:hAnsi="Arial" w:cs="Arial"/>
          <w:bCs/>
          <w:lang w:val="es-ES_tradnl"/>
        </w:rPr>
        <w:t>Teniendo en cuenta que</w:t>
      </w:r>
      <w:r w:rsidR="007A461E" w:rsidRPr="008C2801">
        <w:rPr>
          <w:rFonts w:ascii="Arial" w:eastAsia="Calibri" w:hAnsi="Arial" w:cs="Arial"/>
          <w:bCs/>
          <w:lang w:val="es-ES_tradnl"/>
        </w:rPr>
        <w:t xml:space="preserve"> la Corte Constitucional</w:t>
      </w:r>
      <w:r w:rsidR="00B7217B">
        <w:rPr>
          <w:rFonts w:ascii="Arial" w:eastAsia="Calibri" w:hAnsi="Arial" w:cs="Arial"/>
          <w:bCs/>
          <w:lang w:val="es-ES_tradnl"/>
        </w:rPr>
        <w:t>,</w:t>
      </w:r>
      <w:r w:rsidR="007A461E" w:rsidRPr="008C2801">
        <w:rPr>
          <w:rFonts w:ascii="Arial" w:eastAsia="Calibri" w:hAnsi="Arial" w:cs="Arial"/>
          <w:bCs/>
          <w:lang w:val="es-ES_tradnl"/>
        </w:rPr>
        <w:t xml:space="preserve"> en la Sentencia C-153 de 202</w:t>
      </w:r>
      <w:r w:rsidR="000B5178">
        <w:rPr>
          <w:rFonts w:ascii="Arial" w:eastAsia="Calibri" w:hAnsi="Arial" w:cs="Arial"/>
          <w:bCs/>
          <w:lang w:val="es-ES_tradnl"/>
        </w:rPr>
        <w:t>2</w:t>
      </w:r>
      <w:r w:rsidR="00B7217B">
        <w:rPr>
          <w:rFonts w:ascii="Arial" w:eastAsia="Calibri" w:hAnsi="Arial" w:cs="Arial"/>
          <w:bCs/>
          <w:lang w:val="es-ES_tradnl"/>
        </w:rPr>
        <w:t>,</w:t>
      </w:r>
      <w:r w:rsidR="007A461E" w:rsidRPr="008C2801">
        <w:rPr>
          <w:rFonts w:ascii="Arial" w:eastAsia="Calibri" w:hAnsi="Arial" w:cs="Arial"/>
          <w:bCs/>
          <w:lang w:val="es-ES_tradnl"/>
        </w:rPr>
        <w:t xml:space="preserve"> declaró la </w:t>
      </w:r>
      <w:proofErr w:type="spellStart"/>
      <w:r w:rsidR="007A461E" w:rsidRPr="008C2801">
        <w:rPr>
          <w:rFonts w:ascii="Arial" w:eastAsia="Calibri" w:hAnsi="Arial" w:cs="Arial"/>
          <w:bCs/>
          <w:lang w:val="es-ES_tradnl"/>
        </w:rPr>
        <w:t>inexequibilidad</w:t>
      </w:r>
      <w:proofErr w:type="spellEnd"/>
      <w:r w:rsidR="007A461E" w:rsidRPr="008C2801">
        <w:rPr>
          <w:rFonts w:ascii="Arial" w:eastAsia="Calibri" w:hAnsi="Arial" w:cs="Arial"/>
          <w:bCs/>
          <w:lang w:val="es-ES_tradnl"/>
        </w:rPr>
        <w:t xml:space="preserve"> del </w:t>
      </w:r>
      <w:r w:rsidR="007A461E" w:rsidRPr="008C2801">
        <w:rPr>
          <w:rFonts w:ascii="Arial" w:hAnsi="Arial" w:cs="Arial"/>
        </w:rPr>
        <w:t>artículo 124 de la Ley 2159 de 2021 «[p]</w:t>
      </w:r>
      <w:proofErr w:type="spellStart"/>
      <w:r w:rsidR="007A461E" w:rsidRPr="008C2801">
        <w:rPr>
          <w:rFonts w:ascii="Arial" w:hAnsi="Arial" w:cs="Arial"/>
        </w:rPr>
        <w:t>or</w:t>
      </w:r>
      <w:proofErr w:type="spellEnd"/>
      <w:r w:rsidR="007A461E" w:rsidRPr="008C2801">
        <w:rPr>
          <w:rFonts w:ascii="Arial" w:hAnsi="Arial" w:cs="Arial"/>
        </w:rPr>
        <w:t xml:space="preserve"> la cual se decreta el presupuesto de rentas y recursos de capital y ley de apropiaciones para la vigencia fiscal del 1º de enero al 31 de diciembre de 2022», </w:t>
      </w:r>
      <w:r w:rsidR="007A461E" w:rsidRPr="008C2801">
        <w:rPr>
          <w:rFonts w:ascii="Arial" w:eastAsia="Calibri" w:hAnsi="Arial" w:cs="Arial"/>
          <w:bCs/>
          <w:lang w:val="es-ES_tradnl"/>
        </w:rPr>
        <w:t xml:space="preserve">con efectos retroactivos, esta Agencia carece de objeto para pronunciarse sobre este precepto normativo, en ejercicio de su función consultiva, por </w:t>
      </w:r>
      <w:r w:rsidR="007A461E" w:rsidRPr="008C2801">
        <w:rPr>
          <w:rFonts w:ascii="Arial" w:eastAsia="Calibri" w:hAnsi="Arial" w:cs="Arial"/>
          <w:bCs/>
          <w:i/>
          <w:iCs/>
          <w:lang w:val="es-ES_tradnl"/>
        </w:rPr>
        <w:t xml:space="preserve">sustracción de materia. </w:t>
      </w:r>
    </w:p>
    <w:p w14:paraId="18CBF091" w14:textId="77777777" w:rsidR="007A461E" w:rsidRDefault="007A461E" w:rsidP="009E73EC">
      <w:pPr>
        <w:spacing w:after="0" w:line="276" w:lineRule="auto"/>
        <w:jc w:val="both"/>
        <w:rPr>
          <w:rFonts w:ascii="Arial" w:eastAsia="Calibri" w:hAnsi="Arial" w:cs="Arial"/>
        </w:rPr>
      </w:pPr>
    </w:p>
    <w:p w14:paraId="5E73453F" w14:textId="461117D4" w:rsidR="009E73EC" w:rsidRPr="00DD243D" w:rsidRDefault="009E73EC" w:rsidP="009E73EC">
      <w:pPr>
        <w:spacing w:after="0" w:line="276" w:lineRule="auto"/>
        <w:jc w:val="both"/>
        <w:rPr>
          <w:rFonts w:ascii="Times New Roman" w:eastAsia="Times New Roman" w:hAnsi="Times New Roman" w:cs="Times New Roman"/>
          <w:sz w:val="24"/>
          <w:szCs w:val="24"/>
          <w:lang w:eastAsia="es-ES_tradnl"/>
        </w:rPr>
      </w:pPr>
      <w:r w:rsidRPr="00DD243D">
        <w:rPr>
          <w:rFonts w:ascii="Arial" w:eastAsia="Calibri" w:hAnsi="Arial" w:cs="Arial"/>
        </w:rPr>
        <w:t>Este concepto tiene el alcance previsto en el artículo 28 del Código de Procedimiento Administrativo y de lo Contencioso Administrativo.</w:t>
      </w:r>
      <w:r w:rsidRPr="00DD243D">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291B4995" wp14:editId="16E2A25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35E08EE6">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D5AE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14:paraId="073459A2" w14:textId="77777777" w:rsidR="009E73EC" w:rsidRPr="00DD243D" w:rsidRDefault="009E73EC" w:rsidP="009E73EC">
      <w:pPr>
        <w:spacing w:after="0" w:line="276" w:lineRule="auto"/>
        <w:jc w:val="both"/>
        <w:rPr>
          <w:rFonts w:ascii="Times New Roman" w:eastAsia="Times New Roman" w:hAnsi="Times New Roman" w:cs="Times New Roman"/>
          <w:sz w:val="24"/>
          <w:szCs w:val="24"/>
          <w:lang w:eastAsia="es-ES_tradnl"/>
        </w:rPr>
      </w:pPr>
    </w:p>
    <w:p w14:paraId="7E5F43DC" w14:textId="77777777" w:rsidR="009E73EC" w:rsidRPr="00DD243D" w:rsidRDefault="009E73EC" w:rsidP="009E73EC">
      <w:pPr>
        <w:spacing w:after="200" w:line="276" w:lineRule="auto"/>
        <w:jc w:val="both"/>
        <w:rPr>
          <w:rFonts w:ascii="Arial" w:eastAsia="Times New Roman" w:hAnsi="Arial" w:cs="Arial"/>
          <w:lang w:eastAsia="es-CO"/>
        </w:rPr>
      </w:pPr>
      <w:r w:rsidRPr="33ED62EA">
        <w:rPr>
          <w:rFonts w:ascii="Arial" w:eastAsia="Times New Roman" w:hAnsi="Arial" w:cs="Arial"/>
          <w:lang w:eastAsia="es-CO"/>
        </w:rPr>
        <w:t>Atentamente,</w:t>
      </w:r>
    </w:p>
    <w:p w14:paraId="52014B9A" w14:textId="2FE9B02D" w:rsidR="00BD3168" w:rsidRPr="00DD243D" w:rsidRDefault="00D406BD" w:rsidP="33ED62EA">
      <w:pPr>
        <w:pStyle w:val="NormalWeb"/>
        <w:spacing w:before="0" w:beforeAutospacing="0" w:after="0" w:afterAutospacing="0"/>
        <w:jc w:val="center"/>
      </w:pPr>
      <w:r>
        <w:rPr>
          <w:rFonts w:ascii="Arial" w:hAnsi="Arial" w:cs="Arial"/>
          <w:noProof/>
          <w:color w:val="000000"/>
          <w:lang w:val="es-419" w:eastAsia="es-419"/>
        </w:rPr>
        <w:drawing>
          <wp:inline distT="0" distB="0" distL="0" distR="0" wp14:anchorId="33188737" wp14:editId="43E218E2">
            <wp:extent cx="1816100" cy="8048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852" cy="808741"/>
                    </a:xfrm>
                    <a:prstGeom prst="rect">
                      <a:avLst/>
                    </a:prstGeom>
                    <a:noFill/>
                    <a:ln>
                      <a:noFill/>
                    </a:ln>
                  </pic:spPr>
                </pic:pic>
              </a:graphicData>
            </a:graphic>
          </wp:inline>
        </w:drawing>
      </w:r>
    </w:p>
    <w:p w14:paraId="16BE37E0" w14:textId="77777777" w:rsidR="00BD3168" w:rsidRPr="00DD243D" w:rsidRDefault="00BD3168" w:rsidP="00BD3168">
      <w:pPr>
        <w:pStyle w:val="NormalWeb"/>
        <w:spacing w:before="0" w:beforeAutospacing="0" w:after="0" w:afterAutospacing="0"/>
        <w:jc w:val="center"/>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D3168" w:rsidRPr="00DD243D" w14:paraId="60384068" w14:textId="77777777" w:rsidTr="000A0DC0">
        <w:trPr>
          <w:trHeight w:val="315"/>
        </w:trPr>
        <w:tc>
          <w:tcPr>
            <w:tcW w:w="812" w:type="dxa"/>
            <w:vAlign w:val="center"/>
            <w:hideMark/>
          </w:tcPr>
          <w:p w14:paraId="1A72598E"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E2C2CCD" w14:textId="77777777" w:rsidR="00BD3168" w:rsidRPr="00DD243D" w:rsidRDefault="00BD3168" w:rsidP="00BD3168">
            <w:pPr>
              <w:rPr>
                <w:rFonts w:ascii="Arial" w:eastAsia="Times New Roman" w:hAnsi="Arial" w:cs="Arial"/>
                <w:sz w:val="16"/>
                <w:szCs w:val="16"/>
                <w:lang w:eastAsia="es-ES"/>
              </w:rPr>
            </w:pPr>
            <w:r w:rsidRPr="00DD243D">
              <w:rPr>
                <w:rFonts w:ascii="Arial" w:eastAsia="Times New Roman" w:hAnsi="Arial" w:cs="Arial"/>
                <w:sz w:val="16"/>
                <w:szCs w:val="16"/>
                <w:lang w:eastAsia="es-ES"/>
              </w:rPr>
              <w:t>Diana Lucia Saavedra Castañeda</w:t>
            </w:r>
          </w:p>
          <w:p w14:paraId="18AA818A" w14:textId="4FBF70B7" w:rsidR="00BD3168" w:rsidRPr="00DD243D" w:rsidRDefault="00BD3168" w:rsidP="00BD3168">
            <w:pPr>
              <w:rPr>
                <w:rFonts w:ascii="Arial" w:hAnsi="Arial" w:cs="Arial"/>
                <w:sz w:val="16"/>
                <w:szCs w:val="16"/>
                <w:lang w:val="es-ES_tradnl" w:eastAsia="es-ES"/>
              </w:rPr>
            </w:pPr>
            <w:r w:rsidRPr="00DD243D">
              <w:rPr>
                <w:rFonts w:ascii="Arial" w:eastAsia="Times New Roman" w:hAnsi="Arial" w:cs="Arial"/>
                <w:sz w:val="16"/>
                <w:szCs w:val="16"/>
                <w:lang w:eastAsia="es-ES"/>
              </w:rPr>
              <w:t>Contratista de la Subdirección de Gestión Contractual</w:t>
            </w:r>
          </w:p>
        </w:tc>
      </w:tr>
      <w:tr w:rsidR="00BD3168" w:rsidRPr="00DD243D" w14:paraId="300460EA" w14:textId="77777777" w:rsidTr="000A0DC0">
        <w:trPr>
          <w:trHeight w:val="330"/>
        </w:trPr>
        <w:tc>
          <w:tcPr>
            <w:tcW w:w="812" w:type="dxa"/>
            <w:vAlign w:val="center"/>
            <w:hideMark/>
          </w:tcPr>
          <w:p w14:paraId="690BB53D"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34CEBD"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Alejandro Sarmiento Cantillo</w:t>
            </w:r>
          </w:p>
          <w:p w14:paraId="61EBD983"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 xml:space="preserve">Gestor T1-15 de la Subdirección de Gestión Contractual  </w:t>
            </w:r>
          </w:p>
        </w:tc>
      </w:tr>
      <w:tr w:rsidR="00BD3168" w:rsidRPr="00BD3168" w14:paraId="4FCB3EB4" w14:textId="77777777" w:rsidTr="000A0DC0">
        <w:trPr>
          <w:trHeight w:val="300"/>
        </w:trPr>
        <w:tc>
          <w:tcPr>
            <w:tcW w:w="812" w:type="dxa"/>
            <w:vAlign w:val="center"/>
            <w:hideMark/>
          </w:tcPr>
          <w:p w14:paraId="3306CCA5"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E5B567" w14:textId="77777777" w:rsidR="00BD3168" w:rsidRPr="00DD243D"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Jorge Augusto Tirado Navarro</w:t>
            </w:r>
          </w:p>
          <w:p w14:paraId="556CF3A1" w14:textId="77777777" w:rsidR="00BD3168" w:rsidRPr="00BD3168" w:rsidRDefault="00BD3168" w:rsidP="000A0DC0">
            <w:pPr>
              <w:rPr>
                <w:rFonts w:ascii="Arial" w:hAnsi="Arial" w:cs="Arial"/>
                <w:sz w:val="16"/>
                <w:szCs w:val="16"/>
                <w:lang w:val="es-ES_tradnl" w:eastAsia="es-ES"/>
              </w:rPr>
            </w:pPr>
            <w:r w:rsidRPr="00DD243D">
              <w:rPr>
                <w:rFonts w:ascii="Arial" w:hAnsi="Arial" w:cs="Arial"/>
                <w:sz w:val="16"/>
                <w:szCs w:val="16"/>
                <w:lang w:val="es-ES_tradnl" w:eastAsia="es-ES"/>
              </w:rPr>
              <w:t>Subdirector de Gestión Contractual ANCP – CCE</w:t>
            </w:r>
          </w:p>
        </w:tc>
      </w:tr>
      <w:bookmarkEnd w:id="7"/>
      <w:bookmarkEnd w:id="8"/>
      <w:bookmarkEnd w:id="69"/>
    </w:tbl>
    <w:p w14:paraId="433169B7" w14:textId="77777777" w:rsidR="00BD3168" w:rsidRPr="00BD3168" w:rsidRDefault="00BD3168" w:rsidP="003A1641">
      <w:pPr>
        <w:rPr>
          <w:rFonts w:ascii="Arial" w:hAnsi="Arial" w:cs="Arial"/>
          <w:lang w:val="es-ES_tradnl"/>
        </w:rPr>
      </w:pPr>
    </w:p>
    <w:sectPr w:rsidR="00BD3168" w:rsidRPr="00BD3168" w:rsidSect="00BE1101">
      <w:headerReference w:type="default" r:id="rId10"/>
      <w:footerReference w:type="default" r:id="rId11"/>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1C85" w14:textId="77777777" w:rsidR="0081383F" w:rsidRDefault="0081383F" w:rsidP="009E73EC">
      <w:pPr>
        <w:spacing w:after="0" w:line="240" w:lineRule="auto"/>
      </w:pPr>
      <w:r>
        <w:separator/>
      </w:r>
    </w:p>
  </w:endnote>
  <w:endnote w:type="continuationSeparator" w:id="0">
    <w:p w14:paraId="3CCB2356" w14:textId="77777777" w:rsidR="0081383F" w:rsidRDefault="0081383F" w:rsidP="009E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35FC" w14:textId="77777777" w:rsidR="00301B6D" w:rsidRDefault="003A1641" w:rsidP="00301B6D">
    <w:pPr>
      <w:pStyle w:val="Sinespaciado"/>
      <w:rPr>
        <w:rFonts w:ascii="Arial" w:hAnsi="Arial" w:cs="Arial"/>
        <w:sz w:val="18"/>
        <w:szCs w:val="18"/>
      </w:rPr>
    </w:pPr>
  </w:p>
  <w:p w14:paraId="158EE116" w14:textId="77777777" w:rsidR="00301B6D" w:rsidRDefault="003A1641" w:rsidP="00301B6D">
    <w:pPr>
      <w:pStyle w:val="Sinespaciado"/>
      <w:rPr>
        <w:rFonts w:ascii="Arial" w:hAnsi="Arial" w:cs="Arial"/>
        <w:sz w:val="18"/>
        <w:szCs w:val="18"/>
      </w:rPr>
    </w:pPr>
  </w:p>
  <w:p w14:paraId="255DC8FC" w14:textId="77777777" w:rsidR="00301B6D" w:rsidRPr="00883C23" w:rsidRDefault="006F7D82"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19F423AC" w14:textId="77777777" w:rsidR="00301B6D" w:rsidRDefault="006F7D82" w:rsidP="00301B6D">
    <w:pPr>
      <w:pStyle w:val="Piedepgina"/>
      <w:jc w:val="center"/>
      <w:rPr>
        <w:lang w:val="es-ES"/>
      </w:rPr>
    </w:pPr>
    <w:r>
      <w:rPr>
        <w:noProof/>
        <w:lang w:val="es-CO" w:eastAsia="es-CO"/>
      </w:rPr>
      <w:drawing>
        <wp:inline distT="0" distB="0" distL="0" distR="0" wp14:anchorId="43037968" wp14:editId="77557421">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60932D5" w14:textId="77777777" w:rsidR="00301B6D" w:rsidRDefault="003A1641" w:rsidP="00301B6D">
    <w:pPr>
      <w:pStyle w:val="Piedepgina"/>
      <w:jc w:val="center"/>
      <w:rPr>
        <w:lang w:val="es-ES"/>
      </w:rPr>
    </w:pPr>
  </w:p>
  <w:p w14:paraId="69EFFBCE" w14:textId="77777777" w:rsidR="00301B6D" w:rsidRPr="007B0854" w:rsidRDefault="003A1641"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47FB" w14:textId="77777777" w:rsidR="0081383F" w:rsidRDefault="0081383F" w:rsidP="009E73EC">
      <w:pPr>
        <w:spacing w:after="0" w:line="240" w:lineRule="auto"/>
      </w:pPr>
      <w:r>
        <w:separator/>
      </w:r>
    </w:p>
  </w:footnote>
  <w:footnote w:type="continuationSeparator" w:id="0">
    <w:p w14:paraId="5FDA0089" w14:textId="77777777" w:rsidR="0081383F" w:rsidRDefault="0081383F" w:rsidP="009E73EC">
      <w:pPr>
        <w:spacing w:after="0" w:line="240" w:lineRule="auto"/>
      </w:pPr>
      <w:r>
        <w:continuationSeparator/>
      </w:r>
    </w:p>
  </w:footnote>
  <w:footnote w:id="1">
    <w:p w14:paraId="0BA8E354" w14:textId="6925B3BA" w:rsidR="006611AB" w:rsidRPr="004000D4" w:rsidRDefault="009E73EC" w:rsidP="006611AB">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000D4">
        <w:rPr>
          <w:rFonts w:ascii="Arial" w:hAnsi="Arial" w:cs="Arial"/>
          <w:i/>
          <w:iCs/>
          <w:sz w:val="19"/>
          <w:szCs w:val="19"/>
        </w:rPr>
        <w:t xml:space="preserve">ibidem </w:t>
      </w:r>
      <w:r w:rsidRPr="004000D4">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4000D4">
        <w:rPr>
          <w:rFonts w:ascii="Arial" w:hAnsi="Arial" w:cs="Arial"/>
          <w:sz w:val="19"/>
          <w:szCs w:val="19"/>
        </w:rPr>
        <w:t>bsolver</w:t>
      </w:r>
      <w:proofErr w:type="spellEnd"/>
      <w:r w:rsidRPr="004000D4">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000D4">
        <w:rPr>
          <w:rFonts w:ascii="Arial" w:hAnsi="Arial" w:cs="Arial"/>
          <w:sz w:val="19"/>
          <w:szCs w:val="19"/>
        </w:rPr>
        <w:t>bsolver</w:t>
      </w:r>
      <w:proofErr w:type="spellEnd"/>
      <w:r w:rsidRPr="004000D4">
        <w:rPr>
          <w:rFonts w:ascii="Arial" w:hAnsi="Arial" w:cs="Arial"/>
          <w:sz w:val="19"/>
          <w:szCs w:val="19"/>
        </w:rPr>
        <w:t xml:space="preserve"> consultas sobre la aplicación de normas de carácter general».</w:t>
      </w:r>
    </w:p>
  </w:footnote>
  <w:footnote w:id="2">
    <w:p w14:paraId="7F2565F7" w14:textId="77777777" w:rsidR="009E73EC"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7B1F1F8" w14:textId="55F3953C" w:rsidR="004000D4" w:rsidRPr="004000D4" w:rsidRDefault="009E73EC" w:rsidP="004000D4">
      <w:pPr>
        <w:pStyle w:val="Textonotapie"/>
        <w:spacing w:after="0" w:line="240" w:lineRule="auto"/>
        <w:ind w:firstLine="709"/>
        <w:contextualSpacing/>
        <w:rPr>
          <w:rFonts w:ascii="Arial" w:hAnsi="Arial" w:cs="Arial"/>
          <w:sz w:val="19"/>
          <w:szCs w:val="19"/>
        </w:rPr>
      </w:pPr>
      <w:proofErr w:type="gramStart"/>
      <w:r w:rsidRPr="004000D4">
        <w:rPr>
          <w:rFonts w:ascii="Arial" w:hAnsi="Arial" w:cs="Arial"/>
          <w:sz w:val="19"/>
          <w:szCs w:val="19"/>
        </w:rPr>
        <w:t>»A</w:t>
      </w:r>
      <w:proofErr w:type="gramEnd"/>
      <w:r w:rsidRPr="004000D4">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F434B96" w14:textId="5420C701" w:rsidR="004000D4"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Gaceta del Congreso de la República No. 71 del 2005.</w:t>
      </w:r>
    </w:p>
  </w:footnote>
  <w:footnote w:id="4">
    <w:p w14:paraId="0CD7D221" w14:textId="666CD8D5" w:rsidR="005F0AAC" w:rsidRPr="004000D4" w:rsidRDefault="009E73EC" w:rsidP="006611AB">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Corte Constitucional, Sentencia C- 1153 de 2005, M.P. Marco Gerardo Monroy Cabra.</w:t>
      </w:r>
    </w:p>
  </w:footnote>
  <w:footnote w:id="5">
    <w:p w14:paraId="0499E155" w14:textId="77777777" w:rsidR="009E73EC"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1E663A78" w14:textId="4EA4EC51" w:rsidR="009E73EC" w:rsidRPr="004000D4" w:rsidRDefault="009E73EC" w:rsidP="004000D4">
      <w:pPr>
        <w:pStyle w:val="Textonotapie"/>
        <w:spacing w:after="0" w:line="240" w:lineRule="auto"/>
        <w:ind w:firstLine="709"/>
        <w:contextualSpacing/>
        <w:rPr>
          <w:rFonts w:ascii="Arial" w:hAnsi="Arial" w:cs="Arial"/>
          <w:sz w:val="19"/>
          <w:szCs w:val="19"/>
          <w:lang w:val="es-CO"/>
        </w:rPr>
      </w:pPr>
      <w:r w:rsidRPr="004000D4">
        <w:rPr>
          <w:rStyle w:val="Refdenotaalpie"/>
          <w:rFonts w:ascii="Arial" w:hAnsi="Arial" w:cs="Arial"/>
          <w:sz w:val="19"/>
          <w:szCs w:val="19"/>
        </w:rPr>
        <w:footnoteRef/>
      </w:r>
      <w:r w:rsidRPr="004000D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30AB869" w14:textId="78C763A7" w:rsidR="005F0AAC" w:rsidRPr="004000D4" w:rsidRDefault="009E73EC" w:rsidP="006611AB">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de fecha 24 de julio de 2013, radicado 2166, </w:t>
      </w:r>
      <w:proofErr w:type="gramStart"/>
      <w:r w:rsidRPr="004000D4">
        <w:rPr>
          <w:rFonts w:ascii="Arial" w:hAnsi="Arial" w:cs="Arial"/>
          <w:sz w:val="19"/>
          <w:szCs w:val="19"/>
        </w:rPr>
        <w:t>Consejero</w:t>
      </w:r>
      <w:proofErr w:type="gramEnd"/>
      <w:r w:rsidRPr="004000D4">
        <w:rPr>
          <w:rFonts w:ascii="Arial" w:hAnsi="Arial" w:cs="Arial"/>
          <w:sz w:val="19"/>
          <w:szCs w:val="19"/>
        </w:rPr>
        <w:t xml:space="preserve"> Ponente: Álvaro </w:t>
      </w:r>
      <w:proofErr w:type="spellStart"/>
      <w:r w:rsidRPr="004000D4">
        <w:rPr>
          <w:rFonts w:ascii="Arial" w:hAnsi="Arial" w:cs="Arial"/>
          <w:sz w:val="19"/>
          <w:szCs w:val="19"/>
        </w:rPr>
        <w:t>Namén</w:t>
      </w:r>
      <w:proofErr w:type="spellEnd"/>
      <w:r w:rsidRPr="004000D4">
        <w:rPr>
          <w:rFonts w:ascii="Arial" w:hAnsi="Arial" w:cs="Arial"/>
          <w:sz w:val="19"/>
          <w:szCs w:val="19"/>
        </w:rPr>
        <w:t xml:space="preserve"> Vargas.  </w:t>
      </w:r>
    </w:p>
  </w:footnote>
  <w:footnote w:id="8">
    <w:p w14:paraId="2391BB31" w14:textId="77777777" w:rsidR="009E73EC" w:rsidRPr="004000D4" w:rsidRDefault="009E73EC" w:rsidP="004000D4">
      <w:pPr>
        <w:spacing w:after="0" w:line="240" w:lineRule="auto"/>
        <w:ind w:firstLine="709"/>
        <w:contextualSpacing/>
        <w:jc w:val="both"/>
        <w:rPr>
          <w:rFonts w:ascii="Arial" w:eastAsia="Times New Roman"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w:t>
      </w:r>
      <w:bookmarkStart w:id="19" w:name="33"/>
      <w:r w:rsidRPr="004000D4">
        <w:rPr>
          <w:rFonts w:ascii="Arial" w:eastAsia="Calibri" w:hAnsi="Arial" w:cs="Arial"/>
          <w:bCs/>
          <w:color w:val="000000"/>
          <w:sz w:val="19"/>
          <w:szCs w:val="19"/>
        </w:rPr>
        <w:t>«</w:t>
      </w:r>
      <w:r w:rsidRPr="004000D4">
        <w:rPr>
          <w:rFonts w:ascii="Arial" w:eastAsia="Times New Roman" w:hAnsi="Arial" w:cs="Arial"/>
          <w:sz w:val="19"/>
          <w:szCs w:val="19"/>
        </w:rPr>
        <w:t>Artículo 33. Restricciones a la contratación pública.</w:t>
      </w:r>
      <w:bookmarkEnd w:id="19"/>
      <w:r w:rsidRPr="004000D4">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8C709DD" w14:textId="77777777" w:rsidR="009E73EC" w:rsidRPr="004000D4" w:rsidRDefault="009E73EC" w:rsidP="004000D4">
      <w:pPr>
        <w:spacing w:after="0" w:line="240" w:lineRule="auto"/>
        <w:ind w:firstLine="709"/>
        <w:contextualSpacing/>
        <w:jc w:val="both"/>
        <w:rPr>
          <w:rFonts w:ascii="Arial" w:eastAsia="Times New Roman" w:hAnsi="Arial" w:cs="Arial"/>
          <w:sz w:val="19"/>
          <w:szCs w:val="19"/>
        </w:rPr>
      </w:pPr>
      <w:r w:rsidRPr="004000D4">
        <w:rPr>
          <w:rFonts w:ascii="Arial" w:eastAsia="Calibri" w:hAnsi="Arial" w:cs="Arial"/>
          <w:bCs/>
          <w:color w:val="000000"/>
          <w:sz w:val="19"/>
          <w:szCs w:val="19"/>
        </w:rPr>
        <w:t>»</w:t>
      </w:r>
      <w:r w:rsidRPr="004000D4">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000D4">
        <w:rPr>
          <w:rFonts w:ascii="Arial" w:eastAsia="Calibri" w:hAnsi="Arial" w:cs="Arial"/>
          <w:bCs/>
          <w:color w:val="000000"/>
          <w:sz w:val="19"/>
          <w:szCs w:val="19"/>
        </w:rPr>
        <w:t>»</w:t>
      </w:r>
      <w:r w:rsidRPr="004000D4">
        <w:rPr>
          <w:rFonts w:ascii="Arial" w:eastAsia="Times New Roman" w:hAnsi="Arial" w:cs="Arial"/>
          <w:sz w:val="19"/>
          <w:szCs w:val="19"/>
        </w:rPr>
        <w:t>.</w:t>
      </w:r>
    </w:p>
  </w:footnote>
  <w:footnote w:id="9">
    <w:p w14:paraId="76D22C90" w14:textId="77777777" w:rsidR="009E73EC" w:rsidRPr="004000D4" w:rsidRDefault="009E73EC" w:rsidP="004000D4">
      <w:pPr>
        <w:pStyle w:val="NormalWeb"/>
        <w:spacing w:before="0" w:beforeAutospacing="0" w:after="0" w:afterAutospacing="0" w:line="240" w:lineRule="auto"/>
        <w:ind w:firstLine="709"/>
        <w:contextualSpacing/>
        <w:rPr>
          <w:rFonts w:ascii="Arial" w:hAnsi="Arial" w:cs="Arial"/>
          <w:sz w:val="19"/>
          <w:szCs w:val="19"/>
          <w:lang w:val="es-MX"/>
        </w:rPr>
      </w:pPr>
      <w:r w:rsidRPr="004000D4">
        <w:rPr>
          <w:rStyle w:val="Refdenotaalpie"/>
          <w:rFonts w:ascii="Arial" w:hAnsi="Arial" w:cs="Arial"/>
          <w:sz w:val="19"/>
          <w:szCs w:val="19"/>
        </w:rPr>
        <w:footnoteRef/>
      </w:r>
      <w:r w:rsidRPr="004000D4">
        <w:rPr>
          <w:rFonts w:ascii="Arial" w:hAnsi="Arial" w:cs="Arial"/>
          <w:sz w:val="19"/>
          <w:szCs w:val="19"/>
        </w:rPr>
        <w:t xml:space="preserve"> </w:t>
      </w:r>
      <w:bookmarkStart w:id="20" w:name="38"/>
      <w:r w:rsidRPr="004000D4">
        <w:rPr>
          <w:rFonts w:ascii="Arial" w:eastAsia="Calibri" w:hAnsi="Arial" w:cs="Arial"/>
          <w:bCs/>
          <w:color w:val="000000"/>
          <w:sz w:val="19"/>
          <w:szCs w:val="19"/>
        </w:rPr>
        <w:t>«</w:t>
      </w:r>
      <w:r w:rsidRPr="004000D4">
        <w:rPr>
          <w:rFonts w:ascii="Arial" w:hAnsi="Arial" w:cs="Arial"/>
          <w:sz w:val="19"/>
          <w:szCs w:val="19"/>
          <w:lang w:val="es-MX"/>
        </w:rPr>
        <w:t>Artículo 38. Prohibiciones para los servidores públicos. A los empleados del Estado les está prohibido:</w:t>
      </w:r>
      <w:bookmarkEnd w:id="20"/>
    </w:p>
    <w:p w14:paraId="780482E0" w14:textId="77777777" w:rsidR="009E73EC" w:rsidRPr="004000D4" w:rsidRDefault="009E73EC" w:rsidP="004000D4">
      <w:pPr>
        <w:pStyle w:val="NormalWeb"/>
        <w:spacing w:before="0" w:beforeAutospacing="0" w:after="0" w:afterAutospacing="0" w:line="240" w:lineRule="auto"/>
        <w:ind w:firstLine="709"/>
        <w:contextualSpacing/>
        <w:rPr>
          <w:rFonts w:ascii="Arial" w:hAnsi="Arial" w:cs="Arial"/>
          <w:sz w:val="19"/>
          <w:szCs w:val="19"/>
          <w:lang w:val="es-MX"/>
        </w:rPr>
      </w:pPr>
      <w:r w:rsidRPr="004000D4">
        <w:rPr>
          <w:rFonts w:ascii="Arial" w:eastAsia="Calibri" w:hAnsi="Arial" w:cs="Arial"/>
          <w:bCs/>
          <w:color w:val="000000"/>
          <w:sz w:val="19"/>
          <w:szCs w:val="19"/>
        </w:rPr>
        <w:t>»</w:t>
      </w:r>
      <w:r w:rsidRPr="004000D4">
        <w:rPr>
          <w:rFonts w:ascii="Arial" w:hAnsi="Arial" w:cs="Arial"/>
          <w:sz w:val="19"/>
          <w:szCs w:val="19"/>
          <w:lang w:val="es-MX"/>
        </w:rPr>
        <w:t xml:space="preserve"> […]</w:t>
      </w:r>
    </w:p>
    <w:p w14:paraId="7EDAD653" w14:textId="1446FCAD" w:rsidR="006611AB" w:rsidRPr="004000D4" w:rsidRDefault="009E73EC" w:rsidP="006611AB">
      <w:pPr>
        <w:pStyle w:val="NormalWeb"/>
        <w:spacing w:before="0" w:beforeAutospacing="0" w:after="0" w:afterAutospacing="0" w:line="240" w:lineRule="auto"/>
        <w:ind w:firstLine="709"/>
        <w:contextualSpacing/>
        <w:rPr>
          <w:rFonts w:ascii="Arial" w:hAnsi="Arial" w:cs="Arial"/>
          <w:sz w:val="19"/>
          <w:szCs w:val="19"/>
          <w:lang w:val="es-MX"/>
        </w:rPr>
      </w:pPr>
      <w:r w:rsidRPr="004000D4">
        <w:rPr>
          <w:rFonts w:ascii="Arial" w:eastAsia="Calibri" w:hAnsi="Arial" w:cs="Arial"/>
          <w:bCs/>
          <w:color w:val="000000"/>
          <w:sz w:val="19"/>
          <w:szCs w:val="19"/>
        </w:rPr>
        <w:t>»</w:t>
      </w:r>
      <w:r w:rsidRPr="004000D4">
        <w:rPr>
          <w:rStyle w:val="baj"/>
          <w:rFonts w:ascii="Arial" w:hAnsi="Arial" w:cs="Arial"/>
          <w:sz w:val="19"/>
          <w:szCs w:val="19"/>
          <w:lang w:val="es-MX"/>
        </w:rPr>
        <w:t xml:space="preserve"> Parágrafo.</w:t>
      </w:r>
      <w:r w:rsidRPr="004000D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000D4">
        <w:rPr>
          <w:rFonts w:ascii="Arial" w:eastAsia="Calibri" w:hAnsi="Arial" w:cs="Arial"/>
          <w:bCs/>
          <w:color w:val="000000"/>
          <w:sz w:val="19"/>
          <w:szCs w:val="19"/>
        </w:rPr>
        <w:t>»</w:t>
      </w:r>
      <w:r w:rsidRPr="004000D4">
        <w:rPr>
          <w:rFonts w:ascii="Arial" w:hAnsi="Arial" w:cs="Arial"/>
          <w:sz w:val="19"/>
          <w:szCs w:val="19"/>
          <w:lang w:val="es-MX"/>
        </w:rPr>
        <w:t>.</w:t>
      </w:r>
    </w:p>
  </w:footnote>
  <w:footnote w:id="10">
    <w:p w14:paraId="708B105B" w14:textId="77777777" w:rsidR="009E73EC" w:rsidRPr="004000D4" w:rsidRDefault="009E73EC" w:rsidP="004000D4">
      <w:pPr>
        <w:spacing w:after="0" w:line="240" w:lineRule="auto"/>
        <w:ind w:left="100" w:right="244" w:firstLine="709"/>
        <w:contextualSpacing/>
        <w:jc w:val="both"/>
        <w:rPr>
          <w:rFonts w:ascii="Arial" w:hAnsi="Arial" w:cs="Arial"/>
          <w:sz w:val="19"/>
          <w:szCs w:val="19"/>
          <w:lang w:val="es-ES"/>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69BA4C0F" w14:textId="025827D5" w:rsidR="00CE1F82" w:rsidRPr="004000D4" w:rsidRDefault="009E73EC" w:rsidP="006611AB">
      <w:pPr>
        <w:pStyle w:val="Textonotapie"/>
        <w:spacing w:after="0" w:line="240" w:lineRule="auto"/>
        <w:ind w:right="51"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w:t>
      </w:r>
      <w:bookmarkStart w:id="26" w:name="_Hlk74272731"/>
      <w:r w:rsidRPr="004000D4">
        <w:rPr>
          <w:rFonts w:ascii="Arial" w:hAnsi="Arial" w:cs="Arial"/>
          <w:sz w:val="19"/>
          <w:szCs w:val="19"/>
        </w:rPr>
        <w:t>«</w:t>
      </w:r>
      <w:bookmarkEnd w:id="26"/>
      <w:r w:rsidRPr="004000D4">
        <w:rPr>
          <w:rFonts w:ascii="Arial" w:hAnsi="Arial" w:cs="Arial"/>
          <w:sz w:val="19"/>
          <w:szCs w:val="19"/>
          <w:lang w:val="es-ES"/>
        </w:rPr>
        <w:t xml:space="preserve">[25] </w:t>
      </w:r>
      <w:r w:rsidRPr="004000D4">
        <w:rPr>
          <w:rFonts w:ascii="Arial" w:hAnsi="Arial" w:cs="Arial"/>
          <w:sz w:val="19"/>
          <w:szCs w:val="19"/>
        </w:rPr>
        <w:t>Cfr. Consejo de Estado. Sección Tercera. Sentencia de 3 de diciembre de 2007. Radicados: 24.715, 25.206, 25.409, 24.524, 27.834, 25.410, 26.105, 28.244, 31.447 -acumulados-</w:t>
      </w:r>
      <w:bookmarkStart w:id="27" w:name="_Hlk74271358"/>
      <w:r w:rsidRPr="004000D4">
        <w:rPr>
          <w:rFonts w:ascii="Arial" w:hAnsi="Arial" w:cs="Arial"/>
          <w:sz w:val="19"/>
          <w:szCs w:val="19"/>
        </w:rPr>
        <w:t>»</w:t>
      </w:r>
      <w:bookmarkEnd w:id="27"/>
      <w:r w:rsidRPr="004000D4">
        <w:rPr>
          <w:rFonts w:ascii="Arial" w:hAnsi="Arial" w:cs="Arial"/>
          <w:sz w:val="19"/>
          <w:szCs w:val="19"/>
        </w:rPr>
        <w:t>.</w:t>
      </w:r>
    </w:p>
  </w:footnote>
  <w:footnote w:id="12">
    <w:p w14:paraId="5FED0366" w14:textId="77777777" w:rsidR="009E73EC" w:rsidRPr="004000D4" w:rsidRDefault="009E73EC" w:rsidP="004000D4">
      <w:pPr>
        <w:pStyle w:val="Textonotapie"/>
        <w:spacing w:after="0" w:line="240" w:lineRule="auto"/>
        <w:ind w:right="51"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w:t>
      </w:r>
      <w:bookmarkStart w:id="29" w:name="_Hlk74294506"/>
      <w:r w:rsidRPr="004000D4">
        <w:rPr>
          <w:rFonts w:ascii="Arial" w:hAnsi="Arial" w:cs="Arial"/>
          <w:sz w:val="19"/>
          <w:szCs w:val="19"/>
        </w:rPr>
        <w:t>«</w:t>
      </w:r>
      <w:r w:rsidRPr="004000D4">
        <w:rPr>
          <w:rFonts w:ascii="Arial" w:hAnsi="Arial" w:cs="Arial"/>
          <w:sz w:val="19"/>
          <w:szCs w:val="19"/>
          <w:lang w:val="es-ES"/>
        </w:rPr>
        <w:t xml:space="preserve">[26] </w:t>
      </w:r>
      <w:bookmarkEnd w:id="29"/>
      <w:r w:rsidRPr="004000D4">
        <w:rPr>
          <w:rFonts w:ascii="Arial" w:hAnsi="Arial" w:cs="Arial"/>
          <w:sz w:val="19"/>
          <w:szCs w:val="19"/>
        </w:rPr>
        <w:t>Al respecto ver el concepto 1712 de 2 de febrero de 2006. Consejo de Estado Sala de Consulta y Servicio Civil».</w:t>
      </w:r>
    </w:p>
  </w:footnote>
  <w:footnote w:id="13">
    <w:p w14:paraId="22A845CF" w14:textId="2E21587B" w:rsidR="009E73EC"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4000D4">
        <w:rPr>
          <w:rFonts w:ascii="Arial" w:hAnsi="Arial" w:cs="Arial"/>
          <w:sz w:val="19"/>
          <w:szCs w:val="19"/>
        </w:rPr>
        <w:t>Namén</w:t>
      </w:r>
      <w:proofErr w:type="spellEnd"/>
      <w:r w:rsidRPr="004000D4">
        <w:rPr>
          <w:rFonts w:ascii="Arial" w:hAnsi="Arial" w:cs="Arial"/>
          <w:sz w:val="19"/>
          <w:szCs w:val="19"/>
        </w:rPr>
        <w:t xml:space="preserve"> Vargas.</w:t>
      </w:r>
    </w:p>
  </w:footnote>
  <w:footnote w:id="14">
    <w:p w14:paraId="2C8AE34D" w14:textId="144954E9" w:rsidR="009E73EC" w:rsidRPr="004000D4" w:rsidRDefault="009E73EC" w:rsidP="004000D4">
      <w:pPr>
        <w:pStyle w:val="Textonotapie"/>
        <w:spacing w:after="0" w:line="240" w:lineRule="auto"/>
        <w:ind w:firstLine="709"/>
        <w:contextualSpacing/>
        <w:rPr>
          <w:rFonts w:ascii="Arial" w:hAnsi="Arial" w:cs="Arial"/>
          <w:sz w:val="19"/>
          <w:szCs w:val="19"/>
          <w:lang w:val="es-ES"/>
        </w:rPr>
      </w:pPr>
      <w:r w:rsidRPr="004000D4">
        <w:rPr>
          <w:rStyle w:val="Refdenotaalpie"/>
          <w:rFonts w:ascii="Arial" w:hAnsi="Arial" w:cs="Arial"/>
          <w:sz w:val="19"/>
          <w:szCs w:val="19"/>
        </w:rPr>
        <w:footnoteRef/>
      </w:r>
      <w:r w:rsidRPr="004000D4">
        <w:rPr>
          <w:rFonts w:ascii="Arial" w:hAnsi="Arial" w:cs="Arial"/>
          <w:sz w:val="19"/>
          <w:szCs w:val="19"/>
        </w:rPr>
        <w:t xml:space="preserve"> </w:t>
      </w:r>
      <w:r w:rsidRPr="004000D4">
        <w:rPr>
          <w:rFonts w:ascii="Arial" w:hAnsi="Arial" w:cs="Arial"/>
          <w:sz w:val="19"/>
          <w:szCs w:val="19"/>
          <w:lang w:val="es-ES"/>
        </w:rPr>
        <w:t xml:space="preserve">Artículo 2. </w:t>
      </w:r>
    </w:p>
  </w:footnote>
  <w:footnote w:id="15">
    <w:p w14:paraId="673ED74A" w14:textId="4D346539" w:rsidR="009E73EC" w:rsidRPr="004000D4" w:rsidRDefault="009E73EC" w:rsidP="004000D4">
      <w:pPr>
        <w:pStyle w:val="Textonotapie"/>
        <w:spacing w:after="0" w:line="240" w:lineRule="auto"/>
        <w:ind w:firstLine="709"/>
        <w:contextualSpacing/>
        <w:rPr>
          <w:rFonts w:ascii="Arial" w:hAnsi="Arial" w:cs="Arial"/>
          <w:sz w:val="19"/>
          <w:szCs w:val="19"/>
          <w:lang w:val="es-ES"/>
        </w:rPr>
      </w:pPr>
      <w:r w:rsidRPr="004000D4">
        <w:rPr>
          <w:rStyle w:val="Refdenotaalpie"/>
          <w:rFonts w:ascii="Arial" w:hAnsi="Arial" w:cs="Arial"/>
          <w:sz w:val="19"/>
          <w:szCs w:val="19"/>
        </w:rPr>
        <w:footnoteRef/>
      </w:r>
      <w:r w:rsidRPr="004000D4">
        <w:rPr>
          <w:rFonts w:ascii="Arial" w:hAnsi="Arial" w:cs="Arial"/>
          <w:sz w:val="19"/>
          <w:szCs w:val="19"/>
        </w:rPr>
        <w:t xml:space="preserve"> </w:t>
      </w:r>
      <w:r w:rsidRPr="004000D4">
        <w:rPr>
          <w:rFonts w:ascii="Arial" w:hAnsi="Arial" w:cs="Arial"/>
          <w:i/>
          <w:sz w:val="19"/>
          <w:szCs w:val="19"/>
          <w:lang w:val="es-ES"/>
        </w:rPr>
        <w:t>Ídem</w:t>
      </w:r>
      <w:r w:rsidRPr="004000D4">
        <w:rPr>
          <w:rFonts w:ascii="Arial" w:hAnsi="Arial" w:cs="Arial"/>
          <w:sz w:val="19"/>
          <w:szCs w:val="19"/>
          <w:lang w:val="es-ES"/>
        </w:rPr>
        <w:t>.</w:t>
      </w:r>
    </w:p>
  </w:footnote>
  <w:footnote w:id="16">
    <w:p w14:paraId="5CA07E6A" w14:textId="0AFCC596" w:rsidR="003C2300" w:rsidRPr="004000D4" w:rsidRDefault="009E73EC" w:rsidP="006611AB">
      <w:pPr>
        <w:pStyle w:val="Textonotapie"/>
        <w:spacing w:after="0" w:line="240" w:lineRule="auto"/>
        <w:ind w:firstLine="709"/>
        <w:contextualSpacing/>
        <w:rPr>
          <w:rFonts w:ascii="Arial" w:hAnsi="Arial" w:cs="Arial"/>
          <w:sz w:val="19"/>
          <w:szCs w:val="19"/>
          <w:lang w:val="es-ES"/>
        </w:rPr>
      </w:pPr>
      <w:r w:rsidRPr="004000D4">
        <w:rPr>
          <w:rStyle w:val="Refdenotaalpie"/>
          <w:rFonts w:ascii="Arial" w:hAnsi="Arial" w:cs="Arial"/>
          <w:sz w:val="19"/>
          <w:szCs w:val="19"/>
        </w:rPr>
        <w:footnoteRef/>
      </w:r>
      <w:r w:rsidRPr="004000D4">
        <w:rPr>
          <w:rStyle w:val="Refdenotaalpie"/>
          <w:rFonts w:ascii="Arial" w:hAnsi="Arial" w:cs="Arial"/>
          <w:sz w:val="19"/>
          <w:szCs w:val="19"/>
        </w:rPr>
        <w:t xml:space="preserve"> </w:t>
      </w:r>
      <w:bookmarkStart w:id="34" w:name="_Hlk74297130"/>
      <w:r w:rsidRPr="004000D4">
        <w:rPr>
          <w:rFonts w:ascii="Arial" w:hAnsi="Arial" w:cs="Arial"/>
          <w:sz w:val="19"/>
          <w:szCs w:val="19"/>
          <w:lang w:val="es-ES"/>
        </w:rPr>
        <w:t>«</w:t>
      </w:r>
      <w:bookmarkEnd w:id="34"/>
      <w:r w:rsidRPr="004000D4">
        <w:rPr>
          <w:rFonts w:ascii="Arial" w:hAnsi="Arial" w:cs="Arial"/>
          <w:sz w:val="19"/>
          <w:szCs w:val="19"/>
          <w:lang w:val="es-ES"/>
        </w:rPr>
        <w:t xml:space="preserve">[…] A este respecto, cabe recordar que el artículo 860 del Código de Comercio regula la licitación en el derecho privado». </w:t>
      </w:r>
    </w:p>
  </w:footnote>
  <w:footnote w:id="17">
    <w:p w14:paraId="5FFC7953" w14:textId="77777777" w:rsidR="009E73EC" w:rsidRPr="004000D4" w:rsidRDefault="009E73EC" w:rsidP="004000D4">
      <w:pPr>
        <w:shd w:val="clear" w:color="auto" w:fill="FFFFFF"/>
        <w:spacing w:after="0" w:line="240" w:lineRule="auto"/>
        <w:ind w:firstLine="709"/>
        <w:contextualSpacing/>
        <w:jc w:val="both"/>
        <w:rPr>
          <w:rFonts w:ascii="Arial" w:hAnsi="Arial" w:cs="Arial"/>
          <w:sz w:val="19"/>
          <w:szCs w:val="19"/>
          <w:lang w:val="es-ES"/>
        </w:rPr>
      </w:pPr>
      <w:r w:rsidRPr="004000D4">
        <w:rPr>
          <w:rStyle w:val="Refdenotaalpie"/>
          <w:rFonts w:ascii="Arial" w:hAnsi="Arial" w:cs="Arial"/>
          <w:sz w:val="19"/>
          <w:szCs w:val="19"/>
        </w:rPr>
        <w:footnoteRef/>
      </w:r>
      <w:r w:rsidRPr="004000D4">
        <w:rPr>
          <w:rStyle w:val="Refdenotaalpie"/>
          <w:rFonts w:ascii="Arial" w:hAnsi="Arial" w:cs="Arial"/>
          <w:sz w:val="19"/>
          <w:szCs w:val="19"/>
        </w:rPr>
        <w:t xml:space="preserve"> </w:t>
      </w:r>
      <w:r w:rsidRPr="004000D4">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000D4">
        <w:rPr>
          <w:rFonts w:ascii="Arial" w:hAnsi="Arial" w:cs="Arial"/>
          <w:sz w:val="19"/>
          <w:szCs w:val="19"/>
          <w:lang w:val="es-ES"/>
        </w:rPr>
        <w:t>Namén</w:t>
      </w:r>
      <w:proofErr w:type="spellEnd"/>
      <w:r w:rsidRPr="004000D4">
        <w:rPr>
          <w:rFonts w:ascii="Arial" w:hAnsi="Arial" w:cs="Arial"/>
          <w:sz w:val="19"/>
          <w:szCs w:val="19"/>
          <w:lang w:val="es-ES"/>
        </w:rPr>
        <w:t xml:space="preserve"> Vargas.</w:t>
      </w:r>
    </w:p>
  </w:footnote>
  <w:footnote w:id="18">
    <w:p w14:paraId="73C74848" w14:textId="27E286EE" w:rsidR="009E73EC"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del 08 de mayo de 2018. </w:t>
      </w:r>
      <w:proofErr w:type="spellStart"/>
      <w:r w:rsidRPr="004000D4">
        <w:rPr>
          <w:rFonts w:ascii="Arial" w:hAnsi="Arial" w:cs="Arial"/>
          <w:sz w:val="19"/>
          <w:szCs w:val="19"/>
        </w:rPr>
        <w:t>Exp</w:t>
      </w:r>
      <w:proofErr w:type="spellEnd"/>
      <w:r w:rsidRPr="004000D4">
        <w:rPr>
          <w:rFonts w:ascii="Arial" w:hAnsi="Arial" w:cs="Arial"/>
          <w:sz w:val="19"/>
          <w:szCs w:val="19"/>
        </w:rPr>
        <w:t xml:space="preserve">. 2.382. C.P. Álvaro </w:t>
      </w:r>
      <w:proofErr w:type="spellStart"/>
      <w:r w:rsidRPr="004000D4">
        <w:rPr>
          <w:rFonts w:ascii="Arial" w:hAnsi="Arial" w:cs="Arial"/>
          <w:sz w:val="19"/>
          <w:szCs w:val="19"/>
        </w:rPr>
        <w:t>Namén</w:t>
      </w:r>
      <w:proofErr w:type="spellEnd"/>
      <w:r w:rsidRPr="004000D4">
        <w:rPr>
          <w:rFonts w:ascii="Arial" w:hAnsi="Arial" w:cs="Arial"/>
          <w:sz w:val="19"/>
          <w:szCs w:val="19"/>
        </w:rPr>
        <w:t xml:space="preserve"> Vargas.</w:t>
      </w:r>
    </w:p>
  </w:footnote>
  <w:footnote w:id="19">
    <w:p w14:paraId="3F2CD7E9" w14:textId="77777777" w:rsidR="009E73EC" w:rsidRPr="004000D4" w:rsidRDefault="009E73EC"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000D4">
        <w:rPr>
          <w:rFonts w:ascii="Arial" w:hAnsi="Arial" w:cs="Arial"/>
          <w:sz w:val="19"/>
          <w:szCs w:val="19"/>
        </w:rPr>
        <w:t>N°</w:t>
      </w:r>
      <w:proofErr w:type="spellEnd"/>
      <w:r w:rsidRPr="004000D4">
        <w:rPr>
          <w:rFonts w:ascii="Arial" w:hAnsi="Arial" w:cs="Arial"/>
          <w:sz w:val="19"/>
          <w:szCs w:val="19"/>
        </w:rPr>
        <w:t xml:space="preserve"> 216/05 Senado, </w:t>
      </w:r>
      <w:proofErr w:type="spellStart"/>
      <w:r w:rsidRPr="004000D4">
        <w:rPr>
          <w:rFonts w:ascii="Arial" w:hAnsi="Arial" w:cs="Arial"/>
          <w:sz w:val="19"/>
          <w:szCs w:val="19"/>
        </w:rPr>
        <w:t>N°</w:t>
      </w:r>
      <w:proofErr w:type="spellEnd"/>
      <w:r w:rsidRPr="004000D4">
        <w:rPr>
          <w:rFonts w:ascii="Arial" w:hAnsi="Arial" w:cs="Arial"/>
          <w:sz w:val="19"/>
          <w:szCs w:val="19"/>
        </w:rPr>
        <w:t xml:space="preserve"> 235-Cámara que dio lugar a la Ley de Garantías Electorales.</w:t>
      </w:r>
    </w:p>
  </w:footnote>
  <w:footnote w:id="20">
    <w:p w14:paraId="3663D2E6" w14:textId="77777777" w:rsidR="009E73EC" w:rsidRPr="004000D4" w:rsidRDefault="009E73EC" w:rsidP="004000D4">
      <w:pPr>
        <w:spacing w:after="0" w:line="240" w:lineRule="auto"/>
        <w:ind w:firstLine="709"/>
        <w:contextualSpacing/>
        <w:jc w:val="both"/>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2E9E7F72" w14:textId="77777777" w:rsidR="009E73EC" w:rsidRPr="004000D4" w:rsidRDefault="009E73EC" w:rsidP="004000D4">
      <w:pPr>
        <w:pStyle w:val="Textonotapie"/>
        <w:spacing w:after="0" w:line="240" w:lineRule="auto"/>
        <w:ind w:right="51"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w:t>
      </w:r>
      <w:bookmarkStart w:id="52" w:name="_Hlk75633115"/>
      <w:r w:rsidRPr="004000D4">
        <w:rPr>
          <w:rFonts w:ascii="Arial" w:hAnsi="Arial" w:cs="Arial"/>
          <w:sz w:val="19"/>
          <w:szCs w:val="19"/>
        </w:rPr>
        <w:t xml:space="preserve">Consejo de Estado. Sala de Consulta y Servicio Civil. Concepto </w:t>
      </w:r>
      <w:bookmarkEnd w:id="52"/>
      <w:r w:rsidRPr="004000D4">
        <w:rPr>
          <w:rFonts w:ascii="Arial" w:hAnsi="Arial" w:cs="Arial"/>
          <w:sz w:val="19"/>
          <w:szCs w:val="19"/>
        </w:rPr>
        <w:t>de 6 de abril de 2006. Radicación Número: 11001-03-06-000-2006-00038-00(1738). Consejero Ponente: Enrique José Arboleda Perdomo:</w:t>
      </w:r>
      <w:r w:rsidRPr="004000D4">
        <w:rPr>
          <w:rFonts w:ascii="Arial" w:eastAsia="Times New Roman" w:hAnsi="Arial" w:cs="Arial"/>
          <w:bCs/>
          <w:sz w:val="19"/>
          <w:szCs w:val="19"/>
          <w:lang w:eastAsia="x-none"/>
        </w:rPr>
        <w:t xml:space="preserve"> «</w:t>
      </w:r>
      <w:r w:rsidRPr="004000D4">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000D4">
        <w:rPr>
          <w:rFonts w:ascii="Arial" w:eastAsia="Times New Roman" w:hAnsi="Arial" w:cs="Arial"/>
          <w:bCs/>
          <w:sz w:val="19"/>
          <w:szCs w:val="19"/>
          <w:lang w:eastAsia="x-none"/>
        </w:rPr>
        <w:t>».</w:t>
      </w:r>
    </w:p>
  </w:footnote>
  <w:footnote w:id="22">
    <w:p w14:paraId="06D47CB5" w14:textId="1E34CF9B" w:rsidR="00401E96" w:rsidRPr="004000D4" w:rsidRDefault="009E73EC" w:rsidP="006611AB">
      <w:pPr>
        <w:pStyle w:val="Textonotapie"/>
        <w:spacing w:after="0" w:line="240" w:lineRule="auto"/>
        <w:ind w:right="51"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3">
    <w:p w14:paraId="45D8D6F5" w14:textId="77777777" w:rsidR="009E73EC" w:rsidRPr="004000D4" w:rsidRDefault="009E73EC" w:rsidP="004000D4">
      <w:pPr>
        <w:pStyle w:val="Textonotapie"/>
        <w:spacing w:after="0" w:line="240" w:lineRule="auto"/>
        <w:ind w:right="51"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ídem.</w:t>
      </w:r>
    </w:p>
  </w:footnote>
  <w:footnote w:id="24">
    <w:p w14:paraId="3E31CB64" w14:textId="6B0D3C0C" w:rsidR="00401E96" w:rsidRPr="004000D4" w:rsidRDefault="009E73EC" w:rsidP="006611AB">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5">
    <w:p w14:paraId="6F1D0284" w14:textId="77777777" w:rsidR="009E73EC" w:rsidRPr="004000D4" w:rsidRDefault="009E73EC" w:rsidP="004000D4">
      <w:pPr>
        <w:spacing w:after="0" w:line="240" w:lineRule="auto"/>
        <w:ind w:firstLine="709"/>
        <w:contextualSpacing/>
        <w:jc w:val="both"/>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4000D4">
        <w:rPr>
          <w:rFonts w:ascii="Arial" w:hAnsi="Arial" w:cs="Arial"/>
          <w:sz w:val="19"/>
          <w:szCs w:val="19"/>
        </w:rPr>
        <w:t>y</w:t>
      </w:r>
      <w:proofErr w:type="gramEnd"/>
      <w:r w:rsidRPr="004000D4">
        <w:rPr>
          <w:rFonts w:ascii="Arial" w:hAnsi="Arial" w:cs="Arial"/>
          <w:sz w:val="19"/>
          <w:szCs w:val="19"/>
        </w:rPr>
        <w:t xml:space="preserve"> en consecuencia, le es aplicable lo establecido en el artículo 2.2.1.2.1.4.1 del presente decreto.</w:t>
      </w:r>
    </w:p>
    <w:p w14:paraId="46F68168" w14:textId="77777777" w:rsidR="009E73EC" w:rsidRPr="004000D4" w:rsidRDefault="009E73EC" w:rsidP="004000D4">
      <w:pPr>
        <w:spacing w:after="0" w:line="240" w:lineRule="auto"/>
        <w:ind w:firstLine="709"/>
        <w:contextualSpacing/>
        <w:jc w:val="both"/>
        <w:rPr>
          <w:rFonts w:ascii="Arial" w:hAnsi="Arial" w:cs="Arial"/>
          <w:sz w:val="19"/>
          <w:szCs w:val="19"/>
        </w:rPr>
      </w:pPr>
      <w:proofErr w:type="gramStart"/>
      <w:r w:rsidRPr="004000D4">
        <w:rPr>
          <w:rFonts w:ascii="Arial" w:hAnsi="Arial" w:cs="Arial"/>
          <w:sz w:val="19"/>
          <w:szCs w:val="19"/>
        </w:rPr>
        <w:t>»Cuando</w:t>
      </w:r>
      <w:proofErr w:type="gramEnd"/>
      <w:r w:rsidRPr="004000D4">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000D4">
        <w:rPr>
          <w:rFonts w:ascii="Arial" w:hAnsi="Arial" w:cs="Arial"/>
          <w:spacing w:val="-1"/>
          <w:sz w:val="19"/>
          <w:szCs w:val="19"/>
        </w:rPr>
        <w:t xml:space="preserve"> </w:t>
      </w:r>
      <w:r w:rsidRPr="004000D4">
        <w:rPr>
          <w:rFonts w:ascii="Arial" w:hAnsi="Arial" w:cs="Arial"/>
          <w:sz w:val="19"/>
          <w:szCs w:val="19"/>
        </w:rPr>
        <w:t>Estatales».</w:t>
      </w:r>
    </w:p>
  </w:footnote>
  <w:footnote w:id="26">
    <w:p w14:paraId="79CF4B91" w14:textId="77777777" w:rsidR="009E73EC" w:rsidRPr="004000D4" w:rsidRDefault="009E73EC" w:rsidP="004000D4">
      <w:pPr>
        <w:spacing w:after="0" w:line="240" w:lineRule="auto"/>
        <w:ind w:firstLine="709"/>
        <w:contextualSpacing/>
        <w:jc w:val="both"/>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000D4">
        <w:rPr>
          <w:rFonts w:ascii="Arial" w:hAnsi="Arial" w:cs="Arial"/>
          <w:spacing w:val="-6"/>
          <w:sz w:val="19"/>
          <w:szCs w:val="19"/>
        </w:rPr>
        <w:t xml:space="preserve"> </w:t>
      </w:r>
      <w:r w:rsidRPr="004000D4">
        <w:rPr>
          <w:rFonts w:ascii="Arial" w:hAnsi="Arial" w:cs="Arial"/>
          <w:sz w:val="19"/>
          <w:szCs w:val="19"/>
        </w:rPr>
        <w:t>artículo».</w:t>
      </w:r>
    </w:p>
  </w:footnote>
  <w:footnote w:id="27">
    <w:p w14:paraId="2093033F" w14:textId="77777777" w:rsidR="009E73EC" w:rsidRPr="004000D4" w:rsidRDefault="009E73EC" w:rsidP="004000D4">
      <w:pPr>
        <w:spacing w:after="0" w:line="240" w:lineRule="auto"/>
        <w:ind w:firstLine="709"/>
        <w:contextualSpacing/>
        <w:jc w:val="both"/>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position w:val="7"/>
          <w:sz w:val="19"/>
          <w:szCs w:val="19"/>
        </w:rPr>
        <w:t xml:space="preserve"> </w:t>
      </w:r>
      <w:r w:rsidRPr="004000D4">
        <w:rPr>
          <w:rFonts w:ascii="Arial" w:hAnsi="Arial" w:cs="Arial"/>
          <w:sz w:val="19"/>
          <w:szCs w:val="19"/>
        </w:rPr>
        <w:t>Consejo de Estado. Sección Tercera. Sentencia del 23 de junio de 2010. Radicación No. 66001-23-31-000-1998-00261-01(17.860). Consejero Ponente: Mauricio Fajardo Gómez.</w:t>
      </w:r>
    </w:p>
  </w:footnote>
  <w:footnote w:id="28">
    <w:p w14:paraId="42F04E3F" w14:textId="77777777" w:rsidR="009E73EC" w:rsidRPr="004000D4" w:rsidRDefault="009E73EC" w:rsidP="004000D4">
      <w:pPr>
        <w:spacing w:after="0" w:line="240" w:lineRule="auto"/>
        <w:ind w:firstLine="709"/>
        <w:contextualSpacing/>
        <w:jc w:val="both"/>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Sección Tercera. Subsección C. Sentencia del 11 de diciembre de 2019. </w:t>
      </w:r>
      <w:proofErr w:type="spellStart"/>
      <w:r w:rsidRPr="004000D4">
        <w:rPr>
          <w:rFonts w:ascii="Arial" w:hAnsi="Arial" w:cs="Arial"/>
          <w:sz w:val="19"/>
          <w:szCs w:val="19"/>
        </w:rPr>
        <w:t>Exp</w:t>
      </w:r>
      <w:proofErr w:type="spellEnd"/>
      <w:r w:rsidRPr="004000D4">
        <w:rPr>
          <w:rFonts w:ascii="Arial" w:hAnsi="Arial" w:cs="Arial"/>
          <w:sz w:val="19"/>
          <w:szCs w:val="19"/>
        </w:rPr>
        <w:t>. 46.986. C.P. Jaime Enrique Rodríguez Navas.</w:t>
      </w:r>
    </w:p>
  </w:footnote>
  <w:footnote w:id="29">
    <w:p w14:paraId="17F68FDF"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[Referencia propia de la cita] «CE. SCSC. Concepto de 1 de noviembre de 2016 [Rad. 11001-03-06-000-2016-00125-00(2305)]. MP. Germán Alberto Bula Escobar».</w:t>
      </w:r>
    </w:p>
  </w:footnote>
  <w:footnote w:id="30">
    <w:p w14:paraId="68FA0E57"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000D4">
        <w:rPr>
          <w:rFonts w:ascii="Arial" w:hAnsi="Arial" w:cs="Arial"/>
          <w:i/>
          <w:sz w:val="19"/>
          <w:szCs w:val="19"/>
        </w:rPr>
        <w:t>“obligacional”</w:t>
      </w:r>
      <w:r w:rsidRPr="004000D4">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5C04FF83"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[Referencia propia de la cita] «La normativa vigente del EGCAP </w:t>
      </w:r>
      <w:r w:rsidRPr="004000D4">
        <w:rPr>
          <w:rFonts w:ascii="Arial" w:hAnsi="Arial" w:cs="Arial"/>
          <w:i/>
          <w:sz w:val="19"/>
          <w:szCs w:val="19"/>
        </w:rPr>
        <w:t>[literal c) del numeral 4. del artículo 2 de la Ley 1150/07]</w:t>
      </w:r>
      <w:r w:rsidRPr="004000D4">
        <w:rPr>
          <w:rFonts w:ascii="Arial" w:hAnsi="Arial" w:cs="Arial"/>
          <w:sz w:val="19"/>
          <w:szCs w:val="19"/>
        </w:rPr>
        <w:t xml:space="preserve"> se refiere a </w:t>
      </w:r>
      <w:r w:rsidRPr="004000D4">
        <w:rPr>
          <w:rFonts w:ascii="Arial" w:hAnsi="Arial" w:cs="Arial"/>
          <w:i/>
          <w:sz w:val="19"/>
          <w:szCs w:val="19"/>
        </w:rPr>
        <w:t>“contratos interadministrativos”</w:t>
      </w:r>
      <w:r w:rsidRPr="004000D4">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46CB319C"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000D4">
        <w:rPr>
          <w:rFonts w:ascii="Arial" w:hAnsi="Arial" w:cs="Arial"/>
          <w:sz w:val="19"/>
          <w:szCs w:val="19"/>
        </w:rPr>
        <w:t>Exp</w:t>
      </w:r>
      <w:proofErr w:type="spellEnd"/>
      <w:r w:rsidRPr="004000D4">
        <w:rPr>
          <w:rFonts w:ascii="Arial" w:hAnsi="Arial" w:cs="Arial"/>
          <w:sz w:val="19"/>
          <w:szCs w:val="19"/>
        </w:rPr>
        <w:t xml:space="preserve">. 2.257. M.P. Álvaro </w:t>
      </w:r>
      <w:proofErr w:type="spellStart"/>
      <w:r w:rsidRPr="004000D4">
        <w:rPr>
          <w:rFonts w:ascii="Arial" w:hAnsi="Arial" w:cs="Arial"/>
          <w:sz w:val="19"/>
          <w:szCs w:val="19"/>
        </w:rPr>
        <w:t>Namén</w:t>
      </w:r>
      <w:proofErr w:type="spellEnd"/>
      <w:r w:rsidRPr="004000D4">
        <w:rPr>
          <w:rFonts w:ascii="Arial" w:hAnsi="Arial" w:cs="Arial"/>
          <w:sz w:val="19"/>
          <w:szCs w:val="19"/>
        </w:rPr>
        <w:t xml:space="preserve"> Vargas).</w:t>
      </w:r>
    </w:p>
  </w:footnote>
  <w:footnote w:id="33">
    <w:p w14:paraId="7C3B1286"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Es lo que sucede, por ejemplo, con el Decreto 092 de 2017, que en su desarrollo hace referencia tanto a los «contratos» como a los «convenios». </w:t>
      </w:r>
    </w:p>
  </w:footnote>
  <w:footnote w:id="34">
    <w:p w14:paraId="01428B41" w14:textId="77777777" w:rsidR="009E73EC" w:rsidRPr="004000D4" w:rsidRDefault="009E73EC" w:rsidP="004000D4">
      <w:pPr>
        <w:pStyle w:val="Textonotapie"/>
        <w:spacing w:after="0" w:line="240" w:lineRule="auto"/>
        <w:ind w:firstLine="708"/>
        <w:contextualSpacing/>
        <w:rPr>
          <w:rFonts w:ascii="Arial" w:hAnsi="Arial" w:cs="Arial"/>
          <w:sz w:val="19"/>
          <w:szCs w:val="19"/>
          <w:lang w:val="es-CO"/>
        </w:rPr>
      </w:pPr>
      <w:r w:rsidRPr="004000D4">
        <w:rPr>
          <w:rStyle w:val="Refdenotaalpie"/>
          <w:rFonts w:ascii="Arial" w:hAnsi="Arial" w:cs="Arial"/>
          <w:sz w:val="19"/>
          <w:szCs w:val="19"/>
        </w:rPr>
        <w:footnoteRef/>
      </w:r>
      <w:r w:rsidRPr="004000D4">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70E4F7BB" w14:textId="77777777" w:rsidR="009E73EC" w:rsidRPr="004000D4" w:rsidRDefault="009E73EC"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2E926409" w14:textId="77777777" w:rsidR="00CE20C3" w:rsidRPr="004000D4" w:rsidRDefault="00CE20C3"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5615668D" w14:textId="6DC1E9DE" w:rsidR="004000D4" w:rsidRPr="004000D4" w:rsidRDefault="004000D4" w:rsidP="004000D4">
      <w:pPr>
        <w:pStyle w:val="Textonotapie"/>
        <w:spacing w:after="0" w:line="240" w:lineRule="auto"/>
        <w:ind w:firstLine="708"/>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Publicado en: </w:t>
      </w:r>
      <w:hyperlink r:id="rId1" w:history="1">
        <w:r w:rsidRPr="004000D4">
          <w:rPr>
            <w:rStyle w:val="Hipervnculo"/>
            <w:rFonts w:ascii="Arial" w:hAnsi="Arial" w:cs="Arial"/>
            <w:sz w:val="19"/>
            <w:szCs w:val="19"/>
          </w:rPr>
          <w:t xml:space="preserve">https://www.corteconstitucional.gov.co/comu </w:t>
        </w:r>
        <w:proofErr w:type="spellStart"/>
        <w:r w:rsidRPr="004000D4">
          <w:rPr>
            <w:rStyle w:val="Hipervnculo"/>
            <w:rFonts w:ascii="Arial" w:hAnsi="Arial" w:cs="Arial"/>
            <w:sz w:val="19"/>
            <w:szCs w:val="19"/>
          </w:rPr>
          <w:t>nicados</w:t>
        </w:r>
        <w:proofErr w:type="spellEnd"/>
        <w:r w:rsidRPr="004000D4">
          <w:rPr>
            <w:rStyle w:val="Hipervnculo"/>
            <w:rFonts w:ascii="Arial" w:hAnsi="Arial" w:cs="Arial"/>
            <w:sz w:val="19"/>
            <w:szCs w:val="19"/>
          </w:rPr>
          <w:t>/Comunicado%20No.%2014%20-%20Mayo%2005%20de%202022.pdf</w:t>
        </w:r>
      </w:hyperlink>
      <w:r w:rsidRPr="004000D4">
        <w:rPr>
          <w:rFonts w:ascii="Arial" w:hAnsi="Arial" w:cs="Arial"/>
          <w:sz w:val="19"/>
          <w:szCs w:val="19"/>
        </w:rPr>
        <w:t xml:space="preserve"> </w:t>
      </w:r>
    </w:p>
  </w:footnote>
  <w:footnote w:id="38">
    <w:p w14:paraId="060C75A9" w14:textId="77777777" w:rsidR="004434EA" w:rsidRPr="008F1A01" w:rsidRDefault="004434EA" w:rsidP="004434EA">
      <w:pPr>
        <w:pStyle w:val="Textonotapie"/>
        <w:ind w:firstLine="709"/>
        <w:contextualSpacing/>
        <w:rPr>
          <w:rFonts w:ascii="Arial" w:hAnsi="Arial" w:cs="Arial"/>
          <w:sz w:val="19"/>
          <w:szCs w:val="19"/>
          <w:lang w:val="es-ES"/>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sz w:val="19"/>
          <w:szCs w:val="19"/>
          <w:lang w:val="es-ES"/>
        </w:rPr>
        <w:t xml:space="preserve">La </w:t>
      </w:r>
      <w:r w:rsidRPr="008F1A01">
        <w:rPr>
          <w:rFonts w:ascii="Arial" w:hAnsi="Arial" w:cs="Arial"/>
          <w:i/>
          <w:iCs/>
          <w:sz w:val="19"/>
          <w:szCs w:val="19"/>
          <w:lang w:val="es-ES"/>
        </w:rPr>
        <w:t>sustracción de materia</w:t>
      </w:r>
      <w:r w:rsidRPr="008F1A01">
        <w:rPr>
          <w:rFonts w:ascii="Arial" w:hAnsi="Arial" w:cs="Arial"/>
          <w:sz w:val="19"/>
          <w:szCs w:val="19"/>
          <w:lang w:val="es-ES"/>
        </w:rPr>
        <w:t>, según el Diccionario del Español Jurídico, es la «Desaparición de los supuestos fácticos o jurídicos que sustentan una acción jurisdiccional o administrativa», lo que impide a la autoridad pronunciarse sobre el asunto. En: https://dpej.rae.es/lema/sustracci%C3%B3n-de-materia</w:t>
      </w:r>
    </w:p>
  </w:footnote>
  <w:footnote w:id="39">
    <w:p w14:paraId="5454F190" w14:textId="77777777" w:rsidR="004000D4" w:rsidRPr="004000D4" w:rsidRDefault="004000D4" w:rsidP="004000D4">
      <w:pPr>
        <w:tabs>
          <w:tab w:val="left" w:pos="709"/>
        </w:tabs>
        <w:spacing w:after="0" w:line="240" w:lineRule="auto"/>
        <w:contextualSpacing/>
        <w:jc w:val="both"/>
        <w:rPr>
          <w:rFonts w:ascii="Arial" w:eastAsia="Calibri" w:hAnsi="Arial" w:cs="Arial"/>
          <w:bCs/>
          <w:sz w:val="19"/>
          <w:szCs w:val="19"/>
          <w:lang w:val="es-ES_tradnl"/>
        </w:rPr>
      </w:pPr>
      <w:r w:rsidRPr="004000D4">
        <w:rPr>
          <w:rFonts w:ascii="Arial" w:hAnsi="Arial" w:cs="Arial"/>
          <w:sz w:val="19"/>
          <w:szCs w:val="19"/>
        </w:rPr>
        <w:tab/>
      </w:r>
      <w:r w:rsidRPr="004000D4">
        <w:rPr>
          <w:rStyle w:val="Refdenotaalpie"/>
          <w:rFonts w:ascii="Arial" w:hAnsi="Arial" w:cs="Arial"/>
          <w:sz w:val="19"/>
          <w:szCs w:val="19"/>
        </w:rPr>
        <w:footnoteRef/>
      </w:r>
      <w:r w:rsidRPr="004000D4">
        <w:rPr>
          <w:rFonts w:ascii="Arial" w:hAnsi="Arial" w:cs="Arial"/>
          <w:sz w:val="19"/>
          <w:szCs w:val="19"/>
        </w:rPr>
        <w:t xml:space="preserve"> </w:t>
      </w:r>
      <w:r w:rsidRPr="004000D4">
        <w:rPr>
          <w:rFonts w:ascii="Arial" w:eastAsia="Calibri" w:hAnsi="Arial" w:cs="Arial"/>
          <w:bCs/>
          <w:sz w:val="19"/>
          <w:szCs w:val="19"/>
          <w:lang w:val="es-ES_tradnl"/>
        </w:rPr>
        <w:t xml:space="preserve">Así lo ha indicado la Corte en su jurisprudencia, al afirmar lo siguiente: «[…], en la actualidad, por regla general y salvo que se indique expresamente algo diferente en el fallo, la declaratoria de </w:t>
      </w:r>
      <w:proofErr w:type="spellStart"/>
      <w:r w:rsidRPr="004000D4">
        <w:rPr>
          <w:rFonts w:ascii="Arial" w:eastAsia="Calibri" w:hAnsi="Arial" w:cs="Arial"/>
          <w:bCs/>
          <w:sz w:val="19"/>
          <w:szCs w:val="19"/>
          <w:lang w:val="es-ES_tradnl"/>
        </w:rPr>
        <w:t>inexequibilidad</w:t>
      </w:r>
      <w:proofErr w:type="spellEnd"/>
      <w:r w:rsidRPr="004000D4">
        <w:rPr>
          <w:rFonts w:ascii="Arial" w:eastAsia="Calibri" w:hAnsi="Arial" w:cs="Arial"/>
          <w:bCs/>
          <w:sz w:val="19"/>
          <w:szCs w:val="19"/>
          <w:lang w:val="es-ES_tradnl"/>
        </w:rPr>
        <w:t xml:space="preserve"> de una disposición tiene efectos hacia futuro (</w:t>
      </w:r>
      <w:r w:rsidRPr="004000D4">
        <w:rPr>
          <w:rFonts w:ascii="Arial" w:eastAsia="Calibri" w:hAnsi="Arial" w:cs="Arial"/>
          <w:bCs/>
          <w:i/>
          <w:iCs/>
          <w:sz w:val="19"/>
          <w:szCs w:val="19"/>
          <w:lang w:val="es-ES_tradnl"/>
        </w:rPr>
        <w:t>ex nunc</w:t>
      </w:r>
      <w:r w:rsidRPr="004000D4">
        <w:rPr>
          <w:rFonts w:ascii="Arial" w:eastAsia="Calibri" w:hAnsi="Arial" w:cs="Arial"/>
          <w:bCs/>
          <w:sz w:val="19"/>
          <w:szCs w:val="19"/>
          <w:lang w:val="es-ES_tradnl"/>
        </w:rPr>
        <w:t>) y esto, según lo ha explicado esta Corte, encuentra sustento en los principios de seguridad jurídica y democrático, los cuales implican “la presunción de constitucionalidad de las normas que integran el sistema jurídico” mientras ella no sea desvirtuada por este Tribunal en una providencia con fuerza erga omnes, luego de surtirse un proceso de constitucionalidad abstracta.</w:t>
      </w:r>
    </w:p>
    <w:p w14:paraId="4E8C9895" w14:textId="6C380BD7" w:rsidR="004000D4" w:rsidRPr="004000D4" w:rsidRDefault="004000D4" w:rsidP="004000D4">
      <w:pPr>
        <w:pStyle w:val="Textonotapie"/>
        <w:spacing w:after="0" w:line="240" w:lineRule="auto"/>
        <w:ind w:firstLine="709"/>
        <w:contextualSpacing/>
        <w:rPr>
          <w:rFonts w:ascii="Arial" w:hAnsi="Arial" w:cs="Arial"/>
          <w:sz w:val="19"/>
          <w:szCs w:val="19"/>
          <w:lang w:val="es-ES"/>
        </w:rPr>
      </w:pPr>
      <w:proofErr w:type="gramStart"/>
      <w:r w:rsidRPr="004000D4">
        <w:rPr>
          <w:rFonts w:ascii="Arial" w:eastAsia="Calibri" w:hAnsi="Arial" w:cs="Arial"/>
          <w:bCs/>
          <w:sz w:val="19"/>
          <w:szCs w:val="19"/>
          <w:lang w:val="es-ES_tradnl"/>
        </w:rPr>
        <w:t>»En</w:t>
      </w:r>
      <w:proofErr w:type="gramEnd"/>
      <w:r w:rsidRPr="004000D4">
        <w:rPr>
          <w:rFonts w:ascii="Arial" w:eastAsia="Calibri" w:hAnsi="Arial" w:cs="Arial"/>
          <w:bCs/>
          <w:sz w:val="19"/>
          <w:szCs w:val="19"/>
          <w:lang w:val="es-ES_tradnl"/>
        </w:rPr>
        <w:t xml:space="preserve"> este orden de ideas, cuando esta Corporación declara la inconstitucionalidad de una norma sin retrotraer los efectos de su determinación, convalida de contera las situaciones jurídicas consolidadas a su amparo entre el instante en el que entró en vigencia y la fecha de la sentencia, pues las actuaciones adelantadas en ese lapso, en principio, se reputan como legítimas por haber sido ejecutadas en consonancia con el derecho positivo vigente». </w:t>
      </w:r>
      <w:r w:rsidRPr="004000D4">
        <w:rPr>
          <w:rFonts w:ascii="Arial" w:hAnsi="Arial" w:cs="Arial"/>
          <w:sz w:val="19"/>
          <w:szCs w:val="19"/>
          <w:lang w:val="es-ES"/>
        </w:rPr>
        <w:t>Sentencia SU-037 de 2019. M.P. Luis Guillermo Guerrero Pérez.</w:t>
      </w:r>
    </w:p>
  </w:footnote>
  <w:footnote w:id="40">
    <w:p w14:paraId="02C65D48" w14:textId="77777777" w:rsidR="004000D4" w:rsidRPr="004000D4" w:rsidRDefault="004000D4" w:rsidP="004000D4">
      <w:pPr>
        <w:pStyle w:val="Textonotapie"/>
        <w:spacing w:after="0" w:line="240" w:lineRule="auto"/>
        <w:ind w:firstLine="709"/>
        <w:contextualSpacing/>
        <w:rPr>
          <w:rFonts w:ascii="Arial" w:hAnsi="Arial" w:cs="Arial"/>
          <w:sz w:val="19"/>
          <w:szCs w:val="19"/>
        </w:rPr>
      </w:pPr>
      <w:r w:rsidRPr="004000D4">
        <w:rPr>
          <w:rStyle w:val="Refdenotaalpie"/>
          <w:rFonts w:ascii="Arial" w:hAnsi="Arial" w:cs="Arial"/>
          <w:sz w:val="19"/>
          <w:szCs w:val="19"/>
        </w:rPr>
        <w:footnoteRef/>
      </w:r>
      <w:r w:rsidRPr="004000D4">
        <w:rPr>
          <w:rFonts w:ascii="Arial" w:hAnsi="Arial" w:cs="Arial"/>
          <w:sz w:val="19"/>
          <w:szCs w:val="19"/>
        </w:rPr>
        <w:t xml:space="preserve"> La jurisprudencia constitucional indica que: «la Corte ha insistido en que la modulación de los efectos de sus sentencias, bien desde el punto de vista del contenido de su decisión, o bien desde el punto de vista de sus efectos temporales, es una tarea ineludible para asegurar la integridad del texto constitucional. Así, en lo que respecta a la fijación de los efectos temporales, es sabido que por regla general las decisiones de la Corte tienen efectos hacia futuro o ex nunc, pues, en principio, ello tributa en beneficio de los principios de seguridad jurídica y buena fe. Sin embargo, en reiteradas providencias, la Corporación ha sostenido que hay casos especiales en los que “reconocer solamente efectos hacia futuro a las sentencias de inconstitucionalidad” consolidaría situaciones jurídicas abiertamente incompatibles con la Carta Política, habida cuenta de que existen normas que, aun cuando han sido expulsadas del ordenamiento jurídico, tienen la posibilidad de surtir efectos antes de que la declaración de inconstitucionalidad se produzca.</w:t>
      </w:r>
    </w:p>
    <w:p w14:paraId="7102B946" w14:textId="2DBB1EE3" w:rsidR="004000D4" w:rsidRPr="004000D4" w:rsidRDefault="004000D4" w:rsidP="004000D4">
      <w:pPr>
        <w:pStyle w:val="Textonotapie"/>
        <w:spacing w:after="0" w:line="240" w:lineRule="auto"/>
        <w:ind w:firstLine="708"/>
        <w:contextualSpacing/>
        <w:rPr>
          <w:rFonts w:ascii="Arial" w:hAnsi="Arial" w:cs="Arial"/>
          <w:sz w:val="19"/>
          <w:szCs w:val="19"/>
        </w:rPr>
      </w:pPr>
      <w:r w:rsidRPr="004000D4">
        <w:rPr>
          <w:rFonts w:ascii="Arial" w:hAnsi="Arial" w:cs="Arial"/>
          <w:sz w:val="19"/>
          <w:szCs w:val="19"/>
        </w:rPr>
        <w:t xml:space="preserve">» 8.  Bajo ese marco de referencia, “una decisión de </w:t>
      </w:r>
      <w:proofErr w:type="spellStart"/>
      <w:r w:rsidRPr="004000D4">
        <w:rPr>
          <w:rFonts w:ascii="Arial" w:hAnsi="Arial" w:cs="Arial"/>
          <w:sz w:val="19"/>
          <w:szCs w:val="19"/>
        </w:rPr>
        <w:t>inexequibilidad</w:t>
      </w:r>
      <w:proofErr w:type="spellEnd"/>
      <w:r w:rsidRPr="004000D4">
        <w:rPr>
          <w:rFonts w:ascii="Arial" w:hAnsi="Arial" w:cs="Arial"/>
          <w:sz w:val="19"/>
          <w:szCs w:val="19"/>
        </w:rPr>
        <w:t xml:space="preserve"> de la Corte con efectos ex </w:t>
      </w:r>
      <w:proofErr w:type="spellStart"/>
      <w:r w:rsidRPr="004000D4">
        <w:rPr>
          <w:rFonts w:ascii="Arial" w:hAnsi="Arial" w:cs="Arial"/>
          <w:sz w:val="19"/>
          <w:szCs w:val="19"/>
        </w:rPr>
        <w:t>tunc</w:t>
      </w:r>
      <w:proofErr w:type="spellEnd"/>
      <w:r w:rsidRPr="004000D4">
        <w:rPr>
          <w:rFonts w:ascii="Arial" w:hAnsi="Arial" w:cs="Arial"/>
          <w:sz w:val="19"/>
          <w:szCs w:val="19"/>
        </w:rPr>
        <w:t xml:space="preserve"> –desde siempre–, tiene fundamento en la exigencia de deshacer las consecuencias de normas contrarias a la Carta dentro del ordenamiento jurídico”. De ahí que la Corte justifique los efectos retroactivos a las sentencias que declaran la inconstitucionalidad de un precepto normativo en tres escenarios en particular: (i) en los casos en que, desde la entrada en vigor de la Constitución de 1991, era evidente que la disposición acusada resultaba contraria al texto superior; (</w:t>
      </w:r>
      <w:proofErr w:type="spellStart"/>
      <w:r w:rsidRPr="004000D4">
        <w:rPr>
          <w:rFonts w:ascii="Arial" w:hAnsi="Arial" w:cs="Arial"/>
          <w:sz w:val="19"/>
          <w:szCs w:val="19"/>
        </w:rPr>
        <w:t>ii</w:t>
      </w:r>
      <w:proofErr w:type="spellEnd"/>
      <w:r w:rsidRPr="004000D4">
        <w:rPr>
          <w:rFonts w:ascii="Arial" w:hAnsi="Arial" w:cs="Arial"/>
          <w:sz w:val="19"/>
          <w:szCs w:val="19"/>
        </w:rPr>
        <w:t>) en el evento en que los alcances retroactivos del fallo son indispensables para asegurar la protección de derechos constitucionales abiertamente desconocidos; y, (</w:t>
      </w:r>
      <w:proofErr w:type="spellStart"/>
      <w:r w:rsidRPr="004000D4">
        <w:rPr>
          <w:rFonts w:ascii="Arial" w:hAnsi="Arial" w:cs="Arial"/>
          <w:sz w:val="19"/>
          <w:szCs w:val="19"/>
        </w:rPr>
        <w:t>iii</w:t>
      </w:r>
      <w:proofErr w:type="spellEnd"/>
      <w:r w:rsidRPr="004000D4">
        <w:rPr>
          <w:rFonts w:ascii="Arial" w:hAnsi="Arial" w:cs="Arial"/>
          <w:sz w:val="19"/>
          <w:szCs w:val="19"/>
        </w:rPr>
        <w:t>) en aquellas circunstancias en las que el efecto retroactivo del fallo es imprescindible para sancionar una violación flagrante y deliberada de la Constitución». Sentencia C-507 de 2020. M.P. Jorge Enrique Ibáñez Najar.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FB25" w14:textId="77777777" w:rsidR="00301B6D" w:rsidRDefault="006F7D82">
    <w:pPr>
      <w:pStyle w:val="Encabezado"/>
    </w:pPr>
    <w:r>
      <w:rPr>
        <w:noProof/>
        <w:lang w:val="es-CO" w:eastAsia="es-CO"/>
      </w:rPr>
      <w:drawing>
        <wp:anchor distT="0" distB="0" distL="114300" distR="114300" simplePos="0" relativeHeight="251659264" behindDoc="1" locked="0" layoutInCell="1" allowOverlap="1" wp14:anchorId="17D1357A" wp14:editId="4FFD49C2">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CA9CA" w14:textId="77777777" w:rsidR="00301B6D" w:rsidRDefault="003A1641" w:rsidP="00301B6D">
    <w:pPr>
      <w:pStyle w:val="Encabezado"/>
      <w:spacing w:after="0"/>
    </w:pPr>
  </w:p>
  <w:p w14:paraId="320A5ADD" w14:textId="77777777" w:rsidR="00301B6D" w:rsidRDefault="003A16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C"/>
    <w:rsid w:val="00010FFE"/>
    <w:rsid w:val="00037B13"/>
    <w:rsid w:val="00073A45"/>
    <w:rsid w:val="00085EE4"/>
    <w:rsid w:val="000B5178"/>
    <w:rsid w:val="000C5DD7"/>
    <w:rsid w:val="000C6133"/>
    <w:rsid w:val="000E4468"/>
    <w:rsid w:val="000F2979"/>
    <w:rsid w:val="0013042B"/>
    <w:rsid w:val="0019250C"/>
    <w:rsid w:val="001F7AFA"/>
    <w:rsid w:val="00202AD4"/>
    <w:rsid w:val="0027473E"/>
    <w:rsid w:val="00276578"/>
    <w:rsid w:val="002779D6"/>
    <w:rsid w:val="002816B6"/>
    <w:rsid w:val="002B5699"/>
    <w:rsid w:val="002D2EF1"/>
    <w:rsid w:val="00306AC0"/>
    <w:rsid w:val="00322C40"/>
    <w:rsid w:val="003370B4"/>
    <w:rsid w:val="003703B9"/>
    <w:rsid w:val="00377BA7"/>
    <w:rsid w:val="003A1641"/>
    <w:rsid w:val="003C2300"/>
    <w:rsid w:val="003E120E"/>
    <w:rsid w:val="003F73C1"/>
    <w:rsid w:val="004000D4"/>
    <w:rsid w:val="00400689"/>
    <w:rsid w:val="00401E96"/>
    <w:rsid w:val="0041090B"/>
    <w:rsid w:val="00426180"/>
    <w:rsid w:val="004434EA"/>
    <w:rsid w:val="00445338"/>
    <w:rsid w:val="00450AFD"/>
    <w:rsid w:val="00463191"/>
    <w:rsid w:val="0049548A"/>
    <w:rsid w:val="004A5BB4"/>
    <w:rsid w:val="004B563E"/>
    <w:rsid w:val="004D21CF"/>
    <w:rsid w:val="004F0451"/>
    <w:rsid w:val="004F3DAC"/>
    <w:rsid w:val="004F6737"/>
    <w:rsid w:val="00507849"/>
    <w:rsid w:val="00527465"/>
    <w:rsid w:val="005639AF"/>
    <w:rsid w:val="0057214B"/>
    <w:rsid w:val="005E4EE2"/>
    <w:rsid w:val="005F0AAC"/>
    <w:rsid w:val="005F11C2"/>
    <w:rsid w:val="00606932"/>
    <w:rsid w:val="006308A6"/>
    <w:rsid w:val="00635396"/>
    <w:rsid w:val="006443A5"/>
    <w:rsid w:val="006611AB"/>
    <w:rsid w:val="006B50C7"/>
    <w:rsid w:val="006C5734"/>
    <w:rsid w:val="006F7D82"/>
    <w:rsid w:val="00723543"/>
    <w:rsid w:val="00733E65"/>
    <w:rsid w:val="0075188A"/>
    <w:rsid w:val="007527AA"/>
    <w:rsid w:val="00752FFC"/>
    <w:rsid w:val="007552FC"/>
    <w:rsid w:val="007934CB"/>
    <w:rsid w:val="007A461E"/>
    <w:rsid w:val="007C41AA"/>
    <w:rsid w:val="007E562F"/>
    <w:rsid w:val="007F7854"/>
    <w:rsid w:val="0081383F"/>
    <w:rsid w:val="0086713E"/>
    <w:rsid w:val="008B4D94"/>
    <w:rsid w:val="008C5AD6"/>
    <w:rsid w:val="008D24B5"/>
    <w:rsid w:val="009772F9"/>
    <w:rsid w:val="009A2716"/>
    <w:rsid w:val="009A7319"/>
    <w:rsid w:val="009E73EC"/>
    <w:rsid w:val="009F2C90"/>
    <w:rsid w:val="009F3C7F"/>
    <w:rsid w:val="00A13040"/>
    <w:rsid w:val="00A930A6"/>
    <w:rsid w:val="00AA04B0"/>
    <w:rsid w:val="00AA4D34"/>
    <w:rsid w:val="00B30A83"/>
    <w:rsid w:val="00B52AEA"/>
    <w:rsid w:val="00B60414"/>
    <w:rsid w:val="00B7217B"/>
    <w:rsid w:val="00BA0E82"/>
    <w:rsid w:val="00BA1D17"/>
    <w:rsid w:val="00BA7F13"/>
    <w:rsid w:val="00BD2FA5"/>
    <w:rsid w:val="00BD3168"/>
    <w:rsid w:val="00BF093B"/>
    <w:rsid w:val="00C3291F"/>
    <w:rsid w:val="00C51C04"/>
    <w:rsid w:val="00C530BE"/>
    <w:rsid w:val="00C5770E"/>
    <w:rsid w:val="00C61876"/>
    <w:rsid w:val="00C61B45"/>
    <w:rsid w:val="00C66D2B"/>
    <w:rsid w:val="00C7187C"/>
    <w:rsid w:val="00C747F4"/>
    <w:rsid w:val="00C80448"/>
    <w:rsid w:val="00C80F57"/>
    <w:rsid w:val="00CE1F82"/>
    <w:rsid w:val="00CE20C3"/>
    <w:rsid w:val="00D36547"/>
    <w:rsid w:val="00D406BD"/>
    <w:rsid w:val="00D51D76"/>
    <w:rsid w:val="00D53E08"/>
    <w:rsid w:val="00D55ECC"/>
    <w:rsid w:val="00D663DC"/>
    <w:rsid w:val="00D84044"/>
    <w:rsid w:val="00D92E2E"/>
    <w:rsid w:val="00DB433D"/>
    <w:rsid w:val="00DD243D"/>
    <w:rsid w:val="00DF349A"/>
    <w:rsid w:val="00DF3A75"/>
    <w:rsid w:val="00E113D2"/>
    <w:rsid w:val="00E432E6"/>
    <w:rsid w:val="00E74F8E"/>
    <w:rsid w:val="00EA56BA"/>
    <w:rsid w:val="00F03E59"/>
    <w:rsid w:val="00F10C0A"/>
    <w:rsid w:val="00F30F14"/>
    <w:rsid w:val="00F92639"/>
    <w:rsid w:val="00F92BD3"/>
    <w:rsid w:val="00FA7CDD"/>
    <w:rsid w:val="00FB7FCB"/>
    <w:rsid w:val="00FC3E5A"/>
    <w:rsid w:val="00FC40BF"/>
    <w:rsid w:val="33ED6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A630"/>
  <w15:chartTrackingRefBased/>
  <w15:docId w15:val="{08766362-E828-4AA3-910F-616C844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E73EC"/>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9E73EC"/>
    <w:rPr>
      <w:sz w:val="24"/>
      <w:lang w:val="es-MX"/>
    </w:rPr>
  </w:style>
  <w:style w:type="paragraph" w:styleId="Encabezado">
    <w:name w:val="header"/>
    <w:basedOn w:val="Normal"/>
    <w:link w:val="EncabezadoCar"/>
    <w:uiPriority w:val="99"/>
    <w:unhideWhenUsed/>
    <w:rsid w:val="009E73EC"/>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9E73EC"/>
    <w:rPr>
      <w:sz w:val="24"/>
      <w:lang w:val="es-MX"/>
    </w:rPr>
  </w:style>
  <w:style w:type="table" w:styleId="Tablaconcuadrcula">
    <w:name w:val="Table Grid"/>
    <w:basedOn w:val="Tablanormal"/>
    <w:uiPriority w:val="59"/>
    <w:rsid w:val="009E73E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E73EC"/>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9E73EC"/>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E73E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9E73EC"/>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9E73E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9E73EC"/>
    <w:rPr>
      <w:vertAlign w:val="superscript"/>
    </w:rPr>
  </w:style>
  <w:style w:type="paragraph" w:customStyle="1" w:styleId="Appelnotedebasde">
    <w:name w:val="Appel note de bas de..."/>
    <w:basedOn w:val="Normal"/>
    <w:link w:val="Refdenotaalpie"/>
    <w:uiPriority w:val="99"/>
    <w:rsid w:val="009E73EC"/>
    <w:pPr>
      <w:spacing w:line="240" w:lineRule="exact"/>
      <w:jc w:val="both"/>
    </w:pPr>
    <w:rPr>
      <w:vertAlign w:val="superscript"/>
    </w:rPr>
  </w:style>
  <w:style w:type="character" w:customStyle="1" w:styleId="NormalWebCar">
    <w:name w:val="Normal (Web) Car"/>
    <w:link w:val="NormalWeb"/>
    <w:uiPriority w:val="99"/>
    <w:locked/>
    <w:rsid w:val="009E73EC"/>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9E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E73EC"/>
  </w:style>
  <w:style w:type="paragraph" w:customStyle="1" w:styleId="paragraph">
    <w:name w:val="paragraph"/>
    <w:basedOn w:val="Normal"/>
    <w:rsid w:val="00FC40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C40BF"/>
  </w:style>
  <w:style w:type="character" w:customStyle="1" w:styleId="superscript">
    <w:name w:val="superscript"/>
    <w:basedOn w:val="Fuentedeprrafopredeter"/>
    <w:rsid w:val="00FC40BF"/>
  </w:style>
  <w:style w:type="character" w:customStyle="1" w:styleId="eop">
    <w:name w:val="eop"/>
    <w:basedOn w:val="Fuentedeprrafopredeter"/>
    <w:rsid w:val="00FC40BF"/>
  </w:style>
  <w:style w:type="character" w:styleId="Hipervnculo">
    <w:name w:val="Hyperlink"/>
    <w:basedOn w:val="Fuentedeprrafopredeter"/>
    <w:uiPriority w:val="99"/>
    <w:unhideWhenUsed/>
    <w:rsid w:val="004000D4"/>
    <w:rPr>
      <w:color w:val="0563C1" w:themeColor="hyperlink"/>
      <w:u w:val="single"/>
    </w:rPr>
  </w:style>
  <w:style w:type="paragraph" w:styleId="Revisin">
    <w:name w:val="Revision"/>
    <w:hidden/>
    <w:uiPriority w:val="99"/>
    <w:semiHidden/>
    <w:rsid w:val="003C2300"/>
    <w:pPr>
      <w:spacing w:after="0" w:line="240" w:lineRule="auto"/>
    </w:pPr>
  </w:style>
  <w:style w:type="character" w:styleId="Refdecomentario">
    <w:name w:val="annotation reference"/>
    <w:basedOn w:val="Fuentedeprrafopredeter"/>
    <w:uiPriority w:val="99"/>
    <w:semiHidden/>
    <w:unhideWhenUsed/>
    <w:rsid w:val="004A5BB4"/>
    <w:rPr>
      <w:sz w:val="16"/>
      <w:szCs w:val="16"/>
    </w:rPr>
  </w:style>
  <w:style w:type="paragraph" w:styleId="Textocomentario">
    <w:name w:val="annotation text"/>
    <w:basedOn w:val="Normal"/>
    <w:link w:val="TextocomentarioCar"/>
    <w:uiPriority w:val="99"/>
    <w:semiHidden/>
    <w:unhideWhenUsed/>
    <w:rsid w:val="004A5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BB4"/>
    <w:rPr>
      <w:sz w:val="20"/>
      <w:szCs w:val="20"/>
    </w:rPr>
  </w:style>
  <w:style w:type="paragraph" w:styleId="Asuntodelcomentario">
    <w:name w:val="annotation subject"/>
    <w:basedOn w:val="Textocomentario"/>
    <w:next w:val="Textocomentario"/>
    <w:link w:val="AsuntodelcomentarioCar"/>
    <w:uiPriority w:val="99"/>
    <w:semiHidden/>
    <w:unhideWhenUsed/>
    <w:rsid w:val="004A5BB4"/>
    <w:rPr>
      <w:b/>
      <w:bCs/>
    </w:rPr>
  </w:style>
  <w:style w:type="character" w:customStyle="1" w:styleId="AsuntodelcomentarioCar">
    <w:name w:val="Asunto del comentario Car"/>
    <w:basedOn w:val="TextocomentarioCar"/>
    <w:link w:val="Asuntodelcomentario"/>
    <w:uiPriority w:val="99"/>
    <w:semiHidden/>
    <w:rsid w:val="004A5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1279">
      <w:bodyDiv w:val="1"/>
      <w:marLeft w:val="0"/>
      <w:marRight w:val="0"/>
      <w:marTop w:val="0"/>
      <w:marBottom w:val="0"/>
      <w:divBdr>
        <w:top w:val="none" w:sz="0" w:space="0" w:color="auto"/>
        <w:left w:val="none" w:sz="0" w:space="0" w:color="auto"/>
        <w:bottom w:val="none" w:sz="0" w:space="0" w:color="auto"/>
        <w:right w:val="none" w:sz="0" w:space="0" w:color="auto"/>
      </w:divBdr>
      <w:divsChild>
        <w:div w:id="372114721">
          <w:marLeft w:val="0"/>
          <w:marRight w:val="0"/>
          <w:marTop w:val="0"/>
          <w:marBottom w:val="0"/>
          <w:divBdr>
            <w:top w:val="none" w:sz="0" w:space="0" w:color="auto"/>
            <w:left w:val="none" w:sz="0" w:space="0" w:color="auto"/>
            <w:bottom w:val="none" w:sz="0" w:space="0" w:color="auto"/>
            <w:right w:val="none" w:sz="0" w:space="0" w:color="auto"/>
          </w:divBdr>
        </w:div>
        <w:div w:id="105836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comu%20nicados/Comunicado%20No.%2014%20-%20Mayo%2005%20de%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A1BBF-951C-4943-8D6C-31F8226115F8}">
  <ds:schemaRefs>
    <ds:schemaRef ds:uri="http://schemas.openxmlformats.org/officeDocument/2006/bibliography"/>
  </ds:schemaRefs>
</ds:datastoreItem>
</file>

<file path=customXml/itemProps2.xml><?xml version="1.0" encoding="utf-8"?>
<ds:datastoreItem xmlns:ds="http://schemas.openxmlformats.org/officeDocument/2006/customXml" ds:itemID="{C7B6EE2D-EE7A-408E-92F6-2BCC54AA70AE}"/>
</file>

<file path=customXml/itemProps3.xml><?xml version="1.0" encoding="utf-8"?>
<ds:datastoreItem xmlns:ds="http://schemas.openxmlformats.org/officeDocument/2006/customXml" ds:itemID="{D10E60E7-882A-45C1-B8A7-E7EAB3D93FE0}"/>
</file>

<file path=customXml/itemProps4.xml><?xml version="1.0" encoding="utf-8"?>
<ds:datastoreItem xmlns:ds="http://schemas.openxmlformats.org/officeDocument/2006/customXml" ds:itemID="{D630B8B6-005E-4E4B-8278-4ED82D1F9788}"/>
</file>

<file path=docProps/app.xml><?xml version="1.0" encoding="utf-8"?>
<Properties xmlns="http://schemas.openxmlformats.org/officeDocument/2006/extended-properties" xmlns:vt="http://schemas.openxmlformats.org/officeDocument/2006/docPropsVTypes">
  <Template>Normal</Template>
  <TotalTime>12</TotalTime>
  <Pages>29</Pages>
  <Words>9970</Words>
  <Characters>54835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8</cp:revision>
  <dcterms:created xsi:type="dcterms:W3CDTF">2022-05-26T15:32:00Z</dcterms:created>
  <dcterms:modified xsi:type="dcterms:W3CDTF">2022-05-31T22:02:00Z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26100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